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BB3E3">
      <w:pPr>
        <w:jc w:val="center"/>
        <w:rPr>
          <w:b/>
          <w:bCs/>
          <w:sz w:val="52"/>
          <w:szCs w:val="52"/>
        </w:rPr>
      </w:pPr>
    </w:p>
    <w:p w14:paraId="68968CAA">
      <w:pPr>
        <w:jc w:val="center"/>
        <w:rPr>
          <w:b/>
          <w:bCs/>
          <w:sz w:val="52"/>
          <w:szCs w:val="52"/>
        </w:rPr>
      </w:pPr>
    </w:p>
    <w:p w14:paraId="077A605E">
      <w:pPr>
        <w:jc w:val="center"/>
        <w:rPr>
          <w:b/>
          <w:bCs/>
          <w:sz w:val="52"/>
          <w:szCs w:val="52"/>
        </w:rPr>
      </w:pPr>
    </w:p>
    <w:p w14:paraId="7677E4C1">
      <w:pPr>
        <w:spacing w:line="480" w:lineRule="auto"/>
        <w:jc w:val="center"/>
        <w:rPr>
          <w:b/>
          <w:bCs/>
          <w:sz w:val="52"/>
          <w:szCs w:val="52"/>
        </w:rPr>
      </w:pPr>
      <w:r>
        <w:rPr>
          <w:rFonts w:hint="eastAsia"/>
          <w:b/>
          <w:bCs/>
          <w:sz w:val="52"/>
          <w:szCs w:val="52"/>
        </w:rPr>
        <w:t>小学教育专业2</w:t>
      </w:r>
      <w:r>
        <w:rPr>
          <w:b/>
          <w:bCs/>
          <w:sz w:val="52"/>
          <w:szCs w:val="52"/>
        </w:rPr>
        <w:t>02</w:t>
      </w:r>
      <w:r>
        <w:rPr>
          <w:rFonts w:hint="eastAsia"/>
          <w:b/>
          <w:bCs/>
          <w:sz w:val="52"/>
          <w:szCs w:val="52"/>
          <w:lang w:val="en-US" w:eastAsia="zh-CN"/>
        </w:rPr>
        <w:t>2</w:t>
      </w:r>
      <w:r>
        <w:rPr>
          <w:rFonts w:hint="eastAsia"/>
          <w:b/>
          <w:bCs/>
          <w:sz w:val="52"/>
          <w:szCs w:val="52"/>
        </w:rPr>
        <w:t>级课程教学大纲</w:t>
      </w:r>
    </w:p>
    <w:p w14:paraId="70AC58C3">
      <w:pPr>
        <w:spacing w:line="480" w:lineRule="auto"/>
        <w:jc w:val="center"/>
        <w:rPr>
          <w:b/>
          <w:bCs/>
          <w:sz w:val="44"/>
          <w:szCs w:val="44"/>
        </w:rPr>
      </w:pPr>
    </w:p>
    <w:p w14:paraId="05CBBF59">
      <w:pPr>
        <w:spacing w:line="480" w:lineRule="auto"/>
        <w:jc w:val="center"/>
        <w:rPr>
          <w:b/>
          <w:bCs/>
          <w:sz w:val="44"/>
          <w:szCs w:val="44"/>
        </w:rPr>
      </w:pPr>
    </w:p>
    <w:p w14:paraId="1FE992ED">
      <w:pPr>
        <w:spacing w:line="480" w:lineRule="auto"/>
        <w:jc w:val="center"/>
        <w:rPr>
          <w:b/>
          <w:bCs/>
          <w:sz w:val="44"/>
          <w:szCs w:val="44"/>
        </w:rPr>
      </w:pPr>
      <w:r>
        <w:rPr>
          <w:rFonts w:hint="eastAsia"/>
          <w:b/>
          <w:bCs/>
          <w:sz w:val="44"/>
          <w:szCs w:val="44"/>
        </w:rPr>
        <w:t>小学教育（理）</w:t>
      </w:r>
    </w:p>
    <w:p w14:paraId="46D0E324">
      <w:pPr>
        <w:spacing w:line="480" w:lineRule="auto"/>
        <w:jc w:val="center"/>
        <w:rPr>
          <w:b/>
          <w:bCs/>
          <w:sz w:val="44"/>
          <w:szCs w:val="44"/>
        </w:rPr>
      </w:pPr>
    </w:p>
    <w:p w14:paraId="05632539">
      <w:pPr>
        <w:spacing w:line="480" w:lineRule="auto"/>
        <w:jc w:val="center"/>
        <w:rPr>
          <w:b/>
          <w:bCs/>
          <w:sz w:val="44"/>
          <w:szCs w:val="44"/>
        </w:rPr>
      </w:pPr>
    </w:p>
    <w:p w14:paraId="2772ABE6">
      <w:pPr>
        <w:spacing w:line="480" w:lineRule="auto"/>
        <w:jc w:val="center"/>
        <w:rPr>
          <w:b/>
          <w:bCs/>
          <w:sz w:val="44"/>
          <w:szCs w:val="44"/>
        </w:rPr>
      </w:pPr>
    </w:p>
    <w:p w14:paraId="2A81BBA3">
      <w:pPr>
        <w:spacing w:line="480" w:lineRule="auto"/>
        <w:jc w:val="center"/>
        <w:rPr>
          <w:b/>
          <w:bCs/>
          <w:sz w:val="44"/>
          <w:szCs w:val="44"/>
        </w:rPr>
      </w:pPr>
    </w:p>
    <w:p w14:paraId="3142A0E7">
      <w:pPr>
        <w:spacing w:line="480" w:lineRule="auto"/>
        <w:jc w:val="center"/>
        <w:rPr>
          <w:b/>
          <w:bCs/>
          <w:sz w:val="44"/>
          <w:szCs w:val="44"/>
        </w:rPr>
      </w:pPr>
    </w:p>
    <w:p w14:paraId="50962FFD">
      <w:pPr>
        <w:spacing w:line="480" w:lineRule="auto"/>
        <w:jc w:val="center"/>
        <w:rPr>
          <w:b/>
          <w:bCs/>
          <w:sz w:val="44"/>
          <w:szCs w:val="44"/>
        </w:rPr>
      </w:pPr>
    </w:p>
    <w:p w14:paraId="4906C1EC">
      <w:pPr>
        <w:spacing w:line="480" w:lineRule="auto"/>
        <w:jc w:val="center"/>
        <w:rPr>
          <w:b/>
          <w:bCs/>
          <w:sz w:val="44"/>
          <w:szCs w:val="44"/>
        </w:rPr>
      </w:pPr>
    </w:p>
    <w:p w14:paraId="63EA5E78">
      <w:pPr>
        <w:spacing w:line="720" w:lineRule="auto"/>
        <w:jc w:val="center"/>
        <w:rPr>
          <w:b/>
          <w:bCs/>
          <w:sz w:val="36"/>
          <w:szCs w:val="36"/>
        </w:rPr>
      </w:pPr>
      <w:r>
        <w:rPr>
          <w:rFonts w:hint="eastAsia"/>
          <w:b/>
          <w:bCs/>
          <w:sz w:val="36"/>
          <w:szCs w:val="36"/>
        </w:rPr>
        <w:t>师范学院小学教育系</w:t>
      </w:r>
    </w:p>
    <w:p w14:paraId="553C0DB1">
      <w:pPr>
        <w:spacing w:line="720" w:lineRule="auto"/>
        <w:jc w:val="center"/>
        <w:rPr>
          <w:rFonts w:hint="eastAsia"/>
          <w:b/>
          <w:bCs/>
          <w:sz w:val="36"/>
          <w:szCs w:val="36"/>
        </w:rPr>
      </w:pPr>
      <w:r>
        <w:rPr>
          <w:rFonts w:hint="eastAsia"/>
          <w:b/>
          <w:bCs/>
          <w:sz w:val="36"/>
          <w:szCs w:val="36"/>
        </w:rPr>
        <w:t>2</w:t>
      </w:r>
      <w:r>
        <w:rPr>
          <w:b/>
          <w:bCs/>
          <w:sz w:val="36"/>
          <w:szCs w:val="36"/>
        </w:rPr>
        <w:t>02</w:t>
      </w:r>
      <w:r>
        <w:rPr>
          <w:rFonts w:hint="eastAsia"/>
          <w:b/>
          <w:bCs/>
          <w:sz w:val="36"/>
          <w:szCs w:val="36"/>
          <w:lang w:val="en-US" w:eastAsia="zh-CN"/>
        </w:rPr>
        <w:t>2</w:t>
      </w:r>
      <w:r>
        <w:rPr>
          <w:rFonts w:hint="eastAsia"/>
          <w:b/>
          <w:bCs/>
          <w:sz w:val="36"/>
          <w:szCs w:val="36"/>
        </w:rPr>
        <w:t>年9月</w:t>
      </w:r>
    </w:p>
    <w:p w14:paraId="55BC437D">
      <w:pPr>
        <w:spacing w:line="720" w:lineRule="auto"/>
        <w:jc w:val="center"/>
        <w:rPr>
          <w:rFonts w:hint="eastAsia"/>
          <w:b/>
          <w:bCs/>
          <w:sz w:val="36"/>
          <w:szCs w:val="36"/>
        </w:rPr>
      </w:pPr>
    </w:p>
    <w:p w14:paraId="49AF3787">
      <w:pPr>
        <w:spacing w:line="720" w:lineRule="auto"/>
        <w:jc w:val="center"/>
        <w:rPr>
          <w:rFonts w:hint="eastAsia"/>
          <w:b/>
          <w:bCs/>
          <w:sz w:val="36"/>
          <w:szCs w:val="36"/>
        </w:rPr>
      </w:pPr>
    </w:p>
    <w:p w14:paraId="6B74E836">
      <w:pPr>
        <w:spacing w:line="720" w:lineRule="auto"/>
        <w:jc w:val="center"/>
        <w:rPr>
          <w:b/>
          <w:bCs/>
          <w:sz w:val="36"/>
          <w:szCs w:val="36"/>
        </w:rPr>
      </w:pPr>
      <w:r>
        <w:rPr>
          <w:rFonts w:hint="eastAsia"/>
          <w:b/>
          <w:bCs/>
          <w:sz w:val="36"/>
          <w:szCs w:val="36"/>
        </w:rPr>
        <w:t>目录</w:t>
      </w:r>
    </w:p>
    <w:p w14:paraId="5344BD57">
      <w:pPr>
        <w:pStyle w:val="21"/>
        <w:rPr>
          <w:rFonts w:eastAsiaTheme="minorEastAsia"/>
          <w:b w:val="0"/>
          <w:bCs w:val="0"/>
          <w:caps w:val="0"/>
          <w:sz w:val="21"/>
          <w:szCs w:val="22"/>
          <w:highlight w:val="none"/>
          <w14:ligatures w14:val="standardContextual"/>
        </w:rPr>
      </w:pPr>
      <w:r>
        <w:rPr>
          <w:sz w:val="36"/>
          <w:szCs w:val="36"/>
        </w:rPr>
        <w:fldChar w:fldCharType="begin"/>
      </w:r>
      <w:r>
        <w:rPr>
          <w:sz w:val="36"/>
          <w:szCs w:val="36"/>
        </w:rPr>
        <w:instrText xml:space="preserve"> TOC \o "1-1" \h \z \u </w:instrText>
      </w:r>
      <w:r>
        <w:rPr>
          <w:sz w:val="36"/>
          <w:szCs w:val="36"/>
        </w:rPr>
        <w:fldChar w:fldCharType="separate"/>
      </w:r>
      <w:r>
        <w:rPr>
          <w:highlight w:val="none"/>
        </w:rPr>
        <w:fldChar w:fldCharType="begin"/>
      </w:r>
      <w:r>
        <w:rPr>
          <w:highlight w:val="none"/>
        </w:rPr>
        <w:instrText xml:space="preserve"> HYPERLINK \l "_Toc166165178" </w:instrText>
      </w:r>
      <w:r>
        <w:rPr>
          <w:highlight w:val="none"/>
        </w:rPr>
        <w:fldChar w:fldCharType="separate"/>
      </w:r>
      <w:r>
        <w:rPr>
          <w:rStyle w:val="38"/>
          <w:rFonts w:ascii="Times New Roman" w:hAnsi="Times New Roman" w:eastAsia="宋体" w:cs="Times New Roman"/>
          <w:highlight w:val="none"/>
        </w:rPr>
        <w:t>体育I课程教学大纲</w:t>
      </w:r>
      <w:r>
        <w:rPr>
          <w:highlight w:val="none"/>
        </w:rPr>
        <w:tab/>
      </w:r>
      <w:r>
        <w:rPr>
          <w:highlight w:val="none"/>
        </w:rPr>
        <w:fldChar w:fldCharType="begin"/>
      </w:r>
      <w:r>
        <w:rPr>
          <w:highlight w:val="none"/>
        </w:rPr>
        <w:instrText xml:space="preserve"> PAGEREF _Toc166165178 \h </w:instrText>
      </w:r>
      <w:r>
        <w:rPr>
          <w:highlight w:val="none"/>
        </w:rPr>
        <w:fldChar w:fldCharType="separate"/>
      </w:r>
      <w:r>
        <w:rPr>
          <w:highlight w:val="none"/>
        </w:rPr>
        <w:t>5</w:t>
      </w:r>
      <w:r>
        <w:rPr>
          <w:highlight w:val="none"/>
        </w:rPr>
        <w:fldChar w:fldCharType="end"/>
      </w:r>
      <w:r>
        <w:rPr>
          <w:highlight w:val="none"/>
        </w:rPr>
        <w:fldChar w:fldCharType="end"/>
      </w:r>
    </w:p>
    <w:p w14:paraId="63ED2A9A">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"_Toc166165179" </w:instrText>
      </w:r>
      <w:r>
        <w:rPr>
          <w:highlight w:val="none"/>
        </w:rPr>
        <w:fldChar w:fldCharType="separate"/>
      </w:r>
      <w:r>
        <w:rPr>
          <w:rStyle w:val="38"/>
          <w:rFonts w:ascii="Times New Roman" w:hAnsi="Times New Roman" w:eastAsia="宋体" w:cs="Times New Roman"/>
          <w:highlight w:val="none"/>
        </w:rPr>
        <w:t>体育II课程教学大纲</w:t>
      </w:r>
      <w:r>
        <w:rPr>
          <w:highlight w:val="none"/>
        </w:rPr>
        <w:tab/>
      </w:r>
      <w:r>
        <w:rPr>
          <w:highlight w:val="none"/>
        </w:rPr>
        <w:fldChar w:fldCharType="begin"/>
      </w:r>
      <w:r>
        <w:rPr>
          <w:highlight w:val="none"/>
        </w:rPr>
        <w:instrText xml:space="preserve"> PAGEREF _Toc166165179 \h </w:instrText>
      </w:r>
      <w:r>
        <w:rPr>
          <w:highlight w:val="none"/>
        </w:rPr>
        <w:fldChar w:fldCharType="separate"/>
      </w:r>
      <w:r>
        <w:rPr>
          <w:highlight w:val="none"/>
        </w:rPr>
        <w:t>10</w:t>
      </w:r>
      <w:r>
        <w:rPr>
          <w:highlight w:val="none"/>
        </w:rPr>
        <w:fldChar w:fldCharType="end"/>
      </w:r>
      <w:r>
        <w:rPr>
          <w:highlight w:val="none"/>
        </w:rPr>
        <w:fldChar w:fldCharType="end"/>
      </w:r>
    </w:p>
    <w:p w14:paraId="6DEA186F">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"_Toc166165180" </w:instrText>
      </w:r>
      <w:r>
        <w:rPr>
          <w:highlight w:val="none"/>
        </w:rPr>
        <w:fldChar w:fldCharType="separate"/>
      </w:r>
      <w:r>
        <w:rPr>
          <w:rStyle w:val="38"/>
          <w:rFonts w:ascii="Times New Roman" w:hAnsi="Times New Roman" w:eastAsia="宋体" w:cs="Times New Roman"/>
          <w:highlight w:val="none"/>
        </w:rPr>
        <w:t>体育III课程教学大纲</w:t>
      </w:r>
      <w:r>
        <w:rPr>
          <w:highlight w:val="none"/>
        </w:rPr>
        <w:tab/>
      </w:r>
      <w:r>
        <w:rPr>
          <w:highlight w:val="none"/>
        </w:rPr>
        <w:fldChar w:fldCharType="begin"/>
      </w:r>
      <w:r>
        <w:rPr>
          <w:highlight w:val="none"/>
        </w:rPr>
        <w:instrText xml:space="preserve"> PAGEREF _Toc166165180 \h </w:instrText>
      </w:r>
      <w:r>
        <w:rPr>
          <w:highlight w:val="none"/>
        </w:rPr>
        <w:fldChar w:fldCharType="separate"/>
      </w:r>
      <w:r>
        <w:rPr>
          <w:highlight w:val="none"/>
        </w:rPr>
        <w:t>15</w:t>
      </w:r>
      <w:r>
        <w:rPr>
          <w:highlight w:val="none"/>
        </w:rPr>
        <w:fldChar w:fldCharType="end"/>
      </w:r>
      <w:r>
        <w:rPr>
          <w:highlight w:val="none"/>
        </w:rPr>
        <w:fldChar w:fldCharType="end"/>
      </w:r>
    </w:p>
    <w:p w14:paraId="712AFA9E">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"_Toc166165181" </w:instrText>
      </w:r>
      <w:r>
        <w:rPr>
          <w:highlight w:val="none"/>
        </w:rPr>
        <w:fldChar w:fldCharType="separate"/>
      </w:r>
      <w:r>
        <w:rPr>
          <w:rStyle w:val="38"/>
          <w:rFonts w:ascii="Times New Roman" w:hAnsi="Times New Roman" w:eastAsia="宋体" w:cs="Times New Roman"/>
          <w:highlight w:val="none"/>
        </w:rPr>
        <w:t>体育IV课程教学大纲</w:t>
      </w:r>
      <w:r>
        <w:rPr>
          <w:highlight w:val="none"/>
        </w:rPr>
        <w:tab/>
      </w:r>
      <w:r>
        <w:rPr>
          <w:highlight w:val="none"/>
        </w:rPr>
        <w:fldChar w:fldCharType="begin"/>
      </w:r>
      <w:r>
        <w:rPr>
          <w:highlight w:val="none"/>
        </w:rPr>
        <w:instrText xml:space="preserve"> PAGEREF _Toc166165181 \h </w:instrText>
      </w:r>
      <w:r>
        <w:rPr>
          <w:highlight w:val="none"/>
        </w:rPr>
        <w:fldChar w:fldCharType="separate"/>
      </w:r>
      <w:r>
        <w:rPr>
          <w:highlight w:val="none"/>
        </w:rPr>
        <w:t>20</w:t>
      </w:r>
      <w:r>
        <w:rPr>
          <w:highlight w:val="none"/>
        </w:rPr>
        <w:fldChar w:fldCharType="end"/>
      </w:r>
      <w:r>
        <w:rPr>
          <w:highlight w:val="none"/>
        </w:rPr>
        <w:fldChar w:fldCharType="end"/>
      </w:r>
    </w:p>
    <w:p w14:paraId="3946A92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"_Toc166165182" </w:instrText>
      </w:r>
      <w:r>
        <w:rPr>
          <w:highlight w:val="none"/>
        </w:rPr>
        <w:fldChar w:fldCharType="separate"/>
      </w:r>
      <w:r>
        <w:rPr>
          <w:rStyle w:val="38"/>
          <w:rFonts w:ascii="Times New Roman" w:hAnsi="Times New Roman" w:eastAsia="宋体" w:cs="Times New Roman"/>
          <w:highlight w:val="none"/>
        </w:rPr>
        <w:t>体育Ⅴ课程教学大纲</w:t>
      </w:r>
      <w:r>
        <w:rPr>
          <w:highlight w:val="none"/>
        </w:rPr>
        <w:tab/>
      </w:r>
      <w:r>
        <w:rPr>
          <w:highlight w:val="none"/>
        </w:rPr>
        <w:fldChar w:fldCharType="begin"/>
      </w:r>
      <w:r>
        <w:rPr>
          <w:highlight w:val="none"/>
        </w:rPr>
        <w:instrText xml:space="preserve"> PAGEREF _Toc166165182 \h </w:instrText>
      </w:r>
      <w:r>
        <w:rPr>
          <w:highlight w:val="none"/>
        </w:rPr>
        <w:fldChar w:fldCharType="separate"/>
      </w:r>
      <w:r>
        <w:rPr>
          <w:highlight w:val="none"/>
        </w:rPr>
        <w:t>25</w:t>
      </w:r>
      <w:r>
        <w:rPr>
          <w:highlight w:val="none"/>
        </w:rPr>
        <w:fldChar w:fldCharType="end"/>
      </w:r>
      <w:r>
        <w:rPr>
          <w:highlight w:val="none"/>
        </w:rPr>
        <w:fldChar w:fldCharType="end"/>
      </w:r>
    </w:p>
    <w:p w14:paraId="41D26A2E">
      <w:pPr>
        <w:pStyle w:val="21"/>
        <w:rPr>
          <w:rFonts w:eastAsiaTheme="minorEastAsia"/>
          <w:b w:val="0"/>
          <w:bCs w:val="0"/>
          <w:caps w:val="0"/>
          <w:sz w:val="21"/>
          <w:szCs w:val="22"/>
          <w:highlight w:val="cyan"/>
          <w14:ligatures w14:val="standardContextual"/>
        </w:rPr>
      </w:pPr>
      <w:r>
        <w:rPr>
          <w:highlight w:val="none"/>
        </w:rPr>
        <w:fldChar w:fldCharType="begin"/>
      </w:r>
      <w:r>
        <w:rPr>
          <w:highlight w:val="none"/>
        </w:rPr>
        <w:instrText xml:space="preserve"> HYPERLINK \l "_Toc166165183" </w:instrText>
      </w:r>
      <w:r>
        <w:rPr>
          <w:highlight w:val="none"/>
        </w:rPr>
        <w:fldChar w:fldCharType="separate"/>
      </w:r>
      <w:r>
        <w:rPr>
          <w:rStyle w:val="38"/>
          <w:rFonts w:ascii="Times New Roman" w:hAnsi="Times New Roman" w:eastAsia="宋体" w:cs="Times New Roman"/>
          <w:highlight w:val="none"/>
        </w:rPr>
        <w:t>体育Ⅵ课程教学大纲</w:t>
      </w:r>
      <w:r>
        <w:rPr>
          <w:highlight w:val="none"/>
        </w:rPr>
        <w:tab/>
      </w:r>
      <w:r>
        <w:rPr>
          <w:highlight w:val="none"/>
        </w:rPr>
        <w:fldChar w:fldCharType="begin"/>
      </w:r>
      <w:r>
        <w:rPr>
          <w:highlight w:val="none"/>
        </w:rPr>
        <w:instrText xml:space="preserve"> PAGEREF _Toc166165183 \h </w:instrText>
      </w:r>
      <w:r>
        <w:rPr>
          <w:highlight w:val="none"/>
        </w:rPr>
        <w:fldChar w:fldCharType="separate"/>
      </w:r>
      <w:r>
        <w:rPr>
          <w:highlight w:val="none"/>
        </w:rPr>
        <w:t>29</w:t>
      </w:r>
      <w:r>
        <w:rPr>
          <w:highlight w:val="none"/>
        </w:rPr>
        <w:fldChar w:fldCharType="end"/>
      </w:r>
      <w:r>
        <w:rPr>
          <w:highlight w:val="none"/>
        </w:rPr>
        <w:fldChar w:fldCharType="end"/>
      </w:r>
    </w:p>
    <w:p w14:paraId="194BD4B0">
      <w:pPr>
        <w:rPr>
          <w:rFonts w:hint="default"/>
          <w:b/>
          <w:bCs/>
          <w:sz w:val="20"/>
          <w:szCs w:val="20"/>
          <w:highlight w:val="none"/>
          <w:lang w:val="en-US" w:eastAsia="zh-CN"/>
        </w:rPr>
      </w:pPr>
      <w:r>
        <w:rPr>
          <w:rFonts w:hint="eastAsia"/>
          <w:b/>
          <w:bCs/>
          <w:sz w:val="20"/>
          <w:szCs w:val="20"/>
          <w:highlight w:val="none"/>
          <w:lang w:val="en-US" w:eastAsia="zh-CN"/>
        </w:rPr>
        <w:t>大学英语B（Ⅰ）课程教学大纲..............................................................................................................30</w:t>
      </w:r>
    </w:p>
    <w:p w14:paraId="057F566F">
      <w:pPr>
        <w:rPr>
          <w:highlight w:val="none"/>
        </w:rPr>
      </w:pPr>
      <w:r>
        <w:rPr>
          <w:rFonts w:hint="eastAsia"/>
          <w:b/>
          <w:bCs/>
          <w:sz w:val="20"/>
          <w:szCs w:val="20"/>
          <w:highlight w:val="none"/>
          <w:lang w:val="en-US" w:eastAsia="zh-CN"/>
        </w:rPr>
        <w:t>大学英语B（Ⅱ）课程教学大纲..............................................................................................................32</w:t>
      </w:r>
    </w:p>
    <w:p w14:paraId="28F60461">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"_Toc166165184" </w:instrText>
      </w:r>
      <w:r>
        <w:rPr>
          <w:highlight w:val="none"/>
        </w:rPr>
        <w:fldChar w:fldCharType="separate"/>
      </w:r>
      <w:r>
        <w:rPr>
          <w:rStyle w:val="38"/>
          <w:rFonts w:ascii="宋体" w:hAnsi="宋体" w:eastAsia="宋体" w:cs="Times New Roman"/>
          <w:highlight w:val="none"/>
        </w:rPr>
        <w:t>专业导学课程教学大纲</w:t>
      </w:r>
      <w:r>
        <w:rPr>
          <w:highlight w:val="none"/>
        </w:rPr>
        <w:tab/>
      </w:r>
      <w:r>
        <w:rPr>
          <w:highlight w:val="none"/>
        </w:rPr>
        <w:fldChar w:fldCharType="begin"/>
      </w:r>
      <w:r>
        <w:rPr>
          <w:highlight w:val="none"/>
        </w:rPr>
        <w:instrText xml:space="preserve"> PAGEREF _Toc166165184 \h </w:instrText>
      </w:r>
      <w:r>
        <w:rPr>
          <w:highlight w:val="none"/>
        </w:rPr>
        <w:fldChar w:fldCharType="separate"/>
      </w:r>
      <w:r>
        <w:rPr>
          <w:highlight w:val="none"/>
        </w:rPr>
        <w:t>33</w:t>
      </w:r>
      <w:r>
        <w:rPr>
          <w:highlight w:val="none"/>
        </w:rPr>
        <w:fldChar w:fldCharType="end"/>
      </w:r>
      <w:r>
        <w:rPr>
          <w:highlight w:val="none"/>
        </w:rPr>
        <w:fldChar w:fldCharType="end"/>
      </w:r>
    </w:p>
    <w:p w14:paraId="51431755">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"_Toc166165185" </w:instrText>
      </w:r>
      <w:r>
        <w:rPr>
          <w:highlight w:val="none"/>
        </w:rPr>
        <w:fldChar w:fldCharType="separate"/>
      </w:r>
      <w:r>
        <w:rPr>
          <w:rStyle w:val="38"/>
          <w:rFonts w:ascii="宋体" w:hAnsi="宋体" w:eastAsia="宋体" w:cs="Times New Roman"/>
          <w:highlight w:val="none"/>
        </w:rPr>
        <w:t>经典阅读与学术素养课程教学大纲</w:t>
      </w:r>
      <w:r>
        <w:rPr>
          <w:highlight w:val="none"/>
        </w:rPr>
        <w:tab/>
      </w:r>
      <w:r>
        <w:rPr>
          <w:highlight w:val="none"/>
        </w:rPr>
        <w:fldChar w:fldCharType="begin"/>
      </w:r>
      <w:r>
        <w:rPr>
          <w:highlight w:val="none"/>
        </w:rPr>
        <w:instrText xml:space="preserve"> PAGEREF _Toc166165185 \h </w:instrText>
      </w:r>
      <w:r>
        <w:rPr>
          <w:highlight w:val="none"/>
        </w:rPr>
        <w:fldChar w:fldCharType="separate"/>
      </w:r>
      <w:r>
        <w:rPr>
          <w:highlight w:val="none"/>
        </w:rPr>
        <w:t>42</w:t>
      </w:r>
      <w:r>
        <w:rPr>
          <w:highlight w:val="none"/>
        </w:rPr>
        <w:fldChar w:fldCharType="end"/>
      </w:r>
      <w:r>
        <w:rPr>
          <w:highlight w:val="none"/>
        </w:rPr>
        <w:fldChar w:fldCharType="end"/>
      </w:r>
    </w:p>
    <w:p w14:paraId="29C06372">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"_Toc166165186" </w:instrText>
      </w:r>
      <w:r>
        <w:rPr>
          <w:highlight w:val="none"/>
        </w:rPr>
        <w:fldChar w:fldCharType="separate"/>
      </w:r>
      <w:r>
        <w:rPr>
          <w:rStyle w:val="38"/>
          <w:rFonts w:ascii="Times New Roman" w:hAnsi="Times New Roman" w:eastAsia="宋体" w:cs="Times New Roman"/>
          <w:highlight w:val="none"/>
        </w:rPr>
        <w:t>小学心理学课程教学大纲</w:t>
      </w:r>
      <w:r>
        <w:rPr>
          <w:highlight w:val="none"/>
        </w:rPr>
        <w:tab/>
      </w:r>
      <w:r>
        <w:rPr>
          <w:highlight w:val="none"/>
        </w:rPr>
        <w:fldChar w:fldCharType="begin"/>
      </w:r>
      <w:r>
        <w:rPr>
          <w:highlight w:val="none"/>
        </w:rPr>
        <w:instrText xml:space="preserve"> PAGEREF _Toc166165186 \h </w:instrText>
      </w:r>
      <w:r>
        <w:rPr>
          <w:highlight w:val="none"/>
        </w:rPr>
        <w:fldChar w:fldCharType="separate"/>
      </w:r>
      <w:r>
        <w:rPr>
          <w:highlight w:val="none"/>
        </w:rPr>
        <w:t>47</w:t>
      </w:r>
      <w:r>
        <w:rPr>
          <w:highlight w:val="none"/>
        </w:rPr>
        <w:fldChar w:fldCharType="end"/>
      </w:r>
      <w:r>
        <w:rPr>
          <w:highlight w:val="none"/>
        </w:rPr>
        <w:fldChar w:fldCharType="end"/>
      </w:r>
    </w:p>
    <w:p w14:paraId="0CD004F3">
      <w:pPr>
        <w:pStyle w:val="21"/>
        <w:rPr>
          <w:rFonts w:eastAsiaTheme="minorEastAsia"/>
          <w:b w:val="0"/>
          <w:bCs w:val="0"/>
          <w:caps w:val="0"/>
          <w:sz w:val="21"/>
          <w:szCs w:val="22"/>
          <w:highlight w:val="none"/>
          <w14:ligatures w14:val="standardContextual"/>
        </w:rPr>
      </w:pPr>
      <w:r>
        <w:rPr>
          <w:rStyle w:val="38"/>
          <w:rFonts w:ascii="宋体" w:hAnsi="宋体" w:eastAsia="宋体"/>
          <w:highlight w:val="none"/>
        </w:rPr>
        <w:t>教育原理</w:t>
      </w:r>
      <w:r>
        <w:rPr>
          <w:highlight w:val="none"/>
        </w:rPr>
        <w:fldChar w:fldCharType="begin"/>
      </w:r>
      <w:r>
        <w:rPr>
          <w:highlight w:val="none"/>
        </w:rPr>
        <w:instrText xml:space="preserve"> HYPERLINK \l "_Toc166165187" </w:instrText>
      </w:r>
      <w:r>
        <w:rPr>
          <w:highlight w:val="none"/>
        </w:rPr>
        <w:fldChar w:fldCharType="separate"/>
      </w:r>
      <w:r>
        <w:rPr>
          <w:rStyle w:val="38"/>
          <w:rFonts w:ascii="宋体" w:hAnsi="宋体" w:eastAsia="宋体"/>
          <w:highlight w:val="none"/>
        </w:rPr>
        <w:t>课程教学大纲</w:t>
      </w:r>
      <w:r>
        <w:rPr>
          <w:highlight w:val="none"/>
        </w:rPr>
        <w:tab/>
      </w:r>
      <w:r>
        <w:rPr>
          <w:highlight w:val="none"/>
        </w:rPr>
        <w:fldChar w:fldCharType="begin"/>
      </w:r>
      <w:r>
        <w:rPr>
          <w:highlight w:val="none"/>
        </w:rPr>
        <w:instrText xml:space="preserve"> PAGEREF _Toc166165187 \h </w:instrText>
      </w:r>
      <w:r>
        <w:rPr>
          <w:highlight w:val="none"/>
        </w:rPr>
        <w:fldChar w:fldCharType="separate"/>
      </w:r>
      <w:r>
        <w:rPr>
          <w:highlight w:val="none"/>
        </w:rPr>
        <w:t>60</w:t>
      </w:r>
      <w:r>
        <w:rPr>
          <w:highlight w:val="none"/>
        </w:rPr>
        <w:fldChar w:fldCharType="end"/>
      </w:r>
      <w:r>
        <w:rPr>
          <w:highlight w:val="none"/>
        </w:rPr>
        <w:fldChar w:fldCharType="end"/>
      </w:r>
    </w:p>
    <w:p w14:paraId="71396AB0">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"_Toc166165188" </w:instrText>
      </w:r>
      <w:r>
        <w:rPr>
          <w:highlight w:val="none"/>
        </w:rPr>
        <w:fldChar w:fldCharType="separate"/>
      </w:r>
      <w:r>
        <w:rPr>
          <w:rStyle w:val="38"/>
          <w:rFonts w:ascii="Times New Roman" w:hAnsi="Times New Roman" w:eastAsia="宋体" w:cs="Times New Roman"/>
          <w:highlight w:val="none"/>
        </w:rPr>
        <w:t>中国教育史程教学大纲</w:t>
      </w:r>
      <w:r>
        <w:rPr>
          <w:highlight w:val="none"/>
        </w:rPr>
        <w:tab/>
      </w:r>
      <w:r>
        <w:rPr>
          <w:highlight w:val="none"/>
        </w:rPr>
        <w:fldChar w:fldCharType="begin"/>
      </w:r>
      <w:r>
        <w:rPr>
          <w:highlight w:val="none"/>
        </w:rPr>
        <w:instrText xml:space="preserve"> PAGEREF _Toc166165188 \h </w:instrText>
      </w:r>
      <w:r>
        <w:rPr>
          <w:highlight w:val="none"/>
        </w:rPr>
        <w:fldChar w:fldCharType="separate"/>
      </w:r>
      <w:r>
        <w:rPr>
          <w:highlight w:val="none"/>
        </w:rPr>
        <w:t>74</w:t>
      </w:r>
      <w:r>
        <w:rPr>
          <w:highlight w:val="none"/>
        </w:rPr>
        <w:fldChar w:fldCharType="end"/>
      </w:r>
      <w:r>
        <w:rPr>
          <w:highlight w:val="none"/>
        </w:rPr>
        <w:fldChar w:fldCharType="end"/>
      </w:r>
    </w:p>
    <w:p w14:paraId="638E0728">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"_Toc166165189" </w:instrText>
      </w:r>
      <w:r>
        <w:rPr>
          <w:highlight w:val="none"/>
        </w:rPr>
        <w:fldChar w:fldCharType="separate"/>
      </w:r>
      <w:r>
        <w:rPr>
          <w:rStyle w:val="38"/>
          <w:rFonts w:ascii="宋体" w:hAnsi="宋体" w:eastAsia="宋体" w:cs="Times New Roman"/>
          <w:highlight w:val="none"/>
        </w:rPr>
        <w:t>外国教育史课程与教学大纲</w:t>
      </w:r>
      <w:r>
        <w:rPr>
          <w:highlight w:val="none"/>
        </w:rPr>
        <w:tab/>
      </w:r>
      <w:r>
        <w:rPr>
          <w:highlight w:val="none"/>
        </w:rPr>
        <w:fldChar w:fldCharType="begin"/>
      </w:r>
      <w:r>
        <w:rPr>
          <w:highlight w:val="none"/>
        </w:rPr>
        <w:instrText xml:space="preserve"> PAGEREF _Toc166165189 \h </w:instrText>
      </w:r>
      <w:r>
        <w:rPr>
          <w:highlight w:val="none"/>
        </w:rPr>
        <w:fldChar w:fldCharType="separate"/>
      </w:r>
      <w:r>
        <w:rPr>
          <w:highlight w:val="none"/>
        </w:rPr>
        <w:t>88</w:t>
      </w:r>
      <w:r>
        <w:rPr>
          <w:highlight w:val="none"/>
        </w:rPr>
        <w:fldChar w:fldCharType="end"/>
      </w:r>
      <w:r>
        <w:rPr>
          <w:highlight w:val="none"/>
        </w:rPr>
        <w:fldChar w:fldCharType="end"/>
      </w:r>
    </w:p>
    <w:p w14:paraId="72A6B23E">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"_Toc166165190" </w:instrText>
      </w:r>
      <w:r>
        <w:rPr>
          <w:highlight w:val="none"/>
        </w:rPr>
        <w:fldChar w:fldCharType="separate"/>
      </w:r>
      <w:r>
        <w:rPr>
          <w:rStyle w:val="38"/>
          <w:rFonts w:ascii="宋体" w:hAnsi="宋体" w:eastAsia="宋体" w:cs="Times New Roman"/>
          <w:highlight w:val="none"/>
        </w:rPr>
        <w:t>小学教育政策与法规课程与教学大纲</w:t>
      </w:r>
      <w:r>
        <w:rPr>
          <w:highlight w:val="none"/>
        </w:rPr>
        <w:tab/>
      </w:r>
      <w:r>
        <w:rPr>
          <w:highlight w:val="none"/>
        </w:rPr>
        <w:fldChar w:fldCharType="begin"/>
      </w:r>
      <w:r>
        <w:rPr>
          <w:highlight w:val="none"/>
        </w:rPr>
        <w:instrText xml:space="preserve"> PAGEREF _Toc166165190 \h </w:instrText>
      </w:r>
      <w:r>
        <w:rPr>
          <w:highlight w:val="none"/>
        </w:rPr>
        <w:fldChar w:fldCharType="separate"/>
      </w:r>
      <w:r>
        <w:rPr>
          <w:highlight w:val="none"/>
        </w:rPr>
        <w:t>100</w:t>
      </w:r>
      <w:r>
        <w:rPr>
          <w:highlight w:val="none"/>
        </w:rPr>
        <w:fldChar w:fldCharType="end"/>
      </w:r>
      <w:r>
        <w:rPr>
          <w:highlight w:val="none"/>
        </w:rPr>
        <w:fldChar w:fldCharType="end"/>
      </w:r>
    </w:p>
    <w:p w14:paraId="18939573">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"_Toc166165191" </w:instrText>
      </w:r>
      <w:r>
        <w:rPr>
          <w:highlight w:val="none"/>
        </w:rPr>
        <w:fldChar w:fldCharType="separate"/>
      </w:r>
      <w:r>
        <w:rPr>
          <w:rStyle w:val="38"/>
          <w:rFonts w:ascii="宋体" w:hAnsi="宋体" w:eastAsia="宋体" w:cs="Times New Roman"/>
          <w:highlight w:val="none"/>
        </w:rPr>
        <w:t>教师职业道德课程教学大纲</w:t>
      </w:r>
      <w:r>
        <w:rPr>
          <w:highlight w:val="none"/>
        </w:rPr>
        <w:tab/>
      </w:r>
      <w:r>
        <w:rPr>
          <w:highlight w:val="none"/>
        </w:rPr>
        <w:fldChar w:fldCharType="begin"/>
      </w:r>
      <w:r>
        <w:rPr>
          <w:highlight w:val="none"/>
        </w:rPr>
        <w:instrText xml:space="preserve"> PAGEREF _Toc166165191 \h </w:instrText>
      </w:r>
      <w:r>
        <w:rPr>
          <w:highlight w:val="none"/>
        </w:rPr>
        <w:fldChar w:fldCharType="separate"/>
      </w:r>
      <w:r>
        <w:rPr>
          <w:highlight w:val="none"/>
        </w:rPr>
        <w:t>110</w:t>
      </w:r>
      <w:r>
        <w:rPr>
          <w:highlight w:val="none"/>
        </w:rPr>
        <w:fldChar w:fldCharType="end"/>
      </w:r>
      <w:r>
        <w:rPr>
          <w:highlight w:val="none"/>
        </w:rPr>
        <w:fldChar w:fldCharType="end"/>
      </w:r>
    </w:p>
    <w:p w14:paraId="646012B6">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"_Toc166165192" </w:instrText>
      </w:r>
      <w:r>
        <w:rPr>
          <w:highlight w:val="none"/>
        </w:rPr>
        <w:fldChar w:fldCharType="separate"/>
      </w:r>
      <w:r>
        <w:rPr>
          <w:rStyle w:val="38"/>
          <w:rFonts w:ascii="Times New Roman" w:hAnsi="Times New Roman" w:eastAsia="宋体" w:cs="Times New Roman"/>
          <w:highlight w:val="none"/>
        </w:rPr>
        <w:t>课程与教学论课程教学大纲</w:t>
      </w:r>
      <w:r>
        <w:rPr>
          <w:highlight w:val="none"/>
        </w:rPr>
        <w:tab/>
      </w:r>
      <w:r>
        <w:rPr>
          <w:highlight w:val="none"/>
        </w:rPr>
        <w:fldChar w:fldCharType="begin"/>
      </w:r>
      <w:r>
        <w:rPr>
          <w:highlight w:val="none"/>
        </w:rPr>
        <w:instrText xml:space="preserve"> PAGEREF _Toc166165192 \h </w:instrText>
      </w:r>
      <w:r>
        <w:rPr>
          <w:highlight w:val="none"/>
        </w:rPr>
        <w:fldChar w:fldCharType="separate"/>
      </w:r>
      <w:r>
        <w:rPr>
          <w:highlight w:val="none"/>
        </w:rPr>
        <w:t>119</w:t>
      </w:r>
      <w:r>
        <w:rPr>
          <w:highlight w:val="none"/>
        </w:rPr>
        <w:fldChar w:fldCharType="end"/>
      </w:r>
      <w:r>
        <w:rPr>
          <w:highlight w:val="none"/>
        </w:rPr>
        <w:fldChar w:fldCharType="end"/>
      </w:r>
    </w:p>
    <w:p w14:paraId="16566B6F">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"_Toc166165193" </w:instrText>
      </w:r>
      <w:r>
        <w:rPr>
          <w:highlight w:val="none"/>
        </w:rPr>
        <w:fldChar w:fldCharType="separate"/>
      </w:r>
      <w:r>
        <w:rPr>
          <w:rStyle w:val="38"/>
          <w:rFonts w:ascii="宋体" w:hAnsi="宋体" w:eastAsia="宋体" w:cs="Times New Roman"/>
          <w:highlight w:val="none"/>
        </w:rPr>
        <w:t>教育心理学课程教学大纲</w:t>
      </w:r>
      <w:r>
        <w:rPr>
          <w:highlight w:val="none"/>
        </w:rPr>
        <w:tab/>
      </w:r>
      <w:r>
        <w:rPr>
          <w:highlight w:val="none"/>
        </w:rPr>
        <w:fldChar w:fldCharType="begin"/>
      </w:r>
      <w:r>
        <w:rPr>
          <w:highlight w:val="none"/>
        </w:rPr>
        <w:instrText xml:space="preserve"> PAGEREF _Toc166165193 \h </w:instrText>
      </w:r>
      <w:r>
        <w:rPr>
          <w:highlight w:val="none"/>
        </w:rPr>
        <w:fldChar w:fldCharType="separate"/>
      </w:r>
      <w:r>
        <w:rPr>
          <w:highlight w:val="none"/>
        </w:rPr>
        <w:t>134</w:t>
      </w:r>
      <w:r>
        <w:rPr>
          <w:highlight w:val="none"/>
        </w:rPr>
        <w:fldChar w:fldCharType="end"/>
      </w:r>
      <w:r>
        <w:rPr>
          <w:highlight w:val="none"/>
        </w:rPr>
        <w:fldChar w:fldCharType="end"/>
      </w:r>
    </w:p>
    <w:p w14:paraId="7262ED2F">
      <w:pPr>
        <w:pStyle w:val="21"/>
        <w:rPr>
          <w:highlight w:val="none"/>
        </w:rPr>
      </w:pPr>
      <w:r>
        <w:rPr>
          <w:highlight w:val="none"/>
        </w:rPr>
        <w:fldChar w:fldCharType="begin"/>
      </w:r>
      <w:r>
        <w:rPr>
          <w:highlight w:val="none"/>
        </w:rPr>
        <w:instrText xml:space="preserve"> HYPERLINK \l "_Toc166165194" </w:instrText>
      </w:r>
      <w:r>
        <w:rPr>
          <w:highlight w:val="none"/>
        </w:rPr>
        <w:fldChar w:fldCharType="separate"/>
      </w:r>
      <w:r>
        <w:rPr>
          <w:rStyle w:val="38"/>
          <w:rFonts w:ascii="宋体" w:hAnsi="宋体" w:eastAsia="宋体" w:cs="Times New Roman"/>
          <w:kern w:val="0"/>
          <w:highlight w:val="none"/>
        </w:rPr>
        <w:t>现代教育技术课程教学大纲</w:t>
      </w:r>
      <w:r>
        <w:rPr>
          <w:highlight w:val="none"/>
        </w:rPr>
        <w:tab/>
      </w:r>
      <w:r>
        <w:rPr>
          <w:highlight w:val="none"/>
        </w:rPr>
        <w:fldChar w:fldCharType="begin"/>
      </w:r>
      <w:r>
        <w:rPr>
          <w:highlight w:val="none"/>
        </w:rPr>
        <w:instrText xml:space="preserve"> PAGEREF _Toc166165194 \h </w:instrText>
      </w:r>
      <w:r>
        <w:rPr>
          <w:highlight w:val="none"/>
        </w:rPr>
        <w:fldChar w:fldCharType="separate"/>
      </w:r>
      <w:r>
        <w:rPr>
          <w:highlight w:val="none"/>
        </w:rPr>
        <w:t>149</w:t>
      </w:r>
      <w:r>
        <w:rPr>
          <w:highlight w:val="none"/>
        </w:rPr>
        <w:fldChar w:fldCharType="end"/>
      </w:r>
      <w:r>
        <w:rPr>
          <w:highlight w:val="none"/>
        </w:rPr>
        <w:fldChar w:fldCharType="end"/>
      </w:r>
    </w:p>
    <w:p w14:paraId="57D185B7">
      <w:pPr>
        <w:pStyle w:val="21"/>
        <w:rPr>
          <w:rFonts w:hint="eastAsia" w:eastAsiaTheme="minorHAnsi"/>
          <w:b w:val="0"/>
          <w:bCs w:val="0"/>
          <w:caps w:val="0"/>
          <w:sz w:val="21"/>
          <w:szCs w:val="22"/>
          <w:highlight w:val="none"/>
          <w:lang w:val="en-US" w:eastAsia="zh-CN"/>
          <w14:ligatures w14:val="standardContextual"/>
        </w:rPr>
      </w:pPr>
      <w:r>
        <w:rPr>
          <w:rFonts w:hint="eastAsia"/>
          <w:b/>
          <w:bCs/>
          <w:sz w:val="20"/>
          <w:szCs w:val="20"/>
          <w:highlight w:val="none"/>
          <w:lang w:val="en-US" w:eastAsia="zh-CN"/>
        </w:rPr>
        <w:t>教育科学研究方法课程大纲</w:t>
      </w:r>
      <w:r>
        <w:rPr>
          <w:highlight w:val="none"/>
        </w:rPr>
        <w:tab/>
      </w:r>
      <w:r>
        <w:rPr>
          <w:highlight w:val="none"/>
        </w:rPr>
        <w:fldChar w:fldCharType="begin"/>
      </w:r>
      <w:r>
        <w:rPr>
          <w:highlight w:val="none"/>
        </w:rPr>
        <w:instrText xml:space="preserve"> PAGEREF _Toc166165194 \h </w:instrText>
      </w:r>
      <w:r>
        <w:rPr>
          <w:highlight w:val="none"/>
        </w:rPr>
        <w:fldChar w:fldCharType="separate"/>
      </w:r>
      <w:r>
        <w:rPr>
          <w:highlight w:val="none"/>
        </w:rPr>
        <w:t>1</w:t>
      </w:r>
      <w:r>
        <w:rPr>
          <w:rFonts w:hint="eastAsia"/>
          <w:highlight w:val="none"/>
          <w:lang w:val="en-US" w:eastAsia="zh-CN"/>
        </w:rPr>
        <w:t>6</w:t>
      </w:r>
      <w:r>
        <w:rPr>
          <w:highlight w:val="none"/>
        </w:rPr>
        <w:fldChar w:fldCharType="end"/>
      </w:r>
      <w:r>
        <w:rPr>
          <w:rFonts w:hint="eastAsia"/>
          <w:highlight w:val="none"/>
          <w:lang w:val="en-US" w:eastAsia="zh-CN"/>
        </w:rPr>
        <w:t>2</w:t>
      </w:r>
    </w:p>
    <w:p w14:paraId="2E159110">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"_Toc166165195" </w:instrText>
      </w:r>
      <w:r>
        <w:rPr>
          <w:highlight w:val="none"/>
        </w:rPr>
        <w:fldChar w:fldCharType="separate"/>
      </w:r>
      <w:r>
        <w:rPr>
          <w:rStyle w:val="38"/>
          <w:rFonts w:ascii="Times New Roman" w:hAnsi="Times New Roman" w:eastAsia="宋体" w:cs="Times New Roman"/>
          <w:highlight w:val="none"/>
        </w:rPr>
        <w:t>小学班队管理课程教学大纲</w:t>
      </w:r>
      <w:r>
        <w:rPr>
          <w:highlight w:val="none"/>
        </w:rPr>
        <w:tab/>
      </w:r>
      <w:r>
        <w:rPr>
          <w:highlight w:val="none"/>
        </w:rPr>
        <w:fldChar w:fldCharType="begin"/>
      </w:r>
      <w:r>
        <w:rPr>
          <w:highlight w:val="none"/>
        </w:rPr>
        <w:instrText xml:space="preserve"> PAGEREF _Toc166165195 \h </w:instrText>
      </w:r>
      <w:r>
        <w:rPr>
          <w:highlight w:val="none"/>
        </w:rPr>
        <w:fldChar w:fldCharType="separate"/>
      </w:r>
      <w:r>
        <w:rPr>
          <w:highlight w:val="none"/>
        </w:rPr>
        <w:t>173</w:t>
      </w:r>
      <w:r>
        <w:rPr>
          <w:highlight w:val="none"/>
        </w:rPr>
        <w:fldChar w:fldCharType="end"/>
      </w:r>
      <w:r>
        <w:rPr>
          <w:highlight w:val="none"/>
        </w:rPr>
        <w:fldChar w:fldCharType="end"/>
      </w:r>
    </w:p>
    <w:p w14:paraId="3EA941EB">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"_Toc166165196" </w:instrText>
      </w:r>
      <w:r>
        <w:rPr>
          <w:highlight w:val="none"/>
        </w:rPr>
        <w:fldChar w:fldCharType="separate"/>
      </w:r>
      <w:r>
        <w:rPr>
          <w:rStyle w:val="38"/>
          <w:rFonts w:ascii="宋体" w:hAnsi="宋体" w:eastAsia="宋体" w:cs="Times New Roman"/>
          <w:highlight w:val="none"/>
        </w:rPr>
        <w:t>教育统计与测量课程教学大纲</w:t>
      </w:r>
      <w:r>
        <w:rPr>
          <w:highlight w:val="none"/>
        </w:rPr>
        <w:tab/>
      </w:r>
      <w:r>
        <w:rPr>
          <w:highlight w:val="none"/>
        </w:rPr>
        <w:fldChar w:fldCharType="begin"/>
      </w:r>
      <w:r>
        <w:rPr>
          <w:highlight w:val="none"/>
        </w:rPr>
        <w:instrText xml:space="preserve"> PAGEREF _Toc166165196 \h </w:instrText>
      </w:r>
      <w:r>
        <w:rPr>
          <w:highlight w:val="none"/>
        </w:rPr>
        <w:fldChar w:fldCharType="separate"/>
      </w:r>
      <w:r>
        <w:rPr>
          <w:highlight w:val="none"/>
        </w:rPr>
        <w:t>186</w:t>
      </w:r>
      <w:r>
        <w:rPr>
          <w:highlight w:val="none"/>
        </w:rPr>
        <w:fldChar w:fldCharType="end"/>
      </w:r>
      <w:r>
        <w:rPr>
          <w:highlight w:val="none"/>
        </w:rPr>
        <w:fldChar w:fldCharType="end"/>
      </w:r>
    </w:p>
    <w:p w14:paraId="16DE9DB0">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"_Toc166165197" </w:instrText>
      </w:r>
      <w:r>
        <w:rPr>
          <w:highlight w:val="none"/>
        </w:rPr>
        <w:fldChar w:fldCharType="separate"/>
      </w:r>
      <w:r>
        <w:rPr>
          <w:rStyle w:val="38"/>
          <w:rFonts w:ascii="宋体" w:hAnsi="宋体" w:eastAsia="宋体" w:cs="Times New Roman"/>
          <w:highlight w:val="none"/>
        </w:rPr>
        <w:t>中外基础教育改革热点课程教学大纲</w:t>
      </w:r>
      <w:r>
        <w:rPr>
          <w:highlight w:val="none"/>
        </w:rPr>
        <w:tab/>
      </w:r>
      <w:r>
        <w:rPr>
          <w:highlight w:val="none"/>
        </w:rPr>
        <w:fldChar w:fldCharType="begin"/>
      </w:r>
      <w:r>
        <w:rPr>
          <w:highlight w:val="none"/>
        </w:rPr>
        <w:instrText xml:space="preserve"> PAGEREF _Toc166165197 \h </w:instrText>
      </w:r>
      <w:r>
        <w:rPr>
          <w:highlight w:val="none"/>
        </w:rPr>
        <w:fldChar w:fldCharType="separate"/>
      </w:r>
      <w:r>
        <w:rPr>
          <w:highlight w:val="none"/>
        </w:rPr>
        <w:t>200</w:t>
      </w:r>
      <w:r>
        <w:rPr>
          <w:highlight w:val="none"/>
        </w:rPr>
        <w:fldChar w:fldCharType="end"/>
      </w:r>
      <w:r>
        <w:rPr>
          <w:highlight w:val="none"/>
        </w:rPr>
        <w:fldChar w:fldCharType="end"/>
      </w:r>
    </w:p>
    <w:p w14:paraId="4CFC0FC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"_Toc166165198" </w:instrText>
      </w:r>
      <w:r>
        <w:rPr>
          <w:highlight w:val="none"/>
        </w:rPr>
        <w:fldChar w:fldCharType="separate"/>
      </w:r>
      <w:r>
        <w:rPr>
          <w:rStyle w:val="38"/>
          <w:rFonts w:ascii="宋体" w:hAnsi="宋体" w:eastAsia="宋体" w:cs="Times New Roman"/>
          <w:highlight w:val="none"/>
        </w:rPr>
        <w:t>教育哲学课程教学大纲</w:t>
      </w:r>
      <w:r>
        <w:rPr>
          <w:highlight w:val="none"/>
        </w:rPr>
        <w:tab/>
      </w:r>
      <w:r>
        <w:rPr>
          <w:highlight w:val="none"/>
        </w:rPr>
        <w:fldChar w:fldCharType="begin"/>
      </w:r>
      <w:r>
        <w:rPr>
          <w:highlight w:val="none"/>
        </w:rPr>
        <w:instrText xml:space="preserve"> PAGEREF _Toc166165198 \h </w:instrText>
      </w:r>
      <w:r>
        <w:rPr>
          <w:highlight w:val="none"/>
        </w:rPr>
        <w:fldChar w:fldCharType="separate"/>
      </w:r>
      <w:r>
        <w:rPr>
          <w:highlight w:val="none"/>
        </w:rPr>
        <w:t>209</w:t>
      </w:r>
      <w:r>
        <w:rPr>
          <w:highlight w:val="none"/>
        </w:rPr>
        <w:fldChar w:fldCharType="end"/>
      </w:r>
      <w:r>
        <w:rPr>
          <w:highlight w:val="none"/>
        </w:rPr>
        <w:fldChar w:fldCharType="end"/>
      </w:r>
    </w:p>
    <w:p w14:paraId="102B762A">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"_Toc166165199" </w:instrText>
      </w:r>
      <w:r>
        <w:rPr>
          <w:highlight w:val="none"/>
        </w:rPr>
        <w:fldChar w:fldCharType="separate"/>
      </w:r>
      <w:r>
        <w:rPr>
          <w:rStyle w:val="38"/>
          <w:rFonts w:ascii="宋体" w:hAnsi="宋体" w:eastAsia="宋体" w:cs="Times New Roman"/>
          <w:color w:val="000000" w:themeColor="text1"/>
          <w:highlight w:val="none"/>
          <w14:textFill>
            <w14:solidFill>
              <w14:schemeClr w14:val="tx1"/>
            </w14:solidFill>
          </w14:textFill>
        </w:rPr>
        <w:t>教育社会学课程与教学大纲</w:t>
      </w:r>
      <w:r>
        <w:rPr>
          <w:highlight w:val="none"/>
        </w:rPr>
        <w:tab/>
      </w:r>
      <w:r>
        <w:rPr>
          <w:highlight w:val="none"/>
        </w:rPr>
        <w:fldChar w:fldCharType="begin"/>
      </w:r>
      <w:r>
        <w:rPr>
          <w:highlight w:val="none"/>
        </w:rPr>
        <w:instrText xml:space="preserve"> PAGEREF _Toc166165199 \h </w:instrText>
      </w:r>
      <w:r>
        <w:rPr>
          <w:highlight w:val="none"/>
        </w:rPr>
        <w:fldChar w:fldCharType="separate"/>
      </w:r>
      <w:r>
        <w:rPr>
          <w:highlight w:val="none"/>
        </w:rPr>
        <w:t>222</w:t>
      </w:r>
      <w:r>
        <w:rPr>
          <w:highlight w:val="none"/>
        </w:rPr>
        <w:fldChar w:fldCharType="end"/>
      </w:r>
      <w:r>
        <w:rPr>
          <w:highlight w:val="none"/>
        </w:rPr>
        <w:fldChar w:fldCharType="end"/>
      </w:r>
    </w:p>
    <w:p w14:paraId="22EB0E9B">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"_Toc166165200" </w:instrText>
      </w:r>
      <w:r>
        <w:rPr>
          <w:highlight w:val="none"/>
        </w:rPr>
        <w:fldChar w:fldCharType="separate"/>
      </w:r>
      <w:r>
        <w:rPr>
          <w:rStyle w:val="38"/>
          <w:rFonts w:ascii="Times New Roman" w:hAnsi="Times New Roman" w:eastAsia="宋体" w:cs="Times New Roman"/>
          <w:highlight w:val="none"/>
        </w:rPr>
        <w:t>教育伦理学课程教学大纲</w:t>
      </w:r>
      <w:r>
        <w:rPr>
          <w:highlight w:val="none"/>
        </w:rPr>
        <w:tab/>
      </w:r>
      <w:r>
        <w:rPr>
          <w:highlight w:val="none"/>
        </w:rPr>
        <w:fldChar w:fldCharType="begin"/>
      </w:r>
      <w:r>
        <w:rPr>
          <w:highlight w:val="none"/>
        </w:rPr>
        <w:instrText xml:space="preserve"> PAGEREF _Toc166165200 \h </w:instrText>
      </w:r>
      <w:r>
        <w:rPr>
          <w:highlight w:val="none"/>
        </w:rPr>
        <w:fldChar w:fldCharType="separate"/>
      </w:r>
      <w:r>
        <w:rPr>
          <w:highlight w:val="none"/>
        </w:rPr>
        <w:t>233</w:t>
      </w:r>
      <w:r>
        <w:rPr>
          <w:highlight w:val="none"/>
        </w:rPr>
        <w:fldChar w:fldCharType="end"/>
      </w:r>
      <w:r>
        <w:rPr>
          <w:highlight w:val="none"/>
        </w:rPr>
        <w:fldChar w:fldCharType="end"/>
      </w:r>
    </w:p>
    <w:p w14:paraId="5EDE6E4D">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"_Toc166165201" </w:instrText>
      </w:r>
      <w:r>
        <w:rPr>
          <w:highlight w:val="none"/>
        </w:rPr>
        <w:fldChar w:fldCharType="separate"/>
      </w:r>
      <w:r>
        <w:rPr>
          <w:rStyle w:val="38"/>
          <w:rFonts w:ascii="Times New Roman" w:hAnsi="Times New Roman" w:eastAsia="宋体" w:cs="Times New Roman"/>
          <w:highlight w:val="none"/>
        </w:rPr>
        <w:t>中外教育名著导读课程教学大纲</w:t>
      </w:r>
      <w:r>
        <w:rPr>
          <w:highlight w:val="none"/>
        </w:rPr>
        <w:tab/>
      </w:r>
      <w:r>
        <w:rPr>
          <w:highlight w:val="none"/>
        </w:rPr>
        <w:fldChar w:fldCharType="begin"/>
      </w:r>
      <w:r>
        <w:rPr>
          <w:highlight w:val="none"/>
        </w:rPr>
        <w:instrText xml:space="preserve"> PAGEREF _Toc166165201 \h </w:instrText>
      </w:r>
      <w:r>
        <w:rPr>
          <w:highlight w:val="none"/>
        </w:rPr>
        <w:fldChar w:fldCharType="separate"/>
      </w:r>
      <w:r>
        <w:rPr>
          <w:highlight w:val="none"/>
        </w:rPr>
        <w:t>241</w:t>
      </w:r>
      <w:r>
        <w:rPr>
          <w:highlight w:val="none"/>
        </w:rPr>
        <w:fldChar w:fldCharType="end"/>
      </w:r>
      <w:r>
        <w:rPr>
          <w:highlight w:val="none"/>
        </w:rPr>
        <w:fldChar w:fldCharType="end"/>
      </w:r>
    </w:p>
    <w:p w14:paraId="22A81E18">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"_Toc166165202" </w:instrText>
      </w:r>
      <w:r>
        <w:rPr>
          <w:highlight w:val="none"/>
        </w:rPr>
        <w:fldChar w:fldCharType="separate"/>
      </w:r>
      <w:r>
        <w:rPr>
          <w:rStyle w:val="38"/>
          <w:rFonts w:ascii="宋体" w:hAnsi="宋体" w:eastAsia="宋体" w:cs="Times New Roman"/>
          <w:highlight w:val="none"/>
        </w:rPr>
        <w:t>课堂观察与模拟教学课程教学大纲</w:t>
      </w:r>
      <w:r>
        <w:rPr>
          <w:highlight w:val="none"/>
        </w:rPr>
        <w:tab/>
      </w:r>
      <w:r>
        <w:rPr>
          <w:highlight w:val="none"/>
        </w:rPr>
        <w:fldChar w:fldCharType="begin"/>
      </w:r>
      <w:r>
        <w:rPr>
          <w:highlight w:val="none"/>
        </w:rPr>
        <w:instrText xml:space="preserve"> PAGEREF _Toc166165202 \h </w:instrText>
      </w:r>
      <w:r>
        <w:rPr>
          <w:highlight w:val="none"/>
        </w:rPr>
        <w:fldChar w:fldCharType="separate"/>
      </w:r>
      <w:r>
        <w:rPr>
          <w:highlight w:val="none"/>
        </w:rPr>
        <w:t>250</w:t>
      </w:r>
      <w:r>
        <w:rPr>
          <w:highlight w:val="none"/>
        </w:rPr>
        <w:fldChar w:fldCharType="end"/>
      </w:r>
      <w:r>
        <w:rPr>
          <w:highlight w:val="none"/>
        </w:rPr>
        <w:fldChar w:fldCharType="end"/>
      </w:r>
    </w:p>
    <w:p w14:paraId="5AE72879">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"_Toc166165203" </w:instrText>
      </w:r>
      <w:r>
        <w:rPr>
          <w:highlight w:val="none"/>
        </w:rPr>
        <w:fldChar w:fldCharType="separate"/>
      </w:r>
      <w:r>
        <w:rPr>
          <w:rStyle w:val="38"/>
          <w:rFonts w:ascii="宋体" w:hAnsi="宋体" w:eastAsia="宋体" w:cs="Times New Roman"/>
          <w:highlight w:val="none"/>
        </w:rPr>
        <w:t>校本课程开发课程教学大纲</w:t>
      </w:r>
      <w:r>
        <w:rPr>
          <w:highlight w:val="none"/>
        </w:rPr>
        <w:tab/>
      </w:r>
      <w:r>
        <w:rPr>
          <w:highlight w:val="none"/>
        </w:rPr>
        <w:fldChar w:fldCharType="begin"/>
      </w:r>
      <w:r>
        <w:rPr>
          <w:highlight w:val="none"/>
        </w:rPr>
        <w:instrText xml:space="preserve"> PAGEREF _Toc166165203 \h </w:instrText>
      </w:r>
      <w:r>
        <w:rPr>
          <w:highlight w:val="none"/>
        </w:rPr>
        <w:fldChar w:fldCharType="separate"/>
      </w:r>
      <w:r>
        <w:rPr>
          <w:highlight w:val="none"/>
        </w:rPr>
        <w:t>261</w:t>
      </w:r>
      <w:r>
        <w:rPr>
          <w:highlight w:val="none"/>
        </w:rPr>
        <w:fldChar w:fldCharType="end"/>
      </w:r>
      <w:r>
        <w:rPr>
          <w:highlight w:val="none"/>
        </w:rPr>
        <w:fldChar w:fldCharType="end"/>
      </w:r>
    </w:p>
    <w:p w14:paraId="37A3408B">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"_Toc166165204" </w:instrText>
      </w:r>
      <w:r>
        <w:rPr>
          <w:highlight w:val="none"/>
        </w:rPr>
        <w:fldChar w:fldCharType="separate"/>
      </w:r>
      <w:r>
        <w:rPr>
          <w:rStyle w:val="38"/>
          <w:rFonts w:ascii="Calibri" w:hAnsi="Calibri" w:eastAsia="宋体" w:cs="Times New Roman"/>
          <w:highlight w:val="none"/>
        </w:rPr>
        <w:t>小学生心理辅导课程教学大纲</w:t>
      </w:r>
      <w:r>
        <w:rPr>
          <w:highlight w:val="none"/>
        </w:rPr>
        <w:tab/>
      </w:r>
      <w:r>
        <w:rPr>
          <w:highlight w:val="none"/>
        </w:rPr>
        <w:fldChar w:fldCharType="begin"/>
      </w:r>
      <w:r>
        <w:rPr>
          <w:highlight w:val="none"/>
        </w:rPr>
        <w:instrText xml:space="preserve"> PAGEREF _Toc166165204 \h </w:instrText>
      </w:r>
      <w:r>
        <w:rPr>
          <w:highlight w:val="none"/>
        </w:rPr>
        <w:fldChar w:fldCharType="separate"/>
      </w:r>
      <w:r>
        <w:rPr>
          <w:highlight w:val="none"/>
        </w:rPr>
        <w:t>272</w:t>
      </w:r>
      <w:r>
        <w:rPr>
          <w:highlight w:val="none"/>
        </w:rPr>
        <w:fldChar w:fldCharType="end"/>
      </w:r>
      <w:r>
        <w:rPr>
          <w:highlight w:val="none"/>
        </w:rPr>
        <w:fldChar w:fldCharType="end"/>
      </w:r>
    </w:p>
    <w:p w14:paraId="5E415831">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"_Toc166165205" </w:instrText>
      </w:r>
      <w:r>
        <w:rPr>
          <w:highlight w:val="none"/>
        </w:rPr>
        <w:fldChar w:fldCharType="separate"/>
      </w:r>
      <w:r>
        <w:rPr>
          <w:rStyle w:val="38"/>
          <w:rFonts w:ascii="宋体" w:hAnsi="宋体" w:eastAsia="宋体" w:cs="Times New Roman"/>
          <w:highlight w:val="none"/>
        </w:rPr>
        <w:t>综合实践活动设计课程教学大纲</w:t>
      </w:r>
      <w:r>
        <w:rPr>
          <w:highlight w:val="none"/>
        </w:rPr>
        <w:tab/>
      </w:r>
      <w:r>
        <w:rPr>
          <w:highlight w:val="none"/>
        </w:rPr>
        <w:fldChar w:fldCharType="begin"/>
      </w:r>
      <w:r>
        <w:rPr>
          <w:highlight w:val="none"/>
        </w:rPr>
        <w:instrText xml:space="preserve"> PAGEREF _Toc166165205 \h </w:instrText>
      </w:r>
      <w:r>
        <w:rPr>
          <w:highlight w:val="none"/>
        </w:rPr>
        <w:fldChar w:fldCharType="separate"/>
      </w:r>
      <w:r>
        <w:rPr>
          <w:highlight w:val="none"/>
        </w:rPr>
        <w:t>285</w:t>
      </w:r>
      <w:r>
        <w:rPr>
          <w:highlight w:val="none"/>
        </w:rPr>
        <w:fldChar w:fldCharType="end"/>
      </w:r>
      <w:r>
        <w:rPr>
          <w:highlight w:val="none"/>
        </w:rPr>
        <w:fldChar w:fldCharType="end"/>
      </w:r>
    </w:p>
    <w:p w14:paraId="034B129E">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"_Toc166165206" </w:instrText>
      </w:r>
      <w:r>
        <w:rPr>
          <w:highlight w:val="none"/>
        </w:rPr>
        <w:fldChar w:fldCharType="separate"/>
      </w:r>
      <w:r>
        <w:rPr>
          <w:rStyle w:val="38"/>
          <w:rFonts w:ascii="宋体" w:hAnsi="宋体" w:eastAsia="宋体" w:cs="Times New Roman"/>
          <w:highlight w:val="none"/>
        </w:rPr>
        <w:t>教育论文写作课程教学大纲</w:t>
      </w:r>
      <w:r>
        <w:rPr>
          <w:highlight w:val="none"/>
        </w:rPr>
        <w:tab/>
      </w:r>
      <w:r>
        <w:rPr>
          <w:highlight w:val="none"/>
        </w:rPr>
        <w:fldChar w:fldCharType="begin"/>
      </w:r>
      <w:r>
        <w:rPr>
          <w:highlight w:val="none"/>
        </w:rPr>
        <w:instrText xml:space="preserve"> PAGEREF _Toc166165206 \h </w:instrText>
      </w:r>
      <w:r>
        <w:rPr>
          <w:highlight w:val="none"/>
        </w:rPr>
        <w:fldChar w:fldCharType="separate"/>
      </w:r>
      <w:r>
        <w:rPr>
          <w:highlight w:val="none"/>
        </w:rPr>
        <w:t>297</w:t>
      </w:r>
      <w:r>
        <w:rPr>
          <w:highlight w:val="none"/>
        </w:rPr>
        <w:fldChar w:fldCharType="end"/>
      </w:r>
      <w:r>
        <w:rPr>
          <w:highlight w:val="none"/>
        </w:rPr>
        <w:fldChar w:fldCharType="end"/>
      </w:r>
    </w:p>
    <w:p w14:paraId="5DC513A9">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"_Toc166165207" </w:instrText>
      </w:r>
      <w:r>
        <w:rPr>
          <w:highlight w:val="none"/>
        </w:rPr>
        <w:fldChar w:fldCharType="separate"/>
      </w:r>
      <w:r>
        <w:rPr>
          <w:rStyle w:val="38"/>
          <w:rFonts w:ascii="Times New Roman" w:hAnsi="Times New Roman" w:eastAsia="宋体" w:cs="Times New Roman"/>
          <w:highlight w:val="none"/>
        </w:rPr>
        <w:t>数学分析I课程教学大纲</w:t>
      </w:r>
      <w:r>
        <w:rPr>
          <w:highlight w:val="none"/>
        </w:rPr>
        <w:tab/>
      </w:r>
      <w:r>
        <w:rPr>
          <w:highlight w:val="none"/>
        </w:rPr>
        <w:fldChar w:fldCharType="begin"/>
      </w:r>
      <w:r>
        <w:rPr>
          <w:highlight w:val="none"/>
        </w:rPr>
        <w:instrText xml:space="preserve"> PAGEREF _Toc166165207 \h </w:instrText>
      </w:r>
      <w:r>
        <w:rPr>
          <w:highlight w:val="none"/>
        </w:rPr>
        <w:fldChar w:fldCharType="separate"/>
      </w:r>
      <w:r>
        <w:rPr>
          <w:highlight w:val="none"/>
        </w:rPr>
        <w:t>308</w:t>
      </w:r>
      <w:r>
        <w:rPr>
          <w:highlight w:val="none"/>
        </w:rPr>
        <w:fldChar w:fldCharType="end"/>
      </w:r>
      <w:r>
        <w:rPr>
          <w:highlight w:val="none"/>
        </w:rPr>
        <w:fldChar w:fldCharType="end"/>
      </w:r>
    </w:p>
    <w:p w14:paraId="6BE48664">
      <w:pPr>
        <w:pStyle w:val="21"/>
        <w:rPr>
          <w:rFonts w:eastAsiaTheme="minorEastAsia"/>
          <w:b w:val="0"/>
          <w:bCs w:val="0"/>
          <w:caps w:val="0"/>
          <w:sz w:val="21"/>
          <w:szCs w:val="22"/>
          <w:highlight w:val="cyan"/>
          <w14:ligatures w14:val="standardContextual"/>
        </w:rPr>
      </w:pPr>
      <w:r>
        <w:rPr>
          <w:highlight w:val="none"/>
        </w:rPr>
        <w:fldChar w:fldCharType="begin"/>
      </w:r>
      <w:r>
        <w:rPr>
          <w:highlight w:val="none"/>
        </w:rPr>
        <w:instrText xml:space="preserve"> HYPERLINK \l "_Toc166165208" </w:instrText>
      </w:r>
      <w:r>
        <w:rPr>
          <w:highlight w:val="none"/>
        </w:rPr>
        <w:fldChar w:fldCharType="separate"/>
      </w:r>
      <w:r>
        <w:rPr>
          <w:rStyle w:val="38"/>
          <w:rFonts w:ascii="Times New Roman" w:hAnsi="Times New Roman" w:eastAsia="宋体" w:cs="Times New Roman"/>
          <w:highlight w:val="none"/>
        </w:rPr>
        <w:t>数学分析II课程教学大纲</w:t>
      </w:r>
      <w:r>
        <w:rPr>
          <w:highlight w:val="none"/>
        </w:rPr>
        <w:tab/>
      </w:r>
      <w:r>
        <w:rPr>
          <w:highlight w:val="none"/>
        </w:rPr>
        <w:fldChar w:fldCharType="begin"/>
      </w:r>
      <w:r>
        <w:rPr>
          <w:highlight w:val="none"/>
        </w:rPr>
        <w:instrText xml:space="preserve"> PAGEREF _Toc166165208 \h </w:instrText>
      </w:r>
      <w:r>
        <w:rPr>
          <w:highlight w:val="none"/>
        </w:rPr>
        <w:fldChar w:fldCharType="separate"/>
      </w:r>
      <w:r>
        <w:rPr>
          <w:highlight w:val="none"/>
        </w:rPr>
        <w:t>315</w:t>
      </w:r>
      <w:r>
        <w:rPr>
          <w:highlight w:val="none"/>
        </w:rPr>
        <w:fldChar w:fldCharType="end"/>
      </w:r>
      <w:r>
        <w:rPr>
          <w:highlight w:val="none"/>
        </w:rPr>
        <w:fldChar w:fldCharType="end"/>
      </w:r>
    </w:p>
    <w:p w14:paraId="7EF5B78C">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"_Toc166165209" </w:instrText>
      </w:r>
      <w:r>
        <w:rPr>
          <w:highlight w:val="none"/>
        </w:rPr>
        <w:fldChar w:fldCharType="separate"/>
      </w:r>
      <w:r>
        <w:rPr>
          <w:rStyle w:val="38"/>
          <w:rFonts w:ascii="Times New Roman" w:hAnsi="Times New Roman" w:eastAsia="宋体" w:cs="Times New Roman"/>
          <w:highlight w:val="none"/>
        </w:rPr>
        <w:t>空间解析几何课程教学大纲</w:t>
      </w:r>
      <w:r>
        <w:rPr>
          <w:highlight w:val="none"/>
        </w:rPr>
        <w:tab/>
      </w:r>
      <w:r>
        <w:rPr>
          <w:highlight w:val="none"/>
        </w:rPr>
        <w:fldChar w:fldCharType="begin"/>
      </w:r>
      <w:r>
        <w:rPr>
          <w:highlight w:val="none"/>
        </w:rPr>
        <w:instrText xml:space="preserve"> PAGEREF _Toc166165209 \h </w:instrText>
      </w:r>
      <w:r>
        <w:rPr>
          <w:highlight w:val="none"/>
        </w:rPr>
        <w:fldChar w:fldCharType="separate"/>
      </w:r>
      <w:r>
        <w:rPr>
          <w:highlight w:val="none"/>
        </w:rPr>
        <w:t>321</w:t>
      </w:r>
      <w:r>
        <w:rPr>
          <w:highlight w:val="none"/>
        </w:rPr>
        <w:fldChar w:fldCharType="end"/>
      </w:r>
      <w:r>
        <w:rPr>
          <w:highlight w:val="none"/>
        </w:rPr>
        <w:fldChar w:fldCharType="end"/>
      </w:r>
    </w:p>
    <w:p w14:paraId="404EA73B">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"_Toc166165210" </w:instrText>
      </w:r>
      <w:r>
        <w:rPr>
          <w:highlight w:val="none"/>
        </w:rPr>
        <w:fldChar w:fldCharType="separate"/>
      </w:r>
      <w:r>
        <w:rPr>
          <w:rStyle w:val="38"/>
          <w:rFonts w:ascii="Times New Roman" w:hAnsi="Times New Roman" w:eastAsia="宋体" w:cs="Times New Roman"/>
          <w:highlight w:val="none"/>
        </w:rPr>
        <w:t>高等代数I课程教学大纲</w:t>
      </w:r>
      <w:r>
        <w:rPr>
          <w:highlight w:val="none"/>
        </w:rPr>
        <w:tab/>
      </w:r>
      <w:r>
        <w:rPr>
          <w:highlight w:val="none"/>
        </w:rPr>
        <w:fldChar w:fldCharType="begin"/>
      </w:r>
      <w:r>
        <w:rPr>
          <w:highlight w:val="none"/>
        </w:rPr>
        <w:instrText xml:space="preserve"> PAGEREF _Toc166165210 \h </w:instrText>
      </w:r>
      <w:r>
        <w:rPr>
          <w:highlight w:val="none"/>
        </w:rPr>
        <w:fldChar w:fldCharType="separate"/>
      </w:r>
      <w:r>
        <w:rPr>
          <w:highlight w:val="none"/>
        </w:rPr>
        <w:t>326</w:t>
      </w:r>
      <w:r>
        <w:rPr>
          <w:highlight w:val="none"/>
        </w:rPr>
        <w:fldChar w:fldCharType="end"/>
      </w:r>
      <w:r>
        <w:rPr>
          <w:highlight w:val="none"/>
        </w:rPr>
        <w:fldChar w:fldCharType="end"/>
      </w:r>
    </w:p>
    <w:p w14:paraId="5D347FB5">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"_Toc166165211" </w:instrText>
      </w:r>
      <w:r>
        <w:rPr>
          <w:highlight w:val="none"/>
        </w:rPr>
        <w:fldChar w:fldCharType="separate"/>
      </w:r>
      <w:r>
        <w:rPr>
          <w:rStyle w:val="38"/>
          <w:rFonts w:ascii="宋体" w:hAnsi="宋体" w:eastAsia="宋体" w:cs="Times New Roman"/>
          <w:highlight w:val="none"/>
        </w:rPr>
        <w:t>高等代数II课程教学大纲</w:t>
      </w:r>
      <w:r>
        <w:rPr>
          <w:highlight w:val="none"/>
        </w:rPr>
        <w:tab/>
      </w:r>
      <w:r>
        <w:rPr>
          <w:highlight w:val="none"/>
        </w:rPr>
        <w:fldChar w:fldCharType="begin"/>
      </w:r>
      <w:r>
        <w:rPr>
          <w:highlight w:val="none"/>
        </w:rPr>
        <w:instrText xml:space="preserve"> PAGEREF _Toc166165211 \h </w:instrText>
      </w:r>
      <w:r>
        <w:rPr>
          <w:highlight w:val="none"/>
        </w:rPr>
        <w:fldChar w:fldCharType="separate"/>
      </w:r>
      <w:r>
        <w:rPr>
          <w:highlight w:val="none"/>
        </w:rPr>
        <w:t>331</w:t>
      </w:r>
      <w:r>
        <w:rPr>
          <w:highlight w:val="none"/>
        </w:rPr>
        <w:fldChar w:fldCharType="end"/>
      </w:r>
      <w:r>
        <w:rPr>
          <w:highlight w:val="none"/>
        </w:rPr>
        <w:fldChar w:fldCharType="end"/>
      </w:r>
    </w:p>
    <w:p w14:paraId="1FE2F7AD">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"_Toc166165212" </w:instrText>
      </w:r>
      <w:r>
        <w:rPr>
          <w:highlight w:val="none"/>
        </w:rPr>
        <w:fldChar w:fldCharType="separate"/>
      </w:r>
      <w:r>
        <w:rPr>
          <w:rStyle w:val="38"/>
          <w:rFonts w:ascii="Times New Roman" w:hAnsi="Times New Roman" w:eastAsia="宋体" w:cs="Times New Roman"/>
          <w:highlight w:val="none"/>
        </w:rPr>
        <w:t>概率与统计课程教学大纲</w:t>
      </w:r>
      <w:r>
        <w:rPr>
          <w:highlight w:val="none"/>
        </w:rPr>
        <w:tab/>
      </w:r>
      <w:r>
        <w:rPr>
          <w:highlight w:val="none"/>
        </w:rPr>
        <w:fldChar w:fldCharType="begin"/>
      </w:r>
      <w:r>
        <w:rPr>
          <w:highlight w:val="none"/>
        </w:rPr>
        <w:instrText xml:space="preserve"> PAGEREF _Toc166165212 \h </w:instrText>
      </w:r>
      <w:r>
        <w:rPr>
          <w:highlight w:val="none"/>
        </w:rPr>
        <w:fldChar w:fldCharType="separate"/>
      </w:r>
      <w:r>
        <w:rPr>
          <w:highlight w:val="none"/>
        </w:rPr>
        <w:t>337</w:t>
      </w:r>
      <w:r>
        <w:rPr>
          <w:highlight w:val="none"/>
        </w:rPr>
        <w:fldChar w:fldCharType="end"/>
      </w:r>
      <w:r>
        <w:rPr>
          <w:highlight w:val="none"/>
        </w:rPr>
        <w:fldChar w:fldCharType="end"/>
      </w:r>
    </w:p>
    <w:p w14:paraId="74532CFF">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"_Toc166165213" </w:instrText>
      </w:r>
      <w:r>
        <w:rPr>
          <w:highlight w:val="none"/>
        </w:rPr>
        <w:fldChar w:fldCharType="separate"/>
      </w:r>
      <w:r>
        <w:rPr>
          <w:rStyle w:val="38"/>
          <w:rFonts w:ascii="Times New Roman" w:hAnsi="Times New Roman" w:eastAsia="宋体" w:cs="Times New Roman"/>
          <w:highlight w:val="none"/>
        </w:rPr>
        <w:t>初等数论课程教学大纲</w:t>
      </w:r>
      <w:r>
        <w:rPr>
          <w:highlight w:val="none"/>
        </w:rPr>
        <w:tab/>
      </w:r>
      <w:r>
        <w:rPr>
          <w:highlight w:val="none"/>
        </w:rPr>
        <w:fldChar w:fldCharType="begin"/>
      </w:r>
      <w:r>
        <w:rPr>
          <w:highlight w:val="none"/>
        </w:rPr>
        <w:instrText xml:space="preserve"> PAGEREF _Toc166165213 \h </w:instrText>
      </w:r>
      <w:r>
        <w:rPr>
          <w:highlight w:val="none"/>
        </w:rPr>
        <w:fldChar w:fldCharType="separate"/>
      </w:r>
      <w:r>
        <w:rPr>
          <w:highlight w:val="none"/>
        </w:rPr>
        <w:t>344</w:t>
      </w:r>
      <w:r>
        <w:rPr>
          <w:highlight w:val="none"/>
        </w:rPr>
        <w:fldChar w:fldCharType="end"/>
      </w:r>
      <w:r>
        <w:rPr>
          <w:highlight w:val="none"/>
        </w:rPr>
        <w:fldChar w:fldCharType="end"/>
      </w:r>
    </w:p>
    <w:p w14:paraId="761FF970">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"_Toc166165214" </w:instrText>
      </w:r>
      <w:r>
        <w:rPr>
          <w:highlight w:val="none"/>
        </w:rPr>
        <w:fldChar w:fldCharType="separate"/>
      </w:r>
      <w:r>
        <w:rPr>
          <w:rStyle w:val="38"/>
          <w:rFonts w:ascii="Times New Roman" w:hAnsi="Times New Roman" w:eastAsia="宋体" w:cs="Times New Roman"/>
          <w:highlight w:val="none"/>
        </w:rPr>
        <w:t>数学思想方法课程教学大纲</w:t>
      </w:r>
      <w:r>
        <w:rPr>
          <w:highlight w:val="none"/>
        </w:rPr>
        <w:tab/>
      </w:r>
      <w:r>
        <w:rPr>
          <w:highlight w:val="none"/>
        </w:rPr>
        <w:fldChar w:fldCharType="begin"/>
      </w:r>
      <w:r>
        <w:rPr>
          <w:highlight w:val="none"/>
        </w:rPr>
        <w:instrText xml:space="preserve"> PAGEREF _Toc166165214 \h </w:instrText>
      </w:r>
      <w:r>
        <w:rPr>
          <w:highlight w:val="none"/>
        </w:rPr>
        <w:fldChar w:fldCharType="separate"/>
      </w:r>
      <w:r>
        <w:rPr>
          <w:highlight w:val="none"/>
        </w:rPr>
        <w:t>350</w:t>
      </w:r>
      <w:r>
        <w:rPr>
          <w:highlight w:val="none"/>
        </w:rPr>
        <w:fldChar w:fldCharType="end"/>
      </w:r>
      <w:r>
        <w:rPr>
          <w:highlight w:val="none"/>
        </w:rPr>
        <w:fldChar w:fldCharType="end"/>
      </w:r>
    </w:p>
    <w:p w14:paraId="61791F5A">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"_Toc166165215" </w:instrText>
      </w:r>
      <w:r>
        <w:rPr>
          <w:highlight w:val="none"/>
        </w:rPr>
        <w:fldChar w:fldCharType="separate"/>
      </w:r>
      <w:r>
        <w:rPr>
          <w:rStyle w:val="38"/>
          <w:rFonts w:ascii="宋体" w:hAnsi="宋体" w:eastAsia="宋体" w:cs="Times New Roman"/>
          <w:highlight w:val="none"/>
        </w:rPr>
        <w:t>小学数学课程标准与教材分析课程教学大纲</w:t>
      </w:r>
      <w:r>
        <w:rPr>
          <w:highlight w:val="none"/>
        </w:rPr>
        <w:tab/>
      </w:r>
      <w:r>
        <w:rPr>
          <w:highlight w:val="none"/>
        </w:rPr>
        <w:fldChar w:fldCharType="begin"/>
      </w:r>
      <w:r>
        <w:rPr>
          <w:highlight w:val="none"/>
        </w:rPr>
        <w:instrText xml:space="preserve"> PAGEREF _Toc166165215 \h </w:instrText>
      </w:r>
      <w:r>
        <w:rPr>
          <w:highlight w:val="none"/>
        </w:rPr>
        <w:fldChar w:fldCharType="separate"/>
      </w:r>
      <w:r>
        <w:rPr>
          <w:highlight w:val="none"/>
        </w:rPr>
        <w:t>356</w:t>
      </w:r>
      <w:r>
        <w:rPr>
          <w:highlight w:val="none"/>
        </w:rPr>
        <w:fldChar w:fldCharType="end"/>
      </w:r>
      <w:r>
        <w:rPr>
          <w:highlight w:val="none"/>
        </w:rPr>
        <w:fldChar w:fldCharType="end"/>
      </w:r>
    </w:p>
    <w:p w14:paraId="25E7A6F6">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"_Toc166165216" </w:instrText>
      </w:r>
      <w:r>
        <w:rPr>
          <w:highlight w:val="none"/>
        </w:rPr>
        <w:fldChar w:fldCharType="separate"/>
      </w:r>
      <w:r>
        <w:rPr>
          <w:rStyle w:val="38"/>
          <w:rFonts w:ascii="宋体" w:hAnsi="宋体" w:eastAsia="宋体" w:cs="Times New Roman"/>
          <w:highlight w:val="none"/>
        </w:rPr>
        <w:t>小学数学教学设计与实施课程教学大纲</w:t>
      </w:r>
      <w:r>
        <w:rPr>
          <w:highlight w:val="none"/>
        </w:rPr>
        <w:tab/>
      </w:r>
      <w:r>
        <w:rPr>
          <w:highlight w:val="none"/>
        </w:rPr>
        <w:fldChar w:fldCharType="begin"/>
      </w:r>
      <w:r>
        <w:rPr>
          <w:highlight w:val="none"/>
        </w:rPr>
        <w:instrText xml:space="preserve"> PAGEREF _Toc166165216 \h </w:instrText>
      </w:r>
      <w:r>
        <w:rPr>
          <w:highlight w:val="none"/>
        </w:rPr>
        <w:fldChar w:fldCharType="separate"/>
      </w:r>
      <w:r>
        <w:rPr>
          <w:highlight w:val="none"/>
        </w:rPr>
        <w:t>368</w:t>
      </w:r>
      <w:r>
        <w:rPr>
          <w:highlight w:val="none"/>
        </w:rPr>
        <w:fldChar w:fldCharType="end"/>
      </w:r>
      <w:r>
        <w:rPr>
          <w:highlight w:val="none"/>
        </w:rPr>
        <w:fldChar w:fldCharType="end"/>
      </w:r>
    </w:p>
    <w:p w14:paraId="3210FAF7">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"_Toc166165217" </w:instrText>
      </w:r>
      <w:r>
        <w:rPr>
          <w:highlight w:val="none"/>
        </w:rPr>
        <w:fldChar w:fldCharType="separate"/>
      </w:r>
      <w:r>
        <w:rPr>
          <w:rStyle w:val="38"/>
          <w:rFonts w:ascii="宋体" w:hAnsi="宋体" w:eastAsia="宋体" w:cs="Times New Roman"/>
          <w:highlight w:val="none"/>
        </w:rPr>
        <w:t>社会统计软件课程教学大纲</w:t>
      </w:r>
      <w:r>
        <w:rPr>
          <w:highlight w:val="none"/>
        </w:rPr>
        <w:tab/>
      </w:r>
      <w:r>
        <w:rPr>
          <w:highlight w:val="none"/>
        </w:rPr>
        <w:fldChar w:fldCharType="begin"/>
      </w:r>
      <w:r>
        <w:rPr>
          <w:highlight w:val="none"/>
        </w:rPr>
        <w:instrText xml:space="preserve"> PAGEREF _Toc166165217 \h </w:instrText>
      </w:r>
      <w:r>
        <w:rPr>
          <w:highlight w:val="none"/>
        </w:rPr>
        <w:fldChar w:fldCharType="separate"/>
      </w:r>
      <w:r>
        <w:rPr>
          <w:highlight w:val="none"/>
        </w:rPr>
        <w:t>379</w:t>
      </w:r>
      <w:r>
        <w:rPr>
          <w:highlight w:val="none"/>
        </w:rPr>
        <w:fldChar w:fldCharType="end"/>
      </w:r>
      <w:r>
        <w:rPr>
          <w:highlight w:val="none"/>
        </w:rPr>
        <w:fldChar w:fldCharType="end"/>
      </w:r>
    </w:p>
    <w:p w14:paraId="0AFE5B97">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"_Toc166165218" </w:instrText>
      </w:r>
      <w:r>
        <w:rPr>
          <w:highlight w:val="none"/>
        </w:rPr>
        <w:fldChar w:fldCharType="separate"/>
      </w:r>
      <w:r>
        <w:rPr>
          <w:rStyle w:val="38"/>
          <w:rFonts w:ascii="Times New Roman" w:hAnsi="Times New Roman" w:eastAsia="宋体" w:cs="Times New Roman"/>
          <w:highlight w:val="none"/>
        </w:rPr>
        <w:t>科学概论课程教学大纲</w:t>
      </w:r>
      <w:r>
        <w:rPr>
          <w:highlight w:val="none"/>
        </w:rPr>
        <w:tab/>
      </w:r>
      <w:r>
        <w:rPr>
          <w:highlight w:val="none"/>
        </w:rPr>
        <w:fldChar w:fldCharType="begin"/>
      </w:r>
      <w:r>
        <w:rPr>
          <w:highlight w:val="none"/>
        </w:rPr>
        <w:instrText xml:space="preserve"> PAGEREF _Toc166165218 \h </w:instrText>
      </w:r>
      <w:r>
        <w:rPr>
          <w:highlight w:val="none"/>
        </w:rPr>
        <w:fldChar w:fldCharType="separate"/>
      </w:r>
      <w:r>
        <w:rPr>
          <w:highlight w:val="none"/>
        </w:rPr>
        <w:t>391</w:t>
      </w:r>
      <w:r>
        <w:rPr>
          <w:highlight w:val="none"/>
        </w:rPr>
        <w:fldChar w:fldCharType="end"/>
      </w:r>
      <w:r>
        <w:rPr>
          <w:highlight w:val="none"/>
        </w:rPr>
        <w:fldChar w:fldCharType="end"/>
      </w:r>
    </w:p>
    <w:p w14:paraId="5EE79CBC">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"_Toc166165219" </w:instrText>
      </w:r>
      <w:r>
        <w:rPr>
          <w:highlight w:val="none"/>
        </w:rPr>
        <w:fldChar w:fldCharType="separate"/>
      </w:r>
      <w:r>
        <w:rPr>
          <w:rStyle w:val="38"/>
          <w:rFonts w:ascii="Calibri" w:hAnsi="Calibri" w:eastAsia="宋体" w:cs="Times New Roman"/>
          <w:highlight w:val="none"/>
        </w:rPr>
        <w:t>逻辑学课程教学大纲</w:t>
      </w:r>
      <w:r>
        <w:rPr>
          <w:highlight w:val="none"/>
        </w:rPr>
        <w:tab/>
      </w:r>
      <w:r>
        <w:rPr>
          <w:highlight w:val="none"/>
        </w:rPr>
        <w:fldChar w:fldCharType="begin"/>
      </w:r>
      <w:r>
        <w:rPr>
          <w:highlight w:val="none"/>
        </w:rPr>
        <w:instrText xml:space="preserve"> PAGEREF _Toc166165219 \h </w:instrText>
      </w:r>
      <w:r>
        <w:rPr>
          <w:highlight w:val="none"/>
        </w:rPr>
        <w:fldChar w:fldCharType="separate"/>
      </w:r>
      <w:r>
        <w:rPr>
          <w:highlight w:val="none"/>
        </w:rPr>
        <w:t>400</w:t>
      </w:r>
      <w:r>
        <w:rPr>
          <w:highlight w:val="none"/>
        </w:rPr>
        <w:fldChar w:fldCharType="end"/>
      </w:r>
      <w:r>
        <w:rPr>
          <w:highlight w:val="none"/>
        </w:rPr>
        <w:fldChar w:fldCharType="end"/>
      </w:r>
    </w:p>
    <w:p w14:paraId="74D7DD6C">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"_Toc166165220" </w:instrText>
      </w:r>
      <w:r>
        <w:rPr>
          <w:highlight w:val="none"/>
        </w:rPr>
        <w:fldChar w:fldCharType="separate"/>
      </w:r>
      <w:r>
        <w:rPr>
          <w:rStyle w:val="38"/>
          <w:rFonts w:ascii="Times New Roman" w:hAnsi="Times New Roman" w:eastAsia="宋体" w:cs="Times New Roman"/>
          <w:highlight w:val="none"/>
        </w:rPr>
        <w:t>数学史课程教学大纲</w:t>
      </w:r>
      <w:r>
        <w:rPr>
          <w:highlight w:val="none"/>
        </w:rPr>
        <w:tab/>
      </w:r>
      <w:r>
        <w:rPr>
          <w:highlight w:val="none"/>
        </w:rPr>
        <w:fldChar w:fldCharType="begin"/>
      </w:r>
      <w:r>
        <w:rPr>
          <w:highlight w:val="none"/>
        </w:rPr>
        <w:instrText xml:space="preserve"> PAGEREF _Toc166165220 \h </w:instrText>
      </w:r>
      <w:r>
        <w:rPr>
          <w:highlight w:val="none"/>
        </w:rPr>
        <w:fldChar w:fldCharType="separate"/>
      </w:r>
      <w:r>
        <w:rPr>
          <w:highlight w:val="none"/>
        </w:rPr>
        <w:t>410</w:t>
      </w:r>
      <w:r>
        <w:rPr>
          <w:highlight w:val="none"/>
        </w:rPr>
        <w:fldChar w:fldCharType="end"/>
      </w:r>
      <w:r>
        <w:rPr>
          <w:highlight w:val="none"/>
        </w:rPr>
        <w:fldChar w:fldCharType="end"/>
      </w:r>
    </w:p>
    <w:p w14:paraId="4A947978">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"_Toc166165221" </w:instrText>
      </w:r>
      <w:r>
        <w:rPr>
          <w:highlight w:val="none"/>
        </w:rPr>
        <w:fldChar w:fldCharType="separate"/>
      </w:r>
      <w:r>
        <w:rPr>
          <w:rStyle w:val="38"/>
          <w:rFonts w:ascii="Times New Roman" w:hAnsi="Times New Roman" w:eastAsia="宋体" w:cs="Times New Roman"/>
          <w:highlight w:val="none"/>
        </w:rPr>
        <w:t>计算方法课程教学大纲</w:t>
      </w:r>
      <w:r>
        <w:rPr>
          <w:highlight w:val="none"/>
        </w:rPr>
        <w:tab/>
      </w:r>
      <w:r>
        <w:rPr>
          <w:highlight w:val="none"/>
        </w:rPr>
        <w:fldChar w:fldCharType="begin"/>
      </w:r>
      <w:r>
        <w:rPr>
          <w:highlight w:val="none"/>
        </w:rPr>
        <w:instrText xml:space="preserve"> PAGEREF _Toc166165221 \h </w:instrText>
      </w:r>
      <w:r>
        <w:rPr>
          <w:highlight w:val="none"/>
        </w:rPr>
        <w:fldChar w:fldCharType="separate"/>
      </w:r>
      <w:r>
        <w:rPr>
          <w:highlight w:val="none"/>
        </w:rPr>
        <w:t>419</w:t>
      </w:r>
      <w:r>
        <w:rPr>
          <w:highlight w:val="none"/>
        </w:rPr>
        <w:fldChar w:fldCharType="end"/>
      </w:r>
      <w:r>
        <w:rPr>
          <w:highlight w:val="none"/>
        </w:rPr>
        <w:fldChar w:fldCharType="end"/>
      </w:r>
    </w:p>
    <w:p w14:paraId="7E5E6B7B">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"_Toc166165222" </w:instrText>
      </w:r>
      <w:r>
        <w:rPr>
          <w:highlight w:val="none"/>
        </w:rPr>
        <w:fldChar w:fldCharType="separate"/>
      </w:r>
      <w:r>
        <w:rPr>
          <w:rStyle w:val="38"/>
          <w:rFonts w:ascii="Times New Roman" w:hAnsi="Times New Roman" w:eastAsia="宋体" w:cs="Times New Roman"/>
          <w:highlight w:val="none"/>
        </w:rPr>
        <w:t>数学建模课程教学大纲</w:t>
      </w:r>
      <w:r>
        <w:rPr>
          <w:highlight w:val="none"/>
        </w:rPr>
        <w:tab/>
      </w:r>
      <w:r>
        <w:rPr>
          <w:highlight w:val="none"/>
        </w:rPr>
        <w:fldChar w:fldCharType="begin"/>
      </w:r>
      <w:r>
        <w:rPr>
          <w:highlight w:val="none"/>
        </w:rPr>
        <w:instrText xml:space="preserve"> PAGEREF _Toc166165222 \h </w:instrText>
      </w:r>
      <w:r>
        <w:rPr>
          <w:highlight w:val="none"/>
        </w:rPr>
        <w:fldChar w:fldCharType="separate"/>
      </w:r>
      <w:r>
        <w:rPr>
          <w:highlight w:val="none"/>
        </w:rPr>
        <w:t>426</w:t>
      </w:r>
      <w:r>
        <w:rPr>
          <w:highlight w:val="none"/>
        </w:rPr>
        <w:fldChar w:fldCharType="end"/>
      </w:r>
      <w:r>
        <w:rPr>
          <w:highlight w:val="none"/>
        </w:rPr>
        <w:fldChar w:fldCharType="end"/>
      </w:r>
    </w:p>
    <w:p w14:paraId="7F8846CE">
      <w:pPr>
        <w:rPr>
          <w:rFonts w:hint="default"/>
          <w:b/>
          <w:bCs/>
          <w:sz w:val="20"/>
          <w:szCs w:val="20"/>
          <w:highlight w:val="none"/>
          <w:lang w:val="en-US"/>
        </w:rPr>
      </w:pPr>
      <w:r>
        <w:rPr>
          <w:rFonts w:hint="eastAsia"/>
          <w:b/>
          <w:bCs/>
          <w:sz w:val="20"/>
          <w:szCs w:val="20"/>
          <w:highlight w:val="none"/>
          <w:lang w:val="en-US" w:eastAsia="zh-CN"/>
        </w:rPr>
        <w:t>小学数学解题指导课程课程教学大纲..................................................................................................429</w:t>
      </w:r>
    </w:p>
    <w:p w14:paraId="58E2177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"_Toc166165223" </w:instrText>
      </w:r>
      <w:r>
        <w:rPr>
          <w:highlight w:val="none"/>
        </w:rPr>
        <w:fldChar w:fldCharType="separate"/>
      </w:r>
      <w:r>
        <w:rPr>
          <w:rStyle w:val="38"/>
          <w:rFonts w:ascii="Times New Roman" w:hAnsi="Times New Roman" w:eastAsia="宋体" w:cs="Times New Roman"/>
          <w:highlight w:val="none"/>
        </w:rPr>
        <w:t>小学数学思维训练课程教学大纲</w:t>
      </w:r>
      <w:r>
        <w:rPr>
          <w:highlight w:val="none"/>
        </w:rPr>
        <w:tab/>
      </w:r>
      <w:r>
        <w:rPr>
          <w:highlight w:val="none"/>
        </w:rPr>
        <w:fldChar w:fldCharType="begin"/>
      </w:r>
      <w:r>
        <w:rPr>
          <w:highlight w:val="none"/>
        </w:rPr>
        <w:instrText xml:space="preserve"> PAGEREF _Toc166165223 \h </w:instrText>
      </w:r>
      <w:r>
        <w:rPr>
          <w:highlight w:val="none"/>
        </w:rPr>
        <w:fldChar w:fldCharType="separate"/>
      </w:r>
      <w:r>
        <w:rPr>
          <w:highlight w:val="none"/>
        </w:rPr>
        <w:t>433</w:t>
      </w:r>
      <w:r>
        <w:rPr>
          <w:highlight w:val="none"/>
        </w:rPr>
        <w:fldChar w:fldCharType="end"/>
      </w:r>
      <w:r>
        <w:rPr>
          <w:highlight w:val="none"/>
        </w:rPr>
        <w:fldChar w:fldCharType="end"/>
      </w:r>
    </w:p>
    <w:p w14:paraId="2FC0508E">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"_Toc166165224" </w:instrText>
      </w:r>
      <w:r>
        <w:rPr>
          <w:highlight w:val="none"/>
        </w:rPr>
        <w:fldChar w:fldCharType="separate"/>
      </w:r>
      <w:r>
        <w:rPr>
          <w:rStyle w:val="38"/>
          <w:rFonts w:ascii="宋体" w:hAnsi="宋体" w:eastAsia="宋体" w:cs="Times New Roman"/>
          <w:highlight w:val="none"/>
        </w:rPr>
        <w:t>航模制作与训练课程教学大纲</w:t>
      </w:r>
      <w:r>
        <w:rPr>
          <w:highlight w:val="none"/>
        </w:rPr>
        <w:tab/>
      </w:r>
      <w:r>
        <w:rPr>
          <w:highlight w:val="none"/>
        </w:rPr>
        <w:fldChar w:fldCharType="begin"/>
      </w:r>
      <w:r>
        <w:rPr>
          <w:highlight w:val="none"/>
        </w:rPr>
        <w:instrText xml:space="preserve"> PAGEREF _Toc166165224 \h </w:instrText>
      </w:r>
      <w:r>
        <w:rPr>
          <w:highlight w:val="none"/>
        </w:rPr>
        <w:fldChar w:fldCharType="separate"/>
      </w:r>
      <w:r>
        <w:rPr>
          <w:highlight w:val="none"/>
        </w:rPr>
        <w:t>439</w:t>
      </w:r>
      <w:r>
        <w:rPr>
          <w:highlight w:val="none"/>
        </w:rPr>
        <w:fldChar w:fldCharType="end"/>
      </w:r>
      <w:r>
        <w:rPr>
          <w:highlight w:val="none"/>
        </w:rPr>
        <w:fldChar w:fldCharType="end"/>
      </w:r>
    </w:p>
    <w:p w14:paraId="3D6E0513">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"_Toc166165225" </w:instrText>
      </w:r>
      <w:r>
        <w:rPr>
          <w:highlight w:val="none"/>
        </w:rPr>
        <w:fldChar w:fldCharType="separate"/>
      </w:r>
      <w:r>
        <w:rPr>
          <w:rStyle w:val="38"/>
          <w:rFonts w:ascii="宋体" w:hAnsi="宋体" w:eastAsia="宋体" w:cs="Times New Roman"/>
          <w:highlight w:val="none"/>
        </w:rPr>
        <w:t>机器人制作与训练课程教学大纲</w:t>
      </w:r>
      <w:r>
        <w:rPr>
          <w:highlight w:val="none"/>
        </w:rPr>
        <w:tab/>
      </w:r>
      <w:r>
        <w:rPr>
          <w:highlight w:val="none"/>
        </w:rPr>
        <w:fldChar w:fldCharType="begin"/>
      </w:r>
      <w:r>
        <w:rPr>
          <w:highlight w:val="none"/>
        </w:rPr>
        <w:instrText xml:space="preserve"> PAGEREF _Toc166165225 \h </w:instrText>
      </w:r>
      <w:r>
        <w:rPr>
          <w:highlight w:val="none"/>
        </w:rPr>
        <w:fldChar w:fldCharType="separate"/>
      </w:r>
      <w:r>
        <w:rPr>
          <w:highlight w:val="none"/>
        </w:rPr>
        <w:t>450</w:t>
      </w:r>
      <w:r>
        <w:rPr>
          <w:highlight w:val="none"/>
        </w:rPr>
        <w:fldChar w:fldCharType="end"/>
      </w:r>
      <w:r>
        <w:rPr>
          <w:highlight w:val="none"/>
        </w:rPr>
        <w:fldChar w:fldCharType="end"/>
      </w:r>
    </w:p>
    <w:p w14:paraId="5557AA16">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"_Toc166165226" </w:instrText>
      </w:r>
      <w:r>
        <w:rPr>
          <w:highlight w:val="none"/>
        </w:rPr>
        <w:fldChar w:fldCharType="separate"/>
      </w:r>
      <w:r>
        <w:rPr>
          <w:rStyle w:val="38"/>
          <w:rFonts w:ascii="Times New Roman" w:hAnsi="Times New Roman" w:eastAsia="宋体" w:cs="Times New Roman"/>
          <w:highlight w:val="none"/>
        </w:rPr>
        <w:t>小学科学课程与教学论课程教学大纲</w:t>
      </w:r>
      <w:r>
        <w:rPr>
          <w:highlight w:val="none"/>
        </w:rPr>
        <w:tab/>
      </w:r>
      <w:r>
        <w:rPr>
          <w:highlight w:val="none"/>
        </w:rPr>
        <w:fldChar w:fldCharType="begin"/>
      </w:r>
      <w:r>
        <w:rPr>
          <w:highlight w:val="none"/>
        </w:rPr>
        <w:instrText xml:space="preserve"> PAGEREF _Toc166165226 \h </w:instrText>
      </w:r>
      <w:r>
        <w:rPr>
          <w:highlight w:val="none"/>
        </w:rPr>
        <w:fldChar w:fldCharType="separate"/>
      </w:r>
      <w:r>
        <w:rPr>
          <w:highlight w:val="none"/>
        </w:rPr>
        <w:t>461</w:t>
      </w:r>
      <w:r>
        <w:rPr>
          <w:highlight w:val="none"/>
        </w:rPr>
        <w:fldChar w:fldCharType="end"/>
      </w:r>
      <w:r>
        <w:rPr>
          <w:highlight w:val="none"/>
        </w:rPr>
        <w:fldChar w:fldCharType="end"/>
      </w:r>
    </w:p>
    <w:p w14:paraId="38240459">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"_Toc166165227" </w:instrText>
      </w:r>
      <w:r>
        <w:rPr>
          <w:highlight w:val="none"/>
        </w:rPr>
        <w:fldChar w:fldCharType="separate"/>
      </w:r>
      <w:r>
        <w:rPr>
          <w:rStyle w:val="38"/>
          <w:rFonts w:ascii="Times New Roman" w:hAnsi="Times New Roman" w:eastAsia="宋体" w:cs="Times New Roman"/>
          <w:highlight w:val="none"/>
        </w:rPr>
        <w:t>小学语文课程与教学论教学大纲</w:t>
      </w:r>
      <w:r>
        <w:rPr>
          <w:highlight w:val="none"/>
        </w:rPr>
        <w:tab/>
      </w:r>
      <w:r>
        <w:rPr>
          <w:highlight w:val="none"/>
        </w:rPr>
        <w:fldChar w:fldCharType="begin"/>
      </w:r>
      <w:r>
        <w:rPr>
          <w:highlight w:val="none"/>
        </w:rPr>
        <w:instrText xml:space="preserve"> PAGEREF _Toc166165227 \h </w:instrText>
      </w:r>
      <w:r>
        <w:rPr>
          <w:highlight w:val="none"/>
        </w:rPr>
        <w:fldChar w:fldCharType="separate"/>
      </w:r>
      <w:r>
        <w:rPr>
          <w:highlight w:val="none"/>
        </w:rPr>
        <w:t>471</w:t>
      </w:r>
      <w:r>
        <w:rPr>
          <w:highlight w:val="none"/>
        </w:rPr>
        <w:fldChar w:fldCharType="end"/>
      </w:r>
      <w:r>
        <w:rPr>
          <w:highlight w:val="none"/>
        </w:rPr>
        <w:fldChar w:fldCharType="end"/>
      </w:r>
    </w:p>
    <w:p w14:paraId="1F2CD0A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"_Toc166165228" </w:instrText>
      </w:r>
      <w:r>
        <w:rPr>
          <w:highlight w:val="none"/>
        </w:rPr>
        <w:fldChar w:fldCharType="separate"/>
      </w:r>
      <w:r>
        <w:rPr>
          <w:rStyle w:val="38"/>
          <w:rFonts w:ascii="Times New Roman" w:hAnsi="Times New Roman" w:eastAsia="宋体" w:cs="Times New Roman"/>
          <w:highlight w:val="none"/>
        </w:rPr>
        <w:t>科学实验指导课程教学大纲</w:t>
      </w:r>
      <w:r>
        <w:rPr>
          <w:highlight w:val="none"/>
        </w:rPr>
        <w:tab/>
      </w:r>
      <w:r>
        <w:rPr>
          <w:highlight w:val="none"/>
        </w:rPr>
        <w:fldChar w:fldCharType="begin"/>
      </w:r>
      <w:r>
        <w:rPr>
          <w:highlight w:val="none"/>
        </w:rPr>
        <w:instrText xml:space="preserve"> PAGEREF _Toc166165228 \h </w:instrText>
      </w:r>
      <w:r>
        <w:rPr>
          <w:highlight w:val="none"/>
        </w:rPr>
        <w:fldChar w:fldCharType="separate"/>
      </w:r>
      <w:r>
        <w:rPr>
          <w:highlight w:val="none"/>
        </w:rPr>
        <w:t>482</w:t>
      </w:r>
      <w:r>
        <w:rPr>
          <w:highlight w:val="none"/>
        </w:rPr>
        <w:fldChar w:fldCharType="end"/>
      </w:r>
      <w:r>
        <w:rPr>
          <w:highlight w:val="none"/>
        </w:rPr>
        <w:fldChar w:fldCharType="end"/>
      </w:r>
    </w:p>
    <w:p w14:paraId="56F872D1">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"_Toc166165229" </w:instrText>
      </w:r>
      <w:r>
        <w:rPr>
          <w:highlight w:val="none"/>
        </w:rPr>
        <w:fldChar w:fldCharType="separate"/>
      </w:r>
      <w:r>
        <w:rPr>
          <w:rStyle w:val="38"/>
          <w:rFonts w:ascii="Times New Roman" w:hAnsi="Times New Roman" w:eastAsia="宋体" w:cs="Times New Roman"/>
          <w:highlight w:val="none"/>
        </w:rPr>
        <w:t>小学道德与法治课程与教学论课程教学大纲</w:t>
      </w:r>
      <w:r>
        <w:rPr>
          <w:highlight w:val="none"/>
        </w:rPr>
        <w:tab/>
      </w:r>
      <w:r>
        <w:rPr>
          <w:highlight w:val="none"/>
        </w:rPr>
        <w:fldChar w:fldCharType="begin"/>
      </w:r>
      <w:r>
        <w:rPr>
          <w:highlight w:val="none"/>
        </w:rPr>
        <w:instrText xml:space="preserve"> PAGEREF _Toc166165229 \h </w:instrText>
      </w:r>
      <w:r>
        <w:rPr>
          <w:highlight w:val="none"/>
        </w:rPr>
        <w:fldChar w:fldCharType="separate"/>
      </w:r>
      <w:r>
        <w:rPr>
          <w:highlight w:val="none"/>
        </w:rPr>
        <w:t>487</w:t>
      </w:r>
      <w:r>
        <w:rPr>
          <w:highlight w:val="none"/>
        </w:rPr>
        <w:fldChar w:fldCharType="end"/>
      </w:r>
      <w:r>
        <w:rPr>
          <w:highlight w:val="none"/>
        </w:rPr>
        <w:fldChar w:fldCharType="end"/>
      </w:r>
    </w:p>
    <w:p w14:paraId="26F7621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"_Toc166165230" </w:instrText>
      </w:r>
      <w:r>
        <w:rPr>
          <w:highlight w:val="none"/>
        </w:rPr>
        <w:fldChar w:fldCharType="separate"/>
      </w:r>
      <w:r>
        <w:rPr>
          <w:rStyle w:val="38"/>
          <w:rFonts w:ascii="宋体" w:hAnsi="宋体" w:eastAsia="宋体" w:cs="Times New Roman"/>
          <w:highlight w:val="none"/>
        </w:rPr>
        <w:t>小学道德与法治教学案例研究课程教学大纲</w:t>
      </w:r>
      <w:r>
        <w:rPr>
          <w:highlight w:val="none"/>
        </w:rPr>
        <w:tab/>
      </w:r>
      <w:r>
        <w:rPr>
          <w:highlight w:val="none"/>
        </w:rPr>
        <w:fldChar w:fldCharType="begin"/>
      </w:r>
      <w:r>
        <w:rPr>
          <w:highlight w:val="none"/>
        </w:rPr>
        <w:instrText xml:space="preserve"> PAGEREF _Toc166165230 \h </w:instrText>
      </w:r>
      <w:r>
        <w:rPr>
          <w:highlight w:val="none"/>
        </w:rPr>
        <w:fldChar w:fldCharType="separate"/>
      </w:r>
      <w:r>
        <w:rPr>
          <w:highlight w:val="none"/>
        </w:rPr>
        <w:t>498</w:t>
      </w:r>
      <w:r>
        <w:rPr>
          <w:highlight w:val="none"/>
        </w:rPr>
        <w:fldChar w:fldCharType="end"/>
      </w:r>
      <w:r>
        <w:rPr>
          <w:highlight w:val="none"/>
        </w:rPr>
        <w:fldChar w:fldCharType="end"/>
      </w:r>
    </w:p>
    <w:p w14:paraId="515831DD">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"_Toc166165231" </w:instrText>
      </w:r>
      <w:r>
        <w:rPr>
          <w:highlight w:val="none"/>
        </w:rPr>
        <w:fldChar w:fldCharType="separate"/>
      </w:r>
      <w:r>
        <w:rPr>
          <w:rStyle w:val="38"/>
          <w:rFonts w:ascii="宋体" w:hAnsi="宋体" w:eastAsia="宋体" w:cs="Times New Roman"/>
          <w:highlight w:val="none"/>
        </w:rPr>
        <w:t>小学数学教学案例研究课程教学大纲</w:t>
      </w:r>
      <w:r>
        <w:rPr>
          <w:highlight w:val="none"/>
        </w:rPr>
        <w:tab/>
      </w:r>
      <w:r>
        <w:rPr>
          <w:highlight w:val="none"/>
        </w:rPr>
        <w:fldChar w:fldCharType="begin"/>
      </w:r>
      <w:r>
        <w:rPr>
          <w:highlight w:val="none"/>
        </w:rPr>
        <w:instrText xml:space="preserve"> PAGEREF _Toc166165231 \h </w:instrText>
      </w:r>
      <w:r>
        <w:rPr>
          <w:highlight w:val="none"/>
        </w:rPr>
        <w:fldChar w:fldCharType="separate"/>
      </w:r>
      <w:r>
        <w:rPr>
          <w:highlight w:val="none"/>
        </w:rPr>
        <w:t>508</w:t>
      </w:r>
      <w:r>
        <w:rPr>
          <w:highlight w:val="none"/>
        </w:rPr>
        <w:fldChar w:fldCharType="end"/>
      </w:r>
      <w:r>
        <w:rPr>
          <w:highlight w:val="none"/>
        </w:rPr>
        <w:fldChar w:fldCharType="end"/>
      </w:r>
    </w:p>
    <w:p w14:paraId="656AD196">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"_Toc166165232" </w:instrText>
      </w:r>
      <w:r>
        <w:rPr>
          <w:highlight w:val="none"/>
        </w:rPr>
        <w:fldChar w:fldCharType="separate"/>
      </w:r>
      <w:r>
        <w:rPr>
          <w:rStyle w:val="38"/>
          <w:rFonts w:ascii="宋体" w:hAnsi="宋体" w:eastAsia="宋体" w:cs="Times New Roman"/>
          <w:highlight w:val="none"/>
        </w:rPr>
        <w:t>《家校社协同育人》课程教学大纲</w:t>
      </w:r>
      <w:r>
        <w:rPr>
          <w:highlight w:val="none"/>
        </w:rPr>
        <w:tab/>
      </w:r>
      <w:r>
        <w:rPr>
          <w:highlight w:val="none"/>
        </w:rPr>
        <w:fldChar w:fldCharType="begin"/>
      </w:r>
      <w:r>
        <w:rPr>
          <w:highlight w:val="none"/>
        </w:rPr>
        <w:instrText xml:space="preserve"> PAGEREF _Toc166165232 \h </w:instrText>
      </w:r>
      <w:r>
        <w:rPr>
          <w:highlight w:val="none"/>
        </w:rPr>
        <w:fldChar w:fldCharType="separate"/>
      </w:r>
      <w:r>
        <w:rPr>
          <w:highlight w:val="none"/>
        </w:rPr>
        <w:t>518</w:t>
      </w:r>
      <w:r>
        <w:rPr>
          <w:highlight w:val="none"/>
        </w:rPr>
        <w:fldChar w:fldCharType="end"/>
      </w:r>
      <w:r>
        <w:rPr>
          <w:highlight w:val="none"/>
        </w:rPr>
        <w:fldChar w:fldCharType="end"/>
      </w:r>
    </w:p>
    <w:p w14:paraId="511B1358">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"_Toc166165233" </w:instrText>
      </w:r>
      <w:r>
        <w:rPr>
          <w:highlight w:val="none"/>
        </w:rPr>
        <w:fldChar w:fldCharType="separate"/>
      </w:r>
      <w:r>
        <w:rPr>
          <w:rStyle w:val="38"/>
          <w:rFonts w:ascii="宋体" w:hAnsi="宋体" w:eastAsia="宋体" w:cs="宋体"/>
          <w:highlight w:val="none"/>
        </w:rPr>
        <w:t>STEAM课程设计</w:t>
      </w:r>
      <w:r>
        <w:rPr>
          <w:rStyle w:val="38"/>
          <w:rFonts w:ascii="宋体" w:hAnsi="宋体" w:eastAsia="宋体" w:cs="宋体"/>
          <w:highlight w:val="none"/>
          <w:lang w:val="zh-TW"/>
        </w:rPr>
        <w:t>课程教学大纲</w:t>
      </w:r>
      <w:r>
        <w:rPr>
          <w:highlight w:val="none"/>
        </w:rPr>
        <w:tab/>
      </w:r>
      <w:r>
        <w:rPr>
          <w:highlight w:val="none"/>
        </w:rPr>
        <w:fldChar w:fldCharType="begin"/>
      </w:r>
      <w:r>
        <w:rPr>
          <w:highlight w:val="none"/>
        </w:rPr>
        <w:instrText xml:space="preserve"> PAGEREF _Toc166165233 \h </w:instrText>
      </w:r>
      <w:r>
        <w:rPr>
          <w:highlight w:val="none"/>
        </w:rPr>
        <w:fldChar w:fldCharType="separate"/>
      </w:r>
      <w:r>
        <w:rPr>
          <w:highlight w:val="none"/>
        </w:rPr>
        <w:t>527</w:t>
      </w:r>
      <w:r>
        <w:rPr>
          <w:highlight w:val="none"/>
        </w:rPr>
        <w:fldChar w:fldCharType="end"/>
      </w:r>
      <w:r>
        <w:rPr>
          <w:highlight w:val="none"/>
        </w:rPr>
        <w:fldChar w:fldCharType="end"/>
      </w:r>
    </w:p>
    <w:p w14:paraId="6426F2D3">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"_Toc166165234" </w:instrText>
      </w:r>
      <w:r>
        <w:rPr>
          <w:highlight w:val="none"/>
        </w:rPr>
        <w:fldChar w:fldCharType="separate"/>
      </w:r>
      <w:r>
        <w:rPr>
          <w:rStyle w:val="38"/>
          <w:rFonts w:ascii="宋体" w:hAnsi="宋体" w:eastAsia="宋体" w:cs="Times New Roman"/>
          <w:highlight w:val="none"/>
        </w:rPr>
        <w:t>小学跨学科学习课程教学大纲</w:t>
      </w:r>
      <w:r>
        <w:rPr>
          <w:highlight w:val="none"/>
        </w:rPr>
        <w:tab/>
      </w:r>
      <w:r>
        <w:rPr>
          <w:highlight w:val="none"/>
        </w:rPr>
        <w:fldChar w:fldCharType="begin"/>
      </w:r>
      <w:r>
        <w:rPr>
          <w:highlight w:val="none"/>
        </w:rPr>
        <w:instrText xml:space="preserve"> PAGEREF _Toc166165234 \h </w:instrText>
      </w:r>
      <w:r>
        <w:rPr>
          <w:highlight w:val="none"/>
        </w:rPr>
        <w:fldChar w:fldCharType="separate"/>
      </w:r>
      <w:r>
        <w:rPr>
          <w:highlight w:val="none"/>
        </w:rPr>
        <w:t>536</w:t>
      </w:r>
      <w:r>
        <w:rPr>
          <w:highlight w:val="none"/>
        </w:rPr>
        <w:fldChar w:fldCharType="end"/>
      </w:r>
      <w:r>
        <w:rPr>
          <w:highlight w:val="none"/>
        </w:rPr>
        <w:fldChar w:fldCharType="end"/>
      </w:r>
    </w:p>
    <w:p w14:paraId="452E2BC2">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"_Toc166165235" </w:instrText>
      </w:r>
      <w:r>
        <w:rPr>
          <w:highlight w:val="none"/>
        </w:rPr>
        <w:fldChar w:fldCharType="separate"/>
      </w:r>
      <w:r>
        <w:rPr>
          <w:rStyle w:val="38"/>
          <w:rFonts w:ascii="Times New Roman" w:hAnsi="Times New Roman" w:eastAsia="宋体" w:cs="Times New Roman"/>
          <w:highlight w:val="none"/>
        </w:rPr>
        <w:t>教育见习I课程教学大纲</w:t>
      </w:r>
      <w:r>
        <w:rPr>
          <w:highlight w:val="none"/>
        </w:rPr>
        <w:tab/>
      </w:r>
      <w:r>
        <w:rPr>
          <w:highlight w:val="none"/>
        </w:rPr>
        <w:fldChar w:fldCharType="begin"/>
      </w:r>
      <w:r>
        <w:rPr>
          <w:highlight w:val="none"/>
        </w:rPr>
        <w:instrText xml:space="preserve"> PAGEREF _Toc166165235 \h </w:instrText>
      </w:r>
      <w:r>
        <w:rPr>
          <w:highlight w:val="none"/>
        </w:rPr>
        <w:fldChar w:fldCharType="separate"/>
      </w:r>
      <w:r>
        <w:rPr>
          <w:highlight w:val="none"/>
        </w:rPr>
        <w:t>545</w:t>
      </w:r>
      <w:r>
        <w:rPr>
          <w:highlight w:val="none"/>
        </w:rPr>
        <w:fldChar w:fldCharType="end"/>
      </w:r>
      <w:r>
        <w:rPr>
          <w:highlight w:val="none"/>
        </w:rPr>
        <w:fldChar w:fldCharType="end"/>
      </w:r>
    </w:p>
    <w:p w14:paraId="0B54E498">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"_Toc166165236" </w:instrText>
      </w:r>
      <w:r>
        <w:rPr>
          <w:highlight w:val="none"/>
        </w:rPr>
        <w:fldChar w:fldCharType="separate"/>
      </w:r>
      <w:r>
        <w:rPr>
          <w:rStyle w:val="38"/>
          <w:rFonts w:ascii="Times New Roman" w:hAnsi="Times New Roman" w:eastAsia="宋体" w:cs="Times New Roman"/>
          <w:highlight w:val="none"/>
        </w:rPr>
        <w:t>教育见习Ⅱ教学大纲</w:t>
      </w:r>
      <w:r>
        <w:rPr>
          <w:highlight w:val="none"/>
        </w:rPr>
        <w:tab/>
      </w:r>
      <w:r>
        <w:rPr>
          <w:highlight w:val="none"/>
        </w:rPr>
        <w:fldChar w:fldCharType="begin"/>
      </w:r>
      <w:r>
        <w:rPr>
          <w:highlight w:val="none"/>
        </w:rPr>
        <w:instrText xml:space="preserve"> PAGEREF _Toc166165236 \h </w:instrText>
      </w:r>
      <w:r>
        <w:rPr>
          <w:highlight w:val="none"/>
        </w:rPr>
        <w:fldChar w:fldCharType="separate"/>
      </w:r>
      <w:r>
        <w:rPr>
          <w:highlight w:val="none"/>
        </w:rPr>
        <w:t>552</w:t>
      </w:r>
      <w:r>
        <w:rPr>
          <w:highlight w:val="none"/>
        </w:rPr>
        <w:fldChar w:fldCharType="end"/>
      </w:r>
      <w:r>
        <w:rPr>
          <w:highlight w:val="none"/>
        </w:rPr>
        <w:fldChar w:fldCharType="end"/>
      </w:r>
    </w:p>
    <w:p w14:paraId="3FC1DCC1">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"_Toc166165237" </w:instrText>
      </w:r>
      <w:r>
        <w:rPr>
          <w:highlight w:val="none"/>
        </w:rPr>
        <w:fldChar w:fldCharType="separate"/>
      </w:r>
      <w:r>
        <w:rPr>
          <w:rStyle w:val="38"/>
          <w:rFonts w:ascii="宋体" w:hAnsi="宋体" w:eastAsia="宋体" w:cs="Times New Roman"/>
          <w:highlight w:val="none"/>
        </w:rPr>
        <w:t>《认知实习》课程教学大纲</w:t>
      </w:r>
      <w:r>
        <w:rPr>
          <w:highlight w:val="none"/>
        </w:rPr>
        <w:tab/>
      </w:r>
      <w:r>
        <w:rPr>
          <w:highlight w:val="none"/>
        </w:rPr>
        <w:fldChar w:fldCharType="begin"/>
      </w:r>
      <w:r>
        <w:rPr>
          <w:highlight w:val="none"/>
        </w:rPr>
        <w:instrText xml:space="preserve"> PAGEREF _Toc166165237 \h </w:instrText>
      </w:r>
      <w:r>
        <w:rPr>
          <w:highlight w:val="none"/>
        </w:rPr>
        <w:fldChar w:fldCharType="separate"/>
      </w:r>
      <w:r>
        <w:rPr>
          <w:highlight w:val="none"/>
        </w:rPr>
        <w:t>559</w:t>
      </w:r>
      <w:r>
        <w:rPr>
          <w:highlight w:val="none"/>
        </w:rPr>
        <w:fldChar w:fldCharType="end"/>
      </w:r>
      <w:r>
        <w:rPr>
          <w:highlight w:val="none"/>
        </w:rPr>
        <w:fldChar w:fldCharType="end"/>
      </w:r>
    </w:p>
    <w:p w14:paraId="3C8DC684">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"_Toc166165238" </w:instrText>
      </w:r>
      <w:r>
        <w:rPr>
          <w:highlight w:val="none"/>
        </w:rPr>
        <w:fldChar w:fldCharType="separate"/>
      </w:r>
      <w:r>
        <w:rPr>
          <w:rStyle w:val="38"/>
          <w:rFonts w:ascii="宋体" w:hAnsi="宋体" w:eastAsia="宋体" w:cs="Times New Roman"/>
          <w:highlight w:val="none"/>
        </w:rPr>
        <w:t>教学实训课程教学大纲</w:t>
      </w:r>
      <w:r>
        <w:rPr>
          <w:highlight w:val="none"/>
        </w:rPr>
        <w:tab/>
      </w:r>
      <w:r>
        <w:rPr>
          <w:highlight w:val="none"/>
        </w:rPr>
        <w:fldChar w:fldCharType="begin"/>
      </w:r>
      <w:r>
        <w:rPr>
          <w:highlight w:val="none"/>
        </w:rPr>
        <w:instrText xml:space="preserve"> PAGEREF _Toc166165238 \h </w:instrText>
      </w:r>
      <w:r>
        <w:rPr>
          <w:highlight w:val="none"/>
        </w:rPr>
        <w:fldChar w:fldCharType="separate"/>
      </w:r>
      <w:r>
        <w:rPr>
          <w:highlight w:val="none"/>
        </w:rPr>
        <w:t>572</w:t>
      </w:r>
      <w:r>
        <w:rPr>
          <w:highlight w:val="none"/>
        </w:rPr>
        <w:fldChar w:fldCharType="end"/>
      </w:r>
      <w:r>
        <w:rPr>
          <w:highlight w:val="none"/>
        </w:rPr>
        <w:fldChar w:fldCharType="end"/>
      </w:r>
    </w:p>
    <w:p w14:paraId="41040796">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"_Toc166165239" </w:instrText>
      </w:r>
      <w:r>
        <w:rPr>
          <w:highlight w:val="none"/>
        </w:rPr>
        <w:fldChar w:fldCharType="separate"/>
      </w:r>
      <w:r>
        <w:rPr>
          <w:rStyle w:val="38"/>
          <w:rFonts w:ascii="Times New Roman" w:hAnsi="Times New Roman" w:eastAsia="宋体" w:cs="Times New Roman"/>
          <w:highlight w:val="none"/>
        </w:rPr>
        <w:t>教育研习课程教学大纲</w:t>
      </w:r>
      <w:r>
        <w:rPr>
          <w:highlight w:val="none"/>
        </w:rPr>
        <w:tab/>
      </w:r>
      <w:r>
        <w:rPr>
          <w:highlight w:val="none"/>
        </w:rPr>
        <w:fldChar w:fldCharType="begin"/>
      </w:r>
      <w:r>
        <w:rPr>
          <w:highlight w:val="none"/>
        </w:rPr>
        <w:instrText xml:space="preserve"> PAGEREF _Toc166165239 \h </w:instrText>
      </w:r>
      <w:r>
        <w:rPr>
          <w:highlight w:val="none"/>
        </w:rPr>
        <w:fldChar w:fldCharType="separate"/>
      </w:r>
      <w:r>
        <w:rPr>
          <w:highlight w:val="none"/>
        </w:rPr>
        <w:t>577</w:t>
      </w:r>
      <w:r>
        <w:rPr>
          <w:highlight w:val="none"/>
        </w:rPr>
        <w:fldChar w:fldCharType="end"/>
      </w:r>
      <w:r>
        <w:rPr>
          <w:highlight w:val="none"/>
        </w:rPr>
        <w:fldChar w:fldCharType="end"/>
      </w:r>
    </w:p>
    <w:p w14:paraId="3FC8B18F">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"_Toc166165240" </w:instrText>
      </w:r>
      <w:r>
        <w:rPr>
          <w:highlight w:val="none"/>
        </w:rPr>
        <w:fldChar w:fldCharType="separate"/>
      </w:r>
      <w:r>
        <w:rPr>
          <w:rStyle w:val="38"/>
          <w:rFonts w:ascii="宋体" w:hAnsi="宋体" w:eastAsia="宋体" w:cs="Times New Roman"/>
          <w:highlight w:val="none"/>
        </w:rPr>
        <w:t>教育实习I课程教学大纲</w:t>
      </w:r>
      <w:r>
        <w:rPr>
          <w:highlight w:val="none"/>
        </w:rPr>
        <w:tab/>
      </w:r>
      <w:r>
        <w:rPr>
          <w:highlight w:val="none"/>
        </w:rPr>
        <w:fldChar w:fldCharType="begin"/>
      </w:r>
      <w:r>
        <w:rPr>
          <w:highlight w:val="none"/>
        </w:rPr>
        <w:instrText xml:space="preserve"> PAGEREF _Toc166165240 \h </w:instrText>
      </w:r>
      <w:r>
        <w:rPr>
          <w:highlight w:val="none"/>
        </w:rPr>
        <w:fldChar w:fldCharType="separate"/>
      </w:r>
      <w:r>
        <w:rPr>
          <w:highlight w:val="none"/>
        </w:rPr>
        <w:t>585</w:t>
      </w:r>
      <w:r>
        <w:rPr>
          <w:highlight w:val="none"/>
        </w:rPr>
        <w:fldChar w:fldCharType="end"/>
      </w:r>
      <w:r>
        <w:rPr>
          <w:highlight w:val="none"/>
        </w:rPr>
        <w:fldChar w:fldCharType="end"/>
      </w:r>
    </w:p>
    <w:p w14:paraId="7F9A2359">
      <w:pPr>
        <w:pStyle w:val="21"/>
        <w:rPr>
          <w:rFonts w:eastAsiaTheme="minorEastAsia"/>
          <w:b w:val="0"/>
          <w:bCs w:val="0"/>
          <w:caps w:val="0"/>
          <w:sz w:val="21"/>
          <w:szCs w:val="22"/>
          <w:highlight w:val="none"/>
          <w14:ligatures w14:val="standardContextual"/>
        </w:rPr>
      </w:pPr>
      <w:r>
        <w:rPr>
          <w:highlight w:val="none"/>
        </w:rPr>
        <w:fldChar w:fldCharType="begin"/>
      </w:r>
      <w:r>
        <w:rPr>
          <w:highlight w:val="none"/>
        </w:rPr>
        <w:instrText xml:space="preserve"> HYPERLINK \l "_Toc166165241" </w:instrText>
      </w:r>
      <w:r>
        <w:rPr>
          <w:highlight w:val="none"/>
        </w:rPr>
        <w:fldChar w:fldCharType="separate"/>
      </w:r>
      <w:r>
        <w:rPr>
          <w:rStyle w:val="38"/>
          <w:rFonts w:ascii="宋体" w:hAnsi="宋体" w:eastAsia="宋体" w:cs="Times New Roman"/>
          <w:highlight w:val="none"/>
        </w:rPr>
        <w:t>教育实习II课程教学大纲</w:t>
      </w:r>
      <w:r>
        <w:rPr>
          <w:highlight w:val="none"/>
        </w:rPr>
        <w:tab/>
      </w:r>
      <w:r>
        <w:rPr>
          <w:highlight w:val="none"/>
        </w:rPr>
        <w:fldChar w:fldCharType="begin"/>
      </w:r>
      <w:r>
        <w:rPr>
          <w:highlight w:val="none"/>
        </w:rPr>
        <w:instrText xml:space="preserve"> PAGEREF _Toc166165241 \h </w:instrText>
      </w:r>
      <w:r>
        <w:rPr>
          <w:highlight w:val="none"/>
        </w:rPr>
        <w:fldChar w:fldCharType="separate"/>
      </w:r>
      <w:r>
        <w:rPr>
          <w:highlight w:val="none"/>
        </w:rPr>
        <w:t>593</w:t>
      </w:r>
      <w:r>
        <w:rPr>
          <w:highlight w:val="none"/>
        </w:rPr>
        <w:fldChar w:fldCharType="end"/>
      </w:r>
      <w:r>
        <w:rPr>
          <w:highlight w:val="none"/>
        </w:rPr>
        <w:fldChar w:fldCharType="end"/>
      </w:r>
    </w:p>
    <w:p w14:paraId="5947C1F7">
      <w:pPr>
        <w:pStyle w:val="21"/>
        <w:rPr>
          <w:highlight w:val="none"/>
        </w:rPr>
      </w:pPr>
      <w:r>
        <w:rPr>
          <w:highlight w:val="none"/>
        </w:rPr>
        <w:fldChar w:fldCharType="begin"/>
      </w:r>
      <w:r>
        <w:rPr>
          <w:highlight w:val="none"/>
        </w:rPr>
        <w:instrText xml:space="preserve"> HYPERLINK \l "_Toc166165242" </w:instrText>
      </w:r>
      <w:r>
        <w:rPr>
          <w:highlight w:val="none"/>
        </w:rPr>
        <w:fldChar w:fldCharType="separate"/>
      </w:r>
      <w:r>
        <w:rPr>
          <w:rStyle w:val="38"/>
          <w:rFonts w:ascii="Times New Roman" w:hAnsi="Times New Roman" w:eastAsia="宋体" w:cs="Times New Roman"/>
          <w:highlight w:val="none"/>
        </w:rPr>
        <w:t>毕业论文课程教学大纲</w:t>
      </w:r>
      <w:r>
        <w:rPr>
          <w:highlight w:val="none"/>
        </w:rPr>
        <w:tab/>
      </w:r>
      <w:r>
        <w:rPr>
          <w:highlight w:val="none"/>
        </w:rPr>
        <w:fldChar w:fldCharType="begin"/>
      </w:r>
      <w:r>
        <w:rPr>
          <w:highlight w:val="none"/>
        </w:rPr>
        <w:instrText xml:space="preserve"> PAGEREF _Toc166165242 \h </w:instrText>
      </w:r>
      <w:r>
        <w:rPr>
          <w:highlight w:val="none"/>
        </w:rPr>
        <w:fldChar w:fldCharType="separate"/>
      </w:r>
      <w:r>
        <w:rPr>
          <w:highlight w:val="none"/>
        </w:rPr>
        <w:t>600</w:t>
      </w:r>
      <w:r>
        <w:rPr>
          <w:highlight w:val="none"/>
        </w:rPr>
        <w:fldChar w:fldCharType="end"/>
      </w:r>
      <w:r>
        <w:rPr>
          <w:highlight w:val="none"/>
        </w:rPr>
        <w:fldChar w:fldCharType="end"/>
      </w:r>
    </w:p>
    <w:p w14:paraId="5C0D7598">
      <w:pPr>
        <w:spacing w:line="720" w:lineRule="auto"/>
        <w:jc w:val="both"/>
        <w:outlineLvl w:val="0"/>
        <w:rPr>
          <w:bCs/>
          <w:szCs w:val="36"/>
        </w:rPr>
      </w:pPr>
      <w:r>
        <w:rPr>
          <w:bCs/>
          <w:szCs w:val="36"/>
        </w:rPr>
        <w:fldChar w:fldCharType="end"/>
      </w:r>
    </w:p>
    <w:p w14:paraId="20C8E134">
      <w:pPr>
        <w:rPr>
          <w:bCs/>
          <w:szCs w:val="36"/>
        </w:rPr>
      </w:pPr>
    </w:p>
    <w:p w14:paraId="4AA05891">
      <w:pPr>
        <w:rPr>
          <w:bCs/>
          <w:szCs w:val="36"/>
        </w:rPr>
      </w:pPr>
      <w:r>
        <w:rPr>
          <w:bCs/>
          <w:szCs w:val="36"/>
        </w:rPr>
        <w:br w:type="page"/>
      </w:r>
    </w:p>
    <w:p w14:paraId="5D94DEB8">
      <w:pPr>
        <w:pStyle w:val="2"/>
        <w:bidi w:val="0"/>
      </w:pPr>
      <w:r>
        <w:rPr>
          <w:rFonts w:hint="eastAsia"/>
          <w:lang w:eastAsia="zh-CN"/>
        </w:rPr>
        <w:t>《</w:t>
      </w:r>
      <w:r>
        <w:rPr>
          <w:rFonts w:hint="eastAsia"/>
        </w:rPr>
        <w:t>体育I</w:t>
      </w:r>
      <w:r>
        <w:rPr>
          <w:rFonts w:hint="eastAsia"/>
          <w:lang w:eastAsia="zh-CN"/>
        </w:rPr>
        <w:t>》</w:t>
      </w:r>
      <w:r>
        <w:rPr>
          <w:rFonts w:hint="eastAsia"/>
        </w:rPr>
        <w:t>课程教学大纲</w:t>
      </w:r>
    </w:p>
    <w:p w14:paraId="17F93335">
      <w:pPr>
        <w:pStyle w:val="3"/>
        <w:bidi w:val="0"/>
        <w:rPr>
          <w:rFonts w:ascii="仿宋" w:hAnsi="仿宋" w:eastAsia="仿宋"/>
          <w:b/>
          <w:bCs/>
        </w:rPr>
      </w:pPr>
      <w:r>
        <w:t>（Physical  Education I）</w:t>
      </w:r>
    </w:p>
    <w:p w14:paraId="7EA45E1C">
      <w:pPr>
        <w:pStyle w:val="4"/>
        <w:bidi w:val="0"/>
      </w:pPr>
      <w:r>
        <w:t>一、课程概况</w:t>
      </w:r>
    </w:p>
    <w:p w14:paraId="539636B0">
      <w:pPr>
        <w:spacing w:line="360" w:lineRule="auto"/>
        <w:ind w:firstLine="482" w:firstLineChars="200"/>
        <w:rPr>
          <w:rFonts w:ascii="仿宋" w:hAnsi="仿宋" w:eastAsia="仿宋"/>
          <w:b/>
          <w:sz w:val="24"/>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11010</w:t>
      </w:r>
      <w:r>
        <w:rPr>
          <w:rFonts w:ascii="仿宋" w:hAnsi="仿宋" w:eastAsia="仿宋"/>
          <w:bCs/>
          <w:kern w:val="0"/>
          <w:sz w:val="24"/>
        </w:rPr>
        <w:t>10</w:t>
      </w:r>
    </w:p>
    <w:p w14:paraId="1B4B4F32">
      <w:pPr>
        <w:spacing w:line="360" w:lineRule="auto"/>
        <w:ind w:firstLine="482" w:firstLineChars="200"/>
        <w:rPr>
          <w:rFonts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62DD6D0B">
      <w:pPr>
        <w:spacing w:line="360" w:lineRule="auto"/>
        <w:ind w:firstLine="482" w:firstLineChars="200"/>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40254361">
      <w:pPr>
        <w:spacing w:line="360" w:lineRule="auto"/>
        <w:ind w:firstLine="482" w:firstLineChars="200"/>
        <w:rPr>
          <w:rFonts w:ascii="仿宋" w:hAnsi="仿宋" w:eastAsia="仿宋"/>
          <w:kern w:val="0"/>
          <w:sz w:val="24"/>
        </w:rPr>
      </w:pPr>
      <w:r>
        <w:rPr>
          <w:rFonts w:ascii="仿宋" w:hAnsi="仿宋" w:eastAsia="仿宋"/>
          <w:b/>
          <w:bCs/>
          <w:kern w:val="0"/>
          <w:sz w:val="24"/>
        </w:rPr>
        <w:t>先修课程</w:t>
      </w:r>
      <w:r>
        <w:rPr>
          <w:rFonts w:ascii="仿宋" w:hAnsi="仿宋" w:eastAsia="仿宋"/>
          <w:b/>
          <w:kern w:val="0"/>
          <w:sz w:val="24"/>
        </w:rPr>
        <w:t>：</w:t>
      </w:r>
      <w:r>
        <w:rPr>
          <w:rFonts w:hint="eastAsia" w:ascii="仿宋" w:hAnsi="仿宋" w:eastAsia="仿宋"/>
          <w:bCs/>
          <w:kern w:val="0"/>
          <w:sz w:val="24"/>
        </w:rPr>
        <w:t>无</w:t>
      </w:r>
    </w:p>
    <w:p w14:paraId="097033E7">
      <w:pPr>
        <w:spacing w:line="360" w:lineRule="auto"/>
        <w:ind w:firstLine="482" w:firstLineChars="200"/>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5BF8DFAA">
      <w:pPr>
        <w:spacing w:line="360" w:lineRule="auto"/>
        <w:ind w:firstLine="482" w:firstLineChars="200"/>
        <w:rPr>
          <w:rFonts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 xml:space="preserve">   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7F704A60">
      <w:pPr>
        <w:spacing w:line="360" w:lineRule="auto"/>
        <w:ind w:firstLine="482" w:firstLineChars="200"/>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56E2695F">
      <w:pPr>
        <w:autoSpaceDE w:val="0"/>
        <w:autoSpaceDN w:val="0"/>
        <w:adjustRightInd w:val="0"/>
        <w:spacing w:line="360" w:lineRule="auto"/>
        <w:ind w:firstLine="482" w:firstLineChars="200"/>
        <w:jc w:val="left"/>
        <w:rPr>
          <w:rFonts w:ascii="仿宋" w:hAnsi="仿宋" w:eastAsia="仿宋"/>
          <w:sz w:val="24"/>
        </w:rPr>
      </w:pPr>
      <w:bookmarkStart w:id="0" w:name="_Hlk27938417"/>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本课程是面向全校各专业开设的以身体练习为主要手段，以培养学生体育人文素养和塑造健全人格为主要目的，以提高学生体质健康水平为主要目标的通识必修课。其教学安排在第一学年第一学期进行。</w:t>
      </w:r>
    </w:p>
    <w:p w14:paraId="369291C6">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通过本课程的学习，</w:t>
      </w:r>
      <w:r>
        <w:rPr>
          <w:rFonts w:hint="eastAsia" w:ascii="仿宋" w:hAnsi="仿宋" w:eastAsia="仿宋"/>
          <w:sz w:val="24"/>
        </w:rPr>
        <w:t>使学生掌握和应用基本的体育与健康知识及运动技能，增强学生体质与健康水平，激发学生参与体育活动的兴趣，促进身心和谐发展和体育技能与素养的提高。坚持以立德树人为根本，通过融入社会主义核心价值观、做人做</w:t>
      </w:r>
      <w:r>
        <w:rPr>
          <w:rFonts w:ascii="仿宋" w:hAnsi="仿宋" w:eastAsia="仿宋"/>
          <w:sz w:val="24"/>
        </w:rPr>
        <w:t>事的道理</w:t>
      </w:r>
      <w:r>
        <w:rPr>
          <w:rFonts w:hint="eastAsia" w:ascii="仿宋" w:hAnsi="仿宋" w:eastAsia="仿宋"/>
          <w:sz w:val="24"/>
        </w:rPr>
        <w:t>和</w:t>
      </w:r>
      <w:r>
        <w:rPr>
          <w:rFonts w:ascii="仿宋" w:hAnsi="仿宋" w:eastAsia="仿宋"/>
          <w:sz w:val="24"/>
        </w:rPr>
        <w:t>体育精神</w:t>
      </w:r>
      <w:r>
        <w:rPr>
          <w:rFonts w:hint="eastAsia" w:ascii="仿宋" w:hAnsi="仿宋" w:eastAsia="仿宋"/>
          <w:sz w:val="24"/>
        </w:rPr>
        <w:t>等课程思政元素，培养学生的爱国情怀、体育道德、规则意识、合作精神和意志</w:t>
      </w:r>
      <w:r>
        <w:rPr>
          <w:rFonts w:ascii="仿宋" w:hAnsi="仿宋" w:eastAsia="仿宋"/>
          <w:sz w:val="24"/>
        </w:rPr>
        <w:t>品质</w:t>
      </w:r>
      <w:r>
        <w:rPr>
          <w:rFonts w:hint="eastAsia" w:ascii="仿宋" w:hAnsi="仿宋" w:eastAsia="仿宋"/>
          <w:sz w:val="24"/>
        </w:rPr>
        <w:t>，增强与他人交流沟通、团结合作的能力，提升学生体育核心素养。本课程将为后续课程的学习以及相关课程的学习与训练奠定重要的基础。</w:t>
      </w:r>
    </w:p>
    <w:bookmarkEnd w:id="0"/>
    <w:p w14:paraId="1E3DF6E5">
      <w:pPr>
        <w:pStyle w:val="4"/>
        <w:bidi w:val="0"/>
      </w:pPr>
      <w:r>
        <w:rPr>
          <w:rFonts w:hint="eastAsia"/>
        </w:rPr>
        <w:t>二</w:t>
      </w:r>
      <w:r>
        <w:t>、课程目标</w:t>
      </w:r>
      <w:r>
        <w:rPr>
          <w:rFonts w:hint="eastAsia"/>
        </w:rPr>
        <w:t>与毕业要求指标点对应关系</w:t>
      </w:r>
    </w:p>
    <w:p w14:paraId="78933778">
      <w:pPr>
        <w:spacing w:line="360" w:lineRule="auto"/>
        <w:ind w:firstLine="480" w:firstLineChars="200"/>
        <w:rPr>
          <w:rFonts w:ascii="仿宋" w:hAnsi="仿宋" w:eastAsia="仿宋"/>
          <w:sz w:val="24"/>
        </w:rPr>
      </w:pPr>
      <w:r>
        <w:rPr>
          <w:rFonts w:hint="eastAsia" w:ascii="仿宋" w:hAnsi="仿宋" w:eastAsia="仿宋"/>
          <w:sz w:val="24"/>
        </w:rPr>
        <w:t>目标1：全面发展体能，提高运动能力，掌握体育基本理论知识和基本技术，了解体育锻炼的健身原理，具有一定的体育文化素养和欣赏能力。树立“健康第一”思想和正确的体育道德观，增强团结协作意识、规则意识、公平意识和积极进取意识。</w:t>
      </w:r>
    </w:p>
    <w:p w14:paraId="3AB94973">
      <w:pPr>
        <w:spacing w:line="360" w:lineRule="auto"/>
        <w:ind w:firstLine="480" w:firstLineChars="200"/>
        <w:rPr>
          <w:rFonts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：积极参与各种体育活动，掌握所学项目的基本技能和锻炼方法，能科学地进行体育锻炼，掌握常见运动损伤的处理方法。学会利用体育调节身心，改善心理状态，养成积极乐观的生活态度。</w:t>
      </w:r>
    </w:p>
    <w:p w14:paraId="68B5829E">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4533364F">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56409D39">
            <w:pPr>
              <w:widowControl/>
              <w:jc w:val="center"/>
              <w:rPr>
                <w:rFonts w:ascii="仿宋" w:hAnsi="仿宋" w:eastAsia="仿宋"/>
                <w:kern w:val="0"/>
                <w:szCs w:val="21"/>
              </w:rPr>
            </w:pPr>
            <w:r>
              <w:rPr>
                <w:rFonts w:ascii="仿宋" w:hAnsi="仿宋" w:eastAsia="仿宋"/>
                <w:kern w:val="0"/>
                <w:szCs w:val="21"/>
              </w:rPr>
              <w:t>毕业要求</w:t>
            </w:r>
          </w:p>
          <w:p w14:paraId="601D4D8E">
            <w:pPr>
              <w:widowControl/>
              <w:jc w:val="center"/>
              <w:rPr>
                <w:rFonts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3409C150">
            <w:pPr>
              <w:widowControl/>
              <w:jc w:val="center"/>
              <w:rPr>
                <w:rFonts w:ascii="仿宋" w:hAnsi="仿宋" w:eastAsia="仿宋"/>
                <w:kern w:val="0"/>
                <w:szCs w:val="21"/>
              </w:rPr>
            </w:pPr>
            <w:r>
              <w:rPr>
                <w:rFonts w:ascii="仿宋" w:hAnsi="仿宋" w:eastAsia="仿宋"/>
                <w:kern w:val="0"/>
                <w:szCs w:val="21"/>
              </w:rPr>
              <w:t>课程目标</w:t>
            </w:r>
          </w:p>
        </w:tc>
      </w:tr>
      <w:tr w14:paraId="2CC3A125">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6364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5B69793C">
            <w:pPr>
              <w:widowControl/>
              <w:jc w:val="center"/>
              <w:rPr>
                <w:rFonts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5BD0267D">
            <w:pPr>
              <w:widowControl/>
              <w:jc w:val="center"/>
              <w:rPr>
                <w:rFonts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0C235D98">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0F6CBC8">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F215D54">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68DF9BD">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84EC043">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42DA4DD8">
            <w:pPr>
              <w:widowControl/>
              <w:jc w:val="center"/>
              <w:rPr>
                <w:rFonts w:ascii="仿宋" w:hAnsi="仿宋" w:eastAsia="仿宋"/>
                <w:kern w:val="0"/>
                <w:szCs w:val="21"/>
              </w:rPr>
            </w:pPr>
          </w:p>
        </w:tc>
      </w:tr>
      <w:tr w14:paraId="2AD81266">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74B4F232">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4BF24447">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165651B">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6105EDF7">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35DC97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573CDF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DAC3A2D">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E534272">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3C3366E0">
            <w:pPr>
              <w:widowControl/>
              <w:jc w:val="center"/>
              <w:rPr>
                <w:rFonts w:ascii="仿宋" w:hAnsi="仿宋" w:eastAsia="仿宋"/>
                <w:kern w:val="0"/>
                <w:szCs w:val="21"/>
              </w:rPr>
            </w:pPr>
          </w:p>
        </w:tc>
      </w:tr>
      <w:tr w14:paraId="0B23EBF3">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127F7793">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6915F607">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D0B5035">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447D2FA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F84255A">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2AF7331">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EDD521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E68536C">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F710E9B">
            <w:pPr>
              <w:widowControl/>
              <w:jc w:val="center"/>
              <w:rPr>
                <w:rFonts w:ascii="仿宋" w:hAnsi="仿宋" w:eastAsia="仿宋"/>
                <w:kern w:val="0"/>
                <w:szCs w:val="21"/>
              </w:rPr>
            </w:pPr>
          </w:p>
        </w:tc>
      </w:tr>
    </w:tbl>
    <w:p w14:paraId="3D05AF10">
      <w:pPr>
        <w:pStyle w:val="4"/>
        <w:bidi w:val="0"/>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4E0B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35B4D784">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5DC6714E">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7DD8319C">
            <w:pPr>
              <w:jc w:val="center"/>
              <w:rPr>
                <w:rFonts w:ascii="仿宋" w:hAnsi="仿宋" w:eastAsia="仿宋"/>
                <w:b/>
                <w:bCs/>
                <w:szCs w:val="21"/>
              </w:rPr>
            </w:pPr>
            <w:r>
              <w:rPr>
                <w:rFonts w:ascii="仿宋" w:hAnsi="仿宋" w:eastAsia="仿宋"/>
                <w:b/>
                <w:bCs/>
                <w:szCs w:val="21"/>
              </w:rPr>
              <w:t>思政</w:t>
            </w:r>
          </w:p>
          <w:p w14:paraId="12EC712B">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425CD884">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228FE4E3">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44758FF2">
            <w:pPr>
              <w:jc w:val="center"/>
              <w:rPr>
                <w:rFonts w:ascii="仿宋" w:hAnsi="仿宋" w:eastAsia="仿宋"/>
                <w:b/>
                <w:bCs/>
                <w:szCs w:val="21"/>
              </w:rPr>
            </w:pPr>
            <w:r>
              <w:rPr>
                <w:rFonts w:ascii="仿宋" w:hAnsi="仿宋" w:eastAsia="仿宋"/>
                <w:b/>
                <w:bCs/>
                <w:szCs w:val="21"/>
              </w:rPr>
              <w:t>教学</w:t>
            </w:r>
          </w:p>
          <w:p w14:paraId="3850B185">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596BAEAF">
            <w:pPr>
              <w:jc w:val="center"/>
              <w:rPr>
                <w:rFonts w:ascii="仿宋" w:hAnsi="仿宋" w:eastAsia="仿宋"/>
                <w:b/>
                <w:bCs/>
                <w:szCs w:val="21"/>
              </w:rPr>
            </w:pPr>
            <w:r>
              <w:rPr>
                <w:rFonts w:ascii="仿宋" w:hAnsi="仿宋" w:eastAsia="仿宋"/>
                <w:b/>
                <w:bCs/>
                <w:szCs w:val="21"/>
              </w:rPr>
              <w:t>支撑课程目标</w:t>
            </w:r>
          </w:p>
        </w:tc>
      </w:tr>
      <w:tr w14:paraId="5F31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298EA6B">
            <w:pPr>
              <w:jc w:val="center"/>
              <w:rPr>
                <w:rFonts w:ascii="仿宋" w:hAnsi="仿宋" w:eastAsia="仿宋"/>
                <w:szCs w:val="21"/>
              </w:rPr>
            </w:pPr>
            <w:r>
              <w:rPr>
                <w:rFonts w:ascii="仿宋" w:hAnsi="仿宋" w:eastAsia="仿宋"/>
                <w:szCs w:val="21"/>
              </w:rPr>
              <w:t>1</w:t>
            </w:r>
          </w:p>
        </w:tc>
        <w:tc>
          <w:tcPr>
            <w:tcW w:w="1623" w:type="pct"/>
            <w:noWrap w:val="0"/>
            <w:vAlign w:val="center"/>
          </w:tcPr>
          <w:p w14:paraId="7246F29F">
            <w:pPr>
              <w:spacing w:line="240" w:lineRule="exact"/>
              <w:jc w:val="left"/>
              <w:rPr>
                <w:rFonts w:ascii="仿宋" w:hAnsi="仿宋" w:eastAsia="仿宋"/>
                <w:b/>
                <w:szCs w:val="21"/>
              </w:rPr>
            </w:pPr>
            <w:r>
              <w:rPr>
                <w:rFonts w:hint="eastAsia" w:ascii="仿宋" w:hAnsi="仿宋" w:eastAsia="仿宋"/>
                <w:b/>
                <w:szCs w:val="21"/>
              </w:rPr>
              <w:t>㈠体育理论部分:</w:t>
            </w:r>
          </w:p>
          <w:p w14:paraId="3446F996">
            <w:pPr>
              <w:spacing w:line="240" w:lineRule="exact"/>
              <w:jc w:val="left"/>
              <w:rPr>
                <w:rFonts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2DE922BB">
            <w:pPr>
              <w:spacing w:line="240" w:lineRule="exact"/>
              <w:rPr>
                <w:rFonts w:ascii="仿宋" w:hAnsi="仿宋" w:eastAsia="仿宋"/>
                <w:bCs/>
              </w:rPr>
            </w:pPr>
            <w:r>
              <w:rPr>
                <w:rFonts w:hint="eastAsia" w:ascii="仿宋" w:hAnsi="仿宋" w:eastAsia="仿宋"/>
                <w:bCs/>
              </w:rPr>
              <w:t>2</w:t>
            </w:r>
            <w:r>
              <w:rPr>
                <w:rFonts w:ascii="仿宋" w:hAnsi="仿宋" w:eastAsia="仿宋"/>
                <w:bCs/>
              </w:rPr>
              <w:t>.</w:t>
            </w:r>
            <w:r>
              <w:rPr>
                <w:rFonts w:hint="eastAsia" w:ascii="仿宋" w:hAnsi="仿宋" w:eastAsia="仿宋"/>
                <w:bCs/>
              </w:rPr>
              <w:t>体育安全教育：我校体育课堂管理规定、体育运动伤害事故的安全教育及预防与处理措施、常见运动损伤的预防与处理等；</w:t>
            </w:r>
          </w:p>
          <w:p w14:paraId="3CA12DAB">
            <w:pPr>
              <w:spacing w:line="240" w:lineRule="exact"/>
              <w:rPr>
                <w:rFonts w:ascii="仿宋" w:hAnsi="仿宋" w:eastAsia="仿宋"/>
                <w:bCs/>
              </w:rPr>
            </w:pPr>
            <w:r>
              <w:rPr>
                <w:rFonts w:hint="eastAsia" w:ascii="仿宋" w:hAnsi="仿宋" w:eastAsia="仿宋"/>
                <w:bCs/>
              </w:rPr>
              <w:t>3.体育基本理论：各运动项目的基本技战术知识、组织与竞赛、基本规则和裁判法，大学体育</w:t>
            </w:r>
            <w:r>
              <w:rPr>
                <w:rFonts w:ascii="仿宋" w:hAnsi="仿宋" w:eastAsia="仿宋"/>
                <w:bCs/>
              </w:rPr>
              <w:t>概述</w:t>
            </w:r>
            <w:r>
              <w:rPr>
                <w:rFonts w:hint="eastAsia" w:ascii="仿宋" w:hAnsi="仿宋" w:eastAsia="仿宋"/>
                <w:bCs/>
              </w:rPr>
              <w:t>、</w:t>
            </w:r>
            <w:r>
              <w:rPr>
                <w:rFonts w:hint="eastAsia" w:ascii="仿宋" w:hAnsi="仿宋" w:eastAsia="仿宋"/>
                <w:szCs w:val="21"/>
              </w:rPr>
              <w:t>体育锻炼与健康、体质测量</w:t>
            </w:r>
            <w:r>
              <w:rPr>
                <w:rFonts w:ascii="仿宋" w:hAnsi="仿宋" w:eastAsia="仿宋"/>
                <w:szCs w:val="21"/>
              </w:rPr>
              <w:t>与评价</w:t>
            </w:r>
            <w:r>
              <w:rPr>
                <w:rFonts w:hint="eastAsia" w:ascii="仿宋" w:hAnsi="仿宋" w:eastAsia="仿宋"/>
                <w:szCs w:val="21"/>
              </w:rPr>
              <w:t>。</w:t>
            </w:r>
            <w:r>
              <w:rPr>
                <w:rFonts w:ascii="仿宋" w:hAnsi="仿宋" w:eastAsia="仿宋"/>
                <w:szCs w:val="21"/>
              </w:rPr>
              <w:t xml:space="preserve"> </w:t>
            </w:r>
          </w:p>
          <w:p w14:paraId="52B4B935">
            <w:pPr>
              <w:spacing w:line="240" w:lineRule="exact"/>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了</w:t>
            </w:r>
            <w:r>
              <w:rPr>
                <w:rFonts w:ascii="仿宋" w:hAnsi="仿宋" w:eastAsia="仿宋"/>
                <w:szCs w:val="21"/>
              </w:rPr>
              <w:t>解</w:t>
            </w:r>
            <w:r>
              <w:rPr>
                <w:rFonts w:hint="eastAsia" w:ascii="仿宋" w:hAnsi="仿宋" w:eastAsia="仿宋"/>
                <w:szCs w:val="21"/>
              </w:rPr>
              <w:t>大学体育</w:t>
            </w:r>
            <w:r>
              <w:rPr>
                <w:rFonts w:ascii="仿宋" w:hAnsi="仿宋" w:eastAsia="仿宋"/>
                <w:szCs w:val="21"/>
              </w:rPr>
              <w:t>要求</w:t>
            </w:r>
            <w:r>
              <w:rPr>
                <w:rFonts w:hint="eastAsia" w:ascii="仿宋" w:hAnsi="仿宋" w:eastAsia="仿宋"/>
                <w:szCs w:val="21"/>
              </w:rPr>
              <w:t>、体育安全教育等；</w:t>
            </w:r>
          </w:p>
          <w:p w14:paraId="0F4DE54E">
            <w:pPr>
              <w:spacing w:line="240" w:lineRule="exact"/>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理解和运用体育与健康知识，培养健康行为习惯。</w:t>
            </w:r>
          </w:p>
        </w:tc>
        <w:tc>
          <w:tcPr>
            <w:tcW w:w="541" w:type="pct"/>
            <w:noWrap w:val="0"/>
            <w:vAlign w:val="center"/>
          </w:tcPr>
          <w:p w14:paraId="02BE6462">
            <w:pPr>
              <w:spacing w:line="240" w:lineRule="exact"/>
              <w:jc w:val="center"/>
              <w:rPr>
                <w:rFonts w:ascii="仿宋" w:hAnsi="仿宋" w:eastAsia="仿宋"/>
                <w:kern w:val="0"/>
                <w:szCs w:val="21"/>
              </w:rPr>
            </w:pPr>
            <w:r>
              <w:rPr>
                <w:rFonts w:hint="eastAsia" w:ascii="仿宋" w:hAnsi="仿宋" w:eastAsia="仿宋"/>
                <w:kern w:val="0"/>
                <w:szCs w:val="21"/>
              </w:rPr>
              <w:t>理想信念、国家认同和</w:t>
            </w:r>
            <w:r>
              <w:rPr>
                <w:rFonts w:hint="eastAsia" w:ascii="仿宋" w:hAnsi="仿宋" w:eastAsia="仿宋"/>
                <w:szCs w:val="21"/>
              </w:rPr>
              <w:t>社会主义核心价值观等</w:t>
            </w:r>
            <w:r>
              <w:rPr>
                <w:rFonts w:hint="eastAsia" w:ascii="仿宋" w:hAnsi="仿宋" w:eastAsia="仿宋"/>
                <w:kern w:val="0"/>
                <w:szCs w:val="21"/>
              </w:rPr>
              <w:t>教育；健康中国教育。</w:t>
            </w:r>
          </w:p>
        </w:tc>
        <w:tc>
          <w:tcPr>
            <w:tcW w:w="1160" w:type="pct"/>
            <w:noWrap w:val="0"/>
            <w:vAlign w:val="center"/>
          </w:tcPr>
          <w:p w14:paraId="5FA41933">
            <w:pPr>
              <w:autoSpaceDE w:val="0"/>
              <w:autoSpaceDN w:val="0"/>
              <w:adjustRightInd w:val="0"/>
              <w:spacing w:line="240" w:lineRule="exact"/>
              <w:jc w:val="left"/>
              <w:rPr>
                <w:rFonts w:ascii="仿宋" w:hAnsi="仿宋" w:eastAsia="仿宋"/>
                <w:kern w:val="0"/>
                <w:szCs w:val="21"/>
              </w:rPr>
            </w:pPr>
            <w:r>
              <w:rPr>
                <w:rFonts w:hint="eastAsia" w:ascii="仿宋" w:hAnsi="仿宋" w:eastAsia="仿宋"/>
                <w:kern w:val="0"/>
                <w:szCs w:val="21"/>
              </w:rPr>
              <w:t>通过教学，使学生全方位了解我校体育工作、课程学习内容和要求，方便同学办理体育事宜、完成体育学习、发挥体育特长、丰富体育生活、激发学生奋发向上的意志品质和阳光心态；帮助学生树立“健康第一”的观念，养成体育锻炼习惯；培养学生家国情怀、社会责任感和良好的个人品质，发扬体育的力量。</w:t>
            </w:r>
          </w:p>
        </w:tc>
        <w:tc>
          <w:tcPr>
            <w:tcW w:w="386" w:type="pct"/>
            <w:noWrap w:val="0"/>
            <w:vAlign w:val="center"/>
          </w:tcPr>
          <w:p w14:paraId="619211EF">
            <w:pPr>
              <w:jc w:val="center"/>
              <w:rPr>
                <w:rFonts w:ascii="仿宋" w:hAnsi="仿宋" w:eastAsia="仿宋"/>
                <w:szCs w:val="21"/>
              </w:rPr>
            </w:pPr>
            <w:r>
              <w:rPr>
                <w:rFonts w:ascii="仿宋" w:hAnsi="仿宋" w:eastAsia="仿宋"/>
                <w:szCs w:val="21"/>
              </w:rPr>
              <w:t>4</w:t>
            </w:r>
          </w:p>
        </w:tc>
        <w:tc>
          <w:tcPr>
            <w:tcW w:w="464" w:type="pct"/>
            <w:noWrap w:val="0"/>
            <w:vAlign w:val="center"/>
          </w:tcPr>
          <w:p w14:paraId="39F3CF28">
            <w:pPr>
              <w:jc w:val="center"/>
              <w:rPr>
                <w:rFonts w:ascii="仿宋" w:hAnsi="仿宋" w:eastAsia="仿宋"/>
                <w:szCs w:val="21"/>
              </w:rPr>
            </w:pPr>
            <w:r>
              <w:rPr>
                <w:rFonts w:hint="eastAsia" w:ascii="仿宋" w:hAnsi="仿宋" w:eastAsia="仿宋"/>
                <w:szCs w:val="21"/>
              </w:rPr>
              <w:t>讲授法</w:t>
            </w:r>
          </w:p>
        </w:tc>
        <w:tc>
          <w:tcPr>
            <w:tcW w:w="520" w:type="pct"/>
            <w:noWrap w:val="0"/>
            <w:vAlign w:val="center"/>
          </w:tcPr>
          <w:p w14:paraId="635D8638">
            <w:pPr>
              <w:jc w:val="left"/>
              <w:rPr>
                <w:rFonts w:ascii="仿宋" w:hAnsi="仿宋" w:eastAsia="仿宋"/>
                <w:szCs w:val="21"/>
              </w:rPr>
            </w:pPr>
            <w:r>
              <w:rPr>
                <w:rFonts w:hint="eastAsia" w:ascii="仿宋" w:hAnsi="仿宋" w:eastAsia="仿宋"/>
                <w:szCs w:val="21"/>
              </w:rPr>
              <w:t>目标1目标2</w:t>
            </w:r>
          </w:p>
        </w:tc>
      </w:tr>
      <w:tr w14:paraId="5B81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1BC1FCA">
            <w:pPr>
              <w:jc w:val="center"/>
              <w:rPr>
                <w:rFonts w:ascii="仿宋" w:hAnsi="仿宋" w:eastAsia="仿宋"/>
                <w:szCs w:val="21"/>
              </w:rPr>
            </w:pPr>
            <w:r>
              <w:rPr>
                <w:rFonts w:ascii="仿宋" w:hAnsi="仿宋" w:eastAsia="仿宋"/>
                <w:szCs w:val="21"/>
              </w:rPr>
              <w:t>2</w:t>
            </w:r>
          </w:p>
        </w:tc>
        <w:tc>
          <w:tcPr>
            <w:tcW w:w="1623" w:type="pct"/>
            <w:noWrap w:val="0"/>
            <w:vAlign w:val="center"/>
          </w:tcPr>
          <w:p w14:paraId="2BFA7645">
            <w:pPr>
              <w:spacing w:line="240" w:lineRule="exact"/>
              <w:jc w:val="left"/>
              <w:rPr>
                <w:rFonts w:ascii="仿宋" w:hAnsi="仿宋" w:eastAsia="仿宋"/>
                <w:b/>
                <w:szCs w:val="21"/>
              </w:rPr>
            </w:pPr>
            <w:r>
              <w:rPr>
                <w:rFonts w:hint="eastAsia" w:ascii="仿宋" w:hAnsi="仿宋" w:eastAsia="仿宋"/>
                <w:b/>
                <w:szCs w:val="21"/>
              </w:rPr>
              <w:t>㈡实践部分：</w:t>
            </w:r>
          </w:p>
          <w:p w14:paraId="0B9B0CC2">
            <w:pPr>
              <w:spacing w:line="240" w:lineRule="exact"/>
              <w:rPr>
                <w:rFonts w:ascii="仿宋" w:hAnsi="仿宋" w:eastAsia="仿宋"/>
                <w:bCs/>
              </w:rPr>
            </w:pPr>
            <w:r>
              <w:rPr>
                <w:rFonts w:hint="eastAsia" w:ascii="仿宋" w:hAnsi="仿宋" w:eastAsia="仿宋"/>
                <w:bCs/>
              </w:rPr>
              <w:t>1.各运动项目和身体素质为主，主要包括篮球、足球、五</w:t>
            </w:r>
            <w:r>
              <w:rPr>
                <w:rFonts w:ascii="仿宋" w:hAnsi="仿宋" w:eastAsia="仿宋"/>
                <w:bCs/>
              </w:rPr>
              <w:t>人制</w:t>
            </w:r>
            <w:r>
              <w:rPr>
                <w:rFonts w:hint="eastAsia" w:ascii="仿宋" w:hAnsi="仿宋" w:eastAsia="仿宋"/>
                <w:bCs/>
              </w:rPr>
              <w:t>足球</w:t>
            </w:r>
            <w:r>
              <w:rPr>
                <w:rFonts w:ascii="仿宋" w:hAnsi="仿宋" w:eastAsia="仿宋"/>
                <w:bCs/>
              </w:rPr>
              <w:t>、</w:t>
            </w:r>
            <w:r>
              <w:rPr>
                <w:rFonts w:hint="eastAsia" w:ascii="仿宋" w:hAnsi="仿宋" w:eastAsia="仿宋"/>
                <w:bCs/>
              </w:rPr>
              <w:t>排球、乒</w:t>
            </w:r>
            <w:r>
              <w:rPr>
                <w:rFonts w:ascii="仿宋" w:hAnsi="仿宋" w:eastAsia="仿宋"/>
                <w:bCs/>
              </w:rPr>
              <w:t>乓球、</w:t>
            </w:r>
            <w:r>
              <w:rPr>
                <w:rFonts w:hint="eastAsia" w:ascii="仿宋" w:hAnsi="仿宋" w:eastAsia="仿宋"/>
                <w:bCs/>
              </w:rPr>
              <w:t>排舞(女)、武术、散打、健美操(女)、排舞(女)、花样</w:t>
            </w:r>
            <w:r>
              <w:rPr>
                <w:rFonts w:ascii="仿宋" w:hAnsi="仿宋" w:eastAsia="仿宋"/>
                <w:bCs/>
              </w:rPr>
              <w:t>跳绳</w:t>
            </w:r>
            <w:r>
              <w:rPr>
                <w:rFonts w:hint="eastAsia" w:ascii="仿宋" w:hAnsi="仿宋" w:eastAsia="仿宋"/>
                <w:bCs/>
              </w:rPr>
              <w:t>、飞盘和体育保健等。</w:t>
            </w:r>
          </w:p>
          <w:p w14:paraId="4F405AF3">
            <w:pPr>
              <w:spacing w:line="240" w:lineRule="exact"/>
              <w:rPr>
                <w:rFonts w:ascii="仿宋" w:hAnsi="仿宋" w:eastAsia="仿宋"/>
                <w:bCs/>
              </w:rPr>
            </w:pPr>
            <w:r>
              <w:rPr>
                <w:rFonts w:ascii="仿宋" w:hAnsi="仿宋" w:eastAsia="仿宋"/>
                <w:bCs/>
              </w:rPr>
              <w:t>2</w:t>
            </w:r>
            <w:r>
              <w:rPr>
                <w:rFonts w:hint="eastAsia" w:ascii="仿宋" w:hAnsi="仿宋" w:eastAsia="仿宋"/>
                <w:bCs/>
              </w:rPr>
              <w:t>.健康标准测试和发展体能</w:t>
            </w:r>
          </w:p>
          <w:p w14:paraId="4A867577">
            <w:pPr>
              <w:spacing w:line="240" w:lineRule="exact"/>
              <w:rPr>
                <w:rFonts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4E15D12E">
            <w:pPr>
              <w:spacing w:line="240" w:lineRule="exact"/>
              <w:rPr>
                <w:rFonts w:ascii="仿宋" w:hAnsi="仿宋" w:eastAsia="仿宋"/>
                <w:bCs/>
              </w:rPr>
            </w:pPr>
            <w:r>
              <w:rPr>
                <w:rFonts w:hint="eastAsia" w:ascii="仿宋" w:hAnsi="仿宋" w:eastAsia="仿宋"/>
                <w:b/>
                <w:bCs/>
              </w:rPr>
              <w:t>难点：</w:t>
            </w:r>
            <w:r>
              <w:rPr>
                <w:rFonts w:hint="eastAsia" w:ascii="仿宋" w:hAnsi="仿宋" w:eastAsia="仿宋"/>
                <w:bCs/>
              </w:rPr>
              <w:t>学会运用所学项目技能，自主和自觉锻炼意识，发展体育精神、</w:t>
            </w:r>
            <w:r>
              <w:rPr>
                <w:rFonts w:ascii="仿宋" w:hAnsi="仿宋" w:eastAsia="仿宋"/>
                <w:bCs/>
              </w:rPr>
              <w:t>健全</w:t>
            </w:r>
            <w:r>
              <w:rPr>
                <w:rFonts w:hint="eastAsia" w:ascii="仿宋" w:hAnsi="仿宋" w:eastAsia="仿宋"/>
                <w:bCs/>
              </w:rPr>
              <w:t>人格。</w:t>
            </w:r>
          </w:p>
        </w:tc>
        <w:tc>
          <w:tcPr>
            <w:tcW w:w="541" w:type="pct"/>
            <w:noWrap w:val="0"/>
            <w:vAlign w:val="center"/>
          </w:tcPr>
          <w:p w14:paraId="382F842A">
            <w:pPr>
              <w:widowControl/>
              <w:spacing w:line="240" w:lineRule="exact"/>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意志品德培育；遵纪守则</w:t>
            </w:r>
            <w:r>
              <w:rPr>
                <w:rFonts w:ascii="仿宋" w:hAnsi="仿宋" w:eastAsia="仿宋"/>
                <w:kern w:val="0"/>
                <w:szCs w:val="21"/>
              </w:rPr>
              <w:t>和</w:t>
            </w:r>
            <w:r>
              <w:rPr>
                <w:rFonts w:hint="eastAsia" w:ascii="仿宋" w:hAnsi="仿宋" w:eastAsia="仿宋"/>
                <w:kern w:val="0"/>
                <w:szCs w:val="21"/>
              </w:rPr>
              <w:t>诚信意识教育。</w:t>
            </w:r>
          </w:p>
        </w:tc>
        <w:tc>
          <w:tcPr>
            <w:tcW w:w="1160" w:type="pct"/>
            <w:noWrap w:val="0"/>
            <w:vAlign w:val="center"/>
          </w:tcPr>
          <w:p w14:paraId="47F93FDD">
            <w:pPr>
              <w:spacing w:line="240" w:lineRule="exact"/>
              <w:jc w:val="left"/>
              <w:rPr>
                <w:rFonts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szCs w:val="21"/>
              </w:rPr>
              <w:t>使学生了解和掌握所选运动项目基本知识、基本技术和锻炼方法；发展身体素质，增强体质；提升人际交往能力，提高竞争、合作意识和社会责任感；</w:t>
            </w:r>
            <w:r>
              <w:rPr>
                <w:rFonts w:ascii="仿宋" w:hAnsi="仿宋" w:eastAsia="仿宋"/>
                <w:szCs w:val="21"/>
              </w:rPr>
              <w:t>遵守</w:t>
            </w:r>
            <w:r>
              <w:rPr>
                <w:rFonts w:hint="eastAsia" w:ascii="仿宋" w:hAnsi="仿宋" w:eastAsia="仿宋"/>
                <w:szCs w:val="21"/>
              </w:rPr>
              <w:t>规则</w:t>
            </w:r>
            <w:r>
              <w:rPr>
                <w:rFonts w:ascii="仿宋" w:hAnsi="仿宋" w:eastAsia="仿宋"/>
                <w:szCs w:val="21"/>
              </w:rPr>
              <w:t>和</w:t>
            </w:r>
            <w:r>
              <w:rPr>
                <w:rFonts w:hint="eastAsia" w:ascii="仿宋" w:hAnsi="仿宋" w:eastAsia="仿宋"/>
                <w:szCs w:val="21"/>
              </w:rPr>
              <w:t>诚信自律</w:t>
            </w:r>
            <w:r>
              <w:rPr>
                <w:rFonts w:ascii="仿宋" w:hAnsi="仿宋" w:eastAsia="仿宋"/>
                <w:szCs w:val="21"/>
              </w:rPr>
              <w:t>，</w:t>
            </w:r>
            <w:r>
              <w:rPr>
                <w:rFonts w:hint="eastAsia" w:ascii="仿宋" w:hAnsi="仿宋" w:eastAsia="仿宋"/>
                <w:szCs w:val="21"/>
              </w:rPr>
              <w:t>形成健康的生活方式和积极进取且充满活力的人生态度。</w:t>
            </w:r>
          </w:p>
        </w:tc>
        <w:tc>
          <w:tcPr>
            <w:tcW w:w="386" w:type="pct"/>
            <w:noWrap w:val="0"/>
            <w:vAlign w:val="center"/>
          </w:tcPr>
          <w:p w14:paraId="3B7BACC9">
            <w:pPr>
              <w:jc w:val="center"/>
              <w:rPr>
                <w:rFonts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noWrap w:val="0"/>
            <w:vAlign w:val="center"/>
          </w:tcPr>
          <w:p w14:paraId="2E33B13B">
            <w:pPr>
              <w:jc w:val="cente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41CF4DB0">
            <w:pPr>
              <w:jc w:val="left"/>
              <w:rPr>
                <w:rFonts w:ascii="仿宋" w:hAnsi="仿宋" w:eastAsia="仿宋"/>
                <w:szCs w:val="21"/>
              </w:rPr>
            </w:pPr>
            <w:r>
              <w:rPr>
                <w:rFonts w:hint="eastAsia" w:ascii="仿宋" w:hAnsi="仿宋" w:eastAsia="仿宋"/>
                <w:szCs w:val="21"/>
              </w:rPr>
              <w:t>目标1</w:t>
            </w:r>
          </w:p>
          <w:p w14:paraId="1BB51ECB">
            <w:pPr>
              <w:jc w:val="left"/>
              <w:rPr>
                <w:rFonts w:ascii="仿宋" w:hAnsi="仿宋" w:eastAsia="仿宋"/>
                <w:szCs w:val="21"/>
              </w:rPr>
            </w:pPr>
            <w:r>
              <w:rPr>
                <w:rFonts w:hint="eastAsia" w:ascii="仿宋" w:hAnsi="仿宋" w:eastAsia="仿宋"/>
                <w:szCs w:val="21"/>
              </w:rPr>
              <w:t>目标2</w:t>
            </w:r>
          </w:p>
        </w:tc>
      </w:tr>
    </w:tbl>
    <w:p w14:paraId="478BC3E2">
      <w:pPr>
        <w:pStyle w:val="4"/>
        <w:bidi w:val="0"/>
      </w:pPr>
      <w:r>
        <w:rPr>
          <w:rFonts w:hint="eastAsia"/>
        </w:rPr>
        <w:t>四、课程实施</w:t>
      </w:r>
    </w:p>
    <w:p w14:paraId="5182E4A2">
      <w:pPr>
        <w:spacing w:before="180" w:beforeLines="50" w:after="180" w:afterLines="50" w:line="360" w:lineRule="auto"/>
        <w:ind w:firstLine="482" w:firstLineChars="200"/>
        <w:jc w:val="left"/>
        <w:rPr>
          <w:rFonts w:ascii="仿宋" w:hAnsi="仿宋" w:eastAsia="仿宋"/>
          <w:b/>
          <w:sz w:val="24"/>
        </w:rPr>
      </w:pPr>
      <w:r>
        <w:rPr>
          <w:rFonts w:hint="eastAsia" w:ascii="仿宋" w:hAnsi="仿宋" w:eastAsia="仿宋"/>
          <w:b/>
          <w:sz w:val="24"/>
        </w:rPr>
        <w:t>（一）教学方法与手段</w:t>
      </w:r>
    </w:p>
    <w:p w14:paraId="49B5E5D3">
      <w:pPr>
        <w:spacing w:before="180" w:beforeLines="50" w:after="180" w:afterLines="50"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．本课程以实践教学为主，教学方法与手段的运用要考虑到学生的实际情况，从实际出发，因材施教，注意区别对待，激发学生学习兴趣，着重培养学生自学、自练、自评、互评等能力。</w:t>
      </w:r>
      <w:r>
        <w:rPr>
          <w:rFonts w:ascii="仿宋" w:hAnsi="仿宋" w:eastAsia="仿宋"/>
          <w:sz w:val="24"/>
        </w:rPr>
        <w:t xml:space="preserve">  </w:t>
      </w:r>
    </w:p>
    <w:p w14:paraId="247C78D1">
      <w:pPr>
        <w:spacing w:before="180" w:beforeLines="50" w:after="180" w:afterLines="50"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59023B87">
      <w:pPr>
        <w:spacing w:before="180" w:beforeLines="50" w:after="180" w:afterLines="50" w:line="360" w:lineRule="auto"/>
        <w:ind w:firstLine="480" w:firstLineChars="200"/>
        <w:jc w:val="left"/>
        <w:rPr>
          <w:rFonts w:ascii="仿宋" w:hAnsi="仿宋" w:eastAsia="仿宋"/>
          <w:sz w:val="24"/>
        </w:rPr>
      </w:pPr>
      <w:r>
        <w:rPr>
          <w:rFonts w:hint="eastAsia" w:ascii="仿宋" w:hAnsi="仿宋" w:eastAsia="仿宋"/>
          <w:sz w:val="24"/>
        </w:rPr>
        <w:t>3．针对体育教学的特点，本课程将采用：讲解法、示范法、完整法、分解法、集体练习、小组练习等教学方法，并利用多媒体教学方式，提高学生的欣赏能力、让学生更加深刻的了解所学项目。</w:t>
      </w:r>
    </w:p>
    <w:p w14:paraId="71169975">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11"/>
        <w:gridCol w:w="6781"/>
      </w:tblGrid>
      <w:tr w14:paraId="5159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0" w:type="dxa"/>
            <w:gridSpan w:val="2"/>
            <w:tcBorders>
              <w:top w:val="single" w:color="auto" w:sz="8" w:space="0"/>
              <w:left w:val="single" w:color="auto" w:sz="8" w:space="0"/>
              <w:right w:val="single" w:color="auto" w:sz="8" w:space="0"/>
            </w:tcBorders>
            <w:noWrap w:val="0"/>
            <w:tcMar>
              <w:left w:w="28" w:type="dxa"/>
              <w:right w:w="28" w:type="dxa"/>
            </w:tcMar>
            <w:vAlign w:val="center"/>
          </w:tcPr>
          <w:p w14:paraId="7843303C">
            <w:pPr>
              <w:spacing w:line="276" w:lineRule="auto"/>
              <w:jc w:val="center"/>
              <w:rPr>
                <w:rFonts w:ascii="仿宋" w:hAnsi="仿宋" w:eastAsia="仿宋"/>
                <w:sz w:val="24"/>
              </w:rPr>
            </w:pPr>
            <w:r>
              <w:rPr>
                <w:rFonts w:ascii="仿宋" w:hAnsi="仿宋" w:eastAsia="仿宋" w:cs="宋体"/>
                <w:b/>
                <w:bCs/>
                <w:sz w:val="24"/>
              </w:rPr>
              <w:t>主要教学环节</w:t>
            </w:r>
          </w:p>
        </w:tc>
        <w:tc>
          <w:tcPr>
            <w:tcW w:w="6781" w:type="dxa"/>
            <w:tcBorders>
              <w:top w:val="single" w:color="auto" w:sz="8" w:space="0"/>
              <w:left w:val="single" w:color="auto" w:sz="8" w:space="0"/>
              <w:right w:val="single" w:color="auto" w:sz="8" w:space="0"/>
            </w:tcBorders>
            <w:noWrap w:val="0"/>
            <w:vAlign w:val="center"/>
          </w:tcPr>
          <w:p w14:paraId="7B636A32">
            <w:pPr>
              <w:spacing w:line="276" w:lineRule="auto"/>
              <w:jc w:val="center"/>
              <w:rPr>
                <w:rFonts w:ascii="仿宋" w:hAnsi="仿宋" w:eastAsia="仿宋"/>
                <w:sz w:val="24"/>
              </w:rPr>
            </w:pPr>
            <w:r>
              <w:rPr>
                <w:rFonts w:hint="eastAsia" w:ascii="仿宋" w:hAnsi="仿宋" w:eastAsia="仿宋" w:cs="宋体"/>
                <w:b/>
                <w:bCs/>
                <w:sz w:val="24"/>
              </w:rPr>
              <w:t>质量要求</w:t>
            </w:r>
          </w:p>
        </w:tc>
      </w:tr>
      <w:tr w14:paraId="3E55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977E82E">
            <w:pPr>
              <w:spacing w:line="276" w:lineRule="auto"/>
              <w:jc w:val="center"/>
              <w:rPr>
                <w:rFonts w:ascii="仿宋" w:hAnsi="仿宋" w:eastAsia="仿宋"/>
                <w:sz w:val="24"/>
              </w:rPr>
            </w:pPr>
            <w:r>
              <w:rPr>
                <w:rFonts w:hint="eastAsia" w:ascii="仿宋" w:hAnsi="仿宋" w:eastAsia="仿宋"/>
                <w:sz w:val="24"/>
              </w:rPr>
              <w:t>1</w:t>
            </w:r>
          </w:p>
        </w:tc>
        <w:tc>
          <w:tcPr>
            <w:tcW w:w="1111" w:type="dxa"/>
            <w:noWrap w:val="0"/>
            <w:tcMar>
              <w:left w:w="28" w:type="dxa"/>
              <w:right w:w="28" w:type="dxa"/>
            </w:tcMar>
            <w:vAlign w:val="center"/>
          </w:tcPr>
          <w:p w14:paraId="115B6EFF">
            <w:pPr>
              <w:spacing w:line="276" w:lineRule="auto"/>
              <w:jc w:val="center"/>
              <w:rPr>
                <w:rFonts w:ascii="仿宋" w:hAnsi="仿宋" w:eastAsia="仿宋"/>
                <w:sz w:val="24"/>
              </w:rPr>
            </w:pPr>
            <w:r>
              <w:rPr>
                <w:rFonts w:hint="eastAsia" w:ascii="仿宋" w:hAnsi="仿宋" w:eastAsia="仿宋"/>
                <w:sz w:val="24"/>
              </w:rPr>
              <w:t>备课</w:t>
            </w:r>
          </w:p>
        </w:tc>
        <w:tc>
          <w:tcPr>
            <w:tcW w:w="6781" w:type="dxa"/>
            <w:tcBorders>
              <w:right w:val="single" w:color="auto" w:sz="8" w:space="0"/>
            </w:tcBorders>
            <w:noWrap w:val="0"/>
            <w:vAlign w:val="center"/>
          </w:tcPr>
          <w:p w14:paraId="13D02CC2">
            <w:pPr>
              <w:autoSpaceDE w:val="0"/>
              <w:autoSpaceDN w:val="0"/>
              <w:adjustRightInd w:val="0"/>
              <w:snapToGrid w:val="0"/>
              <w:spacing w:line="30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2B7C808E">
            <w:pPr>
              <w:autoSpaceDE w:val="0"/>
              <w:autoSpaceDN w:val="0"/>
              <w:adjustRightInd w:val="0"/>
              <w:snapToGrid w:val="0"/>
              <w:spacing w:line="30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29D969DA">
            <w:pPr>
              <w:autoSpaceDE w:val="0"/>
              <w:autoSpaceDN w:val="0"/>
              <w:adjustRightInd w:val="0"/>
              <w:snapToGrid w:val="0"/>
              <w:spacing w:line="300" w:lineRule="exact"/>
              <w:jc w:val="left"/>
              <w:rPr>
                <w:rFonts w:ascii="仿宋" w:hAnsi="仿宋" w:eastAsia="仿宋" w:cs="宋体"/>
                <w:spacing w:val="-8"/>
                <w:kern w:val="0"/>
                <w:sz w:val="22"/>
              </w:rPr>
            </w:pPr>
            <w:r>
              <w:rPr>
                <w:rFonts w:ascii="仿宋" w:hAnsi="仿宋" w:eastAsia="仿宋" w:cs="宋体"/>
                <w:spacing w:val="-8"/>
                <w:kern w:val="0"/>
                <w:sz w:val="22"/>
              </w:rPr>
              <w:t>3.</w:t>
            </w:r>
            <w:r>
              <w:rPr>
                <w:rFonts w:hint="eastAsia" w:ascii="仿宋" w:hAnsi="仿宋" w:eastAsia="仿宋" w:cs="宋体"/>
                <w:spacing w:val="-8"/>
                <w:kern w:val="0"/>
                <w:sz w:val="22"/>
              </w:rPr>
              <w:t>结合课程特点，制作课件，运用多媒体教学手段讲授部分教学内容；</w:t>
            </w:r>
            <w:r>
              <w:rPr>
                <w:rFonts w:ascii="仿宋" w:hAnsi="仿宋" w:eastAsia="仿宋" w:cs="宋体"/>
                <w:spacing w:val="-8"/>
                <w:kern w:val="0"/>
                <w:sz w:val="22"/>
              </w:rPr>
              <w:t xml:space="preserve"> </w:t>
            </w:r>
          </w:p>
          <w:p w14:paraId="1ED5F95B">
            <w:pPr>
              <w:autoSpaceDE w:val="0"/>
              <w:autoSpaceDN w:val="0"/>
              <w:adjustRightInd w:val="0"/>
              <w:snapToGrid w:val="0"/>
              <w:spacing w:line="300" w:lineRule="exact"/>
              <w:jc w:val="left"/>
              <w:rPr>
                <w:rFonts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4F12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5C42EC75">
            <w:pPr>
              <w:spacing w:line="276" w:lineRule="auto"/>
              <w:jc w:val="center"/>
              <w:rPr>
                <w:rFonts w:ascii="仿宋" w:hAnsi="仿宋" w:eastAsia="仿宋"/>
                <w:sz w:val="24"/>
              </w:rPr>
            </w:pPr>
            <w:r>
              <w:rPr>
                <w:rFonts w:hint="eastAsia" w:ascii="仿宋" w:hAnsi="仿宋" w:eastAsia="仿宋"/>
                <w:sz w:val="24"/>
              </w:rPr>
              <w:t>2</w:t>
            </w:r>
          </w:p>
        </w:tc>
        <w:tc>
          <w:tcPr>
            <w:tcW w:w="1111" w:type="dxa"/>
            <w:noWrap w:val="0"/>
            <w:tcMar>
              <w:left w:w="28" w:type="dxa"/>
              <w:right w:w="28" w:type="dxa"/>
            </w:tcMar>
            <w:vAlign w:val="center"/>
          </w:tcPr>
          <w:p w14:paraId="341A54A8">
            <w:pPr>
              <w:spacing w:line="276" w:lineRule="auto"/>
              <w:jc w:val="center"/>
              <w:rPr>
                <w:rFonts w:ascii="仿宋" w:hAnsi="仿宋" w:eastAsia="仿宋"/>
                <w:sz w:val="24"/>
              </w:rPr>
            </w:pPr>
            <w:r>
              <w:rPr>
                <w:rFonts w:hint="eastAsia" w:ascii="仿宋" w:hAnsi="仿宋" w:eastAsia="仿宋"/>
                <w:sz w:val="24"/>
              </w:rPr>
              <w:t>讲授</w:t>
            </w:r>
          </w:p>
        </w:tc>
        <w:tc>
          <w:tcPr>
            <w:tcW w:w="6781" w:type="dxa"/>
            <w:tcBorders>
              <w:right w:val="single" w:color="auto" w:sz="8" w:space="0"/>
            </w:tcBorders>
            <w:noWrap w:val="0"/>
            <w:vAlign w:val="center"/>
          </w:tcPr>
          <w:p w14:paraId="005109CE">
            <w:pPr>
              <w:autoSpaceDE w:val="0"/>
              <w:autoSpaceDN w:val="0"/>
              <w:adjustRightInd w:val="0"/>
              <w:snapToGrid w:val="0"/>
              <w:spacing w:line="30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0D5E3BF4">
            <w:pPr>
              <w:autoSpaceDE w:val="0"/>
              <w:autoSpaceDN w:val="0"/>
              <w:adjustRightInd w:val="0"/>
              <w:snapToGrid w:val="0"/>
              <w:spacing w:line="30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1846761E">
            <w:pPr>
              <w:autoSpaceDE w:val="0"/>
              <w:autoSpaceDN w:val="0"/>
              <w:adjustRightInd w:val="0"/>
              <w:snapToGrid w:val="0"/>
              <w:spacing w:line="300" w:lineRule="exact"/>
              <w:jc w:val="left"/>
              <w:rPr>
                <w:rFonts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37448B19">
            <w:pPr>
              <w:autoSpaceDE w:val="0"/>
              <w:autoSpaceDN w:val="0"/>
              <w:adjustRightInd w:val="0"/>
              <w:snapToGrid w:val="0"/>
              <w:spacing w:line="300" w:lineRule="exact"/>
              <w:jc w:val="left"/>
              <w:rPr>
                <w:rFonts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62259AFB">
            <w:pPr>
              <w:autoSpaceDE w:val="0"/>
              <w:autoSpaceDN w:val="0"/>
              <w:adjustRightInd w:val="0"/>
              <w:snapToGrid w:val="0"/>
              <w:spacing w:line="30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44C4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2D102206">
            <w:pPr>
              <w:spacing w:line="276" w:lineRule="auto"/>
              <w:jc w:val="center"/>
              <w:rPr>
                <w:rFonts w:ascii="仿宋" w:hAnsi="仿宋" w:eastAsia="仿宋"/>
                <w:sz w:val="24"/>
              </w:rPr>
            </w:pPr>
            <w:r>
              <w:rPr>
                <w:rFonts w:ascii="仿宋" w:hAnsi="仿宋" w:eastAsia="仿宋"/>
                <w:sz w:val="24"/>
              </w:rPr>
              <w:t>3</w:t>
            </w:r>
          </w:p>
        </w:tc>
        <w:tc>
          <w:tcPr>
            <w:tcW w:w="1111" w:type="dxa"/>
            <w:noWrap w:val="0"/>
            <w:tcMar>
              <w:left w:w="28" w:type="dxa"/>
              <w:right w:w="28" w:type="dxa"/>
            </w:tcMar>
            <w:vAlign w:val="center"/>
          </w:tcPr>
          <w:p w14:paraId="4A224EDA">
            <w:pPr>
              <w:spacing w:line="276" w:lineRule="auto"/>
              <w:jc w:val="center"/>
              <w:rPr>
                <w:rFonts w:ascii="仿宋" w:hAnsi="仿宋" w:eastAsia="仿宋"/>
                <w:sz w:val="24"/>
              </w:rPr>
            </w:pPr>
            <w:r>
              <w:rPr>
                <w:rFonts w:hint="eastAsia" w:ascii="仿宋" w:hAnsi="仿宋" w:eastAsia="仿宋"/>
                <w:sz w:val="24"/>
              </w:rPr>
              <w:t>课外练习</w:t>
            </w:r>
          </w:p>
        </w:tc>
        <w:tc>
          <w:tcPr>
            <w:tcW w:w="6781" w:type="dxa"/>
            <w:tcBorders>
              <w:right w:val="single" w:color="auto" w:sz="8" w:space="0"/>
            </w:tcBorders>
            <w:noWrap w:val="0"/>
            <w:vAlign w:val="center"/>
          </w:tcPr>
          <w:p w14:paraId="48A6DE22">
            <w:pPr>
              <w:autoSpaceDE w:val="0"/>
              <w:autoSpaceDN w:val="0"/>
              <w:adjustRightInd w:val="0"/>
              <w:snapToGrid w:val="0"/>
              <w:spacing w:line="300" w:lineRule="exact"/>
              <w:jc w:val="left"/>
              <w:rPr>
                <w:rFonts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7343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0AD66FD9">
            <w:pPr>
              <w:spacing w:line="276" w:lineRule="auto"/>
              <w:jc w:val="center"/>
              <w:rPr>
                <w:rFonts w:ascii="仿宋" w:hAnsi="仿宋" w:eastAsia="仿宋"/>
                <w:sz w:val="24"/>
              </w:rPr>
            </w:pPr>
            <w:r>
              <w:rPr>
                <w:rFonts w:ascii="仿宋" w:hAnsi="仿宋" w:eastAsia="仿宋"/>
                <w:sz w:val="24"/>
              </w:rPr>
              <w:t>4</w:t>
            </w:r>
          </w:p>
        </w:tc>
        <w:tc>
          <w:tcPr>
            <w:tcW w:w="1111" w:type="dxa"/>
            <w:noWrap w:val="0"/>
            <w:tcMar>
              <w:left w:w="28" w:type="dxa"/>
              <w:right w:w="28" w:type="dxa"/>
            </w:tcMar>
            <w:vAlign w:val="center"/>
          </w:tcPr>
          <w:p w14:paraId="44E12BF0">
            <w:pPr>
              <w:spacing w:line="276" w:lineRule="auto"/>
              <w:jc w:val="center"/>
              <w:rPr>
                <w:rFonts w:ascii="仿宋" w:hAnsi="仿宋" w:eastAsia="仿宋"/>
                <w:sz w:val="24"/>
              </w:rPr>
            </w:pPr>
            <w:r>
              <w:rPr>
                <w:rFonts w:hint="eastAsia" w:ascii="仿宋" w:hAnsi="仿宋" w:eastAsia="仿宋"/>
                <w:sz w:val="24"/>
              </w:rPr>
              <w:t>成绩考核</w:t>
            </w:r>
          </w:p>
        </w:tc>
        <w:tc>
          <w:tcPr>
            <w:tcW w:w="6781" w:type="dxa"/>
            <w:tcBorders>
              <w:right w:val="single" w:color="auto" w:sz="8" w:space="0"/>
            </w:tcBorders>
            <w:noWrap w:val="0"/>
            <w:vAlign w:val="center"/>
          </w:tcPr>
          <w:p w14:paraId="5D65E651">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7D546301">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41CEBCEA">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445BFA21">
      <w:pPr>
        <w:pStyle w:val="4"/>
        <w:bidi w:val="0"/>
      </w:pPr>
      <w:r>
        <w:rPr>
          <w:rFonts w:hint="eastAsia"/>
        </w:rPr>
        <w:t>五</w:t>
      </w:r>
      <w:r>
        <w:t>、</w:t>
      </w:r>
      <w:r>
        <w:rPr>
          <w:rFonts w:hint="eastAsia"/>
        </w:rPr>
        <w:t>课程考核</w:t>
      </w:r>
    </w:p>
    <w:p w14:paraId="2B46108B">
      <w:pPr>
        <w:spacing w:line="360" w:lineRule="auto"/>
        <w:ind w:firstLine="480" w:firstLineChars="200"/>
        <w:rPr>
          <w:rFonts w:ascii="仿宋" w:hAnsi="仿宋" w:eastAsia="仿宋"/>
          <w:sz w:val="24"/>
        </w:rPr>
      </w:pPr>
      <w:r>
        <w:rPr>
          <w:rFonts w:hint="eastAsia" w:ascii="仿宋" w:hAnsi="仿宋" w:eastAsia="仿宋"/>
          <w:sz w:val="24"/>
        </w:rPr>
        <w:t>（一）课程考核由期末考试和平时考核构成，期末考试采用随堂方式。</w:t>
      </w:r>
    </w:p>
    <w:p w14:paraId="57F60648">
      <w:pPr>
        <w:spacing w:line="360" w:lineRule="auto"/>
        <w:ind w:firstLine="480" w:firstLineChars="200"/>
        <w:jc w:val="left"/>
        <w:rPr>
          <w:rFonts w:ascii="仿宋" w:hAnsi="仿宋" w:eastAsia="仿宋"/>
          <w:sz w:val="24"/>
        </w:rPr>
      </w:pPr>
      <w:r>
        <w:rPr>
          <w:rFonts w:hint="eastAsia" w:ascii="仿宋" w:hAnsi="仿宋" w:eastAsia="仿宋"/>
          <w:sz w:val="24"/>
        </w:rPr>
        <w:t>（二）课程总评成绩=平时成绩50%+期末考试50%，平时成绩=课堂表现10%+课外锻炼20%+体质测试20%。</w:t>
      </w:r>
    </w:p>
    <w:p w14:paraId="075AB206">
      <w:pPr>
        <w:spacing w:line="360" w:lineRule="auto"/>
        <w:ind w:firstLine="480" w:firstLineChars="200"/>
        <w:rPr>
          <w:rFonts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3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4C7D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3A643C78">
            <w:pPr>
              <w:jc w:val="center"/>
              <w:rPr>
                <w:rFonts w:ascii="仿宋" w:hAnsi="仿宋" w:eastAsia="仿宋"/>
                <w:szCs w:val="21"/>
              </w:rPr>
            </w:pPr>
            <w:r>
              <w:rPr>
                <w:rFonts w:ascii="仿宋" w:hAnsi="仿宋" w:eastAsia="仿宋"/>
                <w:szCs w:val="21"/>
              </w:rPr>
              <w:t>成绩组成</w:t>
            </w:r>
          </w:p>
        </w:tc>
        <w:tc>
          <w:tcPr>
            <w:tcW w:w="1301" w:type="dxa"/>
            <w:shd w:val="clear" w:color="auto" w:fill="FFFFFF"/>
            <w:noWrap w:val="0"/>
            <w:vAlign w:val="center"/>
          </w:tcPr>
          <w:p w14:paraId="455E8250">
            <w:pPr>
              <w:jc w:val="center"/>
              <w:rPr>
                <w:rFonts w:ascii="仿宋" w:hAnsi="仿宋" w:eastAsia="仿宋"/>
                <w:szCs w:val="21"/>
              </w:rPr>
            </w:pPr>
            <w:r>
              <w:rPr>
                <w:rFonts w:ascii="仿宋" w:hAnsi="仿宋" w:eastAsia="仿宋"/>
                <w:szCs w:val="21"/>
              </w:rPr>
              <w:t>考核/评价环节</w:t>
            </w:r>
          </w:p>
        </w:tc>
        <w:tc>
          <w:tcPr>
            <w:tcW w:w="741" w:type="dxa"/>
            <w:shd w:val="clear" w:color="auto" w:fill="FFFFFF"/>
            <w:noWrap w:val="0"/>
            <w:vAlign w:val="center"/>
          </w:tcPr>
          <w:p w14:paraId="0E5F20DD">
            <w:pPr>
              <w:jc w:val="center"/>
              <w:rPr>
                <w:rFonts w:ascii="仿宋" w:hAnsi="仿宋" w:eastAsia="仿宋"/>
                <w:szCs w:val="21"/>
              </w:rPr>
            </w:pPr>
            <w:r>
              <w:rPr>
                <w:rFonts w:hint="eastAsia" w:ascii="仿宋" w:hAnsi="仿宋" w:eastAsia="仿宋"/>
                <w:szCs w:val="21"/>
              </w:rPr>
              <w:t>权重</w:t>
            </w:r>
          </w:p>
        </w:tc>
        <w:tc>
          <w:tcPr>
            <w:tcW w:w="4086" w:type="dxa"/>
            <w:shd w:val="clear" w:color="auto" w:fill="FFFFFF"/>
            <w:noWrap w:val="0"/>
            <w:vAlign w:val="center"/>
          </w:tcPr>
          <w:p w14:paraId="46CCFFD5">
            <w:pPr>
              <w:jc w:val="center"/>
              <w:rPr>
                <w:rFonts w:ascii="仿宋" w:hAnsi="仿宋" w:eastAsia="仿宋"/>
                <w:szCs w:val="21"/>
              </w:rPr>
            </w:pPr>
            <w:r>
              <w:rPr>
                <w:rFonts w:ascii="仿宋" w:hAnsi="仿宋" w:eastAsia="仿宋"/>
                <w:szCs w:val="21"/>
              </w:rPr>
              <w:t>考核/评价细则</w:t>
            </w:r>
          </w:p>
        </w:tc>
        <w:tc>
          <w:tcPr>
            <w:tcW w:w="1310" w:type="dxa"/>
            <w:shd w:val="clear" w:color="auto" w:fill="FFFFFF"/>
            <w:noWrap w:val="0"/>
            <w:vAlign w:val="center"/>
          </w:tcPr>
          <w:p w14:paraId="5F4DA50D">
            <w:pPr>
              <w:jc w:val="center"/>
              <w:rPr>
                <w:rFonts w:ascii="仿宋" w:hAnsi="仿宋" w:eastAsia="仿宋"/>
                <w:szCs w:val="21"/>
              </w:rPr>
            </w:pPr>
            <w:r>
              <w:rPr>
                <w:rFonts w:ascii="仿宋" w:hAnsi="仿宋" w:eastAsia="仿宋"/>
                <w:szCs w:val="21"/>
              </w:rPr>
              <w:t>对应的毕业要求指标点</w:t>
            </w:r>
          </w:p>
        </w:tc>
      </w:tr>
      <w:tr w14:paraId="45DE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79F27901">
            <w:pPr>
              <w:jc w:val="center"/>
              <w:rPr>
                <w:rFonts w:ascii="仿宋" w:hAnsi="仿宋" w:eastAsia="仿宋"/>
                <w:szCs w:val="21"/>
              </w:rPr>
            </w:pPr>
            <w:r>
              <w:rPr>
                <w:rFonts w:ascii="仿宋" w:hAnsi="仿宋" w:eastAsia="仿宋"/>
                <w:szCs w:val="21"/>
              </w:rPr>
              <w:t>平时成绩</w:t>
            </w:r>
          </w:p>
          <w:p w14:paraId="31323CFC">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5C149216">
            <w:pPr>
              <w:spacing w:line="276" w:lineRule="auto"/>
              <w:jc w:val="center"/>
              <w:rPr>
                <w:rFonts w:ascii="仿宋" w:hAnsi="仿宋" w:eastAsia="仿宋"/>
                <w:szCs w:val="21"/>
              </w:rPr>
            </w:pPr>
            <w:r>
              <w:rPr>
                <w:rFonts w:hint="eastAsia" w:ascii="仿宋" w:hAnsi="仿宋" w:eastAsia="仿宋"/>
                <w:szCs w:val="21"/>
              </w:rPr>
              <w:t>课堂表现</w:t>
            </w:r>
          </w:p>
        </w:tc>
        <w:tc>
          <w:tcPr>
            <w:tcW w:w="741" w:type="dxa"/>
            <w:noWrap w:val="0"/>
            <w:vAlign w:val="center"/>
          </w:tcPr>
          <w:p w14:paraId="5FB5222A">
            <w:pPr>
              <w:rPr>
                <w:rFonts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86" w:type="dxa"/>
            <w:noWrap w:val="0"/>
            <w:vAlign w:val="center"/>
          </w:tcPr>
          <w:p w14:paraId="7BE75153">
            <w:pPr>
              <w:spacing w:line="320" w:lineRule="exact"/>
              <w:jc w:val="left"/>
              <w:rPr>
                <w:rFonts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分，迟到与早退等一次扣</w:t>
            </w:r>
            <w:r>
              <w:rPr>
                <w:rFonts w:ascii="仿宋" w:hAnsi="仿宋" w:eastAsia="仿宋"/>
                <w:szCs w:val="21"/>
              </w:rPr>
              <w:t>10</w:t>
            </w:r>
            <w:r>
              <w:rPr>
                <w:rFonts w:hint="eastAsia" w:ascii="仿宋" w:hAnsi="仿宋" w:eastAsia="仿宋"/>
                <w:szCs w:val="21"/>
              </w:rPr>
              <w:t>分。</w:t>
            </w:r>
          </w:p>
        </w:tc>
        <w:tc>
          <w:tcPr>
            <w:tcW w:w="1310" w:type="dxa"/>
            <w:noWrap w:val="0"/>
            <w:vAlign w:val="center"/>
          </w:tcPr>
          <w:p w14:paraId="61E8B615">
            <w:pPr>
              <w:jc w:val="center"/>
              <w:rPr>
                <w:rFonts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7CF8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1197E5A6">
            <w:pPr>
              <w:jc w:val="center"/>
              <w:rPr>
                <w:rFonts w:ascii="仿宋" w:hAnsi="仿宋" w:eastAsia="仿宋"/>
                <w:szCs w:val="21"/>
              </w:rPr>
            </w:pPr>
          </w:p>
        </w:tc>
        <w:tc>
          <w:tcPr>
            <w:tcW w:w="1301" w:type="dxa"/>
            <w:noWrap w:val="0"/>
            <w:vAlign w:val="center"/>
          </w:tcPr>
          <w:p w14:paraId="55EEA410">
            <w:pPr>
              <w:spacing w:line="276" w:lineRule="auto"/>
              <w:jc w:val="center"/>
              <w:rPr>
                <w:rFonts w:ascii="仿宋" w:hAnsi="仿宋" w:eastAsia="仿宋"/>
                <w:szCs w:val="21"/>
              </w:rPr>
            </w:pPr>
            <w:r>
              <w:rPr>
                <w:rFonts w:hint="eastAsia" w:ascii="仿宋" w:hAnsi="仿宋" w:eastAsia="仿宋"/>
                <w:szCs w:val="21"/>
              </w:rPr>
              <w:t>课外锻炼</w:t>
            </w:r>
          </w:p>
        </w:tc>
        <w:tc>
          <w:tcPr>
            <w:tcW w:w="741" w:type="dxa"/>
            <w:noWrap w:val="0"/>
            <w:vAlign w:val="center"/>
          </w:tcPr>
          <w:p w14:paraId="3EAAD5DF">
            <w:pPr>
              <w:rPr>
                <w:rFonts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86" w:type="dxa"/>
            <w:noWrap w:val="0"/>
            <w:vAlign w:val="center"/>
          </w:tcPr>
          <w:p w14:paraId="708D5DB2">
            <w:pPr>
              <w:spacing w:line="320" w:lineRule="exact"/>
              <w:jc w:val="left"/>
              <w:rPr>
                <w:rFonts w:ascii="仿宋" w:hAnsi="仿宋" w:eastAsia="仿宋"/>
                <w:bCs/>
                <w:kern w:val="24"/>
                <w:szCs w:val="21"/>
              </w:rPr>
            </w:pPr>
            <w:r>
              <w:rPr>
                <w:rFonts w:hint="eastAsia" w:ascii="仿宋" w:hAnsi="仿宋" w:eastAsia="仿宋"/>
                <w:bCs/>
                <w:kern w:val="24"/>
                <w:szCs w:val="21"/>
              </w:rPr>
              <w:t>课外</w:t>
            </w:r>
            <w:r>
              <w:rPr>
                <w:rFonts w:ascii="仿宋" w:hAnsi="仿宋" w:eastAsia="仿宋"/>
                <w:bCs/>
                <w:kern w:val="24"/>
                <w:szCs w:val="21"/>
              </w:rPr>
              <w:t>体育</w:t>
            </w:r>
            <w:r>
              <w:rPr>
                <w:rFonts w:hint="eastAsia" w:ascii="仿宋" w:hAnsi="仿宋" w:eastAsia="仿宋"/>
                <w:bCs/>
                <w:kern w:val="24"/>
                <w:szCs w:val="21"/>
              </w:rPr>
              <w:t>锻炼成绩纳入学期体育成绩总评，占总评分数的</w:t>
            </w:r>
            <w:r>
              <w:rPr>
                <w:rFonts w:ascii="仿宋" w:hAnsi="仿宋" w:eastAsia="仿宋"/>
                <w:bCs/>
                <w:kern w:val="24"/>
                <w:szCs w:val="21"/>
              </w:rPr>
              <w:t>2</w:t>
            </w:r>
            <w:r>
              <w:rPr>
                <w:rFonts w:hint="eastAsia" w:ascii="仿宋" w:hAnsi="仿宋" w:eastAsia="仿宋"/>
                <w:bCs/>
                <w:kern w:val="24"/>
                <w:szCs w:val="21"/>
              </w:rPr>
              <w:t>0%。主</w:t>
            </w:r>
            <w:r>
              <w:rPr>
                <w:rFonts w:ascii="仿宋" w:hAnsi="仿宋" w:eastAsia="仿宋"/>
                <w:bCs/>
                <w:kern w:val="24"/>
                <w:szCs w:val="21"/>
              </w:rPr>
              <w:t>要</w:t>
            </w:r>
            <w:r>
              <w:rPr>
                <w:rFonts w:hint="eastAsia" w:ascii="仿宋" w:hAnsi="仿宋" w:eastAsia="仿宋"/>
                <w:bCs/>
                <w:kern w:val="24"/>
                <w:szCs w:val="21"/>
              </w:rPr>
              <w:t>包括晨跑、课外健身跑、健身辅导站、体育社团或单项协会健身活动和校级、院级、体育社团组织的体育竞赛活动等。</w:t>
            </w:r>
          </w:p>
        </w:tc>
        <w:tc>
          <w:tcPr>
            <w:tcW w:w="1310" w:type="dxa"/>
            <w:noWrap w:val="0"/>
            <w:vAlign w:val="center"/>
          </w:tcPr>
          <w:p w14:paraId="312CBF01">
            <w:pPr>
              <w:jc w:val="center"/>
              <w:rPr>
                <w:rFonts w:ascii="仿宋" w:hAnsi="仿宋" w:eastAsia="仿宋"/>
              </w:rPr>
            </w:pPr>
            <w:r>
              <w:rPr>
                <w:rFonts w:hint="eastAsia" w:ascii="仿宋" w:hAnsi="仿宋" w:eastAsia="仿宋"/>
              </w:rPr>
              <w:t>8、9</w:t>
            </w:r>
          </w:p>
        </w:tc>
      </w:tr>
      <w:tr w14:paraId="5DF1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noWrap w:val="0"/>
            <w:tcMar>
              <w:left w:w="57" w:type="dxa"/>
              <w:right w:w="57" w:type="dxa"/>
            </w:tcMar>
            <w:vAlign w:val="center"/>
          </w:tcPr>
          <w:p w14:paraId="33F3C95A">
            <w:pPr>
              <w:jc w:val="center"/>
              <w:rPr>
                <w:rFonts w:ascii="仿宋" w:hAnsi="仿宋" w:eastAsia="仿宋"/>
                <w:szCs w:val="21"/>
              </w:rPr>
            </w:pPr>
          </w:p>
        </w:tc>
        <w:tc>
          <w:tcPr>
            <w:tcW w:w="1301" w:type="dxa"/>
            <w:noWrap w:val="0"/>
            <w:vAlign w:val="center"/>
          </w:tcPr>
          <w:p w14:paraId="36F236AD">
            <w:pPr>
              <w:spacing w:line="276" w:lineRule="auto"/>
              <w:jc w:val="center"/>
              <w:rPr>
                <w:rFonts w:ascii="仿宋" w:hAnsi="仿宋" w:eastAsia="仿宋"/>
                <w:szCs w:val="21"/>
              </w:rPr>
            </w:pPr>
            <w:r>
              <w:rPr>
                <w:rFonts w:hint="eastAsia" w:ascii="仿宋" w:hAnsi="仿宋" w:eastAsia="仿宋"/>
                <w:szCs w:val="21"/>
              </w:rPr>
              <w:t>体质测试</w:t>
            </w:r>
          </w:p>
        </w:tc>
        <w:tc>
          <w:tcPr>
            <w:tcW w:w="741" w:type="dxa"/>
            <w:noWrap w:val="0"/>
            <w:vAlign w:val="center"/>
          </w:tcPr>
          <w:p w14:paraId="600790A8">
            <w:pPr>
              <w:jc w:val="center"/>
              <w:rPr>
                <w:rFonts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86" w:type="dxa"/>
            <w:noWrap w:val="0"/>
            <w:vAlign w:val="center"/>
          </w:tcPr>
          <w:p w14:paraId="138D6911">
            <w:pPr>
              <w:spacing w:line="320" w:lineRule="exact"/>
              <w:jc w:val="left"/>
              <w:rPr>
                <w:rFonts w:ascii="仿宋" w:hAnsi="仿宋" w:eastAsia="仿宋"/>
                <w:sz w:val="24"/>
              </w:rPr>
            </w:pPr>
            <w:r>
              <w:rPr>
                <w:rFonts w:hint="eastAsia" w:ascii="仿宋" w:hAnsi="仿宋" w:eastAsia="仿宋"/>
                <w:bCs/>
                <w:kern w:val="24"/>
                <w:szCs w:val="21"/>
              </w:rPr>
              <w:t>根据《国家学生体质健康标准》</w:t>
            </w:r>
            <w:r>
              <w:rPr>
                <w:rFonts w:ascii="仿宋" w:hAnsi="仿宋" w:eastAsia="仿宋"/>
                <w:bCs/>
                <w:kern w:val="24"/>
                <w:szCs w:val="21"/>
              </w:rPr>
              <w:t>测试要求</w:t>
            </w:r>
            <w:r>
              <w:rPr>
                <w:rFonts w:hint="eastAsia" w:ascii="仿宋" w:hAnsi="仿宋" w:eastAsia="仿宋"/>
                <w:bCs/>
                <w:kern w:val="24"/>
                <w:szCs w:val="21"/>
              </w:rPr>
              <w:t>，测试身高、体重、肺活量、立定跳远、一分钟仰卧起坐（女）/引体向上（男）、坐位体前屈、50M、1000M（男）/800M（女）等</w:t>
            </w:r>
            <w:r>
              <w:rPr>
                <w:rFonts w:ascii="仿宋" w:hAnsi="仿宋" w:eastAsia="仿宋"/>
                <w:bCs/>
                <w:kern w:val="24"/>
                <w:szCs w:val="21"/>
              </w:rPr>
              <w:t>八</w:t>
            </w:r>
            <w:r>
              <w:rPr>
                <w:rFonts w:hint="eastAsia" w:ascii="仿宋" w:hAnsi="仿宋" w:eastAsia="仿宋"/>
                <w:bCs/>
                <w:kern w:val="24"/>
                <w:szCs w:val="21"/>
              </w:rPr>
              <w:t>个</w:t>
            </w:r>
            <w:r>
              <w:rPr>
                <w:rFonts w:ascii="仿宋" w:hAnsi="仿宋" w:eastAsia="仿宋"/>
                <w:bCs/>
                <w:kern w:val="24"/>
                <w:szCs w:val="21"/>
              </w:rPr>
              <w:t>项</w:t>
            </w:r>
            <w:r>
              <w:rPr>
                <w:rFonts w:hint="eastAsia" w:ascii="仿宋" w:hAnsi="仿宋" w:eastAsia="仿宋"/>
                <w:bCs/>
                <w:kern w:val="24"/>
                <w:szCs w:val="21"/>
              </w:rPr>
              <w:t>目；</w:t>
            </w:r>
            <w:r>
              <w:rPr>
                <w:rFonts w:ascii="仿宋" w:hAnsi="仿宋" w:eastAsia="仿宋"/>
                <w:bCs/>
                <w:kern w:val="24"/>
                <w:szCs w:val="21"/>
              </w:rPr>
              <w:t>课堂测试</w:t>
            </w:r>
            <w:r>
              <w:rPr>
                <w:rFonts w:hint="eastAsia" w:ascii="仿宋" w:hAnsi="仿宋" w:eastAsia="仿宋"/>
                <w:bCs/>
                <w:kern w:val="24"/>
                <w:szCs w:val="21"/>
              </w:rPr>
              <w:t>，评分参照《国</w:t>
            </w:r>
            <w:r>
              <w:rPr>
                <w:rFonts w:ascii="仿宋" w:hAnsi="仿宋" w:eastAsia="仿宋"/>
                <w:bCs/>
                <w:kern w:val="24"/>
                <w:szCs w:val="21"/>
              </w:rPr>
              <w:t>家</w:t>
            </w:r>
            <w:r>
              <w:rPr>
                <w:rFonts w:hint="eastAsia" w:ascii="仿宋" w:hAnsi="仿宋" w:eastAsia="仿宋"/>
                <w:bCs/>
                <w:kern w:val="24"/>
                <w:szCs w:val="21"/>
              </w:rPr>
              <w:t>学生体质健康标准》</w:t>
            </w:r>
            <w:r>
              <w:rPr>
                <w:rFonts w:ascii="仿宋" w:hAnsi="仿宋" w:eastAsia="仿宋"/>
                <w:bCs/>
                <w:kern w:val="24"/>
                <w:szCs w:val="21"/>
              </w:rPr>
              <w:t>。</w:t>
            </w:r>
          </w:p>
        </w:tc>
        <w:tc>
          <w:tcPr>
            <w:tcW w:w="1310" w:type="dxa"/>
            <w:noWrap w:val="0"/>
            <w:vAlign w:val="center"/>
          </w:tcPr>
          <w:p w14:paraId="47F7A7F8">
            <w:pPr>
              <w:jc w:val="center"/>
              <w:rPr>
                <w:rFonts w:ascii="仿宋" w:hAnsi="仿宋" w:eastAsia="仿宋"/>
              </w:rPr>
            </w:pPr>
            <w:r>
              <w:rPr>
                <w:rFonts w:hint="eastAsia" w:ascii="仿宋" w:hAnsi="仿宋" w:eastAsia="仿宋"/>
              </w:rPr>
              <w:t>8、9</w:t>
            </w:r>
          </w:p>
        </w:tc>
      </w:tr>
      <w:tr w14:paraId="5D0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noWrap w:val="0"/>
            <w:tcMar>
              <w:left w:w="57" w:type="dxa"/>
              <w:right w:w="57" w:type="dxa"/>
            </w:tcMar>
            <w:vAlign w:val="center"/>
          </w:tcPr>
          <w:p w14:paraId="602F82DC">
            <w:pPr>
              <w:jc w:val="center"/>
              <w:rPr>
                <w:rFonts w:ascii="仿宋" w:hAnsi="仿宋" w:eastAsia="仿宋"/>
                <w:szCs w:val="21"/>
              </w:rPr>
            </w:pPr>
            <w:r>
              <w:rPr>
                <w:rFonts w:ascii="仿宋" w:hAnsi="仿宋" w:eastAsia="仿宋"/>
                <w:szCs w:val="21"/>
              </w:rPr>
              <w:t>期末考试</w:t>
            </w:r>
          </w:p>
          <w:p w14:paraId="50FDF265">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0BE93FCB">
            <w:pPr>
              <w:jc w:val="center"/>
              <w:rPr>
                <w:rFonts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noWrap w:val="0"/>
            <w:vAlign w:val="center"/>
          </w:tcPr>
          <w:p w14:paraId="72E970D2">
            <w:pPr>
              <w:jc w:val="center"/>
              <w:rPr>
                <w:rFonts w:ascii="仿宋" w:hAnsi="仿宋" w:eastAsia="仿宋"/>
                <w:szCs w:val="21"/>
              </w:rPr>
            </w:pPr>
            <w:r>
              <w:rPr>
                <w:rFonts w:hint="eastAsia" w:ascii="仿宋" w:hAnsi="仿宋" w:eastAsia="仿宋"/>
                <w:szCs w:val="21"/>
              </w:rPr>
              <w:t xml:space="preserve">   </w:t>
            </w: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86" w:type="dxa"/>
            <w:noWrap w:val="0"/>
            <w:vAlign w:val="center"/>
          </w:tcPr>
          <w:p w14:paraId="5D9DD260">
            <w:pPr>
              <w:spacing w:line="400" w:lineRule="exact"/>
              <w:jc w:val="center"/>
              <w:rPr>
                <w:rFonts w:ascii="仿宋" w:hAnsi="仿宋" w:eastAsia="仿宋"/>
                <w:color w:val="000000"/>
                <w:szCs w:val="21"/>
              </w:rPr>
            </w:pPr>
            <w:r>
              <w:rPr>
                <w:rFonts w:hint="eastAsia" w:ascii="仿宋" w:hAnsi="仿宋" w:eastAsia="仿宋"/>
                <w:color w:val="000000"/>
                <w:szCs w:val="21"/>
              </w:rPr>
              <w:t>各专项技能</w:t>
            </w:r>
          </w:p>
        </w:tc>
        <w:tc>
          <w:tcPr>
            <w:tcW w:w="1310" w:type="dxa"/>
            <w:noWrap w:val="0"/>
            <w:vAlign w:val="center"/>
          </w:tcPr>
          <w:p w14:paraId="3604F18B">
            <w:pPr>
              <w:jc w:val="center"/>
              <w:rPr>
                <w:rFonts w:ascii="仿宋" w:hAnsi="仿宋" w:eastAsia="仿宋"/>
                <w:szCs w:val="21"/>
              </w:rPr>
            </w:pPr>
            <w:r>
              <w:rPr>
                <w:rFonts w:hint="eastAsia" w:ascii="仿宋" w:hAnsi="仿宋" w:eastAsia="仿宋"/>
                <w:bCs/>
                <w:szCs w:val="21"/>
              </w:rPr>
              <w:t>8、9</w:t>
            </w:r>
          </w:p>
        </w:tc>
      </w:tr>
    </w:tbl>
    <w:p w14:paraId="1B01FCA3">
      <w:pPr>
        <w:pStyle w:val="4"/>
        <w:bidi w:val="0"/>
      </w:pPr>
      <w:r>
        <w:rPr>
          <w:rFonts w:hint="eastAsia"/>
        </w:rPr>
        <w:t>六</w:t>
      </w:r>
      <w:r>
        <w:t>、</w:t>
      </w:r>
      <w:r>
        <w:rPr>
          <w:rFonts w:hint="eastAsia"/>
        </w:rPr>
        <w:t>有关说明</w:t>
      </w:r>
    </w:p>
    <w:p w14:paraId="192B2C7F">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4B1EB406">
      <w:pPr>
        <w:spacing w:line="360" w:lineRule="auto"/>
        <w:ind w:firstLine="480" w:firstLineChars="200"/>
        <w:rPr>
          <w:rFonts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7A0C5A27">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322ABAB5">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0575B448">
      <w:pPr>
        <w:wordWrap w:val="0"/>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 xml:space="preserve">人：顾 </w:t>
      </w:r>
      <w:r>
        <w:rPr>
          <w:rFonts w:ascii="仿宋" w:hAnsi="仿宋" w:eastAsia="仿宋"/>
          <w:sz w:val="24"/>
        </w:rPr>
        <w:t xml:space="preserve"> </w:t>
      </w:r>
      <w:r>
        <w:rPr>
          <w:rFonts w:hint="eastAsia" w:ascii="仿宋" w:hAnsi="仿宋" w:eastAsia="仿宋"/>
          <w:sz w:val="24"/>
        </w:rPr>
        <w:t xml:space="preserve">宏 </w:t>
      </w:r>
    </w:p>
    <w:p w14:paraId="103F6946">
      <w:pPr>
        <w:wordWrap w:val="0"/>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人：朱亚</w:t>
      </w:r>
      <w:r>
        <w:rPr>
          <w:rFonts w:ascii="仿宋" w:hAnsi="仿宋" w:eastAsia="仿宋"/>
          <w:sz w:val="24"/>
        </w:rPr>
        <w:t>男</w:t>
      </w:r>
      <w:r>
        <w:rPr>
          <w:rFonts w:hint="eastAsia" w:ascii="仿宋" w:hAnsi="仿宋" w:eastAsia="仿宋"/>
          <w:sz w:val="24"/>
        </w:rPr>
        <w:t xml:space="preserve"> </w:t>
      </w:r>
    </w:p>
    <w:p w14:paraId="3EE72A2F">
      <w:pPr>
        <w:wordWrap w:val="0"/>
        <w:spacing w:line="360" w:lineRule="exact"/>
        <w:ind w:firstLine="480" w:firstLineChars="200"/>
        <w:jc w:val="center"/>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w:t>
      </w:r>
      <w:r>
        <w:rPr>
          <w:rFonts w:ascii="仿宋" w:hAnsi="仿宋" w:eastAsia="仿宋"/>
          <w:sz w:val="24"/>
        </w:rPr>
        <w:t>福</w:t>
      </w:r>
      <w:r>
        <w:rPr>
          <w:rFonts w:hint="eastAsia" w:ascii="仿宋" w:hAnsi="仿宋" w:eastAsia="仿宋"/>
          <w:sz w:val="24"/>
        </w:rPr>
        <w:t xml:space="preserve"> </w:t>
      </w:r>
    </w:p>
    <w:p w14:paraId="3BEC5851">
      <w:pPr>
        <w:wordWrap/>
        <w:spacing w:line="360" w:lineRule="exact"/>
        <w:ind w:firstLine="480" w:firstLineChars="200"/>
        <w:jc w:val="right"/>
        <w:rPr>
          <w:rFonts w:hint="eastAsia" w:ascii="仿宋" w:hAnsi="仿宋" w:eastAsia="仿宋"/>
          <w:sz w:val="24"/>
        </w:rPr>
      </w:pP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62BA4066">
      <w:pPr>
        <w:rPr>
          <w:rFonts w:ascii="仿宋" w:hAnsi="仿宋" w:eastAsia="仿宋"/>
          <w:b/>
          <w:bCs/>
          <w:sz w:val="30"/>
        </w:rPr>
      </w:pPr>
      <w:r>
        <w:rPr>
          <w:rFonts w:ascii="仿宋" w:hAnsi="仿宋" w:eastAsia="仿宋"/>
          <w:b/>
          <w:bCs/>
          <w:sz w:val="30"/>
        </w:rPr>
        <w:br w:type="page"/>
      </w:r>
    </w:p>
    <w:p w14:paraId="0A949CEE">
      <w:pPr>
        <w:pStyle w:val="2"/>
        <w:bidi w:val="0"/>
      </w:pPr>
      <w:r>
        <w:rPr>
          <w:rFonts w:hint="eastAsia"/>
          <w:lang w:eastAsia="zh-CN"/>
        </w:rPr>
        <w:t>《</w:t>
      </w:r>
      <w:r>
        <w:rPr>
          <w:rFonts w:hint="eastAsia"/>
        </w:rPr>
        <w:t>体育II</w:t>
      </w:r>
      <w:r>
        <w:rPr>
          <w:rFonts w:hint="eastAsia"/>
          <w:lang w:eastAsia="zh-CN"/>
        </w:rPr>
        <w:t>》</w:t>
      </w:r>
      <w:r>
        <w:rPr>
          <w:rFonts w:hint="eastAsia"/>
        </w:rPr>
        <w:t>课程教学大纲</w:t>
      </w:r>
    </w:p>
    <w:p w14:paraId="3C5CED39">
      <w:pPr>
        <w:pStyle w:val="3"/>
        <w:bidi w:val="0"/>
      </w:pPr>
      <w:r>
        <w:t>（Physical  Education I</w:t>
      </w:r>
      <w:r>
        <w:rPr>
          <w:rFonts w:hint="eastAsia"/>
        </w:rPr>
        <w:t>I</w:t>
      </w:r>
      <w:r>
        <w:t>）</w:t>
      </w:r>
    </w:p>
    <w:p w14:paraId="2AB54A44">
      <w:pPr>
        <w:pStyle w:val="4"/>
        <w:bidi w:val="0"/>
      </w:pPr>
      <w:r>
        <w:t>一、课程概况</w:t>
      </w:r>
    </w:p>
    <w:p w14:paraId="44BC5A3A">
      <w:pPr>
        <w:spacing w:line="360" w:lineRule="auto"/>
        <w:ind w:firstLine="482" w:firstLineChars="200"/>
        <w:jc w:val="left"/>
        <w:rPr>
          <w:rFonts w:ascii="仿宋" w:hAnsi="仿宋" w:eastAsia="仿宋"/>
          <w:b/>
          <w:sz w:val="24"/>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11010</w:t>
      </w:r>
      <w:r>
        <w:rPr>
          <w:rFonts w:ascii="仿宋" w:hAnsi="仿宋" w:eastAsia="仿宋"/>
          <w:bCs/>
          <w:kern w:val="0"/>
          <w:sz w:val="24"/>
        </w:rPr>
        <w:t>20</w:t>
      </w:r>
    </w:p>
    <w:p w14:paraId="047A4756">
      <w:pPr>
        <w:spacing w:line="360" w:lineRule="auto"/>
        <w:ind w:firstLine="482" w:firstLineChars="200"/>
        <w:jc w:val="left"/>
        <w:rPr>
          <w:rFonts w:hint="eastAsia"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hint="eastAsia" w:ascii="仿宋" w:hAnsi="仿宋" w:eastAsia="仿宋"/>
          <w:bCs/>
          <w:kern w:val="0"/>
          <w:sz w:val="24"/>
        </w:rPr>
        <w:t>0.75</w:t>
      </w:r>
    </w:p>
    <w:p w14:paraId="4D84A22E">
      <w:pPr>
        <w:spacing w:line="360" w:lineRule="auto"/>
        <w:ind w:firstLine="482" w:firstLineChars="200"/>
        <w:jc w:val="left"/>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6A841E60">
      <w:pPr>
        <w:spacing w:line="360" w:lineRule="auto"/>
        <w:ind w:firstLine="482" w:firstLineChars="200"/>
        <w:jc w:val="left"/>
        <w:rPr>
          <w:rFonts w:ascii="仿宋" w:hAnsi="仿宋" w:eastAsia="仿宋"/>
          <w:bCs/>
          <w:kern w:val="0"/>
          <w:sz w:val="24"/>
        </w:rPr>
      </w:pPr>
      <w:r>
        <w:rPr>
          <w:rFonts w:ascii="仿宋" w:hAnsi="仿宋" w:eastAsia="仿宋"/>
          <w:b/>
          <w:bCs/>
          <w:kern w:val="0"/>
          <w:sz w:val="24"/>
        </w:rPr>
        <w:t>先修课程</w:t>
      </w:r>
      <w:r>
        <w:rPr>
          <w:rFonts w:ascii="仿宋" w:hAnsi="仿宋" w:eastAsia="仿宋"/>
          <w:b/>
          <w:kern w:val="0"/>
          <w:sz w:val="24"/>
        </w:rPr>
        <w:t>：</w:t>
      </w:r>
      <w:r>
        <w:rPr>
          <w:rFonts w:hint="eastAsia" w:ascii="仿宋" w:hAnsi="仿宋" w:eastAsia="仿宋"/>
          <w:bCs/>
          <w:kern w:val="0"/>
          <w:sz w:val="24"/>
        </w:rPr>
        <w:t>无</w:t>
      </w:r>
    </w:p>
    <w:p w14:paraId="7B97A39D">
      <w:pPr>
        <w:spacing w:line="360" w:lineRule="auto"/>
        <w:ind w:firstLine="482" w:firstLineChars="200"/>
        <w:jc w:val="left"/>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747158BD">
      <w:pPr>
        <w:spacing w:line="360" w:lineRule="auto"/>
        <w:ind w:firstLine="482" w:firstLineChars="200"/>
        <w:jc w:val="left"/>
        <w:rPr>
          <w:rFonts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 xml:space="preserve">   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5D04E842">
      <w:pPr>
        <w:spacing w:line="360" w:lineRule="auto"/>
        <w:ind w:firstLine="482" w:firstLineChars="200"/>
        <w:jc w:val="left"/>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532F730E">
      <w:pPr>
        <w:autoSpaceDE w:val="0"/>
        <w:autoSpaceDN w:val="0"/>
        <w:adjustRightInd w:val="0"/>
        <w:spacing w:line="360" w:lineRule="auto"/>
        <w:ind w:firstLine="482" w:firstLineChars="200"/>
        <w:jc w:val="left"/>
        <w:rPr>
          <w:rFonts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49782E9F">
      <w:pPr>
        <w:autoSpaceDE w:val="0"/>
        <w:autoSpaceDN w:val="0"/>
        <w:adjustRightInd w:val="0"/>
        <w:spacing w:line="360" w:lineRule="auto"/>
        <w:ind w:firstLine="480" w:firstLineChars="200"/>
        <w:jc w:val="left"/>
        <w:rPr>
          <w:rFonts w:ascii="仿宋" w:hAnsi="仿宋" w:eastAsia="仿宋"/>
          <w:sz w:val="24"/>
        </w:rPr>
      </w:pPr>
      <w:r>
        <w:rPr>
          <w:rFonts w:hint="eastAsia" w:ascii="仿宋" w:hAnsi="仿宋" w:eastAsia="仿宋"/>
          <w:sz w:val="24"/>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p w14:paraId="1031F129">
      <w:pPr>
        <w:pStyle w:val="4"/>
        <w:bidi w:val="0"/>
      </w:pPr>
      <w:r>
        <w:rPr>
          <w:rFonts w:hint="eastAsia"/>
        </w:rPr>
        <w:t>二</w:t>
      </w:r>
      <w:r>
        <w:t>、课程目标</w:t>
      </w:r>
      <w:r>
        <w:rPr>
          <w:rFonts w:hint="eastAsia"/>
        </w:rPr>
        <w:t>与毕业要求指标点对应关系</w:t>
      </w:r>
    </w:p>
    <w:p w14:paraId="2117DD3E">
      <w:pPr>
        <w:spacing w:line="360" w:lineRule="auto"/>
        <w:ind w:firstLine="480" w:firstLineChars="200"/>
        <w:rPr>
          <w:rFonts w:ascii="仿宋" w:hAnsi="仿宋" w:eastAsia="仿宋"/>
          <w:sz w:val="24"/>
        </w:rPr>
      </w:pPr>
      <w:r>
        <w:rPr>
          <w:rFonts w:hint="eastAsia" w:ascii="仿宋" w:hAnsi="仿宋" w:eastAsia="仿宋"/>
          <w:sz w:val="24"/>
        </w:rPr>
        <w:t>目标1：全面发展体能，提高运动能力，掌握体育基本理论知识和基本技术，了解体育锻炼的健身原理，具有一定的体育文化素养和体育欣赏能力。树立“健康第一”思想和正确的体育道德观，增强团结协作意识、规则意识、公平意识和积极进取意识。</w:t>
      </w:r>
    </w:p>
    <w:p w14:paraId="5C63C215">
      <w:pPr>
        <w:spacing w:line="360" w:lineRule="auto"/>
        <w:ind w:firstLine="480" w:firstLineChars="200"/>
        <w:rPr>
          <w:rFonts w:ascii="仿宋" w:hAnsi="仿宋" w:eastAsia="仿宋"/>
          <w:sz w:val="24"/>
        </w:rPr>
      </w:pPr>
      <w:r>
        <w:rPr>
          <w:rFonts w:hint="eastAsia" w:ascii="仿宋" w:hAnsi="仿宋" w:eastAsia="仿宋"/>
          <w:sz w:val="24"/>
        </w:rPr>
        <w:t>目标2：积极参与各种体育活动，掌握所学项目的基本技能和锻炼方法，能科学地进行体育锻炼，掌握常见运动损伤的处理方法。学会利用体育调节身心，改善心理状态，养成积极乐观的生活态度。</w:t>
      </w:r>
    </w:p>
    <w:p w14:paraId="30EE1BA2">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4136C959">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E463705">
            <w:pPr>
              <w:widowControl/>
              <w:jc w:val="center"/>
              <w:rPr>
                <w:rFonts w:ascii="仿宋" w:hAnsi="仿宋" w:eastAsia="仿宋"/>
                <w:kern w:val="0"/>
                <w:szCs w:val="21"/>
              </w:rPr>
            </w:pPr>
            <w:r>
              <w:rPr>
                <w:rFonts w:ascii="仿宋" w:hAnsi="仿宋" w:eastAsia="仿宋"/>
                <w:kern w:val="0"/>
                <w:szCs w:val="21"/>
              </w:rPr>
              <w:t>毕业要求</w:t>
            </w:r>
          </w:p>
          <w:p w14:paraId="65EA2B36">
            <w:pPr>
              <w:widowControl/>
              <w:jc w:val="center"/>
              <w:rPr>
                <w:rFonts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6D527413">
            <w:pPr>
              <w:widowControl/>
              <w:jc w:val="center"/>
              <w:rPr>
                <w:rFonts w:ascii="仿宋" w:hAnsi="仿宋" w:eastAsia="仿宋"/>
                <w:kern w:val="0"/>
                <w:szCs w:val="21"/>
              </w:rPr>
            </w:pPr>
            <w:r>
              <w:rPr>
                <w:rFonts w:ascii="仿宋" w:hAnsi="仿宋" w:eastAsia="仿宋"/>
                <w:kern w:val="0"/>
                <w:szCs w:val="21"/>
              </w:rPr>
              <w:t>课程目标</w:t>
            </w:r>
          </w:p>
        </w:tc>
      </w:tr>
      <w:tr w14:paraId="176AC10A">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2231AE">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FE4FF0E">
            <w:pPr>
              <w:widowControl/>
              <w:jc w:val="center"/>
              <w:rPr>
                <w:rFonts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21C04EB9">
            <w:pPr>
              <w:widowControl/>
              <w:jc w:val="center"/>
              <w:rPr>
                <w:rFonts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7412758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AC739A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1F9621D">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BC5ACA4">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1D830620">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090112BB">
            <w:pPr>
              <w:widowControl/>
              <w:jc w:val="center"/>
              <w:rPr>
                <w:rFonts w:ascii="仿宋" w:hAnsi="仿宋" w:eastAsia="仿宋"/>
                <w:kern w:val="0"/>
                <w:szCs w:val="21"/>
              </w:rPr>
            </w:pPr>
          </w:p>
        </w:tc>
      </w:tr>
      <w:tr w14:paraId="52DCAE4E">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3DE08280">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5BB7C546">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6D1721A">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D02CF4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0A396F2">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A77FF8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F879AFF">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D315E4E">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ABC90A5">
            <w:pPr>
              <w:widowControl/>
              <w:jc w:val="center"/>
              <w:rPr>
                <w:rFonts w:ascii="仿宋" w:hAnsi="仿宋" w:eastAsia="仿宋"/>
                <w:kern w:val="0"/>
                <w:szCs w:val="21"/>
              </w:rPr>
            </w:pPr>
          </w:p>
        </w:tc>
      </w:tr>
      <w:tr w14:paraId="65DDF182">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06BDA17B">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639B8964">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1F309325">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4992124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E83012C">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37C894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7394B35">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1AEECD6">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CBBA7AF">
            <w:pPr>
              <w:widowControl/>
              <w:jc w:val="center"/>
              <w:rPr>
                <w:rFonts w:ascii="仿宋" w:hAnsi="仿宋" w:eastAsia="仿宋"/>
                <w:kern w:val="0"/>
                <w:szCs w:val="21"/>
              </w:rPr>
            </w:pPr>
          </w:p>
        </w:tc>
      </w:tr>
    </w:tbl>
    <w:p w14:paraId="130603A2">
      <w:pPr>
        <w:pStyle w:val="4"/>
        <w:bidi w:val="0"/>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7A3F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75D7CBE9">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14F76511">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24195770">
            <w:pPr>
              <w:jc w:val="center"/>
              <w:rPr>
                <w:rFonts w:ascii="仿宋" w:hAnsi="仿宋" w:eastAsia="仿宋"/>
                <w:b/>
                <w:bCs/>
                <w:szCs w:val="21"/>
              </w:rPr>
            </w:pPr>
            <w:r>
              <w:rPr>
                <w:rFonts w:ascii="仿宋" w:hAnsi="仿宋" w:eastAsia="仿宋"/>
                <w:b/>
                <w:bCs/>
                <w:szCs w:val="21"/>
              </w:rPr>
              <w:t>思政</w:t>
            </w:r>
          </w:p>
          <w:p w14:paraId="36CB0D10">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6428E1CE">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2D65F9F0">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2FB2C40D">
            <w:pPr>
              <w:jc w:val="center"/>
              <w:rPr>
                <w:rFonts w:ascii="仿宋" w:hAnsi="仿宋" w:eastAsia="仿宋"/>
                <w:b/>
                <w:bCs/>
                <w:szCs w:val="21"/>
              </w:rPr>
            </w:pPr>
            <w:r>
              <w:rPr>
                <w:rFonts w:ascii="仿宋" w:hAnsi="仿宋" w:eastAsia="仿宋"/>
                <w:b/>
                <w:bCs/>
                <w:szCs w:val="21"/>
              </w:rPr>
              <w:t>教学</w:t>
            </w:r>
          </w:p>
          <w:p w14:paraId="74571532">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630C30E8">
            <w:pPr>
              <w:jc w:val="center"/>
              <w:rPr>
                <w:rFonts w:ascii="仿宋" w:hAnsi="仿宋" w:eastAsia="仿宋"/>
                <w:b/>
                <w:bCs/>
                <w:szCs w:val="21"/>
              </w:rPr>
            </w:pPr>
            <w:r>
              <w:rPr>
                <w:rFonts w:ascii="仿宋" w:hAnsi="仿宋" w:eastAsia="仿宋"/>
                <w:b/>
                <w:bCs/>
                <w:szCs w:val="21"/>
              </w:rPr>
              <w:t>支撑课程目标</w:t>
            </w:r>
          </w:p>
        </w:tc>
      </w:tr>
      <w:tr w14:paraId="2225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2FF5568A">
            <w:pPr>
              <w:jc w:val="center"/>
              <w:rPr>
                <w:rFonts w:ascii="仿宋" w:hAnsi="仿宋" w:eastAsia="仿宋"/>
                <w:szCs w:val="21"/>
              </w:rPr>
            </w:pPr>
            <w:r>
              <w:rPr>
                <w:rFonts w:ascii="仿宋" w:hAnsi="仿宋" w:eastAsia="仿宋"/>
                <w:szCs w:val="21"/>
              </w:rPr>
              <w:t>1</w:t>
            </w:r>
          </w:p>
        </w:tc>
        <w:tc>
          <w:tcPr>
            <w:tcW w:w="1623" w:type="pct"/>
            <w:noWrap w:val="0"/>
            <w:vAlign w:val="center"/>
          </w:tcPr>
          <w:p w14:paraId="6403723E">
            <w:pPr>
              <w:spacing w:line="240" w:lineRule="exact"/>
              <w:jc w:val="left"/>
              <w:rPr>
                <w:rFonts w:ascii="仿宋" w:hAnsi="仿宋" w:eastAsia="仿宋"/>
                <w:b/>
                <w:szCs w:val="21"/>
              </w:rPr>
            </w:pPr>
            <w:r>
              <w:rPr>
                <w:rFonts w:hint="eastAsia" w:ascii="仿宋" w:hAnsi="仿宋" w:eastAsia="仿宋"/>
                <w:b/>
                <w:szCs w:val="21"/>
              </w:rPr>
              <w:t>㈠体育理论部分:</w:t>
            </w:r>
          </w:p>
          <w:p w14:paraId="3E903E52">
            <w:pPr>
              <w:spacing w:line="240" w:lineRule="exact"/>
              <w:jc w:val="left"/>
              <w:rPr>
                <w:rFonts w:hint="eastAsia" w:ascii="仿宋" w:hAnsi="仿宋" w:eastAsia="仿宋"/>
                <w:bCs/>
              </w:rPr>
            </w:pPr>
            <w:r>
              <w:rPr>
                <w:rFonts w:hint="eastAsia" w:ascii="仿宋" w:hAnsi="仿宋" w:eastAsia="仿宋"/>
                <w:bCs/>
              </w:rPr>
              <w:t>1.学生思想政治教育：国家领导人与体育、奥运明星的励志故事、社会主义核心价值观与体育等；</w:t>
            </w:r>
          </w:p>
          <w:p w14:paraId="6A671A1C">
            <w:pPr>
              <w:spacing w:line="240" w:lineRule="exact"/>
              <w:jc w:val="left"/>
              <w:rPr>
                <w:rFonts w:hint="eastAsia" w:ascii="仿宋" w:hAnsi="仿宋" w:eastAsia="仿宋"/>
                <w:b/>
                <w:szCs w:val="21"/>
              </w:rPr>
            </w:pPr>
            <w:r>
              <w:rPr>
                <w:rFonts w:hint="eastAsia" w:ascii="仿宋" w:hAnsi="仿宋" w:eastAsia="仿宋"/>
                <w:bCs/>
              </w:rPr>
              <w:t>2.体育安全教育：体育运动伤害事故的安全教育及预防与处理措施、常见运动损伤的预防与处理等；</w:t>
            </w:r>
          </w:p>
          <w:p w14:paraId="2FD93A1D">
            <w:pPr>
              <w:spacing w:line="240" w:lineRule="exact"/>
              <w:jc w:val="left"/>
              <w:rPr>
                <w:rFonts w:ascii="仿宋" w:hAnsi="仿宋" w:eastAsia="仿宋"/>
              </w:rPr>
            </w:pPr>
            <w:r>
              <w:rPr>
                <w:rFonts w:hint="eastAsia" w:ascii="仿宋" w:hAnsi="仿宋" w:eastAsia="仿宋"/>
              </w:rPr>
              <w:t>3.体育基本理论：各运动项目的基本理论知识，体育竞赛</w:t>
            </w:r>
            <w:r>
              <w:rPr>
                <w:rFonts w:ascii="仿宋" w:hAnsi="仿宋" w:eastAsia="仿宋"/>
              </w:rPr>
              <w:t>与欣赏</w:t>
            </w:r>
            <w:r>
              <w:rPr>
                <w:rFonts w:hint="eastAsia" w:ascii="仿宋" w:hAnsi="仿宋" w:eastAsia="仿宋"/>
              </w:rPr>
              <w:t>等。</w:t>
            </w:r>
          </w:p>
          <w:p w14:paraId="6EA15C8D">
            <w:pPr>
              <w:spacing w:line="240" w:lineRule="exact"/>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常见运动损伤的急救及处理、奥林匹克运动与中国；</w:t>
            </w:r>
          </w:p>
          <w:p w14:paraId="25110717">
            <w:pPr>
              <w:spacing w:line="240" w:lineRule="exact"/>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理解奥林匹克</w:t>
            </w:r>
            <w:r>
              <w:rPr>
                <w:rFonts w:ascii="仿宋" w:hAnsi="仿宋" w:eastAsia="仿宋"/>
                <w:szCs w:val="21"/>
              </w:rPr>
              <w:t>格言</w:t>
            </w:r>
            <w:r>
              <w:rPr>
                <w:rFonts w:hint="eastAsia" w:ascii="仿宋" w:hAnsi="仿宋" w:eastAsia="仿宋"/>
                <w:szCs w:val="21"/>
              </w:rPr>
              <w:t>，培养学生公平竞争、团结协作、自强不息、自信不止的体育精神。</w:t>
            </w:r>
          </w:p>
        </w:tc>
        <w:tc>
          <w:tcPr>
            <w:tcW w:w="541" w:type="pct"/>
            <w:noWrap w:val="0"/>
            <w:vAlign w:val="center"/>
          </w:tcPr>
          <w:p w14:paraId="3CBBD8A5">
            <w:pPr>
              <w:jc w:val="center"/>
              <w:rPr>
                <w:rFonts w:ascii="仿宋" w:hAnsi="仿宋" w:eastAsia="仿宋"/>
                <w:kern w:val="0"/>
                <w:szCs w:val="21"/>
              </w:rPr>
            </w:pPr>
            <w:r>
              <w:rPr>
                <w:rFonts w:hint="eastAsia" w:ascii="仿宋" w:hAnsi="仿宋" w:eastAsia="仿宋"/>
                <w:kern w:val="0"/>
                <w:szCs w:val="21"/>
              </w:rPr>
              <w:t>理想信念、国家认同和</w:t>
            </w:r>
            <w:r>
              <w:rPr>
                <w:rFonts w:hint="eastAsia" w:ascii="仿宋" w:hAnsi="仿宋" w:eastAsia="仿宋"/>
                <w:szCs w:val="21"/>
              </w:rPr>
              <w:t>社会主义核心价值观等</w:t>
            </w:r>
            <w:r>
              <w:rPr>
                <w:rFonts w:hint="eastAsia" w:ascii="仿宋" w:hAnsi="仿宋" w:eastAsia="仿宋"/>
                <w:kern w:val="0"/>
                <w:szCs w:val="21"/>
              </w:rPr>
              <w:t xml:space="preserve">教育。 </w:t>
            </w:r>
          </w:p>
        </w:tc>
        <w:tc>
          <w:tcPr>
            <w:tcW w:w="1160" w:type="pct"/>
            <w:noWrap w:val="0"/>
            <w:vAlign w:val="center"/>
          </w:tcPr>
          <w:p w14:paraId="0CF8165D">
            <w:pPr>
              <w:autoSpaceDE w:val="0"/>
              <w:autoSpaceDN w:val="0"/>
              <w:adjustRightInd w:val="0"/>
              <w:jc w:val="left"/>
              <w:rPr>
                <w:rFonts w:ascii="仿宋" w:hAnsi="仿宋" w:eastAsia="仿宋"/>
                <w:kern w:val="0"/>
                <w:szCs w:val="21"/>
              </w:rPr>
            </w:pPr>
            <w:r>
              <w:rPr>
                <w:rFonts w:hint="eastAsia" w:ascii="仿宋" w:hAnsi="仿宋" w:eastAsia="仿宋"/>
                <w:kern w:val="0"/>
                <w:szCs w:val="21"/>
              </w:rPr>
              <w:t>通过教学，使学生了解和基本掌握常见运动创伤预防和处理方法，具备一</w:t>
            </w:r>
            <w:r>
              <w:rPr>
                <w:rFonts w:ascii="仿宋" w:hAnsi="仿宋" w:eastAsia="仿宋"/>
                <w:kern w:val="0"/>
                <w:szCs w:val="21"/>
              </w:rPr>
              <w:t>定欣赏</w:t>
            </w:r>
            <w:r>
              <w:rPr>
                <w:rFonts w:hint="eastAsia" w:ascii="仿宋" w:hAnsi="仿宋" w:eastAsia="仿宋"/>
                <w:kern w:val="0"/>
                <w:szCs w:val="21"/>
              </w:rPr>
              <w:t>各类</w:t>
            </w:r>
            <w:r>
              <w:rPr>
                <w:rFonts w:ascii="仿宋" w:hAnsi="仿宋" w:eastAsia="仿宋"/>
                <w:kern w:val="0"/>
                <w:szCs w:val="21"/>
              </w:rPr>
              <w:t>体育竞赛</w:t>
            </w:r>
            <w:r>
              <w:rPr>
                <w:rFonts w:hint="eastAsia" w:ascii="仿宋" w:hAnsi="仿宋" w:eastAsia="仿宋"/>
                <w:kern w:val="0"/>
                <w:szCs w:val="21"/>
              </w:rPr>
              <w:t>能力</w:t>
            </w:r>
            <w:r>
              <w:rPr>
                <w:rFonts w:ascii="仿宋" w:hAnsi="仿宋" w:eastAsia="仿宋"/>
                <w:kern w:val="0"/>
                <w:szCs w:val="21"/>
              </w:rPr>
              <w:t>，</w:t>
            </w:r>
            <w:r>
              <w:rPr>
                <w:rFonts w:hint="eastAsia" w:ascii="仿宋" w:hAnsi="仿宋" w:eastAsia="仿宋"/>
                <w:kern w:val="0"/>
                <w:szCs w:val="21"/>
              </w:rPr>
              <w:t>了解中国与奥林匹克运动简史和奥林匹克文化精神，激发学生爱国情怀和追求和平、向往美好、顽强拼搏、不甘平庸、不断进取的体育精神。</w:t>
            </w:r>
          </w:p>
        </w:tc>
        <w:tc>
          <w:tcPr>
            <w:tcW w:w="386" w:type="pct"/>
            <w:noWrap w:val="0"/>
            <w:vAlign w:val="center"/>
          </w:tcPr>
          <w:p w14:paraId="24C033F3">
            <w:pPr>
              <w:jc w:val="center"/>
              <w:rPr>
                <w:rFonts w:ascii="仿宋" w:hAnsi="仿宋" w:eastAsia="仿宋"/>
                <w:szCs w:val="21"/>
              </w:rPr>
            </w:pPr>
            <w:r>
              <w:rPr>
                <w:rFonts w:ascii="仿宋" w:hAnsi="仿宋" w:eastAsia="仿宋"/>
                <w:szCs w:val="21"/>
              </w:rPr>
              <w:t>4</w:t>
            </w:r>
          </w:p>
        </w:tc>
        <w:tc>
          <w:tcPr>
            <w:tcW w:w="464" w:type="pct"/>
            <w:noWrap w:val="0"/>
            <w:vAlign w:val="center"/>
          </w:tcPr>
          <w:p w14:paraId="576DB65E">
            <w:pPr>
              <w:jc w:val="center"/>
              <w:rPr>
                <w:rFonts w:ascii="仿宋" w:hAnsi="仿宋" w:eastAsia="仿宋"/>
                <w:szCs w:val="21"/>
              </w:rPr>
            </w:pPr>
            <w:r>
              <w:rPr>
                <w:rFonts w:hint="eastAsia" w:ascii="仿宋" w:hAnsi="仿宋" w:eastAsia="仿宋"/>
                <w:szCs w:val="21"/>
              </w:rPr>
              <w:t>讲授法</w:t>
            </w:r>
          </w:p>
        </w:tc>
        <w:tc>
          <w:tcPr>
            <w:tcW w:w="520" w:type="pct"/>
            <w:noWrap w:val="0"/>
            <w:vAlign w:val="center"/>
          </w:tcPr>
          <w:p w14:paraId="79B74395">
            <w:pPr>
              <w:jc w:val="left"/>
              <w:rPr>
                <w:rFonts w:ascii="仿宋" w:hAnsi="仿宋" w:eastAsia="仿宋"/>
                <w:szCs w:val="21"/>
              </w:rPr>
            </w:pPr>
            <w:r>
              <w:rPr>
                <w:rFonts w:hint="eastAsia" w:ascii="仿宋" w:hAnsi="仿宋" w:eastAsia="仿宋"/>
                <w:szCs w:val="21"/>
              </w:rPr>
              <w:t>目标1目标2</w:t>
            </w:r>
          </w:p>
        </w:tc>
      </w:tr>
      <w:tr w14:paraId="0EDE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163B25E9">
            <w:pPr>
              <w:jc w:val="center"/>
              <w:rPr>
                <w:rFonts w:ascii="仿宋" w:hAnsi="仿宋" w:eastAsia="仿宋"/>
                <w:szCs w:val="21"/>
              </w:rPr>
            </w:pPr>
            <w:r>
              <w:rPr>
                <w:rFonts w:ascii="仿宋" w:hAnsi="仿宋" w:eastAsia="仿宋"/>
                <w:szCs w:val="21"/>
              </w:rPr>
              <w:t>2</w:t>
            </w:r>
          </w:p>
        </w:tc>
        <w:tc>
          <w:tcPr>
            <w:tcW w:w="1623" w:type="pct"/>
            <w:noWrap w:val="0"/>
            <w:vAlign w:val="center"/>
          </w:tcPr>
          <w:p w14:paraId="1BC45C26">
            <w:pPr>
              <w:jc w:val="left"/>
              <w:rPr>
                <w:rFonts w:ascii="仿宋" w:hAnsi="仿宋" w:eastAsia="仿宋"/>
                <w:b/>
                <w:szCs w:val="21"/>
              </w:rPr>
            </w:pPr>
            <w:r>
              <w:rPr>
                <w:rFonts w:hint="eastAsia" w:ascii="仿宋" w:hAnsi="仿宋" w:eastAsia="仿宋"/>
                <w:b/>
                <w:szCs w:val="21"/>
              </w:rPr>
              <w:t>㈡实践部分：</w:t>
            </w:r>
          </w:p>
          <w:p w14:paraId="6C182AAF">
            <w:pPr>
              <w:jc w:val="left"/>
              <w:rPr>
                <w:rFonts w:ascii="仿宋" w:hAnsi="仿宋" w:eastAsia="仿宋"/>
                <w:bCs/>
              </w:rPr>
            </w:pPr>
            <w:r>
              <w:rPr>
                <w:rFonts w:hint="eastAsia" w:ascii="仿宋" w:hAnsi="仿宋" w:eastAsia="仿宋"/>
                <w:bCs/>
              </w:rPr>
              <w:t>1.各运动项目和身体素质为主，主要包括篮球、足球、五</w:t>
            </w:r>
            <w:r>
              <w:rPr>
                <w:rFonts w:ascii="仿宋" w:hAnsi="仿宋" w:eastAsia="仿宋"/>
                <w:bCs/>
              </w:rPr>
              <w:t>人制</w:t>
            </w:r>
            <w:r>
              <w:rPr>
                <w:rFonts w:hint="eastAsia" w:ascii="仿宋" w:hAnsi="仿宋" w:eastAsia="仿宋"/>
                <w:bCs/>
              </w:rPr>
              <w:t>足球</w:t>
            </w:r>
            <w:r>
              <w:rPr>
                <w:rFonts w:ascii="仿宋" w:hAnsi="仿宋" w:eastAsia="仿宋"/>
                <w:bCs/>
              </w:rPr>
              <w:t>、</w:t>
            </w:r>
            <w:r>
              <w:rPr>
                <w:rFonts w:hint="eastAsia" w:ascii="仿宋" w:hAnsi="仿宋" w:eastAsia="仿宋"/>
                <w:bCs/>
              </w:rPr>
              <w:t>排球、乒</w:t>
            </w:r>
            <w:r>
              <w:rPr>
                <w:rFonts w:ascii="仿宋" w:hAnsi="仿宋" w:eastAsia="仿宋"/>
                <w:bCs/>
              </w:rPr>
              <w:t>乓球、</w:t>
            </w:r>
            <w:r>
              <w:rPr>
                <w:rFonts w:hint="eastAsia" w:ascii="仿宋" w:hAnsi="仿宋" w:eastAsia="仿宋"/>
                <w:bCs/>
              </w:rPr>
              <w:t>排舞(女)、武术、散打、健美操(女)、排舞(女)、花样</w:t>
            </w:r>
            <w:r>
              <w:rPr>
                <w:rFonts w:ascii="仿宋" w:hAnsi="仿宋" w:eastAsia="仿宋"/>
                <w:bCs/>
              </w:rPr>
              <w:t>跳绳</w:t>
            </w:r>
            <w:r>
              <w:rPr>
                <w:rFonts w:hint="eastAsia" w:ascii="仿宋" w:hAnsi="仿宋" w:eastAsia="仿宋"/>
                <w:bCs/>
              </w:rPr>
              <w:t>、飞盘和体育保健等。</w:t>
            </w:r>
          </w:p>
          <w:p w14:paraId="6381ED11">
            <w:pPr>
              <w:jc w:val="left"/>
              <w:rPr>
                <w:rFonts w:ascii="仿宋" w:hAnsi="仿宋" w:eastAsia="仿宋"/>
                <w:bCs/>
              </w:rPr>
            </w:pPr>
            <w:r>
              <w:rPr>
                <w:rFonts w:ascii="仿宋" w:hAnsi="仿宋" w:eastAsia="仿宋"/>
                <w:bCs/>
              </w:rPr>
              <w:t>2</w:t>
            </w:r>
            <w:r>
              <w:rPr>
                <w:rFonts w:hint="eastAsia" w:ascii="仿宋" w:hAnsi="仿宋" w:eastAsia="仿宋"/>
                <w:bCs/>
              </w:rPr>
              <w:t>.健康标准测试和发展体能</w:t>
            </w:r>
          </w:p>
          <w:p w14:paraId="6CF07E6C">
            <w:pPr>
              <w:jc w:val="left"/>
              <w:rPr>
                <w:rFonts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64DF1E92">
            <w:pPr>
              <w:jc w:val="left"/>
              <w:rPr>
                <w:rFonts w:ascii="仿宋" w:hAnsi="仿宋" w:eastAsia="仿宋"/>
                <w:bCs/>
              </w:rPr>
            </w:pPr>
            <w:r>
              <w:rPr>
                <w:rFonts w:hint="eastAsia" w:ascii="仿宋" w:hAnsi="仿宋" w:eastAsia="仿宋"/>
                <w:b/>
                <w:bCs/>
              </w:rPr>
              <w:t>难点：</w:t>
            </w:r>
            <w:r>
              <w:rPr>
                <w:rFonts w:hint="eastAsia" w:ascii="仿宋" w:hAnsi="仿宋" w:eastAsia="仿宋"/>
                <w:bCs/>
              </w:rPr>
              <w:t>学会运用所学项目技能，自主和自觉锻炼意识，发展体育精神、</w:t>
            </w:r>
            <w:r>
              <w:rPr>
                <w:rFonts w:ascii="仿宋" w:hAnsi="仿宋" w:eastAsia="仿宋"/>
                <w:bCs/>
              </w:rPr>
              <w:t>健全</w:t>
            </w:r>
            <w:r>
              <w:rPr>
                <w:rFonts w:hint="eastAsia" w:ascii="仿宋" w:hAnsi="仿宋" w:eastAsia="仿宋"/>
                <w:bCs/>
              </w:rPr>
              <w:t>人格。</w:t>
            </w:r>
          </w:p>
        </w:tc>
        <w:tc>
          <w:tcPr>
            <w:tcW w:w="541" w:type="pct"/>
            <w:noWrap w:val="0"/>
            <w:vAlign w:val="center"/>
          </w:tcPr>
          <w:p w14:paraId="474C5880">
            <w:pPr>
              <w:widowControl/>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noWrap w:val="0"/>
            <w:vAlign w:val="center"/>
          </w:tcPr>
          <w:p w14:paraId="02C34051">
            <w:pPr>
              <w:spacing w:line="280" w:lineRule="exact"/>
              <w:jc w:val="left"/>
              <w:rPr>
                <w:rFonts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szCs w:val="21"/>
              </w:rPr>
              <w:t>使学生了解和掌握所选运动项目的基本知识、基本技术和锻炼方法；</w:t>
            </w:r>
            <w:r>
              <w:rPr>
                <w:rFonts w:hint="eastAsia" w:ascii="仿宋" w:hAnsi="仿宋" w:eastAsia="仿宋"/>
                <w:bCs/>
              </w:rPr>
              <w:t>发展学生的力量、灵敏、协调、平衡等身体素质及提高感知能力</w:t>
            </w:r>
            <w:r>
              <w:rPr>
                <w:rFonts w:hint="eastAsia" w:ascii="仿宋" w:hAnsi="仿宋" w:eastAsia="仿宋"/>
                <w:szCs w:val="21"/>
              </w:rPr>
              <w:t>；增强人际交往能力，培养团结协作的集体主义精神、顽强拼搏的竞争意识和爱国主义情怀。</w:t>
            </w:r>
          </w:p>
        </w:tc>
        <w:tc>
          <w:tcPr>
            <w:tcW w:w="386" w:type="pct"/>
            <w:noWrap w:val="0"/>
            <w:vAlign w:val="center"/>
          </w:tcPr>
          <w:p w14:paraId="363F9AC0">
            <w:pPr>
              <w:jc w:val="center"/>
              <w:rPr>
                <w:rFonts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noWrap w:val="0"/>
            <w:vAlign w:val="center"/>
          </w:tcPr>
          <w:p w14:paraId="16274BCF">
            <w:pP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31927A64">
            <w:pPr>
              <w:jc w:val="left"/>
              <w:rPr>
                <w:rFonts w:ascii="仿宋" w:hAnsi="仿宋" w:eastAsia="仿宋"/>
                <w:szCs w:val="21"/>
              </w:rPr>
            </w:pPr>
            <w:r>
              <w:rPr>
                <w:rFonts w:hint="eastAsia" w:ascii="仿宋" w:hAnsi="仿宋" w:eastAsia="仿宋"/>
                <w:szCs w:val="21"/>
              </w:rPr>
              <w:t>目标1</w:t>
            </w:r>
          </w:p>
          <w:p w14:paraId="106F60AC">
            <w:pPr>
              <w:jc w:val="left"/>
              <w:rPr>
                <w:rFonts w:ascii="仿宋" w:hAnsi="仿宋" w:eastAsia="仿宋"/>
                <w:szCs w:val="21"/>
              </w:rPr>
            </w:pPr>
            <w:r>
              <w:rPr>
                <w:rFonts w:hint="eastAsia" w:ascii="仿宋" w:hAnsi="仿宋" w:eastAsia="仿宋"/>
                <w:szCs w:val="21"/>
              </w:rPr>
              <w:t>目标2</w:t>
            </w:r>
          </w:p>
        </w:tc>
      </w:tr>
    </w:tbl>
    <w:p w14:paraId="5A70F8CA">
      <w:pPr>
        <w:pStyle w:val="4"/>
        <w:bidi w:val="0"/>
      </w:pPr>
      <w:r>
        <w:rPr>
          <w:rFonts w:hint="eastAsia"/>
        </w:rPr>
        <w:t>四、课程实施</w:t>
      </w:r>
    </w:p>
    <w:p w14:paraId="0DC1FDD5">
      <w:pPr>
        <w:spacing w:before="180" w:beforeLines="50" w:after="180" w:afterLines="50" w:line="360" w:lineRule="auto"/>
        <w:ind w:firstLine="482" w:firstLineChars="200"/>
        <w:jc w:val="left"/>
        <w:rPr>
          <w:rFonts w:ascii="仿宋" w:hAnsi="仿宋" w:eastAsia="仿宋"/>
          <w:b/>
          <w:sz w:val="24"/>
        </w:rPr>
      </w:pPr>
      <w:r>
        <w:rPr>
          <w:rFonts w:hint="eastAsia" w:ascii="仿宋" w:hAnsi="仿宋" w:eastAsia="仿宋"/>
          <w:b/>
          <w:sz w:val="24"/>
        </w:rPr>
        <w:t>（一）教学方法与手段</w:t>
      </w:r>
    </w:p>
    <w:p w14:paraId="4875C6F1">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．本课程以实践教学为主，教学方法与手段的运用要考虑到学生的实际情况，从实际出发，因材施教，注意区别对待，激发学生学习兴趣，着重培养学生自学、自练、自评、互评等能力。</w:t>
      </w:r>
      <w:r>
        <w:rPr>
          <w:rFonts w:ascii="仿宋" w:hAnsi="仿宋" w:eastAsia="仿宋"/>
          <w:sz w:val="24"/>
        </w:rPr>
        <w:t xml:space="preserve">  </w:t>
      </w:r>
    </w:p>
    <w:p w14:paraId="0B89A496">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0B5E400F">
      <w:pPr>
        <w:spacing w:line="360" w:lineRule="auto"/>
        <w:ind w:firstLine="480" w:firstLineChars="200"/>
        <w:rPr>
          <w:rFonts w:ascii="仿宋" w:hAnsi="仿宋" w:eastAsia="仿宋"/>
          <w:sz w:val="24"/>
        </w:rPr>
      </w:pPr>
      <w:r>
        <w:rPr>
          <w:rFonts w:hint="eastAsia" w:ascii="仿宋" w:hAnsi="仿宋" w:eastAsia="仿宋"/>
          <w:sz w:val="24"/>
        </w:rPr>
        <w:t>3．针对体育教学的特点，本课程将采用：讲解法、示范法、完整法、分解法、集体练习、小组练习等教学方法，并利用多媒体教学方式，提高学生的欣赏能力、让学生更加深刻的了解所学项目。</w:t>
      </w:r>
    </w:p>
    <w:p w14:paraId="0F34D468">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34"/>
        <w:gridCol w:w="6758"/>
      </w:tblGrid>
      <w:tr w14:paraId="0532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gridSpan w:val="2"/>
            <w:tcBorders>
              <w:top w:val="single" w:color="auto" w:sz="8" w:space="0"/>
              <w:left w:val="single" w:color="auto" w:sz="8" w:space="0"/>
              <w:right w:val="single" w:color="auto" w:sz="8" w:space="0"/>
            </w:tcBorders>
            <w:noWrap w:val="0"/>
            <w:tcMar>
              <w:left w:w="28" w:type="dxa"/>
              <w:right w:w="28" w:type="dxa"/>
            </w:tcMar>
            <w:vAlign w:val="center"/>
          </w:tcPr>
          <w:p w14:paraId="1415E04C">
            <w:pPr>
              <w:spacing w:line="276" w:lineRule="auto"/>
              <w:jc w:val="center"/>
              <w:rPr>
                <w:rFonts w:ascii="仿宋" w:hAnsi="仿宋" w:eastAsia="仿宋"/>
                <w:sz w:val="24"/>
              </w:rPr>
            </w:pPr>
            <w:r>
              <w:rPr>
                <w:rFonts w:ascii="仿宋" w:hAnsi="仿宋" w:eastAsia="仿宋" w:cs="宋体"/>
                <w:b/>
                <w:bCs/>
                <w:sz w:val="24"/>
              </w:rPr>
              <w:t>主要教学环节</w:t>
            </w:r>
          </w:p>
        </w:tc>
        <w:tc>
          <w:tcPr>
            <w:tcW w:w="6758" w:type="dxa"/>
            <w:tcBorders>
              <w:top w:val="single" w:color="auto" w:sz="8" w:space="0"/>
              <w:left w:val="single" w:color="auto" w:sz="8" w:space="0"/>
              <w:right w:val="single" w:color="auto" w:sz="8" w:space="0"/>
            </w:tcBorders>
            <w:noWrap w:val="0"/>
            <w:vAlign w:val="center"/>
          </w:tcPr>
          <w:p w14:paraId="16415FBD">
            <w:pPr>
              <w:spacing w:line="276" w:lineRule="auto"/>
              <w:jc w:val="center"/>
              <w:rPr>
                <w:rFonts w:ascii="仿宋" w:hAnsi="仿宋" w:eastAsia="仿宋"/>
                <w:sz w:val="24"/>
              </w:rPr>
            </w:pPr>
            <w:r>
              <w:rPr>
                <w:rFonts w:hint="eastAsia" w:ascii="仿宋" w:hAnsi="仿宋" w:eastAsia="仿宋" w:cs="宋体"/>
                <w:b/>
                <w:bCs/>
                <w:sz w:val="24"/>
              </w:rPr>
              <w:t>质量要求</w:t>
            </w:r>
          </w:p>
        </w:tc>
      </w:tr>
      <w:tr w14:paraId="39D5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20F2D922">
            <w:pPr>
              <w:spacing w:line="276" w:lineRule="auto"/>
              <w:jc w:val="center"/>
              <w:rPr>
                <w:rFonts w:ascii="仿宋" w:hAnsi="仿宋" w:eastAsia="仿宋"/>
                <w:sz w:val="24"/>
              </w:rPr>
            </w:pPr>
            <w:r>
              <w:rPr>
                <w:rFonts w:hint="eastAsia" w:ascii="仿宋" w:hAnsi="仿宋" w:eastAsia="仿宋"/>
                <w:sz w:val="24"/>
              </w:rPr>
              <w:t>1</w:t>
            </w:r>
          </w:p>
        </w:tc>
        <w:tc>
          <w:tcPr>
            <w:tcW w:w="1134" w:type="dxa"/>
            <w:noWrap w:val="0"/>
            <w:tcMar>
              <w:left w:w="28" w:type="dxa"/>
              <w:right w:w="28" w:type="dxa"/>
            </w:tcMar>
            <w:vAlign w:val="center"/>
          </w:tcPr>
          <w:p w14:paraId="366BCB84">
            <w:pPr>
              <w:spacing w:line="276" w:lineRule="auto"/>
              <w:jc w:val="center"/>
              <w:rPr>
                <w:rFonts w:ascii="仿宋" w:hAnsi="仿宋" w:eastAsia="仿宋"/>
                <w:sz w:val="24"/>
              </w:rPr>
            </w:pPr>
            <w:r>
              <w:rPr>
                <w:rFonts w:hint="eastAsia" w:ascii="仿宋" w:hAnsi="仿宋" w:eastAsia="仿宋"/>
                <w:sz w:val="24"/>
              </w:rPr>
              <w:t>备课</w:t>
            </w:r>
          </w:p>
        </w:tc>
        <w:tc>
          <w:tcPr>
            <w:tcW w:w="6758" w:type="dxa"/>
            <w:tcBorders>
              <w:right w:val="single" w:color="auto" w:sz="8" w:space="0"/>
            </w:tcBorders>
            <w:noWrap w:val="0"/>
            <w:vAlign w:val="center"/>
          </w:tcPr>
          <w:p w14:paraId="570CE24F">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4E8A7262">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316934BA">
            <w:pPr>
              <w:autoSpaceDE w:val="0"/>
              <w:autoSpaceDN w:val="0"/>
              <w:adjustRightInd w:val="0"/>
              <w:snapToGrid w:val="0"/>
              <w:spacing w:line="320" w:lineRule="exact"/>
              <w:jc w:val="left"/>
              <w:rPr>
                <w:rFonts w:ascii="仿宋" w:hAnsi="仿宋" w:eastAsia="仿宋" w:cs="宋体"/>
                <w:spacing w:val="-10"/>
                <w:kern w:val="0"/>
                <w:sz w:val="22"/>
              </w:rPr>
            </w:pPr>
            <w:r>
              <w:rPr>
                <w:rFonts w:ascii="仿宋" w:hAnsi="仿宋" w:eastAsia="仿宋" w:cs="宋体"/>
                <w:spacing w:val="-10"/>
                <w:kern w:val="0"/>
                <w:sz w:val="22"/>
              </w:rPr>
              <w:t>3.</w:t>
            </w:r>
            <w:r>
              <w:rPr>
                <w:rFonts w:hint="eastAsia" w:ascii="仿宋" w:hAnsi="仿宋" w:eastAsia="仿宋" w:cs="宋体"/>
                <w:spacing w:val="-10"/>
                <w:kern w:val="0"/>
                <w:sz w:val="22"/>
              </w:rPr>
              <w:t>结合课程特点，制作课件，运用多媒体教学手段讲授部分教学内容；</w:t>
            </w:r>
            <w:r>
              <w:rPr>
                <w:rFonts w:ascii="仿宋" w:hAnsi="仿宋" w:eastAsia="仿宋" w:cs="宋体"/>
                <w:spacing w:val="-10"/>
                <w:kern w:val="0"/>
                <w:sz w:val="22"/>
              </w:rPr>
              <w:t xml:space="preserve"> </w:t>
            </w:r>
          </w:p>
          <w:p w14:paraId="6B6EB925">
            <w:pPr>
              <w:autoSpaceDE w:val="0"/>
              <w:autoSpaceDN w:val="0"/>
              <w:adjustRightInd w:val="0"/>
              <w:snapToGrid w:val="0"/>
              <w:spacing w:line="320" w:lineRule="exact"/>
              <w:jc w:val="left"/>
              <w:rPr>
                <w:rFonts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7455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644ECC14">
            <w:pPr>
              <w:spacing w:line="276" w:lineRule="auto"/>
              <w:jc w:val="center"/>
              <w:rPr>
                <w:rFonts w:ascii="仿宋" w:hAnsi="仿宋" w:eastAsia="仿宋"/>
                <w:sz w:val="24"/>
              </w:rPr>
            </w:pPr>
            <w:r>
              <w:rPr>
                <w:rFonts w:hint="eastAsia" w:ascii="仿宋" w:hAnsi="仿宋" w:eastAsia="仿宋"/>
                <w:sz w:val="24"/>
              </w:rPr>
              <w:t>2</w:t>
            </w:r>
          </w:p>
        </w:tc>
        <w:tc>
          <w:tcPr>
            <w:tcW w:w="1134" w:type="dxa"/>
            <w:noWrap w:val="0"/>
            <w:tcMar>
              <w:left w:w="28" w:type="dxa"/>
              <w:right w:w="28" w:type="dxa"/>
            </w:tcMar>
            <w:vAlign w:val="center"/>
          </w:tcPr>
          <w:p w14:paraId="037B3C10">
            <w:pPr>
              <w:spacing w:line="276" w:lineRule="auto"/>
              <w:jc w:val="center"/>
              <w:rPr>
                <w:rFonts w:ascii="仿宋" w:hAnsi="仿宋" w:eastAsia="仿宋"/>
                <w:sz w:val="24"/>
              </w:rPr>
            </w:pPr>
            <w:r>
              <w:rPr>
                <w:rFonts w:hint="eastAsia" w:ascii="仿宋" w:hAnsi="仿宋" w:eastAsia="仿宋"/>
                <w:sz w:val="24"/>
              </w:rPr>
              <w:t>讲授</w:t>
            </w:r>
          </w:p>
        </w:tc>
        <w:tc>
          <w:tcPr>
            <w:tcW w:w="6758" w:type="dxa"/>
            <w:tcBorders>
              <w:right w:val="single" w:color="auto" w:sz="8" w:space="0"/>
            </w:tcBorders>
            <w:noWrap w:val="0"/>
            <w:vAlign w:val="center"/>
          </w:tcPr>
          <w:p w14:paraId="4B3A550F">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C9CA45B">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4BB5BB2F">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A9367E2">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0C3997D1">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50E9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017FB28">
            <w:pPr>
              <w:spacing w:line="276" w:lineRule="auto"/>
              <w:jc w:val="center"/>
              <w:rPr>
                <w:rFonts w:ascii="仿宋" w:hAnsi="仿宋" w:eastAsia="仿宋"/>
                <w:sz w:val="24"/>
              </w:rPr>
            </w:pPr>
            <w:r>
              <w:rPr>
                <w:rFonts w:ascii="仿宋" w:hAnsi="仿宋" w:eastAsia="仿宋"/>
                <w:sz w:val="24"/>
              </w:rPr>
              <w:t>3</w:t>
            </w:r>
          </w:p>
        </w:tc>
        <w:tc>
          <w:tcPr>
            <w:tcW w:w="1134" w:type="dxa"/>
            <w:noWrap w:val="0"/>
            <w:tcMar>
              <w:left w:w="28" w:type="dxa"/>
              <w:right w:w="28" w:type="dxa"/>
            </w:tcMar>
            <w:vAlign w:val="center"/>
          </w:tcPr>
          <w:p w14:paraId="0C44A0F4">
            <w:pPr>
              <w:spacing w:line="276" w:lineRule="auto"/>
              <w:jc w:val="center"/>
              <w:rPr>
                <w:rFonts w:ascii="仿宋" w:hAnsi="仿宋" w:eastAsia="仿宋"/>
                <w:sz w:val="24"/>
              </w:rPr>
            </w:pPr>
            <w:r>
              <w:rPr>
                <w:rFonts w:hint="eastAsia" w:ascii="仿宋" w:hAnsi="仿宋" w:eastAsia="仿宋"/>
                <w:sz w:val="24"/>
              </w:rPr>
              <w:t>课外练习</w:t>
            </w:r>
          </w:p>
        </w:tc>
        <w:tc>
          <w:tcPr>
            <w:tcW w:w="6758" w:type="dxa"/>
            <w:tcBorders>
              <w:right w:val="single" w:color="auto" w:sz="8" w:space="0"/>
            </w:tcBorders>
            <w:noWrap w:val="0"/>
            <w:vAlign w:val="center"/>
          </w:tcPr>
          <w:p w14:paraId="6B9A7FD6">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28AA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05A81ED0">
            <w:pPr>
              <w:spacing w:line="276" w:lineRule="auto"/>
              <w:jc w:val="center"/>
              <w:rPr>
                <w:rFonts w:ascii="仿宋" w:hAnsi="仿宋" w:eastAsia="仿宋"/>
                <w:sz w:val="24"/>
              </w:rPr>
            </w:pPr>
            <w:r>
              <w:rPr>
                <w:rFonts w:ascii="仿宋" w:hAnsi="仿宋" w:eastAsia="仿宋"/>
                <w:sz w:val="24"/>
              </w:rPr>
              <w:t>4</w:t>
            </w:r>
          </w:p>
        </w:tc>
        <w:tc>
          <w:tcPr>
            <w:tcW w:w="1134" w:type="dxa"/>
            <w:noWrap w:val="0"/>
            <w:tcMar>
              <w:left w:w="28" w:type="dxa"/>
              <w:right w:w="28" w:type="dxa"/>
            </w:tcMar>
            <w:vAlign w:val="center"/>
          </w:tcPr>
          <w:p w14:paraId="11F9B802">
            <w:pPr>
              <w:spacing w:line="276" w:lineRule="auto"/>
              <w:jc w:val="center"/>
              <w:rPr>
                <w:rFonts w:ascii="仿宋" w:hAnsi="仿宋" w:eastAsia="仿宋"/>
                <w:sz w:val="24"/>
              </w:rPr>
            </w:pPr>
            <w:r>
              <w:rPr>
                <w:rFonts w:hint="eastAsia" w:ascii="仿宋" w:hAnsi="仿宋" w:eastAsia="仿宋"/>
                <w:sz w:val="24"/>
              </w:rPr>
              <w:t>成绩考核</w:t>
            </w:r>
          </w:p>
        </w:tc>
        <w:tc>
          <w:tcPr>
            <w:tcW w:w="6758" w:type="dxa"/>
            <w:tcBorders>
              <w:right w:val="single" w:color="auto" w:sz="8" w:space="0"/>
            </w:tcBorders>
            <w:noWrap w:val="0"/>
            <w:vAlign w:val="center"/>
          </w:tcPr>
          <w:p w14:paraId="42CBAA8B">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2A381C09">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61080D2D">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7494361F">
      <w:pPr>
        <w:pStyle w:val="4"/>
        <w:bidi w:val="0"/>
      </w:pPr>
      <w:r>
        <w:rPr>
          <w:rFonts w:hint="eastAsia"/>
        </w:rPr>
        <w:t>五</w:t>
      </w:r>
      <w:r>
        <w:t>、</w:t>
      </w:r>
      <w:r>
        <w:rPr>
          <w:rFonts w:hint="eastAsia"/>
        </w:rPr>
        <w:t>课程考核</w:t>
      </w:r>
    </w:p>
    <w:p w14:paraId="733C8516">
      <w:pPr>
        <w:spacing w:line="360" w:lineRule="auto"/>
        <w:ind w:firstLine="480" w:firstLineChars="200"/>
        <w:rPr>
          <w:rFonts w:ascii="仿宋" w:hAnsi="仿宋" w:eastAsia="仿宋"/>
          <w:sz w:val="24"/>
        </w:rPr>
      </w:pPr>
      <w:r>
        <w:rPr>
          <w:rFonts w:hint="eastAsia" w:ascii="仿宋" w:hAnsi="仿宋" w:eastAsia="仿宋"/>
          <w:sz w:val="24"/>
        </w:rPr>
        <w:t>（一）课程考核由期末考试和平时考核构成，期末考试采用随堂方式。</w:t>
      </w:r>
    </w:p>
    <w:p w14:paraId="7146D693">
      <w:pPr>
        <w:spacing w:line="360" w:lineRule="auto"/>
        <w:ind w:firstLine="480" w:firstLineChars="200"/>
        <w:rPr>
          <w:rFonts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总评成绩=平时成绩</w:t>
      </w:r>
      <w:r>
        <w:rPr>
          <w:rFonts w:ascii="仿宋" w:hAnsi="仿宋" w:eastAsia="仿宋"/>
          <w:sz w:val="24"/>
        </w:rPr>
        <w:t>5</w:t>
      </w:r>
      <w:r>
        <w:rPr>
          <w:rFonts w:hint="eastAsia" w:ascii="仿宋" w:hAnsi="仿宋" w:eastAsia="仿宋"/>
          <w:sz w:val="24"/>
        </w:rPr>
        <w:t>0%+</w:t>
      </w:r>
      <w:r>
        <w:rPr>
          <w:rFonts w:ascii="仿宋" w:hAnsi="仿宋" w:eastAsia="仿宋"/>
          <w:sz w:val="24"/>
        </w:rPr>
        <w:t>期末考试5</w:t>
      </w:r>
      <w:r>
        <w:rPr>
          <w:rFonts w:hint="eastAsia" w:ascii="仿宋" w:hAnsi="仿宋" w:eastAsia="仿宋"/>
          <w:sz w:val="24"/>
        </w:rPr>
        <w:t>0%，平时成绩=课堂表现</w:t>
      </w:r>
      <w:r>
        <w:rPr>
          <w:rFonts w:ascii="仿宋" w:hAnsi="仿宋" w:eastAsia="仿宋"/>
          <w:sz w:val="24"/>
        </w:rPr>
        <w:t>10</w:t>
      </w:r>
      <w:r>
        <w:rPr>
          <w:rFonts w:hint="eastAsia" w:ascii="仿宋" w:hAnsi="仿宋" w:eastAsia="仿宋"/>
          <w:sz w:val="24"/>
        </w:rPr>
        <w:t>%+课外体育锻炼</w:t>
      </w:r>
      <w:r>
        <w:rPr>
          <w:rFonts w:ascii="仿宋" w:hAnsi="仿宋" w:eastAsia="仿宋"/>
          <w:sz w:val="24"/>
        </w:rPr>
        <w:t>20</w:t>
      </w:r>
      <w:r>
        <w:rPr>
          <w:rFonts w:hint="eastAsia" w:ascii="仿宋" w:hAnsi="仿宋" w:eastAsia="仿宋"/>
          <w:sz w:val="24"/>
        </w:rPr>
        <w:t>%+身体素质</w:t>
      </w:r>
      <w:r>
        <w:rPr>
          <w:rFonts w:ascii="仿宋" w:hAnsi="仿宋" w:eastAsia="仿宋"/>
          <w:sz w:val="24"/>
        </w:rPr>
        <w:t>2</w:t>
      </w:r>
      <w:r>
        <w:rPr>
          <w:rFonts w:hint="eastAsia" w:ascii="仿宋" w:hAnsi="仿宋" w:eastAsia="仿宋"/>
          <w:sz w:val="24"/>
        </w:rPr>
        <w:t>0%。</w:t>
      </w:r>
    </w:p>
    <w:p w14:paraId="43519AFB">
      <w:pPr>
        <w:spacing w:line="360" w:lineRule="auto"/>
        <w:ind w:firstLine="480" w:firstLineChars="200"/>
        <w:rPr>
          <w:rFonts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3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6B28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6D4D76BB">
            <w:pPr>
              <w:jc w:val="center"/>
              <w:rPr>
                <w:rFonts w:ascii="仿宋" w:hAnsi="仿宋" w:eastAsia="仿宋"/>
                <w:szCs w:val="21"/>
              </w:rPr>
            </w:pPr>
            <w:r>
              <w:rPr>
                <w:rFonts w:ascii="仿宋" w:hAnsi="仿宋" w:eastAsia="仿宋"/>
                <w:szCs w:val="21"/>
              </w:rPr>
              <w:t>成绩组成</w:t>
            </w:r>
          </w:p>
        </w:tc>
        <w:tc>
          <w:tcPr>
            <w:tcW w:w="1301" w:type="dxa"/>
            <w:shd w:val="clear" w:color="auto" w:fill="FFFFFF"/>
            <w:noWrap w:val="0"/>
            <w:vAlign w:val="center"/>
          </w:tcPr>
          <w:p w14:paraId="381F0B21">
            <w:pPr>
              <w:jc w:val="center"/>
              <w:rPr>
                <w:rFonts w:ascii="仿宋" w:hAnsi="仿宋" w:eastAsia="仿宋"/>
                <w:szCs w:val="21"/>
              </w:rPr>
            </w:pPr>
            <w:r>
              <w:rPr>
                <w:rFonts w:ascii="仿宋" w:hAnsi="仿宋" w:eastAsia="仿宋"/>
                <w:szCs w:val="21"/>
              </w:rPr>
              <w:t>考核/评价环节</w:t>
            </w:r>
          </w:p>
        </w:tc>
        <w:tc>
          <w:tcPr>
            <w:tcW w:w="741" w:type="dxa"/>
            <w:shd w:val="clear" w:color="auto" w:fill="FFFFFF"/>
            <w:noWrap w:val="0"/>
            <w:vAlign w:val="center"/>
          </w:tcPr>
          <w:p w14:paraId="5FA102A7">
            <w:pPr>
              <w:jc w:val="center"/>
              <w:rPr>
                <w:rFonts w:ascii="仿宋" w:hAnsi="仿宋" w:eastAsia="仿宋"/>
                <w:szCs w:val="21"/>
              </w:rPr>
            </w:pPr>
            <w:r>
              <w:rPr>
                <w:rFonts w:hint="eastAsia" w:ascii="仿宋" w:hAnsi="仿宋" w:eastAsia="仿宋"/>
                <w:szCs w:val="21"/>
              </w:rPr>
              <w:t>权重</w:t>
            </w:r>
          </w:p>
        </w:tc>
        <w:tc>
          <w:tcPr>
            <w:tcW w:w="4086" w:type="dxa"/>
            <w:shd w:val="clear" w:color="auto" w:fill="FFFFFF"/>
            <w:noWrap w:val="0"/>
            <w:vAlign w:val="center"/>
          </w:tcPr>
          <w:p w14:paraId="5FE43641">
            <w:pPr>
              <w:jc w:val="center"/>
              <w:rPr>
                <w:rFonts w:ascii="仿宋" w:hAnsi="仿宋" w:eastAsia="仿宋"/>
                <w:szCs w:val="21"/>
              </w:rPr>
            </w:pPr>
            <w:r>
              <w:rPr>
                <w:rFonts w:ascii="仿宋" w:hAnsi="仿宋" w:eastAsia="仿宋"/>
                <w:szCs w:val="21"/>
              </w:rPr>
              <w:t>考核/评价细则</w:t>
            </w:r>
          </w:p>
        </w:tc>
        <w:tc>
          <w:tcPr>
            <w:tcW w:w="1310" w:type="dxa"/>
            <w:shd w:val="clear" w:color="auto" w:fill="FFFFFF"/>
            <w:noWrap w:val="0"/>
            <w:vAlign w:val="center"/>
          </w:tcPr>
          <w:p w14:paraId="4F76C3BE">
            <w:pPr>
              <w:jc w:val="center"/>
              <w:rPr>
                <w:rFonts w:ascii="仿宋" w:hAnsi="仿宋" w:eastAsia="仿宋"/>
                <w:szCs w:val="21"/>
              </w:rPr>
            </w:pPr>
            <w:r>
              <w:rPr>
                <w:rFonts w:ascii="仿宋" w:hAnsi="仿宋" w:eastAsia="仿宋"/>
                <w:szCs w:val="21"/>
              </w:rPr>
              <w:t>对应的毕业要求指标点</w:t>
            </w:r>
          </w:p>
        </w:tc>
      </w:tr>
      <w:tr w14:paraId="68F3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32A9DF1B">
            <w:pPr>
              <w:jc w:val="center"/>
              <w:rPr>
                <w:rFonts w:ascii="仿宋" w:hAnsi="仿宋" w:eastAsia="仿宋"/>
                <w:szCs w:val="21"/>
              </w:rPr>
            </w:pPr>
            <w:r>
              <w:rPr>
                <w:rFonts w:ascii="仿宋" w:hAnsi="仿宋" w:eastAsia="仿宋"/>
                <w:szCs w:val="21"/>
              </w:rPr>
              <w:t>平时成绩</w:t>
            </w:r>
          </w:p>
          <w:p w14:paraId="15B3A6D1">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34CB29BA">
            <w:pPr>
              <w:spacing w:line="276" w:lineRule="auto"/>
              <w:jc w:val="center"/>
              <w:rPr>
                <w:rFonts w:ascii="仿宋" w:hAnsi="仿宋" w:eastAsia="仿宋"/>
                <w:szCs w:val="21"/>
              </w:rPr>
            </w:pPr>
            <w:r>
              <w:rPr>
                <w:rFonts w:hint="eastAsia" w:ascii="仿宋" w:hAnsi="仿宋" w:eastAsia="仿宋"/>
                <w:szCs w:val="21"/>
              </w:rPr>
              <w:t>课堂表现</w:t>
            </w:r>
          </w:p>
        </w:tc>
        <w:tc>
          <w:tcPr>
            <w:tcW w:w="741" w:type="dxa"/>
            <w:noWrap w:val="0"/>
            <w:vAlign w:val="center"/>
          </w:tcPr>
          <w:p w14:paraId="07E298FA">
            <w:pPr>
              <w:rPr>
                <w:rFonts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86" w:type="dxa"/>
            <w:noWrap w:val="0"/>
            <w:vAlign w:val="center"/>
          </w:tcPr>
          <w:p w14:paraId="7A9C423E">
            <w:pPr>
              <w:spacing w:line="320" w:lineRule="exact"/>
              <w:jc w:val="left"/>
              <w:rPr>
                <w:rFonts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分，迟到与早退等一次扣</w:t>
            </w:r>
            <w:r>
              <w:rPr>
                <w:rFonts w:ascii="仿宋" w:hAnsi="仿宋" w:eastAsia="仿宋"/>
                <w:szCs w:val="21"/>
              </w:rPr>
              <w:t>10</w:t>
            </w:r>
            <w:r>
              <w:rPr>
                <w:rFonts w:hint="eastAsia" w:ascii="仿宋" w:hAnsi="仿宋" w:eastAsia="仿宋"/>
                <w:szCs w:val="21"/>
              </w:rPr>
              <w:t>分。</w:t>
            </w:r>
          </w:p>
        </w:tc>
        <w:tc>
          <w:tcPr>
            <w:tcW w:w="1310" w:type="dxa"/>
            <w:noWrap w:val="0"/>
            <w:vAlign w:val="center"/>
          </w:tcPr>
          <w:p w14:paraId="7B1D4D8A">
            <w:pPr>
              <w:jc w:val="center"/>
              <w:rPr>
                <w:rFonts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4E7A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163B432C">
            <w:pPr>
              <w:jc w:val="center"/>
              <w:rPr>
                <w:rFonts w:ascii="仿宋" w:hAnsi="仿宋" w:eastAsia="仿宋"/>
                <w:szCs w:val="21"/>
              </w:rPr>
            </w:pPr>
          </w:p>
        </w:tc>
        <w:tc>
          <w:tcPr>
            <w:tcW w:w="1301" w:type="dxa"/>
            <w:noWrap w:val="0"/>
            <w:vAlign w:val="center"/>
          </w:tcPr>
          <w:p w14:paraId="2E1DC1AE">
            <w:pPr>
              <w:spacing w:line="276" w:lineRule="auto"/>
              <w:jc w:val="center"/>
              <w:rPr>
                <w:rFonts w:ascii="仿宋" w:hAnsi="仿宋" w:eastAsia="仿宋"/>
                <w:szCs w:val="21"/>
              </w:rPr>
            </w:pPr>
            <w:r>
              <w:rPr>
                <w:rFonts w:hint="eastAsia" w:ascii="仿宋" w:hAnsi="仿宋" w:eastAsia="仿宋"/>
                <w:szCs w:val="21"/>
              </w:rPr>
              <w:t>课外锻炼</w:t>
            </w:r>
          </w:p>
        </w:tc>
        <w:tc>
          <w:tcPr>
            <w:tcW w:w="741" w:type="dxa"/>
            <w:noWrap w:val="0"/>
            <w:vAlign w:val="center"/>
          </w:tcPr>
          <w:p w14:paraId="292405ED">
            <w:pPr>
              <w:rPr>
                <w:rFonts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86" w:type="dxa"/>
            <w:noWrap w:val="0"/>
            <w:vAlign w:val="center"/>
          </w:tcPr>
          <w:p w14:paraId="1B9B146C">
            <w:pPr>
              <w:spacing w:line="280" w:lineRule="exact"/>
              <w:jc w:val="left"/>
              <w:rPr>
                <w:rFonts w:ascii="仿宋" w:hAnsi="仿宋" w:eastAsia="仿宋"/>
                <w:bCs/>
                <w:kern w:val="24"/>
                <w:szCs w:val="21"/>
              </w:rPr>
            </w:pPr>
            <w:r>
              <w:rPr>
                <w:rFonts w:hint="eastAsia" w:ascii="仿宋" w:hAnsi="仿宋" w:eastAsia="仿宋"/>
                <w:bCs/>
                <w:kern w:val="24"/>
                <w:szCs w:val="21"/>
              </w:rPr>
              <w:t>课外</w:t>
            </w:r>
            <w:r>
              <w:rPr>
                <w:rFonts w:ascii="仿宋" w:hAnsi="仿宋" w:eastAsia="仿宋"/>
                <w:bCs/>
                <w:kern w:val="24"/>
                <w:szCs w:val="21"/>
              </w:rPr>
              <w:t>体育</w:t>
            </w:r>
            <w:r>
              <w:rPr>
                <w:rFonts w:hint="eastAsia" w:ascii="仿宋" w:hAnsi="仿宋" w:eastAsia="仿宋"/>
                <w:bCs/>
                <w:kern w:val="24"/>
                <w:szCs w:val="21"/>
              </w:rPr>
              <w:t>锻炼成绩纳入学期体育成绩总评，占总评分数的</w:t>
            </w:r>
            <w:r>
              <w:rPr>
                <w:rFonts w:ascii="仿宋" w:hAnsi="仿宋" w:eastAsia="仿宋"/>
                <w:bCs/>
                <w:kern w:val="24"/>
                <w:szCs w:val="21"/>
              </w:rPr>
              <w:t>2</w:t>
            </w:r>
            <w:r>
              <w:rPr>
                <w:rFonts w:hint="eastAsia" w:ascii="仿宋" w:hAnsi="仿宋" w:eastAsia="仿宋"/>
                <w:bCs/>
                <w:kern w:val="24"/>
                <w:szCs w:val="21"/>
              </w:rPr>
              <w:t>0%。主</w:t>
            </w:r>
            <w:r>
              <w:rPr>
                <w:rFonts w:ascii="仿宋" w:hAnsi="仿宋" w:eastAsia="仿宋"/>
                <w:bCs/>
                <w:kern w:val="24"/>
                <w:szCs w:val="21"/>
              </w:rPr>
              <w:t>要</w:t>
            </w:r>
            <w:r>
              <w:rPr>
                <w:rFonts w:hint="eastAsia" w:ascii="仿宋" w:hAnsi="仿宋" w:eastAsia="仿宋"/>
                <w:bCs/>
                <w:kern w:val="24"/>
                <w:szCs w:val="21"/>
              </w:rPr>
              <w:t>包括晨跑、课外健身跑、健身辅导站、体育社团或单项协会健身活动和校级、院级、体育社团组织的体育竞赛活动等。</w:t>
            </w:r>
          </w:p>
        </w:tc>
        <w:tc>
          <w:tcPr>
            <w:tcW w:w="1310" w:type="dxa"/>
            <w:noWrap w:val="0"/>
            <w:vAlign w:val="center"/>
          </w:tcPr>
          <w:p w14:paraId="21458017">
            <w:pPr>
              <w:jc w:val="center"/>
              <w:rPr>
                <w:rFonts w:ascii="仿宋" w:hAnsi="仿宋" w:eastAsia="仿宋"/>
              </w:rPr>
            </w:pPr>
            <w:r>
              <w:rPr>
                <w:rFonts w:hint="eastAsia" w:ascii="仿宋" w:hAnsi="仿宋" w:eastAsia="仿宋"/>
              </w:rPr>
              <w:t>8、9</w:t>
            </w:r>
          </w:p>
        </w:tc>
      </w:tr>
      <w:tr w14:paraId="38CC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40" w:type="dxa"/>
            <w:vMerge w:val="continue"/>
            <w:noWrap w:val="0"/>
            <w:tcMar>
              <w:left w:w="57" w:type="dxa"/>
              <w:right w:w="57" w:type="dxa"/>
            </w:tcMar>
            <w:vAlign w:val="center"/>
          </w:tcPr>
          <w:p w14:paraId="5A145895">
            <w:pPr>
              <w:jc w:val="center"/>
              <w:rPr>
                <w:rFonts w:ascii="仿宋" w:hAnsi="仿宋" w:eastAsia="仿宋"/>
                <w:szCs w:val="21"/>
              </w:rPr>
            </w:pPr>
          </w:p>
        </w:tc>
        <w:tc>
          <w:tcPr>
            <w:tcW w:w="1301" w:type="dxa"/>
            <w:noWrap w:val="0"/>
            <w:vAlign w:val="center"/>
          </w:tcPr>
          <w:p w14:paraId="707F2483">
            <w:pPr>
              <w:spacing w:line="276" w:lineRule="auto"/>
              <w:jc w:val="center"/>
              <w:rPr>
                <w:rFonts w:ascii="仿宋" w:hAnsi="仿宋" w:eastAsia="仿宋"/>
                <w:szCs w:val="21"/>
              </w:rPr>
            </w:pPr>
            <w:r>
              <w:rPr>
                <w:rFonts w:hint="eastAsia" w:ascii="仿宋" w:hAnsi="仿宋" w:eastAsia="仿宋"/>
                <w:szCs w:val="21"/>
              </w:rPr>
              <w:t>身体素质</w:t>
            </w:r>
          </w:p>
        </w:tc>
        <w:tc>
          <w:tcPr>
            <w:tcW w:w="741" w:type="dxa"/>
            <w:noWrap w:val="0"/>
            <w:vAlign w:val="center"/>
          </w:tcPr>
          <w:p w14:paraId="17412B26">
            <w:pPr>
              <w:jc w:val="center"/>
              <w:rPr>
                <w:rFonts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86" w:type="dxa"/>
            <w:noWrap w:val="0"/>
            <w:vAlign w:val="center"/>
          </w:tcPr>
          <w:p w14:paraId="108AFAEA">
            <w:pPr>
              <w:spacing w:line="280" w:lineRule="exact"/>
              <w:jc w:val="left"/>
              <w:rPr>
                <w:rFonts w:ascii="仿宋" w:hAnsi="仿宋" w:eastAsia="仿宋"/>
                <w:sz w:val="24"/>
              </w:rPr>
            </w:pPr>
            <w:r>
              <w:rPr>
                <w:rFonts w:ascii="仿宋" w:hAnsi="仿宋" w:eastAsia="仿宋"/>
                <w:bCs/>
                <w:kern w:val="24"/>
                <w:szCs w:val="21"/>
              </w:rPr>
              <w:t>课堂测试</w:t>
            </w:r>
            <w:r>
              <w:rPr>
                <w:rFonts w:hint="eastAsia" w:ascii="仿宋" w:hAnsi="仿宋" w:eastAsia="仿宋"/>
                <w:bCs/>
                <w:kern w:val="24"/>
                <w:szCs w:val="21"/>
              </w:rPr>
              <w:t>，评分参照《国</w:t>
            </w:r>
            <w:r>
              <w:rPr>
                <w:rFonts w:ascii="仿宋" w:hAnsi="仿宋" w:eastAsia="仿宋"/>
                <w:bCs/>
                <w:kern w:val="24"/>
                <w:szCs w:val="21"/>
              </w:rPr>
              <w:t>家</w:t>
            </w:r>
            <w:r>
              <w:rPr>
                <w:rFonts w:hint="eastAsia" w:ascii="仿宋" w:hAnsi="仿宋" w:eastAsia="仿宋"/>
                <w:bCs/>
                <w:kern w:val="24"/>
                <w:szCs w:val="21"/>
              </w:rPr>
              <w:t>学生体质健康标准》</w:t>
            </w:r>
            <w:r>
              <w:rPr>
                <w:rFonts w:ascii="仿宋" w:hAnsi="仿宋" w:eastAsia="仿宋"/>
                <w:bCs/>
                <w:kern w:val="24"/>
                <w:szCs w:val="21"/>
              </w:rPr>
              <w:t>。</w:t>
            </w:r>
          </w:p>
        </w:tc>
        <w:tc>
          <w:tcPr>
            <w:tcW w:w="1310" w:type="dxa"/>
            <w:noWrap w:val="0"/>
            <w:vAlign w:val="center"/>
          </w:tcPr>
          <w:p w14:paraId="02B0519D">
            <w:pPr>
              <w:jc w:val="center"/>
              <w:rPr>
                <w:rFonts w:ascii="仿宋" w:hAnsi="仿宋" w:eastAsia="仿宋"/>
              </w:rPr>
            </w:pPr>
            <w:r>
              <w:rPr>
                <w:rFonts w:hint="eastAsia" w:ascii="仿宋" w:hAnsi="仿宋" w:eastAsia="仿宋"/>
              </w:rPr>
              <w:t>8、9</w:t>
            </w:r>
          </w:p>
        </w:tc>
      </w:tr>
      <w:tr w14:paraId="3449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noWrap w:val="0"/>
            <w:tcMar>
              <w:left w:w="57" w:type="dxa"/>
              <w:right w:w="57" w:type="dxa"/>
            </w:tcMar>
            <w:vAlign w:val="center"/>
          </w:tcPr>
          <w:p w14:paraId="22DD7D80">
            <w:pPr>
              <w:jc w:val="center"/>
              <w:rPr>
                <w:rFonts w:ascii="仿宋" w:hAnsi="仿宋" w:eastAsia="仿宋"/>
                <w:szCs w:val="21"/>
              </w:rPr>
            </w:pPr>
            <w:r>
              <w:rPr>
                <w:rFonts w:ascii="仿宋" w:hAnsi="仿宋" w:eastAsia="仿宋"/>
                <w:szCs w:val="21"/>
              </w:rPr>
              <w:t>期末考试</w:t>
            </w:r>
          </w:p>
          <w:p w14:paraId="33B09D58">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64FAF27E">
            <w:pPr>
              <w:jc w:val="center"/>
              <w:rPr>
                <w:rFonts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noWrap w:val="0"/>
            <w:vAlign w:val="center"/>
          </w:tcPr>
          <w:p w14:paraId="11EA5A74">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86" w:type="dxa"/>
            <w:noWrap w:val="0"/>
            <w:vAlign w:val="center"/>
          </w:tcPr>
          <w:p w14:paraId="1ACDCDD8">
            <w:pPr>
              <w:spacing w:line="400" w:lineRule="exact"/>
              <w:jc w:val="center"/>
              <w:rPr>
                <w:rFonts w:ascii="仿宋" w:hAnsi="仿宋" w:eastAsia="仿宋"/>
                <w:color w:val="000000"/>
                <w:szCs w:val="21"/>
              </w:rPr>
            </w:pPr>
            <w:r>
              <w:rPr>
                <w:rFonts w:hint="eastAsia" w:ascii="仿宋" w:hAnsi="仿宋" w:eastAsia="仿宋"/>
                <w:color w:val="000000"/>
                <w:szCs w:val="21"/>
              </w:rPr>
              <w:t>各专项技能</w:t>
            </w:r>
          </w:p>
        </w:tc>
        <w:tc>
          <w:tcPr>
            <w:tcW w:w="1310" w:type="dxa"/>
            <w:noWrap w:val="0"/>
            <w:vAlign w:val="center"/>
          </w:tcPr>
          <w:p w14:paraId="5F51F47A">
            <w:pPr>
              <w:jc w:val="center"/>
              <w:rPr>
                <w:rFonts w:ascii="仿宋" w:hAnsi="仿宋" w:eastAsia="仿宋"/>
                <w:szCs w:val="21"/>
              </w:rPr>
            </w:pPr>
            <w:r>
              <w:rPr>
                <w:rFonts w:hint="eastAsia" w:ascii="仿宋" w:hAnsi="仿宋" w:eastAsia="仿宋"/>
                <w:bCs/>
                <w:szCs w:val="21"/>
              </w:rPr>
              <w:t>8、9</w:t>
            </w:r>
          </w:p>
        </w:tc>
      </w:tr>
    </w:tbl>
    <w:p w14:paraId="3B5F6C4A">
      <w:pPr>
        <w:pStyle w:val="4"/>
        <w:bidi w:val="0"/>
        <w:rPr>
          <w:rFonts w:ascii="仿宋" w:hAnsi="仿宋" w:eastAsia="仿宋"/>
          <w:b/>
          <w:szCs w:val="28"/>
        </w:rPr>
      </w:pPr>
      <w:r>
        <w:rPr>
          <w:rFonts w:hint="eastAsia"/>
        </w:rPr>
        <w:t>六</w:t>
      </w:r>
      <w:r>
        <w:t>、</w:t>
      </w:r>
      <w:r>
        <w:rPr>
          <w:rFonts w:hint="eastAsia"/>
        </w:rPr>
        <w:t>有关说明</w:t>
      </w:r>
    </w:p>
    <w:p w14:paraId="42165D47">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142FE39D">
      <w:pPr>
        <w:spacing w:line="360" w:lineRule="auto"/>
        <w:ind w:firstLine="480" w:firstLineChars="200"/>
        <w:rPr>
          <w:rFonts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锻炼、课堂表现、身体素质</w:t>
      </w:r>
      <w:r>
        <w:rPr>
          <w:rFonts w:ascii="仿宋" w:hAnsi="仿宋" w:eastAsia="仿宋"/>
          <w:sz w:val="24"/>
        </w:rPr>
        <w:t>测试</w:t>
      </w:r>
      <w:r>
        <w:rPr>
          <w:rFonts w:hint="eastAsia" w:ascii="仿宋" w:hAnsi="仿宋" w:eastAsia="仿宋"/>
          <w:sz w:val="24"/>
        </w:rPr>
        <w:t>、平时考核情况，以及学生、教学督导等反馈，及时对教学中不足之处进行改进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636E6D31">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01B2E73C">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7823BC38">
      <w:pPr>
        <w:wordWrap w:val="0"/>
        <w:spacing w:line="360" w:lineRule="exact"/>
        <w:ind w:firstLine="4800" w:firstLineChars="2000"/>
        <w:jc w:val="both"/>
        <w:rPr>
          <w:rFonts w:ascii="仿宋" w:hAnsi="仿宋" w:eastAsia="仿宋"/>
          <w:sz w:val="24"/>
        </w:rPr>
      </w:pPr>
      <w:r>
        <w:rPr>
          <w:rFonts w:hint="eastAsia" w:ascii="仿宋" w:hAnsi="仿宋" w:eastAsia="仿宋"/>
          <w:sz w:val="24"/>
        </w:rPr>
        <w:t>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 xml:space="preserve">人：顾 </w:t>
      </w:r>
      <w:r>
        <w:rPr>
          <w:rFonts w:ascii="仿宋" w:hAnsi="仿宋" w:eastAsia="仿宋"/>
          <w:sz w:val="24"/>
        </w:rPr>
        <w:t xml:space="preserve"> </w:t>
      </w:r>
      <w:r>
        <w:rPr>
          <w:rFonts w:hint="eastAsia" w:ascii="仿宋" w:hAnsi="仿宋" w:eastAsia="仿宋"/>
          <w:sz w:val="24"/>
        </w:rPr>
        <w:t>宏</w:t>
      </w:r>
    </w:p>
    <w:p w14:paraId="43AF5E57">
      <w:pPr>
        <w:wordWrap w:val="0"/>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人：朱亚男</w:t>
      </w:r>
    </w:p>
    <w:p w14:paraId="409FD9EB">
      <w:pPr>
        <w:spacing w:line="312" w:lineRule="auto"/>
        <w:ind w:firstLine="4800" w:firstLineChars="2000"/>
        <w:jc w:val="both"/>
        <w:rPr>
          <w:rFonts w:ascii="仿宋" w:hAnsi="仿宋" w:eastAsia="仿宋"/>
          <w:b/>
          <w:bCs/>
          <w:sz w:val="30"/>
        </w:rPr>
      </w:pP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w:t>
      </w:r>
      <w:r>
        <w:rPr>
          <w:rFonts w:ascii="仿宋" w:hAnsi="仿宋" w:eastAsia="仿宋"/>
          <w:sz w:val="24"/>
        </w:rPr>
        <w:t>福</w:t>
      </w:r>
    </w:p>
    <w:p w14:paraId="63D3352D">
      <w:pPr>
        <w:jc w:val="right"/>
        <w:rPr>
          <w:rFonts w:ascii="Times New Roman" w:hAnsi="Times New Roman" w:eastAsia="宋体" w:cs="Times New Roman"/>
          <w:sz w:val="24"/>
          <w:szCs w:val="24"/>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3ADF2DFB">
      <w:pPr>
        <w:jc w:val="right"/>
        <w:rPr>
          <w:rFonts w:hint="default" w:ascii="Times New Roman" w:hAnsi="Times New Roman" w:eastAsia="宋体" w:cs="Times New Roman"/>
          <w:sz w:val="24"/>
          <w:szCs w:val="24"/>
          <w:lang w:val="en-US" w:eastAsia="zh-CN"/>
        </w:rPr>
      </w:pPr>
    </w:p>
    <w:p w14:paraId="5610740E">
      <w:pPr>
        <w:pStyle w:val="2"/>
        <w:bidi w:val="0"/>
      </w:pPr>
      <w:r>
        <w:rPr>
          <w:rFonts w:hint="eastAsia"/>
          <w:lang w:eastAsia="zh-CN"/>
        </w:rPr>
        <w:t>《</w:t>
      </w:r>
      <w:r>
        <w:rPr>
          <w:rFonts w:hint="eastAsia"/>
        </w:rPr>
        <w:t>体育III</w:t>
      </w:r>
      <w:r>
        <w:rPr>
          <w:rFonts w:hint="eastAsia"/>
          <w:lang w:eastAsia="zh-CN"/>
        </w:rPr>
        <w:t>》</w:t>
      </w:r>
      <w:r>
        <w:t>课程教学大纲</w:t>
      </w:r>
    </w:p>
    <w:p w14:paraId="1E7B9A9D">
      <w:pPr>
        <w:pStyle w:val="3"/>
        <w:bidi w:val="0"/>
      </w:pPr>
      <w:r>
        <w:t>（Physical  Education I</w:t>
      </w:r>
      <w:r>
        <w:rPr>
          <w:rFonts w:hint="eastAsia"/>
        </w:rPr>
        <w:t>II</w:t>
      </w:r>
      <w:r>
        <w:t>）</w:t>
      </w:r>
    </w:p>
    <w:p w14:paraId="216FC26C">
      <w:pPr>
        <w:pStyle w:val="4"/>
        <w:bidi w:val="0"/>
      </w:pPr>
      <w:r>
        <w:t>一、课程概况</w:t>
      </w:r>
    </w:p>
    <w:p w14:paraId="657E795F">
      <w:pPr>
        <w:spacing w:line="360" w:lineRule="auto"/>
        <w:ind w:firstLine="482" w:firstLineChars="200"/>
        <w:rPr>
          <w:rFonts w:ascii="仿宋" w:hAnsi="仿宋" w:eastAsia="仿宋"/>
          <w:b/>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1102010</w:t>
      </w:r>
    </w:p>
    <w:p w14:paraId="08232218">
      <w:pPr>
        <w:spacing w:line="360" w:lineRule="auto"/>
        <w:ind w:firstLine="482" w:firstLineChars="200"/>
        <w:rPr>
          <w:rFonts w:ascii="仿宋" w:hAnsi="仿宋" w:eastAsia="仿宋"/>
          <w:b/>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3F5C636F">
      <w:pPr>
        <w:spacing w:line="360" w:lineRule="auto"/>
        <w:ind w:firstLine="482" w:firstLineChars="200"/>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5DA67D6C">
      <w:pPr>
        <w:spacing w:line="360" w:lineRule="auto"/>
        <w:ind w:firstLine="482" w:firstLineChars="200"/>
        <w:rPr>
          <w:rFonts w:ascii="仿宋" w:hAnsi="仿宋" w:eastAsia="仿宋"/>
          <w:b/>
          <w:bCs/>
          <w:kern w:val="0"/>
          <w:sz w:val="24"/>
        </w:rPr>
      </w:pPr>
      <w:r>
        <w:rPr>
          <w:rFonts w:hint="eastAsia" w:ascii="仿宋" w:hAnsi="仿宋" w:eastAsia="仿宋"/>
          <w:b/>
          <w:bCs/>
          <w:kern w:val="0"/>
          <w:sz w:val="24"/>
        </w:rPr>
        <w:t>先修课程：</w:t>
      </w:r>
      <w:r>
        <w:rPr>
          <w:rFonts w:hint="eastAsia" w:ascii="仿宋" w:hAnsi="仿宋" w:eastAsia="仿宋"/>
          <w:kern w:val="0"/>
          <w:sz w:val="24"/>
        </w:rPr>
        <w:t>无</w:t>
      </w:r>
    </w:p>
    <w:p w14:paraId="1AEFEEB0">
      <w:pPr>
        <w:spacing w:line="360" w:lineRule="auto"/>
        <w:ind w:firstLine="482" w:firstLineChars="200"/>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022AE86A">
      <w:pPr>
        <w:spacing w:line="360" w:lineRule="auto"/>
        <w:ind w:firstLine="482" w:firstLineChars="200"/>
        <w:rPr>
          <w:rFonts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78EFC54D">
      <w:pPr>
        <w:spacing w:line="360" w:lineRule="auto"/>
        <w:ind w:firstLine="482" w:firstLineChars="200"/>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48BD9D0F">
      <w:pPr>
        <w:autoSpaceDE w:val="0"/>
        <w:autoSpaceDN w:val="0"/>
        <w:adjustRightInd w:val="0"/>
        <w:spacing w:line="360" w:lineRule="auto"/>
        <w:ind w:firstLine="482" w:firstLineChars="200"/>
        <w:jc w:val="left"/>
        <w:rPr>
          <w:rFonts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二学年第三学期进行。课程主要内容包括篮球、足球、排球、羽毛球、乒乓球、网球、武术、手球、健美（男）、健美操（女）、艺术体操、跆拳道、散</w:t>
      </w:r>
      <w:r>
        <w:rPr>
          <w:rFonts w:ascii="仿宋" w:hAnsi="仿宋" w:eastAsia="仿宋"/>
          <w:sz w:val="24"/>
        </w:rPr>
        <w:t>打</w:t>
      </w:r>
      <w:r>
        <w:rPr>
          <w:rFonts w:hint="eastAsia" w:ascii="仿宋" w:hAnsi="仿宋" w:eastAsia="仿宋"/>
          <w:sz w:val="24"/>
        </w:rPr>
        <w:t>、瑜伽、体育舞蹈和体育保健等项目。</w:t>
      </w:r>
    </w:p>
    <w:p w14:paraId="45DE7ABB">
      <w:pPr>
        <w:spacing w:line="360" w:lineRule="auto"/>
        <w:ind w:firstLine="480" w:firstLineChars="200"/>
        <w:rPr>
          <w:rFonts w:ascii="仿宋" w:hAnsi="仿宋" w:eastAsia="仿宋"/>
          <w:sz w:val="24"/>
        </w:rPr>
      </w:pPr>
      <w:r>
        <w:rPr>
          <w:rFonts w:hint="eastAsia" w:ascii="仿宋" w:hAnsi="仿宋" w:eastAsia="仿宋"/>
          <w:sz w:val="24"/>
        </w:rPr>
        <w:t>通过本课程的学习，使学生较全面、系统地掌握所学项目的基本理论知识，正确、熟练地掌握所学</w:t>
      </w:r>
      <w:r>
        <w:rPr>
          <w:rFonts w:ascii="仿宋" w:hAnsi="仿宋" w:eastAsia="仿宋"/>
          <w:sz w:val="24"/>
        </w:rPr>
        <w:t>项目</w:t>
      </w:r>
      <w:r>
        <w:rPr>
          <w:rFonts w:hint="eastAsia" w:ascii="仿宋" w:hAnsi="仿宋" w:eastAsia="仿宋"/>
          <w:sz w:val="24"/>
        </w:rPr>
        <w:t>基本技术和战术，发展专项身体素质，并能在比赛或练习中灵活运用，从而提高学生的身体素质和促进学生身心健康发展。坚持以立德树人为根本，通过融入社会主义核心价值观、做人做事的道理和体育精神等课程思政元素，培养学生的爱国情怀、良好的体育道德风尚、团队精神、体育文化素养和顽强的意志品质。基本形成终身体育意识和自觉锻炼习惯。</w:t>
      </w:r>
    </w:p>
    <w:p w14:paraId="42A402B4">
      <w:pPr>
        <w:pStyle w:val="4"/>
        <w:bidi w:val="0"/>
      </w:pPr>
      <w:r>
        <w:rPr>
          <w:rFonts w:hint="eastAsia"/>
        </w:rPr>
        <w:t>二</w:t>
      </w:r>
      <w:r>
        <w:t>、课程目标</w:t>
      </w:r>
      <w:r>
        <w:rPr>
          <w:rFonts w:hint="eastAsia"/>
        </w:rPr>
        <w:t>与毕业要求指标点对应关系</w:t>
      </w:r>
    </w:p>
    <w:p w14:paraId="2DBFC401">
      <w:pPr>
        <w:spacing w:line="360" w:lineRule="auto"/>
        <w:ind w:firstLine="480" w:firstLineChars="200"/>
        <w:rPr>
          <w:rFonts w:ascii="仿宋" w:hAnsi="仿宋" w:eastAsia="仿宋"/>
          <w:sz w:val="24"/>
        </w:rPr>
      </w:pPr>
      <w:r>
        <w:rPr>
          <w:rFonts w:hint="eastAsia" w:ascii="仿宋" w:hAnsi="仿宋" w:eastAsia="仿宋"/>
          <w:sz w:val="24"/>
        </w:rPr>
        <w:t>目标1：全面发展体能，提高运动能力，掌握体育基本理论知识和基本技术，具有一定的体育文化素养和体育欣赏能力。树立“健康第一”思想和正确的体育道德观，培养勇于拼搏、团结进取、战胜自我的优良品质。</w:t>
      </w:r>
    </w:p>
    <w:p w14:paraId="4DA44AB2">
      <w:pPr>
        <w:spacing w:line="360" w:lineRule="auto"/>
        <w:ind w:firstLine="480" w:firstLineChars="200"/>
        <w:rPr>
          <w:rFonts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爱好并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6CD85AB8">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5000" w:type="pct"/>
        <w:tblInd w:w="113" w:type="dxa"/>
        <w:tblLayout w:type="autofit"/>
        <w:tblCellMar>
          <w:top w:w="0" w:type="dxa"/>
          <w:left w:w="108" w:type="dxa"/>
          <w:bottom w:w="0" w:type="dxa"/>
          <w:right w:w="108" w:type="dxa"/>
        </w:tblCellMar>
      </w:tblPr>
      <w:tblGrid>
        <w:gridCol w:w="1561"/>
        <w:gridCol w:w="869"/>
        <w:gridCol w:w="869"/>
        <w:gridCol w:w="869"/>
        <w:gridCol w:w="869"/>
        <w:gridCol w:w="869"/>
        <w:gridCol w:w="869"/>
        <w:gridCol w:w="870"/>
        <w:gridCol w:w="877"/>
      </w:tblGrid>
      <w:tr w14:paraId="49D20C1A">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263609F">
            <w:pPr>
              <w:widowControl/>
              <w:jc w:val="center"/>
              <w:rPr>
                <w:rFonts w:ascii="仿宋" w:hAnsi="仿宋" w:eastAsia="仿宋"/>
                <w:kern w:val="0"/>
                <w:szCs w:val="21"/>
              </w:rPr>
            </w:pPr>
            <w:r>
              <w:rPr>
                <w:rFonts w:ascii="仿宋" w:hAnsi="仿宋" w:eastAsia="仿宋"/>
                <w:kern w:val="0"/>
                <w:szCs w:val="21"/>
              </w:rPr>
              <w:t>毕业要求</w:t>
            </w:r>
          </w:p>
          <w:p w14:paraId="55C5E4C9">
            <w:pPr>
              <w:widowControl/>
              <w:jc w:val="center"/>
              <w:rPr>
                <w:rFonts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1977DDB3">
            <w:pPr>
              <w:widowControl/>
              <w:jc w:val="center"/>
              <w:rPr>
                <w:rFonts w:ascii="仿宋" w:hAnsi="仿宋" w:eastAsia="仿宋"/>
                <w:kern w:val="0"/>
                <w:szCs w:val="21"/>
              </w:rPr>
            </w:pPr>
            <w:r>
              <w:rPr>
                <w:rFonts w:ascii="仿宋" w:hAnsi="仿宋" w:eastAsia="仿宋"/>
                <w:kern w:val="0"/>
                <w:szCs w:val="21"/>
              </w:rPr>
              <w:t>课程目标</w:t>
            </w:r>
          </w:p>
        </w:tc>
      </w:tr>
      <w:tr w14:paraId="197148DF">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67BD3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F49E5CA">
            <w:pPr>
              <w:widowControl/>
              <w:jc w:val="center"/>
              <w:rPr>
                <w:rFonts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3C579790">
            <w:pPr>
              <w:widowControl/>
              <w:jc w:val="center"/>
              <w:rPr>
                <w:rFonts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6A5754D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95F726D">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0995A48">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D938897">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AE46B6D">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454DFB55">
            <w:pPr>
              <w:widowControl/>
              <w:jc w:val="center"/>
              <w:rPr>
                <w:rFonts w:ascii="仿宋" w:hAnsi="仿宋" w:eastAsia="仿宋"/>
                <w:kern w:val="0"/>
                <w:szCs w:val="21"/>
              </w:rPr>
            </w:pPr>
          </w:p>
        </w:tc>
      </w:tr>
      <w:tr w14:paraId="49DDAE37">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7993C770">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638BB08E">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66B2676D">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68277A7C">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9D09C9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503429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CAECE4E">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4B7EF16">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65EAA37">
            <w:pPr>
              <w:widowControl/>
              <w:jc w:val="center"/>
              <w:rPr>
                <w:rFonts w:ascii="仿宋" w:hAnsi="仿宋" w:eastAsia="仿宋"/>
                <w:kern w:val="0"/>
                <w:szCs w:val="21"/>
              </w:rPr>
            </w:pPr>
          </w:p>
        </w:tc>
      </w:tr>
      <w:tr w14:paraId="3BEA2A22">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667B3AAA">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6DF789DB">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06BEE6D">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13D3A3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42DE9DD2">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6EC7DFA">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37F3918">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ACC223A">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30A375EF">
            <w:pPr>
              <w:widowControl/>
              <w:jc w:val="center"/>
              <w:rPr>
                <w:rFonts w:ascii="仿宋" w:hAnsi="仿宋" w:eastAsia="仿宋"/>
                <w:kern w:val="0"/>
                <w:szCs w:val="21"/>
              </w:rPr>
            </w:pPr>
          </w:p>
        </w:tc>
      </w:tr>
    </w:tbl>
    <w:p w14:paraId="1D596766">
      <w:pPr>
        <w:pStyle w:val="4"/>
        <w:bidi w:val="0"/>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2766"/>
        <w:gridCol w:w="922"/>
        <w:gridCol w:w="1977"/>
        <w:gridCol w:w="658"/>
        <w:gridCol w:w="791"/>
        <w:gridCol w:w="886"/>
      </w:tblGrid>
      <w:tr w14:paraId="07B7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4C07F13">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5590662C">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2EFDEF94">
            <w:pPr>
              <w:jc w:val="center"/>
              <w:rPr>
                <w:rFonts w:ascii="仿宋" w:hAnsi="仿宋" w:eastAsia="仿宋"/>
                <w:b/>
                <w:bCs/>
                <w:szCs w:val="21"/>
              </w:rPr>
            </w:pPr>
            <w:r>
              <w:rPr>
                <w:rFonts w:ascii="仿宋" w:hAnsi="仿宋" w:eastAsia="仿宋"/>
                <w:b/>
                <w:bCs/>
                <w:szCs w:val="21"/>
              </w:rPr>
              <w:t>思政</w:t>
            </w:r>
          </w:p>
          <w:p w14:paraId="38F91E0B">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6CDBD13C">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3CF8B559">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45F8B420">
            <w:pPr>
              <w:jc w:val="center"/>
              <w:rPr>
                <w:rFonts w:ascii="仿宋" w:hAnsi="仿宋" w:eastAsia="仿宋"/>
                <w:b/>
                <w:bCs/>
                <w:szCs w:val="21"/>
              </w:rPr>
            </w:pPr>
            <w:r>
              <w:rPr>
                <w:rFonts w:ascii="仿宋" w:hAnsi="仿宋" w:eastAsia="仿宋"/>
                <w:b/>
                <w:bCs/>
                <w:szCs w:val="21"/>
              </w:rPr>
              <w:t>教学</w:t>
            </w:r>
          </w:p>
          <w:p w14:paraId="56C73814">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7258AF6C">
            <w:pPr>
              <w:jc w:val="center"/>
              <w:rPr>
                <w:rFonts w:ascii="仿宋" w:hAnsi="仿宋" w:eastAsia="仿宋"/>
                <w:b/>
                <w:bCs/>
                <w:szCs w:val="21"/>
              </w:rPr>
            </w:pPr>
            <w:r>
              <w:rPr>
                <w:rFonts w:ascii="仿宋" w:hAnsi="仿宋" w:eastAsia="仿宋"/>
                <w:b/>
                <w:bCs/>
                <w:szCs w:val="21"/>
              </w:rPr>
              <w:t>支撑课程目标</w:t>
            </w:r>
          </w:p>
        </w:tc>
      </w:tr>
      <w:tr w14:paraId="7A54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51FC236A">
            <w:pPr>
              <w:jc w:val="center"/>
              <w:rPr>
                <w:rFonts w:ascii="仿宋" w:hAnsi="仿宋" w:eastAsia="仿宋"/>
                <w:szCs w:val="21"/>
              </w:rPr>
            </w:pPr>
            <w:r>
              <w:rPr>
                <w:rFonts w:ascii="仿宋" w:hAnsi="仿宋" w:eastAsia="仿宋"/>
                <w:szCs w:val="21"/>
              </w:rPr>
              <w:t>1</w:t>
            </w:r>
          </w:p>
        </w:tc>
        <w:tc>
          <w:tcPr>
            <w:tcW w:w="1623" w:type="pct"/>
            <w:noWrap w:val="0"/>
            <w:vAlign w:val="center"/>
          </w:tcPr>
          <w:p w14:paraId="28ECB18A">
            <w:pPr>
              <w:jc w:val="left"/>
              <w:rPr>
                <w:rFonts w:ascii="仿宋" w:hAnsi="仿宋" w:eastAsia="仿宋"/>
                <w:b/>
                <w:szCs w:val="21"/>
              </w:rPr>
            </w:pPr>
            <w:r>
              <w:rPr>
                <w:rFonts w:hint="eastAsia" w:ascii="仿宋" w:hAnsi="仿宋" w:eastAsia="仿宋"/>
                <w:b/>
                <w:szCs w:val="21"/>
              </w:rPr>
              <w:t>㈠体育理论部分:</w:t>
            </w:r>
          </w:p>
          <w:p w14:paraId="1CF9D3A0">
            <w:pPr>
              <w:jc w:val="left"/>
              <w:rPr>
                <w:rFonts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165F5A4B">
            <w:pPr>
              <w:jc w:val="left"/>
              <w:rPr>
                <w:rFonts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64EC34DF">
            <w:pPr>
              <w:jc w:val="left"/>
              <w:rPr>
                <w:rFonts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6DE82632">
            <w:pPr>
              <w:ind w:right="-170" w:rightChars="-81"/>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43D46CE7">
            <w:pPr>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noWrap w:val="0"/>
            <w:vAlign w:val="center"/>
          </w:tcPr>
          <w:p w14:paraId="71A525B9">
            <w:pPr>
              <w:jc w:val="center"/>
              <w:rPr>
                <w:rFonts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noWrap w:val="0"/>
            <w:vAlign w:val="center"/>
          </w:tcPr>
          <w:p w14:paraId="2488B98F">
            <w:pPr>
              <w:autoSpaceDE w:val="0"/>
              <w:autoSpaceDN w:val="0"/>
              <w:adjustRightInd w:val="0"/>
              <w:jc w:val="left"/>
              <w:rPr>
                <w:rFonts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2DC13D99">
            <w:pPr>
              <w:jc w:val="center"/>
              <w:rPr>
                <w:rFonts w:ascii="仿宋" w:hAnsi="仿宋" w:eastAsia="仿宋"/>
                <w:szCs w:val="21"/>
              </w:rPr>
            </w:pPr>
            <w:r>
              <w:rPr>
                <w:rFonts w:ascii="仿宋" w:hAnsi="仿宋" w:eastAsia="仿宋"/>
                <w:szCs w:val="21"/>
              </w:rPr>
              <w:t>4</w:t>
            </w:r>
          </w:p>
        </w:tc>
        <w:tc>
          <w:tcPr>
            <w:tcW w:w="464" w:type="pct"/>
            <w:noWrap w:val="0"/>
            <w:vAlign w:val="center"/>
          </w:tcPr>
          <w:p w14:paraId="0E9B2679">
            <w:pPr>
              <w:jc w:val="left"/>
              <w:rPr>
                <w:rFonts w:ascii="仿宋" w:hAnsi="仿宋" w:eastAsia="仿宋"/>
                <w:szCs w:val="21"/>
              </w:rPr>
            </w:pPr>
            <w:r>
              <w:rPr>
                <w:rFonts w:hint="eastAsia" w:ascii="仿宋" w:hAnsi="仿宋" w:eastAsia="仿宋"/>
                <w:szCs w:val="21"/>
              </w:rPr>
              <w:t>讲授法</w:t>
            </w:r>
          </w:p>
        </w:tc>
        <w:tc>
          <w:tcPr>
            <w:tcW w:w="520" w:type="pct"/>
            <w:noWrap w:val="0"/>
            <w:vAlign w:val="center"/>
          </w:tcPr>
          <w:p w14:paraId="59DD7CAF">
            <w:pPr>
              <w:jc w:val="left"/>
              <w:rPr>
                <w:rFonts w:ascii="仿宋" w:hAnsi="仿宋" w:eastAsia="仿宋"/>
                <w:szCs w:val="21"/>
              </w:rPr>
            </w:pPr>
            <w:r>
              <w:rPr>
                <w:rFonts w:hint="eastAsia" w:ascii="仿宋" w:hAnsi="仿宋" w:eastAsia="仿宋"/>
                <w:szCs w:val="21"/>
              </w:rPr>
              <w:t>目标1目标2</w:t>
            </w:r>
          </w:p>
        </w:tc>
      </w:tr>
      <w:tr w14:paraId="7BCE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236C822E">
            <w:pPr>
              <w:jc w:val="center"/>
              <w:rPr>
                <w:rFonts w:ascii="仿宋" w:hAnsi="仿宋" w:eastAsia="仿宋"/>
                <w:szCs w:val="21"/>
              </w:rPr>
            </w:pPr>
            <w:r>
              <w:rPr>
                <w:rFonts w:ascii="仿宋" w:hAnsi="仿宋" w:eastAsia="仿宋"/>
                <w:szCs w:val="21"/>
              </w:rPr>
              <w:t>2</w:t>
            </w:r>
          </w:p>
        </w:tc>
        <w:tc>
          <w:tcPr>
            <w:tcW w:w="1623" w:type="pct"/>
            <w:noWrap w:val="0"/>
            <w:vAlign w:val="center"/>
          </w:tcPr>
          <w:p w14:paraId="511E1AFA">
            <w:pPr>
              <w:jc w:val="left"/>
              <w:rPr>
                <w:rFonts w:ascii="仿宋" w:hAnsi="仿宋" w:eastAsia="仿宋"/>
                <w:b/>
                <w:szCs w:val="21"/>
              </w:rPr>
            </w:pPr>
            <w:r>
              <w:rPr>
                <w:rFonts w:hint="eastAsia" w:ascii="仿宋" w:hAnsi="仿宋" w:eastAsia="仿宋"/>
                <w:b/>
                <w:szCs w:val="21"/>
              </w:rPr>
              <w:t>㈡实践部分：</w:t>
            </w:r>
          </w:p>
          <w:p w14:paraId="0EFD318E">
            <w:pPr>
              <w:rPr>
                <w:rFonts w:ascii="仿宋" w:hAnsi="仿宋" w:eastAsia="仿宋"/>
                <w:bCs/>
              </w:rPr>
            </w:pPr>
            <w:r>
              <w:rPr>
                <w:rFonts w:hint="eastAsia" w:ascii="仿宋" w:hAnsi="仿宋" w:eastAsia="仿宋"/>
                <w:bCs/>
              </w:rPr>
              <w:t>各运动项目和身体素质为主，主要包括篮球、足球、排球、手球、乒乓球、网球、羽毛球、台球、健美（男）、体育舞蹈、武术、散打、跆拳道、艺术体操、健美操（女）、排舞（女）、瑜伽、体育舞蹈和体育保健等项目。</w:t>
            </w:r>
          </w:p>
          <w:p w14:paraId="4033B4C4">
            <w:pPr>
              <w:rPr>
                <w:rFonts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20F53AA1">
            <w:pPr>
              <w:rPr>
                <w:rFonts w:ascii="仿宋" w:hAnsi="仿宋" w:eastAsia="仿宋"/>
                <w:bCs/>
              </w:rPr>
            </w:pPr>
            <w:r>
              <w:rPr>
                <w:rFonts w:hint="eastAsia" w:ascii="仿宋" w:hAnsi="仿宋" w:eastAsia="仿宋"/>
                <w:b/>
                <w:bCs/>
              </w:rPr>
              <w:t>难点：</w:t>
            </w:r>
            <w:r>
              <w:rPr>
                <w:rFonts w:hint="eastAsia" w:ascii="仿宋" w:hAnsi="仿宋" w:eastAsia="仿宋"/>
                <w:bCs/>
              </w:rPr>
              <w:t>合理运用所学</w:t>
            </w:r>
            <w:r>
              <w:rPr>
                <w:rFonts w:ascii="仿宋" w:hAnsi="仿宋" w:eastAsia="仿宋"/>
                <w:bCs/>
              </w:rPr>
              <w:t>项目</w:t>
            </w:r>
            <w:r>
              <w:rPr>
                <w:rFonts w:hint="eastAsia" w:ascii="仿宋" w:hAnsi="仿宋" w:eastAsia="仿宋"/>
                <w:bCs/>
              </w:rPr>
              <w:t>技能，自</w:t>
            </w:r>
            <w:r>
              <w:rPr>
                <w:rFonts w:ascii="仿宋" w:hAnsi="仿宋" w:eastAsia="仿宋"/>
                <w:bCs/>
              </w:rPr>
              <w:t>主</w:t>
            </w:r>
            <w:r>
              <w:rPr>
                <w:rFonts w:hint="eastAsia" w:ascii="仿宋" w:hAnsi="仿宋" w:eastAsia="仿宋"/>
                <w:bCs/>
              </w:rPr>
              <w:t>和</w:t>
            </w:r>
            <w:r>
              <w:rPr>
                <w:rFonts w:ascii="仿宋" w:hAnsi="仿宋" w:eastAsia="仿宋"/>
                <w:bCs/>
              </w:rPr>
              <w:t>自觉锻炼</w:t>
            </w:r>
            <w:r>
              <w:rPr>
                <w:rFonts w:hint="eastAsia" w:ascii="仿宋" w:hAnsi="仿宋" w:eastAsia="仿宋"/>
                <w:bCs/>
              </w:rPr>
              <w:t>意识，发展体育精神。</w:t>
            </w:r>
          </w:p>
        </w:tc>
        <w:tc>
          <w:tcPr>
            <w:tcW w:w="541" w:type="pct"/>
            <w:noWrap w:val="0"/>
            <w:vAlign w:val="center"/>
          </w:tcPr>
          <w:p w14:paraId="63537F00">
            <w:pPr>
              <w:widowControl/>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noWrap w:val="0"/>
            <w:vAlign w:val="center"/>
          </w:tcPr>
          <w:p w14:paraId="7852F9FC">
            <w:pPr>
              <w:rPr>
                <w:rFonts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kern w:val="0"/>
                <w:szCs w:val="21"/>
              </w:rPr>
              <w:t>使学生了解和掌握所选运动项目的基本知识、基本技术和锻炼方法；爱好并积极参与各种体育运动，发展学生速度、灵敏、耐力等身体素质，增强体质</w:t>
            </w:r>
            <w:r>
              <w:rPr>
                <w:rFonts w:hint="eastAsia" w:ascii="仿宋" w:hAnsi="仿宋" w:eastAsia="仿宋"/>
                <w:szCs w:val="21"/>
              </w:rPr>
              <w:t>；培养团结协作的集体主义精神和顽强拼搏的竞争意识；达到“国家体质健康标准”</w:t>
            </w:r>
            <w:r>
              <w:rPr>
                <w:rFonts w:hint="eastAsia" w:ascii="仿宋" w:hAnsi="仿宋" w:eastAsia="仿宋"/>
                <w:kern w:val="0"/>
                <w:szCs w:val="21"/>
              </w:rPr>
              <w:t>。</w:t>
            </w:r>
          </w:p>
        </w:tc>
        <w:tc>
          <w:tcPr>
            <w:tcW w:w="386" w:type="pct"/>
            <w:noWrap w:val="0"/>
            <w:vAlign w:val="center"/>
          </w:tcPr>
          <w:p w14:paraId="58B5A1CB">
            <w:pPr>
              <w:jc w:val="center"/>
              <w:rPr>
                <w:rFonts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noWrap w:val="0"/>
            <w:vAlign w:val="center"/>
          </w:tcPr>
          <w:p w14:paraId="638450FD">
            <w:pP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38C5C69F">
            <w:pPr>
              <w:jc w:val="left"/>
              <w:rPr>
                <w:rFonts w:ascii="仿宋" w:hAnsi="仿宋" w:eastAsia="仿宋"/>
                <w:szCs w:val="21"/>
              </w:rPr>
            </w:pPr>
            <w:r>
              <w:rPr>
                <w:rFonts w:hint="eastAsia" w:ascii="仿宋" w:hAnsi="仿宋" w:eastAsia="仿宋"/>
                <w:szCs w:val="21"/>
              </w:rPr>
              <w:t>目标1</w:t>
            </w:r>
          </w:p>
          <w:p w14:paraId="67277259">
            <w:pPr>
              <w:jc w:val="left"/>
              <w:rPr>
                <w:rFonts w:ascii="仿宋" w:hAnsi="仿宋" w:eastAsia="仿宋"/>
                <w:szCs w:val="21"/>
              </w:rPr>
            </w:pPr>
            <w:r>
              <w:rPr>
                <w:rFonts w:hint="eastAsia" w:ascii="仿宋" w:hAnsi="仿宋" w:eastAsia="仿宋"/>
                <w:szCs w:val="21"/>
              </w:rPr>
              <w:t>目标2</w:t>
            </w:r>
          </w:p>
        </w:tc>
      </w:tr>
    </w:tbl>
    <w:p w14:paraId="6C1703A0">
      <w:pPr>
        <w:pStyle w:val="4"/>
        <w:bidi w:val="0"/>
      </w:pPr>
      <w:r>
        <w:rPr>
          <w:rFonts w:hint="eastAsia"/>
        </w:rPr>
        <w:t>四、课程实施</w:t>
      </w:r>
    </w:p>
    <w:p w14:paraId="3891B4B0">
      <w:pPr>
        <w:spacing w:before="180" w:beforeLines="50" w:after="180" w:afterLines="50" w:line="360" w:lineRule="exact"/>
        <w:ind w:firstLine="482" w:firstLineChars="200"/>
        <w:jc w:val="left"/>
        <w:rPr>
          <w:rFonts w:ascii="仿宋" w:hAnsi="仿宋" w:eastAsia="仿宋"/>
          <w:b/>
          <w:sz w:val="24"/>
        </w:rPr>
      </w:pPr>
      <w:r>
        <w:rPr>
          <w:rFonts w:hint="eastAsia" w:ascii="仿宋" w:hAnsi="仿宋" w:eastAsia="仿宋"/>
          <w:b/>
          <w:sz w:val="24"/>
        </w:rPr>
        <w:t>（一）教学方法与手段</w:t>
      </w:r>
    </w:p>
    <w:p w14:paraId="5C9873CF">
      <w:pPr>
        <w:spacing w:before="180" w:beforeLines="50" w:after="180" w:afterLines="50" w:line="360" w:lineRule="exact"/>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．本课程以实践教学为主，教学方法与手段的运用要考虑到学生的实际情况，从实际出发，因材施教，注意区别对待，激发学生学习兴趣，并在教学中重视学生实践能力的培养。</w:t>
      </w:r>
      <w:r>
        <w:rPr>
          <w:rFonts w:ascii="仿宋" w:hAnsi="仿宋" w:eastAsia="仿宋"/>
          <w:sz w:val="24"/>
        </w:rPr>
        <w:t xml:space="preserve">  </w:t>
      </w:r>
    </w:p>
    <w:p w14:paraId="1025F2A8">
      <w:pPr>
        <w:spacing w:before="180" w:beforeLines="50" w:after="180" w:afterLines="50" w:line="360" w:lineRule="exact"/>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405B2B21">
      <w:pPr>
        <w:spacing w:before="180" w:beforeLines="50" w:after="180" w:afterLines="50" w:line="360" w:lineRule="exact"/>
        <w:ind w:firstLine="480" w:firstLineChars="200"/>
        <w:jc w:val="left"/>
        <w:rPr>
          <w:rFonts w:ascii="仿宋" w:hAnsi="仿宋" w:eastAsia="仿宋"/>
          <w:sz w:val="24"/>
        </w:rPr>
      </w:pPr>
      <w:r>
        <w:rPr>
          <w:rFonts w:hint="eastAsia" w:ascii="仿宋" w:hAnsi="仿宋" w:eastAsia="仿宋"/>
          <w:sz w:val="24"/>
        </w:rPr>
        <w:t>3．针对体育教学技术教学的特点，本课程将采用：讲解法、示范法、完整法、分解法、集体练习、小组练习等教学方法，并利用多媒体教学方式，提高学生的欣赏能力、让学生更加深刻的了解所学项目。</w:t>
      </w:r>
    </w:p>
    <w:p w14:paraId="297A780E">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186A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7937AF57">
            <w:pPr>
              <w:spacing w:line="276" w:lineRule="auto"/>
              <w:jc w:val="center"/>
              <w:rPr>
                <w:rFonts w:ascii="仿宋" w:hAnsi="仿宋" w:eastAsia="仿宋"/>
                <w:sz w:val="24"/>
              </w:rPr>
            </w:pPr>
            <w:r>
              <w:rPr>
                <w:rFonts w:ascii="仿宋" w:hAnsi="仿宋" w:eastAsia="仿宋" w:cs="宋体"/>
                <w:b/>
                <w:bCs/>
                <w:sz w:val="24"/>
              </w:rPr>
              <w:t>主要教学环节</w:t>
            </w:r>
          </w:p>
        </w:tc>
        <w:tc>
          <w:tcPr>
            <w:tcW w:w="6640" w:type="dxa"/>
            <w:tcBorders>
              <w:top w:val="single" w:color="auto" w:sz="8" w:space="0"/>
              <w:left w:val="single" w:color="auto" w:sz="8" w:space="0"/>
              <w:right w:val="single" w:color="auto" w:sz="8" w:space="0"/>
            </w:tcBorders>
            <w:noWrap w:val="0"/>
            <w:vAlign w:val="center"/>
          </w:tcPr>
          <w:p w14:paraId="4A00E4A7">
            <w:pPr>
              <w:spacing w:line="276" w:lineRule="auto"/>
              <w:jc w:val="center"/>
              <w:rPr>
                <w:rFonts w:ascii="仿宋" w:hAnsi="仿宋" w:eastAsia="仿宋"/>
                <w:sz w:val="24"/>
              </w:rPr>
            </w:pPr>
            <w:r>
              <w:rPr>
                <w:rFonts w:hint="eastAsia" w:ascii="仿宋" w:hAnsi="仿宋" w:eastAsia="仿宋" w:cs="宋体"/>
                <w:b/>
                <w:bCs/>
                <w:sz w:val="24"/>
              </w:rPr>
              <w:t>质量要求</w:t>
            </w:r>
          </w:p>
        </w:tc>
      </w:tr>
      <w:tr w14:paraId="567C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BD0C982">
            <w:pPr>
              <w:spacing w:line="276" w:lineRule="auto"/>
              <w:jc w:val="center"/>
              <w:rPr>
                <w:rFonts w:ascii="仿宋" w:hAnsi="仿宋" w:eastAsia="仿宋"/>
                <w:sz w:val="24"/>
              </w:rPr>
            </w:pPr>
            <w:r>
              <w:rPr>
                <w:rFonts w:hint="eastAsia" w:ascii="仿宋" w:hAnsi="仿宋" w:eastAsia="仿宋"/>
                <w:sz w:val="24"/>
              </w:rPr>
              <w:t>1</w:t>
            </w:r>
          </w:p>
        </w:tc>
        <w:tc>
          <w:tcPr>
            <w:tcW w:w="1252" w:type="dxa"/>
            <w:noWrap w:val="0"/>
            <w:tcMar>
              <w:left w:w="28" w:type="dxa"/>
              <w:right w:w="28" w:type="dxa"/>
            </w:tcMar>
            <w:vAlign w:val="center"/>
          </w:tcPr>
          <w:p w14:paraId="5C2942BC">
            <w:pPr>
              <w:spacing w:line="276" w:lineRule="auto"/>
              <w:jc w:val="center"/>
              <w:rPr>
                <w:rFonts w:ascii="仿宋" w:hAnsi="仿宋" w:eastAsia="仿宋"/>
                <w:sz w:val="24"/>
              </w:rPr>
            </w:pPr>
            <w:r>
              <w:rPr>
                <w:rFonts w:hint="eastAsia" w:ascii="仿宋" w:hAnsi="仿宋" w:eastAsia="仿宋"/>
                <w:sz w:val="24"/>
              </w:rPr>
              <w:t>备课</w:t>
            </w:r>
          </w:p>
        </w:tc>
        <w:tc>
          <w:tcPr>
            <w:tcW w:w="6640" w:type="dxa"/>
            <w:tcBorders>
              <w:right w:val="single" w:color="auto" w:sz="8" w:space="0"/>
            </w:tcBorders>
            <w:noWrap w:val="0"/>
            <w:vAlign w:val="center"/>
          </w:tcPr>
          <w:p w14:paraId="44BE9BFC">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3D72B596">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3DC8B571">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3.</w:t>
            </w:r>
            <w:r>
              <w:rPr>
                <w:rFonts w:hint="eastAsia" w:ascii="仿宋" w:hAnsi="仿宋" w:eastAsia="仿宋" w:cs="宋体"/>
                <w:kern w:val="0"/>
                <w:sz w:val="22"/>
              </w:rPr>
              <w:t>结合课程特点，制作课件，运用多媒体教学手段讲授部分教学内容；</w:t>
            </w:r>
            <w:r>
              <w:rPr>
                <w:rFonts w:ascii="仿宋" w:hAnsi="仿宋" w:eastAsia="仿宋" w:cs="宋体"/>
                <w:kern w:val="0"/>
                <w:sz w:val="22"/>
              </w:rPr>
              <w:t xml:space="preserve"> </w:t>
            </w:r>
          </w:p>
          <w:p w14:paraId="433D01C8">
            <w:pPr>
              <w:autoSpaceDE w:val="0"/>
              <w:autoSpaceDN w:val="0"/>
              <w:adjustRightInd w:val="0"/>
              <w:snapToGrid w:val="0"/>
              <w:spacing w:line="320" w:lineRule="exact"/>
              <w:jc w:val="left"/>
              <w:rPr>
                <w:rFonts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782C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29E4558E">
            <w:pPr>
              <w:spacing w:line="276" w:lineRule="auto"/>
              <w:jc w:val="center"/>
              <w:rPr>
                <w:rFonts w:ascii="仿宋" w:hAnsi="仿宋" w:eastAsia="仿宋"/>
                <w:sz w:val="24"/>
              </w:rPr>
            </w:pPr>
            <w:r>
              <w:rPr>
                <w:rFonts w:hint="eastAsia" w:ascii="仿宋" w:hAnsi="仿宋" w:eastAsia="仿宋"/>
                <w:sz w:val="24"/>
              </w:rPr>
              <w:t>2</w:t>
            </w:r>
          </w:p>
        </w:tc>
        <w:tc>
          <w:tcPr>
            <w:tcW w:w="1252" w:type="dxa"/>
            <w:noWrap w:val="0"/>
            <w:tcMar>
              <w:left w:w="28" w:type="dxa"/>
              <w:right w:w="28" w:type="dxa"/>
            </w:tcMar>
            <w:vAlign w:val="center"/>
          </w:tcPr>
          <w:p w14:paraId="3CDC4975">
            <w:pPr>
              <w:spacing w:line="276" w:lineRule="auto"/>
              <w:jc w:val="center"/>
              <w:rPr>
                <w:rFonts w:ascii="仿宋" w:hAnsi="仿宋" w:eastAsia="仿宋"/>
                <w:sz w:val="24"/>
              </w:rPr>
            </w:pPr>
            <w:r>
              <w:rPr>
                <w:rFonts w:hint="eastAsia" w:ascii="仿宋" w:hAnsi="仿宋" w:eastAsia="仿宋"/>
                <w:sz w:val="24"/>
              </w:rPr>
              <w:t>讲授</w:t>
            </w:r>
          </w:p>
        </w:tc>
        <w:tc>
          <w:tcPr>
            <w:tcW w:w="6640" w:type="dxa"/>
            <w:tcBorders>
              <w:right w:val="single" w:color="auto" w:sz="8" w:space="0"/>
            </w:tcBorders>
            <w:noWrap w:val="0"/>
            <w:vAlign w:val="center"/>
          </w:tcPr>
          <w:p w14:paraId="1D73D7F5">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3F2F76AF">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05BFAC63">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B6E9F51">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1BBDD461">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3F85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26B37037">
            <w:pPr>
              <w:spacing w:line="276" w:lineRule="auto"/>
              <w:jc w:val="center"/>
              <w:rPr>
                <w:rFonts w:ascii="仿宋" w:hAnsi="仿宋" w:eastAsia="仿宋"/>
                <w:sz w:val="24"/>
              </w:rPr>
            </w:pPr>
            <w:r>
              <w:rPr>
                <w:rFonts w:ascii="仿宋" w:hAnsi="仿宋" w:eastAsia="仿宋"/>
                <w:sz w:val="24"/>
              </w:rPr>
              <w:t>3</w:t>
            </w:r>
          </w:p>
        </w:tc>
        <w:tc>
          <w:tcPr>
            <w:tcW w:w="1252" w:type="dxa"/>
            <w:noWrap w:val="0"/>
            <w:tcMar>
              <w:left w:w="28" w:type="dxa"/>
              <w:right w:w="28" w:type="dxa"/>
            </w:tcMar>
            <w:vAlign w:val="center"/>
          </w:tcPr>
          <w:p w14:paraId="45B4DBAD">
            <w:pPr>
              <w:spacing w:line="276" w:lineRule="auto"/>
              <w:jc w:val="center"/>
              <w:rPr>
                <w:rFonts w:ascii="仿宋" w:hAnsi="仿宋" w:eastAsia="仿宋"/>
                <w:sz w:val="24"/>
              </w:rPr>
            </w:pPr>
            <w:r>
              <w:rPr>
                <w:rFonts w:hint="eastAsia" w:ascii="仿宋" w:hAnsi="仿宋" w:eastAsia="仿宋"/>
                <w:sz w:val="24"/>
              </w:rPr>
              <w:t>课外练习</w:t>
            </w:r>
          </w:p>
        </w:tc>
        <w:tc>
          <w:tcPr>
            <w:tcW w:w="6640" w:type="dxa"/>
            <w:tcBorders>
              <w:right w:val="single" w:color="auto" w:sz="8" w:space="0"/>
            </w:tcBorders>
            <w:noWrap w:val="0"/>
            <w:vAlign w:val="center"/>
          </w:tcPr>
          <w:p w14:paraId="078784F8">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31F1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183413F9">
            <w:pPr>
              <w:spacing w:line="276" w:lineRule="auto"/>
              <w:jc w:val="center"/>
              <w:rPr>
                <w:rFonts w:ascii="仿宋" w:hAnsi="仿宋" w:eastAsia="仿宋"/>
                <w:sz w:val="24"/>
              </w:rPr>
            </w:pPr>
            <w:r>
              <w:rPr>
                <w:rFonts w:ascii="仿宋" w:hAnsi="仿宋" w:eastAsia="仿宋"/>
                <w:sz w:val="24"/>
              </w:rPr>
              <w:t>4</w:t>
            </w:r>
          </w:p>
        </w:tc>
        <w:tc>
          <w:tcPr>
            <w:tcW w:w="1252" w:type="dxa"/>
            <w:noWrap w:val="0"/>
            <w:tcMar>
              <w:left w:w="28" w:type="dxa"/>
              <w:right w:w="28" w:type="dxa"/>
            </w:tcMar>
            <w:vAlign w:val="center"/>
          </w:tcPr>
          <w:p w14:paraId="06C1747D">
            <w:pPr>
              <w:spacing w:line="276" w:lineRule="auto"/>
              <w:jc w:val="center"/>
              <w:rPr>
                <w:rFonts w:ascii="仿宋" w:hAnsi="仿宋" w:eastAsia="仿宋"/>
                <w:sz w:val="24"/>
              </w:rPr>
            </w:pPr>
            <w:r>
              <w:rPr>
                <w:rFonts w:hint="eastAsia" w:ascii="仿宋" w:hAnsi="仿宋" w:eastAsia="仿宋"/>
                <w:sz w:val="24"/>
              </w:rPr>
              <w:t>成绩考核</w:t>
            </w:r>
          </w:p>
        </w:tc>
        <w:tc>
          <w:tcPr>
            <w:tcW w:w="6640" w:type="dxa"/>
            <w:tcBorders>
              <w:right w:val="single" w:color="auto" w:sz="8" w:space="0"/>
            </w:tcBorders>
            <w:noWrap w:val="0"/>
            <w:vAlign w:val="center"/>
          </w:tcPr>
          <w:p w14:paraId="19E21589">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46102952">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773D1652">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7AA1782C">
      <w:pPr>
        <w:pStyle w:val="4"/>
        <w:bidi w:val="0"/>
      </w:pPr>
      <w:r>
        <w:rPr>
          <w:rFonts w:hint="eastAsia"/>
        </w:rPr>
        <w:t>五</w:t>
      </w:r>
      <w:r>
        <w:t>、</w:t>
      </w:r>
      <w:r>
        <w:rPr>
          <w:rFonts w:hint="eastAsia"/>
        </w:rPr>
        <w:t>课程考核</w:t>
      </w:r>
    </w:p>
    <w:p w14:paraId="40D0817B">
      <w:pPr>
        <w:spacing w:line="360" w:lineRule="auto"/>
        <w:ind w:firstLine="480" w:firstLineChars="200"/>
        <w:rPr>
          <w:rFonts w:ascii="仿宋" w:hAnsi="仿宋" w:eastAsia="仿宋"/>
          <w:sz w:val="24"/>
        </w:rPr>
      </w:pPr>
      <w:r>
        <w:rPr>
          <w:rFonts w:hint="eastAsia" w:ascii="仿宋" w:hAnsi="仿宋" w:eastAsia="仿宋"/>
          <w:sz w:val="24"/>
        </w:rPr>
        <w:t>（一）课程考核由期末考试和平时考核构成，期末考试采用随堂方式。</w:t>
      </w:r>
    </w:p>
    <w:p w14:paraId="32A3E6E3">
      <w:pPr>
        <w:spacing w:line="360" w:lineRule="auto"/>
        <w:ind w:firstLine="480" w:firstLineChars="200"/>
        <w:rPr>
          <w:rFonts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总评成绩=平时成绩×</w:t>
      </w:r>
      <w:r>
        <w:rPr>
          <w:rFonts w:ascii="仿宋" w:hAnsi="仿宋" w:eastAsia="仿宋"/>
          <w:sz w:val="24"/>
        </w:rPr>
        <w:t>5</w:t>
      </w:r>
      <w:r>
        <w:rPr>
          <w:rFonts w:hint="eastAsia" w:ascii="仿宋" w:hAnsi="仿宋" w:eastAsia="仿宋"/>
          <w:sz w:val="24"/>
        </w:rPr>
        <w:t>0%+</w:t>
      </w:r>
      <w:r>
        <w:rPr>
          <w:rFonts w:ascii="仿宋" w:hAnsi="仿宋" w:eastAsia="仿宋"/>
          <w:sz w:val="24"/>
        </w:rPr>
        <w:t>期末考试</w:t>
      </w:r>
      <w:r>
        <w:rPr>
          <w:rFonts w:hint="eastAsia" w:ascii="仿宋" w:hAnsi="仿宋" w:eastAsia="仿宋"/>
          <w:sz w:val="24"/>
        </w:rPr>
        <w:t>×</w:t>
      </w:r>
      <w:r>
        <w:rPr>
          <w:rFonts w:ascii="仿宋" w:hAnsi="仿宋" w:eastAsia="仿宋"/>
          <w:sz w:val="24"/>
        </w:rPr>
        <w:t>5</w:t>
      </w:r>
      <w:r>
        <w:rPr>
          <w:rFonts w:hint="eastAsia" w:ascii="仿宋" w:hAnsi="仿宋" w:eastAsia="仿宋"/>
          <w:sz w:val="24"/>
        </w:rPr>
        <w:t>0%，平时成绩=课堂表现×2</w:t>
      </w:r>
      <w:r>
        <w:rPr>
          <w:rFonts w:ascii="仿宋" w:hAnsi="仿宋" w:eastAsia="仿宋"/>
          <w:sz w:val="24"/>
        </w:rPr>
        <w:t>0</w:t>
      </w:r>
      <w:r>
        <w:rPr>
          <w:rFonts w:hint="eastAsia" w:ascii="仿宋" w:hAnsi="仿宋" w:eastAsia="仿宋"/>
          <w:sz w:val="24"/>
        </w:rPr>
        <w:t>%+课外锻炼×</w:t>
      </w:r>
      <w:r>
        <w:rPr>
          <w:rFonts w:ascii="仿宋" w:hAnsi="仿宋" w:eastAsia="仿宋"/>
          <w:sz w:val="24"/>
        </w:rPr>
        <w:t>40</w:t>
      </w:r>
      <w:r>
        <w:rPr>
          <w:rFonts w:hint="eastAsia" w:ascii="仿宋" w:hAnsi="仿宋" w:eastAsia="仿宋"/>
          <w:sz w:val="24"/>
        </w:rPr>
        <w:t>%+身体</w:t>
      </w:r>
      <w:r>
        <w:rPr>
          <w:rFonts w:ascii="仿宋" w:hAnsi="仿宋" w:eastAsia="仿宋"/>
          <w:sz w:val="24"/>
        </w:rPr>
        <w:t>素质</w:t>
      </w:r>
      <w:r>
        <w:rPr>
          <w:rFonts w:hint="eastAsia" w:ascii="仿宋" w:hAnsi="仿宋" w:eastAsia="仿宋"/>
          <w:sz w:val="24"/>
        </w:rPr>
        <w:t>×</w:t>
      </w:r>
      <w:r>
        <w:rPr>
          <w:rFonts w:ascii="仿宋" w:hAnsi="仿宋" w:eastAsia="仿宋"/>
          <w:sz w:val="24"/>
        </w:rPr>
        <w:t>40</w:t>
      </w:r>
      <w:r>
        <w:rPr>
          <w:rFonts w:hint="eastAsia" w:ascii="仿宋" w:hAnsi="仿宋" w:eastAsia="仿宋"/>
          <w:sz w:val="24"/>
        </w:rPr>
        <w:t>%。</w:t>
      </w:r>
    </w:p>
    <w:p w14:paraId="22445A1A">
      <w:pPr>
        <w:spacing w:line="360" w:lineRule="auto"/>
        <w:ind w:firstLine="480" w:firstLineChars="200"/>
        <w:rPr>
          <w:rFonts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3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196F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7F673AEC">
            <w:pPr>
              <w:jc w:val="center"/>
              <w:rPr>
                <w:rFonts w:ascii="仿宋" w:hAnsi="仿宋" w:eastAsia="仿宋"/>
                <w:szCs w:val="21"/>
              </w:rPr>
            </w:pPr>
            <w:r>
              <w:rPr>
                <w:rFonts w:ascii="仿宋" w:hAnsi="仿宋" w:eastAsia="仿宋"/>
                <w:szCs w:val="21"/>
              </w:rPr>
              <w:t>成绩组成</w:t>
            </w:r>
          </w:p>
        </w:tc>
        <w:tc>
          <w:tcPr>
            <w:tcW w:w="1301" w:type="dxa"/>
            <w:shd w:val="clear" w:color="auto" w:fill="FFFFFF"/>
            <w:noWrap w:val="0"/>
            <w:vAlign w:val="center"/>
          </w:tcPr>
          <w:p w14:paraId="4ABB0C21">
            <w:pPr>
              <w:jc w:val="center"/>
              <w:rPr>
                <w:rFonts w:ascii="仿宋" w:hAnsi="仿宋" w:eastAsia="仿宋"/>
                <w:szCs w:val="21"/>
              </w:rPr>
            </w:pPr>
            <w:r>
              <w:rPr>
                <w:rFonts w:ascii="仿宋" w:hAnsi="仿宋" w:eastAsia="仿宋"/>
                <w:szCs w:val="21"/>
              </w:rPr>
              <w:t>考核/评价环节</w:t>
            </w:r>
          </w:p>
        </w:tc>
        <w:tc>
          <w:tcPr>
            <w:tcW w:w="741" w:type="dxa"/>
            <w:shd w:val="clear" w:color="auto" w:fill="FFFFFF"/>
            <w:noWrap w:val="0"/>
            <w:vAlign w:val="center"/>
          </w:tcPr>
          <w:p w14:paraId="4CBE683B">
            <w:pPr>
              <w:jc w:val="center"/>
              <w:rPr>
                <w:rFonts w:ascii="仿宋" w:hAnsi="仿宋" w:eastAsia="仿宋"/>
                <w:szCs w:val="21"/>
              </w:rPr>
            </w:pPr>
            <w:r>
              <w:rPr>
                <w:rFonts w:hint="eastAsia" w:ascii="仿宋" w:hAnsi="仿宋" w:eastAsia="仿宋"/>
                <w:szCs w:val="21"/>
              </w:rPr>
              <w:t>权重</w:t>
            </w:r>
          </w:p>
        </w:tc>
        <w:tc>
          <w:tcPr>
            <w:tcW w:w="4047" w:type="dxa"/>
            <w:shd w:val="clear" w:color="auto" w:fill="FFFFFF"/>
            <w:noWrap w:val="0"/>
            <w:vAlign w:val="center"/>
          </w:tcPr>
          <w:p w14:paraId="5A8703A9">
            <w:pPr>
              <w:jc w:val="center"/>
              <w:rPr>
                <w:rFonts w:ascii="仿宋" w:hAnsi="仿宋" w:eastAsia="仿宋"/>
                <w:szCs w:val="21"/>
              </w:rPr>
            </w:pPr>
            <w:r>
              <w:rPr>
                <w:rFonts w:ascii="仿宋" w:hAnsi="仿宋" w:eastAsia="仿宋"/>
                <w:szCs w:val="21"/>
              </w:rPr>
              <w:t>考核/评价细则</w:t>
            </w:r>
          </w:p>
        </w:tc>
        <w:tc>
          <w:tcPr>
            <w:tcW w:w="1349" w:type="dxa"/>
            <w:shd w:val="clear" w:color="auto" w:fill="FFFFFF"/>
            <w:noWrap w:val="0"/>
            <w:vAlign w:val="center"/>
          </w:tcPr>
          <w:p w14:paraId="72D75792">
            <w:pPr>
              <w:jc w:val="center"/>
              <w:rPr>
                <w:rFonts w:ascii="仿宋" w:hAnsi="仿宋" w:eastAsia="仿宋"/>
                <w:szCs w:val="21"/>
              </w:rPr>
            </w:pPr>
            <w:r>
              <w:rPr>
                <w:rFonts w:ascii="仿宋" w:hAnsi="仿宋" w:eastAsia="仿宋"/>
                <w:szCs w:val="21"/>
              </w:rPr>
              <w:t>对应的毕业要求指标点</w:t>
            </w:r>
          </w:p>
        </w:tc>
      </w:tr>
      <w:tr w14:paraId="05D7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17CF3670">
            <w:pPr>
              <w:jc w:val="center"/>
              <w:rPr>
                <w:rFonts w:ascii="仿宋" w:hAnsi="仿宋" w:eastAsia="仿宋"/>
                <w:szCs w:val="21"/>
              </w:rPr>
            </w:pPr>
            <w:r>
              <w:rPr>
                <w:rFonts w:ascii="仿宋" w:hAnsi="仿宋" w:eastAsia="仿宋"/>
                <w:szCs w:val="21"/>
              </w:rPr>
              <w:t>平时成绩</w:t>
            </w:r>
          </w:p>
          <w:p w14:paraId="000AEEB5">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230E167C">
            <w:pPr>
              <w:spacing w:line="276" w:lineRule="auto"/>
              <w:jc w:val="center"/>
              <w:rPr>
                <w:rFonts w:ascii="仿宋" w:hAnsi="仿宋" w:eastAsia="仿宋"/>
                <w:szCs w:val="21"/>
              </w:rPr>
            </w:pPr>
            <w:r>
              <w:rPr>
                <w:rFonts w:hint="eastAsia" w:ascii="仿宋" w:hAnsi="仿宋" w:eastAsia="仿宋"/>
                <w:szCs w:val="21"/>
              </w:rPr>
              <w:t>课堂表现</w:t>
            </w:r>
          </w:p>
        </w:tc>
        <w:tc>
          <w:tcPr>
            <w:tcW w:w="741" w:type="dxa"/>
            <w:noWrap w:val="0"/>
            <w:vAlign w:val="center"/>
          </w:tcPr>
          <w:p w14:paraId="5E30D81B">
            <w:pPr>
              <w:rPr>
                <w:rFonts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47" w:type="dxa"/>
            <w:noWrap w:val="0"/>
            <w:vAlign w:val="center"/>
          </w:tcPr>
          <w:p w14:paraId="67CFCE3E">
            <w:pPr>
              <w:spacing w:line="276" w:lineRule="auto"/>
              <w:rPr>
                <w:rFonts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分，迟到与早退一次扣</w:t>
            </w:r>
            <w:r>
              <w:rPr>
                <w:rFonts w:ascii="仿宋" w:hAnsi="仿宋" w:eastAsia="仿宋"/>
                <w:szCs w:val="21"/>
              </w:rPr>
              <w:t>10</w:t>
            </w:r>
            <w:r>
              <w:rPr>
                <w:rFonts w:hint="eastAsia" w:ascii="仿宋" w:hAnsi="仿宋" w:eastAsia="仿宋"/>
                <w:szCs w:val="21"/>
              </w:rPr>
              <w:t>分。</w:t>
            </w:r>
          </w:p>
        </w:tc>
        <w:tc>
          <w:tcPr>
            <w:tcW w:w="1349" w:type="dxa"/>
            <w:noWrap w:val="0"/>
            <w:vAlign w:val="center"/>
          </w:tcPr>
          <w:p w14:paraId="29DB1BE0">
            <w:pPr>
              <w:jc w:val="center"/>
              <w:rPr>
                <w:rFonts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74CE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3B2F712C">
            <w:pPr>
              <w:jc w:val="center"/>
              <w:rPr>
                <w:rFonts w:ascii="仿宋" w:hAnsi="仿宋" w:eastAsia="仿宋"/>
                <w:szCs w:val="21"/>
              </w:rPr>
            </w:pPr>
          </w:p>
        </w:tc>
        <w:tc>
          <w:tcPr>
            <w:tcW w:w="1301" w:type="dxa"/>
            <w:noWrap w:val="0"/>
            <w:vAlign w:val="center"/>
          </w:tcPr>
          <w:p w14:paraId="249F3B81">
            <w:pPr>
              <w:spacing w:line="276" w:lineRule="auto"/>
              <w:jc w:val="center"/>
              <w:rPr>
                <w:rFonts w:ascii="仿宋" w:hAnsi="仿宋" w:eastAsia="仿宋"/>
                <w:szCs w:val="21"/>
              </w:rPr>
            </w:pPr>
            <w:r>
              <w:rPr>
                <w:rFonts w:hint="eastAsia" w:ascii="仿宋" w:hAnsi="仿宋" w:eastAsia="仿宋"/>
                <w:szCs w:val="21"/>
              </w:rPr>
              <w:t>课外锻炼</w:t>
            </w:r>
          </w:p>
        </w:tc>
        <w:tc>
          <w:tcPr>
            <w:tcW w:w="741" w:type="dxa"/>
            <w:noWrap w:val="0"/>
            <w:vAlign w:val="center"/>
          </w:tcPr>
          <w:p w14:paraId="2D5AC660">
            <w:pPr>
              <w:rPr>
                <w:rFonts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47" w:type="dxa"/>
            <w:noWrap w:val="0"/>
            <w:vAlign w:val="center"/>
          </w:tcPr>
          <w:p w14:paraId="6A04EB17">
            <w:pPr>
              <w:spacing w:line="276" w:lineRule="auto"/>
              <w:rPr>
                <w:rFonts w:ascii="仿宋" w:hAnsi="仿宋" w:eastAsia="仿宋"/>
                <w:sz w:val="24"/>
              </w:rPr>
            </w:pPr>
            <w:r>
              <w:rPr>
                <w:rFonts w:hint="eastAsia" w:ascii="仿宋" w:hAnsi="仿宋" w:eastAsia="仿宋"/>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noWrap w:val="0"/>
            <w:vAlign w:val="center"/>
          </w:tcPr>
          <w:p w14:paraId="27B7A302">
            <w:pPr>
              <w:jc w:val="center"/>
              <w:rPr>
                <w:rFonts w:ascii="仿宋" w:hAnsi="仿宋" w:eastAsia="仿宋"/>
              </w:rPr>
            </w:pPr>
            <w:r>
              <w:rPr>
                <w:rFonts w:hint="eastAsia" w:ascii="仿宋" w:hAnsi="仿宋" w:eastAsia="仿宋"/>
              </w:rPr>
              <w:t>8、9</w:t>
            </w:r>
          </w:p>
        </w:tc>
      </w:tr>
      <w:tr w14:paraId="3491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noWrap w:val="0"/>
            <w:tcMar>
              <w:left w:w="57" w:type="dxa"/>
              <w:right w:w="57" w:type="dxa"/>
            </w:tcMar>
            <w:vAlign w:val="center"/>
          </w:tcPr>
          <w:p w14:paraId="5D0D5FC9">
            <w:pPr>
              <w:jc w:val="center"/>
              <w:rPr>
                <w:rFonts w:ascii="仿宋" w:hAnsi="仿宋" w:eastAsia="仿宋"/>
                <w:szCs w:val="21"/>
              </w:rPr>
            </w:pPr>
          </w:p>
        </w:tc>
        <w:tc>
          <w:tcPr>
            <w:tcW w:w="1301" w:type="dxa"/>
            <w:noWrap w:val="0"/>
            <w:vAlign w:val="center"/>
          </w:tcPr>
          <w:p w14:paraId="4E8369FA">
            <w:pPr>
              <w:spacing w:line="276" w:lineRule="auto"/>
              <w:jc w:val="center"/>
              <w:rPr>
                <w:rFonts w:ascii="仿宋" w:hAnsi="仿宋" w:eastAsia="仿宋"/>
                <w:szCs w:val="21"/>
              </w:rPr>
            </w:pPr>
            <w:r>
              <w:rPr>
                <w:rFonts w:hint="eastAsia" w:ascii="仿宋" w:hAnsi="仿宋" w:eastAsia="仿宋"/>
                <w:szCs w:val="21"/>
              </w:rPr>
              <w:t>身体素质</w:t>
            </w:r>
          </w:p>
        </w:tc>
        <w:tc>
          <w:tcPr>
            <w:tcW w:w="741" w:type="dxa"/>
            <w:noWrap w:val="0"/>
            <w:vAlign w:val="center"/>
          </w:tcPr>
          <w:p w14:paraId="7ADB8BE6">
            <w:pPr>
              <w:jc w:val="center"/>
              <w:rPr>
                <w:rFonts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47" w:type="dxa"/>
            <w:noWrap w:val="0"/>
            <w:vAlign w:val="center"/>
          </w:tcPr>
          <w:p w14:paraId="47A7CBDA">
            <w:pPr>
              <w:spacing w:line="276" w:lineRule="auto"/>
              <w:jc w:val="left"/>
              <w:rPr>
                <w:rFonts w:ascii="仿宋" w:hAnsi="仿宋" w:eastAsia="仿宋"/>
                <w:bCs/>
                <w:kern w:val="24"/>
                <w:szCs w:val="21"/>
              </w:rPr>
            </w:pPr>
            <w:r>
              <w:rPr>
                <w:rFonts w:hint="eastAsia" w:ascii="仿宋" w:hAnsi="仿宋" w:eastAsia="仿宋"/>
                <w:bCs/>
                <w:kern w:val="24"/>
                <w:szCs w:val="21"/>
              </w:rPr>
              <w:t>1.2400米（男</w:t>
            </w:r>
            <w:r>
              <w:rPr>
                <w:rFonts w:ascii="仿宋" w:hAnsi="仿宋" w:eastAsia="仿宋"/>
                <w:bCs/>
                <w:kern w:val="24"/>
                <w:szCs w:val="21"/>
              </w:rPr>
              <w:t>）</w:t>
            </w:r>
            <w:r>
              <w:rPr>
                <w:rFonts w:hint="eastAsia" w:ascii="仿宋" w:hAnsi="仿宋" w:eastAsia="仿宋"/>
                <w:bCs/>
                <w:kern w:val="24"/>
                <w:szCs w:val="21"/>
              </w:rPr>
              <w:t>、2000米</w:t>
            </w:r>
            <w:r>
              <w:rPr>
                <w:rFonts w:ascii="仿宋" w:hAnsi="仿宋" w:eastAsia="仿宋"/>
                <w:bCs/>
                <w:kern w:val="24"/>
                <w:szCs w:val="21"/>
              </w:rPr>
              <w:t>（</w:t>
            </w:r>
            <w:r>
              <w:rPr>
                <w:rFonts w:hint="eastAsia" w:ascii="仿宋" w:hAnsi="仿宋" w:eastAsia="仿宋"/>
                <w:bCs/>
                <w:kern w:val="24"/>
                <w:szCs w:val="21"/>
              </w:rPr>
              <w:t>女</w:t>
            </w:r>
            <w:r>
              <w:rPr>
                <w:rFonts w:ascii="仿宋" w:hAnsi="仿宋" w:eastAsia="仿宋"/>
                <w:bCs/>
                <w:kern w:val="24"/>
                <w:szCs w:val="21"/>
              </w:rPr>
              <w:t>）</w:t>
            </w:r>
          </w:p>
          <w:p w14:paraId="4F462C62">
            <w:pPr>
              <w:spacing w:line="276" w:lineRule="auto"/>
              <w:jc w:val="left"/>
              <w:rPr>
                <w:rFonts w:ascii="仿宋" w:hAnsi="仿宋" w:eastAsia="仿宋"/>
                <w:bCs/>
                <w:kern w:val="24"/>
                <w:szCs w:val="21"/>
              </w:rPr>
            </w:pPr>
            <w:r>
              <w:rPr>
                <w:rFonts w:hint="eastAsia" w:ascii="仿宋" w:hAnsi="仿宋" w:eastAsia="仿宋"/>
                <w:bCs/>
                <w:kern w:val="24"/>
                <w:szCs w:val="21"/>
              </w:rPr>
              <w:t>2.引</w:t>
            </w:r>
            <w:r>
              <w:rPr>
                <w:rFonts w:ascii="仿宋" w:hAnsi="仿宋" w:eastAsia="仿宋"/>
                <w:bCs/>
                <w:kern w:val="24"/>
                <w:szCs w:val="21"/>
              </w:rPr>
              <w:t>体向上</w:t>
            </w:r>
            <w:r>
              <w:rPr>
                <w:rFonts w:hint="eastAsia" w:ascii="仿宋" w:hAnsi="仿宋" w:eastAsia="仿宋"/>
                <w:bCs/>
                <w:kern w:val="24"/>
                <w:szCs w:val="21"/>
              </w:rPr>
              <w:t>（男</w:t>
            </w:r>
            <w:r>
              <w:rPr>
                <w:rFonts w:ascii="仿宋" w:hAnsi="仿宋" w:eastAsia="仿宋"/>
                <w:bCs/>
                <w:kern w:val="24"/>
                <w:szCs w:val="21"/>
              </w:rPr>
              <w:t>）</w:t>
            </w:r>
            <w:r>
              <w:rPr>
                <w:rFonts w:hint="eastAsia" w:ascii="仿宋" w:hAnsi="仿宋" w:eastAsia="仿宋"/>
                <w:bCs/>
                <w:kern w:val="24"/>
                <w:szCs w:val="21"/>
              </w:rPr>
              <w:t>、立定</w:t>
            </w:r>
            <w:r>
              <w:rPr>
                <w:rFonts w:ascii="仿宋" w:hAnsi="仿宋" w:eastAsia="仿宋"/>
                <w:bCs/>
                <w:kern w:val="24"/>
                <w:szCs w:val="21"/>
              </w:rPr>
              <w:t>跳远（</w:t>
            </w:r>
            <w:r>
              <w:rPr>
                <w:rFonts w:hint="eastAsia" w:ascii="仿宋" w:hAnsi="仿宋" w:eastAsia="仿宋"/>
                <w:bCs/>
                <w:kern w:val="24"/>
                <w:szCs w:val="21"/>
              </w:rPr>
              <w:t>女</w:t>
            </w:r>
            <w:r>
              <w:rPr>
                <w:rFonts w:ascii="仿宋" w:hAnsi="仿宋" w:eastAsia="仿宋"/>
                <w:bCs/>
                <w:kern w:val="24"/>
                <w:szCs w:val="21"/>
              </w:rPr>
              <w:t>）</w:t>
            </w:r>
          </w:p>
          <w:p w14:paraId="4AFA29BF">
            <w:pPr>
              <w:spacing w:line="276" w:lineRule="auto"/>
              <w:jc w:val="left"/>
              <w:rPr>
                <w:rFonts w:ascii="仿宋" w:hAnsi="仿宋" w:eastAsia="仿宋"/>
                <w:sz w:val="24"/>
              </w:rPr>
            </w:pPr>
            <w:r>
              <w:rPr>
                <w:rFonts w:hint="eastAsia" w:ascii="仿宋" w:hAnsi="仿宋" w:eastAsia="仿宋"/>
                <w:bCs/>
                <w:kern w:val="24"/>
                <w:szCs w:val="21"/>
              </w:rPr>
              <w:t>课堂测试，评分参照《国家学生体质健康标准》</w:t>
            </w:r>
            <w:r>
              <w:rPr>
                <w:rFonts w:ascii="仿宋" w:hAnsi="仿宋" w:eastAsia="仿宋"/>
                <w:bCs/>
                <w:kern w:val="24"/>
                <w:szCs w:val="21"/>
              </w:rPr>
              <w:t>。</w:t>
            </w:r>
          </w:p>
        </w:tc>
        <w:tc>
          <w:tcPr>
            <w:tcW w:w="1349" w:type="dxa"/>
            <w:noWrap w:val="0"/>
            <w:vAlign w:val="center"/>
          </w:tcPr>
          <w:p w14:paraId="72C7CCF0">
            <w:pPr>
              <w:jc w:val="center"/>
              <w:rPr>
                <w:rFonts w:ascii="仿宋" w:hAnsi="仿宋" w:eastAsia="仿宋"/>
              </w:rPr>
            </w:pPr>
            <w:r>
              <w:rPr>
                <w:rFonts w:hint="eastAsia" w:ascii="仿宋" w:hAnsi="仿宋" w:eastAsia="仿宋"/>
              </w:rPr>
              <w:t>8、9</w:t>
            </w:r>
          </w:p>
        </w:tc>
      </w:tr>
      <w:tr w14:paraId="4787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40" w:type="dxa"/>
            <w:noWrap w:val="0"/>
            <w:tcMar>
              <w:left w:w="57" w:type="dxa"/>
              <w:right w:w="57" w:type="dxa"/>
            </w:tcMar>
            <w:vAlign w:val="center"/>
          </w:tcPr>
          <w:p w14:paraId="00573F45">
            <w:pPr>
              <w:jc w:val="center"/>
              <w:rPr>
                <w:rFonts w:ascii="仿宋" w:hAnsi="仿宋" w:eastAsia="仿宋"/>
                <w:szCs w:val="21"/>
              </w:rPr>
            </w:pPr>
            <w:r>
              <w:rPr>
                <w:rFonts w:ascii="仿宋" w:hAnsi="仿宋" w:eastAsia="仿宋"/>
                <w:szCs w:val="21"/>
              </w:rPr>
              <w:t>期末考试</w:t>
            </w:r>
          </w:p>
          <w:p w14:paraId="7FA0A9A3">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3DD1D551">
            <w:pPr>
              <w:jc w:val="center"/>
              <w:rPr>
                <w:rFonts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noWrap w:val="0"/>
            <w:vAlign w:val="center"/>
          </w:tcPr>
          <w:p w14:paraId="53ED9A3D">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47" w:type="dxa"/>
            <w:noWrap w:val="0"/>
            <w:vAlign w:val="center"/>
          </w:tcPr>
          <w:p w14:paraId="1E26F88D">
            <w:pPr>
              <w:spacing w:line="340" w:lineRule="exact"/>
              <w:jc w:val="center"/>
              <w:rPr>
                <w:rFonts w:hint="eastAsia" w:ascii="仿宋" w:hAnsi="仿宋" w:eastAsia="仿宋"/>
                <w:szCs w:val="21"/>
              </w:rPr>
            </w:pPr>
            <w:r>
              <w:rPr>
                <w:rFonts w:hint="eastAsia" w:ascii="仿宋" w:hAnsi="仿宋" w:eastAsia="仿宋"/>
                <w:szCs w:val="21"/>
              </w:rPr>
              <w:t>各专项技能</w:t>
            </w:r>
          </w:p>
        </w:tc>
        <w:tc>
          <w:tcPr>
            <w:tcW w:w="1349" w:type="dxa"/>
            <w:noWrap w:val="0"/>
            <w:vAlign w:val="center"/>
          </w:tcPr>
          <w:p w14:paraId="07A39017">
            <w:pPr>
              <w:jc w:val="center"/>
              <w:rPr>
                <w:rFonts w:ascii="仿宋" w:hAnsi="仿宋" w:eastAsia="仿宋"/>
                <w:szCs w:val="21"/>
              </w:rPr>
            </w:pPr>
            <w:r>
              <w:rPr>
                <w:rFonts w:hint="eastAsia" w:ascii="仿宋" w:hAnsi="仿宋" w:eastAsia="仿宋"/>
                <w:bCs/>
                <w:szCs w:val="21"/>
              </w:rPr>
              <w:t>8、9</w:t>
            </w:r>
          </w:p>
        </w:tc>
      </w:tr>
    </w:tbl>
    <w:p w14:paraId="1E047A30">
      <w:pPr>
        <w:pStyle w:val="4"/>
        <w:bidi w:val="0"/>
      </w:pPr>
      <w:r>
        <w:rPr>
          <w:rFonts w:hint="eastAsia"/>
        </w:rPr>
        <w:t>六</w:t>
      </w:r>
      <w:r>
        <w:t>、</w:t>
      </w:r>
      <w:r>
        <w:rPr>
          <w:rFonts w:hint="eastAsia"/>
        </w:rPr>
        <w:t>有关说明</w:t>
      </w:r>
    </w:p>
    <w:p w14:paraId="16ADCA0C">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071820E2">
      <w:pPr>
        <w:spacing w:line="360" w:lineRule="auto"/>
        <w:ind w:firstLine="480" w:firstLineChars="200"/>
        <w:rPr>
          <w:rFonts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71CC242B">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053BD098">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0D89E2A7">
      <w:pPr>
        <w:spacing w:line="360" w:lineRule="auto"/>
        <w:ind w:firstLine="480" w:firstLineChars="200"/>
        <w:jc w:val="left"/>
        <w:rPr>
          <w:rFonts w:ascii="仿宋" w:hAnsi="仿宋" w:eastAsia="仿宋"/>
          <w:sz w:val="24"/>
        </w:rPr>
      </w:pPr>
    </w:p>
    <w:p w14:paraId="66A14851">
      <w:pPr>
        <w:spacing w:line="360" w:lineRule="auto"/>
        <w:ind w:firstLine="480" w:firstLineChars="200"/>
        <w:jc w:val="left"/>
        <w:rPr>
          <w:rFonts w:ascii="仿宋" w:hAnsi="仿宋" w:eastAsia="仿宋"/>
          <w:sz w:val="24"/>
        </w:rPr>
      </w:pPr>
    </w:p>
    <w:p w14:paraId="13C5C038">
      <w:pPr>
        <w:spacing w:line="312" w:lineRule="auto"/>
        <w:rPr>
          <w:rFonts w:ascii="仿宋" w:hAnsi="仿宋" w:eastAsia="仿宋"/>
          <w:sz w:val="24"/>
        </w:rPr>
      </w:pPr>
    </w:p>
    <w:p w14:paraId="6756EEA0">
      <w:pPr>
        <w:wordWrap w:val="0"/>
        <w:spacing w:line="360" w:lineRule="exact"/>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 xml:space="preserve">    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 xml:space="preserve">人：顾 </w:t>
      </w:r>
      <w:r>
        <w:rPr>
          <w:rFonts w:ascii="仿宋" w:hAnsi="仿宋" w:eastAsia="仿宋"/>
          <w:sz w:val="24"/>
        </w:rPr>
        <w:t xml:space="preserve"> </w:t>
      </w:r>
      <w:r>
        <w:rPr>
          <w:rFonts w:hint="eastAsia" w:ascii="仿宋" w:hAnsi="仿宋" w:eastAsia="仿宋"/>
          <w:sz w:val="24"/>
        </w:rPr>
        <w:t>宏</w:t>
      </w:r>
    </w:p>
    <w:p w14:paraId="61374662">
      <w:pPr>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人：方曙</w:t>
      </w:r>
      <w:r>
        <w:rPr>
          <w:rFonts w:ascii="仿宋" w:hAnsi="仿宋" w:eastAsia="仿宋"/>
          <w:sz w:val="24"/>
        </w:rPr>
        <w:t>光</w:t>
      </w:r>
    </w:p>
    <w:p w14:paraId="1F4E1510">
      <w:pPr>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w:t>
      </w:r>
      <w:r>
        <w:rPr>
          <w:rFonts w:ascii="仿宋" w:hAnsi="仿宋" w:eastAsia="仿宋"/>
          <w:sz w:val="24"/>
        </w:rPr>
        <w:t>福</w:t>
      </w:r>
    </w:p>
    <w:p w14:paraId="03C15913">
      <w:pPr>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2A49642E">
      <w:pPr>
        <w:jc w:val="right"/>
        <w:rPr>
          <w:rFonts w:ascii="Times New Roman" w:hAnsi="Times New Roman" w:eastAsia="宋体" w:cs="Times New Roman"/>
          <w:sz w:val="24"/>
          <w:szCs w:val="24"/>
        </w:rPr>
      </w:pPr>
    </w:p>
    <w:p w14:paraId="53DC3176">
      <w:pPr>
        <w:jc w:val="right"/>
        <w:rPr>
          <w:rFonts w:ascii="Times New Roman" w:hAnsi="Times New Roman" w:eastAsia="宋体" w:cs="Times New Roman"/>
          <w:sz w:val="24"/>
          <w:szCs w:val="24"/>
        </w:rPr>
      </w:pPr>
    </w:p>
    <w:p w14:paraId="2A9F9C5D">
      <w:pPr>
        <w:jc w:val="right"/>
        <w:rPr>
          <w:rFonts w:ascii="Times New Roman" w:hAnsi="Times New Roman" w:eastAsia="宋体" w:cs="Times New Roman"/>
          <w:sz w:val="24"/>
          <w:szCs w:val="24"/>
        </w:rPr>
      </w:pPr>
    </w:p>
    <w:p w14:paraId="43E32483">
      <w:pPr>
        <w:jc w:val="right"/>
        <w:rPr>
          <w:rFonts w:ascii="Times New Roman" w:hAnsi="Times New Roman" w:eastAsia="宋体" w:cs="Times New Roman"/>
          <w:sz w:val="24"/>
          <w:szCs w:val="24"/>
        </w:rPr>
      </w:pPr>
    </w:p>
    <w:p w14:paraId="6FA6859D">
      <w:pPr>
        <w:jc w:val="right"/>
        <w:rPr>
          <w:rFonts w:ascii="Times New Roman" w:hAnsi="Times New Roman" w:eastAsia="宋体" w:cs="Times New Roman"/>
          <w:sz w:val="24"/>
          <w:szCs w:val="24"/>
        </w:rPr>
      </w:pPr>
    </w:p>
    <w:p w14:paraId="67D04A50">
      <w:pPr>
        <w:jc w:val="right"/>
        <w:rPr>
          <w:rFonts w:ascii="Times New Roman" w:hAnsi="Times New Roman" w:eastAsia="宋体" w:cs="Times New Roman"/>
          <w:sz w:val="24"/>
          <w:szCs w:val="24"/>
        </w:rPr>
      </w:pPr>
    </w:p>
    <w:p w14:paraId="22431FA6">
      <w:pPr>
        <w:jc w:val="right"/>
        <w:rPr>
          <w:rFonts w:ascii="Times New Roman" w:hAnsi="Times New Roman" w:eastAsia="宋体" w:cs="Times New Roman"/>
          <w:sz w:val="24"/>
          <w:szCs w:val="24"/>
        </w:rPr>
      </w:pPr>
    </w:p>
    <w:p w14:paraId="4F4B836D">
      <w:pPr>
        <w:jc w:val="right"/>
        <w:rPr>
          <w:rFonts w:ascii="Times New Roman" w:hAnsi="Times New Roman" w:eastAsia="宋体" w:cs="Times New Roman"/>
          <w:sz w:val="24"/>
          <w:szCs w:val="24"/>
        </w:rPr>
      </w:pPr>
    </w:p>
    <w:p w14:paraId="5B421F5F">
      <w:pPr>
        <w:jc w:val="right"/>
        <w:rPr>
          <w:rFonts w:ascii="Times New Roman" w:hAnsi="Times New Roman" w:eastAsia="宋体" w:cs="Times New Roman"/>
          <w:sz w:val="24"/>
          <w:szCs w:val="24"/>
        </w:rPr>
      </w:pPr>
    </w:p>
    <w:p w14:paraId="4D642637">
      <w:pPr>
        <w:jc w:val="right"/>
        <w:rPr>
          <w:rFonts w:ascii="Times New Roman" w:hAnsi="Times New Roman" w:eastAsia="宋体" w:cs="Times New Roman"/>
          <w:sz w:val="24"/>
          <w:szCs w:val="24"/>
        </w:rPr>
      </w:pPr>
    </w:p>
    <w:p w14:paraId="743596AE">
      <w:pPr>
        <w:jc w:val="right"/>
        <w:rPr>
          <w:rFonts w:ascii="Times New Roman" w:hAnsi="Times New Roman" w:eastAsia="宋体" w:cs="Times New Roman"/>
          <w:sz w:val="24"/>
          <w:szCs w:val="24"/>
        </w:rPr>
      </w:pPr>
    </w:p>
    <w:p w14:paraId="58AE51F7">
      <w:pPr>
        <w:jc w:val="right"/>
        <w:rPr>
          <w:rFonts w:ascii="Times New Roman" w:hAnsi="Times New Roman" w:eastAsia="宋体" w:cs="Times New Roman"/>
          <w:sz w:val="24"/>
          <w:szCs w:val="24"/>
        </w:rPr>
      </w:pPr>
    </w:p>
    <w:p w14:paraId="6AB4BD11">
      <w:pPr>
        <w:jc w:val="right"/>
        <w:rPr>
          <w:rFonts w:ascii="Times New Roman" w:hAnsi="Times New Roman" w:eastAsia="宋体" w:cs="Times New Roman"/>
          <w:sz w:val="24"/>
          <w:szCs w:val="24"/>
        </w:rPr>
      </w:pPr>
    </w:p>
    <w:p w14:paraId="76735338">
      <w:pPr>
        <w:jc w:val="right"/>
        <w:rPr>
          <w:rFonts w:ascii="Times New Roman" w:hAnsi="Times New Roman" w:eastAsia="宋体" w:cs="Times New Roman"/>
          <w:sz w:val="24"/>
          <w:szCs w:val="24"/>
        </w:rPr>
      </w:pPr>
    </w:p>
    <w:p w14:paraId="3FD9DD19">
      <w:pPr>
        <w:jc w:val="right"/>
        <w:rPr>
          <w:rFonts w:ascii="Times New Roman" w:hAnsi="Times New Roman" w:eastAsia="宋体" w:cs="Times New Roman"/>
          <w:sz w:val="24"/>
          <w:szCs w:val="24"/>
        </w:rPr>
      </w:pPr>
    </w:p>
    <w:p w14:paraId="0D1644F8">
      <w:pPr>
        <w:jc w:val="right"/>
        <w:rPr>
          <w:rFonts w:ascii="Times New Roman" w:hAnsi="Times New Roman" w:eastAsia="宋体" w:cs="Times New Roman"/>
          <w:sz w:val="24"/>
          <w:szCs w:val="24"/>
        </w:rPr>
      </w:pPr>
    </w:p>
    <w:p w14:paraId="6843B4C0">
      <w:pPr>
        <w:jc w:val="right"/>
        <w:rPr>
          <w:rFonts w:ascii="Times New Roman" w:hAnsi="Times New Roman" w:eastAsia="宋体" w:cs="Times New Roman"/>
          <w:sz w:val="24"/>
          <w:szCs w:val="24"/>
        </w:rPr>
      </w:pPr>
    </w:p>
    <w:p w14:paraId="511DFE3E">
      <w:pPr>
        <w:jc w:val="both"/>
        <w:rPr>
          <w:rFonts w:ascii="Times New Roman" w:hAnsi="Times New Roman" w:eastAsia="宋体" w:cs="Times New Roman"/>
          <w:sz w:val="24"/>
          <w:szCs w:val="24"/>
        </w:rPr>
      </w:pPr>
    </w:p>
    <w:p w14:paraId="3340E3C6">
      <w:pPr>
        <w:jc w:val="both"/>
        <w:rPr>
          <w:rFonts w:ascii="Times New Roman" w:hAnsi="Times New Roman" w:eastAsia="宋体" w:cs="Times New Roman"/>
          <w:sz w:val="24"/>
          <w:szCs w:val="24"/>
        </w:rPr>
        <w:sectPr>
          <w:pgSz w:w="11906" w:h="16838"/>
          <w:pgMar w:top="1440" w:right="1800" w:bottom="1440" w:left="1800" w:header="851" w:footer="992" w:gutter="0"/>
          <w:cols w:space="425" w:num="1"/>
          <w:docGrid w:type="lines" w:linePitch="312" w:charSpace="0"/>
        </w:sectPr>
      </w:pPr>
    </w:p>
    <w:p w14:paraId="1842B451">
      <w:pPr>
        <w:jc w:val="both"/>
        <w:rPr>
          <w:rFonts w:ascii="Times New Roman" w:hAnsi="Times New Roman" w:eastAsia="宋体" w:cs="Times New Roman"/>
          <w:sz w:val="24"/>
          <w:szCs w:val="24"/>
        </w:rPr>
      </w:pPr>
    </w:p>
    <w:p w14:paraId="4B3FD2E3">
      <w:pPr>
        <w:jc w:val="right"/>
        <w:rPr>
          <w:rFonts w:ascii="Times New Roman" w:hAnsi="Times New Roman" w:eastAsia="宋体" w:cs="Times New Roman"/>
          <w:sz w:val="24"/>
          <w:szCs w:val="24"/>
        </w:rPr>
      </w:pPr>
    </w:p>
    <w:p w14:paraId="7460C219">
      <w:pPr>
        <w:pStyle w:val="2"/>
        <w:bidi w:val="0"/>
      </w:pPr>
      <w:r>
        <w:rPr>
          <w:rFonts w:hint="eastAsia"/>
          <w:lang w:eastAsia="zh-CN"/>
        </w:rPr>
        <w:t>《</w:t>
      </w:r>
      <w:r>
        <w:rPr>
          <w:rFonts w:hint="eastAsia"/>
        </w:rPr>
        <w:t>体育IV</w:t>
      </w:r>
      <w:r>
        <w:rPr>
          <w:rFonts w:hint="eastAsia"/>
          <w:lang w:eastAsia="zh-CN"/>
        </w:rPr>
        <w:t>》</w:t>
      </w:r>
      <w:r>
        <w:t>课程教学大纲</w:t>
      </w:r>
    </w:p>
    <w:p w14:paraId="5483388C">
      <w:pPr>
        <w:pStyle w:val="3"/>
        <w:bidi w:val="0"/>
      </w:pPr>
      <w:r>
        <w:t>（Physical  Education I</w:t>
      </w:r>
      <w:r>
        <w:rPr>
          <w:rFonts w:hint="eastAsia"/>
        </w:rPr>
        <w:t>V</w:t>
      </w:r>
      <w:r>
        <w:t>）</w:t>
      </w:r>
    </w:p>
    <w:p w14:paraId="65B89DEF">
      <w:pPr>
        <w:pStyle w:val="4"/>
        <w:bidi w:val="0"/>
      </w:pPr>
      <w:r>
        <w:t>一、课程概况</w:t>
      </w:r>
    </w:p>
    <w:p w14:paraId="53BF899C">
      <w:pPr>
        <w:spacing w:line="360" w:lineRule="auto"/>
        <w:ind w:firstLine="482" w:firstLineChars="200"/>
        <w:rPr>
          <w:rFonts w:ascii="仿宋" w:hAnsi="仿宋" w:eastAsia="仿宋"/>
          <w:bCs/>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1102020</w:t>
      </w:r>
    </w:p>
    <w:p w14:paraId="752E3128">
      <w:pPr>
        <w:spacing w:line="360" w:lineRule="auto"/>
        <w:ind w:firstLine="482" w:firstLineChars="200"/>
        <w:rPr>
          <w:rFonts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0.75</w:t>
      </w:r>
    </w:p>
    <w:p w14:paraId="3876FD05">
      <w:pPr>
        <w:spacing w:line="360" w:lineRule="auto"/>
        <w:ind w:firstLine="482" w:firstLineChars="200"/>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hint="eastAsia" w:ascii="仿宋" w:hAnsi="仿宋" w:eastAsia="仿宋"/>
          <w:kern w:val="0"/>
          <w:sz w:val="24"/>
        </w:rPr>
        <w:t>3</w:t>
      </w:r>
      <w:r>
        <w:rPr>
          <w:rFonts w:ascii="仿宋" w:hAnsi="仿宋" w:eastAsia="仿宋"/>
          <w:kern w:val="0"/>
          <w:sz w:val="24"/>
        </w:rPr>
        <w:t>0</w:t>
      </w:r>
    </w:p>
    <w:p w14:paraId="60E4F397">
      <w:pPr>
        <w:spacing w:line="360" w:lineRule="auto"/>
        <w:ind w:firstLine="482" w:firstLineChars="200"/>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ascii="仿宋" w:hAnsi="仿宋" w:eastAsia="仿宋"/>
          <w:kern w:val="0"/>
          <w:sz w:val="24"/>
        </w:rPr>
        <w:t xml:space="preserve"> </w:t>
      </w:r>
      <w:r>
        <w:rPr>
          <w:rFonts w:hint="eastAsia" w:ascii="仿宋" w:hAnsi="仿宋" w:eastAsia="仿宋"/>
          <w:kern w:val="0"/>
          <w:sz w:val="24"/>
        </w:rPr>
        <w:t>全校各专业</w:t>
      </w:r>
      <w:r>
        <w:rPr>
          <w:rFonts w:ascii="仿宋" w:hAnsi="仿宋" w:eastAsia="仿宋"/>
          <w:kern w:val="0"/>
          <w:sz w:val="24"/>
        </w:rPr>
        <w:t xml:space="preserve">                        </w:t>
      </w:r>
    </w:p>
    <w:p w14:paraId="3D42EB24">
      <w:pPr>
        <w:spacing w:line="360" w:lineRule="auto"/>
        <w:ind w:firstLine="482" w:firstLineChars="200"/>
        <w:rPr>
          <w:rFonts w:ascii="仿宋" w:hAnsi="仿宋" w:eastAsia="仿宋"/>
          <w:kern w:val="0"/>
          <w:sz w:val="24"/>
        </w:rPr>
      </w:pPr>
      <w:r>
        <w:rPr>
          <w:rFonts w:hint="eastAsia" w:ascii="仿宋" w:hAnsi="仿宋" w:eastAsia="仿宋"/>
          <w:b/>
          <w:bCs/>
          <w:kern w:val="0"/>
          <w:sz w:val="24"/>
        </w:rPr>
        <w:t>建议</w:t>
      </w:r>
      <w:r>
        <w:rPr>
          <w:rFonts w:ascii="仿宋" w:hAnsi="仿宋" w:eastAsia="仿宋"/>
          <w:b/>
          <w:bCs/>
          <w:kern w:val="0"/>
          <w:sz w:val="24"/>
        </w:rPr>
        <w:t>教材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73DECADA">
      <w:pPr>
        <w:spacing w:line="360" w:lineRule="auto"/>
        <w:ind w:firstLine="482" w:firstLineChars="200"/>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68DAD4C9">
      <w:pPr>
        <w:autoSpaceDE w:val="0"/>
        <w:autoSpaceDN w:val="0"/>
        <w:adjustRightInd w:val="0"/>
        <w:spacing w:line="420" w:lineRule="exact"/>
        <w:ind w:firstLine="482" w:firstLineChars="200"/>
        <w:jc w:val="left"/>
        <w:rPr>
          <w:rFonts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二学年第二、四学期进行。课程主要内容包括篮球、足球、排球、羽毛球、乒乓球、网球、武术、手球、健美（男）、健美操（女）、艺术体操、跆拳道、散</w:t>
      </w:r>
      <w:r>
        <w:rPr>
          <w:rFonts w:ascii="仿宋" w:hAnsi="仿宋" w:eastAsia="仿宋"/>
          <w:sz w:val="24"/>
        </w:rPr>
        <w:t>打</w:t>
      </w:r>
      <w:r>
        <w:rPr>
          <w:rFonts w:hint="eastAsia" w:ascii="仿宋" w:hAnsi="仿宋" w:eastAsia="仿宋"/>
          <w:sz w:val="24"/>
        </w:rPr>
        <w:t>、瑜伽、体育舞蹈和体育保健等项目。</w:t>
      </w:r>
    </w:p>
    <w:p w14:paraId="4A97BFB7">
      <w:pPr>
        <w:spacing w:line="420" w:lineRule="exact"/>
        <w:ind w:firstLine="480" w:firstLineChars="200"/>
        <w:jc w:val="left"/>
        <w:rPr>
          <w:rFonts w:ascii="仿宋" w:hAnsi="仿宋" w:eastAsia="仿宋"/>
          <w:sz w:val="24"/>
        </w:rPr>
      </w:pPr>
      <w:r>
        <w:rPr>
          <w:rFonts w:hint="eastAsia" w:ascii="仿宋" w:hAnsi="仿宋" w:eastAsia="仿宋"/>
          <w:sz w:val="24"/>
        </w:rPr>
        <w:t>通过本课程的学习，使学生较全面、系统地掌握所学项目的基本理论知识，正确、熟练地掌握所学</w:t>
      </w:r>
      <w:r>
        <w:rPr>
          <w:rFonts w:ascii="仿宋" w:hAnsi="仿宋" w:eastAsia="仿宋"/>
          <w:sz w:val="24"/>
        </w:rPr>
        <w:t>项目</w:t>
      </w:r>
      <w:r>
        <w:rPr>
          <w:rFonts w:hint="eastAsia" w:ascii="仿宋" w:hAnsi="仿宋" w:eastAsia="仿宋"/>
          <w:sz w:val="24"/>
        </w:rPr>
        <w:t>基本技术和战术，发展专项身体素质，并能在比赛或练习中灵活运用，从而提高学生的身体素质和促进学生身心健康发展。通过融入社会主义核心价值观、做人做事的道理和体育精神等课程思政元素，培养学生的爱国情怀、良好的体育道德风尚、团队精神、体育文化素养和顽强的意志品质。基本形成终身体育意识和自觉锻炼习惯。</w:t>
      </w:r>
    </w:p>
    <w:p w14:paraId="72F874EC">
      <w:pPr>
        <w:pStyle w:val="4"/>
        <w:bidi w:val="0"/>
      </w:pPr>
      <w:r>
        <w:rPr>
          <w:rFonts w:hint="eastAsia"/>
        </w:rPr>
        <w:t>二</w:t>
      </w:r>
      <w:r>
        <w:t>、课程目标</w:t>
      </w:r>
      <w:r>
        <w:rPr>
          <w:rFonts w:hint="eastAsia"/>
        </w:rPr>
        <w:t>与毕业要求指标点对应关系</w:t>
      </w:r>
    </w:p>
    <w:p w14:paraId="5D3E7DE5">
      <w:pPr>
        <w:spacing w:line="360" w:lineRule="auto"/>
        <w:ind w:firstLine="480" w:firstLineChars="200"/>
        <w:rPr>
          <w:rFonts w:ascii="仿宋" w:hAnsi="仿宋" w:eastAsia="仿宋"/>
          <w:sz w:val="24"/>
        </w:rPr>
      </w:pPr>
      <w:r>
        <w:rPr>
          <w:rFonts w:hint="eastAsia" w:ascii="仿宋" w:hAnsi="仿宋" w:eastAsia="仿宋"/>
          <w:sz w:val="24"/>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4483F7B5">
      <w:pPr>
        <w:spacing w:line="360" w:lineRule="auto"/>
        <w:ind w:firstLine="480" w:firstLineChars="200"/>
        <w:rPr>
          <w:rFonts w:ascii="仿宋" w:hAnsi="仿宋" w:eastAsia="仿宋"/>
          <w:sz w:val="24"/>
        </w:rPr>
      </w:pPr>
      <w:r>
        <w:rPr>
          <w:rFonts w:hint="eastAsia" w:ascii="仿宋" w:hAnsi="仿宋" w:eastAsia="仿宋"/>
          <w:sz w:val="24"/>
        </w:rPr>
        <w:t>目标</w:t>
      </w:r>
      <w:r>
        <w:rPr>
          <w:rFonts w:ascii="仿宋" w:hAnsi="仿宋" w:eastAsia="仿宋"/>
          <w:sz w:val="24"/>
        </w:rPr>
        <w:t>2</w:t>
      </w:r>
      <w:r>
        <w:rPr>
          <w:rFonts w:hint="eastAsia" w:ascii="仿宋" w:hAnsi="仿宋" w:eastAsia="仿宋"/>
          <w:sz w:val="24"/>
        </w:rPr>
        <w:t>：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6C957D5C">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5000" w:type="pct"/>
        <w:tblInd w:w="113" w:type="dxa"/>
        <w:tblLayout w:type="autofit"/>
        <w:tblCellMar>
          <w:top w:w="0" w:type="dxa"/>
          <w:left w:w="108" w:type="dxa"/>
          <w:bottom w:w="0" w:type="dxa"/>
          <w:right w:w="108" w:type="dxa"/>
        </w:tblCellMar>
      </w:tblPr>
      <w:tblGrid>
        <w:gridCol w:w="1701"/>
        <w:gridCol w:w="947"/>
        <w:gridCol w:w="947"/>
        <w:gridCol w:w="947"/>
        <w:gridCol w:w="947"/>
        <w:gridCol w:w="947"/>
        <w:gridCol w:w="947"/>
        <w:gridCol w:w="947"/>
        <w:gridCol w:w="956"/>
      </w:tblGrid>
      <w:tr w14:paraId="6C354A7C">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2D97F21">
            <w:pPr>
              <w:widowControl/>
              <w:jc w:val="center"/>
              <w:rPr>
                <w:rFonts w:ascii="仿宋" w:hAnsi="仿宋" w:eastAsia="仿宋"/>
                <w:kern w:val="0"/>
                <w:szCs w:val="21"/>
              </w:rPr>
            </w:pPr>
            <w:r>
              <w:rPr>
                <w:rFonts w:ascii="仿宋" w:hAnsi="仿宋" w:eastAsia="仿宋"/>
                <w:kern w:val="0"/>
                <w:szCs w:val="21"/>
              </w:rPr>
              <w:t>毕业要求</w:t>
            </w:r>
          </w:p>
          <w:p w14:paraId="3D883A0C">
            <w:pPr>
              <w:widowControl/>
              <w:jc w:val="center"/>
              <w:rPr>
                <w:rFonts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2E201F4C">
            <w:pPr>
              <w:widowControl/>
              <w:jc w:val="center"/>
              <w:rPr>
                <w:rFonts w:ascii="仿宋" w:hAnsi="仿宋" w:eastAsia="仿宋"/>
                <w:kern w:val="0"/>
                <w:szCs w:val="21"/>
              </w:rPr>
            </w:pPr>
            <w:r>
              <w:rPr>
                <w:rFonts w:ascii="仿宋" w:hAnsi="仿宋" w:eastAsia="仿宋"/>
                <w:kern w:val="0"/>
                <w:szCs w:val="21"/>
              </w:rPr>
              <w:t>课程目标</w:t>
            </w:r>
          </w:p>
        </w:tc>
      </w:tr>
      <w:tr w14:paraId="6CC11F22">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AF858E">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9B41EA4">
            <w:pPr>
              <w:widowControl/>
              <w:jc w:val="center"/>
              <w:rPr>
                <w:rFonts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7A97D722">
            <w:pPr>
              <w:widowControl/>
              <w:jc w:val="center"/>
              <w:rPr>
                <w:rFonts w:ascii="仿宋" w:hAnsi="仿宋" w:eastAsia="仿宋"/>
                <w:kern w:val="0"/>
                <w:szCs w:val="21"/>
              </w:rPr>
            </w:pPr>
            <w:r>
              <w:rPr>
                <w:rFonts w:ascii="仿宋" w:hAnsi="仿宋" w:eastAsia="仿宋"/>
                <w:kern w:val="0"/>
                <w:szCs w:val="21"/>
              </w:rPr>
              <w:t>目标2</w:t>
            </w:r>
          </w:p>
        </w:tc>
        <w:tc>
          <w:tcPr>
            <w:tcW w:w="510" w:type="pct"/>
            <w:tcBorders>
              <w:top w:val="nil"/>
              <w:left w:val="nil"/>
              <w:bottom w:val="single" w:color="auto" w:sz="4" w:space="0"/>
              <w:right w:val="single" w:color="auto" w:sz="4" w:space="0"/>
            </w:tcBorders>
            <w:shd w:val="clear" w:color="auto" w:fill="FFFFFF"/>
            <w:noWrap/>
            <w:vAlign w:val="center"/>
          </w:tcPr>
          <w:p w14:paraId="6A6A202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273BCA4">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31208A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232738C">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34EAF8C5">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397F7AED">
            <w:pPr>
              <w:widowControl/>
              <w:jc w:val="center"/>
              <w:rPr>
                <w:rFonts w:ascii="仿宋" w:hAnsi="仿宋" w:eastAsia="仿宋"/>
                <w:kern w:val="0"/>
                <w:szCs w:val="21"/>
              </w:rPr>
            </w:pPr>
          </w:p>
        </w:tc>
      </w:tr>
      <w:tr w14:paraId="701AB2C7">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11CB3023">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24AF0917">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3EFC03F6">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2C6FFCCA">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557C23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02C26D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3FC4EF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5AAA17F">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05193DB5">
            <w:pPr>
              <w:widowControl/>
              <w:jc w:val="center"/>
              <w:rPr>
                <w:rFonts w:ascii="仿宋" w:hAnsi="仿宋" w:eastAsia="仿宋"/>
                <w:kern w:val="0"/>
                <w:szCs w:val="21"/>
              </w:rPr>
            </w:pPr>
          </w:p>
        </w:tc>
      </w:tr>
      <w:tr w14:paraId="5BD40229">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54750D2D">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371F90F3">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D52FDE7">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7F62A3F1">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BAA60E8">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DE8A400">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F3FDAB5">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540CBB42">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04F081E7">
            <w:pPr>
              <w:widowControl/>
              <w:jc w:val="center"/>
              <w:rPr>
                <w:rFonts w:ascii="仿宋" w:hAnsi="仿宋" w:eastAsia="仿宋"/>
                <w:kern w:val="0"/>
                <w:szCs w:val="21"/>
              </w:rPr>
            </w:pPr>
          </w:p>
        </w:tc>
      </w:tr>
    </w:tbl>
    <w:p w14:paraId="468A6FD6">
      <w:pPr>
        <w:pStyle w:val="4"/>
        <w:bidi w:val="0"/>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014"/>
        <w:gridCol w:w="1005"/>
        <w:gridCol w:w="2154"/>
        <w:gridCol w:w="717"/>
        <w:gridCol w:w="862"/>
        <w:gridCol w:w="966"/>
      </w:tblGrid>
      <w:tr w14:paraId="10CD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D495846">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3940AC15">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5640CF47">
            <w:pPr>
              <w:jc w:val="center"/>
              <w:rPr>
                <w:rFonts w:ascii="仿宋" w:hAnsi="仿宋" w:eastAsia="仿宋"/>
                <w:b/>
                <w:bCs/>
                <w:szCs w:val="21"/>
              </w:rPr>
            </w:pPr>
            <w:r>
              <w:rPr>
                <w:rFonts w:ascii="仿宋" w:hAnsi="仿宋" w:eastAsia="仿宋"/>
                <w:b/>
                <w:bCs/>
                <w:szCs w:val="21"/>
              </w:rPr>
              <w:t>思政</w:t>
            </w:r>
          </w:p>
          <w:p w14:paraId="2A76E398">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07C8B1D3">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7A7BA6B6">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0D4141B9">
            <w:pPr>
              <w:jc w:val="center"/>
              <w:rPr>
                <w:rFonts w:ascii="仿宋" w:hAnsi="仿宋" w:eastAsia="仿宋"/>
                <w:b/>
                <w:bCs/>
                <w:szCs w:val="21"/>
              </w:rPr>
            </w:pPr>
            <w:r>
              <w:rPr>
                <w:rFonts w:ascii="仿宋" w:hAnsi="仿宋" w:eastAsia="仿宋"/>
                <w:b/>
                <w:bCs/>
                <w:szCs w:val="21"/>
              </w:rPr>
              <w:t>教学</w:t>
            </w:r>
          </w:p>
          <w:p w14:paraId="150FEAD5">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4132C467">
            <w:pPr>
              <w:jc w:val="center"/>
              <w:rPr>
                <w:rFonts w:ascii="仿宋" w:hAnsi="仿宋" w:eastAsia="仿宋"/>
                <w:b/>
                <w:bCs/>
                <w:szCs w:val="21"/>
              </w:rPr>
            </w:pPr>
            <w:r>
              <w:rPr>
                <w:rFonts w:ascii="仿宋" w:hAnsi="仿宋" w:eastAsia="仿宋"/>
                <w:b/>
                <w:bCs/>
                <w:szCs w:val="21"/>
              </w:rPr>
              <w:t>支撑课程目标</w:t>
            </w:r>
          </w:p>
        </w:tc>
      </w:tr>
      <w:tr w14:paraId="3720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0ED05B39">
            <w:pPr>
              <w:jc w:val="center"/>
              <w:rPr>
                <w:rFonts w:ascii="仿宋" w:hAnsi="仿宋" w:eastAsia="仿宋"/>
                <w:szCs w:val="21"/>
              </w:rPr>
            </w:pPr>
            <w:r>
              <w:rPr>
                <w:rFonts w:ascii="仿宋" w:hAnsi="仿宋" w:eastAsia="仿宋"/>
                <w:szCs w:val="21"/>
              </w:rPr>
              <w:t>1</w:t>
            </w:r>
          </w:p>
        </w:tc>
        <w:tc>
          <w:tcPr>
            <w:tcW w:w="1623" w:type="pct"/>
            <w:noWrap w:val="0"/>
            <w:vAlign w:val="center"/>
          </w:tcPr>
          <w:p w14:paraId="63B9854D">
            <w:pPr>
              <w:jc w:val="left"/>
              <w:rPr>
                <w:rFonts w:ascii="仿宋" w:hAnsi="仿宋" w:eastAsia="仿宋"/>
                <w:b/>
                <w:szCs w:val="21"/>
              </w:rPr>
            </w:pPr>
            <w:r>
              <w:rPr>
                <w:rFonts w:hint="eastAsia" w:ascii="仿宋" w:hAnsi="仿宋" w:eastAsia="仿宋"/>
                <w:b/>
                <w:szCs w:val="21"/>
              </w:rPr>
              <w:t>㈠体育理论部分:</w:t>
            </w:r>
          </w:p>
          <w:p w14:paraId="5054D837">
            <w:pPr>
              <w:jc w:val="left"/>
              <w:rPr>
                <w:rFonts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6FB4ADC3">
            <w:pPr>
              <w:jc w:val="left"/>
              <w:rPr>
                <w:rFonts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268DA24E">
            <w:pPr>
              <w:jc w:val="left"/>
              <w:rPr>
                <w:rFonts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573C02D1">
            <w:pPr>
              <w:ind w:right="-170" w:rightChars="-81"/>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4CC58F11">
            <w:pPr>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noWrap w:val="0"/>
            <w:vAlign w:val="center"/>
          </w:tcPr>
          <w:p w14:paraId="1A25F0C4">
            <w:pPr>
              <w:jc w:val="center"/>
              <w:rPr>
                <w:rFonts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noWrap w:val="0"/>
            <w:vAlign w:val="center"/>
          </w:tcPr>
          <w:p w14:paraId="4398F89D">
            <w:pPr>
              <w:autoSpaceDE w:val="0"/>
              <w:autoSpaceDN w:val="0"/>
              <w:adjustRightInd w:val="0"/>
              <w:jc w:val="left"/>
              <w:rPr>
                <w:rFonts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247A487F">
            <w:pPr>
              <w:jc w:val="center"/>
              <w:rPr>
                <w:rFonts w:ascii="仿宋" w:hAnsi="仿宋" w:eastAsia="仿宋"/>
                <w:szCs w:val="21"/>
              </w:rPr>
            </w:pPr>
            <w:r>
              <w:rPr>
                <w:rFonts w:ascii="仿宋" w:hAnsi="仿宋" w:eastAsia="仿宋"/>
                <w:szCs w:val="21"/>
              </w:rPr>
              <w:t>4</w:t>
            </w:r>
          </w:p>
        </w:tc>
        <w:tc>
          <w:tcPr>
            <w:tcW w:w="464" w:type="pct"/>
            <w:noWrap w:val="0"/>
            <w:vAlign w:val="center"/>
          </w:tcPr>
          <w:p w14:paraId="77517954">
            <w:pPr>
              <w:jc w:val="left"/>
              <w:rPr>
                <w:rFonts w:ascii="仿宋" w:hAnsi="仿宋" w:eastAsia="仿宋"/>
                <w:szCs w:val="21"/>
              </w:rPr>
            </w:pPr>
            <w:r>
              <w:rPr>
                <w:rFonts w:hint="eastAsia" w:ascii="仿宋" w:hAnsi="仿宋" w:eastAsia="仿宋"/>
                <w:szCs w:val="21"/>
              </w:rPr>
              <w:t>讲授法</w:t>
            </w:r>
          </w:p>
        </w:tc>
        <w:tc>
          <w:tcPr>
            <w:tcW w:w="520" w:type="pct"/>
            <w:noWrap w:val="0"/>
            <w:vAlign w:val="center"/>
          </w:tcPr>
          <w:p w14:paraId="60386085">
            <w:pPr>
              <w:jc w:val="left"/>
              <w:rPr>
                <w:rFonts w:ascii="仿宋" w:hAnsi="仿宋" w:eastAsia="仿宋"/>
                <w:szCs w:val="21"/>
              </w:rPr>
            </w:pPr>
            <w:r>
              <w:rPr>
                <w:rFonts w:hint="eastAsia" w:ascii="仿宋" w:hAnsi="仿宋" w:eastAsia="仿宋"/>
                <w:szCs w:val="21"/>
              </w:rPr>
              <w:t>目标1目标2</w:t>
            </w:r>
          </w:p>
        </w:tc>
      </w:tr>
      <w:tr w14:paraId="339C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7866CD1C">
            <w:pPr>
              <w:jc w:val="center"/>
              <w:rPr>
                <w:rFonts w:ascii="仿宋" w:hAnsi="仿宋" w:eastAsia="仿宋"/>
                <w:szCs w:val="21"/>
              </w:rPr>
            </w:pPr>
            <w:r>
              <w:rPr>
                <w:rFonts w:ascii="仿宋" w:hAnsi="仿宋" w:eastAsia="仿宋"/>
                <w:szCs w:val="21"/>
              </w:rPr>
              <w:t>2</w:t>
            </w:r>
          </w:p>
        </w:tc>
        <w:tc>
          <w:tcPr>
            <w:tcW w:w="1623" w:type="pct"/>
            <w:noWrap w:val="0"/>
            <w:vAlign w:val="center"/>
          </w:tcPr>
          <w:p w14:paraId="0D90C695">
            <w:pPr>
              <w:jc w:val="left"/>
              <w:rPr>
                <w:rFonts w:ascii="仿宋" w:hAnsi="仿宋" w:eastAsia="仿宋"/>
                <w:b/>
                <w:szCs w:val="21"/>
              </w:rPr>
            </w:pPr>
            <w:r>
              <w:rPr>
                <w:rFonts w:hint="eastAsia" w:ascii="仿宋" w:hAnsi="仿宋" w:eastAsia="仿宋"/>
                <w:b/>
                <w:szCs w:val="21"/>
              </w:rPr>
              <w:t>㈡实践部分：</w:t>
            </w:r>
          </w:p>
          <w:p w14:paraId="032BEB6E">
            <w:pPr>
              <w:rPr>
                <w:rFonts w:ascii="仿宋" w:hAnsi="仿宋" w:eastAsia="仿宋"/>
                <w:bCs/>
              </w:rPr>
            </w:pPr>
            <w:r>
              <w:rPr>
                <w:rFonts w:hint="eastAsia" w:ascii="仿宋" w:hAnsi="仿宋" w:eastAsia="仿宋"/>
                <w:bCs/>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4FF97A37">
            <w:pPr>
              <w:rPr>
                <w:rFonts w:ascii="仿宋" w:hAnsi="仿宋" w:eastAsia="仿宋"/>
                <w:bCs/>
              </w:rPr>
            </w:pPr>
            <w:r>
              <w:rPr>
                <w:rFonts w:hint="eastAsia" w:ascii="仿宋" w:hAnsi="仿宋" w:eastAsia="仿宋"/>
                <w:b/>
                <w:bCs/>
              </w:rPr>
              <w:t>重点：</w:t>
            </w:r>
            <w:r>
              <w:rPr>
                <w:rFonts w:hint="eastAsia" w:ascii="仿宋" w:hAnsi="仿宋" w:eastAsia="仿宋"/>
                <w:bCs/>
              </w:rPr>
              <w:t>掌握所学项目基本技能、规则及锻炼方法。</w:t>
            </w:r>
          </w:p>
          <w:p w14:paraId="4C04CBAD">
            <w:pPr>
              <w:rPr>
                <w:rFonts w:ascii="仿宋" w:hAnsi="仿宋" w:eastAsia="仿宋"/>
                <w:bCs/>
              </w:rPr>
            </w:pPr>
            <w:r>
              <w:rPr>
                <w:rFonts w:hint="eastAsia" w:ascii="仿宋" w:hAnsi="仿宋" w:eastAsia="仿宋"/>
                <w:b/>
                <w:bCs/>
              </w:rPr>
              <w:t>难点：</w:t>
            </w:r>
            <w:r>
              <w:rPr>
                <w:rFonts w:hint="eastAsia" w:ascii="仿宋" w:hAnsi="仿宋" w:eastAsia="仿宋"/>
                <w:bCs/>
              </w:rPr>
              <w:t>合理运用所学</w:t>
            </w:r>
            <w:r>
              <w:rPr>
                <w:rFonts w:ascii="仿宋" w:hAnsi="仿宋" w:eastAsia="仿宋"/>
                <w:bCs/>
              </w:rPr>
              <w:t>项目</w:t>
            </w:r>
            <w:r>
              <w:rPr>
                <w:rFonts w:hint="eastAsia" w:ascii="仿宋" w:hAnsi="仿宋" w:eastAsia="仿宋"/>
                <w:bCs/>
              </w:rPr>
              <w:t>技能，自</w:t>
            </w:r>
            <w:r>
              <w:rPr>
                <w:rFonts w:ascii="仿宋" w:hAnsi="仿宋" w:eastAsia="仿宋"/>
                <w:bCs/>
              </w:rPr>
              <w:t>主</w:t>
            </w:r>
            <w:r>
              <w:rPr>
                <w:rFonts w:hint="eastAsia" w:ascii="仿宋" w:hAnsi="仿宋" w:eastAsia="仿宋"/>
                <w:bCs/>
              </w:rPr>
              <w:t>和</w:t>
            </w:r>
            <w:r>
              <w:rPr>
                <w:rFonts w:ascii="仿宋" w:hAnsi="仿宋" w:eastAsia="仿宋"/>
                <w:bCs/>
              </w:rPr>
              <w:t>自觉锻炼</w:t>
            </w:r>
            <w:r>
              <w:rPr>
                <w:rFonts w:hint="eastAsia" w:ascii="仿宋" w:hAnsi="仿宋" w:eastAsia="仿宋"/>
                <w:bCs/>
              </w:rPr>
              <w:t>意识，发展体育精神。</w:t>
            </w:r>
          </w:p>
        </w:tc>
        <w:tc>
          <w:tcPr>
            <w:tcW w:w="541" w:type="pct"/>
            <w:noWrap w:val="0"/>
            <w:vAlign w:val="center"/>
          </w:tcPr>
          <w:p w14:paraId="4650A5F5">
            <w:pPr>
              <w:widowControl/>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noWrap w:val="0"/>
            <w:vAlign w:val="center"/>
          </w:tcPr>
          <w:p w14:paraId="32D5E25B">
            <w:pPr>
              <w:rPr>
                <w:rFonts w:ascii="仿宋" w:hAnsi="仿宋" w:eastAsia="仿宋"/>
                <w:szCs w:val="21"/>
              </w:rPr>
            </w:pPr>
            <w:r>
              <w:rPr>
                <w:rFonts w:hint="eastAsia" w:ascii="仿宋" w:hAnsi="仿宋" w:eastAsia="仿宋"/>
                <w:szCs w:val="21"/>
              </w:rPr>
              <w:t>通过</w:t>
            </w:r>
            <w:r>
              <w:rPr>
                <w:rFonts w:ascii="仿宋" w:hAnsi="仿宋" w:eastAsia="仿宋"/>
                <w:szCs w:val="21"/>
              </w:rPr>
              <w:t>学习，</w:t>
            </w:r>
            <w:r>
              <w:rPr>
                <w:rFonts w:hint="eastAsia" w:ascii="仿宋" w:hAnsi="仿宋" w:eastAsia="仿宋"/>
                <w:kern w:val="0"/>
                <w:szCs w:val="21"/>
              </w:rPr>
              <w:t>使学生了解和掌握所选运动项目的基本知识、基本技术和锻炼方法；爱好并积极参与各种体育运动，发展学生速度、灵敏、耐力等身体素质，增强体质</w:t>
            </w:r>
            <w:r>
              <w:rPr>
                <w:rFonts w:hint="eastAsia" w:ascii="仿宋" w:hAnsi="仿宋" w:eastAsia="仿宋"/>
                <w:szCs w:val="21"/>
              </w:rPr>
              <w:t>；培养团结协作的集体主义精神和顽强拼搏的竞争意识；达到“国家体质健康标准”</w:t>
            </w:r>
            <w:r>
              <w:rPr>
                <w:rFonts w:hint="eastAsia" w:ascii="仿宋" w:hAnsi="仿宋" w:eastAsia="仿宋"/>
                <w:kern w:val="0"/>
                <w:szCs w:val="21"/>
              </w:rPr>
              <w:t>。</w:t>
            </w:r>
          </w:p>
        </w:tc>
        <w:tc>
          <w:tcPr>
            <w:tcW w:w="386" w:type="pct"/>
            <w:noWrap w:val="0"/>
            <w:vAlign w:val="center"/>
          </w:tcPr>
          <w:p w14:paraId="6277A437">
            <w:pPr>
              <w:jc w:val="center"/>
              <w:rPr>
                <w:rFonts w:ascii="仿宋" w:hAnsi="仿宋" w:eastAsia="仿宋"/>
                <w:szCs w:val="21"/>
              </w:rPr>
            </w:pPr>
            <w:r>
              <w:rPr>
                <w:rFonts w:hint="eastAsia" w:ascii="仿宋" w:hAnsi="仿宋" w:eastAsia="仿宋"/>
                <w:szCs w:val="21"/>
              </w:rPr>
              <w:t>2</w:t>
            </w:r>
            <w:r>
              <w:rPr>
                <w:rFonts w:ascii="仿宋" w:hAnsi="仿宋" w:eastAsia="仿宋"/>
                <w:szCs w:val="21"/>
              </w:rPr>
              <w:t>6</w:t>
            </w:r>
          </w:p>
        </w:tc>
        <w:tc>
          <w:tcPr>
            <w:tcW w:w="464" w:type="pct"/>
            <w:noWrap w:val="0"/>
            <w:vAlign w:val="center"/>
          </w:tcPr>
          <w:p w14:paraId="62F3ABAF">
            <w:pP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7E2EEBAD">
            <w:pPr>
              <w:jc w:val="left"/>
              <w:rPr>
                <w:rFonts w:ascii="仿宋" w:hAnsi="仿宋" w:eastAsia="仿宋"/>
                <w:szCs w:val="21"/>
              </w:rPr>
            </w:pPr>
            <w:r>
              <w:rPr>
                <w:rFonts w:hint="eastAsia" w:ascii="仿宋" w:hAnsi="仿宋" w:eastAsia="仿宋"/>
                <w:szCs w:val="21"/>
              </w:rPr>
              <w:t>目标1</w:t>
            </w:r>
          </w:p>
          <w:p w14:paraId="00DE4DB3">
            <w:pPr>
              <w:jc w:val="left"/>
              <w:rPr>
                <w:rFonts w:ascii="仿宋" w:hAnsi="仿宋" w:eastAsia="仿宋"/>
                <w:szCs w:val="21"/>
              </w:rPr>
            </w:pPr>
            <w:r>
              <w:rPr>
                <w:rFonts w:hint="eastAsia" w:ascii="仿宋" w:hAnsi="仿宋" w:eastAsia="仿宋"/>
                <w:szCs w:val="21"/>
              </w:rPr>
              <w:t>目标2</w:t>
            </w:r>
          </w:p>
        </w:tc>
      </w:tr>
    </w:tbl>
    <w:p w14:paraId="0568C8BC">
      <w:pPr>
        <w:pStyle w:val="4"/>
        <w:bidi w:val="0"/>
      </w:pPr>
      <w:r>
        <w:rPr>
          <w:rFonts w:hint="eastAsia"/>
        </w:rPr>
        <w:t>四、课程实施</w:t>
      </w:r>
    </w:p>
    <w:p w14:paraId="72879D73">
      <w:pPr>
        <w:spacing w:before="180" w:beforeLines="50" w:after="180" w:afterLines="50" w:line="360" w:lineRule="auto"/>
        <w:ind w:firstLine="482" w:firstLineChars="200"/>
        <w:jc w:val="left"/>
        <w:rPr>
          <w:rFonts w:ascii="仿宋" w:hAnsi="仿宋" w:eastAsia="仿宋"/>
          <w:b/>
          <w:sz w:val="24"/>
        </w:rPr>
      </w:pPr>
      <w:r>
        <w:rPr>
          <w:rFonts w:hint="eastAsia" w:ascii="仿宋" w:hAnsi="仿宋" w:eastAsia="仿宋"/>
          <w:b/>
          <w:sz w:val="24"/>
        </w:rPr>
        <w:t>（一）教学方法与手段</w:t>
      </w:r>
    </w:p>
    <w:p w14:paraId="7BFABB76">
      <w:pPr>
        <w:spacing w:before="180" w:beforeLines="50" w:after="180" w:afterLines="50"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．本课程以实践教学为主，教学方法与手段的运用要考虑到学生的实际情况，从实际出发，因材施教，注意区别对待，激发学生学习兴趣，并在教学中重视学生实践能力的培养。</w:t>
      </w:r>
      <w:r>
        <w:rPr>
          <w:rFonts w:ascii="仿宋" w:hAnsi="仿宋" w:eastAsia="仿宋"/>
          <w:sz w:val="24"/>
        </w:rPr>
        <w:t xml:space="preserve">  </w:t>
      </w:r>
    </w:p>
    <w:p w14:paraId="1C81ACB0">
      <w:pPr>
        <w:spacing w:before="180" w:beforeLines="50" w:after="180" w:afterLines="50"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．教学方法与手段的运用合理，注意防止伤害事故发生，重视学生自我保护能力培养。</w:t>
      </w:r>
      <w:r>
        <w:rPr>
          <w:rFonts w:ascii="仿宋" w:hAnsi="仿宋" w:eastAsia="仿宋"/>
          <w:sz w:val="24"/>
        </w:rPr>
        <w:t> </w:t>
      </w:r>
    </w:p>
    <w:p w14:paraId="5A65E511">
      <w:pPr>
        <w:spacing w:before="180" w:beforeLines="50" w:after="180" w:afterLines="50" w:line="360" w:lineRule="auto"/>
        <w:ind w:firstLine="480" w:firstLineChars="200"/>
        <w:jc w:val="left"/>
        <w:rPr>
          <w:rFonts w:ascii="仿宋" w:hAnsi="仿宋" w:eastAsia="仿宋"/>
          <w:sz w:val="24"/>
        </w:rPr>
      </w:pPr>
      <w:r>
        <w:rPr>
          <w:rFonts w:hint="eastAsia" w:ascii="仿宋" w:hAnsi="仿宋" w:eastAsia="仿宋"/>
          <w:sz w:val="24"/>
        </w:rPr>
        <w:t>3．针对体育教学技术教学的特点，本课程将采用：讲解法、示范法、完整法、分解法、集体练习、小组练习等教学方法，并利用多媒体教学方式，提高学生的欣赏能力、让学生更加深刻的了解所学项目。</w:t>
      </w:r>
    </w:p>
    <w:p w14:paraId="62CDFB68">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7410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150795DB">
            <w:pPr>
              <w:spacing w:line="276" w:lineRule="auto"/>
              <w:jc w:val="center"/>
              <w:rPr>
                <w:rFonts w:ascii="仿宋" w:hAnsi="仿宋" w:eastAsia="仿宋"/>
                <w:sz w:val="24"/>
              </w:rPr>
            </w:pPr>
            <w:r>
              <w:rPr>
                <w:rFonts w:ascii="仿宋" w:hAnsi="仿宋" w:eastAsia="仿宋" w:cs="宋体"/>
                <w:b/>
                <w:bCs/>
                <w:sz w:val="24"/>
              </w:rPr>
              <w:t>主要教学环节</w:t>
            </w:r>
          </w:p>
        </w:tc>
        <w:tc>
          <w:tcPr>
            <w:tcW w:w="6640" w:type="dxa"/>
            <w:tcBorders>
              <w:top w:val="single" w:color="auto" w:sz="8" w:space="0"/>
              <w:left w:val="single" w:color="auto" w:sz="8" w:space="0"/>
              <w:right w:val="single" w:color="auto" w:sz="8" w:space="0"/>
            </w:tcBorders>
            <w:noWrap w:val="0"/>
            <w:vAlign w:val="center"/>
          </w:tcPr>
          <w:p w14:paraId="5B760CD7">
            <w:pPr>
              <w:spacing w:line="276" w:lineRule="auto"/>
              <w:jc w:val="center"/>
              <w:rPr>
                <w:rFonts w:ascii="仿宋" w:hAnsi="仿宋" w:eastAsia="仿宋"/>
                <w:sz w:val="24"/>
              </w:rPr>
            </w:pPr>
            <w:r>
              <w:rPr>
                <w:rFonts w:hint="eastAsia" w:ascii="仿宋" w:hAnsi="仿宋" w:eastAsia="仿宋" w:cs="宋体"/>
                <w:b/>
                <w:bCs/>
                <w:sz w:val="24"/>
              </w:rPr>
              <w:t>质量要求</w:t>
            </w:r>
          </w:p>
        </w:tc>
      </w:tr>
      <w:tr w14:paraId="4C9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56B203EF">
            <w:pPr>
              <w:spacing w:line="276" w:lineRule="auto"/>
              <w:jc w:val="center"/>
              <w:rPr>
                <w:rFonts w:ascii="仿宋" w:hAnsi="仿宋" w:eastAsia="仿宋"/>
                <w:sz w:val="24"/>
              </w:rPr>
            </w:pPr>
            <w:r>
              <w:rPr>
                <w:rFonts w:hint="eastAsia" w:ascii="仿宋" w:hAnsi="仿宋" w:eastAsia="仿宋"/>
                <w:sz w:val="24"/>
              </w:rPr>
              <w:t>1</w:t>
            </w:r>
          </w:p>
        </w:tc>
        <w:tc>
          <w:tcPr>
            <w:tcW w:w="1252" w:type="dxa"/>
            <w:noWrap w:val="0"/>
            <w:tcMar>
              <w:left w:w="28" w:type="dxa"/>
              <w:right w:w="28" w:type="dxa"/>
            </w:tcMar>
            <w:vAlign w:val="center"/>
          </w:tcPr>
          <w:p w14:paraId="6CE7C96F">
            <w:pPr>
              <w:spacing w:line="276" w:lineRule="auto"/>
              <w:jc w:val="center"/>
              <w:rPr>
                <w:rFonts w:ascii="仿宋" w:hAnsi="仿宋" w:eastAsia="仿宋"/>
                <w:sz w:val="24"/>
              </w:rPr>
            </w:pPr>
            <w:r>
              <w:rPr>
                <w:rFonts w:hint="eastAsia" w:ascii="仿宋" w:hAnsi="仿宋" w:eastAsia="仿宋"/>
                <w:sz w:val="24"/>
              </w:rPr>
              <w:t>备课</w:t>
            </w:r>
          </w:p>
        </w:tc>
        <w:tc>
          <w:tcPr>
            <w:tcW w:w="6640" w:type="dxa"/>
            <w:tcBorders>
              <w:right w:val="single" w:color="auto" w:sz="8" w:space="0"/>
            </w:tcBorders>
            <w:noWrap w:val="0"/>
            <w:vAlign w:val="center"/>
          </w:tcPr>
          <w:p w14:paraId="06349A22">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掌握本课程教学大纲内容，严格按照教学大纲要求进行本课程教学内容的组织；</w:t>
            </w:r>
          </w:p>
          <w:p w14:paraId="4941BC4C">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熟悉教材各章节，借助相关专业书籍资料，并依据教学大纲编写授课计划；</w:t>
            </w:r>
          </w:p>
          <w:p w14:paraId="2DC78E21">
            <w:pPr>
              <w:autoSpaceDE w:val="0"/>
              <w:autoSpaceDN w:val="0"/>
              <w:adjustRightInd w:val="0"/>
              <w:snapToGrid w:val="0"/>
              <w:spacing w:line="320" w:lineRule="exact"/>
              <w:jc w:val="left"/>
              <w:rPr>
                <w:rFonts w:ascii="仿宋" w:hAnsi="仿宋" w:eastAsia="仿宋" w:cs="宋体"/>
                <w:spacing w:val="-14"/>
                <w:kern w:val="0"/>
                <w:sz w:val="22"/>
              </w:rPr>
            </w:pPr>
            <w:r>
              <w:rPr>
                <w:rFonts w:ascii="仿宋" w:hAnsi="仿宋" w:eastAsia="仿宋" w:cs="宋体"/>
                <w:spacing w:val="-14"/>
                <w:kern w:val="0"/>
                <w:sz w:val="22"/>
              </w:rPr>
              <w:t>3.</w:t>
            </w:r>
            <w:r>
              <w:rPr>
                <w:rFonts w:hint="eastAsia" w:ascii="仿宋" w:hAnsi="仿宋" w:eastAsia="仿宋" w:cs="宋体"/>
                <w:spacing w:val="-14"/>
                <w:kern w:val="0"/>
                <w:sz w:val="22"/>
              </w:rPr>
              <w:t>结合课程特点，制作课件，运用多媒体教学手段讲授部分教学内容；</w:t>
            </w:r>
            <w:r>
              <w:rPr>
                <w:rFonts w:ascii="仿宋" w:hAnsi="仿宋" w:eastAsia="仿宋" w:cs="宋体"/>
                <w:spacing w:val="-14"/>
                <w:kern w:val="0"/>
                <w:sz w:val="22"/>
              </w:rPr>
              <w:t xml:space="preserve"> </w:t>
            </w:r>
          </w:p>
          <w:p w14:paraId="197BCEC0">
            <w:pPr>
              <w:autoSpaceDE w:val="0"/>
              <w:autoSpaceDN w:val="0"/>
              <w:adjustRightInd w:val="0"/>
              <w:snapToGrid w:val="0"/>
              <w:spacing w:line="320" w:lineRule="exact"/>
              <w:jc w:val="left"/>
              <w:rPr>
                <w:rFonts w:ascii="仿宋" w:hAnsi="仿宋" w:eastAsia="仿宋"/>
                <w:sz w:val="24"/>
              </w:rPr>
            </w:pPr>
            <w:r>
              <w:rPr>
                <w:rFonts w:ascii="仿宋" w:hAnsi="仿宋" w:eastAsia="仿宋" w:cs="宋体"/>
                <w:kern w:val="0"/>
                <w:sz w:val="22"/>
              </w:rPr>
              <w:t>4.</w:t>
            </w:r>
            <w:r>
              <w:rPr>
                <w:rFonts w:hint="eastAsia" w:ascii="仿宋" w:hAnsi="仿宋" w:eastAsia="仿宋" w:cs="宋体"/>
                <w:kern w:val="0"/>
                <w:sz w:val="22"/>
              </w:rPr>
              <w:t>确定各章节课程内容的教学方法，构思授课思路、技巧和方法。</w:t>
            </w:r>
          </w:p>
        </w:tc>
      </w:tr>
      <w:tr w14:paraId="65D3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74697502">
            <w:pPr>
              <w:spacing w:line="276" w:lineRule="auto"/>
              <w:jc w:val="center"/>
              <w:rPr>
                <w:rFonts w:ascii="仿宋" w:hAnsi="仿宋" w:eastAsia="仿宋"/>
                <w:sz w:val="24"/>
              </w:rPr>
            </w:pPr>
            <w:r>
              <w:rPr>
                <w:rFonts w:hint="eastAsia" w:ascii="仿宋" w:hAnsi="仿宋" w:eastAsia="仿宋"/>
                <w:sz w:val="24"/>
              </w:rPr>
              <w:t>2</w:t>
            </w:r>
          </w:p>
        </w:tc>
        <w:tc>
          <w:tcPr>
            <w:tcW w:w="1252" w:type="dxa"/>
            <w:noWrap w:val="0"/>
            <w:tcMar>
              <w:left w:w="28" w:type="dxa"/>
              <w:right w:w="28" w:type="dxa"/>
            </w:tcMar>
            <w:vAlign w:val="center"/>
          </w:tcPr>
          <w:p w14:paraId="4327E007">
            <w:pPr>
              <w:spacing w:line="276" w:lineRule="auto"/>
              <w:jc w:val="center"/>
              <w:rPr>
                <w:rFonts w:ascii="仿宋" w:hAnsi="仿宋" w:eastAsia="仿宋"/>
                <w:sz w:val="24"/>
              </w:rPr>
            </w:pPr>
            <w:r>
              <w:rPr>
                <w:rFonts w:hint="eastAsia" w:ascii="仿宋" w:hAnsi="仿宋" w:eastAsia="仿宋"/>
                <w:sz w:val="24"/>
              </w:rPr>
              <w:t>讲授</w:t>
            </w:r>
          </w:p>
        </w:tc>
        <w:tc>
          <w:tcPr>
            <w:tcW w:w="6640" w:type="dxa"/>
            <w:tcBorders>
              <w:right w:val="single" w:color="auto" w:sz="8" w:space="0"/>
            </w:tcBorders>
            <w:noWrap w:val="0"/>
            <w:vAlign w:val="center"/>
          </w:tcPr>
          <w:p w14:paraId="151D79C7">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rPr>
              <w:t>满足需要，发展个性；</w:t>
            </w:r>
            <w:r>
              <w:rPr>
                <w:rFonts w:hint="eastAsia" w:ascii="仿宋" w:hAnsi="仿宋" w:eastAsia="仿宋" w:cs="宋体"/>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442852E7">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2.</w:t>
            </w:r>
            <w:r>
              <w:rPr>
                <w:rFonts w:hint="eastAsia" w:ascii="仿宋" w:hAnsi="仿宋" w:eastAsia="仿宋" w:cs="宋体"/>
                <w:kern w:val="0"/>
                <w:sz w:val="22"/>
              </w:rPr>
              <w:t>采用多种教学方式（如启发式教学、导学式、发现式等），精讲多练，培养学生自学、自练、自评、互评等能力。</w:t>
            </w:r>
          </w:p>
          <w:p w14:paraId="06969FA1">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7B34B94B">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4.区别对待，因材施教。重视安全和关心基础较差的学生成长。</w:t>
            </w:r>
          </w:p>
          <w:p w14:paraId="70363BE6">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5.教学中教师要以身作则，言传身教，做到既教学又育人。培养学生的优良品质，达到身心全面发展。</w:t>
            </w:r>
          </w:p>
        </w:tc>
      </w:tr>
      <w:tr w14:paraId="5582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75A5A895">
            <w:pPr>
              <w:spacing w:line="276" w:lineRule="auto"/>
              <w:jc w:val="center"/>
              <w:rPr>
                <w:rFonts w:ascii="仿宋" w:hAnsi="仿宋" w:eastAsia="仿宋"/>
                <w:sz w:val="24"/>
              </w:rPr>
            </w:pPr>
            <w:r>
              <w:rPr>
                <w:rFonts w:ascii="仿宋" w:hAnsi="仿宋" w:eastAsia="仿宋"/>
                <w:sz w:val="24"/>
              </w:rPr>
              <w:t>3</w:t>
            </w:r>
          </w:p>
        </w:tc>
        <w:tc>
          <w:tcPr>
            <w:tcW w:w="1252" w:type="dxa"/>
            <w:noWrap w:val="0"/>
            <w:tcMar>
              <w:left w:w="28" w:type="dxa"/>
              <w:right w:w="28" w:type="dxa"/>
            </w:tcMar>
            <w:vAlign w:val="center"/>
          </w:tcPr>
          <w:p w14:paraId="655077F1">
            <w:pPr>
              <w:spacing w:line="276" w:lineRule="auto"/>
              <w:jc w:val="center"/>
              <w:rPr>
                <w:rFonts w:ascii="仿宋" w:hAnsi="仿宋" w:eastAsia="仿宋"/>
                <w:sz w:val="24"/>
              </w:rPr>
            </w:pPr>
            <w:r>
              <w:rPr>
                <w:rFonts w:hint="eastAsia" w:ascii="仿宋" w:hAnsi="仿宋" w:eastAsia="仿宋"/>
                <w:sz w:val="24"/>
              </w:rPr>
              <w:t>课外练习</w:t>
            </w:r>
          </w:p>
        </w:tc>
        <w:tc>
          <w:tcPr>
            <w:tcW w:w="6640" w:type="dxa"/>
            <w:tcBorders>
              <w:right w:val="single" w:color="auto" w:sz="8" w:space="0"/>
            </w:tcBorders>
            <w:noWrap w:val="0"/>
            <w:vAlign w:val="center"/>
          </w:tcPr>
          <w:p w14:paraId="27581861">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课外练习是教师布置课外练习内容，重点要求学生利用课余时间巩固课堂上所学的技术动作，形成正确的动力定型，同时要求学生加强身体素质练习。</w:t>
            </w:r>
          </w:p>
        </w:tc>
      </w:tr>
      <w:tr w14:paraId="6EAD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6665BD2D">
            <w:pPr>
              <w:spacing w:line="276" w:lineRule="auto"/>
              <w:jc w:val="center"/>
              <w:rPr>
                <w:rFonts w:ascii="仿宋" w:hAnsi="仿宋" w:eastAsia="仿宋"/>
                <w:sz w:val="24"/>
              </w:rPr>
            </w:pPr>
            <w:r>
              <w:rPr>
                <w:rFonts w:ascii="仿宋" w:hAnsi="仿宋" w:eastAsia="仿宋"/>
                <w:sz w:val="24"/>
              </w:rPr>
              <w:t>4</w:t>
            </w:r>
          </w:p>
        </w:tc>
        <w:tc>
          <w:tcPr>
            <w:tcW w:w="1252" w:type="dxa"/>
            <w:noWrap w:val="0"/>
            <w:tcMar>
              <w:left w:w="28" w:type="dxa"/>
              <w:right w:w="28" w:type="dxa"/>
            </w:tcMar>
            <w:vAlign w:val="center"/>
          </w:tcPr>
          <w:p w14:paraId="5203A2DB">
            <w:pPr>
              <w:spacing w:line="276" w:lineRule="auto"/>
              <w:jc w:val="center"/>
              <w:rPr>
                <w:rFonts w:ascii="仿宋" w:hAnsi="仿宋" w:eastAsia="仿宋"/>
                <w:sz w:val="24"/>
              </w:rPr>
            </w:pPr>
            <w:r>
              <w:rPr>
                <w:rFonts w:hint="eastAsia" w:ascii="仿宋" w:hAnsi="仿宋" w:eastAsia="仿宋"/>
                <w:sz w:val="24"/>
              </w:rPr>
              <w:t>成绩考核</w:t>
            </w:r>
          </w:p>
        </w:tc>
        <w:tc>
          <w:tcPr>
            <w:tcW w:w="6640" w:type="dxa"/>
            <w:tcBorders>
              <w:right w:val="single" w:color="auto" w:sz="8" w:space="0"/>
            </w:tcBorders>
            <w:noWrap w:val="0"/>
            <w:vAlign w:val="center"/>
          </w:tcPr>
          <w:p w14:paraId="061B4675">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本课程考核的方式：考试。总评成绩的评定见课程评分方案。有下列情况之一者，总评成绩为不及格：</w:t>
            </w:r>
          </w:p>
          <w:p w14:paraId="4B65CFE1">
            <w:pPr>
              <w:autoSpaceDE w:val="0"/>
              <w:autoSpaceDN w:val="0"/>
              <w:adjustRightInd w:val="0"/>
              <w:snapToGrid w:val="0"/>
              <w:spacing w:line="320" w:lineRule="exact"/>
              <w:jc w:val="left"/>
              <w:rPr>
                <w:rFonts w:ascii="仿宋" w:hAnsi="仿宋" w:eastAsia="仿宋" w:cs="宋体"/>
                <w:kern w:val="0"/>
                <w:sz w:val="22"/>
              </w:rPr>
            </w:pPr>
            <w:r>
              <w:rPr>
                <w:rFonts w:ascii="仿宋" w:hAnsi="仿宋" w:eastAsia="仿宋" w:cs="宋体"/>
                <w:kern w:val="0"/>
                <w:sz w:val="22"/>
              </w:rPr>
              <w:t>1</w:t>
            </w:r>
            <w:r>
              <w:rPr>
                <w:rFonts w:hint="eastAsia" w:ascii="仿宋" w:hAnsi="仿宋" w:eastAsia="仿宋" w:cs="宋体"/>
                <w:kern w:val="0"/>
                <w:sz w:val="22"/>
              </w:rPr>
              <w:t>.课外</w:t>
            </w:r>
            <w:r>
              <w:rPr>
                <w:rFonts w:ascii="仿宋" w:hAnsi="仿宋" w:eastAsia="仿宋" w:cs="宋体"/>
                <w:kern w:val="0"/>
                <w:sz w:val="22"/>
              </w:rPr>
              <w:t>体育</w:t>
            </w:r>
            <w:r>
              <w:rPr>
                <w:rFonts w:hint="eastAsia" w:ascii="仿宋" w:hAnsi="仿宋" w:eastAsia="仿宋" w:cs="宋体"/>
                <w:kern w:val="0"/>
                <w:sz w:val="22"/>
              </w:rPr>
              <w:t>锻炼</w:t>
            </w:r>
            <w:r>
              <w:rPr>
                <w:rFonts w:ascii="仿宋" w:hAnsi="仿宋" w:eastAsia="仿宋" w:cs="宋体"/>
                <w:kern w:val="0"/>
                <w:sz w:val="22"/>
              </w:rPr>
              <w:t>不合格</w:t>
            </w:r>
            <w:r>
              <w:rPr>
                <w:rFonts w:hint="eastAsia" w:ascii="仿宋" w:hAnsi="仿宋" w:eastAsia="仿宋" w:cs="宋体"/>
                <w:kern w:val="0"/>
                <w:sz w:val="22"/>
              </w:rPr>
              <w:t>者；</w:t>
            </w:r>
          </w:p>
          <w:p w14:paraId="212F73FB">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2.缺课次数达本学期总授课学时的</w:t>
            </w:r>
            <w:r>
              <w:rPr>
                <w:rFonts w:ascii="仿宋" w:hAnsi="仿宋" w:eastAsia="仿宋" w:cs="宋体"/>
                <w:kern w:val="0"/>
                <w:sz w:val="22"/>
              </w:rPr>
              <w:t>1/3</w:t>
            </w:r>
            <w:r>
              <w:rPr>
                <w:rFonts w:hint="eastAsia" w:ascii="仿宋" w:hAnsi="仿宋" w:eastAsia="仿宋" w:cs="宋体"/>
                <w:kern w:val="0"/>
                <w:sz w:val="22"/>
              </w:rPr>
              <w:t>以上者；</w:t>
            </w:r>
          </w:p>
        </w:tc>
      </w:tr>
    </w:tbl>
    <w:p w14:paraId="097A9AD1">
      <w:pPr>
        <w:pStyle w:val="4"/>
        <w:bidi w:val="0"/>
      </w:pPr>
      <w:r>
        <w:rPr>
          <w:rFonts w:hint="eastAsia"/>
        </w:rPr>
        <w:t>五</w:t>
      </w:r>
      <w:r>
        <w:t>、</w:t>
      </w:r>
      <w:r>
        <w:rPr>
          <w:rFonts w:hint="eastAsia"/>
        </w:rPr>
        <w:t>课程考核</w:t>
      </w:r>
    </w:p>
    <w:p w14:paraId="0A0E6497">
      <w:pPr>
        <w:spacing w:line="360" w:lineRule="auto"/>
        <w:ind w:firstLine="480" w:firstLineChars="200"/>
        <w:rPr>
          <w:rFonts w:ascii="仿宋" w:hAnsi="仿宋" w:eastAsia="仿宋"/>
          <w:sz w:val="24"/>
        </w:rPr>
      </w:pPr>
      <w:r>
        <w:rPr>
          <w:rFonts w:hint="eastAsia" w:ascii="仿宋" w:hAnsi="仿宋" w:eastAsia="仿宋"/>
          <w:sz w:val="24"/>
        </w:rPr>
        <w:t>（一）课程考核由期末考试和平时考核构成，期末考试采用随堂方式。</w:t>
      </w:r>
    </w:p>
    <w:p w14:paraId="0FB9B39E">
      <w:pPr>
        <w:spacing w:line="360" w:lineRule="auto"/>
        <w:ind w:firstLine="480" w:firstLineChars="200"/>
        <w:rPr>
          <w:rFonts w:ascii="仿宋" w:hAnsi="仿宋" w:eastAsia="仿宋"/>
          <w:sz w:val="24"/>
        </w:rPr>
      </w:pPr>
      <w:r>
        <w:rPr>
          <w:rFonts w:hint="eastAsia" w:ascii="仿宋" w:hAnsi="仿宋" w:eastAsia="仿宋"/>
          <w:sz w:val="24"/>
        </w:rPr>
        <w:t>（二）课程总评成绩=平时成绩50%+期末考试50%，平时成绩=课堂表现10%+课外锻炼20%+体育理论20%。</w:t>
      </w:r>
    </w:p>
    <w:p w14:paraId="49F3D544">
      <w:pPr>
        <w:spacing w:line="360" w:lineRule="auto"/>
        <w:ind w:firstLine="480" w:firstLineChars="200"/>
        <w:rPr>
          <w:rFonts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30"/>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4831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noWrap w:val="0"/>
            <w:tcMar>
              <w:left w:w="57" w:type="dxa"/>
              <w:right w:w="57" w:type="dxa"/>
            </w:tcMar>
            <w:vAlign w:val="center"/>
          </w:tcPr>
          <w:p w14:paraId="09C901F2">
            <w:pPr>
              <w:jc w:val="center"/>
              <w:rPr>
                <w:rFonts w:ascii="仿宋" w:hAnsi="仿宋" w:eastAsia="仿宋"/>
                <w:szCs w:val="21"/>
              </w:rPr>
            </w:pPr>
            <w:r>
              <w:rPr>
                <w:rFonts w:ascii="仿宋" w:hAnsi="仿宋" w:eastAsia="仿宋"/>
                <w:szCs w:val="21"/>
              </w:rPr>
              <w:t>成绩组成</w:t>
            </w:r>
          </w:p>
        </w:tc>
        <w:tc>
          <w:tcPr>
            <w:tcW w:w="1301" w:type="dxa"/>
            <w:shd w:val="clear" w:color="auto" w:fill="FFFFFF"/>
            <w:noWrap w:val="0"/>
            <w:vAlign w:val="center"/>
          </w:tcPr>
          <w:p w14:paraId="555E6050">
            <w:pPr>
              <w:jc w:val="center"/>
              <w:rPr>
                <w:rFonts w:ascii="仿宋" w:hAnsi="仿宋" w:eastAsia="仿宋"/>
                <w:szCs w:val="21"/>
              </w:rPr>
            </w:pPr>
            <w:r>
              <w:rPr>
                <w:rFonts w:ascii="仿宋" w:hAnsi="仿宋" w:eastAsia="仿宋"/>
                <w:szCs w:val="21"/>
              </w:rPr>
              <w:t>考核/评价环节</w:t>
            </w:r>
          </w:p>
        </w:tc>
        <w:tc>
          <w:tcPr>
            <w:tcW w:w="741" w:type="dxa"/>
            <w:shd w:val="clear" w:color="auto" w:fill="FFFFFF"/>
            <w:noWrap w:val="0"/>
            <w:vAlign w:val="center"/>
          </w:tcPr>
          <w:p w14:paraId="77654044">
            <w:pPr>
              <w:jc w:val="center"/>
              <w:rPr>
                <w:rFonts w:ascii="仿宋" w:hAnsi="仿宋" w:eastAsia="仿宋"/>
                <w:szCs w:val="21"/>
              </w:rPr>
            </w:pPr>
            <w:r>
              <w:rPr>
                <w:rFonts w:hint="eastAsia" w:ascii="仿宋" w:hAnsi="仿宋" w:eastAsia="仿宋"/>
                <w:szCs w:val="21"/>
              </w:rPr>
              <w:t>权重</w:t>
            </w:r>
          </w:p>
        </w:tc>
        <w:tc>
          <w:tcPr>
            <w:tcW w:w="4047" w:type="dxa"/>
            <w:shd w:val="clear" w:color="auto" w:fill="FFFFFF"/>
            <w:noWrap w:val="0"/>
            <w:vAlign w:val="center"/>
          </w:tcPr>
          <w:p w14:paraId="1B0632A7">
            <w:pPr>
              <w:jc w:val="center"/>
              <w:rPr>
                <w:rFonts w:ascii="仿宋" w:hAnsi="仿宋" w:eastAsia="仿宋"/>
                <w:szCs w:val="21"/>
              </w:rPr>
            </w:pPr>
            <w:r>
              <w:rPr>
                <w:rFonts w:ascii="仿宋" w:hAnsi="仿宋" w:eastAsia="仿宋"/>
                <w:szCs w:val="21"/>
              </w:rPr>
              <w:t>考核/评价细则</w:t>
            </w:r>
          </w:p>
        </w:tc>
        <w:tc>
          <w:tcPr>
            <w:tcW w:w="1349" w:type="dxa"/>
            <w:shd w:val="clear" w:color="auto" w:fill="FFFFFF"/>
            <w:noWrap w:val="0"/>
            <w:vAlign w:val="center"/>
          </w:tcPr>
          <w:p w14:paraId="5872F989">
            <w:pPr>
              <w:jc w:val="center"/>
              <w:rPr>
                <w:rFonts w:ascii="仿宋" w:hAnsi="仿宋" w:eastAsia="仿宋"/>
                <w:szCs w:val="21"/>
              </w:rPr>
            </w:pPr>
            <w:r>
              <w:rPr>
                <w:rFonts w:ascii="仿宋" w:hAnsi="仿宋" w:eastAsia="仿宋"/>
                <w:szCs w:val="21"/>
              </w:rPr>
              <w:t>对应的毕业要求指标点</w:t>
            </w:r>
          </w:p>
        </w:tc>
      </w:tr>
      <w:tr w14:paraId="49B8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noWrap w:val="0"/>
            <w:tcMar>
              <w:left w:w="57" w:type="dxa"/>
              <w:right w:w="57" w:type="dxa"/>
            </w:tcMar>
            <w:vAlign w:val="center"/>
          </w:tcPr>
          <w:p w14:paraId="578357B7">
            <w:pPr>
              <w:jc w:val="center"/>
              <w:rPr>
                <w:rFonts w:ascii="仿宋" w:hAnsi="仿宋" w:eastAsia="仿宋"/>
                <w:szCs w:val="21"/>
              </w:rPr>
            </w:pPr>
            <w:r>
              <w:rPr>
                <w:rFonts w:ascii="仿宋" w:hAnsi="仿宋" w:eastAsia="仿宋"/>
                <w:szCs w:val="21"/>
              </w:rPr>
              <w:t>平时成绩</w:t>
            </w:r>
          </w:p>
          <w:p w14:paraId="7C4CC3CD">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171FC32C">
            <w:pPr>
              <w:spacing w:line="276" w:lineRule="auto"/>
              <w:jc w:val="center"/>
              <w:rPr>
                <w:rFonts w:ascii="仿宋" w:hAnsi="仿宋" w:eastAsia="仿宋"/>
                <w:szCs w:val="21"/>
              </w:rPr>
            </w:pPr>
            <w:r>
              <w:rPr>
                <w:rFonts w:hint="eastAsia" w:ascii="仿宋" w:hAnsi="仿宋" w:eastAsia="仿宋"/>
                <w:szCs w:val="21"/>
              </w:rPr>
              <w:t>课堂表现</w:t>
            </w:r>
          </w:p>
        </w:tc>
        <w:tc>
          <w:tcPr>
            <w:tcW w:w="741" w:type="dxa"/>
            <w:noWrap w:val="0"/>
            <w:vAlign w:val="center"/>
          </w:tcPr>
          <w:p w14:paraId="47EFB7DF">
            <w:pPr>
              <w:rPr>
                <w:rFonts w:ascii="仿宋" w:hAnsi="仿宋" w:eastAsia="仿宋"/>
                <w:szCs w:val="21"/>
              </w:rPr>
            </w:pPr>
            <w:r>
              <w:rPr>
                <w:rFonts w:hint="eastAsia" w:ascii="仿宋" w:hAnsi="仿宋" w:eastAsia="仿宋"/>
                <w:szCs w:val="21"/>
              </w:rPr>
              <w:t xml:space="preserve"> </w:t>
            </w:r>
            <w:r>
              <w:rPr>
                <w:rFonts w:ascii="仿宋" w:hAnsi="仿宋" w:eastAsia="仿宋"/>
                <w:szCs w:val="21"/>
              </w:rPr>
              <w:t>10%</w:t>
            </w:r>
          </w:p>
        </w:tc>
        <w:tc>
          <w:tcPr>
            <w:tcW w:w="4047" w:type="dxa"/>
            <w:noWrap w:val="0"/>
            <w:vAlign w:val="center"/>
          </w:tcPr>
          <w:p w14:paraId="644464D2">
            <w:pPr>
              <w:spacing w:line="360" w:lineRule="exact"/>
              <w:rPr>
                <w:rFonts w:ascii="仿宋" w:hAnsi="仿宋" w:eastAsia="仿宋"/>
                <w:sz w:val="24"/>
              </w:rPr>
            </w:pPr>
            <w:r>
              <w:rPr>
                <w:rFonts w:ascii="仿宋" w:hAnsi="仿宋" w:eastAsia="仿宋"/>
                <w:bCs/>
                <w:kern w:val="24"/>
                <w:szCs w:val="21"/>
              </w:rPr>
              <w:t>课堂</w:t>
            </w:r>
            <w:r>
              <w:rPr>
                <w:rFonts w:hint="eastAsia" w:ascii="仿宋" w:hAnsi="仿宋" w:eastAsia="仿宋"/>
                <w:bCs/>
                <w:kern w:val="24"/>
                <w:szCs w:val="21"/>
              </w:rPr>
              <w:t>整队</w:t>
            </w:r>
            <w:r>
              <w:rPr>
                <w:rFonts w:ascii="仿宋" w:hAnsi="仿宋" w:eastAsia="仿宋"/>
                <w:bCs/>
                <w:kern w:val="24"/>
                <w:szCs w:val="21"/>
              </w:rPr>
              <w:t>点名</w:t>
            </w:r>
            <w:r>
              <w:rPr>
                <w:rFonts w:hint="eastAsia" w:ascii="仿宋" w:hAnsi="仿宋" w:eastAsia="仿宋"/>
                <w:bCs/>
                <w:kern w:val="24"/>
                <w:szCs w:val="21"/>
              </w:rPr>
              <w:t>，考核</w:t>
            </w:r>
            <w:r>
              <w:rPr>
                <w:rFonts w:hint="eastAsia" w:ascii="仿宋" w:hAnsi="仿宋" w:eastAsia="仿宋"/>
                <w:szCs w:val="21"/>
              </w:rPr>
              <w:t>能否按时到勤，旷课一次扣</w:t>
            </w:r>
            <w:r>
              <w:rPr>
                <w:rFonts w:ascii="仿宋" w:hAnsi="仿宋" w:eastAsia="仿宋"/>
                <w:szCs w:val="21"/>
              </w:rPr>
              <w:t>20</w:t>
            </w:r>
            <w:r>
              <w:rPr>
                <w:rFonts w:hint="eastAsia" w:ascii="仿宋" w:hAnsi="仿宋" w:eastAsia="仿宋"/>
                <w:szCs w:val="21"/>
              </w:rPr>
              <w:t>分，迟到与早退一次扣</w:t>
            </w:r>
            <w:r>
              <w:rPr>
                <w:rFonts w:ascii="仿宋" w:hAnsi="仿宋" w:eastAsia="仿宋"/>
                <w:szCs w:val="21"/>
              </w:rPr>
              <w:t>10</w:t>
            </w:r>
            <w:r>
              <w:rPr>
                <w:rFonts w:hint="eastAsia" w:ascii="仿宋" w:hAnsi="仿宋" w:eastAsia="仿宋"/>
                <w:szCs w:val="21"/>
              </w:rPr>
              <w:t>分。</w:t>
            </w:r>
          </w:p>
        </w:tc>
        <w:tc>
          <w:tcPr>
            <w:tcW w:w="1349" w:type="dxa"/>
            <w:noWrap w:val="0"/>
            <w:vAlign w:val="center"/>
          </w:tcPr>
          <w:p w14:paraId="327B4246">
            <w:pPr>
              <w:jc w:val="center"/>
              <w:rPr>
                <w:rFonts w:ascii="仿宋" w:hAnsi="仿宋" w:eastAsia="仿宋"/>
                <w:szCs w:val="21"/>
              </w:rPr>
            </w:pPr>
            <w:r>
              <w:rPr>
                <w:rFonts w:hint="eastAsia" w:ascii="仿宋" w:hAnsi="仿宋" w:eastAsia="仿宋"/>
                <w:bCs/>
                <w:szCs w:val="21"/>
              </w:rPr>
              <w:t>8、</w:t>
            </w:r>
            <w:r>
              <w:rPr>
                <w:rFonts w:ascii="仿宋" w:hAnsi="仿宋" w:eastAsia="仿宋"/>
                <w:bCs/>
                <w:szCs w:val="21"/>
              </w:rPr>
              <w:t>9</w:t>
            </w:r>
          </w:p>
        </w:tc>
      </w:tr>
      <w:tr w14:paraId="4069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noWrap w:val="0"/>
            <w:tcMar>
              <w:left w:w="57" w:type="dxa"/>
              <w:right w:w="57" w:type="dxa"/>
            </w:tcMar>
            <w:vAlign w:val="center"/>
          </w:tcPr>
          <w:p w14:paraId="0249AEC4">
            <w:pPr>
              <w:jc w:val="center"/>
              <w:rPr>
                <w:rFonts w:ascii="仿宋" w:hAnsi="仿宋" w:eastAsia="仿宋"/>
                <w:szCs w:val="21"/>
              </w:rPr>
            </w:pPr>
          </w:p>
        </w:tc>
        <w:tc>
          <w:tcPr>
            <w:tcW w:w="1301" w:type="dxa"/>
            <w:noWrap w:val="0"/>
            <w:vAlign w:val="center"/>
          </w:tcPr>
          <w:p w14:paraId="0C3650BB">
            <w:pPr>
              <w:spacing w:line="276" w:lineRule="auto"/>
              <w:jc w:val="center"/>
              <w:rPr>
                <w:rFonts w:ascii="仿宋" w:hAnsi="仿宋" w:eastAsia="仿宋"/>
                <w:szCs w:val="21"/>
              </w:rPr>
            </w:pPr>
            <w:r>
              <w:rPr>
                <w:rFonts w:hint="eastAsia" w:ascii="仿宋" w:hAnsi="仿宋" w:eastAsia="仿宋"/>
                <w:szCs w:val="21"/>
              </w:rPr>
              <w:t>课外锻炼</w:t>
            </w:r>
          </w:p>
        </w:tc>
        <w:tc>
          <w:tcPr>
            <w:tcW w:w="741" w:type="dxa"/>
            <w:noWrap w:val="0"/>
            <w:vAlign w:val="center"/>
          </w:tcPr>
          <w:p w14:paraId="7D8A5199">
            <w:pPr>
              <w:rPr>
                <w:rFonts w:ascii="仿宋" w:hAnsi="仿宋" w:eastAsia="仿宋"/>
                <w:szCs w:val="21"/>
              </w:rPr>
            </w:pPr>
            <w:r>
              <w:rPr>
                <w:rFonts w:hint="eastAsia" w:ascii="仿宋" w:hAnsi="仿宋" w:eastAsia="仿宋"/>
                <w:szCs w:val="21"/>
              </w:rPr>
              <w:t xml:space="preserve"> </w:t>
            </w:r>
            <w:r>
              <w:rPr>
                <w:rFonts w:ascii="仿宋" w:hAnsi="仿宋" w:eastAsia="仿宋"/>
                <w:szCs w:val="21"/>
              </w:rPr>
              <w:t>20%</w:t>
            </w:r>
          </w:p>
        </w:tc>
        <w:tc>
          <w:tcPr>
            <w:tcW w:w="4047" w:type="dxa"/>
            <w:noWrap w:val="0"/>
            <w:vAlign w:val="center"/>
          </w:tcPr>
          <w:p w14:paraId="4698134B">
            <w:pPr>
              <w:spacing w:line="360" w:lineRule="exact"/>
              <w:jc w:val="left"/>
              <w:rPr>
                <w:rFonts w:ascii="仿宋" w:hAnsi="仿宋" w:eastAsia="仿宋"/>
                <w:sz w:val="24"/>
              </w:rPr>
            </w:pPr>
            <w:r>
              <w:rPr>
                <w:rFonts w:hint="eastAsia" w:ascii="仿宋" w:hAnsi="仿宋" w:eastAsia="仿宋"/>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noWrap w:val="0"/>
            <w:vAlign w:val="center"/>
          </w:tcPr>
          <w:p w14:paraId="01E6A613">
            <w:pPr>
              <w:jc w:val="center"/>
              <w:rPr>
                <w:rFonts w:ascii="仿宋" w:hAnsi="仿宋" w:eastAsia="仿宋"/>
              </w:rPr>
            </w:pPr>
            <w:r>
              <w:rPr>
                <w:rFonts w:hint="eastAsia" w:ascii="仿宋" w:hAnsi="仿宋" w:eastAsia="仿宋"/>
              </w:rPr>
              <w:t>8、9</w:t>
            </w:r>
          </w:p>
        </w:tc>
      </w:tr>
      <w:tr w14:paraId="0A83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0" w:type="dxa"/>
            <w:vMerge w:val="continue"/>
            <w:noWrap w:val="0"/>
            <w:tcMar>
              <w:left w:w="57" w:type="dxa"/>
              <w:right w:w="57" w:type="dxa"/>
            </w:tcMar>
            <w:vAlign w:val="center"/>
          </w:tcPr>
          <w:p w14:paraId="2CA38B03">
            <w:pPr>
              <w:jc w:val="center"/>
              <w:rPr>
                <w:rFonts w:ascii="仿宋" w:hAnsi="仿宋" w:eastAsia="仿宋"/>
                <w:szCs w:val="21"/>
              </w:rPr>
            </w:pPr>
          </w:p>
        </w:tc>
        <w:tc>
          <w:tcPr>
            <w:tcW w:w="1301" w:type="dxa"/>
            <w:noWrap w:val="0"/>
            <w:vAlign w:val="center"/>
          </w:tcPr>
          <w:p w14:paraId="7106B895">
            <w:pPr>
              <w:spacing w:line="276" w:lineRule="auto"/>
              <w:jc w:val="center"/>
              <w:rPr>
                <w:rFonts w:ascii="仿宋" w:hAnsi="仿宋" w:eastAsia="仿宋"/>
                <w:szCs w:val="21"/>
              </w:rPr>
            </w:pPr>
            <w:r>
              <w:rPr>
                <w:rFonts w:hint="eastAsia" w:ascii="仿宋" w:hAnsi="仿宋" w:eastAsia="仿宋"/>
                <w:szCs w:val="21"/>
              </w:rPr>
              <w:t>体育理论</w:t>
            </w:r>
          </w:p>
        </w:tc>
        <w:tc>
          <w:tcPr>
            <w:tcW w:w="741" w:type="dxa"/>
            <w:noWrap w:val="0"/>
            <w:vAlign w:val="center"/>
          </w:tcPr>
          <w:p w14:paraId="4BADFA88">
            <w:pPr>
              <w:jc w:val="center"/>
              <w:rPr>
                <w:rFonts w:ascii="仿宋" w:hAnsi="仿宋" w:eastAsia="仿宋"/>
                <w:szCs w:val="21"/>
              </w:rPr>
            </w:pPr>
            <w:r>
              <w:rPr>
                <w:rFonts w:ascii="仿宋" w:hAnsi="仿宋" w:eastAsia="仿宋"/>
                <w:szCs w:val="21"/>
              </w:rPr>
              <w:t>2</w:t>
            </w:r>
            <w:r>
              <w:rPr>
                <w:rFonts w:hint="eastAsia" w:ascii="仿宋" w:hAnsi="仿宋" w:eastAsia="仿宋"/>
                <w:szCs w:val="21"/>
              </w:rPr>
              <w:t>0</w:t>
            </w:r>
            <w:r>
              <w:rPr>
                <w:rFonts w:ascii="仿宋" w:hAnsi="仿宋" w:eastAsia="仿宋"/>
                <w:szCs w:val="21"/>
              </w:rPr>
              <w:t>%</w:t>
            </w:r>
          </w:p>
        </w:tc>
        <w:tc>
          <w:tcPr>
            <w:tcW w:w="4047" w:type="dxa"/>
            <w:noWrap w:val="0"/>
            <w:vAlign w:val="center"/>
          </w:tcPr>
          <w:p w14:paraId="4B674513">
            <w:pPr>
              <w:spacing w:line="440" w:lineRule="exact"/>
              <w:jc w:val="left"/>
              <w:rPr>
                <w:rFonts w:ascii="仿宋" w:hAnsi="仿宋" w:eastAsia="仿宋"/>
                <w:sz w:val="24"/>
              </w:rPr>
            </w:pPr>
            <w:r>
              <w:rPr>
                <w:rFonts w:hint="eastAsia" w:ascii="仿宋" w:hAnsi="仿宋" w:eastAsia="仿宋"/>
                <w:bCs/>
                <w:kern w:val="24"/>
                <w:szCs w:val="21"/>
              </w:rPr>
              <w:t>课外网上测试，校毕博系统。</w:t>
            </w:r>
          </w:p>
        </w:tc>
        <w:tc>
          <w:tcPr>
            <w:tcW w:w="1349" w:type="dxa"/>
            <w:noWrap w:val="0"/>
            <w:vAlign w:val="center"/>
          </w:tcPr>
          <w:p w14:paraId="4915B870">
            <w:pPr>
              <w:jc w:val="center"/>
              <w:rPr>
                <w:rFonts w:ascii="仿宋" w:hAnsi="仿宋" w:eastAsia="仿宋"/>
              </w:rPr>
            </w:pPr>
            <w:r>
              <w:rPr>
                <w:rFonts w:hint="eastAsia" w:ascii="仿宋" w:hAnsi="仿宋" w:eastAsia="仿宋"/>
              </w:rPr>
              <w:t>8、9</w:t>
            </w:r>
          </w:p>
        </w:tc>
      </w:tr>
      <w:tr w14:paraId="3C52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0" w:type="dxa"/>
            <w:noWrap w:val="0"/>
            <w:tcMar>
              <w:left w:w="57" w:type="dxa"/>
              <w:right w:w="57" w:type="dxa"/>
            </w:tcMar>
            <w:vAlign w:val="center"/>
          </w:tcPr>
          <w:p w14:paraId="1BAA1801">
            <w:pPr>
              <w:jc w:val="center"/>
              <w:rPr>
                <w:rFonts w:ascii="仿宋" w:hAnsi="仿宋" w:eastAsia="仿宋"/>
                <w:szCs w:val="21"/>
              </w:rPr>
            </w:pPr>
            <w:r>
              <w:rPr>
                <w:rFonts w:ascii="仿宋" w:hAnsi="仿宋" w:eastAsia="仿宋"/>
                <w:szCs w:val="21"/>
              </w:rPr>
              <w:t>期末考试</w:t>
            </w:r>
          </w:p>
          <w:p w14:paraId="37468699">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786CEE27">
            <w:pPr>
              <w:jc w:val="center"/>
              <w:rPr>
                <w:rFonts w:ascii="仿宋" w:hAnsi="仿宋" w:eastAsia="仿宋"/>
                <w:szCs w:val="21"/>
              </w:rPr>
            </w:pPr>
            <w:r>
              <w:rPr>
                <w:rFonts w:ascii="仿宋" w:hAnsi="仿宋" w:eastAsia="仿宋"/>
                <w:szCs w:val="21"/>
              </w:rPr>
              <w:t>期末</w:t>
            </w:r>
            <w:r>
              <w:rPr>
                <w:rFonts w:hint="eastAsia" w:ascii="仿宋" w:hAnsi="仿宋" w:eastAsia="仿宋"/>
                <w:szCs w:val="21"/>
              </w:rPr>
              <w:t>运动技能</w:t>
            </w:r>
            <w:r>
              <w:rPr>
                <w:rFonts w:ascii="仿宋" w:hAnsi="仿宋" w:eastAsia="仿宋"/>
                <w:szCs w:val="21"/>
              </w:rPr>
              <w:t>考试</w:t>
            </w:r>
          </w:p>
        </w:tc>
        <w:tc>
          <w:tcPr>
            <w:tcW w:w="741" w:type="dxa"/>
            <w:noWrap w:val="0"/>
            <w:vAlign w:val="center"/>
          </w:tcPr>
          <w:p w14:paraId="25DD0F3F">
            <w:pPr>
              <w:jc w:val="center"/>
              <w:rPr>
                <w:rFonts w:ascii="仿宋" w:hAnsi="仿宋" w:eastAsia="仿宋"/>
                <w:szCs w:val="21"/>
              </w:rPr>
            </w:pPr>
            <w:r>
              <w:rPr>
                <w:rFonts w:ascii="仿宋" w:hAnsi="仿宋" w:eastAsia="仿宋"/>
                <w:szCs w:val="21"/>
              </w:rPr>
              <w:t>10</w:t>
            </w:r>
            <w:r>
              <w:rPr>
                <w:rFonts w:hint="eastAsia" w:ascii="仿宋" w:hAnsi="仿宋" w:eastAsia="仿宋"/>
                <w:szCs w:val="21"/>
              </w:rPr>
              <w:t>0</w:t>
            </w:r>
            <w:r>
              <w:rPr>
                <w:rFonts w:ascii="仿宋" w:hAnsi="仿宋" w:eastAsia="仿宋"/>
                <w:szCs w:val="21"/>
              </w:rPr>
              <w:t>%</w:t>
            </w:r>
          </w:p>
        </w:tc>
        <w:tc>
          <w:tcPr>
            <w:tcW w:w="4047" w:type="dxa"/>
            <w:noWrap w:val="0"/>
            <w:vAlign w:val="center"/>
          </w:tcPr>
          <w:p w14:paraId="70B214F7">
            <w:pPr>
              <w:spacing w:line="440" w:lineRule="exact"/>
              <w:rPr>
                <w:rFonts w:ascii="仿宋" w:hAnsi="仿宋" w:eastAsia="仿宋"/>
                <w:color w:val="000000"/>
                <w:szCs w:val="21"/>
              </w:rPr>
            </w:pPr>
            <w:r>
              <w:rPr>
                <w:rFonts w:hint="eastAsia" w:ascii="仿宋" w:hAnsi="仿宋" w:eastAsia="仿宋"/>
                <w:color w:val="000000"/>
                <w:szCs w:val="21"/>
              </w:rPr>
              <w:t>各专项技能</w:t>
            </w:r>
          </w:p>
        </w:tc>
        <w:tc>
          <w:tcPr>
            <w:tcW w:w="1349" w:type="dxa"/>
            <w:noWrap w:val="0"/>
            <w:vAlign w:val="center"/>
          </w:tcPr>
          <w:p w14:paraId="052B668C">
            <w:pPr>
              <w:jc w:val="center"/>
              <w:rPr>
                <w:rFonts w:ascii="仿宋" w:hAnsi="仿宋" w:eastAsia="仿宋"/>
                <w:szCs w:val="21"/>
              </w:rPr>
            </w:pPr>
            <w:r>
              <w:rPr>
                <w:rFonts w:hint="eastAsia" w:ascii="仿宋" w:hAnsi="仿宋" w:eastAsia="仿宋"/>
                <w:bCs/>
                <w:szCs w:val="21"/>
              </w:rPr>
              <w:t>8、9</w:t>
            </w:r>
          </w:p>
        </w:tc>
      </w:tr>
    </w:tbl>
    <w:p w14:paraId="05AEDC26">
      <w:pPr>
        <w:pStyle w:val="4"/>
        <w:bidi w:val="0"/>
      </w:pPr>
      <w:r>
        <w:rPr>
          <w:rFonts w:hint="eastAsia"/>
        </w:rPr>
        <w:t>六</w:t>
      </w:r>
      <w:r>
        <w:t>、</w:t>
      </w:r>
      <w:r>
        <w:rPr>
          <w:rFonts w:hint="eastAsia"/>
        </w:rPr>
        <w:t>有关说明</w:t>
      </w:r>
    </w:p>
    <w:p w14:paraId="2236F6E8">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2C24E421">
      <w:pPr>
        <w:spacing w:line="360" w:lineRule="auto"/>
        <w:ind w:firstLine="480" w:firstLineChars="200"/>
        <w:rPr>
          <w:rFonts w:ascii="仿宋" w:hAnsi="仿宋" w:eastAsia="仿宋"/>
          <w:sz w:val="24"/>
        </w:rPr>
      </w:pPr>
      <w:r>
        <w:rPr>
          <w:rFonts w:hint="eastAsia" w:ascii="仿宋" w:hAnsi="仿宋" w:eastAsia="仿宋"/>
          <w:sz w:val="24"/>
        </w:rPr>
        <w:t>本课程根据学生课外</w:t>
      </w:r>
      <w:r>
        <w:rPr>
          <w:rFonts w:ascii="仿宋" w:hAnsi="仿宋" w:eastAsia="仿宋"/>
          <w:sz w:val="24"/>
        </w:rPr>
        <w:t>体育</w:t>
      </w:r>
      <w:r>
        <w:rPr>
          <w:rFonts w:hint="eastAsia" w:ascii="仿宋" w:hAnsi="仿宋" w:eastAsia="仿宋"/>
          <w:sz w:val="24"/>
        </w:rPr>
        <w:t>锻炼、课堂表现、体质测试、平时考核情况，以及学生、教学督导等反馈，及时对教学中不足之处进行改进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6646FA39">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6C5CC897">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1D0B914B">
      <w:pPr>
        <w:wordWrap w:val="0"/>
        <w:spacing w:line="360" w:lineRule="exact"/>
        <w:jc w:val="right"/>
        <w:rPr>
          <w:rFonts w:ascii="仿宋" w:hAnsi="仿宋" w:eastAsia="仿宋"/>
          <w:sz w:val="24"/>
        </w:rPr>
      </w:pPr>
    </w:p>
    <w:p w14:paraId="4A6DDBBE">
      <w:pPr>
        <w:spacing w:line="360" w:lineRule="exact"/>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人：顾  宏</w:t>
      </w:r>
    </w:p>
    <w:p w14:paraId="677442E9">
      <w:pPr>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人：方曙</w:t>
      </w:r>
      <w:r>
        <w:rPr>
          <w:rFonts w:ascii="仿宋" w:hAnsi="仿宋" w:eastAsia="仿宋"/>
          <w:sz w:val="24"/>
        </w:rPr>
        <w:t>光</w:t>
      </w:r>
    </w:p>
    <w:p w14:paraId="1CBB859B">
      <w:pPr>
        <w:ind w:firstLine="240" w:firstLineChars="100"/>
        <w:jc w:val="center"/>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人：王红福</w:t>
      </w:r>
    </w:p>
    <w:p w14:paraId="15D78EDC">
      <w:pPr>
        <w:ind w:firstLine="240" w:firstLineChars="100"/>
        <w:jc w:val="center"/>
        <w:rPr>
          <w:rFonts w:hint="eastAsia" w:ascii="仿宋" w:hAnsi="仿宋" w:eastAsia="仿宋"/>
          <w:sz w:val="24"/>
        </w:r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27B36AE5">
      <w:pPr>
        <w:autoSpaceDE w:val="0"/>
        <w:autoSpaceDN w:val="0"/>
        <w:adjustRightInd w:val="0"/>
        <w:spacing w:line="360" w:lineRule="auto"/>
        <w:jc w:val="right"/>
        <w:rPr>
          <w:rFonts w:ascii="Times New Roman" w:hAnsi="Times New Roman" w:eastAsia="宋体" w:cs="Times New Roman"/>
          <w:sz w:val="24"/>
          <w:szCs w:val="24"/>
        </w:rPr>
      </w:pPr>
    </w:p>
    <w:p w14:paraId="22BA3631">
      <w:pPr>
        <w:autoSpaceDE w:val="0"/>
        <w:autoSpaceDN w:val="0"/>
        <w:adjustRightInd w:val="0"/>
        <w:spacing w:line="360" w:lineRule="auto"/>
        <w:jc w:val="right"/>
        <w:rPr>
          <w:rFonts w:ascii="Times New Roman" w:hAnsi="Times New Roman" w:eastAsia="宋体" w:cs="Times New Roman"/>
          <w:sz w:val="24"/>
          <w:szCs w:val="24"/>
        </w:rPr>
      </w:pPr>
    </w:p>
    <w:p w14:paraId="6508425C">
      <w:pPr>
        <w:spacing w:line="312" w:lineRule="auto"/>
        <w:jc w:val="center"/>
        <w:rPr>
          <w:rFonts w:ascii="Times New Roman" w:hAnsi="Times New Roman" w:eastAsia="宋体" w:cs="Times New Roman"/>
          <w:b/>
          <w:bCs/>
          <w:sz w:val="30"/>
          <w:szCs w:val="24"/>
        </w:rPr>
      </w:pPr>
    </w:p>
    <w:p w14:paraId="5134112D">
      <w:pPr>
        <w:spacing w:line="312" w:lineRule="auto"/>
        <w:jc w:val="center"/>
        <w:rPr>
          <w:rFonts w:ascii="Times New Roman" w:hAnsi="Times New Roman" w:eastAsia="宋体" w:cs="Times New Roman"/>
          <w:b/>
          <w:bCs/>
          <w:sz w:val="30"/>
          <w:szCs w:val="24"/>
        </w:rPr>
      </w:pPr>
    </w:p>
    <w:p w14:paraId="59CFAE36">
      <w:pPr>
        <w:spacing w:line="312" w:lineRule="auto"/>
        <w:jc w:val="center"/>
        <w:rPr>
          <w:rFonts w:ascii="Times New Roman" w:hAnsi="Times New Roman" w:eastAsia="宋体" w:cs="Times New Roman"/>
          <w:b/>
          <w:bCs/>
          <w:sz w:val="30"/>
          <w:szCs w:val="24"/>
        </w:rPr>
      </w:pPr>
    </w:p>
    <w:p w14:paraId="6C6CAD54">
      <w:pPr>
        <w:spacing w:line="312" w:lineRule="auto"/>
        <w:jc w:val="center"/>
        <w:rPr>
          <w:rFonts w:ascii="Times New Roman" w:hAnsi="Times New Roman" w:eastAsia="宋体" w:cs="Times New Roman"/>
          <w:b/>
          <w:bCs/>
          <w:sz w:val="30"/>
          <w:szCs w:val="24"/>
        </w:rPr>
      </w:pPr>
    </w:p>
    <w:p w14:paraId="0F5325A5">
      <w:pPr>
        <w:spacing w:line="312" w:lineRule="auto"/>
        <w:jc w:val="center"/>
        <w:rPr>
          <w:rFonts w:ascii="Times New Roman" w:hAnsi="Times New Roman" w:eastAsia="宋体" w:cs="Times New Roman"/>
          <w:b/>
          <w:bCs/>
          <w:sz w:val="30"/>
          <w:szCs w:val="24"/>
        </w:rPr>
      </w:pPr>
    </w:p>
    <w:p w14:paraId="585F1EA3">
      <w:pPr>
        <w:spacing w:line="312" w:lineRule="auto"/>
        <w:jc w:val="center"/>
        <w:rPr>
          <w:rFonts w:ascii="Times New Roman" w:hAnsi="Times New Roman" w:eastAsia="宋体" w:cs="Times New Roman"/>
          <w:b/>
          <w:bCs/>
          <w:sz w:val="30"/>
          <w:szCs w:val="24"/>
        </w:rPr>
      </w:pPr>
    </w:p>
    <w:p w14:paraId="7EA6D16D">
      <w:pPr>
        <w:spacing w:line="312" w:lineRule="auto"/>
        <w:jc w:val="center"/>
        <w:rPr>
          <w:rFonts w:ascii="Times New Roman" w:hAnsi="Times New Roman" w:eastAsia="宋体" w:cs="Times New Roman"/>
          <w:b/>
          <w:bCs/>
          <w:sz w:val="30"/>
          <w:szCs w:val="24"/>
        </w:rPr>
      </w:pPr>
    </w:p>
    <w:p w14:paraId="08129D28">
      <w:pPr>
        <w:spacing w:line="312" w:lineRule="auto"/>
        <w:jc w:val="center"/>
        <w:rPr>
          <w:rFonts w:ascii="Times New Roman" w:hAnsi="Times New Roman" w:eastAsia="宋体" w:cs="Times New Roman"/>
          <w:b/>
          <w:bCs/>
          <w:sz w:val="30"/>
          <w:szCs w:val="24"/>
        </w:rPr>
      </w:pPr>
    </w:p>
    <w:p w14:paraId="56A948CF">
      <w:pPr>
        <w:spacing w:line="312" w:lineRule="auto"/>
        <w:jc w:val="center"/>
        <w:rPr>
          <w:rFonts w:ascii="Times New Roman" w:hAnsi="Times New Roman" w:eastAsia="宋体" w:cs="Times New Roman"/>
          <w:b/>
          <w:bCs/>
          <w:sz w:val="30"/>
          <w:szCs w:val="24"/>
        </w:rPr>
      </w:pPr>
    </w:p>
    <w:p w14:paraId="3E76B3E9">
      <w:pPr>
        <w:spacing w:line="312" w:lineRule="auto"/>
        <w:jc w:val="center"/>
        <w:rPr>
          <w:rFonts w:ascii="Times New Roman" w:hAnsi="Times New Roman" w:eastAsia="宋体" w:cs="Times New Roman"/>
          <w:b/>
          <w:bCs/>
          <w:sz w:val="30"/>
          <w:szCs w:val="24"/>
        </w:rPr>
      </w:pPr>
    </w:p>
    <w:p w14:paraId="21CA9978">
      <w:pPr>
        <w:widowControl/>
        <w:jc w:val="left"/>
        <w:rPr>
          <w:rFonts w:ascii="Times New Roman" w:hAnsi="Times New Roman" w:eastAsia="宋体" w:cs="Times New Roman"/>
          <w:b/>
          <w:bCs/>
          <w:sz w:val="30"/>
          <w:szCs w:val="24"/>
        </w:rPr>
      </w:pPr>
      <w:r>
        <w:rPr>
          <w:rFonts w:ascii="Times New Roman" w:hAnsi="Times New Roman" w:eastAsia="宋体" w:cs="Times New Roman"/>
          <w:b/>
          <w:bCs/>
          <w:sz w:val="30"/>
          <w:szCs w:val="24"/>
        </w:rPr>
        <w:br w:type="page"/>
      </w:r>
    </w:p>
    <w:p w14:paraId="341DECA7">
      <w:pPr>
        <w:pStyle w:val="2"/>
        <w:bidi w:val="0"/>
      </w:pPr>
      <w:r>
        <w:rPr>
          <w:rFonts w:hint="eastAsia"/>
          <w:lang w:eastAsia="zh-CN"/>
        </w:rPr>
        <w:t>《</w:t>
      </w:r>
      <w:r>
        <w:rPr>
          <w:rFonts w:hint="eastAsia"/>
        </w:rPr>
        <w:t>体育Ⅴ</w:t>
      </w:r>
      <w:r>
        <w:rPr>
          <w:rFonts w:hint="eastAsia"/>
          <w:lang w:eastAsia="zh-CN"/>
        </w:rPr>
        <w:t>》</w:t>
      </w:r>
      <w:r>
        <w:t>课程教学大纲</w:t>
      </w:r>
    </w:p>
    <w:p w14:paraId="2E42F585">
      <w:pPr>
        <w:pStyle w:val="3"/>
        <w:bidi w:val="0"/>
        <w:rPr>
          <w:rFonts w:ascii="仿宋" w:hAnsi="仿宋" w:eastAsia="仿宋"/>
          <w:b/>
          <w:bCs/>
        </w:rPr>
      </w:pPr>
      <w:r>
        <w:t>（Physical  Education</w:t>
      </w:r>
      <w:r>
        <w:rPr>
          <w:rFonts w:hint="eastAsia"/>
          <w:lang w:eastAsia="ja-JP"/>
        </w:rPr>
        <w:t>Ⅴ</w:t>
      </w:r>
      <w:r>
        <w:t>）</w:t>
      </w:r>
    </w:p>
    <w:p w14:paraId="5EA26FE8">
      <w:pPr>
        <w:pStyle w:val="4"/>
        <w:bidi w:val="0"/>
      </w:pPr>
      <w:r>
        <w:t>一、课程概况</w:t>
      </w:r>
    </w:p>
    <w:p w14:paraId="507F1CB5">
      <w:pPr>
        <w:spacing w:line="360" w:lineRule="auto"/>
        <w:ind w:firstLine="482" w:firstLineChars="200"/>
        <w:rPr>
          <w:rFonts w:ascii="仿宋" w:hAnsi="仿宋" w:eastAsia="仿宋"/>
          <w:bCs/>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w:t>
      </w:r>
      <w:r>
        <w:rPr>
          <w:rFonts w:ascii="仿宋" w:hAnsi="仿宋" w:eastAsia="仿宋"/>
          <w:bCs/>
          <w:kern w:val="0"/>
          <w:sz w:val="24"/>
        </w:rPr>
        <w:t>3</w:t>
      </w:r>
      <w:r>
        <w:rPr>
          <w:rFonts w:hint="eastAsia" w:ascii="仿宋" w:hAnsi="仿宋" w:eastAsia="仿宋"/>
          <w:bCs/>
          <w:kern w:val="0"/>
          <w:sz w:val="24"/>
        </w:rPr>
        <w:t>0</w:t>
      </w:r>
      <w:r>
        <w:rPr>
          <w:rFonts w:ascii="仿宋" w:hAnsi="仿宋" w:eastAsia="仿宋"/>
          <w:bCs/>
          <w:kern w:val="0"/>
          <w:sz w:val="24"/>
        </w:rPr>
        <w:t>10</w:t>
      </w:r>
    </w:p>
    <w:p w14:paraId="057BA93B">
      <w:pPr>
        <w:spacing w:line="360" w:lineRule="auto"/>
        <w:ind w:firstLine="482" w:firstLineChars="200"/>
        <w:rPr>
          <w:rFonts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0.5</w:t>
      </w:r>
    </w:p>
    <w:p w14:paraId="7799971C">
      <w:pPr>
        <w:spacing w:line="360" w:lineRule="auto"/>
        <w:ind w:firstLine="482" w:firstLineChars="200"/>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ascii="仿宋" w:hAnsi="仿宋" w:eastAsia="仿宋"/>
          <w:kern w:val="0"/>
          <w:sz w:val="24"/>
        </w:rPr>
        <w:t>18</w:t>
      </w:r>
    </w:p>
    <w:p w14:paraId="71B59395">
      <w:pPr>
        <w:spacing w:line="360" w:lineRule="auto"/>
        <w:ind w:firstLine="482" w:firstLineChars="200"/>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426919AC">
      <w:pPr>
        <w:spacing w:line="360" w:lineRule="auto"/>
        <w:ind w:firstLine="482" w:firstLineChars="200"/>
        <w:rPr>
          <w:rFonts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73011E50">
      <w:pPr>
        <w:spacing w:line="360" w:lineRule="auto"/>
        <w:ind w:firstLine="482" w:firstLineChars="200"/>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5D64CD22">
      <w:pPr>
        <w:autoSpaceDE w:val="0"/>
        <w:autoSpaceDN w:val="0"/>
        <w:adjustRightInd w:val="0"/>
        <w:spacing w:line="360" w:lineRule="auto"/>
        <w:ind w:firstLine="482" w:firstLineChars="200"/>
        <w:jc w:val="left"/>
        <w:rPr>
          <w:rFonts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w:t>
      </w:r>
      <w:r>
        <w:rPr>
          <w:rFonts w:ascii="仿宋" w:hAnsi="仿宋" w:eastAsia="仿宋"/>
          <w:sz w:val="24"/>
        </w:rPr>
        <w:t>体质测试</w:t>
      </w:r>
      <w:r>
        <w:rPr>
          <w:rFonts w:hint="eastAsia" w:ascii="仿宋" w:hAnsi="仿宋" w:eastAsia="仿宋"/>
          <w:sz w:val="24"/>
        </w:rPr>
        <w:t>和课外体育俱乐部等组织形式作为本课程重要组成部分，从而巩固课内学习效果，培养学生自我锻炼意识和习惯。</w:t>
      </w:r>
    </w:p>
    <w:p w14:paraId="45284D3E">
      <w:pPr>
        <w:spacing w:line="360" w:lineRule="auto"/>
        <w:ind w:firstLine="480" w:firstLineChars="200"/>
        <w:rPr>
          <w:rFonts w:ascii="仿宋" w:hAnsi="仿宋" w:eastAsia="仿宋"/>
          <w:sz w:val="24"/>
        </w:rPr>
      </w:pPr>
      <w:r>
        <w:rPr>
          <w:rFonts w:hint="eastAsia" w:ascii="仿宋" w:hAnsi="仿宋" w:eastAsia="仿宋"/>
          <w:sz w:val="24"/>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0348AEB5">
      <w:pPr>
        <w:pStyle w:val="4"/>
        <w:bidi w:val="0"/>
      </w:pPr>
      <w:r>
        <w:rPr>
          <w:rFonts w:hint="eastAsia"/>
        </w:rPr>
        <w:t>二</w:t>
      </w:r>
      <w:r>
        <w:t>、课程目标</w:t>
      </w:r>
      <w:r>
        <w:rPr>
          <w:rFonts w:hint="eastAsia"/>
        </w:rPr>
        <w:t>与毕业要求指标点对应关系</w:t>
      </w:r>
    </w:p>
    <w:p w14:paraId="4111B7A4">
      <w:pPr>
        <w:spacing w:line="360" w:lineRule="auto"/>
        <w:ind w:firstLine="480" w:firstLineChars="200"/>
        <w:rPr>
          <w:rFonts w:hint="eastAsia" w:ascii="仿宋" w:hAnsi="仿宋" w:eastAsia="仿宋"/>
          <w:sz w:val="24"/>
        </w:rPr>
      </w:pPr>
      <w:r>
        <w:rPr>
          <w:rFonts w:hint="eastAsia" w:ascii="仿宋" w:hAnsi="仿宋" w:eastAsia="仿宋"/>
          <w:sz w:val="24"/>
        </w:rPr>
        <w:t>目标1：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7E51B3A2">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5000" w:type="pct"/>
        <w:tblInd w:w="113" w:type="dxa"/>
        <w:tblLayout w:type="autofit"/>
        <w:tblCellMar>
          <w:top w:w="0" w:type="dxa"/>
          <w:left w:w="108" w:type="dxa"/>
          <w:bottom w:w="0" w:type="dxa"/>
          <w:right w:w="108" w:type="dxa"/>
        </w:tblCellMar>
      </w:tblPr>
      <w:tblGrid>
        <w:gridCol w:w="1701"/>
        <w:gridCol w:w="947"/>
        <w:gridCol w:w="947"/>
        <w:gridCol w:w="947"/>
        <w:gridCol w:w="947"/>
        <w:gridCol w:w="947"/>
        <w:gridCol w:w="947"/>
        <w:gridCol w:w="947"/>
        <w:gridCol w:w="956"/>
      </w:tblGrid>
      <w:tr w14:paraId="3AF9083B">
        <w:tblPrEx>
          <w:tblCellMar>
            <w:top w:w="0" w:type="dxa"/>
            <w:left w:w="108" w:type="dxa"/>
            <w:bottom w:w="0" w:type="dxa"/>
            <w:right w:w="108" w:type="dxa"/>
          </w:tblCellMar>
        </w:tblPrEx>
        <w:trPr>
          <w:trHeight w:val="490" w:hRule="atLeast"/>
        </w:trPr>
        <w:tc>
          <w:tcPr>
            <w:tcW w:w="916" w:type="pct"/>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2B58F22F">
            <w:pPr>
              <w:widowControl/>
              <w:jc w:val="center"/>
              <w:rPr>
                <w:rFonts w:ascii="仿宋" w:hAnsi="仿宋" w:eastAsia="仿宋"/>
                <w:kern w:val="0"/>
                <w:szCs w:val="21"/>
              </w:rPr>
            </w:pPr>
            <w:r>
              <w:rPr>
                <w:rFonts w:ascii="仿宋" w:hAnsi="仿宋" w:eastAsia="仿宋"/>
                <w:kern w:val="0"/>
                <w:szCs w:val="21"/>
              </w:rPr>
              <w:t>毕业要求</w:t>
            </w:r>
          </w:p>
          <w:p w14:paraId="63739DA8">
            <w:pPr>
              <w:widowControl/>
              <w:jc w:val="center"/>
              <w:rPr>
                <w:rFonts w:ascii="仿宋" w:hAnsi="仿宋" w:eastAsia="仿宋"/>
                <w:kern w:val="0"/>
                <w:szCs w:val="21"/>
              </w:rPr>
            </w:pPr>
            <w:r>
              <w:rPr>
                <w:rFonts w:ascii="仿宋" w:hAnsi="仿宋" w:eastAsia="仿宋"/>
                <w:kern w:val="0"/>
                <w:szCs w:val="21"/>
              </w:rPr>
              <w:t>指标点</w:t>
            </w:r>
          </w:p>
        </w:tc>
        <w:tc>
          <w:tcPr>
            <w:tcW w:w="4084" w:type="pct"/>
            <w:gridSpan w:val="8"/>
            <w:tcBorders>
              <w:top w:val="single" w:color="auto" w:sz="4" w:space="0"/>
              <w:left w:val="nil"/>
              <w:bottom w:val="single" w:color="auto" w:sz="4" w:space="0"/>
              <w:right w:val="single" w:color="auto" w:sz="4" w:space="0"/>
            </w:tcBorders>
            <w:shd w:val="clear" w:color="auto" w:fill="FFFFFF"/>
            <w:noWrap/>
            <w:vAlign w:val="center"/>
          </w:tcPr>
          <w:p w14:paraId="128C7742">
            <w:pPr>
              <w:widowControl/>
              <w:jc w:val="center"/>
              <w:rPr>
                <w:rFonts w:ascii="仿宋" w:hAnsi="仿宋" w:eastAsia="仿宋"/>
                <w:kern w:val="0"/>
                <w:szCs w:val="21"/>
              </w:rPr>
            </w:pPr>
            <w:r>
              <w:rPr>
                <w:rFonts w:ascii="仿宋" w:hAnsi="仿宋" w:eastAsia="仿宋"/>
                <w:kern w:val="0"/>
                <w:szCs w:val="21"/>
              </w:rPr>
              <w:t>课程目标</w:t>
            </w:r>
          </w:p>
        </w:tc>
      </w:tr>
      <w:tr w14:paraId="79CE5E7C">
        <w:tblPrEx>
          <w:tblCellMar>
            <w:top w:w="0" w:type="dxa"/>
            <w:left w:w="108" w:type="dxa"/>
            <w:bottom w:w="0" w:type="dxa"/>
            <w:right w:w="108" w:type="dxa"/>
          </w:tblCellMar>
        </w:tblPrEx>
        <w:trPr>
          <w:trHeight w:val="468" w:hRule="atLeast"/>
        </w:trPr>
        <w:tc>
          <w:tcPr>
            <w:tcW w:w="91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1313F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756A307D">
            <w:pPr>
              <w:widowControl/>
              <w:jc w:val="center"/>
              <w:rPr>
                <w:rFonts w:ascii="仿宋" w:hAnsi="仿宋" w:eastAsia="仿宋"/>
                <w:kern w:val="0"/>
                <w:szCs w:val="21"/>
              </w:rPr>
            </w:pPr>
            <w:r>
              <w:rPr>
                <w:rFonts w:ascii="仿宋" w:hAnsi="仿宋" w:eastAsia="仿宋"/>
                <w:kern w:val="0"/>
                <w:szCs w:val="21"/>
              </w:rPr>
              <w:t>目标1</w:t>
            </w:r>
          </w:p>
        </w:tc>
        <w:tc>
          <w:tcPr>
            <w:tcW w:w="510" w:type="pct"/>
            <w:tcBorders>
              <w:top w:val="nil"/>
              <w:left w:val="nil"/>
              <w:bottom w:val="single" w:color="auto" w:sz="4" w:space="0"/>
              <w:right w:val="single" w:color="auto" w:sz="4" w:space="0"/>
            </w:tcBorders>
            <w:shd w:val="clear" w:color="auto" w:fill="FFFFFF"/>
            <w:noWrap/>
            <w:vAlign w:val="center"/>
          </w:tcPr>
          <w:p w14:paraId="7C8BFA8A">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6E7FB9B6">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28680844">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EB2CC63">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04359121">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shd w:val="clear" w:color="auto" w:fill="FFFFFF"/>
            <w:noWrap/>
            <w:vAlign w:val="center"/>
          </w:tcPr>
          <w:p w14:paraId="49CF16E0">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shd w:val="clear" w:color="auto" w:fill="FFFFFF"/>
            <w:noWrap/>
            <w:vAlign w:val="center"/>
          </w:tcPr>
          <w:p w14:paraId="2D9BBB8E">
            <w:pPr>
              <w:widowControl/>
              <w:jc w:val="center"/>
              <w:rPr>
                <w:rFonts w:ascii="仿宋" w:hAnsi="仿宋" w:eastAsia="仿宋"/>
                <w:kern w:val="0"/>
                <w:szCs w:val="21"/>
              </w:rPr>
            </w:pPr>
          </w:p>
        </w:tc>
      </w:tr>
      <w:tr w14:paraId="19F5BAEE">
        <w:tblPrEx>
          <w:tblCellMar>
            <w:top w:w="0" w:type="dxa"/>
            <w:left w:w="108" w:type="dxa"/>
            <w:bottom w:w="0" w:type="dxa"/>
            <w:right w:w="108" w:type="dxa"/>
          </w:tblCellMar>
        </w:tblPrEx>
        <w:trPr>
          <w:trHeight w:val="459" w:hRule="atLeast"/>
        </w:trPr>
        <w:tc>
          <w:tcPr>
            <w:tcW w:w="916" w:type="pct"/>
            <w:tcBorders>
              <w:top w:val="nil"/>
              <w:left w:val="single" w:color="auto" w:sz="4" w:space="0"/>
              <w:bottom w:val="single" w:color="auto" w:sz="4" w:space="0"/>
              <w:right w:val="single" w:color="auto" w:sz="4" w:space="0"/>
            </w:tcBorders>
            <w:noWrap/>
            <w:vAlign w:val="center"/>
          </w:tcPr>
          <w:p w14:paraId="6E4EFD11">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510" w:type="pct"/>
            <w:tcBorders>
              <w:top w:val="nil"/>
              <w:left w:val="nil"/>
              <w:bottom w:val="single" w:color="auto" w:sz="4" w:space="0"/>
              <w:right w:val="single" w:color="auto" w:sz="4" w:space="0"/>
            </w:tcBorders>
            <w:noWrap/>
            <w:vAlign w:val="center"/>
          </w:tcPr>
          <w:p w14:paraId="0354BA62">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5EA15D3B">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04A70466">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E0AAB4C">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C2ABDE7">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62D9BE91">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CBF2558">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13790E48">
            <w:pPr>
              <w:widowControl/>
              <w:jc w:val="center"/>
              <w:rPr>
                <w:rFonts w:ascii="仿宋" w:hAnsi="仿宋" w:eastAsia="仿宋"/>
                <w:kern w:val="0"/>
                <w:szCs w:val="21"/>
              </w:rPr>
            </w:pPr>
          </w:p>
        </w:tc>
      </w:tr>
      <w:tr w14:paraId="395AA5FA">
        <w:tblPrEx>
          <w:tblCellMar>
            <w:top w:w="0" w:type="dxa"/>
            <w:left w:w="108" w:type="dxa"/>
            <w:bottom w:w="0" w:type="dxa"/>
            <w:right w:w="108" w:type="dxa"/>
          </w:tblCellMar>
        </w:tblPrEx>
        <w:trPr>
          <w:trHeight w:val="448" w:hRule="atLeast"/>
        </w:trPr>
        <w:tc>
          <w:tcPr>
            <w:tcW w:w="916" w:type="pct"/>
            <w:tcBorders>
              <w:top w:val="nil"/>
              <w:left w:val="single" w:color="auto" w:sz="4" w:space="0"/>
              <w:bottom w:val="single" w:color="auto" w:sz="4" w:space="0"/>
              <w:right w:val="single" w:color="auto" w:sz="4" w:space="0"/>
            </w:tcBorders>
            <w:noWrap/>
            <w:vAlign w:val="center"/>
          </w:tcPr>
          <w:p w14:paraId="1F5846A6">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510" w:type="pct"/>
            <w:tcBorders>
              <w:top w:val="nil"/>
              <w:left w:val="nil"/>
              <w:bottom w:val="single" w:color="auto" w:sz="4" w:space="0"/>
              <w:right w:val="single" w:color="auto" w:sz="4" w:space="0"/>
            </w:tcBorders>
            <w:noWrap/>
            <w:vAlign w:val="center"/>
          </w:tcPr>
          <w:p w14:paraId="4450EE34">
            <w:pPr>
              <w:widowControl/>
              <w:jc w:val="center"/>
              <w:rPr>
                <w:rFonts w:ascii="仿宋" w:hAnsi="仿宋" w:eastAsia="仿宋"/>
                <w:kern w:val="0"/>
                <w:szCs w:val="21"/>
              </w:rPr>
            </w:pPr>
            <w:r>
              <w:rPr>
                <w:rFonts w:ascii="仿宋" w:hAnsi="仿宋" w:eastAsia="仿宋"/>
                <w:kern w:val="0"/>
                <w:szCs w:val="21"/>
              </w:rPr>
              <w:t>√</w:t>
            </w:r>
          </w:p>
        </w:tc>
        <w:tc>
          <w:tcPr>
            <w:tcW w:w="510" w:type="pct"/>
            <w:tcBorders>
              <w:top w:val="nil"/>
              <w:left w:val="nil"/>
              <w:bottom w:val="single" w:color="auto" w:sz="4" w:space="0"/>
              <w:right w:val="single" w:color="auto" w:sz="4" w:space="0"/>
            </w:tcBorders>
            <w:noWrap/>
            <w:vAlign w:val="center"/>
          </w:tcPr>
          <w:p w14:paraId="0BA42509">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12E46F82">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0A55FC1">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376B1257">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7361AB7E">
            <w:pPr>
              <w:widowControl/>
              <w:jc w:val="center"/>
              <w:rPr>
                <w:rFonts w:ascii="仿宋" w:hAnsi="仿宋" w:eastAsia="仿宋"/>
                <w:kern w:val="0"/>
                <w:szCs w:val="21"/>
              </w:rPr>
            </w:pPr>
          </w:p>
        </w:tc>
        <w:tc>
          <w:tcPr>
            <w:tcW w:w="510" w:type="pct"/>
            <w:tcBorders>
              <w:top w:val="nil"/>
              <w:left w:val="nil"/>
              <w:bottom w:val="single" w:color="auto" w:sz="4" w:space="0"/>
              <w:right w:val="single" w:color="auto" w:sz="4" w:space="0"/>
            </w:tcBorders>
            <w:noWrap/>
            <w:vAlign w:val="center"/>
          </w:tcPr>
          <w:p w14:paraId="2B548189">
            <w:pPr>
              <w:widowControl/>
              <w:jc w:val="center"/>
              <w:rPr>
                <w:rFonts w:ascii="仿宋" w:hAnsi="仿宋" w:eastAsia="仿宋"/>
                <w:kern w:val="0"/>
                <w:szCs w:val="21"/>
              </w:rPr>
            </w:pPr>
          </w:p>
        </w:tc>
        <w:tc>
          <w:tcPr>
            <w:tcW w:w="512" w:type="pct"/>
            <w:tcBorders>
              <w:top w:val="nil"/>
              <w:left w:val="nil"/>
              <w:bottom w:val="single" w:color="auto" w:sz="4" w:space="0"/>
              <w:right w:val="single" w:color="auto" w:sz="4" w:space="0"/>
            </w:tcBorders>
            <w:noWrap/>
            <w:vAlign w:val="center"/>
          </w:tcPr>
          <w:p w14:paraId="4F0961B4">
            <w:pPr>
              <w:widowControl/>
              <w:jc w:val="center"/>
              <w:rPr>
                <w:rFonts w:ascii="仿宋" w:hAnsi="仿宋" w:eastAsia="仿宋"/>
                <w:kern w:val="0"/>
                <w:szCs w:val="21"/>
              </w:rPr>
            </w:pPr>
          </w:p>
        </w:tc>
      </w:tr>
    </w:tbl>
    <w:p w14:paraId="440A0A95">
      <w:pPr>
        <w:pStyle w:val="4"/>
        <w:bidi w:val="0"/>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014"/>
        <w:gridCol w:w="1005"/>
        <w:gridCol w:w="2154"/>
        <w:gridCol w:w="717"/>
        <w:gridCol w:w="862"/>
        <w:gridCol w:w="966"/>
      </w:tblGrid>
      <w:tr w14:paraId="0B74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1E003D50">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4BD11D8C">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58EF6B81">
            <w:pPr>
              <w:jc w:val="center"/>
              <w:rPr>
                <w:rFonts w:ascii="仿宋" w:hAnsi="仿宋" w:eastAsia="仿宋"/>
                <w:b/>
                <w:bCs/>
                <w:szCs w:val="21"/>
              </w:rPr>
            </w:pPr>
            <w:r>
              <w:rPr>
                <w:rFonts w:ascii="仿宋" w:hAnsi="仿宋" w:eastAsia="仿宋"/>
                <w:b/>
                <w:bCs/>
                <w:szCs w:val="21"/>
              </w:rPr>
              <w:t>思政</w:t>
            </w:r>
          </w:p>
          <w:p w14:paraId="417EE5F6">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7FBD6D80">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4451BA2F">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65981DA5">
            <w:pPr>
              <w:jc w:val="center"/>
              <w:rPr>
                <w:rFonts w:ascii="仿宋" w:hAnsi="仿宋" w:eastAsia="仿宋"/>
                <w:b/>
                <w:bCs/>
                <w:szCs w:val="21"/>
              </w:rPr>
            </w:pPr>
            <w:r>
              <w:rPr>
                <w:rFonts w:ascii="仿宋" w:hAnsi="仿宋" w:eastAsia="仿宋"/>
                <w:b/>
                <w:bCs/>
                <w:szCs w:val="21"/>
              </w:rPr>
              <w:t>教学</w:t>
            </w:r>
          </w:p>
          <w:p w14:paraId="30E87814">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6643FF4F">
            <w:pPr>
              <w:jc w:val="center"/>
              <w:rPr>
                <w:rFonts w:ascii="仿宋" w:hAnsi="仿宋" w:eastAsia="仿宋"/>
                <w:b/>
                <w:bCs/>
                <w:szCs w:val="21"/>
              </w:rPr>
            </w:pPr>
            <w:r>
              <w:rPr>
                <w:rFonts w:ascii="仿宋" w:hAnsi="仿宋" w:eastAsia="仿宋"/>
                <w:b/>
                <w:bCs/>
                <w:szCs w:val="21"/>
              </w:rPr>
              <w:t>支撑课程目标</w:t>
            </w:r>
          </w:p>
        </w:tc>
      </w:tr>
      <w:tr w14:paraId="30BC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67C1F3EF">
            <w:pPr>
              <w:jc w:val="center"/>
              <w:rPr>
                <w:rFonts w:ascii="仿宋" w:hAnsi="仿宋" w:eastAsia="仿宋"/>
                <w:szCs w:val="21"/>
              </w:rPr>
            </w:pPr>
            <w:r>
              <w:rPr>
                <w:rFonts w:ascii="仿宋" w:hAnsi="仿宋" w:eastAsia="仿宋"/>
                <w:szCs w:val="21"/>
              </w:rPr>
              <w:t>1</w:t>
            </w:r>
          </w:p>
        </w:tc>
        <w:tc>
          <w:tcPr>
            <w:tcW w:w="1623" w:type="pct"/>
            <w:noWrap w:val="0"/>
            <w:vAlign w:val="center"/>
          </w:tcPr>
          <w:p w14:paraId="66F76ED9">
            <w:pPr>
              <w:jc w:val="left"/>
              <w:rPr>
                <w:rFonts w:ascii="仿宋" w:hAnsi="仿宋" w:eastAsia="仿宋"/>
                <w:b/>
                <w:szCs w:val="21"/>
              </w:rPr>
            </w:pPr>
            <w:r>
              <w:rPr>
                <w:rFonts w:hint="eastAsia" w:ascii="仿宋" w:hAnsi="仿宋" w:eastAsia="仿宋"/>
                <w:b/>
                <w:szCs w:val="21"/>
              </w:rPr>
              <w:t>㈠体育理论部分:</w:t>
            </w:r>
          </w:p>
          <w:p w14:paraId="14F9893D">
            <w:pPr>
              <w:jc w:val="left"/>
              <w:rPr>
                <w:rFonts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284F3264">
            <w:pPr>
              <w:jc w:val="left"/>
              <w:rPr>
                <w:rFonts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51EB025F">
            <w:pPr>
              <w:jc w:val="left"/>
              <w:rPr>
                <w:rFonts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6A8B9DBB">
            <w:pPr>
              <w:ind w:right="-170" w:rightChars="-81"/>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3B152DC6">
            <w:pPr>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noWrap w:val="0"/>
            <w:vAlign w:val="center"/>
          </w:tcPr>
          <w:p w14:paraId="6640C75C">
            <w:pPr>
              <w:jc w:val="center"/>
              <w:rPr>
                <w:rFonts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noWrap w:val="0"/>
            <w:vAlign w:val="center"/>
          </w:tcPr>
          <w:p w14:paraId="07308C58">
            <w:pPr>
              <w:autoSpaceDE w:val="0"/>
              <w:autoSpaceDN w:val="0"/>
              <w:adjustRightInd w:val="0"/>
              <w:jc w:val="left"/>
              <w:rPr>
                <w:rFonts w:ascii="仿宋" w:hAnsi="仿宋" w:eastAsia="仿宋"/>
                <w:kern w:val="0"/>
                <w:szCs w:val="21"/>
              </w:rPr>
            </w:pPr>
            <w:r>
              <w:rPr>
                <w:rFonts w:hint="eastAsia" w:ascii="仿宋" w:hAnsi="仿宋" w:eastAsia="仿宋"/>
                <w:kern w:val="0"/>
                <w:szCs w:val="21"/>
              </w:rPr>
              <w:t>通过学习，进一</w:t>
            </w:r>
            <w:r>
              <w:rPr>
                <w:rFonts w:ascii="仿宋" w:hAnsi="仿宋" w:eastAsia="仿宋"/>
                <w:kern w:val="0"/>
                <w:szCs w:val="21"/>
              </w:rPr>
              <w:t>步巩固和</w:t>
            </w:r>
            <w:r>
              <w:rPr>
                <w:rFonts w:hint="eastAsia" w:ascii="仿宋" w:hAnsi="仿宋" w:eastAsia="仿宋"/>
                <w:kern w:val="0"/>
                <w:szCs w:val="21"/>
              </w:rPr>
              <w:t>提高学生对体育的正确认识，形成正确积极的体育态度，学会运用科学理论指导健身锻炼实际，从而自觉遵循体育运动的规律，实现体育锻炼的目的。</w:t>
            </w:r>
          </w:p>
        </w:tc>
        <w:tc>
          <w:tcPr>
            <w:tcW w:w="386" w:type="pct"/>
            <w:noWrap w:val="0"/>
            <w:vAlign w:val="center"/>
          </w:tcPr>
          <w:p w14:paraId="2656F08B">
            <w:pPr>
              <w:jc w:val="center"/>
              <w:rPr>
                <w:rFonts w:ascii="仿宋" w:hAnsi="仿宋" w:eastAsia="仿宋"/>
                <w:szCs w:val="21"/>
              </w:rPr>
            </w:pPr>
            <w:r>
              <w:rPr>
                <w:rFonts w:ascii="仿宋" w:hAnsi="仿宋" w:eastAsia="仿宋"/>
                <w:szCs w:val="21"/>
              </w:rPr>
              <w:t>2</w:t>
            </w:r>
          </w:p>
        </w:tc>
        <w:tc>
          <w:tcPr>
            <w:tcW w:w="464" w:type="pct"/>
            <w:noWrap w:val="0"/>
            <w:vAlign w:val="center"/>
          </w:tcPr>
          <w:p w14:paraId="5D956A98">
            <w:pPr>
              <w:jc w:val="left"/>
              <w:rPr>
                <w:rFonts w:ascii="仿宋" w:hAnsi="仿宋" w:eastAsia="仿宋"/>
                <w:szCs w:val="21"/>
              </w:rPr>
            </w:pPr>
            <w:r>
              <w:rPr>
                <w:rFonts w:hint="eastAsia" w:ascii="仿宋" w:hAnsi="仿宋" w:eastAsia="仿宋"/>
                <w:szCs w:val="21"/>
              </w:rPr>
              <w:t>讲授法</w:t>
            </w:r>
          </w:p>
        </w:tc>
        <w:tc>
          <w:tcPr>
            <w:tcW w:w="520" w:type="pct"/>
            <w:noWrap w:val="0"/>
            <w:vAlign w:val="center"/>
          </w:tcPr>
          <w:p w14:paraId="0E1A2212">
            <w:pPr>
              <w:jc w:val="left"/>
              <w:rPr>
                <w:rFonts w:ascii="仿宋" w:hAnsi="仿宋" w:eastAsia="仿宋"/>
                <w:szCs w:val="21"/>
              </w:rPr>
            </w:pPr>
            <w:r>
              <w:rPr>
                <w:rFonts w:hint="eastAsia" w:ascii="仿宋" w:hAnsi="仿宋" w:eastAsia="仿宋"/>
                <w:szCs w:val="21"/>
              </w:rPr>
              <w:t>目标1目标2</w:t>
            </w:r>
          </w:p>
        </w:tc>
      </w:tr>
      <w:tr w14:paraId="2430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306" w:type="pct"/>
            <w:noWrap w:val="0"/>
            <w:vAlign w:val="center"/>
          </w:tcPr>
          <w:p w14:paraId="2866B61D">
            <w:pPr>
              <w:jc w:val="center"/>
              <w:rPr>
                <w:rFonts w:ascii="仿宋" w:hAnsi="仿宋" w:eastAsia="仿宋"/>
                <w:szCs w:val="21"/>
              </w:rPr>
            </w:pPr>
            <w:r>
              <w:rPr>
                <w:rFonts w:ascii="仿宋" w:hAnsi="仿宋" w:eastAsia="仿宋"/>
                <w:szCs w:val="21"/>
              </w:rPr>
              <w:t>2</w:t>
            </w:r>
          </w:p>
        </w:tc>
        <w:tc>
          <w:tcPr>
            <w:tcW w:w="1623" w:type="pct"/>
            <w:noWrap w:val="0"/>
            <w:vAlign w:val="center"/>
          </w:tcPr>
          <w:p w14:paraId="01D1FC79">
            <w:pPr>
              <w:jc w:val="left"/>
              <w:rPr>
                <w:rFonts w:ascii="仿宋" w:hAnsi="仿宋" w:eastAsia="仿宋"/>
                <w:b/>
                <w:szCs w:val="21"/>
              </w:rPr>
            </w:pPr>
            <w:r>
              <w:rPr>
                <w:rFonts w:hint="eastAsia" w:ascii="仿宋" w:hAnsi="仿宋" w:eastAsia="仿宋"/>
                <w:b/>
                <w:szCs w:val="21"/>
              </w:rPr>
              <w:t>㈡实践部分：</w:t>
            </w:r>
          </w:p>
          <w:p w14:paraId="645DFACB">
            <w:pPr>
              <w:rPr>
                <w:rFonts w:ascii="仿宋" w:hAnsi="仿宋" w:eastAsia="仿宋"/>
                <w:bCs/>
              </w:rPr>
            </w:pPr>
            <w:r>
              <w:rPr>
                <w:rFonts w:hint="eastAsia" w:ascii="仿宋" w:hAnsi="仿宋" w:eastAsia="仿宋"/>
                <w:bCs/>
              </w:rPr>
              <w:t>各类体育活动和国家学生体质健康标准测试项目为主，主要包括体质测试、早锻炼、学生课外健身活动以及校级、院级和体育社团组织的各种体育比赛活动等。</w:t>
            </w:r>
          </w:p>
          <w:p w14:paraId="730FA74C">
            <w:pPr>
              <w:rPr>
                <w:rFonts w:ascii="仿宋" w:hAnsi="仿宋" w:eastAsia="仿宋"/>
                <w:bCs/>
              </w:rPr>
            </w:pPr>
            <w:r>
              <w:rPr>
                <w:rFonts w:hint="eastAsia" w:ascii="仿宋" w:hAnsi="仿宋" w:eastAsia="仿宋"/>
                <w:b/>
                <w:bCs/>
              </w:rPr>
              <w:t>重点：</w:t>
            </w:r>
            <w:r>
              <w:rPr>
                <w:rFonts w:hint="eastAsia" w:ascii="仿宋" w:hAnsi="仿宋" w:eastAsia="仿宋"/>
                <w:bCs/>
              </w:rPr>
              <w:t>编制可行的个人体育锻炼计划并</w:t>
            </w:r>
            <w:r>
              <w:rPr>
                <w:rFonts w:ascii="仿宋" w:hAnsi="仿宋" w:eastAsia="仿宋"/>
                <w:bCs/>
              </w:rPr>
              <w:t>积极</w:t>
            </w:r>
            <w:r>
              <w:rPr>
                <w:rFonts w:hint="eastAsia" w:ascii="仿宋" w:hAnsi="仿宋" w:eastAsia="仿宋"/>
                <w:bCs/>
              </w:rPr>
              <w:t>实践。</w:t>
            </w:r>
          </w:p>
          <w:p w14:paraId="161044F9">
            <w:pPr>
              <w:rPr>
                <w:rFonts w:ascii="仿宋" w:hAnsi="仿宋" w:eastAsia="仿宋"/>
                <w:bCs/>
              </w:rPr>
            </w:pPr>
            <w:r>
              <w:rPr>
                <w:rFonts w:hint="eastAsia" w:ascii="仿宋" w:hAnsi="仿宋" w:eastAsia="仿宋"/>
                <w:b/>
                <w:bCs/>
              </w:rPr>
              <w:t>难点：</w:t>
            </w:r>
            <w:r>
              <w:rPr>
                <w:rFonts w:hint="eastAsia" w:ascii="仿宋" w:hAnsi="仿宋" w:eastAsia="仿宋"/>
                <w:bCs/>
              </w:rPr>
              <w:t>全面发</w:t>
            </w:r>
            <w:r>
              <w:rPr>
                <w:rFonts w:ascii="仿宋" w:hAnsi="仿宋" w:eastAsia="仿宋"/>
                <w:bCs/>
              </w:rPr>
              <w:t>展体能，</w:t>
            </w:r>
            <w:r>
              <w:rPr>
                <w:rFonts w:hint="eastAsia" w:ascii="仿宋" w:hAnsi="仿宋" w:eastAsia="仿宋"/>
                <w:bCs/>
              </w:rPr>
              <w:t>完成体质</w:t>
            </w:r>
            <w:r>
              <w:rPr>
                <w:rFonts w:ascii="仿宋" w:hAnsi="仿宋" w:eastAsia="仿宋"/>
                <w:bCs/>
              </w:rPr>
              <w:t>健康标准测试</w:t>
            </w:r>
            <w:r>
              <w:rPr>
                <w:rFonts w:hint="eastAsia" w:ascii="仿宋" w:hAnsi="仿宋" w:eastAsia="仿宋"/>
                <w:bCs/>
              </w:rPr>
              <w:t>。</w:t>
            </w:r>
          </w:p>
        </w:tc>
        <w:tc>
          <w:tcPr>
            <w:tcW w:w="541" w:type="pct"/>
            <w:noWrap w:val="0"/>
            <w:vAlign w:val="center"/>
          </w:tcPr>
          <w:p w14:paraId="3602A8BE">
            <w:pPr>
              <w:widowControl/>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noWrap w:val="0"/>
            <w:vAlign w:val="center"/>
          </w:tcPr>
          <w:p w14:paraId="081742D5">
            <w:pPr>
              <w:spacing w:before="180" w:beforeLines="50" w:after="180" w:afterLines="50" w:line="360" w:lineRule="exact"/>
              <w:ind w:firstLine="420" w:firstLineChars="200"/>
              <w:jc w:val="left"/>
              <w:rPr>
                <w:rFonts w:ascii="仿宋" w:hAnsi="仿宋" w:eastAsia="仿宋"/>
                <w:szCs w:val="21"/>
              </w:rPr>
            </w:pPr>
            <w:r>
              <w:rPr>
                <w:rFonts w:hint="eastAsia" w:ascii="仿宋" w:hAnsi="仿宋" w:eastAsia="仿宋"/>
                <w:szCs w:val="21"/>
              </w:rPr>
              <w:t>通过课外实践，使学生巩固课内学习效果，掌握科学锻炼的基础知识、基本技能和有效方法，</w:t>
            </w:r>
            <w:r>
              <w:rPr>
                <w:rFonts w:hint="eastAsia" w:ascii="仿宋" w:hAnsi="仿宋" w:eastAsia="仿宋"/>
                <w:kern w:val="0"/>
                <w:szCs w:val="21"/>
              </w:rPr>
              <w:t>发展身体素质</w:t>
            </w:r>
            <w:r>
              <w:rPr>
                <w:rFonts w:hint="eastAsia" w:ascii="仿宋" w:hAnsi="仿宋" w:eastAsia="仿宋"/>
                <w:szCs w:val="21"/>
              </w:rPr>
              <w:t>；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仿宋" w:hAnsi="仿宋" w:eastAsia="仿宋"/>
                <w:kern w:val="0"/>
                <w:szCs w:val="21"/>
              </w:rPr>
              <w:t>。</w:t>
            </w:r>
          </w:p>
        </w:tc>
        <w:tc>
          <w:tcPr>
            <w:tcW w:w="386" w:type="pct"/>
            <w:noWrap w:val="0"/>
            <w:vAlign w:val="center"/>
          </w:tcPr>
          <w:p w14:paraId="50D5F152">
            <w:pPr>
              <w:jc w:val="center"/>
              <w:rPr>
                <w:rFonts w:ascii="仿宋" w:hAnsi="仿宋" w:eastAsia="仿宋"/>
                <w:szCs w:val="21"/>
              </w:rPr>
            </w:pPr>
            <w:r>
              <w:rPr>
                <w:rFonts w:ascii="仿宋" w:hAnsi="仿宋" w:eastAsia="仿宋"/>
                <w:szCs w:val="21"/>
              </w:rPr>
              <w:t>16</w:t>
            </w:r>
          </w:p>
        </w:tc>
        <w:tc>
          <w:tcPr>
            <w:tcW w:w="464" w:type="pct"/>
            <w:noWrap w:val="0"/>
            <w:vAlign w:val="center"/>
          </w:tcPr>
          <w:p w14:paraId="259B54FC">
            <w:pP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4BA131B3">
            <w:pPr>
              <w:jc w:val="left"/>
              <w:rPr>
                <w:rFonts w:ascii="仿宋" w:hAnsi="仿宋" w:eastAsia="仿宋"/>
                <w:szCs w:val="21"/>
              </w:rPr>
            </w:pPr>
            <w:r>
              <w:rPr>
                <w:rFonts w:hint="eastAsia" w:ascii="仿宋" w:hAnsi="仿宋" w:eastAsia="仿宋"/>
                <w:szCs w:val="21"/>
              </w:rPr>
              <w:t>目标1</w:t>
            </w:r>
          </w:p>
          <w:p w14:paraId="3AD419A1">
            <w:pPr>
              <w:jc w:val="left"/>
              <w:rPr>
                <w:rFonts w:ascii="仿宋" w:hAnsi="仿宋" w:eastAsia="仿宋"/>
                <w:szCs w:val="21"/>
              </w:rPr>
            </w:pPr>
            <w:r>
              <w:rPr>
                <w:rFonts w:hint="eastAsia" w:ascii="仿宋" w:hAnsi="仿宋" w:eastAsia="仿宋"/>
                <w:szCs w:val="21"/>
              </w:rPr>
              <w:t>目标2</w:t>
            </w:r>
          </w:p>
        </w:tc>
      </w:tr>
    </w:tbl>
    <w:p w14:paraId="33B01689">
      <w:pPr>
        <w:pStyle w:val="4"/>
        <w:bidi w:val="0"/>
      </w:pPr>
      <w:r>
        <w:rPr>
          <w:rFonts w:hint="eastAsia"/>
        </w:rPr>
        <w:t>四、课程实施</w:t>
      </w:r>
    </w:p>
    <w:p w14:paraId="060425A0">
      <w:pPr>
        <w:spacing w:before="180" w:beforeLines="50" w:after="180" w:afterLines="50" w:line="360" w:lineRule="exact"/>
        <w:ind w:firstLine="482" w:firstLineChars="200"/>
        <w:jc w:val="left"/>
        <w:rPr>
          <w:rFonts w:ascii="仿宋" w:hAnsi="仿宋" w:eastAsia="仿宋"/>
          <w:b/>
          <w:sz w:val="24"/>
        </w:rPr>
      </w:pPr>
      <w:r>
        <w:rPr>
          <w:rFonts w:hint="eastAsia" w:ascii="仿宋" w:hAnsi="仿宋" w:eastAsia="仿宋"/>
          <w:b/>
          <w:sz w:val="24"/>
        </w:rPr>
        <w:t>（一）方法与手段</w:t>
      </w:r>
    </w:p>
    <w:p w14:paraId="0AD09E33">
      <w:pPr>
        <w:spacing w:before="180" w:beforeLines="50" w:after="180" w:afterLines="50" w:line="360" w:lineRule="exact"/>
        <w:ind w:firstLine="480" w:firstLineChars="200"/>
        <w:jc w:val="left"/>
        <w:rPr>
          <w:rFonts w:hint="eastAsia" w:ascii="仿宋" w:hAnsi="仿宋" w:eastAsia="仿宋"/>
          <w:sz w:val="24"/>
        </w:rPr>
      </w:pPr>
      <w:r>
        <w:rPr>
          <w:rFonts w:hint="eastAsia" w:ascii="仿宋" w:hAnsi="仿宋" w:eastAsia="仿宋"/>
          <w:sz w:val="24"/>
        </w:rPr>
        <w:t>采用线上+线下、自主锻炼、体质测试和课外体育俱乐部等组织形式。</w:t>
      </w:r>
    </w:p>
    <w:p w14:paraId="7F27BEA0">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2D81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0DDD96DC">
            <w:pPr>
              <w:spacing w:line="276" w:lineRule="auto"/>
              <w:jc w:val="center"/>
              <w:rPr>
                <w:rFonts w:ascii="仿宋" w:hAnsi="仿宋" w:eastAsia="仿宋"/>
                <w:sz w:val="24"/>
              </w:rPr>
            </w:pPr>
            <w:r>
              <w:rPr>
                <w:rFonts w:ascii="仿宋" w:hAnsi="仿宋" w:eastAsia="仿宋" w:cs="宋体"/>
                <w:b/>
                <w:bCs/>
                <w:sz w:val="24"/>
              </w:rPr>
              <w:t>主要环节</w:t>
            </w:r>
          </w:p>
        </w:tc>
        <w:tc>
          <w:tcPr>
            <w:tcW w:w="6640" w:type="dxa"/>
            <w:tcBorders>
              <w:top w:val="single" w:color="auto" w:sz="8" w:space="0"/>
              <w:left w:val="single" w:color="auto" w:sz="8" w:space="0"/>
              <w:right w:val="single" w:color="auto" w:sz="8" w:space="0"/>
            </w:tcBorders>
            <w:noWrap w:val="0"/>
            <w:vAlign w:val="center"/>
          </w:tcPr>
          <w:p w14:paraId="353050D8">
            <w:pPr>
              <w:spacing w:line="276" w:lineRule="auto"/>
              <w:jc w:val="center"/>
              <w:rPr>
                <w:rFonts w:ascii="仿宋" w:hAnsi="仿宋" w:eastAsia="仿宋"/>
                <w:sz w:val="24"/>
              </w:rPr>
            </w:pPr>
            <w:r>
              <w:rPr>
                <w:rFonts w:hint="eastAsia" w:ascii="仿宋" w:hAnsi="仿宋" w:eastAsia="仿宋" w:cs="宋体"/>
                <w:b/>
                <w:bCs/>
                <w:sz w:val="24"/>
              </w:rPr>
              <w:t>质量要求</w:t>
            </w:r>
          </w:p>
        </w:tc>
      </w:tr>
      <w:tr w14:paraId="460B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4FB9D312">
            <w:pPr>
              <w:spacing w:line="276" w:lineRule="auto"/>
              <w:jc w:val="center"/>
              <w:rPr>
                <w:rFonts w:ascii="仿宋" w:hAnsi="仿宋" w:eastAsia="仿宋"/>
                <w:sz w:val="24"/>
              </w:rPr>
            </w:pPr>
            <w:r>
              <w:rPr>
                <w:rFonts w:ascii="仿宋" w:hAnsi="仿宋" w:eastAsia="仿宋"/>
                <w:sz w:val="24"/>
              </w:rPr>
              <w:t>1</w:t>
            </w:r>
          </w:p>
        </w:tc>
        <w:tc>
          <w:tcPr>
            <w:tcW w:w="1252" w:type="dxa"/>
            <w:noWrap w:val="0"/>
            <w:tcMar>
              <w:left w:w="28" w:type="dxa"/>
              <w:right w:w="28" w:type="dxa"/>
            </w:tcMar>
            <w:vAlign w:val="center"/>
          </w:tcPr>
          <w:p w14:paraId="78BDA0C3">
            <w:pPr>
              <w:spacing w:line="276" w:lineRule="auto"/>
              <w:jc w:val="center"/>
              <w:rPr>
                <w:rFonts w:ascii="仿宋" w:hAnsi="仿宋" w:eastAsia="仿宋"/>
                <w:sz w:val="24"/>
              </w:rPr>
            </w:pPr>
            <w:r>
              <w:rPr>
                <w:rFonts w:hint="eastAsia" w:ascii="仿宋" w:hAnsi="仿宋" w:eastAsia="仿宋"/>
                <w:sz w:val="24"/>
              </w:rPr>
              <w:t>课外锻炼</w:t>
            </w:r>
          </w:p>
        </w:tc>
        <w:tc>
          <w:tcPr>
            <w:tcW w:w="6640" w:type="dxa"/>
            <w:tcBorders>
              <w:right w:val="single" w:color="auto" w:sz="8" w:space="0"/>
            </w:tcBorders>
            <w:noWrap w:val="0"/>
            <w:vAlign w:val="center"/>
          </w:tcPr>
          <w:p w14:paraId="0B592A47">
            <w:pPr>
              <w:autoSpaceDE w:val="0"/>
              <w:autoSpaceDN w:val="0"/>
              <w:adjustRightInd w:val="0"/>
              <w:snapToGrid w:val="0"/>
              <w:spacing w:line="320" w:lineRule="exact"/>
              <w:jc w:val="left"/>
              <w:rPr>
                <w:rFonts w:ascii="仿宋" w:hAnsi="仿宋" w:eastAsia="仿宋" w:cs="宋体"/>
                <w:kern w:val="0"/>
                <w:sz w:val="22"/>
              </w:rPr>
            </w:pPr>
            <w:r>
              <w:rPr>
                <w:rFonts w:hint="eastAsia" w:ascii="仿宋" w:hAnsi="仿宋" w:eastAsia="仿宋" w:cs="宋体"/>
                <w:kern w:val="0"/>
                <w:sz w:val="22"/>
              </w:rPr>
              <w:t>学生利用课余时间通过参加体质测试、早锻炼、课外健身活动以及校级、院级和体育社团组织的各种体育比赛等活动，巩固课内学习效果，提高身体素质，培养学生自我锻炼意识和习惯。</w:t>
            </w:r>
          </w:p>
        </w:tc>
      </w:tr>
      <w:tr w14:paraId="57EA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71D7FB65">
            <w:pPr>
              <w:spacing w:line="276" w:lineRule="auto"/>
              <w:jc w:val="center"/>
              <w:rPr>
                <w:rFonts w:ascii="仿宋" w:hAnsi="仿宋" w:eastAsia="仿宋"/>
                <w:sz w:val="24"/>
              </w:rPr>
            </w:pPr>
            <w:r>
              <w:rPr>
                <w:rFonts w:ascii="仿宋" w:hAnsi="仿宋" w:eastAsia="仿宋"/>
                <w:sz w:val="24"/>
              </w:rPr>
              <w:t>2</w:t>
            </w:r>
          </w:p>
        </w:tc>
        <w:tc>
          <w:tcPr>
            <w:tcW w:w="1252" w:type="dxa"/>
            <w:noWrap w:val="0"/>
            <w:tcMar>
              <w:left w:w="28" w:type="dxa"/>
              <w:right w:w="28" w:type="dxa"/>
            </w:tcMar>
            <w:vAlign w:val="center"/>
          </w:tcPr>
          <w:p w14:paraId="2705F88A">
            <w:pPr>
              <w:spacing w:line="276" w:lineRule="auto"/>
              <w:jc w:val="center"/>
              <w:rPr>
                <w:rFonts w:ascii="仿宋" w:hAnsi="仿宋" w:eastAsia="仿宋"/>
                <w:sz w:val="24"/>
              </w:rPr>
            </w:pPr>
            <w:r>
              <w:rPr>
                <w:rFonts w:hint="eastAsia" w:ascii="仿宋" w:hAnsi="仿宋" w:eastAsia="仿宋"/>
                <w:sz w:val="24"/>
              </w:rPr>
              <w:t>成绩考核</w:t>
            </w:r>
          </w:p>
        </w:tc>
        <w:tc>
          <w:tcPr>
            <w:tcW w:w="6640" w:type="dxa"/>
            <w:tcBorders>
              <w:right w:val="single" w:color="auto" w:sz="8" w:space="0"/>
            </w:tcBorders>
            <w:noWrap w:val="0"/>
            <w:vAlign w:val="center"/>
          </w:tcPr>
          <w:p w14:paraId="79C9C546">
            <w:pPr>
              <w:autoSpaceDE w:val="0"/>
              <w:autoSpaceDN w:val="0"/>
              <w:adjustRightInd w:val="0"/>
              <w:snapToGrid w:val="0"/>
              <w:spacing w:line="320" w:lineRule="exact"/>
              <w:jc w:val="left"/>
              <w:rPr>
                <w:rFonts w:hint="eastAsia" w:ascii="仿宋" w:hAnsi="仿宋" w:eastAsia="仿宋" w:cs="宋体"/>
                <w:kern w:val="0"/>
                <w:sz w:val="22"/>
              </w:rPr>
            </w:pPr>
            <w:r>
              <w:rPr>
                <w:rFonts w:hint="eastAsia" w:ascii="仿宋" w:hAnsi="仿宋" w:eastAsia="仿宋" w:cs="宋体"/>
                <w:kern w:val="0"/>
                <w:sz w:val="22"/>
              </w:rPr>
              <w:t>本课程考核的方式：以学生参加课外体育活动的考勤次数为依据。总评成绩的评定见《学生参加课外体育活动成绩评定标准》。</w:t>
            </w:r>
          </w:p>
        </w:tc>
      </w:tr>
    </w:tbl>
    <w:p w14:paraId="1CB32521">
      <w:pPr>
        <w:pStyle w:val="4"/>
        <w:bidi w:val="0"/>
      </w:pPr>
      <w:r>
        <w:rPr>
          <w:rFonts w:hint="eastAsia"/>
        </w:rPr>
        <w:t>五</w:t>
      </w:r>
      <w:r>
        <w:t>、</w:t>
      </w:r>
      <w:r>
        <w:rPr>
          <w:rFonts w:hint="eastAsia"/>
        </w:rPr>
        <w:t>课程考核</w:t>
      </w:r>
    </w:p>
    <w:p w14:paraId="2BA221D1">
      <w:pPr>
        <w:spacing w:line="360" w:lineRule="auto"/>
        <w:ind w:firstLine="480" w:firstLineChars="200"/>
        <w:rPr>
          <w:rFonts w:ascii="仿宋" w:hAnsi="仿宋" w:eastAsia="仿宋"/>
          <w:sz w:val="24"/>
        </w:rPr>
      </w:pPr>
      <w:r>
        <w:rPr>
          <w:rFonts w:hint="eastAsia" w:ascii="仿宋" w:hAnsi="仿宋" w:eastAsia="仿宋"/>
          <w:sz w:val="24"/>
        </w:rPr>
        <w:t>（一）课程考核以学生参加课外体育活动的考勤次数为依据，制定学生参加课外体育活动成绩评定标准。主要包括晨跑、课外自主健身跑、健身辅导站、体育社团或单项协会健身活动和校级、院级、体育社团组织的体育竞赛活动等</w:t>
      </w:r>
      <w:r>
        <w:rPr>
          <w:rFonts w:ascii="仿宋" w:hAnsi="仿宋" w:eastAsia="仿宋"/>
          <w:sz w:val="24"/>
        </w:rPr>
        <w:t>。</w:t>
      </w:r>
    </w:p>
    <w:p w14:paraId="713E8FB8">
      <w:pPr>
        <w:spacing w:line="360" w:lineRule="auto"/>
        <w:ind w:firstLine="480" w:firstLineChars="200"/>
        <w:rPr>
          <w:rFonts w:ascii="仿宋" w:hAnsi="仿宋" w:eastAsia="仿宋"/>
          <w:sz w:val="24"/>
        </w:rPr>
      </w:pPr>
      <w:r>
        <w:rPr>
          <w:rFonts w:hint="eastAsia" w:ascii="仿宋" w:hAnsi="仿宋" w:eastAsia="仿宋"/>
          <w:sz w:val="24"/>
        </w:rPr>
        <w:t>（二）学生课外体育活动成绩评定标准。</w:t>
      </w:r>
    </w:p>
    <w:p w14:paraId="6C8A94B9">
      <w:pPr>
        <w:spacing w:line="360" w:lineRule="auto"/>
        <w:ind w:firstLine="480" w:firstLineChars="200"/>
        <w:jc w:val="left"/>
        <w:rPr>
          <w:rFonts w:ascii="仿宋" w:hAnsi="仿宋" w:eastAsia="仿宋"/>
          <w:sz w:val="24"/>
        </w:rPr>
      </w:pPr>
      <w:r>
        <w:rPr>
          <w:rFonts w:hint="eastAsia" w:ascii="仿宋" w:hAnsi="仿宋" w:eastAsia="仿宋"/>
          <w:sz w:val="24"/>
        </w:rPr>
        <w:t>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p>
    <w:tbl>
      <w:tblPr>
        <w:tblStyle w:val="3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828"/>
        <w:gridCol w:w="830"/>
        <w:gridCol w:w="828"/>
        <w:gridCol w:w="831"/>
        <w:gridCol w:w="829"/>
        <w:gridCol w:w="831"/>
        <w:gridCol w:w="829"/>
        <w:gridCol w:w="831"/>
        <w:gridCol w:w="831"/>
      </w:tblGrid>
      <w:tr w14:paraId="6B8A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375BD738">
            <w:pPr>
              <w:spacing w:line="280" w:lineRule="exact"/>
              <w:jc w:val="center"/>
              <w:rPr>
                <w:rFonts w:ascii="仿宋" w:hAnsi="仿宋" w:eastAsia="仿宋"/>
                <w:sz w:val="24"/>
              </w:rPr>
            </w:pPr>
            <w:r>
              <w:rPr>
                <w:rFonts w:hint="eastAsia" w:ascii="仿宋" w:hAnsi="仿宋" w:eastAsia="仿宋"/>
                <w:sz w:val="24"/>
              </w:rPr>
              <w:t>考勤</w:t>
            </w:r>
            <w:r>
              <w:rPr>
                <w:rFonts w:ascii="仿宋" w:hAnsi="仿宋" w:eastAsia="仿宋"/>
                <w:sz w:val="24"/>
              </w:rPr>
              <w:t>次数</w:t>
            </w:r>
          </w:p>
        </w:tc>
        <w:tc>
          <w:tcPr>
            <w:tcW w:w="446" w:type="pct"/>
            <w:noWrap w:val="0"/>
            <w:vAlign w:val="center"/>
          </w:tcPr>
          <w:p w14:paraId="7CBB9990">
            <w:pPr>
              <w:spacing w:line="280" w:lineRule="exact"/>
              <w:jc w:val="center"/>
              <w:rPr>
                <w:rFonts w:ascii="仿宋" w:hAnsi="仿宋" w:eastAsia="仿宋"/>
                <w:sz w:val="24"/>
              </w:rPr>
            </w:pPr>
            <w:r>
              <w:rPr>
                <w:rFonts w:ascii="仿宋" w:hAnsi="仿宋" w:eastAsia="仿宋"/>
                <w:sz w:val="24"/>
              </w:rPr>
              <w:t>0</w:t>
            </w:r>
          </w:p>
        </w:tc>
        <w:tc>
          <w:tcPr>
            <w:tcW w:w="447" w:type="pct"/>
            <w:noWrap w:val="0"/>
            <w:vAlign w:val="center"/>
          </w:tcPr>
          <w:p w14:paraId="36127AEE">
            <w:pPr>
              <w:spacing w:line="280" w:lineRule="exact"/>
              <w:jc w:val="center"/>
              <w:rPr>
                <w:rFonts w:ascii="仿宋" w:hAnsi="仿宋" w:eastAsia="仿宋"/>
                <w:sz w:val="24"/>
              </w:rPr>
            </w:pPr>
            <w:r>
              <w:rPr>
                <w:rFonts w:ascii="仿宋" w:hAnsi="仿宋" w:eastAsia="仿宋"/>
                <w:sz w:val="24"/>
              </w:rPr>
              <w:t>5</w:t>
            </w:r>
          </w:p>
        </w:tc>
        <w:tc>
          <w:tcPr>
            <w:tcW w:w="446" w:type="pct"/>
            <w:noWrap w:val="0"/>
            <w:vAlign w:val="center"/>
          </w:tcPr>
          <w:p w14:paraId="384D58BE">
            <w:pPr>
              <w:spacing w:line="28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0</w:t>
            </w:r>
          </w:p>
        </w:tc>
        <w:tc>
          <w:tcPr>
            <w:tcW w:w="447" w:type="pct"/>
            <w:noWrap w:val="0"/>
            <w:vAlign w:val="center"/>
          </w:tcPr>
          <w:p w14:paraId="69B8C874">
            <w:pPr>
              <w:spacing w:line="28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5</w:t>
            </w:r>
          </w:p>
        </w:tc>
        <w:tc>
          <w:tcPr>
            <w:tcW w:w="446" w:type="pct"/>
            <w:noWrap w:val="0"/>
            <w:vAlign w:val="center"/>
          </w:tcPr>
          <w:p w14:paraId="15F2F2C9">
            <w:pPr>
              <w:spacing w:line="280" w:lineRule="exact"/>
              <w:jc w:val="center"/>
              <w:rPr>
                <w:rFonts w:ascii="仿宋" w:hAnsi="仿宋" w:eastAsia="仿宋"/>
                <w:sz w:val="24"/>
              </w:rPr>
            </w:pPr>
            <w:r>
              <w:rPr>
                <w:rFonts w:ascii="仿宋" w:hAnsi="仿宋" w:eastAsia="仿宋"/>
                <w:sz w:val="24"/>
              </w:rPr>
              <w:t>2</w:t>
            </w:r>
            <w:r>
              <w:rPr>
                <w:rFonts w:hint="eastAsia" w:ascii="仿宋" w:hAnsi="仿宋" w:eastAsia="仿宋"/>
                <w:sz w:val="24"/>
              </w:rPr>
              <w:t>0</w:t>
            </w:r>
          </w:p>
        </w:tc>
        <w:tc>
          <w:tcPr>
            <w:tcW w:w="447" w:type="pct"/>
            <w:noWrap w:val="0"/>
            <w:vAlign w:val="center"/>
          </w:tcPr>
          <w:p w14:paraId="7F083B5B">
            <w:pPr>
              <w:spacing w:line="280" w:lineRule="exact"/>
              <w:jc w:val="center"/>
              <w:rPr>
                <w:rFonts w:ascii="仿宋" w:hAnsi="仿宋" w:eastAsia="仿宋"/>
                <w:sz w:val="24"/>
              </w:rPr>
            </w:pPr>
            <w:r>
              <w:rPr>
                <w:rFonts w:ascii="仿宋" w:hAnsi="仿宋" w:eastAsia="仿宋"/>
                <w:sz w:val="24"/>
              </w:rPr>
              <w:t>25</w:t>
            </w:r>
          </w:p>
        </w:tc>
        <w:tc>
          <w:tcPr>
            <w:tcW w:w="446" w:type="pct"/>
            <w:noWrap w:val="0"/>
            <w:vAlign w:val="center"/>
          </w:tcPr>
          <w:p w14:paraId="7C822415">
            <w:pPr>
              <w:spacing w:line="280" w:lineRule="exact"/>
              <w:jc w:val="center"/>
              <w:rPr>
                <w:rFonts w:ascii="仿宋" w:hAnsi="仿宋" w:eastAsia="仿宋"/>
                <w:sz w:val="24"/>
              </w:rPr>
            </w:pPr>
            <w:r>
              <w:rPr>
                <w:rFonts w:ascii="仿宋" w:hAnsi="仿宋" w:eastAsia="仿宋"/>
                <w:sz w:val="24"/>
              </w:rPr>
              <w:t>3</w:t>
            </w:r>
            <w:r>
              <w:rPr>
                <w:rFonts w:hint="eastAsia" w:ascii="仿宋" w:hAnsi="仿宋" w:eastAsia="仿宋"/>
                <w:sz w:val="24"/>
              </w:rPr>
              <w:t>0</w:t>
            </w:r>
          </w:p>
        </w:tc>
        <w:tc>
          <w:tcPr>
            <w:tcW w:w="447" w:type="pct"/>
            <w:noWrap w:val="0"/>
            <w:vAlign w:val="center"/>
          </w:tcPr>
          <w:p w14:paraId="4FD94AC4">
            <w:pPr>
              <w:spacing w:line="280" w:lineRule="exact"/>
              <w:jc w:val="center"/>
              <w:rPr>
                <w:rFonts w:ascii="仿宋" w:hAnsi="仿宋" w:eastAsia="仿宋"/>
                <w:sz w:val="24"/>
              </w:rPr>
            </w:pPr>
            <w:r>
              <w:rPr>
                <w:rFonts w:ascii="仿宋" w:hAnsi="仿宋" w:eastAsia="仿宋"/>
                <w:sz w:val="24"/>
              </w:rPr>
              <w:t>35</w:t>
            </w:r>
          </w:p>
        </w:tc>
        <w:tc>
          <w:tcPr>
            <w:tcW w:w="447" w:type="pct"/>
            <w:noWrap w:val="0"/>
            <w:vAlign w:val="center"/>
          </w:tcPr>
          <w:p w14:paraId="3683A3E1">
            <w:pPr>
              <w:spacing w:line="280" w:lineRule="exact"/>
              <w:jc w:val="center"/>
              <w:rPr>
                <w:rFonts w:ascii="仿宋" w:hAnsi="仿宋" w:eastAsia="仿宋"/>
                <w:sz w:val="24"/>
              </w:rPr>
            </w:pPr>
            <w:r>
              <w:rPr>
                <w:rFonts w:ascii="仿宋" w:hAnsi="仿宋" w:eastAsia="仿宋"/>
                <w:sz w:val="24"/>
              </w:rPr>
              <w:t>4</w:t>
            </w:r>
            <w:r>
              <w:rPr>
                <w:rFonts w:hint="eastAsia" w:ascii="仿宋" w:hAnsi="仿宋" w:eastAsia="仿宋"/>
                <w:sz w:val="24"/>
              </w:rPr>
              <w:t>0</w:t>
            </w:r>
          </w:p>
        </w:tc>
      </w:tr>
      <w:tr w14:paraId="2234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2CE22FB8">
            <w:pPr>
              <w:spacing w:line="280" w:lineRule="exact"/>
              <w:jc w:val="center"/>
              <w:rPr>
                <w:rFonts w:ascii="仿宋" w:hAnsi="仿宋" w:eastAsia="仿宋"/>
                <w:sz w:val="24"/>
              </w:rPr>
            </w:pPr>
            <w:r>
              <w:rPr>
                <w:rFonts w:hint="eastAsia" w:ascii="仿宋" w:hAnsi="仿宋" w:eastAsia="仿宋"/>
                <w:sz w:val="24"/>
              </w:rPr>
              <w:t>成绩</w:t>
            </w:r>
          </w:p>
        </w:tc>
        <w:tc>
          <w:tcPr>
            <w:tcW w:w="446" w:type="pct"/>
            <w:noWrap w:val="0"/>
            <w:vAlign w:val="center"/>
          </w:tcPr>
          <w:p w14:paraId="2D71D04B">
            <w:pPr>
              <w:spacing w:line="280" w:lineRule="exact"/>
              <w:jc w:val="center"/>
              <w:rPr>
                <w:rFonts w:ascii="仿宋" w:hAnsi="仿宋" w:eastAsia="仿宋"/>
                <w:sz w:val="24"/>
              </w:rPr>
            </w:pPr>
            <w:r>
              <w:rPr>
                <w:rFonts w:hint="eastAsia" w:ascii="仿宋" w:hAnsi="仿宋" w:eastAsia="仿宋"/>
                <w:sz w:val="24"/>
              </w:rPr>
              <w:t>0</w:t>
            </w:r>
          </w:p>
        </w:tc>
        <w:tc>
          <w:tcPr>
            <w:tcW w:w="447" w:type="pct"/>
            <w:noWrap w:val="0"/>
            <w:vAlign w:val="center"/>
          </w:tcPr>
          <w:p w14:paraId="7FECDB58">
            <w:pPr>
              <w:spacing w:line="280" w:lineRule="exact"/>
              <w:jc w:val="center"/>
              <w:rPr>
                <w:rFonts w:ascii="仿宋" w:hAnsi="仿宋" w:eastAsia="仿宋"/>
                <w:sz w:val="24"/>
              </w:rPr>
            </w:pPr>
            <w:r>
              <w:rPr>
                <w:rFonts w:ascii="仿宋" w:hAnsi="仿宋" w:eastAsia="仿宋"/>
                <w:sz w:val="24"/>
              </w:rPr>
              <w:t>12.5</w:t>
            </w:r>
          </w:p>
        </w:tc>
        <w:tc>
          <w:tcPr>
            <w:tcW w:w="446" w:type="pct"/>
            <w:noWrap w:val="0"/>
            <w:vAlign w:val="center"/>
          </w:tcPr>
          <w:p w14:paraId="462A9ED0">
            <w:pPr>
              <w:spacing w:line="280" w:lineRule="exact"/>
              <w:jc w:val="center"/>
              <w:rPr>
                <w:rFonts w:ascii="仿宋" w:hAnsi="仿宋" w:eastAsia="仿宋"/>
                <w:sz w:val="24"/>
              </w:rPr>
            </w:pPr>
            <w:r>
              <w:rPr>
                <w:rFonts w:ascii="仿宋" w:hAnsi="仿宋" w:eastAsia="仿宋"/>
                <w:sz w:val="24"/>
              </w:rPr>
              <w:t>25</w:t>
            </w:r>
          </w:p>
        </w:tc>
        <w:tc>
          <w:tcPr>
            <w:tcW w:w="447" w:type="pct"/>
            <w:noWrap w:val="0"/>
            <w:vAlign w:val="center"/>
          </w:tcPr>
          <w:p w14:paraId="621B11B9">
            <w:pPr>
              <w:spacing w:line="280" w:lineRule="exact"/>
              <w:jc w:val="center"/>
              <w:rPr>
                <w:rFonts w:ascii="仿宋" w:hAnsi="仿宋" w:eastAsia="仿宋"/>
                <w:sz w:val="24"/>
              </w:rPr>
            </w:pPr>
            <w:r>
              <w:rPr>
                <w:rFonts w:ascii="仿宋" w:hAnsi="仿宋" w:eastAsia="仿宋"/>
                <w:sz w:val="24"/>
              </w:rPr>
              <w:t>37.5</w:t>
            </w:r>
          </w:p>
        </w:tc>
        <w:tc>
          <w:tcPr>
            <w:tcW w:w="446" w:type="pct"/>
            <w:noWrap w:val="0"/>
            <w:vAlign w:val="center"/>
          </w:tcPr>
          <w:p w14:paraId="319B6E42">
            <w:pPr>
              <w:spacing w:line="280" w:lineRule="exact"/>
              <w:jc w:val="center"/>
              <w:rPr>
                <w:rFonts w:ascii="仿宋" w:hAnsi="仿宋" w:eastAsia="仿宋"/>
                <w:sz w:val="24"/>
              </w:rPr>
            </w:pPr>
            <w:r>
              <w:rPr>
                <w:rFonts w:ascii="仿宋" w:hAnsi="仿宋" w:eastAsia="仿宋"/>
                <w:sz w:val="24"/>
              </w:rPr>
              <w:t>50</w:t>
            </w:r>
          </w:p>
        </w:tc>
        <w:tc>
          <w:tcPr>
            <w:tcW w:w="447" w:type="pct"/>
            <w:noWrap w:val="0"/>
            <w:vAlign w:val="center"/>
          </w:tcPr>
          <w:p w14:paraId="33278E7C">
            <w:pPr>
              <w:spacing w:line="280" w:lineRule="exact"/>
              <w:jc w:val="center"/>
              <w:rPr>
                <w:rFonts w:ascii="仿宋" w:hAnsi="仿宋" w:eastAsia="仿宋"/>
                <w:sz w:val="24"/>
              </w:rPr>
            </w:pPr>
            <w:r>
              <w:rPr>
                <w:rFonts w:ascii="仿宋" w:hAnsi="仿宋" w:eastAsia="仿宋"/>
                <w:sz w:val="24"/>
              </w:rPr>
              <w:t>62.5</w:t>
            </w:r>
          </w:p>
        </w:tc>
        <w:tc>
          <w:tcPr>
            <w:tcW w:w="446" w:type="pct"/>
            <w:noWrap w:val="0"/>
            <w:vAlign w:val="center"/>
          </w:tcPr>
          <w:p w14:paraId="1A7AFCF4">
            <w:pPr>
              <w:spacing w:line="280" w:lineRule="exact"/>
              <w:jc w:val="center"/>
              <w:rPr>
                <w:rFonts w:ascii="仿宋" w:hAnsi="仿宋" w:eastAsia="仿宋"/>
                <w:sz w:val="24"/>
              </w:rPr>
            </w:pPr>
            <w:r>
              <w:rPr>
                <w:rFonts w:ascii="仿宋" w:hAnsi="仿宋" w:eastAsia="仿宋"/>
                <w:sz w:val="24"/>
              </w:rPr>
              <w:t>75</w:t>
            </w:r>
          </w:p>
        </w:tc>
        <w:tc>
          <w:tcPr>
            <w:tcW w:w="447" w:type="pct"/>
            <w:noWrap w:val="0"/>
            <w:vAlign w:val="center"/>
          </w:tcPr>
          <w:p w14:paraId="6332D894">
            <w:pPr>
              <w:spacing w:line="280" w:lineRule="exact"/>
              <w:jc w:val="center"/>
              <w:rPr>
                <w:rFonts w:ascii="仿宋" w:hAnsi="仿宋" w:eastAsia="仿宋"/>
                <w:sz w:val="24"/>
              </w:rPr>
            </w:pPr>
            <w:r>
              <w:rPr>
                <w:rFonts w:ascii="仿宋" w:hAnsi="仿宋" w:eastAsia="仿宋"/>
                <w:sz w:val="24"/>
              </w:rPr>
              <w:t>87.5</w:t>
            </w:r>
          </w:p>
        </w:tc>
        <w:tc>
          <w:tcPr>
            <w:tcW w:w="447" w:type="pct"/>
            <w:noWrap w:val="0"/>
            <w:vAlign w:val="center"/>
          </w:tcPr>
          <w:p w14:paraId="0E1C7F88">
            <w:pPr>
              <w:spacing w:line="280" w:lineRule="exact"/>
              <w:jc w:val="center"/>
              <w:rPr>
                <w:rFonts w:ascii="仿宋" w:hAnsi="仿宋" w:eastAsia="仿宋"/>
                <w:sz w:val="24"/>
              </w:rPr>
            </w:pPr>
            <w:r>
              <w:rPr>
                <w:rFonts w:hint="eastAsia" w:ascii="仿宋" w:hAnsi="仿宋" w:eastAsia="仿宋"/>
                <w:sz w:val="24"/>
              </w:rPr>
              <w:t>100</w:t>
            </w:r>
          </w:p>
        </w:tc>
      </w:tr>
    </w:tbl>
    <w:p w14:paraId="1A1C164A">
      <w:pPr>
        <w:pStyle w:val="4"/>
        <w:bidi w:val="0"/>
      </w:pPr>
      <w:r>
        <w:rPr>
          <w:rFonts w:hint="eastAsia"/>
        </w:rPr>
        <w:t>六</w:t>
      </w:r>
      <w:r>
        <w:t>、</w:t>
      </w:r>
      <w:r>
        <w:rPr>
          <w:rFonts w:hint="eastAsia"/>
        </w:rPr>
        <w:t>有关说明</w:t>
      </w:r>
    </w:p>
    <w:p w14:paraId="20403BC5">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75FD7396">
      <w:pPr>
        <w:spacing w:line="360" w:lineRule="auto"/>
        <w:ind w:firstLine="480" w:firstLineChars="200"/>
        <w:rPr>
          <w:rFonts w:ascii="仿宋" w:hAnsi="仿宋" w:eastAsia="仿宋"/>
          <w:sz w:val="24"/>
        </w:rPr>
      </w:pPr>
      <w:r>
        <w:rPr>
          <w:rFonts w:hint="eastAsia" w:ascii="仿宋" w:hAnsi="仿宋" w:eastAsia="仿宋"/>
          <w:sz w:val="24"/>
        </w:rPr>
        <w:t>本课程根据学生课外锻炼、体质测试等情况，以及学生、教学督导等反馈，及时对教学中不足之处进行改进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4B1DB4C8">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6648FB93">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62E73555">
      <w:pPr>
        <w:spacing w:line="312" w:lineRule="auto"/>
        <w:rPr>
          <w:rFonts w:ascii="仿宋" w:hAnsi="仿宋" w:eastAsia="仿宋"/>
          <w:sz w:val="24"/>
        </w:rPr>
      </w:pPr>
    </w:p>
    <w:p w14:paraId="1016DE0D">
      <w:pPr>
        <w:spacing w:line="312" w:lineRule="auto"/>
        <w:rPr>
          <w:rFonts w:ascii="仿宋" w:hAnsi="仿宋" w:eastAsia="仿宋"/>
          <w:sz w:val="24"/>
        </w:rPr>
      </w:pPr>
    </w:p>
    <w:p w14:paraId="7CD783D1">
      <w:pPr>
        <w:wordWrap w:val="0"/>
        <w:spacing w:line="360" w:lineRule="exact"/>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 xml:space="preserve"> 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 xml:space="preserve">人：顾 </w:t>
      </w:r>
      <w:r>
        <w:rPr>
          <w:rFonts w:ascii="仿宋" w:hAnsi="仿宋" w:eastAsia="仿宋"/>
          <w:sz w:val="24"/>
        </w:rPr>
        <w:t xml:space="preserve"> </w:t>
      </w:r>
      <w:r>
        <w:rPr>
          <w:rFonts w:hint="eastAsia" w:ascii="仿宋" w:hAnsi="仿宋" w:eastAsia="仿宋"/>
          <w:sz w:val="24"/>
        </w:rPr>
        <w:t>宏</w:t>
      </w:r>
    </w:p>
    <w:p w14:paraId="5E6EF853">
      <w:pPr>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人：方曙</w:t>
      </w:r>
      <w:r>
        <w:rPr>
          <w:rFonts w:ascii="仿宋" w:hAnsi="仿宋" w:eastAsia="仿宋"/>
          <w:sz w:val="24"/>
        </w:rPr>
        <w:t>光</w:t>
      </w:r>
    </w:p>
    <w:p w14:paraId="6708384B">
      <w:pPr>
        <w:ind w:firstLine="240" w:firstLineChars="1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w:t>
      </w:r>
      <w:r>
        <w:rPr>
          <w:rFonts w:ascii="仿宋" w:hAnsi="仿宋" w:eastAsia="仿宋"/>
          <w:sz w:val="24"/>
        </w:rPr>
        <w:t>福</w:t>
      </w:r>
    </w:p>
    <w:p w14:paraId="643D53D8">
      <w:pPr>
        <w:ind w:firstLine="240" w:firstLineChars="1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51BF2A04">
      <w:pPr>
        <w:ind w:firstLine="240" w:firstLineChars="100"/>
        <w:jc w:val="right"/>
        <w:rPr>
          <w:rFonts w:ascii="Times New Roman" w:hAnsi="Times New Roman" w:eastAsia="宋体" w:cs="Times New Roman"/>
          <w:sz w:val="24"/>
          <w:szCs w:val="24"/>
        </w:rPr>
      </w:pPr>
    </w:p>
    <w:p w14:paraId="4CBBA2B4">
      <w:pPr>
        <w:ind w:firstLine="240" w:firstLineChars="100"/>
        <w:jc w:val="right"/>
        <w:rPr>
          <w:rFonts w:ascii="Times New Roman" w:hAnsi="Times New Roman" w:eastAsia="宋体" w:cs="Times New Roman"/>
          <w:sz w:val="24"/>
          <w:szCs w:val="24"/>
        </w:rPr>
      </w:pPr>
    </w:p>
    <w:p w14:paraId="1FF3B9D1">
      <w:pPr>
        <w:ind w:firstLine="240" w:firstLineChars="100"/>
        <w:jc w:val="right"/>
        <w:rPr>
          <w:rFonts w:ascii="Times New Roman" w:hAnsi="Times New Roman" w:eastAsia="宋体" w:cs="Times New Roman"/>
          <w:sz w:val="24"/>
          <w:szCs w:val="24"/>
        </w:rPr>
      </w:pPr>
    </w:p>
    <w:p w14:paraId="6E49AD54">
      <w:pPr>
        <w:ind w:firstLine="240" w:firstLineChars="100"/>
        <w:jc w:val="right"/>
        <w:rPr>
          <w:rFonts w:ascii="Times New Roman" w:hAnsi="Times New Roman" w:eastAsia="宋体" w:cs="Times New Roman"/>
          <w:sz w:val="24"/>
          <w:szCs w:val="24"/>
        </w:rPr>
      </w:pPr>
    </w:p>
    <w:p w14:paraId="737632C8">
      <w:pPr>
        <w:ind w:firstLine="240" w:firstLineChars="100"/>
        <w:jc w:val="right"/>
        <w:rPr>
          <w:rFonts w:ascii="Times New Roman" w:hAnsi="Times New Roman" w:eastAsia="宋体" w:cs="Times New Roman"/>
          <w:sz w:val="24"/>
          <w:szCs w:val="24"/>
        </w:rPr>
      </w:pPr>
    </w:p>
    <w:p w14:paraId="1DAA5733">
      <w:pPr>
        <w:ind w:firstLine="240" w:firstLineChars="100"/>
        <w:jc w:val="right"/>
        <w:rPr>
          <w:rFonts w:ascii="Times New Roman" w:hAnsi="Times New Roman" w:eastAsia="宋体" w:cs="Times New Roman"/>
          <w:sz w:val="24"/>
          <w:szCs w:val="24"/>
        </w:rPr>
      </w:pPr>
    </w:p>
    <w:p w14:paraId="04ACBC14">
      <w:pPr>
        <w:ind w:firstLine="240" w:firstLineChars="100"/>
        <w:jc w:val="right"/>
        <w:rPr>
          <w:rFonts w:ascii="Times New Roman" w:hAnsi="Times New Roman" w:eastAsia="宋体" w:cs="Times New Roman"/>
          <w:sz w:val="24"/>
          <w:szCs w:val="24"/>
        </w:rPr>
      </w:pPr>
    </w:p>
    <w:p w14:paraId="1445824F">
      <w:pPr>
        <w:ind w:firstLine="240" w:firstLineChars="100"/>
        <w:jc w:val="right"/>
        <w:rPr>
          <w:rFonts w:ascii="Times New Roman" w:hAnsi="Times New Roman" w:eastAsia="宋体" w:cs="Times New Roman"/>
          <w:sz w:val="24"/>
          <w:szCs w:val="24"/>
        </w:rPr>
      </w:pPr>
    </w:p>
    <w:p w14:paraId="0910726E">
      <w:pPr>
        <w:ind w:firstLine="240" w:firstLineChars="100"/>
        <w:jc w:val="right"/>
        <w:rPr>
          <w:rFonts w:ascii="Times New Roman" w:hAnsi="Times New Roman" w:eastAsia="宋体" w:cs="Times New Roman"/>
          <w:sz w:val="24"/>
          <w:szCs w:val="24"/>
        </w:rPr>
      </w:pPr>
    </w:p>
    <w:p w14:paraId="25D2E4F4">
      <w:pPr>
        <w:ind w:firstLine="240" w:firstLineChars="100"/>
        <w:jc w:val="right"/>
        <w:rPr>
          <w:rFonts w:ascii="Times New Roman" w:hAnsi="Times New Roman" w:eastAsia="宋体" w:cs="Times New Roman"/>
          <w:sz w:val="24"/>
          <w:szCs w:val="24"/>
        </w:rPr>
      </w:pPr>
    </w:p>
    <w:p w14:paraId="7A9C67A0">
      <w:pPr>
        <w:ind w:firstLine="240" w:firstLineChars="100"/>
        <w:jc w:val="right"/>
        <w:rPr>
          <w:rFonts w:ascii="Times New Roman" w:hAnsi="Times New Roman" w:eastAsia="宋体" w:cs="Times New Roman"/>
          <w:sz w:val="24"/>
          <w:szCs w:val="24"/>
        </w:rPr>
      </w:pPr>
    </w:p>
    <w:p w14:paraId="5AA45FDC">
      <w:pPr>
        <w:ind w:firstLine="240" w:firstLineChars="100"/>
        <w:jc w:val="right"/>
        <w:rPr>
          <w:rFonts w:ascii="Times New Roman" w:hAnsi="Times New Roman" w:eastAsia="宋体" w:cs="Times New Roman"/>
          <w:sz w:val="24"/>
          <w:szCs w:val="24"/>
        </w:rPr>
      </w:pPr>
    </w:p>
    <w:p w14:paraId="514A0058">
      <w:pPr>
        <w:ind w:firstLine="240" w:firstLineChars="100"/>
        <w:jc w:val="right"/>
        <w:rPr>
          <w:rFonts w:ascii="Times New Roman" w:hAnsi="Times New Roman" w:eastAsia="宋体" w:cs="Times New Roman"/>
          <w:sz w:val="24"/>
          <w:szCs w:val="24"/>
        </w:rPr>
      </w:pPr>
    </w:p>
    <w:p w14:paraId="1DB8385C">
      <w:pPr>
        <w:ind w:firstLine="240" w:firstLineChars="100"/>
        <w:jc w:val="right"/>
        <w:rPr>
          <w:rFonts w:ascii="Times New Roman" w:hAnsi="Times New Roman" w:eastAsia="宋体" w:cs="Times New Roman"/>
          <w:sz w:val="24"/>
          <w:szCs w:val="24"/>
        </w:rPr>
      </w:pPr>
    </w:p>
    <w:p w14:paraId="628DC63F">
      <w:pPr>
        <w:ind w:firstLine="240" w:firstLineChars="100"/>
        <w:jc w:val="right"/>
        <w:rPr>
          <w:rFonts w:ascii="Times New Roman" w:hAnsi="Times New Roman" w:eastAsia="宋体" w:cs="Times New Roman"/>
          <w:sz w:val="24"/>
          <w:szCs w:val="24"/>
        </w:rPr>
      </w:pPr>
    </w:p>
    <w:p w14:paraId="79D4442C">
      <w:pPr>
        <w:ind w:firstLine="240" w:firstLineChars="100"/>
        <w:jc w:val="right"/>
        <w:rPr>
          <w:rFonts w:ascii="Times New Roman" w:hAnsi="Times New Roman" w:eastAsia="宋体" w:cs="Times New Roman"/>
          <w:sz w:val="24"/>
          <w:szCs w:val="24"/>
        </w:rPr>
      </w:pPr>
    </w:p>
    <w:p w14:paraId="5C51FAA9">
      <w:pPr>
        <w:ind w:firstLine="240" w:firstLineChars="100"/>
        <w:jc w:val="right"/>
        <w:rPr>
          <w:rFonts w:ascii="Times New Roman" w:hAnsi="Times New Roman" w:eastAsia="宋体" w:cs="Times New Roman"/>
          <w:sz w:val="24"/>
          <w:szCs w:val="24"/>
        </w:rPr>
      </w:pPr>
    </w:p>
    <w:p w14:paraId="2E57BE6F">
      <w:pPr>
        <w:pStyle w:val="2"/>
        <w:bidi w:val="0"/>
        <w:jc w:val="center"/>
      </w:pPr>
      <w:r>
        <w:rPr>
          <w:rFonts w:hint="eastAsia"/>
        </w:rPr>
        <w:t>体育Ⅵ</w:t>
      </w:r>
      <w:r>
        <w:t>课程教学大纲</w:t>
      </w:r>
    </w:p>
    <w:p w14:paraId="6893B3B6">
      <w:pPr>
        <w:pStyle w:val="3"/>
        <w:bidi w:val="0"/>
      </w:pPr>
      <w:r>
        <w:t xml:space="preserve">（Physical  Education </w:t>
      </w:r>
      <w:r>
        <w:rPr>
          <w:rFonts w:hint="eastAsia"/>
        </w:rPr>
        <w:t>Ⅵ</w:t>
      </w:r>
      <w:r>
        <w:t>）</w:t>
      </w:r>
    </w:p>
    <w:p w14:paraId="368F82ED">
      <w:pPr>
        <w:pStyle w:val="4"/>
        <w:bidi w:val="0"/>
      </w:pPr>
      <w:r>
        <w:t>一、课程概况</w:t>
      </w:r>
    </w:p>
    <w:p w14:paraId="796811E1">
      <w:pPr>
        <w:spacing w:line="360" w:lineRule="auto"/>
        <w:ind w:firstLine="482" w:firstLineChars="200"/>
        <w:rPr>
          <w:rFonts w:ascii="仿宋" w:hAnsi="仿宋" w:eastAsia="仿宋"/>
          <w:b/>
          <w:sz w:val="28"/>
          <w:szCs w:val="28"/>
        </w:rPr>
      </w:pPr>
      <w:r>
        <w:rPr>
          <w:rFonts w:ascii="仿宋" w:hAnsi="仿宋" w:eastAsia="仿宋"/>
          <w:b/>
          <w:bCs/>
          <w:kern w:val="0"/>
          <w:sz w:val="24"/>
        </w:rPr>
        <w:t>课程代码</w:t>
      </w:r>
      <w:r>
        <w:rPr>
          <w:rFonts w:ascii="仿宋" w:hAnsi="仿宋" w:eastAsia="仿宋"/>
          <w:b/>
          <w:kern w:val="0"/>
          <w:sz w:val="24"/>
        </w:rPr>
        <w:t>：</w:t>
      </w:r>
      <w:r>
        <w:rPr>
          <w:rFonts w:hint="eastAsia" w:ascii="仿宋" w:hAnsi="仿宋" w:eastAsia="仿宋"/>
          <w:bCs/>
          <w:kern w:val="0"/>
          <w:sz w:val="24"/>
        </w:rPr>
        <w:t>110</w:t>
      </w:r>
      <w:r>
        <w:rPr>
          <w:rFonts w:ascii="仿宋" w:hAnsi="仿宋" w:eastAsia="仿宋"/>
          <w:bCs/>
          <w:kern w:val="0"/>
          <w:sz w:val="24"/>
        </w:rPr>
        <w:t>3</w:t>
      </w:r>
      <w:r>
        <w:rPr>
          <w:rFonts w:hint="eastAsia" w:ascii="仿宋" w:hAnsi="仿宋" w:eastAsia="仿宋"/>
          <w:bCs/>
          <w:kern w:val="0"/>
          <w:sz w:val="24"/>
        </w:rPr>
        <w:t>0</w:t>
      </w:r>
      <w:r>
        <w:rPr>
          <w:rFonts w:ascii="仿宋" w:hAnsi="仿宋" w:eastAsia="仿宋"/>
          <w:bCs/>
          <w:kern w:val="0"/>
          <w:sz w:val="24"/>
        </w:rPr>
        <w:t>10</w:t>
      </w:r>
    </w:p>
    <w:p w14:paraId="6D20F1D5">
      <w:pPr>
        <w:spacing w:line="360" w:lineRule="auto"/>
        <w:ind w:firstLine="482" w:firstLineChars="200"/>
        <w:rPr>
          <w:rFonts w:ascii="仿宋" w:hAnsi="仿宋" w:eastAsia="仿宋"/>
          <w:bCs/>
          <w:kern w:val="0"/>
          <w:sz w:val="24"/>
        </w:rPr>
      </w:pPr>
      <w:r>
        <w:rPr>
          <w:rFonts w:ascii="仿宋" w:hAnsi="仿宋" w:eastAsia="仿宋"/>
          <w:b/>
          <w:bCs/>
          <w:kern w:val="0"/>
          <w:sz w:val="24"/>
        </w:rPr>
        <w:t>学    分</w:t>
      </w:r>
      <w:r>
        <w:rPr>
          <w:rFonts w:ascii="仿宋" w:hAnsi="仿宋" w:eastAsia="仿宋"/>
          <w:b/>
          <w:kern w:val="0"/>
          <w:sz w:val="24"/>
        </w:rPr>
        <w:t>：</w:t>
      </w:r>
      <w:r>
        <w:rPr>
          <w:rFonts w:ascii="仿宋" w:hAnsi="仿宋" w:eastAsia="仿宋"/>
          <w:bCs/>
          <w:kern w:val="0"/>
          <w:sz w:val="24"/>
        </w:rPr>
        <w:t>0.5</w:t>
      </w:r>
    </w:p>
    <w:p w14:paraId="0C3C9462">
      <w:pPr>
        <w:spacing w:line="360" w:lineRule="auto"/>
        <w:ind w:firstLine="482" w:firstLineChars="200"/>
        <w:rPr>
          <w:rFonts w:ascii="仿宋" w:hAnsi="仿宋" w:eastAsia="仿宋"/>
          <w:kern w:val="0"/>
          <w:sz w:val="24"/>
        </w:rPr>
      </w:pPr>
      <w:r>
        <w:rPr>
          <w:rFonts w:ascii="仿宋" w:hAnsi="仿宋" w:eastAsia="仿宋"/>
          <w:b/>
          <w:bCs/>
          <w:kern w:val="0"/>
          <w:sz w:val="24"/>
        </w:rPr>
        <w:t>学    时</w:t>
      </w:r>
      <w:r>
        <w:rPr>
          <w:rFonts w:ascii="仿宋" w:hAnsi="仿宋" w:eastAsia="仿宋"/>
          <w:b/>
          <w:kern w:val="0"/>
          <w:sz w:val="24"/>
        </w:rPr>
        <w:t>：</w:t>
      </w:r>
      <w:r>
        <w:rPr>
          <w:rFonts w:ascii="仿宋" w:hAnsi="仿宋" w:eastAsia="仿宋"/>
          <w:kern w:val="0"/>
          <w:sz w:val="24"/>
        </w:rPr>
        <w:t>18</w:t>
      </w:r>
    </w:p>
    <w:p w14:paraId="71A66349">
      <w:pPr>
        <w:spacing w:line="360" w:lineRule="auto"/>
        <w:ind w:firstLine="482" w:firstLineChars="200"/>
        <w:rPr>
          <w:rFonts w:ascii="仿宋" w:hAnsi="仿宋" w:eastAsia="仿宋"/>
          <w:kern w:val="0"/>
          <w:sz w:val="24"/>
        </w:rPr>
      </w:pPr>
      <w:r>
        <w:rPr>
          <w:rFonts w:hint="eastAsia" w:ascii="仿宋" w:hAnsi="仿宋" w:eastAsia="仿宋"/>
          <w:b/>
          <w:bCs/>
          <w:kern w:val="0"/>
          <w:sz w:val="24"/>
        </w:rPr>
        <w:t>先修课程：</w:t>
      </w:r>
      <w:r>
        <w:rPr>
          <w:rFonts w:hint="eastAsia" w:ascii="仿宋" w:hAnsi="仿宋" w:eastAsia="仿宋"/>
          <w:kern w:val="0"/>
          <w:sz w:val="24"/>
        </w:rPr>
        <w:t>体育选项课</w:t>
      </w:r>
    </w:p>
    <w:p w14:paraId="4D68CBAB">
      <w:pPr>
        <w:spacing w:line="360" w:lineRule="auto"/>
        <w:ind w:firstLine="482" w:firstLineChars="200"/>
        <w:rPr>
          <w:rFonts w:ascii="仿宋" w:hAnsi="仿宋" w:eastAsia="仿宋"/>
          <w:kern w:val="0"/>
          <w:sz w:val="24"/>
        </w:rPr>
      </w:pPr>
      <w:r>
        <w:rPr>
          <w:rFonts w:ascii="仿宋" w:hAnsi="仿宋" w:eastAsia="仿宋"/>
          <w:b/>
          <w:bCs/>
          <w:kern w:val="0"/>
          <w:sz w:val="24"/>
        </w:rPr>
        <w:t>适用专业</w:t>
      </w:r>
      <w:r>
        <w:rPr>
          <w:rFonts w:ascii="仿宋" w:hAnsi="仿宋" w:eastAsia="仿宋"/>
          <w:b/>
          <w:kern w:val="0"/>
          <w:sz w:val="24"/>
        </w:rPr>
        <w:t>：</w:t>
      </w:r>
      <w:r>
        <w:rPr>
          <w:rFonts w:hint="eastAsia" w:ascii="仿宋" w:hAnsi="仿宋" w:eastAsia="仿宋"/>
          <w:kern w:val="0"/>
          <w:sz w:val="24"/>
        </w:rPr>
        <w:t>全校各专业</w:t>
      </w:r>
      <w:r>
        <w:rPr>
          <w:rFonts w:ascii="仿宋" w:hAnsi="仿宋" w:eastAsia="仿宋"/>
          <w:kern w:val="0"/>
          <w:sz w:val="24"/>
        </w:rPr>
        <w:t xml:space="preserve">                        </w:t>
      </w:r>
    </w:p>
    <w:p w14:paraId="58730D8D">
      <w:pPr>
        <w:spacing w:line="360" w:lineRule="auto"/>
        <w:ind w:firstLine="482" w:firstLineChars="200"/>
        <w:rPr>
          <w:rFonts w:ascii="仿宋" w:hAnsi="仿宋" w:eastAsia="仿宋"/>
          <w:kern w:val="0"/>
          <w:sz w:val="24"/>
        </w:rPr>
      </w:pPr>
      <w:r>
        <w:rPr>
          <w:rFonts w:ascii="仿宋" w:hAnsi="仿宋" w:eastAsia="仿宋"/>
          <w:b/>
          <w:bCs/>
          <w:kern w:val="0"/>
          <w:sz w:val="24"/>
        </w:rPr>
        <w:t>教</w:t>
      </w:r>
      <w:r>
        <w:rPr>
          <w:rFonts w:hint="eastAsia" w:ascii="仿宋" w:hAnsi="仿宋" w:eastAsia="仿宋"/>
          <w:b/>
          <w:bCs/>
          <w:kern w:val="0"/>
          <w:sz w:val="24"/>
        </w:rPr>
        <w:t xml:space="preserve">    </w:t>
      </w:r>
      <w:r>
        <w:rPr>
          <w:rFonts w:ascii="仿宋" w:hAnsi="仿宋" w:eastAsia="仿宋"/>
          <w:b/>
          <w:bCs/>
          <w:kern w:val="0"/>
          <w:sz w:val="24"/>
        </w:rPr>
        <w:t>材</w:t>
      </w:r>
      <w:r>
        <w:rPr>
          <w:rFonts w:ascii="仿宋" w:hAnsi="仿宋" w:eastAsia="仿宋"/>
          <w:b/>
          <w:kern w:val="0"/>
          <w:sz w:val="24"/>
        </w:rPr>
        <w:t>：</w:t>
      </w:r>
      <w:r>
        <w:rPr>
          <w:rFonts w:hint="eastAsia" w:ascii="仿宋" w:hAnsi="仿宋" w:eastAsia="仿宋"/>
          <w:kern w:val="0"/>
          <w:sz w:val="24"/>
        </w:rPr>
        <w:t>《大学体育与健康（微视频版）》，王祥、王红福主编，上海交通大学出版社，出版时间：2021年12月</w:t>
      </w:r>
    </w:p>
    <w:p w14:paraId="13B06E88">
      <w:pPr>
        <w:spacing w:line="360" w:lineRule="auto"/>
        <w:ind w:firstLine="482" w:firstLineChars="200"/>
        <w:rPr>
          <w:rFonts w:ascii="仿宋" w:hAnsi="仿宋" w:eastAsia="仿宋"/>
          <w:kern w:val="0"/>
          <w:sz w:val="24"/>
        </w:rPr>
      </w:pPr>
      <w:r>
        <w:rPr>
          <w:rFonts w:ascii="仿宋" w:hAnsi="仿宋" w:eastAsia="仿宋"/>
          <w:b/>
          <w:bCs/>
          <w:kern w:val="0"/>
          <w:sz w:val="24"/>
        </w:rPr>
        <w:t>课程归口：</w:t>
      </w:r>
      <w:r>
        <w:rPr>
          <w:rFonts w:hint="eastAsia" w:ascii="仿宋" w:hAnsi="仿宋" w:eastAsia="仿宋"/>
          <w:bCs/>
          <w:kern w:val="0"/>
          <w:sz w:val="24"/>
        </w:rPr>
        <w:t>体育教学部</w:t>
      </w:r>
    </w:p>
    <w:p w14:paraId="32E21F44">
      <w:pPr>
        <w:autoSpaceDE w:val="0"/>
        <w:autoSpaceDN w:val="0"/>
        <w:adjustRightInd w:val="0"/>
        <w:spacing w:line="360" w:lineRule="auto"/>
        <w:ind w:firstLine="482" w:firstLineChars="200"/>
        <w:jc w:val="left"/>
        <w:rPr>
          <w:rFonts w:ascii="仿宋" w:hAnsi="仿宋" w:eastAsia="仿宋"/>
          <w:sz w:val="24"/>
        </w:rPr>
      </w:pPr>
      <w:r>
        <w:rPr>
          <w:rFonts w:hint="eastAsia" w:ascii="仿宋" w:hAnsi="仿宋" w:eastAsia="仿宋"/>
          <w:b/>
          <w:bCs/>
          <w:kern w:val="0"/>
          <w:sz w:val="24"/>
        </w:rPr>
        <w:t>课程的性质与任务：</w:t>
      </w:r>
      <w:r>
        <w:rPr>
          <w:rFonts w:hint="eastAsia" w:ascii="仿宋" w:hAnsi="仿宋" w:eastAsia="仿宋"/>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w:t>
      </w:r>
      <w:r>
        <w:rPr>
          <w:rFonts w:ascii="仿宋" w:hAnsi="仿宋" w:eastAsia="仿宋"/>
          <w:sz w:val="24"/>
        </w:rPr>
        <w:t>体质测试</w:t>
      </w:r>
      <w:r>
        <w:rPr>
          <w:rFonts w:hint="eastAsia" w:ascii="仿宋" w:hAnsi="仿宋" w:eastAsia="仿宋"/>
          <w:sz w:val="24"/>
        </w:rPr>
        <w:t>和课外体育俱乐部等组织形式作为本课程重要组成部分，从而巩固课内学习效果，培养学生自我锻炼意识和习惯。</w:t>
      </w:r>
    </w:p>
    <w:p w14:paraId="0160C03D">
      <w:pPr>
        <w:spacing w:line="360" w:lineRule="auto"/>
        <w:ind w:firstLine="480" w:firstLineChars="200"/>
        <w:rPr>
          <w:rFonts w:ascii="仿宋" w:hAnsi="仿宋" w:eastAsia="仿宋"/>
          <w:sz w:val="24"/>
        </w:rPr>
      </w:pPr>
      <w:r>
        <w:rPr>
          <w:rFonts w:hint="eastAsia" w:ascii="仿宋" w:hAnsi="仿宋" w:eastAsia="仿宋"/>
          <w:sz w:val="24"/>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12D56B0D">
      <w:pPr>
        <w:pStyle w:val="4"/>
        <w:bidi w:val="0"/>
      </w:pPr>
      <w:r>
        <w:rPr>
          <w:rFonts w:hint="eastAsia"/>
        </w:rPr>
        <w:t>二</w:t>
      </w:r>
      <w:r>
        <w:t>、课程目标</w:t>
      </w:r>
      <w:r>
        <w:rPr>
          <w:rFonts w:hint="eastAsia"/>
        </w:rPr>
        <w:t>与毕业要求指标点对应关系</w:t>
      </w:r>
    </w:p>
    <w:p w14:paraId="4E7A4A8E">
      <w:pPr>
        <w:spacing w:line="360" w:lineRule="auto"/>
        <w:ind w:firstLine="480" w:firstLineChars="200"/>
        <w:rPr>
          <w:rFonts w:ascii="仿宋" w:hAnsi="仿宋" w:eastAsia="仿宋"/>
          <w:sz w:val="24"/>
        </w:rPr>
      </w:pPr>
      <w:r>
        <w:rPr>
          <w:rFonts w:hint="eastAsia" w:ascii="仿宋" w:hAnsi="仿宋" w:eastAsia="仿宋"/>
          <w:sz w:val="24"/>
        </w:rPr>
        <w:t>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6A1D696D">
      <w:pPr>
        <w:spacing w:line="360" w:lineRule="auto"/>
        <w:ind w:firstLine="480" w:firstLineChars="200"/>
        <w:rPr>
          <w:rFonts w:ascii="仿宋" w:hAnsi="仿宋" w:eastAsia="仿宋"/>
          <w:sz w:val="24"/>
        </w:rPr>
      </w:pPr>
      <w:r>
        <w:rPr>
          <w:rFonts w:ascii="仿宋" w:hAnsi="仿宋" w:eastAsia="仿宋"/>
          <w:sz w:val="24"/>
        </w:rPr>
        <w:t>本课程支撑专业培养</w:t>
      </w:r>
      <w:r>
        <w:rPr>
          <w:rFonts w:hint="eastAsia" w:ascii="仿宋" w:hAnsi="仿宋" w:eastAsia="仿宋"/>
          <w:sz w:val="24"/>
        </w:rPr>
        <w:t>方案</w:t>
      </w:r>
      <w:r>
        <w:rPr>
          <w:rFonts w:ascii="仿宋" w:hAnsi="仿宋" w:eastAsia="仿宋"/>
          <w:sz w:val="24"/>
        </w:rPr>
        <w:t>中毕业要求8、9</w:t>
      </w:r>
      <w:r>
        <w:rPr>
          <w:rFonts w:hint="eastAsia" w:ascii="仿宋" w:hAnsi="仿宋" w:eastAsia="仿宋"/>
          <w:sz w:val="24"/>
        </w:rPr>
        <w:t>(不同专业会略有区别，具体见培养方案中的毕业要求实现矩阵)，对应关系如下表所示。</w:t>
      </w:r>
    </w:p>
    <w:tbl>
      <w:tblPr>
        <w:tblStyle w:val="30"/>
        <w:tblW w:w="8454" w:type="dxa"/>
        <w:tblInd w:w="93" w:type="dxa"/>
        <w:tblLayout w:type="autofit"/>
        <w:tblCellMar>
          <w:top w:w="0" w:type="dxa"/>
          <w:left w:w="108" w:type="dxa"/>
          <w:bottom w:w="0" w:type="dxa"/>
          <w:right w:w="108" w:type="dxa"/>
        </w:tblCellMar>
      </w:tblPr>
      <w:tblGrid>
        <w:gridCol w:w="1548"/>
        <w:gridCol w:w="863"/>
        <w:gridCol w:w="863"/>
        <w:gridCol w:w="863"/>
        <w:gridCol w:w="863"/>
        <w:gridCol w:w="863"/>
        <w:gridCol w:w="863"/>
        <w:gridCol w:w="863"/>
        <w:gridCol w:w="865"/>
      </w:tblGrid>
      <w:tr w14:paraId="302210BD">
        <w:tblPrEx>
          <w:tblCellMar>
            <w:top w:w="0" w:type="dxa"/>
            <w:left w:w="108" w:type="dxa"/>
            <w:bottom w:w="0" w:type="dxa"/>
            <w:right w:w="108" w:type="dxa"/>
          </w:tblCellMar>
        </w:tblPrEx>
        <w:trPr>
          <w:trHeight w:val="490" w:hRule="atLeast"/>
        </w:trPr>
        <w:tc>
          <w:tcPr>
            <w:tcW w:w="1548"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7BE4CB49">
            <w:pPr>
              <w:widowControl/>
              <w:jc w:val="center"/>
              <w:rPr>
                <w:rFonts w:ascii="仿宋" w:hAnsi="仿宋" w:eastAsia="仿宋"/>
                <w:kern w:val="0"/>
                <w:szCs w:val="21"/>
              </w:rPr>
            </w:pPr>
            <w:r>
              <w:rPr>
                <w:rFonts w:ascii="仿宋" w:hAnsi="仿宋" w:eastAsia="仿宋"/>
                <w:kern w:val="0"/>
                <w:szCs w:val="21"/>
              </w:rPr>
              <w:t>毕业要求</w:t>
            </w:r>
          </w:p>
          <w:p w14:paraId="1F07675B">
            <w:pPr>
              <w:widowControl/>
              <w:jc w:val="center"/>
              <w:rPr>
                <w:rFonts w:ascii="仿宋" w:hAnsi="仿宋" w:eastAsia="仿宋"/>
                <w:kern w:val="0"/>
                <w:szCs w:val="21"/>
              </w:rPr>
            </w:pPr>
            <w:r>
              <w:rPr>
                <w:rFonts w:ascii="仿宋" w:hAnsi="仿宋" w:eastAsia="仿宋"/>
                <w:kern w:val="0"/>
                <w:szCs w:val="21"/>
              </w:rPr>
              <w:t>指标点</w:t>
            </w:r>
          </w:p>
        </w:tc>
        <w:tc>
          <w:tcPr>
            <w:tcW w:w="6906" w:type="dxa"/>
            <w:gridSpan w:val="8"/>
            <w:tcBorders>
              <w:top w:val="single" w:color="auto" w:sz="4" w:space="0"/>
              <w:left w:val="nil"/>
              <w:bottom w:val="single" w:color="auto" w:sz="4" w:space="0"/>
              <w:right w:val="single" w:color="auto" w:sz="4" w:space="0"/>
            </w:tcBorders>
            <w:shd w:val="clear" w:color="auto" w:fill="FFFFFF"/>
            <w:noWrap/>
            <w:vAlign w:val="center"/>
          </w:tcPr>
          <w:p w14:paraId="4B0E84C0">
            <w:pPr>
              <w:widowControl/>
              <w:jc w:val="center"/>
              <w:rPr>
                <w:rFonts w:ascii="仿宋" w:hAnsi="仿宋" w:eastAsia="仿宋"/>
                <w:kern w:val="0"/>
                <w:szCs w:val="21"/>
              </w:rPr>
            </w:pPr>
            <w:r>
              <w:rPr>
                <w:rFonts w:ascii="仿宋" w:hAnsi="仿宋" w:eastAsia="仿宋"/>
                <w:kern w:val="0"/>
                <w:szCs w:val="21"/>
              </w:rPr>
              <w:t>课程目标</w:t>
            </w:r>
          </w:p>
        </w:tc>
      </w:tr>
      <w:tr w14:paraId="2A238835">
        <w:tblPrEx>
          <w:tblCellMar>
            <w:top w:w="0" w:type="dxa"/>
            <w:left w:w="108" w:type="dxa"/>
            <w:bottom w:w="0" w:type="dxa"/>
            <w:right w:w="108" w:type="dxa"/>
          </w:tblCellMar>
        </w:tblPrEx>
        <w:trPr>
          <w:trHeight w:val="468" w:hRule="atLeast"/>
        </w:trPr>
        <w:tc>
          <w:tcPr>
            <w:tcW w:w="154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5D2BAE">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424FAE5C">
            <w:pPr>
              <w:widowControl/>
              <w:jc w:val="center"/>
              <w:rPr>
                <w:rFonts w:ascii="仿宋" w:hAnsi="仿宋" w:eastAsia="仿宋"/>
                <w:kern w:val="0"/>
                <w:szCs w:val="21"/>
              </w:rPr>
            </w:pPr>
            <w:r>
              <w:rPr>
                <w:rFonts w:ascii="仿宋" w:hAnsi="仿宋" w:eastAsia="仿宋"/>
                <w:kern w:val="0"/>
                <w:szCs w:val="21"/>
              </w:rPr>
              <w:t>目标1</w:t>
            </w:r>
          </w:p>
        </w:tc>
        <w:tc>
          <w:tcPr>
            <w:tcW w:w="863" w:type="dxa"/>
            <w:tcBorders>
              <w:top w:val="nil"/>
              <w:left w:val="nil"/>
              <w:bottom w:val="single" w:color="auto" w:sz="4" w:space="0"/>
              <w:right w:val="single" w:color="auto" w:sz="4" w:space="0"/>
            </w:tcBorders>
            <w:shd w:val="clear" w:color="auto" w:fill="FFFFFF"/>
            <w:noWrap/>
            <w:vAlign w:val="center"/>
          </w:tcPr>
          <w:p w14:paraId="1B42FC5E">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23996DB9">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345F6D96">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41FA6E7C">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00384926">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shd w:val="clear" w:color="auto" w:fill="FFFFFF"/>
            <w:noWrap/>
            <w:vAlign w:val="center"/>
          </w:tcPr>
          <w:p w14:paraId="25818AA2">
            <w:pPr>
              <w:widowControl/>
              <w:jc w:val="center"/>
              <w:rPr>
                <w:rFonts w:ascii="仿宋" w:hAnsi="仿宋" w:eastAsia="仿宋"/>
                <w:kern w:val="0"/>
                <w:szCs w:val="21"/>
              </w:rPr>
            </w:pPr>
          </w:p>
        </w:tc>
        <w:tc>
          <w:tcPr>
            <w:tcW w:w="865" w:type="dxa"/>
            <w:tcBorders>
              <w:top w:val="nil"/>
              <w:left w:val="nil"/>
              <w:bottom w:val="single" w:color="auto" w:sz="4" w:space="0"/>
              <w:right w:val="single" w:color="auto" w:sz="4" w:space="0"/>
            </w:tcBorders>
            <w:shd w:val="clear" w:color="auto" w:fill="FFFFFF"/>
            <w:noWrap/>
            <w:vAlign w:val="center"/>
          </w:tcPr>
          <w:p w14:paraId="268CF29C">
            <w:pPr>
              <w:widowControl/>
              <w:jc w:val="center"/>
              <w:rPr>
                <w:rFonts w:ascii="仿宋" w:hAnsi="仿宋" w:eastAsia="仿宋"/>
                <w:kern w:val="0"/>
                <w:szCs w:val="21"/>
              </w:rPr>
            </w:pPr>
          </w:p>
        </w:tc>
      </w:tr>
      <w:tr w14:paraId="59D21C5A">
        <w:tblPrEx>
          <w:tblCellMar>
            <w:top w:w="0" w:type="dxa"/>
            <w:left w:w="108" w:type="dxa"/>
            <w:bottom w:w="0" w:type="dxa"/>
            <w:right w:w="108" w:type="dxa"/>
          </w:tblCellMar>
        </w:tblPrEx>
        <w:trPr>
          <w:trHeight w:val="459" w:hRule="atLeast"/>
        </w:trPr>
        <w:tc>
          <w:tcPr>
            <w:tcW w:w="1548" w:type="dxa"/>
            <w:tcBorders>
              <w:top w:val="nil"/>
              <w:left w:val="single" w:color="auto" w:sz="4" w:space="0"/>
              <w:bottom w:val="single" w:color="auto" w:sz="4" w:space="0"/>
              <w:right w:val="single" w:color="auto" w:sz="4" w:space="0"/>
            </w:tcBorders>
            <w:noWrap/>
            <w:vAlign w:val="center"/>
          </w:tcPr>
          <w:p w14:paraId="57A48FE7">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8</w:t>
            </w:r>
          </w:p>
        </w:tc>
        <w:tc>
          <w:tcPr>
            <w:tcW w:w="863" w:type="dxa"/>
            <w:tcBorders>
              <w:top w:val="nil"/>
              <w:left w:val="nil"/>
              <w:bottom w:val="single" w:color="auto" w:sz="4" w:space="0"/>
              <w:right w:val="single" w:color="auto" w:sz="4" w:space="0"/>
            </w:tcBorders>
            <w:noWrap/>
            <w:vAlign w:val="center"/>
          </w:tcPr>
          <w:p w14:paraId="4607901B">
            <w:pPr>
              <w:widowControl/>
              <w:jc w:val="center"/>
              <w:rPr>
                <w:rFonts w:ascii="仿宋" w:hAnsi="仿宋" w:eastAsia="仿宋"/>
                <w:kern w:val="0"/>
                <w:szCs w:val="21"/>
              </w:rPr>
            </w:pPr>
            <w:r>
              <w:rPr>
                <w:rFonts w:ascii="仿宋" w:hAnsi="仿宋" w:eastAsia="仿宋"/>
                <w:kern w:val="0"/>
                <w:szCs w:val="21"/>
              </w:rPr>
              <w:t>√</w:t>
            </w:r>
          </w:p>
        </w:tc>
        <w:tc>
          <w:tcPr>
            <w:tcW w:w="863" w:type="dxa"/>
            <w:tcBorders>
              <w:top w:val="nil"/>
              <w:left w:val="nil"/>
              <w:bottom w:val="single" w:color="auto" w:sz="4" w:space="0"/>
              <w:right w:val="single" w:color="auto" w:sz="4" w:space="0"/>
            </w:tcBorders>
            <w:noWrap/>
            <w:vAlign w:val="center"/>
          </w:tcPr>
          <w:p w14:paraId="63E6BE8B">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4B6883C4">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6FDF048E">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321B9311">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3BEBC668">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4EBAD619">
            <w:pPr>
              <w:widowControl/>
              <w:jc w:val="center"/>
              <w:rPr>
                <w:rFonts w:ascii="仿宋" w:hAnsi="仿宋" w:eastAsia="仿宋"/>
                <w:kern w:val="0"/>
                <w:szCs w:val="21"/>
              </w:rPr>
            </w:pPr>
          </w:p>
        </w:tc>
        <w:tc>
          <w:tcPr>
            <w:tcW w:w="865" w:type="dxa"/>
            <w:tcBorders>
              <w:top w:val="nil"/>
              <w:left w:val="nil"/>
              <w:bottom w:val="single" w:color="auto" w:sz="4" w:space="0"/>
              <w:right w:val="single" w:color="auto" w:sz="4" w:space="0"/>
            </w:tcBorders>
            <w:noWrap/>
            <w:vAlign w:val="center"/>
          </w:tcPr>
          <w:p w14:paraId="4A1FC16A">
            <w:pPr>
              <w:widowControl/>
              <w:jc w:val="center"/>
              <w:rPr>
                <w:rFonts w:ascii="仿宋" w:hAnsi="仿宋" w:eastAsia="仿宋"/>
                <w:kern w:val="0"/>
                <w:szCs w:val="21"/>
              </w:rPr>
            </w:pPr>
          </w:p>
        </w:tc>
      </w:tr>
      <w:tr w14:paraId="54CEB1D0">
        <w:tblPrEx>
          <w:tblCellMar>
            <w:top w:w="0" w:type="dxa"/>
            <w:left w:w="108" w:type="dxa"/>
            <w:bottom w:w="0" w:type="dxa"/>
            <w:right w:w="108" w:type="dxa"/>
          </w:tblCellMar>
        </w:tblPrEx>
        <w:trPr>
          <w:trHeight w:val="448" w:hRule="atLeast"/>
        </w:trPr>
        <w:tc>
          <w:tcPr>
            <w:tcW w:w="1548" w:type="dxa"/>
            <w:tcBorders>
              <w:top w:val="nil"/>
              <w:left w:val="single" w:color="auto" w:sz="4" w:space="0"/>
              <w:bottom w:val="single" w:color="auto" w:sz="4" w:space="0"/>
              <w:right w:val="single" w:color="auto" w:sz="4" w:space="0"/>
            </w:tcBorders>
            <w:noWrap/>
            <w:vAlign w:val="center"/>
          </w:tcPr>
          <w:p w14:paraId="17E2FF4E">
            <w:pPr>
              <w:widowControl/>
              <w:jc w:val="center"/>
              <w:rPr>
                <w:rFonts w:ascii="仿宋" w:hAnsi="仿宋" w:eastAsia="仿宋"/>
                <w:kern w:val="0"/>
                <w:szCs w:val="21"/>
              </w:rPr>
            </w:pPr>
            <w:r>
              <w:rPr>
                <w:rFonts w:ascii="仿宋" w:hAnsi="仿宋" w:eastAsia="仿宋"/>
                <w:kern w:val="0"/>
                <w:szCs w:val="21"/>
              </w:rPr>
              <w:t>毕业要求</w:t>
            </w:r>
            <w:r>
              <w:rPr>
                <w:rFonts w:ascii="仿宋" w:hAnsi="仿宋" w:eastAsia="仿宋"/>
                <w:szCs w:val="21"/>
              </w:rPr>
              <w:t>9</w:t>
            </w:r>
          </w:p>
        </w:tc>
        <w:tc>
          <w:tcPr>
            <w:tcW w:w="863" w:type="dxa"/>
            <w:tcBorders>
              <w:top w:val="nil"/>
              <w:left w:val="nil"/>
              <w:bottom w:val="single" w:color="auto" w:sz="4" w:space="0"/>
              <w:right w:val="single" w:color="auto" w:sz="4" w:space="0"/>
            </w:tcBorders>
            <w:noWrap/>
            <w:vAlign w:val="center"/>
          </w:tcPr>
          <w:p w14:paraId="37AA8A6C">
            <w:pPr>
              <w:widowControl/>
              <w:jc w:val="center"/>
              <w:rPr>
                <w:rFonts w:ascii="仿宋" w:hAnsi="仿宋" w:eastAsia="仿宋"/>
                <w:kern w:val="0"/>
                <w:szCs w:val="21"/>
              </w:rPr>
            </w:pPr>
            <w:r>
              <w:rPr>
                <w:rFonts w:ascii="仿宋" w:hAnsi="仿宋" w:eastAsia="仿宋"/>
                <w:kern w:val="0"/>
                <w:szCs w:val="21"/>
              </w:rPr>
              <w:t>√</w:t>
            </w:r>
          </w:p>
        </w:tc>
        <w:tc>
          <w:tcPr>
            <w:tcW w:w="863" w:type="dxa"/>
            <w:tcBorders>
              <w:top w:val="nil"/>
              <w:left w:val="nil"/>
              <w:bottom w:val="single" w:color="auto" w:sz="4" w:space="0"/>
              <w:right w:val="single" w:color="auto" w:sz="4" w:space="0"/>
            </w:tcBorders>
            <w:noWrap/>
            <w:vAlign w:val="center"/>
          </w:tcPr>
          <w:p w14:paraId="0A22D410">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3103DE59">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6A23B2F6">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3FF86872">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7974A97C">
            <w:pPr>
              <w:widowControl/>
              <w:jc w:val="center"/>
              <w:rPr>
                <w:rFonts w:ascii="仿宋" w:hAnsi="仿宋" w:eastAsia="仿宋"/>
                <w:kern w:val="0"/>
                <w:szCs w:val="21"/>
              </w:rPr>
            </w:pPr>
          </w:p>
        </w:tc>
        <w:tc>
          <w:tcPr>
            <w:tcW w:w="863" w:type="dxa"/>
            <w:tcBorders>
              <w:top w:val="nil"/>
              <w:left w:val="nil"/>
              <w:bottom w:val="single" w:color="auto" w:sz="4" w:space="0"/>
              <w:right w:val="single" w:color="auto" w:sz="4" w:space="0"/>
            </w:tcBorders>
            <w:noWrap/>
            <w:vAlign w:val="center"/>
          </w:tcPr>
          <w:p w14:paraId="021B6782">
            <w:pPr>
              <w:widowControl/>
              <w:jc w:val="center"/>
              <w:rPr>
                <w:rFonts w:ascii="仿宋" w:hAnsi="仿宋" w:eastAsia="仿宋"/>
                <w:kern w:val="0"/>
                <w:szCs w:val="21"/>
              </w:rPr>
            </w:pPr>
          </w:p>
        </w:tc>
        <w:tc>
          <w:tcPr>
            <w:tcW w:w="865" w:type="dxa"/>
            <w:tcBorders>
              <w:top w:val="nil"/>
              <w:left w:val="nil"/>
              <w:bottom w:val="single" w:color="auto" w:sz="4" w:space="0"/>
              <w:right w:val="single" w:color="auto" w:sz="4" w:space="0"/>
            </w:tcBorders>
            <w:noWrap/>
            <w:vAlign w:val="center"/>
          </w:tcPr>
          <w:p w14:paraId="3FF4B96D">
            <w:pPr>
              <w:widowControl/>
              <w:jc w:val="center"/>
              <w:rPr>
                <w:rFonts w:ascii="仿宋" w:hAnsi="仿宋" w:eastAsia="仿宋"/>
                <w:kern w:val="0"/>
                <w:szCs w:val="21"/>
              </w:rPr>
            </w:pPr>
          </w:p>
        </w:tc>
      </w:tr>
    </w:tbl>
    <w:p w14:paraId="4FA6E302">
      <w:pPr>
        <w:pStyle w:val="4"/>
        <w:bidi w:val="0"/>
        <w:rPr>
          <w:rFonts w:ascii="仿宋" w:hAnsi="仿宋" w:eastAsia="仿宋"/>
          <w:b/>
          <w:szCs w:val="28"/>
        </w:rPr>
      </w:pPr>
      <w:r>
        <w:rPr>
          <w:rFonts w:hint="eastAsia"/>
        </w:rPr>
        <w:t>三</w:t>
      </w:r>
      <w:r>
        <w:t>、课程内容及要求</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014"/>
        <w:gridCol w:w="1005"/>
        <w:gridCol w:w="2154"/>
        <w:gridCol w:w="717"/>
        <w:gridCol w:w="862"/>
        <w:gridCol w:w="966"/>
      </w:tblGrid>
      <w:tr w14:paraId="4165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44F391FB">
            <w:pPr>
              <w:jc w:val="center"/>
              <w:rPr>
                <w:rFonts w:ascii="仿宋" w:hAnsi="仿宋" w:eastAsia="仿宋"/>
                <w:b/>
                <w:bCs/>
                <w:szCs w:val="21"/>
              </w:rPr>
            </w:pPr>
            <w:r>
              <w:rPr>
                <w:rFonts w:ascii="仿宋" w:hAnsi="仿宋" w:eastAsia="仿宋"/>
                <w:b/>
                <w:bCs/>
                <w:szCs w:val="21"/>
              </w:rPr>
              <w:t>序号</w:t>
            </w:r>
          </w:p>
        </w:tc>
        <w:tc>
          <w:tcPr>
            <w:tcW w:w="1623" w:type="pct"/>
            <w:noWrap w:val="0"/>
            <w:vAlign w:val="center"/>
          </w:tcPr>
          <w:p w14:paraId="7BA0E121">
            <w:pPr>
              <w:jc w:val="center"/>
              <w:rPr>
                <w:rFonts w:ascii="仿宋" w:hAnsi="仿宋" w:eastAsia="仿宋"/>
                <w:b/>
                <w:bCs/>
                <w:szCs w:val="21"/>
              </w:rPr>
            </w:pPr>
            <w:r>
              <w:rPr>
                <w:rFonts w:ascii="仿宋" w:hAnsi="仿宋" w:eastAsia="仿宋"/>
                <w:b/>
                <w:bCs/>
                <w:szCs w:val="21"/>
              </w:rPr>
              <w:t>教学内容</w:t>
            </w:r>
          </w:p>
        </w:tc>
        <w:tc>
          <w:tcPr>
            <w:tcW w:w="541" w:type="pct"/>
            <w:noWrap w:val="0"/>
            <w:vAlign w:val="center"/>
          </w:tcPr>
          <w:p w14:paraId="0E0245C1">
            <w:pPr>
              <w:jc w:val="center"/>
              <w:rPr>
                <w:rFonts w:ascii="仿宋" w:hAnsi="仿宋" w:eastAsia="仿宋"/>
                <w:b/>
                <w:bCs/>
                <w:szCs w:val="21"/>
              </w:rPr>
            </w:pPr>
            <w:r>
              <w:rPr>
                <w:rFonts w:ascii="仿宋" w:hAnsi="仿宋" w:eastAsia="仿宋"/>
                <w:b/>
                <w:bCs/>
                <w:szCs w:val="21"/>
              </w:rPr>
              <w:t>思政</w:t>
            </w:r>
          </w:p>
          <w:p w14:paraId="2F819D95">
            <w:pPr>
              <w:jc w:val="center"/>
              <w:rPr>
                <w:rFonts w:ascii="仿宋" w:hAnsi="仿宋" w:eastAsia="仿宋"/>
                <w:b/>
                <w:bCs/>
                <w:szCs w:val="21"/>
              </w:rPr>
            </w:pPr>
            <w:r>
              <w:rPr>
                <w:rFonts w:ascii="仿宋" w:hAnsi="仿宋" w:eastAsia="仿宋"/>
                <w:b/>
                <w:bCs/>
                <w:szCs w:val="21"/>
              </w:rPr>
              <w:t>元素</w:t>
            </w:r>
          </w:p>
        </w:tc>
        <w:tc>
          <w:tcPr>
            <w:tcW w:w="1160" w:type="pct"/>
            <w:noWrap w:val="0"/>
            <w:vAlign w:val="center"/>
          </w:tcPr>
          <w:p w14:paraId="1F282E5E">
            <w:pPr>
              <w:jc w:val="center"/>
              <w:rPr>
                <w:rFonts w:ascii="仿宋" w:hAnsi="仿宋" w:eastAsia="仿宋"/>
                <w:b/>
                <w:bCs/>
                <w:szCs w:val="21"/>
              </w:rPr>
            </w:pPr>
            <w:r>
              <w:rPr>
                <w:rFonts w:ascii="仿宋" w:hAnsi="仿宋" w:eastAsia="仿宋"/>
                <w:b/>
                <w:bCs/>
                <w:szCs w:val="21"/>
              </w:rPr>
              <w:t>预期学习成果</w:t>
            </w:r>
          </w:p>
        </w:tc>
        <w:tc>
          <w:tcPr>
            <w:tcW w:w="386" w:type="pct"/>
            <w:noWrap w:val="0"/>
            <w:vAlign w:val="center"/>
          </w:tcPr>
          <w:p w14:paraId="4F54D4F4">
            <w:pPr>
              <w:jc w:val="center"/>
              <w:rPr>
                <w:rFonts w:ascii="仿宋" w:hAnsi="仿宋" w:eastAsia="仿宋"/>
                <w:b/>
                <w:bCs/>
                <w:szCs w:val="21"/>
              </w:rPr>
            </w:pPr>
            <w:r>
              <w:rPr>
                <w:rFonts w:ascii="仿宋" w:hAnsi="仿宋" w:eastAsia="仿宋"/>
                <w:b/>
                <w:bCs/>
                <w:szCs w:val="21"/>
              </w:rPr>
              <w:t>教学学时</w:t>
            </w:r>
          </w:p>
        </w:tc>
        <w:tc>
          <w:tcPr>
            <w:tcW w:w="464" w:type="pct"/>
            <w:noWrap w:val="0"/>
            <w:vAlign w:val="center"/>
          </w:tcPr>
          <w:p w14:paraId="3975DCEF">
            <w:pPr>
              <w:jc w:val="center"/>
              <w:rPr>
                <w:rFonts w:ascii="仿宋" w:hAnsi="仿宋" w:eastAsia="仿宋"/>
                <w:b/>
                <w:bCs/>
                <w:szCs w:val="21"/>
              </w:rPr>
            </w:pPr>
            <w:r>
              <w:rPr>
                <w:rFonts w:ascii="仿宋" w:hAnsi="仿宋" w:eastAsia="仿宋"/>
                <w:b/>
                <w:bCs/>
                <w:szCs w:val="21"/>
              </w:rPr>
              <w:t>教学</w:t>
            </w:r>
          </w:p>
          <w:p w14:paraId="266FA907">
            <w:pPr>
              <w:jc w:val="center"/>
              <w:rPr>
                <w:rFonts w:ascii="仿宋" w:hAnsi="仿宋" w:eastAsia="仿宋"/>
                <w:b/>
                <w:bCs/>
                <w:szCs w:val="21"/>
              </w:rPr>
            </w:pPr>
            <w:r>
              <w:rPr>
                <w:rFonts w:ascii="仿宋" w:hAnsi="仿宋" w:eastAsia="仿宋"/>
                <w:b/>
                <w:bCs/>
                <w:szCs w:val="21"/>
              </w:rPr>
              <w:t>方式</w:t>
            </w:r>
          </w:p>
        </w:tc>
        <w:tc>
          <w:tcPr>
            <w:tcW w:w="520" w:type="pct"/>
            <w:noWrap w:val="0"/>
            <w:vAlign w:val="center"/>
          </w:tcPr>
          <w:p w14:paraId="45500872">
            <w:pPr>
              <w:jc w:val="center"/>
              <w:rPr>
                <w:rFonts w:ascii="仿宋" w:hAnsi="仿宋" w:eastAsia="仿宋"/>
                <w:b/>
                <w:bCs/>
                <w:szCs w:val="21"/>
              </w:rPr>
            </w:pPr>
            <w:r>
              <w:rPr>
                <w:rFonts w:ascii="仿宋" w:hAnsi="仿宋" w:eastAsia="仿宋"/>
                <w:b/>
                <w:bCs/>
                <w:szCs w:val="21"/>
              </w:rPr>
              <w:t>支撑课程目标</w:t>
            </w:r>
          </w:p>
        </w:tc>
      </w:tr>
      <w:tr w14:paraId="5B82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08BB5586">
            <w:pPr>
              <w:jc w:val="center"/>
              <w:rPr>
                <w:rFonts w:ascii="仿宋" w:hAnsi="仿宋" w:eastAsia="仿宋"/>
                <w:szCs w:val="21"/>
              </w:rPr>
            </w:pPr>
            <w:r>
              <w:rPr>
                <w:rFonts w:ascii="仿宋" w:hAnsi="仿宋" w:eastAsia="仿宋"/>
                <w:szCs w:val="21"/>
              </w:rPr>
              <w:t>1</w:t>
            </w:r>
          </w:p>
        </w:tc>
        <w:tc>
          <w:tcPr>
            <w:tcW w:w="1623" w:type="pct"/>
            <w:noWrap w:val="0"/>
            <w:vAlign w:val="center"/>
          </w:tcPr>
          <w:p w14:paraId="68FC19C1">
            <w:pPr>
              <w:jc w:val="left"/>
              <w:rPr>
                <w:rFonts w:ascii="仿宋" w:hAnsi="仿宋" w:eastAsia="仿宋"/>
                <w:b/>
                <w:szCs w:val="21"/>
              </w:rPr>
            </w:pPr>
            <w:r>
              <w:rPr>
                <w:rFonts w:hint="eastAsia" w:ascii="仿宋" w:hAnsi="仿宋" w:eastAsia="仿宋"/>
                <w:b/>
                <w:szCs w:val="21"/>
              </w:rPr>
              <w:t>㈠体育理论部分:</w:t>
            </w:r>
          </w:p>
          <w:p w14:paraId="55E9844B">
            <w:pPr>
              <w:jc w:val="left"/>
              <w:rPr>
                <w:rFonts w:ascii="仿宋" w:hAnsi="仿宋" w:eastAsia="仿宋"/>
                <w:bCs/>
              </w:rPr>
            </w:pPr>
            <w:r>
              <w:rPr>
                <w:rFonts w:hint="eastAsia" w:ascii="仿宋" w:hAnsi="仿宋" w:eastAsia="仿宋"/>
                <w:bCs/>
              </w:rPr>
              <w:t>1.学生思想政治教育：我校体育运动发展概况、国家领导人与体育、奥运明星的励志故事、社会主义核心价值观与体育等；</w:t>
            </w:r>
          </w:p>
          <w:p w14:paraId="6D836E13">
            <w:pPr>
              <w:jc w:val="left"/>
              <w:rPr>
                <w:rFonts w:ascii="仿宋" w:hAnsi="仿宋" w:eastAsia="仿宋"/>
              </w:rPr>
            </w:pPr>
            <w:r>
              <w:rPr>
                <w:rFonts w:hint="eastAsia" w:ascii="仿宋" w:hAnsi="仿宋" w:eastAsia="仿宋"/>
                <w:bCs/>
              </w:rPr>
              <w:t>2</w:t>
            </w:r>
            <w:r>
              <w:rPr>
                <w:rFonts w:ascii="仿宋" w:hAnsi="仿宋" w:eastAsia="仿宋"/>
                <w:bCs/>
              </w:rPr>
              <w:t>.</w:t>
            </w:r>
            <w:r>
              <w:rPr>
                <w:rFonts w:hint="eastAsia" w:ascii="仿宋" w:hAnsi="仿宋" w:eastAsia="仿宋"/>
              </w:rPr>
              <w:t>体育安全教育：体育运动伤害事故的安全教育及预防与处理措施、常见运动损伤的预防与处理等；</w:t>
            </w:r>
          </w:p>
          <w:p w14:paraId="2A731C1C">
            <w:pPr>
              <w:jc w:val="left"/>
              <w:rPr>
                <w:rFonts w:ascii="仿宋" w:hAnsi="仿宋" w:eastAsia="仿宋"/>
                <w:szCs w:val="21"/>
              </w:rPr>
            </w:pPr>
            <w:r>
              <w:rPr>
                <w:rFonts w:hint="eastAsia" w:ascii="仿宋" w:hAnsi="仿宋" w:eastAsia="仿宋"/>
              </w:rPr>
              <w:t>3.体育基本理论：各运动项目的基本技战术知识、组织与竞赛、基本规则和裁判法，运动健身的基本原理与锻炼方法，体育锻炼的自我监督与评价，体育养生与保健知识等；</w:t>
            </w:r>
          </w:p>
          <w:p w14:paraId="49BF5500">
            <w:pPr>
              <w:ind w:right="-170" w:rightChars="-81"/>
              <w:jc w:val="left"/>
              <w:rPr>
                <w:rFonts w:ascii="仿宋" w:hAnsi="仿宋" w:eastAsia="仿宋"/>
                <w:szCs w:val="21"/>
              </w:rPr>
            </w:pPr>
            <w:r>
              <w:rPr>
                <w:rFonts w:hint="eastAsia" w:ascii="仿宋" w:hAnsi="仿宋" w:eastAsia="仿宋"/>
                <w:b/>
                <w:szCs w:val="21"/>
              </w:rPr>
              <w:t>重点：</w:t>
            </w:r>
            <w:r>
              <w:rPr>
                <w:rFonts w:hint="eastAsia" w:ascii="仿宋" w:hAnsi="仿宋" w:eastAsia="仿宋"/>
                <w:szCs w:val="21"/>
              </w:rPr>
              <w:t>体育安全教育、掌握所学项目的基本知识；</w:t>
            </w:r>
          </w:p>
          <w:p w14:paraId="2916F5C6">
            <w:pPr>
              <w:jc w:val="left"/>
              <w:rPr>
                <w:rFonts w:ascii="仿宋" w:hAnsi="仿宋" w:eastAsia="仿宋"/>
                <w:szCs w:val="21"/>
              </w:rPr>
            </w:pPr>
            <w:r>
              <w:rPr>
                <w:rFonts w:hint="eastAsia" w:ascii="仿宋" w:hAnsi="仿宋" w:eastAsia="仿宋"/>
                <w:b/>
                <w:szCs w:val="21"/>
              </w:rPr>
              <w:t>难点：</w:t>
            </w:r>
            <w:r>
              <w:rPr>
                <w:rFonts w:hint="eastAsia" w:ascii="仿宋" w:hAnsi="仿宋" w:eastAsia="仿宋"/>
                <w:szCs w:val="21"/>
              </w:rPr>
              <w:t>培养学生自</w:t>
            </w:r>
            <w:r>
              <w:rPr>
                <w:rFonts w:ascii="仿宋" w:hAnsi="仿宋" w:eastAsia="仿宋"/>
                <w:szCs w:val="21"/>
              </w:rPr>
              <w:t>主锻炼能力和</w:t>
            </w:r>
            <w:r>
              <w:rPr>
                <w:rFonts w:hint="eastAsia" w:ascii="仿宋" w:hAnsi="仿宋" w:eastAsia="仿宋"/>
                <w:szCs w:val="21"/>
              </w:rPr>
              <w:t>自觉锻炼意识。</w:t>
            </w:r>
          </w:p>
        </w:tc>
        <w:tc>
          <w:tcPr>
            <w:tcW w:w="541" w:type="pct"/>
            <w:noWrap w:val="0"/>
            <w:vAlign w:val="center"/>
          </w:tcPr>
          <w:p w14:paraId="0A6A25AE">
            <w:pPr>
              <w:jc w:val="center"/>
              <w:rPr>
                <w:rFonts w:ascii="仿宋" w:hAnsi="仿宋" w:eastAsia="仿宋"/>
                <w:kern w:val="0"/>
                <w:szCs w:val="21"/>
              </w:rPr>
            </w:pPr>
            <w:r>
              <w:rPr>
                <w:rFonts w:hint="eastAsia" w:ascii="仿宋" w:hAnsi="仿宋" w:eastAsia="仿宋"/>
                <w:kern w:val="0"/>
                <w:szCs w:val="21"/>
              </w:rPr>
              <w:t>理想信念、国家认同和社会主义核心价值观等教育；安全</w:t>
            </w:r>
            <w:r>
              <w:rPr>
                <w:rFonts w:ascii="仿宋" w:hAnsi="仿宋" w:eastAsia="仿宋"/>
                <w:kern w:val="0"/>
                <w:szCs w:val="21"/>
              </w:rPr>
              <w:t>意识、</w:t>
            </w:r>
            <w:r>
              <w:rPr>
                <w:rFonts w:hint="eastAsia" w:ascii="仿宋" w:hAnsi="仿宋" w:eastAsia="仿宋"/>
                <w:kern w:val="0"/>
                <w:szCs w:val="21"/>
              </w:rPr>
              <w:t>健康意识教育</w:t>
            </w:r>
            <w:r>
              <w:rPr>
                <w:rFonts w:ascii="仿宋" w:hAnsi="仿宋" w:eastAsia="仿宋"/>
                <w:kern w:val="0"/>
                <w:szCs w:val="21"/>
              </w:rPr>
              <w:t>；</w:t>
            </w:r>
            <w:r>
              <w:rPr>
                <w:rFonts w:hint="eastAsia" w:ascii="仿宋" w:hAnsi="仿宋" w:eastAsia="仿宋"/>
                <w:kern w:val="0"/>
                <w:szCs w:val="21"/>
              </w:rPr>
              <w:t xml:space="preserve"> </w:t>
            </w:r>
          </w:p>
        </w:tc>
        <w:tc>
          <w:tcPr>
            <w:tcW w:w="1160" w:type="pct"/>
            <w:noWrap w:val="0"/>
            <w:vAlign w:val="center"/>
          </w:tcPr>
          <w:p w14:paraId="5B2D5F9F">
            <w:pPr>
              <w:autoSpaceDE w:val="0"/>
              <w:autoSpaceDN w:val="0"/>
              <w:adjustRightInd w:val="0"/>
              <w:jc w:val="left"/>
              <w:rPr>
                <w:rFonts w:ascii="仿宋" w:hAnsi="仿宋" w:eastAsia="仿宋"/>
                <w:kern w:val="0"/>
                <w:szCs w:val="21"/>
              </w:rPr>
            </w:pPr>
            <w:r>
              <w:rPr>
                <w:rFonts w:hint="eastAsia" w:ascii="仿宋" w:hAnsi="仿宋" w:eastAsia="仿宋"/>
                <w:kern w:val="0"/>
                <w:szCs w:val="21"/>
              </w:rPr>
              <w:t>通过教学，提高对体育的正确认识，形成正确积极的体育态度，学会运用科学理论指导健身锻炼实际，从而自觉遵循体育运动的规律，实现体育锻炼的目的。</w:t>
            </w:r>
          </w:p>
        </w:tc>
        <w:tc>
          <w:tcPr>
            <w:tcW w:w="386" w:type="pct"/>
            <w:noWrap w:val="0"/>
            <w:vAlign w:val="center"/>
          </w:tcPr>
          <w:p w14:paraId="52E27A9B">
            <w:pPr>
              <w:jc w:val="center"/>
              <w:rPr>
                <w:rFonts w:ascii="仿宋" w:hAnsi="仿宋" w:eastAsia="仿宋"/>
                <w:szCs w:val="21"/>
              </w:rPr>
            </w:pPr>
            <w:r>
              <w:rPr>
                <w:rFonts w:ascii="仿宋" w:hAnsi="仿宋" w:eastAsia="仿宋"/>
                <w:szCs w:val="21"/>
              </w:rPr>
              <w:t>2</w:t>
            </w:r>
          </w:p>
        </w:tc>
        <w:tc>
          <w:tcPr>
            <w:tcW w:w="464" w:type="pct"/>
            <w:noWrap w:val="0"/>
            <w:vAlign w:val="center"/>
          </w:tcPr>
          <w:p w14:paraId="562FABD4">
            <w:pPr>
              <w:jc w:val="left"/>
              <w:rPr>
                <w:rFonts w:ascii="仿宋" w:hAnsi="仿宋" w:eastAsia="仿宋"/>
                <w:szCs w:val="21"/>
              </w:rPr>
            </w:pPr>
            <w:r>
              <w:rPr>
                <w:rFonts w:hint="eastAsia" w:ascii="仿宋" w:hAnsi="仿宋" w:eastAsia="仿宋"/>
                <w:szCs w:val="21"/>
              </w:rPr>
              <w:t>讲授法</w:t>
            </w:r>
          </w:p>
        </w:tc>
        <w:tc>
          <w:tcPr>
            <w:tcW w:w="520" w:type="pct"/>
            <w:noWrap w:val="0"/>
            <w:vAlign w:val="center"/>
          </w:tcPr>
          <w:p w14:paraId="3DAE5231">
            <w:pPr>
              <w:jc w:val="left"/>
              <w:rPr>
                <w:rFonts w:ascii="仿宋" w:hAnsi="仿宋" w:eastAsia="仿宋"/>
                <w:szCs w:val="21"/>
              </w:rPr>
            </w:pPr>
            <w:r>
              <w:rPr>
                <w:rFonts w:hint="eastAsia" w:ascii="仿宋" w:hAnsi="仿宋" w:eastAsia="仿宋"/>
                <w:szCs w:val="21"/>
              </w:rPr>
              <w:t>目标1目标2</w:t>
            </w:r>
          </w:p>
        </w:tc>
      </w:tr>
      <w:tr w14:paraId="0096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6" w:type="pct"/>
            <w:noWrap w:val="0"/>
            <w:vAlign w:val="center"/>
          </w:tcPr>
          <w:p w14:paraId="08556F74">
            <w:pPr>
              <w:jc w:val="center"/>
              <w:rPr>
                <w:rFonts w:ascii="仿宋" w:hAnsi="仿宋" w:eastAsia="仿宋"/>
                <w:szCs w:val="21"/>
              </w:rPr>
            </w:pPr>
            <w:r>
              <w:rPr>
                <w:rFonts w:ascii="仿宋" w:hAnsi="仿宋" w:eastAsia="仿宋"/>
                <w:szCs w:val="21"/>
              </w:rPr>
              <w:t>2</w:t>
            </w:r>
          </w:p>
        </w:tc>
        <w:tc>
          <w:tcPr>
            <w:tcW w:w="1623" w:type="pct"/>
            <w:noWrap w:val="0"/>
            <w:vAlign w:val="center"/>
          </w:tcPr>
          <w:p w14:paraId="55B59F5F">
            <w:pPr>
              <w:jc w:val="left"/>
              <w:rPr>
                <w:rFonts w:ascii="仿宋" w:hAnsi="仿宋" w:eastAsia="仿宋"/>
                <w:b/>
                <w:szCs w:val="21"/>
              </w:rPr>
            </w:pPr>
            <w:r>
              <w:rPr>
                <w:rFonts w:hint="eastAsia" w:ascii="仿宋" w:hAnsi="仿宋" w:eastAsia="仿宋"/>
                <w:b/>
                <w:szCs w:val="21"/>
              </w:rPr>
              <w:t>㈡实践部分：</w:t>
            </w:r>
          </w:p>
          <w:p w14:paraId="4472A260">
            <w:pPr>
              <w:rPr>
                <w:rFonts w:ascii="仿宋" w:hAnsi="仿宋" w:eastAsia="仿宋"/>
                <w:bCs/>
              </w:rPr>
            </w:pPr>
            <w:r>
              <w:rPr>
                <w:rFonts w:hint="eastAsia" w:ascii="仿宋" w:hAnsi="仿宋" w:eastAsia="仿宋"/>
                <w:bCs/>
              </w:rPr>
              <w:t>各运动项目和国家学生体质健康标准测试的身体素质项目为主，主要包括体质测试、早锻炼、学生课外健身活动以及校级、院级和体育社团组织的各种体育比赛活动等。</w:t>
            </w:r>
          </w:p>
          <w:p w14:paraId="25800933">
            <w:pPr>
              <w:rPr>
                <w:rFonts w:ascii="仿宋" w:hAnsi="仿宋" w:eastAsia="仿宋"/>
                <w:bCs/>
              </w:rPr>
            </w:pPr>
            <w:r>
              <w:rPr>
                <w:rFonts w:hint="eastAsia" w:ascii="仿宋" w:hAnsi="仿宋" w:eastAsia="仿宋"/>
                <w:b/>
                <w:bCs/>
              </w:rPr>
              <w:t>重点：</w:t>
            </w:r>
            <w:r>
              <w:rPr>
                <w:rFonts w:hint="eastAsia" w:ascii="仿宋" w:hAnsi="仿宋" w:eastAsia="仿宋"/>
                <w:bCs/>
              </w:rPr>
              <w:t>编制可行的个人体育锻炼计划并积极实践。</w:t>
            </w:r>
          </w:p>
          <w:p w14:paraId="2CCB2275">
            <w:pPr>
              <w:rPr>
                <w:rFonts w:ascii="仿宋" w:hAnsi="仿宋" w:eastAsia="仿宋"/>
                <w:bCs/>
              </w:rPr>
            </w:pPr>
            <w:r>
              <w:rPr>
                <w:rFonts w:hint="eastAsia" w:ascii="仿宋" w:hAnsi="仿宋" w:eastAsia="仿宋"/>
                <w:b/>
                <w:bCs/>
              </w:rPr>
              <w:t>难点：</w:t>
            </w:r>
            <w:r>
              <w:rPr>
                <w:rFonts w:hint="eastAsia" w:ascii="仿宋" w:hAnsi="仿宋" w:eastAsia="仿宋"/>
                <w:bCs/>
              </w:rPr>
              <w:t>全面发</w:t>
            </w:r>
            <w:r>
              <w:rPr>
                <w:rFonts w:ascii="仿宋" w:hAnsi="仿宋" w:eastAsia="仿宋"/>
                <w:bCs/>
              </w:rPr>
              <w:t>展体能，</w:t>
            </w:r>
            <w:r>
              <w:rPr>
                <w:rFonts w:hint="eastAsia" w:ascii="仿宋" w:hAnsi="仿宋" w:eastAsia="仿宋"/>
                <w:bCs/>
              </w:rPr>
              <w:t>培养学生自觉锻炼意识</w:t>
            </w:r>
            <w:r>
              <w:rPr>
                <w:rFonts w:hint="eastAsia" w:ascii="仿宋" w:hAnsi="仿宋" w:eastAsia="仿宋"/>
                <w:sz w:val="24"/>
              </w:rPr>
              <w:t>，</w:t>
            </w:r>
            <w:r>
              <w:rPr>
                <w:rFonts w:ascii="仿宋" w:hAnsi="仿宋" w:eastAsia="仿宋"/>
                <w:bCs/>
              </w:rPr>
              <w:t>达到</w:t>
            </w:r>
            <w:r>
              <w:rPr>
                <w:rFonts w:hint="eastAsia" w:ascii="仿宋" w:hAnsi="仿宋" w:eastAsia="仿宋"/>
                <w:bCs/>
              </w:rPr>
              <w:t>体质</w:t>
            </w:r>
            <w:r>
              <w:rPr>
                <w:rFonts w:ascii="仿宋" w:hAnsi="仿宋" w:eastAsia="仿宋"/>
                <w:bCs/>
              </w:rPr>
              <w:t>健康标准测试</w:t>
            </w:r>
            <w:r>
              <w:rPr>
                <w:rFonts w:hint="eastAsia" w:ascii="仿宋" w:hAnsi="仿宋" w:eastAsia="仿宋"/>
                <w:bCs/>
              </w:rPr>
              <w:t>合格要求。</w:t>
            </w:r>
          </w:p>
        </w:tc>
        <w:tc>
          <w:tcPr>
            <w:tcW w:w="541" w:type="pct"/>
            <w:noWrap w:val="0"/>
            <w:vAlign w:val="center"/>
          </w:tcPr>
          <w:p w14:paraId="75A7121E">
            <w:pPr>
              <w:widowControl/>
              <w:ind w:left="-44" w:leftChars="-21" w:right="-109" w:rightChars="-52" w:firstLine="44" w:firstLineChars="21"/>
              <w:jc w:val="left"/>
              <w:rPr>
                <w:rFonts w:ascii="仿宋" w:hAnsi="仿宋" w:eastAsia="仿宋"/>
                <w:kern w:val="0"/>
                <w:szCs w:val="21"/>
              </w:rPr>
            </w:pPr>
            <w:r>
              <w:rPr>
                <w:rFonts w:hint="eastAsia" w:ascii="仿宋" w:hAnsi="仿宋" w:eastAsia="仿宋"/>
                <w:kern w:val="0"/>
                <w:szCs w:val="21"/>
              </w:rPr>
              <w:t>爱国主义和集体主义教育；体育道德观</w:t>
            </w:r>
            <w:r>
              <w:rPr>
                <w:rFonts w:ascii="仿宋" w:hAnsi="仿宋" w:eastAsia="仿宋"/>
                <w:kern w:val="0"/>
                <w:szCs w:val="21"/>
              </w:rPr>
              <w:t>、</w:t>
            </w:r>
            <w:r>
              <w:rPr>
                <w:rFonts w:hint="eastAsia" w:ascii="仿宋" w:hAnsi="仿宋" w:eastAsia="仿宋"/>
                <w:kern w:val="0"/>
                <w:szCs w:val="21"/>
              </w:rPr>
              <w:t>意志品德培育；规则</w:t>
            </w:r>
            <w:r>
              <w:rPr>
                <w:rFonts w:ascii="仿宋" w:hAnsi="仿宋" w:eastAsia="仿宋"/>
                <w:kern w:val="0"/>
                <w:szCs w:val="21"/>
              </w:rPr>
              <w:t>意识和</w:t>
            </w:r>
            <w:r>
              <w:rPr>
                <w:rFonts w:hint="eastAsia" w:ascii="仿宋" w:hAnsi="仿宋" w:eastAsia="仿宋"/>
                <w:kern w:val="0"/>
                <w:szCs w:val="21"/>
              </w:rPr>
              <w:t>诚信意识教育。</w:t>
            </w:r>
          </w:p>
        </w:tc>
        <w:tc>
          <w:tcPr>
            <w:tcW w:w="1160" w:type="pct"/>
            <w:noWrap w:val="0"/>
            <w:vAlign w:val="center"/>
          </w:tcPr>
          <w:p w14:paraId="6AFF7F20">
            <w:pPr>
              <w:rPr>
                <w:rFonts w:ascii="仿宋" w:hAnsi="仿宋" w:eastAsia="仿宋"/>
                <w:szCs w:val="21"/>
              </w:rPr>
            </w:pPr>
            <w:r>
              <w:rPr>
                <w:rFonts w:hint="eastAsia" w:ascii="仿宋" w:hAnsi="仿宋" w:eastAsia="仿宋"/>
                <w:szCs w:val="21"/>
              </w:rPr>
              <w:t>通过课外实践，使学生巩固课内学习效果，掌握科学锻炼的基础知识、基本技能和有效方法，发展身体素质；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仿宋" w:hAnsi="仿宋" w:eastAsia="仿宋"/>
                <w:kern w:val="0"/>
                <w:szCs w:val="21"/>
              </w:rPr>
              <w:t>。</w:t>
            </w:r>
          </w:p>
        </w:tc>
        <w:tc>
          <w:tcPr>
            <w:tcW w:w="386" w:type="pct"/>
            <w:noWrap w:val="0"/>
            <w:vAlign w:val="center"/>
          </w:tcPr>
          <w:p w14:paraId="66991159">
            <w:pPr>
              <w:jc w:val="center"/>
              <w:rPr>
                <w:rFonts w:ascii="仿宋" w:hAnsi="仿宋" w:eastAsia="仿宋"/>
                <w:szCs w:val="21"/>
              </w:rPr>
            </w:pPr>
            <w:r>
              <w:rPr>
                <w:rFonts w:ascii="仿宋" w:hAnsi="仿宋" w:eastAsia="仿宋"/>
                <w:szCs w:val="21"/>
              </w:rPr>
              <w:t>16</w:t>
            </w:r>
          </w:p>
        </w:tc>
        <w:tc>
          <w:tcPr>
            <w:tcW w:w="464" w:type="pct"/>
            <w:noWrap w:val="0"/>
            <w:vAlign w:val="center"/>
          </w:tcPr>
          <w:p w14:paraId="54C42791">
            <w:pPr>
              <w:rPr>
                <w:rFonts w:ascii="仿宋" w:hAnsi="仿宋" w:eastAsia="仿宋"/>
                <w:szCs w:val="21"/>
              </w:rPr>
            </w:pPr>
            <w:r>
              <w:rPr>
                <w:rFonts w:hint="eastAsia" w:ascii="仿宋" w:hAnsi="仿宋" w:eastAsia="仿宋"/>
                <w:szCs w:val="21"/>
              </w:rPr>
              <w:t>讲授、演示</w:t>
            </w:r>
            <w:r>
              <w:rPr>
                <w:rFonts w:ascii="仿宋" w:hAnsi="仿宋" w:eastAsia="仿宋"/>
                <w:szCs w:val="21"/>
              </w:rPr>
              <w:t>、</w:t>
            </w:r>
            <w:r>
              <w:rPr>
                <w:rFonts w:hint="eastAsia" w:ascii="仿宋" w:hAnsi="仿宋" w:eastAsia="仿宋"/>
                <w:szCs w:val="21"/>
              </w:rPr>
              <w:t>练习法等</w:t>
            </w:r>
          </w:p>
        </w:tc>
        <w:tc>
          <w:tcPr>
            <w:tcW w:w="520" w:type="pct"/>
            <w:noWrap w:val="0"/>
            <w:vAlign w:val="center"/>
          </w:tcPr>
          <w:p w14:paraId="3AE68BE6">
            <w:pPr>
              <w:jc w:val="left"/>
              <w:rPr>
                <w:rFonts w:ascii="仿宋" w:hAnsi="仿宋" w:eastAsia="仿宋"/>
                <w:szCs w:val="21"/>
              </w:rPr>
            </w:pPr>
            <w:r>
              <w:rPr>
                <w:rFonts w:hint="eastAsia" w:ascii="仿宋" w:hAnsi="仿宋" w:eastAsia="仿宋"/>
                <w:szCs w:val="21"/>
              </w:rPr>
              <w:t>目标1</w:t>
            </w:r>
          </w:p>
          <w:p w14:paraId="09287605">
            <w:pPr>
              <w:jc w:val="left"/>
              <w:rPr>
                <w:rFonts w:ascii="仿宋" w:hAnsi="仿宋" w:eastAsia="仿宋"/>
                <w:szCs w:val="21"/>
              </w:rPr>
            </w:pPr>
            <w:r>
              <w:rPr>
                <w:rFonts w:hint="eastAsia" w:ascii="仿宋" w:hAnsi="仿宋" w:eastAsia="仿宋"/>
                <w:szCs w:val="21"/>
              </w:rPr>
              <w:t>目标2</w:t>
            </w:r>
          </w:p>
        </w:tc>
      </w:tr>
    </w:tbl>
    <w:p w14:paraId="686AE3DA">
      <w:pPr>
        <w:pStyle w:val="4"/>
        <w:bidi w:val="0"/>
      </w:pPr>
      <w:r>
        <w:rPr>
          <w:rFonts w:hint="eastAsia"/>
        </w:rPr>
        <w:t>四、课程实施</w:t>
      </w:r>
    </w:p>
    <w:p w14:paraId="4BE561EC">
      <w:pPr>
        <w:spacing w:before="180" w:beforeLines="50" w:after="180" w:afterLines="50" w:line="360" w:lineRule="exact"/>
        <w:ind w:firstLine="482" w:firstLineChars="200"/>
        <w:jc w:val="left"/>
        <w:rPr>
          <w:rFonts w:ascii="仿宋" w:hAnsi="仿宋" w:eastAsia="仿宋"/>
          <w:b/>
          <w:sz w:val="24"/>
        </w:rPr>
      </w:pPr>
      <w:r>
        <w:rPr>
          <w:rFonts w:hint="eastAsia" w:ascii="仿宋" w:hAnsi="仿宋" w:eastAsia="仿宋"/>
          <w:b/>
          <w:sz w:val="24"/>
        </w:rPr>
        <w:t>（一）方法与手段</w:t>
      </w:r>
    </w:p>
    <w:p w14:paraId="5EA705BC">
      <w:pPr>
        <w:spacing w:before="180" w:beforeLines="50" w:after="180" w:afterLines="50" w:line="360" w:lineRule="exact"/>
        <w:ind w:firstLine="480" w:firstLineChars="200"/>
        <w:jc w:val="left"/>
        <w:rPr>
          <w:rFonts w:ascii="仿宋" w:hAnsi="仿宋" w:eastAsia="仿宋"/>
          <w:sz w:val="24"/>
        </w:rPr>
      </w:pPr>
      <w:r>
        <w:rPr>
          <w:rFonts w:hint="eastAsia" w:ascii="仿宋" w:hAnsi="仿宋" w:eastAsia="仿宋"/>
          <w:sz w:val="24"/>
        </w:rPr>
        <w:t>采用线上+线下、自主锻炼、体质测试和课外体育俱乐部等组织形式。</w:t>
      </w:r>
    </w:p>
    <w:p w14:paraId="56A46F5B">
      <w:pPr>
        <w:spacing w:line="360" w:lineRule="auto"/>
        <w:ind w:firstLine="482" w:firstLineChars="200"/>
        <w:rPr>
          <w:rFonts w:ascii="仿宋" w:hAnsi="仿宋" w:eastAsia="仿宋"/>
          <w:b/>
          <w:sz w:val="24"/>
        </w:rPr>
      </w:pPr>
      <w:r>
        <w:rPr>
          <w:rFonts w:hint="eastAsia" w:ascii="仿宋" w:hAnsi="仿宋" w:eastAsia="仿宋"/>
          <w:b/>
          <w:sz w:val="24"/>
        </w:rPr>
        <w:t>（二）课程实施与保障</w:t>
      </w:r>
    </w:p>
    <w:tbl>
      <w:tblPr>
        <w:tblStyle w:val="30"/>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0C2A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noWrap w:val="0"/>
            <w:tcMar>
              <w:left w:w="28" w:type="dxa"/>
              <w:right w:w="28" w:type="dxa"/>
            </w:tcMar>
            <w:vAlign w:val="center"/>
          </w:tcPr>
          <w:p w14:paraId="4C18B4F4">
            <w:pPr>
              <w:spacing w:line="276" w:lineRule="auto"/>
              <w:jc w:val="center"/>
              <w:rPr>
                <w:rFonts w:ascii="仿宋" w:hAnsi="仿宋" w:eastAsia="仿宋"/>
                <w:sz w:val="24"/>
              </w:rPr>
            </w:pPr>
            <w:r>
              <w:rPr>
                <w:rFonts w:ascii="仿宋" w:hAnsi="仿宋" w:eastAsia="仿宋" w:cs="宋体"/>
                <w:b/>
                <w:bCs/>
                <w:sz w:val="24"/>
              </w:rPr>
              <w:t>主要环节</w:t>
            </w:r>
          </w:p>
        </w:tc>
        <w:tc>
          <w:tcPr>
            <w:tcW w:w="6640" w:type="dxa"/>
            <w:tcBorders>
              <w:top w:val="single" w:color="auto" w:sz="8" w:space="0"/>
              <w:left w:val="single" w:color="auto" w:sz="8" w:space="0"/>
              <w:right w:val="single" w:color="auto" w:sz="8" w:space="0"/>
            </w:tcBorders>
            <w:noWrap w:val="0"/>
            <w:vAlign w:val="center"/>
          </w:tcPr>
          <w:p w14:paraId="4D1A8E26">
            <w:pPr>
              <w:spacing w:line="276" w:lineRule="auto"/>
              <w:jc w:val="center"/>
              <w:rPr>
                <w:rFonts w:ascii="仿宋" w:hAnsi="仿宋" w:eastAsia="仿宋"/>
                <w:sz w:val="24"/>
              </w:rPr>
            </w:pPr>
            <w:r>
              <w:rPr>
                <w:rFonts w:hint="eastAsia" w:ascii="仿宋" w:hAnsi="仿宋" w:eastAsia="仿宋" w:cs="宋体"/>
                <w:b/>
                <w:bCs/>
                <w:sz w:val="24"/>
              </w:rPr>
              <w:t>质量要求</w:t>
            </w:r>
          </w:p>
        </w:tc>
      </w:tr>
      <w:tr w14:paraId="350A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3F120060">
            <w:pPr>
              <w:spacing w:line="276" w:lineRule="auto"/>
              <w:jc w:val="center"/>
              <w:rPr>
                <w:rFonts w:ascii="仿宋" w:hAnsi="仿宋" w:eastAsia="仿宋"/>
                <w:sz w:val="24"/>
              </w:rPr>
            </w:pPr>
            <w:r>
              <w:rPr>
                <w:rFonts w:ascii="仿宋" w:hAnsi="仿宋" w:eastAsia="仿宋"/>
                <w:sz w:val="24"/>
              </w:rPr>
              <w:t>1</w:t>
            </w:r>
          </w:p>
        </w:tc>
        <w:tc>
          <w:tcPr>
            <w:tcW w:w="1252" w:type="dxa"/>
            <w:noWrap w:val="0"/>
            <w:tcMar>
              <w:left w:w="28" w:type="dxa"/>
              <w:right w:w="28" w:type="dxa"/>
            </w:tcMar>
            <w:vAlign w:val="center"/>
          </w:tcPr>
          <w:p w14:paraId="49E22B43">
            <w:pPr>
              <w:spacing w:line="276" w:lineRule="auto"/>
              <w:jc w:val="center"/>
              <w:rPr>
                <w:rFonts w:ascii="仿宋" w:hAnsi="仿宋" w:eastAsia="仿宋"/>
                <w:sz w:val="24"/>
              </w:rPr>
            </w:pPr>
            <w:r>
              <w:rPr>
                <w:rFonts w:hint="eastAsia" w:ascii="仿宋" w:hAnsi="仿宋" w:eastAsia="仿宋"/>
                <w:sz w:val="24"/>
              </w:rPr>
              <w:t>课外锻炼</w:t>
            </w:r>
          </w:p>
        </w:tc>
        <w:tc>
          <w:tcPr>
            <w:tcW w:w="6640" w:type="dxa"/>
            <w:tcBorders>
              <w:right w:val="single" w:color="auto" w:sz="8" w:space="0"/>
            </w:tcBorders>
            <w:noWrap w:val="0"/>
            <w:vAlign w:val="center"/>
          </w:tcPr>
          <w:p w14:paraId="593FF13D">
            <w:pPr>
              <w:autoSpaceDE w:val="0"/>
              <w:autoSpaceDN w:val="0"/>
              <w:adjustRightInd w:val="0"/>
              <w:snapToGrid w:val="0"/>
              <w:spacing w:line="360" w:lineRule="exact"/>
              <w:jc w:val="left"/>
              <w:rPr>
                <w:rFonts w:ascii="仿宋" w:hAnsi="仿宋" w:eastAsia="仿宋" w:cs="宋体"/>
                <w:kern w:val="0"/>
                <w:sz w:val="22"/>
              </w:rPr>
            </w:pPr>
            <w:r>
              <w:rPr>
                <w:rFonts w:hint="eastAsia" w:ascii="仿宋" w:hAnsi="仿宋" w:eastAsia="仿宋" w:cs="宋体"/>
                <w:kern w:val="0"/>
                <w:sz w:val="22"/>
              </w:rPr>
              <w:t>学生利用课余时间通过参加体质测试、早锻炼、课外健身活动以及校级、院级和体育社团组织的各种体育比赛等活动，巩固课内学习效果，提高身体素质，培养学生自我锻炼意识和习惯。</w:t>
            </w:r>
          </w:p>
        </w:tc>
      </w:tr>
      <w:tr w14:paraId="245A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9" w:type="dxa"/>
            <w:tcBorders>
              <w:left w:val="single" w:color="auto" w:sz="8" w:space="0"/>
            </w:tcBorders>
            <w:noWrap w:val="0"/>
            <w:vAlign w:val="center"/>
          </w:tcPr>
          <w:p w14:paraId="026FA2DE">
            <w:pPr>
              <w:spacing w:line="276" w:lineRule="auto"/>
              <w:jc w:val="center"/>
              <w:rPr>
                <w:rFonts w:ascii="仿宋" w:hAnsi="仿宋" w:eastAsia="仿宋"/>
                <w:sz w:val="24"/>
              </w:rPr>
            </w:pPr>
            <w:r>
              <w:rPr>
                <w:rFonts w:hint="eastAsia" w:ascii="仿宋" w:hAnsi="仿宋" w:eastAsia="仿宋"/>
                <w:sz w:val="24"/>
              </w:rPr>
              <w:t>2</w:t>
            </w:r>
          </w:p>
        </w:tc>
        <w:tc>
          <w:tcPr>
            <w:tcW w:w="1252" w:type="dxa"/>
            <w:noWrap w:val="0"/>
            <w:tcMar>
              <w:left w:w="28" w:type="dxa"/>
              <w:right w:w="28" w:type="dxa"/>
            </w:tcMar>
            <w:vAlign w:val="center"/>
          </w:tcPr>
          <w:p w14:paraId="2FAA278F">
            <w:pPr>
              <w:spacing w:line="276" w:lineRule="auto"/>
              <w:jc w:val="center"/>
              <w:rPr>
                <w:rFonts w:ascii="仿宋" w:hAnsi="仿宋" w:eastAsia="仿宋"/>
                <w:sz w:val="24"/>
              </w:rPr>
            </w:pPr>
            <w:r>
              <w:rPr>
                <w:rFonts w:hint="eastAsia" w:ascii="仿宋" w:hAnsi="仿宋" w:eastAsia="仿宋"/>
                <w:sz w:val="24"/>
              </w:rPr>
              <w:t>体质</w:t>
            </w:r>
            <w:r>
              <w:rPr>
                <w:rFonts w:ascii="仿宋" w:hAnsi="仿宋" w:eastAsia="仿宋"/>
                <w:sz w:val="24"/>
              </w:rPr>
              <w:t>测试</w:t>
            </w:r>
          </w:p>
        </w:tc>
        <w:tc>
          <w:tcPr>
            <w:tcW w:w="6640" w:type="dxa"/>
            <w:tcBorders>
              <w:right w:val="single" w:color="auto" w:sz="8" w:space="0"/>
            </w:tcBorders>
            <w:noWrap w:val="0"/>
            <w:vAlign w:val="center"/>
          </w:tcPr>
          <w:p w14:paraId="24B7BF78">
            <w:pPr>
              <w:autoSpaceDE w:val="0"/>
              <w:autoSpaceDN w:val="0"/>
              <w:adjustRightInd w:val="0"/>
              <w:snapToGrid w:val="0"/>
              <w:spacing w:line="360" w:lineRule="exact"/>
              <w:jc w:val="left"/>
              <w:rPr>
                <w:rFonts w:ascii="仿宋" w:hAnsi="仿宋" w:eastAsia="仿宋" w:cs="宋体"/>
                <w:kern w:val="0"/>
                <w:sz w:val="22"/>
              </w:rPr>
            </w:pPr>
            <w:r>
              <w:rPr>
                <w:rFonts w:hint="eastAsia" w:ascii="仿宋" w:hAnsi="仿宋" w:eastAsia="仿宋" w:cs="宋体"/>
                <w:kern w:val="0"/>
                <w:sz w:val="22"/>
              </w:rPr>
              <w:t>完成《国家学生体质健康标准》项目测试</w:t>
            </w:r>
            <w:r>
              <w:rPr>
                <w:rFonts w:ascii="仿宋" w:hAnsi="仿宋" w:eastAsia="仿宋" w:cs="宋体"/>
                <w:kern w:val="0"/>
                <w:sz w:val="22"/>
              </w:rPr>
              <w:t>。</w:t>
            </w:r>
          </w:p>
        </w:tc>
      </w:tr>
      <w:tr w14:paraId="0ED2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noWrap w:val="0"/>
            <w:vAlign w:val="center"/>
          </w:tcPr>
          <w:p w14:paraId="764FFF61">
            <w:pPr>
              <w:spacing w:line="276" w:lineRule="auto"/>
              <w:jc w:val="center"/>
              <w:rPr>
                <w:rFonts w:ascii="仿宋" w:hAnsi="仿宋" w:eastAsia="仿宋"/>
                <w:sz w:val="24"/>
              </w:rPr>
            </w:pPr>
            <w:r>
              <w:rPr>
                <w:rFonts w:ascii="仿宋" w:hAnsi="仿宋" w:eastAsia="仿宋"/>
                <w:sz w:val="24"/>
              </w:rPr>
              <w:t>3</w:t>
            </w:r>
          </w:p>
        </w:tc>
        <w:tc>
          <w:tcPr>
            <w:tcW w:w="1252" w:type="dxa"/>
            <w:noWrap w:val="0"/>
            <w:tcMar>
              <w:left w:w="28" w:type="dxa"/>
              <w:right w:w="28" w:type="dxa"/>
            </w:tcMar>
            <w:vAlign w:val="center"/>
          </w:tcPr>
          <w:p w14:paraId="468CE13E">
            <w:pPr>
              <w:spacing w:line="276" w:lineRule="auto"/>
              <w:jc w:val="center"/>
              <w:rPr>
                <w:rFonts w:ascii="仿宋" w:hAnsi="仿宋" w:eastAsia="仿宋"/>
                <w:sz w:val="24"/>
              </w:rPr>
            </w:pPr>
            <w:r>
              <w:rPr>
                <w:rFonts w:hint="eastAsia" w:ascii="仿宋" w:hAnsi="仿宋" w:eastAsia="仿宋"/>
                <w:sz w:val="24"/>
              </w:rPr>
              <w:t>成绩考核</w:t>
            </w:r>
          </w:p>
        </w:tc>
        <w:tc>
          <w:tcPr>
            <w:tcW w:w="6640" w:type="dxa"/>
            <w:tcBorders>
              <w:right w:val="single" w:color="auto" w:sz="8" w:space="0"/>
            </w:tcBorders>
            <w:noWrap w:val="0"/>
            <w:vAlign w:val="center"/>
          </w:tcPr>
          <w:p w14:paraId="15B5B627">
            <w:pPr>
              <w:autoSpaceDE w:val="0"/>
              <w:autoSpaceDN w:val="0"/>
              <w:adjustRightInd w:val="0"/>
              <w:snapToGrid w:val="0"/>
              <w:spacing w:line="360" w:lineRule="exact"/>
              <w:jc w:val="left"/>
              <w:rPr>
                <w:rFonts w:hint="eastAsia" w:ascii="仿宋" w:hAnsi="仿宋" w:eastAsia="仿宋" w:cs="宋体"/>
                <w:kern w:val="0"/>
                <w:sz w:val="22"/>
              </w:rPr>
            </w:pPr>
            <w:r>
              <w:rPr>
                <w:rFonts w:hint="eastAsia" w:ascii="仿宋" w:hAnsi="仿宋" w:eastAsia="仿宋" w:cs="宋体"/>
                <w:kern w:val="0"/>
                <w:sz w:val="22"/>
              </w:rPr>
              <w:t>本课程考核的方式：以学生参加课外体育活动的考勤次数为依据。总评成绩的评定见《学生参加课外体育活动成绩评定标准》。</w:t>
            </w:r>
          </w:p>
        </w:tc>
      </w:tr>
    </w:tbl>
    <w:p w14:paraId="7BFB88BD">
      <w:pPr>
        <w:pStyle w:val="4"/>
        <w:bidi w:val="0"/>
      </w:pPr>
      <w:r>
        <w:rPr>
          <w:rFonts w:hint="eastAsia"/>
        </w:rPr>
        <w:t>五</w:t>
      </w:r>
      <w:r>
        <w:t>、</w:t>
      </w:r>
      <w:r>
        <w:rPr>
          <w:rFonts w:hint="eastAsia"/>
        </w:rPr>
        <w:t>课程考核</w:t>
      </w:r>
    </w:p>
    <w:p w14:paraId="4545F882">
      <w:pPr>
        <w:spacing w:line="360" w:lineRule="auto"/>
        <w:ind w:firstLine="480" w:firstLineChars="200"/>
        <w:rPr>
          <w:rFonts w:ascii="仿宋" w:hAnsi="仿宋" w:eastAsia="仿宋"/>
          <w:sz w:val="24"/>
        </w:rPr>
      </w:pPr>
      <w:r>
        <w:rPr>
          <w:rFonts w:hint="eastAsia" w:ascii="仿宋" w:hAnsi="仿宋" w:eastAsia="仿宋"/>
          <w:sz w:val="24"/>
        </w:rPr>
        <w:t>（一）课程考核由课外</w:t>
      </w:r>
      <w:r>
        <w:rPr>
          <w:rFonts w:ascii="仿宋" w:hAnsi="仿宋" w:eastAsia="仿宋"/>
          <w:sz w:val="24"/>
        </w:rPr>
        <w:t>体育活动</w:t>
      </w:r>
      <w:r>
        <w:rPr>
          <w:rFonts w:hint="eastAsia" w:ascii="仿宋" w:hAnsi="仿宋" w:eastAsia="仿宋"/>
          <w:sz w:val="24"/>
        </w:rPr>
        <w:t>和体质测试构成。</w:t>
      </w:r>
    </w:p>
    <w:p w14:paraId="15F90F24">
      <w:pPr>
        <w:spacing w:line="360" w:lineRule="auto"/>
        <w:ind w:firstLine="480" w:firstLineChars="200"/>
        <w:rPr>
          <w:rFonts w:ascii="仿宋" w:hAnsi="仿宋" w:eastAsia="仿宋"/>
          <w:sz w:val="24"/>
        </w:rPr>
      </w:pPr>
      <w:r>
        <w:rPr>
          <w:rFonts w:hint="eastAsia" w:ascii="仿宋" w:hAnsi="仿宋" w:eastAsia="仿宋"/>
          <w:sz w:val="24"/>
        </w:rPr>
        <w:t>（二）</w:t>
      </w:r>
      <w:r>
        <w:rPr>
          <w:rFonts w:ascii="仿宋" w:hAnsi="仿宋" w:eastAsia="仿宋"/>
          <w:sz w:val="24"/>
        </w:rPr>
        <w:t>课程</w:t>
      </w:r>
      <w:r>
        <w:rPr>
          <w:rFonts w:hint="eastAsia" w:ascii="仿宋" w:hAnsi="仿宋" w:eastAsia="仿宋"/>
          <w:sz w:val="24"/>
        </w:rPr>
        <w:t>总评成绩=课外体育活动×</w:t>
      </w:r>
      <w:r>
        <w:rPr>
          <w:rFonts w:ascii="仿宋" w:hAnsi="仿宋" w:eastAsia="仿宋"/>
          <w:sz w:val="24"/>
        </w:rPr>
        <w:t>5</w:t>
      </w:r>
      <w:r>
        <w:rPr>
          <w:rFonts w:hint="eastAsia" w:ascii="仿宋" w:hAnsi="仿宋" w:eastAsia="仿宋"/>
          <w:sz w:val="24"/>
        </w:rPr>
        <w:t>0%+体质测试×</w:t>
      </w:r>
      <w:r>
        <w:rPr>
          <w:rFonts w:ascii="仿宋" w:hAnsi="仿宋" w:eastAsia="仿宋"/>
          <w:sz w:val="24"/>
        </w:rPr>
        <w:t>5</w:t>
      </w:r>
      <w:r>
        <w:rPr>
          <w:rFonts w:hint="eastAsia" w:ascii="仿宋" w:hAnsi="仿宋" w:eastAsia="仿宋"/>
          <w:sz w:val="24"/>
        </w:rPr>
        <w:t>0%。</w:t>
      </w:r>
    </w:p>
    <w:p w14:paraId="5F0A4D8C">
      <w:pPr>
        <w:spacing w:line="360" w:lineRule="auto"/>
        <w:ind w:firstLine="480" w:firstLineChars="200"/>
        <w:rPr>
          <w:rFonts w:ascii="仿宋" w:hAnsi="仿宋" w:eastAsia="仿宋"/>
          <w:sz w:val="24"/>
        </w:rPr>
      </w:pPr>
      <w:r>
        <w:rPr>
          <w:rFonts w:ascii="仿宋" w:hAnsi="仿宋" w:eastAsia="仿宋"/>
          <w:sz w:val="24"/>
        </w:rPr>
        <w:t>具体内容和比例</w:t>
      </w:r>
      <w:r>
        <w:rPr>
          <w:rFonts w:hint="eastAsia" w:ascii="仿宋" w:hAnsi="仿宋" w:eastAsia="仿宋"/>
          <w:sz w:val="24"/>
        </w:rPr>
        <w:t>如表所示：</w:t>
      </w:r>
    </w:p>
    <w:tbl>
      <w:tblPr>
        <w:tblStyle w:val="30"/>
        <w:tblW w:w="8251"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01"/>
        <w:gridCol w:w="741"/>
        <w:gridCol w:w="4047"/>
        <w:gridCol w:w="1349"/>
      </w:tblGrid>
      <w:tr w14:paraId="3C81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13" w:type="dxa"/>
            <w:shd w:val="clear" w:color="auto" w:fill="FFFFFF"/>
            <w:noWrap w:val="0"/>
            <w:tcMar>
              <w:left w:w="57" w:type="dxa"/>
              <w:right w:w="57" w:type="dxa"/>
            </w:tcMar>
            <w:vAlign w:val="center"/>
          </w:tcPr>
          <w:p w14:paraId="1D0B4903">
            <w:pPr>
              <w:jc w:val="center"/>
              <w:rPr>
                <w:rFonts w:ascii="仿宋" w:hAnsi="仿宋" w:eastAsia="仿宋"/>
                <w:szCs w:val="21"/>
              </w:rPr>
            </w:pPr>
            <w:r>
              <w:rPr>
                <w:rFonts w:ascii="仿宋" w:hAnsi="仿宋" w:eastAsia="仿宋"/>
                <w:szCs w:val="21"/>
              </w:rPr>
              <w:t>成绩组成</w:t>
            </w:r>
          </w:p>
        </w:tc>
        <w:tc>
          <w:tcPr>
            <w:tcW w:w="1301" w:type="dxa"/>
            <w:shd w:val="clear" w:color="auto" w:fill="FFFFFF"/>
            <w:noWrap w:val="0"/>
            <w:vAlign w:val="center"/>
          </w:tcPr>
          <w:p w14:paraId="30668B9E">
            <w:pPr>
              <w:jc w:val="center"/>
              <w:rPr>
                <w:rFonts w:ascii="仿宋" w:hAnsi="仿宋" w:eastAsia="仿宋"/>
                <w:szCs w:val="21"/>
              </w:rPr>
            </w:pPr>
            <w:r>
              <w:rPr>
                <w:rFonts w:ascii="仿宋" w:hAnsi="仿宋" w:eastAsia="仿宋"/>
                <w:szCs w:val="21"/>
              </w:rPr>
              <w:t>考核/评价环节</w:t>
            </w:r>
          </w:p>
        </w:tc>
        <w:tc>
          <w:tcPr>
            <w:tcW w:w="741" w:type="dxa"/>
            <w:shd w:val="clear" w:color="auto" w:fill="FFFFFF"/>
            <w:noWrap w:val="0"/>
            <w:vAlign w:val="center"/>
          </w:tcPr>
          <w:p w14:paraId="1E2A2D97">
            <w:pPr>
              <w:jc w:val="center"/>
              <w:rPr>
                <w:rFonts w:ascii="仿宋" w:hAnsi="仿宋" w:eastAsia="仿宋"/>
                <w:szCs w:val="21"/>
              </w:rPr>
            </w:pPr>
            <w:r>
              <w:rPr>
                <w:rFonts w:hint="eastAsia" w:ascii="仿宋" w:hAnsi="仿宋" w:eastAsia="仿宋"/>
                <w:szCs w:val="21"/>
              </w:rPr>
              <w:t>权重</w:t>
            </w:r>
          </w:p>
        </w:tc>
        <w:tc>
          <w:tcPr>
            <w:tcW w:w="4047" w:type="dxa"/>
            <w:shd w:val="clear" w:color="auto" w:fill="FFFFFF"/>
            <w:noWrap w:val="0"/>
            <w:vAlign w:val="center"/>
          </w:tcPr>
          <w:p w14:paraId="667522F8">
            <w:pPr>
              <w:jc w:val="center"/>
              <w:rPr>
                <w:rFonts w:ascii="仿宋" w:hAnsi="仿宋" w:eastAsia="仿宋"/>
                <w:szCs w:val="21"/>
              </w:rPr>
            </w:pPr>
            <w:r>
              <w:rPr>
                <w:rFonts w:ascii="仿宋" w:hAnsi="仿宋" w:eastAsia="仿宋"/>
                <w:szCs w:val="21"/>
              </w:rPr>
              <w:t>考核/评价细则</w:t>
            </w:r>
          </w:p>
        </w:tc>
        <w:tc>
          <w:tcPr>
            <w:tcW w:w="1349" w:type="dxa"/>
            <w:shd w:val="clear" w:color="auto" w:fill="FFFFFF"/>
            <w:noWrap w:val="0"/>
            <w:vAlign w:val="center"/>
          </w:tcPr>
          <w:p w14:paraId="002FD302">
            <w:pPr>
              <w:jc w:val="center"/>
              <w:rPr>
                <w:rFonts w:ascii="仿宋" w:hAnsi="仿宋" w:eastAsia="仿宋"/>
                <w:szCs w:val="21"/>
              </w:rPr>
            </w:pPr>
            <w:r>
              <w:rPr>
                <w:rFonts w:ascii="仿宋" w:hAnsi="仿宋" w:eastAsia="仿宋"/>
                <w:szCs w:val="21"/>
              </w:rPr>
              <w:t>对应的毕业要求指标点</w:t>
            </w:r>
          </w:p>
        </w:tc>
      </w:tr>
      <w:tr w14:paraId="2956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3" w:type="dxa"/>
            <w:noWrap w:val="0"/>
            <w:tcMar>
              <w:left w:w="57" w:type="dxa"/>
              <w:right w:w="57" w:type="dxa"/>
            </w:tcMar>
            <w:vAlign w:val="center"/>
          </w:tcPr>
          <w:p w14:paraId="767B6E78">
            <w:pPr>
              <w:jc w:val="center"/>
              <w:rPr>
                <w:rFonts w:ascii="仿宋" w:hAnsi="仿宋" w:eastAsia="仿宋"/>
                <w:szCs w:val="21"/>
              </w:rPr>
            </w:pPr>
            <w:r>
              <w:rPr>
                <w:rFonts w:hint="eastAsia" w:ascii="仿宋" w:hAnsi="仿宋" w:eastAsia="仿宋"/>
                <w:szCs w:val="21"/>
              </w:rPr>
              <w:t>课外</w:t>
            </w:r>
            <w:r>
              <w:rPr>
                <w:rFonts w:ascii="仿宋" w:hAnsi="仿宋" w:eastAsia="仿宋"/>
                <w:szCs w:val="21"/>
              </w:rPr>
              <w:t>体育活动</w:t>
            </w:r>
          </w:p>
          <w:p w14:paraId="4B4BBDE9">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3E376601">
            <w:pPr>
              <w:spacing w:line="276" w:lineRule="auto"/>
              <w:jc w:val="center"/>
              <w:rPr>
                <w:rFonts w:ascii="仿宋" w:hAnsi="仿宋" w:eastAsia="仿宋"/>
                <w:szCs w:val="21"/>
              </w:rPr>
            </w:pPr>
            <w:r>
              <w:rPr>
                <w:rFonts w:hint="eastAsia" w:ascii="仿宋" w:hAnsi="仿宋" w:eastAsia="仿宋"/>
                <w:szCs w:val="21"/>
              </w:rPr>
              <w:t>课</w:t>
            </w:r>
            <w:r>
              <w:rPr>
                <w:rFonts w:ascii="仿宋" w:hAnsi="仿宋" w:eastAsia="仿宋"/>
                <w:szCs w:val="21"/>
              </w:rPr>
              <w:t>外体育活动</w:t>
            </w:r>
          </w:p>
        </w:tc>
        <w:tc>
          <w:tcPr>
            <w:tcW w:w="741" w:type="dxa"/>
            <w:noWrap w:val="0"/>
            <w:vAlign w:val="center"/>
          </w:tcPr>
          <w:p w14:paraId="54C10A2E">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r>
              <w:rPr>
                <w:rFonts w:ascii="仿宋" w:hAnsi="仿宋" w:eastAsia="仿宋"/>
                <w:szCs w:val="21"/>
              </w:rPr>
              <w:t>%</w:t>
            </w:r>
          </w:p>
        </w:tc>
        <w:tc>
          <w:tcPr>
            <w:tcW w:w="4047" w:type="dxa"/>
            <w:noWrap w:val="0"/>
            <w:vAlign w:val="center"/>
          </w:tcPr>
          <w:p w14:paraId="57465C0D">
            <w:pPr>
              <w:spacing w:line="360" w:lineRule="auto"/>
              <w:ind w:firstLine="480" w:firstLineChars="200"/>
              <w:jc w:val="left"/>
              <w:rPr>
                <w:rFonts w:ascii="仿宋" w:hAnsi="仿宋" w:eastAsia="仿宋"/>
                <w:sz w:val="24"/>
              </w:rPr>
            </w:pPr>
            <w:r>
              <w:rPr>
                <w:rFonts w:hint="eastAsia" w:ascii="仿宋" w:hAnsi="仿宋" w:eastAsia="仿宋"/>
                <w:sz w:val="24"/>
              </w:rPr>
              <w:t>具体见《学生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r>
              <w:rPr>
                <w:rFonts w:hint="eastAsia" w:ascii="仿宋" w:hAnsi="仿宋" w:eastAsia="仿宋"/>
                <w:sz w:val="24"/>
              </w:rPr>
              <w:t>》</w:t>
            </w:r>
          </w:p>
        </w:tc>
        <w:tc>
          <w:tcPr>
            <w:tcW w:w="1349" w:type="dxa"/>
            <w:noWrap w:val="0"/>
            <w:vAlign w:val="center"/>
          </w:tcPr>
          <w:p w14:paraId="4EBB483F">
            <w:pPr>
              <w:jc w:val="center"/>
              <w:rPr>
                <w:rFonts w:ascii="仿宋" w:hAnsi="仿宋" w:eastAsia="仿宋"/>
              </w:rPr>
            </w:pPr>
            <w:r>
              <w:rPr>
                <w:rFonts w:hint="eastAsia" w:ascii="仿宋" w:hAnsi="仿宋" w:eastAsia="仿宋"/>
              </w:rPr>
              <w:t>8、9</w:t>
            </w:r>
          </w:p>
        </w:tc>
      </w:tr>
      <w:tr w14:paraId="6908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813" w:type="dxa"/>
            <w:noWrap w:val="0"/>
            <w:tcMar>
              <w:left w:w="57" w:type="dxa"/>
              <w:right w:w="57" w:type="dxa"/>
            </w:tcMar>
            <w:vAlign w:val="center"/>
          </w:tcPr>
          <w:p w14:paraId="51067E8C">
            <w:pPr>
              <w:jc w:val="center"/>
              <w:rPr>
                <w:rFonts w:ascii="仿宋" w:hAnsi="仿宋" w:eastAsia="仿宋"/>
                <w:szCs w:val="21"/>
              </w:rPr>
            </w:pPr>
            <w:r>
              <w:rPr>
                <w:rFonts w:hint="eastAsia" w:ascii="仿宋" w:hAnsi="仿宋" w:eastAsia="仿宋"/>
                <w:szCs w:val="21"/>
              </w:rPr>
              <w:t>体质测试</w:t>
            </w:r>
          </w:p>
          <w:p w14:paraId="168B6720">
            <w:pPr>
              <w:jc w:val="center"/>
              <w:rPr>
                <w:rFonts w:ascii="仿宋" w:hAnsi="仿宋" w:eastAsia="仿宋"/>
                <w:szCs w:val="21"/>
              </w:rPr>
            </w:pPr>
            <w:r>
              <w:rPr>
                <w:rFonts w:ascii="仿宋" w:hAnsi="仿宋" w:eastAsia="仿宋"/>
                <w:szCs w:val="21"/>
              </w:rPr>
              <w:t>5</w:t>
            </w:r>
            <w:r>
              <w:rPr>
                <w:rFonts w:hint="eastAsia" w:ascii="仿宋" w:hAnsi="仿宋" w:eastAsia="仿宋"/>
                <w:szCs w:val="21"/>
              </w:rPr>
              <w:t>0%</w:t>
            </w:r>
          </w:p>
        </w:tc>
        <w:tc>
          <w:tcPr>
            <w:tcW w:w="1301" w:type="dxa"/>
            <w:noWrap w:val="0"/>
            <w:vAlign w:val="center"/>
          </w:tcPr>
          <w:p w14:paraId="4A8E2A99">
            <w:pPr>
              <w:jc w:val="center"/>
              <w:rPr>
                <w:rFonts w:ascii="仿宋" w:hAnsi="仿宋" w:eastAsia="仿宋"/>
                <w:szCs w:val="21"/>
              </w:rPr>
            </w:pPr>
            <w:r>
              <w:rPr>
                <w:rFonts w:hint="eastAsia" w:ascii="仿宋" w:hAnsi="仿宋" w:eastAsia="仿宋"/>
                <w:szCs w:val="21"/>
              </w:rPr>
              <w:t>体质测试</w:t>
            </w:r>
          </w:p>
        </w:tc>
        <w:tc>
          <w:tcPr>
            <w:tcW w:w="741" w:type="dxa"/>
            <w:noWrap w:val="0"/>
            <w:vAlign w:val="center"/>
          </w:tcPr>
          <w:p w14:paraId="71B4FD8D">
            <w:pPr>
              <w:jc w:val="center"/>
              <w:rPr>
                <w:rFonts w:ascii="仿宋" w:hAnsi="仿宋" w:eastAsia="仿宋"/>
                <w:szCs w:val="21"/>
              </w:rPr>
            </w:pPr>
            <w:r>
              <w:rPr>
                <w:rFonts w:hint="eastAsia" w:ascii="仿宋" w:hAnsi="仿宋" w:eastAsia="仿宋"/>
                <w:szCs w:val="21"/>
              </w:rPr>
              <w:t xml:space="preserve">   </w:t>
            </w:r>
            <w:r>
              <w:rPr>
                <w:rFonts w:ascii="仿宋" w:hAnsi="仿宋" w:eastAsia="仿宋"/>
                <w:szCs w:val="21"/>
              </w:rPr>
              <w:t>10</w:t>
            </w:r>
            <w:r>
              <w:rPr>
                <w:rFonts w:hint="eastAsia" w:ascii="仿宋" w:hAnsi="仿宋" w:eastAsia="仿宋"/>
                <w:szCs w:val="21"/>
              </w:rPr>
              <w:t>0</w:t>
            </w:r>
            <w:r>
              <w:rPr>
                <w:rFonts w:ascii="仿宋" w:hAnsi="仿宋" w:eastAsia="仿宋"/>
                <w:szCs w:val="21"/>
              </w:rPr>
              <w:t>%</w:t>
            </w:r>
          </w:p>
        </w:tc>
        <w:tc>
          <w:tcPr>
            <w:tcW w:w="4047" w:type="dxa"/>
            <w:noWrap w:val="0"/>
            <w:vAlign w:val="center"/>
          </w:tcPr>
          <w:p w14:paraId="062464E3">
            <w:pPr>
              <w:rPr>
                <w:rFonts w:ascii="仿宋" w:hAnsi="仿宋" w:eastAsia="仿宋"/>
                <w:color w:val="000000"/>
                <w:szCs w:val="21"/>
              </w:rPr>
            </w:pPr>
            <w:r>
              <w:rPr>
                <w:rFonts w:hint="eastAsia" w:ascii="仿宋" w:hAnsi="仿宋" w:eastAsia="仿宋"/>
                <w:bCs/>
                <w:kern w:val="24"/>
                <w:szCs w:val="21"/>
              </w:rPr>
              <w:t>课外测试，评分参照《国家学生体质健康标准》。</w:t>
            </w:r>
          </w:p>
        </w:tc>
        <w:tc>
          <w:tcPr>
            <w:tcW w:w="1349" w:type="dxa"/>
            <w:noWrap w:val="0"/>
            <w:vAlign w:val="center"/>
          </w:tcPr>
          <w:p w14:paraId="400A92D2">
            <w:pPr>
              <w:jc w:val="center"/>
              <w:rPr>
                <w:rFonts w:ascii="仿宋" w:hAnsi="仿宋" w:eastAsia="仿宋"/>
                <w:szCs w:val="21"/>
              </w:rPr>
            </w:pPr>
            <w:r>
              <w:rPr>
                <w:rFonts w:hint="eastAsia" w:ascii="仿宋" w:hAnsi="仿宋" w:eastAsia="仿宋"/>
                <w:bCs/>
                <w:szCs w:val="21"/>
              </w:rPr>
              <w:t>8、9</w:t>
            </w:r>
          </w:p>
        </w:tc>
      </w:tr>
    </w:tbl>
    <w:p w14:paraId="69C64110">
      <w:pPr>
        <w:spacing w:line="360" w:lineRule="auto"/>
        <w:ind w:firstLine="480" w:firstLineChars="200"/>
        <w:jc w:val="left"/>
        <w:rPr>
          <w:rFonts w:ascii="仿宋" w:hAnsi="仿宋" w:eastAsia="仿宋"/>
          <w:sz w:val="24"/>
        </w:rPr>
      </w:pPr>
      <w:r>
        <w:rPr>
          <w:rFonts w:hint="eastAsia" w:ascii="仿宋" w:hAnsi="仿宋" w:eastAsia="仿宋"/>
          <w:sz w:val="24"/>
        </w:rPr>
        <w:t>学生</w:t>
      </w:r>
      <w:r>
        <w:rPr>
          <w:rFonts w:ascii="仿宋" w:hAnsi="仿宋" w:eastAsia="仿宋"/>
          <w:sz w:val="24"/>
        </w:rPr>
        <w:t>参加课外体育活动成绩评定标准（</w:t>
      </w:r>
      <w:r>
        <w:rPr>
          <w:rFonts w:hint="eastAsia" w:ascii="仿宋" w:hAnsi="仿宋" w:eastAsia="仿宋"/>
          <w:sz w:val="24"/>
        </w:rPr>
        <w:t>百分</w:t>
      </w:r>
      <w:r>
        <w:rPr>
          <w:rFonts w:ascii="仿宋" w:hAnsi="仿宋" w:eastAsia="仿宋"/>
          <w:sz w:val="24"/>
        </w:rPr>
        <w:t>制）</w:t>
      </w:r>
    </w:p>
    <w:tbl>
      <w:tblPr>
        <w:tblStyle w:val="3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828"/>
        <w:gridCol w:w="830"/>
        <w:gridCol w:w="828"/>
        <w:gridCol w:w="831"/>
        <w:gridCol w:w="829"/>
        <w:gridCol w:w="831"/>
        <w:gridCol w:w="829"/>
        <w:gridCol w:w="831"/>
        <w:gridCol w:w="831"/>
      </w:tblGrid>
      <w:tr w14:paraId="371D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60AA1558">
            <w:pPr>
              <w:spacing w:line="280" w:lineRule="exact"/>
              <w:jc w:val="center"/>
              <w:rPr>
                <w:rFonts w:ascii="仿宋" w:hAnsi="仿宋" w:eastAsia="仿宋"/>
                <w:sz w:val="24"/>
              </w:rPr>
            </w:pPr>
            <w:r>
              <w:rPr>
                <w:rFonts w:hint="eastAsia" w:ascii="仿宋" w:hAnsi="仿宋" w:eastAsia="仿宋"/>
                <w:sz w:val="24"/>
              </w:rPr>
              <w:t>考勤</w:t>
            </w:r>
            <w:r>
              <w:rPr>
                <w:rFonts w:ascii="仿宋" w:hAnsi="仿宋" w:eastAsia="仿宋"/>
                <w:sz w:val="24"/>
              </w:rPr>
              <w:t>次数</w:t>
            </w:r>
          </w:p>
        </w:tc>
        <w:tc>
          <w:tcPr>
            <w:tcW w:w="446" w:type="pct"/>
            <w:noWrap w:val="0"/>
            <w:vAlign w:val="center"/>
          </w:tcPr>
          <w:p w14:paraId="63FC1981">
            <w:pPr>
              <w:spacing w:line="280" w:lineRule="exact"/>
              <w:jc w:val="center"/>
              <w:rPr>
                <w:rFonts w:ascii="仿宋" w:hAnsi="仿宋" w:eastAsia="仿宋"/>
                <w:sz w:val="24"/>
              </w:rPr>
            </w:pPr>
            <w:r>
              <w:rPr>
                <w:rFonts w:ascii="仿宋" w:hAnsi="仿宋" w:eastAsia="仿宋"/>
                <w:sz w:val="24"/>
              </w:rPr>
              <w:t>0</w:t>
            </w:r>
          </w:p>
        </w:tc>
        <w:tc>
          <w:tcPr>
            <w:tcW w:w="447" w:type="pct"/>
            <w:noWrap w:val="0"/>
            <w:vAlign w:val="center"/>
          </w:tcPr>
          <w:p w14:paraId="14046D6B">
            <w:pPr>
              <w:spacing w:line="280" w:lineRule="exact"/>
              <w:jc w:val="center"/>
              <w:rPr>
                <w:rFonts w:ascii="仿宋" w:hAnsi="仿宋" w:eastAsia="仿宋"/>
                <w:sz w:val="24"/>
              </w:rPr>
            </w:pPr>
            <w:r>
              <w:rPr>
                <w:rFonts w:ascii="仿宋" w:hAnsi="仿宋" w:eastAsia="仿宋"/>
                <w:sz w:val="24"/>
              </w:rPr>
              <w:t>5</w:t>
            </w:r>
          </w:p>
        </w:tc>
        <w:tc>
          <w:tcPr>
            <w:tcW w:w="446" w:type="pct"/>
            <w:noWrap w:val="0"/>
            <w:vAlign w:val="center"/>
          </w:tcPr>
          <w:p w14:paraId="09303EEF">
            <w:pPr>
              <w:spacing w:line="28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0</w:t>
            </w:r>
          </w:p>
        </w:tc>
        <w:tc>
          <w:tcPr>
            <w:tcW w:w="447" w:type="pct"/>
            <w:noWrap w:val="0"/>
            <w:vAlign w:val="center"/>
          </w:tcPr>
          <w:p w14:paraId="0D12A5A8">
            <w:pPr>
              <w:spacing w:line="28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5</w:t>
            </w:r>
          </w:p>
        </w:tc>
        <w:tc>
          <w:tcPr>
            <w:tcW w:w="446" w:type="pct"/>
            <w:noWrap w:val="0"/>
            <w:vAlign w:val="center"/>
          </w:tcPr>
          <w:p w14:paraId="1060FD63">
            <w:pPr>
              <w:spacing w:line="280" w:lineRule="exact"/>
              <w:jc w:val="center"/>
              <w:rPr>
                <w:rFonts w:ascii="仿宋" w:hAnsi="仿宋" w:eastAsia="仿宋"/>
                <w:sz w:val="24"/>
              </w:rPr>
            </w:pPr>
            <w:r>
              <w:rPr>
                <w:rFonts w:ascii="仿宋" w:hAnsi="仿宋" w:eastAsia="仿宋"/>
                <w:sz w:val="24"/>
              </w:rPr>
              <w:t>2</w:t>
            </w:r>
            <w:r>
              <w:rPr>
                <w:rFonts w:hint="eastAsia" w:ascii="仿宋" w:hAnsi="仿宋" w:eastAsia="仿宋"/>
                <w:sz w:val="24"/>
              </w:rPr>
              <w:t>0</w:t>
            </w:r>
          </w:p>
        </w:tc>
        <w:tc>
          <w:tcPr>
            <w:tcW w:w="447" w:type="pct"/>
            <w:noWrap w:val="0"/>
            <w:vAlign w:val="center"/>
          </w:tcPr>
          <w:p w14:paraId="45FCBFC5">
            <w:pPr>
              <w:spacing w:line="280" w:lineRule="exact"/>
              <w:jc w:val="center"/>
              <w:rPr>
                <w:rFonts w:ascii="仿宋" w:hAnsi="仿宋" w:eastAsia="仿宋"/>
                <w:sz w:val="24"/>
              </w:rPr>
            </w:pPr>
            <w:r>
              <w:rPr>
                <w:rFonts w:ascii="仿宋" w:hAnsi="仿宋" w:eastAsia="仿宋"/>
                <w:sz w:val="24"/>
              </w:rPr>
              <w:t>25</w:t>
            </w:r>
          </w:p>
        </w:tc>
        <w:tc>
          <w:tcPr>
            <w:tcW w:w="446" w:type="pct"/>
            <w:noWrap w:val="0"/>
            <w:vAlign w:val="center"/>
          </w:tcPr>
          <w:p w14:paraId="588A692B">
            <w:pPr>
              <w:spacing w:line="280" w:lineRule="exact"/>
              <w:jc w:val="center"/>
              <w:rPr>
                <w:rFonts w:ascii="仿宋" w:hAnsi="仿宋" w:eastAsia="仿宋"/>
                <w:sz w:val="24"/>
              </w:rPr>
            </w:pPr>
            <w:r>
              <w:rPr>
                <w:rFonts w:ascii="仿宋" w:hAnsi="仿宋" w:eastAsia="仿宋"/>
                <w:sz w:val="24"/>
              </w:rPr>
              <w:t>3</w:t>
            </w:r>
            <w:r>
              <w:rPr>
                <w:rFonts w:hint="eastAsia" w:ascii="仿宋" w:hAnsi="仿宋" w:eastAsia="仿宋"/>
                <w:sz w:val="24"/>
              </w:rPr>
              <w:t>0</w:t>
            </w:r>
          </w:p>
        </w:tc>
        <w:tc>
          <w:tcPr>
            <w:tcW w:w="447" w:type="pct"/>
            <w:noWrap w:val="0"/>
            <w:vAlign w:val="center"/>
          </w:tcPr>
          <w:p w14:paraId="0466C1E6">
            <w:pPr>
              <w:spacing w:line="280" w:lineRule="exact"/>
              <w:jc w:val="center"/>
              <w:rPr>
                <w:rFonts w:ascii="仿宋" w:hAnsi="仿宋" w:eastAsia="仿宋"/>
                <w:sz w:val="24"/>
              </w:rPr>
            </w:pPr>
            <w:r>
              <w:rPr>
                <w:rFonts w:ascii="仿宋" w:hAnsi="仿宋" w:eastAsia="仿宋"/>
                <w:sz w:val="24"/>
              </w:rPr>
              <w:t>35</w:t>
            </w:r>
          </w:p>
        </w:tc>
        <w:tc>
          <w:tcPr>
            <w:tcW w:w="447" w:type="pct"/>
            <w:noWrap w:val="0"/>
            <w:vAlign w:val="center"/>
          </w:tcPr>
          <w:p w14:paraId="3AA374B1">
            <w:pPr>
              <w:spacing w:line="280" w:lineRule="exact"/>
              <w:jc w:val="center"/>
              <w:rPr>
                <w:rFonts w:ascii="仿宋" w:hAnsi="仿宋" w:eastAsia="仿宋"/>
                <w:sz w:val="24"/>
              </w:rPr>
            </w:pPr>
            <w:r>
              <w:rPr>
                <w:rFonts w:ascii="仿宋" w:hAnsi="仿宋" w:eastAsia="仿宋"/>
                <w:sz w:val="24"/>
              </w:rPr>
              <w:t>4</w:t>
            </w:r>
            <w:r>
              <w:rPr>
                <w:rFonts w:hint="eastAsia" w:ascii="仿宋" w:hAnsi="仿宋" w:eastAsia="仿宋"/>
                <w:sz w:val="24"/>
              </w:rPr>
              <w:t>0</w:t>
            </w:r>
          </w:p>
        </w:tc>
      </w:tr>
      <w:tr w14:paraId="2A7A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noWrap w:val="0"/>
            <w:vAlign w:val="center"/>
          </w:tcPr>
          <w:p w14:paraId="22382AF5">
            <w:pPr>
              <w:spacing w:line="280" w:lineRule="exact"/>
              <w:jc w:val="center"/>
              <w:rPr>
                <w:rFonts w:ascii="仿宋" w:hAnsi="仿宋" w:eastAsia="仿宋"/>
                <w:sz w:val="24"/>
              </w:rPr>
            </w:pPr>
            <w:r>
              <w:rPr>
                <w:rFonts w:hint="eastAsia" w:ascii="仿宋" w:hAnsi="仿宋" w:eastAsia="仿宋"/>
                <w:sz w:val="24"/>
              </w:rPr>
              <w:t>成绩</w:t>
            </w:r>
          </w:p>
        </w:tc>
        <w:tc>
          <w:tcPr>
            <w:tcW w:w="446" w:type="pct"/>
            <w:noWrap w:val="0"/>
            <w:vAlign w:val="center"/>
          </w:tcPr>
          <w:p w14:paraId="05853144">
            <w:pPr>
              <w:spacing w:line="280" w:lineRule="exact"/>
              <w:jc w:val="center"/>
              <w:rPr>
                <w:rFonts w:ascii="仿宋" w:hAnsi="仿宋" w:eastAsia="仿宋"/>
                <w:sz w:val="24"/>
              </w:rPr>
            </w:pPr>
            <w:r>
              <w:rPr>
                <w:rFonts w:hint="eastAsia" w:ascii="仿宋" w:hAnsi="仿宋" w:eastAsia="仿宋"/>
                <w:sz w:val="24"/>
              </w:rPr>
              <w:t>0</w:t>
            </w:r>
          </w:p>
        </w:tc>
        <w:tc>
          <w:tcPr>
            <w:tcW w:w="447" w:type="pct"/>
            <w:noWrap w:val="0"/>
            <w:vAlign w:val="center"/>
          </w:tcPr>
          <w:p w14:paraId="120506BF">
            <w:pPr>
              <w:spacing w:line="280" w:lineRule="exact"/>
              <w:jc w:val="center"/>
              <w:rPr>
                <w:rFonts w:ascii="仿宋" w:hAnsi="仿宋" w:eastAsia="仿宋"/>
                <w:sz w:val="24"/>
              </w:rPr>
            </w:pPr>
            <w:r>
              <w:rPr>
                <w:rFonts w:ascii="仿宋" w:hAnsi="仿宋" w:eastAsia="仿宋"/>
                <w:sz w:val="24"/>
              </w:rPr>
              <w:t>12.5</w:t>
            </w:r>
          </w:p>
        </w:tc>
        <w:tc>
          <w:tcPr>
            <w:tcW w:w="446" w:type="pct"/>
            <w:noWrap w:val="0"/>
            <w:vAlign w:val="center"/>
          </w:tcPr>
          <w:p w14:paraId="7698DBF2">
            <w:pPr>
              <w:spacing w:line="280" w:lineRule="exact"/>
              <w:jc w:val="center"/>
              <w:rPr>
                <w:rFonts w:ascii="仿宋" w:hAnsi="仿宋" w:eastAsia="仿宋"/>
                <w:sz w:val="24"/>
              </w:rPr>
            </w:pPr>
            <w:r>
              <w:rPr>
                <w:rFonts w:ascii="仿宋" w:hAnsi="仿宋" w:eastAsia="仿宋"/>
                <w:sz w:val="24"/>
              </w:rPr>
              <w:t>25</w:t>
            </w:r>
          </w:p>
        </w:tc>
        <w:tc>
          <w:tcPr>
            <w:tcW w:w="447" w:type="pct"/>
            <w:noWrap w:val="0"/>
            <w:vAlign w:val="center"/>
          </w:tcPr>
          <w:p w14:paraId="396680E3">
            <w:pPr>
              <w:spacing w:line="280" w:lineRule="exact"/>
              <w:jc w:val="center"/>
              <w:rPr>
                <w:rFonts w:ascii="仿宋" w:hAnsi="仿宋" w:eastAsia="仿宋"/>
                <w:sz w:val="24"/>
              </w:rPr>
            </w:pPr>
            <w:r>
              <w:rPr>
                <w:rFonts w:ascii="仿宋" w:hAnsi="仿宋" w:eastAsia="仿宋"/>
                <w:sz w:val="24"/>
              </w:rPr>
              <w:t>37.5</w:t>
            </w:r>
          </w:p>
        </w:tc>
        <w:tc>
          <w:tcPr>
            <w:tcW w:w="446" w:type="pct"/>
            <w:noWrap w:val="0"/>
            <w:vAlign w:val="center"/>
          </w:tcPr>
          <w:p w14:paraId="032B2B75">
            <w:pPr>
              <w:spacing w:line="280" w:lineRule="exact"/>
              <w:jc w:val="center"/>
              <w:rPr>
                <w:rFonts w:ascii="仿宋" w:hAnsi="仿宋" w:eastAsia="仿宋"/>
                <w:sz w:val="24"/>
              </w:rPr>
            </w:pPr>
            <w:r>
              <w:rPr>
                <w:rFonts w:ascii="仿宋" w:hAnsi="仿宋" w:eastAsia="仿宋"/>
                <w:sz w:val="24"/>
              </w:rPr>
              <w:t>50</w:t>
            </w:r>
          </w:p>
        </w:tc>
        <w:tc>
          <w:tcPr>
            <w:tcW w:w="447" w:type="pct"/>
            <w:noWrap w:val="0"/>
            <w:vAlign w:val="center"/>
          </w:tcPr>
          <w:p w14:paraId="0DF2A591">
            <w:pPr>
              <w:spacing w:line="280" w:lineRule="exact"/>
              <w:jc w:val="center"/>
              <w:rPr>
                <w:rFonts w:ascii="仿宋" w:hAnsi="仿宋" w:eastAsia="仿宋"/>
                <w:sz w:val="24"/>
              </w:rPr>
            </w:pPr>
            <w:r>
              <w:rPr>
                <w:rFonts w:ascii="仿宋" w:hAnsi="仿宋" w:eastAsia="仿宋"/>
                <w:sz w:val="24"/>
              </w:rPr>
              <w:t>62.5</w:t>
            </w:r>
          </w:p>
        </w:tc>
        <w:tc>
          <w:tcPr>
            <w:tcW w:w="446" w:type="pct"/>
            <w:noWrap w:val="0"/>
            <w:vAlign w:val="center"/>
          </w:tcPr>
          <w:p w14:paraId="22DFCE87">
            <w:pPr>
              <w:spacing w:line="280" w:lineRule="exact"/>
              <w:jc w:val="center"/>
              <w:rPr>
                <w:rFonts w:ascii="仿宋" w:hAnsi="仿宋" w:eastAsia="仿宋"/>
                <w:sz w:val="24"/>
              </w:rPr>
            </w:pPr>
            <w:r>
              <w:rPr>
                <w:rFonts w:ascii="仿宋" w:hAnsi="仿宋" w:eastAsia="仿宋"/>
                <w:sz w:val="24"/>
              </w:rPr>
              <w:t>75</w:t>
            </w:r>
          </w:p>
        </w:tc>
        <w:tc>
          <w:tcPr>
            <w:tcW w:w="447" w:type="pct"/>
            <w:noWrap w:val="0"/>
            <w:vAlign w:val="center"/>
          </w:tcPr>
          <w:p w14:paraId="2759171A">
            <w:pPr>
              <w:spacing w:line="280" w:lineRule="exact"/>
              <w:jc w:val="center"/>
              <w:rPr>
                <w:rFonts w:ascii="仿宋" w:hAnsi="仿宋" w:eastAsia="仿宋"/>
                <w:sz w:val="24"/>
              </w:rPr>
            </w:pPr>
            <w:r>
              <w:rPr>
                <w:rFonts w:ascii="仿宋" w:hAnsi="仿宋" w:eastAsia="仿宋"/>
                <w:sz w:val="24"/>
              </w:rPr>
              <w:t>87.5</w:t>
            </w:r>
          </w:p>
        </w:tc>
        <w:tc>
          <w:tcPr>
            <w:tcW w:w="447" w:type="pct"/>
            <w:noWrap w:val="0"/>
            <w:vAlign w:val="center"/>
          </w:tcPr>
          <w:p w14:paraId="3815DEC8">
            <w:pPr>
              <w:spacing w:line="280" w:lineRule="exact"/>
              <w:jc w:val="center"/>
              <w:rPr>
                <w:rFonts w:ascii="仿宋" w:hAnsi="仿宋" w:eastAsia="仿宋"/>
                <w:sz w:val="24"/>
              </w:rPr>
            </w:pPr>
            <w:r>
              <w:rPr>
                <w:rFonts w:hint="eastAsia" w:ascii="仿宋" w:hAnsi="仿宋" w:eastAsia="仿宋"/>
                <w:sz w:val="24"/>
              </w:rPr>
              <w:t>100</w:t>
            </w:r>
          </w:p>
        </w:tc>
      </w:tr>
    </w:tbl>
    <w:p w14:paraId="65053379">
      <w:pPr>
        <w:pStyle w:val="4"/>
        <w:bidi w:val="0"/>
      </w:pPr>
      <w:r>
        <w:rPr>
          <w:rFonts w:hint="eastAsia"/>
        </w:rPr>
        <w:t>六</w:t>
      </w:r>
      <w:r>
        <w:t>、</w:t>
      </w:r>
      <w:r>
        <w:rPr>
          <w:rFonts w:hint="eastAsia"/>
        </w:rPr>
        <w:t>有关说明</w:t>
      </w:r>
    </w:p>
    <w:p w14:paraId="39EF36BB">
      <w:pPr>
        <w:spacing w:line="360" w:lineRule="auto"/>
        <w:ind w:firstLine="482" w:firstLineChars="200"/>
        <w:rPr>
          <w:rFonts w:ascii="仿宋" w:hAnsi="仿宋" w:eastAsia="仿宋"/>
          <w:b/>
          <w:color w:val="000000"/>
          <w:sz w:val="24"/>
        </w:rPr>
      </w:pPr>
      <w:r>
        <w:rPr>
          <w:rFonts w:hint="eastAsia" w:ascii="仿宋" w:hAnsi="仿宋" w:eastAsia="仿宋"/>
          <w:b/>
          <w:color w:val="000000"/>
          <w:sz w:val="24"/>
        </w:rPr>
        <w:t>（一）持续改进</w:t>
      </w:r>
    </w:p>
    <w:p w14:paraId="04D1CAEF">
      <w:pPr>
        <w:spacing w:line="360" w:lineRule="auto"/>
        <w:ind w:firstLine="480" w:firstLineChars="200"/>
        <w:rPr>
          <w:rFonts w:ascii="仿宋" w:hAnsi="仿宋" w:eastAsia="仿宋"/>
          <w:sz w:val="24"/>
        </w:rPr>
      </w:pPr>
      <w:r>
        <w:rPr>
          <w:rFonts w:hint="eastAsia" w:ascii="仿宋" w:hAnsi="仿宋" w:eastAsia="仿宋"/>
          <w:sz w:val="24"/>
        </w:rPr>
        <w:t>本课程根据学生课外锻炼、体质测试等情况，以及学生、教学督导等反馈，及时对教学中不足之处进行改进</w:t>
      </w:r>
      <w:r>
        <w:rPr>
          <w:rFonts w:ascii="仿宋" w:hAnsi="仿宋" w:eastAsia="仿宋"/>
          <w:sz w:val="24"/>
          <w:szCs w:val="22"/>
        </w:rPr>
        <w:t>，并在下一轮课程教学中</w:t>
      </w:r>
      <w:r>
        <w:rPr>
          <w:rFonts w:hint="eastAsia" w:ascii="仿宋" w:hAnsi="仿宋" w:eastAsia="仿宋"/>
          <w:sz w:val="24"/>
          <w:szCs w:val="22"/>
        </w:rPr>
        <w:t>整改完善</w:t>
      </w:r>
      <w:r>
        <w:rPr>
          <w:rFonts w:ascii="仿宋" w:hAnsi="仿宋" w:eastAsia="仿宋"/>
          <w:sz w:val="24"/>
          <w:szCs w:val="22"/>
        </w:rPr>
        <w:t>，</w:t>
      </w:r>
      <w:r>
        <w:rPr>
          <w:rFonts w:hint="eastAsia" w:ascii="仿宋" w:hAnsi="仿宋" w:eastAsia="仿宋"/>
          <w:sz w:val="24"/>
        </w:rPr>
        <w:t>确保相应毕业要求指标点达成。</w:t>
      </w:r>
    </w:p>
    <w:p w14:paraId="678CD4B6">
      <w:pPr>
        <w:spacing w:line="360" w:lineRule="auto"/>
        <w:ind w:firstLine="482" w:firstLineChars="200"/>
        <w:jc w:val="left"/>
        <w:rPr>
          <w:rFonts w:ascii="仿宋" w:hAnsi="仿宋" w:eastAsia="仿宋"/>
          <w:sz w:val="24"/>
        </w:rPr>
      </w:pPr>
      <w:r>
        <w:rPr>
          <w:rFonts w:hint="eastAsia" w:ascii="仿宋" w:hAnsi="仿宋" w:eastAsia="仿宋"/>
          <w:b/>
          <w:color w:val="000000"/>
          <w:sz w:val="24"/>
        </w:rPr>
        <w:t>（二）教学参考书</w:t>
      </w:r>
    </w:p>
    <w:p w14:paraId="32F48B35">
      <w:pPr>
        <w:spacing w:line="360" w:lineRule="auto"/>
        <w:ind w:firstLine="480" w:firstLineChars="200"/>
        <w:jc w:val="left"/>
        <w:rPr>
          <w:rFonts w:ascii="仿宋" w:hAnsi="仿宋" w:eastAsia="仿宋"/>
          <w:sz w:val="24"/>
        </w:rPr>
      </w:pPr>
      <w:r>
        <w:rPr>
          <w:rFonts w:hint="eastAsia" w:ascii="仿宋" w:hAnsi="仿宋" w:eastAsia="仿宋"/>
          <w:sz w:val="24"/>
        </w:rPr>
        <w:t>1.毛</w:t>
      </w:r>
      <w:r>
        <w:rPr>
          <w:rFonts w:ascii="仿宋" w:hAnsi="仿宋" w:eastAsia="仿宋"/>
          <w:sz w:val="24"/>
        </w:rPr>
        <w:t>振明.</w:t>
      </w:r>
      <w:r>
        <w:rPr>
          <w:rFonts w:hint="eastAsia" w:ascii="仿宋" w:hAnsi="仿宋" w:eastAsia="仿宋"/>
          <w:sz w:val="24"/>
        </w:rPr>
        <w:t>大学</w:t>
      </w:r>
      <w:r>
        <w:rPr>
          <w:rFonts w:ascii="仿宋" w:hAnsi="仿宋" w:eastAsia="仿宋"/>
          <w:sz w:val="24"/>
        </w:rPr>
        <w:t>体育</w:t>
      </w:r>
      <w:r>
        <w:rPr>
          <w:rFonts w:hint="eastAsia" w:ascii="仿宋" w:hAnsi="仿宋" w:eastAsia="仿宋"/>
          <w:sz w:val="24"/>
        </w:rPr>
        <w:t>文化与</w:t>
      </w:r>
      <w:r>
        <w:rPr>
          <w:rFonts w:ascii="仿宋" w:hAnsi="仿宋" w:eastAsia="仿宋"/>
          <w:sz w:val="24"/>
        </w:rPr>
        <w:t>实</w:t>
      </w:r>
      <w:r>
        <w:rPr>
          <w:rFonts w:hint="eastAsia" w:ascii="仿宋" w:hAnsi="仿宋" w:eastAsia="仿宋"/>
          <w:sz w:val="24"/>
        </w:rPr>
        <w:t>技</w:t>
      </w:r>
      <w:r>
        <w:rPr>
          <w:rFonts w:ascii="仿宋" w:hAnsi="仿宋" w:eastAsia="仿宋"/>
          <w:sz w:val="24"/>
        </w:rPr>
        <w:t>教程</w:t>
      </w:r>
      <w:r>
        <w:rPr>
          <w:rFonts w:hint="eastAsia" w:ascii="仿宋" w:hAnsi="仿宋" w:eastAsia="仿宋"/>
          <w:sz w:val="24"/>
        </w:rPr>
        <w:t>[</w:t>
      </w:r>
      <w:r>
        <w:rPr>
          <w:rFonts w:ascii="仿宋" w:hAnsi="仿宋" w:eastAsia="仿宋"/>
          <w:sz w:val="24"/>
        </w:rPr>
        <w:t>M]</w:t>
      </w:r>
      <w:r>
        <w:rPr>
          <w:rFonts w:hint="eastAsia" w:ascii="仿宋" w:hAnsi="仿宋" w:eastAsia="仿宋"/>
          <w:sz w:val="24"/>
        </w:rPr>
        <w:t>.沈阳：</w:t>
      </w:r>
      <w:r>
        <w:rPr>
          <w:rFonts w:ascii="仿宋" w:hAnsi="仿宋" w:eastAsia="仿宋"/>
          <w:sz w:val="24"/>
        </w:rPr>
        <w:t>东北大学出版社</w:t>
      </w:r>
      <w:r>
        <w:rPr>
          <w:rFonts w:hint="eastAsia" w:ascii="仿宋" w:hAnsi="仿宋" w:eastAsia="仿宋"/>
          <w:sz w:val="24"/>
        </w:rPr>
        <w:t>，2013.</w:t>
      </w:r>
    </w:p>
    <w:p w14:paraId="1A342DB0">
      <w:pPr>
        <w:autoSpaceDE w:val="0"/>
        <w:autoSpaceDN w:val="0"/>
        <w:adjustRightInd w:val="0"/>
        <w:spacing w:line="360" w:lineRule="auto"/>
        <w:ind w:firstLine="420" w:firstLineChars="200"/>
        <w:jc w:val="left"/>
        <w:rPr>
          <w:rFonts w:ascii="仿宋" w:hAnsi="仿宋" w:eastAsia="仿宋"/>
        </w:rPr>
      </w:pPr>
    </w:p>
    <w:p w14:paraId="1C5C681D">
      <w:pPr>
        <w:autoSpaceDE w:val="0"/>
        <w:autoSpaceDN w:val="0"/>
        <w:adjustRightInd w:val="0"/>
        <w:spacing w:line="360" w:lineRule="auto"/>
        <w:ind w:firstLine="420" w:firstLineChars="200"/>
        <w:jc w:val="left"/>
        <w:rPr>
          <w:rFonts w:ascii="仿宋" w:hAnsi="仿宋" w:eastAsia="仿宋"/>
        </w:rPr>
      </w:pPr>
    </w:p>
    <w:p w14:paraId="10449166">
      <w:pPr>
        <w:wordWrap w:val="0"/>
        <w:spacing w:line="360" w:lineRule="exact"/>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执</w:t>
      </w:r>
      <w:r>
        <w:rPr>
          <w:rFonts w:hint="eastAsia" w:ascii="仿宋" w:hAnsi="仿宋" w:eastAsia="仿宋"/>
          <w:sz w:val="24"/>
          <w:lang w:val="en-US" w:eastAsia="zh-CN"/>
        </w:rPr>
        <w:t xml:space="preserve"> </w:t>
      </w:r>
      <w:r>
        <w:rPr>
          <w:rFonts w:hint="eastAsia" w:ascii="仿宋" w:hAnsi="仿宋" w:eastAsia="仿宋"/>
          <w:sz w:val="24"/>
        </w:rPr>
        <w:t>笔</w:t>
      </w:r>
      <w:r>
        <w:rPr>
          <w:rFonts w:hint="eastAsia" w:ascii="仿宋" w:hAnsi="仿宋" w:eastAsia="仿宋"/>
          <w:sz w:val="24"/>
          <w:lang w:val="en-US" w:eastAsia="zh-CN"/>
        </w:rPr>
        <w:t xml:space="preserve"> </w:t>
      </w:r>
      <w:r>
        <w:rPr>
          <w:rFonts w:hint="eastAsia" w:ascii="仿宋" w:hAnsi="仿宋" w:eastAsia="仿宋"/>
          <w:sz w:val="24"/>
        </w:rPr>
        <w:t xml:space="preserve">人：顾 </w:t>
      </w:r>
      <w:r>
        <w:rPr>
          <w:rFonts w:ascii="仿宋" w:hAnsi="仿宋" w:eastAsia="仿宋"/>
          <w:sz w:val="24"/>
        </w:rPr>
        <w:t xml:space="preserve"> </w:t>
      </w:r>
      <w:r>
        <w:rPr>
          <w:rFonts w:hint="eastAsia" w:ascii="仿宋" w:hAnsi="仿宋" w:eastAsia="仿宋"/>
          <w:sz w:val="24"/>
        </w:rPr>
        <w:t>宏</w:t>
      </w:r>
    </w:p>
    <w:p w14:paraId="3D59B844">
      <w:pPr>
        <w:spacing w:line="360" w:lineRule="exact"/>
        <w:ind w:firstLine="480" w:firstLineChars="200"/>
        <w:jc w:val="center"/>
        <w:rPr>
          <w:rFonts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审</w:t>
      </w:r>
      <w:r>
        <w:rPr>
          <w:rFonts w:hint="eastAsia" w:ascii="仿宋" w:hAnsi="仿宋" w:eastAsia="仿宋"/>
          <w:sz w:val="24"/>
          <w:lang w:val="en-US" w:eastAsia="zh-CN"/>
        </w:rPr>
        <w:t xml:space="preserve"> </w:t>
      </w:r>
      <w:r>
        <w:rPr>
          <w:rFonts w:hint="eastAsia" w:ascii="仿宋" w:hAnsi="仿宋" w:eastAsia="仿宋"/>
          <w:sz w:val="24"/>
        </w:rPr>
        <w:t>定</w:t>
      </w:r>
      <w:r>
        <w:rPr>
          <w:rFonts w:hint="eastAsia" w:ascii="仿宋" w:hAnsi="仿宋" w:eastAsia="仿宋"/>
          <w:sz w:val="24"/>
          <w:lang w:val="en-US" w:eastAsia="zh-CN"/>
        </w:rPr>
        <w:t xml:space="preserve"> </w:t>
      </w:r>
      <w:r>
        <w:rPr>
          <w:rFonts w:hint="eastAsia" w:ascii="仿宋" w:hAnsi="仿宋" w:eastAsia="仿宋"/>
          <w:sz w:val="24"/>
        </w:rPr>
        <w:t>人：方曙</w:t>
      </w:r>
      <w:r>
        <w:rPr>
          <w:rFonts w:ascii="仿宋" w:hAnsi="仿宋" w:eastAsia="仿宋"/>
          <w:sz w:val="24"/>
        </w:rPr>
        <w:t>光</w:t>
      </w:r>
    </w:p>
    <w:p w14:paraId="4DAEAC2F">
      <w:pPr>
        <w:autoSpaceDE w:val="0"/>
        <w:autoSpaceDN w:val="0"/>
        <w:adjustRightInd w:val="0"/>
        <w:spacing w:line="360" w:lineRule="auto"/>
        <w:ind w:firstLine="480" w:firstLineChars="200"/>
        <w:jc w:val="center"/>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批</w:t>
      </w:r>
      <w:r>
        <w:rPr>
          <w:rFonts w:hint="eastAsia" w:ascii="仿宋" w:hAnsi="仿宋" w:eastAsia="仿宋"/>
          <w:sz w:val="24"/>
          <w:lang w:val="en-US" w:eastAsia="zh-CN"/>
        </w:rPr>
        <w:t xml:space="preserve"> </w:t>
      </w:r>
      <w:r>
        <w:rPr>
          <w:rFonts w:hint="eastAsia" w:ascii="仿宋" w:hAnsi="仿宋" w:eastAsia="仿宋"/>
          <w:sz w:val="24"/>
        </w:rPr>
        <w:t>准</w:t>
      </w:r>
      <w:r>
        <w:rPr>
          <w:rFonts w:hint="eastAsia" w:ascii="仿宋" w:hAnsi="仿宋" w:eastAsia="仿宋"/>
          <w:sz w:val="24"/>
          <w:lang w:val="en-US" w:eastAsia="zh-CN"/>
        </w:rPr>
        <w:t xml:space="preserve"> </w:t>
      </w:r>
      <w:r>
        <w:rPr>
          <w:rFonts w:hint="eastAsia" w:ascii="仿宋" w:hAnsi="仿宋" w:eastAsia="仿宋"/>
          <w:sz w:val="24"/>
        </w:rPr>
        <w:t>人：王红福</w:t>
      </w:r>
    </w:p>
    <w:p w14:paraId="7DE166A4">
      <w:pPr>
        <w:widowControl/>
        <w:ind w:firstLine="5760" w:firstLineChars="24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批</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准</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时</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间：2022</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8</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日</w:t>
      </w:r>
    </w:p>
    <w:p w14:paraId="50DED9AB">
      <w:pPr>
        <w:widowControl/>
        <w:jc w:val="left"/>
        <w:rPr>
          <w:b/>
          <w:bCs/>
          <w:sz w:val="36"/>
          <w:szCs w:val="36"/>
        </w:rPr>
      </w:pPr>
      <w:r>
        <w:rPr>
          <w:b/>
          <w:bCs/>
          <w:sz w:val="36"/>
          <w:szCs w:val="36"/>
        </w:rPr>
        <w:br w:type="page"/>
      </w:r>
    </w:p>
    <w:p w14:paraId="4F4B8384">
      <w:pPr>
        <w:pStyle w:val="2"/>
        <w:bidi w:val="0"/>
        <w:rPr>
          <w:rFonts w:hint="eastAsia" w:ascii="黑体" w:hAnsi="黑体" w:eastAsia="黑体"/>
          <w:color w:val="000000"/>
          <w:szCs w:val="44"/>
        </w:rPr>
      </w:pPr>
      <w:bookmarkStart w:id="1" w:name="_Toc86737782"/>
      <w:bookmarkStart w:id="2" w:name="_Toc89367099"/>
      <w:r>
        <w:rPr>
          <w:rFonts w:hint="eastAsia"/>
        </w:rPr>
        <w:t>大学英语</w:t>
      </w:r>
      <w:r>
        <w:t>B</w:t>
      </w:r>
      <w:r>
        <w:rPr>
          <w:rFonts w:hint="eastAsia"/>
        </w:rPr>
        <w:t>（I）课程教学大纲</w:t>
      </w:r>
      <w:bookmarkEnd w:id="1"/>
      <w:bookmarkEnd w:id="2"/>
    </w:p>
    <w:p w14:paraId="35102F8C">
      <w:pPr>
        <w:pStyle w:val="3"/>
        <w:bidi w:val="0"/>
        <w:rPr>
          <w:rFonts w:hint="eastAsia"/>
        </w:rPr>
      </w:pPr>
      <w:r>
        <w:rPr>
          <w:rFonts w:hint="eastAsia"/>
        </w:rPr>
        <w:t>（Co</w:t>
      </w:r>
      <w:r>
        <w:t>llege English B (I)</w:t>
      </w:r>
      <w:r>
        <w:rPr>
          <w:rFonts w:hint="eastAsia"/>
        </w:rPr>
        <w:t>）</w:t>
      </w:r>
    </w:p>
    <w:p w14:paraId="4755BDFE">
      <w:pPr>
        <w:spacing w:line="360" w:lineRule="auto"/>
        <w:ind w:firstLine="482" w:firstLineChars="200"/>
        <w:rPr>
          <w:rFonts w:hint="eastAsia" w:ascii="宋体" w:hAnsi="宋体"/>
          <w:b/>
          <w:bCs/>
          <w:color w:val="000000"/>
          <w:kern w:val="0"/>
          <w:sz w:val="24"/>
        </w:rPr>
      </w:pPr>
      <w:r>
        <w:rPr>
          <w:b/>
          <w:bCs/>
          <w:color w:val="000000"/>
          <w:kern w:val="0"/>
          <w:sz w:val="24"/>
        </w:rPr>
        <w:t>课程名称</w:t>
      </w:r>
      <w:r>
        <w:rPr>
          <w:b/>
          <w:color w:val="000000"/>
          <w:kern w:val="0"/>
          <w:sz w:val="24"/>
        </w:rPr>
        <w:t>：</w:t>
      </w:r>
      <w:r>
        <w:rPr>
          <w:rFonts w:ascii="宋体" w:hAnsi="宋体"/>
          <w:b/>
          <w:bCs/>
          <w:color w:val="000000"/>
          <w:kern w:val="0"/>
          <w:sz w:val="24"/>
        </w:rPr>
        <w:t>大学英语</w:t>
      </w:r>
      <w:r>
        <w:rPr>
          <w:rFonts w:hint="eastAsia" w:ascii="宋体" w:hAnsi="宋体"/>
          <w:b/>
          <w:bCs/>
          <w:color w:val="000000"/>
          <w:kern w:val="0"/>
          <w:sz w:val="24"/>
        </w:rPr>
        <w:t>B（I）</w:t>
      </w:r>
    </w:p>
    <w:p w14:paraId="012F8568">
      <w:pPr>
        <w:spacing w:line="360" w:lineRule="auto"/>
        <w:ind w:firstLine="482" w:firstLineChars="200"/>
        <w:rPr>
          <w:rFonts w:ascii="宋体" w:hAnsi="宋体"/>
          <w:b/>
          <w:bCs/>
          <w:color w:val="000000"/>
          <w:kern w:val="0"/>
          <w:sz w:val="24"/>
        </w:rPr>
      </w:pPr>
      <w:r>
        <w:rPr>
          <w:b/>
          <w:bCs/>
          <w:color w:val="000000"/>
          <w:kern w:val="0"/>
          <w:sz w:val="24"/>
        </w:rPr>
        <w:t>课程代码</w:t>
      </w:r>
      <w:r>
        <w:rPr>
          <w:b/>
          <w:color w:val="000000"/>
          <w:kern w:val="0"/>
          <w:sz w:val="24"/>
        </w:rPr>
        <w:t>：</w:t>
      </w:r>
      <w:r>
        <w:rPr>
          <w:rFonts w:ascii="宋体" w:hAnsi="宋体"/>
          <w:b/>
          <w:bCs/>
          <w:color w:val="000000"/>
          <w:kern w:val="0"/>
          <w:sz w:val="24"/>
        </w:rPr>
        <w:t>0605001</w:t>
      </w:r>
    </w:p>
    <w:p w14:paraId="1B78AB3B">
      <w:pPr>
        <w:spacing w:line="360" w:lineRule="auto"/>
        <w:ind w:firstLine="482" w:firstLineChars="200"/>
        <w:rPr>
          <w:b/>
          <w:color w:val="000000"/>
          <w:kern w:val="0"/>
          <w:sz w:val="24"/>
        </w:rPr>
      </w:pPr>
      <w:r>
        <w:rPr>
          <w:b/>
          <w:bCs/>
          <w:color w:val="000000"/>
          <w:kern w:val="0"/>
          <w:sz w:val="24"/>
        </w:rPr>
        <w:t>学    分</w:t>
      </w:r>
      <w:r>
        <w:rPr>
          <w:b/>
          <w:color w:val="000000"/>
          <w:kern w:val="0"/>
          <w:sz w:val="24"/>
        </w:rPr>
        <w:t>：</w:t>
      </w:r>
      <w:r>
        <w:rPr>
          <w:rFonts w:hint="eastAsia"/>
          <w:b/>
          <w:color w:val="000000"/>
          <w:kern w:val="0"/>
          <w:sz w:val="24"/>
        </w:rPr>
        <w:t>3</w:t>
      </w:r>
    </w:p>
    <w:p w14:paraId="62DF95DD">
      <w:pPr>
        <w:spacing w:line="360" w:lineRule="auto"/>
        <w:ind w:firstLine="482" w:firstLineChars="200"/>
        <w:rPr>
          <w:b/>
          <w:color w:val="000000"/>
          <w:kern w:val="0"/>
          <w:sz w:val="24"/>
        </w:rPr>
      </w:pPr>
      <w:r>
        <w:rPr>
          <w:b/>
          <w:bCs/>
          <w:color w:val="000000"/>
          <w:kern w:val="0"/>
          <w:sz w:val="24"/>
        </w:rPr>
        <w:t>学    时</w:t>
      </w:r>
      <w:r>
        <w:rPr>
          <w:b/>
          <w:color w:val="000000"/>
          <w:kern w:val="0"/>
          <w:sz w:val="24"/>
        </w:rPr>
        <w:t>：</w:t>
      </w:r>
      <w:r>
        <w:rPr>
          <w:rFonts w:hint="eastAsia"/>
          <w:b/>
          <w:color w:val="000000"/>
          <w:kern w:val="0"/>
          <w:sz w:val="24"/>
        </w:rPr>
        <w:t>45</w:t>
      </w:r>
    </w:p>
    <w:p w14:paraId="0B2DD1D1">
      <w:pPr>
        <w:spacing w:line="360" w:lineRule="auto"/>
        <w:ind w:firstLine="482" w:firstLineChars="200"/>
        <w:rPr>
          <w:b/>
          <w:bCs/>
          <w:color w:val="000000"/>
          <w:kern w:val="0"/>
          <w:sz w:val="24"/>
        </w:rPr>
      </w:pPr>
      <w:r>
        <w:rPr>
          <w:b/>
          <w:bCs/>
          <w:color w:val="000000"/>
          <w:kern w:val="0"/>
          <w:sz w:val="24"/>
        </w:rPr>
        <w:t>先修课程</w:t>
      </w:r>
      <w:r>
        <w:rPr>
          <w:b/>
          <w:color w:val="000000"/>
          <w:kern w:val="0"/>
          <w:sz w:val="24"/>
        </w:rPr>
        <w:t>：</w:t>
      </w:r>
      <w:r>
        <w:rPr>
          <w:rFonts w:hint="eastAsia"/>
          <w:b/>
          <w:color w:val="000000"/>
          <w:kern w:val="0"/>
          <w:sz w:val="24"/>
        </w:rPr>
        <w:t>高中英语</w:t>
      </w:r>
    </w:p>
    <w:p w14:paraId="0B829E0B">
      <w:pPr>
        <w:spacing w:line="360" w:lineRule="auto"/>
        <w:ind w:firstLine="482" w:firstLineChars="200"/>
        <w:rPr>
          <w:rFonts w:hint="eastAsia"/>
          <w:b/>
          <w:color w:val="000000"/>
          <w:kern w:val="0"/>
          <w:sz w:val="24"/>
        </w:rPr>
      </w:pPr>
      <w:r>
        <w:rPr>
          <w:b/>
          <w:bCs/>
          <w:color w:val="000000"/>
          <w:kern w:val="0"/>
          <w:sz w:val="24"/>
        </w:rPr>
        <w:t>适用专业</w:t>
      </w:r>
      <w:r>
        <w:rPr>
          <w:b/>
          <w:color w:val="000000"/>
          <w:kern w:val="0"/>
          <w:sz w:val="24"/>
        </w:rPr>
        <w:t>：</w:t>
      </w:r>
      <w:r>
        <w:rPr>
          <w:rFonts w:hint="eastAsia"/>
          <w:b/>
          <w:color w:val="000000"/>
          <w:kern w:val="0"/>
          <w:sz w:val="24"/>
        </w:rPr>
        <w:t>小学教育（理）</w:t>
      </w:r>
    </w:p>
    <w:p w14:paraId="0CE10974">
      <w:pPr>
        <w:spacing w:line="360" w:lineRule="auto"/>
        <w:ind w:firstLine="482" w:firstLineChars="200"/>
        <w:rPr>
          <w:b/>
          <w:color w:val="000000"/>
          <w:sz w:val="24"/>
        </w:rPr>
      </w:pPr>
    </w:p>
    <w:p w14:paraId="7FC51FC1">
      <w:pPr>
        <w:pStyle w:val="4"/>
        <w:bidi w:val="0"/>
        <w:rPr>
          <w:rFonts w:hint="eastAsia"/>
          <w:b/>
          <w:color w:val="000000"/>
        </w:rPr>
      </w:pPr>
      <w:r>
        <w:rPr>
          <w:rFonts w:hint="eastAsia"/>
        </w:rPr>
        <w:t>一、课程简介</w:t>
      </w:r>
    </w:p>
    <w:p w14:paraId="069A2F19">
      <w:pPr>
        <w:spacing w:line="360" w:lineRule="auto"/>
        <w:ind w:firstLine="420" w:firstLineChars="200"/>
        <w:rPr>
          <w:rFonts w:hint="eastAsia" w:ascii="宋体" w:hAnsi="宋体" w:cs="宋体" w:eastAsiaTheme="minorEastAsia"/>
          <w:color w:val="000000"/>
          <w:kern w:val="0"/>
          <w:sz w:val="24"/>
          <w:lang w:eastAsia="zh-CN"/>
        </w:rPr>
      </w:pPr>
      <w:r>
        <w:rPr>
          <w:rFonts w:hint="eastAsia" w:ascii="宋体" w:hAnsi="宋体" w:cs="宋体"/>
          <w:color w:val="000000"/>
          <w:kern w:val="0"/>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66471CE5">
      <w:pPr>
        <w:pStyle w:val="4"/>
        <w:bidi w:val="0"/>
        <w:rPr>
          <w:rFonts w:hint="eastAsia"/>
        </w:rPr>
      </w:pPr>
      <w:r>
        <w:rPr>
          <w:rFonts w:hint="eastAsia"/>
        </w:rPr>
        <w:t>二、课程目标</w:t>
      </w:r>
    </w:p>
    <w:p w14:paraId="7800FED8">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（一）课程具体目标</w:t>
      </w:r>
    </w:p>
    <w:p w14:paraId="15D60CC7">
      <w:pPr>
        <w:autoSpaceDE w:val="0"/>
        <w:autoSpaceDN w:val="0"/>
        <w:adjustRightInd w:val="0"/>
        <w:spacing w:line="400" w:lineRule="exact"/>
        <w:ind w:firstLine="422" w:firstLineChars="200"/>
        <w:rPr>
          <w:rFonts w:ascii="宋体" w:hAnsi="宋体" w:cs="宋体"/>
          <w:color w:val="000000"/>
          <w:kern w:val="0"/>
          <w:szCs w:val="21"/>
        </w:rPr>
      </w:pPr>
      <w:r>
        <w:rPr>
          <w:rFonts w:hint="eastAsia" w:ascii="宋体" w:hAnsi="宋体" w:cs="宋体"/>
          <w:b/>
          <w:bCs/>
          <w:color w:val="000000"/>
          <w:kern w:val="0"/>
          <w:szCs w:val="21"/>
        </w:rPr>
        <w:t>1.</w:t>
      </w:r>
      <w:r>
        <w:rPr>
          <w:rFonts w:ascii="宋体" w:hAnsi="宋体" w:cs="宋体"/>
          <w:b/>
          <w:bCs/>
          <w:color w:val="000000"/>
          <w:kern w:val="0"/>
          <w:szCs w:val="21"/>
        </w:rPr>
        <w:t>知识目标：</w:t>
      </w:r>
      <w:r>
        <w:rPr>
          <w:rFonts w:hint="eastAsia" w:ascii="宋体" w:hAnsi="宋体" w:cs="宋体"/>
          <w:color w:val="000000"/>
          <w:kern w:val="0"/>
          <w:szCs w:val="21"/>
        </w:rPr>
        <w:t>夯实学生英语语言基础，提升学生英语听、说、读、写、译基本语言技能和英语语言综合应用能力</w:t>
      </w:r>
      <w:r>
        <w:rPr>
          <w:rFonts w:ascii="宋体" w:hAnsi="宋体" w:cs="宋体"/>
          <w:color w:val="000000"/>
          <w:kern w:val="0"/>
          <w:szCs w:val="21"/>
        </w:rPr>
        <w:t>。</w:t>
      </w:r>
    </w:p>
    <w:p w14:paraId="133B2648">
      <w:pPr>
        <w:autoSpaceDE w:val="0"/>
        <w:autoSpaceDN w:val="0"/>
        <w:adjustRightInd w:val="0"/>
        <w:spacing w:line="400" w:lineRule="exact"/>
        <w:ind w:firstLine="422" w:firstLineChars="200"/>
        <w:rPr>
          <w:rFonts w:ascii="宋体" w:hAnsi="宋体" w:cs="宋体"/>
          <w:color w:val="000000"/>
          <w:kern w:val="0"/>
          <w:szCs w:val="21"/>
        </w:rPr>
      </w:pPr>
      <w:r>
        <w:rPr>
          <w:rFonts w:hint="eastAsia" w:ascii="宋体" w:hAnsi="宋体" w:cs="宋体"/>
          <w:b/>
          <w:bCs/>
          <w:color w:val="000000"/>
          <w:kern w:val="0"/>
          <w:szCs w:val="21"/>
        </w:rPr>
        <w:t>2.</w:t>
      </w:r>
      <w:r>
        <w:rPr>
          <w:rFonts w:ascii="宋体" w:hAnsi="宋体" w:cs="宋体"/>
          <w:b/>
          <w:bCs/>
          <w:color w:val="000000"/>
          <w:kern w:val="0"/>
          <w:szCs w:val="21"/>
        </w:rPr>
        <w:t>能力目标：</w:t>
      </w:r>
      <w:r>
        <w:rPr>
          <w:rFonts w:ascii="宋体" w:hAnsi="宋体" w:cs="宋体"/>
          <w:color w:val="000000"/>
          <w:kern w:val="0"/>
          <w:szCs w:val="21"/>
        </w:rPr>
        <w:t>提升学生</w:t>
      </w:r>
      <w:r>
        <w:rPr>
          <w:rFonts w:hint="eastAsia" w:ascii="宋体" w:hAnsi="宋体" w:cs="宋体"/>
          <w:color w:val="000000"/>
          <w:kern w:val="0"/>
          <w:szCs w:val="21"/>
        </w:rPr>
        <w:t>使用英语工具紧跟专业前沿，拓展专业视野，查阅专业</w:t>
      </w:r>
      <w:r>
        <w:rPr>
          <w:rFonts w:ascii="宋体" w:hAnsi="宋体" w:cs="宋体"/>
          <w:color w:val="000000"/>
          <w:kern w:val="0"/>
          <w:szCs w:val="21"/>
        </w:rPr>
        <w:t>文献的意识和能力</w:t>
      </w:r>
      <w:r>
        <w:rPr>
          <w:rFonts w:hint="eastAsia" w:ascii="宋体" w:hAnsi="宋体" w:cs="宋体"/>
          <w:color w:val="000000"/>
          <w:kern w:val="0"/>
          <w:szCs w:val="21"/>
        </w:rPr>
        <w:t>，培养学生在职业领域进行相关沟通、交流能力</w:t>
      </w:r>
      <w:r>
        <w:rPr>
          <w:rFonts w:ascii="宋体" w:hAnsi="宋体" w:cs="宋体"/>
          <w:color w:val="000000"/>
          <w:kern w:val="0"/>
          <w:szCs w:val="21"/>
        </w:rPr>
        <w:t>。</w:t>
      </w:r>
    </w:p>
    <w:p w14:paraId="45240248">
      <w:pPr>
        <w:autoSpaceDE w:val="0"/>
        <w:autoSpaceDN w:val="0"/>
        <w:adjustRightInd w:val="0"/>
        <w:spacing w:line="400" w:lineRule="exact"/>
        <w:ind w:firstLine="422" w:firstLineChars="200"/>
        <w:rPr>
          <w:rFonts w:hint="eastAsia" w:ascii="宋体" w:hAnsi="宋体" w:cs="宋体"/>
          <w:color w:val="000000"/>
          <w:kern w:val="0"/>
          <w:szCs w:val="21"/>
        </w:rPr>
      </w:pPr>
      <w:r>
        <w:rPr>
          <w:rFonts w:hint="eastAsia" w:ascii="宋体" w:hAnsi="宋体" w:cs="宋体"/>
          <w:b/>
          <w:bCs/>
          <w:color w:val="000000"/>
          <w:kern w:val="0"/>
          <w:szCs w:val="21"/>
        </w:rPr>
        <w:t>3.</w:t>
      </w:r>
      <w:r>
        <w:rPr>
          <w:rFonts w:ascii="宋体" w:hAnsi="宋体" w:cs="宋体"/>
          <w:b/>
          <w:bCs/>
          <w:color w:val="000000"/>
          <w:kern w:val="0"/>
          <w:szCs w:val="21"/>
        </w:rPr>
        <w:t>素质目标：</w:t>
      </w:r>
      <w:r>
        <w:rPr>
          <w:rFonts w:hint="eastAsia" w:ascii="宋体" w:hAnsi="宋体" w:cs="宋体"/>
          <w:color w:val="000000"/>
          <w:kern w:val="0"/>
          <w:szCs w:val="21"/>
        </w:rPr>
        <w:t>将社会主义核心价值观和中国优秀传统文化有机融入大学英语课程教学，培养学生批判吸收西方文化，增进中西文化异同理解；培养学生跨文化意识和交际能力；培养学生树立国际视野和提升综合人文素养；</w:t>
      </w:r>
      <w:r>
        <w:rPr>
          <w:rFonts w:ascii="宋体" w:hAnsi="宋体" w:cs="宋体"/>
          <w:color w:val="000000"/>
          <w:kern w:val="0"/>
          <w:szCs w:val="21"/>
        </w:rPr>
        <w:t>培养学生自主学习能力和终身学习意识</w:t>
      </w:r>
      <w:r>
        <w:rPr>
          <w:rFonts w:hint="eastAsia" w:ascii="宋体" w:hAnsi="宋体" w:cs="宋体"/>
          <w:color w:val="000000"/>
          <w:kern w:val="0"/>
          <w:szCs w:val="21"/>
        </w:rPr>
        <w:t>。</w:t>
      </w:r>
    </w:p>
    <w:p w14:paraId="53B969CA">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（二）课程目标及其对毕业指标点的支撑</w:t>
      </w:r>
    </w:p>
    <w:p w14:paraId="2D96D1EC">
      <w:pPr>
        <w:ind w:firstLine="301" w:firstLineChars="200"/>
        <w:rPr>
          <w:rFonts w:hint="eastAsia" w:ascii="宋体" w:hAnsi="宋体" w:cs="宋体"/>
          <w:b/>
          <w:bCs/>
          <w:color w:val="000000"/>
          <w:kern w:val="0"/>
          <w:sz w:val="15"/>
          <w:szCs w:val="15"/>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4678"/>
        <w:gridCol w:w="1751"/>
      </w:tblGrid>
      <w:tr w14:paraId="0F5E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478D509F">
            <w:pPr>
              <w:spacing w:line="40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毕业要求</w:t>
            </w:r>
          </w:p>
        </w:tc>
        <w:tc>
          <w:tcPr>
            <w:tcW w:w="4678" w:type="dxa"/>
            <w:shd w:val="clear" w:color="auto" w:fill="auto"/>
            <w:noWrap w:val="0"/>
            <w:vAlign w:val="top"/>
          </w:tcPr>
          <w:p w14:paraId="7F59DE80">
            <w:pPr>
              <w:spacing w:line="40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毕业要求指标点</w:t>
            </w:r>
          </w:p>
        </w:tc>
        <w:tc>
          <w:tcPr>
            <w:tcW w:w="1751" w:type="dxa"/>
            <w:shd w:val="clear" w:color="auto" w:fill="auto"/>
            <w:noWrap w:val="0"/>
            <w:vAlign w:val="top"/>
          </w:tcPr>
          <w:p w14:paraId="7A6BE482">
            <w:pPr>
              <w:spacing w:line="360" w:lineRule="auto"/>
              <w:jc w:val="center"/>
              <w:rPr>
                <w:rFonts w:hint="eastAsia" w:ascii="宋体" w:hAnsi="宋体" w:cs="宋体"/>
                <w:b/>
                <w:bCs/>
                <w:color w:val="000000"/>
                <w:kern w:val="0"/>
                <w:szCs w:val="21"/>
              </w:rPr>
            </w:pPr>
            <w:r>
              <w:rPr>
                <w:rFonts w:hint="eastAsia" w:ascii="宋体" w:hAnsi="宋体" w:cs="宋体"/>
                <w:b/>
                <w:bCs/>
                <w:color w:val="000000"/>
                <w:kern w:val="0"/>
                <w:szCs w:val="21"/>
              </w:rPr>
              <w:t>课程目标</w:t>
            </w:r>
          </w:p>
        </w:tc>
      </w:tr>
      <w:tr w14:paraId="77D7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70C2D5F6">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毕业要求7</w:t>
            </w:r>
            <w:r>
              <w:rPr>
                <w:rFonts w:ascii="宋体" w:hAnsi="宋体" w:cs="宋体"/>
                <w:bCs/>
                <w:color w:val="000000"/>
                <w:kern w:val="0"/>
                <w:szCs w:val="21"/>
              </w:rPr>
              <w:t>学会反思</w:t>
            </w:r>
          </w:p>
        </w:tc>
        <w:tc>
          <w:tcPr>
            <w:tcW w:w="4678" w:type="dxa"/>
            <w:shd w:val="clear" w:color="auto" w:fill="auto"/>
            <w:noWrap w:val="0"/>
            <w:vAlign w:val="top"/>
          </w:tcPr>
          <w:p w14:paraId="47932766">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指标点7-1：</w:t>
            </w:r>
            <w:r>
              <w:rPr>
                <w:rFonts w:hint="eastAsia"/>
                <w:szCs w:val="21"/>
              </w:rPr>
              <w:t>【教育视野开阔】</w:t>
            </w:r>
            <w:r>
              <w:rPr>
                <w:szCs w:val="21"/>
              </w:rPr>
              <w:t>积极参加基础教育领域的国内外交流，了解国内外基础教育改革发展的动态，具有宽广的教育视野</w:t>
            </w:r>
            <w:r>
              <w:rPr>
                <w:rFonts w:hint="eastAsia"/>
                <w:szCs w:val="21"/>
              </w:rPr>
              <w:t>，能够主动适应新时代和教育发展需求。</w:t>
            </w:r>
          </w:p>
        </w:tc>
        <w:tc>
          <w:tcPr>
            <w:tcW w:w="1751" w:type="dxa"/>
            <w:shd w:val="clear" w:color="auto" w:fill="auto"/>
            <w:noWrap w:val="0"/>
            <w:vAlign w:val="top"/>
          </w:tcPr>
          <w:p w14:paraId="5D221F23">
            <w:pPr>
              <w:spacing w:line="360" w:lineRule="auto"/>
              <w:rPr>
                <w:rFonts w:hint="eastAsia"/>
                <w:szCs w:val="21"/>
              </w:rPr>
            </w:pPr>
          </w:p>
          <w:p w14:paraId="5CC5A479">
            <w:pPr>
              <w:spacing w:line="360" w:lineRule="auto"/>
              <w:ind w:firstLine="210" w:firstLineChars="100"/>
              <w:rPr>
                <w:rFonts w:hint="eastAsia"/>
                <w:szCs w:val="21"/>
              </w:rPr>
            </w:pPr>
            <w:r>
              <w:rPr>
                <w:rFonts w:hint="eastAsia"/>
                <w:szCs w:val="21"/>
              </w:rPr>
              <w:t>课程目标1</w:t>
            </w:r>
          </w:p>
          <w:p w14:paraId="38DE246F">
            <w:pPr>
              <w:spacing w:line="360" w:lineRule="auto"/>
              <w:ind w:firstLine="210" w:firstLineChars="100"/>
              <w:rPr>
                <w:rFonts w:hint="eastAsia"/>
                <w:szCs w:val="21"/>
              </w:rPr>
            </w:pPr>
            <w:r>
              <w:rPr>
                <w:rFonts w:hint="eastAsia"/>
                <w:szCs w:val="21"/>
              </w:rPr>
              <w:t>课程目标2</w:t>
            </w:r>
          </w:p>
          <w:p w14:paraId="3C968A2F">
            <w:pPr>
              <w:spacing w:line="360" w:lineRule="auto"/>
              <w:ind w:firstLine="210" w:firstLineChars="100"/>
              <w:rPr>
                <w:rFonts w:hint="eastAsia" w:ascii="宋体" w:hAnsi="宋体" w:cs="宋体"/>
                <w:b/>
                <w:bCs/>
                <w:color w:val="000000"/>
                <w:kern w:val="0"/>
                <w:szCs w:val="21"/>
              </w:rPr>
            </w:pPr>
            <w:r>
              <w:rPr>
                <w:rFonts w:hint="eastAsia"/>
                <w:szCs w:val="21"/>
              </w:rPr>
              <w:t>课程目标3</w:t>
            </w:r>
          </w:p>
        </w:tc>
      </w:tr>
      <w:tr w14:paraId="0386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146AFB97">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毕业要求8</w:t>
            </w:r>
            <w:r>
              <w:rPr>
                <w:rFonts w:ascii="宋体" w:hAnsi="宋体" w:cs="宋体"/>
                <w:bCs/>
                <w:color w:val="000000"/>
                <w:kern w:val="0"/>
                <w:szCs w:val="21"/>
              </w:rPr>
              <w:t>沟通合作</w:t>
            </w:r>
          </w:p>
        </w:tc>
        <w:tc>
          <w:tcPr>
            <w:tcW w:w="4678" w:type="dxa"/>
            <w:shd w:val="clear" w:color="auto" w:fill="auto"/>
            <w:noWrap w:val="0"/>
            <w:vAlign w:val="top"/>
          </w:tcPr>
          <w:p w14:paraId="001FC7FE">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指标点8-3：</w:t>
            </w:r>
            <w:r>
              <w:rPr>
                <w:rFonts w:hint="eastAsia"/>
                <w:szCs w:val="21"/>
              </w:rPr>
              <w:t>【具有国际视野】</w:t>
            </w:r>
            <w:r>
              <w:rPr>
                <w:szCs w:val="21"/>
              </w:rPr>
              <w:t>具备基本的国际理解与交流沟通能力。</w:t>
            </w:r>
          </w:p>
        </w:tc>
        <w:tc>
          <w:tcPr>
            <w:tcW w:w="1751" w:type="dxa"/>
            <w:shd w:val="clear" w:color="auto" w:fill="auto"/>
            <w:noWrap w:val="0"/>
            <w:vAlign w:val="top"/>
          </w:tcPr>
          <w:p w14:paraId="6C96964A">
            <w:pPr>
              <w:spacing w:line="360" w:lineRule="auto"/>
              <w:ind w:firstLine="210" w:firstLineChars="100"/>
              <w:rPr>
                <w:rFonts w:hint="eastAsia" w:ascii="宋体" w:hAnsi="宋体" w:cs="宋体"/>
                <w:b/>
                <w:bCs/>
                <w:color w:val="000000"/>
                <w:kern w:val="0"/>
                <w:szCs w:val="21"/>
              </w:rPr>
            </w:pPr>
            <w:r>
              <w:rPr>
                <w:rFonts w:hint="eastAsia"/>
                <w:szCs w:val="21"/>
              </w:rPr>
              <w:t>课程目标2</w:t>
            </w:r>
          </w:p>
        </w:tc>
      </w:tr>
    </w:tbl>
    <w:p w14:paraId="4554D5AC">
      <w:pPr>
        <w:rPr>
          <w:rFonts w:hint="eastAsia" w:ascii="宋体" w:hAnsi="宋体" w:cs="宋体"/>
          <w:b/>
          <w:bCs/>
          <w:color w:val="000000"/>
          <w:kern w:val="0"/>
          <w:sz w:val="15"/>
          <w:szCs w:val="15"/>
        </w:rPr>
      </w:pPr>
    </w:p>
    <w:p w14:paraId="6C3174D2">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（三）课程思政目标</w:t>
      </w:r>
    </w:p>
    <w:p w14:paraId="18755D71">
      <w:pPr>
        <w:autoSpaceDE w:val="0"/>
        <w:autoSpaceDN w:val="0"/>
        <w:adjustRightInd w:val="0"/>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在促使学生全面提高听、说、读、写、译英语综合运用能力的基础上，培植学生的家国情怀与文化自信，通过语言载体深化社会主义核心价值观教育。引导学生用英语客观阐释中华优秀传统文化、革命精神与当代发展成就，增强跨文化传播中的话语能力；在分析西方文化素材时培养批判性思维。通过创设真实语境，将语言训练与国情认知、社会责任相结合，使学生在提升语言能力的同时，树立人类命运共同体意识，强化科技报国、文化传承的使命感。</w:t>
      </w:r>
    </w:p>
    <w:p w14:paraId="4B21D317">
      <w:pPr>
        <w:autoSpaceDE w:val="0"/>
        <w:autoSpaceDN w:val="0"/>
        <w:adjustRightInd w:val="0"/>
        <w:rPr>
          <w:rFonts w:ascii="宋体" w:hAnsi="宋体" w:cs="宋体"/>
          <w:color w:val="000000"/>
          <w:kern w:val="0"/>
          <w:sz w:val="15"/>
          <w:szCs w:val="15"/>
        </w:rPr>
      </w:pPr>
    </w:p>
    <w:p w14:paraId="6EC988B7">
      <w:pPr>
        <w:pStyle w:val="4"/>
        <w:bidi w:val="0"/>
        <w:rPr>
          <w:rFonts w:hint="eastAsia"/>
        </w:rPr>
      </w:pPr>
      <w:r>
        <w:rPr>
          <w:rFonts w:hint="eastAsia"/>
        </w:rPr>
        <w:t>三、教学内容与预期学习成效</w:t>
      </w:r>
    </w:p>
    <w:p w14:paraId="2E27B534">
      <w:pPr>
        <w:ind w:firstLine="301" w:firstLineChars="200"/>
        <w:rPr>
          <w:b/>
          <w:color w:val="000000"/>
          <w:sz w:val="15"/>
          <w:szCs w:val="15"/>
        </w:rPr>
      </w:pPr>
    </w:p>
    <w:tbl>
      <w:tblPr>
        <w:tblStyle w:val="3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01"/>
        <w:gridCol w:w="4111"/>
        <w:gridCol w:w="1388"/>
      </w:tblGrid>
      <w:tr w14:paraId="0EA6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56017F4A">
            <w:pPr>
              <w:jc w:val="center"/>
              <w:rPr>
                <w:b/>
                <w:bCs/>
                <w:color w:val="000000"/>
                <w:szCs w:val="21"/>
              </w:rPr>
            </w:pPr>
            <w:r>
              <w:rPr>
                <w:b/>
                <w:bCs/>
                <w:color w:val="000000"/>
                <w:szCs w:val="21"/>
              </w:rPr>
              <w:t>教学内容</w:t>
            </w:r>
          </w:p>
        </w:tc>
        <w:tc>
          <w:tcPr>
            <w:tcW w:w="1701" w:type="dxa"/>
            <w:noWrap w:val="0"/>
            <w:vAlign w:val="center"/>
          </w:tcPr>
          <w:p w14:paraId="6B377E75">
            <w:pPr>
              <w:jc w:val="center"/>
              <w:rPr>
                <w:rFonts w:hint="eastAsia"/>
                <w:b/>
                <w:bCs/>
                <w:color w:val="000000"/>
                <w:szCs w:val="21"/>
              </w:rPr>
            </w:pPr>
            <w:r>
              <w:rPr>
                <w:rFonts w:hint="eastAsia"/>
                <w:b/>
                <w:bCs/>
                <w:color w:val="000000"/>
                <w:szCs w:val="21"/>
              </w:rPr>
              <w:t>课程思政目标</w:t>
            </w:r>
          </w:p>
        </w:tc>
        <w:tc>
          <w:tcPr>
            <w:tcW w:w="4111" w:type="dxa"/>
            <w:noWrap w:val="0"/>
            <w:vAlign w:val="center"/>
          </w:tcPr>
          <w:p w14:paraId="33AD067F">
            <w:pPr>
              <w:jc w:val="center"/>
              <w:rPr>
                <w:b/>
                <w:bCs/>
                <w:color w:val="000000"/>
                <w:szCs w:val="21"/>
              </w:rPr>
            </w:pPr>
            <w:r>
              <w:rPr>
                <w:rFonts w:hint="eastAsia"/>
                <w:b/>
                <w:bCs/>
                <w:color w:val="000000"/>
                <w:szCs w:val="21"/>
              </w:rPr>
              <w:t>预期学习成效</w:t>
            </w:r>
          </w:p>
        </w:tc>
        <w:tc>
          <w:tcPr>
            <w:tcW w:w="1388" w:type="dxa"/>
            <w:noWrap w:val="0"/>
            <w:vAlign w:val="center"/>
          </w:tcPr>
          <w:p w14:paraId="6D5E9580">
            <w:pPr>
              <w:jc w:val="center"/>
              <w:rPr>
                <w:rFonts w:hint="eastAsia"/>
                <w:b/>
                <w:bCs/>
                <w:color w:val="000000"/>
                <w:szCs w:val="21"/>
              </w:rPr>
            </w:pPr>
            <w:r>
              <w:rPr>
                <w:rFonts w:hint="eastAsia"/>
                <w:b/>
                <w:bCs/>
                <w:color w:val="000000"/>
                <w:szCs w:val="21"/>
              </w:rPr>
              <w:t>重点、难点</w:t>
            </w:r>
          </w:p>
        </w:tc>
      </w:tr>
      <w:tr w14:paraId="4EA1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06992937">
            <w:pPr>
              <w:rPr>
                <w:rFonts w:hint="eastAsia" w:ascii="宋体" w:hAnsi="宋体"/>
                <w:color w:val="000000"/>
                <w:szCs w:val="21"/>
              </w:rPr>
            </w:pPr>
            <w:r>
              <w:rPr>
                <w:rFonts w:hint="eastAsia" w:ascii="宋体" w:hAnsi="宋体"/>
                <w:color w:val="000000"/>
                <w:szCs w:val="21"/>
              </w:rPr>
              <w:t>听力理解</w:t>
            </w:r>
          </w:p>
        </w:tc>
        <w:tc>
          <w:tcPr>
            <w:tcW w:w="1701" w:type="dxa"/>
            <w:noWrap w:val="0"/>
            <w:vAlign w:val="center"/>
          </w:tcPr>
          <w:p w14:paraId="2C05B752">
            <w:pPr>
              <w:widowControl/>
              <w:jc w:val="left"/>
              <w:rPr>
                <w:rFonts w:ascii="宋体" w:hAnsi="宋体"/>
                <w:color w:val="000000"/>
                <w:kern w:val="0"/>
                <w:szCs w:val="21"/>
              </w:rPr>
            </w:pPr>
            <w:r>
              <w:rPr>
                <w:rFonts w:hint="eastAsia" w:ascii="宋体" w:hAnsi="宋体"/>
                <w:color w:val="000000"/>
                <w:kern w:val="0"/>
                <w:szCs w:val="21"/>
              </w:rPr>
              <w:t>1.了解西方文化</w:t>
            </w:r>
          </w:p>
          <w:p w14:paraId="1194EB6D">
            <w:pPr>
              <w:widowControl/>
              <w:jc w:val="left"/>
              <w:rPr>
                <w:rFonts w:ascii="宋体" w:hAnsi="宋体"/>
                <w:color w:val="000000"/>
                <w:kern w:val="0"/>
                <w:szCs w:val="21"/>
              </w:rPr>
            </w:pPr>
            <w:r>
              <w:rPr>
                <w:rFonts w:hint="eastAsia" w:ascii="宋体" w:hAnsi="宋体"/>
                <w:color w:val="000000"/>
                <w:kern w:val="0"/>
                <w:szCs w:val="21"/>
              </w:rPr>
              <w:t>2.理性思考中西文化差异</w:t>
            </w:r>
          </w:p>
          <w:p w14:paraId="7B818353">
            <w:pPr>
              <w:widowControl/>
              <w:jc w:val="left"/>
              <w:rPr>
                <w:rFonts w:hint="eastAsia" w:ascii="宋体" w:hAnsi="宋体"/>
                <w:color w:val="000000"/>
                <w:kern w:val="0"/>
                <w:szCs w:val="21"/>
              </w:rPr>
            </w:pPr>
            <w:r>
              <w:rPr>
                <w:rFonts w:hint="eastAsia" w:ascii="宋体" w:hAnsi="宋体"/>
                <w:color w:val="000000"/>
                <w:kern w:val="0"/>
                <w:szCs w:val="21"/>
              </w:rPr>
              <w:t>3.树立文化自信</w:t>
            </w:r>
          </w:p>
        </w:tc>
        <w:tc>
          <w:tcPr>
            <w:tcW w:w="4111" w:type="dxa"/>
            <w:noWrap w:val="0"/>
            <w:vAlign w:val="center"/>
          </w:tcPr>
          <w:p w14:paraId="54176DD3">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听懂就日常话题展开的简单英语交谈；能基本听懂语速较慢的音、视频材料和题材熟悉的讲座，掌握中心大意，抓住要点；能听懂用英语讲授的相应级别的英语课程；能听懂与工作岗位相关的常用指令、产品或操作说明等。能运用基本的听力技巧。</w:t>
            </w:r>
          </w:p>
        </w:tc>
        <w:tc>
          <w:tcPr>
            <w:tcW w:w="1388" w:type="dxa"/>
            <w:noWrap w:val="0"/>
            <w:vAlign w:val="center"/>
          </w:tcPr>
          <w:p w14:paraId="28B48428">
            <w:pPr>
              <w:jc w:val="left"/>
              <w:rPr>
                <w:rFonts w:ascii="宋体" w:hAnsi="宋体"/>
                <w:bCs/>
                <w:color w:val="000000"/>
                <w:szCs w:val="21"/>
              </w:rPr>
            </w:pPr>
            <w:r>
              <w:rPr>
                <w:rFonts w:hint="eastAsia" w:ascii="宋体" w:hAnsi="宋体"/>
                <w:bCs/>
                <w:color w:val="000000"/>
                <w:szCs w:val="21"/>
              </w:rPr>
              <w:t>1.辨音</w:t>
            </w:r>
          </w:p>
          <w:p w14:paraId="52A93107">
            <w:pPr>
              <w:jc w:val="left"/>
              <w:rPr>
                <w:rFonts w:hint="eastAsia" w:ascii="宋体" w:hAnsi="宋体"/>
                <w:bCs/>
                <w:color w:val="000000"/>
                <w:szCs w:val="21"/>
              </w:rPr>
            </w:pPr>
            <w:r>
              <w:rPr>
                <w:rFonts w:hint="eastAsia" w:ascii="宋体" w:hAnsi="宋体"/>
                <w:bCs/>
                <w:color w:val="000000"/>
                <w:szCs w:val="21"/>
              </w:rPr>
              <w:t>2.情景词汇</w:t>
            </w:r>
          </w:p>
          <w:p w14:paraId="343F0242">
            <w:pPr>
              <w:jc w:val="left"/>
              <w:rPr>
                <w:rFonts w:hint="eastAsia" w:ascii="宋体" w:hAnsi="宋体"/>
                <w:bCs/>
                <w:color w:val="000000"/>
                <w:szCs w:val="21"/>
              </w:rPr>
            </w:pPr>
            <w:r>
              <w:rPr>
                <w:rFonts w:hint="eastAsia" w:ascii="宋体" w:hAnsi="宋体"/>
                <w:bCs/>
                <w:color w:val="000000"/>
                <w:szCs w:val="21"/>
              </w:rPr>
              <w:t>3.大意理解</w:t>
            </w:r>
          </w:p>
          <w:p w14:paraId="481FEF0F">
            <w:pPr>
              <w:jc w:val="left"/>
              <w:rPr>
                <w:rFonts w:hint="eastAsia" w:ascii="宋体" w:hAnsi="宋体"/>
                <w:bCs/>
                <w:color w:val="000000"/>
                <w:szCs w:val="21"/>
              </w:rPr>
            </w:pPr>
            <w:r>
              <w:rPr>
                <w:rFonts w:hint="eastAsia" w:ascii="宋体" w:hAnsi="宋体"/>
                <w:bCs/>
                <w:color w:val="000000"/>
                <w:szCs w:val="21"/>
              </w:rPr>
              <w:t>4.听力技巧</w:t>
            </w:r>
          </w:p>
        </w:tc>
      </w:tr>
      <w:tr w14:paraId="573E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24FC0D8C">
            <w:pPr>
              <w:rPr>
                <w:rFonts w:hint="eastAsia" w:ascii="宋体" w:hAnsi="宋体"/>
                <w:color w:val="000000"/>
                <w:szCs w:val="21"/>
              </w:rPr>
            </w:pPr>
            <w:r>
              <w:rPr>
                <w:rFonts w:hint="eastAsia" w:ascii="宋体" w:hAnsi="宋体"/>
                <w:color w:val="000000"/>
                <w:szCs w:val="21"/>
              </w:rPr>
              <w:t>口语表达</w:t>
            </w:r>
          </w:p>
        </w:tc>
        <w:tc>
          <w:tcPr>
            <w:tcW w:w="1701" w:type="dxa"/>
            <w:noWrap w:val="0"/>
            <w:vAlign w:val="center"/>
          </w:tcPr>
          <w:p w14:paraId="488B0FBD">
            <w:pPr>
              <w:widowControl/>
              <w:jc w:val="left"/>
              <w:rPr>
                <w:rFonts w:ascii="宋体" w:hAnsi="宋体"/>
                <w:color w:val="000000"/>
                <w:kern w:val="0"/>
                <w:szCs w:val="21"/>
              </w:rPr>
            </w:pPr>
            <w:r>
              <w:rPr>
                <w:rFonts w:hint="eastAsia" w:ascii="宋体" w:hAnsi="宋体"/>
                <w:color w:val="000000"/>
                <w:kern w:val="0"/>
                <w:szCs w:val="21"/>
              </w:rPr>
              <w:t>1.克服焦虑，树立信心</w:t>
            </w:r>
          </w:p>
          <w:p w14:paraId="58EA80D2">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1F9A2C45">
            <w:pPr>
              <w:widowControl/>
              <w:jc w:val="left"/>
              <w:rPr>
                <w:rFonts w:hint="eastAsia" w:ascii="宋体" w:hAnsi="宋体"/>
                <w:color w:val="000000"/>
                <w:kern w:val="0"/>
                <w:szCs w:val="21"/>
              </w:rPr>
            </w:pPr>
            <w:r>
              <w:rPr>
                <w:rFonts w:hint="eastAsia" w:ascii="宋体" w:hAnsi="宋体"/>
                <w:color w:val="000000"/>
                <w:kern w:val="0"/>
                <w:szCs w:val="21"/>
              </w:rPr>
              <w:t>3.讲好中国故事</w:t>
            </w:r>
          </w:p>
        </w:tc>
        <w:tc>
          <w:tcPr>
            <w:tcW w:w="4111" w:type="dxa"/>
            <w:noWrap w:val="0"/>
            <w:vAlign w:val="center"/>
          </w:tcPr>
          <w:p w14:paraId="7A4DF0CC">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就日常话题用英语进行简短但多话轮的交谈；能对一般性事件和物体进行简单的叙述或描述；经准备后能就所熟悉的话题作简短发言；能就学习或与未来工作相关的主题进行简单的讨论。语言表达结构比较清楚，语音、语调、语法等基本符合交际规范。能运用基本的会话技巧。</w:t>
            </w:r>
          </w:p>
        </w:tc>
        <w:tc>
          <w:tcPr>
            <w:tcW w:w="1388" w:type="dxa"/>
            <w:noWrap w:val="0"/>
            <w:vAlign w:val="center"/>
          </w:tcPr>
          <w:p w14:paraId="181BE82F">
            <w:pPr>
              <w:jc w:val="left"/>
              <w:rPr>
                <w:rFonts w:ascii="宋体" w:hAnsi="宋体"/>
                <w:bCs/>
                <w:color w:val="000000"/>
                <w:szCs w:val="21"/>
              </w:rPr>
            </w:pPr>
            <w:r>
              <w:rPr>
                <w:rFonts w:hint="eastAsia" w:ascii="宋体" w:hAnsi="宋体"/>
                <w:bCs/>
                <w:color w:val="000000"/>
                <w:szCs w:val="21"/>
              </w:rPr>
              <w:t>1.语音、语调</w:t>
            </w:r>
          </w:p>
          <w:p w14:paraId="5DAE453B">
            <w:pPr>
              <w:jc w:val="left"/>
              <w:rPr>
                <w:rFonts w:ascii="宋体" w:hAnsi="宋体"/>
                <w:bCs/>
                <w:color w:val="000000"/>
                <w:szCs w:val="21"/>
              </w:rPr>
            </w:pPr>
            <w:r>
              <w:rPr>
                <w:rFonts w:hint="eastAsia" w:ascii="宋体" w:hAnsi="宋体"/>
                <w:bCs/>
                <w:color w:val="000000"/>
                <w:szCs w:val="21"/>
              </w:rPr>
              <w:t>2.日常词汇</w:t>
            </w:r>
          </w:p>
          <w:p w14:paraId="67A21E93">
            <w:pPr>
              <w:jc w:val="left"/>
              <w:rPr>
                <w:rFonts w:hint="eastAsia" w:ascii="宋体" w:hAnsi="宋体"/>
                <w:bCs/>
                <w:color w:val="000000"/>
                <w:szCs w:val="21"/>
              </w:rPr>
            </w:pPr>
            <w:r>
              <w:rPr>
                <w:rFonts w:hint="eastAsia" w:ascii="宋体" w:hAnsi="宋体"/>
                <w:bCs/>
                <w:color w:val="000000"/>
                <w:szCs w:val="21"/>
              </w:rPr>
              <w:t>3.会话技巧</w:t>
            </w:r>
          </w:p>
        </w:tc>
      </w:tr>
      <w:tr w14:paraId="5C4E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79786545">
            <w:pPr>
              <w:rPr>
                <w:rFonts w:hint="eastAsia" w:ascii="宋体" w:hAnsi="宋体"/>
                <w:color w:val="000000"/>
                <w:szCs w:val="21"/>
              </w:rPr>
            </w:pPr>
            <w:r>
              <w:rPr>
                <w:rFonts w:hint="eastAsia" w:ascii="宋体" w:hAnsi="宋体"/>
                <w:color w:val="000000"/>
                <w:szCs w:val="21"/>
              </w:rPr>
              <w:t>阅读理解</w:t>
            </w:r>
          </w:p>
        </w:tc>
        <w:tc>
          <w:tcPr>
            <w:tcW w:w="1701" w:type="dxa"/>
            <w:noWrap w:val="0"/>
            <w:vAlign w:val="center"/>
          </w:tcPr>
          <w:p w14:paraId="78D8A7EC">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6BA22372">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660CD406">
            <w:pPr>
              <w:widowControl/>
              <w:jc w:val="left"/>
              <w:rPr>
                <w:rFonts w:ascii="宋体" w:hAnsi="宋体"/>
                <w:color w:val="000000"/>
                <w:kern w:val="0"/>
                <w:szCs w:val="21"/>
              </w:rPr>
            </w:pPr>
            <w:r>
              <w:rPr>
                <w:rFonts w:hint="eastAsia" w:ascii="宋体" w:hAnsi="宋体"/>
                <w:color w:val="000000"/>
                <w:kern w:val="0"/>
                <w:szCs w:val="21"/>
              </w:rPr>
              <w:t>3.树立文化自信</w:t>
            </w:r>
          </w:p>
          <w:p w14:paraId="443CC2A9">
            <w:pPr>
              <w:widowControl/>
              <w:jc w:val="left"/>
              <w:rPr>
                <w:rFonts w:hint="eastAsia" w:ascii="宋体" w:hAnsi="宋体"/>
                <w:color w:val="000000"/>
                <w:kern w:val="0"/>
                <w:szCs w:val="21"/>
              </w:rPr>
            </w:pPr>
            <w:r>
              <w:rPr>
                <w:rFonts w:hint="eastAsia" w:ascii="宋体" w:hAnsi="宋体"/>
                <w:color w:val="000000"/>
                <w:kern w:val="0"/>
                <w:szCs w:val="21"/>
              </w:rPr>
              <w:t>4.提升职业素养</w:t>
            </w:r>
          </w:p>
        </w:tc>
        <w:tc>
          <w:tcPr>
            <w:tcW w:w="4111" w:type="dxa"/>
            <w:noWrap w:val="0"/>
            <w:vAlign w:val="center"/>
          </w:tcPr>
          <w:p w14:paraId="3466DB27">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基本读懂题材熟悉、语言难度中等的英语报刊文章和其他英语材料；能借助词典阅读英语教材和未来工作、生活中常见的应用文和简单的专业资料，掌握中心大意，理解主要事实和有关细节；能根据阅读目的的不同和阅读材料的难易，适当调整阅读速度和方法。能运用基本的阅读技巧。</w:t>
            </w:r>
          </w:p>
        </w:tc>
        <w:tc>
          <w:tcPr>
            <w:tcW w:w="1388" w:type="dxa"/>
            <w:noWrap w:val="0"/>
            <w:vAlign w:val="center"/>
          </w:tcPr>
          <w:p w14:paraId="6F5E3721">
            <w:pPr>
              <w:rPr>
                <w:rFonts w:ascii="宋体" w:hAnsi="宋体"/>
                <w:bCs/>
                <w:color w:val="000000"/>
                <w:szCs w:val="21"/>
              </w:rPr>
            </w:pPr>
            <w:r>
              <w:rPr>
                <w:rFonts w:hint="eastAsia" w:ascii="宋体" w:hAnsi="宋体"/>
                <w:bCs/>
                <w:color w:val="000000"/>
                <w:szCs w:val="21"/>
              </w:rPr>
              <w:t>1.基础语言点</w:t>
            </w:r>
          </w:p>
          <w:p w14:paraId="7A9288C7">
            <w:pPr>
              <w:rPr>
                <w:rFonts w:hint="eastAsia" w:ascii="宋体" w:hAnsi="宋体"/>
                <w:bCs/>
                <w:color w:val="000000"/>
                <w:szCs w:val="21"/>
              </w:rPr>
            </w:pPr>
            <w:r>
              <w:rPr>
                <w:rFonts w:hint="eastAsia" w:ascii="宋体" w:hAnsi="宋体"/>
                <w:bCs/>
                <w:color w:val="000000"/>
                <w:szCs w:val="21"/>
              </w:rPr>
              <w:t>2.长难句分析</w:t>
            </w:r>
          </w:p>
          <w:p w14:paraId="2ACDAF91">
            <w:pPr>
              <w:rPr>
                <w:rFonts w:hint="eastAsia" w:ascii="宋体" w:hAnsi="宋体"/>
                <w:bCs/>
                <w:color w:val="000000"/>
                <w:szCs w:val="21"/>
              </w:rPr>
            </w:pPr>
            <w:r>
              <w:rPr>
                <w:rFonts w:hint="eastAsia" w:ascii="宋体" w:hAnsi="宋体"/>
                <w:bCs/>
                <w:color w:val="000000"/>
                <w:szCs w:val="21"/>
              </w:rPr>
              <w:t>3.宏观阅读技巧</w:t>
            </w:r>
          </w:p>
        </w:tc>
      </w:tr>
      <w:tr w14:paraId="16A9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66A6FE24">
            <w:pPr>
              <w:outlineLvl w:val="0"/>
              <w:rPr>
                <w:rFonts w:hint="eastAsia" w:ascii="宋体" w:hAnsi="宋体"/>
                <w:color w:val="000000"/>
                <w:szCs w:val="21"/>
              </w:rPr>
            </w:pPr>
            <w:bookmarkStart w:id="3" w:name="_Toc89367100"/>
            <w:r>
              <w:rPr>
                <w:rFonts w:hint="eastAsia" w:ascii="宋体" w:hAnsi="宋体"/>
                <w:color w:val="000000"/>
                <w:szCs w:val="21"/>
              </w:rPr>
              <w:t>书面表达</w:t>
            </w:r>
            <w:bookmarkEnd w:id="3"/>
          </w:p>
        </w:tc>
        <w:tc>
          <w:tcPr>
            <w:tcW w:w="1701" w:type="dxa"/>
            <w:noWrap w:val="0"/>
            <w:vAlign w:val="center"/>
          </w:tcPr>
          <w:p w14:paraId="11BEDD87">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209175C0">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57AC50C6">
            <w:pPr>
              <w:widowControl/>
              <w:jc w:val="left"/>
              <w:rPr>
                <w:rFonts w:ascii="宋体" w:hAnsi="宋体"/>
                <w:color w:val="000000"/>
                <w:kern w:val="0"/>
                <w:szCs w:val="21"/>
              </w:rPr>
            </w:pPr>
            <w:r>
              <w:rPr>
                <w:rFonts w:hint="eastAsia" w:ascii="宋体" w:hAnsi="宋体"/>
                <w:color w:val="000000"/>
                <w:kern w:val="0"/>
                <w:szCs w:val="21"/>
              </w:rPr>
              <w:t>3.讲好中国故事</w:t>
            </w:r>
          </w:p>
          <w:p w14:paraId="20DBE585">
            <w:pPr>
              <w:outlineLvl w:val="0"/>
              <w:rPr>
                <w:rFonts w:hint="eastAsia" w:ascii="宋体" w:hAnsi="宋体"/>
                <w:color w:val="000000"/>
                <w:kern w:val="0"/>
                <w:szCs w:val="21"/>
              </w:rPr>
            </w:pPr>
            <w:bookmarkStart w:id="4" w:name="_Toc89367101"/>
            <w:r>
              <w:rPr>
                <w:rFonts w:hint="eastAsia" w:ascii="宋体" w:hAnsi="宋体"/>
                <w:color w:val="000000"/>
                <w:kern w:val="0"/>
                <w:szCs w:val="21"/>
              </w:rPr>
              <w:t>4.提升职业素养</w:t>
            </w:r>
            <w:bookmarkEnd w:id="4"/>
          </w:p>
        </w:tc>
        <w:tc>
          <w:tcPr>
            <w:tcW w:w="4111" w:type="dxa"/>
            <w:noWrap w:val="0"/>
            <w:vAlign w:val="center"/>
          </w:tcPr>
          <w:p w14:paraId="49E97325">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用英语描述个人经历、观感、情感和发生的事件等；能写常见的应用文；能就一般性话题或提纲以短文的形式展开简短的讨论、解释、说明等，语言结构基本完整，中心思想明确，用词较为恰当，语意连贯。能运用基本的写作技巧。</w:t>
            </w:r>
          </w:p>
        </w:tc>
        <w:tc>
          <w:tcPr>
            <w:tcW w:w="1388" w:type="dxa"/>
            <w:noWrap w:val="0"/>
            <w:vAlign w:val="center"/>
          </w:tcPr>
          <w:p w14:paraId="6E13117C">
            <w:pPr>
              <w:jc w:val="left"/>
              <w:rPr>
                <w:rFonts w:hint="eastAsia" w:ascii="宋体" w:hAnsi="宋体"/>
                <w:bCs/>
                <w:color w:val="000000"/>
                <w:szCs w:val="21"/>
              </w:rPr>
            </w:pPr>
            <w:r>
              <w:rPr>
                <w:rFonts w:hint="eastAsia" w:ascii="宋体" w:hAnsi="宋体"/>
                <w:bCs/>
                <w:color w:val="000000"/>
                <w:szCs w:val="21"/>
              </w:rPr>
              <w:t>1.英语基本句型</w:t>
            </w:r>
          </w:p>
          <w:p w14:paraId="6EEB4754">
            <w:pPr>
              <w:jc w:val="left"/>
              <w:rPr>
                <w:rFonts w:hint="eastAsia" w:ascii="宋体" w:hAnsi="宋体"/>
                <w:bCs/>
                <w:color w:val="000000"/>
                <w:szCs w:val="21"/>
              </w:rPr>
            </w:pPr>
            <w:r>
              <w:rPr>
                <w:rFonts w:hint="eastAsia" w:ascii="宋体" w:hAnsi="宋体"/>
                <w:bCs/>
                <w:color w:val="000000"/>
                <w:szCs w:val="21"/>
              </w:rPr>
              <w:t>2.词汇表达</w:t>
            </w:r>
          </w:p>
        </w:tc>
      </w:tr>
      <w:tr w14:paraId="0993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45A732EE">
            <w:pPr>
              <w:ind w:firstLine="210" w:firstLineChars="100"/>
              <w:outlineLvl w:val="0"/>
              <w:rPr>
                <w:rFonts w:hint="eastAsia" w:ascii="宋体" w:hAnsi="宋体"/>
                <w:color w:val="000000"/>
                <w:szCs w:val="21"/>
              </w:rPr>
            </w:pPr>
            <w:bookmarkStart w:id="5" w:name="_Toc89367102"/>
            <w:r>
              <w:rPr>
                <w:rFonts w:hint="eastAsia" w:ascii="宋体" w:hAnsi="宋体"/>
                <w:color w:val="000000"/>
                <w:szCs w:val="21"/>
              </w:rPr>
              <w:t>翻译</w:t>
            </w:r>
            <w:bookmarkEnd w:id="5"/>
          </w:p>
        </w:tc>
        <w:tc>
          <w:tcPr>
            <w:tcW w:w="1701" w:type="dxa"/>
            <w:noWrap w:val="0"/>
            <w:vAlign w:val="center"/>
          </w:tcPr>
          <w:p w14:paraId="672DD40E">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688B62EC">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3B678975">
            <w:pPr>
              <w:widowControl/>
              <w:jc w:val="left"/>
              <w:rPr>
                <w:rFonts w:ascii="宋体" w:hAnsi="宋体"/>
                <w:color w:val="000000"/>
                <w:kern w:val="0"/>
                <w:szCs w:val="21"/>
              </w:rPr>
            </w:pPr>
            <w:r>
              <w:rPr>
                <w:rFonts w:hint="eastAsia" w:ascii="宋体" w:hAnsi="宋体"/>
                <w:color w:val="000000"/>
                <w:kern w:val="0"/>
                <w:szCs w:val="21"/>
              </w:rPr>
              <w:t>3.讲好中国故事</w:t>
            </w:r>
          </w:p>
          <w:p w14:paraId="63E4FF0E">
            <w:pPr>
              <w:widowControl/>
              <w:rPr>
                <w:rFonts w:hint="eastAsia" w:ascii="宋体" w:hAnsi="宋体"/>
                <w:color w:val="000000"/>
                <w:kern w:val="0"/>
                <w:szCs w:val="21"/>
              </w:rPr>
            </w:pPr>
            <w:r>
              <w:rPr>
                <w:rFonts w:hint="eastAsia" w:ascii="宋体" w:hAnsi="宋体"/>
                <w:color w:val="000000"/>
                <w:kern w:val="0"/>
                <w:szCs w:val="21"/>
              </w:rPr>
              <w:t>4.提升职业素养</w:t>
            </w:r>
          </w:p>
        </w:tc>
        <w:tc>
          <w:tcPr>
            <w:tcW w:w="4111" w:type="dxa"/>
            <w:noWrap w:val="0"/>
            <w:vAlign w:val="center"/>
          </w:tcPr>
          <w:p w14:paraId="65EE36C6">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能借助词典对题材熟悉、结构清晰、语言难度较低的文章进行英汉互译，译文基本准确，无重大的理解和语言表达错误。能有限地运用翻译技巧。</w:t>
            </w:r>
          </w:p>
        </w:tc>
        <w:tc>
          <w:tcPr>
            <w:tcW w:w="1388" w:type="dxa"/>
            <w:noWrap w:val="0"/>
            <w:vAlign w:val="center"/>
          </w:tcPr>
          <w:p w14:paraId="5916CFAC">
            <w:pPr>
              <w:jc w:val="left"/>
              <w:rPr>
                <w:rFonts w:ascii="宋体" w:hAnsi="宋体"/>
                <w:bCs/>
                <w:color w:val="000000"/>
                <w:szCs w:val="21"/>
              </w:rPr>
            </w:pPr>
            <w:r>
              <w:rPr>
                <w:rFonts w:hint="eastAsia" w:ascii="宋体" w:hAnsi="宋体"/>
                <w:bCs/>
                <w:color w:val="000000"/>
                <w:szCs w:val="21"/>
              </w:rPr>
              <w:t>1.中西语言差异</w:t>
            </w:r>
          </w:p>
          <w:p w14:paraId="4F3E451A">
            <w:pPr>
              <w:jc w:val="left"/>
              <w:rPr>
                <w:rFonts w:hint="eastAsia" w:ascii="宋体" w:hAnsi="宋体"/>
                <w:bCs/>
                <w:color w:val="000000"/>
                <w:szCs w:val="21"/>
              </w:rPr>
            </w:pPr>
            <w:r>
              <w:rPr>
                <w:rFonts w:hint="eastAsia" w:ascii="宋体" w:hAnsi="宋体"/>
                <w:bCs/>
                <w:color w:val="000000"/>
                <w:szCs w:val="21"/>
              </w:rPr>
              <w:t>2.翻译策略</w:t>
            </w:r>
          </w:p>
        </w:tc>
      </w:tr>
      <w:tr w14:paraId="0817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09A12CD4">
            <w:pPr>
              <w:rPr>
                <w:rFonts w:hint="eastAsia" w:ascii="宋体" w:hAnsi="宋体"/>
                <w:color w:val="000000"/>
                <w:kern w:val="0"/>
                <w:szCs w:val="21"/>
              </w:rPr>
            </w:pPr>
            <w:r>
              <w:rPr>
                <w:rFonts w:hint="eastAsia" w:ascii="宋体" w:hAnsi="宋体"/>
                <w:color w:val="000000"/>
                <w:kern w:val="0"/>
                <w:szCs w:val="21"/>
              </w:rPr>
              <w:t>网络平台自主学习</w:t>
            </w:r>
          </w:p>
        </w:tc>
        <w:tc>
          <w:tcPr>
            <w:tcW w:w="1701" w:type="dxa"/>
            <w:noWrap w:val="0"/>
            <w:vAlign w:val="center"/>
          </w:tcPr>
          <w:p w14:paraId="3DF7F1DD">
            <w:pPr>
              <w:rPr>
                <w:rFonts w:ascii="宋体" w:hAnsi="宋体"/>
                <w:color w:val="000000"/>
                <w:kern w:val="0"/>
                <w:szCs w:val="21"/>
              </w:rPr>
            </w:pPr>
          </w:p>
        </w:tc>
        <w:tc>
          <w:tcPr>
            <w:tcW w:w="4111" w:type="dxa"/>
            <w:noWrap w:val="0"/>
            <w:vAlign w:val="center"/>
          </w:tcPr>
          <w:p w14:paraId="7E49E899">
            <w:pPr>
              <w:rPr>
                <w:rFonts w:ascii="宋体" w:hAnsi="宋体"/>
                <w:color w:val="000000"/>
                <w:szCs w:val="21"/>
              </w:rPr>
            </w:pPr>
            <w:r>
              <w:rPr>
                <w:rFonts w:hint="eastAsia" w:ascii="宋体" w:hAnsi="宋体"/>
                <w:color w:val="000000"/>
                <w:szCs w:val="21"/>
              </w:rPr>
              <w:t>掌握有效的学习方法和学习策略。具有终身学习意识。</w:t>
            </w:r>
          </w:p>
        </w:tc>
        <w:tc>
          <w:tcPr>
            <w:tcW w:w="1388" w:type="dxa"/>
            <w:noWrap w:val="0"/>
            <w:vAlign w:val="center"/>
          </w:tcPr>
          <w:p w14:paraId="22B5EC84">
            <w:pPr>
              <w:jc w:val="left"/>
              <w:rPr>
                <w:rFonts w:ascii="宋体" w:hAnsi="宋体"/>
                <w:color w:val="000000"/>
                <w:szCs w:val="21"/>
              </w:rPr>
            </w:pPr>
            <w:r>
              <w:rPr>
                <w:rFonts w:hint="eastAsia" w:ascii="宋体" w:hAnsi="宋体"/>
                <w:color w:val="000000"/>
                <w:szCs w:val="21"/>
              </w:rPr>
              <w:t>发现问题</w:t>
            </w:r>
          </w:p>
          <w:p w14:paraId="6E050CA9">
            <w:pPr>
              <w:jc w:val="left"/>
              <w:rPr>
                <w:rFonts w:hint="eastAsia" w:ascii="宋体" w:hAnsi="宋体"/>
                <w:color w:val="000000"/>
                <w:szCs w:val="21"/>
              </w:rPr>
            </w:pPr>
            <w:r>
              <w:rPr>
                <w:rFonts w:hint="eastAsia" w:ascii="宋体" w:hAnsi="宋体"/>
                <w:color w:val="000000"/>
                <w:szCs w:val="21"/>
              </w:rPr>
              <w:t>分析问题</w:t>
            </w:r>
          </w:p>
        </w:tc>
      </w:tr>
    </w:tbl>
    <w:p w14:paraId="4E6EBB16">
      <w:pPr>
        <w:pStyle w:val="4"/>
        <w:bidi w:val="0"/>
        <w:rPr>
          <w:rFonts w:hint="eastAsia"/>
        </w:rPr>
      </w:pPr>
      <w:r>
        <w:rPr>
          <w:rFonts w:hint="eastAsia"/>
        </w:rPr>
        <w:t>四、教学内容与课程目标对应关系</w:t>
      </w:r>
    </w:p>
    <w:p w14:paraId="154251E3">
      <w:pPr>
        <w:spacing w:line="160" w:lineRule="exact"/>
        <w:rPr>
          <w:b/>
          <w:color w:val="000000"/>
          <w:sz w:val="15"/>
          <w:szCs w:val="15"/>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62"/>
        <w:gridCol w:w="2126"/>
        <w:gridCol w:w="1985"/>
        <w:gridCol w:w="992"/>
        <w:gridCol w:w="759"/>
      </w:tblGrid>
      <w:tr w14:paraId="5F69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op w:val="single" w:color="auto" w:sz="8" w:space="0"/>
              <w:left w:val="single" w:color="auto" w:sz="8" w:space="0"/>
            </w:tcBorders>
            <w:noWrap w:val="0"/>
            <w:vAlign w:val="center"/>
          </w:tcPr>
          <w:p w14:paraId="2D82E9B0">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962" w:type="dxa"/>
            <w:tcBorders>
              <w:top w:val="single" w:color="auto" w:sz="8" w:space="0"/>
            </w:tcBorders>
            <w:noWrap w:val="0"/>
            <w:vAlign w:val="center"/>
          </w:tcPr>
          <w:p w14:paraId="5B494A19">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教学内容</w:t>
            </w:r>
          </w:p>
        </w:tc>
        <w:tc>
          <w:tcPr>
            <w:tcW w:w="2126" w:type="dxa"/>
            <w:tcBorders>
              <w:top w:val="single" w:color="auto" w:sz="8" w:space="0"/>
            </w:tcBorders>
            <w:noWrap w:val="0"/>
            <w:vAlign w:val="center"/>
          </w:tcPr>
          <w:p w14:paraId="03EDDD3D">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支撑的课程目标</w:t>
            </w:r>
          </w:p>
        </w:tc>
        <w:tc>
          <w:tcPr>
            <w:tcW w:w="1985" w:type="dxa"/>
            <w:tcBorders>
              <w:top w:val="single" w:color="auto" w:sz="8" w:space="0"/>
            </w:tcBorders>
            <w:noWrap w:val="0"/>
            <w:vAlign w:val="center"/>
          </w:tcPr>
          <w:p w14:paraId="0F1871DD">
            <w:pPr>
              <w:jc w:val="center"/>
              <w:rPr>
                <w:rFonts w:ascii="宋体" w:hAnsi="宋体" w:cs="宋体"/>
                <w:b/>
                <w:bCs/>
                <w:color w:val="000000"/>
                <w:kern w:val="0"/>
                <w:szCs w:val="21"/>
              </w:rPr>
            </w:pPr>
            <w:r>
              <w:rPr>
                <w:rFonts w:ascii="宋体" w:hAnsi="宋体" w:cs="宋体"/>
                <w:b/>
                <w:bCs/>
                <w:color w:val="000000"/>
                <w:kern w:val="0"/>
                <w:szCs w:val="21"/>
              </w:rPr>
              <w:t>支撑</w:t>
            </w:r>
            <w:r>
              <w:rPr>
                <w:rFonts w:hint="eastAsia" w:ascii="宋体" w:hAnsi="宋体" w:cs="宋体"/>
                <w:b/>
                <w:bCs/>
                <w:color w:val="000000"/>
                <w:kern w:val="0"/>
                <w:szCs w:val="21"/>
              </w:rPr>
              <w:t>的</w:t>
            </w:r>
            <w:r>
              <w:rPr>
                <w:rFonts w:ascii="宋体" w:hAnsi="宋体" w:cs="宋体"/>
                <w:b/>
                <w:bCs/>
                <w:color w:val="000000"/>
                <w:kern w:val="0"/>
                <w:szCs w:val="21"/>
              </w:rPr>
              <w:t>毕业要求</w:t>
            </w:r>
          </w:p>
          <w:p w14:paraId="350F78C3">
            <w:pPr>
              <w:spacing w:line="276" w:lineRule="auto"/>
              <w:jc w:val="center"/>
              <w:rPr>
                <w:rFonts w:ascii="宋体" w:hAnsi="宋体" w:cs="宋体"/>
                <w:b/>
                <w:bCs/>
                <w:color w:val="000000"/>
                <w:kern w:val="0"/>
                <w:szCs w:val="21"/>
              </w:rPr>
            </w:pPr>
            <w:r>
              <w:rPr>
                <w:rFonts w:ascii="宋体" w:hAnsi="宋体" w:cs="宋体"/>
                <w:b/>
                <w:bCs/>
                <w:color w:val="000000"/>
                <w:kern w:val="0"/>
                <w:szCs w:val="21"/>
              </w:rPr>
              <w:t>指标点</w:t>
            </w:r>
          </w:p>
        </w:tc>
        <w:tc>
          <w:tcPr>
            <w:tcW w:w="992" w:type="dxa"/>
            <w:tcBorders>
              <w:top w:val="single" w:color="auto" w:sz="8" w:space="0"/>
              <w:right w:val="single" w:color="auto" w:sz="8" w:space="0"/>
            </w:tcBorders>
            <w:noWrap w:val="0"/>
            <w:vAlign w:val="center"/>
          </w:tcPr>
          <w:p w14:paraId="07E221B7">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讲授</w:t>
            </w:r>
          </w:p>
          <w:p w14:paraId="48B19403">
            <w:pPr>
              <w:spacing w:line="276" w:lineRule="auto"/>
              <w:jc w:val="center"/>
              <w:rPr>
                <w:rFonts w:ascii="宋体" w:hAnsi="宋体" w:cs="宋体"/>
                <w:b/>
                <w:bCs/>
                <w:color w:val="000000"/>
                <w:kern w:val="0"/>
                <w:szCs w:val="21"/>
              </w:rPr>
            </w:pPr>
            <w:r>
              <w:rPr>
                <w:rFonts w:ascii="宋体" w:hAnsi="宋体" w:cs="宋体"/>
                <w:b/>
                <w:bCs/>
                <w:color w:val="000000"/>
                <w:kern w:val="0"/>
                <w:szCs w:val="21"/>
              </w:rPr>
              <w:t>学时</w:t>
            </w:r>
          </w:p>
        </w:tc>
        <w:tc>
          <w:tcPr>
            <w:tcW w:w="759" w:type="dxa"/>
            <w:tcBorders>
              <w:top w:val="single" w:color="auto" w:sz="8" w:space="0"/>
              <w:right w:val="single" w:color="auto" w:sz="8" w:space="0"/>
            </w:tcBorders>
            <w:noWrap w:val="0"/>
            <w:vAlign w:val="center"/>
          </w:tcPr>
          <w:p w14:paraId="6ABAA98B">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实验</w:t>
            </w:r>
          </w:p>
          <w:p w14:paraId="66FEECCF">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学时</w:t>
            </w:r>
          </w:p>
        </w:tc>
      </w:tr>
      <w:tr w14:paraId="201B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59378894">
            <w:pPr>
              <w:spacing w:line="276" w:lineRule="auto"/>
              <w:jc w:val="center"/>
              <w:rPr>
                <w:color w:val="000000"/>
                <w:szCs w:val="21"/>
              </w:rPr>
            </w:pPr>
            <w:r>
              <w:rPr>
                <w:rFonts w:hint="eastAsia"/>
                <w:color w:val="000000"/>
                <w:szCs w:val="21"/>
              </w:rPr>
              <w:t>1</w:t>
            </w:r>
          </w:p>
        </w:tc>
        <w:tc>
          <w:tcPr>
            <w:tcW w:w="1962" w:type="dxa"/>
            <w:noWrap w:val="0"/>
            <w:vAlign w:val="top"/>
          </w:tcPr>
          <w:p w14:paraId="5643CB6D">
            <w:pPr>
              <w:rPr>
                <w:color w:val="000000"/>
                <w:szCs w:val="21"/>
              </w:rPr>
            </w:pPr>
            <w:r>
              <w:rPr>
                <w:rFonts w:hint="eastAsia"/>
                <w:color w:val="000000"/>
                <w:szCs w:val="21"/>
              </w:rPr>
              <w:t>听力理解</w:t>
            </w:r>
          </w:p>
        </w:tc>
        <w:tc>
          <w:tcPr>
            <w:tcW w:w="2126" w:type="dxa"/>
            <w:noWrap w:val="0"/>
            <w:vAlign w:val="top"/>
          </w:tcPr>
          <w:p w14:paraId="36CE6D1B">
            <w:pPr>
              <w:jc w:val="left"/>
              <w:rPr>
                <w:color w:val="000000"/>
                <w:szCs w:val="21"/>
              </w:rPr>
            </w:pPr>
            <w:r>
              <w:rPr>
                <w:rFonts w:hint="eastAsia"/>
                <w:color w:val="000000"/>
                <w:szCs w:val="21"/>
              </w:rPr>
              <w:t>课程目标1、2</w:t>
            </w:r>
          </w:p>
        </w:tc>
        <w:tc>
          <w:tcPr>
            <w:tcW w:w="1985" w:type="dxa"/>
            <w:noWrap w:val="0"/>
            <w:vAlign w:val="center"/>
          </w:tcPr>
          <w:p w14:paraId="26487894">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3C2BEA25">
            <w:pPr>
              <w:jc w:val="center"/>
              <w:rPr>
                <w:rFonts w:hint="eastAsia"/>
                <w:color w:val="000000"/>
                <w:szCs w:val="21"/>
              </w:rPr>
            </w:pPr>
            <w:r>
              <w:rPr>
                <w:rFonts w:hint="eastAsia"/>
                <w:color w:val="000000"/>
                <w:szCs w:val="21"/>
              </w:rPr>
              <w:t>6</w:t>
            </w:r>
          </w:p>
        </w:tc>
        <w:tc>
          <w:tcPr>
            <w:tcW w:w="759" w:type="dxa"/>
            <w:tcBorders>
              <w:right w:val="single" w:color="auto" w:sz="8" w:space="0"/>
            </w:tcBorders>
            <w:noWrap w:val="0"/>
            <w:vAlign w:val="top"/>
          </w:tcPr>
          <w:p w14:paraId="2482936D">
            <w:pPr>
              <w:jc w:val="center"/>
              <w:rPr>
                <w:color w:val="000000"/>
                <w:szCs w:val="21"/>
              </w:rPr>
            </w:pPr>
          </w:p>
        </w:tc>
      </w:tr>
      <w:tr w14:paraId="3592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1C448CE0">
            <w:pPr>
              <w:spacing w:line="276" w:lineRule="auto"/>
              <w:jc w:val="center"/>
              <w:rPr>
                <w:color w:val="000000"/>
                <w:szCs w:val="21"/>
              </w:rPr>
            </w:pPr>
            <w:r>
              <w:rPr>
                <w:rFonts w:hint="eastAsia"/>
                <w:color w:val="000000"/>
                <w:szCs w:val="21"/>
              </w:rPr>
              <w:t>2</w:t>
            </w:r>
          </w:p>
        </w:tc>
        <w:tc>
          <w:tcPr>
            <w:tcW w:w="1962" w:type="dxa"/>
            <w:noWrap w:val="0"/>
            <w:vAlign w:val="top"/>
          </w:tcPr>
          <w:p w14:paraId="02072F0E">
            <w:pPr>
              <w:rPr>
                <w:color w:val="000000"/>
                <w:szCs w:val="21"/>
              </w:rPr>
            </w:pPr>
            <w:r>
              <w:rPr>
                <w:rFonts w:hint="eastAsia"/>
                <w:color w:val="000000"/>
                <w:szCs w:val="21"/>
              </w:rPr>
              <w:t>口语表达</w:t>
            </w:r>
          </w:p>
        </w:tc>
        <w:tc>
          <w:tcPr>
            <w:tcW w:w="2126" w:type="dxa"/>
            <w:noWrap w:val="0"/>
            <w:vAlign w:val="top"/>
          </w:tcPr>
          <w:p w14:paraId="3E131E0A">
            <w:pPr>
              <w:jc w:val="left"/>
              <w:rPr>
                <w:color w:val="000000"/>
                <w:szCs w:val="21"/>
              </w:rPr>
            </w:pPr>
            <w:r>
              <w:rPr>
                <w:rFonts w:hint="eastAsia"/>
                <w:color w:val="000000"/>
                <w:szCs w:val="21"/>
              </w:rPr>
              <w:t>课程目标1、2、3</w:t>
            </w:r>
          </w:p>
        </w:tc>
        <w:tc>
          <w:tcPr>
            <w:tcW w:w="1985" w:type="dxa"/>
            <w:noWrap w:val="0"/>
            <w:vAlign w:val="top"/>
          </w:tcPr>
          <w:p w14:paraId="21FBAD6A">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61BB3D1E">
            <w:pPr>
              <w:jc w:val="center"/>
              <w:rPr>
                <w:rFonts w:hint="eastAsia"/>
                <w:color w:val="000000"/>
                <w:szCs w:val="21"/>
              </w:rPr>
            </w:pPr>
            <w:r>
              <w:rPr>
                <w:rFonts w:hint="eastAsia"/>
                <w:color w:val="000000"/>
                <w:szCs w:val="21"/>
              </w:rPr>
              <w:t>7</w:t>
            </w:r>
          </w:p>
        </w:tc>
        <w:tc>
          <w:tcPr>
            <w:tcW w:w="759" w:type="dxa"/>
            <w:tcBorders>
              <w:right w:val="single" w:color="auto" w:sz="8" w:space="0"/>
            </w:tcBorders>
            <w:noWrap w:val="0"/>
            <w:vAlign w:val="top"/>
          </w:tcPr>
          <w:p w14:paraId="031D54D5">
            <w:pPr>
              <w:jc w:val="center"/>
              <w:rPr>
                <w:color w:val="000000"/>
                <w:szCs w:val="21"/>
              </w:rPr>
            </w:pPr>
          </w:p>
        </w:tc>
      </w:tr>
      <w:tr w14:paraId="2999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1DCCE911">
            <w:pPr>
              <w:spacing w:line="276" w:lineRule="auto"/>
              <w:jc w:val="center"/>
              <w:rPr>
                <w:color w:val="000000"/>
                <w:szCs w:val="21"/>
              </w:rPr>
            </w:pPr>
            <w:r>
              <w:rPr>
                <w:rFonts w:hint="eastAsia"/>
                <w:color w:val="000000"/>
                <w:szCs w:val="21"/>
              </w:rPr>
              <w:t>3</w:t>
            </w:r>
          </w:p>
        </w:tc>
        <w:tc>
          <w:tcPr>
            <w:tcW w:w="1962" w:type="dxa"/>
            <w:noWrap w:val="0"/>
            <w:vAlign w:val="top"/>
          </w:tcPr>
          <w:p w14:paraId="7D9A55B7">
            <w:pPr>
              <w:tabs>
                <w:tab w:val="left" w:pos="2940"/>
              </w:tabs>
              <w:rPr>
                <w:color w:val="000000"/>
                <w:szCs w:val="21"/>
              </w:rPr>
            </w:pPr>
            <w:r>
              <w:rPr>
                <w:rFonts w:hint="eastAsia"/>
                <w:color w:val="000000"/>
                <w:szCs w:val="21"/>
              </w:rPr>
              <w:t>阅读理解</w:t>
            </w:r>
          </w:p>
        </w:tc>
        <w:tc>
          <w:tcPr>
            <w:tcW w:w="2126" w:type="dxa"/>
            <w:noWrap w:val="0"/>
            <w:vAlign w:val="top"/>
          </w:tcPr>
          <w:p w14:paraId="461940AC">
            <w:pPr>
              <w:jc w:val="left"/>
              <w:rPr>
                <w:color w:val="000000"/>
                <w:szCs w:val="21"/>
              </w:rPr>
            </w:pPr>
            <w:r>
              <w:rPr>
                <w:rFonts w:hint="eastAsia"/>
                <w:color w:val="000000"/>
                <w:szCs w:val="21"/>
              </w:rPr>
              <w:t>课程目标1、2、3</w:t>
            </w:r>
          </w:p>
        </w:tc>
        <w:tc>
          <w:tcPr>
            <w:tcW w:w="1985" w:type="dxa"/>
            <w:noWrap w:val="0"/>
            <w:vAlign w:val="top"/>
          </w:tcPr>
          <w:p w14:paraId="14D02FB5">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4393AE93">
            <w:pPr>
              <w:jc w:val="center"/>
              <w:rPr>
                <w:rFonts w:hint="eastAsia"/>
                <w:color w:val="000000"/>
                <w:szCs w:val="21"/>
              </w:rPr>
            </w:pPr>
            <w:r>
              <w:rPr>
                <w:color w:val="000000"/>
                <w:szCs w:val="21"/>
              </w:rPr>
              <w:t>1</w:t>
            </w:r>
            <w:r>
              <w:rPr>
                <w:rFonts w:hint="eastAsia"/>
                <w:color w:val="000000"/>
                <w:szCs w:val="21"/>
              </w:rPr>
              <w:t>5</w:t>
            </w:r>
          </w:p>
        </w:tc>
        <w:tc>
          <w:tcPr>
            <w:tcW w:w="759" w:type="dxa"/>
            <w:tcBorders>
              <w:right w:val="single" w:color="auto" w:sz="8" w:space="0"/>
            </w:tcBorders>
            <w:noWrap w:val="0"/>
            <w:vAlign w:val="top"/>
          </w:tcPr>
          <w:p w14:paraId="36F5EF02">
            <w:pPr>
              <w:jc w:val="center"/>
              <w:rPr>
                <w:color w:val="000000"/>
                <w:szCs w:val="21"/>
              </w:rPr>
            </w:pPr>
          </w:p>
        </w:tc>
      </w:tr>
      <w:tr w14:paraId="2E4F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4C59FE09">
            <w:pPr>
              <w:spacing w:line="276" w:lineRule="auto"/>
              <w:jc w:val="center"/>
              <w:rPr>
                <w:color w:val="000000"/>
                <w:szCs w:val="21"/>
              </w:rPr>
            </w:pPr>
            <w:r>
              <w:rPr>
                <w:rFonts w:hint="eastAsia"/>
                <w:color w:val="000000"/>
                <w:szCs w:val="21"/>
              </w:rPr>
              <w:t>4</w:t>
            </w:r>
          </w:p>
        </w:tc>
        <w:tc>
          <w:tcPr>
            <w:tcW w:w="1962" w:type="dxa"/>
            <w:noWrap w:val="0"/>
            <w:vAlign w:val="top"/>
          </w:tcPr>
          <w:p w14:paraId="7DF79677">
            <w:pPr>
              <w:rPr>
                <w:color w:val="000000"/>
                <w:szCs w:val="21"/>
              </w:rPr>
            </w:pPr>
            <w:r>
              <w:rPr>
                <w:rFonts w:hint="eastAsia"/>
                <w:color w:val="000000"/>
                <w:szCs w:val="21"/>
              </w:rPr>
              <w:t>书面表达</w:t>
            </w:r>
          </w:p>
        </w:tc>
        <w:tc>
          <w:tcPr>
            <w:tcW w:w="2126" w:type="dxa"/>
            <w:noWrap w:val="0"/>
            <w:vAlign w:val="top"/>
          </w:tcPr>
          <w:p w14:paraId="100B7251">
            <w:pPr>
              <w:jc w:val="left"/>
              <w:rPr>
                <w:color w:val="000000"/>
                <w:szCs w:val="21"/>
              </w:rPr>
            </w:pPr>
            <w:r>
              <w:rPr>
                <w:rFonts w:hint="eastAsia"/>
                <w:color w:val="000000"/>
                <w:szCs w:val="21"/>
              </w:rPr>
              <w:t>课程目标1、2、3</w:t>
            </w:r>
          </w:p>
        </w:tc>
        <w:tc>
          <w:tcPr>
            <w:tcW w:w="1985" w:type="dxa"/>
            <w:noWrap w:val="0"/>
            <w:vAlign w:val="top"/>
          </w:tcPr>
          <w:p w14:paraId="2E0F5B31">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5E9FB7EF">
            <w:pPr>
              <w:jc w:val="center"/>
              <w:rPr>
                <w:color w:val="000000"/>
                <w:szCs w:val="21"/>
              </w:rPr>
            </w:pPr>
            <w:r>
              <w:rPr>
                <w:rFonts w:hint="eastAsia"/>
                <w:color w:val="000000"/>
                <w:szCs w:val="21"/>
              </w:rPr>
              <w:t>6</w:t>
            </w:r>
          </w:p>
        </w:tc>
        <w:tc>
          <w:tcPr>
            <w:tcW w:w="759" w:type="dxa"/>
            <w:tcBorders>
              <w:right w:val="single" w:color="auto" w:sz="8" w:space="0"/>
            </w:tcBorders>
            <w:noWrap w:val="0"/>
            <w:vAlign w:val="top"/>
          </w:tcPr>
          <w:p w14:paraId="4CB9E689">
            <w:pPr>
              <w:jc w:val="center"/>
              <w:rPr>
                <w:color w:val="000000"/>
                <w:szCs w:val="21"/>
              </w:rPr>
            </w:pPr>
          </w:p>
        </w:tc>
      </w:tr>
      <w:tr w14:paraId="2B2A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284D5BBD">
            <w:pPr>
              <w:spacing w:line="276" w:lineRule="auto"/>
              <w:jc w:val="center"/>
              <w:rPr>
                <w:color w:val="000000"/>
                <w:szCs w:val="21"/>
              </w:rPr>
            </w:pPr>
            <w:r>
              <w:rPr>
                <w:rFonts w:hint="eastAsia"/>
                <w:color w:val="000000"/>
                <w:szCs w:val="21"/>
              </w:rPr>
              <w:t>5</w:t>
            </w:r>
          </w:p>
        </w:tc>
        <w:tc>
          <w:tcPr>
            <w:tcW w:w="1962" w:type="dxa"/>
            <w:noWrap w:val="0"/>
            <w:vAlign w:val="top"/>
          </w:tcPr>
          <w:p w14:paraId="2CEB8986">
            <w:pPr>
              <w:rPr>
                <w:color w:val="000000"/>
                <w:szCs w:val="21"/>
              </w:rPr>
            </w:pPr>
            <w:r>
              <w:rPr>
                <w:rFonts w:hint="eastAsia"/>
                <w:color w:val="000000"/>
                <w:szCs w:val="21"/>
              </w:rPr>
              <w:t>翻译</w:t>
            </w:r>
          </w:p>
        </w:tc>
        <w:tc>
          <w:tcPr>
            <w:tcW w:w="2126" w:type="dxa"/>
            <w:noWrap w:val="0"/>
            <w:vAlign w:val="top"/>
          </w:tcPr>
          <w:p w14:paraId="0D69591D">
            <w:pPr>
              <w:jc w:val="left"/>
              <w:rPr>
                <w:color w:val="000000"/>
                <w:szCs w:val="21"/>
              </w:rPr>
            </w:pPr>
            <w:r>
              <w:rPr>
                <w:rFonts w:hint="eastAsia"/>
                <w:color w:val="000000"/>
                <w:szCs w:val="21"/>
              </w:rPr>
              <w:t>课程目标1、2、3</w:t>
            </w:r>
          </w:p>
        </w:tc>
        <w:tc>
          <w:tcPr>
            <w:tcW w:w="1985" w:type="dxa"/>
            <w:noWrap w:val="0"/>
            <w:vAlign w:val="top"/>
          </w:tcPr>
          <w:p w14:paraId="6BD58994">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00A5D77E">
            <w:pPr>
              <w:jc w:val="center"/>
              <w:rPr>
                <w:rFonts w:hint="eastAsia"/>
                <w:color w:val="000000"/>
                <w:szCs w:val="21"/>
              </w:rPr>
            </w:pPr>
            <w:r>
              <w:rPr>
                <w:rFonts w:hint="eastAsia"/>
                <w:color w:val="000000"/>
                <w:szCs w:val="21"/>
              </w:rPr>
              <w:t>6</w:t>
            </w:r>
          </w:p>
        </w:tc>
        <w:tc>
          <w:tcPr>
            <w:tcW w:w="759" w:type="dxa"/>
            <w:tcBorders>
              <w:right w:val="single" w:color="auto" w:sz="8" w:space="0"/>
            </w:tcBorders>
            <w:noWrap w:val="0"/>
            <w:vAlign w:val="top"/>
          </w:tcPr>
          <w:p w14:paraId="3233E99A">
            <w:pPr>
              <w:jc w:val="center"/>
              <w:rPr>
                <w:color w:val="000000"/>
                <w:szCs w:val="21"/>
              </w:rPr>
            </w:pPr>
          </w:p>
        </w:tc>
      </w:tr>
      <w:tr w14:paraId="5CD4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7E60D11B">
            <w:pPr>
              <w:jc w:val="center"/>
              <w:rPr>
                <w:color w:val="000000"/>
                <w:szCs w:val="21"/>
              </w:rPr>
            </w:pPr>
            <w:r>
              <w:rPr>
                <w:rFonts w:hint="eastAsia"/>
                <w:color w:val="000000"/>
                <w:szCs w:val="21"/>
              </w:rPr>
              <w:t>6</w:t>
            </w:r>
          </w:p>
        </w:tc>
        <w:tc>
          <w:tcPr>
            <w:tcW w:w="1962" w:type="dxa"/>
            <w:noWrap w:val="0"/>
            <w:vAlign w:val="top"/>
          </w:tcPr>
          <w:p w14:paraId="6BB3615F">
            <w:pPr>
              <w:jc w:val="left"/>
              <w:rPr>
                <w:rFonts w:hint="eastAsia"/>
                <w:color w:val="000000"/>
                <w:szCs w:val="21"/>
              </w:rPr>
            </w:pPr>
            <w:r>
              <w:rPr>
                <w:rFonts w:hint="eastAsia"/>
                <w:color w:val="000000"/>
                <w:szCs w:val="21"/>
              </w:rPr>
              <w:t>网络平台自主学习</w:t>
            </w:r>
          </w:p>
        </w:tc>
        <w:tc>
          <w:tcPr>
            <w:tcW w:w="2126" w:type="dxa"/>
            <w:noWrap w:val="0"/>
            <w:vAlign w:val="top"/>
          </w:tcPr>
          <w:p w14:paraId="5CED55BB">
            <w:pPr>
              <w:jc w:val="left"/>
              <w:rPr>
                <w:color w:val="000000"/>
                <w:szCs w:val="21"/>
              </w:rPr>
            </w:pPr>
            <w:r>
              <w:rPr>
                <w:rFonts w:hint="eastAsia"/>
                <w:color w:val="000000"/>
                <w:szCs w:val="21"/>
              </w:rPr>
              <w:t>课程目标2、3</w:t>
            </w:r>
          </w:p>
        </w:tc>
        <w:tc>
          <w:tcPr>
            <w:tcW w:w="1985" w:type="dxa"/>
            <w:noWrap w:val="0"/>
            <w:vAlign w:val="top"/>
          </w:tcPr>
          <w:p w14:paraId="627E9053">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3198DE58">
            <w:pPr>
              <w:jc w:val="center"/>
              <w:rPr>
                <w:color w:val="000000"/>
                <w:szCs w:val="21"/>
              </w:rPr>
            </w:pPr>
            <w:r>
              <w:rPr>
                <w:rFonts w:hint="eastAsia"/>
                <w:color w:val="000000"/>
                <w:szCs w:val="21"/>
              </w:rPr>
              <w:t>5</w:t>
            </w:r>
          </w:p>
        </w:tc>
        <w:tc>
          <w:tcPr>
            <w:tcW w:w="759" w:type="dxa"/>
            <w:tcBorders>
              <w:right w:val="single" w:color="auto" w:sz="8" w:space="0"/>
            </w:tcBorders>
            <w:noWrap w:val="0"/>
            <w:vAlign w:val="top"/>
          </w:tcPr>
          <w:p w14:paraId="40518AD2">
            <w:pPr>
              <w:jc w:val="center"/>
              <w:rPr>
                <w:color w:val="000000"/>
                <w:szCs w:val="21"/>
              </w:rPr>
            </w:pPr>
          </w:p>
        </w:tc>
      </w:tr>
      <w:tr w14:paraId="56FE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0" w:type="dxa"/>
            <w:gridSpan w:val="2"/>
            <w:tcBorders>
              <w:left w:val="single" w:color="auto" w:sz="8" w:space="0"/>
              <w:bottom w:val="single" w:color="auto" w:sz="8" w:space="0"/>
            </w:tcBorders>
            <w:noWrap w:val="0"/>
            <w:vAlign w:val="center"/>
          </w:tcPr>
          <w:p w14:paraId="7823ADA8">
            <w:pPr>
              <w:spacing w:line="276" w:lineRule="auto"/>
              <w:jc w:val="center"/>
              <w:rPr>
                <w:color w:val="000000"/>
                <w:szCs w:val="21"/>
              </w:rPr>
            </w:pPr>
            <w:r>
              <w:rPr>
                <w:rFonts w:hint="eastAsia"/>
                <w:color w:val="000000"/>
                <w:szCs w:val="21"/>
              </w:rPr>
              <w:t>合    计</w:t>
            </w:r>
          </w:p>
        </w:tc>
        <w:tc>
          <w:tcPr>
            <w:tcW w:w="2126" w:type="dxa"/>
            <w:tcBorders>
              <w:bottom w:val="single" w:color="auto" w:sz="8" w:space="0"/>
            </w:tcBorders>
            <w:noWrap w:val="0"/>
            <w:vAlign w:val="center"/>
          </w:tcPr>
          <w:p w14:paraId="2F70610C">
            <w:pPr>
              <w:spacing w:line="276" w:lineRule="auto"/>
              <w:jc w:val="center"/>
              <w:rPr>
                <w:color w:val="000000"/>
                <w:szCs w:val="21"/>
              </w:rPr>
            </w:pPr>
          </w:p>
        </w:tc>
        <w:tc>
          <w:tcPr>
            <w:tcW w:w="1985" w:type="dxa"/>
            <w:tcBorders>
              <w:bottom w:val="single" w:color="auto" w:sz="8" w:space="0"/>
            </w:tcBorders>
            <w:noWrap w:val="0"/>
            <w:vAlign w:val="center"/>
          </w:tcPr>
          <w:p w14:paraId="160D31B4">
            <w:pPr>
              <w:spacing w:line="276" w:lineRule="auto"/>
              <w:jc w:val="center"/>
              <w:rPr>
                <w:color w:val="000000"/>
                <w:szCs w:val="21"/>
              </w:rPr>
            </w:pPr>
          </w:p>
        </w:tc>
        <w:tc>
          <w:tcPr>
            <w:tcW w:w="992" w:type="dxa"/>
            <w:tcBorders>
              <w:bottom w:val="single" w:color="auto" w:sz="8" w:space="0"/>
              <w:right w:val="single" w:color="auto" w:sz="8" w:space="0"/>
            </w:tcBorders>
            <w:noWrap w:val="0"/>
            <w:vAlign w:val="center"/>
          </w:tcPr>
          <w:p w14:paraId="3E2CA569">
            <w:pPr>
              <w:spacing w:line="276" w:lineRule="auto"/>
              <w:jc w:val="center"/>
              <w:rPr>
                <w:rFonts w:hint="eastAsia"/>
                <w:color w:val="000000"/>
                <w:szCs w:val="21"/>
              </w:rPr>
            </w:pPr>
            <w:r>
              <w:rPr>
                <w:color w:val="000000"/>
                <w:szCs w:val="21"/>
              </w:rPr>
              <w:t>4</w:t>
            </w:r>
            <w:r>
              <w:rPr>
                <w:rFonts w:hint="eastAsia"/>
                <w:color w:val="000000"/>
                <w:szCs w:val="21"/>
              </w:rPr>
              <w:t>5</w:t>
            </w:r>
          </w:p>
        </w:tc>
        <w:tc>
          <w:tcPr>
            <w:tcW w:w="759" w:type="dxa"/>
            <w:tcBorders>
              <w:bottom w:val="single" w:color="auto" w:sz="8" w:space="0"/>
              <w:right w:val="single" w:color="auto" w:sz="8" w:space="0"/>
            </w:tcBorders>
            <w:noWrap w:val="0"/>
            <w:vAlign w:val="top"/>
          </w:tcPr>
          <w:p w14:paraId="22B27356">
            <w:pPr>
              <w:spacing w:line="276" w:lineRule="auto"/>
              <w:jc w:val="center"/>
              <w:rPr>
                <w:color w:val="000000"/>
                <w:szCs w:val="21"/>
              </w:rPr>
            </w:pPr>
          </w:p>
        </w:tc>
      </w:tr>
    </w:tbl>
    <w:p w14:paraId="37EC551E">
      <w:pPr>
        <w:spacing w:line="240" w:lineRule="exact"/>
        <w:rPr>
          <w:rFonts w:hint="eastAsia"/>
          <w:b/>
          <w:color w:val="000000"/>
          <w:sz w:val="15"/>
          <w:szCs w:val="15"/>
        </w:rPr>
      </w:pPr>
    </w:p>
    <w:p w14:paraId="1528BF34">
      <w:pPr>
        <w:pStyle w:val="4"/>
        <w:bidi w:val="0"/>
      </w:pPr>
      <w:r>
        <w:rPr>
          <w:rFonts w:hint="eastAsia"/>
        </w:rPr>
        <w:t>五、课程实施</w:t>
      </w:r>
    </w:p>
    <w:p w14:paraId="3ECB2237">
      <w:pPr>
        <w:spacing w:line="360" w:lineRule="auto"/>
        <w:ind w:firstLine="422" w:firstLineChars="200"/>
        <w:rPr>
          <w:b/>
          <w:color w:val="000000"/>
          <w:szCs w:val="21"/>
        </w:rPr>
      </w:pPr>
      <w:r>
        <w:rPr>
          <w:rFonts w:hint="eastAsia"/>
          <w:b/>
          <w:color w:val="000000"/>
          <w:szCs w:val="21"/>
        </w:rPr>
        <w:t>（一）教学方法与教学手段</w:t>
      </w:r>
    </w:p>
    <w:p w14:paraId="402A85EF">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1．依托网络学习平台，引导学生线上自主学习，培养学生自主学习能力，并进一步培养学生发现问题、分析问题、解决问题的能力。</w:t>
      </w:r>
    </w:p>
    <w:p w14:paraId="4E4FEC9E">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2．线下课堂采用研究式、启发式、讨论式、案例式教学，通过学生自主探究，理性思考，充分讨论，形成结论，相互评价使基本英语技能得以内化并实现灵活应用。</w:t>
      </w:r>
    </w:p>
    <w:p w14:paraId="43E0C845">
      <w:pPr>
        <w:spacing w:line="240" w:lineRule="exact"/>
        <w:ind w:firstLine="300" w:firstLineChars="200"/>
        <w:rPr>
          <w:rFonts w:hint="eastAsia" w:ascii="宋体" w:hAnsi="宋体" w:cs="宋体"/>
          <w:color w:val="000000"/>
          <w:kern w:val="0"/>
          <w:sz w:val="15"/>
          <w:szCs w:val="15"/>
        </w:rPr>
      </w:pPr>
    </w:p>
    <w:p w14:paraId="4296B886">
      <w:pPr>
        <w:spacing w:line="360" w:lineRule="auto"/>
        <w:ind w:firstLine="422" w:firstLineChars="200"/>
        <w:rPr>
          <w:b/>
          <w:color w:val="000000"/>
          <w:szCs w:val="21"/>
        </w:rPr>
      </w:pPr>
      <w:r>
        <w:rPr>
          <w:rFonts w:hint="eastAsia"/>
          <w:b/>
          <w:color w:val="000000"/>
          <w:szCs w:val="21"/>
        </w:rPr>
        <w:t>（二）课程实施与保障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42"/>
        <w:gridCol w:w="5711"/>
      </w:tblGrid>
      <w:tr w14:paraId="11D1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6" w:type="dxa"/>
            <w:gridSpan w:val="3"/>
            <w:tcBorders>
              <w:top w:val="single" w:color="auto" w:sz="8" w:space="0"/>
              <w:left w:val="single" w:color="auto" w:sz="8" w:space="0"/>
              <w:right w:val="single" w:color="auto" w:sz="8" w:space="0"/>
            </w:tcBorders>
            <w:noWrap w:val="0"/>
            <w:tcMar>
              <w:left w:w="28" w:type="dxa"/>
              <w:right w:w="28" w:type="dxa"/>
            </w:tcMar>
            <w:vAlign w:val="center"/>
          </w:tcPr>
          <w:p w14:paraId="4C7059B7">
            <w:pPr>
              <w:spacing w:line="360" w:lineRule="auto"/>
              <w:jc w:val="center"/>
              <w:rPr>
                <w:rFonts w:hint="eastAsia"/>
                <w:color w:val="000000"/>
                <w:szCs w:val="21"/>
              </w:rPr>
            </w:pPr>
            <w:r>
              <w:rPr>
                <w:rFonts w:hint="eastAsia" w:ascii="宋体" w:hAnsi="宋体" w:cs="宋体"/>
                <w:b/>
                <w:bCs/>
                <w:color w:val="000000"/>
                <w:szCs w:val="21"/>
              </w:rPr>
              <w:t>主要教学环节的质量标准</w:t>
            </w:r>
          </w:p>
        </w:tc>
      </w:tr>
      <w:tr w14:paraId="39D1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6BF55A01">
            <w:pPr>
              <w:spacing w:line="360" w:lineRule="auto"/>
              <w:jc w:val="center"/>
              <w:rPr>
                <w:rFonts w:hint="eastAsia" w:ascii="宋体" w:hAnsi="宋体"/>
                <w:color w:val="000000"/>
                <w:szCs w:val="21"/>
              </w:rPr>
            </w:pPr>
            <w:r>
              <w:rPr>
                <w:rFonts w:hint="eastAsia" w:ascii="宋体" w:hAnsi="宋体"/>
                <w:color w:val="000000"/>
                <w:szCs w:val="21"/>
              </w:rPr>
              <w:t>1</w:t>
            </w:r>
          </w:p>
        </w:tc>
        <w:tc>
          <w:tcPr>
            <w:tcW w:w="1842" w:type="dxa"/>
            <w:noWrap w:val="0"/>
            <w:tcMar>
              <w:left w:w="28" w:type="dxa"/>
              <w:right w:w="28" w:type="dxa"/>
            </w:tcMar>
            <w:vAlign w:val="center"/>
          </w:tcPr>
          <w:p w14:paraId="06A8AE39">
            <w:pPr>
              <w:spacing w:line="360" w:lineRule="auto"/>
              <w:jc w:val="center"/>
              <w:rPr>
                <w:rFonts w:hint="eastAsia" w:ascii="宋体" w:hAnsi="宋体"/>
                <w:color w:val="000000"/>
                <w:szCs w:val="21"/>
              </w:rPr>
            </w:pPr>
            <w:r>
              <w:rPr>
                <w:rFonts w:hint="eastAsia" w:ascii="宋体" w:hAnsi="宋体"/>
                <w:color w:val="000000"/>
                <w:szCs w:val="21"/>
              </w:rPr>
              <w:t>备课</w:t>
            </w:r>
          </w:p>
        </w:tc>
        <w:tc>
          <w:tcPr>
            <w:tcW w:w="5711" w:type="dxa"/>
            <w:tcBorders>
              <w:right w:val="single" w:color="auto" w:sz="8" w:space="0"/>
            </w:tcBorders>
            <w:noWrap w:val="0"/>
            <w:vAlign w:val="center"/>
          </w:tcPr>
          <w:p w14:paraId="3F7B2713">
            <w:pPr>
              <w:spacing w:line="400" w:lineRule="exact"/>
              <w:rPr>
                <w:rFonts w:hint="eastAsia" w:ascii="宋体" w:hAnsi="宋体" w:cs="宋体"/>
                <w:color w:val="000000"/>
                <w:szCs w:val="21"/>
              </w:rPr>
            </w:pPr>
            <w:r>
              <w:rPr>
                <w:rFonts w:hint="eastAsia" w:ascii="宋体" w:hAnsi="宋体" w:cs="宋体"/>
                <w:color w:val="000000"/>
                <w:szCs w:val="21"/>
              </w:rPr>
              <w:t>1.掌握本课程教学大纲内容，严格按照教学大纲要求进行本课程教学内容的组织；</w:t>
            </w:r>
          </w:p>
          <w:p w14:paraId="6E9399EF">
            <w:pPr>
              <w:spacing w:line="400" w:lineRule="exact"/>
              <w:rPr>
                <w:rFonts w:ascii="宋体" w:hAnsi="宋体" w:cs="宋体"/>
                <w:color w:val="000000"/>
                <w:szCs w:val="21"/>
              </w:rPr>
            </w:pPr>
            <w:r>
              <w:rPr>
                <w:rFonts w:hint="eastAsia" w:ascii="宋体" w:hAnsi="宋体" w:cs="宋体"/>
                <w:color w:val="000000"/>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00D0AA0B">
            <w:pPr>
              <w:spacing w:line="400" w:lineRule="exact"/>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.确定各章节课程内容的教学方法，构思授课思路、技巧和方法；</w:t>
            </w:r>
          </w:p>
          <w:p w14:paraId="53CA8E80">
            <w:pPr>
              <w:spacing w:line="400" w:lineRule="exact"/>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.结合课程特点，制作课件，运用多媒体教学手段讲授部分教学内容。</w:t>
            </w:r>
          </w:p>
        </w:tc>
      </w:tr>
      <w:tr w14:paraId="674F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4CB1139F">
            <w:pPr>
              <w:spacing w:line="360" w:lineRule="auto"/>
              <w:jc w:val="center"/>
              <w:rPr>
                <w:rFonts w:hint="eastAsia" w:ascii="宋体" w:hAnsi="宋体"/>
                <w:color w:val="000000"/>
                <w:szCs w:val="21"/>
              </w:rPr>
            </w:pPr>
            <w:r>
              <w:rPr>
                <w:rFonts w:hint="eastAsia" w:ascii="宋体" w:hAnsi="宋体"/>
                <w:color w:val="000000"/>
                <w:szCs w:val="21"/>
              </w:rPr>
              <w:t>2</w:t>
            </w:r>
          </w:p>
        </w:tc>
        <w:tc>
          <w:tcPr>
            <w:tcW w:w="1842" w:type="dxa"/>
            <w:noWrap w:val="0"/>
            <w:tcMar>
              <w:left w:w="28" w:type="dxa"/>
              <w:right w:w="28" w:type="dxa"/>
            </w:tcMar>
            <w:vAlign w:val="center"/>
          </w:tcPr>
          <w:p w14:paraId="7F3D3326">
            <w:pPr>
              <w:spacing w:line="360" w:lineRule="auto"/>
              <w:jc w:val="center"/>
              <w:rPr>
                <w:rFonts w:hint="eastAsia" w:ascii="宋体" w:hAnsi="宋体"/>
                <w:color w:val="000000"/>
                <w:szCs w:val="21"/>
              </w:rPr>
            </w:pPr>
            <w:r>
              <w:rPr>
                <w:rFonts w:hint="eastAsia" w:ascii="宋体" w:hAnsi="宋体"/>
                <w:color w:val="000000"/>
                <w:szCs w:val="21"/>
              </w:rPr>
              <w:t>讲授</w:t>
            </w:r>
          </w:p>
        </w:tc>
        <w:tc>
          <w:tcPr>
            <w:tcW w:w="5711" w:type="dxa"/>
            <w:tcBorders>
              <w:right w:val="single" w:color="auto" w:sz="8" w:space="0"/>
            </w:tcBorders>
            <w:noWrap w:val="0"/>
            <w:vAlign w:val="center"/>
          </w:tcPr>
          <w:p w14:paraId="7EE91C9C">
            <w:pPr>
              <w:spacing w:line="400" w:lineRule="exact"/>
              <w:rPr>
                <w:rFonts w:hint="eastAsia" w:ascii="宋体" w:hAnsi="宋体" w:cs="宋体"/>
                <w:color w:val="000000"/>
                <w:szCs w:val="21"/>
              </w:rPr>
            </w:pPr>
            <w:r>
              <w:rPr>
                <w:rFonts w:hint="eastAsia" w:ascii="宋体" w:hAnsi="宋体" w:cs="宋体"/>
                <w:color w:val="000000"/>
                <w:szCs w:val="21"/>
              </w:rPr>
              <w:t>1.要点准确，推理正确，条理清晰，重点突出，理论联系实际，熟练地解答和讲解例题；</w:t>
            </w:r>
          </w:p>
          <w:p w14:paraId="2989239F">
            <w:pPr>
              <w:spacing w:line="400" w:lineRule="exact"/>
              <w:rPr>
                <w:rFonts w:hint="eastAsia" w:ascii="宋体" w:hAnsi="宋体" w:cs="宋体"/>
                <w:color w:val="000000"/>
                <w:szCs w:val="21"/>
              </w:rPr>
            </w:pPr>
            <w:r>
              <w:rPr>
                <w:rFonts w:hint="eastAsia" w:ascii="宋体" w:hAnsi="宋体" w:cs="宋体"/>
                <w:color w:val="000000"/>
                <w:szCs w:val="21"/>
              </w:rPr>
              <w:t>2.采用多种教学方式（如启发式教学、案例分析教学、讨论式教学、多媒体示范教学等），注重培养学生的基本语言技能；</w:t>
            </w:r>
          </w:p>
          <w:p w14:paraId="2033F673">
            <w:pPr>
              <w:spacing w:line="400" w:lineRule="exact"/>
              <w:rPr>
                <w:rFonts w:hint="eastAsia" w:ascii="宋体" w:hAnsi="宋体" w:cs="宋体"/>
                <w:color w:val="000000"/>
                <w:szCs w:val="21"/>
              </w:rPr>
            </w:pPr>
            <w:r>
              <w:rPr>
                <w:rFonts w:hint="eastAsia" w:ascii="宋体" w:hAnsi="宋体" w:cs="宋体"/>
                <w:color w:val="000000"/>
                <w:szCs w:val="21"/>
              </w:rPr>
              <w:t>3.多媒体教学，注重培养学生英语语言综合应用能力；</w:t>
            </w:r>
          </w:p>
          <w:p w14:paraId="00CF3BBD">
            <w:pPr>
              <w:spacing w:line="400" w:lineRule="exact"/>
              <w:rPr>
                <w:rFonts w:hint="eastAsia" w:ascii="宋体" w:hAnsi="宋体"/>
                <w:color w:val="000000"/>
                <w:szCs w:val="21"/>
              </w:rPr>
            </w:pPr>
            <w:r>
              <w:rPr>
                <w:rFonts w:hint="eastAsia" w:ascii="宋体" w:hAnsi="宋体" w:cs="宋体"/>
                <w:color w:val="000000"/>
                <w:szCs w:val="21"/>
              </w:rPr>
              <w:t>4.表达方式尽量便于学生理解、接受，力求形象生动，使学生在掌握知识的过程中，保持较为浓厚的学习兴趣。</w:t>
            </w:r>
          </w:p>
        </w:tc>
      </w:tr>
      <w:tr w14:paraId="07C0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02B88EE4">
            <w:pPr>
              <w:spacing w:line="360" w:lineRule="auto"/>
              <w:jc w:val="center"/>
              <w:rPr>
                <w:rFonts w:hint="eastAsia" w:ascii="宋体" w:hAnsi="宋体"/>
                <w:color w:val="000000"/>
                <w:szCs w:val="21"/>
              </w:rPr>
            </w:pPr>
            <w:r>
              <w:rPr>
                <w:rFonts w:hint="eastAsia" w:ascii="宋体" w:hAnsi="宋体"/>
                <w:color w:val="000000"/>
                <w:szCs w:val="21"/>
              </w:rPr>
              <w:t>3</w:t>
            </w:r>
          </w:p>
        </w:tc>
        <w:tc>
          <w:tcPr>
            <w:tcW w:w="1842" w:type="dxa"/>
            <w:noWrap w:val="0"/>
            <w:tcMar>
              <w:left w:w="28" w:type="dxa"/>
              <w:right w:w="28" w:type="dxa"/>
            </w:tcMar>
            <w:vAlign w:val="center"/>
          </w:tcPr>
          <w:p w14:paraId="7AC1A16D">
            <w:pPr>
              <w:spacing w:line="360" w:lineRule="auto"/>
              <w:jc w:val="center"/>
              <w:rPr>
                <w:rFonts w:hint="eastAsia" w:ascii="宋体" w:hAnsi="宋体"/>
                <w:color w:val="000000"/>
                <w:szCs w:val="21"/>
              </w:rPr>
            </w:pPr>
            <w:r>
              <w:rPr>
                <w:rFonts w:hint="eastAsia" w:ascii="宋体" w:hAnsi="宋体"/>
                <w:color w:val="000000"/>
                <w:szCs w:val="21"/>
              </w:rPr>
              <w:t>作业布置与批改</w:t>
            </w:r>
          </w:p>
        </w:tc>
        <w:tc>
          <w:tcPr>
            <w:tcW w:w="5711" w:type="dxa"/>
            <w:tcBorders>
              <w:right w:val="single" w:color="auto" w:sz="8" w:space="0"/>
            </w:tcBorders>
            <w:noWrap w:val="0"/>
            <w:vAlign w:val="center"/>
          </w:tcPr>
          <w:p w14:paraId="1F7158F9">
            <w:pPr>
              <w:spacing w:line="400" w:lineRule="exact"/>
              <w:rPr>
                <w:rFonts w:hint="eastAsia" w:ascii="宋体" w:hAnsi="宋体" w:cs="宋体"/>
                <w:color w:val="000000"/>
                <w:szCs w:val="21"/>
              </w:rPr>
            </w:pPr>
            <w:r>
              <w:rPr>
                <w:rFonts w:hint="eastAsia" w:ascii="宋体" w:hAnsi="宋体" w:cs="宋体"/>
                <w:color w:val="000000"/>
                <w:szCs w:val="21"/>
              </w:rPr>
              <w:t>学生完成一定数量的作业是本课程教学的基本要求，是实现人才培养目标的必要手段。</w:t>
            </w:r>
          </w:p>
          <w:p w14:paraId="28628EA2">
            <w:pPr>
              <w:spacing w:line="400" w:lineRule="exact"/>
              <w:rPr>
                <w:rFonts w:hint="eastAsia" w:ascii="宋体" w:hAnsi="宋体" w:cs="宋体"/>
                <w:color w:val="000000"/>
                <w:szCs w:val="21"/>
              </w:rPr>
            </w:pPr>
            <w:r>
              <w:rPr>
                <w:rFonts w:hint="eastAsia" w:ascii="宋体" w:hAnsi="宋体" w:cs="宋体"/>
                <w:color w:val="000000"/>
                <w:szCs w:val="21"/>
              </w:rPr>
              <w:t>学生完成的作业必须达到以下基本要求：</w:t>
            </w:r>
          </w:p>
          <w:p w14:paraId="4150FF5C">
            <w:pPr>
              <w:spacing w:line="400" w:lineRule="exact"/>
              <w:rPr>
                <w:rFonts w:hint="eastAsia" w:ascii="宋体" w:hAnsi="宋体" w:cs="宋体"/>
                <w:color w:val="000000"/>
                <w:szCs w:val="21"/>
              </w:rPr>
            </w:pPr>
            <w:r>
              <w:rPr>
                <w:rFonts w:hint="eastAsia" w:ascii="宋体" w:hAnsi="宋体" w:cs="宋体"/>
                <w:color w:val="000000"/>
                <w:szCs w:val="21"/>
              </w:rPr>
              <w:t>1.按时按量完成作业，不缺交，不抄袭；</w:t>
            </w:r>
          </w:p>
          <w:p w14:paraId="715B3260">
            <w:pPr>
              <w:spacing w:line="400" w:lineRule="exact"/>
              <w:rPr>
                <w:rFonts w:hint="eastAsia" w:ascii="宋体" w:hAnsi="宋体" w:cs="宋体"/>
                <w:color w:val="000000"/>
                <w:szCs w:val="21"/>
              </w:rPr>
            </w:pPr>
            <w:r>
              <w:rPr>
                <w:rFonts w:hint="eastAsia" w:ascii="宋体" w:hAnsi="宋体" w:cs="宋体"/>
                <w:color w:val="000000"/>
                <w:szCs w:val="21"/>
              </w:rPr>
              <w:t>2.</w:t>
            </w:r>
            <w:r>
              <w:rPr>
                <w:rFonts w:hint="eastAsia" w:ascii="宋体" w:hAnsi="宋体" w:cs="宋体"/>
                <w:color w:val="000000"/>
                <w:kern w:val="0"/>
                <w:szCs w:val="21"/>
              </w:rPr>
              <w:t>网络教学平台具有查重功能并能及时反馈</w:t>
            </w:r>
            <w:r>
              <w:rPr>
                <w:rFonts w:hint="eastAsia" w:ascii="宋体" w:hAnsi="宋体" w:cs="宋体"/>
                <w:color w:val="000000"/>
                <w:szCs w:val="21"/>
              </w:rPr>
              <w:t>；</w:t>
            </w:r>
          </w:p>
          <w:p w14:paraId="63B4C834">
            <w:pPr>
              <w:spacing w:line="400" w:lineRule="exact"/>
              <w:rPr>
                <w:rFonts w:hint="eastAsia" w:ascii="宋体" w:hAnsi="宋体" w:cs="宋体"/>
                <w:color w:val="000000"/>
                <w:szCs w:val="21"/>
              </w:rPr>
            </w:pPr>
            <w:r>
              <w:rPr>
                <w:rFonts w:hint="eastAsia" w:ascii="宋体" w:hAnsi="宋体" w:cs="宋体"/>
                <w:color w:val="000000"/>
                <w:szCs w:val="21"/>
              </w:rPr>
              <w:t>3.客观题保证答题时间，主观题要求原创性。</w:t>
            </w:r>
          </w:p>
          <w:p w14:paraId="0190BBAB">
            <w:pPr>
              <w:spacing w:line="400" w:lineRule="exact"/>
              <w:rPr>
                <w:rFonts w:hint="eastAsia" w:ascii="宋体" w:hAnsi="宋体" w:cs="宋体"/>
                <w:color w:val="000000"/>
                <w:szCs w:val="21"/>
              </w:rPr>
            </w:pPr>
            <w:r>
              <w:rPr>
                <w:rFonts w:hint="eastAsia" w:ascii="宋体" w:hAnsi="宋体" w:cs="宋体"/>
                <w:color w:val="000000"/>
                <w:szCs w:val="21"/>
              </w:rPr>
              <w:t>教师批改或讲评作业要求如下：</w:t>
            </w:r>
          </w:p>
          <w:p w14:paraId="5AEA1CDA">
            <w:pPr>
              <w:spacing w:line="400" w:lineRule="exact"/>
              <w:rPr>
                <w:rFonts w:hint="eastAsia" w:ascii="宋体" w:hAnsi="宋体" w:cs="宋体"/>
                <w:color w:val="000000"/>
                <w:szCs w:val="21"/>
              </w:rPr>
            </w:pPr>
            <w:r>
              <w:rPr>
                <w:rFonts w:hint="eastAsia" w:ascii="宋体" w:hAnsi="宋体" w:cs="宋体"/>
                <w:color w:val="000000"/>
                <w:szCs w:val="21"/>
              </w:rPr>
              <w:t>1.学生的作业要全批全改，按时批改、反馈和讲评；</w:t>
            </w:r>
          </w:p>
          <w:p w14:paraId="00E8FE0E">
            <w:pPr>
              <w:spacing w:line="400" w:lineRule="exact"/>
              <w:rPr>
                <w:rFonts w:hint="eastAsia" w:ascii="宋体" w:hAnsi="宋体" w:cs="宋体"/>
                <w:color w:val="000000"/>
                <w:szCs w:val="21"/>
              </w:rPr>
            </w:pPr>
            <w:r>
              <w:rPr>
                <w:rFonts w:hint="eastAsia" w:ascii="宋体" w:hAnsi="宋体" w:cs="宋体"/>
                <w:color w:val="000000"/>
                <w:szCs w:val="21"/>
              </w:rPr>
              <w:t>2.教师批改或讲评作业要认真、细致，每次批改或讲评作业后，按百分制评定成绩，并写明日期；</w:t>
            </w:r>
          </w:p>
          <w:p w14:paraId="17A7D063">
            <w:pPr>
              <w:spacing w:line="400" w:lineRule="exact"/>
              <w:rPr>
                <w:rFonts w:hint="eastAsia" w:ascii="宋体" w:hAnsi="宋体" w:cs="宋体"/>
                <w:color w:val="000000"/>
                <w:szCs w:val="21"/>
              </w:rPr>
            </w:pPr>
            <w:r>
              <w:rPr>
                <w:rFonts w:hint="eastAsia" w:ascii="宋体" w:hAnsi="宋体" w:cs="宋体"/>
                <w:color w:val="000000"/>
                <w:szCs w:val="21"/>
              </w:rPr>
              <w:t>3.期末统计每次作业平均成绩，记入平时成绩。</w:t>
            </w:r>
          </w:p>
        </w:tc>
      </w:tr>
      <w:tr w14:paraId="17F4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4A4917EC">
            <w:pPr>
              <w:spacing w:line="360" w:lineRule="auto"/>
              <w:jc w:val="center"/>
              <w:rPr>
                <w:rFonts w:hint="eastAsia" w:ascii="宋体" w:hAnsi="宋体"/>
                <w:color w:val="000000"/>
                <w:szCs w:val="21"/>
              </w:rPr>
            </w:pPr>
            <w:r>
              <w:rPr>
                <w:rFonts w:hint="eastAsia" w:ascii="宋体" w:hAnsi="宋体"/>
                <w:color w:val="000000"/>
                <w:szCs w:val="21"/>
              </w:rPr>
              <w:t>4</w:t>
            </w:r>
          </w:p>
        </w:tc>
        <w:tc>
          <w:tcPr>
            <w:tcW w:w="1842" w:type="dxa"/>
            <w:noWrap w:val="0"/>
            <w:tcMar>
              <w:left w:w="28" w:type="dxa"/>
              <w:right w:w="28" w:type="dxa"/>
            </w:tcMar>
            <w:vAlign w:val="center"/>
          </w:tcPr>
          <w:p w14:paraId="08289EFA">
            <w:pPr>
              <w:spacing w:line="360" w:lineRule="auto"/>
              <w:jc w:val="center"/>
              <w:rPr>
                <w:rFonts w:hint="eastAsia" w:ascii="宋体" w:hAnsi="宋体"/>
                <w:color w:val="000000"/>
                <w:szCs w:val="21"/>
              </w:rPr>
            </w:pPr>
            <w:r>
              <w:rPr>
                <w:rFonts w:hint="eastAsia" w:ascii="宋体" w:hAnsi="宋体"/>
                <w:color w:val="000000"/>
                <w:szCs w:val="21"/>
              </w:rPr>
              <w:t>课外答疑</w:t>
            </w:r>
          </w:p>
        </w:tc>
        <w:tc>
          <w:tcPr>
            <w:tcW w:w="5711" w:type="dxa"/>
            <w:tcBorders>
              <w:right w:val="single" w:color="auto" w:sz="8" w:space="0"/>
            </w:tcBorders>
            <w:noWrap w:val="0"/>
            <w:vAlign w:val="center"/>
          </w:tcPr>
          <w:p w14:paraId="65D33D98">
            <w:pPr>
              <w:spacing w:line="400" w:lineRule="exact"/>
              <w:rPr>
                <w:rFonts w:hint="eastAsia" w:ascii="宋体" w:hAnsi="宋体" w:cs="宋体"/>
                <w:color w:val="000000"/>
                <w:szCs w:val="21"/>
              </w:rPr>
            </w:pPr>
            <w:r>
              <w:rPr>
                <w:rFonts w:hint="eastAsia" w:ascii="宋体" w:hAnsi="宋体" w:cs="宋体"/>
                <w:color w:val="000000"/>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50F3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51B35943">
            <w:pPr>
              <w:spacing w:line="360" w:lineRule="auto"/>
              <w:jc w:val="center"/>
              <w:rPr>
                <w:rFonts w:hint="eastAsia" w:ascii="宋体" w:hAnsi="宋体"/>
                <w:color w:val="000000"/>
                <w:szCs w:val="21"/>
              </w:rPr>
            </w:pPr>
            <w:r>
              <w:rPr>
                <w:rFonts w:hint="eastAsia" w:ascii="宋体" w:hAnsi="宋体"/>
                <w:color w:val="000000"/>
                <w:szCs w:val="21"/>
              </w:rPr>
              <w:t>5</w:t>
            </w:r>
          </w:p>
        </w:tc>
        <w:tc>
          <w:tcPr>
            <w:tcW w:w="1842" w:type="dxa"/>
            <w:noWrap w:val="0"/>
            <w:tcMar>
              <w:left w:w="28" w:type="dxa"/>
              <w:right w:w="28" w:type="dxa"/>
            </w:tcMar>
            <w:vAlign w:val="center"/>
          </w:tcPr>
          <w:p w14:paraId="6EC14417">
            <w:pPr>
              <w:spacing w:line="360" w:lineRule="auto"/>
              <w:jc w:val="center"/>
              <w:rPr>
                <w:rFonts w:hint="eastAsia" w:ascii="宋体" w:hAnsi="宋体"/>
                <w:color w:val="000000"/>
                <w:szCs w:val="21"/>
              </w:rPr>
            </w:pPr>
            <w:r>
              <w:rPr>
                <w:rFonts w:hint="eastAsia" w:ascii="宋体" w:hAnsi="宋体"/>
                <w:color w:val="000000"/>
                <w:szCs w:val="21"/>
              </w:rPr>
              <w:t>成绩考核</w:t>
            </w:r>
          </w:p>
        </w:tc>
        <w:tc>
          <w:tcPr>
            <w:tcW w:w="5711" w:type="dxa"/>
            <w:tcBorders>
              <w:right w:val="single" w:color="auto" w:sz="8" w:space="0"/>
            </w:tcBorders>
            <w:noWrap w:val="0"/>
            <w:vAlign w:val="center"/>
          </w:tcPr>
          <w:p w14:paraId="60CE68E8">
            <w:pPr>
              <w:autoSpaceDE w:val="0"/>
              <w:autoSpaceDN w:val="0"/>
              <w:adjustRightInd w:val="0"/>
              <w:snapToGrid w:val="0"/>
              <w:spacing w:line="400" w:lineRule="exact"/>
              <w:jc w:val="left"/>
              <w:rPr>
                <w:rFonts w:ascii="宋体" w:hAnsi="宋体" w:cs="宋体"/>
                <w:color w:val="000000"/>
                <w:kern w:val="0"/>
                <w:szCs w:val="21"/>
              </w:rPr>
            </w:pPr>
            <w:r>
              <w:rPr>
                <w:rFonts w:hint="eastAsia" w:ascii="宋体" w:hAnsi="宋体" w:cs="宋体"/>
                <w:color w:val="000000"/>
                <w:kern w:val="0"/>
                <w:szCs w:val="21"/>
              </w:rPr>
              <w:t>本课程考核的方式：“N</w:t>
            </w:r>
            <w:r>
              <w:rPr>
                <w:rFonts w:ascii="宋体" w:hAnsi="宋体" w:cs="宋体"/>
                <w:color w:val="000000"/>
                <w:kern w:val="0"/>
                <w:szCs w:val="21"/>
              </w:rPr>
              <w:t>+1</w:t>
            </w:r>
            <w:r>
              <w:rPr>
                <w:rFonts w:hint="eastAsia" w:ascii="宋体" w:hAnsi="宋体" w:cs="宋体"/>
                <w:color w:val="000000"/>
                <w:kern w:val="0"/>
                <w:szCs w:val="21"/>
              </w:rPr>
              <w:t>”课程考核。网络平台考试，教考分离，题库抽题，统一监考，集中阅卷。总评成绩的评定见课程评分方案。有下列情况之一者，总评成绩原则上评定为不及格：</w:t>
            </w:r>
          </w:p>
          <w:p w14:paraId="4D326D98">
            <w:pPr>
              <w:autoSpaceDE w:val="0"/>
              <w:autoSpaceDN w:val="0"/>
              <w:adjustRightInd w:val="0"/>
              <w:snapToGrid w:val="0"/>
              <w:spacing w:line="400" w:lineRule="exact"/>
              <w:jc w:val="left"/>
              <w:rPr>
                <w:rFonts w:ascii="宋体" w:hAnsi="宋体" w:cs="宋体"/>
                <w:color w:val="000000"/>
                <w:kern w:val="0"/>
                <w:szCs w:val="21"/>
              </w:rPr>
            </w:pPr>
            <w:r>
              <w:rPr>
                <w:rFonts w:ascii="宋体" w:hAnsi="宋体" w:cs="宋体"/>
                <w:color w:val="000000"/>
                <w:kern w:val="0"/>
                <w:szCs w:val="21"/>
              </w:rPr>
              <w:t xml:space="preserve">1. </w:t>
            </w:r>
            <w:r>
              <w:rPr>
                <w:rFonts w:hint="eastAsia" w:ascii="宋体" w:hAnsi="宋体" w:cs="宋体"/>
                <w:color w:val="000000"/>
                <w:kern w:val="0"/>
                <w:szCs w:val="21"/>
              </w:rPr>
              <w:t>缺课次数达本学期总授课学时的1/3以上者；</w:t>
            </w:r>
          </w:p>
          <w:p w14:paraId="26F4BD7A">
            <w:pPr>
              <w:autoSpaceDE w:val="0"/>
              <w:autoSpaceDN w:val="0"/>
              <w:adjustRightInd w:val="0"/>
              <w:snapToGrid w:val="0"/>
              <w:spacing w:line="400" w:lineRule="exact"/>
              <w:jc w:val="left"/>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 xml:space="preserve">. </w:t>
            </w:r>
            <w:r>
              <w:rPr>
                <w:rFonts w:hint="eastAsia" w:ascii="宋体" w:hAnsi="宋体" w:cs="宋体"/>
                <w:color w:val="000000"/>
                <w:kern w:val="0"/>
                <w:szCs w:val="21"/>
              </w:rPr>
              <w:t>缺交作业次数达1/3以上者；</w:t>
            </w:r>
          </w:p>
          <w:p w14:paraId="09E5C29A">
            <w:pPr>
              <w:autoSpaceDE w:val="0"/>
              <w:autoSpaceDN w:val="0"/>
              <w:adjustRightInd w:val="0"/>
              <w:snapToGrid w:val="0"/>
              <w:spacing w:line="400" w:lineRule="exact"/>
              <w:jc w:val="left"/>
              <w:rPr>
                <w:rFonts w:hint="eastAsia"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机考成绩小于45分；专转本、对口单招、3</w:t>
            </w:r>
            <w:r>
              <w:rPr>
                <w:rFonts w:ascii="宋体" w:hAnsi="宋体" w:cs="宋体"/>
                <w:color w:val="000000"/>
                <w:kern w:val="0"/>
                <w:szCs w:val="21"/>
              </w:rPr>
              <w:t>+4</w:t>
            </w:r>
            <w:r>
              <w:rPr>
                <w:rFonts w:hint="eastAsia" w:ascii="宋体" w:hAnsi="宋体" w:cs="宋体"/>
                <w:color w:val="000000"/>
                <w:kern w:val="0"/>
                <w:szCs w:val="21"/>
              </w:rPr>
              <w:t>、3</w:t>
            </w:r>
            <w:r>
              <w:rPr>
                <w:rFonts w:ascii="宋体" w:hAnsi="宋体" w:cs="宋体"/>
                <w:color w:val="000000"/>
                <w:kern w:val="0"/>
                <w:szCs w:val="21"/>
              </w:rPr>
              <w:t>+2</w:t>
            </w:r>
            <w:r>
              <w:rPr>
                <w:rFonts w:hint="eastAsia" w:ascii="宋体" w:hAnsi="宋体" w:cs="宋体"/>
                <w:color w:val="000000"/>
                <w:kern w:val="0"/>
                <w:szCs w:val="21"/>
              </w:rPr>
              <w:t>、4</w:t>
            </w:r>
            <w:r>
              <w:rPr>
                <w:rFonts w:ascii="宋体" w:hAnsi="宋体" w:cs="宋体"/>
                <w:color w:val="000000"/>
                <w:kern w:val="0"/>
                <w:szCs w:val="21"/>
              </w:rPr>
              <w:t>+0</w:t>
            </w:r>
            <w:r>
              <w:rPr>
                <w:rFonts w:hint="eastAsia" w:ascii="宋体" w:hAnsi="宋体" w:cs="宋体"/>
                <w:color w:val="000000"/>
                <w:kern w:val="0"/>
                <w:szCs w:val="21"/>
              </w:rPr>
              <w:t>、5</w:t>
            </w:r>
            <w:r>
              <w:rPr>
                <w:rFonts w:ascii="宋体" w:hAnsi="宋体" w:cs="宋体"/>
                <w:color w:val="000000"/>
                <w:kern w:val="0"/>
                <w:szCs w:val="21"/>
              </w:rPr>
              <w:t>+2</w:t>
            </w:r>
            <w:r>
              <w:rPr>
                <w:rFonts w:hint="eastAsia" w:ascii="宋体" w:hAnsi="宋体" w:cs="宋体"/>
                <w:color w:val="000000"/>
                <w:kern w:val="0"/>
                <w:szCs w:val="21"/>
              </w:rPr>
              <w:t>类班级、艺术类班级小于4</w:t>
            </w:r>
            <w:r>
              <w:rPr>
                <w:rFonts w:ascii="宋体" w:hAnsi="宋体" w:cs="宋体"/>
                <w:color w:val="000000"/>
                <w:kern w:val="0"/>
                <w:szCs w:val="21"/>
              </w:rPr>
              <w:t>0</w:t>
            </w:r>
            <w:r>
              <w:rPr>
                <w:rFonts w:hint="eastAsia" w:ascii="宋体" w:hAnsi="宋体" w:cs="宋体"/>
                <w:color w:val="000000"/>
                <w:kern w:val="0"/>
                <w:szCs w:val="21"/>
              </w:rPr>
              <w:t>分。</w:t>
            </w:r>
          </w:p>
        </w:tc>
      </w:tr>
      <w:tr w14:paraId="4C0B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5346E1D6">
            <w:pPr>
              <w:spacing w:line="360" w:lineRule="auto"/>
              <w:jc w:val="center"/>
              <w:rPr>
                <w:rFonts w:hint="eastAsia" w:ascii="宋体" w:hAnsi="宋体"/>
                <w:color w:val="000000"/>
                <w:szCs w:val="21"/>
              </w:rPr>
            </w:pPr>
            <w:r>
              <w:rPr>
                <w:rFonts w:hint="eastAsia" w:ascii="宋体" w:hAnsi="宋体"/>
                <w:color w:val="000000"/>
                <w:szCs w:val="21"/>
              </w:rPr>
              <w:t>6</w:t>
            </w:r>
          </w:p>
        </w:tc>
        <w:tc>
          <w:tcPr>
            <w:tcW w:w="1842" w:type="dxa"/>
            <w:noWrap w:val="0"/>
            <w:tcMar>
              <w:left w:w="28" w:type="dxa"/>
              <w:right w:w="28" w:type="dxa"/>
            </w:tcMar>
            <w:vAlign w:val="center"/>
          </w:tcPr>
          <w:p w14:paraId="3585D97E">
            <w:pPr>
              <w:spacing w:line="360" w:lineRule="auto"/>
              <w:jc w:val="center"/>
              <w:rPr>
                <w:rFonts w:hint="eastAsia" w:ascii="宋体" w:hAnsi="宋体"/>
                <w:color w:val="000000"/>
                <w:szCs w:val="21"/>
              </w:rPr>
            </w:pPr>
            <w:r>
              <w:rPr>
                <w:rFonts w:hint="eastAsia" w:ascii="宋体" w:hAnsi="宋体"/>
                <w:color w:val="000000"/>
                <w:szCs w:val="21"/>
              </w:rPr>
              <w:t>第二课堂活动</w:t>
            </w:r>
          </w:p>
        </w:tc>
        <w:tc>
          <w:tcPr>
            <w:tcW w:w="5711" w:type="dxa"/>
            <w:tcBorders>
              <w:right w:val="single" w:color="auto" w:sz="8" w:space="0"/>
            </w:tcBorders>
            <w:noWrap w:val="0"/>
            <w:vAlign w:val="center"/>
          </w:tcPr>
          <w:p w14:paraId="05847846">
            <w:pPr>
              <w:spacing w:line="400" w:lineRule="exact"/>
              <w:rPr>
                <w:rFonts w:hint="eastAsia" w:ascii="宋体" w:hAnsi="宋体" w:cs="宋体"/>
                <w:color w:val="000000"/>
                <w:szCs w:val="21"/>
              </w:rPr>
            </w:pPr>
            <w:r>
              <w:rPr>
                <w:rFonts w:hint="eastAsia" w:ascii="宋体" w:hAnsi="宋体" w:cs="宋体"/>
                <w:color w:val="000000"/>
                <w:szCs w:val="21"/>
              </w:rPr>
              <w:t>为了培养学生综合运用所学知识的能力和创新精神，学校每年举办英语演讲、写作和阅读竞赛；组织学生参加市、省及国家级比赛。</w:t>
            </w:r>
          </w:p>
        </w:tc>
      </w:tr>
    </w:tbl>
    <w:p w14:paraId="53F1F821">
      <w:pPr>
        <w:pStyle w:val="4"/>
        <w:bidi w:val="0"/>
        <w:rPr>
          <w:rFonts w:hint="eastAsia"/>
        </w:rPr>
      </w:pPr>
      <w:r>
        <w:rPr>
          <w:rFonts w:hint="eastAsia"/>
        </w:rPr>
        <w:t>六、目标评价与成绩评定</w:t>
      </w:r>
    </w:p>
    <w:p w14:paraId="1717F03F">
      <w:pPr>
        <w:spacing w:line="360" w:lineRule="auto"/>
        <w:ind w:firstLine="422" w:firstLineChars="200"/>
        <w:rPr>
          <w:rFonts w:hint="eastAsia"/>
          <w:b/>
          <w:color w:val="000000"/>
          <w:szCs w:val="21"/>
        </w:rPr>
      </w:pPr>
      <w:r>
        <w:rPr>
          <w:rFonts w:hint="eastAsia"/>
          <w:b/>
          <w:color w:val="000000"/>
          <w:szCs w:val="21"/>
        </w:rPr>
        <w:t>（一）课程目标评价方式</w:t>
      </w:r>
    </w:p>
    <w:p w14:paraId="31FBB1EA">
      <w:pPr>
        <w:spacing w:line="360" w:lineRule="auto"/>
        <w:ind w:firstLine="420" w:firstLineChars="200"/>
        <w:rPr>
          <w:color w:val="000000"/>
          <w:szCs w:val="21"/>
        </w:rPr>
      </w:pPr>
      <w:r>
        <w:rPr>
          <w:color w:val="000000"/>
          <w:szCs w:val="21"/>
        </w:rPr>
        <w:t>课程考核方式包括结课考核、平时情况考核等。</w:t>
      </w:r>
      <w:r>
        <w:rPr>
          <w:rFonts w:hint="eastAsia"/>
          <w:color w:val="000000"/>
          <w:szCs w:val="21"/>
        </w:rPr>
        <w:t>结课</w:t>
      </w:r>
      <w:r>
        <w:rPr>
          <w:color w:val="000000"/>
          <w:szCs w:val="21"/>
        </w:rPr>
        <w:t>考核采用</w:t>
      </w:r>
      <w:r>
        <w:rPr>
          <w:rFonts w:hint="eastAsia"/>
          <w:color w:val="000000"/>
          <w:szCs w:val="21"/>
        </w:rPr>
        <w:t>机考</w:t>
      </w:r>
      <w:r>
        <w:rPr>
          <w:color w:val="000000"/>
          <w:szCs w:val="21"/>
        </w:rPr>
        <w:t>（闭卷）形式。</w:t>
      </w:r>
    </w:p>
    <w:p w14:paraId="5F2DBDA9">
      <w:pPr>
        <w:spacing w:line="360" w:lineRule="auto"/>
        <w:ind w:firstLine="422" w:firstLineChars="200"/>
        <w:rPr>
          <w:rFonts w:hint="eastAsia"/>
          <w:b/>
          <w:color w:val="000000"/>
          <w:szCs w:val="21"/>
        </w:rPr>
      </w:pPr>
      <w:r>
        <w:rPr>
          <w:rFonts w:hint="eastAsia"/>
          <w:b/>
          <w:color w:val="000000"/>
          <w:szCs w:val="21"/>
        </w:rPr>
        <w:t>（二）成绩评定细则</w:t>
      </w:r>
    </w:p>
    <w:p w14:paraId="5EBEA3F3">
      <w:pPr>
        <w:spacing w:line="360" w:lineRule="auto"/>
        <w:ind w:firstLine="420" w:firstLineChars="200"/>
        <w:rPr>
          <w:rFonts w:hint="eastAsia"/>
          <w:color w:val="000000"/>
          <w:szCs w:val="21"/>
        </w:rPr>
      </w:pPr>
      <w:r>
        <w:rPr>
          <w:color w:val="000000"/>
          <w:szCs w:val="21"/>
        </w:rPr>
        <w:t>课程总评成绩=平时成绩×</w:t>
      </w:r>
      <w:r>
        <w:rPr>
          <w:rFonts w:hint="eastAsia"/>
          <w:color w:val="000000"/>
          <w:szCs w:val="21"/>
        </w:rPr>
        <w:t>5</w:t>
      </w:r>
      <w:r>
        <w:rPr>
          <w:color w:val="000000"/>
          <w:szCs w:val="21"/>
        </w:rPr>
        <w:t>0%</w:t>
      </w:r>
      <w:r>
        <w:rPr>
          <w:rFonts w:hint="eastAsia"/>
          <w:color w:val="000000"/>
          <w:szCs w:val="21"/>
        </w:rPr>
        <w:t>+</w:t>
      </w:r>
      <w:r>
        <w:rPr>
          <w:color w:val="000000"/>
          <w:szCs w:val="21"/>
        </w:rPr>
        <w:t>结课成绩×</w:t>
      </w:r>
      <w:r>
        <w:rPr>
          <w:rFonts w:hint="eastAsia"/>
          <w:color w:val="000000"/>
          <w:szCs w:val="21"/>
        </w:rPr>
        <w:t>5</w:t>
      </w:r>
      <w:r>
        <w:rPr>
          <w:color w:val="000000"/>
          <w:szCs w:val="21"/>
        </w:rPr>
        <w:t>0%。</w:t>
      </w:r>
    </w:p>
    <w:p w14:paraId="2B873539">
      <w:pPr>
        <w:spacing w:line="360" w:lineRule="auto"/>
        <w:ind w:firstLine="420" w:firstLineChars="200"/>
        <w:rPr>
          <w:rFonts w:hint="eastAsia"/>
          <w:color w:val="000000"/>
          <w:szCs w:val="21"/>
        </w:rPr>
      </w:pPr>
      <w:r>
        <w:rPr>
          <w:color w:val="000000"/>
          <w:szCs w:val="21"/>
        </w:rPr>
        <w:t>具体考核评价细则如下</w:t>
      </w:r>
      <w:r>
        <w:rPr>
          <w:rFonts w:hint="eastAsia"/>
          <w:color w:val="000000"/>
          <w:szCs w:val="21"/>
        </w:rPr>
        <w:t>（平时成绩考核/评价环节及其权重可结合班级的实际情况和具体教学实践适度调整）：</w:t>
      </w:r>
    </w:p>
    <w:tbl>
      <w:tblPr>
        <w:tblStyle w:val="30"/>
        <w:tblW w:w="85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01"/>
        <w:gridCol w:w="734"/>
        <w:gridCol w:w="3802"/>
        <w:gridCol w:w="1701"/>
      </w:tblGrid>
      <w:tr w14:paraId="67D5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47" w:type="dxa"/>
            <w:shd w:val="clear" w:color="auto" w:fill="FFFFFF"/>
            <w:noWrap w:val="0"/>
            <w:tcMar>
              <w:left w:w="57" w:type="dxa"/>
              <w:right w:w="57" w:type="dxa"/>
            </w:tcMar>
            <w:vAlign w:val="center"/>
          </w:tcPr>
          <w:p w14:paraId="78CB6EC0">
            <w:pPr>
              <w:pStyle w:val="40"/>
              <w:jc w:val="center"/>
              <w:rPr>
                <w:rFonts w:ascii="宋体" w:hAnsi="宋体" w:eastAsia="宋体"/>
                <w:color w:val="000000"/>
              </w:rPr>
            </w:pPr>
            <w:r>
              <w:rPr>
                <w:rFonts w:ascii="宋体" w:hAnsi="宋体" w:eastAsia="宋体"/>
                <w:color w:val="000000"/>
              </w:rPr>
              <w:t>成绩组成</w:t>
            </w:r>
          </w:p>
        </w:tc>
        <w:tc>
          <w:tcPr>
            <w:tcW w:w="1701" w:type="dxa"/>
            <w:shd w:val="clear" w:color="auto" w:fill="FFFFFF"/>
            <w:noWrap w:val="0"/>
            <w:vAlign w:val="center"/>
          </w:tcPr>
          <w:p w14:paraId="31E307E9">
            <w:pPr>
              <w:pStyle w:val="40"/>
              <w:jc w:val="center"/>
              <w:rPr>
                <w:rFonts w:ascii="宋体" w:hAnsi="宋体" w:eastAsia="宋体"/>
                <w:color w:val="000000"/>
              </w:rPr>
            </w:pPr>
            <w:r>
              <w:rPr>
                <w:rFonts w:ascii="宋体" w:hAnsi="宋体" w:eastAsia="宋体"/>
                <w:color w:val="000000"/>
              </w:rPr>
              <w:t>考核/评价环节</w:t>
            </w:r>
          </w:p>
        </w:tc>
        <w:tc>
          <w:tcPr>
            <w:tcW w:w="734" w:type="dxa"/>
            <w:shd w:val="clear" w:color="auto" w:fill="FFFFFF"/>
            <w:noWrap w:val="0"/>
            <w:vAlign w:val="center"/>
          </w:tcPr>
          <w:p w14:paraId="1D1AF525">
            <w:pPr>
              <w:pStyle w:val="40"/>
              <w:jc w:val="center"/>
              <w:rPr>
                <w:rFonts w:ascii="宋体" w:hAnsi="宋体" w:eastAsia="宋体"/>
                <w:color w:val="000000"/>
              </w:rPr>
            </w:pPr>
            <w:r>
              <w:rPr>
                <w:rFonts w:hint="eastAsia" w:ascii="宋体" w:hAnsi="宋体" w:eastAsia="宋体"/>
                <w:color w:val="000000"/>
              </w:rPr>
              <w:t>权重</w:t>
            </w:r>
          </w:p>
        </w:tc>
        <w:tc>
          <w:tcPr>
            <w:tcW w:w="3802" w:type="dxa"/>
            <w:shd w:val="clear" w:color="auto" w:fill="FFFFFF"/>
            <w:noWrap w:val="0"/>
            <w:vAlign w:val="center"/>
          </w:tcPr>
          <w:p w14:paraId="3121D23C">
            <w:pPr>
              <w:pStyle w:val="40"/>
              <w:jc w:val="center"/>
              <w:rPr>
                <w:rFonts w:ascii="宋体" w:hAnsi="宋体" w:eastAsia="宋体"/>
                <w:color w:val="000000"/>
              </w:rPr>
            </w:pPr>
            <w:r>
              <w:rPr>
                <w:rFonts w:ascii="宋体" w:hAnsi="宋体" w:eastAsia="宋体"/>
                <w:color w:val="000000"/>
              </w:rPr>
              <w:t>考核/评价细则</w:t>
            </w:r>
          </w:p>
        </w:tc>
        <w:tc>
          <w:tcPr>
            <w:tcW w:w="1701" w:type="dxa"/>
            <w:shd w:val="clear" w:color="auto" w:fill="FFFFFF"/>
            <w:noWrap w:val="0"/>
            <w:vAlign w:val="center"/>
          </w:tcPr>
          <w:p w14:paraId="2F1C4D1D">
            <w:pPr>
              <w:pStyle w:val="40"/>
              <w:jc w:val="center"/>
              <w:rPr>
                <w:rFonts w:ascii="宋体" w:hAnsi="宋体" w:eastAsia="宋体"/>
                <w:color w:val="000000"/>
              </w:rPr>
            </w:pPr>
            <w:r>
              <w:rPr>
                <w:rFonts w:ascii="宋体" w:hAnsi="宋体" w:eastAsia="宋体"/>
                <w:color w:val="000000"/>
              </w:rPr>
              <w:t>对应的毕业要求指标点</w:t>
            </w:r>
          </w:p>
        </w:tc>
      </w:tr>
      <w:tr w14:paraId="6D93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47" w:type="dxa"/>
            <w:vMerge w:val="restart"/>
            <w:noWrap w:val="0"/>
            <w:tcMar>
              <w:left w:w="57" w:type="dxa"/>
              <w:right w:w="57" w:type="dxa"/>
            </w:tcMar>
            <w:vAlign w:val="center"/>
          </w:tcPr>
          <w:p w14:paraId="372FEFF0">
            <w:pPr>
              <w:pStyle w:val="40"/>
              <w:jc w:val="center"/>
              <w:rPr>
                <w:rFonts w:ascii="宋体" w:hAnsi="宋体" w:eastAsia="宋体"/>
                <w:color w:val="000000"/>
              </w:rPr>
            </w:pPr>
            <w:r>
              <w:rPr>
                <w:rFonts w:ascii="宋体" w:hAnsi="宋体" w:eastAsia="宋体"/>
                <w:color w:val="000000"/>
              </w:rPr>
              <w:t>平时成绩</w:t>
            </w:r>
          </w:p>
          <w:p w14:paraId="4FC69FA7">
            <w:pPr>
              <w:pStyle w:val="40"/>
              <w:jc w:val="center"/>
              <w:rPr>
                <w:rFonts w:ascii="宋体" w:hAnsi="宋体" w:eastAsia="宋体"/>
                <w:color w:val="000000"/>
              </w:rPr>
            </w:pPr>
            <w:r>
              <w:rPr>
                <w:rFonts w:ascii="宋体" w:hAnsi="宋体" w:eastAsia="宋体"/>
                <w:color w:val="000000"/>
              </w:rPr>
              <w:t>5</w:t>
            </w:r>
            <w:r>
              <w:rPr>
                <w:rFonts w:hint="eastAsia" w:ascii="宋体" w:hAnsi="宋体" w:eastAsia="宋体"/>
                <w:color w:val="000000"/>
              </w:rPr>
              <w:t>0%</w:t>
            </w:r>
          </w:p>
        </w:tc>
        <w:tc>
          <w:tcPr>
            <w:tcW w:w="1701" w:type="dxa"/>
            <w:noWrap w:val="0"/>
            <w:vAlign w:val="center"/>
          </w:tcPr>
          <w:p w14:paraId="566ABBA6">
            <w:pPr>
              <w:spacing w:line="276" w:lineRule="auto"/>
              <w:jc w:val="center"/>
              <w:rPr>
                <w:rFonts w:ascii="宋体" w:hAnsi="宋体"/>
                <w:color w:val="000000"/>
                <w:szCs w:val="21"/>
              </w:rPr>
            </w:pPr>
            <w:r>
              <w:rPr>
                <w:rFonts w:hint="eastAsia" w:ascii="宋体" w:hAnsi="宋体"/>
                <w:color w:val="000000"/>
                <w:szCs w:val="21"/>
              </w:rPr>
              <w:t>考勤</w:t>
            </w:r>
          </w:p>
        </w:tc>
        <w:tc>
          <w:tcPr>
            <w:tcW w:w="734" w:type="dxa"/>
            <w:noWrap w:val="0"/>
            <w:vAlign w:val="center"/>
          </w:tcPr>
          <w:p w14:paraId="778E5533">
            <w:pPr>
              <w:pStyle w:val="40"/>
              <w:rPr>
                <w:rFonts w:ascii="宋体" w:hAnsi="宋体" w:eastAsia="宋体"/>
                <w:color w:val="000000"/>
              </w:rPr>
            </w:pPr>
            <w:r>
              <w:rPr>
                <w:rFonts w:hint="eastAsia" w:ascii="宋体" w:hAnsi="宋体" w:eastAsia="宋体"/>
                <w:color w:val="000000"/>
              </w:rPr>
              <w:t xml:space="preserve"> 15</w:t>
            </w:r>
            <w:r>
              <w:rPr>
                <w:rFonts w:ascii="宋体" w:hAnsi="宋体" w:eastAsia="宋体"/>
                <w:color w:val="000000"/>
              </w:rPr>
              <w:t>%</w:t>
            </w:r>
          </w:p>
        </w:tc>
        <w:tc>
          <w:tcPr>
            <w:tcW w:w="3802" w:type="dxa"/>
            <w:noWrap w:val="0"/>
            <w:vAlign w:val="center"/>
          </w:tcPr>
          <w:p w14:paraId="2C3F7127">
            <w:pPr>
              <w:spacing w:line="276" w:lineRule="auto"/>
              <w:rPr>
                <w:rFonts w:ascii="宋体" w:hAnsi="宋体"/>
                <w:color w:val="000000"/>
                <w:szCs w:val="21"/>
              </w:rPr>
            </w:pPr>
            <w:r>
              <w:rPr>
                <w:rFonts w:hint="eastAsia" w:ascii="宋体" w:hAnsi="宋体"/>
                <w:bCs/>
                <w:color w:val="000000"/>
                <w:kern w:val="24"/>
                <w:szCs w:val="21"/>
              </w:rPr>
              <w:t>随堂</w:t>
            </w:r>
            <w:r>
              <w:rPr>
                <w:rFonts w:ascii="宋体" w:hAnsi="宋体"/>
                <w:bCs/>
                <w:color w:val="000000"/>
                <w:kern w:val="24"/>
                <w:szCs w:val="21"/>
              </w:rPr>
              <w:t>不定期</w:t>
            </w:r>
            <w:r>
              <w:rPr>
                <w:rFonts w:hint="eastAsia" w:ascii="宋体" w:hAnsi="宋体"/>
                <w:bCs/>
                <w:color w:val="000000"/>
                <w:kern w:val="24"/>
                <w:szCs w:val="21"/>
              </w:rPr>
              <w:t>考勤，考核</w:t>
            </w:r>
            <w:r>
              <w:rPr>
                <w:rFonts w:hint="eastAsia" w:ascii="宋体" w:hAnsi="宋体"/>
                <w:color w:val="000000"/>
                <w:szCs w:val="21"/>
              </w:rPr>
              <w:t>能否按时到勤，旷课一次扣3</w:t>
            </w:r>
            <w:r>
              <w:rPr>
                <w:rFonts w:ascii="宋体" w:hAnsi="宋体"/>
                <w:color w:val="000000"/>
                <w:szCs w:val="21"/>
              </w:rPr>
              <w:t>0</w:t>
            </w:r>
            <w:r>
              <w:rPr>
                <w:rFonts w:hint="eastAsia" w:ascii="宋体" w:hAnsi="宋体"/>
                <w:color w:val="000000"/>
                <w:szCs w:val="21"/>
              </w:rPr>
              <w:t>分，迟到与早退一次扣20分，病假事假不扣分；满分100分。</w:t>
            </w:r>
          </w:p>
        </w:tc>
        <w:tc>
          <w:tcPr>
            <w:tcW w:w="1701" w:type="dxa"/>
            <w:noWrap w:val="0"/>
            <w:vAlign w:val="center"/>
          </w:tcPr>
          <w:p w14:paraId="03B87F30">
            <w:pPr>
              <w:pStyle w:val="40"/>
              <w:jc w:val="center"/>
              <w:rPr>
                <w:rFonts w:ascii="宋体" w:hAnsi="宋体" w:eastAsia="宋体"/>
                <w:color w:val="000000"/>
              </w:rPr>
            </w:pPr>
            <w:r>
              <w:rPr>
                <w:rFonts w:hint="eastAsia"/>
                <w:color w:val="000000"/>
              </w:rPr>
              <w:t>7-1、8-3</w:t>
            </w:r>
          </w:p>
        </w:tc>
      </w:tr>
      <w:tr w14:paraId="63AB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647" w:type="dxa"/>
            <w:vMerge w:val="continue"/>
            <w:noWrap w:val="0"/>
            <w:tcMar>
              <w:left w:w="57" w:type="dxa"/>
              <w:right w:w="57" w:type="dxa"/>
            </w:tcMar>
            <w:vAlign w:val="center"/>
          </w:tcPr>
          <w:p w14:paraId="711F877A">
            <w:pPr>
              <w:pStyle w:val="40"/>
              <w:jc w:val="center"/>
              <w:rPr>
                <w:rFonts w:ascii="宋体" w:hAnsi="宋体" w:eastAsia="宋体"/>
                <w:color w:val="000000"/>
              </w:rPr>
            </w:pPr>
          </w:p>
        </w:tc>
        <w:tc>
          <w:tcPr>
            <w:tcW w:w="1701" w:type="dxa"/>
            <w:noWrap w:val="0"/>
            <w:vAlign w:val="center"/>
          </w:tcPr>
          <w:p w14:paraId="5DD0F114">
            <w:pPr>
              <w:spacing w:line="276" w:lineRule="auto"/>
              <w:jc w:val="center"/>
              <w:rPr>
                <w:rFonts w:ascii="宋体" w:hAnsi="宋体"/>
                <w:color w:val="000000"/>
                <w:szCs w:val="21"/>
              </w:rPr>
            </w:pPr>
            <w:r>
              <w:rPr>
                <w:rFonts w:hint="eastAsia" w:ascii="宋体" w:hAnsi="宋体"/>
                <w:color w:val="000000"/>
                <w:szCs w:val="21"/>
              </w:rPr>
              <w:t>课堂表现</w:t>
            </w:r>
          </w:p>
        </w:tc>
        <w:tc>
          <w:tcPr>
            <w:tcW w:w="734" w:type="dxa"/>
            <w:noWrap w:val="0"/>
            <w:vAlign w:val="center"/>
          </w:tcPr>
          <w:p w14:paraId="2268A7C5">
            <w:pPr>
              <w:pStyle w:val="40"/>
              <w:jc w:val="center"/>
              <w:rPr>
                <w:rFonts w:ascii="宋体" w:hAnsi="宋体" w:eastAsia="宋体"/>
                <w:color w:val="000000"/>
              </w:rPr>
            </w:pPr>
            <w:r>
              <w:rPr>
                <w:rFonts w:hint="eastAsia" w:ascii="宋体" w:hAnsi="宋体" w:eastAsia="宋体"/>
                <w:color w:val="000000"/>
              </w:rPr>
              <w:t>25</w:t>
            </w:r>
            <w:r>
              <w:rPr>
                <w:rFonts w:ascii="宋体" w:hAnsi="宋体" w:eastAsia="宋体"/>
                <w:color w:val="000000"/>
              </w:rPr>
              <w:t>%</w:t>
            </w:r>
          </w:p>
        </w:tc>
        <w:tc>
          <w:tcPr>
            <w:tcW w:w="3802" w:type="dxa"/>
            <w:noWrap w:val="0"/>
            <w:vAlign w:val="center"/>
          </w:tcPr>
          <w:p w14:paraId="60F45E5D">
            <w:pPr>
              <w:spacing w:line="276" w:lineRule="auto"/>
              <w:jc w:val="left"/>
              <w:rPr>
                <w:rFonts w:ascii="宋体" w:hAnsi="宋体"/>
                <w:color w:val="000000"/>
                <w:szCs w:val="21"/>
              </w:rPr>
            </w:pPr>
            <w:r>
              <w:rPr>
                <w:rFonts w:hint="eastAsia" w:ascii="宋体" w:hAnsi="宋体"/>
                <w:bCs/>
                <w:color w:val="000000"/>
                <w:kern w:val="24"/>
                <w:szCs w:val="21"/>
              </w:rPr>
              <w:t>随堂记录学生学习态度，</w:t>
            </w:r>
            <w:r>
              <w:rPr>
                <w:rFonts w:ascii="宋体" w:hAnsi="宋体"/>
                <w:bCs/>
                <w:color w:val="000000"/>
                <w:kern w:val="24"/>
                <w:szCs w:val="21"/>
              </w:rPr>
              <w:t>听课的精神状态，</w:t>
            </w:r>
            <w:r>
              <w:rPr>
                <w:rFonts w:hint="eastAsia" w:ascii="宋体" w:hAnsi="宋体"/>
                <w:bCs/>
                <w:color w:val="000000"/>
                <w:kern w:val="24"/>
                <w:szCs w:val="21"/>
              </w:rPr>
              <w:t>参与教学情况；课堂</w:t>
            </w:r>
            <w:r>
              <w:rPr>
                <w:rFonts w:ascii="宋体" w:hAnsi="宋体"/>
                <w:bCs/>
                <w:color w:val="000000"/>
                <w:kern w:val="24"/>
                <w:szCs w:val="21"/>
              </w:rPr>
              <w:t>随机提问，考察学生</w:t>
            </w:r>
            <w:r>
              <w:rPr>
                <w:rFonts w:hint="eastAsia" w:ascii="宋体" w:hAnsi="宋体"/>
                <w:bCs/>
                <w:color w:val="000000"/>
                <w:kern w:val="24"/>
                <w:szCs w:val="21"/>
              </w:rPr>
              <w:t>对</w:t>
            </w:r>
            <w:r>
              <w:rPr>
                <w:rFonts w:ascii="宋体" w:hAnsi="宋体"/>
                <w:bCs/>
                <w:color w:val="000000"/>
                <w:kern w:val="24"/>
                <w:szCs w:val="21"/>
              </w:rPr>
              <w:t>当堂课程的掌握情况</w:t>
            </w:r>
            <w:r>
              <w:rPr>
                <w:rFonts w:hint="eastAsia" w:ascii="宋体" w:hAnsi="宋体"/>
                <w:bCs/>
                <w:color w:val="000000"/>
                <w:kern w:val="24"/>
                <w:szCs w:val="21"/>
              </w:rPr>
              <w:t>；</w:t>
            </w:r>
            <w:r>
              <w:rPr>
                <w:rFonts w:ascii="宋体" w:hAnsi="宋体"/>
                <w:bCs/>
                <w:color w:val="000000"/>
                <w:kern w:val="24"/>
                <w:szCs w:val="21"/>
              </w:rPr>
              <w:t>课堂</w:t>
            </w:r>
            <w:r>
              <w:rPr>
                <w:rFonts w:hint="eastAsia" w:ascii="宋体" w:hAnsi="宋体"/>
                <w:bCs/>
                <w:color w:val="000000"/>
                <w:kern w:val="24"/>
                <w:szCs w:val="21"/>
              </w:rPr>
              <w:t>陈述、讨论、</w:t>
            </w:r>
            <w:r>
              <w:rPr>
                <w:rFonts w:ascii="宋体" w:hAnsi="宋体"/>
                <w:bCs/>
                <w:color w:val="000000"/>
                <w:kern w:val="24"/>
                <w:szCs w:val="21"/>
              </w:rPr>
              <w:t>测试</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23F93940">
            <w:pPr>
              <w:pStyle w:val="40"/>
              <w:jc w:val="center"/>
              <w:rPr>
                <w:rFonts w:ascii="宋体" w:hAnsi="宋体" w:eastAsia="宋体"/>
                <w:color w:val="000000"/>
              </w:rPr>
            </w:pPr>
            <w:r>
              <w:rPr>
                <w:rFonts w:hint="eastAsia"/>
                <w:color w:val="000000"/>
              </w:rPr>
              <w:t>7-1、8-3</w:t>
            </w:r>
          </w:p>
        </w:tc>
      </w:tr>
      <w:tr w14:paraId="7119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645EDC6E">
            <w:pPr>
              <w:pStyle w:val="40"/>
              <w:jc w:val="center"/>
              <w:rPr>
                <w:rFonts w:ascii="宋体" w:hAnsi="宋体" w:eastAsia="宋体"/>
                <w:color w:val="000000"/>
              </w:rPr>
            </w:pPr>
          </w:p>
        </w:tc>
        <w:tc>
          <w:tcPr>
            <w:tcW w:w="1701" w:type="dxa"/>
            <w:noWrap w:val="0"/>
            <w:vAlign w:val="center"/>
          </w:tcPr>
          <w:p w14:paraId="1808BE51">
            <w:pPr>
              <w:spacing w:line="276" w:lineRule="auto"/>
              <w:jc w:val="center"/>
              <w:rPr>
                <w:rFonts w:ascii="宋体" w:hAnsi="宋体"/>
                <w:color w:val="000000"/>
                <w:szCs w:val="21"/>
              </w:rPr>
            </w:pPr>
            <w:r>
              <w:rPr>
                <w:rFonts w:hint="eastAsia" w:ascii="宋体" w:hAnsi="宋体"/>
                <w:color w:val="000000"/>
                <w:szCs w:val="21"/>
              </w:rPr>
              <w:t>作业、测试</w:t>
            </w:r>
          </w:p>
        </w:tc>
        <w:tc>
          <w:tcPr>
            <w:tcW w:w="734" w:type="dxa"/>
            <w:noWrap w:val="0"/>
            <w:vAlign w:val="center"/>
          </w:tcPr>
          <w:p w14:paraId="239D985F">
            <w:pPr>
              <w:pStyle w:val="40"/>
              <w:jc w:val="center"/>
              <w:rPr>
                <w:rFonts w:ascii="宋体" w:hAnsi="宋体" w:eastAsia="宋体"/>
                <w:color w:val="000000"/>
              </w:rPr>
            </w:pPr>
            <w:r>
              <w:rPr>
                <w:rFonts w:hint="eastAsia" w:ascii="宋体" w:hAnsi="宋体" w:eastAsia="宋体"/>
                <w:color w:val="000000"/>
              </w:rPr>
              <w:t>15</w:t>
            </w:r>
            <w:r>
              <w:rPr>
                <w:rFonts w:ascii="宋体" w:hAnsi="宋体" w:eastAsia="宋体"/>
                <w:color w:val="000000"/>
              </w:rPr>
              <w:t>%</w:t>
            </w:r>
          </w:p>
        </w:tc>
        <w:tc>
          <w:tcPr>
            <w:tcW w:w="3802" w:type="dxa"/>
            <w:noWrap w:val="0"/>
            <w:vAlign w:val="center"/>
          </w:tcPr>
          <w:p w14:paraId="408A8E4B">
            <w:pPr>
              <w:spacing w:line="276" w:lineRule="auto"/>
              <w:rPr>
                <w:rFonts w:ascii="宋体" w:hAnsi="宋体"/>
                <w:color w:val="000000"/>
                <w:szCs w:val="21"/>
              </w:rPr>
            </w:pPr>
            <w:r>
              <w:rPr>
                <w:rFonts w:hint="eastAsia" w:ascii="宋体" w:hAnsi="宋体"/>
                <w:bCs/>
                <w:color w:val="000000"/>
                <w:kern w:val="24"/>
                <w:szCs w:val="21"/>
              </w:rPr>
              <w:t>词汇单元练习、网络平台测试</w:t>
            </w:r>
            <w:r>
              <w:rPr>
                <w:rFonts w:ascii="宋体" w:hAnsi="宋体"/>
                <w:bCs/>
                <w:color w:val="000000"/>
                <w:kern w:val="24"/>
                <w:szCs w:val="21"/>
              </w:rPr>
              <w:t>，考核学生对</w:t>
            </w:r>
            <w:r>
              <w:rPr>
                <w:rFonts w:hint="eastAsia" w:ascii="宋体" w:hAnsi="宋体"/>
                <w:bCs/>
                <w:color w:val="000000"/>
                <w:kern w:val="24"/>
                <w:szCs w:val="21"/>
              </w:rPr>
              <w:t>单元</w:t>
            </w:r>
            <w:r>
              <w:rPr>
                <w:rFonts w:ascii="宋体" w:hAnsi="宋体"/>
                <w:bCs/>
                <w:color w:val="000000"/>
                <w:kern w:val="24"/>
                <w:szCs w:val="21"/>
              </w:rPr>
              <w:t>知识点的</w:t>
            </w:r>
            <w:r>
              <w:rPr>
                <w:rFonts w:hint="eastAsia" w:ascii="宋体" w:hAnsi="宋体"/>
                <w:bCs/>
                <w:color w:val="000000"/>
                <w:kern w:val="24"/>
                <w:szCs w:val="21"/>
              </w:rPr>
              <w:t>学习</w:t>
            </w:r>
            <w:r>
              <w:rPr>
                <w:rFonts w:ascii="宋体" w:hAnsi="宋体"/>
                <w:bCs/>
                <w:color w:val="000000"/>
                <w:kern w:val="24"/>
                <w:szCs w:val="21"/>
              </w:rPr>
              <w:t>、理解和掌握</w:t>
            </w:r>
            <w:r>
              <w:rPr>
                <w:rFonts w:hint="eastAsia" w:ascii="宋体" w:hAnsi="宋体"/>
                <w:bCs/>
                <w:color w:val="000000"/>
                <w:kern w:val="24"/>
                <w:szCs w:val="21"/>
              </w:rPr>
              <w:t>程度</w:t>
            </w:r>
            <w:r>
              <w:rPr>
                <w:rFonts w:ascii="宋体" w:hAnsi="宋体"/>
                <w:bCs/>
                <w:color w:val="000000"/>
                <w:kern w:val="24"/>
                <w:szCs w:val="21"/>
              </w:rPr>
              <w:t>。对每次作业</w:t>
            </w:r>
            <w:r>
              <w:rPr>
                <w:rFonts w:hint="eastAsia" w:ascii="宋体" w:hAnsi="宋体"/>
                <w:bCs/>
                <w:color w:val="000000"/>
                <w:kern w:val="24"/>
                <w:szCs w:val="21"/>
              </w:rPr>
              <w:t>、练习和测试</w:t>
            </w:r>
            <w:r>
              <w:rPr>
                <w:rFonts w:ascii="宋体" w:hAnsi="宋体"/>
                <w:bCs/>
                <w:color w:val="000000"/>
                <w:kern w:val="24"/>
                <w:szCs w:val="21"/>
              </w:rPr>
              <w:t>完成情况做记录并百分制打分</w:t>
            </w:r>
            <w:r>
              <w:rPr>
                <w:rFonts w:hint="eastAsia" w:ascii="宋体" w:hAnsi="宋体"/>
                <w:bCs/>
                <w:color w:val="000000"/>
                <w:kern w:val="24"/>
                <w:szCs w:val="21"/>
              </w:rPr>
              <w:t>，</w:t>
            </w:r>
            <w:r>
              <w:rPr>
                <w:rFonts w:ascii="宋体" w:hAnsi="宋体"/>
                <w:bCs/>
                <w:color w:val="000000"/>
                <w:kern w:val="24"/>
                <w:szCs w:val="21"/>
              </w:rPr>
              <w:t>计算全部作业的平均成绩</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0EE5BA47">
            <w:pPr>
              <w:pStyle w:val="40"/>
              <w:jc w:val="center"/>
              <w:rPr>
                <w:rFonts w:ascii="宋体" w:hAnsi="宋体" w:eastAsia="宋体"/>
                <w:color w:val="000000"/>
              </w:rPr>
            </w:pPr>
            <w:r>
              <w:rPr>
                <w:rFonts w:hint="eastAsia"/>
                <w:color w:val="000000"/>
              </w:rPr>
              <w:t>7-1、8-3</w:t>
            </w:r>
          </w:p>
        </w:tc>
      </w:tr>
      <w:tr w14:paraId="62F4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74FA4B1A">
            <w:pPr>
              <w:pStyle w:val="40"/>
              <w:jc w:val="center"/>
              <w:rPr>
                <w:rFonts w:ascii="宋体" w:hAnsi="宋体" w:eastAsia="宋体"/>
                <w:color w:val="000000"/>
              </w:rPr>
            </w:pPr>
          </w:p>
        </w:tc>
        <w:tc>
          <w:tcPr>
            <w:tcW w:w="1701" w:type="dxa"/>
            <w:noWrap w:val="0"/>
            <w:vAlign w:val="center"/>
          </w:tcPr>
          <w:p w14:paraId="77EB9678">
            <w:pPr>
              <w:spacing w:line="276" w:lineRule="auto"/>
              <w:jc w:val="center"/>
              <w:rPr>
                <w:rFonts w:hint="eastAsia" w:ascii="宋体" w:hAnsi="宋体"/>
                <w:color w:val="000000"/>
                <w:szCs w:val="21"/>
              </w:rPr>
            </w:pPr>
            <w:r>
              <w:rPr>
                <w:rFonts w:hint="eastAsia" w:ascii="宋体" w:hAnsi="宋体"/>
                <w:color w:val="000000"/>
                <w:szCs w:val="21"/>
              </w:rPr>
              <w:t>口语</w:t>
            </w:r>
          </w:p>
        </w:tc>
        <w:tc>
          <w:tcPr>
            <w:tcW w:w="734" w:type="dxa"/>
            <w:noWrap w:val="0"/>
            <w:vAlign w:val="center"/>
          </w:tcPr>
          <w:p w14:paraId="436535B4">
            <w:pPr>
              <w:pStyle w:val="40"/>
              <w:jc w:val="center"/>
              <w:rPr>
                <w:rFonts w:hint="eastAsia" w:ascii="宋体" w:hAnsi="宋体" w:eastAsia="宋体"/>
                <w:color w:val="000000"/>
              </w:rPr>
            </w:pPr>
            <w:r>
              <w:rPr>
                <w:rFonts w:ascii="宋体" w:hAnsi="宋体" w:eastAsia="宋体"/>
                <w:color w:val="000000"/>
              </w:rPr>
              <w:t>1</w:t>
            </w:r>
            <w:r>
              <w:rPr>
                <w:rFonts w:hint="eastAsia" w:ascii="宋体" w:hAnsi="宋体" w:eastAsia="宋体"/>
                <w:color w:val="000000"/>
              </w:rPr>
              <w:t>0</w:t>
            </w:r>
            <w:r>
              <w:rPr>
                <w:rFonts w:ascii="宋体" w:hAnsi="宋体" w:eastAsia="宋体"/>
                <w:color w:val="000000"/>
              </w:rPr>
              <w:t>%</w:t>
            </w:r>
          </w:p>
        </w:tc>
        <w:tc>
          <w:tcPr>
            <w:tcW w:w="3802" w:type="dxa"/>
            <w:noWrap w:val="0"/>
            <w:vAlign w:val="center"/>
          </w:tcPr>
          <w:p w14:paraId="2667AADF">
            <w:pPr>
              <w:spacing w:line="276" w:lineRule="auto"/>
              <w:rPr>
                <w:rFonts w:hint="eastAsia" w:ascii="宋体" w:hAnsi="宋体"/>
                <w:bCs/>
                <w:color w:val="000000"/>
                <w:kern w:val="24"/>
                <w:szCs w:val="21"/>
              </w:rPr>
            </w:pPr>
            <w:r>
              <w:rPr>
                <w:rFonts w:hint="eastAsia" w:ascii="宋体" w:hAnsi="宋体"/>
                <w:bCs/>
                <w:color w:val="000000"/>
                <w:kern w:val="24"/>
                <w:szCs w:val="21"/>
              </w:rPr>
              <w:t>随堂测试，口语测试需包括短文朗读、简短问答和情景对话，记录成绩；满分100分</w:t>
            </w:r>
            <w:r>
              <w:rPr>
                <w:rFonts w:ascii="宋体" w:hAnsi="宋体"/>
                <w:bCs/>
                <w:color w:val="000000"/>
                <w:kern w:val="24"/>
                <w:szCs w:val="21"/>
              </w:rPr>
              <w:t>。</w:t>
            </w:r>
          </w:p>
        </w:tc>
        <w:tc>
          <w:tcPr>
            <w:tcW w:w="1701" w:type="dxa"/>
            <w:noWrap w:val="0"/>
            <w:vAlign w:val="center"/>
          </w:tcPr>
          <w:p w14:paraId="38C7824B">
            <w:pPr>
              <w:pStyle w:val="40"/>
              <w:jc w:val="center"/>
              <w:rPr>
                <w:rFonts w:hint="eastAsia" w:ascii="宋体" w:hAnsi="宋体" w:eastAsia="宋体"/>
                <w:bCs/>
                <w:color w:val="000000"/>
              </w:rPr>
            </w:pPr>
            <w:r>
              <w:rPr>
                <w:rFonts w:hint="eastAsia"/>
                <w:color w:val="000000"/>
              </w:rPr>
              <w:t>7-1、8-3</w:t>
            </w:r>
          </w:p>
        </w:tc>
      </w:tr>
      <w:tr w14:paraId="6F91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6F4813C0">
            <w:pPr>
              <w:pStyle w:val="40"/>
              <w:jc w:val="center"/>
              <w:rPr>
                <w:rFonts w:ascii="宋体" w:hAnsi="宋体" w:eastAsia="宋体"/>
                <w:color w:val="000000"/>
              </w:rPr>
            </w:pPr>
          </w:p>
        </w:tc>
        <w:tc>
          <w:tcPr>
            <w:tcW w:w="1701" w:type="dxa"/>
            <w:noWrap w:val="0"/>
            <w:vAlign w:val="center"/>
          </w:tcPr>
          <w:p w14:paraId="6D2463F4">
            <w:pPr>
              <w:spacing w:line="276" w:lineRule="auto"/>
              <w:jc w:val="center"/>
              <w:rPr>
                <w:rFonts w:hint="eastAsia" w:ascii="宋体" w:hAnsi="宋体"/>
                <w:color w:val="000000"/>
                <w:szCs w:val="21"/>
              </w:rPr>
            </w:pPr>
            <w:r>
              <w:rPr>
                <w:rFonts w:hint="eastAsia" w:ascii="宋体" w:hAnsi="宋体"/>
                <w:bCs/>
                <w:color w:val="000000"/>
                <w:kern w:val="24"/>
                <w:szCs w:val="21"/>
              </w:rPr>
              <w:t>书面表达</w:t>
            </w:r>
          </w:p>
        </w:tc>
        <w:tc>
          <w:tcPr>
            <w:tcW w:w="734" w:type="dxa"/>
            <w:noWrap w:val="0"/>
            <w:vAlign w:val="center"/>
          </w:tcPr>
          <w:p w14:paraId="3C90BF67">
            <w:pPr>
              <w:pStyle w:val="40"/>
              <w:jc w:val="center"/>
              <w:rPr>
                <w:rFonts w:hint="eastAsia" w:ascii="宋体" w:hAnsi="宋体" w:eastAsia="宋体"/>
                <w:color w:val="000000"/>
              </w:rPr>
            </w:pPr>
            <w:r>
              <w:rPr>
                <w:rFonts w:hint="eastAsia" w:ascii="宋体" w:hAnsi="宋体" w:eastAsia="宋体"/>
                <w:color w:val="000000"/>
              </w:rPr>
              <w:t>1</w:t>
            </w:r>
            <w:r>
              <w:rPr>
                <w:rFonts w:ascii="宋体" w:hAnsi="宋体" w:eastAsia="宋体"/>
                <w:color w:val="000000"/>
              </w:rPr>
              <w:t>0%</w:t>
            </w:r>
          </w:p>
        </w:tc>
        <w:tc>
          <w:tcPr>
            <w:tcW w:w="3802" w:type="dxa"/>
            <w:noWrap w:val="0"/>
            <w:vAlign w:val="center"/>
          </w:tcPr>
          <w:p w14:paraId="308CE7B3">
            <w:pPr>
              <w:spacing w:line="276" w:lineRule="auto"/>
              <w:rPr>
                <w:rFonts w:hint="eastAsia" w:ascii="宋体" w:hAnsi="宋体"/>
                <w:bCs/>
                <w:color w:val="000000"/>
                <w:kern w:val="24"/>
                <w:szCs w:val="21"/>
              </w:rPr>
            </w:pPr>
            <w:r>
              <w:rPr>
                <w:rFonts w:hint="eastAsia" w:ascii="宋体" w:hAnsi="宋体"/>
                <w:bCs/>
                <w:color w:val="000000"/>
                <w:kern w:val="24"/>
                <w:szCs w:val="21"/>
              </w:rPr>
              <w:t>不少于两次书面表达练习（书面表达练习由大学英语教学部统一命题并建立书面表达练习题库），记录成绩并百分制打分，计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w:t>
            </w:r>
            <w:r>
              <w:rPr>
                <w:rFonts w:ascii="宋体" w:hAnsi="宋体"/>
                <w:bCs/>
                <w:color w:val="000000"/>
                <w:kern w:val="24"/>
              </w:rPr>
              <w:t>100</w:t>
            </w:r>
            <w:r>
              <w:rPr>
                <w:rFonts w:hint="eastAsia" w:ascii="宋体" w:hAnsi="宋体"/>
                <w:bCs/>
                <w:color w:val="000000"/>
                <w:kern w:val="24"/>
                <w:szCs w:val="21"/>
              </w:rPr>
              <w:t>分</w:t>
            </w:r>
            <w:r>
              <w:rPr>
                <w:rFonts w:ascii="宋体" w:hAnsi="宋体"/>
                <w:bCs/>
                <w:color w:val="000000"/>
                <w:kern w:val="24"/>
                <w:szCs w:val="21"/>
              </w:rPr>
              <w:t>。</w:t>
            </w:r>
          </w:p>
        </w:tc>
        <w:tc>
          <w:tcPr>
            <w:tcW w:w="1701" w:type="dxa"/>
            <w:noWrap w:val="0"/>
            <w:vAlign w:val="center"/>
          </w:tcPr>
          <w:p w14:paraId="528BF390">
            <w:pPr>
              <w:pStyle w:val="40"/>
              <w:jc w:val="center"/>
              <w:rPr>
                <w:rFonts w:hint="eastAsia" w:ascii="宋体" w:hAnsi="宋体" w:eastAsia="宋体"/>
                <w:color w:val="000000"/>
              </w:rPr>
            </w:pPr>
            <w:r>
              <w:rPr>
                <w:rFonts w:hint="eastAsia"/>
                <w:color w:val="000000"/>
              </w:rPr>
              <w:t>7-1、8-3</w:t>
            </w:r>
          </w:p>
        </w:tc>
      </w:tr>
      <w:tr w14:paraId="088C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0BF77AAE">
            <w:pPr>
              <w:pStyle w:val="40"/>
              <w:jc w:val="center"/>
              <w:rPr>
                <w:rFonts w:ascii="宋体" w:hAnsi="宋体" w:eastAsia="宋体"/>
                <w:color w:val="000000"/>
              </w:rPr>
            </w:pPr>
          </w:p>
        </w:tc>
        <w:tc>
          <w:tcPr>
            <w:tcW w:w="1701" w:type="dxa"/>
            <w:noWrap w:val="0"/>
            <w:vAlign w:val="center"/>
          </w:tcPr>
          <w:p w14:paraId="7F8639F8">
            <w:pPr>
              <w:spacing w:line="276" w:lineRule="auto"/>
              <w:jc w:val="center"/>
              <w:rPr>
                <w:rFonts w:hint="eastAsia" w:ascii="宋体" w:hAnsi="宋体"/>
                <w:color w:val="000000"/>
                <w:szCs w:val="21"/>
              </w:rPr>
            </w:pPr>
            <w:r>
              <w:rPr>
                <w:rFonts w:hint="eastAsia" w:ascii="宋体" w:hAnsi="宋体"/>
                <w:color w:val="000000"/>
                <w:szCs w:val="21"/>
              </w:rPr>
              <w:t>翻译</w:t>
            </w:r>
          </w:p>
        </w:tc>
        <w:tc>
          <w:tcPr>
            <w:tcW w:w="734" w:type="dxa"/>
            <w:noWrap w:val="0"/>
            <w:vAlign w:val="center"/>
          </w:tcPr>
          <w:p w14:paraId="689AEAF1">
            <w:pPr>
              <w:pStyle w:val="40"/>
              <w:jc w:val="center"/>
              <w:rPr>
                <w:rFonts w:hint="eastAsia" w:ascii="宋体" w:hAnsi="宋体" w:eastAsia="宋体"/>
                <w:color w:val="000000"/>
              </w:rPr>
            </w:pPr>
            <w:r>
              <w:rPr>
                <w:rFonts w:hint="eastAsia" w:ascii="宋体" w:hAnsi="宋体" w:eastAsia="宋体"/>
                <w:color w:val="000000"/>
              </w:rPr>
              <w:t>10</w:t>
            </w:r>
            <w:r>
              <w:rPr>
                <w:rFonts w:ascii="宋体" w:hAnsi="宋体" w:eastAsia="宋体"/>
                <w:color w:val="000000"/>
              </w:rPr>
              <w:t>%</w:t>
            </w:r>
          </w:p>
        </w:tc>
        <w:tc>
          <w:tcPr>
            <w:tcW w:w="3802" w:type="dxa"/>
            <w:noWrap w:val="0"/>
            <w:vAlign w:val="center"/>
          </w:tcPr>
          <w:p w14:paraId="2927E17D">
            <w:pPr>
              <w:spacing w:line="276" w:lineRule="auto"/>
              <w:rPr>
                <w:rFonts w:hint="eastAsia" w:ascii="宋体" w:hAnsi="宋体"/>
                <w:bCs/>
                <w:color w:val="000000"/>
                <w:kern w:val="24"/>
                <w:szCs w:val="21"/>
              </w:rPr>
            </w:pPr>
            <w:r>
              <w:rPr>
                <w:rFonts w:hint="eastAsia" w:ascii="宋体" w:hAnsi="宋体"/>
                <w:bCs/>
                <w:color w:val="000000"/>
                <w:kern w:val="24"/>
                <w:szCs w:val="21"/>
              </w:rPr>
              <w:t>不少于两次翻译练习和一次班级随堂测试（翻译练习、测试题由大学英语教学部统一命题并建立翻译题库），记录成绩并百分制打分，计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29B01119">
            <w:pPr>
              <w:pStyle w:val="40"/>
              <w:jc w:val="center"/>
              <w:rPr>
                <w:rFonts w:hint="eastAsia" w:ascii="宋体" w:hAnsi="宋体" w:eastAsia="宋体"/>
                <w:bCs/>
                <w:color w:val="000000"/>
              </w:rPr>
            </w:pPr>
            <w:r>
              <w:rPr>
                <w:rFonts w:hint="eastAsia"/>
                <w:color w:val="000000"/>
              </w:rPr>
              <w:t>7-1、8-3</w:t>
            </w:r>
          </w:p>
        </w:tc>
      </w:tr>
      <w:tr w14:paraId="2B58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2C934287">
            <w:pPr>
              <w:pStyle w:val="40"/>
              <w:jc w:val="center"/>
              <w:rPr>
                <w:rFonts w:ascii="宋体" w:hAnsi="宋体" w:eastAsia="宋体"/>
                <w:color w:val="000000"/>
              </w:rPr>
            </w:pPr>
          </w:p>
        </w:tc>
        <w:tc>
          <w:tcPr>
            <w:tcW w:w="1701" w:type="dxa"/>
            <w:noWrap w:val="0"/>
            <w:vAlign w:val="center"/>
          </w:tcPr>
          <w:p w14:paraId="2E17083A">
            <w:pPr>
              <w:spacing w:line="276" w:lineRule="auto"/>
              <w:jc w:val="center"/>
              <w:rPr>
                <w:rFonts w:hint="eastAsia" w:ascii="宋体" w:hAnsi="宋体"/>
                <w:color w:val="000000"/>
                <w:szCs w:val="21"/>
              </w:rPr>
            </w:pPr>
            <w:r>
              <w:rPr>
                <w:rFonts w:hint="eastAsia" w:ascii="宋体" w:hAnsi="宋体"/>
                <w:color w:val="000000"/>
                <w:szCs w:val="21"/>
              </w:rPr>
              <w:t>第二课堂活动</w:t>
            </w:r>
          </w:p>
        </w:tc>
        <w:tc>
          <w:tcPr>
            <w:tcW w:w="734" w:type="dxa"/>
            <w:noWrap w:val="0"/>
            <w:vAlign w:val="center"/>
          </w:tcPr>
          <w:p w14:paraId="4FB868F1">
            <w:pPr>
              <w:pStyle w:val="40"/>
              <w:jc w:val="center"/>
              <w:rPr>
                <w:rFonts w:ascii="宋体" w:hAnsi="宋体" w:eastAsia="宋体"/>
                <w:color w:val="000000"/>
              </w:rPr>
            </w:pPr>
            <w:r>
              <w:rPr>
                <w:rFonts w:hint="eastAsia" w:ascii="宋体" w:hAnsi="宋体" w:eastAsia="宋体"/>
                <w:color w:val="000000"/>
              </w:rPr>
              <w:t>15%</w:t>
            </w:r>
          </w:p>
        </w:tc>
        <w:tc>
          <w:tcPr>
            <w:tcW w:w="3802" w:type="dxa"/>
            <w:noWrap w:val="0"/>
            <w:vAlign w:val="center"/>
          </w:tcPr>
          <w:p w14:paraId="702ABD45">
            <w:pPr>
              <w:spacing w:line="276" w:lineRule="auto"/>
              <w:rPr>
                <w:rFonts w:hint="eastAsia" w:ascii="宋体" w:hAnsi="宋体"/>
                <w:bCs/>
                <w:color w:val="000000"/>
                <w:kern w:val="24"/>
                <w:szCs w:val="21"/>
              </w:rPr>
            </w:pPr>
            <w:r>
              <w:rPr>
                <w:rFonts w:hint="eastAsia" w:ascii="宋体" w:hAnsi="宋体"/>
                <w:bCs/>
                <w:color w:val="000000"/>
                <w:kern w:val="24"/>
                <w:szCs w:val="21"/>
              </w:rPr>
              <w:t>基础分60分，参与英语类竞赛或大创项目每项加10分；竞赛获校级三等奖或参与大创项目获校级立项每项加</w:t>
            </w:r>
            <w:r>
              <w:rPr>
                <w:rFonts w:ascii="宋体" w:hAnsi="宋体"/>
                <w:bCs/>
                <w:color w:val="000000"/>
                <w:kern w:val="24"/>
                <w:szCs w:val="21"/>
              </w:rPr>
              <w:t>20</w:t>
            </w:r>
            <w:r>
              <w:rPr>
                <w:rFonts w:hint="eastAsia" w:ascii="宋体" w:hAnsi="宋体"/>
                <w:bCs/>
                <w:color w:val="000000"/>
                <w:kern w:val="24"/>
                <w:szCs w:val="21"/>
              </w:rPr>
              <w:t>分；竞赛获校级二等奖或大创项目获省级立项每项加30分；竞赛获校级一等奖及以上奖励或大创项目获国家级立项加40分（参与多项竞赛或大创项目分数可累加）；满分100分。</w:t>
            </w:r>
          </w:p>
        </w:tc>
        <w:tc>
          <w:tcPr>
            <w:tcW w:w="1701" w:type="dxa"/>
            <w:noWrap w:val="0"/>
            <w:vAlign w:val="center"/>
          </w:tcPr>
          <w:p w14:paraId="587C875F">
            <w:pPr>
              <w:pStyle w:val="40"/>
              <w:jc w:val="center"/>
              <w:rPr>
                <w:rFonts w:hint="eastAsia" w:ascii="宋体" w:hAnsi="宋体" w:eastAsia="宋体"/>
                <w:color w:val="000000"/>
              </w:rPr>
            </w:pPr>
            <w:r>
              <w:rPr>
                <w:rFonts w:hint="eastAsia"/>
                <w:color w:val="000000"/>
              </w:rPr>
              <w:t>7-1、8-3</w:t>
            </w:r>
          </w:p>
        </w:tc>
      </w:tr>
      <w:tr w14:paraId="7ED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vMerge w:val="restart"/>
            <w:noWrap w:val="0"/>
            <w:tcMar>
              <w:left w:w="57" w:type="dxa"/>
              <w:right w:w="57" w:type="dxa"/>
            </w:tcMar>
            <w:vAlign w:val="center"/>
          </w:tcPr>
          <w:p w14:paraId="0E933E4A">
            <w:pPr>
              <w:pStyle w:val="40"/>
              <w:jc w:val="center"/>
              <w:rPr>
                <w:rFonts w:ascii="宋体" w:hAnsi="宋体" w:eastAsia="宋体"/>
                <w:color w:val="000000"/>
              </w:rPr>
            </w:pPr>
            <w:r>
              <w:rPr>
                <w:rFonts w:ascii="宋体" w:hAnsi="宋体" w:eastAsia="宋体"/>
                <w:color w:val="000000"/>
              </w:rPr>
              <w:t>期末考试</w:t>
            </w:r>
          </w:p>
          <w:p w14:paraId="6A1AC489">
            <w:pPr>
              <w:pStyle w:val="40"/>
              <w:jc w:val="center"/>
              <w:rPr>
                <w:rFonts w:ascii="宋体" w:hAnsi="宋体" w:eastAsia="宋体"/>
                <w:color w:val="000000"/>
              </w:rPr>
            </w:pPr>
            <w:r>
              <w:rPr>
                <w:rFonts w:hint="eastAsia" w:ascii="宋体" w:hAnsi="宋体" w:eastAsia="宋体"/>
                <w:color w:val="000000"/>
              </w:rPr>
              <w:t>50%</w:t>
            </w:r>
          </w:p>
        </w:tc>
        <w:tc>
          <w:tcPr>
            <w:tcW w:w="1701" w:type="dxa"/>
            <w:noWrap w:val="0"/>
            <w:vAlign w:val="center"/>
          </w:tcPr>
          <w:p w14:paraId="4741CD0E">
            <w:pPr>
              <w:pStyle w:val="40"/>
              <w:jc w:val="center"/>
              <w:rPr>
                <w:rFonts w:ascii="宋体" w:hAnsi="宋体" w:eastAsia="宋体"/>
                <w:bCs/>
                <w:color w:val="000000"/>
                <w:kern w:val="24"/>
              </w:rPr>
            </w:pPr>
            <w:r>
              <w:rPr>
                <w:rFonts w:hint="eastAsia" w:ascii="宋体" w:hAnsi="宋体" w:eastAsia="宋体"/>
                <w:bCs/>
                <w:color w:val="000000"/>
                <w:kern w:val="24"/>
              </w:rPr>
              <w:t>书面表达考试</w:t>
            </w:r>
          </w:p>
        </w:tc>
        <w:tc>
          <w:tcPr>
            <w:tcW w:w="734" w:type="dxa"/>
            <w:noWrap w:val="0"/>
            <w:vAlign w:val="center"/>
          </w:tcPr>
          <w:p w14:paraId="2508A315">
            <w:pPr>
              <w:pStyle w:val="40"/>
              <w:jc w:val="center"/>
              <w:rPr>
                <w:rFonts w:ascii="宋体" w:hAnsi="宋体" w:eastAsia="宋体"/>
                <w:bCs/>
                <w:color w:val="000000"/>
                <w:kern w:val="24"/>
              </w:rPr>
            </w:pPr>
            <w:r>
              <w:rPr>
                <w:rFonts w:hint="eastAsia" w:ascii="宋体" w:hAnsi="宋体" w:eastAsia="宋体"/>
                <w:bCs/>
                <w:color w:val="000000"/>
                <w:kern w:val="24"/>
              </w:rPr>
              <w:t>20</w:t>
            </w:r>
            <w:r>
              <w:rPr>
                <w:rFonts w:ascii="宋体" w:hAnsi="宋体" w:eastAsia="宋体"/>
                <w:bCs/>
                <w:color w:val="000000"/>
                <w:kern w:val="24"/>
              </w:rPr>
              <w:t>%</w:t>
            </w:r>
          </w:p>
        </w:tc>
        <w:tc>
          <w:tcPr>
            <w:tcW w:w="3802" w:type="dxa"/>
            <w:noWrap w:val="0"/>
            <w:vAlign w:val="center"/>
          </w:tcPr>
          <w:p w14:paraId="35926DD7">
            <w:pPr>
              <w:pStyle w:val="40"/>
              <w:rPr>
                <w:rFonts w:ascii="宋体" w:hAnsi="宋体" w:eastAsia="宋体"/>
                <w:bCs/>
                <w:color w:val="000000"/>
                <w:kern w:val="24"/>
              </w:rPr>
            </w:pPr>
            <w:r>
              <w:rPr>
                <w:rFonts w:hint="eastAsia" w:ascii="宋体" w:hAnsi="宋体" w:eastAsia="宋体"/>
                <w:bCs/>
                <w:color w:val="000000"/>
                <w:kern w:val="24"/>
              </w:rPr>
              <w:t>书面表达试题由大学英语教学部统一命题并建立书面表达试题库），计入期考</w:t>
            </w:r>
            <w:r>
              <w:rPr>
                <w:rFonts w:ascii="宋体" w:hAnsi="宋体" w:eastAsia="宋体"/>
                <w:bCs/>
                <w:color w:val="000000"/>
                <w:kern w:val="24"/>
              </w:rPr>
              <w:t>成绩</w:t>
            </w:r>
            <w:r>
              <w:rPr>
                <w:rFonts w:hint="eastAsia" w:ascii="宋体" w:hAnsi="宋体" w:eastAsia="宋体"/>
                <w:bCs/>
                <w:color w:val="000000"/>
                <w:kern w:val="24"/>
              </w:rPr>
              <w:t>；卷面满分</w:t>
            </w:r>
            <w:r>
              <w:rPr>
                <w:rFonts w:ascii="宋体" w:hAnsi="宋体" w:eastAsia="宋体"/>
                <w:bCs/>
                <w:color w:val="000000"/>
                <w:kern w:val="24"/>
              </w:rPr>
              <w:t>20</w:t>
            </w:r>
            <w:r>
              <w:rPr>
                <w:rFonts w:hint="eastAsia" w:ascii="宋体" w:hAnsi="宋体" w:eastAsia="宋体"/>
                <w:bCs/>
                <w:color w:val="000000"/>
                <w:kern w:val="24"/>
              </w:rPr>
              <w:t>分</w:t>
            </w:r>
            <w:r>
              <w:rPr>
                <w:rFonts w:ascii="宋体" w:hAnsi="宋体" w:eastAsia="宋体"/>
                <w:bCs/>
                <w:color w:val="000000"/>
                <w:kern w:val="24"/>
              </w:rPr>
              <w:t>。</w:t>
            </w:r>
          </w:p>
        </w:tc>
        <w:tc>
          <w:tcPr>
            <w:tcW w:w="1701" w:type="dxa"/>
            <w:noWrap w:val="0"/>
            <w:vAlign w:val="center"/>
          </w:tcPr>
          <w:p w14:paraId="6EA94499">
            <w:pPr>
              <w:pStyle w:val="40"/>
              <w:jc w:val="center"/>
              <w:rPr>
                <w:rFonts w:ascii="宋体" w:hAnsi="宋体" w:eastAsia="宋体"/>
                <w:color w:val="000000"/>
              </w:rPr>
            </w:pPr>
            <w:r>
              <w:rPr>
                <w:rFonts w:hint="eastAsia"/>
                <w:color w:val="000000"/>
              </w:rPr>
              <w:t>7-1、8-3</w:t>
            </w:r>
          </w:p>
        </w:tc>
      </w:tr>
      <w:tr w14:paraId="33DA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vMerge w:val="continue"/>
            <w:noWrap w:val="0"/>
            <w:tcMar>
              <w:left w:w="57" w:type="dxa"/>
              <w:right w:w="57" w:type="dxa"/>
            </w:tcMar>
            <w:vAlign w:val="center"/>
          </w:tcPr>
          <w:p w14:paraId="2333B93E">
            <w:pPr>
              <w:pStyle w:val="40"/>
              <w:jc w:val="center"/>
              <w:rPr>
                <w:rFonts w:ascii="宋体" w:hAnsi="宋体" w:eastAsia="宋体"/>
                <w:color w:val="000000"/>
              </w:rPr>
            </w:pPr>
          </w:p>
        </w:tc>
        <w:tc>
          <w:tcPr>
            <w:tcW w:w="1701" w:type="dxa"/>
            <w:noWrap w:val="0"/>
            <w:vAlign w:val="center"/>
          </w:tcPr>
          <w:p w14:paraId="5514540D">
            <w:pPr>
              <w:pStyle w:val="40"/>
              <w:jc w:val="center"/>
              <w:rPr>
                <w:rFonts w:ascii="宋体" w:hAnsi="宋体" w:eastAsia="宋体"/>
                <w:color w:val="000000"/>
              </w:rPr>
            </w:pPr>
            <w:r>
              <w:rPr>
                <w:rFonts w:ascii="宋体" w:hAnsi="宋体" w:eastAsia="宋体"/>
                <w:color w:val="000000"/>
              </w:rPr>
              <w:t>期末考试</w:t>
            </w:r>
          </w:p>
        </w:tc>
        <w:tc>
          <w:tcPr>
            <w:tcW w:w="734" w:type="dxa"/>
            <w:noWrap w:val="0"/>
            <w:vAlign w:val="center"/>
          </w:tcPr>
          <w:p w14:paraId="0C98205F">
            <w:pPr>
              <w:pStyle w:val="40"/>
              <w:jc w:val="center"/>
              <w:rPr>
                <w:rFonts w:hint="eastAsia" w:ascii="宋体" w:hAnsi="宋体" w:eastAsia="宋体"/>
                <w:color w:val="000000"/>
              </w:rPr>
            </w:pPr>
            <w:r>
              <w:rPr>
                <w:rFonts w:ascii="宋体" w:hAnsi="宋体" w:eastAsia="宋体"/>
                <w:color w:val="000000"/>
              </w:rPr>
              <w:t>8</w:t>
            </w:r>
            <w:r>
              <w:rPr>
                <w:rFonts w:hint="eastAsia" w:ascii="宋体" w:hAnsi="宋体" w:eastAsia="宋体"/>
                <w:color w:val="000000"/>
              </w:rPr>
              <w:t>0</w:t>
            </w:r>
            <w:r>
              <w:rPr>
                <w:rFonts w:ascii="宋体" w:hAnsi="宋体" w:eastAsia="宋体"/>
                <w:color w:val="000000"/>
              </w:rPr>
              <w:t>%</w:t>
            </w:r>
          </w:p>
        </w:tc>
        <w:tc>
          <w:tcPr>
            <w:tcW w:w="3802" w:type="dxa"/>
            <w:noWrap w:val="0"/>
            <w:vAlign w:val="center"/>
          </w:tcPr>
          <w:p w14:paraId="7FF99CF0">
            <w:pPr>
              <w:pStyle w:val="40"/>
              <w:rPr>
                <w:rFonts w:hint="eastAsia" w:ascii="宋体" w:hAnsi="宋体" w:eastAsia="宋体" w:cs="宋体"/>
                <w:bCs/>
                <w:color w:val="000000"/>
                <w:kern w:val="24"/>
              </w:rPr>
            </w:pPr>
            <w:r>
              <w:rPr>
                <w:rFonts w:hint="eastAsia" w:ascii="宋体" w:hAnsi="宋体" w:eastAsia="宋体" w:cs="宋体"/>
                <w:bCs/>
                <w:color w:val="000000"/>
                <w:kern w:val="24"/>
              </w:rPr>
              <w:t>期末考试题型包括听力理解、词汇与结构和</w:t>
            </w:r>
            <w:r>
              <w:rPr>
                <w:rFonts w:hint="eastAsia" w:ascii="宋体" w:hAnsi="宋体" w:eastAsia="宋体" w:cs="宋体"/>
                <w:color w:val="000000"/>
                <w:kern w:val="0"/>
              </w:rPr>
              <w:t>阅读理解</w:t>
            </w:r>
            <w:r>
              <w:rPr>
                <w:rFonts w:hint="eastAsia" w:ascii="宋体" w:hAnsi="宋体" w:eastAsia="宋体" w:cs="宋体"/>
                <w:bCs/>
                <w:color w:val="000000"/>
                <w:kern w:val="24"/>
              </w:rPr>
              <w:t>等（每次考核可能题型不同，以当次考核题型为准），计入期考成绩；卷面满分</w:t>
            </w:r>
            <w:r>
              <w:rPr>
                <w:rFonts w:ascii="宋体" w:hAnsi="宋体" w:eastAsia="宋体" w:cs="宋体"/>
                <w:bCs/>
                <w:color w:val="000000"/>
                <w:kern w:val="24"/>
              </w:rPr>
              <w:t>80</w:t>
            </w:r>
            <w:r>
              <w:rPr>
                <w:rFonts w:hint="eastAsia" w:ascii="宋体" w:hAnsi="宋体" w:eastAsia="宋体" w:cs="宋体"/>
                <w:bCs/>
                <w:color w:val="000000"/>
                <w:kern w:val="24"/>
              </w:rPr>
              <w:t>分。</w:t>
            </w:r>
          </w:p>
        </w:tc>
        <w:tc>
          <w:tcPr>
            <w:tcW w:w="1701" w:type="dxa"/>
            <w:noWrap w:val="0"/>
            <w:vAlign w:val="center"/>
          </w:tcPr>
          <w:p w14:paraId="78FB5A13">
            <w:pPr>
              <w:pStyle w:val="40"/>
              <w:jc w:val="center"/>
              <w:rPr>
                <w:rFonts w:hint="eastAsia" w:ascii="宋体" w:hAnsi="宋体" w:eastAsia="宋体"/>
                <w:color w:val="000000"/>
              </w:rPr>
            </w:pPr>
            <w:r>
              <w:rPr>
                <w:rFonts w:hint="eastAsia"/>
                <w:color w:val="000000"/>
              </w:rPr>
              <w:t>7-1、8-3</w:t>
            </w:r>
          </w:p>
        </w:tc>
      </w:tr>
    </w:tbl>
    <w:p w14:paraId="72BF0556">
      <w:pPr>
        <w:spacing w:line="240" w:lineRule="exact"/>
        <w:ind w:firstLine="301" w:firstLineChars="200"/>
        <w:rPr>
          <w:rFonts w:hint="eastAsia"/>
          <w:b/>
          <w:color w:val="000000"/>
          <w:sz w:val="15"/>
          <w:szCs w:val="15"/>
        </w:rPr>
      </w:pPr>
    </w:p>
    <w:p w14:paraId="290F3BFF">
      <w:pPr>
        <w:spacing w:line="360" w:lineRule="auto"/>
        <w:ind w:firstLine="422" w:firstLineChars="200"/>
        <w:rPr>
          <w:rFonts w:hint="eastAsia"/>
          <w:b/>
          <w:color w:val="000000"/>
          <w:szCs w:val="21"/>
        </w:rPr>
      </w:pPr>
      <w:r>
        <w:rPr>
          <w:rFonts w:hint="eastAsia"/>
          <w:b/>
          <w:color w:val="000000"/>
          <w:szCs w:val="21"/>
        </w:rPr>
        <w:t>（三）课程目标达成度计算方法</w:t>
      </w:r>
    </w:p>
    <w:p w14:paraId="2CD35284">
      <w:pPr>
        <w:spacing w:line="400" w:lineRule="exact"/>
        <w:ind w:firstLine="420" w:firstLineChars="200"/>
        <w:jc w:val="left"/>
        <w:rPr>
          <w:rFonts w:hint="eastAsia"/>
        </w:rPr>
      </w:pPr>
      <w:r>
        <w:rPr>
          <w:rFonts w:hint="eastAsia"/>
        </w:rPr>
        <w:t>所有课程目标均需大于等于0.6，否则总评成绩不及格，需要补考或重修，每门课程目标总体达成度计算方法如下：</w:t>
      </w:r>
    </w:p>
    <w:p w14:paraId="3AEEB62D">
      <w:pPr>
        <w:spacing w:line="360" w:lineRule="auto"/>
        <w:jc w:val="left"/>
        <w:rPr>
          <w:rFonts w:hint="eastAsia"/>
          <w:iCs/>
        </w:rPr>
      </w:pPr>
      <w:r>
        <w:rPr>
          <w:iCs/>
        </w:rPr>
        <w:t>课程目标达成度</w:t>
      </w:r>
      <w:r>
        <w:rPr>
          <w:iCs/>
        </w:rPr>
        <w:fldChar w:fldCharType="begin"/>
      </w:r>
      <w:r>
        <w:rPr>
          <w:iCs/>
        </w:rPr>
        <w:instrText xml:space="preserve"> QUOTE </w:instrText>
      </w:r>
      <w:r>
        <w:rPr>
          <w:rFonts w:hint="eastAsia"/>
          <w:position w:val="-23"/>
        </w:rPr>
        <w:pict>
          <v:shape id="_x0000_i1046" o:spt="75" type="#_x0000_t75" style="height:31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47E7&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3047E7&quot; wsp:rsidP=&quot;003047E7&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instrText xml:space="preserve"> </w:instrText>
      </w:r>
      <w:r>
        <w:rPr>
          <w:iCs/>
        </w:rPr>
        <w:fldChar w:fldCharType="separate"/>
      </w:r>
      <w:r>
        <w:rPr>
          <w:rFonts w:hint="eastAsia"/>
          <w:position w:val="-23"/>
        </w:rPr>
        <w:pict>
          <v:shape id="_x0000_i1047" o:spt="75" type="#_x0000_t75" style="height:30pt;width:338.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47E7&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3047E7&quot; wsp:rsidP=&quot;003047E7&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fldChar w:fldCharType="end"/>
      </w:r>
      <w:r>
        <w:rPr>
          <w:iCs/>
        </w:rPr>
        <w:fldChar w:fldCharType="begin"/>
      </w:r>
      <w:r>
        <w:rPr>
          <w:iCs/>
        </w:rPr>
        <w:instrText xml:space="preserve"> QUOTE </w:instrText>
      </w:r>
      <w:r>
        <w:rPr>
          <w:rFonts w:hint="eastAsia"/>
          <w:position w:val="-23"/>
        </w:rPr>
        <w:pict>
          <v:shape id="_x0000_i1048" o:spt="75" type="#_x0000_t75" style="height:31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3F28&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653F28&quot; wsp:rsidP=&quot;00653F28&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instrText xml:space="preserve"> </w:instrText>
      </w:r>
      <w:r>
        <w:rPr>
          <w:iCs/>
        </w:rPr>
        <w:fldChar w:fldCharType="separate"/>
      </w:r>
      <w:r>
        <w:rPr>
          <w:iCs/>
        </w:rPr>
        <w:fldChar w:fldCharType="end"/>
      </w:r>
    </w:p>
    <w:p w14:paraId="775BDF81">
      <w:pPr>
        <w:pStyle w:val="4"/>
        <w:bidi w:val="0"/>
        <w:rPr>
          <w:rFonts w:hint="eastAsia"/>
        </w:rPr>
      </w:pPr>
      <w:r>
        <w:rPr>
          <w:rFonts w:hint="eastAsia"/>
        </w:rPr>
        <w:t>七、有关说明</w:t>
      </w:r>
    </w:p>
    <w:p w14:paraId="10F32A16">
      <w:pPr>
        <w:spacing w:line="360" w:lineRule="auto"/>
        <w:ind w:firstLine="422" w:firstLineChars="200"/>
        <w:rPr>
          <w:rFonts w:hint="eastAsia" w:ascii="宋体" w:hAnsi="宋体" w:cs="宋体"/>
          <w:b/>
          <w:color w:val="000000"/>
          <w:kern w:val="0"/>
          <w:szCs w:val="21"/>
        </w:rPr>
      </w:pPr>
      <w:r>
        <w:rPr>
          <w:rFonts w:hint="eastAsia" w:ascii="宋体" w:hAnsi="宋体" w:cs="宋体"/>
          <w:b/>
          <w:color w:val="000000"/>
          <w:szCs w:val="21"/>
        </w:rPr>
        <w:t>（一）持续改进</w:t>
      </w:r>
    </w:p>
    <w:p w14:paraId="412FCB71">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根据学生课堂教学中的反应、课后反馈、作业质量、答卷情况，以及领导、督导、教师同行等的听课情况，及时发现和改进教学中的不足之处，确保相应毕业要求指标点达成。</w:t>
      </w:r>
    </w:p>
    <w:p w14:paraId="345C3DAA">
      <w:pPr>
        <w:widowControl/>
        <w:spacing w:line="360" w:lineRule="auto"/>
        <w:ind w:firstLine="422" w:firstLineChars="200"/>
        <w:jc w:val="left"/>
        <w:rPr>
          <w:rFonts w:ascii="宋体" w:hAnsi="宋体" w:cs="宋体"/>
          <w:b/>
          <w:color w:val="000000"/>
          <w:kern w:val="0"/>
          <w:szCs w:val="21"/>
        </w:rPr>
      </w:pPr>
      <w:r>
        <w:rPr>
          <w:rFonts w:hint="eastAsia" w:ascii="宋体" w:hAnsi="宋体" w:cs="宋体"/>
          <w:b/>
          <w:color w:val="000000"/>
          <w:kern w:val="0"/>
          <w:szCs w:val="21"/>
        </w:rPr>
        <w:t>（二）教材、参考书目及学习资料</w:t>
      </w:r>
    </w:p>
    <w:p w14:paraId="3857E2F3">
      <w:pPr>
        <w:spacing w:line="400" w:lineRule="exact"/>
        <w:ind w:firstLine="420" w:firstLineChars="200"/>
        <w:jc w:val="left"/>
        <w:rPr>
          <w:color w:val="000000"/>
          <w:szCs w:val="21"/>
        </w:rPr>
      </w:pPr>
      <w:r>
        <w:rPr>
          <w:rFonts w:hint="eastAsia"/>
          <w:color w:val="000000"/>
          <w:szCs w:val="21"/>
        </w:rPr>
        <w:t>1.《新视野大学英语读写教程》（第三版），郑树棠等主编，外语教学与研究出版社，2020</w:t>
      </w:r>
    </w:p>
    <w:p w14:paraId="21EA8968">
      <w:pPr>
        <w:spacing w:line="440" w:lineRule="exact"/>
        <w:ind w:firstLine="420" w:firstLineChars="200"/>
        <w:jc w:val="left"/>
        <w:rPr>
          <w:color w:val="000000"/>
          <w:szCs w:val="21"/>
        </w:rPr>
      </w:pPr>
      <w:r>
        <w:rPr>
          <w:rFonts w:hint="eastAsia"/>
          <w:color w:val="000000"/>
          <w:szCs w:val="21"/>
        </w:rPr>
        <w:t>2.《新视野大学英语视听说教程》（第三版），郑树棠等主编，外语教学与研究出版社，2020</w:t>
      </w:r>
    </w:p>
    <w:p w14:paraId="30D10DC1">
      <w:pPr>
        <w:spacing w:line="400" w:lineRule="exact"/>
        <w:ind w:firstLine="420" w:firstLineChars="200"/>
        <w:jc w:val="left"/>
        <w:rPr>
          <w:rFonts w:hint="eastAsia"/>
          <w:color w:val="000000"/>
          <w:szCs w:val="21"/>
        </w:rPr>
      </w:pPr>
      <w:r>
        <w:rPr>
          <w:rFonts w:hint="eastAsia"/>
          <w:color w:val="000000"/>
          <w:szCs w:val="21"/>
        </w:rPr>
        <w:t>3. 《全新版大学英语听说教程》（第二版），虞苏美等主编，上海外语教育出版社，2014</w:t>
      </w:r>
    </w:p>
    <w:p w14:paraId="2DB1A6BE">
      <w:pPr>
        <w:spacing w:line="400" w:lineRule="exact"/>
        <w:ind w:firstLine="420" w:firstLineChars="200"/>
        <w:jc w:val="left"/>
        <w:rPr>
          <w:color w:val="000000"/>
          <w:szCs w:val="21"/>
        </w:rPr>
      </w:pPr>
      <w:r>
        <w:rPr>
          <w:rFonts w:hint="eastAsia"/>
          <w:color w:val="000000"/>
          <w:szCs w:val="21"/>
        </w:rPr>
        <w:t>4.《新世纪大学英语快速阅读》（第一版），束定芳编，上海外语教育出版社，2020</w:t>
      </w:r>
    </w:p>
    <w:p w14:paraId="1622DB7A">
      <w:pPr>
        <w:spacing w:line="400" w:lineRule="exact"/>
        <w:ind w:firstLine="420" w:firstLineChars="200"/>
        <w:jc w:val="left"/>
        <w:rPr>
          <w:rFonts w:hint="eastAsia"/>
          <w:color w:val="000000"/>
          <w:szCs w:val="21"/>
        </w:rPr>
      </w:pPr>
      <w:r>
        <w:rPr>
          <w:rFonts w:hint="eastAsia"/>
          <w:color w:val="000000"/>
          <w:szCs w:val="21"/>
        </w:rPr>
        <w:t>5.</w:t>
      </w:r>
      <w:r>
        <w:rPr>
          <w:rFonts w:hint="eastAsia" w:ascii="宋体" w:hAnsi="宋体" w:cs="宋体"/>
          <w:color w:val="000000"/>
          <w:kern w:val="0"/>
          <w:szCs w:val="21"/>
        </w:rPr>
        <w:t xml:space="preserve"> 《朗文当代高级英语辞典》（第五版），英国培生教育出版集团编，外语教学与研究出版社，2014</w:t>
      </w:r>
    </w:p>
    <w:p w14:paraId="08FC2C6E">
      <w:pPr>
        <w:spacing w:line="400" w:lineRule="exact"/>
        <w:ind w:firstLine="420" w:firstLineChars="200"/>
        <w:jc w:val="left"/>
        <w:rPr>
          <w:color w:val="000000"/>
          <w:szCs w:val="21"/>
        </w:rPr>
      </w:pPr>
      <w:r>
        <w:rPr>
          <w:rFonts w:hint="eastAsia" w:ascii="宋体" w:hAnsi="宋体" w:cs="宋体"/>
          <w:color w:val="000000"/>
          <w:kern w:val="0"/>
          <w:szCs w:val="21"/>
        </w:rPr>
        <w:t>6. 《牛津高阶英汉双解词典》（第八版），霍恩比著，赵翠莲等译，商务印书馆，2014</w:t>
      </w:r>
    </w:p>
    <w:p w14:paraId="1F3E8374">
      <w:pPr>
        <w:widowControl/>
        <w:spacing w:before="100" w:beforeAutospacing="1" w:after="100" w:afterAutospacing="1" w:line="400" w:lineRule="exact"/>
        <w:ind w:firstLine="422" w:firstLineChars="200"/>
        <w:jc w:val="left"/>
        <w:rPr>
          <w:rFonts w:ascii="宋体" w:hAnsi="宋体" w:cs="宋体"/>
          <w:b/>
          <w:bCs/>
          <w:color w:val="000000"/>
          <w:kern w:val="0"/>
          <w:szCs w:val="21"/>
        </w:rPr>
      </w:pPr>
      <w:r>
        <w:rPr>
          <w:rFonts w:cs="宋体"/>
          <w:b/>
          <w:bCs/>
          <w:color w:val="000000"/>
          <w:kern w:val="0"/>
          <w:szCs w:val="21"/>
        </w:rPr>
        <w:t>在线开放课程网址</w:t>
      </w:r>
      <w:r>
        <w:rPr>
          <w:rFonts w:hint="eastAsia" w:cs="宋体"/>
          <w:b/>
          <w:bCs/>
          <w:color w:val="000000"/>
          <w:kern w:val="0"/>
          <w:szCs w:val="21"/>
        </w:rPr>
        <w:t>：</w:t>
      </w:r>
    </w:p>
    <w:p w14:paraId="79A9FCB2">
      <w:pPr>
        <w:spacing w:line="400" w:lineRule="exact"/>
        <w:ind w:left="802" w:leftChars="227" w:hanging="325" w:hangingChars="155"/>
        <w:jc w:val="left"/>
        <w:rPr>
          <w:szCs w:val="21"/>
        </w:rPr>
      </w:pPr>
      <w:r>
        <w:rPr>
          <w:szCs w:val="21"/>
        </w:rPr>
        <w:t>1</w:t>
      </w:r>
      <w:r>
        <w:rPr>
          <w:rFonts w:hint="eastAsia"/>
          <w:szCs w:val="21"/>
        </w:rPr>
        <w:t>.</w:t>
      </w:r>
      <w:r>
        <w:rPr>
          <w:szCs w:val="21"/>
        </w:rPr>
        <w:t>江苏省在线课程中心/爱课程</w:t>
      </w:r>
    </w:p>
    <w:p w14:paraId="7EDE46A9">
      <w:pPr>
        <w:spacing w:line="400" w:lineRule="exact"/>
        <w:ind w:left="687" w:leftChars="327" w:firstLine="153"/>
        <w:jc w:val="left"/>
        <w:rPr>
          <w:szCs w:val="21"/>
        </w:rPr>
      </w:pPr>
      <w:r>
        <w:rPr>
          <w:szCs w:val="21"/>
        </w:rPr>
        <w:t>https://www.icourse163.org/</w:t>
      </w:r>
    </w:p>
    <w:p w14:paraId="2874FD83">
      <w:pPr>
        <w:spacing w:line="400" w:lineRule="exact"/>
        <w:ind w:firstLine="420" w:firstLineChars="200"/>
        <w:jc w:val="left"/>
        <w:rPr>
          <w:szCs w:val="21"/>
        </w:rPr>
      </w:pPr>
      <w:r>
        <w:rPr>
          <w:szCs w:val="21"/>
        </w:rPr>
        <w:t>2</w:t>
      </w:r>
      <w:r>
        <w:rPr>
          <w:rFonts w:hint="eastAsia"/>
          <w:szCs w:val="21"/>
        </w:rPr>
        <w:t>.</w:t>
      </w:r>
      <w:r>
        <w:rPr>
          <w:szCs w:val="21"/>
        </w:rPr>
        <w:t>常州工学院毕博网络教学平台</w:t>
      </w:r>
    </w:p>
    <w:p w14:paraId="6BCA34CB">
      <w:pPr>
        <w:spacing w:line="400" w:lineRule="exact"/>
        <w:ind w:left="481" w:leftChars="229" w:firstLine="359"/>
        <w:jc w:val="left"/>
        <w:rPr>
          <w:szCs w:val="21"/>
        </w:rPr>
      </w:pPr>
      <w:r>
        <w:rPr>
          <w:szCs w:val="21"/>
        </w:rPr>
        <w:fldChar w:fldCharType="begin"/>
      </w:r>
      <w:r>
        <w:rPr>
          <w:szCs w:val="21"/>
        </w:rPr>
        <w:instrText xml:space="preserve"> HYPERLINK "https://bbclass.czu.cn/" </w:instrText>
      </w:r>
      <w:r>
        <w:rPr>
          <w:szCs w:val="21"/>
        </w:rPr>
        <w:fldChar w:fldCharType="separate"/>
      </w:r>
      <w:r>
        <w:rPr>
          <w:rStyle w:val="38"/>
          <w:sz w:val="21"/>
          <w:szCs w:val="21"/>
        </w:rPr>
        <w:t>https://bbclass.czu.cn/</w:t>
      </w:r>
      <w:r>
        <w:rPr>
          <w:szCs w:val="21"/>
        </w:rPr>
        <w:fldChar w:fldCharType="end"/>
      </w:r>
    </w:p>
    <w:p w14:paraId="42617BCB">
      <w:pPr>
        <w:spacing w:line="400" w:lineRule="exact"/>
        <w:ind w:left="804" w:leftChars="229" w:hanging="323" w:hangingChars="154"/>
        <w:jc w:val="left"/>
        <w:rPr>
          <w:szCs w:val="21"/>
        </w:rPr>
      </w:pPr>
      <w:r>
        <w:rPr>
          <w:szCs w:val="21"/>
        </w:rPr>
        <w:t>3</w:t>
      </w:r>
      <w:r>
        <w:rPr>
          <w:rFonts w:hint="eastAsia"/>
          <w:szCs w:val="21"/>
        </w:rPr>
        <w:t>.常工院尔雅通识网络课程</w:t>
      </w:r>
    </w:p>
    <w:p w14:paraId="46218BF2">
      <w:pPr>
        <w:spacing w:line="400" w:lineRule="exact"/>
        <w:ind w:left="481" w:leftChars="229" w:firstLine="359"/>
        <w:jc w:val="left"/>
        <w:rPr>
          <w:rFonts w:hint="eastAsia"/>
          <w:szCs w:val="21"/>
        </w:rPr>
      </w:pPr>
      <w:r>
        <w:rPr>
          <w:rFonts w:hint="eastAsia"/>
          <w:szCs w:val="21"/>
        </w:rPr>
        <w:t>h</w:t>
      </w:r>
      <w:r>
        <w:rPr>
          <w:szCs w:val="21"/>
        </w:rPr>
        <w:t>ttps://czgxy.fanya.chaoxing.com</w:t>
      </w:r>
    </w:p>
    <w:p w14:paraId="0C328B67">
      <w:pPr>
        <w:spacing w:line="400" w:lineRule="exact"/>
        <w:ind w:left="804" w:leftChars="229" w:hanging="323" w:hangingChars="154"/>
        <w:jc w:val="left"/>
        <w:rPr>
          <w:szCs w:val="21"/>
        </w:rPr>
      </w:pPr>
      <w:r>
        <w:rPr>
          <w:szCs w:val="21"/>
        </w:rPr>
        <w:t>4</w:t>
      </w:r>
      <w:r>
        <w:rPr>
          <w:rFonts w:hint="eastAsia"/>
          <w:szCs w:val="21"/>
        </w:rPr>
        <w:t>.</w:t>
      </w:r>
      <w:r>
        <w:rPr>
          <w:szCs w:val="21"/>
        </w:rPr>
        <w:t>国家精品课程资源网</w:t>
      </w:r>
    </w:p>
    <w:p w14:paraId="02F25ADF">
      <w:pPr>
        <w:spacing w:line="400" w:lineRule="exact"/>
        <w:ind w:left="481" w:leftChars="229" w:firstLine="359"/>
        <w:jc w:val="left"/>
        <w:rPr>
          <w:rFonts w:hint="eastAsia"/>
          <w:szCs w:val="21"/>
          <w:u w:val="single"/>
        </w:rPr>
      </w:pPr>
      <w:r>
        <w:rPr>
          <w:szCs w:val="21"/>
          <w:u w:val="single"/>
        </w:rPr>
        <w:t>http://www.jingpinke.com/</w:t>
      </w:r>
    </w:p>
    <w:p w14:paraId="350F400D">
      <w:pPr>
        <w:spacing w:line="400" w:lineRule="exact"/>
        <w:ind w:left="804" w:leftChars="229" w:hanging="323" w:hangingChars="154"/>
        <w:jc w:val="left"/>
        <w:rPr>
          <w:szCs w:val="21"/>
        </w:rPr>
      </w:pPr>
      <w:r>
        <w:rPr>
          <w:szCs w:val="21"/>
        </w:rPr>
        <w:t>5</w:t>
      </w:r>
      <w:r>
        <w:rPr>
          <w:rFonts w:hint="eastAsia"/>
          <w:szCs w:val="21"/>
        </w:rPr>
        <w:t>.</w:t>
      </w:r>
      <w:r>
        <w:rPr>
          <w:szCs w:val="21"/>
        </w:rPr>
        <w:t>好大学在线CNMOOC_中国顶尖的慕课平台</w:t>
      </w:r>
    </w:p>
    <w:p w14:paraId="008D0EC3">
      <w:pPr>
        <w:spacing w:line="400" w:lineRule="exact"/>
        <w:ind w:firstLine="743" w:firstLineChars="354"/>
        <w:jc w:val="left"/>
        <w:rPr>
          <w:szCs w:val="21"/>
        </w:rPr>
      </w:pPr>
      <w:r>
        <w:rPr>
          <w:szCs w:val="21"/>
        </w:rPr>
        <w:t>https://www.cnmooc.org/home/index.mooc</w:t>
      </w:r>
    </w:p>
    <w:p w14:paraId="55295E40">
      <w:pPr>
        <w:widowControl/>
        <w:spacing w:line="400" w:lineRule="exact"/>
        <w:ind w:firstLine="482" w:firstLineChars="200"/>
        <w:jc w:val="left"/>
        <w:rPr>
          <w:rFonts w:hint="eastAsia" w:ascii="宋体" w:hAnsi="宋体" w:cs="宋体"/>
          <w:b/>
          <w:color w:val="000000"/>
          <w:kern w:val="0"/>
          <w:sz w:val="24"/>
        </w:rPr>
      </w:pPr>
    </w:p>
    <w:p w14:paraId="64320029">
      <w:pPr>
        <w:widowControl/>
        <w:spacing w:line="400" w:lineRule="exact"/>
        <w:jc w:val="left"/>
        <w:rPr>
          <w:rFonts w:hint="eastAsia" w:ascii="宋体" w:hAnsi="宋体" w:cs="宋体"/>
          <w:b/>
          <w:color w:val="000000"/>
          <w:kern w:val="0"/>
          <w:sz w:val="24"/>
        </w:rPr>
      </w:pPr>
    </w:p>
    <w:p w14:paraId="41AB7160">
      <w:pPr>
        <w:spacing w:line="400" w:lineRule="exact"/>
        <w:ind w:firstLine="6058" w:firstLineChars="2885"/>
        <w:rPr>
          <w:rFonts w:ascii="宋体" w:hAnsi="宋体" w:cs="宋体"/>
          <w:color w:val="000000"/>
          <w:szCs w:val="21"/>
        </w:rPr>
      </w:pPr>
      <w:r>
        <w:rPr>
          <w:rFonts w:hint="eastAsia" w:ascii="宋体" w:hAnsi="宋体" w:cs="宋体"/>
          <w:color w:val="000000"/>
          <w:szCs w:val="21"/>
        </w:rPr>
        <w:t>执笔人：汤月明</w:t>
      </w:r>
    </w:p>
    <w:p w14:paraId="78D28159">
      <w:pPr>
        <w:spacing w:line="400" w:lineRule="exact"/>
        <w:ind w:firstLine="6058" w:firstLineChars="2885"/>
        <w:rPr>
          <w:rFonts w:hint="eastAsia" w:ascii="宋体" w:hAnsi="宋体" w:cs="宋体"/>
          <w:color w:val="000000"/>
          <w:szCs w:val="21"/>
        </w:rPr>
      </w:pPr>
      <w:r>
        <w:rPr>
          <w:rFonts w:hint="eastAsia" w:ascii="宋体" w:hAnsi="宋体" w:cs="宋体"/>
          <w:color w:val="000000"/>
          <w:szCs w:val="21"/>
        </w:rPr>
        <w:t>审定人：朱  江</w:t>
      </w:r>
    </w:p>
    <w:p w14:paraId="1C47F611">
      <w:pPr>
        <w:spacing w:line="400" w:lineRule="exact"/>
        <w:ind w:firstLine="6058" w:firstLineChars="2885"/>
        <w:rPr>
          <w:rFonts w:hint="eastAsia" w:ascii="宋体" w:hAnsi="宋体" w:cs="宋体"/>
          <w:color w:val="000000"/>
          <w:szCs w:val="21"/>
        </w:rPr>
      </w:pPr>
      <w:r>
        <w:rPr>
          <w:rFonts w:hint="eastAsia" w:ascii="宋体" w:hAnsi="宋体" w:cs="宋体"/>
          <w:color w:val="000000"/>
          <w:szCs w:val="21"/>
        </w:rPr>
        <w:t xml:space="preserve">批准人：李 </w:t>
      </w:r>
      <w:r>
        <w:rPr>
          <w:rFonts w:ascii="宋体" w:hAnsi="宋体" w:cs="宋体"/>
          <w:color w:val="000000"/>
          <w:szCs w:val="21"/>
        </w:rPr>
        <w:t xml:space="preserve"> </w:t>
      </w:r>
      <w:r>
        <w:rPr>
          <w:rFonts w:hint="eastAsia" w:ascii="宋体" w:hAnsi="宋体" w:cs="宋体"/>
          <w:color w:val="000000"/>
          <w:szCs w:val="21"/>
        </w:rPr>
        <w:t>静</w:t>
      </w:r>
    </w:p>
    <w:p w14:paraId="46A79D0F">
      <w:pPr>
        <w:spacing w:line="400" w:lineRule="exact"/>
        <w:ind w:firstLine="6058" w:firstLineChars="2885"/>
        <w:rPr>
          <w:rFonts w:ascii="宋体" w:hAnsi="宋体" w:cs="宋体"/>
          <w:color w:val="000000"/>
          <w:szCs w:val="21"/>
        </w:rPr>
      </w:pPr>
      <w:r>
        <w:rPr>
          <w:rFonts w:hint="eastAsia" w:ascii="宋体" w:hAnsi="宋体" w:cs="宋体"/>
          <w:color w:val="000000"/>
          <w:szCs w:val="21"/>
          <w:lang w:val="en-US" w:eastAsia="zh-CN"/>
        </w:rPr>
        <w:t>批准时间：</w:t>
      </w:r>
      <w:r>
        <w:rPr>
          <w:rFonts w:hint="eastAsia" w:ascii="宋体" w:hAnsi="宋体" w:cs="宋体"/>
          <w:color w:val="000000"/>
          <w:szCs w:val="21"/>
        </w:rPr>
        <w:t>2022年9月</w:t>
      </w:r>
    </w:p>
    <w:p w14:paraId="66772F60">
      <w:pPr>
        <w:spacing w:line="360" w:lineRule="auto"/>
        <w:ind w:firstLine="6444" w:firstLineChars="2685"/>
        <w:rPr>
          <w:rFonts w:ascii="宋体" w:hAnsi="宋体" w:cs="宋体"/>
          <w:color w:val="000000"/>
          <w:sz w:val="24"/>
        </w:rPr>
      </w:pPr>
    </w:p>
    <w:p w14:paraId="05B0CD4F">
      <w:pPr>
        <w:rPr>
          <w:rFonts w:hint="eastAsia"/>
          <w:bCs/>
          <w:color w:val="000000"/>
        </w:rPr>
      </w:pPr>
    </w:p>
    <w:p w14:paraId="78816A29">
      <w:pPr>
        <w:pStyle w:val="28"/>
        <w:rPr>
          <w:rFonts w:hint="eastAsia" w:ascii="黑体" w:hAnsi="黑体" w:eastAsia="黑体"/>
          <w:color w:val="000000"/>
          <w:sz w:val="44"/>
          <w:szCs w:val="44"/>
        </w:rPr>
      </w:pPr>
    </w:p>
    <w:p w14:paraId="7453AEC9">
      <w:pPr>
        <w:pStyle w:val="28"/>
        <w:rPr>
          <w:rFonts w:hint="eastAsia" w:ascii="黑体" w:hAnsi="黑体" w:eastAsia="黑体"/>
          <w:color w:val="000000"/>
          <w:sz w:val="44"/>
          <w:szCs w:val="44"/>
        </w:rPr>
      </w:pPr>
    </w:p>
    <w:p w14:paraId="1ED15D8E">
      <w:pPr>
        <w:pStyle w:val="28"/>
        <w:rPr>
          <w:rFonts w:hint="eastAsia" w:ascii="黑体" w:hAnsi="黑体" w:eastAsia="黑体"/>
          <w:color w:val="000000"/>
          <w:sz w:val="44"/>
          <w:szCs w:val="44"/>
        </w:rPr>
      </w:pPr>
    </w:p>
    <w:p w14:paraId="013A1130">
      <w:pPr>
        <w:pStyle w:val="28"/>
        <w:rPr>
          <w:rFonts w:hint="eastAsia" w:ascii="黑体" w:hAnsi="黑体" w:eastAsia="黑体"/>
          <w:color w:val="000000"/>
          <w:sz w:val="44"/>
          <w:szCs w:val="44"/>
        </w:rPr>
      </w:pPr>
    </w:p>
    <w:p w14:paraId="5E57E950">
      <w:pPr>
        <w:pStyle w:val="28"/>
        <w:rPr>
          <w:rFonts w:hint="eastAsia" w:ascii="黑体" w:hAnsi="黑体" w:eastAsia="黑体"/>
          <w:color w:val="000000"/>
          <w:sz w:val="44"/>
          <w:szCs w:val="44"/>
        </w:rPr>
      </w:pPr>
    </w:p>
    <w:p w14:paraId="7A385706">
      <w:pPr>
        <w:pStyle w:val="28"/>
        <w:rPr>
          <w:rFonts w:hint="eastAsia" w:ascii="黑体" w:hAnsi="黑体" w:eastAsia="黑体"/>
          <w:color w:val="000000"/>
          <w:sz w:val="44"/>
          <w:szCs w:val="44"/>
        </w:rPr>
      </w:pPr>
    </w:p>
    <w:p w14:paraId="00D129DC">
      <w:pPr>
        <w:pStyle w:val="28"/>
        <w:rPr>
          <w:rFonts w:hint="eastAsia" w:ascii="黑体" w:hAnsi="黑体" w:eastAsia="黑体"/>
          <w:color w:val="000000"/>
          <w:sz w:val="44"/>
          <w:szCs w:val="44"/>
        </w:rPr>
      </w:pPr>
    </w:p>
    <w:p w14:paraId="54BCDE1A">
      <w:pPr>
        <w:pStyle w:val="28"/>
        <w:rPr>
          <w:rFonts w:hint="eastAsia" w:ascii="黑体" w:hAnsi="黑体" w:eastAsia="黑体"/>
          <w:color w:val="000000"/>
          <w:sz w:val="44"/>
          <w:szCs w:val="44"/>
        </w:rPr>
      </w:pPr>
    </w:p>
    <w:p w14:paraId="0953422E">
      <w:pPr>
        <w:pStyle w:val="28"/>
        <w:rPr>
          <w:rFonts w:hint="eastAsia" w:ascii="黑体" w:hAnsi="黑体" w:eastAsia="黑体"/>
          <w:color w:val="000000"/>
          <w:sz w:val="44"/>
          <w:szCs w:val="44"/>
        </w:rPr>
      </w:pPr>
    </w:p>
    <w:p w14:paraId="2FA86027">
      <w:pPr>
        <w:pStyle w:val="28"/>
        <w:rPr>
          <w:rFonts w:hint="eastAsia" w:ascii="黑体" w:hAnsi="黑体" w:eastAsia="黑体"/>
          <w:color w:val="000000"/>
          <w:sz w:val="44"/>
          <w:szCs w:val="44"/>
        </w:rPr>
      </w:pPr>
    </w:p>
    <w:p w14:paraId="2246BDF2">
      <w:pPr>
        <w:pStyle w:val="28"/>
        <w:rPr>
          <w:rFonts w:hint="eastAsia" w:ascii="黑体" w:hAnsi="黑体" w:eastAsia="黑体"/>
          <w:color w:val="000000"/>
          <w:sz w:val="44"/>
          <w:szCs w:val="44"/>
        </w:rPr>
      </w:pPr>
    </w:p>
    <w:p w14:paraId="215CD7A0">
      <w:pPr>
        <w:pStyle w:val="28"/>
        <w:rPr>
          <w:rFonts w:hint="eastAsia" w:ascii="黑体" w:hAnsi="黑体" w:eastAsia="黑体"/>
          <w:color w:val="000000"/>
          <w:sz w:val="44"/>
          <w:szCs w:val="44"/>
        </w:rPr>
      </w:pPr>
    </w:p>
    <w:p w14:paraId="00A99217">
      <w:pPr>
        <w:rPr>
          <w:rFonts w:hint="eastAsia"/>
        </w:rPr>
      </w:pPr>
      <w:r>
        <w:rPr>
          <w:rFonts w:hint="eastAsia" w:ascii="黑体" w:hAnsi="黑体" w:eastAsia="黑体"/>
          <w:color w:val="000000"/>
          <w:sz w:val="44"/>
          <w:szCs w:val="44"/>
        </w:rPr>
        <w:br w:type="page"/>
      </w:r>
    </w:p>
    <w:p w14:paraId="446AD547">
      <w:pPr>
        <w:pStyle w:val="28"/>
        <w:ind w:firstLine="1767" w:firstLineChars="400"/>
        <w:jc w:val="both"/>
        <w:rPr>
          <w:rFonts w:hint="eastAsia" w:ascii="黑体" w:hAnsi="黑体" w:eastAsia="黑体"/>
          <w:color w:val="000000"/>
          <w:sz w:val="44"/>
          <w:szCs w:val="44"/>
        </w:rPr>
      </w:pPr>
      <w:r>
        <w:rPr>
          <w:rFonts w:hint="eastAsia" w:ascii="黑体" w:hAnsi="黑体" w:eastAsia="黑体"/>
          <w:color w:val="000000"/>
          <w:sz w:val="44"/>
          <w:szCs w:val="44"/>
        </w:rPr>
        <w:t>大学英语</w:t>
      </w:r>
      <w:r>
        <w:rPr>
          <w:rFonts w:ascii="黑体" w:hAnsi="黑体" w:eastAsia="黑体"/>
          <w:color w:val="000000"/>
          <w:sz w:val="44"/>
          <w:szCs w:val="44"/>
        </w:rPr>
        <w:t>B</w:t>
      </w:r>
      <w:r>
        <w:rPr>
          <w:rFonts w:hint="eastAsia" w:ascii="黑体" w:hAnsi="黑体" w:eastAsia="黑体"/>
          <w:color w:val="000000"/>
          <w:sz w:val="44"/>
          <w:szCs w:val="44"/>
        </w:rPr>
        <w:t>（II）课程教学大纲</w:t>
      </w:r>
    </w:p>
    <w:p w14:paraId="25BDDA17">
      <w:pPr>
        <w:spacing w:line="360" w:lineRule="auto"/>
        <w:jc w:val="center"/>
        <w:rPr>
          <w:rFonts w:hint="eastAsia"/>
          <w:b/>
          <w:bCs/>
          <w:color w:val="000000"/>
          <w:sz w:val="28"/>
          <w:szCs w:val="28"/>
        </w:rPr>
      </w:pPr>
      <w:r>
        <w:rPr>
          <w:rFonts w:hint="eastAsia"/>
          <w:b/>
          <w:bCs/>
          <w:color w:val="000000"/>
          <w:sz w:val="28"/>
          <w:szCs w:val="28"/>
        </w:rPr>
        <w:t>（Co</w:t>
      </w:r>
      <w:r>
        <w:rPr>
          <w:b/>
          <w:bCs/>
          <w:color w:val="000000"/>
          <w:sz w:val="28"/>
          <w:szCs w:val="28"/>
        </w:rPr>
        <w:t>llege English B (I</w:t>
      </w:r>
      <w:r>
        <w:rPr>
          <w:rFonts w:hint="eastAsia"/>
          <w:b/>
          <w:bCs/>
          <w:color w:val="000000"/>
          <w:sz w:val="28"/>
          <w:szCs w:val="28"/>
        </w:rPr>
        <w:t>I</w:t>
      </w:r>
      <w:r>
        <w:rPr>
          <w:b/>
          <w:bCs/>
          <w:color w:val="000000"/>
          <w:sz w:val="28"/>
          <w:szCs w:val="28"/>
        </w:rPr>
        <w:t>)</w:t>
      </w:r>
      <w:r>
        <w:rPr>
          <w:rFonts w:hint="eastAsia"/>
          <w:b/>
          <w:bCs/>
          <w:color w:val="000000"/>
          <w:sz w:val="28"/>
          <w:szCs w:val="28"/>
        </w:rPr>
        <w:t>）</w:t>
      </w:r>
    </w:p>
    <w:p w14:paraId="701B1078">
      <w:pPr>
        <w:spacing w:line="360" w:lineRule="auto"/>
        <w:jc w:val="center"/>
        <w:rPr>
          <w:rFonts w:hint="eastAsia"/>
          <w:b/>
          <w:color w:val="000000"/>
          <w:sz w:val="28"/>
          <w:szCs w:val="28"/>
        </w:rPr>
      </w:pPr>
      <w:r>
        <w:rPr>
          <w:rFonts w:hint="eastAsia"/>
          <w:b/>
          <w:color w:val="000000"/>
          <w:sz w:val="28"/>
          <w:szCs w:val="28"/>
        </w:rPr>
        <w:t>2022级</w:t>
      </w:r>
    </w:p>
    <w:p w14:paraId="7F12A184">
      <w:pPr>
        <w:spacing w:line="360" w:lineRule="auto"/>
        <w:ind w:firstLine="482" w:firstLineChars="200"/>
        <w:rPr>
          <w:rFonts w:hint="eastAsia" w:ascii="宋体" w:hAnsi="宋体"/>
          <w:b/>
          <w:bCs/>
          <w:color w:val="000000"/>
          <w:kern w:val="0"/>
          <w:sz w:val="24"/>
        </w:rPr>
      </w:pPr>
      <w:r>
        <w:rPr>
          <w:b/>
          <w:bCs/>
          <w:color w:val="000000"/>
          <w:kern w:val="0"/>
          <w:sz w:val="24"/>
        </w:rPr>
        <w:t>课程名称</w:t>
      </w:r>
      <w:r>
        <w:rPr>
          <w:b/>
          <w:color w:val="000000"/>
          <w:kern w:val="0"/>
          <w:sz w:val="24"/>
        </w:rPr>
        <w:t>：</w:t>
      </w:r>
      <w:r>
        <w:rPr>
          <w:rFonts w:ascii="宋体" w:hAnsi="宋体"/>
          <w:b/>
          <w:bCs/>
          <w:color w:val="000000"/>
          <w:kern w:val="0"/>
          <w:sz w:val="24"/>
        </w:rPr>
        <w:t>大学英语</w:t>
      </w:r>
      <w:r>
        <w:rPr>
          <w:rFonts w:hint="eastAsia" w:ascii="宋体" w:hAnsi="宋体"/>
          <w:b/>
          <w:bCs/>
          <w:color w:val="000000"/>
          <w:kern w:val="0"/>
          <w:sz w:val="24"/>
        </w:rPr>
        <w:t>B（II）</w:t>
      </w:r>
    </w:p>
    <w:p w14:paraId="03776857">
      <w:pPr>
        <w:spacing w:line="360" w:lineRule="auto"/>
        <w:ind w:firstLine="482" w:firstLineChars="200"/>
        <w:rPr>
          <w:rFonts w:ascii="宋体" w:hAnsi="宋体"/>
          <w:b/>
          <w:bCs/>
          <w:color w:val="000000"/>
          <w:kern w:val="0"/>
          <w:sz w:val="24"/>
        </w:rPr>
      </w:pPr>
      <w:r>
        <w:rPr>
          <w:b/>
          <w:bCs/>
          <w:color w:val="000000"/>
          <w:kern w:val="0"/>
          <w:sz w:val="24"/>
        </w:rPr>
        <w:t>课程代码</w:t>
      </w:r>
      <w:r>
        <w:rPr>
          <w:b/>
          <w:color w:val="000000"/>
          <w:kern w:val="0"/>
          <w:sz w:val="24"/>
        </w:rPr>
        <w:t>：</w:t>
      </w:r>
      <w:r>
        <w:rPr>
          <w:rFonts w:ascii="宋体" w:hAnsi="宋体"/>
          <w:b/>
          <w:bCs/>
          <w:color w:val="000000"/>
          <w:kern w:val="0"/>
          <w:sz w:val="24"/>
        </w:rPr>
        <w:t>060500</w:t>
      </w:r>
      <w:r>
        <w:rPr>
          <w:rFonts w:hint="eastAsia" w:ascii="宋体" w:hAnsi="宋体"/>
          <w:b/>
          <w:bCs/>
          <w:color w:val="000000"/>
          <w:kern w:val="0"/>
          <w:sz w:val="24"/>
        </w:rPr>
        <w:t>2</w:t>
      </w:r>
    </w:p>
    <w:p w14:paraId="10FB7D89">
      <w:pPr>
        <w:spacing w:line="360" w:lineRule="auto"/>
        <w:ind w:firstLine="482" w:firstLineChars="200"/>
        <w:rPr>
          <w:b/>
          <w:color w:val="000000"/>
          <w:kern w:val="0"/>
          <w:sz w:val="24"/>
        </w:rPr>
      </w:pPr>
      <w:r>
        <w:rPr>
          <w:b/>
          <w:bCs/>
          <w:color w:val="000000"/>
          <w:kern w:val="0"/>
          <w:sz w:val="24"/>
        </w:rPr>
        <w:t>学    分</w:t>
      </w:r>
      <w:r>
        <w:rPr>
          <w:b/>
          <w:color w:val="000000"/>
          <w:kern w:val="0"/>
          <w:sz w:val="24"/>
        </w:rPr>
        <w:t>：</w:t>
      </w:r>
      <w:r>
        <w:rPr>
          <w:rFonts w:hint="eastAsia"/>
          <w:b/>
          <w:color w:val="000000"/>
          <w:kern w:val="0"/>
          <w:sz w:val="24"/>
        </w:rPr>
        <w:t>3</w:t>
      </w:r>
    </w:p>
    <w:p w14:paraId="2DA898E4">
      <w:pPr>
        <w:spacing w:line="360" w:lineRule="auto"/>
        <w:ind w:firstLine="482" w:firstLineChars="200"/>
        <w:rPr>
          <w:b/>
          <w:color w:val="000000"/>
          <w:kern w:val="0"/>
          <w:sz w:val="24"/>
        </w:rPr>
      </w:pPr>
      <w:r>
        <w:rPr>
          <w:b/>
          <w:bCs/>
          <w:color w:val="000000"/>
          <w:kern w:val="0"/>
          <w:sz w:val="24"/>
        </w:rPr>
        <w:t>学    时</w:t>
      </w:r>
      <w:r>
        <w:rPr>
          <w:b/>
          <w:color w:val="000000"/>
          <w:kern w:val="0"/>
          <w:sz w:val="24"/>
        </w:rPr>
        <w:t>：</w:t>
      </w:r>
      <w:r>
        <w:rPr>
          <w:rFonts w:hint="eastAsia"/>
          <w:b/>
          <w:color w:val="000000"/>
          <w:kern w:val="0"/>
          <w:sz w:val="24"/>
        </w:rPr>
        <w:t>48</w:t>
      </w:r>
    </w:p>
    <w:p w14:paraId="7D382B41">
      <w:pPr>
        <w:spacing w:line="360" w:lineRule="auto"/>
        <w:ind w:firstLine="482" w:firstLineChars="200"/>
        <w:rPr>
          <w:b/>
          <w:bCs/>
          <w:color w:val="000000"/>
          <w:kern w:val="0"/>
          <w:sz w:val="24"/>
        </w:rPr>
      </w:pPr>
      <w:r>
        <w:rPr>
          <w:b/>
          <w:bCs/>
          <w:color w:val="000000"/>
          <w:kern w:val="0"/>
          <w:sz w:val="24"/>
        </w:rPr>
        <w:t>先修课程</w:t>
      </w:r>
      <w:r>
        <w:rPr>
          <w:b/>
          <w:color w:val="000000"/>
          <w:kern w:val="0"/>
          <w:sz w:val="24"/>
        </w:rPr>
        <w:t>：</w:t>
      </w:r>
      <w:r>
        <w:rPr>
          <w:rFonts w:hint="eastAsia"/>
          <w:b/>
          <w:color w:val="000000"/>
          <w:kern w:val="0"/>
          <w:sz w:val="24"/>
        </w:rPr>
        <w:t>大学英语</w:t>
      </w:r>
      <w:r>
        <w:rPr>
          <w:b/>
          <w:color w:val="000000"/>
          <w:kern w:val="0"/>
          <w:sz w:val="24"/>
        </w:rPr>
        <w:t>B (</w:t>
      </w:r>
      <w:r>
        <w:rPr>
          <w:rFonts w:hint="eastAsia"/>
          <w:b/>
          <w:color w:val="000000"/>
          <w:kern w:val="0"/>
          <w:sz w:val="24"/>
        </w:rPr>
        <w:t>I</w:t>
      </w:r>
      <w:r>
        <w:rPr>
          <w:b/>
          <w:color w:val="000000"/>
          <w:kern w:val="0"/>
          <w:sz w:val="24"/>
        </w:rPr>
        <w:t>)</w:t>
      </w:r>
    </w:p>
    <w:p w14:paraId="3F3A2E6E">
      <w:pPr>
        <w:spacing w:line="360" w:lineRule="auto"/>
        <w:ind w:firstLine="482" w:firstLineChars="200"/>
        <w:rPr>
          <w:rFonts w:hint="eastAsia"/>
          <w:b/>
          <w:color w:val="000000"/>
          <w:kern w:val="0"/>
          <w:sz w:val="24"/>
        </w:rPr>
      </w:pPr>
      <w:r>
        <w:rPr>
          <w:b/>
          <w:bCs/>
          <w:color w:val="000000"/>
          <w:kern w:val="0"/>
          <w:sz w:val="24"/>
        </w:rPr>
        <w:t>适用专业</w:t>
      </w:r>
      <w:r>
        <w:rPr>
          <w:b/>
          <w:color w:val="000000"/>
          <w:kern w:val="0"/>
          <w:sz w:val="24"/>
        </w:rPr>
        <w:t>：</w:t>
      </w:r>
      <w:r>
        <w:rPr>
          <w:rFonts w:hint="eastAsia"/>
          <w:b/>
          <w:color w:val="000000"/>
          <w:kern w:val="0"/>
          <w:sz w:val="24"/>
        </w:rPr>
        <w:t>小学教育（理）</w:t>
      </w:r>
    </w:p>
    <w:p w14:paraId="3D588031">
      <w:pPr>
        <w:spacing w:line="360" w:lineRule="auto"/>
        <w:ind w:firstLine="482" w:firstLineChars="200"/>
        <w:rPr>
          <w:b/>
          <w:color w:val="000000"/>
          <w:sz w:val="24"/>
        </w:rPr>
      </w:pPr>
    </w:p>
    <w:p w14:paraId="719ADF5F">
      <w:pPr>
        <w:spacing w:line="360" w:lineRule="auto"/>
        <w:rPr>
          <w:rFonts w:hint="eastAsia"/>
          <w:b/>
          <w:color w:val="000000"/>
          <w:sz w:val="24"/>
        </w:rPr>
      </w:pPr>
      <w:r>
        <w:rPr>
          <w:rFonts w:hint="eastAsia"/>
          <w:b/>
          <w:color w:val="000000"/>
          <w:sz w:val="24"/>
        </w:rPr>
        <w:t>一、课程简介</w:t>
      </w:r>
    </w:p>
    <w:p w14:paraId="6563F13F">
      <w:pPr>
        <w:spacing w:line="360" w:lineRule="auto"/>
        <w:ind w:firstLine="420" w:firstLineChars="200"/>
        <w:rPr>
          <w:rFonts w:hint="eastAsia" w:ascii="宋体" w:hAnsi="宋体" w:cs="宋体" w:eastAsiaTheme="minorEastAsia"/>
          <w:color w:val="000000"/>
          <w:kern w:val="0"/>
          <w:sz w:val="24"/>
          <w:lang w:eastAsia="zh-CN"/>
        </w:rPr>
      </w:pPr>
      <w:r>
        <w:rPr>
          <w:rFonts w:hint="eastAsia" w:ascii="宋体" w:hAnsi="宋体" w:cs="宋体"/>
          <w:color w:val="000000"/>
          <w:kern w:val="0"/>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11AF357E">
      <w:pPr>
        <w:spacing w:line="360" w:lineRule="auto"/>
        <w:rPr>
          <w:rFonts w:hint="eastAsia"/>
          <w:b/>
          <w:color w:val="000000"/>
          <w:sz w:val="24"/>
        </w:rPr>
      </w:pPr>
      <w:r>
        <w:rPr>
          <w:rFonts w:hint="eastAsia"/>
          <w:b/>
          <w:color w:val="000000"/>
          <w:sz w:val="24"/>
        </w:rPr>
        <w:t>二、课程目标</w:t>
      </w:r>
    </w:p>
    <w:p w14:paraId="0FAA25C2">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（一）课程具体目标</w:t>
      </w:r>
    </w:p>
    <w:p w14:paraId="663E4FDE">
      <w:pPr>
        <w:autoSpaceDE w:val="0"/>
        <w:autoSpaceDN w:val="0"/>
        <w:adjustRightInd w:val="0"/>
        <w:spacing w:line="400" w:lineRule="exact"/>
        <w:ind w:firstLine="422" w:firstLineChars="200"/>
        <w:rPr>
          <w:rFonts w:ascii="宋体" w:hAnsi="宋体" w:cs="宋体"/>
          <w:color w:val="000000"/>
          <w:kern w:val="0"/>
          <w:szCs w:val="21"/>
        </w:rPr>
      </w:pPr>
      <w:r>
        <w:rPr>
          <w:rFonts w:hint="eastAsia" w:ascii="宋体" w:hAnsi="宋体" w:cs="宋体"/>
          <w:b/>
          <w:bCs/>
          <w:color w:val="000000"/>
          <w:kern w:val="0"/>
          <w:szCs w:val="21"/>
        </w:rPr>
        <w:t>1.</w:t>
      </w:r>
      <w:r>
        <w:rPr>
          <w:rFonts w:ascii="宋体" w:hAnsi="宋体" w:cs="宋体"/>
          <w:b/>
          <w:bCs/>
          <w:color w:val="000000"/>
          <w:kern w:val="0"/>
          <w:szCs w:val="21"/>
        </w:rPr>
        <w:t>知识目标：</w:t>
      </w:r>
      <w:r>
        <w:rPr>
          <w:rFonts w:hint="eastAsia" w:ascii="宋体" w:hAnsi="宋体" w:cs="宋体"/>
          <w:color w:val="000000"/>
          <w:kern w:val="0"/>
          <w:szCs w:val="21"/>
        </w:rPr>
        <w:t>进一步提升学生英语听、说、读、写、译基本语言技能和英语语言综合应用能力</w:t>
      </w:r>
      <w:r>
        <w:rPr>
          <w:rFonts w:ascii="宋体" w:hAnsi="宋体" w:cs="宋体"/>
          <w:color w:val="000000"/>
          <w:kern w:val="0"/>
          <w:szCs w:val="21"/>
        </w:rPr>
        <w:t>。</w:t>
      </w:r>
    </w:p>
    <w:p w14:paraId="1A46A776">
      <w:pPr>
        <w:autoSpaceDE w:val="0"/>
        <w:autoSpaceDN w:val="0"/>
        <w:adjustRightInd w:val="0"/>
        <w:spacing w:line="400" w:lineRule="exact"/>
        <w:ind w:firstLine="422" w:firstLineChars="200"/>
        <w:rPr>
          <w:rFonts w:ascii="宋体" w:hAnsi="宋体" w:cs="宋体"/>
          <w:color w:val="000000"/>
          <w:kern w:val="0"/>
          <w:szCs w:val="21"/>
        </w:rPr>
      </w:pPr>
      <w:r>
        <w:rPr>
          <w:rFonts w:hint="eastAsia" w:ascii="宋体" w:hAnsi="宋体" w:cs="宋体"/>
          <w:b/>
          <w:bCs/>
          <w:color w:val="000000"/>
          <w:kern w:val="0"/>
          <w:szCs w:val="21"/>
        </w:rPr>
        <w:t>2.</w:t>
      </w:r>
      <w:r>
        <w:rPr>
          <w:rFonts w:ascii="宋体" w:hAnsi="宋体" w:cs="宋体"/>
          <w:b/>
          <w:bCs/>
          <w:color w:val="000000"/>
          <w:kern w:val="0"/>
          <w:szCs w:val="21"/>
        </w:rPr>
        <w:t>能力目标：</w:t>
      </w:r>
      <w:r>
        <w:rPr>
          <w:rFonts w:hint="eastAsia" w:ascii="宋体" w:hAnsi="宋体" w:cs="宋体"/>
          <w:color w:val="000000"/>
          <w:kern w:val="0"/>
          <w:szCs w:val="21"/>
        </w:rPr>
        <w:t>进一步</w:t>
      </w:r>
      <w:r>
        <w:rPr>
          <w:rFonts w:ascii="宋体" w:hAnsi="宋体" w:cs="宋体"/>
          <w:color w:val="000000"/>
          <w:kern w:val="0"/>
          <w:szCs w:val="21"/>
        </w:rPr>
        <w:t>提升学生</w:t>
      </w:r>
      <w:r>
        <w:rPr>
          <w:rFonts w:hint="eastAsia" w:ascii="宋体" w:hAnsi="宋体" w:cs="宋体"/>
          <w:color w:val="000000"/>
          <w:kern w:val="0"/>
          <w:szCs w:val="21"/>
        </w:rPr>
        <w:t>使用英语工具紧跟专业前沿，拓展专业视野，查阅专业</w:t>
      </w:r>
      <w:r>
        <w:rPr>
          <w:rFonts w:ascii="宋体" w:hAnsi="宋体" w:cs="宋体"/>
          <w:color w:val="000000"/>
          <w:kern w:val="0"/>
          <w:szCs w:val="21"/>
        </w:rPr>
        <w:t>文献的意识和能力</w:t>
      </w:r>
      <w:r>
        <w:rPr>
          <w:rFonts w:hint="eastAsia" w:ascii="宋体" w:hAnsi="宋体" w:cs="宋体"/>
          <w:color w:val="000000"/>
          <w:kern w:val="0"/>
          <w:szCs w:val="21"/>
        </w:rPr>
        <w:t>，培养学生在职业领域进行相关沟通、交流能力</w:t>
      </w:r>
      <w:r>
        <w:rPr>
          <w:rFonts w:ascii="宋体" w:hAnsi="宋体" w:cs="宋体"/>
          <w:color w:val="000000"/>
          <w:kern w:val="0"/>
          <w:szCs w:val="21"/>
        </w:rPr>
        <w:t>。</w:t>
      </w:r>
    </w:p>
    <w:p w14:paraId="514F715C">
      <w:pPr>
        <w:autoSpaceDE w:val="0"/>
        <w:autoSpaceDN w:val="0"/>
        <w:adjustRightInd w:val="0"/>
        <w:spacing w:line="400" w:lineRule="exact"/>
        <w:ind w:firstLine="422" w:firstLineChars="200"/>
        <w:rPr>
          <w:rFonts w:hint="eastAsia" w:ascii="宋体" w:hAnsi="宋体" w:cs="宋体"/>
          <w:color w:val="000000"/>
          <w:kern w:val="0"/>
          <w:szCs w:val="21"/>
        </w:rPr>
      </w:pPr>
      <w:r>
        <w:rPr>
          <w:rFonts w:hint="eastAsia" w:ascii="宋体" w:hAnsi="宋体" w:cs="宋体"/>
          <w:b/>
          <w:bCs/>
          <w:color w:val="000000"/>
          <w:kern w:val="0"/>
          <w:szCs w:val="21"/>
        </w:rPr>
        <w:t>3.</w:t>
      </w:r>
      <w:r>
        <w:rPr>
          <w:rFonts w:ascii="宋体" w:hAnsi="宋体" w:cs="宋体"/>
          <w:b/>
          <w:bCs/>
          <w:color w:val="000000"/>
          <w:kern w:val="0"/>
          <w:szCs w:val="21"/>
        </w:rPr>
        <w:t>素质目标：</w:t>
      </w:r>
      <w:r>
        <w:rPr>
          <w:rFonts w:hint="eastAsia" w:ascii="宋体" w:hAnsi="宋体" w:cs="宋体"/>
          <w:color w:val="000000"/>
          <w:kern w:val="0"/>
          <w:szCs w:val="21"/>
        </w:rPr>
        <w:t>将社会主义核心价值观和中国优秀传统文化有机融入大学英语课程教学，培养学生批判吸收西方文化，增进中西文化异同理解；培养学生跨文化意识和交际能力；培养学生树立国际视野和提升综合人文素养；</w:t>
      </w:r>
      <w:r>
        <w:rPr>
          <w:rFonts w:ascii="宋体" w:hAnsi="宋体" w:cs="宋体"/>
          <w:color w:val="000000"/>
          <w:kern w:val="0"/>
          <w:szCs w:val="21"/>
        </w:rPr>
        <w:t>培养学生自主学习能力和终身学习意识</w:t>
      </w:r>
      <w:r>
        <w:rPr>
          <w:rFonts w:hint="eastAsia" w:ascii="宋体" w:hAnsi="宋体" w:cs="宋体"/>
          <w:color w:val="000000"/>
          <w:kern w:val="0"/>
          <w:szCs w:val="21"/>
        </w:rPr>
        <w:t>。</w:t>
      </w:r>
    </w:p>
    <w:p w14:paraId="027278FF">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（二）课程目标及其对毕业指标点的支撑</w:t>
      </w:r>
    </w:p>
    <w:p w14:paraId="60C9AD39">
      <w:pPr>
        <w:ind w:firstLine="301" w:firstLineChars="200"/>
        <w:rPr>
          <w:rFonts w:hint="eastAsia" w:ascii="宋体" w:hAnsi="宋体" w:cs="宋体"/>
          <w:b/>
          <w:bCs/>
          <w:color w:val="000000"/>
          <w:kern w:val="0"/>
          <w:sz w:val="15"/>
          <w:szCs w:val="15"/>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4678"/>
        <w:gridCol w:w="1751"/>
      </w:tblGrid>
      <w:tr w14:paraId="222C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387F06C0">
            <w:pPr>
              <w:spacing w:line="40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毕业要求</w:t>
            </w:r>
          </w:p>
        </w:tc>
        <w:tc>
          <w:tcPr>
            <w:tcW w:w="4678" w:type="dxa"/>
            <w:shd w:val="clear" w:color="auto" w:fill="auto"/>
            <w:noWrap w:val="0"/>
            <w:vAlign w:val="top"/>
          </w:tcPr>
          <w:p w14:paraId="33B0BEA3">
            <w:pPr>
              <w:spacing w:line="40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毕业要求指标点</w:t>
            </w:r>
          </w:p>
        </w:tc>
        <w:tc>
          <w:tcPr>
            <w:tcW w:w="1751" w:type="dxa"/>
            <w:shd w:val="clear" w:color="auto" w:fill="auto"/>
            <w:noWrap w:val="0"/>
            <w:vAlign w:val="top"/>
          </w:tcPr>
          <w:p w14:paraId="5D425C3C">
            <w:pPr>
              <w:spacing w:line="360" w:lineRule="auto"/>
              <w:jc w:val="center"/>
              <w:rPr>
                <w:rFonts w:hint="eastAsia" w:ascii="宋体" w:hAnsi="宋体" w:cs="宋体"/>
                <w:b/>
                <w:bCs/>
                <w:color w:val="000000"/>
                <w:kern w:val="0"/>
                <w:szCs w:val="21"/>
              </w:rPr>
            </w:pPr>
            <w:r>
              <w:rPr>
                <w:rFonts w:hint="eastAsia" w:ascii="宋体" w:hAnsi="宋体" w:cs="宋体"/>
                <w:b/>
                <w:bCs/>
                <w:color w:val="000000"/>
                <w:kern w:val="0"/>
                <w:szCs w:val="21"/>
              </w:rPr>
              <w:t>课程目标</w:t>
            </w:r>
          </w:p>
        </w:tc>
      </w:tr>
      <w:tr w14:paraId="1EEB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64FA6C34">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毕业要求7</w:t>
            </w:r>
            <w:r>
              <w:rPr>
                <w:rFonts w:ascii="宋体" w:hAnsi="宋体" w:cs="宋体"/>
                <w:bCs/>
                <w:color w:val="000000"/>
                <w:kern w:val="0"/>
                <w:szCs w:val="21"/>
              </w:rPr>
              <w:t>学会反思</w:t>
            </w:r>
          </w:p>
        </w:tc>
        <w:tc>
          <w:tcPr>
            <w:tcW w:w="4678" w:type="dxa"/>
            <w:shd w:val="clear" w:color="auto" w:fill="auto"/>
            <w:noWrap w:val="0"/>
            <w:vAlign w:val="top"/>
          </w:tcPr>
          <w:p w14:paraId="528244B6">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指标点7-1：</w:t>
            </w:r>
            <w:r>
              <w:rPr>
                <w:rFonts w:hint="eastAsia"/>
                <w:szCs w:val="21"/>
              </w:rPr>
              <w:t>【教育视野开阔】</w:t>
            </w:r>
            <w:r>
              <w:rPr>
                <w:szCs w:val="21"/>
              </w:rPr>
              <w:t>积极参加基础教育领域的国内外交流，了解国内外基础教育改革发展的动态，具有宽广的教育视野</w:t>
            </w:r>
            <w:r>
              <w:rPr>
                <w:rFonts w:hint="eastAsia"/>
                <w:szCs w:val="21"/>
              </w:rPr>
              <w:t>，能够主动适应新时代和教育发展需求。</w:t>
            </w:r>
          </w:p>
        </w:tc>
        <w:tc>
          <w:tcPr>
            <w:tcW w:w="1751" w:type="dxa"/>
            <w:shd w:val="clear" w:color="auto" w:fill="auto"/>
            <w:noWrap w:val="0"/>
            <w:vAlign w:val="top"/>
          </w:tcPr>
          <w:p w14:paraId="0F081192">
            <w:pPr>
              <w:spacing w:line="360" w:lineRule="auto"/>
              <w:ind w:firstLine="210" w:firstLineChars="100"/>
              <w:rPr>
                <w:rFonts w:hint="eastAsia"/>
                <w:szCs w:val="21"/>
              </w:rPr>
            </w:pPr>
            <w:r>
              <w:rPr>
                <w:rFonts w:hint="eastAsia"/>
                <w:szCs w:val="21"/>
              </w:rPr>
              <w:t>课程目标1</w:t>
            </w:r>
          </w:p>
          <w:p w14:paraId="4598926E">
            <w:pPr>
              <w:spacing w:line="360" w:lineRule="auto"/>
              <w:ind w:firstLine="210" w:firstLineChars="100"/>
              <w:rPr>
                <w:rFonts w:hint="eastAsia"/>
                <w:szCs w:val="21"/>
              </w:rPr>
            </w:pPr>
            <w:r>
              <w:rPr>
                <w:rFonts w:hint="eastAsia"/>
                <w:szCs w:val="21"/>
              </w:rPr>
              <w:t>课程目标2</w:t>
            </w:r>
          </w:p>
          <w:p w14:paraId="2AB7DB95">
            <w:pPr>
              <w:spacing w:line="360" w:lineRule="auto"/>
              <w:ind w:firstLine="210" w:firstLineChars="100"/>
              <w:rPr>
                <w:rFonts w:hint="eastAsia" w:ascii="宋体" w:hAnsi="宋体" w:cs="宋体"/>
                <w:b/>
                <w:bCs/>
                <w:color w:val="000000"/>
                <w:kern w:val="0"/>
                <w:szCs w:val="21"/>
              </w:rPr>
            </w:pPr>
            <w:r>
              <w:rPr>
                <w:rFonts w:hint="eastAsia"/>
                <w:szCs w:val="21"/>
              </w:rPr>
              <w:t>课程目标3</w:t>
            </w:r>
          </w:p>
        </w:tc>
      </w:tr>
      <w:tr w14:paraId="7977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shd w:val="clear" w:color="auto" w:fill="auto"/>
            <w:noWrap w:val="0"/>
            <w:vAlign w:val="top"/>
          </w:tcPr>
          <w:p w14:paraId="574BFC4B">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毕业要求8</w:t>
            </w:r>
            <w:r>
              <w:rPr>
                <w:rFonts w:ascii="宋体" w:hAnsi="宋体" w:cs="宋体"/>
                <w:bCs/>
                <w:color w:val="000000"/>
                <w:kern w:val="0"/>
                <w:szCs w:val="21"/>
              </w:rPr>
              <w:t>沟通合作</w:t>
            </w:r>
          </w:p>
        </w:tc>
        <w:tc>
          <w:tcPr>
            <w:tcW w:w="4678" w:type="dxa"/>
            <w:shd w:val="clear" w:color="auto" w:fill="auto"/>
            <w:noWrap w:val="0"/>
            <w:vAlign w:val="top"/>
          </w:tcPr>
          <w:p w14:paraId="0E32EE41">
            <w:pPr>
              <w:spacing w:line="400" w:lineRule="exact"/>
              <w:rPr>
                <w:rFonts w:hint="eastAsia" w:ascii="宋体" w:hAnsi="宋体" w:cs="宋体"/>
                <w:b/>
                <w:bCs/>
                <w:color w:val="000000"/>
                <w:kern w:val="0"/>
                <w:szCs w:val="21"/>
              </w:rPr>
            </w:pPr>
            <w:r>
              <w:rPr>
                <w:rFonts w:hint="eastAsia" w:ascii="宋体" w:hAnsi="宋体" w:cs="宋体"/>
                <w:bCs/>
                <w:color w:val="000000"/>
                <w:kern w:val="0"/>
                <w:szCs w:val="21"/>
              </w:rPr>
              <w:t>指标点8-3：</w:t>
            </w:r>
            <w:r>
              <w:rPr>
                <w:rFonts w:hint="eastAsia"/>
                <w:szCs w:val="21"/>
              </w:rPr>
              <w:t>【具有国际视野】</w:t>
            </w:r>
            <w:r>
              <w:rPr>
                <w:szCs w:val="21"/>
              </w:rPr>
              <w:t>具备基本的国际理解与交流沟通能力。</w:t>
            </w:r>
          </w:p>
        </w:tc>
        <w:tc>
          <w:tcPr>
            <w:tcW w:w="1751" w:type="dxa"/>
            <w:shd w:val="clear" w:color="auto" w:fill="auto"/>
            <w:noWrap w:val="0"/>
            <w:vAlign w:val="top"/>
          </w:tcPr>
          <w:p w14:paraId="39F1200C">
            <w:pPr>
              <w:spacing w:line="360" w:lineRule="auto"/>
              <w:ind w:firstLine="210" w:firstLineChars="100"/>
              <w:rPr>
                <w:rFonts w:hint="eastAsia" w:ascii="宋体" w:hAnsi="宋体" w:cs="宋体"/>
                <w:b/>
                <w:bCs/>
                <w:color w:val="000000"/>
                <w:kern w:val="0"/>
                <w:szCs w:val="21"/>
              </w:rPr>
            </w:pPr>
            <w:r>
              <w:rPr>
                <w:rFonts w:hint="eastAsia"/>
                <w:szCs w:val="21"/>
              </w:rPr>
              <w:t>课程目标2</w:t>
            </w:r>
          </w:p>
        </w:tc>
      </w:tr>
    </w:tbl>
    <w:p w14:paraId="61776FFE">
      <w:pPr>
        <w:ind w:firstLine="301" w:firstLineChars="200"/>
        <w:rPr>
          <w:rFonts w:hint="eastAsia" w:ascii="宋体" w:hAnsi="宋体" w:cs="宋体"/>
          <w:b/>
          <w:bCs/>
          <w:color w:val="000000"/>
          <w:kern w:val="0"/>
          <w:sz w:val="15"/>
          <w:szCs w:val="15"/>
        </w:rPr>
      </w:pPr>
    </w:p>
    <w:p w14:paraId="32F3F8C5">
      <w:pPr>
        <w:spacing w:line="360" w:lineRule="auto"/>
        <w:ind w:firstLine="422" w:firstLineChars="200"/>
        <w:rPr>
          <w:rFonts w:hint="eastAsia" w:ascii="宋体" w:hAnsi="宋体" w:cs="宋体"/>
          <w:b/>
          <w:bCs/>
          <w:color w:val="000000"/>
          <w:kern w:val="0"/>
          <w:szCs w:val="21"/>
        </w:rPr>
      </w:pPr>
      <w:r>
        <w:rPr>
          <w:rFonts w:hint="eastAsia" w:ascii="宋体" w:hAnsi="宋体" w:cs="宋体"/>
          <w:b/>
          <w:bCs/>
          <w:color w:val="000000"/>
          <w:kern w:val="0"/>
          <w:szCs w:val="21"/>
        </w:rPr>
        <w:t>（三）课程思政目标</w:t>
      </w:r>
    </w:p>
    <w:p w14:paraId="52E4F430">
      <w:pPr>
        <w:autoSpaceDE w:val="0"/>
        <w:autoSpaceDN w:val="0"/>
        <w:adjustRightInd w:val="0"/>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在促使学生全面提高听、说、读、写、译英语综合运用能力的基础上，培植学生的家国情怀与文化自信，通过语言载体深化社会主义核心价值观教育。引导学生用英语客观阐释中华优秀传统文化、革命精神与当代发展成就，增强跨文化传播中的话语能力；在分析西方文化素材时培养批判性思维。通过创设真实语境，将语言训练与国情认知、社会责任相结合，使学生在提升语言能力的同时，树立人类命运共同体意识，强化科技报国、文化传承的使命感。</w:t>
      </w:r>
    </w:p>
    <w:p w14:paraId="6FA1EF2F">
      <w:pPr>
        <w:autoSpaceDE w:val="0"/>
        <w:autoSpaceDN w:val="0"/>
        <w:adjustRightInd w:val="0"/>
        <w:rPr>
          <w:rFonts w:ascii="宋体" w:hAnsi="宋体" w:cs="宋体"/>
          <w:color w:val="000000"/>
          <w:kern w:val="0"/>
          <w:sz w:val="15"/>
          <w:szCs w:val="15"/>
        </w:rPr>
      </w:pPr>
    </w:p>
    <w:p w14:paraId="4AF7974A">
      <w:pPr>
        <w:spacing w:line="360" w:lineRule="auto"/>
        <w:ind w:firstLine="482" w:firstLineChars="200"/>
        <w:rPr>
          <w:b/>
          <w:color w:val="000000"/>
          <w:sz w:val="15"/>
          <w:szCs w:val="15"/>
        </w:rPr>
      </w:pPr>
      <w:r>
        <w:rPr>
          <w:rFonts w:hint="eastAsia"/>
          <w:b/>
          <w:color w:val="000000"/>
          <w:sz w:val="24"/>
        </w:rPr>
        <w:t>三、教学内容与预期学习成效</w:t>
      </w:r>
    </w:p>
    <w:tbl>
      <w:tblPr>
        <w:tblStyle w:val="3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01"/>
        <w:gridCol w:w="4111"/>
        <w:gridCol w:w="1388"/>
      </w:tblGrid>
      <w:tr w14:paraId="3824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50830B5F">
            <w:pPr>
              <w:jc w:val="center"/>
              <w:rPr>
                <w:b/>
                <w:bCs/>
                <w:color w:val="000000"/>
                <w:szCs w:val="21"/>
              </w:rPr>
            </w:pPr>
            <w:r>
              <w:rPr>
                <w:b/>
                <w:bCs/>
                <w:color w:val="000000"/>
                <w:szCs w:val="21"/>
              </w:rPr>
              <w:t>教学内容</w:t>
            </w:r>
          </w:p>
        </w:tc>
        <w:tc>
          <w:tcPr>
            <w:tcW w:w="1701" w:type="dxa"/>
            <w:noWrap w:val="0"/>
            <w:vAlign w:val="center"/>
          </w:tcPr>
          <w:p w14:paraId="211822CC">
            <w:pPr>
              <w:jc w:val="center"/>
              <w:rPr>
                <w:rFonts w:hint="eastAsia"/>
                <w:b/>
                <w:bCs/>
                <w:color w:val="000000"/>
                <w:szCs w:val="21"/>
              </w:rPr>
            </w:pPr>
            <w:r>
              <w:rPr>
                <w:rFonts w:hint="eastAsia"/>
                <w:b/>
                <w:bCs/>
                <w:color w:val="000000"/>
                <w:szCs w:val="21"/>
              </w:rPr>
              <w:t>课程思政目标</w:t>
            </w:r>
          </w:p>
        </w:tc>
        <w:tc>
          <w:tcPr>
            <w:tcW w:w="4111" w:type="dxa"/>
            <w:noWrap w:val="0"/>
            <w:vAlign w:val="center"/>
          </w:tcPr>
          <w:p w14:paraId="68AD1237">
            <w:pPr>
              <w:jc w:val="center"/>
              <w:rPr>
                <w:b/>
                <w:bCs/>
                <w:color w:val="000000"/>
                <w:szCs w:val="21"/>
              </w:rPr>
            </w:pPr>
            <w:r>
              <w:rPr>
                <w:rFonts w:hint="eastAsia"/>
                <w:b/>
                <w:bCs/>
                <w:color w:val="000000"/>
                <w:szCs w:val="21"/>
              </w:rPr>
              <w:t>预期学习成效</w:t>
            </w:r>
          </w:p>
        </w:tc>
        <w:tc>
          <w:tcPr>
            <w:tcW w:w="1388" w:type="dxa"/>
            <w:noWrap w:val="0"/>
            <w:vAlign w:val="center"/>
          </w:tcPr>
          <w:p w14:paraId="66447221">
            <w:pPr>
              <w:jc w:val="center"/>
              <w:rPr>
                <w:rFonts w:hint="eastAsia"/>
                <w:b/>
                <w:bCs/>
                <w:color w:val="000000"/>
                <w:szCs w:val="21"/>
              </w:rPr>
            </w:pPr>
            <w:r>
              <w:rPr>
                <w:rFonts w:hint="eastAsia"/>
                <w:b/>
                <w:bCs/>
                <w:color w:val="000000"/>
                <w:szCs w:val="21"/>
              </w:rPr>
              <w:t>重点、难点</w:t>
            </w:r>
          </w:p>
        </w:tc>
      </w:tr>
      <w:tr w14:paraId="33B5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094C54F7">
            <w:pPr>
              <w:rPr>
                <w:rFonts w:hint="eastAsia" w:ascii="宋体" w:hAnsi="宋体"/>
                <w:color w:val="000000"/>
                <w:szCs w:val="21"/>
              </w:rPr>
            </w:pPr>
            <w:r>
              <w:rPr>
                <w:rFonts w:hint="eastAsia" w:ascii="宋体" w:hAnsi="宋体"/>
                <w:color w:val="000000"/>
                <w:szCs w:val="21"/>
              </w:rPr>
              <w:t>听力理解</w:t>
            </w:r>
          </w:p>
        </w:tc>
        <w:tc>
          <w:tcPr>
            <w:tcW w:w="1701" w:type="dxa"/>
            <w:noWrap w:val="0"/>
            <w:vAlign w:val="center"/>
          </w:tcPr>
          <w:p w14:paraId="2E9320F8">
            <w:pPr>
              <w:widowControl/>
              <w:jc w:val="left"/>
              <w:rPr>
                <w:rFonts w:ascii="宋体" w:hAnsi="宋体"/>
                <w:color w:val="000000"/>
                <w:kern w:val="0"/>
                <w:szCs w:val="21"/>
              </w:rPr>
            </w:pPr>
            <w:r>
              <w:rPr>
                <w:rFonts w:hint="eastAsia" w:ascii="宋体" w:hAnsi="宋体"/>
                <w:color w:val="000000"/>
                <w:kern w:val="0"/>
                <w:szCs w:val="21"/>
              </w:rPr>
              <w:t>1.了解西方文化</w:t>
            </w:r>
          </w:p>
          <w:p w14:paraId="77796002">
            <w:pPr>
              <w:widowControl/>
              <w:jc w:val="left"/>
              <w:rPr>
                <w:rFonts w:ascii="宋体" w:hAnsi="宋体"/>
                <w:color w:val="000000"/>
                <w:kern w:val="0"/>
                <w:szCs w:val="21"/>
              </w:rPr>
            </w:pPr>
            <w:r>
              <w:rPr>
                <w:rFonts w:hint="eastAsia" w:ascii="宋体" w:hAnsi="宋体"/>
                <w:color w:val="000000"/>
                <w:kern w:val="0"/>
                <w:szCs w:val="21"/>
              </w:rPr>
              <w:t>2.理性思考中西文化差异</w:t>
            </w:r>
          </w:p>
          <w:p w14:paraId="1D8E3206">
            <w:pPr>
              <w:widowControl/>
              <w:jc w:val="left"/>
              <w:rPr>
                <w:rFonts w:hint="eastAsia" w:ascii="宋体" w:hAnsi="宋体"/>
                <w:color w:val="000000"/>
                <w:kern w:val="0"/>
                <w:szCs w:val="21"/>
              </w:rPr>
            </w:pPr>
            <w:r>
              <w:rPr>
                <w:rFonts w:hint="eastAsia" w:ascii="宋体" w:hAnsi="宋体"/>
                <w:color w:val="000000"/>
                <w:kern w:val="0"/>
                <w:szCs w:val="21"/>
              </w:rPr>
              <w:t>3.树立文化自信</w:t>
            </w:r>
          </w:p>
        </w:tc>
        <w:tc>
          <w:tcPr>
            <w:tcW w:w="4111" w:type="dxa"/>
            <w:noWrap w:val="0"/>
            <w:vAlign w:val="center"/>
          </w:tcPr>
          <w:p w14:paraId="485ED7A6">
            <w:pPr>
              <w:autoSpaceDE w:val="0"/>
              <w:autoSpaceDN w:val="0"/>
              <w:adjustRightInd w:val="0"/>
              <w:spacing w:line="400" w:lineRule="exact"/>
              <w:rPr>
                <w:rFonts w:hint="eastAsia" w:ascii="宋体" w:hAnsi="宋体"/>
                <w:color w:val="000000"/>
                <w:kern w:val="0"/>
                <w:szCs w:val="21"/>
                <w:lang w:val="zh-CN"/>
              </w:rPr>
            </w:pPr>
            <w:r>
              <w:rPr>
                <w:rFonts w:ascii="宋体" w:hAnsi="宋体"/>
                <w:color w:val="000000"/>
                <w:kern w:val="0"/>
                <w:szCs w:val="21"/>
                <w:lang w:val="zh-CN"/>
              </w:rPr>
              <w:t>能听懂一般日常英语谈话和公告；能基本听懂题材熟悉、篇幅较长、语速中等的英语广播、电视节目和其他音视频材料，掌握中心大意，抓住要点和相关细节；能基本听懂用英语讲授的专业课程或与未来工作岗位、工作任务、产品等相关的口头介绍。能较好地运用听力技巧。</w:t>
            </w:r>
          </w:p>
        </w:tc>
        <w:tc>
          <w:tcPr>
            <w:tcW w:w="1388" w:type="dxa"/>
            <w:noWrap w:val="0"/>
            <w:vAlign w:val="center"/>
          </w:tcPr>
          <w:p w14:paraId="52CD86E4">
            <w:pPr>
              <w:jc w:val="left"/>
              <w:rPr>
                <w:rFonts w:hint="eastAsia" w:ascii="宋体" w:hAnsi="宋体"/>
                <w:bCs/>
                <w:color w:val="000000"/>
                <w:szCs w:val="21"/>
              </w:rPr>
            </w:pPr>
            <w:r>
              <w:rPr>
                <w:rFonts w:hint="eastAsia" w:ascii="宋体" w:hAnsi="宋体"/>
                <w:bCs/>
                <w:color w:val="000000"/>
                <w:szCs w:val="21"/>
              </w:rPr>
              <w:t>1.专业词汇</w:t>
            </w:r>
          </w:p>
          <w:p w14:paraId="7950A7B3">
            <w:pPr>
              <w:jc w:val="left"/>
              <w:rPr>
                <w:rFonts w:hint="eastAsia" w:ascii="宋体" w:hAnsi="宋体"/>
                <w:bCs/>
                <w:color w:val="000000"/>
                <w:szCs w:val="21"/>
              </w:rPr>
            </w:pPr>
            <w:r>
              <w:rPr>
                <w:rFonts w:hint="eastAsia" w:ascii="宋体" w:hAnsi="宋体"/>
                <w:bCs/>
                <w:color w:val="000000"/>
                <w:szCs w:val="21"/>
              </w:rPr>
              <w:t>2.重要细节捕捉</w:t>
            </w:r>
          </w:p>
          <w:p w14:paraId="608D7D69">
            <w:pPr>
              <w:jc w:val="left"/>
              <w:rPr>
                <w:rFonts w:hint="eastAsia" w:ascii="宋体" w:hAnsi="宋体"/>
                <w:bCs/>
                <w:color w:val="000000"/>
                <w:szCs w:val="21"/>
              </w:rPr>
            </w:pPr>
            <w:r>
              <w:rPr>
                <w:rFonts w:hint="eastAsia" w:ascii="宋体" w:hAnsi="宋体"/>
                <w:bCs/>
                <w:color w:val="000000"/>
                <w:szCs w:val="21"/>
              </w:rPr>
              <w:t>3.听力技巧</w:t>
            </w:r>
          </w:p>
        </w:tc>
      </w:tr>
      <w:tr w14:paraId="79E3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2C1289E9">
            <w:pPr>
              <w:rPr>
                <w:rFonts w:hint="eastAsia" w:ascii="宋体" w:hAnsi="宋体"/>
                <w:color w:val="000000"/>
                <w:szCs w:val="21"/>
              </w:rPr>
            </w:pPr>
            <w:r>
              <w:rPr>
                <w:rFonts w:hint="eastAsia" w:ascii="宋体" w:hAnsi="宋体"/>
                <w:color w:val="000000"/>
                <w:szCs w:val="21"/>
              </w:rPr>
              <w:t>口语表达</w:t>
            </w:r>
          </w:p>
        </w:tc>
        <w:tc>
          <w:tcPr>
            <w:tcW w:w="1701" w:type="dxa"/>
            <w:noWrap w:val="0"/>
            <w:vAlign w:val="center"/>
          </w:tcPr>
          <w:p w14:paraId="091BB34A">
            <w:pPr>
              <w:widowControl/>
              <w:jc w:val="left"/>
              <w:rPr>
                <w:rFonts w:ascii="宋体" w:hAnsi="宋体"/>
                <w:color w:val="000000"/>
                <w:kern w:val="0"/>
                <w:szCs w:val="21"/>
              </w:rPr>
            </w:pPr>
            <w:r>
              <w:rPr>
                <w:rFonts w:hint="eastAsia" w:ascii="宋体" w:hAnsi="宋体"/>
                <w:color w:val="000000"/>
                <w:kern w:val="0"/>
                <w:szCs w:val="21"/>
              </w:rPr>
              <w:t>1.克服焦虑，树立信心</w:t>
            </w:r>
          </w:p>
          <w:p w14:paraId="325C435B">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5C540DA3">
            <w:pPr>
              <w:widowControl/>
              <w:jc w:val="left"/>
              <w:rPr>
                <w:rFonts w:hint="eastAsia" w:ascii="宋体" w:hAnsi="宋体"/>
                <w:color w:val="000000"/>
                <w:kern w:val="0"/>
                <w:szCs w:val="21"/>
              </w:rPr>
            </w:pPr>
            <w:r>
              <w:rPr>
                <w:rFonts w:hint="eastAsia" w:ascii="宋体" w:hAnsi="宋体"/>
                <w:color w:val="000000"/>
                <w:kern w:val="0"/>
                <w:szCs w:val="21"/>
              </w:rPr>
              <w:t>3.讲好中国故事</w:t>
            </w:r>
          </w:p>
        </w:tc>
        <w:tc>
          <w:tcPr>
            <w:tcW w:w="4111" w:type="dxa"/>
            <w:noWrap w:val="0"/>
            <w:vAlign w:val="center"/>
          </w:tcPr>
          <w:p w14:paraId="6F2AA613">
            <w:pPr>
              <w:autoSpaceDE w:val="0"/>
              <w:autoSpaceDN w:val="0"/>
              <w:adjustRightInd w:val="0"/>
              <w:spacing w:line="400" w:lineRule="exact"/>
              <w:rPr>
                <w:rFonts w:hint="eastAsia" w:ascii="宋体" w:hAnsi="宋体"/>
                <w:color w:val="000000"/>
                <w:kern w:val="0"/>
                <w:szCs w:val="21"/>
                <w:lang w:val="zh-CN"/>
              </w:rPr>
            </w:pPr>
            <w:r>
              <w:rPr>
                <w:color w:val="000000"/>
                <w:kern w:val="0"/>
                <w:szCs w:val="21"/>
                <w:lang w:val="zh-CN"/>
              </w:rPr>
              <w:t>能用英语就一般性话题进行比较流利的会话；能较好地表达个人意见、情感、观点等；能陈述事实、理由和描述事件或物品等；能就熟悉的观点、概念、理论等进行阐述、解释、比较、总结等。语言组织结构清晰，语音、语调基本正确。能较好地运用口头表达与交流技巧。</w:t>
            </w:r>
          </w:p>
        </w:tc>
        <w:tc>
          <w:tcPr>
            <w:tcW w:w="1388" w:type="dxa"/>
            <w:noWrap w:val="0"/>
            <w:vAlign w:val="center"/>
          </w:tcPr>
          <w:p w14:paraId="61D080F8">
            <w:pPr>
              <w:jc w:val="left"/>
              <w:rPr>
                <w:rFonts w:ascii="宋体" w:hAnsi="宋体"/>
                <w:bCs/>
                <w:color w:val="000000"/>
                <w:szCs w:val="21"/>
              </w:rPr>
            </w:pPr>
            <w:r>
              <w:rPr>
                <w:rFonts w:hint="eastAsia" w:ascii="宋体" w:hAnsi="宋体"/>
                <w:bCs/>
                <w:color w:val="000000"/>
                <w:szCs w:val="21"/>
              </w:rPr>
              <w:t>1.连读</w:t>
            </w:r>
          </w:p>
          <w:p w14:paraId="5CC6E25B">
            <w:pPr>
              <w:jc w:val="left"/>
              <w:rPr>
                <w:rFonts w:ascii="宋体" w:hAnsi="宋体"/>
                <w:bCs/>
                <w:color w:val="000000"/>
                <w:szCs w:val="21"/>
              </w:rPr>
            </w:pPr>
            <w:r>
              <w:rPr>
                <w:rFonts w:hint="eastAsia" w:ascii="宋体" w:hAnsi="宋体"/>
                <w:bCs/>
                <w:color w:val="000000"/>
                <w:szCs w:val="21"/>
              </w:rPr>
              <w:t>2.观点陈述</w:t>
            </w:r>
          </w:p>
          <w:p w14:paraId="6B872635">
            <w:pPr>
              <w:jc w:val="left"/>
              <w:rPr>
                <w:rFonts w:hint="eastAsia" w:ascii="宋体" w:hAnsi="宋体"/>
                <w:bCs/>
                <w:color w:val="000000"/>
                <w:szCs w:val="21"/>
              </w:rPr>
            </w:pPr>
            <w:r>
              <w:rPr>
                <w:rFonts w:hint="eastAsia" w:ascii="宋体" w:hAnsi="宋体"/>
                <w:bCs/>
                <w:color w:val="000000"/>
                <w:szCs w:val="21"/>
              </w:rPr>
              <w:t>3.沟通技巧</w:t>
            </w:r>
          </w:p>
        </w:tc>
      </w:tr>
      <w:tr w14:paraId="6372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69C350E1">
            <w:pPr>
              <w:rPr>
                <w:rFonts w:hint="eastAsia" w:ascii="宋体" w:hAnsi="宋体"/>
                <w:color w:val="000000"/>
                <w:szCs w:val="21"/>
              </w:rPr>
            </w:pPr>
            <w:r>
              <w:rPr>
                <w:rFonts w:hint="eastAsia" w:ascii="宋体" w:hAnsi="宋体"/>
                <w:color w:val="000000"/>
                <w:szCs w:val="21"/>
              </w:rPr>
              <w:t>阅读理解</w:t>
            </w:r>
          </w:p>
        </w:tc>
        <w:tc>
          <w:tcPr>
            <w:tcW w:w="1701" w:type="dxa"/>
            <w:noWrap w:val="0"/>
            <w:vAlign w:val="center"/>
          </w:tcPr>
          <w:p w14:paraId="0400B848">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71DEA166">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358E5077">
            <w:pPr>
              <w:widowControl/>
              <w:jc w:val="left"/>
              <w:rPr>
                <w:rFonts w:ascii="宋体" w:hAnsi="宋体"/>
                <w:color w:val="000000"/>
                <w:kern w:val="0"/>
                <w:szCs w:val="21"/>
              </w:rPr>
            </w:pPr>
            <w:r>
              <w:rPr>
                <w:rFonts w:hint="eastAsia" w:ascii="宋体" w:hAnsi="宋体"/>
                <w:color w:val="000000"/>
                <w:kern w:val="0"/>
                <w:szCs w:val="21"/>
              </w:rPr>
              <w:t>3.树立文化自信</w:t>
            </w:r>
          </w:p>
          <w:p w14:paraId="4A5D9668">
            <w:pPr>
              <w:widowControl/>
              <w:jc w:val="left"/>
              <w:rPr>
                <w:rFonts w:hint="eastAsia" w:ascii="宋体" w:hAnsi="宋体"/>
                <w:color w:val="000000"/>
                <w:kern w:val="0"/>
                <w:szCs w:val="21"/>
              </w:rPr>
            </w:pPr>
            <w:r>
              <w:rPr>
                <w:rFonts w:hint="eastAsia" w:ascii="宋体" w:hAnsi="宋体"/>
                <w:color w:val="000000"/>
                <w:kern w:val="0"/>
                <w:szCs w:val="21"/>
              </w:rPr>
              <w:t>4.提升职业素养</w:t>
            </w:r>
          </w:p>
        </w:tc>
        <w:tc>
          <w:tcPr>
            <w:tcW w:w="4111" w:type="dxa"/>
            <w:noWrap w:val="0"/>
            <w:vAlign w:val="center"/>
          </w:tcPr>
          <w:p w14:paraId="061A8D75">
            <w:pPr>
              <w:autoSpaceDE w:val="0"/>
              <w:autoSpaceDN w:val="0"/>
              <w:adjustRightInd w:val="0"/>
              <w:spacing w:line="400" w:lineRule="exact"/>
              <w:rPr>
                <w:rFonts w:hint="eastAsia" w:ascii="宋体" w:hAnsi="宋体"/>
                <w:color w:val="000000"/>
                <w:kern w:val="0"/>
                <w:szCs w:val="21"/>
                <w:lang w:val="zh-CN"/>
              </w:rPr>
            </w:pPr>
            <w:r>
              <w:rPr>
                <w:color w:val="000000"/>
                <w:kern w:val="0"/>
                <w:szCs w:val="21"/>
                <w:lang w:val="zh-CN"/>
              </w:rPr>
              <w:t>能基本读懂公开发表的英语报刊上一般性题材的文章；能阅读与所学专业相关的综述性文献，或与未来工作相关的说明书、操作手册等材料，理解中心大意、关键信息、文章的篇章结构和隐含意义等。能较好地运用快速阅读技巧阅读篇幅较长、难度中等的材料。能较好地运用常用的阅读策略。</w:t>
            </w:r>
          </w:p>
        </w:tc>
        <w:tc>
          <w:tcPr>
            <w:tcW w:w="1388" w:type="dxa"/>
            <w:noWrap w:val="0"/>
            <w:vAlign w:val="center"/>
          </w:tcPr>
          <w:p w14:paraId="1ED9610E">
            <w:pPr>
              <w:jc w:val="left"/>
              <w:rPr>
                <w:rFonts w:ascii="宋体" w:hAnsi="宋体"/>
                <w:bCs/>
                <w:color w:val="000000"/>
                <w:szCs w:val="21"/>
              </w:rPr>
            </w:pPr>
            <w:r>
              <w:rPr>
                <w:rFonts w:hint="eastAsia" w:ascii="宋体" w:hAnsi="宋体"/>
                <w:bCs/>
                <w:color w:val="000000"/>
                <w:szCs w:val="21"/>
              </w:rPr>
              <w:t>1.篇章结构理解</w:t>
            </w:r>
          </w:p>
          <w:p w14:paraId="65B991A6">
            <w:pPr>
              <w:jc w:val="left"/>
              <w:rPr>
                <w:rFonts w:ascii="宋体" w:hAnsi="宋体"/>
                <w:bCs/>
                <w:color w:val="000000"/>
                <w:szCs w:val="21"/>
              </w:rPr>
            </w:pPr>
            <w:r>
              <w:rPr>
                <w:rFonts w:hint="eastAsia" w:ascii="宋体" w:hAnsi="宋体"/>
                <w:bCs/>
                <w:color w:val="000000"/>
                <w:szCs w:val="21"/>
              </w:rPr>
              <w:t>2.文体分析</w:t>
            </w:r>
          </w:p>
          <w:p w14:paraId="3A4C832D">
            <w:pPr>
              <w:jc w:val="left"/>
              <w:rPr>
                <w:rFonts w:hint="eastAsia" w:ascii="宋体" w:hAnsi="宋体"/>
                <w:bCs/>
                <w:color w:val="000000"/>
                <w:szCs w:val="21"/>
              </w:rPr>
            </w:pPr>
            <w:r>
              <w:rPr>
                <w:rFonts w:hint="eastAsia" w:ascii="宋体" w:hAnsi="宋体"/>
                <w:bCs/>
                <w:color w:val="000000"/>
                <w:szCs w:val="21"/>
              </w:rPr>
              <w:t>3.文献阅读</w:t>
            </w:r>
          </w:p>
          <w:p w14:paraId="412D44E4">
            <w:pPr>
              <w:rPr>
                <w:rFonts w:hint="eastAsia" w:ascii="宋体" w:hAnsi="宋体"/>
                <w:bCs/>
                <w:color w:val="000000"/>
                <w:szCs w:val="21"/>
              </w:rPr>
            </w:pPr>
            <w:r>
              <w:rPr>
                <w:rFonts w:hint="eastAsia" w:ascii="宋体" w:hAnsi="宋体"/>
                <w:bCs/>
                <w:color w:val="000000"/>
                <w:szCs w:val="21"/>
              </w:rPr>
              <w:t>4.微观阅读技巧</w:t>
            </w:r>
          </w:p>
        </w:tc>
      </w:tr>
      <w:tr w14:paraId="4AE7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06E0BEDF">
            <w:pPr>
              <w:outlineLvl w:val="0"/>
              <w:rPr>
                <w:rFonts w:hint="eastAsia" w:ascii="宋体" w:hAnsi="宋体"/>
                <w:color w:val="000000"/>
                <w:szCs w:val="21"/>
              </w:rPr>
            </w:pPr>
            <w:r>
              <w:rPr>
                <w:rFonts w:hint="eastAsia" w:ascii="宋体" w:hAnsi="宋体"/>
                <w:color w:val="000000"/>
                <w:szCs w:val="21"/>
              </w:rPr>
              <w:t>书面表达</w:t>
            </w:r>
          </w:p>
        </w:tc>
        <w:tc>
          <w:tcPr>
            <w:tcW w:w="1701" w:type="dxa"/>
            <w:noWrap w:val="0"/>
            <w:vAlign w:val="center"/>
          </w:tcPr>
          <w:p w14:paraId="39C73652">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6D43AA24">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73CFB584">
            <w:pPr>
              <w:widowControl/>
              <w:jc w:val="left"/>
              <w:rPr>
                <w:rFonts w:ascii="宋体" w:hAnsi="宋体"/>
                <w:color w:val="000000"/>
                <w:kern w:val="0"/>
                <w:szCs w:val="21"/>
              </w:rPr>
            </w:pPr>
            <w:r>
              <w:rPr>
                <w:rFonts w:hint="eastAsia" w:ascii="宋体" w:hAnsi="宋体"/>
                <w:color w:val="000000"/>
                <w:kern w:val="0"/>
                <w:szCs w:val="21"/>
              </w:rPr>
              <w:t>3.讲好中国故事</w:t>
            </w:r>
          </w:p>
          <w:p w14:paraId="3FC2C5A4">
            <w:pPr>
              <w:outlineLvl w:val="0"/>
              <w:rPr>
                <w:rFonts w:hint="eastAsia" w:ascii="宋体" w:hAnsi="宋体"/>
                <w:color w:val="000000"/>
                <w:kern w:val="0"/>
                <w:szCs w:val="21"/>
              </w:rPr>
            </w:pPr>
            <w:r>
              <w:rPr>
                <w:rFonts w:hint="eastAsia" w:ascii="宋体" w:hAnsi="宋体"/>
                <w:color w:val="000000"/>
                <w:kern w:val="0"/>
                <w:szCs w:val="21"/>
              </w:rPr>
              <w:t>4.提升职业素养</w:t>
            </w:r>
          </w:p>
        </w:tc>
        <w:tc>
          <w:tcPr>
            <w:tcW w:w="4111" w:type="dxa"/>
            <w:noWrap w:val="0"/>
            <w:vAlign w:val="center"/>
          </w:tcPr>
          <w:p w14:paraId="663EB907">
            <w:pPr>
              <w:autoSpaceDE w:val="0"/>
              <w:autoSpaceDN w:val="0"/>
              <w:adjustRightInd w:val="0"/>
              <w:spacing w:line="400" w:lineRule="exact"/>
              <w:rPr>
                <w:rFonts w:hint="eastAsia" w:ascii="宋体" w:hAnsi="宋体"/>
                <w:color w:val="000000"/>
                <w:kern w:val="0"/>
                <w:szCs w:val="21"/>
                <w:lang w:val="zh-CN"/>
              </w:rPr>
            </w:pPr>
            <w:r>
              <w:rPr>
                <w:color w:val="000000"/>
                <w:kern w:val="0"/>
                <w:szCs w:val="21"/>
                <w:lang w:val="zh-CN"/>
              </w:rPr>
              <w:t>能用英语就一般性的主题表达个人观点；能撰写所学专业论文的英文摘要和英语小论文；能描述各种图表；能用英语对未来所从事工作或岗位职能、业务、产品等进行简要的书面介绍，语言表达内容完整，观点明确，条理清楚，语句通顺。能较好地运用常用的书面表达与交流技巧。</w:t>
            </w:r>
          </w:p>
        </w:tc>
        <w:tc>
          <w:tcPr>
            <w:tcW w:w="1388" w:type="dxa"/>
            <w:noWrap w:val="0"/>
            <w:vAlign w:val="center"/>
          </w:tcPr>
          <w:p w14:paraId="675F9D82">
            <w:pPr>
              <w:jc w:val="left"/>
              <w:rPr>
                <w:rFonts w:ascii="宋体" w:hAnsi="宋体"/>
                <w:bCs/>
                <w:color w:val="000000"/>
                <w:szCs w:val="21"/>
              </w:rPr>
            </w:pPr>
            <w:r>
              <w:rPr>
                <w:rFonts w:hint="eastAsia" w:ascii="宋体" w:hAnsi="宋体"/>
                <w:bCs/>
                <w:color w:val="000000"/>
                <w:szCs w:val="21"/>
              </w:rPr>
              <w:t>1.段落开展</w:t>
            </w:r>
          </w:p>
          <w:p w14:paraId="72FFD660">
            <w:pPr>
              <w:jc w:val="left"/>
              <w:rPr>
                <w:rFonts w:ascii="宋体" w:hAnsi="宋体"/>
                <w:bCs/>
                <w:color w:val="000000"/>
                <w:szCs w:val="21"/>
              </w:rPr>
            </w:pPr>
            <w:r>
              <w:rPr>
                <w:rFonts w:hint="eastAsia" w:ascii="宋体" w:hAnsi="宋体"/>
                <w:bCs/>
                <w:color w:val="000000"/>
                <w:szCs w:val="21"/>
              </w:rPr>
              <w:t>2.语篇衔接</w:t>
            </w:r>
          </w:p>
          <w:p w14:paraId="62CFC0EC">
            <w:pPr>
              <w:jc w:val="left"/>
              <w:rPr>
                <w:rFonts w:hint="eastAsia" w:ascii="宋体" w:hAnsi="宋体"/>
                <w:bCs/>
                <w:color w:val="000000"/>
                <w:szCs w:val="21"/>
              </w:rPr>
            </w:pPr>
            <w:r>
              <w:rPr>
                <w:rFonts w:hint="eastAsia" w:ascii="宋体" w:hAnsi="宋体"/>
                <w:bCs/>
                <w:color w:val="000000"/>
                <w:szCs w:val="21"/>
              </w:rPr>
              <w:t>3.英文摘要写作</w:t>
            </w:r>
          </w:p>
        </w:tc>
      </w:tr>
      <w:tr w14:paraId="053C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1735CFBE">
            <w:pPr>
              <w:ind w:firstLine="210" w:firstLineChars="100"/>
              <w:outlineLvl w:val="0"/>
              <w:rPr>
                <w:rFonts w:hint="eastAsia" w:ascii="宋体" w:hAnsi="宋体"/>
                <w:color w:val="000000"/>
                <w:szCs w:val="21"/>
              </w:rPr>
            </w:pPr>
            <w:r>
              <w:rPr>
                <w:rFonts w:hint="eastAsia" w:ascii="宋体" w:hAnsi="宋体"/>
                <w:color w:val="000000"/>
                <w:szCs w:val="21"/>
              </w:rPr>
              <w:t>翻译</w:t>
            </w:r>
          </w:p>
        </w:tc>
        <w:tc>
          <w:tcPr>
            <w:tcW w:w="1701" w:type="dxa"/>
            <w:noWrap w:val="0"/>
            <w:vAlign w:val="center"/>
          </w:tcPr>
          <w:p w14:paraId="7012BECD">
            <w:pPr>
              <w:widowControl/>
              <w:jc w:val="left"/>
              <w:rPr>
                <w:rFonts w:ascii="宋体" w:hAnsi="宋体"/>
                <w:color w:val="000000"/>
                <w:kern w:val="0"/>
                <w:szCs w:val="21"/>
              </w:rPr>
            </w:pPr>
            <w:r>
              <w:rPr>
                <w:rFonts w:hint="eastAsia" w:ascii="宋体" w:hAnsi="宋体"/>
                <w:color w:val="000000"/>
                <w:kern w:val="0"/>
                <w:szCs w:val="21"/>
              </w:rPr>
              <w:t>1.理性思考中西文化差异</w:t>
            </w:r>
          </w:p>
          <w:p w14:paraId="1FC843AF">
            <w:pPr>
              <w:widowControl/>
              <w:jc w:val="left"/>
              <w:rPr>
                <w:rFonts w:ascii="宋体" w:hAnsi="宋体"/>
                <w:color w:val="000000"/>
                <w:kern w:val="0"/>
                <w:szCs w:val="21"/>
              </w:rPr>
            </w:pPr>
            <w:r>
              <w:rPr>
                <w:rFonts w:hint="eastAsia" w:ascii="宋体" w:hAnsi="宋体"/>
                <w:color w:val="000000"/>
                <w:kern w:val="0"/>
                <w:szCs w:val="21"/>
              </w:rPr>
              <w:t>2.传播社会主义核心价值观、中国优秀传统文化</w:t>
            </w:r>
          </w:p>
          <w:p w14:paraId="6AF3D0CC">
            <w:pPr>
              <w:widowControl/>
              <w:jc w:val="left"/>
              <w:rPr>
                <w:rFonts w:ascii="宋体" w:hAnsi="宋体"/>
                <w:color w:val="000000"/>
                <w:kern w:val="0"/>
                <w:szCs w:val="21"/>
              </w:rPr>
            </w:pPr>
            <w:r>
              <w:rPr>
                <w:rFonts w:hint="eastAsia" w:ascii="宋体" w:hAnsi="宋体"/>
                <w:color w:val="000000"/>
                <w:kern w:val="0"/>
                <w:szCs w:val="21"/>
              </w:rPr>
              <w:t>3.讲好中国故事</w:t>
            </w:r>
          </w:p>
          <w:p w14:paraId="19F6AD7B">
            <w:pPr>
              <w:widowControl/>
              <w:rPr>
                <w:rFonts w:hint="eastAsia" w:ascii="宋体" w:hAnsi="宋体"/>
                <w:color w:val="000000"/>
                <w:kern w:val="0"/>
                <w:szCs w:val="21"/>
              </w:rPr>
            </w:pPr>
            <w:r>
              <w:rPr>
                <w:rFonts w:hint="eastAsia" w:ascii="宋体" w:hAnsi="宋体"/>
                <w:color w:val="000000"/>
                <w:kern w:val="0"/>
                <w:szCs w:val="21"/>
              </w:rPr>
              <w:t>4.提升职业素养</w:t>
            </w:r>
          </w:p>
        </w:tc>
        <w:tc>
          <w:tcPr>
            <w:tcW w:w="4111" w:type="dxa"/>
            <w:noWrap w:val="0"/>
            <w:vAlign w:val="center"/>
          </w:tcPr>
          <w:p w14:paraId="2A860EBA">
            <w:pPr>
              <w:autoSpaceDE w:val="0"/>
              <w:autoSpaceDN w:val="0"/>
              <w:adjustRightInd w:val="0"/>
              <w:spacing w:line="400" w:lineRule="exact"/>
              <w:rPr>
                <w:rFonts w:hint="eastAsia" w:ascii="宋体" w:hAnsi="宋体"/>
                <w:color w:val="000000"/>
                <w:kern w:val="0"/>
                <w:szCs w:val="21"/>
                <w:lang w:val="zh-CN"/>
              </w:rPr>
            </w:pPr>
            <w:r>
              <w:rPr>
                <w:color w:val="000000"/>
                <w:kern w:val="0"/>
                <w:szCs w:val="21"/>
                <w:lang w:val="zh-CN"/>
              </w:rPr>
              <w:t>能摘译题材熟悉，以及与所学专业或未来所从事工作岗位相关，语言难度一般的文献资料；能借助词典翻译体裁较为正式，题材熟悉的文章。理解正确，译文基本达意，语言表达清晰。能运用较常用的翻译技巧。</w:t>
            </w:r>
          </w:p>
        </w:tc>
        <w:tc>
          <w:tcPr>
            <w:tcW w:w="1388" w:type="dxa"/>
            <w:noWrap w:val="0"/>
            <w:vAlign w:val="center"/>
          </w:tcPr>
          <w:p w14:paraId="2107DB4E">
            <w:pPr>
              <w:jc w:val="left"/>
              <w:rPr>
                <w:rFonts w:ascii="宋体" w:hAnsi="宋体"/>
                <w:bCs/>
                <w:color w:val="000000"/>
                <w:szCs w:val="21"/>
              </w:rPr>
            </w:pPr>
            <w:r>
              <w:rPr>
                <w:rFonts w:hint="eastAsia" w:ascii="宋体" w:hAnsi="宋体"/>
                <w:bCs/>
                <w:color w:val="000000"/>
                <w:szCs w:val="21"/>
              </w:rPr>
              <w:t>1.专业词汇</w:t>
            </w:r>
          </w:p>
          <w:p w14:paraId="7B36E52C">
            <w:pPr>
              <w:jc w:val="left"/>
              <w:rPr>
                <w:rFonts w:ascii="宋体" w:hAnsi="宋体"/>
                <w:bCs/>
                <w:color w:val="000000"/>
                <w:szCs w:val="21"/>
              </w:rPr>
            </w:pPr>
            <w:r>
              <w:rPr>
                <w:rFonts w:hint="eastAsia" w:ascii="宋体" w:hAnsi="宋体"/>
                <w:bCs/>
                <w:color w:val="000000"/>
                <w:szCs w:val="21"/>
              </w:rPr>
              <w:t>2.中西文化差异</w:t>
            </w:r>
          </w:p>
          <w:p w14:paraId="0EF2E5B6">
            <w:pPr>
              <w:jc w:val="left"/>
              <w:rPr>
                <w:rFonts w:hint="eastAsia" w:ascii="宋体" w:hAnsi="宋体"/>
                <w:bCs/>
                <w:color w:val="000000"/>
                <w:szCs w:val="21"/>
              </w:rPr>
            </w:pPr>
            <w:r>
              <w:rPr>
                <w:rFonts w:hint="eastAsia" w:ascii="宋体" w:hAnsi="宋体"/>
                <w:bCs/>
                <w:color w:val="000000"/>
                <w:szCs w:val="21"/>
              </w:rPr>
              <w:t>3.翻译理论</w:t>
            </w:r>
          </w:p>
        </w:tc>
      </w:tr>
      <w:tr w14:paraId="1164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14:paraId="05784D53">
            <w:pPr>
              <w:rPr>
                <w:rFonts w:hint="eastAsia" w:ascii="宋体" w:hAnsi="宋体"/>
                <w:color w:val="000000"/>
                <w:kern w:val="0"/>
                <w:szCs w:val="21"/>
              </w:rPr>
            </w:pPr>
            <w:r>
              <w:rPr>
                <w:rFonts w:hint="eastAsia" w:ascii="宋体" w:hAnsi="宋体"/>
                <w:color w:val="000000"/>
                <w:kern w:val="0"/>
                <w:szCs w:val="21"/>
              </w:rPr>
              <w:t>网络平台自主学习</w:t>
            </w:r>
          </w:p>
        </w:tc>
        <w:tc>
          <w:tcPr>
            <w:tcW w:w="1701" w:type="dxa"/>
            <w:noWrap w:val="0"/>
            <w:vAlign w:val="center"/>
          </w:tcPr>
          <w:p w14:paraId="25032A19">
            <w:pPr>
              <w:rPr>
                <w:rFonts w:ascii="宋体" w:hAnsi="宋体"/>
                <w:color w:val="000000"/>
                <w:kern w:val="0"/>
                <w:szCs w:val="21"/>
              </w:rPr>
            </w:pPr>
          </w:p>
        </w:tc>
        <w:tc>
          <w:tcPr>
            <w:tcW w:w="4111" w:type="dxa"/>
            <w:noWrap w:val="0"/>
            <w:vAlign w:val="center"/>
          </w:tcPr>
          <w:p w14:paraId="60B82381">
            <w:pPr>
              <w:rPr>
                <w:rFonts w:ascii="宋体" w:hAnsi="宋体"/>
                <w:color w:val="000000"/>
                <w:szCs w:val="21"/>
              </w:rPr>
            </w:pPr>
            <w:r>
              <w:rPr>
                <w:rFonts w:hint="eastAsia" w:ascii="宋体" w:hAnsi="宋体"/>
                <w:color w:val="000000"/>
                <w:szCs w:val="21"/>
              </w:rPr>
              <w:t>掌握有效的学习方法和学习策略。具有终身学习意识。</w:t>
            </w:r>
          </w:p>
        </w:tc>
        <w:tc>
          <w:tcPr>
            <w:tcW w:w="1388" w:type="dxa"/>
            <w:noWrap w:val="0"/>
            <w:vAlign w:val="center"/>
          </w:tcPr>
          <w:p w14:paraId="0CCF1FA1">
            <w:pPr>
              <w:jc w:val="left"/>
              <w:rPr>
                <w:rFonts w:ascii="宋体" w:hAnsi="宋体"/>
                <w:color w:val="000000"/>
                <w:szCs w:val="21"/>
              </w:rPr>
            </w:pPr>
            <w:r>
              <w:rPr>
                <w:rFonts w:hint="eastAsia" w:ascii="宋体" w:hAnsi="宋体"/>
                <w:color w:val="000000"/>
                <w:szCs w:val="21"/>
              </w:rPr>
              <w:t>发现问题</w:t>
            </w:r>
          </w:p>
          <w:p w14:paraId="0D306364">
            <w:pPr>
              <w:jc w:val="left"/>
              <w:rPr>
                <w:rFonts w:hint="eastAsia" w:ascii="宋体" w:hAnsi="宋体"/>
                <w:color w:val="000000"/>
                <w:szCs w:val="21"/>
              </w:rPr>
            </w:pPr>
            <w:r>
              <w:rPr>
                <w:rFonts w:hint="eastAsia" w:ascii="宋体" w:hAnsi="宋体"/>
                <w:color w:val="000000"/>
                <w:szCs w:val="21"/>
              </w:rPr>
              <w:t>分析问题</w:t>
            </w:r>
          </w:p>
        </w:tc>
      </w:tr>
    </w:tbl>
    <w:p w14:paraId="37B22C39">
      <w:pPr>
        <w:rPr>
          <w:rFonts w:hint="eastAsia"/>
          <w:b/>
          <w:color w:val="000000"/>
          <w:sz w:val="15"/>
          <w:szCs w:val="15"/>
        </w:rPr>
      </w:pPr>
    </w:p>
    <w:p w14:paraId="1712A5F4">
      <w:pPr>
        <w:spacing w:line="360" w:lineRule="auto"/>
        <w:ind w:firstLine="482" w:firstLineChars="200"/>
        <w:rPr>
          <w:rFonts w:hint="eastAsia"/>
          <w:b/>
          <w:color w:val="000000"/>
          <w:sz w:val="24"/>
        </w:rPr>
      </w:pPr>
      <w:r>
        <w:rPr>
          <w:rFonts w:hint="eastAsia"/>
          <w:b/>
          <w:color w:val="000000"/>
          <w:sz w:val="24"/>
        </w:rPr>
        <w:t>四、教学内容与课程目标对应关系</w:t>
      </w:r>
    </w:p>
    <w:p w14:paraId="21B612A2">
      <w:pPr>
        <w:spacing w:line="160" w:lineRule="exact"/>
        <w:rPr>
          <w:b/>
          <w:color w:val="000000"/>
          <w:sz w:val="15"/>
          <w:szCs w:val="15"/>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62"/>
        <w:gridCol w:w="2126"/>
        <w:gridCol w:w="1985"/>
        <w:gridCol w:w="992"/>
        <w:gridCol w:w="759"/>
      </w:tblGrid>
      <w:tr w14:paraId="7D58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top w:val="single" w:color="auto" w:sz="8" w:space="0"/>
              <w:left w:val="single" w:color="auto" w:sz="8" w:space="0"/>
            </w:tcBorders>
            <w:noWrap w:val="0"/>
            <w:vAlign w:val="center"/>
          </w:tcPr>
          <w:p w14:paraId="2F95E0A4">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962" w:type="dxa"/>
            <w:tcBorders>
              <w:top w:val="single" w:color="auto" w:sz="8" w:space="0"/>
            </w:tcBorders>
            <w:noWrap w:val="0"/>
            <w:vAlign w:val="center"/>
          </w:tcPr>
          <w:p w14:paraId="460C9B3A">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教学内容</w:t>
            </w:r>
          </w:p>
        </w:tc>
        <w:tc>
          <w:tcPr>
            <w:tcW w:w="2126" w:type="dxa"/>
            <w:tcBorders>
              <w:top w:val="single" w:color="auto" w:sz="8" w:space="0"/>
            </w:tcBorders>
            <w:noWrap w:val="0"/>
            <w:vAlign w:val="center"/>
          </w:tcPr>
          <w:p w14:paraId="32E6C007">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支撑的课程目标</w:t>
            </w:r>
          </w:p>
        </w:tc>
        <w:tc>
          <w:tcPr>
            <w:tcW w:w="1985" w:type="dxa"/>
            <w:tcBorders>
              <w:top w:val="single" w:color="auto" w:sz="8" w:space="0"/>
            </w:tcBorders>
            <w:noWrap w:val="0"/>
            <w:vAlign w:val="center"/>
          </w:tcPr>
          <w:p w14:paraId="3F18AB7B">
            <w:pPr>
              <w:jc w:val="center"/>
              <w:rPr>
                <w:rFonts w:ascii="宋体" w:hAnsi="宋体" w:cs="宋体"/>
                <w:b/>
                <w:bCs/>
                <w:color w:val="000000"/>
                <w:kern w:val="0"/>
                <w:szCs w:val="21"/>
              </w:rPr>
            </w:pPr>
            <w:r>
              <w:rPr>
                <w:rFonts w:ascii="宋体" w:hAnsi="宋体" w:cs="宋体"/>
                <w:b/>
                <w:bCs/>
                <w:color w:val="000000"/>
                <w:kern w:val="0"/>
                <w:szCs w:val="21"/>
              </w:rPr>
              <w:t>支撑</w:t>
            </w:r>
            <w:r>
              <w:rPr>
                <w:rFonts w:hint="eastAsia" w:ascii="宋体" w:hAnsi="宋体" w:cs="宋体"/>
                <w:b/>
                <w:bCs/>
                <w:color w:val="000000"/>
                <w:kern w:val="0"/>
                <w:szCs w:val="21"/>
              </w:rPr>
              <w:t>的</w:t>
            </w:r>
            <w:r>
              <w:rPr>
                <w:rFonts w:ascii="宋体" w:hAnsi="宋体" w:cs="宋体"/>
                <w:b/>
                <w:bCs/>
                <w:color w:val="000000"/>
                <w:kern w:val="0"/>
                <w:szCs w:val="21"/>
              </w:rPr>
              <w:t>毕业要求</w:t>
            </w:r>
          </w:p>
          <w:p w14:paraId="1E3ED3AC">
            <w:pPr>
              <w:spacing w:line="276" w:lineRule="auto"/>
              <w:jc w:val="center"/>
              <w:rPr>
                <w:rFonts w:ascii="宋体" w:hAnsi="宋体" w:cs="宋体"/>
                <w:b/>
                <w:bCs/>
                <w:color w:val="000000"/>
                <w:kern w:val="0"/>
                <w:szCs w:val="21"/>
              </w:rPr>
            </w:pPr>
            <w:r>
              <w:rPr>
                <w:rFonts w:ascii="宋体" w:hAnsi="宋体" w:cs="宋体"/>
                <w:b/>
                <w:bCs/>
                <w:color w:val="000000"/>
                <w:kern w:val="0"/>
                <w:szCs w:val="21"/>
              </w:rPr>
              <w:t>指标点</w:t>
            </w:r>
          </w:p>
        </w:tc>
        <w:tc>
          <w:tcPr>
            <w:tcW w:w="992" w:type="dxa"/>
            <w:tcBorders>
              <w:top w:val="single" w:color="auto" w:sz="8" w:space="0"/>
              <w:right w:val="single" w:color="auto" w:sz="8" w:space="0"/>
            </w:tcBorders>
            <w:noWrap w:val="0"/>
            <w:vAlign w:val="center"/>
          </w:tcPr>
          <w:p w14:paraId="73717E70">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讲授</w:t>
            </w:r>
          </w:p>
          <w:p w14:paraId="442F26A6">
            <w:pPr>
              <w:spacing w:line="276" w:lineRule="auto"/>
              <w:jc w:val="center"/>
              <w:rPr>
                <w:rFonts w:ascii="宋体" w:hAnsi="宋体" w:cs="宋体"/>
                <w:b/>
                <w:bCs/>
                <w:color w:val="000000"/>
                <w:kern w:val="0"/>
                <w:szCs w:val="21"/>
              </w:rPr>
            </w:pPr>
            <w:r>
              <w:rPr>
                <w:rFonts w:ascii="宋体" w:hAnsi="宋体" w:cs="宋体"/>
                <w:b/>
                <w:bCs/>
                <w:color w:val="000000"/>
                <w:kern w:val="0"/>
                <w:szCs w:val="21"/>
              </w:rPr>
              <w:t>学时</w:t>
            </w:r>
          </w:p>
        </w:tc>
        <w:tc>
          <w:tcPr>
            <w:tcW w:w="759" w:type="dxa"/>
            <w:tcBorders>
              <w:top w:val="single" w:color="auto" w:sz="8" w:space="0"/>
              <w:right w:val="single" w:color="auto" w:sz="8" w:space="0"/>
            </w:tcBorders>
            <w:noWrap w:val="0"/>
            <w:vAlign w:val="center"/>
          </w:tcPr>
          <w:p w14:paraId="76E2D4FB">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实验</w:t>
            </w:r>
          </w:p>
          <w:p w14:paraId="679AA5E4">
            <w:pPr>
              <w:spacing w:line="276" w:lineRule="auto"/>
              <w:jc w:val="center"/>
              <w:rPr>
                <w:rFonts w:ascii="宋体" w:hAnsi="宋体" w:cs="宋体"/>
                <w:b/>
                <w:bCs/>
                <w:color w:val="000000"/>
                <w:kern w:val="0"/>
                <w:szCs w:val="21"/>
              </w:rPr>
            </w:pPr>
            <w:r>
              <w:rPr>
                <w:rFonts w:hint="eastAsia" w:ascii="宋体" w:hAnsi="宋体" w:cs="宋体"/>
                <w:b/>
                <w:bCs/>
                <w:color w:val="000000"/>
                <w:kern w:val="0"/>
                <w:szCs w:val="21"/>
              </w:rPr>
              <w:t>学时</w:t>
            </w:r>
          </w:p>
        </w:tc>
      </w:tr>
      <w:tr w14:paraId="50B4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0A08FE73">
            <w:pPr>
              <w:spacing w:line="276" w:lineRule="auto"/>
              <w:jc w:val="center"/>
              <w:rPr>
                <w:color w:val="000000"/>
                <w:szCs w:val="21"/>
              </w:rPr>
            </w:pPr>
            <w:r>
              <w:rPr>
                <w:rFonts w:hint="eastAsia"/>
                <w:color w:val="000000"/>
                <w:szCs w:val="21"/>
              </w:rPr>
              <w:t>1</w:t>
            </w:r>
          </w:p>
        </w:tc>
        <w:tc>
          <w:tcPr>
            <w:tcW w:w="1962" w:type="dxa"/>
            <w:noWrap w:val="0"/>
            <w:vAlign w:val="top"/>
          </w:tcPr>
          <w:p w14:paraId="3CFBD0CE">
            <w:pPr>
              <w:rPr>
                <w:color w:val="000000"/>
                <w:szCs w:val="21"/>
              </w:rPr>
            </w:pPr>
            <w:r>
              <w:rPr>
                <w:rFonts w:hint="eastAsia"/>
                <w:color w:val="000000"/>
                <w:szCs w:val="21"/>
              </w:rPr>
              <w:t>听力理解</w:t>
            </w:r>
          </w:p>
        </w:tc>
        <w:tc>
          <w:tcPr>
            <w:tcW w:w="2126" w:type="dxa"/>
            <w:noWrap w:val="0"/>
            <w:vAlign w:val="top"/>
          </w:tcPr>
          <w:p w14:paraId="0EED9C2C">
            <w:pPr>
              <w:jc w:val="left"/>
              <w:rPr>
                <w:color w:val="000000"/>
                <w:szCs w:val="21"/>
              </w:rPr>
            </w:pPr>
            <w:r>
              <w:rPr>
                <w:rFonts w:hint="eastAsia"/>
                <w:color w:val="000000"/>
                <w:szCs w:val="21"/>
              </w:rPr>
              <w:t>课程目标1、2</w:t>
            </w:r>
          </w:p>
        </w:tc>
        <w:tc>
          <w:tcPr>
            <w:tcW w:w="1985" w:type="dxa"/>
            <w:noWrap w:val="0"/>
            <w:vAlign w:val="center"/>
          </w:tcPr>
          <w:p w14:paraId="604271A0">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72B3755E">
            <w:pPr>
              <w:jc w:val="center"/>
              <w:rPr>
                <w:rFonts w:hint="eastAsia"/>
                <w:color w:val="000000"/>
                <w:szCs w:val="21"/>
              </w:rPr>
            </w:pPr>
            <w:r>
              <w:rPr>
                <w:rFonts w:hint="eastAsia"/>
                <w:color w:val="000000"/>
                <w:szCs w:val="21"/>
              </w:rPr>
              <w:t>7</w:t>
            </w:r>
          </w:p>
        </w:tc>
        <w:tc>
          <w:tcPr>
            <w:tcW w:w="759" w:type="dxa"/>
            <w:tcBorders>
              <w:right w:val="single" w:color="auto" w:sz="8" w:space="0"/>
            </w:tcBorders>
            <w:noWrap w:val="0"/>
            <w:vAlign w:val="top"/>
          </w:tcPr>
          <w:p w14:paraId="60B4FBE7">
            <w:pPr>
              <w:jc w:val="center"/>
              <w:rPr>
                <w:color w:val="000000"/>
                <w:szCs w:val="21"/>
              </w:rPr>
            </w:pPr>
          </w:p>
        </w:tc>
      </w:tr>
      <w:tr w14:paraId="5D31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2045E8A8">
            <w:pPr>
              <w:spacing w:line="276" w:lineRule="auto"/>
              <w:jc w:val="center"/>
              <w:rPr>
                <w:color w:val="000000"/>
                <w:szCs w:val="21"/>
              </w:rPr>
            </w:pPr>
            <w:r>
              <w:rPr>
                <w:rFonts w:hint="eastAsia"/>
                <w:color w:val="000000"/>
                <w:szCs w:val="21"/>
              </w:rPr>
              <w:t>2</w:t>
            </w:r>
          </w:p>
        </w:tc>
        <w:tc>
          <w:tcPr>
            <w:tcW w:w="1962" w:type="dxa"/>
            <w:noWrap w:val="0"/>
            <w:vAlign w:val="top"/>
          </w:tcPr>
          <w:p w14:paraId="616CA1C3">
            <w:pPr>
              <w:rPr>
                <w:color w:val="000000"/>
                <w:szCs w:val="21"/>
              </w:rPr>
            </w:pPr>
            <w:r>
              <w:rPr>
                <w:rFonts w:hint="eastAsia"/>
                <w:color w:val="000000"/>
                <w:szCs w:val="21"/>
              </w:rPr>
              <w:t>口语表达</w:t>
            </w:r>
          </w:p>
        </w:tc>
        <w:tc>
          <w:tcPr>
            <w:tcW w:w="2126" w:type="dxa"/>
            <w:noWrap w:val="0"/>
            <w:vAlign w:val="top"/>
          </w:tcPr>
          <w:p w14:paraId="7179F419">
            <w:pPr>
              <w:jc w:val="left"/>
              <w:rPr>
                <w:color w:val="000000"/>
                <w:szCs w:val="21"/>
              </w:rPr>
            </w:pPr>
            <w:r>
              <w:rPr>
                <w:rFonts w:hint="eastAsia"/>
                <w:color w:val="000000"/>
                <w:szCs w:val="21"/>
              </w:rPr>
              <w:t>课程目标1、2、3</w:t>
            </w:r>
          </w:p>
        </w:tc>
        <w:tc>
          <w:tcPr>
            <w:tcW w:w="1985" w:type="dxa"/>
            <w:noWrap w:val="0"/>
            <w:vAlign w:val="top"/>
          </w:tcPr>
          <w:p w14:paraId="4D0C19A4">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0D936130">
            <w:pPr>
              <w:jc w:val="center"/>
              <w:rPr>
                <w:rFonts w:hint="eastAsia"/>
                <w:color w:val="000000"/>
                <w:szCs w:val="21"/>
              </w:rPr>
            </w:pPr>
            <w:r>
              <w:rPr>
                <w:rFonts w:hint="eastAsia"/>
                <w:color w:val="000000"/>
                <w:szCs w:val="21"/>
              </w:rPr>
              <w:t>8</w:t>
            </w:r>
          </w:p>
        </w:tc>
        <w:tc>
          <w:tcPr>
            <w:tcW w:w="759" w:type="dxa"/>
            <w:tcBorders>
              <w:right w:val="single" w:color="auto" w:sz="8" w:space="0"/>
            </w:tcBorders>
            <w:noWrap w:val="0"/>
            <w:vAlign w:val="top"/>
          </w:tcPr>
          <w:p w14:paraId="4CB8EFF7">
            <w:pPr>
              <w:jc w:val="center"/>
              <w:rPr>
                <w:color w:val="000000"/>
                <w:szCs w:val="21"/>
              </w:rPr>
            </w:pPr>
          </w:p>
        </w:tc>
      </w:tr>
      <w:tr w14:paraId="44BF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0CEF7582">
            <w:pPr>
              <w:spacing w:line="276" w:lineRule="auto"/>
              <w:jc w:val="center"/>
              <w:rPr>
                <w:color w:val="000000"/>
                <w:szCs w:val="21"/>
              </w:rPr>
            </w:pPr>
            <w:r>
              <w:rPr>
                <w:rFonts w:hint="eastAsia"/>
                <w:color w:val="000000"/>
                <w:szCs w:val="21"/>
              </w:rPr>
              <w:t>3</w:t>
            </w:r>
          </w:p>
        </w:tc>
        <w:tc>
          <w:tcPr>
            <w:tcW w:w="1962" w:type="dxa"/>
            <w:noWrap w:val="0"/>
            <w:vAlign w:val="top"/>
          </w:tcPr>
          <w:p w14:paraId="15D63927">
            <w:pPr>
              <w:tabs>
                <w:tab w:val="left" w:pos="2940"/>
              </w:tabs>
              <w:rPr>
                <w:color w:val="000000"/>
                <w:szCs w:val="21"/>
              </w:rPr>
            </w:pPr>
            <w:r>
              <w:rPr>
                <w:rFonts w:hint="eastAsia"/>
                <w:color w:val="000000"/>
                <w:szCs w:val="21"/>
              </w:rPr>
              <w:t>阅读理解</w:t>
            </w:r>
          </w:p>
        </w:tc>
        <w:tc>
          <w:tcPr>
            <w:tcW w:w="2126" w:type="dxa"/>
            <w:noWrap w:val="0"/>
            <w:vAlign w:val="top"/>
          </w:tcPr>
          <w:p w14:paraId="0C29B36B">
            <w:pPr>
              <w:jc w:val="left"/>
              <w:rPr>
                <w:color w:val="000000"/>
                <w:szCs w:val="21"/>
              </w:rPr>
            </w:pPr>
            <w:r>
              <w:rPr>
                <w:rFonts w:hint="eastAsia"/>
                <w:color w:val="000000"/>
                <w:szCs w:val="21"/>
              </w:rPr>
              <w:t>课程目标1、2、3</w:t>
            </w:r>
          </w:p>
        </w:tc>
        <w:tc>
          <w:tcPr>
            <w:tcW w:w="1985" w:type="dxa"/>
            <w:noWrap w:val="0"/>
            <w:vAlign w:val="top"/>
          </w:tcPr>
          <w:p w14:paraId="2DFE635F">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6756EA2D">
            <w:pPr>
              <w:jc w:val="center"/>
              <w:rPr>
                <w:rFonts w:hint="eastAsia"/>
                <w:color w:val="000000"/>
                <w:szCs w:val="21"/>
              </w:rPr>
            </w:pPr>
            <w:r>
              <w:rPr>
                <w:color w:val="000000"/>
                <w:szCs w:val="21"/>
              </w:rPr>
              <w:t>1</w:t>
            </w:r>
            <w:r>
              <w:rPr>
                <w:rFonts w:hint="eastAsia"/>
                <w:color w:val="000000"/>
                <w:szCs w:val="21"/>
              </w:rPr>
              <w:t>5</w:t>
            </w:r>
          </w:p>
        </w:tc>
        <w:tc>
          <w:tcPr>
            <w:tcW w:w="759" w:type="dxa"/>
            <w:tcBorders>
              <w:right w:val="single" w:color="auto" w:sz="8" w:space="0"/>
            </w:tcBorders>
            <w:noWrap w:val="0"/>
            <w:vAlign w:val="top"/>
          </w:tcPr>
          <w:p w14:paraId="0117897E">
            <w:pPr>
              <w:jc w:val="center"/>
              <w:rPr>
                <w:color w:val="000000"/>
                <w:szCs w:val="21"/>
              </w:rPr>
            </w:pPr>
          </w:p>
        </w:tc>
      </w:tr>
      <w:tr w14:paraId="7B9F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5EB80794">
            <w:pPr>
              <w:spacing w:line="276" w:lineRule="auto"/>
              <w:jc w:val="center"/>
              <w:rPr>
                <w:color w:val="000000"/>
                <w:szCs w:val="21"/>
              </w:rPr>
            </w:pPr>
            <w:r>
              <w:rPr>
                <w:rFonts w:hint="eastAsia"/>
                <w:color w:val="000000"/>
                <w:szCs w:val="21"/>
              </w:rPr>
              <w:t>4</w:t>
            </w:r>
          </w:p>
        </w:tc>
        <w:tc>
          <w:tcPr>
            <w:tcW w:w="1962" w:type="dxa"/>
            <w:noWrap w:val="0"/>
            <w:vAlign w:val="top"/>
          </w:tcPr>
          <w:p w14:paraId="7CEAFC80">
            <w:pPr>
              <w:rPr>
                <w:color w:val="000000"/>
                <w:szCs w:val="21"/>
              </w:rPr>
            </w:pPr>
            <w:r>
              <w:rPr>
                <w:rFonts w:hint="eastAsia"/>
                <w:color w:val="000000"/>
                <w:szCs w:val="21"/>
              </w:rPr>
              <w:t>书面表达</w:t>
            </w:r>
          </w:p>
        </w:tc>
        <w:tc>
          <w:tcPr>
            <w:tcW w:w="2126" w:type="dxa"/>
            <w:noWrap w:val="0"/>
            <w:vAlign w:val="top"/>
          </w:tcPr>
          <w:p w14:paraId="0F8B3B1B">
            <w:pPr>
              <w:jc w:val="left"/>
              <w:rPr>
                <w:color w:val="000000"/>
                <w:szCs w:val="21"/>
              </w:rPr>
            </w:pPr>
            <w:r>
              <w:rPr>
                <w:rFonts w:hint="eastAsia"/>
                <w:color w:val="000000"/>
                <w:szCs w:val="21"/>
              </w:rPr>
              <w:t>课程目标1、2、3</w:t>
            </w:r>
          </w:p>
        </w:tc>
        <w:tc>
          <w:tcPr>
            <w:tcW w:w="1985" w:type="dxa"/>
            <w:noWrap w:val="0"/>
            <w:vAlign w:val="top"/>
          </w:tcPr>
          <w:p w14:paraId="2B2DF5FE">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276CF6F3">
            <w:pPr>
              <w:jc w:val="center"/>
              <w:rPr>
                <w:color w:val="000000"/>
                <w:szCs w:val="21"/>
              </w:rPr>
            </w:pPr>
            <w:r>
              <w:rPr>
                <w:rFonts w:hint="eastAsia"/>
                <w:color w:val="000000"/>
                <w:szCs w:val="21"/>
              </w:rPr>
              <w:t>7</w:t>
            </w:r>
          </w:p>
        </w:tc>
        <w:tc>
          <w:tcPr>
            <w:tcW w:w="759" w:type="dxa"/>
            <w:tcBorders>
              <w:right w:val="single" w:color="auto" w:sz="8" w:space="0"/>
            </w:tcBorders>
            <w:noWrap w:val="0"/>
            <w:vAlign w:val="top"/>
          </w:tcPr>
          <w:p w14:paraId="29E7CFC9">
            <w:pPr>
              <w:jc w:val="center"/>
              <w:rPr>
                <w:color w:val="000000"/>
                <w:szCs w:val="21"/>
              </w:rPr>
            </w:pPr>
          </w:p>
        </w:tc>
      </w:tr>
      <w:tr w14:paraId="251E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5DEED2FF">
            <w:pPr>
              <w:spacing w:line="276" w:lineRule="auto"/>
              <w:jc w:val="center"/>
              <w:rPr>
                <w:color w:val="000000"/>
                <w:szCs w:val="21"/>
              </w:rPr>
            </w:pPr>
            <w:r>
              <w:rPr>
                <w:rFonts w:hint="eastAsia"/>
                <w:color w:val="000000"/>
                <w:szCs w:val="21"/>
              </w:rPr>
              <w:t>5</w:t>
            </w:r>
          </w:p>
        </w:tc>
        <w:tc>
          <w:tcPr>
            <w:tcW w:w="1962" w:type="dxa"/>
            <w:noWrap w:val="0"/>
            <w:vAlign w:val="top"/>
          </w:tcPr>
          <w:p w14:paraId="1ADF6F10">
            <w:pPr>
              <w:rPr>
                <w:color w:val="000000"/>
                <w:szCs w:val="21"/>
              </w:rPr>
            </w:pPr>
            <w:r>
              <w:rPr>
                <w:rFonts w:hint="eastAsia"/>
                <w:color w:val="000000"/>
                <w:szCs w:val="21"/>
              </w:rPr>
              <w:t>翻译</w:t>
            </w:r>
          </w:p>
        </w:tc>
        <w:tc>
          <w:tcPr>
            <w:tcW w:w="2126" w:type="dxa"/>
            <w:noWrap w:val="0"/>
            <w:vAlign w:val="top"/>
          </w:tcPr>
          <w:p w14:paraId="1048BE75">
            <w:pPr>
              <w:jc w:val="left"/>
              <w:rPr>
                <w:color w:val="000000"/>
                <w:szCs w:val="21"/>
              </w:rPr>
            </w:pPr>
            <w:r>
              <w:rPr>
                <w:rFonts w:hint="eastAsia"/>
                <w:color w:val="000000"/>
                <w:szCs w:val="21"/>
              </w:rPr>
              <w:t>课程目标1、2、3</w:t>
            </w:r>
          </w:p>
        </w:tc>
        <w:tc>
          <w:tcPr>
            <w:tcW w:w="1985" w:type="dxa"/>
            <w:noWrap w:val="0"/>
            <w:vAlign w:val="top"/>
          </w:tcPr>
          <w:p w14:paraId="04FC6164">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502B9E5B">
            <w:pPr>
              <w:jc w:val="center"/>
              <w:rPr>
                <w:rFonts w:hint="eastAsia"/>
                <w:color w:val="000000"/>
                <w:szCs w:val="21"/>
              </w:rPr>
            </w:pPr>
            <w:r>
              <w:rPr>
                <w:rFonts w:hint="eastAsia"/>
                <w:color w:val="000000"/>
                <w:szCs w:val="21"/>
              </w:rPr>
              <w:t>6</w:t>
            </w:r>
          </w:p>
        </w:tc>
        <w:tc>
          <w:tcPr>
            <w:tcW w:w="759" w:type="dxa"/>
            <w:tcBorders>
              <w:right w:val="single" w:color="auto" w:sz="8" w:space="0"/>
            </w:tcBorders>
            <w:noWrap w:val="0"/>
            <w:vAlign w:val="top"/>
          </w:tcPr>
          <w:p w14:paraId="715D067C">
            <w:pPr>
              <w:jc w:val="center"/>
              <w:rPr>
                <w:color w:val="000000"/>
                <w:szCs w:val="21"/>
              </w:rPr>
            </w:pPr>
          </w:p>
        </w:tc>
      </w:tr>
      <w:tr w14:paraId="36B1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Borders>
              <w:left w:val="single" w:color="auto" w:sz="8" w:space="0"/>
            </w:tcBorders>
            <w:noWrap w:val="0"/>
            <w:vAlign w:val="center"/>
          </w:tcPr>
          <w:p w14:paraId="020869B9">
            <w:pPr>
              <w:jc w:val="center"/>
              <w:rPr>
                <w:color w:val="000000"/>
                <w:szCs w:val="21"/>
              </w:rPr>
            </w:pPr>
            <w:r>
              <w:rPr>
                <w:rFonts w:hint="eastAsia"/>
                <w:color w:val="000000"/>
                <w:szCs w:val="21"/>
              </w:rPr>
              <w:t>6</w:t>
            </w:r>
          </w:p>
        </w:tc>
        <w:tc>
          <w:tcPr>
            <w:tcW w:w="1962" w:type="dxa"/>
            <w:noWrap w:val="0"/>
            <w:vAlign w:val="top"/>
          </w:tcPr>
          <w:p w14:paraId="74A4BC92">
            <w:pPr>
              <w:jc w:val="left"/>
              <w:rPr>
                <w:rFonts w:hint="eastAsia"/>
                <w:color w:val="000000"/>
                <w:szCs w:val="21"/>
              </w:rPr>
            </w:pPr>
            <w:r>
              <w:rPr>
                <w:rFonts w:hint="eastAsia"/>
                <w:color w:val="000000"/>
                <w:szCs w:val="21"/>
              </w:rPr>
              <w:t>网络平台自主学习</w:t>
            </w:r>
          </w:p>
        </w:tc>
        <w:tc>
          <w:tcPr>
            <w:tcW w:w="2126" w:type="dxa"/>
            <w:noWrap w:val="0"/>
            <w:vAlign w:val="top"/>
          </w:tcPr>
          <w:p w14:paraId="61C7356D">
            <w:pPr>
              <w:jc w:val="left"/>
              <w:rPr>
                <w:color w:val="000000"/>
                <w:szCs w:val="21"/>
              </w:rPr>
            </w:pPr>
            <w:r>
              <w:rPr>
                <w:rFonts w:hint="eastAsia"/>
                <w:color w:val="000000"/>
                <w:szCs w:val="21"/>
              </w:rPr>
              <w:t>课程目标2、3</w:t>
            </w:r>
          </w:p>
        </w:tc>
        <w:tc>
          <w:tcPr>
            <w:tcW w:w="1985" w:type="dxa"/>
            <w:noWrap w:val="0"/>
            <w:vAlign w:val="top"/>
          </w:tcPr>
          <w:p w14:paraId="21C492E2">
            <w:pPr>
              <w:jc w:val="left"/>
              <w:rPr>
                <w:color w:val="000000"/>
                <w:szCs w:val="21"/>
              </w:rPr>
            </w:pPr>
            <w:r>
              <w:rPr>
                <w:rFonts w:hint="eastAsia"/>
                <w:color w:val="000000"/>
                <w:szCs w:val="21"/>
              </w:rPr>
              <w:t>7-1、8-3</w:t>
            </w:r>
          </w:p>
        </w:tc>
        <w:tc>
          <w:tcPr>
            <w:tcW w:w="992" w:type="dxa"/>
            <w:tcBorders>
              <w:right w:val="single" w:color="auto" w:sz="8" w:space="0"/>
            </w:tcBorders>
            <w:noWrap w:val="0"/>
            <w:vAlign w:val="top"/>
          </w:tcPr>
          <w:p w14:paraId="77E26C9D">
            <w:pPr>
              <w:jc w:val="center"/>
              <w:rPr>
                <w:color w:val="000000"/>
                <w:szCs w:val="21"/>
              </w:rPr>
            </w:pPr>
            <w:r>
              <w:rPr>
                <w:rFonts w:hint="eastAsia"/>
                <w:color w:val="000000"/>
                <w:szCs w:val="21"/>
              </w:rPr>
              <w:t>5</w:t>
            </w:r>
          </w:p>
        </w:tc>
        <w:tc>
          <w:tcPr>
            <w:tcW w:w="759" w:type="dxa"/>
            <w:tcBorders>
              <w:right w:val="single" w:color="auto" w:sz="8" w:space="0"/>
            </w:tcBorders>
            <w:noWrap w:val="0"/>
            <w:vAlign w:val="top"/>
          </w:tcPr>
          <w:p w14:paraId="40A415E9">
            <w:pPr>
              <w:jc w:val="center"/>
              <w:rPr>
                <w:color w:val="000000"/>
                <w:szCs w:val="21"/>
              </w:rPr>
            </w:pPr>
          </w:p>
        </w:tc>
      </w:tr>
      <w:tr w14:paraId="60C0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60" w:type="dxa"/>
            <w:gridSpan w:val="2"/>
            <w:tcBorders>
              <w:left w:val="single" w:color="auto" w:sz="8" w:space="0"/>
              <w:bottom w:val="single" w:color="auto" w:sz="8" w:space="0"/>
            </w:tcBorders>
            <w:noWrap w:val="0"/>
            <w:vAlign w:val="center"/>
          </w:tcPr>
          <w:p w14:paraId="7089C6B8">
            <w:pPr>
              <w:spacing w:line="276" w:lineRule="auto"/>
              <w:jc w:val="center"/>
              <w:rPr>
                <w:color w:val="000000"/>
                <w:szCs w:val="21"/>
              </w:rPr>
            </w:pPr>
            <w:r>
              <w:rPr>
                <w:rFonts w:hint="eastAsia"/>
                <w:color w:val="000000"/>
                <w:szCs w:val="21"/>
              </w:rPr>
              <w:t>合    计</w:t>
            </w:r>
          </w:p>
        </w:tc>
        <w:tc>
          <w:tcPr>
            <w:tcW w:w="2126" w:type="dxa"/>
            <w:tcBorders>
              <w:bottom w:val="single" w:color="auto" w:sz="8" w:space="0"/>
            </w:tcBorders>
            <w:noWrap w:val="0"/>
            <w:vAlign w:val="center"/>
          </w:tcPr>
          <w:p w14:paraId="4E7512F0">
            <w:pPr>
              <w:spacing w:line="276" w:lineRule="auto"/>
              <w:jc w:val="center"/>
              <w:rPr>
                <w:color w:val="000000"/>
                <w:szCs w:val="21"/>
              </w:rPr>
            </w:pPr>
          </w:p>
        </w:tc>
        <w:tc>
          <w:tcPr>
            <w:tcW w:w="1985" w:type="dxa"/>
            <w:tcBorders>
              <w:bottom w:val="single" w:color="auto" w:sz="8" w:space="0"/>
            </w:tcBorders>
            <w:noWrap w:val="0"/>
            <w:vAlign w:val="center"/>
          </w:tcPr>
          <w:p w14:paraId="4225A469">
            <w:pPr>
              <w:spacing w:line="276" w:lineRule="auto"/>
              <w:jc w:val="center"/>
              <w:rPr>
                <w:color w:val="000000"/>
                <w:szCs w:val="21"/>
              </w:rPr>
            </w:pPr>
          </w:p>
        </w:tc>
        <w:tc>
          <w:tcPr>
            <w:tcW w:w="992" w:type="dxa"/>
            <w:tcBorders>
              <w:bottom w:val="single" w:color="auto" w:sz="8" w:space="0"/>
              <w:right w:val="single" w:color="auto" w:sz="8" w:space="0"/>
            </w:tcBorders>
            <w:noWrap w:val="0"/>
            <w:vAlign w:val="center"/>
          </w:tcPr>
          <w:p w14:paraId="3CFBB48B">
            <w:pPr>
              <w:spacing w:line="276" w:lineRule="auto"/>
              <w:jc w:val="center"/>
              <w:rPr>
                <w:rFonts w:hint="eastAsia"/>
                <w:color w:val="000000"/>
                <w:szCs w:val="21"/>
              </w:rPr>
            </w:pPr>
            <w:r>
              <w:rPr>
                <w:color w:val="000000"/>
                <w:szCs w:val="21"/>
              </w:rPr>
              <w:t>4</w:t>
            </w:r>
            <w:r>
              <w:rPr>
                <w:rFonts w:hint="eastAsia"/>
                <w:color w:val="000000"/>
                <w:szCs w:val="21"/>
              </w:rPr>
              <w:t>8</w:t>
            </w:r>
          </w:p>
        </w:tc>
        <w:tc>
          <w:tcPr>
            <w:tcW w:w="759" w:type="dxa"/>
            <w:tcBorders>
              <w:bottom w:val="single" w:color="auto" w:sz="8" w:space="0"/>
              <w:right w:val="single" w:color="auto" w:sz="8" w:space="0"/>
            </w:tcBorders>
            <w:noWrap w:val="0"/>
            <w:vAlign w:val="top"/>
          </w:tcPr>
          <w:p w14:paraId="3FA4DB7E">
            <w:pPr>
              <w:spacing w:line="276" w:lineRule="auto"/>
              <w:jc w:val="center"/>
              <w:rPr>
                <w:color w:val="000000"/>
                <w:szCs w:val="21"/>
              </w:rPr>
            </w:pPr>
          </w:p>
        </w:tc>
      </w:tr>
    </w:tbl>
    <w:p w14:paraId="35A31582">
      <w:pPr>
        <w:spacing w:line="240" w:lineRule="exact"/>
        <w:rPr>
          <w:rFonts w:hint="eastAsia"/>
          <w:b/>
          <w:color w:val="000000"/>
          <w:sz w:val="15"/>
          <w:szCs w:val="15"/>
        </w:rPr>
      </w:pPr>
    </w:p>
    <w:p w14:paraId="3CAD6F44">
      <w:pPr>
        <w:spacing w:line="360" w:lineRule="auto"/>
        <w:ind w:firstLine="482" w:firstLineChars="200"/>
        <w:rPr>
          <w:b/>
          <w:color w:val="000000"/>
          <w:sz w:val="24"/>
        </w:rPr>
      </w:pPr>
      <w:r>
        <w:rPr>
          <w:rFonts w:hint="eastAsia"/>
          <w:b/>
          <w:color w:val="000000"/>
          <w:sz w:val="24"/>
        </w:rPr>
        <w:t>五、课程实施</w:t>
      </w:r>
    </w:p>
    <w:p w14:paraId="70F4A650">
      <w:pPr>
        <w:spacing w:line="360" w:lineRule="auto"/>
        <w:ind w:firstLine="422" w:firstLineChars="200"/>
        <w:rPr>
          <w:b/>
          <w:color w:val="000000"/>
          <w:szCs w:val="21"/>
        </w:rPr>
      </w:pPr>
      <w:r>
        <w:rPr>
          <w:rFonts w:hint="eastAsia"/>
          <w:b/>
          <w:color w:val="000000"/>
          <w:szCs w:val="21"/>
        </w:rPr>
        <w:t>（一）教学方法与教学手段</w:t>
      </w:r>
    </w:p>
    <w:p w14:paraId="542B2F5B">
      <w:pPr>
        <w:spacing w:line="400" w:lineRule="exact"/>
        <w:ind w:firstLine="420" w:firstLineChars="200"/>
        <w:rPr>
          <w:rFonts w:ascii="宋体" w:hAnsi="宋体" w:cs="宋体"/>
          <w:color w:val="000000"/>
          <w:kern w:val="0"/>
          <w:szCs w:val="21"/>
        </w:rPr>
      </w:pPr>
      <w:r>
        <w:rPr>
          <w:rFonts w:hint="eastAsia" w:ascii="宋体" w:hAnsi="宋体" w:cs="宋体"/>
          <w:color w:val="000000"/>
          <w:kern w:val="0"/>
          <w:szCs w:val="21"/>
        </w:rPr>
        <w:t>1．依托网络学习平台，引导学生线上自主学习，培养学生自主学习能力，并进一步培养学生发现问题、分析问题、解决问题的能力。</w:t>
      </w:r>
    </w:p>
    <w:p w14:paraId="73E64AA6">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2．线下课堂采用研究式、启发式、讨论式、案例式教学，通过学生自主探究，理性思考，充分讨论，形成结论，相互评价使基本英语技能得以内化并实现灵活应用。</w:t>
      </w:r>
    </w:p>
    <w:p w14:paraId="0507B192">
      <w:pPr>
        <w:spacing w:line="240" w:lineRule="exact"/>
        <w:ind w:firstLine="300" w:firstLineChars="200"/>
        <w:rPr>
          <w:rFonts w:hint="eastAsia" w:ascii="宋体" w:hAnsi="宋体" w:cs="宋体"/>
          <w:color w:val="000000"/>
          <w:kern w:val="0"/>
          <w:sz w:val="15"/>
          <w:szCs w:val="15"/>
        </w:rPr>
      </w:pPr>
    </w:p>
    <w:p w14:paraId="527E64C2">
      <w:pPr>
        <w:spacing w:line="360" w:lineRule="auto"/>
        <w:ind w:firstLine="422" w:firstLineChars="200"/>
        <w:rPr>
          <w:b/>
          <w:color w:val="000000"/>
          <w:szCs w:val="21"/>
        </w:rPr>
      </w:pPr>
      <w:r>
        <w:rPr>
          <w:rFonts w:hint="eastAsia"/>
          <w:b/>
          <w:color w:val="000000"/>
          <w:szCs w:val="21"/>
        </w:rPr>
        <w:t>（二）课程实施与保障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42"/>
        <w:gridCol w:w="5711"/>
      </w:tblGrid>
      <w:tr w14:paraId="5EC7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6" w:type="dxa"/>
            <w:gridSpan w:val="3"/>
            <w:tcBorders>
              <w:top w:val="single" w:color="auto" w:sz="8" w:space="0"/>
              <w:left w:val="single" w:color="auto" w:sz="8" w:space="0"/>
              <w:right w:val="single" w:color="auto" w:sz="8" w:space="0"/>
            </w:tcBorders>
            <w:noWrap w:val="0"/>
            <w:tcMar>
              <w:left w:w="28" w:type="dxa"/>
              <w:right w:w="28" w:type="dxa"/>
            </w:tcMar>
            <w:vAlign w:val="center"/>
          </w:tcPr>
          <w:p w14:paraId="5B96FA60">
            <w:pPr>
              <w:spacing w:line="360" w:lineRule="auto"/>
              <w:jc w:val="center"/>
              <w:rPr>
                <w:rFonts w:hint="eastAsia"/>
                <w:color w:val="000000"/>
                <w:szCs w:val="21"/>
              </w:rPr>
            </w:pPr>
            <w:r>
              <w:rPr>
                <w:rFonts w:hint="eastAsia" w:ascii="宋体" w:hAnsi="宋体" w:cs="宋体"/>
                <w:b/>
                <w:bCs/>
                <w:color w:val="000000"/>
                <w:szCs w:val="21"/>
              </w:rPr>
              <w:t>主要教学环节的质量标准</w:t>
            </w:r>
          </w:p>
        </w:tc>
      </w:tr>
      <w:tr w14:paraId="7728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37205DE2">
            <w:pPr>
              <w:spacing w:line="360" w:lineRule="auto"/>
              <w:jc w:val="center"/>
              <w:rPr>
                <w:rFonts w:hint="eastAsia" w:ascii="宋体" w:hAnsi="宋体"/>
                <w:color w:val="000000"/>
                <w:szCs w:val="21"/>
              </w:rPr>
            </w:pPr>
            <w:r>
              <w:rPr>
                <w:rFonts w:hint="eastAsia" w:ascii="宋体" w:hAnsi="宋体"/>
                <w:color w:val="000000"/>
                <w:szCs w:val="21"/>
              </w:rPr>
              <w:t>1</w:t>
            </w:r>
          </w:p>
        </w:tc>
        <w:tc>
          <w:tcPr>
            <w:tcW w:w="1842" w:type="dxa"/>
            <w:noWrap w:val="0"/>
            <w:tcMar>
              <w:left w:w="28" w:type="dxa"/>
              <w:right w:w="28" w:type="dxa"/>
            </w:tcMar>
            <w:vAlign w:val="center"/>
          </w:tcPr>
          <w:p w14:paraId="5C0F6F7F">
            <w:pPr>
              <w:spacing w:line="360" w:lineRule="auto"/>
              <w:jc w:val="center"/>
              <w:rPr>
                <w:rFonts w:hint="eastAsia" w:ascii="宋体" w:hAnsi="宋体"/>
                <w:color w:val="000000"/>
                <w:szCs w:val="21"/>
              </w:rPr>
            </w:pPr>
            <w:r>
              <w:rPr>
                <w:rFonts w:hint="eastAsia" w:ascii="宋体" w:hAnsi="宋体"/>
                <w:color w:val="000000"/>
                <w:szCs w:val="21"/>
              </w:rPr>
              <w:t>备课</w:t>
            </w:r>
          </w:p>
        </w:tc>
        <w:tc>
          <w:tcPr>
            <w:tcW w:w="5711" w:type="dxa"/>
            <w:tcBorders>
              <w:right w:val="single" w:color="auto" w:sz="8" w:space="0"/>
            </w:tcBorders>
            <w:noWrap w:val="0"/>
            <w:vAlign w:val="center"/>
          </w:tcPr>
          <w:p w14:paraId="099EE476">
            <w:pPr>
              <w:spacing w:line="400" w:lineRule="exact"/>
              <w:rPr>
                <w:rFonts w:hint="eastAsia" w:ascii="宋体" w:hAnsi="宋体" w:cs="宋体"/>
                <w:color w:val="000000"/>
                <w:szCs w:val="21"/>
              </w:rPr>
            </w:pPr>
            <w:r>
              <w:rPr>
                <w:rFonts w:hint="eastAsia" w:ascii="宋体" w:hAnsi="宋体" w:cs="宋体"/>
                <w:color w:val="000000"/>
                <w:szCs w:val="21"/>
              </w:rPr>
              <w:t>1.掌握本课程教学大纲内容，严格按照教学大纲要求进行本课程教学内容的组织；</w:t>
            </w:r>
          </w:p>
          <w:p w14:paraId="4A299F84">
            <w:pPr>
              <w:spacing w:line="400" w:lineRule="exact"/>
              <w:rPr>
                <w:rFonts w:hint="eastAsia" w:ascii="宋体" w:hAnsi="宋体" w:cs="宋体"/>
                <w:color w:val="000000"/>
                <w:szCs w:val="21"/>
              </w:rPr>
            </w:pPr>
            <w:r>
              <w:rPr>
                <w:rFonts w:hint="eastAsia" w:ascii="宋体" w:hAnsi="宋体" w:cs="宋体"/>
                <w:color w:val="000000"/>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B0A6C56">
            <w:pPr>
              <w:spacing w:line="400" w:lineRule="exact"/>
              <w:rPr>
                <w:rFonts w:hint="eastAsia" w:ascii="宋体" w:hAnsi="宋体" w:cs="宋体"/>
                <w:color w:val="000000"/>
                <w:szCs w:val="21"/>
              </w:rPr>
            </w:pPr>
            <w:r>
              <w:rPr>
                <w:rFonts w:hint="eastAsia" w:ascii="宋体" w:hAnsi="宋体" w:cs="宋体"/>
                <w:color w:val="000000"/>
                <w:szCs w:val="21"/>
              </w:rPr>
              <w:t xml:space="preserve">3.结合课程特点，制作课件，运用多媒体教学手段讲授部分教学内容； </w:t>
            </w:r>
          </w:p>
          <w:p w14:paraId="6D92FE17">
            <w:pPr>
              <w:spacing w:line="400" w:lineRule="exact"/>
              <w:rPr>
                <w:rFonts w:hint="eastAsia" w:ascii="宋体" w:hAnsi="宋体" w:cs="宋体"/>
                <w:color w:val="000000"/>
                <w:szCs w:val="21"/>
              </w:rPr>
            </w:pPr>
            <w:r>
              <w:rPr>
                <w:rFonts w:hint="eastAsia" w:ascii="宋体" w:hAnsi="宋体" w:cs="宋体"/>
                <w:color w:val="000000"/>
                <w:szCs w:val="21"/>
              </w:rPr>
              <w:t>4.确定各章节课程内容的教学方法，构思授课思路、技巧和方法。</w:t>
            </w:r>
          </w:p>
        </w:tc>
      </w:tr>
      <w:tr w14:paraId="5C74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05DF7A03">
            <w:pPr>
              <w:spacing w:line="360" w:lineRule="auto"/>
              <w:jc w:val="center"/>
              <w:rPr>
                <w:rFonts w:hint="eastAsia" w:ascii="宋体" w:hAnsi="宋体"/>
                <w:color w:val="000000"/>
                <w:szCs w:val="21"/>
              </w:rPr>
            </w:pPr>
            <w:r>
              <w:rPr>
                <w:rFonts w:hint="eastAsia" w:ascii="宋体" w:hAnsi="宋体"/>
                <w:color w:val="000000"/>
                <w:szCs w:val="21"/>
              </w:rPr>
              <w:t>2</w:t>
            </w:r>
          </w:p>
        </w:tc>
        <w:tc>
          <w:tcPr>
            <w:tcW w:w="1842" w:type="dxa"/>
            <w:noWrap w:val="0"/>
            <w:tcMar>
              <w:left w:w="28" w:type="dxa"/>
              <w:right w:w="28" w:type="dxa"/>
            </w:tcMar>
            <w:vAlign w:val="center"/>
          </w:tcPr>
          <w:p w14:paraId="1DBEDDBA">
            <w:pPr>
              <w:spacing w:line="360" w:lineRule="auto"/>
              <w:jc w:val="center"/>
              <w:rPr>
                <w:rFonts w:hint="eastAsia" w:ascii="宋体" w:hAnsi="宋体"/>
                <w:color w:val="000000"/>
                <w:szCs w:val="21"/>
              </w:rPr>
            </w:pPr>
            <w:r>
              <w:rPr>
                <w:rFonts w:hint="eastAsia" w:ascii="宋体" w:hAnsi="宋体"/>
                <w:color w:val="000000"/>
                <w:szCs w:val="21"/>
              </w:rPr>
              <w:t>讲授</w:t>
            </w:r>
          </w:p>
        </w:tc>
        <w:tc>
          <w:tcPr>
            <w:tcW w:w="5711" w:type="dxa"/>
            <w:tcBorders>
              <w:right w:val="single" w:color="auto" w:sz="8" w:space="0"/>
            </w:tcBorders>
            <w:noWrap w:val="0"/>
            <w:vAlign w:val="center"/>
          </w:tcPr>
          <w:p w14:paraId="39A7C67E">
            <w:pPr>
              <w:spacing w:line="400" w:lineRule="exact"/>
              <w:rPr>
                <w:rFonts w:hint="eastAsia" w:ascii="宋体" w:hAnsi="宋体" w:cs="宋体"/>
                <w:color w:val="000000"/>
                <w:szCs w:val="21"/>
              </w:rPr>
            </w:pPr>
            <w:r>
              <w:rPr>
                <w:rFonts w:hint="eastAsia" w:ascii="宋体" w:hAnsi="宋体" w:cs="宋体"/>
                <w:color w:val="000000"/>
                <w:szCs w:val="21"/>
              </w:rPr>
              <w:t>1.要点准确，推理正确，条理清晰，重点突出，理论联系实际，熟练地解答和讲解例题。</w:t>
            </w:r>
          </w:p>
          <w:p w14:paraId="3208B524">
            <w:pPr>
              <w:spacing w:line="400" w:lineRule="exact"/>
              <w:rPr>
                <w:rFonts w:hint="eastAsia" w:ascii="宋体" w:hAnsi="宋体" w:cs="宋体"/>
                <w:color w:val="000000"/>
                <w:szCs w:val="21"/>
              </w:rPr>
            </w:pPr>
            <w:r>
              <w:rPr>
                <w:rFonts w:hint="eastAsia" w:ascii="宋体" w:hAnsi="宋体" w:cs="宋体"/>
                <w:color w:val="000000"/>
                <w:szCs w:val="21"/>
              </w:rPr>
              <w:t>2.采用多种教学方式（如启发式教学、案例分析教学、讨论式教学、多媒体示范教学等），注重培养学生的基本语言技能。</w:t>
            </w:r>
          </w:p>
          <w:p w14:paraId="4E3A9637">
            <w:pPr>
              <w:spacing w:line="400" w:lineRule="exact"/>
              <w:rPr>
                <w:rFonts w:hint="eastAsia" w:ascii="宋体" w:hAnsi="宋体" w:cs="宋体"/>
                <w:color w:val="000000"/>
                <w:szCs w:val="21"/>
              </w:rPr>
            </w:pPr>
            <w:r>
              <w:rPr>
                <w:rFonts w:hint="eastAsia" w:ascii="宋体" w:hAnsi="宋体" w:cs="宋体"/>
                <w:color w:val="000000"/>
                <w:szCs w:val="21"/>
              </w:rPr>
              <w:t>3.多媒体教学手段，以培养学生实践动手的能力。</w:t>
            </w:r>
          </w:p>
          <w:p w14:paraId="1C5C9B2F">
            <w:pPr>
              <w:spacing w:line="400" w:lineRule="exact"/>
              <w:rPr>
                <w:rFonts w:hint="eastAsia" w:ascii="宋体" w:hAnsi="宋体"/>
                <w:color w:val="000000"/>
                <w:szCs w:val="21"/>
              </w:rPr>
            </w:pPr>
            <w:r>
              <w:rPr>
                <w:rFonts w:hint="eastAsia" w:ascii="宋体" w:hAnsi="宋体" w:cs="宋体"/>
                <w:color w:val="000000"/>
                <w:szCs w:val="21"/>
              </w:rPr>
              <w:t>4.表达方式尽量便于学生理解、接受，力求形象生动，使学生在掌握知识的过程中，保持较为浓厚的兴趣。</w:t>
            </w:r>
          </w:p>
        </w:tc>
      </w:tr>
      <w:tr w14:paraId="0A97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4B77FDBD">
            <w:pPr>
              <w:spacing w:line="360" w:lineRule="auto"/>
              <w:jc w:val="center"/>
              <w:rPr>
                <w:rFonts w:hint="eastAsia" w:ascii="宋体" w:hAnsi="宋体"/>
                <w:color w:val="000000"/>
                <w:szCs w:val="21"/>
              </w:rPr>
            </w:pPr>
            <w:r>
              <w:rPr>
                <w:rFonts w:hint="eastAsia" w:ascii="宋体" w:hAnsi="宋体"/>
                <w:color w:val="000000"/>
                <w:szCs w:val="21"/>
              </w:rPr>
              <w:t>3</w:t>
            </w:r>
          </w:p>
        </w:tc>
        <w:tc>
          <w:tcPr>
            <w:tcW w:w="1842" w:type="dxa"/>
            <w:noWrap w:val="0"/>
            <w:tcMar>
              <w:left w:w="28" w:type="dxa"/>
              <w:right w:w="28" w:type="dxa"/>
            </w:tcMar>
            <w:vAlign w:val="center"/>
          </w:tcPr>
          <w:p w14:paraId="29DD14F0">
            <w:pPr>
              <w:spacing w:line="360" w:lineRule="auto"/>
              <w:jc w:val="center"/>
              <w:rPr>
                <w:rFonts w:hint="eastAsia" w:ascii="宋体" w:hAnsi="宋体"/>
                <w:color w:val="000000"/>
                <w:szCs w:val="21"/>
              </w:rPr>
            </w:pPr>
            <w:r>
              <w:rPr>
                <w:rFonts w:hint="eastAsia" w:ascii="宋体" w:hAnsi="宋体"/>
                <w:color w:val="000000"/>
                <w:szCs w:val="21"/>
              </w:rPr>
              <w:t>作业布置与批改</w:t>
            </w:r>
          </w:p>
        </w:tc>
        <w:tc>
          <w:tcPr>
            <w:tcW w:w="5711" w:type="dxa"/>
            <w:tcBorders>
              <w:right w:val="single" w:color="auto" w:sz="8" w:space="0"/>
            </w:tcBorders>
            <w:noWrap w:val="0"/>
            <w:vAlign w:val="center"/>
          </w:tcPr>
          <w:p w14:paraId="643BF767">
            <w:pPr>
              <w:spacing w:line="400" w:lineRule="exact"/>
              <w:rPr>
                <w:rFonts w:hint="eastAsia" w:ascii="宋体" w:hAnsi="宋体" w:cs="宋体"/>
                <w:color w:val="000000"/>
                <w:szCs w:val="21"/>
              </w:rPr>
            </w:pPr>
            <w:r>
              <w:rPr>
                <w:rFonts w:hint="eastAsia" w:ascii="宋体" w:hAnsi="宋体" w:cs="宋体"/>
                <w:color w:val="000000"/>
                <w:szCs w:val="21"/>
              </w:rPr>
              <w:t>学生完成一定数量的作业是本课程教学的基本要求，是实现人才培养目标的必要手段。</w:t>
            </w:r>
          </w:p>
          <w:p w14:paraId="249E4947">
            <w:pPr>
              <w:spacing w:line="400" w:lineRule="exact"/>
              <w:rPr>
                <w:rFonts w:hint="eastAsia" w:ascii="宋体" w:hAnsi="宋体" w:cs="宋体"/>
                <w:color w:val="000000"/>
                <w:szCs w:val="21"/>
              </w:rPr>
            </w:pPr>
            <w:r>
              <w:rPr>
                <w:rFonts w:hint="eastAsia" w:ascii="宋体" w:hAnsi="宋体" w:cs="宋体"/>
                <w:color w:val="000000"/>
                <w:szCs w:val="21"/>
              </w:rPr>
              <w:t>学生完成的作业必须达到以下基本要求：</w:t>
            </w:r>
          </w:p>
          <w:p w14:paraId="58D93BC0">
            <w:pPr>
              <w:spacing w:line="400" w:lineRule="exact"/>
              <w:rPr>
                <w:rFonts w:hint="eastAsia" w:ascii="宋体" w:hAnsi="宋体" w:cs="宋体"/>
                <w:color w:val="000000"/>
                <w:szCs w:val="21"/>
              </w:rPr>
            </w:pPr>
            <w:r>
              <w:rPr>
                <w:rFonts w:hint="eastAsia" w:ascii="宋体" w:hAnsi="宋体" w:cs="宋体"/>
                <w:color w:val="000000"/>
                <w:szCs w:val="21"/>
              </w:rPr>
              <w:t>1.按时按量完成作业，不缺交，不抄袭；</w:t>
            </w:r>
          </w:p>
          <w:p w14:paraId="552D98C3">
            <w:pPr>
              <w:spacing w:line="400" w:lineRule="exact"/>
              <w:rPr>
                <w:rFonts w:hint="eastAsia" w:ascii="宋体" w:hAnsi="宋体" w:cs="宋体"/>
                <w:color w:val="000000"/>
                <w:szCs w:val="21"/>
              </w:rPr>
            </w:pPr>
            <w:r>
              <w:rPr>
                <w:rFonts w:hint="eastAsia" w:ascii="宋体" w:hAnsi="宋体" w:cs="宋体"/>
                <w:color w:val="000000"/>
                <w:szCs w:val="21"/>
              </w:rPr>
              <w:t>2.</w:t>
            </w:r>
            <w:r>
              <w:rPr>
                <w:rFonts w:hint="eastAsia" w:ascii="宋体" w:hAnsi="宋体" w:cs="宋体"/>
                <w:color w:val="000000"/>
                <w:kern w:val="0"/>
                <w:szCs w:val="21"/>
              </w:rPr>
              <w:t>网络教学平台具有查重功能并能及时反馈</w:t>
            </w:r>
            <w:r>
              <w:rPr>
                <w:rFonts w:hint="eastAsia" w:ascii="宋体" w:hAnsi="宋体" w:cs="宋体"/>
                <w:color w:val="000000"/>
                <w:szCs w:val="21"/>
              </w:rPr>
              <w:t>；</w:t>
            </w:r>
          </w:p>
          <w:p w14:paraId="49888ACE">
            <w:pPr>
              <w:spacing w:line="400" w:lineRule="exact"/>
              <w:rPr>
                <w:rFonts w:hint="eastAsia" w:ascii="宋体" w:hAnsi="宋体" w:cs="宋体"/>
                <w:color w:val="000000"/>
                <w:szCs w:val="21"/>
              </w:rPr>
            </w:pPr>
            <w:r>
              <w:rPr>
                <w:rFonts w:hint="eastAsia" w:ascii="宋体" w:hAnsi="宋体" w:cs="宋体"/>
                <w:color w:val="000000"/>
                <w:szCs w:val="21"/>
              </w:rPr>
              <w:t>3.客观题保证答题时间，主观题要求原创性。</w:t>
            </w:r>
          </w:p>
          <w:p w14:paraId="6A57AED8">
            <w:pPr>
              <w:spacing w:line="400" w:lineRule="exact"/>
              <w:rPr>
                <w:rFonts w:hint="eastAsia" w:ascii="宋体" w:hAnsi="宋体" w:cs="宋体"/>
                <w:color w:val="000000"/>
                <w:szCs w:val="21"/>
              </w:rPr>
            </w:pPr>
            <w:r>
              <w:rPr>
                <w:rFonts w:hint="eastAsia" w:ascii="宋体" w:hAnsi="宋体" w:cs="宋体"/>
                <w:color w:val="000000"/>
                <w:szCs w:val="21"/>
              </w:rPr>
              <w:t>教师批改或讲评作业要求如下：</w:t>
            </w:r>
          </w:p>
          <w:p w14:paraId="2A3B35A3">
            <w:pPr>
              <w:spacing w:line="400" w:lineRule="exact"/>
              <w:rPr>
                <w:rFonts w:hint="eastAsia" w:ascii="宋体" w:hAnsi="宋体" w:cs="宋体"/>
                <w:color w:val="000000"/>
                <w:szCs w:val="21"/>
              </w:rPr>
            </w:pPr>
            <w:r>
              <w:rPr>
                <w:rFonts w:hint="eastAsia" w:ascii="宋体" w:hAnsi="宋体" w:cs="宋体"/>
                <w:color w:val="000000"/>
                <w:szCs w:val="21"/>
              </w:rPr>
              <w:t>1.学生的作业要全批全改，并按时批改、反馈、讲评；</w:t>
            </w:r>
          </w:p>
          <w:p w14:paraId="567D331D">
            <w:pPr>
              <w:spacing w:line="400" w:lineRule="exact"/>
              <w:rPr>
                <w:rFonts w:hint="eastAsia" w:ascii="宋体" w:hAnsi="宋体" w:cs="宋体"/>
                <w:color w:val="000000"/>
                <w:szCs w:val="21"/>
              </w:rPr>
            </w:pPr>
            <w:r>
              <w:rPr>
                <w:rFonts w:hint="eastAsia" w:ascii="宋体" w:hAnsi="宋体" w:cs="宋体"/>
                <w:color w:val="000000"/>
                <w:szCs w:val="21"/>
              </w:rPr>
              <w:t>2.教师批改或讲评作业要认真、细致，每次批改或讲评作业后，按百分制评定成绩，并写明日期；</w:t>
            </w:r>
          </w:p>
          <w:p w14:paraId="3730F434">
            <w:pPr>
              <w:spacing w:line="400" w:lineRule="exact"/>
              <w:rPr>
                <w:rFonts w:hint="eastAsia" w:ascii="宋体" w:hAnsi="宋体" w:cs="宋体"/>
                <w:color w:val="000000"/>
                <w:szCs w:val="21"/>
              </w:rPr>
            </w:pPr>
            <w:r>
              <w:rPr>
                <w:rFonts w:hint="eastAsia" w:ascii="宋体" w:hAnsi="宋体" w:cs="宋体"/>
                <w:color w:val="000000"/>
                <w:szCs w:val="21"/>
              </w:rPr>
              <w:t>3.期末按每个学生作业的平均成绩，作为本课程总评成绩中平时成绩的重要组成部分。</w:t>
            </w:r>
          </w:p>
        </w:tc>
      </w:tr>
      <w:tr w14:paraId="4917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3C16B831">
            <w:pPr>
              <w:spacing w:line="360" w:lineRule="auto"/>
              <w:jc w:val="center"/>
              <w:rPr>
                <w:rFonts w:hint="eastAsia" w:ascii="宋体" w:hAnsi="宋体"/>
                <w:color w:val="000000"/>
                <w:szCs w:val="21"/>
              </w:rPr>
            </w:pPr>
            <w:r>
              <w:rPr>
                <w:rFonts w:hint="eastAsia" w:ascii="宋体" w:hAnsi="宋体"/>
                <w:color w:val="000000"/>
                <w:szCs w:val="21"/>
              </w:rPr>
              <w:t>4</w:t>
            </w:r>
          </w:p>
        </w:tc>
        <w:tc>
          <w:tcPr>
            <w:tcW w:w="1842" w:type="dxa"/>
            <w:noWrap w:val="0"/>
            <w:tcMar>
              <w:left w:w="28" w:type="dxa"/>
              <w:right w:w="28" w:type="dxa"/>
            </w:tcMar>
            <w:vAlign w:val="center"/>
          </w:tcPr>
          <w:p w14:paraId="60EBAFB1">
            <w:pPr>
              <w:spacing w:line="360" w:lineRule="auto"/>
              <w:jc w:val="center"/>
              <w:rPr>
                <w:rFonts w:hint="eastAsia" w:ascii="宋体" w:hAnsi="宋体"/>
                <w:color w:val="000000"/>
                <w:szCs w:val="21"/>
              </w:rPr>
            </w:pPr>
            <w:r>
              <w:rPr>
                <w:rFonts w:hint="eastAsia" w:ascii="宋体" w:hAnsi="宋体"/>
                <w:color w:val="000000"/>
                <w:szCs w:val="21"/>
              </w:rPr>
              <w:t>课外答疑</w:t>
            </w:r>
          </w:p>
        </w:tc>
        <w:tc>
          <w:tcPr>
            <w:tcW w:w="5711" w:type="dxa"/>
            <w:tcBorders>
              <w:right w:val="single" w:color="auto" w:sz="8" w:space="0"/>
            </w:tcBorders>
            <w:noWrap w:val="0"/>
            <w:vAlign w:val="center"/>
          </w:tcPr>
          <w:p w14:paraId="64467E25">
            <w:pPr>
              <w:spacing w:line="400" w:lineRule="exact"/>
              <w:rPr>
                <w:rFonts w:hint="eastAsia" w:ascii="宋体" w:hAnsi="宋体" w:cs="宋体"/>
                <w:color w:val="000000"/>
                <w:szCs w:val="21"/>
              </w:rPr>
            </w:pPr>
            <w:r>
              <w:rPr>
                <w:rFonts w:hint="eastAsia" w:ascii="宋体" w:hAnsi="宋体" w:cs="宋体"/>
                <w:color w:val="000000"/>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7BBA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61DF7909">
            <w:pPr>
              <w:spacing w:line="360" w:lineRule="auto"/>
              <w:jc w:val="center"/>
              <w:rPr>
                <w:rFonts w:hint="eastAsia" w:ascii="宋体" w:hAnsi="宋体"/>
                <w:color w:val="000000"/>
                <w:szCs w:val="21"/>
              </w:rPr>
            </w:pPr>
            <w:r>
              <w:rPr>
                <w:rFonts w:hint="eastAsia" w:ascii="宋体" w:hAnsi="宋体"/>
                <w:color w:val="000000"/>
                <w:szCs w:val="21"/>
              </w:rPr>
              <w:t>5</w:t>
            </w:r>
          </w:p>
        </w:tc>
        <w:tc>
          <w:tcPr>
            <w:tcW w:w="1842" w:type="dxa"/>
            <w:noWrap w:val="0"/>
            <w:tcMar>
              <w:left w:w="28" w:type="dxa"/>
              <w:right w:w="28" w:type="dxa"/>
            </w:tcMar>
            <w:vAlign w:val="center"/>
          </w:tcPr>
          <w:p w14:paraId="59784378">
            <w:pPr>
              <w:spacing w:line="360" w:lineRule="auto"/>
              <w:jc w:val="center"/>
              <w:rPr>
                <w:rFonts w:hint="eastAsia" w:ascii="宋体" w:hAnsi="宋体"/>
                <w:color w:val="000000"/>
                <w:szCs w:val="21"/>
              </w:rPr>
            </w:pPr>
            <w:r>
              <w:rPr>
                <w:rFonts w:hint="eastAsia" w:ascii="宋体" w:hAnsi="宋体"/>
                <w:color w:val="000000"/>
                <w:szCs w:val="21"/>
              </w:rPr>
              <w:t>成绩考核</w:t>
            </w:r>
          </w:p>
        </w:tc>
        <w:tc>
          <w:tcPr>
            <w:tcW w:w="5711" w:type="dxa"/>
            <w:tcBorders>
              <w:right w:val="single" w:color="auto" w:sz="8" w:space="0"/>
            </w:tcBorders>
            <w:noWrap w:val="0"/>
            <w:vAlign w:val="center"/>
          </w:tcPr>
          <w:p w14:paraId="00A72279">
            <w:pPr>
              <w:autoSpaceDE w:val="0"/>
              <w:autoSpaceDN w:val="0"/>
              <w:adjustRightInd w:val="0"/>
              <w:snapToGrid w:val="0"/>
              <w:spacing w:line="400" w:lineRule="exact"/>
              <w:jc w:val="left"/>
              <w:rPr>
                <w:rFonts w:ascii="宋体" w:hAnsi="宋体" w:cs="宋体"/>
                <w:color w:val="000000"/>
                <w:kern w:val="0"/>
                <w:szCs w:val="21"/>
              </w:rPr>
            </w:pPr>
            <w:r>
              <w:rPr>
                <w:rFonts w:hint="eastAsia" w:ascii="宋体" w:hAnsi="宋体" w:cs="宋体"/>
                <w:color w:val="000000"/>
                <w:kern w:val="0"/>
                <w:szCs w:val="21"/>
              </w:rPr>
              <w:t>本课程考核的方式：“N</w:t>
            </w:r>
            <w:r>
              <w:rPr>
                <w:rFonts w:ascii="宋体" w:hAnsi="宋体" w:cs="宋体"/>
                <w:color w:val="000000"/>
                <w:kern w:val="0"/>
                <w:szCs w:val="21"/>
              </w:rPr>
              <w:t>+1</w:t>
            </w:r>
            <w:r>
              <w:rPr>
                <w:rFonts w:hint="eastAsia" w:ascii="宋体" w:hAnsi="宋体" w:cs="宋体"/>
                <w:color w:val="000000"/>
                <w:kern w:val="0"/>
                <w:szCs w:val="21"/>
              </w:rPr>
              <w:t>”课程考核。网络平台考试，教考分离，题库抽题，统一监考，集中阅卷。总评成绩的评定见课程评分方案。有下列情况之一者，总评成绩原则上评定为不及格：</w:t>
            </w:r>
          </w:p>
          <w:p w14:paraId="4097F171">
            <w:pPr>
              <w:autoSpaceDE w:val="0"/>
              <w:autoSpaceDN w:val="0"/>
              <w:adjustRightInd w:val="0"/>
              <w:snapToGrid w:val="0"/>
              <w:spacing w:line="400" w:lineRule="exact"/>
              <w:jc w:val="left"/>
              <w:rPr>
                <w:rFonts w:ascii="宋体" w:hAnsi="宋体" w:cs="宋体"/>
                <w:color w:val="000000"/>
                <w:kern w:val="0"/>
                <w:szCs w:val="21"/>
              </w:rPr>
            </w:pPr>
            <w:r>
              <w:rPr>
                <w:rFonts w:ascii="宋体" w:hAnsi="宋体" w:cs="宋体"/>
                <w:color w:val="000000"/>
                <w:kern w:val="0"/>
                <w:szCs w:val="21"/>
              </w:rPr>
              <w:t xml:space="preserve">1. </w:t>
            </w:r>
            <w:r>
              <w:rPr>
                <w:rFonts w:hint="eastAsia" w:ascii="宋体" w:hAnsi="宋体" w:cs="宋体"/>
                <w:color w:val="000000"/>
                <w:kern w:val="0"/>
                <w:szCs w:val="21"/>
              </w:rPr>
              <w:t>缺课次数达本学期总授课学时的1/3以上者；</w:t>
            </w:r>
          </w:p>
          <w:p w14:paraId="04CA59CB">
            <w:pPr>
              <w:autoSpaceDE w:val="0"/>
              <w:autoSpaceDN w:val="0"/>
              <w:adjustRightInd w:val="0"/>
              <w:snapToGrid w:val="0"/>
              <w:spacing w:line="400" w:lineRule="exact"/>
              <w:jc w:val="left"/>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 xml:space="preserve">. </w:t>
            </w:r>
            <w:r>
              <w:rPr>
                <w:rFonts w:hint="eastAsia" w:ascii="宋体" w:hAnsi="宋体" w:cs="宋体"/>
                <w:color w:val="000000"/>
                <w:kern w:val="0"/>
                <w:szCs w:val="21"/>
              </w:rPr>
              <w:t>缺交作业次数达1/3以上者；</w:t>
            </w:r>
          </w:p>
          <w:p w14:paraId="2A4971BA">
            <w:pPr>
              <w:autoSpaceDE w:val="0"/>
              <w:autoSpaceDN w:val="0"/>
              <w:adjustRightInd w:val="0"/>
              <w:snapToGrid w:val="0"/>
              <w:spacing w:line="400" w:lineRule="exact"/>
              <w:jc w:val="left"/>
              <w:rPr>
                <w:rFonts w:hint="eastAsia" w:ascii="宋体" w:hAnsi="宋体" w:cs="宋体"/>
                <w:color w:val="000000"/>
                <w:kern w:val="0"/>
                <w:szCs w:val="21"/>
              </w:rPr>
            </w:pPr>
            <w:r>
              <w:rPr>
                <w:rFonts w:hint="eastAsia" w:ascii="宋体" w:hAnsi="宋体" w:cs="宋体"/>
                <w:color w:val="000000"/>
                <w:kern w:val="0"/>
                <w:szCs w:val="21"/>
              </w:rPr>
              <w:t>3</w:t>
            </w:r>
            <w:r>
              <w:rPr>
                <w:rFonts w:ascii="宋体" w:hAnsi="宋体" w:cs="宋体"/>
                <w:color w:val="000000"/>
                <w:kern w:val="0"/>
                <w:szCs w:val="21"/>
              </w:rPr>
              <w:t>.</w:t>
            </w:r>
            <w:r>
              <w:rPr>
                <w:rFonts w:hint="eastAsia" w:ascii="宋体" w:hAnsi="宋体" w:cs="宋体"/>
                <w:color w:val="000000"/>
                <w:kern w:val="0"/>
                <w:szCs w:val="21"/>
              </w:rPr>
              <w:t>机考成绩小于45分；专转本、对口单招、3</w:t>
            </w:r>
            <w:r>
              <w:rPr>
                <w:rFonts w:ascii="宋体" w:hAnsi="宋体" w:cs="宋体"/>
                <w:color w:val="000000"/>
                <w:kern w:val="0"/>
                <w:szCs w:val="21"/>
              </w:rPr>
              <w:t>+4</w:t>
            </w:r>
            <w:r>
              <w:rPr>
                <w:rFonts w:hint="eastAsia" w:ascii="宋体" w:hAnsi="宋体" w:cs="宋体"/>
                <w:color w:val="000000"/>
                <w:kern w:val="0"/>
                <w:szCs w:val="21"/>
              </w:rPr>
              <w:t>、3</w:t>
            </w:r>
            <w:r>
              <w:rPr>
                <w:rFonts w:ascii="宋体" w:hAnsi="宋体" w:cs="宋体"/>
                <w:color w:val="000000"/>
                <w:kern w:val="0"/>
                <w:szCs w:val="21"/>
              </w:rPr>
              <w:t>+2</w:t>
            </w:r>
            <w:r>
              <w:rPr>
                <w:rFonts w:hint="eastAsia" w:ascii="宋体" w:hAnsi="宋体" w:cs="宋体"/>
                <w:color w:val="000000"/>
                <w:kern w:val="0"/>
                <w:szCs w:val="21"/>
              </w:rPr>
              <w:t>、4</w:t>
            </w:r>
            <w:r>
              <w:rPr>
                <w:rFonts w:ascii="宋体" w:hAnsi="宋体" w:cs="宋体"/>
                <w:color w:val="000000"/>
                <w:kern w:val="0"/>
                <w:szCs w:val="21"/>
              </w:rPr>
              <w:t>+0</w:t>
            </w:r>
            <w:r>
              <w:rPr>
                <w:rFonts w:hint="eastAsia" w:ascii="宋体" w:hAnsi="宋体" w:cs="宋体"/>
                <w:color w:val="000000"/>
                <w:kern w:val="0"/>
                <w:szCs w:val="21"/>
              </w:rPr>
              <w:t>、5</w:t>
            </w:r>
            <w:r>
              <w:rPr>
                <w:rFonts w:ascii="宋体" w:hAnsi="宋体" w:cs="宋体"/>
                <w:color w:val="000000"/>
                <w:kern w:val="0"/>
                <w:szCs w:val="21"/>
              </w:rPr>
              <w:t>+2</w:t>
            </w:r>
            <w:r>
              <w:rPr>
                <w:rFonts w:hint="eastAsia" w:ascii="宋体" w:hAnsi="宋体" w:cs="宋体"/>
                <w:color w:val="000000"/>
                <w:kern w:val="0"/>
                <w:szCs w:val="21"/>
              </w:rPr>
              <w:t>类班级、艺术类班级小于4</w:t>
            </w:r>
            <w:r>
              <w:rPr>
                <w:rFonts w:ascii="宋体" w:hAnsi="宋体" w:cs="宋体"/>
                <w:color w:val="000000"/>
                <w:kern w:val="0"/>
                <w:szCs w:val="21"/>
              </w:rPr>
              <w:t>0</w:t>
            </w:r>
            <w:r>
              <w:rPr>
                <w:rFonts w:hint="eastAsia" w:ascii="宋体" w:hAnsi="宋体" w:cs="宋体"/>
                <w:color w:val="000000"/>
                <w:kern w:val="0"/>
                <w:szCs w:val="21"/>
              </w:rPr>
              <w:t>分。</w:t>
            </w:r>
          </w:p>
        </w:tc>
      </w:tr>
      <w:tr w14:paraId="0C54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dxa"/>
            <w:tcBorders>
              <w:left w:val="single" w:color="auto" w:sz="8" w:space="0"/>
            </w:tcBorders>
            <w:noWrap w:val="0"/>
            <w:vAlign w:val="center"/>
          </w:tcPr>
          <w:p w14:paraId="11605BB8">
            <w:pPr>
              <w:spacing w:line="360" w:lineRule="auto"/>
              <w:jc w:val="center"/>
              <w:rPr>
                <w:rFonts w:hint="eastAsia" w:ascii="宋体" w:hAnsi="宋体"/>
                <w:color w:val="000000"/>
                <w:szCs w:val="21"/>
              </w:rPr>
            </w:pPr>
            <w:r>
              <w:rPr>
                <w:rFonts w:hint="eastAsia" w:ascii="宋体" w:hAnsi="宋体"/>
                <w:color w:val="000000"/>
                <w:szCs w:val="21"/>
              </w:rPr>
              <w:t>6</w:t>
            </w:r>
          </w:p>
        </w:tc>
        <w:tc>
          <w:tcPr>
            <w:tcW w:w="1842" w:type="dxa"/>
            <w:noWrap w:val="0"/>
            <w:tcMar>
              <w:left w:w="28" w:type="dxa"/>
              <w:right w:w="28" w:type="dxa"/>
            </w:tcMar>
            <w:vAlign w:val="center"/>
          </w:tcPr>
          <w:p w14:paraId="63BF349A">
            <w:pPr>
              <w:spacing w:line="360" w:lineRule="auto"/>
              <w:jc w:val="center"/>
              <w:rPr>
                <w:rFonts w:hint="eastAsia" w:ascii="宋体" w:hAnsi="宋体"/>
                <w:color w:val="000000"/>
                <w:szCs w:val="21"/>
              </w:rPr>
            </w:pPr>
            <w:r>
              <w:rPr>
                <w:rFonts w:hint="eastAsia" w:ascii="宋体" w:hAnsi="宋体"/>
                <w:color w:val="000000"/>
                <w:szCs w:val="21"/>
              </w:rPr>
              <w:t>第二课堂活动</w:t>
            </w:r>
          </w:p>
        </w:tc>
        <w:tc>
          <w:tcPr>
            <w:tcW w:w="5711" w:type="dxa"/>
            <w:tcBorders>
              <w:right w:val="single" w:color="auto" w:sz="8" w:space="0"/>
            </w:tcBorders>
            <w:noWrap w:val="0"/>
            <w:vAlign w:val="center"/>
          </w:tcPr>
          <w:p w14:paraId="574A2EEB">
            <w:pPr>
              <w:spacing w:line="400" w:lineRule="exact"/>
              <w:rPr>
                <w:rFonts w:hint="eastAsia" w:ascii="宋体" w:hAnsi="宋体" w:cs="宋体"/>
                <w:color w:val="000000"/>
                <w:szCs w:val="21"/>
              </w:rPr>
            </w:pPr>
            <w:r>
              <w:rPr>
                <w:rFonts w:hint="eastAsia" w:ascii="宋体" w:hAnsi="宋体" w:cs="宋体"/>
                <w:color w:val="000000"/>
                <w:szCs w:val="21"/>
              </w:rPr>
              <w:t>为了培养学生综合运用所学知识的能力和创新精神，学校每年举办英语演讲、写作和阅读竞赛；组织学生参加市、省及国家级比赛。</w:t>
            </w:r>
          </w:p>
        </w:tc>
      </w:tr>
    </w:tbl>
    <w:p w14:paraId="585DAB35">
      <w:pPr>
        <w:spacing w:line="360" w:lineRule="auto"/>
        <w:ind w:firstLine="723" w:firstLineChars="300"/>
        <w:rPr>
          <w:rFonts w:hint="eastAsia"/>
          <w:b/>
          <w:color w:val="000000"/>
          <w:sz w:val="24"/>
        </w:rPr>
      </w:pPr>
      <w:r>
        <w:rPr>
          <w:rFonts w:hint="eastAsia"/>
          <w:b/>
          <w:color w:val="000000"/>
          <w:sz w:val="24"/>
        </w:rPr>
        <w:t>六、目标评价与成绩评定</w:t>
      </w:r>
    </w:p>
    <w:p w14:paraId="5A199DEF">
      <w:pPr>
        <w:spacing w:line="360" w:lineRule="auto"/>
        <w:ind w:firstLine="422" w:firstLineChars="200"/>
        <w:rPr>
          <w:rFonts w:hint="eastAsia"/>
          <w:b/>
          <w:color w:val="000000"/>
          <w:szCs w:val="21"/>
        </w:rPr>
      </w:pPr>
      <w:r>
        <w:rPr>
          <w:rFonts w:hint="eastAsia"/>
          <w:b/>
          <w:color w:val="000000"/>
          <w:szCs w:val="21"/>
        </w:rPr>
        <w:t>（一）课程目标评价方式</w:t>
      </w:r>
    </w:p>
    <w:p w14:paraId="5BCE35E1">
      <w:pPr>
        <w:spacing w:line="360" w:lineRule="auto"/>
        <w:ind w:firstLine="420" w:firstLineChars="200"/>
        <w:rPr>
          <w:color w:val="000000"/>
          <w:szCs w:val="21"/>
        </w:rPr>
      </w:pPr>
      <w:r>
        <w:rPr>
          <w:color w:val="000000"/>
          <w:szCs w:val="21"/>
        </w:rPr>
        <w:t>课程考核方式包括结课考核、平时情况考核等。</w:t>
      </w:r>
      <w:r>
        <w:rPr>
          <w:rFonts w:hint="eastAsia"/>
          <w:color w:val="000000"/>
          <w:szCs w:val="21"/>
        </w:rPr>
        <w:t>结课</w:t>
      </w:r>
      <w:r>
        <w:rPr>
          <w:color w:val="000000"/>
          <w:szCs w:val="21"/>
        </w:rPr>
        <w:t>考核采用</w:t>
      </w:r>
      <w:r>
        <w:rPr>
          <w:rFonts w:hint="eastAsia"/>
          <w:color w:val="000000"/>
          <w:szCs w:val="21"/>
        </w:rPr>
        <w:t>机考</w:t>
      </w:r>
      <w:r>
        <w:rPr>
          <w:color w:val="000000"/>
          <w:szCs w:val="21"/>
        </w:rPr>
        <w:t>（闭卷）形式。</w:t>
      </w:r>
    </w:p>
    <w:p w14:paraId="128FD0C3">
      <w:pPr>
        <w:spacing w:line="360" w:lineRule="auto"/>
        <w:ind w:firstLine="422" w:firstLineChars="200"/>
        <w:rPr>
          <w:rFonts w:hint="eastAsia"/>
          <w:b/>
          <w:color w:val="000000"/>
          <w:szCs w:val="21"/>
        </w:rPr>
      </w:pPr>
      <w:r>
        <w:rPr>
          <w:rFonts w:hint="eastAsia"/>
          <w:b/>
          <w:color w:val="000000"/>
          <w:szCs w:val="21"/>
        </w:rPr>
        <w:t>（二）成绩评定细则</w:t>
      </w:r>
    </w:p>
    <w:p w14:paraId="3BFBCDA4">
      <w:pPr>
        <w:spacing w:line="360" w:lineRule="auto"/>
        <w:ind w:firstLine="420" w:firstLineChars="200"/>
        <w:rPr>
          <w:rFonts w:hint="eastAsia"/>
          <w:color w:val="000000"/>
          <w:szCs w:val="21"/>
        </w:rPr>
      </w:pPr>
      <w:r>
        <w:rPr>
          <w:color w:val="000000"/>
          <w:szCs w:val="21"/>
        </w:rPr>
        <w:t>课程总评成绩=平时成绩×</w:t>
      </w:r>
      <w:r>
        <w:rPr>
          <w:rFonts w:hint="eastAsia"/>
          <w:color w:val="000000"/>
          <w:szCs w:val="21"/>
        </w:rPr>
        <w:t>5</w:t>
      </w:r>
      <w:r>
        <w:rPr>
          <w:color w:val="000000"/>
          <w:szCs w:val="21"/>
        </w:rPr>
        <w:t>0%</w:t>
      </w:r>
      <w:r>
        <w:rPr>
          <w:rFonts w:hint="eastAsia"/>
          <w:color w:val="000000"/>
          <w:szCs w:val="21"/>
        </w:rPr>
        <w:t>+</w:t>
      </w:r>
      <w:r>
        <w:rPr>
          <w:color w:val="000000"/>
          <w:szCs w:val="21"/>
        </w:rPr>
        <w:t>结课成绩×</w:t>
      </w:r>
      <w:r>
        <w:rPr>
          <w:rFonts w:hint="eastAsia"/>
          <w:color w:val="000000"/>
          <w:szCs w:val="21"/>
        </w:rPr>
        <w:t>5</w:t>
      </w:r>
      <w:r>
        <w:rPr>
          <w:color w:val="000000"/>
          <w:szCs w:val="21"/>
        </w:rPr>
        <w:t>0%。</w:t>
      </w:r>
    </w:p>
    <w:p w14:paraId="1836277C">
      <w:pPr>
        <w:spacing w:line="360" w:lineRule="auto"/>
        <w:ind w:firstLine="420" w:firstLineChars="200"/>
        <w:rPr>
          <w:rFonts w:hint="eastAsia"/>
          <w:color w:val="000000"/>
          <w:szCs w:val="21"/>
        </w:rPr>
      </w:pPr>
      <w:r>
        <w:rPr>
          <w:color w:val="000000"/>
          <w:szCs w:val="21"/>
        </w:rPr>
        <w:t>具体考核评价细则如下</w:t>
      </w:r>
      <w:r>
        <w:rPr>
          <w:rFonts w:hint="eastAsia"/>
          <w:color w:val="000000"/>
          <w:szCs w:val="21"/>
        </w:rPr>
        <w:t>（平时成绩考核/评价环节及其权重可结合班级的实际情况和具体教学实践适度调整）：</w:t>
      </w:r>
    </w:p>
    <w:tbl>
      <w:tblPr>
        <w:tblStyle w:val="30"/>
        <w:tblW w:w="85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701"/>
        <w:gridCol w:w="734"/>
        <w:gridCol w:w="3802"/>
        <w:gridCol w:w="1701"/>
      </w:tblGrid>
      <w:tr w14:paraId="2222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47" w:type="dxa"/>
            <w:shd w:val="clear" w:color="auto" w:fill="FFFFFF"/>
            <w:noWrap w:val="0"/>
            <w:tcMar>
              <w:left w:w="57" w:type="dxa"/>
              <w:right w:w="57" w:type="dxa"/>
            </w:tcMar>
            <w:vAlign w:val="center"/>
          </w:tcPr>
          <w:p w14:paraId="40271321">
            <w:pPr>
              <w:pStyle w:val="40"/>
              <w:jc w:val="center"/>
              <w:rPr>
                <w:rFonts w:ascii="宋体" w:hAnsi="宋体" w:eastAsia="宋体"/>
                <w:color w:val="000000"/>
              </w:rPr>
            </w:pPr>
            <w:r>
              <w:rPr>
                <w:rFonts w:ascii="宋体" w:hAnsi="宋体" w:eastAsia="宋体"/>
                <w:color w:val="000000"/>
              </w:rPr>
              <w:t>成绩组成</w:t>
            </w:r>
          </w:p>
        </w:tc>
        <w:tc>
          <w:tcPr>
            <w:tcW w:w="1701" w:type="dxa"/>
            <w:shd w:val="clear" w:color="auto" w:fill="FFFFFF"/>
            <w:noWrap w:val="0"/>
            <w:vAlign w:val="center"/>
          </w:tcPr>
          <w:p w14:paraId="63A523CE">
            <w:pPr>
              <w:pStyle w:val="40"/>
              <w:jc w:val="center"/>
              <w:rPr>
                <w:rFonts w:ascii="宋体" w:hAnsi="宋体" w:eastAsia="宋体"/>
                <w:color w:val="000000"/>
              </w:rPr>
            </w:pPr>
            <w:r>
              <w:rPr>
                <w:rFonts w:ascii="宋体" w:hAnsi="宋体" w:eastAsia="宋体"/>
                <w:color w:val="000000"/>
              </w:rPr>
              <w:t>考核/评价环节</w:t>
            </w:r>
          </w:p>
        </w:tc>
        <w:tc>
          <w:tcPr>
            <w:tcW w:w="734" w:type="dxa"/>
            <w:shd w:val="clear" w:color="auto" w:fill="FFFFFF"/>
            <w:noWrap w:val="0"/>
            <w:vAlign w:val="center"/>
          </w:tcPr>
          <w:p w14:paraId="0B5E6BF6">
            <w:pPr>
              <w:pStyle w:val="40"/>
              <w:jc w:val="center"/>
              <w:rPr>
                <w:rFonts w:ascii="宋体" w:hAnsi="宋体" w:eastAsia="宋体"/>
                <w:color w:val="000000"/>
              </w:rPr>
            </w:pPr>
            <w:r>
              <w:rPr>
                <w:rFonts w:hint="eastAsia" w:ascii="宋体" w:hAnsi="宋体" w:eastAsia="宋体"/>
                <w:color w:val="000000"/>
              </w:rPr>
              <w:t>权重</w:t>
            </w:r>
          </w:p>
        </w:tc>
        <w:tc>
          <w:tcPr>
            <w:tcW w:w="3802" w:type="dxa"/>
            <w:shd w:val="clear" w:color="auto" w:fill="FFFFFF"/>
            <w:noWrap w:val="0"/>
            <w:vAlign w:val="center"/>
          </w:tcPr>
          <w:p w14:paraId="0226841E">
            <w:pPr>
              <w:pStyle w:val="40"/>
              <w:jc w:val="center"/>
              <w:rPr>
                <w:rFonts w:ascii="宋体" w:hAnsi="宋体" w:eastAsia="宋体"/>
                <w:color w:val="000000"/>
              </w:rPr>
            </w:pPr>
            <w:r>
              <w:rPr>
                <w:rFonts w:ascii="宋体" w:hAnsi="宋体" w:eastAsia="宋体"/>
                <w:color w:val="000000"/>
              </w:rPr>
              <w:t>考核/评价细则</w:t>
            </w:r>
          </w:p>
        </w:tc>
        <w:tc>
          <w:tcPr>
            <w:tcW w:w="1701" w:type="dxa"/>
            <w:shd w:val="clear" w:color="auto" w:fill="FFFFFF"/>
            <w:noWrap w:val="0"/>
            <w:vAlign w:val="center"/>
          </w:tcPr>
          <w:p w14:paraId="3C37463C">
            <w:pPr>
              <w:pStyle w:val="40"/>
              <w:jc w:val="center"/>
              <w:rPr>
                <w:rFonts w:ascii="宋体" w:hAnsi="宋体" w:eastAsia="宋体"/>
                <w:color w:val="000000"/>
              </w:rPr>
            </w:pPr>
            <w:r>
              <w:rPr>
                <w:rFonts w:ascii="宋体" w:hAnsi="宋体" w:eastAsia="宋体"/>
                <w:color w:val="000000"/>
              </w:rPr>
              <w:t>对应的毕业要求指标点</w:t>
            </w:r>
          </w:p>
        </w:tc>
      </w:tr>
      <w:tr w14:paraId="08CF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47" w:type="dxa"/>
            <w:vMerge w:val="restart"/>
            <w:noWrap w:val="0"/>
            <w:tcMar>
              <w:left w:w="57" w:type="dxa"/>
              <w:right w:w="57" w:type="dxa"/>
            </w:tcMar>
            <w:vAlign w:val="center"/>
          </w:tcPr>
          <w:p w14:paraId="7DBEABEA">
            <w:pPr>
              <w:pStyle w:val="40"/>
              <w:jc w:val="center"/>
              <w:rPr>
                <w:rFonts w:ascii="宋体" w:hAnsi="宋体" w:eastAsia="宋体"/>
                <w:color w:val="000000"/>
              </w:rPr>
            </w:pPr>
            <w:r>
              <w:rPr>
                <w:rFonts w:ascii="宋体" w:hAnsi="宋体" w:eastAsia="宋体"/>
                <w:color w:val="000000"/>
              </w:rPr>
              <w:t>平时成绩</w:t>
            </w:r>
          </w:p>
          <w:p w14:paraId="59D1379C">
            <w:pPr>
              <w:pStyle w:val="40"/>
              <w:jc w:val="center"/>
              <w:rPr>
                <w:rFonts w:ascii="宋体" w:hAnsi="宋体" w:eastAsia="宋体"/>
                <w:color w:val="000000"/>
              </w:rPr>
            </w:pPr>
            <w:r>
              <w:rPr>
                <w:rFonts w:ascii="宋体" w:hAnsi="宋体" w:eastAsia="宋体"/>
                <w:color w:val="000000"/>
              </w:rPr>
              <w:t>5</w:t>
            </w:r>
            <w:r>
              <w:rPr>
                <w:rFonts w:hint="eastAsia" w:ascii="宋体" w:hAnsi="宋体" w:eastAsia="宋体"/>
                <w:color w:val="000000"/>
              </w:rPr>
              <w:t>0%</w:t>
            </w:r>
          </w:p>
        </w:tc>
        <w:tc>
          <w:tcPr>
            <w:tcW w:w="1701" w:type="dxa"/>
            <w:noWrap w:val="0"/>
            <w:vAlign w:val="center"/>
          </w:tcPr>
          <w:p w14:paraId="3B6928A0">
            <w:pPr>
              <w:spacing w:line="276" w:lineRule="auto"/>
              <w:jc w:val="center"/>
              <w:rPr>
                <w:rFonts w:ascii="宋体" w:hAnsi="宋体"/>
                <w:color w:val="000000"/>
                <w:szCs w:val="21"/>
              </w:rPr>
            </w:pPr>
            <w:r>
              <w:rPr>
                <w:rFonts w:hint="eastAsia" w:ascii="宋体" w:hAnsi="宋体"/>
                <w:color w:val="000000"/>
                <w:szCs w:val="21"/>
              </w:rPr>
              <w:t>考勤</w:t>
            </w:r>
          </w:p>
        </w:tc>
        <w:tc>
          <w:tcPr>
            <w:tcW w:w="734" w:type="dxa"/>
            <w:noWrap w:val="0"/>
            <w:vAlign w:val="center"/>
          </w:tcPr>
          <w:p w14:paraId="1F5EDB80">
            <w:pPr>
              <w:pStyle w:val="40"/>
              <w:rPr>
                <w:rFonts w:ascii="宋体" w:hAnsi="宋体" w:eastAsia="宋体"/>
                <w:color w:val="000000"/>
              </w:rPr>
            </w:pPr>
            <w:r>
              <w:rPr>
                <w:rFonts w:hint="eastAsia" w:ascii="宋体" w:hAnsi="宋体" w:eastAsia="宋体"/>
                <w:color w:val="000000"/>
              </w:rPr>
              <w:t xml:space="preserve"> 15</w:t>
            </w:r>
            <w:r>
              <w:rPr>
                <w:rFonts w:ascii="宋体" w:hAnsi="宋体" w:eastAsia="宋体"/>
                <w:color w:val="000000"/>
              </w:rPr>
              <w:t>%</w:t>
            </w:r>
          </w:p>
        </w:tc>
        <w:tc>
          <w:tcPr>
            <w:tcW w:w="3802" w:type="dxa"/>
            <w:noWrap w:val="0"/>
            <w:vAlign w:val="center"/>
          </w:tcPr>
          <w:p w14:paraId="33E6E19B">
            <w:pPr>
              <w:spacing w:line="276" w:lineRule="auto"/>
              <w:rPr>
                <w:rFonts w:ascii="宋体" w:hAnsi="宋体"/>
                <w:color w:val="000000"/>
                <w:szCs w:val="21"/>
              </w:rPr>
            </w:pPr>
            <w:r>
              <w:rPr>
                <w:rFonts w:hint="eastAsia" w:ascii="宋体" w:hAnsi="宋体"/>
                <w:bCs/>
                <w:color w:val="000000"/>
                <w:kern w:val="24"/>
                <w:szCs w:val="21"/>
              </w:rPr>
              <w:t>随堂</w:t>
            </w:r>
            <w:r>
              <w:rPr>
                <w:rFonts w:ascii="宋体" w:hAnsi="宋体"/>
                <w:bCs/>
                <w:color w:val="000000"/>
                <w:kern w:val="24"/>
                <w:szCs w:val="21"/>
              </w:rPr>
              <w:t>不定期</w:t>
            </w:r>
            <w:r>
              <w:rPr>
                <w:rFonts w:hint="eastAsia" w:ascii="宋体" w:hAnsi="宋体"/>
                <w:bCs/>
                <w:color w:val="000000"/>
                <w:kern w:val="24"/>
                <w:szCs w:val="21"/>
              </w:rPr>
              <w:t>考勤，考核</w:t>
            </w:r>
            <w:r>
              <w:rPr>
                <w:rFonts w:hint="eastAsia" w:ascii="宋体" w:hAnsi="宋体"/>
                <w:color w:val="000000"/>
                <w:szCs w:val="21"/>
              </w:rPr>
              <w:t>能否按时到勤，旷课一次扣</w:t>
            </w:r>
            <w:r>
              <w:rPr>
                <w:rFonts w:ascii="宋体" w:hAnsi="宋体"/>
                <w:color w:val="000000"/>
                <w:szCs w:val="21"/>
              </w:rPr>
              <w:t>20</w:t>
            </w:r>
            <w:r>
              <w:rPr>
                <w:rFonts w:hint="eastAsia" w:ascii="宋体" w:hAnsi="宋体"/>
                <w:color w:val="000000"/>
                <w:szCs w:val="21"/>
              </w:rPr>
              <w:t>分，迟到与早退一次扣10分，请假一次扣5分；满分100分。</w:t>
            </w:r>
          </w:p>
        </w:tc>
        <w:tc>
          <w:tcPr>
            <w:tcW w:w="1701" w:type="dxa"/>
            <w:noWrap w:val="0"/>
            <w:vAlign w:val="center"/>
          </w:tcPr>
          <w:p w14:paraId="01CCA7B8">
            <w:pPr>
              <w:pStyle w:val="40"/>
              <w:jc w:val="center"/>
              <w:rPr>
                <w:rFonts w:ascii="宋体" w:hAnsi="宋体" w:eastAsia="宋体"/>
                <w:color w:val="000000"/>
              </w:rPr>
            </w:pPr>
            <w:r>
              <w:rPr>
                <w:rFonts w:hint="eastAsia"/>
                <w:color w:val="000000"/>
              </w:rPr>
              <w:t>7-1、8-3</w:t>
            </w:r>
          </w:p>
        </w:tc>
      </w:tr>
      <w:tr w14:paraId="456B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47" w:type="dxa"/>
            <w:vMerge w:val="continue"/>
            <w:noWrap w:val="0"/>
            <w:tcMar>
              <w:left w:w="57" w:type="dxa"/>
              <w:right w:w="57" w:type="dxa"/>
            </w:tcMar>
            <w:vAlign w:val="center"/>
          </w:tcPr>
          <w:p w14:paraId="7865BC41">
            <w:pPr>
              <w:pStyle w:val="40"/>
              <w:jc w:val="center"/>
              <w:rPr>
                <w:rFonts w:ascii="宋体" w:hAnsi="宋体" w:eastAsia="宋体"/>
                <w:color w:val="000000"/>
              </w:rPr>
            </w:pPr>
          </w:p>
        </w:tc>
        <w:tc>
          <w:tcPr>
            <w:tcW w:w="1701" w:type="dxa"/>
            <w:noWrap w:val="0"/>
            <w:vAlign w:val="center"/>
          </w:tcPr>
          <w:p w14:paraId="4244F111">
            <w:pPr>
              <w:spacing w:line="276" w:lineRule="auto"/>
              <w:jc w:val="center"/>
              <w:rPr>
                <w:rFonts w:ascii="宋体" w:hAnsi="宋体"/>
                <w:color w:val="000000"/>
                <w:szCs w:val="21"/>
              </w:rPr>
            </w:pPr>
            <w:r>
              <w:rPr>
                <w:rFonts w:hint="eastAsia" w:ascii="宋体" w:hAnsi="宋体"/>
                <w:color w:val="000000"/>
                <w:szCs w:val="21"/>
              </w:rPr>
              <w:t>课堂表现</w:t>
            </w:r>
          </w:p>
        </w:tc>
        <w:tc>
          <w:tcPr>
            <w:tcW w:w="734" w:type="dxa"/>
            <w:noWrap w:val="0"/>
            <w:vAlign w:val="center"/>
          </w:tcPr>
          <w:p w14:paraId="6FDFF725">
            <w:pPr>
              <w:pStyle w:val="40"/>
              <w:jc w:val="center"/>
              <w:rPr>
                <w:rFonts w:ascii="宋体" w:hAnsi="宋体" w:eastAsia="宋体"/>
                <w:color w:val="000000"/>
              </w:rPr>
            </w:pPr>
            <w:r>
              <w:rPr>
                <w:rFonts w:hint="eastAsia" w:ascii="宋体" w:hAnsi="宋体" w:eastAsia="宋体"/>
                <w:color w:val="000000"/>
              </w:rPr>
              <w:t>25</w:t>
            </w:r>
            <w:r>
              <w:rPr>
                <w:rFonts w:ascii="宋体" w:hAnsi="宋体" w:eastAsia="宋体"/>
                <w:color w:val="000000"/>
              </w:rPr>
              <w:t>%</w:t>
            </w:r>
          </w:p>
        </w:tc>
        <w:tc>
          <w:tcPr>
            <w:tcW w:w="3802" w:type="dxa"/>
            <w:noWrap w:val="0"/>
            <w:vAlign w:val="center"/>
          </w:tcPr>
          <w:p w14:paraId="41841339">
            <w:pPr>
              <w:spacing w:line="276" w:lineRule="auto"/>
              <w:jc w:val="left"/>
              <w:rPr>
                <w:rFonts w:ascii="宋体" w:hAnsi="宋体"/>
                <w:color w:val="000000"/>
                <w:szCs w:val="21"/>
              </w:rPr>
            </w:pPr>
            <w:r>
              <w:rPr>
                <w:rFonts w:hint="eastAsia" w:ascii="宋体" w:hAnsi="宋体"/>
                <w:bCs/>
                <w:color w:val="000000"/>
                <w:kern w:val="24"/>
                <w:szCs w:val="21"/>
              </w:rPr>
              <w:t>随堂记录学生学习态度，</w:t>
            </w:r>
            <w:r>
              <w:rPr>
                <w:rFonts w:ascii="宋体" w:hAnsi="宋体"/>
                <w:bCs/>
                <w:color w:val="000000"/>
                <w:kern w:val="24"/>
                <w:szCs w:val="21"/>
              </w:rPr>
              <w:t>听课的精神状态，</w:t>
            </w:r>
            <w:r>
              <w:rPr>
                <w:rFonts w:hint="eastAsia" w:ascii="宋体" w:hAnsi="宋体"/>
                <w:bCs/>
                <w:color w:val="000000"/>
                <w:kern w:val="24"/>
                <w:szCs w:val="21"/>
              </w:rPr>
              <w:t>参与教学情况；课堂</w:t>
            </w:r>
            <w:r>
              <w:rPr>
                <w:rFonts w:ascii="宋体" w:hAnsi="宋体"/>
                <w:bCs/>
                <w:color w:val="000000"/>
                <w:kern w:val="24"/>
                <w:szCs w:val="21"/>
              </w:rPr>
              <w:t>随机提问，考察学生</w:t>
            </w:r>
            <w:r>
              <w:rPr>
                <w:rFonts w:hint="eastAsia" w:ascii="宋体" w:hAnsi="宋体"/>
                <w:bCs/>
                <w:color w:val="000000"/>
                <w:kern w:val="24"/>
                <w:szCs w:val="21"/>
              </w:rPr>
              <w:t>对</w:t>
            </w:r>
            <w:r>
              <w:rPr>
                <w:rFonts w:ascii="宋体" w:hAnsi="宋体"/>
                <w:bCs/>
                <w:color w:val="000000"/>
                <w:kern w:val="24"/>
                <w:szCs w:val="21"/>
              </w:rPr>
              <w:t>当堂课程的掌握情况</w:t>
            </w:r>
            <w:r>
              <w:rPr>
                <w:rFonts w:hint="eastAsia" w:ascii="宋体" w:hAnsi="宋体"/>
                <w:bCs/>
                <w:color w:val="000000"/>
                <w:kern w:val="24"/>
                <w:szCs w:val="21"/>
              </w:rPr>
              <w:t>；</w:t>
            </w:r>
            <w:r>
              <w:rPr>
                <w:rFonts w:ascii="宋体" w:hAnsi="宋体"/>
                <w:bCs/>
                <w:color w:val="000000"/>
                <w:kern w:val="24"/>
                <w:szCs w:val="21"/>
              </w:rPr>
              <w:t>课堂</w:t>
            </w:r>
            <w:r>
              <w:rPr>
                <w:rFonts w:hint="eastAsia" w:ascii="宋体" w:hAnsi="宋体"/>
                <w:bCs/>
                <w:color w:val="000000"/>
                <w:kern w:val="24"/>
                <w:szCs w:val="21"/>
              </w:rPr>
              <w:t>陈述、讨论、</w:t>
            </w:r>
            <w:r>
              <w:rPr>
                <w:rFonts w:ascii="宋体" w:hAnsi="宋体"/>
                <w:bCs/>
                <w:color w:val="000000"/>
                <w:kern w:val="24"/>
                <w:szCs w:val="21"/>
              </w:rPr>
              <w:t>测试</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32C938FB">
            <w:pPr>
              <w:pStyle w:val="40"/>
              <w:jc w:val="center"/>
              <w:rPr>
                <w:rFonts w:ascii="宋体" w:hAnsi="宋体" w:eastAsia="宋体"/>
                <w:color w:val="000000"/>
              </w:rPr>
            </w:pPr>
            <w:r>
              <w:rPr>
                <w:rFonts w:hint="eastAsia"/>
                <w:color w:val="000000"/>
              </w:rPr>
              <w:t>7-1、8-3</w:t>
            </w:r>
          </w:p>
        </w:tc>
      </w:tr>
      <w:tr w14:paraId="1257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229ADDA5">
            <w:pPr>
              <w:pStyle w:val="40"/>
              <w:jc w:val="center"/>
              <w:rPr>
                <w:rFonts w:ascii="宋体" w:hAnsi="宋体" w:eastAsia="宋体"/>
                <w:color w:val="000000"/>
              </w:rPr>
            </w:pPr>
          </w:p>
        </w:tc>
        <w:tc>
          <w:tcPr>
            <w:tcW w:w="1701" w:type="dxa"/>
            <w:noWrap w:val="0"/>
            <w:vAlign w:val="center"/>
          </w:tcPr>
          <w:p w14:paraId="0887EC17">
            <w:pPr>
              <w:spacing w:line="276" w:lineRule="auto"/>
              <w:jc w:val="center"/>
              <w:rPr>
                <w:rFonts w:ascii="宋体" w:hAnsi="宋体"/>
                <w:color w:val="000000"/>
                <w:szCs w:val="21"/>
              </w:rPr>
            </w:pPr>
            <w:r>
              <w:rPr>
                <w:rFonts w:hint="eastAsia" w:ascii="宋体" w:hAnsi="宋体"/>
                <w:color w:val="000000"/>
                <w:szCs w:val="21"/>
              </w:rPr>
              <w:t>作业、测试</w:t>
            </w:r>
          </w:p>
        </w:tc>
        <w:tc>
          <w:tcPr>
            <w:tcW w:w="734" w:type="dxa"/>
            <w:noWrap w:val="0"/>
            <w:vAlign w:val="center"/>
          </w:tcPr>
          <w:p w14:paraId="27A2DC27">
            <w:pPr>
              <w:pStyle w:val="40"/>
              <w:jc w:val="center"/>
              <w:rPr>
                <w:rFonts w:ascii="宋体" w:hAnsi="宋体" w:eastAsia="宋体"/>
                <w:color w:val="000000"/>
              </w:rPr>
            </w:pPr>
            <w:r>
              <w:rPr>
                <w:rFonts w:hint="eastAsia" w:ascii="宋体" w:hAnsi="宋体" w:eastAsia="宋体"/>
                <w:color w:val="000000"/>
              </w:rPr>
              <w:t>15</w:t>
            </w:r>
            <w:r>
              <w:rPr>
                <w:rFonts w:ascii="宋体" w:hAnsi="宋体" w:eastAsia="宋体"/>
                <w:color w:val="000000"/>
              </w:rPr>
              <w:t>%</w:t>
            </w:r>
          </w:p>
        </w:tc>
        <w:tc>
          <w:tcPr>
            <w:tcW w:w="3802" w:type="dxa"/>
            <w:noWrap w:val="0"/>
            <w:vAlign w:val="center"/>
          </w:tcPr>
          <w:p w14:paraId="1B46B5C1">
            <w:pPr>
              <w:spacing w:line="276" w:lineRule="auto"/>
              <w:rPr>
                <w:rFonts w:ascii="宋体" w:hAnsi="宋体"/>
                <w:color w:val="000000"/>
                <w:szCs w:val="21"/>
              </w:rPr>
            </w:pPr>
            <w:r>
              <w:rPr>
                <w:rFonts w:hint="eastAsia" w:ascii="宋体" w:hAnsi="宋体"/>
                <w:bCs/>
                <w:color w:val="000000"/>
                <w:kern w:val="24"/>
                <w:szCs w:val="21"/>
              </w:rPr>
              <w:t>词汇单元练习、网络平台测试</w:t>
            </w:r>
            <w:r>
              <w:rPr>
                <w:rFonts w:ascii="宋体" w:hAnsi="宋体"/>
                <w:bCs/>
                <w:color w:val="000000"/>
                <w:kern w:val="24"/>
                <w:szCs w:val="21"/>
              </w:rPr>
              <w:t>，考核学生对</w:t>
            </w:r>
            <w:r>
              <w:rPr>
                <w:rFonts w:hint="eastAsia" w:ascii="宋体" w:hAnsi="宋体"/>
                <w:bCs/>
                <w:color w:val="000000"/>
                <w:kern w:val="24"/>
                <w:szCs w:val="21"/>
              </w:rPr>
              <w:t>单元</w:t>
            </w:r>
            <w:r>
              <w:rPr>
                <w:rFonts w:ascii="宋体" w:hAnsi="宋体"/>
                <w:bCs/>
                <w:color w:val="000000"/>
                <w:kern w:val="24"/>
                <w:szCs w:val="21"/>
              </w:rPr>
              <w:t>知识点的</w:t>
            </w:r>
            <w:r>
              <w:rPr>
                <w:rFonts w:hint="eastAsia" w:ascii="宋体" w:hAnsi="宋体"/>
                <w:bCs/>
                <w:color w:val="000000"/>
                <w:kern w:val="24"/>
                <w:szCs w:val="21"/>
              </w:rPr>
              <w:t>学习</w:t>
            </w:r>
            <w:r>
              <w:rPr>
                <w:rFonts w:ascii="宋体" w:hAnsi="宋体"/>
                <w:bCs/>
                <w:color w:val="000000"/>
                <w:kern w:val="24"/>
                <w:szCs w:val="21"/>
              </w:rPr>
              <w:t>、理解和掌握</w:t>
            </w:r>
            <w:r>
              <w:rPr>
                <w:rFonts w:hint="eastAsia" w:ascii="宋体" w:hAnsi="宋体"/>
                <w:bCs/>
                <w:color w:val="000000"/>
                <w:kern w:val="24"/>
                <w:szCs w:val="21"/>
              </w:rPr>
              <w:t>程度</w:t>
            </w:r>
            <w:r>
              <w:rPr>
                <w:rFonts w:ascii="宋体" w:hAnsi="宋体"/>
                <w:bCs/>
                <w:color w:val="000000"/>
                <w:kern w:val="24"/>
                <w:szCs w:val="21"/>
              </w:rPr>
              <w:t>。对每次作业</w:t>
            </w:r>
            <w:r>
              <w:rPr>
                <w:rFonts w:hint="eastAsia" w:ascii="宋体" w:hAnsi="宋体"/>
                <w:bCs/>
                <w:color w:val="000000"/>
                <w:kern w:val="24"/>
                <w:szCs w:val="21"/>
              </w:rPr>
              <w:t>、练习和测试</w:t>
            </w:r>
            <w:r>
              <w:rPr>
                <w:rFonts w:ascii="宋体" w:hAnsi="宋体"/>
                <w:bCs/>
                <w:color w:val="000000"/>
                <w:kern w:val="24"/>
                <w:szCs w:val="21"/>
              </w:rPr>
              <w:t>完成情况做记录并百分制打分</w:t>
            </w:r>
            <w:r>
              <w:rPr>
                <w:rFonts w:hint="eastAsia" w:ascii="宋体" w:hAnsi="宋体"/>
                <w:bCs/>
                <w:color w:val="000000"/>
                <w:kern w:val="24"/>
                <w:szCs w:val="21"/>
              </w:rPr>
              <w:t>，</w:t>
            </w:r>
            <w:r>
              <w:rPr>
                <w:rFonts w:ascii="宋体" w:hAnsi="宋体"/>
                <w:bCs/>
                <w:color w:val="000000"/>
                <w:kern w:val="24"/>
                <w:szCs w:val="21"/>
              </w:rPr>
              <w:t>计算全部作业的平均成绩</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5CCA0DF4">
            <w:pPr>
              <w:pStyle w:val="40"/>
              <w:jc w:val="center"/>
              <w:rPr>
                <w:rFonts w:ascii="宋体" w:hAnsi="宋体" w:eastAsia="宋体"/>
                <w:color w:val="000000"/>
              </w:rPr>
            </w:pPr>
            <w:r>
              <w:rPr>
                <w:rFonts w:hint="eastAsia"/>
                <w:color w:val="000000"/>
              </w:rPr>
              <w:t>7-1、8-3</w:t>
            </w:r>
          </w:p>
        </w:tc>
      </w:tr>
      <w:tr w14:paraId="2176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6CE43349">
            <w:pPr>
              <w:pStyle w:val="40"/>
              <w:jc w:val="center"/>
              <w:rPr>
                <w:rFonts w:ascii="宋体" w:hAnsi="宋体" w:eastAsia="宋体"/>
                <w:color w:val="000000"/>
              </w:rPr>
            </w:pPr>
          </w:p>
        </w:tc>
        <w:tc>
          <w:tcPr>
            <w:tcW w:w="1701" w:type="dxa"/>
            <w:noWrap w:val="0"/>
            <w:vAlign w:val="center"/>
          </w:tcPr>
          <w:p w14:paraId="38E9D8CA">
            <w:pPr>
              <w:spacing w:line="276" w:lineRule="auto"/>
              <w:jc w:val="center"/>
              <w:rPr>
                <w:rFonts w:hint="eastAsia" w:ascii="宋体" w:hAnsi="宋体"/>
                <w:color w:val="000000"/>
                <w:szCs w:val="21"/>
              </w:rPr>
            </w:pPr>
            <w:r>
              <w:rPr>
                <w:rFonts w:hint="eastAsia" w:ascii="宋体" w:hAnsi="宋体"/>
                <w:color w:val="000000"/>
                <w:szCs w:val="21"/>
              </w:rPr>
              <w:t>口语</w:t>
            </w:r>
          </w:p>
        </w:tc>
        <w:tc>
          <w:tcPr>
            <w:tcW w:w="734" w:type="dxa"/>
            <w:noWrap w:val="0"/>
            <w:vAlign w:val="center"/>
          </w:tcPr>
          <w:p w14:paraId="6F3AADDB">
            <w:pPr>
              <w:pStyle w:val="40"/>
              <w:jc w:val="center"/>
              <w:rPr>
                <w:rFonts w:hint="eastAsia" w:ascii="宋体" w:hAnsi="宋体" w:eastAsia="宋体"/>
                <w:color w:val="000000"/>
              </w:rPr>
            </w:pPr>
            <w:r>
              <w:rPr>
                <w:rFonts w:ascii="宋体" w:hAnsi="宋体" w:eastAsia="宋体"/>
                <w:color w:val="000000"/>
              </w:rPr>
              <w:t>1</w:t>
            </w:r>
            <w:r>
              <w:rPr>
                <w:rFonts w:hint="eastAsia" w:ascii="宋体" w:hAnsi="宋体" w:eastAsia="宋体"/>
                <w:color w:val="000000"/>
              </w:rPr>
              <w:t>0</w:t>
            </w:r>
            <w:r>
              <w:rPr>
                <w:rFonts w:ascii="宋体" w:hAnsi="宋体" w:eastAsia="宋体"/>
                <w:color w:val="000000"/>
              </w:rPr>
              <w:t>%</w:t>
            </w:r>
          </w:p>
        </w:tc>
        <w:tc>
          <w:tcPr>
            <w:tcW w:w="3802" w:type="dxa"/>
            <w:noWrap w:val="0"/>
            <w:vAlign w:val="center"/>
          </w:tcPr>
          <w:p w14:paraId="3F6901DE">
            <w:pPr>
              <w:spacing w:line="276" w:lineRule="auto"/>
              <w:rPr>
                <w:rFonts w:hint="eastAsia" w:ascii="宋体" w:hAnsi="宋体"/>
                <w:bCs/>
                <w:color w:val="000000"/>
                <w:kern w:val="24"/>
                <w:szCs w:val="21"/>
              </w:rPr>
            </w:pPr>
            <w:r>
              <w:rPr>
                <w:rFonts w:hint="eastAsia" w:ascii="宋体" w:hAnsi="宋体"/>
                <w:bCs/>
                <w:color w:val="000000"/>
                <w:kern w:val="24"/>
                <w:szCs w:val="21"/>
              </w:rPr>
              <w:t>随堂测试，口语测试需包括短文朗读、简短问答和情景对话，记录成绩；满分100分</w:t>
            </w:r>
            <w:r>
              <w:rPr>
                <w:rFonts w:ascii="宋体" w:hAnsi="宋体"/>
                <w:bCs/>
                <w:color w:val="000000"/>
                <w:kern w:val="24"/>
                <w:szCs w:val="21"/>
              </w:rPr>
              <w:t>。</w:t>
            </w:r>
          </w:p>
        </w:tc>
        <w:tc>
          <w:tcPr>
            <w:tcW w:w="1701" w:type="dxa"/>
            <w:noWrap w:val="0"/>
            <w:vAlign w:val="center"/>
          </w:tcPr>
          <w:p w14:paraId="02BAAE08">
            <w:pPr>
              <w:pStyle w:val="40"/>
              <w:jc w:val="center"/>
              <w:rPr>
                <w:rFonts w:hint="eastAsia" w:ascii="宋体" w:hAnsi="宋体" w:eastAsia="宋体"/>
                <w:bCs/>
                <w:color w:val="000000"/>
              </w:rPr>
            </w:pPr>
            <w:r>
              <w:rPr>
                <w:rFonts w:hint="eastAsia"/>
                <w:color w:val="000000"/>
              </w:rPr>
              <w:t>7-1、8-3</w:t>
            </w:r>
          </w:p>
        </w:tc>
      </w:tr>
      <w:tr w14:paraId="09D2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4D29D5F3">
            <w:pPr>
              <w:pStyle w:val="40"/>
              <w:jc w:val="center"/>
              <w:rPr>
                <w:rFonts w:ascii="宋体" w:hAnsi="宋体" w:eastAsia="宋体"/>
                <w:color w:val="000000"/>
              </w:rPr>
            </w:pPr>
          </w:p>
        </w:tc>
        <w:tc>
          <w:tcPr>
            <w:tcW w:w="1701" w:type="dxa"/>
            <w:noWrap w:val="0"/>
            <w:vAlign w:val="center"/>
          </w:tcPr>
          <w:p w14:paraId="5BC2ABCD">
            <w:pPr>
              <w:spacing w:line="276" w:lineRule="auto"/>
              <w:jc w:val="center"/>
              <w:rPr>
                <w:rFonts w:hint="eastAsia" w:ascii="宋体" w:hAnsi="宋体"/>
                <w:color w:val="000000"/>
                <w:szCs w:val="21"/>
              </w:rPr>
            </w:pPr>
            <w:r>
              <w:rPr>
                <w:rFonts w:hint="eastAsia" w:ascii="宋体" w:hAnsi="宋体"/>
                <w:bCs/>
                <w:color w:val="000000"/>
                <w:kern w:val="24"/>
                <w:szCs w:val="21"/>
              </w:rPr>
              <w:t>书面表达</w:t>
            </w:r>
          </w:p>
        </w:tc>
        <w:tc>
          <w:tcPr>
            <w:tcW w:w="734" w:type="dxa"/>
            <w:noWrap w:val="0"/>
            <w:vAlign w:val="center"/>
          </w:tcPr>
          <w:p w14:paraId="2066F8F5">
            <w:pPr>
              <w:pStyle w:val="40"/>
              <w:jc w:val="center"/>
              <w:rPr>
                <w:rFonts w:hint="eastAsia" w:ascii="宋体" w:hAnsi="宋体" w:eastAsia="宋体"/>
                <w:color w:val="000000"/>
              </w:rPr>
            </w:pPr>
            <w:r>
              <w:rPr>
                <w:rFonts w:hint="eastAsia" w:ascii="宋体" w:hAnsi="宋体" w:eastAsia="宋体"/>
                <w:color w:val="000000"/>
              </w:rPr>
              <w:t>1</w:t>
            </w:r>
            <w:r>
              <w:rPr>
                <w:rFonts w:ascii="宋体" w:hAnsi="宋体" w:eastAsia="宋体"/>
                <w:color w:val="000000"/>
              </w:rPr>
              <w:t>0%</w:t>
            </w:r>
          </w:p>
        </w:tc>
        <w:tc>
          <w:tcPr>
            <w:tcW w:w="3802" w:type="dxa"/>
            <w:noWrap w:val="0"/>
            <w:vAlign w:val="center"/>
          </w:tcPr>
          <w:p w14:paraId="12BCB526">
            <w:pPr>
              <w:spacing w:line="276" w:lineRule="auto"/>
              <w:rPr>
                <w:rFonts w:hint="eastAsia" w:ascii="宋体" w:hAnsi="宋体"/>
                <w:bCs/>
                <w:color w:val="000000"/>
                <w:kern w:val="24"/>
                <w:szCs w:val="21"/>
              </w:rPr>
            </w:pPr>
            <w:r>
              <w:rPr>
                <w:rFonts w:hint="eastAsia" w:ascii="宋体" w:hAnsi="宋体"/>
                <w:bCs/>
                <w:color w:val="000000"/>
                <w:kern w:val="24"/>
                <w:szCs w:val="21"/>
              </w:rPr>
              <w:t>不少于两次书面表达练习（书面表达练习由大学英语教学部统一命题并建立书面表达练习题库），记录成绩并百分制打分，计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w:t>
            </w:r>
            <w:r>
              <w:rPr>
                <w:rFonts w:ascii="宋体" w:hAnsi="宋体"/>
                <w:bCs/>
                <w:color w:val="000000"/>
                <w:kern w:val="24"/>
              </w:rPr>
              <w:t>100</w:t>
            </w:r>
            <w:r>
              <w:rPr>
                <w:rFonts w:hint="eastAsia" w:ascii="宋体" w:hAnsi="宋体"/>
                <w:bCs/>
                <w:color w:val="000000"/>
                <w:kern w:val="24"/>
                <w:szCs w:val="21"/>
              </w:rPr>
              <w:t>分</w:t>
            </w:r>
            <w:r>
              <w:rPr>
                <w:rFonts w:ascii="宋体" w:hAnsi="宋体"/>
                <w:bCs/>
                <w:color w:val="000000"/>
                <w:kern w:val="24"/>
                <w:szCs w:val="21"/>
              </w:rPr>
              <w:t>。</w:t>
            </w:r>
          </w:p>
        </w:tc>
        <w:tc>
          <w:tcPr>
            <w:tcW w:w="1701" w:type="dxa"/>
            <w:noWrap w:val="0"/>
            <w:vAlign w:val="center"/>
          </w:tcPr>
          <w:p w14:paraId="4AC9F482">
            <w:pPr>
              <w:pStyle w:val="40"/>
              <w:jc w:val="center"/>
              <w:rPr>
                <w:rFonts w:hint="eastAsia" w:ascii="宋体" w:hAnsi="宋体" w:eastAsia="宋体"/>
                <w:color w:val="000000"/>
              </w:rPr>
            </w:pPr>
            <w:r>
              <w:rPr>
                <w:rFonts w:hint="eastAsia"/>
                <w:color w:val="000000"/>
              </w:rPr>
              <w:t>7-1、8-3</w:t>
            </w:r>
          </w:p>
        </w:tc>
      </w:tr>
      <w:tr w14:paraId="6C47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61B8FD3F">
            <w:pPr>
              <w:pStyle w:val="40"/>
              <w:jc w:val="center"/>
              <w:rPr>
                <w:rFonts w:ascii="宋体" w:hAnsi="宋体" w:eastAsia="宋体"/>
                <w:color w:val="000000"/>
              </w:rPr>
            </w:pPr>
          </w:p>
        </w:tc>
        <w:tc>
          <w:tcPr>
            <w:tcW w:w="1701" w:type="dxa"/>
            <w:noWrap w:val="0"/>
            <w:vAlign w:val="center"/>
          </w:tcPr>
          <w:p w14:paraId="3E15B597">
            <w:pPr>
              <w:spacing w:line="276" w:lineRule="auto"/>
              <w:jc w:val="center"/>
              <w:rPr>
                <w:rFonts w:hint="eastAsia" w:ascii="宋体" w:hAnsi="宋体"/>
                <w:color w:val="000000"/>
                <w:szCs w:val="21"/>
              </w:rPr>
            </w:pPr>
            <w:r>
              <w:rPr>
                <w:rFonts w:hint="eastAsia" w:ascii="宋体" w:hAnsi="宋体"/>
                <w:color w:val="000000"/>
                <w:szCs w:val="21"/>
              </w:rPr>
              <w:t>翻译</w:t>
            </w:r>
          </w:p>
        </w:tc>
        <w:tc>
          <w:tcPr>
            <w:tcW w:w="734" w:type="dxa"/>
            <w:noWrap w:val="0"/>
            <w:vAlign w:val="center"/>
          </w:tcPr>
          <w:p w14:paraId="7E56B7E4">
            <w:pPr>
              <w:pStyle w:val="40"/>
              <w:jc w:val="center"/>
              <w:rPr>
                <w:rFonts w:hint="eastAsia" w:ascii="宋体" w:hAnsi="宋体" w:eastAsia="宋体"/>
                <w:color w:val="000000"/>
              </w:rPr>
            </w:pPr>
            <w:r>
              <w:rPr>
                <w:rFonts w:hint="eastAsia" w:ascii="宋体" w:hAnsi="宋体" w:eastAsia="宋体"/>
                <w:color w:val="000000"/>
              </w:rPr>
              <w:t>10</w:t>
            </w:r>
            <w:r>
              <w:rPr>
                <w:rFonts w:ascii="宋体" w:hAnsi="宋体" w:eastAsia="宋体"/>
                <w:color w:val="000000"/>
              </w:rPr>
              <w:t>%</w:t>
            </w:r>
          </w:p>
        </w:tc>
        <w:tc>
          <w:tcPr>
            <w:tcW w:w="3802" w:type="dxa"/>
            <w:noWrap w:val="0"/>
            <w:vAlign w:val="center"/>
          </w:tcPr>
          <w:p w14:paraId="3A457BAE">
            <w:pPr>
              <w:spacing w:line="276" w:lineRule="auto"/>
              <w:rPr>
                <w:rFonts w:hint="eastAsia" w:ascii="宋体" w:hAnsi="宋体"/>
                <w:bCs/>
                <w:color w:val="000000"/>
                <w:kern w:val="24"/>
                <w:szCs w:val="21"/>
              </w:rPr>
            </w:pPr>
            <w:r>
              <w:rPr>
                <w:rFonts w:hint="eastAsia" w:ascii="宋体" w:hAnsi="宋体"/>
                <w:bCs/>
                <w:color w:val="000000"/>
                <w:kern w:val="24"/>
                <w:szCs w:val="21"/>
              </w:rPr>
              <w:t>不少于两次翻译练习和一次班级随堂测试（翻译练习、测试题由大学英语教学部统一命题并建立翻译题库），记录成绩并百分制打分，计</w:t>
            </w:r>
            <w:r>
              <w:rPr>
                <w:rFonts w:ascii="宋体" w:hAnsi="宋体"/>
                <w:bCs/>
                <w:color w:val="000000"/>
                <w:kern w:val="24"/>
                <w:szCs w:val="21"/>
              </w:rPr>
              <w:t>算平均成绩</w:t>
            </w:r>
            <w:r>
              <w:rPr>
                <w:rFonts w:hint="eastAsia" w:ascii="宋体" w:hAnsi="宋体"/>
                <w:bCs/>
                <w:color w:val="000000"/>
                <w:kern w:val="24"/>
                <w:szCs w:val="21"/>
              </w:rPr>
              <w:t>；满分100分</w:t>
            </w:r>
            <w:r>
              <w:rPr>
                <w:rFonts w:ascii="宋体" w:hAnsi="宋体"/>
                <w:bCs/>
                <w:color w:val="000000"/>
                <w:kern w:val="24"/>
                <w:szCs w:val="21"/>
              </w:rPr>
              <w:t>。</w:t>
            </w:r>
          </w:p>
        </w:tc>
        <w:tc>
          <w:tcPr>
            <w:tcW w:w="1701" w:type="dxa"/>
            <w:noWrap w:val="0"/>
            <w:vAlign w:val="center"/>
          </w:tcPr>
          <w:p w14:paraId="63A3B918">
            <w:pPr>
              <w:pStyle w:val="40"/>
              <w:jc w:val="center"/>
              <w:rPr>
                <w:rFonts w:hint="eastAsia" w:ascii="宋体" w:hAnsi="宋体" w:eastAsia="宋体"/>
                <w:bCs/>
                <w:color w:val="000000"/>
              </w:rPr>
            </w:pPr>
            <w:r>
              <w:rPr>
                <w:rFonts w:hint="eastAsia"/>
                <w:color w:val="000000"/>
              </w:rPr>
              <w:t>7-1、8-3</w:t>
            </w:r>
          </w:p>
        </w:tc>
      </w:tr>
      <w:tr w14:paraId="53E3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47" w:type="dxa"/>
            <w:vMerge w:val="continue"/>
            <w:noWrap w:val="0"/>
            <w:tcMar>
              <w:left w:w="57" w:type="dxa"/>
              <w:right w:w="57" w:type="dxa"/>
            </w:tcMar>
            <w:vAlign w:val="center"/>
          </w:tcPr>
          <w:p w14:paraId="6EF668B1">
            <w:pPr>
              <w:pStyle w:val="40"/>
              <w:jc w:val="center"/>
              <w:rPr>
                <w:rFonts w:ascii="宋体" w:hAnsi="宋体" w:eastAsia="宋体"/>
                <w:color w:val="000000"/>
              </w:rPr>
            </w:pPr>
          </w:p>
        </w:tc>
        <w:tc>
          <w:tcPr>
            <w:tcW w:w="1701" w:type="dxa"/>
            <w:noWrap w:val="0"/>
            <w:vAlign w:val="center"/>
          </w:tcPr>
          <w:p w14:paraId="5F00F9FF">
            <w:pPr>
              <w:spacing w:line="276" w:lineRule="auto"/>
              <w:jc w:val="center"/>
              <w:rPr>
                <w:rFonts w:hint="eastAsia" w:ascii="宋体" w:hAnsi="宋体"/>
                <w:color w:val="000000"/>
                <w:szCs w:val="21"/>
              </w:rPr>
            </w:pPr>
            <w:r>
              <w:rPr>
                <w:rFonts w:hint="eastAsia" w:ascii="宋体" w:hAnsi="宋体"/>
                <w:color w:val="000000"/>
                <w:szCs w:val="21"/>
              </w:rPr>
              <w:t>第二课堂活动</w:t>
            </w:r>
          </w:p>
        </w:tc>
        <w:tc>
          <w:tcPr>
            <w:tcW w:w="734" w:type="dxa"/>
            <w:noWrap w:val="0"/>
            <w:vAlign w:val="center"/>
          </w:tcPr>
          <w:p w14:paraId="5514FF3C">
            <w:pPr>
              <w:pStyle w:val="40"/>
              <w:jc w:val="center"/>
              <w:rPr>
                <w:rFonts w:ascii="宋体" w:hAnsi="宋体" w:eastAsia="宋体"/>
                <w:color w:val="000000"/>
              </w:rPr>
            </w:pPr>
            <w:r>
              <w:rPr>
                <w:rFonts w:hint="eastAsia" w:ascii="宋体" w:hAnsi="宋体" w:eastAsia="宋体"/>
                <w:color w:val="000000"/>
              </w:rPr>
              <w:t>15%</w:t>
            </w:r>
          </w:p>
        </w:tc>
        <w:tc>
          <w:tcPr>
            <w:tcW w:w="3802" w:type="dxa"/>
            <w:noWrap w:val="0"/>
            <w:vAlign w:val="center"/>
          </w:tcPr>
          <w:p w14:paraId="0BA72162">
            <w:pPr>
              <w:spacing w:line="276" w:lineRule="auto"/>
              <w:rPr>
                <w:rFonts w:hint="eastAsia" w:ascii="宋体" w:hAnsi="宋体"/>
                <w:bCs/>
                <w:color w:val="000000"/>
                <w:kern w:val="24"/>
                <w:szCs w:val="21"/>
              </w:rPr>
            </w:pPr>
            <w:r>
              <w:rPr>
                <w:rFonts w:hint="eastAsia" w:ascii="宋体" w:hAnsi="宋体"/>
                <w:bCs/>
                <w:color w:val="000000"/>
                <w:kern w:val="24"/>
                <w:szCs w:val="21"/>
              </w:rPr>
              <w:t>基础分60分，参与英语类竞赛或大创项目每项加10分；竞赛获校级三等奖或参与大创项目获校级立项每项加</w:t>
            </w:r>
            <w:r>
              <w:rPr>
                <w:rFonts w:ascii="宋体" w:hAnsi="宋体"/>
                <w:bCs/>
                <w:color w:val="000000"/>
                <w:kern w:val="24"/>
                <w:szCs w:val="21"/>
              </w:rPr>
              <w:t>20</w:t>
            </w:r>
            <w:r>
              <w:rPr>
                <w:rFonts w:hint="eastAsia" w:ascii="宋体" w:hAnsi="宋体"/>
                <w:bCs/>
                <w:color w:val="000000"/>
                <w:kern w:val="24"/>
                <w:szCs w:val="21"/>
              </w:rPr>
              <w:t>分；竞赛获校级二等奖或大创项目获省级立项每项加30分；竞赛获校级一等奖及以上奖励或大创项目获国家级立项加40分（参与多项竞赛或大创项目分数可累加）；满分100分。</w:t>
            </w:r>
          </w:p>
        </w:tc>
        <w:tc>
          <w:tcPr>
            <w:tcW w:w="1701" w:type="dxa"/>
            <w:noWrap w:val="0"/>
            <w:vAlign w:val="center"/>
          </w:tcPr>
          <w:p w14:paraId="1EB0B7BC">
            <w:pPr>
              <w:pStyle w:val="40"/>
              <w:jc w:val="center"/>
              <w:rPr>
                <w:rFonts w:hint="eastAsia" w:ascii="宋体" w:hAnsi="宋体" w:eastAsia="宋体"/>
                <w:color w:val="000000"/>
              </w:rPr>
            </w:pPr>
            <w:r>
              <w:rPr>
                <w:rFonts w:hint="eastAsia"/>
                <w:color w:val="000000"/>
              </w:rPr>
              <w:t>7-1、8-3</w:t>
            </w:r>
          </w:p>
        </w:tc>
      </w:tr>
      <w:tr w14:paraId="1430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vMerge w:val="restart"/>
            <w:noWrap w:val="0"/>
            <w:tcMar>
              <w:left w:w="57" w:type="dxa"/>
              <w:right w:w="57" w:type="dxa"/>
            </w:tcMar>
            <w:vAlign w:val="center"/>
          </w:tcPr>
          <w:p w14:paraId="73545D0B">
            <w:pPr>
              <w:pStyle w:val="40"/>
              <w:jc w:val="center"/>
              <w:rPr>
                <w:rFonts w:ascii="宋体" w:hAnsi="宋体" w:eastAsia="宋体"/>
                <w:color w:val="000000"/>
              </w:rPr>
            </w:pPr>
            <w:r>
              <w:rPr>
                <w:rFonts w:ascii="宋体" w:hAnsi="宋体" w:eastAsia="宋体"/>
                <w:color w:val="000000"/>
              </w:rPr>
              <w:t>期末考试</w:t>
            </w:r>
          </w:p>
          <w:p w14:paraId="70EE7AF8">
            <w:pPr>
              <w:pStyle w:val="40"/>
              <w:jc w:val="center"/>
              <w:rPr>
                <w:rFonts w:ascii="宋体" w:hAnsi="宋体" w:eastAsia="宋体"/>
                <w:color w:val="000000"/>
              </w:rPr>
            </w:pPr>
            <w:r>
              <w:rPr>
                <w:rFonts w:hint="eastAsia" w:ascii="宋体" w:hAnsi="宋体" w:eastAsia="宋体"/>
                <w:color w:val="000000"/>
              </w:rPr>
              <w:t>50%</w:t>
            </w:r>
          </w:p>
        </w:tc>
        <w:tc>
          <w:tcPr>
            <w:tcW w:w="1701" w:type="dxa"/>
            <w:noWrap w:val="0"/>
            <w:vAlign w:val="center"/>
          </w:tcPr>
          <w:p w14:paraId="6E7A54BC">
            <w:pPr>
              <w:pStyle w:val="40"/>
              <w:jc w:val="center"/>
              <w:rPr>
                <w:rFonts w:ascii="宋体" w:hAnsi="宋体" w:eastAsia="宋体"/>
                <w:bCs/>
                <w:color w:val="000000"/>
                <w:kern w:val="24"/>
              </w:rPr>
            </w:pPr>
            <w:r>
              <w:rPr>
                <w:rFonts w:hint="eastAsia" w:ascii="宋体" w:hAnsi="宋体" w:eastAsia="宋体"/>
                <w:bCs/>
                <w:color w:val="000000"/>
                <w:kern w:val="24"/>
              </w:rPr>
              <w:t>书面表达考试</w:t>
            </w:r>
          </w:p>
        </w:tc>
        <w:tc>
          <w:tcPr>
            <w:tcW w:w="734" w:type="dxa"/>
            <w:noWrap w:val="0"/>
            <w:vAlign w:val="center"/>
          </w:tcPr>
          <w:p w14:paraId="25488E71">
            <w:pPr>
              <w:pStyle w:val="40"/>
              <w:jc w:val="center"/>
              <w:rPr>
                <w:rFonts w:ascii="宋体" w:hAnsi="宋体" w:eastAsia="宋体"/>
                <w:bCs/>
                <w:color w:val="000000"/>
                <w:kern w:val="24"/>
              </w:rPr>
            </w:pPr>
            <w:r>
              <w:rPr>
                <w:rFonts w:hint="eastAsia" w:ascii="宋体" w:hAnsi="宋体" w:eastAsia="宋体"/>
                <w:bCs/>
                <w:color w:val="000000"/>
                <w:kern w:val="24"/>
              </w:rPr>
              <w:t>20</w:t>
            </w:r>
            <w:r>
              <w:rPr>
                <w:rFonts w:ascii="宋体" w:hAnsi="宋体" w:eastAsia="宋体"/>
                <w:bCs/>
                <w:color w:val="000000"/>
                <w:kern w:val="24"/>
              </w:rPr>
              <w:t>%</w:t>
            </w:r>
          </w:p>
        </w:tc>
        <w:tc>
          <w:tcPr>
            <w:tcW w:w="3802" w:type="dxa"/>
            <w:noWrap w:val="0"/>
            <w:vAlign w:val="center"/>
          </w:tcPr>
          <w:p w14:paraId="42095532">
            <w:pPr>
              <w:pStyle w:val="40"/>
              <w:rPr>
                <w:rFonts w:ascii="宋体" w:hAnsi="宋体" w:eastAsia="宋体"/>
                <w:bCs/>
                <w:color w:val="000000"/>
                <w:kern w:val="24"/>
              </w:rPr>
            </w:pPr>
            <w:r>
              <w:rPr>
                <w:rFonts w:hint="eastAsia" w:ascii="宋体" w:hAnsi="宋体" w:eastAsia="宋体"/>
                <w:bCs/>
                <w:color w:val="000000"/>
                <w:kern w:val="24"/>
              </w:rPr>
              <w:t>书面表达试题由大学英语教学部统一命题并建立书面表达试题库），计入期考</w:t>
            </w:r>
            <w:r>
              <w:rPr>
                <w:rFonts w:ascii="宋体" w:hAnsi="宋体" w:eastAsia="宋体"/>
                <w:bCs/>
                <w:color w:val="000000"/>
                <w:kern w:val="24"/>
              </w:rPr>
              <w:t>成绩</w:t>
            </w:r>
            <w:r>
              <w:rPr>
                <w:rFonts w:hint="eastAsia" w:ascii="宋体" w:hAnsi="宋体" w:eastAsia="宋体"/>
                <w:bCs/>
                <w:color w:val="000000"/>
                <w:kern w:val="24"/>
              </w:rPr>
              <w:t>；卷面满分</w:t>
            </w:r>
            <w:r>
              <w:rPr>
                <w:rFonts w:ascii="宋体" w:hAnsi="宋体" w:eastAsia="宋体"/>
                <w:bCs/>
                <w:color w:val="000000"/>
                <w:kern w:val="24"/>
              </w:rPr>
              <w:t>20</w:t>
            </w:r>
            <w:r>
              <w:rPr>
                <w:rFonts w:hint="eastAsia" w:ascii="宋体" w:hAnsi="宋体" w:eastAsia="宋体"/>
                <w:bCs/>
                <w:color w:val="000000"/>
                <w:kern w:val="24"/>
              </w:rPr>
              <w:t>分</w:t>
            </w:r>
            <w:r>
              <w:rPr>
                <w:rFonts w:ascii="宋体" w:hAnsi="宋体" w:eastAsia="宋体"/>
                <w:bCs/>
                <w:color w:val="000000"/>
                <w:kern w:val="24"/>
              </w:rPr>
              <w:t>。</w:t>
            </w:r>
          </w:p>
        </w:tc>
        <w:tc>
          <w:tcPr>
            <w:tcW w:w="1701" w:type="dxa"/>
            <w:noWrap w:val="0"/>
            <w:vAlign w:val="center"/>
          </w:tcPr>
          <w:p w14:paraId="334644DC">
            <w:pPr>
              <w:pStyle w:val="40"/>
              <w:jc w:val="center"/>
              <w:rPr>
                <w:rFonts w:ascii="宋体" w:hAnsi="宋体" w:eastAsia="宋体"/>
                <w:color w:val="000000"/>
              </w:rPr>
            </w:pPr>
            <w:r>
              <w:rPr>
                <w:rFonts w:hint="eastAsia"/>
                <w:color w:val="000000"/>
              </w:rPr>
              <w:t>7-1、8-3</w:t>
            </w:r>
          </w:p>
        </w:tc>
      </w:tr>
      <w:tr w14:paraId="14FF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7" w:type="dxa"/>
            <w:vMerge w:val="continue"/>
            <w:noWrap w:val="0"/>
            <w:tcMar>
              <w:left w:w="57" w:type="dxa"/>
              <w:right w:w="57" w:type="dxa"/>
            </w:tcMar>
            <w:vAlign w:val="center"/>
          </w:tcPr>
          <w:p w14:paraId="7939082A">
            <w:pPr>
              <w:pStyle w:val="40"/>
              <w:jc w:val="center"/>
              <w:rPr>
                <w:rFonts w:ascii="宋体" w:hAnsi="宋体" w:eastAsia="宋体"/>
                <w:color w:val="000000"/>
              </w:rPr>
            </w:pPr>
          </w:p>
        </w:tc>
        <w:tc>
          <w:tcPr>
            <w:tcW w:w="1701" w:type="dxa"/>
            <w:noWrap w:val="0"/>
            <w:vAlign w:val="center"/>
          </w:tcPr>
          <w:p w14:paraId="05463C5E">
            <w:pPr>
              <w:pStyle w:val="40"/>
              <w:jc w:val="center"/>
              <w:rPr>
                <w:rFonts w:ascii="宋体" w:hAnsi="宋体" w:eastAsia="宋体"/>
                <w:color w:val="000000"/>
              </w:rPr>
            </w:pPr>
            <w:r>
              <w:rPr>
                <w:rFonts w:ascii="宋体" w:hAnsi="宋体" w:eastAsia="宋体"/>
                <w:color w:val="000000"/>
              </w:rPr>
              <w:t>期末考试</w:t>
            </w:r>
          </w:p>
        </w:tc>
        <w:tc>
          <w:tcPr>
            <w:tcW w:w="734" w:type="dxa"/>
            <w:noWrap w:val="0"/>
            <w:vAlign w:val="center"/>
          </w:tcPr>
          <w:p w14:paraId="70CADC6B">
            <w:pPr>
              <w:pStyle w:val="40"/>
              <w:jc w:val="center"/>
              <w:rPr>
                <w:rFonts w:hint="eastAsia" w:ascii="宋体" w:hAnsi="宋体" w:eastAsia="宋体"/>
                <w:color w:val="000000"/>
              </w:rPr>
            </w:pPr>
            <w:r>
              <w:rPr>
                <w:rFonts w:ascii="宋体" w:hAnsi="宋体" w:eastAsia="宋体"/>
                <w:color w:val="000000"/>
              </w:rPr>
              <w:t>8</w:t>
            </w:r>
            <w:r>
              <w:rPr>
                <w:rFonts w:hint="eastAsia" w:ascii="宋体" w:hAnsi="宋体" w:eastAsia="宋体"/>
                <w:color w:val="000000"/>
              </w:rPr>
              <w:t>0</w:t>
            </w:r>
            <w:r>
              <w:rPr>
                <w:rFonts w:ascii="宋体" w:hAnsi="宋体" w:eastAsia="宋体"/>
                <w:color w:val="000000"/>
              </w:rPr>
              <w:t>%</w:t>
            </w:r>
          </w:p>
        </w:tc>
        <w:tc>
          <w:tcPr>
            <w:tcW w:w="3802" w:type="dxa"/>
            <w:noWrap w:val="0"/>
            <w:vAlign w:val="center"/>
          </w:tcPr>
          <w:p w14:paraId="25D5E162">
            <w:pPr>
              <w:pStyle w:val="40"/>
              <w:rPr>
                <w:rFonts w:hint="eastAsia" w:ascii="宋体" w:hAnsi="宋体" w:eastAsia="宋体" w:cs="宋体"/>
                <w:bCs/>
                <w:color w:val="000000"/>
                <w:kern w:val="24"/>
              </w:rPr>
            </w:pPr>
            <w:r>
              <w:rPr>
                <w:rFonts w:hint="eastAsia" w:ascii="宋体" w:hAnsi="宋体" w:eastAsia="宋体" w:cs="宋体"/>
                <w:bCs/>
                <w:color w:val="000000"/>
                <w:kern w:val="24"/>
              </w:rPr>
              <w:t>期末考试题型包括听力理解、词汇与结构和</w:t>
            </w:r>
            <w:r>
              <w:rPr>
                <w:rFonts w:hint="eastAsia" w:ascii="宋体" w:hAnsi="宋体" w:eastAsia="宋体" w:cs="宋体"/>
                <w:color w:val="000000"/>
                <w:kern w:val="0"/>
              </w:rPr>
              <w:t>阅读理解</w:t>
            </w:r>
            <w:r>
              <w:rPr>
                <w:rFonts w:hint="eastAsia" w:ascii="宋体" w:hAnsi="宋体" w:eastAsia="宋体" w:cs="宋体"/>
                <w:bCs/>
                <w:color w:val="000000"/>
                <w:kern w:val="24"/>
              </w:rPr>
              <w:t>等（每次考核可能题型不同，以当次考核题型为准），计入期考成绩；卷面满分</w:t>
            </w:r>
            <w:r>
              <w:rPr>
                <w:rFonts w:ascii="宋体" w:hAnsi="宋体" w:eastAsia="宋体" w:cs="宋体"/>
                <w:bCs/>
                <w:color w:val="000000"/>
                <w:kern w:val="24"/>
              </w:rPr>
              <w:t>80</w:t>
            </w:r>
            <w:r>
              <w:rPr>
                <w:rFonts w:hint="eastAsia" w:ascii="宋体" w:hAnsi="宋体" w:eastAsia="宋体" w:cs="宋体"/>
                <w:bCs/>
                <w:color w:val="000000"/>
                <w:kern w:val="24"/>
              </w:rPr>
              <w:t>分。</w:t>
            </w:r>
          </w:p>
        </w:tc>
        <w:tc>
          <w:tcPr>
            <w:tcW w:w="1701" w:type="dxa"/>
            <w:noWrap w:val="0"/>
            <w:vAlign w:val="center"/>
          </w:tcPr>
          <w:p w14:paraId="0C3C4140">
            <w:pPr>
              <w:pStyle w:val="40"/>
              <w:jc w:val="center"/>
              <w:rPr>
                <w:rFonts w:hint="eastAsia" w:ascii="宋体" w:hAnsi="宋体" w:eastAsia="宋体"/>
                <w:color w:val="000000"/>
              </w:rPr>
            </w:pPr>
            <w:r>
              <w:rPr>
                <w:rFonts w:hint="eastAsia"/>
                <w:color w:val="000000"/>
              </w:rPr>
              <w:t>7-1、8-3</w:t>
            </w:r>
          </w:p>
        </w:tc>
      </w:tr>
    </w:tbl>
    <w:p w14:paraId="0C36C828">
      <w:pPr>
        <w:spacing w:line="240" w:lineRule="exact"/>
        <w:ind w:firstLine="301" w:firstLineChars="200"/>
        <w:rPr>
          <w:rFonts w:hint="eastAsia"/>
          <w:b/>
          <w:color w:val="000000"/>
          <w:sz w:val="15"/>
          <w:szCs w:val="15"/>
        </w:rPr>
      </w:pPr>
    </w:p>
    <w:p w14:paraId="2BF84344">
      <w:pPr>
        <w:spacing w:line="360" w:lineRule="auto"/>
        <w:ind w:firstLine="422" w:firstLineChars="200"/>
        <w:rPr>
          <w:rFonts w:hint="eastAsia"/>
          <w:b/>
          <w:color w:val="000000"/>
          <w:szCs w:val="21"/>
        </w:rPr>
      </w:pPr>
      <w:r>
        <w:rPr>
          <w:rFonts w:hint="eastAsia"/>
          <w:b/>
          <w:color w:val="000000"/>
          <w:szCs w:val="21"/>
        </w:rPr>
        <w:t>（三）课程目标达成度计算方法</w:t>
      </w:r>
    </w:p>
    <w:p w14:paraId="74E338EA">
      <w:pPr>
        <w:spacing w:line="400" w:lineRule="exact"/>
        <w:ind w:firstLine="420" w:firstLineChars="200"/>
        <w:jc w:val="left"/>
        <w:rPr>
          <w:rFonts w:hint="eastAsia"/>
        </w:rPr>
      </w:pPr>
      <w:r>
        <w:rPr>
          <w:rFonts w:hint="eastAsia"/>
        </w:rPr>
        <w:t>所有课程目标均需大于等于0.6，否则总评成绩不及格，需要补考或重修，每门课程目标总体达成度计算方法如下：</w:t>
      </w:r>
    </w:p>
    <w:p w14:paraId="12BEF25D">
      <w:pPr>
        <w:spacing w:line="360" w:lineRule="auto"/>
        <w:jc w:val="left"/>
        <w:rPr>
          <w:rFonts w:hint="eastAsia"/>
          <w:iCs/>
        </w:rPr>
      </w:pPr>
      <w:r>
        <w:rPr>
          <w:iCs/>
        </w:rPr>
        <w:t>课程目标达成度</w:t>
      </w:r>
      <w:r>
        <w:rPr>
          <w:iCs/>
        </w:rPr>
        <w:fldChar w:fldCharType="begin"/>
      </w:r>
      <w:r>
        <w:rPr>
          <w:iCs/>
        </w:rPr>
        <w:instrText xml:space="preserve"> QUOTE </w:instrText>
      </w:r>
      <w:r>
        <w:rPr>
          <w:rFonts w:hint="eastAsia"/>
          <w:position w:val="-23"/>
        </w:rPr>
        <w:pict>
          <v:shape id="_x0000_i1049" o:spt="75" type="#_x0000_t75" style="height:31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47E7&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3047E7&quot; wsp:rsidP=&quot;003047E7&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instrText xml:space="preserve"> </w:instrText>
      </w:r>
      <w:r>
        <w:rPr>
          <w:iCs/>
        </w:rPr>
        <w:fldChar w:fldCharType="separate"/>
      </w:r>
      <w:r>
        <w:rPr>
          <w:rFonts w:hint="eastAsia"/>
          <w:position w:val="-23"/>
        </w:rPr>
        <w:pict>
          <v:shape id="_x0000_i1050" o:spt="75" type="#_x0000_t75" style="height:30pt;width:338.9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47E7&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3047E7&quot; wsp:rsidP=&quot;003047E7&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fldChar w:fldCharType="end"/>
      </w:r>
      <w:r>
        <w:rPr>
          <w:iCs/>
        </w:rPr>
        <w:fldChar w:fldCharType="begin"/>
      </w:r>
      <w:r>
        <w:rPr>
          <w:iCs/>
        </w:rPr>
        <w:instrText xml:space="preserve"> QUOTE </w:instrText>
      </w:r>
      <w:r>
        <w:rPr>
          <w:rFonts w:hint="eastAsia"/>
          <w:position w:val="-23"/>
        </w:rPr>
        <w:pict>
          <v:shape id="_x0000_i1051" o:spt="75" type="#_x0000_t75" style="height:31pt;width:34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E2671&quot;/&gt;&lt;wsp:rsid wsp:val=&quot;00000D68&quot;/&gt;&lt;wsp:rsid wsp:val=&quot;00021840&quot;/&gt;&lt;wsp:rsid wsp:val=&quot;00023A89&quot;/&gt;&lt;wsp:rsid wsp:val=&quot;000328FA&quot;/&gt;&lt;wsp:rsid wsp:val=&quot;00045B7D&quot;/&gt;&lt;wsp:rsid wsp:val=&quot;00046BEB&quot;/&gt;&lt;wsp:rsid wsp:val=&quot;00076DFB&quot;/&gt;&lt;wsp:rsid wsp:val=&quot;000810E7&quot;/&gt;&lt;wsp:rsid wsp:val=&quot;000B129A&quot;/&gt;&lt;wsp:rsid wsp:val=&quot;000C4807&quot;/&gt;&lt;wsp:rsid wsp:val=&quot;000F3C52&quot;/&gt;&lt;wsp:rsid wsp:val=&quot;000F5186&quot;/&gt;&lt;wsp:rsid wsp:val=&quot;00123EE2&quot;/&gt;&lt;wsp:rsid wsp:val=&quot;00157269&quot;/&gt;&lt;wsp:rsid wsp:val=&quot;001747D7&quot;/&gt;&lt;wsp:rsid wsp:val=&quot;00195046&quot;/&gt;&lt;wsp:rsid wsp:val=&quot;001A33B4&quot;/&gt;&lt;wsp:rsid wsp:val=&quot;001B324C&quot;/&gt;&lt;wsp:rsid wsp:val=&quot;001C5D7B&quot;/&gt;&lt;wsp:rsid wsp:val=&quot;001F122C&quot;/&gt;&lt;wsp:rsid wsp:val=&quot;0023120E&quot;/&gt;&lt;wsp:rsid wsp:val=&quot;00250DF0&quot;/&gt;&lt;wsp:rsid wsp:val=&quot;0025300A&quot;/&gt;&lt;wsp:rsid wsp:val=&quot;0026207E&quot;/&gt;&lt;wsp:rsid wsp:val=&quot;00267379&quot;/&gt;&lt;wsp:rsid wsp:val=&quot;00272DFA&quot;/&gt;&lt;wsp:rsid wsp:val=&quot;00274F5C&quot;/&gt;&lt;wsp:rsid wsp:val=&quot;002B04E4&quot;/&gt;&lt;wsp:rsid wsp:val=&quot;002B1D68&quot;/&gt;&lt;wsp:rsid wsp:val=&quot;002C0AAF&quot;/&gt;&lt;wsp:rsid wsp:val=&quot;002C4336&quot;/&gt;&lt;wsp:rsid wsp:val=&quot;00305B16&quot;/&gt;&lt;wsp:rsid wsp:val=&quot;00323816&quot;/&gt;&lt;wsp:rsid wsp:val=&quot;00383298&quot;/&gt;&lt;wsp:rsid wsp:val=&quot;00392619&quot;/&gt;&lt;wsp:rsid wsp:val=&quot;003D6C8C&quot;/&gt;&lt;wsp:rsid wsp:val=&quot;003F1A53&quot;/&gt;&lt;wsp:rsid wsp:val=&quot;003F3566&quot;/&gt;&lt;wsp:rsid wsp:val=&quot;00401B33&quot;/&gt;&lt;wsp:rsid wsp:val=&quot;0041676B&quot;/&gt;&lt;wsp:rsid wsp:val=&quot;004212BA&quot;/&gt;&lt;wsp:rsid wsp:val=&quot;00426E34&quot;/&gt;&lt;wsp:rsid wsp:val=&quot;00430357&quot;/&gt;&lt;wsp:rsid wsp:val=&quot;00442ECF&quot;/&gt;&lt;wsp:rsid wsp:val=&quot;0044430C&quot;/&gt;&lt;wsp:rsid wsp:val=&quot;00451E81&quot;/&gt;&lt;wsp:rsid wsp:val=&quot;00453ABA&quot;/&gt;&lt;wsp:rsid wsp:val=&quot;00457FDA&quot;/&gt;&lt;wsp:rsid wsp:val=&quot;0047053E&quot;/&gt;&lt;wsp:rsid wsp:val=&quot;00486244&quot;/&gt;&lt;wsp:rsid wsp:val=&quot;00496BA7&quot;/&gt;&lt;wsp:rsid wsp:val=&quot;004D26B8&quot;/&gt;&lt;wsp:rsid wsp:val=&quot;004D6702&quot;/&gt;&lt;wsp:rsid wsp:val=&quot;005125F4&quot;/&gt;&lt;wsp:rsid wsp:val=&quot;0052394B&quot;/&gt;&lt;wsp:rsid wsp:val=&quot;005411FB&quot;/&gt;&lt;wsp:rsid wsp:val=&quot;00544A30&quot;/&gt;&lt;wsp:rsid wsp:val=&quot;00564D4C&quot;/&gt;&lt;wsp:rsid wsp:val=&quot;00573FCE&quot;/&gt;&lt;wsp:rsid wsp:val=&quot;005805C5&quot;/&gt;&lt;wsp:rsid wsp:val=&quot;0059538E&quot;/&gt;&lt;wsp:rsid wsp:val=&quot;005C3062&quot;/&gt;&lt;wsp:rsid wsp:val=&quot;005C39AD&quot;/&gt;&lt;wsp:rsid wsp:val=&quot;005C6B03&quot;/&gt;&lt;wsp:rsid wsp:val=&quot;005D35C8&quot;/&gt;&lt;wsp:rsid wsp:val=&quot;005E10C8&quot;/&gt;&lt;wsp:rsid wsp:val=&quot;00621B52&quot;/&gt;&lt;wsp:rsid wsp:val=&quot;00636CEE&quot;/&gt;&lt;wsp:rsid wsp:val=&quot;00653F28&quot;/&gt;&lt;wsp:rsid wsp:val=&quot;0065506C&quot;/&gt;&lt;wsp:rsid wsp:val=&quot;00656ED0&quot;/&gt;&lt;wsp:rsid wsp:val=&quot;00665416&quot;/&gt;&lt;wsp:rsid wsp:val=&quot;006A3858&quot;/&gt;&lt;wsp:rsid wsp:val=&quot;006B1BC1&quot;/&gt;&lt;wsp:rsid wsp:val=&quot;006B721F&quot;/&gt;&lt;wsp:rsid wsp:val=&quot;006C078E&quot;/&gt;&lt;wsp:rsid wsp:val=&quot;006C6D00&quot;/&gt;&lt;wsp:rsid wsp:val=&quot;006D6052&quot;/&gt;&lt;wsp:rsid wsp:val=&quot;0071048D&quot;/&gt;&lt;wsp:rsid wsp:val=&quot;007361F6&quot;/&gt;&lt;wsp:rsid wsp:val=&quot;0074443D&quot;/&gt;&lt;wsp:rsid wsp:val=&quot;00754DFC&quot;/&gt;&lt;wsp:rsid wsp:val=&quot;007733B4&quot;/&gt;&lt;wsp:rsid wsp:val=&quot;007A42D0&quot;/&gt;&lt;wsp:rsid wsp:val=&quot;007C13B3&quot;/&gt;&lt;wsp:rsid wsp:val=&quot;007D06FF&quot;/&gt;&lt;wsp:rsid wsp:val=&quot;007D2919&quot;/&gt;&lt;wsp:rsid wsp:val=&quot;007F7D33&quot;/&gt;&lt;wsp:rsid wsp:val=&quot;008162B3&quot;/&gt;&lt;wsp:rsid wsp:val=&quot;008202B6&quot;/&gt;&lt;wsp:rsid wsp:val=&quot;0085362D&quot;/&gt;&lt;wsp:rsid wsp:val=&quot;008659B2&quot;/&gt;&lt;wsp:rsid wsp:val=&quot;008740B7&quot;/&gt;&lt;wsp:rsid wsp:val=&quot;0087490D&quot;/&gt;&lt;wsp:rsid wsp:val=&quot;00887649&quot;/&gt;&lt;wsp:rsid wsp:val=&quot;00897F15&quot;/&gt;&lt;wsp:rsid wsp:val=&quot;008A404E&quot;/&gt;&lt;wsp:rsid wsp:val=&quot;008B1650&quot;/&gt;&lt;wsp:rsid wsp:val=&quot;008F48E5&quot;/&gt;&lt;wsp:rsid wsp:val=&quot;008F786F&quot;/&gt;&lt;wsp:rsid wsp:val=&quot;008F7A7A&quot;/&gt;&lt;wsp:rsid wsp:val=&quot;00903BDB&quot;/&gt;&lt;wsp:rsid wsp:val=&quot;00922888&quot;/&gt;&lt;wsp:rsid wsp:val=&quot;009400DE&quot;/&gt;&lt;wsp:rsid wsp:val=&quot;0094757C&quot;/&gt;&lt;wsp:rsid wsp:val=&quot;00990B65&quot;/&gt;&lt;wsp:rsid wsp:val=&quot;009924ED&quot;/&gt;&lt;wsp:rsid wsp:val=&quot;009935F0&quot;/&gt;&lt;wsp:rsid wsp:val=&quot;009A762B&quot;/&gt;&lt;wsp:rsid wsp:val=&quot;009C01AB&quot;/&gt;&lt;wsp:rsid wsp:val=&quot;009D161D&quot;/&gt;&lt;wsp:rsid wsp:val=&quot;009E64B1&quot;/&gt;&lt;wsp:rsid wsp:val=&quot;00A03F13&quot;/&gt;&lt;wsp:rsid wsp:val=&quot;00A06C69&quot;/&gt;&lt;wsp:rsid wsp:val=&quot;00A112EA&quot;/&gt;&lt;wsp:rsid wsp:val=&quot;00A14AD0&quot;/&gt;&lt;wsp:rsid wsp:val=&quot;00A25AF7&quot;/&gt;&lt;wsp:rsid wsp:val=&quot;00A27D96&quot;/&gt;&lt;wsp:rsid wsp:val=&quot;00A31564&quot;/&gt;&lt;wsp:rsid wsp:val=&quot;00A40C6D&quot;/&gt;&lt;wsp:rsid wsp:val=&quot;00A7795D&quot;/&gt;&lt;wsp:rsid wsp:val=&quot;00A906DF&quot;/&gt;&lt;wsp:rsid wsp:val=&quot;00AA0335&quot;/&gt;&lt;wsp:rsid wsp:val=&quot;00AA7569&quot;/&gt;&lt;wsp:rsid wsp:val=&quot;00AE2671&quot;/&gt;&lt;wsp:rsid wsp:val=&quot;00AE3314&quot;/&gt;&lt;wsp:rsid wsp:val=&quot;00AE704D&quot;/&gt;&lt;wsp:rsid wsp:val=&quot;00AF6169&quot;/&gt;&lt;wsp:rsid wsp:val=&quot;00B26561&quot;/&gt;&lt;wsp:rsid wsp:val=&quot;00B45383&quot;/&gt;&lt;wsp:rsid wsp:val=&quot;00B707D7&quot;/&gt;&lt;wsp:rsid wsp:val=&quot;00B87934&quot;/&gt;&lt;wsp:rsid wsp:val=&quot;00B92640&quot;/&gt;&lt;wsp:rsid wsp:val=&quot;00BA0175&quot;/&gt;&lt;wsp:rsid wsp:val=&quot;00BA49F1&quot;/&gt;&lt;wsp:rsid wsp:val=&quot;00BA6A3C&quot;/&gt;&lt;wsp:rsid wsp:val=&quot;00BB0111&quot;/&gt;&lt;wsp:rsid wsp:val=&quot;00BD74E4&quot;/&gt;&lt;wsp:rsid wsp:val=&quot;00C15099&quot;/&gt;&lt;wsp:rsid wsp:val=&quot;00C21834&quot;/&gt;&lt;wsp:rsid wsp:val=&quot;00C23B68&quot;/&gt;&lt;wsp:rsid wsp:val=&quot;00C35EE3&quot;/&gt;&lt;wsp:rsid wsp:val=&quot;00C73234&quot;/&gt;&lt;wsp:rsid wsp:val=&quot;00CA4CAD&quot;/&gt;&lt;wsp:rsid wsp:val=&quot;00CA6746&quot;/&gt;&lt;wsp:rsid wsp:val=&quot;00CC2309&quot;/&gt;&lt;wsp:rsid wsp:val=&quot;00CD09C2&quot;/&gt;&lt;wsp:rsid wsp:val=&quot;00CE3487&quot;/&gt;&lt;wsp:rsid wsp:val=&quot;00D12117&quot;/&gt;&lt;wsp:rsid wsp:val=&quot;00D16F0D&quot;/&gt;&lt;wsp:rsid wsp:val=&quot;00D340A9&quot;/&gt;&lt;wsp:rsid wsp:val=&quot;00D35878&quot;/&gt;&lt;wsp:rsid wsp:val=&quot;00D55544&quot;/&gt;&lt;wsp:rsid wsp:val=&quot;00D55BB9&quot;/&gt;&lt;wsp:rsid wsp:val=&quot;00D81BFE&quot;/&gt;&lt;wsp:rsid wsp:val=&quot;00D87F28&quot;/&gt;&lt;wsp:rsid wsp:val=&quot;00D87F9A&quot;/&gt;&lt;wsp:rsid wsp:val=&quot;00DA15AB&quot;/&gt;&lt;wsp:rsid wsp:val=&quot;00DA5FD1&quot;/&gt;&lt;wsp:rsid wsp:val=&quot;00DB5EBA&quot;/&gt;&lt;wsp:rsid wsp:val=&quot;00DC5DF1&quot;/&gt;&lt;wsp:rsid wsp:val=&quot;00DE0510&quot;/&gt;&lt;wsp:rsid wsp:val=&quot;00DE4A5E&quot;/&gt;&lt;wsp:rsid wsp:val=&quot;00DE56F0&quot;/&gt;&lt;wsp:rsid wsp:val=&quot;00E07E6A&quot;/&gt;&lt;wsp:rsid wsp:val=&quot;00E17F01&quot;/&gt;&lt;wsp:rsid wsp:val=&quot;00E21127&quot;/&gt;&lt;wsp:rsid wsp:val=&quot;00E25081&quot;/&gt;&lt;wsp:rsid wsp:val=&quot;00E45239&quot;/&gt;&lt;wsp:rsid wsp:val=&quot;00E52D0A&quot;/&gt;&lt;wsp:rsid wsp:val=&quot;00EB029A&quot;/&gt;&lt;wsp:rsid wsp:val=&quot;00EB0540&quot;/&gt;&lt;wsp:rsid wsp:val=&quot;00EC127B&quot;/&gt;&lt;wsp:rsid wsp:val=&quot;00ED3AB5&quot;/&gt;&lt;wsp:rsid wsp:val=&quot;00ED7869&quot;/&gt;&lt;wsp:rsid wsp:val=&quot;00ED7B30&quot;/&gt;&lt;wsp:rsid wsp:val=&quot;00EE758E&quot;/&gt;&lt;wsp:rsid wsp:val=&quot;00F26D31&quot;/&gt;&lt;wsp:rsid wsp:val=&quot;00F30E36&quot;/&gt;&lt;wsp:rsid wsp:val=&quot;00F430AA&quot;/&gt;&lt;wsp:rsid wsp:val=&quot;00F52029&quot;/&gt;&lt;wsp:rsid wsp:val=&quot;00F545E1&quot;/&gt;&lt;wsp:rsid wsp:val=&quot;00F569B9&quot;/&gt;&lt;wsp:rsid wsp:val=&quot;00F974FE&quot;/&gt;&lt;wsp:rsid wsp:val=&quot;00FA28B7&quot;/&gt;&lt;wsp:rsid wsp:val=&quot;171B4C98&quot;/&gt;&lt;wsp:rsid wsp:val=&quot;1DA06A09&quot;/&gt;&lt;wsp:rsid wsp:val=&quot;246E5C96&quot;/&gt;&lt;wsp:rsid wsp:val=&quot;248701A2&quot;/&gt;&lt;wsp:rsid wsp:val=&quot;262E04EE&quot;/&gt;&lt;wsp:rsid wsp:val=&quot;2BC46505&quot;/&gt;&lt;wsp:rsid wsp:val=&quot;354E20D1&quot;/&gt;&lt;wsp:rsid wsp:val=&quot;4FE15350&quot;/&gt;&lt;wsp:rsid wsp:val=&quot;51891295&quot;/&gt;&lt;wsp:rsid wsp:val=&quot;52214582&quot;/&gt;&lt;wsp:rsid wsp:val=&quot;5A035CA1&quot;/&gt;&lt;wsp:rsid wsp:val=&quot;669F0592&quot;/&gt;&lt;wsp:rsid wsp:val=&quot;68477D68&quot;/&gt;&lt;wsp:rsid wsp:val=&quot;72675A3A&quot;/&gt;&lt;wsp:rsid wsp:val=&quot;72EF1F4C&quot;/&gt;&lt;wsp:rsid wsp:val=&quot;79752D32&quot;/&gt;&lt;wsp:rsid wsp:val=&quot;7DB80C79&quot;/&gt;&lt;/wsp:rsids&gt;&lt;/w:docPr&gt;&lt;w:body&gt;&lt;wx:sect&gt;&lt;w:p wsp:rsidR=&quot;00000000&quot; wsp:rsidRDefault=&quot;00653F28&quot; wsp:rsidP=&quot;00653F28&quot;&gt;&lt;m:oMathPara&gt;&lt;m:oMath&gt;&lt;m:r&gt;&lt;w:rPr&gt;&lt;w:rFonts w:ascii=&quot;Cambria Math&quot; w:h-ansi=&quot;Cambria Math&quot;/&gt;&lt;wx:font wx:val=&quot;Cambria Math&quot;/&gt;&lt;w:i/&gt;&lt;/w:rPr&gt;&lt;m:t&gt;=&lt;/m:t&gt;&lt;/m:r&gt;&lt;m:nary&gt;&lt;m:naryPr&gt;&lt;m:chr m:val=&quot;∑&quot;/&gt;&lt;m:limLoc m:val=&quot;undOvr&quot;/&gt;&lt;m:subHide m:val=&quot;1&quot;/&gt;&lt;m:supHide m:val=&quot;1&quot;/&gt;&lt;m:ctrlPr&gt;&lt;w:rPr&gt;&lt;w:rFonts w:ascii=&quot;Cambria Math&quot; w:h-ansi=&quot;Cambria Math&quot;/&gt;&lt;wx:font wx:val=&quot;Cambria Math&quot;/&gt;&lt;w:i/&gt;&lt;/w:rPr&gt;&lt;/m:ctrlPr&gt;&lt;/m:naryPr&gt;&lt;m:sub/&gt;&lt;m:sup/&gt;&lt;m:e&gt;&lt;m:r&gt;&lt;m:rPr&gt;&lt;m:sty m:val=&quot;p&quot;/&gt;&lt;/m:rPr&gt;&lt;w:rPr&gt;&lt;w:rFonts w:ascii=&quot;Cambria Math&quot; w:h-ansi=&quot;Cambria Math&quot; w:hint=&quot;fareast&quot;/&gt;&lt;wx:font wx:val=&quot;宋体&quot;/&gt;&lt;/w:rPr&gt;&lt;m:t&gt;课程子目标的权重值（&lt;/m:t&gt;&lt;/m:r&gt;&lt;m:r&gt;&lt;m:rPr&gt;&lt;m:sty m:val=&quot;p&quot;/&gt;&lt;/m:rPr&gt;&lt;w:rPr&gt;&lt;w:rFonts w:ascii=&quot;Cambria Math&quot; w:h-ansi=&quot;Cambria Math&quot; w:hint=&quot;fareast&quot;/&gt;&lt;wx:font wx:val=&quot;Cambria Math&quot;/&gt;&lt;/w:rPr&gt;&lt;m:t&gt;a&lt;/m:t&gt;&lt;/m:r&gt;&lt;m:r&gt;&lt;m:rPr&gt;&lt;m:sty m:val=&quot;p&quot;/&gt;&lt;/m:rPr&gt;&lt;w:rPr&gt;&lt;w:rFonts w:ascii=&quot;Cambria Math&quot; w:h-ansi=&quot;Cambria Math&quot; w:hint=&quot;fareast&quot;/&gt;&lt;wx:font wx:val=&quot;宋体&quot;/&gt;&lt;/w:rPr&gt;&lt;m:t&gt;）&lt;/m:t&gt;&lt;/m:r&gt;&lt;m:r&gt;&lt;m:rPr&gt;&lt;m:sty m:val=&quot;p&quot;/&gt;&lt;/m:rPr&gt;&lt;w:rPr&gt;&lt;w:rFonts w:ascii=&quot;Cambria Math&quot; w:h-ansi=&quot;Cambria Math&quot;/&gt;&lt;wx:font wx:val=&quot;Cambria Math&quot;/&gt;&lt;/w:rPr&gt;&lt;m:t&gt;×&lt;/m:t&gt;&lt;/m:r&gt;&lt;m:nary&gt;&lt;m:naryPr&gt;&lt;m:chr m:val=&quot;∑&quot;/&gt;&lt;m:limLoc m:val=&quot;undOvr&quot;/&gt;&lt;m:subHide m:val=&quot;1&quot;/&gt;&lt;m:supHide m:val=&quot;1&quot;/&gt;&lt;m:ctrlPr&gt;&lt;w:rPr&gt;&lt;w:rFonts w:ascii=&quot;Cambria Math&quot; w:h-ansi=&quot;Cambria Math&quot;/&gt;&lt;wx:font wx:val=&quot;Cambria Math&quot;/&gt;&lt;w:i-cs/&gt;&lt;/w:rPr&gt;&lt;/m:ctrlPr&gt;&lt;/m:naryPr&gt;&lt;m:sub/&gt;&lt;m:sup/&gt;&lt;m:e&gt;&lt;m:r&gt;&lt;m:rPr&gt;&lt;m:sty m:val=&quot;p&quot;/&gt;&lt;/m:rPr&gt;&lt;w:rPr&gt;&lt;w:rFonts w:ascii=&quot;Cambria Math&quot; w:h-ansi=&quot;Cambria Math&quot; w:hint=&quot;fareast&quot;/&gt;&lt;wx:font wx:val=&quot;宋体&quot;/&gt;&lt;/w:rPr&gt;&lt;m:t&gt;课程考核目标的权重值（&lt;/m:t&gt;&lt;/m:r&gt;&lt;m:r&gt;&lt;m:rPr&gt;&lt;m:sty m:val=&quot;p&quot;/&gt;&lt;/m:rPr&gt;&lt;w:rPr&gt;&lt;w:rFonts w:ascii=&quot;Cambria Math&quot; w:h-ansi=&quot;Cambria Math&quot; w:hint=&quot;fareast&quot;/&gt;&lt;wx:font wx:val=&quot;Cambria Math&quot;/&gt;&lt;/w:rPr&gt;&lt;m:t&gt;b&lt;/m:t&gt;&lt;/m:r&gt;&lt;m:r&gt;&lt;m:rPr&gt;&lt;m:sty m:val=&quot;p&quot;/&gt;&lt;/m:rPr&gt;&lt;w:rPr&gt;&lt;w:rFonts w:ascii=&quot;Cambria Math&quot; w:h-ansi=&quot;Cambria Math&quot; w:hint=&quot;fareast&quot;/&gt;&lt;wx:font wx:val=&quot;宋体&quot;/&gt;&lt;/w:rPr&gt;&lt;m:t&gt;）&lt;/m:t&gt;&lt;/m:r&gt;&lt;/m:e&gt;&lt;/m:nary&gt;&lt;/m:e&gt;&lt;/m:nary&gt;&lt;m:f&gt;&lt;m:fPr&gt;&lt;m:ctrlPr&gt;&lt;w:rPr&gt;&lt;w:rFonts w:ascii=&quot;Cambria Math&quot; w:h-ansi=&quot;Cambria Math&quot;/&gt;&lt;wx:font wx:val=&quot;Cambria Math&quot;/&gt;&lt;w:i-cs/&gt;&lt;/w:rPr&gt;&lt;/m:ctrlPr&gt;&lt;/m:fPr&gt;&lt;m:num&gt;&lt;m:r&gt;&lt;m:rPr&gt;&lt;m:sty m:val=&quot;p&quot;/&gt;&lt;/m:rPr&gt;&lt;w:rPr&gt;&lt;w:rFonts w:ascii=&quot;Cambria Math&quot; w:h-ansi=&quot;Cambria Math&quot; w:hint=&quot;fareast&quot;/&gt;&lt;wx:font wx:val=&quot;宋体&quot;/&gt;&lt;/w:rPr&gt;&lt;m:t&gt;考核项目平均分&lt;/m:t&gt;&lt;/m:r&gt;&lt;/m:num&gt;&lt;m:den&gt;&lt;m:r&gt;&lt;m:rPr&gt;&lt;m:sty m:val=&quot;p&quot;/&gt;&lt;/m:rPr&gt;&lt;w:rPr&gt;&lt;w:rFonts w:ascii=&quot;Cambria Math&quot; w:h-ansi=&quot;Cambria Math&quot; w:hint=&quot;fareast&quot;/&gt;&lt;wx:font wx:val=&quot;宋体&quot;/&gt;&lt;/w:rPr&gt;&lt;m:t&gt;考核项目总分&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 chromakey="#FFFFFF" o:title=""/>
            <o:lock v:ext="edit" aspectratio="t"/>
            <w10:wrap type="none"/>
            <w10:anchorlock/>
          </v:shape>
        </w:pict>
      </w:r>
      <w:r>
        <w:rPr>
          <w:iCs/>
        </w:rPr>
        <w:instrText xml:space="preserve"> </w:instrText>
      </w:r>
      <w:r>
        <w:rPr>
          <w:iCs/>
        </w:rPr>
        <w:fldChar w:fldCharType="separate"/>
      </w:r>
      <w:r>
        <w:rPr>
          <w:iCs/>
        </w:rPr>
        <w:fldChar w:fldCharType="end"/>
      </w:r>
    </w:p>
    <w:p w14:paraId="2FAA8760">
      <w:pPr>
        <w:spacing w:line="360" w:lineRule="auto"/>
        <w:ind w:firstLine="241" w:firstLineChars="100"/>
        <w:rPr>
          <w:rFonts w:hint="eastAsia"/>
          <w:b/>
          <w:color w:val="000000"/>
          <w:sz w:val="24"/>
        </w:rPr>
      </w:pPr>
      <w:r>
        <w:rPr>
          <w:rFonts w:hint="eastAsia"/>
          <w:b/>
          <w:color w:val="000000"/>
          <w:sz w:val="24"/>
        </w:rPr>
        <w:t>七、有关说明</w:t>
      </w:r>
    </w:p>
    <w:p w14:paraId="4299D57C">
      <w:pPr>
        <w:spacing w:line="360" w:lineRule="auto"/>
        <w:ind w:firstLine="422" w:firstLineChars="200"/>
        <w:rPr>
          <w:rFonts w:hint="eastAsia" w:ascii="宋体" w:hAnsi="宋体" w:cs="宋体"/>
          <w:b/>
          <w:color w:val="000000"/>
          <w:kern w:val="0"/>
          <w:szCs w:val="21"/>
        </w:rPr>
      </w:pPr>
      <w:r>
        <w:rPr>
          <w:rFonts w:hint="eastAsia" w:ascii="宋体" w:hAnsi="宋体" w:cs="宋体"/>
          <w:b/>
          <w:color w:val="000000"/>
          <w:szCs w:val="21"/>
        </w:rPr>
        <w:t>（一）持续改进</w:t>
      </w:r>
    </w:p>
    <w:p w14:paraId="7BE1C52F">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根据学生课堂教学中的反应、课后反馈、作业质量、答卷情况，以及领导、督导、教师同行等的听课情况，及时发现和改进教学中的不足之处，确保相应毕业要求指标点达成。</w:t>
      </w:r>
    </w:p>
    <w:p w14:paraId="6E7C0D8A">
      <w:pPr>
        <w:widowControl/>
        <w:spacing w:line="360" w:lineRule="auto"/>
        <w:ind w:firstLine="422" w:firstLineChars="200"/>
        <w:jc w:val="left"/>
        <w:rPr>
          <w:rFonts w:hint="eastAsia" w:ascii="宋体" w:hAnsi="宋体" w:cs="宋体"/>
          <w:b/>
          <w:color w:val="000000"/>
          <w:kern w:val="0"/>
          <w:szCs w:val="21"/>
        </w:rPr>
      </w:pPr>
      <w:r>
        <w:rPr>
          <w:rFonts w:hint="eastAsia" w:ascii="宋体" w:hAnsi="宋体" w:cs="宋体"/>
          <w:b/>
          <w:color w:val="000000"/>
          <w:kern w:val="0"/>
          <w:szCs w:val="21"/>
        </w:rPr>
        <w:t>（二）教材、参考书目及学习资料</w:t>
      </w:r>
    </w:p>
    <w:p w14:paraId="1B42355B">
      <w:pPr>
        <w:spacing w:line="400" w:lineRule="exact"/>
        <w:ind w:firstLine="420" w:firstLineChars="200"/>
        <w:jc w:val="left"/>
        <w:rPr>
          <w:color w:val="000000"/>
          <w:szCs w:val="21"/>
        </w:rPr>
      </w:pPr>
      <w:r>
        <w:rPr>
          <w:color w:val="000000"/>
          <w:szCs w:val="21"/>
        </w:rPr>
        <w:t>1.</w:t>
      </w:r>
      <w:r>
        <w:rPr>
          <w:rFonts w:hint="eastAsia"/>
          <w:color w:val="000000"/>
          <w:szCs w:val="21"/>
        </w:rPr>
        <w:t>《新视野大学英语读写教程》（第三版），郑树棠等主编，外语教学与研究出版社，</w:t>
      </w:r>
      <w:r>
        <w:rPr>
          <w:color w:val="000000"/>
          <w:szCs w:val="21"/>
        </w:rPr>
        <w:t>2020</w:t>
      </w:r>
    </w:p>
    <w:p w14:paraId="578E3F52">
      <w:pPr>
        <w:spacing w:line="440" w:lineRule="exact"/>
        <w:ind w:firstLine="420" w:firstLineChars="200"/>
        <w:jc w:val="left"/>
        <w:rPr>
          <w:color w:val="000000"/>
          <w:szCs w:val="21"/>
        </w:rPr>
      </w:pPr>
      <w:r>
        <w:rPr>
          <w:color w:val="000000"/>
          <w:szCs w:val="21"/>
        </w:rPr>
        <w:t>2.</w:t>
      </w:r>
      <w:r>
        <w:rPr>
          <w:rFonts w:hint="eastAsia"/>
          <w:color w:val="000000"/>
          <w:szCs w:val="21"/>
        </w:rPr>
        <w:t>《新视野大学英语视听说教程》（第三版），郑树棠等主编，外语教学与研究出版社，</w:t>
      </w:r>
      <w:r>
        <w:rPr>
          <w:color w:val="000000"/>
          <w:szCs w:val="21"/>
        </w:rPr>
        <w:t>2020</w:t>
      </w:r>
    </w:p>
    <w:p w14:paraId="05BE7FFE">
      <w:pPr>
        <w:spacing w:line="400" w:lineRule="exact"/>
        <w:ind w:firstLine="420" w:firstLineChars="200"/>
        <w:jc w:val="left"/>
        <w:rPr>
          <w:color w:val="000000"/>
          <w:szCs w:val="21"/>
        </w:rPr>
      </w:pPr>
      <w:r>
        <w:rPr>
          <w:color w:val="000000"/>
          <w:szCs w:val="21"/>
        </w:rPr>
        <w:t>3.</w:t>
      </w:r>
      <w:r>
        <w:rPr>
          <w:rFonts w:hint="eastAsia"/>
          <w:color w:val="000000"/>
          <w:szCs w:val="21"/>
        </w:rPr>
        <w:t>《全新版大学英语听说教程》（第二版），虞苏美等主编，上海外语教育出版社，</w:t>
      </w:r>
      <w:r>
        <w:rPr>
          <w:color w:val="000000"/>
          <w:szCs w:val="21"/>
        </w:rPr>
        <w:t>2014</w:t>
      </w:r>
    </w:p>
    <w:p w14:paraId="3562FA4D">
      <w:pPr>
        <w:spacing w:line="400" w:lineRule="exact"/>
        <w:ind w:firstLine="420" w:firstLineChars="200"/>
        <w:jc w:val="left"/>
        <w:rPr>
          <w:color w:val="000000"/>
          <w:szCs w:val="21"/>
        </w:rPr>
      </w:pPr>
      <w:r>
        <w:rPr>
          <w:color w:val="000000"/>
          <w:szCs w:val="21"/>
        </w:rPr>
        <w:t>4.</w:t>
      </w:r>
      <w:r>
        <w:rPr>
          <w:rFonts w:hint="eastAsia"/>
          <w:color w:val="000000"/>
          <w:szCs w:val="21"/>
        </w:rPr>
        <w:t>《新世纪大学英语快速阅读》（第一版），束定芳编，上海外语教育出版社，</w:t>
      </w:r>
      <w:r>
        <w:rPr>
          <w:color w:val="000000"/>
          <w:szCs w:val="21"/>
        </w:rPr>
        <w:t>2020</w:t>
      </w:r>
    </w:p>
    <w:p w14:paraId="339FE4C4">
      <w:pPr>
        <w:spacing w:line="400" w:lineRule="exact"/>
        <w:ind w:firstLine="420" w:firstLineChars="200"/>
        <w:jc w:val="left"/>
        <w:rPr>
          <w:color w:val="000000"/>
          <w:szCs w:val="21"/>
        </w:rPr>
      </w:pPr>
      <w:r>
        <w:rPr>
          <w:color w:val="000000"/>
          <w:szCs w:val="21"/>
        </w:rPr>
        <w:t>5.</w:t>
      </w:r>
      <w:r>
        <w:rPr>
          <w:rFonts w:hint="eastAsia" w:ascii="宋体" w:hAnsi="宋体" w:cs="宋体"/>
          <w:color w:val="000000"/>
          <w:kern w:val="0"/>
          <w:szCs w:val="21"/>
        </w:rPr>
        <w:t xml:space="preserve"> 《朗文当代高级英语辞典》（第五版），英国培生教育出版集团编，外语教学与研究出版社，2014</w:t>
      </w:r>
    </w:p>
    <w:p w14:paraId="12A30F4A">
      <w:pPr>
        <w:spacing w:line="400" w:lineRule="exact"/>
        <w:ind w:firstLine="420" w:firstLineChars="200"/>
        <w:jc w:val="left"/>
        <w:rPr>
          <w:color w:val="000000"/>
          <w:szCs w:val="21"/>
        </w:rPr>
      </w:pPr>
      <w:r>
        <w:rPr>
          <w:rFonts w:hint="eastAsia" w:ascii="宋体" w:hAnsi="宋体" w:cs="宋体"/>
          <w:color w:val="000000"/>
          <w:kern w:val="0"/>
          <w:szCs w:val="21"/>
        </w:rPr>
        <w:t>6. 《牛津高阶英汉双解词典》（第八版），霍恩比著，赵翠莲等译，商务印书馆，2014</w:t>
      </w:r>
    </w:p>
    <w:p w14:paraId="2BE0E68D">
      <w:pPr>
        <w:widowControl/>
        <w:spacing w:before="100" w:beforeAutospacing="1" w:after="100" w:afterAutospacing="1" w:line="400" w:lineRule="exact"/>
        <w:ind w:firstLine="422" w:firstLineChars="200"/>
        <w:jc w:val="left"/>
        <w:rPr>
          <w:rFonts w:hint="eastAsia" w:ascii="宋体" w:hAnsi="宋体" w:cs="宋体"/>
          <w:b/>
          <w:bCs/>
          <w:color w:val="000000"/>
          <w:kern w:val="0"/>
          <w:szCs w:val="21"/>
        </w:rPr>
      </w:pPr>
      <w:r>
        <w:rPr>
          <w:rFonts w:cs="宋体"/>
          <w:b/>
          <w:bCs/>
          <w:color w:val="000000"/>
          <w:kern w:val="0"/>
          <w:szCs w:val="21"/>
        </w:rPr>
        <w:t>在线开放课程网址</w:t>
      </w:r>
      <w:r>
        <w:rPr>
          <w:rFonts w:hint="eastAsia" w:cs="宋体"/>
          <w:b/>
          <w:bCs/>
          <w:color w:val="000000"/>
          <w:kern w:val="0"/>
          <w:szCs w:val="21"/>
        </w:rPr>
        <w:t>：</w:t>
      </w:r>
    </w:p>
    <w:p w14:paraId="7F8820EA">
      <w:pPr>
        <w:widowControl/>
        <w:spacing w:before="100" w:beforeAutospacing="1" w:after="100" w:afterAutospacing="1"/>
        <w:ind w:firstLine="420" w:firstLineChars="200"/>
        <w:jc w:val="left"/>
        <w:rPr>
          <w:rFonts w:ascii="宋体" w:hAnsi="宋体" w:cs="宋体"/>
          <w:b/>
          <w:bCs/>
          <w:color w:val="000000"/>
          <w:kern w:val="0"/>
          <w:szCs w:val="21"/>
        </w:rPr>
      </w:pPr>
      <w:r>
        <w:rPr>
          <w:szCs w:val="21"/>
        </w:rPr>
        <w:t>1</w:t>
      </w:r>
      <w:r>
        <w:rPr>
          <w:rFonts w:hint="eastAsia"/>
          <w:szCs w:val="21"/>
        </w:rPr>
        <w:t>.</w:t>
      </w:r>
      <w:r>
        <w:rPr>
          <w:szCs w:val="21"/>
        </w:rPr>
        <w:t>江苏省在线课程中心/爱课程</w:t>
      </w:r>
      <w:r>
        <w:rPr>
          <w:rFonts w:hint="eastAsia" w:ascii="宋体" w:hAnsi="宋体" w:cs="宋体"/>
          <w:b/>
          <w:bCs/>
          <w:color w:val="000000"/>
          <w:kern w:val="0"/>
          <w:szCs w:val="21"/>
        </w:rPr>
        <w:t xml:space="preserve"> </w:t>
      </w:r>
      <w:r>
        <w:rPr>
          <w:szCs w:val="21"/>
        </w:rPr>
        <w:t>https://www.icourse163.org/</w:t>
      </w:r>
    </w:p>
    <w:p w14:paraId="03DC71B6">
      <w:pPr>
        <w:ind w:firstLine="420" w:firstLineChars="200"/>
        <w:jc w:val="left"/>
        <w:rPr>
          <w:szCs w:val="21"/>
        </w:rPr>
      </w:pPr>
      <w:r>
        <w:rPr>
          <w:szCs w:val="21"/>
        </w:rPr>
        <w:t>2</w:t>
      </w:r>
      <w:r>
        <w:rPr>
          <w:rFonts w:hint="eastAsia"/>
          <w:szCs w:val="21"/>
        </w:rPr>
        <w:t>.</w:t>
      </w:r>
      <w:r>
        <w:rPr>
          <w:szCs w:val="21"/>
        </w:rPr>
        <w:t>常州工学院毕博网络教学平台</w:t>
      </w:r>
      <w:r>
        <w:rPr>
          <w:rFonts w:hint="eastAsia"/>
          <w:szCs w:val="21"/>
        </w:rPr>
        <w:t xml:space="preserve"> </w:t>
      </w:r>
      <w:r>
        <w:rPr>
          <w:szCs w:val="21"/>
        </w:rPr>
        <w:fldChar w:fldCharType="begin"/>
      </w:r>
      <w:r>
        <w:rPr>
          <w:szCs w:val="21"/>
        </w:rPr>
        <w:instrText xml:space="preserve"> HYPERLINK "https://bbclass.czu.cn/" </w:instrText>
      </w:r>
      <w:r>
        <w:rPr>
          <w:szCs w:val="21"/>
        </w:rPr>
        <w:fldChar w:fldCharType="separate"/>
      </w:r>
      <w:r>
        <w:rPr>
          <w:rStyle w:val="38"/>
          <w:sz w:val="21"/>
          <w:szCs w:val="21"/>
        </w:rPr>
        <w:t>https://bbclass.czu.cn/</w:t>
      </w:r>
      <w:r>
        <w:rPr>
          <w:szCs w:val="21"/>
        </w:rPr>
        <w:fldChar w:fldCharType="end"/>
      </w:r>
    </w:p>
    <w:p w14:paraId="061D8012">
      <w:pPr>
        <w:spacing w:line="400" w:lineRule="exact"/>
        <w:ind w:left="804" w:leftChars="229" w:hanging="323" w:hangingChars="154"/>
        <w:jc w:val="left"/>
        <w:rPr>
          <w:rFonts w:hint="eastAsia"/>
          <w:szCs w:val="21"/>
        </w:rPr>
      </w:pPr>
      <w:r>
        <w:rPr>
          <w:szCs w:val="21"/>
        </w:rPr>
        <w:t>3</w:t>
      </w:r>
      <w:r>
        <w:rPr>
          <w:rFonts w:hint="eastAsia"/>
          <w:szCs w:val="21"/>
        </w:rPr>
        <w:t>.常工院尔雅通识网络课程 h</w:t>
      </w:r>
      <w:r>
        <w:rPr>
          <w:szCs w:val="21"/>
        </w:rPr>
        <w:t>ttps://czgxy.fanya.chaoxing.com</w:t>
      </w:r>
    </w:p>
    <w:p w14:paraId="317548ED">
      <w:pPr>
        <w:spacing w:line="400" w:lineRule="exact"/>
        <w:ind w:firstLine="420" w:firstLineChars="200"/>
        <w:jc w:val="left"/>
        <w:rPr>
          <w:szCs w:val="21"/>
          <w:u w:val="single"/>
        </w:rPr>
      </w:pPr>
      <w:r>
        <w:rPr>
          <w:szCs w:val="21"/>
        </w:rPr>
        <w:t>4</w:t>
      </w:r>
      <w:r>
        <w:rPr>
          <w:rFonts w:hint="eastAsia"/>
          <w:szCs w:val="21"/>
        </w:rPr>
        <w:t>.</w:t>
      </w:r>
      <w:r>
        <w:rPr>
          <w:szCs w:val="21"/>
        </w:rPr>
        <w:t>国家精品课程资源网</w:t>
      </w:r>
      <w:r>
        <w:rPr>
          <w:rFonts w:hint="eastAsia"/>
          <w:szCs w:val="21"/>
        </w:rPr>
        <w:t xml:space="preserve"> </w:t>
      </w:r>
      <w:r>
        <w:rPr>
          <w:szCs w:val="21"/>
          <w:u w:val="single"/>
        </w:rPr>
        <w:t>http://www.jingpinke.com/</w:t>
      </w:r>
    </w:p>
    <w:p w14:paraId="2A205CC3">
      <w:pPr>
        <w:spacing w:line="400" w:lineRule="exact"/>
        <w:ind w:left="804" w:leftChars="229" w:hanging="323" w:hangingChars="154"/>
        <w:jc w:val="left"/>
        <w:rPr>
          <w:rFonts w:hint="eastAsia"/>
          <w:szCs w:val="21"/>
        </w:rPr>
      </w:pPr>
      <w:r>
        <w:rPr>
          <w:szCs w:val="21"/>
        </w:rPr>
        <w:t>5</w:t>
      </w:r>
      <w:r>
        <w:rPr>
          <w:rFonts w:hint="eastAsia"/>
          <w:szCs w:val="21"/>
        </w:rPr>
        <w:t>.</w:t>
      </w:r>
      <w:r>
        <w:rPr>
          <w:szCs w:val="21"/>
        </w:rPr>
        <w:t>好大学在线CNMOOC_中国顶尖的慕课平台https://www.cnmooc.org/home/index.mooc</w:t>
      </w:r>
    </w:p>
    <w:p w14:paraId="1984BFB8">
      <w:pPr>
        <w:spacing w:line="400" w:lineRule="exact"/>
        <w:ind w:firstLine="6058" w:firstLineChars="2885"/>
        <w:rPr>
          <w:rFonts w:hint="eastAsia" w:ascii="宋体" w:hAnsi="宋体" w:cs="宋体"/>
          <w:color w:val="000000"/>
          <w:szCs w:val="21"/>
        </w:rPr>
      </w:pPr>
    </w:p>
    <w:p w14:paraId="24182CA1">
      <w:pPr>
        <w:spacing w:line="400" w:lineRule="exact"/>
        <w:ind w:firstLine="6058" w:firstLineChars="2885"/>
        <w:rPr>
          <w:rFonts w:hint="eastAsia" w:ascii="宋体" w:hAnsi="宋体" w:cs="宋体"/>
          <w:color w:val="000000"/>
          <w:szCs w:val="21"/>
        </w:rPr>
      </w:pPr>
    </w:p>
    <w:p w14:paraId="7AD39057">
      <w:pPr>
        <w:spacing w:line="400" w:lineRule="exact"/>
        <w:ind w:firstLine="6058" w:firstLineChars="2885"/>
        <w:rPr>
          <w:rFonts w:ascii="宋体" w:hAnsi="宋体" w:cs="宋体"/>
          <w:color w:val="000000"/>
          <w:szCs w:val="21"/>
        </w:rPr>
      </w:pPr>
      <w:r>
        <w:rPr>
          <w:rFonts w:hint="eastAsia" w:ascii="宋体" w:hAnsi="宋体" w:cs="宋体"/>
          <w:color w:val="000000"/>
          <w:szCs w:val="21"/>
        </w:rPr>
        <w:t>执笔人：汤月明</w:t>
      </w:r>
    </w:p>
    <w:p w14:paraId="6DC036EF">
      <w:pPr>
        <w:spacing w:line="400" w:lineRule="exact"/>
        <w:ind w:firstLine="6058" w:firstLineChars="2885"/>
        <w:rPr>
          <w:rFonts w:hint="eastAsia" w:ascii="宋体" w:hAnsi="宋体" w:cs="宋体"/>
          <w:color w:val="000000"/>
          <w:szCs w:val="21"/>
        </w:rPr>
      </w:pPr>
      <w:r>
        <w:rPr>
          <w:rFonts w:hint="eastAsia" w:ascii="宋体" w:hAnsi="宋体" w:cs="宋体"/>
          <w:color w:val="000000"/>
          <w:szCs w:val="21"/>
        </w:rPr>
        <w:t>审定人：朱  江</w:t>
      </w:r>
    </w:p>
    <w:p w14:paraId="5EC08981">
      <w:pPr>
        <w:spacing w:line="400" w:lineRule="exact"/>
        <w:ind w:firstLine="6058" w:firstLineChars="2885"/>
        <w:rPr>
          <w:rFonts w:hint="eastAsia" w:ascii="宋体" w:hAnsi="宋体" w:cs="宋体"/>
          <w:color w:val="000000"/>
          <w:szCs w:val="21"/>
        </w:rPr>
      </w:pPr>
      <w:r>
        <w:rPr>
          <w:rFonts w:hint="eastAsia" w:ascii="宋体" w:hAnsi="宋体" w:cs="宋体"/>
          <w:color w:val="000000"/>
          <w:szCs w:val="21"/>
        </w:rPr>
        <w:t xml:space="preserve">批准人：李 </w:t>
      </w:r>
      <w:r>
        <w:rPr>
          <w:rFonts w:ascii="宋体" w:hAnsi="宋体" w:cs="宋体"/>
          <w:color w:val="000000"/>
          <w:szCs w:val="21"/>
        </w:rPr>
        <w:t xml:space="preserve"> </w:t>
      </w:r>
      <w:r>
        <w:rPr>
          <w:rFonts w:hint="eastAsia" w:ascii="宋体" w:hAnsi="宋体" w:cs="宋体"/>
          <w:color w:val="000000"/>
          <w:szCs w:val="21"/>
        </w:rPr>
        <w:t>静</w:t>
      </w:r>
    </w:p>
    <w:p w14:paraId="519FAED8">
      <w:pPr>
        <w:spacing w:line="400" w:lineRule="exact"/>
        <w:ind w:firstLine="6058" w:firstLineChars="2885"/>
        <w:rPr>
          <w:rFonts w:hint="eastAsia" w:ascii="宋体" w:hAnsi="宋体" w:cs="宋体"/>
          <w:color w:val="000000"/>
          <w:szCs w:val="21"/>
        </w:rPr>
      </w:pPr>
      <w:r>
        <w:rPr>
          <w:rFonts w:hint="eastAsia" w:ascii="宋体" w:hAnsi="宋体" w:cs="宋体"/>
          <w:color w:val="000000"/>
          <w:szCs w:val="21"/>
          <w:lang w:val="en-US" w:eastAsia="zh-CN"/>
        </w:rPr>
        <w:t>批准时间：</w:t>
      </w:r>
      <w:r>
        <w:rPr>
          <w:rFonts w:hint="eastAsia" w:ascii="宋体" w:hAnsi="宋体" w:cs="宋体"/>
          <w:color w:val="000000"/>
          <w:szCs w:val="21"/>
        </w:rPr>
        <w:t>2022年9月</w:t>
      </w:r>
    </w:p>
    <w:p w14:paraId="4533A6B1">
      <w:pPr>
        <w:spacing w:line="312" w:lineRule="auto"/>
        <w:jc w:val="both"/>
        <w:rPr>
          <w:rFonts w:hint="eastAsia" w:ascii="宋体" w:hAnsi="宋体"/>
          <w:b/>
          <w:bCs/>
          <w:sz w:val="30"/>
        </w:rPr>
      </w:pPr>
    </w:p>
    <w:p w14:paraId="2CBFD7D4">
      <w:pPr>
        <w:spacing w:line="312" w:lineRule="auto"/>
        <w:jc w:val="center"/>
        <w:rPr>
          <w:rFonts w:hint="eastAsia" w:ascii="宋体" w:hAnsi="宋体"/>
          <w:b/>
          <w:bCs/>
          <w:sz w:val="30"/>
        </w:rPr>
      </w:pPr>
    </w:p>
    <w:p w14:paraId="175C9F31">
      <w:pPr>
        <w:spacing w:line="312" w:lineRule="auto"/>
        <w:jc w:val="center"/>
        <w:rPr>
          <w:rFonts w:hint="eastAsia" w:ascii="宋体" w:hAnsi="宋体"/>
          <w:b/>
          <w:bCs/>
          <w:sz w:val="30"/>
        </w:rPr>
      </w:pPr>
    </w:p>
    <w:p w14:paraId="443A6463">
      <w:pPr>
        <w:spacing w:line="312" w:lineRule="auto"/>
        <w:jc w:val="center"/>
        <w:rPr>
          <w:rFonts w:hint="eastAsia" w:ascii="宋体" w:hAnsi="宋体"/>
          <w:b/>
          <w:bCs/>
          <w:sz w:val="30"/>
        </w:rPr>
      </w:pPr>
    </w:p>
    <w:p w14:paraId="116C4E3F">
      <w:pPr>
        <w:spacing w:line="312" w:lineRule="auto"/>
        <w:jc w:val="center"/>
        <w:rPr>
          <w:rFonts w:hint="eastAsia" w:ascii="宋体" w:hAnsi="宋体"/>
          <w:b/>
          <w:bCs/>
          <w:sz w:val="30"/>
        </w:rPr>
      </w:pPr>
    </w:p>
    <w:p w14:paraId="428BB976">
      <w:pPr>
        <w:rPr>
          <w:rFonts w:hint="eastAsia" w:ascii="宋体" w:hAnsi="宋体"/>
          <w:b/>
          <w:bCs/>
          <w:sz w:val="30"/>
        </w:rPr>
      </w:pPr>
      <w:r>
        <w:rPr>
          <w:rFonts w:hint="eastAsia" w:ascii="宋体" w:hAnsi="宋体"/>
          <w:b/>
          <w:bCs/>
          <w:sz w:val="30"/>
        </w:rPr>
        <w:br w:type="page"/>
      </w:r>
    </w:p>
    <w:p w14:paraId="33F406A7">
      <w:pPr>
        <w:pStyle w:val="2"/>
        <w:bidi w:val="0"/>
        <w:rPr>
          <w:rFonts w:hint="eastAsia"/>
        </w:rPr>
      </w:pPr>
      <w:r>
        <w:rPr>
          <w:rFonts w:hint="eastAsia"/>
        </w:rPr>
        <w:t>专业导</w:t>
      </w:r>
      <w:r>
        <w:t>学课程教学大纲</w:t>
      </w:r>
    </w:p>
    <w:p w14:paraId="0354390F">
      <w:pPr>
        <w:spacing w:line="312" w:lineRule="auto"/>
        <w:jc w:val="center"/>
        <w:rPr>
          <w:rFonts w:ascii="宋体" w:hAnsi="宋体"/>
          <w:b/>
          <w:bCs/>
          <w:sz w:val="30"/>
        </w:rPr>
      </w:pPr>
      <w:r>
        <w:rPr>
          <w:rFonts w:ascii="宋体" w:hAnsi="宋体"/>
          <w:b/>
          <w:bCs/>
          <w:sz w:val="30"/>
        </w:rPr>
        <w:t>（An Introduction to Professions）</w:t>
      </w:r>
    </w:p>
    <w:p w14:paraId="59057551">
      <w:pPr>
        <w:spacing w:line="312" w:lineRule="auto"/>
        <w:jc w:val="center"/>
        <w:rPr>
          <w:rFonts w:hint="eastAsia" w:ascii="宋体" w:hAnsi="宋体"/>
          <w:b/>
          <w:bCs/>
          <w:sz w:val="30"/>
        </w:rPr>
      </w:pPr>
    </w:p>
    <w:p w14:paraId="7BE3A09A">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609BFF45">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2401057</w:t>
      </w:r>
    </w:p>
    <w:p w14:paraId="2069F617">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ascii="宋体" w:hAnsi="宋体"/>
          <w:kern w:val="0"/>
          <w:sz w:val="24"/>
          <w:szCs w:val="22"/>
        </w:rPr>
        <w:t>0.5</w:t>
      </w:r>
    </w:p>
    <w:p w14:paraId="674344D5">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ascii="宋体" w:hAnsi="宋体"/>
          <w:kern w:val="0"/>
          <w:sz w:val="24"/>
        </w:rPr>
        <w:t>8 （其中：讲授学时8）</w:t>
      </w:r>
    </w:p>
    <w:p w14:paraId="308C5360">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hint="eastAsia" w:ascii="宋体" w:hAnsi="宋体"/>
          <w:sz w:val="24"/>
          <w:szCs w:val="22"/>
          <w:lang w:val="en-US" w:eastAsia="zh-CN"/>
        </w:rPr>
        <w:t>无</w:t>
      </w:r>
    </w:p>
    <w:p w14:paraId="0CD79605">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小学教育（文）、小学教育（理）</w:t>
      </w:r>
      <w:r>
        <w:rPr>
          <w:rFonts w:ascii="宋体" w:hAnsi="宋体"/>
          <w:kern w:val="0"/>
          <w:sz w:val="24"/>
        </w:rPr>
        <w:t xml:space="preserve">                         </w:t>
      </w:r>
    </w:p>
    <w:p w14:paraId="56304F8B">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无</w:t>
      </w:r>
    </w:p>
    <w:p w14:paraId="523309A0">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4D31600B">
      <w:pPr>
        <w:autoSpaceDE w:val="0"/>
        <w:autoSpaceDN w:val="0"/>
        <w:adjustRightInd w:val="0"/>
        <w:spacing w:line="360" w:lineRule="auto"/>
        <w:ind w:firstLine="482" w:firstLineChars="200"/>
        <w:jc w:val="left"/>
        <w:rPr>
          <w:rFonts w:ascii="宋体" w:hAnsi="宋体"/>
          <w:kern w:val="0"/>
          <w:sz w:val="24"/>
        </w:rPr>
      </w:pPr>
      <w:r>
        <w:rPr>
          <w:rFonts w:hint="eastAsia" w:ascii="宋体" w:hAnsi="宋体"/>
          <w:b/>
          <w:bCs/>
          <w:kern w:val="0"/>
          <w:sz w:val="24"/>
        </w:rPr>
        <w:t>课程的性质与任务：</w:t>
      </w:r>
      <w:r>
        <w:rPr>
          <w:rFonts w:hint="eastAsia" w:ascii="宋体" w:hAnsi="宋体"/>
          <w:kern w:val="0"/>
          <w:sz w:val="24"/>
        </w:rPr>
        <w:t>本课程是小学教育专业的一门专业基础</w:t>
      </w:r>
      <w:r>
        <w:rPr>
          <w:rFonts w:ascii="宋体" w:hAnsi="宋体"/>
          <w:kern w:val="0"/>
          <w:sz w:val="24"/>
        </w:rPr>
        <w:t>必修</w:t>
      </w:r>
      <w:r>
        <w:rPr>
          <w:rFonts w:hint="eastAsia" w:ascii="宋体" w:hAnsi="宋体"/>
          <w:kern w:val="0"/>
          <w:sz w:val="24"/>
        </w:rPr>
        <w:t>课。通过本课程的学习，全面认识小学教育专业，明确本专业的培养目标，了解本专业的课程设置；为专业课程学习和专业发展奠定基础。</w:t>
      </w:r>
    </w:p>
    <w:p w14:paraId="002238A5">
      <w:pPr>
        <w:autoSpaceDE w:val="0"/>
        <w:autoSpaceDN w:val="0"/>
        <w:adjustRightInd w:val="0"/>
        <w:spacing w:line="360" w:lineRule="auto"/>
        <w:ind w:firstLine="480" w:firstLineChars="200"/>
        <w:jc w:val="left"/>
        <w:rPr>
          <w:rFonts w:hint="eastAsia" w:ascii="宋体" w:hAnsi="宋体"/>
          <w:kern w:val="0"/>
          <w:sz w:val="24"/>
          <w:szCs w:val="22"/>
        </w:rPr>
      </w:pPr>
    </w:p>
    <w:p w14:paraId="7DEB524D">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7E1121B0">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09285AB6">
      <w:pPr>
        <w:spacing w:line="360" w:lineRule="auto"/>
        <w:ind w:firstLine="482"/>
        <w:jc w:val="left"/>
        <w:rPr>
          <w:sz w:val="24"/>
        </w:rPr>
      </w:pPr>
      <w:r>
        <w:rPr>
          <w:rFonts w:hint="eastAsia"/>
          <w:sz w:val="24"/>
        </w:rPr>
        <w:t>目标</w:t>
      </w:r>
      <w:r>
        <w:rPr>
          <w:sz w:val="24"/>
        </w:rPr>
        <w:t>1.</w:t>
      </w:r>
      <w:r>
        <w:rPr>
          <w:rFonts w:hint="eastAsia"/>
          <w:sz w:val="24"/>
        </w:rPr>
        <w:t>了解小学教育专业的历史、现状与未来，明确小学教育专业的培养目标，知道小学教育专业学生应具备的知识和能力，了解小学教育专业的课程设置。</w:t>
      </w:r>
    </w:p>
    <w:p w14:paraId="46831366">
      <w:pPr>
        <w:spacing w:line="360" w:lineRule="auto"/>
        <w:ind w:firstLine="482"/>
        <w:jc w:val="left"/>
        <w:rPr>
          <w:sz w:val="24"/>
        </w:rPr>
      </w:pPr>
      <w:r>
        <w:rPr>
          <w:rFonts w:hint="eastAsia"/>
          <w:sz w:val="24"/>
        </w:rPr>
        <w:t>目标</w:t>
      </w:r>
      <w:r>
        <w:rPr>
          <w:sz w:val="24"/>
        </w:rPr>
        <w:t>2.</w:t>
      </w:r>
      <w:r>
        <w:rPr>
          <w:rFonts w:hint="eastAsia"/>
          <w:sz w:val="24"/>
        </w:rPr>
        <w:t>了解教育学、心理学以及相关学科的发展情况，知道相关学科方面的考研方向，初步了解各相关学科学习的一般方法，制订专业必读教育类书籍著的阅读计划并付诸实施。理解小学教育专业实践能力的内涵及构成要素，知道小学教育专业实践能力的提升路径，掌握实践类课程的学习方法。</w:t>
      </w:r>
    </w:p>
    <w:p w14:paraId="245A9D60">
      <w:pPr>
        <w:spacing w:line="360" w:lineRule="auto"/>
        <w:ind w:firstLine="482"/>
        <w:jc w:val="left"/>
        <w:rPr>
          <w:rFonts w:hint="eastAsia"/>
          <w:sz w:val="24"/>
        </w:rPr>
      </w:pPr>
      <w:r>
        <w:rPr>
          <w:rFonts w:hint="eastAsia"/>
          <w:sz w:val="24"/>
        </w:rPr>
        <w:t>目标</w:t>
      </w:r>
      <w:r>
        <w:rPr>
          <w:sz w:val="24"/>
        </w:rPr>
        <w:t>3.</w:t>
      </w:r>
      <w:r>
        <w:rPr>
          <w:rFonts w:hint="eastAsia"/>
        </w:rPr>
        <w:t xml:space="preserve"> </w:t>
      </w:r>
      <w:r>
        <w:rPr>
          <w:rFonts w:hint="eastAsia"/>
          <w:sz w:val="24"/>
        </w:rPr>
        <w:t>了解</w:t>
      </w:r>
      <w:r>
        <w:rPr>
          <w:sz w:val="24"/>
        </w:rPr>
        <w:t>小学教师的专业发展维度与路径，</w:t>
      </w:r>
      <w:r>
        <w:rPr>
          <w:rFonts w:hint="eastAsia"/>
          <w:sz w:val="24"/>
        </w:rPr>
        <w:t>了解国家教师资格考试的概况，知道小学教师资格的获得条件和流程，明确</w:t>
      </w:r>
      <w:r>
        <w:rPr>
          <w:sz w:val="24"/>
        </w:rPr>
        <w:t>努力</w:t>
      </w:r>
      <w:r>
        <w:rPr>
          <w:rFonts w:hint="eastAsia"/>
          <w:sz w:val="24"/>
        </w:rPr>
        <w:t>的</w:t>
      </w:r>
      <w:r>
        <w:rPr>
          <w:sz w:val="24"/>
        </w:rPr>
        <w:t>方向。</w:t>
      </w:r>
    </w:p>
    <w:p w14:paraId="71D7E84C">
      <w:pPr>
        <w:spacing w:line="360" w:lineRule="auto"/>
        <w:rPr>
          <w:rFonts w:hint="eastAsia" w:ascii="宋体" w:hAnsi="宋体"/>
          <w:kern w:val="0"/>
          <w:sz w:val="24"/>
          <w:szCs w:val="22"/>
        </w:rPr>
      </w:pPr>
    </w:p>
    <w:p w14:paraId="5C5D7A6C">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410"/>
        <w:gridCol w:w="5181"/>
      </w:tblGrid>
      <w:tr w14:paraId="0EF7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noWrap w:val="0"/>
            <w:vAlign w:val="center"/>
          </w:tcPr>
          <w:p w14:paraId="12EC788E">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10" w:type="dxa"/>
            <w:noWrap w:val="0"/>
            <w:vAlign w:val="center"/>
          </w:tcPr>
          <w:p w14:paraId="60307BBE">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5181" w:type="dxa"/>
            <w:noWrap w:val="0"/>
            <w:vAlign w:val="center"/>
          </w:tcPr>
          <w:p w14:paraId="43708A82">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0CD6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jc w:val="center"/>
        </w:trPr>
        <w:tc>
          <w:tcPr>
            <w:tcW w:w="1357" w:type="dxa"/>
            <w:noWrap w:val="0"/>
            <w:vAlign w:val="center"/>
          </w:tcPr>
          <w:p w14:paraId="34D0965C">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10" w:type="dxa"/>
            <w:noWrap w:val="0"/>
            <w:vAlign w:val="center"/>
          </w:tcPr>
          <w:p w14:paraId="2A8931AA">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1.</w:t>
            </w:r>
            <w:r>
              <w:rPr>
                <w:rFonts w:hint="eastAsia"/>
              </w:rPr>
              <w:t xml:space="preserve"> </w:t>
            </w:r>
            <w:r>
              <w:rPr>
                <w:rFonts w:hint="eastAsia" w:ascii="宋体" w:hAnsi="宋体"/>
                <w:kern w:val="0"/>
                <w:szCs w:val="21"/>
              </w:rPr>
              <w:t>师德规范</w:t>
            </w:r>
          </w:p>
          <w:p w14:paraId="7CE0F79F">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2</w:t>
            </w:r>
            <w:r>
              <w:rPr>
                <w:rFonts w:hint="eastAsia" w:ascii="宋体" w:hAnsi="宋体"/>
                <w:kern w:val="0"/>
                <w:szCs w:val="21"/>
              </w:rPr>
              <w:t>. 教育情怀</w:t>
            </w:r>
          </w:p>
          <w:p w14:paraId="76493021">
            <w:pPr>
              <w:pStyle w:val="58"/>
              <w:spacing w:line="276" w:lineRule="auto"/>
              <w:ind w:firstLine="0" w:firstLineChars="0"/>
              <w:rPr>
                <w:rFonts w:hint="eastAsia" w:ascii="宋体" w:hAnsi="宋体"/>
                <w:kern w:val="0"/>
                <w:szCs w:val="21"/>
              </w:rPr>
            </w:pPr>
            <w:r>
              <w:rPr>
                <w:rFonts w:hint="eastAsia" w:ascii="宋体" w:hAnsi="宋体"/>
                <w:kern w:val="0"/>
                <w:szCs w:val="21"/>
              </w:rPr>
              <w:t>毕业要求7. 学会反思</w:t>
            </w:r>
          </w:p>
          <w:p w14:paraId="5E9723D5">
            <w:pPr>
              <w:pStyle w:val="58"/>
              <w:spacing w:line="276" w:lineRule="auto"/>
              <w:ind w:firstLine="0" w:firstLineChars="0"/>
              <w:rPr>
                <w:rFonts w:hint="eastAsia" w:ascii="宋体" w:hAnsi="宋体"/>
                <w:kern w:val="0"/>
                <w:szCs w:val="21"/>
              </w:rPr>
            </w:pPr>
          </w:p>
        </w:tc>
        <w:tc>
          <w:tcPr>
            <w:tcW w:w="5181" w:type="dxa"/>
            <w:noWrap w:val="0"/>
            <w:vAlign w:val="center"/>
          </w:tcPr>
          <w:p w14:paraId="4E8DF7D6">
            <w:pPr>
              <w:pStyle w:val="58"/>
              <w:spacing w:line="276" w:lineRule="auto"/>
              <w:ind w:firstLine="0" w:firstLineChars="0"/>
              <w:jc w:val="left"/>
              <w:rPr>
                <w:rFonts w:hint="eastAsia" w:ascii="宋体" w:hAnsi="宋体"/>
                <w:kern w:val="0"/>
                <w:szCs w:val="21"/>
              </w:rPr>
            </w:pPr>
            <w:r>
              <w:rPr>
                <w:rFonts w:hint="eastAsia" w:ascii="宋体" w:hAnsi="宋体"/>
                <w:kern w:val="0"/>
                <w:szCs w:val="21"/>
              </w:rPr>
              <w:t>1-1认同中国特色社会主义，贯彻党的教育方针，自觉践行社会主义核心价值观，树立职业理想，立志成为有理想信念、有道德情操、有扎实学识、有仁爱之心的好教师。</w:t>
            </w:r>
          </w:p>
          <w:p w14:paraId="37A57268">
            <w:pPr>
              <w:pStyle w:val="58"/>
              <w:spacing w:line="276" w:lineRule="auto"/>
              <w:ind w:firstLine="0" w:firstLineChars="0"/>
              <w:jc w:val="left"/>
              <w:rPr>
                <w:rFonts w:ascii="宋体" w:hAnsi="宋体"/>
                <w:kern w:val="0"/>
                <w:szCs w:val="21"/>
              </w:rPr>
            </w:pPr>
            <w:r>
              <w:rPr>
                <w:rFonts w:hint="eastAsia" w:ascii="宋体" w:hAnsi="宋体"/>
                <w:kern w:val="0"/>
                <w:szCs w:val="21"/>
              </w:rPr>
              <w:t>1-2：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4DD414D8">
            <w:pPr>
              <w:pStyle w:val="58"/>
              <w:spacing w:line="276" w:lineRule="auto"/>
              <w:ind w:firstLine="0" w:firstLineChars="0"/>
              <w:jc w:val="left"/>
              <w:rPr>
                <w:rFonts w:ascii="宋体" w:hAnsi="宋体"/>
                <w:kern w:val="0"/>
                <w:szCs w:val="21"/>
              </w:rPr>
            </w:pPr>
            <w:r>
              <w:rPr>
                <w:rFonts w:hint="eastAsia" w:ascii="宋体" w:hAnsi="宋体"/>
                <w:kern w:val="0"/>
                <w:szCs w:val="21"/>
              </w:rPr>
              <w:t>2-1：具有家国情怀，乐于从教，热爱教育事业，具有较高的教师职业认同感，认同教师职业的专业性与意义性。</w:t>
            </w:r>
          </w:p>
          <w:p w14:paraId="61E3DC73">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7-2：了解教师专业发展的要求，形成终身学习的意识和习惯，注重自身的专业发展，根据基础教育课程改革的动态和发展情况，进行职业生涯规划和自主学习。</w:t>
            </w:r>
          </w:p>
        </w:tc>
      </w:tr>
      <w:tr w14:paraId="0B3D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2" w:hRule="atLeast"/>
          <w:jc w:val="center"/>
        </w:trPr>
        <w:tc>
          <w:tcPr>
            <w:tcW w:w="1357" w:type="dxa"/>
            <w:noWrap w:val="0"/>
            <w:vAlign w:val="center"/>
          </w:tcPr>
          <w:p w14:paraId="1ABBC564">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10" w:type="dxa"/>
            <w:noWrap w:val="0"/>
            <w:vAlign w:val="center"/>
          </w:tcPr>
          <w:p w14:paraId="6ACD7BEC">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1.</w:t>
            </w:r>
            <w:r>
              <w:rPr>
                <w:rFonts w:hint="eastAsia"/>
              </w:rPr>
              <w:t xml:space="preserve"> </w:t>
            </w:r>
            <w:r>
              <w:rPr>
                <w:rFonts w:hint="eastAsia" w:ascii="宋体" w:hAnsi="宋体"/>
                <w:kern w:val="0"/>
                <w:szCs w:val="21"/>
              </w:rPr>
              <w:t>师德规范</w:t>
            </w:r>
          </w:p>
          <w:p w14:paraId="24E0905D">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2</w:t>
            </w:r>
            <w:r>
              <w:rPr>
                <w:rFonts w:hint="eastAsia" w:ascii="宋体" w:hAnsi="宋体"/>
                <w:kern w:val="0"/>
                <w:szCs w:val="21"/>
              </w:rPr>
              <w:t>. 教育情怀</w:t>
            </w:r>
          </w:p>
          <w:p w14:paraId="2053A0FD">
            <w:pPr>
              <w:pStyle w:val="58"/>
              <w:spacing w:line="276" w:lineRule="auto"/>
              <w:ind w:firstLine="0" w:firstLineChars="0"/>
              <w:rPr>
                <w:rFonts w:hint="eastAsia" w:ascii="宋体" w:hAnsi="宋体"/>
                <w:kern w:val="0"/>
                <w:szCs w:val="21"/>
              </w:rPr>
            </w:pPr>
            <w:r>
              <w:rPr>
                <w:rFonts w:hint="eastAsia" w:ascii="宋体" w:hAnsi="宋体"/>
                <w:kern w:val="0"/>
                <w:szCs w:val="21"/>
              </w:rPr>
              <w:t>毕业要求7. 学会反思</w:t>
            </w:r>
          </w:p>
          <w:p w14:paraId="290AED00">
            <w:pPr>
              <w:pStyle w:val="58"/>
              <w:spacing w:line="276" w:lineRule="auto"/>
              <w:ind w:firstLine="0" w:firstLineChars="0"/>
              <w:rPr>
                <w:rFonts w:hint="eastAsia" w:ascii="宋体" w:hAnsi="宋体"/>
                <w:kern w:val="0"/>
                <w:szCs w:val="21"/>
              </w:rPr>
            </w:pPr>
          </w:p>
        </w:tc>
        <w:tc>
          <w:tcPr>
            <w:tcW w:w="5181" w:type="dxa"/>
            <w:noWrap w:val="0"/>
            <w:vAlign w:val="center"/>
          </w:tcPr>
          <w:p w14:paraId="23C9CD11">
            <w:pPr>
              <w:pStyle w:val="58"/>
              <w:spacing w:line="276" w:lineRule="auto"/>
              <w:ind w:firstLine="0" w:firstLineChars="0"/>
              <w:jc w:val="left"/>
              <w:rPr>
                <w:rFonts w:hint="eastAsia" w:ascii="宋体" w:hAnsi="宋体"/>
                <w:kern w:val="0"/>
                <w:szCs w:val="21"/>
              </w:rPr>
            </w:pPr>
            <w:r>
              <w:rPr>
                <w:rFonts w:hint="eastAsia" w:ascii="宋体" w:hAnsi="宋体"/>
                <w:kern w:val="0"/>
                <w:szCs w:val="21"/>
              </w:rPr>
              <w:t>1-1：认同中国特色社会主义，贯彻党的教育方针，自觉践行社会主义核心价值观，树立职业理想，立志成为有理想信念、有道德情操、有扎实学识、有仁爱之心的好教师。</w:t>
            </w:r>
          </w:p>
          <w:p w14:paraId="4EA7B42B">
            <w:pPr>
              <w:pStyle w:val="58"/>
              <w:spacing w:line="276" w:lineRule="auto"/>
              <w:ind w:firstLine="0" w:firstLineChars="0"/>
              <w:jc w:val="left"/>
              <w:rPr>
                <w:rFonts w:hint="eastAsia" w:ascii="宋体" w:hAnsi="宋体"/>
                <w:kern w:val="0"/>
                <w:szCs w:val="21"/>
              </w:rPr>
            </w:pPr>
            <w:r>
              <w:rPr>
                <w:rFonts w:hint="eastAsia" w:ascii="宋体" w:hAnsi="宋体"/>
                <w:kern w:val="0"/>
                <w:szCs w:val="21"/>
              </w:rPr>
              <w:t>1-2：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07C18D59">
            <w:pPr>
              <w:pStyle w:val="58"/>
              <w:spacing w:line="276" w:lineRule="auto"/>
              <w:ind w:firstLine="0" w:firstLineChars="0"/>
              <w:jc w:val="left"/>
              <w:rPr>
                <w:rFonts w:hint="eastAsia" w:ascii="宋体" w:hAnsi="宋体"/>
                <w:kern w:val="0"/>
                <w:szCs w:val="21"/>
              </w:rPr>
            </w:pPr>
            <w:r>
              <w:rPr>
                <w:rFonts w:hint="eastAsia" w:ascii="宋体" w:hAnsi="宋体"/>
                <w:kern w:val="0"/>
                <w:szCs w:val="21"/>
              </w:rPr>
              <w:t>2-1：具有家国情怀，乐于从教，热爱教育事业，具有较高的教师职业认同感，认同教师职业的专业性与意义性。</w:t>
            </w:r>
          </w:p>
          <w:p w14:paraId="363B9849">
            <w:pPr>
              <w:pStyle w:val="58"/>
              <w:shd w:val="clear" w:color="auto" w:fill="FFFFFF"/>
              <w:spacing w:line="276" w:lineRule="auto"/>
              <w:ind w:firstLine="0" w:firstLineChars="0"/>
              <w:jc w:val="left"/>
              <w:rPr>
                <w:rFonts w:hint="eastAsia" w:ascii="宋体" w:hAnsi="宋体"/>
                <w:kern w:val="0"/>
                <w:sz w:val="18"/>
                <w:szCs w:val="18"/>
              </w:rPr>
            </w:pPr>
            <w:r>
              <w:rPr>
                <w:rFonts w:hint="eastAsia" w:ascii="宋体" w:hAnsi="宋体"/>
                <w:kern w:val="0"/>
                <w:szCs w:val="21"/>
              </w:rPr>
              <w:t>7-2：了解教师专业发展的要求，形成终身学习的意识和习惯，注重自身的专业发展，根据基础教育课程改革的动态和发展情况，进行职业生涯规划和自主学习。</w:t>
            </w:r>
          </w:p>
        </w:tc>
      </w:tr>
      <w:tr w14:paraId="36BA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1357" w:type="dxa"/>
            <w:noWrap w:val="0"/>
            <w:vAlign w:val="center"/>
          </w:tcPr>
          <w:p w14:paraId="39D0D942">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10" w:type="dxa"/>
            <w:noWrap w:val="0"/>
            <w:vAlign w:val="center"/>
          </w:tcPr>
          <w:p w14:paraId="461507FE">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1.</w:t>
            </w:r>
            <w:r>
              <w:rPr>
                <w:rFonts w:hint="eastAsia"/>
              </w:rPr>
              <w:t xml:space="preserve"> </w:t>
            </w:r>
            <w:r>
              <w:rPr>
                <w:rFonts w:hint="eastAsia" w:ascii="宋体" w:hAnsi="宋体"/>
                <w:kern w:val="0"/>
                <w:szCs w:val="21"/>
              </w:rPr>
              <w:t>师德规范</w:t>
            </w:r>
          </w:p>
          <w:p w14:paraId="3289E36B">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2</w:t>
            </w:r>
            <w:r>
              <w:rPr>
                <w:rFonts w:hint="eastAsia" w:ascii="宋体" w:hAnsi="宋体"/>
                <w:kern w:val="0"/>
                <w:szCs w:val="21"/>
              </w:rPr>
              <w:t>. 教育情怀</w:t>
            </w:r>
          </w:p>
          <w:p w14:paraId="760AD333">
            <w:pPr>
              <w:pStyle w:val="58"/>
              <w:spacing w:line="276" w:lineRule="auto"/>
              <w:ind w:firstLine="0" w:firstLineChars="0"/>
              <w:rPr>
                <w:rFonts w:hint="eastAsia" w:ascii="宋体" w:hAnsi="宋体"/>
                <w:kern w:val="0"/>
                <w:szCs w:val="21"/>
              </w:rPr>
            </w:pPr>
            <w:r>
              <w:rPr>
                <w:rFonts w:hint="eastAsia" w:ascii="宋体" w:hAnsi="宋体"/>
                <w:kern w:val="0"/>
                <w:szCs w:val="21"/>
              </w:rPr>
              <w:t>毕业要求7. 学会反思</w:t>
            </w:r>
          </w:p>
          <w:p w14:paraId="0DEC5A9D">
            <w:pPr>
              <w:pStyle w:val="58"/>
              <w:spacing w:line="276" w:lineRule="auto"/>
              <w:ind w:firstLine="0" w:firstLineChars="0"/>
              <w:rPr>
                <w:rFonts w:hint="eastAsia" w:ascii="宋体" w:hAnsi="宋体"/>
                <w:spacing w:val="2"/>
                <w:kern w:val="0"/>
                <w:szCs w:val="21"/>
              </w:rPr>
            </w:pPr>
          </w:p>
        </w:tc>
        <w:tc>
          <w:tcPr>
            <w:tcW w:w="5181" w:type="dxa"/>
            <w:noWrap w:val="0"/>
            <w:vAlign w:val="center"/>
          </w:tcPr>
          <w:p w14:paraId="368464C8">
            <w:pPr>
              <w:pStyle w:val="58"/>
              <w:shd w:val="clear" w:color="auto" w:fill="FFFFFF"/>
              <w:spacing w:line="276" w:lineRule="auto"/>
              <w:ind w:firstLine="0" w:firstLineChars="0"/>
              <w:jc w:val="left"/>
              <w:rPr>
                <w:rFonts w:hint="eastAsia" w:ascii="宋体" w:hAnsi="宋体"/>
                <w:kern w:val="0"/>
                <w:szCs w:val="21"/>
              </w:rPr>
            </w:pPr>
            <w:r>
              <w:rPr>
                <w:rFonts w:hint="eastAsia" w:ascii="宋体" w:hAnsi="宋体"/>
                <w:kern w:val="0"/>
                <w:szCs w:val="21"/>
              </w:rPr>
              <w:t>1-1：认同中国特色社会主义，贯彻党的教育方针，自觉践行社会主义核心价值观，树立职业理想，立志成为有理想信念、有道德情操、有扎实学识、有仁爱之心的好教师。</w:t>
            </w:r>
          </w:p>
          <w:p w14:paraId="587D4C8B">
            <w:pPr>
              <w:pStyle w:val="58"/>
              <w:shd w:val="clear" w:color="auto" w:fill="FFFFFF"/>
              <w:spacing w:line="276" w:lineRule="auto"/>
              <w:ind w:firstLine="0" w:firstLineChars="0"/>
              <w:jc w:val="left"/>
              <w:rPr>
                <w:rFonts w:hint="eastAsia" w:ascii="宋体" w:hAnsi="宋体"/>
                <w:kern w:val="0"/>
                <w:szCs w:val="21"/>
              </w:rPr>
            </w:pPr>
            <w:r>
              <w:rPr>
                <w:rFonts w:hint="eastAsia" w:ascii="宋体" w:hAnsi="宋体"/>
                <w:kern w:val="0"/>
                <w:szCs w:val="21"/>
              </w:rPr>
              <w:t>1-2：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06FA37C7">
            <w:pPr>
              <w:pStyle w:val="58"/>
              <w:shd w:val="clear" w:color="auto" w:fill="FFFFFF"/>
              <w:spacing w:line="276" w:lineRule="auto"/>
              <w:ind w:firstLine="0" w:firstLineChars="0"/>
              <w:jc w:val="left"/>
              <w:rPr>
                <w:rFonts w:hint="eastAsia" w:ascii="宋体" w:hAnsi="宋体"/>
                <w:kern w:val="0"/>
                <w:szCs w:val="21"/>
              </w:rPr>
            </w:pPr>
            <w:r>
              <w:rPr>
                <w:rFonts w:hint="eastAsia" w:ascii="宋体" w:hAnsi="宋体"/>
                <w:kern w:val="0"/>
                <w:szCs w:val="21"/>
              </w:rPr>
              <w:t>2-1：具有家国情怀，乐于从教，热爱教育事业，具有较高的教师职业认同感，认同教师职业的专业性与意义性。</w:t>
            </w:r>
          </w:p>
          <w:p w14:paraId="04754C38">
            <w:pPr>
              <w:pStyle w:val="58"/>
              <w:shd w:val="clear" w:color="auto" w:fill="FFFFFF"/>
              <w:spacing w:line="276" w:lineRule="auto"/>
              <w:ind w:firstLine="0" w:firstLineChars="0"/>
              <w:jc w:val="left"/>
              <w:rPr>
                <w:rFonts w:hint="eastAsia" w:ascii="宋体" w:hAnsi="宋体" w:cs="宋体"/>
                <w:szCs w:val="21"/>
              </w:rPr>
            </w:pPr>
            <w:r>
              <w:rPr>
                <w:rFonts w:hint="eastAsia" w:ascii="宋体" w:hAnsi="宋体"/>
                <w:kern w:val="0"/>
                <w:szCs w:val="21"/>
              </w:rPr>
              <w:t>7-2：了解教师专业发展的要求，形成终身学习的意识和习惯，注重自身的专业发展，根据基础教育课程改革的动态和发展情况，进行职业生涯规划和自主学习。</w:t>
            </w:r>
          </w:p>
        </w:tc>
      </w:tr>
    </w:tbl>
    <w:p w14:paraId="31333D1D">
      <w:pPr>
        <w:spacing w:line="360" w:lineRule="auto"/>
        <w:outlineLvl w:val="0"/>
        <w:rPr>
          <w:rFonts w:ascii="宋体" w:hAnsi="宋体"/>
          <w:b/>
          <w:sz w:val="28"/>
          <w:szCs w:val="28"/>
        </w:rPr>
      </w:pPr>
      <w:r>
        <w:rPr>
          <w:rFonts w:hint="eastAsia" w:ascii="宋体" w:hAnsi="宋体"/>
          <w:b/>
          <w:sz w:val="28"/>
          <w:szCs w:val="28"/>
        </w:rPr>
        <w:t>三</w:t>
      </w:r>
      <w:r>
        <w:rPr>
          <w:rFonts w:ascii="宋体" w:hAnsi="宋体"/>
          <w:b/>
          <w:sz w:val="28"/>
          <w:szCs w:val="28"/>
        </w:rPr>
        <w:t>、课程内容及要求</w:t>
      </w:r>
    </w:p>
    <w:p w14:paraId="370B8177">
      <w:pPr>
        <w:spacing w:line="360" w:lineRule="auto"/>
        <w:ind w:firstLine="482" w:firstLineChars="200"/>
        <w:outlineLvl w:val="0"/>
        <w:rPr>
          <w:rFonts w:ascii="宋体" w:hAnsi="宋体"/>
          <w:b/>
          <w:sz w:val="24"/>
          <w:szCs w:val="22"/>
        </w:rPr>
      </w:pPr>
      <w:r>
        <w:rPr>
          <w:rFonts w:hint="eastAsia" w:ascii="宋体" w:hAnsi="宋体"/>
          <w:b/>
          <w:sz w:val="24"/>
          <w:szCs w:val="22"/>
        </w:rPr>
        <w:t>（一）小学教育专业简介（本模块各知识点的讲授与学习，可以支撑课程目标1）</w:t>
      </w:r>
    </w:p>
    <w:p w14:paraId="3557ACD8">
      <w:pPr>
        <w:spacing w:line="360" w:lineRule="auto"/>
        <w:ind w:firstLine="482" w:firstLineChars="200"/>
        <w:rPr>
          <w:rFonts w:ascii="宋体" w:hAnsi="宋体"/>
          <w:b/>
          <w:sz w:val="24"/>
          <w:szCs w:val="22"/>
        </w:rPr>
      </w:pPr>
      <w:r>
        <w:rPr>
          <w:rFonts w:ascii="宋体" w:hAnsi="宋体"/>
          <w:b/>
          <w:sz w:val="24"/>
          <w:szCs w:val="22"/>
        </w:rPr>
        <w:t>1.教学内容</w:t>
      </w:r>
    </w:p>
    <w:p w14:paraId="1E51D10F">
      <w:pPr>
        <w:spacing w:line="360" w:lineRule="auto"/>
        <w:ind w:firstLine="480" w:firstLineChars="200"/>
        <w:rPr>
          <w:rFonts w:hint="eastAsia"/>
          <w:sz w:val="24"/>
        </w:rPr>
      </w:pPr>
      <w:r>
        <w:rPr>
          <w:rFonts w:hint="eastAsia"/>
          <w:sz w:val="24"/>
        </w:rPr>
        <w:t>（1）小学教育专业的历史、现状与未来</w:t>
      </w:r>
    </w:p>
    <w:p w14:paraId="5C015947">
      <w:pPr>
        <w:spacing w:line="360" w:lineRule="auto"/>
        <w:ind w:firstLine="480" w:firstLineChars="200"/>
        <w:rPr>
          <w:sz w:val="24"/>
        </w:rPr>
      </w:pPr>
      <w:r>
        <w:rPr>
          <w:rFonts w:hint="eastAsia"/>
          <w:sz w:val="24"/>
        </w:rPr>
        <w:t>（2）小学教育专业培养方案解读</w:t>
      </w:r>
    </w:p>
    <w:p w14:paraId="07A002DB">
      <w:pPr>
        <w:spacing w:line="360" w:lineRule="auto"/>
        <w:ind w:firstLine="482" w:firstLineChars="200"/>
        <w:rPr>
          <w:rFonts w:ascii="宋体" w:hAnsi="宋体"/>
          <w:b/>
          <w:sz w:val="24"/>
          <w:szCs w:val="22"/>
        </w:rPr>
      </w:pPr>
      <w:r>
        <w:rPr>
          <w:rFonts w:ascii="宋体" w:hAnsi="宋体"/>
          <w:b/>
          <w:sz w:val="24"/>
          <w:szCs w:val="22"/>
        </w:rPr>
        <w:t>2.基本要求</w:t>
      </w:r>
    </w:p>
    <w:p w14:paraId="05367922">
      <w:pPr>
        <w:spacing w:line="360" w:lineRule="auto"/>
        <w:ind w:firstLine="480" w:firstLineChars="200"/>
        <w:rPr>
          <w:rFonts w:hint="eastAsia" w:ascii="宋体" w:hAnsi="宋体"/>
          <w:sz w:val="24"/>
          <w:szCs w:val="22"/>
        </w:rPr>
      </w:pPr>
      <w:r>
        <w:rPr>
          <w:rFonts w:hint="eastAsia" w:ascii="宋体" w:hAnsi="宋体"/>
          <w:sz w:val="24"/>
          <w:szCs w:val="22"/>
        </w:rPr>
        <w:t>（1）了解小学教育专业的历史、现状与未来.</w:t>
      </w:r>
    </w:p>
    <w:p w14:paraId="3F98F3E8">
      <w:pPr>
        <w:spacing w:line="360" w:lineRule="auto"/>
        <w:ind w:firstLine="480" w:firstLineChars="200"/>
        <w:rPr>
          <w:rFonts w:ascii="宋体" w:hAnsi="宋体"/>
          <w:sz w:val="24"/>
          <w:szCs w:val="22"/>
        </w:rPr>
      </w:pPr>
      <w:r>
        <w:rPr>
          <w:rFonts w:hint="eastAsia" w:ascii="宋体" w:hAnsi="宋体"/>
          <w:sz w:val="24"/>
          <w:szCs w:val="22"/>
        </w:rPr>
        <w:t>（2）了解小学教育专业的培养目标，知道小学教育专业学生应具备的知识和能力.</w:t>
      </w:r>
    </w:p>
    <w:p w14:paraId="478E4056">
      <w:pPr>
        <w:spacing w:line="360" w:lineRule="auto"/>
        <w:ind w:firstLine="480" w:firstLineChars="200"/>
        <w:rPr>
          <w:rFonts w:ascii="宋体" w:hAnsi="宋体"/>
          <w:sz w:val="24"/>
          <w:szCs w:val="22"/>
        </w:rPr>
      </w:pPr>
      <w:r>
        <w:rPr>
          <w:rFonts w:hint="eastAsia" w:ascii="宋体" w:hAnsi="宋体"/>
          <w:sz w:val="24"/>
          <w:szCs w:val="22"/>
        </w:rPr>
        <w:t>（3）了解小学教育专业的课程设置。</w:t>
      </w:r>
    </w:p>
    <w:p w14:paraId="5E2CE82C">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51A3FFE">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了解小学</w:t>
      </w:r>
      <w:r>
        <w:rPr>
          <w:rFonts w:ascii="宋体" w:hAnsi="宋体"/>
          <w:sz w:val="24"/>
          <w:szCs w:val="22"/>
        </w:rPr>
        <w:t>教育专业</w:t>
      </w:r>
      <w:r>
        <w:rPr>
          <w:rFonts w:hint="eastAsia" w:ascii="宋体" w:hAnsi="宋体"/>
          <w:sz w:val="24"/>
          <w:szCs w:val="22"/>
        </w:rPr>
        <w:t>发展</w:t>
      </w:r>
      <w:r>
        <w:rPr>
          <w:rFonts w:ascii="宋体" w:hAnsi="宋体"/>
          <w:sz w:val="24"/>
          <w:szCs w:val="22"/>
        </w:rPr>
        <w:t>的</w:t>
      </w:r>
      <w:r>
        <w:rPr>
          <w:rFonts w:hint="eastAsia" w:ascii="宋体" w:hAnsi="宋体"/>
          <w:sz w:val="24"/>
          <w:szCs w:val="22"/>
        </w:rPr>
        <w:t>悠久</w:t>
      </w:r>
      <w:r>
        <w:rPr>
          <w:rFonts w:ascii="宋体" w:hAnsi="宋体"/>
          <w:sz w:val="24"/>
          <w:szCs w:val="22"/>
        </w:rPr>
        <w:t>历史，增强</w:t>
      </w:r>
      <w:r>
        <w:rPr>
          <w:rFonts w:hint="eastAsia" w:ascii="宋体" w:hAnsi="宋体"/>
          <w:sz w:val="24"/>
          <w:szCs w:val="22"/>
        </w:rPr>
        <w:t>文化</w:t>
      </w:r>
      <w:r>
        <w:rPr>
          <w:rFonts w:ascii="宋体" w:hAnsi="宋体"/>
          <w:sz w:val="24"/>
          <w:szCs w:val="22"/>
        </w:rPr>
        <w:t>自信和专业自信。</w:t>
      </w:r>
    </w:p>
    <w:p w14:paraId="0CCEB711">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通过</w:t>
      </w:r>
      <w:r>
        <w:rPr>
          <w:rFonts w:ascii="宋体" w:hAnsi="宋体"/>
          <w:sz w:val="24"/>
          <w:szCs w:val="22"/>
        </w:rPr>
        <w:t>对专业概况的了解，进一步</w:t>
      </w:r>
      <w:r>
        <w:rPr>
          <w:rFonts w:hint="eastAsia" w:ascii="宋体" w:hAnsi="宋体"/>
          <w:sz w:val="24"/>
          <w:szCs w:val="22"/>
        </w:rPr>
        <w:t>巩固</w:t>
      </w:r>
      <w:r>
        <w:rPr>
          <w:rFonts w:ascii="宋体" w:hAnsi="宋体"/>
          <w:sz w:val="24"/>
          <w:szCs w:val="22"/>
        </w:rPr>
        <w:t>专业思想，强化专业情怀。</w:t>
      </w:r>
    </w:p>
    <w:p w14:paraId="0ABA9F67">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小学教育专业的发展</w:t>
      </w:r>
      <w:r>
        <w:rPr>
          <w:rFonts w:ascii="宋体" w:hAnsi="宋体"/>
          <w:sz w:val="24"/>
          <w:szCs w:val="22"/>
        </w:rPr>
        <w:t>、</w:t>
      </w:r>
      <w:r>
        <w:rPr>
          <w:rFonts w:hint="eastAsia" w:ascii="宋体" w:hAnsi="宋体"/>
          <w:sz w:val="24"/>
          <w:szCs w:val="22"/>
        </w:rPr>
        <w:t>小学教育专业培养方案解读</w:t>
      </w:r>
    </w:p>
    <w:p w14:paraId="5E0057C0">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小学教育专业培养方案解读</w:t>
      </w:r>
    </w:p>
    <w:p w14:paraId="40E5BA4A">
      <w:pPr>
        <w:spacing w:line="360" w:lineRule="auto"/>
        <w:ind w:firstLine="482" w:firstLineChars="200"/>
        <w:outlineLvl w:val="0"/>
        <w:rPr>
          <w:rFonts w:ascii="宋体" w:hAnsi="宋体"/>
          <w:b/>
          <w:sz w:val="24"/>
          <w:szCs w:val="22"/>
        </w:rPr>
      </w:pPr>
      <w:r>
        <w:rPr>
          <w:rFonts w:hint="eastAsia" w:ascii="宋体" w:hAnsi="宋体"/>
          <w:b/>
          <w:sz w:val="24"/>
          <w:szCs w:val="22"/>
        </w:rPr>
        <w:t>（二）小学教育专业教师教育课程的学习（本模块各知识点的讲授与学习，可以支撑课程目标</w:t>
      </w:r>
      <w:r>
        <w:rPr>
          <w:rFonts w:ascii="宋体" w:hAnsi="宋体"/>
          <w:b/>
          <w:sz w:val="24"/>
          <w:szCs w:val="22"/>
        </w:rPr>
        <w:t>2</w:t>
      </w:r>
      <w:r>
        <w:rPr>
          <w:rFonts w:hint="eastAsia" w:ascii="宋体" w:hAnsi="宋体"/>
          <w:b/>
          <w:sz w:val="24"/>
          <w:szCs w:val="22"/>
        </w:rPr>
        <w:t>）</w:t>
      </w:r>
    </w:p>
    <w:p w14:paraId="57CC6D6C">
      <w:pPr>
        <w:spacing w:line="360" w:lineRule="auto"/>
        <w:ind w:firstLine="482" w:firstLineChars="200"/>
        <w:rPr>
          <w:rFonts w:ascii="宋体" w:hAnsi="宋体"/>
          <w:b/>
          <w:sz w:val="24"/>
          <w:szCs w:val="22"/>
        </w:rPr>
      </w:pPr>
      <w:r>
        <w:rPr>
          <w:rFonts w:ascii="宋体" w:hAnsi="宋体"/>
          <w:b/>
          <w:sz w:val="24"/>
          <w:szCs w:val="22"/>
        </w:rPr>
        <w:t>1.教学内容</w:t>
      </w:r>
    </w:p>
    <w:p w14:paraId="1B6361C5">
      <w:pPr>
        <w:spacing w:line="360" w:lineRule="auto"/>
        <w:ind w:firstLine="470" w:firstLineChars="196"/>
        <w:rPr>
          <w:rFonts w:hint="eastAsia"/>
          <w:sz w:val="24"/>
        </w:rPr>
      </w:pPr>
      <w:r>
        <w:rPr>
          <w:rFonts w:hint="eastAsia"/>
          <w:sz w:val="24"/>
        </w:rPr>
        <w:t>（1）教育理论课程的</w:t>
      </w:r>
      <w:r>
        <w:rPr>
          <w:sz w:val="24"/>
        </w:rPr>
        <w:t>学习与</w:t>
      </w:r>
      <w:r>
        <w:rPr>
          <w:rFonts w:hint="eastAsia"/>
          <w:sz w:val="24"/>
        </w:rPr>
        <w:t>考研方向的选择</w:t>
      </w:r>
    </w:p>
    <w:p w14:paraId="5D986E32">
      <w:pPr>
        <w:spacing w:line="360" w:lineRule="auto"/>
        <w:ind w:firstLine="470" w:firstLineChars="196"/>
        <w:rPr>
          <w:rFonts w:hint="eastAsia"/>
          <w:sz w:val="24"/>
        </w:rPr>
      </w:pPr>
      <w:r>
        <w:rPr>
          <w:rFonts w:hint="eastAsia"/>
          <w:sz w:val="24"/>
        </w:rPr>
        <w:t>（2）教育实践类课程的学习与</w:t>
      </w:r>
      <w:r>
        <w:rPr>
          <w:sz w:val="24"/>
        </w:rPr>
        <w:t>实践能力的提升</w:t>
      </w:r>
    </w:p>
    <w:p w14:paraId="537B1FEC">
      <w:pPr>
        <w:spacing w:line="360" w:lineRule="auto"/>
        <w:ind w:firstLine="482" w:firstLineChars="200"/>
        <w:rPr>
          <w:rFonts w:ascii="宋体" w:hAnsi="宋体"/>
          <w:b/>
          <w:sz w:val="24"/>
          <w:szCs w:val="22"/>
        </w:rPr>
      </w:pPr>
      <w:r>
        <w:rPr>
          <w:rFonts w:ascii="宋体" w:hAnsi="宋体"/>
          <w:b/>
          <w:sz w:val="24"/>
          <w:szCs w:val="22"/>
        </w:rPr>
        <w:t>2.基本要求</w:t>
      </w:r>
    </w:p>
    <w:p w14:paraId="246C8B57">
      <w:pPr>
        <w:spacing w:line="360" w:lineRule="auto"/>
        <w:ind w:firstLine="470" w:firstLineChars="196"/>
        <w:rPr>
          <w:rFonts w:hint="eastAsia"/>
          <w:sz w:val="24"/>
        </w:rPr>
      </w:pPr>
      <w:r>
        <w:rPr>
          <w:rFonts w:hint="eastAsia"/>
          <w:sz w:val="24"/>
        </w:rPr>
        <w:t>（1）了解教育学、</w:t>
      </w:r>
      <w:r>
        <w:rPr>
          <w:sz w:val="24"/>
        </w:rPr>
        <w:t>心理学</w:t>
      </w:r>
      <w:r>
        <w:rPr>
          <w:rFonts w:hint="eastAsia"/>
          <w:sz w:val="24"/>
        </w:rPr>
        <w:t>学科的发展情况。</w:t>
      </w:r>
    </w:p>
    <w:p w14:paraId="23ED6930">
      <w:pPr>
        <w:spacing w:line="360" w:lineRule="auto"/>
        <w:ind w:firstLine="470" w:firstLineChars="196"/>
        <w:rPr>
          <w:sz w:val="24"/>
        </w:rPr>
      </w:pPr>
      <w:r>
        <w:rPr>
          <w:rFonts w:hint="eastAsia"/>
          <w:sz w:val="24"/>
        </w:rPr>
        <w:t>（2）知道教育学、</w:t>
      </w:r>
      <w:r>
        <w:rPr>
          <w:sz w:val="24"/>
        </w:rPr>
        <w:t>心理学学</w:t>
      </w:r>
      <w:r>
        <w:rPr>
          <w:rFonts w:hint="eastAsia"/>
          <w:sz w:val="24"/>
        </w:rPr>
        <w:t>科方面的考研方向。</w:t>
      </w:r>
    </w:p>
    <w:p w14:paraId="58E3392F">
      <w:pPr>
        <w:spacing w:line="360" w:lineRule="auto"/>
        <w:ind w:firstLine="470" w:firstLineChars="196"/>
        <w:rPr>
          <w:rFonts w:hint="eastAsia"/>
          <w:sz w:val="24"/>
        </w:rPr>
      </w:pPr>
      <w:r>
        <w:rPr>
          <w:rFonts w:hint="eastAsia"/>
          <w:sz w:val="24"/>
        </w:rPr>
        <w:t>（3）理解小学教育专业实践能力的内涵及提升路径。</w:t>
      </w:r>
    </w:p>
    <w:p w14:paraId="39C1BE3B">
      <w:pPr>
        <w:spacing w:line="360" w:lineRule="auto"/>
        <w:ind w:firstLine="470" w:firstLineChars="196"/>
        <w:rPr>
          <w:rFonts w:hint="eastAsia"/>
          <w:sz w:val="24"/>
        </w:rPr>
      </w:pPr>
      <w:r>
        <w:rPr>
          <w:rFonts w:hint="eastAsia"/>
          <w:sz w:val="24"/>
        </w:rPr>
        <w:t>（</w:t>
      </w:r>
      <w:r>
        <w:rPr>
          <w:sz w:val="24"/>
        </w:rPr>
        <w:t>4</w:t>
      </w:r>
      <w:r>
        <w:rPr>
          <w:rFonts w:hint="eastAsia"/>
          <w:sz w:val="24"/>
        </w:rPr>
        <w:t>）初步了解并掌握教师教育课程的学习方法。</w:t>
      </w:r>
    </w:p>
    <w:p w14:paraId="32F17037">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65366A4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注重我</w:t>
      </w:r>
      <w:r>
        <w:rPr>
          <w:rFonts w:ascii="宋体" w:hAnsi="宋体"/>
          <w:sz w:val="24"/>
          <w:szCs w:val="22"/>
        </w:rPr>
        <w:t>国</w:t>
      </w:r>
      <w:r>
        <w:rPr>
          <w:rFonts w:hint="eastAsia" w:ascii="宋体" w:hAnsi="宋体"/>
          <w:sz w:val="24"/>
          <w:szCs w:val="22"/>
        </w:rPr>
        <w:t>先进</w:t>
      </w:r>
      <w:r>
        <w:rPr>
          <w:rFonts w:ascii="宋体" w:hAnsi="宋体"/>
          <w:sz w:val="24"/>
          <w:szCs w:val="22"/>
        </w:rPr>
        <w:t>教育理念的学习</w:t>
      </w:r>
      <w:r>
        <w:rPr>
          <w:rFonts w:hint="eastAsia" w:ascii="宋体" w:hAnsi="宋体"/>
          <w:sz w:val="24"/>
          <w:szCs w:val="22"/>
        </w:rPr>
        <w:t>，</w:t>
      </w:r>
      <w:r>
        <w:rPr>
          <w:rFonts w:ascii="宋体" w:hAnsi="宋体"/>
          <w:sz w:val="24"/>
          <w:szCs w:val="22"/>
        </w:rPr>
        <w:t>增强文化自信。</w:t>
      </w:r>
    </w:p>
    <w:p w14:paraId="58022091">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养成</w:t>
      </w:r>
      <w:r>
        <w:rPr>
          <w:rFonts w:ascii="宋体" w:hAnsi="宋体"/>
          <w:sz w:val="24"/>
          <w:szCs w:val="22"/>
        </w:rPr>
        <w:t>科学、严谨的</w:t>
      </w:r>
      <w:r>
        <w:rPr>
          <w:rFonts w:hint="eastAsia" w:ascii="宋体" w:hAnsi="宋体"/>
          <w:sz w:val="24"/>
          <w:szCs w:val="22"/>
        </w:rPr>
        <w:t>学习</w:t>
      </w:r>
      <w:r>
        <w:rPr>
          <w:rFonts w:ascii="宋体" w:hAnsi="宋体"/>
          <w:sz w:val="24"/>
          <w:szCs w:val="22"/>
        </w:rPr>
        <w:t>习惯</w:t>
      </w:r>
      <w:r>
        <w:rPr>
          <w:rFonts w:hint="eastAsia" w:ascii="宋体" w:hAnsi="宋体"/>
          <w:sz w:val="24"/>
          <w:szCs w:val="22"/>
        </w:rPr>
        <w:t>和</w:t>
      </w:r>
      <w:r>
        <w:rPr>
          <w:rFonts w:ascii="宋体" w:hAnsi="宋体"/>
          <w:sz w:val="24"/>
          <w:szCs w:val="22"/>
        </w:rPr>
        <w:t>实事求是的精神。</w:t>
      </w:r>
    </w:p>
    <w:p w14:paraId="479CA057">
      <w:pPr>
        <w:spacing w:line="360" w:lineRule="auto"/>
        <w:ind w:firstLine="480" w:firstLineChars="200"/>
        <w:rPr>
          <w:rFonts w:hint="eastAsia" w:ascii="宋体" w:hAnsi="宋体"/>
          <w:sz w:val="24"/>
          <w:szCs w:val="22"/>
        </w:rPr>
      </w:pPr>
      <w:r>
        <w:rPr>
          <w:rFonts w:hint="eastAsia" w:ascii="宋体" w:hAnsi="宋体"/>
          <w:sz w:val="24"/>
          <w:szCs w:val="22"/>
        </w:rPr>
        <w:t>（</w:t>
      </w:r>
      <w:r>
        <w:rPr>
          <w:rFonts w:ascii="宋体" w:hAnsi="宋体"/>
          <w:sz w:val="24"/>
          <w:szCs w:val="22"/>
        </w:rPr>
        <w:t>3</w:t>
      </w:r>
      <w:r>
        <w:rPr>
          <w:rFonts w:hint="eastAsia" w:ascii="宋体" w:hAnsi="宋体"/>
          <w:sz w:val="24"/>
          <w:szCs w:val="22"/>
        </w:rPr>
        <w:t>）注重自身实践能力和创新精神的提高。</w:t>
      </w:r>
    </w:p>
    <w:p w14:paraId="2896642F">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教育学、</w:t>
      </w:r>
      <w:r>
        <w:rPr>
          <w:rFonts w:ascii="宋体" w:hAnsi="宋体"/>
          <w:sz w:val="24"/>
          <w:szCs w:val="22"/>
        </w:rPr>
        <w:t>心理学</w:t>
      </w:r>
      <w:r>
        <w:rPr>
          <w:rFonts w:hint="eastAsia" w:ascii="宋体" w:hAnsi="宋体"/>
          <w:sz w:val="24"/>
          <w:szCs w:val="22"/>
        </w:rPr>
        <w:t>学科的发展与考研方向的选择</w:t>
      </w:r>
    </w:p>
    <w:p w14:paraId="333CA5C3">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教师教育课程的学习方法</w:t>
      </w:r>
    </w:p>
    <w:p w14:paraId="6F820997">
      <w:pPr>
        <w:spacing w:line="360" w:lineRule="auto"/>
        <w:ind w:firstLine="361" w:firstLineChars="150"/>
        <w:outlineLvl w:val="0"/>
        <w:rPr>
          <w:rFonts w:hint="eastAsia" w:ascii="宋体" w:hAnsi="宋体"/>
          <w:b/>
          <w:sz w:val="24"/>
          <w:szCs w:val="22"/>
        </w:rPr>
      </w:pPr>
      <w:r>
        <w:rPr>
          <w:rFonts w:hint="eastAsia" w:ascii="宋体" w:hAnsi="宋体"/>
          <w:b/>
          <w:sz w:val="24"/>
          <w:szCs w:val="22"/>
        </w:rPr>
        <w:t>（三）小学教育专业学科</w:t>
      </w:r>
      <w:r>
        <w:rPr>
          <w:rFonts w:ascii="宋体" w:hAnsi="宋体"/>
          <w:b/>
          <w:sz w:val="24"/>
          <w:szCs w:val="22"/>
        </w:rPr>
        <w:t>方向</w:t>
      </w:r>
      <w:r>
        <w:rPr>
          <w:rFonts w:hint="eastAsia" w:ascii="宋体" w:hAnsi="宋体"/>
          <w:b/>
          <w:sz w:val="24"/>
          <w:szCs w:val="22"/>
        </w:rPr>
        <w:t>课程的学习（本模块各知识点的讲授与学习，可以支撑课程目标</w:t>
      </w:r>
      <w:r>
        <w:rPr>
          <w:rFonts w:ascii="宋体" w:hAnsi="宋体"/>
          <w:b/>
          <w:sz w:val="24"/>
          <w:szCs w:val="22"/>
        </w:rPr>
        <w:t>2</w:t>
      </w:r>
      <w:r>
        <w:rPr>
          <w:rFonts w:hint="eastAsia" w:ascii="宋体" w:hAnsi="宋体"/>
          <w:b/>
          <w:sz w:val="24"/>
          <w:szCs w:val="22"/>
        </w:rPr>
        <w:t>）</w:t>
      </w:r>
    </w:p>
    <w:p w14:paraId="41C49F69">
      <w:pPr>
        <w:spacing w:line="360" w:lineRule="auto"/>
        <w:ind w:firstLine="482" w:firstLineChars="200"/>
        <w:rPr>
          <w:rFonts w:ascii="宋体" w:hAnsi="宋体"/>
          <w:b/>
          <w:sz w:val="24"/>
          <w:szCs w:val="22"/>
        </w:rPr>
      </w:pPr>
      <w:r>
        <w:rPr>
          <w:rFonts w:ascii="宋体" w:hAnsi="宋体"/>
          <w:b/>
          <w:sz w:val="24"/>
          <w:szCs w:val="22"/>
        </w:rPr>
        <w:t>1.教学内容</w:t>
      </w:r>
    </w:p>
    <w:p w14:paraId="0884CFFA">
      <w:pPr>
        <w:spacing w:line="360" w:lineRule="auto"/>
        <w:ind w:firstLine="480" w:firstLineChars="200"/>
        <w:rPr>
          <w:rFonts w:hint="eastAsia"/>
          <w:sz w:val="24"/>
        </w:rPr>
      </w:pPr>
      <w:r>
        <w:rPr>
          <w:rFonts w:hint="eastAsia"/>
          <w:sz w:val="24"/>
        </w:rPr>
        <w:t>（1）小学教育专业</w:t>
      </w:r>
      <w:r>
        <w:rPr>
          <w:sz w:val="24"/>
        </w:rPr>
        <w:t>学科</w:t>
      </w:r>
      <w:r>
        <w:rPr>
          <w:rFonts w:hint="eastAsia"/>
          <w:sz w:val="24"/>
        </w:rPr>
        <w:t>方向课程的发展与考研方向的选择</w:t>
      </w:r>
    </w:p>
    <w:p w14:paraId="78B5EA9F">
      <w:pPr>
        <w:spacing w:line="360" w:lineRule="auto"/>
        <w:ind w:firstLine="470" w:firstLineChars="196"/>
        <w:rPr>
          <w:rFonts w:hint="eastAsia"/>
          <w:sz w:val="24"/>
        </w:rPr>
      </w:pPr>
      <w:r>
        <w:rPr>
          <w:rFonts w:hint="eastAsia"/>
          <w:sz w:val="24"/>
        </w:rPr>
        <w:t>（2）小学教育专业学科方向课程的学习方法</w:t>
      </w:r>
    </w:p>
    <w:p w14:paraId="5AAB9AE5">
      <w:pPr>
        <w:spacing w:line="360" w:lineRule="auto"/>
        <w:ind w:firstLine="482" w:firstLineChars="200"/>
        <w:rPr>
          <w:rFonts w:ascii="宋体" w:hAnsi="宋体"/>
          <w:b/>
          <w:sz w:val="24"/>
          <w:szCs w:val="22"/>
        </w:rPr>
      </w:pPr>
      <w:r>
        <w:rPr>
          <w:rFonts w:ascii="宋体" w:hAnsi="宋体"/>
          <w:b/>
          <w:sz w:val="24"/>
          <w:szCs w:val="22"/>
        </w:rPr>
        <w:t>2.基本要求</w:t>
      </w:r>
    </w:p>
    <w:p w14:paraId="41FE73E5">
      <w:pPr>
        <w:spacing w:line="360" w:lineRule="auto"/>
        <w:ind w:firstLine="470" w:firstLineChars="196"/>
        <w:rPr>
          <w:rFonts w:hint="eastAsia"/>
          <w:sz w:val="24"/>
        </w:rPr>
      </w:pPr>
      <w:r>
        <w:rPr>
          <w:rFonts w:hint="eastAsia"/>
          <w:sz w:val="24"/>
        </w:rPr>
        <w:t>（1）了解小学教育专业学科方向课程的发展情况。</w:t>
      </w:r>
    </w:p>
    <w:p w14:paraId="28371A2B">
      <w:pPr>
        <w:spacing w:line="360" w:lineRule="auto"/>
        <w:ind w:firstLine="470" w:firstLineChars="196"/>
        <w:rPr>
          <w:rFonts w:hint="eastAsia"/>
          <w:sz w:val="24"/>
        </w:rPr>
      </w:pPr>
      <w:r>
        <w:rPr>
          <w:rFonts w:hint="eastAsia"/>
          <w:sz w:val="24"/>
        </w:rPr>
        <w:t>（2）知道小学教育专业学科方向的考研选择。</w:t>
      </w:r>
    </w:p>
    <w:p w14:paraId="7C2CF26E">
      <w:pPr>
        <w:spacing w:line="360" w:lineRule="auto"/>
        <w:ind w:firstLine="470" w:firstLineChars="196"/>
        <w:rPr>
          <w:rFonts w:hint="eastAsia"/>
          <w:sz w:val="24"/>
        </w:rPr>
      </w:pPr>
      <w:r>
        <w:rPr>
          <w:rFonts w:hint="eastAsia"/>
          <w:sz w:val="24"/>
        </w:rPr>
        <w:t>（3）初步了解小学教育专业学科方向课程学习的一般方法，制订小学教育专业必读学科类书籍的阅读计划并付诸实施。</w:t>
      </w:r>
    </w:p>
    <w:p w14:paraId="61D017F7">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D27B59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注重对</w:t>
      </w:r>
      <w:r>
        <w:rPr>
          <w:rFonts w:ascii="宋体" w:hAnsi="宋体"/>
          <w:sz w:val="24"/>
          <w:szCs w:val="22"/>
        </w:rPr>
        <w:t>中国传统文化的学习，增强文化自信和民族自豪感</w:t>
      </w:r>
      <w:r>
        <w:rPr>
          <w:rFonts w:hint="eastAsia" w:ascii="宋体" w:hAnsi="宋体"/>
          <w:sz w:val="24"/>
          <w:szCs w:val="22"/>
        </w:rPr>
        <w:t>。</w:t>
      </w:r>
    </w:p>
    <w:p w14:paraId="62DFBE69">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养成严谨</w:t>
      </w:r>
      <w:r>
        <w:rPr>
          <w:rFonts w:ascii="宋体" w:hAnsi="宋体"/>
          <w:sz w:val="24"/>
          <w:szCs w:val="22"/>
        </w:rPr>
        <w:t>治学的习惯。</w:t>
      </w:r>
    </w:p>
    <w:p w14:paraId="60E0B1C9">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小学教育专业学科方向课程的发展与考研方向的选择</w:t>
      </w:r>
    </w:p>
    <w:p w14:paraId="4B55B452">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小学教育专业学科方向课程的学习方法与必读书籍</w:t>
      </w:r>
    </w:p>
    <w:p w14:paraId="05EBF0B2">
      <w:pPr>
        <w:spacing w:line="360" w:lineRule="auto"/>
        <w:ind w:firstLine="482" w:firstLineChars="200"/>
        <w:outlineLvl w:val="0"/>
        <w:rPr>
          <w:rFonts w:hint="eastAsia" w:ascii="宋体" w:hAnsi="宋体"/>
          <w:b/>
          <w:sz w:val="24"/>
          <w:szCs w:val="22"/>
        </w:rPr>
      </w:pPr>
      <w:r>
        <w:rPr>
          <w:rFonts w:hint="eastAsia" w:ascii="宋体" w:hAnsi="宋体"/>
          <w:b/>
          <w:sz w:val="24"/>
          <w:szCs w:val="22"/>
        </w:rPr>
        <w:t>（四）小学教师的专业发展（本模块各知识点的讲授与学习，可以支撑课程目标</w:t>
      </w:r>
      <w:r>
        <w:rPr>
          <w:rFonts w:ascii="宋体" w:hAnsi="宋体"/>
          <w:b/>
          <w:sz w:val="24"/>
          <w:szCs w:val="22"/>
        </w:rPr>
        <w:t>3</w:t>
      </w:r>
      <w:r>
        <w:rPr>
          <w:rFonts w:hint="eastAsia" w:ascii="宋体" w:hAnsi="宋体"/>
          <w:b/>
          <w:sz w:val="24"/>
          <w:szCs w:val="22"/>
        </w:rPr>
        <w:t>）</w:t>
      </w:r>
    </w:p>
    <w:p w14:paraId="3A2D4BA2">
      <w:pPr>
        <w:spacing w:line="360" w:lineRule="auto"/>
        <w:ind w:firstLine="482" w:firstLineChars="200"/>
        <w:rPr>
          <w:rFonts w:ascii="宋体" w:hAnsi="宋体"/>
          <w:b/>
          <w:sz w:val="24"/>
          <w:szCs w:val="22"/>
        </w:rPr>
      </w:pPr>
      <w:r>
        <w:rPr>
          <w:rFonts w:ascii="宋体" w:hAnsi="宋体"/>
          <w:b/>
          <w:sz w:val="24"/>
          <w:szCs w:val="22"/>
        </w:rPr>
        <w:t>1.教学内容</w:t>
      </w:r>
    </w:p>
    <w:p w14:paraId="3C1588A0">
      <w:pPr>
        <w:spacing w:line="360" w:lineRule="auto"/>
        <w:ind w:firstLine="480" w:firstLineChars="200"/>
        <w:rPr>
          <w:rFonts w:hint="eastAsia" w:ascii="宋体" w:hAnsi="宋体"/>
          <w:sz w:val="24"/>
          <w:szCs w:val="22"/>
        </w:rPr>
      </w:pPr>
      <w:r>
        <w:rPr>
          <w:rFonts w:hint="eastAsia" w:ascii="宋体" w:hAnsi="宋体"/>
          <w:sz w:val="24"/>
          <w:szCs w:val="22"/>
        </w:rPr>
        <w:t>（1）小学教师专业发展的维度</w:t>
      </w:r>
    </w:p>
    <w:p w14:paraId="04B4E28B">
      <w:pPr>
        <w:spacing w:line="360" w:lineRule="auto"/>
        <w:ind w:firstLine="480" w:firstLineChars="200"/>
        <w:rPr>
          <w:rFonts w:ascii="宋体" w:hAnsi="宋体"/>
          <w:sz w:val="24"/>
          <w:szCs w:val="22"/>
        </w:rPr>
      </w:pPr>
      <w:r>
        <w:rPr>
          <w:rFonts w:hint="eastAsia" w:ascii="宋体" w:hAnsi="宋体"/>
          <w:sz w:val="24"/>
          <w:szCs w:val="22"/>
        </w:rPr>
        <w:t>（2）小学教师专业发展的路径</w:t>
      </w:r>
    </w:p>
    <w:p w14:paraId="08646E3D">
      <w:pPr>
        <w:spacing w:line="360" w:lineRule="auto"/>
        <w:ind w:firstLine="480" w:firstLineChars="200"/>
        <w:rPr>
          <w:rFonts w:hint="eastAsia" w:ascii="宋体" w:hAnsi="宋体"/>
          <w:sz w:val="24"/>
          <w:szCs w:val="22"/>
        </w:rPr>
      </w:pPr>
      <w:r>
        <w:rPr>
          <w:rFonts w:hint="eastAsia"/>
          <w:sz w:val="24"/>
        </w:rPr>
        <w:t>（3）小学教师资格证的获得</w:t>
      </w:r>
    </w:p>
    <w:p w14:paraId="1111D73E">
      <w:pPr>
        <w:spacing w:line="360" w:lineRule="auto"/>
        <w:ind w:firstLine="482" w:firstLineChars="200"/>
        <w:rPr>
          <w:rFonts w:ascii="宋体" w:hAnsi="宋体"/>
          <w:b/>
          <w:sz w:val="24"/>
          <w:szCs w:val="22"/>
        </w:rPr>
      </w:pPr>
      <w:r>
        <w:rPr>
          <w:rFonts w:ascii="宋体" w:hAnsi="宋体"/>
          <w:b/>
          <w:sz w:val="24"/>
          <w:szCs w:val="22"/>
        </w:rPr>
        <w:t>2.基本要求</w:t>
      </w:r>
    </w:p>
    <w:p w14:paraId="0DC8EA4D">
      <w:pPr>
        <w:spacing w:line="360" w:lineRule="auto"/>
        <w:ind w:firstLine="470" w:firstLineChars="196"/>
        <w:rPr>
          <w:rFonts w:hint="eastAsia"/>
          <w:sz w:val="24"/>
        </w:rPr>
      </w:pPr>
      <w:r>
        <w:rPr>
          <w:rFonts w:hint="eastAsia"/>
          <w:sz w:val="24"/>
        </w:rPr>
        <w:t>（1）明确小学教师专业发展的意义；</w:t>
      </w:r>
    </w:p>
    <w:p w14:paraId="20AB3330">
      <w:pPr>
        <w:spacing w:line="360" w:lineRule="auto"/>
        <w:ind w:firstLine="470" w:firstLineChars="196"/>
        <w:rPr>
          <w:rFonts w:hint="eastAsia"/>
          <w:sz w:val="24"/>
        </w:rPr>
      </w:pPr>
      <w:r>
        <w:rPr>
          <w:rFonts w:hint="eastAsia"/>
          <w:sz w:val="24"/>
        </w:rPr>
        <w:t>（2）了解小学教师专业发展的维度与</w:t>
      </w:r>
      <w:r>
        <w:rPr>
          <w:sz w:val="24"/>
        </w:rPr>
        <w:t>路径</w:t>
      </w:r>
      <w:r>
        <w:rPr>
          <w:rFonts w:hint="eastAsia"/>
          <w:sz w:val="24"/>
        </w:rPr>
        <w:t xml:space="preserve">； </w:t>
      </w:r>
    </w:p>
    <w:p w14:paraId="197A6980">
      <w:pPr>
        <w:spacing w:line="360" w:lineRule="auto"/>
        <w:ind w:firstLine="470" w:firstLineChars="196"/>
        <w:rPr>
          <w:rFonts w:hint="eastAsia"/>
          <w:sz w:val="24"/>
        </w:rPr>
      </w:pPr>
      <w:r>
        <w:rPr>
          <w:rFonts w:hint="eastAsia"/>
          <w:sz w:val="24"/>
        </w:rPr>
        <w:t>（3）了解小学教师资格的获得条件和流程</w:t>
      </w:r>
    </w:p>
    <w:p w14:paraId="40BE26CC">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3FAF6A9F">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能够以“</w:t>
      </w:r>
      <w:r>
        <w:rPr>
          <w:rFonts w:ascii="宋体" w:hAnsi="宋体"/>
          <w:sz w:val="24"/>
          <w:szCs w:val="22"/>
        </w:rPr>
        <w:t>四有”</w:t>
      </w:r>
      <w:r>
        <w:rPr>
          <w:rFonts w:hint="eastAsia" w:ascii="宋体" w:hAnsi="宋体"/>
          <w:sz w:val="24"/>
          <w:szCs w:val="22"/>
        </w:rPr>
        <w:t>好</w:t>
      </w:r>
      <w:r>
        <w:rPr>
          <w:rFonts w:ascii="宋体" w:hAnsi="宋体"/>
          <w:sz w:val="24"/>
          <w:szCs w:val="22"/>
        </w:rPr>
        <w:t>老师的</w:t>
      </w:r>
      <w:r>
        <w:rPr>
          <w:rFonts w:hint="eastAsia" w:ascii="宋体" w:hAnsi="宋体"/>
          <w:sz w:val="24"/>
          <w:szCs w:val="22"/>
        </w:rPr>
        <w:t>标准</w:t>
      </w:r>
      <w:r>
        <w:rPr>
          <w:rFonts w:ascii="宋体" w:hAnsi="宋体"/>
          <w:sz w:val="24"/>
          <w:szCs w:val="22"/>
        </w:rPr>
        <w:t>要求自己，</w:t>
      </w:r>
      <w:r>
        <w:rPr>
          <w:rFonts w:hint="eastAsia" w:ascii="宋体" w:hAnsi="宋体"/>
          <w:sz w:val="24"/>
          <w:szCs w:val="22"/>
        </w:rPr>
        <w:t>树立</w:t>
      </w:r>
      <w:r>
        <w:rPr>
          <w:rFonts w:ascii="宋体" w:hAnsi="宋体"/>
          <w:sz w:val="24"/>
          <w:szCs w:val="22"/>
        </w:rPr>
        <w:t>为社会</w:t>
      </w:r>
      <w:r>
        <w:rPr>
          <w:rFonts w:hint="eastAsia" w:ascii="宋体" w:hAnsi="宋体"/>
          <w:sz w:val="24"/>
          <w:szCs w:val="22"/>
        </w:rPr>
        <w:t>主义</w:t>
      </w:r>
      <w:r>
        <w:rPr>
          <w:rFonts w:ascii="宋体" w:hAnsi="宋体"/>
          <w:sz w:val="24"/>
          <w:szCs w:val="22"/>
        </w:rPr>
        <w:t>教育事业奋斗的</w:t>
      </w:r>
      <w:r>
        <w:rPr>
          <w:rFonts w:hint="eastAsia" w:ascii="宋体" w:hAnsi="宋体"/>
          <w:sz w:val="24"/>
          <w:szCs w:val="22"/>
        </w:rPr>
        <w:t>远大志向</w:t>
      </w:r>
      <w:r>
        <w:rPr>
          <w:rFonts w:ascii="宋体" w:hAnsi="宋体"/>
          <w:sz w:val="24"/>
          <w:szCs w:val="22"/>
        </w:rPr>
        <w:t>。</w:t>
      </w:r>
    </w:p>
    <w:p w14:paraId="5EF906C9">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愿意为成</w:t>
      </w:r>
      <w:r>
        <w:rPr>
          <w:rFonts w:ascii="宋体" w:hAnsi="宋体"/>
          <w:sz w:val="24"/>
          <w:szCs w:val="22"/>
        </w:rPr>
        <w:t>为</w:t>
      </w:r>
      <w:r>
        <w:rPr>
          <w:rFonts w:hint="eastAsia" w:ascii="宋体" w:hAnsi="宋体"/>
          <w:sz w:val="24"/>
          <w:szCs w:val="22"/>
        </w:rPr>
        <w:t>一</w:t>
      </w:r>
      <w:r>
        <w:rPr>
          <w:rFonts w:ascii="宋体" w:hAnsi="宋体"/>
          <w:sz w:val="24"/>
          <w:szCs w:val="22"/>
        </w:rPr>
        <w:t>名小学</w:t>
      </w:r>
      <w:r>
        <w:rPr>
          <w:rFonts w:hint="eastAsia" w:ascii="宋体" w:hAnsi="宋体"/>
          <w:sz w:val="24"/>
          <w:szCs w:val="22"/>
        </w:rPr>
        <w:t>教师不懈</w:t>
      </w:r>
      <w:r>
        <w:rPr>
          <w:rFonts w:ascii="宋体" w:hAnsi="宋体"/>
          <w:sz w:val="24"/>
          <w:szCs w:val="22"/>
        </w:rPr>
        <w:t>努力。</w:t>
      </w:r>
    </w:p>
    <w:p w14:paraId="48667161">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小学教师专业发展的</w:t>
      </w:r>
      <w:r>
        <w:rPr>
          <w:rFonts w:ascii="宋体" w:hAnsi="宋体"/>
          <w:sz w:val="24"/>
          <w:szCs w:val="22"/>
        </w:rPr>
        <w:t>路径</w:t>
      </w:r>
      <w:r>
        <w:rPr>
          <w:rFonts w:hint="eastAsia" w:ascii="宋体" w:hAnsi="宋体"/>
          <w:sz w:val="24"/>
          <w:szCs w:val="22"/>
        </w:rPr>
        <w:t>与</w:t>
      </w:r>
      <w:r>
        <w:rPr>
          <w:rFonts w:ascii="宋体" w:hAnsi="宋体"/>
          <w:sz w:val="24"/>
          <w:szCs w:val="22"/>
        </w:rPr>
        <w:t>教师资格</w:t>
      </w:r>
      <w:r>
        <w:rPr>
          <w:rFonts w:hint="eastAsia" w:ascii="宋体" w:hAnsi="宋体"/>
          <w:sz w:val="24"/>
          <w:szCs w:val="22"/>
        </w:rPr>
        <w:t>的</w:t>
      </w:r>
      <w:r>
        <w:rPr>
          <w:rFonts w:ascii="宋体" w:hAnsi="宋体"/>
          <w:sz w:val="24"/>
          <w:szCs w:val="22"/>
        </w:rPr>
        <w:t>获得</w:t>
      </w:r>
    </w:p>
    <w:p w14:paraId="664E4AAC">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小学教师专业发展的维度</w:t>
      </w:r>
    </w:p>
    <w:p w14:paraId="1FF808BF">
      <w:pPr>
        <w:spacing w:line="360" w:lineRule="auto"/>
        <w:ind w:firstLine="480" w:firstLineChars="200"/>
        <w:rPr>
          <w:rFonts w:hint="eastAsia" w:ascii="宋体" w:hAnsi="宋体"/>
          <w:sz w:val="24"/>
          <w:szCs w:val="22"/>
        </w:rPr>
      </w:pPr>
    </w:p>
    <w:p w14:paraId="2042DD6F">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390B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2DFB34A7">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2B7D61B7">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7C7671F8">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4AF7483D">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099C72F6">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6CAE43EB">
            <w:pPr>
              <w:jc w:val="center"/>
              <w:rPr>
                <w:rFonts w:hint="eastAsia" w:ascii="宋体" w:hAnsi="宋体"/>
                <w:b/>
                <w:szCs w:val="21"/>
              </w:rPr>
            </w:pPr>
            <w:r>
              <w:rPr>
                <w:rFonts w:hint="eastAsia" w:ascii="宋体" w:hAnsi="宋体"/>
                <w:b/>
                <w:szCs w:val="21"/>
              </w:rPr>
              <w:t>实践</w:t>
            </w:r>
          </w:p>
          <w:p w14:paraId="72191336">
            <w:pPr>
              <w:jc w:val="center"/>
              <w:rPr>
                <w:rFonts w:ascii="宋体" w:hAnsi="宋体"/>
                <w:b/>
                <w:szCs w:val="21"/>
              </w:rPr>
            </w:pPr>
            <w:r>
              <w:rPr>
                <w:rFonts w:ascii="宋体" w:hAnsi="宋体"/>
                <w:b/>
                <w:szCs w:val="21"/>
              </w:rPr>
              <w:t>学时</w:t>
            </w:r>
          </w:p>
        </w:tc>
      </w:tr>
      <w:tr w14:paraId="4BD7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2787361A">
            <w:pPr>
              <w:jc w:val="center"/>
              <w:rPr>
                <w:rFonts w:ascii="宋体" w:hAnsi="宋体"/>
                <w:szCs w:val="21"/>
              </w:rPr>
            </w:pPr>
            <w:r>
              <w:rPr>
                <w:rFonts w:hint="eastAsia" w:ascii="宋体" w:hAnsi="宋体"/>
                <w:szCs w:val="21"/>
              </w:rPr>
              <w:t>1</w:t>
            </w:r>
          </w:p>
        </w:tc>
        <w:tc>
          <w:tcPr>
            <w:tcW w:w="4110" w:type="dxa"/>
            <w:shd w:val="clear" w:color="auto" w:fill="auto"/>
            <w:noWrap w:val="0"/>
            <w:vAlign w:val="center"/>
          </w:tcPr>
          <w:p w14:paraId="3C38113E">
            <w:pPr>
              <w:jc w:val="left"/>
              <w:rPr>
                <w:color w:val="000000"/>
                <w:szCs w:val="21"/>
              </w:rPr>
            </w:pPr>
            <w:r>
              <w:rPr>
                <w:rFonts w:hint="eastAsia"/>
                <w:color w:val="000000"/>
                <w:szCs w:val="21"/>
              </w:rPr>
              <w:t xml:space="preserve">小学教育专业简介 </w:t>
            </w:r>
          </w:p>
        </w:tc>
        <w:tc>
          <w:tcPr>
            <w:tcW w:w="1701" w:type="dxa"/>
            <w:shd w:val="clear" w:color="auto" w:fill="FFFFFF"/>
            <w:noWrap w:val="0"/>
            <w:vAlign w:val="center"/>
          </w:tcPr>
          <w:p w14:paraId="6B24437F">
            <w:pPr>
              <w:jc w:val="center"/>
              <w:rPr>
                <w:rFonts w:ascii="宋体" w:hAnsi="宋体"/>
                <w:szCs w:val="21"/>
              </w:rPr>
            </w:pPr>
            <w:r>
              <w:rPr>
                <w:rFonts w:hint="eastAsia" w:ascii="宋体" w:hAnsi="宋体"/>
                <w:kern w:val="0"/>
                <w:szCs w:val="21"/>
              </w:rPr>
              <w:t>目标1</w:t>
            </w:r>
          </w:p>
        </w:tc>
        <w:tc>
          <w:tcPr>
            <w:tcW w:w="1418" w:type="dxa"/>
            <w:shd w:val="clear" w:color="auto" w:fill="auto"/>
            <w:noWrap w:val="0"/>
            <w:vAlign w:val="center"/>
          </w:tcPr>
          <w:p w14:paraId="632D33AE">
            <w:pPr>
              <w:jc w:val="center"/>
              <w:rPr>
                <w:rFonts w:hint="eastAsia" w:ascii="宋体" w:hAnsi="宋体"/>
                <w:szCs w:val="21"/>
              </w:rPr>
            </w:pPr>
            <w:r>
              <w:rPr>
                <w:rFonts w:ascii="宋体" w:hAnsi="宋体"/>
                <w:szCs w:val="21"/>
              </w:rPr>
              <w:t>1-1</w:t>
            </w:r>
            <w:r>
              <w:rPr>
                <w:rFonts w:hint="eastAsia" w:ascii="宋体" w:hAnsi="宋体"/>
                <w:szCs w:val="21"/>
              </w:rPr>
              <w:t>、1-2</w:t>
            </w:r>
          </w:p>
          <w:p w14:paraId="1AB0AAB0">
            <w:pPr>
              <w:jc w:val="center"/>
              <w:rPr>
                <w:rFonts w:ascii="宋体" w:hAnsi="宋体"/>
              </w:rPr>
            </w:pPr>
            <w:r>
              <w:rPr>
                <w:rFonts w:ascii="宋体" w:hAnsi="宋体"/>
                <w:szCs w:val="21"/>
              </w:rPr>
              <w:t>2-1</w:t>
            </w:r>
            <w:r>
              <w:rPr>
                <w:rFonts w:hint="eastAsia" w:ascii="宋体" w:hAnsi="宋体"/>
                <w:szCs w:val="21"/>
              </w:rPr>
              <w:t>、7-</w:t>
            </w:r>
            <w:r>
              <w:rPr>
                <w:rFonts w:ascii="宋体" w:hAnsi="宋体"/>
                <w:szCs w:val="21"/>
              </w:rPr>
              <w:t>2</w:t>
            </w:r>
          </w:p>
        </w:tc>
        <w:tc>
          <w:tcPr>
            <w:tcW w:w="708" w:type="dxa"/>
            <w:gridSpan w:val="2"/>
            <w:shd w:val="clear" w:color="auto" w:fill="FFFFFF"/>
            <w:noWrap w:val="0"/>
            <w:vAlign w:val="center"/>
          </w:tcPr>
          <w:p w14:paraId="7C111D1D">
            <w:pPr>
              <w:jc w:val="center"/>
              <w:rPr>
                <w:rFonts w:ascii="宋体" w:hAnsi="宋体"/>
                <w:kern w:val="0"/>
                <w:szCs w:val="21"/>
              </w:rPr>
            </w:pPr>
            <w:r>
              <w:rPr>
                <w:rFonts w:hint="eastAsia" w:ascii="宋体" w:hAnsi="宋体"/>
                <w:kern w:val="0"/>
                <w:szCs w:val="21"/>
              </w:rPr>
              <w:t>2</w:t>
            </w:r>
          </w:p>
        </w:tc>
        <w:tc>
          <w:tcPr>
            <w:tcW w:w="709" w:type="dxa"/>
            <w:shd w:val="clear" w:color="auto" w:fill="FFFFFF"/>
            <w:noWrap w:val="0"/>
            <w:vAlign w:val="center"/>
          </w:tcPr>
          <w:p w14:paraId="01BFCC9D">
            <w:pPr>
              <w:jc w:val="center"/>
              <w:rPr>
                <w:rFonts w:ascii="宋体" w:hAnsi="宋体"/>
                <w:kern w:val="0"/>
                <w:szCs w:val="21"/>
              </w:rPr>
            </w:pPr>
          </w:p>
        </w:tc>
      </w:tr>
      <w:tr w14:paraId="7A15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6EB49797">
            <w:pPr>
              <w:jc w:val="center"/>
              <w:rPr>
                <w:rFonts w:ascii="宋体" w:hAnsi="宋体"/>
                <w:szCs w:val="21"/>
              </w:rPr>
            </w:pPr>
            <w:r>
              <w:rPr>
                <w:rFonts w:hint="eastAsia" w:ascii="宋体" w:hAnsi="宋体"/>
                <w:szCs w:val="21"/>
              </w:rPr>
              <w:t>2</w:t>
            </w:r>
          </w:p>
        </w:tc>
        <w:tc>
          <w:tcPr>
            <w:tcW w:w="4110" w:type="dxa"/>
            <w:noWrap w:val="0"/>
            <w:vAlign w:val="center"/>
          </w:tcPr>
          <w:p w14:paraId="3A704D92">
            <w:pPr>
              <w:jc w:val="left"/>
              <w:rPr>
                <w:color w:val="000000"/>
                <w:szCs w:val="21"/>
              </w:rPr>
            </w:pPr>
            <w:r>
              <w:rPr>
                <w:rFonts w:hint="eastAsia"/>
                <w:color w:val="000000"/>
                <w:szCs w:val="21"/>
              </w:rPr>
              <w:t xml:space="preserve">小小学教育专业教师教育课程的学习 </w:t>
            </w:r>
          </w:p>
        </w:tc>
        <w:tc>
          <w:tcPr>
            <w:tcW w:w="1701" w:type="dxa"/>
            <w:noWrap w:val="0"/>
            <w:vAlign w:val="center"/>
          </w:tcPr>
          <w:p w14:paraId="5523669D">
            <w:pPr>
              <w:jc w:val="center"/>
              <w:rPr>
                <w:rFonts w:ascii="宋体" w:hAnsi="宋体"/>
                <w:szCs w:val="21"/>
              </w:rPr>
            </w:pPr>
            <w:r>
              <w:rPr>
                <w:rFonts w:hint="eastAsia" w:ascii="宋体" w:hAnsi="宋体"/>
                <w:kern w:val="0"/>
                <w:szCs w:val="21"/>
              </w:rPr>
              <w:t>目标2</w:t>
            </w:r>
          </w:p>
        </w:tc>
        <w:tc>
          <w:tcPr>
            <w:tcW w:w="1418" w:type="dxa"/>
            <w:noWrap w:val="0"/>
            <w:vAlign w:val="top"/>
          </w:tcPr>
          <w:p w14:paraId="56F6D4A8">
            <w:pPr>
              <w:jc w:val="center"/>
              <w:rPr>
                <w:rFonts w:hint="eastAsia" w:ascii="宋体" w:hAnsi="宋体"/>
                <w:szCs w:val="21"/>
              </w:rPr>
            </w:pPr>
            <w:r>
              <w:rPr>
                <w:rFonts w:ascii="宋体" w:hAnsi="宋体"/>
                <w:szCs w:val="21"/>
              </w:rPr>
              <w:t>1-1</w:t>
            </w:r>
            <w:r>
              <w:rPr>
                <w:rFonts w:hint="eastAsia" w:ascii="宋体" w:hAnsi="宋体"/>
                <w:szCs w:val="21"/>
              </w:rPr>
              <w:t>、1-2</w:t>
            </w:r>
          </w:p>
          <w:p w14:paraId="21340AA2">
            <w:pPr>
              <w:jc w:val="center"/>
              <w:rPr>
                <w:rFonts w:hint="eastAsia" w:ascii="宋体" w:hAnsi="宋体"/>
                <w:szCs w:val="21"/>
              </w:rPr>
            </w:pPr>
            <w:r>
              <w:rPr>
                <w:rFonts w:ascii="宋体" w:hAnsi="宋体"/>
                <w:szCs w:val="21"/>
              </w:rPr>
              <w:t>2-1</w:t>
            </w:r>
            <w:r>
              <w:rPr>
                <w:rFonts w:hint="eastAsia" w:ascii="宋体" w:hAnsi="宋体"/>
                <w:szCs w:val="21"/>
              </w:rPr>
              <w:t>、7-</w:t>
            </w:r>
            <w:r>
              <w:rPr>
                <w:rFonts w:ascii="宋体" w:hAnsi="宋体"/>
                <w:szCs w:val="21"/>
              </w:rPr>
              <w:t>2</w:t>
            </w:r>
          </w:p>
        </w:tc>
        <w:tc>
          <w:tcPr>
            <w:tcW w:w="708" w:type="dxa"/>
            <w:gridSpan w:val="2"/>
            <w:noWrap w:val="0"/>
            <w:vAlign w:val="center"/>
          </w:tcPr>
          <w:p w14:paraId="6266B73F">
            <w:pPr>
              <w:jc w:val="center"/>
              <w:rPr>
                <w:rFonts w:ascii="宋体" w:hAnsi="宋体"/>
                <w:kern w:val="0"/>
                <w:szCs w:val="21"/>
              </w:rPr>
            </w:pPr>
            <w:r>
              <w:rPr>
                <w:rFonts w:ascii="宋体" w:hAnsi="宋体"/>
                <w:kern w:val="0"/>
                <w:szCs w:val="21"/>
              </w:rPr>
              <w:t>2</w:t>
            </w:r>
          </w:p>
        </w:tc>
        <w:tc>
          <w:tcPr>
            <w:tcW w:w="709" w:type="dxa"/>
            <w:noWrap w:val="0"/>
            <w:vAlign w:val="center"/>
          </w:tcPr>
          <w:p w14:paraId="13F0FFD7">
            <w:pPr>
              <w:jc w:val="center"/>
              <w:rPr>
                <w:rFonts w:ascii="宋体" w:hAnsi="宋体"/>
                <w:kern w:val="0"/>
                <w:szCs w:val="21"/>
              </w:rPr>
            </w:pPr>
          </w:p>
        </w:tc>
      </w:tr>
      <w:tr w14:paraId="7C50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3FF18F92">
            <w:pPr>
              <w:jc w:val="center"/>
              <w:rPr>
                <w:rFonts w:ascii="宋体" w:hAnsi="宋体"/>
                <w:szCs w:val="21"/>
              </w:rPr>
            </w:pPr>
            <w:r>
              <w:rPr>
                <w:rFonts w:hint="eastAsia" w:ascii="宋体" w:hAnsi="宋体"/>
                <w:szCs w:val="21"/>
              </w:rPr>
              <w:t>3</w:t>
            </w:r>
          </w:p>
        </w:tc>
        <w:tc>
          <w:tcPr>
            <w:tcW w:w="4110" w:type="dxa"/>
            <w:noWrap w:val="0"/>
            <w:vAlign w:val="center"/>
          </w:tcPr>
          <w:p w14:paraId="6C206EC9">
            <w:pPr>
              <w:jc w:val="left"/>
              <w:rPr>
                <w:color w:val="000000"/>
                <w:szCs w:val="21"/>
              </w:rPr>
            </w:pPr>
            <w:r>
              <w:rPr>
                <w:rFonts w:hint="eastAsia"/>
                <w:color w:val="000000"/>
                <w:szCs w:val="21"/>
              </w:rPr>
              <w:t>小学教小学教育专业学科方向课程的学习</w:t>
            </w:r>
          </w:p>
        </w:tc>
        <w:tc>
          <w:tcPr>
            <w:tcW w:w="1701" w:type="dxa"/>
            <w:noWrap w:val="0"/>
            <w:vAlign w:val="center"/>
          </w:tcPr>
          <w:p w14:paraId="2AFA16BB">
            <w:pPr>
              <w:jc w:val="center"/>
              <w:rPr>
                <w:rFonts w:ascii="宋体" w:hAnsi="宋体"/>
                <w:szCs w:val="21"/>
              </w:rPr>
            </w:pPr>
            <w:r>
              <w:rPr>
                <w:rFonts w:hint="eastAsia" w:ascii="宋体" w:hAnsi="宋体"/>
                <w:kern w:val="0"/>
                <w:szCs w:val="21"/>
              </w:rPr>
              <w:t>目标</w:t>
            </w:r>
            <w:r>
              <w:rPr>
                <w:rFonts w:ascii="宋体" w:hAnsi="宋体"/>
                <w:kern w:val="0"/>
                <w:szCs w:val="21"/>
              </w:rPr>
              <w:t>2</w:t>
            </w:r>
          </w:p>
        </w:tc>
        <w:tc>
          <w:tcPr>
            <w:tcW w:w="1418" w:type="dxa"/>
            <w:noWrap w:val="0"/>
            <w:vAlign w:val="top"/>
          </w:tcPr>
          <w:p w14:paraId="7075331C">
            <w:pPr>
              <w:jc w:val="center"/>
              <w:rPr>
                <w:rFonts w:hint="eastAsia" w:ascii="宋体" w:hAnsi="宋体"/>
                <w:szCs w:val="21"/>
              </w:rPr>
            </w:pPr>
            <w:r>
              <w:rPr>
                <w:rFonts w:ascii="宋体" w:hAnsi="宋体"/>
                <w:szCs w:val="21"/>
              </w:rPr>
              <w:t>1-1</w:t>
            </w:r>
            <w:r>
              <w:rPr>
                <w:rFonts w:hint="eastAsia" w:ascii="宋体" w:hAnsi="宋体"/>
                <w:szCs w:val="21"/>
              </w:rPr>
              <w:t>、1-2</w:t>
            </w:r>
          </w:p>
          <w:p w14:paraId="2F095E83">
            <w:pPr>
              <w:jc w:val="center"/>
              <w:rPr>
                <w:rFonts w:hint="eastAsia" w:ascii="宋体" w:hAnsi="宋体"/>
                <w:szCs w:val="21"/>
              </w:rPr>
            </w:pPr>
            <w:r>
              <w:rPr>
                <w:rFonts w:ascii="宋体" w:hAnsi="宋体"/>
                <w:szCs w:val="21"/>
              </w:rPr>
              <w:t>2-1</w:t>
            </w:r>
            <w:r>
              <w:rPr>
                <w:rFonts w:hint="eastAsia" w:ascii="宋体" w:hAnsi="宋体"/>
                <w:szCs w:val="21"/>
              </w:rPr>
              <w:t>、7-</w:t>
            </w:r>
            <w:r>
              <w:rPr>
                <w:rFonts w:ascii="宋体" w:hAnsi="宋体"/>
                <w:szCs w:val="21"/>
              </w:rPr>
              <w:t>2</w:t>
            </w:r>
          </w:p>
        </w:tc>
        <w:tc>
          <w:tcPr>
            <w:tcW w:w="708" w:type="dxa"/>
            <w:gridSpan w:val="2"/>
            <w:noWrap w:val="0"/>
            <w:vAlign w:val="center"/>
          </w:tcPr>
          <w:p w14:paraId="05C9CECE">
            <w:pPr>
              <w:jc w:val="center"/>
              <w:rPr>
                <w:rFonts w:ascii="宋体" w:hAnsi="宋体"/>
                <w:kern w:val="0"/>
                <w:szCs w:val="21"/>
              </w:rPr>
            </w:pPr>
            <w:r>
              <w:rPr>
                <w:rFonts w:ascii="宋体" w:hAnsi="宋体"/>
                <w:kern w:val="0"/>
                <w:szCs w:val="21"/>
              </w:rPr>
              <w:t>2</w:t>
            </w:r>
          </w:p>
        </w:tc>
        <w:tc>
          <w:tcPr>
            <w:tcW w:w="709" w:type="dxa"/>
            <w:noWrap w:val="0"/>
            <w:vAlign w:val="center"/>
          </w:tcPr>
          <w:p w14:paraId="5FCDA055">
            <w:pPr>
              <w:jc w:val="center"/>
              <w:rPr>
                <w:rFonts w:ascii="宋体" w:hAnsi="宋体"/>
                <w:kern w:val="0"/>
                <w:szCs w:val="21"/>
              </w:rPr>
            </w:pPr>
          </w:p>
        </w:tc>
      </w:tr>
      <w:tr w14:paraId="4CE1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shd w:val="clear" w:color="auto" w:fill="auto"/>
            <w:noWrap w:val="0"/>
            <w:vAlign w:val="center"/>
          </w:tcPr>
          <w:p w14:paraId="0D2ADCAD">
            <w:pPr>
              <w:jc w:val="center"/>
              <w:rPr>
                <w:rFonts w:ascii="宋体" w:hAnsi="宋体"/>
                <w:szCs w:val="21"/>
              </w:rPr>
            </w:pPr>
            <w:r>
              <w:rPr>
                <w:rFonts w:hint="eastAsia" w:ascii="宋体" w:hAnsi="宋体"/>
                <w:szCs w:val="21"/>
              </w:rPr>
              <w:t>4</w:t>
            </w:r>
          </w:p>
        </w:tc>
        <w:tc>
          <w:tcPr>
            <w:tcW w:w="4110" w:type="dxa"/>
            <w:shd w:val="clear" w:color="auto" w:fill="auto"/>
            <w:noWrap w:val="0"/>
            <w:vAlign w:val="center"/>
          </w:tcPr>
          <w:p w14:paraId="7870AD46">
            <w:pPr>
              <w:jc w:val="left"/>
              <w:rPr>
                <w:rFonts w:hint="eastAsia"/>
                <w:color w:val="000000"/>
                <w:szCs w:val="21"/>
              </w:rPr>
            </w:pPr>
            <w:r>
              <w:rPr>
                <w:rFonts w:hint="eastAsia"/>
                <w:color w:val="000000"/>
                <w:szCs w:val="21"/>
              </w:rPr>
              <w:t>小学教师的专业发展</w:t>
            </w:r>
          </w:p>
        </w:tc>
        <w:tc>
          <w:tcPr>
            <w:tcW w:w="1701" w:type="dxa"/>
            <w:shd w:val="clear" w:color="auto" w:fill="auto"/>
            <w:noWrap w:val="0"/>
            <w:vAlign w:val="center"/>
          </w:tcPr>
          <w:p w14:paraId="62FA8F26">
            <w:pPr>
              <w:jc w:val="center"/>
              <w:rPr>
                <w:rFonts w:ascii="宋体" w:hAnsi="宋体"/>
                <w:szCs w:val="21"/>
              </w:rPr>
            </w:pPr>
            <w:r>
              <w:rPr>
                <w:rFonts w:hint="eastAsia" w:ascii="宋体" w:hAnsi="宋体"/>
                <w:kern w:val="0"/>
                <w:szCs w:val="21"/>
              </w:rPr>
              <w:t>目标</w:t>
            </w:r>
            <w:r>
              <w:rPr>
                <w:rFonts w:ascii="宋体" w:hAnsi="宋体"/>
                <w:kern w:val="0"/>
                <w:szCs w:val="21"/>
              </w:rPr>
              <w:t>3</w:t>
            </w:r>
          </w:p>
        </w:tc>
        <w:tc>
          <w:tcPr>
            <w:tcW w:w="1418" w:type="dxa"/>
            <w:shd w:val="clear" w:color="auto" w:fill="FFFFFF"/>
            <w:noWrap w:val="0"/>
            <w:vAlign w:val="top"/>
          </w:tcPr>
          <w:p w14:paraId="6E0848B0">
            <w:pPr>
              <w:jc w:val="center"/>
              <w:rPr>
                <w:rFonts w:hint="eastAsia" w:ascii="宋体" w:hAnsi="宋体"/>
                <w:szCs w:val="21"/>
              </w:rPr>
            </w:pPr>
            <w:r>
              <w:rPr>
                <w:rFonts w:ascii="宋体" w:hAnsi="宋体"/>
                <w:szCs w:val="21"/>
              </w:rPr>
              <w:t>1-1</w:t>
            </w:r>
            <w:r>
              <w:rPr>
                <w:rFonts w:hint="eastAsia" w:ascii="宋体" w:hAnsi="宋体"/>
                <w:szCs w:val="21"/>
              </w:rPr>
              <w:t>、1-2</w:t>
            </w:r>
          </w:p>
          <w:p w14:paraId="4CD347D8">
            <w:pPr>
              <w:jc w:val="center"/>
              <w:rPr>
                <w:rFonts w:hint="eastAsia" w:ascii="宋体" w:hAnsi="宋体"/>
                <w:szCs w:val="21"/>
              </w:rPr>
            </w:pPr>
            <w:r>
              <w:rPr>
                <w:rFonts w:ascii="宋体" w:hAnsi="宋体"/>
                <w:szCs w:val="21"/>
              </w:rPr>
              <w:t>2-1</w:t>
            </w:r>
            <w:r>
              <w:rPr>
                <w:rFonts w:hint="eastAsia" w:ascii="宋体" w:hAnsi="宋体"/>
                <w:szCs w:val="21"/>
              </w:rPr>
              <w:t>、7-</w:t>
            </w:r>
            <w:r>
              <w:rPr>
                <w:rFonts w:ascii="宋体" w:hAnsi="宋体"/>
                <w:szCs w:val="21"/>
              </w:rPr>
              <w:t>2</w:t>
            </w:r>
          </w:p>
        </w:tc>
        <w:tc>
          <w:tcPr>
            <w:tcW w:w="708" w:type="dxa"/>
            <w:gridSpan w:val="2"/>
            <w:noWrap w:val="0"/>
            <w:vAlign w:val="center"/>
          </w:tcPr>
          <w:p w14:paraId="6F7AAB61">
            <w:pPr>
              <w:jc w:val="center"/>
              <w:rPr>
                <w:rFonts w:ascii="宋体" w:hAnsi="宋体"/>
                <w:kern w:val="0"/>
                <w:szCs w:val="21"/>
              </w:rPr>
            </w:pPr>
            <w:r>
              <w:rPr>
                <w:rFonts w:hint="eastAsia" w:ascii="宋体" w:hAnsi="宋体"/>
                <w:kern w:val="0"/>
                <w:szCs w:val="21"/>
              </w:rPr>
              <w:t>2</w:t>
            </w:r>
          </w:p>
        </w:tc>
        <w:tc>
          <w:tcPr>
            <w:tcW w:w="709" w:type="dxa"/>
            <w:noWrap w:val="0"/>
            <w:vAlign w:val="center"/>
          </w:tcPr>
          <w:p w14:paraId="61E22D14">
            <w:pPr>
              <w:jc w:val="center"/>
              <w:rPr>
                <w:rFonts w:ascii="宋体" w:hAnsi="宋体"/>
                <w:kern w:val="0"/>
                <w:szCs w:val="21"/>
              </w:rPr>
            </w:pPr>
          </w:p>
        </w:tc>
      </w:tr>
      <w:tr w14:paraId="3BBC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0D26936D">
            <w:pPr>
              <w:jc w:val="center"/>
              <w:rPr>
                <w:rFonts w:ascii="宋体" w:hAnsi="宋体"/>
                <w:szCs w:val="21"/>
              </w:rPr>
            </w:pPr>
            <w:r>
              <w:rPr>
                <w:rFonts w:ascii="宋体" w:hAnsi="宋体"/>
                <w:szCs w:val="21"/>
              </w:rPr>
              <w:t>合计</w:t>
            </w:r>
          </w:p>
        </w:tc>
        <w:tc>
          <w:tcPr>
            <w:tcW w:w="701" w:type="dxa"/>
            <w:noWrap w:val="0"/>
            <w:vAlign w:val="center"/>
          </w:tcPr>
          <w:p w14:paraId="63D5268B">
            <w:pPr>
              <w:jc w:val="center"/>
              <w:rPr>
                <w:rFonts w:ascii="宋体" w:hAnsi="宋体"/>
                <w:kern w:val="0"/>
                <w:szCs w:val="21"/>
              </w:rPr>
            </w:pPr>
            <w:r>
              <w:rPr>
                <w:rFonts w:ascii="宋体" w:hAnsi="宋体"/>
                <w:kern w:val="0"/>
                <w:szCs w:val="21"/>
              </w:rPr>
              <w:t>8</w:t>
            </w:r>
          </w:p>
        </w:tc>
        <w:tc>
          <w:tcPr>
            <w:tcW w:w="709" w:type="dxa"/>
            <w:noWrap w:val="0"/>
            <w:vAlign w:val="center"/>
          </w:tcPr>
          <w:p w14:paraId="7F445C64">
            <w:pPr>
              <w:jc w:val="center"/>
              <w:rPr>
                <w:rFonts w:ascii="宋体" w:hAnsi="宋体"/>
                <w:kern w:val="0"/>
                <w:szCs w:val="21"/>
              </w:rPr>
            </w:pPr>
          </w:p>
        </w:tc>
      </w:tr>
    </w:tbl>
    <w:p w14:paraId="41016FC9">
      <w:pPr>
        <w:spacing w:line="360" w:lineRule="auto"/>
        <w:rPr>
          <w:rFonts w:hint="eastAsia" w:ascii="宋体" w:hAnsi="宋体"/>
          <w:b/>
          <w:sz w:val="28"/>
          <w:szCs w:val="28"/>
        </w:rPr>
      </w:pPr>
    </w:p>
    <w:p w14:paraId="70EBC324">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p w14:paraId="208F9B62">
      <w:pPr>
        <w:spacing w:line="360" w:lineRule="auto"/>
        <w:outlineLvl w:val="0"/>
        <w:rPr>
          <w:rFonts w:hint="eastAsia" w:ascii="宋体" w:hAnsi="宋体"/>
          <w:sz w:val="28"/>
          <w:szCs w:val="28"/>
        </w:rPr>
      </w:pPr>
      <w:r>
        <w:rPr>
          <w:rFonts w:ascii="宋体" w:hAnsi="宋体"/>
          <w:sz w:val="28"/>
          <w:szCs w:val="28"/>
        </w:rPr>
        <w:t xml:space="preserve">    </w:t>
      </w:r>
      <w:r>
        <w:rPr>
          <w:rFonts w:hint="eastAsia" w:ascii="宋体" w:hAnsi="宋体"/>
          <w:sz w:val="28"/>
          <w:szCs w:val="28"/>
        </w:rPr>
        <w:t>无</w:t>
      </w:r>
    </w:p>
    <w:p w14:paraId="38DE98F1">
      <w:pPr>
        <w:spacing w:line="360" w:lineRule="auto"/>
        <w:outlineLvl w:val="0"/>
        <w:rPr>
          <w:rFonts w:ascii="宋体" w:hAnsi="宋体"/>
          <w:b/>
          <w:sz w:val="28"/>
          <w:szCs w:val="28"/>
        </w:rPr>
      </w:pPr>
      <w:r>
        <w:rPr>
          <w:rFonts w:hint="eastAsia" w:ascii="宋体" w:hAnsi="宋体"/>
          <w:b/>
          <w:sz w:val="28"/>
          <w:szCs w:val="28"/>
        </w:rPr>
        <w:t xml:space="preserve">    </w:t>
      </w:r>
    </w:p>
    <w:p w14:paraId="6B85292B">
      <w:pPr>
        <w:spacing w:line="360" w:lineRule="auto"/>
        <w:ind w:firstLine="422" w:firstLineChars="150"/>
        <w:outlineLvl w:val="0"/>
        <w:rPr>
          <w:rFonts w:ascii="宋体" w:hAnsi="宋体"/>
          <w:b/>
          <w:sz w:val="28"/>
          <w:szCs w:val="28"/>
        </w:rPr>
      </w:pPr>
      <w:r>
        <w:rPr>
          <w:rFonts w:hint="eastAsia" w:ascii="宋体" w:hAnsi="宋体"/>
          <w:b/>
          <w:sz w:val="28"/>
          <w:szCs w:val="28"/>
        </w:rPr>
        <w:t>五、课程实施</w:t>
      </w:r>
    </w:p>
    <w:p w14:paraId="22EE96F8">
      <w:pPr>
        <w:spacing w:line="360" w:lineRule="auto"/>
        <w:ind w:firstLine="480" w:firstLineChars="200"/>
        <w:rPr>
          <w:rFonts w:hint="eastAsia"/>
          <w:sz w:val="24"/>
        </w:rPr>
      </w:pPr>
      <w:r>
        <w:rPr>
          <w:rFonts w:hint="eastAsia"/>
          <w:sz w:val="24"/>
        </w:rPr>
        <w:t>（一</w:t>
      </w:r>
      <w:r>
        <w:rPr>
          <w:sz w:val="24"/>
        </w:rPr>
        <w:t>）</w:t>
      </w:r>
      <w:r>
        <w:rPr>
          <w:rFonts w:hint="eastAsia"/>
          <w:sz w:val="24"/>
        </w:rPr>
        <w:t>为准确把握学科、专业发展前沿，为学生提供精准的专业引领，本课程实行团队教学，即授课教师由本专业教授、博士及资深教师担任，每人主讲1-</w:t>
      </w:r>
      <w:r>
        <w:rPr>
          <w:sz w:val="24"/>
        </w:rPr>
        <w:t>2</w:t>
      </w:r>
      <w:r>
        <w:rPr>
          <w:rFonts w:hint="eastAsia"/>
          <w:sz w:val="24"/>
        </w:rPr>
        <w:t>个专题。</w:t>
      </w:r>
    </w:p>
    <w:p w14:paraId="04E10328">
      <w:pPr>
        <w:spacing w:line="360" w:lineRule="auto"/>
        <w:ind w:firstLine="480" w:firstLineChars="200"/>
        <w:rPr>
          <w:sz w:val="24"/>
        </w:rPr>
      </w:pPr>
      <w:r>
        <w:rPr>
          <w:rFonts w:hint="eastAsia"/>
          <w:sz w:val="24"/>
        </w:rPr>
        <w:t>（二</w:t>
      </w:r>
      <w:r>
        <w:rPr>
          <w:sz w:val="24"/>
        </w:rPr>
        <w:t>）</w:t>
      </w:r>
      <w:r>
        <w:rPr>
          <w:rFonts w:hint="eastAsia"/>
          <w:sz w:val="24"/>
        </w:rPr>
        <w:t>每个专题以讲座形式进行。为确保教学效果，课堂上应注重采用案例教学、小组讨论等方式加强师生互动和生生互动。</w:t>
      </w:r>
    </w:p>
    <w:p w14:paraId="3CD6C69C">
      <w:pPr>
        <w:spacing w:line="360" w:lineRule="auto"/>
        <w:ind w:firstLine="480" w:firstLineChars="200"/>
        <w:rPr>
          <w:rFonts w:hint="eastAsia"/>
          <w:sz w:val="24"/>
        </w:rPr>
      </w:pPr>
      <w:r>
        <w:rPr>
          <w:rFonts w:hint="eastAsia"/>
          <w:sz w:val="24"/>
        </w:rPr>
        <w:t>（三</w:t>
      </w:r>
      <w:r>
        <w:rPr>
          <w:sz w:val="24"/>
        </w:rPr>
        <w:t>）</w:t>
      </w:r>
      <w:r>
        <w:rPr>
          <w:rFonts w:hint="eastAsia"/>
          <w:sz w:val="24"/>
        </w:rPr>
        <w:t>本课程教学过程中，邀请中小学知名专家、骨干教师、优秀校友以及高年级学业优秀生到班级进行学习经验交流，并进行互动，以提高课程学习的实效</w:t>
      </w:r>
      <w:r>
        <w:rPr>
          <w:sz w:val="24"/>
        </w:rPr>
        <w:t>。</w:t>
      </w:r>
    </w:p>
    <w:p w14:paraId="7321D156">
      <w:pPr>
        <w:spacing w:line="360" w:lineRule="auto"/>
        <w:rPr>
          <w:rFonts w:ascii="宋体" w:hAnsi="宋体"/>
          <w:sz w:val="24"/>
          <w:szCs w:val="22"/>
        </w:rPr>
      </w:pPr>
    </w:p>
    <w:p w14:paraId="57EAE6F0">
      <w:pPr>
        <w:spacing w:line="360" w:lineRule="auto"/>
        <w:rPr>
          <w:rFonts w:ascii="宋体" w:hAnsi="宋体"/>
          <w:sz w:val="24"/>
          <w:szCs w:val="22"/>
        </w:rPr>
      </w:pPr>
    </w:p>
    <w:p w14:paraId="4EE3DD23">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29B4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65E1C07C">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47E361EF">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7322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673B1999">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131F288E">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2DD82928">
            <w:pPr>
              <w:spacing w:line="276" w:lineRule="auto"/>
              <w:rPr>
                <w:rFonts w:ascii="宋体" w:hAnsi="宋体"/>
                <w:szCs w:val="21"/>
              </w:rPr>
            </w:pPr>
            <w:r>
              <w:rPr>
                <w:rFonts w:ascii="宋体" w:hAnsi="宋体"/>
                <w:szCs w:val="21"/>
              </w:rPr>
              <w:t>（1）掌握课程教学大纲内容，严格按照教学大纲要求进行课程教学内容的组织。</w:t>
            </w:r>
          </w:p>
          <w:p w14:paraId="5CF50871">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1462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0E87DBEC">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3BA45E14">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481BEF1C">
            <w:pPr>
              <w:spacing w:line="276" w:lineRule="auto"/>
              <w:rPr>
                <w:rFonts w:ascii="宋体" w:hAnsi="宋体"/>
              </w:rPr>
            </w:pPr>
            <w:r>
              <w:rPr>
                <w:rFonts w:ascii="宋体" w:hAnsi="宋体"/>
                <w:szCs w:val="21"/>
              </w:rPr>
              <w:t>（1）</w:t>
            </w:r>
            <w:r>
              <w:rPr>
                <w:rFonts w:hint="eastAsia" w:ascii="宋体" w:hAnsi="宋体"/>
              </w:rPr>
              <w:t>教师仪表端庄，情绪情感要饱满；</w:t>
            </w:r>
          </w:p>
          <w:p w14:paraId="51D4A2E0">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284248F2">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63463907">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4A5B4DC0">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724BBAE7">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07CEA9A9">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50BF151B">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0E2E4FA4">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1185B84E">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7F9F4BEA">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2E2B40B5">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5F5F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287D0D7B">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297901A8">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1FF219E5">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7ABDA48C">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36ABC6AF">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621999F3">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104A5009">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1721E823">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70D93FCA">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211520CB">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5CF6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2E7D9FE2">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50E17C2A">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30496192">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理解和消化所学知识、改进学习方法和思维方式，培养其独立的教学设计能力、教学组织指导能力、教学反思与评价能力，任课教师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5E06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1BF92646">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306C8BE2">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0689A84E">
            <w:pPr>
              <w:spacing w:line="276" w:lineRule="auto"/>
              <w:rPr>
                <w:rFonts w:ascii="宋体" w:hAnsi="宋体"/>
                <w:szCs w:val="21"/>
              </w:rPr>
            </w:pPr>
            <w:r>
              <w:rPr>
                <w:rFonts w:hint="eastAsia" w:ascii="宋体" w:hAnsi="宋体"/>
                <w:szCs w:val="21"/>
              </w:rPr>
              <w:t>本课程考核的方式为开卷笔试。监考由学院统一安排。有下列情况之一者，总评成绩为不及格：</w:t>
            </w:r>
          </w:p>
          <w:p w14:paraId="10BD0828">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7AFB57F8">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1E4EC375">
      <w:pPr>
        <w:spacing w:line="360" w:lineRule="auto"/>
        <w:ind w:firstLine="562" w:firstLineChars="200"/>
        <w:rPr>
          <w:rFonts w:ascii="宋体" w:hAnsi="宋体"/>
          <w:b/>
          <w:sz w:val="28"/>
          <w:szCs w:val="28"/>
        </w:rPr>
      </w:pPr>
    </w:p>
    <w:p w14:paraId="3952B011">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13379307">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w:t>
      </w:r>
      <w:r>
        <w:rPr>
          <w:rFonts w:ascii="宋体" w:hAnsi="宋体"/>
          <w:sz w:val="24"/>
          <w:szCs w:val="22"/>
        </w:rPr>
        <w:t>课堂互动</w:t>
      </w:r>
      <w:r>
        <w:rPr>
          <w:rFonts w:hint="eastAsia" w:ascii="宋体" w:hAnsi="宋体"/>
          <w:sz w:val="24"/>
          <w:szCs w:val="22"/>
        </w:rPr>
        <w:t>，期末考试采用开卷笔试。</w:t>
      </w:r>
    </w:p>
    <w:p w14:paraId="45BE2FC1">
      <w:pPr>
        <w:spacing w:line="360" w:lineRule="auto"/>
        <w:ind w:firstLine="480" w:firstLineChars="200"/>
        <w:rPr>
          <w:rFonts w:hint="eastAsia" w:ascii="宋体" w:hAnsi="宋体"/>
          <w:sz w:val="24"/>
          <w:szCs w:val="22"/>
        </w:rPr>
      </w:pPr>
      <w:r>
        <w:rPr>
          <w:rFonts w:hint="eastAsia" w:ascii="宋体" w:hAnsi="宋体"/>
          <w:sz w:val="24"/>
          <w:szCs w:val="22"/>
        </w:rPr>
        <w:t>（二）课程成绩=平时成绩×</w:t>
      </w:r>
      <w:r>
        <w:rPr>
          <w:rFonts w:ascii="宋体" w:hAnsi="宋体"/>
          <w:sz w:val="24"/>
          <w:szCs w:val="22"/>
        </w:rPr>
        <w:t>5</w:t>
      </w:r>
      <w:r>
        <w:rPr>
          <w:rFonts w:hint="eastAsia" w:ascii="宋体" w:hAnsi="宋体"/>
          <w:sz w:val="24"/>
          <w:szCs w:val="22"/>
        </w:rPr>
        <w:t>0%+期末考试成绩×</w:t>
      </w:r>
      <w:r>
        <w:rPr>
          <w:rFonts w:ascii="宋体" w:hAnsi="宋体"/>
          <w:sz w:val="24"/>
          <w:szCs w:val="22"/>
        </w:rPr>
        <w:t>5</w:t>
      </w:r>
      <w:r>
        <w:rPr>
          <w:rFonts w:hint="eastAsia" w:ascii="宋体" w:hAnsi="宋体"/>
          <w:sz w:val="24"/>
          <w:szCs w:val="22"/>
        </w:rPr>
        <w:t>0%。</w:t>
      </w:r>
    </w:p>
    <w:p w14:paraId="54CDCD6B">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6B45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41C60CEC">
            <w:pPr>
              <w:jc w:val="center"/>
              <w:rPr>
                <w:rFonts w:ascii="宋体" w:hAnsi="宋体"/>
                <w:b/>
              </w:rPr>
            </w:pPr>
            <w:r>
              <w:rPr>
                <w:rFonts w:ascii="宋体" w:hAnsi="宋体"/>
                <w:b/>
              </w:rPr>
              <w:t>成绩组成</w:t>
            </w:r>
          </w:p>
        </w:tc>
        <w:tc>
          <w:tcPr>
            <w:tcW w:w="1134" w:type="dxa"/>
            <w:shd w:val="clear" w:color="auto" w:fill="FFFFFF"/>
            <w:noWrap w:val="0"/>
            <w:vAlign w:val="center"/>
          </w:tcPr>
          <w:p w14:paraId="4CD87552">
            <w:pPr>
              <w:jc w:val="center"/>
              <w:rPr>
                <w:rFonts w:ascii="宋体" w:hAnsi="宋体"/>
                <w:b/>
              </w:rPr>
            </w:pPr>
            <w:r>
              <w:rPr>
                <w:rFonts w:ascii="宋体" w:hAnsi="宋体"/>
                <w:b/>
              </w:rPr>
              <w:t>考核/</w:t>
            </w:r>
          </w:p>
          <w:p w14:paraId="7250FE3B">
            <w:pPr>
              <w:jc w:val="center"/>
              <w:rPr>
                <w:rFonts w:ascii="宋体" w:hAnsi="宋体"/>
                <w:b/>
              </w:rPr>
            </w:pPr>
            <w:r>
              <w:rPr>
                <w:rFonts w:ascii="宋体" w:hAnsi="宋体"/>
                <w:b/>
              </w:rPr>
              <w:t>评价环节</w:t>
            </w:r>
          </w:p>
        </w:tc>
        <w:tc>
          <w:tcPr>
            <w:tcW w:w="709" w:type="dxa"/>
            <w:shd w:val="clear" w:color="auto" w:fill="FFFFFF"/>
            <w:noWrap w:val="0"/>
            <w:vAlign w:val="center"/>
          </w:tcPr>
          <w:p w14:paraId="691F8073">
            <w:pPr>
              <w:jc w:val="center"/>
              <w:rPr>
                <w:rFonts w:ascii="宋体" w:hAnsi="宋体"/>
                <w:b/>
              </w:rPr>
            </w:pPr>
            <w:r>
              <w:rPr>
                <w:rFonts w:hint="eastAsia" w:ascii="宋体" w:hAnsi="宋体"/>
                <w:b/>
              </w:rPr>
              <w:t>权重</w:t>
            </w:r>
          </w:p>
        </w:tc>
        <w:tc>
          <w:tcPr>
            <w:tcW w:w="2693" w:type="dxa"/>
            <w:shd w:val="clear" w:color="auto" w:fill="FFFFFF"/>
            <w:noWrap w:val="0"/>
            <w:vAlign w:val="center"/>
          </w:tcPr>
          <w:p w14:paraId="768F7731">
            <w:pPr>
              <w:jc w:val="center"/>
              <w:rPr>
                <w:rFonts w:ascii="宋体" w:hAnsi="宋体"/>
                <w:b/>
              </w:rPr>
            </w:pPr>
            <w:r>
              <w:rPr>
                <w:rFonts w:ascii="宋体" w:hAnsi="宋体"/>
                <w:b/>
              </w:rPr>
              <w:t>考核/评价细则</w:t>
            </w:r>
          </w:p>
        </w:tc>
        <w:tc>
          <w:tcPr>
            <w:tcW w:w="1276" w:type="dxa"/>
            <w:shd w:val="clear" w:color="auto" w:fill="FFFFFF"/>
            <w:noWrap w:val="0"/>
            <w:vAlign w:val="top"/>
          </w:tcPr>
          <w:p w14:paraId="2CEFCA15">
            <w:pPr>
              <w:ind w:firstLine="316" w:firstLineChars="150"/>
              <w:rPr>
                <w:rFonts w:ascii="宋体" w:hAnsi="宋体"/>
                <w:b/>
              </w:rPr>
            </w:pPr>
            <w:r>
              <w:rPr>
                <w:rFonts w:hint="eastAsia" w:ascii="宋体" w:hAnsi="宋体"/>
                <w:b/>
              </w:rPr>
              <w:t>课程</w:t>
            </w:r>
          </w:p>
          <w:p w14:paraId="63869BC0">
            <w:pPr>
              <w:jc w:val="center"/>
              <w:rPr>
                <w:rFonts w:ascii="宋体" w:hAnsi="宋体"/>
                <w:b/>
              </w:rPr>
            </w:pPr>
            <w:r>
              <w:rPr>
                <w:rFonts w:hint="eastAsia" w:ascii="宋体" w:hAnsi="宋体"/>
                <w:b/>
              </w:rPr>
              <w:t>目标</w:t>
            </w:r>
          </w:p>
        </w:tc>
        <w:tc>
          <w:tcPr>
            <w:tcW w:w="1276" w:type="dxa"/>
            <w:shd w:val="clear" w:color="auto" w:fill="FFFFFF"/>
            <w:noWrap w:val="0"/>
            <w:vAlign w:val="top"/>
          </w:tcPr>
          <w:p w14:paraId="51D7D463">
            <w:pPr>
              <w:ind w:left="-107" w:leftChars="-51"/>
              <w:jc w:val="center"/>
              <w:rPr>
                <w:rFonts w:ascii="宋体" w:hAnsi="宋体"/>
                <w:b/>
              </w:rPr>
            </w:pPr>
            <w:r>
              <w:rPr>
                <w:rFonts w:hint="eastAsia" w:ascii="宋体" w:hAnsi="宋体"/>
                <w:b/>
              </w:rPr>
              <w:t>考核</w:t>
            </w:r>
          </w:p>
          <w:p w14:paraId="6FC36885">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2991E4CD">
            <w:pPr>
              <w:ind w:left="-107" w:leftChars="-51"/>
              <w:jc w:val="center"/>
              <w:rPr>
                <w:rFonts w:ascii="宋体" w:hAnsi="宋体"/>
                <w:b/>
              </w:rPr>
            </w:pPr>
            <w:r>
              <w:rPr>
                <w:rFonts w:ascii="宋体" w:hAnsi="宋体"/>
                <w:b/>
              </w:rPr>
              <w:t>对应的毕业要求指标点</w:t>
            </w:r>
          </w:p>
        </w:tc>
      </w:tr>
      <w:tr w14:paraId="270F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09D5DB0F">
            <w:pPr>
              <w:pStyle w:val="40"/>
              <w:jc w:val="center"/>
              <w:rPr>
                <w:rFonts w:eastAsia="宋体"/>
              </w:rPr>
            </w:pPr>
            <w:r>
              <w:rPr>
                <w:rFonts w:eastAsia="宋体"/>
              </w:rPr>
              <w:t>平时成绩</w:t>
            </w:r>
          </w:p>
        </w:tc>
        <w:tc>
          <w:tcPr>
            <w:tcW w:w="1134" w:type="dxa"/>
            <w:noWrap w:val="0"/>
            <w:vAlign w:val="center"/>
          </w:tcPr>
          <w:p w14:paraId="6179ED5A">
            <w:pPr>
              <w:pStyle w:val="40"/>
              <w:jc w:val="center"/>
              <w:rPr>
                <w:rFonts w:eastAsia="宋体"/>
              </w:rPr>
            </w:pPr>
            <w:r>
              <w:rPr>
                <w:rFonts w:hint="eastAsia" w:eastAsia="宋体"/>
              </w:rPr>
              <w:t>作业+考勤</w:t>
            </w:r>
          </w:p>
        </w:tc>
        <w:tc>
          <w:tcPr>
            <w:tcW w:w="709" w:type="dxa"/>
            <w:noWrap w:val="0"/>
            <w:vAlign w:val="center"/>
          </w:tcPr>
          <w:p w14:paraId="0D88CBA3">
            <w:pPr>
              <w:pStyle w:val="40"/>
              <w:jc w:val="center"/>
              <w:rPr>
                <w:rFonts w:eastAsia="宋体"/>
              </w:rPr>
            </w:pPr>
            <w:r>
              <w:rPr>
                <w:rFonts w:eastAsia="宋体"/>
              </w:rPr>
              <w:t>4</w:t>
            </w:r>
            <w:r>
              <w:rPr>
                <w:rFonts w:hint="eastAsia" w:eastAsia="宋体"/>
              </w:rPr>
              <w:t>0</w:t>
            </w:r>
            <w:r>
              <w:rPr>
                <w:rFonts w:eastAsia="宋体"/>
              </w:rPr>
              <w:t>%</w:t>
            </w:r>
          </w:p>
        </w:tc>
        <w:tc>
          <w:tcPr>
            <w:tcW w:w="2693" w:type="dxa"/>
            <w:noWrap w:val="0"/>
            <w:vAlign w:val="center"/>
          </w:tcPr>
          <w:p w14:paraId="27B835A2">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4FB17A52">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10AFCBF0">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74BC6407">
            <w:pPr>
              <w:jc w:val="center"/>
              <w:rPr>
                <w:rFonts w:hint="eastAsia" w:ascii="宋体" w:hAnsi="宋体"/>
              </w:rPr>
            </w:pPr>
            <w:r>
              <w:rPr>
                <w:rFonts w:hint="eastAsia" w:ascii="宋体" w:hAnsi="宋体"/>
              </w:rPr>
              <w:t>生涯规划</w:t>
            </w:r>
          </w:p>
          <w:p w14:paraId="14D515A6">
            <w:pPr>
              <w:jc w:val="center"/>
              <w:rPr>
                <w:rFonts w:hint="eastAsia" w:ascii="宋体" w:hAnsi="宋体"/>
              </w:rPr>
            </w:pPr>
            <w:r>
              <w:rPr>
                <w:rFonts w:hint="eastAsia" w:ascii="宋体" w:hAnsi="宋体"/>
              </w:rPr>
              <w:t>读书笔记</w:t>
            </w:r>
          </w:p>
          <w:p w14:paraId="24FED322">
            <w:pPr>
              <w:jc w:val="center"/>
              <w:rPr>
                <w:rFonts w:hint="eastAsia" w:ascii="宋体" w:hAnsi="宋体" w:cs="宋体"/>
                <w:kern w:val="0"/>
                <w:szCs w:val="21"/>
              </w:rPr>
            </w:pPr>
            <w:r>
              <w:rPr>
                <w:rFonts w:hint="eastAsia" w:ascii="宋体" w:hAnsi="宋体"/>
              </w:rPr>
              <w:t>学习心得</w:t>
            </w:r>
          </w:p>
        </w:tc>
        <w:tc>
          <w:tcPr>
            <w:tcW w:w="1276" w:type="dxa"/>
            <w:noWrap w:val="0"/>
            <w:vAlign w:val="center"/>
          </w:tcPr>
          <w:p w14:paraId="3842BE8C">
            <w:pPr>
              <w:jc w:val="center"/>
              <w:rPr>
                <w:rFonts w:hint="eastAsia" w:ascii="宋体" w:hAnsi="宋体"/>
                <w:szCs w:val="21"/>
              </w:rPr>
            </w:pPr>
            <w:r>
              <w:rPr>
                <w:rFonts w:ascii="宋体" w:hAnsi="宋体"/>
                <w:szCs w:val="21"/>
              </w:rPr>
              <w:t>1-1</w:t>
            </w:r>
            <w:r>
              <w:rPr>
                <w:rFonts w:hint="eastAsia" w:ascii="宋体" w:hAnsi="宋体"/>
                <w:szCs w:val="21"/>
              </w:rPr>
              <w:t>、1-2</w:t>
            </w:r>
          </w:p>
          <w:p w14:paraId="608112F9">
            <w:pPr>
              <w:jc w:val="center"/>
              <w:rPr>
                <w:rFonts w:ascii="宋体" w:hAnsi="宋体"/>
              </w:rPr>
            </w:pPr>
            <w:r>
              <w:rPr>
                <w:rFonts w:ascii="宋体" w:hAnsi="宋体"/>
                <w:szCs w:val="21"/>
              </w:rPr>
              <w:t>2-1</w:t>
            </w:r>
            <w:r>
              <w:rPr>
                <w:rFonts w:hint="eastAsia" w:ascii="宋体" w:hAnsi="宋体"/>
                <w:szCs w:val="21"/>
              </w:rPr>
              <w:t>、</w:t>
            </w:r>
            <w:r>
              <w:rPr>
                <w:rFonts w:ascii="宋体" w:hAnsi="宋体"/>
                <w:szCs w:val="21"/>
              </w:rPr>
              <w:t>7-2</w:t>
            </w:r>
          </w:p>
        </w:tc>
      </w:tr>
      <w:tr w14:paraId="55B2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742CFC23">
            <w:pPr>
              <w:pStyle w:val="40"/>
              <w:jc w:val="center"/>
              <w:rPr>
                <w:rFonts w:eastAsia="宋体"/>
              </w:rPr>
            </w:pPr>
          </w:p>
        </w:tc>
        <w:tc>
          <w:tcPr>
            <w:tcW w:w="1134" w:type="dxa"/>
            <w:noWrap w:val="0"/>
            <w:vAlign w:val="center"/>
          </w:tcPr>
          <w:p w14:paraId="522D68E3">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541CF824">
            <w:pPr>
              <w:pStyle w:val="40"/>
              <w:jc w:val="center"/>
              <w:rPr>
                <w:rFonts w:eastAsia="宋体"/>
              </w:rPr>
            </w:pPr>
            <w:r>
              <w:rPr>
                <w:rFonts w:hint="eastAsia" w:eastAsia="宋体"/>
              </w:rPr>
              <w:t>10%</w:t>
            </w:r>
          </w:p>
        </w:tc>
        <w:tc>
          <w:tcPr>
            <w:tcW w:w="2693" w:type="dxa"/>
            <w:noWrap w:val="0"/>
            <w:vAlign w:val="center"/>
          </w:tcPr>
          <w:p w14:paraId="748E04BA">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32F2E9FF">
            <w:pPr>
              <w:jc w:val="center"/>
              <w:rPr>
                <w:rFonts w:hint="eastAsia" w:ascii="宋体" w:hAnsi="宋体"/>
              </w:rPr>
            </w:pPr>
            <w:r>
              <w:rPr>
                <w:rFonts w:hint="eastAsia" w:ascii="宋体" w:hAnsi="宋体"/>
              </w:rPr>
              <w:t>课程目标1课程目标2</w:t>
            </w:r>
          </w:p>
          <w:p w14:paraId="01DF4576">
            <w:pPr>
              <w:jc w:val="center"/>
              <w:rPr>
                <w:rFonts w:hint="eastAsia" w:ascii="宋体" w:hAnsi="宋体"/>
              </w:rPr>
            </w:pPr>
            <w:r>
              <w:rPr>
                <w:rFonts w:hint="eastAsia" w:ascii="宋体" w:hAnsi="宋体"/>
              </w:rPr>
              <w:t>课程目标3</w:t>
            </w:r>
          </w:p>
        </w:tc>
        <w:tc>
          <w:tcPr>
            <w:tcW w:w="1276" w:type="dxa"/>
            <w:noWrap w:val="0"/>
            <w:vAlign w:val="center"/>
          </w:tcPr>
          <w:p w14:paraId="3B48C8E9">
            <w:pPr>
              <w:jc w:val="center"/>
              <w:rPr>
                <w:rFonts w:hint="eastAsia" w:ascii="宋体" w:hAnsi="宋体"/>
              </w:rPr>
            </w:pPr>
            <w:r>
              <w:rPr>
                <w:rFonts w:hint="eastAsia" w:ascii="宋体" w:hAnsi="宋体"/>
              </w:rPr>
              <w:t>专业理解、生涯发展规划、教师资格获得等</w:t>
            </w:r>
          </w:p>
        </w:tc>
        <w:tc>
          <w:tcPr>
            <w:tcW w:w="1276" w:type="dxa"/>
            <w:noWrap w:val="0"/>
            <w:vAlign w:val="center"/>
          </w:tcPr>
          <w:p w14:paraId="3B1056FC">
            <w:pPr>
              <w:jc w:val="center"/>
              <w:rPr>
                <w:rFonts w:hint="eastAsia" w:ascii="宋体" w:hAnsi="宋体"/>
                <w:szCs w:val="21"/>
              </w:rPr>
            </w:pPr>
            <w:r>
              <w:rPr>
                <w:rFonts w:ascii="宋体" w:hAnsi="宋体"/>
                <w:szCs w:val="21"/>
              </w:rPr>
              <w:t>1-1</w:t>
            </w:r>
            <w:r>
              <w:rPr>
                <w:rFonts w:hint="eastAsia" w:ascii="宋体" w:hAnsi="宋体"/>
                <w:szCs w:val="21"/>
              </w:rPr>
              <w:t>、1-2</w:t>
            </w:r>
          </w:p>
          <w:p w14:paraId="46F5B914">
            <w:pPr>
              <w:jc w:val="center"/>
              <w:rPr>
                <w:rFonts w:ascii="宋体" w:hAnsi="宋体"/>
              </w:rPr>
            </w:pPr>
            <w:r>
              <w:rPr>
                <w:rFonts w:ascii="宋体" w:hAnsi="宋体"/>
                <w:szCs w:val="21"/>
              </w:rPr>
              <w:t>2-1</w:t>
            </w:r>
            <w:r>
              <w:rPr>
                <w:rFonts w:hint="eastAsia" w:ascii="宋体" w:hAnsi="宋体"/>
                <w:szCs w:val="21"/>
              </w:rPr>
              <w:t>、</w:t>
            </w:r>
            <w:r>
              <w:rPr>
                <w:rFonts w:ascii="宋体" w:hAnsi="宋体"/>
                <w:szCs w:val="21"/>
              </w:rPr>
              <w:t>7-2</w:t>
            </w:r>
          </w:p>
        </w:tc>
      </w:tr>
      <w:tr w14:paraId="445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54A1AB6F">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28E11871">
            <w:pPr>
              <w:pStyle w:val="40"/>
              <w:jc w:val="center"/>
              <w:rPr>
                <w:rFonts w:eastAsia="宋体"/>
              </w:rPr>
            </w:pPr>
            <w:r>
              <w:rPr>
                <w:rFonts w:hint="eastAsia" w:eastAsia="宋体"/>
              </w:rPr>
              <w:t>开卷笔试</w:t>
            </w:r>
          </w:p>
        </w:tc>
        <w:tc>
          <w:tcPr>
            <w:tcW w:w="709" w:type="dxa"/>
            <w:noWrap w:val="0"/>
            <w:vAlign w:val="center"/>
          </w:tcPr>
          <w:p w14:paraId="714BA792">
            <w:pPr>
              <w:pStyle w:val="40"/>
              <w:jc w:val="center"/>
              <w:rPr>
                <w:rFonts w:eastAsia="宋体"/>
              </w:rPr>
            </w:pPr>
            <w:r>
              <w:rPr>
                <w:rFonts w:eastAsia="宋体"/>
              </w:rPr>
              <w:t>5</w:t>
            </w:r>
            <w:r>
              <w:rPr>
                <w:rFonts w:hint="eastAsia" w:eastAsia="宋体"/>
              </w:rPr>
              <w:t xml:space="preserve">0 </w:t>
            </w:r>
            <w:r>
              <w:rPr>
                <w:rFonts w:eastAsia="宋体"/>
              </w:rPr>
              <w:t>%</w:t>
            </w:r>
          </w:p>
        </w:tc>
        <w:tc>
          <w:tcPr>
            <w:tcW w:w="2693" w:type="dxa"/>
            <w:noWrap w:val="0"/>
            <w:vAlign w:val="center"/>
          </w:tcPr>
          <w:p w14:paraId="641EBD2C">
            <w:pPr>
              <w:pStyle w:val="40"/>
              <w:rPr>
                <w:rFonts w:hint="eastAsia" w:eastAsia="宋体"/>
                <w:szCs w:val="21"/>
              </w:rPr>
            </w:pPr>
            <w:r>
              <w:rPr>
                <w:rFonts w:hint="eastAsia" w:eastAsia="宋体"/>
                <w:szCs w:val="21"/>
              </w:rPr>
              <w:t>试卷题型包括简答题、分析题、论述题等题型，重点考核师范生对</w:t>
            </w:r>
            <w:r>
              <w:rPr>
                <w:rFonts w:eastAsia="宋体"/>
                <w:szCs w:val="21"/>
              </w:rPr>
              <w:t>小学教育专业</w:t>
            </w:r>
            <w:r>
              <w:rPr>
                <w:rFonts w:hint="eastAsia" w:eastAsia="宋体"/>
                <w:szCs w:val="21"/>
              </w:rPr>
              <w:t>和</w:t>
            </w:r>
            <w:r>
              <w:rPr>
                <w:rFonts w:eastAsia="宋体"/>
                <w:szCs w:val="21"/>
              </w:rPr>
              <w:t>教师专业发展的理解</w:t>
            </w:r>
            <w:r>
              <w:rPr>
                <w:rFonts w:hint="eastAsia" w:eastAsia="宋体"/>
                <w:szCs w:val="21"/>
              </w:rPr>
              <w:t>。</w:t>
            </w:r>
          </w:p>
        </w:tc>
        <w:tc>
          <w:tcPr>
            <w:tcW w:w="1276" w:type="dxa"/>
            <w:noWrap w:val="0"/>
            <w:vAlign w:val="center"/>
          </w:tcPr>
          <w:p w14:paraId="5D3A1613">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109A35E2">
            <w:pPr>
              <w:jc w:val="center"/>
              <w:rPr>
                <w:rFonts w:ascii="宋体" w:hAnsi="宋体"/>
              </w:rPr>
            </w:pPr>
            <w:r>
              <w:rPr>
                <w:rFonts w:hint="eastAsia" w:ascii="宋体" w:hAnsi="宋体"/>
              </w:rPr>
              <w:t>课程目标</w:t>
            </w:r>
            <w:r>
              <w:rPr>
                <w:rFonts w:ascii="宋体" w:hAnsi="宋体"/>
              </w:rPr>
              <w:t>3</w:t>
            </w:r>
          </w:p>
          <w:p w14:paraId="498C49CB">
            <w:pPr>
              <w:jc w:val="center"/>
              <w:rPr>
                <w:rFonts w:hint="eastAsia" w:ascii="宋体" w:hAnsi="宋体"/>
              </w:rPr>
            </w:pPr>
            <w:r>
              <w:rPr>
                <w:rFonts w:hint="eastAsia" w:ascii="宋体" w:hAnsi="宋体"/>
              </w:rPr>
              <w:t>课程目标4</w:t>
            </w:r>
          </w:p>
        </w:tc>
        <w:tc>
          <w:tcPr>
            <w:tcW w:w="1276" w:type="dxa"/>
            <w:noWrap w:val="0"/>
            <w:vAlign w:val="center"/>
          </w:tcPr>
          <w:p w14:paraId="52ECC9D0">
            <w:pPr>
              <w:jc w:val="center"/>
              <w:rPr>
                <w:rFonts w:hint="eastAsia" w:ascii="宋体" w:hAnsi="宋体"/>
                <w:szCs w:val="21"/>
              </w:rPr>
            </w:pPr>
            <w:r>
              <w:rPr>
                <w:rFonts w:ascii="宋体" w:hAnsi="宋体" w:cs="宋体"/>
                <w:kern w:val="0"/>
                <w:szCs w:val="21"/>
              </w:rPr>
              <w:t>专业理解、生涯发展规划、教师资格获得</w:t>
            </w:r>
            <w:r>
              <w:rPr>
                <w:rFonts w:hint="eastAsia" w:ascii="宋体" w:hAnsi="宋体" w:cs="宋体"/>
                <w:kern w:val="0"/>
                <w:szCs w:val="21"/>
              </w:rPr>
              <w:t>等</w:t>
            </w:r>
          </w:p>
        </w:tc>
        <w:tc>
          <w:tcPr>
            <w:tcW w:w="1276" w:type="dxa"/>
            <w:noWrap w:val="0"/>
            <w:vAlign w:val="center"/>
          </w:tcPr>
          <w:p w14:paraId="35DD6D82">
            <w:pPr>
              <w:jc w:val="center"/>
              <w:rPr>
                <w:rFonts w:hint="eastAsia" w:ascii="宋体" w:hAnsi="宋体"/>
                <w:szCs w:val="21"/>
              </w:rPr>
            </w:pPr>
            <w:r>
              <w:rPr>
                <w:rFonts w:ascii="宋体" w:hAnsi="宋体"/>
                <w:szCs w:val="21"/>
              </w:rPr>
              <w:t>1-1</w:t>
            </w:r>
            <w:r>
              <w:rPr>
                <w:rFonts w:hint="eastAsia" w:ascii="宋体" w:hAnsi="宋体"/>
                <w:szCs w:val="21"/>
              </w:rPr>
              <w:t>、1-2</w:t>
            </w:r>
          </w:p>
          <w:p w14:paraId="633152F3">
            <w:pPr>
              <w:jc w:val="center"/>
              <w:rPr>
                <w:rFonts w:ascii="宋体" w:hAnsi="宋体"/>
              </w:rPr>
            </w:pPr>
            <w:r>
              <w:rPr>
                <w:rFonts w:ascii="宋体" w:hAnsi="宋体"/>
                <w:szCs w:val="21"/>
              </w:rPr>
              <w:t>2-1</w:t>
            </w:r>
            <w:r>
              <w:rPr>
                <w:rFonts w:hint="eastAsia" w:ascii="宋体" w:hAnsi="宋体"/>
                <w:szCs w:val="21"/>
              </w:rPr>
              <w:t>、</w:t>
            </w:r>
            <w:r>
              <w:rPr>
                <w:rFonts w:ascii="宋体" w:hAnsi="宋体"/>
                <w:szCs w:val="21"/>
              </w:rPr>
              <w:t>7-2</w:t>
            </w:r>
          </w:p>
        </w:tc>
      </w:tr>
    </w:tbl>
    <w:p w14:paraId="1E94E69E">
      <w:pPr>
        <w:spacing w:line="360" w:lineRule="auto"/>
        <w:rPr>
          <w:rFonts w:ascii="宋体" w:hAnsi="宋体"/>
          <w:sz w:val="24"/>
          <w:szCs w:val="22"/>
        </w:rPr>
      </w:pPr>
      <w:r>
        <w:rPr>
          <w:rFonts w:hint="eastAsia" w:ascii="宋体" w:hAnsi="宋体"/>
          <w:sz w:val="24"/>
          <w:szCs w:val="22"/>
        </w:rPr>
        <w:t xml:space="preserve">    </w:t>
      </w:r>
    </w:p>
    <w:p w14:paraId="0B4235C3">
      <w:pPr>
        <w:spacing w:line="360" w:lineRule="auto"/>
        <w:rPr>
          <w:rFonts w:ascii="宋体" w:hAnsi="宋体"/>
          <w:sz w:val="24"/>
          <w:szCs w:val="22"/>
        </w:rPr>
      </w:pPr>
    </w:p>
    <w:p w14:paraId="67CD1674">
      <w:pPr>
        <w:spacing w:line="360" w:lineRule="auto"/>
        <w:rPr>
          <w:rFonts w:ascii="宋体" w:hAnsi="宋体"/>
          <w:sz w:val="24"/>
          <w:szCs w:val="22"/>
        </w:rPr>
      </w:pPr>
    </w:p>
    <w:p w14:paraId="70B049E2">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48"/>
        <w:gridCol w:w="1816"/>
        <w:gridCol w:w="2196"/>
        <w:gridCol w:w="1843"/>
        <w:gridCol w:w="1134"/>
      </w:tblGrid>
      <w:tr w14:paraId="608799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3864" w:type="dxa"/>
            <w:gridSpan w:val="2"/>
            <w:shd w:val="clear" w:color="auto" w:fill="auto"/>
            <w:noWrap w:val="0"/>
            <w:vAlign w:val="center"/>
          </w:tcPr>
          <w:p w14:paraId="011C632D">
            <w:pPr>
              <w:widowControl/>
              <w:jc w:val="center"/>
              <w:rPr>
                <w:rFonts w:ascii="宋体" w:hAnsi="宋体"/>
                <w:kern w:val="0"/>
                <w:szCs w:val="21"/>
              </w:rPr>
            </w:pPr>
            <w:r>
              <w:rPr>
                <w:rFonts w:hint="eastAsia" w:ascii="宋体" w:hAnsi="宋体"/>
                <w:kern w:val="0"/>
                <w:szCs w:val="21"/>
              </w:rPr>
              <w:t>课程目标及权重</w:t>
            </w:r>
          </w:p>
        </w:tc>
        <w:tc>
          <w:tcPr>
            <w:tcW w:w="5173" w:type="dxa"/>
            <w:gridSpan w:val="3"/>
            <w:shd w:val="clear" w:color="auto" w:fill="auto"/>
            <w:noWrap w:val="0"/>
            <w:vAlign w:val="center"/>
          </w:tcPr>
          <w:p w14:paraId="2EF917AF">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2F1125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2048" w:type="dxa"/>
            <w:shd w:val="clear" w:color="auto" w:fill="auto"/>
            <w:noWrap w:val="0"/>
            <w:vAlign w:val="center"/>
          </w:tcPr>
          <w:p w14:paraId="484C7702">
            <w:pPr>
              <w:widowControl/>
              <w:jc w:val="center"/>
              <w:rPr>
                <w:rFonts w:hint="eastAsia" w:ascii="宋体" w:hAnsi="宋体"/>
                <w:kern w:val="0"/>
                <w:szCs w:val="21"/>
              </w:rPr>
            </w:pPr>
            <w:r>
              <w:rPr>
                <w:rFonts w:hint="eastAsia" w:ascii="宋体" w:hAnsi="宋体"/>
                <w:kern w:val="0"/>
                <w:szCs w:val="21"/>
              </w:rPr>
              <w:t>项目</w:t>
            </w:r>
          </w:p>
        </w:tc>
        <w:tc>
          <w:tcPr>
            <w:tcW w:w="1816" w:type="dxa"/>
            <w:shd w:val="clear" w:color="auto" w:fill="auto"/>
            <w:noWrap w:val="0"/>
            <w:vAlign w:val="center"/>
          </w:tcPr>
          <w:p w14:paraId="298C0469">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shd w:val="clear" w:color="auto" w:fill="auto"/>
            <w:noWrap w:val="0"/>
            <w:vAlign w:val="center"/>
          </w:tcPr>
          <w:p w14:paraId="760E0DAA">
            <w:pPr>
              <w:widowControl/>
              <w:jc w:val="center"/>
              <w:rPr>
                <w:rFonts w:hint="eastAsia" w:ascii="宋体" w:hAnsi="宋体"/>
                <w:kern w:val="0"/>
                <w:szCs w:val="21"/>
              </w:rPr>
            </w:pPr>
            <w:r>
              <w:rPr>
                <w:rFonts w:hint="eastAsia" w:ascii="宋体" w:hAnsi="宋体"/>
                <w:kern w:val="0"/>
                <w:szCs w:val="21"/>
              </w:rPr>
              <w:t>评价依据</w:t>
            </w:r>
          </w:p>
        </w:tc>
        <w:tc>
          <w:tcPr>
            <w:tcW w:w="1843" w:type="dxa"/>
            <w:shd w:val="clear" w:color="auto" w:fill="auto"/>
            <w:noWrap w:val="0"/>
            <w:vAlign w:val="center"/>
          </w:tcPr>
          <w:p w14:paraId="5FF6337F">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noWrap w:val="0"/>
            <w:vAlign w:val="top"/>
          </w:tcPr>
          <w:p w14:paraId="2B8EB387">
            <w:pPr>
              <w:widowControl/>
              <w:rPr>
                <w:rFonts w:hint="eastAsia" w:ascii="宋体" w:hAnsi="宋体"/>
                <w:kern w:val="0"/>
                <w:szCs w:val="21"/>
              </w:rPr>
            </w:pPr>
            <w:r>
              <w:rPr>
                <w:rFonts w:hint="eastAsia" w:ascii="宋体" w:hAnsi="宋体"/>
                <w:kern w:val="0"/>
                <w:szCs w:val="21"/>
              </w:rPr>
              <w:t>考核方式权重合计</w:t>
            </w:r>
          </w:p>
        </w:tc>
      </w:tr>
      <w:tr w14:paraId="1B7115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restart"/>
            <w:shd w:val="clear" w:color="auto" w:fill="auto"/>
            <w:noWrap w:val="0"/>
            <w:vAlign w:val="center"/>
          </w:tcPr>
          <w:p w14:paraId="74053AE6">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shd w:val="clear" w:color="auto" w:fill="auto"/>
            <w:noWrap w:val="0"/>
            <w:vAlign w:val="center"/>
          </w:tcPr>
          <w:p w14:paraId="7D518825">
            <w:pPr>
              <w:widowControl/>
              <w:jc w:val="center"/>
              <w:rPr>
                <w:rFonts w:hint="eastAsia" w:ascii="宋体" w:hAnsi="宋体"/>
                <w:kern w:val="0"/>
                <w:szCs w:val="21"/>
              </w:rPr>
            </w:pPr>
            <w:r>
              <w:rPr>
                <w:rFonts w:ascii="宋体" w:hAnsi="宋体"/>
                <w:kern w:val="0"/>
                <w:szCs w:val="21"/>
              </w:rPr>
              <w:t>25</w:t>
            </w:r>
            <w:r>
              <w:rPr>
                <w:rFonts w:hint="eastAsia" w:ascii="宋体" w:hAnsi="宋体"/>
                <w:kern w:val="0"/>
                <w:szCs w:val="21"/>
              </w:rPr>
              <w:t>%</w:t>
            </w:r>
          </w:p>
        </w:tc>
        <w:tc>
          <w:tcPr>
            <w:tcW w:w="2196" w:type="dxa"/>
            <w:shd w:val="clear" w:color="auto" w:fill="auto"/>
            <w:noWrap w:val="0"/>
            <w:vAlign w:val="center"/>
          </w:tcPr>
          <w:p w14:paraId="5FAE2B56">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66106C28">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51F16D02">
            <w:pPr>
              <w:widowControl/>
              <w:jc w:val="center"/>
              <w:rPr>
                <w:rFonts w:hint="eastAsia" w:ascii="宋体" w:hAnsi="宋体"/>
                <w:kern w:val="0"/>
                <w:szCs w:val="21"/>
              </w:rPr>
            </w:pPr>
            <w:r>
              <w:rPr>
                <w:rFonts w:hint="eastAsia" w:ascii="宋体" w:hAnsi="宋体"/>
                <w:kern w:val="0"/>
                <w:szCs w:val="21"/>
              </w:rPr>
              <w:t>100%</w:t>
            </w:r>
          </w:p>
        </w:tc>
      </w:tr>
      <w:tr w14:paraId="63E7D8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continue"/>
            <w:shd w:val="clear" w:color="auto" w:fill="auto"/>
            <w:noWrap w:val="0"/>
            <w:vAlign w:val="center"/>
          </w:tcPr>
          <w:p w14:paraId="45924A0A">
            <w:pPr>
              <w:widowControl/>
              <w:jc w:val="center"/>
              <w:rPr>
                <w:rFonts w:hint="eastAsia" w:ascii="宋体" w:hAnsi="宋体"/>
                <w:kern w:val="0"/>
                <w:szCs w:val="21"/>
              </w:rPr>
            </w:pPr>
          </w:p>
        </w:tc>
        <w:tc>
          <w:tcPr>
            <w:tcW w:w="1816" w:type="dxa"/>
            <w:vMerge w:val="continue"/>
            <w:shd w:val="clear" w:color="auto" w:fill="auto"/>
            <w:noWrap w:val="0"/>
            <w:vAlign w:val="center"/>
          </w:tcPr>
          <w:p w14:paraId="0BF4D9F2">
            <w:pPr>
              <w:widowControl/>
              <w:jc w:val="center"/>
              <w:rPr>
                <w:rFonts w:ascii="宋体" w:hAnsi="宋体"/>
                <w:kern w:val="0"/>
                <w:szCs w:val="21"/>
              </w:rPr>
            </w:pPr>
          </w:p>
        </w:tc>
        <w:tc>
          <w:tcPr>
            <w:tcW w:w="2196" w:type="dxa"/>
            <w:shd w:val="clear" w:color="auto" w:fill="auto"/>
            <w:noWrap w:val="0"/>
            <w:vAlign w:val="center"/>
          </w:tcPr>
          <w:p w14:paraId="49160ACF">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shd w:val="clear" w:color="auto" w:fill="auto"/>
            <w:noWrap w:val="0"/>
            <w:vAlign w:val="center"/>
          </w:tcPr>
          <w:p w14:paraId="19335B92">
            <w:pPr>
              <w:widowControl/>
              <w:jc w:val="center"/>
              <w:rPr>
                <w:rFonts w:ascii="宋体" w:hAnsi="宋体"/>
                <w:kern w:val="0"/>
                <w:szCs w:val="21"/>
              </w:rPr>
            </w:pPr>
            <w:r>
              <w:rPr>
                <w:rFonts w:hint="eastAsia" w:ascii="宋体" w:hAnsi="宋体"/>
                <w:kern w:val="0"/>
                <w:szCs w:val="21"/>
              </w:rPr>
              <w:t>10%</w:t>
            </w:r>
          </w:p>
        </w:tc>
        <w:tc>
          <w:tcPr>
            <w:tcW w:w="1134" w:type="dxa"/>
            <w:vMerge w:val="continue"/>
            <w:noWrap w:val="0"/>
            <w:vAlign w:val="center"/>
          </w:tcPr>
          <w:p w14:paraId="1C365844">
            <w:pPr>
              <w:widowControl/>
              <w:jc w:val="center"/>
              <w:rPr>
                <w:rFonts w:hint="eastAsia" w:ascii="宋体" w:hAnsi="宋体"/>
                <w:kern w:val="0"/>
                <w:szCs w:val="21"/>
              </w:rPr>
            </w:pPr>
          </w:p>
        </w:tc>
      </w:tr>
      <w:tr w14:paraId="3A9B5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9983292">
            <w:pPr>
              <w:widowControl/>
              <w:jc w:val="left"/>
              <w:rPr>
                <w:rFonts w:ascii="宋体" w:hAnsi="宋体"/>
                <w:kern w:val="0"/>
                <w:szCs w:val="21"/>
              </w:rPr>
            </w:pPr>
          </w:p>
        </w:tc>
        <w:tc>
          <w:tcPr>
            <w:tcW w:w="1816" w:type="dxa"/>
            <w:vMerge w:val="continue"/>
            <w:shd w:val="clear" w:color="auto" w:fill="auto"/>
            <w:noWrap w:val="0"/>
            <w:vAlign w:val="center"/>
          </w:tcPr>
          <w:p w14:paraId="361EDC7C">
            <w:pPr>
              <w:widowControl/>
              <w:jc w:val="left"/>
              <w:rPr>
                <w:rFonts w:ascii="宋体" w:hAnsi="宋体"/>
                <w:kern w:val="0"/>
                <w:szCs w:val="21"/>
              </w:rPr>
            </w:pPr>
          </w:p>
        </w:tc>
        <w:tc>
          <w:tcPr>
            <w:tcW w:w="2196" w:type="dxa"/>
            <w:shd w:val="clear" w:color="auto" w:fill="auto"/>
            <w:noWrap w:val="0"/>
            <w:vAlign w:val="center"/>
          </w:tcPr>
          <w:p w14:paraId="33F4D9BD">
            <w:pPr>
              <w:widowControl/>
              <w:jc w:val="center"/>
              <w:rPr>
                <w:rFonts w:hint="eastAsia" w:ascii="宋体" w:hAnsi="宋体"/>
                <w:kern w:val="0"/>
                <w:szCs w:val="21"/>
              </w:rPr>
            </w:pPr>
            <w:r>
              <w:rPr>
                <w:rFonts w:hint="eastAsia" w:ascii="宋体" w:hAnsi="宋体"/>
                <w:kern w:val="0"/>
                <w:szCs w:val="21"/>
              </w:rPr>
              <w:t>作业1</w:t>
            </w:r>
          </w:p>
        </w:tc>
        <w:tc>
          <w:tcPr>
            <w:tcW w:w="1843" w:type="dxa"/>
            <w:shd w:val="clear" w:color="auto" w:fill="auto"/>
            <w:noWrap w:val="0"/>
            <w:vAlign w:val="center"/>
          </w:tcPr>
          <w:p w14:paraId="33451A4C">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r>
              <w:rPr>
                <w:rFonts w:ascii="宋体" w:hAnsi="宋体"/>
                <w:kern w:val="0"/>
                <w:szCs w:val="21"/>
              </w:rPr>
              <w:t xml:space="preserve"> </w:t>
            </w:r>
          </w:p>
        </w:tc>
        <w:tc>
          <w:tcPr>
            <w:tcW w:w="1134" w:type="dxa"/>
            <w:vMerge w:val="continue"/>
            <w:noWrap w:val="0"/>
            <w:vAlign w:val="center"/>
          </w:tcPr>
          <w:p w14:paraId="143A9386">
            <w:pPr>
              <w:widowControl/>
              <w:jc w:val="center"/>
              <w:rPr>
                <w:rFonts w:hint="eastAsia" w:ascii="宋体" w:hAnsi="宋体"/>
                <w:kern w:val="0"/>
                <w:szCs w:val="21"/>
              </w:rPr>
            </w:pPr>
          </w:p>
        </w:tc>
      </w:tr>
      <w:tr w14:paraId="6F04D7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5D2C0979">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shd w:val="clear" w:color="auto" w:fill="auto"/>
            <w:noWrap w:val="0"/>
            <w:vAlign w:val="center"/>
          </w:tcPr>
          <w:p w14:paraId="4BBAC64A">
            <w:pPr>
              <w:widowControl/>
              <w:jc w:val="center"/>
              <w:rPr>
                <w:rFonts w:hint="eastAsia" w:ascii="宋体" w:hAnsi="宋体"/>
                <w:kern w:val="0"/>
                <w:szCs w:val="21"/>
              </w:rPr>
            </w:pPr>
            <w:r>
              <w:rPr>
                <w:rFonts w:ascii="宋体" w:hAnsi="宋体"/>
                <w:kern w:val="0"/>
                <w:szCs w:val="21"/>
              </w:rPr>
              <w:t>50</w:t>
            </w:r>
            <w:r>
              <w:rPr>
                <w:rFonts w:hint="eastAsia" w:ascii="宋体" w:hAnsi="宋体"/>
                <w:kern w:val="0"/>
                <w:szCs w:val="21"/>
              </w:rPr>
              <w:t>%</w:t>
            </w:r>
          </w:p>
        </w:tc>
        <w:tc>
          <w:tcPr>
            <w:tcW w:w="2196" w:type="dxa"/>
            <w:shd w:val="clear" w:color="auto" w:fill="auto"/>
            <w:noWrap w:val="0"/>
            <w:vAlign w:val="center"/>
          </w:tcPr>
          <w:p w14:paraId="37EE2250">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74392627">
            <w:pPr>
              <w:widowControl/>
              <w:jc w:val="center"/>
              <w:rPr>
                <w:rFonts w:hint="eastAsia" w:ascii="宋体" w:hAnsi="宋体"/>
                <w:kern w:val="0"/>
                <w:szCs w:val="21"/>
              </w:rPr>
            </w:pPr>
            <w:r>
              <w:rPr>
                <w:rFonts w:ascii="宋体" w:hAnsi="宋体"/>
                <w:kern w:val="0"/>
                <w:szCs w:val="21"/>
              </w:rPr>
              <w:t>5</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57327131">
            <w:pPr>
              <w:widowControl/>
              <w:jc w:val="center"/>
              <w:rPr>
                <w:rFonts w:hint="eastAsia" w:ascii="宋体" w:hAnsi="宋体"/>
                <w:kern w:val="0"/>
                <w:szCs w:val="21"/>
              </w:rPr>
            </w:pPr>
            <w:r>
              <w:rPr>
                <w:rFonts w:hint="eastAsia" w:ascii="宋体" w:hAnsi="宋体"/>
                <w:kern w:val="0"/>
                <w:szCs w:val="21"/>
              </w:rPr>
              <w:t>100%</w:t>
            </w:r>
          </w:p>
        </w:tc>
      </w:tr>
      <w:tr w14:paraId="251A7A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1CCC038">
            <w:pPr>
              <w:widowControl/>
              <w:jc w:val="center"/>
              <w:rPr>
                <w:rFonts w:hint="eastAsia" w:ascii="宋体" w:hAnsi="宋体"/>
                <w:kern w:val="0"/>
                <w:szCs w:val="21"/>
              </w:rPr>
            </w:pPr>
          </w:p>
        </w:tc>
        <w:tc>
          <w:tcPr>
            <w:tcW w:w="1816" w:type="dxa"/>
            <w:vMerge w:val="continue"/>
            <w:shd w:val="clear" w:color="auto" w:fill="auto"/>
            <w:noWrap w:val="0"/>
            <w:vAlign w:val="center"/>
          </w:tcPr>
          <w:p w14:paraId="7EE91EBA">
            <w:pPr>
              <w:widowControl/>
              <w:jc w:val="center"/>
              <w:rPr>
                <w:rFonts w:ascii="宋体" w:hAnsi="宋体"/>
                <w:kern w:val="0"/>
                <w:szCs w:val="21"/>
              </w:rPr>
            </w:pPr>
          </w:p>
        </w:tc>
        <w:tc>
          <w:tcPr>
            <w:tcW w:w="2196" w:type="dxa"/>
            <w:shd w:val="clear" w:color="auto" w:fill="auto"/>
            <w:noWrap w:val="0"/>
            <w:vAlign w:val="center"/>
          </w:tcPr>
          <w:p w14:paraId="44EA3191">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shd w:val="clear" w:color="auto" w:fill="auto"/>
            <w:noWrap w:val="0"/>
            <w:vAlign w:val="center"/>
          </w:tcPr>
          <w:p w14:paraId="4EB71C7D">
            <w:pPr>
              <w:widowControl/>
              <w:jc w:val="center"/>
              <w:rPr>
                <w:rFonts w:ascii="宋体" w:hAnsi="宋体"/>
                <w:kern w:val="0"/>
                <w:szCs w:val="21"/>
              </w:rPr>
            </w:pPr>
            <w:r>
              <w:rPr>
                <w:rFonts w:hint="eastAsia" w:ascii="宋体" w:hAnsi="宋体"/>
                <w:kern w:val="0"/>
                <w:szCs w:val="21"/>
              </w:rPr>
              <w:t>10%</w:t>
            </w:r>
          </w:p>
        </w:tc>
        <w:tc>
          <w:tcPr>
            <w:tcW w:w="1134" w:type="dxa"/>
            <w:vMerge w:val="continue"/>
            <w:noWrap w:val="0"/>
            <w:vAlign w:val="center"/>
          </w:tcPr>
          <w:p w14:paraId="18B0F612">
            <w:pPr>
              <w:widowControl/>
              <w:jc w:val="center"/>
              <w:rPr>
                <w:rFonts w:hint="eastAsia" w:ascii="宋体" w:hAnsi="宋体"/>
                <w:kern w:val="0"/>
                <w:szCs w:val="21"/>
              </w:rPr>
            </w:pPr>
          </w:p>
        </w:tc>
      </w:tr>
      <w:tr w14:paraId="7A714A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E831DB0">
            <w:pPr>
              <w:widowControl/>
              <w:jc w:val="left"/>
              <w:rPr>
                <w:rFonts w:ascii="宋体" w:hAnsi="宋体"/>
                <w:kern w:val="0"/>
                <w:szCs w:val="21"/>
              </w:rPr>
            </w:pPr>
          </w:p>
        </w:tc>
        <w:tc>
          <w:tcPr>
            <w:tcW w:w="1816" w:type="dxa"/>
            <w:vMerge w:val="continue"/>
            <w:shd w:val="clear" w:color="auto" w:fill="auto"/>
            <w:noWrap w:val="0"/>
            <w:vAlign w:val="center"/>
          </w:tcPr>
          <w:p w14:paraId="6CFA5FAE">
            <w:pPr>
              <w:widowControl/>
              <w:jc w:val="left"/>
              <w:rPr>
                <w:rFonts w:ascii="宋体" w:hAnsi="宋体"/>
                <w:kern w:val="0"/>
                <w:szCs w:val="21"/>
              </w:rPr>
            </w:pPr>
          </w:p>
        </w:tc>
        <w:tc>
          <w:tcPr>
            <w:tcW w:w="2196" w:type="dxa"/>
            <w:shd w:val="clear" w:color="auto" w:fill="auto"/>
            <w:noWrap w:val="0"/>
            <w:vAlign w:val="center"/>
          </w:tcPr>
          <w:p w14:paraId="5009E073">
            <w:pPr>
              <w:widowControl/>
              <w:jc w:val="center"/>
              <w:rPr>
                <w:rFonts w:hint="eastAsia" w:ascii="宋体" w:hAnsi="宋体"/>
                <w:kern w:val="0"/>
                <w:szCs w:val="21"/>
              </w:rPr>
            </w:pPr>
            <w:r>
              <w:rPr>
                <w:rFonts w:hint="eastAsia" w:ascii="宋体" w:hAnsi="宋体"/>
                <w:kern w:val="0"/>
                <w:szCs w:val="21"/>
              </w:rPr>
              <w:t>作业</w:t>
            </w:r>
            <w:r>
              <w:rPr>
                <w:rFonts w:ascii="宋体" w:hAnsi="宋体"/>
                <w:kern w:val="0"/>
                <w:szCs w:val="21"/>
              </w:rPr>
              <w:t>2</w:t>
            </w:r>
            <w:r>
              <w:rPr>
                <w:rFonts w:hint="eastAsia" w:ascii="宋体" w:hAnsi="宋体"/>
                <w:kern w:val="0"/>
                <w:szCs w:val="21"/>
              </w:rPr>
              <w:t>、3</w:t>
            </w:r>
          </w:p>
        </w:tc>
        <w:tc>
          <w:tcPr>
            <w:tcW w:w="1843" w:type="dxa"/>
            <w:shd w:val="clear" w:color="auto" w:fill="auto"/>
            <w:noWrap w:val="0"/>
            <w:vAlign w:val="center"/>
          </w:tcPr>
          <w:p w14:paraId="6E803A7D">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r>
              <w:rPr>
                <w:rFonts w:ascii="宋体" w:hAnsi="宋体"/>
                <w:kern w:val="0"/>
                <w:szCs w:val="21"/>
              </w:rPr>
              <w:t xml:space="preserve"> </w:t>
            </w:r>
          </w:p>
        </w:tc>
        <w:tc>
          <w:tcPr>
            <w:tcW w:w="1134" w:type="dxa"/>
            <w:vMerge w:val="continue"/>
            <w:noWrap w:val="0"/>
            <w:vAlign w:val="center"/>
          </w:tcPr>
          <w:p w14:paraId="514DF2C9">
            <w:pPr>
              <w:widowControl/>
              <w:jc w:val="center"/>
              <w:rPr>
                <w:rFonts w:hint="eastAsia" w:ascii="宋体" w:hAnsi="宋体"/>
                <w:kern w:val="0"/>
                <w:szCs w:val="21"/>
              </w:rPr>
            </w:pPr>
          </w:p>
        </w:tc>
      </w:tr>
      <w:tr w14:paraId="5A772F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470E24CE">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shd w:val="clear" w:color="auto" w:fill="auto"/>
            <w:noWrap w:val="0"/>
            <w:vAlign w:val="center"/>
          </w:tcPr>
          <w:p w14:paraId="5B28C7DF">
            <w:pPr>
              <w:widowControl/>
              <w:jc w:val="center"/>
              <w:rPr>
                <w:rFonts w:hint="eastAsia" w:ascii="宋体" w:hAnsi="宋体"/>
                <w:kern w:val="0"/>
                <w:szCs w:val="21"/>
              </w:rPr>
            </w:pPr>
            <w:r>
              <w:rPr>
                <w:rFonts w:ascii="宋体" w:hAnsi="宋体"/>
                <w:kern w:val="0"/>
                <w:szCs w:val="21"/>
              </w:rPr>
              <w:t>25</w:t>
            </w:r>
            <w:r>
              <w:rPr>
                <w:rFonts w:hint="eastAsia" w:ascii="宋体" w:hAnsi="宋体"/>
                <w:kern w:val="0"/>
                <w:szCs w:val="21"/>
              </w:rPr>
              <w:t>%</w:t>
            </w:r>
          </w:p>
        </w:tc>
        <w:tc>
          <w:tcPr>
            <w:tcW w:w="2196" w:type="dxa"/>
            <w:shd w:val="clear" w:color="auto" w:fill="auto"/>
            <w:noWrap w:val="0"/>
            <w:vAlign w:val="center"/>
          </w:tcPr>
          <w:p w14:paraId="4C3E5462">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32EA01A1">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54DAF55C">
            <w:pPr>
              <w:widowControl/>
              <w:jc w:val="center"/>
              <w:rPr>
                <w:rFonts w:hint="eastAsia" w:ascii="宋体" w:hAnsi="宋体"/>
                <w:kern w:val="0"/>
                <w:szCs w:val="21"/>
              </w:rPr>
            </w:pPr>
            <w:r>
              <w:rPr>
                <w:rFonts w:hint="eastAsia" w:ascii="宋体" w:hAnsi="宋体"/>
                <w:kern w:val="0"/>
                <w:szCs w:val="21"/>
              </w:rPr>
              <w:t>100%</w:t>
            </w:r>
          </w:p>
        </w:tc>
      </w:tr>
      <w:tr w14:paraId="77427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0B5E3D1">
            <w:pPr>
              <w:widowControl/>
              <w:jc w:val="center"/>
              <w:rPr>
                <w:rFonts w:hint="eastAsia" w:ascii="宋体" w:hAnsi="宋体"/>
                <w:kern w:val="0"/>
                <w:szCs w:val="21"/>
              </w:rPr>
            </w:pPr>
          </w:p>
        </w:tc>
        <w:tc>
          <w:tcPr>
            <w:tcW w:w="1816" w:type="dxa"/>
            <w:vMerge w:val="continue"/>
            <w:shd w:val="clear" w:color="auto" w:fill="auto"/>
            <w:noWrap w:val="0"/>
            <w:vAlign w:val="center"/>
          </w:tcPr>
          <w:p w14:paraId="19D31FAF">
            <w:pPr>
              <w:widowControl/>
              <w:jc w:val="center"/>
              <w:rPr>
                <w:rFonts w:ascii="宋体" w:hAnsi="宋体"/>
                <w:kern w:val="0"/>
                <w:szCs w:val="21"/>
              </w:rPr>
            </w:pPr>
          </w:p>
        </w:tc>
        <w:tc>
          <w:tcPr>
            <w:tcW w:w="2196" w:type="dxa"/>
            <w:shd w:val="clear" w:color="auto" w:fill="auto"/>
            <w:noWrap w:val="0"/>
            <w:vAlign w:val="center"/>
          </w:tcPr>
          <w:p w14:paraId="5EE8ADB4">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shd w:val="clear" w:color="auto" w:fill="auto"/>
            <w:noWrap w:val="0"/>
            <w:vAlign w:val="center"/>
          </w:tcPr>
          <w:p w14:paraId="70A1CD71">
            <w:pPr>
              <w:widowControl/>
              <w:jc w:val="center"/>
              <w:rPr>
                <w:rFonts w:ascii="宋体" w:hAnsi="宋体"/>
                <w:kern w:val="0"/>
                <w:szCs w:val="21"/>
              </w:rPr>
            </w:pPr>
            <w:r>
              <w:rPr>
                <w:rFonts w:hint="eastAsia" w:ascii="宋体" w:hAnsi="宋体"/>
                <w:kern w:val="0"/>
                <w:szCs w:val="21"/>
              </w:rPr>
              <w:t>10%</w:t>
            </w:r>
          </w:p>
        </w:tc>
        <w:tc>
          <w:tcPr>
            <w:tcW w:w="1134" w:type="dxa"/>
            <w:vMerge w:val="continue"/>
            <w:noWrap w:val="0"/>
            <w:vAlign w:val="center"/>
          </w:tcPr>
          <w:p w14:paraId="05CB73AA">
            <w:pPr>
              <w:widowControl/>
              <w:jc w:val="center"/>
              <w:rPr>
                <w:rFonts w:hint="eastAsia" w:ascii="宋体" w:hAnsi="宋体"/>
                <w:kern w:val="0"/>
                <w:szCs w:val="21"/>
              </w:rPr>
            </w:pPr>
          </w:p>
        </w:tc>
      </w:tr>
      <w:tr w14:paraId="34F609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25AFBC5A">
            <w:pPr>
              <w:widowControl/>
              <w:jc w:val="left"/>
              <w:rPr>
                <w:rFonts w:ascii="宋体" w:hAnsi="宋体"/>
                <w:kern w:val="0"/>
                <w:szCs w:val="21"/>
              </w:rPr>
            </w:pPr>
          </w:p>
        </w:tc>
        <w:tc>
          <w:tcPr>
            <w:tcW w:w="1816" w:type="dxa"/>
            <w:vMerge w:val="continue"/>
            <w:shd w:val="clear" w:color="auto" w:fill="auto"/>
            <w:noWrap w:val="0"/>
            <w:vAlign w:val="center"/>
          </w:tcPr>
          <w:p w14:paraId="1B74CC29">
            <w:pPr>
              <w:widowControl/>
              <w:jc w:val="left"/>
              <w:rPr>
                <w:rFonts w:ascii="宋体" w:hAnsi="宋体"/>
                <w:kern w:val="0"/>
                <w:szCs w:val="21"/>
              </w:rPr>
            </w:pPr>
          </w:p>
        </w:tc>
        <w:tc>
          <w:tcPr>
            <w:tcW w:w="2196" w:type="dxa"/>
            <w:shd w:val="clear" w:color="auto" w:fill="auto"/>
            <w:noWrap w:val="0"/>
            <w:vAlign w:val="center"/>
          </w:tcPr>
          <w:p w14:paraId="732F5BF6">
            <w:pPr>
              <w:widowControl/>
              <w:jc w:val="center"/>
              <w:rPr>
                <w:rFonts w:hint="eastAsia"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shd w:val="clear" w:color="auto" w:fill="auto"/>
            <w:noWrap w:val="0"/>
            <w:vAlign w:val="center"/>
          </w:tcPr>
          <w:p w14:paraId="3A04BE9F">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r>
              <w:rPr>
                <w:rFonts w:ascii="宋体" w:hAnsi="宋体"/>
                <w:kern w:val="0"/>
                <w:szCs w:val="21"/>
              </w:rPr>
              <w:t xml:space="preserve"> </w:t>
            </w:r>
          </w:p>
        </w:tc>
        <w:tc>
          <w:tcPr>
            <w:tcW w:w="1134" w:type="dxa"/>
            <w:vMerge w:val="continue"/>
            <w:noWrap w:val="0"/>
            <w:vAlign w:val="center"/>
          </w:tcPr>
          <w:p w14:paraId="46114328">
            <w:pPr>
              <w:widowControl/>
              <w:jc w:val="center"/>
              <w:rPr>
                <w:rFonts w:hint="eastAsia" w:ascii="宋体" w:hAnsi="宋体"/>
                <w:kern w:val="0"/>
                <w:szCs w:val="21"/>
              </w:rPr>
            </w:pPr>
          </w:p>
        </w:tc>
      </w:tr>
      <w:tr w14:paraId="672993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trPr>
        <w:tc>
          <w:tcPr>
            <w:tcW w:w="2048" w:type="dxa"/>
            <w:shd w:val="clear" w:color="auto" w:fill="auto"/>
            <w:noWrap w:val="0"/>
            <w:vAlign w:val="center"/>
          </w:tcPr>
          <w:p w14:paraId="44AAE9A6">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shd w:val="clear" w:color="auto" w:fill="auto"/>
            <w:noWrap w:val="0"/>
            <w:vAlign w:val="center"/>
          </w:tcPr>
          <w:p w14:paraId="200F291A">
            <w:pPr>
              <w:widowControl/>
              <w:jc w:val="center"/>
              <w:rPr>
                <w:rFonts w:hint="eastAsia" w:ascii="宋体" w:hAnsi="宋体"/>
                <w:kern w:val="0"/>
                <w:szCs w:val="21"/>
              </w:rPr>
            </w:pPr>
            <w:r>
              <w:rPr>
                <w:rFonts w:hint="eastAsia" w:ascii="宋体" w:hAnsi="宋体"/>
                <w:kern w:val="0"/>
                <w:szCs w:val="21"/>
              </w:rPr>
              <w:t>100%</w:t>
            </w:r>
          </w:p>
        </w:tc>
        <w:tc>
          <w:tcPr>
            <w:tcW w:w="5173" w:type="dxa"/>
            <w:gridSpan w:val="3"/>
            <w:shd w:val="clear" w:color="auto" w:fill="auto"/>
            <w:noWrap w:val="0"/>
            <w:vAlign w:val="center"/>
          </w:tcPr>
          <w:p w14:paraId="541247E9">
            <w:pPr>
              <w:widowControl/>
              <w:jc w:val="center"/>
              <w:rPr>
                <w:rFonts w:hint="eastAsia" w:ascii="宋体" w:hAnsi="宋体"/>
                <w:kern w:val="0"/>
                <w:szCs w:val="21"/>
              </w:rPr>
            </w:pPr>
          </w:p>
        </w:tc>
      </w:tr>
    </w:tbl>
    <w:p w14:paraId="04D8D518">
      <w:pPr>
        <w:spacing w:line="360" w:lineRule="auto"/>
        <w:ind w:firstLine="480"/>
        <w:rPr>
          <w:rFonts w:ascii="宋体" w:hAnsi="宋体"/>
          <w:sz w:val="24"/>
          <w:szCs w:val="22"/>
        </w:rPr>
      </w:pPr>
    </w:p>
    <w:p w14:paraId="0744CF71">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463ED1B0">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3A66D8C8">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550E738F">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26785DDE">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6F78DF3E">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本课程根据学生作业、课堂讨论和学生、教学督导等的反馈，及时对教学中的不足之处进行改进，并在下一轮课程教学中整改完善，确保相应毕业要求指标点达成。</w:t>
      </w:r>
    </w:p>
    <w:p w14:paraId="2A92AE7A">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569E6754">
      <w:pPr>
        <w:spacing w:line="360" w:lineRule="auto"/>
        <w:ind w:firstLine="480" w:firstLineChars="200"/>
        <w:rPr>
          <w:rFonts w:ascii="宋体" w:hAnsi="宋体"/>
          <w:sz w:val="24"/>
          <w:szCs w:val="22"/>
        </w:rPr>
      </w:pPr>
      <w:r>
        <w:rPr>
          <w:rFonts w:hint="eastAsia" w:ascii="宋体" w:hAnsi="宋体"/>
          <w:sz w:val="24"/>
          <w:szCs w:val="22"/>
        </w:rPr>
        <w:t>1．教材</w:t>
      </w:r>
    </w:p>
    <w:p w14:paraId="0110416D">
      <w:pPr>
        <w:spacing w:line="360" w:lineRule="auto"/>
        <w:ind w:firstLine="480" w:firstLineChars="200"/>
        <w:outlineLvl w:val="0"/>
        <w:rPr>
          <w:sz w:val="24"/>
          <w:szCs w:val="22"/>
        </w:rPr>
      </w:pPr>
      <w:r>
        <w:rPr>
          <w:rFonts w:hint="eastAsia"/>
          <w:sz w:val="24"/>
          <w:szCs w:val="22"/>
        </w:rPr>
        <w:t>无</w:t>
      </w:r>
    </w:p>
    <w:p w14:paraId="32540232">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355F3071">
      <w:pPr>
        <w:autoSpaceDE w:val="0"/>
        <w:autoSpaceDN w:val="0"/>
        <w:adjustRightInd w:val="0"/>
        <w:spacing w:line="360" w:lineRule="auto"/>
        <w:ind w:firstLine="480" w:firstLineChars="200"/>
        <w:jc w:val="left"/>
        <w:rPr>
          <w:rFonts w:ascii="宋体" w:hAnsi="宋体"/>
          <w:sz w:val="24"/>
          <w:szCs w:val="22"/>
        </w:rPr>
      </w:pPr>
      <w:r>
        <w:rPr>
          <w:rFonts w:hint="eastAsia" w:ascii="宋体" w:hAnsi="宋体"/>
          <w:sz w:val="24"/>
          <w:szCs w:val="22"/>
        </w:rPr>
        <w:t>[</w:t>
      </w:r>
      <w:r>
        <w:rPr>
          <w:rFonts w:ascii="宋体" w:hAnsi="宋体"/>
          <w:sz w:val="24"/>
          <w:szCs w:val="22"/>
        </w:rPr>
        <w:t>1]</w:t>
      </w:r>
      <w:r>
        <w:rPr>
          <w:rFonts w:hint="eastAsia" w:ascii="宋体" w:hAnsi="宋体"/>
          <w:sz w:val="24"/>
          <w:szCs w:val="22"/>
        </w:rPr>
        <w:t>惠中.教师教育新视野: 本科学历小学教师培养模式初探.上海</w:t>
      </w:r>
      <w:r>
        <w:rPr>
          <w:rFonts w:ascii="宋体" w:hAnsi="宋体"/>
          <w:sz w:val="24"/>
          <w:szCs w:val="22"/>
        </w:rPr>
        <w:t>：</w:t>
      </w:r>
      <w:r>
        <w:rPr>
          <w:rFonts w:hint="eastAsia" w:ascii="宋体" w:hAnsi="宋体"/>
          <w:sz w:val="24"/>
          <w:szCs w:val="22"/>
        </w:rPr>
        <w:t>上海科技教育出版社,最新版.</w:t>
      </w:r>
    </w:p>
    <w:p w14:paraId="60FF94DE">
      <w:pPr>
        <w:autoSpaceDE w:val="0"/>
        <w:autoSpaceDN w:val="0"/>
        <w:adjustRightInd w:val="0"/>
        <w:spacing w:line="360" w:lineRule="auto"/>
        <w:ind w:firstLine="480" w:firstLineChars="200"/>
        <w:jc w:val="left"/>
        <w:rPr>
          <w:rFonts w:hint="eastAsia" w:ascii="宋体" w:hAnsi="宋体"/>
          <w:sz w:val="24"/>
          <w:szCs w:val="22"/>
        </w:rPr>
      </w:pPr>
      <w:r>
        <w:rPr>
          <w:rFonts w:ascii="宋体" w:hAnsi="宋体"/>
          <w:sz w:val="24"/>
          <w:szCs w:val="22"/>
        </w:rPr>
        <w:t>[2]</w:t>
      </w:r>
      <w:r>
        <w:rPr>
          <w:rFonts w:hint="eastAsia" w:ascii="宋体" w:hAnsi="宋体"/>
          <w:sz w:val="24"/>
          <w:szCs w:val="22"/>
        </w:rPr>
        <w:t>[美]帕</w:t>
      </w:r>
      <w:r>
        <w:rPr>
          <w:rFonts w:ascii="宋体" w:hAnsi="宋体"/>
          <w:sz w:val="24"/>
          <w:szCs w:val="22"/>
        </w:rPr>
        <w:t>梅拉</w:t>
      </w:r>
      <w:r>
        <w:rPr>
          <w:rFonts w:hint="eastAsia" w:ascii="宋体" w:hAnsi="宋体"/>
          <w:sz w:val="24"/>
          <w:szCs w:val="22"/>
        </w:rPr>
        <w:t>·</w:t>
      </w:r>
      <w:r>
        <w:rPr>
          <w:rFonts w:ascii="宋体" w:hAnsi="宋体"/>
          <w:sz w:val="24"/>
          <w:szCs w:val="22"/>
        </w:rPr>
        <w:t>格罗斯曼</w:t>
      </w:r>
      <w:r>
        <w:rPr>
          <w:rFonts w:hint="eastAsia" w:ascii="宋体" w:hAnsi="宋体"/>
          <w:sz w:val="24"/>
          <w:szCs w:val="22"/>
        </w:rPr>
        <w:t>.专业</w:t>
      </w:r>
      <w:r>
        <w:rPr>
          <w:rFonts w:ascii="宋体" w:hAnsi="宋体"/>
          <w:sz w:val="24"/>
          <w:szCs w:val="22"/>
        </w:rPr>
        <w:t>化的教师是看样</w:t>
      </w:r>
      <w:r>
        <w:rPr>
          <w:rFonts w:hint="eastAsia" w:ascii="宋体" w:hAnsi="宋体"/>
          <w:sz w:val="24"/>
          <w:szCs w:val="22"/>
        </w:rPr>
        <w:t>炼油</w:t>
      </w:r>
      <w:r>
        <w:rPr>
          <w:rFonts w:ascii="宋体" w:hAnsi="宋体"/>
          <w:sz w:val="24"/>
          <w:szCs w:val="22"/>
        </w:rPr>
        <w:t>成的</w:t>
      </w:r>
      <w:r>
        <w:rPr>
          <w:rFonts w:hint="eastAsia" w:ascii="宋体" w:hAnsi="宋体"/>
          <w:sz w:val="24"/>
          <w:szCs w:val="22"/>
        </w:rPr>
        <w:t>.李广平，等译.北京</w:t>
      </w:r>
      <w:r>
        <w:rPr>
          <w:rFonts w:ascii="宋体" w:hAnsi="宋体"/>
          <w:sz w:val="24"/>
          <w:szCs w:val="22"/>
        </w:rPr>
        <w:t>：人</w:t>
      </w:r>
      <w:r>
        <w:rPr>
          <w:rFonts w:hint="eastAsia" w:ascii="宋体" w:hAnsi="宋体"/>
          <w:sz w:val="24"/>
          <w:szCs w:val="22"/>
        </w:rPr>
        <w:t>民</w:t>
      </w:r>
      <w:r>
        <w:rPr>
          <w:rFonts w:ascii="宋体" w:hAnsi="宋体"/>
          <w:sz w:val="24"/>
          <w:szCs w:val="22"/>
        </w:rPr>
        <w:t>教育出版社，</w:t>
      </w:r>
      <w:r>
        <w:rPr>
          <w:rFonts w:hint="eastAsia" w:ascii="宋体" w:hAnsi="宋体"/>
          <w:sz w:val="24"/>
          <w:szCs w:val="22"/>
        </w:rPr>
        <w:t>2012.</w:t>
      </w:r>
    </w:p>
    <w:p w14:paraId="21731E87">
      <w:pPr>
        <w:autoSpaceDE w:val="0"/>
        <w:autoSpaceDN w:val="0"/>
        <w:adjustRightInd w:val="0"/>
        <w:spacing w:line="360" w:lineRule="auto"/>
        <w:ind w:firstLine="480" w:firstLineChars="200"/>
        <w:jc w:val="left"/>
        <w:rPr>
          <w:kern w:val="0"/>
          <w:sz w:val="24"/>
          <w:szCs w:val="21"/>
        </w:rPr>
      </w:pPr>
      <w:r>
        <w:rPr>
          <w:rFonts w:ascii="宋体" w:hAnsi="宋体"/>
          <w:sz w:val="24"/>
          <w:szCs w:val="22"/>
        </w:rPr>
        <w:t>[3]</w:t>
      </w:r>
      <w:r>
        <w:rPr>
          <w:rFonts w:hint="eastAsia" w:ascii="宋体" w:hAnsi="宋体"/>
          <w:sz w:val="24"/>
          <w:szCs w:val="22"/>
        </w:rPr>
        <w:t>中华人民共和国教育部文件.小学教师专业标准（试行）.</w:t>
      </w:r>
    </w:p>
    <w:p w14:paraId="49AFE4D3">
      <w:pPr>
        <w:autoSpaceDE w:val="0"/>
        <w:autoSpaceDN w:val="0"/>
        <w:adjustRightInd w:val="0"/>
        <w:spacing w:line="360" w:lineRule="auto"/>
        <w:ind w:firstLine="480" w:firstLineChars="200"/>
        <w:jc w:val="left"/>
        <w:rPr>
          <w:rFonts w:ascii="宋体" w:hAnsi="宋体"/>
          <w:sz w:val="24"/>
          <w:szCs w:val="22"/>
        </w:rPr>
      </w:pPr>
      <w:r>
        <w:rPr>
          <w:rFonts w:ascii="宋体" w:hAnsi="宋体"/>
          <w:sz w:val="24"/>
          <w:szCs w:val="22"/>
        </w:rPr>
        <w:t>[4]</w:t>
      </w:r>
      <w:r>
        <w:rPr>
          <w:rFonts w:hint="eastAsia" w:ascii="宋体" w:hAnsi="宋体"/>
          <w:sz w:val="24"/>
          <w:szCs w:val="22"/>
        </w:rPr>
        <w:t>中华人民共和国教育部文件.教师</w:t>
      </w:r>
      <w:r>
        <w:rPr>
          <w:rFonts w:ascii="宋体" w:hAnsi="宋体"/>
          <w:sz w:val="24"/>
          <w:szCs w:val="22"/>
        </w:rPr>
        <w:t>资格条例</w:t>
      </w:r>
      <w:r>
        <w:rPr>
          <w:rFonts w:hint="eastAsia" w:ascii="宋体" w:hAnsi="宋体"/>
          <w:sz w:val="24"/>
          <w:szCs w:val="22"/>
        </w:rPr>
        <w:t>.</w:t>
      </w:r>
    </w:p>
    <w:p w14:paraId="5F62400D">
      <w:pPr>
        <w:autoSpaceDE w:val="0"/>
        <w:autoSpaceDN w:val="0"/>
        <w:adjustRightInd w:val="0"/>
        <w:spacing w:line="360" w:lineRule="auto"/>
        <w:ind w:firstLine="480" w:firstLineChars="200"/>
        <w:jc w:val="left"/>
        <w:rPr>
          <w:rFonts w:hint="eastAsia"/>
          <w:kern w:val="0"/>
          <w:sz w:val="24"/>
          <w:szCs w:val="21"/>
        </w:rPr>
      </w:pPr>
    </w:p>
    <w:p w14:paraId="0DE9EA25">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531FCF91">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7C3ECD11">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张建波</w:t>
      </w:r>
    </w:p>
    <w:p w14:paraId="58546683">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w:t>
      </w:r>
      <w:r>
        <w:rPr>
          <w:rFonts w:ascii="宋体" w:hAnsi="宋体"/>
          <w:kern w:val="0"/>
          <w:sz w:val="24"/>
          <w:szCs w:val="21"/>
        </w:rPr>
        <w:t>22</w:t>
      </w:r>
      <w:r>
        <w:rPr>
          <w:rFonts w:hint="eastAsia" w:ascii="宋体" w:hAnsi="宋体"/>
          <w:kern w:val="0"/>
          <w:sz w:val="24"/>
          <w:szCs w:val="21"/>
        </w:rPr>
        <w:t>年8月</w:t>
      </w:r>
      <w:r>
        <w:rPr>
          <w:rFonts w:ascii="宋体" w:hAnsi="宋体"/>
          <w:kern w:val="0"/>
          <w:sz w:val="24"/>
          <w:szCs w:val="21"/>
        </w:rPr>
        <w:t>30</w:t>
      </w:r>
      <w:r>
        <w:rPr>
          <w:rFonts w:hint="eastAsia" w:ascii="宋体" w:hAnsi="宋体"/>
          <w:kern w:val="0"/>
          <w:sz w:val="24"/>
          <w:szCs w:val="21"/>
        </w:rPr>
        <w:t>日</w:t>
      </w:r>
    </w:p>
    <w:p w14:paraId="48751738">
      <w:pPr>
        <w:widowControl/>
        <w:ind w:firstLine="5301" w:firstLineChars="2200"/>
        <w:jc w:val="left"/>
        <w:rPr>
          <w:rFonts w:ascii="宋体" w:hAnsi="宋体" w:eastAsia="宋体"/>
          <w:b/>
          <w:bCs/>
          <w:sz w:val="24"/>
          <w:szCs w:val="24"/>
        </w:rPr>
      </w:pPr>
      <w:r>
        <w:rPr>
          <w:rFonts w:ascii="宋体" w:hAnsi="宋体" w:eastAsia="宋体"/>
          <w:b/>
          <w:bCs/>
          <w:sz w:val="24"/>
          <w:szCs w:val="24"/>
        </w:rPr>
        <w:br w:type="page"/>
      </w:r>
    </w:p>
    <w:p w14:paraId="485E5596">
      <w:pPr>
        <w:spacing w:line="360" w:lineRule="auto"/>
        <w:jc w:val="center"/>
        <w:outlineLvl w:val="0"/>
        <w:rPr>
          <w:rFonts w:ascii="宋体" w:hAnsi="宋体" w:eastAsia="宋体" w:cs="Times New Roman"/>
          <w:b/>
          <w:bCs/>
          <w:sz w:val="30"/>
          <w:szCs w:val="24"/>
        </w:rPr>
      </w:pPr>
      <w:bookmarkStart w:id="6" w:name="_Toc88424511"/>
      <w:bookmarkStart w:id="7" w:name="_Toc166165185"/>
      <w:bookmarkStart w:id="8" w:name="_Toc57017167"/>
      <w:bookmarkStart w:id="9" w:name="_Toc57017170"/>
      <w:r>
        <w:rPr>
          <w:rFonts w:hint="eastAsia" w:ascii="宋体" w:hAnsi="宋体" w:eastAsia="宋体" w:cs="Times New Roman"/>
          <w:b/>
          <w:bCs/>
          <w:sz w:val="30"/>
          <w:szCs w:val="24"/>
        </w:rPr>
        <w:t>经典阅读与学术素养</w:t>
      </w:r>
      <w:r>
        <w:rPr>
          <w:rFonts w:ascii="宋体" w:hAnsi="宋体" w:eastAsia="宋体" w:cs="Times New Roman"/>
          <w:b/>
          <w:bCs/>
          <w:sz w:val="30"/>
          <w:szCs w:val="24"/>
        </w:rPr>
        <w:t>课程教学大纲</w:t>
      </w:r>
      <w:bookmarkEnd w:id="6"/>
      <w:bookmarkEnd w:id="7"/>
      <w:bookmarkEnd w:id="8"/>
    </w:p>
    <w:p w14:paraId="133B741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（Classic Reading and Academic Literacy）</w:t>
      </w:r>
    </w:p>
    <w:p w14:paraId="606D11D8">
      <w:pPr>
        <w:spacing w:line="360" w:lineRule="auto"/>
        <w:ind w:firstLine="551" w:firstLineChars="196"/>
        <w:rPr>
          <w:rFonts w:ascii="宋体" w:hAnsi="宋体" w:eastAsia="宋体" w:cs="Times New Roman"/>
          <w:b/>
          <w:color w:val="000000"/>
          <w:sz w:val="28"/>
          <w:szCs w:val="28"/>
        </w:rPr>
      </w:pPr>
    </w:p>
    <w:p w14:paraId="36487304">
      <w:pPr>
        <w:spacing w:line="360" w:lineRule="auto"/>
        <w:ind w:firstLine="551" w:firstLineChars="196"/>
        <w:rPr>
          <w:rFonts w:ascii="宋体" w:hAnsi="宋体" w:eastAsia="宋体" w:cs="Times New Roman"/>
          <w:b/>
          <w:color w:val="000000"/>
          <w:sz w:val="28"/>
          <w:szCs w:val="28"/>
        </w:rPr>
      </w:pPr>
      <w:bookmarkStart w:id="10" w:name="_Toc27847212"/>
      <w:bookmarkStart w:id="11" w:name="_Toc27846194"/>
      <w:bookmarkStart w:id="12" w:name="_Toc27845683"/>
      <w:r>
        <w:rPr>
          <w:rFonts w:ascii="宋体" w:hAnsi="宋体" w:eastAsia="宋体" w:cs="Times New Roman"/>
          <w:b/>
          <w:color w:val="000000"/>
          <w:sz w:val="28"/>
          <w:szCs w:val="28"/>
        </w:rPr>
        <w:t>一、课程概况</w:t>
      </w:r>
      <w:bookmarkEnd w:id="10"/>
      <w:bookmarkEnd w:id="11"/>
      <w:bookmarkEnd w:id="12"/>
    </w:p>
    <w:p w14:paraId="784F364C">
      <w:pPr>
        <w:spacing w:line="360" w:lineRule="auto"/>
        <w:ind w:firstLine="472" w:firstLineChars="196"/>
        <w:rPr>
          <w:rFonts w:ascii="Times New Roman" w:hAnsi="Times New Roman" w:eastAsia="宋体" w:cs="Times New Roman"/>
          <w:szCs w:val="24"/>
        </w:rPr>
      </w:pPr>
      <w:r>
        <w:rPr>
          <w:rFonts w:ascii="宋体" w:hAnsi="宋体" w:eastAsia="宋体" w:cs="Times New Roman"/>
          <w:b/>
          <w:bCs/>
          <w:color w:val="000000"/>
          <w:kern w:val="0"/>
          <w:sz w:val="24"/>
          <w:szCs w:val="24"/>
        </w:rPr>
        <w:t>课程代码</w:t>
      </w:r>
      <w:r>
        <w:rPr>
          <w:rFonts w:ascii="宋体" w:hAnsi="宋体" w:eastAsia="宋体" w:cs="Times New Roman"/>
          <w:b/>
          <w:color w:val="000000"/>
          <w:kern w:val="0"/>
          <w:sz w:val="24"/>
          <w:szCs w:val="24"/>
        </w:rPr>
        <w:t>：</w:t>
      </w:r>
      <w:r>
        <w:rPr>
          <w:rFonts w:ascii="宋体" w:hAnsi="宋体" w:eastAsia="宋体" w:cs="Times New Roman"/>
          <w:kern w:val="0"/>
          <w:sz w:val="24"/>
        </w:rPr>
        <w:t>2400004</w:t>
      </w:r>
    </w:p>
    <w:p w14:paraId="6486237A">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color w:val="000000"/>
          <w:kern w:val="0"/>
          <w:sz w:val="24"/>
          <w:szCs w:val="24"/>
        </w:rPr>
        <w:t>学    分：</w:t>
      </w:r>
      <w:r>
        <w:rPr>
          <w:rFonts w:ascii="宋体" w:hAnsi="宋体" w:eastAsia="宋体" w:cs="Times New Roman"/>
          <w:kern w:val="0"/>
          <w:sz w:val="24"/>
        </w:rPr>
        <w:t>2</w:t>
      </w:r>
    </w:p>
    <w:p w14:paraId="09563411">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学    时：</w:t>
      </w:r>
      <w:r>
        <w:rPr>
          <w:rFonts w:ascii="宋体" w:hAnsi="宋体" w:eastAsia="宋体" w:cs="Times New Roman"/>
          <w:kern w:val="0"/>
          <w:sz w:val="24"/>
          <w:szCs w:val="24"/>
        </w:rPr>
        <w:t>32 （其中：</w:t>
      </w:r>
      <w:r>
        <w:rPr>
          <w:rFonts w:hint="eastAsia" w:ascii="宋体" w:hAnsi="宋体" w:eastAsia="宋体" w:cs="Times New Roman"/>
          <w:kern w:val="0"/>
          <w:sz w:val="24"/>
          <w:szCs w:val="24"/>
        </w:rPr>
        <w:t>理论</w:t>
      </w:r>
      <w:r>
        <w:rPr>
          <w:rFonts w:ascii="宋体" w:hAnsi="宋体" w:eastAsia="宋体" w:cs="Times New Roman"/>
          <w:kern w:val="0"/>
          <w:sz w:val="24"/>
          <w:szCs w:val="24"/>
        </w:rPr>
        <w:t>学时32</w:t>
      </w:r>
      <w:r>
        <w:rPr>
          <w:rFonts w:hint="eastAsia" w:ascii="宋体" w:hAnsi="宋体" w:eastAsia="宋体" w:cs="Times New Roman"/>
          <w:kern w:val="0"/>
          <w:sz w:val="24"/>
          <w:szCs w:val="24"/>
        </w:rPr>
        <w:t>，</w:t>
      </w:r>
      <w:r>
        <w:rPr>
          <w:rFonts w:ascii="宋体" w:hAnsi="宋体" w:eastAsia="宋体" w:cs="Times New Roman"/>
          <w:kern w:val="0"/>
          <w:sz w:val="24"/>
          <w:szCs w:val="24"/>
        </w:rPr>
        <w:t>实践学时</w:t>
      </w:r>
      <w:r>
        <w:rPr>
          <w:rFonts w:hint="eastAsia" w:ascii="宋体" w:hAnsi="宋体" w:eastAsia="宋体" w:cs="Times New Roman"/>
          <w:kern w:val="0"/>
          <w:sz w:val="24"/>
          <w:szCs w:val="24"/>
        </w:rPr>
        <w:t>0</w:t>
      </w:r>
      <w:r>
        <w:rPr>
          <w:rFonts w:ascii="宋体" w:hAnsi="宋体" w:eastAsia="宋体" w:cs="Times New Roman"/>
          <w:kern w:val="0"/>
          <w:sz w:val="24"/>
          <w:szCs w:val="24"/>
        </w:rPr>
        <w:t>）</w:t>
      </w:r>
    </w:p>
    <w:p w14:paraId="363E93DA">
      <w:pPr>
        <w:spacing w:line="360" w:lineRule="auto"/>
        <w:ind w:firstLine="482" w:firstLineChars="200"/>
        <w:jc w:val="left"/>
        <w:rPr>
          <w:rFonts w:ascii="宋体" w:hAnsi="宋体" w:eastAsia="宋体" w:cs="Times New Roman"/>
          <w:kern w:val="0"/>
          <w:sz w:val="24"/>
          <w:szCs w:val="24"/>
        </w:rPr>
      </w:pPr>
      <w:r>
        <w:rPr>
          <w:rFonts w:ascii="宋体" w:hAnsi="宋体" w:eastAsia="宋体" w:cs="Times New Roman"/>
          <w:b/>
          <w:bCs/>
          <w:color w:val="000000"/>
          <w:kern w:val="0"/>
          <w:sz w:val="24"/>
          <w:szCs w:val="24"/>
        </w:rPr>
        <w:t>先修课程：</w:t>
      </w:r>
      <w:r>
        <w:rPr>
          <w:rFonts w:hint="eastAsia" w:ascii="宋体" w:hAnsi="宋体" w:eastAsia="宋体" w:cs="Times New Roman"/>
          <w:sz w:val="24"/>
        </w:rPr>
        <w:t>小学心理学、教育原理、教育心理学、中国教育史、外国教育史、教育哲学</w:t>
      </w:r>
    </w:p>
    <w:p w14:paraId="53C5B516">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适用专业：</w:t>
      </w:r>
      <w:r>
        <w:rPr>
          <w:rFonts w:hint="eastAsia" w:ascii="宋体" w:hAnsi="宋体" w:eastAsia="宋体" w:cs="Times New Roman"/>
          <w:kern w:val="0"/>
          <w:sz w:val="24"/>
          <w:szCs w:val="24"/>
        </w:rPr>
        <w:t>小学</w:t>
      </w:r>
      <w:r>
        <w:rPr>
          <w:rFonts w:ascii="宋体" w:hAnsi="宋体" w:eastAsia="宋体" w:cs="Times New Roman"/>
          <w:kern w:val="0"/>
          <w:sz w:val="24"/>
          <w:szCs w:val="24"/>
        </w:rPr>
        <w:t>教育</w:t>
      </w:r>
      <w:r>
        <w:rPr>
          <w:rFonts w:hint="eastAsia" w:ascii="宋体" w:hAnsi="宋体" w:eastAsia="宋体" w:cs="Times New Roman"/>
          <w:kern w:val="0"/>
          <w:sz w:val="24"/>
          <w:szCs w:val="24"/>
        </w:rPr>
        <w:t>（文）、小学</w:t>
      </w:r>
      <w:r>
        <w:rPr>
          <w:rFonts w:ascii="宋体" w:hAnsi="宋体" w:eastAsia="宋体" w:cs="Times New Roman"/>
          <w:kern w:val="0"/>
          <w:sz w:val="24"/>
          <w:szCs w:val="24"/>
        </w:rPr>
        <w:t>教育</w:t>
      </w:r>
      <w:r>
        <w:rPr>
          <w:rFonts w:hint="eastAsia" w:ascii="宋体" w:hAnsi="宋体" w:eastAsia="宋体" w:cs="Times New Roman"/>
          <w:kern w:val="0"/>
          <w:sz w:val="24"/>
          <w:szCs w:val="24"/>
        </w:rPr>
        <w:t>（理）</w:t>
      </w:r>
    </w:p>
    <w:p w14:paraId="0E677F76">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color w:val="000000"/>
          <w:kern w:val="0"/>
          <w:sz w:val="24"/>
          <w:szCs w:val="24"/>
        </w:rPr>
        <w:t>建议</w:t>
      </w:r>
      <w:r>
        <w:rPr>
          <w:rFonts w:ascii="宋体" w:hAnsi="宋体" w:eastAsia="宋体" w:cs="Times New Roman"/>
          <w:b/>
          <w:bCs/>
          <w:color w:val="000000"/>
          <w:kern w:val="0"/>
          <w:sz w:val="24"/>
          <w:szCs w:val="24"/>
        </w:rPr>
        <w:t>教材：</w:t>
      </w:r>
      <w:r>
        <w:rPr>
          <w:rFonts w:hint="eastAsia" w:ascii="宋体" w:hAnsi="宋体" w:eastAsia="宋体" w:cs="Times New Roman"/>
          <w:kern w:val="0"/>
          <w:sz w:val="24"/>
          <w:szCs w:val="24"/>
        </w:rPr>
        <w:t>教育学类经典名著、心理学类经典名著、其他相关人文社科类经典名著</w:t>
      </w:r>
    </w:p>
    <w:p w14:paraId="1768A3BF">
      <w:pPr>
        <w:spacing w:line="360" w:lineRule="auto"/>
        <w:ind w:firstLine="482" w:firstLineChars="200"/>
        <w:rPr>
          <w:rFonts w:ascii="宋体" w:hAnsi="宋体" w:eastAsia="宋体" w:cs="Times New Roman"/>
          <w:sz w:val="24"/>
        </w:rPr>
      </w:pPr>
      <w:r>
        <w:rPr>
          <w:rFonts w:ascii="宋体" w:hAnsi="宋体" w:eastAsia="宋体" w:cs="Times New Roman"/>
          <w:b/>
          <w:bCs/>
          <w:kern w:val="0"/>
          <w:sz w:val="24"/>
          <w:szCs w:val="24"/>
        </w:rPr>
        <w:t>课程归口：</w:t>
      </w:r>
      <w:r>
        <w:rPr>
          <w:rFonts w:hint="eastAsia" w:ascii="宋体" w:hAnsi="宋体" w:eastAsia="宋体" w:cs="Times New Roman"/>
          <w:sz w:val="24"/>
        </w:rPr>
        <w:t>师范</w:t>
      </w:r>
      <w:r>
        <w:rPr>
          <w:rFonts w:ascii="宋体" w:hAnsi="宋体" w:eastAsia="宋体" w:cs="Times New Roman"/>
          <w:sz w:val="24"/>
        </w:rPr>
        <w:t>学院</w:t>
      </w:r>
    </w:p>
    <w:p w14:paraId="66B8A5F5">
      <w:pPr>
        <w:autoSpaceDE w:val="0"/>
        <w:autoSpaceDN w:val="0"/>
        <w:adjustRightInd w:val="0"/>
        <w:spacing w:line="360" w:lineRule="auto"/>
        <w:ind w:firstLine="482" w:firstLineChars="200"/>
        <w:jc w:val="left"/>
        <w:rPr>
          <w:rFonts w:ascii="宋体" w:hAnsi="宋体" w:eastAsia="宋体" w:cs="Times New Roman"/>
          <w:kern w:val="0"/>
          <w:sz w:val="24"/>
          <w:szCs w:val="24"/>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kern w:val="0"/>
          <w:sz w:val="24"/>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43E3C305">
      <w:pPr>
        <w:spacing w:line="360" w:lineRule="auto"/>
        <w:ind w:firstLine="562" w:firstLineChars="200"/>
        <w:rPr>
          <w:rFonts w:ascii="宋体" w:hAnsi="宋体" w:eastAsia="宋体" w:cs="Times New Roman"/>
          <w:b/>
          <w:color w:val="000000"/>
          <w:sz w:val="28"/>
          <w:szCs w:val="28"/>
        </w:rPr>
      </w:pPr>
      <w:bookmarkStart w:id="13" w:name="_Toc27846195"/>
      <w:bookmarkStart w:id="14" w:name="_Toc27847213"/>
      <w:bookmarkStart w:id="15" w:name="_Toc27845684"/>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bookmarkEnd w:id="13"/>
      <w:bookmarkEnd w:id="14"/>
      <w:bookmarkEnd w:id="15"/>
    </w:p>
    <w:p w14:paraId="257355C2">
      <w:pPr>
        <w:spacing w:line="360" w:lineRule="auto"/>
        <w:ind w:firstLine="482" w:firstLineChars="200"/>
        <w:rPr>
          <w:rFonts w:ascii="宋体" w:hAnsi="宋体" w:eastAsia="宋体" w:cs="Times New Roman"/>
          <w:color w:val="000000"/>
          <w:sz w:val="24"/>
          <w:szCs w:val="28"/>
        </w:rPr>
      </w:pPr>
      <w:bookmarkStart w:id="16" w:name="_Toc27846196"/>
      <w:bookmarkStart w:id="17" w:name="_Toc27845685"/>
      <w:bookmarkStart w:id="18" w:name="_Toc27847214"/>
      <w:r>
        <w:rPr>
          <w:rFonts w:hint="eastAsia" w:ascii="宋体" w:hAnsi="宋体" w:eastAsia="宋体" w:cs="Times New Roman"/>
          <w:b/>
          <w:color w:val="000000"/>
          <w:sz w:val="24"/>
          <w:szCs w:val="28"/>
        </w:rPr>
        <w:t>（一）课程具体目标</w:t>
      </w:r>
      <w:bookmarkEnd w:id="16"/>
      <w:bookmarkEnd w:id="17"/>
      <w:bookmarkEnd w:id="18"/>
    </w:p>
    <w:p w14:paraId="52F71D4B">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目标1.</w:t>
      </w:r>
      <w:r>
        <w:rPr>
          <w:rFonts w:hint="eastAsia" w:ascii="等线" w:hAnsi="等线" w:eastAsia="等线" w:cs="Times New Roman"/>
        </w:rPr>
        <w:t xml:space="preserve"> </w:t>
      </w:r>
      <w:r>
        <w:rPr>
          <w:rFonts w:hint="eastAsia" w:ascii="宋体" w:hAnsi="宋体" w:eastAsia="宋体" w:cs="Times New Roman"/>
          <w:kern w:val="0"/>
          <w:sz w:val="24"/>
        </w:rPr>
        <w:t>掌握经典阅读的方法和技巧</w:t>
      </w:r>
    </w:p>
    <w:p w14:paraId="528FCBCC">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目标2.</w:t>
      </w:r>
      <w:r>
        <w:rPr>
          <w:rFonts w:hint="eastAsia" w:ascii="等线" w:hAnsi="等线" w:eastAsia="等线" w:cs="Times New Roman"/>
        </w:rPr>
        <w:t xml:space="preserve"> </w:t>
      </w:r>
      <w:r>
        <w:rPr>
          <w:rFonts w:hint="eastAsia" w:ascii="宋体" w:hAnsi="宋体" w:eastAsia="宋体" w:cs="Times New Roman"/>
          <w:kern w:val="0"/>
          <w:sz w:val="24"/>
        </w:rPr>
        <w:t>提高独立思考和批判性思维能力</w:t>
      </w:r>
    </w:p>
    <w:p w14:paraId="3CC99736">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目标3.</w:t>
      </w:r>
      <w:r>
        <w:rPr>
          <w:rFonts w:hint="eastAsia" w:ascii="等线" w:hAnsi="等线" w:eastAsia="等线" w:cs="Times New Roman"/>
        </w:rPr>
        <w:t xml:space="preserve"> </w:t>
      </w:r>
      <w:r>
        <w:rPr>
          <w:rFonts w:hint="eastAsia" w:ascii="宋体" w:hAnsi="宋体" w:eastAsia="宋体" w:cs="Times New Roman"/>
          <w:kern w:val="0"/>
          <w:sz w:val="24"/>
        </w:rPr>
        <w:t>培养学术研究意识和学术规范意识</w:t>
      </w:r>
    </w:p>
    <w:p w14:paraId="4164EBF8">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kern w:val="0"/>
          <w:sz w:val="24"/>
        </w:rPr>
        <w:t>目标4.</w:t>
      </w:r>
      <w:r>
        <w:rPr>
          <w:rFonts w:hint="eastAsia" w:ascii="等线" w:hAnsi="等线" w:eastAsia="等线" w:cs="Times New Roman"/>
        </w:rPr>
        <w:t xml:space="preserve"> </w:t>
      </w:r>
      <w:r>
        <w:rPr>
          <w:rFonts w:hint="eastAsia" w:ascii="宋体" w:hAnsi="宋体" w:eastAsia="宋体" w:cs="Times New Roman"/>
          <w:kern w:val="0"/>
          <w:sz w:val="24"/>
        </w:rPr>
        <w:t>提升人文素养和综合素质。</w:t>
      </w:r>
    </w:p>
    <w:p w14:paraId="28B71CD7">
      <w:pPr>
        <w:spacing w:line="360" w:lineRule="auto"/>
        <w:rPr>
          <w:rFonts w:ascii="Times New Roman" w:hAnsi="Times New Roman" w:eastAsia="宋体" w:cs="Times New Roman"/>
          <w:sz w:val="24"/>
          <w:szCs w:val="24"/>
        </w:rPr>
      </w:pPr>
    </w:p>
    <w:p w14:paraId="3074FA38">
      <w:pPr>
        <w:spacing w:line="360" w:lineRule="auto"/>
        <w:ind w:firstLine="482" w:firstLineChars="200"/>
        <w:rPr>
          <w:rFonts w:ascii="宋体" w:hAnsi="宋体" w:eastAsia="宋体" w:cs="Times New Roman"/>
          <w:b/>
          <w:sz w:val="24"/>
          <w:szCs w:val="28"/>
        </w:rPr>
      </w:pPr>
      <w:bookmarkStart w:id="19" w:name="_Toc27846197"/>
      <w:bookmarkStart w:id="20" w:name="_Toc27845686"/>
      <w:bookmarkStart w:id="21" w:name="_Toc27847215"/>
      <w:r>
        <w:rPr>
          <w:rFonts w:hint="eastAsia" w:ascii="宋体" w:hAnsi="宋体" w:eastAsia="宋体" w:cs="Times New Roman"/>
          <w:b/>
          <w:sz w:val="24"/>
          <w:szCs w:val="28"/>
        </w:rPr>
        <w:t>（二）课程目标与专业毕业要求的关系</w:t>
      </w:r>
      <w:bookmarkEnd w:id="19"/>
      <w:bookmarkEnd w:id="20"/>
      <w:bookmarkEnd w:id="21"/>
    </w:p>
    <w:tbl>
      <w:tblPr>
        <w:tblStyle w:val="30"/>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7B0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48" w:type="dxa"/>
            <w:vAlign w:val="center"/>
          </w:tcPr>
          <w:p w14:paraId="590964DA">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137D417D">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72915EF2">
            <w:pPr>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22FB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748" w:type="dxa"/>
            <w:vAlign w:val="center"/>
          </w:tcPr>
          <w:p w14:paraId="64785621">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1</w:t>
            </w:r>
          </w:p>
        </w:tc>
        <w:tc>
          <w:tcPr>
            <w:tcW w:w="2223" w:type="dxa"/>
            <w:vAlign w:val="center"/>
          </w:tcPr>
          <w:p w14:paraId="66993742">
            <w:pPr>
              <w:spacing w:line="276" w:lineRule="auto"/>
              <w:rPr>
                <w:rFonts w:ascii="宋体" w:hAnsi="宋体" w:eastAsia="宋体" w:cs="Times New Roman"/>
                <w:color w:val="000000"/>
                <w:kern w:val="0"/>
                <w:sz w:val="18"/>
                <w:szCs w:val="18"/>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2：教育情怀</w:t>
            </w:r>
          </w:p>
        </w:tc>
        <w:tc>
          <w:tcPr>
            <w:tcW w:w="4977" w:type="dxa"/>
            <w:vAlign w:val="center"/>
          </w:tcPr>
          <w:p w14:paraId="7BF3EC7A">
            <w:pPr>
              <w:spacing w:line="276" w:lineRule="auto"/>
              <w:jc w:val="left"/>
              <w:rPr>
                <w:rFonts w:ascii="宋体" w:hAnsi="宋体" w:eastAsia="宋体" w:cs="Times New Roman"/>
                <w:color w:val="000000"/>
                <w:kern w:val="0"/>
                <w:sz w:val="18"/>
                <w:szCs w:val="18"/>
              </w:rPr>
            </w:pPr>
            <w:r>
              <w:rPr>
                <w:rFonts w:ascii="宋体" w:hAnsi="宋体" w:eastAsia="宋体" w:cs="Times New Roman"/>
                <w:color w:val="000000"/>
                <w:kern w:val="0"/>
                <w:szCs w:val="21"/>
              </w:rPr>
              <w:t>指标点</w:t>
            </w:r>
            <w:r>
              <w:rPr>
                <w:rFonts w:ascii="宋体" w:hAnsi="宋体" w:eastAsia="宋体" w:cs="Times New Roman"/>
                <w:color w:val="000000"/>
                <w:szCs w:val="21"/>
              </w:rPr>
              <w:t>2-3：【自身修养良好】具有较好的人文底蕴与科学精神，言行举止符合教师职业标准，情感积极，人格健全，心理健康，能通过“知识整合”与“技术融合”增强育人素养。</w:t>
            </w:r>
          </w:p>
        </w:tc>
      </w:tr>
      <w:tr w14:paraId="08A7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48" w:type="dxa"/>
            <w:vAlign w:val="center"/>
          </w:tcPr>
          <w:p w14:paraId="49D2C95C">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223" w:type="dxa"/>
            <w:vAlign w:val="center"/>
          </w:tcPr>
          <w:p w14:paraId="31259C02">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tc>
        <w:tc>
          <w:tcPr>
            <w:tcW w:w="4977" w:type="dxa"/>
          </w:tcPr>
          <w:p w14:paraId="2BF663CF">
            <w:pPr>
              <w:spacing w:line="276" w:lineRule="auto"/>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7-1：【教育视野开阔】积极参加基础教育领域的国内外交流，了解国内外基础教育改革发展的动态，具有宽广的教育视野，能够主动适应新时代和教育发展需求。</w:t>
            </w:r>
          </w:p>
        </w:tc>
      </w:tr>
      <w:tr w14:paraId="19F0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48" w:type="dxa"/>
            <w:vAlign w:val="center"/>
          </w:tcPr>
          <w:p w14:paraId="2A4C1403">
            <w:pPr>
              <w:spacing w:line="276" w:lineRule="auto"/>
              <w:jc w:val="center"/>
              <w:rPr>
                <w:rFonts w:ascii="宋体" w:hAnsi="宋体" w:eastAsia="宋体" w:cs="宋体"/>
                <w:color w:val="000000"/>
                <w:szCs w:val="21"/>
              </w:rPr>
            </w:pPr>
            <w:r>
              <w:rPr>
                <w:rFonts w:hint="eastAsia" w:ascii="宋体" w:hAnsi="宋体" w:eastAsia="宋体" w:cs="宋体"/>
                <w:color w:val="000000"/>
                <w:szCs w:val="21"/>
              </w:rPr>
              <w:t xml:space="preserve">课程目标 </w:t>
            </w:r>
            <w:r>
              <w:rPr>
                <w:rFonts w:ascii="宋体" w:hAnsi="宋体" w:eastAsia="宋体" w:cs="宋体"/>
                <w:color w:val="000000"/>
                <w:szCs w:val="21"/>
              </w:rPr>
              <w:t>3</w:t>
            </w:r>
          </w:p>
        </w:tc>
        <w:tc>
          <w:tcPr>
            <w:tcW w:w="2223" w:type="dxa"/>
            <w:vAlign w:val="center"/>
          </w:tcPr>
          <w:p w14:paraId="0057F92F">
            <w:pPr>
              <w:spacing w:line="276" w:lineRule="auto"/>
              <w:rPr>
                <w:rFonts w:ascii="宋体" w:hAnsi="宋体" w:eastAsia="宋体" w:cs="Times New Roman"/>
                <w:b/>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2：教育情怀</w:t>
            </w:r>
          </w:p>
        </w:tc>
        <w:tc>
          <w:tcPr>
            <w:tcW w:w="4977" w:type="dxa"/>
            <w:vAlign w:val="center"/>
          </w:tcPr>
          <w:p w14:paraId="089744C2">
            <w:pPr>
              <w:spacing w:line="276" w:lineRule="auto"/>
              <w:rPr>
                <w:rFonts w:ascii="宋体" w:hAnsi="宋体" w:eastAsia="宋体" w:cs="Times New Roman"/>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2-3：【自身修养良好】具有较好的人文底蕴与科学精神，言行举止符合教师职业标准，情感积极，人格健全，心理健康，能通过“知识整合”与“技术融合”增强育人素养。</w:t>
            </w:r>
          </w:p>
        </w:tc>
      </w:tr>
      <w:tr w14:paraId="19A7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48" w:type="dxa"/>
            <w:vAlign w:val="center"/>
          </w:tcPr>
          <w:p w14:paraId="6B71E7AA">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223" w:type="dxa"/>
            <w:vAlign w:val="center"/>
          </w:tcPr>
          <w:p w14:paraId="0FB39FC6">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学科素养</w:t>
            </w:r>
          </w:p>
        </w:tc>
        <w:tc>
          <w:tcPr>
            <w:tcW w:w="4977" w:type="dxa"/>
          </w:tcPr>
          <w:p w14:paraId="0632E337">
            <w:pPr>
              <w:spacing w:line="276" w:lineRule="auto"/>
              <w:rPr>
                <w:rFonts w:ascii="宋体" w:hAnsi="宋体" w:eastAsia="宋体" w:cs="Times New Roman"/>
                <w:color w:val="000000"/>
                <w:kern w:val="0"/>
                <w:szCs w:val="21"/>
              </w:rPr>
            </w:pPr>
            <w:r>
              <w:rPr>
                <w:rFonts w:ascii="宋体" w:hAnsi="宋体" w:eastAsia="宋体" w:cs="Times New Roman"/>
                <w:color w:val="000000"/>
                <w:kern w:val="0"/>
                <w:szCs w:val="21"/>
              </w:rPr>
              <w:t>指标点</w:t>
            </w:r>
            <w:r>
              <w:rPr>
                <w:rFonts w:ascii="宋体" w:hAnsi="宋体" w:eastAsia="宋体" w:cs="Times New Roman"/>
                <w:color w:val="000000"/>
                <w:szCs w:val="21"/>
              </w:rPr>
              <w:t>3-3：【注重知识整合】</w:t>
            </w:r>
            <w:r>
              <w:rPr>
                <w:rFonts w:ascii="宋体" w:hAnsi="宋体" w:eastAsia="宋体" w:cs="Times New Roman"/>
                <w:color w:val="000000"/>
                <w:szCs w:val="23"/>
              </w:rPr>
              <w:t>了解所教学科与其他学科及与社会实践、小学生生活实践之间的联系，了解学科整合的在小学教育中的价值，具有跨学科解决问题的意识和能力，能指导综合性学科教学活动。</w:t>
            </w:r>
          </w:p>
        </w:tc>
      </w:tr>
    </w:tbl>
    <w:p w14:paraId="4C742863">
      <w:pPr>
        <w:spacing w:line="360" w:lineRule="auto"/>
        <w:rPr>
          <w:rFonts w:ascii="宋体" w:hAnsi="宋体" w:eastAsia="宋体" w:cs="Times New Roman"/>
          <w:b/>
          <w:kern w:val="0"/>
          <w:sz w:val="24"/>
        </w:rPr>
      </w:pPr>
    </w:p>
    <w:p w14:paraId="2815CDFE">
      <w:pPr>
        <w:spacing w:line="353" w:lineRule="auto"/>
        <w:rPr>
          <w:rFonts w:ascii="宋体" w:hAnsi="宋体" w:eastAsia="宋体" w:cs="Times New Roman"/>
          <w:b/>
          <w:sz w:val="28"/>
          <w:szCs w:val="28"/>
        </w:rPr>
      </w:pPr>
      <w:r>
        <w:rPr>
          <w:rFonts w:hint="eastAsia" w:ascii="宋体" w:hAnsi="宋体" w:eastAsia="宋体" w:cs="Times New Roman"/>
          <w:b/>
          <w:kern w:val="0"/>
          <w:sz w:val="24"/>
        </w:rPr>
        <w:t xml:space="preserve">   </w:t>
      </w:r>
      <w:r>
        <w:rPr>
          <w:rFonts w:hint="eastAsia" w:ascii="宋体" w:hAnsi="宋体" w:eastAsia="宋体" w:cs="Times New Roman"/>
          <w:b/>
          <w:color w:val="FF0000"/>
          <w:kern w:val="0"/>
          <w:sz w:val="24"/>
        </w:rPr>
        <w:t xml:space="preserve"> </w:t>
      </w:r>
      <w:bookmarkStart w:id="22" w:name="_Toc27845687"/>
      <w:bookmarkStart w:id="23" w:name="_Toc27847216"/>
      <w:bookmarkStart w:id="24" w:name="_Toc27846198"/>
      <w:r>
        <w:rPr>
          <w:rFonts w:hint="eastAsia" w:ascii="宋体" w:hAnsi="宋体" w:eastAsia="宋体" w:cs="Times New Roman"/>
          <w:b/>
          <w:sz w:val="28"/>
          <w:szCs w:val="28"/>
        </w:rPr>
        <w:t>三</w:t>
      </w:r>
      <w:r>
        <w:rPr>
          <w:rFonts w:ascii="宋体" w:hAnsi="宋体" w:eastAsia="宋体" w:cs="Times New Roman"/>
          <w:b/>
          <w:sz w:val="28"/>
          <w:szCs w:val="28"/>
        </w:rPr>
        <w:t>、课程内容及要求</w:t>
      </w:r>
      <w:bookmarkEnd w:id="22"/>
      <w:bookmarkEnd w:id="23"/>
      <w:bookmarkEnd w:id="24"/>
    </w:p>
    <w:p w14:paraId="43DA52E1">
      <w:pPr>
        <w:spacing w:line="353"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阅读方法与技巧模块：介绍常用的阅读方法和技巧，如泛读、精读、略读等，帮助学生掌握如何高效地阅读不同类型的文献。</w:t>
      </w:r>
    </w:p>
    <w:p w14:paraId="5C2F4D15">
      <w:pPr>
        <w:spacing w:line="353"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批判性思维模块：通过案例分析、讨论等形式，培养学生的批判性思维能力，使其能够独立思考、分析问题并提出解决方案。</w:t>
      </w:r>
    </w:p>
    <w:p w14:paraId="6B0372C6">
      <w:pPr>
        <w:spacing w:line="353"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学术研究规范模块：介绍学术研究的基本规范和要求，包括学术诚信、引用规范、论文撰写等，帮助学生树立良好的学术道德和规范意识。</w:t>
      </w:r>
    </w:p>
    <w:p w14:paraId="3FAFEE57">
      <w:pPr>
        <w:spacing w:line="353"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经典阅读实践模块：通过阅读经典文学作品、教育名著等，提高学生的阅读理解能力和文学鉴赏能力，同时拓展其人文视野和综合素质。</w:t>
      </w:r>
    </w:p>
    <w:p w14:paraId="4DAB1C21">
      <w:pPr>
        <w:spacing w:line="360" w:lineRule="auto"/>
        <w:rPr>
          <w:rFonts w:ascii="宋体" w:hAnsi="宋体" w:eastAsia="宋体" w:cs="Times New Roman"/>
          <w:b/>
          <w:sz w:val="24"/>
          <w:szCs w:val="24"/>
        </w:rPr>
      </w:pPr>
    </w:p>
    <w:p w14:paraId="5D5D644B">
      <w:pPr>
        <w:spacing w:line="360" w:lineRule="auto"/>
        <w:rPr>
          <w:rFonts w:ascii="宋体" w:hAnsi="宋体" w:eastAsia="宋体" w:cs="Times New Roman"/>
          <w:b/>
          <w:sz w:val="28"/>
          <w:szCs w:val="28"/>
        </w:rPr>
      </w:pPr>
      <w:r>
        <w:rPr>
          <w:rFonts w:hint="eastAsia" w:ascii="宋体" w:hAnsi="宋体" w:eastAsia="宋体" w:cs="Times New Roman"/>
          <w:b/>
          <w:sz w:val="28"/>
          <w:szCs w:val="28"/>
        </w:rPr>
        <w:t xml:space="preserve">    </w:t>
      </w:r>
      <w:bookmarkStart w:id="25" w:name="_Toc27847224"/>
      <w:bookmarkStart w:id="26" w:name="_Toc27846206"/>
      <w:r>
        <w:rPr>
          <w:rFonts w:hint="eastAsia" w:ascii="宋体" w:hAnsi="宋体" w:eastAsia="宋体" w:cs="Times New Roman"/>
          <w:b/>
          <w:sz w:val="28"/>
          <w:szCs w:val="28"/>
        </w:rPr>
        <w:t>四、课程实施</w:t>
      </w:r>
      <w:bookmarkEnd w:id="25"/>
      <w:bookmarkEnd w:id="26"/>
    </w:p>
    <w:p w14:paraId="404A157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课堂讲授：介绍课程的基本概念、理论和方法，为学生的后续学习打下基础。</w:t>
      </w:r>
    </w:p>
    <w:p w14:paraId="794A7E2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案例分析：通过分析真实的经典阅读和学术研究案例，帮助学生将理论知识应用于实际情境。</w:t>
      </w:r>
    </w:p>
    <w:p w14:paraId="269D280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小组讨论：鼓励学生分组进行讨论，分享阅读体验和思考，培养学生的合作意识和沟通能力。</w:t>
      </w:r>
    </w:p>
    <w:p w14:paraId="442FAC8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实践操作：组织学生进行经典阅读实践，撰写读书笔记、论文等，培养学生的实践能力和学术规范意识。</w:t>
      </w:r>
    </w:p>
    <w:p w14:paraId="2501AEAD">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网络资源利用：引导学生利用网络资源进行自主学习和拓展阅读，提高学习效果和综合素质。</w:t>
      </w:r>
    </w:p>
    <w:p w14:paraId="2FD69D87">
      <w:pPr>
        <w:spacing w:line="360" w:lineRule="auto"/>
        <w:jc w:val="center"/>
        <w:rPr>
          <w:rFonts w:ascii="宋体" w:hAnsi="宋体" w:eastAsia="宋体" w:cs="Times New Roman"/>
          <w:color w:val="000000"/>
          <w:sz w:val="24"/>
        </w:rPr>
      </w:pPr>
      <w:r>
        <w:rPr>
          <w:rFonts w:ascii="宋体" w:hAnsi="宋体" w:eastAsia="宋体" w:cs="Times New Roman"/>
          <w:b/>
          <w:bCs/>
          <w:sz w:val="24"/>
        </w:rPr>
        <w:t>主要教学环节的质量要求</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3795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4EFAD05A">
            <w:pPr>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058AEA33">
            <w:pPr>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5AB3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6F706B80">
            <w:pPr>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4C1B18AA">
            <w:pPr>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3E6AF815">
            <w:pPr>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7A60B2D1">
            <w:pPr>
              <w:rPr>
                <w:rFonts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2796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82" w:type="dxa"/>
            <w:tcBorders>
              <w:left w:val="single" w:color="auto" w:sz="8" w:space="0"/>
            </w:tcBorders>
            <w:vAlign w:val="center"/>
          </w:tcPr>
          <w:p w14:paraId="2EC3B622">
            <w:pPr>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767718EB">
            <w:pPr>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1F4BAEE9">
            <w:pPr>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3C34BA24">
            <w:pPr>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60DF6352">
            <w:pPr>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教学内容充实，不断充实最新研究成果；</w:t>
            </w:r>
          </w:p>
          <w:p w14:paraId="391BDC48">
            <w:pPr>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严格执行计划，教学进度适宜；</w:t>
            </w:r>
          </w:p>
          <w:p w14:paraId="1A66E1A2">
            <w:pPr>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课堂教学信息充分，注重理论联系实际；</w:t>
            </w:r>
          </w:p>
          <w:p w14:paraId="06F7D14B">
            <w:pPr>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注重启发学生思维，培养学生的教学能力；</w:t>
            </w:r>
          </w:p>
          <w:p w14:paraId="3006E8E6">
            <w:pPr>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面向全体基础上因材施教，灵活运用多种教学方法；</w:t>
            </w:r>
          </w:p>
          <w:p w14:paraId="7EE4871E">
            <w:pPr>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4"/>
              </w:rPr>
              <w:t>教学语言规范，为学生教育教学做好表率；</w:t>
            </w:r>
          </w:p>
          <w:p w14:paraId="7049EE6F">
            <w:pPr>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4"/>
              </w:rPr>
              <w:t>教学条理清楚，教学思路逻辑严密；</w:t>
            </w:r>
          </w:p>
          <w:p w14:paraId="13C8148C">
            <w:pPr>
              <w:rPr>
                <w:rFonts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4"/>
              </w:rPr>
              <w:t>充分运用现代化教学手段，教学技术熟练；</w:t>
            </w:r>
          </w:p>
          <w:p w14:paraId="7D795EFA">
            <w:pPr>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4"/>
              </w:rPr>
              <w:t>课堂教学要重点突出，难点突破；</w:t>
            </w:r>
          </w:p>
          <w:p w14:paraId="0C950EB2">
            <w:pPr>
              <w:rPr>
                <w:rFonts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4"/>
              </w:rPr>
              <w:t>注重师生互动，形成良好的课堂氛围。</w:t>
            </w:r>
          </w:p>
        </w:tc>
      </w:tr>
      <w:tr w14:paraId="38D3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582" w:type="dxa"/>
            <w:tcBorders>
              <w:left w:val="single" w:color="auto" w:sz="8" w:space="0"/>
            </w:tcBorders>
            <w:vAlign w:val="center"/>
          </w:tcPr>
          <w:p w14:paraId="537D86AB">
            <w:pPr>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69A100FE">
            <w:pPr>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6245F5CE">
            <w:pPr>
              <w:rPr>
                <w:rFonts w:ascii="宋体" w:hAnsi="宋体" w:eastAsia="宋体" w:cs="Times New Roman"/>
                <w:szCs w:val="21"/>
              </w:rPr>
            </w:pPr>
            <w:r>
              <w:rPr>
                <w:rFonts w:ascii="宋体" w:hAnsi="宋体" w:eastAsia="宋体" w:cs="Times New Roman"/>
                <w:szCs w:val="21"/>
              </w:rPr>
              <w:t>学生必须完成</w:t>
            </w:r>
            <w:r>
              <w:rPr>
                <w:rFonts w:hint="eastAsia" w:ascii="宋体" w:hAnsi="宋体" w:eastAsia="宋体" w:cs="Times New Roman"/>
                <w:szCs w:val="21"/>
              </w:rPr>
              <w:t>规定</w:t>
            </w:r>
            <w:r>
              <w:rPr>
                <w:rFonts w:ascii="宋体" w:hAnsi="宋体" w:eastAsia="宋体" w:cs="Times New Roman"/>
                <w:szCs w:val="21"/>
              </w:rPr>
              <w:t>数量的作业</w:t>
            </w:r>
            <w:r>
              <w:rPr>
                <w:rFonts w:hint="eastAsia" w:ascii="宋体" w:hAnsi="宋体" w:eastAsia="宋体" w:cs="Times New Roman"/>
                <w:szCs w:val="21"/>
              </w:rPr>
              <w:t>，</w:t>
            </w:r>
            <w:r>
              <w:rPr>
                <w:rFonts w:ascii="宋体" w:hAnsi="宋体" w:eastAsia="宋体" w:cs="Times New Roman"/>
                <w:szCs w:val="21"/>
              </w:rPr>
              <w:t>作业必须达到以下基本要求：</w:t>
            </w:r>
          </w:p>
          <w:p w14:paraId="0A88CC03">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按时按量完成作业，不缺交，不抄袭</w:t>
            </w:r>
            <w:r>
              <w:rPr>
                <w:rFonts w:hint="eastAsia" w:ascii="宋体" w:hAnsi="宋体" w:eastAsia="宋体" w:cs="Times New Roman"/>
                <w:szCs w:val="21"/>
              </w:rPr>
              <w:t>。</w:t>
            </w:r>
          </w:p>
          <w:p w14:paraId="307AF238">
            <w:pPr>
              <w:rPr>
                <w:rFonts w:ascii="宋体" w:hAnsi="宋体" w:eastAsia="宋体" w:cs="Times New Roman"/>
                <w:szCs w:val="21"/>
              </w:rPr>
            </w:pPr>
            <w:r>
              <w:rPr>
                <w:rFonts w:hint="eastAsia" w:ascii="宋体" w:hAnsi="宋体" w:eastAsia="宋体" w:cs="Times New Roman"/>
                <w:szCs w:val="21"/>
              </w:rPr>
              <w:t>（2）书写</w:t>
            </w:r>
            <w:r>
              <w:rPr>
                <w:rFonts w:ascii="宋体" w:hAnsi="宋体" w:eastAsia="宋体" w:cs="Times New Roman"/>
                <w:szCs w:val="21"/>
              </w:rPr>
              <w:t>规范</w:t>
            </w:r>
            <w:r>
              <w:rPr>
                <w:rFonts w:hint="eastAsia" w:ascii="宋体" w:hAnsi="宋体" w:eastAsia="宋体" w:cs="Times New Roman"/>
                <w:szCs w:val="21"/>
              </w:rPr>
              <w:t>、</w:t>
            </w:r>
            <w:r>
              <w:rPr>
                <w:rFonts w:ascii="宋体" w:hAnsi="宋体" w:eastAsia="宋体" w:cs="Times New Roman"/>
                <w:szCs w:val="21"/>
              </w:rPr>
              <w:t>格式规范、</w:t>
            </w:r>
            <w:r>
              <w:rPr>
                <w:rFonts w:hint="eastAsia" w:ascii="宋体" w:hAnsi="宋体" w:eastAsia="宋体" w:cs="Times New Roman"/>
                <w:szCs w:val="21"/>
              </w:rPr>
              <w:t>逻辑</w:t>
            </w:r>
            <w:r>
              <w:rPr>
                <w:rFonts w:ascii="宋体" w:hAnsi="宋体" w:eastAsia="宋体" w:cs="Times New Roman"/>
                <w:szCs w:val="21"/>
              </w:rPr>
              <w:t>清晰</w:t>
            </w:r>
            <w:r>
              <w:rPr>
                <w:rFonts w:hint="eastAsia" w:ascii="宋体" w:hAnsi="宋体" w:eastAsia="宋体" w:cs="Times New Roman"/>
                <w:szCs w:val="21"/>
              </w:rPr>
              <w:t>。</w:t>
            </w:r>
          </w:p>
          <w:p w14:paraId="45838CC7">
            <w:pPr>
              <w:rPr>
                <w:rFonts w:ascii="宋体" w:hAnsi="宋体" w:eastAsia="宋体" w:cs="Times New Roman"/>
                <w:szCs w:val="21"/>
              </w:rPr>
            </w:pP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讲评作业要求如下：</w:t>
            </w:r>
          </w:p>
          <w:p w14:paraId="7191A0B1">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学生的作业要</w:t>
            </w:r>
            <w:r>
              <w:rPr>
                <w:rFonts w:hint="eastAsia" w:ascii="宋体" w:hAnsi="宋体" w:eastAsia="宋体" w:cs="Times New Roman"/>
                <w:szCs w:val="21"/>
              </w:rPr>
              <w:t>按时</w:t>
            </w:r>
            <w:r>
              <w:rPr>
                <w:rFonts w:ascii="宋体" w:hAnsi="宋体" w:eastAsia="宋体" w:cs="Times New Roman"/>
                <w:szCs w:val="21"/>
              </w:rPr>
              <w:t>全</w:t>
            </w:r>
            <w:r>
              <w:rPr>
                <w:rFonts w:hint="eastAsia" w:ascii="宋体" w:hAnsi="宋体" w:eastAsia="宋体" w:cs="Times New Roman"/>
                <w:szCs w:val="21"/>
              </w:rPr>
              <w:t>部</w:t>
            </w:r>
            <w:r>
              <w:rPr>
                <w:rFonts w:ascii="宋体" w:hAnsi="宋体" w:eastAsia="宋体" w:cs="Times New Roman"/>
                <w:szCs w:val="21"/>
              </w:rPr>
              <w:t>批改，并</w:t>
            </w:r>
            <w:r>
              <w:rPr>
                <w:rFonts w:hint="eastAsia" w:ascii="宋体" w:hAnsi="宋体" w:eastAsia="宋体" w:cs="Times New Roman"/>
                <w:szCs w:val="21"/>
              </w:rPr>
              <w:t>及时进行</w:t>
            </w:r>
            <w:r>
              <w:rPr>
                <w:rFonts w:ascii="宋体" w:hAnsi="宋体" w:eastAsia="宋体" w:cs="Times New Roman"/>
                <w:szCs w:val="21"/>
              </w:rPr>
              <w:t>讲评</w:t>
            </w:r>
            <w:r>
              <w:rPr>
                <w:rFonts w:hint="eastAsia" w:ascii="宋体" w:hAnsi="宋体" w:eastAsia="宋体" w:cs="Times New Roman"/>
                <w:szCs w:val="21"/>
              </w:rPr>
              <w:t>。</w:t>
            </w:r>
          </w:p>
          <w:p w14:paraId="7713BDFC">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讲评作业要认真、细致，按百分制评定成绩并写明日期</w:t>
            </w:r>
            <w:r>
              <w:rPr>
                <w:rFonts w:hint="eastAsia" w:ascii="宋体" w:hAnsi="宋体" w:eastAsia="宋体" w:cs="Times New Roman"/>
                <w:szCs w:val="21"/>
              </w:rPr>
              <w:t>。</w:t>
            </w:r>
          </w:p>
          <w:p w14:paraId="1418FFB1">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学生作业平均成绩</w:t>
            </w:r>
            <w:r>
              <w:rPr>
                <w:rFonts w:hint="eastAsia" w:ascii="宋体" w:hAnsi="宋体" w:eastAsia="宋体" w:cs="Times New Roman"/>
                <w:szCs w:val="21"/>
              </w:rPr>
              <w:t>应</w:t>
            </w:r>
            <w:r>
              <w:rPr>
                <w:rFonts w:ascii="宋体" w:hAnsi="宋体" w:eastAsia="宋体" w:cs="Times New Roman"/>
                <w:szCs w:val="21"/>
              </w:rPr>
              <w:t>作为本课程总评成绩中平时成绩的重要组成部分。</w:t>
            </w:r>
          </w:p>
        </w:tc>
      </w:tr>
      <w:tr w14:paraId="0E26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582" w:type="dxa"/>
            <w:tcBorders>
              <w:left w:val="single" w:color="auto" w:sz="8" w:space="0"/>
            </w:tcBorders>
            <w:vAlign w:val="center"/>
          </w:tcPr>
          <w:p w14:paraId="3CB5EB55">
            <w:pPr>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6319A520">
            <w:pPr>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5C7F28A3">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359A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582" w:type="dxa"/>
            <w:tcBorders>
              <w:left w:val="single" w:color="auto" w:sz="8" w:space="0"/>
            </w:tcBorders>
            <w:vAlign w:val="center"/>
          </w:tcPr>
          <w:p w14:paraId="6E73D85E">
            <w:pPr>
              <w:jc w:val="center"/>
              <w:rPr>
                <w:rFonts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4AD735C6">
            <w:pPr>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50401BBD">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为开卷笔试</w:t>
            </w:r>
            <w:r>
              <w:rPr>
                <w:rFonts w:ascii="宋体" w:hAnsi="宋体" w:eastAsia="宋体" w:cs="Times New Roman"/>
                <w:szCs w:val="21"/>
              </w:rPr>
              <w:t>。</w:t>
            </w:r>
            <w:r>
              <w:rPr>
                <w:rFonts w:hint="eastAsia" w:ascii="宋体" w:hAnsi="宋体" w:eastAsia="宋体" w:cs="Times New Roman"/>
                <w:szCs w:val="21"/>
              </w:rPr>
              <w:t>考查采用平时作业和期末读书报告综合评定</w:t>
            </w:r>
            <w:r>
              <w:rPr>
                <w:rFonts w:ascii="宋体" w:hAnsi="宋体" w:eastAsia="宋体" w:cs="Times New Roman"/>
                <w:szCs w:val="21"/>
              </w:rPr>
              <w:t>。有下列情况之一者，总评成绩为不及格：</w:t>
            </w:r>
          </w:p>
          <w:p w14:paraId="1ABDA66A">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6694761A">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5AFD14F7">
      <w:pPr>
        <w:spacing w:line="360" w:lineRule="auto"/>
        <w:ind w:firstLine="562" w:firstLineChars="200"/>
        <w:rPr>
          <w:rFonts w:ascii="宋体" w:hAnsi="宋体" w:eastAsia="宋体" w:cs="Times New Roman"/>
          <w:b/>
          <w:sz w:val="28"/>
          <w:szCs w:val="28"/>
        </w:rPr>
      </w:pPr>
    </w:p>
    <w:p w14:paraId="00412BC1">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五、课程</w:t>
      </w:r>
      <w:r>
        <w:rPr>
          <w:rFonts w:ascii="宋体" w:hAnsi="宋体" w:eastAsia="宋体" w:cs="Times New Roman"/>
          <w:b/>
          <w:sz w:val="28"/>
          <w:szCs w:val="28"/>
        </w:rPr>
        <w:t>考核</w:t>
      </w:r>
    </w:p>
    <w:p w14:paraId="3EA13DD3">
      <w:pPr>
        <w:spacing w:line="348" w:lineRule="auto"/>
        <w:ind w:firstLine="480" w:firstLineChars="200"/>
        <w:rPr>
          <w:rFonts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w:t>
      </w:r>
      <w:r>
        <w:rPr>
          <w:rFonts w:ascii="宋体" w:hAnsi="宋体" w:eastAsia="宋体" w:cs="Times New Roman"/>
          <w:sz w:val="24"/>
        </w:rPr>
        <w:t>。</w:t>
      </w:r>
    </w:p>
    <w:p w14:paraId="190DDE62">
      <w:pPr>
        <w:spacing w:line="348"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w:t>
      </w:r>
      <w:r>
        <w:rPr>
          <w:rFonts w:hint="eastAsia" w:ascii="宋体" w:hAnsi="宋体" w:eastAsia="宋体" w:cs="Times New Roman"/>
          <w:sz w:val="24"/>
        </w:rPr>
        <w:t>阅读与参加讲座成绩</w:t>
      </w:r>
      <w:r>
        <w:rPr>
          <w:rFonts w:ascii="宋体" w:hAnsi="宋体" w:eastAsia="宋体" w:cs="Times New Roman"/>
          <w:sz w:val="24"/>
        </w:rPr>
        <w:t>×</w:t>
      </w:r>
      <w:r>
        <w:rPr>
          <w:rFonts w:hint="eastAsia" w:ascii="宋体" w:hAnsi="宋体" w:eastAsia="宋体" w:cs="Times New Roman"/>
          <w:sz w:val="24"/>
        </w:rPr>
        <w:t>40</w:t>
      </w:r>
      <w:r>
        <w:rPr>
          <w:rFonts w:ascii="宋体" w:hAnsi="宋体" w:eastAsia="宋体" w:cs="Times New Roman"/>
          <w:sz w:val="24"/>
        </w:rPr>
        <w:t>% +</w:t>
      </w:r>
      <w:r>
        <w:rPr>
          <w:rFonts w:hint="eastAsia" w:ascii="宋体" w:hAnsi="宋体" w:eastAsia="宋体" w:cs="Times New Roman"/>
          <w:sz w:val="24"/>
        </w:rPr>
        <w:t>读书报告</w:t>
      </w:r>
      <w:r>
        <w:rPr>
          <w:rFonts w:ascii="宋体" w:hAnsi="宋体" w:eastAsia="宋体" w:cs="Times New Roman"/>
          <w:sz w:val="24"/>
        </w:rPr>
        <w:t>成绩×</w:t>
      </w:r>
      <w:r>
        <w:rPr>
          <w:rFonts w:hint="eastAsia" w:ascii="宋体" w:hAnsi="宋体" w:eastAsia="宋体" w:cs="Times New Roman"/>
          <w:sz w:val="24"/>
        </w:rPr>
        <w:t>60</w:t>
      </w:r>
      <w:r>
        <w:rPr>
          <w:rFonts w:ascii="宋体" w:hAnsi="宋体" w:eastAsia="宋体" w:cs="Times New Roman"/>
          <w:sz w:val="24"/>
        </w:rPr>
        <w:t>%。</w:t>
      </w:r>
    </w:p>
    <w:p w14:paraId="6581A88C">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14"/>
        <w:gridCol w:w="629"/>
        <w:gridCol w:w="2773"/>
        <w:gridCol w:w="1418"/>
        <w:gridCol w:w="1054"/>
        <w:gridCol w:w="1276"/>
      </w:tblGrid>
      <w:tr w14:paraId="6BD2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shd w:val="clear" w:color="auto" w:fill="FFFFFF"/>
            <w:tcMar>
              <w:left w:w="57" w:type="dxa"/>
              <w:right w:w="57" w:type="dxa"/>
            </w:tcMar>
            <w:vAlign w:val="center"/>
          </w:tcPr>
          <w:p w14:paraId="6AD06310">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成绩组成</w:t>
            </w:r>
          </w:p>
        </w:tc>
        <w:tc>
          <w:tcPr>
            <w:tcW w:w="1214" w:type="dxa"/>
            <w:shd w:val="clear" w:color="auto" w:fill="FFFFFF"/>
            <w:vAlign w:val="center"/>
          </w:tcPr>
          <w:p w14:paraId="2C7C9A12">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考核/</w:t>
            </w:r>
          </w:p>
          <w:p w14:paraId="58BAAE7B">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评价环节</w:t>
            </w:r>
          </w:p>
        </w:tc>
        <w:tc>
          <w:tcPr>
            <w:tcW w:w="629" w:type="dxa"/>
            <w:shd w:val="clear" w:color="auto" w:fill="FFFFFF"/>
            <w:vAlign w:val="center"/>
          </w:tcPr>
          <w:p w14:paraId="747372AC">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权重</w:t>
            </w:r>
          </w:p>
        </w:tc>
        <w:tc>
          <w:tcPr>
            <w:tcW w:w="2773" w:type="dxa"/>
            <w:shd w:val="clear" w:color="auto" w:fill="FFFFFF"/>
            <w:vAlign w:val="center"/>
          </w:tcPr>
          <w:p w14:paraId="7FEB7A5F">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考核/评价细则</w:t>
            </w:r>
          </w:p>
        </w:tc>
        <w:tc>
          <w:tcPr>
            <w:tcW w:w="1418" w:type="dxa"/>
            <w:shd w:val="clear" w:color="auto" w:fill="FFFFFF"/>
          </w:tcPr>
          <w:p w14:paraId="58705A72">
            <w:pPr>
              <w:spacing w:line="280" w:lineRule="exact"/>
              <w:ind w:firstLine="316" w:firstLineChars="150"/>
              <w:rPr>
                <w:rFonts w:ascii="Times New Roman" w:hAnsi="Times New Roman" w:eastAsia="宋体" w:cs="Times New Roman"/>
                <w:b/>
                <w:szCs w:val="24"/>
              </w:rPr>
            </w:pPr>
            <w:r>
              <w:rPr>
                <w:rFonts w:ascii="Times New Roman" w:hAnsi="Times New Roman" w:eastAsia="宋体" w:cs="Times New Roman"/>
                <w:b/>
                <w:szCs w:val="24"/>
              </w:rPr>
              <w:t>课程</w:t>
            </w:r>
          </w:p>
          <w:p w14:paraId="638477DE">
            <w:pPr>
              <w:spacing w:line="280" w:lineRule="exact"/>
              <w:jc w:val="center"/>
              <w:rPr>
                <w:rFonts w:ascii="Times New Roman" w:hAnsi="Times New Roman" w:eastAsia="宋体" w:cs="Times New Roman"/>
                <w:b/>
                <w:szCs w:val="24"/>
              </w:rPr>
            </w:pPr>
            <w:r>
              <w:rPr>
                <w:rFonts w:ascii="Times New Roman" w:hAnsi="Times New Roman" w:eastAsia="宋体" w:cs="Times New Roman"/>
                <w:b/>
                <w:szCs w:val="24"/>
              </w:rPr>
              <w:t>目标</w:t>
            </w:r>
          </w:p>
        </w:tc>
        <w:tc>
          <w:tcPr>
            <w:tcW w:w="1054" w:type="dxa"/>
            <w:shd w:val="clear" w:color="auto" w:fill="FFFFFF"/>
          </w:tcPr>
          <w:p w14:paraId="7B4CE5A9">
            <w:pPr>
              <w:spacing w:line="280" w:lineRule="exact"/>
              <w:ind w:left="-107" w:leftChars="-51"/>
              <w:jc w:val="center"/>
              <w:rPr>
                <w:rFonts w:ascii="Times New Roman" w:hAnsi="Times New Roman" w:eastAsia="宋体" w:cs="Times New Roman"/>
                <w:b/>
                <w:szCs w:val="24"/>
              </w:rPr>
            </w:pPr>
            <w:r>
              <w:rPr>
                <w:rFonts w:ascii="Times New Roman" w:hAnsi="Times New Roman" w:eastAsia="宋体" w:cs="Times New Roman"/>
                <w:b/>
                <w:szCs w:val="24"/>
              </w:rPr>
              <w:t>考核</w:t>
            </w:r>
          </w:p>
          <w:p w14:paraId="29C6784C">
            <w:pPr>
              <w:spacing w:line="280" w:lineRule="exact"/>
              <w:ind w:left="-107" w:leftChars="-51"/>
              <w:jc w:val="center"/>
              <w:rPr>
                <w:rFonts w:ascii="Times New Roman" w:hAnsi="Times New Roman" w:eastAsia="宋体" w:cs="Times New Roman"/>
                <w:b/>
                <w:szCs w:val="24"/>
              </w:rPr>
            </w:pPr>
            <w:r>
              <w:rPr>
                <w:rFonts w:ascii="Times New Roman" w:hAnsi="Times New Roman" w:eastAsia="宋体" w:cs="Times New Roman"/>
                <w:b/>
                <w:szCs w:val="24"/>
              </w:rPr>
              <w:t>内容</w:t>
            </w:r>
          </w:p>
        </w:tc>
        <w:tc>
          <w:tcPr>
            <w:tcW w:w="1276" w:type="dxa"/>
            <w:shd w:val="clear" w:color="auto" w:fill="FFFFFF"/>
            <w:vAlign w:val="center"/>
          </w:tcPr>
          <w:p w14:paraId="78B81877">
            <w:pPr>
              <w:spacing w:line="280" w:lineRule="exact"/>
              <w:ind w:left="-107" w:leftChars="-51"/>
              <w:jc w:val="center"/>
              <w:rPr>
                <w:rFonts w:ascii="Times New Roman" w:hAnsi="Times New Roman" w:eastAsia="宋体" w:cs="Times New Roman"/>
                <w:b/>
                <w:szCs w:val="24"/>
              </w:rPr>
            </w:pPr>
            <w:r>
              <w:rPr>
                <w:rFonts w:ascii="Times New Roman" w:hAnsi="Times New Roman" w:eastAsia="宋体" w:cs="Times New Roman"/>
                <w:b/>
                <w:szCs w:val="24"/>
              </w:rPr>
              <w:t>对应的毕业要求指标点</w:t>
            </w:r>
          </w:p>
        </w:tc>
      </w:tr>
      <w:tr w14:paraId="67F0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624" w:type="dxa"/>
            <w:tcMar>
              <w:left w:w="57" w:type="dxa"/>
              <w:right w:w="57" w:type="dxa"/>
            </w:tcMar>
            <w:vAlign w:val="center"/>
          </w:tcPr>
          <w:p w14:paraId="34D255C0">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平时成绩</w:t>
            </w:r>
          </w:p>
        </w:tc>
        <w:tc>
          <w:tcPr>
            <w:tcW w:w="1214" w:type="dxa"/>
            <w:vAlign w:val="center"/>
          </w:tcPr>
          <w:p w14:paraId="1A601081">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平时阅读与参加讲座</w:t>
            </w:r>
          </w:p>
        </w:tc>
        <w:tc>
          <w:tcPr>
            <w:tcW w:w="629" w:type="dxa"/>
            <w:vAlign w:val="center"/>
          </w:tcPr>
          <w:p w14:paraId="5D75635F">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40%</w:t>
            </w:r>
          </w:p>
        </w:tc>
        <w:tc>
          <w:tcPr>
            <w:tcW w:w="2773" w:type="dxa"/>
            <w:vAlign w:val="center"/>
          </w:tcPr>
          <w:p w14:paraId="03E6BB30">
            <w:pPr>
              <w:spacing w:line="280" w:lineRule="exact"/>
              <w:jc w:val="left"/>
              <w:rPr>
                <w:rFonts w:ascii="Times New Roman" w:hAnsi="Times New Roman" w:eastAsia="宋体" w:cs="Times New Roman"/>
                <w:szCs w:val="24"/>
              </w:rPr>
            </w:pPr>
            <w:r>
              <w:rPr>
                <w:rFonts w:ascii="Times New Roman" w:hAnsi="Times New Roman" w:eastAsia="宋体" w:cs="Times New Roman"/>
                <w:szCs w:val="24"/>
              </w:rPr>
              <w:t>根据学生平时的阅读作业和参加讲座的次数和效果综合评定成绩。</w:t>
            </w:r>
          </w:p>
        </w:tc>
        <w:tc>
          <w:tcPr>
            <w:tcW w:w="1418" w:type="dxa"/>
            <w:vAlign w:val="center"/>
          </w:tcPr>
          <w:p w14:paraId="117FA436">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课程目标1</w:t>
            </w:r>
          </w:p>
          <w:p w14:paraId="0B960614">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课程目标2</w:t>
            </w:r>
          </w:p>
          <w:p w14:paraId="334499A9">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课程目标3</w:t>
            </w:r>
          </w:p>
          <w:p w14:paraId="6E769EDC">
            <w:pPr>
              <w:spacing w:line="280" w:lineRule="exact"/>
              <w:jc w:val="center"/>
              <w:rPr>
                <w:rFonts w:ascii="Times New Roman" w:hAnsi="Times New Roman" w:eastAsia="宋体" w:cs="Times New Roman"/>
                <w:szCs w:val="24"/>
              </w:rPr>
            </w:pPr>
            <w:r>
              <w:rPr>
                <w:rFonts w:ascii="Times New Roman" w:hAnsi="Times New Roman" w:eastAsia="宋体" w:cs="Times New Roman"/>
                <w:szCs w:val="24"/>
              </w:rPr>
              <w:t>课程目标4</w:t>
            </w:r>
          </w:p>
        </w:tc>
        <w:tc>
          <w:tcPr>
            <w:tcW w:w="1054" w:type="dxa"/>
            <w:vAlign w:val="center"/>
          </w:tcPr>
          <w:p w14:paraId="27702B68">
            <w:pPr>
              <w:spacing w:line="280" w:lineRule="exac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日常阅读作业质量、听取报告或讲座的收获</w:t>
            </w:r>
          </w:p>
        </w:tc>
        <w:tc>
          <w:tcPr>
            <w:tcW w:w="1276" w:type="dxa"/>
            <w:vAlign w:val="center"/>
          </w:tcPr>
          <w:p w14:paraId="233DCECE">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p w14:paraId="27E9F5C7">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3-3</w:t>
            </w:r>
          </w:p>
          <w:p w14:paraId="18C31E27">
            <w:pPr>
              <w:spacing w:line="28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7-3</w:t>
            </w:r>
          </w:p>
          <w:p w14:paraId="05EBFD94">
            <w:pPr>
              <w:spacing w:line="280" w:lineRule="exact"/>
              <w:jc w:val="center"/>
              <w:rPr>
                <w:rFonts w:ascii="Times New Roman" w:hAnsi="Times New Roman" w:eastAsia="宋体" w:cs="Times New Roman"/>
                <w:szCs w:val="24"/>
              </w:rPr>
            </w:pPr>
          </w:p>
        </w:tc>
      </w:tr>
      <w:tr w14:paraId="0483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624" w:type="dxa"/>
            <w:tcMar>
              <w:left w:w="57" w:type="dxa"/>
              <w:right w:w="57" w:type="dxa"/>
            </w:tcMar>
            <w:vAlign w:val="center"/>
          </w:tcPr>
          <w:p w14:paraId="55A09695">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期末考试</w:t>
            </w:r>
          </w:p>
        </w:tc>
        <w:tc>
          <w:tcPr>
            <w:tcW w:w="1214" w:type="dxa"/>
            <w:vAlign w:val="center"/>
          </w:tcPr>
          <w:p w14:paraId="498D1CAC">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读书报告成绩</w:t>
            </w:r>
          </w:p>
        </w:tc>
        <w:tc>
          <w:tcPr>
            <w:tcW w:w="629" w:type="dxa"/>
            <w:vAlign w:val="center"/>
          </w:tcPr>
          <w:p w14:paraId="70B37C8A">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60%</w:t>
            </w:r>
          </w:p>
        </w:tc>
        <w:tc>
          <w:tcPr>
            <w:tcW w:w="2773" w:type="dxa"/>
            <w:vAlign w:val="center"/>
          </w:tcPr>
          <w:p w14:paraId="7837CBCB">
            <w:pPr>
              <w:jc w:val="left"/>
              <w:rPr>
                <w:rFonts w:ascii="Times New Roman" w:hAnsi="Times New Roman" w:eastAsia="宋体" w:cs="Times New Roman"/>
                <w:szCs w:val="21"/>
              </w:rPr>
            </w:pPr>
            <w:r>
              <w:rPr>
                <w:rFonts w:ascii="Times New Roman" w:hAnsi="Times New Roman" w:eastAsia="宋体" w:cs="Times New Roman"/>
                <w:szCs w:val="21"/>
              </w:rPr>
              <w:t>根据学生的报告撰写的质量（格式、内容、逻辑、理论等）综合评定</w:t>
            </w:r>
          </w:p>
        </w:tc>
        <w:tc>
          <w:tcPr>
            <w:tcW w:w="1418" w:type="dxa"/>
            <w:vAlign w:val="center"/>
          </w:tcPr>
          <w:p w14:paraId="37F5A27A">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课程目标1</w:t>
            </w:r>
          </w:p>
          <w:p w14:paraId="323B6830">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课程目标2</w:t>
            </w:r>
          </w:p>
          <w:p w14:paraId="543D1FD2">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课程目标3</w:t>
            </w:r>
          </w:p>
          <w:p w14:paraId="24E3212D">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课程目标4</w:t>
            </w:r>
          </w:p>
        </w:tc>
        <w:tc>
          <w:tcPr>
            <w:tcW w:w="1054" w:type="dxa"/>
            <w:vAlign w:val="center"/>
          </w:tcPr>
          <w:p w14:paraId="45192D01">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读书报告的撰写质量</w:t>
            </w:r>
          </w:p>
        </w:tc>
        <w:tc>
          <w:tcPr>
            <w:tcW w:w="1276" w:type="dxa"/>
            <w:vAlign w:val="center"/>
          </w:tcPr>
          <w:p w14:paraId="4C495F4D">
            <w:pPr>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3-1</w:t>
            </w:r>
          </w:p>
          <w:p w14:paraId="4F48F87F">
            <w:pPr>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3-3</w:t>
            </w:r>
          </w:p>
          <w:p w14:paraId="35CA34AA">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kern w:val="0"/>
                <w:szCs w:val="21"/>
              </w:rPr>
              <w:t>7-3</w:t>
            </w:r>
          </w:p>
        </w:tc>
      </w:tr>
    </w:tbl>
    <w:p w14:paraId="69327918">
      <w:pPr>
        <w:spacing w:line="360" w:lineRule="auto"/>
        <w:rPr>
          <w:rFonts w:ascii="宋体" w:hAnsi="宋体" w:eastAsia="宋体" w:cs="Times New Roman"/>
          <w:sz w:val="24"/>
        </w:rPr>
      </w:pPr>
      <w:r>
        <w:rPr>
          <w:rFonts w:hint="eastAsia" w:ascii="宋体" w:hAnsi="宋体" w:eastAsia="宋体" w:cs="Times New Roman"/>
          <w:sz w:val="24"/>
        </w:rPr>
        <w:t xml:space="preserve">    </w:t>
      </w:r>
    </w:p>
    <w:p w14:paraId="0CAA3525">
      <w:pPr>
        <w:spacing w:line="360" w:lineRule="auto"/>
        <w:rPr>
          <w:rFonts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125"/>
        <w:gridCol w:w="2433"/>
        <w:gridCol w:w="2391"/>
        <w:gridCol w:w="1065"/>
      </w:tblGrid>
      <w:tr w14:paraId="43AB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center"/>
        </w:trPr>
        <w:tc>
          <w:tcPr>
            <w:tcW w:w="3109" w:type="dxa"/>
            <w:gridSpan w:val="2"/>
            <w:shd w:val="clear" w:color="auto" w:fill="auto"/>
            <w:vAlign w:val="center"/>
          </w:tcPr>
          <w:p w14:paraId="2BCF5B4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889" w:type="dxa"/>
            <w:gridSpan w:val="3"/>
            <w:shd w:val="clear" w:color="auto" w:fill="auto"/>
            <w:vAlign w:val="center"/>
          </w:tcPr>
          <w:p w14:paraId="003E9892">
            <w:pPr>
              <w:widowControl/>
              <w:spacing w:line="276" w:lineRule="auto"/>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2FFE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984" w:type="dxa"/>
            <w:shd w:val="clear" w:color="auto" w:fill="auto"/>
            <w:vAlign w:val="center"/>
          </w:tcPr>
          <w:p w14:paraId="782545E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125" w:type="dxa"/>
            <w:shd w:val="clear" w:color="auto" w:fill="auto"/>
            <w:vAlign w:val="center"/>
          </w:tcPr>
          <w:p w14:paraId="7439BF3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433" w:type="dxa"/>
            <w:shd w:val="clear" w:color="auto" w:fill="auto"/>
            <w:vAlign w:val="center"/>
          </w:tcPr>
          <w:p w14:paraId="57C6387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391" w:type="dxa"/>
            <w:shd w:val="clear" w:color="auto" w:fill="auto"/>
            <w:vAlign w:val="center"/>
          </w:tcPr>
          <w:p w14:paraId="1E5C84E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065" w:type="dxa"/>
          </w:tcPr>
          <w:p w14:paraId="29DECE39">
            <w:pPr>
              <w:widowControl/>
              <w:spacing w:line="276" w:lineRule="auto"/>
              <w:rPr>
                <w:rFonts w:ascii="宋体" w:hAnsi="宋体" w:eastAsia="宋体" w:cs="Times New Roman"/>
                <w:color w:val="FF0000"/>
                <w:kern w:val="0"/>
                <w:szCs w:val="21"/>
              </w:rPr>
            </w:pPr>
            <w:r>
              <w:rPr>
                <w:rFonts w:hint="eastAsia" w:ascii="宋体" w:hAnsi="宋体" w:eastAsia="宋体" w:cs="Times New Roman"/>
                <w:kern w:val="0"/>
                <w:szCs w:val="21"/>
              </w:rPr>
              <w:t>考核方式权重合计</w:t>
            </w:r>
          </w:p>
        </w:tc>
      </w:tr>
      <w:tr w14:paraId="58D7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restart"/>
            <w:shd w:val="clear" w:color="auto" w:fill="auto"/>
            <w:vAlign w:val="center"/>
          </w:tcPr>
          <w:p w14:paraId="6844A1C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125" w:type="dxa"/>
            <w:vMerge w:val="restart"/>
            <w:shd w:val="clear" w:color="auto" w:fill="auto"/>
            <w:vAlign w:val="center"/>
          </w:tcPr>
          <w:p w14:paraId="7B7F0F8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5</w:t>
            </w:r>
            <w:r>
              <w:rPr>
                <w:rFonts w:hint="eastAsia" w:ascii="宋体" w:hAnsi="宋体" w:eastAsia="宋体" w:cs="Times New Roman"/>
                <w:kern w:val="0"/>
                <w:szCs w:val="21"/>
              </w:rPr>
              <w:t>%</w:t>
            </w:r>
          </w:p>
        </w:tc>
        <w:tc>
          <w:tcPr>
            <w:tcW w:w="2433" w:type="dxa"/>
            <w:shd w:val="clear" w:color="auto" w:fill="auto"/>
            <w:vAlign w:val="center"/>
          </w:tcPr>
          <w:p w14:paraId="2D47CE5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平时阅读与参加讲座</w:t>
            </w:r>
          </w:p>
        </w:tc>
        <w:tc>
          <w:tcPr>
            <w:tcW w:w="2391" w:type="dxa"/>
            <w:shd w:val="clear" w:color="auto" w:fill="auto"/>
            <w:vAlign w:val="center"/>
          </w:tcPr>
          <w:p w14:paraId="4B65B9D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c>
          <w:tcPr>
            <w:tcW w:w="1065" w:type="dxa"/>
            <w:vMerge w:val="restart"/>
            <w:vAlign w:val="center"/>
          </w:tcPr>
          <w:p w14:paraId="328FECC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054C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continue"/>
            <w:shd w:val="clear" w:color="auto" w:fill="auto"/>
            <w:vAlign w:val="center"/>
          </w:tcPr>
          <w:p w14:paraId="6606FCA2">
            <w:pPr>
              <w:widowControl/>
              <w:spacing w:line="276" w:lineRule="auto"/>
              <w:jc w:val="left"/>
              <w:rPr>
                <w:rFonts w:ascii="宋体" w:hAnsi="宋体" w:eastAsia="宋体" w:cs="Times New Roman"/>
                <w:kern w:val="0"/>
                <w:szCs w:val="21"/>
              </w:rPr>
            </w:pPr>
          </w:p>
        </w:tc>
        <w:tc>
          <w:tcPr>
            <w:tcW w:w="1125" w:type="dxa"/>
            <w:vMerge w:val="continue"/>
            <w:shd w:val="clear" w:color="auto" w:fill="auto"/>
            <w:vAlign w:val="center"/>
          </w:tcPr>
          <w:p w14:paraId="59F85F37">
            <w:pPr>
              <w:widowControl/>
              <w:spacing w:line="276" w:lineRule="auto"/>
              <w:jc w:val="left"/>
              <w:rPr>
                <w:rFonts w:ascii="宋体" w:hAnsi="宋体" w:eastAsia="宋体" w:cs="Times New Roman"/>
                <w:kern w:val="0"/>
                <w:szCs w:val="21"/>
              </w:rPr>
            </w:pPr>
          </w:p>
        </w:tc>
        <w:tc>
          <w:tcPr>
            <w:tcW w:w="2433" w:type="dxa"/>
            <w:shd w:val="clear" w:color="auto" w:fill="auto"/>
            <w:vAlign w:val="center"/>
          </w:tcPr>
          <w:p w14:paraId="79F844C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读书报告</w:t>
            </w:r>
          </w:p>
        </w:tc>
        <w:tc>
          <w:tcPr>
            <w:tcW w:w="2391" w:type="dxa"/>
            <w:shd w:val="clear" w:color="auto" w:fill="auto"/>
            <w:vAlign w:val="center"/>
          </w:tcPr>
          <w:p w14:paraId="07D38A25">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5</w:t>
            </w:r>
            <w:r>
              <w:rPr>
                <w:rFonts w:hint="eastAsia" w:ascii="宋体" w:hAnsi="宋体" w:eastAsia="宋体" w:cs="Times New Roman"/>
                <w:kern w:val="0"/>
                <w:szCs w:val="21"/>
              </w:rPr>
              <w:t>0%</w:t>
            </w:r>
          </w:p>
        </w:tc>
        <w:tc>
          <w:tcPr>
            <w:tcW w:w="1065" w:type="dxa"/>
            <w:vMerge w:val="continue"/>
          </w:tcPr>
          <w:p w14:paraId="469A89F9">
            <w:pPr>
              <w:widowControl/>
              <w:spacing w:line="276" w:lineRule="auto"/>
              <w:jc w:val="center"/>
              <w:rPr>
                <w:rFonts w:ascii="宋体" w:hAnsi="宋体" w:eastAsia="宋体" w:cs="Times New Roman"/>
                <w:kern w:val="0"/>
                <w:szCs w:val="21"/>
              </w:rPr>
            </w:pPr>
          </w:p>
        </w:tc>
      </w:tr>
      <w:tr w14:paraId="7E9D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restart"/>
            <w:shd w:val="clear" w:color="auto" w:fill="auto"/>
            <w:vAlign w:val="center"/>
          </w:tcPr>
          <w:p w14:paraId="272A4FD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125" w:type="dxa"/>
            <w:vMerge w:val="restart"/>
            <w:shd w:val="clear" w:color="auto" w:fill="auto"/>
            <w:vAlign w:val="center"/>
          </w:tcPr>
          <w:p w14:paraId="73E9E06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5</w:t>
            </w:r>
            <w:r>
              <w:rPr>
                <w:rFonts w:hint="eastAsia" w:ascii="宋体" w:hAnsi="宋体" w:eastAsia="宋体" w:cs="Times New Roman"/>
                <w:kern w:val="0"/>
                <w:szCs w:val="21"/>
              </w:rPr>
              <w:t>%</w:t>
            </w:r>
          </w:p>
        </w:tc>
        <w:tc>
          <w:tcPr>
            <w:tcW w:w="2433" w:type="dxa"/>
            <w:shd w:val="clear" w:color="auto" w:fill="auto"/>
            <w:vAlign w:val="center"/>
          </w:tcPr>
          <w:p w14:paraId="10A46D3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平时阅读与参加讲座</w:t>
            </w:r>
          </w:p>
        </w:tc>
        <w:tc>
          <w:tcPr>
            <w:tcW w:w="2391" w:type="dxa"/>
            <w:shd w:val="clear" w:color="auto" w:fill="auto"/>
            <w:vAlign w:val="center"/>
          </w:tcPr>
          <w:p w14:paraId="7869238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c>
          <w:tcPr>
            <w:tcW w:w="1065" w:type="dxa"/>
            <w:vMerge w:val="restart"/>
            <w:vAlign w:val="center"/>
          </w:tcPr>
          <w:p w14:paraId="5E5C9EB7">
            <w:pPr>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5A63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continue"/>
            <w:shd w:val="clear" w:color="auto" w:fill="auto"/>
            <w:vAlign w:val="center"/>
          </w:tcPr>
          <w:p w14:paraId="78AE9D8A">
            <w:pPr>
              <w:widowControl/>
              <w:spacing w:line="276" w:lineRule="auto"/>
              <w:jc w:val="left"/>
              <w:rPr>
                <w:rFonts w:ascii="宋体" w:hAnsi="宋体" w:eastAsia="宋体" w:cs="Times New Roman"/>
                <w:kern w:val="0"/>
                <w:szCs w:val="21"/>
              </w:rPr>
            </w:pPr>
          </w:p>
        </w:tc>
        <w:tc>
          <w:tcPr>
            <w:tcW w:w="1125" w:type="dxa"/>
            <w:vMerge w:val="continue"/>
            <w:shd w:val="clear" w:color="auto" w:fill="auto"/>
            <w:vAlign w:val="center"/>
          </w:tcPr>
          <w:p w14:paraId="48C81BB2">
            <w:pPr>
              <w:widowControl/>
              <w:spacing w:line="276" w:lineRule="auto"/>
              <w:jc w:val="left"/>
              <w:rPr>
                <w:rFonts w:ascii="宋体" w:hAnsi="宋体" w:eastAsia="宋体" w:cs="Times New Roman"/>
                <w:kern w:val="0"/>
                <w:szCs w:val="21"/>
              </w:rPr>
            </w:pPr>
          </w:p>
        </w:tc>
        <w:tc>
          <w:tcPr>
            <w:tcW w:w="2433" w:type="dxa"/>
            <w:shd w:val="clear" w:color="auto" w:fill="auto"/>
            <w:vAlign w:val="center"/>
          </w:tcPr>
          <w:p w14:paraId="00B5196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读书报告</w:t>
            </w:r>
          </w:p>
        </w:tc>
        <w:tc>
          <w:tcPr>
            <w:tcW w:w="2391" w:type="dxa"/>
            <w:shd w:val="clear" w:color="auto" w:fill="auto"/>
            <w:vAlign w:val="center"/>
          </w:tcPr>
          <w:p w14:paraId="5F07D994">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5</w:t>
            </w:r>
            <w:r>
              <w:rPr>
                <w:rFonts w:hint="eastAsia" w:ascii="宋体" w:hAnsi="宋体" w:eastAsia="宋体" w:cs="Times New Roman"/>
                <w:kern w:val="0"/>
                <w:szCs w:val="21"/>
              </w:rPr>
              <w:t>0%</w:t>
            </w:r>
          </w:p>
        </w:tc>
        <w:tc>
          <w:tcPr>
            <w:tcW w:w="1065" w:type="dxa"/>
            <w:vMerge w:val="continue"/>
            <w:vAlign w:val="center"/>
          </w:tcPr>
          <w:p w14:paraId="0AD443D6">
            <w:pPr>
              <w:widowControl/>
              <w:spacing w:line="276" w:lineRule="auto"/>
              <w:jc w:val="center"/>
              <w:rPr>
                <w:rFonts w:ascii="宋体" w:hAnsi="宋体" w:eastAsia="宋体" w:cs="Times New Roman"/>
                <w:kern w:val="0"/>
                <w:szCs w:val="21"/>
              </w:rPr>
            </w:pPr>
          </w:p>
        </w:tc>
      </w:tr>
      <w:tr w14:paraId="14FA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restart"/>
            <w:shd w:val="clear" w:color="auto" w:fill="auto"/>
            <w:vAlign w:val="center"/>
          </w:tcPr>
          <w:p w14:paraId="1A95FAE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125" w:type="dxa"/>
            <w:vMerge w:val="restart"/>
            <w:shd w:val="clear" w:color="auto" w:fill="auto"/>
            <w:vAlign w:val="center"/>
          </w:tcPr>
          <w:p w14:paraId="66FB09E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5</w:t>
            </w:r>
            <w:r>
              <w:rPr>
                <w:rFonts w:hint="eastAsia" w:ascii="宋体" w:hAnsi="宋体" w:eastAsia="宋体" w:cs="Times New Roman"/>
                <w:kern w:val="0"/>
                <w:szCs w:val="21"/>
              </w:rPr>
              <w:t>%</w:t>
            </w:r>
          </w:p>
        </w:tc>
        <w:tc>
          <w:tcPr>
            <w:tcW w:w="2433" w:type="dxa"/>
            <w:shd w:val="clear" w:color="auto" w:fill="auto"/>
            <w:vAlign w:val="center"/>
          </w:tcPr>
          <w:p w14:paraId="0795703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平时阅读与参加讲座</w:t>
            </w:r>
          </w:p>
        </w:tc>
        <w:tc>
          <w:tcPr>
            <w:tcW w:w="2391" w:type="dxa"/>
            <w:shd w:val="clear" w:color="auto" w:fill="auto"/>
            <w:vAlign w:val="center"/>
          </w:tcPr>
          <w:p w14:paraId="527EA08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065" w:type="dxa"/>
            <w:vMerge w:val="restart"/>
            <w:vAlign w:val="center"/>
          </w:tcPr>
          <w:p w14:paraId="28F7CAC9">
            <w:pPr>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7B88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continue"/>
            <w:shd w:val="clear" w:color="auto" w:fill="auto"/>
            <w:vAlign w:val="center"/>
          </w:tcPr>
          <w:p w14:paraId="0D5F39DB">
            <w:pPr>
              <w:widowControl/>
              <w:spacing w:line="276" w:lineRule="auto"/>
              <w:jc w:val="left"/>
              <w:rPr>
                <w:rFonts w:ascii="宋体" w:hAnsi="宋体" w:eastAsia="宋体" w:cs="Times New Roman"/>
                <w:kern w:val="0"/>
                <w:szCs w:val="21"/>
              </w:rPr>
            </w:pPr>
          </w:p>
        </w:tc>
        <w:tc>
          <w:tcPr>
            <w:tcW w:w="1125" w:type="dxa"/>
            <w:vMerge w:val="continue"/>
            <w:shd w:val="clear" w:color="auto" w:fill="auto"/>
            <w:vAlign w:val="center"/>
          </w:tcPr>
          <w:p w14:paraId="6D5092E7">
            <w:pPr>
              <w:widowControl/>
              <w:spacing w:line="276" w:lineRule="auto"/>
              <w:jc w:val="left"/>
              <w:rPr>
                <w:rFonts w:ascii="宋体" w:hAnsi="宋体" w:eastAsia="宋体" w:cs="Times New Roman"/>
                <w:kern w:val="0"/>
                <w:szCs w:val="21"/>
              </w:rPr>
            </w:pPr>
          </w:p>
        </w:tc>
        <w:tc>
          <w:tcPr>
            <w:tcW w:w="2433" w:type="dxa"/>
            <w:shd w:val="clear" w:color="auto" w:fill="auto"/>
            <w:vAlign w:val="center"/>
          </w:tcPr>
          <w:p w14:paraId="1E351AB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读书报告</w:t>
            </w:r>
          </w:p>
        </w:tc>
        <w:tc>
          <w:tcPr>
            <w:tcW w:w="2391" w:type="dxa"/>
            <w:shd w:val="clear" w:color="auto" w:fill="auto"/>
            <w:vAlign w:val="center"/>
          </w:tcPr>
          <w:p w14:paraId="18F5426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065" w:type="dxa"/>
            <w:vMerge w:val="continue"/>
            <w:vAlign w:val="center"/>
          </w:tcPr>
          <w:p w14:paraId="495986EA">
            <w:pPr>
              <w:widowControl/>
              <w:spacing w:line="276" w:lineRule="auto"/>
              <w:jc w:val="center"/>
              <w:rPr>
                <w:rFonts w:ascii="宋体" w:hAnsi="宋体" w:eastAsia="宋体" w:cs="Times New Roman"/>
                <w:kern w:val="0"/>
                <w:szCs w:val="21"/>
              </w:rPr>
            </w:pPr>
          </w:p>
        </w:tc>
      </w:tr>
      <w:tr w14:paraId="6C2D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restart"/>
            <w:shd w:val="clear" w:color="auto" w:fill="auto"/>
            <w:vAlign w:val="center"/>
          </w:tcPr>
          <w:p w14:paraId="0BD07BC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125" w:type="dxa"/>
            <w:vMerge w:val="restart"/>
            <w:shd w:val="clear" w:color="auto" w:fill="auto"/>
            <w:vAlign w:val="center"/>
          </w:tcPr>
          <w:p w14:paraId="754C616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5</w:t>
            </w:r>
            <w:r>
              <w:rPr>
                <w:rFonts w:hint="eastAsia" w:ascii="宋体" w:hAnsi="宋体" w:eastAsia="宋体" w:cs="Times New Roman"/>
                <w:kern w:val="0"/>
                <w:szCs w:val="21"/>
              </w:rPr>
              <w:t>%</w:t>
            </w:r>
          </w:p>
        </w:tc>
        <w:tc>
          <w:tcPr>
            <w:tcW w:w="2433" w:type="dxa"/>
            <w:shd w:val="clear" w:color="auto" w:fill="auto"/>
            <w:vAlign w:val="center"/>
          </w:tcPr>
          <w:p w14:paraId="1B07D05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平时阅读与参加讲座</w:t>
            </w:r>
          </w:p>
        </w:tc>
        <w:tc>
          <w:tcPr>
            <w:tcW w:w="2391" w:type="dxa"/>
            <w:shd w:val="clear" w:color="auto" w:fill="auto"/>
            <w:vAlign w:val="center"/>
          </w:tcPr>
          <w:p w14:paraId="2F79E47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065" w:type="dxa"/>
            <w:vMerge w:val="restart"/>
            <w:vAlign w:val="center"/>
          </w:tcPr>
          <w:p w14:paraId="1AE0B351">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12B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84" w:type="dxa"/>
            <w:vMerge w:val="continue"/>
            <w:shd w:val="clear" w:color="auto" w:fill="auto"/>
            <w:vAlign w:val="center"/>
          </w:tcPr>
          <w:p w14:paraId="5F418316">
            <w:pPr>
              <w:widowControl/>
              <w:spacing w:line="276" w:lineRule="auto"/>
              <w:jc w:val="left"/>
              <w:rPr>
                <w:rFonts w:ascii="宋体" w:hAnsi="宋体" w:eastAsia="宋体" w:cs="Times New Roman"/>
                <w:kern w:val="0"/>
                <w:szCs w:val="21"/>
              </w:rPr>
            </w:pPr>
          </w:p>
        </w:tc>
        <w:tc>
          <w:tcPr>
            <w:tcW w:w="1125" w:type="dxa"/>
            <w:vMerge w:val="continue"/>
            <w:shd w:val="clear" w:color="auto" w:fill="auto"/>
            <w:vAlign w:val="center"/>
          </w:tcPr>
          <w:p w14:paraId="48D1DDE4">
            <w:pPr>
              <w:widowControl/>
              <w:spacing w:line="276" w:lineRule="auto"/>
              <w:jc w:val="left"/>
              <w:rPr>
                <w:rFonts w:ascii="宋体" w:hAnsi="宋体" w:eastAsia="宋体" w:cs="Times New Roman"/>
                <w:kern w:val="0"/>
                <w:szCs w:val="21"/>
              </w:rPr>
            </w:pPr>
          </w:p>
        </w:tc>
        <w:tc>
          <w:tcPr>
            <w:tcW w:w="2433" w:type="dxa"/>
            <w:shd w:val="clear" w:color="auto" w:fill="auto"/>
            <w:vAlign w:val="center"/>
          </w:tcPr>
          <w:p w14:paraId="00919C5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读书报告</w:t>
            </w:r>
          </w:p>
        </w:tc>
        <w:tc>
          <w:tcPr>
            <w:tcW w:w="2391" w:type="dxa"/>
            <w:shd w:val="clear" w:color="auto" w:fill="auto"/>
            <w:vAlign w:val="center"/>
          </w:tcPr>
          <w:p w14:paraId="21C286D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c>
          <w:tcPr>
            <w:tcW w:w="1065" w:type="dxa"/>
            <w:vMerge w:val="continue"/>
          </w:tcPr>
          <w:p w14:paraId="27AD624F">
            <w:pPr>
              <w:widowControl/>
              <w:spacing w:line="276" w:lineRule="auto"/>
              <w:jc w:val="center"/>
              <w:rPr>
                <w:rFonts w:ascii="宋体" w:hAnsi="宋体" w:eastAsia="宋体" w:cs="Times New Roman"/>
                <w:kern w:val="0"/>
                <w:szCs w:val="21"/>
              </w:rPr>
            </w:pPr>
          </w:p>
        </w:tc>
      </w:tr>
      <w:tr w14:paraId="2DD5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84" w:type="dxa"/>
            <w:shd w:val="clear" w:color="auto" w:fill="auto"/>
            <w:vAlign w:val="center"/>
          </w:tcPr>
          <w:p w14:paraId="49D4B56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125" w:type="dxa"/>
            <w:shd w:val="clear" w:color="auto" w:fill="auto"/>
            <w:vAlign w:val="center"/>
          </w:tcPr>
          <w:p w14:paraId="28EFB31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889" w:type="dxa"/>
            <w:gridSpan w:val="3"/>
            <w:shd w:val="clear" w:color="auto" w:fill="auto"/>
            <w:vAlign w:val="center"/>
          </w:tcPr>
          <w:p w14:paraId="4662A6E8">
            <w:pPr>
              <w:widowControl/>
              <w:spacing w:line="276" w:lineRule="auto"/>
              <w:jc w:val="center"/>
              <w:rPr>
                <w:rFonts w:ascii="宋体" w:hAnsi="宋体" w:eastAsia="宋体" w:cs="Times New Roman"/>
                <w:kern w:val="0"/>
                <w:szCs w:val="21"/>
              </w:rPr>
            </w:pPr>
          </w:p>
        </w:tc>
      </w:tr>
    </w:tbl>
    <w:p w14:paraId="67A177E0">
      <w:pPr>
        <w:spacing w:line="360" w:lineRule="auto"/>
        <w:ind w:firstLine="480"/>
        <w:rPr>
          <w:rFonts w:ascii="宋体" w:hAnsi="宋体" w:eastAsia="宋体" w:cs="Times New Roman"/>
          <w:color w:val="FF0000"/>
          <w:sz w:val="24"/>
        </w:rPr>
      </w:pPr>
    </w:p>
    <w:p w14:paraId="48A5B53E">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19D9AF49">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200F4E9A">
      <w:pPr>
        <w:spacing w:line="360" w:lineRule="auto"/>
        <w:rPr>
          <w:rFonts w:ascii="宋体" w:hAnsi="宋体" w:eastAsia="宋体" w:cs="Times New Roman"/>
          <w:sz w:val="24"/>
        </w:rPr>
      </w:pPr>
      <w:r>
        <w:rPr>
          <w:rFonts w:ascii="宋体" w:hAnsi="宋体" w:eastAsia="宋体" w:cs="Times New Roman"/>
          <w:sz w:val="24"/>
        </w:rPr>
        <w:drawing>
          <wp:inline distT="0" distB="0" distL="0" distR="0">
            <wp:extent cx="5274310" cy="337185"/>
            <wp:effectExtent l="0" t="0" r="889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56DCEF85">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424689E5">
      <w:pPr>
        <w:spacing w:line="360" w:lineRule="auto"/>
        <w:ind w:firstLine="482" w:firstLineChars="200"/>
        <w:rPr>
          <w:rFonts w:ascii="宋体" w:hAnsi="宋体" w:eastAsia="宋体" w:cs="Times New Roman"/>
          <w:b/>
          <w:sz w:val="24"/>
        </w:rPr>
      </w:pPr>
      <w:bookmarkStart w:id="27" w:name="_Toc27847225"/>
      <w:bookmarkStart w:id="28" w:name="_Toc27846207"/>
      <w:r>
        <w:rPr>
          <w:rFonts w:hint="eastAsia" w:ascii="宋体" w:hAnsi="宋体" w:eastAsia="宋体" w:cs="Times New Roman"/>
          <w:b/>
          <w:sz w:val="24"/>
        </w:rPr>
        <w:t>（一）持续改进</w:t>
      </w:r>
      <w:bookmarkEnd w:id="27"/>
      <w:bookmarkEnd w:id="28"/>
    </w:p>
    <w:p w14:paraId="5C443E9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1.提倡改革教学方法，强调应用现代化教学手段，如课件、互联网教学和网络答疑。</w:t>
      </w:r>
    </w:p>
    <w:p w14:paraId="31D3A9D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2.合理安排教学课时，加强小组讨论等旨在督促学生自主学习的教学环节；布置任务单</w:t>
      </w:r>
      <w:r>
        <w:rPr>
          <w:rFonts w:hint="eastAsia" w:ascii="Times New Roman" w:hAnsi="Times New Roman" w:eastAsia="宋体" w:cs="Times New Roman"/>
          <w:sz w:val="24"/>
          <w:szCs w:val="24"/>
        </w:rPr>
        <w:t>，</w:t>
      </w:r>
      <w:r>
        <w:rPr>
          <w:rFonts w:ascii="Times New Roman" w:hAnsi="Times New Roman" w:eastAsia="宋体" w:cs="Times New Roman"/>
          <w:sz w:val="24"/>
          <w:szCs w:val="24"/>
        </w:rPr>
        <w:t>引导学生做好课前预习、讨论的工作；保证学生完成作业</w:t>
      </w:r>
      <w:r>
        <w:rPr>
          <w:rFonts w:hint="eastAsia" w:ascii="Times New Roman" w:hAnsi="Times New Roman" w:eastAsia="宋体" w:cs="Times New Roman"/>
          <w:sz w:val="24"/>
          <w:szCs w:val="24"/>
        </w:rPr>
        <w:t>的次数</w:t>
      </w:r>
      <w:r>
        <w:rPr>
          <w:rFonts w:ascii="Times New Roman" w:hAnsi="Times New Roman" w:eastAsia="宋体" w:cs="Times New Roman"/>
          <w:sz w:val="24"/>
          <w:szCs w:val="24"/>
        </w:rPr>
        <w:t>。</w:t>
      </w:r>
    </w:p>
    <w:p w14:paraId="31CDAB23">
      <w:pPr>
        <w:spacing w:line="360" w:lineRule="auto"/>
        <w:ind w:firstLine="480" w:firstLineChars="200"/>
        <w:rPr>
          <w:rFonts w:ascii="宋体" w:hAnsi="宋体" w:eastAsia="宋体" w:cs="Times New Roman"/>
          <w:sz w:val="24"/>
        </w:rPr>
      </w:pPr>
      <w:r>
        <w:rPr>
          <w:rFonts w:ascii="Times New Roman" w:hAnsi="Times New Roman" w:eastAsia="宋体" w:cs="Times New Roman"/>
          <w:sz w:val="24"/>
          <w:szCs w:val="24"/>
        </w:rPr>
        <w:t>3．教学内容密切联系</w:t>
      </w:r>
      <w:r>
        <w:rPr>
          <w:rFonts w:hint="eastAsia" w:ascii="Times New Roman" w:hAnsi="Times New Roman" w:eastAsia="宋体" w:cs="Times New Roman"/>
          <w:sz w:val="24"/>
          <w:szCs w:val="24"/>
        </w:rPr>
        <w:t>教育学与心理学经典理论</w:t>
      </w:r>
      <w:r>
        <w:rPr>
          <w:rFonts w:ascii="Times New Roman" w:hAnsi="Times New Roman" w:eastAsia="宋体" w:cs="Times New Roman"/>
          <w:sz w:val="24"/>
          <w:szCs w:val="24"/>
        </w:rPr>
        <w:t>。</w:t>
      </w:r>
    </w:p>
    <w:p w14:paraId="0D0382F7">
      <w:pPr>
        <w:spacing w:line="360" w:lineRule="auto"/>
        <w:ind w:firstLine="482" w:firstLineChars="200"/>
        <w:rPr>
          <w:rFonts w:ascii="宋体" w:hAnsi="宋体" w:eastAsia="宋体" w:cs="Times New Roman"/>
          <w:b/>
          <w:sz w:val="24"/>
        </w:rPr>
      </w:pPr>
      <w:bookmarkStart w:id="29" w:name="_Toc27846208"/>
      <w:bookmarkStart w:id="30" w:name="_Toc27847226"/>
      <w:r>
        <w:rPr>
          <w:rFonts w:hint="eastAsia" w:ascii="宋体" w:hAnsi="宋体" w:eastAsia="宋体" w:cs="Times New Roman"/>
          <w:b/>
          <w:sz w:val="24"/>
        </w:rPr>
        <w:t>（二）</w:t>
      </w:r>
      <w:r>
        <w:rPr>
          <w:rFonts w:ascii="宋体" w:hAnsi="宋体" w:eastAsia="宋体" w:cs="Times New Roman"/>
          <w:b/>
          <w:sz w:val="24"/>
        </w:rPr>
        <w:t>参考书目及学习资料</w:t>
      </w:r>
      <w:bookmarkEnd w:id="29"/>
      <w:bookmarkEnd w:id="30"/>
    </w:p>
    <w:p w14:paraId="1B2243BE">
      <w:pPr>
        <w:spacing w:line="360" w:lineRule="auto"/>
        <w:ind w:firstLine="480" w:firstLineChars="200"/>
        <w:rPr>
          <w:rFonts w:ascii="Times New Roman" w:hAnsi="Times New Roman" w:eastAsia="宋体" w:cs="Times New Roman"/>
          <w:kern w:val="0"/>
          <w:sz w:val="24"/>
          <w:szCs w:val="24"/>
        </w:rPr>
      </w:pPr>
      <w:r>
        <w:rPr>
          <w:rFonts w:hint="eastAsia" w:ascii="宋体" w:hAnsi="宋体" w:eastAsia="宋体" w:cs="Times New Roman"/>
          <w:sz w:val="24"/>
        </w:rPr>
        <w:t>本课程的参考书目及学习资料参考相关课程教师的推荐书目。</w:t>
      </w:r>
    </w:p>
    <w:p w14:paraId="2AD400F9">
      <w:pPr>
        <w:spacing w:line="360" w:lineRule="auto"/>
        <w:ind w:firstLine="480" w:firstLineChars="200"/>
        <w:rPr>
          <w:rFonts w:ascii="Times New Roman" w:hAnsi="Times New Roman" w:eastAsia="宋体" w:cs="Times New Roman"/>
          <w:kern w:val="0"/>
          <w:sz w:val="24"/>
          <w:szCs w:val="24"/>
        </w:rPr>
      </w:pPr>
    </w:p>
    <w:p w14:paraId="3C9EDC4E">
      <w:pPr>
        <w:spacing w:line="360" w:lineRule="auto"/>
        <w:ind w:firstLine="480" w:firstLineChars="200"/>
        <w:rPr>
          <w:rFonts w:ascii="Times New Roman" w:hAnsi="Times New Roman" w:eastAsia="宋体" w:cs="Times New Roman"/>
          <w:kern w:val="0"/>
          <w:sz w:val="24"/>
          <w:szCs w:val="24"/>
        </w:rPr>
      </w:pPr>
    </w:p>
    <w:p w14:paraId="02F0B18F">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 xml:space="preserve">王 </w:t>
      </w:r>
      <w:r>
        <w:rPr>
          <w:rFonts w:ascii="宋体" w:hAnsi="宋体" w:eastAsia="宋体" w:cs="Times New Roman"/>
          <w:kern w:val="0"/>
          <w:sz w:val="24"/>
          <w:szCs w:val="21"/>
        </w:rPr>
        <w:t xml:space="preserve"> </w:t>
      </w:r>
      <w:r>
        <w:rPr>
          <w:rFonts w:hint="eastAsia" w:ascii="宋体" w:hAnsi="宋体" w:eastAsia="宋体" w:cs="Times New Roman"/>
          <w:kern w:val="0"/>
          <w:sz w:val="24"/>
          <w:szCs w:val="21"/>
        </w:rPr>
        <w:t>健</w:t>
      </w:r>
    </w:p>
    <w:p w14:paraId="4521EF07">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 xml:space="preserve">王 </w:t>
      </w:r>
      <w:r>
        <w:rPr>
          <w:rFonts w:ascii="宋体" w:hAnsi="宋体" w:eastAsia="宋体" w:cs="Times New Roman"/>
          <w:kern w:val="0"/>
          <w:sz w:val="24"/>
          <w:szCs w:val="21"/>
        </w:rPr>
        <w:t xml:space="preserve"> </w:t>
      </w:r>
      <w:r>
        <w:rPr>
          <w:rFonts w:hint="eastAsia" w:ascii="宋体" w:hAnsi="宋体" w:eastAsia="宋体" w:cs="Times New Roman"/>
          <w:kern w:val="0"/>
          <w:sz w:val="24"/>
          <w:szCs w:val="21"/>
        </w:rPr>
        <w:t>健</w:t>
      </w:r>
      <w:r>
        <w:rPr>
          <w:rFonts w:ascii="宋体" w:hAnsi="宋体" w:eastAsia="宋体" w:cs="Times New Roman"/>
          <w:kern w:val="0"/>
          <w:sz w:val="24"/>
          <w:szCs w:val="21"/>
        </w:rPr>
        <w:t xml:space="preserve"> </w:t>
      </w:r>
    </w:p>
    <w:p w14:paraId="505ADB4C">
      <w:pPr>
        <w:autoSpaceDE w:val="0"/>
        <w:autoSpaceDN w:val="0"/>
        <w:adjustRightInd w:val="0"/>
        <w:spacing w:line="360" w:lineRule="auto"/>
        <w:ind w:firstLine="5280" w:firstLineChars="2200"/>
        <w:jc w:val="left"/>
        <w:rPr>
          <w:rFonts w:ascii="宋体" w:hAnsi="宋体" w:eastAsia="宋体" w:cs="Times New Roman"/>
          <w:color w:val="FF0000"/>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2E3BE4DC">
      <w:pPr>
        <w:ind w:right="240"/>
        <w:jc w:val="center"/>
        <w:rPr>
          <w:rFonts w:ascii="等线" w:hAnsi="等线" w:eastAsia="等线" w:cs="Times New Roman"/>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批准时间：20</w:t>
      </w:r>
      <w:r>
        <w:rPr>
          <w:rFonts w:ascii="宋体" w:hAnsi="宋体" w:eastAsia="宋体" w:cs="Times New Roman"/>
          <w:kern w:val="0"/>
          <w:sz w:val="24"/>
          <w:szCs w:val="21"/>
        </w:rPr>
        <w:t>2</w:t>
      </w:r>
      <w:r>
        <w:rPr>
          <w:rFonts w:hint="eastAsia" w:ascii="宋体" w:hAnsi="宋体" w:eastAsia="宋体" w:cs="Times New Roman"/>
          <w:kern w:val="0"/>
          <w:sz w:val="24"/>
          <w:szCs w:val="21"/>
        </w:rPr>
        <w:t>2年8月30日</w:t>
      </w:r>
    </w:p>
    <w:p w14:paraId="2E8126A2">
      <w:pPr>
        <w:widowControl/>
        <w:jc w:val="left"/>
        <w:rPr>
          <w:rFonts w:hint="eastAsia" w:ascii="宋体" w:hAnsi="宋体" w:eastAsia="宋体"/>
          <w:b/>
          <w:bCs/>
          <w:sz w:val="24"/>
          <w:szCs w:val="24"/>
        </w:rPr>
      </w:pPr>
    </w:p>
    <w:p w14:paraId="4AC02033">
      <w:pPr>
        <w:spacing w:line="360" w:lineRule="auto"/>
        <w:jc w:val="center"/>
        <w:outlineLvl w:val="0"/>
        <w:rPr>
          <w:rFonts w:hint="eastAsia" w:ascii="Times New Roman" w:hAnsi="Times New Roman" w:eastAsia="宋体" w:cs="Times New Roman"/>
          <w:b/>
          <w:bCs/>
          <w:sz w:val="30"/>
          <w:szCs w:val="24"/>
        </w:rPr>
      </w:pPr>
    </w:p>
    <w:p w14:paraId="636BCB0D">
      <w:pPr>
        <w:spacing w:line="360" w:lineRule="auto"/>
        <w:jc w:val="center"/>
        <w:outlineLvl w:val="0"/>
        <w:rPr>
          <w:rFonts w:hint="eastAsia" w:ascii="Times New Roman" w:hAnsi="Times New Roman" w:eastAsia="宋体" w:cs="Times New Roman"/>
          <w:b/>
          <w:bCs/>
          <w:sz w:val="30"/>
          <w:szCs w:val="24"/>
        </w:rPr>
      </w:pPr>
    </w:p>
    <w:p w14:paraId="3DD7A887">
      <w:pPr>
        <w:spacing w:line="360" w:lineRule="auto"/>
        <w:jc w:val="center"/>
        <w:outlineLvl w:val="0"/>
        <w:rPr>
          <w:rFonts w:hint="eastAsia" w:ascii="Times New Roman" w:hAnsi="Times New Roman" w:eastAsia="宋体" w:cs="Times New Roman"/>
          <w:b/>
          <w:bCs/>
          <w:sz w:val="30"/>
          <w:szCs w:val="24"/>
        </w:rPr>
      </w:pPr>
    </w:p>
    <w:p w14:paraId="70411F75">
      <w:pPr>
        <w:spacing w:line="360" w:lineRule="auto"/>
        <w:jc w:val="both"/>
        <w:outlineLvl w:val="0"/>
        <w:rPr>
          <w:rFonts w:hint="eastAsia" w:ascii="Times New Roman" w:hAnsi="Times New Roman" w:eastAsia="宋体" w:cs="Times New Roman"/>
          <w:b/>
          <w:bCs/>
          <w:sz w:val="30"/>
          <w:szCs w:val="24"/>
        </w:rPr>
      </w:pPr>
    </w:p>
    <w:p w14:paraId="2B8954D6">
      <w:pPr>
        <w:spacing w:line="360" w:lineRule="auto"/>
        <w:jc w:val="both"/>
        <w:outlineLvl w:val="0"/>
        <w:rPr>
          <w:rFonts w:hint="eastAsia" w:ascii="Times New Roman" w:hAnsi="Times New Roman" w:eastAsia="宋体" w:cs="Times New Roman"/>
          <w:b/>
          <w:bCs/>
          <w:sz w:val="30"/>
          <w:szCs w:val="24"/>
        </w:rPr>
      </w:pPr>
    </w:p>
    <w:p w14:paraId="461EE73A">
      <w:pPr>
        <w:spacing w:line="360" w:lineRule="auto"/>
        <w:jc w:val="center"/>
        <w:outlineLvl w:val="0"/>
        <w:rPr>
          <w:rFonts w:hint="eastAsia" w:ascii="Times New Roman" w:hAnsi="Times New Roman" w:eastAsia="宋体" w:cs="Times New Roman"/>
          <w:b/>
          <w:bCs/>
          <w:sz w:val="30"/>
          <w:szCs w:val="24"/>
        </w:rPr>
      </w:pPr>
    </w:p>
    <w:p w14:paraId="7A077DDB">
      <w:pPr>
        <w:spacing w:line="360" w:lineRule="auto"/>
        <w:jc w:val="center"/>
        <w:outlineLvl w:val="0"/>
        <w:rPr>
          <w:rFonts w:hint="eastAsia" w:ascii="Times New Roman" w:hAnsi="Times New Roman" w:eastAsia="宋体" w:cs="Times New Roman"/>
          <w:b/>
          <w:bCs/>
          <w:sz w:val="30"/>
          <w:szCs w:val="24"/>
        </w:rPr>
      </w:pPr>
    </w:p>
    <w:p w14:paraId="4ADBAD5E">
      <w:pPr>
        <w:spacing w:line="360" w:lineRule="auto"/>
        <w:jc w:val="center"/>
        <w:outlineLvl w:val="0"/>
        <w:rPr>
          <w:rFonts w:hint="eastAsia" w:ascii="Times New Roman" w:hAnsi="Times New Roman" w:eastAsia="宋体" w:cs="Times New Roman"/>
          <w:b/>
          <w:bCs/>
          <w:sz w:val="30"/>
          <w:szCs w:val="24"/>
        </w:rPr>
      </w:pPr>
    </w:p>
    <w:p w14:paraId="30F149C2">
      <w:pPr>
        <w:spacing w:line="360" w:lineRule="auto"/>
        <w:jc w:val="center"/>
        <w:outlineLvl w:val="0"/>
        <w:rPr>
          <w:rFonts w:hint="eastAsia" w:ascii="Times New Roman" w:hAnsi="Times New Roman" w:eastAsia="宋体" w:cs="Times New Roman"/>
          <w:b/>
          <w:bCs/>
          <w:sz w:val="30"/>
          <w:szCs w:val="24"/>
        </w:rPr>
      </w:pPr>
    </w:p>
    <w:p w14:paraId="06E1E73B">
      <w:pPr>
        <w:spacing w:line="360" w:lineRule="auto"/>
        <w:ind w:firstLine="2108" w:firstLineChars="700"/>
        <w:jc w:val="both"/>
        <w:outlineLvl w:val="0"/>
        <w:rPr>
          <w:rFonts w:hint="eastAsia" w:ascii="Times New Roman" w:hAnsi="Times New Roman" w:eastAsia="宋体" w:cs="Times New Roman"/>
          <w:b/>
          <w:bCs/>
          <w:sz w:val="30"/>
          <w:szCs w:val="24"/>
        </w:rPr>
      </w:pPr>
    </w:p>
    <w:p w14:paraId="3ECCA8DA">
      <w:pPr>
        <w:spacing w:line="360" w:lineRule="auto"/>
        <w:ind w:firstLine="2108" w:firstLineChars="700"/>
        <w:jc w:val="both"/>
        <w:outlineLvl w:val="0"/>
        <w:rPr>
          <w:rFonts w:hint="eastAsia" w:ascii="Times New Roman" w:hAnsi="Times New Roman" w:eastAsia="宋体" w:cs="Times New Roman"/>
          <w:b/>
          <w:bCs/>
          <w:sz w:val="30"/>
          <w:szCs w:val="24"/>
        </w:rPr>
      </w:pPr>
    </w:p>
    <w:p w14:paraId="0E364F56">
      <w:pPr>
        <w:spacing w:line="360" w:lineRule="auto"/>
        <w:ind w:firstLine="2108" w:firstLineChars="700"/>
        <w:jc w:val="both"/>
        <w:outlineLvl w:val="0"/>
        <w:rPr>
          <w:rFonts w:hint="eastAsia" w:ascii="Times New Roman" w:hAnsi="Times New Roman" w:eastAsia="宋体" w:cs="Times New Roman"/>
          <w:b/>
          <w:bCs/>
          <w:sz w:val="30"/>
          <w:szCs w:val="24"/>
        </w:rPr>
      </w:pPr>
    </w:p>
    <w:p w14:paraId="6F6743E7">
      <w:pPr>
        <w:spacing w:line="360" w:lineRule="auto"/>
        <w:ind w:firstLine="3012" w:firstLineChars="1000"/>
        <w:jc w:val="both"/>
        <w:outlineLvl w:val="0"/>
        <w:rPr>
          <w:rFonts w:ascii="Times New Roman" w:hAnsi="Times New Roman" w:eastAsia="宋体" w:cs="Times New Roman"/>
          <w:b/>
          <w:bCs/>
          <w:sz w:val="30"/>
          <w:szCs w:val="24"/>
        </w:rPr>
      </w:pPr>
      <w:r>
        <w:rPr>
          <w:rFonts w:hint="eastAsia" w:ascii="Times New Roman" w:hAnsi="Times New Roman" w:eastAsia="宋体" w:cs="Times New Roman"/>
          <w:b/>
          <w:bCs/>
          <w:sz w:val="30"/>
          <w:szCs w:val="24"/>
        </w:rPr>
        <w:t>小学心理学课程教学大纲</w:t>
      </w:r>
      <w:bookmarkEnd w:id="9"/>
    </w:p>
    <w:p w14:paraId="4A640E20">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（Psychology of Primary Children）</w:t>
      </w:r>
    </w:p>
    <w:p w14:paraId="3ECBDD92">
      <w:pPr>
        <w:spacing w:line="360" w:lineRule="auto"/>
        <w:jc w:val="center"/>
        <w:rPr>
          <w:rFonts w:ascii="Times New Roman" w:hAnsi="Times New Roman" w:eastAsia="黑体" w:cs="Times New Roman"/>
          <w:bCs/>
          <w:sz w:val="30"/>
          <w:szCs w:val="24"/>
        </w:rPr>
      </w:pPr>
    </w:p>
    <w:p w14:paraId="770DC747">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0D045D94">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hint="eastAsia" w:ascii="宋体" w:hAnsi="宋体" w:eastAsia="宋体" w:cs="Times New Roman"/>
          <w:bCs/>
          <w:kern w:val="0"/>
          <w:sz w:val="24"/>
          <w:szCs w:val="24"/>
        </w:rPr>
        <w:t>2401</w:t>
      </w:r>
      <w:r>
        <w:rPr>
          <w:rFonts w:ascii="宋体" w:hAnsi="宋体" w:eastAsia="宋体" w:cs="Times New Roman"/>
          <w:bCs/>
          <w:kern w:val="0"/>
          <w:sz w:val="24"/>
          <w:szCs w:val="24"/>
        </w:rPr>
        <w:t>003</w:t>
      </w:r>
    </w:p>
    <w:p w14:paraId="4BAA6A03">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w:t>
      </w:r>
    </w:p>
    <w:p w14:paraId="062758DF">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48（其中：讲授学时39</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实验学时9）</w:t>
      </w:r>
    </w:p>
    <w:p w14:paraId="58140C3C">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hint="eastAsia" w:ascii="Times New Roman" w:hAnsi="Times New Roman" w:eastAsia="宋体" w:cs="Times New Roman"/>
          <w:sz w:val="24"/>
          <w:szCs w:val="24"/>
        </w:rPr>
        <w:t>小学教育（文）、小学教育（理）</w:t>
      </w:r>
      <w:r>
        <w:rPr>
          <w:rFonts w:ascii="Times New Roman" w:hAnsi="Times New Roman" w:eastAsia="黑体" w:cs="Times New Roman"/>
          <w:sz w:val="24"/>
          <w:szCs w:val="24"/>
        </w:rPr>
        <w:t xml:space="preserve">  </w:t>
      </w:r>
      <w:r>
        <w:rPr>
          <w:rFonts w:ascii="Times New Roman" w:hAnsi="Times New Roman" w:eastAsia="宋体" w:cs="Times New Roman"/>
          <w:kern w:val="0"/>
          <w:sz w:val="24"/>
          <w:szCs w:val="24"/>
        </w:rPr>
        <w:t xml:space="preserve">                          </w:t>
      </w:r>
    </w:p>
    <w:p w14:paraId="11F159E2">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kern w:val="0"/>
          <w:sz w:val="24"/>
          <w:szCs w:val="24"/>
        </w:rPr>
        <w:t>建议</w:t>
      </w:r>
      <w:r>
        <w:rPr>
          <w:rFonts w:ascii="Times New Roman" w:hAnsi="Times New Roman" w:eastAsia="宋体" w:cs="Times New Roman"/>
          <w:b/>
          <w:bCs/>
          <w:kern w:val="0"/>
          <w:sz w:val="24"/>
          <w:szCs w:val="24"/>
        </w:rPr>
        <w:t>教材</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w:t>
      </w:r>
      <w:r>
        <w:rPr>
          <w:rFonts w:hint="eastAsia" w:ascii="Times New Roman" w:hAnsi="Times New Roman" w:eastAsia="宋体" w:cs="Times New Roman"/>
          <w:sz w:val="24"/>
          <w:szCs w:val="21"/>
        </w:rPr>
        <w:t>小学儿童发展心理学》，翟媛媛、徐红编著，山东人民出版社，2</w:t>
      </w:r>
      <w:r>
        <w:rPr>
          <w:rFonts w:ascii="Times New Roman" w:hAnsi="Times New Roman" w:eastAsia="宋体" w:cs="Times New Roman"/>
          <w:sz w:val="24"/>
          <w:szCs w:val="21"/>
        </w:rPr>
        <w:t>014</w:t>
      </w:r>
    </w:p>
    <w:p w14:paraId="31E8FD30">
      <w:pPr>
        <w:spacing w:line="360" w:lineRule="auto"/>
        <w:ind w:firstLine="482" w:firstLineChars="200"/>
        <w:rPr>
          <w:rFonts w:ascii="Times New Roman" w:hAnsi="Times New Roman" w:eastAsia="宋体" w:cs="Times New Roman"/>
          <w:bCs/>
          <w:kern w:val="0"/>
          <w:sz w:val="24"/>
          <w:szCs w:val="24"/>
        </w:rPr>
      </w:pPr>
      <w:r>
        <w:rPr>
          <w:rFonts w:ascii="Times New Roman" w:hAnsi="Times New Roman" w:eastAsia="宋体" w:cs="Times New Roman"/>
          <w:b/>
          <w:bCs/>
          <w:kern w:val="0"/>
          <w:sz w:val="24"/>
          <w:szCs w:val="24"/>
        </w:rPr>
        <w:t>课程归口：</w:t>
      </w:r>
      <w:r>
        <w:rPr>
          <w:rFonts w:hint="eastAsia" w:ascii="宋体" w:hAnsi="宋体" w:eastAsia="宋体" w:cs="Times New Roman"/>
          <w:bCs/>
          <w:kern w:val="0"/>
          <w:sz w:val="24"/>
          <w:szCs w:val="24"/>
        </w:rPr>
        <w:t>师范</w:t>
      </w:r>
      <w:r>
        <w:rPr>
          <w:rFonts w:ascii="Times New Roman" w:hAnsi="Times New Roman" w:eastAsia="宋体" w:cs="Times New Roman"/>
          <w:kern w:val="0"/>
          <w:sz w:val="24"/>
          <w:szCs w:val="24"/>
        </w:rPr>
        <w:t>学院</w:t>
      </w:r>
    </w:p>
    <w:p w14:paraId="142B81C2">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课程的性质与任务</w:t>
      </w:r>
      <w:r>
        <w:rPr>
          <w:rFonts w:hint="eastAsia" w:ascii="Times New Roman" w:hAnsi="Times New Roman" w:eastAsia="宋体" w:cs="Times New Roman"/>
          <w:b/>
          <w:bCs/>
          <w:kern w:val="0"/>
          <w:sz w:val="24"/>
          <w:szCs w:val="24"/>
        </w:rPr>
        <w:t>：</w:t>
      </w:r>
      <w:r>
        <w:rPr>
          <w:rFonts w:hint="eastAsia" w:ascii="Times New Roman" w:hAnsi="Times New Roman" w:eastAsia="宋体" w:cs="Times New Roman"/>
          <w:kern w:val="0"/>
          <w:sz w:val="24"/>
          <w:szCs w:val="24"/>
        </w:rPr>
        <w:t>本课程</w:t>
      </w:r>
      <w:r>
        <w:rPr>
          <w:rFonts w:ascii="Times New Roman" w:hAnsi="Times New Roman" w:eastAsia="宋体" w:cs="Times New Roman"/>
          <w:kern w:val="0"/>
          <w:sz w:val="24"/>
          <w:szCs w:val="24"/>
        </w:rPr>
        <w:t>是</w:t>
      </w:r>
      <w:r>
        <w:rPr>
          <w:rFonts w:hint="eastAsia" w:ascii="Times New Roman" w:hAnsi="Times New Roman" w:eastAsia="宋体" w:cs="Times New Roman"/>
          <w:kern w:val="0"/>
          <w:sz w:val="24"/>
          <w:szCs w:val="24"/>
        </w:rPr>
        <w:t>小学教育的</w:t>
      </w:r>
      <w:r>
        <w:rPr>
          <w:rFonts w:ascii="Times New Roman" w:hAnsi="Times New Roman" w:eastAsia="宋体" w:cs="Times New Roman"/>
          <w:kern w:val="0"/>
          <w:sz w:val="24"/>
          <w:szCs w:val="24"/>
        </w:rPr>
        <w:t>专业基础必修课</w:t>
      </w:r>
      <w:r>
        <w:rPr>
          <w:rFonts w:hint="eastAsia" w:ascii="Times New Roman" w:hAnsi="Times New Roman" w:eastAsia="宋体" w:cs="Times New Roman"/>
          <w:kern w:val="0"/>
          <w:sz w:val="24"/>
          <w:szCs w:val="24"/>
        </w:rPr>
        <w:t>，主要研究人类心理现象的特点与规律，以及小学生心理发生与发展的过程和规律，内容包括了心理学基础和发展心理学的基本观点、心理学的研究方法，以及儿童认知、情感、意志、人格、道德等各个领域发展的基本规律和理论，和对小学儿童教育的建议。</w:t>
      </w:r>
    </w:p>
    <w:p w14:paraId="271FB548">
      <w:pPr>
        <w:spacing w:line="360" w:lineRule="auto"/>
        <w:ind w:firstLine="480" w:firstLineChars="200"/>
        <w:rPr>
          <w:rFonts w:ascii="Times New Roman" w:hAnsi="Times New Roman" w:eastAsia="宋体" w:cs="Times New Roman"/>
          <w:bCs/>
          <w:kern w:val="0"/>
          <w:sz w:val="24"/>
          <w:szCs w:val="24"/>
        </w:rPr>
      </w:pPr>
      <w:r>
        <w:rPr>
          <w:rFonts w:ascii="Times New Roman" w:hAnsi="Times New Roman" w:eastAsia="宋体" w:cs="Times New Roman"/>
          <w:sz w:val="24"/>
          <w:szCs w:val="24"/>
        </w:rPr>
        <w:t>通过本课程的学习，</w:t>
      </w:r>
      <w:r>
        <w:rPr>
          <w:rFonts w:ascii="Times New Roman" w:hAnsi="Times New Roman" w:eastAsia="宋体" w:cs="Times New Roman"/>
          <w:kern w:val="0"/>
          <w:sz w:val="24"/>
          <w:szCs w:val="24"/>
        </w:rPr>
        <w:t>学生</w:t>
      </w:r>
      <w:r>
        <w:rPr>
          <w:rFonts w:hint="eastAsia" w:ascii="Times New Roman" w:hAnsi="Times New Roman" w:eastAsia="宋体" w:cs="Times New Roman"/>
          <w:kern w:val="0"/>
          <w:sz w:val="24"/>
          <w:szCs w:val="24"/>
        </w:rPr>
        <w:t>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p>
    <w:p w14:paraId="4D8D533B">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p>
    <w:p w14:paraId="0E18D206">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（一）课程具体目标</w:t>
      </w:r>
    </w:p>
    <w:p w14:paraId="532F49C8">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目标1.了解心理学的学科构成，小学心理学对教育教学的意义，掌握心理的实质和心理学的研究方法，具有科学心理学的基本理念，学会保持心理健康的基本方法，</w:t>
      </w:r>
      <w:r>
        <w:rPr>
          <w:rFonts w:hint="eastAsia" w:ascii="Times New Roman" w:hAnsi="Times New Roman" w:eastAsia="宋体" w:cs="Times New Roman"/>
          <w:color w:val="FF0000"/>
          <w:sz w:val="24"/>
          <w:szCs w:val="24"/>
        </w:rPr>
        <w:t>思政目标在于培养学生的科学理念和科学思维。</w:t>
      </w:r>
    </w:p>
    <w:p w14:paraId="64CF475F">
      <w:pPr>
        <w:spacing w:line="360" w:lineRule="auto"/>
        <w:ind w:firstLine="482"/>
        <w:jc w:val="left"/>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目标2.理解不同年龄的小学儿童身心发展特点和规律，学会分析影响小学儿童身心发展的因素，形成科学的儿童发展观，初步具有现代儿童教育理念，掌握保护和促进小学儿童身心健康发展的策略和方法</w:t>
      </w:r>
      <w:r>
        <w:rPr>
          <w:rFonts w:hint="eastAsia" w:ascii="Times New Roman" w:hAnsi="Times New Roman" w:eastAsia="宋体" w:cs="Times New Roman"/>
          <w:color w:val="FF0000"/>
          <w:sz w:val="24"/>
          <w:szCs w:val="24"/>
        </w:rPr>
        <w:t>，思政目标着重于师范生教师职业道德和职业信念的养成，培养学生的职业兴趣，为职业认同打下基础。</w:t>
      </w:r>
    </w:p>
    <w:p w14:paraId="391C7AF2">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3.了解认知、情感和意志等心理过程的构成，掌握认知过程的基本特征和小学生心理过程的发展特点，初步学会小学儿童认知、情感和意志培养的基本方法，思政目标在于全人培养的职业理念的奠基，初步形成学生的职业理想。</w:t>
      </w:r>
    </w:p>
    <w:p w14:paraId="08E51949">
      <w:pPr>
        <w:spacing w:line="360" w:lineRule="auto"/>
        <w:ind w:firstLine="482"/>
        <w:jc w:val="left"/>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目标4.了解个性倾向性和个性心理特征的结构，掌握小学儿童人格和道德发展的特征，初步学会小学生的人格和道德的养成方法，</w:t>
      </w:r>
      <w:r>
        <w:rPr>
          <w:rFonts w:hint="eastAsia" w:ascii="Times New Roman" w:hAnsi="Times New Roman" w:eastAsia="宋体" w:cs="Times New Roman"/>
          <w:color w:val="FF0000"/>
          <w:sz w:val="24"/>
          <w:szCs w:val="24"/>
        </w:rPr>
        <w:t>思政目标是通过对小学生人格形成和道德形成规律的学习，培养学生的职业忠诚度。</w:t>
      </w:r>
    </w:p>
    <w:p w14:paraId="4E2EAE40">
      <w:pPr>
        <w:spacing w:line="360" w:lineRule="auto"/>
        <w:ind w:firstLine="482"/>
        <w:jc w:val="left"/>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目标5.了解儿童社会性发展，通过合作学习，获得合作学习体验，掌握人际沟通合作技能，</w:t>
      </w:r>
      <w:r>
        <w:rPr>
          <w:rFonts w:hint="eastAsia" w:ascii="Times New Roman" w:hAnsi="Times New Roman" w:eastAsia="宋体" w:cs="Times New Roman"/>
          <w:color w:val="FF0000"/>
          <w:sz w:val="24"/>
          <w:szCs w:val="24"/>
        </w:rPr>
        <w:t xml:space="preserve"> 思政目标是培养学生对人际沟通技能的学习，更好的掌握人与社会的关系，加强社会主义核心价值观教育。</w:t>
      </w:r>
    </w:p>
    <w:p w14:paraId="14722BA6">
      <w:pPr>
        <w:spacing w:line="360" w:lineRule="auto"/>
        <w:ind w:firstLine="482" w:firstLineChars="200"/>
        <w:rPr>
          <w:rFonts w:hint="eastAsia" w:ascii="宋体" w:hAnsi="宋体" w:eastAsia="宋体" w:cs="Times New Roman"/>
          <w:b/>
          <w:color w:val="000000"/>
          <w:sz w:val="24"/>
          <w:szCs w:val="28"/>
        </w:rPr>
      </w:pPr>
      <w:bookmarkStart w:id="31" w:name="_Toc27846233"/>
      <w:bookmarkStart w:id="32" w:name="_Toc27847251"/>
      <w:r>
        <w:rPr>
          <w:rFonts w:hint="eastAsia" w:ascii="宋体" w:hAnsi="宋体" w:eastAsia="宋体" w:cs="Times New Roman"/>
          <w:b/>
          <w:color w:val="000000"/>
          <w:sz w:val="24"/>
          <w:szCs w:val="28"/>
        </w:rPr>
        <w:t>（二）课程目标与专业毕业要求的关系</w:t>
      </w:r>
      <w:bookmarkEnd w:id="31"/>
      <w:bookmarkEnd w:id="32"/>
    </w:p>
    <w:p w14:paraId="0D6EFC0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本课程支撑专业培养计划中</w:t>
      </w:r>
      <w:r>
        <w:rPr>
          <w:rFonts w:hint="eastAsia" w:ascii="Times New Roman" w:hAnsi="Times New Roman" w:eastAsia="宋体" w:cs="Times New Roman"/>
          <w:color w:val="000000"/>
          <w:sz w:val="24"/>
          <w:szCs w:val="24"/>
        </w:rPr>
        <w:t>毕业要求2-2、毕业要求2-3、毕业要求4-1、毕业要求5-1、毕业要求5-2、毕业要求5-3、毕业要求6-1、毕业要求8-1、毕业要求8-2，对应关系如表所示。</w:t>
      </w:r>
    </w:p>
    <w:tbl>
      <w:tblPr>
        <w:tblStyle w:val="3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268"/>
        <w:gridCol w:w="5409"/>
      </w:tblGrid>
      <w:tr w14:paraId="1721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71" w:type="dxa"/>
            <w:vAlign w:val="center"/>
          </w:tcPr>
          <w:p w14:paraId="3439B8C5">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2268" w:type="dxa"/>
            <w:vAlign w:val="center"/>
          </w:tcPr>
          <w:p w14:paraId="371C15DA">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5409" w:type="dxa"/>
            <w:vAlign w:val="center"/>
          </w:tcPr>
          <w:p w14:paraId="06772B56">
            <w:pPr>
              <w:spacing w:line="276" w:lineRule="auto"/>
              <w:ind w:firstLine="422" w:firstLineChars="200"/>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788E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71" w:type="dxa"/>
            <w:vMerge w:val="restart"/>
            <w:vAlign w:val="center"/>
          </w:tcPr>
          <w:p w14:paraId="78949727">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68" w:type="dxa"/>
            <w:vAlign w:val="center"/>
          </w:tcPr>
          <w:p w14:paraId="3FC03106">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tc>
        <w:tc>
          <w:tcPr>
            <w:tcW w:w="5409" w:type="dxa"/>
            <w:vAlign w:val="center"/>
          </w:tcPr>
          <w:p w14:paraId="683B4D3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指标点2-2：具有正确的儿童观，理解、尊重、关爱、保护学生，以儿童发展为教育的中心。</w:t>
            </w:r>
          </w:p>
          <w:p w14:paraId="2B1B19A2">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指标点2-3：具有较好的人文素养与艺术底蕴，人格健全，心理健康，情感丰富，为人师表。</w:t>
            </w:r>
          </w:p>
        </w:tc>
      </w:tr>
      <w:tr w14:paraId="3795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71" w:type="dxa"/>
            <w:vMerge w:val="continue"/>
            <w:vAlign w:val="center"/>
          </w:tcPr>
          <w:p w14:paraId="62788B59">
            <w:pPr>
              <w:spacing w:line="276" w:lineRule="auto"/>
              <w:jc w:val="center"/>
              <w:rPr>
                <w:rFonts w:hint="eastAsia" w:ascii="宋体" w:hAnsi="宋体" w:eastAsia="宋体" w:cs="宋体"/>
                <w:bCs/>
                <w:color w:val="000000"/>
                <w:szCs w:val="21"/>
              </w:rPr>
            </w:pPr>
          </w:p>
        </w:tc>
        <w:tc>
          <w:tcPr>
            <w:tcW w:w="2268" w:type="dxa"/>
            <w:vAlign w:val="center"/>
          </w:tcPr>
          <w:p w14:paraId="477D2E79">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毕业要求6.综合育人</w:t>
            </w:r>
          </w:p>
        </w:tc>
        <w:tc>
          <w:tcPr>
            <w:tcW w:w="5409" w:type="dxa"/>
            <w:vAlign w:val="center"/>
          </w:tcPr>
          <w:p w14:paraId="1274BE26">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指标点6-1：了解小学生身心发展和养成教育规律。</w:t>
            </w:r>
          </w:p>
        </w:tc>
      </w:tr>
      <w:tr w14:paraId="36EF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1" w:type="dxa"/>
            <w:vMerge w:val="restart"/>
            <w:vAlign w:val="center"/>
          </w:tcPr>
          <w:p w14:paraId="01094490">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课程目标2</w:t>
            </w:r>
          </w:p>
        </w:tc>
        <w:tc>
          <w:tcPr>
            <w:tcW w:w="2268" w:type="dxa"/>
            <w:vAlign w:val="center"/>
          </w:tcPr>
          <w:p w14:paraId="38796A3E">
            <w:pPr>
              <w:widowControl/>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hint="eastAsia" w:ascii="宋体" w:hAnsi="宋体" w:eastAsia="宋体" w:cs="Times New Roman"/>
                <w:color w:val="000000"/>
                <w:kern w:val="0"/>
                <w:szCs w:val="21"/>
              </w:rPr>
              <w:t>：</w:t>
            </w:r>
            <w:r>
              <w:rPr>
                <w:rFonts w:hint="eastAsia" w:ascii="Times New Roman" w:hAnsi="Times New Roman" w:eastAsia="宋体" w:cs="Times New Roman"/>
                <w:szCs w:val="23"/>
              </w:rPr>
              <w:t>教育情怀</w:t>
            </w:r>
          </w:p>
        </w:tc>
        <w:tc>
          <w:tcPr>
            <w:tcW w:w="5409" w:type="dxa"/>
            <w:vAlign w:val="center"/>
          </w:tcPr>
          <w:p w14:paraId="557F09A0">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w:t>
            </w:r>
            <w:r>
              <w:rPr>
                <w:rFonts w:ascii="宋体" w:hAnsi="宋体" w:eastAsia="宋体" w:cs="Times New Roman"/>
                <w:color w:val="000000"/>
                <w:szCs w:val="21"/>
              </w:rPr>
              <w:t>2-2</w:t>
            </w:r>
            <w:r>
              <w:rPr>
                <w:rFonts w:hint="eastAsia" w:ascii="宋体" w:hAnsi="宋体" w:eastAsia="宋体" w:cs="Times New Roman"/>
                <w:color w:val="000000"/>
                <w:szCs w:val="21"/>
              </w:rPr>
              <w:t>：具有正确的儿童观，</w:t>
            </w:r>
            <w:r>
              <w:rPr>
                <w:rFonts w:hint="eastAsia" w:ascii="Calibri" w:hAnsi="Calibri" w:eastAsia="宋体" w:cs="Times New Roman"/>
                <w:color w:val="000000"/>
                <w:szCs w:val="23"/>
              </w:rPr>
              <w:t>理解、尊重、关爱、保护学生，</w:t>
            </w:r>
            <w:r>
              <w:rPr>
                <w:rFonts w:hint="eastAsia" w:ascii="宋体" w:hAnsi="宋体" w:eastAsia="宋体" w:cs="Times New Roman"/>
                <w:color w:val="000000"/>
                <w:szCs w:val="21"/>
              </w:rPr>
              <w:t>以儿童发展为教育的中心。</w:t>
            </w:r>
          </w:p>
        </w:tc>
      </w:tr>
      <w:tr w14:paraId="6C22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1" w:type="dxa"/>
            <w:vMerge w:val="continue"/>
            <w:vAlign w:val="center"/>
          </w:tcPr>
          <w:p w14:paraId="7A3102D5">
            <w:pPr>
              <w:spacing w:line="276" w:lineRule="auto"/>
              <w:jc w:val="center"/>
              <w:rPr>
                <w:rFonts w:hint="eastAsia" w:ascii="宋体" w:hAnsi="宋体" w:eastAsia="宋体" w:cs="宋体"/>
                <w:color w:val="000000"/>
                <w:szCs w:val="21"/>
              </w:rPr>
            </w:pPr>
          </w:p>
        </w:tc>
        <w:tc>
          <w:tcPr>
            <w:tcW w:w="2268" w:type="dxa"/>
            <w:vAlign w:val="center"/>
          </w:tcPr>
          <w:p w14:paraId="217B257A">
            <w:pPr>
              <w:spacing w:line="276" w:lineRule="auto"/>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毕业要求5：</w:t>
            </w:r>
            <w:r>
              <w:rPr>
                <w:rFonts w:hint="eastAsia" w:ascii="Calibri" w:hAnsi="Calibri" w:eastAsia="宋体" w:cs="Times New Roman"/>
                <w:szCs w:val="23"/>
              </w:rPr>
              <w:t>班级管理</w:t>
            </w:r>
          </w:p>
        </w:tc>
        <w:tc>
          <w:tcPr>
            <w:tcW w:w="5409" w:type="dxa"/>
            <w:vAlign w:val="center"/>
          </w:tcPr>
          <w:p w14:paraId="6557589A">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指标点5-1：获得小学班级组织与建设的体验，掌握小学班级组织与建设的工作规律和基本方法。</w:t>
            </w:r>
          </w:p>
          <w:p w14:paraId="547C1EDC">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指标点5-3：获得小学心理健康教育指导体验，参与组织与指导对小学生心理健康教育的科普宣传及心理辅导，掌握小学心理健康教育的基本方法。</w:t>
            </w:r>
          </w:p>
        </w:tc>
      </w:tr>
      <w:tr w14:paraId="71CB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restart"/>
            <w:vAlign w:val="center"/>
          </w:tcPr>
          <w:p w14:paraId="096BE553">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课程目标3</w:t>
            </w:r>
          </w:p>
        </w:tc>
        <w:tc>
          <w:tcPr>
            <w:tcW w:w="2268" w:type="dxa"/>
            <w:vAlign w:val="center"/>
          </w:tcPr>
          <w:p w14:paraId="0A637E46">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毕业要求4：教学能力</w:t>
            </w:r>
          </w:p>
        </w:tc>
        <w:tc>
          <w:tcPr>
            <w:tcW w:w="5409" w:type="dxa"/>
            <w:vAlign w:val="center"/>
          </w:tcPr>
          <w:p w14:paraId="052F841C">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标点4-1：掌握教与学的知识，熟悉所教学科课程标准、教学内容，具有一定的教材解读能力。</w:t>
            </w:r>
          </w:p>
        </w:tc>
      </w:tr>
      <w:tr w14:paraId="5057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71" w:type="dxa"/>
            <w:vMerge w:val="continue"/>
            <w:vAlign w:val="center"/>
          </w:tcPr>
          <w:p w14:paraId="15602AD3">
            <w:pPr>
              <w:spacing w:line="276" w:lineRule="auto"/>
              <w:jc w:val="center"/>
              <w:rPr>
                <w:rFonts w:hint="eastAsia" w:ascii="宋体" w:hAnsi="宋体" w:eastAsia="宋体" w:cs="宋体"/>
                <w:color w:val="000000"/>
                <w:szCs w:val="21"/>
              </w:rPr>
            </w:pPr>
          </w:p>
        </w:tc>
        <w:tc>
          <w:tcPr>
            <w:tcW w:w="2268" w:type="dxa"/>
            <w:vAlign w:val="center"/>
          </w:tcPr>
          <w:p w14:paraId="1901F179">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毕业要求6：综合育人</w:t>
            </w:r>
          </w:p>
        </w:tc>
        <w:tc>
          <w:tcPr>
            <w:tcW w:w="5409" w:type="dxa"/>
            <w:vAlign w:val="center"/>
          </w:tcPr>
          <w:p w14:paraId="02EB6A02">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指标点6-1：了解小学生身心发展和养成教育规律。</w:t>
            </w:r>
          </w:p>
        </w:tc>
      </w:tr>
      <w:tr w14:paraId="1AB4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271" w:type="dxa"/>
            <w:vMerge w:val="restart"/>
            <w:vAlign w:val="center"/>
          </w:tcPr>
          <w:p w14:paraId="7CD984C2">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 4</w:t>
            </w:r>
          </w:p>
        </w:tc>
        <w:tc>
          <w:tcPr>
            <w:tcW w:w="2268" w:type="dxa"/>
            <w:vAlign w:val="center"/>
          </w:tcPr>
          <w:p w14:paraId="45F20107">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毕业要求5：</w:t>
            </w:r>
            <w:r>
              <w:rPr>
                <w:rFonts w:hint="eastAsia" w:ascii="Calibri" w:hAnsi="Calibri" w:eastAsia="宋体" w:cs="Times New Roman"/>
                <w:szCs w:val="23"/>
              </w:rPr>
              <w:t>班级管理</w:t>
            </w:r>
          </w:p>
        </w:tc>
        <w:tc>
          <w:tcPr>
            <w:tcW w:w="5409" w:type="dxa"/>
            <w:vAlign w:val="center"/>
          </w:tcPr>
          <w:p w14:paraId="1CA65F38">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指标点5-2：获得小学德育工作体验，树立德育为先的理念，了解小学德育的基本原理与方法。</w:t>
            </w:r>
          </w:p>
          <w:p w14:paraId="067F7E07">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指标点5-3：获得小学心理健康教育指导体验，参与组织与指导对小学生心理健康教育的科普宣传及心理辅导，掌握小学心理健康教育的基本方法。</w:t>
            </w:r>
          </w:p>
        </w:tc>
      </w:tr>
      <w:tr w14:paraId="2AC4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271" w:type="dxa"/>
            <w:vMerge w:val="continue"/>
            <w:vAlign w:val="center"/>
          </w:tcPr>
          <w:p w14:paraId="0D9ECCF5">
            <w:pPr>
              <w:spacing w:line="276" w:lineRule="auto"/>
              <w:jc w:val="center"/>
              <w:rPr>
                <w:rFonts w:hint="eastAsia" w:ascii="宋体" w:hAnsi="宋体" w:eastAsia="宋体" w:cs="宋体"/>
                <w:color w:val="000000"/>
                <w:szCs w:val="21"/>
              </w:rPr>
            </w:pPr>
          </w:p>
        </w:tc>
        <w:tc>
          <w:tcPr>
            <w:tcW w:w="2268" w:type="dxa"/>
            <w:vAlign w:val="center"/>
          </w:tcPr>
          <w:p w14:paraId="6A28778A">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毕业要求6：综合育人</w:t>
            </w:r>
          </w:p>
        </w:tc>
        <w:tc>
          <w:tcPr>
            <w:tcW w:w="5409" w:type="dxa"/>
            <w:vAlign w:val="center"/>
          </w:tcPr>
          <w:p w14:paraId="5518C6DB">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指标点6-1：了解小学生身心发展和养成教育规律。</w:t>
            </w:r>
          </w:p>
        </w:tc>
      </w:tr>
      <w:tr w14:paraId="2F6B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271" w:type="dxa"/>
            <w:vAlign w:val="center"/>
          </w:tcPr>
          <w:p w14:paraId="08B1B1BE">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课程目标5</w:t>
            </w:r>
          </w:p>
        </w:tc>
        <w:tc>
          <w:tcPr>
            <w:tcW w:w="2268" w:type="dxa"/>
            <w:vAlign w:val="center"/>
          </w:tcPr>
          <w:p w14:paraId="0FBCC360">
            <w:pPr>
              <w:spacing w:line="276" w:lineRule="auto"/>
              <w:rPr>
                <w:rFonts w:hint="eastAsia" w:ascii="宋体" w:hAnsi="宋体" w:eastAsia="宋体" w:cs="Times New Roman"/>
                <w:b/>
                <w:color w:val="000000"/>
                <w:kern w:val="0"/>
                <w:szCs w:val="21"/>
              </w:rPr>
            </w:pPr>
            <w:r>
              <w:rPr>
                <w:rFonts w:hint="eastAsia" w:ascii="宋体" w:hAnsi="宋体" w:eastAsia="宋体" w:cs="Times New Roman"/>
                <w:color w:val="000000"/>
                <w:kern w:val="0"/>
                <w:szCs w:val="21"/>
              </w:rPr>
              <w:t>毕业要求8：</w:t>
            </w:r>
            <w:r>
              <w:rPr>
                <w:rFonts w:hint="eastAsia" w:ascii="Times New Roman" w:hAnsi="Times New Roman" w:eastAsia="宋体" w:cs="Times New Roman"/>
                <w:szCs w:val="23"/>
              </w:rPr>
              <w:t>沟通合作</w:t>
            </w:r>
          </w:p>
        </w:tc>
        <w:tc>
          <w:tcPr>
            <w:tcW w:w="5409" w:type="dxa"/>
            <w:vAlign w:val="center"/>
          </w:tcPr>
          <w:p w14:paraId="28B64D36">
            <w:pPr>
              <w:shd w:val="clear" w:color="auto" w:fill="FFFFFF"/>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指标点8-1：理解学习共同体的作用，在课堂学习与教育实践中获得合作学习体验，形成团队协作精神。</w:t>
            </w:r>
          </w:p>
          <w:p w14:paraId="5D3B5A6A">
            <w:pPr>
              <w:shd w:val="clear" w:color="auto" w:fill="FFFFFF"/>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指标点8-2：掌握人际沟通合作技能，能与学生、家长、同事进行有效沟通与合作。</w:t>
            </w:r>
          </w:p>
        </w:tc>
      </w:tr>
    </w:tbl>
    <w:p w14:paraId="6DEF6589">
      <w:pPr>
        <w:spacing w:line="360" w:lineRule="auto"/>
        <w:ind w:firstLine="562" w:firstLineChars="200"/>
        <w:rPr>
          <w:rFonts w:ascii="Times New Roman" w:hAnsi="Times New Roman" w:eastAsia="宋体" w:cs="Times New Roman"/>
          <w:b/>
          <w:sz w:val="28"/>
          <w:szCs w:val="28"/>
        </w:rPr>
      </w:pPr>
    </w:p>
    <w:p w14:paraId="11CCF078">
      <w:pPr>
        <w:spacing w:line="360" w:lineRule="auto"/>
        <w:ind w:firstLine="562" w:firstLineChars="200"/>
        <w:rPr>
          <w:rFonts w:ascii="Times New Roman" w:hAnsi="Times New Roman" w:eastAsia="宋体" w:cs="Times New Roman"/>
          <w:sz w:val="24"/>
          <w:szCs w:val="24"/>
        </w:rPr>
      </w:pPr>
      <w:r>
        <w:rPr>
          <w:rFonts w:hint="eastAsia" w:ascii="Times New Roman" w:hAnsi="Times New Roman" w:eastAsia="宋体" w:cs="Times New Roman"/>
          <w:b/>
          <w:sz w:val="28"/>
          <w:szCs w:val="28"/>
        </w:rPr>
        <w:t>三</w:t>
      </w:r>
      <w:r>
        <w:rPr>
          <w:rFonts w:ascii="Times New Roman" w:hAnsi="Times New Roman" w:eastAsia="宋体" w:cs="Times New Roman"/>
          <w:b/>
          <w:sz w:val="28"/>
          <w:szCs w:val="28"/>
        </w:rPr>
        <w:t>、课程内容及要求</w:t>
      </w:r>
    </w:p>
    <w:p w14:paraId="51DF0ECB">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（一）绪论（本模块各知识点的讲授与学习，可以支撑课程目标1、课程目标2）</w:t>
      </w:r>
    </w:p>
    <w:p w14:paraId="102A7D37">
      <w:pPr>
        <w:spacing w:line="360" w:lineRule="auto"/>
        <w:ind w:firstLine="472" w:firstLineChars="196"/>
        <w:rPr>
          <w:rFonts w:ascii="Times New Roman" w:hAnsi="Times New Roman" w:eastAsia="宋体" w:cs="Times New Roman"/>
          <w:sz w:val="24"/>
          <w:szCs w:val="24"/>
        </w:rPr>
      </w:pPr>
      <w:r>
        <w:rPr>
          <w:rFonts w:hint="eastAsia" w:ascii="Times New Roman" w:hAnsi="Times New Roman" w:eastAsia="宋体" w:cs="Times New Roman"/>
          <w:b/>
          <w:bCs/>
          <w:sz w:val="24"/>
          <w:szCs w:val="24"/>
        </w:rPr>
        <w:t>1.学习内容</w:t>
      </w:r>
      <w:r>
        <w:rPr>
          <w:rFonts w:hint="eastAsia" w:ascii="Times New Roman" w:hAnsi="Times New Roman" w:eastAsia="宋体" w:cs="Times New Roman"/>
          <w:sz w:val="24"/>
          <w:szCs w:val="24"/>
        </w:rPr>
        <w:t>：</w:t>
      </w:r>
    </w:p>
    <w:p w14:paraId="63879CF5">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（1）心理学与心理现象</w:t>
      </w:r>
    </w:p>
    <w:p w14:paraId="13454131">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（2）小学儿童的发展</w:t>
      </w:r>
    </w:p>
    <w:p w14:paraId="29D60327">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（3）小学心理学的研究内容与方法</w:t>
      </w:r>
    </w:p>
    <w:p w14:paraId="206369C2">
      <w:pPr>
        <w:spacing w:line="360" w:lineRule="auto"/>
        <w:ind w:firstLine="472" w:firstLineChars="19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687D0CB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）了解心理学的研究对象，正确</w:t>
      </w:r>
      <w:bookmarkStart w:id="33" w:name="_Hlk18958749"/>
      <w:r>
        <w:rPr>
          <w:rFonts w:hint="eastAsia" w:ascii="Times New Roman" w:hAnsi="Times New Roman" w:eastAsia="宋体" w:cs="Times New Roman"/>
          <w:sz w:val="24"/>
          <w:szCs w:val="24"/>
        </w:rPr>
        <w:t>理解心理的实质</w:t>
      </w:r>
      <w:bookmarkEnd w:id="33"/>
    </w:p>
    <w:p w14:paraId="43D249E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（2）掌握发展的一般概念，理解儿童发展的年龄特征</w:t>
      </w:r>
    </w:p>
    <w:p w14:paraId="14E78FF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bookmarkStart w:id="34" w:name="_Hlk18958735"/>
      <w:r>
        <w:rPr>
          <w:rFonts w:hint="eastAsia" w:ascii="Times New Roman" w:hAnsi="Times New Roman" w:eastAsia="宋体" w:cs="Times New Roman"/>
          <w:sz w:val="24"/>
          <w:szCs w:val="24"/>
        </w:rPr>
        <w:t>了解小学心理学的研究内容和研究方法</w:t>
      </w:r>
      <w:bookmarkEnd w:id="34"/>
      <w:r>
        <w:rPr>
          <w:rFonts w:hint="eastAsia" w:ascii="Times New Roman" w:hAnsi="Times New Roman" w:eastAsia="宋体" w:cs="Times New Roman"/>
          <w:sz w:val="24"/>
          <w:szCs w:val="24"/>
        </w:rPr>
        <w:t>，知道心理学的主要流派</w:t>
      </w:r>
    </w:p>
    <w:p w14:paraId="4AA4E2CE">
      <w:pPr>
        <w:spacing w:line="360" w:lineRule="auto"/>
        <w:ind w:firstLine="480" w:firstLineChars="200"/>
        <w:rPr>
          <w:rFonts w:ascii="Times New Roman" w:hAnsi="Times New Roman" w:eastAsia="宋体" w:cs="Times New Roman"/>
          <w:sz w:val="24"/>
          <w:szCs w:val="24"/>
        </w:rPr>
      </w:pPr>
    </w:p>
    <w:p w14:paraId="2784A59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掌握发展的一般概念，理解儿童发展的年龄特征</w:t>
      </w:r>
    </w:p>
    <w:p w14:paraId="5D2790F9">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了解小学心理学的研究内容和研究方法，理解心理的实质</w:t>
      </w:r>
    </w:p>
    <w:p w14:paraId="6F39D8DE">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（二）小学儿童的注意（本模块各知识点的讲授与学习，可以支撑课程目标2、课程目标3）</w:t>
      </w:r>
    </w:p>
    <w:p w14:paraId="0E50F72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9C88CB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（1）注意的概述</w:t>
      </w:r>
    </w:p>
    <w:p w14:paraId="5A231E5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（2）小学儿童的注意</w:t>
      </w:r>
    </w:p>
    <w:p w14:paraId="7C0ABAA3">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b/>
          <w:bCs/>
          <w:sz w:val="24"/>
          <w:szCs w:val="24"/>
        </w:rPr>
        <w:t>2.学习要求：</w:t>
      </w:r>
    </w:p>
    <w:p w14:paraId="2763F7B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（1）正确理解注意的含义、注意与其他心理过程的关系，注意的外部表现，注意的种类，注意的品质</w:t>
      </w:r>
    </w:p>
    <w:p w14:paraId="5EF67D1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（2）理解三种注意之间的关系，</w:t>
      </w:r>
      <w:bookmarkStart w:id="35" w:name="_Hlk18958803"/>
      <w:r>
        <w:rPr>
          <w:rFonts w:hint="eastAsia" w:ascii="Times New Roman" w:hAnsi="Times New Roman" w:eastAsia="宋体" w:cs="Times New Roman"/>
          <w:sz w:val="24"/>
          <w:szCs w:val="24"/>
        </w:rPr>
        <w:t>掌握引起无意注意、有意注意的条件；小学儿童注意发展的一般特点</w:t>
      </w:r>
      <w:bookmarkEnd w:id="35"/>
    </w:p>
    <w:p w14:paraId="2D03FAF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（3）学会培养小学儿童良好注意品质；初步具有在教学的各个阶段恰当组织学生注意，提高课堂效果的能力</w:t>
      </w:r>
    </w:p>
    <w:p w14:paraId="159AB1D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掌握引起无意注意、有意注意的条件；小学儿童注意发展的一般特点</w:t>
      </w:r>
    </w:p>
    <w:p w14:paraId="6FB9E5A6">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初步具有在教学的各个阶段恰当组织学生注意，提高课堂效果的能力</w:t>
      </w:r>
    </w:p>
    <w:p w14:paraId="51117723">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（三）小学儿童的感知觉（本模块各知识点的讲授与学习，可以支撑课程目标3</w:t>
      </w:r>
      <w:r>
        <w:rPr>
          <w:rFonts w:hint="eastAsia" w:ascii="Times New Roman" w:hAnsi="Times New Roman" w:eastAsia="宋体" w:cs="Times New Roman"/>
          <w:color w:val="000000"/>
          <w:szCs w:val="21"/>
        </w:rPr>
        <w:t>、</w:t>
      </w:r>
      <w:r>
        <w:rPr>
          <w:rFonts w:hint="eastAsia" w:ascii="Times New Roman" w:hAnsi="Times New Roman" w:eastAsia="宋体" w:cs="Times New Roman"/>
          <w:b/>
          <w:sz w:val="24"/>
          <w:szCs w:val="24"/>
        </w:rPr>
        <w:t>课程目标5）</w:t>
      </w:r>
    </w:p>
    <w:p w14:paraId="7F9058DB">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5D84F82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（1）感知觉概述</w:t>
      </w:r>
    </w:p>
    <w:p w14:paraId="3F01CBA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（2）小学儿童的感知觉</w:t>
      </w:r>
    </w:p>
    <w:p w14:paraId="6218630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1C7B39D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（1）了解感觉和知觉的类型、</w:t>
      </w:r>
      <w:bookmarkStart w:id="36" w:name="_Hlk18961756"/>
      <w:r>
        <w:rPr>
          <w:rFonts w:hint="eastAsia" w:ascii="Times New Roman" w:hAnsi="Times New Roman" w:eastAsia="宋体" w:cs="Times New Roman"/>
          <w:sz w:val="24"/>
          <w:szCs w:val="24"/>
        </w:rPr>
        <w:t>理解感觉和知觉的概念</w:t>
      </w:r>
      <w:bookmarkEnd w:id="36"/>
    </w:p>
    <w:p w14:paraId="4048648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37" w:name="_Hlk18961765"/>
      <w:r>
        <w:rPr>
          <w:rFonts w:hint="eastAsia" w:ascii="Times New Roman" w:hAnsi="Times New Roman" w:eastAsia="宋体" w:cs="Times New Roman"/>
          <w:sz w:val="24"/>
          <w:szCs w:val="24"/>
        </w:rPr>
        <w:t>掌握感觉的基本规律、知觉的特性</w:t>
      </w:r>
      <w:bookmarkEnd w:id="37"/>
      <w:r>
        <w:rPr>
          <w:rFonts w:hint="eastAsia" w:ascii="Times New Roman" w:hAnsi="Times New Roman" w:eastAsia="宋体" w:cs="Times New Roman"/>
          <w:sz w:val="24"/>
          <w:szCs w:val="24"/>
        </w:rPr>
        <w:t>，小学儿童感知觉发展的特点</w:t>
      </w:r>
    </w:p>
    <w:p w14:paraId="203D5B7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（3）正确把</w:t>
      </w:r>
      <w:bookmarkStart w:id="38" w:name="_Hlk18961793"/>
      <w:r>
        <w:rPr>
          <w:rFonts w:hint="eastAsia" w:ascii="Times New Roman" w:hAnsi="Times New Roman" w:eastAsia="宋体" w:cs="Times New Roman"/>
          <w:sz w:val="24"/>
          <w:szCs w:val="24"/>
        </w:rPr>
        <w:t>握感受性与感觉阈限的关系，懂得如何促进小学儿童观察力的发展</w:t>
      </w:r>
      <w:bookmarkEnd w:id="38"/>
    </w:p>
    <w:p w14:paraId="6E1422D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理解感觉和知觉的概念，掌握感觉的基本规律、知觉的特性</w:t>
      </w:r>
    </w:p>
    <w:p w14:paraId="0ED645A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握感受性与感觉阈限的关系，懂得如何促进小学儿童观察力的发展</w:t>
      </w:r>
    </w:p>
    <w:p w14:paraId="14892573">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（四）小学儿童的记忆（本模块各知识点的讲授与学习，可以支撑课程目标3</w:t>
      </w:r>
      <w:r>
        <w:rPr>
          <w:rFonts w:hint="eastAsia" w:ascii="Times New Roman" w:hAnsi="Times New Roman" w:eastAsia="宋体" w:cs="Times New Roman"/>
          <w:color w:val="000000"/>
          <w:szCs w:val="21"/>
        </w:rPr>
        <w:t>、</w:t>
      </w:r>
      <w:r>
        <w:rPr>
          <w:rFonts w:hint="eastAsia" w:ascii="Times New Roman" w:hAnsi="Times New Roman" w:eastAsia="宋体" w:cs="Times New Roman"/>
          <w:b/>
          <w:sz w:val="24"/>
          <w:szCs w:val="24"/>
        </w:rPr>
        <w:t>课程目标5）</w:t>
      </w:r>
    </w:p>
    <w:p w14:paraId="20F5888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17826E2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（1）记忆概述</w:t>
      </w:r>
    </w:p>
    <w:p w14:paraId="1583FCF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（2）小学儿童的记忆</w:t>
      </w:r>
    </w:p>
    <w:p w14:paraId="7BF78CA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4D1C40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（1）了解记忆的含义，记忆的分类，记忆的品质；</w:t>
      </w:r>
      <w:bookmarkStart w:id="39" w:name="_Hlk18961838"/>
      <w:r>
        <w:rPr>
          <w:rFonts w:hint="eastAsia" w:ascii="Times New Roman" w:hAnsi="Times New Roman" w:eastAsia="宋体" w:cs="Times New Roman"/>
          <w:sz w:val="24"/>
          <w:szCs w:val="24"/>
        </w:rPr>
        <w:t>理解影响遗忘的因素，</w:t>
      </w:r>
      <w:bookmarkEnd w:id="39"/>
      <w:r>
        <w:rPr>
          <w:rFonts w:hint="eastAsia" w:ascii="Times New Roman" w:hAnsi="Times New Roman" w:eastAsia="宋体" w:cs="Times New Roman"/>
          <w:sz w:val="24"/>
          <w:szCs w:val="24"/>
        </w:rPr>
        <w:t>三种记忆的相互关系</w:t>
      </w:r>
    </w:p>
    <w:p w14:paraId="0004EA8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bookmarkStart w:id="40" w:name="_Hlk18961826"/>
      <w:r>
        <w:rPr>
          <w:rFonts w:hint="eastAsia" w:ascii="Times New Roman" w:hAnsi="Times New Roman" w:eastAsia="宋体" w:cs="Times New Roman"/>
          <w:sz w:val="24"/>
          <w:szCs w:val="24"/>
        </w:rPr>
        <w:t>）掌握遗忘的规律，小学儿童记忆发展的特点</w:t>
      </w:r>
      <w:bookmarkEnd w:id="40"/>
    </w:p>
    <w:p w14:paraId="7E32477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bookmarkStart w:id="41" w:name="_Hlk18961860"/>
      <w:r>
        <w:rPr>
          <w:rFonts w:hint="eastAsia" w:ascii="Times New Roman" w:hAnsi="Times New Roman" w:eastAsia="宋体" w:cs="Times New Roman"/>
          <w:sz w:val="24"/>
          <w:szCs w:val="24"/>
        </w:rPr>
        <w:t>）学会有效运用增进记忆的方法，</w:t>
      </w:r>
      <w:bookmarkEnd w:id="41"/>
      <w:r>
        <w:rPr>
          <w:rFonts w:hint="eastAsia" w:ascii="Times New Roman" w:hAnsi="Times New Roman" w:eastAsia="宋体" w:cs="Times New Roman"/>
          <w:sz w:val="24"/>
          <w:szCs w:val="24"/>
        </w:rPr>
        <w:t>懂得小学儿童良好记忆策略的方法</w:t>
      </w:r>
    </w:p>
    <w:p w14:paraId="5DB7EF1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掌握遗忘的规律，小学儿童记忆发展的特点</w:t>
      </w:r>
    </w:p>
    <w:p w14:paraId="2854111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理解影响遗忘的因素，学会有效运用增进记忆的方法，</w:t>
      </w:r>
    </w:p>
    <w:p w14:paraId="61BCE54C">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（五）小学儿童的言语（本模块各知识点的讲授与学习，可以支撑课程目标3）</w:t>
      </w:r>
    </w:p>
    <w:p w14:paraId="0D3FD1F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B8BE1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（1）言语概述</w:t>
      </w:r>
    </w:p>
    <w:p w14:paraId="214B163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（2）小学儿童的言语</w:t>
      </w:r>
    </w:p>
    <w:p w14:paraId="56244D7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06F84C0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（1）理解言语的概念及特征，了解言语和语言的关系，言语的分类</w:t>
      </w:r>
    </w:p>
    <w:p w14:paraId="66F628B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42" w:name="_Hlk18961880"/>
      <w:r>
        <w:rPr>
          <w:rFonts w:hint="eastAsia" w:ascii="Times New Roman" w:hAnsi="Times New Roman" w:eastAsia="宋体" w:cs="Times New Roman"/>
          <w:sz w:val="24"/>
          <w:szCs w:val="24"/>
        </w:rPr>
        <w:t>）掌握小学儿童言语发展的特点，懂得小学儿童言语能力培养的心理基础</w:t>
      </w:r>
      <w:bookmarkEnd w:id="42"/>
    </w:p>
    <w:p w14:paraId="6397279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掌握小学儿童言语发展的特点，懂得小学儿童言语能力培养的心理基础</w:t>
      </w:r>
    </w:p>
    <w:p w14:paraId="2C5B573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理解言语的概念及特征</w:t>
      </w:r>
    </w:p>
    <w:p w14:paraId="20EC48F3">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（六）小学儿童的想象与思维（本模块各知识点的讲授与学习，可以支撑课程目标3、课程目标5）</w:t>
      </w:r>
    </w:p>
    <w:p w14:paraId="3DAAB97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3C20A7F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（1）想象的概述</w:t>
      </w:r>
    </w:p>
    <w:p w14:paraId="1A45FF0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（2）思维的概述</w:t>
      </w:r>
    </w:p>
    <w:p w14:paraId="1E8B4DE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（3）小学儿童的想象与思维</w:t>
      </w:r>
    </w:p>
    <w:p w14:paraId="3DE2FC1B">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1ED94AE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bookmarkStart w:id="43" w:name="_Hlk18961930"/>
      <w:r>
        <w:rPr>
          <w:rFonts w:hint="eastAsia" w:ascii="Times New Roman" w:hAnsi="Times New Roman" w:eastAsia="宋体" w:cs="Times New Roman"/>
          <w:sz w:val="24"/>
          <w:szCs w:val="24"/>
        </w:rPr>
        <w:t>）理解表象、想象和思维的概念，</w:t>
      </w:r>
      <w:bookmarkEnd w:id="43"/>
      <w:r>
        <w:rPr>
          <w:rFonts w:hint="eastAsia" w:ascii="Times New Roman" w:hAnsi="Times New Roman" w:eastAsia="宋体" w:cs="Times New Roman"/>
          <w:sz w:val="24"/>
          <w:szCs w:val="24"/>
        </w:rPr>
        <w:t>了解想象的种类、思维的类型和品质，想象与记忆、思维的关系</w:t>
      </w:r>
    </w:p>
    <w:p w14:paraId="5D81CA9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44" w:name="_Hlk18961959"/>
      <w:r>
        <w:rPr>
          <w:rFonts w:hint="eastAsia" w:ascii="Times New Roman" w:hAnsi="Times New Roman" w:eastAsia="宋体" w:cs="Times New Roman"/>
          <w:sz w:val="24"/>
          <w:szCs w:val="24"/>
        </w:rPr>
        <w:t>）理解思维的过程和形式，</w:t>
      </w:r>
      <w:bookmarkStart w:id="45" w:name="_Hlk18961940"/>
      <w:r>
        <w:rPr>
          <w:rFonts w:hint="eastAsia" w:ascii="Times New Roman" w:hAnsi="Times New Roman" w:eastAsia="宋体" w:cs="Times New Roman"/>
          <w:sz w:val="24"/>
          <w:szCs w:val="24"/>
        </w:rPr>
        <w:t>掌握小学儿童想象与思维发展的特点</w:t>
      </w:r>
      <w:bookmarkEnd w:id="44"/>
      <w:r>
        <w:rPr>
          <w:rFonts w:hint="eastAsia" w:ascii="Times New Roman" w:hAnsi="Times New Roman" w:eastAsia="宋体" w:cs="Times New Roman"/>
          <w:sz w:val="24"/>
          <w:szCs w:val="24"/>
        </w:rPr>
        <w:t>，懂得小学生想象力、创造性思维能力的培养的方法</w:t>
      </w:r>
      <w:bookmarkEnd w:id="45"/>
    </w:p>
    <w:p w14:paraId="25363AA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理解表象、想象和思维的概念，掌握小学儿童想象与思维发展的特点，懂得小学生想象力、创造性思维能力的培养的方法</w:t>
      </w:r>
    </w:p>
    <w:p w14:paraId="75F6DA8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理解思维的过程和形式，掌握小学儿童想象与思维发展的特点</w:t>
      </w:r>
    </w:p>
    <w:p w14:paraId="3015A7FD">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（七）小学儿童的情绪与情感（本模块各知识点的讲授与学习，可以支撑课程目标2、课程目标3）</w:t>
      </w:r>
    </w:p>
    <w:p w14:paraId="54026BA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CBCC96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（1）情绪、情感概述</w:t>
      </w:r>
    </w:p>
    <w:p w14:paraId="3755DC8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（2）小学儿童的情绪与情感</w:t>
      </w:r>
    </w:p>
    <w:p w14:paraId="6809CC2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0875487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（1）理解情绪、情感的概念，了解情绪与情感的关系以及情感过程与认识过程的关系，情绪情感的功能及分类</w:t>
      </w:r>
    </w:p>
    <w:p w14:paraId="4FC6307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46" w:name="_Hlk18962665"/>
      <w:r>
        <w:rPr>
          <w:rFonts w:hint="eastAsia" w:ascii="Times New Roman" w:hAnsi="Times New Roman" w:eastAsia="宋体" w:cs="Times New Roman"/>
          <w:sz w:val="24"/>
          <w:szCs w:val="24"/>
        </w:rPr>
        <w:t>）掌握小学儿童情绪情感发展的特点，懂得如何培养小学儿童的情感</w:t>
      </w:r>
      <w:bookmarkEnd w:id="46"/>
    </w:p>
    <w:p w14:paraId="78453AD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掌握小学儿童情绪情感发展的特点，懂得如何培养小学儿童的情感</w:t>
      </w:r>
    </w:p>
    <w:p w14:paraId="00A8400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了解情绪与情感的关系以及情感过程与认识过程的关系</w:t>
      </w:r>
    </w:p>
    <w:p w14:paraId="1718E92E">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（八）小学儿童的意志（本模块各知识点的讲授与学习，可以支撑课程目标2、课程目标3）</w:t>
      </w:r>
    </w:p>
    <w:p w14:paraId="13CF0C7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5C8389E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（1）意志概述</w:t>
      </w:r>
    </w:p>
    <w:p w14:paraId="7DC342D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（2）学儿童的意志</w:t>
      </w:r>
    </w:p>
    <w:p w14:paraId="752FF15D">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34B86B6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（1）了解意志的品质及意志与认知、情感过程的关系，</w:t>
      </w:r>
      <w:bookmarkStart w:id="47" w:name="_Hlk18963390"/>
      <w:r>
        <w:rPr>
          <w:rFonts w:hint="eastAsia" w:ascii="Times New Roman" w:hAnsi="Times New Roman" w:eastAsia="宋体" w:cs="Times New Roman"/>
          <w:sz w:val="24"/>
          <w:szCs w:val="24"/>
        </w:rPr>
        <w:t>意志行动的具体表现和阶段，理解意志的概念和特征</w:t>
      </w:r>
      <w:bookmarkEnd w:id="47"/>
    </w:p>
    <w:p w14:paraId="39C0781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48" w:name="_Hlk18963414"/>
      <w:r>
        <w:rPr>
          <w:rFonts w:hint="eastAsia" w:ascii="Times New Roman" w:hAnsi="Times New Roman" w:eastAsia="宋体" w:cs="Times New Roman"/>
          <w:sz w:val="24"/>
          <w:szCs w:val="24"/>
        </w:rPr>
        <w:t>掌握小学儿童意志发展特点，懂得小学意志力培养的方法</w:t>
      </w:r>
      <w:bookmarkEnd w:id="48"/>
    </w:p>
    <w:p w14:paraId="497F41F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掌握小学儿童意志发展特点，懂得小学意志力培养的方法</w:t>
      </w:r>
    </w:p>
    <w:p w14:paraId="5833C89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理解意志行动的具体表现和阶段，意志的概念和特征</w:t>
      </w:r>
    </w:p>
    <w:p w14:paraId="01C766E7">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（九）小学儿童的个性倾向性（本模块各知识点的讲授与学习，可以支撑课程目标2、课程目标4、课程目标5）</w:t>
      </w:r>
    </w:p>
    <w:p w14:paraId="167BE0F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594AF5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（1）个性概述</w:t>
      </w:r>
    </w:p>
    <w:p w14:paraId="4D443DC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（2）小学儿童的需要</w:t>
      </w:r>
    </w:p>
    <w:p w14:paraId="3F89CB9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（3）小学儿童的兴趣</w:t>
      </w:r>
    </w:p>
    <w:p w14:paraId="0CB29ED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1DD1EA5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（1）了解兴趣的作用、分类和品质，</w:t>
      </w:r>
      <w:bookmarkStart w:id="49" w:name="_Hlk18963507"/>
      <w:r>
        <w:rPr>
          <w:rFonts w:hint="eastAsia" w:ascii="Times New Roman" w:hAnsi="Times New Roman" w:eastAsia="宋体" w:cs="Times New Roman"/>
          <w:sz w:val="24"/>
          <w:szCs w:val="24"/>
        </w:rPr>
        <w:t>理解个性、需要和兴趣的概念及基本特征</w:t>
      </w:r>
      <w:bookmarkEnd w:id="49"/>
    </w:p>
    <w:p w14:paraId="31B7368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（2）掌握小学儿童需要和兴趣的发展特点</w:t>
      </w:r>
    </w:p>
    <w:p w14:paraId="05DEB7B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（3）懂得正确引导小学儿童的需要，学会小学儿童兴趣的培养方法</w:t>
      </w:r>
    </w:p>
    <w:p w14:paraId="309B671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理解个性、需要和兴趣的概念及基本特征，掌握小学儿童需要和兴趣的发展特点</w:t>
      </w:r>
    </w:p>
    <w:p w14:paraId="4FA25EB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理解个性、需要和兴趣的概念及基本特征</w:t>
      </w:r>
    </w:p>
    <w:p w14:paraId="00706544">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（十）小学儿童的气质与性格（本模块各知识点的讲授与学习，可以支撑课程目标2、课程目标4、课程目标5）</w:t>
      </w:r>
    </w:p>
    <w:p w14:paraId="2185540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678F151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（1）气质与性格概述</w:t>
      </w:r>
    </w:p>
    <w:p w14:paraId="5BC2B4B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（2）小学儿童的气质与性格</w:t>
      </w:r>
    </w:p>
    <w:p w14:paraId="58299CA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6ADE44D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（1）了解气质的类型与气质研究对实践活动的意义，性格和气质的关系；理解气质和性格的概念，性格的结构，理解高级神经活动活动类型与气质的关系</w:t>
      </w:r>
    </w:p>
    <w:p w14:paraId="7CDAB8A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）掌握小学儿童气质和性格的特点</w:t>
      </w:r>
    </w:p>
    <w:p w14:paraId="7CF9315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）能根据学生的气质特点和规律开展教育活动，懂得小学儿童性格的培养</w:t>
      </w:r>
    </w:p>
    <w:p w14:paraId="1EA4B91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理解气质和性格的概念，性格的结构，掌握小学儿童气质和性格的特点</w:t>
      </w:r>
    </w:p>
    <w:p w14:paraId="23764DA6">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能根据学生的气质特点和规律开展教育活动，懂得小学儿童性格的培养</w:t>
      </w:r>
    </w:p>
    <w:p w14:paraId="0D936FDF">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（十一）小学儿童的能力（本模块各知识点的讲授与学习，可以支撑课程目标2、课程目标4、课程目标5）</w:t>
      </w:r>
    </w:p>
    <w:p w14:paraId="6C42E04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1.学习内容：</w:t>
      </w:r>
    </w:p>
    <w:p w14:paraId="2A612B9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（1）能力的概述</w:t>
      </w:r>
    </w:p>
    <w:p w14:paraId="7BC3325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（2）小学儿童的能力</w:t>
      </w:r>
    </w:p>
    <w:p w14:paraId="6EE2ABF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2.学习要求：</w:t>
      </w:r>
    </w:p>
    <w:p w14:paraId="69A5517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（1）了解能力的分类，</w:t>
      </w:r>
      <w:bookmarkStart w:id="50" w:name="_Hlk18963689"/>
      <w:r>
        <w:rPr>
          <w:rFonts w:hint="eastAsia" w:ascii="Times New Roman" w:hAnsi="Times New Roman" w:eastAsia="宋体" w:cs="Times New Roman"/>
          <w:sz w:val="24"/>
          <w:szCs w:val="24"/>
        </w:rPr>
        <w:t>理解能力的概念及能力的个别差异，掌握能力发展的影响因素</w:t>
      </w:r>
      <w:bookmarkEnd w:id="50"/>
      <w:r>
        <w:rPr>
          <w:rFonts w:hint="eastAsia" w:ascii="Times New Roman" w:hAnsi="Times New Roman" w:eastAsia="宋体" w:cs="Times New Roman"/>
          <w:sz w:val="24"/>
          <w:szCs w:val="24"/>
        </w:rPr>
        <w:t>，知道小学生智力发展的特点</w:t>
      </w:r>
    </w:p>
    <w:p w14:paraId="504FA81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51" w:name="_Hlk18963702"/>
      <w:r>
        <w:rPr>
          <w:rFonts w:hint="eastAsia" w:ascii="Times New Roman" w:hAnsi="Times New Roman" w:eastAsia="宋体" w:cs="Times New Roman"/>
          <w:sz w:val="24"/>
          <w:szCs w:val="24"/>
        </w:rPr>
        <w:t>学会在教育教学中运用科学的方法培养小学儿童的能力</w:t>
      </w:r>
      <w:bookmarkEnd w:id="51"/>
    </w:p>
    <w:p w14:paraId="53B282A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理解能力的概念及能力的个别差异，掌握能力发展的影响因素</w:t>
      </w:r>
    </w:p>
    <w:p w14:paraId="590FD85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学会在教育教学中运用科学的方法培养小学儿童的能力</w:t>
      </w:r>
    </w:p>
    <w:p w14:paraId="2F37F197">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（十二）小学儿童的自我意识（本模块各知识点的讲授与学习，可以支撑课程目标2、课程目标4）</w:t>
      </w:r>
    </w:p>
    <w:p w14:paraId="4C9A636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68B41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（1）自我意识概述</w:t>
      </w:r>
    </w:p>
    <w:p w14:paraId="033A298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（2）小学儿童的自我意识</w:t>
      </w:r>
    </w:p>
    <w:p w14:paraId="365CA2C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5FE36EB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（1）了解自我意识的心理结构和作用，理解自我意识的概念</w:t>
      </w:r>
    </w:p>
    <w:p w14:paraId="0A374B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（2）掌握小学儿童自我意识发展的特点</w:t>
      </w:r>
    </w:p>
    <w:p w14:paraId="2A6C9D6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（3）学会灵活运用促进小学儿童自我意识发展策略和方法</w:t>
      </w:r>
    </w:p>
    <w:p w14:paraId="3071B15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理解自我意识的概念，掌握小学儿童自我意识发展的特点。</w:t>
      </w:r>
    </w:p>
    <w:p w14:paraId="4934DCB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学会灵活运用促进小学儿童自我意识发展策略和方法</w:t>
      </w:r>
    </w:p>
    <w:p w14:paraId="47D12A70">
      <w:pPr>
        <w:spacing w:line="360" w:lineRule="auto"/>
        <w:ind w:firstLine="482" w:firstLineChars="200"/>
        <w:rPr>
          <w:rFonts w:ascii="Times New Roman" w:hAnsi="Times New Roman" w:eastAsia="宋体" w:cs="Times New Roman"/>
          <w:b/>
          <w:sz w:val="24"/>
          <w:szCs w:val="24"/>
        </w:rPr>
      </w:pPr>
    </w:p>
    <w:p w14:paraId="0D5CAC5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w:t>
      </w:r>
      <w:r>
        <w:rPr>
          <w:rFonts w:ascii="Times New Roman" w:hAnsi="Times New Roman" w:eastAsia="宋体" w:cs="Times New Roman"/>
          <w:sz w:val="24"/>
          <w:szCs w:val="24"/>
        </w:rPr>
        <w:t>课程目标的</w:t>
      </w:r>
      <w:r>
        <w:rPr>
          <w:rFonts w:hint="eastAsia" w:ascii="Times New Roman" w:hAnsi="Times New Roman" w:eastAsia="宋体" w:cs="Times New Roman"/>
          <w:sz w:val="24"/>
          <w:szCs w:val="24"/>
        </w:rPr>
        <w:t>对应关系及</w:t>
      </w:r>
      <w:r>
        <w:rPr>
          <w:rFonts w:ascii="Times New Roman" w:hAnsi="Times New Roman" w:eastAsia="宋体" w:cs="Times New Roman"/>
          <w:sz w:val="24"/>
          <w:szCs w:val="24"/>
        </w:rPr>
        <w:t>学时分配</w:t>
      </w:r>
      <w:r>
        <w:rPr>
          <w:rFonts w:hint="eastAsia" w:ascii="Times New Roman" w:hAnsi="Times New Roman" w:eastAsia="宋体" w:cs="Times New Roman"/>
          <w:sz w:val="24"/>
          <w:szCs w:val="24"/>
        </w:rPr>
        <w:t>如表所示。</w:t>
      </w:r>
    </w:p>
    <w:tbl>
      <w:tblPr>
        <w:tblStyle w:val="30"/>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654"/>
        <w:gridCol w:w="1701"/>
        <w:gridCol w:w="2410"/>
        <w:gridCol w:w="1000"/>
        <w:gridCol w:w="735"/>
      </w:tblGrid>
      <w:tr w14:paraId="5FF8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250D3FD2">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2654" w:type="dxa"/>
            <w:shd w:val="clear" w:color="auto" w:fill="FFFFFF"/>
            <w:vAlign w:val="center"/>
          </w:tcPr>
          <w:p w14:paraId="4831FE45">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tcPr>
          <w:p w14:paraId="7B992E0F">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p>
          <w:p w14:paraId="2E558CEC">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w:t>
            </w:r>
          </w:p>
        </w:tc>
        <w:tc>
          <w:tcPr>
            <w:tcW w:w="2410" w:type="dxa"/>
            <w:shd w:val="clear" w:color="auto" w:fill="FFFFFF"/>
            <w:vAlign w:val="center"/>
          </w:tcPr>
          <w:p w14:paraId="231DC5D1">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毕业要求指标点</w:t>
            </w:r>
          </w:p>
        </w:tc>
        <w:tc>
          <w:tcPr>
            <w:tcW w:w="1000" w:type="dxa"/>
            <w:shd w:val="clear" w:color="auto" w:fill="FFFFFF"/>
            <w:vAlign w:val="center"/>
          </w:tcPr>
          <w:p w14:paraId="6EEF7C61">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c>
          <w:tcPr>
            <w:tcW w:w="735" w:type="dxa"/>
            <w:shd w:val="clear" w:color="auto" w:fill="FFFFFF"/>
            <w:vAlign w:val="center"/>
          </w:tcPr>
          <w:p w14:paraId="020FC9AA">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5230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308A30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654" w:type="dxa"/>
            <w:vAlign w:val="center"/>
          </w:tcPr>
          <w:p w14:paraId="13B8DCD8">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绪论</w:t>
            </w:r>
          </w:p>
        </w:tc>
        <w:tc>
          <w:tcPr>
            <w:tcW w:w="1701" w:type="dxa"/>
            <w:vAlign w:val="center"/>
          </w:tcPr>
          <w:p w14:paraId="1F335913">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w:t>
            </w:r>
          </w:p>
        </w:tc>
        <w:tc>
          <w:tcPr>
            <w:tcW w:w="2410" w:type="dxa"/>
            <w:vAlign w:val="center"/>
          </w:tcPr>
          <w:p w14:paraId="0AD3A90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2-2、2-3、6-1</w:t>
            </w:r>
          </w:p>
        </w:tc>
        <w:tc>
          <w:tcPr>
            <w:tcW w:w="1000" w:type="dxa"/>
            <w:vAlign w:val="center"/>
          </w:tcPr>
          <w:p w14:paraId="42C0E7C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35" w:type="dxa"/>
            <w:vAlign w:val="center"/>
          </w:tcPr>
          <w:p w14:paraId="09867CEC">
            <w:pPr>
              <w:spacing w:line="276" w:lineRule="auto"/>
              <w:jc w:val="center"/>
              <w:rPr>
                <w:rFonts w:ascii="Times New Roman" w:hAnsi="Times New Roman" w:eastAsia="宋体" w:cs="Times New Roman"/>
                <w:szCs w:val="21"/>
              </w:rPr>
            </w:pPr>
          </w:p>
        </w:tc>
      </w:tr>
      <w:tr w14:paraId="2932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2202D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654" w:type="dxa"/>
            <w:vAlign w:val="center"/>
          </w:tcPr>
          <w:p w14:paraId="2B375D4A">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小学儿童的注意</w:t>
            </w:r>
          </w:p>
        </w:tc>
        <w:tc>
          <w:tcPr>
            <w:tcW w:w="1701" w:type="dxa"/>
            <w:vAlign w:val="center"/>
          </w:tcPr>
          <w:p w14:paraId="5EA7AB81">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1、3</w:t>
            </w:r>
          </w:p>
        </w:tc>
        <w:tc>
          <w:tcPr>
            <w:tcW w:w="2410" w:type="dxa"/>
            <w:vAlign w:val="center"/>
          </w:tcPr>
          <w:p w14:paraId="6BD9BEA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2-2，4-1、6-1</w:t>
            </w:r>
          </w:p>
        </w:tc>
        <w:tc>
          <w:tcPr>
            <w:tcW w:w="1000" w:type="dxa"/>
            <w:vAlign w:val="center"/>
          </w:tcPr>
          <w:p w14:paraId="1942651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0336C81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6452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719A6A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654" w:type="dxa"/>
            <w:vAlign w:val="center"/>
          </w:tcPr>
          <w:p w14:paraId="4BA4E758">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小学儿童的感知觉</w:t>
            </w:r>
          </w:p>
        </w:tc>
        <w:tc>
          <w:tcPr>
            <w:tcW w:w="1701" w:type="dxa"/>
            <w:vAlign w:val="center"/>
          </w:tcPr>
          <w:p w14:paraId="7D4AAA50">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3、5</w:t>
            </w:r>
          </w:p>
        </w:tc>
        <w:tc>
          <w:tcPr>
            <w:tcW w:w="2410" w:type="dxa"/>
            <w:vAlign w:val="center"/>
          </w:tcPr>
          <w:p w14:paraId="1145BAD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6-1、8-1</w:t>
            </w:r>
          </w:p>
        </w:tc>
        <w:tc>
          <w:tcPr>
            <w:tcW w:w="1000" w:type="dxa"/>
            <w:vAlign w:val="center"/>
          </w:tcPr>
          <w:p w14:paraId="0EB969A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63E146D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6C2D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97AC67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654" w:type="dxa"/>
            <w:vAlign w:val="center"/>
          </w:tcPr>
          <w:p w14:paraId="603E6722">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小学儿童的记忆</w:t>
            </w:r>
          </w:p>
        </w:tc>
        <w:tc>
          <w:tcPr>
            <w:tcW w:w="1701" w:type="dxa"/>
            <w:vAlign w:val="center"/>
          </w:tcPr>
          <w:p w14:paraId="025C2726">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3、5</w:t>
            </w:r>
          </w:p>
        </w:tc>
        <w:tc>
          <w:tcPr>
            <w:tcW w:w="2410" w:type="dxa"/>
            <w:vAlign w:val="center"/>
          </w:tcPr>
          <w:p w14:paraId="6CA394C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4-1，6-1、8-1</w:t>
            </w:r>
          </w:p>
        </w:tc>
        <w:tc>
          <w:tcPr>
            <w:tcW w:w="1000" w:type="dxa"/>
            <w:vAlign w:val="center"/>
          </w:tcPr>
          <w:p w14:paraId="7437D5B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1488F16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4351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F3BB8C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654" w:type="dxa"/>
            <w:vAlign w:val="center"/>
          </w:tcPr>
          <w:p w14:paraId="633966E0">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小学儿童的言语</w:t>
            </w:r>
          </w:p>
        </w:tc>
        <w:tc>
          <w:tcPr>
            <w:tcW w:w="1701" w:type="dxa"/>
            <w:vAlign w:val="center"/>
          </w:tcPr>
          <w:p w14:paraId="4D2B4AEF">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w:t>
            </w:r>
          </w:p>
        </w:tc>
        <w:tc>
          <w:tcPr>
            <w:tcW w:w="2410" w:type="dxa"/>
            <w:vAlign w:val="center"/>
          </w:tcPr>
          <w:p w14:paraId="2331ED9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2-2、6-1</w:t>
            </w:r>
          </w:p>
        </w:tc>
        <w:tc>
          <w:tcPr>
            <w:tcW w:w="1000" w:type="dxa"/>
            <w:vAlign w:val="center"/>
          </w:tcPr>
          <w:p w14:paraId="498676C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1D3B8E8F">
            <w:pPr>
              <w:spacing w:line="276" w:lineRule="auto"/>
              <w:jc w:val="center"/>
              <w:rPr>
                <w:rFonts w:ascii="Times New Roman" w:hAnsi="Times New Roman" w:eastAsia="宋体" w:cs="Times New Roman"/>
                <w:szCs w:val="21"/>
              </w:rPr>
            </w:pPr>
          </w:p>
        </w:tc>
      </w:tr>
      <w:tr w14:paraId="3F70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539A82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654" w:type="dxa"/>
            <w:vAlign w:val="center"/>
          </w:tcPr>
          <w:p w14:paraId="11179449">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1"/>
              </w:rPr>
              <w:t>小学儿童的想象与思维</w:t>
            </w:r>
          </w:p>
        </w:tc>
        <w:tc>
          <w:tcPr>
            <w:tcW w:w="1701" w:type="dxa"/>
            <w:vAlign w:val="center"/>
          </w:tcPr>
          <w:p w14:paraId="5AB1C678">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3、5</w:t>
            </w:r>
          </w:p>
        </w:tc>
        <w:tc>
          <w:tcPr>
            <w:tcW w:w="2410" w:type="dxa"/>
            <w:vAlign w:val="center"/>
          </w:tcPr>
          <w:p w14:paraId="0BE2369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2-2、4-1、6-1</w:t>
            </w:r>
          </w:p>
        </w:tc>
        <w:tc>
          <w:tcPr>
            <w:tcW w:w="1000" w:type="dxa"/>
            <w:vAlign w:val="center"/>
          </w:tcPr>
          <w:p w14:paraId="412C351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792661D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4299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75EDF1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654" w:type="dxa"/>
            <w:vAlign w:val="center"/>
          </w:tcPr>
          <w:p w14:paraId="01421476">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小学儿童的情绪与情感</w:t>
            </w:r>
          </w:p>
        </w:tc>
        <w:tc>
          <w:tcPr>
            <w:tcW w:w="1701" w:type="dxa"/>
            <w:vAlign w:val="center"/>
          </w:tcPr>
          <w:p w14:paraId="37E75C79">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2、3</w:t>
            </w:r>
          </w:p>
        </w:tc>
        <w:tc>
          <w:tcPr>
            <w:tcW w:w="2410" w:type="dxa"/>
            <w:vAlign w:val="center"/>
          </w:tcPr>
          <w:p w14:paraId="7D8ABAF3">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szCs w:val="21"/>
              </w:rPr>
              <w:t>6-1、5-3</w:t>
            </w:r>
          </w:p>
        </w:tc>
        <w:tc>
          <w:tcPr>
            <w:tcW w:w="1000" w:type="dxa"/>
            <w:vAlign w:val="center"/>
          </w:tcPr>
          <w:p w14:paraId="4CA6484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vAlign w:val="center"/>
          </w:tcPr>
          <w:p w14:paraId="3ACE331D">
            <w:pPr>
              <w:spacing w:line="276" w:lineRule="auto"/>
              <w:jc w:val="center"/>
              <w:rPr>
                <w:rFonts w:ascii="Times New Roman" w:hAnsi="Times New Roman" w:eastAsia="宋体" w:cs="Times New Roman"/>
                <w:szCs w:val="21"/>
              </w:rPr>
            </w:pPr>
          </w:p>
        </w:tc>
      </w:tr>
      <w:tr w14:paraId="75B6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20559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654" w:type="dxa"/>
            <w:vAlign w:val="center"/>
          </w:tcPr>
          <w:p w14:paraId="0095844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小学儿童的意志</w:t>
            </w:r>
          </w:p>
        </w:tc>
        <w:tc>
          <w:tcPr>
            <w:tcW w:w="1701" w:type="dxa"/>
            <w:vAlign w:val="center"/>
          </w:tcPr>
          <w:p w14:paraId="475D9EC8">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2、3</w:t>
            </w:r>
          </w:p>
        </w:tc>
        <w:tc>
          <w:tcPr>
            <w:tcW w:w="2410" w:type="dxa"/>
            <w:vAlign w:val="center"/>
          </w:tcPr>
          <w:p w14:paraId="522E0753">
            <w:pPr>
              <w:spacing w:line="276" w:lineRule="auto"/>
              <w:jc w:val="center"/>
              <w:rPr>
                <w:rFonts w:ascii="Times New Roman" w:hAnsi="Times New Roman" w:eastAsia="宋体" w:cs="Times New Roman"/>
                <w:b/>
                <w:bCs/>
                <w:color w:val="000000"/>
                <w:szCs w:val="21"/>
              </w:rPr>
            </w:pPr>
            <w:r>
              <w:rPr>
                <w:rFonts w:hint="eastAsia" w:ascii="Times New Roman" w:hAnsi="Times New Roman" w:eastAsia="宋体" w:cs="Times New Roman"/>
                <w:szCs w:val="21"/>
              </w:rPr>
              <w:t>5-1、5-2、5-3、6-1</w:t>
            </w:r>
          </w:p>
        </w:tc>
        <w:tc>
          <w:tcPr>
            <w:tcW w:w="1000" w:type="dxa"/>
            <w:vAlign w:val="center"/>
          </w:tcPr>
          <w:p w14:paraId="1B3DB38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46701B23">
            <w:pPr>
              <w:spacing w:line="276" w:lineRule="auto"/>
              <w:jc w:val="center"/>
              <w:rPr>
                <w:rFonts w:ascii="Times New Roman" w:hAnsi="Times New Roman" w:eastAsia="宋体" w:cs="Times New Roman"/>
                <w:szCs w:val="21"/>
              </w:rPr>
            </w:pPr>
          </w:p>
        </w:tc>
      </w:tr>
      <w:tr w14:paraId="77E9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D84578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2654" w:type="dxa"/>
            <w:vAlign w:val="center"/>
          </w:tcPr>
          <w:p w14:paraId="4C54AB46">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小学儿童的个性倾向性</w:t>
            </w:r>
          </w:p>
        </w:tc>
        <w:tc>
          <w:tcPr>
            <w:tcW w:w="1701" w:type="dxa"/>
            <w:vAlign w:val="center"/>
          </w:tcPr>
          <w:p w14:paraId="452E90F1">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2、4、5</w:t>
            </w:r>
          </w:p>
        </w:tc>
        <w:tc>
          <w:tcPr>
            <w:tcW w:w="2410" w:type="dxa"/>
            <w:vAlign w:val="center"/>
          </w:tcPr>
          <w:p w14:paraId="5C7624C7">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szCs w:val="21"/>
              </w:rPr>
              <w:t>5-3、6-1、8-2</w:t>
            </w:r>
          </w:p>
        </w:tc>
        <w:tc>
          <w:tcPr>
            <w:tcW w:w="1000" w:type="dxa"/>
            <w:vAlign w:val="center"/>
          </w:tcPr>
          <w:p w14:paraId="7E306871">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182588DF">
            <w:pPr>
              <w:spacing w:line="276" w:lineRule="auto"/>
              <w:jc w:val="center"/>
              <w:rPr>
                <w:rFonts w:ascii="Times New Roman" w:hAnsi="Times New Roman" w:eastAsia="宋体" w:cs="Times New Roman"/>
                <w:szCs w:val="21"/>
              </w:rPr>
            </w:pPr>
          </w:p>
        </w:tc>
      </w:tr>
      <w:tr w14:paraId="50DB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7F895F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2654" w:type="dxa"/>
            <w:vAlign w:val="center"/>
          </w:tcPr>
          <w:p w14:paraId="74106C6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小学儿童的气质与性格</w:t>
            </w:r>
          </w:p>
        </w:tc>
        <w:tc>
          <w:tcPr>
            <w:tcW w:w="1701" w:type="dxa"/>
            <w:vAlign w:val="center"/>
          </w:tcPr>
          <w:p w14:paraId="402BB3FA">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2、4、5</w:t>
            </w:r>
          </w:p>
        </w:tc>
        <w:tc>
          <w:tcPr>
            <w:tcW w:w="2410" w:type="dxa"/>
            <w:vAlign w:val="center"/>
          </w:tcPr>
          <w:p w14:paraId="3CAFF266">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szCs w:val="21"/>
              </w:rPr>
              <w:t>5-1、5-2、5-3、6-1</w:t>
            </w:r>
          </w:p>
        </w:tc>
        <w:tc>
          <w:tcPr>
            <w:tcW w:w="1000" w:type="dxa"/>
            <w:vAlign w:val="center"/>
          </w:tcPr>
          <w:p w14:paraId="4FA6650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24F49AA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7AE4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86400C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w:t>
            </w:r>
          </w:p>
        </w:tc>
        <w:tc>
          <w:tcPr>
            <w:tcW w:w="2654" w:type="dxa"/>
            <w:vAlign w:val="center"/>
          </w:tcPr>
          <w:p w14:paraId="28CC8D62">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小学儿童的能力</w:t>
            </w:r>
          </w:p>
        </w:tc>
        <w:tc>
          <w:tcPr>
            <w:tcW w:w="1701" w:type="dxa"/>
            <w:vAlign w:val="center"/>
          </w:tcPr>
          <w:p w14:paraId="193D85E2">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2、4、5</w:t>
            </w:r>
          </w:p>
        </w:tc>
        <w:tc>
          <w:tcPr>
            <w:tcW w:w="2410" w:type="dxa"/>
            <w:vAlign w:val="center"/>
          </w:tcPr>
          <w:p w14:paraId="6BB52919">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szCs w:val="21"/>
              </w:rPr>
              <w:t>5-3、6-1、8-3</w:t>
            </w:r>
          </w:p>
        </w:tc>
        <w:tc>
          <w:tcPr>
            <w:tcW w:w="1000" w:type="dxa"/>
            <w:vAlign w:val="center"/>
          </w:tcPr>
          <w:p w14:paraId="4096052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5F436E0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46B3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4652F4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c>
          <w:tcPr>
            <w:tcW w:w="2654" w:type="dxa"/>
            <w:vAlign w:val="center"/>
          </w:tcPr>
          <w:p w14:paraId="4779234D">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小学儿童的自我意识</w:t>
            </w:r>
          </w:p>
        </w:tc>
        <w:tc>
          <w:tcPr>
            <w:tcW w:w="1701" w:type="dxa"/>
            <w:vAlign w:val="center"/>
          </w:tcPr>
          <w:p w14:paraId="0A574DBE">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2、4</w:t>
            </w:r>
          </w:p>
        </w:tc>
        <w:tc>
          <w:tcPr>
            <w:tcW w:w="2410" w:type="dxa"/>
            <w:vAlign w:val="center"/>
          </w:tcPr>
          <w:p w14:paraId="44EC4872">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szCs w:val="21"/>
              </w:rPr>
              <w:t>5-2、5-3、6-1</w:t>
            </w:r>
          </w:p>
        </w:tc>
        <w:tc>
          <w:tcPr>
            <w:tcW w:w="1000" w:type="dxa"/>
            <w:vAlign w:val="center"/>
          </w:tcPr>
          <w:p w14:paraId="5778E9A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48032F67">
            <w:pPr>
              <w:spacing w:line="276" w:lineRule="auto"/>
              <w:jc w:val="center"/>
              <w:rPr>
                <w:rFonts w:ascii="Times New Roman" w:hAnsi="Times New Roman" w:eastAsia="宋体" w:cs="Times New Roman"/>
                <w:szCs w:val="21"/>
              </w:rPr>
            </w:pPr>
          </w:p>
        </w:tc>
      </w:tr>
      <w:tr w14:paraId="7D5D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5" w:type="dxa"/>
            <w:gridSpan w:val="4"/>
            <w:vAlign w:val="center"/>
          </w:tcPr>
          <w:p w14:paraId="0C686C9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1000" w:type="dxa"/>
            <w:vAlign w:val="center"/>
          </w:tcPr>
          <w:p w14:paraId="26247F2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39</w:t>
            </w:r>
          </w:p>
        </w:tc>
        <w:tc>
          <w:tcPr>
            <w:tcW w:w="735" w:type="dxa"/>
            <w:vAlign w:val="center"/>
          </w:tcPr>
          <w:p w14:paraId="274DC8A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9</w:t>
            </w:r>
          </w:p>
        </w:tc>
      </w:tr>
    </w:tbl>
    <w:p w14:paraId="2A89B42B">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w:t>
      </w:r>
      <w:r>
        <w:rPr>
          <w:rFonts w:ascii="Times New Roman" w:hAnsi="Times New Roman" w:eastAsia="宋体" w:cs="Times New Roman"/>
          <w:b/>
          <w:sz w:val="28"/>
          <w:szCs w:val="28"/>
        </w:rPr>
        <w:t>、</w:t>
      </w:r>
      <w:r>
        <w:rPr>
          <w:rFonts w:hint="eastAsia" w:ascii="Times New Roman" w:hAnsi="Times New Roman" w:eastAsia="宋体" w:cs="Times New Roman"/>
          <w:b/>
          <w:sz w:val="28"/>
          <w:szCs w:val="28"/>
        </w:rPr>
        <w:t>课内实验（实践）</w:t>
      </w:r>
    </w:p>
    <w:tbl>
      <w:tblPr>
        <w:tblStyle w:val="30"/>
        <w:tblW w:w="91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2204"/>
        <w:gridCol w:w="2107"/>
        <w:gridCol w:w="701"/>
        <w:gridCol w:w="1404"/>
        <w:gridCol w:w="1150"/>
        <w:gridCol w:w="1032"/>
      </w:tblGrid>
      <w:tr w14:paraId="10B1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shd w:val="clear" w:color="auto" w:fill="FFFFFF"/>
            <w:vAlign w:val="center"/>
          </w:tcPr>
          <w:p w14:paraId="115EF617">
            <w:pPr>
              <w:spacing w:line="276" w:lineRule="auto"/>
              <w:jc w:val="center"/>
              <w:rPr>
                <w:rFonts w:hint="eastAsia" w:ascii="宋体" w:hAnsi="宋体" w:eastAsia="宋体" w:cs="Times New Roman"/>
                <w:bCs/>
                <w:spacing w:val="-20"/>
                <w:szCs w:val="21"/>
              </w:rPr>
            </w:pPr>
            <w:r>
              <w:rPr>
                <w:rFonts w:ascii="宋体" w:hAnsi="宋体" w:eastAsia="宋体" w:cs="Times New Roman"/>
                <w:bCs/>
                <w:spacing w:val="-20"/>
                <w:szCs w:val="21"/>
              </w:rPr>
              <w:t>序号</w:t>
            </w:r>
          </w:p>
        </w:tc>
        <w:tc>
          <w:tcPr>
            <w:tcW w:w="2204" w:type="dxa"/>
            <w:shd w:val="clear" w:color="auto" w:fill="FFFFFF"/>
            <w:vAlign w:val="center"/>
          </w:tcPr>
          <w:p w14:paraId="4ADB2B15">
            <w:pPr>
              <w:spacing w:line="276" w:lineRule="auto"/>
              <w:jc w:val="center"/>
              <w:rPr>
                <w:rFonts w:hint="eastAsia" w:ascii="宋体" w:hAnsi="宋体" w:eastAsia="宋体" w:cs="Times New Roman"/>
                <w:bCs/>
                <w:szCs w:val="21"/>
              </w:rPr>
            </w:pPr>
            <w:r>
              <w:rPr>
                <w:rFonts w:ascii="宋体" w:hAnsi="宋体" w:eastAsia="宋体" w:cs="Times New Roman"/>
                <w:bCs/>
                <w:szCs w:val="21"/>
              </w:rPr>
              <w:t>实验项目名称</w:t>
            </w:r>
          </w:p>
        </w:tc>
        <w:tc>
          <w:tcPr>
            <w:tcW w:w="2107" w:type="dxa"/>
            <w:shd w:val="clear" w:color="auto" w:fill="FFFFFF"/>
            <w:vAlign w:val="center"/>
          </w:tcPr>
          <w:p w14:paraId="2453E6E7">
            <w:pPr>
              <w:spacing w:line="276" w:lineRule="auto"/>
              <w:jc w:val="center"/>
              <w:rPr>
                <w:rFonts w:hint="eastAsia" w:ascii="宋体" w:hAnsi="宋体" w:eastAsia="宋体" w:cs="Times New Roman"/>
                <w:bCs/>
                <w:szCs w:val="21"/>
              </w:rPr>
            </w:pPr>
            <w:r>
              <w:rPr>
                <w:rFonts w:ascii="宋体" w:hAnsi="宋体" w:eastAsia="宋体" w:cs="Times New Roman"/>
                <w:bCs/>
                <w:szCs w:val="21"/>
              </w:rPr>
              <w:t>实验内容及要求</w:t>
            </w:r>
          </w:p>
        </w:tc>
        <w:tc>
          <w:tcPr>
            <w:tcW w:w="701" w:type="dxa"/>
            <w:shd w:val="clear" w:color="auto" w:fill="FFFFFF"/>
            <w:vAlign w:val="center"/>
          </w:tcPr>
          <w:p w14:paraId="229E5657">
            <w:pPr>
              <w:spacing w:line="276" w:lineRule="auto"/>
              <w:jc w:val="center"/>
              <w:rPr>
                <w:rFonts w:hint="eastAsia" w:ascii="宋体" w:hAnsi="宋体" w:eastAsia="宋体" w:cs="Times New Roman"/>
                <w:bCs/>
                <w:szCs w:val="21"/>
              </w:rPr>
            </w:pPr>
            <w:r>
              <w:rPr>
                <w:rFonts w:ascii="宋体" w:hAnsi="宋体" w:eastAsia="宋体" w:cs="Times New Roman"/>
                <w:bCs/>
                <w:szCs w:val="21"/>
              </w:rPr>
              <w:t>学时</w:t>
            </w:r>
          </w:p>
        </w:tc>
        <w:tc>
          <w:tcPr>
            <w:tcW w:w="1404" w:type="dxa"/>
            <w:shd w:val="clear" w:color="auto" w:fill="FFFFFF"/>
            <w:vAlign w:val="center"/>
          </w:tcPr>
          <w:p w14:paraId="285F7201">
            <w:pPr>
              <w:spacing w:line="276" w:lineRule="auto"/>
              <w:jc w:val="center"/>
              <w:rPr>
                <w:rFonts w:hint="eastAsia" w:ascii="宋体" w:hAnsi="宋体" w:eastAsia="宋体" w:cs="Times New Roman"/>
                <w:bCs/>
                <w:szCs w:val="21"/>
              </w:rPr>
            </w:pPr>
            <w:r>
              <w:rPr>
                <w:rFonts w:ascii="宋体" w:hAnsi="宋体" w:eastAsia="宋体" w:cs="Times New Roman"/>
                <w:bCs/>
                <w:szCs w:val="21"/>
              </w:rPr>
              <w:t>对毕业要求的支撑</w:t>
            </w:r>
          </w:p>
        </w:tc>
        <w:tc>
          <w:tcPr>
            <w:tcW w:w="1150" w:type="dxa"/>
            <w:shd w:val="clear" w:color="auto" w:fill="FFFFFF"/>
          </w:tcPr>
          <w:p w14:paraId="195E92D3">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实验类型</w:t>
            </w:r>
          </w:p>
        </w:tc>
        <w:tc>
          <w:tcPr>
            <w:tcW w:w="1032" w:type="dxa"/>
            <w:shd w:val="clear" w:color="auto" w:fill="FFFFFF"/>
          </w:tcPr>
          <w:p w14:paraId="6A9F1CF1">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备注</w:t>
            </w:r>
          </w:p>
        </w:tc>
      </w:tr>
      <w:tr w14:paraId="52DF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2BCBF14F">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1</w:t>
            </w:r>
          </w:p>
        </w:tc>
        <w:tc>
          <w:tcPr>
            <w:tcW w:w="2204" w:type="dxa"/>
            <w:tcBorders>
              <w:top w:val="single" w:color="auto" w:sz="4" w:space="0"/>
              <w:left w:val="single" w:color="auto" w:sz="4" w:space="0"/>
              <w:bottom w:val="single" w:color="auto" w:sz="4" w:space="0"/>
              <w:right w:val="single" w:color="auto" w:sz="4" w:space="0"/>
            </w:tcBorders>
            <w:vAlign w:val="center"/>
          </w:tcPr>
          <w:p w14:paraId="16EE66F3">
            <w:pPr>
              <w:adjustRightInd w:val="0"/>
              <w:spacing w:line="276" w:lineRule="auto"/>
              <w:jc w:val="left"/>
              <w:rPr>
                <w:rFonts w:hint="eastAsia" w:ascii="宋体" w:hAnsi="宋体" w:eastAsia="宋体" w:cs="Times New Roman"/>
                <w:bCs/>
                <w:szCs w:val="21"/>
              </w:rPr>
            </w:pPr>
            <w:r>
              <w:rPr>
                <w:rFonts w:hint="eastAsia" w:ascii="宋体" w:hAnsi="宋体" w:eastAsia="宋体" w:cs="Times New Roman"/>
                <w:szCs w:val="21"/>
              </w:rPr>
              <w:t>反应时测量</w:t>
            </w:r>
          </w:p>
        </w:tc>
        <w:tc>
          <w:tcPr>
            <w:tcW w:w="2107" w:type="dxa"/>
            <w:tcBorders>
              <w:top w:val="single" w:color="auto" w:sz="4" w:space="0"/>
              <w:left w:val="single" w:color="auto" w:sz="4" w:space="0"/>
              <w:bottom w:val="single" w:color="auto" w:sz="4" w:space="0"/>
              <w:right w:val="single" w:color="auto" w:sz="4" w:space="0"/>
            </w:tcBorders>
            <w:vAlign w:val="center"/>
          </w:tcPr>
          <w:p w14:paraId="5FC36821">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测试简单反应时</w:t>
            </w:r>
          </w:p>
        </w:tc>
        <w:tc>
          <w:tcPr>
            <w:tcW w:w="701" w:type="dxa"/>
            <w:vAlign w:val="center"/>
          </w:tcPr>
          <w:p w14:paraId="76AE056F">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1</w:t>
            </w:r>
          </w:p>
        </w:tc>
        <w:tc>
          <w:tcPr>
            <w:tcW w:w="1404" w:type="dxa"/>
            <w:vAlign w:val="center"/>
          </w:tcPr>
          <w:p w14:paraId="48DA4809">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2-2，8-1</w:t>
            </w:r>
          </w:p>
        </w:tc>
        <w:tc>
          <w:tcPr>
            <w:tcW w:w="1150" w:type="dxa"/>
          </w:tcPr>
          <w:p w14:paraId="5A53862C">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验证性</w:t>
            </w:r>
          </w:p>
        </w:tc>
        <w:tc>
          <w:tcPr>
            <w:tcW w:w="1032" w:type="dxa"/>
          </w:tcPr>
          <w:p w14:paraId="1CB79402">
            <w:pPr>
              <w:spacing w:line="276" w:lineRule="auto"/>
              <w:jc w:val="center"/>
              <w:rPr>
                <w:rFonts w:hint="eastAsia" w:ascii="宋体" w:hAnsi="宋体" w:eastAsia="宋体" w:cs="Times New Roman"/>
                <w:bCs/>
                <w:szCs w:val="21"/>
              </w:rPr>
            </w:pPr>
          </w:p>
        </w:tc>
      </w:tr>
      <w:tr w14:paraId="6798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4DEEFAF4">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2</w:t>
            </w:r>
          </w:p>
        </w:tc>
        <w:tc>
          <w:tcPr>
            <w:tcW w:w="2204" w:type="dxa"/>
            <w:tcBorders>
              <w:top w:val="single" w:color="auto" w:sz="4" w:space="0"/>
              <w:left w:val="single" w:color="auto" w:sz="4" w:space="0"/>
              <w:bottom w:val="single" w:color="auto" w:sz="4" w:space="0"/>
              <w:right w:val="single" w:color="auto" w:sz="4" w:space="0"/>
            </w:tcBorders>
            <w:vAlign w:val="center"/>
          </w:tcPr>
          <w:p w14:paraId="273CDD7D">
            <w:pPr>
              <w:adjustRightInd w:val="0"/>
              <w:spacing w:line="276" w:lineRule="auto"/>
              <w:jc w:val="left"/>
              <w:rPr>
                <w:rFonts w:hint="eastAsia" w:ascii="宋体" w:hAnsi="宋体" w:eastAsia="宋体" w:cs="Times New Roman"/>
                <w:bCs/>
                <w:szCs w:val="21"/>
              </w:rPr>
            </w:pPr>
            <w:r>
              <w:rPr>
                <w:rFonts w:hint="eastAsia" w:ascii="宋体" w:hAnsi="宋体" w:eastAsia="宋体" w:cs="Times New Roman"/>
                <w:szCs w:val="21"/>
              </w:rPr>
              <w:t>深度知</w:t>
            </w:r>
            <w:r>
              <w:rPr>
                <w:rFonts w:hint="eastAsia" w:ascii="宋体" w:hAnsi="宋体" w:eastAsia="宋体" w:cs="微软雅黑"/>
                <w:szCs w:val="21"/>
              </w:rPr>
              <w:t>觉实验</w:t>
            </w:r>
          </w:p>
        </w:tc>
        <w:tc>
          <w:tcPr>
            <w:tcW w:w="2107" w:type="dxa"/>
            <w:tcBorders>
              <w:top w:val="single" w:color="auto" w:sz="4" w:space="0"/>
              <w:left w:val="single" w:color="auto" w:sz="4" w:space="0"/>
              <w:bottom w:val="single" w:color="auto" w:sz="4" w:space="0"/>
              <w:right w:val="single" w:color="auto" w:sz="4" w:space="0"/>
            </w:tcBorders>
            <w:vAlign w:val="center"/>
          </w:tcPr>
          <w:p w14:paraId="30192141">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知</w:t>
            </w:r>
            <w:r>
              <w:rPr>
                <w:rFonts w:hint="eastAsia" w:ascii="宋体" w:hAnsi="宋体" w:eastAsia="宋体" w:cs="微软雅黑"/>
                <w:szCs w:val="21"/>
              </w:rPr>
              <w:t>觉测试</w:t>
            </w:r>
          </w:p>
        </w:tc>
        <w:tc>
          <w:tcPr>
            <w:tcW w:w="701" w:type="dxa"/>
            <w:vAlign w:val="center"/>
          </w:tcPr>
          <w:p w14:paraId="7DBEF5E3">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1</w:t>
            </w:r>
          </w:p>
        </w:tc>
        <w:tc>
          <w:tcPr>
            <w:tcW w:w="1404" w:type="dxa"/>
            <w:vAlign w:val="center"/>
          </w:tcPr>
          <w:p w14:paraId="704506C3">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2-2，8-1</w:t>
            </w:r>
          </w:p>
        </w:tc>
        <w:tc>
          <w:tcPr>
            <w:tcW w:w="1150" w:type="dxa"/>
          </w:tcPr>
          <w:p w14:paraId="7BB05372">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验证性</w:t>
            </w:r>
          </w:p>
        </w:tc>
        <w:tc>
          <w:tcPr>
            <w:tcW w:w="1032" w:type="dxa"/>
          </w:tcPr>
          <w:p w14:paraId="1471805C">
            <w:pPr>
              <w:spacing w:line="276" w:lineRule="auto"/>
              <w:jc w:val="center"/>
              <w:rPr>
                <w:rFonts w:hint="eastAsia" w:ascii="宋体" w:hAnsi="宋体" w:eastAsia="宋体" w:cs="Times New Roman"/>
                <w:bCs/>
                <w:szCs w:val="21"/>
              </w:rPr>
            </w:pPr>
          </w:p>
        </w:tc>
      </w:tr>
      <w:tr w14:paraId="13CB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56B2D4DE">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3</w:t>
            </w:r>
          </w:p>
        </w:tc>
        <w:tc>
          <w:tcPr>
            <w:tcW w:w="2204" w:type="dxa"/>
            <w:tcBorders>
              <w:top w:val="single" w:color="auto" w:sz="4" w:space="0"/>
              <w:left w:val="single" w:color="auto" w:sz="4" w:space="0"/>
              <w:bottom w:val="single" w:color="auto" w:sz="4" w:space="0"/>
              <w:right w:val="single" w:color="auto" w:sz="4" w:space="0"/>
            </w:tcBorders>
            <w:vAlign w:val="center"/>
          </w:tcPr>
          <w:p w14:paraId="470D092E">
            <w:pPr>
              <w:adjustRightInd w:val="0"/>
              <w:spacing w:line="276" w:lineRule="auto"/>
              <w:jc w:val="left"/>
              <w:rPr>
                <w:rFonts w:hint="eastAsia" w:ascii="宋体" w:hAnsi="宋体" w:eastAsia="宋体" w:cs="Times New Roman"/>
                <w:bCs/>
                <w:szCs w:val="21"/>
              </w:rPr>
            </w:pPr>
            <w:r>
              <w:rPr>
                <w:rFonts w:hint="eastAsia" w:ascii="宋体" w:hAnsi="宋体" w:eastAsia="宋体" w:cs="Times New Roman"/>
                <w:szCs w:val="21"/>
              </w:rPr>
              <w:t>小学生注意特征</w:t>
            </w:r>
            <w:r>
              <w:rPr>
                <w:rFonts w:hint="eastAsia" w:ascii="宋体" w:hAnsi="宋体" w:eastAsia="宋体" w:cs="微软雅黑"/>
                <w:szCs w:val="21"/>
              </w:rPr>
              <w:t>测验</w:t>
            </w:r>
          </w:p>
        </w:tc>
        <w:tc>
          <w:tcPr>
            <w:tcW w:w="2107" w:type="dxa"/>
            <w:tcBorders>
              <w:top w:val="single" w:color="auto" w:sz="4" w:space="0"/>
              <w:left w:val="single" w:color="auto" w:sz="4" w:space="0"/>
              <w:bottom w:val="single" w:color="auto" w:sz="4" w:space="0"/>
              <w:right w:val="single" w:color="auto" w:sz="4" w:space="0"/>
            </w:tcBorders>
            <w:vAlign w:val="center"/>
          </w:tcPr>
          <w:p w14:paraId="794E6D63">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注意集中</w:t>
            </w:r>
            <w:r>
              <w:rPr>
                <w:rFonts w:hint="eastAsia" w:ascii="宋体" w:hAnsi="宋体" w:eastAsia="宋体" w:cs="微软雅黑"/>
                <w:szCs w:val="21"/>
              </w:rPr>
              <w:t>测试</w:t>
            </w:r>
          </w:p>
        </w:tc>
        <w:tc>
          <w:tcPr>
            <w:tcW w:w="701" w:type="dxa"/>
            <w:vAlign w:val="center"/>
          </w:tcPr>
          <w:p w14:paraId="473CAAE1">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1</w:t>
            </w:r>
          </w:p>
        </w:tc>
        <w:tc>
          <w:tcPr>
            <w:tcW w:w="1404" w:type="dxa"/>
            <w:vAlign w:val="center"/>
          </w:tcPr>
          <w:p w14:paraId="77E56C5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2-3，8-1</w:t>
            </w:r>
          </w:p>
        </w:tc>
        <w:tc>
          <w:tcPr>
            <w:tcW w:w="1150" w:type="dxa"/>
          </w:tcPr>
          <w:p w14:paraId="5C04C9E9">
            <w:pPr>
              <w:spacing w:line="276" w:lineRule="auto"/>
              <w:jc w:val="center"/>
              <w:rPr>
                <w:rFonts w:hint="eastAsia" w:ascii="宋体" w:hAnsi="宋体" w:eastAsia="宋体" w:cs="Times New Roman"/>
                <w:color w:val="000000"/>
                <w:szCs w:val="21"/>
              </w:rPr>
            </w:pPr>
            <w:r>
              <w:rPr>
                <w:rFonts w:hint="eastAsia" w:ascii="宋体" w:hAnsi="宋体" w:eastAsia="宋体" w:cs="Times New Roman"/>
                <w:bCs/>
                <w:szCs w:val="21"/>
              </w:rPr>
              <w:t>验证性</w:t>
            </w:r>
          </w:p>
        </w:tc>
        <w:tc>
          <w:tcPr>
            <w:tcW w:w="1032" w:type="dxa"/>
          </w:tcPr>
          <w:p w14:paraId="33C1C47D">
            <w:pPr>
              <w:spacing w:line="276" w:lineRule="auto"/>
              <w:jc w:val="center"/>
              <w:rPr>
                <w:rFonts w:hint="eastAsia" w:ascii="宋体" w:hAnsi="宋体" w:eastAsia="宋体" w:cs="Times New Roman"/>
                <w:color w:val="000000"/>
                <w:szCs w:val="21"/>
              </w:rPr>
            </w:pPr>
          </w:p>
        </w:tc>
      </w:tr>
      <w:tr w14:paraId="391C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49056040">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4</w:t>
            </w:r>
          </w:p>
        </w:tc>
        <w:tc>
          <w:tcPr>
            <w:tcW w:w="2204" w:type="dxa"/>
            <w:tcBorders>
              <w:top w:val="single" w:color="auto" w:sz="4" w:space="0"/>
              <w:left w:val="single" w:color="auto" w:sz="4" w:space="0"/>
              <w:bottom w:val="single" w:color="auto" w:sz="4" w:space="0"/>
              <w:right w:val="single" w:color="auto" w:sz="4" w:space="0"/>
            </w:tcBorders>
            <w:vAlign w:val="center"/>
          </w:tcPr>
          <w:p w14:paraId="3FDC7FC4">
            <w:pPr>
              <w:adjustRightInd w:val="0"/>
              <w:spacing w:line="276" w:lineRule="auto"/>
              <w:jc w:val="left"/>
              <w:rPr>
                <w:rFonts w:hint="eastAsia" w:ascii="宋体" w:hAnsi="宋体" w:eastAsia="宋体" w:cs="Times New Roman"/>
                <w:bCs/>
                <w:szCs w:val="21"/>
              </w:rPr>
            </w:pPr>
            <w:r>
              <w:rPr>
                <w:rFonts w:hint="eastAsia" w:ascii="宋体" w:hAnsi="宋体" w:eastAsia="宋体" w:cs="Times New Roman"/>
                <w:bCs/>
                <w:szCs w:val="21"/>
              </w:rPr>
              <w:t>小学生思维测试</w:t>
            </w:r>
          </w:p>
        </w:tc>
        <w:tc>
          <w:tcPr>
            <w:tcW w:w="2107" w:type="dxa"/>
            <w:tcBorders>
              <w:top w:val="single" w:color="auto" w:sz="4" w:space="0"/>
              <w:left w:val="single" w:color="auto" w:sz="4" w:space="0"/>
              <w:bottom w:val="single" w:color="auto" w:sz="4" w:space="0"/>
              <w:right w:val="single" w:color="auto" w:sz="4" w:space="0"/>
            </w:tcBorders>
            <w:vAlign w:val="center"/>
          </w:tcPr>
          <w:p w14:paraId="26A11154">
            <w:pPr>
              <w:spacing w:line="276" w:lineRule="auto"/>
              <w:jc w:val="left"/>
              <w:rPr>
                <w:rFonts w:hint="eastAsia" w:ascii="宋体" w:hAnsi="宋体" w:eastAsia="宋体" w:cs="Times New Roman"/>
                <w:szCs w:val="21"/>
              </w:rPr>
            </w:pPr>
            <w:r>
              <w:rPr>
                <w:rFonts w:hint="eastAsia" w:ascii="宋体" w:hAnsi="宋体" w:eastAsia="宋体" w:cs="Times New Roman"/>
                <w:szCs w:val="21"/>
              </w:rPr>
              <w:t>小学生思维过程测定</w:t>
            </w:r>
          </w:p>
        </w:tc>
        <w:tc>
          <w:tcPr>
            <w:tcW w:w="701" w:type="dxa"/>
            <w:vAlign w:val="center"/>
          </w:tcPr>
          <w:p w14:paraId="02BFC46B">
            <w:pPr>
              <w:spacing w:line="276" w:lineRule="auto"/>
              <w:jc w:val="center"/>
              <w:rPr>
                <w:rFonts w:hint="eastAsia" w:ascii="宋体" w:hAnsi="宋体" w:eastAsia="宋体" w:cs="Times New Roman"/>
                <w:bCs/>
                <w:szCs w:val="21"/>
              </w:rPr>
            </w:pPr>
            <w:r>
              <w:rPr>
                <w:rFonts w:ascii="宋体" w:hAnsi="宋体" w:eastAsia="宋体" w:cs="Times New Roman"/>
                <w:bCs/>
                <w:szCs w:val="21"/>
              </w:rPr>
              <w:t>1</w:t>
            </w:r>
          </w:p>
        </w:tc>
        <w:tc>
          <w:tcPr>
            <w:tcW w:w="1404" w:type="dxa"/>
            <w:vAlign w:val="center"/>
          </w:tcPr>
          <w:p w14:paraId="4B2E9BD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6-1.8-1</w:t>
            </w:r>
          </w:p>
        </w:tc>
        <w:tc>
          <w:tcPr>
            <w:tcW w:w="1150" w:type="dxa"/>
          </w:tcPr>
          <w:p w14:paraId="091625BB">
            <w:pPr>
              <w:spacing w:line="276" w:lineRule="auto"/>
              <w:jc w:val="center"/>
              <w:rPr>
                <w:rFonts w:hint="eastAsia" w:ascii="宋体" w:hAnsi="宋体" w:eastAsia="宋体" w:cs="Times New Roman"/>
                <w:color w:val="000000"/>
                <w:szCs w:val="21"/>
              </w:rPr>
            </w:pPr>
            <w:r>
              <w:rPr>
                <w:rFonts w:hint="eastAsia" w:ascii="宋体" w:hAnsi="宋体" w:eastAsia="宋体" w:cs="Times New Roman"/>
                <w:bCs/>
                <w:szCs w:val="21"/>
              </w:rPr>
              <w:t>验证性</w:t>
            </w:r>
          </w:p>
        </w:tc>
        <w:tc>
          <w:tcPr>
            <w:tcW w:w="1032" w:type="dxa"/>
          </w:tcPr>
          <w:p w14:paraId="68934FA6">
            <w:pPr>
              <w:spacing w:line="276" w:lineRule="auto"/>
              <w:jc w:val="center"/>
              <w:rPr>
                <w:rFonts w:hint="eastAsia" w:ascii="宋体" w:hAnsi="宋体" w:eastAsia="宋体" w:cs="Times New Roman"/>
                <w:color w:val="000000"/>
                <w:szCs w:val="21"/>
              </w:rPr>
            </w:pPr>
          </w:p>
        </w:tc>
      </w:tr>
      <w:tr w14:paraId="7924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1043136F">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5</w:t>
            </w:r>
          </w:p>
        </w:tc>
        <w:tc>
          <w:tcPr>
            <w:tcW w:w="2204" w:type="dxa"/>
            <w:tcBorders>
              <w:top w:val="single" w:color="auto" w:sz="4" w:space="0"/>
              <w:left w:val="single" w:color="auto" w:sz="4" w:space="0"/>
              <w:bottom w:val="single" w:color="auto" w:sz="4" w:space="0"/>
              <w:right w:val="single" w:color="auto" w:sz="4" w:space="0"/>
            </w:tcBorders>
            <w:vAlign w:val="center"/>
          </w:tcPr>
          <w:p w14:paraId="151B86DC">
            <w:pPr>
              <w:adjustRightInd w:val="0"/>
              <w:spacing w:line="276" w:lineRule="auto"/>
              <w:jc w:val="left"/>
              <w:rPr>
                <w:rFonts w:hint="eastAsia" w:ascii="宋体" w:hAnsi="宋体" w:eastAsia="宋体" w:cs="Times New Roman"/>
                <w:szCs w:val="21"/>
              </w:rPr>
            </w:pPr>
            <w:r>
              <w:rPr>
                <w:rFonts w:hint="eastAsia" w:ascii="宋体" w:hAnsi="宋体" w:eastAsia="宋体" w:cs="Times New Roman"/>
                <w:szCs w:val="21"/>
              </w:rPr>
              <w:t>创造性想象实验</w:t>
            </w:r>
          </w:p>
        </w:tc>
        <w:tc>
          <w:tcPr>
            <w:tcW w:w="2107" w:type="dxa"/>
            <w:tcBorders>
              <w:top w:val="single" w:color="auto" w:sz="4" w:space="0"/>
              <w:left w:val="single" w:color="auto" w:sz="4" w:space="0"/>
              <w:bottom w:val="single" w:color="auto" w:sz="4" w:space="0"/>
              <w:right w:val="single" w:color="auto" w:sz="4" w:space="0"/>
            </w:tcBorders>
            <w:vAlign w:val="center"/>
          </w:tcPr>
          <w:p w14:paraId="57BD78D3">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创造能力测试</w:t>
            </w:r>
          </w:p>
        </w:tc>
        <w:tc>
          <w:tcPr>
            <w:tcW w:w="701" w:type="dxa"/>
            <w:vAlign w:val="center"/>
          </w:tcPr>
          <w:p w14:paraId="3B3B2600">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404" w:type="dxa"/>
            <w:vAlign w:val="center"/>
          </w:tcPr>
          <w:p w14:paraId="0558C09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6-1，8-1</w:t>
            </w:r>
          </w:p>
        </w:tc>
        <w:tc>
          <w:tcPr>
            <w:tcW w:w="1150" w:type="dxa"/>
          </w:tcPr>
          <w:p w14:paraId="3332D9AE">
            <w:pPr>
              <w:spacing w:line="276" w:lineRule="auto"/>
              <w:jc w:val="center"/>
              <w:rPr>
                <w:rFonts w:hint="eastAsia" w:ascii="宋体" w:hAnsi="宋体" w:eastAsia="宋体" w:cs="Times New Roman"/>
                <w:color w:val="000000"/>
                <w:szCs w:val="21"/>
              </w:rPr>
            </w:pPr>
            <w:r>
              <w:rPr>
                <w:rFonts w:hint="eastAsia" w:ascii="宋体" w:hAnsi="宋体" w:eastAsia="宋体" w:cs="Times New Roman"/>
                <w:bCs/>
                <w:szCs w:val="21"/>
              </w:rPr>
              <w:t>验证性</w:t>
            </w:r>
          </w:p>
        </w:tc>
        <w:tc>
          <w:tcPr>
            <w:tcW w:w="1032" w:type="dxa"/>
          </w:tcPr>
          <w:p w14:paraId="3CA7248F">
            <w:pPr>
              <w:spacing w:line="276" w:lineRule="auto"/>
              <w:jc w:val="center"/>
              <w:rPr>
                <w:rFonts w:hint="eastAsia" w:ascii="宋体" w:hAnsi="宋体" w:eastAsia="宋体" w:cs="Times New Roman"/>
                <w:color w:val="000000"/>
                <w:szCs w:val="21"/>
              </w:rPr>
            </w:pPr>
          </w:p>
        </w:tc>
      </w:tr>
      <w:tr w14:paraId="4DBA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7217489B">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6</w:t>
            </w:r>
          </w:p>
        </w:tc>
        <w:tc>
          <w:tcPr>
            <w:tcW w:w="2204" w:type="dxa"/>
            <w:tcBorders>
              <w:top w:val="single" w:color="auto" w:sz="4" w:space="0"/>
              <w:left w:val="single" w:color="auto" w:sz="4" w:space="0"/>
              <w:bottom w:val="single" w:color="auto" w:sz="4" w:space="0"/>
              <w:right w:val="single" w:color="auto" w:sz="4" w:space="0"/>
            </w:tcBorders>
            <w:vAlign w:val="center"/>
          </w:tcPr>
          <w:p w14:paraId="7F1263CB">
            <w:pPr>
              <w:adjustRightInd w:val="0"/>
              <w:spacing w:line="276" w:lineRule="auto"/>
              <w:jc w:val="left"/>
              <w:rPr>
                <w:rFonts w:hint="eastAsia" w:ascii="宋体" w:hAnsi="宋体" w:eastAsia="宋体" w:cs="Times New Roman"/>
                <w:szCs w:val="21"/>
              </w:rPr>
            </w:pPr>
            <w:r>
              <w:rPr>
                <w:rFonts w:hint="eastAsia" w:ascii="宋体" w:hAnsi="宋体" w:eastAsia="宋体" w:cs="Times New Roman"/>
                <w:szCs w:val="21"/>
              </w:rPr>
              <w:t>气质测定</w:t>
            </w:r>
          </w:p>
        </w:tc>
        <w:tc>
          <w:tcPr>
            <w:tcW w:w="2107" w:type="dxa"/>
            <w:tcBorders>
              <w:top w:val="single" w:color="auto" w:sz="4" w:space="0"/>
              <w:left w:val="single" w:color="auto" w:sz="4" w:space="0"/>
              <w:bottom w:val="single" w:color="auto" w:sz="4" w:space="0"/>
              <w:right w:val="single" w:color="auto" w:sz="4" w:space="0"/>
            </w:tcBorders>
            <w:vAlign w:val="center"/>
          </w:tcPr>
          <w:p w14:paraId="3E037DD5">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自陈式量表测定</w:t>
            </w:r>
          </w:p>
        </w:tc>
        <w:tc>
          <w:tcPr>
            <w:tcW w:w="701" w:type="dxa"/>
            <w:vAlign w:val="center"/>
          </w:tcPr>
          <w:p w14:paraId="062E3439">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1</w:t>
            </w:r>
          </w:p>
        </w:tc>
        <w:tc>
          <w:tcPr>
            <w:tcW w:w="1404" w:type="dxa"/>
            <w:vAlign w:val="center"/>
          </w:tcPr>
          <w:p w14:paraId="42AB3D8A">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2-2，2-3，8-1</w:t>
            </w:r>
          </w:p>
        </w:tc>
        <w:tc>
          <w:tcPr>
            <w:tcW w:w="1150" w:type="dxa"/>
          </w:tcPr>
          <w:p w14:paraId="2AC51AA0">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验证性</w:t>
            </w:r>
          </w:p>
        </w:tc>
        <w:tc>
          <w:tcPr>
            <w:tcW w:w="1032" w:type="dxa"/>
          </w:tcPr>
          <w:p w14:paraId="4FDF5007">
            <w:pPr>
              <w:spacing w:line="276" w:lineRule="auto"/>
              <w:jc w:val="center"/>
              <w:rPr>
                <w:rFonts w:hint="eastAsia" w:ascii="宋体" w:hAnsi="宋体" w:eastAsia="宋体" w:cs="Times New Roman"/>
                <w:bCs/>
                <w:szCs w:val="21"/>
              </w:rPr>
            </w:pPr>
          </w:p>
        </w:tc>
      </w:tr>
      <w:tr w14:paraId="69C3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99" w:type="dxa"/>
            <w:tcBorders>
              <w:top w:val="single" w:color="auto" w:sz="4" w:space="0"/>
              <w:bottom w:val="single" w:color="auto" w:sz="4" w:space="0"/>
              <w:right w:val="single" w:color="auto" w:sz="4" w:space="0"/>
            </w:tcBorders>
            <w:vAlign w:val="center"/>
          </w:tcPr>
          <w:p w14:paraId="59B4DBBF">
            <w:pPr>
              <w:spacing w:line="276" w:lineRule="auto"/>
              <w:ind w:firstLine="200"/>
              <w:jc w:val="center"/>
              <w:rPr>
                <w:rFonts w:hint="eastAsia" w:ascii="宋体" w:hAnsi="宋体" w:eastAsia="宋体" w:cs="Times New Roman"/>
                <w:szCs w:val="21"/>
              </w:rPr>
            </w:pPr>
            <w:r>
              <w:rPr>
                <w:rFonts w:hint="eastAsia" w:ascii="宋体" w:hAnsi="宋体" w:eastAsia="宋体" w:cs="Times New Roman"/>
                <w:szCs w:val="21"/>
              </w:rPr>
              <w:t>7</w:t>
            </w:r>
          </w:p>
        </w:tc>
        <w:tc>
          <w:tcPr>
            <w:tcW w:w="2204" w:type="dxa"/>
            <w:tcBorders>
              <w:top w:val="single" w:color="auto" w:sz="4" w:space="0"/>
              <w:left w:val="single" w:color="auto" w:sz="4" w:space="0"/>
              <w:bottom w:val="single" w:color="auto" w:sz="4" w:space="0"/>
              <w:right w:val="single" w:color="auto" w:sz="4" w:space="0"/>
            </w:tcBorders>
            <w:vAlign w:val="center"/>
          </w:tcPr>
          <w:p w14:paraId="74EDB209">
            <w:pPr>
              <w:adjustRightInd w:val="0"/>
              <w:spacing w:line="276" w:lineRule="auto"/>
              <w:jc w:val="left"/>
              <w:rPr>
                <w:rFonts w:hint="eastAsia" w:ascii="宋体" w:hAnsi="宋体" w:eastAsia="宋体" w:cs="Times New Roman"/>
                <w:szCs w:val="21"/>
              </w:rPr>
            </w:pPr>
            <w:r>
              <w:rPr>
                <w:rFonts w:hint="eastAsia" w:ascii="宋体" w:hAnsi="宋体" w:eastAsia="宋体" w:cs="Times New Roman"/>
                <w:szCs w:val="21"/>
              </w:rPr>
              <w:t>16PF人格测试</w:t>
            </w:r>
          </w:p>
        </w:tc>
        <w:tc>
          <w:tcPr>
            <w:tcW w:w="2107" w:type="dxa"/>
            <w:tcBorders>
              <w:top w:val="single" w:color="auto" w:sz="4" w:space="0"/>
              <w:left w:val="single" w:color="auto" w:sz="4" w:space="0"/>
              <w:bottom w:val="single" w:color="auto" w:sz="4" w:space="0"/>
              <w:right w:val="single" w:color="auto" w:sz="4" w:space="0"/>
            </w:tcBorders>
            <w:vAlign w:val="center"/>
          </w:tcPr>
          <w:p w14:paraId="59F99C2F">
            <w:pPr>
              <w:spacing w:line="276" w:lineRule="auto"/>
              <w:ind w:firstLine="200"/>
              <w:jc w:val="left"/>
              <w:rPr>
                <w:rFonts w:hint="eastAsia" w:ascii="宋体" w:hAnsi="宋体" w:eastAsia="宋体" w:cs="Times New Roman"/>
                <w:szCs w:val="21"/>
              </w:rPr>
            </w:pPr>
            <w:r>
              <w:rPr>
                <w:rFonts w:hint="eastAsia" w:ascii="宋体" w:hAnsi="宋体" w:eastAsia="宋体" w:cs="Times New Roman"/>
                <w:szCs w:val="21"/>
              </w:rPr>
              <w:t>人格测定</w:t>
            </w:r>
          </w:p>
        </w:tc>
        <w:tc>
          <w:tcPr>
            <w:tcW w:w="701" w:type="dxa"/>
            <w:vAlign w:val="center"/>
          </w:tcPr>
          <w:p w14:paraId="4D8C6D1D">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404" w:type="dxa"/>
            <w:vAlign w:val="center"/>
          </w:tcPr>
          <w:p w14:paraId="73AB9F95">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2-1，2-3，8-1</w:t>
            </w:r>
          </w:p>
        </w:tc>
        <w:tc>
          <w:tcPr>
            <w:tcW w:w="1150" w:type="dxa"/>
          </w:tcPr>
          <w:p w14:paraId="1F9E8A51">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验证性</w:t>
            </w:r>
          </w:p>
        </w:tc>
        <w:tc>
          <w:tcPr>
            <w:tcW w:w="1032" w:type="dxa"/>
          </w:tcPr>
          <w:p w14:paraId="1E4ED64D">
            <w:pPr>
              <w:spacing w:line="276" w:lineRule="auto"/>
              <w:jc w:val="center"/>
              <w:rPr>
                <w:rFonts w:hint="eastAsia" w:ascii="宋体" w:hAnsi="宋体" w:eastAsia="宋体" w:cs="Times New Roman"/>
                <w:bCs/>
                <w:szCs w:val="21"/>
              </w:rPr>
            </w:pPr>
          </w:p>
        </w:tc>
      </w:tr>
      <w:tr w14:paraId="33DA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803" w:type="dxa"/>
            <w:gridSpan w:val="2"/>
            <w:tcBorders>
              <w:top w:val="single" w:color="auto" w:sz="4" w:space="0"/>
              <w:bottom w:val="single" w:color="auto" w:sz="4" w:space="0"/>
              <w:right w:val="single" w:color="auto" w:sz="4" w:space="0"/>
            </w:tcBorders>
            <w:vAlign w:val="center"/>
          </w:tcPr>
          <w:p w14:paraId="02A87D34">
            <w:pPr>
              <w:adjustRightInd w:val="0"/>
              <w:spacing w:line="276" w:lineRule="auto"/>
              <w:ind w:firstLine="198"/>
              <w:rPr>
                <w:rFonts w:hint="eastAsia" w:ascii="宋体" w:hAnsi="宋体" w:eastAsia="宋体" w:cs="Times New Roman"/>
                <w:bCs/>
                <w:szCs w:val="21"/>
              </w:rPr>
            </w:pPr>
            <w:r>
              <w:rPr>
                <w:rFonts w:hint="eastAsia" w:ascii="宋体" w:hAnsi="宋体" w:eastAsia="宋体" w:cs="Times New Roman"/>
                <w:bCs/>
                <w:szCs w:val="21"/>
              </w:rPr>
              <w:t>合计</w:t>
            </w:r>
          </w:p>
        </w:tc>
        <w:tc>
          <w:tcPr>
            <w:tcW w:w="2107" w:type="dxa"/>
            <w:tcBorders>
              <w:top w:val="single" w:color="auto" w:sz="4" w:space="0"/>
              <w:left w:val="single" w:color="auto" w:sz="4" w:space="0"/>
              <w:bottom w:val="single" w:color="auto" w:sz="4" w:space="0"/>
              <w:right w:val="single" w:color="auto" w:sz="4" w:space="0"/>
            </w:tcBorders>
            <w:vAlign w:val="center"/>
          </w:tcPr>
          <w:p w14:paraId="1C39663C">
            <w:pPr>
              <w:spacing w:line="276" w:lineRule="auto"/>
              <w:ind w:firstLine="200"/>
              <w:rPr>
                <w:rFonts w:hint="eastAsia" w:ascii="宋体" w:hAnsi="宋体" w:eastAsia="宋体" w:cs="Times New Roman"/>
                <w:szCs w:val="21"/>
              </w:rPr>
            </w:pPr>
          </w:p>
        </w:tc>
        <w:tc>
          <w:tcPr>
            <w:tcW w:w="701" w:type="dxa"/>
            <w:vAlign w:val="center"/>
          </w:tcPr>
          <w:p w14:paraId="09A30AA9">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9</w:t>
            </w:r>
          </w:p>
        </w:tc>
        <w:tc>
          <w:tcPr>
            <w:tcW w:w="1404" w:type="dxa"/>
            <w:vAlign w:val="center"/>
          </w:tcPr>
          <w:p w14:paraId="09423522">
            <w:pPr>
              <w:spacing w:line="276" w:lineRule="auto"/>
              <w:jc w:val="center"/>
              <w:rPr>
                <w:rFonts w:hint="eastAsia" w:ascii="宋体" w:hAnsi="宋体" w:eastAsia="宋体" w:cs="Times New Roman"/>
                <w:bCs/>
                <w:szCs w:val="21"/>
              </w:rPr>
            </w:pPr>
          </w:p>
        </w:tc>
        <w:tc>
          <w:tcPr>
            <w:tcW w:w="1150" w:type="dxa"/>
          </w:tcPr>
          <w:p w14:paraId="750D5D4C">
            <w:pPr>
              <w:spacing w:line="276" w:lineRule="auto"/>
              <w:jc w:val="center"/>
              <w:rPr>
                <w:rFonts w:hint="eastAsia" w:ascii="宋体" w:hAnsi="宋体" w:eastAsia="宋体" w:cs="Times New Roman"/>
                <w:bCs/>
                <w:szCs w:val="21"/>
              </w:rPr>
            </w:pPr>
          </w:p>
        </w:tc>
        <w:tc>
          <w:tcPr>
            <w:tcW w:w="1032" w:type="dxa"/>
          </w:tcPr>
          <w:p w14:paraId="7D4EA7FD">
            <w:pPr>
              <w:spacing w:line="276" w:lineRule="auto"/>
              <w:jc w:val="center"/>
              <w:rPr>
                <w:rFonts w:hint="eastAsia" w:ascii="宋体" w:hAnsi="宋体" w:eastAsia="宋体" w:cs="Times New Roman"/>
                <w:bCs/>
                <w:szCs w:val="21"/>
              </w:rPr>
            </w:pPr>
          </w:p>
        </w:tc>
      </w:tr>
    </w:tbl>
    <w:p w14:paraId="7A4B767F">
      <w:pPr>
        <w:spacing w:line="360" w:lineRule="auto"/>
        <w:ind w:firstLine="562" w:firstLineChars="200"/>
        <w:rPr>
          <w:rFonts w:ascii="Times New Roman" w:hAnsi="Times New Roman" w:eastAsia="宋体" w:cs="Times New Roman"/>
          <w:b/>
          <w:sz w:val="28"/>
          <w:szCs w:val="28"/>
        </w:rPr>
      </w:pPr>
    </w:p>
    <w:p w14:paraId="2CEEC667">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五、课程实施</w:t>
      </w:r>
    </w:p>
    <w:p w14:paraId="6EC4E2B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w:t>
      </w:r>
      <w:r>
        <w:rPr>
          <w:rFonts w:hint="eastAsia" w:ascii="Times New Roman" w:hAnsi="Times New Roman" w:eastAsia="宋体" w:cs="Times New Roman"/>
          <w:sz w:val="24"/>
          <w:szCs w:val="24"/>
        </w:rPr>
        <w:t>以心理学课程结构建立课程框架，设计思维导图，帮助学生建立本专业的课程架构。</w:t>
      </w:r>
    </w:p>
    <w:p w14:paraId="1513BB1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（二）采用多媒体教学手段，</w:t>
      </w:r>
      <w:r>
        <w:rPr>
          <w:rFonts w:hint="eastAsia" w:ascii="Times New Roman" w:hAnsi="Times New Roman" w:eastAsia="宋体" w:cs="Times New Roman"/>
          <w:sz w:val="24"/>
          <w:szCs w:val="24"/>
        </w:rPr>
        <w:t>充分利用网络课程</w:t>
      </w:r>
      <w:r>
        <w:rPr>
          <w:rFonts w:ascii="Times New Roman" w:hAnsi="Times New Roman" w:eastAsia="宋体" w:cs="Times New Roman"/>
          <w:sz w:val="24"/>
          <w:szCs w:val="24"/>
        </w:rPr>
        <w:t>，</w:t>
      </w:r>
      <w:r>
        <w:rPr>
          <w:rFonts w:hint="eastAsia" w:ascii="Times New Roman" w:hAnsi="Times New Roman" w:eastAsia="宋体" w:cs="Times New Roman"/>
          <w:sz w:val="24"/>
          <w:szCs w:val="24"/>
        </w:rPr>
        <w:t>结合学生实际，注意课内外学习的配合，调动学生的学习积极性</w:t>
      </w:r>
      <w:r>
        <w:rPr>
          <w:rFonts w:ascii="Times New Roman" w:hAnsi="Times New Roman" w:eastAsia="宋体" w:cs="Times New Roman"/>
          <w:sz w:val="24"/>
          <w:szCs w:val="24"/>
        </w:rPr>
        <w:t>。</w:t>
      </w:r>
    </w:p>
    <w:p w14:paraId="0056BE3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w:t>
      </w:r>
      <w:r>
        <w:rPr>
          <w:rFonts w:hint="eastAsia" w:ascii="Times New Roman" w:hAnsi="Times New Roman" w:eastAsia="宋体" w:cs="Times New Roman"/>
          <w:sz w:val="24"/>
          <w:szCs w:val="24"/>
        </w:rPr>
        <w:t>课堂教学设计</w:t>
      </w:r>
      <w:r>
        <w:rPr>
          <w:rFonts w:ascii="Times New Roman" w:hAnsi="Times New Roman" w:eastAsia="宋体" w:cs="Times New Roman"/>
          <w:sz w:val="24"/>
          <w:szCs w:val="24"/>
        </w:rPr>
        <w:t>采用</w:t>
      </w:r>
      <w:r>
        <w:rPr>
          <w:rFonts w:hint="eastAsia" w:ascii="Times New Roman" w:hAnsi="Times New Roman" w:eastAsia="宋体" w:cs="Times New Roman"/>
          <w:sz w:val="24"/>
          <w:szCs w:val="24"/>
        </w:rPr>
        <w:t>问题</w:t>
      </w:r>
      <w:r>
        <w:rPr>
          <w:rFonts w:ascii="Times New Roman" w:hAnsi="Times New Roman" w:eastAsia="宋体" w:cs="Times New Roman"/>
          <w:sz w:val="24"/>
          <w:szCs w:val="24"/>
        </w:rPr>
        <w:t>教学</w:t>
      </w:r>
      <w:r>
        <w:rPr>
          <w:rFonts w:hint="eastAsia" w:ascii="Times New Roman" w:hAnsi="Times New Roman" w:eastAsia="宋体" w:cs="Times New Roman"/>
          <w:sz w:val="24"/>
          <w:szCs w:val="24"/>
        </w:rPr>
        <w:t>模式</w:t>
      </w:r>
      <w:r>
        <w:rPr>
          <w:rFonts w:ascii="Times New Roman" w:hAnsi="Times New Roman" w:eastAsia="宋体" w:cs="Times New Roman"/>
          <w:sz w:val="24"/>
          <w:szCs w:val="24"/>
        </w:rPr>
        <w:t>，</w:t>
      </w:r>
      <w:r>
        <w:rPr>
          <w:rFonts w:hint="eastAsia" w:ascii="Times New Roman" w:hAnsi="Times New Roman" w:eastAsia="宋体" w:cs="Times New Roman"/>
          <w:sz w:val="24"/>
          <w:szCs w:val="24"/>
        </w:rPr>
        <w:t>以问题为核心，展开教学内容，最后以解决问题为目标</w:t>
      </w:r>
      <w:r>
        <w:rPr>
          <w:rFonts w:ascii="Times New Roman" w:hAnsi="Times New Roman" w:eastAsia="宋体" w:cs="Times New Roman"/>
          <w:sz w:val="24"/>
          <w:szCs w:val="24"/>
        </w:rPr>
        <w:t>。</w:t>
      </w:r>
    </w:p>
    <w:p w14:paraId="2D832D7A">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（四）主要教学环节的质量要求如表所示。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6535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1695606F">
            <w:pPr>
              <w:spacing w:line="276" w:lineRule="auto"/>
              <w:jc w:val="center"/>
              <w:rPr>
                <w:rFonts w:ascii="Times New Roman" w:hAnsi="Times New Roman" w:eastAsia="宋体" w:cs="Times New Roman"/>
                <w:b/>
                <w:szCs w:val="21"/>
              </w:rPr>
            </w:pPr>
            <w:r>
              <w:rPr>
                <w:rFonts w:ascii="Times New Roman" w:hAnsi="Times New Roman" w:eastAsia="宋体" w:cs="Times New Roman"/>
                <w:b/>
                <w:bCs/>
                <w:szCs w:val="21"/>
              </w:rPr>
              <w:t>主要教学环节</w:t>
            </w:r>
          </w:p>
        </w:tc>
        <w:tc>
          <w:tcPr>
            <w:tcW w:w="6817" w:type="dxa"/>
            <w:tcBorders>
              <w:top w:val="single" w:color="auto" w:sz="8" w:space="0"/>
              <w:left w:val="single" w:color="auto" w:sz="8" w:space="0"/>
              <w:right w:val="single" w:color="auto" w:sz="8" w:space="0"/>
            </w:tcBorders>
            <w:vAlign w:val="center"/>
          </w:tcPr>
          <w:p w14:paraId="4D6B6E0C">
            <w:pPr>
              <w:spacing w:line="276" w:lineRule="auto"/>
              <w:jc w:val="center"/>
              <w:rPr>
                <w:rFonts w:ascii="Times New Roman" w:hAnsi="Times New Roman" w:eastAsia="宋体" w:cs="Times New Roman"/>
                <w:b/>
                <w:szCs w:val="21"/>
              </w:rPr>
            </w:pPr>
            <w:r>
              <w:rPr>
                <w:rFonts w:ascii="Times New Roman" w:hAnsi="Times New Roman" w:eastAsia="宋体" w:cs="Times New Roman"/>
                <w:b/>
                <w:bCs/>
                <w:szCs w:val="21"/>
              </w:rPr>
              <w:t>质量</w:t>
            </w:r>
            <w:r>
              <w:rPr>
                <w:rFonts w:hint="eastAsia" w:ascii="Times New Roman" w:hAnsi="Times New Roman" w:eastAsia="宋体" w:cs="Times New Roman"/>
                <w:b/>
                <w:bCs/>
                <w:szCs w:val="21"/>
              </w:rPr>
              <w:t>要求</w:t>
            </w:r>
          </w:p>
        </w:tc>
      </w:tr>
      <w:tr w14:paraId="2D3B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33912B0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701" w:type="dxa"/>
            <w:tcMar>
              <w:left w:w="28" w:type="dxa"/>
              <w:right w:w="28" w:type="dxa"/>
            </w:tcMar>
            <w:vAlign w:val="center"/>
          </w:tcPr>
          <w:p w14:paraId="3B3F382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817" w:type="dxa"/>
            <w:tcBorders>
              <w:right w:val="single" w:color="auto" w:sz="8" w:space="0"/>
            </w:tcBorders>
            <w:vAlign w:val="center"/>
          </w:tcPr>
          <w:p w14:paraId="7E59E51E">
            <w:pPr>
              <w:spacing w:line="276" w:lineRule="auto"/>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（1）掌握本课程教学大纲内容，严格按照教学大纲要求进行课程教学内容的组织。</w:t>
            </w:r>
          </w:p>
          <w:p w14:paraId="5AE3FEDE">
            <w:pPr>
              <w:spacing w:line="276" w:lineRule="auto"/>
              <w:rPr>
                <w:rFonts w:ascii="Times New Roman" w:hAnsi="Times New Roman" w:eastAsia="宋体" w:cs="Times New Roman"/>
                <w:szCs w:val="21"/>
              </w:rPr>
            </w:pPr>
            <w:r>
              <w:rPr>
                <w:rFonts w:ascii="Times New Roman" w:hAnsi="Times New Roman" w:eastAsia="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3AA2B64">
            <w:pPr>
              <w:spacing w:line="276"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各部分</w:t>
            </w:r>
            <w:r>
              <w:rPr>
                <w:rFonts w:hint="eastAsia" w:ascii="Times New Roman" w:hAnsi="Times New Roman" w:eastAsia="宋体" w:cs="Times New Roman"/>
                <w:szCs w:val="21"/>
              </w:rPr>
              <w:t>教学</w:t>
            </w:r>
            <w:r>
              <w:rPr>
                <w:rFonts w:ascii="Times New Roman" w:hAnsi="Times New Roman" w:eastAsia="宋体" w:cs="Times New Roman"/>
                <w:szCs w:val="21"/>
              </w:rPr>
              <w:t>内容</w:t>
            </w:r>
            <w:r>
              <w:rPr>
                <w:rFonts w:hint="eastAsia" w:ascii="Times New Roman" w:hAnsi="Times New Roman" w:eastAsia="宋体" w:cs="Times New Roman"/>
                <w:szCs w:val="21"/>
              </w:rPr>
              <w:t>，</w:t>
            </w:r>
            <w:r>
              <w:rPr>
                <w:rFonts w:ascii="Times New Roman" w:hAnsi="Times New Roman" w:eastAsia="宋体" w:cs="Times New Roman"/>
                <w:szCs w:val="21"/>
              </w:rPr>
              <w:t>构思授课思路、技巧</w:t>
            </w:r>
            <w:r>
              <w:rPr>
                <w:rFonts w:hint="eastAsia" w:ascii="Times New Roman" w:hAnsi="Times New Roman" w:eastAsia="宋体" w:cs="Times New Roman"/>
                <w:szCs w:val="21"/>
              </w:rPr>
              <w:t>，选择合适的</w:t>
            </w:r>
            <w:r>
              <w:rPr>
                <w:rFonts w:ascii="Times New Roman" w:hAnsi="Times New Roman" w:eastAsia="宋体" w:cs="Times New Roman"/>
                <w:szCs w:val="21"/>
              </w:rPr>
              <w:t>教学方法。</w:t>
            </w:r>
          </w:p>
        </w:tc>
      </w:tr>
      <w:tr w14:paraId="57FE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6FE8790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701" w:type="dxa"/>
            <w:tcMar>
              <w:left w:w="28" w:type="dxa"/>
              <w:right w:w="28" w:type="dxa"/>
            </w:tcMar>
            <w:vAlign w:val="center"/>
          </w:tcPr>
          <w:p w14:paraId="108F496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817" w:type="dxa"/>
            <w:tcBorders>
              <w:right w:val="single" w:color="auto" w:sz="8" w:space="0"/>
            </w:tcBorders>
            <w:vAlign w:val="center"/>
          </w:tcPr>
          <w:p w14:paraId="60445A1C">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要点准确</w:t>
            </w:r>
            <w:r>
              <w:rPr>
                <w:rFonts w:hint="eastAsia" w:ascii="Times New Roman" w:hAnsi="Times New Roman" w:eastAsia="宋体" w:cs="Times New Roman"/>
                <w:szCs w:val="21"/>
              </w:rPr>
              <w:t>、</w:t>
            </w:r>
            <w:r>
              <w:rPr>
                <w:rFonts w:ascii="Times New Roman" w:hAnsi="Times New Roman" w:eastAsia="宋体" w:cs="Times New Roman"/>
                <w:szCs w:val="21"/>
              </w:rPr>
              <w:t>推理正确</w:t>
            </w:r>
            <w:r>
              <w:rPr>
                <w:rFonts w:hint="eastAsia" w:ascii="Times New Roman" w:hAnsi="Times New Roman" w:eastAsia="宋体" w:cs="Times New Roman"/>
                <w:szCs w:val="21"/>
              </w:rPr>
              <w:t>、</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能够</w:t>
            </w:r>
            <w:r>
              <w:rPr>
                <w:rFonts w:ascii="Times New Roman" w:hAnsi="Times New Roman" w:eastAsia="宋体" w:cs="Times New Roman"/>
                <w:szCs w:val="21"/>
              </w:rPr>
              <w:t>理论联系实际，</w:t>
            </w:r>
            <w:r>
              <w:rPr>
                <w:rFonts w:hint="eastAsia" w:ascii="Times New Roman" w:hAnsi="Times New Roman" w:eastAsia="宋体" w:cs="Times New Roman"/>
                <w:szCs w:val="21"/>
              </w:rPr>
              <w:t>解答学生的实际问题</w:t>
            </w:r>
            <w:r>
              <w:rPr>
                <w:rFonts w:ascii="Times New Roman" w:hAnsi="Times New Roman" w:eastAsia="宋体" w:cs="Times New Roman"/>
                <w:szCs w:val="21"/>
              </w:rPr>
              <w:t>。</w:t>
            </w:r>
          </w:p>
          <w:p w14:paraId="552A5553">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采用多种教学方式（如启发式教学、案例分析教学、讨论式教学、多媒体示范教学等），注重培养学生发现、分析和解决问题的能力。</w:t>
            </w:r>
          </w:p>
          <w:p w14:paraId="10279CC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（3）能够采用现代信息技术辅助</w:t>
            </w:r>
            <w:r>
              <w:rPr>
                <w:rFonts w:ascii="Times New Roman" w:hAnsi="Times New Roman" w:eastAsia="宋体" w:cs="Times New Roman"/>
                <w:szCs w:val="21"/>
              </w:rPr>
              <w:t>教学。</w:t>
            </w:r>
          </w:p>
          <w:p w14:paraId="079AD476">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表达方式</w:t>
            </w:r>
            <w:r>
              <w:rPr>
                <w:rFonts w:hint="eastAsia" w:ascii="Times New Roman" w:hAnsi="Times New Roman" w:eastAsia="宋体" w:cs="Times New Roman"/>
                <w:szCs w:val="21"/>
              </w:rPr>
              <w:t>应能</w:t>
            </w:r>
            <w:r>
              <w:rPr>
                <w:rFonts w:ascii="Times New Roman" w:hAnsi="Times New Roman" w:eastAsia="宋体" w:cs="Times New Roman"/>
                <w:szCs w:val="21"/>
              </w:rPr>
              <w:t>便于学生理解、接受，力求形象生动，使学生在掌握知识的过程中，保持较为浓厚的</w:t>
            </w:r>
            <w:r>
              <w:rPr>
                <w:rFonts w:hint="eastAsia" w:ascii="Times New Roman" w:hAnsi="Times New Roman" w:eastAsia="宋体" w:cs="Times New Roman"/>
                <w:szCs w:val="21"/>
              </w:rPr>
              <w:t>学习</w:t>
            </w:r>
            <w:r>
              <w:rPr>
                <w:rFonts w:ascii="Times New Roman" w:hAnsi="Times New Roman" w:eastAsia="宋体" w:cs="Times New Roman"/>
                <w:szCs w:val="21"/>
              </w:rPr>
              <w:t>兴趣。</w:t>
            </w:r>
          </w:p>
        </w:tc>
      </w:tr>
      <w:tr w14:paraId="5A5D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vAlign w:val="center"/>
          </w:tcPr>
          <w:p w14:paraId="7289F37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701" w:type="dxa"/>
            <w:tcMar>
              <w:left w:w="28" w:type="dxa"/>
              <w:right w:w="28" w:type="dxa"/>
            </w:tcMar>
            <w:vAlign w:val="center"/>
          </w:tcPr>
          <w:p w14:paraId="3867ADC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817" w:type="dxa"/>
            <w:tcBorders>
              <w:right w:val="single" w:color="auto" w:sz="8" w:space="0"/>
            </w:tcBorders>
            <w:vAlign w:val="center"/>
          </w:tcPr>
          <w:p w14:paraId="2724CE50">
            <w:pPr>
              <w:spacing w:line="276" w:lineRule="auto"/>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6B26FF65">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6212907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（2）作业有自己的观点</w:t>
            </w:r>
            <w:r>
              <w:rPr>
                <w:rFonts w:ascii="Times New Roman" w:hAnsi="Times New Roman" w:eastAsia="宋体" w:cs="Times New Roman"/>
                <w:szCs w:val="21"/>
              </w:rPr>
              <w:t>。</w:t>
            </w:r>
          </w:p>
          <w:p w14:paraId="7CF4C41A">
            <w:pPr>
              <w:spacing w:line="276" w:lineRule="auto"/>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3C147A12">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w:t>
            </w:r>
            <w:r>
              <w:rPr>
                <w:rFonts w:hint="eastAsia" w:ascii="Times New Roman" w:hAnsi="Times New Roman" w:eastAsia="宋体" w:cs="Times New Roman"/>
                <w:szCs w:val="21"/>
              </w:rPr>
              <w:t>。</w:t>
            </w:r>
          </w:p>
          <w:p w14:paraId="5A5288D5">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40C83C15">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作为本课程总评成绩中平时成绩的重要组成部分。</w:t>
            </w:r>
          </w:p>
        </w:tc>
      </w:tr>
      <w:tr w14:paraId="4171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08D0B6F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701" w:type="dxa"/>
            <w:tcMar>
              <w:left w:w="28" w:type="dxa"/>
              <w:right w:w="28" w:type="dxa"/>
            </w:tcMar>
            <w:vAlign w:val="center"/>
          </w:tcPr>
          <w:p w14:paraId="3F7D919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817" w:type="dxa"/>
            <w:tcBorders>
              <w:right w:val="single" w:color="auto" w:sz="8" w:space="0"/>
            </w:tcBorders>
            <w:vAlign w:val="center"/>
          </w:tcPr>
          <w:p w14:paraId="6B9BD84C">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充分利用网络课程，补充知识学习的同时，完成答疑工作，</w:t>
            </w:r>
            <w:r>
              <w:rPr>
                <w:rFonts w:ascii="Times New Roman" w:hAnsi="Times New Roman" w:eastAsia="宋体" w:cs="Times New Roman"/>
                <w:szCs w:val="21"/>
              </w:rPr>
              <w:t>任课教师</w:t>
            </w:r>
            <w:r>
              <w:rPr>
                <w:rFonts w:hint="eastAsia" w:ascii="Times New Roman" w:hAnsi="Times New Roman" w:eastAsia="宋体" w:cs="Times New Roman"/>
                <w:szCs w:val="21"/>
              </w:rPr>
              <w:t>需</w:t>
            </w:r>
            <w:r>
              <w:rPr>
                <w:rFonts w:ascii="Times New Roman" w:hAnsi="Times New Roman" w:eastAsia="宋体" w:cs="Times New Roman"/>
                <w:szCs w:val="21"/>
              </w:rPr>
              <w:t>每周安排</w:t>
            </w:r>
            <w:r>
              <w:rPr>
                <w:rFonts w:hint="eastAsia" w:ascii="Times New Roman" w:hAnsi="Times New Roman" w:eastAsia="宋体" w:cs="Times New Roman"/>
                <w:szCs w:val="21"/>
              </w:rPr>
              <w:t>一定</w:t>
            </w:r>
            <w:r>
              <w:rPr>
                <w:rFonts w:ascii="Times New Roman" w:hAnsi="Times New Roman" w:eastAsia="宋体" w:cs="Times New Roman"/>
                <w:szCs w:val="21"/>
              </w:rPr>
              <w:t>时间进行课外答疑与辅导。</w:t>
            </w:r>
          </w:p>
        </w:tc>
      </w:tr>
      <w:tr w14:paraId="0D59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vAlign w:val="center"/>
          </w:tcPr>
          <w:p w14:paraId="7E6D4A6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1701" w:type="dxa"/>
            <w:tcMar>
              <w:left w:w="28" w:type="dxa"/>
              <w:right w:w="28" w:type="dxa"/>
            </w:tcMar>
            <w:vAlign w:val="center"/>
          </w:tcPr>
          <w:p w14:paraId="5F32ED9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817" w:type="dxa"/>
            <w:tcBorders>
              <w:right w:val="single" w:color="auto" w:sz="8" w:space="0"/>
            </w:tcBorders>
            <w:vAlign w:val="center"/>
          </w:tcPr>
          <w:p w14:paraId="0B9B8F02">
            <w:pPr>
              <w:spacing w:line="276" w:lineRule="auto"/>
              <w:rPr>
                <w:rFonts w:ascii="Times New Roman" w:hAnsi="Times New Roman" w:eastAsia="宋体" w:cs="Times New Roman"/>
                <w:szCs w:val="21"/>
              </w:rPr>
            </w:pPr>
            <w:r>
              <w:rPr>
                <w:rFonts w:ascii="Times New Roman" w:hAnsi="Times New Roman" w:eastAsia="宋体" w:cs="Times New Roman"/>
                <w:szCs w:val="21"/>
              </w:rPr>
              <w:t>本课程考核的方式</w:t>
            </w:r>
            <w:r>
              <w:rPr>
                <w:rFonts w:hint="eastAsia" w:ascii="Times New Roman" w:hAnsi="Times New Roman" w:eastAsia="宋体" w:cs="Times New Roman"/>
                <w:szCs w:val="21"/>
              </w:rPr>
              <w:t>为闭卷笔试</w:t>
            </w:r>
            <w:r>
              <w:rPr>
                <w:rFonts w:ascii="Times New Roman" w:hAnsi="Times New Roman" w:eastAsia="宋体" w:cs="Times New Roman"/>
                <w:szCs w:val="21"/>
              </w:rPr>
              <w:t>。考试采取教考分离，监考</w:t>
            </w:r>
            <w:r>
              <w:rPr>
                <w:rFonts w:hint="eastAsia" w:ascii="Times New Roman" w:hAnsi="Times New Roman" w:eastAsia="宋体" w:cs="Times New Roman"/>
                <w:szCs w:val="21"/>
              </w:rPr>
              <w:t>由学院</w:t>
            </w:r>
            <w:r>
              <w:rPr>
                <w:rFonts w:ascii="Times New Roman" w:hAnsi="Times New Roman" w:eastAsia="宋体" w:cs="Times New Roman"/>
                <w:szCs w:val="21"/>
              </w:rPr>
              <w:t>统一安排。</w:t>
            </w:r>
          </w:p>
          <w:p w14:paraId="0E01E730">
            <w:pPr>
              <w:spacing w:line="276" w:lineRule="auto"/>
              <w:rPr>
                <w:rFonts w:ascii="Times New Roman" w:hAnsi="Times New Roman" w:eastAsia="宋体" w:cs="Times New Roman"/>
                <w:szCs w:val="21"/>
              </w:rPr>
            </w:pPr>
            <w:r>
              <w:rPr>
                <w:rFonts w:ascii="Times New Roman" w:hAnsi="Times New Roman" w:eastAsia="宋体" w:cs="Times New Roman"/>
                <w:szCs w:val="21"/>
              </w:rPr>
              <w:t>有下列情况之一者，总评成绩为不及格：</w:t>
            </w:r>
          </w:p>
          <w:p w14:paraId="12B6DA7D">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缺交作业次数达1/3以上者</w:t>
            </w:r>
            <w:r>
              <w:rPr>
                <w:rFonts w:hint="eastAsia" w:ascii="Times New Roman" w:hAnsi="Times New Roman" w:eastAsia="宋体" w:cs="Times New Roman"/>
                <w:szCs w:val="21"/>
              </w:rPr>
              <w:t>。</w:t>
            </w:r>
          </w:p>
          <w:p w14:paraId="4F86F23A">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缺课次数达本学期总授课学时的1/3以上者</w:t>
            </w:r>
            <w:r>
              <w:rPr>
                <w:rFonts w:hint="eastAsia" w:ascii="Times New Roman" w:hAnsi="Times New Roman" w:eastAsia="宋体" w:cs="Times New Roman"/>
                <w:szCs w:val="21"/>
              </w:rPr>
              <w:t>。</w:t>
            </w:r>
          </w:p>
        </w:tc>
      </w:tr>
    </w:tbl>
    <w:p w14:paraId="520AADE6">
      <w:pPr>
        <w:spacing w:line="360" w:lineRule="auto"/>
        <w:ind w:firstLine="562" w:firstLineChars="200"/>
        <w:rPr>
          <w:rFonts w:ascii="Times New Roman" w:hAnsi="Times New Roman" w:eastAsia="宋体" w:cs="Times New Roman"/>
          <w:b/>
          <w:sz w:val="28"/>
          <w:szCs w:val="28"/>
        </w:rPr>
      </w:pPr>
    </w:p>
    <w:p w14:paraId="7E806A87">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六、考核方式</w:t>
      </w:r>
    </w:p>
    <w:p w14:paraId="6673C9D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课程考核包括期末考试、平时及作业情况考核和实验考核，期末考试采用闭卷笔试。</w:t>
      </w:r>
    </w:p>
    <w:p w14:paraId="0CF5AB8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课程成绩=平时成绩×30%+实验成绩×</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0%+期末考试成绩×50%。</w:t>
      </w:r>
    </w:p>
    <w:p w14:paraId="4ED9A4B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p w14:paraId="18E03174">
      <w:pPr>
        <w:spacing w:line="360" w:lineRule="auto"/>
        <w:ind w:firstLine="480" w:firstLineChars="200"/>
        <w:rPr>
          <w:rFonts w:ascii="Times New Roman" w:hAnsi="Times New Roman" w:eastAsia="宋体" w:cs="Times New Roman"/>
          <w:sz w:val="24"/>
          <w:szCs w:val="24"/>
        </w:rPr>
      </w:pPr>
    </w:p>
    <w:p w14:paraId="6FE91642">
      <w:pPr>
        <w:spacing w:line="360" w:lineRule="auto"/>
        <w:ind w:firstLine="480" w:firstLineChars="200"/>
        <w:rPr>
          <w:rFonts w:ascii="Times New Roman" w:hAnsi="Times New Roman" w:eastAsia="宋体" w:cs="Times New Roman"/>
          <w:sz w:val="24"/>
          <w:szCs w:val="24"/>
        </w:rPr>
      </w:pPr>
    </w:p>
    <w:p w14:paraId="13C29BA5">
      <w:pPr>
        <w:spacing w:line="360" w:lineRule="auto"/>
        <w:ind w:firstLine="480" w:firstLineChars="200"/>
        <w:rPr>
          <w:rFonts w:ascii="Times New Roman" w:hAnsi="Times New Roman" w:eastAsia="宋体" w:cs="Times New Roman"/>
          <w:sz w:val="24"/>
          <w:szCs w:val="24"/>
        </w:rPr>
      </w:pPr>
    </w:p>
    <w:p w14:paraId="07C8981C">
      <w:pPr>
        <w:spacing w:line="360" w:lineRule="auto"/>
        <w:ind w:firstLine="480" w:firstLineChars="200"/>
        <w:rPr>
          <w:rFonts w:ascii="Times New Roman" w:hAnsi="Times New Roman" w:eastAsia="宋体" w:cs="Times New Roman"/>
          <w:sz w:val="24"/>
          <w:szCs w:val="24"/>
        </w:rPr>
      </w:pPr>
    </w:p>
    <w:p w14:paraId="5C57E15C">
      <w:pPr>
        <w:spacing w:line="360" w:lineRule="auto"/>
        <w:ind w:firstLine="480" w:firstLineChars="200"/>
        <w:rPr>
          <w:rFonts w:ascii="Times New Roman" w:hAnsi="Times New Roman" w:eastAsia="宋体" w:cs="Times New Roman"/>
          <w:sz w:val="24"/>
          <w:szCs w:val="24"/>
        </w:rPr>
      </w:pPr>
    </w:p>
    <w:p w14:paraId="25BE3B0A">
      <w:pPr>
        <w:spacing w:line="360" w:lineRule="auto"/>
        <w:ind w:firstLine="480" w:firstLineChars="200"/>
        <w:rPr>
          <w:rFonts w:ascii="Times New Roman" w:hAnsi="Times New Roman" w:eastAsia="宋体" w:cs="Times New Roman"/>
          <w:sz w:val="24"/>
          <w:szCs w:val="24"/>
        </w:rPr>
      </w:pPr>
    </w:p>
    <w:tbl>
      <w:tblPr>
        <w:tblStyle w:val="30"/>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78"/>
        <w:gridCol w:w="708"/>
        <w:gridCol w:w="2897"/>
        <w:gridCol w:w="1214"/>
        <w:gridCol w:w="1418"/>
        <w:gridCol w:w="770"/>
      </w:tblGrid>
      <w:tr w14:paraId="365F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shd w:val="clear" w:color="auto" w:fill="FFFFFF"/>
            <w:tcMar>
              <w:left w:w="57" w:type="dxa"/>
              <w:right w:w="57" w:type="dxa"/>
            </w:tcMar>
            <w:vAlign w:val="center"/>
          </w:tcPr>
          <w:p w14:paraId="0DEB8C94">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1078" w:type="dxa"/>
            <w:shd w:val="clear" w:color="auto" w:fill="FFFFFF"/>
            <w:vAlign w:val="center"/>
          </w:tcPr>
          <w:p w14:paraId="661E2717">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708" w:type="dxa"/>
            <w:shd w:val="clear" w:color="auto" w:fill="FFFFFF"/>
            <w:vAlign w:val="center"/>
          </w:tcPr>
          <w:p w14:paraId="5B593945">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2897" w:type="dxa"/>
            <w:shd w:val="clear" w:color="auto" w:fill="FFFFFF"/>
            <w:vAlign w:val="center"/>
          </w:tcPr>
          <w:p w14:paraId="6EC5A8DD">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214" w:type="dxa"/>
            <w:shd w:val="clear" w:color="auto" w:fill="FFFFFF"/>
            <w:vAlign w:val="center"/>
          </w:tcPr>
          <w:p w14:paraId="12BF926D">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课程目标</w:t>
            </w:r>
          </w:p>
        </w:tc>
        <w:tc>
          <w:tcPr>
            <w:tcW w:w="1418" w:type="dxa"/>
            <w:shd w:val="clear" w:color="auto" w:fill="FFFFFF"/>
            <w:vAlign w:val="center"/>
          </w:tcPr>
          <w:p w14:paraId="6D365676">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考核内容</w:t>
            </w:r>
          </w:p>
        </w:tc>
        <w:tc>
          <w:tcPr>
            <w:tcW w:w="770" w:type="dxa"/>
            <w:shd w:val="clear" w:color="auto" w:fill="FFFFFF"/>
            <w:vAlign w:val="center"/>
          </w:tcPr>
          <w:p w14:paraId="6C075E01">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r>
      <w:tr w14:paraId="1499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1044" w:type="dxa"/>
            <w:tcMar>
              <w:left w:w="57" w:type="dxa"/>
              <w:right w:w="57" w:type="dxa"/>
            </w:tcMar>
            <w:vAlign w:val="center"/>
          </w:tcPr>
          <w:p w14:paraId="5B85CD38">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平时成绩</w:t>
            </w:r>
          </w:p>
        </w:tc>
        <w:tc>
          <w:tcPr>
            <w:tcW w:w="1078" w:type="dxa"/>
            <w:vAlign w:val="center"/>
          </w:tcPr>
          <w:p w14:paraId="5D8077D5">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平时作业</w:t>
            </w:r>
          </w:p>
          <w:p w14:paraId="57AF48BA">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考勤及课堂表现</w:t>
            </w:r>
          </w:p>
        </w:tc>
        <w:tc>
          <w:tcPr>
            <w:tcW w:w="708" w:type="dxa"/>
            <w:vAlign w:val="center"/>
          </w:tcPr>
          <w:p w14:paraId="02DF5008">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30%</w:t>
            </w:r>
          </w:p>
        </w:tc>
        <w:tc>
          <w:tcPr>
            <w:tcW w:w="2897" w:type="dxa"/>
            <w:vAlign w:val="center"/>
          </w:tcPr>
          <w:p w14:paraId="32A1744E">
            <w:pPr>
              <w:spacing w:line="276" w:lineRule="auto"/>
              <w:rPr>
                <w:rFonts w:ascii="Times New Roman" w:hAnsi="Times New Roman" w:eastAsia="宋体" w:cs="Times New Roman"/>
                <w:szCs w:val="24"/>
              </w:rPr>
            </w:pPr>
            <w:r>
              <w:rPr>
                <w:rFonts w:ascii="Times New Roman" w:hAnsi="Times New Roman" w:eastAsia="宋体" w:cs="Times New Roman"/>
                <w:szCs w:val="24"/>
              </w:rPr>
              <w:t>课后</w:t>
            </w:r>
            <w:r>
              <w:rPr>
                <w:rFonts w:hint="eastAsia" w:ascii="Times New Roman" w:hAnsi="Times New Roman" w:eastAsia="宋体" w:cs="Times New Roman"/>
                <w:szCs w:val="24"/>
              </w:rPr>
              <w:t>根据网络课程学习情况，统计学习时间，视频观看以及讨论情况，并</w:t>
            </w:r>
            <w:r>
              <w:rPr>
                <w:rFonts w:ascii="Times New Roman" w:hAnsi="Times New Roman" w:eastAsia="宋体" w:cs="Times New Roman"/>
                <w:szCs w:val="24"/>
              </w:rPr>
              <w:t>完成</w:t>
            </w:r>
            <w:r>
              <w:rPr>
                <w:rFonts w:hint="eastAsia" w:ascii="Times New Roman" w:hAnsi="Times New Roman" w:eastAsia="宋体" w:cs="Times New Roman"/>
                <w:szCs w:val="24"/>
              </w:rPr>
              <w:t>课后</w:t>
            </w:r>
            <w:r>
              <w:rPr>
                <w:rFonts w:ascii="Times New Roman" w:hAnsi="Times New Roman" w:eastAsia="宋体" w:cs="Times New Roman"/>
                <w:szCs w:val="24"/>
              </w:rPr>
              <w:t>习题，主要考核学生对每节课知识点的复习、理解和掌握程度，计算全部作业的平均成绩再按20%计入总成绩。</w:t>
            </w:r>
          </w:p>
          <w:p w14:paraId="09D0C44F">
            <w:pPr>
              <w:spacing w:line="276" w:lineRule="auto"/>
              <w:rPr>
                <w:rFonts w:ascii="Times New Roman" w:hAnsi="Times New Roman" w:eastAsia="宋体" w:cs="Times New Roman"/>
                <w:szCs w:val="24"/>
              </w:rPr>
            </w:pPr>
            <w:r>
              <w:rPr>
                <w:rFonts w:ascii="Times New Roman" w:hAnsi="Times New Roman" w:eastAsia="宋体" w:cs="Times New Roman"/>
                <w:color w:val="000000"/>
                <w:szCs w:val="21"/>
              </w:rPr>
              <w:t>以随机的形式，</w:t>
            </w:r>
            <w:r>
              <w:rPr>
                <w:rFonts w:hint="eastAsia" w:ascii="Times New Roman" w:hAnsi="Times New Roman" w:eastAsia="宋体" w:cs="Times New Roman"/>
                <w:color w:val="000000"/>
                <w:szCs w:val="21"/>
              </w:rPr>
              <w:t>在课堂上根据教学内容提出思考问题，</w:t>
            </w:r>
            <w:r>
              <w:rPr>
                <w:rFonts w:ascii="Times New Roman" w:hAnsi="Times New Roman" w:eastAsia="宋体" w:cs="Times New Roman"/>
                <w:color w:val="000000"/>
                <w:szCs w:val="21"/>
              </w:rPr>
              <w:t>主要考核学生课堂的听课效果和</w:t>
            </w:r>
            <w:r>
              <w:rPr>
                <w:rFonts w:hint="eastAsia" w:ascii="Times New Roman" w:hAnsi="Times New Roman" w:eastAsia="宋体" w:cs="Times New Roman"/>
                <w:color w:val="000000"/>
                <w:szCs w:val="21"/>
              </w:rPr>
              <w:t>对所学</w:t>
            </w:r>
            <w:r>
              <w:rPr>
                <w:rFonts w:ascii="Times New Roman" w:hAnsi="Times New Roman" w:eastAsia="宋体" w:cs="Times New Roman"/>
                <w:color w:val="000000"/>
                <w:szCs w:val="21"/>
              </w:rPr>
              <w:t>知识的</w:t>
            </w:r>
            <w:r>
              <w:rPr>
                <w:rFonts w:hint="eastAsia" w:ascii="Times New Roman" w:hAnsi="Times New Roman" w:eastAsia="宋体" w:cs="Times New Roman"/>
                <w:color w:val="000000"/>
                <w:szCs w:val="21"/>
              </w:rPr>
              <w:t>运用</w:t>
            </w:r>
            <w:r>
              <w:rPr>
                <w:rFonts w:ascii="Times New Roman" w:hAnsi="Times New Roman" w:eastAsia="宋体" w:cs="Times New Roman"/>
                <w:color w:val="000000"/>
                <w:szCs w:val="21"/>
              </w:rPr>
              <w:t>能力</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，最后按10%计入课程总成绩。</w:t>
            </w:r>
          </w:p>
        </w:tc>
        <w:tc>
          <w:tcPr>
            <w:tcW w:w="1214" w:type="dxa"/>
            <w:vAlign w:val="center"/>
          </w:tcPr>
          <w:p w14:paraId="17500B38">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0DABA2AF">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4DBE0C82">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22A66FB7">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课程目标4</w:t>
            </w:r>
          </w:p>
        </w:tc>
        <w:tc>
          <w:tcPr>
            <w:tcW w:w="1418" w:type="dxa"/>
          </w:tcPr>
          <w:p w14:paraId="42280EF1">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对心理过程和个性心理的结构的理解与掌握，形成良好的儿童发展观，能结合学生实际提出相应的建议。</w:t>
            </w:r>
          </w:p>
        </w:tc>
        <w:tc>
          <w:tcPr>
            <w:tcW w:w="770" w:type="dxa"/>
            <w:vAlign w:val="center"/>
          </w:tcPr>
          <w:p w14:paraId="00DAE719">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2-2</w:t>
            </w:r>
          </w:p>
          <w:p w14:paraId="5B24A9E7">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2-3</w:t>
            </w:r>
          </w:p>
          <w:p w14:paraId="0E09B799">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4-1</w:t>
            </w:r>
          </w:p>
          <w:p w14:paraId="092DA837">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5-1</w:t>
            </w:r>
          </w:p>
          <w:p w14:paraId="0B4CB72B">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5-2</w:t>
            </w:r>
          </w:p>
          <w:p w14:paraId="605E6CB0">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5-3</w:t>
            </w:r>
          </w:p>
          <w:p w14:paraId="2C6333C9">
            <w:pPr>
              <w:spacing w:line="276" w:lineRule="auto"/>
              <w:jc w:val="center"/>
              <w:rPr>
                <w:rFonts w:ascii="Times New Roman" w:hAnsi="Times New Roman" w:eastAsia="宋体" w:cs="Times New Roman"/>
                <w:szCs w:val="24"/>
              </w:rPr>
            </w:pPr>
            <w:r>
              <w:rPr>
                <w:rFonts w:hint="eastAsia" w:ascii="Times New Roman" w:hAnsi="Times New Roman" w:eastAsia="宋体" w:cs="Times New Roman"/>
                <w:color w:val="000000"/>
                <w:szCs w:val="21"/>
              </w:rPr>
              <w:t>6-1</w:t>
            </w:r>
          </w:p>
        </w:tc>
      </w:tr>
      <w:tr w14:paraId="6825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1044" w:type="dxa"/>
            <w:tcMar>
              <w:left w:w="57" w:type="dxa"/>
              <w:right w:w="57" w:type="dxa"/>
            </w:tcMar>
            <w:vAlign w:val="center"/>
          </w:tcPr>
          <w:p w14:paraId="543A3A21">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实验成绩</w:t>
            </w:r>
          </w:p>
        </w:tc>
        <w:tc>
          <w:tcPr>
            <w:tcW w:w="1078" w:type="dxa"/>
            <w:vAlign w:val="center"/>
          </w:tcPr>
          <w:p w14:paraId="00524D88">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课程实验</w:t>
            </w:r>
          </w:p>
        </w:tc>
        <w:tc>
          <w:tcPr>
            <w:tcW w:w="708" w:type="dxa"/>
            <w:vAlign w:val="center"/>
          </w:tcPr>
          <w:p w14:paraId="2339F1E8">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c>
          <w:tcPr>
            <w:tcW w:w="2897" w:type="dxa"/>
            <w:vAlign w:val="center"/>
          </w:tcPr>
          <w:p w14:paraId="04697A88">
            <w:pPr>
              <w:spacing w:line="276"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完成7个实验，主要考核学生</w:t>
            </w:r>
            <w:r>
              <w:rPr>
                <w:rFonts w:hint="eastAsia" w:ascii="Times New Roman" w:hAnsi="Times New Roman" w:eastAsia="宋体" w:cs="Times New Roman"/>
                <w:color w:val="000000"/>
                <w:szCs w:val="21"/>
              </w:rPr>
              <w:t>对心理测验的运用能力，完成后根据测验过程的态度、结果进行评分。</w:t>
            </w:r>
            <w:r>
              <w:rPr>
                <w:rFonts w:ascii="Times New Roman" w:hAnsi="Times New Roman" w:eastAsia="宋体" w:cs="Times New Roman"/>
                <w:color w:val="000000"/>
                <w:szCs w:val="21"/>
              </w:rPr>
              <w:t>7</w:t>
            </w:r>
            <w:r>
              <w:rPr>
                <w:rFonts w:hint="eastAsia" w:ascii="Times New Roman" w:hAnsi="Times New Roman" w:eastAsia="宋体" w:cs="Times New Roman"/>
                <w:color w:val="000000"/>
                <w:szCs w:val="21"/>
              </w:rPr>
              <w:t>个实验成绩平均后得到实验总评成绩并</w:t>
            </w:r>
            <w:r>
              <w:rPr>
                <w:rFonts w:ascii="Times New Roman" w:hAnsi="Times New Roman" w:eastAsia="宋体" w:cs="Times New Roman"/>
                <w:color w:val="000000"/>
                <w:szCs w:val="21"/>
              </w:rPr>
              <w:t>按</w:t>
            </w: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0%计入课程总成绩。</w:t>
            </w:r>
          </w:p>
        </w:tc>
        <w:tc>
          <w:tcPr>
            <w:tcW w:w="1214" w:type="dxa"/>
            <w:vAlign w:val="center"/>
          </w:tcPr>
          <w:p w14:paraId="0E047704">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02C28945">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课程目标4</w:t>
            </w:r>
          </w:p>
          <w:p w14:paraId="0B609E11">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课程目标5</w:t>
            </w:r>
          </w:p>
        </w:tc>
        <w:tc>
          <w:tcPr>
            <w:tcW w:w="1418" w:type="dxa"/>
          </w:tcPr>
          <w:p w14:paraId="6D4F22EE">
            <w:pPr>
              <w:spacing w:line="276"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理解心理学过程和个性心理的组成，养成合作的习惯，学会与人沟通。</w:t>
            </w:r>
          </w:p>
        </w:tc>
        <w:tc>
          <w:tcPr>
            <w:tcW w:w="770" w:type="dxa"/>
            <w:vAlign w:val="center"/>
          </w:tcPr>
          <w:p w14:paraId="1617E553">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3</w:t>
            </w:r>
          </w:p>
          <w:p w14:paraId="638DDEC5">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6-1</w:t>
            </w:r>
          </w:p>
          <w:p w14:paraId="25ED7628">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8-1</w:t>
            </w:r>
          </w:p>
          <w:p w14:paraId="298D576E">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8-2</w:t>
            </w:r>
          </w:p>
        </w:tc>
      </w:tr>
      <w:tr w14:paraId="06D2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44" w:type="dxa"/>
            <w:tcMar>
              <w:left w:w="57" w:type="dxa"/>
              <w:right w:w="57" w:type="dxa"/>
            </w:tcMar>
            <w:vAlign w:val="center"/>
          </w:tcPr>
          <w:p w14:paraId="56704CD7">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期末考试</w:t>
            </w:r>
          </w:p>
          <w:p w14:paraId="372B3AF4">
            <w:pPr>
              <w:spacing w:line="276" w:lineRule="auto"/>
              <w:jc w:val="center"/>
              <w:rPr>
                <w:rFonts w:ascii="Times New Roman" w:hAnsi="Times New Roman" w:eastAsia="宋体" w:cs="Times New Roman"/>
                <w:szCs w:val="24"/>
              </w:rPr>
            </w:pPr>
          </w:p>
        </w:tc>
        <w:tc>
          <w:tcPr>
            <w:tcW w:w="1078" w:type="dxa"/>
            <w:vAlign w:val="center"/>
          </w:tcPr>
          <w:p w14:paraId="41B0A8BB">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期末考试</w:t>
            </w:r>
          </w:p>
          <w:p w14:paraId="65670056">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卷面</w:t>
            </w:r>
            <w:r>
              <w:rPr>
                <w:rFonts w:ascii="Times New Roman" w:hAnsi="Times New Roman" w:eastAsia="宋体" w:cs="Times New Roman"/>
                <w:szCs w:val="24"/>
              </w:rPr>
              <w:t>成绩</w:t>
            </w:r>
          </w:p>
        </w:tc>
        <w:tc>
          <w:tcPr>
            <w:tcW w:w="708" w:type="dxa"/>
            <w:vAlign w:val="center"/>
          </w:tcPr>
          <w:p w14:paraId="4A06BBD8">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50%</w:t>
            </w:r>
          </w:p>
        </w:tc>
        <w:tc>
          <w:tcPr>
            <w:tcW w:w="2897" w:type="dxa"/>
            <w:vAlign w:val="center"/>
          </w:tcPr>
          <w:p w14:paraId="042B99D4">
            <w:pPr>
              <w:spacing w:line="276"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选择题、判断题、名词解释、简答题、案例分析和论述题</w:t>
            </w:r>
            <w:r>
              <w:rPr>
                <w:rFonts w:ascii="Times New Roman" w:hAnsi="Times New Roman" w:eastAsia="宋体" w:cs="Times New Roman"/>
                <w:color w:val="000000"/>
                <w:szCs w:val="21"/>
              </w:rPr>
              <w:t>，以卷面成绩的50%计入课程总成绩。</w:t>
            </w:r>
          </w:p>
        </w:tc>
        <w:tc>
          <w:tcPr>
            <w:tcW w:w="1214" w:type="dxa"/>
            <w:vAlign w:val="center"/>
          </w:tcPr>
          <w:p w14:paraId="28D89B91">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5AE8D6B5">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46268F9D">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1C385F0D">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课程目标4</w:t>
            </w:r>
          </w:p>
        </w:tc>
        <w:tc>
          <w:tcPr>
            <w:tcW w:w="1418" w:type="dxa"/>
          </w:tcPr>
          <w:p w14:paraId="392D97C7">
            <w:pPr>
              <w:spacing w:line="276"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儿童心理过程与个性心理的发展特点及教育策略。</w:t>
            </w:r>
          </w:p>
        </w:tc>
        <w:tc>
          <w:tcPr>
            <w:tcW w:w="770" w:type="dxa"/>
            <w:vAlign w:val="center"/>
          </w:tcPr>
          <w:p w14:paraId="1C6A3C05">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2-2</w:t>
            </w:r>
          </w:p>
          <w:p w14:paraId="2EF6CCC4">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2-3</w:t>
            </w:r>
          </w:p>
          <w:p w14:paraId="60082CA5">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4-1</w:t>
            </w:r>
          </w:p>
          <w:p w14:paraId="3D6B57C1">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5-1</w:t>
            </w:r>
          </w:p>
          <w:p w14:paraId="15110656">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5-2</w:t>
            </w:r>
          </w:p>
          <w:p w14:paraId="444BB570">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5-3</w:t>
            </w:r>
          </w:p>
          <w:p w14:paraId="0462C697">
            <w:pPr>
              <w:spacing w:line="276" w:lineRule="auto"/>
              <w:jc w:val="center"/>
              <w:rPr>
                <w:rFonts w:ascii="Times New Roman" w:hAnsi="Times New Roman" w:eastAsia="宋体" w:cs="Times New Roman"/>
                <w:szCs w:val="24"/>
              </w:rPr>
            </w:pPr>
            <w:r>
              <w:rPr>
                <w:rFonts w:hint="eastAsia" w:ascii="Times New Roman" w:hAnsi="Times New Roman" w:eastAsia="宋体" w:cs="Times New Roman"/>
                <w:color w:val="000000"/>
                <w:szCs w:val="21"/>
              </w:rPr>
              <w:t>6-1</w:t>
            </w:r>
          </w:p>
        </w:tc>
      </w:tr>
    </w:tbl>
    <w:p w14:paraId="7E9668A3">
      <w:pPr>
        <w:spacing w:line="360" w:lineRule="auto"/>
        <w:rPr>
          <w:rFonts w:hint="eastAsia" w:ascii="宋体" w:hAnsi="宋体" w:eastAsia="宋体" w:cs="Times New Roman"/>
          <w:color w:val="FF0000"/>
          <w:sz w:val="24"/>
        </w:rPr>
      </w:pPr>
    </w:p>
    <w:p w14:paraId="3DD6B0C8">
      <w:pPr>
        <w:spacing w:line="360" w:lineRule="auto"/>
        <w:rPr>
          <w:rFonts w:hint="eastAsia" w:ascii="宋体" w:hAnsi="宋体" w:eastAsia="宋体" w:cs="Times New Roman"/>
          <w:color w:val="000000" w:themeColor="text1"/>
          <w:sz w:val="24"/>
          <w14:textFill>
            <w14:solidFill>
              <w14:schemeClr w14:val="tx1"/>
            </w14:solidFill>
          </w14:textFill>
        </w:rPr>
      </w:pPr>
      <w:r>
        <w:rPr>
          <w:rFonts w:ascii="宋体" w:hAnsi="宋体" w:eastAsia="宋体" w:cs="Times New Roman"/>
          <w:color w:val="000000" w:themeColor="text1"/>
          <w:sz w:val="24"/>
          <w14:textFill>
            <w14:solidFill>
              <w14:schemeClr w14:val="tx1"/>
            </w14:solidFill>
          </w14:textFill>
        </w:rPr>
        <w:t>（三）</w:t>
      </w:r>
      <w:r>
        <w:rPr>
          <w:rFonts w:hint="eastAsia" w:ascii="宋体" w:hAnsi="宋体" w:eastAsia="宋体" w:cs="Times New Roman"/>
          <w:color w:val="000000" w:themeColor="text1"/>
          <w:sz w:val="24"/>
          <w14:textFill>
            <w14:solidFill>
              <w14:schemeClr w14:val="tx1"/>
            </w14:solidFill>
          </w14:textFill>
        </w:rPr>
        <w:t>课程目标及考核方式权重分配表</w:t>
      </w:r>
    </w:p>
    <w:tbl>
      <w:tblPr>
        <w:tblStyle w:val="30"/>
        <w:tblW w:w="9037" w:type="dxa"/>
        <w:jc w:val="center"/>
        <w:tblLayout w:type="autofit"/>
        <w:tblCellMar>
          <w:top w:w="0" w:type="dxa"/>
          <w:left w:w="108" w:type="dxa"/>
          <w:bottom w:w="0" w:type="dxa"/>
          <w:right w:w="108" w:type="dxa"/>
        </w:tblCellMar>
      </w:tblPr>
      <w:tblGrid>
        <w:gridCol w:w="2048"/>
        <w:gridCol w:w="1816"/>
        <w:gridCol w:w="2196"/>
        <w:gridCol w:w="1843"/>
        <w:gridCol w:w="1134"/>
      </w:tblGrid>
      <w:tr w14:paraId="4BE26901">
        <w:tblPrEx>
          <w:tblCellMar>
            <w:top w:w="0" w:type="dxa"/>
            <w:left w:w="108" w:type="dxa"/>
            <w:bottom w:w="0" w:type="dxa"/>
            <w:right w:w="108" w:type="dxa"/>
          </w:tblCellMar>
        </w:tblPrEx>
        <w:trPr>
          <w:trHeight w:val="413" w:hRule="atLeast"/>
          <w:jc w:val="center"/>
        </w:trPr>
        <w:tc>
          <w:tcPr>
            <w:tcW w:w="38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3B9B94">
            <w:pPr>
              <w:widowControl/>
              <w:spacing w:line="276" w:lineRule="auto"/>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课程目标及权重</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C9A095">
            <w:pPr>
              <w:widowControl/>
              <w:spacing w:line="276" w:lineRule="auto"/>
              <w:ind w:right="-391" w:rightChars="-186"/>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考核方式及权重</w:t>
            </w:r>
          </w:p>
        </w:tc>
      </w:tr>
      <w:tr w14:paraId="67538C01">
        <w:tblPrEx>
          <w:tblCellMar>
            <w:top w:w="0" w:type="dxa"/>
            <w:left w:w="108" w:type="dxa"/>
            <w:bottom w:w="0" w:type="dxa"/>
            <w:right w:w="108" w:type="dxa"/>
          </w:tblCellMar>
        </w:tblPrEx>
        <w:trPr>
          <w:trHeight w:val="636" w:hRule="atLeast"/>
          <w:jc w:val="center"/>
        </w:trPr>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0AA63958">
            <w:pPr>
              <w:widowControl/>
              <w:spacing w:line="276" w:lineRule="auto"/>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项目</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39A17EF6">
            <w:pPr>
              <w:widowControl/>
              <w:spacing w:line="276" w:lineRule="auto"/>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权重（</w:t>
            </w:r>
            <w:r>
              <w:rPr>
                <w:rFonts w:ascii="宋体" w:hAnsi="宋体" w:eastAsia="宋体" w:cs="Times New Roman"/>
                <w:color w:val="000000" w:themeColor="text1"/>
                <w:kern w:val="0"/>
                <w:szCs w:val="21"/>
                <w14:textFill>
                  <w14:solidFill>
                    <w14:schemeClr w14:val="tx1"/>
                  </w14:solidFill>
                </w14:textFill>
              </w:rPr>
              <w:t>a</w:t>
            </w:r>
            <w:r>
              <w:rPr>
                <w:rFonts w:hint="eastAsia" w:ascii="宋体" w:hAnsi="宋体" w:eastAsia="宋体" w:cs="Times New Roman"/>
                <w:color w:val="000000" w:themeColor="text1"/>
                <w:kern w:val="0"/>
                <w:szCs w:val="21"/>
                <w14:textFill>
                  <w14:solidFill>
                    <w14:schemeClr w14:val="tx1"/>
                  </w14:solidFill>
                </w14:textFill>
              </w:rPr>
              <w:t>）</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055B3105">
            <w:pPr>
              <w:widowControl/>
              <w:spacing w:line="276" w:lineRule="auto"/>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评价依据</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6307875">
            <w:pPr>
              <w:widowControl/>
              <w:spacing w:line="276" w:lineRule="auto"/>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权重（</w:t>
            </w:r>
            <w:r>
              <w:rPr>
                <w:rFonts w:ascii="宋体" w:hAnsi="宋体" w:eastAsia="宋体" w:cs="Times New Roman"/>
                <w:color w:val="000000" w:themeColor="text1"/>
                <w:kern w:val="0"/>
                <w:szCs w:val="21"/>
                <w14:textFill>
                  <w14:solidFill>
                    <w14:schemeClr w14:val="tx1"/>
                  </w14:solidFill>
                </w14:textFill>
              </w:rPr>
              <w:t>b</w:t>
            </w:r>
            <w:r>
              <w:rPr>
                <w:rFonts w:hint="eastAsia" w:ascii="宋体" w:hAnsi="宋体" w:eastAsia="宋体" w:cs="Times New Roman"/>
                <w:color w:val="000000" w:themeColor="text1"/>
                <w:kern w:val="0"/>
                <w:szCs w:val="21"/>
                <w14:textFill>
                  <w14:solidFill>
                    <w14:schemeClr w14:val="tx1"/>
                  </w14:solidFill>
                </w14:textFill>
              </w:rPr>
              <w:t>）</w:t>
            </w:r>
          </w:p>
        </w:tc>
        <w:tc>
          <w:tcPr>
            <w:tcW w:w="1134" w:type="dxa"/>
            <w:tcBorders>
              <w:top w:val="single" w:color="auto" w:sz="4" w:space="0"/>
              <w:left w:val="single" w:color="auto" w:sz="4" w:space="0"/>
              <w:bottom w:val="single" w:color="auto" w:sz="4" w:space="0"/>
              <w:right w:val="single" w:color="auto" w:sz="4" w:space="0"/>
            </w:tcBorders>
          </w:tcPr>
          <w:p w14:paraId="5D572BB9">
            <w:pPr>
              <w:widowControl/>
              <w:spacing w:line="276" w:lineRule="auto"/>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考核方式权重合计</w:t>
            </w:r>
          </w:p>
        </w:tc>
      </w:tr>
      <w:tr w14:paraId="75D18E15">
        <w:tblPrEx>
          <w:tblCellMar>
            <w:top w:w="0" w:type="dxa"/>
            <w:left w:w="108" w:type="dxa"/>
            <w:bottom w:w="0" w:type="dxa"/>
            <w:right w:w="108" w:type="dxa"/>
          </w:tblCellMar>
        </w:tblPrEx>
        <w:trPr>
          <w:trHeight w:val="384" w:hRule="atLeast"/>
          <w:jc w:val="center"/>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67D71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AA54A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15%</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056A379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E800BD9">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60%</w:t>
            </w:r>
            <w:r>
              <w:rPr>
                <w:rFonts w:ascii="宋体" w:hAnsi="宋体" w:eastAsia="宋体" w:cs="Times New Roman"/>
                <w:kern w:val="0"/>
                <w:szCs w:val="21"/>
              </w:rPr>
              <w:t xml:space="preserve"> </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0457F0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10F375C8">
        <w:tblPrEx>
          <w:tblCellMar>
            <w:top w:w="0" w:type="dxa"/>
            <w:left w:w="108" w:type="dxa"/>
            <w:bottom w:w="0" w:type="dxa"/>
            <w:right w:w="108" w:type="dxa"/>
          </w:tblCellMar>
        </w:tblPrEx>
        <w:trPr>
          <w:trHeight w:val="340"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65D4C6">
            <w:pPr>
              <w:widowControl/>
              <w:spacing w:line="276" w:lineRule="auto"/>
              <w:jc w:val="left"/>
              <w:rPr>
                <w:rFonts w:hint="eastAsia" w:ascii="宋体" w:hAnsi="宋体" w:eastAsia="宋体" w:cs="Times New Roman"/>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2E750">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4261C7F4">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A88BF8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BFD036">
            <w:pPr>
              <w:widowControl/>
              <w:spacing w:line="276" w:lineRule="auto"/>
              <w:jc w:val="center"/>
              <w:rPr>
                <w:rFonts w:hint="eastAsia" w:ascii="宋体" w:hAnsi="宋体" w:eastAsia="宋体" w:cs="Times New Roman"/>
                <w:kern w:val="0"/>
                <w:szCs w:val="21"/>
              </w:rPr>
            </w:pPr>
          </w:p>
        </w:tc>
      </w:tr>
      <w:tr w14:paraId="6F395AAC">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4" w:space="0"/>
              <w:right w:val="single" w:color="auto" w:sz="4" w:space="0"/>
            </w:tcBorders>
            <w:shd w:val="clear" w:color="auto" w:fill="auto"/>
            <w:vAlign w:val="center"/>
          </w:tcPr>
          <w:p w14:paraId="721A83B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16" w:type="dxa"/>
            <w:vMerge w:val="restart"/>
            <w:tcBorders>
              <w:top w:val="single" w:color="auto" w:sz="4" w:space="0"/>
              <w:left w:val="single" w:color="auto" w:sz="4" w:space="0"/>
              <w:right w:val="single" w:color="auto" w:sz="4" w:space="0"/>
            </w:tcBorders>
            <w:shd w:val="clear" w:color="auto" w:fill="auto"/>
            <w:vAlign w:val="center"/>
          </w:tcPr>
          <w:p w14:paraId="17EB6A1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15%</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5FB1DC3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05FB25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40%</w:t>
            </w:r>
            <w:r>
              <w:rPr>
                <w:rFonts w:ascii="宋体" w:hAnsi="宋体" w:eastAsia="宋体" w:cs="Times New Roman"/>
                <w:kern w:val="0"/>
                <w:szCs w:val="21"/>
              </w:rPr>
              <w:t xml:space="preserve"> </w:t>
            </w:r>
          </w:p>
        </w:tc>
        <w:tc>
          <w:tcPr>
            <w:tcW w:w="1134" w:type="dxa"/>
            <w:vMerge w:val="restart"/>
            <w:tcBorders>
              <w:top w:val="single" w:color="auto" w:sz="4" w:space="0"/>
              <w:left w:val="single" w:color="auto" w:sz="4" w:space="0"/>
              <w:right w:val="single" w:color="auto" w:sz="4" w:space="0"/>
            </w:tcBorders>
            <w:vAlign w:val="center"/>
          </w:tcPr>
          <w:p w14:paraId="52AAF3A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3288146B">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right w:val="single" w:color="auto" w:sz="4" w:space="0"/>
            </w:tcBorders>
            <w:shd w:val="clear" w:color="auto" w:fill="auto"/>
            <w:vAlign w:val="center"/>
          </w:tcPr>
          <w:p w14:paraId="79DE352D">
            <w:pPr>
              <w:widowControl/>
              <w:spacing w:line="276" w:lineRule="auto"/>
              <w:jc w:val="center"/>
              <w:rPr>
                <w:rFonts w:hint="eastAsia" w:ascii="宋体" w:hAnsi="宋体" w:eastAsia="宋体" w:cs="Times New Roman"/>
                <w:kern w:val="0"/>
                <w:szCs w:val="21"/>
              </w:rPr>
            </w:pPr>
          </w:p>
        </w:tc>
        <w:tc>
          <w:tcPr>
            <w:tcW w:w="1816" w:type="dxa"/>
            <w:vMerge w:val="continue"/>
            <w:tcBorders>
              <w:left w:val="single" w:color="auto" w:sz="4" w:space="0"/>
              <w:right w:val="single" w:color="auto" w:sz="4" w:space="0"/>
            </w:tcBorders>
            <w:shd w:val="clear" w:color="auto" w:fill="auto"/>
            <w:vAlign w:val="center"/>
          </w:tcPr>
          <w:p w14:paraId="6A122D9C">
            <w:pPr>
              <w:widowControl/>
              <w:spacing w:line="276" w:lineRule="auto"/>
              <w:jc w:val="center"/>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24AB251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作业2</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33790D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134" w:type="dxa"/>
            <w:vMerge w:val="continue"/>
            <w:tcBorders>
              <w:left w:val="single" w:color="auto" w:sz="4" w:space="0"/>
              <w:right w:val="single" w:color="auto" w:sz="4" w:space="0"/>
            </w:tcBorders>
            <w:vAlign w:val="center"/>
          </w:tcPr>
          <w:p w14:paraId="0F19E36B">
            <w:pPr>
              <w:widowControl/>
              <w:spacing w:line="276" w:lineRule="auto"/>
              <w:jc w:val="center"/>
              <w:rPr>
                <w:rFonts w:hint="eastAsia" w:ascii="宋体" w:hAnsi="宋体" w:eastAsia="宋体" w:cs="Times New Roman"/>
                <w:kern w:val="0"/>
                <w:szCs w:val="21"/>
              </w:rPr>
            </w:pPr>
          </w:p>
        </w:tc>
      </w:tr>
      <w:tr w14:paraId="115EFA64">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right w:val="single" w:color="auto" w:sz="4" w:space="0"/>
            </w:tcBorders>
            <w:shd w:val="clear" w:color="auto" w:fill="auto"/>
            <w:vAlign w:val="center"/>
          </w:tcPr>
          <w:p w14:paraId="29357622">
            <w:pPr>
              <w:widowControl/>
              <w:spacing w:line="276" w:lineRule="auto"/>
              <w:jc w:val="left"/>
              <w:rPr>
                <w:rFonts w:hint="eastAsia" w:ascii="宋体" w:hAnsi="宋体" w:eastAsia="宋体" w:cs="Times New Roman"/>
                <w:kern w:val="0"/>
                <w:szCs w:val="21"/>
              </w:rPr>
            </w:pPr>
          </w:p>
        </w:tc>
        <w:tc>
          <w:tcPr>
            <w:tcW w:w="1816" w:type="dxa"/>
            <w:vMerge w:val="continue"/>
            <w:tcBorders>
              <w:left w:val="single" w:color="auto" w:sz="4" w:space="0"/>
              <w:right w:val="single" w:color="auto" w:sz="4" w:space="0"/>
            </w:tcBorders>
            <w:shd w:val="clear" w:color="auto" w:fill="auto"/>
            <w:vAlign w:val="center"/>
          </w:tcPr>
          <w:p w14:paraId="69CCC7A8">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790A9DB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作业3</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6C4C1F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r>
              <w:rPr>
                <w:rFonts w:ascii="宋体" w:hAnsi="宋体" w:eastAsia="宋体" w:cs="Times New Roman"/>
                <w:kern w:val="0"/>
                <w:szCs w:val="21"/>
              </w:rPr>
              <w:t xml:space="preserve"> </w:t>
            </w:r>
          </w:p>
        </w:tc>
        <w:tc>
          <w:tcPr>
            <w:tcW w:w="1134" w:type="dxa"/>
            <w:vMerge w:val="continue"/>
            <w:tcBorders>
              <w:left w:val="single" w:color="auto" w:sz="4" w:space="0"/>
              <w:right w:val="single" w:color="auto" w:sz="4" w:space="0"/>
            </w:tcBorders>
            <w:vAlign w:val="center"/>
          </w:tcPr>
          <w:p w14:paraId="774668B9">
            <w:pPr>
              <w:widowControl/>
              <w:spacing w:line="276" w:lineRule="auto"/>
              <w:jc w:val="center"/>
              <w:rPr>
                <w:rFonts w:hint="eastAsia" w:ascii="宋体" w:hAnsi="宋体" w:eastAsia="宋体" w:cs="Times New Roman"/>
                <w:kern w:val="0"/>
                <w:szCs w:val="21"/>
              </w:rPr>
            </w:pPr>
          </w:p>
        </w:tc>
      </w:tr>
      <w:tr w14:paraId="66AB5564">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bottom w:val="single" w:color="auto" w:sz="4" w:space="0"/>
              <w:right w:val="single" w:color="auto" w:sz="4" w:space="0"/>
            </w:tcBorders>
            <w:shd w:val="clear" w:color="auto" w:fill="auto"/>
            <w:vAlign w:val="center"/>
          </w:tcPr>
          <w:p w14:paraId="4B693D65">
            <w:pPr>
              <w:widowControl/>
              <w:spacing w:line="276" w:lineRule="auto"/>
              <w:jc w:val="left"/>
              <w:rPr>
                <w:rFonts w:hint="eastAsia" w:ascii="宋体" w:hAnsi="宋体" w:eastAsia="宋体" w:cs="Times New Roman"/>
                <w:kern w:val="0"/>
                <w:szCs w:val="21"/>
              </w:rPr>
            </w:pPr>
          </w:p>
        </w:tc>
        <w:tc>
          <w:tcPr>
            <w:tcW w:w="1816" w:type="dxa"/>
            <w:vMerge w:val="continue"/>
            <w:tcBorders>
              <w:left w:val="single" w:color="auto" w:sz="4" w:space="0"/>
              <w:bottom w:val="single" w:color="auto" w:sz="4" w:space="0"/>
              <w:right w:val="single" w:color="auto" w:sz="4" w:space="0"/>
            </w:tcBorders>
            <w:shd w:val="clear" w:color="auto" w:fill="auto"/>
            <w:vAlign w:val="center"/>
          </w:tcPr>
          <w:p w14:paraId="1A2F72D2">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50311D4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课内实验</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BCF3A5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134" w:type="dxa"/>
            <w:vMerge w:val="continue"/>
            <w:tcBorders>
              <w:left w:val="single" w:color="auto" w:sz="4" w:space="0"/>
              <w:bottom w:val="single" w:color="auto" w:sz="4" w:space="0"/>
              <w:right w:val="single" w:color="auto" w:sz="4" w:space="0"/>
            </w:tcBorders>
            <w:vAlign w:val="center"/>
          </w:tcPr>
          <w:p w14:paraId="06B268B3">
            <w:pPr>
              <w:widowControl/>
              <w:spacing w:line="276" w:lineRule="auto"/>
              <w:jc w:val="center"/>
              <w:rPr>
                <w:rFonts w:hint="eastAsia" w:ascii="宋体" w:hAnsi="宋体" w:eastAsia="宋体" w:cs="Times New Roman"/>
                <w:kern w:val="0"/>
                <w:szCs w:val="21"/>
              </w:rPr>
            </w:pPr>
          </w:p>
        </w:tc>
      </w:tr>
      <w:tr w14:paraId="3ADDD4AF">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F3812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74E735">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5074DD2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41B931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50%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37DEE77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5F0F1224">
        <w:tblPrEx>
          <w:tblCellMar>
            <w:top w:w="0" w:type="dxa"/>
            <w:left w:w="108" w:type="dxa"/>
            <w:bottom w:w="0" w:type="dxa"/>
            <w:right w:w="108" w:type="dxa"/>
          </w:tblCellMar>
        </w:tblPrEx>
        <w:trPr>
          <w:trHeight w:val="359"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F949F1">
            <w:pPr>
              <w:widowControl/>
              <w:spacing w:line="276" w:lineRule="auto"/>
              <w:jc w:val="left"/>
              <w:rPr>
                <w:rFonts w:hint="eastAsia" w:ascii="宋体" w:hAnsi="宋体" w:eastAsia="宋体" w:cs="Times New Roman"/>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F033FE">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right w:val="single" w:color="auto" w:sz="4" w:space="0"/>
            </w:tcBorders>
            <w:shd w:val="clear" w:color="auto" w:fill="auto"/>
            <w:vAlign w:val="center"/>
          </w:tcPr>
          <w:p w14:paraId="3834913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作业4</w:t>
            </w:r>
          </w:p>
        </w:tc>
        <w:tc>
          <w:tcPr>
            <w:tcW w:w="1843" w:type="dxa"/>
            <w:tcBorders>
              <w:top w:val="single" w:color="auto" w:sz="4" w:space="0"/>
              <w:left w:val="single" w:color="auto" w:sz="4" w:space="0"/>
              <w:right w:val="single" w:color="auto" w:sz="4" w:space="0"/>
            </w:tcBorders>
            <w:shd w:val="clear" w:color="auto" w:fill="auto"/>
            <w:vAlign w:val="center"/>
          </w:tcPr>
          <w:p w14:paraId="1B1A85A1">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655605">
            <w:pPr>
              <w:widowControl/>
              <w:spacing w:line="276" w:lineRule="auto"/>
              <w:jc w:val="center"/>
              <w:rPr>
                <w:rFonts w:hint="eastAsia" w:ascii="宋体" w:hAnsi="宋体" w:eastAsia="宋体" w:cs="Times New Roman"/>
                <w:kern w:val="0"/>
                <w:szCs w:val="21"/>
              </w:rPr>
            </w:pPr>
          </w:p>
        </w:tc>
      </w:tr>
      <w:tr w14:paraId="0A45CEF5">
        <w:tblPrEx>
          <w:tblCellMar>
            <w:top w:w="0" w:type="dxa"/>
            <w:left w:w="108" w:type="dxa"/>
            <w:bottom w:w="0" w:type="dxa"/>
            <w:right w:w="108" w:type="dxa"/>
          </w:tblCellMar>
        </w:tblPrEx>
        <w:trPr>
          <w:trHeight w:val="340"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FD167D">
            <w:pPr>
              <w:widowControl/>
              <w:spacing w:line="276" w:lineRule="auto"/>
              <w:jc w:val="left"/>
              <w:rPr>
                <w:rFonts w:hint="eastAsia" w:ascii="宋体" w:hAnsi="宋体" w:eastAsia="宋体" w:cs="Times New Roman"/>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C23743">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0ABB50E5">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课内实验</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30B4E5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2899F3">
            <w:pPr>
              <w:widowControl/>
              <w:spacing w:line="276" w:lineRule="auto"/>
              <w:jc w:val="center"/>
              <w:rPr>
                <w:rFonts w:hint="eastAsia" w:ascii="宋体" w:hAnsi="宋体" w:eastAsia="宋体" w:cs="Times New Roman"/>
                <w:kern w:val="0"/>
                <w:szCs w:val="21"/>
              </w:rPr>
            </w:pPr>
          </w:p>
        </w:tc>
      </w:tr>
      <w:tr w14:paraId="77528ECE">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4" w:space="0"/>
              <w:right w:val="single" w:color="auto" w:sz="4" w:space="0"/>
            </w:tcBorders>
            <w:shd w:val="clear" w:color="auto" w:fill="auto"/>
            <w:vAlign w:val="center"/>
          </w:tcPr>
          <w:p w14:paraId="6A3A0574">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课程目标4</w:t>
            </w:r>
          </w:p>
        </w:tc>
        <w:tc>
          <w:tcPr>
            <w:tcW w:w="1816" w:type="dxa"/>
            <w:vMerge w:val="restart"/>
            <w:tcBorders>
              <w:top w:val="single" w:color="auto" w:sz="4" w:space="0"/>
              <w:left w:val="single" w:color="auto" w:sz="4" w:space="0"/>
              <w:right w:val="single" w:color="auto" w:sz="4" w:space="0"/>
            </w:tcBorders>
            <w:shd w:val="clear" w:color="auto" w:fill="auto"/>
            <w:vAlign w:val="center"/>
          </w:tcPr>
          <w:p w14:paraId="3FA5286D">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715C5921">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4324D2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40%</w:t>
            </w:r>
            <w:r>
              <w:rPr>
                <w:rFonts w:ascii="宋体" w:hAnsi="宋体" w:eastAsia="宋体" w:cs="Times New Roman"/>
                <w:kern w:val="0"/>
                <w:szCs w:val="21"/>
              </w:rPr>
              <w:t xml:space="preserve"> </w:t>
            </w:r>
          </w:p>
        </w:tc>
        <w:tc>
          <w:tcPr>
            <w:tcW w:w="1134" w:type="dxa"/>
            <w:vMerge w:val="restart"/>
            <w:tcBorders>
              <w:top w:val="single" w:color="auto" w:sz="4" w:space="0"/>
              <w:left w:val="single" w:color="auto" w:sz="4" w:space="0"/>
              <w:right w:val="single" w:color="auto" w:sz="4" w:space="0"/>
            </w:tcBorders>
            <w:vAlign w:val="center"/>
          </w:tcPr>
          <w:p w14:paraId="31D792F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3A71E1FF">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right w:val="single" w:color="auto" w:sz="4" w:space="0"/>
            </w:tcBorders>
            <w:shd w:val="clear" w:color="auto" w:fill="auto"/>
            <w:vAlign w:val="center"/>
          </w:tcPr>
          <w:p w14:paraId="6B4B9112">
            <w:pPr>
              <w:widowControl/>
              <w:spacing w:line="276" w:lineRule="auto"/>
              <w:jc w:val="center"/>
              <w:rPr>
                <w:rFonts w:hint="eastAsia" w:ascii="宋体" w:hAnsi="宋体" w:eastAsia="宋体" w:cs="Times New Roman"/>
                <w:kern w:val="0"/>
                <w:szCs w:val="21"/>
              </w:rPr>
            </w:pPr>
          </w:p>
        </w:tc>
        <w:tc>
          <w:tcPr>
            <w:tcW w:w="1816" w:type="dxa"/>
            <w:vMerge w:val="continue"/>
            <w:tcBorders>
              <w:left w:val="single" w:color="auto" w:sz="4" w:space="0"/>
              <w:right w:val="single" w:color="auto" w:sz="4" w:space="0"/>
            </w:tcBorders>
            <w:shd w:val="clear" w:color="auto" w:fill="auto"/>
            <w:vAlign w:val="center"/>
          </w:tcPr>
          <w:p w14:paraId="0BAF68C0">
            <w:pPr>
              <w:widowControl/>
              <w:spacing w:line="276" w:lineRule="auto"/>
              <w:jc w:val="center"/>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5FE91F33">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作业4</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F90194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w:t>
            </w:r>
          </w:p>
        </w:tc>
        <w:tc>
          <w:tcPr>
            <w:tcW w:w="1134" w:type="dxa"/>
            <w:vMerge w:val="continue"/>
            <w:tcBorders>
              <w:left w:val="single" w:color="auto" w:sz="4" w:space="0"/>
              <w:right w:val="single" w:color="auto" w:sz="4" w:space="0"/>
            </w:tcBorders>
            <w:vAlign w:val="center"/>
          </w:tcPr>
          <w:p w14:paraId="156CC6E5">
            <w:pPr>
              <w:widowControl/>
              <w:spacing w:line="276" w:lineRule="auto"/>
              <w:jc w:val="center"/>
              <w:rPr>
                <w:rFonts w:hint="eastAsia" w:ascii="宋体" w:hAnsi="宋体" w:eastAsia="宋体" w:cs="Times New Roman"/>
                <w:kern w:val="0"/>
                <w:szCs w:val="21"/>
              </w:rPr>
            </w:pPr>
          </w:p>
        </w:tc>
      </w:tr>
      <w:tr w14:paraId="6A1FD6B2">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right w:val="single" w:color="auto" w:sz="4" w:space="0"/>
            </w:tcBorders>
            <w:shd w:val="clear" w:color="auto" w:fill="auto"/>
            <w:vAlign w:val="center"/>
          </w:tcPr>
          <w:p w14:paraId="48D6A5BF">
            <w:pPr>
              <w:widowControl/>
              <w:spacing w:line="276" w:lineRule="auto"/>
              <w:jc w:val="center"/>
              <w:rPr>
                <w:rFonts w:hint="eastAsia" w:ascii="宋体" w:hAnsi="宋体" w:eastAsia="宋体" w:cs="Times New Roman"/>
                <w:kern w:val="0"/>
                <w:szCs w:val="21"/>
              </w:rPr>
            </w:pPr>
          </w:p>
        </w:tc>
        <w:tc>
          <w:tcPr>
            <w:tcW w:w="1816" w:type="dxa"/>
            <w:vMerge w:val="continue"/>
            <w:tcBorders>
              <w:left w:val="single" w:color="auto" w:sz="4" w:space="0"/>
              <w:right w:val="single" w:color="auto" w:sz="4" w:space="0"/>
            </w:tcBorders>
            <w:shd w:val="clear" w:color="auto" w:fill="auto"/>
            <w:vAlign w:val="center"/>
          </w:tcPr>
          <w:p w14:paraId="28563CE3">
            <w:pPr>
              <w:widowControl/>
              <w:spacing w:line="276" w:lineRule="auto"/>
              <w:jc w:val="center"/>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08DF3ACC">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E917AF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34" w:type="dxa"/>
            <w:vMerge w:val="continue"/>
            <w:tcBorders>
              <w:left w:val="single" w:color="auto" w:sz="4" w:space="0"/>
              <w:right w:val="single" w:color="auto" w:sz="4" w:space="0"/>
            </w:tcBorders>
            <w:vAlign w:val="center"/>
          </w:tcPr>
          <w:p w14:paraId="77B6ABDD">
            <w:pPr>
              <w:widowControl/>
              <w:spacing w:line="276" w:lineRule="auto"/>
              <w:jc w:val="center"/>
              <w:rPr>
                <w:rFonts w:hint="eastAsia" w:ascii="宋体" w:hAnsi="宋体" w:eastAsia="宋体" w:cs="Times New Roman"/>
                <w:kern w:val="0"/>
                <w:szCs w:val="21"/>
              </w:rPr>
            </w:pPr>
          </w:p>
        </w:tc>
      </w:tr>
      <w:tr w14:paraId="2DA8E4FA">
        <w:tblPrEx>
          <w:tblCellMar>
            <w:top w:w="0" w:type="dxa"/>
            <w:left w:w="108" w:type="dxa"/>
            <w:bottom w:w="0" w:type="dxa"/>
            <w:right w:w="108" w:type="dxa"/>
          </w:tblCellMar>
        </w:tblPrEx>
        <w:trPr>
          <w:trHeight w:val="340" w:hRule="atLeast"/>
          <w:jc w:val="center"/>
        </w:trPr>
        <w:tc>
          <w:tcPr>
            <w:tcW w:w="2048" w:type="dxa"/>
            <w:vMerge w:val="continue"/>
            <w:tcBorders>
              <w:left w:val="single" w:color="auto" w:sz="4" w:space="0"/>
              <w:bottom w:val="single" w:color="auto" w:sz="4" w:space="0"/>
              <w:right w:val="single" w:color="auto" w:sz="4" w:space="0"/>
            </w:tcBorders>
            <w:shd w:val="clear" w:color="auto" w:fill="auto"/>
            <w:vAlign w:val="center"/>
          </w:tcPr>
          <w:p w14:paraId="2BACA950">
            <w:pPr>
              <w:widowControl/>
              <w:spacing w:line="276" w:lineRule="auto"/>
              <w:jc w:val="center"/>
              <w:rPr>
                <w:rFonts w:hint="eastAsia" w:ascii="宋体" w:hAnsi="宋体" w:eastAsia="宋体" w:cs="Times New Roman"/>
                <w:kern w:val="0"/>
                <w:szCs w:val="21"/>
              </w:rPr>
            </w:pPr>
          </w:p>
        </w:tc>
        <w:tc>
          <w:tcPr>
            <w:tcW w:w="1816" w:type="dxa"/>
            <w:vMerge w:val="continue"/>
            <w:tcBorders>
              <w:left w:val="single" w:color="auto" w:sz="4" w:space="0"/>
              <w:bottom w:val="single" w:color="auto" w:sz="4" w:space="0"/>
              <w:right w:val="single" w:color="auto" w:sz="4" w:space="0"/>
            </w:tcBorders>
            <w:shd w:val="clear" w:color="auto" w:fill="auto"/>
            <w:vAlign w:val="center"/>
          </w:tcPr>
          <w:p w14:paraId="66C330F4">
            <w:pPr>
              <w:widowControl/>
              <w:spacing w:line="276" w:lineRule="auto"/>
              <w:jc w:val="center"/>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51F057E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课内实验</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209C82D">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w:t>
            </w:r>
          </w:p>
        </w:tc>
        <w:tc>
          <w:tcPr>
            <w:tcW w:w="1134" w:type="dxa"/>
            <w:vMerge w:val="continue"/>
            <w:tcBorders>
              <w:left w:val="single" w:color="auto" w:sz="4" w:space="0"/>
              <w:bottom w:val="single" w:color="auto" w:sz="4" w:space="0"/>
              <w:right w:val="single" w:color="auto" w:sz="4" w:space="0"/>
            </w:tcBorders>
            <w:vAlign w:val="center"/>
          </w:tcPr>
          <w:p w14:paraId="1A75213D">
            <w:pPr>
              <w:widowControl/>
              <w:spacing w:line="276" w:lineRule="auto"/>
              <w:jc w:val="center"/>
              <w:rPr>
                <w:rFonts w:hint="eastAsia" w:ascii="宋体" w:hAnsi="宋体" w:eastAsia="宋体" w:cs="Times New Roman"/>
                <w:kern w:val="0"/>
                <w:szCs w:val="21"/>
              </w:rPr>
            </w:pPr>
          </w:p>
        </w:tc>
      </w:tr>
      <w:tr w14:paraId="30F36D1C">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B70BB1">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课程目标5</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577D1D">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w:t>
            </w: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788F426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373EFA1">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3958C28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774D58F9">
        <w:tblPrEx>
          <w:tblCellMar>
            <w:top w:w="0" w:type="dxa"/>
            <w:left w:w="108" w:type="dxa"/>
            <w:bottom w:w="0" w:type="dxa"/>
            <w:right w:w="108" w:type="dxa"/>
          </w:tblCellMar>
        </w:tblPrEx>
        <w:trPr>
          <w:trHeight w:val="436"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4F5B0A">
            <w:pPr>
              <w:widowControl/>
              <w:spacing w:line="276" w:lineRule="auto"/>
              <w:jc w:val="center"/>
              <w:rPr>
                <w:rFonts w:hint="eastAsia" w:ascii="宋体" w:hAnsi="宋体" w:eastAsia="宋体" w:cs="Times New Roman"/>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3D4845">
            <w:pPr>
              <w:widowControl/>
              <w:spacing w:line="276" w:lineRule="auto"/>
              <w:jc w:val="center"/>
              <w:rPr>
                <w:rFonts w:hint="eastAsia" w:ascii="宋体" w:hAnsi="宋体" w:eastAsia="宋体" w:cs="Times New Roman"/>
                <w:kern w:val="0"/>
                <w:szCs w:val="21"/>
              </w:rPr>
            </w:pPr>
          </w:p>
        </w:tc>
        <w:tc>
          <w:tcPr>
            <w:tcW w:w="2196" w:type="dxa"/>
            <w:tcBorders>
              <w:top w:val="single" w:color="auto" w:sz="4" w:space="0"/>
              <w:left w:val="single" w:color="auto" w:sz="4" w:space="0"/>
              <w:right w:val="single" w:color="auto" w:sz="4" w:space="0"/>
            </w:tcBorders>
            <w:shd w:val="clear" w:color="auto" w:fill="auto"/>
            <w:vAlign w:val="center"/>
          </w:tcPr>
          <w:p w14:paraId="0BAB4FB1">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作业5</w:t>
            </w:r>
          </w:p>
        </w:tc>
        <w:tc>
          <w:tcPr>
            <w:tcW w:w="1843" w:type="dxa"/>
            <w:tcBorders>
              <w:top w:val="single" w:color="auto" w:sz="4" w:space="0"/>
              <w:left w:val="single" w:color="auto" w:sz="4" w:space="0"/>
              <w:right w:val="single" w:color="auto" w:sz="4" w:space="0"/>
            </w:tcBorders>
            <w:shd w:val="clear" w:color="auto" w:fill="auto"/>
            <w:vAlign w:val="center"/>
          </w:tcPr>
          <w:p w14:paraId="1298ADC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4129EF6">
            <w:pPr>
              <w:widowControl/>
              <w:spacing w:line="276" w:lineRule="auto"/>
              <w:jc w:val="center"/>
              <w:rPr>
                <w:rFonts w:hint="eastAsia" w:ascii="宋体" w:hAnsi="宋体" w:eastAsia="宋体" w:cs="Times New Roman"/>
                <w:kern w:val="0"/>
                <w:szCs w:val="21"/>
              </w:rPr>
            </w:pPr>
          </w:p>
        </w:tc>
      </w:tr>
      <w:tr w14:paraId="4D45F600">
        <w:tblPrEx>
          <w:tblCellMar>
            <w:top w:w="0" w:type="dxa"/>
            <w:left w:w="108" w:type="dxa"/>
            <w:bottom w:w="0" w:type="dxa"/>
            <w:right w:w="108" w:type="dxa"/>
          </w:tblCellMar>
        </w:tblPrEx>
        <w:trPr>
          <w:trHeight w:val="340"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B91CCB">
            <w:pPr>
              <w:widowControl/>
              <w:spacing w:line="276" w:lineRule="auto"/>
              <w:jc w:val="left"/>
              <w:rPr>
                <w:rFonts w:hint="eastAsia" w:ascii="宋体" w:hAnsi="宋体" w:eastAsia="宋体" w:cs="Times New Roman"/>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BDCA5F">
            <w:pPr>
              <w:widowControl/>
              <w:spacing w:line="276" w:lineRule="auto"/>
              <w:jc w:val="left"/>
              <w:rPr>
                <w:rFonts w:hint="eastAsia" w:ascii="宋体" w:hAnsi="宋体"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vAlign w:val="center"/>
          </w:tcPr>
          <w:p w14:paraId="712DA34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课内实验</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BCB3D7D">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60%</w:t>
            </w:r>
            <w:r>
              <w:rPr>
                <w:rFonts w:ascii="宋体" w:hAnsi="宋体" w:eastAsia="宋体" w:cs="Times New Roman"/>
                <w:kern w:val="0"/>
                <w:szCs w:val="21"/>
              </w:rPr>
              <w:t xml:space="preserve"> </w:t>
            </w:r>
          </w:p>
        </w:tc>
        <w:tc>
          <w:tcPr>
            <w:tcW w:w="1134" w:type="dxa"/>
            <w:vMerge w:val="continue"/>
            <w:tcBorders>
              <w:top w:val="single" w:color="auto" w:sz="4" w:space="0"/>
              <w:left w:val="single" w:color="auto" w:sz="4" w:space="0"/>
              <w:bottom w:val="single" w:color="auto" w:sz="4" w:space="0"/>
              <w:right w:val="single" w:color="auto" w:sz="4" w:space="0"/>
            </w:tcBorders>
          </w:tcPr>
          <w:p w14:paraId="05C49C03">
            <w:pPr>
              <w:widowControl/>
              <w:spacing w:line="276" w:lineRule="auto"/>
              <w:jc w:val="center"/>
              <w:rPr>
                <w:rFonts w:hint="eastAsia" w:ascii="宋体" w:hAnsi="宋体" w:eastAsia="宋体" w:cs="Times New Roman"/>
                <w:kern w:val="0"/>
                <w:szCs w:val="21"/>
              </w:rPr>
            </w:pPr>
          </w:p>
        </w:tc>
      </w:tr>
      <w:tr w14:paraId="1EE48F1F">
        <w:tblPrEx>
          <w:tblCellMar>
            <w:top w:w="0" w:type="dxa"/>
            <w:left w:w="108" w:type="dxa"/>
            <w:bottom w:w="0" w:type="dxa"/>
            <w:right w:w="108" w:type="dxa"/>
          </w:tblCellMar>
        </w:tblPrEx>
        <w:trPr>
          <w:trHeight w:val="549" w:hRule="atLeast"/>
          <w:jc w:val="center"/>
        </w:trPr>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8C9F9D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167CFD7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4F14DC">
            <w:pPr>
              <w:widowControl/>
              <w:spacing w:line="276" w:lineRule="auto"/>
              <w:jc w:val="center"/>
              <w:rPr>
                <w:rFonts w:hint="eastAsia" w:ascii="宋体" w:hAnsi="宋体" w:eastAsia="宋体" w:cs="Times New Roman"/>
                <w:kern w:val="0"/>
                <w:szCs w:val="21"/>
              </w:rPr>
            </w:pPr>
          </w:p>
        </w:tc>
      </w:tr>
    </w:tbl>
    <w:p w14:paraId="672B8DAE">
      <w:pPr>
        <w:spacing w:line="360" w:lineRule="auto"/>
        <w:ind w:firstLine="480"/>
        <w:rPr>
          <w:rFonts w:hint="eastAsia" w:ascii="宋体" w:hAnsi="宋体" w:eastAsia="宋体" w:cs="Times New Roman"/>
          <w:sz w:val="24"/>
        </w:rPr>
      </w:pPr>
    </w:p>
    <w:p w14:paraId="3B2CEB7B">
      <w:pPr>
        <w:spacing w:line="360" w:lineRule="auto"/>
        <w:ind w:firstLine="480"/>
        <w:rPr>
          <w:rFonts w:hint="eastAsia"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53738733">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23B8C53D">
      <w:pPr>
        <w:spacing w:line="360" w:lineRule="auto"/>
        <w:rPr>
          <w:rFonts w:hint="eastAsia" w:ascii="宋体" w:hAnsi="宋体" w:eastAsia="宋体" w:cs="Times New Roman"/>
          <w:sz w:val="24"/>
        </w:rPr>
      </w:pPr>
      <w:r>
        <w:rPr>
          <w:rFonts w:ascii="宋体" w:hAnsi="宋体" w:eastAsia="宋体" w:cs="Times New Roman"/>
          <w:sz w:val="24"/>
        </w:rPr>
        <w:drawing>
          <wp:inline distT="0" distB="0" distL="0" distR="0">
            <wp:extent cx="5274310" cy="337185"/>
            <wp:effectExtent l="0" t="0" r="889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240155ED">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07A68C42">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65F4356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本课程根据学生作业、课堂讨论、实验环节、平时考核情况和学生、教学督导等</w:t>
      </w:r>
      <w:r>
        <w:rPr>
          <w:rFonts w:hint="eastAsia" w:ascii="Times New Roman" w:hAnsi="Times New Roman" w:eastAsia="宋体" w:cs="Times New Roman"/>
          <w:sz w:val="24"/>
        </w:rPr>
        <w:t>的</w:t>
      </w:r>
      <w:r>
        <w:rPr>
          <w:rFonts w:ascii="Times New Roman" w:hAnsi="Times New Roman" w:eastAsia="宋体" w:cs="Times New Roman"/>
          <w:sz w:val="24"/>
        </w:rPr>
        <w:t>反馈，及时对教学中</w:t>
      </w:r>
      <w:r>
        <w:rPr>
          <w:rFonts w:hint="eastAsia" w:ascii="Times New Roman" w:hAnsi="Times New Roman" w:eastAsia="宋体" w:cs="Times New Roman"/>
          <w:sz w:val="24"/>
        </w:rPr>
        <w:t>的</w:t>
      </w:r>
      <w:r>
        <w:rPr>
          <w:rFonts w:ascii="Times New Roman" w:hAnsi="Times New Roman" w:eastAsia="宋体" w:cs="Times New Roman"/>
          <w:sz w:val="24"/>
        </w:rPr>
        <w:t>不足之处进行改进，并在下一轮课程教学中</w:t>
      </w:r>
      <w:r>
        <w:rPr>
          <w:rFonts w:hint="eastAsia" w:ascii="Times New Roman" w:hAnsi="Times New Roman" w:eastAsia="宋体" w:cs="Times New Roman"/>
          <w:sz w:val="24"/>
        </w:rPr>
        <w:t>整改完善</w:t>
      </w:r>
      <w:r>
        <w:rPr>
          <w:rFonts w:ascii="Times New Roman" w:hAnsi="Times New Roman" w:eastAsia="宋体" w:cs="Times New Roman"/>
          <w:sz w:val="24"/>
        </w:rPr>
        <w:t>，确保相应毕业要求指标点达成。</w:t>
      </w:r>
    </w:p>
    <w:p w14:paraId="7DB5F81C">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5B66BE66">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w:t>
      </w:r>
      <w:r>
        <w:t xml:space="preserve"> </w:t>
      </w:r>
      <w:r>
        <w:rPr>
          <w:rFonts w:ascii="Times New Roman" w:hAnsi="Times New Roman" w:eastAsia="宋体" w:cs="Times New Roman"/>
          <w:kern w:val="0"/>
          <w:sz w:val="24"/>
          <w:szCs w:val="21"/>
        </w:rPr>
        <w:t>(美)罗伯特·S·费尔德曼（Robert，S.，Feldman）著，苏彦捷译</w:t>
      </w:r>
      <w:r>
        <w:rPr>
          <w:rFonts w:hint="eastAsia" w:ascii="Times New Roman" w:hAnsi="Times New Roman" w:eastAsia="宋体" w:cs="Times New Roman"/>
          <w:kern w:val="0"/>
          <w:sz w:val="24"/>
          <w:szCs w:val="21"/>
        </w:rPr>
        <w:t>，儿童发展心理学：费尔德曼带你开启孩子的成长之旅（第</w:t>
      </w:r>
      <w:r>
        <w:rPr>
          <w:rFonts w:ascii="Times New Roman" w:hAnsi="Times New Roman" w:eastAsia="宋体" w:cs="Times New Roman"/>
          <w:kern w:val="0"/>
          <w:sz w:val="24"/>
          <w:szCs w:val="21"/>
        </w:rPr>
        <w:t>8版） (Child Development, 8th Edition)</w:t>
      </w:r>
      <w:r>
        <w:rPr>
          <w:rFonts w:hint="eastAsia" w:ascii="Times New Roman" w:hAnsi="Times New Roman" w:eastAsia="宋体" w:cs="Times New Roman"/>
          <w:kern w:val="0"/>
          <w:sz w:val="24"/>
          <w:szCs w:val="21"/>
        </w:rPr>
        <w:t>，机械工业出版社，2</w:t>
      </w:r>
      <w:r>
        <w:rPr>
          <w:rFonts w:ascii="Times New Roman" w:hAnsi="Times New Roman" w:eastAsia="宋体" w:cs="Times New Roman"/>
          <w:kern w:val="0"/>
          <w:sz w:val="24"/>
          <w:szCs w:val="21"/>
        </w:rPr>
        <w:t>021</w:t>
      </w:r>
    </w:p>
    <w:p w14:paraId="0E25BEBD">
      <w:pPr>
        <w:autoSpaceDE w:val="0"/>
        <w:autoSpaceDN w:val="0"/>
        <w:adjustRightInd w:val="0"/>
        <w:spacing w:line="360" w:lineRule="auto"/>
        <w:ind w:firstLine="42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szCs w:val="24"/>
        </w:rPr>
        <w:t xml:space="preserve"> </w:t>
      </w:r>
      <w:r>
        <w:rPr>
          <w:rFonts w:hint="eastAsia" w:ascii="Times New Roman" w:hAnsi="Times New Roman" w:eastAsia="宋体" w:cs="Times New Roman"/>
          <w:kern w:val="0"/>
          <w:sz w:val="24"/>
          <w:szCs w:val="21"/>
        </w:rPr>
        <w:t>(美)库恩 等著，心理学导论－思想与行为的认识之路（第13版），中国轻工业出版社，2014</w:t>
      </w:r>
    </w:p>
    <w:p w14:paraId="5A8D0B80">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2.（美）戴维·迈尔斯著，黄希庭等译，心理学精要，人民邮电出版社，2009</w:t>
      </w:r>
    </w:p>
    <w:p w14:paraId="2FBD3984">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3.（美）墨顿.亨特 著，寒川子，张积模译 ，心理学的故事--源起与演变，陕西师范大学出版社，2013</w:t>
      </w:r>
    </w:p>
    <w:p w14:paraId="35677897">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4.（美）理查德·格里格，菲利普·津巴多著，王垒 等译，心理学与生活（第19版），人民邮电出版社，2016 </w:t>
      </w:r>
    </w:p>
    <w:p w14:paraId="08671AA6">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5.</w:t>
      </w:r>
      <w:r>
        <w:rPr>
          <w:rFonts w:hint="eastAsia" w:ascii="Times New Roman" w:hAnsi="Times New Roman" w:eastAsia="宋体" w:cs="Times New Roman"/>
          <w:szCs w:val="24"/>
        </w:rPr>
        <w:t xml:space="preserve"> </w:t>
      </w:r>
      <w:r>
        <w:rPr>
          <w:rFonts w:ascii="Times New Roman" w:hAnsi="Times New Roman" w:eastAsia="宋体" w:cs="Times New Roman"/>
          <w:kern w:val="0"/>
          <w:sz w:val="24"/>
          <w:szCs w:val="21"/>
        </w:rPr>
        <w:t>(美)谢弗（Shaffer，D. R.）等著，邹泓等译</w:t>
      </w:r>
      <w:r>
        <w:rPr>
          <w:rFonts w:hint="eastAsia" w:ascii="Times New Roman" w:hAnsi="Times New Roman" w:eastAsia="宋体" w:cs="Times New Roman"/>
          <w:kern w:val="0"/>
          <w:sz w:val="24"/>
          <w:szCs w:val="21"/>
        </w:rPr>
        <w:t>，发展心理学</w:t>
      </w:r>
      <w:r>
        <w:rPr>
          <w:rFonts w:ascii="Times New Roman" w:hAnsi="Times New Roman" w:eastAsia="宋体" w:cs="Times New Roman"/>
          <w:kern w:val="0"/>
          <w:sz w:val="24"/>
          <w:szCs w:val="21"/>
        </w:rPr>
        <w:t>(第九版)</w:t>
      </w:r>
      <w:r>
        <w:rPr>
          <w:rFonts w:hint="eastAsia" w:ascii="Times New Roman" w:hAnsi="Times New Roman" w:eastAsia="宋体" w:cs="Times New Roman"/>
          <w:kern w:val="0"/>
          <w:sz w:val="24"/>
          <w:szCs w:val="21"/>
        </w:rPr>
        <w:t>，中国轻工业出版社，2</w:t>
      </w:r>
      <w:r>
        <w:rPr>
          <w:rFonts w:ascii="Times New Roman" w:hAnsi="Times New Roman" w:eastAsia="宋体" w:cs="Times New Roman"/>
          <w:kern w:val="0"/>
          <w:sz w:val="24"/>
          <w:szCs w:val="21"/>
        </w:rPr>
        <w:t>016</w:t>
      </w:r>
    </w:p>
    <w:p w14:paraId="5A720C06">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6.彭聃龄，普通心理学(第5版)，北京师范大学出版社，201</w:t>
      </w:r>
      <w:r>
        <w:rPr>
          <w:rFonts w:ascii="Times New Roman" w:hAnsi="Times New Roman" w:eastAsia="宋体" w:cs="Times New Roman"/>
          <w:kern w:val="0"/>
          <w:sz w:val="24"/>
          <w:szCs w:val="21"/>
        </w:rPr>
        <w:t>9</w:t>
      </w:r>
    </w:p>
    <w:p w14:paraId="4356603E">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7.黄希庭、郑涌著，心理学导论，人民教育出版社，2</w:t>
      </w:r>
      <w:r>
        <w:rPr>
          <w:rFonts w:ascii="Times New Roman" w:hAnsi="Times New Roman" w:eastAsia="宋体" w:cs="Times New Roman"/>
          <w:kern w:val="0"/>
          <w:sz w:val="24"/>
          <w:szCs w:val="21"/>
        </w:rPr>
        <w:t>015</w:t>
      </w:r>
    </w:p>
    <w:p w14:paraId="3A57B0EE">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8.桑标，儿童发展，华东师范大学出版社，201</w:t>
      </w:r>
      <w:r>
        <w:rPr>
          <w:rFonts w:ascii="Times New Roman" w:hAnsi="Times New Roman" w:eastAsia="宋体" w:cs="Times New Roman"/>
          <w:kern w:val="0"/>
          <w:sz w:val="24"/>
          <w:szCs w:val="21"/>
        </w:rPr>
        <w:t>4</w:t>
      </w:r>
    </w:p>
    <w:p w14:paraId="2FF8B212">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9.雷雳，发展心理学，中国人民出版社，2009</w:t>
      </w:r>
    </w:p>
    <w:p w14:paraId="38444559">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10.刘梅主编，儿童发展心理学，清华大学出版社，2010</w:t>
      </w:r>
    </w:p>
    <w:p w14:paraId="61A13A0D">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58B38AC5">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14B06B1E">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1E4971F0">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缪周芬</w:t>
      </w:r>
    </w:p>
    <w:p w14:paraId="49F7827B">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张志欣</w:t>
      </w:r>
      <w:r>
        <w:rPr>
          <w:rFonts w:ascii="Times New Roman" w:hAnsi="Times New Roman" w:eastAsia="宋体" w:cs="Times New Roman"/>
          <w:kern w:val="0"/>
          <w:sz w:val="24"/>
          <w:szCs w:val="21"/>
        </w:rPr>
        <w:t xml:space="preserve"> </w:t>
      </w:r>
    </w:p>
    <w:p w14:paraId="6E30421D">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张建波</w:t>
      </w:r>
    </w:p>
    <w:p w14:paraId="7729C805">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w:t>
      </w:r>
      <w:r>
        <w:rPr>
          <w:rFonts w:ascii="Times New Roman" w:hAnsi="Times New Roman" w:eastAsia="宋体" w:cs="Times New Roman"/>
          <w:kern w:val="0"/>
          <w:sz w:val="24"/>
          <w:szCs w:val="21"/>
        </w:rPr>
        <w:t>2</w:t>
      </w:r>
      <w:r>
        <w:rPr>
          <w:rFonts w:hint="eastAsia" w:ascii="Times New Roman" w:hAnsi="Times New Roman" w:eastAsia="宋体" w:cs="Times New Roman"/>
          <w:kern w:val="0"/>
          <w:sz w:val="24"/>
          <w:szCs w:val="21"/>
        </w:rPr>
        <w:t>2年8月30日</w:t>
      </w:r>
    </w:p>
    <w:p w14:paraId="05864BD5">
      <w:pPr>
        <w:widowControl/>
        <w:spacing w:line="360" w:lineRule="auto"/>
        <w:jc w:val="left"/>
        <w:rPr>
          <w:rFonts w:ascii="宋体" w:hAnsi="宋体" w:eastAsia="宋体" w:cs="Times New Roman"/>
          <w:sz w:val="24"/>
          <w:szCs w:val="24"/>
        </w:rPr>
      </w:pPr>
      <w:r>
        <w:rPr>
          <w:rFonts w:ascii="宋体" w:hAnsi="宋体" w:eastAsia="宋体" w:cs="Times New Roman"/>
          <w:sz w:val="24"/>
          <w:szCs w:val="24"/>
        </w:rPr>
        <w:br w:type="page"/>
      </w:r>
    </w:p>
    <w:p w14:paraId="3B211475">
      <w:pPr>
        <w:spacing w:line="360" w:lineRule="auto"/>
        <w:jc w:val="center"/>
        <w:outlineLvl w:val="0"/>
        <w:rPr>
          <w:rFonts w:hint="eastAsia" w:ascii="宋体" w:hAnsi="宋体" w:eastAsia="宋体"/>
          <w:b/>
          <w:sz w:val="30"/>
          <w:szCs w:val="30"/>
        </w:rPr>
      </w:pPr>
      <w:bookmarkStart w:id="52" w:name="_Toc57017171"/>
      <w:r>
        <w:rPr>
          <w:rFonts w:hint="eastAsia" w:ascii="宋体" w:hAnsi="宋体" w:eastAsia="宋体"/>
          <w:b/>
          <w:sz w:val="30"/>
          <w:szCs w:val="30"/>
        </w:rPr>
        <w:t>教育原理课程教学大纲</w:t>
      </w:r>
      <w:bookmarkEnd w:id="52"/>
    </w:p>
    <w:p w14:paraId="02CEFBA3">
      <w:pPr>
        <w:spacing w:line="360" w:lineRule="auto"/>
        <w:jc w:val="center"/>
        <w:rPr>
          <w:rFonts w:ascii="Times New Roman" w:hAnsi="Times New Roman" w:eastAsia="宋体" w:cs="Times New Roman"/>
          <w:b/>
          <w:sz w:val="28"/>
          <w:szCs w:val="28"/>
        </w:rPr>
      </w:pPr>
      <w:r>
        <w:rPr>
          <w:rFonts w:ascii="Times New Roman" w:hAnsi="Times New Roman" w:eastAsia="宋体" w:cs="Times New Roman"/>
          <w:b/>
          <w:sz w:val="28"/>
          <w:szCs w:val="28"/>
        </w:rPr>
        <w:t>（</w:t>
      </w:r>
      <w:r>
        <w:rPr>
          <w:rFonts w:ascii="Times New Roman" w:hAnsi="Times New Roman" w:cs="Times New Roman"/>
          <w:b/>
          <w:sz w:val="28"/>
          <w:szCs w:val="28"/>
        </w:rPr>
        <w:t>Pedagogical Principles</w:t>
      </w:r>
      <w:r>
        <w:rPr>
          <w:rFonts w:ascii="Times New Roman" w:hAnsi="Times New Roman" w:eastAsia="宋体" w:cs="Times New Roman"/>
          <w:b/>
          <w:sz w:val="28"/>
          <w:szCs w:val="28"/>
        </w:rPr>
        <w:t>）</w:t>
      </w:r>
    </w:p>
    <w:p w14:paraId="4E7D849A">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41CBE9D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2401005</w:t>
      </w:r>
    </w:p>
    <w:p w14:paraId="6753558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78BD7C8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（其中：讲授学时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学时</w:t>
      </w:r>
      <w:r>
        <w:rPr>
          <w:rFonts w:hint="eastAsia" w:ascii="Times New Roman" w:hAnsi="Times New Roman" w:eastAsia="宋体" w:cs="Times New Roman"/>
          <w:sz w:val="24"/>
          <w:szCs w:val="24"/>
        </w:rPr>
        <w:t>0</w:t>
      </w:r>
      <w:r>
        <w:rPr>
          <w:rFonts w:ascii="Times New Roman" w:hAnsi="Times New Roman" w:eastAsia="宋体" w:cs="Times New Roman"/>
          <w:sz w:val="24"/>
          <w:szCs w:val="24"/>
        </w:rPr>
        <w:t>）</w:t>
      </w:r>
    </w:p>
    <w:p w14:paraId="5031469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小学心理学</w:t>
      </w:r>
    </w:p>
    <w:p w14:paraId="23E9034F">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4EEAE59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《教育学原理》，马克思主义理论和建设工程重点教材，《教育学原理》编写组，高等教育出版社，201</w:t>
      </w:r>
      <w:r>
        <w:rPr>
          <w:rFonts w:ascii="Times New Roman" w:hAnsi="Times New Roman" w:eastAsia="宋体" w:cs="Times New Roman"/>
          <w:sz w:val="24"/>
          <w:szCs w:val="24"/>
        </w:rPr>
        <w:t>9.</w:t>
      </w:r>
    </w:p>
    <w:p w14:paraId="30F4FC75">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252354F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sz w:val="24"/>
          <w:szCs w:val="24"/>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067757EC">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二、课程目标</w:t>
      </w:r>
    </w:p>
    <w:p w14:paraId="41A9A83D">
      <w:pPr>
        <w:spacing w:line="360" w:lineRule="auto"/>
        <w:ind w:firstLine="482" w:firstLineChars="200"/>
        <w:jc w:val="left"/>
        <w:rPr>
          <w:rFonts w:ascii="Times New Roman" w:hAnsi="Times New Roman" w:eastAsia="宋体" w:cs="Times New Roman"/>
          <w:b/>
          <w:sz w:val="24"/>
          <w:szCs w:val="28"/>
        </w:rPr>
      </w:pPr>
      <w:r>
        <w:rPr>
          <w:rFonts w:hint="eastAsia" w:ascii="Times New Roman" w:hAnsi="Times New Roman" w:eastAsia="宋体" w:cs="Times New Roman"/>
          <w:b/>
          <w:sz w:val="24"/>
          <w:szCs w:val="28"/>
        </w:rPr>
        <w:t>（一）课程具体目标</w:t>
      </w:r>
    </w:p>
    <w:p w14:paraId="7AD9272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目标1.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知识与能力目标：</w:t>
      </w:r>
      <w:r>
        <w:rPr>
          <w:rFonts w:hint="eastAsia" w:ascii="Times New Roman" w:hAnsi="Times New Roman" w:eastAsia="宋体" w:cs="Times New Roman"/>
          <w:sz w:val="24"/>
          <w:szCs w:val="24"/>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689B8BF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目标</w:t>
      </w:r>
      <w:r>
        <w:rPr>
          <w:rFonts w:ascii="Times New Roman" w:hAnsi="Times New Roman" w:eastAsia="宋体" w:cs="Times New Roman"/>
          <w:b/>
          <w:bCs/>
          <w:sz w:val="24"/>
          <w:szCs w:val="24"/>
        </w:rPr>
        <w:t xml:space="preserve">2. </w:t>
      </w:r>
      <w:r>
        <w:rPr>
          <w:rFonts w:hint="eastAsia" w:ascii="Times New Roman" w:hAnsi="Times New Roman" w:eastAsia="宋体" w:cs="Times New Roman"/>
          <w:b/>
          <w:bCs/>
          <w:sz w:val="24"/>
          <w:szCs w:val="24"/>
        </w:rPr>
        <w:t>过程与方法目标：</w:t>
      </w:r>
      <w:r>
        <w:rPr>
          <w:rFonts w:hint="eastAsia" w:ascii="Times New Roman" w:hAnsi="Times New Roman" w:eastAsia="宋体" w:cs="Times New Roman"/>
          <w:sz w:val="24"/>
          <w:szCs w:val="24"/>
        </w:rPr>
        <w:t>理解教育问题与教育现象背后的教育本质与教育规律，能自觉运用专业思维和方法探究教育现象、反思教育实践、分析并解决教育问题；掌握一定的教育研究方法，为今后从事教育研究与实践工作打下良好基础。</w:t>
      </w:r>
    </w:p>
    <w:p w14:paraId="794AADF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目标3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情感态度与价值观目标：</w:t>
      </w:r>
      <w:r>
        <w:rPr>
          <w:rFonts w:hint="eastAsia" w:ascii="Times New Roman" w:hAnsi="Times New Roman" w:eastAsia="宋体" w:cs="Times New Roman"/>
          <w:sz w:val="24"/>
          <w:szCs w:val="24"/>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627EA050">
      <w:pPr>
        <w:spacing w:line="360" w:lineRule="auto"/>
        <w:jc w:val="left"/>
        <w:rPr>
          <w:rFonts w:ascii="Times New Roman" w:hAnsi="Times New Roman" w:eastAsia="宋体" w:cs="Times New Roman"/>
          <w:sz w:val="22"/>
          <w:szCs w:val="24"/>
        </w:rPr>
      </w:pPr>
      <w:r>
        <w:rPr>
          <w:rFonts w:hint="eastAsia" w:ascii="Times New Roman" w:hAnsi="Times New Roman" w:eastAsia="宋体" w:cs="Times New Roman"/>
          <w:b/>
          <w:bCs/>
          <w:sz w:val="24"/>
          <w:szCs w:val="28"/>
        </w:rPr>
        <w:t>（二）课程目标与专业毕业要求的关系</w:t>
      </w:r>
    </w:p>
    <w:tbl>
      <w:tblPr>
        <w:tblStyle w:val="30"/>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1F4CD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D7612FE">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48998314">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6578E7DF">
            <w:pPr>
              <w:spacing w:line="276" w:lineRule="auto"/>
              <w:ind w:firstLine="422" w:firstLineChars="200"/>
              <w:jc w:val="center"/>
              <w:rPr>
                <w:rFonts w:hint="eastAsia" w:ascii="宋体" w:hAnsi="宋体" w:eastAsia="宋体" w:cs="Times New Roman"/>
                <w:b/>
                <w:bCs/>
                <w:szCs w:val="21"/>
              </w:rPr>
            </w:pPr>
            <w:r>
              <w:rPr>
                <w:rFonts w:hint="eastAsia" w:ascii="宋体" w:hAnsi="宋体" w:eastAsia="宋体" w:cs="Times New Roman"/>
                <w:b/>
                <w:bCs/>
                <w:szCs w:val="21"/>
              </w:rPr>
              <w:t>支撑的毕业要求指标点</w:t>
            </w:r>
          </w:p>
        </w:tc>
      </w:tr>
      <w:tr w14:paraId="06CFB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57236504">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23" w:type="dxa"/>
            <w:vAlign w:val="center"/>
          </w:tcPr>
          <w:p w14:paraId="2742E319">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学科素养</w:t>
            </w:r>
          </w:p>
          <w:p w14:paraId="26BC7257">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毕业要求5</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班级管理</w:t>
            </w:r>
          </w:p>
          <w:p w14:paraId="359AF917">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tc>
        <w:tc>
          <w:tcPr>
            <w:tcW w:w="4977" w:type="dxa"/>
            <w:vAlign w:val="center"/>
          </w:tcPr>
          <w:p w14:paraId="034E09CC">
            <w:pPr>
              <w:spacing w:line="276" w:lineRule="auto"/>
              <w:jc w:val="left"/>
              <w:rPr>
                <w:rFonts w:hint="eastAsia" w:ascii="宋体" w:hAnsi="宋体" w:eastAsia="宋体" w:cs="Times New Roman"/>
                <w:color w:val="000000"/>
                <w:kern w:val="0"/>
                <w:szCs w:val="21"/>
              </w:rPr>
            </w:pPr>
            <w:r>
              <w:rPr>
                <w:rFonts w:ascii="宋体" w:hAnsi="宋体" w:eastAsia="宋体" w:cs="Times New Roman"/>
                <w:color w:val="000000"/>
                <w:kern w:val="0"/>
                <w:szCs w:val="21"/>
              </w:rPr>
              <w:t>指标点3-1：</w:t>
            </w:r>
            <w:r>
              <w:rPr>
                <w:rFonts w:hint="eastAsia" w:ascii="宋体" w:hAnsi="宋体" w:eastAsia="宋体" w:cs="Times New Roman"/>
                <w:color w:val="000000"/>
                <w:kern w:val="0"/>
                <w:szCs w:val="21"/>
              </w:rPr>
              <w:t>【教育基础扎实】具有良好的人文底蕴与科学素养，掌握教育理论基本知识，能够结合小学生认知发展特点，运用教育原理和方法，分析和解决教育教学实践中的问题。</w:t>
            </w:r>
          </w:p>
          <w:p w14:paraId="21429F00">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5-1：【擅长班队管理】获得小学班队组织与建设的体验。掌握小学班队组织与建设的工作规律和基本方法，具有班队建设和管理的基本能力。</w:t>
            </w:r>
          </w:p>
          <w:p w14:paraId="7F6CEDD4">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5-2：【强化德育地位】获得小学德育工作体验，树立德育为先的理念，熟悉小学德育的基本原理与方法。</w:t>
            </w:r>
          </w:p>
          <w:p w14:paraId="11A7DDCC">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7-1：【教育视野开阔】积极参加基础教育领域的国内外交流，了解国内外基础教育改革发展的动态，具有宽广的教育视野，能够主动适应新时代和教育发展需求。</w:t>
            </w:r>
          </w:p>
        </w:tc>
      </w:tr>
      <w:tr w14:paraId="65829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6AF539D4">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课程目标2</w:t>
            </w:r>
          </w:p>
        </w:tc>
        <w:tc>
          <w:tcPr>
            <w:tcW w:w="2223" w:type="dxa"/>
            <w:vAlign w:val="center"/>
          </w:tcPr>
          <w:p w14:paraId="3211CBAC">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p w14:paraId="2819698F">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hint="eastAsia" w:ascii="宋体" w:hAnsi="宋体" w:eastAsia="宋体" w:cs="Times New Roman"/>
                <w:color w:val="000000"/>
                <w:kern w:val="0"/>
                <w:szCs w:val="21"/>
              </w:rPr>
              <w:t>学会反思</w:t>
            </w:r>
          </w:p>
        </w:tc>
        <w:tc>
          <w:tcPr>
            <w:tcW w:w="4977" w:type="dxa"/>
            <w:vAlign w:val="center"/>
          </w:tcPr>
          <w:p w14:paraId="4718BCAD">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4-4：【教学研究能力好】掌握教育研究的基本方法，结合小学教育教学实践进行研究，具有一定的教学研究能力。</w:t>
            </w:r>
          </w:p>
          <w:p w14:paraId="1EB2F81A">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2AB50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42497444">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课程目标3</w:t>
            </w:r>
          </w:p>
        </w:tc>
        <w:tc>
          <w:tcPr>
            <w:tcW w:w="2223" w:type="dxa"/>
            <w:vAlign w:val="center"/>
          </w:tcPr>
          <w:p w14:paraId="42ED0CA9">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师德规范</w:t>
            </w:r>
          </w:p>
          <w:p w14:paraId="6C4F92A3">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毕业要求2</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教育情怀</w:t>
            </w:r>
          </w:p>
        </w:tc>
        <w:tc>
          <w:tcPr>
            <w:tcW w:w="4977" w:type="dxa"/>
            <w:vAlign w:val="center"/>
          </w:tcPr>
          <w:p w14:paraId="2D84534B">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1-1：【理想信念坚定】认同中国特色社会主义，贯彻党的教育方针，自觉践行社会主义核心价值观，树立职业理想，立志成为有理想信念、有道德情操、有扎实学识、有仁爱之心的好教师。</w:t>
            </w:r>
          </w:p>
          <w:p w14:paraId="265241F3">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指标点1-</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w:t>
            </w:r>
            <w:r>
              <w:rPr>
                <w:rFonts w:ascii="宋体" w:hAnsi="宋体" w:eastAsia="宋体" w:cs="Times New Roman"/>
                <w:color w:val="000000"/>
                <w:spacing w:val="2"/>
                <w:kern w:val="0"/>
                <w:szCs w:val="21"/>
              </w:rPr>
              <w:t xml:space="preserve"> 教育实践中能履行应尽义务，自觉维护学生和自身的合法权益。</w:t>
            </w:r>
          </w:p>
          <w:p w14:paraId="136D6015">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2-1：【职业认同感强】具有家国情怀，乐于从教，热爱教育事业，具有较高的教师职业认同感，认同教师职业的专业性与意义性。</w:t>
            </w:r>
          </w:p>
          <w:p w14:paraId="0DB3195A">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bl>
    <w:p w14:paraId="1475D873">
      <w:pPr>
        <w:spacing w:before="156" w:beforeLines="50" w:line="338"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（三）课程思政目标</w:t>
      </w:r>
    </w:p>
    <w:p w14:paraId="6F346785">
      <w:pPr>
        <w:spacing w:line="338"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具体到思政目标上，本课程旨在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0B435EFC">
      <w:pPr>
        <w:spacing w:line="338"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三、课程内容及要求</w:t>
      </w:r>
    </w:p>
    <w:p w14:paraId="158E4935">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（一）绪论：教育学及其发展（本模块各知识点的讲授与学习，可以支撑课程目标1）</w:t>
      </w:r>
    </w:p>
    <w:p w14:paraId="6A24B7BA">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30C295F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（1）教育学及其研究对象</w:t>
      </w:r>
    </w:p>
    <w:p w14:paraId="3EB24A8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（2）教育学的产生和发展</w:t>
      </w:r>
    </w:p>
    <w:p w14:paraId="6929E814">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（3）中国化马克思主义教育理论的发展</w:t>
      </w:r>
    </w:p>
    <w:p w14:paraId="5470641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（4）学习和研究教育学的指导思想</w:t>
      </w:r>
    </w:p>
    <w:p w14:paraId="5D4F7787">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5DA140E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（1）理解教育学的概念表述</w:t>
      </w:r>
    </w:p>
    <w:p w14:paraId="74621DC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（2）了解教育学的学科性质、研究对象、发展历史以及中国化马克思主义教育理论的发展</w:t>
      </w:r>
    </w:p>
    <w:p w14:paraId="00D099F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（3）掌握学习和研究教育学的基本方法和指导思想</w:t>
      </w:r>
    </w:p>
    <w:p w14:paraId="21B76B6D">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（4）初步学会运用教育理论、教育规律指导实践，提高学习教育学的自觉性</w:t>
      </w:r>
    </w:p>
    <w:p w14:paraId="45E18E92">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0894D26C">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p w14:paraId="66B0CE5C">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教育学的概念阐述，教育学的历史发展</w:t>
      </w:r>
    </w:p>
    <w:p w14:paraId="261ACE7A">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中国化马克思主义教育理论的发展</w:t>
      </w:r>
    </w:p>
    <w:p w14:paraId="327259FB">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（二）教育及其本质（本模块各知识点的讲授与学习，可以支撑课程目标1）</w:t>
      </w:r>
    </w:p>
    <w:p w14:paraId="10476982">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0476F3F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（1）教育的产生与发展</w:t>
      </w:r>
    </w:p>
    <w:p w14:paraId="55D7ABC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（2）教育的基本内涵</w:t>
      </w:r>
    </w:p>
    <w:p w14:paraId="0422C17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（3）教育的要素与形态</w:t>
      </w:r>
    </w:p>
    <w:p w14:paraId="69CFB761">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793CED17">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）正确理解并掌握“教育”的概念及其含义。</w:t>
      </w:r>
    </w:p>
    <w:p w14:paraId="0CB42AD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）了解教育发展的基本阶段及每个阶段教育的重要特征、代表人物及其著作和主要思想主张。</w:t>
      </w:r>
    </w:p>
    <w:p w14:paraId="116C0782">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）理解教育的基本要素及它们之间的关系，以及在当代的变化。</w:t>
      </w:r>
    </w:p>
    <w:p w14:paraId="447AD262">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（4）理解教育理论在日常生活和教育改革中的价值。</w:t>
      </w:r>
    </w:p>
    <w:p w14:paraId="0EA7EF4A">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75078591">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使学生形成对教育的阶级性和教育与社会意识形态关系的正确认知，明确社会主义教育的本质。把握教育的本质在于培养人，深刻理解习近平曾多次论述的教育要“培养什么人、怎样培养人、为谁培养人”的问题。</w:t>
      </w:r>
    </w:p>
    <w:p w14:paraId="40B7F5EC">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教育的概念</w:t>
      </w:r>
    </w:p>
    <w:p w14:paraId="0B18147F">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教育的要素及其关系</w:t>
      </w:r>
    </w:p>
    <w:p w14:paraId="2ADE65E9">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（三）教育与社会发展（本模块各知识点的讲授与学习可以支撑课程目标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2AFD5302">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606E317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（1）社会对教育发展的影响</w:t>
      </w:r>
    </w:p>
    <w:p w14:paraId="133244B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（2）教育对社会发展的促进功能</w:t>
      </w:r>
    </w:p>
    <w:p w14:paraId="0C294CCA">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（3）教育在社会主义现代化建设中的地位与作用</w:t>
      </w:r>
    </w:p>
    <w:p w14:paraId="19D89BCB">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2A72E79C">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（1）全面地认识经济、政治、文化、科技等对现代教育的制约性影响。</w:t>
      </w:r>
    </w:p>
    <w:p w14:paraId="1647DF9B">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（2）科学地认识教育对政治、经济、文化、科技等社会要求影响的原理与有限性。</w:t>
      </w:r>
    </w:p>
    <w:p w14:paraId="6E7FC1B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（3）了解当前政治、经济、文化、科技等社会要素的新发展带来的教育影响。</w:t>
      </w:r>
    </w:p>
    <w:p w14:paraId="77EAD373">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28420EEF">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通过对教育对社会促进功能的认识和教育在社会主义现代化建设中的地位和作用的认识， 培养学生的家国情怀和爱国主义情感，能正确处理个人、集体、社会、</w:t>
      </w:r>
      <w:r>
        <w:rPr>
          <w:rFonts w:ascii="Times New Roman" w:hAnsi="Times New Roman" w:eastAsia="宋体" w:cs="Times New Roman"/>
          <w:sz w:val="24"/>
          <w:szCs w:val="24"/>
        </w:rPr>
        <w:t xml:space="preserve"> 国家间的关系。</w:t>
      </w:r>
    </w:p>
    <w:p w14:paraId="25F1BE92">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教育的社会功能</w:t>
      </w:r>
    </w:p>
    <w:p w14:paraId="4A4AD01E">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教育功能的实现</w:t>
      </w:r>
    </w:p>
    <w:p w14:paraId="437527E9">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（四）教育与人的发展（本模块各知识点的讲授与学习可以支撑课程目标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w:t>
      </w:r>
      <w:r>
        <w:rPr>
          <w:rFonts w:ascii="Times New Roman" w:hAnsi="Times New Roman" w:eastAsia="宋体" w:cs="Times New Roman"/>
          <w:b/>
          <w:sz w:val="24"/>
          <w:szCs w:val="24"/>
        </w:rPr>
        <w:t>2、课程目标3</w:t>
      </w:r>
      <w:r>
        <w:rPr>
          <w:rFonts w:hint="eastAsia" w:ascii="Times New Roman" w:hAnsi="Times New Roman" w:eastAsia="宋体" w:cs="Times New Roman"/>
          <w:b/>
          <w:sz w:val="24"/>
          <w:szCs w:val="24"/>
        </w:rPr>
        <w:t>）</w:t>
      </w:r>
    </w:p>
    <w:p w14:paraId="7662058A">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232F85D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（1）人的身心发展及其影响因素</w:t>
      </w:r>
    </w:p>
    <w:p w14:paraId="24DA1B5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（2）教育促进个体发展的功能</w:t>
      </w:r>
    </w:p>
    <w:p w14:paraId="268427F4">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（3）教育促进个体发展的条件</w:t>
      </w:r>
    </w:p>
    <w:p w14:paraId="0137DA97">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1D2478AA">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（1）了解人性问题的不同认识及其对教育的影响，懂得人的可教性与必教性的道理。</w:t>
      </w:r>
    </w:p>
    <w:p w14:paraId="201BC9E4">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（2）能够辩证地认识遗传、环境、教育和个体实践等与人发展的关系。</w:t>
      </w:r>
    </w:p>
    <w:p w14:paraId="2F68DF4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（4）理解教育与个性发展的关系。</w:t>
      </w:r>
    </w:p>
    <w:p w14:paraId="3B2C376E">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40A330C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通过了解人的身心发展的特点，培养学生热爱教育事业和学生的情感，增强从事教育事业的责任感和使命感。</w:t>
      </w:r>
    </w:p>
    <w:p w14:paraId="2FB8273A">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影响人发展的因素及其相互关系、教育促进个体发展的功能</w:t>
      </w:r>
    </w:p>
    <w:p w14:paraId="1D9B9D4D">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教育促进个体发展的条件</w:t>
      </w:r>
    </w:p>
    <w:p w14:paraId="26E5AF74">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（五）教育目的（本模块各知识点的讲授与学习，可以支撑课程目标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7E05FD5C">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4EF4F75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（1）教育目的的概述</w:t>
      </w:r>
    </w:p>
    <w:p w14:paraId="58D806F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（2）我国教育目的的理论基础</w:t>
      </w:r>
    </w:p>
    <w:p w14:paraId="74E5A71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（3）我国的教育目的</w:t>
      </w:r>
    </w:p>
    <w:p w14:paraId="400FA6D0">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（4）素质教育与创新人才培养</w:t>
      </w:r>
    </w:p>
    <w:p w14:paraId="35FCADDA">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5250C30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（1）掌握教育目的、培养目标、全面发展教育等基本概念。</w:t>
      </w:r>
    </w:p>
    <w:p w14:paraId="0A3FEFEC">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（2）理解教育目的的内容与功能、依据与类型。</w:t>
      </w:r>
    </w:p>
    <w:p w14:paraId="2EBCB40B">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（3）了解我国教育方针的演变，能够联系实际认识我国教育目的，能够正确认识素质教育和应试教育问题。</w:t>
      </w:r>
    </w:p>
    <w:p w14:paraId="27737D75">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0E40E73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通过对我国教育目的的认识和理解，能够具有社会责任感、创新精神和实践能力，主动践行社会主义核心价值观，在未来的教育实践中能主动推进素质教育，培养创新人才，从而实现中华民族的伟大复兴。</w:t>
      </w:r>
    </w:p>
    <w:p w14:paraId="3892F25A">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我国教育目的的基本内容</w:t>
      </w:r>
    </w:p>
    <w:p w14:paraId="67FA7088">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我国教育目的的理论基础、素质教育与创新人才的培养</w:t>
      </w:r>
    </w:p>
    <w:p w14:paraId="47891EB2">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（六）人的全面发展教育（本模块各知识点的讲授与学习，可以支撑课程目标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455AC33B">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15408C87">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（1）德育</w:t>
      </w:r>
    </w:p>
    <w:p w14:paraId="373E01AD">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（2）智育</w:t>
      </w:r>
    </w:p>
    <w:p w14:paraId="06333FB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（3）体育</w:t>
      </w:r>
    </w:p>
    <w:p w14:paraId="5412AC90">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（4）美育</w:t>
      </w:r>
    </w:p>
    <w:p w14:paraId="1A1D278E">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（5）劳动技术教育</w:t>
      </w:r>
    </w:p>
    <w:p w14:paraId="295879E5">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0A4236D2">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（1）了解人的全面发展理论、内涵以及其相互关系</w:t>
      </w:r>
    </w:p>
    <w:p w14:paraId="6C72C5A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（2）理解德育、智育、体育、美育、劳动技术教育的内涵及实施</w:t>
      </w:r>
    </w:p>
    <w:p w14:paraId="2189A11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（3）掌握全面发展教育各内容之间的辩证关系</w:t>
      </w:r>
    </w:p>
    <w:p w14:paraId="3F0C9DDD">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2DFDE7F2">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通过对人的全面发展教育的学习，引导学生树立正确的世界观、人生观和价值观，立志成为“德智体美劳全面发展”的社会主义事业的建设者和接班人。</w:t>
      </w:r>
    </w:p>
    <w:p w14:paraId="32B86969">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全面发展的内涵及相互关系</w:t>
      </w:r>
    </w:p>
    <w:p w14:paraId="50C438CA">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马克思主义关于人的全面发展学说</w:t>
      </w:r>
    </w:p>
    <w:p w14:paraId="2C17E388">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（七）学校教育制度（本模块各知识点的讲授与学习，可以支撑课程目标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25FA111C">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47B462FC">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（1）学校的形成与发展</w:t>
      </w:r>
    </w:p>
    <w:p w14:paraId="38636AAB">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（2）现代学校教育制度</w:t>
      </w:r>
    </w:p>
    <w:p w14:paraId="38D9FF7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（3）学校教育制度的改革</w:t>
      </w:r>
    </w:p>
    <w:p w14:paraId="69E2EDB6">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43436A37">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（1）识记教育制度和学校教育制度的含义、现代学校教育制度的类型</w:t>
      </w:r>
    </w:p>
    <w:p w14:paraId="5274C95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（2）理解教育制度和学校教育制度的历史发展过程</w:t>
      </w:r>
    </w:p>
    <w:p w14:paraId="04E24353">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（3）把握教育制度和学校教育制度的改革和发展趋势</w:t>
      </w:r>
    </w:p>
    <w:p w14:paraId="671B7D7F">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（4）运用学校教育制度的有关知识来分析我国现行教育制度</w:t>
      </w:r>
    </w:p>
    <w:p w14:paraId="39BF8010">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7BD7186C">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让学生明确学校本身就是人类文明的重要成果和结晶，赋有传承文明和促进文明发展的使命；</w:t>
      </w:r>
      <w:r>
        <w:rPr>
          <w:rFonts w:ascii="Times New Roman" w:hAnsi="Times New Roman" w:eastAsia="宋体" w:cs="Times New Roman"/>
          <w:sz w:val="24"/>
          <w:szCs w:val="24"/>
        </w:rPr>
        <w:t>现代学校教育制度的改革是“加快教育现代化，办好人民满意的教育”的重要举措。</w:t>
      </w:r>
      <w:r>
        <w:rPr>
          <w:rFonts w:hint="eastAsia" w:ascii="Times New Roman" w:hAnsi="Times New Roman" w:eastAsia="宋体" w:cs="Times New Roman"/>
          <w:sz w:val="24"/>
          <w:szCs w:val="24"/>
        </w:rPr>
        <w:t>从而增强学生责任感和使命感，主动投身教育事业，“办好人民满意的教育”，做人民满意的教师。</w:t>
      </w:r>
    </w:p>
    <w:p w14:paraId="2FC8D965">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现代学校教育制度的形成和特点</w:t>
      </w:r>
    </w:p>
    <w:p w14:paraId="406DCA17">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制约教育制度的社会因素、我国现行学校教育制度的演变和改革</w:t>
      </w:r>
    </w:p>
    <w:p w14:paraId="75E576EB">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（八）课程（本模块各知识点的讲授与学习，可以支撑课程目标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49B4F7E9">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7D98B973">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（1）课程概述</w:t>
      </w:r>
    </w:p>
    <w:p w14:paraId="418B82B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（2）课程开发</w:t>
      </w:r>
    </w:p>
    <w:p w14:paraId="5C3C176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（3）课程改革</w:t>
      </w:r>
    </w:p>
    <w:p w14:paraId="455774AE">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7F2F0AC7">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（1）了解关于课程本质的不同观点，掌握现代课程的本质和特点，能够批判性地分析各种现代课程的各种理念。</w:t>
      </w:r>
    </w:p>
    <w:p w14:paraId="6D26C068">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（2）了解课程结构的内涵、特点和组织， 能够掌握现代课程资源的类型和开发策略，并能够根据实际工作需要开发课程资源。</w:t>
      </w:r>
    </w:p>
    <w:p w14:paraId="0ABADF10">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（3）能够正确理解我国基础教育改革的背景、目标、创新，了解其未来的发展趋势。</w:t>
      </w:r>
    </w:p>
    <w:p w14:paraId="5C09ABCC">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06DF2CF6">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使学社理解新课程的基本价值取向是：为了中华民族的复兴，为了每一个学生的发展。使学生产生强烈的文化认同感和民族自豪感，为了中华民族的复兴，为了培养全面发展的社会主义建设者和接班人投身教育事业。</w:t>
      </w:r>
    </w:p>
    <w:p w14:paraId="29134A54">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课程的类型、影响课程变革的重要因素、齐国课程改革的未来发展</w:t>
      </w:r>
    </w:p>
    <w:p w14:paraId="6DC3221A">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课程开发之泰勒原理</w:t>
      </w:r>
    </w:p>
    <w:p w14:paraId="23259D56">
      <w:pPr>
        <w:spacing w:line="338"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（九）教学（本模块各知识点的讲授与学习，可以支撑课程目标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2BECD208">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10771410">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（1）教学概述</w:t>
      </w:r>
    </w:p>
    <w:p w14:paraId="19F75CD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（2）教学理论与规律</w:t>
      </w:r>
    </w:p>
    <w:p w14:paraId="4EA5795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（3）教学实施</w:t>
      </w:r>
    </w:p>
    <w:p w14:paraId="61BEE4C5">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（4）中小学教学改革</w:t>
      </w:r>
    </w:p>
    <w:p w14:paraId="0A6FC53B">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239D5A62">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（1）掌握现代教学的概念，理解现代教学的地位，了解现代教学的形成与发展。</w:t>
      </w:r>
    </w:p>
    <w:p w14:paraId="6A600469">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（2）理解主要教学理论流派的主张，并结合实际教学加以评论</w:t>
      </w:r>
    </w:p>
    <w:p w14:paraId="6F54C43F">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（3）理解并掌握教学实施的各环节和要素</w:t>
      </w:r>
    </w:p>
    <w:p w14:paraId="702F4CA7">
      <w:pPr>
        <w:spacing w:line="338"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（4）能够把握当代我国和世界中小学教学改革的趋势</w:t>
      </w:r>
    </w:p>
    <w:p w14:paraId="1A6E8203">
      <w:pPr>
        <w:spacing w:line="338"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70B0D1D5">
      <w:pPr>
        <w:spacing w:line="338"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使学生学会遵循马克思主义的立场、观点和方法、遵循当代社会的伦理规范来实施教学，同时形成教育公平、民主、法治等的正确理念。</w:t>
      </w:r>
    </w:p>
    <w:p w14:paraId="1165F6E0">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现代主要的教学理论流派、教学实施的各环节和要去、我国和世界中小学教学改革的趋势</w:t>
      </w:r>
    </w:p>
    <w:p w14:paraId="3B7C7FB9">
      <w:pPr>
        <w:spacing w:line="338"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教学方法、教学策略教学评价等及其运用</w:t>
      </w:r>
    </w:p>
    <w:p w14:paraId="08FE89F4">
      <w:pPr>
        <w:spacing w:line="336"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（十）教师与学生（本模块各知识点的讲授与学习，可以支撑课程目标</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、课程目标2、课程目标3）</w:t>
      </w:r>
    </w:p>
    <w:p w14:paraId="09F4C140">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34690BB6">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（1）教师</w:t>
      </w:r>
    </w:p>
    <w:p w14:paraId="6B2DAA8A">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（2）班主任</w:t>
      </w:r>
    </w:p>
    <w:p w14:paraId="312C0AD4">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（3）学生</w:t>
      </w:r>
    </w:p>
    <w:p w14:paraId="3F076081">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22E7DCBD">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（1）了解教师职业的历史发展、特点及意义、教师的权利与义务</w:t>
      </w:r>
    </w:p>
    <w:p w14:paraId="5DBCCE48">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（2）理解教师专业发展的内涵和内容、途径；熟悉各级各类教师专业标准</w:t>
      </w:r>
    </w:p>
    <w:p w14:paraId="65A52CF0">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）了解班主任的角色、任务与职责</w:t>
      </w:r>
    </w:p>
    <w:p w14:paraId="63CD841C">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（4）描述学生身心发展的一般规律和时代特点；了解学生的权利与义务；描述理想的师生关系特点及建构策略</w:t>
      </w:r>
    </w:p>
    <w:p w14:paraId="10284E9F">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（5）以马克思关于人的本质和人的发展的观点，阐述理想的学生观</w:t>
      </w:r>
    </w:p>
    <w:p w14:paraId="4AFACEC6">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240F0299">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培养和树立学生从教光荣、立志从教的职业理想和信念，以及教育创</w:t>
      </w:r>
      <w:r>
        <w:rPr>
          <w:rFonts w:ascii="Times New Roman" w:hAnsi="Times New Roman" w:eastAsia="宋体" w:cs="Times New Roman"/>
          <w:sz w:val="24"/>
          <w:szCs w:val="24"/>
        </w:rPr>
        <w:t xml:space="preserve"> 新、服务社会的意识和能力。</w:t>
      </w:r>
    </w:p>
    <w:p w14:paraId="1C0EBBA9">
      <w:pPr>
        <w:spacing w:line="336"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教师的专业发展、班主任的角色、任务与职责、学生身心发展特点、良好师生关系构建的基本策略</w:t>
      </w:r>
    </w:p>
    <w:p w14:paraId="5799937A">
      <w:pPr>
        <w:spacing w:line="336"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教师个体专业化发展的内容和途径、理想师生关系的构建策略</w:t>
      </w:r>
    </w:p>
    <w:p w14:paraId="269DF354">
      <w:pPr>
        <w:spacing w:line="336"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（十一）教育科学研究（本模块各知识点的讲授与学习，可以支撑课程目标</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、课程目标3）</w:t>
      </w:r>
    </w:p>
    <w:p w14:paraId="27621ADA">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7718ED4A">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（1）教师与教育科研</w:t>
      </w:r>
    </w:p>
    <w:p w14:paraId="0EF80B7E">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（2）教育科研过程</w:t>
      </w:r>
    </w:p>
    <w:p w14:paraId="0F5C768E">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（3）常用的研究方法</w:t>
      </w:r>
    </w:p>
    <w:p w14:paraId="0F3B7248">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0694DD58">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（1）初步掌握教育科研的意义、特点和基本方法</w:t>
      </w:r>
    </w:p>
    <w:p w14:paraId="2400D435">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（2）初步树立教育科研的意识</w:t>
      </w:r>
    </w:p>
    <w:p w14:paraId="3C835E23">
      <w:pPr>
        <w:spacing w:line="336"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66D60E79">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培养学生实事求是的科学态度和精神。</w:t>
      </w:r>
    </w:p>
    <w:p w14:paraId="685D504F">
      <w:pPr>
        <w:spacing w:line="336"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教育科学研究的一般过程、常用的研究方法</w:t>
      </w:r>
    </w:p>
    <w:p w14:paraId="5DDF371F">
      <w:pPr>
        <w:spacing w:line="336"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调查法、实验法、个案法</w:t>
      </w:r>
    </w:p>
    <w:p w14:paraId="42F1110D">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教学内容与课程目标的对应关系及学时分配表如表所示。</w:t>
      </w:r>
    </w:p>
    <w:tbl>
      <w:tblPr>
        <w:tblStyle w:val="30"/>
        <w:tblW w:w="83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23"/>
        <w:gridCol w:w="1792"/>
        <w:gridCol w:w="1959"/>
        <w:gridCol w:w="814"/>
      </w:tblGrid>
      <w:tr w14:paraId="3A690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14" w:type="dxa"/>
            <w:shd w:val="clear" w:color="auto" w:fill="FFFFFF"/>
            <w:vAlign w:val="center"/>
          </w:tcPr>
          <w:p w14:paraId="57F9FB2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2923" w:type="dxa"/>
            <w:shd w:val="clear" w:color="auto" w:fill="FFFFFF"/>
            <w:vAlign w:val="center"/>
          </w:tcPr>
          <w:p w14:paraId="16F3364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92" w:type="dxa"/>
            <w:shd w:val="clear" w:color="auto" w:fill="FFFFFF"/>
            <w:vAlign w:val="center"/>
          </w:tcPr>
          <w:p w14:paraId="1B42C56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p>
          <w:p w14:paraId="6D221C2D">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w:t>
            </w:r>
          </w:p>
        </w:tc>
        <w:tc>
          <w:tcPr>
            <w:tcW w:w="1959" w:type="dxa"/>
            <w:shd w:val="clear" w:color="auto" w:fill="FFFFFF"/>
            <w:vAlign w:val="center"/>
          </w:tcPr>
          <w:p w14:paraId="4D999D9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毕业要求指标点</w:t>
            </w:r>
          </w:p>
        </w:tc>
        <w:tc>
          <w:tcPr>
            <w:tcW w:w="814" w:type="dxa"/>
            <w:shd w:val="clear" w:color="auto" w:fill="FFFFFF"/>
            <w:vAlign w:val="center"/>
          </w:tcPr>
          <w:p w14:paraId="0DEB251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r>
      <w:tr w14:paraId="24F69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73BC57BE">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923" w:type="dxa"/>
            <w:vAlign w:val="center"/>
          </w:tcPr>
          <w:p w14:paraId="2A7A7273">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绪论：教育学及其发展</w:t>
            </w:r>
          </w:p>
        </w:tc>
        <w:tc>
          <w:tcPr>
            <w:tcW w:w="1792" w:type="dxa"/>
            <w:vAlign w:val="center"/>
          </w:tcPr>
          <w:p w14:paraId="66400CB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w:t>
            </w:r>
          </w:p>
        </w:tc>
        <w:tc>
          <w:tcPr>
            <w:tcW w:w="1959" w:type="dxa"/>
            <w:vAlign w:val="center"/>
          </w:tcPr>
          <w:p w14:paraId="1BC8F739">
            <w:pPr>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p>
        </w:tc>
        <w:tc>
          <w:tcPr>
            <w:tcW w:w="814" w:type="dxa"/>
            <w:vAlign w:val="center"/>
          </w:tcPr>
          <w:p w14:paraId="2898E50D">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088C8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20A6BDD">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923" w:type="dxa"/>
            <w:vAlign w:val="center"/>
          </w:tcPr>
          <w:p w14:paraId="0115BEB5">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教育及其本质</w:t>
            </w:r>
          </w:p>
        </w:tc>
        <w:tc>
          <w:tcPr>
            <w:tcW w:w="1792" w:type="dxa"/>
            <w:vAlign w:val="center"/>
          </w:tcPr>
          <w:p w14:paraId="662C886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目标1、3</w:t>
            </w:r>
          </w:p>
        </w:tc>
        <w:tc>
          <w:tcPr>
            <w:tcW w:w="1959" w:type="dxa"/>
            <w:vAlign w:val="center"/>
          </w:tcPr>
          <w:p w14:paraId="76734BD2">
            <w:pPr>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p>
        </w:tc>
        <w:tc>
          <w:tcPr>
            <w:tcW w:w="814" w:type="dxa"/>
            <w:vAlign w:val="center"/>
          </w:tcPr>
          <w:p w14:paraId="7B8FF7FB">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3F6AE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0E4CD23E">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923" w:type="dxa"/>
            <w:vAlign w:val="center"/>
          </w:tcPr>
          <w:p w14:paraId="4BDE412C">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教育与社会的发展</w:t>
            </w:r>
          </w:p>
        </w:tc>
        <w:tc>
          <w:tcPr>
            <w:tcW w:w="1792" w:type="dxa"/>
            <w:vAlign w:val="center"/>
          </w:tcPr>
          <w:p w14:paraId="6110F1A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目标2、3</w:t>
            </w:r>
          </w:p>
        </w:tc>
        <w:tc>
          <w:tcPr>
            <w:tcW w:w="1959" w:type="dxa"/>
            <w:vAlign w:val="center"/>
          </w:tcPr>
          <w:p w14:paraId="34EE67E7">
            <w:pPr>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7254D7BD">
            <w:pPr>
              <w:jc w:val="center"/>
              <w:rPr>
                <w:rFonts w:ascii="Times New Roman" w:hAnsi="Times New Roman" w:eastAsia="宋体" w:cs="Times New Roman"/>
                <w:szCs w:val="21"/>
              </w:rPr>
            </w:pPr>
            <w:r>
              <w:rPr>
                <w:rFonts w:ascii="Times New Roman" w:hAnsi="Times New Roman" w:eastAsia="宋体" w:cs="Times New Roman"/>
                <w:szCs w:val="21"/>
              </w:rPr>
              <w:t>3</w:t>
            </w:r>
          </w:p>
        </w:tc>
      </w:tr>
      <w:tr w14:paraId="30F74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42F6C34D">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923" w:type="dxa"/>
            <w:vAlign w:val="center"/>
          </w:tcPr>
          <w:p w14:paraId="0AF7C1A7">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教育与人的发展</w:t>
            </w:r>
          </w:p>
        </w:tc>
        <w:tc>
          <w:tcPr>
            <w:tcW w:w="1792" w:type="dxa"/>
            <w:vAlign w:val="center"/>
          </w:tcPr>
          <w:p w14:paraId="2878CEC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79A18150">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4BB094BA">
            <w:pPr>
              <w:jc w:val="center"/>
              <w:rPr>
                <w:rFonts w:ascii="Times New Roman" w:hAnsi="Times New Roman" w:eastAsia="宋体" w:cs="Times New Roman"/>
                <w:szCs w:val="21"/>
              </w:rPr>
            </w:pPr>
            <w:r>
              <w:rPr>
                <w:rFonts w:ascii="Times New Roman" w:hAnsi="Times New Roman" w:eastAsia="宋体" w:cs="Times New Roman"/>
                <w:szCs w:val="21"/>
              </w:rPr>
              <w:t>3</w:t>
            </w:r>
          </w:p>
        </w:tc>
      </w:tr>
      <w:tr w14:paraId="35202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7C0E63F6">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923" w:type="dxa"/>
            <w:vAlign w:val="center"/>
          </w:tcPr>
          <w:p w14:paraId="670D1302">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教育目的</w:t>
            </w:r>
          </w:p>
        </w:tc>
        <w:tc>
          <w:tcPr>
            <w:tcW w:w="1792" w:type="dxa"/>
            <w:vAlign w:val="center"/>
          </w:tcPr>
          <w:p w14:paraId="0E69958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16761D5B">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4BEF4B64">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5D029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394DBD38">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923" w:type="dxa"/>
            <w:vAlign w:val="center"/>
          </w:tcPr>
          <w:p w14:paraId="5312A577">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人的全面发展教育</w:t>
            </w:r>
          </w:p>
        </w:tc>
        <w:tc>
          <w:tcPr>
            <w:tcW w:w="1792" w:type="dxa"/>
            <w:vAlign w:val="center"/>
          </w:tcPr>
          <w:p w14:paraId="350DDFBC">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771CB8B1">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p>
          <w:p w14:paraId="02DD7326">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p>
        </w:tc>
        <w:tc>
          <w:tcPr>
            <w:tcW w:w="814" w:type="dxa"/>
            <w:vAlign w:val="center"/>
          </w:tcPr>
          <w:p w14:paraId="3FE3C3CE">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342E1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5BCBB6E">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923" w:type="dxa"/>
            <w:vAlign w:val="center"/>
          </w:tcPr>
          <w:p w14:paraId="1D46CA2E">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学校教育制度</w:t>
            </w:r>
          </w:p>
        </w:tc>
        <w:tc>
          <w:tcPr>
            <w:tcW w:w="1792" w:type="dxa"/>
            <w:vAlign w:val="center"/>
          </w:tcPr>
          <w:p w14:paraId="39178C3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70C029B7">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32DD2EDD">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19DE8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C28DC8C">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923" w:type="dxa"/>
            <w:vAlign w:val="center"/>
          </w:tcPr>
          <w:p w14:paraId="512E1FB3">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w:t>
            </w:r>
          </w:p>
        </w:tc>
        <w:tc>
          <w:tcPr>
            <w:tcW w:w="1792" w:type="dxa"/>
            <w:vAlign w:val="center"/>
          </w:tcPr>
          <w:p w14:paraId="0872A89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6A649658">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0343C4D9">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19152E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3830A94C">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2923" w:type="dxa"/>
            <w:vAlign w:val="center"/>
          </w:tcPr>
          <w:p w14:paraId="794ABEA0">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教学</w:t>
            </w:r>
          </w:p>
        </w:tc>
        <w:tc>
          <w:tcPr>
            <w:tcW w:w="1792" w:type="dxa"/>
            <w:vAlign w:val="center"/>
          </w:tcPr>
          <w:p w14:paraId="136F8FB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44EA44DC">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53C79C01">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31649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187EA9C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2923" w:type="dxa"/>
            <w:vAlign w:val="center"/>
          </w:tcPr>
          <w:p w14:paraId="3EC9219A">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教师与学生</w:t>
            </w:r>
          </w:p>
        </w:tc>
        <w:tc>
          <w:tcPr>
            <w:tcW w:w="1792" w:type="dxa"/>
            <w:vAlign w:val="center"/>
          </w:tcPr>
          <w:p w14:paraId="72644C41">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、2、3</w:t>
            </w:r>
          </w:p>
        </w:tc>
        <w:tc>
          <w:tcPr>
            <w:tcW w:w="1959" w:type="dxa"/>
            <w:vAlign w:val="center"/>
          </w:tcPr>
          <w:p w14:paraId="063FA61F">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w:t>
            </w:r>
          </w:p>
          <w:p w14:paraId="3179234E">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1</w:t>
            </w:r>
          </w:p>
        </w:tc>
        <w:tc>
          <w:tcPr>
            <w:tcW w:w="814" w:type="dxa"/>
            <w:vAlign w:val="center"/>
          </w:tcPr>
          <w:p w14:paraId="30011E5A">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2350A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dxa"/>
            <w:vAlign w:val="center"/>
          </w:tcPr>
          <w:p w14:paraId="7334F5FF">
            <w:pPr>
              <w:jc w:val="center"/>
              <w:rPr>
                <w:rFonts w:ascii="Times New Roman" w:hAnsi="Times New Roman" w:eastAsia="宋体" w:cs="Times New Roman"/>
                <w:szCs w:val="21"/>
              </w:rPr>
            </w:pPr>
            <w:r>
              <w:rPr>
                <w:rFonts w:hint="eastAsia" w:ascii="Times New Roman" w:hAnsi="Times New Roman" w:eastAsia="宋体" w:cs="Times New Roman"/>
                <w:szCs w:val="21"/>
              </w:rPr>
              <w:t>11</w:t>
            </w:r>
          </w:p>
        </w:tc>
        <w:tc>
          <w:tcPr>
            <w:tcW w:w="2923" w:type="dxa"/>
            <w:vAlign w:val="center"/>
          </w:tcPr>
          <w:p w14:paraId="78871F44">
            <w:pP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教育科学研究</w:t>
            </w:r>
          </w:p>
        </w:tc>
        <w:tc>
          <w:tcPr>
            <w:tcW w:w="1792" w:type="dxa"/>
            <w:vAlign w:val="center"/>
          </w:tcPr>
          <w:p w14:paraId="6DD2487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1959" w:type="dxa"/>
            <w:vAlign w:val="center"/>
          </w:tcPr>
          <w:p w14:paraId="332452B1">
            <w:pPr>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、7-</w:t>
            </w:r>
            <w:r>
              <w:rPr>
                <w:rFonts w:ascii="Times New Roman" w:hAnsi="Times New Roman" w:eastAsia="宋体" w:cs="Times New Roman"/>
                <w:szCs w:val="21"/>
              </w:rPr>
              <w:t>3</w:t>
            </w:r>
          </w:p>
        </w:tc>
        <w:tc>
          <w:tcPr>
            <w:tcW w:w="814" w:type="dxa"/>
            <w:vAlign w:val="center"/>
          </w:tcPr>
          <w:p w14:paraId="613099E9">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5B49D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8" w:type="dxa"/>
            <w:gridSpan w:val="4"/>
            <w:vAlign w:val="center"/>
          </w:tcPr>
          <w:p w14:paraId="74E59C7D">
            <w:pPr>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814" w:type="dxa"/>
            <w:vAlign w:val="center"/>
          </w:tcPr>
          <w:p w14:paraId="502982E8">
            <w:pPr>
              <w:jc w:val="center"/>
              <w:rPr>
                <w:rFonts w:ascii="Times New Roman" w:hAnsi="Times New Roman" w:eastAsia="宋体" w:cs="Times New Roman"/>
                <w:szCs w:val="21"/>
              </w:rPr>
            </w:pPr>
            <w:r>
              <w:rPr>
                <w:rFonts w:hint="eastAsia" w:ascii="Times New Roman" w:hAnsi="Times New Roman" w:eastAsia="宋体" w:cs="Times New Roman"/>
                <w:szCs w:val="21"/>
              </w:rPr>
              <w:t>32</w:t>
            </w:r>
          </w:p>
        </w:tc>
      </w:tr>
    </w:tbl>
    <w:p w14:paraId="3143B8AD">
      <w:pPr>
        <w:spacing w:before="156" w:beforeLines="50"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四、课程实践</w:t>
      </w:r>
      <w:r>
        <w:rPr>
          <w:rFonts w:hint="eastAsia" w:ascii="Times New Roman" w:hAnsi="Times New Roman" w:eastAsia="宋体" w:cs="Times New Roman"/>
          <w:bCs/>
          <w:sz w:val="28"/>
          <w:szCs w:val="28"/>
        </w:rPr>
        <w:t>（利用第二课堂，不占总学时）</w:t>
      </w:r>
    </w:p>
    <w:p w14:paraId="627F5581">
      <w:pPr>
        <w:spacing w:after="156" w:afterLines="50" w:line="276" w:lineRule="auto"/>
        <w:ind w:firstLine="480" w:firstLineChars="200"/>
        <w:rPr>
          <w:rFonts w:hint="eastAsia" w:ascii="宋体" w:hAnsi="宋体" w:eastAsia="宋体"/>
          <w:sz w:val="24"/>
        </w:rPr>
      </w:pPr>
      <w:r>
        <w:rPr>
          <w:rFonts w:hint="eastAsia" w:ascii="宋体" w:hAnsi="宋体" w:eastAsia="宋体"/>
          <w:sz w:val="24"/>
        </w:rPr>
        <w:t>本课程在系统教学的基础上，以学生为主题，整合各类教育资源，科学设计实践活动，丰富教育教学形式，提升教育教学效果，从而实现思政育人。</w:t>
      </w:r>
    </w:p>
    <w:p w14:paraId="1D93DEE2">
      <w:pPr>
        <w:spacing w:line="276" w:lineRule="auto"/>
        <w:ind w:firstLine="482" w:firstLineChars="200"/>
        <w:jc w:val="center"/>
        <w:rPr>
          <w:rFonts w:hint="eastAsia" w:ascii="楷体" w:hAnsi="楷体" w:eastAsia="楷体"/>
          <w:b/>
          <w:bCs/>
          <w:sz w:val="24"/>
        </w:rPr>
      </w:pPr>
      <w:r>
        <w:rPr>
          <w:rFonts w:hint="eastAsia" w:ascii="楷体" w:hAnsi="楷体" w:eastAsia="楷体"/>
          <w:b/>
          <w:bCs/>
          <w:sz w:val="24"/>
        </w:rPr>
        <w:t>过程学习及考核与思政教育</w:t>
      </w:r>
    </w:p>
    <w:tbl>
      <w:tblPr>
        <w:tblStyle w:val="31"/>
        <w:tblW w:w="0" w:type="auto"/>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1"/>
        <w:gridCol w:w="3260"/>
        <w:gridCol w:w="709"/>
        <w:gridCol w:w="3024"/>
      </w:tblGrid>
      <w:tr w14:paraId="0F8DDE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1" w:type="dxa"/>
            <w:vAlign w:val="center"/>
          </w:tcPr>
          <w:p w14:paraId="759E53C1">
            <w:pPr>
              <w:spacing w:line="240" w:lineRule="exact"/>
              <w:jc w:val="center"/>
              <w:rPr>
                <w:rFonts w:hint="eastAsia" w:ascii="楷体" w:hAnsi="楷体" w:eastAsia="楷体"/>
                <w:b/>
                <w:bCs/>
                <w:szCs w:val="21"/>
              </w:rPr>
            </w:pPr>
            <w:r>
              <w:rPr>
                <w:rFonts w:hint="eastAsia" w:ascii="楷体" w:hAnsi="楷体" w:eastAsia="楷体"/>
                <w:b/>
                <w:bCs/>
                <w:szCs w:val="21"/>
              </w:rPr>
              <w:t>活动主题</w:t>
            </w:r>
          </w:p>
        </w:tc>
        <w:tc>
          <w:tcPr>
            <w:tcW w:w="3260" w:type="dxa"/>
            <w:vAlign w:val="center"/>
          </w:tcPr>
          <w:p w14:paraId="6156BE36">
            <w:pPr>
              <w:spacing w:line="240" w:lineRule="exact"/>
              <w:jc w:val="center"/>
              <w:rPr>
                <w:rFonts w:hint="eastAsia" w:ascii="楷体" w:hAnsi="楷体" w:eastAsia="楷体"/>
                <w:b/>
                <w:bCs/>
                <w:szCs w:val="21"/>
              </w:rPr>
            </w:pPr>
            <w:r>
              <w:rPr>
                <w:rFonts w:hint="eastAsia" w:ascii="楷体" w:hAnsi="楷体" w:eastAsia="楷体"/>
                <w:b/>
                <w:bCs/>
                <w:szCs w:val="21"/>
              </w:rPr>
              <w:t>活动内容</w:t>
            </w:r>
          </w:p>
        </w:tc>
        <w:tc>
          <w:tcPr>
            <w:tcW w:w="709" w:type="dxa"/>
            <w:vAlign w:val="center"/>
          </w:tcPr>
          <w:p w14:paraId="7594C088">
            <w:pPr>
              <w:spacing w:line="240" w:lineRule="exact"/>
              <w:jc w:val="center"/>
              <w:rPr>
                <w:rFonts w:hint="eastAsia" w:ascii="楷体" w:hAnsi="楷体" w:eastAsia="楷体"/>
                <w:b/>
                <w:bCs/>
                <w:szCs w:val="21"/>
              </w:rPr>
            </w:pPr>
            <w:r>
              <w:rPr>
                <w:rFonts w:hint="eastAsia" w:ascii="楷体" w:hAnsi="楷体" w:eastAsia="楷体"/>
                <w:b/>
                <w:bCs/>
                <w:szCs w:val="21"/>
              </w:rPr>
              <w:t>活动方式</w:t>
            </w:r>
          </w:p>
        </w:tc>
        <w:tc>
          <w:tcPr>
            <w:tcW w:w="3024" w:type="dxa"/>
            <w:vAlign w:val="center"/>
          </w:tcPr>
          <w:p w14:paraId="5932BBB1">
            <w:pPr>
              <w:spacing w:line="240" w:lineRule="exact"/>
              <w:jc w:val="center"/>
              <w:rPr>
                <w:rFonts w:hint="eastAsia" w:ascii="楷体" w:hAnsi="楷体" w:eastAsia="楷体"/>
                <w:b/>
                <w:bCs/>
                <w:szCs w:val="21"/>
              </w:rPr>
            </w:pPr>
            <w:r>
              <w:rPr>
                <w:rFonts w:hint="eastAsia" w:ascii="楷体" w:hAnsi="楷体" w:eastAsia="楷体"/>
                <w:b/>
                <w:bCs/>
                <w:szCs w:val="21"/>
              </w:rPr>
              <w:t>思政目标</w:t>
            </w:r>
          </w:p>
        </w:tc>
      </w:tr>
      <w:tr w14:paraId="6F53D76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1" w:type="dxa"/>
            <w:vAlign w:val="center"/>
          </w:tcPr>
          <w:p w14:paraId="3CDBAD6B">
            <w:pPr>
              <w:spacing w:line="240" w:lineRule="exact"/>
              <w:jc w:val="left"/>
              <w:rPr>
                <w:rFonts w:hint="eastAsia" w:ascii="楷体" w:hAnsi="楷体" w:eastAsia="楷体"/>
                <w:szCs w:val="21"/>
              </w:rPr>
            </w:pPr>
            <w:r>
              <w:rPr>
                <w:rFonts w:hint="eastAsia" w:ascii="楷体" w:hAnsi="楷体" w:eastAsia="楷体"/>
                <w:szCs w:val="21"/>
              </w:rPr>
              <w:t>中国教育精神</w:t>
            </w:r>
          </w:p>
        </w:tc>
        <w:tc>
          <w:tcPr>
            <w:tcW w:w="3260" w:type="dxa"/>
            <w:vAlign w:val="center"/>
          </w:tcPr>
          <w:p w14:paraId="67F5817B">
            <w:pPr>
              <w:spacing w:line="240" w:lineRule="exact"/>
              <w:jc w:val="left"/>
              <w:rPr>
                <w:rFonts w:hint="eastAsia" w:ascii="楷体" w:hAnsi="楷体" w:eastAsia="楷体"/>
                <w:szCs w:val="21"/>
              </w:rPr>
            </w:pPr>
            <w:r>
              <w:rPr>
                <w:rFonts w:hint="eastAsia" w:ascii="楷体" w:hAnsi="楷体" w:eastAsia="楷体"/>
                <w:szCs w:val="21"/>
              </w:rPr>
              <w:t>通过阅读相关书籍或讲述中国教育家的故事，进行课堂主题讨论，让学生领会中国教育的精神</w:t>
            </w:r>
          </w:p>
        </w:tc>
        <w:tc>
          <w:tcPr>
            <w:tcW w:w="709" w:type="dxa"/>
            <w:vAlign w:val="center"/>
          </w:tcPr>
          <w:p w14:paraId="1D9B8357">
            <w:pPr>
              <w:spacing w:line="240" w:lineRule="exact"/>
              <w:jc w:val="center"/>
              <w:rPr>
                <w:rFonts w:hint="eastAsia" w:ascii="楷体" w:hAnsi="楷体" w:eastAsia="楷体"/>
                <w:szCs w:val="21"/>
              </w:rPr>
            </w:pPr>
            <w:r>
              <w:rPr>
                <w:rFonts w:hint="eastAsia" w:ascii="楷体" w:hAnsi="楷体" w:eastAsia="楷体"/>
                <w:szCs w:val="21"/>
              </w:rPr>
              <w:t>阅读</w:t>
            </w:r>
          </w:p>
          <w:p w14:paraId="4328A484">
            <w:pPr>
              <w:spacing w:line="240" w:lineRule="exact"/>
              <w:jc w:val="center"/>
              <w:rPr>
                <w:rFonts w:hint="eastAsia" w:ascii="楷体" w:hAnsi="楷体" w:eastAsia="楷体"/>
                <w:szCs w:val="21"/>
              </w:rPr>
            </w:pPr>
            <w:r>
              <w:rPr>
                <w:rFonts w:hint="eastAsia" w:ascii="楷体" w:hAnsi="楷体" w:eastAsia="楷体"/>
                <w:szCs w:val="21"/>
              </w:rPr>
              <w:t>课堂讨论</w:t>
            </w:r>
          </w:p>
        </w:tc>
        <w:tc>
          <w:tcPr>
            <w:tcW w:w="3024" w:type="dxa"/>
            <w:vAlign w:val="center"/>
          </w:tcPr>
          <w:p w14:paraId="692A9B8E">
            <w:pPr>
              <w:spacing w:line="240" w:lineRule="exact"/>
              <w:jc w:val="left"/>
              <w:rPr>
                <w:rFonts w:hint="eastAsia" w:ascii="楷体" w:hAnsi="楷体" w:eastAsia="楷体"/>
                <w:szCs w:val="21"/>
              </w:rPr>
            </w:pPr>
            <w:r>
              <w:rPr>
                <w:rFonts w:hint="eastAsia" w:ascii="楷体" w:hAnsi="楷体" w:eastAsia="楷体"/>
                <w:szCs w:val="21"/>
              </w:rPr>
              <w:t>通过对中国教育精神的阐释，使学生树牢“四个意识”，坚定“四个自信”，坚决做到“两个维护”，立志肩负起民族复兴的时代重任。</w:t>
            </w:r>
          </w:p>
        </w:tc>
      </w:tr>
      <w:tr w14:paraId="7C0E92FF">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1" w:type="dxa"/>
            <w:vAlign w:val="center"/>
          </w:tcPr>
          <w:p w14:paraId="3DF7B78C">
            <w:pPr>
              <w:spacing w:line="240" w:lineRule="exact"/>
              <w:jc w:val="left"/>
              <w:rPr>
                <w:rFonts w:hint="eastAsia" w:ascii="楷体" w:hAnsi="楷体" w:eastAsia="楷体"/>
                <w:szCs w:val="21"/>
              </w:rPr>
            </w:pPr>
            <w:r>
              <w:rPr>
                <w:rFonts w:hint="eastAsia" w:ascii="楷体" w:hAnsi="楷体" w:eastAsia="楷体"/>
                <w:szCs w:val="21"/>
              </w:rPr>
              <w:t>最美教师或师德模范进课堂</w:t>
            </w:r>
          </w:p>
        </w:tc>
        <w:tc>
          <w:tcPr>
            <w:tcW w:w="3260" w:type="dxa"/>
            <w:vAlign w:val="center"/>
          </w:tcPr>
          <w:p w14:paraId="758C1253">
            <w:pPr>
              <w:spacing w:line="240" w:lineRule="exact"/>
              <w:jc w:val="left"/>
              <w:rPr>
                <w:rFonts w:hint="eastAsia" w:ascii="楷体" w:hAnsi="楷体" w:eastAsia="楷体"/>
                <w:szCs w:val="21"/>
              </w:rPr>
            </w:pPr>
            <w:r>
              <w:rPr>
                <w:rFonts w:hint="eastAsia" w:ascii="楷体" w:hAnsi="楷体" w:eastAsia="楷体"/>
                <w:szCs w:val="21"/>
              </w:rPr>
              <w:t>邀请当地获得最美教师、师德模范等荣誉称号的教师做报告，让学生进一步认识基础一线优秀教师的优秀事迹并向他们学习。</w:t>
            </w:r>
          </w:p>
        </w:tc>
        <w:tc>
          <w:tcPr>
            <w:tcW w:w="709" w:type="dxa"/>
            <w:vAlign w:val="center"/>
          </w:tcPr>
          <w:p w14:paraId="58D49463">
            <w:pPr>
              <w:spacing w:line="240" w:lineRule="exact"/>
              <w:jc w:val="center"/>
              <w:rPr>
                <w:rFonts w:hint="eastAsia" w:ascii="楷体" w:hAnsi="楷体" w:eastAsia="楷体"/>
                <w:szCs w:val="21"/>
              </w:rPr>
            </w:pPr>
            <w:r>
              <w:rPr>
                <w:rFonts w:hint="eastAsia" w:ascii="楷体" w:hAnsi="楷体" w:eastAsia="楷体"/>
                <w:szCs w:val="21"/>
              </w:rPr>
              <w:t>专题报告</w:t>
            </w:r>
          </w:p>
        </w:tc>
        <w:tc>
          <w:tcPr>
            <w:tcW w:w="3024" w:type="dxa"/>
            <w:vAlign w:val="center"/>
          </w:tcPr>
          <w:p w14:paraId="44D1F29B">
            <w:pPr>
              <w:spacing w:line="240" w:lineRule="exact"/>
              <w:jc w:val="left"/>
              <w:rPr>
                <w:rFonts w:hint="eastAsia" w:ascii="楷体" w:hAnsi="楷体" w:eastAsia="楷体"/>
                <w:szCs w:val="21"/>
              </w:rPr>
            </w:pPr>
            <w:r>
              <w:rPr>
                <w:rFonts w:hint="eastAsia" w:ascii="楷体" w:hAnsi="楷体" w:eastAsia="楷体"/>
                <w:szCs w:val="21"/>
              </w:rPr>
              <w:t>用榜样的力量激发学生爱岗敬业、立志成为卓越教师，为党和国家的发展做出贡献。</w:t>
            </w:r>
          </w:p>
        </w:tc>
      </w:tr>
      <w:tr w14:paraId="0705FA1A">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1" w:type="dxa"/>
            <w:vAlign w:val="center"/>
          </w:tcPr>
          <w:p w14:paraId="10829713">
            <w:pPr>
              <w:spacing w:line="240" w:lineRule="exact"/>
              <w:jc w:val="left"/>
              <w:rPr>
                <w:rFonts w:hint="eastAsia" w:ascii="楷体" w:hAnsi="楷体" w:eastAsia="楷体"/>
                <w:szCs w:val="21"/>
              </w:rPr>
            </w:pPr>
            <w:r>
              <w:rPr>
                <w:rFonts w:hint="eastAsia" w:ascii="楷体" w:hAnsi="楷体" w:eastAsia="楷体"/>
                <w:szCs w:val="21"/>
              </w:rPr>
              <w:t>寻找最感动我的教师</w:t>
            </w:r>
          </w:p>
        </w:tc>
        <w:tc>
          <w:tcPr>
            <w:tcW w:w="3260" w:type="dxa"/>
            <w:vAlign w:val="center"/>
          </w:tcPr>
          <w:p w14:paraId="207D8D80">
            <w:pPr>
              <w:spacing w:line="240" w:lineRule="exact"/>
              <w:jc w:val="left"/>
              <w:rPr>
                <w:rFonts w:hint="eastAsia" w:ascii="楷体" w:hAnsi="楷体" w:eastAsia="楷体"/>
                <w:szCs w:val="21"/>
              </w:rPr>
            </w:pPr>
            <w:r>
              <w:rPr>
                <w:rFonts w:hint="eastAsia" w:ascii="楷体" w:hAnsi="楷体" w:eastAsia="楷体"/>
                <w:szCs w:val="21"/>
              </w:rPr>
              <w:t>利用假期，让学生访谈自己求学生涯中最感动自己的教师，在调查中加强对教育和教师的认识。</w:t>
            </w:r>
          </w:p>
        </w:tc>
        <w:tc>
          <w:tcPr>
            <w:tcW w:w="709" w:type="dxa"/>
            <w:vAlign w:val="center"/>
          </w:tcPr>
          <w:p w14:paraId="2FC29C21">
            <w:pPr>
              <w:spacing w:line="240" w:lineRule="exact"/>
              <w:jc w:val="center"/>
              <w:rPr>
                <w:rFonts w:hint="eastAsia" w:ascii="楷体" w:hAnsi="楷体" w:eastAsia="楷体"/>
                <w:szCs w:val="21"/>
              </w:rPr>
            </w:pPr>
            <w:r>
              <w:rPr>
                <w:rFonts w:hint="eastAsia" w:ascii="楷体" w:hAnsi="楷体" w:eastAsia="楷体"/>
                <w:szCs w:val="21"/>
              </w:rPr>
              <w:t>课程实践作业</w:t>
            </w:r>
          </w:p>
        </w:tc>
        <w:tc>
          <w:tcPr>
            <w:tcW w:w="3024" w:type="dxa"/>
            <w:vAlign w:val="center"/>
          </w:tcPr>
          <w:p w14:paraId="153EBBA9">
            <w:pPr>
              <w:spacing w:line="240" w:lineRule="exact"/>
              <w:jc w:val="left"/>
              <w:rPr>
                <w:rFonts w:hint="eastAsia" w:ascii="楷体" w:hAnsi="楷体" w:eastAsia="楷体"/>
                <w:szCs w:val="21"/>
              </w:rPr>
            </w:pPr>
            <w:r>
              <w:rPr>
                <w:rFonts w:hint="eastAsia" w:ascii="楷体" w:hAnsi="楷体" w:eastAsia="楷体"/>
                <w:szCs w:val="21"/>
              </w:rPr>
              <w:t>提高学生对教师职业特性的认识，增强学生从教意愿、责任感、使命感和职业荣耀感， 愿意为党和国家的教育事业奉献终身。</w:t>
            </w:r>
          </w:p>
        </w:tc>
      </w:tr>
      <w:tr w14:paraId="2652E3B8">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1" w:type="dxa"/>
            <w:vAlign w:val="center"/>
          </w:tcPr>
          <w:p w14:paraId="64F7FF2A">
            <w:pPr>
              <w:spacing w:line="240" w:lineRule="exact"/>
              <w:jc w:val="left"/>
              <w:rPr>
                <w:rFonts w:hint="eastAsia" w:ascii="楷体" w:hAnsi="楷体" w:eastAsia="楷体"/>
                <w:szCs w:val="21"/>
              </w:rPr>
            </w:pPr>
            <w:r>
              <w:rPr>
                <w:rFonts w:hint="eastAsia" w:ascii="楷体" w:hAnsi="楷体" w:eastAsia="楷体"/>
                <w:szCs w:val="21"/>
              </w:rPr>
              <w:t>师范生从教宣誓</w:t>
            </w:r>
          </w:p>
        </w:tc>
        <w:tc>
          <w:tcPr>
            <w:tcW w:w="3260" w:type="dxa"/>
            <w:vAlign w:val="center"/>
          </w:tcPr>
          <w:p w14:paraId="595F40BA">
            <w:pPr>
              <w:spacing w:line="240" w:lineRule="exact"/>
              <w:jc w:val="left"/>
              <w:rPr>
                <w:rFonts w:hint="eastAsia" w:ascii="楷体" w:hAnsi="楷体" w:eastAsia="楷体"/>
                <w:szCs w:val="21"/>
              </w:rPr>
            </w:pPr>
            <w:r>
              <w:rPr>
                <w:rFonts w:hint="eastAsia" w:ascii="楷体" w:hAnsi="楷体" w:eastAsia="楷体"/>
                <w:szCs w:val="21"/>
              </w:rPr>
              <w:t>学期末，结合课程中的所思、所感、和所得 ，以活动展示的新式进行从教宣誓活动。</w:t>
            </w:r>
          </w:p>
        </w:tc>
        <w:tc>
          <w:tcPr>
            <w:tcW w:w="709" w:type="dxa"/>
            <w:vAlign w:val="center"/>
          </w:tcPr>
          <w:p w14:paraId="08DCB26F">
            <w:pPr>
              <w:spacing w:line="240" w:lineRule="exact"/>
              <w:jc w:val="center"/>
              <w:rPr>
                <w:rFonts w:hint="eastAsia" w:ascii="楷体" w:hAnsi="楷体" w:eastAsia="楷体"/>
                <w:szCs w:val="21"/>
              </w:rPr>
            </w:pPr>
            <w:r>
              <w:rPr>
                <w:rFonts w:hint="eastAsia" w:ascii="楷体" w:hAnsi="楷体" w:eastAsia="楷体"/>
                <w:szCs w:val="21"/>
              </w:rPr>
              <w:t>第二课堂</w:t>
            </w:r>
          </w:p>
        </w:tc>
        <w:tc>
          <w:tcPr>
            <w:tcW w:w="3024" w:type="dxa"/>
            <w:vAlign w:val="center"/>
          </w:tcPr>
          <w:p w14:paraId="1F7E8209">
            <w:pPr>
              <w:spacing w:line="240" w:lineRule="exact"/>
              <w:jc w:val="left"/>
              <w:rPr>
                <w:rFonts w:hint="eastAsia" w:ascii="楷体" w:hAnsi="楷体" w:eastAsia="楷体"/>
                <w:szCs w:val="21"/>
              </w:rPr>
            </w:pPr>
            <w:r>
              <w:rPr>
                <w:rFonts w:hint="eastAsia" w:ascii="楷体" w:hAnsi="楷体" w:eastAsia="楷体"/>
                <w:szCs w:val="21"/>
              </w:rPr>
              <w:t>用庄严的意识，增强学生从教的意愿，以及成为人民教师的荣耀感、责任感和使命感。</w:t>
            </w:r>
          </w:p>
        </w:tc>
      </w:tr>
    </w:tbl>
    <w:p w14:paraId="12081F85">
      <w:pPr>
        <w:spacing w:before="156" w:beforeLines="50"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五、课程实施</w:t>
      </w:r>
    </w:p>
    <w:p w14:paraId="5AA44286">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为有利于学生完整、准确、全面、系统地掌握教育科学理论知识，培养学生的学习兴趣与分析、解决问题的能力，在教学过程中要提倡主动、探究、合作的教学方法，以学生自主学习、教师精讲辅导、问题探究、合作互助的方式进行教学活动，力求在教学中启发引导、生动活泼。</w:t>
      </w:r>
    </w:p>
    <w:p w14:paraId="72BC25C3">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在整个教学过程中要坚持实事求是的科学态度和理论联系实际的马克思主义学风，既要结合教育理论和教育实践进行教学，也要从学生的学习实际出发，引导学生运用有关教育理论分析自己身边教育工作的问题，总结教育实践中的经验和教训，尽量高标准、严要求，使学生掌握教育科学的基本理论。</w:t>
      </w:r>
    </w:p>
    <w:p w14:paraId="574D32B1">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（三）</w:t>
      </w:r>
      <w:r>
        <w:rPr>
          <w:rFonts w:ascii="Times New Roman" w:hAnsi="Times New Roman" w:eastAsia="宋体" w:cs="Times New Roman"/>
          <w:sz w:val="24"/>
          <w:szCs w:val="24"/>
        </w:rPr>
        <w:t>在传授科学知识的同时，要注意科学立场、观点和方法的培养，加强教学的教育性，要指导学生阅读有关的教学参考资料，以开阔视野。</w:t>
      </w:r>
    </w:p>
    <w:p w14:paraId="32AB3CC5">
      <w:pPr>
        <w:spacing w:line="36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Cs/>
          <w:sz w:val="24"/>
          <w:szCs w:val="24"/>
        </w:rPr>
        <w:t>（四）主要教学环节的质量要求如表所示。</w:t>
      </w:r>
    </w:p>
    <w:tbl>
      <w:tblPr>
        <w:tblStyle w:val="30"/>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251"/>
        <w:gridCol w:w="6804"/>
      </w:tblGrid>
      <w:tr w14:paraId="0CE3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gridSpan w:val="2"/>
            <w:tcBorders>
              <w:top w:val="single" w:color="auto" w:sz="8" w:space="0"/>
              <w:left w:val="single" w:color="auto" w:sz="8" w:space="0"/>
              <w:right w:val="single" w:color="auto" w:sz="8" w:space="0"/>
            </w:tcBorders>
            <w:tcMar>
              <w:left w:w="28" w:type="dxa"/>
              <w:right w:w="28" w:type="dxa"/>
            </w:tcMar>
            <w:vAlign w:val="center"/>
          </w:tcPr>
          <w:p w14:paraId="58B057B1">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804" w:type="dxa"/>
            <w:tcBorders>
              <w:top w:val="single" w:color="auto" w:sz="8" w:space="0"/>
              <w:left w:val="single" w:color="auto" w:sz="8" w:space="0"/>
              <w:right w:val="single" w:color="auto" w:sz="8" w:space="0"/>
            </w:tcBorders>
            <w:vAlign w:val="center"/>
          </w:tcPr>
          <w:p w14:paraId="68B69493">
            <w:pPr>
              <w:jc w:val="center"/>
              <w:rPr>
                <w:rFonts w:ascii="Times New Roman" w:hAnsi="Times New Roman" w:eastAsia="宋体" w:cs="Times New Roman"/>
                <w:szCs w:val="21"/>
              </w:rPr>
            </w:pPr>
            <w:r>
              <w:rPr>
                <w:rFonts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4C09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30E0BDB6">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251" w:type="dxa"/>
            <w:tcMar>
              <w:left w:w="28" w:type="dxa"/>
              <w:right w:w="28" w:type="dxa"/>
            </w:tcMar>
            <w:vAlign w:val="center"/>
          </w:tcPr>
          <w:p w14:paraId="500E2AD3">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804" w:type="dxa"/>
            <w:tcBorders>
              <w:right w:val="single" w:color="auto" w:sz="8" w:space="0"/>
            </w:tcBorders>
            <w:vAlign w:val="center"/>
          </w:tcPr>
          <w:p w14:paraId="4BC995F7">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（1）掌握本课程教学大纲内容，严格按照教学大纲要求进行课程教学内容的组织。</w:t>
            </w:r>
          </w:p>
          <w:p w14:paraId="1E3A3DD2">
            <w:pPr>
              <w:rPr>
                <w:rFonts w:ascii="Times New Roman" w:hAnsi="Times New Roman" w:eastAsia="宋体" w:cs="Times New Roman"/>
                <w:szCs w:val="21"/>
              </w:rPr>
            </w:pPr>
            <w:r>
              <w:rPr>
                <w:rFonts w:ascii="Times New Roman" w:hAnsi="Times New Roman" w:eastAsia="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433D19C7">
            <w:pP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各部分</w:t>
            </w:r>
            <w:r>
              <w:rPr>
                <w:rFonts w:hint="eastAsia" w:ascii="Times New Roman" w:hAnsi="Times New Roman" w:eastAsia="宋体" w:cs="Times New Roman"/>
                <w:szCs w:val="21"/>
              </w:rPr>
              <w:t>教学</w:t>
            </w:r>
            <w:r>
              <w:rPr>
                <w:rFonts w:ascii="Times New Roman" w:hAnsi="Times New Roman" w:eastAsia="宋体" w:cs="Times New Roman"/>
                <w:szCs w:val="21"/>
              </w:rPr>
              <w:t>内容</w:t>
            </w:r>
            <w:r>
              <w:rPr>
                <w:rFonts w:hint="eastAsia" w:ascii="Times New Roman" w:hAnsi="Times New Roman" w:eastAsia="宋体" w:cs="Times New Roman"/>
                <w:szCs w:val="21"/>
              </w:rPr>
              <w:t>，</w:t>
            </w:r>
            <w:r>
              <w:rPr>
                <w:rFonts w:ascii="Times New Roman" w:hAnsi="Times New Roman" w:eastAsia="宋体" w:cs="Times New Roman"/>
                <w:szCs w:val="21"/>
              </w:rPr>
              <w:t>构思授课思路、技巧</w:t>
            </w:r>
            <w:r>
              <w:rPr>
                <w:rFonts w:hint="eastAsia" w:ascii="Times New Roman" w:hAnsi="Times New Roman" w:eastAsia="宋体" w:cs="Times New Roman"/>
                <w:szCs w:val="21"/>
              </w:rPr>
              <w:t>，选择合适的</w:t>
            </w:r>
            <w:r>
              <w:rPr>
                <w:rFonts w:ascii="Times New Roman" w:hAnsi="Times New Roman" w:eastAsia="宋体" w:cs="Times New Roman"/>
                <w:szCs w:val="21"/>
              </w:rPr>
              <w:t>教学方法。</w:t>
            </w:r>
          </w:p>
        </w:tc>
      </w:tr>
      <w:tr w14:paraId="44E0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7CC0720D">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251" w:type="dxa"/>
            <w:tcMar>
              <w:left w:w="28" w:type="dxa"/>
              <w:right w:w="28" w:type="dxa"/>
            </w:tcMar>
            <w:vAlign w:val="center"/>
          </w:tcPr>
          <w:p w14:paraId="3124C771">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804" w:type="dxa"/>
            <w:tcBorders>
              <w:right w:val="single" w:color="auto" w:sz="8" w:space="0"/>
            </w:tcBorders>
            <w:vAlign w:val="center"/>
          </w:tcPr>
          <w:p w14:paraId="534CFACC">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要点准确</w:t>
            </w:r>
            <w:r>
              <w:rPr>
                <w:rFonts w:hint="eastAsia" w:ascii="Times New Roman" w:hAnsi="Times New Roman" w:eastAsia="宋体" w:cs="Times New Roman"/>
                <w:szCs w:val="21"/>
              </w:rPr>
              <w:t>、</w:t>
            </w:r>
            <w:r>
              <w:rPr>
                <w:rFonts w:ascii="Times New Roman" w:hAnsi="Times New Roman" w:eastAsia="宋体" w:cs="Times New Roman"/>
                <w:szCs w:val="21"/>
              </w:rPr>
              <w:t>推理正确</w:t>
            </w:r>
            <w:r>
              <w:rPr>
                <w:rFonts w:hint="eastAsia" w:ascii="Times New Roman" w:hAnsi="Times New Roman" w:eastAsia="宋体" w:cs="Times New Roman"/>
                <w:szCs w:val="21"/>
              </w:rPr>
              <w:t>、</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能够</w:t>
            </w:r>
            <w:r>
              <w:rPr>
                <w:rFonts w:ascii="Times New Roman" w:hAnsi="Times New Roman" w:eastAsia="宋体" w:cs="Times New Roman"/>
                <w:szCs w:val="21"/>
              </w:rPr>
              <w:t>理论联系实际，熟练地解答和讲解例题。</w:t>
            </w:r>
          </w:p>
          <w:p w14:paraId="67AB0DB9">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采用多种教学方式（如启发式教学、案例分析教学、讨论式教学、多媒体示范教学等），注重培养学生发现、分析和解决问题的能力。</w:t>
            </w:r>
          </w:p>
          <w:p w14:paraId="74F066EF">
            <w:pPr>
              <w:rPr>
                <w:rFonts w:ascii="Times New Roman" w:hAnsi="Times New Roman" w:eastAsia="宋体" w:cs="Times New Roman"/>
                <w:szCs w:val="21"/>
              </w:rPr>
            </w:pPr>
            <w:r>
              <w:rPr>
                <w:rFonts w:hint="eastAsia" w:ascii="Times New Roman" w:hAnsi="Times New Roman" w:eastAsia="宋体" w:cs="Times New Roman"/>
                <w:szCs w:val="21"/>
              </w:rPr>
              <w:t>（3）能够采用现代信息技术辅助</w:t>
            </w:r>
            <w:r>
              <w:rPr>
                <w:rFonts w:ascii="Times New Roman" w:hAnsi="Times New Roman" w:eastAsia="宋体" w:cs="Times New Roman"/>
                <w:szCs w:val="21"/>
              </w:rPr>
              <w:t>教学。</w:t>
            </w:r>
          </w:p>
          <w:p w14:paraId="7F32E0FC">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表达方式</w:t>
            </w:r>
            <w:r>
              <w:rPr>
                <w:rFonts w:hint="eastAsia" w:ascii="Times New Roman" w:hAnsi="Times New Roman" w:eastAsia="宋体" w:cs="Times New Roman"/>
                <w:szCs w:val="21"/>
              </w:rPr>
              <w:t>应能</w:t>
            </w:r>
            <w:r>
              <w:rPr>
                <w:rFonts w:ascii="Times New Roman" w:hAnsi="Times New Roman" w:eastAsia="宋体" w:cs="Times New Roman"/>
                <w:szCs w:val="21"/>
              </w:rPr>
              <w:t>便于学生理解、接受，力求形象生动，使学生在掌握知识的过程中，保持较为浓厚的</w:t>
            </w:r>
            <w:r>
              <w:rPr>
                <w:rFonts w:hint="eastAsia" w:ascii="Times New Roman" w:hAnsi="Times New Roman" w:eastAsia="宋体" w:cs="Times New Roman"/>
                <w:szCs w:val="21"/>
              </w:rPr>
              <w:t>学习</w:t>
            </w:r>
            <w:r>
              <w:rPr>
                <w:rFonts w:ascii="Times New Roman" w:hAnsi="Times New Roman" w:eastAsia="宋体" w:cs="Times New Roman"/>
                <w:szCs w:val="21"/>
              </w:rPr>
              <w:t>兴趣。</w:t>
            </w:r>
          </w:p>
        </w:tc>
      </w:tr>
      <w:tr w14:paraId="5BAD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582" w:type="dxa"/>
            <w:tcBorders>
              <w:left w:val="single" w:color="auto" w:sz="8" w:space="0"/>
            </w:tcBorders>
            <w:vAlign w:val="center"/>
          </w:tcPr>
          <w:p w14:paraId="0DB90948">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251" w:type="dxa"/>
            <w:tcMar>
              <w:left w:w="28" w:type="dxa"/>
              <w:right w:w="28" w:type="dxa"/>
            </w:tcMar>
            <w:vAlign w:val="center"/>
          </w:tcPr>
          <w:p w14:paraId="0485936B">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804" w:type="dxa"/>
            <w:tcBorders>
              <w:right w:val="single" w:color="auto" w:sz="8" w:space="0"/>
            </w:tcBorders>
            <w:vAlign w:val="center"/>
          </w:tcPr>
          <w:p w14:paraId="1045F1D0">
            <w:pPr>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2AA0AC81">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5BFD3ECB">
            <w:pPr>
              <w:rPr>
                <w:rFonts w:ascii="Times New Roman" w:hAnsi="Times New Roman" w:eastAsia="宋体" w:cs="Times New Roman"/>
                <w:szCs w:val="21"/>
              </w:rPr>
            </w:pPr>
            <w:r>
              <w:rPr>
                <w:rFonts w:hint="eastAsia" w:ascii="Times New Roman" w:hAnsi="Times New Roman" w:eastAsia="宋体" w:cs="Times New Roman"/>
                <w:szCs w:val="21"/>
              </w:rPr>
              <w:t>（2）书写</w:t>
            </w:r>
            <w:r>
              <w:rPr>
                <w:rFonts w:ascii="Times New Roman" w:hAnsi="Times New Roman" w:eastAsia="宋体" w:cs="Times New Roman"/>
                <w:szCs w:val="21"/>
              </w:rPr>
              <w:t>规范</w:t>
            </w:r>
            <w:r>
              <w:rPr>
                <w:rFonts w:hint="eastAsia" w:ascii="Times New Roman" w:hAnsi="Times New Roman" w:eastAsia="宋体" w:cs="Times New Roman"/>
                <w:szCs w:val="21"/>
              </w:rPr>
              <w:t>、</w:t>
            </w:r>
            <w:r>
              <w:rPr>
                <w:rFonts w:ascii="Times New Roman" w:hAnsi="Times New Roman" w:eastAsia="宋体" w:cs="Times New Roman"/>
                <w:szCs w:val="21"/>
              </w:rPr>
              <w:t>清晰</w:t>
            </w:r>
            <w:r>
              <w:rPr>
                <w:rFonts w:hint="eastAsia" w:ascii="Times New Roman" w:hAnsi="Times New Roman" w:eastAsia="宋体" w:cs="Times New Roman"/>
                <w:szCs w:val="21"/>
              </w:rPr>
              <w:t>。</w:t>
            </w:r>
          </w:p>
          <w:p w14:paraId="23DA812D">
            <w:pPr>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6C96467B">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w:t>
            </w:r>
          </w:p>
          <w:p w14:paraId="15602269">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5073E57B">
            <w:pP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作为本课程总评成绩中平时成绩的重要组成部分。</w:t>
            </w:r>
          </w:p>
        </w:tc>
      </w:tr>
      <w:tr w14:paraId="3ADD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82" w:type="dxa"/>
            <w:tcBorders>
              <w:left w:val="single" w:color="auto" w:sz="8" w:space="0"/>
            </w:tcBorders>
            <w:vAlign w:val="center"/>
          </w:tcPr>
          <w:p w14:paraId="739A63AB">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251" w:type="dxa"/>
            <w:tcMar>
              <w:left w:w="28" w:type="dxa"/>
              <w:right w:w="28" w:type="dxa"/>
            </w:tcMar>
            <w:vAlign w:val="center"/>
          </w:tcPr>
          <w:p w14:paraId="512EAA6E">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804" w:type="dxa"/>
            <w:tcBorders>
              <w:right w:val="single" w:color="auto" w:sz="8" w:space="0"/>
            </w:tcBorders>
            <w:vAlign w:val="center"/>
          </w:tcPr>
          <w:p w14:paraId="6D6514F2">
            <w:pPr>
              <w:rPr>
                <w:rFonts w:ascii="Times New Roman" w:hAnsi="Times New Roman" w:eastAsia="宋体" w:cs="Times New Roman"/>
                <w:szCs w:val="21"/>
              </w:rPr>
            </w:pPr>
            <w:r>
              <w:rPr>
                <w:rFonts w:ascii="Times New Roman" w:hAnsi="Times New Roman" w:eastAsia="宋体" w:cs="Times New Roman"/>
                <w:szCs w:val="21"/>
              </w:rPr>
              <w:t>为了解学生的学习情况，帮助学生</w:t>
            </w:r>
            <w:r>
              <w:rPr>
                <w:rFonts w:hint="eastAsia" w:ascii="Times New Roman" w:hAnsi="Times New Roman" w:eastAsia="宋体" w:cs="Times New Roman"/>
                <w:szCs w:val="21"/>
              </w:rPr>
              <w:t>更好地</w:t>
            </w:r>
            <w:r>
              <w:rPr>
                <w:rFonts w:ascii="Times New Roman" w:hAnsi="Times New Roman" w:eastAsia="宋体" w:cs="Times New Roman"/>
                <w:szCs w:val="21"/>
              </w:rPr>
              <w:t>理解和消化所学知识、改进学习方法和思维方式，培养其独立思考问题的能力，任课教师</w:t>
            </w:r>
            <w:r>
              <w:rPr>
                <w:rFonts w:hint="eastAsia" w:ascii="Times New Roman" w:hAnsi="Times New Roman" w:eastAsia="宋体" w:cs="Times New Roman"/>
                <w:szCs w:val="21"/>
              </w:rPr>
              <w:t>需</w:t>
            </w:r>
            <w:r>
              <w:rPr>
                <w:rFonts w:ascii="Times New Roman" w:hAnsi="Times New Roman" w:eastAsia="宋体" w:cs="Times New Roman"/>
                <w:szCs w:val="21"/>
              </w:rPr>
              <w:t>每周安排</w:t>
            </w:r>
            <w:r>
              <w:rPr>
                <w:rFonts w:hint="eastAsia" w:ascii="Times New Roman" w:hAnsi="Times New Roman" w:eastAsia="宋体" w:cs="Times New Roman"/>
                <w:szCs w:val="21"/>
              </w:rPr>
              <w:t>一定</w:t>
            </w:r>
            <w:r>
              <w:rPr>
                <w:rFonts w:ascii="Times New Roman" w:hAnsi="Times New Roman" w:eastAsia="宋体" w:cs="Times New Roman"/>
                <w:szCs w:val="21"/>
              </w:rPr>
              <w:t>时间进行课外答疑与辅导。</w:t>
            </w:r>
          </w:p>
        </w:tc>
      </w:tr>
      <w:tr w14:paraId="42AF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582" w:type="dxa"/>
            <w:tcBorders>
              <w:left w:val="single" w:color="auto" w:sz="8" w:space="0"/>
              <w:bottom w:val="single" w:color="auto" w:sz="8" w:space="0"/>
            </w:tcBorders>
            <w:vAlign w:val="center"/>
          </w:tcPr>
          <w:p w14:paraId="702AB3C6">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251" w:type="dxa"/>
            <w:tcBorders>
              <w:bottom w:val="single" w:color="auto" w:sz="8" w:space="0"/>
            </w:tcBorders>
            <w:tcMar>
              <w:left w:w="28" w:type="dxa"/>
              <w:right w:w="28" w:type="dxa"/>
            </w:tcMar>
            <w:vAlign w:val="center"/>
          </w:tcPr>
          <w:p w14:paraId="0D285533">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804" w:type="dxa"/>
            <w:tcBorders>
              <w:bottom w:val="single" w:color="auto" w:sz="8" w:space="0"/>
              <w:right w:val="single" w:color="auto" w:sz="8" w:space="0"/>
            </w:tcBorders>
            <w:vAlign w:val="center"/>
          </w:tcPr>
          <w:p w14:paraId="081B480A">
            <w:pPr>
              <w:rPr>
                <w:rFonts w:ascii="Times New Roman" w:hAnsi="Times New Roman" w:eastAsia="宋体" w:cs="Times New Roman"/>
                <w:szCs w:val="21"/>
              </w:rPr>
            </w:pPr>
            <w:r>
              <w:rPr>
                <w:rFonts w:ascii="Times New Roman" w:hAnsi="Times New Roman" w:eastAsia="宋体" w:cs="Times New Roman"/>
                <w:szCs w:val="21"/>
              </w:rPr>
              <w:t>本课程考核的方式</w:t>
            </w:r>
            <w:r>
              <w:rPr>
                <w:rFonts w:hint="eastAsia" w:ascii="Times New Roman" w:hAnsi="Times New Roman" w:eastAsia="宋体" w:cs="Times New Roman"/>
                <w:szCs w:val="21"/>
              </w:rPr>
              <w:t>为闭卷笔试</w:t>
            </w:r>
            <w:r>
              <w:rPr>
                <w:rFonts w:ascii="Times New Roman" w:hAnsi="Times New Roman" w:eastAsia="宋体" w:cs="Times New Roman"/>
                <w:szCs w:val="21"/>
              </w:rPr>
              <w:t>。考试采取教考分离，监考</w:t>
            </w:r>
            <w:r>
              <w:rPr>
                <w:rFonts w:hint="eastAsia" w:ascii="Times New Roman" w:hAnsi="Times New Roman" w:eastAsia="宋体" w:cs="Times New Roman"/>
                <w:szCs w:val="21"/>
              </w:rPr>
              <w:t>由学院</w:t>
            </w:r>
            <w:r>
              <w:rPr>
                <w:rFonts w:ascii="Times New Roman" w:hAnsi="Times New Roman" w:eastAsia="宋体" w:cs="Times New Roman"/>
                <w:szCs w:val="21"/>
              </w:rPr>
              <w:t>统一安排。有下列情况之一者，总评成绩为不及格：</w:t>
            </w:r>
          </w:p>
          <w:p w14:paraId="485F0D1A">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缺交作业次数达1/3以上者</w:t>
            </w:r>
            <w:r>
              <w:rPr>
                <w:rFonts w:hint="eastAsia" w:ascii="Times New Roman" w:hAnsi="Times New Roman" w:eastAsia="宋体" w:cs="Times New Roman"/>
                <w:szCs w:val="21"/>
              </w:rPr>
              <w:t>。</w:t>
            </w:r>
          </w:p>
          <w:p w14:paraId="2F07BC2B">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缺课次数达本学期总授课学时的1/3以上者</w:t>
            </w:r>
            <w:r>
              <w:rPr>
                <w:rFonts w:hint="eastAsia" w:ascii="Times New Roman" w:hAnsi="Times New Roman" w:eastAsia="宋体" w:cs="Times New Roman"/>
                <w:szCs w:val="21"/>
              </w:rPr>
              <w:t>。</w:t>
            </w:r>
          </w:p>
        </w:tc>
      </w:tr>
    </w:tbl>
    <w:p w14:paraId="21CDC180">
      <w:pPr>
        <w:spacing w:line="336"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六、课程考核</w:t>
      </w:r>
    </w:p>
    <w:p w14:paraId="50D42B5C">
      <w:pPr>
        <w:spacing w:line="336"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（一）课程考核包括期末考试、平时及作业情况考核，期末考试采用闭卷笔试方式。</w:t>
      </w:r>
    </w:p>
    <w:p w14:paraId="16FD0C05">
      <w:pPr>
        <w:spacing w:line="336"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（二）课程成绩=</w:t>
      </w:r>
      <w:r>
        <w:rPr>
          <w:rFonts w:ascii="Times New Roman" w:hAnsi="Times New Roman" w:eastAsia="宋体" w:cs="Times New Roman"/>
          <w:sz w:val="24"/>
          <w:szCs w:val="24"/>
        </w:rPr>
        <w:t>平时成绩×50%期末考试成绩×50%。</w:t>
      </w:r>
      <w:r>
        <w:rPr>
          <w:rFonts w:hint="eastAsia" w:ascii="Times New Roman" w:hAnsi="Times New Roman" w:eastAsia="宋体" w:cs="Times New Roman"/>
          <w:sz w:val="24"/>
          <w:szCs w:val="24"/>
        </w:rPr>
        <w:t>具体内容和比例如表所示。</w:t>
      </w:r>
    </w:p>
    <w:tbl>
      <w:tblPr>
        <w:tblStyle w:val="30"/>
        <w:tblW w:w="90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134"/>
        <w:gridCol w:w="658"/>
        <w:gridCol w:w="2775"/>
        <w:gridCol w:w="1316"/>
        <w:gridCol w:w="1316"/>
        <w:gridCol w:w="1317"/>
      </w:tblGrid>
      <w:tr w14:paraId="51629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57" w:type="dxa"/>
            <w:shd w:val="clear" w:color="auto" w:fill="FFFFFF"/>
            <w:tcMar>
              <w:left w:w="57" w:type="dxa"/>
              <w:right w:w="57" w:type="dxa"/>
            </w:tcMar>
            <w:vAlign w:val="center"/>
          </w:tcPr>
          <w:p w14:paraId="09B0A6BD">
            <w:pPr>
              <w:jc w:val="center"/>
              <w:rPr>
                <w:rFonts w:ascii="Times New Roman" w:hAnsi="Times New Roman" w:eastAsia="宋体" w:cs="Times New Roman"/>
                <w:szCs w:val="21"/>
              </w:rPr>
            </w:pPr>
            <w:bookmarkStart w:id="53" w:name="_Hlk525587673"/>
            <w:r>
              <w:rPr>
                <w:rFonts w:ascii="Times New Roman" w:hAnsi="Times New Roman" w:eastAsia="宋体" w:cs="Times New Roman"/>
                <w:szCs w:val="21"/>
              </w:rPr>
              <w:t>成绩</w:t>
            </w:r>
          </w:p>
          <w:p w14:paraId="5FA05EEB">
            <w:pPr>
              <w:jc w:val="center"/>
              <w:rPr>
                <w:rFonts w:ascii="Times New Roman" w:hAnsi="Times New Roman" w:eastAsia="宋体" w:cs="Times New Roman"/>
                <w:szCs w:val="21"/>
              </w:rPr>
            </w:pPr>
            <w:r>
              <w:rPr>
                <w:rFonts w:ascii="Times New Roman" w:hAnsi="Times New Roman" w:eastAsia="宋体" w:cs="Times New Roman"/>
                <w:szCs w:val="21"/>
              </w:rPr>
              <w:t>组成</w:t>
            </w:r>
          </w:p>
        </w:tc>
        <w:tc>
          <w:tcPr>
            <w:tcW w:w="1134" w:type="dxa"/>
            <w:shd w:val="clear" w:color="auto" w:fill="FFFFFF"/>
            <w:vAlign w:val="center"/>
          </w:tcPr>
          <w:p w14:paraId="44CC35C5">
            <w:pPr>
              <w:jc w:val="center"/>
              <w:rPr>
                <w:rFonts w:ascii="Times New Roman" w:hAnsi="Times New Roman" w:eastAsia="宋体" w:cs="Times New Roman"/>
                <w:szCs w:val="21"/>
              </w:rPr>
            </w:pPr>
            <w:r>
              <w:rPr>
                <w:rFonts w:ascii="Times New Roman" w:hAnsi="Times New Roman" w:eastAsia="宋体" w:cs="Times New Roman"/>
                <w:szCs w:val="21"/>
              </w:rPr>
              <w:t>考核/</w:t>
            </w:r>
          </w:p>
          <w:p w14:paraId="37C537FD">
            <w:pPr>
              <w:jc w:val="center"/>
              <w:rPr>
                <w:rFonts w:ascii="Times New Roman" w:hAnsi="Times New Roman" w:eastAsia="宋体" w:cs="Times New Roman"/>
                <w:szCs w:val="21"/>
              </w:rPr>
            </w:pPr>
            <w:r>
              <w:rPr>
                <w:rFonts w:ascii="Times New Roman" w:hAnsi="Times New Roman" w:eastAsia="宋体" w:cs="Times New Roman"/>
                <w:szCs w:val="21"/>
              </w:rPr>
              <w:t>评价环节</w:t>
            </w:r>
          </w:p>
        </w:tc>
        <w:tc>
          <w:tcPr>
            <w:tcW w:w="658" w:type="dxa"/>
            <w:shd w:val="clear" w:color="auto" w:fill="FFFFFF"/>
            <w:vAlign w:val="center"/>
          </w:tcPr>
          <w:p w14:paraId="246A3ED2">
            <w:pPr>
              <w:jc w:val="center"/>
              <w:rPr>
                <w:rFonts w:ascii="Times New Roman" w:hAnsi="Times New Roman" w:eastAsia="宋体" w:cs="Times New Roman"/>
                <w:szCs w:val="21"/>
              </w:rPr>
            </w:pPr>
            <w:r>
              <w:rPr>
                <w:rFonts w:hint="eastAsia" w:ascii="Times New Roman" w:hAnsi="Times New Roman" w:eastAsia="宋体" w:cs="Times New Roman"/>
                <w:szCs w:val="21"/>
              </w:rPr>
              <w:t>权重</w:t>
            </w:r>
          </w:p>
        </w:tc>
        <w:tc>
          <w:tcPr>
            <w:tcW w:w="2775" w:type="dxa"/>
            <w:shd w:val="clear" w:color="auto" w:fill="FFFFFF"/>
            <w:vAlign w:val="center"/>
          </w:tcPr>
          <w:p w14:paraId="24CAFAB8">
            <w:pPr>
              <w:jc w:val="center"/>
              <w:rPr>
                <w:rFonts w:ascii="Times New Roman" w:hAnsi="Times New Roman" w:eastAsia="宋体" w:cs="Times New Roman"/>
                <w:szCs w:val="21"/>
              </w:rPr>
            </w:pPr>
            <w:r>
              <w:rPr>
                <w:rFonts w:ascii="Times New Roman" w:hAnsi="Times New Roman" w:eastAsia="宋体" w:cs="Times New Roman"/>
                <w:szCs w:val="21"/>
              </w:rPr>
              <w:t>考核/评价细则</w:t>
            </w:r>
          </w:p>
        </w:tc>
        <w:tc>
          <w:tcPr>
            <w:tcW w:w="1316" w:type="dxa"/>
            <w:shd w:val="clear" w:color="auto" w:fill="FFFFFF"/>
            <w:vAlign w:val="center"/>
          </w:tcPr>
          <w:p w14:paraId="6D29202D">
            <w:pPr>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tc>
        <w:tc>
          <w:tcPr>
            <w:tcW w:w="1316" w:type="dxa"/>
            <w:shd w:val="clear" w:color="auto" w:fill="FFFFFF"/>
            <w:vAlign w:val="center"/>
          </w:tcPr>
          <w:p w14:paraId="2ADC6F99">
            <w:pPr>
              <w:jc w:val="center"/>
              <w:rPr>
                <w:rFonts w:ascii="Times New Roman" w:hAnsi="Times New Roman" w:eastAsia="宋体" w:cs="Times New Roman"/>
                <w:szCs w:val="21"/>
              </w:rPr>
            </w:pPr>
            <w:r>
              <w:rPr>
                <w:rFonts w:hint="eastAsia" w:ascii="Times New Roman" w:hAnsi="Times New Roman" w:eastAsia="宋体" w:cs="Times New Roman"/>
                <w:szCs w:val="21"/>
              </w:rPr>
              <w:t>考核内容</w:t>
            </w:r>
          </w:p>
        </w:tc>
        <w:tc>
          <w:tcPr>
            <w:tcW w:w="1317" w:type="dxa"/>
            <w:shd w:val="clear" w:color="auto" w:fill="FFFFFF"/>
            <w:vAlign w:val="center"/>
          </w:tcPr>
          <w:p w14:paraId="7C7D13C8">
            <w:pPr>
              <w:jc w:val="center"/>
              <w:rPr>
                <w:rFonts w:ascii="Times New Roman" w:hAnsi="Times New Roman" w:eastAsia="宋体" w:cs="Times New Roman"/>
                <w:szCs w:val="21"/>
              </w:rPr>
            </w:pPr>
            <w:r>
              <w:rPr>
                <w:rFonts w:ascii="Times New Roman" w:hAnsi="Times New Roman" w:eastAsia="宋体" w:cs="Times New Roman"/>
                <w:szCs w:val="21"/>
              </w:rPr>
              <w:t>对应的毕业要求指标点</w:t>
            </w:r>
          </w:p>
        </w:tc>
      </w:tr>
      <w:tr w14:paraId="026BE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57" w:type="dxa"/>
            <w:tcMar>
              <w:left w:w="57" w:type="dxa"/>
              <w:right w:w="57" w:type="dxa"/>
            </w:tcMar>
            <w:vAlign w:val="center"/>
          </w:tcPr>
          <w:p w14:paraId="335D5A24">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平时</w:t>
            </w:r>
          </w:p>
          <w:p w14:paraId="77634697">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成绩</w:t>
            </w:r>
          </w:p>
        </w:tc>
        <w:tc>
          <w:tcPr>
            <w:tcW w:w="1134" w:type="dxa"/>
            <w:vAlign w:val="center"/>
          </w:tcPr>
          <w:p w14:paraId="213F07BC">
            <w:pPr>
              <w:spacing w:line="300" w:lineRule="exact"/>
              <w:rPr>
                <w:rFonts w:ascii="Times New Roman" w:hAnsi="Times New Roman" w:eastAsia="宋体" w:cs="Times New Roman"/>
                <w:szCs w:val="21"/>
              </w:rPr>
            </w:pPr>
            <w:r>
              <w:rPr>
                <w:rFonts w:hint="eastAsia" w:ascii="Times New Roman" w:hAnsi="Times New Roman" w:eastAsia="宋体" w:cs="Times New Roman"/>
                <w:szCs w:val="21"/>
              </w:rPr>
              <w:t>课堂考勤、表现及平时作业</w:t>
            </w:r>
          </w:p>
        </w:tc>
        <w:tc>
          <w:tcPr>
            <w:tcW w:w="658" w:type="dxa"/>
            <w:vAlign w:val="center"/>
          </w:tcPr>
          <w:p w14:paraId="7361667C">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50</w:t>
            </w:r>
            <w:r>
              <w:rPr>
                <w:rFonts w:hint="eastAsia" w:ascii="Times New Roman" w:hAnsi="Times New Roman" w:eastAsia="宋体" w:cs="Times New Roman"/>
                <w:szCs w:val="21"/>
              </w:rPr>
              <w:t>%</w:t>
            </w:r>
          </w:p>
        </w:tc>
        <w:tc>
          <w:tcPr>
            <w:tcW w:w="2775" w:type="dxa"/>
            <w:vAlign w:val="center"/>
          </w:tcPr>
          <w:p w14:paraId="70BB8A75">
            <w:pPr>
              <w:spacing w:line="300" w:lineRule="exact"/>
              <w:rPr>
                <w:rFonts w:ascii="Times New Roman" w:hAnsi="Times New Roman" w:eastAsia="宋体" w:cs="Times New Roman"/>
                <w:szCs w:val="21"/>
              </w:rPr>
            </w:pPr>
            <w:r>
              <w:rPr>
                <w:rFonts w:hint="eastAsia" w:ascii="Times New Roman" w:hAnsi="Times New Roman" w:eastAsia="宋体" w:cs="Times New Roman"/>
                <w:szCs w:val="21"/>
              </w:rPr>
              <w:t>课堂考勤：迟到一次扣2分，事假一次扣3分，病假一次扣1分无故缺席一次扣5分，累计达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BA530DD">
            <w:pPr>
              <w:spacing w:line="300" w:lineRule="exact"/>
              <w:rPr>
                <w:rFonts w:ascii="Times New Roman" w:hAnsi="Times New Roman" w:eastAsia="宋体" w:cs="Times New Roman"/>
                <w:szCs w:val="21"/>
              </w:rPr>
            </w:pPr>
            <w:r>
              <w:rPr>
                <w:rFonts w:hint="eastAsia" w:ascii="Times New Roman" w:hAnsi="Times New Roman" w:eastAsia="宋体" w:cs="Times New Roman"/>
                <w:szCs w:val="21"/>
              </w:rPr>
              <w:t>课堂表现：课前，每位同学一次评说教育时事或教育事件，在教学过程中，提问每位同学，根据回答情况进行评分，同时课堂组织小组讨论，根据每组同学表现给分。</w:t>
            </w:r>
          </w:p>
          <w:p w14:paraId="6F4AF4DB">
            <w:pPr>
              <w:spacing w:line="300" w:lineRule="exact"/>
              <w:rPr>
                <w:rFonts w:ascii="Times New Roman" w:hAnsi="Times New Roman" w:eastAsia="宋体" w:cs="Times New Roman"/>
                <w:szCs w:val="21"/>
              </w:rPr>
            </w:pPr>
            <w:r>
              <w:rPr>
                <w:rFonts w:hint="eastAsia" w:ascii="Times New Roman" w:hAnsi="Times New Roman" w:eastAsia="宋体" w:cs="Times New Roman"/>
                <w:szCs w:val="21"/>
              </w:rPr>
              <w:t>平时作业即过程性考核：由单元测验、小组读书汇报及读书报告、1篇小论文、实践活动报告组成，主要考察学生对所学知识的理解和应用。</w:t>
            </w:r>
          </w:p>
        </w:tc>
        <w:tc>
          <w:tcPr>
            <w:tcW w:w="1316" w:type="dxa"/>
            <w:vAlign w:val="center"/>
          </w:tcPr>
          <w:p w14:paraId="29596868">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7357DEA4">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5BCE2766">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07753702">
            <w:pPr>
              <w:spacing w:line="300" w:lineRule="exact"/>
              <w:jc w:val="center"/>
              <w:rPr>
                <w:rFonts w:ascii="Times New Roman" w:hAnsi="Times New Roman" w:eastAsia="宋体" w:cs="Times New Roman"/>
                <w:color w:val="000000"/>
                <w:szCs w:val="21"/>
              </w:rPr>
            </w:pPr>
          </w:p>
        </w:tc>
        <w:tc>
          <w:tcPr>
            <w:tcW w:w="1316" w:type="dxa"/>
            <w:vAlign w:val="center"/>
          </w:tcPr>
          <w:p w14:paraId="2B2BE1E1">
            <w:pPr>
              <w:spacing w:line="300" w:lineRule="exact"/>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每章节的基本知识和理论的掌握及运用</w:t>
            </w:r>
          </w:p>
        </w:tc>
        <w:tc>
          <w:tcPr>
            <w:tcW w:w="1317" w:type="dxa"/>
            <w:vAlign w:val="center"/>
          </w:tcPr>
          <w:p w14:paraId="79E565F5">
            <w:pPr>
              <w:spacing w:line="300" w:lineRule="exact"/>
              <w:jc w:val="center"/>
              <w:rPr>
                <w:rFonts w:ascii="Times New Roman" w:hAnsi="Times New Roman" w:eastAsia="宋体" w:cs="Times New Roman"/>
                <w:szCs w:val="21"/>
              </w:rPr>
            </w:pP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、2-</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3</w:t>
            </w:r>
          </w:p>
        </w:tc>
      </w:tr>
      <w:tr w14:paraId="5B221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57" w:type="dxa"/>
            <w:tcMar>
              <w:left w:w="57" w:type="dxa"/>
              <w:right w:w="57" w:type="dxa"/>
            </w:tcMar>
            <w:vAlign w:val="center"/>
          </w:tcPr>
          <w:p w14:paraId="71290FF2">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期末</w:t>
            </w:r>
          </w:p>
          <w:p w14:paraId="442C4397">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考试</w:t>
            </w:r>
          </w:p>
          <w:p w14:paraId="693C28FF">
            <w:pPr>
              <w:spacing w:line="300" w:lineRule="exact"/>
              <w:jc w:val="center"/>
              <w:rPr>
                <w:rFonts w:ascii="Times New Roman" w:hAnsi="Times New Roman" w:eastAsia="宋体" w:cs="Times New Roman"/>
                <w:szCs w:val="21"/>
              </w:rPr>
            </w:pPr>
          </w:p>
        </w:tc>
        <w:tc>
          <w:tcPr>
            <w:tcW w:w="1134" w:type="dxa"/>
            <w:vAlign w:val="center"/>
          </w:tcPr>
          <w:p w14:paraId="612424F4">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期末考试</w:t>
            </w:r>
          </w:p>
          <w:p w14:paraId="10437CB3">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卷面</w:t>
            </w:r>
            <w:r>
              <w:rPr>
                <w:rFonts w:ascii="Times New Roman" w:hAnsi="Times New Roman" w:eastAsia="宋体" w:cs="Times New Roman"/>
                <w:szCs w:val="21"/>
              </w:rPr>
              <w:t>成绩</w:t>
            </w:r>
          </w:p>
        </w:tc>
        <w:tc>
          <w:tcPr>
            <w:tcW w:w="658" w:type="dxa"/>
            <w:vAlign w:val="center"/>
          </w:tcPr>
          <w:p w14:paraId="4F1A2B0E">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50%</w:t>
            </w:r>
          </w:p>
        </w:tc>
        <w:tc>
          <w:tcPr>
            <w:tcW w:w="2775" w:type="dxa"/>
            <w:vAlign w:val="center"/>
          </w:tcPr>
          <w:p w14:paraId="12A6DC50">
            <w:pPr>
              <w:spacing w:line="300" w:lineRule="exact"/>
              <w:rPr>
                <w:rFonts w:ascii="Times New Roman" w:hAnsi="Times New Roman" w:eastAsia="宋体" w:cs="Times New Roman"/>
                <w:color w:val="000000"/>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辨析</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等，以卷面成绩的50%计入课程总成绩。其中考核</w:t>
            </w:r>
            <w:r>
              <w:rPr>
                <w:rFonts w:hint="eastAsia" w:ascii="Times New Roman" w:hAnsi="Times New Roman" w:eastAsia="宋体" w:cs="Times New Roman"/>
                <w:color w:val="000000"/>
                <w:szCs w:val="21"/>
              </w:rPr>
              <w:t>教育基本理论和知识型题目占3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%；考核学生运用学与教的基本理论和知识进行教学设计的题型占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1316" w:type="dxa"/>
            <w:vAlign w:val="center"/>
          </w:tcPr>
          <w:p w14:paraId="7B9FC2EF">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1217A321">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2A910B83">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402FA0B9">
            <w:pPr>
              <w:spacing w:line="300" w:lineRule="exact"/>
              <w:jc w:val="center"/>
              <w:rPr>
                <w:rFonts w:ascii="Times New Roman" w:hAnsi="Times New Roman" w:eastAsia="宋体" w:cs="Times New Roman"/>
                <w:szCs w:val="21"/>
              </w:rPr>
            </w:pPr>
          </w:p>
        </w:tc>
        <w:tc>
          <w:tcPr>
            <w:tcW w:w="1316" w:type="dxa"/>
            <w:vAlign w:val="center"/>
          </w:tcPr>
          <w:p w14:paraId="4C0ACB7F">
            <w:pPr>
              <w:spacing w:line="300" w:lineRule="exact"/>
              <w:jc w:val="left"/>
              <w:rPr>
                <w:rFonts w:ascii="Times New Roman" w:hAnsi="Times New Roman" w:eastAsia="宋体" w:cs="Times New Roman"/>
                <w:szCs w:val="21"/>
              </w:rPr>
            </w:pPr>
            <w:r>
              <w:rPr>
                <w:rFonts w:hint="eastAsia" w:ascii="Times New Roman" w:hAnsi="Times New Roman" w:eastAsia="宋体" w:cs="Times New Roman"/>
                <w:szCs w:val="21"/>
              </w:rPr>
              <w:t>教育基本理论知识、分析问题、解决问题的能力、教学设计和研究能力。</w:t>
            </w:r>
          </w:p>
        </w:tc>
        <w:tc>
          <w:tcPr>
            <w:tcW w:w="1317" w:type="dxa"/>
            <w:vAlign w:val="center"/>
          </w:tcPr>
          <w:p w14:paraId="00EFD93C">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、7-</w:t>
            </w:r>
            <w:r>
              <w:rPr>
                <w:rFonts w:ascii="Times New Roman" w:hAnsi="Times New Roman" w:eastAsia="宋体" w:cs="Times New Roman"/>
                <w:szCs w:val="21"/>
              </w:rPr>
              <w:t>1</w:t>
            </w:r>
            <w:r>
              <w:rPr>
                <w:rFonts w:hint="eastAsia" w:ascii="Times New Roman" w:hAnsi="Times New Roman" w:eastAsia="宋体" w:cs="Times New Roman"/>
                <w:szCs w:val="21"/>
              </w:rPr>
              <w:t>、7-</w:t>
            </w:r>
            <w:r>
              <w:rPr>
                <w:rFonts w:ascii="Times New Roman" w:hAnsi="Times New Roman" w:eastAsia="宋体" w:cs="Times New Roman"/>
                <w:szCs w:val="21"/>
              </w:rPr>
              <w:t>3</w:t>
            </w:r>
          </w:p>
        </w:tc>
      </w:tr>
      <w:bookmarkEnd w:id="53"/>
    </w:tbl>
    <w:p w14:paraId="3F785E22">
      <w:pPr>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（三）课程目标及考核方式权重分配表</w:t>
      </w:r>
    </w:p>
    <w:tbl>
      <w:tblPr>
        <w:tblStyle w:val="30"/>
        <w:tblW w:w="91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839"/>
        <w:gridCol w:w="2223"/>
        <w:gridCol w:w="1866"/>
        <w:gridCol w:w="1149"/>
      </w:tblGrid>
      <w:tr w14:paraId="24877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12" w:type="dxa"/>
            <w:gridSpan w:val="2"/>
            <w:shd w:val="clear" w:color="auto" w:fill="auto"/>
            <w:vAlign w:val="center"/>
          </w:tcPr>
          <w:p w14:paraId="7A705537">
            <w:pPr>
              <w:widowControl/>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课程目标及权重</w:t>
            </w:r>
          </w:p>
        </w:tc>
        <w:tc>
          <w:tcPr>
            <w:tcW w:w="5238" w:type="dxa"/>
            <w:gridSpan w:val="3"/>
            <w:shd w:val="clear" w:color="auto" w:fill="auto"/>
            <w:vAlign w:val="center"/>
          </w:tcPr>
          <w:p w14:paraId="3A2B7858">
            <w:pPr>
              <w:widowControl/>
              <w:ind w:right="-391" w:rightChars="-186"/>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考核方式及权重</w:t>
            </w:r>
          </w:p>
        </w:tc>
      </w:tr>
      <w:tr w14:paraId="16E24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073" w:type="dxa"/>
            <w:shd w:val="clear" w:color="auto" w:fill="auto"/>
            <w:vAlign w:val="center"/>
          </w:tcPr>
          <w:p w14:paraId="55FEA8B2">
            <w:pPr>
              <w:widowControl/>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项目</w:t>
            </w:r>
          </w:p>
        </w:tc>
        <w:tc>
          <w:tcPr>
            <w:tcW w:w="1839" w:type="dxa"/>
            <w:shd w:val="clear" w:color="auto" w:fill="auto"/>
            <w:vAlign w:val="center"/>
          </w:tcPr>
          <w:p w14:paraId="08E78477">
            <w:pPr>
              <w:widowControl/>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权重（</w:t>
            </w:r>
            <w:r>
              <w:rPr>
                <w:rFonts w:ascii="宋体" w:hAnsi="宋体" w:eastAsia="宋体" w:cs="Times New Roman"/>
                <w:color w:val="000000" w:themeColor="text1"/>
                <w:kern w:val="0"/>
                <w:szCs w:val="21"/>
                <w14:textFill>
                  <w14:solidFill>
                    <w14:schemeClr w14:val="tx1"/>
                  </w14:solidFill>
                </w14:textFill>
              </w:rPr>
              <w:t>a</w:t>
            </w:r>
            <w:r>
              <w:rPr>
                <w:rFonts w:hint="eastAsia" w:ascii="宋体" w:hAnsi="宋体" w:eastAsia="宋体" w:cs="Times New Roman"/>
                <w:color w:val="000000" w:themeColor="text1"/>
                <w:kern w:val="0"/>
                <w:szCs w:val="21"/>
                <w14:textFill>
                  <w14:solidFill>
                    <w14:schemeClr w14:val="tx1"/>
                  </w14:solidFill>
                </w14:textFill>
              </w:rPr>
              <w:t>）</w:t>
            </w:r>
          </w:p>
        </w:tc>
        <w:tc>
          <w:tcPr>
            <w:tcW w:w="2223" w:type="dxa"/>
            <w:shd w:val="clear" w:color="auto" w:fill="auto"/>
            <w:vAlign w:val="center"/>
          </w:tcPr>
          <w:p w14:paraId="15F08ACF">
            <w:pPr>
              <w:widowControl/>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评价依据</w:t>
            </w:r>
          </w:p>
        </w:tc>
        <w:tc>
          <w:tcPr>
            <w:tcW w:w="1866" w:type="dxa"/>
            <w:shd w:val="clear" w:color="auto" w:fill="auto"/>
            <w:vAlign w:val="center"/>
          </w:tcPr>
          <w:p w14:paraId="708DE310">
            <w:pPr>
              <w:widowControl/>
              <w:jc w:val="center"/>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权重（</w:t>
            </w:r>
            <w:r>
              <w:rPr>
                <w:rFonts w:ascii="宋体" w:hAnsi="宋体" w:eastAsia="宋体" w:cs="Times New Roman"/>
                <w:color w:val="000000" w:themeColor="text1"/>
                <w:kern w:val="0"/>
                <w:szCs w:val="21"/>
                <w14:textFill>
                  <w14:solidFill>
                    <w14:schemeClr w14:val="tx1"/>
                  </w14:solidFill>
                </w14:textFill>
              </w:rPr>
              <w:t>b</w:t>
            </w:r>
            <w:r>
              <w:rPr>
                <w:rFonts w:hint="eastAsia" w:ascii="宋体" w:hAnsi="宋体" w:eastAsia="宋体" w:cs="Times New Roman"/>
                <w:color w:val="000000" w:themeColor="text1"/>
                <w:kern w:val="0"/>
                <w:szCs w:val="21"/>
                <w14:textFill>
                  <w14:solidFill>
                    <w14:schemeClr w14:val="tx1"/>
                  </w14:solidFill>
                </w14:textFill>
              </w:rPr>
              <w:t>）</w:t>
            </w:r>
          </w:p>
        </w:tc>
        <w:tc>
          <w:tcPr>
            <w:tcW w:w="1149" w:type="dxa"/>
          </w:tcPr>
          <w:p w14:paraId="5E3AEDBB">
            <w:pPr>
              <w:widowControl/>
              <w:rPr>
                <w:rFonts w:hint="eastAsia"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考核方式权重合计</w:t>
            </w:r>
          </w:p>
        </w:tc>
      </w:tr>
      <w:tr w14:paraId="72DBE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73" w:type="dxa"/>
            <w:vMerge w:val="restart"/>
            <w:shd w:val="clear" w:color="auto" w:fill="auto"/>
            <w:vAlign w:val="center"/>
          </w:tcPr>
          <w:p w14:paraId="4FD102C6">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39" w:type="dxa"/>
            <w:vMerge w:val="restart"/>
            <w:shd w:val="clear" w:color="auto" w:fill="auto"/>
            <w:vAlign w:val="center"/>
          </w:tcPr>
          <w:p w14:paraId="5494B564">
            <w:pPr>
              <w:widowControl/>
              <w:jc w:val="center"/>
              <w:rPr>
                <w:rFonts w:hint="eastAsia"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0%</w:t>
            </w:r>
          </w:p>
        </w:tc>
        <w:tc>
          <w:tcPr>
            <w:tcW w:w="2223" w:type="dxa"/>
            <w:shd w:val="clear" w:color="auto" w:fill="auto"/>
            <w:vAlign w:val="center"/>
          </w:tcPr>
          <w:p w14:paraId="005AC308">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866" w:type="dxa"/>
            <w:shd w:val="clear" w:color="auto" w:fill="auto"/>
            <w:vAlign w:val="center"/>
          </w:tcPr>
          <w:p w14:paraId="0529ABBB">
            <w:pPr>
              <w:widowControl/>
              <w:jc w:val="center"/>
              <w:rPr>
                <w:rFonts w:hint="eastAsia" w:ascii="宋体" w:hAnsi="宋体" w:eastAsia="宋体" w:cs="Times New Roman"/>
                <w:kern w:val="0"/>
                <w:szCs w:val="21"/>
              </w:rPr>
            </w:pPr>
            <w:r>
              <w:rPr>
                <w:rFonts w:ascii="宋体" w:hAnsi="宋体" w:eastAsia="宋体" w:cs="Times New Roman"/>
                <w:kern w:val="0"/>
                <w:szCs w:val="21"/>
              </w:rPr>
              <w:t>5</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49" w:type="dxa"/>
            <w:vMerge w:val="restart"/>
            <w:vAlign w:val="center"/>
          </w:tcPr>
          <w:p w14:paraId="7AF82BB7">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1F80A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3C4763E0">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4A36BA64">
            <w:pPr>
              <w:widowControl/>
              <w:jc w:val="center"/>
              <w:rPr>
                <w:rFonts w:hint="eastAsia" w:ascii="宋体" w:hAnsi="宋体" w:eastAsia="宋体" w:cs="Times New Roman"/>
                <w:kern w:val="0"/>
                <w:szCs w:val="21"/>
              </w:rPr>
            </w:pPr>
          </w:p>
        </w:tc>
        <w:tc>
          <w:tcPr>
            <w:tcW w:w="2223" w:type="dxa"/>
            <w:shd w:val="clear" w:color="auto" w:fill="auto"/>
            <w:vAlign w:val="center"/>
          </w:tcPr>
          <w:p w14:paraId="63651B40">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单元测验</w:t>
            </w:r>
          </w:p>
        </w:tc>
        <w:tc>
          <w:tcPr>
            <w:tcW w:w="1866" w:type="dxa"/>
            <w:shd w:val="clear" w:color="auto" w:fill="auto"/>
            <w:vAlign w:val="center"/>
          </w:tcPr>
          <w:p w14:paraId="0717672A">
            <w:pPr>
              <w:widowControl/>
              <w:jc w:val="center"/>
              <w:rPr>
                <w:rFonts w:hint="eastAsia"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0%</w:t>
            </w:r>
          </w:p>
        </w:tc>
        <w:tc>
          <w:tcPr>
            <w:tcW w:w="1149" w:type="dxa"/>
            <w:vMerge w:val="continue"/>
            <w:vAlign w:val="center"/>
          </w:tcPr>
          <w:p w14:paraId="0A44D8EE">
            <w:pPr>
              <w:widowControl/>
              <w:jc w:val="center"/>
              <w:rPr>
                <w:rFonts w:hint="eastAsia" w:ascii="宋体" w:hAnsi="宋体" w:eastAsia="宋体" w:cs="Times New Roman"/>
                <w:kern w:val="0"/>
                <w:szCs w:val="21"/>
              </w:rPr>
            </w:pPr>
          </w:p>
        </w:tc>
      </w:tr>
      <w:tr w14:paraId="65015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137A395B">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7C306AA5">
            <w:pPr>
              <w:widowControl/>
              <w:jc w:val="center"/>
              <w:rPr>
                <w:rFonts w:hint="eastAsia" w:ascii="宋体" w:hAnsi="宋体" w:eastAsia="宋体" w:cs="Times New Roman"/>
                <w:kern w:val="0"/>
                <w:szCs w:val="21"/>
              </w:rPr>
            </w:pPr>
          </w:p>
        </w:tc>
        <w:tc>
          <w:tcPr>
            <w:tcW w:w="2223" w:type="dxa"/>
            <w:shd w:val="clear" w:color="auto" w:fill="auto"/>
            <w:vAlign w:val="center"/>
          </w:tcPr>
          <w:p w14:paraId="79AC98F9">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课堂表现</w:t>
            </w:r>
          </w:p>
        </w:tc>
        <w:tc>
          <w:tcPr>
            <w:tcW w:w="1866" w:type="dxa"/>
            <w:shd w:val="clear" w:color="auto" w:fill="auto"/>
            <w:vAlign w:val="center"/>
          </w:tcPr>
          <w:p w14:paraId="39A4935A">
            <w:pPr>
              <w:widowControl/>
              <w:jc w:val="center"/>
              <w:rPr>
                <w:rFonts w:hint="eastAsia" w:ascii="宋体" w:hAnsi="宋体" w:eastAsia="宋体" w:cs="Times New Roman"/>
                <w:kern w:val="0"/>
                <w:szCs w:val="21"/>
              </w:rPr>
            </w:pPr>
            <w:r>
              <w:rPr>
                <w:rFonts w:ascii="宋体" w:hAnsi="宋体" w:eastAsia="宋体" w:cs="Times New Roman"/>
                <w:kern w:val="0"/>
                <w:szCs w:val="21"/>
              </w:rPr>
              <w:t>10</w:t>
            </w:r>
            <w:r>
              <w:rPr>
                <w:rFonts w:hint="eastAsia" w:ascii="宋体" w:hAnsi="宋体" w:eastAsia="宋体" w:cs="Times New Roman"/>
                <w:kern w:val="0"/>
                <w:szCs w:val="21"/>
              </w:rPr>
              <w:t>%</w:t>
            </w:r>
          </w:p>
        </w:tc>
        <w:tc>
          <w:tcPr>
            <w:tcW w:w="1149" w:type="dxa"/>
            <w:vMerge w:val="continue"/>
            <w:vAlign w:val="center"/>
          </w:tcPr>
          <w:p w14:paraId="362A90C2">
            <w:pPr>
              <w:widowControl/>
              <w:jc w:val="center"/>
              <w:rPr>
                <w:rFonts w:hint="eastAsia" w:ascii="宋体" w:hAnsi="宋体" w:eastAsia="宋体" w:cs="Times New Roman"/>
                <w:kern w:val="0"/>
                <w:szCs w:val="21"/>
              </w:rPr>
            </w:pPr>
          </w:p>
        </w:tc>
      </w:tr>
      <w:tr w14:paraId="0DAAA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7E2B8FB6">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30022CD1">
            <w:pPr>
              <w:widowControl/>
              <w:jc w:val="center"/>
              <w:rPr>
                <w:rFonts w:hint="eastAsia" w:ascii="宋体" w:hAnsi="宋体" w:eastAsia="宋体" w:cs="Times New Roman"/>
                <w:kern w:val="0"/>
                <w:szCs w:val="21"/>
              </w:rPr>
            </w:pPr>
          </w:p>
        </w:tc>
        <w:tc>
          <w:tcPr>
            <w:tcW w:w="2223" w:type="dxa"/>
            <w:shd w:val="clear" w:color="auto" w:fill="auto"/>
            <w:vAlign w:val="center"/>
          </w:tcPr>
          <w:p w14:paraId="30FD1BE2">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866" w:type="dxa"/>
            <w:shd w:val="clear" w:color="auto" w:fill="auto"/>
            <w:vAlign w:val="center"/>
          </w:tcPr>
          <w:p w14:paraId="58A9E20E">
            <w:pPr>
              <w:widowControl/>
              <w:jc w:val="center"/>
              <w:rPr>
                <w:rFonts w:hint="eastAsia" w:ascii="宋体" w:hAnsi="宋体" w:eastAsia="宋体" w:cs="Times New Roman"/>
                <w:kern w:val="0"/>
                <w:szCs w:val="21"/>
              </w:rPr>
            </w:pPr>
            <w:r>
              <w:rPr>
                <w:rFonts w:ascii="宋体" w:hAnsi="宋体" w:eastAsia="宋体" w:cs="Times New Roman"/>
                <w:kern w:val="0"/>
                <w:szCs w:val="21"/>
              </w:rPr>
              <w:t>20</w:t>
            </w:r>
            <w:r>
              <w:rPr>
                <w:rFonts w:hint="eastAsia" w:ascii="宋体" w:hAnsi="宋体" w:eastAsia="宋体" w:cs="Times New Roman"/>
                <w:kern w:val="0"/>
                <w:szCs w:val="21"/>
              </w:rPr>
              <w:t>%</w:t>
            </w:r>
          </w:p>
        </w:tc>
        <w:tc>
          <w:tcPr>
            <w:tcW w:w="1149" w:type="dxa"/>
            <w:vMerge w:val="continue"/>
            <w:vAlign w:val="center"/>
          </w:tcPr>
          <w:p w14:paraId="7593775F">
            <w:pPr>
              <w:widowControl/>
              <w:jc w:val="center"/>
              <w:rPr>
                <w:rFonts w:hint="eastAsia" w:ascii="宋体" w:hAnsi="宋体" w:eastAsia="宋体" w:cs="Times New Roman"/>
                <w:kern w:val="0"/>
                <w:szCs w:val="21"/>
              </w:rPr>
            </w:pPr>
          </w:p>
        </w:tc>
      </w:tr>
      <w:tr w14:paraId="08211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restart"/>
            <w:shd w:val="clear" w:color="auto" w:fill="auto"/>
            <w:vAlign w:val="center"/>
          </w:tcPr>
          <w:p w14:paraId="561BC9B4">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39" w:type="dxa"/>
            <w:vMerge w:val="restart"/>
            <w:shd w:val="clear" w:color="auto" w:fill="auto"/>
            <w:vAlign w:val="center"/>
          </w:tcPr>
          <w:p w14:paraId="7AF9AEFD">
            <w:pPr>
              <w:widowControl/>
              <w:jc w:val="center"/>
              <w:rPr>
                <w:rFonts w:hint="eastAsia" w:ascii="宋体" w:hAnsi="宋体" w:eastAsia="宋体" w:cs="Times New Roman"/>
                <w:kern w:val="0"/>
                <w:szCs w:val="21"/>
              </w:rPr>
            </w:pPr>
            <w:r>
              <w:rPr>
                <w:rFonts w:ascii="宋体" w:hAnsi="宋体" w:eastAsia="宋体" w:cs="Times New Roman"/>
                <w:kern w:val="0"/>
                <w:szCs w:val="21"/>
              </w:rPr>
              <w:t>40</w:t>
            </w:r>
            <w:r>
              <w:rPr>
                <w:rFonts w:hint="eastAsia" w:ascii="宋体" w:hAnsi="宋体" w:eastAsia="宋体" w:cs="Times New Roman"/>
                <w:kern w:val="0"/>
                <w:szCs w:val="21"/>
              </w:rPr>
              <w:t>%</w:t>
            </w:r>
          </w:p>
        </w:tc>
        <w:tc>
          <w:tcPr>
            <w:tcW w:w="2223" w:type="dxa"/>
            <w:shd w:val="clear" w:color="auto" w:fill="auto"/>
            <w:vAlign w:val="center"/>
          </w:tcPr>
          <w:p w14:paraId="57AAE255">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866" w:type="dxa"/>
            <w:shd w:val="clear" w:color="auto" w:fill="auto"/>
            <w:vAlign w:val="center"/>
          </w:tcPr>
          <w:p w14:paraId="37132543">
            <w:pPr>
              <w:widowControl/>
              <w:jc w:val="center"/>
              <w:rPr>
                <w:rFonts w:hint="eastAsia" w:ascii="宋体" w:hAnsi="宋体" w:eastAsia="宋体" w:cs="Times New Roman"/>
                <w:kern w:val="0"/>
                <w:szCs w:val="21"/>
              </w:rPr>
            </w:pPr>
            <w:r>
              <w:rPr>
                <w:rFonts w:ascii="宋体" w:hAnsi="宋体" w:eastAsia="宋体" w:cs="Times New Roman"/>
                <w:kern w:val="0"/>
                <w:szCs w:val="21"/>
              </w:rPr>
              <w:t>5</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49" w:type="dxa"/>
            <w:vMerge w:val="restart"/>
            <w:vAlign w:val="center"/>
          </w:tcPr>
          <w:p w14:paraId="605D5540">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0B7CC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70C9689C">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1B6C9193">
            <w:pPr>
              <w:widowControl/>
              <w:jc w:val="center"/>
              <w:rPr>
                <w:rFonts w:hint="eastAsia" w:ascii="宋体" w:hAnsi="宋体" w:eastAsia="宋体" w:cs="Times New Roman"/>
                <w:kern w:val="0"/>
                <w:szCs w:val="21"/>
              </w:rPr>
            </w:pPr>
          </w:p>
        </w:tc>
        <w:tc>
          <w:tcPr>
            <w:tcW w:w="2223" w:type="dxa"/>
            <w:shd w:val="clear" w:color="auto" w:fill="auto"/>
            <w:vAlign w:val="center"/>
          </w:tcPr>
          <w:p w14:paraId="6E48B3DB">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单元测验</w:t>
            </w:r>
          </w:p>
        </w:tc>
        <w:tc>
          <w:tcPr>
            <w:tcW w:w="1866" w:type="dxa"/>
            <w:shd w:val="clear" w:color="auto" w:fill="auto"/>
            <w:vAlign w:val="center"/>
          </w:tcPr>
          <w:p w14:paraId="50B1D1E9">
            <w:pPr>
              <w:widowControl/>
              <w:jc w:val="center"/>
              <w:rPr>
                <w:rFonts w:hint="eastAsia"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49" w:type="dxa"/>
            <w:vMerge w:val="continue"/>
            <w:vAlign w:val="center"/>
          </w:tcPr>
          <w:p w14:paraId="7F967D0B">
            <w:pPr>
              <w:widowControl/>
              <w:jc w:val="center"/>
              <w:rPr>
                <w:rFonts w:hint="eastAsia" w:ascii="宋体" w:hAnsi="宋体" w:eastAsia="宋体" w:cs="Times New Roman"/>
                <w:kern w:val="0"/>
                <w:szCs w:val="21"/>
              </w:rPr>
            </w:pPr>
          </w:p>
        </w:tc>
      </w:tr>
      <w:tr w14:paraId="1C0BB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1FE03156">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4D76BB54">
            <w:pPr>
              <w:widowControl/>
              <w:jc w:val="center"/>
              <w:rPr>
                <w:rFonts w:hint="eastAsia" w:ascii="宋体" w:hAnsi="宋体" w:eastAsia="宋体" w:cs="Times New Roman"/>
                <w:kern w:val="0"/>
                <w:szCs w:val="21"/>
              </w:rPr>
            </w:pPr>
          </w:p>
        </w:tc>
        <w:tc>
          <w:tcPr>
            <w:tcW w:w="2223" w:type="dxa"/>
            <w:shd w:val="clear" w:color="auto" w:fill="auto"/>
            <w:vAlign w:val="center"/>
          </w:tcPr>
          <w:p w14:paraId="1907FEA6">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课堂表现</w:t>
            </w:r>
          </w:p>
        </w:tc>
        <w:tc>
          <w:tcPr>
            <w:tcW w:w="1866" w:type="dxa"/>
            <w:shd w:val="clear" w:color="auto" w:fill="auto"/>
            <w:vAlign w:val="center"/>
          </w:tcPr>
          <w:p w14:paraId="0F94BD83">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1149" w:type="dxa"/>
            <w:vMerge w:val="continue"/>
            <w:vAlign w:val="center"/>
          </w:tcPr>
          <w:p w14:paraId="6DF54F87">
            <w:pPr>
              <w:widowControl/>
              <w:jc w:val="center"/>
              <w:rPr>
                <w:rFonts w:hint="eastAsia" w:ascii="宋体" w:hAnsi="宋体" w:eastAsia="宋体" w:cs="Times New Roman"/>
                <w:kern w:val="0"/>
                <w:szCs w:val="21"/>
              </w:rPr>
            </w:pPr>
          </w:p>
        </w:tc>
      </w:tr>
      <w:tr w14:paraId="1EBAF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33131AAF">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0BBB5724">
            <w:pPr>
              <w:widowControl/>
              <w:jc w:val="center"/>
              <w:rPr>
                <w:rFonts w:hint="eastAsia" w:ascii="宋体" w:hAnsi="宋体" w:eastAsia="宋体" w:cs="Times New Roman"/>
                <w:kern w:val="0"/>
                <w:szCs w:val="21"/>
              </w:rPr>
            </w:pPr>
          </w:p>
        </w:tc>
        <w:tc>
          <w:tcPr>
            <w:tcW w:w="2223" w:type="dxa"/>
            <w:shd w:val="clear" w:color="auto" w:fill="auto"/>
            <w:vAlign w:val="center"/>
          </w:tcPr>
          <w:p w14:paraId="587075F7">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866" w:type="dxa"/>
            <w:shd w:val="clear" w:color="auto" w:fill="auto"/>
            <w:vAlign w:val="center"/>
          </w:tcPr>
          <w:p w14:paraId="4FFFC23D">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r>
              <w:rPr>
                <w:rFonts w:hint="eastAsia" w:ascii="宋体" w:hAnsi="宋体" w:eastAsia="宋体" w:cs="Times New Roman"/>
                <w:kern w:val="0"/>
                <w:szCs w:val="21"/>
              </w:rPr>
              <w:t>%</w:t>
            </w:r>
          </w:p>
        </w:tc>
        <w:tc>
          <w:tcPr>
            <w:tcW w:w="1149" w:type="dxa"/>
            <w:vMerge w:val="continue"/>
            <w:vAlign w:val="center"/>
          </w:tcPr>
          <w:p w14:paraId="2AF42090">
            <w:pPr>
              <w:widowControl/>
              <w:jc w:val="center"/>
              <w:rPr>
                <w:rFonts w:hint="eastAsia" w:ascii="宋体" w:hAnsi="宋体" w:eastAsia="宋体" w:cs="Times New Roman"/>
                <w:kern w:val="0"/>
                <w:szCs w:val="21"/>
              </w:rPr>
            </w:pPr>
          </w:p>
        </w:tc>
      </w:tr>
      <w:tr w14:paraId="35200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restart"/>
            <w:shd w:val="clear" w:color="auto" w:fill="auto"/>
            <w:vAlign w:val="center"/>
          </w:tcPr>
          <w:p w14:paraId="16BA30E5">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839" w:type="dxa"/>
            <w:vMerge w:val="restart"/>
            <w:shd w:val="clear" w:color="auto" w:fill="auto"/>
            <w:vAlign w:val="center"/>
          </w:tcPr>
          <w:p w14:paraId="588B5A6E">
            <w:pPr>
              <w:widowControl/>
              <w:jc w:val="center"/>
              <w:rPr>
                <w:rFonts w:hint="eastAsia" w:ascii="宋体" w:hAnsi="宋体" w:eastAsia="宋体" w:cs="Times New Roman"/>
                <w:kern w:val="0"/>
                <w:szCs w:val="21"/>
              </w:rPr>
            </w:pPr>
            <w:r>
              <w:rPr>
                <w:rFonts w:ascii="宋体" w:hAnsi="宋体" w:eastAsia="宋体" w:cs="Times New Roman"/>
                <w:kern w:val="0"/>
                <w:szCs w:val="21"/>
              </w:rPr>
              <w:t>30</w:t>
            </w:r>
            <w:r>
              <w:rPr>
                <w:rFonts w:hint="eastAsia" w:ascii="宋体" w:hAnsi="宋体" w:eastAsia="宋体" w:cs="Times New Roman"/>
                <w:kern w:val="0"/>
                <w:szCs w:val="21"/>
              </w:rPr>
              <w:t>%</w:t>
            </w:r>
          </w:p>
        </w:tc>
        <w:tc>
          <w:tcPr>
            <w:tcW w:w="2223" w:type="dxa"/>
            <w:shd w:val="clear" w:color="auto" w:fill="auto"/>
            <w:vAlign w:val="center"/>
          </w:tcPr>
          <w:p w14:paraId="30271C1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866" w:type="dxa"/>
            <w:shd w:val="clear" w:color="auto" w:fill="auto"/>
            <w:vAlign w:val="center"/>
          </w:tcPr>
          <w:p w14:paraId="781A6539">
            <w:pPr>
              <w:widowControl/>
              <w:jc w:val="center"/>
              <w:rPr>
                <w:rFonts w:hint="eastAsia"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0%</w:t>
            </w:r>
          </w:p>
        </w:tc>
        <w:tc>
          <w:tcPr>
            <w:tcW w:w="1149" w:type="dxa"/>
            <w:vMerge w:val="restart"/>
            <w:vAlign w:val="center"/>
          </w:tcPr>
          <w:p w14:paraId="07EFD0D0">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3321C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3C753AAA">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3E59E861">
            <w:pPr>
              <w:widowControl/>
              <w:jc w:val="center"/>
              <w:rPr>
                <w:rFonts w:hint="eastAsia" w:ascii="宋体" w:hAnsi="宋体" w:eastAsia="宋体" w:cs="Times New Roman"/>
                <w:kern w:val="0"/>
                <w:szCs w:val="21"/>
              </w:rPr>
            </w:pPr>
          </w:p>
        </w:tc>
        <w:tc>
          <w:tcPr>
            <w:tcW w:w="2223" w:type="dxa"/>
            <w:shd w:val="clear" w:color="auto" w:fill="auto"/>
            <w:vAlign w:val="center"/>
          </w:tcPr>
          <w:p w14:paraId="524CC28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单元测试</w:t>
            </w:r>
          </w:p>
        </w:tc>
        <w:tc>
          <w:tcPr>
            <w:tcW w:w="1866" w:type="dxa"/>
            <w:shd w:val="clear" w:color="auto" w:fill="auto"/>
            <w:vAlign w:val="center"/>
          </w:tcPr>
          <w:p w14:paraId="63F1CE8E">
            <w:pPr>
              <w:widowControl/>
              <w:jc w:val="center"/>
              <w:rPr>
                <w:rFonts w:hint="eastAsia" w:ascii="宋体" w:hAnsi="宋体" w:eastAsia="宋体" w:cs="Times New Roman"/>
                <w:kern w:val="0"/>
                <w:szCs w:val="21"/>
              </w:rPr>
            </w:pPr>
            <w:r>
              <w:rPr>
                <w:rFonts w:ascii="宋体" w:hAnsi="宋体" w:eastAsia="宋体" w:cs="Times New Roman"/>
                <w:kern w:val="0"/>
                <w:szCs w:val="21"/>
              </w:rPr>
              <w:t>20</w:t>
            </w:r>
            <w:r>
              <w:rPr>
                <w:rFonts w:hint="eastAsia" w:ascii="宋体" w:hAnsi="宋体" w:eastAsia="宋体" w:cs="Times New Roman"/>
                <w:kern w:val="0"/>
                <w:szCs w:val="21"/>
              </w:rPr>
              <w:t>%</w:t>
            </w:r>
          </w:p>
        </w:tc>
        <w:tc>
          <w:tcPr>
            <w:tcW w:w="1149" w:type="dxa"/>
            <w:vMerge w:val="continue"/>
            <w:vAlign w:val="center"/>
          </w:tcPr>
          <w:p w14:paraId="7BF981E0">
            <w:pPr>
              <w:widowControl/>
              <w:jc w:val="center"/>
              <w:rPr>
                <w:rFonts w:hint="eastAsia" w:ascii="宋体" w:hAnsi="宋体" w:eastAsia="宋体" w:cs="Times New Roman"/>
                <w:kern w:val="0"/>
                <w:szCs w:val="21"/>
              </w:rPr>
            </w:pPr>
          </w:p>
        </w:tc>
      </w:tr>
      <w:tr w14:paraId="41911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32EBF491">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6B26F5C0">
            <w:pPr>
              <w:widowControl/>
              <w:jc w:val="center"/>
              <w:rPr>
                <w:rFonts w:hint="eastAsia" w:ascii="宋体" w:hAnsi="宋体" w:eastAsia="宋体" w:cs="Times New Roman"/>
                <w:kern w:val="0"/>
                <w:szCs w:val="21"/>
              </w:rPr>
            </w:pPr>
          </w:p>
        </w:tc>
        <w:tc>
          <w:tcPr>
            <w:tcW w:w="2223" w:type="dxa"/>
            <w:shd w:val="clear" w:color="auto" w:fill="auto"/>
            <w:vAlign w:val="center"/>
          </w:tcPr>
          <w:p w14:paraId="3EEA47C8">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课堂表现</w:t>
            </w:r>
          </w:p>
        </w:tc>
        <w:tc>
          <w:tcPr>
            <w:tcW w:w="1866" w:type="dxa"/>
            <w:shd w:val="clear" w:color="auto" w:fill="auto"/>
            <w:vAlign w:val="center"/>
          </w:tcPr>
          <w:p w14:paraId="7EFF84D2">
            <w:pPr>
              <w:widowControl/>
              <w:jc w:val="center"/>
              <w:rPr>
                <w:rFonts w:hint="eastAsia" w:ascii="宋体" w:hAnsi="宋体" w:eastAsia="宋体" w:cs="Times New Roman"/>
                <w:kern w:val="0"/>
                <w:szCs w:val="21"/>
              </w:rPr>
            </w:pPr>
            <w:r>
              <w:rPr>
                <w:rFonts w:ascii="宋体" w:hAnsi="宋体" w:eastAsia="宋体" w:cs="Times New Roman"/>
                <w:kern w:val="0"/>
                <w:szCs w:val="21"/>
              </w:rPr>
              <w:t>30</w:t>
            </w:r>
            <w:r>
              <w:rPr>
                <w:rFonts w:hint="eastAsia" w:ascii="宋体" w:hAnsi="宋体" w:eastAsia="宋体" w:cs="Times New Roman"/>
                <w:kern w:val="0"/>
                <w:szCs w:val="21"/>
              </w:rPr>
              <w:t>%</w:t>
            </w:r>
          </w:p>
        </w:tc>
        <w:tc>
          <w:tcPr>
            <w:tcW w:w="1149" w:type="dxa"/>
            <w:vMerge w:val="continue"/>
            <w:vAlign w:val="center"/>
          </w:tcPr>
          <w:p w14:paraId="6DD42866">
            <w:pPr>
              <w:widowControl/>
              <w:jc w:val="center"/>
              <w:rPr>
                <w:rFonts w:hint="eastAsia" w:ascii="宋体" w:hAnsi="宋体" w:eastAsia="宋体" w:cs="Times New Roman"/>
                <w:kern w:val="0"/>
                <w:szCs w:val="21"/>
              </w:rPr>
            </w:pPr>
          </w:p>
        </w:tc>
      </w:tr>
      <w:tr w14:paraId="43833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73" w:type="dxa"/>
            <w:vMerge w:val="continue"/>
            <w:shd w:val="clear" w:color="auto" w:fill="auto"/>
            <w:vAlign w:val="center"/>
          </w:tcPr>
          <w:p w14:paraId="1F25E217">
            <w:pPr>
              <w:widowControl/>
              <w:jc w:val="center"/>
              <w:rPr>
                <w:rFonts w:hint="eastAsia" w:ascii="宋体" w:hAnsi="宋体" w:eastAsia="宋体" w:cs="Times New Roman"/>
                <w:kern w:val="0"/>
                <w:szCs w:val="21"/>
              </w:rPr>
            </w:pPr>
          </w:p>
        </w:tc>
        <w:tc>
          <w:tcPr>
            <w:tcW w:w="1839" w:type="dxa"/>
            <w:vMerge w:val="continue"/>
            <w:shd w:val="clear" w:color="auto" w:fill="auto"/>
            <w:vAlign w:val="center"/>
          </w:tcPr>
          <w:p w14:paraId="68DA7195">
            <w:pPr>
              <w:widowControl/>
              <w:jc w:val="center"/>
              <w:rPr>
                <w:rFonts w:hint="eastAsia" w:ascii="宋体" w:hAnsi="宋体" w:eastAsia="宋体" w:cs="Times New Roman"/>
                <w:kern w:val="0"/>
                <w:szCs w:val="21"/>
              </w:rPr>
            </w:pPr>
          </w:p>
        </w:tc>
        <w:tc>
          <w:tcPr>
            <w:tcW w:w="2223" w:type="dxa"/>
            <w:shd w:val="clear" w:color="auto" w:fill="auto"/>
            <w:vAlign w:val="center"/>
          </w:tcPr>
          <w:p w14:paraId="1DF55051">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866" w:type="dxa"/>
            <w:shd w:val="clear" w:color="auto" w:fill="auto"/>
            <w:vAlign w:val="center"/>
          </w:tcPr>
          <w:p w14:paraId="0E64FC43">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r>
              <w:rPr>
                <w:rFonts w:hint="eastAsia" w:ascii="宋体" w:hAnsi="宋体" w:eastAsia="宋体" w:cs="Times New Roman"/>
                <w:kern w:val="0"/>
                <w:szCs w:val="21"/>
              </w:rPr>
              <w:t>%</w:t>
            </w:r>
          </w:p>
        </w:tc>
        <w:tc>
          <w:tcPr>
            <w:tcW w:w="1149" w:type="dxa"/>
            <w:vMerge w:val="continue"/>
            <w:vAlign w:val="center"/>
          </w:tcPr>
          <w:p w14:paraId="7B81B85D">
            <w:pPr>
              <w:widowControl/>
              <w:jc w:val="center"/>
              <w:rPr>
                <w:rFonts w:hint="eastAsia" w:ascii="宋体" w:hAnsi="宋体" w:eastAsia="宋体" w:cs="Times New Roman"/>
                <w:kern w:val="0"/>
                <w:szCs w:val="21"/>
              </w:rPr>
            </w:pPr>
          </w:p>
        </w:tc>
      </w:tr>
      <w:tr w14:paraId="0B493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073" w:type="dxa"/>
            <w:shd w:val="clear" w:color="auto" w:fill="auto"/>
            <w:vAlign w:val="center"/>
          </w:tcPr>
          <w:p w14:paraId="61282C53">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课程目标权重合计</w:t>
            </w:r>
          </w:p>
        </w:tc>
        <w:tc>
          <w:tcPr>
            <w:tcW w:w="1839" w:type="dxa"/>
            <w:shd w:val="clear" w:color="auto" w:fill="auto"/>
            <w:vAlign w:val="center"/>
          </w:tcPr>
          <w:p w14:paraId="234E930B">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c>
          <w:tcPr>
            <w:tcW w:w="5238" w:type="dxa"/>
            <w:gridSpan w:val="3"/>
            <w:shd w:val="clear" w:color="auto" w:fill="auto"/>
            <w:vAlign w:val="center"/>
          </w:tcPr>
          <w:p w14:paraId="47EF2A31">
            <w:pPr>
              <w:widowControl/>
              <w:jc w:val="center"/>
              <w:rPr>
                <w:rFonts w:hint="eastAsia" w:ascii="宋体" w:hAnsi="宋体" w:eastAsia="宋体" w:cs="Times New Roman"/>
                <w:kern w:val="0"/>
                <w:szCs w:val="21"/>
              </w:rPr>
            </w:pPr>
          </w:p>
        </w:tc>
      </w:tr>
    </w:tbl>
    <w:p w14:paraId="61403D7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（四）课程目标达成度计算方法</w:t>
      </w:r>
    </w:p>
    <w:p w14:paraId="12D7CF6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所有课程目标均需大于等于</w:t>
      </w:r>
      <w:r>
        <w:rPr>
          <w:rFonts w:ascii="Times New Roman" w:hAnsi="Times New Roman" w:eastAsia="宋体" w:cs="Times New Roman"/>
          <w:sz w:val="24"/>
          <w:szCs w:val="24"/>
        </w:rPr>
        <w:t>0.6，否则总评成绩不及格，需要补考或重修。每门课程目标总体达成度计算方法如下：</w:t>
      </w:r>
    </w:p>
    <w:p w14:paraId="316B84B5">
      <w:pPr>
        <w:spacing w:line="360" w:lineRule="auto"/>
        <w:rPr>
          <w:rFonts w:ascii="Times New Roman" w:hAnsi="Times New Roman" w:eastAsia="宋体" w:cs="Times New Roman"/>
          <w:sz w:val="24"/>
          <w:szCs w:val="24"/>
        </w:rPr>
      </w:pPr>
      <w:r>
        <w:rPr>
          <w:rFonts w:ascii="Times New Roman" w:hAnsi="Times New Roman" w:cs="Times New Roman"/>
          <w:position w:val="-26"/>
          <w:szCs w:val="21"/>
        </w:rPr>
        <w:object>
          <v:shape id="_x0000_i1025" o:spt="75" type="#_x0000_t75" style="height:25.35pt;width:404.75pt;" o:ole="t" filled="f" o:preferrelative="t" stroked="f" coordsize="21600,21600">
            <v:path/>
            <v:fill on="f" focussize="0,0"/>
            <v:stroke on="f" joinstyle="miter"/>
            <v:imagedata r:id="rId7" o:title=""/>
            <o:lock v:ext="edit" aspectratio="t"/>
            <w10:wrap type="none"/>
            <w10:anchorlock/>
          </v:shape>
          <o:OLEObject Type="Embed" ProgID="Equation.KSEE3" ShapeID="_x0000_i1025" DrawAspect="Content" ObjectID="_1468075725" r:id="rId6">
            <o:LockedField>false</o:LockedField>
          </o:OLEObject>
        </w:object>
      </w:r>
    </w:p>
    <w:p w14:paraId="4FA06973">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（五）过程考核与思政教育</w:t>
      </w:r>
    </w:p>
    <w:tbl>
      <w:tblPr>
        <w:tblStyle w:val="31"/>
        <w:tblW w:w="0" w:type="auto"/>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9"/>
        <w:gridCol w:w="709"/>
        <w:gridCol w:w="3124"/>
        <w:gridCol w:w="1984"/>
      </w:tblGrid>
      <w:tr w14:paraId="3772CC61">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19" w:type="dxa"/>
            <w:vAlign w:val="center"/>
          </w:tcPr>
          <w:p w14:paraId="7C01DEB4">
            <w:pPr>
              <w:spacing w:line="276" w:lineRule="auto"/>
              <w:jc w:val="center"/>
              <w:rPr>
                <w:rFonts w:hint="eastAsia"/>
                <w:b/>
                <w:bCs/>
                <w:szCs w:val="21"/>
              </w:rPr>
            </w:pPr>
            <w:r>
              <w:rPr>
                <w:rFonts w:hint="eastAsia"/>
                <w:b/>
                <w:bCs/>
                <w:szCs w:val="21"/>
              </w:rPr>
              <w:t>项目</w:t>
            </w:r>
          </w:p>
        </w:tc>
        <w:tc>
          <w:tcPr>
            <w:tcW w:w="709" w:type="dxa"/>
            <w:vAlign w:val="center"/>
          </w:tcPr>
          <w:p w14:paraId="04C553C6">
            <w:pPr>
              <w:spacing w:line="276" w:lineRule="auto"/>
              <w:jc w:val="center"/>
              <w:rPr>
                <w:rFonts w:hint="eastAsia"/>
                <w:b/>
                <w:bCs/>
                <w:szCs w:val="21"/>
              </w:rPr>
            </w:pPr>
            <w:r>
              <w:rPr>
                <w:rFonts w:hint="eastAsia"/>
                <w:b/>
                <w:bCs/>
                <w:szCs w:val="21"/>
              </w:rPr>
              <w:t>子项</w:t>
            </w:r>
          </w:p>
        </w:tc>
        <w:tc>
          <w:tcPr>
            <w:tcW w:w="3124" w:type="dxa"/>
          </w:tcPr>
          <w:p w14:paraId="2E386F3E">
            <w:pPr>
              <w:spacing w:line="276" w:lineRule="auto"/>
              <w:jc w:val="center"/>
              <w:rPr>
                <w:rFonts w:hint="eastAsia"/>
                <w:b/>
                <w:bCs/>
                <w:szCs w:val="21"/>
              </w:rPr>
            </w:pPr>
            <w:r>
              <w:rPr>
                <w:rFonts w:hint="eastAsia"/>
                <w:b/>
                <w:bCs/>
                <w:szCs w:val="21"/>
              </w:rPr>
              <w:t>课程内容</w:t>
            </w:r>
          </w:p>
        </w:tc>
        <w:tc>
          <w:tcPr>
            <w:tcW w:w="1984" w:type="dxa"/>
          </w:tcPr>
          <w:p w14:paraId="2EBA44B4">
            <w:pPr>
              <w:spacing w:line="276" w:lineRule="auto"/>
              <w:jc w:val="center"/>
              <w:rPr>
                <w:rFonts w:hint="eastAsia"/>
                <w:b/>
                <w:bCs/>
                <w:szCs w:val="21"/>
              </w:rPr>
            </w:pPr>
            <w:r>
              <w:rPr>
                <w:rFonts w:hint="eastAsia"/>
                <w:b/>
                <w:bCs/>
                <w:szCs w:val="21"/>
              </w:rPr>
              <w:t>思政目标</w:t>
            </w:r>
          </w:p>
        </w:tc>
      </w:tr>
      <w:tr w14:paraId="32186373">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1" w:hRule="atLeast"/>
          <w:jc w:val="center"/>
        </w:trPr>
        <w:tc>
          <w:tcPr>
            <w:tcW w:w="1019" w:type="dxa"/>
            <w:vMerge w:val="restart"/>
            <w:vAlign w:val="center"/>
          </w:tcPr>
          <w:p w14:paraId="47189082">
            <w:pPr>
              <w:spacing w:line="276" w:lineRule="auto"/>
              <w:jc w:val="center"/>
              <w:rPr>
                <w:rFonts w:hint="eastAsia" w:ascii="楷体" w:hAnsi="楷体" w:eastAsia="楷体"/>
                <w:szCs w:val="21"/>
              </w:rPr>
            </w:pPr>
            <w:r>
              <w:rPr>
                <w:rFonts w:hint="eastAsia" w:ascii="楷体" w:hAnsi="楷体" w:eastAsia="楷体"/>
                <w:szCs w:val="21"/>
              </w:rPr>
              <w:t>过程</w:t>
            </w:r>
          </w:p>
          <w:p w14:paraId="7B4654FE">
            <w:pPr>
              <w:spacing w:line="276" w:lineRule="auto"/>
              <w:jc w:val="center"/>
              <w:rPr>
                <w:rFonts w:hint="eastAsia" w:ascii="楷体" w:hAnsi="楷体" w:eastAsia="楷体"/>
                <w:szCs w:val="21"/>
              </w:rPr>
            </w:pPr>
            <w:r>
              <w:rPr>
                <w:rFonts w:hint="eastAsia" w:ascii="楷体" w:hAnsi="楷体" w:eastAsia="楷体"/>
                <w:szCs w:val="21"/>
              </w:rPr>
              <w:t>评价</w:t>
            </w:r>
          </w:p>
          <w:p w14:paraId="4E61871D">
            <w:pPr>
              <w:spacing w:line="276" w:lineRule="auto"/>
              <w:jc w:val="center"/>
              <w:rPr>
                <w:rFonts w:hint="eastAsia" w:ascii="楷体" w:hAnsi="楷体" w:eastAsia="楷体"/>
                <w:szCs w:val="21"/>
              </w:rPr>
            </w:pPr>
            <w:r>
              <w:rPr>
                <w:rFonts w:hint="eastAsia" w:ascii="楷体" w:hAnsi="楷体" w:eastAsia="楷体"/>
                <w:szCs w:val="21"/>
              </w:rPr>
              <w:t>与</w:t>
            </w:r>
          </w:p>
          <w:p w14:paraId="7452188F">
            <w:pPr>
              <w:spacing w:line="276" w:lineRule="auto"/>
              <w:jc w:val="center"/>
              <w:rPr>
                <w:rFonts w:hint="eastAsia" w:ascii="楷体" w:hAnsi="楷体" w:eastAsia="楷体"/>
                <w:szCs w:val="21"/>
              </w:rPr>
            </w:pPr>
            <w:r>
              <w:rPr>
                <w:rFonts w:hint="eastAsia" w:ascii="楷体" w:hAnsi="楷体" w:eastAsia="楷体"/>
                <w:szCs w:val="21"/>
              </w:rPr>
              <w:t>考核</w:t>
            </w:r>
          </w:p>
        </w:tc>
        <w:tc>
          <w:tcPr>
            <w:tcW w:w="709" w:type="dxa"/>
            <w:vAlign w:val="center"/>
          </w:tcPr>
          <w:p w14:paraId="750B2281">
            <w:pPr>
              <w:spacing w:line="276" w:lineRule="auto"/>
              <w:jc w:val="center"/>
              <w:rPr>
                <w:rFonts w:hint="eastAsia" w:ascii="楷体" w:hAnsi="楷体" w:eastAsia="楷体"/>
                <w:szCs w:val="21"/>
              </w:rPr>
            </w:pPr>
            <w:r>
              <w:rPr>
                <w:rFonts w:hint="eastAsia" w:ascii="楷体" w:hAnsi="楷体" w:eastAsia="楷体"/>
                <w:szCs w:val="21"/>
              </w:rPr>
              <w:t>过程</w:t>
            </w:r>
          </w:p>
          <w:p w14:paraId="45A632B2">
            <w:pPr>
              <w:spacing w:line="276" w:lineRule="auto"/>
              <w:jc w:val="center"/>
              <w:rPr>
                <w:rFonts w:hint="eastAsia" w:ascii="楷体" w:hAnsi="楷体" w:eastAsia="楷体"/>
                <w:szCs w:val="21"/>
              </w:rPr>
            </w:pPr>
            <w:r>
              <w:rPr>
                <w:rFonts w:hint="eastAsia" w:ascii="楷体" w:hAnsi="楷体" w:eastAsia="楷体"/>
                <w:szCs w:val="21"/>
              </w:rPr>
              <w:t>学习</w:t>
            </w:r>
          </w:p>
        </w:tc>
        <w:tc>
          <w:tcPr>
            <w:tcW w:w="3124" w:type="dxa"/>
          </w:tcPr>
          <w:p w14:paraId="5608201F">
            <w:pPr>
              <w:spacing w:line="276" w:lineRule="auto"/>
              <w:rPr>
                <w:rFonts w:hint="eastAsia" w:ascii="楷体" w:hAnsi="楷体" w:eastAsia="楷体"/>
                <w:szCs w:val="21"/>
              </w:rPr>
            </w:pPr>
            <w:r>
              <w:rPr>
                <w:rFonts w:hint="eastAsia" w:ascii="楷体" w:hAnsi="楷体" w:eastAsia="楷体"/>
                <w:szCs w:val="21"/>
              </w:rPr>
              <w:t>1</w:t>
            </w:r>
            <w:r>
              <w:rPr>
                <w:rFonts w:ascii="楷体" w:hAnsi="楷体" w:eastAsia="楷体"/>
                <w:szCs w:val="21"/>
              </w:rPr>
              <w:t>.</w:t>
            </w:r>
            <w:r>
              <w:rPr>
                <w:rFonts w:hint="eastAsia" w:ascii="楷体" w:hAnsi="楷体" w:eastAsia="楷体"/>
                <w:szCs w:val="21"/>
              </w:rPr>
              <w:t>课前预习，完成学科作业；</w:t>
            </w:r>
          </w:p>
          <w:p w14:paraId="35244266">
            <w:pPr>
              <w:spacing w:line="276" w:lineRule="auto"/>
              <w:rPr>
                <w:rFonts w:hint="eastAsia" w:ascii="楷体" w:hAnsi="楷体" w:eastAsia="楷体"/>
                <w:szCs w:val="21"/>
              </w:rPr>
            </w:pPr>
            <w:r>
              <w:rPr>
                <w:rFonts w:hint="eastAsia" w:ascii="楷体" w:hAnsi="楷体" w:eastAsia="楷体"/>
                <w:szCs w:val="21"/>
              </w:rPr>
              <w:t>2</w:t>
            </w:r>
            <w:r>
              <w:rPr>
                <w:rFonts w:ascii="楷体" w:hAnsi="楷体" w:eastAsia="楷体"/>
                <w:szCs w:val="21"/>
              </w:rPr>
              <w:t>.</w:t>
            </w:r>
            <w:r>
              <w:rPr>
                <w:rFonts w:hint="eastAsia" w:ascii="楷体" w:hAnsi="楷体" w:eastAsia="楷体"/>
                <w:szCs w:val="21"/>
              </w:rPr>
              <w:t>签到上课，遵守课堂纪律；</w:t>
            </w:r>
          </w:p>
          <w:p w14:paraId="2DB3FD1B">
            <w:pPr>
              <w:spacing w:line="276" w:lineRule="auto"/>
              <w:rPr>
                <w:rFonts w:hint="eastAsia" w:ascii="楷体" w:hAnsi="楷体" w:eastAsia="楷体"/>
                <w:szCs w:val="21"/>
              </w:rPr>
            </w:pPr>
            <w:r>
              <w:rPr>
                <w:rFonts w:hint="eastAsia" w:ascii="楷体" w:hAnsi="楷体" w:eastAsia="楷体"/>
                <w:szCs w:val="21"/>
              </w:rPr>
              <w:t>3</w:t>
            </w:r>
            <w:r>
              <w:rPr>
                <w:rFonts w:ascii="楷体" w:hAnsi="楷体" w:eastAsia="楷体"/>
                <w:szCs w:val="21"/>
              </w:rPr>
              <w:t>.</w:t>
            </w:r>
            <w:r>
              <w:rPr>
                <w:rFonts w:hint="eastAsia" w:ascii="楷体" w:hAnsi="楷体" w:eastAsia="楷体"/>
                <w:szCs w:val="21"/>
              </w:rPr>
              <w:t>融入集体，参加团队活动。</w:t>
            </w:r>
          </w:p>
        </w:tc>
        <w:tc>
          <w:tcPr>
            <w:tcW w:w="1984" w:type="dxa"/>
          </w:tcPr>
          <w:p w14:paraId="0C860F9D">
            <w:pPr>
              <w:spacing w:line="276" w:lineRule="auto"/>
              <w:jc w:val="center"/>
              <w:rPr>
                <w:rFonts w:hint="eastAsia" w:ascii="楷体" w:hAnsi="楷体" w:eastAsia="楷体"/>
                <w:szCs w:val="21"/>
              </w:rPr>
            </w:pPr>
            <w:r>
              <w:rPr>
                <w:rFonts w:hint="eastAsia" w:ascii="楷体" w:hAnsi="楷体" w:eastAsia="楷体"/>
                <w:szCs w:val="21"/>
              </w:rPr>
              <w:t>1</w:t>
            </w:r>
            <w:r>
              <w:rPr>
                <w:rFonts w:ascii="楷体" w:hAnsi="楷体" w:eastAsia="楷体"/>
                <w:szCs w:val="21"/>
              </w:rPr>
              <w:t>.</w:t>
            </w:r>
            <w:r>
              <w:rPr>
                <w:rFonts w:hint="eastAsia" w:ascii="楷体" w:hAnsi="楷体" w:eastAsia="楷体"/>
                <w:szCs w:val="21"/>
              </w:rPr>
              <w:t>自我管理意识</w:t>
            </w:r>
          </w:p>
          <w:p w14:paraId="3815B743">
            <w:pPr>
              <w:spacing w:line="276" w:lineRule="auto"/>
              <w:jc w:val="center"/>
              <w:rPr>
                <w:rFonts w:hint="eastAsia" w:ascii="楷体" w:hAnsi="楷体" w:eastAsia="楷体"/>
                <w:szCs w:val="21"/>
              </w:rPr>
            </w:pPr>
            <w:r>
              <w:rPr>
                <w:rFonts w:hint="eastAsia" w:ascii="楷体" w:hAnsi="楷体" w:eastAsia="楷体"/>
                <w:szCs w:val="21"/>
              </w:rPr>
              <w:t>2</w:t>
            </w:r>
            <w:r>
              <w:rPr>
                <w:rFonts w:ascii="楷体" w:hAnsi="楷体" w:eastAsia="楷体"/>
                <w:szCs w:val="21"/>
              </w:rPr>
              <w:t>.</w:t>
            </w:r>
            <w:r>
              <w:rPr>
                <w:rFonts w:hint="eastAsia" w:ascii="楷体" w:hAnsi="楷体" w:eastAsia="楷体"/>
                <w:szCs w:val="21"/>
              </w:rPr>
              <w:t>纪律规则意识</w:t>
            </w:r>
          </w:p>
          <w:p w14:paraId="46889B97">
            <w:pPr>
              <w:spacing w:line="276" w:lineRule="auto"/>
              <w:jc w:val="center"/>
              <w:rPr>
                <w:rFonts w:hint="eastAsia" w:ascii="楷体" w:hAnsi="楷体" w:eastAsia="楷体"/>
                <w:szCs w:val="21"/>
              </w:rPr>
            </w:pPr>
            <w:r>
              <w:rPr>
                <w:rFonts w:hint="eastAsia" w:ascii="楷体" w:hAnsi="楷体" w:eastAsia="楷体"/>
                <w:szCs w:val="21"/>
              </w:rPr>
              <w:t>3</w:t>
            </w:r>
            <w:r>
              <w:rPr>
                <w:rFonts w:ascii="楷体" w:hAnsi="楷体" w:eastAsia="楷体"/>
                <w:szCs w:val="21"/>
              </w:rPr>
              <w:t>.</w:t>
            </w:r>
            <w:r>
              <w:rPr>
                <w:rFonts w:hint="eastAsia" w:ascii="楷体" w:hAnsi="楷体" w:eastAsia="楷体"/>
                <w:szCs w:val="21"/>
              </w:rPr>
              <w:t>团队协作意识</w:t>
            </w:r>
          </w:p>
        </w:tc>
      </w:tr>
      <w:tr w14:paraId="233FCC8D">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1" w:hRule="atLeast"/>
          <w:jc w:val="center"/>
        </w:trPr>
        <w:tc>
          <w:tcPr>
            <w:tcW w:w="1019" w:type="dxa"/>
            <w:vMerge w:val="continue"/>
            <w:vAlign w:val="center"/>
          </w:tcPr>
          <w:p w14:paraId="5F7194F7">
            <w:pPr>
              <w:spacing w:line="276" w:lineRule="auto"/>
              <w:jc w:val="center"/>
              <w:rPr>
                <w:rFonts w:hint="eastAsia" w:ascii="楷体" w:hAnsi="楷体" w:eastAsia="楷体"/>
                <w:szCs w:val="21"/>
              </w:rPr>
            </w:pPr>
          </w:p>
        </w:tc>
        <w:tc>
          <w:tcPr>
            <w:tcW w:w="709" w:type="dxa"/>
            <w:vAlign w:val="center"/>
          </w:tcPr>
          <w:p w14:paraId="7E3D369C">
            <w:pPr>
              <w:spacing w:line="276" w:lineRule="auto"/>
              <w:jc w:val="center"/>
              <w:rPr>
                <w:rFonts w:hint="eastAsia" w:ascii="楷体" w:hAnsi="楷体" w:eastAsia="楷体"/>
                <w:szCs w:val="21"/>
              </w:rPr>
            </w:pPr>
            <w:r>
              <w:rPr>
                <w:rFonts w:hint="eastAsia" w:ascii="楷体" w:hAnsi="楷体" w:eastAsia="楷体"/>
                <w:szCs w:val="21"/>
              </w:rPr>
              <w:t>考核评价</w:t>
            </w:r>
          </w:p>
        </w:tc>
        <w:tc>
          <w:tcPr>
            <w:tcW w:w="3124" w:type="dxa"/>
          </w:tcPr>
          <w:p w14:paraId="0FC61D47">
            <w:pPr>
              <w:spacing w:line="276" w:lineRule="auto"/>
              <w:jc w:val="center"/>
              <w:rPr>
                <w:rFonts w:hint="eastAsia" w:ascii="楷体" w:hAnsi="楷体" w:eastAsia="楷体"/>
                <w:szCs w:val="21"/>
              </w:rPr>
            </w:pPr>
            <w:r>
              <w:rPr>
                <w:rFonts w:hint="eastAsia" w:ascii="楷体" w:hAnsi="楷体" w:eastAsia="楷体"/>
                <w:szCs w:val="21"/>
              </w:rPr>
              <w:t>1</w:t>
            </w:r>
            <w:r>
              <w:rPr>
                <w:rFonts w:ascii="楷体" w:hAnsi="楷体" w:eastAsia="楷体"/>
                <w:szCs w:val="21"/>
              </w:rPr>
              <w:t>.</w:t>
            </w:r>
            <w:r>
              <w:rPr>
                <w:rFonts w:hint="eastAsia" w:ascii="楷体" w:hAnsi="楷体" w:eastAsia="楷体"/>
                <w:szCs w:val="21"/>
              </w:rPr>
              <w:t>按时提交课后活动报告；</w:t>
            </w:r>
          </w:p>
          <w:p w14:paraId="53F9617C">
            <w:pPr>
              <w:spacing w:line="276" w:lineRule="auto"/>
              <w:jc w:val="center"/>
              <w:rPr>
                <w:rFonts w:hint="eastAsia" w:ascii="楷体" w:hAnsi="楷体" w:eastAsia="楷体"/>
                <w:szCs w:val="21"/>
              </w:rPr>
            </w:pPr>
            <w:r>
              <w:rPr>
                <w:rFonts w:hint="eastAsia" w:ascii="楷体" w:hAnsi="楷体" w:eastAsia="楷体"/>
                <w:szCs w:val="21"/>
              </w:rPr>
              <w:t>2</w:t>
            </w:r>
            <w:r>
              <w:rPr>
                <w:rFonts w:ascii="楷体" w:hAnsi="楷体" w:eastAsia="楷体"/>
                <w:szCs w:val="21"/>
              </w:rPr>
              <w:t>.</w:t>
            </w:r>
            <w:r>
              <w:rPr>
                <w:rFonts w:hint="eastAsia" w:ascii="楷体" w:hAnsi="楷体" w:eastAsia="楷体"/>
                <w:szCs w:val="21"/>
              </w:rPr>
              <w:t>独立自主完成书面作业；</w:t>
            </w:r>
          </w:p>
          <w:p w14:paraId="7E9726C3">
            <w:pPr>
              <w:spacing w:line="276" w:lineRule="auto"/>
              <w:jc w:val="center"/>
              <w:rPr>
                <w:rFonts w:hint="eastAsia" w:ascii="楷体" w:hAnsi="楷体" w:eastAsia="楷体"/>
                <w:szCs w:val="21"/>
              </w:rPr>
            </w:pPr>
            <w:r>
              <w:rPr>
                <w:rFonts w:hint="eastAsia" w:ascii="楷体" w:hAnsi="楷体" w:eastAsia="楷体"/>
                <w:szCs w:val="21"/>
              </w:rPr>
              <w:t>3</w:t>
            </w:r>
            <w:r>
              <w:rPr>
                <w:rFonts w:ascii="楷体" w:hAnsi="楷体" w:eastAsia="楷体"/>
                <w:szCs w:val="21"/>
              </w:rPr>
              <w:t>.</w:t>
            </w:r>
            <w:r>
              <w:rPr>
                <w:rFonts w:hint="eastAsia" w:ascii="楷体" w:hAnsi="楷体" w:eastAsia="楷体"/>
                <w:szCs w:val="21"/>
              </w:rPr>
              <w:t>学期结束参加诚信考试。</w:t>
            </w:r>
          </w:p>
        </w:tc>
        <w:tc>
          <w:tcPr>
            <w:tcW w:w="1984" w:type="dxa"/>
          </w:tcPr>
          <w:p w14:paraId="635FA30E">
            <w:pPr>
              <w:spacing w:line="276" w:lineRule="auto"/>
              <w:jc w:val="center"/>
              <w:rPr>
                <w:rFonts w:hint="eastAsia" w:ascii="楷体" w:hAnsi="楷体" w:eastAsia="楷体"/>
                <w:szCs w:val="21"/>
              </w:rPr>
            </w:pPr>
            <w:r>
              <w:rPr>
                <w:rFonts w:hint="eastAsia" w:ascii="楷体" w:hAnsi="楷体" w:eastAsia="楷体"/>
                <w:szCs w:val="21"/>
              </w:rPr>
              <w:t>1</w:t>
            </w:r>
            <w:r>
              <w:rPr>
                <w:rFonts w:ascii="楷体" w:hAnsi="楷体" w:eastAsia="楷体"/>
                <w:szCs w:val="21"/>
              </w:rPr>
              <w:t>.</w:t>
            </w:r>
            <w:r>
              <w:rPr>
                <w:rFonts w:hint="eastAsia" w:ascii="楷体" w:hAnsi="楷体" w:eastAsia="楷体"/>
                <w:szCs w:val="21"/>
              </w:rPr>
              <w:t>守时守纪意识</w:t>
            </w:r>
          </w:p>
          <w:p w14:paraId="0C6D17B3">
            <w:pPr>
              <w:spacing w:line="276" w:lineRule="auto"/>
              <w:jc w:val="center"/>
              <w:rPr>
                <w:rFonts w:hint="eastAsia" w:ascii="楷体" w:hAnsi="楷体" w:eastAsia="楷体"/>
                <w:szCs w:val="21"/>
              </w:rPr>
            </w:pPr>
            <w:r>
              <w:rPr>
                <w:rFonts w:hint="eastAsia" w:ascii="楷体" w:hAnsi="楷体" w:eastAsia="楷体"/>
                <w:szCs w:val="21"/>
              </w:rPr>
              <w:t>2</w:t>
            </w:r>
            <w:r>
              <w:rPr>
                <w:rFonts w:ascii="楷体" w:hAnsi="楷体" w:eastAsia="楷体"/>
                <w:szCs w:val="21"/>
              </w:rPr>
              <w:t>.</w:t>
            </w:r>
            <w:r>
              <w:rPr>
                <w:rFonts w:hint="eastAsia" w:ascii="楷体" w:hAnsi="楷体" w:eastAsia="楷体"/>
                <w:szCs w:val="21"/>
              </w:rPr>
              <w:t>严谨治学意识</w:t>
            </w:r>
          </w:p>
          <w:p w14:paraId="1A980E96">
            <w:pPr>
              <w:spacing w:line="276" w:lineRule="auto"/>
              <w:jc w:val="center"/>
              <w:rPr>
                <w:rFonts w:hint="eastAsia" w:ascii="楷体" w:hAnsi="楷体" w:eastAsia="楷体"/>
                <w:szCs w:val="21"/>
              </w:rPr>
            </w:pPr>
            <w:r>
              <w:rPr>
                <w:rFonts w:hint="eastAsia" w:ascii="楷体" w:hAnsi="楷体" w:eastAsia="楷体"/>
                <w:szCs w:val="21"/>
              </w:rPr>
              <w:t>3</w:t>
            </w:r>
            <w:r>
              <w:rPr>
                <w:rFonts w:ascii="楷体" w:hAnsi="楷体" w:eastAsia="楷体"/>
                <w:szCs w:val="21"/>
              </w:rPr>
              <w:t>.</w:t>
            </w:r>
            <w:r>
              <w:rPr>
                <w:rFonts w:hint="eastAsia" w:ascii="楷体" w:hAnsi="楷体" w:eastAsia="楷体"/>
                <w:szCs w:val="21"/>
              </w:rPr>
              <w:t>诚信做人意识</w:t>
            </w:r>
          </w:p>
        </w:tc>
      </w:tr>
    </w:tbl>
    <w:p w14:paraId="4FB18DFE">
      <w:pPr>
        <w:spacing w:before="156" w:beforeLines="50" w:line="336" w:lineRule="auto"/>
        <w:ind w:firstLine="562" w:firstLineChars="200"/>
        <w:rPr>
          <w:rFonts w:ascii="Times New Roman" w:hAnsi="Times New Roman" w:eastAsia="宋体" w:cs="Times New Roman"/>
          <w:b/>
          <w:color w:val="000000"/>
          <w:sz w:val="28"/>
          <w:szCs w:val="28"/>
        </w:rPr>
      </w:pPr>
      <w:r>
        <w:rPr>
          <w:rFonts w:hint="eastAsia" w:ascii="Times New Roman" w:hAnsi="Times New Roman" w:eastAsia="宋体" w:cs="Times New Roman"/>
          <w:b/>
          <w:color w:val="000000"/>
          <w:sz w:val="28"/>
          <w:szCs w:val="28"/>
        </w:rPr>
        <w:t>六、有关说明</w:t>
      </w:r>
    </w:p>
    <w:p w14:paraId="71C195E3">
      <w:pPr>
        <w:spacing w:line="336"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6344E744">
      <w:pPr>
        <w:spacing w:line="336"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本课程根据学生作业、课堂讨论、平时考核情况和学生、教学督导等</w:t>
      </w:r>
      <w:r>
        <w:rPr>
          <w:rFonts w:hint="eastAsia" w:ascii="Times New Roman" w:hAnsi="Times New Roman" w:eastAsia="宋体" w:cs="Times New Roman"/>
          <w:sz w:val="24"/>
        </w:rPr>
        <w:t>的</w:t>
      </w:r>
      <w:r>
        <w:rPr>
          <w:rFonts w:ascii="Times New Roman" w:hAnsi="Times New Roman" w:eastAsia="宋体" w:cs="Times New Roman"/>
          <w:sz w:val="24"/>
        </w:rPr>
        <w:t>反馈，及时对教学中</w:t>
      </w:r>
      <w:r>
        <w:rPr>
          <w:rFonts w:hint="eastAsia" w:ascii="Times New Roman" w:hAnsi="Times New Roman" w:eastAsia="宋体" w:cs="Times New Roman"/>
          <w:sz w:val="24"/>
        </w:rPr>
        <w:t>的</w:t>
      </w:r>
      <w:r>
        <w:rPr>
          <w:rFonts w:ascii="Times New Roman" w:hAnsi="Times New Roman" w:eastAsia="宋体" w:cs="Times New Roman"/>
          <w:sz w:val="24"/>
        </w:rPr>
        <w:t>不足之处进行改进，并在下一轮课程教学中</w:t>
      </w:r>
      <w:r>
        <w:rPr>
          <w:rFonts w:hint="eastAsia" w:ascii="Times New Roman" w:hAnsi="Times New Roman" w:eastAsia="宋体" w:cs="Times New Roman"/>
          <w:sz w:val="24"/>
        </w:rPr>
        <w:t>整改完善</w:t>
      </w:r>
      <w:r>
        <w:rPr>
          <w:rFonts w:ascii="Times New Roman" w:hAnsi="Times New Roman" w:eastAsia="宋体" w:cs="Times New Roman"/>
          <w:sz w:val="24"/>
        </w:rPr>
        <w:t>，确保相应毕业要求指标点达成。</w:t>
      </w:r>
    </w:p>
    <w:p w14:paraId="75DFCA97">
      <w:pPr>
        <w:spacing w:line="336" w:lineRule="auto"/>
        <w:ind w:firstLine="480" w:firstLineChars="200"/>
        <w:rPr>
          <w:rFonts w:ascii="Times New Roman" w:hAnsi="Times New Roman" w:eastAsia="宋体" w:cs="Times New Roman"/>
          <w:sz w:val="24"/>
        </w:rPr>
      </w:pPr>
    </w:p>
    <w:p w14:paraId="61614DCE">
      <w:pPr>
        <w:spacing w:line="336"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3783F0F7">
      <w:pPr>
        <w:spacing w:line="336"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1</w:t>
      </w:r>
      <w:r>
        <w:rPr>
          <w:rFonts w:ascii="Times New Roman" w:hAnsi="Times New Roman" w:eastAsia="宋体" w:cs="Times New Roman"/>
          <w:b/>
          <w:color w:val="000000"/>
          <w:sz w:val="24"/>
          <w:szCs w:val="24"/>
        </w:rPr>
        <w:t>.</w:t>
      </w:r>
      <w:r>
        <w:rPr>
          <w:rFonts w:hint="eastAsia" w:ascii="Times New Roman" w:hAnsi="Times New Roman" w:eastAsia="宋体" w:cs="Times New Roman"/>
          <w:b/>
          <w:color w:val="000000"/>
          <w:sz w:val="24"/>
          <w:szCs w:val="24"/>
        </w:rPr>
        <w:t>教材</w:t>
      </w:r>
    </w:p>
    <w:p w14:paraId="56BD04E7">
      <w:pPr>
        <w:spacing w:line="336" w:lineRule="auto"/>
        <w:ind w:firstLine="480" w:firstLineChars="200"/>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《教育学原理》编写组.</w:t>
      </w:r>
      <w:r>
        <w:rPr>
          <w:rFonts w:ascii="Times New Roman" w:hAnsi="Times New Roman" w:eastAsia="宋体" w:cs="Times New Roman"/>
          <w:bCs/>
          <w:color w:val="000000"/>
          <w:sz w:val="24"/>
          <w:szCs w:val="24"/>
        </w:rPr>
        <w:t xml:space="preserve"> </w:t>
      </w:r>
      <w:r>
        <w:rPr>
          <w:rFonts w:hint="eastAsia" w:ascii="Times New Roman" w:hAnsi="Times New Roman" w:eastAsia="宋体" w:cs="Times New Roman"/>
          <w:bCs/>
          <w:color w:val="000000"/>
          <w:sz w:val="24"/>
          <w:szCs w:val="24"/>
        </w:rPr>
        <w:t>教育学原理，高等教育出版社，2</w:t>
      </w:r>
      <w:r>
        <w:rPr>
          <w:rFonts w:ascii="Times New Roman" w:hAnsi="Times New Roman" w:eastAsia="宋体" w:cs="Times New Roman"/>
          <w:bCs/>
          <w:color w:val="000000"/>
          <w:sz w:val="24"/>
          <w:szCs w:val="24"/>
        </w:rPr>
        <w:t>019</w:t>
      </w:r>
      <w:r>
        <w:rPr>
          <w:rFonts w:hint="eastAsia" w:ascii="Times New Roman" w:hAnsi="Times New Roman" w:eastAsia="宋体" w:cs="Times New Roman"/>
          <w:bCs/>
          <w:color w:val="000000"/>
          <w:sz w:val="24"/>
          <w:szCs w:val="24"/>
        </w:rPr>
        <w:t>.（马克思主义理论研究和建设工程重点教材）</w:t>
      </w:r>
    </w:p>
    <w:p w14:paraId="24EB02A8">
      <w:pPr>
        <w:spacing w:line="336"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2.</w:t>
      </w:r>
      <w:r>
        <w:rPr>
          <w:rFonts w:hint="eastAsia" w:ascii="Times New Roman" w:hAnsi="Times New Roman" w:eastAsia="宋体" w:cs="Times New Roman"/>
          <w:b/>
          <w:color w:val="000000"/>
          <w:sz w:val="24"/>
          <w:szCs w:val="24"/>
        </w:rPr>
        <w:t>教学参考书</w:t>
      </w:r>
    </w:p>
    <w:p w14:paraId="27D468F6">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郝文武.</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教育学原理.</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北京：北京师范大学出版社，</w:t>
      </w:r>
      <w:r>
        <w:rPr>
          <w:rFonts w:ascii="Times New Roman" w:hAnsi="Times New Roman" w:eastAsia="宋体" w:cs="Times New Roman"/>
          <w:color w:val="000000"/>
          <w:sz w:val="24"/>
          <w:szCs w:val="24"/>
        </w:rPr>
        <w:t>2012</w:t>
      </w:r>
      <w:r>
        <w:rPr>
          <w:rFonts w:hint="eastAsia" w:ascii="Times New Roman" w:hAnsi="Times New Roman" w:eastAsia="宋体" w:cs="Times New Roman"/>
          <w:color w:val="000000"/>
          <w:sz w:val="24"/>
          <w:szCs w:val="24"/>
        </w:rPr>
        <w:t>.</w:t>
      </w:r>
    </w:p>
    <w:p w14:paraId="04100092">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孙喜亭.</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教育原理（修订版）.</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北京：北京师范大学出版社，</w:t>
      </w:r>
      <w:r>
        <w:rPr>
          <w:rFonts w:ascii="Times New Roman" w:hAnsi="Times New Roman" w:eastAsia="宋体" w:cs="Times New Roman"/>
          <w:color w:val="000000"/>
          <w:sz w:val="24"/>
          <w:szCs w:val="24"/>
        </w:rPr>
        <w:t>2003</w:t>
      </w:r>
      <w:r>
        <w:rPr>
          <w:rFonts w:hint="eastAsia" w:ascii="Times New Roman" w:hAnsi="Times New Roman" w:eastAsia="宋体" w:cs="Times New Roman"/>
          <w:color w:val="000000"/>
          <w:sz w:val="24"/>
          <w:szCs w:val="24"/>
        </w:rPr>
        <w:t>.</w:t>
      </w:r>
    </w:p>
    <w:p w14:paraId="33BD6EE5">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王道俊、王汉澜.</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教育学.</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北京：人民教育出版社，</w:t>
      </w:r>
      <w:r>
        <w:rPr>
          <w:rFonts w:ascii="Times New Roman" w:hAnsi="Times New Roman" w:eastAsia="宋体" w:cs="Times New Roman"/>
          <w:color w:val="000000"/>
          <w:sz w:val="24"/>
          <w:szCs w:val="24"/>
        </w:rPr>
        <w:t>1989</w:t>
      </w:r>
      <w:r>
        <w:rPr>
          <w:rFonts w:hint="eastAsia" w:ascii="Times New Roman" w:hAnsi="Times New Roman" w:eastAsia="宋体" w:cs="Times New Roman"/>
          <w:color w:val="000000"/>
          <w:sz w:val="24"/>
          <w:szCs w:val="24"/>
        </w:rPr>
        <w:t>.</w:t>
      </w:r>
    </w:p>
    <w:p w14:paraId="560D1868">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黄济、王策三.</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现代教育论.</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北京人民教育出版社，</w:t>
      </w:r>
      <w:r>
        <w:rPr>
          <w:rFonts w:ascii="Times New Roman" w:hAnsi="Times New Roman" w:eastAsia="宋体" w:cs="Times New Roman"/>
          <w:color w:val="000000"/>
          <w:sz w:val="24"/>
          <w:szCs w:val="24"/>
        </w:rPr>
        <w:t>2004.</w:t>
      </w:r>
    </w:p>
    <w:p w14:paraId="5BBF2607">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陈桂生.</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教育原理.</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上海：华东师范大学出版社，</w:t>
      </w:r>
      <w:r>
        <w:rPr>
          <w:rFonts w:ascii="Times New Roman" w:hAnsi="Times New Roman" w:eastAsia="宋体" w:cs="Times New Roman"/>
          <w:color w:val="000000"/>
          <w:sz w:val="24"/>
          <w:szCs w:val="24"/>
        </w:rPr>
        <w:t>2000</w:t>
      </w:r>
      <w:r>
        <w:rPr>
          <w:rFonts w:hint="eastAsia" w:ascii="Times New Roman" w:hAnsi="Times New Roman" w:eastAsia="宋体" w:cs="Times New Roman"/>
          <w:color w:val="000000"/>
          <w:sz w:val="24"/>
          <w:szCs w:val="24"/>
        </w:rPr>
        <w:t>.</w:t>
      </w:r>
    </w:p>
    <w:p w14:paraId="2F0C0275">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贾馥茗，教育的本质：什么是真正的教育.</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北京：世界图书出版公司北京公司，</w:t>
      </w:r>
      <w:r>
        <w:rPr>
          <w:rFonts w:ascii="Times New Roman" w:hAnsi="Times New Roman" w:eastAsia="宋体" w:cs="Times New Roman"/>
          <w:color w:val="000000"/>
          <w:sz w:val="24"/>
          <w:szCs w:val="24"/>
        </w:rPr>
        <w:t>2006.</w:t>
      </w:r>
    </w:p>
    <w:p w14:paraId="6BDE2B1B">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叶澜.</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教育概论.</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北京：人民教育出版社，</w:t>
      </w:r>
      <w:r>
        <w:rPr>
          <w:rFonts w:ascii="Times New Roman" w:hAnsi="Times New Roman" w:eastAsia="宋体" w:cs="Times New Roman"/>
          <w:color w:val="000000"/>
          <w:sz w:val="24"/>
          <w:szCs w:val="24"/>
        </w:rPr>
        <w:t>2006.</w:t>
      </w:r>
    </w:p>
    <w:p w14:paraId="24E28571">
      <w:pPr>
        <w:spacing w:line="336"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约翰</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rPr>
        <w:t>杜威.</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民主主义与教育.</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北京：人民教育出版社，2</w:t>
      </w:r>
      <w:r>
        <w:rPr>
          <w:rFonts w:ascii="Times New Roman" w:hAnsi="Times New Roman" w:eastAsia="宋体" w:cs="Times New Roman"/>
          <w:color w:val="000000"/>
          <w:sz w:val="24"/>
          <w:szCs w:val="24"/>
        </w:rPr>
        <w:t xml:space="preserve">003. </w:t>
      </w:r>
    </w:p>
    <w:p w14:paraId="3CF797D2">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p>
    <w:p w14:paraId="7DD5EC5F">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张志欣</w:t>
      </w:r>
    </w:p>
    <w:p w14:paraId="253EF523">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张志欣</w:t>
      </w:r>
    </w:p>
    <w:p w14:paraId="5F93AB0E">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张建波</w:t>
      </w:r>
    </w:p>
    <w:p w14:paraId="088105A9">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202</w:t>
      </w:r>
      <w:r>
        <w:rPr>
          <w:rFonts w:hint="eastAsia" w:ascii="Times New Roman" w:hAnsi="Times New Roman" w:eastAsia="宋体" w:cs="Times New Roman"/>
          <w:kern w:val="0"/>
          <w:sz w:val="24"/>
          <w:szCs w:val="21"/>
        </w:rPr>
        <w:t>2年8月3</w:t>
      </w:r>
      <w:r>
        <w:rPr>
          <w:rFonts w:ascii="Times New Roman" w:hAnsi="Times New Roman" w:eastAsia="宋体" w:cs="Times New Roman"/>
          <w:kern w:val="0"/>
          <w:sz w:val="24"/>
          <w:szCs w:val="21"/>
        </w:rPr>
        <w:t>0</w:t>
      </w:r>
      <w:r>
        <w:rPr>
          <w:rFonts w:hint="eastAsia" w:ascii="Times New Roman" w:hAnsi="Times New Roman" w:eastAsia="宋体" w:cs="Times New Roman"/>
          <w:kern w:val="0"/>
          <w:sz w:val="24"/>
          <w:szCs w:val="21"/>
        </w:rPr>
        <w:t>日</w:t>
      </w:r>
    </w:p>
    <w:p w14:paraId="5057027C">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p>
    <w:p w14:paraId="0FFA8B34">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p>
    <w:p w14:paraId="05608B14">
      <w:pPr>
        <w:autoSpaceDE w:val="0"/>
        <w:autoSpaceDN w:val="0"/>
        <w:adjustRightInd w:val="0"/>
        <w:spacing w:line="336" w:lineRule="auto"/>
        <w:ind w:firstLine="5520" w:firstLineChars="2300"/>
        <w:jc w:val="left"/>
        <w:rPr>
          <w:rFonts w:ascii="Times New Roman" w:hAnsi="Times New Roman" w:eastAsia="宋体" w:cs="Times New Roman"/>
          <w:kern w:val="0"/>
          <w:sz w:val="24"/>
          <w:szCs w:val="21"/>
        </w:rPr>
      </w:pPr>
    </w:p>
    <w:p w14:paraId="24D0C3B6">
      <w:pPr>
        <w:widowControl/>
        <w:jc w:val="left"/>
        <w:rPr>
          <w:rFonts w:ascii="宋体" w:hAnsi="宋体" w:eastAsia="宋体" w:cs="Times New Roman"/>
          <w:sz w:val="24"/>
          <w:szCs w:val="24"/>
        </w:rPr>
      </w:pPr>
      <w:r>
        <w:rPr>
          <w:rFonts w:ascii="宋体" w:hAnsi="宋体" w:eastAsia="宋体" w:cs="Times New Roman"/>
          <w:sz w:val="24"/>
          <w:szCs w:val="24"/>
        </w:rPr>
        <w:br w:type="page"/>
      </w:r>
    </w:p>
    <w:p w14:paraId="3244FECA">
      <w:pPr>
        <w:spacing w:line="360" w:lineRule="auto"/>
        <w:jc w:val="center"/>
        <w:outlineLvl w:val="0"/>
        <w:rPr>
          <w:rFonts w:ascii="Times New Roman" w:hAnsi="Times New Roman" w:eastAsia="宋体" w:cs="Times New Roman"/>
          <w:b/>
          <w:sz w:val="30"/>
          <w:szCs w:val="30"/>
        </w:rPr>
      </w:pPr>
      <w:bookmarkStart w:id="54" w:name="_Toc166164848"/>
      <w:bookmarkStart w:id="55" w:name="_Toc57017172"/>
      <w:r>
        <w:rPr>
          <w:rFonts w:hint="eastAsia" w:ascii="Times New Roman" w:hAnsi="Times New Roman" w:eastAsia="宋体" w:cs="Times New Roman"/>
          <w:b/>
          <w:sz w:val="30"/>
          <w:szCs w:val="30"/>
        </w:rPr>
        <w:t>中国教育史程教学大纲</w:t>
      </w:r>
      <w:bookmarkEnd w:id="54"/>
      <w:bookmarkEnd w:id="55"/>
    </w:p>
    <w:p w14:paraId="47143D84">
      <w:pPr>
        <w:spacing w:line="360" w:lineRule="auto"/>
        <w:jc w:val="center"/>
        <w:rPr>
          <w:rFonts w:ascii="Times New Roman" w:hAnsi="Times New Roman" w:eastAsia="宋体" w:cs="Times New Roman"/>
          <w:b/>
          <w:bCs/>
          <w:sz w:val="28"/>
          <w:szCs w:val="24"/>
        </w:rPr>
      </w:pPr>
      <w:r>
        <w:rPr>
          <w:rFonts w:ascii="Times New Roman" w:hAnsi="Times New Roman" w:eastAsia="宋体" w:cs="Times New Roman"/>
          <w:b/>
          <w:bCs/>
          <w:sz w:val="28"/>
          <w:szCs w:val="24"/>
        </w:rPr>
        <w:t>（History of Chinese Education）</w:t>
      </w:r>
    </w:p>
    <w:p w14:paraId="43F805C4">
      <w:pPr>
        <w:spacing w:line="360" w:lineRule="auto"/>
        <w:jc w:val="center"/>
        <w:rPr>
          <w:rFonts w:ascii="Times New Roman" w:hAnsi="Times New Roman" w:eastAsia="宋体" w:cs="Times New Roman"/>
          <w:bCs/>
          <w:sz w:val="30"/>
          <w:szCs w:val="30"/>
        </w:rPr>
      </w:pPr>
    </w:p>
    <w:p w14:paraId="1DBA23D4">
      <w:pPr>
        <w:spacing w:line="360" w:lineRule="auto"/>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39B85F88">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2401006</w:t>
      </w:r>
    </w:p>
    <w:p w14:paraId="559DC3BB">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2B928AD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（讲授学时32</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学时0）</w:t>
      </w:r>
    </w:p>
    <w:p w14:paraId="5DF4A4CF">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sz w:val="24"/>
          <w:szCs w:val="24"/>
        </w:rPr>
        <w:t>小学心理学</w:t>
      </w:r>
    </w:p>
    <w:p w14:paraId="2BCA411B">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小学教育（文）、小学教育（理）</w:t>
      </w:r>
    </w:p>
    <w:p w14:paraId="409C7FC7">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王炳照等</w:t>
      </w:r>
      <w:r>
        <w:rPr>
          <w:rFonts w:ascii="Times New Roman" w:hAnsi="Times New Roman" w:eastAsia="宋体" w:cs="Times New Roman"/>
          <w:sz w:val="24"/>
          <w:szCs w:val="24"/>
        </w:rPr>
        <w:t>.简明中国教育史. 北京：北京师范大学出版社，20</w:t>
      </w:r>
      <w:r>
        <w:rPr>
          <w:rFonts w:hint="eastAsia" w:ascii="Times New Roman" w:hAnsi="Times New Roman" w:eastAsia="宋体" w:cs="Times New Roman"/>
          <w:sz w:val="24"/>
          <w:szCs w:val="24"/>
          <w:lang w:val="en-US" w:eastAsia="zh-CN"/>
        </w:rPr>
        <w:t>18</w:t>
      </w:r>
      <w:r>
        <w:rPr>
          <w:rFonts w:ascii="Times New Roman" w:hAnsi="Times New Roman" w:eastAsia="宋体" w:cs="Times New Roman"/>
          <w:sz w:val="24"/>
          <w:szCs w:val="24"/>
        </w:rPr>
        <w:t>.</w:t>
      </w:r>
    </w:p>
    <w:p w14:paraId="6B8DE8D5">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4A7863F9">
      <w:pPr>
        <w:spacing w:line="360" w:lineRule="auto"/>
        <w:rPr>
          <w:rFonts w:ascii="Times New Roman" w:hAnsi="Times New Roman" w:eastAsia="宋体" w:cs="Times New Roman"/>
          <w:kern w:val="0"/>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kern w:val="0"/>
          <w:sz w:val="24"/>
          <w:szCs w:val="24"/>
        </w:rPr>
        <w:t>本课程是小学教育专业的一门专业基础必修课程。本课程的任务在于使学生了解中国教育发展的基本线索和一般规律；初步认识中国教育发展的历史经验和教训；培养运用辩证唯物主义和历史唯物主义观点和方法考察、分析教育问题的意识和能力，树立唯物辨证的教育发展观；扩大教育知识眼界，为学习教育学科打下基础；培养热爱教育、献身教育的职业精神。</w:t>
      </w:r>
    </w:p>
    <w:p w14:paraId="570ED53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7EE6F581">
      <w:pPr>
        <w:spacing w:line="360" w:lineRule="auto"/>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（一）课程具体目标</w:t>
      </w:r>
    </w:p>
    <w:p w14:paraId="20AAF522">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目标1. 了解中国教育制度发展的基本线索和各个时期的文教政策，掌握学校教育发展史上的重要事件及其历史影响；初步认识中国教育思想发展的脉络和演变历程，掌握主要教育家和教育著作中的重要思想及其历史影响。</w:t>
      </w:r>
    </w:p>
    <w:p w14:paraId="0D5B4C73">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目标2. 在掌握中国教育制度发展和思想发展</w:t>
      </w:r>
      <w:r>
        <w:rPr>
          <w:rFonts w:hint="eastAsia" w:ascii="Times New Roman" w:hAnsi="Times New Roman" w:eastAsia="宋体" w:cs="Times New Roman"/>
          <w:sz w:val="24"/>
          <w:szCs w:val="24"/>
          <w:lang w:val="en-US" w:eastAsia="zh-CN"/>
        </w:rPr>
        <w:t>史</w:t>
      </w:r>
      <w:r>
        <w:rPr>
          <w:rFonts w:hint="eastAsia" w:ascii="Times New Roman" w:hAnsi="Times New Roman" w:eastAsia="宋体" w:cs="Times New Roman"/>
          <w:sz w:val="24"/>
          <w:szCs w:val="24"/>
        </w:rPr>
        <w:t>实的基础上，能够运用批判思维和发展的眼光，对历史事件、制度政策、人物（著作）及其思想进行正确的认识和评价，在扬弃的前提下古为今用。</w:t>
      </w:r>
    </w:p>
    <w:p w14:paraId="35CF1B0A">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目标3. 在扎实掌握教育史实的基础上，深刻理解中华优秀传统文化中讲仁爱、重民本、守诚信、崇正义、尚和合、求大同的思想精华和时代价值；以立德树人为己任，坚持为党育人、为国育才；形成正确的教育观、教师观，增强职业认同感、责任感与使命感，立志成为学生发展的“四个引路人”“四有好老师”和经师与人师相统一的“大先生”。</w:t>
      </w:r>
    </w:p>
    <w:p w14:paraId="4DE43807">
      <w:pPr>
        <w:spacing w:line="360" w:lineRule="auto"/>
        <w:rPr>
          <w:rFonts w:hint="eastAsia"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860"/>
        <w:gridCol w:w="5270"/>
      </w:tblGrid>
      <w:tr w14:paraId="0215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tcPr>
          <w:p w14:paraId="32D4C9BF">
            <w:pPr>
              <w:spacing w:line="264" w:lineRule="auto"/>
              <w:jc w:val="center"/>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1860" w:type="dxa"/>
          </w:tcPr>
          <w:p w14:paraId="6C863788">
            <w:pPr>
              <w:spacing w:line="264"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5270" w:type="dxa"/>
          </w:tcPr>
          <w:p w14:paraId="568693D2">
            <w:pPr>
              <w:spacing w:line="264"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2717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92" w:type="dxa"/>
            <w:vAlign w:val="center"/>
          </w:tcPr>
          <w:p w14:paraId="0FDD683B">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课程目标1</w:t>
            </w:r>
          </w:p>
        </w:tc>
        <w:tc>
          <w:tcPr>
            <w:tcW w:w="1860" w:type="dxa"/>
            <w:vAlign w:val="center"/>
          </w:tcPr>
          <w:p w14:paraId="118A8AAC">
            <w:pPr>
              <w:spacing w:line="264"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毕业要求1</w:t>
            </w:r>
          </w:p>
          <w:p w14:paraId="05F464FE">
            <w:pPr>
              <w:spacing w:line="264"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毕业要求2</w:t>
            </w:r>
          </w:p>
          <w:p w14:paraId="2F3004BC">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毕业要求4</w:t>
            </w:r>
          </w:p>
        </w:tc>
        <w:tc>
          <w:tcPr>
            <w:tcW w:w="5270" w:type="dxa"/>
            <w:vAlign w:val="center"/>
          </w:tcPr>
          <w:p w14:paraId="75847A10">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指标点1-1：【理想信念坚定】认同中国特色社会主义，贯彻党的教育方针，自觉践行社会主义核心价值观，树立职业理想，立志成为有理想信念、有道德情操、有扎实学识、有仁爱之心的好教师。</w:t>
            </w:r>
          </w:p>
          <w:p w14:paraId="2BDEEED0">
            <w:pPr>
              <w:keepNext w:val="0"/>
              <w:keepLines w:val="0"/>
              <w:pageBreakBefore w:val="0"/>
              <w:widowControl w:val="0"/>
              <w:kinsoku/>
              <w:wordWrap/>
              <w:overflowPunct/>
              <w:topLinePunct w:val="0"/>
              <w:autoSpaceDE/>
              <w:autoSpaceDN/>
              <w:bidi w:val="0"/>
              <w:adjustRightInd/>
              <w:snapToGrid/>
              <w:spacing w:before="157" w:beforeLines="50" w:line="264"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0BC4587F">
            <w:pPr>
              <w:keepNext w:val="0"/>
              <w:keepLines w:val="0"/>
              <w:pageBreakBefore w:val="0"/>
              <w:widowControl w:val="0"/>
              <w:kinsoku/>
              <w:wordWrap/>
              <w:overflowPunct/>
              <w:topLinePunct w:val="0"/>
              <w:autoSpaceDE/>
              <w:autoSpaceDN/>
              <w:bidi w:val="0"/>
              <w:adjustRightInd/>
              <w:snapToGrid/>
              <w:spacing w:before="157" w:beforeLines="50" w:line="264"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指标点2-1：【职业认同感强】具有家国情怀，乐于从教，热爱教育事业，具有较高的教师职业认同感，认同教师职业的专业性与意义性。</w:t>
            </w:r>
          </w:p>
          <w:p w14:paraId="47AB2FD0">
            <w:pPr>
              <w:keepNext w:val="0"/>
              <w:keepLines w:val="0"/>
              <w:pageBreakBefore w:val="0"/>
              <w:widowControl w:val="0"/>
              <w:kinsoku/>
              <w:wordWrap/>
              <w:overflowPunct/>
              <w:topLinePunct w:val="0"/>
              <w:autoSpaceDE/>
              <w:autoSpaceDN/>
              <w:bidi w:val="0"/>
              <w:adjustRightInd/>
              <w:snapToGrid/>
              <w:spacing w:before="157" w:beforeLines="50" w:line="264"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p w14:paraId="368CD19D">
            <w:pPr>
              <w:keepNext w:val="0"/>
              <w:keepLines w:val="0"/>
              <w:pageBreakBefore w:val="0"/>
              <w:widowControl w:val="0"/>
              <w:kinsoku/>
              <w:wordWrap/>
              <w:overflowPunct/>
              <w:topLinePunct w:val="0"/>
              <w:autoSpaceDE/>
              <w:autoSpaceDN/>
              <w:bidi w:val="0"/>
              <w:adjustRightInd/>
              <w:snapToGrid/>
              <w:spacing w:before="157" w:beforeLines="50" w:line="264" w:lineRule="auto"/>
              <w:jc w:val="left"/>
              <w:textAlignment w:val="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指标点4-2：【教学技能突出】获得全面的小学教学体验，掌握学科教学的基本方法与策略，能独立进行教学设计、实施和评价。</w:t>
            </w:r>
          </w:p>
        </w:tc>
      </w:tr>
      <w:tr w14:paraId="6439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14:paraId="42BE3E96">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课程目标2</w:t>
            </w:r>
          </w:p>
        </w:tc>
        <w:tc>
          <w:tcPr>
            <w:tcW w:w="1860" w:type="dxa"/>
            <w:vAlign w:val="center"/>
          </w:tcPr>
          <w:p w14:paraId="69E4264A">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毕业要求7</w:t>
            </w:r>
          </w:p>
        </w:tc>
        <w:tc>
          <w:tcPr>
            <w:tcW w:w="5270" w:type="dxa"/>
            <w:vAlign w:val="center"/>
          </w:tcPr>
          <w:p w14:paraId="547BAC4D">
            <w:pPr>
              <w:keepNext w:val="0"/>
              <w:keepLines w:val="0"/>
              <w:pageBreakBefore w:val="0"/>
              <w:widowControl w:val="0"/>
              <w:kinsoku/>
              <w:wordWrap/>
              <w:overflowPunct/>
              <w:topLinePunct w:val="0"/>
              <w:autoSpaceDE/>
              <w:autoSpaceDN/>
              <w:bidi w:val="0"/>
              <w:adjustRightInd/>
              <w:snapToGrid/>
              <w:spacing w:before="157" w:beforeLines="50" w:line="264" w:lineRule="auto"/>
              <w:jc w:val="left"/>
              <w:textAlignment w:val="auto"/>
              <w:rPr>
                <w:rFonts w:hint="eastAsia" w:ascii="宋体" w:hAnsi="宋体" w:eastAsia="宋体" w:cs="宋体"/>
                <w:bCs/>
                <w:color w:val="000000"/>
                <w:szCs w:val="21"/>
              </w:rPr>
            </w:pPr>
            <w:r>
              <w:rPr>
                <w:rFonts w:hint="eastAsia" w:ascii="宋体" w:hAnsi="宋体" w:eastAsia="宋体" w:cs="Times New Roman"/>
                <w:color w:val="000000"/>
                <w:spacing w:val="2"/>
                <w:kern w:val="0"/>
                <w:szCs w:val="21"/>
              </w:rPr>
              <w:t>指标点7-2：【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09AE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14:paraId="38771C6F">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课程目标3</w:t>
            </w:r>
          </w:p>
        </w:tc>
        <w:tc>
          <w:tcPr>
            <w:tcW w:w="1860" w:type="dxa"/>
            <w:vAlign w:val="center"/>
          </w:tcPr>
          <w:p w14:paraId="71E2AD81">
            <w:pPr>
              <w:spacing w:line="264" w:lineRule="auto"/>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毕业要求1</w:t>
            </w:r>
          </w:p>
          <w:p w14:paraId="268E667F">
            <w:pPr>
              <w:spacing w:line="264" w:lineRule="auto"/>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毕业要求2</w:t>
            </w:r>
          </w:p>
        </w:tc>
        <w:tc>
          <w:tcPr>
            <w:tcW w:w="5270" w:type="dxa"/>
            <w:vAlign w:val="center"/>
          </w:tcPr>
          <w:p w14:paraId="4C1532FE">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指标点1-1：【理想信念坚定】认同中国特色社会主义，贯彻党的教育方针，自觉践行社会主义核心价值观，树立职业理想，立志成为有理想信念、有道德情操、有扎实学识、有仁爱之心的好教师。</w:t>
            </w:r>
          </w:p>
          <w:p w14:paraId="3519F8D4">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560FB11F">
            <w:pPr>
              <w:spacing w:line="264"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指标点2-1：【职业认同感强】具有家国情怀，乐于从教，热爱教育事业，具有较高的教师职业认同感，认同教师职业的专业性与意义性。</w:t>
            </w:r>
          </w:p>
          <w:p w14:paraId="0B7B5EE0">
            <w:pPr>
              <w:spacing w:line="264" w:lineRule="auto"/>
              <w:jc w:val="left"/>
              <w:rPr>
                <w:rFonts w:hint="eastAsia" w:ascii="宋体" w:hAnsi="宋体" w:eastAsia="宋体" w:cs="宋体"/>
                <w:bCs/>
                <w:color w:val="000000"/>
                <w:szCs w:val="21"/>
              </w:rPr>
            </w:pPr>
            <w:r>
              <w:rPr>
                <w:rFonts w:hint="eastAsia" w:ascii="宋体" w:hAnsi="宋体" w:eastAsia="宋体" w:cs="Times New Roman"/>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bl>
    <w:p w14:paraId="05A98AB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三、课程内容及要求</w:t>
      </w:r>
    </w:p>
    <w:p w14:paraId="1710EEDA">
      <w:pPr>
        <w:spacing w:line="360" w:lineRule="auto"/>
        <w:rPr>
          <w:rFonts w:ascii="宋体" w:hAnsi="宋体" w:eastAsia="宋体" w:cs="Times New Roman"/>
          <w:b/>
          <w:bCs/>
          <w:sz w:val="24"/>
          <w:szCs w:val="24"/>
        </w:rPr>
      </w:pPr>
      <w:r>
        <w:rPr>
          <w:rFonts w:hint="eastAsia" w:ascii="宋体" w:hAnsi="宋体" w:eastAsia="宋体" w:cs="Times New Roman"/>
          <w:b/>
          <w:bCs/>
          <w:sz w:val="24"/>
          <w:szCs w:val="24"/>
        </w:rPr>
        <w:t>（一）官学制度的建立与“六艺”教育的形成（本模块各知识点的讲授与学习，可以支撑课程目标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1E391CCA">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277C2569">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（1）教育的起源和古代学校的萌芽</w:t>
      </w:r>
    </w:p>
    <w:p w14:paraId="00422CB3">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（2）西周的教育制度</w:t>
      </w:r>
    </w:p>
    <w:p w14:paraId="763F8C5F">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5066BC93">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（1）了解中国教育的起源；</w:t>
      </w:r>
    </w:p>
    <w:p w14:paraId="5AD43AD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（2）了解氏族公社时期的教育和氏族公社时期学校萌芽的情况；</w:t>
      </w:r>
    </w:p>
    <w:p w14:paraId="419AA6AE">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（3）了解夏、商教育的发展；</w:t>
      </w:r>
    </w:p>
    <w:p w14:paraId="60C6BEAE">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（4）掌握西周时期教育的发展</w:t>
      </w:r>
    </w:p>
    <w:p w14:paraId="0966E33D">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古代学校教育的萌芽</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六艺</w:t>
      </w:r>
    </w:p>
    <w:p w14:paraId="1A159E34">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西周的教育状况</w:t>
      </w:r>
    </w:p>
    <w:p w14:paraId="195FF262">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课程思政目标</w:t>
      </w:r>
    </w:p>
    <w:p w14:paraId="61F2950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继承祖国优秀教育遗产，增强民族自尊心和自信心。</w:t>
      </w:r>
    </w:p>
    <w:p w14:paraId="479B7943">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（二）私人讲学的兴起与传统教育思想的奠基</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27D614AD">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7B1CF840">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（1）官学的衰落和私学的兴起</w:t>
      </w:r>
    </w:p>
    <w:p w14:paraId="4BA9D7C3">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（2）孔子的教育思想</w:t>
      </w:r>
    </w:p>
    <w:p w14:paraId="018A36C2">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）孟子的教育思想</w:t>
      </w:r>
    </w:p>
    <w:p w14:paraId="38A34A1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（4）荀子的教育思想</w:t>
      </w:r>
    </w:p>
    <w:p w14:paraId="7341F9C8">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（5）墨子的教育思想</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自学</w:t>
      </w:r>
      <w:r>
        <w:rPr>
          <w:rFonts w:hint="eastAsia" w:ascii="Times New Roman" w:hAnsi="Times New Roman" w:eastAsia="宋体" w:cs="Times New Roman"/>
          <w:sz w:val="24"/>
          <w:szCs w:val="24"/>
          <w:lang w:eastAsia="zh-CN"/>
        </w:rPr>
        <w:t>）</w:t>
      </w:r>
    </w:p>
    <w:p w14:paraId="58A61E07">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（6）道家的教育思想</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自学</w:t>
      </w:r>
      <w:r>
        <w:rPr>
          <w:rFonts w:hint="eastAsia" w:ascii="Times New Roman" w:hAnsi="Times New Roman" w:eastAsia="宋体" w:cs="Times New Roman"/>
          <w:sz w:val="24"/>
          <w:szCs w:val="24"/>
          <w:lang w:eastAsia="zh-CN"/>
        </w:rPr>
        <w:t>）</w:t>
      </w:r>
    </w:p>
    <w:p w14:paraId="5BF758EC">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（7）法家的教育思想</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自学</w:t>
      </w:r>
      <w:r>
        <w:rPr>
          <w:rFonts w:hint="eastAsia" w:ascii="Times New Roman" w:hAnsi="Times New Roman" w:eastAsia="宋体" w:cs="Times New Roman"/>
          <w:sz w:val="24"/>
          <w:szCs w:val="24"/>
          <w:lang w:eastAsia="zh-CN"/>
        </w:rPr>
        <w:t>）</w:t>
      </w:r>
    </w:p>
    <w:p w14:paraId="5260D853">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（8）《礼记》中的教育思想</w:t>
      </w:r>
    </w:p>
    <w:p w14:paraId="11EC9635">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2．基本要求</w:t>
      </w:r>
    </w:p>
    <w:p w14:paraId="009B873F">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（1）了解春秋战国时期教育的发展状况；</w:t>
      </w:r>
    </w:p>
    <w:p w14:paraId="7B0C00A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（2）了解官学的衰落和私学的兴起；</w:t>
      </w:r>
    </w:p>
    <w:p w14:paraId="3135D9F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（3）理解私学兴起的原因及私学的历史特点；</w:t>
      </w:r>
    </w:p>
    <w:p w14:paraId="0A428FB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）掌握孔子、孟轲、荀况及《学记》中的教育思想。</w:t>
      </w:r>
    </w:p>
    <w:p w14:paraId="4FFEF287">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课程思政目标</w:t>
      </w:r>
    </w:p>
    <w:p w14:paraId="3AE4F35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利用孔子的“学而不厌，诲人不倦”的精神、孟子“得天下英才而教育之，三乐也”等古代教育家的典型事迹，鼓励学生以教育家为榜样，忠诚人民教育事业，进一步巩固专业思想，乐于从事“太阳底下最光辉的事业”，把青春和智慧献给教育事业。</w:t>
      </w:r>
    </w:p>
    <w:p w14:paraId="4B78EEC9">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（2）继承祖国优秀教育遗产，增强民族自尊心和自信心。</w:t>
      </w:r>
    </w:p>
    <w:p w14:paraId="17DE2E5D">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私学的兴起及历史特点；孔子的教育思想；《学记》的教育思想</w:t>
      </w:r>
    </w:p>
    <w:p w14:paraId="0548D5E3">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孔子教育思想的主要内容、特点及其对当前教育改革的启示</w:t>
      </w:r>
    </w:p>
    <w:p w14:paraId="3EA94849">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（三）儒学独尊与读经做官教育模式的初步形成</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5BA94EB9">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60D539C9">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（1）秦朝的教育政策及措施</w:t>
      </w:r>
    </w:p>
    <w:p w14:paraId="2A9859E6">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（2）汉朝的文化教育政策</w:t>
      </w:r>
    </w:p>
    <w:p w14:paraId="792BFCBF">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（3）汉朝学校教育的发展与经学教育的特点</w:t>
      </w:r>
    </w:p>
    <w:p w14:paraId="7EDC3CF5">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）董仲舒的教育思想</w:t>
      </w:r>
    </w:p>
    <w:p w14:paraId="335FAE47">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）王充的教育思想</w:t>
      </w:r>
    </w:p>
    <w:p w14:paraId="12EFA160">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2．基本要求</w:t>
      </w:r>
    </w:p>
    <w:p w14:paraId="452035FE">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（1）了解秦朝的教育政策及措施；</w:t>
      </w:r>
    </w:p>
    <w:p w14:paraId="2E3F0851">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（2）理解汉朝的文化教育政策和汉朝学校教育的发展与经学教育的特点；</w:t>
      </w:r>
    </w:p>
    <w:p w14:paraId="65B7FC03">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（3）理解并掌握董仲舒、王充的主要教育思想</w:t>
      </w:r>
      <w:r>
        <w:rPr>
          <w:rFonts w:hint="eastAsia" w:ascii="Times New Roman" w:hAnsi="Times New Roman" w:eastAsia="宋体" w:cs="Times New Roman"/>
          <w:sz w:val="24"/>
          <w:szCs w:val="24"/>
          <w:lang w:val="en-US" w:eastAsia="zh-CN"/>
        </w:rPr>
        <w:t>及其</w:t>
      </w:r>
      <w:r>
        <w:rPr>
          <w:rFonts w:hint="eastAsia" w:ascii="Times New Roman" w:hAnsi="Times New Roman" w:eastAsia="宋体" w:cs="Times New Roman"/>
          <w:sz w:val="24"/>
          <w:szCs w:val="24"/>
        </w:rPr>
        <w:t>现实意义。</w:t>
      </w:r>
    </w:p>
    <w:p w14:paraId="51225BA2">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汉代的教育制度</w:t>
      </w:r>
    </w:p>
    <w:p w14:paraId="17BC1CFF">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董仲舒</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王充</w:t>
      </w:r>
      <w:r>
        <w:rPr>
          <w:rFonts w:hint="eastAsia" w:ascii="Times New Roman" w:hAnsi="Times New Roman" w:eastAsia="宋体" w:cs="Times New Roman"/>
          <w:sz w:val="24"/>
          <w:szCs w:val="24"/>
        </w:rPr>
        <w:t>的教育思想及对其的评价</w:t>
      </w:r>
    </w:p>
    <w:p w14:paraId="3F167CBA">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课程思政目标</w:t>
      </w:r>
    </w:p>
    <w:p w14:paraId="27A8DC7B">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（1）继承祖国优秀教育遗产，增强民族自尊心和自信心。</w:t>
      </w:r>
    </w:p>
    <w:p w14:paraId="5A9EA9A5">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（2）理解教育家的思想，巩固专业思想，乐于从教。</w:t>
      </w:r>
    </w:p>
    <w:p w14:paraId="74764437">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（四）封建国家教育体制的完善</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715B144C">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1BEA100E">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（1）魏晋南北朝的学校教育制度</w:t>
      </w:r>
    </w:p>
    <w:p w14:paraId="6F5204C2">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（2）隋唐时期的教育制度与学校教育</w:t>
      </w:r>
    </w:p>
    <w:p w14:paraId="167F123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颜之推的</w:t>
      </w:r>
      <w:r>
        <w:rPr>
          <w:rFonts w:hint="eastAsia" w:ascii="Times New Roman" w:hAnsi="Times New Roman" w:eastAsia="宋体" w:cs="Times New Roman"/>
          <w:sz w:val="24"/>
          <w:szCs w:val="24"/>
        </w:rPr>
        <w:t>教育思想</w:t>
      </w:r>
    </w:p>
    <w:p w14:paraId="2B64D4B4">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（4）</w:t>
      </w:r>
      <w:r>
        <w:rPr>
          <w:rFonts w:hint="eastAsia" w:ascii="Times New Roman" w:hAnsi="Times New Roman" w:eastAsia="宋体" w:cs="Times New Roman"/>
          <w:sz w:val="24"/>
          <w:szCs w:val="24"/>
          <w:lang w:val="en-US" w:eastAsia="zh-CN"/>
        </w:rPr>
        <w:t>韩愈的教育思想</w:t>
      </w:r>
    </w:p>
    <w:p w14:paraId="5AB1B99F">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2B2E7555">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（1）了解魏晋南北朝时期</w:t>
      </w:r>
      <w:r>
        <w:rPr>
          <w:rFonts w:hint="eastAsia" w:ascii="Times New Roman" w:hAnsi="Times New Roman" w:eastAsia="宋体" w:cs="Times New Roman"/>
          <w:sz w:val="24"/>
          <w:szCs w:val="24"/>
          <w:lang w:val="en-US" w:eastAsia="zh-CN"/>
        </w:rPr>
        <w:t>及隋唐时期</w:t>
      </w:r>
      <w:r>
        <w:rPr>
          <w:rFonts w:hint="eastAsia" w:ascii="Times New Roman" w:hAnsi="Times New Roman" w:eastAsia="宋体" w:cs="Times New Roman"/>
          <w:sz w:val="24"/>
          <w:szCs w:val="24"/>
        </w:rPr>
        <w:t>的教育发展状况；</w:t>
      </w:r>
    </w:p>
    <w:p w14:paraId="62560DE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（2）理解并掌握颜之推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韩愈</w:t>
      </w:r>
      <w:r>
        <w:rPr>
          <w:rFonts w:hint="eastAsia" w:ascii="Times New Roman" w:hAnsi="Times New Roman" w:eastAsia="宋体" w:cs="Times New Roman"/>
          <w:sz w:val="24"/>
          <w:szCs w:val="24"/>
        </w:rPr>
        <w:t>的教育思想及其现实意义。</w:t>
      </w:r>
    </w:p>
    <w:p w14:paraId="1ABE8A0B">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lang w:val="en-US" w:eastAsia="zh-CN"/>
        </w:rPr>
        <w:t>隋唐时期的学校教育制度</w:t>
      </w:r>
      <w:r>
        <w:rPr>
          <w:rFonts w:hint="eastAsia" w:ascii="Times New Roman" w:hAnsi="Times New Roman" w:eastAsia="宋体" w:cs="Times New Roman"/>
          <w:sz w:val="24"/>
          <w:szCs w:val="24"/>
        </w:rPr>
        <w:t>；颜之推的教育思想</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韩愈的教师思想</w:t>
      </w:r>
    </w:p>
    <w:p w14:paraId="65EEC8F7">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颜之推的</w:t>
      </w:r>
      <w:r>
        <w:rPr>
          <w:rFonts w:hint="eastAsia" w:ascii="Times New Roman" w:hAnsi="Times New Roman" w:eastAsia="宋体" w:cs="Times New Roman"/>
          <w:sz w:val="24"/>
          <w:szCs w:val="24"/>
          <w:lang w:val="en-US" w:eastAsia="zh-CN"/>
        </w:rPr>
        <w:t>家庭</w:t>
      </w:r>
      <w:r>
        <w:rPr>
          <w:rFonts w:hint="eastAsia" w:ascii="Times New Roman" w:hAnsi="Times New Roman" w:eastAsia="宋体" w:cs="Times New Roman"/>
          <w:sz w:val="24"/>
          <w:szCs w:val="24"/>
        </w:rPr>
        <w:t>教育思想及其现代意义</w:t>
      </w:r>
    </w:p>
    <w:p w14:paraId="4892F901">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课程思政目标</w:t>
      </w:r>
    </w:p>
    <w:p w14:paraId="5DD5249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继承祖国优秀教育遗产，如《颜氏家训》是世界上第一本系统全面的家教著作，从而增强民族自尊心和自信心。</w:t>
      </w:r>
    </w:p>
    <w:p w14:paraId="51AA4D6F">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（五）理学教育思想和学校的改革与发展</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4753C373">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1.教学内容</w:t>
      </w:r>
    </w:p>
    <w:p w14:paraId="0CCE7AC0">
      <w:pPr>
        <w:spacing w:line="360" w:lineRule="auto"/>
        <w:rPr>
          <w:rFonts w:hint="eastAsia"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rPr>
        <w:t>科举考试制度的演变与官学的改革</w:t>
      </w:r>
    </w:p>
    <w:p w14:paraId="7C636EF6">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）书院的发展</w:t>
      </w:r>
    </w:p>
    <w:p w14:paraId="19EE20B7">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）私塾与蒙养教材</w:t>
      </w:r>
    </w:p>
    <w:p w14:paraId="12871E24">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eastAsia="zh-CN"/>
        </w:rPr>
        <w:t>）朱熹的教育思想</w:t>
      </w:r>
    </w:p>
    <w:p w14:paraId="2EA367AD">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5</w:t>
      </w:r>
      <w:r>
        <w:rPr>
          <w:rFonts w:hint="eastAsia" w:ascii="Times New Roman" w:hAnsi="Times New Roman" w:eastAsia="宋体" w:cs="Times New Roman"/>
          <w:b w:val="0"/>
          <w:bCs w:val="0"/>
          <w:sz w:val="24"/>
          <w:szCs w:val="24"/>
          <w:lang w:eastAsia="zh-CN"/>
        </w:rPr>
        <w:t>）王守仁的教育思想</w:t>
      </w:r>
    </w:p>
    <w:p w14:paraId="7E2A0289">
      <w:pPr>
        <w:spacing w:line="360" w:lineRule="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2.基本要求</w:t>
      </w:r>
    </w:p>
    <w:p w14:paraId="7CB23A72">
      <w:pPr>
        <w:spacing w:line="360" w:lineRule="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（1）掌握选士取士制度的演变历程；</w:t>
      </w:r>
    </w:p>
    <w:p w14:paraId="43479FDA">
      <w:pPr>
        <w:spacing w:line="360" w:lineRule="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（2）理解宋辽金元时期的文教政策和教育制度；</w:t>
      </w:r>
    </w:p>
    <w:p w14:paraId="2AA5111E">
      <w:pPr>
        <w:spacing w:line="360" w:lineRule="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（3）了解宋元时期书院的产生与发展情况；</w:t>
      </w:r>
    </w:p>
    <w:p w14:paraId="1DA628FC">
      <w:pPr>
        <w:spacing w:line="360" w:lineRule="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（4）掌握蒙养教材的特点；</w:t>
      </w:r>
    </w:p>
    <w:p w14:paraId="0CE8E679">
      <w:pPr>
        <w:spacing w:line="360" w:lineRule="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（4）理解并掌握朱熹、王守仁的教育思想及其现实意义。</w:t>
      </w:r>
    </w:p>
    <w:p w14:paraId="60422F29">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课程思政目标</w:t>
      </w:r>
    </w:p>
    <w:p w14:paraId="633B6F6B">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教育引导学生传承中华优秀教育遗产，弘扬以爱国主义为核心的民族精神和以改革创新为核心的时代精神</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在了解宋元时期教育的过程中产生强烈的文化认同感和民族自豪感。在学习朱熹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王守仁</w:t>
      </w:r>
      <w:r>
        <w:rPr>
          <w:rFonts w:hint="eastAsia" w:ascii="Times New Roman" w:hAnsi="Times New Roman" w:eastAsia="宋体" w:cs="Times New Roman"/>
          <w:sz w:val="24"/>
          <w:szCs w:val="24"/>
        </w:rPr>
        <w:t>教育思想的同时，鼓励学生以教育家为榜样，忠诚人民教育事业，进一步巩固专业思想，具有为了中华民族的复兴，为了培养全面发展的社会主义建设者和接班人投身小学教育事业的职业理想。</w:t>
      </w:r>
    </w:p>
    <w:p w14:paraId="3D9E398E">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朱熹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王守仁</w:t>
      </w:r>
      <w:r>
        <w:rPr>
          <w:rFonts w:hint="eastAsia" w:ascii="Times New Roman" w:hAnsi="Times New Roman" w:eastAsia="宋体" w:cs="Times New Roman"/>
          <w:sz w:val="24"/>
          <w:szCs w:val="24"/>
        </w:rPr>
        <w:t>的教育思想</w:t>
      </w:r>
    </w:p>
    <w:p w14:paraId="481821F2">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传统儒家与现代儒家的区别，朱熹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王守仁教育思想的</w:t>
      </w:r>
      <w:r>
        <w:rPr>
          <w:rFonts w:hint="eastAsia" w:ascii="Times New Roman" w:hAnsi="Times New Roman" w:eastAsia="宋体" w:cs="Times New Roman"/>
          <w:sz w:val="24"/>
          <w:szCs w:val="24"/>
        </w:rPr>
        <w:t>现实意义</w:t>
      </w:r>
    </w:p>
    <w:p w14:paraId="2AEA205B">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六</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近代教育的进步</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367A21AD">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3C5C6431">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（1）教会学校</w:t>
      </w:r>
    </w:p>
    <w:p w14:paraId="3D660C27">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洋务学堂的兴办</w:t>
      </w:r>
    </w:p>
    <w:p w14:paraId="56861012">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留学教育</w:t>
      </w:r>
    </w:p>
    <w:p w14:paraId="7195673E">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张之洞的教育思想</w:t>
      </w:r>
    </w:p>
    <w:p w14:paraId="7E1EE84E">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3226FD6B">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（1）了解清</w:t>
      </w:r>
      <w:r>
        <w:rPr>
          <w:rFonts w:hint="eastAsia" w:ascii="Times New Roman" w:hAnsi="Times New Roman" w:eastAsia="宋体" w:cs="Times New Roman"/>
          <w:sz w:val="24"/>
          <w:szCs w:val="24"/>
          <w:lang w:val="en-US" w:eastAsia="zh-CN"/>
        </w:rPr>
        <w:t>末</w:t>
      </w:r>
      <w:r>
        <w:rPr>
          <w:rFonts w:hint="eastAsia" w:ascii="Times New Roman" w:hAnsi="Times New Roman" w:eastAsia="宋体" w:cs="Times New Roman"/>
          <w:sz w:val="24"/>
          <w:szCs w:val="24"/>
        </w:rPr>
        <w:t>的文教政策</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理解洋务运动时期的教育主张；</w:t>
      </w:r>
    </w:p>
    <w:p w14:paraId="08D370C7">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（4）了解</w:t>
      </w:r>
      <w:r>
        <w:rPr>
          <w:rFonts w:hint="eastAsia" w:ascii="Times New Roman" w:hAnsi="Times New Roman" w:eastAsia="宋体" w:cs="Times New Roman"/>
          <w:sz w:val="24"/>
          <w:szCs w:val="24"/>
          <w:lang w:val="en-US" w:eastAsia="zh-CN"/>
        </w:rPr>
        <w:t>留学教育的基本情况</w:t>
      </w:r>
      <w:r>
        <w:rPr>
          <w:rFonts w:hint="eastAsia" w:ascii="Times New Roman" w:hAnsi="Times New Roman" w:eastAsia="宋体" w:cs="Times New Roman"/>
          <w:sz w:val="24"/>
          <w:szCs w:val="24"/>
        </w:rPr>
        <w:t>；</w:t>
      </w:r>
    </w:p>
    <w:p w14:paraId="2FF60436">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掌握张之洞</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教育实践及</w:t>
      </w:r>
      <w:r>
        <w:rPr>
          <w:rFonts w:hint="eastAsia" w:ascii="Times New Roman" w:hAnsi="Times New Roman" w:eastAsia="宋体" w:cs="Times New Roman"/>
          <w:sz w:val="24"/>
          <w:szCs w:val="24"/>
        </w:rPr>
        <w:t>教育思想。</w:t>
      </w:r>
    </w:p>
    <w:p w14:paraId="4B854E78">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课程思政目标</w:t>
      </w:r>
    </w:p>
    <w:p w14:paraId="12D79595">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通过介绍洋务运动、“师夷长技以制夷”，爱国卫国的教育，激发学生的民族精神和爱国精神。</w:t>
      </w:r>
    </w:p>
    <w:p w14:paraId="1324C46E">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lang w:val="en-US" w:eastAsia="zh-CN"/>
        </w:rPr>
        <w:t>张之洞的</w:t>
      </w:r>
      <w:r>
        <w:rPr>
          <w:rFonts w:hint="eastAsia" w:ascii="Times New Roman" w:hAnsi="Times New Roman" w:eastAsia="宋体" w:cs="Times New Roman"/>
          <w:sz w:val="24"/>
          <w:szCs w:val="24"/>
        </w:rPr>
        <w:t>教育主张及实践</w:t>
      </w:r>
    </w:p>
    <w:p w14:paraId="24416926">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中体西用</w:t>
      </w:r>
      <w:r>
        <w:rPr>
          <w:rFonts w:hint="eastAsia" w:ascii="Times New Roman" w:hAnsi="Times New Roman" w:eastAsia="宋体" w:cs="Times New Roman"/>
          <w:sz w:val="24"/>
          <w:szCs w:val="24"/>
          <w:lang w:eastAsia="zh-CN"/>
        </w:rPr>
        <w:t>”</w:t>
      </w:r>
    </w:p>
    <w:p w14:paraId="4349ABD0">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七</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近代教育体系的建立</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5B0AF21D">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7DEB6C1A">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维新派与百日维新中国的教育改革</w:t>
      </w:r>
    </w:p>
    <w:p w14:paraId="72C4C20D">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康梁的教育思想</w:t>
      </w:r>
    </w:p>
    <w:p w14:paraId="24CE4570">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清末的教育改革</w:t>
      </w:r>
    </w:p>
    <w:p w14:paraId="0E5E3CD5">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7B1C357B">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了解清末的教育改革；</w:t>
      </w:r>
    </w:p>
    <w:p w14:paraId="2938B68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理解</w:t>
      </w:r>
      <w:r>
        <w:rPr>
          <w:rFonts w:hint="eastAsia" w:ascii="Times New Roman" w:hAnsi="Times New Roman" w:eastAsia="宋体" w:cs="Times New Roman"/>
          <w:sz w:val="24"/>
          <w:szCs w:val="24"/>
          <w:lang w:val="en-US" w:eastAsia="zh-CN"/>
        </w:rPr>
        <w:t>维新派</w:t>
      </w:r>
      <w:r>
        <w:rPr>
          <w:rFonts w:hint="eastAsia" w:ascii="Times New Roman" w:hAnsi="Times New Roman" w:eastAsia="宋体" w:cs="Times New Roman"/>
          <w:sz w:val="24"/>
          <w:szCs w:val="24"/>
        </w:rPr>
        <w:t>的教育主张；</w:t>
      </w:r>
    </w:p>
    <w:p w14:paraId="0F1CD7D1">
      <w:pPr>
        <w:spacing w:line="360" w:lineRule="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掌握康梁的的教育实践活动</w:t>
      </w:r>
      <w:r>
        <w:rPr>
          <w:rFonts w:hint="eastAsia" w:ascii="Times New Roman" w:hAnsi="Times New Roman" w:eastAsia="宋体" w:cs="Times New Roman"/>
          <w:sz w:val="24"/>
          <w:szCs w:val="24"/>
          <w:lang w:eastAsia="zh-CN"/>
        </w:rPr>
        <w:t>。</w:t>
      </w:r>
    </w:p>
    <w:p w14:paraId="6D3332B5">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课程思政目标</w:t>
      </w:r>
    </w:p>
    <w:p w14:paraId="23D8B61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通过介绍</w:t>
      </w:r>
      <w:r>
        <w:rPr>
          <w:rFonts w:hint="eastAsia" w:ascii="Times New Roman" w:hAnsi="Times New Roman" w:eastAsia="宋体" w:cs="Times New Roman"/>
          <w:sz w:val="24"/>
          <w:szCs w:val="24"/>
          <w:lang w:val="en-US" w:eastAsia="zh-CN"/>
        </w:rPr>
        <w:t>维新派</w:t>
      </w:r>
      <w:r>
        <w:rPr>
          <w:rFonts w:hint="eastAsia" w:ascii="Times New Roman" w:hAnsi="Times New Roman" w:eastAsia="宋体" w:cs="Times New Roman"/>
          <w:sz w:val="24"/>
          <w:szCs w:val="24"/>
        </w:rPr>
        <w:t>的教育</w:t>
      </w:r>
      <w:r>
        <w:rPr>
          <w:rFonts w:hint="eastAsia" w:ascii="Times New Roman" w:hAnsi="Times New Roman" w:eastAsia="宋体" w:cs="Times New Roman"/>
          <w:sz w:val="24"/>
          <w:szCs w:val="24"/>
          <w:lang w:val="en-US" w:eastAsia="zh-CN"/>
        </w:rPr>
        <w:t>救国行动</w:t>
      </w:r>
      <w:r>
        <w:rPr>
          <w:rFonts w:hint="eastAsia" w:ascii="Times New Roman" w:hAnsi="Times New Roman" w:eastAsia="宋体" w:cs="Times New Roman"/>
          <w:sz w:val="24"/>
          <w:szCs w:val="24"/>
        </w:rPr>
        <w:t>，激发学生的民族精神和爱国精神。</w:t>
      </w:r>
    </w:p>
    <w:p w14:paraId="265A1C1A">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lang w:val="en-US" w:eastAsia="zh-CN"/>
        </w:rPr>
        <w:t>康有为梁启超的</w:t>
      </w:r>
      <w:r>
        <w:rPr>
          <w:rFonts w:hint="eastAsia" w:ascii="Times New Roman" w:hAnsi="Times New Roman" w:eastAsia="宋体" w:cs="Times New Roman"/>
          <w:sz w:val="24"/>
          <w:szCs w:val="24"/>
        </w:rPr>
        <w:t>教育主张及实践</w:t>
      </w:r>
    </w:p>
    <w:p w14:paraId="30892A56">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lang w:val="en-US" w:eastAsia="zh-CN"/>
        </w:rPr>
        <w:t>万木草堂、湖南时务学堂</w:t>
      </w:r>
    </w:p>
    <w:p w14:paraId="31A7A9D4">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八</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近代教育体系的变革</w:t>
      </w:r>
      <w:r>
        <w:rPr>
          <w:rFonts w:hint="eastAsia" w:ascii="宋体" w:hAnsi="宋体" w:eastAsia="宋体" w:cs="Times New Roman"/>
          <w:b/>
          <w:bCs/>
          <w:sz w:val="24"/>
          <w:szCs w:val="24"/>
        </w:rPr>
        <w:t>（本模块各知识点的讲授与学习，可以支撑课程目标</w:t>
      </w:r>
      <w:r>
        <w:rPr>
          <w:rFonts w:ascii="宋体" w:hAnsi="宋体" w:eastAsia="宋体" w:cs="Times New Roman"/>
          <w:b/>
          <w:bCs/>
          <w:sz w:val="24"/>
          <w:szCs w:val="24"/>
        </w:rPr>
        <w:t>1</w:t>
      </w:r>
      <w:r>
        <w:rPr>
          <w:rFonts w:hint="eastAsia" w:ascii="宋体" w:hAnsi="宋体" w:eastAsia="宋体" w:cs="Times New Roman"/>
          <w:b/>
          <w:bCs/>
          <w:sz w:val="24"/>
          <w:szCs w:val="24"/>
        </w:rPr>
        <w:t>、课程目标2、课程目标3）</w:t>
      </w:r>
    </w:p>
    <w:p w14:paraId="6210944F">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3A90591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（1）民国教育方针与政策</w:t>
      </w:r>
    </w:p>
    <w:p w14:paraId="290A324D">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（2）民国时期的学制改革</w:t>
      </w:r>
    </w:p>
    <w:p w14:paraId="16123D79">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）蔡元培的教育思想</w:t>
      </w:r>
    </w:p>
    <w:p w14:paraId="71291E71">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0BBBC3F1">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（1）了解民国时期的教育方针、政策和学制改革情况；</w:t>
      </w:r>
    </w:p>
    <w:p w14:paraId="1B75438B">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（2）理解并掌握蔡元培的教育思想及其现实意义。</w:t>
      </w:r>
    </w:p>
    <w:p w14:paraId="23E07F76">
      <w:pPr>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民国时期的学制改革；蔡元培的教育思想</w:t>
      </w:r>
    </w:p>
    <w:p w14:paraId="4009D68E">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蔡元培的教育思想</w:t>
      </w:r>
      <w:r>
        <w:rPr>
          <w:rFonts w:hint="eastAsia" w:ascii="Times New Roman" w:hAnsi="Times New Roman" w:eastAsia="宋体" w:cs="Times New Roman"/>
          <w:sz w:val="24"/>
          <w:szCs w:val="24"/>
          <w:lang w:val="en-US" w:eastAsia="zh-CN"/>
        </w:rPr>
        <w:t>及北大改革</w:t>
      </w:r>
    </w:p>
    <w:p w14:paraId="782C1188">
      <w:pPr>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3. </w:t>
      </w:r>
      <w:r>
        <w:rPr>
          <w:rFonts w:hint="eastAsia" w:ascii="Times New Roman" w:hAnsi="Times New Roman" w:eastAsia="宋体" w:cs="Times New Roman"/>
          <w:b/>
          <w:bCs/>
          <w:sz w:val="24"/>
          <w:szCs w:val="24"/>
        </w:rPr>
        <w:t>课程思政目标</w:t>
      </w:r>
    </w:p>
    <w:p w14:paraId="41FB8C53">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通过学习民国时期的教育政策及学制改革，理解爱国人士为国家教育发展所做出的努力与贡献；</w:t>
      </w:r>
      <w:r>
        <w:rPr>
          <w:rFonts w:hint="eastAsia" w:ascii="Times New Roman" w:hAnsi="Times New Roman" w:eastAsia="宋体" w:cs="Times New Roman"/>
          <w:sz w:val="24"/>
          <w:szCs w:val="24"/>
        </w:rPr>
        <w:t>通过学习蔡元培的教育思想，鼓励学生以教育家为榜样，忠诚人民教育事业，进一步巩固专业思想，具有为了中华民族的复兴，为了培养全面发展的社会主义建设者和接班人投身小学教育事业的职业理想。</w:t>
      </w:r>
    </w:p>
    <w:p w14:paraId="7C6F1444">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九</w:t>
      </w:r>
      <w:r>
        <w:rPr>
          <w:rFonts w:hint="eastAsia" w:ascii="Times New Roman" w:hAnsi="Times New Roman" w:eastAsia="宋体" w:cs="Times New Roman"/>
          <w:b/>
          <w:bCs/>
          <w:sz w:val="24"/>
          <w:szCs w:val="24"/>
        </w:rPr>
        <w:t>）现代教育家的教育理论与实践</w:t>
      </w:r>
      <w:r>
        <w:rPr>
          <w:rFonts w:hint="eastAsia" w:ascii="Times New Roman" w:hAnsi="Times New Roman" w:eastAsia="宋体" w:cs="Times New Roman"/>
          <w:sz w:val="24"/>
          <w:szCs w:val="24"/>
        </w:rPr>
        <w:t>（本模块各知识点的讲授与学习，可以支撑课程目标1、课程目标2、课程目标3）</w:t>
      </w:r>
    </w:p>
    <w:p w14:paraId="078745C2">
      <w:pPr>
        <w:spacing w:line="360" w:lineRule="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2AF580F9">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（1）杨贤江与马克思主义教育理论（自学）</w:t>
      </w:r>
    </w:p>
    <w:p w14:paraId="27F5DD77">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黄炎培的职业教育思想与实践</w:t>
      </w:r>
    </w:p>
    <w:p w14:paraId="3C21D36D">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晏阳初的教育思想（自学）</w:t>
      </w:r>
    </w:p>
    <w:p w14:paraId="1A5F2C40">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梁漱溟的教育思想（自学）</w:t>
      </w:r>
    </w:p>
    <w:p w14:paraId="2ADBF5C0">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陈鹤琴的教育思想</w:t>
      </w:r>
    </w:p>
    <w:p w14:paraId="6206C9CE">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陶行知的教育思想</w:t>
      </w:r>
    </w:p>
    <w:p w14:paraId="53A83E1D">
      <w:pPr>
        <w:spacing w:line="360" w:lineRule="auto"/>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53A09546">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（1）了解</w:t>
      </w:r>
      <w:r>
        <w:rPr>
          <w:rFonts w:hint="eastAsia" w:ascii="Times New Roman" w:hAnsi="Times New Roman" w:eastAsia="宋体" w:cs="Times New Roman"/>
          <w:sz w:val="24"/>
          <w:szCs w:val="24"/>
          <w:lang w:val="en-US" w:eastAsia="zh-CN"/>
        </w:rPr>
        <w:t>杨贤江、晏阳初、梁漱溟的教育思想</w:t>
      </w:r>
      <w:r>
        <w:rPr>
          <w:rFonts w:hint="eastAsia" w:ascii="Times New Roman" w:hAnsi="Times New Roman" w:eastAsia="宋体" w:cs="Times New Roman"/>
          <w:sz w:val="24"/>
          <w:szCs w:val="24"/>
        </w:rPr>
        <w:t>；</w:t>
      </w:r>
    </w:p>
    <w:p w14:paraId="047479B6">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（2）理解并掌握</w:t>
      </w:r>
      <w:r>
        <w:rPr>
          <w:rFonts w:hint="eastAsia" w:ascii="Times New Roman" w:hAnsi="Times New Roman" w:eastAsia="宋体" w:cs="Times New Roman"/>
          <w:sz w:val="24"/>
          <w:szCs w:val="24"/>
          <w:lang w:val="en-US" w:eastAsia="zh-CN"/>
        </w:rPr>
        <w:t>黄炎培、陶行知、陈鹤琴</w:t>
      </w:r>
      <w:r>
        <w:rPr>
          <w:rFonts w:hint="eastAsia" w:ascii="Times New Roman" w:hAnsi="Times New Roman" w:eastAsia="宋体" w:cs="Times New Roman"/>
          <w:sz w:val="24"/>
          <w:szCs w:val="24"/>
        </w:rPr>
        <w:t>的教育思想及其现实意义。</w:t>
      </w:r>
    </w:p>
    <w:p w14:paraId="3E013009">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黄炎培、陈鹤琴、陶行知</w:t>
      </w:r>
      <w:r>
        <w:rPr>
          <w:rFonts w:hint="eastAsia" w:ascii="Times New Roman" w:hAnsi="Times New Roman" w:eastAsia="宋体" w:cs="Times New Roman"/>
          <w:sz w:val="24"/>
          <w:szCs w:val="24"/>
        </w:rPr>
        <w:t>的教育思想</w:t>
      </w:r>
    </w:p>
    <w:p w14:paraId="0BA6DC35">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：黄炎培、陈鹤琴、陶行知</w:t>
      </w:r>
      <w:r>
        <w:rPr>
          <w:rFonts w:hint="eastAsia" w:ascii="Times New Roman" w:hAnsi="Times New Roman" w:eastAsia="宋体" w:cs="Times New Roman"/>
          <w:sz w:val="24"/>
          <w:szCs w:val="24"/>
          <w:lang w:val="en-US" w:eastAsia="zh-CN"/>
        </w:rPr>
        <w:t>的现代价值</w:t>
      </w:r>
    </w:p>
    <w:p w14:paraId="2F3C4899">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 课程思政目标</w:t>
      </w:r>
    </w:p>
    <w:p w14:paraId="50852804">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通过学习</w:t>
      </w:r>
      <w:r>
        <w:rPr>
          <w:rFonts w:hint="eastAsia" w:ascii="Times New Roman" w:hAnsi="Times New Roman" w:eastAsia="宋体" w:cs="Times New Roman"/>
          <w:sz w:val="24"/>
          <w:szCs w:val="24"/>
          <w:lang w:val="en-US" w:eastAsia="zh-CN"/>
        </w:rPr>
        <w:t>黄炎培、陈鹤琴、陶行知</w:t>
      </w:r>
      <w:r>
        <w:rPr>
          <w:rFonts w:hint="eastAsia" w:ascii="Times New Roman" w:hAnsi="Times New Roman" w:eastAsia="宋体" w:cs="Times New Roman"/>
          <w:sz w:val="24"/>
          <w:szCs w:val="24"/>
        </w:rPr>
        <w:t>的教育思想，鼓励学生以教育家为榜样，忠诚人民教育事业，进一步巩固专业思想，具有为了中华民族的复兴，为了培养全面发展的社会主义建设者和接班人投身小学教育事业的职业理想。</w:t>
      </w:r>
    </w:p>
    <w:p w14:paraId="595E7B0F">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教学内容与课程目标的对应关系及学时分配如表所示。</w:t>
      </w:r>
    </w:p>
    <w:tbl>
      <w:tblPr>
        <w:tblStyle w:val="30"/>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634"/>
        <w:gridCol w:w="1500"/>
        <w:gridCol w:w="3110"/>
        <w:gridCol w:w="738"/>
      </w:tblGrid>
      <w:tr w14:paraId="1153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shd w:val="clear" w:color="auto" w:fill="FFFFFF"/>
            <w:vAlign w:val="center"/>
          </w:tcPr>
          <w:p w14:paraId="041455E3">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2634" w:type="dxa"/>
            <w:shd w:val="clear" w:color="auto" w:fill="FFFFFF"/>
            <w:vAlign w:val="center"/>
          </w:tcPr>
          <w:p w14:paraId="376DE98E">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500" w:type="dxa"/>
            <w:shd w:val="clear" w:color="auto" w:fill="FFFFFF"/>
            <w:vAlign w:val="center"/>
          </w:tcPr>
          <w:p w14:paraId="0881AA9D">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p>
          <w:p w14:paraId="3CC6DA71">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w:t>
            </w:r>
          </w:p>
        </w:tc>
        <w:tc>
          <w:tcPr>
            <w:tcW w:w="3110" w:type="dxa"/>
            <w:shd w:val="clear" w:color="auto" w:fill="FFFFFF"/>
            <w:vAlign w:val="center"/>
          </w:tcPr>
          <w:p w14:paraId="66406850">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毕业要求指标点</w:t>
            </w:r>
          </w:p>
        </w:tc>
        <w:tc>
          <w:tcPr>
            <w:tcW w:w="738" w:type="dxa"/>
            <w:shd w:val="clear" w:color="auto" w:fill="FFFFFF"/>
            <w:vAlign w:val="center"/>
          </w:tcPr>
          <w:p w14:paraId="62FDFBB6">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r>
      <w:tr w14:paraId="1E67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1A91F12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634" w:type="dxa"/>
            <w:vAlign w:val="center"/>
          </w:tcPr>
          <w:p w14:paraId="55A33398">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官学制度的建立与“六艺”教育的形成</w:t>
            </w:r>
          </w:p>
        </w:tc>
        <w:tc>
          <w:tcPr>
            <w:tcW w:w="1500" w:type="dxa"/>
            <w:vAlign w:val="center"/>
          </w:tcPr>
          <w:p w14:paraId="127860A2">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775B770C">
            <w:pPr>
              <w:spacing w:line="276" w:lineRule="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2FC00BF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45B2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6283952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634" w:type="dxa"/>
            <w:vAlign w:val="center"/>
          </w:tcPr>
          <w:p w14:paraId="5DBD4278">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私人讲学的兴起与传统教育思想的奠基</w:t>
            </w:r>
          </w:p>
        </w:tc>
        <w:tc>
          <w:tcPr>
            <w:tcW w:w="1500" w:type="dxa"/>
            <w:vAlign w:val="center"/>
          </w:tcPr>
          <w:p w14:paraId="4AC8109D">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1583F73C">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72648FC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14:paraId="1C6F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3F8AAF1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634" w:type="dxa"/>
            <w:vAlign w:val="center"/>
          </w:tcPr>
          <w:p w14:paraId="62B0236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儒学独尊与读经做官教育模式的初步形成</w:t>
            </w:r>
          </w:p>
        </w:tc>
        <w:tc>
          <w:tcPr>
            <w:tcW w:w="1500" w:type="dxa"/>
            <w:vAlign w:val="center"/>
          </w:tcPr>
          <w:p w14:paraId="2A13E872">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168E90C5">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1CFAB34F">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383C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62" w:type="dxa"/>
            <w:vAlign w:val="center"/>
          </w:tcPr>
          <w:p w14:paraId="6FD84BE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634" w:type="dxa"/>
            <w:vAlign w:val="center"/>
          </w:tcPr>
          <w:p w14:paraId="4A7F6A43">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封建国家教育体制的完善</w:t>
            </w:r>
          </w:p>
        </w:tc>
        <w:tc>
          <w:tcPr>
            <w:tcW w:w="1500" w:type="dxa"/>
            <w:vAlign w:val="center"/>
          </w:tcPr>
          <w:p w14:paraId="4A396E10">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26075CD4">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3FEAB88B">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66EF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40B992D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634" w:type="dxa"/>
            <w:vAlign w:val="center"/>
          </w:tcPr>
          <w:p w14:paraId="10AC0FC2">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理学教育思想和学校的改革与发展</w:t>
            </w:r>
          </w:p>
        </w:tc>
        <w:tc>
          <w:tcPr>
            <w:tcW w:w="1500" w:type="dxa"/>
            <w:vAlign w:val="center"/>
          </w:tcPr>
          <w:p w14:paraId="4DFD35E6">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57B76669">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2D9F16EF">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6</w:t>
            </w:r>
          </w:p>
        </w:tc>
      </w:tr>
      <w:tr w14:paraId="5591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0ED5585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634" w:type="dxa"/>
            <w:vAlign w:val="center"/>
          </w:tcPr>
          <w:p w14:paraId="61FDBD5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近代教育的起步</w:t>
            </w:r>
          </w:p>
        </w:tc>
        <w:tc>
          <w:tcPr>
            <w:tcW w:w="1500" w:type="dxa"/>
            <w:vAlign w:val="center"/>
          </w:tcPr>
          <w:p w14:paraId="1154949B">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0489C5BB">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372C82D3">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4B42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6276A6D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2634" w:type="dxa"/>
            <w:vAlign w:val="center"/>
          </w:tcPr>
          <w:p w14:paraId="770D7554">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近代教育体系的建立</w:t>
            </w:r>
          </w:p>
        </w:tc>
        <w:tc>
          <w:tcPr>
            <w:tcW w:w="1500" w:type="dxa"/>
            <w:vAlign w:val="center"/>
          </w:tcPr>
          <w:p w14:paraId="73A9DAC0">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437F1CAB">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72CCE066">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2046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3DA92C0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634" w:type="dxa"/>
            <w:vAlign w:val="center"/>
          </w:tcPr>
          <w:p w14:paraId="062AA1B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近代教育体系的变革</w:t>
            </w:r>
          </w:p>
        </w:tc>
        <w:tc>
          <w:tcPr>
            <w:tcW w:w="1500" w:type="dxa"/>
            <w:vAlign w:val="center"/>
          </w:tcPr>
          <w:p w14:paraId="7C6D7D32">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76AD1AD7">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33502748">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408F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vAlign w:val="center"/>
          </w:tcPr>
          <w:p w14:paraId="491AE7B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2634" w:type="dxa"/>
            <w:vAlign w:val="center"/>
          </w:tcPr>
          <w:p w14:paraId="7717D43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现代教育家的教育理论与实践</w:t>
            </w:r>
          </w:p>
        </w:tc>
        <w:tc>
          <w:tcPr>
            <w:tcW w:w="1500" w:type="dxa"/>
            <w:vAlign w:val="center"/>
          </w:tcPr>
          <w:p w14:paraId="359333FB">
            <w:pPr>
              <w:spacing w:line="276" w:lineRule="auto"/>
              <w:rPr>
                <w:rFonts w:ascii="Times New Roman" w:hAnsi="Times New Roman" w:eastAsia="宋体" w:cs="Times New Roman"/>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w:t>
            </w: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3110" w:type="dxa"/>
            <w:vAlign w:val="center"/>
          </w:tcPr>
          <w:p w14:paraId="31776DC3">
            <w:pPr>
              <w:spacing w:line="276" w:lineRule="auto"/>
              <w:rPr>
                <w:rFonts w:ascii="Times New Roman" w:hAnsi="Times New Roman" w:eastAsia="宋体" w:cs="Times New Roman"/>
                <w:szCs w:val="21"/>
              </w:rPr>
            </w:pPr>
            <w:r>
              <w:rPr>
                <w:rFonts w:hint="eastAsia" w:ascii="Times New Roman" w:hAnsi="Times New Roman" w:eastAsia="宋体" w:cs="Times New Roman"/>
                <w:szCs w:val="21"/>
                <w:lang w:val="en-US" w:eastAsia="zh-CN"/>
              </w:rPr>
              <w:t>1-1、1-2、2</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2-2、4</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t>、7-</w:t>
            </w:r>
            <w:r>
              <w:rPr>
                <w:rFonts w:hint="eastAsia" w:ascii="Times New Roman" w:hAnsi="Times New Roman" w:eastAsia="宋体" w:cs="Times New Roman"/>
                <w:szCs w:val="21"/>
                <w:lang w:val="en-US" w:eastAsia="zh-CN"/>
              </w:rPr>
              <w:t>2</w:t>
            </w:r>
          </w:p>
        </w:tc>
        <w:tc>
          <w:tcPr>
            <w:tcW w:w="738" w:type="dxa"/>
            <w:vAlign w:val="center"/>
          </w:tcPr>
          <w:p w14:paraId="6CA7A400">
            <w:pPr>
              <w:spacing w:line="276" w:lineRule="auto"/>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r>
      <w:tr w14:paraId="03B9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806" w:type="dxa"/>
            <w:gridSpan w:val="4"/>
            <w:vAlign w:val="center"/>
          </w:tcPr>
          <w:p w14:paraId="633F198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738" w:type="dxa"/>
            <w:vAlign w:val="center"/>
          </w:tcPr>
          <w:p w14:paraId="2066A11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32</w:t>
            </w:r>
          </w:p>
        </w:tc>
      </w:tr>
    </w:tbl>
    <w:p w14:paraId="448E76A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四、课程实施</w:t>
      </w:r>
    </w:p>
    <w:p w14:paraId="60F80781">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由于本课程的</w:t>
      </w:r>
      <w:r>
        <w:rPr>
          <w:rFonts w:hint="eastAsia" w:ascii="Times New Roman" w:hAnsi="Times New Roman" w:eastAsia="宋体" w:cs="Times New Roman"/>
          <w:sz w:val="24"/>
          <w:szCs w:val="24"/>
        </w:rPr>
        <w:t>教学内容多，</w:t>
      </w:r>
      <w:r>
        <w:rPr>
          <w:rFonts w:ascii="Times New Roman" w:hAnsi="Times New Roman" w:eastAsia="宋体" w:cs="Times New Roman"/>
          <w:sz w:val="24"/>
          <w:szCs w:val="24"/>
        </w:rPr>
        <w:t>课内学时较少，因此</w:t>
      </w:r>
      <w:r>
        <w:rPr>
          <w:rFonts w:hint="eastAsia" w:ascii="Times New Roman" w:hAnsi="Times New Roman" w:eastAsia="宋体" w:cs="Times New Roman"/>
          <w:sz w:val="24"/>
          <w:szCs w:val="24"/>
        </w:rPr>
        <w:t>一些章节可以让学生自学。</w:t>
      </w:r>
    </w:p>
    <w:p w14:paraId="262CA291">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（二）重视对各种教育史料的搜集、整理，注重课堂教学的研究性。</w:t>
      </w:r>
    </w:p>
    <w:p w14:paraId="541E4FAB">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（三）利用信息技术，采用多种形式呈现教育史实。</w:t>
      </w:r>
    </w:p>
    <w:p w14:paraId="662B045A">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（四）将中国教育史的学习和当前的教育实际联系起来，重视师范生分析问题、解决问题能力的培养。</w:t>
      </w:r>
    </w:p>
    <w:p w14:paraId="2201E54E">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569C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7BC41A7A">
            <w:pPr>
              <w:spacing w:line="276" w:lineRule="auto"/>
              <w:jc w:val="center"/>
              <w:rPr>
                <w:rFonts w:ascii="宋体" w:hAnsi="宋体" w:eastAsia="宋体" w:cs="Times New Roman"/>
                <w:b/>
                <w:color w:val="000000"/>
                <w:szCs w:val="21"/>
              </w:rPr>
            </w:pPr>
            <w:r>
              <w:rPr>
                <w:rFonts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518A4FFF">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12A1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582" w:type="dxa"/>
            <w:tcBorders>
              <w:left w:val="single" w:color="auto" w:sz="8" w:space="0"/>
            </w:tcBorders>
            <w:vAlign w:val="center"/>
          </w:tcPr>
          <w:p w14:paraId="4AE89492">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24165A26">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备课</w:t>
            </w:r>
          </w:p>
        </w:tc>
        <w:tc>
          <w:tcPr>
            <w:tcW w:w="7525" w:type="dxa"/>
            <w:tcBorders>
              <w:right w:val="single" w:color="auto" w:sz="8" w:space="0"/>
            </w:tcBorders>
            <w:vAlign w:val="center"/>
          </w:tcPr>
          <w:p w14:paraId="025D0F69">
            <w:pPr>
              <w:spacing w:line="276" w:lineRule="auto"/>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08E80F2E">
            <w:pPr>
              <w:spacing w:line="276" w:lineRule="auto"/>
              <w:rPr>
                <w:rFonts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w:t>
            </w:r>
          </w:p>
          <w:p w14:paraId="7D2BAC25">
            <w:pPr>
              <w:spacing w:line="276" w:lineRule="auto"/>
              <w:rPr>
                <w:rFonts w:ascii="宋体" w:hAnsi="宋体" w:eastAsia="宋体" w:cs="Times New Roman"/>
                <w:szCs w:val="21"/>
              </w:rPr>
            </w:pPr>
            <w:r>
              <w:rPr>
                <w:rFonts w:hint="eastAsia" w:ascii="宋体" w:hAnsi="宋体" w:eastAsia="宋体" w:cs="Times New Roman"/>
                <w:szCs w:val="21"/>
              </w:rPr>
              <w:t>（3）注重教学过程的主体性，突出学生自主学习环节的安排。</w:t>
            </w:r>
          </w:p>
        </w:tc>
      </w:tr>
      <w:tr w14:paraId="2A2B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7" w:hRule="atLeast"/>
          <w:jc w:val="center"/>
        </w:trPr>
        <w:tc>
          <w:tcPr>
            <w:tcW w:w="582" w:type="dxa"/>
            <w:tcBorders>
              <w:left w:val="single" w:color="auto" w:sz="8" w:space="0"/>
            </w:tcBorders>
            <w:vAlign w:val="center"/>
          </w:tcPr>
          <w:p w14:paraId="68F5FEA3">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0E4E4893">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讲授</w:t>
            </w:r>
          </w:p>
        </w:tc>
        <w:tc>
          <w:tcPr>
            <w:tcW w:w="7525" w:type="dxa"/>
            <w:tcBorders>
              <w:right w:val="single" w:color="auto" w:sz="8" w:space="0"/>
            </w:tcBorders>
            <w:vAlign w:val="center"/>
          </w:tcPr>
          <w:p w14:paraId="3B1BC8FC">
            <w:pPr>
              <w:spacing w:line="276" w:lineRule="auto"/>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1DD7B36C">
            <w:pPr>
              <w:spacing w:line="276"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25B2800D">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课堂教学信息充分，注重理论联系实际；</w:t>
            </w:r>
          </w:p>
          <w:p w14:paraId="1858AF68">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4</w:t>
            </w:r>
            <w:r>
              <w:rPr>
                <w:rFonts w:ascii="宋体" w:hAnsi="宋体" w:eastAsia="宋体" w:cs="Times New Roman"/>
                <w:szCs w:val="21"/>
              </w:rPr>
              <w:t>）</w:t>
            </w:r>
            <w:r>
              <w:rPr>
                <w:rFonts w:hint="eastAsia" w:ascii="宋体" w:hAnsi="宋体" w:eastAsia="宋体" w:cs="Times New Roman"/>
                <w:szCs w:val="24"/>
              </w:rPr>
              <w:t>注重启发学生思维，培养学生的教学能力；</w:t>
            </w:r>
          </w:p>
          <w:p w14:paraId="15DF245E">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5</w:t>
            </w:r>
            <w:r>
              <w:rPr>
                <w:rFonts w:ascii="宋体" w:hAnsi="宋体" w:eastAsia="宋体" w:cs="Times New Roman"/>
                <w:szCs w:val="21"/>
              </w:rPr>
              <w:t>）</w:t>
            </w:r>
            <w:r>
              <w:rPr>
                <w:rFonts w:hint="eastAsia" w:ascii="宋体" w:hAnsi="宋体" w:eastAsia="宋体" w:cs="Times New Roman"/>
                <w:szCs w:val="24"/>
              </w:rPr>
              <w:t>面向全体基础上因材施教，灵活运用多种教学方法；</w:t>
            </w:r>
          </w:p>
          <w:p w14:paraId="733639FA">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6</w:t>
            </w:r>
            <w:r>
              <w:rPr>
                <w:rFonts w:ascii="宋体" w:hAnsi="宋体" w:eastAsia="宋体" w:cs="Times New Roman"/>
                <w:szCs w:val="21"/>
              </w:rPr>
              <w:t>）</w:t>
            </w:r>
            <w:r>
              <w:rPr>
                <w:rFonts w:hint="eastAsia" w:ascii="宋体" w:hAnsi="宋体" w:eastAsia="宋体" w:cs="Times New Roman"/>
                <w:szCs w:val="24"/>
              </w:rPr>
              <w:t>教学语言规范，为学生教育教学做好表率；</w:t>
            </w:r>
          </w:p>
          <w:p w14:paraId="466B7BD4">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7</w:t>
            </w:r>
            <w:r>
              <w:rPr>
                <w:rFonts w:ascii="宋体" w:hAnsi="宋体" w:eastAsia="宋体" w:cs="Times New Roman"/>
                <w:szCs w:val="21"/>
              </w:rPr>
              <w:t>）</w:t>
            </w:r>
            <w:r>
              <w:rPr>
                <w:rFonts w:hint="eastAsia" w:ascii="宋体" w:hAnsi="宋体" w:eastAsia="宋体" w:cs="Times New Roman"/>
                <w:szCs w:val="24"/>
              </w:rPr>
              <w:t>教学条理清楚，教学思路逻辑严密；</w:t>
            </w:r>
          </w:p>
          <w:p w14:paraId="62108282">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8</w:t>
            </w:r>
            <w:r>
              <w:rPr>
                <w:rFonts w:ascii="宋体" w:hAnsi="宋体" w:eastAsia="宋体" w:cs="Times New Roman"/>
                <w:szCs w:val="21"/>
              </w:rPr>
              <w:t>）</w:t>
            </w:r>
            <w:r>
              <w:rPr>
                <w:rFonts w:hint="eastAsia" w:ascii="宋体" w:hAnsi="宋体" w:eastAsia="宋体" w:cs="Times New Roman"/>
                <w:szCs w:val="24"/>
              </w:rPr>
              <w:t>充分运用现代化教学手段，教学技术熟练；</w:t>
            </w:r>
          </w:p>
          <w:p w14:paraId="246A992C">
            <w:pPr>
              <w:spacing w:line="276" w:lineRule="auto"/>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lang w:val="en-US" w:eastAsia="zh-CN"/>
              </w:rPr>
              <w:t>9</w:t>
            </w:r>
            <w:r>
              <w:rPr>
                <w:rFonts w:ascii="宋体" w:hAnsi="宋体" w:eastAsia="宋体" w:cs="Times New Roman"/>
                <w:szCs w:val="21"/>
              </w:rPr>
              <w:t>）</w:t>
            </w:r>
            <w:r>
              <w:rPr>
                <w:rFonts w:hint="eastAsia" w:ascii="宋体" w:hAnsi="宋体" w:eastAsia="宋体" w:cs="Times New Roman"/>
                <w:szCs w:val="24"/>
              </w:rPr>
              <w:t>课堂教学要重点突出，难点突破；</w:t>
            </w:r>
          </w:p>
          <w:p w14:paraId="0DA1585F">
            <w:pPr>
              <w:spacing w:line="276" w:lineRule="auto"/>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lang w:val="en-US" w:eastAsia="zh-CN"/>
              </w:rPr>
              <w:t>0</w:t>
            </w:r>
            <w:r>
              <w:rPr>
                <w:rFonts w:ascii="宋体" w:hAnsi="宋体" w:eastAsia="宋体" w:cs="Times New Roman"/>
                <w:szCs w:val="21"/>
              </w:rPr>
              <w:t>）</w:t>
            </w:r>
            <w:r>
              <w:rPr>
                <w:rFonts w:hint="eastAsia" w:ascii="宋体" w:hAnsi="宋体" w:eastAsia="宋体" w:cs="Times New Roman"/>
                <w:szCs w:val="24"/>
              </w:rPr>
              <w:t>注重师生互动，形成良好的课堂氛围。</w:t>
            </w:r>
          </w:p>
        </w:tc>
      </w:tr>
      <w:tr w14:paraId="4DB5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vAlign w:val="center"/>
          </w:tcPr>
          <w:p w14:paraId="469F2129">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3069810B">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作业布置与批改</w:t>
            </w:r>
          </w:p>
        </w:tc>
        <w:tc>
          <w:tcPr>
            <w:tcW w:w="7525" w:type="dxa"/>
            <w:tcBorders>
              <w:right w:val="single" w:color="auto" w:sz="8" w:space="0"/>
            </w:tcBorders>
            <w:vAlign w:val="center"/>
          </w:tcPr>
          <w:p w14:paraId="4F357309">
            <w:pPr>
              <w:spacing w:line="276" w:lineRule="auto"/>
              <w:rPr>
                <w:rFonts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626A0F66">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6B15847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ascii="宋体" w:hAnsi="宋体" w:eastAsia="宋体" w:cs="Times New Roman"/>
                <w:color w:val="000000"/>
                <w:szCs w:val="21"/>
              </w:rPr>
              <w:t>格式规范、清晰</w:t>
            </w:r>
            <w:r>
              <w:rPr>
                <w:rFonts w:hint="eastAsia" w:ascii="宋体" w:hAnsi="宋体" w:eastAsia="宋体" w:cs="Times New Roman"/>
                <w:color w:val="000000"/>
                <w:szCs w:val="21"/>
              </w:rPr>
              <w:t>。</w:t>
            </w:r>
          </w:p>
          <w:p w14:paraId="375BA8EE">
            <w:pPr>
              <w:spacing w:line="276" w:lineRule="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内容充分，史论结合</w:t>
            </w:r>
          </w:p>
          <w:p w14:paraId="42CB2E62">
            <w:pPr>
              <w:spacing w:line="276" w:lineRule="auto"/>
              <w:rPr>
                <w:rFonts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491673C1">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70B0304D">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w:t>
            </w:r>
            <w:r>
              <w:rPr>
                <w:rFonts w:hint="eastAsia" w:ascii="宋体" w:hAnsi="宋体" w:eastAsia="宋体" w:cs="Times New Roman"/>
                <w:color w:val="000000"/>
                <w:szCs w:val="21"/>
              </w:rPr>
              <w:t>。</w:t>
            </w:r>
          </w:p>
          <w:p w14:paraId="045928AA">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584D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60E0C61B">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163F482C">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课外答疑</w:t>
            </w:r>
          </w:p>
        </w:tc>
        <w:tc>
          <w:tcPr>
            <w:tcW w:w="7525" w:type="dxa"/>
            <w:tcBorders>
              <w:right w:val="single" w:color="auto" w:sz="8" w:space="0"/>
            </w:tcBorders>
            <w:vAlign w:val="center"/>
          </w:tcPr>
          <w:p w14:paraId="685643E3">
            <w:pPr>
              <w:spacing w:line="276" w:lineRule="auto"/>
              <w:rPr>
                <w:rFonts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理解和消化所学知识、改进学习方法和思维方式，培养其独立的教学反思与评价能力，任课教师</w:t>
            </w:r>
            <w:r>
              <w:rPr>
                <w:rFonts w:hint="eastAsia" w:ascii="宋体" w:hAnsi="宋体" w:eastAsia="宋体" w:cs="Times New Roman"/>
                <w:color w:val="000000"/>
                <w:szCs w:val="21"/>
              </w:rPr>
              <w:t>需</w:t>
            </w:r>
            <w:r>
              <w:rPr>
                <w:rFonts w:ascii="宋体" w:hAnsi="宋体" w:eastAsia="宋体" w:cs="Times New Roman"/>
                <w:color w:val="000000"/>
                <w:szCs w:val="21"/>
              </w:rPr>
              <w:t>每周安排</w:t>
            </w:r>
            <w:r>
              <w:rPr>
                <w:rFonts w:hint="eastAsia" w:ascii="宋体" w:hAnsi="宋体" w:eastAsia="宋体" w:cs="Times New Roman"/>
                <w:color w:val="000000"/>
                <w:szCs w:val="21"/>
              </w:rPr>
              <w:t>一定</w:t>
            </w:r>
            <w:r>
              <w:rPr>
                <w:rFonts w:ascii="宋体" w:hAnsi="宋体" w:eastAsia="宋体" w:cs="Times New Roman"/>
                <w:color w:val="000000"/>
                <w:szCs w:val="21"/>
              </w:rPr>
              <w:t>时间进行课外答疑与辅导。</w:t>
            </w:r>
          </w:p>
        </w:tc>
      </w:tr>
      <w:tr w14:paraId="7322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47589A10">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4917DB4E">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成绩考核</w:t>
            </w:r>
          </w:p>
        </w:tc>
        <w:tc>
          <w:tcPr>
            <w:tcW w:w="7525" w:type="dxa"/>
            <w:tcBorders>
              <w:right w:val="single" w:color="auto" w:sz="8" w:space="0"/>
            </w:tcBorders>
            <w:vAlign w:val="center"/>
          </w:tcPr>
          <w:p w14:paraId="7280E20A">
            <w:pPr>
              <w:spacing w:line="276" w:lineRule="auto"/>
              <w:rPr>
                <w:rFonts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。有下列情况之一者，总评成绩为不及格：</w:t>
            </w:r>
          </w:p>
          <w:p w14:paraId="6EC852E1">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缺交作业次数达1/3以上者</w:t>
            </w:r>
            <w:r>
              <w:rPr>
                <w:rFonts w:hint="eastAsia" w:ascii="宋体" w:hAnsi="宋体" w:eastAsia="宋体" w:cs="Times New Roman"/>
                <w:color w:val="000000"/>
                <w:szCs w:val="21"/>
              </w:rPr>
              <w:t>。</w:t>
            </w:r>
          </w:p>
          <w:p w14:paraId="58B8F864">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缺课次数达本学期总授课学时的1/3以上者</w:t>
            </w:r>
            <w:r>
              <w:rPr>
                <w:rFonts w:hint="eastAsia" w:ascii="宋体" w:hAnsi="宋体" w:eastAsia="宋体" w:cs="Times New Roman"/>
                <w:color w:val="000000"/>
                <w:szCs w:val="21"/>
              </w:rPr>
              <w:t>。</w:t>
            </w:r>
          </w:p>
        </w:tc>
      </w:tr>
    </w:tbl>
    <w:p w14:paraId="0D6E1B1D">
      <w:pPr>
        <w:spacing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五、课程考核</w:t>
      </w:r>
    </w:p>
    <w:p w14:paraId="771FEC88">
      <w:pPr>
        <w:spacing w:line="360" w:lineRule="auto"/>
        <w:rPr>
          <w:rFonts w:ascii="Times New Roman" w:hAnsi="Times New Roman" w:eastAsia="宋体" w:cs="Times New Roman"/>
          <w:b/>
          <w:bCs/>
          <w:sz w:val="28"/>
          <w:szCs w:val="28"/>
        </w:rPr>
      </w:pPr>
      <w:r>
        <w:rPr>
          <w:rFonts w:hint="eastAsia" w:ascii="宋体" w:hAnsi="宋体" w:eastAsia="宋体" w:cs="Times New Roman"/>
          <w:sz w:val="24"/>
        </w:rPr>
        <w:t>（一）</w:t>
      </w:r>
      <w:r>
        <w:rPr>
          <w:rFonts w:ascii="宋体" w:hAnsi="宋体" w:eastAsia="宋体" w:cs="Times New Roman"/>
          <w:sz w:val="24"/>
        </w:rPr>
        <w:t>课程考核包括期末考试、平时</w:t>
      </w:r>
      <w:r>
        <w:rPr>
          <w:rFonts w:hint="eastAsia" w:ascii="宋体" w:hAnsi="宋体" w:eastAsia="宋体" w:cs="Times New Roman"/>
          <w:sz w:val="24"/>
          <w:lang w:val="en-US" w:eastAsia="zh-CN"/>
        </w:rPr>
        <w:t>考核</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开卷笔试方式</w:t>
      </w:r>
      <w:r>
        <w:rPr>
          <w:rFonts w:ascii="宋体" w:hAnsi="宋体" w:eastAsia="宋体" w:cs="Times New Roman"/>
          <w:sz w:val="24"/>
        </w:rPr>
        <w:t>。</w:t>
      </w:r>
    </w:p>
    <w:p w14:paraId="0721EF93">
      <w:pPr>
        <w:spacing w:line="360" w:lineRule="auto"/>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成绩=平时成绩×40% +期末考试成绩×</w:t>
      </w:r>
      <w:r>
        <w:rPr>
          <w:rFonts w:hint="eastAsia" w:ascii="宋体" w:hAnsi="宋体" w:eastAsia="宋体" w:cs="Times New Roman"/>
          <w:sz w:val="24"/>
        </w:rPr>
        <w:t>60</w:t>
      </w:r>
      <w:r>
        <w:rPr>
          <w:rFonts w:ascii="宋体" w:hAnsi="宋体" w:eastAsia="宋体" w:cs="Times New Roman"/>
          <w:sz w:val="24"/>
        </w:rPr>
        <w:t>%。</w:t>
      </w:r>
    </w:p>
    <w:p w14:paraId="72192F77">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tbl>
      <w:tblPr>
        <w:tblStyle w:val="30"/>
        <w:tblW w:w="85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084"/>
        <w:gridCol w:w="677"/>
        <w:gridCol w:w="2574"/>
        <w:gridCol w:w="1219"/>
        <w:gridCol w:w="1219"/>
        <w:gridCol w:w="1219"/>
      </w:tblGrid>
      <w:tr w14:paraId="6EECE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96" w:type="dxa"/>
            <w:shd w:val="clear" w:color="auto" w:fill="FFFFFF"/>
            <w:tcMar>
              <w:left w:w="57" w:type="dxa"/>
              <w:right w:w="57" w:type="dxa"/>
            </w:tcMar>
            <w:vAlign w:val="center"/>
          </w:tcPr>
          <w:p w14:paraId="2788D1A6">
            <w:pPr>
              <w:spacing w:line="276" w:lineRule="auto"/>
              <w:jc w:val="center"/>
              <w:rPr>
                <w:rFonts w:ascii="宋体" w:hAnsi="宋体" w:eastAsia="宋体" w:cs="Times New Roman"/>
                <w:b/>
                <w:szCs w:val="24"/>
              </w:rPr>
            </w:pPr>
            <w:r>
              <w:rPr>
                <w:rFonts w:ascii="宋体" w:hAnsi="宋体" w:eastAsia="宋体" w:cs="Times New Roman"/>
                <w:b/>
                <w:szCs w:val="24"/>
              </w:rPr>
              <w:t>成绩组成</w:t>
            </w:r>
          </w:p>
        </w:tc>
        <w:tc>
          <w:tcPr>
            <w:tcW w:w="1084" w:type="dxa"/>
            <w:shd w:val="clear" w:color="auto" w:fill="FFFFFF"/>
            <w:vAlign w:val="center"/>
          </w:tcPr>
          <w:p w14:paraId="04CA3156">
            <w:pPr>
              <w:spacing w:line="276" w:lineRule="auto"/>
              <w:jc w:val="center"/>
              <w:rPr>
                <w:rFonts w:ascii="宋体" w:hAnsi="宋体" w:eastAsia="宋体" w:cs="Times New Roman"/>
                <w:b/>
                <w:szCs w:val="24"/>
              </w:rPr>
            </w:pPr>
            <w:r>
              <w:rPr>
                <w:rFonts w:ascii="宋体" w:hAnsi="宋体" w:eastAsia="宋体" w:cs="Times New Roman"/>
                <w:b/>
                <w:szCs w:val="24"/>
              </w:rPr>
              <w:t>考核/</w:t>
            </w:r>
          </w:p>
          <w:p w14:paraId="35B3C125">
            <w:pPr>
              <w:spacing w:line="276" w:lineRule="auto"/>
              <w:jc w:val="center"/>
              <w:rPr>
                <w:rFonts w:ascii="宋体" w:hAnsi="宋体" w:eastAsia="宋体" w:cs="Times New Roman"/>
                <w:b/>
                <w:szCs w:val="24"/>
              </w:rPr>
            </w:pPr>
            <w:r>
              <w:rPr>
                <w:rFonts w:ascii="宋体" w:hAnsi="宋体" w:eastAsia="宋体" w:cs="Times New Roman"/>
                <w:b/>
                <w:szCs w:val="24"/>
              </w:rPr>
              <w:t>评价环节</w:t>
            </w:r>
          </w:p>
        </w:tc>
        <w:tc>
          <w:tcPr>
            <w:tcW w:w="677" w:type="dxa"/>
            <w:shd w:val="clear" w:color="auto" w:fill="FFFFFF"/>
            <w:vAlign w:val="center"/>
          </w:tcPr>
          <w:p w14:paraId="2A46DD8B">
            <w:pPr>
              <w:spacing w:line="276" w:lineRule="auto"/>
              <w:jc w:val="center"/>
              <w:rPr>
                <w:rFonts w:ascii="宋体" w:hAnsi="宋体" w:eastAsia="宋体" w:cs="Times New Roman"/>
                <w:b/>
                <w:szCs w:val="24"/>
              </w:rPr>
            </w:pPr>
            <w:r>
              <w:rPr>
                <w:rFonts w:hint="eastAsia" w:ascii="宋体" w:hAnsi="宋体" w:eastAsia="宋体" w:cs="Times New Roman"/>
                <w:b/>
                <w:szCs w:val="24"/>
              </w:rPr>
              <w:t>权重</w:t>
            </w:r>
          </w:p>
        </w:tc>
        <w:tc>
          <w:tcPr>
            <w:tcW w:w="2574" w:type="dxa"/>
            <w:shd w:val="clear" w:color="auto" w:fill="FFFFFF"/>
            <w:vAlign w:val="center"/>
          </w:tcPr>
          <w:p w14:paraId="5E005081">
            <w:pPr>
              <w:spacing w:line="276" w:lineRule="auto"/>
              <w:jc w:val="center"/>
              <w:rPr>
                <w:rFonts w:ascii="宋体" w:hAnsi="宋体" w:eastAsia="宋体" w:cs="Times New Roman"/>
                <w:b/>
                <w:szCs w:val="24"/>
              </w:rPr>
            </w:pPr>
            <w:r>
              <w:rPr>
                <w:rFonts w:ascii="宋体" w:hAnsi="宋体" w:eastAsia="宋体" w:cs="Times New Roman"/>
                <w:b/>
                <w:szCs w:val="24"/>
              </w:rPr>
              <w:t>考核/评价细则</w:t>
            </w:r>
          </w:p>
        </w:tc>
        <w:tc>
          <w:tcPr>
            <w:tcW w:w="1219" w:type="dxa"/>
            <w:shd w:val="clear" w:color="auto" w:fill="FFFFFF"/>
            <w:vAlign w:val="center"/>
          </w:tcPr>
          <w:p w14:paraId="1C8B3B7A">
            <w:pPr>
              <w:spacing w:line="276" w:lineRule="auto"/>
              <w:jc w:val="center"/>
              <w:rPr>
                <w:rFonts w:ascii="宋体" w:hAnsi="宋体" w:eastAsia="宋体" w:cs="Times New Roman"/>
                <w:b/>
                <w:szCs w:val="24"/>
              </w:rPr>
            </w:pPr>
            <w:r>
              <w:rPr>
                <w:rFonts w:hint="eastAsia" w:ascii="宋体" w:hAnsi="宋体" w:eastAsia="宋体" w:cs="Times New Roman"/>
                <w:b/>
                <w:szCs w:val="24"/>
              </w:rPr>
              <w:t>课程</w:t>
            </w:r>
          </w:p>
          <w:p w14:paraId="3E91FBBD">
            <w:pPr>
              <w:spacing w:line="276" w:lineRule="auto"/>
              <w:jc w:val="center"/>
              <w:rPr>
                <w:rFonts w:ascii="宋体" w:hAnsi="宋体" w:eastAsia="宋体" w:cs="Times New Roman"/>
                <w:b/>
                <w:szCs w:val="24"/>
              </w:rPr>
            </w:pPr>
            <w:r>
              <w:rPr>
                <w:rFonts w:hint="eastAsia" w:ascii="宋体" w:hAnsi="宋体" w:eastAsia="宋体" w:cs="Times New Roman"/>
                <w:b/>
                <w:szCs w:val="24"/>
              </w:rPr>
              <w:t>目标</w:t>
            </w:r>
          </w:p>
        </w:tc>
        <w:tc>
          <w:tcPr>
            <w:tcW w:w="1219" w:type="dxa"/>
            <w:shd w:val="clear" w:color="auto" w:fill="FFFFFF"/>
            <w:vAlign w:val="center"/>
          </w:tcPr>
          <w:p w14:paraId="5308CEC1">
            <w:pPr>
              <w:spacing w:line="276" w:lineRule="auto"/>
              <w:jc w:val="center"/>
              <w:rPr>
                <w:rFonts w:ascii="宋体" w:hAnsi="宋体" w:eastAsia="宋体" w:cs="Times New Roman"/>
                <w:b/>
                <w:szCs w:val="24"/>
              </w:rPr>
            </w:pPr>
            <w:r>
              <w:rPr>
                <w:rFonts w:hint="eastAsia" w:ascii="宋体" w:hAnsi="宋体" w:eastAsia="宋体" w:cs="Times New Roman"/>
                <w:b/>
                <w:szCs w:val="24"/>
              </w:rPr>
              <w:t>考核</w:t>
            </w:r>
          </w:p>
          <w:p w14:paraId="314E4B8D">
            <w:pPr>
              <w:spacing w:line="276" w:lineRule="auto"/>
              <w:jc w:val="center"/>
              <w:rPr>
                <w:rFonts w:ascii="宋体" w:hAnsi="宋体" w:eastAsia="宋体" w:cs="Times New Roman"/>
                <w:b/>
                <w:szCs w:val="24"/>
              </w:rPr>
            </w:pPr>
            <w:r>
              <w:rPr>
                <w:rFonts w:ascii="宋体" w:hAnsi="宋体" w:eastAsia="宋体" w:cs="Times New Roman"/>
                <w:b/>
                <w:szCs w:val="24"/>
              </w:rPr>
              <w:t>内容</w:t>
            </w:r>
          </w:p>
        </w:tc>
        <w:tc>
          <w:tcPr>
            <w:tcW w:w="1219" w:type="dxa"/>
            <w:shd w:val="clear" w:color="auto" w:fill="FFFFFF"/>
            <w:vAlign w:val="center"/>
          </w:tcPr>
          <w:p w14:paraId="55774B2F">
            <w:pPr>
              <w:spacing w:line="276" w:lineRule="auto"/>
              <w:jc w:val="center"/>
              <w:rPr>
                <w:rFonts w:ascii="宋体" w:hAnsi="宋体" w:eastAsia="宋体" w:cs="Times New Roman"/>
                <w:b/>
                <w:szCs w:val="24"/>
              </w:rPr>
            </w:pPr>
            <w:r>
              <w:rPr>
                <w:rFonts w:ascii="宋体" w:hAnsi="宋体" w:eastAsia="宋体" w:cs="Times New Roman"/>
                <w:b/>
                <w:szCs w:val="24"/>
              </w:rPr>
              <w:t>对应的毕业要求指标点</w:t>
            </w:r>
          </w:p>
        </w:tc>
      </w:tr>
      <w:tr w14:paraId="68B77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596" w:type="dxa"/>
            <w:vMerge w:val="restart"/>
            <w:tcMar>
              <w:left w:w="57" w:type="dxa"/>
              <w:right w:w="57" w:type="dxa"/>
            </w:tcMar>
            <w:vAlign w:val="center"/>
          </w:tcPr>
          <w:p w14:paraId="6978B32A">
            <w:pPr>
              <w:spacing w:line="276" w:lineRule="auto"/>
              <w:jc w:val="center"/>
              <w:rPr>
                <w:rFonts w:ascii="宋体" w:hAnsi="宋体" w:eastAsia="宋体" w:cs="Times New Roman"/>
                <w:szCs w:val="24"/>
              </w:rPr>
            </w:pPr>
            <w:r>
              <w:rPr>
                <w:rFonts w:ascii="宋体" w:hAnsi="宋体" w:eastAsia="宋体" w:cs="Times New Roman"/>
                <w:szCs w:val="24"/>
              </w:rPr>
              <w:t>平时成绩</w:t>
            </w:r>
          </w:p>
        </w:tc>
        <w:tc>
          <w:tcPr>
            <w:tcW w:w="1084" w:type="dxa"/>
            <w:vAlign w:val="center"/>
          </w:tcPr>
          <w:p w14:paraId="1B71BB22">
            <w:pPr>
              <w:spacing w:line="276" w:lineRule="auto"/>
              <w:jc w:val="center"/>
              <w:rPr>
                <w:rFonts w:ascii="宋体" w:hAnsi="宋体" w:eastAsia="宋体" w:cs="Times New Roman"/>
                <w:szCs w:val="24"/>
              </w:rPr>
            </w:pPr>
          </w:p>
          <w:p w14:paraId="58D48DC9">
            <w:pPr>
              <w:spacing w:line="276" w:lineRule="auto"/>
              <w:jc w:val="cente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出勤与</w:t>
            </w:r>
          </w:p>
          <w:p w14:paraId="37DDA500">
            <w:pPr>
              <w:spacing w:line="276" w:lineRule="auto"/>
              <w:jc w:val="center"/>
              <w:rPr>
                <w:rFonts w:ascii="宋体" w:hAnsi="宋体" w:eastAsia="宋体" w:cs="Times New Roman"/>
                <w:szCs w:val="24"/>
              </w:rPr>
            </w:pPr>
            <w:r>
              <w:rPr>
                <w:rFonts w:hint="eastAsia" w:ascii="Times New Roman" w:hAnsi="Times New Roman" w:eastAsia="宋体" w:cs="Times New Roman"/>
                <w:szCs w:val="24"/>
                <w:lang w:val="en-US" w:eastAsia="zh-CN"/>
              </w:rPr>
              <w:t>课堂表现</w:t>
            </w:r>
          </w:p>
        </w:tc>
        <w:tc>
          <w:tcPr>
            <w:tcW w:w="677" w:type="dxa"/>
            <w:vAlign w:val="center"/>
          </w:tcPr>
          <w:p w14:paraId="5E88E9DB">
            <w:pPr>
              <w:spacing w:line="276" w:lineRule="auto"/>
              <w:jc w:val="center"/>
              <w:rPr>
                <w:rFonts w:ascii="宋体" w:hAnsi="宋体" w:eastAsia="宋体" w:cs="Times New Roman"/>
                <w:szCs w:val="24"/>
              </w:rPr>
            </w:pPr>
            <w:r>
              <w:rPr>
                <w:rFonts w:hint="eastAsia" w:ascii="宋体" w:hAnsi="宋体" w:eastAsia="宋体" w:cs="Times New Roman"/>
                <w:szCs w:val="24"/>
                <w:lang w:val="en-US" w:eastAsia="zh-CN"/>
              </w:rPr>
              <w:t>20</w:t>
            </w:r>
            <w:r>
              <w:rPr>
                <w:rFonts w:ascii="宋体" w:hAnsi="宋体" w:eastAsia="宋体" w:cs="Times New Roman"/>
                <w:szCs w:val="24"/>
              </w:rPr>
              <w:t>%</w:t>
            </w:r>
          </w:p>
        </w:tc>
        <w:tc>
          <w:tcPr>
            <w:tcW w:w="2574" w:type="dxa"/>
            <w:vAlign w:val="center"/>
          </w:tcPr>
          <w:p w14:paraId="1022A1CA">
            <w:pPr>
              <w:spacing w:line="276" w:lineRule="auto"/>
              <w:rPr>
                <w:rFonts w:hint="eastAsia" w:ascii="宋体" w:hAnsi="宋体" w:eastAsia="宋体" w:cs="Times New Roman"/>
                <w:szCs w:val="24"/>
                <w:lang w:val="en-US" w:eastAsia="zh-CN"/>
              </w:rPr>
            </w:pPr>
            <w:r>
              <w:rPr>
                <w:rFonts w:hint="eastAsia" w:ascii="宋体" w:hAnsi="宋体" w:eastAsia="宋体" w:cs="Times New Roman"/>
                <w:szCs w:val="24"/>
                <w:lang w:val="en-US" w:eastAsia="zh-CN"/>
              </w:rPr>
              <w:t>出勤：迟到一次扣2分，事假一次扣3分，病假一次扣1分，无故缺席一次扣5分，累计达3次以上（不含3次）取消课程成绩。</w:t>
            </w:r>
          </w:p>
          <w:p w14:paraId="22CAF282">
            <w:pPr>
              <w:spacing w:line="276" w:lineRule="auto"/>
              <w:rPr>
                <w:rFonts w:hint="eastAsia" w:ascii="宋体" w:hAnsi="宋体" w:eastAsia="宋体" w:cs="Times New Roman"/>
                <w:szCs w:val="24"/>
                <w:lang w:val="en-US" w:eastAsia="zh-CN"/>
              </w:rPr>
            </w:pPr>
            <w:r>
              <w:rPr>
                <w:rFonts w:hint="eastAsia" w:ascii="Times New Roman" w:hAnsi="Times New Roman" w:eastAsia="宋体" w:cs="Times New Roman"/>
                <w:szCs w:val="24"/>
              </w:rPr>
              <w:t>课堂表现：教学过程中，提问每位同学，根据回答情况进行评分，同时课堂组织小组讨论，根据每组同学表现给分。</w:t>
            </w:r>
            <w:r>
              <w:rPr>
                <w:rFonts w:hint="eastAsia" w:ascii="Times New Roman" w:hAnsi="Times New Roman" w:eastAsia="宋体" w:cs="Times New Roman"/>
                <w:szCs w:val="24"/>
                <w:lang w:val="en-US" w:eastAsia="zh-CN"/>
              </w:rPr>
              <w:t>学习通课程群</w:t>
            </w:r>
            <w:r>
              <w:rPr>
                <w:rFonts w:hint="eastAsia" w:ascii="Times New Roman" w:hAnsi="Times New Roman" w:eastAsia="宋体" w:cs="Times New Roman"/>
                <w:szCs w:val="24"/>
              </w:rPr>
              <w:t>发布讨论题目，根据个人讨论情况给分。</w:t>
            </w:r>
          </w:p>
        </w:tc>
        <w:tc>
          <w:tcPr>
            <w:tcW w:w="1219" w:type="dxa"/>
            <w:vAlign w:val="center"/>
          </w:tcPr>
          <w:p w14:paraId="75280BF1">
            <w:pPr>
              <w:spacing w:line="276" w:lineRule="auto"/>
              <w:jc w:val="center"/>
              <w:rPr>
                <w:rFonts w:ascii="宋体" w:hAnsi="宋体" w:eastAsia="宋体" w:cs="Times New Roman"/>
                <w:szCs w:val="24"/>
              </w:rPr>
            </w:pPr>
            <w:r>
              <w:rPr>
                <w:rFonts w:hint="eastAsia" w:ascii="宋体" w:hAnsi="宋体" w:eastAsia="宋体" w:cs="Times New Roman"/>
                <w:szCs w:val="24"/>
              </w:rPr>
              <w:t>课程目标1</w:t>
            </w:r>
          </w:p>
          <w:p w14:paraId="78354451">
            <w:pPr>
              <w:spacing w:line="276" w:lineRule="auto"/>
              <w:jc w:val="center"/>
              <w:rPr>
                <w:rFonts w:ascii="宋体" w:hAnsi="宋体" w:eastAsia="宋体" w:cs="Times New Roman"/>
                <w:szCs w:val="24"/>
              </w:rPr>
            </w:pPr>
            <w:r>
              <w:rPr>
                <w:rFonts w:hint="eastAsia" w:ascii="宋体" w:hAnsi="宋体" w:eastAsia="宋体" w:cs="Times New Roman"/>
                <w:szCs w:val="24"/>
              </w:rPr>
              <w:t>课程目标2</w:t>
            </w:r>
          </w:p>
          <w:p w14:paraId="68BD4D01">
            <w:pPr>
              <w:spacing w:line="276" w:lineRule="auto"/>
              <w:jc w:val="center"/>
              <w:rPr>
                <w:rFonts w:ascii="宋体" w:hAnsi="宋体" w:eastAsia="宋体" w:cs="Times New Roman"/>
                <w:szCs w:val="24"/>
              </w:rPr>
            </w:pPr>
            <w:r>
              <w:rPr>
                <w:rFonts w:hint="eastAsia" w:ascii="宋体" w:hAnsi="宋体" w:eastAsia="宋体" w:cs="Times New Roman"/>
                <w:szCs w:val="24"/>
              </w:rPr>
              <w:t>课程目标3</w:t>
            </w:r>
          </w:p>
        </w:tc>
        <w:tc>
          <w:tcPr>
            <w:tcW w:w="1219" w:type="dxa"/>
            <w:vAlign w:val="center"/>
          </w:tcPr>
          <w:p w14:paraId="4440EE23">
            <w:pPr>
              <w:spacing w:line="276" w:lineRule="auto"/>
              <w:rPr>
                <w:rFonts w:hint="default" w:ascii="宋体" w:hAnsi="宋体" w:eastAsia="宋体" w:cs="Times New Roman"/>
                <w:szCs w:val="21"/>
                <w:lang w:val="en-US" w:eastAsia="zh-CN"/>
              </w:rPr>
            </w:pPr>
            <w:r>
              <w:rPr>
                <w:rFonts w:hint="eastAsia" w:ascii="宋体" w:hAnsi="宋体" w:eastAsia="宋体" w:cs="Times New Roman"/>
                <w:szCs w:val="21"/>
              </w:rPr>
              <w:t>学生对教育史知识的掌握、理解</w:t>
            </w:r>
            <w:r>
              <w:rPr>
                <w:rFonts w:hint="eastAsia" w:ascii="宋体" w:hAnsi="宋体" w:eastAsia="宋体" w:cs="Times New Roman"/>
                <w:szCs w:val="21"/>
                <w:lang w:val="en-US" w:eastAsia="zh-CN"/>
              </w:rPr>
              <w:t>以及学生的学习态度、职业理念</w:t>
            </w:r>
          </w:p>
        </w:tc>
        <w:tc>
          <w:tcPr>
            <w:tcW w:w="1219" w:type="dxa"/>
            <w:vAlign w:val="center"/>
          </w:tcPr>
          <w:p w14:paraId="041565FF">
            <w:pPr>
              <w:spacing w:line="276" w:lineRule="auto"/>
              <w:rPr>
                <w:rFonts w:ascii="宋体" w:hAnsi="宋体" w:eastAsia="宋体" w:cs="Times New Roman"/>
                <w:szCs w:val="21"/>
              </w:rPr>
            </w:pPr>
            <w:r>
              <w:rPr>
                <w:rFonts w:hint="eastAsia" w:ascii="宋体" w:hAnsi="宋体" w:eastAsia="宋体" w:cs="Times New Roman"/>
                <w:szCs w:val="21"/>
                <w:lang w:val="en-US" w:eastAsia="zh-CN"/>
              </w:rPr>
              <w:t>1-1、1-2、2-1、2-2、4-2、7-2</w:t>
            </w:r>
          </w:p>
        </w:tc>
      </w:tr>
      <w:tr w14:paraId="6E43A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596" w:type="dxa"/>
            <w:vMerge w:val="continue"/>
            <w:tcMar>
              <w:left w:w="57" w:type="dxa"/>
              <w:right w:w="57" w:type="dxa"/>
            </w:tcMar>
            <w:vAlign w:val="center"/>
          </w:tcPr>
          <w:p w14:paraId="03E02FDB">
            <w:pPr>
              <w:spacing w:line="276" w:lineRule="auto"/>
              <w:jc w:val="center"/>
              <w:rPr>
                <w:rFonts w:ascii="宋体" w:hAnsi="宋体" w:eastAsia="宋体" w:cs="Times New Roman"/>
                <w:szCs w:val="24"/>
              </w:rPr>
            </w:pPr>
          </w:p>
        </w:tc>
        <w:tc>
          <w:tcPr>
            <w:tcW w:w="1084" w:type="dxa"/>
            <w:vAlign w:val="center"/>
          </w:tcPr>
          <w:p w14:paraId="33B4407C">
            <w:pPr>
              <w:jc w:val="center"/>
              <w:rPr>
                <w:rFonts w:hint="default" w:ascii="Times New Roman" w:hAnsi="Times New Roman" w:eastAsia="宋体" w:cs="Times New Roman"/>
                <w:szCs w:val="24"/>
                <w:lang w:val="en-US"/>
              </w:rPr>
            </w:pPr>
            <w:r>
              <w:rPr>
                <w:rFonts w:ascii="宋体" w:hAnsi="宋体" w:eastAsia="宋体" w:cs="Times New Roman"/>
                <w:szCs w:val="24"/>
              </w:rPr>
              <w:t>平时作业</w:t>
            </w:r>
          </w:p>
        </w:tc>
        <w:tc>
          <w:tcPr>
            <w:tcW w:w="677" w:type="dxa"/>
            <w:vAlign w:val="center"/>
          </w:tcPr>
          <w:p w14:paraId="56211C1D">
            <w:pPr>
              <w:jc w:val="center"/>
              <w:rPr>
                <w:rFonts w:ascii="Times New Roman" w:hAnsi="Times New Roman" w:eastAsia="宋体" w:cs="Times New Roman"/>
                <w:szCs w:val="24"/>
              </w:rPr>
            </w:pPr>
            <w:r>
              <w:rPr>
                <w:rFonts w:hint="eastAsia" w:ascii="Times New Roman" w:hAnsi="Times New Roman" w:eastAsia="宋体" w:cs="Times New Roman"/>
                <w:szCs w:val="24"/>
                <w:lang w:val="en-US" w:eastAsia="zh-CN"/>
              </w:rPr>
              <w:t>20</w:t>
            </w:r>
            <w:r>
              <w:rPr>
                <w:rFonts w:ascii="Times New Roman" w:hAnsi="Times New Roman" w:eastAsia="宋体" w:cs="Times New Roman"/>
                <w:szCs w:val="24"/>
              </w:rPr>
              <w:t>%</w:t>
            </w:r>
          </w:p>
        </w:tc>
        <w:tc>
          <w:tcPr>
            <w:tcW w:w="2574" w:type="dxa"/>
            <w:vAlign w:val="center"/>
          </w:tcPr>
          <w:p w14:paraId="52C42298">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由3篇小论文组成，主要考察学生对所学知识的理解和应用。</w:t>
            </w:r>
          </w:p>
        </w:tc>
        <w:tc>
          <w:tcPr>
            <w:tcW w:w="1219" w:type="dxa"/>
            <w:vAlign w:val="center"/>
          </w:tcPr>
          <w:p w14:paraId="3254DD3D">
            <w:pPr>
              <w:spacing w:line="276" w:lineRule="auto"/>
              <w:jc w:val="center"/>
              <w:rPr>
                <w:rFonts w:ascii="宋体" w:hAnsi="宋体" w:eastAsia="宋体" w:cs="Times New Roman"/>
                <w:szCs w:val="24"/>
              </w:rPr>
            </w:pPr>
            <w:r>
              <w:rPr>
                <w:rFonts w:hint="eastAsia" w:ascii="宋体" w:hAnsi="宋体" w:eastAsia="宋体" w:cs="Times New Roman"/>
                <w:szCs w:val="24"/>
              </w:rPr>
              <w:t>课程目标1</w:t>
            </w:r>
          </w:p>
          <w:p w14:paraId="3195A8C6">
            <w:pPr>
              <w:spacing w:line="276" w:lineRule="auto"/>
              <w:jc w:val="center"/>
              <w:rPr>
                <w:rFonts w:ascii="宋体" w:hAnsi="宋体" w:eastAsia="宋体" w:cs="Times New Roman"/>
                <w:szCs w:val="24"/>
              </w:rPr>
            </w:pPr>
            <w:r>
              <w:rPr>
                <w:rFonts w:hint="eastAsia" w:ascii="宋体" w:hAnsi="宋体" w:eastAsia="宋体" w:cs="Times New Roman"/>
                <w:szCs w:val="24"/>
              </w:rPr>
              <w:t>课程目标2</w:t>
            </w:r>
          </w:p>
          <w:p w14:paraId="11780449">
            <w:pPr>
              <w:spacing w:line="276" w:lineRule="auto"/>
              <w:jc w:val="center"/>
              <w:rPr>
                <w:rFonts w:ascii="宋体" w:hAnsi="宋体" w:eastAsia="宋体" w:cs="Times New Roman"/>
                <w:szCs w:val="24"/>
              </w:rPr>
            </w:pPr>
            <w:r>
              <w:rPr>
                <w:rFonts w:hint="eastAsia" w:ascii="宋体" w:hAnsi="宋体" w:eastAsia="宋体" w:cs="Times New Roman"/>
                <w:szCs w:val="24"/>
              </w:rPr>
              <w:t>课程目标3</w:t>
            </w:r>
          </w:p>
        </w:tc>
        <w:tc>
          <w:tcPr>
            <w:tcW w:w="1219" w:type="dxa"/>
            <w:vAlign w:val="center"/>
          </w:tcPr>
          <w:p w14:paraId="76CF601C">
            <w:pPr>
              <w:spacing w:line="276" w:lineRule="auto"/>
              <w:rPr>
                <w:rFonts w:ascii="宋体" w:hAnsi="宋体" w:eastAsia="宋体" w:cs="Times New Roman"/>
                <w:szCs w:val="21"/>
              </w:rPr>
            </w:pPr>
            <w:r>
              <w:rPr>
                <w:rFonts w:hint="eastAsia" w:ascii="宋体" w:hAnsi="宋体" w:eastAsia="宋体" w:cs="Times New Roman"/>
                <w:szCs w:val="21"/>
              </w:rPr>
              <w:t>学生对教育史知识的掌握、理解</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应用以及学生的学习态度、职业理念</w:t>
            </w:r>
          </w:p>
        </w:tc>
        <w:tc>
          <w:tcPr>
            <w:tcW w:w="1219" w:type="dxa"/>
            <w:vAlign w:val="center"/>
          </w:tcPr>
          <w:p w14:paraId="4FB11A72">
            <w:pPr>
              <w:spacing w:line="276" w:lineRule="auto"/>
              <w:rPr>
                <w:rFonts w:ascii="宋体" w:hAnsi="宋体" w:eastAsia="宋体" w:cs="Times New Roman"/>
                <w:szCs w:val="21"/>
              </w:rPr>
            </w:pPr>
            <w:r>
              <w:rPr>
                <w:rFonts w:hint="eastAsia" w:ascii="宋体" w:hAnsi="宋体" w:eastAsia="宋体" w:cs="Times New Roman"/>
                <w:szCs w:val="21"/>
                <w:lang w:val="en-US" w:eastAsia="zh-CN"/>
              </w:rPr>
              <w:t>1-1、1-2、2-1、2-2、4-2、7-2</w:t>
            </w:r>
          </w:p>
        </w:tc>
      </w:tr>
      <w:tr w14:paraId="5544C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596" w:type="dxa"/>
            <w:tcMar>
              <w:left w:w="57" w:type="dxa"/>
              <w:right w:w="57" w:type="dxa"/>
            </w:tcMar>
            <w:vAlign w:val="center"/>
          </w:tcPr>
          <w:p w14:paraId="0B479392">
            <w:pPr>
              <w:spacing w:line="276" w:lineRule="auto"/>
              <w:jc w:val="center"/>
              <w:rPr>
                <w:rFonts w:ascii="宋体" w:hAnsi="宋体" w:eastAsia="宋体" w:cs="Times New Roman"/>
                <w:szCs w:val="24"/>
              </w:rPr>
            </w:pPr>
            <w:r>
              <w:rPr>
                <w:rFonts w:ascii="宋体" w:hAnsi="宋体" w:eastAsia="宋体" w:cs="Times New Roman"/>
                <w:szCs w:val="24"/>
              </w:rPr>
              <w:t>期末考试</w:t>
            </w:r>
          </w:p>
        </w:tc>
        <w:tc>
          <w:tcPr>
            <w:tcW w:w="1084" w:type="dxa"/>
            <w:vAlign w:val="center"/>
          </w:tcPr>
          <w:p w14:paraId="48643C38">
            <w:pPr>
              <w:spacing w:line="276" w:lineRule="auto"/>
              <w:jc w:val="center"/>
              <w:rPr>
                <w:rFonts w:ascii="宋体" w:hAnsi="宋体" w:eastAsia="宋体" w:cs="Times New Roman"/>
                <w:szCs w:val="24"/>
              </w:rPr>
            </w:pPr>
            <w:r>
              <w:rPr>
                <w:rFonts w:ascii="宋体" w:hAnsi="宋体" w:eastAsia="宋体" w:cs="Times New Roman"/>
                <w:szCs w:val="24"/>
              </w:rPr>
              <w:t>期末考试</w:t>
            </w:r>
          </w:p>
          <w:p w14:paraId="28BC7CEB">
            <w:pPr>
              <w:spacing w:line="276" w:lineRule="auto"/>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677" w:type="dxa"/>
            <w:vAlign w:val="center"/>
          </w:tcPr>
          <w:p w14:paraId="6E6BAC0B">
            <w:pPr>
              <w:spacing w:line="276" w:lineRule="auto"/>
              <w:jc w:val="center"/>
              <w:rPr>
                <w:rFonts w:ascii="宋体" w:hAnsi="宋体" w:eastAsia="宋体" w:cs="Times New Roman"/>
                <w:szCs w:val="24"/>
              </w:rPr>
            </w:pPr>
            <w:r>
              <w:rPr>
                <w:rFonts w:hint="eastAsia" w:ascii="宋体" w:hAnsi="宋体" w:eastAsia="宋体" w:cs="Times New Roman"/>
                <w:szCs w:val="24"/>
                <w:lang w:val="en-US" w:eastAsia="zh-CN"/>
              </w:rPr>
              <w:t>6</w:t>
            </w:r>
            <w:r>
              <w:rPr>
                <w:rFonts w:ascii="宋体" w:hAnsi="宋体" w:eastAsia="宋体" w:cs="Times New Roman"/>
                <w:szCs w:val="24"/>
              </w:rPr>
              <w:t>0%</w:t>
            </w:r>
          </w:p>
        </w:tc>
        <w:tc>
          <w:tcPr>
            <w:tcW w:w="2574" w:type="dxa"/>
            <w:vAlign w:val="center"/>
          </w:tcPr>
          <w:p w14:paraId="45B1FC87">
            <w:pPr>
              <w:spacing w:line="276" w:lineRule="auto"/>
              <w:rPr>
                <w:rFonts w:ascii="宋体" w:hAnsi="宋体" w:eastAsia="宋体" w:cs="Times New Roman"/>
                <w:szCs w:val="21"/>
              </w:rPr>
            </w:pPr>
            <w:r>
              <w:rPr>
                <w:rFonts w:hint="eastAsia" w:ascii="宋体" w:hAnsi="宋体" w:eastAsia="宋体" w:cs="Times New Roman"/>
                <w:szCs w:val="21"/>
                <w:lang w:val="en-US" w:eastAsia="zh-CN"/>
              </w:rPr>
              <w:t>开卷考试，题目由单选、名词、简答、论述4种题型组成，主要考查学生对教育基本理论知识的掌握情况以及分析问题、解决问题的能力。以卷面成绩的60%计入课程总成绩。</w:t>
            </w:r>
          </w:p>
        </w:tc>
        <w:tc>
          <w:tcPr>
            <w:tcW w:w="1219" w:type="dxa"/>
            <w:vAlign w:val="center"/>
          </w:tcPr>
          <w:p w14:paraId="50F51CFE">
            <w:pPr>
              <w:spacing w:line="276" w:lineRule="auto"/>
              <w:jc w:val="center"/>
              <w:rPr>
                <w:rFonts w:ascii="宋体" w:hAnsi="宋体" w:eastAsia="宋体" w:cs="Times New Roman"/>
                <w:szCs w:val="21"/>
              </w:rPr>
            </w:pPr>
            <w:r>
              <w:rPr>
                <w:rFonts w:hint="eastAsia" w:ascii="宋体" w:hAnsi="宋体" w:eastAsia="宋体" w:cs="Times New Roman"/>
                <w:szCs w:val="21"/>
              </w:rPr>
              <w:t>课程目标1</w:t>
            </w:r>
          </w:p>
          <w:p w14:paraId="35B4CF7A">
            <w:pPr>
              <w:spacing w:line="276" w:lineRule="auto"/>
              <w:jc w:val="center"/>
              <w:rPr>
                <w:rFonts w:ascii="宋体" w:hAnsi="宋体" w:eastAsia="宋体" w:cs="Times New Roman"/>
                <w:szCs w:val="21"/>
              </w:rPr>
            </w:pPr>
            <w:r>
              <w:rPr>
                <w:rFonts w:hint="eastAsia" w:ascii="宋体" w:hAnsi="宋体" w:eastAsia="宋体" w:cs="Times New Roman"/>
                <w:szCs w:val="21"/>
              </w:rPr>
              <w:t>课程目标2</w:t>
            </w:r>
          </w:p>
          <w:p w14:paraId="182097AE">
            <w:pPr>
              <w:spacing w:line="276" w:lineRule="auto"/>
              <w:jc w:val="center"/>
              <w:rPr>
                <w:rFonts w:ascii="宋体" w:hAnsi="宋体" w:eastAsia="宋体" w:cs="Times New Roman"/>
                <w:szCs w:val="21"/>
              </w:rPr>
            </w:pPr>
            <w:r>
              <w:rPr>
                <w:rFonts w:hint="eastAsia" w:ascii="宋体" w:hAnsi="宋体" w:eastAsia="宋体" w:cs="Times New Roman"/>
                <w:szCs w:val="21"/>
              </w:rPr>
              <w:t>课程目标3</w:t>
            </w:r>
          </w:p>
          <w:p w14:paraId="2FFD35C9">
            <w:pPr>
              <w:spacing w:line="276" w:lineRule="auto"/>
              <w:jc w:val="center"/>
              <w:rPr>
                <w:rFonts w:ascii="宋体" w:hAnsi="宋体" w:eastAsia="宋体" w:cs="Times New Roman"/>
                <w:szCs w:val="21"/>
              </w:rPr>
            </w:pPr>
          </w:p>
        </w:tc>
        <w:tc>
          <w:tcPr>
            <w:tcW w:w="1219" w:type="dxa"/>
            <w:vAlign w:val="center"/>
          </w:tcPr>
          <w:p w14:paraId="28BC834A">
            <w:pPr>
              <w:spacing w:line="276" w:lineRule="auto"/>
              <w:rPr>
                <w:rFonts w:ascii="宋体" w:hAnsi="宋体" w:eastAsia="宋体" w:cs="Times New Roman"/>
                <w:szCs w:val="21"/>
              </w:rPr>
            </w:pPr>
            <w:r>
              <w:rPr>
                <w:rFonts w:hint="eastAsia" w:ascii="宋体" w:hAnsi="宋体" w:eastAsia="宋体" w:cs="Times New Roman"/>
                <w:szCs w:val="21"/>
              </w:rPr>
              <w:t>学生对教育史知识的掌握、理解</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应用以及学生的学习态度、职业理念</w:t>
            </w:r>
          </w:p>
        </w:tc>
        <w:tc>
          <w:tcPr>
            <w:tcW w:w="1219" w:type="dxa"/>
            <w:vAlign w:val="center"/>
          </w:tcPr>
          <w:p w14:paraId="5F479F51">
            <w:pPr>
              <w:spacing w:line="276" w:lineRule="auto"/>
              <w:rPr>
                <w:rFonts w:hint="eastAsia" w:ascii="宋体" w:hAnsi="宋体" w:eastAsia="宋体" w:cs="Times New Roman"/>
                <w:szCs w:val="21"/>
                <w:lang w:eastAsia="zh-CN"/>
              </w:rPr>
            </w:pPr>
            <w:r>
              <w:rPr>
                <w:rFonts w:hint="eastAsia" w:ascii="宋体" w:hAnsi="宋体" w:eastAsia="宋体" w:cs="Times New Roman"/>
                <w:szCs w:val="21"/>
                <w:lang w:val="en-US" w:eastAsia="zh-CN"/>
              </w:rPr>
              <w:t>1-1、1-2、2-1、2-2、4-2、7-2</w:t>
            </w:r>
          </w:p>
        </w:tc>
      </w:tr>
    </w:tbl>
    <w:p w14:paraId="1792EF49">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（三）课程目标及考核方式权重分配表</w:t>
      </w:r>
    </w:p>
    <w:tbl>
      <w:tblPr>
        <w:tblStyle w:val="30"/>
        <w:tblW w:w="842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08"/>
        <w:gridCol w:w="1692"/>
        <w:gridCol w:w="2046"/>
        <w:gridCol w:w="1717"/>
        <w:gridCol w:w="1057"/>
      </w:tblGrid>
      <w:tr w14:paraId="27AE20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3600" w:type="dxa"/>
            <w:gridSpan w:val="2"/>
            <w:shd w:val="clear" w:color="auto" w:fill="auto"/>
            <w:vAlign w:val="center"/>
          </w:tcPr>
          <w:p w14:paraId="7F408863">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4820" w:type="dxa"/>
            <w:gridSpan w:val="3"/>
            <w:shd w:val="clear" w:color="auto" w:fill="auto"/>
            <w:vAlign w:val="center"/>
          </w:tcPr>
          <w:p w14:paraId="764F0BB9">
            <w:pPr>
              <w:widowControl/>
              <w:adjustRightInd w:val="0"/>
              <w:snapToGrid w:val="0"/>
              <w:spacing w:line="276" w:lineRule="auto"/>
              <w:ind w:right="-391" w:rightChars="-186"/>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4F5D4F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1908" w:type="dxa"/>
            <w:shd w:val="clear" w:color="auto" w:fill="auto"/>
            <w:vAlign w:val="center"/>
          </w:tcPr>
          <w:p w14:paraId="3E979807">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692" w:type="dxa"/>
            <w:shd w:val="clear" w:color="auto" w:fill="auto"/>
            <w:vAlign w:val="center"/>
          </w:tcPr>
          <w:p w14:paraId="01D2775C">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046" w:type="dxa"/>
            <w:shd w:val="clear" w:color="auto" w:fill="auto"/>
            <w:vAlign w:val="center"/>
          </w:tcPr>
          <w:p w14:paraId="59ED0971">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717" w:type="dxa"/>
            <w:shd w:val="clear" w:color="auto" w:fill="auto"/>
            <w:vAlign w:val="center"/>
          </w:tcPr>
          <w:p w14:paraId="3FF8055A">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057" w:type="dxa"/>
          </w:tcPr>
          <w:p w14:paraId="004C1627">
            <w:pPr>
              <w:widowControl/>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57A64C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restart"/>
            <w:shd w:val="clear" w:color="auto" w:fill="auto"/>
            <w:vAlign w:val="center"/>
          </w:tcPr>
          <w:p w14:paraId="71535C91">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692" w:type="dxa"/>
            <w:vMerge w:val="restart"/>
            <w:shd w:val="clear" w:color="auto" w:fill="auto"/>
            <w:vAlign w:val="center"/>
          </w:tcPr>
          <w:p w14:paraId="176BF979">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40</w:t>
            </w:r>
            <w:r>
              <w:rPr>
                <w:rFonts w:hint="eastAsia" w:ascii="宋体" w:hAnsi="宋体" w:eastAsia="宋体" w:cs="Times New Roman"/>
                <w:color w:val="000000"/>
                <w:kern w:val="0"/>
                <w:szCs w:val="21"/>
              </w:rPr>
              <w:t>%</w:t>
            </w:r>
          </w:p>
        </w:tc>
        <w:tc>
          <w:tcPr>
            <w:tcW w:w="2046" w:type="dxa"/>
            <w:shd w:val="clear" w:color="auto" w:fill="auto"/>
            <w:vAlign w:val="center"/>
          </w:tcPr>
          <w:p w14:paraId="27D7B48D">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期末</w:t>
            </w:r>
            <w:r>
              <w:rPr>
                <w:rFonts w:hint="eastAsia" w:ascii="宋体" w:hAnsi="宋体" w:eastAsia="宋体" w:cs="Times New Roman"/>
                <w:color w:val="000000"/>
                <w:kern w:val="0"/>
                <w:szCs w:val="21"/>
              </w:rPr>
              <w:t>考试</w:t>
            </w:r>
          </w:p>
        </w:tc>
        <w:tc>
          <w:tcPr>
            <w:tcW w:w="1717" w:type="dxa"/>
            <w:shd w:val="clear" w:color="auto" w:fill="auto"/>
            <w:vAlign w:val="center"/>
          </w:tcPr>
          <w:p w14:paraId="3ED52CA1">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60</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 xml:space="preserve"> </w:t>
            </w:r>
          </w:p>
        </w:tc>
        <w:tc>
          <w:tcPr>
            <w:tcW w:w="1057" w:type="dxa"/>
            <w:vMerge w:val="restart"/>
            <w:vAlign w:val="center"/>
          </w:tcPr>
          <w:p w14:paraId="6DC1B80A">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095F57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6" w:hRule="atLeast"/>
        </w:trPr>
        <w:tc>
          <w:tcPr>
            <w:tcW w:w="1908" w:type="dxa"/>
            <w:vMerge w:val="continue"/>
            <w:shd w:val="clear" w:color="auto" w:fill="auto"/>
            <w:vAlign w:val="center"/>
          </w:tcPr>
          <w:p w14:paraId="1C011124">
            <w:pPr>
              <w:widowControl/>
              <w:adjustRightInd w:val="0"/>
              <w:snapToGrid w:val="0"/>
              <w:spacing w:line="276" w:lineRule="auto"/>
              <w:jc w:val="center"/>
              <w:rPr>
                <w:rFonts w:ascii="宋体" w:hAnsi="宋体" w:eastAsia="宋体" w:cs="Times New Roman"/>
                <w:color w:val="000000"/>
                <w:kern w:val="0"/>
                <w:szCs w:val="21"/>
              </w:rPr>
            </w:pPr>
          </w:p>
        </w:tc>
        <w:tc>
          <w:tcPr>
            <w:tcW w:w="1692" w:type="dxa"/>
            <w:vMerge w:val="continue"/>
            <w:shd w:val="clear" w:color="auto" w:fill="auto"/>
            <w:vAlign w:val="center"/>
          </w:tcPr>
          <w:p w14:paraId="401E79D0">
            <w:pPr>
              <w:widowControl/>
              <w:adjustRightInd w:val="0"/>
              <w:snapToGrid w:val="0"/>
              <w:spacing w:line="276" w:lineRule="auto"/>
              <w:jc w:val="center"/>
              <w:rPr>
                <w:rFonts w:ascii="宋体" w:hAnsi="宋体" w:eastAsia="宋体" w:cs="Times New Roman"/>
                <w:color w:val="000000"/>
                <w:kern w:val="0"/>
                <w:szCs w:val="21"/>
              </w:rPr>
            </w:pPr>
          </w:p>
        </w:tc>
        <w:tc>
          <w:tcPr>
            <w:tcW w:w="2046" w:type="dxa"/>
            <w:shd w:val="clear" w:color="auto" w:fill="auto"/>
            <w:vAlign w:val="center"/>
          </w:tcPr>
          <w:p w14:paraId="0DF9B3AD">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平时作业</w:t>
            </w:r>
          </w:p>
        </w:tc>
        <w:tc>
          <w:tcPr>
            <w:tcW w:w="1717" w:type="dxa"/>
            <w:shd w:val="clear" w:color="auto" w:fill="auto"/>
            <w:vAlign w:val="center"/>
          </w:tcPr>
          <w:p w14:paraId="793AA4EF">
            <w:pPr>
              <w:widowControl/>
              <w:adjustRightInd w:val="0"/>
              <w:snapToGrid w:val="0"/>
              <w:spacing w:line="276" w:lineRule="auto"/>
              <w:jc w:val="center"/>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20%</w:t>
            </w:r>
          </w:p>
        </w:tc>
        <w:tc>
          <w:tcPr>
            <w:tcW w:w="1057" w:type="dxa"/>
            <w:vMerge w:val="continue"/>
            <w:vAlign w:val="center"/>
          </w:tcPr>
          <w:p w14:paraId="0E29F8B3">
            <w:pPr>
              <w:widowControl/>
              <w:adjustRightInd w:val="0"/>
              <w:snapToGrid w:val="0"/>
              <w:spacing w:line="276" w:lineRule="auto"/>
              <w:jc w:val="center"/>
              <w:rPr>
                <w:rFonts w:ascii="宋体" w:hAnsi="宋体" w:eastAsia="宋体" w:cs="Times New Roman"/>
                <w:color w:val="000000"/>
                <w:kern w:val="0"/>
                <w:szCs w:val="21"/>
              </w:rPr>
            </w:pPr>
          </w:p>
        </w:tc>
      </w:tr>
      <w:tr w14:paraId="598E07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continue"/>
            <w:shd w:val="clear" w:color="auto" w:fill="auto"/>
            <w:vAlign w:val="center"/>
          </w:tcPr>
          <w:p w14:paraId="63371067">
            <w:pPr>
              <w:widowControl/>
              <w:adjustRightInd w:val="0"/>
              <w:snapToGrid w:val="0"/>
              <w:spacing w:line="276" w:lineRule="auto"/>
              <w:jc w:val="center"/>
              <w:rPr>
                <w:rFonts w:ascii="宋体" w:hAnsi="宋体" w:eastAsia="宋体" w:cs="Times New Roman"/>
                <w:color w:val="000000"/>
                <w:kern w:val="0"/>
                <w:szCs w:val="21"/>
              </w:rPr>
            </w:pPr>
          </w:p>
        </w:tc>
        <w:tc>
          <w:tcPr>
            <w:tcW w:w="1692" w:type="dxa"/>
            <w:vMerge w:val="continue"/>
            <w:shd w:val="clear" w:color="auto" w:fill="auto"/>
            <w:vAlign w:val="center"/>
          </w:tcPr>
          <w:p w14:paraId="5BB4D687">
            <w:pPr>
              <w:widowControl/>
              <w:adjustRightInd w:val="0"/>
              <w:snapToGrid w:val="0"/>
              <w:spacing w:line="276" w:lineRule="auto"/>
              <w:jc w:val="center"/>
              <w:rPr>
                <w:rFonts w:ascii="宋体" w:hAnsi="宋体" w:eastAsia="宋体" w:cs="Times New Roman"/>
                <w:color w:val="000000"/>
                <w:kern w:val="0"/>
                <w:szCs w:val="21"/>
              </w:rPr>
            </w:pPr>
          </w:p>
        </w:tc>
        <w:tc>
          <w:tcPr>
            <w:tcW w:w="2046" w:type="dxa"/>
            <w:shd w:val="clear" w:color="auto" w:fill="auto"/>
            <w:vAlign w:val="center"/>
          </w:tcPr>
          <w:p w14:paraId="4353F4B3">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平时测验</w:t>
            </w:r>
          </w:p>
        </w:tc>
        <w:tc>
          <w:tcPr>
            <w:tcW w:w="1717" w:type="dxa"/>
            <w:shd w:val="clear" w:color="auto" w:fill="auto"/>
            <w:vAlign w:val="center"/>
          </w:tcPr>
          <w:p w14:paraId="545788E3">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20</w:t>
            </w:r>
            <w:r>
              <w:rPr>
                <w:rFonts w:ascii="宋体" w:hAnsi="宋体" w:eastAsia="宋体" w:cs="Times New Roman"/>
                <w:color w:val="000000"/>
                <w:kern w:val="0"/>
                <w:szCs w:val="21"/>
              </w:rPr>
              <w:t>%</w:t>
            </w:r>
          </w:p>
        </w:tc>
        <w:tc>
          <w:tcPr>
            <w:tcW w:w="1057" w:type="dxa"/>
            <w:vMerge w:val="continue"/>
            <w:vAlign w:val="center"/>
          </w:tcPr>
          <w:p w14:paraId="48FBAAF4">
            <w:pPr>
              <w:widowControl/>
              <w:adjustRightInd w:val="0"/>
              <w:snapToGrid w:val="0"/>
              <w:spacing w:line="276" w:lineRule="auto"/>
              <w:jc w:val="center"/>
              <w:rPr>
                <w:rFonts w:ascii="宋体" w:hAnsi="宋体" w:eastAsia="宋体" w:cs="Times New Roman"/>
                <w:color w:val="000000"/>
                <w:kern w:val="0"/>
                <w:szCs w:val="21"/>
              </w:rPr>
            </w:pPr>
          </w:p>
        </w:tc>
      </w:tr>
      <w:tr w14:paraId="20F99B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restart"/>
            <w:shd w:val="clear" w:color="auto" w:fill="auto"/>
            <w:vAlign w:val="center"/>
          </w:tcPr>
          <w:p w14:paraId="4F2B2BDC">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692" w:type="dxa"/>
            <w:vMerge w:val="restart"/>
            <w:shd w:val="clear" w:color="auto" w:fill="auto"/>
            <w:vAlign w:val="center"/>
          </w:tcPr>
          <w:p w14:paraId="1CB62E0C">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20</w:t>
            </w:r>
            <w:r>
              <w:rPr>
                <w:rFonts w:hint="eastAsia" w:ascii="宋体" w:hAnsi="宋体" w:eastAsia="宋体" w:cs="Times New Roman"/>
                <w:color w:val="000000"/>
                <w:kern w:val="0"/>
                <w:szCs w:val="21"/>
              </w:rPr>
              <w:t>%</w:t>
            </w:r>
          </w:p>
        </w:tc>
        <w:tc>
          <w:tcPr>
            <w:tcW w:w="2046" w:type="dxa"/>
            <w:shd w:val="clear" w:color="auto" w:fill="auto"/>
            <w:vAlign w:val="center"/>
          </w:tcPr>
          <w:p w14:paraId="033AB115">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期末</w:t>
            </w:r>
            <w:r>
              <w:rPr>
                <w:rFonts w:hint="eastAsia" w:ascii="宋体" w:hAnsi="宋体" w:eastAsia="宋体" w:cs="Times New Roman"/>
                <w:color w:val="000000"/>
                <w:kern w:val="0"/>
                <w:szCs w:val="21"/>
              </w:rPr>
              <w:t>考试</w:t>
            </w:r>
          </w:p>
        </w:tc>
        <w:tc>
          <w:tcPr>
            <w:tcW w:w="1717" w:type="dxa"/>
            <w:shd w:val="clear" w:color="auto" w:fill="auto"/>
            <w:vAlign w:val="center"/>
          </w:tcPr>
          <w:p w14:paraId="5A010428">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6</w:t>
            </w:r>
            <w:r>
              <w:rPr>
                <w:rFonts w:hint="eastAsia" w:ascii="宋体" w:hAnsi="宋体" w:eastAsia="宋体" w:cs="Times New Roman"/>
                <w:color w:val="000000"/>
                <w:kern w:val="0"/>
                <w:szCs w:val="21"/>
              </w:rPr>
              <w:t>0%</w:t>
            </w:r>
            <w:r>
              <w:rPr>
                <w:rFonts w:ascii="宋体" w:hAnsi="宋体" w:eastAsia="宋体" w:cs="Times New Roman"/>
                <w:color w:val="000000"/>
                <w:kern w:val="0"/>
                <w:szCs w:val="21"/>
              </w:rPr>
              <w:t xml:space="preserve"> </w:t>
            </w:r>
          </w:p>
        </w:tc>
        <w:tc>
          <w:tcPr>
            <w:tcW w:w="1057" w:type="dxa"/>
            <w:vMerge w:val="restart"/>
            <w:vAlign w:val="center"/>
          </w:tcPr>
          <w:p w14:paraId="4F4F8DED">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3267BF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1908" w:type="dxa"/>
            <w:vMerge w:val="continue"/>
            <w:shd w:val="clear" w:color="auto" w:fill="auto"/>
            <w:vAlign w:val="center"/>
          </w:tcPr>
          <w:p w14:paraId="2CA33FF5">
            <w:pPr>
              <w:widowControl/>
              <w:adjustRightInd w:val="0"/>
              <w:snapToGrid w:val="0"/>
              <w:spacing w:line="276" w:lineRule="auto"/>
              <w:jc w:val="left"/>
              <w:rPr>
                <w:rFonts w:ascii="宋体" w:hAnsi="宋体" w:eastAsia="宋体" w:cs="Times New Roman"/>
                <w:color w:val="000000"/>
                <w:kern w:val="0"/>
                <w:szCs w:val="21"/>
              </w:rPr>
            </w:pPr>
          </w:p>
        </w:tc>
        <w:tc>
          <w:tcPr>
            <w:tcW w:w="1692" w:type="dxa"/>
            <w:vMerge w:val="continue"/>
            <w:shd w:val="clear" w:color="auto" w:fill="auto"/>
            <w:vAlign w:val="center"/>
          </w:tcPr>
          <w:p w14:paraId="4BEA0B00">
            <w:pPr>
              <w:widowControl/>
              <w:adjustRightInd w:val="0"/>
              <w:snapToGrid w:val="0"/>
              <w:spacing w:line="276" w:lineRule="auto"/>
              <w:jc w:val="left"/>
              <w:rPr>
                <w:rFonts w:ascii="宋体" w:hAnsi="宋体" w:eastAsia="宋体" w:cs="Times New Roman"/>
                <w:color w:val="000000"/>
                <w:kern w:val="0"/>
                <w:szCs w:val="21"/>
              </w:rPr>
            </w:pPr>
          </w:p>
        </w:tc>
        <w:tc>
          <w:tcPr>
            <w:tcW w:w="2046" w:type="dxa"/>
            <w:shd w:val="clear" w:color="auto" w:fill="auto"/>
            <w:vAlign w:val="center"/>
          </w:tcPr>
          <w:p w14:paraId="4A454FBA">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平时作业</w:t>
            </w:r>
          </w:p>
        </w:tc>
        <w:tc>
          <w:tcPr>
            <w:tcW w:w="1717" w:type="dxa"/>
            <w:shd w:val="clear" w:color="auto" w:fill="auto"/>
            <w:vAlign w:val="center"/>
          </w:tcPr>
          <w:p w14:paraId="0DE953C0">
            <w:pPr>
              <w:widowControl/>
              <w:adjustRightInd w:val="0"/>
              <w:snapToGrid w:val="0"/>
              <w:spacing w:line="276" w:lineRule="auto"/>
              <w:jc w:val="center"/>
              <w:rPr>
                <w:rFonts w:hint="default" w:ascii="宋体" w:hAnsi="宋体" w:eastAsia="宋体" w:cs="Times New Roman"/>
                <w:color w:val="000000"/>
                <w:kern w:val="0"/>
                <w:szCs w:val="21"/>
                <w:lang w:val="en-US"/>
              </w:rPr>
            </w:pPr>
            <w:r>
              <w:rPr>
                <w:rFonts w:hint="eastAsia" w:ascii="宋体" w:hAnsi="宋体" w:eastAsia="宋体" w:cs="Times New Roman"/>
                <w:color w:val="000000"/>
                <w:kern w:val="0"/>
                <w:szCs w:val="21"/>
                <w:lang w:val="en-US" w:eastAsia="zh-CN"/>
              </w:rPr>
              <w:t>20%</w:t>
            </w:r>
          </w:p>
        </w:tc>
        <w:tc>
          <w:tcPr>
            <w:tcW w:w="1057" w:type="dxa"/>
            <w:vMerge w:val="continue"/>
            <w:vAlign w:val="center"/>
          </w:tcPr>
          <w:p w14:paraId="3EF99D8D">
            <w:pPr>
              <w:widowControl/>
              <w:adjustRightInd w:val="0"/>
              <w:snapToGrid w:val="0"/>
              <w:spacing w:line="276" w:lineRule="auto"/>
              <w:jc w:val="center"/>
              <w:rPr>
                <w:rFonts w:ascii="宋体" w:hAnsi="宋体" w:eastAsia="宋体" w:cs="Times New Roman"/>
                <w:color w:val="000000"/>
                <w:kern w:val="0"/>
                <w:szCs w:val="21"/>
              </w:rPr>
            </w:pPr>
          </w:p>
        </w:tc>
      </w:tr>
      <w:tr w14:paraId="379F33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continue"/>
            <w:shd w:val="clear" w:color="auto" w:fill="auto"/>
            <w:vAlign w:val="center"/>
          </w:tcPr>
          <w:p w14:paraId="350E7788">
            <w:pPr>
              <w:widowControl/>
              <w:adjustRightInd w:val="0"/>
              <w:snapToGrid w:val="0"/>
              <w:spacing w:line="276" w:lineRule="auto"/>
              <w:jc w:val="left"/>
              <w:rPr>
                <w:rFonts w:ascii="宋体" w:hAnsi="宋体" w:eastAsia="宋体" w:cs="Times New Roman"/>
                <w:color w:val="000000"/>
                <w:kern w:val="0"/>
                <w:szCs w:val="21"/>
              </w:rPr>
            </w:pPr>
          </w:p>
        </w:tc>
        <w:tc>
          <w:tcPr>
            <w:tcW w:w="1692" w:type="dxa"/>
            <w:vMerge w:val="continue"/>
            <w:shd w:val="clear" w:color="auto" w:fill="auto"/>
            <w:vAlign w:val="center"/>
          </w:tcPr>
          <w:p w14:paraId="419892F4">
            <w:pPr>
              <w:widowControl/>
              <w:adjustRightInd w:val="0"/>
              <w:snapToGrid w:val="0"/>
              <w:spacing w:line="276" w:lineRule="auto"/>
              <w:jc w:val="left"/>
              <w:rPr>
                <w:rFonts w:ascii="宋体" w:hAnsi="宋体" w:eastAsia="宋体" w:cs="Times New Roman"/>
                <w:color w:val="000000"/>
                <w:kern w:val="0"/>
                <w:szCs w:val="21"/>
              </w:rPr>
            </w:pPr>
          </w:p>
        </w:tc>
        <w:tc>
          <w:tcPr>
            <w:tcW w:w="2046" w:type="dxa"/>
            <w:shd w:val="clear" w:color="auto" w:fill="auto"/>
            <w:vAlign w:val="center"/>
          </w:tcPr>
          <w:p w14:paraId="04838A9A">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平时测验</w:t>
            </w:r>
          </w:p>
        </w:tc>
        <w:tc>
          <w:tcPr>
            <w:tcW w:w="1717" w:type="dxa"/>
            <w:shd w:val="clear" w:color="auto" w:fill="auto"/>
            <w:vAlign w:val="center"/>
          </w:tcPr>
          <w:p w14:paraId="3E5BB265">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20</w:t>
            </w:r>
            <w:r>
              <w:rPr>
                <w:rFonts w:ascii="宋体" w:hAnsi="宋体" w:eastAsia="宋体" w:cs="Times New Roman"/>
                <w:color w:val="000000"/>
                <w:kern w:val="0"/>
                <w:szCs w:val="21"/>
              </w:rPr>
              <w:t>%</w:t>
            </w:r>
          </w:p>
        </w:tc>
        <w:tc>
          <w:tcPr>
            <w:tcW w:w="1057" w:type="dxa"/>
            <w:vMerge w:val="continue"/>
            <w:vAlign w:val="center"/>
          </w:tcPr>
          <w:p w14:paraId="700FBEF3">
            <w:pPr>
              <w:widowControl/>
              <w:adjustRightInd w:val="0"/>
              <w:snapToGrid w:val="0"/>
              <w:spacing w:line="276" w:lineRule="auto"/>
              <w:jc w:val="center"/>
              <w:rPr>
                <w:rFonts w:ascii="宋体" w:hAnsi="宋体" w:eastAsia="宋体" w:cs="Times New Roman"/>
                <w:color w:val="000000"/>
                <w:kern w:val="0"/>
                <w:szCs w:val="21"/>
              </w:rPr>
            </w:pPr>
          </w:p>
        </w:tc>
      </w:tr>
      <w:tr w14:paraId="561E35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restart"/>
            <w:shd w:val="clear" w:color="auto" w:fill="auto"/>
            <w:vAlign w:val="center"/>
          </w:tcPr>
          <w:p w14:paraId="227DDC0A">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692" w:type="dxa"/>
            <w:vMerge w:val="restart"/>
            <w:shd w:val="clear" w:color="auto" w:fill="auto"/>
            <w:vAlign w:val="center"/>
          </w:tcPr>
          <w:p w14:paraId="29FABF1D">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40</w:t>
            </w:r>
            <w:r>
              <w:rPr>
                <w:rFonts w:hint="eastAsia" w:ascii="宋体" w:hAnsi="宋体" w:eastAsia="宋体" w:cs="Times New Roman"/>
                <w:color w:val="000000"/>
                <w:kern w:val="0"/>
                <w:szCs w:val="21"/>
              </w:rPr>
              <w:t>%</w:t>
            </w:r>
          </w:p>
        </w:tc>
        <w:tc>
          <w:tcPr>
            <w:tcW w:w="2046" w:type="dxa"/>
            <w:shd w:val="clear" w:color="auto" w:fill="auto"/>
            <w:vAlign w:val="center"/>
          </w:tcPr>
          <w:p w14:paraId="5D67FC52">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期末</w:t>
            </w:r>
            <w:r>
              <w:rPr>
                <w:rFonts w:hint="eastAsia" w:ascii="宋体" w:hAnsi="宋体" w:eastAsia="宋体" w:cs="Times New Roman"/>
                <w:color w:val="000000"/>
                <w:kern w:val="0"/>
                <w:szCs w:val="21"/>
              </w:rPr>
              <w:t>考试</w:t>
            </w:r>
          </w:p>
        </w:tc>
        <w:tc>
          <w:tcPr>
            <w:tcW w:w="1717" w:type="dxa"/>
            <w:shd w:val="clear" w:color="auto" w:fill="auto"/>
            <w:vAlign w:val="center"/>
          </w:tcPr>
          <w:p w14:paraId="228A467A">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6</w:t>
            </w:r>
            <w:r>
              <w:rPr>
                <w:rFonts w:hint="eastAsia" w:ascii="宋体" w:hAnsi="宋体" w:eastAsia="宋体" w:cs="Times New Roman"/>
                <w:color w:val="000000"/>
                <w:kern w:val="0"/>
                <w:szCs w:val="21"/>
              </w:rPr>
              <w:t>0%</w:t>
            </w:r>
            <w:r>
              <w:rPr>
                <w:rFonts w:ascii="宋体" w:hAnsi="宋体" w:eastAsia="宋体" w:cs="Times New Roman"/>
                <w:color w:val="000000"/>
                <w:kern w:val="0"/>
                <w:szCs w:val="21"/>
              </w:rPr>
              <w:t xml:space="preserve"> </w:t>
            </w:r>
          </w:p>
        </w:tc>
        <w:tc>
          <w:tcPr>
            <w:tcW w:w="1057" w:type="dxa"/>
            <w:vMerge w:val="restart"/>
            <w:vAlign w:val="center"/>
          </w:tcPr>
          <w:p w14:paraId="0D6E2306">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30FF54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908" w:type="dxa"/>
            <w:vMerge w:val="continue"/>
            <w:shd w:val="clear" w:color="auto" w:fill="auto"/>
            <w:vAlign w:val="center"/>
          </w:tcPr>
          <w:p w14:paraId="4C823570">
            <w:pPr>
              <w:widowControl/>
              <w:adjustRightInd w:val="0"/>
              <w:snapToGrid w:val="0"/>
              <w:spacing w:line="276" w:lineRule="auto"/>
              <w:jc w:val="left"/>
              <w:rPr>
                <w:rFonts w:ascii="宋体" w:hAnsi="宋体" w:eastAsia="宋体" w:cs="Times New Roman"/>
                <w:color w:val="000000"/>
                <w:kern w:val="0"/>
                <w:szCs w:val="21"/>
              </w:rPr>
            </w:pPr>
          </w:p>
        </w:tc>
        <w:tc>
          <w:tcPr>
            <w:tcW w:w="1692" w:type="dxa"/>
            <w:vMerge w:val="continue"/>
            <w:shd w:val="clear" w:color="auto" w:fill="auto"/>
            <w:vAlign w:val="center"/>
          </w:tcPr>
          <w:p w14:paraId="5EC81575">
            <w:pPr>
              <w:widowControl/>
              <w:adjustRightInd w:val="0"/>
              <w:snapToGrid w:val="0"/>
              <w:spacing w:line="276" w:lineRule="auto"/>
              <w:jc w:val="left"/>
              <w:rPr>
                <w:rFonts w:ascii="宋体" w:hAnsi="宋体" w:eastAsia="宋体" w:cs="Times New Roman"/>
                <w:color w:val="000000"/>
                <w:kern w:val="0"/>
                <w:szCs w:val="21"/>
              </w:rPr>
            </w:pPr>
          </w:p>
        </w:tc>
        <w:tc>
          <w:tcPr>
            <w:tcW w:w="2046" w:type="dxa"/>
            <w:shd w:val="clear" w:color="auto" w:fill="auto"/>
            <w:vAlign w:val="center"/>
          </w:tcPr>
          <w:p w14:paraId="3AAF07CC">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平时作业</w:t>
            </w:r>
          </w:p>
        </w:tc>
        <w:tc>
          <w:tcPr>
            <w:tcW w:w="1717" w:type="dxa"/>
            <w:shd w:val="clear" w:color="auto" w:fill="auto"/>
            <w:vAlign w:val="center"/>
          </w:tcPr>
          <w:p w14:paraId="48B79EDE">
            <w:pPr>
              <w:widowControl/>
              <w:adjustRightInd w:val="0"/>
              <w:snapToGrid w:val="0"/>
              <w:spacing w:line="276" w:lineRule="auto"/>
              <w:jc w:val="center"/>
              <w:rPr>
                <w:rFonts w:hint="default" w:ascii="宋体" w:hAnsi="宋体" w:eastAsia="宋体" w:cs="Times New Roman"/>
                <w:color w:val="000000"/>
                <w:kern w:val="0"/>
                <w:szCs w:val="21"/>
                <w:lang w:val="en-US" w:eastAsia="zh-CN"/>
              </w:rPr>
            </w:pPr>
            <w:r>
              <w:rPr>
                <w:rFonts w:hint="eastAsia" w:ascii="宋体" w:hAnsi="宋体" w:eastAsia="宋体" w:cs="Times New Roman"/>
                <w:color w:val="000000"/>
                <w:kern w:val="0"/>
                <w:szCs w:val="21"/>
                <w:lang w:val="en-US" w:eastAsia="zh-CN"/>
              </w:rPr>
              <w:t>20%</w:t>
            </w:r>
          </w:p>
        </w:tc>
        <w:tc>
          <w:tcPr>
            <w:tcW w:w="1057" w:type="dxa"/>
            <w:vMerge w:val="continue"/>
            <w:vAlign w:val="center"/>
          </w:tcPr>
          <w:p w14:paraId="5A728D59">
            <w:pPr>
              <w:widowControl/>
              <w:adjustRightInd w:val="0"/>
              <w:snapToGrid w:val="0"/>
              <w:spacing w:line="276" w:lineRule="auto"/>
              <w:jc w:val="center"/>
              <w:rPr>
                <w:rFonts w:ascii="宋体" w:hAnsi="宋体" w:eastAsia="宋体" w:cs="Times New Roman"/>
                <w:color w:val="000000"/>
                <w:kern w:val="0"/>
                <w:szCs w:val="21"/>
              </w:rPr>
            </w:pPr>
          </w:p>
        </w:tc>
      </w:tr>
      <w:tr w14:paraId="6FC5CA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908" w:type="dxa"/>
            <w:vMerge w:val="continue"/>
            <w:shd w:val="clear" w:color="auto" w:fill="auto"/>
            <w:vAlign w:val="center"/>
          </w:tcPr>
          <w:p w14:paraId="1F8C3D0C">
            <w:pPr>
              <w:widowControl/>
              <w:adjustRightInd w:val="0"/>
              <w:snapToGrid w:val="0"/>
              <w:spacing w:line="276" w:lineRule="auto"/>
              <w:jc w:val="left"/>
              <w:rPr>
                <w:rFonts w:ascii="宋体" w:hAnsi="宋体" w:eastAsia="宋体" w:cs="Times New Roman"/>
                <w:color w:val="000000"/>
                <w:kern w:val="0"/>
                <w:szCs w:val="21"/>
              </w:rPr>
            </w:pPr>
          </w:p>
        </w:tc>
        <w:tc>
          <w:tcPr>
            <w:tcW w:w="1692" w:type="dxa"/>
            <w:vMerge w:val="continue"/>
            <w:shd w:val="clear" w:color="auto" w:fill="auto"/>
            <w:vAlign w:val="center"/>
          </w:tcPr>
          <w:p w14:paraId="07065FC7">
            <w:pPr>
              <w:widowControl/>
              <w:adjustRightInd w:val="0"/>
              <w:snapToGrid w:val="0"/>
              <w:spacing w:line="276" w:lineRule="auto"/>
              <w:jc w:val="left"/>
              <w:rPr>
                <w:rFonts w:ascii="宋体" w:hAnsi="宋体" w:eastAsia="宋体" w:cs="Times New Roman"/>
                <w:color w:val="000000"/>
                <w:kern w:val="0"/>
                <w:szCs w:val="21"/>
              </w:rPr>
            </w:pPr>
          </w:p>
        </w:tc>
        <w:tc>
          <w:tcPr>
            <w:tcW w:w="2046" w:type="dxa"/>
            <w:shd w:val="clear" w:color="auto" w:fill="auto"/>
            <w:vAlign w:val="center"/>
          </w:tcPr>
          <w:p w14:paraId="1D6DDD0C">
            <w:pPr>
              <w:widowControl/>
              <w:adjustRightInd w:val="0"/>
              <w:snapToGrid w:val="0"/>
              <w:spacing w:line="276" w:lineRule="auto"/>
              <w:jc w:val="center"/>
              <w:rPr>
                <w:rFonts w:hint="eastAsia" w:ascii="宋体" w:hAnsi="宋体" w:eastAsia="宋体" w:cs="Times New Roman"/>
                <w:color w:val="000000"/>
                <w:kern w:val="0"/>
                <w:szCs w:val="21"/>
                <w:lang w:eastAsia="zh-CN"/>
              </w:rPr>
            </w:pPr>
            <w:r>
              <w:rPr>
                <w:rFonts w:hint="eastAsia" w:ascii="宋体" w:hAnsi="宋体" w:eastAsia="宋体" w:cs="Times New Roman"/>
                <w:color w:val="000000"/>
                <w:kern w:val="0"/>
                <w:szCs w:val="21"/>
                <w:lang w:val="en-US" w:eastAsia="zh-CN"/>
              </w:rPr>
              <w:t>平时测验</w:t>
            </w:r>
          </w:p>
        </w:tc>
        <w:tc>
          <w:tcPr>
            <w:tcW w:w="1717" w:type="dxa"/>
            <w:shd w:val="clear" w:color="auto" w:fill="auto"/>
            <w:vAlign w:val="center"/>
          </w:tcPr>
          <w:p w14:paraId="0892B06A">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lang w:val="en-US" w:eastAsia="zh-CN"/>
              </w:rPr>
              <w:t>20</w:t>
            </w:r>
            <w:r>
              <w:rPr>
                <w:rFonts w:ascii="宋体" w:hAnsi="宋体" w:eastAsia="宋体" w:cs="Times New Roman"/>
                <w:color w:val="000000"/>
                <w:kern w:val="0"/>
                <w:szCs w:val="21"/>
              </w:rPr>
              <w:t>%</w:t>
            </w:r>
          </w:p>
        </w:tc>
        <w:tc>
          <w:tcPr>
            <w:tcW w:w="1057" w:type="dxa"/>
            <w:vMerge w:val="continue"/>
            <w:vAlign w:val="center"/>
          </w:tcPr>
          <w:p w14:paraId="18A445B4">
            <w:pPr>
              <w:widowControl/>
              <w:adjustRightInd w:val="0"/>
              <w:snapToGrid w:val="0"/>
              <w:spacing w:line="276" w:lineRule="auto"/>
              <w:jc w:val="center"/>
              <w:rPr>
                <w:rFonts w:ascii="宋体" w:hAnsi="宋体" w:eastAsia="宋体" w:cs="Times New Roman"/>
                <w:color w:val="000000"/>
                <w:kern w:val="0"/>
                <w:szCs w:val="21"/>
              </w:rPr>
            </w:pPr>
          </w:p>
        </w:tc>
      </w:tr>
      <w:tr w14:paraId="3C5F36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2" w:hRule="atLeast"/>
        </w:trPr>
        <w:tc>
          <w:tcPr>
            <w:tcW w:w="1908" w:type="dxa"/>
            <w:shd w:val="clear" w:color="auto" w:fill="auto"/>
            <w:vAlign w:val="center"/>
          </w:tcPr>
          <w:p w14:paraId="06214A9D">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6512" w:type="dxa"/>
            <w:gridSpan w:val="4"/>
            <w:shd w:val="clear" w:color="auto" w:fill="auto"/>
            <w:vAlign w:val="center"/>
          </w:tcPr>
          <w:p w14:paraId="0ED1C792">
            <w:pPr>
              <w:widowControl/>
              <w:adjustRightInd w:val="0"/>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100%</w:t>
            </w:r>
          </w:p>
        </w:tc>
      </w:tr>
    </w:tbl>
    <w:p w14:paraId="33656BDE">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（四）课程目标达成度计算方法</w:t>
      </w:r>
    </w:p>
    <w:p w14:paraId="693A3040">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所有课程目标均需大于等于</w:t>
      </w:r>
      <w:r>
        <w:rPr>
          <w:rFonts w:ascii="Times New Roman" w:hAnsi="Times New Roman" w:eastAsia="宋体" w:cs="Times New Roman"/>
          <w:sz w:val="24"/>
          <w:szCs w:val="24"/>
        </w:rPr>
        <w:t>0.6，否则总评成绩不及格，需要补考或重修。每门课程目标总体达成度计算方法如下：</w:t>
      </w:r>
    </w:p>
    <w:p w14:paraId="6C2D7DB8">
      <w:pPr>
        <w:spacing w:line="360" w:lineRule="auto"/>
        <w:rPr>
          <w:rFonts w:ascii="Times New Roman" w:hAnsi="Times New Roman" w:eastAsia="宋体" w:cs="Times New Roman"/>
          <w:sz w:val="24"/>
          <w:szCs w:val="24"/>
        </w:rPr>
      </w:pPr>
      <w:bookmarkStart w:id="56" w:name="_Hlk23951111"/>
      <w:r>
        <w:rPr>
          <w:rFonts w:ascii="Times New Roman" w:hAnsi="Times New Roman" w:eastAsia="等线" w:cs="Times New Roman"/>
          <w:position w:val="-26"/>
          <w:sz w:val="24"/>
        </w:rPr>
        <w:object>
          <v:shape id="_x0000_i1026" o:spt="75" type="#_x0000_t75" style="height:29.5pt;width:415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8">
            <o:LockedField>false</o:LockedField>
          </o:OLEObject>
        </w:object>
      </w:r>
      <w:bookmarkEnd w:id="56"/>
    </w:p>
    <w:p w14:paraId="30F8B056">
      <w:pPr>
        <w:spacing w:line="360" w:lineRule="auto"/>
        <w:rPr>
          <w:rFonts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063951C8">
      <w:pPr>
        <w:spacing w:line="360" w:lineRule="auto"/>
        <w:rPr>
          <w:rFonts w:ascii="宋体" w:hAnsi="宋体" w:eastAsia="宋体" w:cs="Times New Roman"/>
          <w:b/>
          <w:bCs/>
          <w:sz w:val="24"/>
        </w:rPr>
      </w:pPr>
      <w:r>
        <w:rPr>
          <w:rFonts w:hint="eastAsia" w:ascii="宋体" w:hAnsi="宋体" w:eastAsia="宋体" w:cs="Times New Roman"/>
          <w:b/>
          <w:bCs/>
          <w:sz w:val="24"/>
        </w:rPr>
        <w:t>（一）持续改进</w:t>
      </w:r>
    </w:p>
    <w:p w14:paraId="28F6CD78">
      <w:pPr>
        <w:spacing w:line="360" w:lineRule="auto"/>
        <w:rPr>
          <w:rFonts w:ascii="宋体" w:hAnsi="宋体" w:eastAsia="宋体" w:cs="Times New Roman"/>
          <w:sz w:val="24"/>
        </w:rPr>
      </w:pPr>
      <w:r>
        <w:rPr>
          <w:rFonts w:ascii="宋体" w:hAnsi="宋体" w:eastAsia="宋体" w:cs="Times New Roman"/>
          <w:sz w:val="24"/>
        </w:rPr>
        <w:t>本课程根据学生作业、课堂讨论、平时考核情况和学生、教学督导等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56AE0494">
      <w:pPr>
        <w:spacing w:line="360" w:lineRule="auto"/>
        <w:rPr>
          <w:rFonts w:ascii="宋体" w:hAnsi="宋体" w:eastAsia="宋体" w:cs="Times New Roman"/>
          <w:b/>
          <w:sz w:val="24"/>
        </w:rPr>
      </w:pPr>
      <w:bookmarkStart w:id="57" w:name="_Toc27846236"/>
      <w:bookmarkStart w:id="58" w:name="_Toc27847254"/>
      <w:r>
        <w:rPr>
          <w:rFonts w:hint="eastAsia" w:ascii="宋体" w:hAnsi="宋体" w:eastAsia="宋体" w:cs="Times New Roman"/>
          <w:b/>
          <w:sz w:val="24"/>
        </w:rPr>
        <w:t>（二）</w:t>
      </w:r>
      <w:r>
        <w:rPr>
          <w:rFonts w:ascii="宋体" w:hAnsi="宋体" w:eastAsia="宋体" w:cs="Times New Roman"/>
          <w:b/>
          <w:sz w:val="24"/>
        </w:rPr>
        <w:t>参考书目及学习资料</w:t>
      </w:r>
      <w:bookmarkEnd w:id="57"/>
      <w:bookmarkEnd w:id="58"/>
    </w:p>
    <w:p w14:paraId="4CA20CD6">
      <w:pPr>
        <w:spacing w:line="360" w:lineRule="auto"/>
        <w:rPr>
          <w:rFonts w:ascii="宋体" w:hAnsi="宋体" w:eastAsia="宋体" w:cs="Times New Roman"/>
          <w:b/>
          <w:bCs/>
          <w:sz w:val="24"/>
        </w:rPr>
      </w:pPr>
      <w:r>
        <w:rPr>
          <w:rFonts w:hint="eastAsia" w:ascii="宋体" w:hAnsi="宋体" w:eastAsia="宋体" w:cs="Times New Roman"/>
          <w:b/>
          <w:bCs/>
          <w:sz w:val="24"/>
        </w:rPr>
        <w:t>1</w:t>
      </w:r>
      <w:r>
        <w:rPr>
          <w:rFonts w:ascii="宋体" w:hAnsi="宋体" w:eastAsia="宋体" w:cs="Times New Roman"/>
          <w:b/>
          <w:bCs/>
          <w:sz w:val="24"/>
        </w:rPr>
        <w:t>.</w:t>
      </w:r>
      <w:r>
        <w:rPr>
          <w:rFonts w:hint="eastAsia" w:ascii="宋体" w:hAnsi="宋体" w:eastAsia="宋体" w:cs="Times New Roman"/>
          <w:b/>
          <w:bCs/>
          <w:sz w:val="24"/>
        </w:rPr>
        <w:t>教材</w:t>
      </w:r>
    </w:p>
    <w:p w14:paraId="47948E9E">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王炳照等.简明中国教育史.</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北京：北京师范大学出版社，20</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8.</w:t>
      </w:r>
    </w:p>
    <w:p w14:paraId="603318CD">
      <w:pPr>
        <w:spacing w:line="360" w:lineRule="auto"/>
        <w:rPr>
          <w:rFonts w:ascii="宋体" w:hAnsi="宋体" w:eastAsia="宋体" w:cs="Times New Roman"/>
          <w:b/>
          <w:bCs/>
          <w:sz w:val="24"/>
        </w:rPr>
      </w:pPr>
      <w:r>
        <w:rPr>
          <w:rFonts w:hint="eastAsia" w:ascii="宋体" w:hAnsi="宋体" w:eastAsia="宋体" w:cs="Times New Roman"/>
          <w:b/>
          <w:bCs/>
          <w:sz w:val="24"/>
        </w:rPr>
        <w:t>2</w:t>
      </w:r>
      <w:r>
        <w:rPr>
          <w:rFonts w:ascii="宋体" w:hAnsi="宋体" w:eastAsia="宋体" w:cs="Times New Roman"/>
          <w:b/>
          <w:bCs/>
          <w:sz w:val="24"/>
        </w:rPr>
        <w:t>.</w:t>
      </w:r>
      <w:r>
        <w:rPr>
          <w:rFonts w:hint="eastAsia" w:ascii="宋体" w:hAnsi="宋体" w:eastAsia="宋体" w:cs="Times New Roman"/>
          <w:b/>
          <w:bCs/>
          <w:sz w:val="24"/>
        </w:rPr>
        <w:t>教学参考书</w:t>
      </w:r>
    </w:p>
    <w:p w14:paraId="5DACE4DD">
      <w:pPr>
        <w:autoSpaceDE w:val="0"/>
        <w:autoSpaceDN w:val="0"/>
        <w:adjustRightInd w:val="0"/>
        <w:spacing w:line="360" w:lineRule="auto"/>
        <w:jc w:val="left"/>
        <w:rPr>
          <w:rFonts w:ascii="宋体" w:hAnsi="宋体" w:eastAsia="宋体" w:cs="Times New Roman"/>
          <w:sz w:val="24"/>
        </w:rPr>
      </w:pPr>
      <w:r>
        <w:rPr>
          <w:rFonts w:hint="eastAsia" w:ascii="宋体" w:hAnsi="宋体" w:eastAsia="宋体" w:cs="Times New Roman"/>
          <w:sz w:val="24"/>
        </w:rPr>
        <w:t>孙培青</w:t>
      </w:r>
      <w:r>
        <w:rPr>
          <w:rFonts w:ascii="宋体" w:hAnsi="宋体" w:eastAsia="宋体" w:cs="Times New Roman"/>
          <w:sz w:val="24"/>
        </w:rPr>
        <w:t>.中国教育史（</w:t>
      </w:r>
      <w:r>
        <w:rPr>
          <w:rFonts w:hint="eastAsia" w:ascii="宋体" w:hAnsi="宋体" w:eastAsia="宋体" w:cs="Times New Roman"/>
          <w:sz w:val="24"/>
          <w:lang w:val="en-US" w:eastAsia="zh-CN"/>
        </w:rPr>
        <w:t>第四</w:t>
      </w:r>
      <w:r>
        <w:rPr>
          <w:rFonts w:ascii="宋体" w:hAnsi="宋体" w:eastAsia="宋体" w:cs="Times New Roman"/>
          <w:sz w:val="24"/>
        </w:rPr>
        <w:t>版）.上海：华东师范大学出版社，20</w:t>
      </w:r>
      <w:r>
        <w:rPr>
          <w:rFonts w:hint="eastAsia" w:ascii="宋体" w:hAnsi="宋体" w:eastAsia="宋体" w:cs="Times New Roman"/>
          <w:sz w:val="24"/>
          <w:lang w:val="en-US" w:eastAsia="zh-CN"/>
        </w:rPr>
        <w:t>19</w:t>
      </w:r>
      <w:r>
        <w:rPr>
          <w:rFonts w:ascii="宋体" w:hAnsi="宋体" w:eastAsia="宋体" w:cs="Times New Roman"/>
          <w:sz w:val="24"/>
        </w:rPr>
        <w:t>.</w:t>
      </w:r>
    </w:p>
    <w:p w14:paraId="45D233AC">
      <w:pPr>
        <w:autoSpaceDE w:val="0"/>
        <w:autoSpaceDN w:val="0"/>
        <w:adjustRightInd w:val="0"/>
        <w:spacing w:line="360" w:lineRule="auto"/>
        <w:jc w:val="left"/>
        <w:rPr>
          <w:rFonts w:ascii="宋体" w:hAnsi="宋体" w:eastAsia="宋体" w:cs="Times New Roman"/>
          <w:sz w:val="24"/>
        </w:rPr>
      </w:pPr>
      <w:r>
        <w:rPr>
          <w:rFonts w:ascii="宋体" w:hAnsi="宋体" w:eastAsia="宋体" w:cs="Times New Roman"/>
          <w:sz w:val="24"/>
        </w:rPr>
        <w:t>孙培青.李国钧.中国教育思想史(第1-3卷).上海：华东师范大学出版社，1995.</w:t>
      </w:r>
    </w:p>
    <w:p w14:paraId="6238A873">
      <w:pPr>
        <w:autoSpaceDE w:val="0"/>
        <w:autoSpaceDN w:val="0"/>
        <w:adjustRightInd w:val="0"/>
        <w:spacing w:line="360" w:lineRule="auto"/>
        <w:jc w:val="left"/>
        <w:rPr>
          <w:rFonts w:ascii="宋体" w:hAnsi="宋体" w:eastAsia="宋体" w:cs="Times New Roman"/>
          <w:sz w:val="24"/>
        </w:rPr>
      </w:pPr>
      <w:r>
        <w:rPr>
          <w:rFonts w:ascii="宋体" w:hAnsi="宋体" w:eastAsia="宋体" w:cs="Times New Roman"/>
          <w:sz w:val="24"/>
        </w:rPr>
        <w:t>毛礼锐</w:t>
      </w:r>
      <w:r>
        <w:rPr>
          <w:rFonts w:hint="eastAsia" w:ascii="宋体" w:hAnsi="宋体" w:eastAsia="宋体" w:cs="Times New Roman"/>
          <w:sz w:val="24"/>
        </w:rPr>
        <w:t>，</w:t>
      </w:r>
      <w:r>
        <w:rPr>
          <w:rFonts w:ascii="宋体" w:hAnsi="宋体" w:eastAsia="宋体" w:cs="Times New Roman"/>
          <w:sz w:val="24"/>
        </w:rPr>
        <w:t>沈灌群.中国教育通史(第1-6卷).济南：山东教育出版社，1985-1989.</w:t>
      </w:r>
    </w:p>
    <w:p w14:paraId="2F9EF11C">
      <w:pPr>
        <w:autoSpaceDE w:val="0"/>
        <w:autoSpaceDN w:val="0"/>
        <w:adjustRightInd w:val="0"/>
        <w:spacing w:line="360" w:lineRule="auto"/>
        <w:jc w:val="left"/>
        <w:rPr>
          <w:rFonts w:ascii="宋体" w:hAnsi="宋体" w:eastAsia="宋体" w:cs="Times New Roman"/>
          <w:color w:val="FF0000"/>
          <w:kern w:val="0"/>
          <w:sz w:val="24"/>
          <w:szCs w:val="21"/>
        </w:rPr>
      </w:pPr>
      <w:r>
        <w:rPr>
          <w:rFonts w:ascii="宋体" w:hAnsi="宋体" w:eastAsia="宋体" w:cs="Times New Roman"/>
          <w:sz w:val="24"/>
        </w:rPr>
        <w:t>王炳照</w:t>
      </w:r>
      <w:r>
        <w:rPr>
          <w:rFonts w:hint="eastAsia" w:ascii="宋体" w:hAnsi="宋体" w:eastAsia="宋体" w:cs="Times New Roman"/>
          <w:sz w:val="24"/>
        </w:rPr>
        <w:t>，</w:t>
      </w:r>
      <w:r>
        <w:rPr>
          <w:rFonts w:ascii="宋体" w:hAnsi="宋体" w:eastAsia="宋体" w:cs="Times New Roman"/>
          <w:sz w:val="24"/>
        </w:rPr>
        <w:t>阎国华.中国教育思想通史(第1-8卷).长沙：湖南教育出版社</w:t>
      </w:r>
      <w:r>
        <w:rPr>
          <w:rFonts w:hint="eastAsia" w:ascii="宋体" w:hAnsi="宋体" w:eastAsia="宋体" w:cs="Times New Roman"/>
          <w:sz w:val="24"/>
        </w:rPr>
        <w:t>，</w:t>
      </w:r>
      <w:r>
        <w:rPr>
          <w:rFonts w:ascii="宋体" w:hAnsi="宋体" w:eastAsia="宋体" w:cs="Times New Roman"/>
          <w:sz w:val="24"/>
        </w:rPr>
        <w:t>1994.</w:t>
      </w:r>
    </w:p>
    <w:p w14:paraId="20F5C1A3">
      <w:pPr>
        <w:autoSpaceDE w:val="0"/>
        <w:autoSpaceDN w:val="0"/>
        <w:adjustRightInd w:val="0"/>
        <w:spacing w:line="360" w:lineRule="auto"/>
        <w:jc w:val="left"/>
        <w:rPr>
          <w:rFonts w:ascii="宋体" w:hAnsi="宋体" w:eastAsia="宋体" w:cs="Times New Roman"/>
          <w:color w:val="FF0000"/>
          <w:kern w:val="0"/>
          <w:sz w:val="24"/>
          <w:szCs w:val="21"/>
        </w:rPr>
      </w:pPr>
    </w:p>
    <w:p w14:paraId="3760FA44">
      <w:pPr>
        <w:autoSpaceDE w:val="0"/>
        <w:autoSpaceDN w:val="0"/>
        <w:adjustRightInd w:val="0"/>
        <w:spacing w:line="360" w:lineRule="auto"/>
        <w:jc w:val="center"/>
        <w:rPr>
          <w:rFonts w:hint="eastAsia" w:ascii="宋体" w:hAnsi="宋体" w:eastAsia="宋体" w:cs="Times New Roman"/>
          <w:kern w:val="0"/>
          <w:sz w:val="24"/>
          <w:szCs w:val="21"/>
          <w:lang w:eastAsia="zh-CN"/>
        </w:rPr>
      </w:pPr>
      <w:r>
        <w:rPr>
          <w:rFonts w:hint="eastAsia" w:ascii="宋体" w:hAnsi="宋体" w:eastAsia="宋体" w:cs="Times New Roman"/>
          <w:kern w:val="0"/>
          <w:sz w:val="24"/>
          <w:szCs w:val="21"/>
          <w:lang w:val="en-US" w:eastAsia="zh-CN"/>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lang w:val="en-US" w:eastAsia="zh-CN"/>
        </w:rPr>
        <w:t>谢国忠</w:t>
      </w:r>
    </w:p>
    <w:p w14:paraId="1E316481">
      <w:pPr>
        <w:autoSpaceDE w:val="0"/>
        <w:autoSpaceDN w:val="0"/>
        <w:adjustRightInd w:val="0"/>
        <w:spacing w:line="360" w:lineRule="auto"/>
        <w:jc w:val="center"/>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审定人：</w:t>
      </w:r>
      <w:r>
        <w:rPr>
          <w:rFonts w:hint="eastAsia" w:ascii="宋体" w:hAnsi="宋体" w:eastAsia="宋体" w:cs="Times New Roman"/>
          <w:kern w:val="0"/>
          <w:sz w:val="24"/>
          <w:szCs w:val="21"/>
          <w:lang w:val="en-US" w:eastAsia="zh-CN"/>
        </w:rPr>
        <w:t>张志欣</w:t>
      </w:r>
    </w:p>
    <w:p w14:paraId="49D62F94">
      <w:pPr>
        <w:autoSpaceDE w:val="0"/>
        <w:autoSpaceDN w:val="0"/>
        <w:adjustRightInd w:val="0"/>
        <w:spacing w:line="360" w:lineRule="auto"/>
        <w:jc w:val="center"/>
        <w:rPr>
          <w:rFonts w:hint="default"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审批人：张</w:t>
      </w:r>
      <w:r>
        <w:rPr>
          <w:rFonts w:hint="eastAsia" w:ascii="宋体" w:hAnsi="宋体" w:eastAsia="宋体" w:cs="Times New Roman"/>
          <w:kern w:val="0"/>
          <w:sz w:val="24"/>
          <w:szCs w:val="21"/>
          <w:lang w:val="en-US" w:eastAsia="zh-CN"/>
        </w:rPr>
        <w:t>建波</w:t>
      </w:r>
    </w:p>
    <w:p w14:paraId="619D67AB">
      <w:pPr>
        <w:jc w:val="right"/>
        <w:rPr>
          <w:rFonts w:ascii="等线" w:hAnsi="等线" w:eastAsia="等线" w:cs="Times New Roman"/>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4A11E685">
      <w:pPr>
        <w:widowControl/>
        <w:jc w:val="left"/>
      </w:pPr>
    </w:p>
    <w:p w14:paraId="569AEA8D">
      <w:pPr>
        <w:widowControl/>
        <w:jc w:val="left"/>
        <w:rPr>
          <w:rFonts w:ascii="宋体" w:hAnsi="宋体" w:eastAsia="宋体" w:cs="Times New Roman"/>
          <w:sz w:val="24"/>
          <w:szCs w:val="24"/>
        </w:rPr>
      </w:pPr>
      <w:r>
        <w:rPr>
          <w:rFonts w:ascii="宋体" w:hAnsi="宋体" w:eastAsia="宋体" w:cs="Times New Roman"/>
          <w:sz w:val="24"/>
          <w:szCs w:val="24"/>
        </w:rPr>
        <w:br w:type="page"/>
      </w:r>
    </w:p>
    <w:p w14:paraId="131F5528">
      <w:pPr>
        <w:spacing w:line="360" w:lineRule="auto"/>
        <w:jc w:val="center"/>
        <w:outlineLvl w:val="0"/>
        <w:rPr>
          <w:rFonts w:ascii="宋体" w:hAnsi="宋体" w:eastAsia="宋体" w:cs="Times New Roman"/>
          <w:b/>
          <w:sz w:val="30"/>
          <w:szCs w:val="30"/>
        </w:rPr>
      </w:pPr>
      <w:bookmarkStart w:id="59" w:name="_Toc166165189"/>
      <w:bookmarkStart w:id="60" w:name="_Toc57017173"/>
      <w:r>
        <w:rPr>
          <w:rFonts w:hint="eastAsia" w:ascii="宋体" w:hAnsi="宋体" w:eastAsia="宋体" w:cs="Times New Roman"/>
          <w:b/>
          <w:sz w:val="30"/>
          <w:szCs w:val="30"/>
        </w:rPr>
        <w:t>外国教育史课程与教学大纲</w:t>
      </w:r>
      <w:bookmarkEnd w:id="59"/>
      <w:bookmarkEnd w:id="60"/>
    </w:p>
    <w:p w14:paraId="69BD8C7B">
      <w:pPr>
        <w:spacing w:line="360" w:lineRule="auto"/>
        <w:jc w:val="center"/>
        <w:rPr>
          <w:rFonts w:ascii="Times New Roman" w:hAnsi="Times New Roman" w:eastAsia="黑体" w:cs="Times New Roman"/>
          <w:b/>
          <w:sz w:val="28"/>
          <w:szCs w:val="30"/>
        </w:rPr>
      </w:pPr>
      <w:r>
        <w:rPr>
          <w:rFonts w:ascii="Times New Roman" w:hAnsi="Times New Roman" w:eastAsia="黑体" w:cs="Times New Roman"/>
          <w:b/>
          <w:sz w:val="28"/>
          <w:szCs w:val="30"/>
        </w:rPr>
        <w:t>（History of Foreign Education）</w:t>
      </w:r>
    </w:p>
    <w:p w14:paraId="21DAE047">
      <w:pPr>
        <w:spacing w:line="360" w:lineRule="auto"/>
        <w:ind w:firstLine="422" w:firstLineChars="150"/>
        <w:rPr>
          <w:rFonts w:ascii="宋体" w:hAnsi="宋体" w:eastAsia="宋体" w:cs="Times New Roman"/>
          <w:b/>
          <w:bCs/>
          <w:sz w:val="28"/>
          <w:szCs w:val="28"/>
        </w:rPr>
      </w:pPr>
      <w:bookmarkStart w:id="61" w:name="_Toc27847256"/>
      <w:bookmarkStart w:id="62" w:name="_Toc27846238"/>
      <w:r>
        <w:rPr>
          <w:rFonts w:hint="eastAsia" w:ascii="宋体" w:hAnsi="宋体" w:eastAsia="宋体" w:cs="Times New Roman"/>
          <w:b/>
          <w:bCs/>
          <w:sz w:val="28"/>
          <w:szCs w:val="28"/>
        </w:rPr>
        <w:t>一、课程概况</w:t>
      </w:r>
      <w:bookmarkEnd w:id="61"/>
      <w:bookmarkEnd w:id="62"/>
    </w:p>
    <w:p w14:paraId="4DE575B0">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课程代码</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2401007</w:t>
      </w:r>
    </w:p>
    <w:p w14:paraId="6352D049">
      <w:pPr>
        <w:spacing w:line="360" w:lineRule="auto"/>
        <w:ind w:firstLine="482" w:firstLineChars="200"/>
        <w:rPr>
          <w:rFonts w:ascii="宋体" w:hAnsi="宋体" w:eastAsia="宋体" w:cs="Times New Roman"/>
          <w:b/>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分</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2</w:t>
      </w:r>
    </w:p>
    <w:p w14:paraId="2BD527D9">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学</w:t>
      </w:r>
      <w:r>
        <w:rPr>
          <w:rFonts w:ascii="宋体" w:hAnsi="宋体" w:eastAsia="宋体" w:cs="Times New Roman"/>
          <w:b/>
          <w:color w:val="000000"/>
          <w:kern w:val="0"/>
          <w:sz w:val="24"/>
          <w:szCs w:val="24"/>
        </w:rPr>
        <w:t xml:space="preserve">    </w:t>
      </w:r>
      <w:r>
        <w:rPr>
          <w:rFonts w:hint="eastAsia" w:ascii="宋体" w:hAnsi="宋体" w:eastAsia="宋体" w:cs="Times New Roman"/>
          <w:b/>
          <w:color w:val="000000"/>
          <w:kern w:val="0"/>
          <w:sz w:val="24"/>
          <w:szCs w:val="24"/>
        </w:rPr>
        <w:t>时</w:t>
      </w:r>
      <w:r>
        <w:rPr>
          <w:rFonts w:hint="eastAsia" w:ascii="宋体" w:hAnsi="宋体" w:eastAsia="宋体" w:cs="Times New Roman"/>
          <w:color w:val="000000"/>
          <w:kern w:val="0"/>
          <w:sz w:val="24"/>
          <w:szCs w:val="24"/>
        </w:rPr>
        <w:t>：</w:t>
      </w:r>
      <w:r>
        <w:rPr>
          <w:rFonts w:ascii="宋体" w:hAnsi="宋体" w:eastAsia="宋体" w:cs="Times New Roman"/>
          <w:color w:val="000000"/>
          <w:kern w:val="0"/>
          <w:sz w:val="24"/>
          <w:szCs w:val="24"/>
        </w:rPr>
        <w:t>32</w:t>
      </w:r>
    </w:p>
    <w:p w14:paraId="5EAE9584">
      <w:pPr>
        <w:spacing w:line="360" w:lineRule="auto"/>
        <w:ind w:firstLine="482" w:firstLineChars="200"/>
        <w:jc w:val="left"/>
        <w:rPr>
          <w:rFonts w:ascii="宋体" w:hAnsi="宋体" w:eastAsia="宋体" w:cs="Times New Roman"/>
          <w:color w:val="000000"/>
          <w:sz w:val="24"/>
          <w:szCs w:val="24"/>
        </w:rPr>
      </w:pPr>
      <w:r>
        <w:rPr>
          <w:rFonts w:hint="eastAsia" w:ascii="宋体" w:hAnsi="宋体" w:eastAsia="宋体" w:cs="Times New Roman"/>
          <w:b/>
          <w:color w:val="000000"/>
          <w:kern w:val="0"/>
          <w:sz w:val="24"/>
          <w:szCs w:val="24"/>
        </w:rPr>
        <w:t>先修课程</w:t>
      </w:r>
      <w:r>
        <w:rPr>
          <w:rFonts w:hint="eastAsia" w:ascii="宋体" w:hAnsi="宋体" w:eastAsia="宋体" w:cs="Times New Roman"/>
          <w:color w:val="000000"/>
          <w:kern w:val="0"/>
          <w:sz w:val="24"/>
          <w:szCs w:val="24"/>
        </w:rPr>
        <w:t>：</w:t>
      </w:r>
      <w:r>
        <w:rPr>
          <w:rFonts w:hint="eastAsia" w:ascii="宋体" w:hAnsi="宋体" w:eastAsia="宋体" w:cs="Times New Roman"/>
          <w:color w:val="000000"/>
          <w:sz w:val="24"/>
          <w:szCs w:val="24"/>
        </w:rPr>
        <w:t>教育原理、中国教育史</w:t>
      </w:r>
    </w:p>
    <w:p w14:paraId="7965FB44">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适用专业</w:t>
      </w:r>
      <w:r>
        <w:rPr>
          <w:rFonts w:hint="eastAsia" w:ascii="宋体" w:hAnsi="宋体" w:eastAsia="宋体" w:cs="Times New Roman"/>
          <w:color w:val="000000"/>
          <w:kern w:val="0"/>
          <w:sz w:val="24"/>
          <w:szCs w:val="24"/>
        </w:rPr>
        <w:t>：小学教育（文）、小学教育（理）</w:t>
      </w:r>
    </w:p>
    <w:p w14:paraId="0665FCAD">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color w:val="000000"/>
          <w:kern w:val="0"/>
          <w:sz w:val="24"/>
          <w:szCs w:val="24"/>
        </w:rPr>
        <w:t>建议教材：</w:t>
      </w:r>
      <w:r>
        <w:rPr>
          <w:rFonts w:hint="eastAsia" w:ascii="宋体" w:hAnsi="宋体" w:eastAsia="宋体" w:cs="Times New Roman"/>
          <w:color w:val="000000"/>
          <w:kern w:val="0"/>
          <w:sz w:val="24"/>
          <w:szCs w:val="24"/>
        </w:rPr>
        <w:t>《西方教育思想史</w:t>
      </w:r>
      <w:r>
        <w:rPr>
          <w:rFonts w:hint="eastAsia" w:ascii="宋体" w:hAnsi="宋体" w:eastAsia="宋体" w:cs="Times New Roman"/>
          <w:color w:val="000000"/>
          <w:sz w:val="24"/>
          <w:szCs w:val="24"/>
        </w:rPr>
        <w:t>》（第</w:t>
      </w:r>
      <w:r>
        <w:rPr>
          <w:rFonts w:ascii="宋体" w:hAnsi="宋体" w:eastAsia="宋体" w:cs="Times New Roman"/>
          <w:color w:val="000000"/>
          <w:sz w:val="24"/>
          <w:szCs w:val="24"/>
        </w:rPr>
        <w:t>2</w:t>
      </w:r>
      <w:r>
        <w:rPr>
          <w:rFonts w:hint="eastAsia" w:ascii="宋体" w:hAnsi="宋体" w:eastAsia="宋体" w:cs="Times New Roman"/>
          <w:color w:val="000000"/>
          <w:sz w:val="24"/>
          <w:szCs w:val="24"/>
        </w:rPr>
        <w:t>版），张斌贤等，人民教育出版社，</w:t>
      </w:r>
      <w:r>
        <w:rPr>
          <w:rFonts w:ascii="宋体" w:hAnsi="宋体" w:eastAsia="宋体" w:cs="Times New Roman"/>
          <w:color w:val="000000"/>
          <w:kern w:val="0"/>
          <w:sz w:val="24"/>
          <w:szCs w:val="24"/>
        </w:rPr>
        <w:t>20</w:t>
      </w:r>
      <w:r>
        <w:rPr>
          <w:rFonts w:hint="eastAsia" w:ascii="宋体" w:hAnsi="宋体" w:eastAsia="宋体" w:cs="Times New Roman"/>
          <w:color w:val="000000"/>
          <w:kern w:val="0"/>
          <w:sz w:val="24"/>
          <w:szCs w:val="24"/>
        </w:rPr>
        <w:t>11</w:t>
      </w:r>
      <w:r>
        <w:rPr>
          <w:rFonts w:ascii="宋体" w:hAnsi="宋体" w:eastAsia="宋体" w:cs="Times New Roman"/>
          <w:color w:val="000000"/>
          <w:kern w:val="0"/>
          <w:sz w:val="24"/>
          <w:szCs w:val="24"/>
        </w:rPr>
        <w:t>.</w:t>
      </w:r>
    </w:p>
    <w:p w14:paraId="10A1AE41">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color w:val="000000"/>
          <w:kern w:val="0"/>
          <w:sz w:val="24"/>
          <w:szCs w:val="24"/>
        </w:rPr>
        <w:t>课程归口</w:t>
      </w:r>
      <w:r>
        <w:rPr>
          <w:rFonts w:hint="eastAsia" w:ascii="宋体" w:hAnsi="宋体" w:eastAsia="宋体" w:cs="Times New Roman"/>
          <w:color w:val="000000"/>
          <w:kern w:val="0"/>
          <w:sz w:val="24"/>
          <w:szCs w:val="24"/>
        </w:rPr>
        <w:t>：</w:t>
      </w:r>
      <w:r>
        <w:rPr>
          <w:rFonts w:hint="eastAsia" w:ascii="宋体" w:hAnsi="宋体" w:eastAsia="宋体" w:cs="Times New Roman"/>
          <w:color w:val="000000"/>
          <w:sz w:val="24"/>
          <w:szCs w:val="24"/>
        </w:rPr>
        <w:t>师范学院</w:t>
      </w:r>
    </w:p>
    <w:p w14:paraId="19A87756">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课程的性质与任务</w:t>
      </w:r>
      <w:r>
        <w:rPr>
          <w:rFonts w:hint="eastAsia" w:ascii="宋体" w:hAnsi="宋体" w:eastAsia="宋体" w:cs="Times New Roman"/>
          <w:bCs/>
          <w:color w:val="000000"/>
          <w:sz w:val="24"/>
          <w:szCs w:val="24"/>
        </w:rPr>
        <w:t>：</w:t>
      </w:r>
      <w:r>
        <w:rPr>
          <w:rFonts w:hint="eastAsia" w:ascii="宋体" w:hAnsi="宋体" w:eastAsia="宋体" w:cs="Times New Roman"/>
          <w:color w:val="000000"/>
          <w:sz w:val="24"/>
          <w:szCs w:val="24"/>
        </w:rPr>
        <w:t>本课程是小学教育本科专业教师教育类必修课程。课程的主要任务是通过梳理和介绍外国（主要是西方发达国家）的教育制度、教育实践发展历史进程以及主要教育家的教育思想，培养师范生正确的教育历史观、提升教师理论综合素养，提高其针对当今教育现象进行古今中外对比分析的意识和能力，从而形成对人类教育发展规律的历史性认识。</w:t>
      </w:r>
    </w:p>
    <w:p w14:paraId="62A4FFBB">
      <w:pPr>
        <w:spacing w:line="360" w:lineRule="auto"/>
        <w:ind w:firstLine="562" w:firstLineChars="200"/>
        <w:rPr>
          <w:rFonts w:ascii="宋体" w:hAnsi="宋体" w:eastAsia="宋体" w:cs="Times New Roman"/>
          <w:b/>
          <w:bCs/>
          <w:sz w:val="28"/>
          <w:szCs w:val="28"/>
        </w:rPr>
      </w:pPr>
      <w:bookmarkStart w:id="63" w:name="_Toc27847257"/>
      <w:bookmarkStart w:id="64" w:name="_Toc27846239"/>
      <w:r>
        <w:rPr>
          <w:rFonts w:hint="eastAsia" w:ascii="宋体" w:hAnsi="宋体" w:eastAsia="宋体" w:cs="Times New Roman"/>
          <w:b/>
          <w:bCs/>
          <w:sz w:val="28"/>
          <w:szCs w:val="28"/>
        </w:rPr>
        <w:t>二、课程目标</w:t>
      </w:r>
      <w:bookmarkEnd w:id="63"/>
      <w:bookmarkEnd w:id="64"/>
    </w:p>
    <w:p w14:paraId="75FBBA69">
      <w:pPr>
        <w:spacing w:line="360" w:lineRule="auto"/>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（一）课程具体目标</w:t>
      </w:r>
    </w:p>
    <w:p w14:paraId="62DD1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1.</w:t>
      </w:r>
      <w:r>
        <w:rPr>
          <w:rFonts w:hint="eastAsia" w:ascii="宋体" w:hAnsi="宋体" w:eastAsia="宋体" w:cs="Times New Roman"/>
          <w:color w:val="000000"/>
          <w:sz w:val="24"/>
          <w:szCs w:val="24"/>
        </w:rPr>
        <w:t>理解外国教育史的学科性质、研究对象、基本概念、基本方法论，建立外国教育史的分析问题意识和对比研究能力，牢固树立国家民族自豪感。</w:t>
      </w:r>
    </w:p>
    <w:p w14:paraId="4EDD4C6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2.</w:t>
      </w:r>
      <w:r>
        <w:rPr>
          <w:rFonts w:hint="eastAsia" w:ascii="宋体" w:hAnsi="宋体" w:eastAsia="宋体" w:cs="Times New Roman"/>
          <w:color w:val="000000"/>
          <w:sz w:val="24"/>
          <w:szCs w:val="24"/>
        </w:rPr>
        <w:t>理解西方主要发达国家教育发展的进程和经验得失，掌握综合分析教育历史现象的能力。</w:t>
      </w:r>
    </w:p>
    <w:p w14:paraId="0DD603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3.</w:t>
      </w:r>
      <w:r>
        <w:rPr>
          <w:rFonts w:hint="eastAsia" w:ascii="宋体" w:hAnsi="宋体" w:eastAsia="宋体" w:cs="Times New Roman"/>
          <w:color w:val="000000"/>
          <w:sz w:val="24"/>
          <w:szCs w:val="24"/>
        </w:rPr>
        <w:t>了解西方自古希腊以来教育发展的历史线索和相互继承关系，理解教育家的教育思想在人类教育发展中积极作用，逐步建立古为今用和洋为中用的解决问题意识。</w:t>
      </w:r>
    </w:p>
    <w:p w14:paraId="10BF07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4.</w:t>
      </w:r>
      <w:r>
        <w:rPr>
          <w:rFonts w:hint="eastAsia" w:ascii="宋体" w:hAnsi="宋体" w:eastAsia="宋体" w:cs="Times New Roman"/>
          <w:color w:val="000000"/>
          <w:sz w:val="24"/>
          <w:szCs w:val="24"/>
        </w:rPr>
        <w:t>理解西方主要社会转折时期影响教育发展的诸多因素，正确使用历史的眼光分析当今世界教育发展的现状问题。</w:t>
      </w:r>
    </w:p>
    <w:p w14:paraId="7660B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w:t>
      </w:r>
      <w:r>
        <w:rPr>
          <w:rFonts w:ascii="宋体" w:hAnsi="宋体" w:eastAsia="宋体" w:cs="Times New Roman"/>
          <w:color w:val="000000"/>
          <w:sz w:val="24"/>
          <w:szCs w:val="24"/>
        </w:rPr>
        <w:t>5.</w:t>
      </w:r>
      <w:r>
        <w:rPr>
          <w:rFonts w:hint="eastAsia" w:ascii="宋体" w:hAnsi="宋体" w:eastAsia="宋体" w:cs="Times New Roman"/>
          <w:color w:val="000000"/>
          <w:sz w:val="24"/>
          <w:szCs w:val="24"/>
        </w:rPr>
        <w:t>理解世界范围内的教育发展成就问题，掌握使用历史学方法分析和思考未来人类教育发展趋势问题。</w:t>
      </w:r>
    </w:p>
    <w:p w14:paraId="16BF0246">
      <w:pPr>
        <w:spacing w:line="360" w:lineRule="auto"/>
        <w:ind w:firstLine="480" w:firstLineChars="200"/>
        <w:rPr>
          <w:rFonts w:ascii="黑体" w:hAnsi="黑体" w:eastAsia="黑体" w:cs="Times New Roman"/>
          <w:bCs/>
          <w:color w:val="000000"/>
          <w:sz w:val="24"/>
          <w:szCs w:val="24"/>
        </w:rPr>
      </w:pPr>
      <w:r>
        <w:rPr>
          <w:rFonts w:hint="eastAsia" w:ascii="黑体" w:hAnsi="黑体" w:eastAsia="黑体" w:cs="Times New Roman"/>
          <w:bCs/>
          <w:color w:val="000000"/>
          <w:sz w:val="24"/>
          <w:szCs w:val="24"/>
        </w:rPr>
        <w:t>（二）课程目标与专业毕业要求的关系</w:t>
      </w:r>
    </w:p>
    <w:tbl>
      <w:tblPr>
        <w:tblStyle w:val="30"/>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183"/>
        <w:gridCol w:w="5427"/>
      </w:tblGrid>
      <w:tr w14:paraId="45F8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6" w:type="dxa"/>
            <w:vAlign w:val="center"/>
          </w:tcPr>
          <w:p w14:paraId="78C1651A">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183" w:type="dxa"/>
            <w:vAlign w:val="center"/>
          </w:tcPr>
          <w:p w14:paraId="54A3806D">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427" w:type="dxa"/>
            <w:vAlign w:val="center"/>
          </w:tcPr>
          <w:p w14:paraId="2C62FA55">
            <w:pPr>
              <w:adjustRightInd w:val="0"/>
              <w:snapToGrid w:val="0"/>
              <w:spacing w:line="276" w:lineRule="auto"/>
              <w:ind w:firstLine="422" w:firstLineChars="200"/>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45AF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586" w:type="dxa"/>
            <w:vAlign w:val="center"/>
          </w:tcPr>
          <w:p w14:paraId="4D171311">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183" w:type="dxa"/>
            <w:vAlign w:val="center"/>
          </w:tcPr>
          <w:p w14:paraId="58EE103B">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427" w:type="dxa"/>
            <w:vAlign w:val="center"/>
          </w:tcPr>
          <w:p w14:paraId="0001AA69">
            <w:pPr>
              <w:adjustRightInd w:val="0"/>
              <w:snapToGrid w:val="0"/>
              <w:spacing w:line="276" w:lineRule="auto"/>
              <w:jc w:val="left"/>
              <w:rPr>
                <w:rFonts w:ascii="宋体" w:hAnsi="Calibri" w:eastAsia="宋体" w:cs="Times New Roman"/>
                <w:color w:val="000000"/>
                <w:kern w:val="0"/>
                <w:sz w:val="18"/>
                <w:szCs w:val="21"/>
              </w:rPr>
            </w:pPr>
            <w:r>
              <w:rPr>
                <w:rFonts w:ascii="宋体" w:hAnsi="宋体" w:eastAsia="宋体" w:cs="Times New Roman"/>
                <w:color w:val="000000"/>
                <w:szCs w:val="21"/>
              </w:rPr>
              <w:t>1-1：【理想信念坚定】认同中国特色社会主义，贯彻党的教育方针，自觉践行社会主义核心价值观，树立职业理想，立志成为有理想信念、有道德情操、有扎实学识、有仁爱之心的好教师。</w:t>
            </w:r>
          </w:p>
        </w:tc>
      </w:tr>
      <w:tr w14:paraId="0E5D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586" w:type="dxa"/>
            <w:vAlign w:val="center"/>
          </w:tcPr>
          <w:p w14:paraId="65DF027D">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183" w:type="dxa"/>
            <w:vAlign w:val="center"/>
          </w:tcPr>
          <w:p w14:paraId="25EFDE43">
            <w:pPr>
              <w:adjustRightInd w:val="0"/>
              <w:snapToGrid w:val="0"/>
              <w:spacing w:line="276" w:lineRule="auto"/>
              <w:rPr>
                <w:rFonts w:ascii="宋体" w:hAnsi="Calibri" w:eastAsia="宋体" w:cs="Times New Roman"/>
                <w:color w:val="000000"/>
                <w:kern w:val="0"/>
                <w:sz w:val="18"/>
                <w:szCs w:val="18"/>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hint="eastAsia" w:ascii="宋体" w:hAnsi="宋体" w:eastAsia="宋体" w:cs="Times New Roman"/>
                <w:color w:val="000000"/>
                <w:kern w:val="0"/>
                <w:szCs w:val="21"/>
              </w:rPr>
              <w:t>教育情怀</w:t>
            </w:r>
          </w:p>
        </w:tc>
        <w:tc>
          <w:tcPr>
            <w:tcW w:w="5427" w:type="dxa"/>
            <w:vAlign w:val="center"/>
          </w:tcPr>
          <w:p w14:paraId="082961CD">
            <w:pPr>
              <w:adjustRightInd w:val="0"/>
              <w:snapToGrid w:val="0"/>
              <w:spacing w:line="276" w:lineRule="auto"/>
              <w:jc w:val="left"/>
              <w:rPr>
                <w:rFonts w:ascii="宋体" w:hAnsi="Calibri" w:eastAsia="宋体" w:cs="Times New Roman"/>
                <w:szCs w:val="21"/>
              </w:rPr>
            </w:pPr>
            <w:r>
              <w:rPr>
                <w:rFonts w:ascii="宋体" w:hAnsi="宋体" w:eastAsia="宋体" w:cs="Times New Roman"/>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5B9F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86" w:type="dxa"/>
            <w:vAlign w:val="center"/>
          </w:tcPr>
          <w:p w14:paraId="23BC4130">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183" w:type="dxa"/>
            <w:vAlign w:val="center"/>
          </w:tcPr>
          <w:p w14:paraId="35F8BEB3">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7.</w:t>
            </w:r>
            <w:r>
              <w:rPr>
                <w:rFonts w:hint="eastAsia" w:ascii="宋体" w:hAnsi="宋体" w:eastAsia="宋体" w:cs="Times New Roman"/>
                <w:color w:val="000000"/>
                <w:spacing w:val="2"/>
                <w:kern w:val="0"/>
                <w:szCs w:val="21"/>
              </w:rPr>
              <w:t>学会反思</w:t>
            </w:r>
          </w:p>
        </w:tc>
        <w:tc>
          <w:tcPr>
            <w:tcW w:w="5427" w:type="dxa"/>
            <w:vAlign w:val="center"/>
          </w:tcPr>
          <w:p w14:paraId="5EA8EAA5">
            <w:pPr>
              <w:adjustRightInd w:val="0"/>
              <w:snapToGrid w:val="0"/>
              <w:spacing w:line="276" w:lineRule="auto"/>
              <w:jc w:val="left"/>
              <w:rPr>
                <w:rFonts w:ascii="宋体" w:hAnsi="Calibri" w:eastAsia="宋体" w:cs="宋体"/>
                <w:color w:val="000000"/>
                <w:szCs w:val="21"/>
              </w:rPr>
            </w:pPr>
            <w:r>
              <w:rPr>
                <w:rFonts w:ascii="宋体" w:hAnsi="宋体" w:eastAsia="宋体" w:cs="Times New Roman"/>
                <w:color w:val="000000"/>
                <w:szCs w:val="21"/>
              </w:rPr>
              <w:t>7-1：【教育视野开阔】积极参加基础教育领域的国内外交流，了解国内外基础教育改革发展的动态，具有宽广的教育视野，能够主动适应新时代和教育发展需求。</w:t>
            </w:r>
          </w:p>
        </w:tc>
      </w:tr>
      <w:tr w14:paraId="7548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86" w:type="dxa"/>
            <w:vAlign w:val="center"/>
          </w:tcPr>
          <w:p w14:paraId="6F638A15">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183" w:type="dxa"/>
            <w:vAlign w:val="center"/>
          </w:tcPr>
          <w:p w14:paraId="59B5477E">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spacing w:val="2"/>
                <w:kern w:val="0"/>
                <w:szCs w:val="21"/>
              </w:rPr>
              <w:t>3</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学科素养</w:t>
            </w:r>
          </w:p>
        </w:tc>
        <w:tc>
          <w:tcPr>
            <w:tcW w:w="5427" w:type="dxa"/>
            <w:vAlign w:val="center"/>
          </w:tcPr>
          <w:p w14:paraId="63F371F8">
            <w:pPr>
              <w:shd w:val="clear" w:color="auto" w:fill="FFFFFF"/>
              <w:adjustRightInd w:val="0"/>
              <w:snapToGrid w:val="0"/>
              <w:spacing w:line="276" w:lineRule="auto"/>
              <w:jc w:val="left"/>
              <w:rPr>
                <w:rFonts w:ascii="宋体" w:hAnsi="Calibri" w:eastAsia="宋体" w:cs="Times New Roman"/>
                <w:color w:val="000000"/>
                <w:szCs w:val="21"/>
              </w:rPr>
            </w:pPr>
            <w:r>
              <w:rPr>
                <w:rFonts w:ascii="宋体" w:hAnsi="宋体" w:eastAsia="宋体" w:cs="Times New Roman"/>
                <w:color w:val="000000"/>
                <w:szCs w:val="21"/>
              </w:rPr>
              <w:t>3-1：【教育基础扎实】具有一定的人文与科学素养，掌握教育理论基本知识，能够结合小学生认知发展特点，运用教育原理和方法，分析和解决教育教学实践中的问题。</w:t>
            </w:r>
          </w:p>
        </w:tc>
      </w:tr>
      <w:tr w14:paraId="262F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586" w:type="dxa"/>
            <w:vAlign w:val="center"/>
          </w:tcPr>
          <w:p w14:paraId="4B0CCCE6">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183" w:type="dxa"/>
            <w:vAlign w:val="center"/>
          </w:tcPr>
          <w:p w14:paraId="3FEDF9FD">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沟通合作</w:t>
            </w:r>
          </w:p>
        </w:tc>
        <w:tc>
          <w:tcPr>
            <w:tcW w:w="5427" w:type="dxa"/>
            <w:vAlign w:val="center"/>
          </w:tcPr>
          <w:p w14:paraId="011C001B">
            <w:pPr>
              <w:shd w:val="clear" w:color="auto" w:fill="FFFFFF"/>
              <w:adjustRightInd w:val="0"/>
              <w:snapToGrid w:val="0"/>
              <w:spacing w:line="276" w:lineRule="auto"/>
              <w:jc w:val="left"/>
              <w:rPr>
                <w:rFonts w:ascii="宋体" w:hAnsi="Calibri" w:eastAsia="宋体" w:cs="Times New Roman"/>
                <w:szCs w:val="21"/>
              </w:rPr>
            </w:pPr>
            <w:r>
              <w:rPr>
                <w:rFonts w:ascii="宋体" w:hAnsi="宋体" w:eastAsia="宋体" w:cs="Times New Roman"/>
                <w:szCs w:val="21"/>
              </w:rPr>
              <w:t>8-3：【具有国际视野】具备基本的国际理解与交流沟通能力。</w:t>
            </w:r>
          </w:p>
        </w:tc>
      </w:tr>
    </w:tbl>
    <w:p w14:paraId="1A88EC87">
      <w:pPr>
        <w:adjustRightInd w:val="0"/>
        <w:snapToGrid w:val="0"/>
        <w:spacing w:line="360" w:lineRule="auto"/>
        <w:ind w:firstLine="562" w:firstLineChars="200"/>
        <w:rPr>
          <w:rFonts w:ascii="宋体" w:hAnsi="宋体" w:eastAsia="宋体" w:cs="Times New Roman"/>
          <w:b/>
          <w:color w:val="000000"/>
          <w:sz w:val="28"/>
          <w:szCs w:val="28"/>
        </w:rPr>
      </w:pPr>
    </w:p>
    <w:p w14:paraId="2F95BA01">
      <w:pPr>
        <w:adjustRightInd w:val="0"/>
        <w:snapToGrid w:val="0"/>
        <w:spacing w:line="360" w:lineRule="auto"/>
        <w:ind w:firstLine="562" w:firstLineChars="200"/>
        <w:rPr>
          <w:rFonts w:ascii="宋体" w:hAnsi="宋体" w:eastAsia="宋体" w:cs="Times New Roman"/>
          <w:b/>
          <w:color w:val="000000"/>
          <w:sz w:val="28"/>
          <w:szCs w:val="24"/>
        </w:rPr>
      </w:pPr>
      <w:r>
        <w:rPr>
          <w:rFonts w:hint="eastAsia" w:ascii="宋体" w:hAnsi="宋体" w:eastAsia="宋体" w:cs="Times New Roman"/>
          <w:b/>
          <w:color w:val="000000"/>
          <w:sz w:val="28"/>
          <w:szCs w:val="24"/>
        </w:rPr>
        <w:t>三、课程内容</w:t>
      </w:r>
    </w:p>
    <w:p w14:paraId="35EFDFC1">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w:t>
      </w:r>
      <w:r>
        <w:rPr>
          <w:rFonts w:hint="eastAsia" w:ascii="宋体" w:hAnsi="宋体" w:eastAsia="宋体" w:cs="宋体"/>
          <w:b/>
          <w:color w:val="000000"/>
          <w:kern w:val="0"/>
          <w:sz w:val="24"/>
          <w:szCs w:val="24"/>
        </w:rPr>
        <w:t>外国教育史概</w:t>
      </w:r>
      <w:r>
        <w:rPr>
          <w:rFonts w:hint="eastAsia" w:ascii="宋体" w:hAnsi="宋体" w:eastAsia="宋体" w:cs="Times New Roman"/>
          <w:b/>
          <w:color w:val="000000"/>
          <w:sz w:val="24"/>
          <w:szCs w:val="24"/>
        </w:rPr>
        <w:t>论（本模块各知识点的讲授与学习，可以支撑课程目标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w:t>
      </w:r>
    </w:p>
    <w:p w14:paraId="364C5843">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307031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）什么是外国教育史</w:t>
      </w:r>
    </w:p>
    <w:p w14:paraId="6EEE2E8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）外国教育史的发展与研究现状</w:t>
      </w:r>
    </w:p>
    <w:p w14:paraId="0BDD1DC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）外国教育史的学科功能和学习要求</w:t>
      </w:r>
    </w:p>
    <w:p w14:paraId="62D76E85">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27951E73">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）了解外国教育史的学科性质、研究对象、学科功能和学习要求</w:t>
      </w:r>
    </w:p>
    <w:p w14:paraId="2A1D0EC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）理解外国教育史的内容脉络和研究现状</w:t>
      </w:r>
    </w:p>
    <w:p w14:paraId="2D513DD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）掌握外国教育史的研究视角和研究热点</w:t>
      </w:r>
    </w:p>
    <w:p w14:paraId="4A399E0E">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2D3D5BF7">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通过本章内容学习，使师范生理解外国教育史在整个教育学科中的地位和学习意义，在中外教育史的学习对比中发现我国悠久历史文化中所积累的教育精华，增强民族自豪感和文化自信心。</w:t>
      </w:r>
    </w:p>
    <w:p w14:paraId="249819A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：了解外国教育史的内容安排，理解其学习的现实意义。</w:t>
      </w:r>
    </w:p>
    <w:p w14:paraId="56A4C80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：理解外国教育史的学习意义和实际运用方法，形成分析当今教育现象的历史对比意识。</w:t>
      </w:r>
    </w:p>
    <w:p w14:paraId="6D51A22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（二）教育的起源与东方文明古国的教育（本模块各知识点的讲授与学习，可以支撑课程目标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3A429B00">
      <w:pPr>
        <w:widowControl/>
        <w:adjustRightInd w:val="0"/>
        <w:snapToGrid w:val="0"/>
        <w:spacing w:line="360" w:lineRule="auto"/>
        <w:ind w:firstLine="723" w:firstLineChars="30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1B61601">
      <w:pPr>
        <w:widowControl/>
        <w:adjustRightInd w:val="0"/>
        <w:snapToGrid w:val="0"/>
        <w:spacing w:line="360" w:lineRule="auto"/>
        <w:ind w:firstLine="600" w:firstLineChars="25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）教育的三种起源学说</w:t>
      </w:r>
    </w:p>
    <w:p w14:paraId="1CCE1BB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）原始社会的教育</w:t>
      </w:r>
    </w:p>
    <w:p w14:paraId="749FC31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）古巴比伦、古埃及、古印度、古希伯来的教育</w:t>
      </w:r>
    </w:p>
    <w:p w14:paraId="73B83ABC">
      <w:pPr>
        <w:widowControl/>
        <w:adjustRightInd w:val="0"/>
        <w:snapToGrid w:val="0"/>
        <w:spacing w:line="360" w:lineRule="auto"/>
        <w:ind w:firstLine="723" w:firstLineChars="30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6BC73F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）了解教育起源的主要观点</w:t>
      </w:r>
    </w:p>
    <w:p w14:paraId="536B95B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）理解原始社会教育的特点</w:t>
      </w:r>
    </w:p>
    <w:p w14:paraId="4D4C3F3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）掌握古巴比伦、古埃及和古印度教育的基本特征</w:t>
      </w:r>
    </w:p>
    <w:p w14:paraId="0F392CBC">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624A59A4">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通过本章内容学习，了解域外三大文明古国灿烂的教育文明，并通过对比发现我国古代教育文明的优越性，不断加强人类命运共同体概念的理解，并运用马克思主义的基本哲学思想分析人类文明的发展变化。</w:t>
      </w:r>
    </w:p>
    <w:p w14:paraId="2B93E10D">
      <w:pPr>
        <w:widowControl/>
        <w:adjustRightInd w:val="0"/>
        <w:snapToGrid w:val="0"/>
        <w:spacing w:line="360" w:lineRule="auto"/>
        <w:ind w:firstLine="602" w:firstLineChars="25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：掌握教育的三种起源学说和古印度的种性教育制度</w:t>
      </w:r>
    </w:p>
    <w:p w14:paraId="52B5EEDA">
      <w:pPr>
        <w:widowControl/>
        <w:adjustRightInd w:val="0"/>
        <w:snapToGrid w:val="0"/>
        <w:spacing w:line="360" w:lineRule="auto"/>
        <w:ind w:firstLine="602" w:firstLineChars="25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：理解四个文明古国教育的联系</w:t>
      </w:r>
    </w:p>
    <w:p w14:paraId="73575C91">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（三）古希腊的教育和古罗马的教育（本模块各知识点的讲授与学习，可以支撑课程目标</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w:t>
      </w:r>
    </w:p>
    <w:p w14:paraId="3FE02754">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430962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）古希腊教育的分期、斯巴达和雅典的城邦教育</w:t>
      </w:r>
    </w:p>
    <w:p w14:paraId="17EAE7D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）苏格拉底、柏拉图、亚里士多德、昆体良的教育思想</w:t>
      </w:r>
    </w:p>
    <w:p w14:paraId="3C46E47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）古罗马的教育</w:t>
      </w:r>
    </w:p>
    <w:p w14:paraId="75F5CEB0">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867421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）了解古希腊教育的主要分期及主要成就、古罗马教育概况</w:t>
      </w:r>
    </w:p>
    <w:p w14:paraId="5E44E3C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）理解斯巴达和雅典教育的区别</w:t>
      </w:r>
    </w:p>
    <w:p w14:paraId="4B70627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）掌握四个教育家的教育思想及其现代意义</w:t>
      </w:r>
    </w:p>
    <w:p w14:paraId="53197C4E">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52C3A48C">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通过本章内容学习，使学生了解古代希腊和罗马曾经出现过的伟大教育文明成就，运用历史唯物主义的辩证思维看待今天的希腊和罗马现状，树立不厚古薄今的正确态度。</w:t>
      </w:r>
    </w:p>
    <w:p w14:paraId="13168AD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：理解四个教育家的教育思想的主要内容</w:t>
      </w:r>
    </w:p>
    <w:p w14:paraId="62EC111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：辨析斯巴达和雅典教育的区别及其成因，古罗马帝国时期教育的特征及其历史影响</w:t>
      </w:r>
    </w:p>
    <w:p w14:paraId="1F11700D">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（四）中世纪时期西欧的教育（本模块各知识点的讲授与学习，可以支撑课程目标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652AE1CA">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73C63B2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）基督教的产生及其对中世纪的影响</w:t>
      </w:r>
    </w:p>
    <w:p w14:paraId="3054161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）骑士教育的产生及其特点</w:t>
      </w:r>
    </w:p>
    <w:p w14:paraId="59EAD54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）中世纪大学的产生及影响</w:t>
      </w:r>
    </w:p>
    <w:p w14:paraId="0EF6AC6A">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7DFF8B8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）了解基督教产生的社会背景</w:t>
      </w:r>
    </w:p>
    <w:p w14:paraId="7FBE71E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）区分教会教育和世俗教育的特征</w:t>
      </w:r>
    </w:p>
    <w:p w14:paraId="6D12C08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）理解骑士教育的内容</w:t>
      </w:r>
    </w:p>
    <w:p w14:paraId="4CAA29E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）掌握中世纪大学的作用</w:t>
      </w:r>
    </w:p>
    <w:p w14:paraId="3D4602CF">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40F5341A">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通过本章内容学习，使师范生了解所谓黑暗的中世纪所具有的历史进步意义，没有中世纪一千年的积淀和孕育，伟大的文艺复兴、宗教改革和科学革命等都不可能相继发生。因此，看待任何事物都必须一分为二。</w:t>
      </w:r>
    </w:p>
    <w:p w14:paraId="4B7E951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：教会教育和世俗教育的特征，中世纪大学的历史作用</w:t>
      </w:r>
    </w:p>
    <w:p w14:paraId="7F513E2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：把握经院哲学的历史影响</w:t>
      </w:r>
    </w:p>
    <w:p w14:paraId="6ED458A0">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（五）文艺复兴和宗教改革时期的教育（本模块各知识点的讲授与学习，可以支撑课程目标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20369EC4">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3A1C57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）文艺复兴的产生及其人文主义教育</w:t>
      </w:r>
    </w:p>
    <w:p w14:paraId="3A4B4FD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）宗教改革的背景及其对教育发展的影响</w:t>
      </w:r>
    </w:p>
    <w:p w14:paraId="72E4CBB7">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849756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）了解中世纪和文艺复兴的联系；</w:t>
      </w:r>
    </w:p>
    <w:p w14:paraId="47B8925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）理解人文主义教育的主要内容；</w:t>
      </w:r>
    </w:p>
    <w:p w14:paraId="005C4EB3">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）掌握文艺复兴和宗教改革对西欧近代教育的影响。</w:t>
      </w:r>
    </w:p>
    <w:p w14:paraId="276276D6">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2AE01F95">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回忆和温故西方历史上曾经出现过的划时代事件和重要人物，以及宗教对欧洲诸国的深刻影响，通过对比，发现我国历史同期所创造的灿烂文化对欧洲历史进程的影响，深刻理解我国当前实行的民族区域自治政策的特殊意义。</w:t>
      </w:r>
    </w:p>
    <w:p w14:paraId="7122B05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：理解人文主义教育家的教育主张；国民教育的兴起</w:t>
      </w:r>
    </w:p>
    <w:p w14:paraId="546C5C1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：中世纪教育和文艺复兴时期教育的联系</w:t>
      </w:r>
    </w:p>
    <w:p w14:paraId="457C82D3">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（六）夸美纽斯的教育思想（本模块各知识点的讲授与学习，可以支撑课程目标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17EEA095">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28D71F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）生平活动和代表性著作</w:t>
      </w:r>
    </w:p>
    <w:p w14:paraId="70D42B9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）主要教育观点</w:t>
      </w:r>
    </w:p>
    <w:p w14:paraId="61EAD56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）历史影响和局限性</w:t>
      </w:r>
    </w:p>
    <w:p w14:paraId="5CDF1018">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E6B0BE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）了解夸美纽斯的生平和《大教学论》的影响</w:t>
      </w:r>
    </w:p>
    <w:p w14:paraId="1510EC4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）理解其教育思想的主要观点</w:t>
      </w:r>
    </w:p>
    <w:p w14:paraId="0E4A8CC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）掌握其普及教育思想和教学理论</w:t>
      </w:r>
    </w:p>
    <w:p w14:paraId="3FFC9524">
      <w:pPr>
        <w:adjustRightInd w:val="0"/>
        <w:snapToGrid w:val="0"/>
        <w:spacing w:line="360" w:lineRule="auto"/>
        <w:ind w:firstLine="482" w:firstLineChars="20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0EB8C8CC">
      <w:pPr>
        <w:adjustRightInd w:val="0"/>
        <w:snapToGrid w:val="0"/>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通过本章内容学习，使学生了解欧洲一个小国——捷克所诞生的伟大教育家对世界教育史和教育学科发展所做出的贡献，进而使学生意识到人的的价值是在奋斗中创造的，任何人都不可能轻易成功。</w:t>
      </w:r>
    </w:p>
    <w:p w14:paraId="2604264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：理解夸美纽斯教育思想的主要内容</w:t>
      </w:r>
    </w:p>
    <w:p w14:paraId="1387E56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：理解夸美纽斯教育思想的历史局限性。</w:t>
      </w:r>
    </w:p>
    <w:p w14:paraId="79B3483E">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（七）启蒙运动和洛克、卢梭的教育思想（本模块各知识点的讲授与学习，可以支撑课程目标</w:t>
      </w:r>
      <w:r>
        <w:rPr>
          <w:rFonts w:ascii="宋体" w:hAnsi="宋体" w:eastAsia="宋体" w:cs="Times New Roman"/>
          <w:b/>
          <w:color w:val="000000"/>
          <w:sz w:val="24"/>
          <w:szCs w:val="24"/>
        </w:rPr>
        <w:t>5</w:t>
      </w:r>
      <w:r>
        <w:rPr>
          <w:rFonts w:hint="eastAsia" w:ascii="宋体" w:hAnsi="宋体" w:eastAsia="宋体" w:cs="Times New Roman"/>
          <w:b/>
          <w:color w:val="000000"/>
          <w:sz w:val="24"/>
          <w:szCs w:val="24"/>
        </w:rPr>
        <w:t>）</w:t>
      </w:r>
    </w:p>
    <w:p w14:paraId="2B2B249C">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A12FFA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）启蒙运动的产生和历史作用</w:t>
      </w:r>
    </w:p>
    <w:p w14:paraId="25C8C37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）洛克的绅士教育思想</w:t>
      </w:r>
    </w:p>
    <w:p w14:paraId="33D286B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）卢梭的自然主义教育理论</w:t>
      </w:r>
    </w:p>
    <w:p w14:paraId="5316A4D7">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09FA9F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）了解启蒙运动的历史作用；</w:t>
      </w:r>
    </w:p>
    <w:p w14:paraId="4B3DC58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）理解洛克的白板说；</w:t>
      </w:r>
    </w:p>
    <w:p w14:paraId="3AE9BEC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）掌握卢梭自然主义教育的内涵。</w:t>
      </w:r>
    </w:p>
    <w:p w14:paraId="59DC1BFC">
      <w:pPr>
        <w:widowControl/>
        <w:adjustRightInd w:val="0"/>
        <w:snapToGrid w:val="0"/>
        <w:spacing w:line="360" w:lineRule="auto"/>
        <w:ind w:firstLine="560"/>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78A324F9">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通过本章内容学习，使师范生理解时代与个人之间的关系，没有启蒙运动的时代背景，也就不可能产生洛克和卢梭这样伟大的时代精英。因此，一个人的成功除了个人天赋和后天努力之外，也是时代的产物。</w:t>
      </w:r>
    </w:p>
    <w:p w14:paraId="134550C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：理解洛克白板说、经验论与绅士教育思想之间的关系；卢梭自然主义教育的实质</w:t>
      </w:r>
    </w:p>
    <w:p w14:paraId="7B3892F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：洛克经验论哲学和卢梭的儿童中心主义思想</w:t>
      </w:r>
    </w:p>
    <w:p w14:paraId="2EABE2C0">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（八）</w:t>
      </w:r>
      <w:r>
        <w:rPr>
          <w:rFonts w:ascii="宋体" w:hAnsi="宋体" w:eastAsia="宋体" w:cs="Times New Roman"/>
          <w:b/>
          <w:color w:val="000000"/>
          <w:sz w:val="24"/>
          <w:szCs w:val="24"/>
        </w:rPr>
        <w:t>19</w:t>
      </w:r>
      <w:r>
        <w:rPr>
          <w:rFonts w:hint="eastAsia" w:ascii="宋体" w:hAnsi="宋体" w:eastAsia="宋体" w:cs="Times New Roman"/>
          <w:b/>
          <w:color w:val="000000"/>
          <w:sz w:val="24"/>
          <w:szCs w:val="24"/>
        </w:rPr>
        <w:t>世纪西欧主要国家的教育改革和主要教育家的教育思想（本模块各知识点的讲授与学习，可以支撑课程目标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2730E47E">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271B0A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）英国教育改革与斯宾塞的科学教育思想</w:t>
      </w:r>
      <w:r>
        <w:rPr>
          <w:rFonts w:ascii="宋体" w:hAnsi="宋体" w:eastAsia="宋体" w:cs="宋体"/>
          <w:color w:val="000000"/>
          <w:kern w:val="0"/>
          <w:sz w:val="24"/>
          <w:szCs w:val="24"/>
        </w:rPr>
        <w:t xml:space="preserve"> </w:t>
      </w:r>
    </w:p>
    <w:p w14:paraId="0F45EF6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）德国的教育改革与福禄贝尔、第斯多惠、洪堡的教育思想</w:t>
      </w:r>
    </w:p>
    <w:p w14:paraId="11A448B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）俄国的教育改革与乌申斯基的教育思想</w:t>
      </w:r>
    </w:p>
    <w:p w14:paraId="394294D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）美国教育的改革</w:t>
      </w:r>
    </w:p>
    <w:p w14:paraId="315D87E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5</w:t>
      </w:r>
      <w:r>
        <w:rPr>
          <w:rFonts w:hint="eastAsia" w:ascii="宋体" w:hAnsi="宋体" w:eastAsia="宋体" w:cs="宋体"/>
          <w:color w:val="000000"/>
          <w:kern w:val="0"/>
          <w:sz w:val="24"/>
          <w:szCs w:val="24"/>
        </w:rPr>
        <w:t>）日本的教育改革与福泽谕吉的教育思想</w:t>
      </w:r>
    </w:p>
    <w:p w14:paraId="2DFB978A">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9C0403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w:t>
      </w:r>
      <w:r>
        <w:rPr>
          <w:rFonts w:ascii="宋体" w:hAnsi="宋体" w:eastAsia="宋体" w:cs="宋体"/>
          <w:color w:val="000000"/>
          <w:kern w:val="0"/>
          <w:sz w:val="24"/>
          <w:szCs w:val="24"/>
        </w:rPr>
        <w:t>19</w:t>
      </w:r>
      <w:r>
        <w:rPr>
          <w:rFonts w:hint="eastAsia" w:ascii="宋体" w:hAnsi="宋体" w:eastAsia="宋体" w:cs="宋体"/>
          <w:color w:val="000000"/>
          <w:kern w:val="0"/>
          <w:sz w:val="24"/>
          <w:szCs w:val="24"/>
        </w:rPr>
        <w:t>世纪西欧主要国家教育改革的概况</w:t>
      </w:r>
    </w:p>
    <w:p w14:paraId="2A739FA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）理解主要教育家的教育思想及其历史影响</w:t>
      </w:r>
    </w:p>
    <w:p w14:paraId="3C4B8A3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）理解近代教育制度的确立和近代大学的创建</w:t>
      </w:r>
    </w:p>
    <w:p w14:paraId="3B92510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）掌握主要教育家的教育思想观点</w:t>
      </w:r>
    </w:p>
    <w:p w14:paraId="0EA6A860">
      <w:pPr>
        <w:widowControl/>
        <w:adjustRightInd w:val="0"/>
        <w:snapToGrid w:val="0"/>
        <w:spacing w:line="360" w:lineRule="auto"/>
        <w:ind w:firstLine="560"/>
        <w:jc w:val="left"/>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w:t>
      </w:r>
      <w:r>
        <w:rPr>
          <w:rFonts w:ascii="宋体" w:hAnsi="宋体" w:eastAsia="宋体" w:cs="宋体"/>
          <w:b/>
          <w:bCs/>
          <w:color w:val="000000"/>
          <w:kern w:val="0"/>
          <w:sz w:val="24"/>
          <w:szCs w:val="24"/>
        </w:rPr>
        <w:t>.</w:t>
      </w:r>
      <w:r>
        <w:rPr>
          <w:rFonts w:hint="eastAsia" w:ascii="宋体" w:hAnsi="宋体" w:eastAsia="宋体" w:cs="宋体"/>
          <w:b/>
          <w:bCs/>
          <w:color w:val="000000"/>
          <w:kern w:val="0"/>
          <w:sz w:val="24"/>
          <w:szCs w:val="24"/>
        </w:rPr>
        <w:t>课程思政育人目标</w:t>
      </w:r>
    </w:p>
    <w:p w14:paraId="61FC6A8C">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通过本章内容学习，使师范生了解近代欧洲主要国家教育发展所取得的成就，以及我国同时期教育所存在的落后局面，在对比中理解我国近代所遭受到的侵略，不断增强爱国情怀和报国之志。</w:t>
      </w:r>
    </w:p>
    <w:p w14:paraId="651C7E6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：理解主要教育家的教育观点及其历史意义</w:t>
      </w:r>
    </w:p>
    <w:p w14:paraId="39F2CF8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：近代教育制度的确立对教育发展的历史作用；近代大学的改革内容及其历史影响</w:t>
      </w:r>
    </w:p>
    <w:p w14:paraId="43949DAD">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（九）裴斯泰洛齐和赫尔巴特的教育思想（本模块各知识点的讲授与学习，可以支撑课程目标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49FA4D49">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A54CFD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）裴斯泰洛齐和赫尔巴特的生平和代表性著作</w:t>
      </w:r>
    </w:p>
    <w:p w14:paraId="54A797D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）裴斯泰洛齐和赫尔巴特的教育思想的主要内容</w:t>
      </w:r>
    </w:p>
    <w:p w14:paraId="19CB8BA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）裴斯泰洛齐和赫尔巴特教育思想的历史影响</w:t>
      </w:r>
    </w:p>
    <w:p w14:paraId="32C31C92">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70E430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）了解两个教育家的生平和教育实践活动</w:t>
      </w:r>
    </w:p>
    <w:p w14:paraId="29F5A4B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）理解两个教育家的教育思想及其历史影响</w:t>
      </w:r>
    </w:p>
    <w:p w14:paraId="7E633F5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）掌握赫尔巴特在教育史上的贡献和局限性</w:t>
      </w:r>
    </w:p>
    <w:p w14:paraId="6549E818">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w:t>
      </w:r>
      <w:r>
        <w:rPr>
          <w:rFonts w:ascii="宋体" w:hAnsi="宋体" w:eastAsia="宋体" w:cs="Times New Roman"/>
          <w:b/>
          <w:color w:val="000000"/>
          <w:sz w:val="24"/>
          <w:szCs w:val="24"/>
        </w:rPr>
        <w:t>.</w:t>
      </w:r>
      <w:r>
        <w:rPr>
          <w:rFonts w:hint="eastAsia" w:ascii="宋体" w:hAnsi="宋体" w:eastAsia="宋体" w:cs="Times New Roman"/>
          <w:b/>
          <w:color w:val="000000"/>
          <w:sz w:val="24"/>
          <w:szCs w:val="24"/>
        </w:rPr>
        <w:t>课程思政育人目标</w:t>
      </w:r>
    </w:p>
    <w:p w14:paraId="59859404">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在理解两个伟大教育家教育思想和教育实践的同时，发现他们对近现代教育发展所作出的主要贡献，以及对当前我国教育改革所具有的启发意义。他们两个人毕生的精力都放在了教育事业上，对师范生而言，他们的人生经历具有一定的教育意义。</w:t>
      </w:r>
    </w:p>
    <w:p w14:paraId="52E981C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：理解两个教育家的教育观点及其历史意义</w:t>
      </w:r>
    </w:p>
    <w:p w14:paraId="3D8F3C6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：裴斯泰洛齐的教育理论和赫尔巴特的教育双重教育目的</w:t>
      </w:r>
    </w:p>
    <w:p w14:paraId="7D71C98C">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（十）</w:t>
      </w:r>
      <w:r>
        <w:rPr>
          <w:rFonts w:ascii="宋体" w:hAnsi="宋体" w:eastAsia="宋体" w:cs="Times New Roman"/>
          <w:b/>
          <w:color w:val="000000"/>
          <w:sz w:val="24"/>
          <w:szCs w:val="24"/>
        </w:rPr>
        <w:t>20</w:t>
      </w:r>
      <w:r>
        <w:rPr>
          <w:rFonts w:hint="eastAsia" w:ascii="宋体" w:hAnsi="宋体" w:eastAsia="宋体" w:cs="Times New Roman"/>
          <w:b/>
          <w:color w:val="000000"/>
          <w:sz w:val="24"/>
          <w:szCs w:val="24"/>
        </w:rPr>
        <w:t>世纪前期欧美教育改革运动（本模块各知识点的讲授与学习，可以支撑课程目标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151A3F64">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419B71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）欧洲新教育运动和美国进步主义教育运动概况</w:t>
      </w:r>
    </w:p>
    <w:p w14:paraId="1055307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）欧美实验教育学的产生及其影响</w:t>
      </w:r>
    </w:p>
    <w:p w14:paraId="1C5A01C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）主要教育家的教育思想</w:t>
      </w:r>
    </w:p>
    <w:p w14:paraId="30B9485F">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7424C14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）了解欧洲新教育运动和美国进步主义教育运动的进程</w:t>
      </w:r>
    </w:p>
    <w:p w14:paraId="6A777EE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）理解实验教育学的产生及其对教育学科发展的影响</w:t>
      </w:r>
    </w:p>
    <w:p w14:paraId="3DEFB043">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）掌握主要教育家的教育思想</w:t>
      </w:r>
    </w:p>
    <w:p w14:paraId="1E6278C9">
      <w:pPr>
        <w:widowControl/>
        <w:adjustRightInd w:val="0"/>
        <w:snapToGrid w:val="0"/>
        <w:spacing w:line="360" w:lineRule="auto"/>
        <w:ind w:firstLine="560"/>
        <w:jc w:val="left"/>
        <w:rPr>
          <w:rFonts w:ascii="宋体" w:hAnsi="宋体" w:eastAsia="宋体" w:cs="宋体"/>
          <w:b/>
          <w:bCs/>
          <w:color w:val="000000"/>
          <w:kern w:val="0"/>
          <w:sz w:val="24"/>
          <w:szCs w:val="24"/>
        </w:rPr>
      </w:pPr>
      <w:r>
        <w:rPr>
          <w:rFonts w:ascii="宋体" w:hAnsi="宋体" w:eastAsia="宋体" w:cs="宋体"/>
          <w:b/>
          <w:bCs/>
          <w:color w:val="000000"/>
          <w:kern w:val="0"/>
          <w:sz w:val="24"/>
          <w:szCs w:val="24"/>
        </w:rPr>
        <w:t>3.</w:t>
      </w:r>
      <w:r>
        <w:rPr>
          <w:rFonts w:hint="eastAsia" w:ascii="宋体" w:hAnsi="宋体" w:eastAsia="宋体" w:cs="宋体"/>
          <w:b/>
          <w:bCs/>
          <w:color w:val="000000"/>
          <w:kern w:val="0"/>
          <w:sz w:val="24"/>
          <w:szCs w:val="24"/>
        </w:rPr>
        <w:t>课程思政育人目标</w:t>
      </w:r>
    </w:p>
    <w:p w14:paraId="31D7632B">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理解教育工作的复杂性和艰巨性，欧洲的新教育革新运动虽然取得了一定的成功，但影响毕竟是有限的。一个人一生能做的事情也是有限的，因此要想作出成就，就必须专注于自己喜欢的事情，并努力坚持。</w:t>
      </w:r>
    </w:p>
    <w:p w14:paraId="228B890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：理解欧洲新教育运动和美国进步主义教育运动之间的联系</w:t>
      </w:r>
    </w:p>
    <w:p w14:paraId="6C8F10F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：实验教育学的历史影响</w:t>
      </w:r>
    </w:p>
    <w:p w14:paraId="1EEC48E7">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（十一）杜威的教育思想（本模块各知识点的讲授与学习，可以支撑课程目标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24FB6DF7">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72845E8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）杜威的生平和代表性著作</w:t>
      </w:r>
    </w:p>
    <w:p w14:paraId="4877129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）杜威教育思想的主要内容</w:t>
      </w:r>
    </w:p>
    <w:p w14:paraId="1610F32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）杜威教育思想的历史影响</w:t>
      </w:r>
    </w:p>
    <w:p w14:paraId="1D0757DF">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575C5D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）了解杜威的生平和教育实践活动</w:t>
      </w:r>
    </w:p>
    <w:p w14:paraId="5371980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）理解杜威的教育目的观</w:t>
      </w:r>
    </w:p>
    <w:p w14:paraId="678069A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）掌握杜威的课程与教学论</w:t>
      </w:r>
    </w:p>
    <w:p w14:paraId="69CB4D3B">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1B81BD7F">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p w14:paraId="7B0B8B5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：理解杜威的教育观点及其历史意义</w:t>
      </w:r>
    </w:p>
    <w:p w14:paraId="0870CC9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：杜威教育目的的特征</w:t>
      </w:r>
    </w:p>
    <w:p w14:paraId="6F254716">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（十二）现代欧美教育思潮（本模块各知识点的讲授与学习，可以支撑课程目标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28D4DCD6">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F6124F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）现代欧美教育哲学概况</w:t>
      </w:r>
    </w:p>
    <w:p w14:paraId="505C49F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）存在主义、永恒主义、要素主义等教育思潮的主要内容</w:t>
      </w:r>
    </w:p>
    <w:p w14:paraId="09C80FE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）教育思潮的历史影响</w:t>
      </w:r>
    </w:p>
    <w:p w14:paraId="7D38C179">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C82E18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）了解欧美教育思潮概况</w:t>
      </w:r>
    </w:p>
    <w:p w14:paraId="53F08E2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）理解主要教育思潮的主要观点</w:t>
      </w:r>
    </w:p>
    <w:p w14:paraId="47EF110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）掌握主要教育思潮的历史影响</w:t>
      </w:r>
    </w:p>
    <w:p w14:paraId="19273B02">
      <w:pPr>
        <w:adjustRightInd w:val="0"/>
        <w:snapToGrid w:val="0"/>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3326719D">
      <w:pPr>
        <w:adjustRightInd w:val="0"/>
        <w:snapToGrid w:val="0"/>
        <w:spacing w:line="360" w:lineRule="auto"/>
        <w:ind w:firstLine="480" w:firstLineChars="200"/>
        <w:rPr>
          <w:rFonts w:ascii="宋体" w:hAnsi="宋体" w:eastAsia="宋体" w:cs="Times New Roman"/>
          <w:bCs/>
          <w:color w:val="000000"/>
          <w:sz w:val="24"/>
        </w:rPr>
      </w:pPr>
      <w:r>
        <w:rPr>
          <w:rFonts w:hint="eastAsia" w:ascii="宋体" w:hAnsi="宋体" w:eastAsia="宋体" w:cs="Times New Roman"/>
          <w:bCs/>
          <w:color w:val="000000"/>
          <w:sz w:val="24"/>
        </w:rPr>
        <w:t>通过本质内容学习，使学生理解不同教育思潮产生的时代背景和产生的历史价值，并从中体会社会思潮对个人成长发展所产生的潜移默化的深刻影响，以及未来如何在工作中加强对小学生的思想引导。</w:t>
      </w:r>
    </w:p>
    <w:p w14:paraId="65E0062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：理解现代欧美主要教育哲学</w:t>
      </w:r>
    </w:p>
    <w:p w14:paraId="10EBDC8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：存在主义、分析哲学和后现代主义教育思潮</w:t>
      </w:r>
    </w:p>
    <w:p w14:paraId="1A6D2C7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教学内容与课程目标的对应关系及学时分配如表所示：</w:t>
      </w:r>
    </w:p>
    <w:tbl>
      <w:tblPr>
        <w:tblStyle w:val="30"/>
        <w:tblW w:w="876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3415"/>
        <w:gridCol w:w="1580"/>
        <w:gridCol w:w="2450"/>
        <w:gridCol w:w="9"/>
        <w:gridCol w:w="722"/>
      </w:tblGrid>
      <w:tr w14:paraId="65B4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85" w:type="dxa"/>
            <w:shd w:val="clear" w:color="auto" w:fill="FFFFFF"/>
            <w:vAlign w:val="center"/>
          </w:tcPr>
          <w:p w14:paraId="649FD0A0">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序号</w:t>
            </w:r>
          </w:p>
        </w:tc>
        <w:tc>
          <w:tcPr>
            <w:tcW w:w="3415" w:type="dxa"/>
            <w:shd w:val="clear" w:color="auto" w:fill="FFFFFF"/>
            <w:vAlign w:val="center"/>
          </w:tcPr>
          <w:p w14:paraId="20A13B3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1580" w:type="dxa"/>
            <w:shd w:val="clear" w:color="auto" w:fill="FFFFFF"/>
            <w:vAlign w:val="center"/>
          </w:tcPr>
          <w:p w14:paraId="18C3564F">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支撑的课程目标</w:t>
            </w:r>
          </w:p>
        </w:tc>
        <w:tc>
          <w:tcPr>
            <w:tcW w:w="2450" w:type="dxa"/>
            <w:shd w:val="clear" w:color="auto" w:fill="FFFFFF"/>
            <w:vAlign w:val="center"/>
          </w:tcPr>
          <w:p w14:paraId="2E277CFA">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支撑的毕业要求指标点</w:t>
            </w:r>
          </w:p>
        </w:tc>
        <w:tc>
          <w:tcPr>
            <w:tcW w:w="729" w:type="dxa"/>
            <w:gridSpan w:val="2"/>
            <w:shd w:val="clear" w:color="auto" w:fill="FFFFFF"/>
            <w:vAlign w:val="center"/>
          </w:tcPr>
          <w:p w14:paraId="1FEE3707">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讲授学时</w:t>
            </w:r>
          </w:p>
        </w:tc>
      </w:tr>
      <w:tr w14:paraId="3C3F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85" w:type="dxa"/>
            <w:shd w:val="clear" w:color="auto" w:fill="FFFFFF"/>
            <w:vAlign w:val="center"/>
          </w:tcPr>
          <w:p w14:paraId="17416160">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3415" w:type="dxa"/>
            <w:shd w:val="clear" w:color="auto" w:fill="FFFFFF"/>
            <w:vAlign w:val="center"/>
          </w:tcPr>
          <w:p w14:paraId="505E4E33">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外国教育史概述</w:t>
            </w:r>
          </w:p>
        </w:tc>
        <w:tc>
          <w:tcPr>
            <w:tcW w:w="1580" w:type="dxa"/>
            <w:shd w:val="clear" w:color="auto" w:fill="FFFFFF"/>
            <w:vAlign w:val="center"/>
          </w:tcPr>
          <w:p w14:paraId="349FC693">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shd w:val="clear" w:color="auto" w:fill="FFFFFF"/>
            <w:vAlign w:val="center"/>
          </w:tcPr>
          <w:p w14:paraId="12946E09">
            <w:pPr>
              <w:spacing w:line="276" w:lineRule="auto"/>
              <w:jc w:val="center"/>
              <w:rPr>
                <w:rFonts w:ascii="宋体" w:hAnsi="宋体" w:eastAsia="宋体" w:cs="Times New Roman"/>
                <w:color w:val="000000"/>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shd w:val="clear" w:color="auto" w:fill="FFFFFF"/>
            <w:vAlign w:val="center"/>
          </w:tcPr>
          <w:p w14:paraId="6E5A5CF4">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A67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85" w:type="dxa"/>
            <w:vAlign w:val="center"/>
          </w:tcPr>
          <w:p w14:paraId="35F4D421">
            <w:pPr>
              <w:spacing w:line="276" w:lineRule="auto"/>
              <w:jc w:val="center"/>
              <w:rPr>
                <w:rFonts w:ascii="宋体" w:hAnsi="宋体" w:eastAsia="宋体" w:cs="Times New Roman"/>
                <w:szCs w:val="21"/>
              </w:rPr>
            </w:pPr>
            <w:r>
              <w:rPr>
                <w:rFonts w:ascii="宋体" w:hAnsi="宋体" w:eastAsia="宋体" w:cs="Times New Roman"/>
                <w:szCs w:val="21"/>
              </w:rPr>
              <w:t>2</w:t>
            </w:r>
          </w:p>
        </w:tc>
        <w:tc>
          <w:tcPr>
            <w:tcW w:w="3415" w:type="dxa"/>
            <w:vAlign w:val="center"/>
          </w:tcPr>
          <w:p w14:paraId="6CF3E8F3">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教育的起源和东方文明古国的教育</w:t>
            </w:r>
          </w:p>
        </w:tc>
        <w:tc>
          <w:tcPr>
            <w:tcW w:w="1580" w:type="dxa"/>
            <w:vAlign w:val="center"/>
          </w:tcPr>
          <w:p w14:paraId="1C4236B8">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7AB274C9">
            <w:pPr>
              <w:spacing w:line="276" w:lineRule="auto"/>
              <w:jc w:val="center"/>
              <w:rPr>
                <w:rFonts w:ascii="宋体" w:hAnsi="宋体"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29" w:type="dxa"/>
            <w:gridSpan w:val="2"/>
            <w:vAlign w:val="center"/>
          </w:tcPr>
          <w:p w14:paraId="64F7B544">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73B1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85" w:type="dxa"/>
            <w:vAlign w:val="center"/>
          </w:tcPr>
          <w:p w14:paraId="0C0AB082">
            <w:pPr>
              <w:spacing w:line="276" w:lineRule="auto"/>
              <w:jc w:val="center"/>
              <w:rPr>
                <w:rFonts w:ascii="宋体" w:hAnsi="宋体" w:eastAsia="宋体" w:cs="Times New Roman"/>
                <w:szCs w:val="21"/>
              </w:rPr>
            </w:pPr>
            <w:r>
              <w:rPr>
                <w:rFonts w:ascii="宋体" w:hAnsi="宋体" w:eastAsia="宋体" w:cs="Times New Roman"/>
                <w:szCs w:val="21"/>
              </w:rPr>
              <w:t>3</w:t>
            </w:r>
          </w:p>
        </w:tc>
        <w:tc>
          <w:tcPr>
            <w:tcW w:w="3415" w:type="dxa"/>
            <w:vAlign w:val="center"/>
          </w:tcPr>
          <w:p w14:paraId="5590B84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古希腊和古罗马的教育</w:t>
            </w:r>
          </w:p>
        </w:tc>
        <w:tc>
          <w:tcPr>
            <w:tcW w:w="1580" w:type="dxa"/>
            <w:vAlign w:val="center"/>
          </w:tcPr>
          <w:p w14:paraId="63E6DEC8">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2B1A6D28">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73634DE3">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641A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5" w:type="dxa"/>
            <w:vAlign w:val="center"/>
          </w:tcPr>
          <w:p w14:paraId="5D2389A5">
            <w:pPr>
              <w:spacing w:line="276" w:lineRule="auto"/>
              <w:jc w:val="center"/>
              <w:rPr>
                <w:rFonts w:ascii="宋体" w:hAnsi="宋体" w:eastAsia="宋体" w:cs="Times New Roman"/>
                <w:szCs w:val="21"/>
              </w:rPr>
            </w:pPr>
            <w:r>
              <w:rPr>
                <w:rFonts w:ascii="宋体" w:hAnsi="宋体" w:eastAsia="宋体" w:cs="Times New Roman"/>
                <w:szCs w:val="21"/>
              </w:rPr>
              <w:t>4</w:t>
            </w:r>
          </w:p>
        </w:tc>
        <w:tc>
          <w:tcPr>
            <w:tcW w:w="3415" w:type="dxa"/>
            <w:vAlign w:val="center"/>
          </w:tcPr>
          <w:p w14:paraId="0AE49B4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中世纪时期西欧的教育</w:t>
            </w:r>
          </w:p>
        </w:tc>
        <w:tc>
          <w:tcPr>
            <w:tcW w:w="1580" w:type="dxa"/>
            <w:vAlign w:val="center"/>
          </w:tcPr>
          <w:p w14:paraId="4A7E3CBB">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350A921F">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3F3EAA39">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7782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85" w:type="dxa"/>
            <w:vAlign w:val="center"/>
          </w:tcPr>
          <w:p w14:paraId="79056216">
            <w:pPr>
              <w:spacing w:line="276" w:lineRule="auto"/>
              <w:jc w:val="center"/>
              <w:rPr>
                <w:rFonts w:ascii="宋体" w:hAnsi="宋体" w:eastAsia="宋体" w:cs="Times New Roman"/>
                <w:szCs w:val="21"/>
              </w:rPr>
            </w:pPr>
            <w:r>
              <w:rPr>
                <w:rFonts w:ascii="宋体" w:hAnsi="宋体" w:eastAsia="宋体" w:cs="Times New Roman"/>
                <w:szCs w:val="21"/>
              </w:rPr>
              <w:t>5</w:t>
            </w:r>
          </w:p>
        </w:tc>
        <w:tc>
          <w:tcPr>
            <w:tcW w:w="3415" w:type="dxa"/>
            <w:vAlign w:val="center"/>
          </w:tcPr>
          <w:p w14:paraId="177C30C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文艺复兴和宗教改革时期的教育</w:t>
            </w:r>
          </w:p>
        </w:tc>
        <w:tc>
          <w:tcPr>
            <w:tcW w:w="1580" w:type="dxa"/>
            <w:vAlign w:val="center"/>
          </w:tcPr>
          <w:p w14:paraId="776880E0">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CCD653A">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16E69A0E">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1667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85" w:type="dxa"/>
            <w:vAlign w:val="center"/>
          </w:tcPr>
          <w:p w14:paraId="665D5917">
            <w:pPr>
              <w:spacing w:line="276" w:lineRule="auto"/>
              <w:jc w:val="center"/>
              <w:rPr>
                <w:rFonts w:ascii="宋体" w:hAnsi="宋体" w:eastAsia="宋体" w:cs="Times New Roman"/>
                <w:szCs w:val="21"/>
              </w:rPr>
            </w:pPr>
            <w:r>
              <w:rPr>
                <w:rFonts w:ascii="宋体" w:hAnsi="宋体" w:eastAsia="宋体" w:cs="Times New Roman"/>
                <w:szCs w:val="21"/>
              </w:rPr>
              <w:t>6</w:t>
            </w:r>
          </w:p>
        </w:tc>
        <w:tc>
          <w:tcPr>
            <w:tcW w:w="3415" w:type="dxa"/>
            <w:vAlign w:val="center"/>
          </w:tcPr>
          <w:p w14:paraId="52F3933E">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夸美纽斯的教育思想</w:t>
            </w:r>
          </w:p>
        </w:tc>
        <w:tc>
          <w:tcPr>
            <w:tcW w:w="1580" w:type="dxa"/>
            <w:vAlign w:val="center"/>
          </w:tcPr>
          <w:p w14:paraId="7C86740E">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4C162059">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2CD06501">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27DA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85" w:type="dxa"/>
            <w:vAlign w:val="center"/>
          </w:tcPr>
          <w:p w14:paraId="1D85F942">
            <w:pPr>
              <w:spacing w:line="276" w:lineRule="auto"/>
              <w:jc w:val="center"/>
              <w:rPr>
                <w:rFonts w:ascii="宋体" w:hAnsi="宋体" w:eastAsia="宋体" w:cs="Times New Roman"/>
                <w:szCs w:val="21"/>
              </w:rPr>
            </w:pPr>
            <w:r>
              <w:rPr>
                <w:rFonts w:ascii="宋体" w:hAnsi="宋体" w:eastAsia="宋体" w:cs="Times New Roman"/>
                <w:szCs w:val="21"/>
              </w:rPr>
              <w:t>7</w:t>
            </w:r>
          </w:p>
        </w:tc>
        <w:tc>
          <w:tcPr>
            <w:tcW w:w="3415" w:type="dxa"/>
            <w:vAlign w:val="center"/>
          </w:tcPr>
          <w:p w14:paraId="141B440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启蒙运动和洛克、卢梭的教育思想</w:t>
            </w:r>
          </w:p>
        </w:tc>
        <w:tc>
          <w:tcPr>
            <w:tcW w:w="1580" w:type="dxa"/>
            <w:vAlign w:val="center"/>
          </w:tcPr>
          <w:p w14:paraId="48547874">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43D4ACBC">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2591ADC7">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3403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13C46AB">
            <w:pPr>
              <w:spacing w:line="276" w:lineRule="auto"/>
              <w:jc w:val="center"/>
              <w:rPr>
                <w:rFonts w:ascii="宋体" w:hAnsi="宋体" w:eastAsia="宋体" w:cs="Times New Roman"/>
                <w:szCs w:val="21"/>
              </w:rPr>
            </w:pPr>
            <w:r>
              <w:rPr>
                <w:rFonts w:ascii="宋体" w:hAnsi="宋体" w:eastAsia="宋体" w:cs="Times New Roman"/>
                <w:szCs w:val="21"/>
              </w:rPr>
              <w:t>8</w:t>
            </w:r>
          </w:p>
        </w:tc>
        <w:tc>
          <w:tcPr>
            <w:tcW w:w="3415" w:type="dxa"/>
            <w:vAlign w:val="center"/>
          </w:tcPr>
          <w:p w14:paraId="6ABBD28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19</w:t>
            </w:r>
            <w:r>
              <w:rPr>
                <w:rFonts w:hint="eastAsia" w:ascii="宋体" w:hAnsi="宋体" w:eastAsia="宋体" w:cs="Times New Roman"/>
                <w:color w:val="000000"/>
                <w:szCs w:val="21"/>
              </w:rPr>
              <w:t>世纪西欧主要国家的教育改革和主要教育家的教育思想</w:t>
            </w:r>
          </w:p>
        </w:tc>
        <w:tc>
          <w:tcPr>
            <w:tcW w:w="1580" w:type="dxa"/>
            <w:vAlign w:val="center"/>
          </w:tcPr>
          <w:p w14:paraId="184C58C0">
            <w:pPr>
              <w:spacing w:line="276" w:lineRule="auto"/>
              <w:jc w:val="center"/>
              <w:rPr>
                <w:rFonts w:ascii="宋体" w:hAnsi="宋体"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0334D1E7">
            <w:pPr>
              <w:spacing w:line="276" w:lineRule="auto"/>
              <w:jc w:val="center"/>
              <w:rPr>
                <w:rFonts w:ascii="宋体" w:hAnsi="宋体" w:eastAsia="宋体" w:cs="Times New Roman"/>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62248D14">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0D50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423ECE10">
            <w:pPr>
              <w:spacing w:line="276" w:lineRule="auto"/>
              <w:jc w:val="center"/>
              <w:rPr>
                <w:rFonts w:ascii="宋体" w:hAnsi="宋体" w:eastAsia="宋体" w:cs="Times New Roman"/>
                <w:szCs w:val="21"/>
              </w:rPr>
            </w:pPr>
            <w:r>
              <w:rPr>
                <w:rFonts w:ascii="宋体" w:hAnsi="宋体" w:eastAsia="宋体" w:cs="Times New Roman"/>
                <w:szCs w:val="21"/>
              </w:rPr>
              <w:t>9</w:t>
            </w:r>
          </w:p>
        </w:tc>
        <w:tc>
          <w:tcPr>
            <w:tcW w:w="3415" w:type="dxa"/>
            <w:vAlign w:val="center"/>
          </w:tcPr>
          <w:p w14:paraId="56A9196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裴斯泰洛齐和赫尔巴特的教育思想</w:t>
            </w:r>
          </w:p>
        </w:tc>
        <w:tc>
          <w:tcPr>
            <w:tcW w:w="1580" w:type="dxa"/>
            <w:vAlign w:val="center"/>
          </w:tcPr>
          <w:p w14:paraId="330C311E">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67E68313">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64C9D7BE">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4CDE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1E7E5FEE">
            <w:pPr>
              <w:spacing w:line="276" w:lineRule="auto"/>
              <w:jc w:val="center"/>
              <w:rPr>
                <w:rFonts w:ascii="宋体" w:hAnsi="宋体" w:eastAsia="宋体" w:cs="Times New Roman"/>
                <w:szCs w:val="21"/>
              </w:rPr>
            </w:pPr>
            <w:r>
              <w:rPr>
                <w:rFonts w:ascii="宋体" w:hAnsi="宋体" w:eastAsia="宋体" w:cs="Times New Roman"/>
                <w:szCs w:val="21"/>
              </w:rPr>
              <w:t>10</w:t>
            </w:r>
          </w:p>
        </w:tc>
        <w:tc>
          <w:tcPr>
            <w:tcW w:w="3415" w:type="dxa"/>
            <w:vAlign w:val="center"/>
          </w:tcPr>
          <w:p w14:paraId="2290BEA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20</w:t>
            </w:r>
            <w:r>
              <w:rPr>
                <w:rFonts w:hint="eastAsia" w:ascii="宋体" w:hAnsi="宋体" w:eastAsia="宋体" w:cs="Times New Roman"/>
                <w:color w:val="000000"/>
                <w:szCs w:val="21"/>
              </w:rPr>
              <w:t>世纪前期欧美教育改革运动</w:t>
            </w:r>
          </w:p>
        </w:tc>
        <w:tc>
          <w:tcPr>
            <w:tcW w:w="1580" w:type="dxa"/>
            <w:vAlign w:val="center"/>
          </w:tcPr>
          <w:p w14:paraId="2499667F">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173FBF23">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678E1B83">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4798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166C90A7">
            <w:pPr>
              <w:spacing w:line="276" w:lineRule="auto"/>
              <w:jc w:val="center"/>
              <w:rPr>
                <w:rFonts w:ascii="宋体" w:hAnsi="宋体" w:eastAsia="宋体" w:cs="Times New Roman"/>
                <w:szCs w:val="21"/>
              </w:rPr>
            </w:pPr>
            <w:r>
              <w:rPr>
                <w:rFonts w:ascii="宋体" w:hAnsi="宋体" w:eastAsia="宋体" w:cs="Times New Roman"/>
                <w:szCs w:val="21"/>
              </w:rPr>
              <w:t>11</w:t>
            </w:r>
          </w:p>
        </w:tc>
        <w:tc>
          <w:tcPr>
            <w:tcW w:w="3415" w:type="dxa"/>
            <w:vAlign w:val="center"/>
          </w:tcPr>
          <w:p w14:paraId="64A55B6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杜威的教育思想</w:t>
            </w:r>
          </w:p>
        </w:tc>
        <w:tc>
          <w:tcPr>
            <w:tcW w:w="1580" w:type="dxa"/>
            <w:vAlign w:val="center"/>
          </w:tcPr>
          <w:p w14:paraId="73989079">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2</w:t>
            </w:r>
            <w:r>
              <w:rPr>
                <w:rFonts w:hint="eastAsia" w:ascii="宋体" w:hAnsi="宋体" w:eastAsia="宋体" w:cs="Times New Roman"/>
                <w:kern w:val="0"/>
                <w:szCs w:val="21"/>
              </w:rPr>
              <w:t>、</w:t>
            </w:r>
            <w:r>
              <w:rPr>
                <w:rFonts w:ascii="宋体" w:hAnsi="宋体" w:eastAsia="宋体" w:cs="Times New Roman"/>
                <w:kern w:val="0"/>
                <w:szCs w:val="21"/>
              </w:rPr>
              <w:t>3</w:t>
            </w:r>
          </w:p>
        </w:tc>
        <w:tc>
          <w:tcPr>
            <w:tcW w:w="2450" w:type="dxa"/>
            <w:vAlign w:val="center"/>
          </w:tcPr>
          <w:p w14:paraId="461F811C">
            <w:pPr>
              <w:spacing w:line="276" w:lineRule="auto"/>
              <w:jc w:val="center"/>
              <w:rPr>
                <w:rFonts w:ascii="宋体" w:hAnsi="宋体" w:eastAsia="宋体" w:cs="Times New Roman"/>
                <w:kern w:val="0"/>
                <w:szCs w:val="21"/>
              </w:rPr>
            </w:pPr>
            <w:r>
              <w:rPr>
                <w:rFonts w:ascii="宋体" w:hAnsi="宋体" w:eastAsia="宋体" w:cs="Times New Roman"/>
                <w:kern w:val="0"/>
                <w:szCs w:val="21"/>
              </w:rPr>
              <w:t>2-2</w:t>
            </w:r>
            <w:r>
              <w:rPr>
                <w:rFonts w:hint="eastAsia" w:ascii="宋体" w:hAnsi="宋体" w:eastAsia="宋体" w:cs="Times New Roman"/>
                <w:kern w:val="0"/>
                <w:szCs w:val="21"/>
              </w:rPr>
              <w:t>、</w:t>
            </w:r>
            <w:r>
              <w:rPr>
                <w:rFonts w:ascii="宋体" w:hAnsi="宋体" w:eastAsia="宋体" w:cs="Times New Roman"/>
                <w:kern w:val="0"/>
                <w:szCs w:val="21"/>
              </w:rPr>
              <w:t>3-1</w:t>
            </w:r>
          </w:p>
        </w:tc>
        <w:tc>
          <w:tcPr>
            <w:tcW w:w="729" w:type="dxa"/>
            <w:gridSpan w:val="2"/>
            <w:vAlign w:val="center"/>
          </w:tcPr>
          <w:p w14:paraId="069219C1">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r>
      <w:tr w14:paraId="6079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85" w:type="dxa"/>
            <w:vAlign w:val="center"/>
          </w:tcPr>
          <w:p w14:paraId="66254485">
            <w:pPr>
              <w:spacing w:line="276" w:lineRule="auto"/>
              <w:jc w:val="center"/>
              <w:rPr>
                <w:rFonts w:ascii="宋体" w:hAnsi="宋体" w:eastAsia="宋体" w:cs="Times New Roman"/>
                <w:szCs w:val="21"/>
              </w:rPr>
            </w:pPr>
            <w:r>
              <w:rPr>
                <w:rFonts w:ascii="宋体" w:hAnsi="宋体" w:eastAsia="宋体" w:cs="Times New Roman"/>
                <w:szCs w:val="21"/>
              </w:rPr>
              <w:t>12</w:t>
            </w:r>
          </w:p>
        </w:tc>
        <w:tc>
          <w:tcPr>
            <w:tcW w:w="3415" w:type="dxa"/>
            <w:vAlign w:val="center"/>
          </w:tcPr>
          <w:p w14:paraId="5FCA308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现代欧美教育思潮</w:t>
            </w:r>
          </w:p>
        </w:tc>
        <w:tc>
          <w:tcPr>
            <w:tcW w:w="1580" w:type="dxa"/>
            <w:vAlign w:val="center"/>
          </w:tcPr>
          <w:p w14:paraId="02FAE5D0">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450" w:type="dxa"/>
            <w:vAlign w:val="center"/>
          </w:tcPr>
          <w:p w14:paraId="69C75B84">
            <w:pPr>
              <w:spacing w:line="276" w:lineRule="auto"/>
              <w:jc w:val="center"/>
              <w:rPr>
                <w:rFonts w:ascii="宋体" w:hAnsi="宋体" w:eastAsia="宋体" w:cs="Times New Roman"/>
                <w:kern w:val="0"/>
                <w:szCs w:val="21"/>
              </w:rPr>
            </w:pPr>
            <w:r>
              <w:rPr>
                <w:rFonts w:ascii="宋体" w:hAnsi="宋体" w:eastAsia="宋体" w:cs="Times New Roman"/>
                <w:kern w:val="0"/>
                <w:szCs w:val="21"/>
              </w:rPr>
              <w:t>8-3</w:t>
            </w:r>
          </w:p>
        </w:tc>
        <w:tc>
          <w:tcPr>
            <w:tcW w:w="729" w:type="dxa"/>
            <w:gridSpan w:val="2"/>
            <w:vAlign w:val="center"/>
          </w:tcPr>
          <w:p w14:paraId="3D5748C8">
            <w:pPr>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r>
      <w:tr w14:paraId="20FA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039" w:type="dxa"/>
            <w:gridSpan w:val="5"/>
            <w:vAlign w:val="center"/>
          </w:tcPr>
          <w:p w14:paraId="19CFEAAC">
            <w:pPr>
              <w:spacing w:line="276" w:lineRule="auto"/>
              <w:jc w:val="center"/>
              <w:rPr>
                <w:rFonts w:ascii="宋体" w:hAnsi="宋体" w:eastAsia="宋体" w:cs="Times New Roman"/>
                <w:szCs w:val="21"/>
              </w:rPr>
            </w:pPr>
            <w:r>
              <w:rPr>
                <w:rFonts w:hint="eastAsia" w:ascii="宋体" w:hAnsi="宋体" w:eastAsia="宋体" w:cs="Times New Roman"/>
                <w:szCs w:val="21"/>
              </w:rPr>
              <w:t>合计</w:t>
            </w:r>
          </w:p>
        </w:tc>
        <w:tc>
          <w:tcPr>
            <w:tcW w:w="722" w:type="dxa"/>
            <w:vAlign w:val="center"/>
          </w:tcPr>
          <w:p w14:paraId="3765B4D3">
            <w:pPr>
              <w:spacing w:line="276" w:lineRule="auto"/>
              <w:jc w:val="center"/>
              <w:rPr>
                <w:rFonts w:ascii="宋体" w:hAnsi="Calibri" w:eastAsia="宋体" w:cs="Times New Roman"/>
                <w:kern w:val="0"/>
                <w:szCs w:val="21"/>
              </w:rPr>
            </w:pPr>
            <w:r>
              <w:rPr>
                <w:rFonts w:ascii="宋体" w:hAnsi="宋体" w:eastAsia="宋体" w:cs="Times New Roman"/>
                <w:kern w:val="0"/>
                <w:szCs w:val="21"/>
              </w:rPr>
              <w:t>32</w:t>
            </w:r>
          </w:p>
        </w:tc>
      </w:tr>
    </w:tbl>
    <w:p w14:paraId="4E0CD366">
      <w:pPr>
        <w:adjustRightInd w:val="0"/>
        <w:snapToGrid w:val="0"/>
        <w:spacing w:line="360" w:lineRule="auto"/>
        <w:ind w:firstLine="420" w:firstLineChars="200"/>
        <w:rPr>
          <w:rFonts w:ascii="宋体" w:hAnsi="Calibri" w:eastAsia="宋体" w:cs="Times New Roman"/>
          <w:color w:val="000000"/>
        </w:rPr>
      </w:pPr>
    </w:p>
    <w:p w14:paraId="6A50BF39">
      <w:pPr>
        <w:adjustRightInd w:val="0"/>
        <w:snapToGrid w:val="0"/>
        <w:spacing w:line="360" w:lineRule="auto"/>
        <w:ind w:firstLine="562" w:firstLineChars="200"/>
        <w:rPr>
          <w:rFonts w:ascii="宋体" w:hAnsi="宋体" w:eastAsia="宋体" w:cs="Times New Roman"/>
          <w:b/>
          <w:bCs/>
          <w:color w:val="000000"/>
          <w:sz w:val="28"/>
          <w:szCs w:val="24"/>
        </w:rPr>
      </w:pPr>
      <w:r>
        <w:rPr>
          <w:rFonts w:hint="eastAsia" w:ascii="宋体" w:hAnsi="宋体" w:eastAsia="宋体" w:cs="Times New Roman"/>
          <w:b/>
          <w:bCs/>
          <w:color w:val="000000"/>
          <w:sz w:val="28"/>
          <w:szCs w:val="24"/>
        </w:rPr>
        <w:t>四、课程实施</w:t>
      </w:r>
    </w:p>
    <w:p w14:paraId="6575CB08">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（一）课程在展开之前，要借助教育学视频、历史学入门著作等奠定学生对外国教育史的印象，建立学生对学科的初步认识。</w:t>
      </w:r>
    </w:p>
    <w:p w14:paraId="60639080">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（二）课程在教学中要充分搜集好的历史视频，引导学生使用所学历史学意识审视外国教育问题。</w:t>
      </w:r>
    </w:p>
    <w:p w14:paraId="173214B1">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（三）教师要积极采用平时考勤、课堂讨论、期末考试等多种形式相结合的考核方法，引导学生按时、保质保量地完成本课程学习任务。</w:t>
      </w:r>
    </w:p>
    <w:p w14:paraId="68CE9124">
      <w:pPr>
        <w:adjustRightInd w:val="0"/>
        <w:snapToGrid w:val="0"/>
        <w:spacing w:line="360" w:lineRule="auto"/>
        <w:ind w:firstLine="480" w:firstLineChars="200"/>
        <w:rPr>
          <w:rFonts w:ascii="宋体" w:hAnsi="宋体" w:eastAsia="宋体" w:cs="Times New Roman"/>
          <w:sz w:val="24"/>
          <w:szCs w:val="24"/>
        </w:rPr>
      </w:pPr>
    </w:p>
    <w:p w14:paraId="14F3A5F1">
      <w:pPr>
        <w:adjustRightInd w:val="0"/>
        <w:snapToGrid w:val="0"/>
        <w:spacing w:line="360" w:lineRule="auto"/>
        <w:ind w:firstLine="480" w:firstLineChars="200"/>
        <w:rPr>
          <w:rFonts w:ascii="宋体" w:hAnsi="宋体" w:eastAsia="宋体" w:cs="Times New Roman"/>
          <w:sz w:val="24"/>
          <w:szCs w:val="24"/>
        </w:rPr>
      </w:pPr>
    </w:p>
    <w:p w14:paraId="56177D0B">
      <w:pPr>
        <w:spacing w:line="360" w:lineRule="auto"/>
        <w:ind w:firstLine="482" w:firstLineChars="200"/>
        <w:rPr>
          <w:rFonts w:ascii="Calibri" w:hAnsi="Calibri" w:eastAsia="宋体" w:cs="Times New Roman"/>
          <w:b/>
          <w:bCs/>
          <w:sz w:val="24"/>
          <w:szCs w:val="24"/>
        </w:rPr>
      </w:pPr>
    </w:p>
    <w:p w14:paraId="63271441">
      <w:pPr>
        <w:spacing w:line="360" w:lineRule="auto"/>
        <w:ind w:firstLine="482" w:firstLineChars="200"/>
        <w:rPr>
          <w:rFonts w:ascii="宋体" w:hAnsi="宋体" w:eastAsia="宋体" w:cs="Times New Roman"/>
          <w:b/>
          <w:sz w:val="24"/>
          <w:szCs w:val="24"/>
        </w:rPr>
      </w:pPr>
      <w:r>
        <w:rPr>
          <w:rFonts w:hint="eastAsia" w:ascii="宋体" w:hAnsi="宋体" w:eastAsia="宋体" w:cs="Times New Roman"/>
          <w:b/>
          <w:bCs/>
          <w:sz w:val="24"/>
          <w:szCs w:val="24"/>
        </w:rPr>
        <w:t>主要教学环节的质量要求如表所示：</w:t>
      </w:r>
    </w:p>
    <w:tbl>
      <w:tblPr>
        <w:tblStyle w:val="30"/>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26A1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1BDC5694">
            <w:pPr>
              <w:adjustRightInd w:val="0"/>
              <w:snapToGrid w:val="0"/>
              <w:spacing w:line="276" w:lineRule="auto"/>
              <w:jc w:val="center"/>
              <w:rPr>
                <w:rFonts w:ascii="宋体" w:hAnsi="宋体" w:eastAsia="宋体" w:cs="Times New Roman"/>
                <w:b/>
                <w:color w:val="000000"/>
                <w:szCs w:val="21"/>
              </w:rPr>
            </w:pPr>
            <w:r>
              <w:rPr>
                <w:rFonts w:hint="eastAsia"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7C729797">
            <w:pPr>
              <w:adjustRightInd w:val="0"/>
              <w:snapToGrid w:val="0"/>
              <w:spacing w:line="276" w:lineRule="auto"/>
              <w:jc w:val="center"/>
              <w:rPr>
                <w:rFonts w:ascii="宋体" w:hAnsi="宋体" w:eastAsia="宋体" w:cs="Times New Roman"/>
                <w:b/>
                <w:color w:val="000000"/>
                <w:szCs w:val="21"/>
              </w:rPr>
            </w:pPr>
            <w:r>
              <w:rPr>
                <w:rFonts w:hint="eastAsia" w:ascii="宋体" w:hAnsi="宋体" w:eastAsia="宋体" w:cs="Times New Roman"/>
                <w:b/>
                <w:bCs/>
                <w:color w:val="000000"/>
                <w:szCs w:val="21"/>
              </w:rPr>
              <w:t>质量要求</w:t>
            </w:r>
          </w:p>
        </w:tc>
      </w:tr>
      <w:tr w14:paraId="4D61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11D08E9A">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271699AF">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备课</w:t>
            </w:r>
          </w:p>
        </w:tc>
        <w:tc>
          <w:tcPr>
            <w:tcW w:w="7525" w:type="dxa"/>
            <w:tcBorders>
              <w:right w:val="single" w:color="auto" w:sz="8" w:space="0"/>
            </w:tcBorders>
            <w:vAlign w:val="center"/>
          </w:tcPr>
          <w:p w14:paraId="44FC344F">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44C088E4">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0994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82" w:type="dxa"/>
            <w:tcBorders>
              <w:left w:val="single" w:color="auto" w:sz="8" w:space="0"/>
            </w:tcBorders>
            <w:vAlign w:val="center"/>
          </w:tcPr>
          <w:p w14:paraId="38A33D1B">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3C565005">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讲授</w:t>
            </w:r>
          </w:p>
        </w:tc>
        <w:tc>
          <w:tcPr>
            <w:tcW w:w="7525" w:type="dxa"/>
            <w:tcBorders>
              <w:right w:val="single" w:color="auto" w:sz="8" w:space="0"/>
            </w:tcBorders>
            <w:vAlign w:val="center"/>
          </w:tcPr>
          <w:p w14:paraId="542CB385">
            <w:pPr>
              <w:adjustRightInd w:val="0"/>
              <w:snapToGrid w:val="0"/>
              <w:spacing w:line="276" w:lineRule="auto"/>
              <w:rPr>
                <w:rFonts w:ascii="宋体" w:hAnsi="宋体" w:eastAsia="宋体" w:cs="Times New Roman"/>
                <w:color w:val="000000"/>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rPr>
              <w:t>教师仪表端庄，情绪情感要饱满；</w:t>
            </w:r>
          </w:p>
          <w:p w14:paraId="019E6703">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rPr>
              <w:t>教学准备充分，熟悉教学内容；</w:t>
            </w:r>
          </w:p>
          <w:p w14:paraId="122A015B">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rPr>
              <w:t>教学内容充实，不断充实最新研究成果；</w:t>
            </w:r>
          </w:p>
          <w:p w14:paraId="150545E1">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rPr>
              <w:t>严格执行计划，教学进度适宜；</w:t>
            </w:r>
          </w:p>
          <w:p w14:paraId="48CD753F">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rPr>
              <w:t>课堂教学信息充分，注重理论联系实际；</w:t>
            </w:r>
          </w:p>
          <w:p w14:paraId="01E0A7AD">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rPr>
              <w:t>注重启发学生思维，培养学生的教学能力；</w:t>
            </w:r>
          </w:p>
          <w:p w14:paraId="0999B99E">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rPr>
              <w:t>面向全体基础上因材施教，灵活运用多种教学方法；</w:t>
            </w:r>
          </w:p>
          <w:p w14:paraId="1205D9E6">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rPr>
              <w:t>教学语言规范，为学生教育教学做好表率；</w:t>
            </w:r>
          </w:p>
          <w:p w14:paraId="0BBDDED9">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rPr>
              <w:t>教学条理清楚，教学思路逻辑严密；</w:t>
            </w:r>
          </w:p>
          <w:p w14:paraId="6435B8BC">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rPr>
              <w:t>充分运用现代化教学手段，教学技术熟练；</w:t>
            </w:r>
          </w:p>
          <w:p w14:paraId="27B5BA37">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rPr>
              <w:t>课堂教学要重点突出，难点突破；</w:t>
            </w:r>
          </w:p>
          <w:p w14:paraId="6BBD8105">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rPr>
              <w:t>注重师生互动，形成良好的课堂氛围。</w:t>
            </w:r>
          </w:p>
        </w:tc>
      </w:tr>
      <w:tr w14:paraId="3005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05F454A8">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65D5A0AF">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作业布置与批改</w:t>
            </w:r>
          </w:p>
        </w:tc>
        <w:tc>
          <w:tcPr>
            <w:tcW w:w="7525" w:type="dxa"/>
            <w:tcBorders>
              <w:right w:val="single" w:color="auto" w:sz="8" w:space="0"/>
            </w:tcBorders>
            <w:vAlign w:val="center"/>
          </w:tcPr>
          <w:p w14:paraId="36C2A50E">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75C46694">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6D3AD1EB">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）书写规范、教学设计方案格式规范、清晰。</w:t>
            </w:r>
          </w:p>
          <w:p w14:paraId="775102A7">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）教学设计理念先进，教学目标适宜，教学方法灵活，教学组织形式多样、教学过程紧凑，教学准备充分。</w:t>
            </w:r>
          </w:p>
          <w:p w14:paraId="51E276BC">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教师批改和讲评作业要求如下：</w:t>
            </w:r>
          </w:p>
          <w:p w14:paraId="083779D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5088429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530B19D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2C15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496C3E09">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552B1011">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课外答疑</w:t>
            </w:r>
          </w:p>
        </w:tc>
        <w:tc>
          <w:tcPr>
            <w:tcW w:w="7525" w:type="dxa"/>
            <w:tcBorders>
              <w:right w:val="single" w:color="auto" w:sz="8" w:space="0"/>
            </w:tcBorders>
            <w:vAlign w:val="center"/>
          </w:tcPr>
          <w:p w14:paraId="664C70AB">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6207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64C56C00">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1BF420F6">
            <w:pPr>
              <w:adjustRightInd w:val="0"/>
              <w:snapToGrid w:val="0"/>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成绩考核</w:t>
            </w:r>
          </w:p>
        </w:tc>
        <w:tc>
          <w:tcPr>
            <w:tcW w:w="7525" w:type="dxa"/>
            <w:tcBorders>
              <w:right w:val="single" w:color="auto" w:sz="8" w:space="0"/>
            </w:tcBorders>
            <w:vAlign w:val="center"/>
          </w:tcPr>
          <w:p w14:paraId="757C488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6997870C">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）缺交作业次数达</w:t>
            </w:r>
            <w:r>
              <w:rPr>
                <w:rFonts w:ascii="宋体" w:hAnsi="宋体" w:eastAsia="宋体" w:cs="Times New Roman"/>
                <w:color w:val="000000"/>
                <w:szCs w:val="21"/>
              </w:rPr>
              <w:t>1/3</w:t>
            </w:r>
            <w:r>
              <w:rPr>
                <w:rFonts w:hint="eastAsia" w:ascii="宋体" w:hAnsi="宋体" w:eastAsia="宋体" w:cs="Times New Roman"/>
                <w:color w:val="000000"/>
                <w:szCs w:val="21"/>
              </w:rPr>
              <w:t>以上者。</w:t>
            </w:r>
          </w:p>
          <w:p w14:paraId="2C78180E">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320314BA">
      <w:pPr>
        <w:spacing w:line="360" w:lineRule="auto"/>
        <w:rPr>
          <w:rFonts w:ascii="宋体" w:hAnsi="Calibri" w:eastAsia="宋体" w:cs="宋体"/>
          <w:bCs/>
          <w:szCs w:val="21"/>
        </w:rPr>
      </w:pPr>
    </w:p>
    <w:p w14:paraId="4AC70666">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五、课程考核</w:t>
      </w:r>
    </w:p>
    <w:p w14:paraId="3687C72E">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（一）课程考核包括期末考试、平时及作业考核，期末考试采用闭卷笔试方式。</w:t>
      </w:r>
    </w:p>
    <w:p w14:paraId="60FF8A7C">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（二）课程成绩</w:t>
      </w:r>
      <w:r>
        <w:rPr>
          <w:rFonts w:ascii="宋体" w:hAnsi="宋体" w:eastAsia="宋体" w:cs="Times New Roman"/>
          <w:sz w:val="24"/>
          <w:szCs w:val="24"/>
        </w:rPr>
        <w:t>=</w:t>
      </w:r>
      <w:r>
        <w:rPr>
          <w:rFonts w:hint="eastAsia" w:ascii="宋体" w:hAnsi="宋体" w:eastAsia="宋体" w:cs="Times New Roman"/>
          <w:sz w:val="24"/>
          <w:szCs w:val="24"/>
        </w:rPr>
        <w:t>平时成绩×</w:t>
      </w:r>
      <w:r>
        <w:rPr>
          <w:rFonts w:ascii="宋体" w:hAnsi="宋体" w:eastAsia="宋体" w:cs="Times New Roman"/>
          <w:sz w:val="24"/>
          <w:szCs w:val="24"/>
        </w:rPr>
        <w:t>20%+</w:t>
      </w:r>
      <w:r>
        <w:rPr>
          <w:rFonts w:hint="eastAsia" w:ascii="宋体" w:hAnsi="宋体" w:eastAsia="宋体" w:cs="Times New Roman"/>
          <w:sz w:val="24"/>
          <w:szCs w:val="24"/>
        </w:rPr>
        <w:t>实践成绩×</w:t>
      </w:r>
      <w:r>
        <w:rPr>
          <w:rFonts w:ascii="宋体" w:hAnsi="宋体" w:eastAsia="宋体" w:cs="Times New Roman"/>
          <w:sz w:val="24"/>
          <w:szCs w:val="24"/>
        </w:rPr>
        <w:t>20%+</w:t>
      </w:r>
      <w:r>
        <w:rPr>
          <w:rFonts w:hint="eastAsia" w:ascii="宋体" w:hAnsi="宋体" w:eastAsia="宋体" w:cs="Times New Roman"/>
          <w:sz w:val="24"/>
          <w:szCs w:val="24"/>
        </w:rPr>
        <w:t>期末考试成绩×</w:t>
      </w:r>
      <w:r>
        <w:rPr>
          <w:rFonts w:ascii="宋体" w:hAnsi="宋体" w:eastAsia="宋体" w:cs="Times New Roman"/>
          <w:sz w:val="24"/>
          <w:szCs w:val="24"/>
        </w:rPr>
        <w:t>60%</w:t>
      </w:r>
      <w:r>
        <w:rPr>
          <w:rFonts w:hint="eastAsia" w:ascii="宋体" w:hAnsi="宋体" w:eastAsia="宋体" w:cs="Times New Roman"/>
          <w:sz w:val="24"/>
          <w:szCs w:val="24"/>
        </w:rPr>
        <w:t>。</w:t>
      </w:r>
    </w:p>
    <w:p w14:paraId="1C83C6C7">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30"/>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760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10" w:type="dxa"/>
            <w:shd w:val="clear" w:color="auto" w:fill="FFFFFF"/>
            <w:tcMar>
              <w:left w:w="57" w:type="dxa"/>
              <w:right w:w="57" w:type="dxa"/>
            </w:tcMar>
            <w:vAlign w:val="center"/>
          </w:tcPr>
          <w:p w14:paraId="6E89964E">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成绩组成</w:t>
            </w:r>
          </w:p>
        </w:tc>
        <w:tc>
          <w:tcPr>
            <w:tcW w:w="1134" w:type="dxa"/>
            <w:shd w:val="clear" w:color="auto" w:fill="FFFFFF"/>
            <w:vAlign w:val="center"/>
          </w:tcPr>
          <w:p w14:paraId="380DE994">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w:t>
            </w:r>
            <w:r>
              <w:rPr>
                <w:rFonts w:ascii="Times New Roman" w:hAnsi="Times New Roman" w:eastAsia="宋体" w:cs="Times New Roman"/>
                <w:b/>
                <w:szCs w:val="24"/>
              </w:rPr>
              <w:t>/</w:t>
            </w:r>
            <w:r>
              <w:rPr>
                <w:rFonts w:hint="eastAsia" w:ascii="Times New Roman" w:hAnsi="Times New Roman" w:eastAsia="宋体" w:cs="Times New Roman"/>
                <w:b/>
                <w:szCs w:val="24"/>
              </w:rPr>
              <w:t>评价环节</w:t>
            </w:r>
          </w:p>
        </w:tc>
        <w:tc>
          <w:tcPr>
            <w:tcW w:w="708" w:type="dxa"/>
            <w:shd w:val="clear" w:color="auto" w:fill="FFFFFF"/>
            <w:vAlign w:val="center"/>
          </w:tcPr>
          <w:p w14:paraId="430658B1">
            <w:pPr>
              <w:adjustRightInd w:val="0"/>
              <w:snapToGrid w:val="0"/>
              <w:spacing w:line="276" w:lineRule="auto"/>
              <w:jc w:val="center"/>
              <w:rPr>
                <w:rFonts w:ascii="Times New Roman" w:hAnsi="Times New Roman" w:eastAsia="Times New Roman" w:cs="Times New Roman"/>
                <w:b/>
                <w:szCs w:val="24"/>
              </w:rPr>
            </w:pPr>
            <w:r>
              <w:rPr>
                <w:rFonts w:hint="eastAsia" w:ascii="宋体" w:hAnsi="宋体" w:eastAsia="宋体" w:cs="宋体"/>
                <w:b/>
                <w:szCs w:val="24"/>
              </w:rPr>
              <w:t>权重</w:t>
            </w:r>
          </w:p>
        </w:tc>
        <w:tc>
          <w:tcPr>
            <w:tcW w:w="2977" w:type="dxa"/>
            <w:shd w:val="clear" w:color="auto" w:fill="FFFFFF"/>
            <w:vAlign w:val="center"/>
          </w:tcPr>
          <w:p w14:paraId="37DA0649">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w:t>
            </w:r>
            <w:r>
              <w:rPr>
                <w:rFonts w:ascii="Times New Roman" w:hAnsi="Times New Roman" w:eastAsia="宋体" w:cs="Times New Roman"/>
                <w:b/>
                <w:szCs w:val="24"/>
              </w:rPr>
              <w:t>/</w:t>
            </w:r>
            <w:r>
              <w:rPr>
                <w:rFonts w:hint="eastAsia" w:ascii="Times New Roman" w:hAnsi="Times New Roman" w:eastAsia="宋体" w:cs="Times New Roman"/>
                <w:b/>
                <w:szCs w:val="24"/>
              </w:rPr>
              <w:t>评价细则</w:t>
            </w:r>
          </w:p>
        </w:tc>
        <w:tc>
          <w:tcPr>
            <w:tcW w:w="1418" w:type="dxa"/>
            <w:shd w:val="clear" w:color="auto" w:fill="FFFFFF"/>
            <w:vAlign w:val="center"/>
          </w:tcPr>
          <w:p w14:paraId="4A2312C8">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课程目标</w:t>
            </w:r>
          </w:p>
        </w:tc>
        <w:tc>
          <w:tcPr>
            <w:tcW w:w="1275" w:type="dxa"/>
            <w:shd w:val="clear" w:color="auto" w:fill="FFFFFF"/>
            <w:vAlign w:val="center"/>
          </w:tcPr>
          <w:p w14:paraId="55232EE0">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考核内容</w:t>
            </w:r>
          </w:p>
        </w:tc>
        <w:tc>
          <w:tcPr>
            <w:tcW w:w="1143" w:type="dxa"/>
            <w:shd w:val="clear" w:color="auto" w:fill="FFFFFF"/>
            <w:vAlign w:val="center"/>
          </w:tcPr>
          <w:p w14:paraId="5E5DE9FA">
            <w:pPr>
              <w:adjustRightInd w:val="0"/>
              <w:snapToGrid w:val="0"/>
              <w:spacing w:line="276" w:lineRule="auto"/>
              <w:jc w:val="center"/>
              <w:rPr>
                <w:rFonts w:ascii="Times New Roman" w:hAnsi="Times New Roman" w:eastAsia="宋体" w:cs="Times New Roman"/>
                <w:b/>
                <w:szCs w:val="24"/>
              </w:rPr>
            </w:pPr>
            <w:r>
              <w:rPr>
                <w:rFonts w:hint="eastAsia" w:ascii="Times New Roman" w:hAnsi="Times New Roman" w:eastAsia="宋体" w:cs="Times New Roman"/>
                <w:b/>
                <w:szCs w:val="24"/>
              </w:rPr>
              <w:t>对应的毕业要求指标点</w:t>
            </w:r>
          </w:p>
        </w:tc>
      </w:tr>
      <w:tr w14:paraId="58B9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710" w:type="dxa"/>
            <w:tcMar>
              <w:left w:w="57" w:type="dxa"/>
              <w:right w:w="57" w:type="dxa"/>
            </w:tcMar>
            <w:vAlign w:val="center"/>
          </w:tcPr>
          <w:p w14:paraId="60CEE24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平时成绩</w:t>
            </w:r>
          </w:p>
        </w:tc>
        <w:tc>
          <w:tcPr>
            <w:tcW w:w="1134" w:type="dxa"/>
            <w:vAlign w:val="center"/>
          </w:tcPr>
          <w:p w14:paraId="478C1782">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课堂考勤、表现及平时作业</w:t>
            </w:r>
          </w:p>
        </w:tc>
        <w:tc>
          <w:tcPr>
            <w:tcW w:w="708" w:type="dxa"/>
            <w:vAlign w:val="center"/>
          </w:tcPr>
          <w:p w14:paraId="2F1EDF2A">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40%</w:t>
            </w:r>
          </w:p>
        </w:tc>
        <w:tc>
          <w:tcPr>
            <w:tcW w:w="2977" w:type="dxa"/>
            <w:vAlign w:val="center"/>
          </w:tcPr>
          <w:p w14:paraId="4E08DB32">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课堂考勤：病假和事假一次扣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p w14:paraId="72B8FDDC">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2D4FAB69">
            <w:pPr>
              <w:adjustRightInd w:val="0"/>
              <w:snapToGrid w:val="0"/>
              <w:spacing w:line="276" w:lineRule="auto"/>
              <w:rPr>
                <w:rFonts w:ascii="宋体" w:hAnsi="宋体" w:eastAsia="宋体" w:cs="Times New Roman"/>
                <w:szCs w:val="24"/>
              </w:rPr>
            </w:pPr>
            <w:r>
              <w:rPr>
                <w:rFonts w:hint="eastAsia" w:ascii="宋体" w:hAnsi="宋体" w:eastAsia="宋体" w:cs="Times New Roman"/>
                <w:szCs w:val="21"/>
              </w:rPr>
              <w:t>平时作业：</w:t>
            </w:r>
            <w:r>
              <w:rPr>
                <w:rFonts w:ascii="宋体" w:hAnsi="宋体" w:eastAsia="宋体" w:cs="Times New Roman"/>
                <w:szCs w:val="21"/>
              </w:rPr>
              <w:t>3</w:t>
            </w:r>
            <w:r>
              <w:rPr>
                <w:rFonts w:hint="eastAsia" w:ascii="宋体" w:hAnsi="宋体" w:eastAsia="宋体" w:cs="Times New Roman"/>
                <w:szCs w:val="21"/>
              </w:rPr>
              <w:t>次书面作业，主要考核学生运用教育史知识分析当今教育现象的能力。</w:t>
            </w:r>
          </w:p>
        </w:tc>
        <w:tc>
          <w:tcPr>
            <w:tcW w:w="1418" w:type="dxa"/>
            <w:vAlign w:val="center"/>
          </w:tcPr>
          <w:p w14:paraId="6CD5EF0E">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40838C3C">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7DE45C48">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289C126B">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58D5A591">
            <w:pPr>
              <w:adjustRightInd w:val="0"/>
              <w:snapToGrid w:val="0"/>
              <w:spacing w:line="276" w:lineRule="auto"/>
              <w:jc w:val="center"/>
              <w:rPr>
                <w:rFonts w:ascii="宋体" w:hAnsi="宋体" w:eastAsia="宋体" w:cs="Times New Roman"/>
                <w:szCs w:val="24"/>
              </w:rPr>
            </w:pPr>
          </w:p>
        </w:tc>
        <w:tc>
          <w:tcPr>
            <w:tcW w:w="1275" w:type="dxa"/>
            <w:vAlign w:val="center"/>
          </w:tcPr>
          <w:p w14:paraId="084E0B5D">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每章节的基本知识和理论的掌握及运用</w:t>
            </w:r>
          </w:p>
        </w:tc>
        <w:tc>
          <w:tcPr>
            <w:tcW w:w="1143" w:type="dxa"/>
            <w:vAlign w:val="center"/>
          </w:tcPr>
          <w:p w14:paraId="7AB261F6">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1-2</w:t>
            </w:r>
          </w:p>
          <w:p w14:paraId="70527360">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2-2</w:t>
            </w:r>
          </w:p>
          <w:p w14:paraId="608CBD08">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p>
          <w:p w14:paraId="7CA295A0">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3-1</w:t>
            </w:r>
          </w:p>
          <w:p w14:paraId="348E230B">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8-3</w:t>
            </w:r>
          </w:p>
        </w:tc>
      </w:tr>
      <w:tr w14:paraId="0453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710" w:type="dxa"/>
            <w:tcMar>
              <w:left w:w="57" w:type="dxa"/>
              <w:right w:w="57" w:type="dxa"/>
            </w:tcMar>
            <w:vAlign w:val="center"/>
          </w:tcPr>
          <w:p w14:paraId="49F9D652">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tc>
        <w:tc>
          <w:tcPr>
            <w:tcW w:w="1134" w:type="dxa"/>
            <w:vAlign w:val="center"/>
          </w:tcPr>
          <w:p w14:paraId="16EE3A9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p w14:paraId="1E0EC4B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卷面成绩</w:t>
            </w:r>
          </w:p>
        </w:tc>
        <w:tc>
          <w:tcPr>
            <w:tcW w:w="708" w:type="dxa"/>
            <w:vAlign w:val="center"/>
          </w:tcPr>
          <w:p w14:paraId="5C43AA30">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60%</w:t>
            </w:r>
          </w:p>
        </w:tc>
        <w:tc>
          <w:tcPr>
            <w:tcW w:w="2977" w:type="dxa"/>
            <w:vAlign w:val="center"/>
          </w:tcPr>
          <w:p w14:paraId="051D1C6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试卷题型包括填空题、简答题、论述题等，以卷面成绩的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w:t>
            </w:r>
          </w:p>
          <w:p w14:paraId="13A02131">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57C82F00">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考核知识理解型题目占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462D8C94">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考核综合分析能力题目占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418" w:type="dxa"/>
            <w:vAlign w:val="center"/>
          </w:tcPr>
          <w:p w14:paraId="28D20EE5">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0C135A2A">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5947A278">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6C4DCF2E">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3E465943">
            <w:pPr>
              <w:adjustRightInd w:val="0"/>
              <w:snapToGrid w:val="0"/>
              <w:spacing w:line="276" w:lineRule="auto"/>
              <w:jc w:val="center"/>
              <w:rPr>
                <w:rFonts w:ascii="宋体" w:hAnsi="宋体" w:eastAsia="宋体" w:cs="Times New Roman"/>
                <w:b/>
                <w:szCs w:val="24"/>
              </w:rPr>
            </w:pPr>
          </w:p>
        </w:tc>
        <w:tc>
          <w:tcPr>
            <w:tcW w:w="1275" w:type="dxa"/>
            <w:vAlign w:val="center"/>
          </w:tcPr>
          <w:p w14:paraId="4F6A5BF0">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外国教育史上的主要教育事件、主要教育家的教育思想、教育事件的历史作用等</w:t>
            </w:r>
          </w:p>
        </w:tc>
        <w:tc>
          <w:tcPr>
            <w:tcW w:w="1143" w:type="dxa"/>
            <w:vAlign w:val="center"/>
          </w:tcPr>
          <w:p w14:paraId="2CE6FA9B">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781698A2">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59812DE6">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12AC460B">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bl>
    <w:p w14:paraId="419228CA">
      <w:pPr>
        <w:adjustRightInd w:val="0"/>
        <w:snapToGrid w:val="0"/>
        <w:spacing w:line="360" w:lineRule="auto"/>
        <w:rPr>
          <w:rFonts w:ascii="宋体" w:hAnsi="Calibri" w:eastAsia="宋体" w:cs="Times New Roman"/>
          <w:color w:val="000000"/>
        </w:rPr>
      </w:pPr>
    </w:p>
    <w:p w14:paraId="0FC66592">
      <w:pPr>
        <w:spacing w:line="360" w:lineRule="auto"/>
        <w:rPr>
          <w:rFonts w:ascii="宋体" w:hAnsi="宋体" w:eastAsia="宋体" w:cs="Times New Roman"/>
          <w:sz w:val="24"/>
          <w:szCs w:val="24"/>
        </w:rPr>
      </w:pPr>
      <w:r>
        <w:rPr>
          <w:rFonts w:hint="eastAsia" w:ascii="宋体" w:hAnsi="宋体" w:eastAsia="宋体" w:cs="Times New Roman"/>
          <w:sz w:val="24"/>
          <w:szCs w:val="24"/>
        </w:rPr>
        <w:t>（三）课程目标及考核方式权重分配表</w:t>
      </w:r>
    </w:p>
    <w:tbl>
      <w:tblPr>
        <w:tblStyle w:val="30"/>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352"/>
        <w:gridCol w:w="1911"/>
        <w:gridCol w:w="1432"/>
        <w:gridCol w:w="2075"/>
      </w:tblGrid>
      <w:tr w14:paraId="7CDD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341" w:type="dxa"/>
            <w:gridSpan w:val="2"/>
            <w:vAlign w:val="center"/>
          </w:tcPr>
          <w:p w14:paraId="3E537865">
            <w:pPr>
              <w:adjustRightInd w:val="0"/>
              <w:snapToGrid w:val="0"/>
              <w:spacing w:line="276" w:lineRule="auto"/>
              <w:jc w:val="center"/>
              <w:rPr>
                <w:rFonts w:ascii="宋体" w:hAnsi="宋体" w:eastAsia="宋体" w:cs="Times New Roman"/>
                <w:b/>
                <w:kern w:val="0"/>
                <w:szCs w:val="21"/>
              </w:rPr>
            </w:pPr>
            <w:r>
              <w:rPr>
                <w:rFonts w:hint="eastAsia" w:ascii="宋体" w:hAnsi="宋体" w:eastAsia="宋体" w:cs="Times New Roman"/>
                <w:b/>
                <w:kern w:val="0"/>
                <w:szCs w:val="21"/>
              </w:rPr>
              <w:t>课程目标及权重</w:t>
            </w:r>
          </w:p>
        </w:tc>
        <w:tc>
          <w:tcPr>
            <w:tcW w:w="5418" w:type="dxa"/>
            <w:gridSpan w:val="3"/>
            <w:vAlign w:val="center"/>
          </w:tcPr>
          <w:p w14:paraId="63EB8099">
            <w:pPr>
              <w:adjustRightInd w:val="0"/>
              <w:snapToGrid w:val="0"/>
              <w:spacing w:line="276" w:lineRule="auto"/>
              <w:jc w:val="center"/>
              <w:rPr>
                <w:rFonts w:ascii="宋体" w:hAnsi="宋体" w:eastAsia="宋体" w:cs="Times New Roman"/>
                <w:b/>
                <w:kern w:val="0"/>
                <w:szCs w:val="21"/>
              </w:rPr>
            </w:pPr>
            <w:r>
              <w:rPr>
                <w:rFonts w:hint="eastAsia" w:ascii="宋体" w:hAnsi="宋体" w:eastAsia="宋体" w:cs="Times New Roman"/>
                <w:b/>
                <w:kern w:val="0"/>
                <w:szCs w:val="21"/>
              </w:rPr>
              <w:t>考核方式及权重</w:t>
            </w:r>
          </w:p>
        </w:tc>
      </w:tr>
      <w:tr w14:paraId="1890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989" w:type="dxa"/>
            <w:vAlign w:val="center"/>
          </w:tcPr>
          <w:p w14:paraId="38DA943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352" w:type="dxa"/>
            <w:vAlign w:val="center"/>
          </w:tcPr>
          <w:p w14:paraId="3E4ADFAA">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11" w:type="dxa"/>
            <w:vAlign w:val="center"/>
          </w:tcPr>
          <w:p w14:paraId="3DA00C5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432" w:type="dxa"/>
            <w:vAlign w:val="center"/>
          </w:tcPr>
          <w:p w14:paraId="3B5D082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74" w:type="dxa"/>
            <w:vAlign w:val="center"/>
          </w:tcPr>
          <w:p w14:paraId="305802BA">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2CE2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64FED57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52" w:type="dxa"/>
            <w:vMerge w:val="restart"/>
            <w:vAlign w:val="center"/>
          </w:tcPr>
          <w:p w14:paraId="3AC1B36E">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2F68B7C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43780EBF">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4F9F8A93">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21F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35727D17">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19895671">
            <w:pPr>
              <w:adjustRightInd w:val="0"/>
              <w:snapToGrid w:val="0"/>
              <w:spacing w:line="276" w:lineRule="auto"/>
              <w:jc w:val="center"/>
              <w:rPr>
                <w:rFonts w:ascii="宋体" w:hAnsi="宋体" w:eastAsia="宋体" w:cs="Times New Roman"/>
                <w:kern w:val="0"/>
                <w:szCs w:val="21"/>
              </w:rPr>
            </w:pPr>
          </w:p>
        </w:tc>
        <w:tc>
          <w:tcPr>
            <w:tcW w:w="1911" w:type="dxa"/>
            <w:vAlign w:val="center"/>
          </w:tcPr>
          <w:p w14:paraId="30B8D91A">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51B83605">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2B60DF97">
            <w:pPr>
              <w:adjustRightInd w:val="0"/>
              <w:snapToGrid w:val="0"/>
              <w:spacing w:line="276" w:lineRule="auto"/>
              <w:jc w:val="center"/>
              <w:rPr>
                <w:rFonts w:ascii="宋体" w:hAnsi="宋体" w:eastAsia="宋体" w:cs="Times New Roman"/>
                <w:kern w:val="0"/>
                <w:szCs w:val="21"/>
              </w:rPr>
            </w:pPr>
          </w:p>
        </w:tc>
      </w:tr>
      <w:tr w14:paraId="6387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989" w:type="dxa"/>
            <w:vAlign w:val="center"/>
          </w:tcPr>
          <w:p w14:paraId="2B551DC2">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52" w:type="dxa"/>
            <w:vAlign w:val="center"/>
          </w:tcPr>
          <w:p w14:paraId="511893B4">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15%</w:t>
            </w:r>
          </w:p>
        </w:tc>
        <w:tc>
          <w:tcPr>
            <w:tcW w:w="1911" w:type="dxa"/>
            <w:vAlign w:val="center"/>
          </w:tcPr>
          <w:p w14:paraId="4454134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683CAF2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74" w:type="dxa"/>
            <w:vAlign w:val="center"/>
          </w:tcPr>
          <w:p w14:paraId="2D948AC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C9A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989" w:type="dxa"/>
            <w:vAlign w:val="center"/>
          </w:tcPr>
          <w:p w14:paraId="681BF31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52" w:type="dxa"/>
            <w:vAlign w:val="center"/>
          </w:tcPr>
          <w:p w14:paraId="55E7576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1911" w:type="dxa"/>
            <w:vAlign w:val="center"/>
          </w:tcPr>
          <w:p w14:paraId="78F680B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555F23DE">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74" w:type="dxa"/>
            <w:vAlign w:val="center"/>
          </w:tcPr>
          <w:p w14:paraId="5541371A">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2A2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0B609A3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52" w:type="dxa"/>
            <w:vMerge w:val="restart"/>
            <w:vAlign w:val="center"/>
          </w:tcPr>
          <w:p w14:paraId="1B6CBED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719FA12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32" w:type="dxa"/>
            <w:vAlign w:val="center"/>
          </w:tcPr>
          <w:p w14:paraId="33829336">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restart"/>
            <w:vAlign w:val="center"/>
          </w:tcPr>
          <w:p w14:paraId="4B28948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176D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continue"/>
            <w:vAlign w:val="center"/>
          </w:tcPr>
          <w:p w14:paraId="0987E5BF">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5F4A1891">
            <w:pPr>
              <w:adjustRightInd w:val="0"/>
              <w:snapToGrid w:val="0"/>
              <w:spacing w:line="276" w:lineRule="auto"/>
              <w:jc w:val="center"/>
              <w:rPr>
                <w:rFonts w:ascii="宋体" w:hAnsi="宋体" w:eastAsia="宋体" w:cs="Times New Roman"/>
                <w:kern w:val="0"/>
                <w:szCs w:val="21"/>
              </w:rPr>
            </w:pPr>
          </w:p>
        </w:tc>
        <w:tc>
          <w:tcPr>
            <w:tcW w:w="1911" w:type="dxa"/>
            <w:vAlign w:val="center"/>
          </w:tcPr>
          <w:p w14:paraId="43A60A95">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32" w:type="dxa"/>
            <w:vAlign w:val="center"/>
          </w:tcPr>
          <w:p w14:paraId="405E1F69">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74" w:type="dxa"/>
            <w:vMerge w:val="continue"/>
            <w:vAlign w:val="center"/>
          </w:tcPr>
          <w:p w14:paraId="53516523">
            <w:pPr>
              <w:adjustRightInd w:val="0"/>
              <w:snapToGrid w:val="0"/>
              <w:spacing w:line="276" w:lineRule="auto"/>
              <w:jc w:val="center"/>
              <w:rPr>
                <w:rFonts w:ascii="宋体" w:hAnsi="宋体" w:eastAsia="宋体" w:cs="Times New Roman"/>
                <w:kern w:val="0"/>
                <w:szCs w:val="21"/>
              </w:rPr>
            </w:pPr>
          </w:p>
        </w:tc>
      </w:tr>
      <w:tr w14:paraId="3F05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989" w:type="dxa"/>
            <w:vMerge w:val="restart"/>
            <w:vAlign w:val="center"/>
          </w:tcPr>
          <w:p w14:paraId="04FF60E8">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52" w:type="dxa"/>
            <w:vMerge w:val="restart"/>
            <w:vAlign w:val="center"/>
          </w:tcPr>
          <w:p w14:paraId="1B805EF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11" w:type="dxa"/>
            <w:vAlign w:val="center"/>
          </w:tcPr>
          <w:p w14:paraId="0B8D211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32" w:type="dxa"/>
            <w:vAlign w:val="center"/>
          </w:tcPr>
          <w:p w14:paraId="4BC04D95">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74" w:type="dxa"/>
            <w:vMerge w:val="restart"/>
            <w:vAlign w:val="center"/>
          </w:tcPr>
          <w:p w14:paraId="0ADD11C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45F1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89" w:type="dxa"/>
            <w:vMerge w:val="continue"/>
            <w:vAlign w:val="center"/>
          </w:tcPr>
          <w:p w14:paraId="4BDF5F08">
            <w:pPr>
              <w:adjustRightInd w:val="0"/>
              <w:snapToGrid w:val="0"/>
              <w:spacing w:line="276" w:lineRule="auto"/>
              <w:jc w:val="center"/>
              <w:rPr>
                <w:rFonts w:ascii="宋体" w:hAnsi="宋体" w:eastAsia="宋体" w:cs="Times New Roman"/>
                <w:kern w:val="0"/>
                <w:szCs w:val="21"/>
              </w:rPr>
            </w:pPr>
          </w:p>
        </w:tc>
        <w:tc>
          <w:tcPr>
            <w:tcW w:w="1352" w:type="dxa"/>
            <w:vMerge w:val="continue"/>
            <w:vAlign w:val="center"/>
          </w:tcPr>
          <w:p w14:paraId="63A78FBA">
            <w:pPr>
              <w:adjustRightInd w:val="0"/>
              <w:snapToGrid w:val="0"/>
              <w:spacing w:line="276" w:lineRule="auto"/>
              <w:jc w:val="center"/>
              <w:rPr>
                <w:rFonts w:ascii="宋体" w:hAnsi="宋体" w:eastAsia="宋体" w:cs="Times New Roman"/>
                <w:kern w:val="0"/>
                <w:szCs w:val="21"/>
              </w:rPr>
            </w:pPr>
          </w:p>
        </w:tc>
        <w:tc>
          <w:tcPr>
            <w:tcW w:w="1911" w:type="dxa"/>
            <w:vAlign w:val="center"/>
          </w:tcPr>
          <w:p w14:paraId="32D2171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期末考试</w:t>
            </w:r>
          </w:p>
        </w:tc>
        <w:tc>
          <w:tcPr>
            <w:tcW w:w="1432" w:type="dxa"/>
            <w:vAlign w:val="center"/>
          </w:tcPr>
          <w:p w14:paraId="2CE8579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74" w:type="dxa"/>
            <w:vMerge w:val="continue"/>
            <w:vAlign w:val="center"/>
          </w:tcPr>
          <w:p w14:paraId="53140596">
            <w:pPr>
              <w:adjustRightInd w:val="0"/>
              <w:snapToGrid w:val="0"/>
              <w:spacing w:line="276" w:lineRule="auto"/>
              <w:jc w:val="center"/>
              <w:rPr>
                <w:rFonts w:ascii="宋体" w:hAnsi="宋体" w:eastAsia="宋体" w:cs="Times New Roman"/>
                <w:kern w:val="0"/>
                <w:szCs w:val="21"/>
              </w:rPr>
            </w:pPr>
          </w:p>
        </w:tc>
      </w:tr>
      <w:tr w14:paraId="681C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89" w:type="dxa"/>
            <w:vAlign w:val="center"/>
          </w:tcPr>
          <w:p w14:paraId="406E3DE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352" w:type="dxa"/>
            <w:vAlign w:val="center"/>
          </w:tcPr>
          <w:p w14:paraId="55A13C6D">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5418" w:type="dxa"/>
            <w:gridSpan w:val="3"/>
            <w:vAlign w:val="center"/>
          </w:tcPr>
          <w:p w14:paraId="01EECB4E">
            <w:pPr>
              <w:adjustRightInd w:val="0"/>
              <w:snapToGrid w:val="0"/>
              <w:spacing w:line="276" w:lineRule="auto"/>
              <w:jc w:val="center"/>
              <w:rPr>
                <w:rFonts w:ascii="宋体" w:hAnsi="宋体" w:eastAsia="宋体" w:cs="Times New Roman"/>
                <w:kern w:val="0"/>
                <w:szCs w:val="21"/>
              </w:rPr>
            </w:pPr>
          </w:p>
        </w:tc>
      </w:tr>
    </w:tbl>
    <w:p w14:paraId="6BF34420">
      <w:pPr>
        <w:spacing w:line="360" w:lineRule="auto"/>
        <w:rPr>
          <w:rFonts w:ascii="Calibri" w:hAnsi="Calibri" w:eastAsia="宋体" w:cs="Times New Roman"/>
        </w:rPr>
      </w:pPr>
    </w:p>
    <w:p w14:paraId="61A30281">
      <w:pPr>
        <w:spacing w:line="360" w:lineRule="auto"/>
        <w:rPr>
          <w:rFonts w:ascii="宋体" w:hAnsi="宋体" w:eastAsia="宋体" w:cs="Times New Roman"/>
          <w:sz w:val="24"/>
          <w:szCs w:val="24"/>
        </w:rPr>
      </w:pPr>
      <w:r>
        <w:rPr>
          <w:rFonts w:hint="eastAsia" w:ascii="宋体" w:hAnsi="宋体" w:eastAsia="宋体" w:cs="Times New Roman"/>
          <w:sz w:val="24"/>
          <w:szCs w:val="24"/>
        </w:rPr>
        <w:t>（四）课程目标达成度计算方法</w:t>
      </w:r>
    </w:p>
    <w:p w14:paraId="22EDB37B">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所有课程目标均需大于等于</w:t>
      </w:r>
      <w:r>
        <w:rPr>
          <w:rFonts w:ascii="宋体" w:hAnsi="宋体" w:eastAsia="宋体" w:cs="Times New Roman"/>
          <w:sz w:val="24"/>
          <w:szCs w:val="24"/>
        </w:rPr>
        <w:t>0.6</w:t>
      </w:r>
      <w:r>
        <w:rPr>
          <w:rFonts w:hint="eastAsia" w:ascii="宋体" w:hAnsi="宋体" w:eastAsia="宋体" w:cs="Times New Roman"/>
          <w:sz w:val="24"/>
          <w:szCs w:val="24"/>
        </w:rPr>
        <w:t>，否则总评成绩不及格，需要补考或重修。每门课程目标总体达成度计算方法如下：</w:t>
      </w:r>
    </w:p>
    <w:p w14:paraId="7844A9E3">
      <w:pPr>
        <w:adjustRightInd w:val="0"/>
        <w:snapToGrid w:val="0"/>
        <w:spacing w:line="360" w:lineRule="auto"/>
        <w:jc w:val="left"/>
        <w:rPr>
          <w:rFonts w:ascii="宋体" w:hAnsi="宋体" w:eastAsia="宋体" w:cs="Times New Roman"/>
          <w:sz w:val="24"/>
          <w:szCs w:val="24"/>
        </w:rPr>
      </w:pPr>
      <w:bookmarkStart w:id="65" w:name="_Hlk23969649"/>
      <w:r>
        <w:rPr>
          <w:rFonts w:ascii="宋体" w:hAnsi="宋体" w:eastAsia="宋体" w:cs="Times New Roman"/>
          <w:position w:val="-26"/>
          <w:sz w:val="24"/>
          <w:szCs w:val="24"/>
        </w:rPr>
        <w:object>
          <v:shape id="_x0000_i1027" o:spt="75" type="#_x0000_t75" style="height:26.8pt;width:375.9pt;" o:ole="t" filled="f" o:preferrelative="t" stroked="f" coordsize="21600,21600">
            <v:path/>
            <v:fill on="f" focussize="0,0"/>
            <v:stroke on="f" joinstyle="miter"/>
            <v:imagedata r:id="rId7" o:title=""/>
            <o:lock v:ext="edit" aspectratio="t"/>
            <w10:wrap type="none"/>
            <w10:anchorlock/>
          </v:shape>
          <o:OLEObject Type="Embed" ProgID="Equation.KSEE3" ShapeID="_x0000_i1027" DrawAspect="Content" ObjectID="_1468075727" r:id="rId9">
            <o:LockedField>false</o:LockedField>
          </o:OLEObject>
        </w:object>
      </w:r>
      <w:bookmarkEnd w:id="65"/>
    </w:p>
    <w:p w14:paraId="661721BA">
      <w:pPr>
        <w:adjustRightInd w:val="0"/>
        <w:snapToGrid w:val="0"/>
        <w:spacing w:line="360" w:lineRule="auto"/>
        <w:jc w:val="left"/>
        <w:rPr>
          <w:rFonts w:ascii="宋体" w:hAnsi="Calibri" w:eastAsia="宋体" w:cs="Times New Roman"/>
          <w:color w:val="000000"/>
        </w:rPr>
      </w:pPr>
    </w:p>
    <w:p w14:paraId="7773BF9B">
      <w:pPr>
        <w:adjustRightInd w:val="0"/>
        <w:snapToGrid w:val="0"/>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六、有关说明</w:t>
      </w:r>
    </w:p>
    <w:p w14:paraId="47DBF3CA">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（一）持续改进</w:t>
      </w:r>
    </w:p>
    <w:p w14:paraId="5D145DEE">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本课程根据学生作业、课堂讨论、教学环节、平时考核情况和学生、教学督导等的反馈，及时对教学中的不足之处进行改进，并在下一轮课程教学中整改完善，确保相应毕业要求指标点达成。</w:t>
      </w:r>
    </w:p>
    <w:p w14:paraId="1B50D55E">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（二）参考书目及学习资料</w:t>
      </w:r>
    </w:p>
    <w:p w14:paraId="2B6CB55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教材</w:t>
      </w:r>
    </w:p>
    <w:p w14:paraId="127A98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张斌贤等</w:t>
      </w:r>
      <w:r>
        <w:rPr>
          <w:rFonts w:ascii="宋体" w:hAnsi="宋体" w:eastAsia="宋体" w:cs="Times New Roman"/>
          <w:color w:val="000000"/>
          <w:sz w:val="24"/>
          <w:szCs w:val="24"/>
        </w:rPr>
        <w:t>.</w:t>
      </w:r>
      <w:r>
        <w:rPr>
          <w:rFonts w:hint="eastAsia" w:ascii="宋体" w:hAnsi="宋体" w:eastAsia="宋体" w:cs="Times New Roman"/>
          <w:color w:val="000000"/>
          <w:sz w:val="24"/>
          <w:szCs w:val="24"/>
        </w:rPr>
        <w:t>西方教育思想史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北京：人民教育出版社，</w:t>
      </w:r>
      <w:r>
        <w:rPr>
          <w:rFonts w:ascii="宋体" w:hAnsi="宋体" w:eastAsia="宋体" w:cs="Times New Roman"/>
          <w:color w:val="000000"/>
          <w:sz w:val="24"/>
          <w:szCs w:val="24"/>
        </w:rPr>
        <w:t>201</w:t>
      </w: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p>
    <w:p w14:paraId="189A9D2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教学参考书</w:t>
      </w:r>
    </w:p>
    <w:p w14:paraId="55F3E5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滕大春</w:t>
      </w:r>
      <w:r>
        <w:rPr>
          <w:rFonts w:ascii="宋体" w:hAnsi="宋体" w:eastAsia="宋体" w:cs="Times New Roman"/>
          <w:color w:val="000000"/>
          <w:sz w:val="24"/>
          <w:szCs w:val="24"/>
        </w:rPr>
        <w:t>.</w:t>
      </w:r>
      <w:r>
        <w:rPr>
          <w:rFonts w:hint="eastAsia" w:ascii="宋体" w:hAnsi="宋体" w:eastAsia="宋体" w:cs="Times New Roman"/>
          <w:color w:val="000000"/>
          <w:sz w:val="24"/>
          <w:szCs w:val="24"/>
        </w:rPr>
        <w:t>外国教育通史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济南：山东教育出版社，</w:t>
      </w:r>
      <w:r>
        <w:rPr>
          <w:rFonts w:ascii="宋体" w:hAnsi="宋体" w:eastAsia="宋体" w:cs="Times New Roman"/>
          <w:color w:val="000000"/>
          <w:sz w:val="24"/>
          <w:szCs w:val="24"/>
        </w:rPr>
        <w:t>1992-1994.</w:t>
      </w:r>
    </w:p>
    <w:p w14:paraId="75D208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吴式颖</w:t>
      </w:r>
      <w:r>
        <w:rPr>
          <w:rFonts w:ascii="宋体" w:hAnsi="宋体" w:eastAsia="宋体" w:cs="Times New Roman"/>
          <w:color w:val="000000"/>
          <w:sz w:val="24"/>
          <w:szCs w:val="24"/>
        </w:rPr>
        <w:t>.</w:t>
      </w:r>
      <w:r>
        <w:rPr>
          <w:rFonts w:hint="eastAsia" w:ascii="宋体" w:hAnsi="宋体" w:eastAsia="宋体" w:cs="Times New Roman"/>
          <w:color w:val="000000"/>
          <w:sz w:val="24"/>
          <w:szCs w:val="24"/>
        </w:rPr>
        <w:t>外国现代教育史</w:t>
      </w:r>
      <w:r>
        <w:rPr>
          <w:rFonts w:ascii="宋体" w:hAnsi="宋体" w:eastAsia="宋体" w:cs="Times New Roman"/>
          <w:color w:val="000000"/>
          <w:sz w:val="24"/>
          <w:szCs w:val="24"/>
        </w:rPr>
        <w:t>[M].</w:t>
      </w:r>
      <w:r>
        <w:rPr>
          <w:rFonts w:hint="eastAsia" w:ascii="宋体" w:hAnsi="宋体" w:eastAsia="宋体" w:cs="Times New Roman"/>
          <w:color w:val="000000"/>
          <w:sz w:val="24"/>
          <w:szCs w:val="24"/>
        </w:rPr>
        <w:t>北京：人民教育出版社，</w:t>
      </w:r>
      <w:r>
        <w:rPr>
          <w:rFonts w:ascii="宋体" w:hAnsi="宋体" w:eastAsia="宋体" w:cs="Times New Roman"/>
          <w:color w:val="000000"/>
          <w:sz w:val="24"/>
          <w:szCs w:val="24"/>
        </w:rPr>
        <w:t>1997.</w:t>
      </w:r>
    </w:p>
    <w:p w14:paraId="6BD40F2D">
      <w:pPr>
        <w:autoSpaceDE w:val="0"/>
        <w:autoSpaceDN w:val="0"/>
        <w:adjustRightInd w:val="0"/>
        <w:snapToGrid w:val="0"/>
        <w:spacing w:line="360" w:lineRule="auto"/>
        <w:ind w:right="1440"/>
        <w:jc w:val="right"/>
        <w:rPr>
          <w:rFonts w:ascii="宋体" w:hAnsi="宋体" w:eastAsia="宋体" w:cs="Times New Roman"/>
          <w:kern w:val="0"/>
          <w:sz w:val="24"/>
          <w:szCs w:val="24"/>
        </w:rPr>
      </w:pPr>
    </w:p>
    <w:p w14:paraId="521D6DA1">
      <w:pPr>
        <w:autoSpaceDE w:val="0"/>
        <w:autoSpaceDN w:val="0"/>
        <w:adjustRightInd w:val="0"/>
        <w:snapToGrid w:val="0"/>
        <w:spacing w:line="360" w:lineRule="auto"/>
        <w:ind w:right="1440"/>
        <w:jc w:val="right"/>
        <w:rPr>
          <w:rFonts w:ascii="宋体" w:hAnsi="宋体" w:eastAsia="宋体" w:cs="Times New Roman"/>
          <w:kern w:val="0"/>
          <w:sz w:val="24"/>
          <w:szCs w:val="24"/>
        </w:rPr>
      </w:pPr>
    </w:p>
    <w:p w14:paraId="4D75FFCC">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执笔人：赵振杰</w:t>
      </w:r>
    </w:p>
    <w:p w14:paraId="7CDDC916">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审定人：王  健</w:t>
      </w:r>
    </w:p>
    <w:p w14:paraId="43C9BF27">
      <w:pPr>
        <w:autoSpaceDE w:val="0"/>
        <w:autoSpaceDN w:val="0"/>
        <w:adjustRightInd w:val="0"/>
        <w:snapToGrid w:val="0"/>
        <w:spacing w:line="360" w:lineRule="auto"/>
        <w:ind w:right="1440"/>
        <w:jc w:val="right"/>
        <w:rPr>
          <w:rFonts w:ascii="宋体" w:hAnsi="宋体" w:eastAsia="宋体" w:cs="Times New Roman"/>
          <w:kern w:val="0"/>
          <w:sz w:val="24"/>
          <w:szCs w:val="24"/>
        </w:rPr>
      </w:pPr>
      <w:r>
        <w:rPr>
          <w:rFonts w:hint="eastAsia" w:ascii="宋体" w:hAnsi="宋体" w:eastAsia="宋体" w:cs="Times New Roman"/>
          <w:kern w:val="0"/>
          <w:sz w:val="24"/>
          <w:szCs w:val="24"/>
        </w:rPr>
        <w:t>审批人：张志欣</w:t>
      </w:r>
    </w:p>
    <w:p w14:paraId="31F2BBA8">
      <w:pPr>
        <w:autoSpaceDE w:val="0"/>
        <w:autoSpaceDN w:val="0"/>
        <w:adjustRightInd w:val="0"/>
        <w:spacing w:line="360" w:lineRule="auto"/>
        <w:ind w:firstLine="6000" w:firstLineChars="2500"/>
        <w:jc w:val="left"/>
        <w:rPr>
          <w:rFonts w:ascii="宋体" w:hAnsi="宋体" w:eastAsia="宋体" w:cs="Times New Roman"/>
          <w:kern w:val="0"/>
          <w:sz w:val="24"/>
          <w:szCs w:val="21"/>
        </w:rPr>
      </w:pPr>
      <w:r>
        <w:rPr>
          <w:rFonts w:hint="eastAsia" w:ascii="宋体" w:hAnsi="宋体" w:eastAsia="宋体" w:cs="Times New Roman"/>
          <w:kern w:val="0"/>
          <w:sz w:val="24"/>
          <w:szCs w:val="24"/>
        </w:rPr>
        <w:t>批准时间：</w:t>
      </w:r>
      <w:r>
        <w:rPr>
          <w:rFonts w:ascii="宋体" w:hAnsi="宋体" w:eastAsia="宋体" w:cs="Times New Roman"/>
          <w:kern w:val="0"/>
          <w:sz w:val="24"/>
          <w:szCs w:val="24"/>
        </w:rPr>
        <w:t>202</w:t>
      </w:r>
      <w:r>
        <w:rPr>
          <w:rFonts w:hint="eastAsia" w:ascii="宋体" w:hAnsi="宋体" w:eastAsia="宋体" w:cs="Times New Roman"/>
          <w:kern w:val="0"/>
          <w:sz w:val="24"/>
          <w:szCs w:val="24"/>
          <w:lang w:val="en-US" w:eastAsia="zh-CN"/>
        </w:rPr>
        <w:t>2</w:t>
      </w:r>
      <w:r>
        <w:rPr>
          <w:rFonts w:hint="eastAsia" w:ascii="宋体" w:hAnsi="宋体" w:eastAsia="宋体" w:cs="Times New Roman"/>
          <w:kern w:val="0"/>
          <w:sz w:val="24"/>
          <w:szCs w:val="24"/>
        </w:rPr>
        <w:t>年8月2</w:t>
      </w:r>
      <w:r>
        <w:rPr>
          <w:rFonts w:ascii="宋体" w:hAnsi="宋体" w:eastAsia="宋体" w:cs="Times New Roman"/>
          <w:kern w:val="0"/>
          <w:sz w:val="24"/>
          <w:szCs w:val="24"/>
        </w:rPr>
        <w:t>0</w:t>
      </w:r>
      <w:r>
        <w:rPr>
          <w:rFonts w:hint="eastAsia" w:ascii="宋体" w:hAnsi="宋体" w:eastAsia="宋体" w:cs="Times New Roman"/>
          <w:kern w:val="0"/>
          <w:sz w:val="24"/>
          <w:szCs w:val="24"/>
        </w:rPr>
        <w:t>日</w:t>
      </w:r>
    </w:p>
    <w:p w14:paraId="28BAD329">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15F74706">
      <w:pPr>
        <w:widowControl/>
        <w:jc w:val="left"/>
        <w:rPr>
          <w:rFonts w:ascii="宋体" w:hAnsi="宋体" w:eastAsia="宋体" w:cs="Times New Roman"/>
          <w:sz w:val="24"/>
          <w:szCs w:val="24"/>
        </w:rPr>
      </w:pPr>
      <w:r>
        <w:rPr>
          <w:rFonts w:ascii="宋体" w:hAnsi="宋体" w:eastAsia="宋体" w:cs="Times New Roman"/>
          <w:sz w:val="24"/>
          <w:szCs w:val="24"/>
        </w:rPr>
        <w:br w:type="page"/>
      </w:r>
    </w:p>
    <w:p w14:paraId="19A3AEFE">
      <w:pPr>
        <w:spacing w:line="360" w:lineRule="auto"/>
        <w:jc w:val="center"/>
        <w:outlineLvl w:val="0"/>
        <w:rPr>
          <w:rFonts w:ascii="宋体" w:hAnsi="等线" w:eastAsia="宋体" w:cs="Times New Roman"/>
          <w:b/>
          <w:sz w:val="30"/>
          <w:szCs w:val="30"/>
        </w:rPr>
      </w:pPr>
      <w:bookmarkStart w:id="66" w:name="_Toc166165190"/>
      <w:bookmarkStart w:id="67" w:name="_Toc57017174"/>
      <w:r>
        <w:rPr>
          <w:rFonts w:hint="eastAsia" w:ascii="宋体" w:hAnsi="宋体" w:eastAsia="宋体" w:cs="Times New Roman"/>
          <w:b/>
          <w:sz w:val="30"/>
          <w:szCs w:val="30"/>
        </w:rPr>
        <w:t>小学教育政策与法规课程与教学大纲</w:t>
      </w:r>
      <w:bookmarkEnd w:id="66"/>
      <w:bookmarkEnd w:id="67"/>
    </w:p>
    <w:p w14:paraId="094F0DC9">
      <w:pPr>
        <w:spacing w:line="360" w:lineRule="auto"/>
        <w:ind w:firstLine="1383" w:firstLineChars="492"/>
        <w:rPr>
          <w:rFonts w:ascii="宋体" w:hAnsi="宋体" w:eastAsia="宋体" w:cs="Times New Roman"/>
          <w:b/>
          <w:sz w:val="28"/>
          <w:szCs w:val="30"/>
        </w:rPr>
      </w:pPr>
      <w:r>
        <w:rPr>
          <w:rFonts w:hint="eastAsia" w:ascii="宋体" w:hAnsi="宋体" w:eastAsia="宋体" w:cs="Times New Roman"/>
          <w:b/>
          <w:sz w:val="28"/>
          <w:szCs w:val="30"/>
        </w:rPr>
        <w:t>（</w:t>
      </w:r>
      <w:r>
        <w:rPr>
          <w:rFonts w:ascii="Times New Roman" w:hAnsi="Times New Roman" w:eastAsia="宋体" w:cs="Times New Roman"/>
          <w:b/>
          <w:sz w:val="28"/>
          <w:szCs w:val="30"/>
        </w:rPr>
        <w:t>Policy and Rules in Primary Education</w:t>
      </w:r>
      <w:r>
        <w:rPr>
          <w:rFonts w:hint="eastAsia" w:ascii="宋体" w:hAnsi="宋体" w:eastAsia="宋体" w:cs="Times New Roman"/>
          <w:b/>
          <w:sz w:val="28"/>
          <w:szCs w:val="30"/>
        </w:rPr>
        <w:t>）</w:t>
      </w:r>
    </w:p>
    <w:p w14:paraId="498C9DAB">
      <w:pPr>
        <w:spacing w:line="360" w:lineRule="auto"/>
        <w:ind w:firstLine="1383" w:firstLineChars="492"/>
        <w:rPr>
          <w:rFonts w:ascii="宋体" w:hAnsi="等线" w:eastAsia="宋体" w:cs="Times New Roman"/>
          <w:b/>
          <w:sz w:val="28"/>
          <w:szCs w:val="30"/>
        </w:rPr>
      </w:pPr>
    </w:p>
    <w:p w14:paraId="1554315A">
      <w:pPr>
        <w:spacing w:line="360" w:lineRule="auto"/>
        <w:ind w:firstLine="551" w:firstLineChars="196"/>
        <w:rPr>
          <w:rFonts w:ascii="宋体" w:hAnsi="等线" w:eastAsia="宋体" w:cs="Times New Roman"/>
          <w:b/>
          <w:color w:val="000000"/>
          <w:sz w:val="28"/>
          <w:szCs w:val="28"/>
        </w:rPr>
      </w:pPr>
      <w:bookmarkStart w:id="68" w:name="_Toc27847259"/>
      <w:bookmarkStart w:id="69" w:name="_Toc27846241"/>
      <w:r>
        <w:rPr>
          <w:rFonts w:hint="eastAsia" w:ascii="宋体" w:hAnsi="宋体" w:eastAsia="宋体" w:cs="Times New Roman"/>
          <w:b/>
          <w:color w:val="000000"/>
          <w:sz w:val="28"/>
          <w:szCs w:val="28"/>
        </w:rPr>
        <w:t>一、课程概况</w:t>
      </w:r>
      <w:bookmarkEnd w:id="68"/>
      <w:bookmarkEnd w:id="69"/>
    </w:p>
    <w:p w14:paraId="77CECBC9">
      <w:pPr>
        <w:spacing w:line="360" w:lineRule="auto"/>
        <w:ind w:firstLine="482" w:firstLineChars="200"/>
        <w:rPr>
          <w:rFonts w:ascii="宋体" w:hAnsi="等线" w:eastAsia="宋体" w:cs="Times New Roman"/>
          <w:color w:val="000000"/>
          <w:kern w:val="0"/>
          <w:sz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2401008</w:t>
      </w:r>
    </w:p>
    <w:p w14:paraId="12BAD1AA">
      <w:pPr>
        <w:spacing w:line="360" w:lineRule="auto"/>
        <w:ind w:firstLine="482" w:firstLineChars="200"/>
        <w:rPr>
          <w:rFonts w:ascii="宋体" w:hAnsi="等线" w:eastAsia="宋体" w:cs="Times New Roman"/>
          <w:b/>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1</w:t>
      </w:r>
    </w:p>
    <w:p w14:paraId="414F5B71">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szCs w:val="24"/>
        </w:rPr>
        <w:t>16</w:t>
      </w:r>
    </w:p>
    <w:p w14:paraId="023733E1">
      <w:pPr>
        <w:spacing w:line="360" w:lineRule="auto"/>
        <w:ind w:firstLine="482" w:firstLineChars="200"/>
        <w:jc w:val="left"/>
        <w:rPr>
          <w:rFonts w:ascii="宋体" w:hAnsi="等线" w:eastAsia="宋体" w:cs="Times New Roman"/>
          <w:color w:val="000000"/>
          <w:sz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b/>
          <w:color w:val="000000"/>
          <w:kern w:val="0"/>
          <w:sz w:val="24"/>
          <w:szCs w:val="24"/>
        </w:rPr>
        <w:t>：</w:t>
      </w:r>
      <w:r>
        <w:rPr>
          <w:rFonts w:hint="eastAsia" w:ascii="宋体" w:hAnsi="宋体" w:eastAsia="宋体" w:cs="Times New Roman"/>
          <w:color w:val="000000"/>
          <w:sz w:val="24"/>
        </w:rPr>
        <w:t>教育原理、中外教育史、教师职业道德</w:t>
      </w:r>
    </w:p>
    <w:p w14:paraId="2C4E9F83">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b/>
          <w:color w:val="000000"/>
          <w:kern w:val="0"/>
          <w:sz w:val="24"/>
          <w:szCs w:val="24"/>
        </w:rPr>
        <w:t>：</w:t>
      </w:r>
      <w:r>
        <w:rPr>
          <w:rFonts w:hint="eastAsia" w:ascii="宋体" w:hAnsi="宋体" w:eastAsia="宋体" w:cs="Times New Roman"/>
          <w:color w:val="000000"/>
          <w:kern w:val="0"/>
          <w:sz w:val="24"/>
          <w:szCs w:val="24"/>
        </w:rPr>
        <w:t>小学教育（文）、小学教育（理）</w:t>
      </w:r>
    </w:p>
    <w:p w14:paraId="27B16C2B">
      <w:pPr>
        <w:spacing w:line="360" w:lineRule="auto"/>
        <w:ind w:firstLine="482" w:firstLineChars="200"/>
        <w:rPr>
          <w:rFonts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
          <w:color w:val="000000"/>
          <w:kern w:val="0"/>
          <w:sz w:val="24"/>
          <w:szCs w:val="24"/>
        </w:rPr>
        <w:t>：</w:t>
      </w:r>
      <w:r>
        <w:rPr>
          <w:rFonts w:hint="eastAsia" w:ascii="宋体" w:hAnsi="宋体" w:eastAsia="宋体" w:cs="Times New Roman"/>
          <w:color w:val="000000"/>
          <w:kern w:val="0"/>
          <w:sz w:val="24"/>
          <w:szCs w:val="24"/>
        </w:rPr>
        <w:t>《小学教育政策与法规</w:t>
      </w:r>
      <w:r>
        <w:rPr>
          <w:rFonts w:hint="eastAsia" w:ascii="宋体" w:hAnsi="宋体" w:eastAsia="宋体" w:cs="Times New Roman"/>
          <w:color w:val="000000"/>
          <w:sz w:val="24"/>
        </w:rPr>
        <w:t>》，石正义，北京师范大学出版社，</w:t>
      </w:r>
      <w:r>
        <w:rPr>
          <w:rFonts w:ascii="宋体" w:hAnsi="宋体" w:eastAsia="宋体" w:cs="Times New Roman"/>
          <w:color w:val="000000"/>
          <w:kern w:val="0"/>
          <w:sz w:val="24"/>
          <w:szCs w:val="24"/>
        </w:rPr>
        <w:t>2015</w:t>
      </w:r>
      <w:r>
        <w:rPr>
          <w:rFonts w:ascii="宋体" w:hAnsi="等线" w:eastAsia="宋体" w:cs="Times New Roman"/>
          <w:color w:val="000000"/>
          <w:kern w:val="0"/>
          <w:sz w:val="24"/>
          <w:szCs w:val="24"/>
        </w:rPr>
        <w:t>.</w:t>
      </w:r>
    </w:p>
    <w:p w14:paraId="796C4F71">
      <w:pPr>
        <w:spacing w:line="360" w:lineRule="auto"/>
        <w:ind w:firstLine="482" w:firstLineChars="200"/>
        <w:rPr>
          <w:rFonts w:ascii="宋体" w:hAnsi="等线" w:eastAsia="宋体" w:cs="Times New Roman"/>
          <w:color w:val="000000"/>
          <w:sz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color w:val="000000"/>
          <w:sz w:val="24"/>
        </w:rPr>
        <w:t>师范学院</w:t>
      </w:r>
    </w:p>
    <w:p w14:paraId="54A6CBEE">
      <w:pPr>
        <w:adjustRightInd w:val="0"/>
        <w:snapToGrid w:val="0"/>
        <w:spacing w:line="360" w:lineRule="auto"/>
        <w:ind w:firstLine="482" w:firstLineChars="200"/>
        <w:rPr>
          <w:rFonts w:ascii="宋体" w:hAnsi="等线" w:eastAsia="宋体" w:cs="Times New Roman"/>
          <w:color w:val="000000"/>
          <w:sz w:val="24"/>
        </w:rPr>
      </w:pPr>
      <w:r>
        <w:rPr>
          <w:rFonts w:hint="eastAsia" w:ascii="宋体" w:hAnsi="宋体" w:eastAsia="宋体" w:cs="Times New Roman"/>
          <w:b/>
          <w:color w:val="000000"/>
          <w:sz w:val="24"/>
        </w:rPr>
        <w:t>课程的性质与任务</w:t>
      </w:r>
      <w:r>
        <w:rPr>
          <w:rFonts w:hint="eastAsia" w:ascii="宋体" w:hAnsi="宋体" w:eastAsia="宋体" w:cs="Times New Roman"/>
          <w:color w:val="000000"/>
          <w:sz w:val="24"/>
        </w:rPr>
        <w:t>：作为小学教育本科专业的必修教材，本课程以教育政策和教育法规方面的基本概念、官方文本和有关解释为知识基础，初步建立起以小学教育政策和法规应用为主线的知识课程体系。本课程立足于一个实践型、反思型小学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79B1E346">
      <w:pPr>
        <w:adjustRightInd w:val="0"/>
        <w:snapToGrid w:val="0"/>
        <w:spacing w:line="360" w:lineRule="auto"/>
        <w:ind w:firstLine="562" w:firstLineChars="200"/>
        <w:rPr>
          <w:rFonts w:ascii="宋体" w:hAnsi="等线" w:eastAsia="宋体" w:cs="Times New Roman"/>
          <w:b/>
          <w:color w:val="000000"/>
          <w:sz w:val="28"/>
          <w:szCs w:val="28"/>
        </w:rPr>
      </w:pPr>
      <w:r>
        <w:rPr>
          <w:rFonts w:hint="eastAsia" w:ascii="宋体" w:hAnsi="宋体" w:eastAsia="宋体" w:cs="Times New Roman"/>
          <w:b/>
          <w:color w:val="000000"/>
          <w:sz w:val="28"/>
          <w:szCs w:val="28"/>
        </w:rPr>
        <w:t>二、课程目标</w:t>
      </w:r>
    </w:p>
    <w:p w14:paraId="4BC62D61">
      <w:pPr>
        <w:adjustRightInd w:val="0"/>
        <w:snapToGrid w:val="0"/>
        <w:spacing w:line="360" w:lineRule="auto"/>
        <w:ind w:firstLine="482" w:firstLineChars="200"/>
        <w:rPr>
          <w:rFonts w:ascii="宋体" w:hAnsi="等线" w:eastAsia="宋体" w:cs="Times New Roman"/>
          <w:b/>
          <w:color w:val="000000"/>
          <w:sz w:val="24"/>
        </w:rPr>
      </w:pPr>
      <w:r>
        <w:rPr>
          <w:rFonts w:hint="eastAsia" w:ascii="宋体" w:hAnsi="宋体" w:eastAsia="宋体" w:cs="Times New Roman"/>
          <w:b/>
          <w:color w:val="000000"/>
          <w:sz w:val="24"/>
        </w:rPr>
        <w:t>（一）课程具体目标</w:t>
      </w:r>
    </w:p>
    <w:p w14:paraId="74711777">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1.</w:t>
      </w:r>
      <w:r>
        <w:rPr>
          <w:rFonts w:hint="eastAsia" w:ascii="宋体" w:hAnsi="宋体" w:eastAsia="宋体" w:cs="Times New Roman"/>
          <w:color w:val="000000"/>
          <w:sz w:val="24"/>
        </w:rPr>
        <w:t>熟悉教育政策的属性、功能、过程，增强中国特色社会主义核心价值观的理解。</w:t>
      </w:r>
    </w:p>
    <w:p w14:paraId="49D2C565">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2.</w:t>
      </w:r>
      <w:r>
        <w:rPr>
          <w:rFonts w:hint="eastAsia" w:ascii="宋体" w:hAnsi="宋体" w:eastAsia="宋体" w:cs="Times New Roman"/>
          <w:color w:val="000000"/>
          <w:sz w:val="24"/>
        </w:rPr>
        <w:t>了解教育法规的原理和我国小学法制建设的进程，把握中国近现代教育史的法制脉络，增强民族自信心。</w:t>
      </w:r>
    </w:p>
    <w:p w14:paraId="462941DC">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3.</w:t>
      </w:r>
      <w:r>
        <w:rPr>
          <w:rFonts w:hint="eastAsia" w:ascii="宋体" w:hAnsi="宋体" w:eastAsia="宋体" w:cs="Times New Roman"/>
          <w:color w:val="000000"/>
          <w:sz w:val="24"/>
        </w:rPr>
        <w:t>理解我国小学教育政策和法规体系，客观完整的把握我国国情。</w:t>
      </w:r>
    </w:p>
    <w:p w14:paraId="67633644">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4.</w:t>
      </w:r>
      <w:r>
        <w:rPr>
          <w:rFonts w:hint="eastAsia" w:ascii="宋体" w:hAnsi="宋体" w:eastAsia="宋体" w:cs="Times New Roman"/>
          <w:color w:val="000000"/>
          <w:sz w:val="24"/>
        </w:rPr>
        <w:t>掌握小学教师、小学生的权益和保护规定，增强职业责任感。</w:t>
      </w:r>
    </w:p>
    <w:p w14:paraId="220ED199">
      <w:pPr>
        <w:adjustRightInd w:val="0"/>
        <w:snapToGrid w:val="0"/>
        <w:spacing w:line="360" w:lineRule="auto"/>
        <w:ind w:firstLine="480" w:firstLineChars="200"/>
        <w:rPr>
          <w:rFonts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5.</w:t>
      </w:r>
      <w:r>
        <w:rPr>
          <w:rFonts w:hint="eastAsia" w:ascii="宋体" w:hAnsi="宋体" w:eastAsia="宋体" w:cs="Times New Roman"/>
          <w:color w:val="000000"/>
          <w:sz w:val="24"/>
        </w:rPr>
        <w:t>掌握政府、家庭和社会的教育职责和责任，强化教育的政治功能。</w:t>
      </w:r>
    </w:p>
    <w:p w14:paraId="7BA81EB1">
      <w:pPr>
        <w:adjustRightInd w:val="0"/>
        <w:snapToGrid w:val="0"/>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6.</w:t>
      </w:r>
      <w:r>
        <w:rPr>
          <w:rFonts w:hint="eastAsia" w:ascii="宋体" w:hAnsi="宋体" w:eastAsia="宋体" w:cs="Times New Roman"/>
          <w:color w:val="000000"/>
          <w:sz w:val="24"/>
        </w:rPr>
        <w:t>运用我国涉及小学生的重要法律法规和政策，树立依法从教的意识。</w:t>
      </w:r>
    </w:p>
    <w:p w14:paraId="3D33D90B">
      <w:pPr>
        <w:adjustRightInd w:val="0"/>
        <w:snapToGrid w:val="0"/>
        <w:spacing w:line="360" w:lineRule="auto"/>
        <w:ind w:firstLine="480" w:firstLineChars="200"/>
        <w:rPr>
          <w:rFonts w:ascii="宋体" w:hAnsi="等线" w:eastAsia="宋体" w:cs="Times New Roman"/>
          <w:color w:val="000000"/>
          <w:sz w:val="24"/>
        </w:rPr>
      </w:pPr>
    </w:p>
    <w:p w14:paraId="4326C3B6">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（二）课程目标与专业毕业要求的关系</w:t>
      </w:r>
    </w:p>
    <w:tbl>
      <w:tblPr>
        <w:tblStyle w:val="30"/>
        <w:tblW w:w="9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275"/>
        <w:gridCol w:w="5602"/>
      </w:tblGrid>
      <w:tr w14:paraId="0BAD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306" w:type="dxa"/>
            <w:vAlign w:val="center"/>
          </w:tcPr>
          <w:p w14:paraId="492E4A31">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275" w:type="dxa"/>
            <w:vAlign w:val="center"/>
          </w:tcPr>
          <w:p w14:paraId="3C502801">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602" w:type="dxa"/>
            <w:vAlign w:val="center"/>
          </w:tcPr>
          <w:p w14:paraId="417BF6A5">
            <w:pPr>
              <w:adjustRightInd w:val="0"/>
              <w:snapToGrid w:val="0"/>
              <w:spacing w:line="276" w:lineRule="auto"/>
              <w:ind w:firstLine="422" w:firstLineChars="200"/>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3C36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306" w:type="dxa"/>
            <w:vAlign w:val="center"/>
          </w:tcPr>
          <w:p w14:paraId="5D299566">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275" w:type="dxa"/>
            <w:vAlign w:val="center"/>
          </w:tcPr>
          <w:p w14:paraId="330A3F4A">
            <w:pPr>
              <w:adjustRightInd w:val="0"/>
              <w:snapToGrid w:val="0"/>
              <w:spacing w:line="276" w:lineRule="auto"/>
              <w:jc w:val="left"/>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602" w:type="dxa"/>
            <w:vAlign w:val="center"/>
          </w:tcPr>
          <w:p w14:paraId="43F3F095">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eastAsia="宋体" w:cs="Times New Roman"/>
                <w:color w:val="00000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317F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306" w:type="dxa"/>
            <w:vAlign w:val="center"/>
          </w:tcPr>
          <w:p w14:paraId="070DDC4F">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275" w:type="dxa"/>
            <w:vAlign w:val="center"/>
          </w:tcPr>
          <w:p w14:paraId="6411F3A6">
            <w:pPr>
              <w:adjustRightInd w:val="0"/>
              <w:snapToGrid w:val="0"/>
              <w:spacing w:line="276" w:lineRule="auto"/>
              <w:jc w:val="left"/>
              <w:rPr>
                <w:rFonts w:ascii="宋体" w:hAnsi="Calibri" w:eastAsia="宋体" w:cs="Times New Roman"/>
                <w:color w:val="000000"/>
                <w:kern w:val="0"/>
                <w:sz w:val="18"/>
                <w:szCs w:val="18"/>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r>
              <w:rPr>
                <w:rFonts w:hint="eastAsia" w:ascii="宋体" w:hAnsi="宋体" w:eastAsia="宋体" w:cs="Times New Roman"/>
                <w:color w:val="000000"/>
                <w:kern w:val="0"/>
                <w:szCs w:val="21"/>
              </w:rPr>
              <w:t>班级管理</w:t>
            </w:r>
          </w:p>
        </w:tc>
        <w:tc>
          <w:tcPr>
            <w:tcW w:w="5602" w:type="dxa"/>
            <w:vAlign w:val="center"/>
          </w:tcPr>
          <w:p w14:paraId="61193C42">
            <w:pPr>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5-1：【擅长班队管理】获得小学班队组织与建设的体验。掌握小学班队组织与建设的工作规律和基本方法，具有班队建设和管理的基本能力。</w:t>
            </w:r>
          </w:p>
          <w:p w14:paraId="7D05D1C8">
            <w:pPr>
              <w:adjustRightInd w:val="0"/>
              <w:snapToGrid w:val="0"/>
              <w:spacing w:line="276" w:lineRule="auto"/>
              <w:jc w:val="left"/>
              <w:rPr>
                <w:rFonts w:ascii="宋体" w:hAnsi="Calibri" w:eastAsia="宋体" w:cs="Times New Roman"/>
                <w:color w:val="000000"/>
                <w:kern w:val="0"/>
                <w:sz w:val="18"/>
                <w:szCs w:val="18"/>
              </w:rPr>
            </w:pPr>
            <w:r>
              <w:rPr>
                <w:rFonts w:ascii="宋体" w:hAnsi="宋体" w:eastAsia="宋体" w:cs="Times New Roman"/>
                <w:szCs w:val="21"/>
              </w:rPr>
              <w:t>5</w:t>
            </w:r>
            <w:r>
              <w:rPr>
                <w:rFonts w:ascii="宋体" w:hAnsi="Calibri" w:eastAsia="宋体" w:cs="Times New Roman"/>
                <w:szCs w:val="21"/>
              </w:rPr>
              <w:t>-</w:t>
            </w:r>
            <w:r>
              <w:rPr>
                <w:rFonts w:ascii="宋体" w:hAnsi="宋体" w:eastAsia="宋体" w:cs="Times New Roman"/>
                <w:szCs w:val="21"/>
              </w:rPr>
              <w:t>3</w:t>
            </w:r>
            <w:r>
              <w:rPr>
                <w:rFonts w:hint="eastAsia" w:ascii="宋体" w:hAnsi="宋体" w:eastAsia="宋体" w:cs="Times New Roman"/>
                <w:szCs w:val="21"/>
              </w:rPr>
              <w:t>：【重视心理健康教育】获得小学心理健康教育指导体验，参与组织与指导对小学生心理健康教育的科普宣传及心理辅导，掌握小学心理健康教育的基本方法。</w:t>
            </w:r>
          </w:p>
        </w:tc>
      </w:tr>
      <w:tr w14:paraId="02B8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06" w:type="dxa"/>
            <w:vAlign w:val="center"/>
          </w:tcPr>
          <w:p w14:paraId="43E6B65C">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275" w:type="dxa"/>
            <w:vAlign w:val="center"/>
          </w:tcPr>
          <w:p w14:paraId="04ED8232">
            <w:pPr>
              <w:adjustRightInd w:val="0"/>
              <w:snapToGrid w:val="0"/>
              <w:spacing w:line="276" w:lineRule="auto"/>
              <w:jc w:val="left"/>
              <w:rPr>
                <w:rFonts w:ascii="宋体" w:hAnsi="Calibri"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7.</w:t>
            </w:r>
            <w:r>
              <w:rPr>
                <w:rFonts w:hint="eastAsia" w:ascii="宋体" w:hAnsi="宋体" w:eastAsia="宋体" w:cs="Times New Roman"/>
                <w:color w:val="000000"/>
                <w:spacing w:val="2"/>
                <w:kern w:val="0"/>
                <w:szCs w:val="21"/>
              </w:rPr>
              <w:t>学会反思</w:t>
            </w:r>
          </w:p>
        </w:tc>
        <w:tc>
          <w:tcPr>
            <w:tcW w:w="5602" w:type="dxa"/>
            <w:vAlign w:val="center"/>
          </w:tcPr>
          <w:p w14:paraId="541170FD">
            <w:pPr>
              <w:adjustRightInd w:val="0"/>
              <w:snapToGrid w:val="0"/>
              <w:spacing w:line="276" w:lineRule="auto"/>
              <w:jc w:val="left"/>
              <w:rPr>
                <w:rFonts w:ascii="宋体" w:hAnsi="Calibri" w:eastAsia="宋体" w:cs="宋体"/>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w:t>
            </w:r>
            <w:r>
              <w:rPr>
                <w:rFonts w:hint="eastAsia" w:ascii="宋体" w:hAnsi="宋体" w:eastAsia="宋体" w:cs="Times New Roman"/>
                <w:color w:val="000000"/>
                <w:szCs w:val="21"/>
              </w:rPr>
              <w:t>：【教育视野开阔】积极参加基础教育领域的国内外交流，了解国内外基础教育改革发展的动态，具有宽广的教育视野，能够主动适应新时代和教育发展需求。</w:t>
            </w:r>
          </w:p>
        </w:tc>
      </w:tr>
      <w:tr w14:paraId="79DC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306" w:type="dxa"/>
            <w:vAlign w:val="center"/>
          </w:tcPr>
          <w:p w14:paraId="7586079F">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275" w:type="dxa"/>
            <w:vAlign w:val="center"/>
          </w:tcPr>
          <w:p w14:paraId="40ED6BCB">
            <w:pPr>
              <w:adjustRightInd w:val="0"/>
              <w:snapToGrid w:val="0"/>
              <w:spacing w:line="276" w:lineRule="auto"/>
              <w:jc w:val="left"/>
              <w:rPr>
                <w:rFonts w:ascii="宋体" w:hAnsi="Calibri"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spacing w:val="2"/>
                <w:kern w:val="0"/>
                <w:szCs w:val="21"/>
              </w:rPr>
              <w:t>7</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5602" w:type="dxa"/>
            <w:vAlign w:val="center"/>
          </w:tcPr>
          <w:p w14:paraId="08124872">
            <w:pPr>
              <w:shd w:val="clear" w:color="auto" w:fill="FFFFFF"/>
              <w:adjustRightInd w:val="0"/>
              <w:snapToGrid w:val="0"/>
              <w:spacing w:line="276" w:lineRule="auto"/>
              <w:jc w:val="left"/>
              <w:rPr>
                <w:rFonts w:ascii="宋体" w:hAnsi="Calibri" w:eastAsia="宋体" w:cs="Times New Roman"/>
                <w:color w:val="000000"/>
                <w:spacing w:val="2"/>
                <w:kern w:val="0"/>
                <w:szCs w:val="21"/>
              </w:rPr>
            </w:pPr>
            <w:r>
              <w:rPr>
                <w:rFonts w:hint="eastAsia" w:ascii="宋体" w:hAnsi="宋体" w:eastAsia="宋体" w:cs="Times New Roman"/>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1FD0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306" w:type="dxa"/>
            <w:vAlign w:val="center"/>
          </w:tcPr>
          <w:p w14:paraId="1C72E3C4">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275" w:type="dxa"/>
            <w:vAlign w:val="center"/>
          </w:tcPr>
          <w:p w14:paraId="4702B00C">
            <w:pPr>
              <w:adjustRightInd w:val="0"/>
              <w:snapToGrid w:val="0"/>
              <w:spacing w:line="276" w:lineRule="auto"/>
              <w:jc w:val="left"/>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班级管理</w:t>
            </w:r>
          </w:p>
        </w:tc>
        <w:tc>
          <w:tcPr>
            <w:tcW w:w="5602" w:type="dxa"/>
            <w:vAlign w:val="center"/>
          </w:tcPr>
          <w:p w14:paraId="2A8035DC">
            <w:pPr>
              <w:shd w:val="clear" w:color="auto" w:fill="FFFFFF"/>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5-1：【擅长班队管理】获得小学班队组织与建设的体验。掌握小学班队组织与建设的工作规律和基本方法，具有班队建设和管理的基本能力。</w:t>
            </w:r>
          </w:p>
          <w:p w14:paraId="761763BA">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eastAsia="宋体" w:cs="Times New Roman"/>
                <w:szCs w:val="21"/>
              </w:rPr>
              <w:t>5-2：【强化德育地位】获得小学德育工作体验，树立德育为先的理念，熟悉小学德育的基本原理与方法。</w:t>
            </w:r>
          </w:p>
        </w:tc>
      </w:tr>
      <w:tr w14:paraId="467F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306" w:type="dxa"/>
            <w:vAlign w:val="center"/>
          </w:tcPr>
          <w:p w14:paraId="4C296731">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6</w:t>
            </w:r>
          </w:p>
        </w:tc>
        <w:tc>
          <w:tcPr>
            <w:tcW w:w="2275" w:type="dxa"/>
            <w:vAlign w:val="center"/>
          </w:tcPr>
          <w:p w14:paraId="47068ABE">
            <w:pPr>
              <w:adjustRightInd w:val="0"/>
              <w:snapToGrid w:val="0"/>
              <w:spacing w:line="276" w:lineRule="auto"/>
              <w:jc w:val="left"/>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p w14:paraId="1C104169">
            <w:pPr>
              <w:adjustRightInd w:val="0"/>
              <w:snapToGrid w:val="0"/>
              <w:spacing w:line="276" w:lineRule="auto"/>
              <w:jc w:val="left"/>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学会反思</w:t>
            </w:r>
          </w:p>
        </w:tc>
        <w:tc>
          <w:tcPr>
            <w:tcW w:w="5602" w:type="dxa"/>
            <w:vAlign w:val="center"/>
          </w:tcPr>
          <w:p w14:paraId="3BC2565E">
            <w:pPr>
              <w:shd w:val="clear" w:color="auto" w:fill="FFFFFF"/>
              <w:adjustRightInd w:val="0"/>
              <w:snapToGrid w:val="0"/>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-2：【职业行为规范】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161FC3F6">
            <w:pPr>
              <w:shd w:val="clear" w:color="auto" w:fill="FFFFFF"/>
              <w:adjustRightInd w:val="0"/>
              <w:snapToGrid w:val="0"/>
              <w:spacing w:line="276" w:lineRule="auto"/>
              <w:jc w:val="left"/>
              <w:rPr>
                <w:rFonts w:ascii="宋体" w:hAnsi="Calibri" w:eastAsia="宋体" w:cs="Times New Roman"/>
                <w:color w:val="000000"/>
                <w:szCs w:val="21"/>
              </w:rPr>
            </w:pPr>
            <w:r>
              <w:rPr>
                <w:rFonts w:hint="eastAsia" w:ascii="宋体" w:hAnsi="宋体" w:eastAsia="宋体" w:cs="Times New Roman"/>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0963C02A">
      <w:pPr>
        <w:adjustRightInd w:val="0"/>
        <w:snapToGrid w:val="0"/>
        <w:spacing w:line="360" w:lineRule="auto"/>
        <w:rPr>
          <w:rFonts w:ascii="宋体" w:hAnsi="等线" w:eastAsia="宋体" w:cs="Times New Roman"/>
          <w:color w:val="000000"/>
          <w:sz w:val="24"/>
        </w:rPr>
      </w:pPr>
    </w:p>
    <w:p w14:paraId="457D7694">
      <w:pPr>
        <w:adjustRightInd w:val="0"/>
        <w:snapToGrid w:val="0"/>
        <w:spacing w:line="360" w:lineRule="auto"/>
        <w:ind w:firstLine="562" w:firstLineChars="200"/>
        <w:rPr>
          <w:rFonts w:ascii="宋体" w:hAnsi="等线" w:eastAsia="宋体" w:cs="Times New Roman"/>
          <w:b/>
          <w:color w:val="000000"/>
          <w:sz w:val="28"/>
          <w:szCs w:val="28"/>
        </w:rPr>
      </w:pPr>
      <w:r>
        <w:rPr>
          <w:rFonts w:hint="eastAsia" w:ascii="宋体" w:hAnsi="宋体" w:eastAsia="宋体" w:cs="Times New Roman"/>
          <w:b/>
          <w:color w:val="000000"/>
          <w:sz w:val="28"/>
          <w:szCs w:val="28"/>
        </w:rPr>
        <w:t>三、课程内容</w:t>
      </w:r>
    </w:p>
    <w:p w14:paraId="534C5C4F">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（一）</w:t>
      </w:r>
      <w:r>
        <w:rPr>
          <w:rFonts w:hint="eastAsia" w:ascii="宋体" w:hAnsi="宋体" w:eastAsia="宋体" w:cs="宋体"/>
          <w:b/>
          <w:color w:val="000000"/>
          <w:kern w:val="0"/>
          <w:sz w:val="24"/>
          <w:szCs w:val="24"/>
        </w:rPr>
        <w:t>教育政策概</w:t>
      </w:r>
      <w:r>
        <w:rPr>
          <w:rFonts w:hint="eastAsia" w:ascii="宋体" w:hAnsi="宋体" w:eastAsia="宋体" w:cs="Times New Roman"/>
          <w:b/>
          <w:color w:val="000000"/>
          <w:sz w:val="24"/>
          <w:szCs w:val="24"/>
        </w:rPr>
        <w:t>论（本模块各知识点的讲授与学习，可以支撑课程目标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w:t>
      </w:r>
    </w:p>
    <w:p w14:paraId="728D4EE9">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605484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）教育政策的本质和特点、功能</w:t>
      </w:r>
    </w:p>
    <w:p w14:paraId="1AFED39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）教育政策的价值取向</w:t>
      </w:r>
    </w:p>
    <w:p w14:paraId="7789626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）教育政策过程</w:t>
      </w:r>
    </w:p>
    <w:p w14:paraId="61617DD4">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6AA6B99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）了解教育政策的基本内涵</w:t>
      </w:r>
    </w:p>
    <w:p w14:paraId="4BB35F7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）理解教育政策的价值取向</w:t>
      </w:r>
    </w:p>
    <w:p w14:paraId="4314C17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）掌握教育政策的过程</w:t>
      </w:r>
    </w:p>
    <w:p w14:paraId="762C1EB6">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5687B2B2">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通过理解教育政策的公共性，让学生结合国家最近出台的一系列教育政策思考我国目前现实中所遇到的教育危机和面临的挑战，从而能在宏观的层面上增强“四个自信”。</w:t>
      </w:r>
    </w:p>
    <w:p w14:paraId="23FE90E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：了解教育政策的功能</w:t>
      </w:r>
    </w:p>
    <w:p w14:paraId="25C0FC3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：理解教育政策的制定、执行和评估</w:t>
      </w:r>
    </w:p>
    <w:p w14:paraId="4B721777">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（二）小学教育政策体系（本模块各知识点的讲授与学习，可以支撑课程目标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67369CD0">
      <w:pPr>
        <w:widowControl/>
        <w:adjustRightInd w:val="0"/>
        <w:snapToGrid w:val="0"/>
        <w:spacing w:line="360" w:lineRule="auto"/>
        <w:ind w:firstLine="723" w:firstLineChars="30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DD0794E">
      <w:pPr>
        <w:widowControl/>
        <w:adjustRightInd w:val="0"/>
        <w:snapToGrid w:val="0"/>
        <w:spacing w:line="360" w:lineRule="auto"/>
        <w:ind w:firstLine="600" w:firstLineChars="25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）教育政策体系内涵</w:t>
      </w:r>
    </w:p>
    <w:p w14:paraId="402EE79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）小学教育政策体系的结构</w:t>
      </w:r>
    </w:p>
    <w:p w14:paraId="3F532C0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）我国小学教育政策体系的形成和发展</w:t>
      </w:r>
    </w:p>
    <w:p w14:paraId="03D24E43">
      <w:pPr>
        <w:widowControl/>
        <w:adjustRightInd w:val="0"/>
        <w:snapToGrid w:val="0"/>
        <w:spacing w:line="360" w:lineRule="auto"/>
        <w:ind w:firstLine="723" w:firstLineChars="30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A3BAE6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）了解教育政策体系的基本内涵</w:t>
      </w:r>
    </w:p>
    <w:p w14:paraId="7B84751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）理解小学教育政策体系的结构特征</w:t>
      </w:r>
    </w:p>
    <w:p w14:paraId="4217446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）掌握我国小学教育政策体系的发展</w:t>
      </w:r>
    </w:p>
    <w:p w14:paraId="05094FDC">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39A81385">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通过本章内容学习，使学生在理解教育政策体系重要性和存在问题的基础上，坚定小学教师职业使命感，树立正确的人生价值观。</w:t>
      </w:r>
    </w:p>
    <w:p w14:paraId="1FDB1A6B">
      <w:pPr>
        <w:widowControl/>
        <w:adjustRightInd w:val="0"/>
        <w:snapToGrid w:val="0"/>
        <w:spacing w:line="360" w:lineRule="auto"/>
        <w:ind w:firstLine="602" w:firstLineChars="25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：掌握小学教育政策体系的结构特征和发展</w:t>
      </w:r>
    </w:p>
    <w:p w14:paraId="66F135A2">
      <w:pPr>
        <w:widowControl/>
        <w:adjustRightInd w:val="0"/>
        <w:snapToGrid w:val="0"/>
        <w:spacing w:line="360" w:lineRule="auto"/>
        <w:ind w:firstLine="602" w:firstLineChars="25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：理解教育政策体系的内涵</w:t>
      </w:r>
    </w:p>
    <w:p w14:paraId="4FDD801B">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（三）教育法规与小学教育法制建设（本模块各知识点的讲授与学习，可以支撑课程目标</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w:t>
      </w:r>
    </w:p>
    <w:p w14:paraId="11D65C44">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2231566D">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）教育法规概述</w:t>
      </w:r>
    </w:p>
    <w:p w14:paraId="21AF008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）教育法律关系和教育法律责任</w:t>
      </w:r>
    </w:p>
    <w:p w14:paraId="175F882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）小学教育立法、实施和监督</w:t>
      </w:r>
    </w:p>
    <w:p w14:paraId="5546814B">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211A5F9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）了解教育法规</w:t>
      </w:r>
    </w:p>
    <w:p w14:paraId="287854C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）理解教育法律关系和教育法律责任</w:t>
      </w:r>
    </w:p>
    <w:p w14:paraId="3F77693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）掌握小学教育法规实施和监督</w:t>
      </w:r>
    </w:p>
    <w:p w14:paraId="3FE71935">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4450F1C7">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通过本章内容学习，使学生深刻理解我国依法治国和依法治教的意义，以及当前我国建设法治国家所面临的严峻形势，更加自觉的做到敬畏法律、遵守法律，在今后的工作中积极宣扬法治精神，维护法律尊严。</w:t>
      </w:r>
    </w:p>
    <w:p w14:paraId="343469F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：理解教育法律关系的类型</w:t>
      </w:r>
    </w:p>
    <w:p w14:paraId="69A64E6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：教育法律责任的认定</w:t>
      </w:r>
    </w:p>
    <w:p w14:paraId="39C77348">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（四）政府、家庭和社会的职责和责任（本模块各知识点的讲授与学习，可以支撑课程目标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35844CBA">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8D7A84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）政府的法律责任</w:t>
      </w:r>
    </w:p>
    <w:p w14:paraId="1AB8DD3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）家庭的教育义务和责任</w:t>
      </w:r>
    </w:p>
    <w:p w14:paraId="7880A6A3">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）社会的教育义务和责任</w:t>
      </w:r>
    </w:p>
    <w:p w14:paraId="5EE895F3">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EF20E07">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）了解政府的职责</w:t>
      </w:r>
    </w:p>
    <w:p w14:paraId="77B27113">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）区分政府、家庭和社会的教育义务</w:t>
      </w:r>
    </w:p>
    <w:p w14:paraId="32B0AF3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）理解政府、家庭和社会的教育责任</w:t>
      </w:r>
    </w:p>
    <w:p w14:paraId="16153ED4">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78ACFB60">
      <w:pPr>
        <w:widowControl/>
        <w:adjustRightInd w:val="0"/>
        <w:snapToGrid w:val="0"/>
        <w:spacing w:line="360" w:lineRule="auto"/>
        <w:ind w:firstLine="560"/>
        <w:jc w:val="left"/>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通过本章内容学习，使学生理解我国社会主义制度和社会结构的特殊优越性，增强爱国主义情怀和集体主义意识，明确作为一个公民的社会责任和公共道德。</w:t>
      </w:r>
    </w:p>
    <w:p w14:paraId="68CA265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：政府、家庭和社会的教育责任划分</w:t>
      </w:r>
    </w:p>
    <w:p w14:paraId="43F4F7D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：政府、家庭和社会的教育义务监督</w:t>
      </w:r>
    </w:p>
    <w:p w14:paraId="36FFE0DB">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（五）小学的权利和责任（本模块各知识点的讲授与学习，可以支撑课程目标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315F8BB0">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4306222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）小学的法律地位</w:t>
      </w:r>
    </w:p>
    <w:p w14:paraId="0DCB41F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）小学的权利义务和责任</w:t>
      </w:r>
    </w:p>
    <w:p w14:paraId="30051E0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）学校事故及侵权责任</w:t>
      </w:r>
    </w:p>
    <w:p w14:paraId="49AB0406">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97D366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）了解小学的法律地位</w:t>
      </w:r>
    </w:p>
    <w:p w14:paraId="25EE37E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）理解小学的权利义务和责任</w:t>
      </w:r>
    </w:p>
    <w:p w14:paraId="5931DA5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）掌握学校事故及侵权责任</w:t>
      </w:r>
    </w:p>
    <w:p w14:paraId="70A662AD">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68947150">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通过本章内容学习，使学生理解未来作为一个学校管理者和决策者所承担的法律责任，从而做到谨慎决策、科学决策，并不断提高创新管理的水平。</w:t>
      </w:r>
    </w:p>
    <w:p w14:paraId="2951C64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：理解小学法律地位</w:t>
      </w:r>
    </w:p>
    <w:p w14:paraId="4E15A5E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：学校事故的责任划分</w:t>
      </w:r>
    </w:p>
    <w:p w14:paraId="51D33B76">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（六）小学教师的权益及保护（本模块各知识点的讲授与学习，可以支撑课程目标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227C2D77">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CE345B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）小学教师的法律地位</w:t>
      </w:r>
    </w:p>
    <w:p w14:paraId="5E0DF85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）小学教师的权利与义务</w:t>
      </w:r>
    </w:p>
    <w:p w14:paraId="20487BBC">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）教师的惩戒与权利救济</w:t>
      </w:r>
    </w:p>
    <w:p w14:paraId="4563068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）教师职业制度</w:t>
      </w:r>
    </w:p>
    <w:p w14:paraId="5AD438AC">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55BDE39">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）了解小学教师的法律地位</w:t>
      </w:r>
    </w:p>
    <w:p w14:paraId="5E80986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）理解教师的惩戒和权利救济</w:t>
      </w:r>
    </w:p>
    <w:p w14:paraId="2C5ECB4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）掌握小学教师的权利与义务</w:t>
      </w:r>
    </w:p>
    <w:p w14:paraId="31DCF1EF">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46A0D8F0">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通过本章内容学习，使学生深刻理解习近平总书记提出的“四有好老师”所蕴含的时代意义，在今后的教师岗位上不断增强履职尽责的自觉性和为国育人的崇高精神。</w:t>
      </w:r>
    </w:p>
    <w:p w14:paraId="09B13520">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：理解小学教师的法律地位</w:t>
      </w:r>
    </w:p>
    <w:p w14:paraId="11B64B1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：理解教师的权利救济和教师职业制度。</w:t>
      </w:r>
    </w:p>
    <w:p w14:paraId="2916ED42">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（七）小学生的权益及保护（本模块各知识点的讲授与学习，可以支撑课程目标</w:t>
      </w:r>
      <w:r>
        <w:rPr>
          <w:rFonts w:ascii="宋体" w:hAnsi="宋体" w:eastAsia="宋体" w:cs="Times New Roman"/>
          <w:b/>
          <w:color w:val="000000"/>
          <w:sz w:val="24"/>
          <w:szCs w:val="24"/>
        </w:rPr>
        <w:t>5</w:t>
      </w:r>
      <w:r>
        <w:rPr>
          <w:rFonts w:hint="eastAsia" w:ascii="宋体" w:hAnsi="宋体" w:eastAsia="宋体" w:cs="Times New Roman"/>
          <w:b/>
          <w:color w:val="000000"/>
          <w:sz w:val="24"/>
          <w:szCs w:val="24"/>
        </w:rPr>
        <w:t>）</w:t>
      </w:r>
    </w:p>
    <w:p w14:paraId="02572D1D">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B5E779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）小学生的法律地位</w:t>
      </w:r>
    </w:p>
    <w:p w14:paraId="1C05396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）小学生的权利与义务</w:t>
      </w:r>
    </w:p>
    <w:p w14:paraId="7769C526">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）学生惩戒与权利救济</w:t>
      </w:r>
    </w:p>
    <w:p w14:paraId="076D386B">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5A8C934">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）了解小学生的法律地位</w:t>
      </w:r>
    </w:p>
    <w:p w14:paraId="559163B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）理解学生惩戒与权利救济；</w:t>
      </w:r>
    </w:p>
    <w:p w14:paraId="7960601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）掌握小学生的权利与义务</w:t>
      </w:r>
    </w:p>
    <w:p w14:paraId="383B27CE">
      <w:pPr>
        <w:adjustRightInd w:val="0"/>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3.课程思政育人目标</w:t>
      </w:r>
    </w:p>
    <w:p w14:paraId="559D9B26">
      <w:pPr>
        <w:adjustRightInd w:val="0"/>
        <w:snapToGrid w:val="0"/>
        <w:spacing w:line="360" w:lineRule="auto"/>
        <w:ind w:firstLine="480" w:firstLineChars="200"/>
        <w:rPr>
          <w:rFonts w:ascii="宋体" w:hAnsi="宋体" w:eastAsia="宋体" w:cs="Times New Roman"/>
          <w:bCs/>
          <w:color w:val="000000"/>
          <w:sz w:val="24"/>
          <w:szCs w:val="24"/>
        </w:rPr>
      </w:pPr>
      <w:r>
        <w:rPr>
          <w:rFonts w:hint="eastAsia" w:ascii="宋体" w:hAnsi="宋体" w:eastAsia="宋体" w:cs="Times New Roman"/>
          <w:bCs/>
          <w:color w:val="000000"/>
          <w:sz w:val="24"/>
          <w:szCs w:val="24"/>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p w14:paraId="74E201E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：理解学生惩戒与权利救济的内涵</w:t>
      </w:r>
    </w:p>
    <w:p w14:paraId="01B8921A">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：小学生的法律地位</w:t>
      </w:r>
    </w:p>
    <w:p w14:paraId="1622620F">
      <w:pPr>
        <w:adjustRightInd w:val="0"/>
        <w:snapToGrid w:val="0"/>
        <w:spacing w:line="360" w:lineRule="auto"/>
        <w:ind w:firstLine="482" w:firstLineChars="200"/>
        <w:rPr>
          <w:rFonts w:ascii="宋体" w:hAnsi="等线" w:eastAsia="宋体" w:cs="Times New Roman"/>
          <w:b/>
          <w:color w:val="000000"/>
          <w:sz w:val="24"/>
          <w:szCs w:val="24"/>
        </w:rPr>
      </w:pPr>
      <w:r>
        <w:rPr>
          <w:rFonts w:hint="eastAsia" w:ascii="宋体" w:hAnsi="宋体" w:eastAsia="宋体" w:cs="Times New Roman"/>
          <w:b/>
          <w:color w:val="000000"/>
          <w:sz w:val="24"/>
          <w:szCs w:val="24"/>
        </w:rPr>
        <w:t>（八）小学教育重要法律法规和政策解读（本模块各知识点的讲授与学习，可以支撑课程目标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41DE7B79">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4AA982B">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）教育法与义务教育法</w:t>
      </w:r>
    </w:p>
    <w:p w14:paraId="6FE3CB3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）教师法与未成年人保护法</w:t>
      </w:r>
    </w:p>
    <w:p w14:paraId="3A937C0F">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）预防未成年人犯罪法</w:t>
      </w:r>
    </w:p>
    <w:p w14:paraId="4DF6C281">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）学生伤害事故处理办法</w:t>
      </w:r>
    </w:p>
    <w:p w14:paraId="77A348FA">
      <w:pPr>
        <w:widowControl/>
        <w:adjustRightInd w:val="0"/>
        <w:snapToGrid w:val="0"/>
        <w:spacing w:line="360" w:lineRule="auto"/>
        <w:ind w:firstLine="560"/>
        <w:jc w:val="left"/>
        <w:rPr>
          <w:rFonts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8695CD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）了解小学教育重要法律法规的内容</w:t>
      </w:r>
    </w:p>
    <w:p w14:paraId="2AD00F65">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）理解相关法律法规中的具体内容现实意义</w:t>
      </w:r>
    </w:p>
    <w:p w14:paraId="79E33C42">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）理解相关法律法规执行中的问题</w:t>
      </w:r>
    </w:p>
    <w:p w14:paraId="1CE6D6D8">
      <w:pPr>
        <w:adjustRightInd w:val="0"/>
        <w:snapToGrid w:val="0"/>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3.课程思政育人目标</w:t>
      </w:r>
    </w:p>
    <w:p w14:paraId="3EA3F255">
      <w:pPr>
        <w:adjustRightInd w:val="0"/>
        <w:snapToGrid w:val="0"/>
        <w:spacing w:line="360" w:lineRule="auto"/>
        <w:ind w:firstLine="480" w:firstLineChars="200"/>
        <w:rPr>
          <w:rFonts w:ascii="宋体" w:hAnsi="宋体" w:eastAsia="宋体" w:cs="Times New Roman"/>
          <w:bCs/>
          <w:color w:val="000000"/>
          <w:sz w:val="24"/>
        </w:rPr>
      </w:pPr>
      <w:r>
        <w:rPr>
          <w:rFonts w:hint="eastAsia" w:ascii="宋体" w:hAnsi="宋体" w:eastAsia="宋体" w:cs="Times New Roman"/>
          <w:bCs/>
          <w:color w:val="000000"/>
          <w:sz w:val="24"/>
        </w:rPr>
        <w:t>通过本章内容学习，使学生了解我国教育政策与法规内容中所体现的中国特色社会主义精神，深刻理解中国共产党领导下的教育宏图大业，增强作为一个新时代中国小学教师的自豪感。</w:t>
      </w:r>
    </w:p>
    <w:p w14:paraId="445AECB8">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：理解小学教育重要法律法规和政策中的具体内容规定</w:t>
      </w:r>
    </w:p>
    <w:p w14:paraId="4B30BEFE">
      <w:pPr>
        <w:widowControl/>
        <w:adjustRightInd w:val="0"/>
        <w:snapToGrid w:val="0"/>
        <w:spacing w:line="360" w:lineRule="auto"/>
        <w:ind w:firstLine="560"/>
        <w:jc w:val="left"/>
        <w:rPr>
          <w:rFonts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：教育法律法规修订的现实意义</w:t>
      </w:r>
    </w:p>
    <w:p w14:paraId="3C147AF2">
      <w:pPr>
        <w:adjustRightInd w:val="0"/>
        <w:snapToGrid w:val="0"/>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教学内容与课程目标的对应关系及学时分配如表所示：</w:t>
      </w:r>
    </w:p>
    <w:tbl>
      <w:tblPr>
        <w:tblStyle w:val="30"/>
        <w:tblW w:w="883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3417"/>
        <w:gridCol w:w="1703"/>
        <w:gridCol w:w="2385"/>
        <w:gridCol w:w="10"/>
        <w:gridCol w:w="727"/>
      </w:tblGrid>
      <w:tr w14:paraId="0C7B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89" w:type="dxa"/>
            <w:shd w:val="clear" w:color="auto" w:fill="FFFFFF"/>
            <w:vAlign w:val="center"/>
          </w:tcPr>
          <w:p w14:paraId="701D2D89">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序号</w:t>
            </w:r>
          </w:p>
        </w:tc>
        <w:tc>
          <w:tcPr>
            <w:tcW w:w="3417" w:type="dxa"/>
            <w:shd w:val="clear" w:color="auto" w:fill="FFFFFF"/>
            <w:vAlign w:val="center"/>
          </w:tcPr>
          <w:p w14:paraId="325331AA">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教学内容</w:t>
            </w:r>
          </w:p>
        </w:tc>
        <w:tc>
          <w:tcPr>
            <w:tcW w:w="1703" w:type="dxa"/>
            <w:shd w:val="clear" w:color="auto" w:fill="FFFFFF"/>
            <w:vAlign w:val="center"/>
          </w:tcPr>
          <w:p w14:paraId="07B6C35B">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支撑的课程目标</w:t>
            </w:r>
          </w:p>
        </w:tc>
        <w:tc>
          <w:tcPr>
            <w:tcW w:w="2385" w:type="dxa"/>
            <w:shd w:val="clear" w:color="auto" w:fill="FFFFFF"/>
            <w:vAlign w:val="center"/>
          </w:tcPr>
          <w:p w14:paraId="047A4331">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支撑的毕业要求指标点</w:t>
            </w:r>
          </w:p>
        </w:tc>
        <w:tc>
          <w:tcPr>
            <w:tcW w:w="735" w:type="dxa"/>
            <w:gridSpan w:val="2"/>
            <w:shd w:val="clear" w:color="auto" w:fill="FFFFFF"/>
            <w:vAlign w:val="center"/>
          </w:tcPr>
          <w:p w14:paraId="1D9928A8">
            <w:pPr>
              <w:spacing w:line="276" w:lineRule="auto"/>
              <w:jc w:val="center"/>
              <w:rPr>
                <w:rFonts w:ascii="宋体" w:hAnsi="等线" w:eastAsia="宋体" w:cs="Times New Roman"/>
                <w:b/>
                <w:color w:val="000000"/>
                <w:szCs w:val="21"/>
              </w:rPr>
            </w:pPr>
            <w:r>
              <w:rPr>
                <w:rFonts w:hint="eastAsia" w:ascii="宋体" w:hAnsi="宋体" w:eastAsia="宋体" w:cs="Times New Roman"/>
                <w:b/>
                <w:color w:val="000000"/>
                <w:szCs w:val="21"/>
              </w:rPr>
              <w:t>讲授学时</w:t>
            </w:r>
          </w:p>
        </w:tc>
      </w:tr>
      <w:tr w14:paraId="059A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9" w:type="dxa"/>
            <w:shd w:val="clear" w:color="auto" w:fill="FFFFFF"/>
            <w:vAlign w:val="center"/>
          </w:tcPr>
          <w:p w14:paraId="452F9B81">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3417" w:type="dxa"/>
            <w:shd w:val="clear" w:color="auto" w:fill="FFFFFF"/>
            <w:vAlign w:val="center"/>
          </w:tcPr>
          <w:p w14:paraId="3B3997E4">
            <w:pPr>
              <w:spacing w:line="276" w:lineRule="auto"/>
              <w:jc w:val="left"/>
              <w:rPr>
                <w:rFonts w:ascii="宋体" w:hAnsi="等线" w:eastAsia="宋体" w:cs="宋体"/>
                <w:color w:val="000000"/>
                <w:kern w:val="0"/>
                <w:szCs w:val="21"/>
              </w:rPr>
            </w:pPr>
            <w:r>
              <w:rPr>
                <w:rFonts w:hint="eastAsia" w:ascii="宋体" w:hAnsi="等线" w:eastAsia="宋体" w:cs="宋体"/>
                <w:color w:val="000000"/>
                <w:kern w:val="0"/>
                <w:szCs w:val="21"/>
              </w:rPr>
              <w:t>教育政策概论</w:t>
            </w:r>
          </w:p>
        </w:tc>
        <w:tc>
          <w:tcPr>
            <w:tcW w:w="1703" w:type="dxa"/>
            <w:shd w:val="clear" w:color="auto" w:fill="FFFFFF"/>
            <w:vAlign w:val="center"/>
          </w:tcPr>
          <w:p w14:paraId="26A02CF7">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p>
        </w:tc>
        <w:tc>
          <w:tcPr>
            <w:tcW w:w="2385" w:type="dxa"/>
            <w:shd w:val="clear" w:color="auto" w:fill="FFFFFF"/>
            <w:vAlign w:val="center"/>
          </w:tcPr>
          <w:p w14:paraId="71A10C55">
            <w:pPr>
              <w:spacing w:line="276" w:lineRule="auto"/>
              <w:jc w:val="center"/>
              <w:rPr>
                <w:rFonts w:ascii="宋体" w:hAnsi="等线" w:eastAsia="宋体" w:cs="Times New Roman"/>
                <w:color w:val="000000"/>
                <w:szCs w:val="21"/>
              </w:rPr>
            </w:pPr>
            <w:r>
              <w:rPr>
                <w:rFonts w:ascii="宋体" w:hAnsi="宋体" w:eastAsia="宋体" w:cs="Times New Roman"/>
                <w:kern w:val="0"/>
                <w:szCs w:val="21"/>
              </w:rPr>
              <w:t>1-1</w:t>
            </w:r>
          </w:p>
        </w:tc>
        <w:tc>
          <w:tcPr>
            <w:tcW w:w="735" w:type="dxa"/>
            <w:gridSpan w:val="2"/>
            <w:shd w:val="clear" w:color="auto" w:fill="FFFFFF"/>
            <w:vAlign w:val="center"/>
          </w:tcPr>
          <w:p w14:paraId="205CC046">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27A9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9" w:type="dxa"/>
            <w:vAlign w:val="center"/>
          </w:tcPr>
          <w:p w14:paraId="670C8EE0">
            <w:pPr>
              <w:spacing w:line="276" w:lineRule="auto"/>
              <w:jc w:val="center"/>
              <w:rPr>
                <w:rFonts w:ascii="宋体" w:hAnsi="宋体" w:eastAsia="宋体" w:cs="Times New Roman"/>
                <w:szCs w:val="21"/>
              </w:rPr>
            </w:pPr>
            <w:r>
              <w:rPr>
                <w:rFonts w:ascii="宋体" w:hAnsi="宋体" w:eastAsia="宋体" w:cs="Times New Roman"/>
                <w:szCs w:val="21"/>
              </w:rPr>
              <w:t>2</w:t>
            </w:r>
          </w:p>
        </w:tc>
        <w:tc>
          <w:tcPr>
            <w:tcW w:w="3417" w:type="dxa"/>
            <w:vAlign w:val="center"/>
          </w:tcPr>
          <w:p w14:paraId="07A3F13A">
            <w:pPr>
              <w:widowControl/>
              <w:snapToGrid w:val="0"/>
              <w:spacing w:line="276" w:lineRule="auto"/>
              <w:jc w:val="left"/>
              <w:rPr>
                <w:rFonts w:ascii="宋体" w:hAnsi="等线" w:eastAsia="宋体" w:cs="宋体"/>
                <w:color w:val="000000"/>
                <w:kern w:val="0"/>
                <w:szCs w:val="21"/>
              </w:rPr>
            </w:pPr>
            <w:r>
              <w:rPr>
                <w:rFonts w:hint="eastAsia" w:ascii="宋体" w:hAnsi="等线" w:eastAsia="宋体" w:cs="宋体"/>
                <w:color w:val="000000"/>
                <w:kern w:val="0"/>
                <w:szCs w:val="21"/>
              </w:rPr>
              <w:t>小学教育政策体系</w:t>
            </w:r>
          </w:p>
        </w:tc>
        <w:tc>
          <w:tcPr>
            <w:tcW w:w="1703" w:type="dxa"/>
            <w:vAlign w:val="center"/>
          </w:tcPr>
          <w:p w14:paraId="314D8B92">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p>
        </w:tc>
        <w:tc>
          <w:tcPr>
            <w:tcW w:w="2385" w:type="dxa"/>
            <w:vAlign w:val="center"/>
          </w:tcPr>
          <w:p w14:paraId="5288FFA7">
            <w:pPr>
              <w:spacing w:line="276" w:lineRule="auto"/>
              <w:jc w:val="center"/>
              <w:rPr>
                <w:rFonts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7-1</w:t>
            </w:r>
          </w:p>
        </w:tc>
        <w:tc>
          <w:tcPr>
            <w:tcW w:w="735" w:type="dxa"/>
            <w:gridSpan w:val="2"/>
            <w:vAlign w:val="center"/>
          </w:tcPr>
          <w:p w14:paraId="72E4FDAC">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6B6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89" w:type="dxa"/>
            <w:vAlign w:val="center"/>
          </w:tcPr>
          <w:p w14:paraId="186F7619">
            <w:pPr>
              <w:spacing w:line="276" w:lineRule="auto"/>
              <w:jc w:val="center"/>
              <w:rPr>
                <w:rFonts w:ascii="宋体" w:hAnsi="宋体" w:eastAsia="宋体" w:cs="Times New Roman"/>
                <w:szCs w:val="21"/>
              </w:rPr>
            </w:pPr>
            <w:r>
              <w:rPr>
                <w:rFonts w:ascii="宋体" w:hAnsi="宋体" w:eastAsia="宋体" w:cs="Times New Roman"/>
                <w:szCs w:val="21"/>
              </w:rPr>
              <w:t>3</w:t>
            </w:r>
          </w:p>
        </w:tc>
        <w:tc>
          <w:tcPr>
            <w:tcW w:w="3417" w:type="dxa"/>
            <w:vAlign w:val="center"/>
          </w:tcPr>
          <w:p w14:paraId="2DB403CF">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教育法规与小学教育法制建设</w:t>
            </w:r>
          </w:p>
        </w:tc>
        <w:tc>
          <w:tcPr>
            <w:tcW w:w="1703" w:type="dxa"/>
            <w:vAlign w:val="center"/>
          </w:tcPr>
          <w:p w14:paraId="3D371734">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p>
        </w:tc>
        <w:tc>
          <w:tcPr>
            <w:tcW w:w="2385" w:type="dxa"/>
            <w:vAlign w:val="center"/>
          </w:tcPr>
          <w:p w14:paraId="06390AD0">
            <w:pPr>
              <w:spacing w:line="276" w:lineRule="auto"/>
              <w:jc w:val="center"/>
              <w:rPr>
                <w:rFonts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5-3</w:t>
            </w:r>
          </w:p>
        </w:tc>
        <w:tc>
          <w:tcPr>
            <w:tcW w:w="735" w:type="dxa"/>
            <w:gridSpan w:val="2"/>
            <w:vAlign w:val="center"/>
          </w:tcPr>
          <w:p w14:paraId="7A56EF8E">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590A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89" w:type="dxa"/>
            <w:vAlign w:val="center"/>
          </w:tcPr>
          <w:p w14:paraId="6F014EF4">
            <w:pPr>
              <w:spacing w:line="276" w:lineRule="auto"/>
              <w:jc w:val="center"/>
              <w:rPr>
                <w:rFonts w:ascii="宋体" w:hAnsi="宋体" w:eastAsia="宋体" w:cs="Times New Roman"/>
                <w:szCs w:val="21"/>
              </w:rPr>
            </w:pPr>
            <w:r>
              <w:rPr>
                <w:rFonts w:ascii="宋体" w:hAnsi="宋体" w:eastAsia="宋体" w:cs="Times New Roman"/>
                <w:szCs w:val="21"/>
              </w:rPr>
              <w:t>4</w:t>
            </w:r>
          </w:p>
        </w:tc>
        <w:tc>
          <w:tcPr>
            <w:tcW w:w="3417" w:type="dxa"/>
            <w:vAlign w:val="center"/>
          </w:tcPr>
          <w:p w14:paraId="4E7B6955">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政府、家庭和社会的义务和责任</w:t>
            </w:r>
          </w:p>
        </w:tc>
        <w:tc>
          <w:tcPr>
            <w:tcW w:w="1703" w:type="dxa"/>
            <w:vAlign w:val="center"/>
          </w:tcPr>
          <w:p w14:paraId="301FE563">
            <w:pPr>
              <w:spacing w:line="276" w:lineRule="auto"/>
              <w:jc w:val="center"/>
              <w:rPr>
                <w:rFonts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6562F74A">
            <w:pPr>
              <w:spacing w:line="276" w:lineRule="auto"/>
              <w:jc w:val="center"/>
              <w:rPr>
                <w:rFonts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02E7D300">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4363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9" w:type="dxa"/>
            <w:vAlign w:val="center"/>
          </w:tcPr>
          <w:p w14:paraId="31D84CC7">
            <w:pPr>
              <w:spacing w:line="276" w:lineRule="auto"/>
              <w:jc w:val="center"/>
              <w:rPr>
                <w:rFonts w:ascii="宋体" w:hAnsi="宋体" w:eastAsia="宋体" w:cs="Times New Roman"/>
                <w:szCs w:val="21"/>
              </w:rPr>
            </w:pPr>
            <w:r>
              <w:rPr>
                <w:rFonts w:ascii="宋体" w:hAnsi="宋体" w:eastAsia="宋体" w:cs="Times New Roman"/>
                <w:szCs w:val="21"/>
              </w:rPr>
              <w:t>5</w:t>
            </w:r>
          </w:p>
        </w:tc>
        <w:tc>
          <w:tcPr>
            <w:tcW w:w="3417" w:type="dxa"/>
            <w:vAlign w:val="center"/>
          </w:tcPr>
          <w:p w14:paraId="2A39AE5C">
            <w:pPr>
              <w:spacing w:line="276" w:lineRule="auto"/>
              <w:jc w:val="left"/>
              <w:rPr>
                <w:rFonts w:ascii="宋体" w:hAnsi="等线" w:eastAsia="宋体" w:cs="Times New Roman"/>
                <w:color w:val="000000"/>
                <w:szCs w:val="21"/>
              </w:rPr>
            </w:pPr>
            <w:r>
              <w:rPr>
                <w:rFonts w:hint="eastAsia" w:ascii="宋体" w:hAnsi="等线" w:eastAsia="宋体" w:cs="Times New Roman"/>
                <w:color w:val="000000"/>
                <w:szCs w:val="21"/>
              </w:rPr>
              <w:t>小学的权利和责任</w:t>
            </w:r>
          </w:p>
        </w:tc>
        <w:tc>
          <w:tcPr>
            <w:tcW w:w="1703" w:type="dxa"/>
            <w:vAlign w:val="center"/>
          </w:tcPr>
          <w:p w14:paraId="427D4F0F">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385" w:type="dxa"/>
            <w:vAlign w:val="center"/>
          </w:tcPr>
          <w:p w14:paraId="655E0223">
            <w:pPr>
              <w:spacing w:line="276" w:lineRule="auto"/>
              <w:jc w:val="center"/>
              <w:rPr>
                <w:rFonts w:ascii="宋体" w:hAnsi="等线" w:eastAsia="宋体" w:cs="Times New Roman"/>
                <w:szCs w:val="21"/>
              </w:rPr>
            </w:pPr>
            <w:r>
              <w:rPr>
                <w:rFonts w:ascii="宋体" w:hAnsi="宋体" w:eastAsia="宋体" w:cs="Times New Roman"/>
                <w:kern w:val="0"/>
                <w:szCs w:val="21"/>
              </w:rPr>
              <w:t>7-1</w:t>
            </w:r>
          </w:p>
        </w:tc>
        <w:tc>
          <w:tcPr>
            <w:tcW w:w="735" w:type="dxa"/>
            <w:gridSpan w:val="2"/>
            <w:vAlign w:val="center"/>
          </w:tcPr>
          <w:p w14:paraId="0A885E69">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3A35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9" w:type="dxa"/>
            <w:vAlign w:val="center"/>
          </w:tcPr>
          <w:p w14:paraId="7102D943">
            <w:pPr>
              <w:spacing w:line="276" w:lineRule="auto"/>
              <w:jc w:val="center"/>
              <w:rPr>
                <w:rFonts w:ascii="宋体" w:hAnsi="宋体" w:eastAsia="宋体" w:cs="Times New Roman"/>
                <w:szCs w:val="21"/>
              </w:rPr>
            </w:pPr>
            <w:r>
              <w:rPr>
                <w:rFonts w:ascii="宋体" w:hAnsi="宋体" w:eastAsia="宋体" w:cs="Times New Roman"/>
                <w:szCs w:val="21"/>
              </w:rPr>
              <w:t>6</w:t>
            </w:r>
          </w:p>
        </w:tc>
        <w:tc>
          <w:tcPr>
            <w:tcW w:w="3417" w:type="dxa"/>
            <w:vAlign w:val="center"/>
          </w:tcPr>
          <w:p w14:paraId="590265FF">
            <w:pPr>
              <w:widowControl/>
              <w:snapToGrid w:val="0"/>
              <w:spacing w:line="276" w:lineRule="auto"/>
              <w:jc w:val="left"/>
              <w:rPr>
                <w:rFonts w:ascii="宋体" w:hAnsi="等线" w:eastAsia="宋体" w:cs="宋体"/>
                <w:color w:val="000000"/>
                <w:kern w:val="0"/>
                <w:szCs w:val="21"/>
              </w:rPr>
            </w:pPr>
            <w:r>
              <w:rPr>
                <w:rFonts w:hint="eastAsia" w:ascii="宋体" w:hAnsi="宋体" w:eastAsia="宋体" w:cs="宋体"/>
                <w:color w:val="000000"/>
                <w:kern w:val="0"/>
                <w:szCs w:val="21"/>
              </w:rPr>
              <w:t>小学教师的权益及保护</w:t>
            </w:r>
          </w:p>
        </w:tc>
        <w:tc>
          <w:tcPr>
            <w:tcW w:w="1703" w:type="dxa"/>
            <w:vAlign w:val="center"/>
          </w:tcPr>
          <w:p w14:paraId="20891B5D">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4</w:t>
            </w:r>
          </w:p>
        </w:tc>
        <w:tc>
          <w:tcPr>
            <w:tcW w:w="2385" w:type="dxa"/>
            <w:vAlign w:val="center"/>
          </w:tcPr>
          <w:p w14:paraId="2B70FD1B">
            <w:pPr>
              <w:spacing w:line="276" w:lineRule="auto"/>
              <w:jc w:val="center"/>
              <w:rPr>
                <w:rFonts w:ascii="宋体" w:hAnsi="等线" w:eastAsia="宋体" w:cs="Times New Roman"/>
                <w:szCs w:val="21"/>
              </w:rPr>
            </w:pPr>
            <w:r>
              <w:rPr>
                <w:rFonts w:ascii="宋体" w:hAnsi="宋体" w:eastAsia="宋体" w:cs="Times New Roman"/>
                <w:kern w:val="0"/>
                <w:szCs w:val="21"/>
              </w:rPr>
              <w:t>7-3</w:t>
            </w:r>
          </w:p>
        </w:tc>
        <w:tc>
          <w:tcPr>
            <w:tcW w:w="735" w:type="dxa"/>
            <w:gridSpan w:val="2"/>
            <w:vAlign w:val="center"/>
          </w:tcPr>
          <w:p w14:paraId="625F0A5A">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6E16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9" w:type="dxa"/>
            <w:vAlign w:val="center"/>
          </w:tcPr>
          <w:p w14:paraId="062573FE">
            <w:pPr>
              <w:spacing w:line="276" w:lineRule="auto"/>
              <w:jc w:val="center"/>
              <w:rPr>
                <w:rFonts w:ascii="宋体" w:hAnsi="宋体" w:eastAsia="宋体" w:cs="Times New Roman"/>
                <w:szCs w:val="21"/>
              </w:rPr>
            </w:pPr>
            <w:r>
              <w:rPr>
                <w:rFonts w:ascii="宋体" w:hAnsi="宋体" w:eastAsia="宋体" w:cs="Times New Roman"/>
                <w:szCs w:val="21"/>
              </w:rPr>
              <w:t>7</w:t>
            </w:r>
          </w:p>
        </w:tc>
        <w:tc>
          <w:tcPr>
            <w:tcW w:w="3417" w:type="dxa"/>
            <w:vAlign w:val="center"/>
          </w:tcPr>
          <w:p w14:paraId="31051671">
            <w:pPr>
              <w:spacing w:line="276" w:lineRule="auto"/>
              <w:jc w:val="left"/>
              <w:rPr>
                <w:rFonts w:ascii="宋体" w:hAnsi="等线" w:eastAsia="宋体" w:cs="Times New Roman"/>
                <w:color w:val="000000"/>
                <w:szCs w:val="21"/>
              </w:rPr>
            </w:pPr>
            <w:r>
              <w:rPr>
                <w:rFonts w:hint="eastAsia" w:ascii="宋体" w:hAnsi="宋体" w:eastAsia="宋体" w:cs="Times New Roman"/>
                <w:color w:val="000000"/>
                <w:szCs w:val="21"/>
              </w:rPr>
              <w:t>小学生的权益和保护</w:t>
            </w:r>
          </w:p>
        </w:tc>
        <w:tc>
          <w:tcPr>
            <w:tcW w:w="1703" w:type="dxa"/>
            <w:vAlign w:val="center"/>
          </w:tcPr>
          <w:p w14:paraId="65299570">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385" w:type="dxa"/>
            <w:vAlign w:val="center"/>
          </w:tcPr>
          <w:p w14:paraId="05080BC9">
            <w:pPr>
              <w:spacing w:line="276" w:lineRule="auto"/>
              <w:jc w:val="center"/>
              <w:rPr>
                <w:rFonts w:ascii="宋体" w:hAnsi="等线" w:eastAsia="宋体" w:cs="Times New Roman"/>
                <w:szCs w:val="21"/>
              </w:rPr>
            </w:pPr>
            <w:r>
              <w:rPr>
                <w:rFonts w:ascii="宋体" w:hAnsi="宋体" w:eastAsia="宋体" w:cs="Times New Roman"/>
                <w:kern w:val="0"/>
                <w:szCs w:val="21"/>
              </w:rPr>
              <w:t>5-1</w:t>
            </w:r>
            <w:r>
              <w:rPr>
                <w:rFonts w:hint="eastAsia" w:ascii="宋体" w:hAnsi="宋体" w:eastAsia="宋体" w:cs="Times New Roman"/>
                <w:kern w:val="0"/>
                <w:szCs w:val="21"/>
              </w:rPr>
              <w:t>、</w:t>
            </w:r>
            <w:r>
              <w:rPr>
                <w:rFonts w:ascii="宋体" w:hAnsi="宋体" w:eastAsia="宋体" w:cs="Times New Roman"/>
                <w:kern w:val="0"/>
                <w:szCs w:val="21"/>
              </w:rPr>
              <w:t>5-2</w:t>
            </w:r>
          </w:p>
        </w:tc>
        <w:tc>
          <w:tcPr>
            <w:tcW w:w="735" w:type="dxa"/>
            <w:gridSpan w:val="2"/>
            <w:vAlign w:val="center"/>
          </w:tcPr>
          <w:p w14:paraId="67123014">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0AFA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9" w:type="dxa"/>
            <w:vAlign w:val="center"/>
          </w:tcPr>
          <w:p w14:paraId="7A67AF79">
            <w:pPr>
              <w:spacing w:line="276" w:lineRule="auto"/>
              <w:jc w:val="center"/>
              <w:rPr>
                <w:rFonts w:ascii="宋体" w:hAnsi="宋体" w:eastAsia="宋体" w:cs="Times New Roman"/>
                <w:szCs w:val="21"/>
              </w:rPr>
            </w:pPr>
            <w:r>
              <w:rPr>
                <w:rFonts w:ascii="宋体" w:hAnsi="宋体" w:eastAsia="宋体" w:cs="Times New Roman"/>
                <w:szCs w:val="21"/>
              </w:rPr>
              <w:t>8</w:t>
            </w:r>
          </w:p>
        </w:tc>
        <w:tc>
          <w:tcPr>
            <w:tcW w:w="3417" w:type="dxa"/>
            <w:vAlign w:val="center"/>
          </w:tcPr>
          <w:p w14:paraId="7A7EF945">
            <w:pPr>
              <w:spacing w:line="276" w:lineRule="auto"/>
              <w:jc w:val="left"/>
              <w:rPr>
                <w:rFonts w:ascii="宋体" w:hAnsi="等线" w:eastAsia="宋体" w:cs="Times New Roman"/>
                <w:color w:val="000000"/>
                <w:szCs w:val="21"/>
              </w:rPr>
            </w:pPr>
            <w:r>
              <w:rPr>
                <w:rFonts w:hint="eastAsia" w:ascii="宋体" w:hAnsi="宋体" w:eastAsia="宋体" w:cs="Times New Roman"/>
                <w:color w:val="000000"/>
                <w:szCs w:val="21"/>
              </w:rPr>
              <w:t>小学教育重要法律法规和政策解读</w:t>
            </w:r>
          </w:p>
        </w:tc>
        <w:tc>
          <w:tcPr>
            <w:tcW w:w="1703" w:type="dxa"/>
            <w:vAlign w:val="center"/>
          </w:tcPr>
          <w:p w14:paraId="46EA8206">
            <w:pPr>
              <w:spacing w:line="276" w:lineRule="auto"/>
              <w:jc w:val="center"/>
              <w:rPr>
                <w:rFonts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6</w:t>
            </w:r>
          </w:p>
        </w:tc>
        <w:tc>
          <w:tcPr>
            <w:tcW w:w="2385" w:type="dxa"/>
            <w:vAlign w:val="center"/>
          </w:tcPr>
          <w:p w14:paraId="1E536204">
            <w:pPr>
              <w:spacing w:line="276" w:lineRule="auto"/>
              <w:jc w:val="center"/>
              <w:rPr>
                <w:rFonts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7-3</w:t>
            </w:r>
          </w:p>
        </w:tc>
        <w:tc>
          <w:tcPr>
            <w:tcW w:w="735" w:type="dxa"/>
            <w:gridSpan w:val="2"/>
            <w:vAlign w:val="center"/>
          </w:tcPr>
          <w:p w14:paraId="56F4254C">
            <w:pPr>
              <w:spacing w:line="276" w:lineRule="auto"/>
              <w:jc w:val="center"/>
              <w:rPr>
                <w:rFonts w:ascii="宋体" w:hAnsi="等线" w:eastAsia="宋体" w:cs="Times New Roman"/>
                <w:kern w:val="0"/>
                <w:szCs w:val="21"/>
              </w:rPr>
            </w:pPr>
            <w:r>
              <w:rPr>
                <w:rFonts w:ascii="宋体" w:hAnsi="宋体" w:eastAsia="宋体" w:cs="Times New Roman"/>
                <w:kern w:val="0"/>
                <w:szCs w:val="21"/>
              </w:rPr>
              <w:t>2</w:t>
            </w:r>
          </w:p>
        </w:tc>
      </w:tr>
      <w:tr w14:paraId="3E62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04" w:type="dxa"/>
            <w:gridSpan w:val="5"/>
            <w:vAlign w:val="center"/>
          </w:tcPr>
          <w:p w14:paraId="7F1628DF">
            <w:pPr>
              <w:spacing w:line="276" w:lineRule="auto"/>
              <w:jc w:val="center"/>
              <w:rPr>
                <w:rFonts w:ascii="宋体" w:hAnsi="等线" w:eastAsia="宋体" w:cs="Times New Roman"/>
                <w:szCs w:val="21"/>
              </w:rPr>
            </w:pPr>
            <w:r>
              <w:rPr>
                <w:rFonts w:hint="eastAsia" w:ascii="宋体" w:hAnsi="宋体" w:eastAsia="宋体" w:cs="Times New Roman"/>
                <w:szCs w:val="21"/>
              </w:rPr>
              <w:t>合计</w:t>
            </w:r>
          </w:p>
        </w:tc>
        <w:tc>
          <w:tcPr>
            <w:tcW w:w="727" w:type="dxa"/>
            <w:vAlign w:val="center"/>
          </w:tcPr>
          <w:p w14:paraId="5EA83AA3">
            <w:pPr>
              <w:spacing w:line="276" w:lineRule="auto"/>
              <w:jc w:val="center"/>
              <w:rPr>
                <w:rFonts w:ascii="宋体" w:hAnsi="等线" w:eastAsia="宋体" w:cs="Times New Roman"/>
                <w:kern w:val="0"/>
                <w:szCs w:val="21"/>
              </w:rPr>
            </w:pPr>
            <w:r>
              <w:rPr>
                <w:rFonts w:ascii="宋体" w:hAnsi="宋体" w:eastAsia="宋体" w:cs="Times New Roman"/>
                <w:kern w:val="0"/>
                <w:szCs w:val="21"/>
              </w:rPr>
              <w:t>16</w:t>
            </w:r>
          </w:p>
        </w:tc>
      </w:tr>
    </w:tbl>
    <w:p w14:paraId="162FDC5B">
      <w:pPr>
        <w:adjustRightInd w:val="0"/>
        <w:snapToGrid w:val="0"/>
        <w:spacing w:line="360" w:lineRule="auto"/>
        <w:ind w:firstLine="562" w:firstLineChars="200"/>
        <w:rPr>
          <w:rFonts w:ascii="宋体" w:hAnsi="宋体" w:eastAsia="宋体" w:cs="Times New Roman"/>
          <w:b/>
          <w:color w:val="000000"/>
          <w:sz w:val="28"/>
          <w:szCs w:val="28"/>
        </w:rPr>
      </w:pPr>
    </w:p>
    <w:p w14:paraId="2ED663A6">
      <w:pPr>
        <w:adjustRightInd w:val="0"/>
        <w:snapToGrid w:val="0"/>
        <w:spacing w:line="360" w:lineRule="auto"/>
        <w:ind w:firstLine="562" w:firstLineChars="200"/>
        <w:rPr>
          <w:rFonts w:ascii="宋体" w:hAnsi="等线" w:eastAsia="宋体" w:cs="Times New Roman"/>
          <w:b/>
          <w:color w:val="000000"/>
          <w:sz w:val="28"/>
          <w:szCs w:val="28"/>
        </w:rPr>
      </w:pPr>
      <w:r>
        <w:rPr>
          <w:rFonts w:hint="eastAsia" w:ascii="宋体" w:hAnsi="宋体" w:eastAsia="宋体" w:cs="Times New Roman"/>
          <w:b/>
          <w:color w:val="000000"/>
          <w:sz w:val="28"/>
          <w:szCs w:val="28"/>
        </w:rPr>
        <w:t>四、课程实施</w:t>
      </w:r>
    </w:p>
    <w:p w14:paraId="282C2BEA">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（一）课程在展开之前，要借助相关视频奠定学生关注小学教育法律法规和政策现象，引导学生对学科的初步认识。</w:t>
      </w:r>
    </w:p>
    <w:p w14:paraId="593F5DE0">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（二）课程在教学中要充分搜集相关案例引导学生使用所学理论审视现实问题、用法律意识不断深入的分析和思考。</w:t>
      </w:r>
    </w:p>
    <w:p w14:paraId="3A8B02A6">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（三）教师要积极采用平时考勤、课堂讨论、期末考试等多种形式相结合的考核方法，引导学生按时、保质保量地完成本课程学习任务。</w:t>
      </w:r>
    </w:p>
    <w:p w14:paraId="64B1186E">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bCs/>
          <w:sz w:val="24"/>
          <w:szCs w:val="24"/>
        </w:rPr>
        <w:t>主要教学环节的质量要求如表所示：</w:t>
      </w:r>
    </w:p>
    <w:tbl>
      <w:tblPr>
        <w:tblStyle w:val="30"/>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204"/>
      </w:tblGrid>
      <w:tr w14:paraId="27B9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1D39DE60">
            <w:pPr>
              <w:adjustRightInd w:val="0"/>
              <w:snapToGrid w:val="0"/>
              <w:spacing w:line="276" w:lineRule="auto"/>
              <w:jc w:val="center"/>
              <w:rPr>
                <w:rFonts w:ascii="宋体" w:hAnsi="等线" w:eastAsia="宋体" w:cs="Times New Roman"/>
                <w:b/>
                <w:color w:val="000000"/>
                <w:szCs w:val="21"/>
              </w:rPr>
            </w:pPr>
            <w:r>
              <w:rPr>
                <w:rFonts w:hint="eastAsia" w:ascii="宋体" w:hAnsi="宋体" w:eastAsia="宋体" w:cs="Times New Roman"/>
                <w:b/>
                <w:bCs/>
                <w:color w:val="000000"/>
                <w:szCs w:val="21"/>
              </w:rPr>
              <w:t>主要教学环节</w:t>
            </w:r>
          </w:p>
        </w:tc>
        <w:tc>
          <w:tcPr>
            <w:tcW w:w="7204" w:type="dxa"/>
            <w:tcBorders>
              <w:top w:val="single" w:color="auto" w:sz="8" w:space="0"/>
              <w:left w:val="single" w:color="auto" w:sz="8" w:space="0"/>
              <w:right w:val="single" w:color="auto" w:sz="8" w:space="0"/>
            </w:tcBorders>
            <w:vAlign w:val="center"/>
          </w:tcPr>
          <w:p w14:paraId="397341E1">
            <w:pPr>
              <w:adjustRightInd w:val="0"/>
              <w:snapToGrid w:val="0"/>
              <w:spacing w:line="276" w:lineRule="auto"/>
              <w:jc w:val="center"/>
              <w:rPr>
                <w:rFonts w:ascii="宋体" w:hAnsi="等线" w:eastAsia="宋体" w:cs="Times New Roman"/>
                <w:b/>
                <w:color w:val="000000"/>
                <w:szCs w:val="21"/>
              </w:rPr>
            </w:pPr>
            <w:r>
              <w:rPr>
                <w:rFonts w:hint="eastAsia" w:ascii="宋体" w:hAnsi="宋体" w:eastAsia="宋体" w:cs="Times New Roman"/>
                <w:b/>
                <w:bCs/>
                <w:color w:val="000000"/>
                <w:szCs w:val="21"/>
              </w:rPr>
              <w:t>质量要求</w:t>
            </w:r>
          </w:p>
        </w:tc>
      </w:tr>
      <w:tr w14:paraId="2F6D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74D312FB">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387E3547">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备课</w:t>
            </w:r>
          </w:p>
        </w:tc>
        <w:tc>
          <w:tcPr>
            <w:tcW w:w="7204" w:type="dxa"/>
            <w:tcBorders>
              <w:right w:val="single" w:color="auto" w:sz="8" w:space="0"/>
            </w:tcBorders>
            <w:vAlign w:val="center"/>
          </w:tcPr>
          <w:p w14:paraId="2A4F213A">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53DAD2A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w:t>
            </w:r>
          </w:p>
          <w:p w14:paraId="7201C81E">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（3）授课教案内容包括章节标题、教学目标、教学准备、教学方法、课堂类型、时间分配、授课内容、课后作业、教学效果分析等方面。</w:t>
            </w:r>
          </w:p>
        </w:tc>
      </w:tr>
      <w:tr w14:paraId="1A11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582" w:type="dxa"/>
            <w:tcBorders>
              <w:left w:val="single" w:color="auto" w:sz="8" w:space="0"/>
            </w:tcBorders>
            <w:vAlign w:val="center"/>
          </w:tcPr>
          <w:p w14:paraId="7E76496F">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368E0509">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讲授</w:t>
            </w:r>
          </w:p>
        </w:tc>
        <w:tc>
          <w:tcPr>
            <w:tcW w:w="7204" w:type="dxa"/>
            <w:tcBorders>
              <w:right w:val="single" w:color="auto" w:sz="8" w:space="0"/>
            </w:tcBorders>
            <w:vAlign w:val="center"/>
          </w:tcPr>
          <w:p w14:paraId="769D224D">
            <w:pPr>
              <w:adjustRightInd w:val="0"/>
              <w:snapToGrid w:val="0"/>
              <w:spacing w:line="276" w:lineRule="auto"/>
              <w:rPr>
                <w:rFonts w:ascii="宋体" w:hAnsi="等线" w:eastAsia="宋体" w:cs="Times New Roman"/>
                <w:color w:val="000000"/>
                <w:szCs w:val="24"/>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szCs w:val="24"/>
              </w:rPr>
              <w:t>教师仪表端庄，情绪情感要饱满；</w:t>
            </w:r>
          </w:p>
          <w:p w14:paraId="7702B89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szCs w:val="24"/>
              </w:rPr>
              <w:t>教学准备充分，熟悉教学内容；</w:t>
            </w:r>
          </w:p>
          <w:p w14:paraId="48521547">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4"/>
              </w:rPr>
              <w:t>教学内容充实，不断充实最新研究成果；</w:t>
            </w:r>
          </w:p>
          <w:p w14:paraId="0EB0CFD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szCs w:val="24"/>
              </w:rPr>
              <w:t>严格执行计划，教学进度适宜；</w:t>
            </w:r>
          </w:p>
          <w:p w14:paraId="374FC8B1">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课堂教学信息充分，注重理论联系实际；</w:t>
            </w:r>
          </w:p>
          <w:p w14:paraId="01CAD88C">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szCs w:val="24"/>
              </w:rPr>
              <w:t>注重启发学生思维，培养学生的教学能力；</w:t>
            </w:r>
          </w:p>
          <w:p w14:paraId="6D7DCD6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szCs w:val="24"/>
              </w:rPr>
              <w:t>面向全体基础上因材施教，灵活运用多种教学方法；</w:t>
            </w:r>
          </w:p>
          <w:p w14:paraId="26914C3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szCs w:val="24"/>
              </w:rPr>
              <w:t>教学语言规范，为学生教育教学做好表率；</w:t>
            </w:r>
          </w:p>
          <w:p w14:paraId="76D2496F">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szCs w:val="24"/>
              </w:rPr>
              <w:t>教学条理清楚，教学思路逻辑严密；</w:t>
            </w:r>
          </w:p>
          <w:p w14:paraId="0D763AE7">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szCs w:val="24"/>
              </w:rPr>
              <w:t>充分运用现代化教学手段，教学技术熟练；</w:t>
            </w:r>
          </w:p>
          <w:p w14:paraId="2013D123">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课堂教学要重点突出，难点突破；</w:t>
            </w:r>
          </w:p>
          <w:p w14:paraId="7446DB9C">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szCs w:val="24"/>
              </w:rPr>
              <w:t>注重师生互动，形成良好的课堂氛围。</w:t>
            </w:r>
          </w:p>
        </w:tc>
      </w:tr>
      <w:tr w14:paraId="144D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78B41639">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2F6DE114">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作业布置与批改</w:t>
            </w:r>
          </w:p>
        </w:tc>
        <w:tc>
          <w:tcPr>
            <w:tcW w:w="7204" w:type="dxa"/>
            <w:tcBorders>
              <w:right w:val="single" w:color="auto" w:sz="8" w:space="0"/>
            </w:tcBorders>
            <w:vAlign w:val="center"/>
          </w:tcPr>
          <w:p w14:paraId="61A810E4">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7F4CE380">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28C2D5A5">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）书写规范、教学设计方案格式规范、清晰。</w:t>
            </w:r>
          </w:p>
          <w:p w14:paraId="37AF2B36">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）教学设计理念先进，教学目标适宜，教学方法灵活，教学组织形式多样、教学过程紧凑，教学准备充分。</w:t>
            </w:r>
          </w:p>
          <w:p w14:paraId="733E9FB5">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教师批改和讲评作业要求如下：</w:t>
            </w:r>
          </w:p>
          <w:p w14:paraId="5B579819">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7A7BA3A4">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6C09F725">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3EA2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4AB27A07">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680B2309">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课外答疑</w:t>
            </w:r>
          </w:p>
        </w:tc>
        <w:tc>
          <w:tcPr>
            <w:tcW w:w="7204" w:type="dxa"/>
            <w:tcBorders>
              <w:right w:val="single" w:color="auto" w:sz="8" w:space="0"/>
            </w:tcBorders>
            <w:vAlign w:val="center"/>
          </w:tcPr>
          <w:p w14:paraId="66D3B64A">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4D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34D2955E">
            <w:pPr>
              <w:adjustRightInd w:val="0"/>
              <w:snapToGrid w:val="0"/>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7942F78F">
            <w:pPr>
              <w:adjustRightInd w:val="0"/>
              <w:snapToGrid w:val="0"/>
              <w:spacing w:line="276" w:lineRule="auto"/>
              <w:jc w:val="center"/>
              <w:rPr>
                <w:rFonts w:ascii="宋体" w:hAnsi="等线" w:eastAsia="宋体" w:cs="Times New Roman"/>
                <w:color w:val="000000"/>
                <w:szCs w:val="21"/>
              </w:rPr>
            </w:pPr>
            <w:r>
              <w:rPr>
                <w:rFonts w:hint="eastAsia" w:ascii="宋体" w:hAnsi="宋体" w:eastAsia="宋体" w:cs="Times New Roman"/>
                <w:color w:val="000000"/>
                <w:szCs w:val="21"/>
              </w:rPr>
              <w:t>成绩考核</w:t>
            </w:r>
          </w:p>
        </w:tc>
        <w:tc>
          <w:tcPr>
            <w:tcW w:w="7204" w:type="dxa"/>
            <w:tcBorders>
              <w:right w:val="single" w:color="auto" w:sz="8" w:space="0"/>
            </w:tcBorders>
            <w:vAlign w:val="center"/>
          </w:tcPr>
          <w:p w14:paraId="3EA88912">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1916F7CC">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）缺交作业次数达</w:t>
            </w:r>
            <w:r>
              <w:rPr>
                <w:rFonts w:ascii="宋体" w:hAnsi="宋体" w:eastAsia="宋体" w:cs="Times New Roman"/>
                <w:color w:val="000000"/>
                <w:szCs w:val="21"/>
              </w:rPr>
              <w:t>1/3</w:t>
            </w:r>
            <w:r>
              <w:rPr>
                <w:rFonts w:hint="eastAsia" w:ascii="宋体" w:hAnsi="宋体" w:eastAsia="宋体" w:cs="Times New Roman"/>
                <w:color w:val="000000"/>
                <w:szCs w:val="21"/>
              </w:rPr>
              <w:t>以上者。</w:t>
            </w:r>
          </w:p>
          <w:p w14:paraId="3338534B">
            <w:pPr>
              <w:adjustRightInd w:val="0"/>
              <w:snapToGrid w:val="0"/>
              <w:spacing w:line="276" w:lineRule="auto"/>
              <w:rPr>
                <w:rFonts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13926467">
      <w:pPr>
        <w:spacing w:line="360" w:lineRule="auto"/>
        <w:rPr>
          <w:rFonts w:ascii="宋体" w:hAnsi="等线" w:eastAsia="宋体" w:cs="宋体"/>
          <w:bCs/>
          <w:szCs w:val="21"/>
        </w:rPr>
      </w:pPr>
    </w:p>
    <w:p w14:paraId="457ED5B1">
      <w:pPr>
        <w:spacing w:line="360" w:lineRule="auto"/>
        <w:ind w:firstLine="562" w:firstLineChars="200"/>
        <w:rPr>
          <w:rFonts w:ascii="Calibri" w:hAnsi="Calibri" w:eastAsia="宋体" w:cs="Times New Roman"/>
          <w:b/>
          <w:sz w:val="28"/>
          <w:szCs w:val="28"/>
        </w:rPr>
      </w:pPr>
      <w:r>
        <w:rPr>
          <w:rFonts w:hint="eastAsia" w:ascii="Calibri" w:hAnsi="Calibri" w:eastAsia="宋体" w:cs="Times New Roman"/>
          <w:b/>
          <w:sz w:val="28"/>
          <w:szCs w:val="28"/>
        </w:rPr>
        <w:t>五、课程考核</w:t>
      </w:r>
    </w:p>
    <w:p w14:paraId="02C2609D">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（一）课程考核包括期末考试、平时及作业考核，期末考试采用闭卷笔试方式。</w:t>
      </w:r>
    </w:p>
    <w:p w14:paraId="3990B428">
      <w:pPr>
        <w:adjustRightInd w:val="0"/>
        <w:snapToGrid w:val="0"/>
        <w:spacing w:line="360" w:lineRule="auto"/>
        <w:ind w:firstLine="480" w:firstLineChars="200"/>
        <w:rPr>
          <w:rFonts w:ascii="宋体" w:hAnsi="宋体" w:eastAsia="宋体" w:cs="Times New Roman"/>
          <w:sz w:val="24"/>
          <w:szCs w:val="24"/>
        </w:rPr>
      </w:pPr>
      <w:r>
        <w:rPr>
          <w:rFonts w:hint="eastAsia" w:ascii="Calibri" w:hAnsi="Calibri" w:eastAsia="宋体" w:cs="Times New Roman"/>
          <w:sz w:val="24"/>
          <w:szCs w:val="24"/>
        </w:rPr>
        <w:t>（二）课程成绩</w:t>
      </w:r>
      <w:r>
        <w:rPr>
          <w:rFonts w:ascii="Calibri" w:hAnsi="Calibri" w:eastAsia="宋体" w:cs="Times New Roman"/>
          <w:sz w:val="24"/>
          <w:szCs w:val="24"/>
        </w:rPr>
        <w:t>=</w:t>
      </w:r>
      <w:r>
        <w:rPr>
          <w:rFonts w:hint="eastAsia" w:ascii="Calibri" w:hAnsi="Calibri" w:eastAsia="宋体" w:cs="Times New Roman"/>
          <w:sz w:val="24"/>
          <w:szCs w:val="24"/>
        </w:rPr>
        <w:t>平时成绩</w:t>
      </w:r>
      <w:r>
        <w:rPr>
          <w:rFonts w:hint="eastAsia" w:ascii="宋体" w:hAnsi="宋体" w:eastAsia="宋体" w:cs="Times New Roman"/>
          <w:sz w:val="24"/>
          <w:szCs w:val="24"/>
        </w:rPr>
        <w:t>×</w:t>
      </w:r>
      <w:r>
        <w:rPr>
          <w:rFonts w:ascii="宋体" w:hAnsi="宋体" w:eastAsia="宋体" w:cs="Times New Roman"/>
          <w:sz w:val="24"/>
          <w:szCs w:val="24"/>
        </w:rPr>
        <w:t>20%+</w:t>
      </w:r>
      <w:r>
        <w:rPr>
          <w:rFonts w:hint="eastAsia" w:ascii="宋体" w:hAnsi="宋体" w:eastAsia="宋体" w:cs="Times New Roman"/>
          <w:sz w:val="24"/>
          <w:szCs w:val="24"/>
        </w:rPr>
        <w:t>实践成绩×</w:t>
      </w:r>
      <w:r>
        <w:rPr>
          <w:rFonts w:ascii="宋体" w:hAnsi="宋体" w:eastAsia="宋体" w:cs="Times New Roman"/>
          <w:sz w:val="24"/>
          <w:szCs w:val="24"/>
        </w:rPr>
        <w:t>20%+</w:t>
      </w:r>
      <w:r>
        <w:rPr>
          <w:rFonts w:hint="eastAsia" w:ascii="宋体" w:hAnsi="宋体" w:eastAsia="宋体" w:cs="Times New Roman"/>
          <w:sz w:val="24"/>
          <w:szCs w:val="24"/>
        </w:rPr>
        <w:t>期末考试成绩×</w:t>
      </w:r>
      <w:r>
        <w:rPr>
          <w:rFonts w:ascii="宋体" w:hAnsi="宋体" w:eastAsia="宋体" w:cs="Times New Roman"/>
          <w:sz w:val="24"/>
          <w:szCs w:val="24"/>
        </w:rPr>
        <w:t>60%</w:t>
      </w:r>
      <w:r>
        <w:rPr>
          <w:rFonts w:hint="eastAsia" w:ascii="宋体" w:hAnsi="宋体" w:eastAsia="宋体" w:cs="Times New Roman"/>
          <w:sz w:val="24"/>
          <w:szCs w:val="24"/>
        </w:rPr>
        <w:t>。</w:t>
      </w:r>
    </w:p>
    <w:p w14:paraId="2CC576D3">
      <w:pPr>
        <w:adjustRightInd w:val="0"/>
        <w:snapToGrid w:val="0"/>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30"/>
        <w:tblW w:w="936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418"/>
        <w:gridCol w:w="1275"/>
        <w:gridCol w:w="1143"/>
      </w:tblGrid>
      <w:tr w14:paraId="445F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10" w:type="dxa"/>
            <w:shd w:val="clear" w:color="auto" w:fill="FFFFFF"/>
            <w:tcMar>
              <w:left w:w="57" w:type="dxa"/>
              <w:right w:w="57" w:type="dxa"/>
            </w:tcMar>
            <w:vAlign w:val="center"/>
          </w:tcPr>
          <w:p w14:paraId="6A4FB013">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成绩组成</w:t>
            </w:r>
          </w:p>
        </w:tc>
        <w:tc>
          <w:tcPr>
            <w:tcW w:w="1134" w:type="dxa"/>
            <w:shd w:val="clear" w:color="auto" w:fill="FFFFFF"/>
            <w:vAlign w:val="center"/>
          </w:tcPr>
          <w:p w14:paraId="41EF0EA9">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评价环节</w:t>
            </w:r>
          </w:p>
        </w:tc>
        <w:tc>
          <w:tcPr>
            <w:tcW w:w="708" w:type="dxa"/>
            <w:shd w:val="clear" w:color="auto" w:fill="FFFFFF"/>
            <w:vAlign w:val="center"/>
          </w:tcPr>
          <w:p w14:paraId="7E66BDB1">
            <w:pPr>
              <w:adjustRightInd w:val="0"/>
              <w:snapToGrid w:val="0"/>
              <w:spacing w:line="276" w:lineRule="auto"/>
              <w:jc w:val="center"/>
              <w:rPr>
                <w:rFonts w:ascii="等线" w:hAnsi="等线" w:eastAsia="Times New Roman" w:cs="Times New Roman"/>
                <w:b/>
                <w:szCs w:val="24"/>
              </w:rPr>
            </w:pPr>
            <w:r>
              <w:rPr>
                <w:rFonts w:hint="eastAsia" w:ascii="宋体" w:hAnsi="宋体" w:eastAsia="宋体" w:cs="宋体"/>
                <w:b/>
                <w:szCs w:val="24"/>
              </w:rPr>
              <w:t>权重</w:t>
            </w:r>
          </w:p>
        </w:tc>
        <w:tc>
          <w:tcPr>
            <w:tcW w:w="2977" w:type="dxa"/>
            <w:shd w:val="clear" w:color="auto" w:fill="FFFFFF"/>
            <w:vAlign w:val="center"/>
          </w:tcPr>
          <w:p w14:paraId="77A9E4CD">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评价细则</w:t>
            </w:r>
          </w:p>
        </w:tc>
        <w:tc>
          <w:tcPr>
            <w:tcW w:w="1418" w:type="dxa"/>
            <w:shd w:val="clear" w:color="auto" w:fill="FFFFFF"/>
            <w:vAlign w:val="center"/>
          </w:tcPr>
          <w:p w14:paraId="20D75CE6">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课程目标</w:t>
            </w:r>
          </w:p>
        </w:tc>
        <w:tc>
          <w:tcPr>
            <w:tcW w:w="1275" w:type="dxa"/>
            <w:shd w:val="clear" w:color="auto" w:fill="FFFFFF"/>
            <w:vAlign w:val="center"/>
          </w:tcPr>
          <w:p w14:paraId="7EC91777">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考核内容</w:t>
            </w:r>
          </w:p>
        </w:tc>
        <w:tc>
          <w:tcPr>
            <w:tcW w:w="1143" w:type="dxa"/>
            <w:shd w:val="clear" w:color="auto" w:fill="FFFFFF"/>
            <w:vAlign w:val="center"/>
          </w:tcPr>
          <w:p w14:paraId="00DD6943">
            <w:pPr>
              <w:adjustRightInd w:val="0"/>
              <w:snapToGrid w:val="0"/>
              <w:spacing w:line="276" w:lineRule="auto"/>
              <w:jc w:val="center"/>
              <w:rPr>
                <w:rFonts w:ascii="等线" w:hAnsi="等线" w:eastAsia="宋体" w:cs="Times New Roman"/>
                <w:b/>
                <w:szCs w:val="24"/>
              </w:rPr>
            </w:pPr>
            <w:r>
              <w:rPr>
                <w:rFonts w:hint="eastAsia" w:ascii="等线" w:hAnsi="等线" w:eastAsia="宋体" w:cs="Times New Roman"/>
                <w:b/>
                <w:szCs w:val="24"/>
              </w:rPr>
              <w:t>对应的毕业要求指标点</w:t>
            </w:r>
          </w:p>
        </w:tc>
      </w:tr>
      <w:tr w14:paraId="0B92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710" w:type="dxa"/>
            <w:tcMar>
              <w:left w:w="57" w:type="dxa"/>
              <w:right w:w="57" w:type="dxa"/>
            </w:tcMar>
            <w:vAlign w:val="center"/>
          </w:tcPr>
          <w:p w14:paraId="5CE45ED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平时成绩</w:t>
            </w:r>
          </w:p>
        </w:tc>
        <w:tc>
          <w:tcPr>
            <w:tcW w:w="1134" w:type="dxa"/>
            <w:vAlign w:val="center"/>
          </w:tcPr>
          <w:p w14:paraId="59D5127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课堂考勤、表现及平时作业</w:t>
            </w:r>
          </w:p>
        </w:tc>
        <w:tc>
          <w:tcPr>
            <w:tcW w:w="708" w:type="dxa"/>
            <w:vAlign w:val="center"/>
          </w:tcPr>
          <w:p w14:paraId="44B24152">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40%</w:t>
            </w:r>
          </w:p>
        </w:tc>
        <w:tc>
          <w:tcPr>
            <w:tcW w:w="2977" w:type="dxa"/>
            <w:vAlign w:val="center"/>
          </w:tcPr>
          <w:p w14:paraId="5054271E">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课堂考勤：病假和事假一次扣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p w14:paraId="5A1DE7C1">
            <w:pPr>
              <w:widowControl/>
              <w:adjustRightInd w:val="0"/>
              <w:snapToGrid w:val="0"/>
              <w:spacing w:line="276" w:lineRule="auto"/>
              <w:jc w:val="left"/>
              <w:rPr>
                <w:rFonts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60CAE81F">
            <w:pPr>
              <w:adjustRightInd w:val="0"/>
              <w:snapToGrid w:val="0"/>
              <w:spacing w:line="276" w:lineRule="auto"/>
              <w:rPr>
                <w:rFonts w:ascii="宋体" w:hAnsi="宋体" w:eastAsia="宋体" w:cs="Times New Roman"/>
                <w:szCs w:val="24"/>
              </w:rPr>
            </w:pPr>
            <w:r>
              <w:rPr>
                <w:rFonts w:hint="eastAsia" w:ascii="宋体" w:hAnsi="宋体" w:eastAsia="宋体" w:cs="Times New Roman"/>
                <w:szCs w:val="21"/>
              </w:rPr>
              <w:t>平时作业：</w:t>
            </w:r>
            <w:r>
              <w:rPr>
                <w:rFonts w:ascii="宋体" w:hAnsi="宋体" w:eastAsia="宋体" w:cs="Times New Roman"/>
                <w:szCs w:val="21"/>
              </w:rPr>
              <w:t>3</w:t>
            </w:r>
            <w:r>
              <w:rPr>
                <w:rFonts w:hint="eastAsia" w:ascii="宋体" w:hAnsi="宋体" w:eastAsia="宋体" w:cs="Times New Roman"/>
                <w:szCs w:val="21"/>
              </w:rPr>
              <w:t>次书面作业，主要考核学生运用理论分析问题的能力。</w:t>
            </w:r>
          </w:p>
        </w:tc>
        <w:tc>
          <w:tcPr>
            <w:tcW w:w="1418" w:type="dxa"/>
            <w:vAlign w:val="center"/>
          </w:tcPr>
          <w:p w14:paraId="185B730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0A3FC2CD">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3923B13E">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6341F197">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72D30E56">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275" w:type="dxa"/>
            <w:vAlign w:val="center"/>
          </w:tcPr>
          <w:p w14:paraId="2427DC34">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每章节的基本知识和理论的掌握及运用</w:t>
            </w:r>
          </w:p>
        </w:tc>
        <w:tc>
          <w:tcPr>
            <w:tcW w:w="1143" w:type="dxa"/>
            <w:vAlign w:val="center"/>
          </w:tcPr>
          <w:p w14:paraId="36182BFD">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7BB93651">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76D7F8DF">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721FA191">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r w14:paraId="2540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710" w:type="dxa"/>
            <w:tcMar>
              <w:left w:w="57" w:type="dxa"/>
              <w:right w:w="57" w:type="dxa"/>
            </w:tcMar>
            <w:vAlign w:val="center"/>
          </w:tcPr>
          <w:p w14:paraId="0AC871F0">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tc>
        <w:tc>
          <w:tcPr>
            <w:tcW w:w="1134" w:type="dxa"/>
            <w:vAlign w:val="center"/>
          </w:tcPr>
          <w:p w14:paraId="32E924A1">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期末考试</w:t>
            </w:r>
          </w:p>
          <w:p w14:paraId="1943F4E4">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卷面成绩</w:t>
            </w:r>
          </w:p>
        </w:tc>
        <w:tc>
          <w:tcPr>
            <w:tcW w:w="708" w:type="dxa"/>
            <w:vAlign w:val="center"/>
          </w:tcPr>
          <w:p w14:paraId="08D7F2F5">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60%</w:t>
            </w:r>
          </w:p>
        </w:tc>
        <w:tc>
          <w:tcPr>
            <w:tcW w:w="2977" w:type="dxa"/>
            <w:vAlign w:val="center"/>
          </w:tcPr>
          <w:p w14:paraId="1F7B7EB7">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试卷题型包括填空题、简答题、论述题等，以卷面成绩的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w:t>
            </w:r>
          </w:p>
          <w:p w14:paraId="1A976C67">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0909C587">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考核知识理解型题目占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4CBE64BA">
            <w:pPr>
              <w:adjustRightInd w:val="0"/>
              <w:snapToGrid w:val="0"/>
              <w:spacing w:line="276" w:lineRule="auto"/>
              <w:rPr>
                <w:rFonts w:ascii="宋体" w:hAnsi="宋体" w:eastAsia="宋体" w:cs="Times New Roman"/>
                <w:color w:val="000000"/>
                <w:szCs w:val="21"/>
              </w:rPr>
            </w:pPr>
            <w:r>
              <w:rPr>
                <w:rFonts w:hint="eastAsia" w:ascii="宋体" w:hAnsi="宋体" w:eastAsia="宋体" w:cs="Times New Roman"/>
                <w:color w:val="000000"/>
                <w:szCs w:val="21"/>
              </w:rPr>
              <w:t>考核综合分析能力题目占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418" w:type="dxa"/>
            <w:vAlign w:val="center"/>
          </w:tcPr>
          <w:p w14:paraId="0242C85A">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56AC638A">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7CC4270B">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57D47952">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4B572758">
            <w:pPr>
              <w:adjustRightInd w:val="0"/>
              <w:snapToGrid w:val="0"/>
              <w:spacing w:line="276" w:lineRule="auto"/>
              <w:jc w:val="center"/>
              <w:rPr>
                <w:rFonts w:ascii="宋体" w:hAnsi="宋体" w:eastAsia="宋体" w:cs="Times New Roman"/>
                <w:b/>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275" w:type="dxa"/>
            <w:vAlign w:val="center"/>
          </w:tcPr>
          <w:p w14:paraId="42BD7C93">
            <w:pPr>
              <w:adjustRightInd w:val="0"/>
              <w:snapToGrid w:val="0"/>
              <w:spacing w:line="276" w:lineRule="auto"/>
              <w:jc w:val="center"/>
              <w:rPr>
                <w:rFonts w:ascii="宋体" w:hAnsi="宋体" w:eastAsia="宋体" w:cs="Times New Roman"/>
                <w:szCs w:val="24"/>
              </w:rPr>
            </w:pPr>
            <w:r>
              <w:rPr>
                <w:rFonts w:hint="eastAsia" w:ascii="宋体" w:hAnsi="宋体" w:eastAsia="宋体" w:cs="Times New Roman"/>
                <w:szCs w:val="24"/>
              </w:rPr>
              <w:t>教育政策的价值取向、教育法律关系和教育法律责任、学校事故及侵权责任、小学教师的权利和义务、重要法律法规文件解读</w:t>
            </w:r>
          </w:p>
        </w:tc>
        <w:tc>
          <w:tcPr>
            <w:tcW w:w="1143" w:type="dxa"/>
            <w:vAlign w:val="center"/>
          </w:tcPr>
          <w:p w14:paraId="0FEAC301">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1-1</w:t>
            </w:r>
          </w:p>
          <w:p w14:paraId="41E0A893">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57F510C9">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5-3</w:t>
            </w:r>
          </w:p>
          <w:p w14:paraId="7F5A4735">
            <w:pPr>
              <w:adjustRightInd w:val="0"/>
              <w:snapToGrid w:val="0"/>
              <w:spacing w:line="276" w:lineRule="auto"/>
              <w:jc w:val="center"/>
              <w:rPr>
                <w:rFonts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bl>
    <w:p w14:paraId="26F1C6E6">
      <w:pPr>
        <w:adjustRightInd w:val="0"/>
        <w:snapToGrid w:val="0"/>
        <w:spacing w:line="360" w:lineRule="auto"/>
        <w:ind w:firstLine="480" w:firstLineChars="200"/>
        <w:rPr>
          <w:rFonts w:ascii="宋体" w:hAnsi="等线" w:eastAsia="宋体" w:cs="Times New Roman"/>
          <w:color w:val="000000"/>
          <w:sz w:val="24"/>
        </w:rPr>
      </w:pPr>
    </w:p>
    <w:p w14:paraId="13EBD7C3">
      <w:pPr>
        <w:spacing w:line="360" w:lineRule="auto"/>
        <w:ind w:firstLine="120" w:firstLineChars="50"/>
        <w:rPr>
          <w:rFonts w:ascii="Calibri" w:hAnsi="Calibri" w:eastAsia="宋体" w:cs="Times New Roman"/>
          <w:b/>
          <w:bCs/>
          <w:sz w:val="24"/>
          <w:szCs w:val="24"/>
        </w:rPr>
      </w:pPr>
      <w:r>
        <w:rPr>
          <w:rFonts w:hint="eastAsia" w:ascii="Calibri" w:hAnsi="Calibri" w:eastAsia="宋体" w:cs="Times New Roman"/>
          <w:b/>
          <w:bCs/>
          <w:sz w:val="24"/>
          <w:szCs w:val="24"/>
        </w:rPr>
        <w:t>（三）课程目标及考核方式权重分配表</w:t>
      </w:r>
    </w:p>
    <w:tbl>
      <w:tblPr>
        <w:tblStyle w:val="30"/>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346"/>
        <w:gridCol w:w="1902"/>
        <w:gridCol w:w="1426"/>
        <w:gridCol w:w="2065"/>
      </w:tblGrid>
      <w:tr w14:paraId="7E8D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26" w:type="dxa"/>
            <w:gridSpan w:val="2"/>
            <w:vAlign w:val="center"/>
          </w:tcPr>
          <w:p w14:paraId="2BF88419">
            <w:pPr>
              <w:adjustRightInd w:val="0"/>
              <w:snapToGrid w:val="0"/>
              <w:spacing w:line="276" w:lineRule="auto"/>
              <w:jc w:val="center"/>
              <w:rPr>
                <w:rFonts w:ascii="宋体" w:hAnsi="等线" w:eastAsia="宋体" w:cs="Times New Roman"/>
                <w:b/>
                <w:kern w:val="0"/>
                <w:szCs w:val="21"/>
              </w:rPr>
            </w:pPr>
            <w:r>
              <w:rPr>
                <w:rFonts w:hint="eastAsia" w:ascii="宋体" w:hAnsi="宋体" w:eastAsia="宋体" w:cs="Times New Roman"/>
                <w:b/>
                <w:kern w:val="0"/>
                <w:szCs w:val="21"/>
              </w:rPr>
              <w:t>课程目标及权重</w:t>
            </w:r>
          </w:p>
        </w:tc>
        <w:tc>
          <w:tcPr>
            <w:tcW w:w="5393" w:type="dxa"/>
            <w:gridSpan w:val="3"/>
            <w:vAlign w:val="center"/>
          </w:tcPr>
          <w:p w14:paraId="31B5463C">
            <w:pPr>
              <w:adjustRightInd w:val="0"/>
              <w:snapToGrid w:val="0"/>
              <w:spacing w:line="276" w:lineRule="auto"/>
              <w:jc w:val="center"/>
              <w:rPr>
                <w:rFonts w:ascii="宋体" w:hAnsi="等线" w:eastAsia="宋体" w:cs="Times New Roman"/>
                <w:b/>
                <w:kern w:val="0"/>
                <w:szCs w:val="21"/>
              </w:rPr>
            </w:pPr>
            <w:r>
              <w:rPr>
                <w:rFonts w:hint="eastAsia" w:ascii="宋体" w:hAnsi="宋体" w:eastAsia="宋体" w:cs="Times New Roman"/>
                <w:b/>
                <w:kern w:val="0"/>
                <w:szCs w:val="21"/>
              </w:rPr>
              <w:t>考核方式及权重</w:t>
            </w:r>
          </w:p>
        </w:tc>
      </w:tr>
      <w:tr w14:paraId="4B10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80" w:type="dxa"/>
            <w:vAlign w:val="center"/>
          </w:tcPr>
          <w:p w14:paraId="3B1A87ED">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项目</w:t>
            </w:r>
          </w:p>
        </w:tc>
        <w:tc>
          <w:tcPr>
            <w:tcW w:w="1346" w:type="dxa"/>
            <w:vAlign w:val="center"/>
          </w:tcPr>
          <w:p w14:paraId="04390F8C">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02" w:type="dxa"/>
            <w:vAlign w:val="center"/>
          </w:tcPr>
          <w:p w14:paraId="4D34F089">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评价依据</w:t>
            </w:r>
          </w:p>
        </w:tc>
        <w:tc>
          <w:tcPr>
            <w:tcW w:w="1426" w:type="dxa"/>
            <w:vAlign w:val="center"/>
          </w:tcPr>
          <w:p w14:paraId="4CF75647">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65" w:type="dxa"/>
            <w:vAlign w:val="center"/>
          </w:tcPr>
          <w:p w14:paraId="39854351">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考核方式权重合计</w:t>
            </w:r>
          </w:p>
        </w:tc>
      </w:tr>
      <w:tr w14:paraId="6B59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4B0972B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46" w:type="dxa"/>
            <w:vMerge w:val="restart"/>
            <w:vAlign w:val="center"/>
          </w:tcPr>
          <w:p w14:paraId="2E9D91FA">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7CAE2A2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190C7CB2">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60D5A07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D46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450753D3">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36B76514">
            <w:pPr>
              <w:adjustRightInd w:val="0"/>
              <w:snapToGrid w:val="0"/>
              <w:spacing w:line="276" w:lineRule="auto"/>
              <w:jc w:val="center"/>
              <w:rPr>
                <w:rFonts w:ascii="宋体" w:hAnsi="等线" w:eastAsia="宋体" w:cs="Times New Roman"/>
                <w:kern w:val="0"/>
                <w:szCs w:val="21"/>
              </w:rPr>
            </w:pPr>
          </w:p>
        </w:tc>
        <w:tc>
          <w:tcPr>
            <w:tcW w:w="1902" w:type="dxa"/>
            <w:vAlign w:val="center"/>
          </w:tcPr>
          <w:p w14:paraId="47B083FB">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0CC1C97C">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30EEFC77">
            <w:pPr>
              <w:adjustRightInd w:val="0"/>
              <w:snapToGrid w:val="0"/>
              <w:spacing w:line="276" w:lineRule="auto"/>
              <w:jc w:val="center"/>
              <w:rPr>
                <w:rFonts w:ascii="宋体" w:hAnsi="宋体" w:eastAsia="宋体" w:cs="Times New Roman"/>
                <w:kern w:val="0"/>
                <w:szCs w:val="21"/>
              </w:rPr>
            </w:pPr>
          </w:p>
        </w:tc>
      </w:tr>
      <w:tr w14:paraId="67E4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980" w:type="dxa"/>
            <w:vAlign w:val="center"/>
          </w:tcPr>
          <w:p w14:paraId="74DEB1E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46" w:type="dxa"/>
            <w:vAlign w:val="center"/>
          </w:tcPr>
          <w:p w14:paraId="2110A3ED">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659B0D8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0F1F6655">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65" w:type="dxa"/>
            <w:vAlign w:val="center"/>
          </w:tcPr>
          <w:p w14:paraId="03D1A52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16BA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980" w:type="dxa"/>
            <w:vAlign w:val="center"/>
          </w:tcPr>
          <w:p w14:paraId="24EAE28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46" w:type="dxa"/>
            <w:vAlign w:val="center"/>
          </w:tcPr>
          <w:p w14:paraId="3C7B483F">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1902" w:type="dxa"/>
            <w:vAlign w:val="center"/>
          </w:tcPr>
          <w:p w14:paraId="03F8A7CF">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69A9849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65" w:type="dxa"/>
            <w:vAlign w:val="center"/>
          </w:tcPr>
          <w:p w14:paraId="367FF60C">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0917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652E18D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46" w:type="dxa"/>
            <w:vMerge w:val="restart"/>
            <w:vAlign w:val="center"/>
          </w:tcPr>
          <w:p w14:paraId="123D2CCE">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07E4B2AD">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68058F5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25687001">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7A11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511005B">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4B1A81C9">
            <w:pPr>
              <w:adjustRightInd w:val="0"/>
              <w:snapToGrid w:val="0"/>
              <w:spacing w:line="276" w:lineRule="auto"/>
              <w:jc w:val="center"/>
              <w:rPr>
                <w:rFonts w:ascii="宋体" w:hAnsi="等线" w:eastAsia="宋体" w:cs="Times New Roman"/>
                <w:kern w:val="0"/>
                <w:szCs w:val="21"/>
              </w:rPr>
            </w:pPr>
          </w:p>
        </w:tc>
        <w:tc>
          <w:tcPr>
            <w:tcW w:w="1902" w:type="dxa"/>
            <w:vAlign w:val="center"/>
          </w:tcPr>
          <w:p w14:paraId="5408616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7B462F34">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46D90B55">
            <w:pPr>
              <w:adjustRightInd w:val="0"/>
              <w:snapToGrid w:val="0"/>
              <w:spacing w:line="276" w:lineRule="auto"/>
              <w:jc w:val="center"/>
              <w:rPr>
                <w:rFonts w:ascii="宋体" w:hAnsi="宋体" w:eastAsia="宋体" w:cs="Times New Roman"/>
                <w:kern w:val="0"/>
                <w:szCs w:val="21"/>
              </w:rPr>
            </w:pPr>
          </w:p>
        </w:tc>
      </w:tr>
      <w:tr w14:paraId="1650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4D69CBA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46" w:type="dxa"/>
            <w:vMerge w:val="restart"/>
            <w:vAlign w:val="center"/>
          </w:tcPr>
          <w:p w14:paraId="7742DFA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77584DE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6C9C2D7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60%</w:t>
            </w:r>
          </w:p>
        </w:tc>
        <w:tc>
          <w:tcPr>
            <w:tcW w:w="2065" w:type="dxa"/>
            <w:vMerge w:val="restart"/>
            <w:vAlign w:val="center"/>
          </w:tcPr>
          <w:p w14:paraId="62898300">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6068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1BCCDFAC">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7AA43FCA">
            <w:pPr>
              <w:adjustRightInd w:val="0"/>
              <w:snapToGrid w:val="0"/>
              <w:spacing w:line="276" w:lineRule="auto"/>
              <w:jc w:val="center"/>
              <w:rPr>
                <w:rFonts w:ascii="宋体" w:hAnsi="等线" w:eastAsia="宋体" w:cs="Times New Roman"/>
                <w:kern w:val="0"/>
                <w:szCs w:val="21"/>
              </w:rPr>
            </w:pPr>
          </w:p>
        </w:tc>
        <w:tc>
          <w:tcPr>
            <w:tcW w:w="1902" w:type="dxa"/>
            <w:vAlign w:val="center"/>
          </w:tcPr>
          <w:p w14:paraId="04B1AE2B">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5367245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40%</w:t>
            </w:r>
          </w:p>
        </w:tc>
        <w:tc>
          <w:tcPr>
            <w:tcW w:w="2065" w:type="dxa"/>
            <w:vMerge w:val="continue"/>
            <w:vAlign w:val="center"/>
          </w:tcPr>
          <w:p w14:paraId="03E8B67E">
            <w:pPr>
              <w:adjustRightInd w:val="0"/>
              <w:snapToGrid w:val="0"/>
              <w:spacing w:line="276" w:lineRule="auto"/>
              <w:jc w:val="center"/>
              <w:rPr>
                <w:rFonts w:ascii="宋体" w:hAnsi="宋体" w:eastAsia="宋体" w:cs="Times New Roman"/>
                <w:kern w:val="0"/>
                <w:szCs w:val="21"/>
              </w:rPr>
            </w:pPr>
          </w:p>
        </w:tc>
      </w:tr>
      <w:tr w14:paraId="79A5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654493D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346" w:type="dxa"/>
            <w:vMerge w:val="restart"/>
            <w:vAlign w:val="center"/>
          </w:tcPr>
          <w:p w14:paraId="2CF94287">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7C84ED0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46EBD65C">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30%</w:t>
            </w:r>
          </w:p>
        </w:tc>
        <w:tc>
          <w:tcPr>
            <w:tcW w:w="2065" w:type="dxa"/>
            <w:vMerge w:val="restart"/>
            <w:vAlign w:val="center"/>
          </w:tcPr>
          <w:p w14:paraId="075B915C">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2CA1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2B054332">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1DA61EBD">
            <w:pPr>
              <w:adjustRightInd w:val="0"/>
              <w:snapToGrid w:val="0"/>
              <w:spacing w:line="276" w:lineRule="auto"/>
              <w:jc w:val="center"/>
              <w:rPr>
                <w:rFonts w:ascii="宋体" w:hAnsi="等线" w:eastAsia="宋体" w:cs="Times New Roman"/>
                <w:kern w:val="0"/>
                <w:szCs w:val="21"/>
              </w:rPr>
            </w:pPr>
          </w:p>
        </w:tc>
        <w:tc>
          <w:tcPr>
            <w:tcW w:w="1902" w:type="dxa"/>
            <w:vAlign w:val="center"/>
          </w:tcPr>
          <w:p w14:paraId="0EED757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3FAD8CD8">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20%</w:t>
            </w:r>
          </w:p>
        </w:tc>
        <w:tc>
          <w:tcPr>
            <w:tcW w:w="2065" w:type="dxa"/>
            <w:vMerge w:val="continue"/>
            <w:vAlign w:val="center"/>
          </w:tcPr>
          <w:p w14:paraId="728EAD83">
            <w:pPr>
              <w:adjustRightInd w:val="0"/>
              <w:snapToGrid w:val="0"/>
              <w:spacing w:line="276" w:lineRule="auto"/>
              <w:jc w:val="center"/>
              <w:rPr>
                <w:rFonts w:ascii="宋体" w:hAnsi="宋体" w:eastAsia="宋体" w:cs="Times New Roman"/>
                <w:kern w:val="0"/>
                <w:szCs w:val="21"/>
              </w:rPr>
            </w:pPr>
          </w:p>
        </w:tc>
      </w:tr>
      <w:tr w14:paraId="47D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514639D">
            <w:pPr>
              <w:adjustRightInd w:val="0"/>
              <w:snapToGrid w:val="0"/>
              <w:spacing w:line="276" w:lineRule="auto"/>
              <w:jc w:val="center"/>
              <w:rPr>
                <w:rFonts w:ascii="宋体" w:hAnsi="等线" w:eastAsia="宋体" w:cs="Times New Roman"/>
                <w:kern w:val="0"/>
                <w:szCs w:val="21"/>
              </w:rPr>
            </w:pPr>
          </w:p>
        </w:tc>
        <w:tc>
          <w:tcPr>
            <w:tcW w:w="1346" w:type="dxa"/>
            <w:vMerge w:val="continue"/>
            <w:vAlign w:val="center"/>
          </w:tcPr>
          <w:p w14:paraId="066859AC">
            <w:pPr>
              <w:adjustRightInd w:val="0"/>
              <w:snapToGrid w:val="0"/>
              <w:spacing w:line="276" w:lineRule="auto"/>
              <w:jc w:val="center"/>
              <w:rPr>
                <w:rFonts w:ascii="宋体" w:hAnsi="等线" w:eastAsia="宋体" w:cs="Times New Roman"/>
                <w:kern w:val="0"/>
                <w:szCs w:val="21"/>
              </w:rPr>
            </w:pPr>
          </w:p>
        </w:tc>
        <w:tc>
          <w:tcPr>
            <w:tcW w:w="1902" w:type="dxa"/>
            <w:vAlign w:val="center"/>
          </w:tcPr>
          <w:p w14:paraId="002AD43E">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4F371DCB">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6E40F58F">
            <w:pPr>
              <w:adjustRightInd w:val="0"/>
              <w:snapToGrid w:val="0"/>
              <w:spacing w:line="276" w:lineRule="auto"/>
              <w:jc w:val="center"/>
              <w:rPr>
                <w:rFonts w:ascii="宋体" w:hAnsi="宋体" w:eastAsia="宋体" w:cs="Times New Roman"/>
                <w:kern w:val="0"/>
                <w:szCs w:val="21"/>
              </w:rPr>
            </w:pPr>
          </w:p>
        </w:tc>
      </w:tr>
      <w:tr w14:paraId="30F9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Align w:val="center"/>
          </w:tcPr>
          <w:p w14:paraId="45528077">
            <w:pPr>
              <w:adjustRightInd w:val="0"/>
              <w:snapToGrid w:val="0"/>
              <w:spacing w:line="276" w:lineRule="auto"/>
              <w:jc w:val="center"/>
              <w:rPr>
                <w:rFonts w:ascii="宋体" w:hAnsi="等线" w:eastAsia="宋体" w:cs="Times New Roman"/>
                <w:kern w:val="0"/>
                <w:szCs w:val="21"/>
              </w:rPr>
            </w:pPr>
            <w:r>
              <w:rPr>
                <w:rFonts w:hint="eastAsia" w:ascii="宋体" w:hAnsi="宋体" w:eastAsia="宋体" w:cs="Times New Roman"/>
                <w:kern w:val="0"/>
                <w:szCs w:val="21"/>
              </w:rPr>
              <w:t>课程目标权重合计</w:t>
            </w:r>
          </w:p>
        </w:tc>
        <w:tc>
          <w:tcPr>
            <w:tcW w:w="1346" w:type="dxa"/>
            <w:vAlign w:val="center"/>
          </w:tcPr>
          <w:p w14:paraId="3724BB26">
            <w:pPr>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5393" w:type="dxa"/>
            <w:gridSpan w:val="3"/>
            <w:vAlign w:val="center"/>
          </w:tcPr>
          <w:p w14:paraId="00C42360">
            <w:pPr>
              <w:adjustRightInd w:val="0"/>
              <w:snapToGrid w:val="0"/>
              <w:spacing w:line="276" w:lineRule="auto"/>
              <w:jc w:val="center"/>
              <w:rPr>
                <w:rFonts w:ascii="宋体" w:hAnsi="宋体" w:eastAsia="宋体" w:cs="Times New Roman"/>
                <w:kern w:val="0"/>
                <w:szCs w:val="21"/>
              </w:rPr>
            </w:pPr>
          </w:p>
        </w:tc>
      </w:tr>
    </w:tbl>
    <w:p w14:paraId="6BC18523">
      <w:pPr>
        <w:spacing w:line="360" w:lineRule="auto"/>
        <w:ind w:firstLine="361" w:firstLineChars="150"/>
        <w:rPr>
          <w:rFonts w:ascii="Calibri" w:hAnsi="Calibri" w:eastAsia="宋体" w:cs="Times New Roman"/>
          <w:b/>
          <w:bCs/>
          <w:sz w:val="24"/>
          <w:szCs w:val="24"/>
        </w:rPr>
      </w:pPr>
    </w:p>
    <w:p w14:paraId="1E7D1127">
      <w:pPr>
        <w:spacing w:line="360" w:lineRule="auto"/>
        <w:ind w:firstLine="361" w:firstLineChars="150"/>
        <w:rPr>
          <w:rFonts w:ascii="Calibri" w:hAnsi="Calibri" w:eastAsia="宋体" w:cs="Times New Roman"/>
          <w:b/>
          <w:bCs/>
          <w:sz w:val="24"/>
          <w:szCs w:val="24"/>
        </w:rPr>
      </w:pPr>
      <w:r>
        <w:rPr>
          <w:rFonts w:hint="eastAsia" w:ascii="Calibri" w:hAnsi="Calibri" w:eastAsia="宋体" w:cs="Times New Roman"/>
          <w:b/>
          <w:bCs/>
          <w:sz w:val="24"/>
          <w:szCs w:val="24"/>
        </w:rPr>
        <w:t>（四）课程目标达成度计算方法</w:t>
      </w:r>
    </w:p>
    <w:p w14:paraId="28622F12">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w:t>
      </w:r>
      <w:r>
        <w:rPr>
          <w:rFonts w:ascii="宋体" w:hAnsi="宋体" w:eastAsia="宋体" w:cs="Times New Roman"/>
          <w:szCs w:val="21"/>
        </w:rPr>
        <w:t>0.6</w:t>
      </w:r>
      <w:r>
        <w:rPr>
          <w:rFonts w:hint="eastAsia" w:ascii="Calibri" w:hAnsi="Calibri" w:eastAsia="宋体" w:cs="Times New Roman"/>
          <w:sz w:val="24"/>
          <w:szCs w:val="24"/>
        </w:rPr>
        <w:t>，否则总评成绩不及格，需要补考或重修。每门课程目标总体达成度计算方法如下：</w:t>
      </w:r>
    </w:p>
    <w:p w14:paraId="78484C8B">
      <w:pPr>
        <w:adjustRightInd w:val="0"/>
        <w:snapToGrid w:val="0"/>
        <w:spacing w:line="360" w:lineRule="auto"/>
        <w:jc w:val="left"/>
        <w:rPr>
          <w:rFonts w:ascii="宋体" w:hAnsi="等线" w:eastAsia="宋体" w:cs="Times New Roman"/>
          <w:color w:val="000000"/>
          <w:sz w:val="24"/>
        </w:rPr>
      </w:pPr>
      <w:r>
        <w:rPr>
          <w:rFonts w:ascii="宋体" w:hAnsi="宋体" w:eastAsia="宋体" w:cs="Times New Roman"/>
          <w:position w:val="-26"/>
          <w:sz w:val="24"/>
          <w:szCs w:val="24"/>
        </w:rPr>
        <w:object>
          <v:shape id="_x0000_i1028" o:spt="75" type="#_x0000_t75" style="height:28.45pt;width:387.65pt;" o:ole="t" filled="f" o:preferrelative="t" stroked="f" coordsize="21600,21600">
            <v:path/>
            <v:fill on="f" focussize="0,0"/>
            <v:stroke on="f" joinstyle="miter"/>
            <v:imagedata r:id="rId7" o:title=""/>
            <o:lock v:ext="edit" aspectratio="t"/>
            <w10:wrap type="none"/>
            <w10:anchorlock/>
          </v:shape>
          <o:OLEObject Type="Embed" ProgID="Equation.KSEE3" ShapeID="_x0000_i1028" DrawAspect="Content" ObjectID="_1468075728" r:id="rId10">
            <o:LockedField>false</o:LockedField>
          </o:OLEObject>
        </w:object>
      </w:r>
    </w:p>
    <w:p w14:paraId="758722F2">
      <w:pPr>
        <w:adjustRightInd w:val="0"/>
        <w:snapToGrid w:val="0"/>
        <w:spacing w:line="360" w:lineRule="auto"/>
        <w:ind w:firstLine="562" w:firstLineChars="200"/>
        <w:rPr>
          <w:rFonts w:ascii="Calibri" w:hAnsi="Calibri" w:eastAsia="宋体" w:cs="Times New Roman"/>
          <w:b/>
          <w:sz w:val="28"/>
          <w:szCs w:val="28"/>
        </w:rPr>
      </w:pPr>
      <w:r>
        <w:rPr>
          <w:rFonts w:hint="eastAsia" w:ascii="Calibri" w:hAnsi="Calibri" w:eastAsia="宋体" w:cs="Times New Roman"/>
          <w:b/>
          <w:sz w:val="28"/>
          <w:szCs w:val="28"/>
        </w:rPr>
        <w:t>六、有关说明</w:t>
      </w:r>
    </w:p>
    <w:p w14:paraId="4A5C5D46">
      <w:pPr>
        <w:adjustRightInd w:val="0"/>
        <w:snapToGrid w:val="0"/>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（一）持续改进</w:t>
      </w:r>
    </w:p>
    <w:p w14:paraId="269991F1">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73E051FA">
      <w:pPr>
        <w:adjustRightInd w:val="0"/>
        <w:snapToGrid w:val="0"/>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（二）参考书目及学习资料</w:t>
      </w:r>
    </w:p>
    <w:p w14:paraId="7DE87BD1">
      <w:pPr>
        <w:spacing w:line="360" w:lineRule="auto"/>
        <w:ind w:firstLine="480" w:firstLineChars="200"/>
        <w:rPr>
          <w:rFonts w:ascii="Calibri" w:hAnsi="Calibri" w:eastAsia="宋体" w:cs="Times New Roman"/>
          <w:sz w:val="24"/>
        </w:rPr>
      </w:pPr>
      <w:r>
        <w:rPr>
          <w:rFonts w:ascii="Calibri" w:hAnsi="Calibri" w:eastAsia="宋体" w:cs="Times New Roman"/>
          <w:sz w:val="24"/>
        </w:rPr>
        <w:t>1.</w:t>
      </w:r>
      <w:r>
        <w:rPr>
          <w:rFonts w:hint="eastAsia" w:ascii="Calibri" w:hAnsi="Calibri" w:eastAsia="宋体" w:cs="Times New Roman"/>
          <w:sz w:val="24"/>
        </w:rPr>
        <w:t>教材</w:t>
      </w:r>
    </w:p>
    <w:p w14:paraId="1C85E2CF">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石正义</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北京：北京师范大学出版社，</w:t>
      </w:r>
      <w:r>
        <w:rPr>
          <w:rFonts w:ascii="Calibri" w:hAnsi="Calibri" w:eastAsia="宋体" w:cs="Times New Roman"/>
          <w:sz w:val="24"/>
        </w:rPr>
        <w:t>2015.</w:t>
      </w:r>
    </w:p>
    <w:p w14:paraId="2B1E2922">
      <w:pPr>
        <w:spacing w:line="360" w:lineRule="auto"/>
        <w:ind w:firstLine="480" w:firstLineChars="200"/>
        <w:rPr>
          <w:rFonts w:ascii="Calibri" w:hAnsi="Calibri" w:eastAsia="宋体" w:cs="Times New Roman"/>
          <w:sz w:val="24"/>
        </w:rPr>
      </w:pPr>
      <w:r>
        <w:rPr>
          <w:rFonts w:ascii="Calibri" w:hAnsi="Calibri" w:eastAsia="宋体" w:cs="Times New Roman"/>
          <w:sz w:val="24"/>
        </w:rPr>
        <w:t>2.</w:t>
      </w:r>
      <w:r>
        <w:rPr>
          <w:rFonts w:hint="eastAsia" w:ascii="Calibri" w:hAnsi="Calibri" w:eastAsia="宋体" w:cs="Times New Roman"/>
          <w:sz w:val="24"/>
        </w:rPr>
        <w:t>教学参考书</w:t>
      </w:r>
    </w:p>
    <w:p w14:paraId="6A765404">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阮成武</w:t>
      </w:r>
      <w:r>
        <w:rPr>
          <w:rFonts w:ascii="Calibri" w:hAnsi="Calibri" w:eastAsia="宋体" w:cs="Times New Roman"/>
          <w:sz w:val="24"/>
        </w:rPr>
        <w:t>.</w:t>
      </w:r>
      <w:r>
        <w:rPr>
          <w:rFonts w:hint="eastAsia" w:ascii="Calibri" w:hAnsi="Calibri" w:eastAsia="宋体" w:cs="Times New Roman"/>
          <w:sz w:val="24"/>
        </w:rPr>
        <w:t>小学教育政策与法规</w:t>
      </w:r>
      <w:r>
        <w:rPr>
          <w:rFonts w:ascii="Calibri" w:hAnsi="Calibri" w:eastAsia="宋体" w:cs="Times New Roman"/>
          <w:sz w:val="24"/>
        </w:rPr>
        <w:t>[M].</w:t>
      </w:r>
      <w:r>
        <w:rPr>
          <w:rFonts w:hint="eastAsia" w:ascii="Calibri" w:hAnsi="Calibri" w:eastAsia="宋体" w:cs="Times New Roman"/>
          <w:sz w:val="24"/>
        </w:rPr>
        <w:t>北京：高等教育出版社，</w:t>
      </w:r>
      <w:r>
        <w:rPr>
          <w:rFonts w:ascii="Calibri" w:hAnsi="Calibri" w:eastAsia="宋体" w:cs="Times New Roman"/>
          <w:sz w:val="24"/>
        </w:rPr>
        <w:t>20</w:t>
      </w:r>
      <w:r>
        <w:rPr>
          <w:rFonts w:hint="eastAsia" w:ascii="Calibri" w:hAnsi="Calibri" w:eastAsia="宋体" w:cs="Times New Roman"/>
          <w:sz w:val="24"/>
        </w:rPr>
        <w:t>13</w:t>
      </w:r>
      <w:r>
        <w:rPr>
          <w:rFonts w:ascii="Calibri" w:hAnsi="Calibri" w:eastAsia="宋体" w:cs="Times New Roman"/>
          <w:sz w:val="24"/>
        </w:rPr>
        <w:t>.</w:t>
      </w:r>
    </w:p>
    <w:p w14:paraId="2066BCDF">
      <w:pPr>
        <w:spacing w:line="360" w:lineRule="auto"/>
        <w:ind w:firstLine="480" w:firstLineChars="200"/>
        <w:rPr>
          <w:rFonts w:ascii="Calibri" w:hAnsi="Calibri" w:eastAsia="宋体" w:cs="Times New Roman"/>
          <w:sz w:val="24"/>
        </w:rPr>
      </w:pPr>
    </w:p>
    <w:p w14:paraId="6BD86A72">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执笔人：赵振杰</w:t>
      </w:r>
    </w:p>
    <w:p w14:paraId="56456211">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审定人：王  健</w:t>
      </w:r>
    </w:p>
    <w:p w14:paraId="734BBA1E">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审批人：张志欣</w:t>
      </w:r>
    </w:p>
    <w:p w14:paraId="1806351D">
      <w:pPr>
        <w:adjustRightInd w:val="0"/>
        <w:snapToGrid w:val="0"/>
        <w:spacing w:line="360" w:lineRule="auto"/>
        <w:ind w:right="120"/>
        <w:jc w:val="right"/>
        <w:rPr>
          <w:rFonts w:ascii="宋体" w:hAnsi="宋体" w:eastAsia="宋体" w:cs="Times New Roman"/>
          <w:kern w:val="0"/>
          <w:sz w:val="24"/>
          <w:szCs w:val="21"/>
        </w:rPr>
      </w:pPr>
      <w:r>
        <w:rPr>
          <w:rFonts w:hint="eastAsia" w:ascii="宋体" w:hAnsi="宋体" w:eastAsia="宋体" w:cs="Times New Roman"/>
          <w:kern w:val="0"/>
          <w:sz w:val="24"/>
          <w:szCs w:val="21"/>
        </w:rPr>
        <w:t>批准时间：</w:t>
      </w:r>
      <w:r>
        <w:rPr>
          <w:rFonts w:ascii="宋体" w:hAnsi="宋体" w:eastAsia="宋体" w:cs="Times New Roman"/>
          <w:kern w:val="0"/>
          <w:sz w:val="24"/>
          <w:szCs w:val="21"/>
        </w:rPr>
        <w:t>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年8月2</w:t>
      </w:r>
      <w:r>
        <w:rPr>
          <w:rFonts w:ascii="宋体" w:hAnsi="宋体" w:eastAsia="宋体" w:cs="Times New Roman"/>
          <w:kern w:val="0"/>
          <w:sz w:val="24"/>
          <w:szCs w:val="21"/>
        </w:rPr>
        <w:t>0</w:t>
      </w:r>
      <w:r>
        <w:rPr>
          <w:rFonts w:hint="eastAsia" w:ascii="宋体" w:hAnsi="宋体" w:eastAsia="宋体" w:cs="Times New Roman"/>
          <w:kern w:val="0"/>
          <w:sz w:val="24"/>
          <w:szCs w:val="21"/>
        </w:rPr>
        <w:t>日</w:t>
      </w:r>
    </w:p>
    <w:p w14:paraId="59584F0E">
      <w:pPr>
        <w:widowControl/>
        <w:jc w:val="left"/>
        <w:rPr>
          <w:rFonts w:ascii="宋体" w:hAnsi="宋体" w:eastAsia="宋体" w:cs="Times New Roman"/>
          <w:sz w:val="24"/>
          <w:szCs w:val="24"/>
        </w:rPr>
      </w:pPr>
      <w:r>
        <w:rPr>
          <w:rFonts w:ascii="宋体" w:hAnsi="宋体" w:eastAsia="宋体" w:cs="Times New Roman"/>
          <w:sz w:val="24"/>
          <w:szCs w:val="24"/>
        </w:rPr>
        <w:br w:type="page"/>
      </w:r>
    </w:p>
    <w:p w14:paraId="057B1476">
      <w:pPr>
        <w:spacing w:line="276" w:lineRule="auto"/>
        <w:jc w:val="center"/>
        <w:rPr>
          <w:rFonts w:ascii="宋体" w:hAnsi="宋体" w:eastAsia="宋体" w:cs="Times New Roman"/>
          <w:b/>
          <w:bCs/>
          <w:sz w:val="30"/>
        </w:rPr>
      </w:pPr>
      <w:bookmarkStart w:id="70" w:name="_Toc57017176"/>
      <w:r>
        <w:rPr>
          <w:rFonts w:hint="eastAsia" w:ascii="宋体" w:hAnsi="宋体" w:eastAsia="宋体" w:cs="Times New Roman"/>
          <w:b/>
          <w:bCs/>
          <w:sz w:val="30"/>
        </w:rPr>
        <w:t>教师职业道德课程教学大纲</w:t>
      </w:r>
    </w:p>
    <w:p w14:paraId="51997DFC">
      <w:pPr>
        <w:spacing w:line="276" w:lineRule="auto"/>
        <w:jc w:val="center"/>
        <w:rPr>
          <w:rFonts w:ascii="Times New Roman" w:hAnsi="Times New Roman" w:eastAsia="宋体" w:cs="Times New Roman"/>
          <w:b/>
          <w:bCs/>
          <w:sz w:val="28"/>
        </w:rPr>
      </w:pPr>
      <w:r>
        <w:rPr>
          <w:rFonts w:ascii="Times New Roman" w:hAnsi="Times New Roman" w:eastAsia="宋体" w:cs="Times New Roman"/>
          <w:b/>
          <w:bCs/>
          <w:sz w:val="28"/>
        </w:rPr>
        <w:t>（Professional Ethics of Teachers）</w:t>
      </w:r>
    </w:p>
    <w:p w14:paraId="5F1ADF30">
      <w:pPr>
        <w:spacing w:line="276" w:lineRule="auto"/>
        <w:rPr>
          <w:rFonts w:ascii="宋体" w:hAnsi="宋体" w:eastAsia="宋体" w:cs="Times New Roman"/>
          <w:b/>
          <w:sz w:val="28"/>
        </w:rPr>
      </w:pPr>
      <w:r>
        <w:rPr>
          <w:rFonts w:hint="eastAsia" w:ascii="宋体" w:hAnsi="宋体" w:eastAsia="宋体" w:cs="Times New Roman"/>
          <w:b/>
          <w:sz w:val="28"/>
        </w:rPr>
        <w:t>一、课程概况</w:t>
      </w:r>
    </w:p>
    <w:p w14:paraId="5278F3BD">
      <w:pPr>
        <w:spacing w:line="276" w:lineRule="auto"/>
        <w:ind w:firstLine="422" w:firstLineChars="200"/>
        <w:rPr>
          <w:rFonts w:ascii="宋体" w:hAnsi="宋体" w:eastAsia="宋体" w:cs="Times New Roman"/>
        </w:rPr>
      </w:pPr>
      <w:r>
        <w:rPr>
          <w:rFonts w:hint="eastAsia" w:ascii="宋体" w:hAnsi="宋体" w:eastAsia="宋体" w:cs="Times New Roman"/>
          <w:b/>
        </w:rPr>
        <w:t>课程代码</w:t>
      </w:r>
      <w:r>
        <w:rPr>
          <w:rFonts w:hint="eastAsia" w:ascii="宋体" w:hAnsi="宋体" w:eastAsia="宋体" w:cs="Times New Roman"/>
        </w:rPr>
        <w:t>：2</w:t>
      </w:r>
      <w:r>
        <w:rPr>
          <w:rFonts w:ascii="宋体" w:hAnsi="宋体" w:eastAsia="宋体" w:cs="Times New Roman"/>
        </w:rPr>
        <w:t>401009</w:t>
      </w:r>
    </w:p>
    <w:p w14:paraId="03E325FD">
      <w:pPr>
        <w:spacing w:line="276" w:lineRule="auto"/>
        <w:ind w:firstLine="422" w:firstLineChars="200"/>
        <w:rPr>
          <w:rFonts w:ascii="宋体" w:hAnsi="宋体" w:eastAsia="宋体" w:cs="Times New Roman"/>
        </w:rPr>
      </w:pPr>
      <w:r>
        <w:rPr>
          <w:rFonts w:hint="eastAsia" w:ascii="宋体" w:hAnsi="宋体" w:eastAsia="宋体" w:cs="Times New Roman"/>
          <w:b/>
        </w:rPr>
        <w:t xml:space="preserve">学 </w:t>
      </w:r>
      <w:r>
        <w:rPr>
          <w:rFonts w:ascii="宋体" w:hAnsi="宋体" w:eastAsia="宋体" w:cs="Times New Roman"/>
          <w:b/>
        </w:rPr>
        <w:t xml:space="preserve"> </w:t>
      </w:r>
      <w:r>
        <w:rPr>
          <w:rFonts w:hint="eastAsia" w:ascii="宋体" w:hAnsi="宋体" w:eastAsia="宋体" w:cs="Times New Roman"/>
          <w:b/>
        </w:rPr>
        <w:t>分</w:t>
      </w:r>
      <w:r>
        <w:rPr>
          <w:rFonts w:hint="eastAsia" w:ascii="宋体" w:hAnsi="宋体" w:eastAsia="宋体" w:cs="Times New Roman"/>
        </w:rPr>
        <w:t>：1</w:t>
      </w:r>
    </w:p>
    <w:p w14:paraId="4041B813">
      <w:pPr>
        <w:spacing w:line="276" w:lineRule="auto"/>
        <w:ind w:firstLine="422" w:firstLineChars="200"/>
        <w:rPr>
          <w:rFonts w:ascii="宋体" w:hAnsi="宋体" w:eastAsia="宋体" w:cs="Times New Roman"/>
        </w:rPr>
      </w:pPr>
      <w:r>
        <w:rPr>
          <w:rFonts w:hint="eastAsia" w:ascii="宋体" w:hAnsi="宋体" w:eastAsia="宋体" w:cs="Times New Roman"/>
          <w:b/>
        </w:rPr>
        <w:t xml:space="preserve">学 </w:t>
      </w:r>
      <w:r>
        <w:rPr>
          <w:rFonts w:ascii="宋体" w:hAnsi="宋体" w:eastAsia="宋体" w:cs="Times New Roman"/>
          <w:b/>
        </w:rPr>
        <w:t xml:space="preserve"> </w:t>
      </w:r>
      <w:r>
        <w:rPr>
          <w:rFonts w:hint="eastAsia" w:ascii="宋体" w:hAnsi="宋体" w:eastAsia="宋体" w:cs="Times New Roman"/>
          <w:b/>
        </w:rPr>
        <w:t>时</w:t>
      </w:r>
      <w:r>
        <w:rPr>
          <w:rFonts w:hint="eastAsia" w:ascii="宋体" w:hAnsi="宋体" w:eastAsia="宋体" w:cs="Times New Roman"/>
        </w:rPr>
        <w:t>：1</w:t>
      </w:r>
      <w:r>
        <w:rPr>
          <w:rFonts w:ascii="宋体" w:hAnsi="宋体" w:eastAsia="宋体" w:cs="Times New Roman"/>
        </w:rPr>
        <w:t>6</w:t>
      </w:r>
    </w:p>
    <w:p w14:paraId="5043B5A0">
      <w:pPr>
        <w:spacing w:line="276" w:lineRule="auto"/>
        <w:ind w:firstLine="422" w:firstLineChars="200"/>
        <w:rPr>
          <w:rFonts w:ascii="宋体" w:hAnsi="宋体" w:eastAsia="宋体" w:cs="Times New Roman"/>
        </w:rPr>
      </w:pPr>
      <w:r>
        <w:rPr>
          <w:rFonts w:hint="eastAsia" w:ascii="宋体" w:hAnsi="宋体" w:eastAsia="宋体" w:cs="Times New Roman"/>
          <w:b/>
        </w:rPr>
        <w:t>先修课程</w:t>
      </w:r>
      <w:r>
        <w:rPr>
          <w:rFonts w:hint="eastAsia" w:ascii="宋体" w:hAnsi="宋体" w:eastAsia="宋体" w:cs="Times New Roman"/>
        </w:rPr>
        <w:t>：专业导论与职业发展、教育原理</w:t>
      </w:r>
    </w:p>
    <w:p w14:paraId="48C31F74">
      <w:pPr>
        <w:spacing w:line="276" w:lineRule="auto"/>
        <w:ind w:firstLine="422" w:firstLineChars="200"/>
        <w:rPr>
          <w:rFonts w:ascii="宋体" w:hAnsi="宋体" w:eastAsia="宋体" w:cs="Times New Roman"/>
        </w:rPr>
      </w:pPr>
      <w:r>
        <w:rPr>
          <w:rFonts w:hint="eastAsia" w:ascii="宋体" w:hAnsi="宋体" w:eastAsia="宋体" w:cs="Times New Roman"/>
          <w:b/>
        </w:rPr>
        <w:t>适用专业</w:t>
      </w:r>
      <w:r>
        <w:rPr>
          <w:rFonts w:hint="eastAsia" w:ascii="宋体" w:hAnsi="宋体" w:eastAsia="宋体" w:cs="Times New Roman"/>
        </w:rPr>
        <w:t>：小学教育（文）、小学教育（理）</w:t>
      </w:r>
    </w:p>
    <w:p w14:paraId="2D683A8F">
      <w:pPr>
        <w:spacing w:line="276" w:lineRule="auto"/>
        <w:ind w:firstLine="422" w:firstLineChars="200"/>
        <w:rPr>
          <w:rFonts w:ascii="宋体" w:hAnsi="宋体" w:eastAsia="宋体" w:cs="Times New Roman"/>
        </w:rPr>
      </w:pPr>
      <w:r>
        <w:rPr>
          <w:rFonts w:hint="eastAsia" w:ascii="宋体" w:hAnsi="宋体" w:eastAsia="宋体" w:cs="Times New Roman"/>
          <w:b/>
        </w:rPr>
        <w:t>建议教材</w:t>
      </w:r>
      <w:r>
        <w:rPr>
          <w:rFonts w:hint="eastAsia" w:ascii="宋体" w:hAnsi="宋体" w:eastAsia="宋体" w:cs="Times New Roman"/>
        </w:rPr>
        <w:t>：钱焕琦主编《教师职业道德》（第四版），华东师范大学出版社，</w:t>
      </w:r>
      <w:r>
        <w:rPr>
          <w:rFonts w:ascii="宋体" w:hAnsi="宋体" w:eastAsia="宋体" w:cs="Times New Roman"/>
        </w:rPr>
        <w:t>2020</w:t>
      </w:r>
      <w:r>
        <w:rPr>
          <w:rFonts w:hint="eastAsia" w:ascii="宋体" w:hAnsi="宋体" w:eastAsia="宋体" w:cs="Times New Roman"/>
        </w:rPr>
        <w:t>年。</w:t>
      </w:r>
    </w:p>
    <w:p w14:paraId="1B89CF62">
      <w:pPr>
        <w:spacing w:line="276" w:lineRule="auto"/>
        <w:ind w:firstLine="422" w:firstLineChars="200"/>
        <w:rPr>
          <w:rFonts w:ascii="宋体" w:hAnsi="宋体" w:eastAsia="宋体" w:cs="Times New Roman"/>
        </w:rPr>
      </w:pPr>
      <w:r>
        <w:rPr>
          <w:rFonts w:hint="eastAsia" w:ascii="宋体" w:hAnsi="宋体" w:eastAsia="宋体" w:cs="Times New Roman"/>
          <w:b/>
        </w:rPr>
        <w:t>课程归口</w:t>
      </w:r>
      <w:r>
        <w:rPr>
          <w:rFonts w:hint="eastAsia" w:ascii="宋体" w:hAnsi="宋体" w:eastAsia="宋体" w:cs="Times New Roman"/>
        </w:rPr>
        <w:t>：师范学院</w:t>
      </w:r>
    </w:p>
    <w:p w14:paraId="75B5F589">
      <w:pPr>
        <w:spacing w:line="276" w:lineRule="auto"/>
        <w:ind w:firstLine="422" w:firstLineChars="200"/>
        <w:rPr>
          <w:rFonts w:ascii="宋体" w:hAnsi="宋体" w:eastAsia="宋体" w:cs="Times New Roman"/>
        </w:rPr>
      </w:pPr>
      <w:r>
        <w:rPr>
          <w:rFonts w:hint="eastAsia" w:ascii="宋体" w:hAnsi="宋体" w:eastAsia="宋体" w:cs="Times New Roman"/>
          <w:b/>
        </w:rPr>
        <w:t>课程的性质与任务</w:t>
      </w:r>
      <w:r>
        <w:rPr>
          <w:rFonts w:hint="eastAsia" w:ascii="宋体" w:hAnsi="宋体" w:eastAsia="宋体" w:cs="Times New Roman"/>
        </w:rPr>
        <w:t>：《教师职业道德》是小学教育专业必修课程。通过本课程的学习，旨在使师范生系统了解教师职业道德的内涵、理论、基本内容与规范，正确认识和理解教育工作、教师职业劳动与社会、国家、集体、他人的关系，全面了解并积极践行教师职业道德规范，掌握教师职业道德修养的途径与方法，自觉提高自身素质，以便在未来更好地教书育人、做好教育教学工作，为建设新时代特色社会主义强国尽职尽责。</w:t>
      </w:r>
    </w:p>
    <w:p w14:paraId="412C14BE">
      <w:pPr>
        <w:spacing w:line="276" w:lineRule="auto"/>
        <w:rPr>
          <w:rFonts w:ascii="宋体" w:hAnsi="宋体" w:eastAsia="宋体" w:cs="Times New Roman"/>
          <w:b/>
          <w:sz w:val="28"/>
        </w:rPr>
      </w:pPr>
      <w:r>
        <w:rPr>
          <w:rFonts w:hint="eastAsia" w:ascii="宋体" w:hAnsi="宋体" w:eastAsia="宋体" w:cs="Times New Roman"/>
          <w:b/>
          <w:sz w:val="28"/>
        </w:rPr>
        <w:t>二、课程目标</w:t>
      </w:r>
    </w:p>
    <w:p w14:paraId="79E1CD03">
      <w:pPr>
        <w:adjustRightInd w:val="0"/>
        <w:snapToGrid w:val="0"/>
        <w:spacing w:line="360" w:lineRule="auto"/>
        <w:ind w:firstLine="316" w:firstLineChars="150"/>
        <w:rPr>
          <w:rFonts w:ascii="宋体" w:hAnsi="宋体" w:eastAsia="宋体" w:cs="Times New Roman"/>
          <w:b/>
        </w:rPr>
      </w:pPr>
      <w:r>
        <w:rPr>
          <w:rFonts w:hint="eastAsia" w:ascii="宋体" w:hAnsi="宋体" w:eastAsia="宋体" w:cs="Times New Roman"/>
          <w:b/>
        </w:rPr>
        <w:t>（一）课程具体目标</w:t>
      </w:r>
    </w:p>
    <w:p w14:paraId="5AF3923B">
      <w:pPr>
        <w:adjustRightInd w:val="0"/>
        <w:snapToGrid w:val="0"/>
        <w:spacing w:line="360" w:lineRule="auto"/>
        <w:ind w:firstLine="420" w:firstLineChars="200"/>
        <w:rPr>
          <w:rFonts w:ascii="宋体" w:hAnsi="宋体" w:eastAsia="宋体" w:cs="Times New Roman"/>
        </w:rPr>
      </w:pPr>
      <w:r>
        <w:rPr>
          <w:rFonts w:hint="eastAsia" w:ascii="宋体" w:hAnsi="宋体" w:eastAsia="宋体" w:cs="Times New Roman"/>
        </w:rPr>
        <w:t>目标1.了解教师职业道德的基本概念、基本理论、基本规范，理解教师职业道德在提高教师自身素质和教书育人方面的价值与意义。</w:t>
      </w:r>
    </w:p>
    <w:p w14:paraId="3865CB89">
      <w:pPr>
        <w:adjustRightInd w:val="0"/>
        <w:snapToGrid w:val="0"/>
        <w:spacing w:line="360" w:lineRule="auto"/>
        <w:ind w:firstLine="420" w:firstLineChars="200"/>
        <w:rPr>
          <w:rFonts w:ascii="宋体" w:hAnsi="宋体" w:eastAsia="宋体" w:cs="Times New Roman"/>
        </w:rPr>
      </w:pPr>
      <w:r>
        <w:rPr>
          <w:rFonts w:hint="eastAsia" w:ascii="宋体" w:hAnsi="宋体" w:eastAsia="宋体" w:cs="Times New Roman"/>
        </w:rPr>
        <w:t>目标2</w:t>
      </w:r>
      <w:r>
        <w:rPr>
          <w:rFonts w:ascii="宋体" w:hAnsi="宋体" w:eastAsia="宋体" w:cs="Times New Roman"/>
        </w:rPr>
        <w:t>.</w:t>
      </w:r>
      <w:r>
        <w:rPr>
          <w:rFonts w:hint="eastAsia" w:ascii="宋体" w:hAnsi="宋体" w:eastAsia="宋体" w:cs="Times New Roman"/>
        </w:rPr>
        <w:t>掌握教师职业道德评价的方法、原则、理念等，会运用教师职业道德规范评判教师日常行为。</w:t>
      </w:r>
    </w:p>
    <w:p w14:paraId="4BC910C5">
      <w:pPr>
        <w:adjustRightInd w:val="0"/>
        <w:snapToGrid w:val="0"/>
        <w:spacing w:line="360" w:lineRule="auto"/>
        <w:ind w:firstLine="420" w:firstLineChars="200"/>
        <w:rPr>
          <w:rFonts w:ascii="宋体" w:hAnsi="宋体" w:eastAsia="宋体" w:cs="Times New Roman"/>
        </w:rPr>
      </w:pPr>
      <w:r>
        <w:rPr>
          <w:rFonts w:hint="eastAsia" w:ascii="宋体" w:hAnsi="宋体" w:eastAsia="宋体" w:cs="Times New Roman"/>
        </w:rPr>
        <w:t>目标3.正确认识教师与学生、与学生家长、与其他教师之间的关系，掌握调适相互关系的原则与办法。</w:t>
      </w:r>
    </w:p>
    <w:p w14:paraId="13290436">
      <w:pPr>
        <w:adjustRightInd w:val="0"/>
        <w:snapToGrid w:val="0"/>
        <w:spacing w:line="360" w:lineRule="auto"/>
        <w:ind w:firstLine="420" w:firstLineChars="200"/>
        <w:rPr>
          <w:rFonts w:ascii="宋体" w:hAnsi="宋体" w:eastAsia="宋体" w:cs="Times New Roman"/>
        </w:rPr>
      </w:pPr>
      <w:r>
        <w:rPr>
          <w:rFonts w:hint="eastAsia" w:ascii="宋体" w:hAnsi="宋体" w:eastAsia="宋体" w:cs="Times New Roman"/>
        </w:rPr>
        <w:t>目标</w:t>
      </w:r>
      <w:r>
        <w:rPr>
          <w:rFonts w:ascii="宋体" w:hAnsi="宋体" w:eastAsia="宋体" w:cs="Times New Roman"/>
        </w:rPr>
        <w:t>4</w:t>
      </w:r>
      <w:r>
        <w:rPr>
          <w:rFonts w:hint="eastAsia" w:ascii="宋体" w:hAnsi="宋体" w:eastAsia="宋体" w:cs="Times New Roman"/>
        </w:rPr>
        <w:t>.理解教师职业道德修养的途径与方法，自觉提高自身素养，促进自身师德发展。</w:t>
      </w:r>
    </w:p>
    <w:p w14:paraId="397B0D1B">
      <w:pPr>
        <w:adjustRightInd w:val="0"/>
        <w:snapToGrid w:val="0"/>
        <w:spacing w:line="360" w:lineRule="auto"/>
        <w:ind w:firstLine="211" w:firstLineChars="100"/>
        <w:rPr>
          <w:rFonts w:ascii="宋体" w:hAnsi="宋体" w:eastAsia="宋体" w:cs="Times New Roman"/>
          <w:b/>
        </w:rPr>
      </w:pPr>
      <w:r>
        <w:rPr>
          <w:rFonts w:hint="eastAsia" w:ascii="宋体" w:hAnsi="宋体" w:eastAsia="宋体" w:cs="Times New Roman"/>
          <w:b/>
        </w:rPr>
        <w:t>（二）课程目标与专业毕业要求的关系</w:t>
      </w:r>
    </w:p>
    <w:p w14:paraId="3DD0AFFF">
      <w:pPr>
        <w:adjustRightInd w:val="0"/>
        <w:snapToGrid w:val="0"/>
        <w:spacing w:line="360" w:lineRule="auto"/>
        <w:ind w:firstLine="211" w:firstLineChars="100"/>
        <w:rPr>
          <w:rFonts w:ascii="宋体" w:hAnsi="宋体" w:eastAsia="宋体" w:cs="Times New Roman"/>
          <w:b/>
        </w:rPr>
      </w:pPr>
    </w:p>
    <w:tbl>
      <w:tblPr>
        <w:tblStyle w:val="30"/>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293"/>
        <w:gridCol w:w="5325"/>
      </w:tblGrid>
      <w:tr w14:paraId="576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28" w:type="dxa"/>
            <w:vAlign w:val="center"/>
          </w:tcPr>
          <w:p w14:paraId="78359B65">
            <w:pPr>
              <w:pStyle w:val="58"/>
              <w:adjustRightInd w:val="0"/>
              <w:snapToGrid w:val="0"/>
              <w:spacing w:line="276" w:lineRule="auto"/>
              <w:ind w:firstLine="0" w:firstLineChars="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课程目标</w:t>
            </w:r>
          </w:p>
        </w:tc>
        <w:tc>
          <w:tcPr>
            <w:tcW w:w="2293" w:type="dxa"/>
            <w:vAlign w:val="center"/>
          </w:tcPr>
          <w:p w14:paraId="33D3F4F2">
            <w:pPr>
              <w:pStyle w:val="58"/>
              <w:adjustRightInd w:val="0"/>
              <w:snapToGrid w:val="0"/>
              <w:spacing w:line="276" w:lineRule="auto"/>
              <w:ind w:firstLine="0" w:firstLineChars="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支撑的毕业要求</w:t>
            </w:r>
          </w:p>
        </w:tc>
        <w:tc>
          <w:tcPr>
            <w:tcW w:w="5325" w:type="dxa"/>
            <w:vAlign w:val="center"/>
          </w:tcPr>
          <w:p w14:paraId="435435DB">
            <w:pPr>
              <w:pStyle w:val="58"/>
              <w:adjustRightInd w:val="0"/>
              <w:snapToGrid w:val="0"/>
              <w:spacing w:line="276" w:lineRule="auto"/>
              <w:ind w:firstLine="422"/>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支撑的毕业要求指标点</w:t>
            </w:r>
          </w:p>
        </w:tc>
      </w:tr>
      <w:tr w14:paraId="5058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28" w:type="dxa"/>
            <w:vAlign w:val="center"/>
          </w:tcPr>
          <w:p w14:paraId="2EC0B85E">
            <w:pPr>
              <w:pStyle w:val="58"/>
              <w:adjustRightInd w:val="0"/>
              <w:snapToGrid w:val="0"/>
              <w:spacing w:line="276" w:lineRule="auto"/>
              <w:ind w:firstLine="0" w:firstLineChars="0"/>
              <w:jc w:val="center"/>
              <w:rPr>
                <w:rFonts w:ascii="宋体" w:hAnsi="宋体" w:cs="宋体"/>
                <w:bCs/>
                <w:color w:val="000000"/>
                <w:szCs w:val="21"/>
              </w:rPr>
            </w:pPr>
            <w:r>
              <w:rPr>
                <w:rFonts w:hint="eastAsia" w:ascii="宋体" w:hAnsi="宋体" w:cs="宋体"/>
                <w:bCs/>
                <w:color w:val="000000"/>
                <w:szCs w:val="21"/>
              </w:rPr>
              <w:t>课程目标1</w:t>
            </w:r>
          </w:p>
        </w:tc>
        <w:tc>
          <w:tcPr>
            <w:tcW w:w="2293" w:type="dxa"/>
            <w:vAlign w:val="center"/>
          </w:tcPr>
          <w:p w14:paraId="296D7CB2">
            <w:pPr>
              <w:pStyle w:val="58"/>
              <w:adjustRightInd w:val="0"/>
              <w:snapToGrid w:val="0"/>
              <w:spacing w:line="276" w:lineRule="auto"/>
              <w:ind w:firstLine="0" w:firstLineChars="0"/>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1.</w:t>
            </w:r>
            <w:r>
              <w:rPr>
                <w:rFonts w:hint="eastAsia" w:ascii="宋体" w:hAnsi="宋体"/>
                <w:color w:val="000000"/>
                <w:kern w:val="0"/>
                <w:szCs w:val="21"/>
              </w:rPr>
              <w:t>师德规范</w:t>
            </w:r>
          </w:p>
          <w:p w14:paraId="01A5E01B">
            <w:pPr>
              <w:pStyle w:val="58"/>
              <w:adjustRightInd w:val="0"/>
              <w:snapToGrid w:val="0"/>
              <w:spacing w:line="276" w:lineRule="auto"/>
              <w:ind w:firstLine="0" w:firstLineChars="0"/>
              <w:rPr>
                <w:rFonts w:ascii="宋体" w:hAnsi="宋体"/>
                <w:color w:val="000000"/>
                <w:kern w:val="0"/>
                <w:szCs w:val="21"/>
              </w:rPr>
            </w:pPr>
            <w:r>
              <w:rPr>
                <w:rFonts w:hint="eastAsia" w:ascii="宋体" w:hAnsi="宋体"/>
                <w:color w:val="000000"/>
                <w:kern w:val="0"/>
                <w:szCs w:val="21"/>
              </w:rPr>
              <w:t>毕业要求2</w:t>
            </w:r>
            <w:r>
              <w:rPr>
                <w:rFonts w:ascii="宋体" w:hAnsi="宋体"/>
                <w:color w:val="000000"/>
                <w:kern w:val="0"/>
                <w:szCs w:val="21"/>
              </w:rPr>
              <w:t>.</w:t>
            </w:r>
            <w:r>
              <w:rPr>
                <w:rFonts w:hint="eastAsia" w:ascii="宋体" w:hAnsi="宋体"/>
                <w:color w:val="000000"/>
                <w:kern w:val="0"/>
                <w:szCs w:val="21"/>
              </w:rPr>
              <w:t>教育情怀</w:t>
            </w:r>
          </w:p>
        </w:tc>
        <w:tc>
          <w:tcPr>
            <w:tcW w:w="5325" w:type="dxa"/>
            <w:vAlign w:val="center"/>
          </w:tcPr>
          <w:p w14:paraId="751B83CB">
            <w:pPr>
              <w:pStyle w:val="58"/>
              <w:adjustRightInd w:val="0"/>
              <w:snapToGrid w:val="0"/>
              <w:spacing w:line="276" w:lineRule="auto"/>
              <w:ind w:firstLine="0" w:firstLineChars="0"/>
              <w:jc w:val="left"/>
              <w:rPr>
                <w:color w:val="000000"/>
                <w:szCs w:val="23"/>
              </w:rPr>
            </w:pPr>
            <w:r>
              <w:rPr>
                <w:rFonts w:ascii="宋体" w:hAnsi="宋体"/>
                <w:color w:val="000000"/>
                <w:szCs w:val="21"/>
              </w:rPr>
              <w:t>1-1</w:t>
            </w:r>
            <w:r>
              <w:rPr>
                <w:rFonts w:hint="eastAsia" w:ascii="宋体" w:hAnsi="宋体"/>
                <w:color w:val="000000"/>
                <w:szCs w:val="21"/>
              </w:rPr>
              <w:t>：</w:t>
            </w:r>
            <w:r>
              <w:rPr>
                <w:rFonts w:hint="eastAsia"/>
                <w:szCs w:val="21"/>
              </w:rPr>
              <w:t>【理想信念坚定】</w:t>
            </w:r>
            <w:r>
              <w:rPr>
                <w:rFonts w:hint="eastAsia"/>
                <w:szCs w:val="23"/>
              </w:rPr>
              <w:t>认同中国特色社会主义，贯彻党的教育方针，自觉践行社会主义核心价值观，树立职业理想，立志成为有理想信念、有道德情操、有扎实学识、有仁爱之心的好教师。</w:t>
            </w:r>
          </w:p>
          <w:p w14:paraId="2772D371">
            <w:pPr>
              <w:pStyle w:val="58"/>
              <w:adjustRightInd w:val="0"/>
              <w:snapToGrid w:val="0"/>
              <w:spacing w:line="276" w:lineRule="auto"/>
              <w:ind w:firstLine="0" w:firstLineChars="0"/>
              <w:jc w:val="left"/>
              <w:rPr>
                <w:rFonts w:ascii="宋体" w:hAnsi="宋体"/>
                <w:color w:val="000000"/>
                <w:szCs w:val="21"/>
              </w:rPr>
            </w:pPr>
            <w:r>
              <w:rPr>
                <w:rFonts w:ascii="宋体" w:hAnsi="宋体"/>
                <w:color w:val="000000"/>
                <w:szCs w:val="21"/>
              </w:rPr>
              <w:t>1-2</w:t>
            </w:r>
            <w:r>
              <w:rPr>
                <w:rFonts w:hint="eastAsia" w:ascii="宋体" w:hAnsi="宋体"/>
                <w:color w:val="000000"/>
                <w:szCs w:val="21"/>
              </w:rPr>
              <w:t>：</w:t>
            </w:r>
            <w:r>
              <w:rPr>
                <w:rFonts w:hint="eastAsia"/>
                <w:szCs w:val="21"/>
              </w:rPr>
              <w:t>【职业修养良好】</w:t>
            </w:r>
            <w:r>
              <w:rPr>
                <w:rFonts w:hint="eastAsia"/>
                <w:szCs w:val="23"/>
              </w:rPr>
              <w:t>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71899295">
            <w:pPr>
              <w:pStyle w:val="58"/>
              <w:adjustRightInd w:val="0"/>
              <w:snapToGrid w:val="0"/>
              <w:spacing w:line="276" w:lineRule="auto"/>
              <w:ind w:firstLine="0" w:firstLineChars="0"/>
              <w:jc w:val="left"/>
              <w:rPr>
                <w:rFonts w:ascii="宋体" w:hAnsi="宋体"/>
                <w:color w:val="000000"/>
                <w:szCs w:val="21"/>
              </w:rPr>
            </w:pPr>
            <w:r>
              <w:rPr>
                <w:rFonts w:ascii="宋体" w:hAnsi="宋体"/>
                <w:color w:val="000000"/>
                <w:szCs w:val="21"/>
              </w:rPr>
              <w:t>2-1</w:t>
            </w:r>
            <w:r>
              <w:rPr>
                <w:rFonts w:hint="eastAsia" w:ascii="宋体" w:hAnsi="宋体"/>
                <w:color w:val="000000"/>
                <w:szCs w:val="21"/>
              </w:rPr>
              <w:t>：</w:t>
            </w:r>
            <w:r>
              <w:rPr>
                <w:rFonts w:hint="eastAsia"/>
                <w:szCs w:val="21"/>
              </w:rPr>
              <w:t>【职业认同感强】</w:t>
            </w:r>
            <w:r>
              <w:rPr>
                <w:rFonts w:hint="eastAsia"/>
                <w:szCs w:val="23"/>
              </w:rPr>
              <w:t>具有家国情怀，乐于从教，热爱教育事业，</w:t>
            </w:r>
            <w:r>
              <w:rPr>
                <w:szCs w:val="23"/>
              </w:rPr>
              <w:t>具有较高的教师职业认同感，认同教师职业的专业性与意义性</w:t>
            </w:r>
            <w:r>
              <w:rPr>
                <w:rFonts w:hint="eastAsia"/>
                <w:szCs w:val="23"/>
              </w:rPr>
              <w:t>。</w:t>
            </w:r>
          </w:p>
        </w:tc>
      </w:tr>
      <w:tr w14:paraId="647F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28" w:type="dxa"/>
            <w:vAlign w:val="center"/>
          </w:tcPr>
          <w:p w14:paraId="58CD5225">
            <w:pPr>
              <w:pStyle w:val="58"/>
              <w:adjustRightInd w:val="0"/>
              <w:snapToGrid w:val="0"/>
              <w:spacing w:line="276" w:lineRule="auto"/>
              <w:ind w:firstLine="0" w:firstLineChars="0"/>
              <w:jc w:val="center"/>
              <w:rPr>
                <w:rFonts w:ascii="宋体" w:hAnsi="宋体" w:cs="宋体"/>
                <w:color w:val="000000"/>
                <w:szCs w:val="21"/>
              </w:rPr>
            </w:pPr>
            <w:r>
              <w:rPr>
                <w:rFonts w:hint="eastAsia" w:ascii="宋体" w:hAnsi="宋体" w:cs="宋体"/>
                <w:color w:val="000000"/>
                <w:szCs w:val="21"/>
              </w:rPr>
              <w:t>课程目标2</w:t>
            </w:r>
          </w:p>
        </w:tc>
        <w:tc>
          <w:tcPr>
            <w:tcW w:w="2293" w:type="dxa"/>
            <w:vAlign w:val="center"/>
          </w:tcPr>
          <w:p w14:paraId="422663C2">
            <w:pPr>
              <w:pStyle w:val="58"/>
              <w:adjustRightInd w:val="0"/>
              <w:snapToGrid w:val="0"/>
              <w:spacing w:line="276" w:lineRule="auto"/>
              <w:ind w:firstLine="0" w:firstLineChars="0"/>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2.</w:t>
            </w:r>
            <w:r>
              <w:rPr>
                <w:rFonts w:hint="eastAsia" w:ascii="宋体" w:hAnsi="宋体"/>
                <w:color w:val="000000"/>
                <w:kern w:val="0"/>
                <w:szCs w:val="21"/>
              </w:rPr>
              <w:t>教育情怀</w:t>
            </w:r>
          </w:p>
          <w:p w14:paraId="6F80A16A">
            <w:pPr>
              <w:pStyle w:val="58"/>
              <w:adjustRightInd w:val="0"/>
              <w:snapToGrid w:val="0"/>
              <w:spacing w:line="276" w:lineRule="auto"/>
              <w:ind w:firstLine="0" w:firstLineChars="0"/>
              <w:rPr>
                <w:rFonts w:ascii="宋体" w:hAnsi="宋体"/>
                <w:color w:val="000000"/>
                <w:kern w:val="0"/>
                <w:sz w:val="18"/>
                <w:szCs w:val="18"/>
              </w:rPr>
            </w:pPr>
            <w:r>
              <w:rPr>
                <w:rFonts w:hint="eastAsia" w:ascii="宋体" w:hAnsi="宋体"/>
                <w:color w:val="000000"/>
                <w:kern w:val="0"/>
                <w:szCs w:val="21"/>
              </w:rPr>
              <w:t>毕业要求5</w:t>
            </w:r>
            <w:r>
              <w:rPr>
                <w:rFonts w:ascii="宋体" w:hAnsi="宋体"/>
                <w:color w:val="000000"/>
                <w:kern w:val="0"/>
                <w:szCs w:val="21"/>
              </w:rPr>
              <w:t>.</w:t>
            </w:r>
            <w:r>
              <w:rPr>
                <w:rFonts w:hint="eastAsia" w:ascii="宋体" w:hAnsi="宋体"/>
                <w:color w:val="000000"/>
                <w:kern w:val="0"/>
                <w:szCs w:val="21"/>
              </w:rPr>
              <w:t>班级管理</w:t>
            </w:r>
          </w:p>
        </w:tc>
        <w:tc>
          <w:tcPr>
            <w:tcW w:w="5325" w:type="dxa"/>
            <w:vAlign w:val="center"/>
          </w:tcPr>
          <w:p w14:paraId="0A9A21A0">
            <w:pPr>
              <w:pStyle w:val="58"/>
              <w:adjustRightInd w:val="0"/>
              <w:snapToGrid w:val="0"/>
              <w:spacing w:line="276" w:lineRule="auto"/>
              <w:ind w:firstLine="0" w:firstLineChars="0"/>
              <w:jc w:val="left"/>
              <w:rPr>
                <w:color w:val="000000"/>
                <w:szCs w:val="23"/>
              </w:rPr>
            </w:pPr>
            <w:r>
              <w:rPr>
                <w:rFonts w:ascii="宋体" w:hAnsi="宋体"/>
                <w:color w:val="000000"/>
                <w:szCs w:val="21"/>
              </w:rPr>
              <w:t>2-</w:t>
            </w:r>
            <w:r>
              <w:rPr>
                <w:rFonts w:hint="eastAsia" w:ascii="宋体" w:hAnsi="宋体"/>
                <w:color w:val="000000"/>
                <w:szCs w:val="21"/>
              </w:rPr>
              <w:t>3：</w:t>
            </w:r>
            <w:r>
              <w:rPr>
                <w:rFonts w:hint="eastAsia"/>
                <w:szCs w:val="21"/>
              </w:rPr>
              <w:t>【自身修养良好】具有较好的人文底蕴与科学精神，人格健全，心理健康，情感丰富，为人师表。</w:t>
            </w:r>
          </w:p>
          <w:p w14:paraId="246C771C">
            <w:pPr>
              <w:pStyle w:val="58"/>
              <w:adjustRightInd w:val="0"/>
              <w:snapToGrid w:val="0"/>
              <w:spacing w:line="276" w:lineRule="auto"/>
              <w:ind w:firstLine="0" w:firstLineChars="0"/>
              <w:jc w:val="left"/>
              <w:rPr>
                <w:rFonts w:ascii="宋体" w:hAnsi="宋体"/>
                <w:color w:val="000000"/>
                <w:kern w:val="0"/>
                <w:sz w:val="18"/>
                <w:szCs w:val="18"/>
              </w:rPr>
            </w:pPr>
            <w:r>
              <w:rPr>
                <w:rFonts w:hint="eastAsia" w:ascii="宋体" w:hAnsi="宋体"/>
                <w:szCs w:val="21"/>
              </w:rPr>
              <w:t>5</w:t>
            </w:r>
            <w:r>
              <w:rPr>
                <w:rFonts w:ascii="宋体" w:hAnsi="宋体"/>
                <w:szCs w:val="21"/>
              </w:rPr>
              <w:t>-</w:t>
            </w:r>
            <w:r>
              <w:rPr>
                <w:rFonts w:hint="eastAsia" w:ascii="宋体" w:hAnsi="宋体"/>
                <w:szCs w:val="21"/>
              </w:rPr>
              <w:t>2：</w:t>
            </w:r>
            <w:r>
              <w:rPr>
                <w:rFonts w:hint="eastAsia"/>
                <w:szCs w:val="21"/>
              </w:rPr>
              <w:t>【强化德育地位】获得小学德育工作体验，树立德育为先的理念，熟悉小学德育的基本原理与方法。</w:t>
            </w:r>
          </w:p>
        </w:tc>
      </w:tr>
      <w:tr w14:paraId="76B0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428" w:type="dxa"/>
            <w:vAlign w:val="center"/>
          </w:tcPr>
          <w:p w14:paraId="2D5C63DE">
            <w:pPr>
              <w:pStyle w:val="58"/>
              <w:adjustRightInd w:val="0"/>
              <w:snapToGrid w:val="0"/>
              <w:spacing w:line="276" w:lineRule="auto"/>
              <w:ind w:firstLine="0" w:firstLineChars="0"/>
              <w:jc w:val="center"/>
              <w:rPr>
                <w:rFonts w:ascii="宋体" w:hAnsi="宋体" w:cs="宋体"/>
                <w:color w:val="000000"/>
                <w:szCs w:val="21"/>
              </w:rPr>
            </w:pPr>
            <w:r>
              <w:rPr>
                <w:rFonts w:hint="eastAsia" w:ascii="宋体" w:hAnsi="宋体" w:cs="宋体"/>
                <w:color w:val="000000"/>
                <w:szCs w:val="21"/>
              </w:rPr>
              <w:t>课程目标3</w:t>
            </w:r>
          </w:p>
        </w:tc>
        <w:tc>
          <w:tcPr>
            <w:tcW w:w="2293" w:type="dxa"/>
            <w:vAlign w:val="center"/>
          </w:tcPr>
          <w:p w14:paraId="73C23A27">
            <w:pPr>
              <w:pStyle w:val="58"/>
              <w:adjustRightInd w:val="0"/>
              <w:snapToGrid w:val="0"/>
              <w:spacing w:line="276" w:lineRule="auto"/>
              <w:ind w:firstLine="0" w:firstLineChars="0"/>
              <w:rPr>
                <w:rFonts w:ascii="宋体" w:hAnsi="宋体"/>
                <w:color w:val="000000"/>
                <w:spacing w:val="2"/>
                <w:kern w:val="0"/>
                <w:szCs w:val="21"/>
              </w:rPr>
            </w:pPr>
            <w:r>
              <w:rPr>
                <w:rFonts w:hint="eastAsia" w:ascii="宋体" w:hAnsi="宋体"/>
                <w:color w:val="000000"/>
                <w:spacing w:val="2"/>
                <w:kern w:val="0"/>
                <w:szCs w:val="21"/>
              </w:rPr>
              <w:t>毕业要求</w:t>
            </w:r>
            <w:r>
              <w:rPr>
                <w:rFonts w:ascii="宋体" w:hAnsi="宋体"/>
                <w:color w:val="000000"/>
                <w:spacing w:val="2"/>
                <w:kern w:val="0"/>
                <w:szCs w:val="21"/>
              </w:rPr>
              <w:t>2</w:t>
            </w:r>
            <w:r>
              <w:rPr>
                <w:rFonts w:hint="eastAsia" w:ascii="宋体" w:hAnsi="宋体"/>
                <w:color w:val="000000"/>
                <w:spacing w:val="2"/>
                <w:kern w:val="0"/>
                <w:szCs w:val="21"/>
              </w:rPr>
              <w:t>.教育情怀</w:t>
            </w:r>
          </w:p>
          <w:p w14:paraId="68024849">
            <w:pPr>
              <w:pStyle w:val="58"/>
              <w:adjustRightInd w:val="0"/>
              <w:snapToGrid w:val="0"/>
              <w:spacing w:line="276" w:lineRule="auto"/>
              <w:ind w:firstLine="0" w:firstLineChars="0"/>
              <w:rPr>
                <w:rFonts w:ascii="宋体" w:hAnsi="宋体"/>
                <w:color w:val="000000"/>
                <w:spacing w:val="2"/>
                <w:kern w:val="0"/>
                <w:szCs w:val="21"/>
              </w:rPr>
            </w:pPr>
            <w:r>
              <w:rPr>
                <w:rFonts w:hint="eastAsia" w:ascii="宋体" w:hAnsi="宋体"/>
                <w:color w:val="000000"/>
                <w:spacing w:val="2"/>
                <w:kern w:val="0"/>
                <w:szCs w:val="21"/>
              </w:rPr>
              <w:t>毕业要求7</w:t>
            </w:r>
            <w:r>
              <w:rPr>
                <w:rFonts w:ascii="宋体" w:hAnsi="宋体"/>
                <w:color w:val="000000"/>
                <w:spacing w:val="2"/>
                <w:kern w:val="0"/>
                <w:szCs w:val="21"/>
              </w:rPr>
              <w:t>.</w:t>
            </w:r>
            <w:r>
              <w:rPr>
                <w:rFonts w:hint="eastAsia" w:ascii="宋体" w:hAnsi="宋体"/>
                <w:color w:val="000000"/>
                <w:spacing w:val="2"/>
                <w:kern w:val="0"/>
                <w:szCs w:val="21"/>
              </w:rPr>
              <w:t>学会反思</w:t>
            </w:r>
          </w:p>
        </w:tc>
        <w:tc>
          <w:tcPr>
            <w:tcW w:w="5325" w:type="dxa"/>
            <w:vAlign w:val="center"/>
          </w:tcPr>
          <w:p w14:paraId="7FA7B5E6">
            <w:pPr>
              <w:pStyle w:val="58"/>
              <w:adjustRightInd w:val="0"/>
              <w:snapToGrid w:val="0"/>
              <w:spacing w:line="276" w:lineRule="auto"/>
              <w:ind w:firstLine="0" w:firstLineChars="0"/>
              <w:jc w:val="left"/>
              <w:rPr>
                <w:szCs w:val="23"/>
              </w:rPr>
            </w:pPr>
            <w:r>
              <w:rPr>
                <w:rFonts w:ascii="宋体" w:hAnsi="宋体"/>
                <w:color w:val="000000"/>
                <w:szCs w:val="21"/>
              </w:rPr>
              <w:t>2-2</w:t>
            </w:r>
            <w:r>
              <w:rPr>
                <w:rFonts w:hint="eastAsia" w:ascii="宋体" w:hAnsi="宋体"/>
                <w:color w:val="000000"/>
                <w:szCs w:val="21"/>
              </w:rPr>
              <w:t>：</w:t>
            </w:r>
            <w:r>
              <w:rPr>
                <w:rFonts w:hint="eastAsia"/>
                <w:szCs w:val="21"/>
              </w:rPr>
              <w:t>【教育情意深厚】</w:t>
            </w:r>
            <w:r>
              <w:rPr>
                <w:rFonts w:hint="eastAsia"/>
                <w:szCs w:val="23"/>
              </w:rPr>
              <w:t>关爱学生，用心从教。</w:t>
            </w:r>
            <w:r>
              <w:rPr>
                <w:szCs w:val="23"/>
              </w:rPr>
              <w:t>具有正确的儿童观，理解、尊重、关爱、保护学生，以儿童发展为教育的中心。</w:t>
            </w:r>
            <w:r>
              <w:rPr>
                <w:rFonts w:hint="eastAsia"/>
                <w:szCs w:val="23"/>
              </w:rPr>
              <w:t>爱岗敬业，在教育实践中能认真履行教育教学职责与班主任工作职责，富有爱心、责任心、工作细心、耐心。</w:t>
            </w:r>
          </w:p>
          <w:p w14:paraId="1AA5A47D">
            <w:pPr>
              <w:pStyle w:val="58"/>
              <w:adjustRightInd w:val="0"/>
              <w:snapToGrid w:val="0"/>
              <w:spacing w:line="276" w:lineRule="auto"/>
              <w:ind w:firstLine="0" w:firstLineChars="0"/>
              <w:jc w:val="left"/>
              <w:rPr>
                <w:szCs w:val="21"/>
              </w:rPr>
            </w:pPr>
            <w:r>
              <w:rPr>
                <w:rFonts w:ascii="宋体" w:hAnsi="宋体"/>
                <w:color w:val="000000"/>
                <w:szCs w:val="21"/>
              </w:rPr>
              <w:t>2-</w:t>
            </w:r>
            <w:r>
              <w:rPr>
                <w:rFonts w:hint="eastAsia" w:ascii="宋体" w:hAnsi="宋体"/>
                <w:color w:val="000000"/>
                <w:szCs w:val="21"/>
              </w:rPr>
              <w:t>3：</w:t>
            </w:r>
            <w:r>
              <w:rPr>
                <w:rFonts w:hint="eastAsia"/>
                <w:szCs w:val="21"/>
              </w:rPr>
              <w:t>【自身修养良好】具有较好的人文底蕴与科学精神，人格健全，心理健康，情感丰富，为人师表。</w:t>
            </w:r>
          </w:p>
          <w:p w14:paraId="764D06E6">
            <w:pPr>
              <w:pStyle w:val="58"/>
              <w:adjustRightInd w:val="0"/>
              <w:snapToGrid w:val="0"/>
              <w:spacing w:line="276" w:lineRule="auto"/>
              <w:ind w:firstLine="0" w:firstLineChars="0"/>
              <w:jc w:val="left"/>
              <w:rPr>
                <w:rFonts w:ascii="宋体" w:hAnsi="宋体" w:cs="宋体"/>
                <w:color w:val="000000"/>
                <w:szCs w:val="21"/>
              </w:rPr>
            </w:pP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2：</w:t>
            </w:r>
            <w:r>
              <w:rPr>
                <w:rFonts w:hint="eastAsia"/>
                <w:szCs w:val="21"/>
              </w:rPr>
              <w:t>【职业规划清晰】了解教师专业发展的要求，形成终身学习的意识和习惯，注重自身的专业发展，根据基础教育课程改革的动态和发展情况，进行职业生涯规划和自主学习。</w:t>
            </w:r>
          </w:p>
        </w:tc>
      </w:tr>
      <w:tr w14:paraId="3A33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28" w:type="dxa"/>
            <w:vAlign w:val="center"/>
          </w:tcPr>
          <w:p w14:paraId="3661B22D">
            <w:pPr>
              <w:pStyle w:val="58"/>
              <w:adjustRightInd w:val="0"/>
              <w:snapToGrid w:val="0"/>
              <w:spacing w:line="276" w:lineRule="auto"/>
              <w:ind w:firstLine="0" w:firstLineChars="0"/>
              <w:jc w:val="center"/>
              <w:rPr>
                <w:rFonts w:ascii="宋体" w:hAnsi="宋体" w:cs="宋体"/>
                <w:color w:val="000000"/>
                <w:szCs w:val="21"/>
              </w:rPr>
            </w:pPr>
            <w:r>
              <w:rPr>
                <w:rFonts w:hint="eastAsia" w:ascii="宋体" w:hAnsi="宋体" w:cs="宋体"/>
                <w:color w:val="000000"/>
                <w:szCs w:val="21"/>
              </w:rPr>
              <w:t>课程目标 4</w:t>
            </w:r>
          </w:p>
        </w:tc>
        <w:tc>
          <w:tcPr>
            <w:tcW w:w="2293" w:type="dxa"/>
            <w:vAlign w:val="center"/>
          </w:tcPr>
          <w:p w14:paraId="4510A938">
            <w:pPr>
              <w:pStyle w:val="58"/>
              <w:adjustRightInd w:val="0"/>
              <w:snapToGrid w:val="0"/>
              <w:spacing w:line="276" w:lineRule="auto"/>
              <w:ind w:firstLine="0" w:firstLineChars="0"/>
              <w:rPr>
                <w:rFonts w:ascii="宋体" w:hAnsi="宋体"/>
                <w:color w:val="000000"/>
                <w:spacing w:val="2"/>
                <w:kern w:val="0"/>
                <w:szCs w:val="21"/>
              </w:rPr>
            </w:pPr>
            <w:r>
              <w:rPr>
                <w:rFonts w:ascii="宋体" w:hAnsi="宋体"/>
                <w:color w:val="000000"/>
                <w:kern w:val="0"/>
                <w:szCs w:val="21"/>
              </w:rPr>
              <w:t>毕业要求</w:t>
            </w:r>
            <w:r>
              <w:rPr>
                <w:rFonts w:ascii="宋体" w:hAnsi="宋体"/>
                <w:color w:val="000000"/>
                <w:spacing w:val="2"/>
                <w:kern w:val="0"/>
                <w:szCs w:val="21"/>
              </w:rPr>
              <w:t>7.</w:t>
            </w:r>
            <w:r>
              <w:rPr>
                <w:rFonts w:hint="eastAsia" w:ascii="宋体" w:hAnsi="宋体"/>
                <w:color w:val="000000"/>
                <w:spacing w:val="2"/>
                <w:kern w:val="0"/>
                <w:szCs w:val="21"/>
              </w:rPr>
              <w:t>学会反思</w:t>
            </w:r>
          </w:p>
        </w:tc>
        <w:tc>
          <w:tcPr>
            <w:tcW w:w="5325" w:type="dxa"/>
            <w:vAlign w:val="center"/>
          </w:tcPr>
          <w:p w14:paraId="50FACA79">
            <w:pPr>
              <w:pStyle w:val="58"/>
              <w:shd w:val="clear" w:color="auto" w:fill="FFFFFF"/>
              <w:adjustRightInd w:val="0"/>
              <w:snapToGrid w:val="0"/>
              <w:spacing w:line="276" w:lineRule="auto"/>
              <w:ind w:firstLine="0" w:firstLineChars="0"/>
              <w:jc w:val="left"/>
              <w:rPr>
                <w:rFonts w:ascii="宋体" w:hAnsi="宋体"/>
                <w:color w:val="000000"/>
                <w:spacing w:val="2"/>
                <w:kern w:val="0"/>
                <w:szCs w:val="21"/>
              </w:rPr>
            </w:pP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2：</w:t>
            </w:r>
            <w:r>
              <w:rPr>
                <w:rFonts w:hint="eastAsia"/>
                <w:szCs w:val="21"/>
              </w:rPr>
              <w:t>【职业规划清晰】了解教师专业发展的要求，形成终身学习的意识和习惯，注重自身的专业发展，根据基础教育课程改革的动态和发展情况，进行职业生涯规划和自主学习。</w:t>
            </w:r>
          </w:p>
        </w:tc>
      </w:tr>
    </w:tbl>
    <w:p w14:paraId="37015909">
      <w:pPr>
        <w:spacing w:line="276" w:lineRule="auto"/>
        <w:rPr>
          <w:rFonts w:ascii="宋体" w:hAnsi="宋体" w:eastAsia="宋体"/>
        </w:rPr>
      </w:pPr>
    </w:p>
    <w:p w14:paraId="5D3D0BAC">
      <w:pPr>
        <w:spacing w:line="360" w:lineRule="auto"/>
        <w:rPr>
          <w:rFonts w:ascii="宋体" w:hAnsi="宋体" w:eastAsia="宋体"/>
          <w:b/>
          <w:sz w:val="28"/>
        </w:rPr>
      </w:pPr>
      <w:r>
        <w:rPr>
          <w:rFonts w:hint="eastAsia" w:ascii="宋体" w:hAnsi="宋体" w:eastAsia="宋体"/>
          <w:b/>
          <w:sz w:val="28"/>
        </w:rPr>
        <w:t>三、课程内容及要求</w:t>
      </w:r>
    </w:p>
    <w:p w14:paraId="3F278D30">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（一）教育劳动与教师职业道德</w:t>
      </w:r>
      <w:r>
        <w:rPr>
          <w:rFonts w:hint="eastAsia" w:ascii="宋体" w:hAnsi="宋体" w:eastAsia="宋体"/>
          <w:b/>
          <w:color w:val="000000" w:themeColor="text1"/>
          <w:szCs w:val="22"/>
          <w14:textFill>
            <w14:solidFill>
              <w14:schemeClr w14:val="tx1"/>
            </w14:solidFill>
          </w14:textFill>
        </w:rPr>
        <w:t>（本模块各知识点的讲授与学习，可以支撑课程目标1）</w:t>
      </w:r>
    </w:p>
    <w:p w14:paraId="567E721F">
      <w:pPr>
        <w:adjustRightInd w:val="0"/>
        <w:snapToGrid w:val="0"/>
        <w:spacing w:line="360" w:lineRule="auto"/>
        <w:ind w:firstLine="422" w:firstLineChars="200"/>
        <w:rPr>
          <w:rFonts w:ascii="宋体" w:hAnsi="宋体" w:eastAsia="宋体"/>
          <w:b/>
        </w:rPr>
      </w:pPr>
      <w:r>
        <w:rPr>
          <w:rFonts w:hint="eastAsia" w:ascii="宋体" w:hAnsi="宋体" w:eastAsia="宋体"/>
          <w:b/>
        </w:rPr>
        <w:t>1</w:t>
      </w:r>
      <w:r>
        <w:rPr>
          <w:rFonts w:ascii="宋体" w:hAnsi="宋体" w:eastAsia="宋体"/>
          <w:b/>
        </w:rPr>
        <w:t>.</w:t>
      </w:r>
      <w:r>
        <w:rPr>
          <w:rFonts w:hint="eastAsia" w:ascii="宋体" w:hAnsi="宋体" w:eastAsia="宋体"/>
          <w:b/>
        </w:rPr>
        <w:t>教学内容</w:t>
      </w:r>
    </w:p>
    <w:p w14:paraId="01744808">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学校教育的价值</w:t>
      </w:r>
    </w:p>
    <w:p w14:paraId="57B27F4B">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教育劳动的德性</w:t>
      </w:r>
    </w:p>
    <w:p w14:paraId="21B8DE2F">
      <w:pPr>
        <w:adjustRightInd w:val="0"/>
        <w:snapToGrid w:val="0"/>
        <w:spacing w:line="360" w:lineRule="auto"/>
        <w:ind w:firstLine="420" w:firstLineChars="200"/>
        <w:rPr>
          <w:rFonts w:ascii="宋体" w:hAnsi="宋体" w:eastAsia="宋体"/>
        </w:rPr>
      </w:pPr>
      <w:r>
        <w:rPr>
          <w:rFonts w:hint="eastAsia" w:ascii="宋体" w:hAnsi="宋体" w:eastAsia="宋体"/>
        </w:rPr>
        <w:t>（3）</w:t>
      </w:r>
      <w:r>
        <w:rPr>
          <w:rFonts w:ascii="宋体" w:hAnsi="宋体" w:eastAsia="宋体"/>
        </w:rPr>
        <w:t>教师职业道德的形成与特点</w:t>
      </w:r>
    </w:p>
    <w:p w14:paraId="5D534422">
      <w:pPr>
        <w:adjustRightInd w:val="0"/>
        <w:snapToGrid w:val="0"/>
        <w:spacing w:line="360" w:lineRule="auto"/>
        <w:ind w:firstLine="420" w:firstLineChars="200"/>
        <w:rPr>
          <w:rFonts w:ascii="宋体" w:hAnsi="宋体" w:eastAsia="宋体"/>
        </w:rPr>
      </w:pPr>
      <w:r>
        <w:rPr>
          <w:rFonts w:hint="eastAsia" w:ascii="宋体" w:hAnsi="宋体" w:eastAsia="宋体"/>
        </w:rPr>
        <w:t>（4）</w:t>
      </w:r>
      <w:r>
        <w:rPr>
          <w:rFonts w:ascii="宋体" w:hAnsi="宋体" w:eastAsia="宋体"/>
        </w:rPr>
        <w:t>学习和实践教师职业道德的意义</w:t>
      </w:r>
    </w:p>
    <w:p w14:paraId="6E4ACE89">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7999D307">
      <w:pPr>
        <w:adjustRightInd w:val="0"/>
        <w:snapToGrid w:val="0"/>
        <w:spacing w:line="360" w:lineRule="auto"/>
        <w:ind w:firstLine="420" w:firstLineChars="200"/>
        <w:rPr>
          <w:rFonts w:ascii="宋体" w:hAnsi="宋体" w:eastAsia="宋体"/>
        </w:rPr>
      </w:pPr>
      <w:r>
        <w:rPr>
          <w:rFonts w:hint="eastAsia" w:ascii="宋体" w:hAnsi="宋体" w:eastAsia="宋体"/>
        </w:rPr>
        <w:t>了解教师劳动的特点，</w:t>
      </w:r>
      <w:r>
        <w:rPr>
          <w:rFonts w:ascii="宋体" w:hAnsi="宋体" w:eastAsia="宋体"/>
        </w:rPr>
        <w:t>理解教师劳动的德性价值，认同践行教师职业道德的价值意义。</w:t>
      </w:r>
    </w:p>
    <w:p w14:paraId="51FE42C3">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：认识教师劳动的特点</w:t>
      </w:r>
    </w:p>
    <w:p w14:paraId="16B85A62">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：理解教师职业道德的价值意义</w:t>
      </w:r>
    </w:p>
    <w:p w14:paraId="6D4714FF">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40260B34">
      <w:pPr>
        <w:adjustRightInd w:val="0"/>
        <w:snapToGrid w:val="0"/>
        <w:spacing w:line="360" w:lineRule="auto"/>
        <w:ind w:firstLine="420" w:firstLineChars="200"/>
        <w:rPr>
          <w:rFonts w:ascii="宋体" w:hAnsi="宋体" w:eastAsia="宋体"/>
        </w:rPr>
      </w:pPr>
      <w:r>
        <w:rPr>
          <w:rFonts w:ascii="宋体" w:hAnsi="宋体" w:eastAsia="宋体"/>
        </w:rPr>
        <w:t>坚定政治方向，全面贯彻国家教育方针</w:t>
      </w:r>
      <w:r>
        <w:rPr>
          <w:rFonts w:hint="eastAsia" w:ascii="宋体" w:hAnsi="宋体" w:eastAsia="宋体"/>
        </w:rPr>
        <w:t>；</w:t>
      </w:r>
      <w:r>
        <w:rPr>
          <w:rFonts w:ascii="宋体" w:hAnsi="宋体" w:eastAsia="宋体"/>
        </w:rPr>
        <w:t>自觉爱国守法，依法履行教师职责权利。</w:t>
      </w:r>
    </w:p>
    <w:p w14:paraId="046DC621">
      <w:pPr>
        <w:adjustRightInd w:val="0"/>
        <w:snapToGrid w:val="0"/>
        <w:spacing w:line="360" w:lineRule="auto"/>
        <w:ind w:firstLine="422" w:firstLineChars="200"/>
        <w:rPr>
          <w:rFonts w:ascii="宋体" w:hAnsi="宋体" w:eastAsia="宋体"/>
        </w:rPr>
      </w:pPr>
      <w:r>
        <w:rPr>
          <w:rFonts w:hint="eastAsia" w:ascii="宋体" w:hAnsi="宋体" w:eastAsia="宋体"/>
          <w:b/>
        </w:rPr>
        <w:t>（二）教师职业道德范畴与基本原则</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w:t>
      </w:r>
      <w:r>
        <w:rPr>
          <w:rFonts w:ascii="宋体" w:hAnsi="宋体" w:eastAsia="宋体"/>
          <w:b/>
          <w:color w:val="000000" w:themeColor="text1"/>
          <w:szCs w:val="22"/>
          <w14:textFill>
            <w14:solidFill>
              <w14:schemeClr w14:val="tx1"/>
            </w14:solidFill>
          </w14:textFill>
        </w:rPr>
        <w:t>2</w:t>
      </w:r>
      <w:r>
        <w:rPr>
          <w:rFonts w:hint="eastAsia" w:ascii="宋体" w:hAnsi="宋体" w:eastAsia="宋体"/>
          <w:b/>
          <w:color w:val="000000" w:themeColor="text1"/>
          <w:szCs w:val="22"/>
          <w14:textFill>
            <w14:solidFill>
              <w14:schemeClr w14:val="tx1"/>
            </w14:solidFill>
          </w14:textFill>
        </w:rPr>
        <w:t>）</w:t>
      </w:r>
    </w:p>
    <w:p w14:paraId="79CB2185">
      <w:pPr>
        <w:adjustRightInd w:val="0"/>
        <w:snapToGrid w:val="0"/>
        <w:spacing w:line="360" w:lineRule="auto"/>
        <w:ind w:firstLine="422" w:firstLineChars="200"/>
        <w:rPr>
          <w:rFonts w:ascii="宋体" w:hAnsi="宋体" w:eastAsia="宋体"/>
          <w:b/>
        </w:rPr>
      </w:pPr>
      <w:r>
        <w:rPr>
          <w:rFonts w:hint="eastAsia" w:ascii="宋体" w:hAnsi="宋体" w:eastAsia="宋体"/>
          <w:b/>
        </w:rPr>
        <w:t>1</w:t>
      </w:r>
      <w:r>
        <w:rPr>
          <w:rFonts w:ascii="宋体" w:hAnsi="宋体" w:eastAsia="宋体"/>
          <w:b/>
        </w:rPr>
        <w:t>.</w:t>
      </w:r>
      <w:r>
        <w:rPr>
          <w:rFonts w:hint="eastAsia" w:ascii="宋体" w:hAnsi="宋体" w:eastAsia="宋体"/>
          <w:b/>
        </w:rPr>
        <w:t>教学内容</w:t>
      </w:r>
    </w:p>
    <w:p w14:paraId="23DF2805">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教师职业道德</w:t>
      </w:r>
      <w:r>
        <w:rPr>
          <w:rFonts w:hint="eastAsia" w:ascii="宋体" w:hAnsi="宋体" w:eastAsia="宋体"/>
        </w:rPr>
        <w:t>范畴（教育爱、教育良心、教育威信、教育公正）</w:t>
      </w:r>
    </w:p>
    <w:p w14:paraId="64976FF6">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教师职业道德的基本原则</w:t>
      </w:r>
    </w:p>
    <w:p w14:paraId="419E4C80">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2FD7CAF5">
      <w:pPr>
        <w:adjustRightInd w:val="0"/>
        <w:snapToGrid w:val="0"/>
        <w:spacing w:line="360" w:lineRule="auto"/>
        <w:ind w:firstLine="420" w:firstLineChars="200"/>
        <w:rPr>
          <w:rFonts w:ascii="宋体" w:hAnsi="宋体" w:eastAsia="宋体"/>
        </w:rPr>
      </w:pPr>
      <w:r>
        <w:rPr>
          <w:rFonts w:hint="eastAsia" w:ascii="宋体" w:hAnsi="宋体" w:eastAsia="宋体"/>
        </w:rPr>
        <w:t>理解教师职业道德的基本原则，感受教育爱、教育良心、教育威信、教育公正等范畴在教育实践中的体现</w:t>
      </w:r>
    </w:p>
    <w:p w14:paraId="7B09083E">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：认识教师职业道德原则在教师职业劳动中的作用</w:t>
      </w:r>
    </w:p>
    <w:p w14:paraId="38081287">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：认同教师职业道德所包含的范畴，树立教育爱、教育良心等信念</w:t>
      </w:r>
    </w:p>
    <w:p w14:paraId="778BA650">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2B80D64E">
      <w:pPr>
        <w:adjustRightInd w:val="0"/>
        <w:snapToGrid w:val="0"/>
        <w:spacing w:line="360" w:lineRule="auto"/>
        <w:ind w:firstLine="420" w:firstLineChars="200"/>
        <w:rPr>
          <w:rFonts w:ascii="宋体" w:hAnsi="宋体" w:eastAsia="宋体"/>
        </w:rPr>
      </w:pPr>
      <w:r>
        <w:rPr>
          <w:rFonts w:hint="eastAsia" w:ascii="宋体" w:hAnsi="宋体" w:eastAsia="宋体"/>
        </w:rPr>
        <w:t>加强教师使命教育，</w:t>
      </w:r>
      <w:r>
        <w:rPr>
          <w:rFonts w:ascii="宋体" w:hAnsi="宋体" w:eastAsia="宋体"/>
        </w:rPr>
        <w:t>从国家意识、法治意识、社会责任意识和个人诚信意识等层面，树立正确的</w:t>
      </w:r>
      <w:r>
        <w:rPr>
          <w:rFonts w:hint="eastAsia" w:ascii="宋体" w:hAnsi="宋体" w:eastAsia="宋体"/>
        </w:rPr>
        <w:t>职业价值认知，形成教育爱、教育良心、教育威信和教育公正等信念</w:t>
      </w:r>
      <w:r>
        <w:rPr>
          <w:rFonts w:ascii="宋体" w:hAnsi="宋体" w:eastAsia="宋体"/>
        </w:rPr>
        <w:t>。</w:t>
      </w:r>
    </w:p>
    <w:p w14:paraId="672BAE5D">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（三）师生交往中的道德问题</w:t>
      </w:r>
      <w:r>
        <w:rPr>
          <w:rFonts w:hint="eastAsia" w:ascii="宋体" w:hAnsi="宋体" w:eastAsia="宋体"/>
          <w:b/>
          <w:color w:val="000000" w:themeColor="text1"/>
          <w:szCs w:val="22"/>
          <w14:textFill>
            <w14:solidFill>
              <w14:schemeClr w14:val="tx1"/>
            </w14:solidFill>
          </w14:textFill>
        </w:rPr>
        <w:t>（本模块各知识点的讲授与学习，可以支撑课程目标</w:t>
      </w:r>
      <w:r>
        <w:rPr>
          <w:rFonts w:ascii="宋体" w:hAnsi="宋体" w:eastAsia="宋体"/>
          <w:b/>
          <w:color w:val="000000" w:themeColor="text1"/>
          <w:szCs w:val="22"/>
          <w14:textFill>
            <w14:solidFill>
              <w14:schemeClr w14:val="tx1"/>
            </w14:solidFill>
          </w14:textFill>
        </w:rPr>
        <w:t>1</w:t>
      </w:r>
      <w:r>
        <w:rPr>
          <w:rFonts w:hint="eastAsia" w:ascii="宋体" w:hAnsi="宋体" w:eastAsia="宋体"/>
          <w:b/>
          <w:color w:val="000000" w:themeColor="text1"/>
          <w:szCs w:val="22"/>
          <w14:textFill>
            <w14:solidFill>
              <w14:schemeClr w14:val="tx1"/>
            </w14:solidFill>
          </w14:textFill>
        </w:rPr>
        <w:t>、课程目标3）</w:t>
      </w:r>
    </w:p>
    <w:p w14:paraId="62E4B73C">
      <w:pPr>
        <w:adjustRightInd w:val="0"/>
        <w:snapToGrid w:val="0"/>
        <w:spacing w:line="360" w:lineRule="auto"/>
        <w:ind w:firstLine="422" w:firstLineChars="200"/>
        <w:rPr>
          <w:rFonts w:ascii="宋体" w:hAnsi="宋体" w:eastAsia="宋体"/>
          <w:b/>
        </w:rPr>
      </w:pPr>
      <w:r>
        <w:rPr>
          <w:rFonts w:ascii="宋体" w:hAnsi="宋体" w:eastAsia="宋体"/>
          <w:b/>
        </w:rPr>
        <w:t>1.</w:t>
      </w:r>
      <w:r>
        <w:rPr>
          <w:rFonts w:hint="eastAsia" w:ascii="宋体" w:hAnsi="宋体" w:eastAsia="宋体"/>
          <w:b/>
        </w:rPr>
        <w:t>教学内容</w:t>
      </w:r>
    </w:p>
    <w:p w14:paraId="5363F9F1">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师生关系在教育中的意义</w:t>
      </w:r>
    </w:p>
    <w:p w14:paraId="6ABA98B7">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师生关系中的矛盾分析</w:t>
      </w:r>
    </w:p>
    <w:p w14:paraId="6FAA1FF7">
      <w:pPr>
        <w:adjustRightInd w:val="0"/>
        <w:snapToGrid w:val="0"/>
        <w:spacing w:line="360" w:lineRule="auto"/>
        <w:ind w:firstLine="420" w:firstLineChars="200"/>
        <w:rPr>
          <w:rFonts w:ascii="宋体" w:hAnsi="宋体" w:eastAsia="宋体"/>
        </w:rPr>
      </w:pPr>
      <w:r>
        <w:rPr>
          <w:rFonts w:hint="eastAsia" w:ascii="宋体" w:hAnsi="宋体" w:eastAsia="宋体"/>
        </w:rPr>
        <w:t>（3）</w:t>
      </w:r>
      <w:r>
        <w:rPr>
          <w:rFonts w:ascii="宋体" w:hAnsi="宋体" w:eastAsia="宋体"/>
        </w:rPr>
        <w:t>师生关系的伦理调适</w:t>
      </w:r>
    </w:p>
    <w:p w14:paraId="3C9F72E9">
      <w:pPr>
        <w:adjustRightInd w:val="0"/>
        <w:snapToGrid w:val="0"/>
        <w:spacing w:line="360" w:lineRule="auto"/>
        <w:ind w:firstLine="420" w:firstLineChars="200"/>
        <w:rPr>
          <w:rFonts w:ascii="宋体" w:hAnsi="宋体" w:eastAsia="宋体"/>
        </w:rPr>
      </w:pPr>
      <w:r>
        <w:rPr>
          <w:rFonts w:hint="eastAsia" w:ascii="宋体" w:hAnsi="宋体" w:eastAsia="宋体"/>
        </w:rPr>
        <w:t>（4）</w:t>
      </w:r>
      <w:r>
        <w:rPr>
          <w:rFonts w:ascii="宋体" w:hAnsi="宋体" w:eastAsia="宋体"/>
        </w:rPr>
        <w:t>教师的性道德修养</w:t>
      </w:r>
    </w:p>
    <w:p w14:paraId="2EBF6052">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58DA396E">
      <w:pPr>
        <w:adjustRightInd w:val="0"/>
        <w:snapToGrid w:val="0"/>
        <w:spacing w:line="360" w:lineRule="auto"/>
        <w:ind w:firstLine="420" w:firstLineChars="200"/>
        <w:rPr>
          <w:rFonts w:ascii="宋体" w:hAnsi="宋体" w:eastAsia="宋体"/>
        </w:rPr>
      </w:pPr>
      <w:r>
        <w:rPr>
          <w:rFonts w:hint="eastAsia" w:ascii="宋体" w:hAnsi="宋体" w:eastAsia="宋体"/>
        </w:rPr>
        <w:t>认识师生关系中存在的矛盾与问题，掌握师生关系调适的原则与方法。</w:t>
      </w:r>
    </w:p>
    <w:p w14:paraId="6D5AA15A">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：分析师生关系中的矛盾与问题</w:t>
      </w:r>
    </w:p>
    <w:p w14:paraId="7F995444">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：把握教师在师生关系中的位置，学会正确处理矛盾</w:t>
      </w:r>
    </w:p>
    <w:p w14:paraId="2FBAD4DE">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6FE2BEA1">
      <w:pPr>
        <w:adjustRightInd w:val="0"/>
        <w:snapToGrid w:val="0"/>
        <w:spacing w:line="360" w:lineRule="auto"/>
        <w:ind w:firstLine="420" w:firstLineChars="200"/>
        <w:rPr>
          <w:rFonts w:ascii="宋体" w:hAnsi="宋体" w:eastAsia="宋体"/>
        </w:rPr>
      </w:pPr>
      <w:r>
        <w:rPr>
          <w:rFonts w:hint="eastAsia" w:ascii="宋体" w:hAnsi="宋体" w:eastAsia="宋体"/>
        </w:rPr>
        <w:t>树立辩证统一的思维，学会正确分析师生关系中的道德问题，热爱学生、尊重学生、赏识学生，塑造良好的师生关系。</w:t>
      </w:r>
    </w:p>
    <w:p w14:paraId="6CE558DF">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（四）家校合作中的道德问题</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（本模块各知识点的讲授与学习，可以支撑课程目标1、课程目标3）</w:t>
      </w:r>
    </w:p>
    <w:p w14:paraId="0970AFFA">
      <w:pPr>
        <w:adjustRightInd w:val="0"/>
        <w:snapToGrid w:val="0"/>
        <w:spacing w:line="360" w:lineRule="auto"/>
        <w:ind w:firstLine="422" w:firstLineChars="200"/>
        <w:rPr>
          <w:rFonts w:ascii="宋体" w:hAnsi="宋体" w:eastAsia="宋体"/>
          <w:b/>
        </w:rPr>
      </w:pPr>
      <w:r>
        <w:rPr>
          <w:rFonts w:ascii="宋体" w:hAnsi="宋体" w:eastAsia="宋体"/>
          <w:b/>
        </w:rPr>
        <w:t>1.</w:t>
      </w:r>
      <w:r>
        <w:rPr>
          <w:rFonts w:hint="eastAsia" w:ascii="宋体" w:hAnsi="宋体" w:eastAsia="宋体"/>
          <w:b/>
        </w:rPr>
        <w:t>教学内容</w:t>
      </w:r>
    </w:p>
    <w:p w14:paraId="236F2079">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家校沟通与合作</w:t>
      </w:r>
    </w:p>
    <w:p w14:paraId="28BBF5B4">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家校关系的</w:t>
      </w:r>
      <w:r>
        <w:rPr>
          <w:rFonts w:hint="eastAsia" w:ascii="宋体" w:hAnsi="宋体" w:eastAsia="宋体"/>
        </w:rPr>
        <w:t>伦理</w:t>
      </w:r>
      <w:r>
        <w:rPr>
          <w:rFonts w:ascii="宋体" w:hAnsi="宋体" w:eastAsia="宋体"/>
        </w:rPr>
        <w:t>调适</w:t>
      </w:r>
    </w:p>
    <w:p w14:paraId="1A86E29D">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64481C41">
      <w:pPr>
        <w:adjustRightInd w:val="0"/>
        <w:snapToGrid w:val="0"/>
        <w:spacing w:line="360" w:lineRule="auto"/>
        <w:ind w:firstLine="420" w:firstLineChars="200"/>
        <w:rPr>
          <w:rFonts w:ascii="宋体" w:hAnsi="宋体" w:eastAsia="宋体"/>
        </w:rPr>
      </w:pPr>
      <w:r>
        <w:rPr>
          <w:rFonts w:hint="eastAsia" w:ascii="宋体" w:hAnsi="宋体" w:eastAsia="宋体"/>
        </w:rPr>
        <w:t>了解家校沟通与合作相关知识与技能，分析家校沟通中存在的问题，掌握家校关系调适的原则与方法。</w:t>
      </w:r>
    </w:p>
    <w:p w14:paraId="229FBF07">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：分析家校沟通中存在的问题，立足教师角色，寻找处理办法</w:t>
      </w:r>
    </w:p>
    <w:p w14:paraId="4DFED1D7">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：掌握建立良好家校关系的原则与方法</w:t>
      </w:r>
    </w:p>
    <w:p w14:paraId="06D1FEA7">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28B553A9">
      <w:pPr>
        <w:adjustRightInd w:val="0"/>
        <w:snapToGrid w:val="0"/>
        <w:spacing w:line="360" w:lineRule="auto"/>
        <w:ind w:firstLine="420" w:firstLineChars="200"/>
        <w:rPr>
          <w:rFonts w:ascii="宋体" w:hAnsi="宋体" w:eastAsia="宋体"/>
        </w:rPr>
      </w:pPr>
      <w:r>
        <w:rPr>
          <w:rFonts w:hint="eastAsia" w:ascii="宋体" w:hAnsi="宋体" w:eastAsia="宋体"/>
        </w:rPr>
        <w:t>树立辩证统一的思维，学会正确分析家校交往过程中的道德问题，与家长平等沟通，尊重家长人格，教育学生尊重家长；廉洁奉公，不利用职责之便牟取私利，塑造良好的家校合作关系。</w:t>
      </w:r>
    </w:p>
    <w:p w14:paraId="2C53DC12">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（五）教师集体中的道德问题</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（本模块各知识点的讲授与学习，可以支撑课程目标1、课程目标3）</w:t>
      </w:r>
    </w:p>
    <w:p w14:paraId="571CFD00">
      <w:pPr>
        <w:adjustRightInd w:val="0"/>
        <w:snapToGrid w:val="0"/>
        <w:spacing w:line="360" w:lineRule="auto"/>
        <w:ind w:firstLine="422" w:firstLineChars="200"/>
        <w:rPr>
          <w:rFonts w:ascii="宋体" w:hAnsi="宋体" w:eastAsia="宋体"/>
          <w:b/>
        </w:rPr>
      </w:pPr>
      <w:r>
        <w:rPr>
          <w:rFonts w:hint="eastAsia" w:ascii="宋体" w:hAnsi="宋体" w:eastAsia="宋体"/>
          <w:b/>
        </w:rPr>
        <w:t>1.教学内容</w:t>
      </w:r>
    </w:p>
    <w:p w14:paraId="7EC18EEE">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教师集体在教育中的意义</w:t>
      </w:r>
    </w:p>
    <w:p w14:paraId="41217165">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教师集体人际矛盾的原因分析</w:t>
      </w:r>
    </w:p>
    <w:p w14:paraId="38070099">
      <w:pPr>
        <w:adjustRightInd w:val="0"/>
        <w:snapToGrid w:val="0"/>
        <w:spacing w:line="360" w:lineRule="auto"/>
        <w:ind w:firstLine="420" w:firstLineChars="200"/>
        <w:rPr>
          <w:rFonts w:ascii="宋体" w:hAnsi="宋体" w:eastAsia="宋体"/>
        </w:rPr>
      </w:pPr>
      <w:r>
        <w:rPr>
          <w:rFonts w:hint="eastAsia" w:ascii="宋体" w:hAnsi="宋体" w:eastAsia="宋体"/>
        </w:rPr>
        <w:t>（3）</w:t>
      </w:r>
      <w:r>
        <w:rPr>
          <w:rFonts w:ascii="宋体" w:hAnsi="宋体" w:eastAsia="宋体"/>
        </w:rPr>
        <w:t>教师集体关系的道德调节</w:t>
      </w:r>
    </w:p>
    <w:p w14:paraId="4F2A10E7">
      <w:pPr>
        <w:adjustRightInd w:val="0"/>
        <w:snapToGrid w:val="0"/>
        <w:spacing w:line="360" w:lineRule="auto"/>
        <w:ind w:firstLine="422" w:firstLineChars="200"/>
        <w:rPr>
          <w:rFonts w:ascii="宋体" w:hAnsi="宋体" w:eastAsia="宋体"/>
          <w:b/>
        </w:rPr>
      </w:pPr>
      <w:r>
        <w:rPr>
          <w:rFonts w:hint="eastAsia" w:ascii="宋体" w:hAnsi="宋体" w:eastAsia="宋体"/>
          <w:b/>
        </w:rPr>
        <w:t>2</w:t>
      </w:r>
      <w:r>
        <w:rPr>
          <w:rFonts w:ascii="宋体" w:hAnsi="宋体" w:eastAsia="宋体"/>
          <w:b/>
        </w:rPr>
        <w:t>.</w:t>
      </w:r>
      <w:r>
        <w:rPr>
          <w:rFonts w:hint="eastAsia" w:ascii="宋体" w:hAnsi="宋体" w:eastAsia="宋体"/>
          <w:b/>
        </w:rPr>
        <w:t>基本要求</w:t>
      </w:r>
    </w:p>
    <w:p w14:paraId="7CA1A055">
      <w:pPr>
        <w:adjustRightInd w:val="0"/>
        <w:snapToGrid w:val="0"/>
        <w:spacing w:line="360" w:lineRule="auto"/>
        <w:ind w:firstLine="420" w:firstLineChars="200"/>
        <w:rPr>
          <w:rFonts w:ascii="宋体" w:hAnsi="宋体" w:eastAsia="宋体"/>
        </w:rPr>
      </w:pPr>
      <w:r>
        <w:rPr>
          <w:rFonts w:hint="eastAsia" w:ascii="宋体" w:hAnsi="宋体" w:eastAsia="宋体"/>
        </w:rPr>
        <w:t>了解教师集体人际矛盾的原因，掌握教师集体关系的道德调节技巧。</w:t>
      </w:r>
    </w:p>
    <w:p w14:paraId="06C48AAF">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：理解教师集体人际矛盾产生的原因</w:t>
      </w:r>
    </w:p>
    <w:p w14:paraId="27653EF4">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：掌握处理集体人际矛盾的原则、方法，理解良好教师集体在教育中的意义</w:t>
      </w:r>
    </w:p>
    <w:p w14:paraId="23B9E196">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14950DAF">
      <w:pPr>
        <w:adjustRightInd w:val="0"/>
        <w:snapToGrid w:val="0"/>
        <w:spacing w:line="360" w:lineRule="auto"/>
        <w:ind w:firstLine="420" w:firstLineChars="200"/>
        <w:rPr>
          <w:rFonts w:ascii="宋体" w:hAnsi="宋体" w:eastAsia="宋体"/>
        </w:rPr>
      </w:pPr>
      <w:r>
        <w:rPr>
          <w:rFonts w:hint="eastAsia" w:ascii="宋体" w:hAnsi="宋体" w:eastAsia="宋体"/>
        </w:rPr>
        <w:t>树立辩证统一的思维，学会正确分析教师集体中发生的道德问题。弘扬教师职业精神，互相尊重、互相学习，保持协同、向上的合作关系，促进个人和集体的共同成长。</w:t>
      </w:r>
    </w:p>
    <w:p w14:paraId="08BF2F73">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（六）课堂教学中的道德问题</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（本模块各知识点的讲授与学习，可以支撑课程目标1、课程目标4）</w:t>
      </w:r>
    </w:p>
    <w:p w14:paraId="6C5004C5">
      <w:pPr>
        <w:adjustRightInd w:val="0"/>
        <w:snapToGrid w:val="0"/>
        <w:spacing w:line="360" w:lineRule="auto"/>
        <w:ind w:firstLine="422" w:firstLineChars="200"/>
        <w:rPr>
          <w:rFonts w:ascii="宋体" w:hAnsi="宋体" w:eastAsia="宋体"/>
          <w:b/>
        </w:rPr>
      </w:pPr>
      <w:r>
        <w:rPr>
          <w:rFonts w:hint="eastAsia" w:ascii="宋体" w:hAnsi="宋体" w:eastAsia="宋体"/>
          <w:b/>
        </w:rPr>
        <w:t>1.教学内容</w:t>
      </w:r>
    </w:p>
    <w:p w14:paraId="75940414">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教学工作的道德特征</w:t>
      </w:r>
    </w:p>
    <w:p w14:paraId="057D517D">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教学活动的道德意义</w:t>
      </w:r>
    </w:p>
    <w:p w14:paraId="0B0C17DD">
      <w:pPr>
        <w:adjustRightInd w:val="0"/>
        <w:snapToGrid w:val="0"/>
        <w:spacing w:line="360" w:lineRule="auto"/>
        <w:ind w:firstLine="420" w:firstLineChars="200"/>
        <w:rPr>
          <w:rFonts w:ascii="宋体" w:hAnsi="宋体" w:eastAsia="宋体"/>
        </w:rPr>
      </w:pPr>
      <w:r>
        <w:rPr>
          <w:rFonts w:hint="eastAsia" w:ascii="宋体" w:hAnsi="宋体" w:eastAsia="宋体"/>
        </w:rPr>
        <w:t>（3）</w:t>
      </w:r>
      <w:r>
        <w:rPr>
          <w:rFonts w:ascii="宋体" w:hAnsi="宋体" w:eastAsia="宋体"/>
        </w:rPr>
        <w:t>教学工作中的具体道德要求</w:t>
      </w:r>
    </w:p>
    <w:p w14:paraId="75CDD1BB">
      <w:pPr>
        <w:adjustRightInd w:val="0"/>
        <w:snapToGrid w:val="0"/>
        <w:spacing w:line="360" w:lineRule="auto"/>
        <w:ind w:firstLine="420" w:firstLineChars="200"/>
        <w:rPr>
          <w:rFonts w:ascii="宋体" w:hAnsi="宋体" w:eastAsia="宋体"/>
        </w:rPr>
      </w:pPr>
      <w:r>
        <w:rPr>
          <w:rFonts w:hint="eastAsia" w:ascii="宋体" w:hAnsi="宋体" w:eastAsia="宋体"/>
        </w:rPr>
        <w:t>（4）</w:t>
      </w:r>
      <w:r>
        <w:rPr>
          <w:rFonts w:ascii="宋体" w:hAnsi="宋体" w:eastAsia="宋体"/>
        </w:rPr>
        <w:t>我国基础教育课程改革的价值追求</w:t>
      </w:r>
    </w:p>
    <w:p w14:paraId="6B0BA71B">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04079E0C">
      <w:pPr>
        <w:adjustRightInd w:val="0"/>
        <w:snapToGrid w:val="0"/>
        <w:spacing w:line="360" w:lineRule="auto"/>
        <w:ind w:firstLine="420" w:firstLineChars="200"/>
        <w:rPr>
          <w:rFonts w:ascii="宋体" w:hAnsi="宋体" w:eastAsia="宋体"/>
        </w:rPr>
      </w:pPr>
      <w:r>
        <w:rPr>
          <w:rFonts w:hint="eastAsia" w:ascii="宋体" w:hAnsi="宋体" w:eastAsia="宋体"/>
        </w:rPr>
        <w:t>了解课堂教学的道德特征及其道德意义，理解教学工作中的道德要求，树立正确的教育观，学会分析当前教育中的道德问题。</w:t>
      </w:r>
    </w:p>
    <w:p w14:paraId="29019671">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：理解教学工作中教师职业道德要求的具体内容</w:t>
      </w:r>
    </w:p>
    <w:p w14:paraId="014A5E0A">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：分析教学中的道德问题，尝试用基础教育课程改革理念解析问题</w:t>
      </w:r>
    </w:p>
    <w:p w14:paraId="29AE2A33">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53EE8E50">
      <w:pPr>
        <w:adjustRightInd w:val="0"/>
        <w:snapToGrid w:val="0"/>
        <w:spacing w:line="360" w:lineRule="auto"/>
        <w:ind w:firstLine="420" w:firstLineChars="200"/>
        <w:rPr>
          <w:rFonts w:ascii="宋体" w:hAnsi="宋体" w:eastAsia="宋体"/>
        </w:rPr>
      </w:pPr>
      <w:r>
        <w:rPr>
          <w:rFonts w:hint="eastAsia" w:ascii="宋体" w:hAnsi="宋体" w:eastAsia="宋体"/>
        </w:rPr>
        <w:t>树立辩证统一的思维，学会正确分析课堂教学中的问题。确立正确的教育观，遵循教育规律，实施素质教育，将促进学生的全面发展作为教育目标。</w:t>
      </w:r>
    </w:p>
    <w:p w14:paraId="0EDFAC06">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（七）学校行政管理中的道德问题</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（本模块各知识点的讲授与学习，可以支撑课程目标1、课程目标4）</w:t>
      </w:r>
    </w:p>
    <w:p w14:paraId="3C6B9F47">
      <w:pPr>
        <w:adjustRightInd w:val="0"/>
        <w:snapToGrid w:val="0"/>
        <w:spacing w:line="360" w:lineRule="auto"/>
        <w:ind w:firstLine="422" w:firstLineChars="200"/>
        <w:rPr>
          <w:rFonts w:ascii="宋体" w:hAnsi="宋体" w:eastAsia="宋体"/>
          <w:b/>
        </w:rPr>
      </w:pPr>
      <w:r>
        <w:rPr>
          <w:rFonts w:hint="eastAsia" w:ascii="宋体" w:hAnsi="宋体" w:eastAsia="宋体"/>
          <w:b/>
        </w:rPr>
        <w:t>1.教学内容</w:t>
      </w:r>
    </w:p>
    <w:p w14:paraId="1EC23906">
      <w:pPr>
        <w:adjustRightInd w:val="0"/>
        <w:snapToGrid w:val="0"/>
        <w:spacing w:line="360" w:lineRule="auto"/>
        <w:ind w:firstLine="420" w:firstLineChars="200"/>
        <w:rPr>
          <w:rFonts w:ascii="宋体" w:hAnsi="宋体" w:eastAsia="宋体"/>
        </w:rPr>
      </w:pPr>
      <w:r>
        <w:rPr>
          <w:rFonts w:hint="eastAsia" w:ascii="宋体" w:hAnsi="宋体" w:eastAsia="宋体"/>
        </w:rPr>
        <w:t>（1）</w:t>
      </w:r>
      <w:r>
        <w:rPr>
          <w:rFonts w:ascii="宋体" w:hAnsi="宋体" w:eastAsia="宋体"/>
        </w:rPr>
        <w:t>学校行政管理工作对师生发展的意义</w:t>
      </w:r>
    </w:p>
    <w:p w14:paraId="33ABF0A4">
      <w:pPr>
        <w:adjustRightInd w:val="0"/>
        <w:snapToGrid w:val="0"/>
        <w:spacing w:line="360" w:lineRule="auto"/>
        <w:ind w:firstLine="420" w:firstLineChars="200"/>
        <w:rPr>
          <w:rFonts w:ascii="宋体" w:hAnsi="宋体" w:eastAsia="宋体"/>
        </w:rPr>
      </w:pPr>
      <w:r>
        <w:rPr>
          <w:rFonts w:hint="eastAsia" w:ascii="宋体" w:hAnsi="宋体" w:eastAsia="宋体"/>
        </w:rPr>
        <w:t>（2）</w:t>
      </w:r>
      <w:r>
        <w:rPr>
          <w:rFonts w:ascii="宋体" w:hAnsi="宋体" w:eastAsia="宋体"/>
        </w:rPr>
        <w:t>当前我国学校行政管理中存在的问题</w:t>
      </w:r>
    </w:p>
    <w:p w14:paraId="78D7A350">
      <w:pPr>
        <w:adjustRightInd w:val="0"/>
        <w:snapToGrid w:val="0"/>
        <w:spacing w:line="360" w:lineRule="auto"/>
        <w:ind w:firstLine="420" w:firstLineChars="200"/>
        <w:rPr>
          <w:rFonts w:ascii="宋体" w:hAnsi="宋体" w:eastAsia="宋体"/>
        </w:rPr>
      </w:pPr>
      <w:r>
        <w:rPr>
          <w:rFonts w:hint="eastAsia" w:ascii="宋体" w:hAnsi="宋体" w:eastAsia="宋体"/>
        </w:rPr>
        <w:t>（3）</w:t>
      </w:r>
      <w:r>
        <w:rPr>
          <w:rFonts w:ascii="宋体" w:hAnsi="宋体" w:eastAsia="宋体"/>
        </w:rPr>
        <w:t>学校行政管理的伦理基础及其功能</w:t>
      </w:r>
    </w:p>
    <w:p w14:paraId="6D92EFF0">
      <w:pPr>
        <w:adjustRightInd w:val="0"/>
        <w:snapToGrid w:val="0"/>
        <w:spacing w:line="360" w:lineRule="auto"/>
        <w:ind w:firstLine="420" w:firstLineChars="200"/>
        <w:rPr>
          <w:rFonts w:ascii="宋体" w:hAnsi="宋体" w:eastAsia="宋体"/>
        </w:rPr>
      </w:pPr>
      <w:r>
        <w:rPr>
          <w:rFonts w:hint="eastAsia" w:ascii="宋体" w:hAnsi="宋体" w:eastAsia="宋体"/>
        </w:rPr>
        <w:t>（4）</w:t>
      </w:r>
      <w:r>
        <w:rPr>
          <w:rFonts w:ascii="宋体" w:hAnsi="宋体" w:eastAsia="宋体"/>
        </w:rPr>
        <w:t>学校行政管理伦理化的实现路径</w:t>
      </w:r>
    </w:p>
    <w:p w14:paraId="0EDA668C">
      <w:pPr>
        <w:adjustRightInd w:val="0"/>
        <w:snapToGrid w:val="0"/>
        <w:spacing w:line="360" w:lineRule="auto"/>
        <w:ind w:firstLine="422" w:firstLineChars="200"/>
        <w:rPr>
          <w:rFonts w:ascii="宋体" w:hAnsi="宋体" w:eastAsia="宋体"/>
          <w:b/>
        </w:rPr>
      </w:pPr>
      <w:r>
        <w:rPr>
          <w:rFonts w:ascii="宋体" w:hAnsi="宋体" w:eastAsia="宋体"/>
          <w:b/>
        </w:rPr>
        <w:t>2.</w:t>
      </w:r>
      <w:r>
        <w:rPr>
          <w:rFonts w:hint="eastAsia" w:ascii="宋体" w:hAnsi="宋体" w:eastAsia="宋体"/>
          <w:b/>
        </w:rPr>
        <w:t>基本要求</w:t>
      </w:r>
    </w:p>
    <w:p w14:paraId="313A4F41">
      <w:pPr>
        <w:adjustRightInd w:val="0"/>
        <w:snapToGrid w:val="0"/>
        <w:spacing w:line="360" w:lineRule="auto"/>
        <w:ind w:firstLine="420" w:firstLineChars="200"/>
        <w:rPr>
          <w:rFonts w:ascii="宋体" w:hAnsi="宋体" w:eastAsia="宋体"/>
        </w:rPr>
      </w:pPr>
      <w:r>
        <w:rPr>
          <w:rFonts w:hint="eastAsia" w:ascii="宋体" w:hAnsi="宋体" w:eastAsia="宋体"/>
        </w:rPr>
        <w:t>了解学校管理对师生发展的意义，掌握学校行政管理的伦理基础及其功能。</w:t>
      </w:r>
    </w:p>
    <w:p w14:paraId="295B50C7">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：理解学校行政管理的教育意义</w:t>
      </w:r>
    </w:p>
    <w:p w14:paraId="566B6068">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：掌握学校行政管理伦理的具体实现路径</w:t>
      </w:r>
    </w:p>
    <w:p w14:paraId="04280F09">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46B3538B">
      <w:pPr>
        <w:adjustRightInd w:val="0"/>
        <w:snapToGrid w:val="0"/>
        <w:spacing w:line="360" w:lineRule="auto"/>
        <w:ind w:firstLine="420" w:firstLineChars="200"/>
        <w:rPr>
          <w:rFonts w:ascii="宋体" w:hAnsi="宋体" w:eastAsia="宋体"/>
        </w:rPr>
      </w:pPr>
      <w:r>
        <w:rPr>
          <w:rFonts w:hint="eastAsia" w:ascii="宋体" w:hAnsi="宋体" w:eastAsia="宋体"/>
        </w:rPr>
        <w:t>树立辩证统一的思维，学会正确分析行政管理中的道德问题；弘扬教师职业精神，尊重、理解，服从安排，积极配合，以主人公精神积极参与管理事务。</w:t>
      </w:r>
    </w:p>
    <w:p w14:paraId="4E3E21D5">
      <w:pPr>
        <w:adjustRightInd w:val="0"/>
        <w:snapToGrid w:val="0"/>
        <w:spacing w:line="360" w:lineRule="auto"/>
        <w:ind w:firstLine="422" w:firstLineChars="200"/>
        <w:outlineLvl w:val="0"/>
        <w:rPr>
          <w:rFonts w:ascii="宋体" w:hAnsi="宋体" w:eastAsia="宋体"/>
          <w:b/>
          <w:color w:val="000000" w:themeColor="text1"/>
          <w:szCs w:val="22"/>
          <w14:textFill>
            <w14:solidFill>
              <w14:schemeClr w14:val="tx1"/>
            </w14:solidFill>
          </w14:textFill>
        </w:rPr>
      </w:pPr>
      <w:r>
        <w:rPr>
          <w:rFonts w:hint="eastAsia" w:ascii="宋体" w:hAnsi="宋体" w:eastAsia="宋体"/>
          <w:b/>
        </w:rPr>
        <w:t>（八）教师职业道德修养</w:t>
      </w:r>
      <w:r>
        <w:rPr>
          <w:rFonts w:hint="eastAsia" w:ascii="宋体" w:hAnsi="宋体" w:eastAsia="宋体"/>
          <w:b/>
          <w:color w:val="000000" w:themeColor="text1"/>
          <w:szCs w:val="22"/>
          <w14:textFill>
            <w14:solidFill>
              <w14:schemeClr w14:val="tx1"/>
            </w14:solidFill>
          </w14:textFill>
        </w:rPr>
        <w:t>（本模块各知识点的讲授与学习，可以支撑课程目标1、课程目标2）</w:t>
      </w:r>
    </w:p>
    <w:p w14:paraId="7BE44864">
      <w:pPr>
        <w:adjustRightInd w:val="0"/>
        <w:snapToGrid w:val="0"/>
        <w:spacing w:line="360" w:lineRule="auto"/>
        <w:ind w:firstLine="422" w:firstLineChars="200"/>
        <w:rPr>
          <w:rFonts w:ascii="宋体" w:hAnsi="宋体" w:eastAsia="宋体"/>
          <w:b/>
        </w:rPr>
      </w:pPr>
      <w:r>
        <w:rPr>
          <w:rFonts w:hint="eastAsia" w:ascii="宋体" w:hAnsi="宋体" w:eastAsia="宋体"/>
          <w:b/>
        </w:rPr>
        <w:t>1.教学内容</w:t>
      </w:r>
    </w:p>
    <w:p w14:paraId="3199E91B">
      <w:pPr>
        <w:adjustRightInd w:val="0"/>
        <w:snapToGrid w:val="0"/>
        <w:spacing w:line="360" w:lineRule="auto"/>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w:t>
      </w:r>
      <w:r>
        <w:rPr>
          <w:rFonts w:ascii="宋体" w:hAnsi="宋体" w:eastAsia="宋体"/>
        </w:rPr>
        <w:t>教师职业道德修养的目标</w:t>
      </w:r>
    </w:p>
    <w:p w14:paraId="3AD8CE1D">
      <w:pPr>
        <w:adjustRightInd w:val="0"/>
        <w:snapToGrid w:val="0"/>
        <w:spacing w:line="360" w:lineRule="auto"/>
        <w:ind w:firstLine="420" w:firstLineChars="200"/>
        <w:rPr>
          <w:rFonts w:ascii="宋体" w:hAnsi="宋体" w:eastAsia="宋体"/>
        </w:rPr>
      </w:pPr>
      <w:r>
        <w:rPr>
          <w:rFonts w:hint="eastAsia" w:ascii="宋体" w:hAnsi="宋体" w:eastAsia="宋体"/>
        </w:rPr>
        <w:t>（</w:t>
      </w:r>
      <w:r>
        <w:rPr>
          <w:rFonts w:ascii="宋体" w:hAnsi="宋体" w:eastAsia="宋体"/>
        </w:rPr>
        <w:t>2</w:t>
      </w:r>
      <w:r>
        <w:rPr>
          <w:rFonts w:hint="eastAsia" w:ascii="宋体" w:hAnsi="宋体" w:eastAsia="宋体"/>
        </w:rPr>
        <w:t>）</w:t>
      </w:r>
      <w:r>
        <w:rPr>
          <w:rFonts w:ascii="宋体" w:hAnsi="宋体" w:eastAsia="宋体"/>
        </w:rPr>
        <w:t>教师职业道德修养的内容</w:t>
      </w:r>
    </w:p>
    <w:p w14:paraId="372BC465">
      <w:pPr>
        <w:adjustRightInd w:val="0"/>
        <w:snapToGrid w:val="0"/>
        <w:spacing w:line="360" w:lineRule="auto"/>
        <w:ind w:firstLine="420" w:firstLineChars="200"/>
        <w:rPr>
          <w:rFonts w:ascii="宋体" w:hAnsi="宋体" w:eastAsia="宋体"/>
        </w:rPr>
      </w:pPr>
      <w:r>
        <w:rPr>
          <w:rFonts w:hint="eastAsia" w:ascii="宋体" w:hAnsi="宋体" w:eastAsia="宋体"/>
        </w:rPr>
        <w:t>（</w:t>
      </w:r>
      <w:r>
        <w:rPr>
          <w:rFonts w:ascii="宋体" w:hAnsi="宋体" w:eastAsia="宋体"/>
        </w:rPr>
        <w:t>3</w:t>
      </w:r>
      <w:r>
        <w:rPr>
          <w:rFonts w:hint="eastAsia" w:ascii="宋体" w:hAnsi="宋体" w:eastAsia="宋体"/>
        </w:rPr>
        <w:t>）</w:t>
      </w:r>
      <w:r>
        <w:rPr>
          <w:rFonts w:ascii="宋体" w:hAnsi="宋体" w:eastAsia="宋体"/>
        </w:rPr>
        <w:t>教师职业道德修养的途径和方法</w:t>
      </w:r>
    </w:p>
    <w:p w14:paraId="4745EC03">
      <w:pPr>
        <w:adjustRightInd w:val="0"/>
        <w:snapToGrid w:val="0"/>
        <w:spacing w:line="360" w:lineRule="auto"/>
        <w:ind w:firstLine="422" w:firstLineChars="200"/>
        <w:rPr>
          <w:rFonts w:ascii="宋体" w:hAnsi="宋体" w:eastAsia="宋体"/>
          <w:b/>
        </w:rPr>
      </w:pPr>
      <w:r>
        <w:rPr>
          <w:rFonts w:hint="eastAsia" w:ascii="宋体" w:hAnsi="宋体" w:eastAsia="宋体"/>
          <w:b/>
        </w:rPr>
        <w:t>2</w:t>
      </w:r>
      <w:r>
        <w:rPr>
          <w:rFonts w:ascii="宋体" w:hAnsi="宋体" w:eastAsia="宋体"/>
          <w:b/>
        </w:rPr>
        <w:t>.</w:t>
      </w:r>
      <w:r>
        <w:rPr>
          <w:rFonts w:hint="eastAsia" w:ascii="宋体" w:hAnsi="宋体" w:eastAsia="宋体"/>
          <w:b/>
        </w:rPr>
        <w:t>基本要求</w:t>
      </w:r>
    </w:p>
    <w:p w14:paraId="70495FEA">
      <w:pPr>
        <w:adjustRightInd w:val="0"/>
        <w:snapToGrid w:val="0"/>
        <w:spacing w:line="360" w:lineRule="auto"/>
        <w:ind w:firstLine="420" w:firstLineChars="200"/>
        <w:rPr>
          <w:rFonts w:ascii="宋体" w:hAnsi="宋体" w:eastAsia="宋体"/>
        </w:rPr>
      </w:pPr>
      <w:r>
        <w:rPr>
          <w:rFonts w:hint="eastAsia" w:ascii="宋体" w:hAnsi="宋体" w:eastAsia="宋体"/>
        </w:rPr>
        <w:t>了解教师职业道德修养的目标，掌握教师职业道德修养的基本内容、途径与方法，认同并自觉内化为自身专业发展要求。</w:t>
      </w:r>
    </w:p>
    <w:p w14:paraId="4D97182C">
      <w:pPr>
        <w:adjustRightInd w:val="0"/>
        <w:snapToGrid w:val="0"/>
        <w:spacing w:line="360" w:lineRule="auto"/>
        <w:ind w:firstLine="422" w:firstLineChars="200"/>
        <w:rPr>
          <w:rFonts w:ascii="宋体" w:hAnsi="宋体" w:eastAsia="宋体"/>
        </w:rPr>
      </w:pPr>
      <w:r>
        <w:rPr>
          <w:rFonts w:hint="eastAsia" w:ascii="宋体" w:hAnsi="宋体" w:eastAsia="宋体"/>
          <w:b/>
        </w:rPr>
        <w:t>教学重点</w:t>
      </w:r>
      <w:r>
        <w:rPr>
          <w:rFonts w:hint="eastAsia" w:ascii="宋体" w:hAnsi="宋体" w:eastAsia="宋体"/>
        </w:rPr>
        <w:t>：理解教师职业道德修养对于自身专业成长的意义</w:t>
      </w:r>
    </w:p>
    <w:p w14:paraId="5BA96CDE">
      <w:pPr>
        <w:adjustRightInd w:val="0"/>
        <w:snapToGrid w:val="0"/>
        <w:spacing w:line="360" w:lineRule="auto"/>
        <w:ind w:firstLine="422" w:firstLineChars="200"/>
        <w:rPr>
          <w:rFonts w:ascii="宋体" w:hAnsi="宋体" w:eastAsia="宋体"/>
        </w:rPr>
      </w:pPr>
      <w:r>
        <w:rPr>
          <w:rFonts w:hint="eastAsia" w:ascii="宋体" w:hAnsi="宋体" w:eastAsia="宋体"/>
          <w:b/>
        </w:rPr>
        <w:t>教学难点</w:t>
      </w:r>
      <w:r>
        <w:rPr>
          <w:rFonts w:hint="eastAsia" w:ascii="宋体" w:hAnsi="宋体" w:eastAsia="宋体"/>
        </w:rPr>
        <w:t>：掌握教师职业道德修养的基本途径与方法</w:t>
      </w:r>
    </w:p>
    <w:p w14:paraId="06F4C734">
      <w:pPr>
        <w:adjustRightInd w:val="0"/>
        <w:snapToGrid w:val="0"/>
        <w:spacing w:line="360" w:lineRule="auto"/>
        <w:ind w:firstLine="422" w:firstLineChars="200"/>
        <w:rPr>
          <w:rFonts w:ascii="宋体" w:hAnsi="宋体" w:eastAsia="宋体"/>
          <w:b/>
        </w:rPr>
      </w:pPr>
      <w:r>
        <w:rPr>
          <w:rFonts w:ascii="宋体" w:hAnsi="宋体" w:eastAsia="宋体"/>
          <w:b/>
        </w:rPr>
        <w:t>3.</w:t>
      </w:r>
      <w:r>
        <w:rPr>
          <w:rFonts w:hint="eastAsia" w:ascii="宋体" w:hAnsi="宋体" w:eastAsia="宋体"/>
          <w:b/>
        </w:rPr>
        <w:t>课程思政育人目标</w:t>
      </w:r>
    </w:p>
    <w:p w14:paraId="1892C4D4">
      <w:pPr>
        <w:adjustRightInd w:val="0"/>
        <w:snapToGrid w:val="0"/>
        <w:spacing w:line="360" w:lineRule="auto"/>
        <w:ind w:firstLine="420" w:firstLineChars="200"/>
        <w:rPr>
          <w:rFonts w:ascii="宋体" w:hAnsi="宋体" w:eastAsia="宋体"/>
        </w:rPr>
      </w:pPr>
      <w:r>
        <w:rPr>
          <w:rFonts w:hint="eastAsia" w:ascii="宋体" w:hAnsi="宋体" w:eastAsia="宋体"/>
        </w:rPr>
        <w:t>树立终身学习理念，自觉更新教育观念，潜心钻研教育教学业务。</w:t>
      </w:r>
    </w:p>
    <w:p w14:paraId="1639C9AA">
      <w:pPr>
        <w:spacing w:line="276" w:lineRule="auto"/>
        <w:ind w:firstLine="316" w:firstLineChars="150"/>
        <w:rPr>
          <w:rFonts w:ascii="宋体" w:hAnsi="宋体" w:eastAsia="宋体"/>
          <w:b/>
        </w:rPr>
      </w:pPr>
      <w:r>
        <w:rPr>
          <w:rFonts w:hint="eastAsia" w:ascii="宋体" w:hAnsi="宋体" w:eastAsia="宋体"/>
          <w:b/>
        </w:rPr>
        <w:t>教学内容与课程目标的对应关系及学时分配如表所示：</w:t>
      </w:r>
    </w:p>
    <w:tbl>
      <w:tblPr>
        <w:tblStyle w:val="31"/>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106"/>
        <w:gridCol w:w="2006"/>
        <w:gridCol w:w="1646"/>
        <w:gridCol w:w="1161"/>
      </w:tblGrid>
      <w:tr w14:paraId="08C2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23" w:type="dxa"/>
            <w:vAlign w:val="center"/>
          </w:tcPr>
          <w:p w14:paraId="6471E91A">
            <w:pPr>
              <w:adjustRightInd w:val="0"/>
              <w:snapToGrid w:val="0"/>
              <w:spacing w:line="276" w:lineRule="auto"/>
              <w:jc w:val="center"/>
              <w:rPr>
                <w:rFonts w:ascii="宋体" w:hAnsi="宋体" w:eastAsia="宋体"/>
                <w:b/>
                <w:sz w:val="21"/>
                <w:szCs w:val="21"/>
              </w:rPr>
            </w:pPr>
            <w:r>
              <w:rPr>
                <w:rFonts w:hint="eastAsia" w:ascii="宋体" w:hAnsi="宋体" w:eastAsia="宋体"/>
                <w:b/>
                <w:sz w:val="21"/>
                <w:szCs w:val="21"/>
              </w:rPr>
              <w:t>序号</w:t>
            </w:r>
          </w:p>
        </w:tc>
        <w:tc>
          <w:tcPr>
            <w:tcW w:w="3106" w:type="dxa"/>
            <w:vAlign w:val="center"/>
          </w:tcPr>
          <w:p w14:paraId="09F052E5">
            <w:pPr>
              <w:adjustRightInd w:val="0"/>
              <w:snapToGrid w:val="0"/>
              <w:spacing w:line="276" w:lineRule="auto"/>
              <w:jc w:val="center"/>
              <w:rPr>
                <w:rFonts w:ascii="宋体" w:hAnsi="宋体" w:eastAsia="宋体"/>
                <w:b/>
                <w:sz w:val="21"/>
                <w:szCs w:val="21"/>
              </w:rPr>
            </w:pPr>
            <w:r>
              <w:rPr>
                <w:rFonts w:hint="eastAsia" w:ascii="宋体" w:hAnsi="宋体" w:eastAsia="宋体"/>
                <w:b/>
                <w:sz w:val="21"/>
                <w:szCs w:val="21"/>
              </w:rPr>
              <w:t>教学内容</w:t>
            </w:r>
          </w:p>
        </w:tc>
        <w:tc>
          <w:tcPr>
            <w:tcW w:w="2006" w:type="dxa"/>
            <w:vAlign w:val="center"/>
          </w:tcPr>
          <w:p w14:paraId="43A2AEC9">
            <w:pPr>
              <w:adjustRightInd w:val="0"/>
              <w:snapToGrid w:val="0"/>
              <w:spacing w:line="276" w:lineRule="auto"/>
              <w:jc w:val="center"/>
              <w:rPr>
                <w:rFonts w:ascii="宋体" w:hAnsi="宋体" w:eastAsia="宋体"/>
                <w:b/>
                <w:sz w:val="21"/>
                <w:szCs w:val="21"/>
              </w:rPr>
            </w:pPr>
            <w:r>
              <w:rPr>
                <w:rFonts w:hint="eastAsia" w:ascii="宋体" w:hAnsi="宋体" w:eastAsia="宋体"/>
                <w:b/>
                <w:sz w:val="21"/>
                <w:szCs w:val="21"/>
              </w:rPr>
              <w:t>支撑的课程目标</w:t>
            </w:r>
          </w:p>
        </w:tc>
        <w:tc>
          <w:tcPr>
            <w:tcW w:w="1646" w:type="dxa"/>
            <w:vAlign w:val="center"/>
          </w:tcPr>
          <w:p w14:paraId="68109F0E">
            <w:pPr>
              <w:adjustRightInd w:val="0"/>
              <w:snapToGrid w:val="0"/>
              <w:spacing w:line="276" w:lineRule="auto"/>
              <w:jc w:val="center"/>
              <w:rPr>
                <w:rFonts w:ascii="宋体" w:hAnsi="宋体" w:eastAsia="宋体"/>
                <w:b/>
                <w:sz w:val="21"/>
                <w:szCs w:val="21"/>
              </w:rPr>
            </w:pPr>
            <w:r>
              <w:rPr>
                <w:rFonts w:hint="eastAsia" w:ascii="宋体" w:hAnsi="宋体" w:eastAsia="宋体"/>
                <w:b/>
                <w:sz w:val="21"/>
                <w:szCs w:val="21"/>
              </w:rPr>
              <w:t>支撑的毕业要求指标点</w:t>
            </w:r>
          </w:p>
        </w:tc>
        <w:tc>
          <w:tcPr>
            <w:tcW w:w="1161" w:type="dxa"/>
            <w:vAlign w:val="center"/>
          </w:tcPr>
          <w:p w14:paraId="4455AE96">
            <w:pPr>
              <w:adjustRightInd w:val="0"/>
              <w:snapToGrid w:val="0"/>
              <w:spacing w:line="276" w:lineRule="auto"/>
              <w:jc w:val="center"/>
              <w:rPr>
                <w:rFonts w:ascii="宋体" w:hAnsi="宋体" w:eastAsia="宋体"/>
                <w:b/>
                <w:sz w:val="21"/>
                <w:szCs w:val="21"/>
              </w:rPr>
            </w:pPr>
            <w:r>
              <w:rPr>
                <w:rFonts w:hint="eastAsia" w:ascii="宋体" w:hAnsi="宋体" w:eastAsia="宋体"/>
                <w:b/>
                <w:sz w:val="21"/>
                <w:szCs w:val="21"/>
              </w:rPr>
              <w:t>讲授学时</w:t>
            </w:r>
          </w:p>
        </w:tc>
      </w:tr>
      <w:tr w14:paraId="7EA8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53E4EB61">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1</w:t>
            </w:r>
          </w:p>
        </w:tc>
        <w:tc>
          <w:tcPr>
            <w:tcW w:w="3106" w:type="dxa"/>
          </w:tcPr>
          <w:p w14:paraId="5925A142">
            <w:pPr>
              <w:adjustRightInd w:val="0"/>
              <w:snapToGrid w:val="0"/>
              <w:spacing w:line="276" w:lineRule="auto"/>
              <w:rPr>
                <w:rFonts w:ascii="宋体" w:hAnsi="宋体" w:eastAsia="宋体"/>
                <w:sz w:val="21"/>
                <w:szCs w:val="21"/>
              </w:rPr>
            </w:pPr>
            <w:r>
              <w:rPr>
                <w:rFonts w:hint="eastAsia" w:ascii="宋体" w:hAnsi="宋体" w:eastAsia="宋体"/>
                <w:sz w:val="21"/>
                <w:szCs w:val="21"/>
              </w:rPr>
              <w:t>教育劳动和教师职业道德</w:t>
            </w:r>
          </w:p>
        </w:tc>
        <w:tc>
          <w:tcPr>
            <w:tcW w:w="2006" w:type="dxa"/>
            <w:vAlign w:val="center"/>
          </w:tcPr>
          <w:p w14:paraId="648333F1">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w:t>
            </w:r>
          </w:p>
        </w:tc>
        <w:tc>
          <w:tcPr>
            <w:tcW w:w="1646" w:type="dxa"/>
          </w:tcPr>
          <w:p w14:paraId="05C65251">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-1</w:t>
            </w: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-1</w:t>
            </w:r>
          </w:p>
        </w:tc>
        <w:tc>
          <w:tcPr>
            <w:tcW w:w="1161" w:type="dxa"/>
          </w:tcPr>
          <w:p w14:paraId="7D923264">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4CE7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23" w:type="dxa"/>
            <w:vAlign w:val="center"/>
          </w:tcPr>
          <w:p w14:paraId="3BFBFDF4">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c>
          <w:tcPr>
            <w:tcW w:w="3106" w:type="dxa"/>
          </w:tcPr>
          <w:p w14:paraId="3BAC6549">
            <w:pPr>
              <w:adjustRightInd w:val="0"/>
              <w:snapToGrid w:val="0"/>
              <w:spacing w:line="276" w:lineRule="auto"/>
              <w:rPr>
                <w:rFonts w:ascii="宋体" w:hAnsi="宋体" w:eastAsia="宋体"/>
                <w:sz w:val="21"/>
                <w:szCs w:val="21"/>
              </w:rPr>
            </w:pPr>
            <w:r>
              <w:rPr>
                <w:rFonts w:hint="eastAsia" w:ascii="宋体" w:hAnsi="宋体" w:eastAsia="宋体"/>
                <w:sz w:val="21"/>
                <w:szCs w:val="21"/>
              </w:rPr>
              <w:t>教师职业道德范畴与基本原则</w:t>
            </w:r>
          </w:p>
        </w:tc>
        <w:tc>
          <w:tcPr>
            <w:tcW w:w="2006" w:type="dxa"/>
            <w:vAlign w:val="center"/>
          </w:tcPr>
          <w:p w14:paraId="1A93F898">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目标1、2</w:t>
            </w:r>
          </w:p>
        </w:tc>
        <w:tc>
          <w:tcPr>
            <w:tcW w:w="1646" w:type="dxa"/>
          </w:tcPr>
          <w:p w14:paraId="0A253F37">
            <w:pPr>
              <w:adjustRightInd w:val="0"/>
              <w:snapToGrid w:val="0"/>
              <w:spacing w:line="276" w:lineRule="auto"/>
              <w:rPr>
                <w:rFonts w:ascii="宋体" w:hAnsi="宋体" w:eastAsia="宋体"/>
                <w:sz w:val="21"/>
                <w:szCs w:val="21"/>
              </w:rPr>
            </w:pPr>
            <w:r>
              <w:rPr>
                <w:rFonts w:hint="eastAsia" w:ascii="宋体" w:hAnsi="宋体" w:eastAsia="宋体"/>
                <w:sz w:val="21"/>
                <w:szCs w:val="21"/>
              </w:rPr>
              <w:t>2</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-3</w:t>
            </w:r>
            <w:r>
              <w:rPr>
                <w:rFonts w:hint="eastAsia" w:ascii="宋体" w:hAnsi="宋体" w:eastAsia="宋体"/>
                <w:sz w:val="21"/>
                <w:szCs w:val="21"/>
              </w:rPr>
              <w:t>、5</w:t>
            </w:r>
            <w:r>
              <w:rPr>
                <w:rFonts w:ascii="宋体" w:hAnsi="宋体" w:eastAsia="宋体"/>
                <w:sz w:val="21"/>
                <w:szCs w:val="21"/>
              </w:rPr>
              <w:t>-2</w:t>
            </w:r>
          </w:p>
        </w:tc>
        <w:tc>
          <w:tcPr>
            <w:tcW w:w="1161" w:type="dxa"/>
          </w:tcPr>
          <w:p w14:paraId="296CD6F3">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0529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25F7077F">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4</w:t>
            </w:r>
          </w:p>
        </w:tc>
        <w:tc>
          <w:tcPr>
            <w:tcW w:w="3106" w:type="dxa"/>
          </w:tcPr>
          <w:p w14:paraId="7593EC7A">
            <w:pPr>
              <w:adjustRightInd w:val="0"/>
              <w:snapToGrid w:val="0"/>
              <w:spacing w:line="276" w:lineRule="auto"/>
              <w:rPr>
                <w:rFonts w:ascii="宋体" w:hAnsi="宋体" w:eastAsia="宋体"/>
                <w:sz w:val="21"/>
                <w:szCs w:val="21"/>
              </w:rPr>
            </w:pPr>
            <w:r>
              <w:rPr>
                <w:rFonts w:hint="eastAsia" w:ascii="宋体" w:hAnsi="宋体" w:eastAsia="宋体"/>
                <w:sz w:val="21"/>
                <w:szCs w:val="21"/>
              </w:rPr>
              <w:t>师生交往中的道德问题</w:t>
            </w:r>
          </w:p>
        </w:tc>
        <w:tc>
          <w:tcPr>
            <w:tcW w:w="2006" w:type="dxa"/>
            <w:vAlign w:val="center"/>
          </w:tcPr>
          <w:p w14:paraId="585636F0">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目标1、3</w:t>
            </w:r>
          </w:p>
        </w:tc>
        <w:tc>
          <w:tcPr>
            <w:tcW w:w="1646" w:type="dxa"/>
          </w:tcPr>
          <w:p w14:paraId="21ECDF0D">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-3</w:t>
            </w:r>
            <w:r>
              <w:rPr>
                <w:rFonts w:hint="eastAsia" w:ascii="宋体" w:hAnsi="宋体" w:eastAsia="宋体"/>
                <w:sz w:val="21"/>
                <w:szCs w:val="21"/>
              </w:rPr>
              <w:t>、7</w:t>
            </w:r>
            <w:r>
              <w:rPr>
                <w:rFonts w:ascii="宋体" w:hAnsi="宋体" w:eastAsia="宋体"/>
                <w:sz w:val="21"/>
                <w:szCs w:val="21"/>
              </w:rPr>
              <w:t>-2</w:t>
            </w:r>
          </w:p>
        </w:tc>
        <w:tc>
          <w:tcPr>
            <w:tcW w:w="1161" w:type="dxa"/>
          </w:tcPr>
          <w:p w14:paraId="78441488">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07E8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02F0CB70">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5</w:t>
            </w:r>
          </w:p>
        </w:tc>
        <w:tc>
          <w:tcPr>
            <w:tcW w:w="3106" w:type="dxa"/>
          </w:tcPr>
          <w:p w14:paraId="7AE63076">
            <w:pPr>
              <w:adjustRightInd w:val="0"/>
              <w:snapToGrid w:val="0"/>
              <w:spacing w:line="276" w:lineRule="auto"/>
              <w:rPr>
                <w:rFonts w:ascii="宋体" w:hAnsi="宋体" w:eastAsia="宋体"/>
                <w:sz w:val="21"/>
                <w:szCs w:val="21"/>
              </w:rPr>
            </w:pPr>
            <w:r>
              <w:rPr>
                <w:rFonts w:hint="eastAsia" w:ascii="宋体" w:hAnsi="宋体" w:eastAsia="宋体"/>
                <w:sz w:val="21"/>
                <w:szCs w:val="21"/>
              </w:rPr>
              <w:t>家校合作中的道德问题</w:t>
            </w:r>
          </w:p>
        </w:tc>
        <w:tc>
          <w:tcPr>
            <w:tcW w:w="2006" w:type="dxa"/>
            <w:vAlign w:val="center"/>
          </w:tcPr>
          <w:p w14:paraId="49FCB7F4">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目标1、3</w:t>
            </w:r>
          </w:p>
        </w:tc>
        <w:tc>
          <w:tcPr>
            <w:tcW w:w="1646" w:type="dxa"/>
          </w:tcPr>
          <w:p w14:paraId="06019F84">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-3</w:t>
            </w:r>
            <w:r>
              <w:rPr>
                <w:rFonts w:hint="eastAsia" w:ascii="宋体" w:hAnsi="宋体" w:eastAsia="宋体"/>
                <w:sz w:val="21"/>
                <w:szCs w:val="21"/>
              </w:rPr>
              <w:t>、7</w:t>
            </w:r>
            <w:r>
              <w:rPr>
                <w:rFonts w:ascii="宋体" w:hAnsi="宋体" w:eastAsia="宋体"/>
                <w:sz w:val="21"/>
                <w:szCs w:val="21"/>
              </w:rPr>
              <w:t>-2</w:t>
            </w:r>
          </w:p>
        </w:tc>
        <w:tc>
          <w:tcPr>
            <w:tcW w:w="1161" w:type="dxa"/>
          </w:tcPr>
          <w:p w14:paraId="683E7D2A">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12E1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1E3EA866">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6</w:t>
            </w:r>
          </w:p>
        </w:tc>
        <w:tc>
          <w:tcPr>
            <w:tcW w:w="3106" w:type="dxa"/>
          </w:tcPr>
          <w:p w14:paraId="5144DEC6">
            <w:pPr>
              <w:adjustRightInd w:val="0"/>
              <w:snapToGrid w:val="0"/>
              <w:spacing w:line="276" w:lineRule="auto"/>
              <w:rPr>
                <w:rFonts w:ascii="宋体" w:hAnsi="宋体" w:eastAsia="宋体"/>
                <w:sz w:val="21"/>
                <w:szCs w:val="21"/>
              </w:rPr>
            </w:pPr>
            <w:r>
              <w:rPr>
                <w:rFonts w:hint="eastAsia" w:ascii="宋体" w:hAnsi="宋体" w:eastAsia="宋体"/>
                <w:sz w:val="21"/>
                <w:szCs w:val="21"/>
              </w:rPr>
              <w:t>教师集体中的道德问题</w:t>
            </w:r>
          </w:p>
        </w:tc>
        <w:tc>
          <w:tcPr>
            <w:tcW w:w="2006" w:type="dxa"/>
            <w:vAlign w:val="center"/>
          </w:tcPr>
          <w:p w14:paraId="248E531A">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目标1、3</w:t>
            </w:r>
          </w:p>
        </w:tc>
        <w:tc>
          <w:tcPr>
            <w:tcW w:w="1646" w:type="dxa"/>
          </w:tcPr>
          <w:p w14:paraId="723FE5CB">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-3</w:t>
            </w:r>
            <w:r>
              <w:rPr>
                <w:rFonts w:hint="eastAsia" w:ascii="宋体" w:hAnsi="宋体" w:eastAsia="宋体"/>
                <w:sz w:val="21"/>
                <w:szCs w:val="21"/>
              </w:rPr>
              <w:t>、7</w:t>
            </w:r>
            <w:r>
              <w:rPr>
                <w:rFonts w:ascii="宋体" w:hAnsi="宋体" w:eastAsia="宋体"/>
                <w:sz w:val="21"/>
                <w:szCs w:val="21"/>
              </w:rPr>
              <w:t>-2</w:t>
            </w:r>
          </w:p>
        </w:tc>
        <w:tc>
          <w:tcPr>
            <w:tcW w:w="1161" w:type="dxa"/>
          </w:tcPr>
          <w:p w14:paraId="5717BCDB">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688C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23" w:type="dxa"/>
            <w:vAlign w:val="center"/>
          </w:tcPr>
          <w:p w14:paraId="0B2E415C">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7</w:t>
            </w:r>
          </w:p>
        </w:tc>
        <w:tc>
          <w:tcPr>
            <w:tcW w:w="3106" w:type="dxa"/>
          </w:tcPr>
          <w:p w14:paraId="693C3C5C">
            <w:pPr>
              <w:adjustRightInd w:val="0"/>
              <w:snapToGrid w:val="0"/>
              <w:spacing w:line="276" w:lineRule="auto"/>
              <w:rPr>
                <w:rFonts w:ascii="宋体" w:hAnsi="宋体" w:eastAsia="宋体"/>
                <w:sz w:val="21"/>
                <w:szCs w:val="21"/>
              </w:rPr>
            </w:pPr>
            <w:r>
              <w:rPr>
                <w:rFonts w:hint="eastAsia" w:ascii="宋体" w:hAnsi="宋体" w:eastAsia="宋体"/>
                <w:sz w:val="21"/>
                <w:szCs w:val="21"/>
              </w:rPr>
              <w:t>课堂教学中的道德问题</w:t>
            </w:r>
          </w:p>
        </w:tc>
        <w:tc>
          <w:tcPr>
            <w:tcW w:w="2006" w:type="dxa"/>
            <w:vAlign w:val="center"/>
          </w:tcPr>
          <w:p w14:paraId="0A14A6BF">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目标1、4</w:t>
            </w:r>
          </w:p>
        </w:tc>
        <w:tc>
          <w:tcPr>
            <w:tcW w:w="1646" w:type="dxa"/>
          </w:tcPr>
          <w:p w14:paraId="58B22357">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、7</w:t>
            </w:r>
            <w:r>
              <w:rPr>
                <w:rFonts w:ascii="宋体" w:hAnsi="宋体" w:eastAsia="宋体"/>
                <w:sz w:val="21"/>
                <w:szCs w:val="21"/>
              </w:rPr>
              <w:t>-2</w:t>
            </w:r>
          </w:p>
        </w:tc>
        <w:tc>
          <w:tcPr>
            <w:tcW w:w="1161" w:type="dxa"/>
          </w:tcPr>
          <w:p w14:paraId="30D92C79">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31D8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551416FE">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8</w:t>
            </w:r>
          </w:p>
        </w:tc>
        <w:tc>
          <w:tcPr>
            <w:tcW w:w="3106" w:type="dxa"/>
          </w:tcPr>
          <w:p w14:paraId="74A0CEF1">
            <w:pPr>
              <w:adjustRightInd w:val="0"/>
              <w:snapToGrid w:val="0"/>
              <w:spacing w:line="276" w:lineRule="auto"/>
              <w:rPr>
                <w:rFonts w:ascii="宋体" w:hAnsi="宋体" w:eastAsia="宋体"/>
                <w:sz w:val="21"/>
                <w:szCs w:val="21"/>
              </w:rPr>
            </w:pPr>
            <w:r>
              <w:rPr>
                <w:rFonts w:hint="eastAsia" w:ascii="宋体" w:hAnsi="宋体" w:eastAsia="宋体"/>
                <w:sz w:val="21"/>
                <w:szCs w:val="21"/>
              </w:rPr>
              <w:t>学校行政管理中的道德问题</w:t>
            </w:r>
          </w:p>
        </w:tc>
        <w:tc>
          <w:tcPr>
            <w:tcW w:w="2006" w:type="dxa"/>
            <w:vAlign w:val="center"/>
          </w:tcPr>
          <w:p w14:paraId="0A12A6F5">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目标1、4</w:t>
            </w:r>
          </w:p>
        </w:tc>
        <w:tc>
          <w:tcPr>
            <w:tcW w:w="1646" w:type="dxa"/>
          </w:tcPr>
          <w:p w14:paraId="7847AD58">
            <w:pPr>
              <w:adjustRightInd w:val="0"/>
              <w:snapToGrid w:val="0"/>
              <w:spacing w:line="276" w:lineRule="auto"/>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-2</w:t>
            </w:r>
            <w:r>
              <w:rPr>
                <w:rFonts w:hint="eastAsia" w:ascii="宋体" w:hAnsi="宋体" w:eastAsia="宋体"/>
                <w:sz w:val="21"/>
                <w:szCs w:val="21"/>
              </w:rPr>
              <w:t>、7</w:t>
            </w:r>
            <w:r>
              <w:rPr>
                <w:rFonts w:ascii="宋体" w:hAnsi="宋体" w:eastAsia="宋体"/>
                <w:sz w:val="21"/>
                <w:szCs w:val="21"/>
              </w:rPr>
              <w:t>-2</w:t>
            </w:r>
          </w:p>
        </w:tc>
        <w:tc>
          <w:tcPr>
            <w:tcW w:w="1161" w:type="dxa"/>
          </w:tcPr>
          <w:p w14:paraId="59910836">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2309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3" w:type="dxa"/>
            <w:vAlign w:val="center"/>
          </w:tcPr>
          <w:p w14:paraId="7A6DBEE1">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9</w:t>
            </w:r>
          </w:p>
        </w:tc>
        <w:tc>
          <w:tcPr>
            <w:tcW w:w="3106" w:type="dxa"/>
          </w:tcPr>
          <w:p w14:paraId="11139202">
            <w:pPr>
              <w:adjustRightInd w:val="0"/>
              <w:snapToGrid w:val="0"/>
              <w:spacing w:line="276" w:lineRule="auto"/>
              <w:rPr>
                <w:rFonts w:ascii="宋体" w:hAnsi="宋体" w:eastAsia="宋体"/>
                <w:sz w:val="21"/>
                <w:szCs w:val="21"/>
              </w:rPr>
            </w:pPr>
            <w:r>
              <w:rPr>
                <w:rFonts w:hint="eastAsia" w:ascii="宋体" w:hAnsi="宋体" w:eastAsia="宋体"/>
                <w:sz w:val="21"/>
                <w:szCs w:val="21"/>
              </w:rPr>
              <w:t>教师职业道德修养</w:t>
            </w:r>
          </w:p>
        </w:tc>
        <w:tc>
          <w:tcPr>
            <w:tcW w:w="2006" w:type="dxa"/>
            <w:vAlign w:val="center"/>
          </w:tcPr>
          <w:p w14:paraId="2B2FE06A">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目标1、2</w:t>
            </w:r>
          </w:p>
        </w:tc>
        <w:tc>
          <w:tcPr>
            <w:tcW w:w="1646" w:type="dxa"/>
          </w:tcPr>
          <w:p w14:paraId="1D0B0727">
            <w:pPr>
              <w:adjustRightInd w:val="0"/>
              <w:snapToGrid w:val="0"/>
              <w:spacing w:line="276" w:lineRule="auto"/>
              <w:rPr>
                <w:rFonts w:ascii="宋体" w:hAnsi="宋体" w:eastAsia="宋体"/>
                <w:sz w:val="21"/>
                <w:szCs w:val="21"/>
              </w:rPr>
            </w:pPr>
            <w:r>
              <w:rPr>
                <w:rFonts w:hint="eastAsia" w:ascii="宋体" w:hAnsi="宋体" w:eastAsia="宋体"/>
                <w:sz w:val="21"/>
                <w:szCs w:val="21"/>
              </w:rPr>
              <w:t>2</w:t>
            </w:r>
            <w:r>
              <w:rPr>
                <w:rFonts w:ascii="宋体" w:hAnsi="宋体" w:eastAsia="宋体"/>
                <w:sz w:val="21"/>
                <w:szCs w:val="21"/>
              </w:rPr>
              <w:t>-2</w:t>
            </w:r>
            <w:r>
              <w:rPr>
                <w:rFonts w:hint="eastAsia" w:ascii="宋体" w:hAnsi="宋体" w:eastAsia="宋体"/>
                <w:sz w:val="21"/>
                <w:szCs w:val="21"/>
              </w:rPr>
              <w:t>、2</w:t>
            </w:r>
            <w:r>
              <w:rPr>
                <w:rFonts w:ascii="宋体" w:hAnsi="宋体" w:eastAsia="宋体"/>
                <w:sz w:val="21"/>
                <w:szCs w:val="21"/>
              </w:rPr>
              <w:t>-3</w:t>
            </w:r>
            <w:r>
              <w:rPr>
                <w:rFonts w:hint="eastAsia" w:ascii="宋体" w:hAnsi="宋体" w:eastAsia="宋体"/>
                <w:sz w:val="21"/>
                <w:szCs w:val="21"/>
              </w:rPr>
              <w:t>、5</w:t>
            </w:r>
            <w:r>
              <w:rPr>
                <w:rFonts w:ascii="宋体" w:hAnsi="宋体" w:eastAsia="宋体"/>
                <w:sz w:val="21"/>
                <w:szCs w:val="21"/>
              </w:rPr>
              <w:t>-2</w:t>
            </w:r>
          </w:p>
        </w:tc>
        <w:tc>
          <w:tcPr>
            <w:tcW w:w="1161" w:type="dxa"/>
          </w:tcPr>
          <w:p w14:paraId="7B93BB87">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2</w:t>
            </w:r>
          </w:p>
        </w:tc>
      </w:tr>
      <w:tr w14:paraId="53E0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481" w:type="dxa"/>
            <w:gridSpan w:val="4"/>
            <w:vAlign w:val="center"/>
          </w:tcPr>
          <w:p w14:paraId="5FBD5DDB">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合计</w:t>
            </w:r>
          </w:p>
        </w:tc>
        <w:tc>
          <w:tcPr>
            <w:tcW w:w="1161" w:type="dxa"/>
          </w:tcPr>
          <w:p w14:paraId="0BADF797">
            <w:pPr>
              <w:adjustRightInd w:val="0"/>
              <w:snapToGrid w:val="0"/>
              <w:spacing w:line="276" w:lineRule="auto"/>
              <w:jc w:val="center"/>
              <w:rPr>
                <w:rFonts w:ascii="宋体" w:hAnsi="宋体" w:eastAsia="宋体"/>
                <w:sz w:val="21"/>
                <w:szCs w:val="21"/>
              </w:rPr>
            </w:pPr>
            <w:r>
              <w:rPr>
                <w:rFonts w:hint="eastAsia" w:ascii="宋体" w:hAnsi="宋体" w:eastAsia="宋体"/>
                <w:sz w:val="21"/>
                <w:szCs w:val="21"/>
              </w:rPr>
              <w:t>1</w:t>
            </w:r>
            <w:r>
              <w:rPr>
                <w:rFonts w:ascii="宋体" w:hAnsi="宋体" w:eastAsia="宋体"/>
                <w:sz w:val="21"/>
                <w:szCs w:val="21"/>
              </w:rPr>
              <w:t>6</w:t>
            </w:r>
          </w:p>
        </w:tc>
      </w:tr>
    </w:tbl>
    <w:p w14:paraId="2D6F1605">
      <w:pPr>
        <w:spacing w:line="276" w:lineRule="auto"/>
        <w:ind w:firstLine="422" w:firstLineChars="150"/>
        <w:rPr>
          <w:rFonts w:ascii="宋体" w:hAnsi="宋体" w:eastAsia="宋体"/>
          <w:b/>
          <w:sz w:val="28"/>
        </w:rPr>
      </w:pPr>
      <w:r>
        <w:rPr>
          <w:rFonts w:hint="eastAsia" w:ascii="宋体" w:hAnsi="宋体" w:eastAsia="宋体"/>
          <w:b/>
          <w:sz w:val="28"/>
        </w:rPr>
        <w:t>四、课程实施</w:t>
      </w:r>
    </w:p>
    <w:p w14:paraId="531D53FB">
      <w:pPr>
        <w:spacing w:line="276" w:lineRule="auto"/>
        <w:ind w:firstLine="315" w:firstLineChars="150"/>
        <w:rPr>
          <w:rFonts w:ascii="宋体" w:hAnsi="宋体" w:eastAsia="宋体"/>
        </w:rPr>
      </w:pPr>
      <w:r>
        <w:rPr>
          <w:rFonts w:hint="eastAsia" w:ascii="宋体" w:hAnsi="宋体" w:eastAsia="宋体"/>
        </w:rPr>
        <w:t>（一）</w:t>
      </w:r>
      <w:r>
        <w:rPr>
          <w:rFonts w:ascii="宋体" w:hAnsi="宋体" w:eastAsia="宋体"/>
        </w:rPr>
        <w:t>课程</w:t>
      </w:r>
      <w:r>
        <w:rPr>
          <w:rFonts w:hint="eastAsia" w:ascii="宋体" w:hAnsi="宋体" w:eastAsia="宋体"/>
        </w:rPr>
        <w:t>在展开之前，借助教学视频、教育讲座等形式建立学生对教师职业的直观感受与体验，认识小学教师的职业特殊性与价值感。</w:t>
      </w:r>
    </w:p>
    <w:p w14:paraId="012F0D5D">
      <w:pPr>
        <w:spacing w:line="276" w:lineRule="auto"/>
        <w:ind w:firstLine="315" w:firstLineChars="150"/>
        <w:rPr>
          <w:rFonts w:ascii="宋体" w:hAnsi="宋体" w:eastAsia="宋体"/>
        </w:rPr>
      </w:pPr>
      <w:r>
        <w:rPr>
          <w:rFonts w:hint="eastAsia" w:ascii="宋体" w:hAnsi="宋体" w:eastAsia="宋体"/>
        </w:rPr>
        <w:t>（二）课程教学中，充分搜集优秀教师工作日记、教育叙事、教育案例、教学视频，提升学生对小学教育工作的全面认识。</w:t>
      </w:r>
    </w:p>
    <w:p w14:paraId="4F866D1C">
      <w:pPr>
        <w:spacing w:line="276" w:lineRule="auto"/>
        <w:ind w:firstLine="315" w:firstLineChars="150"/>
        <w:rPr>
          <w:rFonts w:ascii="宋体" w:hAnsi="宋体" w:eastAsia="宋体"/>
        </w:rPr>
      </w:pPr>
      <w:r>
        <w:rPr>
          <w:rFonts w:hint="eastAsia" w:ascii="宋体" w:hAnsi="宋体" w:eastAsia="宋体"/>
        </w:rPr>
        <w:t>（三）课程要着重于引导学生分析教师职业历程中会出现的一些问题，从职业道德的角度审视教师行为，学会分析和作出判断，并提供相应对策。</w:t>
      </w:r>
    </w:p>
    <w:p w14:paraId="05F0A22E">
      <w:pPr>
        <w:spacing w:line="276" w:lineRule="auto"/>
        <w:ind w:firstLine="315" w:firstLineChars="150"/>
        <w:rPr>
          <w:rFonts w:ascii="宋体" w:hAnsi="宋体" w:eastAsia="宋体"/>
        </w:rPr>
      </w:pPr>
      <w:r>
        <w:rPr>
          <w:rFonts w:hint="eastAsia" w:ascii="宋体" w:hAnsi="宋体" w:eastAsia="宋体"/>
        </w:rPr>
        <w:t>（四）教师要积极采用</w:t>
      </w:r>
      <w:r>
        <w:rPr>
          <w:rFonts w:ascii="宋体" w:hAnsi="宋体" w:eastAsia="宋体"/>
        </w:rPr>
        <w:t>平时考勤</w:t>
      </w:r>
      <w:r>
        <w:rPr>
          <w:rFonts w:hint="eastAsia" w:ascii="宋体" w:hAnsi="宋体" w:eastAsia="宋体"/>
        </w:rPr>
        <w:t>、课堂讨论</w:t>
      </w:r>
      <w:r>
        <w:rPr>
          <w:rFonts w:ascii="宋体" w:hAnsi="宋体" w:eastAsia="宋体"/>
        </w:rPr>
        <w:t>、</w:t>
      </w:r>
      <w:r>
        <w:rPr>
          <w:rFonts w:hint="eastAsia" w:ascii="宋体" w:hAnsi="宋体" w:eastAsia="宋体"/>
        </w:rPr>
        <w:t>作业、期末考试</w:t>
      </w:r>
      <w:r>
        <w:rPr>
          <w:rFonts w:ascii="宋体" w:hAnsi="宋体" w:eastAsia="宋体"/>
        </w:rPr>
        <w:t>等多种形式相结合</w:t>
      </w:r>
      <w:r>
        <w:rPr>
          <w:rFonts w:hint="eastAsia" w:ascii="宋体" w:hAnsi="宋体" w:eastAsia="宋体"/>
        </w:rPr>
        <w:t>的</w:t>
      </w:r>
      <w:r>
        <w:rPr>
          <w:rFonts w:ascii="宋体" w:hAnsi="宋体" w:eastAsia="宋体"/>
        </w:rPr>
        <w:t>考核方法，引导学生</w:t>
      </w:r>
      <w:r>
        <w:rPr>
          <w:rFonts w:hint="eastAsia" w:ascii="宋体" w:hAnsi="宋体" w:eastAsia="宋体"/>
        </w:rPr>
        <w:t>按时、保质保量地</w:t>
      </w:r>
      <w:r>
        <w:rPr>
          <w:rFonts w:ascii="宋体" w:hAnsi="宋体" w:eastAsia="宋体"/>
        </w:rPr>
        <w:t>完成</w:t>
      </w:r>
      <w:r>
        <w:rPr>
          <w:rFonts w:hint="eastAsia" w:ascii="宋体" w:hAnsi="宋体" w:eastAsia="宋体"/>
        </w:rPr>
        <w:t>本</w:t>
      </w:r>
      <w:r>
        <w:rPr>
          <w:rFonts w:ascii="宋体" w:hAnsi="宋体" w:eastAsia="宋体"/>
        </w:rPr>
        <w:t>课程</w:t>
      </w:r>
      <w:r>
        <w:rPr>
          <w:rFonts w:hint="eastAsia" w:ascii="宋体" w:hAnsi="宋体" w:eastAsia="宋体"/>
        </w:rPr>
        <w:t>学习</w:t>
      </w:r>
      <w:r>
        <w:rPr>
          <w:rFonts w:ascii="宋体" w:hAnsi="宋体" w:eastAsia="宋体"/>
        </w:rPr>
        <w:t>任务。</w:t>
      </w:r>
    </w:p>
    <w:p w14:paraId="2613D378">
      <w:pPr>
        <w:spacing w:line="276" w:lineRule="auto"/>
        <w:ind w:firstLine="316" w:firstLineChars="150"/>
        <w:rPr>
          <w:rFonts w:ascii="宋体" w:hAnsi="宋体" w:eastAsia="宋体"/>
          <w:b/>
        </w:rPr>
      </w:pPr>
      <w:r>
        <w:rPr>
          <w:rFonts w:hint="eastAsia" w:ascii="宋体" w:hAnsi="宋体" w:eastAsia="宋体"/>
          <w:b/>
        </w:rPr>
        <w:t>主要教学环节的质量要求如表所示：</w:t>
      </w:r>
    </w:p>
    <w:tbl>
      <w:tblPr>
        <w:tblStyle w:val="30"/>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40"/>
        <w:gridCol w:w="7123"/>
      </w:tblGrid>
      <w:tr w14:paraId="7AFC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90" w:type="dxa"/>
            <w:gridSpan w:val="2"/>
            <w:tcBorders>
              <w:top w:val="single" w:color="auto" w:sz="8" w:space="0"/>
              <w:left w:val="single" w:color="auto" w:sz="8" w:space="0"/>
              <w:right w:val="single" w:color="auto" w:sz="8" w:space="0"/>
            </w:tcBorders>
            <w:tcMar>
              <w:left w:w="28" w:type="dxa"/>
              <w:right w:w="28" w:type="dxa"/>
            </w:tcMar>
            <w:vAlign w:val="center"/>
          </w:tcPr>
          <w:p w14:paraId="3352CBCD">
            <w:pPr>
              <w:adjustRightInd w:val="0"/>
              <w:snapToGrid w:val="0"/>
              <w:spacing w:line="276" w:lineRule="auto"/>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bCs/>
                <w:color w:val="000000" w:themeColor="text1"/>
                <w:sz w:val="21"/>
                <w:szCs w:val="21"/>
                <w14:textFill>
                  <w14:solidFill>
                    <w14:schemeClr w14:val="tx1"/>
                  </w14:solidFill>
                </w14:textFill>
              </w:rPr>
              <w:t>主要教学环节</w:t>
            </w:r>
          </w:p>
        </w:tc>
        <w:tc>
          <w:tcPr>
            <w:tcW w:w="7123" w:type="dxa"/>
            <w:tcBorders>
              <w:top w:val="single" w:color="auto" w:sz="8" w:space="0"/>
              <w:left w:val="single" w:color="auto" w:sz="8" w:space="0"/>
              <w:right w:val="single" w:color="auto" w:sz="8" w:space="0"/>
            </w:tcBorders>
            <w:vAlign w:val="center"/>
          </w:tcPr>
          <w:p w14:paraId="330DD87A">
            <w:pPr>
              <w:adjustRightInd w:val="0"/>
              <w:snapToGrid w:val="0"/>
              <w:spacing w:line="276" w:lineRule="auto"/>
              <w:jc w:val="center"/>
              <w:rPr>
                <w:rFonts w:ascii="宋体" w:hAnsi="宋体" w:eastAsia="宋体" w:cs="Times New Roman"/>
                <w:b/>
                <w:color w:val="000000" w:themeColor="text1"/>
                <w:sz w:val="21"/>
                <w:szCs w:val="21"/>
                <w14:textFill>
                  <w14:solidFill>
                    <w14:schemeClr w14:val="tx1"/>
                  </w14:solidFill>
                </w14:textFill>
              </w:rPr>
            </w:pPr>
            <w:r>
              <w:rPr>
                <w:rFonts w:ascii="宋体" w:hAnsi="宋体" w:eastAsia="宋体" w:cs="Times New Roman"/>
                <w:b/>
                <w:bCs/>
                <w:color w:val="000000" w:themeColor="text1"/>
                <w:sz w:val="21"/>
                <w:szCs w:val="21"/>
                <w14:textFill>
                  <w14:solidFill>
                    <w14:schemeClr w14:val="tx1"/>
                  </w14:solidFill>
                </w14:textFill>
              </w:rPr>
              <w:t>质量</w:t>
            </w:r>
            <w:r>
              <w:rPr>
                <w:rFonts w:hint="eastAsia" w:ascii="宋体" w:hAnsi="宋体" w:eastAsia="宋体" w:cs="Times New Roman"/>
                <w:b/>
                <w:bCs/>
                <w:color w:val="000000" w:themeColor="text1"/>
                <w:sz w:val="21"/>
                <w:szCs w:val="21"/>
                <w14:textFill>
                  <w14:solidFill>
                    <w14:schemeClr w14:val="tx1"/>
                  </w14:solidFill>
                </w14:textFill>
              </w:rPr>
              <w:t>要求</w:t>
            </w:r>
          </w:p>
        </w:tc>
      </w:tr>
      <w:tr w14:paraId="14CD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550" w:type="dxa"/>
            <w:tcBorders>
              <w:left w:val="single" w:color="auto" w:sz="8" w:space="0"/>
            </w:tcBorders>
            <w:vAlign w:val="center"/>
          </w:tcPr>
          <w:p w14:paraId="1334C29E">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w:t>
            </w:r>
          </w:p>
        </w:tc>
        <w:tc>
          <w:tcPr>
            <w:tcW w:w="940" w:type="dxa"/>
            <w:tcMar>
              <w:left w:w="28" w:type="dxa"/>
              <w:right w:w="28" w:type="dxa"/>
            </w:tcMar>
            <w:vAlign w:val="center"/>
          </w:tcPr>
          <w:p w14:paraId="0B3CC201">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备课</w:t>
            </w:r>
          </w:p>
        </w:tc>
        <w:tc>
          <w:tcPr>
            <w:tcW w:w="7123" w:type="dxa"/>
            <w:tcBorders>
              <w:right w:val="single" w:color="auto" w:sz="8" w:space="0"/>
            </w:tcBorders>
            <w:vAlign w:val="center"/>
          </w:tcPr>
          <w:p w14:paraId="4FB30003">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（1）掌握课程教学大纲内容，严格按照教学大纲要求进行课程教学组织。</w:t>
            </w:r>
          </w:p>
          <w:p w14:paraId="768128AA">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（2）悉心了解学生的发展水平，深透钻研教材内容，广泛阅读相关文献资料，精心选择教学方法、组织形式</w:t>
            </w:r>
            <w:r>
              <w:rPr>
                <w:rFonts w:hint="eastAsia" w:ascii="宋体" w:hAnsi="宋体" w:eastAsia="宋体" w:cs="Times New Roman"/>
                <w:color w:val="000000" w:themeColor="text1"/>
                <w:sz w:val="21"/>
                <w:szCs w:val="21"/>
                <w14:textFill>
                  <w14:solidFill>
                    <w14:schemeClr w14:val="tx1"/>
                  </w14:solidFill>
                </w14:textFill>
              </w:rPr>
              <w:t>和教学手段，认真</w:t>
            </w:r>
            <w:r>
              <w:rPr>
                <w:rFonts w:ascii="宋体" w:hAnsi="宋体" w:eastAsia="宋体" w:cs="Times New Roman"/>
                <w:color w:val="000000" w:themeColor="text1"/>
                <w:sz w:val="21"/>
                <w:szCs w:val="21"/>
                <w14:textFill>
                  <w14:solidFill>
                    <w14:schemeClr w14:val="tx1"/>
                  </w14:solidFill>
                </w14:textFill>
              </w:rPr>
              <w:t>编写授课计划。</w:t>
            </w:r>
          </w:p>
        </w:tc>
      </w:tr>
      <w:tr w14:paraId="3235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trPr>
        <w:tc>
          <w:tcPr>
            <w:tcW w:w="550" w:type="dxa"/>
            <w:tcBorders>
              <w:left w:val="single" w:color="auto" w:sz="8" w:space="0"/>
            </w:tcBorders>
            <w:vAlign w:val="center"/>
          </w:tcPr>
          <w:p w14:paraId="09531B11">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2</w:t>
            </w:r>
          </w:p>
        </w:tc>
        <w:tc>
          <w:tcPr>
            <w:tcW w:w="940" w:type="dxa"/>
            <w:tcMar>
              <w:left w:w="28" w:type="dxa"/>
              <w:right w:w="28" w:type="dxa"/>
            </w:tcMar>
            <w:vAlign w:val="center"/>
          </w:tcPr>
          <w:p w14:paraId="73B08FD4">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讲授</w:t>
            </w:r>
          </w:p>
        </w:tc>
        <w:tc>
          <w:tcPr>
            <w:tcW w:w="7123" w:type="dxa"/>
            <w:tcBorders>
              <w:right w:val="single" w:color="auto" w:sz="8" w:space="0"/>
            </w:tcBorders>
            <w:vAlign w:val="center"/>
          </w:tcPr>
          <w:p w14:paraId="46E49A8A">
            <w:pPr>
              <w:adjustRightInd w:val="0"/>
              <w:snapToGrid w:val="0"/>
              <w:spacing w:line="276" w:lineRule="auto"/>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w:t>
            </w:r>
            <w:r>
              <w:rPr>
                <w:rFonts w:hint="eastAsia" w:ascii="宋体" w:hAnsi="宋体" w:eastAsia="宋体" w:cs="Times New Roman"/>
                <w:color w:val="000000" w:themeColor="text1"/>
                <w:sz w:val="21"/>
                <w14:textFill>
                  <w14:solidFill>
                    <w14:schemeClr w14:val="tx1"/>
                  </w14:solidFill>
                </w14:textFill>
              </w:rPr>
              <w:t>教师仪表端庄，情绪情感要饱满；</w:t>
            </w:r>
          </w:p>
          <w:p w14:paraId="1757E50D">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（2）</w:t>
            </w:r>
            <w:r>
              <w:rPr>
                <w:rFonts w:hint="eastAsia" w:ascii="宋体" w:hAnsi="宋体" w:eastAsia="宋体" w:cs="Times New Roman"/>
                <w:color w:val="000000" w:themeColor="text1"/>
                <w:sz w:val="21"/>
                <w14:textFill>
                  <w14:solidFill>
                    <w14:schemeClr w14:val="tx1"/>
                  </w14:solidFill>
                </w14:textFill>
              </w:rPr>
              <w:t>教学准备充分，熟悉教学内容；</w:t>
            </w:r>
          </w:p>
          <w:p w14:paraId="7437A1C6">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（3）</w:t>
            </w:r>
            <w:r>
              <w:rPr>
                <w:rFonts w:hint="eastAsia" w:ascii="宋体" w:hAnsi="宋体" w:eastAsia="宋体" w:cs="Times New Roman"/>
                <w:color w:val="000000" w:themeColor="text1"/>
                <w:sz w:val="21"/>
                <w14:textFill>
                  <w14:solidFill>
                    <w14:schemeClr w14:val="tx1"/>
                  </w14:solidFill>
                </w14:textFill>
              </w:rPr>
              <w:t>教学内容充实，不断充实最新研究成果；</w:t>
            </w:r>
          </w:p>
          <w:p w14:paraId="1BDA68FF">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（4）</w:t>
            </w:r>
            <w:r>
              <w:rPr>
                <w:rFonts w:hint="eastAsia" w:ascii="宋体" w:hAnsi="宋体" w:eastAsia="宋体" w:cs="Times New Roman"/>
                <w:color w:val="000000" w:themeColor="text1"/>
                <w:sz w:val="21"/>
                <w14:textFill>
                  <w14:solidFill>
                    <w14:schemeClr w14:val="tx1"/>
                  </w14:solidFill>
                </w14:textFill>
              </w:rPr>
              <w:t>严格执行计划，教学进度适宜；</w:t>
            </w:r>
          </w:p>
          <w:p w14:paraId="408ACA72">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（5）</w:t>
            </w:r>
            <w:r>
              <w:rPr>
                <w:rFonts w:hint="eastAsia" w:ascii="宋体" w:hAnsi="宋体" w:eastAsia="宋体" w:cs="Times New Roman"/>
                <w:color w:val="000000" w:themeColor="text1"/>
                <w:sz w:val="21"/>
                <w14:textFill>
                  <w14:solidFill>
                    <w14:schemeClr w14:val="tx1"/>
                  </w14:solidFill>
                </w14:textFill>
              </w:rPr>
              <w:t>课堂教学信息充分，注重理论联系实际；</w:t>
            </w:r>
          </w:p>
          <w:p w14:paraId="017C5B64">
            <w:pPr>
              <w:adjustRightInd w:val="0"/>
              <w:snapToGrid w:val="0"/>
              <w:spacing w:line="276" w:lineRule="auto"/>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（6）</w:t>
            </w:r>
            <w:r>
              <w:rPr>
                <w:rFonts w:hint="eastAsia" w:ascii="宋体" w:hAnsi="宋体" w:eastAsia="宋体" w:cs="Times New Roman"/>
                <w:color w:val="000000" w:themeColor="text1"/>
                <w:sz w:val="21"/>
                <w14:textFill>
                  <w14:solidFill>
                    <w14:schemeClr w14:val="tx1"/>
                  </w14:solidFill>
                </w14:textFill>
              </w:rPr>
              <w:t>注重启发学生思维，灵活运用多种教学方法；</w:t>
            </w:r>
          </w:p>
          <w:p w14:paraId="48766542">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（7）</w:t>
            </w:r>
            <w:r>
              <w:rPr>
                <w:rFonts w:hint="eastAsia" w:ascii="宋体" w:hAnsi="宋体" w:eastAsia="宋体" w:cs="Times New Roman"/>
                <w:color w:val="000000" w:themeColor="text1"/>
                <w:sz w:val="21"/>
                <w14:textFill>
                  <w14:solidFill>
                    <w14:schemeClr w14:val="tx1"/>
                  </w14:solidFill>
                </w14:textFill>
              </w:rPr>
              <w:t>教学语言规范，教学条理清楚，教学思路逻辑严密；</w:t>
            </w:r>
          </w:p>
          <w:p w14:paraId="316F8B73">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（8）</w:t>
            </w:r>
            <w:r>
              <w:rPr>
                <w:rFonts w:hint="eastAsia" w:ascii="宋体" w:hAnsi="宋体" w:eastAsia="宋体" w:cs="Times New Roman"/>
                <w:color w:val="000000" w:themeColor="text1"/>
                <w:sz w:val="21"/>
                <w14:textFill>
                  <w14:solidFill>
                    <w14:schemeClr w14:val="tx1"/>
                  </w14:solidFill>
                </w14:textFill>
              </w:rPr>
              <w:t>充分运用现代化教学手段，教学技术熟练；</w:t>
            </w:r>
          </w:p>
          <w:p w14:paraId="13734E4C">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（9）</w:t>
            </w:r>
            <w:r>
              <w:rPr>
                <w:rFonts w:hint="eastAsia" w:ascii="宋体" w:hAnsi="宋体" w:eastAsia="宋体" w:cs="Times New Roman"/>
                <w:color w:val="000000" w:themeColor="text1"/>
                <w:sz w:val="21"/>
                <w14:textFill>
                  <w14:solidFill>
                    <w14:schemeClr w14:val="tx1"/>
                  </w14:solidFill>
                </w14:textFill>
              </w:rPr>
              <w:t>课堂教学要重点突出，难点突破；</w:t>
            </w:r>
          </w:p>
          <w:p w14:paraId="243614E7">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（10）</w:t>
            </w:r>
            <w:r>
              <w:rPr>
                <w:rFonts w:hint="eastAsia" w:ascii="宋体" w:hAnsi="宋体" w:eastAsia="宋体" w:cs="Times New Roman"/>
                <w:color w:val="000000" w:themeColor="text1"/>
                <w:sz w:val="21"/>
                <w14:textFill>
                  <w14:solidFill>
                    <w14:schemeClr w14:val="tx1"/>
                  </w14:solidFill>
                </w14:textFill>
              </w:rPr>
              <w:t>注重师生互动，形成良好的课堂氛围。</w:t>
            </w:r>
          </w:p>
        </w:tc>
      </w:tr>
      <w:tr w14:paraId="3ECC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trPr>
        <w:tc>
          <w:tcPr>
            <w:tcW w:w="550" w:type="dxa"/>
            <w:tcBorders>
              <w:left w:val="single" w:color="auto" w:sz="8" w:space="0"/>
            </w:tcBorders>
            <w:vAlign w:val="center"/>
          </w:tcPr>
          <w:p w14:paraId="45361ECE">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3</w:t>
            </w:r>
          </w:p>
        </w:tc>
        <w:tc>
          <w:tcPr>
            <w:tcW w:w="940" w:type="dxa"/>
            <w:tcMar>
              <w:left w:w="28" w:type="dxa"/>
              <w:right w:w="28" w:type="dxa"/>
            </w:tcMar>
            <w:vAlign w:val="center"/>
          </w:tcPr>
          <w:p w14:paraId="4D16E686">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作业布置与批改</w:t>
            </w:r>
          </w:p>
        </w:tc>
        <w:tc>
          <w:tcPr>
            <w:tcW w:w="7123" w:type="dxa"/>
            <w:tcBorders>
              <w:right w:val="single" w:color="auto" w:sz="8" w:space="0"/>
            </w:tcBorders>
            <w:vAlign w:val="center"/>
          </w:tcPr>
          <w:p w14:paraId="796A574F">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学生必须</w:t>
            </w:r>
            <w:r>
              <w:rPr>
                <w:rFonts w:hint="eastAsia" w:ascii="宋体" w:hAnsi="宋体" w:eastAsia="宋体" w:cs="Times New Roman"/>
                <w:color w:val="000000" w:themeColor="text1"/>
                <w:sz w:val="21"/>
                <w:szCs w:val="21"/>
                <w14:textFill>
                  <w14:solidFill>
                    <w14:schemeClr w14:val="tx1"/>
                  </w14:solidFill>
                </w14:textFill>
              </w:rPr>
              <w:t>按时</w:t>
            </w:r>
            <w:r>
              <w:rPr>
                <w:rFonts w:ascii="宋体" w:hAnsi="宋体" w:eastAsia="宋体" w:cs="Times New Roman"/>
                <w:color w:val="000000" w:themeColor="text1"/>
                <w:sz w:val="21"/>
                <w:szCs w:val="21"/>
                <w14:textFill>
                  <w14:solidFill>
                    <w14:schemeClr w14:val="tx1"/>
                  </w14:solidFill>
                </w14:textFill>
              </w:rPr>
              <w:t>完成</w:t>
            </w:r>
            <w:r>
              <w:rPr>
                <w:rFonts w:hint="eastAsia" w:ascii="宋体" w:hAnsi="宋体" w:eastAsia="宋体" w:cs="Times New Roman"/>
                <w:color w:val="000000" w:themeColor="text1"/>
                <w:sz w:val="21"/>
                <w:szCs w:val="21"/>
                <w14:textFill>
                  <w14:solidFill>
                    <w14:schemeClr w14:val="tx1"/>
                  </w14:solidFill>
                </w14:textFill>
              </w:rPr>
              <w:t>规定</w:t>
            </w:r>
            <w:r>
              <w:rPr>
                <w:rFonts w:ascii="宋体" w:hAnsi="宋体" w:eastAsia="宋体" w:cs="Times New Roman"/>
                <w:color w:val="000000" w:themeColor="text1"/>
                <w:sz w:val="21"/>
                <w:szCs w:val="21"/>
                <w14:textFill>
                  <w14:solidFill>
                    <w14:schemeClr w14:val="tx1"/>
                  </w14:solidFill>
                </w14:textFill>
              </w:rPr>
              <w:t>数量的作业</w:t>
            </w:r>
            <w:r>
              <w:rPr>
                <w:rFonts w:hint="eastAsia" w:ascii="宋体" w:hAnsi="宋体" w:eastAsia="宋体" w:cs="Times New Roman"/>
                <w:color w:val="000000" w:themeColor="text1"/>
                <w:sz w:val="21"/>
                <w:szCs w:val="21"/>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作业不抄袭</w:t>
            </w:r>
            <w:r>
              <w:rPr>
                <w:rFonts w:hint="eastAsia" w:ascii="宋体" w:hAnsi="宋体" w:eastAsia="宋体" w:cs="Times New Roman"/>
                <w:color w:val="000000" w:themeColor="text1"/>
                <w:sz w:val="21"/>
                <w:szCs w:val="21"/>
                <w14:textFill>
                  <w14:solidFill>
                    <w14:schemeClr w14:val="tx1"/>
                  </w14:solidFill>
                </w14:textFill>
              </w:rPr>
              <w:t>，书写</w:t>
            </w:r>
            <w:r>
              <w:rPr>
                <w:rFonts w:ascii="宋体" w:hAnsi="宋体" w:eastAsia="宋体" w:cs="Times New Roman"/>
                <w:color w:val="000000" w:themeColor="text1"/>
                <w:sz w:val="21"/>
                <w:szCs w:val="21"/>
                <w14:textFill>
                  <w14:solidFill>
                    <w14:schemeClr w14:val="tx1"/>
                  </w14:solidFill>
                </w14:textFill>
              </w:rPr>
              <w:t>规范</w:t>
            </w:r>
            <w:r>
              <w:rPr>
                <w:rFonts w:hint="eastAsia" w:ascii="宋体" w:hAnsi="宋体" w:eastAsia="宋体" w:cs="Times New Roman"/>
                <w:color w:val="000000" w:themeColor="text1"/>
                <w:sz w:val="21"/>
                <w:szCs w:val="21"/>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清晰</w:t>
            </w:r>
            <w:r>
              <w:rPr>
                <w:rFonts w:hint="eastAsia" w:ascii="宋体" w:hAnsi="宋体" w:eastAsia="宋体" w:cs="Times New Roman"/>
                <w:color w:val="000000" w:themeColor="text1"/>
                <w:sz w:val="21"/>
                <w:szCs w:val="21"/>
                <w14:textFill>
                  <w14:solidFill>
                    <w14:schemeClr w14:val="tx1"/>
                  </w14:solidFill>
                </w14:textFill>
              </w:rPr>
              <w:t>。</w:t>
            </w:r>
          </w:p>
          <w:p w14:paraId="26F195FF">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教师批改</w:t>
            </w:r>
            <w:r>
              <w:rPr>
                <w:rFonts w:hint="eastAsia" w:ascii="宋体" w:hAnsi="宋体" w:eastAsia="宋体" w:cs="Times New Roman"/>
                <w:color w:val="000000" w:themeColor="text1"/>
                <w:sz w:val="21"/>
                <w:szCs w:val="21"/>
                <w14:textFill>
                  <w14:solidFill>
                    <w14:schemeClr w14:val="tx1"/>
                  </w14:solidFill>
                </w14:textFill>
              </w:rPr>
              <w:t>和</w:t>
            </w:r>
            <w:r>
              <w:rPr>
                <w:rFonts w:ascii="宋体" w:hAnsi="宋体" w:eastAsia="宋体" w:cs="Times New Roman"/>
                <w:color w:val="000000" w:themeColor="text1"/>
                <w:sz w:val="21"/>
                <w:szCs w:val="21"/>
                <w14:textFill>
                  <w14:solidFill>
                    <w14:schemeClr w14:val="tx1"/>
                  </w14:solidFill>
                </w14:textFill>
              </w:rPr>
              <w:t>讲评作业要求如下：</w:t>
            </w:r>
          </w:p>
          <w:p w14:paraId="24E48146">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（1）按时</w:t>
            </w:r>
            <w:r>
              <w:rPr>
                <w:rFonts w:ascii="宋体" w:hAnsi="宋体" w:eastAsia="宋体" w:cs="Times New Roman"/>
                <w:color w:val="000000" w:themeColor="text1"/>
                <w:sz w:val="21"/>
                <w:szCs w:val="21"/>
                <w14:textFill>
                  <w14:solidFill>
                    <w14:schemeClr w14:val="tx1"/>
                  </w14:solidFill>
                </w14:textFill>
              </w:rPr>
              <w:t>全</w:t>
            </w:r>
            <w:r>
              <w:rPr>
                <w:rFonts w:hint="eastAsia" w:ascii="宋体" w:hAnsi="宋体" w:eastAsia="宋体" w:cs="Times New Roman"/>
                <w:color w:val="000000" w:themeColor="text1"/>
                <w:sz w:val="21"/>
                <w:szCs w:val="21"/>
                <w14:textFill>
                  <w14:solidFill>
                    <w14:schemeClr w14:val="tx1"/>
                  </w14:solidFill>
                </w14:textFill>
              </w:rPr>
              <w:t>部</w:t>
            </w:r>
            <w:r>
              <w:rPr>
                <w:rFonts w:ascii="宋体" w:hAnsi="宋体" w:eastAsia="宋体" w:cs="Times New Roman"/>
                <w:color w:val="000000" w:themeColor="text1"/>
                <w:sz w:val="21"/>
                <w:szCs w:val="21"/>
                <w14:textFill>
                  <w14:solidFill>
                    <w14:schemeClr w14:val="tx1"/>
                  </w14:solidFill>
                </w14:textFill>
              </w:rPr>
              <w:t>批改，并</w:t>
            </w:r>
            <w:r>
              <w:rPr>
                <w:rFonts w:hint="eastAsia" w:ascii="宋体" w:hAnsi="宋体" w:eastAsia="宋体" w:cs="Times New Roman"/>
                <w:color w:val="000000" w:themeColor="text1"/>
                <w:sz w:val="21"/>
                <w:szCs w:val="21"/>
                <w14:textFill>
                  <w14:solidFill>
                    <w14:schemeClr w14:val="tx1"/>
                  </w14:solidFill>
                </w14:textFill>
              </w:rPr>
              <w:t>及时进行</w:t>
            </w:r>
            <w:r>
              <w:rPr>
                <w:rFonts w:ascii="宋体" w:hAnsi="宋体" w:eastAsia="宋体" w:cs="Times New Roman"/>
                <w:color w:val="000000" w:themeColor="text1"/>
                <w:sz w:val="21"/>
                <w:szCs w:val="21"/>
                <w14:textFill>
                  <w14:solidFill>
                    <w14:schemeClr w14:val="tx1"/>
                  </w14:solidFill>
                </w14:textFill>
              </w:rPr>
              <w:t>讲评</w:t>
            </w:r>
            <w:r>
              <w:rPr>
                <w:rFonts w:hint="eastAsia" w:ascii="宋体" w:hAnsi="宋体" w:eastAsia="宋体" w:cs="Times New Roman"/>
                <w:color w:val="000000" w:themeColor="text1"/>
                <w:sz w:val="21"/>
                <w:szCs w:val="21"/>
                <w14:textFill>
                  <w14:solidFill>
                    <w14:schemeClr w14:val="tx1"/>
                  </w14:solidFill>
                </w14:textFill>
              </w:rPr>
              <w:t>；</w:t>
            </w:r>
            <w:r>
              <w:rPr>
                <w:rFonts w:ascii="宋体" w:hAnsi="宋体" w:eastAsia="宋体" w:cs="Times New Roman"/>
                <w:color w:val="000000" w:themeColor="text1"/>
                <w:sz w:val="21"/>
                <w:szCs w:val="21"/>
                <w14:textFill>
                  <w14:solidFill>
                    <w14:schemeClr w14:val="tx1"/>
                  </w14:solidFill>
                </w14:textFill>
              </w:rPr>
              <w:t>教师批改</w:t>
            </w:r>
            <w:r>
              <w:rPr>
                <w:rFonts w:hint="eastAsia" w:ascii="宋体" w:hAnsi="宋体" w:eastAsia="宋体" w:cs="Times New Roman"/>
                <w:color w:val="000000" w:themeColor="text1"/>
                <w:sz w:val="21"/>
                <w:szCs w:val="21"/>
                <w14:textFill>
                  <w14:solidFill>
                    <w14:schemeClr w14:val="tx1"/>
                  </w14:solidFill>
                </w14:textFill>
              </w:rPr>
              <w:t>和</w:t>
            </w:r>
            <w:r>
              <w:rPr>
                <w:rFonts w:ascii="宋体" w:hAnsi="宋体" w:eastAsia="宋体" w:cs="Times New Roman"/>
                <w:color w:val="000000" w:themeColor="text1"/>
                <w:sz w:val="21"/>
                <w:szCs w:val="21"/>
                <w14:textFill>
                  <w14:solidFill>
                    <w14:schemeClr w14:val="tx1"/>
                  </w14:solidFill>
                </w14:textFill>
              </w:rPr>
              <w:t>讲评作业要认真、细致</w:t>
            </w:r>
            <w:r>
              <w:rPr>
                <w:rFonts w:hint="eastAsia" w:ascii="宋体" w:hAnsi="宋体" w:eastAsia="宋体" w:cs="Times New Roman"/>
                <w:color w:val="000000" w:themeColor="text1"/>
                <w:sz w:val="21"/>
                <w:szCs w:val="21"/>
                <w14:textFill>
                  <w14:solidFill>
                    <w14:schemeClr w14:val="tx1"/>
                  </w14:solidFill>
                </w14:textFill>
              </w:rPr>
              <w:t>。</w:t>
            </w:r>
          </w:p>
          <w:p w14:paraId="29D53816">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（2）</w:t>
            </w:r>
            <w:r>
              <w:rPr>
                <w:rFonts w:ascii="宋体" w:hAnsi="宋体" w:eastAsia="宋体" w:cs="Times New Roman"/>
                <w:color w:val="000000" w:themeColor="text1"/>
                <w:sz w:val="21"/>
                <w:szCs w:val="21"/>
                <w14:textFill>
                  <w14:solidFill>
                    <w14:schemeClr w14:val="tx1"/>
                  </w14:solidFill>
                </w14:textFill>
              </w:rPr>
              <w:t>学生作业平均成绩</w:t>
            </w:r>
            <w:r>
              <w:rPr>
                <w:rFonts w:hint="eastAsia" w:ascii="宋体" w:hAnsi="宋体" w:eastAsia="宋体" w:cs="Times New Roman"/>
                <w:color w:val="000000" w:themeColor="text1"/>
                <w:sz w:val="21"/>
                <w:szCs w:val="21"/>
                <w14:textFill>
                  <w14:solidFill>
                    <w14:schemeClr w14:val="tx1"/>
                  </w14:solidFill>
                </w14:textFill>
              </w:rPr>
              <w:t>应</w:t>
            </w:r>
            <w:r>
              <w:rPr>
                <w:rFonts w:ascii="宋体" w:hAnsi="宋体" w:eastAsia="宋体" w:cs="Times New Roman"/>
                <w:color w:val="000000" w:themeColor="text1"/>
                <w:sz w:val="21"/>
                <w:szCs w:val="21"/>
                <w14:textFill>
                  <w14:solidFill>
                    <w14:schemeClr w14:val="tx1"/>
                  </w14:solidFill>
                </w14:textFill>
              </w:rPr>
              <w:t>作为本课程总评成绩中平时成绩的重要组成部分。</w:t>
            </w:r>
          </w:p>
        </w:tc>
      </w:tr>
      <w:tr w14:paraId="5414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50" w:type="dxa"/>
            <w:tcBorders>
              <w:left w:val="single" w:color="auto" w:sz="8" w:space="0"/>
            </w:tcBorders>
            <w:vAlign w:val="center"/>
          </w:tcPr>
          <w:p w14:paraId="4DE77B75">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4</w:t>
            </w:r>
          </w:p>
        </w:tc>
        <w:tc>
          <w:tcPr>
            <w:tcW w:w="940" w:type="dxa"/>
            <w:tcMar>
              <w:left w:w="28" w:type="dxa"/>
              <w:right w:w="28" w:type="dxa"/>
            </w:tcMar>
            <w:vAlign w:val="center"/>
          </w:tcPr>
          <w:p w14:paraId="3EF35F80">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课外答疑</w:t>
            </w:r>
          </w:p>
        </w:tc>
        <w:tc>
          <w:tcPr>
            <w:tcW w:w="7123" w:type="dxa"/>
            <w:tcBorders>
              <w:right w:val="single" w:color="auto" w:sz="8" w:space="0"/>
            </w:tcBorders>
            <w:vAlign w:val="center"/>
          </w:tcPr>
          <w:p w14:paraId="7CC4F19C">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为了解学生的学习情况，帮助学生</w:t>
            </w:r>
            <w:r>
              <w:rPr>
                <w:rFonts w:hint="eastAsia" w:ascii="宋体" w:hAnsi="宋体" w:eastAsia="宋体" w:cs="Times New Roman"/>
                <w:color w:val="000000" w:themeColor="text1"/>
                <w:sz w:val="21"/>
                <w:szCs w:val="21"/>
                <w14:textFill>
                  <w14:solidFill>
                    <w14:schemeClr w14:val="tx1"/>
                  </w14:solidFill>
                </w14:textFill>
              </w:rPr>
              <w:t>更好地</w:t>
            </w:r>
            <w:r>
              <w:rPr>
                <w:rFonts w:ascii="宋体" w:hAnsi="宋体" w:eastAsia="宋体" w:cs="Times New Roman"/>
                <w:color w:val="000000" w:themeColor="text1"/>
                <w:sz w:val="21"/>
                <w:szCs w:val="21"/>
                <w14:textFill>
                  <w14:solidFill>
                    <w14:schemeClr w14:val="tx1"/>
                  </w14:solidFill>
                </w14:textFill>
              </w:rPr>
              <w:t>理解和消化所学知识、改进学习方法和思维方式，培养其独立的教学设计能力、教学组织指导能力、教学反思与评价能力，任课教师</w:t>
            </w:r>
            <w:r>
              <w:rPr>
                <w:rFonts w:hint="eastAsia" w:ascii="宋体" w:hAnsi="宋体" w:eastAsia="宋体" w:cs="Times New Roman"/>
                <w:color w:val="000000" w:themeColor="text1"/>
                <w:sz w:val="21"/>
                <w:szCs w:val="21"/>
                <w14:textFill>
                  <w14:solidFill>
                    <w14:schemeClr w14:val="tx1"/>
                  </w14:solidFill>
                </w14:textFill>
              </w:rPr>
              <w:t>需</w:t>
            </w:r>
            <w:r>
              <w:rPr>
                <w:rFonts w:ascii="宋体" w:hAnsi="宋体" w:eastAsia="宋体" w:cs="Times New Roman"/>
                <w:color w:val="000000" w:themeColor="text1"/>
                <w:sz w:val="21"/>
                <w:szCs w:val="21"/>
                <w14:textFill>
                  <w14:solidFill>
                    <w14:schemeClr w14:val="tx1"/>
                  </w14:solidFill>
                </w14:textFill>
              </w:rPr>
              <w:t>每周安排</w:t>
            </w:r>
            <w:r>
              <w:rPr>
                <w:rFonts w:hint="eastAsia" w:ascii="宋体" w:hAnsi="宋体" w:eastAsia="宋体" w:cs="Times New Roman"/>
                <w:color w:val="000000" w:themeColor="text1"/>
                <w:sz w:val="21"/>
                <w:szCs w:val="21"/>
                <w14:textFill>
                  <w14:solidFill>
                    <w14:schemeClr w14:val="tx1"/>
                  </w14:solidFill>
                </w14:textFill>
              </w:rPr>
              <w:t>一定</w:t>
            </w:r>
            <w:r>
              <w:rPr>
                <w:rFonts w:ascii="宋体" w:hAnsi="宋体" w:eastAsia="宋体" w:cs="Times New Roman"/>
                <w:color w:val="000000" w:themeColor="text1"/>
                <w:sz w:val="21"/>
                <w:szCs w:val="21"/>
                <w14:textFill>
                  <w14:solidFill>
                    <w14:schemeClr w14:val="tx1"/>
                  </w14:solidFill>
                </w14:textFill>
              </w:rPr>
              <w:t>时间进行课外答疑与辅导。</w:t>
            </w:r>
          </w:p>
        </w:tc>
      </w:tr>
      <w:tr w14:paraId="1AA6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550" w:type="dxa"/>
            <w:tcBorders>
              <w:left w:val="single" w:color="auto" w:sz="8" w:space="0"/>
            </w:tcBorders>
            <w:vAlign w:val="center"/>
          </w:tcPr>
          <w:p w14:paraId="02493517">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5</w:t>
            </w:r>
          </w:p>
        </w:tc>
        <w:tc>
          <w:tcPr>
            <w:tcW w:w="940" w:type="dxa"/>
            <w:tcMar>
              <w:left w:w="28" w:type="dxa"/>
              <w:right w:w="28" w:type="dxa"/>
            </w:tcMar>
            <w:vAlign w:val="center"/>
          </w:tcPr>
          <w:p w14:paraId="1F22B716">
            <w:pPr>
              <w:adjustRightInd w:val="0"/>
              <w:snapToGrid w:val="0"/>
              <w:spacing w:line="276" w:lineRule="auto"/>
              <w:jc w:val="center"/>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成绩考核</w:t>
            </w:r>
          </w:p>
        </w:tc>
        <w:tc>
          <w:tcPr>
            <w:tcW w:w="7123" w:type="dxa"/>
            <w:tcBorders>
              <w:right w:val="single" w:color="auto" w:sz="8" w:space="0"/>
            </w:tcBorders>
            <w:vAlign w:val="center"/>
          </w:tcPr>
          <w:p w14:paraId="4A3A3ADF">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本课程考核的方式</w:t>
            </w:r>
            <w:r>
              <w:rPr>
                <w:rFonts w:hint="eastAsia" w:ascii="宋体" w:hAnsi="宋体" w:eastAsia="宋体" w:cs="Times New Roman"/>
                <w:color w:val="000000" w:themeColor="text1"/>
                <w:sz w:val="21"/>
                <w:szCs w:val="21"/>
                <w14:textFill>
                  <w14:solidFill>
                    <w14:schemeClr w14:val="tx1"/>
                  </w14:solidFill>
                </w14:textFill>
              </w:rPr>
              <w:t>为笔试，考试形式由任课教师组织安排。</w:t>
            </w:r>
          </w:p>
          <w:p w14:paraId="63709B5D">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有下列情况之一者，总评成绩为不及格：</w:t>
            </w:r>
          </w:p>
          <w:p w14:paraId="79C4E6C5">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（1）</w:t>
            </w:r>
            <w:r>
              <w:rPr>
                <w:rFonts w:ascii="宋体" w:hAnsi="宋体" w:eastAsia="宋体" w:cs="Times New Roman"/>
                <w:color w:val="000000" w:themeColor="text1"/>
                <w:sz w:val="21"/>
                <w:szCs w:val="21"/>
                <w14:textFill>
                  <w14:solidFill>
                    <w14:schemeClr w14:val="tx1"/>
                  </w14:solidFill>
                </w14:textFill>
              </w:rPr>
              <w:t>缺交作业次数达1/3以上者</w:t>
            </w:r>
            <w:r>
              <w:rPr>
                <w:rFonts w:hint="eastAsia" w:ascii="宋体" w:hAnsi="宋体" w:eastAsia="宋体" w:cs="Times New Roman"/>
                <w:color w:val="000000" w:themeColor="text1"/>
                <w:sz w:val="21"/>
                <w:szCs w:val="21"/>
                <w14:textFill>
                  <w14:solidFill>
                    <w14:schemeClr w14:val="tx1"/>
                  </w14:solidFill>
                </w14:textFill>
              </w:rPr>
              <w:t>。</w:t>
            </w:r>
          </w:p>
          <w:p w14:paraId="1E271132">
            <w:pPr>
              <w:adjustRightInd w:val="0"/>
              <w:snapToGrid w:val="0"/>
              <w:spacing w:line="276" w:lineRule="auto"/>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（2）</w:t>
            </w:r>
            <w:r>
              <w:rPr>
                <w:rFonts w:ascii="宋体" w:hAnsi="宋体" w:eastAsia="宋体" w:cs="Times New Roman"/>
                <w:color w:val="000000" w:themeColor="text1"/>
                <w:sz w:val="21"/>
                <w:szCs w:val="21"/>
                <w14:textFill>
                  <w14:solidFill>
                    <w14:schemeClr w14:val="tx1"/>
                  </w14:solidFill>
                </w14:textFill>
              </w:rPr>
              <w:t>缺课次数达本学期总授课学时的1/3以上者</w:t>
            </w:r>
            <w:r>
              <w:rPr>
                <w:rFonts w:hint="eastAsia" w:ascii="宋体" w:hAnsi="宋体" w:eastAsia="宋体" w:cs="Times New Roman"/>
                <w:color w:val="000000" w:themeColor="text1"/>
                <w:sz w:val="21"/>
                <w:szCs w:val="21"/>
                <w14:textFill>
                  <w14:solidFill>
                    <w14:schemeClr w14:val="tx1"/>
                  </w14:solidFill>
                </w14:textFill>
              </w:rPr>
              <w:t>。</w:t>
            </w:r>
          </w:p>
        </w:tc>
      </w:tr>
    </w:tbl>
    <w:p w14:paraId="326BC18D">
      <w:pPr>
        <w:spacing w:line="276" w:lineRule="auto"/>
        <w:ind w:firstLine="562" w:firstLineChars="200"/>
        <w:rPr>
          <w:rFonts w:ascii="宋体" w:hAnsi="宋体" w:eastAsia="宋体"/>
          <w:b/>
          <w:sz w:val="28"/>
          <w:szCs w:val="28"/>
        </w:rPr>
      </w:pPr>
      <w:r>
        <w:rPr>
          <w:rFonts w:hint="eastAsia" w:ascii="宋体" w:hAnsi="宋体" w:eastAsia="宋体"/>
          <w:b/>
          <w:sz w:val="28"/>
          <w:szCs w:val="28"/>
        </w:rPr>
        <w:t>五、课程考核</w:t>
      </w:r>
    </w:p>
    <w:p w14:paraId="4CFE6E80">
      <w:pPr>
        <w:spacing w:line="276" w:lineRule="auto"/>
        <w:ind w:firstLine="315" w:firstLineChars="150"/>
        <w:rPr>
          <w:rFonts w:ascii="宋体" w:hAnsi="宋体" w:eastAsia="宋体"/>
        </w:rPr>
      </w:pPr>
      <w:r>
        <w:rPr>
          <w:rFonts w:hint="eastAsia" w:ascii="宋体" w:hAnsi="宋体" w:eastAsia="宋体"/>
        </w:rPr>
        <w:t>（一）</w:t>
      </w:r>
      <w:r>
        <w:rPr>
          <w:rFonts w:ascii="宋体" w:hAnsi="宋体" w:eastAsia="宋体"/>
        </w:rPr>
        <w:t>课程考核包括期末考试、平时考核，期</w:t>
      </w:r>
      <w:r>
        <w:rPr>
          <w:rFonts w:hint="eastAsia" w:ascii="宋体" w:hAnsi="宋体" w:eastAsia="宋体"/>
        </w:rPr>
        <w:t>末</w:t>
      </w:r>
      <w:r>
        <w:rPr>
          <w:rFonts w:ascii="宋体" w:hAnsi="宋体" w:eastAsia="宋体"/>
        </w:rPr>
        <w:t>考试采用</w:t>
      </w:r>
      <w:r>
        <w:rPr>
          <w:rFonts w:hint="eastAsia" w:ascii="宋体" w:hAnsi="宋体" w:eastAsia="宋体"/>
        </w:rPr>
        <w:t>闭卷笔试方式</w:t>
      </w:r>
      <w:r>
        <w:rPr>
          <w:rFonts w:ascii="宋体" w:hAnsi="宋体" w:eastAsia="宋体"/>
        </w:rPr>
        <w:t>。</w:t>
      </w:r>
    </w:p>
    <w:p w14:paraId="67C6D7D2">
      <w:pPr>
        <w:spacing w:line="276" w:lineRule="auto"/>
        <w:ind w:firstLine="315" w:firstLineChars="150"/>
        <w:rPr>
          <w:rFonts w:ascii="宋体" w:hAnsi="宋体" w:eastAsia="宋体"/>
        </w:rPr>
      </w:pPr>
      <w:r>
        <w:rPr>
          <w:rFonts w:hint="eastAsia" w:ascii="宋体" w:hAnsi="宋体" w:eastAsia="宋体"/>
        </w:rPr>
        <w:t>（二）</w:t>
      </w:r>
      <w:r>
        <w:rPr>
          <w:rFonts w:ascii="宋体" w:hAnsi="宋体" w:eastAsia="宋体"/>
        </w:rPr>
        <w:t>课程</w:t>
      </w:r>
      <w:r>
        <w:rPr>
          <w:rFonts w:hint="eastAsia" w:ascii="宋体" w:hAnsi="宋体" w:eastAsia="宋体"/>
        </w:rPr>
        <w:t>总评</w:t>
      </w:r>
      <w:r>
        <w:rPr>
          <w:rFonts w:ascii="宋体" w:hAnsi="宋体" w:eastAsia="宋体"/>
        </w:rPr>
        <w:t>成绩=平时成绩×4</w:t>
      </w:r>
      <w:r>
        <w:rPr>
          <w:rFonts w:hint="eastAsia" w:ascii="宋体" w:hAnsi="宋体" w:eastAsia="宋体"/>
        </w:rPr>
        <w:t>0</w:t>
      </w:r>
      <w:r>
        <w:rPr>
          <w:rFonts w:ascii="宋体" w:hAnsi="宋体" w:eastAsia="宋体"/>
        </w:rPr>
        <w:t>%+期末考试成绩×6</w:t>
      </w:r>
      <w:r>
        <w:rPr>
          <w:rFonts w:hint="eastAsia" w:ascii="宋体" w:hAnsi="宋体" w:eastAsia="宋体"/>
        </w:rPr>
        <w:t>0</w:t>
      </w:r>
      <w:r>
        <w:rPr>
          <w:rFonts w:ascii="宋体" w:hAnsi="宋体" w:eastAsia="宋体"/>
        </w:rPr>
        <w:t>%。</w:t>
      </w:r>
    </w:p>
    <w:p w14:paraId="72B92E3F">
      <w:pPr>
        <w:spacing w:line="276" w:lineRule="auto"/>
        <w:ind w:firstLine="316" w:firstLineChars="150"/>
        <w:rPr>
          <w:rFonts w:ascii="宋体" w:hAnsi="宋体" w:eastAsia="宋体"/>
          <w:b/>
        </w:rPr>
      </w:pPr>
      <w:r>
        <w:rPr>
          <w:rFonts w:hint="eastAsia" w:ascii="宋体" w:hAnsi="宋体" w:eastAsia="宋体"/>
          <w:b/>
        </w:rPr>
        <w:t>具体内容和比例如表所示：</w:t>
      </w:r>
    </w:p>
    <w:tbl>
      <w:tblPr>
        <w:tblStyle w:val="30"/>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126"/>
        <w:gridCol w:w="704"/>
        <w:gridCol w:w="2675"/>
        <w:gridCol w:w="1267"/>
        <w:gridCol w:w="1267"/>
        <w:gridCol w:w="1267"/>
      </w:tblGrid>
      <w:tr w14:paraId="471B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19" w:type="dxa"/>
            <w:shd w:val="clear" w:color="auto" w:fill="FFFFFF"/>
            <w:tcMar>
              <w:left w:w="57" w:type="dxa"/>
              <w:right w:w="57" w:type="dxa"/>
            </w:tcMar>
            <w:vAlign w:val="center"/>
          </w:tcPr>
          <w:p w14:paraId="36CD3F00">
            <w:pPr>
              <w:adjustRightInd w:val="0"/>
              <w:snapToGrid w:val="0"/>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成绩组成</w:t>
            </w:r>
          </w:p>
        </w:tc>
        <w:tc>
          <w:tcPr>
            <w:tcW w:w="1126" w:type="dxa"/>
            <w:shd w:val="clear" w:color="auto" w:fill="FFFFFF"/>
            <w:vAlign w:val="center"/>
          </w:tcPr>
          <w:p w14:paraId="6A48B89A">
            <w:pPr>
              <w:adjustRightInd w:val="0"/>
              <w:snapToGrid w:val="0"/>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考核/</w:t>
            </w:r>
          </w:p>
          <w:p w14:paraId="09FAD2B6">
            <w:pPr>
              <w:adjustRightInd w:val="0"/>
              <w:snapToGrid w:val="0"/>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评价环节</w:t>
            </w:r>
          </w:p>
        </w:tc>
        <w:tc>
          <w:tcPr>
            <w:tcW w:w="704" w:type="dxa"/>
            <w:shd w:val="clear" w:color="auto" w:fill="FFFFFF"/>
            <w:vAlign w:val="center"/>
          </w:tcPr>
          <w:p w14:paraId="761BE5F2">
            <w:pPr>
              <w:adjustRightInd w:val="0"/>
              <w:snapToGrid w:val="0"/>
              <w:jc w:val="center"/>
              <w:rPr>
                <w:rFonts w:ascii="宋体" w:hAnsi="宋体" w:eastAsia="宋体" w:cs="Times New Roman"/>
                <w:b/>
                <w:color w:val="000000" w:themeColor="text1"/>
                <w:sz w:val="21"/>
                <w14:textFill>
                  <w14:solidFill>
                    <w14:schemeClr w14:val="tx1"/>
                  </w14:solidFill>
                </w14:textFill>
              </w:rPr>
            </w:pPr>
            <w:r>
              <w:rPr>
                <w:rFonts w:hint="eastAsia" w:ascii="宋体" w:hAnsi="宋体" w:eastAsia="宋体" w:cs="Times New Roman"/>
                <w:b/>
                <w:color w:val="000000" w:themeColor="text1"/>
                <w:sz w:val="21"/>
                <w14:textFill>
                  <w14:solidFill>
                    <w14:schemeClr w14:val="tx1"/>
                  </w14:solidFill>
                </w14:textFill>
              </w:rPr>
              <w:t>权重</w:t>
            </w:r>
          </w:p>
        </w:tc>
        <w:tc>
          <w:tcPr>
            <w:tcW w:w="2675" w:type="dxa"/>
            <w:shd w:val="clear" w:color="auto" w:fill="FFFFFF"/>
            <w:vAlign w:val="center"/>
          </w:tcPr>
          <w:p w14:paraId="26F9F5FD">
            <w:pPr>
              <w:adjustRightInd w:val="0"/>
              <w:snapToGrid w:val="0"/>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考核/评价细则</w:t>
            </w:r>
          </w:p>
        </w:tc>
        <w:tc>
          <w:tcPr>
            <w:tcW w:w="1267" w:type="dxa"/>
            <w:shd w:val="clear" w:color="auto" w:fill="FFFFFF"/>
          </w:tcPr>
          <w:p w14:paraId="66E8550A">
            <w:pPr>
              <w:adjustRightInd w:val="0"/>
              <w:snapToGrid w:val="0"/>
              <w:ind w:firstLine="316" w:firstLineChars="150"/>
              <w:rPr>
                <w:rFonts w:ascii="宋体" w:hAnsi="宋体" w:eastAsia="宋体" w:cs="Times New Roman"/>
                <w:b/>
                <w:color w:val="000000" w:themeColor="text1"/>
                <w:sz w:val="21"/>
                <w14:textFill>
                  <w14:solidFill>
                    <w14:schemeClr w14:val="tx1"/>
                  </w14:solidFill>
                </w14:textFill>
              </w:rPr>
            </w:pPr>
            <w:r>
              <w:rPr>
                <w:rFonts w:hint="eastAsia" w:ascii="宋体" w:hAnsi="宋体" w:eastAsia="宋体" w:cs="Times New Roman"/>
                <w:b/>
                <w:color w:val="000000" w:themeColor="text1"/>
                <w:sz w:val="21"/>
                <w14:textFill>
                  <w14:solidFill>
                    <w14:schemeClr w14:val="tx1"/>
                  </w14:solidFill>
                </w14:textFill>
              </w:rPr>
              <w:t>课程</w:t>
            </w:r>
          </w:p>
          <w:p w14:paraId="348EC666">
            <w:pPr>
              <w:adjustRightInd w:val="0"/>
              <w:snapToGrid w:val="0"/>
              <w:ind w:firstLine="316" w:firstLineChars="150"/>
              <w:rPr>
                <w:rFonts w:ascii="宋体" w:hAnsi="宋体" w:eastAsia="宋体" w:cs="Times New Roman"/>
                <w:b/>
                <w:color w:val="000000" w:themeColor="text1"/>
                <w:sz w:val="21"/>
                <w14:textFill>
                  <w14:solidFill>
                    <w14:schemeClr w14:val="tx1"/>
                  </w14:solidFill>
                </w14:textFill>
              </w:rPr>
            </w:pPr>
            <w:r>
              <w:rPr>
                <w:rFonts w:hint="eastAsia" w:ascii="宋体" w:hAnsi="宋体" w:eastAsia="宋体" w:cs="Times New Roman"/>
                <w:b/>
                <w:color w:val="000000" w:themeColor="text1"/>
                <w:sz w:val="21"/>
                <w14:textFill>
                  <w14:solidFill>
                    <w14:schemeClr w14:val="tx1"/>
                  </w14:solidFill>
                </w14:textFill>
              </w:rPr>
              <w:t>目标</w:t>
            </w:r>
          </w:p>
        </w:tc>
        <w:tc>
          <w:tcPr>
            <w:tcW w:w="1267" w:type="dxa"/>
            <w:shd w:val="clear" w:color="auto" w:fill="FFFFFF"/>
          </w:tcPr>
          <w:p w14:paraId="33A1C61F">
            <w:pPr>
              <w:adjustRightInd w:val="0"/>
              <w:snapToGrid w:val="0"/>
              <w:ind w:left="-107" w:leftChars="-51"/>
              <w:jc w:val="center"/>
              <w:rPr>
                <w:rFonts w:ascii="宋体" w:hAnsi="宋体" w:eastAsia="宋体" w:cs="Times New Roman"/>
                <w:b/>
                <w:color w:val="000000" w:themeColor="text1"/>
                <w:sz w:val="21"/>
                <w14:textFill>
                  <w14:solidFill>
                    <w14:schemeClr w14:val="tx1"/>
                  </w14:solidFill>
                </w14:textFill>
              </w:rPr>
            </w:pPr>
            <w:r>
              <w:rPr>
                <w:rFonts w:hint="eastAsia" w:ascii="宋体" w:hAnsi="宋体" w:eastAsia="宋体" w:cs="Times New Roman"/>
                <w:b/>
                <w:color w:val="000000" w:themeColor="text1"/>
                <w:sz w:val="21"/>
                <w14:textFill>
                  <w14:solidFill>
                    <w14:schemeClr w14:val="tx1"/>
                  </w14:solidFill>
                </w14:textFill>
              </w:rPr>
              <w:t>考核</w:t>
            </w:r>
          </w:p>
          <w:p w14:paraId="2808CA76">
            <w:pPr>
              <w:adjustRightInd w:val="0"/>
              <w:snapToGrid w:val="0"/>
              <w:ind w:left="-107" w:leftChars="-51"/>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内容</w:t>
            </w:r>
          </w:p>
        </w:tc>
        <w:tc>
          <w:tcPr>
            <w:tcW w:w="1267" w:type="dxa"/>
            <w:shd w:val="clear" w:color="auto" w:fill="FFFFFF"/>
            <w:vAlign w:val="center"/>
          </w:tcPr>
          <w:p w14:paraId="685BAC7E">
            <w:pPr>
              <w:adjustRightInd w:val="0"/>
              <w:snapToGrid w:val="0"/>
              <w:ind w:left="-107" w:leftChars="-51"/>
              <w:jc w:val="center"/>
              <w:rPr>
                <w:rFonts w:ascii="宋体" w:hAnsi="宋体" w:eastAsia="宋体" w:cs="Times New Roman"/>
                <w:b/>
                <w:color w:val="000000" w:themeColor="text1"/>
                <w:sz w:val="21"/>
                <w14:textFill>
                  <w14:solidFill>
                    <w14:schemeClr w14:val="tx1"/>
                  </w14:solidFill>
                </w14:textFill>
              </w:rPr>
            </w:pPr>
            <w:r>
              <w:rPr>
                <w:rFonts w:ascii="宋体" w:hAnsi="宋体" w:eastAsia="宋体" w:cs="Times New Roman"/>
                <w:b/>
                <w:color w:val="000000" w:themeColor="text1"/>
                <w:sz w:val="21"/>
                <w14:textFill>
                  <w14:solidFill>
                    <w14:schemeClr w14:val="tx1"/>
                  </w14:solidFill>
                </w14:textFill>
              </w:rPr>
              <w:t>对应的毕业要求指标点</w:t>
            </w:r>
          </w:p>
        </w:tc>
      </w:tr>
      <w:tr w14:paraId="0A25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619" w:type="dxa"/>
            <w:tcMar>
              <w:left w:w="57" w:type="dxa"/>
              <w:right w:w="57" w:type="dxa"/>
            </w:tcMar>
            <w:vAlign w:val="center"/>
          </w:tcPr>
          <w:p w14:paraId="5CB1B82E">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平时成绩</w:t>
            </w:r>
          </w:p>
        </w:tc>
        <w:tc>
          <w:tcPr>
            <w:tcW w:w="1126" w:type="dxa"/>
            <w:vAlign w:val="center"/>
          </w:tcPr>
          <w:p w14:paraId="64A7480C">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日常考勤</w:t>
            </w:r>
          </w:p>
          <w:p w14:paraId="505AB622">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课堂发言</w:t>
            </w:r>
          </w:p>
          <w:p w14:paraId="3A8862E3">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主题汇报</w:t>
            </w:r>
          </w:p>
          <w:p w14:paraId="74BB4F5F">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平时作业</w:t>
            </w:r>
          </w:p>
        </w:tc>
        <w:tc>
          <w:tcPr>
            <w:tcW w:w="704" w:type="dxa"/>
            <w:vAlign w:val="center"/>
          </w:tcPr>
          <w:p w14:paraId="0DECF48C">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40%</w:t>
            </w:r>
          </w:p>
        </w:tc>
        <w:tc>
          <w:tcPr>
            <w:tcW w:w="2675" w:type="dxa"/>
            <w:vAlign w:val="center"/>
          </w:tcPr>
          <w:p w14:paraId="013B3771">
            <w:pPr>
              <w:adjustRightInd w:val="0"/>
              <w:snapToGrid w:val="0"/>
              <w:ind w:firstLine="210" w:firstLineChars="100"/>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1</w:t>
            </w:r>
            <w:r>
              <w:rPr>
                <w:rFonts w:ascii="宋体" w:hAnsi="宋体" w:eastAsia="宋体" w:cs="Times New Roman"/>
                <w:color w:val="000000" w:themeColor="text1"/>
                <w:sz w:val="21"/>
                <w14:textFill>
                  <w14:solidFill>
                    <w14:schemeClr w14:val="tx1"/>
                  </w14:solidFill>
                </w14:textFill>
              </w:rPr>
              <w:t>.</w:t>
            </w:r>
            <w:r>
              <w:rPr>
                <w:rFonts w:hint="eastAsia" w:ascii="宋体" w:hAnsi="宋体" w:eastAsia="宋体" w:cs="Times New Roman"/>
                <w:color w:val="000000" w:themeColor="text1"/>
                <w:sz w:val="21"/>
                <w14:textFill>
                  <w14:solidFill>
                    <w14:schemeClr w14:val="tx1"/>
                  </w14:solidFill>
                </w14:textFill>
              </w:rPr>
              <w:t>日常考勤在总评成绩基础上扣分，病假、事假不扣分，迟到、早退每次扣3分，旷课每次扣</w:t>
            </w:r>
            <w:r>
              <w:rPr>
                <w:rFonts w:ascii="宋体" w:hAnsi="宋体" w:eastAsia="宋体" w:cs="Times New Roman"/>
                <w:color w:val="000000" w:themeColor="text1"/>
                <w:sz w:val="21"/>
                <w14:textFill>
                  <w14:solidFill>
                    <w14:schemeClr w14:val="tx1"/>
                  </w14:solidFill>
                </w14:textFill>
              </w:rPr>
              <w:t>10</w:t>
            </w:r>
            <w:r>
              <w:rPr>
                <w:rFonts w:hint="eastAsia" w:ascii="宋体" w:hAnsi="宋体" w:eastAsia="宋体" w:cs="Times New Roman"/>
                <w:color w:val="000000" w:themeColor="text1"/>
                <w:sz w:val="21"/>
                <w14:textFill>
                  <w14:solidFill>
                    <w14:schemeClr w14:val="tx1"/>
                  </w14:solidFill>
                </w14:textFill>
              </w:rPr>
              <w:t>分。无故</w:t>
            </w:r>
            <w:r>
              <w:rPr>
                <w:rFonts w:hint="eastAsia" w:ascii="宋体" w:hAnsi="宋体" w:eastAsia="宋体" w:cs="Times New Roman"/>
                <w:color w:val="000000" w:themeColor="text1"/>
                <w:sz w:val="21"/>
                <w:szCs w:val="21"/>
                <w14:textFill>
                  <w14:solidFill>
                    <w14:schemeClr w14:val="tx1"/>
                  </w14:solidFill>
                </w14:textFill>
              </w:rPr>
              <w:t>旷课超过</w:t>
            </w:r>
            <w:r>
              <w:rPr>
                <w:rFonts w:ascii="宋体" w:hAnsi="宋体" w:eastAsia="宋体" w:cs="Times New Roman"/>
                <w:color w:val="000000" w:themeColor="text1"/>
                <w:sz w:val="21"/>
                <w:szCs w:val="21"/>
                <w14:textFill>
                  <w14:solidFill>
                    <w14:schemeClr w14:val="tx1"/>
                  </w14:solidFill>
                </w14:textFill>
              </w:rPr>
              <w:t>2</w:t>
            </w:r>
            <w:r>
              <w:rPr>
                <w:rFonts w:hint="eastAsia" w:ascii="宋体" w:hAnsi="宋体" w:eastAsia="宋体" w:cs="Times New Roman"/>
                <w:color w:val="000000" w:themeColor="text1"/>
                <w:sz w:val="21"/>
                <w:szCs w:val="21"/>
                <w14:textFill>
                  <w14:solidFill>
                    <w14:schemeClr w14:val="tx1"/>
                  </w14:solidFill>
                </w14:textFill>
              </w:rPr>
              <w:t>次取消本课程成绩。</w:t>
            </w:r>
          </w:p>
          <w:p w14:paraId="756EABC0">
            <w:pPr>
              <w:adjustRightInd w:val="0"/>
              <w:snapToGrid w:val="0"/>
              <w:ind w:firstLine="210" w:firstLineChars="100"/>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2</w:t>
            </w:r>
            <w:r>
              <w:rPr>
                <w:rFonts w:ascii="宋体" w:hAnsi="宋体" w:eastAsia="宋体" w:cs="Times New Roman"/>
                <w:color w:val="000000" w:themeColor="text1"/>
                <w:sz w:val="21"/>
                <w14:textFill>
                  <w14:solidFill>
                    <w14:schemeClr w14:val="tx1"/>
                  </w14:solidFill>
                </w14:textFill>
              </w:rPr>
              <w:t>.</w:t>
            </w:r>
            <w:r>
              <w:rPr>
                <w:rFonts w:hint="eastAsia" w:ascii="宋体" w:hAnsi="宋体" w:eastAsia="宋体" w:cs="Times New Roman"/>
                <w:color w:val="000000" w:themeColor="text1"/>
                <w:sz w:val="21"/>
                <w14:textFill>
                  <w14:solidFill>
                    <w14:schemeClr w14:val="tx1"/>
                  </w14:solidFill>
                </w14:textFill>
              </w:rPr>
              <w:t>课堂发言占平时成绩的2</w:t>
            </w:r>
            <w:r>
              <w:rPr>
                <w:rFonts w:ascii="宋体" w:hAnsi="宋体" w:eastAsia="宋体" w:cs="Times New Roman"/>
                <w:color w:val="000000" w:themeColor="text1"/>
                <w:sz w:val="21"/>
                <w14:textFill>
                  <w14:solidFill>
                    <w14:schemeClr w14:val="tx1"/>
                  </w14:solidFill>
                </w14:textFill>
              </w:rPr>
              <w:t>0%</w:t>
            </w:r>
            <w:r>
              <w:rPr>
                <w:rFonts w:hint="eastAsia" w:ascii="宋体" w:hAnsi="宋体" w:eastAsia="宋体" w:cs="Times New Roman"/>
                <w:color w:val="000000" w:themeColor="text1"/>
                <w:sz w:val="21"/>
                <w14:textFill>
                  <w14:solidFill>
                    <w14:schemeClr w14:val="tx1"/>
                  </w14:solidFill>
                </w14:textFill>
              </w:rPr>
              <w:t>。</w:t>
            </w:r>
          </w:p>
          <w:p w14:paraId="36D38CDB">
            <w:pPr>
              <w:adjustRightInd w:val="0"/>
              <w:snapToGrid w:val="0"/>
              <w:ind w:firstLine="210" w:firstLineChars="100"/>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3</w:t>
            </w:r>
            <w:r>
              <w:rPr>
                <w:rFonts w:ascii="宋体" w:hAnsi="宋体" w:eastAsia="宋体" w:cs="Times New Roman"/>
                <w:color w:val="000000" w:themeColor="text1"/>
                <w:sz w:val="21"/>
                <w14:textFill>
                  <w14:solidFill>
                    <w14:schemeClr w14:val="tx1"/>
                  </w14:solidFill>
                </w14:textFill>
              </w:rPr>
              <w:t>.</w:t>
            </w:r>
            <w:r>
              <w:rPr>
                <w:rFonts w:hint="eastAsia" w:ascii="宋体" w:hAnsi="宋体" w:eastAsia="宋体" w:cs="Times New Roman"/>
                <w:color w:val="000000" w:themeColor="text1"/>
                <w:sz w:val="21"/>
                <w14:textFill>
                  <w14:solidFill>
                    <w14:schemeClr w14:val="tx1"/>
                  </w14:solidFill>
                </w14:textFill>
              </w:rPr>
              <w:t>围绕一个师德主题，小组合作进行汇报交流，占平时成绩</w:t>
            </w:r>
            <w:r>
              <w:rPr>
                <w:rFonts w:ascii="宋体" w:hAnsi="宋体" w:eastAsia="宋体" w:cs="Times New Roman"/>
                <w:color w:val="000000" w:themeColor="text1"/>
                <w:sz w:val="21"/>
                <w14:textFill>
                  <w14:solidFill>
                    <w14:schemeClr w14:val="tx1"/>
                  </w14:solidFill>
                </w14:textFill>
              </w:rPr>
              <w:t>40%</w:t>
            </w:r>
            <w:r>
              <w:rPr>
                <w:rFonts w:hint="eastAsia" w:ascii="宋体" w:hAnsi="宋体" w:eastAsia="宋体" w:cs="Times New Roman"/>
                <w:color w:val="000000" w:themeColor="text1"/>
                <w:sz w:val="21"/>
                <w14:textFill>
                  <w14:solidFill>
                    <w14:schemeClr w14:val="tx1"/>
                  </w14:solidFill>
                </w14:textFill>
              </w:rPr>
              <w:t>。</w:t>
            </w:r>
          </w:p>
          <w:p w14:paraId="44B0A75F">
            <w:pPr>
              <w:adjustRightInd w:val="0"/>
              <w:snapToGrid w:val="0"/>
              <w:ind w:firstLine="210" w:firstLineChars="100"/>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4.</w:t>
            </w:r>
            <w:r>
              <w:rPr>
                <w:rFonts w:hint="eastAsia" w:ascii="宋体" w:hAnsi="宋体" w:eastAsia="宋体" w:cs="Times New Roman"/>
                <w:color w:val="000000" w:themeColor="text1"/>
                <w:sz w:val="21"/>
                <w14:textFill>
                  <w14:solidFill>
                    <w14:schemeClr w14:val="tx1"/>
                  </w14:solidFill>
                </w14:textFill>
              </w:rPr>
              <w:t>平时作业：</w:t>
            </w:r>
            <w:r>
              <w:rPr>
                <w:rFonts w:ascii="宋体" w:hAnsi="宋体" w:eastAsia="宋体" w:cs="Times New Roman"/>
                <w:color w:val="000000" w:themeColor="text1"/>
                <w:sz w:val="21"/>
                <w14:textFill>
                  <w14:solidFill>
                    <w14:schemeClr w14:val="tx1"/>
                  </w14:solidFill>
                </w14:textFill>
              </w:rPr>
              <w:t>课后完成</w:t>
            </w:r>
            <w:r>
              <w:rPr>
                <w:rFonts w:hint="eastAsia" w:ascii="宋体" w:hAnsi="宋体" w:eastAsia="宋体" w:cs="Times New Roman"/>
                <w:color w:val="000000" w:themeColor="text1"/>
                <w:sz w:val="21"/>
                <w14:textFill>
                  <w14:solidFill>
                    <w14:schemeClr w14:val="tx1"/>
                  </w14:solidFill>
                </w14:textFill>
              </w:rPr>
              <w:t>3次作业</w:t>
            </w:r>
            <w:r>
              <w:rPr>
                <w:rFonts w:ascii="宋体" w:hAnsi="宋体" w:eastAsia="宋体" w:cs="Times New Roman"/>
                <w:color w:val="000000" w:themeColor="text1"/>
                <w:sz w:val="21"/>
                <w14:textFill>
                  <w14:solidFill>
                    <w14:schemeClr w14:val="tx1"/>
                  </w14:solidFill>
                </w14:textFill>
              </w:rPr>
              <w:t>，考核学生对知识点的理解和掌握</w:t>
            </w:r>
            <w:r>
              <w:rPr>
                <w:rFonts w:hint="eastAsia" w:ascii="宋体" w:hAnsi="宋体" w:eastAsia="宋体" w:cs="Times New Roman"/>
                <w:color w:val="000000" w:themeColor="text1"/>
                <w:sz w:val="21"/>
                <w14:textFill>
                  <w14:solidFill>
                    <w14:schemeClr w14:val="tx1"/>
                  </w14:solidFill>
                </w14:textFill>
              </w:rPr>
              <w:t>情况</w:t>
            </w:r>
            <w:r>
              <w:rPr>
                <w:rFonts w:ascii="宋体" w:hAnsi="宋体" w:eastAsia="宋体" w:cs="Times New Roman"/>
                <w:color w:val="000000" w:themeColor="text1"/>
                <w:sz w:val="21"/>
                <w14:textFill>
                  <w14:solidFill>
                    <w14:schemeClr w14:val="tx1"/>
                  </w14:solidFill>
                </w14:textFill>
              </w:rPr>
              <w:t>，全部作业</w:t>
            </w:r>
            <w:r>
              <w:rPr>
                <w:rFonts w:hint="eastAsia" w:ascii="宋体" w:hAnsi="宋体" w:eastAsia="宋体" w:cs="Times New Roman"/>
                <w:color w:val="000000" w:themeColor="text1"/>
                <w:sz w:val="21"/>
                <w14:textFill>
                  <w14:solidFill>
                    <w14:schemeClr w14:val="tx1"/>
                  </w14:solidFill>
                </w14:textFill>
              </w:rPr>
              <w:t>平均成绩的</w:t>
            </w:r>
            <w:r>
              <w:rPr>
                <w:rFonts w:ascii="宋体" w:hAnsi="宋体" w:eastAsia="宋体" w:cs="Times New Roman"/>
                <w:color w:val="000000" w:themeColor="text1"/>
                <w:sz w:val="21"/>
                <w14:textFill>
                  <w14:solidFill>
                    <w14:schemeClr w14:val="tx1"/>
                  </w14:solidFill>
                </w14:textFill>
              </w:rPr>
              <w:t>40%</w:t>
            </w:r>
            <w:r>
              <w:rPr>
                <w:rFonts w:hint="eastAsia" w:ascii="宋体" w:hAnsi="宋体" w:eastAsia="宋体" w:cs="Times New Roman"/>
                <w:color w:val="000000" w:themeColor="text1"/>
                <w:sz w:val="21"/>
                <w14:textFill>
                  <w14:solidFill>
                    <w14:schemeClr w14:val="tx1"/>
                  </w14:solidFill>
                </w14:textFill>
              </w:rPr>
              <w:t>计入平时成绩。</w:t>
            </w:r>
          </w:p>
        </w:tc>
        <w:tc>
          <w:tcPr>
            <w:tcW w:w="1267" w:type="dxa"/>
            <w:vAlign w:val="center"/>
          </w:tcPr>
          <w:p w14:paraId="2BAE2E78">
            <w:pPr>
              <w:adjustRightInd w:val="0"/>
              <w:snapToGrid w:val="0"/>
              <w:jc w:val="right"/>
              <w:rPr>
                <w:rFonts w:ascii="宋体" w:hAnsi="宋体" w:eastAsia="宋体" w:cs="Times New Roman"/>
                <w:sz w:val="21"/>
              </w:rPr>
            </w:pPr>
            <w:r>
              <w:rPr>
                <w:rFonts w:hint="eastAsia" w:ascii="宋体" w:hAnsi="宋体" w:eastAsia="宋体" w:cs="Times New Roman"/>
                <w:sz w:val="21"/>
              </w:rPr>
              <w:t>课程目标1</w:t>
            </w:r>
            <w:r>
              <w:rPr>
                <w:rFonts w:ascii="宋体" w:hAnsi="宋体" w:eastAsia="宋体" w:cs="Times New Roman"/>
                <w:sz w:val="21"/>
              </w:rPr>
              <w:t>课程目标</w:t>
            </w:r>
            <w:r>
              <w:rPr>
                <w:rFonts w:hint="eastAsia" w:ascii="宋体" w:hAnsi="宋体" w:eastAsia="宋体" w:cs="Times New Roman"/>
                <w:sz w:val="21"/>
              </w:rPr>
              <w:t>2</w:t>
            </w:r>
          </w:p>
          <w:p w14:paraId="42202ABE">
            <w:pPr>
              <w:adjustRightInd w:val="0"/>
              <w:snapToGrid w:val="0"/>
              <w:jc w:val="right"/>
              <w:rPr>
                <w:rFonts w:ascii="宋体" w:hAnsi="宋体" w:eastAsia="宋体" w:cs="Times New Roman"/>
                <w:sz w:val="21"/>
              </w:rPr>
            </w:pPr>
            <w:r>
              <w:rPr>
                <w:rFonts w:hint="eastAsia" w:ascii="宋体" w:hAnsi="宋体" w:eastAsia="宋体" w:cs="Times New Roman"/>
                <w:sz w:val="21"/>
              </w:rPr>
              <w:t>课程目标3</w:t>
            </w:r>
          </w:p>
          <w:p w14:paraId="1D708DE7">
            <w:pPr>
              <w:adjustRightInd w:val="0"/>
              <w:snapToGrid w:val="0"/>
              <w:jc w:val="right"/>
              <w:rPr>
                <w:rFonts w:ascii="宋体" w:hAnsi="宋体" w:eastAsia="宋体" w:cs="Times New Roman"/>
                <w:sz w:val="21"/>
              </w:rPr>
            </w:pPr>
            <w:r>
              <w:rPr>
                <w:rFonts w:hint="eastAsia" w:ascii="宋体" w:hAnsi="宋体" w:eastAsia="宋体" w:cs="Times New Roman"/>
                <w:sz w:val="21"/>
              </w:rPr>
              <w:t>课程目标4</w:t>
            </w:r>
          </w:p>
        </w:tc>
        <w:tc>
          <w:tcPr>
            <w:tcW w:w="1267" w:type="dxa"/>
            <w:vAlign w:val="center"/>
          </w:tcPr>
          <w:p w14:paraId="4305E0C4">
            <w:pPr>
              <w:adjustRightInd w:val="0"/>
              <w:snapToGrid w:val="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教师职业道德的内涵、价值、基本原则、内容，教师职业道德修养的途径与方法等</w:t>
            </w:r>
          </w:p>
        </w:tc>
        <w:tc>
          <w:tcPr>
            <w:tcW w:w="1267" w:type="dxa"/>
            <w:vAlign w:val="center"/>
          </w:tcPr>
          <w:p w14:paraId="0F304AC4">
            <w:pPr>
              <w:adjustRightInd w:val="0"/>
              <w:snapToGrid w:val="0"/>
              <w:jc w:val="right"/>
              <w:rPr>
                <w:rFonts w:ascii="宋体" w:hAnsi="宋体" w:eastAsia="宋体" w:cs="Times New Roman"/>
                <w:color w:val="000000"/>
                <w:sz w:val="21"/>
                <w:szCs w:val="21"/>
              </w:rPr>
            </w:pPr>
            <w:r>
              <w:rPr>
                <w:rFonts w:ascii="宋体" w:hAnsi="宋体" w:eastAsia="宋体" w:cs="Times New Roman"/>
                <w:color w:val="000000"/>
                <w:sz w:val="21"/>
                <w:szCs w:val="21"/>
              </w:rPr>
              <w:t>1-1</w:t>
            </w:r>
            <w:r>
              <w:rPr>
                <w:rFonts w:hint="eastAsia" w:ascii="宋体" w:hAnsi="宋体" w:eastAsia="宋体" w:cs="Times New Roman"/>
                <w:color w:val="000000"/>
                <w:sz w:val="21"/>
                <w:szCs w:val="21"/>
              </w:rPr>
              <w:t>、2</w:t>
            </w:r>
            <w:r>
              <w:rPr>
                <w:rFonts w:ascii="宋体" w:hAnsi="宋体" w:eastAsia="宋体" w:cs="Times New Roman"/>
                <w:color w:val="000000"/>
                <w:sz w:val="21"/>
                <w:szCs w:val="21"/>
              </w:rPr>
              <w:t>-1</w:t>
            </w:r>
            <w:r>
              <w:rPr>
                <w:rFonts w:hint="eastAsia" w:ascii="宋体" w:hAnsi="宋体" w:eastAsia="宋体" w:cs="Times New Roman"/>
                <w:color w:val="000000"/>
                <w:sz w:val="21"/>
                <w:szCs w:val="21"/>
              </w:rPr>
              <w:t>、2</w:t>
            </w:r>
            <w:r>
              <w:rPr>
                <w:rFonts w:ascii="宋体" w:hAnsi="宋体" w:eastAsia="宋体" w:cs="Times New Roman"/>
                <w:color w:val="000000"/>
                <w:sz w:val="21"/>
                <w:szCs w:val="21"/>
              </w:rPr>
              <w:t>-2</w:t>
            </w:r>
            <w:r>
              <w:rPr>
                <w:rFonts w:hint="eastAsia" w:ascii="宋体" w:hAnsi="宋体" w:eastAsia="宋体" w:cs="Times New Roman"/>
                <w:color w:val="000000"/>
                <w:sz w:val="21"/>
                <w:szCs w:val="21"/>
              </w:rPr>
              <w:t>、2</w:t>
            </w:r>
            <w:r>
              <w:rPr>
                <w:rFonts w:ascii="宋体" w:hAnsi="宋体" w:eastAsia="宋体" w:cs="Times New Roman"/>
                <w:color w:val="000000"/>
                <w:sz w:val="21"/>
                <w:szCs w:val="21"/>
              </w:rPr>
              <w:t>-3</w:t>
            </w:r>
            <w:r>
              <w:rPr>
                <w:rFonts w:hint="eastAsia" w:ascii="宋体" w:hAnsi="宋体" w:eastAsia="宋体" w:cs="Times New Roman"/>
                <w:color w:val="000000"/>
                <w:sz w:val="21"/>
                <w:szCs w:val="21"/>
              </w:rPr>
              <w:t>、</w:t>
            </w:r>
          </w:p>
          <w:p w14:paraId="4B7F6071">
            <w:pPr>
              <w:adjustRightInd w:val="0"/>
              <w:snapToGrid w:val="0"/>
              <w:ind w:right="210"/>
              <w:jc w:val="right"/>
              <w:rPr>
                <w:rFonts w:ascii="宋体" w:hAnsi="宋体" w:eastAsia="宋体" w:cs="Times New Roman"/>
                <w:sz w:val="21"/>
              </w:rPr>
            </w:pPr>
            <w:r>
              <w:rPr>
                <w:rFonts w:hint="eastAsia" w:ascii="宋体" w:hAnsi="宋体" w:eastAsia="宋体" w:cs="Times New Roman"/>
                <w:color w:val="000000"/>
                <w:sz w:val="21"/>
                <w:szCs w:val="21"/>
              </w:rPr>
              <w:t>5</w:t>
            </w:r>
            <w:r>
              <w:rPr>
                <w:rFonts w:ascii="宋体" w:hAnsi="宋体" w:eastAsia="宋体" w:cs="Times New Roman"/>
                <w:color w:val="000000"/>
                <w:sz w:val="21"/>
                <w:szCs w:val="21"/>
              </w:rPr>
              <w:t>-2</w:t>
            </w:r>
            <w:r>
              <w:rPr>
                <w:rFonts w:hint="eastAsia" w:ascii="宋体" w:hAnsi="宋体" w:eastAsia="宋体" w:cs="Times New Roman"/>
                <w:color w:val="000000"/>
                <w:sz w:val="21"/>
                <w:szCs w:val="21"/>
              </w:rPr>
              <w:t>、7</w:t>
            </w:r>
            <w:r>
              <w:rPr>
                <w:rFonts w:ascii="宋体" w:hAnsi="宋体" w:eastAsia="宋体" w:cs="Times New Roman"/>
                <w:color w:val="000000"/>
                <w:sz w:val="21"/>
                <w:szCs w:val="21"/>
              </w:rPr>
              <w:t>-2</w:t>
            </w:r>
          </w:p>
        </w:tc>
      </w:tr>
      <w:tr w14:paraId="26EB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619" w:type="dxa"/>
            <w:tcMar>
              <w:left w:w="57" w:type="dxa"/>
              <w:right w:w="57" w:type="dxa"/>
            </w:tcMar>
            <w:vAlign w:val="center"/>
          </w:tcPr>
          <w:p w14:paraId="6BCD53E3">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期末考试</w:t>
            </w:r>
          </w:p>
        </w:tc>
        <w:tc>
          <w:tcPr>
            <w:tcW w:w="1126" w:type="dxa"/>
            <w:vAlign w:val="center"/>
          </w:tcPr>
          <w:p w14:paraId="344ADB4B">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期末考试</w:t>
            </w:r>
          </w:p>
          <w:p w14:paraId="75EFADF0">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hint="eastAsia" w:ascii="宋体" w:hAnsi="宋体" w:eastAsia="宋体" w:cs="Times New Roman"/>
                <w:color w:val="000000" w:themeColor="text1"/>
                <w:sz w:val="21"/>
                <w14:textFill>
                  <w14:solidFill>
                    <w14:schemeClr w14:val="tx1"/>
                  </w14:solidFill>
                </w14:textFill>
              </w:rPr>
              <w:t>卷面</w:t>
            </w:r>
            <w:r>
              <w:rPr>
                <w:rFonts w:ascii="宋体" w:hAnsi="宋体" w:eastAsia="宋体" w:cs="Times New Roman"/>
                <w:color w:val="000000" w:themeColor="text1"/>
                <w:sz w:val="21"/>
                <w14:textFill>
                  <w14:solidFill>
                    <w14:schemeClr w14:val="tx1"/>
                  </w14:solidFill>
                </w14:textFill>
              </w:rPr>
              <w:t>成绩</w:t>
            </w:r>
          </w:p>
        </w:tc>
        <w:tc>
          <w:tcPr>
            <w:tcW w:w="704" w:type="dxa"/>
            <w:vAlign w:val="center"/>
          </w:tcPr>
          <w:p w14:paraId="57227ED6">
            <w:pPr>
              <w:adjustRightInd w:val="0"/>
              <w:snapToGrid w:val="0"/>
              <w:jc w:val="center"/>
              <w:rPr>
                <w:rFonts w:ascii="宋体" w:hAnsi="宋体" w:eastAsia="宋体" w:cs="Times New Roman"/>
                <w:color w:val="000000" w:themeColor="text1"/>
                <w:sz w:val="21"/>
                <w14:textFill>
                  <w14:solidFill>
                    <w14:schemeClr w14:val="tx1"/>
                  </w14:solidFill>
                </w14:textFill>
              </w:rPr>
            </w:pPr>
            <w:r>
              <w:rPr>
                <w:rFonts w:ascii="宋体" w:hAnsi="宋体" w:eastAsia="宋体" w:cs="Times New Roman"/>
                <w:color w:val="000000" w:themeColor="text1"/>
                <w:sz w:val="21"/>
                <w14:textFill>
                  <w14:solidFill>
                    <w14:schemeClr w14:val="tx1"/>
                  </w14:solidFill>
                </w14:textFill>
              </w:rPr>
              <w:t>60%</w:t>
            </w:r>
          </w:p>
        </w:tc>
        <w:tc>
          <w:tcPr>
            <w:tcW w:w="2675" w:type="dxa"/>
            <w:vAlign w:val="center"/>
          </w:tcPr>
          <w:p w14:paraId="3D119C83">
            <w:pPr>
              <w:adjustRightInd w:val="0"/>
              <w:snapToGrid w:val="0"/>
              <w:ind w:firstLine="210" w:firstLineChars="100"/>
              <w:rPr>
                <w:rFonts w:ascii="宋体" w:hAnsi="宋体" w:eastAsia="宋体" w:cs="Times New Roman"/>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14:textFill>
                  <w14:solidFill>
                    <w14:schemeClr w14:val="tx1"/>
                  </w14:solidFill>
                </w14:textFill>
              </w:rPr>
              <w:t>闭卷</w:t>
            </w:r>
            <w:r>
              <w:rPr>
                <w:rFonts w:ascii="宋体" w:hAnsi="宋体" w:eastAsia="宋体" w:cs="Times New Roman"/>
                <w:color w:val="000000" w:themeColor="text1"/>
                <w:sz w:val="21"/>
                <w:szCs w:val="21"/>
                <w14:textFill>
                  <w14:solidFill>
                    <w14:schemeClr w14:val="tx1"/>
                  </w14:solidFill>
                </w14:textFill>
              </w:rPr>
              <w:t>题型包括</w:t>
            </w:r>
            <w:r>
              <w:rPr>
                <w:rFonts w:hint="eastAsia" w:ascii="宋体" w:hAnsi="宋体" w:eastAsia="宋体" w:cs="Times New Roman"/>
                <w:color w:val="000000" w:themeColor="text1"/>
                <w:sz w:val="21"/>
                <w:szCs w:val="21"/>
                <w14:textFill>
                  <w14:solidFill>
                    <w14:schemeClr w14:val="tx1"/>
                  </w14:solidFill>
                </w14:textFill>
              </w:rPr>
              <w:t>选择题</w:t>
            </w:r>
            <w:r>
              <w:rPr>
                <w:rFonts w:ascii="宋体" w:hAnsi="宋体" w:eastAsia="宋体" w:cs="Times New Roman"/>
                <w:color w:val="000000" w:themeColor="text1"/>
                <w:sz w:val="21"/>
                <w:szCs w:val="21"/>
                <w14:textFill>
                  <w14:solidFill>
                    <w14:schemeClr w14:val="tx1"/>
                  </w14:solidFill>
                </w14:textFill>
              </w:rPr>
              <w:t>、</w:t>
            </w:r>
            <w:r>
              <w:rPr>
                <w:rFonts w:hint="eastAsia" w:ascii="宋体" w:hAnsi="宋体" w:eastAsia="宋体" w:cs="Times New Roman"/>
                <w:color w:val="000000" w:themeColor="text1"/>
                <w:sz w:val="21"/>
                <w:szCs w:val="21"/>
                <w14:textFill>
                  <w14:solidFill>
                    <w14:schemeClr w14:val="tx1"/>
                  </w14:solidFill>
                </w14:textFill>
              </w:rPr>
              <w:t>简答</w:t>
            </w:r>
            <w:r>
              <w:rPr>
                <w:rFonts w:ascii="宋体" w:hAnsi="宋体" w:eastAsia="宋体" w:cs="Times New Roman"/>
                <w:color w:val="000000" w:themeColor="text1"/>
                <w:sz w:val="21"/>
                <w:szCs w:val="21"/>
                <w14:textFill>
                  <w14:solidFill>
                    <w14:schemeClr w14:val="tx1"/>
                  </w14:solidFill>
                </w14:textFill>
              </w:rPr>
              <w:t>题、</w:t>
            </w:r>
            <w:r>
              <w:rPr>
                <w:rFonts w:hint="eastAsia" w:ascii="宋体" w:hAnsi="宋体" w:eastAsia="宋体" w:cs="Times New Roman"/>
                <w:color w:val="000000" w:themeColor="text1"/>
                <w:sz w:val="21"/>
                <w:szCs w:val="21"/>
                <w14:textFill>
                  <w14:solidFill>
                    <w14:schemeClr w14:val="tx1"/>
                  </w14:solidFill>
                </w14:textFill>
              </w:rPr>
              <w:t>材料</w:t>
            </w:r>
            <w:r>
              <w:rPr>
                <w:rFonts w:ascii="宋体" w:hAnsi="宋体" w:eastAsia="宋体" w:cs="Times New Roman"/>
                <w:color w:val="000000" w:themeColor="text1"/>
                <w:sz w:val="21"/>
                <w:szCs w:val="21"/>
                <w14:textFill>
                  <w14:solidFill>
                    <w14:schemeClr w14:val="tx1"/>
                  </w14:solidFill>
                </w14:textFill>
              </w:rPr>
              <w:t>分析题</w:t>
            </w:r>
            <w:r>
              <w:rPr>
                <w:rFonts w:hint="eastAsia" w:ascii="宋体" w:hAnsi="宋体" w:eastAsia="宋体" w:cs="Times New Roman"/>
                <w:color w:val="000000" w:themeColor="text1"/>
                <w:sz w:val="21"/>
                <w:szCs w:val="21"/>
                <w14:textFill>
                  <w14:solidFill>
                    <w14:schemeClr w14:val="tx1"/>
                  </w14:solidFill>
                </w14:textFill>
              </w:rPr>
              <w:t>、论述题</w:t>
            </w:r>
            <w:r>
              <w:rPr>
                <w:rFonts w:ascii="宋体" w:hAnsi="宋体" w:eastAsia="宋体" w:cs="Times New Roman"/>
                <w:color w:val="000000" w:themeColor="text1"/>
                <w:sz w:val="21"/>
                <w:szCs w:val="21"/>
                <w14:textFill>
                  <w14:solidFill>
                    <w14:schemeClr w14:val="tx1"/>
                  </w14:solidFill>
                </w14:textFill>
              </w:rPr>
              <w:t>，以卷面成绩的60%计入课程总成绩。其中</w:t>
            </w:r>
            <w:r>
              <w:rPr>
                <w:rFonts w:hint="eastAsia" w:ascii="宋体" w:hAnsi="宋体" w:eastAsia="宋体" w:cs="Times New Roman"/>
                <w:color w:val="000000" w:themeColor="text1"/>
                <w:sz w:val="21"/>
                <w:szCs w:val="21"/>
                <w14:textFill>
                  <w14:solidFill>
                    <w14:schemeClr w14:val="tx1"/>
                  </w14:solidFill>
                </w14:textFill>
              </w:rPr>
              <w:t>：</w:t>
            </w:r>
          </w:p>
          <w:p w14:paraId="40F1F9A4">
            <w:pPr>
              <w:adjustRightInd w:val="0"/>
              <w:snapToGrid w:val="0"/>
              <w:ind w:firstLine="315" w:firstLineChars="150"/>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考核</w:t>
            </w:r>
            <w:r>
              <w:rPr>
                <w:rFonts w:hint="eastAsia" w:ascii="宋体" w:hAnsi="宋体" w:eastAsia="宋体" w:cs="Times New Roman"/>
                <w:color w:val="000000" w:themeColor="text1"/>
                <w:sz w:val="21"/>
                <w:szCs w:val="21"/>
                <w14:textFill>
                  <w14:solidFill>
                    <w14:schemeClr w14:val="tx1"/>
                  </w14:solidFill>
                </w14:textFill>
              </w:rPr>
              <w:t>教师职业道德</w:t>
            </w:r>
            <w:r>
              <w:rPr>
                <w:rFonts w:ascii="宋体" w:hAnsi="宋体" w:eastAsia="宋体" w:cs="Times New Roman"/>
                <w:color w:val="000000" w:themeColor="text1"/>
                <w:sz w:val="21"/>
                <w:szCs w:val="21"/>
                <w14:textFill>
                  <w14:solidFill>
                    <w14:schemeClr w14:val="tx1"/>
                  </w14:solidFill>
                </w14:textFill>
              </w:rPr>
              <w:t>基本理论</w:t>
            </w:r>
            <w:r>
              <w:rPr>
                <w:rFonts w:hint="eastAsia" w:ascii="宋体" w:hAnsi="宋体" w:eastAsia="宋体" w:cs="Times New Roman"/>
                <w:color w:val="000000" w:themeColor="text1"/>
                <w:sz w:val="21"/>
                <w:szCs w:val="21"/>
                <w14:textFill>
                  <w14:solidFill>
                    <w14:schemeClr w14:val="tx1"/>
                  </w14:solidFill>
                </w14:textFill>
              </w:rPr>
              <w:t>的知识</w:t>
            </w:r>
            <w:r>
              <w:rPr>
                <w:rFonts w:ascii="宋体" w:hAnsi="宋体" w:eastAsia="宋体" w:cs="Times New Roman"/>
                <w:color w:val="000000" w:themeColor="text1"/>
                <w:sz w:val="21"/>
                <w:szCs w:val="21"/>
                <w14:textFill>
                  <w14:solidFill>
                    <w14:schemeClr w14:val="tx1"/>
                  </w14:solidFill>
                </w14:textFill>
              </w:rPr>
              <w:t>型题目占40%</w:t>
            </w:r>
            <w:r>
              <w:rPr>
                <w:rFonts w:hint="eastAsia" w:ascii="宋体" w:hAnsi="宋体" w:eastAsia="宋体" w:cs="Times New Roman"/>
                <w:color w:val="000000" w:themeColor="text1"/>
                <w:sz w:val="21"/>
                <w:szCs w:val="21"/>
                <w14:textFill>
                  <w14:solidFill>
                    <w14:schemeClr w14:val="tx1"/>
                  </w14:solidFill>
                </w14:textFill>
              </w:rPr>
              <w:t>。</w:t>
            </w:r>
          </w:p>
          <w:p w14:paraId="79EDD8E7">
            <w:pPr>
              <w:adjustRightInd w:val="0"/>
              <w:snapToGrid w:val="0"/>
              <w:ind w:firstLine="315" w:firstLineChars="150"/>
              <w:rPr>
                <w:rFonts w:ascii="宋体" w:hAnsi="宋体" w:eastAsia="宋体" w:cs="Times New Roman"/>
                <w:color w:val="000000" w:themeColor="text1"/>
                <w:sz w:val="21"/>
                <w:szCs w:val="21"/>
                <w14:textFill>
                  <w14:solidFill>
                    <w14:schemeClr w14:val="tx1"/>
                  </w14:solidFill>
                </w14:textFill>
              </w:rPr>
            </w:pPr>
            <w:r>
              <w:rPr>
                <w:rFonts w:ascii="宋体" w:hAnsi="宋体" w:eastAsia="宋体" w:cs="Times New Roman"/>
                <w:color w:val="000000" w:themeColor="text1"/>
                <w:sz w:val="21"/>
                <w:szCs w:val="21"/>
                <w14:textFill>
                  <w14:solidFill>
                    <w14:schemeClr w14:val="tx1"/>
                  </w14:solidFill>
                </w14:textFill>
              </w:rPr>
              <w:t>考核</w:t>
            </w:r>
            <w:r>
              <w:rPr>
                <w:rFonts w:hint="eastAsia" w:ascii="宋体" w:hAnsi="宋体" w:eastAsia="宋体" w:cs="Times New Roman"/>
                <w:color w:val="000000" w:themeColor="text1"/>
                <w:sz w:val="21"/>
                <w:szCs w:val="21"/>
                <w14:textFill>
                  <w14:solidFill>
                    <w14:schemeClr w14:val="tx1"/>
                  </w14:solidFill>
                </w14:textFill>
              </w:rPr>
              <w:t>学生</w:t>
            </w:r>
            <w:r>
              <w:rPr>
                <w:rFonts w:ascii="宋体" w:hAnsi="宋体" w:eastAsia="宋体" w:cs="Times New Roman"/>
                <w:color w:val="000000" w:themeColor="text1"/>
                <w:sz w:val="21"/>
                <w:szCs w:val="21"/>
                <w14:textFill>
                  <w14:solidFill>
                    <w14:schemeClr w14:val="tx1"/>
                  </w14:solidFill>
                </w14:textFill>
              </w:rPr>
              <w:t>运用</w:t>
            </w:r>
            <w:r>
              <w:rPr>
                <w:rFonts w:hint="eastAsia" w:ascii="宋体" w:hAnsi="宋体" w:eastAsia="宋体" w:cs="Times New Roman"/>
                <w:color w:val="000000" w:themeColor="text1"/>
                <w:sz w:val="21"/>
                <w:szCs w:val="21"/>
                <w14:textFill>
                  <w14:solidFill>
                    <w14:schemeClr w14:val="tx1"/>
                  </w14:solidFill>
                </w14:textFill>
              </w:rPr>
              <w:t>职业道德</w:t>
            </w:r>
            <w:r>
              <w:rPr>
                <w:rFonts w:ascii="宋体" w:hAnsi="宋体" w:eastAsia="宋体" w:cs="Times New Roman"/>
                <w:color w:val="000000" w:themeColor="text1"/>
                <w:sz w:val="21"/>
                <w:szCs w:val="21"/>
                <w14:textFill>
                  <w14:solidFill>
                    <w14:schemeClr w14:val="tx1"/>
                  </w14:solidFill>
                </w14:textFill>
              </w:rPr>
              <w:t>基本理论知识</w:t>
            </w:r>
            <w:r>
              <w:rPr>
                <w:rFonts w:hint="eastAsia" w:ascii="宋体" w:hAnsi="宋体" w:eastAsia="宋体" w:cs="Times New Roman"/>
                <w:color w:val="000000" w:themeColor="text1"/>
                <w:sz w:val="21"/>
                <w:szCs w:val="21"/>
                <w14:textFill>
                  <w14:solidFill>
                    <w14:schemeClr w14:val="tx1"/>
                  </w14:solidFill>
                </w14:textFill>
              </w:rPr>
              <w:t>分析材料的</w:t>
            </w:r>
            <w:r>
              <w:rPr>
                <w:rFonts w:ascii="宋体" w:hAnsi="宋体" w:eastAsia="宋体" w:cs="Times New Roman"/>
                <w:color w:val="000000" w:themeColor="text1"/>
                <w:sz w:val="21"/>
                <w:szCs w:val="21"/>
                <w14:textFill>
                  <w14:solidFill>
                    <w14:schemeClr w14:val="tx1"/>
                  </w14:solidFill>
                </w14:textFill>
              </w:rPr>
              <w:t>能力型题目占60%</w:t>
            </w:r>
            <w:r>
              <w:rPr>
                <w:rFonts w:hint="eastAsia" w:ascii="宋体" w:hAnsi="宋体" w:eastAsia="宋体" w:cs="Times New Roman"/>
                <w:color w:val="000000" w:themeColor="text1"/>
                <w:sz w:val="21"/>
                <w:szCs w:val="21"/>
                <w14:textFill>
                  <w14:solidFill>
                    <w14:schemeClr w14:val="tx1"/>
                  </w14:solidFill>
                </w14:textFill>
              </w:rPr>
              <w:t>。</w:t>
            </w:r>
          </w:p>
        </w:tc>
        <w:tc>
          <w:tcPr>
            <w:tcW w:w="1267" w:type="dxa"/>
            <w:vAlign w:val="center"/>
          </w:tcPr>
          <w:p w14:paraId="071B82EB">
            <w:pPr>
              <w:adjustRightInd w:val="0"/>
              <w:snapToGrid w:val="0"/>
              <w:jc w:val="right"/>
              <w:rPr>
                <w:rFonts w:ascii="宋体" w:hAnsi="宋体" w:eastAsia="宋体" w:cs="Times New Roman"/>
                <w:sz w:val="21"/>
              </w:rPr>
            </w:pPr>
            <w:r>
              <w:rPr>
                <w:rFonts w:ascii="宋体" w:hAnsi="宋体" w:eastAsia="宋体" w:cs="Times New Roman"/>
                <w:sz w:val="21"/>
              </w:rPr>
              <w:t>课程目标</w:t>
            </w:r>
            <w:r>
              <w:rPr>
                <w:rFonts w:hint="eastAsia" w:ascii="宋体" w:hAnsi="宋体" w:eastAsia="宋体" w:cs="Times New Roman"/>
                <w:sz w:val="21"/>
              </w:rPr>
              <w:t>1</w:t>
            </w:r>
          </w:p>
          <w:p w14:paraId="65A236E3">
            <w:pPr>
              <w:adjustRightInd w:val="0"/>
              <w:snapToGrid w:val="0"/>
              <w:jc w:val="right"/>
              <w:rPr>
                <w:rFonts w:ascii="宋体" w:hAnsi="宋体" w:eastAsia="宋体" w:cs="Times New Roman"/>
                <w:sz w:val="21"/>
              </w:rPr>
            </w:pPr>
            <w:r>
              <w:rPr>
                <w:rFonts w:hint="eastAsia" w:ascii="宋体" w:hAnsi="宋体" w:eastAsia="宋体" w:cs="Times New Roman"/>
                <w:sz w:val="21"/>
              </w:rPr>
              <w:t>课程目标</w:t>
            </w:r>
            <w:r>
              <w:rPr>
                <w:rFonts w:ascii="宋体" w:hAnsi="宋体" w:eastAsia="宋体" w:cs="Times New Roman"/>
                <w:sz w:val="21"/>
              </w:rPr>
              <w:t>2课程目标3</w:t>
            </w:r>
          </w:p>
          <w:p w14:paraId="79876471">
            <w:pPr>
              <w:adjustRightInd w:val="0"/>
              <w:snapToGrid w:val="0"/>
              <w:jc w:val="right"/>
              <w:rPr>
                <w:rFonts w:ascii="宋体" w:hAnsi="宋体" w:eastAsia="宋体" w:cs="Times New Roman"/>
                <w:color w:val="000000"/>
                <w:sz w:val="21"/>
                <w:szCs w:val="21"/>
              </w:rPr>
            </w:pPr>
            <w:r>
              <w:rPr>
                <w:rFonts w:hint="eastAsia" w:ascii="宋体" w:hAnsi="宋体" w:eastAsia="宋体" w:cs="Times New Roman"/>
                <w:color w:val="000000"/>
                <w:sz w:val="21"/>
                <w:szCs w:val="21"/>
              </w:rPr>
              <w:t>课程目标</w:t>
            </w:r>
            <w:r>
              <w:rPr>
                <w:rFonts w:ascii="宋体" w:hAnsi="宋体" w:eastAsia="宋体" w:cs="Times New Roman"/>
                <w:color w:val="000000"/>
                <w:sz w:val="21"/>
                <w:szCs w:val="21"/>
              </w:rPr>
              <w:t>4</w:t>
            </w:r>
          </w:p>
        </w:tc>
        <w:tc>
          <w:tcPr>
            <w:tcW w:w="1267" w:type="dxa"/>
            <w:vAlign w:val="center"/>
          </w:tcPr>
          <w:p w14:paraId="2D877D03">
            <w:pPr>
              <w:adjustRightInd w:val="0"/>
              <w:snapToGrid w:val="0"/>
              <w:jc w:val="left"/>
              <w:rPr>
                <w:rFonts w:ascii="宋体" w:hAnsi="宋体" w:eastAsia="宋体" w:cs="Times New Roman"/>
                <w:color w:val="000000"/>
                <w:sz w:val="21"/>
                <w:szCs w:val="21"/>
              </w:rPr>
            </w:pPr>
            <w:r>
              <w:rPr>
                <w:rFonts w:hint="eastAsia" w:ascii="宋体" w:hAnsi="宋体" w:eastAsia="宋体" w:cs="宋体"/>
                <w:color w:val="000000"/>
                <w:kern w:val="0"/>
                <w:sz w:val="21"/>
                <w:szCs w:val="21"/>
              </w:rPr>
              <w:t>教师职业道德的内涵、价值、基本原则、内容，教师职业道德修养的途径与方法等</w:t>
            </w:r>
          </w:p>
        </w:tc>
        <w:tc>
          <w:tcPr>
            <w:tcW w:w="1267" w:type="dxa"/>
            <w:vAlign w:val="center"/>
          </w:tcPr>
          <w:p w14:paraId="75F84D14">
            <w:pPr>
              <w:adjustRightInd w:val="0"/>
              <w:snapToGrid w:val="0"/>
              <w:jc w:val="right"/>
              <w:rPr>
                <w:rFonts w:ascii="宋体" w:hAnsi="宋体" w:eastAsia="宋体" w:cs="Times New Roman"/>
                <w:color w:val="000000"/>
                <w:sz w:val="21"/>
                <w:szCs w:val="21"/>
              </w:rPr>
            </w:pPr>
            <w:r>
              <w:rPr>
                <w:rFonts w:ascii="宋体" w:hAnsi="宋体" w:eastAsia="宋体" w:cs="Times New Roman"/>
                <w:color w:val="000000"/>
                <w:sz w:val="21"/>
                <w:szCs w:val="21"/>
              </w:rPr>
              <w:t>1-2</w:t>
            </w:r>
            <w:r>
              <w:rPr>
                <w:rFonts w:hint="eastAsia" w:ascii="宋体" w:hAnsi="宋体" w:eastAsia="宋体" w:cs="Times New Roman"/>
                <w:color w:val="000000"/>
                <w:sz w:val="21"/>
                <w:szCs w:val="21"/>
              </w:rPr>
              <w:t>、2</w:t>
            </w:r>
            <w:r>
              <w:rPr>
                <w:rFonts w:ascii="宋体" w:hAnsi="宋体" w:eastAsia="宋体" w:cs="Times New Roman"/>
                <w:color w:val="000000"/>
                <w:sz w:val="21"/>
                <w:szCs w:val="21"/>
              </w:rPr>
              <w:t>-1</w:t>
            </w:r>
            <w:r>
              <w:rPr>
                <w:rFonts w:hint="eastAsia" w:ascii="宋体" w:hAnsi="宋体" w:eastAsia="宋体" w:cs="Times New Roman"/>
                <w:color w:val="000000"/>
                <w:sz w:val="21"/>
                <w:szCs w:val="21"/>
              </w:rPr>
              <w:t>、2</w:t>
            </w:r>
            <w:r>
              <w:rPr>
                <w:rFonts w:ascii="宋体" w:hAnsi="宋体" w:eastAsia="宋体" w:cs="Times New Roman"/>
                <w:color w:val="000000"/>
                <w:sz w:val="21"/>
                <w:szCs w:val="21"/>
              </w:rPr>
              <w:t>-2</w:t>
            </w:r>
            <w:r>
              <w:rPr>
                <w:rFonts w:hint="eastAsia" w:ascii="宋体" w:hAnsi="宋体" w:eastAsia="宋体" w:cs="Times New Roman"/>
                <w:color w:val="000000"/>
                <w:sz w:val="21"/>
                <w:szCs w:val="21"/>
              </w:rPr>
              <w:t>、2</w:t>
            </w:r>
            <w:r>
              <w:rPr>
                <w:rFonts w:ascii="宋体" w:hAnsi="宋体" w:eastAsia="宋体" w:cs="Times New Roman"/>
                <w:color w:val="000000"/>
                <w:sz w:val="21"/>
                <w:szCs w:val="21"/>
              </w:rPr>
              <w:t>-3</w:t>
            </w:r>
            <w:r>
              <w:rPr>
                <w:rFonts w:hint="eastAsia" w:ascii="宋体" w:hAnsi="宋体" w:eastAsia="宋体" w:cs="Times New Roman"/>
                <w:color w:val="000000"/>
                <w:sz w:val="21"/>
                <w:szCs w:val="21"/>
              </w:rPr>
              <w:t>、</w:t>
            </w:r>
          </w:p>
          <w:p w14:paraId="5D7E5181">
            <w:pPr>
              <w:adjustRightInd w:val="0"/>
              <w:snapToGrid w:val="0"/>
              <w:ind w:right="210"/>
              <w:jc w:val="right"/>
              <w:rPr>
                <w:rFonts w:ascii="宋体" w:hAnsi="宋体" w:eastAsia="宋体" w:cs="Times New Roman"/>
                <w:color w:val="000000"/>
                <w:sz w:val="21"/>
                <w:szCs w:val="21"/>
              </w:rPr>
            </w:pPr>
            <w:r>
              <w:rPr>
                <w:rFonts w:hint="eastAsia" w:ascii="宋体" w:hAnsi="宋体" w:eastAsia="宋体" w:cs="Times New Roman"/>
                <w:color w:val="000000"/>
                <w:sz w:val="21"/>
                <w:szCs w:val="21"/>
              </w:rPr>
              <w:t>5</w:t>
            </w:r>
            <w:r>
              <w:rPr>
                <w:rFonts w:ascii="宋体" w:hAnsi="宋体" w:eastAsia="宋体" w:cs="Times New Roman"/>
                <w:color w:val="000000"/>
                <w:sz w:val="21"/>
                <w:szCs w:val="21"/>
              </w:rPr>
              <w:t>-2</w:t>
            </w:r>
            <w:r>
              <w:rPr>
                <w:rFonts w:hint="eastAsia" w:ascii="宋体" w:hAnsi="宋体" w:eastAsia="宋体" w:cs="Times New Roman"/>
                <w:color w:val="000000"/>
                <w:sz w:val="21"/>
                <w:szCs w:val="21"/>
              </w:rPr>
              <w:t>、7</w:t>
            </w:r>
            <w:r>
              <w:rPr>
                <w:rFonts w:ascii="宋体" w:hAnsi="宋体" w:eastAsia="宋体" w:cs="Times New Roman"/>
                <w:color w:val="000000"/>
                <w:sz w:val="21"/>
                <w:szCs w:val="21"/>
              </w:rPr>
              <w:t>-2</w:t>
            </w:r>
          </w:p>
        </w:tc>
      </w:tr>
    </w:tbl>
    <w:p w14:paraId="6104F5D3">
      <w:pPr>
        <w:spacing w:line="276" w:lineRule="auto"/>
        <w:ind w:firstLine="315" w:firstLineChars="150"/>
        <w:rPr>
          <w:rFonts w:ascii="宋体" w:hAnsi="宋体" w:eastAsia="宋体"/>
        </w:rPr>
      </w:pPr>
      <w:r>
        <w:rPr>
          <w:rFonts w:hint="eastAsia" w:ascii="宋体" w:hAnsi="宋体" w:eastAsia="宋体"/>
        </w:rPr>
        <w:t>（三）课程目标及考核方式权重分配表</w:t>
      </w:r>
    </w:p>
    <w:tbl>
      <w:tblPr>
        <w:tblStyle w:val="30"/>
        <w:tblW w:w="8889" w:type="dxa"/>
        <w:tblInd w:w="0" w:type="dxa"/>
        <w:tblLayout w:type="autofit"/>
        <w:tblCellMar>
          <w:top w:w="0" w:type="dxa"/>
          <w:left w:w="108" w:type="dxa"/>
          <w:bottom w:w="0" w:type="dxa"/>
          <w:right w:w="108" w:type="dxa"/>
        </w:tblCellMar>
      </w:tblPr>
      <w:tblGrid>
        <w:gridCol w:w="2014"/>
        <w:gridCol w:w="1520"/>
        <w:gridCol w:w="1701"/>
        <w:gridCol w:w="1701"/>
        <w:gridCol w:w="1953"/>
      </w:tblGrid>
      <w:tr w14:paraId="46B0F1A6">
        <w:tblPrEx>
          <w:tblCellMar>
            <w:top w:w="0" w:type="dxa"/>
            <w:left w:w="108" w:type="dxa"/>
            <w:bottom w:w="0" w:type="dxa"/>
            <w:right w:w="108" w:type="dxa"/>
          </w:tblCellMar>
        </w:tblPrEx>
        <w:trPr>
          <w:trHeight w:val="329" w:hRule="atLeast"/>
        </w:trPr>
        <w:tc>
          <w:tcPr>
            <w:tcW w:w="3534"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1F3D3344">
            <w:pPr>
              <w:widowControl/>
              <w:adjustRightInd w:val="0"/>
              <w:snapToGrid w:val="0"/>
              <w:jc w:val="center"/>
              <w:rPr>
                <w:rFonts w:ascii="宋体" w:hAnsi="宋体" w:eastAsia="宋体" w:cs="Times New Roman"/>
                <w:b/>
                <w:color w:val="000000" w:themeColor="text1"/>
                <w:kern w:val="0"/>
                <w:sz w:val="21"/>
                <w:szCs w:val="21"/>
                <w14:textFill>
                  <w14:solidFill>
                    <w14:schemeClr w14:val="tx1"/>
                  </w14:solidFill>
                </w14:textFill>
              </w:rPr>
            </w:pPr>
            <w:r>
              <w:rPr>
                <w:rFonts w:hint="eastAsia" w:ascii="宋体" w:hAnsi="宋体" w:eastAsia="宋体" w:cs="Times New Roman"/>
                <w:b/>
                <w:color w:val="000000" w:themeColor="text1"/>
                <w:kern w:val="0"/>
                <w:sz w:val="21"/>
                <w:szCs w:val="21"/>
                <w14:textFill>
                  <w14:solidFill>
                    <w14:schemeClr w14:val="tx1"/>
                  </w14:solidFill>
                </w14:textFill>
              </w:rPr>
              <w:t>课程目标及权重</w:t>
            </w:r>
          </w:p>
        </w:tc>
        <w:tc>
          <w:tcPr>
            <w:tcW w:w="5355" w:type="dxa"/>
            <w:gridSpan w:val="3"/>
            <w:tcBorders>
              <w:top w:val="single" w:color="auto" w:sz="8" w:space="0"/>
              <w:left w:val="nil"/>
              <w:bottom w:val="single" w:color="auto" w:sz="8" w:space="0"/>
              <w:right w:val="single" w:color="000000" w:sz="8" w:space="0"/>
            </w:tcBorders>
            <w:shd w:val="clear" w:color="auto" w:fill="auto"/>
            <w:vAlign w:val="center"/>
          </w:tcPr>
          <w:p w14:paraId="3CC4F2DD">
            <w:pPr>
              <w:widowControl/>
              <w:adjustRightInd w:val="0"/>
              <w:snapToGrid w:val="0"/>
              <w:ind w:right="-391" w:rightChars="-186"/>
              <w:jc w:val="center"/>
              <w:rPr>
                <w:rFonts w:ascii="宋体" w:hAnsi="宋体" w:eastAsia="宋体" w:cs="Times New Roman"/>
                <w:b/>
                <w:color w:val="000000" w:themeColor="text1"/>
                <w:kern w:val="0"/>
                <w:sz w:val="21"/>
                <w:szCs w:val="21"/>
                <w14:textFill>
                  <w14:solidFill>
                    <w14:schemeClr w14:val="tx1"/>
                  </w14:solidFill>
                </w14:textFill>
              </w:rPr>
            </w:pPr>
            <w:r>
              <w:rPr>
                <w:rFonts w:hint="eastAsia" w:ascii="宋体" w:hAnsi="宋体" w:eastAsia="宋体" w:cs="Times New Roman"/>
                <w:b/>
                <w:color w:val="000000" w:themeColor="text1"/>
                <w:kern w:val="0"/>
                <w:sz w:val="21"/>
                <w:szCs w:val="21"/>
                <w14:textFill>
                  <w14:solidFill>
                    <w14:schemeClr w14:val="tx1"/>
                  </w14:solidFill>
                </w14:textFill>
              </w:rPr>
              <w:t>考核方式及权重</w:t>
            </w:r>
          </w:p>
        </w:tc>
      </w:tr>
      <w:tr w14:paraId="79DB8457">
        <w:tblPrEx>
          <w:tblCellMar>
            <w:top w:w="0" w:type="dxa"/>
            <w:left w:w="108" w:type="dxa"/>
            <w:bottom w:w="0" w:type="dxa"/>
            <w:right w:w="108" w:type="dxa"/>
          </w:tblCellMar>
        </w:tblPrEx>
        <w:trPr>
          <w:trHeight w:val="363" w:hRule="atLeast"/>
        </w:trPr>
        <w:tc>
          <w:tcPr>
            <w:tcW w:w="2014" w:type="dxa"/>
            <w:tcBorders>
              <w:top w:val="nil"/>
              <w:left w:val="single" w:color="auto" w:sz="8" w:space="0"/>
              <w:bottom w:val="single" w:color="auto" w:sz="8" w:space="0"/>
              <w:right w:val="single" w:color="auto" w:sz="8" w:space="0"/>
            </w:tcBorders>
            <w:shd w:val="clear" w:color="auto" w:fill="auto"/>
            <w:vAlign w:val="center"/>
          </w:tcPr>
          <w:p w14:paraId="5E12D82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项目</w:t>
            </w:r>
          </w:p>
        </w:tc>
        <w:tc>
          <w:tcPr>
            <w:tcW w:w="1520" w:type="dxa"/>
            <w:tcBorders>
              <w:top w:val="nil"/>
              <w:left w:val="nil"/>
              <w:bottom w:val="single" w:color="auto" w:sz="8" w:space="0"/>
              <w:right w:val="single" w:color="auto" w:sz="8" w:space="0"/>
            </w:tcBorders>
            <w:shd w:val="clear" w:color="auto" w:fill="auto"/>
            <w:vAlign w:val="center"/>
          </w:tcPr>
          <w:p w14:paraId="48BB15E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权重（</w:t>
            </w:r>
            <w:r>
              <w:rPr>
                <w:rFonts w:ascii="宋体" w:hAnsi="宋体" w:eastAsia="宋体" w:cs="Times New Roman"/>
                <w:color w:val="000000" w:themeColor="text1"/>
                <w:kern w:val="0"/>
                <w:sz w:val="21"/>
                <w:szCs w:val="21"/>
                <w14:textFill>
                  <w14:solidFill>
                    <w14:schemeClr w14:val="tx1"/>
                  </w14:solidFill>
                </w14:textFill>
              </w:rPr>
              <w:t>a</w:t>
            </w:r>
            <w:r>
              <w:rPr>
                <w:rFonts w:hint="eastAsia" w:ascii="宋体" w:hAnsi="宋体" w:eastAsia="宋体" w:cs="Times New Roman"/>
                <w:color w:val="000000" w:themeColor="text1"/>
                <w:kern w:val="0"/>
                <w:sz w:val="21"/>
                <w:szCs w:val="21"/>
                <w14:textFill>
                  <w14:solidFill>
                    <w14:schemeClr w14:val="tx1"/>
                  </w14:solidFill>
                </w14:textFill>
              </w:rPr>
              <w:t>）</w:t>
            </w:r>
          </w:p>
        </w:tc>
        <w:tc>
          <w:tcPr>
            <w:tcW w:w="1701" w:type="dxa"/>
            <w:tcBorders>
              <w:top w:val="nil"/>
              <w:left w:val="nil"/>
              <w:bottom w:val="single" w:color="auto" w:sz="8" w:space="0"/>
              <w:right w:val="single" w:color="auto" w:sz="8" w:space="0"/>
            </w:tcBorders>
            <w:shd w:val="clear" w:color="auto" w:fill="auto"/>
            <w:vAlign w:val="center"/>
          </w:tcPr>
          <w:p w14:paraId="76BC20E1">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评价依据</w:t>
            </w:r>
          </w:p>
        </w:tc>
        <w:tc>
          <w:tcPr>
            <w:tcW w:w="1701" w:type="dxa"/>
            <w:tcBorders>
              <w:top w:val="nil"/>
              <w:left w:val="nil"/>
              <w:bottom w:val="single" w:color="auto" w:sz="8" w:space="0"/>
              <w:right w:val="single" w:color="auto" w:sz="8" w:space="0"/>
            </w:tcBorders>
            <w:shd w:val="clear" w:color="auto" w:fill="auto"/>
            <w:vAlign w:val="center"/>
          </w:tcPr>
          <w:p w14:paraId="3F309E07">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权重（</w:t>
            </w:r>
            <w:r>
              <w:rPr>
                <w:rFonts w:ascii="宋体" w:hAnsi="宋体" w:eastAsia="宋体" w:cs="Times New Roman"/>
                <w:color w:val="000000" w:themeColor="text1"/>
                <w:kern w:val="0"/>
                <w:sz w:val="21"/>
                <w:szCs w:val="21"/>
                <w14:textFill>
                  <w14:solidFill>
                    <w14:schemeClr w14:val="tx1"/>
                  </w14:solidFill>
                </w14:textFill>
              </w:rPr>
              <w:t>b</w:t>
            </w:r>
            <w:r>
              <w:rPr>
                <w:rFonts w:hint="eastAsia" w:ascii="宋体" w:hAnsi="宋体" w:eastAsia="宋体" w:cs="Times New Roman"/>
                <w:color w:val="000000" w:themeColor="text1"/>
                <w:kern w:val="0"/>
                <w:sz w:val="21"/>
                <w:szCs w:val="21"/>
                <w14:textFill>
                  <w14:solidFill>
                    <w14:schemeClr w14:val="tx1"/>
                  </w14:solidFill>
                </w14:textFill>
              </w:rPr>
              <w:t>）</w:t>
            </w:r>
          </w:p>
        </w:tc>
        <w:tc>
          <w:tcPr>
            <w:tcW w:w="1953" w:type="dxa"/>
            <w:tcBorders>
              <w:top w:val="nil"/>
              <w:left w:val="nil"/>
              <w:bottom w:val="single" w:color="auto" w:sz="8" w:space="0"/>
              <w:right w:val="single" w:color="auto" w:sz="8" w:space="0"/>
            </w:tcBorders>
            <w:vAlign w:val="center"/>
          </w:tcPr>
          <w:p w14:paraId="7A6EAAC4">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考核方式权重合计</w:t>
            </w:r>
          </w:p>
        </w:tc>
      </w:tr>
      <w:tr w14:paraId="33DA969B">
        <w:tblPrEx>
          <w:tblCellMar>
            <w:top w:w="0" w:type="dxa"/>
            <w:left w:w="108" w:type="dxa"/>
            <w:bottom w:w="0" w:type="dxa"/>
            <w:right w:w="108" w:type="dxa"/>
          </w:tblCellMar>
        </w:tblPrEx>
        <w:trPr>
          <w:trHeight w:val="220" w:hRule="atLeast"/>
        </w:trPr>
        <w:tc>
          <w:tcPr>
            <w:tcW w:w="2014" w:type="dxa"/>
            <w:vMerge w:val="restart"/>
            <w:tcBorders>
              <w:top w:val="nil"/>
              <w:left w:val="single" w:color="auto" w:sz="8" w:space="0"/>
              <w:bottom w:val="single" w:color="000000" w:sz="8" w:space="0"/>
              <w:right w:val="single" w:color="auto" w:sz="8" w:space="0"/>
            </w:tcBorders>
            <w:shd w:val="clear" w:color="auto" w:fill="auto"/>
            <w:vAlign w:val="center"/>
          </w:tcPr>
          <w:p w14:paraId="769B85A2">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课程目标</w:t>
            </w:r>
            <w:r>
              <w:rPr>
                <w:rFonts w:ascii="宋体" w:hAnsi="宋体" w:eastAsia="宋体" w:cs="Times New Roman"/>
                <w:color w:val="000000" w:themeColor="text1"/>
                <w:kern w:val="0"/>
                <w:sz w:val="21"/>
                <w:szCs w:val="21"/>
                <w14:textFill>
                  <w14:solidFill>
                    <w14:schemeClr w14:val="tx1"/>
                  </w14:solidFill>
                </w14:textFill>
              </w:rPr>
              <w:t>1</w:t>
            </w:r>
          </w:p>
        </w:tc>
        <w:tc>
          <w:tcPr>
            <w:tcW w:w="1520" w:type="dxa"/>
            <w:vMerge w:val="restart"/>
            <w:tcBorders>
              <w:top w:val="nil"/>
              <w:left w:val="single" w:color="auto" w:sz="8" w:space="0"/>
              <w:bottom w:val="single" w:color="000000" w:sz="8" w:space="0"/>
              <w:right w:val="single" w:color="auto" w:sz="8" w:space="0"/>
            </w:tcBorders>
            <w:shd w:val="clear" w:color="auto" w:fill="auto"/>
            <w:vAlign w:val="center"/>
          </w:tcPr>
          <w:p w14:paraId="6A8019EB">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20%</w:t>
            </w:r>
          </w:p>
        </w:tc>
        <w:tc>
          <w:tcPr>
            <w:tcW w:w="1701" w:type="dxa"/>
            <w:tcBorders>
              <w:top w:val="nil"/>
              <w:left w:val="nil"/>
              <w:bottom w:val="single" w:color="auto" w:sz="8" w:space="0"/>
              <w:right w:val="single" w:color="auto" w:sz="8" w:space="0"/>
            </w:tcBorders>
            <w:shd w:val="clear" w:color="auto" w:fill="auto"/>
            <w:vAlign w:val="center"/>
          </w:tcPr>
          <w:p w14:paraId="7BFAB1D2">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考试</w:t>
            </w:r>
          </w:p>
        </w:tc>
        <w:tc>
          <w:tcPr>
            <w:tcW w:w="1701" w:type="dxa"/>
            <w:tcBorders>
              <w:top w:val="nil"/>
              <w:left w:val="nil"/>
              <w:bottom w:val="single" w:color="auto" w:sz="8" w:space="0"/>
              <w:right w:val="single" w:color="auto" w:sz="8" w:space="0"/>
            </w:tcBorders>
            <w:shd w:val="clear" w:color="auto" w:fill="auto"/>
            <w:vAlign w:val="center"/>
          </w:tcPr>
          <w:p w14:paraId="27AC8179">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5</w:t>
            </w:r>
            <w:r>
              <w:rPr>
                <w:rFonts w:hint="eastAsia" w:ascii="宋体" w:hAnsi="宋体" w:eastAsia="宋体" w:cs="Times New Roman"/>
                <w:color w:val="000000" w:themeColor="text1"/>
                <w:kern w:val="0"/>
                <w:sz w:val="21"/>
                <w:szCs w:val="21"/>
                <w14:textFill>
                  <w14:solidFill>
                    <w14:schemeClr w14:val="tx1"/>
                  </w14:solidFill>
                </w14:textFill>
              </w:rPr>
              <w:t>0%</w:t>
            </w:r>
            <w:r>
              <w:rPr>
                <w:rFonts w:ascii="宋体" w:hAnsi="宋体" w:eastAsia="宋体" w:cs="Times New Roman"/>
                <w:color w:val="000000" w:themeColor="text1"/>
                <w:kern w:val="0"/>
                <w:sz w:val="21"/>
                <w:szCs w:val="21"/>
                <w14:textFill>
                  <w14:solidFill>
                    <w14:schemeClr w14:val="tx1"/>
                  </w14:solidFill>
                </w14:textFill>
              </w:rPr>
              <w:t xml:space="preserve"> </w:t>
            </w:r>
          </w:p>
        </w:tc>
        <w:tc>
          <w:tcPr>
            <w:tcW w:w="1953" w:type="dxa"/>
            <w:vMerge w:val="restart"/>
            <w:tcBorders>
              <w:top w:val="nil"/>
              <w:left w:val="nil"/>
              <w:right w:val="single" w:color="auto" w:sz="8" w:space="0"/>
            </w:tcBorders>
            <w:vAlign w:val="center"/>
          </w:tcPr>
          <w:p w14:paraId="1177271D">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100%</w:t>
            </w:r>
          </w:p>
        </w:tc>
      </w:tr>
      <w:tr w14:paraId="45A80E20">
        <w:tblPrEx>
          <w:tblCellMar>
            <w:top w:w="0" w:type="dxa"/>
            <w:left w:w="108" w:type="dxa"/>
            <w:bottom w:w="0" w:type="dxa"/>
            <w:right w:w="108" w:type="dxa"/>
          </w:tblCellMar>
        </w:tblPrEx>
        <w:trPr>
          <w:trHeight w:val="220" w:hRule="atLeast"/>
        </w:trPr>
        <w:tc>
          <w:tcPr>
            <w:tcW w:w="2014" w:type="dxa"/>
            <w:vMerge w:val="continue"/>
            <w:tcBorders>
              <w:top w:val="nil"/>
              <w:left w:val="single" w:color="auto" w:sz="8" w:space="0"/>
              <w:bottom w:val="single" w:color="000000" w:sz="8" w:space="0"/>
              <w:right w:val="single" w:color="auto" w:sz="8" w:space="0"/>
            </w:tcBorders>
            <w:shd w:val="clear" w:color="auto" w:fill="auto"/>
            <w:vAlign w:val="center"/>
          </w:tcPr>
          <w:p w14:paraId="16BE11A6">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000000" w:sz="8" w:space="0"/>
              <w:right w:val="single" w:color="auto" w:sz="8" w:space="0"/>
            </w:tcBorders>
            <w:shd w:val="clear" w:color="auto" w:fill="auto"/>
            <w:vAlign w:val="center"/>
          </w:tcPr>
          <w:p w14:paraId="7E38DABA">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8" w:space="0"/>
              <w:right w:val="single" w:color="auto" w:sz="8" w:space="0"/>
            </w:tcBorders>
            <w:shd w:val="clear" w:color="auto" w:fill="auto"/>
            <w:vAlign w:val="center"/>
          </w:tcPr>
          <w:p w14:paraId="050C981D">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作业1</w:t>
            </w:r>
          </w:p>
        </w:tc>
        <w:tc>
          <w:tcPr>
            <w:tcW w:w="1701" w:type="dxa"/>
            <w:tcBorders>
              <w:top w:val="nil"/>
              <w:left w:val="nil"/>
              <w:bottom w:val="single" w:color="auto" w:sz="8" w:space="0"/>
              <w:right w:val="single" w:color="auto" w:sz="8" w:space="0"/>
            </w:tcBorders>
            <w:shd w:val="clear" w:color="auto" w:fill="auto"/>
            <w:vAlign w:val="center"/>
          </w:tcPr>
          <w:p w14:paraId="299CDAC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3</w:t>
            </w:r>
            <w:r>
              <w:rPr>
                <w:rFonts w:ascii="宋体" w:hAnsi="宋体" w:eastAsia="宋体" w:cs="Times New Roman"/>
                <w:color w:val="000000" w:themeColor="text1"/>
                <w:kern w:val="0"/>
                <w:sz w:val="21"/>
                <w:szCs w:val="21"/>
                <w14:textFill>
                  <w14:solidFill>
                    <w14:schemeClr w14:val="tx1"/>
                  </w14:solidFill>
                </w14:textFill>
              </w:rPr>
              <w:t>0%</w:t>
            </w:r>
          </w:p>
        </w:tc>
        <w:tc>
          <w:tcPr>
            <w:tcW w:w="1953" w:type="dxa"/>
            <w:vMerge w:val="continue"/>
            <w:tcBorders>
              <w:top w:val="nil"/>
              <w:left w:val="nil"/>
              <w:right w:val="single" w:color="auto" w:sz="8" w:space="0"/>
            </w:tcBorders>
            <w:vAlign w:val="center"/>
          </w:tcPr>
          <w:p w14:paraId="6F96B193">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387AF411">
        <w:tblPrEx>
          <w:tblCellMar>
            <w:top w:w="0" w:type="dxa"/>
            <w:left w:w="108" w:type="dxa"/>
            <w:bottom w:w="0" w:type="dxa"/>
            <w:right w:w="108" w:type="dxa"/>
          </w:tblCellMar>
        </w:tblPrEx>
        <w:trPr>
          <w:trHeight w:val="195" w:hRule="atLeast"/>
        </w:trPr>
        <w:tc>
          <w:tcPr>
            <w:tcW w:w="2014" w:type="dxa"/>
            <w:vMerge w:val="continue"/>
            <w:tcBorders>
              <w:top w:val="nil"/>
              <w:left w:val="single" w:color="auto" w:sz="8" w:space="0"/>
              <w:bottom w:val="single" w:color="000000" w:sz="8" w:space="0"/>
              <w:right w:val="single" w:color="auto" w:sz="8" w:space="0"/>
            </w:tcBorders>
            <w:shd w:val="clear" w:color="auto" w:fill="auto"/>
            <w:vAlign w:val="center"/>
          </w:tcPr>
          <w:p w14:paraId="530B3FAF">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000000" w:sz="8" w:space="0"/>
              <w:right w:val="single" w:color="auto" w:sz="8" w:space="0"/>
            </w:tcBorders>
            <w:shd w:val="clear" w:color="auto" w:fill="auto"/>
            <w:vAlign w:val="center"/>
          </w:tcPr>
          <w:p w14:paraId="5FAE34A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8" w:space="0"/>
              <w:right w:val="single" w:color="auto" w:sz="8" w:space="0"/>
            </w:tcBorders>
            <w:shd w:val="clear" w:color="auto" w:fill="auto"/>
            <w:vAlign w:val="center"/>
          </w:tcPr>
          <w:p w14:paraId="560BB6AF">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主题汇报</w:t>
            </w:r>
          </w:p>
        </w:tc>
        <w:tc>
          <w:tcPr>
            <w:tcW w:w="1701" w:type="dxa"/>
            <w:tcBorders>
              <w:top w:val="nil"/>
              <w:left w:val="nil"/>
              <w:bottom w:val="single" w:color="auto" w:sz="8" w:space="0"/>
              <w:right w:val="single" w:color="auto" w:sz="8" w:space="0"/>
            </w:tcBorders>
            <w:shd w:val="clear" w:color="auto" w:fill="auto"/>
            <w:vAlign w:val="center"/>
          </w:tcPr>
          <w:p w14:paraId="6656DA47">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2</w:t>
            </w:r>
            <w:r>
              <w:rPr>
                <w:rFonts w:hint="eastAsia" w:ascii="宋体" w:hAnsi="宋体" w:eastAsia="宋体" w:cs="Times New Roman"/>
                <w:color w:val="000000" w:themeColor="text1"/>
                <w:kern w:val="0"/>
                <w:sz w:val="21"/>
                <w:szCs w:val="21"/>
                <w14:textFill>
                  <w14:solidFill>
                    <w14:schemeClr w14:val="tx1"/>
                  </w14:solidFill>
                </w14:textFill>
              </w:rPr>
              <w:t>0%</w:t>
            </w:r>
          </w:p>
        </w:tc>
        <w:tc>
          <w:tcPr>
            <w:tcW w:w="1953" w:type="dxa"/>
            <w:vMerge w:val="continue"/>
            <w:tcBorders>
              <w:left w:val="nil"/>
              <w:bottom w:val="single" w:color="auto" w:sz="8" w:space="0"/>
              <w:right w:val="single" w:color="auto" w:sz="8" w:space="0"/>
            </w:tcBorders>
            <w:vAlign w:val="center"/>
          </w:tcPr>
          <w:p w14:paraId="037015F4">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167F82F6">
        <w:tblPrEx>
          <w:tblCellMar>
            <w:top w:w="0" w:type="dxa"/>
            <w:left w:w="108" w:type="dxa"/>
            <w:bottom w:w="0" w:type="dxa"/>
            <w:right w:w="108" w:type="dxa"/>
          </w:tblCellMar>
        </w:tblPrEx>
        <w:trPr>
          <w:trHeight w:val="195" w:hRule="atLeast"/>
        </w:trPr>
        <w:tc>
          <w:tcPr>
            <w:tcW w:w="2014" w:type="dxa"/>
            <w:vMerge w:val="restart"/>
            <w:tcBorders>
              <w:top w:val="nil"/>
              <w:left w:val="single" w:color="auto" w:sz="8" w:space="0"/>
              <w:bottom w:val="single" w:color="000000" w:sz="8" w:space="0"/>
              <w:right w:val="single" w:color="auto" w:sz="8" w:space="0"/>
            </w:tcBorders>
            <w:shd w:val="clear" w:color="auto" w:fill="auto"/>
            <w:vAlign w:val="center"/>
          </w:tcPr>
          <w:p w14:paraId="28C6D6A8">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课程目标</w:t>
            </w:r>
            <w:r>
              <w:rPr>
                <w:rFonts w:ascii="宋体" w:hAnsi="宋体" w:eastAsia="宋体" w:cs="Times New Roman"/>
                <w:color w:val="000000" w:themeColor="text1"/>
                <w:kern w:val="0"/>
                <w:sz w:val="21"/>
                <w:szCs w:val="21"/>
                <w14:textFill>
                  <w14:solidFill>
                    <w14:schemeClr w14:val="tx1"/>
                  </w14:solidFill>
                </w14:textFill>
              </w:rPr>
              <w:t>2</w:t>
            </w:r>
          </w:p>
        </w:tc>
        <w:tc>
          <w:tcPr>
            <w:tcW w:w="1520" w:type="dxa"/>
            <w:vMerge w:val="restart"/>
            <w:tcBorders>
              <w:top w:val="nil"/>
              <w:left w:val="single" w:color="auto" w:sz="8" w:space="0"/>
              <w:bottom w:val="single" w:color="000000" w:sz="8" w:space="0"/>
              <w:right w:val="single" w:color="auto" w:sz="8" w:space="0"/>
            </w:tcBorders>
            <w:shd w:val="clear" w:color="auto" w:fill="auto"/>
            <w:vAlign w:val="center"/>
          </w:tcPr>
          <w:p w14:paraId="25A6315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35%</w:t>
            </w:r>
          </w:p>
        </w:tc>
        <w:tc>
          <w:tcPr>
            <w:tcW w:w="1701" w:type="dxa"/>
            <w:tcBorders>
              <w:top w:val="nil"/>
              <w:left w:val="nil"/>
              <w:bottom w:val="single" w:color="auto" w:sz="8" w:space="0"/>
              <w:right w:val="single" w:color="auto" w:sz="8" w:space="0"/>
            </w:tcBorders>
            <w:shd w:val="clear" w:color="auto" w:fill="auto"/>
            <w:vAlign w:val="center"/>
          </w:tcPr>
          <w:p w14:paraId="11D32809">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考试</w:t>
            </w:r>
          </w:p>
        </w:tc>
        <w:tc>
          <w:tcPr>
            <w:tcW w:w="1701" w:type="dxa"/>
            <w:tcBorders>
              <w:top w:val="nil"/>
              <w:left w:val="nil"/>
              <w:bottom w:val="single" w:color="auto" w:sz="8" w:space="0"/>
              <w:right w:val="single" w:color="auto" w:sz="8" w:space="0"/>
            </w:tcBorders>
            <w:shd w:val="clear" w:color="auto" w:fill="auto"/>
            <w:vAlign w:val="center"/>
          </w:tcPr>
          <w:p w14:paraId="4EF95E70">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40%</w:t>
            </w:r>
            <w:r>
              <w:rPr>
                <w:rFonts w:ascii="宋体" w:hAnsi="宋体" w:eastAsia="宋体" w:cs="Times New Roman"/>
                <w:color w:val="000000" w:themeColor="text1"/>
                <w:kern w:val="0"/>
                <w:sz w:val="21"/>
                <w:szCs w:val="21"/>
                <w14:textFill>
                  <w14:solidFill>
                    <w14:schemeClr w14:val="tx1"/>
                  </w14:solidFill>
                </w14:textFill>
              </w:rPr>
              <w:t xml:space="preserve"> </w:t>
            </w:r>
          </w:p>
        </w:tc>
        <w:tc>
          <w:tcPr>
            <w:tcW w:w="1953" w:type="dxa"/>
            <w:vMerge w:val="restart"/>
            <w:tcBorders>
              <w:top w:val="nil"/>
              <w:left w:val="nil"/>
              <w:right w:val="single" w:color="auto" w:sz="8" w:space="0"/>
            </w:tcBorders>
            <w:vAlign w:val="center"/>
          </w:tcPr>
          <w:p w14:paraId="1618404A">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100%</w:t>
            </w:r>
          </w:p>
        </w:tc>
      </w:tr>
      <w:tr w14:paraId="41373EE4">
        <w:tblPrEx>
          <w:tblCellMar>
            <w:top w:w="0" w:type="dxa"/>
            <w:left w:w="108" w:type="dxa"/>
            <w:bottom w:w="0" w:type="dxa"/>
            <w:right w:w="108" w:type="dxa"/>
          </w:tblCellMar>
        </w:tblPrEx>
        <w:trPr>
          <w:trHeight w:val="195" w:hRule="atLeast"/>
        </w:trPr>
        <w:tc>
          <w:tcPr>
            <w:tcW w:w="2014" w:type="dxa"/>
            <w:vMerge w:val="continue"/>
            <w:tcBorders>
              <w:top w:val="nil"/>
              <w:left w:val="single" w:color="auto" w:sz="8" w:space="0"/>
              <w:bottom w:val="single" w:color="000000" w:sz="8" w:space="0"/>
              <w:right w:val="single" w:color="auto" w:sz="8" w:space="0"/>
            </w:tcBorders>
            <w:shd w:val="clear" w:color="auto" w:fill="auto"/>
            <w:vAlign w:val="center"/>
          </w:tcPr>
          <w:p w14:paraId="5BA8E2D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000000" w:sz="8" w:space="0"/>
              <w:right w:val="single" w:color="auto" w:sz="8" w:space="0"/>
            </w:tcBorders>
            <w:shd w:val="clear" w:color="auto" w:fill="auto"/>
            <w:vAlign w:val="center"/>
          </w:tcPr>
          <w:p w14:paraId="67AB9112">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8" w:space="0"/>
              <w:right w:val="single" w:color="auto" w:sz="8" w:space="0"/>
            </w:tcBorders>
            <w:shd w:val="clear" w:color="auto" w:fill="auto"/>
            <w:vAlign w:val="center"/>
          </w:tcPr>
          <w:p w14:paraId="5E8D2573">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作业1</w:t>
            </w:r>
          </w:p>
        </w:tc>
        <w:tc>
          <w:tcPr>
            <w:tcW w:w="1701" w:type="dxa"/>
            <w:tcBorders>
              <w:top w:val="nil"/>
              <w:left w:val="nil"/>
              <w:bottom w:val="single" w:color="auto" w:sz="8" w:space="0"/>
              <w:right w:val="single" w:color="auto" w:sz="8" w:space="0"/>
            </w:tcBorders>
            <w:shd w:val="clear" w:color="auto" w:fill="auto"/>
            <w:vAlign w:val="center"/>
          </w:tcPr>
          <w:p w14:paraId="02A7C662">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1</w:t>
            </w:r>
            <w:r>
              <w:rPr>
                <w:rFonts w:hint="eastAsia" w:ascii="宋体" w:hAnsi="宋体" w:eastAsia="宋体" w:cs="Times New Roman"/>
                <w:color w:val="000000" w:themeColor="text1"/>
                <w:kern w:val="0"/>
                <w:sz w:val="21"/>
                <w:szCs w:val="21"/>
                <w14:textFill>
                  <w14:solidFill>
                    <w14:schemeClr w14:val="tx1"/>
                  </w14:solidFill>
                </w14:textFill>
              </w:rPr>
              <w:t>0%</w:t>
            </w:r>
          </w:p>
        </w:tc>
        <w:tc>
          <w:tcPr>
            <w:tcW w:w="1953" w:type="dxa"/>
            <w:vMerge w:val="continue"/>
            <w:tcBorders>
              <w:left w:val="nil"/>
              <w:right w:val="single" w:color="auto" w:sz="8" w:space="0"/>
            </w:tcBorders>
            <w:vAlign w:val="center"/>
          </w:tcPr>
          <w:p w14:paraId="762CBB71">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0B57549F">
        <w:tblPrEx>
          <w:tblCellMar>
            <w:top w:w="0" w:type="dxa"/>
            <w:left w:w="108" w:type="dxa"/>
            <w:bottom w:w="0" w:type="dxa"/>
            <w:right w:w="108" w:type="dxa"/>
          </w:tblCellMar>
        </w:tblPrEx>
        <w:trPr>
          <w:trHeight w:val="195" w:hRule="atLeast"/>
        </w:trPr>
        <w:tc>
          <w:tcPr>
            <w:tcW w:w="2014" w:type="dxa"/>
            <w:vMerge w:val="continue"/>
            <w:tcBorders>
              <w:top w:val="nil"/>
              <w:left w:val="single" w:color="auto" w:sz="8" w:space="0"/>
              <w:bottom w:val="single" w:color="000000" w:sz="8" w:space="0"/>
              <w:right w:val="single" w:color="auto" w:sz="8" w:space="0"/>
            </w:tcBorders>
            <w:shd w:val="clear" w:color="auto" w:fill="auto"/>
            <w:vAlign w:val="center"/>
          </w:tcPr>
          <w:p w14:paraId="11AC0C3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000000" w:sz="8" w:space="0"/>
              <w:right w:val="single" w:color="auto" w:sz="8" w:space="0"/>
            </w:tcBorders>
            <w:shd w:val="clear" w:color="auto" w:fill="auto"/>
            <w:vAlign w:val="center"/>
          </w:tcPr>
          <w:p w14:paraId="725800E2">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8" w:space="0"/>
              <w:right w:val="single" w:color="auto" w:sz="8" w:space="0"/>
            </w:tcBorders>
            <w:shd w:val="clear" w:color="auto" w:fill="auto"/>
            <w:vAlign w:val="center"/>
          </w:tcPr>
          <w:p w14:paraId="5AA578B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作业2</w:t>
            </w:r>
          </w:p>
        </w:tc>
        <w:tc>
          <w:tcPr>
            <w:tcW w:w="1701" w:type="dxa"/>
            <w:tcBorders>
              <w:top w:val="nil"/>
              <w:left w:val="nil"/>
              <w:bottom w:val="single" w:color="auto" w:sz="8" w:space="0"/>
              <w:right w:val="single" w:color="auto" w:sz="8" w:space="0"/>
            </w:tcBorders>
            <w:shd w:val="clear" w:color="auto" w:fill="auto"/>
            <w:vAlign w:val="center"/>
          </w:tcPr>
          <w:p w14:paraId="38BEB750">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30%</w:t>
            </w:r>
            <w:r>
              <w:rPr>
                <w:rFonts w:ascii="宋体" w:hAnsi="宋体" w:eastAsia="宋体" w:cs="Times New Roman"/>
                <w:color w:val="000000" w:themeColor="text1"/>
                <w:kern w:val="0"/>
                <w:sz w:val="21"/>
                <w:szCs w:val="21"/>
                <w14:textFill>
                  <w14:solidFill>
                    <w14:schemeClr w14:val="tx1"/>
                  </w14:solidFill>
                </w14:textFill>
              </w:rPr>
              <w:t xml:space="preserve"> </w:t>
            </w:r>
          </w:p>
        </w:tc>
        <w:tc>
          <w:tcPr>
            <w:tcW w:w="1953" w:type="dxa"/>
            <w:vMerge w:val="continue"/>
            <w:tcBorders>
              <w:left w:val="nil"/>
              <w:right w:val="single" w:color="auto" w:sz="8" w:space="0"/>
            </w:tcBorders>
            <w:vAlign w:val="center"/>
          </w:tcPr>
          <w:p w14:paraId="4AAB186E">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5EED1923">
        <w:tblPrEx>
          <w:tblCellMar>
            <w:top w:w="0" w:type="dxa"/>
            <w:left w:w="108" w:type="dxa"/>
            <w:bottom w:w="0" w:type="dxa"/>
            <w:right w:w="108" w:type="dxa"/>
          </w:tblCellMar>
        </w:tblPrEx>
        <w:trPr>
          <w:trHeight w:val="195" w:hRule="atLeast"/>
        </w:trPr>
        <w:tc>
          <w:tcPr>
            <w:tcW w:w="2014" w:type="dxa"/>
            <w:vMerge w:val="continue"/>
            <w:tcBorders>
              <w:top w:val="nil"/>
              <w:left w:val="single" w:color="auto" w:sz="8" w:space="0"/>
              <w:bottom w:val="single" w:color="auto" w:sz="4" w:space="0"/>
              <w:right w:val="single" w:color="auto" w:sz="8" w:space="0"/>
            </w:tcBorders>
            <w:shd w:val="clear" w:color="auto" w:fill="auto"/>
            <w:vAlign w:val="center"/>
          </w:tcPr>
          <w:p w14:paraId="4CE4080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auto" w:sz="4" w:space="0"/>
              <w:right w:val="single" w:color="auto" w:sz="8" w:space="0"/>
            </w:tcBorders>
            <w:shd w:val="clear" w:color="auto" w:fill="auto"/>
            <w:vAlign w:val="center"/>
          </w:tcPr>
          <w:p w14:paraId="7B22B539">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4" w:space="0"/>
              <w:right w:val="single" w:color="auto" w:sz="8" w:space="0"/>
            </w:tcBorders>
            <w:shd w:val="clear" w:color="auto" w:fill="auto"/>
            <w:vAlign w:val="center"/>
          </w:tcPr>
          <w:p w14:paraId="19235D90">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主题汇报</w:t>
            </w:r>
          </w:p>
        </w:tc>
        <w:tc>
          <w:tcPr>
            <w:tcW w:w="1701" w:type="dxa"/>
            <w:tcBorders>
              <w:top w:val="nil"/>
              <w:left w:val="nil"/>
              <w:bottom w:val="single" w:color="auto" w:sz="4" w:space="0"/>
              <w:right w:val="single" w:color="auto" w:sz="8" w:space="0"/>
            </w:tcBorders>
            <w:shd w:val="clear" w:color="auto" w:fill="auto"/>
            <w:vAlign w:val="center"/>
          </w:tcPr>
          <w:p w14:paraId="7FC61B58">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2</w:t>
            </w:r>
            <w:r>
              <w:rPr>
                <w:rFonts w:ascii="宋体" w:hAnsi="宋体" w:eastAsia="宋体" w:cs="Times New Roman"/>
                <w:color w:val="000000" w:themeColor="text1"/>
                <w:kern w:val="0"/>
                <w:sz w:val="21"/>
                <w:szCs w:val="21"/>
                <w14:textFill>
                  <w14:solidFill>
                    <w14:schemeClr w14:val="tx1"/>
                  </w14:solidFill>
                </w14:textFill>
              </w:rPr>
              <w:t>0%</w:t>
            </w:r>
          </w:p>
        </w:tc>
        <w:tc>
          <w:tcPr>
            <w:tcW w:w="1953" w:type="dxa"/>
            <w:vMerge w:val="continue"/>
            <w:tcBorders>
              <w:left w:val="nil"/>
              <w:bottom w:val="single" w:color="auto" w:sz="4" w:space="0"/>
              <w:right w:val="single" w:color="auto" w:sz="8" w:space="0"/>
            </w:tcBorders>
            <w:vAlign w:val="center"/>
          </w:tcPr>
          <w:p w14:paraId="39C9FEA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5062D19B">
        <w:tblPrEx>
          <w:tblCellMar>
            <w:top w:w="0" w:type="dxa"/>
            <w:left w:w="108" w:type="dxa"/>
            <w:bottom w:w="0" w:type="dxa"/>
            <w:right w:w="108" w:type="dxa"/>
          </w:tblCellMar>
        </w:tblPrEx>
        <w:trPr>
          <w:trHeight w:val="195" w:hRule="atLeast"/>
        </w:trPr>
        <w:tc>
          <w:tcPr>
            <w:tcW w:w="20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E0EC29">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课程目标</w:t>
            </w:r>
            <w:r>
              <w:rPr>
                <w:rFonts w:ascii="宋体" w:hAnsi="宋体" w:eastAsia="宋体" w:cs="Times New Roman"/>
                <w:color w:val="000000" w:themeColor="text1"/>
                <w:kern w:val="0"/>
                <w:sz w:val="21"/>
                <w:szCs w:val="21"/>
                <w14:textFill>
                  <w14:solidFill>
                    <w14:schemeClr w14:val="tx1"/>
                  </w14:solidFill>
                </w14:textFill>
              </w:rPr>
              <w:t>3</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4DA172">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25%</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3317D8CF">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考试</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18C2E2B">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50%</w:t>
            </w:r>
          </w:p>
        </w:tc>
        <w:tc>
          <w:tcPr>
            <w:tcW w:w="1953" w:type="dxa"/>
            <w:vMerge w:val="restart"/>
            <w:tcBorders>
              <w:top w:val="single" w:color="auto" w:sz="4" w:space="0"/>
              <w:left w:val="single" w:color="auto" w:sz="4" w:space="0"/>
              <w:right w:val="single" w:color="auto" w:sz="4" w:space="0"/>
            </w:tcBorders>
            <w:vAlign w:val="center"/>
          </w:tcPr>
          <w:p w14:paraId="3B30E1A0">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100%</w:t>
            </w:r>
          </w:p>
        </w:tc>
      </w:tr>
      <w:tr w14:paraId="3F1AAE74">
        <w:tblPrEx>
          <w:tblCellMar>
            <w:top w:w="0" w:type="dxa"/>
            <w:left w:w="108" w:type="dxa"/>
            <w:bottom w:w="0" w:type="dxa"/>
            <w:right w:w="108" w:type="dxa"/>
          </w:tblCellMar>
        </w:tblPrEx>
        <w:trPr>
          <w:trHeight w:val="195" w:hRule="atLeast"/>
        </w:trPr>
        <w:tc>
          <w:tcPr>
            <w:tcW w:w="20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8E100">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4DDDF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0DED63B">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1543171">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20%</w:t>
            </w:r>
          </w:p>
        </w:tc>
        <w:tc>
          <w:tcPr>
            <w:tcW w:w="1953" w:type="dxa"/>
            <w:vMerge w:val="continue"/>
            <w:tcBorders>
              <w:left w:val="single" w:color="auto" w:sz="4" w:space="0"/>
              <w:right w:val="single" w:color="auto" w:sz="4" w:space="0"/>
            </w:tcBorders>
            <w:vAlign w:val="center"/>
          </w:tcPr>
          <w:p w14:paraId="69697391">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2A747644">
        <w:tblPrEx>
          <w:tblCellMar>
            <w:top w:w="0" w:type="dxa"/>
            <w:left w:w="108" w:type="dxa"/>
            <w:bottom w:w="0" w:type="dxa"/>
            <w:right w:w="108" w:type="dxa"/>
          </w:tblCellMar>
        </w:tblPrEx>
        <w:trPr>
          <w:trHeight w:val="195" w:hRule="atLeast"/>
        </w:trPr>
        <w:tc>
          <w:tcPr>
            <w:tcW w:w="20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CB77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8AD842">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078A8D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主题汇报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4275B1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30%</w:t>
            </w:r>
          </w:p>
        </w:tc>
        <w:tc>
          <w:tcPr>
            <w:tcW w:w="1953" w:type="dxa"/>
            <w:vMerge w:val="continue"/>
            <w:tcBorders>
              <w:left w:val="single" w:color="auto" w:sz="4" w:space="0"/>
              <w:bottom w:val="single" w:color="auto" w:sz="4" w:space="0"/>
              <w:right w:val="single" w:color="auto" w:sz="4" w:space="0"/>
            </w:tcBorders>
            <w:vAlign w:val="center"/>
          </w:tcPr>
          <w:p w14:paraId="48B1364C">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4B85EAE1">
        <w:tblPrEx>
          <w:tblCellMar>
            <w:top w:w="0" w:type="dxa"/>
            <w:left w:w="108" w:type="dxa"/>
            <w:bottom w:w="0" w:type="dxa"/>
            <w:right w:w="108" w:type="dxa"/>
          </w:tblCellMar>
        </w:tblPrEx>
        <w:trPr>
          <w:trHeight w:val="195" w:hRule="atLeast"/>
        </w:trPr>
        <w:tc>
          <w:tcPr>
            <w:tcW w:w="2014"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40CBD247">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课程目标</w:t>
            </w:r>
            <w:r>
              <w:rPr>
                <w:rFonts w:ascii="宋体" w:hAnsi="宋体" w:eastAsia="宋体" w:cs="Times New Roman"/>
                <w:color w:val="000000" w:themeColor="text1"/>
                <w:kern w:val="0"/>
                <w:sz w:val="21"/>
                <w:szCs w:val="21"/>
                <w14:textFill>
                  <w14:solidFill>
                    <w14:schemeClr w14:val="tx1"/>
                  </w14:solidFill>
                </w14:textFill>
              </w:rPr>
              <w:t>4</w:t>
            </w:r>
          </w:p>
        </w:tc>
        <w:tc>
          <w:tcPr>
            <w:tcW w:w="1520"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5394150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20%</w:t>
            </w:r>
          </w:p>
        </w:tc>
        <w:tc>
          <w:tcPr>
            <w:tcW w:w="1701" w:type="dxa"/>
            <w:tcBorders>
              <w:top w:val="single" w:color="auto" w:sz="4" w:space="0"/>
              <w:left w:val="nil"/>
              <w:bottom w:val="single" w:color="auto" w:sz="8" w:space="0"/>
              <w:right w:val="single" w:color="auto" w:sz="8" w:space="0"/>
            </w:tcBorders>
            <w:shd w:val="clear" w:color="auto" w:fill="auto"/>
            <w:vAlign w:val="center"/>
          </w:tcPr>
          <w:p w14:paraId="0CDCA827">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考试</w:t>
            </w:r>
          </w:p>
        </w:tc>
        <w:tc>
          <w:tcPr>
            <w:tcW w:w="1701" w:type="dxa"/>
            <w:tcBorders>
              <w:top w:val="single" w:color="auto" w:sz="4" w:space="0"/>
              <w:left w:val="nil"/>
              <w:bottom w:val="single" w:color="auto" w:sz="8" w:space="0"/>
              <w:right w:val="single" w:color="auto" w:sz="8" w:space="0"/>
            </w:tcBorders>
            <w:shd w:val="clear" w:color="auto" w:fill="auto"/>
            <w:vAlign w:val="center"/>
          </w:tcPr>
          <w:p w14:paraId="57104123">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3</w:t>
            </w:r>
            <w:r>
              <w:rPr>
                <w:rFonts w:hint="eastAsia" w:ascii="宋体" w:hAnsi="宋体" w:eastAsia="宋体" w:cs="Times New Roman"/>
                <w:color w:val="000000" w:themeColor="text1"/>
                <w:kern w:val="0"/>
                <w:sz w:val="21"/>
                <w:szCs w:val="21"/>
                <w14:textFill>
                  <w14:solidFill>
                    <w14:schemeClr w14:val="tx1"/>
                  </w14:solidFill>
                </w14:textFill>
              </w:rPr>
              <w:t>0%</w:t>
            </w:r>
          </w:p>
        </w:tc>
        <w:tc>
          <w:tcPr>
            <w:tcW w:w="1953" w:type="dxa"/>
            <w:vMerge w:val="restart"/>
            <w:tcBorders>
              <w:top w:val="single" w:color="auto" w:sz="4" w:space="0"/>
              <w:left w:val="nil"/>
              <w:right w:val="single" w:color="auto" w:sz="8" w:space="0"/>
            </w:tcBorders>
            <w:vAlign w:val="center"/>
          </w:tcPr>
          <w:p w14:paraId="54569670">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100%</w:t>
            </w:r>
          </w:p>
        </w:tc>
      </w:tr>
      <w:tr w14:paraId="43994C0D">
        <w:tblPrEx>
          <w:tblCellMar>
            <w:top w:w="0" w:type="dxa"/>
            <w:left w:w="108" w:type="dxa"/>
            <w:bottom w:w="0" w:type="dxa"/>
            <w:right w:w="108" w:type="dxa"/>
          </w:tblCellMar>
        </w:tblPrEx>
        <w:trPr>
          <w:trHeight w:val="195" w:hRule="atLeast"/>
        </w:trPr>
        <w:tc>
          <w:tcPr>
            <w:tcW w:w="2014" w:type="dxa"/>
            <w:vMerge w:val="continue"/>
            <w:tcBorders>
              <w:top w:val="single" w:color="auto" w:sz="4" w:space="0"/>
              <w:left w:val="single" w:color="auto" w:sz="8" w:space="0"/>
              <w:bottom w:val="single" w:color="000000" w:sz="8" w:space="0"/>
              <w:right w:val="single" w:color="auto" w:sz="8" w:space="0"/>
            </w:tcBorders>
            <w:shd w:val="clear" w:color="auto" w:fill="auto"/>
            <w:vAlign w:val="center"/>
          </w:tcPr>
          <w:p w14:paraId="3F3CA53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single" w:color="auto" w:sz="4" w:space="0"/>
              <w:left w:val="single" w:color="auto" w:sz="8" w:space="0"/>
              <w:bottom w:val="single" w:color="000000" w:sz="8" w:space="0"/>
              <w:right w:val="single" w:color="auto" w:sz="8" w:space="0"/>
            </w:tcBorders>
            <w:shd w:val="clear" w:color="auto" w:fill="auto"/>
            <w:vAlign w:val="center"/>
          </w:tcPr>
          <w:p w14:paraId="2A3B8A95">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single" w:color="auto" w:sz="4" w:space="0"/>
              <w:left w:val="nil"/>
              <w:bottom w:val="single" w:color="auto" w:sz="8" w:space="0"/>
              <w:right w:val="single" w:color="auto" w:sz="8" w:space="0"/>
            </w:tcBorders>
            <w:shd w:val="clear" w:color="auto" w:fill="auto"/>
            <w:vAlign w:val="center"/>
          </w:tcPr>
          <w:p w14:paraId="00AC5CF9">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作业2</w:t>
            </w:r>
          </w:p>
        </w:tc>
        <w:tc>
          <w:tcPr>
            <w:tcW w:w="1701" w:type="dxa"/>
            <w:tcBorders>
              <w:top w:val="single" w:color="auto" w:sz="4" w:space="0"/>
              <w:left w:val="nil"/>
              <w:bottom w:val="single" w:color="auto" w:sz="8" w:space="0"/>
              <w:right w:val="single" w:color="auto" w:sz="8" w:space="0"/>
            </w:tcBorders>
            <w:shd w:val="clear" w:color="auto" w:fill="auto"/>
            <w:vAlign w:val="center"/>
          </w:tcPr>
          <w:p w14:paraId="782178B3">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3</w:t>
            </w:r>
            <w:r>
              <w:rPr>
                <w:rFonts w:ascii="宋体" w:hAnsi="宋体" w:eastAsia="宋体" w:cs="Times New Roman"/>
                <w:color w:val="000000" w:themeColor="text1"/>
                <w:kern w:val="0"/>
                <w:sz w:val="21"/>
                <w:szCs w:val="21"/>
                <w14:textFill>
                  <w14:solidFill>
                    <w14:schemeClr w14:val="tx1"/>
                  </w14:solidFill>
                </w14:textFill>
              </w:rPr>
              <w:t>0%</w:t>
            </w:r>
          </w:p>
        </w:tc>
        <w:tc>
          <w:tcPr>
            <w:tcW w:w="1953" w:type="dxa"/>
            <w:vMerge w:val="continue"/>
            <w:tcBorders>
              <w:top w:val="single" w:color="auto" w:sz="4" w:space="0"/>
              <w:left w:val="nil"/>
              <w:right w:val="single" w:color="auto" w:sz="8" w:space="0"/>
            </w:tcBorders>
            <w:vAlign w:val="center"/>
          </w:tcPr>
          <w:p w14:paraId="323675D4">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74EE8B1E">
        <w:tblPrEx>
          <w:tblCellMar>
            <w:top w:w="0" w:type="dxa"/>
            <w:left w:w="108" w:type="dxa"/>
            <w:bottom w:w="0" w:type="dxa"/>
            <w:right w:w="108" w:type="dxa"/>
          </w:tblCellMar>
        </w:tblPrEx>
        <w:trPr>
          <w:trHeight w:val="195" w:hRule="atLeast"/>
        </w:trPr>
        <w:tc>
          <w:tcPr>
            <w:tcW w:w="2014" w:type="dxa"/>
            <w:vMerge w:val="continue"/>
            <w:tcBorders>
              <w:top w:val="nil"/>
              <w:left w:val="single" w:color="auto" w:sz="8" w:space="0"/>
              <w:bottom w:val="single" w:color="000000" w:sz="8" w:space="0"/>
              <w:right w:val="single" w:color="auto" w:sz="8" w:space="0"/>
            </w:tcBorders>
            <w:shd w:val="clear" w:color="auto" w:fill="auto"/>
            <w:vAlign w:val="center"/>
          </w:tcPr>
          <w:p w14:paraId="1B434F9E">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520" w:type="dxa"/>
            <w:vMerge w:val="continue"/>
            <w:tcBorders>
              <w:top w:val="nil"/>
              <w:left w:val="single" w:color="auto" w:sz="8" w:space="0"/>
              <w:bottom w:val="single" w:color="000000" w:sz="8" w:space="0"/>
              <w:right w:val="single" w:color="auto" w:sz="8" w:space="0"/>
            </w:tcBorders>
            <w:shd w:val="clear" w:color="auto" w:fill="auto"/>
            <w:vAlign w:val="center"/>
          </w:tcPr>
          <w:p w14:paraId="6052B4C1">
            <w:pPr>
              <w:widowControl/>
              <w:adjustRightInd w:val="0"/>
              <w:snapToGrid w:val="0"/>
              <w:jc w:val="left"/>
              <w:rPr>
                <w:rFonts w:ascii="宋体" w:hAnsi="宋体" w:eastAsia="宋体" w:cs="Times New Roman"/>
                <w:color w:val="000000" w:themeColor="text1"/>
                <w:kern w:val="0"/>
                <w:sz w:val="21"/>
                <w:szCs w:val="21"/>
                <w14:textFill>
                  <w14:solidFill>
                    <w14:schemeClr w14:val="tx1"/>
                  </w14:solidFill>
                </w14:textFill>
              </w:rPr>
            </w:pPr>
          </w:p>
        </w:tc>
        <w:tc>
          <w:tcPr>
            <w:tcW w:w="1701" w:type="dxa"/>
            <w:tcBorders>
              <w:top w:val="nil"/>
              <w:left w:val="nil"/>
              <w:bottom w:val="single" w:color="auto" w:sz="8" w:space="0"/>
              <w:right w:val="single" w:color="auto" w:sz="8" w:space="0"/>
            </w:tcBorders>
            <w:shd w:val="clear" w:color="auto" w:fill="auto"/>
            <w:vAlign w:val="center"/>
          </w:tcPr>
          <w:p w14:paraId="5BFFB546">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作业3</w:t>
            </w:r>
          </w:p>
        </w:tc>
        <w:tc>
          <w:tcPr>
            <w:tcW w:w="1701" w:type="dxa"/>
            <w:tcBorders>
              <w:top w:val="nil"/>
              <w:left w:val="nil"/>
              <w:bottom w:val="single" w:color="auto" w:sz="8" w:space="0"/>
              <w:right w:val="single" w:color="auto" w:sz="8" w:space="0"/>
            </w:tcBorders>
            <w:shd w:val="clear" w:color="auto" w:fill="auto"/>
            <w:vAlign w:val="center"/>
          </w:tcPr>
          <w:p w14:paraId="59C0E78B">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ascii="宋体" w:hAnsi="宋体" w:eastAsia="宋体" w:cs="Times New Roman"/>
                <w:color w:val="000000" w:themeColor="text1"/>
                <w:kern w:val="0"/>
                <w:sz w:val="21"/>
                <w:szCs w:val="21"/>
                <w14:textFill>
                  <w14:solidFill>
                    <w14:schemeClr w14:val="tx1"/>
                  </w14:solidFill>
                </w14:textFill>
              </w:rPr>
              <w:t>4</w:t>
            </w:r>
            <w:r>
              <w:rPr>
                <w:rFonts w:hint="eastAsia" w:ascii="宋体" w:hAnsi="宋体" w:eastAsia="宋体" w:cs="Times New Roman"/>
                <w:color w:val="000000" w:themeColor="text1"/>
                <w:kern w:val="0"/>
                <w:sz w:val="21"/>
                <w:szCs w:val="21"/>
                <w14:textFill>
                  <w14:solidFill>
                    <w14:schemeClr w14:val="tx1"/>
                  </w14:solidFill>
                </w14:textFill>
              </w:rPr>
              <w:t>0%</w:t>
            </w:r>
            <w:r>
              <w:rPr>
                <w:rFonts w:ascii="宋体" w:hAnsi="宋体" w:eastAsia="宋体" w:cs="Times New Roman"/>
                <w:color w:val="000000" w:themeColor="text1"/>
                <w:kern w:val="0"/>
                <w:sz w:val="21"/>
                <w:szCs w:val="21"/>
                <w14:textFill>
                  <w14:solidFill>
                    <w14:schemeClr w14:val="tx1"/>
                  </w14:solidFill>
                </w14:textFill>
              </w:rPr>
              <w:t xml:space="preserve"> </w:t>
            </w:r>
          </w:p>
        </w:tc>
        <w:tc>
          <w:tcPr>
            <w:tcW w:w="1953" w:type="dxa"/>
            <w:vMerge w:val="continue"/>
            <w:tcBorders>
              <w:left w:val="nil"/>
              <w:right w:val="single" w:color="auto" w:sz="8" w:space="0"/>
            </w:tcBorders>
          </w:tcPr>
          <w:p w14:paraId="18AA0739">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r w14:paraId="3A7FF9A4">
        <w:tblPrEx>
          <w:tblCellMar>
            <w:top w:w="0" w:type="dxa"/>
            <w:left w:w="108" w:type="dxa"/>
            <w:bottom w:w="0" w:type="dxa"/>
            <w:right w:w="108" w:type="dxa"/>
          </w:tblCellMar>
        </w:tblPrEx>
        <w:trPr>
          <w:trHeight w:val="315" w:hRule="atLeast"/>
        </w:trPr>
        <w:tc>
          <w:tcPr>
            <w:tcW w:w="2014" w:type="dxa"/>
            <w:tcBorders>
              <w:top w:val="single" w:color="auto" w:sz="4" w:space="0"/>
              <w:left w:val="single" w:color="auto" w:sz="4" w:space="0"/>
              <w:bottom w:val="single" w:color="auto" w:sz="4" w:space="0"/>
              <w:right w:val="single" w:color="auto" w:sz="4" w:space="0"/>
            </w:tcBorders>
            <w:shd w:val="clear" w:color="auto" w:fill="auto"/>
            <w:vAlign w:val="center"/>
          </w:tcPr>
          <w:p w14:paraId="2125AD56">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课程目标权重合计</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8814774">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r>
              <w:rPr>
                <w:rFonts w:hint="eastAsia" w:ascii="宋体" w:hAnsi="宋体" w:eastAsia="宋体" w:cs="Times New Roman"/>
                <w:color w:val="000000" w:themeColor="text1"/>
                <w:kern w:val="0"/>
                <w:sz w:val="21"/>
                <w:szCs w:val="21"/>
                <w14:textFill>
                  <w14:solidFill>
                    <w14:schemeClr w14:val="tx1"/>
                  </w14:solidFill>
                </w14:textFill>
              </w:rPr>
              <w:t>100%</w:t>
            </w:r>
          </w:p>
        </w:tc>
        <w:tc>
          <w:tcPr>
            <w:tcW w:w="5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B4D9032">
            <w:pPr>
              <w:widowControl/>
              <w:adjustRightInd w:val="0"/>
              <w:snapToGrid w:val="0"/>
              <w:jc w:val="center"/>
              <w:rPr>
                <w:rFonts w:ascii="宋体" w:hAnsi="宋体" w:eastAsia="宋体" w:cs="Times New Roman"/>
                <w:color w:val="000000" w:themeColor="text1"/>
                <w:kern w:val="0"/>
                <w:sz w:val="21"/>
                <w:szCs w:val="21"/>
                <w14:textFill>
                  <w14:solidFill>
                    <w14:schemeClr w14:val="tx1"/>
                  </w14:solidFill>
                </w14:textFill>
              </w:rPr>
            </w:pPr>
          </w:p>
        </w:tc>
      </w:tr>
    </w:tbl>
    <w:p w14:paraId="5D710EA2">
      <w:pPr>
        <w:spacing w:line="276" w:lineRule="auto"/>
        <w:ind w:firstLine="315" w:firstLineChars="150"/>
        <w:rPr>
          <w:rFonts w:ascii="宋体" w:hAnsi="宋体" w:eastAsia="宋体"/>
        </w:rPr>
      </w:pPr>
      <w:r>
        <w:rPr>
          <w:rFonts w:hint="eastAsia" w:ascii="宋体" w:hAnsi="宋体" w:eastAsia="宋体"/>
        </w:rPr>
        <w:t>（四）课程目标达成度计算方法</w:t>
      </w:r>
    </w:p>
    <w:p w14:paraId="73B45A3D">
      <w:pPr>
        <w:spacing w:line="276" w:lineRule="auto"/>
        <w:ind w:firstLine="420" w:firstLineChars="200"/>
        <w:rPr>
          <w:rFonts w:ascii="Calibri" w:hAnsi="Calibri" w:eastAsia="宋体" w:cs="Times New Roman"/>
        </w:rPr>
      </w:pPr>
      <w:r>
        <w:rPr>
          <w:rFonts w:hint="eastAsia" w:ascii="Calibri" w:hAnsi="Calibri" w:eastAsia="宋体" w:cs="Times New Roman"/>
        </w:rPr>
        <w:t>所有课程目标均需大于等</w:t>
      </w:r>
      <w:r>
        <w:rPr>
          <w:rFonts w:hint="eastAsia" w:ascii="宋体" w:hAnsi="宋体" w:eastAsia="宋体" w:cs="Times New Roman"/>
        </w:rPr>
        <w:t>于</w:t>
      </w:r>
      <w:r>
        <w:rPr>
          <w:rFonts w:hint="eastAsia" w:ascii="宋体" w:hAnsi="宋体" w:eastAsia="宋体" w:cs="Times New Roman"/>
          <w:sz w:val="21"/>
          <w:szCs w:val="21"/>
        </w:rPr>
        <w:t>0</w:t>
      </w:r>
      <w:r>
        <w:rPr>
          <w:rFonts w:ascii="宋体" w:hAnsi="宋体" w:eastAsia="宋体" w:cs="Times New Roman"/>
          <w:sz w:val="21"/>
          <w:szCs w:val="21"/>
        </w:rPr>
        <w:t>.6</w:t>
      </w:r>
      <w:r>
        <w:rPr>
          <w:rFonts w:hint="eastAsia" w:ascii="Calibri" w:hAnsi="Calibri" w:eastAsia="宋体" w:cs="Times New Roman"/>
        </w:rPr>
        <w:t>，否则总评成绩不及格，需要补考或重修。每门课程目标总体达成度计算方法如下：</w:t>
      </w:r>
    </w:p>
    <w:p w14:paraId="37188BC6">
      <w:pPr>
        <w:spacing w:line="276" w:lineRule="auto"/>
        <w:rPr>
          <w:rFonts w:ascii="Calibri" w:hAnsi="Calibri" w:eastAsia="宋体" w:cs="Times New Roman"/>
          <w:sz w:val="21"/>
          <w:szCs w:val="21"/>
        </w:rPr>
      </w:pPr>
      <w:r>
        <w:rPr>
          <w:rFonts w:hint="eastAsia" w:ascii="Calibri" w:hAnsi="Calibri" w:eastAsia="宋体" w:cs="Times New Roman"/>
          <w:sz w:val="21"/>
          <w:szCs w:val="21"/>
        </w:rPr>
        <w:t>课程目标达成度=</w:t>
      </w:r>
      <m:oMath>
        <m:r>
          <m:rPr>
            <m:sty m:val="p"/>
          </m:rPr>
          <w:rPr>
            <w:rFonts w:ascii="Cambria Math" w:hAnsi="Cambria Math" w:eastAsia="宋体" w:cs="Times New Roman"/>
            <w:sz w:val="21"/>
            <w:szCs w:val="21"/>
          </w:rPr>
          <m:t>Σ</m:t>
        </m:r>
        <m:r>
          <m:rPr>
            <m:sty m:val="p"/>
          </m:rPr>
          <w:rPr>
            <w:rFonts w:hint="eastAsia" w:ascii="Cambria Math" w:hAnsi="Cambria Math" w:eastAsia="宋体" w:cs="Times New Roman"/>
            <w:sz w:val="21"/>
            <w:szCs w:val="21"/>
          </w:rPr>
          <m:t>课程子目标的权重值（</m:t>
        </m:r>
        <m:r>
          <m:rPr/>
          <w:rPr>
            <w:rFonts w:ascii="Cambria Math" w:hAnsi="Cambria Math" w:eastAsia="宋体" w:cs="Times New Roman"/>
            <w:sz w:val="21"/>
            <w:szCs w:val="21"/>
          </w:rPr>
          <m:t>a</m:t>
        </m:r>
        <m:r>
          <m:rPr>
            <m:sty m:val="p"/>
          </m:rPr>
          <w:rPr>
            <w:rFonts w:hint="eastAsia" w:ascii="Cambria Math" w:hAnsi="Cambria Math" w:eastAsia="宋体" w:cs="Times New Roman"/>
            <w:sz w:val="21"/>
            <w:szCs w:val="21"/>
          </w:rPr>
          <m:t>）</m:t>
        </m:r>
        <m:r>
          <m:rPr>
            <m:sty m:val="p"/>
          </m:rPr>
          <w:rPr>
            <w:rFonts w:ascii="Cambria Math" w:hAnsi="Cambria Math" w:eastAsia="宋体" w:cs="Times New Roman"/>
            <w:sz w:val="21"/>
            <w:szCs w:val="21"/>
          </w:rPr>
          <m:t>×Σ</m:t>
        </m:r>
        <m:r>
          <m:rPr>
            <m:sty m:val="p"/>
          </m:rPr>
          <w:rPr>
            <w:rFonts w:hint="eastAsia" w:ascii="Cambria Math" w:hAnsi="Cambria Math" w:eastAsia="宋体" w:cs="Times New Roman"/>
            <w:sz w:val="21"/>
            <w:szCs w:val="21"/>
          </w:rPr>
          <m:t>课程考核目标的权重值（</m:t>
        </m:r>
        <m:r>
          <m:rPr/>
          <w:rPr>
            <w:rFonts w:ascii="Cambria Math" w:hAnsi="Cambria Math" w:eastAsia="宋体" w:cs="Times New Roman"/>
            <w:sz w:val="21"/>
            <w:szCs w:val="21"/>
          </w:rPr>
          <m:t>b</m:t>
        </m:r>
        <m:r>
          <m:rPr>
            <m:sty m:val="p"/>
          </m:rPr>
          <w:rPr>
            <w:rFonts w:hint="eastAsia" w:ascii="Cambria Math" w:hAnsi="Cambria Math" w:eastAsia="宋体" w:cs="Times New Roman"/>
            <w:sz w:val="21"/>
            <w:szCs w:val="21"/>
          </w:rPr>
          <m:t>）</m:t>
        </m:r>
        <m:f>
          <m:fPr>
            <m:ctrlPr>
              <w:rPr>
                <w:rFonts w:ascii="Cambria Math" w:hAnsi="Cambria Math" w:eastAsia="宋体" w:cs="Times New Roman"/>
                <w:sz w:val="21"/>
                <w:szCs w:val="21"/>
              </w:rPr>
            </m:ctrlPr>
          </m:fPr>
          <m:num>
            <m:r>
              <m:rPr/>
              <w:rPr>
                <w:rFonts w:hint="eastAsia" w:ascii="Cambria Math" w:hAnsi="Cambria Math" w:eastAsia="宋体" w:cs="Times New Roman"/>
                <w:sz w:val="21"/>
                <w:szCs w:val="21"/>
              </w:rPr>
              <m:t>考核项目平均分</m:t>
            </m:r>
            <m:ctrlPr>
              <w:rPr>
                <w:rFonts w:ascii="Cambria Math" w:hAnsi="Cambria Math" w:eastAsia="宋体" w:cs="Times New Roman"/>
                <w:sz w:val="21"/>
                <w:szCs w:val="21"/>
              </w:rPr>
            </m:ctrlPr>
          </m:num>
          <m:den>
            <m:r>
              <m:rPr/>
              <w:rPr>
                <w:rFonts w:hint="eastAsia" w:ascii="Cambria Math" w:hAnsi="Cambria Math" w:eastAsia="宋体" w:cs="Times New Roman"/>
                <w:sz w:val="21"/>
                <w:szCs w:val="21"/>
              </w:rPr>
              <m:t>考核项目总分</m:t>
            </m:r>
            <m:ctrlPr>
              <w:rPr>
                <w:rFonts w:ascii="Cambria Math" w:hAnsi="Cambria Math" w:eastAsia="宋体" w:cs="Times New Roman"/>
                <w:sz w:val="21"/>
                <w:szCs w:val="21"/>
              </w:rPr>
            </m:ctrlPr>
          </m:den>
        </m:f>
      </m:oMath>
    </w:p>
    <w:p w14:paraId="41E5F21C">
      <w:pPr>
        <w:spacing w:line="276" w:lineRule="auto"/>
        <w:ind w:firstLine="562" w:firstLineChars="200"/>
        <w:rPr>
          <w:rFonts w:ascii="Calibri" w:hAnsi="Calibri" w:eastAsia="宋体" w:cs="Times New Roman"/>
          <w:b/>
          <w:sz w:val="28"/>
          <w:szCs w:val="28"/>
        </w:rPr>
      </w:pPr>
      <w:r>
        <w:rPr>
          <w:rFonts w:hint="eastAsia" w:ascii="Calibri" w:hAnsi="Calibri" w:eastAsia="宋体" w:cs="Times New Roman"/>
          <w:b/>
          <w:sz w:val="28"/>
          <w:szCs w:val="28"/>
        </w:rPr>
        <w:t>七</w:t>
      </w:r>
      <w:r>
        <w:rPr>
          <w:rFonts w:ascii="Calibri" w:hAnsi="Calibri" w:eastAsia="宋体" w:cs="Times New Roman"/>
          <w:b/>
          <w:sz w:val="28"/>
          <w:szCs w:val="28"/>
        </w:rPr>
        <w:t>、</w:t>
      </w:r>
      <w:r>
        <w:rPr>
          <w:rFonts w:hint="eastAsia" w:ascii="Calibri" w:hAnsi="Calibri" w:eastAsia="宋体" w:cs="Times New Roman"/>
          <w:b/>
          <w:sz w:val="28"/>
          <w:szCs w:val="28"/>
        </w:rPr>
        <w:t>有关说明</w:t>
      </w:r>
    </w:p>
    <w:p w14:paraId="3BB441C5">
      <w:pPr>
        <w:spacing w:line="276" w:lineRule="auto"/>
        <w:ind w:firstLine="422" w:firstLineChars="200"/>
        <w:rPr>
          <w:rFonts w:ascii="Calibri" w:hAnsi="Calibri" w:eastAsia="宋体" w:cs="Times New Roman"/>
          <w:b/>
          <w:color w:val="000000"/>
        </w:rPr>
      </w:pPr>
      <w:r>
        <w:rPr>
          <w:rFonts w:hint="eastAsia" w:ascii="Calibri" w:hAnsi="Calibri" w:eastAsia="宋体" w:cs="Times New Roman"/>
          <w:b/>
          <w:color w:val="000000"/>
        </w:rPr>
        <w:t>（一）持续改进</w:t>
      </w:r>
    </w:p>
    <w:p w14:paraId="77E90633">
      <w:pPr>
        <w:spacing w:line="276" w:lineRule="auto"/>
        <w:ind w:firstLine="420" w:firstLineChars="200"/>
        <w:rPr>
          <w:rFonts w:ascii="Calibri" w:hAnsi="Calibri" w:eastAsia="宋体" w:cs="Times New Roman"/>
          <w:szCs w:val="22"/>
        </w:rPr>
      </w:pPr>
      <w:r>
        <w:rPr>
          <w:rFonts w:ascii="Calibri" w:hAnsi="Calibri" w:eastAsia="宋体" w:cs="Times New Roman"/>
          <w:szCs w:val="22"/>
        </w:rPr>
        <w:t>本课程根据学生作业、课堂讨论、</w:t>
      </w:r>
      <w:r>
        <w:rPr>
          <w:rFonts w:hint="eastAsia" w:ascii="Calibri" w:hAnsi="Calibri" w:eastAsia="宋体" w:cs="Times New Roman"/>
          <w:szCs w:val="22"/>
        </w:rPr>
        <w:t>教学</w:t>
      </w:r>
      <w:r>
        <w:rPr>
          <w:rFonts w:ascii="Calibri" w:hAnsi="Calibri" w:eastAsia="宋体" w:cs="Times New Roman"/>
          <w:szCs w:val="22"/>
        </w:rPr>
        <w:t>环节、平时考核情况和学生、教学督导等</w:t>
      </w:r>
      <w:r>
        <w:rPr>
          <w:rFonts w:hint="eastAsia" w:ascii="Calibri" w:hAnsi="Calibri" w:eastAsia="宋体" w:cs="Times New Roman"/>
          <w:szCs w:val="22"/>
        </w:rPr>
        <w:t>的</w:t>
      </w:r>
      <w:r>
        <w:rPr>
          <w:rFonts w:ascii="Calibri" w:hAnsi="Calibri" w:eastAsia="宋体" w:cs="Times New Roman"/>
          <w:szCs w:val="22"/>
        </w:rPr>
        <w:t>反馈，及时对教学中</w:t>
      </w:r>
      <w:r>
        <w:rPr>
          <w:rFonts w:hint="eastAsia" w:ascii="Calibri" w:hAnsi="Calibri" w:eastAsia="宋体" w:cs="Times New Roman"/>
          <w:szCs w:val="22"/>
        </w:rPr>
        <w:t>的</w:t>
      </w:r>
      <w:r>
        <w:rPr>
          <w:rFonts w:ascii="Calibri" w:hAnsi="Calibri" w:eastAsia="宋体" w:cs="Times New Roman"/>
          <w:szCs w:val="22"/>
        </w:rPr>
        <w:t>不足之处进行改进，并在下一轮课程教学中</w:t>
      </w:r>
      <w:r>
        <w:rPr>
          <w:rFonts w:hint="eastAsia" w:ascii="Calibri" w:hAnsi="Calibri" w:eastAsia="宋体" w:cs="Times New Roman"/>
          <w:szCs w:val="22"/>
        </w:rPr>
        <w:t>整改完善</w:t>
      </w:r>
      <w:r>
        <w:rPr>
          <w:rFonts w:ascii="Calibri" w:hAnsi="Calibri" w:eastAsia="宋体" w:cs="Times New Roman"/>
          <w:szCs w:val="22"/>
        </w:rPr>
        <w:t>，确保相应毕业要求指标点达成。</w:t>
      </w:r>
    </w:p>
    <w:p w14:paraId="79A4E0AA">
      <w:pPr>
        <w:spacing w:line="276" w:lineRule="auto"/>
        <w:ind w:firstLine="422" w:firstLineChars="200"/>
        <w:rPr>
          <w:rFonts w:ascii="Calibri" w:hAnsi="Calibri" w:eastAsia="宋体" w:cs="Times New Roman"/>
          <w:b/>
          <w:color w:val="000000"/>
        </w:rPr>
      </w:pPr>
      <w:r>
        <w:rPr>
          <w:rFonts w:hint="eastAsia" w:ascii="Calibri" w:hAnsi="Calibri" w:eastAsia="宋体" w:cs="Times New Roman"/>
          <w:b/>
          <w:color w:val="000000"/>
        </w:rPr>
        <w:t>（二）</w:t>
      </w:r>
      <w:r>
        <w:rPr>
          <w:rFonts w:ascii="Calibri" w:hAnsi="Calibri" w:eastAsia="宋体" w:cs="Times New Roman"/>
          <w:b/>
          <w:color w:val="000000"/>
        </w:rPr>
        <w:t>参考书目及学习资料</w:t>
      </w:r>
    </w:p>
    <w:p w14:paraId="323E004D">
      <w:pPr>
        <w:spacing w:line="276" w:lineRule="auto"/>
        <w:ind w:firstLine="420" w:firstLineChars="200"/>
        <w:rPr>
          <w:rFonts w:ascii="宋体" w:hAnsi="宋体" w:eastAsia="宋体" w:cs="Times New Roman"/>
          <w:szCs w:val="22"/>
        </w:rPr>
      </w:pPr>
      <w:r>
        <w:rPr>
          <w:rFonts w:ascii="宋体" w:hAnsi="宋体" w:eastAsia="宋体" w:cs="Times New Roman"/>
          <w:szCs w:val="22"/>
        </w:rPr>
        <w:t>1.</w:t>
      </w:r>
      <w:r>
        <w:rPr>
          <w:rFonts w:hint="eastAsia" w:ascii="宋体" w:hAnsi="宋体" w:eastAsia="宋体" w:cs="Times New Roman"/>
          <w:szCs w:val="22"/>
        </w:rPr>
        <w:t>教材</w:t>
      </w:r>
    </w:p>
    <w:p w14:paraId="74AA18DD">
      <w:pPr>
        <w:spacing w:line="276" w:lineRule="auto"/>
        <w:ind w:firstLine="525" w:firstLineChars="250"/>
        <w:rPr>
          <w:rFonts w:ascii="宋体" w:hAnsi="宋体" w:eastAsia="宋体" w:cs="Times New Roman"/>
        </w:rPr>
      </w:pPr>
      <w:r>
        <w:rPr>
          <w:rFonts w:hint="eastAsia" w:ascii="宋体" w:hAnsi="宋体" w:eastAsia="宋体" w:cs="Times New Roman"/>
        </w:rPr>
        <w:t>钱焕琦</w:t>
      </w:r>
      <w:r>
        <w:rPr>
          <w:rFonts w:ascii="宋体" w:hAnsi="宋体" w:eastAsia="宋体" w:cs="Times New Roman"/>
        </w:rPr>
        <w:t>.</w:t>
      </w:r>
      <w:r>
        <w:rPr>
          <w:rFonts w:hint="eastAsia" w:ascii="宋体" w:hAnsi="宋体" w:eastAsia="宋体" w:cs="Times New Roman"/>
        </w:rPr>
        <w:t>教师职业道德（第四版）.华东师范大学出版社，2</w:t>
      </w:r>
      <w:r>
        <w:rPr>
          <w:rFonts w:ascii="宋体" w:hAnsi="宋体" w:eastAsia="宋体" w:cs="Times New Roman"/>
        </w:rPr>
        <w:t>020</w:t>
      </w:r>
      <w:r>
        <w:rPr>
          <w:rFonts w:hint="eastAsia" w:ascii="宋体" w:hAnsi="宋体" w:eastAsia="宋体" w:cs="Times New Roman"/>
        </w:rPr>
        <w:t>年8月</w:t>
      </w:r>
      <w:r>
        <w:rPr>
          <w:rFonts w:ascii="宋体" w:hAnsi="宋体" w:eastAsia="宋体" w:cs="Times New Roman"/>
        </w:rPr>
        <w:t>.</w:t>
      </w:r>
    </w:p>
    <w:p w14:paraId="0A6036A3">
      <w:pPr>
        <w:spacing w:line="276" w:lineRule="auto"/>
        <w:ind w:firstLine="420" w:firstLineChars="200"/>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教学参考书</w:t>
      </w:r>
    </w:p>
    <w:p w14:paraId="584000A6">
      <w:pPr>
        <w:spacing w:line="276" w:lineRule="auto"/>
        <w:ind w:firstLine="525" w:firstLineChars="250"/>
        <w:rPr>
          <w:rFonts w:ascii="宋体" w:hAnsi="宋体" w:eastAsia="宋体"/>
        </w:rPr>
      </w:pPr>
      <w:r>
        <w:rPr>
          <w:rFonts w:hint="eastAsia" w:ascii="宋体" w:hAnsi="宋体" w:eastAsia="宋体"/>
        </w:rPr>
        <w:t>刘亭亭</w:t>
      </w:r>
      <w:r>
        <w:rPr>
          <w:rFonts w:ascii="宋体" w:hAnsi="宋体" w:eastAsia="宋体"/>
        </w:rPr>
        <w:t>.</w:t>
      </w:r>
      <w:r>
        <w:rPr>
          <w:rFonts w:hint="eastAsia" w:ascii="宋体" w:hAnsi="宋体" w:eastAsia="宋体"/>
        </w:rPr>
        <w:t>教师职业道德</w:t>
      </w:r>
      <w:r>
        <w:rPr>
          <w:rFonts w:ascii="宋体" w:hAnsi="宋体" w:eastAsia="宋体"/>
        </w:rPr>
        <w:t>.</w:t>
      </w:r>
      <w:r>
        <w:rPr>
          <w:rFonts w:hint="eastAsia" w:ascii="宋体" w:hAnsi="宋体" w:eastAsia="宋体"/>
        </w:rPr>
        <w:t>北京大学出版社，2</w:t>
      </w:r>
      <w:r>
        <w:rPr>
          <w:rFonts w:ascii="宋体" w:hAnsi="宋体" w:eastAsia="宋体"/>
        </w:rPr>
        <w:t>017.</w:t>
      </w:r>
    </w:p>
    <w:p w14:paraId="7BB3A594">
      <w:pPr>
        <w:spacing w:line="276" w:lineRule="auto"/>
        <w:ind w:firstLine="525" w:firstLineChars="250"/>
        <w:rPr>
          <w:rFonts w:ascii="宋体" w:hAnsi="宋体" w:eastAsia="宋体"/>
        </w:rPr>
      </w:pPr>
      <w:r>
        <w:rPr>
          <w:rFonts w:hint="eastAsia" w:ascii="宋体" w:hAnsi="宋体" w:eastAsia="宋体"/>
        </w:rPr>
        <w:t>檀传宝.教师职业道德.北京师范大学出版社，2</w:t>
      </w:r>
      <w:r>
        <w:rPr>
          <w:rFonts w:ascii="宋体" w:hAnsi="宋体" w:eastAsia="宋体"/>
        </w:rPr>
        <w:t>015.</w:t>
      </w:r>
    </w:p>
    <w:p w14:paraId="0CC6557B">
      <w:pPr>
        <w:spacing w:line="276" w:lineRule="auto"/>
        <w:ind w:firstLine="525" w:firstLineChars="250"/>
        <w:rPr>
          <w:rFonts w:ascii="宋体" w:hAnsi="宋体" w:eastAsia="宋体"/>
        </w:rPr>
      </w:pPr>
      <w:r>
        <w:rPr>
          <w:rFonts w:hint="eastAsia" w:ascii="宋体" w:hAnsi="宋体" w:eastAsia="宋体"/>
        </w:rPr>
        <w:t>檀传宝</w:t>
      </w:r>
      <w:r>
        <w:rPr>
          <w:rFonts w:ascii="宋体" w:hAnsi="宋体" w:eastAsia="宋体"/>
        </w:rPr>
        <w:t>.</w:t>
      </w:r>
      <w:r>
        <w:rPr>
          <w:rFonts w:hint="eastAsia" w:ascii="宋体" w:hAnsi="宋体" w:eastAsia="宋体"/>
        </w:rPr>
        <w:t>教师专业伦理基础与实践，华东师范大学出版社，2</w:t>
      </w:r>
      <w:r>
        <w:rPr>
          <w:rFonts w:ascii="宋体" w:hAnsi="宋体" w:eastAsia="宋体"/>
        </w:rPr>
        <w:t>016.</w:t>
      </w:r>
    </w:p>
    <w:p w14:paraId="20C67438">
      <w:pPr>
        <w:spacing w:line="276" w:lineRule="auto"/>
        <w:ind w:firstLine="525" w:firstLineChars="250"/>
        <w:rPr>
          <w:rFonts w:ascii="宋体" w:hAnsi="宋体" w:eastAsia="宋体"/>
        </w:rPr>
      </w:pPr>
      <w:r>
        <w:rPr>
          <w:rFonts w:hint="eastAsia" w:ascii="宋体" w:hAnsi="宋体" w:eastAsia="宋体"/>
        </w:rPr>
        <w:t>肯尼斯·斯特赖克</w:t>
      </w:r>
      <w:r>
        <w:rPr>
          <w:rFonts w:ascii="宋体" w:hAnsi="宋体" w:eastAsia="宋体"/>
        </w:rPr>
        <w:t>.</w:t>
      </w:r>
      <w:r>
        <w:rPr>
          <w:rFonts w:hint="eastAsia" w:ascii="宋体" w:hAnsi="宋体" w:eastAsia="宋体"/>
        </w:rPr>
        <w:t>教学伦理</w:t>
      </w:r>
      <w:r>
        <w:rPr>
          <w:rFonts w:ascii="宋体" w:hAnsi="宋体" w:eastAsia="宋体"/>
        </w:rPr>
        <w:t>.</w:t>
      </w:r>
      <w:r>
        <w:rPr>
          <w:rFonts w:hint="eastAsia" w:ascii="宋体" w:hAnsi="宋体" w:eastAsia="宋体"/>
        </w:rPr>
        <w:t>黄向阳译</w:t>
      </w:r>
      <w:r>
        <w:rPr>
          <w:rFonts w:ascii="宋体" w:hAnsi="宋体" w:eastAsia="宋体"/>
        </w:rPr>
        <w:t>.</w:t>
      </w:r>
      <w:r>
        <w:rPr>
          <w:rFonts w:hint="eastAsia" w:ascii="宋体" w:hAnsi="宋体" w:eastAsia="宋体"/>
        </w:rPr>
        <w:t>华东师范大学出版社，2</w:t>
      </w:r>
      <w:r>
        <w:rPr>
          <w:rFonts w:ascii="宋体" w:hAnsi="宋体" w:eastAsia="宋体"/>
        </w:rPr>
        <w:t>018.</w:t>
      </w:r>
    </w:p>
    <w:p w14:paraId="193B3F30">
      <w:pPr>
        <w:spacing w:line="276" w:lineRule="auto"/>
        <w:ind w:firstLine="525" w:firstLineChars="250"/>
        <w:rPr>
          <w:rFonts w:ascii="宋体" w:hAnsi="宋体" w:eastAsia="宋体"/>
        </w:rPr>
      </w:pPr>
      <w:r>
        <w:rPr>
          <w:rFonts w:hint="eastAsia" w:ascii="宋体" w:hAnsi="宋体" w:eastAsia="宋体"/>
        </w:rPr>
        <w:t>刘建华</w:t>
      </w:r>
      <w:r>
        <w:rPr>
          <w:rFonts w:ascii="宋体" w:hAnsi="宋体" w:eastAsia="宋体"/>
        </w:rPr>
        <w:t>.</w:t>
      </w:r>
      <w:r>
        <w:rPr>
          <w:rFonts w:hint="eastAsia" w:ascii="宋体" w:hAnsi="宋体" w:eastAsia="宋体"/>
        </w:rPr>
        <w:t>师生交往论</w:t>
      </w:r>
      <w:r>
        <w:rPr>
          <w:rFonts w:ascii="宋体" w:hAnsi="宋体" w:eastAsia="宋体"/>
        </w:rPr>
        <w:t>.</w:t>
      </w:r>
      <w:r>
        <w:rPr>
          <w:rFonts w:hint="eastAsia" w:ascii="宋体" w:hAnsi="宋体" w:eastAsia="宋体"/>
        </w:rPr>
        <w:t>北京师范大学出版社，2</w:t>
      </w:r>
      <w:r>
        <w:rPr>
          <w:rFonts w:ascii="宋体" w:hAnsi="宋体" w:eastAsia="宋体"/>
        </w:rPr>
        <w:t>011.</w:t>
      </w:r>
    </w:p>
    <w:p w14:paraId="46863951">
      <w:pPr>
        <w:spacing w:line="276" w:lineRule="auto"/>
        <w:ind w:firstLine="525" w:firstLineChars="250"/>
        <w:rPr>
          <w:rFonts w:ascii="宋体" w:hAnsi="宋体" w:eastAsia="宋体"/>
        </w:rPr>
      </w:pPr>
      <w:r>
        <w:rPr>
          <w:rFonts w:hint="eastAsia" w:ascii="宋体" w:hAnsi="宋体" w:eastAsia="宋体"/>
        </w:rPr>
        <w:t>陈娇云</w:t>
      </w:r>
      <w:r>
        <w:rPr>
          <w:rFonts w:ascii="宋体" w:hAnsi="宋体" w:eastAsia="宋体"/>
        </w:rPr>
        <w:t>,</w:t>
      </w:r>
      <w:r>
        <w:rPr>
          <w:rFonts w:hint="eastAsia" w:ascii="宋体" w:hAnsi="宋体" w:eastAsia="宋体"/>
        </w:rPr>
        <w:t>汪荣有</w:t>
      </w:r>
      <w:r>
        <w:rPr>
          <w:rFonts w:ascii="宋体" w:hAnsi="宋体" w:eastAsia="宋体"/>
        </w:rPr>
        <w:t>.</w:t>
      </w:r>
      <w:r>
        <w:rPr>
          <w:rFonts w:hint="eastAsia" w:ascii="宋体" w:hAnsi="宋体" w:eastAsia="宋体"/>
        </w:rPr>
        <w:t>教育伦理与教育公正——社会主义和谐社会视野下的教育热点探析，安徽大学出版社，2</w:t>
      </w:r>
      <w:r>
        <w:rPr>
          <w:rFonts w:ascii="宋体" w:hAnsi="宋体" w:eastAsia="宋体"/>
        </w:rPr>
        <w:t>015.</w:t>
      </w:r>
    </w:p>
    <w:p w14:paraId="314DB02C">
      <w:pPr>
        <w:spacing w:line="276" w:lineRule="auto"/>
        <w:rPr>
          <w:rFonts w:ascii="宋体" w:hAnsi="宋体" w:eastAsia="宋体"/>
        </w:rPr>
      </w:pPr>
    </w:p>
    <w:p w14:paraId="5BFCBCA6">
      <w:pPr>
        <w:autoSpaceDE w:val="0"/>
        <w:autoSpaceDN w:val="0"/>
        <w:adjustRightInd w:val="0"/>
        <w:spacing w:line="276" w:lineRule="auto"/>
        <w:ind w:firstLine="4620" w:firstLineChars="220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lang w:val="en-US" w:eastAsia="zh-CN"/>
          <w14:textFill>
            <w14:solidFill>
              <w14:schemeClr w14:val="tx1"/>
            </w14:solidFill>
          </w14:textFill>
        </w:rPr>
        <w:t xml:space="preserve">          </w:t>
      </w:r>
      <w:r>
        <w:rPr>
          <w:rFonts w:ascii="宋体" w:hAnsi="宋体" w:eastAsia="宋体" w:cs="Times New Roman"/>
          <w:color w:val="000000" w:themeColor="text1"/>
          <w:kern w:val="0"/>
          <w:szCs w:val="21"/>
          <w14:textFill>
            <w14:solidFill>
              <w14:schemeClr w14:val="tx1"/>
            </w14:solidFill>
          </w14:textFill>
        </w:rPr>
        <w:t>执笔人：</w:t>
      </w:r>
      <w:r>
        <w:rPr>
          <w:rFonts w:hint="eastAsia" w:ascii="宋体" w:hAnsi="宋体" w:eastAsia="宋体" w:cs="Times New Roman"/>
          <w:color w:val="000000" w:themeColor="text1"/>
          <w:kern w:val="0"/>
          <w:szCs w:val="21"/>
          <w14:textFill>
            <w14:solidFill>
              <w14:schemeClr w14:val="tx1"/>
            </w14:solidFill>
          </w14:textFill>
        </w:rPr>
        <w:t>王雅丽</w:t>
      </w:r>
    </w:p>
    <w:p w14:paraId="0830E576">
      <w:pPr>
        <w:autoSpaceDE w:val="0"/>
        <w:autoSpaceDN w:val="0"/>
        <w:adjustRightInd w:val="0"/>
        <w:spacing w:line="276" w:lineRule="auto"/>
        <w:ind w:firstLine="4620" w:firstLineChars="220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lang w:val="en-US" w:eastAsia="zh-CN"/>
          <w14:textFill>
            <w14:solidFill>
              <w14:schemeClr w14:val="tx1"/>
            </w14:solidFill>
          </w14:textFill>
        </w:rPr>
        <w:t xml:space="preserve">          </w:t>
      </w:r>
      <w:r>
        <w:rPr>
          <w:rFonts w:ascii="宋体" w:hAnsi="宋体" w:eastAsia="宋体" w:cs="Times New Roman"/>
          <w:color w:val="000000" w:themeColor="text1"/>
          <w:kern w:val="0"/>
          <w:szCs w:val="21"/>
          <w14:textFill>
            <w14:solidFill>
              <w14:schemeClr w14:val="tx1"/>
            </w14:solidFill>
          </w14:textFill>
        </w:rPr>
        <w:t>审定人：</w:t>
      </w:r>
      <w:r>
        <w:rPr>
          <w:rFonts w:hint="eastAsia" w:ascii="宋体" w:hAnsi="宋体" w:eastAsia="宋体" w:cs="Times New Roman"/>
          <w:color w:val="000000" w:themeColor="text1"/>
          <w:kern w:val="0"/>
          <w:szCs w:val="21"/>
          <w14:textFill>
            <w14:solidFill>
              <w14:schemeClr w14:val="tx1"/>
            </w14:solidFill>
          </w14:textFill>
        </w:rPr>
        <w:t>张志欣</w:t>
      </w:r>
    </w:p>
    <w:p w14:paraId="70F517A3">
      <w:pPr>
        <w:autoSpaceDE w:val="0"/>
        <w:autoSpaceDN w:val="0"/>
        <w:adjustRightInd w:val="0"/>
        <w:spacing w:line="276" w:lineRule="auto"/>
        <w:ind w:firstLine="4620" w:firstLineChars="2200"/>
        <w:jc w:val="center"/>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lang w:val="en-US" w:eastAsia="zh-CN"/>
          <w14:textFill>
            <w14:solidFill>
              <w14:schemeClr w14:val="tx1"/>
            </w14:solidFill>
          </w14:textFill>
        </w:rPr>
        <w:t xml:space="preserve">          </w:t>
      </w:r>
      <w:r>
        <w:rPr>
          <w:rFonts w:hint="eastAsia" w:ascii="宋体" w:hAnsi="宋体" w:eastAsia="宋体" w:cs="Times New Roman"/>
          <w:color w:val="000000" w:themeColor="text1"/>
          <w:kern w:val="0"/>
          <w:szCs w:val="21"/>
          <w14:textFill>
            <w14:solidFill>
              <w14:schemeClr w14:val="tx1"/>
            </w14:solidFill>
          </w14:textFill>
        </w:rPr>
        <w:t>审批</w:t>
      </w:r>
      <w:r>
        <w:rPr>
          <w:rFonts w:ascii="宋体" w:hAnsi="宋体" w:eastAsia="宋体" w:cs="Times New Roman"/>
          <w:color w:val="000000" w:themeColor="text1"/>
          <w:kern w:val="0"/>
          <w:szCs w:val="21"/>
          <w14:textFill>
            <w14:solidFill>
              <w14:schemeClr w14:val="tx1"/>
            </w14:solidFill>
          </w14:textFill>
        </w:rPr>
        <w:t>人：</w:t>
      </w:r>
      <w:r>
        <w:rPr>
          <w:rFonts w:hint="eastAsia" w:ascii="宋体" w:hAnsi="宋体" w:eastAsia="宋体" w:cs="Times New Roman"/>
          <w:color w:val="000000" w:themeColor="text1"/>
          <w:kern w:val="0"/>
          <w:szCs w:val="21"/>
          <w14:textFill>
            <w14:solidFill>
              <w14:schemeClr w14:val="tx1"/>
            </w14:solidFill>
          </w14:textFill>
        </w:rPr>
        <w:t>张建波</w:t>
      </w:r>
    </w:p>
    <w:p w14:paraId="27ED25E6">
      <w:pPr>
        <w:autoSpaceDE w:val="0"/>
        <w:autoSpaceDN w:val="0"/>
        <w:adjustRightInd w:val="0"/>
        <w:spacing w:line="276" w:lineRule="auto"/>
        <w:ind w:firstLine="4620" w:firstLineChars="2200"/>
        <w:jc w:val="right"/>
        <w:rPr>
          <w:rFonts w:ascii="宋体" w:hAnsi="宋体" w:eastAsia="宋体" w:cs="Times New Roman"/>
          <w:color w:val="000000" w:themeColor="text1"/>
          <w:kern w:val="0"/>
          <w:szCs w:val="21"/>
          <w14:textFill>
            <w14:solidFill>
              <w14:schemeClr w14:val="tx1"/>
            </w14:solidFill>
          </w14:textFill>
        </w:rPr>
      </w:pPr>
      <w:r>
        <w:rPr>
          <w:rFonts w:hint="eastAsia" w:ascii="宋体" w:hAnsi="宋体" w:eastAsia="宋体" w:cs="Times New Roman"/>
          <w:color w:val="000000" w:themeColor="text1"/>
          <w:kern w:val="0"/>
          <w:szCs w:val="21"/>
          <w14:textFill>
            <w14:solidFill>
              <w14:schemeClr w14:val="tx1"/>
            </w14:solidFill>
          </w14:textFill>
        </w:rPr>
        <w:t>批准时间：20</w:t>
      </w:r>
      <w:r>
        <w:rPr>
          <w:rFonts w:ascii="宋体" w:hAnsi="宋体" w:eastAsia="宋体" w:cs="Times New Roman"/>
          <w:color w:val="000000" w:themeColor="text1"/>
          <w:kern w:val="0"/>
          <w:szCs w:val="21"/>
          <w14:textFill>
            <w14:solidFill>
              <w14:schemeClr w14:val="tx1"/>
            </w14:solidFill>
          </w14:textFill>
        </w:rPr>
        <w:t>22</w:t>
      </w:r>
      <w:r>
        <w:rPr>
          <w:rFonts w:hint="eastAsia" w:ascii="宋体" w:hAnsi="宋体" w:eastAsia="宋体" w:cs="Times New Roman"/>
          <w:color w:val="000000" w:themeColor="text1"/>
          <w:kern w:val="0"/>
          <w:szCs w:val="21"/>
          <w14:textFill>
            <w14:solidFill>
              <w14:schemeClr w14:val="tx1"/>
            </w14:solidFill>
          </w14:textFill>
        </w:rPr>
        <w:t>年</w:t>
      </w:r>
      <w:r>
        <w:rPr>
          <w:rFonts w:ascii="宋体" w:hAnsi="宋体" w:eastAsia="宋体" w:cs="Times New Roman"/>
          <w:color w:val="000000" w:themeColor="text1"/>
          <w:kern w:val="0"/>
          <w:szCs w:val="21"/>
          <w14:textFill>
            <w14:solidFill>
              <w14:schemeClr w14:val="tx1"/>
            </w14:solidFill>
          </w14:textFill>
        </w:rPr>
        <w:t>8</w:t>
      </w:r>
      <w:r>
        <w:rPr>
          <w:rFonts w:hint="eastAsia" w:ascii="宋体" w:hAnsi="宋体" w:eastAsia="宋体" w:cs="Times New Roman"/>
          <w:color w:val="000000" w:themeColor="text1"/>
          <w:kern w:val="0"/>
          <w:szCs w:val="21"/>
          <w14:textFill>
            <w14:solidFill>
              <w14:schemeClr w14:val="tx1"/>
            </w14:solidFill>
          </w14:textFill>
        </w:rPr>
        <w:t>月</w:t>
      </w:r>
      <w:r>
        <w:rPr>
          <w:rFonts w:ascii="宋体" w:hAnsi="宋体" w:eastAsia="宋体" w:cs="Times New Roman"/>
          <w:color w:val="000000" w:themeColor="text1"/>
          <w:kern w:val="0"/>
          <w:szCs w:val="21"/>
          <w14:textFill>
            <w14:solidFill>
              <w14:schemeClr w14:val="tx1"/>
            </w14:solidFill>
          </w14:textFill>
        </w:rPr>
        <w:t>15</w:t>
      </w:r>
      <w:r>
        <w:rPr>
          <w:rFonts w:hint="eastAsia" w:ascii="宋体" w:hAnsi="宋体" w:eastAsia="宋体" w:cs="Times New Roman"/>
          <w:color w:val="000000" w:themeColor="text1"/>
          <w:kern w:val="0"/>
          <w:szCs w:val="21"/>
          <w14:textFill>
            <w14:solidFill>
              <w14:schemeClr w14:val="tx1"/>
            </w14:solidFill>
          </w14:textFill>
        </w:rPr>
        <w:t>日</w:t>
      </w:r>
    </w:p>
    <w:p w14:paraId="58BB04CD">
      <w:pPr>
        <w:spacing w:line="276" w:lineRule="auto"/>
        <w:ind w:firstLine="315" w:firstLineChars="150"/>
        <w:jc w:val="right"/>
        <w:rPr>
          <w:rFonts w:ascii="宋体" w:hAnsi="宋体" w:eastAsia="宋体"/>
          <w:color w:val="000000" w:themeColor="text1"/>
          <w14:textFill>
            <w14:solidFill>
              <w14:schemeClr w14:val="tx1"/>
            </w14:solidFill>
          </w14:textFill>
        </w:rPr>
      </w:pPr>
    </w:p>
    <w:p w14:paraId="31C7C932">
      <w:pPr>
        <w:spacing w:line="360" w:lineRule="auto"/>
        <w:jc w:val="center"/>
        <w:outlineLvl w:val="0"/>
        <w:rPr>
          <w:rFonts w:hint="eastAsia" w:ascii="Times New Roman" w:hAnsi="Times New Roman" w:eastAsia="宋体" w:cs="Times New Roman"/>
          <w:b/>
          <w:sz w:val="30"/>
          <w:szCs w:val="30"/>
        </w:rPr>
      </w:pPr>
    </w:p>
    <w:p w14:paraId="5C004AB6">
      <w:pPr>
        <w:spacing w:line="360" w:lineRule="auto"/>
        <w:jc w:val="center"/>
        <w:outlineLvl w:val="0"/>
        <w:rPr>
          <w:rFonts w:hint="eastAsia" w:ascii="Times New Roman" w:hAnsi="Times New Roman" w:eastAsia="宋体" w:cs="Times New Roman"/>
          <w:b/>
          <w:sz w:val="30"/>
          <w:szCs w:val="30"/>
        </w:rPr>
      </w:pPr>
    </w:p>
    <w:p w14:paraId="63728F50">
      <w:pPr>
        <w:spacing w:line="360" w:lineRule="auto"/>
        <w:jc w:val="center"/>
        <w:outlineLvl w:val="0"/>
        <w:rPr>
          <w:rFonts w:hint="eastAsia" w:ascii="Times New Roman" w:hAnsi="Times New Roman" w:eastAsia="宋体" w:cs="Times New Roman"/>
          <w:b/>
          <w:sz w:val="30"/>
          <w:szCs w:val="30"/>
        </w:rPr>
      </w:pPr>
    </w:p>
    <w:p w14:paraId="46AED9E2">
      <w:pPr>
        <w:spacing w:line="360" w:lineRule="auto"/>
        <w:jc w:val="center"/>
        <w:outlineLvl w:val="0"/>
        <w:rPr>
          <w:rFonts w:hint="eastAsia" w:ascii="Times New Roman" w:hAnsi="Times New Roman" w:eastAsia="宋体" w:cs="Times New Roman"/>
          <w:b/>
          <w:sz w:val="30"/>
          <w:szCs w:val="30"/>
        </w:rPr>
      </w:pPr>
    </w:p>
    <w:p w14:paraId="407DA1D9">
      <w:pPr>
        <w:spacing w:line="360" w:lineRule="auto"/>
        <w:jc w:val="center"/>
        <w:outlineLvl w:val="0"/>
        <w:rPr>
          <w:rFonts w:hint="eastAsia" w:ascii="Times New Roman" w:hAnsi="Times New Roman" w:eastAsia="宋体" w:cs="Times New Roman"/>
          <w:b/>
          <w:sz w:val="30"/>
          <w:szCs w:val="30"/>
        </w:rPr>
      </w:pPr>
    </w:p>
    <w:p w14:paraId="715014F3">
      <w:pPr>
        <w:spacing w:line="360" w:lineRule="auto"/>
        <w:jc w:val="center"/>
        <w:outlineLvl w:val="0"/>
        <w:rPr>
          <w:rFonts w:hint="eastAsia" w:ascii="Times New Roman" w:hAnsi="Times New Roman" w:eastAsia="宋体" w:cs="Times New Roman"/>
          <w:b/>
          <w:sz w:val="30"/>
          <w:szCs w:val="30"/>
        </w:rPr>
      </w:pPr>
    </w:p>
    <w:p w14:paraId="02CBDA89">
      <w:pPr>
        <w:spacing w:line="360" w:lineRule="auto"/>
        <w:jc w:val="center"/>
        <w:outlineLvl w:val="0"/>
        <w:rPr>
          <w:rFonts w:ascii="Times New Roman" w:hAnsi="Times New Roman" w:eastAsia="宋体" w:cs="Times New Roman"/>
          <w:b/>
          <w:sz w:val="30"/>
          <w:szCs w:val="30"/>
        </w:rPr>
      </w:pPr>
      <w:r>
        <w:rPr>
          <w:rFonts w:hint="eastAsia" w:ascii="Times New Roman" w:hAnsi="Times New Roman" w:eastAsia="宋体" w:cs="Times New Roman"/>
          <w:b/>
          <w:sz w:val="30"/>
          <w:szCs w:val="30"/>
        </w:rPr>
        <w:t>课程与教学论课程教学大纲</w:t>
      </w:r>
      <w:bookmarkEnd w:id="70"/>
    </w:p>
    <w:p w14:paraId="170EDA6D">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（Curriculum and Teaching Methodology）</w:t>
      </w:r>
    </w:p>
    <w:p w14:paraId="71C89221">
      <w:pPr>
        <w:spacing w:line="360" w:lineRule="auto"/>
        <w:jc w:val="center"/>
        <w:rPr>
          <w:rFonts w:ascii="Times New Roman" w:hAnsi="Times New Roman" w:eastAsia="宋体" w:cs="Times New Roman"/>
          <w:bCs/>
          <w:sz w:val="30"/>
          <w:szCs w:val="30"/>
        </w:rPr>
      </w:pPr>
    </w:p>
    <w:p w14:paraId="7FB1D775">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68478331">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2401010</w:t>
      </w:r>
    </w:p>
    <w:p w14:paraId="7F3C0F7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636944F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（其中：讲授学时20</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学时12）</w:t>
      </w:r>
    </w:p>
    <w:p w14:paraId="7799494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教育原理、教育心理学、中外教育史</w:t>
      </w:r>
    </w:p>
    <w:p w14:paraId="14576EE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005E35A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《有效教学》，陈佑清，高等教育出版社，2016</w:t>
      </w:r>
      <w:r>
        <w:rPr>
          <w:rFonts w:ascii="Times New Roman" w:hAnsi="Times New Roman" w:eastAsia="宋体" w:cs="Times New Roman"/>
          <w:sz w:val="24"/>
          <w:szCs w:val="24"/>
        </w:rPr>
        <w:t>.</w:t>
      </w:r>
    </w:p>
    <w:p w14:paraId="42A0D3D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3562309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sz w:val="24"/>
          <w:szCs w:val="24"/>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34F77BB8">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3783A5D6">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（一）课程具体目标</w:t>
      </w:r>
    </w:p>
    <w:p w14:paraId="45D9B1F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掌握课程与教学的基本理论和基础知识</w:t>
      </w:r>
    </w:p>
    <w:p w14:paraId="04C3F4C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运用所学理论和知识分析评价我国课程与教学的现实问题</w:t>
      </w:r>
    </w:p>
    <w:p w14:paraId="2043C22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形成课程与教学设计、实施和评价、课程开发等的基本技能</w:t>
      </w:r>
    </w:p>
    <w:p w14:paraId="666C51B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4. </w:t>
      </w:r>
      <w:r>
        <w:rPr>
          <w:rFonts w:hint="eastAsia" w:ascii="Times New Roman" w:hAnsi="Times New Roman" w:eastAsia="宋体" w:cs="Times New Roman"/>
          <w:sz w:val="24"/>
          <w:szCs w:val="24"/>
        </w:rPr>
        <w:t>提高课程与教学素养，坚定参与课程与教学改革的信念</w:t>
      </w:r>
    </w:p>
    <w:p w14:paraId="28623FA5">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p w14:paraId="12EFC0DD">
      <w:pPr>
        <w:spacing w:line="360" w:lineRule="auto"/>
        <w:ind w:firstLine="482" w:firstLineChars="200"/>
        <w:rPr>
          <w:rFonts w:ascii="Times New Roman" w:hAnsi="Times New Roman" w:eastAsia="宋体" w:cs="Times New Roman"/>
          <w:b/>
          <w:bCs/>
          <w:sz w:val="24"/>
          <w:szCs w:val="28"/>
        </w:rPr>
      </w:pPr>
    </w:p>
    <w:p w14:paraId="7F79172F">
      <w:pPr>
        <w:spacing w:line="360" w:lineRule="auto"/>
        <w:ind w:firstLine="482" w:firstLineChars="200"/>
        <w:rPr>
          <w:rFonts w:ascii="Times New Roman" w:hAnsi="Times New Roman" w:eastAsia="宋体" w:cs="Times New Roman"/>
          <w:b/>
          <w:bCs/>
          <w:sz w:val="24"/>
          <w:szCs w:val="28"/>
        </w:rPr>
      </w:pPr>
    </w:p>
    <w:p w14:paraId="44822FB3">
      <w:pPr>
        <w:spacing w:line="360" w:lineRule="auto"/>
        <w:ind w:firstLine="482" w:firstLineChars="200"/>
        <w:rPr>
          <w:rFonts w:ascii="Times New Roman" w:hAnsi="Times New Roman" w:eastAsia="宋体" w:cs="Times New Roman"/>
          <w:b/>
          <w:bCs/>
          <w:sz w:val="24"/>
          <w:szCs w:val="28"/>
        </w:rPr>
      </w:pPr>
    </w:p>
    <w:p w14:paraId="0D408307">
      <w:pPr>
        <w:spacing w:line="360" w:lineRule="auto"/>
        <w:ind w:firstLine="482" w:firstLineChars="200"/>
        <w:rPr>
          <w:rFonts w:ascii="Times New Roman" w:hAnsi="Times New Roman" w:eastAsia="宋体" w:cs="Times New Roman"/>
          <w:b/>
          <w:bCs/>
          <w:sz w:val="24"/>
          <w:szCs w:val="28"/>
        </w:rPr>
      </w:pPr>
    </w:p>
    <w:tbl>
      <w:tblPr>
        <w:tblStyle w:val="30"/>
        <w:tblW w:w="894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2268"/>
        <w:gridCol w:w="5130"/>
      </w:tblGrid>
      <w:tr w14:paraId="24481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50" w:type="dxa"/>
            <w:vAlign w:val="center"/>
          </w:tcPr>
          <w:p w14:paraId="5A92EE2D">
            <w:pPr>
              <w:spacing w:line="276" w:lineRule="auto"/>
              <w:jc w:val="center"/>
              <w:rPr>
                <w:rFonts w:hint="eastAsia" w:ascii="宋体" w:hAnsi="宋体" w:eastAsia="宋体" w:cs="Times New Roman"/>
                <w:b/>
                <w:bCs/>
                <w:color w:val="000000" w:themeColor="text1"/>
                <w:szCs w:val="21"/>
                <w14:textFill>
                  <w14:solidFill>
                    <w14:schemeClr w14:val="tx1"/>
                  </w14:solidFill>
                </w14:textFill>
              </w:rPr>
            </w:pPr>
            <w:r>
              <w:rPr>
                <w:rFonts w:hint="eastAsia" w:ascii="宋体" w:hAnsi="宋体" w:eastAsia="宋体" w:cs="Times New Roman"/>
                <w:b/>
                <w:bCs/>
                <w:color w:val="000000" w:themeColor="text1"/>
                <w:szCs w:val="21"/>
                <w14:textFill>
                  <w14:solidFill>
                    <w14:schemeClr w14:val="tx1"/>
                  </w14:solidFill>
                </w14:textFill>
              </w:rPr>
              <w:t>课程目标</w:t>
            </w:r>
          </w:p>
        </w:tc>
        <w:tc>
          <w:tcPr>
            <w:tcW w:w="2268" w:type="dxa"/>
            <w:vAlign w:val="center"/>
          </w:tcPr>
          <w:p w14:paraId="332BEF68">
            <w:pPr>
              <w:spacing w:line="276" w:lineRule="auto"/>
              <w:jc w:val="center"/>
              <w:rPr>
                <w:rFonts w:hint="eastAsia" w:ascii="宋体" w:hAnsi="宋体" w:eastAsia="宋体" w:cs="Times New Roman"/>
                <w:b/>
                <w:bCs/>
                <w:color w:val="000000" w:themeColor="text1"/>
                <w:szCs w:val="21"/>
                <w14:textFill>
                  <w14:solidFill>
                    <w14:schemeClr w14:val="tx1"/>
                  </w14:solidFill>
                </w14:textFill>
              </w:rPr>
            </w:pPr>
            <w:r>
              <w:rPr>
                <w:rFonts w:hint="eastAsia" w:ascii="宋体" w:hAnsi="宋体" w:eastAsia="宋体" w:cs="Times New Roman"/>
                <w:b/>
                <w:bCs/>
                <w:color w:val="000000" w:themeColor="text1"/>
                <w:szCs w:val="21"/>
                <w14:textFill>
                  <w14:solidFill>
                    <w14:schemeClr w14:val="tx1"/>
                  </w14:solidFill>
                </w14:textFill>
              </w:rPr>
              <w:t>支撑的毕业要求</w:t>
            </w:r>
          </w:p>
        </w:tc>
        <w:tc>
          <w:tcPr>
            <w:tcW w:w="5130" w:type="dxa"/>
            <w:vAlign w:val="center"/>
          </w:tcPr>
          <w:p w14:paraId="7FFD9D7B">
            <w:pPr>
              <w:spacing w:line="276" w:lineRule="auto"/>
              <w:ind w:firstLine="422" w:firstLineChars="200"/>
              <w:jc w:val="center"/>
              <w:rPr>
                <w:rFonts w:hint="eastAsia" w:ascii="宋体" w:hAnsi="宋体" w:eastAsia="宋体" w:cs="Times New Roman"/>
                <w:b/>
                <w:bCs/>
                <w:color w:val="000000" w:themeColor="text1"/>
                <w:szCs w:val="21"/>
                <w14:textFill>
                  <w14:solidFill>
                    <w14:schemeClr w14:val="tx1"/>
                  </w14:solidFill>
                </w14:textFill>
              </w:rPr>
            </w:pPr>
            <w:r>
              <w:rPr>
                <w:rFonts w:hint="eastAsia" w:ascii="宋体" w:hAnsi="宋体" w:eastAsia="宋体" w:cs="Times New Roman"/>
                <w:b/>
                <w:bCs/>
                <w:color w:val="000000" w:themeColor="text1"/>
                <w:szCs w:val="21"/>
                <w14:textFill>
                  <w14:solidFill>
                    <w14:schemeClr w14:val="tx1"/>
                  </w14:solidFill>
                </w14:textFill>
              </w:rPr>
              <w:t>支撑的毕业要求指标点</w:t>
            </w:r>
          </w:p>
        </w:tc>
      </w:tr>
      <w:tr w14:paraId="54C29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50" w:type="dxa"/>
            <w:vAlign w:val="center"/>
          </w:tcPr>
          <w:p w14:paraId="2EC98E09">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68" w:type="dxa"/>
            <w:vAlign w:val="center"/>
          </w:tcPr>
          <w:p w14:paraId="46BA7820">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tc>
        <w:tc>
          <w:tcPr>
            <w:tcW w:w="5130" w:type="dxa"/>
            <w:vAlign w:val="center"/>
          </w:tcPr>
          <w:p w14:paraId="39ED8758">
            <w:pPr>
              <w:spacing w:line="276" w:lineRule="auto"/>
              <w:jc w:val="left"/>
              <w:rPr>
                <w:rFonts w:hint="eastAsia" w:ascii="宋体" w:hAnsi="宋体" w:eastAsia="宋体" w:cs="Times New Roman"/>
                <w:color w:val="000000"/>
                <w:kern w:val="0"/>
                <w:sz w:val="18"/>
                <w:szCs w:val="18"/>
              </w:rPr>
            </w:pPr>
            <w:r>
              <w:rPr>
                <w:kern w:val="0"/>
                <w:szCs w:val="21"/>
              </w:rPr>
              <w:t>指标点</w:t>
            </w:r>
            <w:r>
              <w:rPr>
                <w:szCs w:val="21"/>
              </w:rPr>
              <w:t>4-1：</w:t>
            </w:r>
            <w:r>
              <w:rPr>
                <w:rFonts w:hint="eastAsia"/>
                <w:szCs w:val="21"/>
              </w:rPr>
              <w:t>【领会课程标准】掌握教与学的知识，熟悉所教学科课程标准和教材、教学内容，具有一定的教材解读能力，具有依据课标进行教学的意识和习惯。</w:t>
            </w:r>
            <w:r>
              <w:rPr>
                <w:kern w:val="0"/>
                <w:szCs w:val="21"/>
              </w:rPr>
              <w:t>指标点</w:t>
            </w:r>
            <w:r>
              <w:rPr>
                <w:szCs w:val="21"/>
              </w:rPr>
              <w:t>4-2：</w:t>
            </w:r>
            <w:r>
              <w:rPr>
                <w:rFonts w:hint="eastAsia"/>
                <w:szCs w:val="21"/>
              </w:rPr>
              <w:t>【教学技能突出】获得全面的小学教学体验，掌握学科教学的基本方法与策略，能独立进行教学设计、实施和评价。</w:t>
            </w:r>
          </w:p>
        </w:tc>
      </w:tr>
      <w:tr w14:paraId="437C1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550" w:type="dxa"/>
            <w:vAlign w:val="center"/>
          </w:tcPr>
          <w:p w14:paraId="0CEEEC8B">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课程目标2</w:t>
            </w:r>
          </w:p>
        </w:tc>
        <w:tc>
          <w:tcPr>
            <w:tcW w:w="2268" w:type="dxa"/>
            <w:vAlign w:val="center"/>
          </w:tcPr>
          <w:p w14:paraId="782CE1B5">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综合素养</w:t>
            </w:r>
          </w:p>
        </w:tc>
        <w:tc>
          <w:tcPr>
            <w:tcW w:w="5130" w:type="dxa"/>
            <w:vAlign w:val="center"/>
          </w:tcPr>
          <w:p w14:paraId="602738B9">
            <w:pPr>
              <w:spacing w:line="276" w:lineRule="auto"/>
              <w:jc w:val="left"/>
              <w:rPr>
                <w:rFonts w:hint="eastAsia" w:ascii="宋体" w:hAnsi="宋体" w:eastAsia="宋体" w:cs="Times New Roman"/>
                <w:color w:val="000000"/>
                <w:kern w:val="0"/>
                <w:szCs w:val="21"/>
              </w:rPr>
            </w:pPr>
            <w:r>
              <w:rPr>
                <w:kern w:val="0"/>
                <w:szCs w:val="21"/>
              </w:rPr>
              <w:t>指标点</w:t>
            </w:r>
            <w:r>
              <w:rPr>
                <w:szCs w:val="21"/>
              </w:rPr>
              <w:t>3-4：</w:t>
            </w:r>
            <w:r>
              <w:rPr>
                <w:rFonts w:hint="eastAsia"/>
                <w:szCs w:val="21"/>
              </w:rPr>
              <w:t>【注重知识整合】</w:t>
            </w:r>
            <w:r>
              <w:rPr>
                <w:rFonts w:hint="eastAsia"/>
                <w:szCs w:val="23"/>
              </w:rPr>
              <w:t>了解所教学科与其他学科及与社会实践、小学生生活实践之间的联系，了解学科整合的在小学教育中的价值，具有跨学科解决问题的意识和能力，能指导综合性学科教学活动。</w:t>
            </w:r>
          </w:p>
        </w:tc>
      </w:tr>
      <w:tr w14:paraId="78398B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0" w:type="dxa"/>
            <w:vAlign w:val="center"/>
          </w:tcPr>
          <w:p w14:paraId="72B1E6E0">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268" w:type="dxa"/>
            <w:vAlign w:val="center"/>
          </w:tcPr>
          <w:p w14:paraId="008E1505">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p w14:paraId="29078B81">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p w14:paraId="3D20714F">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毕业要求8</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沟通合作</w:t>
            </w:r>
          </w:p>
        </w:tc>
        <w:tc>
          <w:tcPr>
            <w:tcW w:w="5130" w:type="dxa"/>
            <w:vAlign w:val="center"/>
          </w:tcPr>
          <w:p w14:paraId="493F3A3C">
            <w:pPr>
              <w:spacing w:line="276" w:lineRule="auto"/>
              <w:jc w:val="left"/>
              <w:rPr>
                <w:szCs w:val="23"/>
              </w:rPr>
            </w:pPr>
            <w:r>
              <w:rPr>
                <w:kern w:val="0"/>
                <w:szCs w:val="21"/>
              </w:rPr>
              <w:t>指标点</w:t>
            </w:r>
            <w:r>
              <w:rPr>
                <w:szCs w:val="21"/>
              </w:rPr>
              <w:t>2-2</w:t>
            </w:r>
            <w:r>
              <w:rPr>
                <w:rFonts w:hint="eastAsia"/>
                <w:szCs w:val="21"/>
              </w:rPr>
              <w:t>：【教育情意深厚】</w:t>
            </w:r>
            <w:r>
              <w:rPr>
                <w:rFonts w:hint="eastAsia"/>
                <w:szCs w:val="23"/>
              </w:rPr>
              <w:t>关爱学生，用心从教。</w:t>
            </w:r>
            <w:r>
              <w:rPr>
                <w:szCs w:val="23"/>
              </w:rPr>
              <w:t>具有正确的儿童观，理解、尊重、关爱、保护学生，以儿童发展为教育的中心。</w:t>
            </w:r>
            <w:r>
              <w:rPr>
                <w:rFonts w:hint="eastAsia"/>
                <w:szCs w:val="23"/>
              </w:rPr>
              <w:t>爱岗敬业，在教育实践中能认真履行教育教学职责与班主任工作职责，富有爱心、责任心、工作细心、耐心。</w:t>
            </w:r>
          </w:p>
          <w:p w14:paraId="36F13C26">
            <w:pPr>
              <w:spacing w:line="276" w:lineRule="auto"/>
              <w:jc w:val="left"/>
              <w:rPr>
                <w:rFonts w:hint="eastAsia" w:ascii="宋体" w:hAnsi="宋体" w:eastAsia="宋体" w:cs="宋体"/>
                <w:color w:val="000000"/>
                <w:szCs w:val="21"/>
              </w:rPr>
            </w:pPr>
            <w:r>
              <w:rPr>
                <w:kern w:val="0"/>
                <w:szCs w:val="21"/>
              </w:rPr>
              <w:t>指标点</w:t>
            </w:r>
            <w:r>
              <w:rPr>
                <w:szCs w:val="21"/>
              </w:rPr>
              <w:t>4-1：</w:t>
            </w:r>
            <w:r>
              <w:rPr>
                <w:rFonts w:hint="eastAsia"/>
                <w:szCs w:val="21"/>
              </w:rPr>
              <w:t>【领会课程标准】掌握教与学的知识，熟悉所教学科课程标准和教材、教学内容，具有一定的教材解读能力，具有依据课标进行教学的意识和习惯。</w:t>
            </w:r>
            <w:r>
              <w:rPr>
                <w:kern w:val="0"/>
                <w:szCs w:val="21"/>
              </w:rPr>
              <w:t>指标点</w:t>
            </w:r>
            <w:r>
              <w:rPr>
                <w:szCs w:val="21"/>
              </w:rPr>
              <w:t>4-2：</w:t>
            </w:r>
            <w:r>
              <w:rPr>
                <w:rFonts w:hint="eastAsia"/>
                <w:szCs w:val="21"/>
              </w:rPr>
              <w:t>【教学技能突出】获得全面的小学教学体验，掌握学科教学的基本方法与策略，能独立进行教学设计、实施和评价。</w:t>
            </w:r>
          </w:p>
          <w:p w14:paraId="63242B3C">
            <w:pPr>
              <w:spacing w:line="276" w:lineRule="auto"/>
              <w:jc w:val="left"/>
              <w:rPr>
                <w:rFonts w:hint="eastAsia" w:ascii="宋体" w:hAnsi="宋体" w:eastAsia="宋体" w:cs="宋体"/>
                <w:color w:val="000000"/>
                <w:szCs w:val="21"/>
              </w:rPr>
            </w:pPr>
            <w:r>
              <w:rPr>
                <w:kern w:val="0"/>
                <w:szCs w:val="21"/>
              </w:rPr>
              <w:t>指标点</w:t>
            </w:r>
            <w:r>
              <w:rPr>
                <w:szCs w:val="21"/>
              </w:rPr>
              <w:t>8-1：</w:t>
            </w:r>
            <w:r>
              <w:rPr>
                <w:rFonts w:hint="eastAsia"/>
                <w:szCs w:val="21"/>
              </w:rPr>
              <w:t>【善于团队合作】</w:t>
            </w:r>
            <w:r>
              <w:rPr>
                <w:rFonts w:hint="eastAsia"/>
                <w:szCs w:val="23"/>
              </w:rPr>
              <w:t>理解学习共同体的本质和价值，掌握团队协作的基本策略，在课堂学习与教育实践中获得合作学习体验，形成团队协作精神。</w:t>
            </w:r>
          </w:p>
        </w:tc>
      </w:tr>
      <w:tr w14:paraId="6DC70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50" w:type="dxa"/>
            <w:vAlign w:val="center"/>
          </w:tcPr>
          <w:p w14:paraId="0EF7DB51">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4</w:t>
            </w:r>
          </w:p>
        </w:tc>
        <w:tc>
          <w:tcPr>
            <w:tcW w:w="2268" w:type="dxa"/>
            <w:vAlign w:val="center"/>
          </w:tcPr>
          <w:p w14:paraId="6C877B6F">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综合素养</w:t>
            </w:r>
          </w:p>
          <w:p w14:paraId="5583ED19">
            <w:pPr>
              <w:spacing w:line="276" w:lineRule="auto"/>
              <w:rPr>
                <w:rFonts w:hint="eastAsia" w:ascii="宋体" w:hAnsi="宋体" w:eastAsia="宋体" w:cs="Times New Roman"/>
                <w:color w:val="000000"/>
                <w:spacing w:val="2"/>
                <w:kern w:val="0"/>
                <w:szCs w:val="21"/>
              </w:rPr>
            </w:pPr>
            <w:r>
              <w:rPr>
                <w:rFonts w:ascii="宋体" w:hAnsi="宋体" w:eastAsia="宋体" w:cs="Times New Roman"/>
                <w:color w:val="000000"/>
                <w:kern w:val="0"/>
                <w:szCs w:val="21"/>
              </w:rPr>
              <w:t>毕业要求</w:t>
            </w:r>
            <w:r>
              <w:rPr>
                <w:rFonts w:ascii="宋体" w:hAnsi="宋体" w:eastAsia="宋体" w:cs="Times New Roman"/>
                <w:color w:val="000000"/>
                <w:spacing w:val="2"/>
                <w:kern w:val="0"/>
                <w:szCs w:val="21"/>
              </w:rPr>
              <w:t>6.</w:t>
            </w:r>
            <w:r>
              <w:rPr>
                <w:rFonts w:hint="eastAsia" w:ascii="宋体" w:hAnsi="宋体" w:eastAsia="宋体" w:cs="Times New Roman"/>
                <w:color w:val="000000"/>
                <w:spacing w:val="2"/>
                <w:kern w:val="0"/>
                <w:szCs w:val="21"/>
              </w:rPr>
              <w:t>综合育人</w:t>
            </w:r>
          </w:p>
          <w:p w14:paraId="04CD0F84">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毕业要求7</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5130" w:type="dxa"/>
            <w:vAlign w:val="center"/>
          </w:tcPr>
          <w:p w14:paraId="469EF5A5">
            <w:pPr>
              <w:shd w:val="clear" w:color="auto" w:fill="FFFFFF"/>
              <w:spacing w:line="276" w:lineRule="auto"/>
              <w:jc w:val="left"/>
              <w:rPr>
                <w:szCs w:val="23"/>
              </w:rPr>
            </w:pPr>
            <w:r>
              <w:rPr>
                <w:kern w:val="0"/>
                <w:szCs w:val="21"/>
              </w:rPr>
              <w:t>指标点</w:t>
            </w:r>
            <w:r>
              <w:rPr>
                <w:szCs w:val="21"/>
              </w:rPr>
              <w:t>3-4：</w:t>
            </w:r>
            <w:r>
              <w:rPr>
                <w:rFonts w:hint="eastAsia"/>
                <w:szCs w:val="21"/>
              </w:rPr>
              <w:t>【注重知识整合】</w:t>
            </w:r>
            <w:r>
              <w:rPr>
                <w:rFonts w:hint="eastAsia"/>
                <w:szCs w:val="23"/>
              </w:rPr>
              <w:t>了解所教学科与其他学科及与社会实践、小学生生活实践之间的联系，了解学科整合的在小学教育中的价值，具有跨学科解决问题的意识和能力，能指导综合性学科教学活动。</w:t>
            </w:r>
          </w:p>
          <w:p w14:paraId="07C75971">
            <w:pPr>
              <w:shd w:val="clear" w:color="auto" w:fill="FFFFFF"/>
              <w:spacing w:line="276" w:lineRule="auto"/>
              <w:jc w:val="left"/>
              <w:rPr>
                <w:szCs w:val="21"/>
              </w:rPr>
            </w:pPr>
            <w:r>
              <w:rPr>
                <w:kern w:val="0"/>
                <w:szCs w:val="21"/>
              </w:rPr>
              <w:t>指标点</w:t>
            </w:r>
            <w:r>
              <w:rPr>
                <w:szCs w:val="21"/>
              </w:rPr>
              <w:t>6-2：</w:t>
            </w:r>
            <w:r>
              <w:rPr>
                <w:rFonts w:hint="eastAsia"/>
                <w:szCs w:val="21"/>
              </w:rPr>
              <w:t>【懂得学科育人】具有教书育人的意识，理解学科核心素养和拟任教学科课程独特的育人功能，具备结合学科教学进行育人的意识与能力，注重学科教学中思想政治教育的渗透。</w:t>
            </w:r>
          </w:p>
          <w:p w14:paraId="170D5948">
            <w:pPr>
              <w:shd w:val="clear" w:color="auto" w:fill="FFFFFF"/>
              <w:spacing w:line="276" w:lineRule="auto"/>
              <w:jc w:val="left"/>
              <w:rPr>
                <w:rFonts w:hint="eastAsia" w:ascii="宋体" w:hAnsi="宋体" w:eastAsia="宋体" w:cs="Times New Roman"/>
                <w:color w:val="000000"/>
                <w:spacing w:val="2"/>
                <w:kern w:val="0"/>
                <w:szCs w:val="21"/>
              </w:rPr>
            </w:pPr>
            <w:r>
              <w:rPr>
                <w:kern w:val="0"/>
                <w:szCs w:val="21"/>
              </w:rPr>
              <w:t>指标点</w:t>
            </w:r>
            <w:r>
              <w:rPr>
                <w:szCs w:val="21"/>
              </w:rPr>
              <w:t>7-1：</w:t>
            </w:r>
            <w:r>
              <w:rPr>
                <w:rFonts w:hint="eastAsia"/>
                <w:szCs w:val="21"/>
              </w:rPr>
              <w:t>【教育视野开阔】</w:t>
            </w:r>
            <w:r>
              <w:rPr>
                <w:szCs w:val="21"/>
              </w:rPr>
              <w:t>积极参加基础教育领域的国内外交流，了解国内外基础教育改革发展的动态，具有宽广的教育视野</w:t>
            </w:r>
            <w:r>
              <w:rPr>
                <w:rFonts w:hint="eastAsia"/>
                <w:szCs w:val="21"/>
              </w:rPr>
              <w:t>，能够主动适应新时代和教育发展需求。</w:t>
            </w:r>
          </w:p>
        </w:tc>
      </w:tr>
    </w:tbl>
    <w:p w14:paraId="2BAA93DB">
      <w:pPr>
        <w:spacing w:line="360" w:lineRule="auto"/>
        <w:ind w:firstLine="562" w:firstLineChars="200"/>
        <w:jc w:val="center"/>
        <w:rPr>
          <w:rFonts w:ascii="Times New Roman" w:hAnsi="Times New Roman" w:eastAsia="宋体" w:cs="Times New Roman"/>
          <w:b/>
          <w:bCs/>
          <w:sz w:val="28"/>
          <w:szCs w:val="28"/>
        </w:rPr>
      </w:pPr>
    </w:p>
    <w:p w14:paraId="00FCB75A">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三、课程内容及要求</w:t>
      </w:r>
    </w:p>
    <w:p w14:paraId="0618710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（一）“课程教学论”概论</w:t>
      </w:r>
      <w:r>
        <w:rPr>
          <w:rFonts w:hint="eastAsia" w:ascii="Times New Roman" w:hAnsi="Times New Roman" w:eastAsia="宋体" w:cs="Times New Roman"/>
          <w:sz w:val="24"/>
          <w:szCs w:val="24"/>
        </w:rPr>
        <w:t>（本模块各知识点的讲授与学习，可以支撑课程目标1、课程目标</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p>
    <w:p w14:paraId="77A41C0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2319CA3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（1）什么是课程与教学论</w:t>
      </w:r>
    </w:p>
    <w:p w14:paraId="4A03FA5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（2）学习课程与教学论的意义和方法</w:t>
      </w:r>
    </w:p>
    <w:p w14:paraId="582F52E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532545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（1）了解课程与教学论的研究对象、任务和历史演变</w:t>
      </w:r>
    </w:p>
    <w:p w14:paraId="5D254AF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（2）理解课程与教学的关系</w:t>
      </w:r>
    </w:p>
    <w:p w14:paraId="037E969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（3）明确学习课程与教学论的意义</w:t>
      </w:r>
    </w:p>
    <w:p w14:paraId="75D149C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（4）反思和改进学习方法</w:t>
      </w:r>
    </w:p>
    <w:p w14:paraId="1A6C672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31192B7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通过学习课程与教学的基本概念、理论、原理，理解课程和教学是学校教育系统的核心要素，增进将其转化为社会主义教育价值观念的具象载体和生动体现的教学意识。</w:t>
      </w:r>
    </w:p>
    <w:p w14:paraId="71C4EF9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掌握基本概念、理论、原理：课程与教学论的定义、研究的意义、对象、任务及课题、课程与教学论在当代的发展。</w:t>
      </w:r>
    </w:p>
    <w:p w14:paraId="27D7F3D0">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课程与教学论的演变、发展、课程与教学论的课题及当代意义；反思和改进学习方法。</w:t>
      </w:r>
    </w:p>
    <w:p w14:paraId="01CCD8D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（二）课程的基本理论</w:t>
      </w:r>
      <w:r>
        <w:rPr>
          <w:rFonts w:hint="eastAsia" w:ascii="Times New Roman" w:hAnsi="Times New Roman" w:eastAsia="宋体" w:cs="Times New Roman"/>
          <w:sz w:val="24"/>
          <w:szCs w:val="24"/>
        </w:rPr>
        <w:t>（本模块的各知识点的讲授和学习，可以支撑课程目标1、课程目标2、课程目标</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p>
    <w:p w14:paraId="3D6E3335">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1B52D7C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（1）课程的基本概念</w:t>
      </w:r>
    </w:p>
    <w:p w14:paraId="6136A46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（2）课程的历史发展</w:t>
      </w:r>
    </w:p>
    <w:p w14:paraId="42885B1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（3）影响课程发展的基本因素</w:t>
      </w:r>
    </w:p>
    <w:p w14:paraId="7BE3C2E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2E71E50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（1）掌握课程概念，学会用自己的语言来解释课程</w:t>
      </w:r>
    </w:p>
    <w:p w14:paraId="048D0C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（2）了解课程发展的历史概况</w:t>
      </w:r>
    </w:p>
    <w:p w14:paraId="33117B4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（3）熟悉影响课程发展的基本因素</w:t>
      </w:r>
    </w:p>
    <w:p w14:paraId="564E9C0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（4）了解课程理论所涉及的基本问题和基础知识</w:t>
      </w:r>
    </w:p>
    <w:p w14:paraId="156645A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C22EB3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通过了解课程的概念和历史发展，产生强烈的文化认同感和民族自豪感，又能够尊重不同民族和文化的差异。</w:t>
      </w:r>
    </w:p>
    <w:p w14:paraId="61AB7B55">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课程的概念和课程的形态</w:t>
      </w:r>
    </w:p>
    <w:p w14:paraId="556657A8">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关于课程本质的不同认识；课程的表现形态和分类</w:t>
      </w:r>
    </w:p>
    <w:p w14:paraId="7AA930D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（三）课程目标与课程内容</w:t>
      </w:r>
      <w:r>
        <w:rPr>
          <w:rFonts w:hint="eastAsia" w:ascii="Times New Roman" w:hAnsi="Times New Roman" w:eastAsia="宋体" w:cs="Times New Roman"/>
          <w:sz w:val="24"/>
          <w:szCs w:val="24"/>
        </w:rPr>
        <w:t>（本模块各知识点的讲授与学习，可以支撑课程目标1、课程目标4）</w:t>
      </w:r>
    </w:p>
    <w:p w14:paraId="4D7C762D">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650C8D0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（1）课程目标</w:t>
      </w:r>
    </w:p>
    <w:p w14:paraId="5DBF7A5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（2）课程内容</w:t>
      </w:r>
    </w:p>
    <w:p w14:paraId="7F9A4F3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05AED25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（1）明确课程目标的内涵取向及其确定的依据</w:t>
      </w:r>
    </w:p>
    <w:p w14:paraId="635D6AA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（2）掌握课程内容的取向及其选择与组织原则</w:t>
      </w:r>
    </w:p>
    <w:p w14:paraId="18018CF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（3）了解当代小学教育课程的目标与课程内容</w:t>
      </w:r>
    </w:p>
    <w:p w14:paraId="6376F7B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C4953B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课程目标与课程内容的学习，明确新课程的基本价值取向是“为了中华民族的复兴，为了每一个学生的发展”，遵循学生身心发展规律，引导学生树牢“四个意识”，坚定“四个自信”，坚决做到“两个维护”，立志肩负起民族复兴的时代重任。</w:t>
      </w:r>
    </w:p>
    <w:p w14:paraId="40890550">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课程目标的四种基本取向和制定课程目标的三大依据；课程内容的不同取向以及课程内容选择和组织和的原则</w:t>
      </w:r>
    </w:p>
    <w:p w14:paraId="5400D67D">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课程目标的内涵及制定；课程内容的内涵及其组织技术</w:t>
      </w:r>
    </w:p>
    <w:p w14:paraId="68DAC93F">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（四）课程实施与课程评价</w:t>
      </w:r>
      <w:r>
        <w:rPr>
          <w:rFonts w:hint="eastAsia" w:ascii="Times New Roman" w:hAnsi="Times New Roman" w:eastAsia="宋体" w:cs="Times New Roman"/>
          <w:sz w:val="24"/>
          <w:szCs w:val="24"/>
        </w:rPr>
        <w:t>（本模块各知识点的讲授与学习，可以支撑课程目标3、课程目标4）</w:t>
      </w:r>
    </w:p>
    <w:p w14:paraId="6926BE3F">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313E527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（1）课程变革的基本过程</w:t>
      </w:r>
    </w:p>
    <w:p w14:paraId="10E08B0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（2）课程实施的三种取向</w:t>
      </w:r>
    </w:p>
    <w:p w14:paraId="08D095A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（3）课程实施的基本过程</w:t>
      </w:r>
    </w:p>
    <w:p w14:paraId="7B2CFFA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（4）课程评价的三种取向</w:t>
      </w:r>
    </w:p>
    <w:p w14:paraId="083326C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37615D7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（1）明确课程实施的内涵</w:t>
      </w:r>
    </w:p>
    <w:p w14:paraId="2AACE6C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（2）了解课程实施的取向和途径及影响因素</w:t>
      </w:r>
    </w:p>
    <w:p w14:paraId="38E61E4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（3）熟悉课程实施的基本过程</w:t>
      </w:r>
    </w:p>
    <w:p w14:paraId="361D6BD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（4）掌握课程评价的三种取向</w:t>
      </w:r>
    </w:p>
    <w:p w14:paraId="2C1649B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C02981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通过课程实施和课程评价的学习，懂得必须尊重每一个学生个性发展的完整性、独立性、具体性和特殊性，树立正确的儿童观，把关爱自然、追求人与自然的可持续发展作为价值追求。</w:t>
      </w:r>
    </w:p>
    <w:p w14:paraId="25598FA5">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课程评价的基本方法</w:t>
      </w:r>
    </w:p>
    <w:p w14:paraId="30FB392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课程实施的内涵及取向</w:t>
      </w:r>
    </w:p>
    <w:p w14:paraId="67E501E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（五）课程开发与校本课程</w:t>
      </w:r>
      <w:r>
        <w:rPr>
          <w:rFonts w:hint="eastAsia" w:ascii="Times New Roman" w:hAnsi="Times New Roman" w:eastAsia="宋体" w:cs="Times New Roman"/>
          <w:sz w:val="24"/>
          <w:szCs w:val="24"/>
        </w:rPr>
        <w:t>（本模块各知识点的讲授与学习，可以支撑课程目标</w:t>
      </w:r>
      <w:r>
        <w:rPr>
          <w:rFonts w:ascii="Times New Roman" w:hAnsi="Times New Roman" w:eastAsia="宋体" w:cs="Times New Roman"/>
          <w:sz w:val="24"/>
          <w:szCs w:val="24"/>
        </w:rPr>
        <w:t>1</w:t>
      </w:r>
      <w:r>
        <w:rPr>
          <w:rFonts w:hint="eastAsia" w:ascii="Times New Roman" w:hAnsi="Times New Roman" w:eastAsia="宋体" w:cs="Times New Roman"/>
          <w:sz w:val="24"/>
          <w:szCs w:val="24"/>
        </w:rPr>
        <w:t>、课程目标</w:t>
      </w: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p>
    <w:p w14:paraId="157C20B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5DDF470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（1）课程开发的一般原理</w:t>
      </w:r>
    </w:p>
    <w:p w14:paraId="3D73D12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（2）校本课程开发</w:t>
      </w:r>
    </w:p>
    <w:p w14:paraId="157CA85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508894C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（1）了解课程开发的概念、具体机制及模式</w:t>
      </w:r>
    </w:p>
    <w:p w14:paraId="4A49435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（2）认识校本课程开发的基本特征、意义</w:t>
      </w:r>
    </w:p>
    <w:p w14:paraId="20C1D8C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（3）初步掌握课程开发的基本技术</w:t>
      </w:r>
    </w:p>
    <w:p w14:paraId="08F301BF">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课程开发的模式、校本课程的概念、意义及开发程序</w:t>
      </w:r>
    </w:p>
    <w:p w14:paraId="46A60240">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课程开发的模式及如何进行校本课程资源开发</w:t>
      </w:r>
    </w:p>
    <w:p w14:paraId="191FA82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B6AEFA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校本课程开发的学习，推动中华优秀传统文化融入课程教学，加强革命文化和社会主义先进文化教育，厚植爱国主义情怀，传承中华优秀传统文化，弘扬以爱国主义为核心的民族精神和以改革创新为核心的时代精神。</w:t>
      </w:r>
    </w:p>
    <w:p w14:paraId="2F3FD448">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（六）教学的基本理论</w:t>
      </w:r>
      <w:r>
        <w:rPr>
          <w:rFonts w:hint="eastAsia" w:ascii="Times New Roman" w:hAnsi="Times New Roman" w:eastAsia="宋体" w:cs="Times New Roman"/>
          <w:sz w:val="24"/>
          <w:szCs w:val="24"/>
        </w:rPr>
        <w:t>（本模块各知识点的讲授与学习，可以支撑课程目标1、课程目标2、课程目标4）</w:t>
      </w:r>
    </w:p>
    <w:p w14:paraId="7DB2C25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02F9592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（1）教学概念与教学本质</w:t>
      </w:r>
    </w:p>
    <w:p w14:paraId="4D30C76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（2）当代主要教学理论</w:t>
      </w:r>
    </w:p>
    <w:p w14:paraId="45783A1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（3）现代教学及其特征、原则</w:t>
      </w:r>
    </w:p>
    <w:p w14:paraId="71B3A1C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741E87F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（1）掌握教学、现代教学和优化教学等概念</w:t>
      </w:r>
    </w:p>
    <w:p w14:paraId="0424D58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（2）了解教学发展历程及现代教学的特征</w:t>
      </w:r>
    </w:p>
    <w:p w14:paraId="23E2691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（3）探讨教学的本质</w:t>
      </w:r>
    </w:p>
    <w:p w14:paraId="4EE436C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（4）掌握优化教学的策略</w:t>
      </w:r>
    </w:p>
    <w:p w14:paraId="2A68924D">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40B0613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通过学习教学的基本理论、发展历程和教学的本质等内容，明确教学是学校的中心工作，要培养全面发展的人，必须坚持以教学为主，坚定职业理想，为培养全面发展的社会主义建设者和接班人投身教育事业。</w:t>
      </w:r>
    </w:p>
    <w:p w14:paraId="168A6FB7">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现代教学的特征和优化教学的基本策略</w:t>
      </w:r>
    </w:p>
    <w:p w14:paraId="14EF373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教学的本质、现代教学的特征</w:t>
      </w:r>
    </w:p>
    <w:p w14:paraId="7333F459">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（七）教学目标</w:t>
      </w:r>
      <w:r>
        <w:rPr>
          <w:rFonts w:hint="eastAsia" w:ascii="Times New Roman" w:hAnsi="Times New Roman" w:eastAsia="宋体" w:cs="Times New Roman"/>
          <w:sz w:val="24"/>
          <w:szCs w:val="24"/>
        </w:rPr>
        <w:t>（本模块各知识点的讲授与学习，可以支撑课程目标1、课程目标2、课程考核目标4）</w:t>
      </w:r>
    </w:p>
    <w:p w14:paraId="004D765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2AD674F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（1）教学目标概述</w:t>
      </w:r>
    </w:p>
    <w:p w14:paraId="5F4FEA8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（2）教学目标分类</w:t>
      </w:r>
    </w:p>
    <w:p w14:paraId="4245F2B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（3）教学目标设计</w:t>
      </w:r>
    </w:p>
    <w:p w14:paraId="0B9C5F5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20244C2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（1）了解教学目标的概念及其功能</w:t>
      </w:r>
    </w:p>
    <w:p w14:paraId="2924130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（2）掌握教学目标的分类、教学目标设计的基本原则、教学目标的设计的步骤与方法。</w:t>
      </w:r>
    </w:p>
    <w:p w14:paraId="52349CE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）学会设计小学课程的教学目标</w:t>
      </w:r>
    </w:p>
    <w:p w14:paraId="4E29693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课程思政目标</w:t>
      </w:r>
    </w:p>
    <w:p w14:paraId="10D87ED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关注国家教育新政策和行业新标准，树立大局观念全局观念，认识到教师层面的教学目标的贯彻落实对于国家教育目的实现的重要意义；具备强烈的文化认同感和民族自豪感，为了中华民族的复兴，为了培养全面发展的社会主义建设者和接班人投身教育事业。</w:t>
      </w:r>
    </w:p>
    <w:p w14:paraId="655ACED5">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掌握布卢姆的教学目标分类；理解教学目标设计的基本步骤与方法、新课程改革中的“三维目标”体系</w:t>
      </w:r>
    </w:p>
    <w:p w14:paraId="7AE5CA8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教学目标的设计</w:t>
      </w:r>
    </w:p>
    <w:p w14:paraId="0D22FBF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（八）教学模式与方法</w:t>
      </w:r>
      <w:r>
        <w:rPr>
          <w:rFonts w:hint="eastAsia" w:ascii="Times New Roman" w:hAnsi="Times New Roman" w:eastAsia="宋体" w:cs="Times New Roman"/>
          <w:sz w:val="24"/>
          <w:szCs w:val="24"/>
        </w:rPr>
        <w:t>（本模块各知识点的讲授与学习，可以支撑课程目标1、课程目标2、课程目标3、课程目标4）</w:t>
      </w:r>
    </w:p>
    <w:p w14:paraId="60209AB7">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2D71CFC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（1）教学模式概述与类型</w:t>
      </w:r>
    </w:p>
    <w:p w14:paraId="1871010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（2）教学方法的概念及其分类</w:t>
      </w:r>
    </w:p>
    <w:p w14:paraId="25FCFBC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（3）小学常用教学法及其选择与运用</w:t>
      </w:r>
    </w:p>
    <w:p w14:paraId="21C63426">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6003042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（1）认识教学模式和教学方法的概念</w:t>
      </w:r>
    </w:p>
    <w:p w14:paraId="6564C30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（2）了解教学模式发展的历史、现状和趋势，国内外教学方法改革的现状及发展趋势</w:t>
      </w:r>
    </w:p>
    <w:p w14:paraId="01E1D4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（3）掌握当前几种比较重要的教学模式和小学常用的教学方法</w:t>
      </w:r>
    </w:p>
    <w:p w14:paraId="1756DEA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1F73CBF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通过教学模式和教学方法的学习，明确在未来的教学中必须遵循马克思主义的立场、观点和方法，遵循当代社会的伦理规范；通过国内外主要教学的模式和方法的学习，树立民族自信心和自豪感。</w:t>
      </w:r>
    </w:p>
    <w:p w14:paraId="6D48517C">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国内外主要的教学模式和教学方法</w:t>
      </w:r>
    </w:p>
    <w:p w14:paraId="76CB517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教学模式种类的辨析及如何灵活运用教学模式与实践；不同类型教学方法的掌握及如何灵活运用教学方法与实践</w:t>
      </w:r>
    </w:p>
    <w:p w14:paraId="66EE0FB3">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（九）教学手段</w:t>
      </w:r>
      <w:r>
        <w:rPr>
          <w:rFonts w:hint="eastAsia" w:ascii="Times New Roman" w:hAnsi="Times New Roman" w:eastAsia="宋体" w:cs="Times New Roman"/>
          <w:sz w:val="24"/>
          <w:szCs w:val="24"/>
        </w:rPr>
        <w:t>（本模块各知识点的讲授与学习，可以支撑课程目标1、课程目标</w:t>
      </w:r>
      <w:r>
        <w:rPr>
          <w:rFonts w:ascii="Times New Roman" w:hAnsi="Times New Roman" w:eastAsia="宋体" w:cs="Times New Roman"/>
          <w:sz w:val="24"/>
          <w:szCs w:val="24"/>
        </w:rPr>
        <w:t>3</w:t>
      </w:r>
      <w:r>
        <w:rPr>
          <w:rFonts w:hint="eastAsia" w:ascii="Times New Roman" w:hAnsi="Times New Roman" w:eastAsia="宋体" w:cs="Times New Roman"/>
          <w:sz w:val="24"/>
          <w:szCs w:val="24"/>
        </w:rPr>
        <w:t>、课程目标4）</w:t>
      </w:r>
    </w:p>
    <w:p w14:paraId="29654D7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2B85D0F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（1）教学手段概述</w:t>
      </w:r>
    </w:p>
    <w:p w14:paraId="01E4519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（2）教学手段分类</w:t>
      </w:r>
    </w:p>
    <w:p w14:paraId="65D4AFE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（3）教学手段的选择与应用</w:t>
      </w:r>
    </w:p>
    <w:p w14:paraId="2FA1ED1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（4）教学手段现代化对教学的影响</w:t>
      </w:r>
    </w:p>
    <w:p w14:paraId="3C8B76AD">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42AA181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（1）理解教学手段的概念，明了教学手段的不同分类</w:t>
      </w:r>
    </w:p>
    <w:p w14:paraId="4D905C1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）了解各种教学手段的特点及功能</w:t>
      </w:r>
    </w:p>
    <w:p w14:paraId="6D53341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（3）掌握选用教学手段的基本原则</w:t>
      </w:r>
    </w:p>
    <w:p w14:paraId="1F63FEB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（4）理解教学手段现代化的内涵及其意义</w:t>
      </w:r>
    </w:p>
    <w:p w14:paraId="1217A96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FC4684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认识到数字化社会背景下的教师素养，能够积极运用现代化教学手段教书育人，高效选择、理性判断信息来源，树立科学精神。</w:t>
      </w:r>
    </w:p>
    <w:p w14:paraId="0AFD8D9A">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教学手段的选择与使用</w:t>
      </w:r>
    </w:p>
    <w:p w14:paraId="48498252">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教学手段在教学中的具体运用，教学手段现代化的涵义及其意义</w:t>
      </w:r>
    </w:p>
    <w:p w14:paraId="48ECAD1D">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（十）教学组织形式</w:t>
      </w:r>
      <w:r>
        <w:rPr>
          <w:rFonts w:hint="eastAsia" w:ascii="Times New Roman" w:hAnsi="Times New Roman" w:eastAsia="宋体" w:cs="Times New Roman"/>
          <w:sz w:val="24"/>
          <w:szCs w:val="24"/>
        </w:rPr>
        <w:t>（本模块各知识点的讲授与学习，可以支撑课程目标1、课程目标3、课程目标4）</w:t>
      </w:r>
    </w:p>
    <w:p w14:paraId="67A9E42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21D7A49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（1）教学组织形式概述</w:t>
      </w:r>
    </w:p>
    <w:p w14:paraId="78F30C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（2）常见的教学组织形式</w:t>
      </w:r>
    </w:p>
    <w:p w14:paraId="51E2A7F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（3）教学组织形式的制约因素</w:t>
      </w:r>
    </w:p>
    <w:p w14:paraId="586801A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（4）教学工作的基本环节</w:t>
      </w:r>
    </w:p>
    <w:p w14:paraId="51F8D1F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27CD8DD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（1）明确教学组织形式的内涵、意义和历史演变</w:t>
      </w:r>
    </w:p>
    <w:p w14:paraId="0132BC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（2）熟悉常见的教学组织形式</w:t>
      </w:r>
    </w:p>
    <w:p w14:paraId="0E69672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（3）全面认识班级授课制</w:t>
      </w:r>
    </w:p>
    <w:p w14:paraId="6CE8F5A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（4）掌握教学工作的基本程序</w:t>
      </w:r>
    </w:p>
    <w:p w14:paraId="08A2A11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5E601C1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明确中小学教育改革所体现的以学生发展为本的理念，提升民主、平等、公平、正义等社会主义公民意识；全心全意为人民服务，从我做起，办让人民满意的教育，坚定教育信念，保证教育惠及到每一个学生。</w:t>
      </w:r>
    </w:p>
    <w:p w14:paraId="35859FA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班级授课制的发展及改革；教学的基本环节</w:t>
      </w:r>
    </w:p>
    <w:p w14:paraId="2F42CF1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教学组织形式的改革与发展</w:t>
      </w:r>
    </w:p>
    <w:p w14:paraId="4649332C">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（十一）教学评价</w:t>
      </w:r>
      <w:r>
        <w:rPr>
          <w:rFonts w:hint="eastAsia" w:ascii="Times New Roman" w:hAnsi="Times New Roman" w:eastAsia="宋体" w:cs="Times New Roman"/>
          <w:sz w:val="24"/>
          <w:szCs w:val="24"/>
        </w:rPr>
        <w:t>（本模块各知识点的讲授与学习，可以支撑课程目标1、课程目标2、课程目标3、课程目标4）</w:t>
      </w:r>
    </w:p>
    <w:p w14:paraId="6338DEB2">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 教学内容</w:t>
      </w:r>
    </w:p>
    <w:p w14:paraId="4723161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（1）教学评价概述</w:t>
      </w:r>
    </w:p>
    <w:p w14:paraId="5003A49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（2）教师课堂教学效果评价</w:t>
      </w:r>
    </w:p>
    <w:p w14:paraId="3F26895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（3）学生课堂学习效果评价</w:t>
      </w:r>
    </w:p>
    <w:p w14:paraId="64E1464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（4）当代教学评价的新特点</w:t>
      </w:r>
    </w:p>
    <w:p w14:paraId="33D4D2D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15336DA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（1）了解教学评价的内容</w:t>
      </w:r>
    </w:p>
    <w:p w14:paraId="302C33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（2）掌握有关教学评价的策略与方法</w:t>
      </w:r>
    </w:p>
    <w:p w14:paraId="06AF455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（3）反思我国教学评价存在的问题</w:t>
      </w:r>
    </w:p>
    <w:p w14:paraId="55959B1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3328E83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通过教学评价的学习，懂得必须尊重每一个学生个性发展的完整性、独立性、具体性和特殊性，树立正确的儿童观，把关爱自然、追求人与自然的可持续发展作为价值追求。</w:t>
      </w:r>
    </w:p>
    <w:p w14:paraId="004D16C6">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教学评价的类型、价值取向，教学评价的模式、过程与方法。</w:t>
      </w:r>
    </w:p>
    <w:p w14:paraId="1C2B97C3">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我国小学教学评价改革发展趋势</w:t>
      </w:r>
    </w:p>
    <w:p w14:paraId="41AB6BB8">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（十二）教学设计与教学实践</w:t>
      </w:r>
      <w:r>
        <w:rPr>
          <w:rFonts w:hint="eastAsia" w:ascii="Times New Roman" w:hAnsi="Times New Roman" w:eastAsia="宋体" w:cs="Times New Roman"/>
          <w:sz w:val="24"/>
          <w:szCs w:val="24"/>
        </w:rPr>
        <w:t>（本模块各知识点的讲授与学习，可以支撑课程目标1、课程目标3、课程目标4）</w:t>
      </w:r>
    </w:p>
    <w:p w14:paraId="227710E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 教学内容</w:t>
      </w:r>
    </w:p>
    <w:p w14:paraId="1ADE24E6">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（1）教学设计概述</w:t>
      </w:r>
    </w:p>
    <w:p w14:paraId="552ADCBA">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（2）教学设计的模式</w:t>
      </w:r>
    </w:p>
    <w:p w14:paraId="088CCC11">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（3）教学设计的基本内容和方法</w:t>
      </w:r>
    </w:p>
    <w:p w14:paraId="34D243AD">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116EB0A7">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（1）明确教学设计的内涵、特征及依据</w:t>
      </w:r>
    </w:p>
    <w:p w14:paraId="2F472C00">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（2）熟悉教学设计的程序和模式</w:t>
      </w:r>
    </w:p>
    <w:p w14:paraId="6B32D3E2">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（3）掌握教学设计的基本内容和方法</w:t>
      </w:r>
    </w:p>
    <w:p w14:paraId="09A3A440">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78009BA">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通过教学设计的学习，懂得掌握知识和提高思想觉悟相统一、掌握知识和提高能力相统一的规律，提高思想觉悟，践行社会主义核心价值观。</w:t>
      </w:r>
    </w:p>
    <w:p w14:paraId="5D827E5B">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教学设计的程序和方法</w:t>
      </w:r>
    </w:p>
    <w:p w14:paraId="02EFE40B">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如何设计问题情境</w:t>
      </w:r>
    </w:p>
    <w:p w14:paraId="3CBCA3E3">
      <w:pPr>
        <w:spacing w:line="360" w:lineRule="auto"/>
        <w:ind w:firstLine="480"/>
        <w:rPr>
          <w:rFonts w:ascii="Times New Roman" w:hAnsi="Times New Roman" w:eastAsia="宋体" w:cs="Times New Roman"/>
          <w:sz w:val="24"/>
          <w:szCs w:val="24"/>
        </w:rPr>
      </w:pPr>
    </w:p>
    <w:p w14:paraId="3DFFF31B">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教学内容与课程目标的对应关系及学时分配如表所示</w:t>
      </w:r>
    </w:p>
    <w:tbl>
      <w:tblPr>
        <w:tblStyle w:val="30"/>
        <w:tblW w:w="91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404"/>
        <w:gridCol w:w="1985"/>
        <w:gridCol w:w="2781"/>
        <w:gridCol w:w="10"/>
        <w:gridCol w:w="695"/>
        <w:gridCol w:w="703"/>
      </w:tblGrid>
      <w:tr w14:paraId="3547A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63" w:type="dxa"/>
            <w:shd w:val="clear" w:color="auto" w:fill="FFFFFF"/>
            <w:vAlign w:val="center"/>
          </w:tcPr>
          <w:p w14:paraId="0A0B0F53">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hint="eastAsia" w:ascii="宋体" w:hAnsi="宋体" w:eastAsia="宋体" w:cs="Times New Roman"/>
                <w:b/>
                <w:color w:val="000000" w:themeColor="text1"/>
                <w:szCs w:val="21"/>
                <w14:textFill>
                  <w14:solidFill>
                    <w14:schemeClr w14:val="tx1"/>
                  </w14:solidFill>
                </w14:textFill>
              </w:rPr>
              <w:t>序号</w:t>
            </w:r>
          </w:p>
        </w:tc>
        <w:tc>
          <w:tcPr>
            <w:tcW w:w="2404" w:type="dxa"/>
            <w:shd w:val="clear" w:color="auto" w:fill="FFFFFF"/>
            <w:vAlign w:val="center"/>
          </w:tcPr>
          <w:p w14:paraId="43587186">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教学内容</w:t>
            </w:r>
          </w:p>
        </w:tc>
        <w:tc>
          <w:tcPr>
            <w:tcW w:w="1985" w:type="dxa"/>
            <w:shd w:val="clear" w:color="auto" w:fill="FFFFFF"/>
            <w:vAlign w:val="center"/>
          </w:tcPr>
          <w:p w14:paraId="57051320">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支撑</w:t>
            </w:r>
            <w:r>
              <w:rPr>
                <w:rFonts w:hint="eastAsia" w:ascii="宋体" w:hAnsi="宋体" w:eastAsia="宋体" w:cs="Times New Roman"/>
                <w:b/>
                <w:color w:val="000000" w:themeColor="text1"/>
                <w:szCs w:val="21"/>
                <w14:textFill>
                  <w14:solidFill>
                    <w14:schemeClr w14:val="tx1"/>
                  </w14:solidFill>
                </w14:textFill>
              </w:rPr>
              <w:t>的</w:t>
            </w:r>
            <w:r>
              <w:rPr>
                <w:rFonts w:ascii="宋体" w:hAnsi="宋体" w:eastAsia="宋体" w:cs="Times New Roman"/>
                <w:b/>
                <w:color w:val="000000" w:themeColor="text1"/>
                <w:szCs w:val="21"/>
                <w14:textFill>
                  <w14:solidFill>
                    <w14:schemeClr w14:val="tx1"/>
                  </w14:solidFill>
                </w14:textFill>
              </w:rPr>
              <w:t>课程目标</w:t>
            </w:r>
          </w:p>
        </w:tc>
        <w:tc>
          <w:tcPr>
            <w:tcW w:w="2781" w:type="dxa"/>
            <w:shd w:val="clear" w:color="auto" w:fill="FFFFFF"/>
            <w:vAlign w:val="center"/>
          </w:tcPr>
          <w:p w14:paraId="2C504469">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支撑</w:t>
            </w:r>
            <w:r>
              <w:rPr>
                <w:rFonts w:hint="eastAsia" w:ascii="宋体" w:hAnsi="宋体" w:eastAsia="宋体" w:cs="Times New Roman"/>
                <w:b/>
                <w:color w:val="000000" w:themeColor="text1"/>
                <w:szCs w:val="21"/>
                <w14:textFill>
                  <w14:solidFill>
                    <w14:schemeClr w14:val="tx1"/>
                  </w14:solidFill>
                </w14:textFill>
              </w:rPr>
              <w:t>的</w:t>
            </w:r>
            <w:r>
              <w:rPr>
                <w:rFonts w:ascii="宋体" w:hAnsi="宋体" w:eastAsia="宋体" w:cs="Times New Roman"/>
                <w:b/>
                <w:color w:val="000000" w:themeColor="text1"/>
                <w:szCs w:val="21"/>
                <w14:textFill>
                  <w14:solidFill>
                    <w14:schemeClr w14:val="tx1"/>
                  </w14:solidFill>
                </w14:textFill>
              </w:rPr>
              <w:t>毕业要求</w:t>
            </w:r>
          </w:p>
          <w:p w14:paraId="45B7D7A6">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指标点</w:t>
            </w:r>
          </w:p>
        </w:tc>
        <w:tc>
          <w:tcPr>
            <w:tcW w:w="702" w:type="dxa"/>
            <w:gridSpan w:val="2"/>
            <w:shd w:val="clear" w:color="auto" w:fill="FFFFFF"/>
            <w:vAlign w:val="center"/>
          </w:tcPr>
          <w:p w14:paraId="698E8D99">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讲</w:t>
            </w:r>
            <w:r>
              <w:rPr>
                <w:rFonts w:hint="eastAsia" w:ascii="宋体" w:hAnsi="宋体" w:eastAsia="宋体" w:cs="Times New Roman"/>
                <w:b/>
                <w:color w:val="000000" w:themeColor="text1"/>
                <w:szCs w:val="21"/>
                <w14:textFill>
                  <w14:solidFill>
                    <w14:schemeClr w14:val="tx1"/>
                  </w14:solidFill>
                </w14:textFill>
              </w:rPr>
              <w:t>授</w:t>
            </w:r>
            <w:r>
              <w:rPr>
                <w:rFonts w:ascii="宋体" w:hAnsi="宋体" w:eastAsia="宋体" w:cs="Times New Roman"/>
                <w:b/>
                <w:color w:val="000000" w:themeColor="text1"/>
                <w:szCs w:val="21"/>
                <w14:textFill>
                  <w14:solidFill>
                    <w14:schemeClr w14:val="tx1"/>
                  </w14:solidFill>
                </w14:textFill>
              </w:rPr>
              <w:t>学时</w:t>
            </w:r>
          </w:p>
        </w:tc>
        <w:tc>
          <w:tcPr>
            <w:tcW w:w="703" w:type="dxa"/>
            <w:shd w:val="clear" w:color="auto" w:fill="FFFFFF"/>
            <w:vAlign w:val="center"/>
          </w:tcPr>
          <w:p w14:paraId="7446FA1C">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实验</w:t>
            </w:r>
          </w:p>
          <w:p w14:paraId="455FCCE2">
            <w:pPr>
              <w:spacing w:line="276" w:lineRule="auto"/>
              <w:jc w:val="center"/>
              <w:rPr>
                <w:rFonts w:hint="eastAsia" w:ascii="宋体" w:hAnsi="宋体" w:eastAsia="宋体" w:cs="Times New Roman"/>
                <w:b/>
                <w:color w:val="000000" w:themeColor="text1"/>
                <w:szCs w:val="21"/>
                <w14:textFill>
                  <w14:solidFill>
                    <w14:schemeClr w14:val="tx1"/>
                  </w14:solidFill>
                </w14:textFill>
              </w:rPr>
            </w:pPr>
            <w:r>
              <w:rPr>
                <w:rFonts w:ascii="宋体" w:hAnsi="宋体" w:eastAsia="宋体" w:cs="Times New Roman"/>
                <w:b/>
                <w:color w:val="000000" w:themeColor="text1"/>
                <w:szCs w:val="21"/>
                <w14:textFill>
                  <w14:solidFill>
                    <w14:schemeClr w14:val="tx1"/>
                  </w14:solidFill>
                </w14:textFill>
              </w:rPr>
              <w:t>学时</w:t>
            </w:r>
          </w:p>
        </w:tc>
      </w:tr>
      <w:tr w14:paraId="09E07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63" w:type="dxa"/>
            <w:shd w:val="clear" w:color="auto" w:fill="FFFFFF"/>
            <w:vAlign w:val="center"/>
          </w:tcPr>
          <w:p w14:paraId="439B0F4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c>
          <w:tcPr>
            <w:tcW w:w="2404" w:type="dxa"/>
            <w:shd w:val="clear" w:color="auto" w:fill="FFFFFF"/>
            <w:vAlign w:val="center"/>
          </w:tcPr>
          <w:p w14:paraId="0127A7E7">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“课程教学论”概述</w:t>
            </w:r>
          </w:p>
        </w:tc>
        <w:tc>
          <w:tcPr>
            <w:tcW w:w="1985" w:type="dxa"/>
            <w:shd w:val="clear" w:color="auto" w:fill="FFFFFF"/>
            <w:vAlign w:val="center"/>
          </w:tcPr>
          <w:p w14:paraId="6E690A9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目标1、4</w:t>
            </w:r>
          </w:p>
        </w:tc>
        <w:tc>
          <w:tcPr>
            <w:tcW w:w="2781" w:type="dxa"/>
            <w:shd w:val="clear" w:color="auto" w:fill="FFFFFF"/>
            <w:vAlign w:val="center"/>
          </w:tcPr>
          <w:p w14:paraId="51BF3EC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1</w:t>
            </w:r>
            <w:r>
              <w:rPr>
                <w:rFonts w:hint="eastAsia" w:ascii="宋体" w:hAnsi="宋体" w:eastAsia="宋体" w:cs="Times New Roman"/>
                <w:color w:val="000000"/>
                <w:szCs w:val="21"/>
              </w:rPr>
              <w:t>、4-</w:t>
            </w:r>
            <w:r>
              <w:rPr>
                <w:rFonts w:ascii="宋体" w:hAnsi="宋体" w:eastAsia="宋体" w:cs="Times New Roman"/>
                <w:color w:val="000000"/>
                <w:szCs w:val="21"/>
              </w:rPr>
              <w:t>2</w:t>
            </w:r>
          </w:p>
        </w:tc>
        <w:tc>
          <w:tcPr>
            <w:tcW w:w="702" w:type="dxa"/>
            <w:gridSpan w:val="2"/>
            <w:shd w:val="clear" w:color="auto" w:fill="FFFFFF"/>
            <w:vAlign w:val="center"/>
          </w:tcPr>
          <w:p w14:paraId="0844E0E1">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703" w:type="dxa"/>
            <w:shd w:val="clear" w:color="auto" w:fill="FFFFFF"/>
            <w:vAlign w:val="center"/>
          </w:tcPr>
          <w:p w14:paraId="4B0E3C0B">
            <w:pPr>
              <w:spacing w:line="276" w:lineRule="auto"/>
              <w:jc w:val="center"/>
              <w:rPr>
                <w:rFonts w:hint="eastAsia" w:ascii="宋体" w:hAnsi="宋体" w:eastAsia="宋体" w:cs="Times New Roman"/>
                <w:kern w:val="0"/>
                <w:szCs w:val="21"/>
              </w:rPr>
            </w:pPr>
          </w:p>
        </w:tc>
      </w:tr>
      <w:tr w14:paraId="1CB05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63" w:type="dxa"/>
            <w:vAlign w:val="center"/>
          </w:tcPr>
          <w:p w14:paraId="62B97413">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c>
          <w:tcPr>
            <w:tcW w:w="2404" w:type="dxa"/>
            <w:vAlign w:val="center"/>
          </w:tcPr>
          <w:p w14:paraId="4FB86EA1">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课程的基本理论</w:t>
            </w:r>
          </w:p>
        </w:tc>
        <w:tc>
          <w:tcPr>
            <w:tcW w:w="1985" w:type="dxa"/>
            <w:vAlign w:val="center"/>
          </w:tcPr>
          <w:p w14:paraId="4BB1EAB2">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目标1、2、4</w:t>
            </w:r>
          </w:p>
        </w:tc>
        <w:tc>
          <w:tcPr>
            <w:tcW w:w="2781" w:type="dxa"/>
            <w:vAlign w:val="center"/>
          </w:tcPr>
          <w:p w14:paraId="280F4B56">
            <w:pPr>
              <w:spacing w:line="276" w:lineRule="auto"/>
              <w:jc w:val="center"/>
              <w:rPr>
                <w:rFonts w:hint="eastAsia" w:ascii="宋体" w:hAnsi="宋体" w:eastAsia="宋体" w:cs="Times New Roman"/>
                <w:szCs w:val="21"/>
              </w:rPr>
            </w:pP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5B08B5B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4B9C6D55">
            <w:pPr>
              <w:spacing w:line="276" w:lineRule="auto"/>
              <w:ind w:firstLine="420" w:firstLineChars="200"/>
              <w:jc w:val="center"/>
              <w:rPr>
                <w:rFonts w:hint="eastAsia" w:ascii="宋体" w:hAnsi="宋体" w:eastAsia="宋体" w:cs="Times New Roman"/>
                <w:kern w:val="0"/>
                <w:szCs w:val="21"/>
              </w:rPr>
            </w:pPr>
          </w:p>
        </w:tc>
      </w:tr>
      <w:tr w14:paraId="6884E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vAlign w:val="center"/>
          </w:tcPr>
          <w:p w14:paraId="1BE3FB47">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404" w:type="dxa"/>
            <w:vAlign w:val="center"/>
          </w:tcPr>
          <w:p w14:paraId="0E9743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课程目标与课程内容</w:t>
            </w:r>
          </w:p>
        </w:tc>
        <w:tc>
          <w:tcPr>
            <w:tcW w:w="1985" w:type="dxa"/>
            <w:vAlign w:val="center"/>
          </w:tcPr>
          <w:p w14:paraId="4B1DAAB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目标1、4</w:t>
            </w:r>
          </w:p>
        </w:tc>
        <w:tc>
          <w:tcPr>
            <w:tcW w:w="2781" w:type="dxa"/>
            <w:vAlign w:val="center"/>
          </w:tcPr>
          <w:p w14:paraId="4AAD157C">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p>
        </w:tc>
        <w:tc>
          <w:tcPr>
            <w:tcW w:w="702" w:type="dxa"/>
            <w:gridSpan w:val="2"/>
            <w:vAlign w:val="center"/>
          </w:tcPr>
          <w:p w14:paraId="054CA2C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72FA2E14">
            <w:pPr>
              <w:spacing w:line="276" w:lineRule="auto"/>
              <w:ind w:firstLine="420" w:firstLineChars="200"/>
              <w:jc w:val="center"/>
              <w:rPr>
                <w:rFonts w:hint="eastAsia" w:ascii="宋体" w:hAnsi="宋体" w:eastAsia="宋体" w:cs="Times New Roman"/>
                <w:kern w:val="0"/>
                <w:szCs w:val="21"/>
              </w:rPr>
            </w:pPr>
          </w:p>
        </w:tc>
      </w:tr>
      <w:tr w14:paraId="325B8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3" w:type="dxa"/>
            <w:vAlign w:val="center"/>
          </w:tcPr>
          <w:p w14:paraId="4AF14E70">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404" w:type="dxa"/>
            <w:vAlign w:val="center"/>
          </w:tcPr>
          <w:p w14:paraId="6F6F120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课程实施与课程评价</w:t>
            </w:r>
          </w:p>
        </w:tc>
        <w:tc>
          <w:tcPr>
            <w:tcW w:w="1985" w:type="dxa"/>
            <w:vAlign w:val="center"/>
          </w:tcPr>
          <w:p w14:paraId="40B9F5F7">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目标3、4</w:t>
            </w:r>
          </w:p>
        </w:tc>
        <w:tc>
          <w:tcPr>
            <w:tcW w:w="2781" w:type="dxa"/>
            <w:vAlign w:val="center"/>
          </w:tcPr>
          <w:p w14:paraId="455292C7">
            <w:pPr>
              <w:spacing w:line="276"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4</w:t>
            </w: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p>
        </w:tc>
        <w:tc>
          <w:tcPr>
            <w:tcW w:w="702" w:type="dxa"/>
            <w:gridSpan w:val="2"/>
            <w:vAlign w:val="center"/>
          </w:tcPr>
          <w:p w14:paraId="785A6031">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029FC874">
            <w:pPr>
              <w:spacing w:line="276" w:lineRule="auto"/>
              <w:jc w:val="center"/>
              <w:rPr>
                <w:rFonts w:hint="eastAsia" w:ascii="宋体" w:hAnsi="宋体" w:eastAsia="宋体" w:cs="Times New Roman"/>
                <w:kern w:val="0"/>
                <w:szCs w:val="21"/>
              </w:rPr>
            </w:pPr>
          </w:p>
        </w:tc>
      </w:tr>
      <w:tr w14:paraId="1F680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63" w:type="dxa"/>
            <w:vAlign w:val="center"/>
          </w:tcPr>
          <w:p w14:paraId="39668B92">
            <w:pPr>
              <w:spacing w:line="276"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404" w:type="dxa"/>
            <w:vAlign w:val="center"/>
          </w:tcPr>
          <w:p w14:paraId="0057CD7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课程开发与校本课程</w:t>
            </w:r>
          </w:p>
        </w:tc>
        <w:tc>
          <w:tcPr>
            <w:tcW w:w="1985" w:type="dxa"/>
            <w:vAlign w:val="center"/>
          </w:tcPr>
          <w:p w14:paraId="4F98FAEC">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目标1、3</w:t>
            </w:r>
          </w:p>
        </w:tc>
        <w:tc>
          <w:tcPr>
            <w:tcW w:w="2781" w:type="dxa"/>
            <w:vAlign w:val="center"/>
          </w:tcPr>
          <w:p w14:paraId="6DCDB963">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1</w:t>
            </w:r>
          </w:p>
        </w:tc>
        <w:tc>
          <w:tcPr>
            <w:tcW w:w="702" w:type="dxa"/>
            <w:gridSpan w:val="2"/>
            <w:vAlign w:val="center"/>
          </w:tcPr>
          <w:p w14:paraId="374BC988">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703" w:type="dxa"/>
            <w:vAlign w:val="center"/>
          </w:tcPr>
          <w:p w14:paraId="5C9E141B">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23181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63" w:type="dxa"/>
            <w:vAlign w:val="center"/>
          </w:tcPr>
          <w:p w14:paraId="3B0B82B4">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p>
        </w:tc>
        <w:tc>
          <w:tcPr>
            <w:tcW w:w="2404" w:type="dxa"/>
            <w:vAlign w:val="center"/>
          </w:tcPr>
          <w:p w14:paraId="6EF16110">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教学的基本理论</w:t>
            </w:r>
          </w:p>
        </w:tc>
        <w:tc>
          <w:tcPr>
            <w:tcW w:w="1985" w:type="dxa"/>
            <w:vAlign w:val="center"/>
          </w:tcPr>
          <w:p w14:paraId="20E55593">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目标1、2、4</w:t>
            </w:r>
          </w:p>
        </w:tc>
        <w:tc>
          <w:tcPr>
            <w:tcW w:w="2781" w:type="dxa"/>
            <w:vAlign w:val="center"/>
          </w:tcPr>
          <w:p w14:paraId="7455B98E">
            <w:pPr>
              <w:spacing w:line="276" w:lineRule="auto"/>
              <w:jc w:val="center"/>
              <w:rPr>
                <w:rFonts w:hint="eastAsia" w:ascii="宋体" w:hAnsi="宋体" w:eastAsia="宋体" w:cs="Times New Roman"/>
                <w:szCs w:val="21"/>
              </w:rPr>
            </w:pP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18EBD5B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56ABD0EE">
            <w:pPr>
              <w:spacing w:line="276" w:lineRule="auto"/>
              <w:jc w:val="center"/>
              <w:rPr>
                <w:rFonts w:hint="eastAsia" w:ascii="宋体" w:hAnsi="宋体" w:eastAsia="宋体" w:cs="Times New Roman"/>
                <w:kern w:val="0"/>
                <w:szCs w:val="21"/>
              </w:rPr>
            </w:pPr>
          </w:p>
        </w:tc>
      </w:tr>
      <w:tr w14:paraId="6F3C3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63" w:type="dxa"/>
            <w:vAlign w:val="center"/>
          </w:tcPr>
          <w:p w14:paraId="11AA75BB">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p>
        </w:tc>
        <w:tc>
          <w:tcPr>
            <w:tcW w:w="2404" w:type="dxa"/>
            <w:vAlign w:val="center"/>
          </w:tcPr>
          <w:p w14:paraId="5F46F0D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教学目标</w:t>
            </w:r>
          </w:p>
        </w:tc>
        <w:tc>
          <w:tcPr>
            <w:tcW w:w="1985" w:type="dxa"/>
            <w:vAlign w:val="center"/>
          </w:tcPr>
          <w:p w14:paraId="4C30FFD2">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目标1、2、4</w:t>
            </w:r>
          </w:p>
        </w:tc>
        <w:tc>
          <w:tcPr>
            <w:tcW w:w="2781" w:type="dxa"/>
            <w:vAlign w:val="center"/>
          </w:tcPr>
          <w:p w14:paraId="6889B4A1">
            <w:pPr>
              <w:spacing w:line="276" w:lineRule="auto"/>
              <w:jc w:val="center"/>
              <w:rPr>
                <w:rFonts w:hint="eastAsia" w:ascii="宋体" w:hAnsi="宋体" w:eastAsia="宋体" w:cs="Times New Roman"/>
                <w:szCs w:val="21"/>
              </w:rPr>
            </w:pP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58A4DB8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324B2A9D">
            <w:pPr>
              <w:spacing w:line="276" w:lineRule="auto"/>
              <w:jc w:val="center"/>
              <w:rPr>
                <w:rFonts w:hint="eastAsia" w:ascii="宋体" w:hAnsi="宋体" w:eastAsia="宋体" w:cs="Times New Roman"/>
                <w:kern w:val="0"/>
                <w:szCs w:val="21"/>
              </w:rPr>
            </w:pPr>
          </w:p>
        </w:tc>
      </w:tr>
      <w:tr w14:paraId="78DE8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63" w:type="dxa"/>
            <w:vAlign w:val="center"/>
          </w:tcPr>
          <w:p w14:paraId="14AA3B1B">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p>
        </w:tc>
        <w:tc>
          <w:tcPr>
            <w:tcW w:w="2404" w:type="dxa"/>
            <w:vAlign w:val="center"/>
          </w:tcPr>
          <w:p w14:paraId="393C6AC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教学模式与方法</w:t>
            </w:r>
          </w:p>
        </w:tc>
        <w:tc>
          <w:tcPr>
            <w:tcW w:w="1985" w:type="dxa"/>
            <w:vAlign w:val="center"/>
          </w:tcPr>
          <w:p w14:paraId="45D231E9">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目标1、2、3、4</w:t>
            </w:r>
          </w:p>
        </w:tc>
        <w:tc>
          <w:tcPr>
            <w:tcW w:w="2781" w:type="dxa"/>
            <w:vAlign w:val="center"/>
          </w:tcPr>
          <w:p w14:paraId="58D3C47D">
            <w:pPr>
              <w:spacing w:line="276" w:lineRule="auto"/>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57B3692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0DE5D6FF">
            <w:pPr>
              <w:spacing w:line="276" w:lineRule="auto"/>
              <w:jc w:val="center"/>
              <w:rPr>
                <w:rFonts w:hint="eastAsia" w:ascii="宋体" w:hAnsi="宋体" w:eastAsia="宋体" w:cs="Times New Roman"/>
                <w:kern w:val="0"/>
                <w:szCs w:val="21"/>
              </w:rPr>
            </w:pPr>
          </w:p>
        </w:tc>
      </w:tr>
      <w:tr w14:paraId="7E9F8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63" w:type="dxa"/>
            <w:vAlign w:val="center"/>
          </w:tcPr>
          <w:p w14:paraId="17DFB09A">
            <w:pPr>
              <w:spacing w:line="276" w:lineRule="auto"/>
              <w:jc w:val="center"/>
              <w:rPr>
                <w:rFonts w:hint="eastAsia" w:ascii="宋体" w:hAnsi="宋体" w:eastAsia="宋体" w:cs="Times New Roman"/>
                <w:szCs w:val="21"/>
              </w:rPr>
            </w:pPr>
            <w:r>
              <w:rPr>
                <w:rFonts w:hint="eastAsia" w:ascii="宋体" w:hAnsi="宋体" w:eastAsia="宋体" w:cs="Times New Roman"/>
                <w:szCs w:val="21"/>
              </w:rPr>
              <w:t>9</w:t>
            </w:r>
          </w:p>
        </w:tc>
        <w:tc>
          <w:tcPr>
            <w:tcW w:w="2404" w:type="dxa"/>
            <w:vAlign w:val="center"/>
          </w:tcPr>
          <w:p w14:paraId="7EAED122">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教学手段</w:t>
            </w:r>
          </w:p>
        </w:tc>
        <w:tc>
          <w:tcPr>
            <w:tcW w:w="1985" w:type="dxa"/>
            <w:vAlign w:val="center"/>
          </w:tcPr>
          <w:p w14:paraId="419B6346">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目标1、3、4</w:t>
            </w:r>
          </w:p>
        </w:tc>
        <w:tc>
          <w:tcPr>
            <w:tcW w:w="2781" w:type="dxa"/>
            <w:vAlign w:val="center"/>
          </w:tcPr>
          <w:p w14:paraId="09776B77">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1</w:t>
            </w:r>
          </w:p>
        </w:tc>
        <w:tc>
          <w:tcPr>
            <w:tcW w:w="702" w:type="dxa"/>
            <w:gridSpan w:val="2"/>
            <w:vAlign w:val="center"/>
          </w:tcPr>
          <w:p w14:paraId="7BFDCFC1">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703" w:type="dxa"/>
            <w:vAlign w:val="center"/>
          </w:tcPr>
          <w:p w14:paraId="67EA3B17">
            <w:pPr>
              <w:spacing w:line="276" w:lineRule="auto"/>
              <w:jc w:val="center"/>
              <w:rPr>
                <w:rFonts w:hint="eastAsia" w:ascii="宋体" w:hAnsi="宋体" w:eastAsia="宋体" w:cs="Times New Roman"/>
                <w:kern w:val="0"/>
                <w:szCs w:val="21"/>
              </w:rPr>
            </w:pPr>
          </w:p>
        </w:tc>
      </w:tr>
      <w:tr w14:paraId="1261B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63" w:type="dxa"/>
            <w:vAlign w:val="center"/>
          </w:tcPr>
          <w:p w14:paraId="1767310F">
            <w:pPr>
              <w:spacing w:line="276"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404" w:type="dxa"/>
            <w:vAlign w:val="center"/>
          </w:tcPr>
          <w:p w14:paraId="0169044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教学组织形式</w:t>
            </w:r>
          </w:p>
        </w:tc>
        <w:tc>
          <w:tcPr>
            <w:tcW w:w="1985" w:type="dxa"/>
            <w:vAlign w:val="center"/>
          </w:tcPr>
          <w:p w14:paraId="6355B15A">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w:t>
            </w:r>
            <w:r>
              <w:rPr>
                <w:rFonts w:ascii="宋体" w:hAnsi="宋体" w:eastAsia="宋体" w:cs="Times New Roman"/>
                <w:color w:val="000000"/>
                <w:szCs w:val="21"/>
              </w:rPr>
              <w:t>3</w:t>
            </w:r>
            <w:r>
              <w:rPr>
                <w:rFonts w:hint="eastAsia" w:ascii="宋体" w:hAnsi="宋体" w:eastAsia="宋体" w:cs="Times New Roman"/>
                <w:color w:val="000000"/>
                <w:szCs w:val="21"/>
              </w:rPr>
              <w:t>、4</w:t>
            </w:r>
          </w:p>
        </w:tc>
        <w:tc>
          <w:tcPr>
            <w:tcW w:w="2781" w:type="dxa"/>
            <w:vAlign w:val="center"/>
          </w:tcPr>
          <w:p w14:paraId="76D94B43">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1</w:t>
            </w:r>
          </w:p>
        </w:tc>
        <w:tc>
          <w:tcPr>
            <w:tcW w:w="702" w:type="dxa"/>
            <w:gridSpan w:val="2"/>
            <w:vAlign w:val="center"/>
          </w:tcPr>
          <w:p w14:paraId="1B0F9776">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703" w:type="dxa"/>
            <w:vAlign w:val="center"/>
          </w:tcPr>
          <w:p w14:paraId="501DB49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1304B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63" w:type="dxa"/>
            <w:vAlign w:val="center"/>
          </w:tcPr>
          <w:p w14:paraId="15923250">
            <w:pPr>
              <w:spacing w:line="276"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p>
        </w:tc>
        <w:tc>
          <w:tcPr>
            <w:tcW w:w="2404" w:type="dxa"/>
            <w:vAlign w:val="center"/>
          </w:tcPr>
          <w:p w14:paraId="62211D3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教学评价</w:t>
            </w:r>
          </w:p>
        </w:tc>
        <w:tc>
          <w:tcPr>
            <w:tcW w:w="1985" w:type="dxa"/>
            <w:vAlign w:val="center"/>
          </w:tcPr>
          <w:p w14:paraId="79B84A96">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目标1、2、3、4</w:t>
            </w:r>
          </w:p>
        </w:tc>
        <w:tc>
          <w:tcPr>
            <w:tcW w:w="2781" w:type="dxa"/>
            <w:vAlign w:val="center"/>
          </w:tcPr>
          <w:p w14:paraId="3D698774">
            <w:pPr>
              <w:spacing w:line="276" w:lineRule="auto"/>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71E0A9A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512A845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2034B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63" w:type="dxa"/>
            <w:vAlign w:val="center"/>
          </w:tcPr>
          <w:p w14:paraId="63AF26D4">
            <w:pPr>
              <w:spacing w:line="276"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p>
        </w:tc>
        <w:tc>
          <w:tcPr>
            <w:tcW w:w="2404" w:type="dxa"/>
            <w:vAlign w:val="center"/>
          </w:tcPr>
          <w:p w14:paraId="40813A2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教学设计与教学实践</w:t>
            </w:r>
          </w:p>
        </w:tc>
        <w:tc>
          <w:tcPr>
            <w:tcW w:w="1985" w:type="dxa"/>
            <w:vAlign w:val="center"/>
          </w:tcPr>
          <w:p w14:paraId="5D7595B8">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目标1、2、3、4</w:t>
            </w:r>
          </w:p>
        </w:tc>
        <w:tc>
          <w:tcPr>
            <w:tcW w:w="2781" w:type="dxa"/>
            <w:vAlign w:val="center"/>
          </w:tcPr>
          <w:p w14:paraId="33A79D0F">
            <w:pPr>
              <w:spacing w:line="276" w:lineRule="auto"/>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p>
        </w:tc>
        <w:tc>
          <w:tcPr>
            <w:tcW w:w="702" w:type="dxa"/>
            <w:gridSpan w:val="2"/>
            <w:vAlign w:val="center"/>
          </w:tcPr>
          <w:p w14:paraId="3B4A4DC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p>
        </w:tc>
        <w:tc>
          <w:tcPr>
            <w:tcW w:w="703" w:type="dxa"/>
            <w:vAlign w:val="center"/>
          </w:tcPr>
          <w:p w14:paraId="41A116C4">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w:t>
            </w:r>
          </w:p>
        </w:tc>
      </w:tr>
      <w:tr w14:paraId="28179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743" w:type="dxa"/>
            <w:gridSpan w:val="5"/>
            <w:vAlign w:val="center"/>
          </w:tcPr>
          <w:p w14:paraId="2BE3E4F0">
            <w:pPr>
              <w:spacing w:line="276" w:lineRule="auto"/>
              <w:jc w:val="center"/>
              <w:rPr>
                <w:rFonts w:hint="eastAsia" w:ascii="宋体" w:hAnsi="宋体" w:eastAsia="宋体" w:cs="Times New Roman"/>
                <w:szCs w:val="21"/>
              </w:rPr>
            </w:pPr>
            <w:r>
              <w:rPr>
                <w:rFonts w:ascii="宋体" w:hAnsi="宋体" w:eastAsia="宋体" w:cs="Times New Roman"/>
                <w:szCs w:val="21"/>
              </w:rPr>
              <w:t>合计</w:t>
            </w:r>
          </w:p>
        </w:tc>
        <w:tc>
          <w:tcPr>
            <w:tcW w:w="695" w:type="dxa"/>
            <w:vAlign w:val="center"/>
          </w:tcPr>
          <w:p w14:paraId="52DFCB5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703" w:type="dxa"/>
            <w:vAlign w:val="center"/>
          </w:tcPr>
          <w:p w14:paraId="0284FB9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2</w:t>
            </w:r>
          </w:p>
        </w:tc>
      </w:tr>
    </w:tbl>
    <w:p w14:paraId="60B4396A">
      <w:pPr>
        <w:spacing w:line="360" w:lineRule="auto"/>
        <w:rPr>
          <w:rFonts w:ascii="Times New Roman" w:hAnsi="Times New Roman" w:eastAsia="宋体" w:cs="Times New Roman"/>
          <w:sz w:val="24"/>
          <w:szCs w:val="24"/>
        </w:rPr>
      </w:pPr>
    </w:p>
    <w:p w14:paraId="08FDFEFC">
      <w:pPr>
        <w:spacing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四、课内实践（四选二）</w:t>
      </w:r>
    </w:p>
    <w:tbl>
      <w:tblPr>
        <w:tblStyle w:val="30"/>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tblGrid>
      <w:tr w14:paraId="5429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6" w:type="dxa"/>
            <w:shd w:val="clear" w:color="auto" w:fill="FFFFFF"/>
            <w:vAlign w:val="center"/>
          </w:tcPr>
          <w:p w14:paraId="34AF8454">
            <w:pPr>
              <w:spacing w:line="276" w:lineRule="auto"/>
              <w:jc w:val="center"/>
              <w:rPr>
                <w:rFonts w:hint="eastAsia" w:ascii="宋体" w:hAnsi="宋体" w:eastAsia="宋体" w:cs="Times New Roman"/>
                <w:b/>
                <w:bCs/>
                <w:spacing w:val="-20"/>
                <w:szCs w:val="21"/>
              </w:rPr>
            </w:pPr>
            <w:r>
              <w:rPr>
                <w:rFonts w:ascii="宋体" w:hAnsi="宋体" w:eastAsia="宋体" w:cs="Times New Roman"/>
                <w:b/>
                <w:bCs/>
                <w:spacing w:val="-20"/>
                <w:szCs w:val="21"/>
              </w:rPr>
              <w:t>序号</w:t>
            </w:r>
          </w:p>
        </w:tc>
        <w:tc>
          <w:tcPr>
            <w:tcW w:w="1784" w:type="dxa"/>
            <w:shd w:val="clear" w:color="auto" w:fill="FFFFFF"/>
            <w:vAlign w:val="center"/>
          </w:tcPr>
          <w:p w14:paraId="0BC51C03">
            <w:pPr>
              <w:spacing w:line="276" w:lineRule="auto"/>
              <w:rPr>
                <w:rFonts w:hint="eastAsia" w:ascii="宋体" w:hAnsi="宋体" w:eastAsia="宋体" w:cs="Times New Roman"/>
                <w:b/>
                <w:bCs/>
                <w:szCs w:val="21"/>
              </w:rPr>
            </w:pPr>
            <w:r>
              <w:rPr>
                <w:rFonts w:hint="eastAsia" w:ascii="宋体" w:hAnsi="宋体" w:eastAsia="宋体" w:cs="Times New Roman"/>
                <w:b/>
                <w:bCs/>
                <w:szCs w:val="21"/>
              </w:rPr>
              <w:t>实践</w:t>
            </w:r>
            <w:r>
              <w:rPr>
                <w:rFonts w:ascii="宋体" w:hAnsi="宋体" w:eastAsia="宋体" w:cs="Times New Roman"/>
                <w:b/>
                <w:bCs/>
                <w:szCs w:val="21"/>
              </w:rPr>
              <w:t>项目名称</w:t>
            </w:r>
          </w:p>
        </w:tc>
        <w:tc>
          <w:tcPr>
            <w:tcW w:w="3568" w:type="dxa"/>
            <w:shd w:val="clear" w:color="auto" w:fill="FFFFFF"/>
            <w:vAlign w:val="center"/>
          </w:tcPr>
          <w:p w14:paraId="152AFC18">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及要求</w:t>
            </w:r>
          </w:p>
        </w:tc>
        <w:tc>
          <w:tcPr>
            <w:tcW w:w="735" w:type="dxa"/>
            <w:shd w:val="clear" w:color="auto" w:fill="FFFFFF"/>
            <w:vAlign w:val="center"/>
          </w:tcPr>
          <w:p w14:paraId="29547584">
            <w:pPr>
              <w:spacing w:line="276" w:lineRule="auto"/>
              <w:jc w:val="center"/>
              <w:rPr>
                <w:rFonts w:hint="eastAsia" w:ascii="宋体" w:hAnsi="宋体" w:eastAsia="宋体" w:cs="Times New Roman"/>
                <w:b/>
                <w:bCs/>
                <w:szCs w:val="21"/>
              </w:rPr>
            </w:pPr>
            <w:r>
              <w:rPr>
                <w:rFonts w:ascii="宋体" w:hAnsi="宋体" w:eastAsia="宋体" w:cs="Times New Roman"/>
                <w:b/>
                <w:bCs/>
                <w:szCs w:val="21"/>
              </w:rPr>
              <w:t>学时</w:t>
            </w:r>
          </w:p>
        </w:tc>
        <w:tc>
          <w:tcPr>
            <w:tcW w:w="1155" w:type="dxa"/>
            <w:shd w:val="clear" w:color="auto" w:fill="FFFFFF"/>
            <w:vAlign w:val="center"/>
          </w:tcPr>
          <w:p w14:paraId="3A4FD527">
            <w:pPr>
              <w:spacing w:line="276" w:lineRule="auto"/>
              <w:jc w:val="center"/>
              <w:rPr>
                <w:rFonts w:hint="eastAsia" w:ascii="宋体" w:hAnsi="宋体" w:eastAsia="宋体" w:cs="Times New Roman"/>
                <w:b/>
                <w:bCs/>
                <w:szCs w:val="21"/>
              </w:rPr>
            </w:pPr>
            <w:r>
              <w:rPr>
                <w:rFonts w:ascii="宋体" w:hAnsi="宋体" w:eastAsia="宋体" w:cs="Times New Roman"/>
                <w:b/>
                <w:bCs/>
                <w:szCs w:val="21"/>
              </w:rPr>
              <w:t>对毕业要求的支撑</w:t>
            </w:r>
          </w:p>
        </w:tc>
        <w:tc>
          <w:tcPr>
            <w:tcW w:w="840" w:type="dxa"/>
            <w:shd w:val="clear" w:color="auto" w:fill="FFFFFF"/>
            <w:tcMar>
              <w:left w:w="28" w:type="dxa"/>
              <w:right w:w="28" w:type="dxa"/>
            </w:tcMar>
            <w:vAlign w:val="center"/>
          </w:tcPr>
          <w:p w14:paraId="20697947">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类型</w:t>
            </w:r>
          </w:p>
        </w:tc>
      </w:tr>
      <w:tr w14:paraId="4931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jc w:val="center"/>
        </w:trPr>
        <w:tc>
          <w:tcPr>
            <w:tcW w:w="636" w:type="dxa"/>
            <w:vAlign w:val="center"/>
          </w:tcPr>
          <w:p w14:paraId="6C9A0ADE">
            <w:pPr>
              <w:spacing w:line="276" w:lineRule="auto"/>
              <w:jc w:val="center"/>
              <w:rPr>
                <w:rFonts w:hint="eastAsia" w:ascii="宋体" w:hAnsi="宋体" w:eastAsia="宋体" w:cs="Times New Roman"/>
                <w:bCs/>
                <w:szCs w:val="21"/>
              </w:rPr>
            </w:pPr>
            <w:r>
              <w:rPr>
                <w:rFonts w:ascii="宋体" w:hAnsi="宋体" w:eastAsia="宋体" w:cs="Times New Roman"/>
                <w:bCs/>
                <w:szCs w:val="21"/>
              </w:rPr>
              <w:t>1</w:t>
            </w:r>
          </w:p>
        </w:tc>
        <w:tc>
          <w:tcPr>
            <w:tcW w:w="1784" w:type="dxa"/>
            <w:vAlign w:val="center"/>
          </w:tcPr>
          <w:p w14:paraId="547C6135">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校本课程开发调查</w:t>
            </w:r>
          </w:p>
        </w:tc>
        <w:tc>
          <w:tcPr>
            <w:tcW w:w="3568" w:type="dxa"/>
            <w:vAlign w:val="center"/>
          </w:tcPr>
          <w:p w14:paraId="73F9FE56">
            <w:pPr>
              <w:spacing w:line="276" w:lineRule="auto"/>
              <w:ind w:firstLine="422" w:firstLineChars="20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实践内容</w:t>
            </w:r>
            <w:r>
              <w:rPr>
                <w:rFonts w:hint="eastAsia" w:ascii="宋体" w:hAnsi="宋体" w:eastAsia="宋体" w:cs="宋体"/>
                <w:color w:val="FF0000"/>
                <w:kern w:val="0"/>
                <w:szCs w:val="21"/>
              </w:rPr>
              <w:t>：浏览校本课程网站，提供校本课程范例，组织学生讨论、评价，引导学生认识“分析学校现状”“研究学生特别需要”的重要性。</w:t>
            </w:r>
          </w:p>
          <w:p w14:paraId="681362C3">
            <w:pPr>
              <w:spacing w:line="276" w:lineRule="auto"/>
              <w:ind w:firstLine="422" w:firstLineChars="20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实践要求：</w:t>
            </w:r>
            <w:r>
              <w:rPr>
                <w:rFonts w:hint="eastAsia" w:ascii="宋体" w:hAnsi="宋体" w:eastAsia="宋体" w:cs="宋体"/>
                <w:color w:val="FF0000"/>
                <w:kern w:val="0"/>
                <w:szCs w:val="21"/>
              </w:rPr>
              <w:t>小组提交一份校本课程开发方案调查。</w:t>
            </w:r>
          </w:p>
        </w:tc>
        <w:tc>
          <w:tcPr>
            <w:tcW w:w="735" w:type="dxa"/>
            <w:vAlign w:val="center"/>
          </w:tcPr>
          <w:p w14:paraId="53B1FD0C">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155" w:type="dxa"/>
            <w:vAlign w:val="center"/>
          </w:tcPr>
          <w:p w14:paraId="6E994B40">
            <w:pPr>
              <w:spacing w:line="276" w:lineRule="auto"/>
              <w:rPr>
                <w:rFonts w:hint="eastAsia"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w:t>
            </w:r>
            <w:r>
              <w:rPr>
                <w:rFonts w:ascii="宋体" w:hAnsi="宋体" w:eastAsia="宋体" w:cs="Times New Roman"/>
                <w:bCs/>
                <w:szCs w:val="21"/>
              </w:rPr>
              <w:t>2</w:t>
            </w:r>
            <w:r>
              <w:rPr>
                <w:rFonts w:hint="eastAsia" w:ascii="宋体" w:hAnsi="宋体" w:eastAsia="宋体" w:cs="Times New Roman"/>
                <w:bCs/>
                <w:szCs w:val="21"/>
              </w:rPr>
              <w:t>、4-</w:t>
            </w:r>
            <w:r>
              <w:rPr>
                <w:rFonts w:ascii="宋体" w:hAnsi="宋体" w:eastAsia="宋体" w:cs="Times New Roman"/>
                <w:bCs/>
                <w:szCs w:val="21"/>
              </w:rPr>
              <w:t>1</w:t>
            </w:r>
            <w:r>
              <w:rPr>
                <w:rFonts w:hint="eastAsia" w:ascii="宋体" w:hAnsi="宋体" w:eastAsia="宋体" w:cs="Times New Roman"/>
                <w:bCs/>
                <w:szCs w:val="21"/>
              </w:rPr>
              <w:t>、4-</w:t>
            </w:r>
            <w:r>
              <w:rPr>
                <w:rFonts w:ascii="宋体" w:hAnsi="宋体" w:eastAsia="宋体" w:cs="Times New Roman"/>
                <w:bCs/>
                <w:szCs w:val="21"/>
              </w:rPr>
              <w:t>2</w:t>
            </w:r>
            <w:r>
              <w:rPr>
                <w:rFonts w:hint="eastAsia" w:ascii="宋体" w:hAnsi="宋体" w:eastAsia="宋体" w:cs="Times New Roman"/>
                <w:bCs/>
                <w:szCs w:val="21"/>
              </w:rPr>
              <w:t>、8-</w:t>
            </w:r>
            <w:r>
              <w:rPr>
                <w:rFonts w:ascii="宋体" w:hAnsi="宋体" w:eastAsia="宋体" w:cs="Times New Roman"/>
                <w:bCs/>
                <w:szCs w:val="21"/>
              </w:rPr>
              <w:t>1</w:t>
            </w:r>
          </w:p>
        </w:tc>
        <w:tc>
          <w:tcPr>
            <w:tcW w:w="840" w:type="dxa"/>
            <w:tcMar>
              <w:left w:w="28" w:type="dxa"/>
              <w:right w:w="28" w:type="dxa"/>
            </w:tcMar>
            <w:vAlign w:val="center"/>
          </w:tcPr>
          <w:p w14:paraId="1C90DE71">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设计性</w:t>
            </w:r>
          </w:p>
        </w:tc>
      </w:tr>
      <w:tr w14:paraId="5B6F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jc w:val="center"/>
        </w:trPr>
        <w:tc>
          <w:tcPr>
            <w:tcW w:w="636" w:type="dxa"/>
            <w:vAlign w:val="center"/>
          </w:tcPr>
          <w:p w14:paraId="1C036C53">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784" w:type="dxa"/>
            <w:vAlign w:val="center"/>
          </w:tcPr>
          <w:p w14:paraId="692FF9B1">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教学模式与方法、教学组织形式、教学手段训练</w:t>
            </w:r>
          </w:p>
        </w:tc>
        <w:tc>
          <w:tcPr>
            <w:tcW w:w="3568" w:type="dxa"/>
            <w:vAlign w:val="center"/>
          </w:tcPr>
          <w:p w14:paraId="2B5F5204">
            <w:pPr>
              <w:spacing w:line="276" w:lineRule="auto"/>
              <w:ind w:firstLine="422" w:firstLineChars="20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实践内容：</w:t>
            </w:r>
            <w:r>
              <w:rPr>
                <w:rFonts w:hint="eastAsia" w:ascii="宋体" w:hAnsi="宋体" w:eastAsia="宋体" w:cs="宋体"/>
                <w:color w:val="FF0000"/>
                <w:kern w:val="0"/>
                <w:szCs w:val="21"/>
              </w:rPr>
              <w:t>观看教学视频，识别并评析教师采用了哪种教学模式、方法、教学手段、教学组织形式等。</w:t>
            </w:r>
          </w:p>
          <w:p w14:paraId="5389D6F3">
            <w:pPr>
              <w:spacing w:line="276" w:lineRule="auto"/>
              <w:ind w:firstLine="422" w:firstLineChars="200"/>
              <w:rPr>
                <w:rFonts w:hint="eastAsia" w:ascii="宋体" w:hAnsi="宋体" w:eastAsia="宋体" w:cs="宋体"/>
                <w:b/>
                <w:bCs/>
                <w:color w:val="FF0000"/>
                <w:kern w:val="0"/>
                <w:szCs w:val="21"/>
              </w:rPr>
            </w:pPr>
            <w:r>
              <w:rPr>
                <w:rFonts w:hint="eastAsia" w:ascii="宋体" w:hAnsi="宋体" w:eastAsia="宋体" w:cs="宋体"/>
                <w:b/>
                <w:bCs/>
                <w:color w:val="FF0000"/>
                <w:kern w:val="0"/>
                <w:szCs w:val="21"/>
              </w:rPr>
              <w:t>实践要求：</w:t>
            </w:r>
            <w:r>
              <w:rPr>
                <w:rFonts w:hint="eastAsia" w:ascii="宋体" w:hAnsi="宋体" w:eastAsia="宋体" w:cs="宋体"/>
                <w:color w:val="FF0000"/>
                <w:kern w:val="0"/>
                <w:szCs w:val="21"/>
              </w:rPr>
              <w:t>能够识别，选取合适的教学模式、教学方法、教学组织形式、教学手段。</w:t>
            </w:r>
          </w:p>
        </w:tc>
        <w:tc>
          <w:tcPr>
            <w:tcW w:w="735" w:type="dxa"/>
            <w:vAlign w:val="center"/>
          </w:tcPr>
          <w:p w14:paraId="467FF6CF">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155" w:type="dxa"/>
            <w:vAlign w:val="center"/>
          </w:tcPr>
          <w:p w14:paraId="20EDAF3B">
            <w:pPr>
              <w:spacing w:line="276" w:lineRule="auto"/>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1</w:t>
            </w:r>
          </w:p>
        </w:tc>
        <w:tc>
          <w:tcPr>
            <w:tcW w:w="840" w:type="dxa"/>
            <w:tcMar>
              <w:left w:w="28" w:type="dxa"/>
              <w:right w:w="28" w:type="dxa"/>
            </w:tcMar>
            <w:vAlign w:val="center"/>
          </w:tcPr>
          <w:p w14:paraId="5D9D60F6">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设计性</w:t>
            </w:r>
          </w:p>
        </w:tc>
      </w:tr>
      <w:tr w14:paraId="68FA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636" w:type="dxa"/>
            <w:vAlign w:val="center"/>
          </w:tcPr>
          <w:p w14:paraId="1D42D7C3">
            <w:pPr>
              <w:spacing w:line="276" w:lineRule="auto"/>
              <w:jc w:val="center"/>
              <w:rPr>
                <w:rFonts w:hint="eastAsia" w:ascii="宋体" w:hAnsi="宋体" w:eastAsia="宋体" w:cs="Times New Roman"/>
                <w:bCs/>
                <w:szCs w:val="21"/>
              </w:rPr>
            </w:pPr>
            <w:r>
              <w:rPr>
                <w:rFonts w:ascii="宋体" w:hAnsi="宋体" w:eastAsia="宋体" w:cs="Times New Roman"/>
                <w:bCs/>
                <w:szCs w:val="21"/>
              </w:rPr>
              <w:t>3</w:t>
            </w:r>
          </w:p>
        </w:tc>
        <w:tc>
          <w:tcPr>
            <w:tcW w:w="1784" w:type="dxa"/>
            <w:vAlign w:val="center"/>
          </w:tcPr>
          <w:p w14:paraId="02D6E62D">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教学目标撰写训练</w:t>
            </w:r>
          </w:p>
        </w:tc>
        <w:tc>
          <w:tcPr>
            <w:tcW w:w="3568" w:type="dxa"/>
            <w:vAlign w:val="center"/>
          </w:tcPr>
          <w:p w14:paraId="1D33DD9C">
            <w:pPr>
              <w:spacing w:line="276" w:lineRule="auto"/>
              <w:ind w:firstLine="316" w:firstLineChars="15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实践内容：</w:t>
            </w:r>
            <w:r>
              <w:rPr>
                <w:rFonts w:hint="eastAsia" w:ascii="宋体" w:hAnsi="宋体" w:eastAsia="宋体" w:cs="宋体"/>
                <w:color w:val="FF0000"/>
                <w:kern w:val="0"/>
                <w:szCs w:val="21"/>
              </w:rPr>
              <w:t>观察、描述、分析教师撰写教学目标案例中存在的问题，并能够加以修改、完善。</w:t>
            </w:r>
          </w:p>
          <w:p w14:paraId="73F800B6">
            <w:pPr>
              <w:spacing w:line="276" w:lineRule="auto"/>
              <w:ind w:firstLine="316" w:firstLineChars="15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实践要求：</w:t>
            </w:r>
            <w:r>
              <w:rPr>
                <w:rFonts w:hint="eastAsia" w:ascii="宋体" w:hAnsi="宋体" w:eastAsia="宋体" w:cs="宋体"/>
                <w:color w:val="FF0000"/>
                <w:kern w:val="0"/>
                <w:szCs w:val="21"/>
              </w:rPr>
              <w:t>能够修改、完善、撰写一份恰当的教学目标。</w:t>
            </w:r>
          </w:p>
        </w:tc>
        <w:tc>
          <w:tcPr>
            <w:tcW w:w="735" w:type="dxa"/>
            <w:vAlign w:val="center"/>
          </w:tcPr>
          <w:p w14:paraId="591BB2F9">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2</w:t>
            </w:r>
          </w:p>
        </w:tc>
        <w:tc>
          <w:tcPr>
            <w:tcW w:w="1155" w:type="dxa"/>
            <w:vAlign w:val="center"/>
          </w:tcPr>
          <w:p w14:paraId="14A2F6F3">
            <w:pPr>
              <w:spacing w:line="276" w:lineRule="auto"/>
              <w:rPr>
                <w:rFonts w:hint="eastAsia" w:ascii="宋体" w:hAnsi="宋体" w:eastAsia="宋体" w:cs="Times New Roman"/>
                <w:szCs w:val="21"/>
              </w:rPr>
            </w:pPr>
            <w:r>
              <w:rPr>
                <w:rFonts w:ascii="宋体" w:hAnsi="宋体" w:eastAsia="宋体" w:cs="Times New Roman"/>
                <w:szCs w:val="21"/>
              </w:rPr>
              <w:t>4-1、4-2、</w:t>
            </w:r>
          </w:p>
          <w:p w14:paraId="1D69EE1D">
            <w:pPr>
              <w:spacing w:line="276" w:lineRule="auto"/>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1</w:t>
            </w:r>
          </w:p>
        </w:tc>
        <w:tc>
          <w:tcPr>
            <w:tcW w:w="840" w:type="dxa"/>
            <w:tcMar>
              <w:left w:w="28" w:type="dxa"/>
              <w:right w:w="28" w:type="dxa"/>
            </w:tcMar>
            <w:vAlign w:val="center"/>
          </w:tcPr>
          <w:p w14:paraId="699EC4C1">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设计性</w:t>
            </w:r>
          </w:p>
        </w:tc>
      </w:tr>
      <w:tr w14:paraId="1862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636" w:type="dxa"/>
            <w:vAlign w:val="center"/>
          </w:tcPr>
          <w:p w14:paraId="72A24973">
            <w:pPr>
              <w:spacing w:line="276" w:lineRule="auto"/>
              <w:jc w:val="center"/>
              <w:rPr>
                <w:rFonts w:hint="eastAsia" w:ascii="宋体" w:hAnsi="宋体" w:eastAsia="宋体" w:cs="Times New Roman"/>
                <w:bCs/>
                <w:szCs w:val="21"/>
              </w:rPr>
            </w:pPr>
            <w:r>
              <w:rPr>
                <w:rFonts w:ascii="宋体" w:hAnsi="宋体" w:eastAsia="宋体" w:cs="Times New Roman"/>
                <w:bCs/>
                <w:szCs w:val="21"/>
              </w:rPr>
              <w:t>4</w:t>
            </w:r>
          </w:p>
        </w:tc>
        <w:tc>
          <w:tcPr>
            <w:tcW w:w="1784" w:type="dxa"/>
            <w:vAlign w:val="center"/>
          </w:tcPr>
          <w:p w14:paraId="47D078AA">
            <w:pPr>
              <w:spacing w:line="276" w:lineRule="auto"/>
              <w:rPr>
                <w:rFonts w:hint="eastAsia" w:ascii="宋体" w:hAnsi="宋体" w:eastAsia="宋体" w:cs="宋体"/>
                <w:color w:val="000000"/>
                <w:kern w:val="0"/>
                <w:szCs w:val="21"/>
              </w:rPr>
            </w:pPr>
            <w:r>
              <w:rPr>
                <w:rFonts w:hint="eastAsia" w:ascii="宋体" w:hAnsi="宋体" w:eastAsia="宋体" w:cs="宋体"/>
                <w:color w:val="000000"/>
                <w:kern w:val="0"/>
                <w:szCs w:val="21"/>
              </w:rPr>
              <w:t>教学设计与实施训练</w:t>
            </w:r>
          </w:p>
        </w:tc>
        <w:tc>
          <w:tcPr>
            <w:tcW w:w="3568" w:type="dxa"/>
            <w:vAlign w:val="center"/>
          </w:tcPr>
          <w:p w14:paraId="339435EE">
            <w:pPr>
              <w:spacing w:line="276" w:lineRule="auto"/>
              <w:ind w:firstLine="316" w:firstLineChars="15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实践内容：</w:t>
            </w:r>
            <w:r>
              <w:rPr>
                <w:rFonts w:hint="eastAsia" w:ascii="宋体" w:hAnsi="宋体" w:eastAsia="宋体" w:cs="宋体"/>
                <w:color w:val="FF0000"/>
                <w:kern w:val="0"/>
                <w:szCs w:val="21"/>
              </w:rPr>
              <w:t>提供优秀教学案例，组织学生进行点评和讨论。</w:t>
            </w:r>
          </w:p>
          <w:p w14:paraId="13451B66">
            <w:pPr>
              <w:spacing w:line="276" w:lineRule="auto"/>
              <w:ind w:firstLine="316" w:firstLineChars="150"/>
              <w:rPr>
                <w:rFonts w:hint="eastAsia" w:ascii="宋体" w:hAnsi="宋体" w:eastAsia="宋体" w:cs="宋体"/>
                <w:color w:val="FF0000"/>
                <w:kern w:val="0"/>
                <w:szCs w:val="21"/>
              </w:rPr>
            </w:pPr>
            <w:r>
              <w:rPr>
                <w:rFonts w:hint="eastAsia" w:ascii="宋体" w:hAnsi="宋体" w:eastAsia="宋体" w:cs="宋体"/>
                <w:b/>
                <w:bCs/>
                <w:color w:val="FF0000"/>
                <w:kern w:val="0"/>
                <w:szCs w:val="21"/>
              </w:rPr>
              <w:t>实践要求：</w:t>
            </w:r>
            <w:r>
              <w:rPr>
                <w:rFonts w:hint="eastAsia" w:ascii="宋体" w:hAnsi="宋体" w:eastAsia="宋体" w:cs="宋体"/>
                <w:color w:val="FF0000"/>
                <w:kern w:val="0"/>
                <w:szCs w:val="21"/>
              </w:rPr>
              <w:t>小组提交教案、教学评价及模拟教学视频。</w:t>
            </w:r>
          </w:p>
        </w:tc>
        <w:tc>
          <w:tcPr>
            <w:tcW w:w="735" w:type="dxa"/>
            <w:vAlign w:val="center"/>
          </w:tcPr>
          <w:p w14:paraId="305810C0">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6</w:t>
            </w:r>
          </w:p>
        </w:tc>
        <w:tc>
          <w:tcPr>
            <w:tcW w:w="1155" w:type="dxa"/>
            <w:vAlign w:val="center"/>
          </w:tcPr>
          <w:p w14:paraId="6F16A730">
            <w:pPr>
              <w:spacing w:line="276" w:lineRule="auto"/>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3-4、4-1、4-2、6-2</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w:t>
            </w:r>
          </w:p>
          <w:p w14:paraId="73D8E6B9">
            <w:pPr>
              <w:spacing w:line="276" w:lineRule="auto"/>
              <w:rPr>
                <w:rFonts w:hint="eastAsia" w:ascii="宋体" w:hAnsi="宋体" w:eastAsia="宋体" w:cs="Times New Roman"/>
                <w:bCs/>
                <w:szCs w:val="21"/>
              </w:rPr>
            </w:pPr>
            <w:r>
              <w:rPr>
                <w:rFonts w:hint="eastAsia" w:ascii="宋体" w:hAnsi="宋体" w:eastAsia="宋体" w:cs="Times New Roman"/>
                <w:szCs w:val="21"/>
              </w:rPr>
              <w:t>8-</w:t>
            </w:r>
            <w:r>
              <w:rPr>
                <w:rFonts w:ascii="宋体" w:hAnsi="宋体" w:eastAsia="宋体" w:cs="Times New Roman"/>
                <w:szCs w:val="21"/>
              </w:rPr>
              <w:t>1</w:t>
            </w:r>
          </w:p>
        </w:tc>
        <w:tc>
          <w:tcPr>
            <w:tcW w:w="840" w:type="dxa"/>
            <w:tcMar>
              <w:left w:w="28" w:type="dxa"/>
              <w:right w:w="28" w:type="dxa"/>
            </w:tcMar>
            <w:vAlign w:val="center"/>
          </w:tcPr>
          <w:p w14:paraId="24F7BF52">
            <w:pPr>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设计性</w:t>
            </w:r>
          </w:p>
        </w:tc>
      </w:tr>
    </w:tbl>
    <w:p w14:paraId="5F26D493">
      <w:pPr>
        <w:spacing w:line="360" w:lineRule="auto"/>
        <w:rPr>
          <w:rFonts w:ascii="Times New Roman" w:hAnsi="Times New Roman" w:eastAsia="宋体" w:cs="Times New Roman"/>
          <w:sz w:val="24"/>
          <w:szCs w:val="24"/>
        </w:rPr>
      </w:pPr>
    </w:p>
    <w:p w14:paraId="5C92C3C0">
      <w:pPr>
        <w:spacing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五、课程实施</w:t>
      </w:r>
    </w:p>
    <w:p w14:paraId="0E4EAD0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由于本课程的课内学时较少，因此教师要为学生提供课外阅读书目，要求学生在课</w:t>
      </w:r>
      <w:r>
        <w:rPr>
          <w:rFonts w:hint="eastAsia" w:ascii="Times New Roman" w:hAnsi="Times New Roman" w:eastAsia="宋体" w:cs="Times New Roman"/>
          <w:sz w:val="24"/>
          <w:szCs w:val="24"/>
        </w:rPr>
        <w:t>外阅读有关著作，并完成相关实践性作业。</w:t>
      </w:r>
    </w:p>
    <w:p w14:paraId="3485201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本课程是理论与实践相结合的一门课程。在教学中，教师应密切结合当前基础教育</w:t>
      </w:r>
      <w:r>
        <w:rPr>
          <w:rFonts w:hint="eastAsia" w:ascii="Times New Roman" w:hAnsi="Times New Roman" w:eastAsia="宋体" w:cs="Times New Roman"/>
          <w:sz w:val="24"/>
          <w:szCs w:val="24"/>
        </w:rPr>
        <w:t>课程改革与教学实际，多举案例，避免一味的空洞理论讲授，引导学生结合当前课程与教学改革的现状，思考和分析问题，培养学生独立思考、分析问题和解决问题的能力。</w:t>
      </w:r>
    </w:p>
    <w:p w14:paraId="2A02254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主要教学环节的质量要求如表所示：</w:t>
      </w:r>
    </w:p>
    <w:tbl>
      <w:tblPr>
        <w:tblStyle w:val="30"/>
        <w:tblW w:w="9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991"/>
        <w:gridCol w:w="7513"/>
      </w:tblGrid>
      <w:tr w14:paraId="1A7D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572" w:type="dxa"/>
            <w:gridSpan w:val="2"/>
            <w:tcBorders>
              <w:top w:val="single" w:color="auto" w:sz="8" w:space="0"/>
              <w:left w:val="single" w:color="auto" w:sz="8" w:space="0"/>
              <w:right w:val="single" w:color="auto" w:sz="8" w:space="0"/>
            </w:tcBorders>
            <w:tcMar>
              <w:left w:w="28" w:type="dxa"/>
              <w:right w:w="28" w:type="dxa"/>
            </w:tcMar>
            <w:vAlign w:val="center"/>
          </w:tcPr>
          <w:p w14:paraId="59698672">
            <w:pPr>
              <w:jc w:val="center"/>
              <w:rPr>
                <w:rFonts w:hint="eastAsia" w:ascii="宋体" w:hAnsi="宋体" w:eastAsia="宋体" w:cs="Times New Roman"/>
                <w:b/>
                <w:szCs w:val="21"/>
              </w:rPr>
            </w:pPr>
            <w:r>
              <w:rPr>
                <w:rFonts w:ascii="宋体" w:hAnsi="宋体" w:eastAsia="宋体" w:cs="Times New Roman"/>
                <w:b/>
                <w:bCs/>
                <w:szCs w:val="21"/>
              </w:rPr>
              <w:t>主要教学环节</w:t>
            </w:r>
          </w:p>
        </w:tc>
        <w:tc>
          <w:tcPr>
            <w:tcW w:w="7513" w:type="dxa"/>
            <w:tcBorders>
              <w:top w:val="single" w:color="auto" w:sz="8" w:space="0"/>
              <w:left w:val="single" w:color="auto" w:sz="8" w:space="0"/>
              <w:right w:val="single" w:color="auto" w:sz="8" w:space="0"/>
            </w:tcBorders>
            <w:vAlign w:val="center"/>
          </w:tcPr>
          <w:p w14:paraId="0C39EC99">
            <w:pPr>
              <w:jc w:val="center"/>
              <w:rPr>
                <w:rFonts w:hint="eastAsia"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2CED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581" w:type="dxa"/>
            <w:tcBorders>
              <w:left w:val="single" w:color="auto" w:sz="8" w:space="0"/>
            </w:tcBorders>
            <w:vAlign w:val="center"/>
          </w:tcPr>
          <w:p w14:paraId="224B84E1">
            <w:pPr>
              <w:jc w:val="center"/>
              <w:rPr>
                <w:rFonts w:hint="eastAsia" w:ascii="宋体" w:hAnsi="宋体" w:eastAsia="宋体" w:cs="Times New Roman"/>
                <w:color w:val="FF0000"/>
                <w:szCs w:val="21"/>
              </w:rPr>
            </w:pPr>
            <w:r>
              <w:rPr>
                <w:rFonts w:ascii="宋体" w:hAnsi="宋体" w:eastAsia="宋体" w:cs="Times New Roman"/>
                <w:szCs w:val="21"/>
              </w:rPr>
              <w:t>1</w:t>
            </w:r>
          </w:p>
        </w:tc>
        <w:tc>
          <w:tcPr>
            <w:tcW w:w="991" w:type="dxa"/>
            <w:tcMar>
              <w:left w:w="28" w:type="dxa"/>
              <w:right w:w="28" w:type="dxa"/>
            </w:tcMar>
            <w:vAlign w:val="center"/>
          </w:tcPr>
          <w:p w14:paraId="109EFDEC">
            <w:pPr>
              <w:jc w:val="center"/>
              <w:rPr>
                <w:rFonts w:hint="eastAsia" w:ascii="宋体" w:hAnsi="宋体" w:eastAsia="宋体" w:cs="Times New Roman"/>
                <w:szCs w:val="21"/>
              </w:rPr>
            </w:pPr>
            <w:r>
              <w:rPr>
                <w:rFonts w:ascii="宋体" w:hAnsi="宋体" w:eastAsia="宋体" w:cs="Times New Roman"/>
                <w:szCs w:val="21"/>
              </w:rPr>
              <w:t>备课</w:t>
            </w:r>
          </w:p>
        </w:tc>
        <w:tc>
          <w:tcPr>
            <w:tcW w:w="7513" w:type="dxa"/>
            <w:tcBorders>
              <w:right w:val="single" w:color="auto" w:sz="8" w:space="0"/>
            </w:tcBorders>
            <w:vAlign w:val="center"/>
          </w:tcPr>
          <w:p w14:paraId="32F171B4">
            <w:pPr>
              <w:rPr>
                <w:rFonts w:hint="eastAsia"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3B985239">
            <w:pPr>
              <w:rPr>
                <w:rFonts w:hint="eastAsia"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485F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6" w:hRule="atLeast"/>
          <w:jc w:val="center"/>
        </w:trPr>
        <w:tc>
          <w:tcPr>
            <w:tcW w:w="581" w:type="dxa"/>
            <w:tcBorders>
              <w:left w:val="single" w:color="auto" w:sz="8" w:space="0"/>
            </w:tcBorders>
            <w:vAlign w:val="center"/>
          </w:tcPr>
          <w:p w14:paraId="511FF89F">
            <w:pPr>
              <w:jc w:val="center"/>
              <w:rPr>
                <w:rFonts w:hint="eastAsia" w:ascii="宋体" w:hAnsi="宋体" w:eastAsia="宋体" w:cs="Times New Roman"/>
                <w:szCs w:val="21"/>
              </w:rPr>
            </w:pPr>
            <w:r>
              <w:rPr>
                <w:rFonts w:ascii="宋体" w:hAnsi="宋体" w:eastAsia="宋体" w:cs="Times New Roman"/>
                <w:szCs w:val="21"/>
              </w:rPr>
              <w:t>2</w:t>
            </w:r>
          </w:p>
        </w:tc>
        <w:tc>
          <w:tcPr>
            <w:tcW w:w="991" w:type="dxa"/>
            <w:tcMar>
              <w:left w:w="28" w:type="dxa"/>
              <w:right w:w="28" w:type="dxa"/>
            </w:tcMar>
            <w:vAlign w:val="center"/>
          </w:tcPr>
          <w:p w14:paraId="0FB25ABF">
            <w:pPr>
              <w:jc w:val="center"/>
              <w:rPr>
                <w:rFonts w:hint="eastAsia" w:ascii="宋体" w:hAnsi="宋体" w:eastAsia="宋体" w:cs="Times New Roman"/>
                <w:szCs w:val="21"/>
              </w:rPr>
            </w:pPr>
            <w:r>
              <w:rPr>
                <w:rFonts w:ascii="宋体" w:hAnsi="宋体" w:eastAsia="宋体" w:cs="Times New Roman"/>
                <w:szCs w:val="21"/>
              </w:rPr>
              <w:t>讲授</w:t>
            </w:r>
          </w:p>
        </w:tc>
        <w:tc>
          <w:tcPr>
            <w:tcW w:w="7513" w:type="dxa"/>
            <w:tcBorders>
              <w:right w:val="single" w:color="auto" w:sz="8" w:space="0"/>
            </w:tcBorders>
            <w:vAlign w:val="center"/>
          </w:tcPr>
          <w:p w14:paraId="4FDD0CA0">
            <w:pPr>
              <w:rPr>
                <w:rFonts w:hint="eastAsia"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3CBD4AA7">
            <w:pP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2D950A93">
            <w:pP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教学内容充实，不断充实最新研究成果；</w:t>
            </w:r>
          </w:p>
          <w:p w14:paraId="5953A028">
            <w:pPr>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严格执行计划，教学进度适宜；</w:t>
            </w:r>
          </w:p>
          <w:p w14:paraId="5D82EB69">
            <w:pPr>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课堂教学信息充分，注重理论联系实际；</w:t>
            </w:r>
          </w:p>
          <w:p w14:paraId="2ACE3360">
            <w:pPr>
              <w:rPr>
                <w:rFonts w:hint="eastAsia"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注重启发学生思维，培养学生的教学能力；</w:t>
            </w:r>
          </w:p>
          <w:p w14:paraId="137A33DD">
            <w:pPr>
              <w:rPr>
                <w:rFonts w:hint="eastAsia"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面向全体基础上因材施教，灵活运用多种教学方法；</w:t>
            </w:r>
          </w:p>
          <w:p w14:paraId="6412010E">
            <w:pPr>
              <w:rPr>
                <w:rFonts w:hint="eastAsia"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4"/>
              </w:rPr>
              <w:t>教学语言规范，为学生教育教学做好表率；</w:t>
            </w:r>
          </w:p>
          <w:p w14:paraId="00D6C390">
            <w:pPr>
              <w:rPr>
                <w:rFonts w:hint="eastAsia"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4"/>
              </w:rPr>
              <w:t>教学条理清楚，教学思路逻辑严密；</w:t>
            </w:r>
          </w:p>
          <w:p w14:paraId="42C30464">
            <w:pPr>
              <w:rPr>
                <w:rFonts w:hint="eastAsia"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4"/>
              </w:rPr>
              <w:t>充分运用现代化教学手段，教学技术熟练；</w:t>
            </w:r>
          </w:p>
          <w:p w14:paraId="10699445">
            <w:pPr>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4"/>
              </w:rPr>
              <w:t>课堂教学要重点突出，难点突破；</w:t>
            </w:r>
          </w:p>
          <w:p w14:paraId="53A35E3E">
            <w:pPr>
              <w:rPr>
                <w:rFonts w:hint="eastAsia"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4"/>
              </w:rPr>
              <w:t>注重师生互动，形成良好的课堂氛围。</w:t>
            </w:r>
          </w:p>
        </w:tc>
      </w:tr>
      <w:tr w14:paraId="6FD9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8" w:hRule="atLeast"/>
          <w:jc w:val="center"/>
        </w:trPr>
        <w:tc>
          <w:tcPr>
            <w:tcW w:w="581" w:type="dxa"/>
            <w:tcBorders>
              <w:left w:val="single" w:color="auto" w:sz="8" w:space="0"/>
            </w:tcBorders>
            <w:vAlign w:val="center"/>
          </w:tcPr>
          <w:p w14:paraId="4B9E3591">
            <w:pPr>
              <w:jc w:val="center"/>
              <w:rPr>
                <w:rFonts w:hint="eastAsia" w:ascii="宋体" w:hAnsi="宋体" w:eastAsia="宋体" w:cs="Times New Roman"/>
                <w:szCs w:val="21"/>
              </w:rPr>
            </w:pPr>
            <w:r>
              <w:rPr>
                <w:rFonts w:ascii="宋体" w:hAnsi="宋体" w:eastAsia="宋体" w:cs="Times New Roman"/>
                <w:szCs w:val="21"/>
              </w:rPr>
              <w:t>3</w:t>
            </w:r>
          </w:p>
        </w:tc>
        <w:tc>
          <w:tcPr>
            <w:tcW w:w="991" w:type="dxa"/>
            <w:tcMar>
              <w:left w:w="28" w:type="dxa"/>
              <w:right w:w="28" w:type="dxa"/>
            </w:tcMar>
            <w:vAlign w:val="center"/>
          </w:tcPr>
          <w:p w14:paraId="20595207">
            <w:pPr>
              <w:jc w:val="center"/>
              <w:rPr>
                <w:rFonts w:hint="eastAsia" w:ascii="宋体" w:hAnsi="宋体" w:eastAsia="宋体" w:cs="Times New Roman"/>
                <w:szCs w:val="21"/>
              </w:rPr>
            </w:pPr>
            <w:r>
              <w:rPr>
                <w:rFonts w:ascii="宋体" w:hAnsi="宋体" w:eastAsia="宋体" w:cs="Times New Roman"/>
                <w:szCs w:val="21"/>
              </w:rPr>
              <w:t>作业布置与批改</w:t>
            </w:r>
          </w:p>
        </w:tc>
        <w:tc>
          <w:tcPr>
            <w:tcW w:w="7513" w:type="dxa"/>
            <w:tcBorders>
              <w:right w:val="single" w:color="auto" w:sz="8" w:space="0"/>
            </w:tcBorders>
            <w:vAlign w:val="center"/>
          </w:tcPr>
          <w:p w14:paraId="0A48FC67">
            <w:pPr>
              <w:rPr>
                <w:rFonts w:hint="eastAsia" w:ascii="宋体" w:hAnsi="宋体" w:eastAsia="宋体" w:cs="Times New Roman"/>
                <w:szCs w:val="21"/>
              </w:rPr>
            </w:pPr>
            <w:r>
              <w:rPr>
                <w:rFonts w:ascii="宋体" w:hAnsi="宋体" w:eastAsia="宋体" w:cs="Times New Roman"/>
                <w:szCs w:val="21"/>
              </w:rPr>
              <w:t>学生必须完成</w:t>
            </w:r>
            <w:r>
              <w:rPr>
                <w:rFonts w:hint="eastAsia" w:ascii="宋体" w:hAnsi="宋体" w:eastAsia="宋体" w:cs="Times New Roman"/>
                <w:szCs w:val="21"/>
              </w:rPr>
              <w:t>规定</w:t>
            </w:r>
            <w:r>
              <w:rPr>
                <w:rFonts w:ascii="宋体" w:hAnsi="宋体" w:eastAsia="宋体" w:cs="Times New Roman"/>
                <w:szCs w:val="21"/>
              </w:rPr>
              <w:t>数量的作业</w:t>
            </w:r>
            <w:r>
              <w:rPr>
                <w:rFonts w:hint="eastAsia" w:ascii="宋体" w:hAnsi="宋体" w:eastAsia="宋体" w:cs="Times New Roman"/>
                <w:szCs w:val="21"/>
              </w:rPr>
              <w:t>，</w:t>
            </w:r>
            <w:r>
              <w:rPr>
                <w:rFonts w:ascii="宋体" w:hAnsi="宋体" w:eastAsia="宋体" w:cs="Times New Roman"/>
                <w:szCs w:val="21"/>
              </w:rPr>
              <w:t>作业必须达到以下基本要求：</w:t>
            </w:r>
          </w:p>
          <w:p w14:paraId="4080DB47">
            <w:pP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按时按量完成作业，不缺交，不抄袭</w:t>
            </w:r>
            <w:r>
              <w:rPr>
                <w:rFonts w:hint="eastAsia" w:ascii="宋体" w:hAnsi="宋体" w:eastAsia="宋体" w:cs="Times New Roman"/>
                <w:szCs w:val="21"/>
              </w:rPr>
              <w:t>。</w:t>
            </w:r>
          </w:p>
          <w:p w14:paraId="577031EB">
            <w:pPr>
              <w:rPr>
                <w:rFonts w:hint="eastAsia" w:ascii="宋体" w:hAnsi="宋体" w:eastAsia="宋体" w:cs="Times New Roman"/>
                <w:szCs w:val="21"/>
              </w:rPr>
            </w:pPr>
            <w:r>
              <w:rPr>
                <w:rFonts w:hint="eastAsia" w:ascii="宋体" w:hAnsi="宋体" w:eastAsia="宋体" w:cs="Times New Roman"/>
                <w:szCs w:val="21"/>
              </w:rPr>
              <w:t>（2）书写</w:t>
            </w:r>
            <w:r>
              <w:rPr>
                <w:rFonts w:ascii="宋体" w:hAnsi="宋体" w:eastAsia="宋体" w:cs="Times New Roman"/>
                <w:szCs w:val="21"/>
              </w:rPr>
              <w:t>规范</w:t>
            </w:r>
            <w:r>
              <w:rPr>
                <w:rFonts w:hint="eastAsia" w:ascii="宋体" w:hAnsi="宋体" w:eastAsia="宋体" w:cs="Times New Roman"/>
                <w:szCs w:val="21"/>
              </w:rPr>
              <w:t>、</w:t>
            </w:r>
            <w:r>
              <w:rPr>
                <w:rFonts w:ascii="宋体" w:hAnsi="宋体" w:eastAsia="宋体" w:cs="Times New Roman"/>
                <w:szCs w:val="21"/>
              </w:rPr>
              <w:t>教学设计方案格式规范、清晰</w:t>
            </w:r>
            <w:r>
              <w:rPr>
                <w:rFonts w:hint="eastAsia" w:ascii="宋体" w:hAnsi="宋体" w:eastAsia="宋体" w:cs="Times New Roman"/>
                <w:szCs w:val="21"/>
              </w:rPr>
              <w:t>。</w:t>
            </w:r>
          </w:p>
          <w:p w14:paraId="3E3A49D3">
            <w:pP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教学设计理念先进，教学目标适宜，教学方法灵活，教学组织形式多样、教学过程紧凑，教学准备充分。</w:t>
            </w:r>
          </w:p>
          <w:p w14:paraId="68AB39C8">
            <w:pPr>
              <w:rPr>
                <w:rFonts w:hint="eastAsia" w:ascii="宋体" w:hAnsi="宋体" w:eastAsia="宋体" w:cs="Times New Roman"/>
                <w:szCs w:val="21"/>
              </w:rPr>
            </w:pP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讲评作业要求如下：</w:t>
            </w:r>
          </w:p>
          <w:p w14:paraId="71FF6586">
            <w:pP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学生的作业要</w:t>
            </w:r>
            <w:r>
              <w:rPr>
                <w:rFonts w:hint="eastAsia" w:ascii="宋体" w:hAnsi="宋体" w:eastAsia="宋体" w:cs="Times New Roman"/>
                <w:szCs w:val="21"/>
              </w:rPr>
              <w:t>按时</w:t>
            </w:r>
            <w:r>
              <w:rPr>
                <w:rFonts w:ascii="宋体" w:hAnsi="宋体" w:eastAsia="宋体" w:cs="Times New Roman"/>
                <w:szCs w:val="21"/>
              </w:rPr>
              <w:t>全</w:t>
            </w:r>
            <w:r>
              <w:rPr>
                <w:rFonts w:hint="eastAsia" w:ascii="宋体" w:hAnsi="宋体" w:eastAsia="宋体" w:cs="Times New Roman"/>
                <w:szCs w:val="21"/>
              </w:rPr>
              <w:t>部</w:t>
            </w:r>
            <w:r>
              <w:rPr>
                <w:rFonts w:ascii="宋体" w:hAnsi="宋体" w:eastAsia="宋体" w:cs="Times New Roman"/>
                <w:szCs w:val="21"/>
              </w:rPr>
              <w:t>批改，并</w:t>
            </w:r>
            <w:r>
              <w:rPr>
                <w:rFonts w:hint="eastAsia" w:ascii="宋体" w:hAnsi="宋体" w:eastAsia="宋体" w:cs="Times New Roman"/>
                <w:szCs w:val="21"/>
              </w:rPr>
              <w:t>及时进行</w:t>
            </w:r>
            <w:r>
              <w:rPr>
                <w:rFonts w:ascii="宋体" w:hAnsi="宋体" w:eastAsia="宋体" w:cs="Times New Roman"/>
                <w:szCs w:val="21"/>
              </w:rPr>
              <w:t>讲评</w:t>
            </w:r>
            <w:r>
              <w:rPr>
                <w:rFonts w:hint="eastAsia" w:ascii="宋体" w:hAnsi="宋体" w:eastAsia="宋体" w:cs="Times New Roman"/>
                <w:szCs w:val="21"/>
              </w:rPr>
              <w:t>。</w:t>
            </w:r>
          </w:p>
          <w:p w14:paraId="3194CF61">
            <w:pP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讲评作业要认真、细致，按百分制评定成绩并写明日期</w:t>
            </w:r>
            <w:r>
              <w:rPr>
                <w:rFonts w:hint="eastAsia" w:ascii="宋体" w:hAnsi="宋体" w:eastAsia="宋体" w:cs="Times New Roman"/>
                <w:szCs w:val="21"/>
              </w:rPr>
              <w:t>。</w:t>
            </w:r>
          </w:p>
          <w:p w14:paraId="62C04642">
            <w:pP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学生作业平均成绩</w:t>
            </w:r>
            <w:r>
              <w:rPr>
                <w:rFonts w:hint="eastAsia" w:ascii="宋体" w:hAnsi="宋体" w:eastAsia="宋体" w:cs="Times New Roman"/>
                <w:szCs w:val="21"/>
              </w:rPr>
              <w:t>应</w:t>
            </w:r>
            <w:r>
              <w:rPr>
                <w:rFonts w:ascii="宋体" w:hAnsi="宋体" w:eastAsia="宋体" w:cs="Times New Roman"/>
                <w:szCs w:val="21"/>
              </w:rPr>
              <w:t>作为本课程总评成绩中平时成绩的重要组成部分。</w:t>
            </w:r>
          </w:p>
        </w:tc>
      </w:tr>
      <w:tr w14:paraId="3C2F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581" w:type="dxa"/>
            <w:tcBorders>
              <w:left w:val="single" w:color="auto" w:sz="8" w:space="0"/>
            </w:tcBorders>
            <w:vAlign w:val="center"/>
          </w:tcPr>
          <w:p w14:paraId="4D43F49A">
            <w:pPr>
              <w:jc w:val="center"/>
              <w:rPr>
                <w:rFonts w:hint="eastAsia" w:ascii="宋体" w:hAnsi="宋体" w:eastAsia="宋体" w:cs="Times New Roman"/>
                <w:szCs w:val="21"/>
              </w:rPr>
            </w:pPr>
            <w:r>
              <w:rPr>
                <w:rFonts w:ascii="宋体" w:hAnsi="宋体" w:eastAsia="宋体" w:cs="Times New Roman"/>
                <w:szCs w:val="21"/>
              </w:rPr>
              <w:t>4</w:t>
            </w:r>
          </w:p>
        </w:tc>
        <w:tc>
          <w:tcPr>
            <w:tcW w:w="991" w:type="dxa"/>
            <w:tcMar>
              <w:left w:w="28" w:type="dxa"/>
              <w:right w:w="28" w:type="dxa"/>
            </w:tcMar>
            <w:vAlign w:val="center"/>
          </w:tcPr>
          <w:p w14:paraId="6EA19E75">
            <w:pPr>
              <w:jc w:val="center"/>
              <w:rPr>
                <w:rFonts w:hint="eastAsia" w:ascii="宋体" w:hAnsi="宋体" w:eastAsia="宋体" w:cs="Times New Roman"/>
                <w:szCs w:val="21"/>
              </w:rPr>
            </w:pPr>
            <w:r>
              <w:rPr>
                <w:rFonts w:ascii="宋体" w:hAnsi="宋体" w:eastAsia="宋体" w:cs="Times New Roman"/>
                <w:szCs w:val="21"/>
              </w:rPr>
              <w:t>课外答疑</w:t>
            </w:r>
          </w:p>
        </w:tc>
        <w:tc>
          <w:tcPr>
            <w:tcW w:w="7513" w:type="dxa"/>
            <w:tcBorders>
              <w:right w:val="single" w:color="auto" w:sz="8" w:space="0"/>
            </w:tcBorders>
            <w:vAlign w:val="center"/>
          </w:tcPr>
          <w:p w14:paraId="1E8DA14F">
            <w:pPr>
              <w:rPr>
                <w:rFonts w:hint="eastAsia"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660D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581" w:type="dxa"/>
            <w:tcBorders>
              <w:left w:val="single" w:color="auto" w:sz="8" w:space="0"/>
            </w:tcBorders>
            <w:vAlign w:val="center"/>
          </w:tcPr>
          <w:p w14:paraId="6EAB3426">
            <w:pPr>
              <w:jc w:val="center"/>
              <w:rPr>
                <w:rFonts w:hint="eastAsia" w:ascii="宋体" w:hAnsi="宋体" w:eastAsia="宋体" w:cs="Times New Roman"/>
                <w:szCs w:val="21"/>
              </w:rPr>
            </w:pPr>
            <w:r>
              <w:rPr>
                <w:rFonts w:ascii="宋体" w:hAnsi="宋体" w:eastAsia="宋体" w:cs="Times New Roman"/>
                <w:szCs w:val="21"/>
              </w:rPr>
              <w:t>5</w:t>
            </w:r>
          </w:p>
        </w:tc>
        <w:tc>
          <w:tcPr>
            <w:tcW w:w="991" w:type="dxa"/>
            <w:tcMar>
              <w:left w:w="28" w:type="dxa"/>
              <w:right w:w="28" w:type="dxa"/>
            </w:tcMar>
            <w:vAlign w:val="center"/>
          </w:tcPr>
          <w:p w14:paraId="44531A7E">
            <w:pPr>
              <w:jc w:val="center"/>
              <w:rPr>
                <w:rFonts w:hint="eastAsia" w:ascii="宋体" w:hAnsi="宋体" w:eastAsia="宋体" w:cs="Times New Roman"/>
                <w:szCs w:val="21"/>
              </w:rPr>
            </w:pPr>
            <w:r>
              <w:rPr>
                <w:rFonts w:ascii="宋体" w:hAnsi="宋体" w:eastAsia="宋体" w:cs="Times New Roman"/>
                <w:szCs w:val="21"/>
              </w:rPr>
              <w:t>成绩考核</w:t>
            </w:r>
          </w:p>
        </w:tc>
        <w:tc>
          <w:tcPr>
            <w:tcW w:w="7513" w:type="dxa"/>
            <w:tcBorders>
              <w:right w:val="single" w:color="auto" w:sz="8" w:space="0"/>
            </w:tcBorders>
            <w:vAlign w:val="center"/>
          </w:tcPr>
          <w:p w14:paraId="7D3A48D4">
            <w:pPr>
              <w:rPr>
                <w:rFonts w:hint="eastAsia"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为开卷笔试</w:t>
            </w:r>
            <w:r>
              <w:rPr>
                <w:rFonts w:ascii="宋体" w:hAnsi="宋体" w:eastAsia="宋体" w:cs="Times New Roman"/>
                <w:szCs w:val="21"/>
              </w:rPr>
              <w:t>。考试采取教考分离，监考</w:t>
            </w:r>
            <w:r>
              <w:rPr>
                <w:rFonts w:hint="eastAsia" w:ascii="宋体" w:hAnsi="宋体" w:eastAsia="宋体" w:cs="Times New Roman"/>
                <w:szCs w:val="21"/>
              </w:rPr>
              <w:t>由学院</w:t>
            </w:r>
            <w:r>
              <w:rPr>
                <w:rFonts w:ascii="宋体" w:hAnsi="宋体" w:eastAsia="宋体" w:cs="Times New Roman"/>
                <w:szCs w:val="21"/>
              </w:rPr>
              <w:t>统一安排。有下列情况之一者，总评成绩为不及格：</w:t>
            </w:r>
          </w:p>
          <w:p w14:paraId="0E9D04BD">
            <w:pP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46FC4320">
            <w:pP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444F4711">
      <w:pPr>
        <w:spacing w:line="360" w:lineRule="auto"/>
        <w:rPr>
          <w:rFonts w:ascii="Times New Roman" w:hAnsi="Times New Roman" w:eastAsia="宋体" w:cs="Times New Roman"/>
          <w:sz w:val="24"/>
          <w:szCs w:val="24"/>
        </w:rPr>
      </w:pPr>
    </w:p>
    <w:p w14:paraId="5CDB4B83">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六、课程考核</w:t>
      </w:r>
    </w:p>
    <w:p w14:paraId="38D09866">
      <w:pPr>
        <w:spacing w:line="360" w:lineRule="auto"/>
        <w:ind w:firstLine="480" w:firstLineChars="200"/>
        <w:rPr>
          <w:rFonts w:ascii="Times New Roman" w:hAnsi="Times New Roman" w:eastAsia="宋体" w:cs="Times New Roman"/>
          <w:b/>
          <w:bCs/>
          <w:sz w:val="28"/>
          <w:szCs w:val="28"/>
        </w:rPr>
      </w:pPr>
      <w:r>
        <w:rPr>
          <w:rFonts w:hint="eastAsia" w:ascii="宋体" w:hAnsi="宋体" w:eastAsia="宋体" w:cs="Times New Roman"/>
          <w:sz w:val="24"/>
        </w:rPr>
        <w:t>（一）</w:t>
      </w:r>
      <w:r>
        <w:rPr>
          <w:rFonts w:ascii="宋体" w:hAnsi="宋体" w:eastAsia="宋体" w:cs="Times New Roman"/>
          <w:sz w:val="24"/>
        </w:rPr>
        <w:t>课程考核包括期末考试、平时及作业考核和</w:t>
      </w:r>
      <w:r>
        <w:rPr>
          <w:rFonts w:hint="eastAsia" w:ascii="宋体" w:hAnsi="宋体" w:eastAsia="宋体" w:cs="Times New Roman"/>
          <w:sz w:val="24"/>
        </w:rPr>
        <w:t>实践</w:t>
      </w:r>
      <w:r>
        <w:rPr>
          <w:rFonts w:ascii="宋体" w:hAnsi="宋体" w:eastAsia="宋体" w:cs="Times New Roman"/>
          <w:sz w:val="24"/>
        </w:rPr>
        <w:t>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开卷笔试方式</w:t>
      </w:r>
      <w:r>
        <w:rPr>
          <w:rFonts w:ascii="宋体" w:hAnsi="宋体" w:eastAsia="宋体" w:cs="Times New Roman"/>
          <w:sz w:val="24"/>
        </w:rPr>
        <w:t>。</w:t>
      </w:r>
    </w:p>
    <w:p w14:paraId="574DB762">
      <w:pPr>
        <w:spacing w:line="360" w:lineRule="auto"/>
        <w:ind w:firstLine="480" w:firstLineChars="200"/>
        <w:rPr>
          <w:rFonts w:ascii="Times New Roman" w:hAnsi="Times New Roman" w:eastAsia="宋体" w:cs="Times New Roman"/>
          <w:b/>
          <w:bCs/>
          <w:sz w:val="28"/>
          <w:szCs w:val="28"/>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20</w:t>
      </w:r>
      <w:r>
        <w:rPr>
          <w:rFonts w:ascii="宋体" w:hAnsi="宋体" w:eastAsia="宋体" w:cs="Times New Roman"/>
          <w:sz w:val="24"/>
        </w:rPr>
        <w:t>% +</w:t>
      </w:r>
      <w:r>
        <w:rPr>
          <w:rFonts w:hint="eastAsia" w:ascii="宋体" w:hAnsi="宋体" w:eastAsia="宋体" w:cs="Times New Roman"/>
          <w:sz w:val="24"/>
        </w:rPr>
        <w:t>实践</w:t>
      </w:r>
      <w:r>
        <w:rPr>
          <w:rFonts w:ascii="宋体" w:hAnsi="宋体" w:eastAsia="宋体" w:cs="Times New Roman"/>
          <w:sz w:val="24"/>
        </w:rPr>
        <w:t>成绩×</w:t>
      </w:r>
      <w:r>
        <w:rPr>
          <w:rFonts w:hint="eastAsia" w:ascii="宋体" w:hAnsi="宋体" w:eastAsia="宋体" w:cs="Times New Roman"/>
          <w:sz w:val="24"/>
        </w:rPr>
        <w:t>20</w:t>
      </w:r>
      <w:r>
        <w:rPr>
          <w:rFonts w:ascii="宋体" w:hAnsi="宋体" w:eastAsia="宋体" w:cs="Times New Roman"/>
          <w:sz w:val="24"/>
        </w:rPr>
        <w:t>%+期末考试成绩×</w:t>
      </w:r>
      <w:r>
        <w:rPr>
          <w:rFonts w:hint="eastAsia" w:ascii="宋体" w:hAnsi="宋体" w:eastAsia="宋体" w:cs="Times New Roman"/>
          <w:sz w:val="24"/>
        </w:rPr>
        <w:t>60</w:t>
      </w:r>
      <w:r>
        <w:rPr>
          <w:rFonts w:ascii="宋体" w:hAnsi="宋体" w:eastAsia="宋体" w:cs="Times New Roman"/>
          <w:sz w:val="24"/>
        </w:rPr>
        <w:t>%。</w:t>
      </w:r>
    </w:p>
    <w:p w14:paraId="0ED67A1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p w14:paraId="2004B8EB">
      <w:pPr>
        <w:spacing w:line="360" w:lineRule="auto"/>
        <w:rPr>
          <w:rFonts w:ascii="Times New Roman" w:hAnsi="Times New Roman" w:eastAsia="宋体" w:cs="Times New Roman"/>
          <w:sz w:val="24"/>
          <w:szCs w:val="24"/>
        </w:rPr>
      </w:pPr>
    </w:p>
    <w:p w14:paraId="16F9F6F2">
      <w:pPr>
        <w:spacing w:line="360" w:lineRule="auto"/>
        <w:rPr>
          <w:rFonts w:ascii="Times New Roman" w:hAnsi="Times New Roman" w:eastAsia="宋体" w:cs="Times New Roman"/>
          <w:sz w:val="24"/>
          <w:szCs w:val="24"/>
        </w:rPr>
      </w:pPr>
    </w:p>
    <w:p w14:paraId="4B436503">
      <w:pPr>
        <w:spacing w:line="360" w:lineRule="auto"/>
        <w:rPr>
          <w:rFonts w:hint="eastAsia" w:ascii="Times New Roman" w:hAnsi="Times New Roman" w:eastAsia="宋体" w:cs="Times New Roman"/>
          <w:sz w:val="24"/>
          <w:szCs w:val="24"/>
        </w:rPr>
      </w:pPr>
    </w:p>
    <w:tbl>
      <w:tblPr>
        <w:tblStyle w:val="30"/>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124"/>
        <w:gridCol w:w="703"/>
        <w:gridCol w:w="2671"/>
        <w:gridCol w:w="1265"/>
        <w:gridCol w:w="1265"/>
        <w:gridCol w:w="1265"/>
      </w:tblGrid>
      <w:tr w14:paraId="1286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9" w:type="dxa"/>
            <w:shd w:val="clear" w:color="auto" w:fill="FFFFFF"/>
            <w:tcMar>
              <w:left w:w="57" w:type="dxa"/>
              <w:right w:w="57" w:type="dxa"/>
            </w:tcMar>
            <w:vAlign w:val="center"/>
          </w:tcPr>
          <w:p w14:paraId="4F0E4498">
            <w:pPr>
              <w:spacing w:line="276" w:lineRule="auto"/>
              <w:jc w:val="center"/>
              <w:rPr>
                <w:rFonts w:hint="eastAsia" w:ascii="宋体" w:hAnsi="宋体" w:eastAsia="宋体" w:cs="Times New Roman"/>
                <w:b/>
                <w:szCs w:val="24"/>
              </w:rPr>
            </w:pPr>
            <w:r>
              <w:rPr>
                <w:rFonts w:ascii="宋体" w:hAnsi="宋体" w:eastAsia="宋体" w:cs="Times New Roman"/>
                <w:b/>
                <w:szCs w:val="24"/>
              </w:rPr>
              <w:t>成绩组成</w:t>
            </w:r>
          </w:p>
        </w:tc>
        <w:tc>
          <w:tcPr>
            <w:tcW w:w="1124" w:type="dxa"/>
            <w:shd w:val="clear" w:color="auto" w:fill="FFFFFF"/>
            <w:vAlign w:val="center"/>
          </w:tcPr>
          <w:p w14:paraId="3220449C">
            <w:pPr>
              <w:spacing w:line="276" w:lineRule="auto"/>
              <w:jc w:val="center"/>
              <w:rPr>
                <w:rFonts w:hint="eastAsia" w:ascii="宋体" w:hAnsi="宋体" w:eastAsia="宋体" w:cs="Times New Roman"/>
                <w:b/>
                <w:szCs w:val="24"/>
              </w:rPr>
            </w:pPr>
            <w:r>
              <w:rPr>
                <w:rFonts w:ascii="宋体" w:hAnsi="宋体" w:eastAsia="宋体" w:cs="Times New Roman"/>
                <w:b/>
                <w:szCs w:val="24"/>
              </w:rPr>
              <w:t>考核/</w:t>
            </w:r>
          </w:p>
          <w:p w14:paraId="5C2EBE53">
            <w:pPr>
              <w:spacing w:line="276" w:lineRule="auto"/>
              <w:jc w:val="center"/>
              <w:rPr>
                <w:rFonts w:hint="eastAsia" w:ascii="宋体" w:hAnsi="宋体" w:eastAsia="宋体" w:cs="Times New Roman"/>
                <w:b/>
                <w:szCs w:val="24"/>
              </w:rPr>
            </w:pPr>
            <w:r>
              <w:rPr>
                <w:rFonts w:ascii="宋体" w:hAnsi="宋体" w:eastAsia="宋体" w:cs="Times New Roman"/>
                <w:b/>
                <w:szCs w:val="24"/>
              </w:rPr>
              <w:t>评价环节</w:t>
            </w:r>
          </w:p>
        </w:tc>
        <w:tc>
          <w:tcPr>
            <w:tcW w:w="703" w:type="dxa"/>
            <w:shd w:val="clear" w:color="auto" w:fill="FFFFFF"/>
            <w:vAlign w:val="center"/>
          </w:tcPr>
          <w:p w14:paraId="38893711">
            <w:pPr>
              <w:spacing w:line="276" w:lineRule="auto"/>
              <w:jc w:val="center"/>
              <w:rPr>
                <w:rFonts w:hint="eastAsia" w:ascii="宋体" w:hAnsi="宋体" w:eastAsia="宋体" w:cs="Times New Roman"/>
                <w:b/>
                <w:szCs w:val="24"/>
              </w:rPr>
            </w:pPr>
            <w:r>
              <w:rPr>
                <w:rFonts w:hint="eastAsia" w:ascii="宋体" w:hAnsi="宋体" w:eastAsia="宋体" w:cs="Times New Roman"/>
                <w:b/>
                <w:szCs w:val="24"/>
              </w:rPr>
              <w:t>权重</w:t>
            </w:r>
          </w:p>
        </w:tc>
        <w:tc>
          <w:tcPr>
            <w:tcW w:w="2671" w:type="dxa"/>
            <w:shd w:val="clear" w:color="auto" w:fill="FFFFFF"/>
            <w:vAlign w:val="center"/>
          </w:tcPr>
          <w:p w14:paraId="55C35F70">
            <w:pPr>
              <w:spacing w:line="276" w:lineRule="auto"/>
              <w:jc w:val="center"/>
              <w:rPr>
                <w:rFonts w:hint="eastAsia" w:ascii="宋体" w:hAnsi="宋体" w:eastAsia="宋体" w:cs="Times New Roman"/>
                <w:b/>
                <w:szCs w:val="24"/>
              </w:rPr>
            </w:pPr>
            <w:r>
              <w:rPr>
                <w:rFonts w:ascii="宋体" w:hAnsi="宋体" w:eastAsia="宋体" w:cs="Times New Roman"/>
                <w:b/>
                <w:szCs w:val="24"/>
              </w:rPr>
              <w:t>考核/评价细则</w:t>
            </w:r>
          </w:p>
        </w:tc>
        <w:tc>
          <w:tcPr>
            <w:tcW w:w="1265" w:type="dxa"/>
            <w:shd w:val="clear" w:color="auto" w:fill="FFFFFF"/>
            <w:vAlign w:val="center"/>
          </w:tcPr>
          <w:p w14:paraId="05A23003">
            <w:pPr>
              <w:spacing w:line="276" w:lineRule="auto"/>
              <w:ind w:firstLine="316" w:firstLineChars="150"/>
              <w:rPr>
                <w:rFonts w:hint="eastAsia" w:ascii="宋体" w:hAnsi="宋体" w:eastAsia="宋体" w:cs="Times New Roman"/>
                <w:b/>
                <w:szCs w:val="24"/>
              </w:rPr>
            </w:pPr>
            <w:r>
              <w:rPr>
                <w:rFonts w:hint="eastAsia" w:ascii="宋体" w:hAnsi="宋体" w:eastAsia="宋体" w:cs="Times New Roman"/>
                <w:b/>
                <w:szCs w:val="24"/>
              </w:rPr>
              <w:t>课程</w:t>
            </w:r>
          </w:p>
          <w:p w14:paraId="5A849165">
            <w:pPr>
              <w:spacing w:line="276" w:lineRule="auto"/>
              <w:jc w:val="center"/>
              <w:rPr>
                <w:rFonts w:hint="eastAsia" w:ascii="宋体" w:hAnsi="宋体" w:eastAsia="宋体" w:cs="Times New Roman"/>
                <w:b/>
                <w:szCs w:val="24"/>
              </w:rPr>
            </w:pPr>
            <w:r>
              <w:rPr>
                <w:rFonts w:hint="eastAsia" w:ascii="宋体" w:hAnsi="宋体" w:eastAsia="宋体" w:cs="Times New Roman"/>
                <w:b/>
                <w:szCs w:val="24"/>
              </w:rPr>
              <w:t>目标</w:t>
            </w:r>
          </w:p>
        </w:tc>
        <w:tc>
          <w:tcPr>
            <w:tcW w:w="1265" w:type="dxa"/>
            <w:shd w:val="clear" w:color="auto" w:fill="FFFFFF"/>
            <w:vAlign w:val="center"/>
          </w:tcPr>
          <w:p w14:paraId="2508244E">
            <w:pPr>
              <w:spacing w:line="276" w:lineRule="auto"/>
              <w:ind w:left="-107" w:leftChars="-51"/>
              <w:jc w:val="center"/>
              <w:rPr>
                <w:rFonts w:hint="eastAsia" w:ascii="宋体" w:hAnsi="宋体" w:eastAsia="宋体" w:cs="Times New Roman"/>
                <w:b/>
                <w:szCs w:val="24"/>
              </w:rPr>
            </w:pPr>
            <w:r>
              <w:rPr>
                <w:rFonts w:hint="eastAsia" w:ascii="宋体" w:hAnsi="宋体" w:eastAsia="宋体" w:cs="Times New Roman"/>
                <w:b/>
                <w:szCs w:val="24"/>
              </w:rPr>
              <w:t>考核</w:t>
            </w:r>
          </w:p>
          <w:p w14:paraId="43DC4CBA">
            <w:pPr>
              <w:spacing w:line="276" w:lineRule="auto"/>
              <w:ind w:left="-107" w:leftChars="-51"/>
              <w:jc w:val="center"/>
              <w:rPr>
                <w:rFonts w:hint="eastAsia" w:ascii="宋体" w:hAnsi="宋体" w:eastAsia="宋体" w:cs="Times New Roman"/>
                <w:b/>
                <w:szCs w:val="24"/>
              </w:rPr>
            </w:pPr>
            <w:r>
              <w:rPr>
                <w:rFonts w:ascii="宋体" w:hAnsi="宋体" w:eastAsia="宋体" w:cs="Times New Roman"/>
                <w:b/>
                <w:szCs w:val="24"/>
              </w:rPr>
              <w:t>内容</w:t>
            </w:r>
          </w:p>
        </w:tc>
        <w:tc>
          <w:tcPr>
            <w:tcW w:w="1265" w:type="dxa"/>
            <w:shd w:val="clear" w:color="auto" w:fill="FFFFFF"/>
            <w:vAlign w:val="center"/>
          </w:tcPr>
          <w:p w14:paraId="66745E2C">
            <w:pPr>
              <w:spacing w:line="276" w:lineRule="auto"/>
              <w:ind w:left="-107" w:leftChars="-51"/>
              <w:jc w:val="center"/>
              <w:rPr>
                <w:rFonts w:hint="eastAsia" w:ascii="宋体" w:hAnsi="宋体" w:eastAsia="宋体" w:cs="Times New Roman"/>
                <w:b/>
                <w:szCs w:val="24"/>
              </w:rPr>
            </w:pPr>
            <w:r>
              <w:rPr>
                <w:rFonts w:ascii="宋体" w:hAnsi="宋体" w:eastAsia="宋体" w:cs="Times New Roman"/>
                <w:b/>
                <w:szCs w:val="24"/>
              </w:rPr>
              <w:t>对应的毕业要求指标点</w:t>
            </w:r>
          </w:p>
        </w:tc>
      </w:tr>
      <w:tr w14:paraId="12C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619" w:type="dxa"/>
            <w:tcMar>
              <w:left w:w="57" w:type="dxa"/>
              <w:right w:w="57" w:type="dxa"/>
            </w:tcMar>
            <w:vAlign w:val="center"/>
          </w:tcPr>
          <w:p w14:paraId="6DB615A4">
            <w:pPr>
              <w:spacing w:line="276" w:lineRule="auto"/>
              <w:jc w:val="center"/>
              <w:rPr>
                <w:rFonts w:hint="eastAsia" w:ascii="宋体" w:hAnsi="宋体" w:eastAsia="宋体" w:cs="Times New Roman"/>
                <w:szCs w:val="24"/>
              </w:rPr>
            </w:pPr>
            <w:r>
              <w:rPr>
                <w:rFonts w:ascii="宋体" w:hAnsi="宋体" w:eastAsia="宋体" w:cs="Times New Roman"/>
                <w:szCs w:val="24"/>
              </w:rPr>
              <w:t>平时成绩</w:t>
            </w:r>
          </w:p>
        </w:tc>
        <w:tc>
          <w:tcPr>
            <w:tcW w:w="1124" w:type="dxa"/>
            <w:vAlign w:val="center"/>
          </w:tcPr>
          <w:p w14:paraId="0E172EB1">
            <w:pPr>
              <w:spacing w:line="276" w:lineRule="auto"/>
              <w:jc w:val="center"/>
              <w:rPr>
                <w:rFonts w:hint="eastAsia" w:ascii="宋体" w:hAnsi="宋体" w:eastAsia="宋体" w:cs="Times New Roman"/>
                <w:szCs w:val="24"/>
              </w:rPr>
            </w:pPr>
            <w:r>
              <w:rPr>
                <w:rFonts w:hint="eastAsia" w:ascii="宋体" w:hAnsi="宋体" w:eastAsia="宋体" w:cs="Times New Roman"/>
                <w:szCs w:val="24"/>
              </w:rPr>
              <w:t>课堂考勤及</w:t>
            </w:r>
          </w:p>
          <w:p w14:paraId="34C33C0D">
            <w:pPr>
              <w:spacing w:line="276" w:lineRule="auto"/>
              <w:jc w:val="center"/>
              <w:rPr>
                <w:rFonts w:hint="eastAsia" w:ascii="宋体" w:hAnsi="宋体" w:eastAsia="宋体" w:cs="Times New Roman"/>
                <w:szCs w:val="24"/>
              </w:rPr>
            </w:pPr>
            <w:r>
              <w:rPr>
                <w:rFonts w:ascii="宋体" w:hAnsi="宋体" w:eastAsia="宋体" w:cs="Times New Roman"/>
                <w:szCs w:val="24"/>
              </w:rPr>
              <w:t>平时作业</w:t>
            </w:r>
          </w:p>
        </w:tc>
        <w:tc>
          <w:tcPr>
            <w:tcW w:w="703" w:type="dxa"/>
            <w:vAlign w:val="center"/>
          </w:tcPr>
          <w:p w14:paraId="3178A9B7">
            <w:pPr>
              <w:spacing w:line="276" w:lineRule="auto"/>
              <w:jc w:val="center"/>
              <w:rPr>
                <w:rFonts w:hint="eastAsia"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671" w:type="dxa"/>
            <w:vAlign w:val="center"/>
          </w:tcPr>
          <w:p w14:paraId="3699BA2C">
            <w:pPr>
              <w:spacing w:line="276" w:lineRule="auto"/>
              <w:ind w:firstLine="420" w:firstLineChars="200"/>
              <w:rPr>
                <w:rFonts w:hint="eastAsia" w:ascii="宋体" w:hAnsi="宋体" w:eastAsia="宋体" w:cs="Times New Roman"/>
                <w:szCs w:val="24"/>
              </w:rPr>
            </w:pPr>
            <w:r>
              <w:rPr>
                <w:rFonts w:hint="eastAsia" w:ascii="宋体" w:hAnsi="宋体" w:eastAsia="宋体" w:cs="Times New Roman"/>
                <w:szCs w:val="24"/>
              </w:rPr>
              <w:t>其中课堂考勤占20%，平时作业占80%。</w:t>
            </w:r>
          </w:p>
          <w:p w14:paraId="2A5356A7">
            <w:pPr>
              <w:spacing w:line="276"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课堂考勤：病假和事假一次扣</w:t>
            </w:r>
            <w:r>
              <w:rPr>
                <w:rFonts w:ascii="宋体" w:hAnsi="宋体" w:eastAsia="宋体" w:cs="Times New Roman"/>
                <w:szCs w:val="21"/>
              </w:rPr>
              <w:t>2</w:t>
            </w:r>
            <w:r>
              <w:rPr>
                <w:rFonts w:hint="eastAsia" w:ascii="宋体" w:hAnsi="宋体" w:eastAsia="宋体" w:cs="Times New Roman"/>
                <w:szCs w:val="21"/>
              </w:rPr>
              <w:t>分，无故缺席一次扣</w:t>
            </w:r>
            <w:r>
              <w:rPr>
                <w:rFonts w:ascii="宋体" w:hAnsi="宋体" w:eastAsia="宋体" w:cs="Times New Roman"/>
                <w:szCs w:val="21"/>
              </w:rPr>
              <w:t>5</w:t>
            </w:r>
            <w:r>
              <w:rPr>
                <w:rFonts w:hint="eastAsia" w:ascii="宋体" w:hAnsi="宋体" w:eastAsia="宋体" w:cs="Times New Roman"/>
                <w:szCs w:val="21"/>
              </w:rPr>
              <w:t>分，无故缺席累积达5次以上（不含5次）取消课程成绩。</w:t>
            </w:r>
          </w:p>
          <w:p w14:paraId="5A453E4B">
            <w:pPr>
              <w:spacing w:line="276" w:lineRule="auto"/>
              <w:ind w:firstLine="420" w:firstLineChars="200"/>
              <w:rPr>
                <w:rFonts w:hint="eastAsia" w:ascii="宋体" w:hAnsi="宋体" w:eastAsia="宋体" w:cs="Times New Roman"/>
                <w:szCs w:val="24"/>
              </w:rPr>
            </w:pPr>
            <w:r>
              <w:rPr>
                <w:rFonts w:hint="eastAsia" w:ascii="宋体" w:hAnsi="宋体" w:eastAsia="宋体" w:cs="Times New Roman"/>
                <w:szCs w:val="24"/>
              </w:rPr>
              <w:t>平时作业：</w:t>
            </w:r>
            <w:r>
              <w:rPr>
                <w:rFonts w:ascii="宋体" w:hAnsi="宋体" w:eastAsia="宋体" w:cs="Times New Roman"/>
                <w:szCs w:val="24"/>
              </w:rPr>
              <w:t>主要考核学生对每节课知识点的复习、理解和掌握程度，计算全部作业的平均成绩。</w:t>
            </w:r>
          </w:p>
        </w:tc>
        <w:tc>
          <w:tcPr>
            <w:tcW w:w="1265" w:type="dxa"/>
            <w:vAlign w:val="center"/>
          </w:tcPr>
          <w:p w14:paraId="2B0D0971">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课程目标1</w:t>
            </w:r>
          </w:p>
        </w:tc>
        <w:tc>
          <w:tcPr>
            <w:tcW w:w="1265" w:type="dxa"/>
            <w:vAlign w:val="center"/>
          </w:tcPr>
          <w:p w14:paraId="3E86EDBB">
            <w:pPr>
              <w:spacing w:line="276" w:lineRule="auto"/>
              <w:rPr>
                <w:rFonts w:hint="eastAsia" w:ascii="宋体" w:hAnsi="宋体" w:eastAsia="宋体" w:cs="宋体"/>
                <w:kern w:val="0"/>
                <w:szCs w:val="21"/>
              </w:rPr>
            </w:pPr>
            <w:r>
              <w:rPr>
                <w:rFonts w:hint="eastAsia" w:ascii="宋体" w:hAnsi="宋体" w:eastAsia="宋体" w:cs="宋体"/>
                <w:kern w:val="0"/>
                <w:szCs w:val="21"/>
              </w:rPr>
              <w:t>学生对课程与教学的基本理论知识的理解与应用</w:t>
            </w:r>
          </w:p>
        </w:tc>
        <w:tc>
          <w:tcPr>
            <w:tcW w:w="1265" w:type="dxa"/>
            <w:vAlign w:val="center"/>
          </w:tcPr>
          <w:p w14:paraId="701E1432">
            <w:pPr>
              <w:spacing w:line="276" w:lineRule="auto"/>
              <w:jc w:val="center"/>
              <w:rPr>
                <w:rFonts w:hint="eastAsia" w:ascii="宋体" w:hAnsi="宋体" w:eastAsia="宋体" w:cs="Times New Roman"/>
                <w:szCs w:val="24"/>
              </w:rPr>
            </w:pPr>
            <w:r>
              <w:rPr>
                <w:rFonts w:hint="eastAsia" w:ascii="宋体" w:hAnsi="宋体" w:eastAsia="宋体" w:cs="Times New Roman"/>
                <w:szCs w:val="24"/>
              </w:rPr>
              <w:t>4-</w:t>
            </w:r>
            <w:r>
              <w:rPr>
                <w:rFonts w:ascii="宋体" w:hAnsi="宋体" w:eastAsia="宋体" w:cs="Times New Roman"/>
                <w:szCs w:val="24"/>
              </w:rPr>
              <w:t>1</w:t>
            </w:r>
          </w:p>
        </w:tc>
      </w:tr>
      <w:tr w14:paraId="67D2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8" w:hRule="atLeast"/>
        </w:trPr>
        <w:tc>
          <w:tcPr>
            <w:tcW w:w="619" w:type="dxa"/>
            <w:tcMar>
              <w:left w:w="57" w:type="dxa"/>
              <w:right w:w="57" w:type="dxa"/>
            </w:tcMar>
            <w:vAlign w:val="center"/>
          </w:tcPr>
          <w:p w14:paraId="05D9F043">
            <w:pPr>
              <w:spacing w:line="276" w:lineRule="auto"/>
              <w:jc w:val="center"/>
              <w:rPr>
                <w:rFonts w:hint="eastAsia" w:ascii="宋体" w:hAnsi="宋体" w:eastAsia="宋体" w:cs="Times New Roman"/>
                <w:szCs w:val="24"/>
              </w:rPr>
            </w:pPr>
            <w:r>
              <w:rPr>
                <w:rFonts w:hint="eastAsia" w:ascii="宋体" w:hAnsi="宋体" w:eastAsia="宋体" w:cs="Times New Roman"/>
                <w:szCs w:val="24"/>
              </w:rPr>
              <w:t>实践</w:t>
            </w:r>
            <w:r>
              <w:rPr>
                <w:rFonts w:ascii="宋体" w:hAnsi="宋体" w:eastAsia="宋体" w:cs="Times New Roman"/>
                <w:szCs w:val="24"/>
              </w:rPr>
              <w:t>成绩</w:t>
            </w:r>
          </w:p>
        </w:tc>
        <w:tc>
          <w:tcPr>
            <w:tcW w:w="1124" w:type="dxa"/>
            <w:vAlign w:val="center"/>
          </w:tcPr>
          <w:p w14:paraId="216A8878">
            <w:pPr>
              <w:spacing w:line="276" w:lineRule="auto"/>
              <w:jc w:val="center"/>
              <w:rPr>
                <w:rFonts w:hint="eastAsia" w:ascii="宋体" w:hAnsi="宋体" w:eastAsia="宋体" w:cs="Times New Roman"/>
                <w:szCs w:val="24"/>
              </w:rPr>
            </w:pPr>
            <w:r>
              <w:rPr>
                <w:rFonts w:ascii="宋体" w:hAnsi="宋体" w:eastAsia="宋体" w:cs="Times New Roman"/>
                <w:szCs w:val="24"/>
              </w:rPr>
              <w:t>课程</w:t>
            </w:r>
            <w:r>
              <w:rPr>
                <w:rFonts w:hint="eastAsia" w:ascii="宋体" w:hAnsi="宋体" w:eastAsia="宋体" w:cs="Times New Roman"/>
                <w:szCs w:val="24"/>
              </w:rPr>
              <w:t>实践</w:t>
            </w:r>
          </w:p>
        </w:tc>
        <w:tc>
          <w:tcPr>
            <w:tcW w:w="703" w:type="dxa"/>
            <w:vAlign w:val="center"/>
          </w:tcPr>
          <w:p w14:paraId="7D5BCA68">
            <w:pPr>
              <w:spacing w:line="276" w:lineRule="auto"/>
              <w:jc w:val="center"/>
              <w:rPr>
                <w:rFonts w:hint="eastAsia"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671" w:type="dxa"/>
            <w:vAlign w:val="center"/>
          </w:tcPr>
          <w:p w14:paraId="25C3BCD0">
            <w:pPr>
              <w:spacing w:line="276" w:lineRule="auto"/>
              <w:ind w:firstLine="420" w:firstLineChars="200"/>
              <w:rPr>
                <w:rFonts w:hint="eastAsia" w:ascii="宋体" w:hAnsi="宋体" w:eastAsia="宋体" w:cs="Times New Roman"/>
                <w:szCs w:val="21"/>
              </w:rPr>
            </w:pPr>
            <w:r>
              <w:rPr>
                <w:rFonts w:ascii="宋体" w:hAnsi="宋体" w:eastAsia="宋体" w:cs="Times New Roman"/>
                <w:szCs w:val="21"/>
              </w:rPr>
              <w:t>完成</w:t>
            </w:r>
            <w:r>
              <w:rPr>
                <w:rFonts w:hint="eastAsia" w:ascii="宋体" w:hAnsi="宋体" w:eastAsia="宋体" w:cs="Times New Roman"/>
                <w:szCs w:val="21"/>
              </w:rPr>
              <w:t>2</w:t>
            </w:r>
            <w:r>
              <w:rPr>
                <w:rFonts w:ascii="宋体" w:hAnsi="宋体" w:eastAsia="宋体" w:cs="Times New Roman"/>
                <w:szCs w:val="21"/>
              </w:rPr>
              <w:t>个</w:t>
            </w:r>
            <w:r>
              <w:rPr>
                <w:rFonts w:hint="eastAsia" w:ascii="宋体" w:hAnsi="宋体" w:eastAsia="宋体" w:cs="Times New Roman"/>
                <w:szCs w:val="21"/>
              </w:rPr>
              <w:t>实践活动</w:t>
            </w:r>
            <w:r>
              <w:rPr>
                <w:rFonts w:ascii="宋体" w:hAnsi="宋体" w:eastAsia="宋体" w:cs="Times New Roman"/>
                <w:szCs w:val="21"/>
              </w:rPr>
              <w:t>，主要考核学生</w:t>
            </w:r>
            <w:r>
              <w:rPr>
                <w:rFonts w:hint="eastAsia" w:ascii="宋体" w:hAnsi="宋体" w:eastAsia="宋体" w:cs="Times New Roman"/>
                <w:szCs w:val="21"/>
              </w:rPr>
              <w:t>运用课程与教学</w:t>
            </w:r>
            <w:r>
              <w:rPr>
                <w:rFonts w:ascii="宋体" w:hAnsi="宋体" w:eastAsia="宋体" w:cs="Times New Roman"/>
                <w:szCs w:val="21"/>
              </w:rPr>
              <w:t>基本理论</w:t>
            </w:r>
            <w:r>
              <w:rPr>
                <w:rFonts w:hint="eastAsia" w:ascii="宋体" w:hAnsi="宋体" w:eastAsia="宋体" w:cs="Times New Roman"/>
                <w:szCs w:val="21"/>
              </w:rPr>
              <w:t>进行课程和教学设计、评价与实施的能力。</w:t>
            </w:r>
          </w:p>
          <w:p w14:paraId="47ADBE43">
            <w:pPr>
              <w:spacing w:line="276" w:lineRule="auto"/>
              <w:ind w:firstLine="420" w:firstLineChars="200"/>
              <w:rPr>
                <w:rFonts w:hint="eastAsia" w:ascii="宋体" w:hAnsi="宋体" w:eastAsia="宋体" w:cs="Times New Roman"/>
                <w:szCs w:val="21"/>
              </w:rPr>
            </w:pPr>
            <w:r>
              <w:rPr>
                <w:rFonts w:hint="eastAsia" w:ascii="宋体" w:hAnsi="宋体" w:eastAsia="宋体" w:cs="Times New Roman"/>
                <w:szCs w:val="21"/>
              </w:rPr>
              <w:t>2个实践成绩平均后得到实践总评成绩并</w:t>
            </w:r>
            <w:r>
              <w:rPr>
                <w:rFonts w:ascii="宋体" w:hAnsi="宋体" w:eastAsia="宋体" w:cs="Times New Roman"/>
                <w:szCs w:val="21"/>
              </w:rPr>
              <w:t>按</w:t>
            </w:r>
            <w:r>
              <w:rPr>
                <w:rFonts w:hint="eastAsia" w:ascii="宋体" w:hAnsi="宋体" w:eastAsia="宋体" w:cs="Times New Roman"/>
                <w:szCs w:val="21"/>
              </w:rPr>
              <w:t>2</w:t>
            </w:r>
            <w:r>
              <w:rPr>
                <w:rFonts w:ascii="宋体" w:hAnsi="宋体" w:eastAsia="宋体" w:cs="Times New Roman"/>
                <w:szCs w:val="21"/>
              </w:rPr>
              <w:t>0%计入课程总成绩。</w:t>
            </w:r>
          </w:p>
        </w:tc>
        <w:tc>
          <w:tcPr>
            <w:tcW w:w="1265" w:type="dxa"/>
            <w:vAlign w:val="center"/>
          </w:tcPr>
          <w:p w14:paraId="445989CA">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课程目标2</w:t>
            </w:r>
          </w:p>
          <w:p w14:paraId="2DC84947">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课程目标3</w:t>
            </w:r>
          </w:p>
          <w:p w14:paraId="4F7F837D">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课程目标4</w:t>
            </w:r>
          </w:p>
        </w:tc>
        <w:tc>
          <w:tcPr>
            <w:tcW w:w="1265" w:type="dxa"/>
            <w:vAlign w:val="center"/>
          </w:tcPr>
          <w:p w14:paraId="09B79471">
            <w:pPr>
              <w:spacing w:line="276" w:lineRule="auto"/>
              <w:rPr>
                <w:rFonts w:hint="eastAsia" w:ascii="宋体" w:hAnsi="宋体" w:eastAsia="宋体" w:cs="Times New Roman"/>
                <w:kern w:val="0"/>
                <w:sz w:val="24"/>
              </w:rPr>
            </w:pPr>
            <w:r>
              <w:rPr>
                <w:rFonts w:hint="eastAsia" w:ascii="宋体" w:hAnsi="宋体" w:eastAsia="宋体" w:cs="宋体"/>
                <w:kern w:val="0"/>
                <w:szCs w:val="21"/>
              </w:rPr>
              <w:t>教学模式与方法、教学组织形式、教学手段、教学评价、教学设计与实施</w:t>
            </w:r>
          </w:p>
        </w:tc>
        <w:tc>
          <w:tcPr>
            <w:tcW w:w="1265" w:type="dxa"/>
            <w:vAlign w:val="center"/>
          </w:tcPr>
          <w:p w14:paraId="00315AC7">
            <w:pPr>
              <w:spacing w:line="276" w:lineRule="auto"/>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3-4、</w:t>
            </w:r>
          </w:p>
          <w:p w14:paraId="7855627D">
            <w:pPr>
              <w:spacing w:line="276" w:lineRule="auto"/>
              <w:rPr>
                <w:rFonts w:hint="eastAsia" w:ascii="宋体" w:hAnsi="宋体" w:eastAsia="宋体" w:cs="Times New Roman"/>
                <w:szCs w:val="21"/>
              </w:rPr>
            </w:pPr>
            <w:r>
              <w:rPr>
                <w:rFonts w:ascii="宋体" w:hAnsi="宋体" w:eastAsia="宋体" w:cs="Times New Roman"/>
                <w:szCs w:val="21"/>
              </w:rPr>
              <w:t>4-1、4-2、</w:t>
            </w:r>
          </w:p>
          <w:p w14:paraId="633D19B2">
            <w:pPr>
              <w:spacing w:line="276" w:lineRule="auto"/>
              <w:rPr>
                <w:rFonts w:hint="eastAsia" w:ascii="宋体" w:hAnsi="宋体" w:eastAsia="宋体" w:cs="Times New Roman"/>
                <w:szCs w:val="21"/>
              </w:rPr>
            </w:pPr>
            <w:r>
              <w:rPr>
                <w:rFonts w:ascii="宋体" w:hAnsi="宋体" w:eastAsia="宋体" w:cs="Times New Roman"/>
                <w:szCs w:val="21"/>
              </w:rPr>
              <w:t>6-2</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w:t>
            </w:r>
          </w:p>
          <w:p w14:paraId="45D9AE2B">
            <w:pPr>
              <w:spacing w:line="276" w:lineRule="auto"/>
              <w:rPr>
                <w:rFonts w:hint="eastAsia" w:ascii="宋体" w:hAnsi="宋体" w:eastAsia="宋体" w:cs="Times New Roman"/>
                <w:kern w:val="0"/>
                <w:sz w:val="24"/>
              </w:rPr>
            </w:pPr>
            <w:r>
              <w:rPr>
                <w:rFonts w:hint="eastAsia" w:ascii="宋体" w:hAnsi="宋体" w:eastAsia="宋体" w:cs="Times New Roman"/>
                <w:szCs w:val="21"/>
              </w:rPr>
              <w:t>8-</w:t>
            </w:r>
            <w:r>
              <w:rPr>
                <w:rFonts w:ascii="宋体" w:hAnsi="宋体" w:eastAsia="宋体" w:cs="Times New Roman"/>
                <w:szCs w:val="21"/>
              </w:rPr>
              <w:t>1</w:t>
            </w:r>
          </w:p>
        </w:tc>
      </w:tr>
      <w:tr w14:paraId="3B53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3" w:hRule="atLeast"/>
        </w:trPr>
        <w:tc>
          <w:tcPr>
            <w:tcW w:w="619" w:type="dxa"/>
            <w:tcMar>
              <w:left w:w="57" w:type="dxa"/>
              <w:right w:w="57" w:type="dxa"/>
            </w:tcMar>
            <w:vAlign w:val="center"/>
          </w:tcPr>
          <w:p w14:paraId="5C2AE43D">
            <w:pPr>
              <w:spacing w:line="276" w:lineRule="auto"/>
              <w:jc w:val="center"/>
              <w:rPr>
                <w:rFonts w:hint="eastAsia" w:ascii="宋体" w:hAnsi="宋体" w:eastAsia="宋体" w:cs="Times New Roman"/>
                <w:szCs w:val="24"/>
              </w:rPr>
            </w:pPr>
            <w:r>
              <w:rPr>
                <w:rFonts w:ascii="宋体" w:hAnsi="宋体" w:eastAsia="宋体" w:cs="Times New Roman"/>
                <w:szCs w:val="24"/>
              </w:rPr>
              <w:t>期末考试</w:t>
            </w:r>
          </w:p>
        </w:tc>
        <w:tc>
          <w:tcPr>
            <w:tcW w:w="1124" w:type="dxa"/>
            <w:vAlign w:val="center"/>
          </w:tcPr>
          <w:p w14:paraId="2650C845">
            <w:pPr>
              <w:spacing w:line="276" w:lineRule="auto"/>
              <w:jc w:val="center"/>
              <w:rPr>
                <w:rFonts w:hint="eastAsia" w:ascii="宋体" w:hAnsi="宋体" w:eastAsia="宋体" w:cs="Times New Roman"/>
                <w:szCs w:val="24"/>
              </w:rPr>
            </w:pPr>
            <w:r>
              <w:rPr>
                <w:rFonts w:ascii="宋体" w:hAnsi="宋体" w:eastAsia="宋体" w:cs="Times New Roman"/>
                <w:szCs w:val="24"/>
              </w:rPr>
              <w:t>期末考试</w:t>
            </w:r>
          </w:p>
          <w:p w14:paraId="16274579">
            <w:pPr>
              <w:spacing w:line="276" w:lineRule="auto"/>
              <w:jc w:val="center"/>
              <w:rPr>
                <w:rFonts w:hint="eastAsia"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3" w:type="dxa"/>
            <w:vAlign w:val="center"/>
          </w:tcPr>
          <w:p w14:paraId="4DFEBC4A">
            <w:pPr>
              <w:spacing w:line="276" w:lineRule="auto"/>
              <w:jc w:val="center"/>
              <w:rPr>
                <w:rFonts w:hint="eastAsia" w:ascii="宋体" w:hAnsi="宋体" w:eastAsia="宋体" w:cs="Times New Roman"/>
                <w:szCs w:val="24"/>
              </w:rPr>
            </w:pPr>
            <w:r>
              <w:rPr>
                <w:rFonts w:ascii="宋体" w:hAnsi="宋体" w:eastAsia="宋体" w:cs="Times New Roman"/>
                <w:szCs w:val="24"/>
              </w:rPr>
              <w:t>60%</w:t>
            </w:r>
          </w:p>
        </w:tc>
        <w:tc>
          <w:tcPr>
            <w:tcW w:w="2671" w:type="dxa"/>
            <w:vAlign w:val="center"/>
          </w:tcPr>
          <w:p w14:paraId="410EE69C">
            <w:pPr>
              <w:spacing w:line="276" w:lineRule="auto"/>
              <w:ind w:firstLine="420" w:firstLineChars="200"/>
              <w:rPr>
                <w:rFonts w:hint="eastAsia" w:ascii="宋体" w:hAnsi="宋体"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w:t>
            </w:r>
            <w:r>
              <w:rPr>
                <w:rFonts w:hint="eastAsia" w:ascii="宋体" w:hAnsi="宋体" w:eastAsia="宋体" w:cs="Times New Roman"/>
                <w:szCs w:val="21"/>
              </w:rPr>
              <w:t>材料</w:t>
            </w:r>
            <w:r>
              <w:rPr>
                <w:rFonts w:ascii="宋体" w:hAnsi="宋体" w:eastAsia="宋体" w:cs="Times New Roman"/>
                <w:szCs w:val="21"/>
              </w:rPr>
              <w:t>分析题</w:t>
            </w:r>
            <w:r>
              <w:rPr>
                <w:rFonts w:hint="eastAsia" w:ascii="宋体" w:hAnsi="宋体" w:eastAsia="宋体" w:cs="Times New Roman"/>
                <w:szCs w:val="21"/>
              </w:rPr>
              <w:t>、论述题</w:t>
            </w:r>
            <w:r>
              <w:rPr>
                <w:rFonts w:ascii="宋体" w:hAnsi="宋体" w:eastAsia="宋体" w:cs="Times New Roman"/>
                <w:szCs w:val="21"/>
              </w:rPr>
              <w:t>和</w:t>
            </w:r>
            <w:r>
              <w:rPr>
                <w:rFonts w:hint="eastAsia" w:ascii="宋体" w:hAnsi="宋体" w:eastAsia="宋体" w:cs="Times New Roman"/>
                <w:szCs w:val="21"/>
              </w:rPr>
              <w:t>教学设计</w:t>
            </w:r>
            <w:r>
              <w:rPr>
                <w:rFonts w:ascii="宋体" w:hAnsi="宋体" w:eastAsia="宋体" w:cs="Times New Roman"/>
                <w:szCs w:val="21"/>
              </w:rPr>
              <w:t>等，以卷面成绩的60%计入课程总成绩。其中考核</w:t>
            </w:r>
            <w:r>
              <w:rPr>
                <w:rFonts w:hint="eastAsia" w:ascii="宋体" w:hAnsi="宋体" w:eastAsia="宋体" w:cs="Times New Roman"/>
                <w:szCs w:val="21"/>
              </w:rPr>
              <w:t>课程与教学</w:t>
            </w:r>
            <w:r>
              <w:rPr>
                <w:rFonts w:ascii="宋体" w:hAnsi="宋体" w:eastAsia="宋体" w:cs="Times New Roman"/>
                <w:szCs w:val="21"/>
              </w:rPr>
              <w:t>基本理论型题目占30%，考核</w:t>
            </w:r>
            <w:r>
              <w:rPr>
                <w:rFonts w:hint="eastAsia" w:ascii="宋体" w:hAnsi="宋体" w:eastAsia="宋体" w:cs="Times New Roman"/>
                <w:szCs w:val="21"/>
              </w:rPr>
              <w:t>学生</w:t>
            </w:r>
            <w:r>
              <w:rPr>
                <w:rFonts w:ascii="宋体" w:hAnsi="宋体" w:eastAsia="宋体" w:cs="Times New Roman"/>
                <w:szCs w:val="21"/>
              </w:rPr>
              <w:t>运用基本理论知识进行案例分析能力型题目占</w:t>
            </w:r>
            <w:r>
              <w:rPr>
                <w:rFonts w:hint="eastAsia" w:ascii="宋体" w:hAnsi="宋体" w:eastAsia="宋体" w:cs="Times New Roman"/>
                <w:szCs w:val="21"/>
              </w:rPr>
              <w:t>3</w:t>
            </w:r>
            <w:r>
              <w:rPr>
                <w:rFonts w:ascii="宋体" w:hAnsi="宋体" w:eastAsia="宋体" w:cs="Times New Roman"/>
                <w:szCs w:val="21"/>
              </w:rPr>
              <w:t>0%；考核学生</w:t>
            </w:r>
            <w:r>
              <w:rPr>
                <w:rFonts w:hint="eastAsia" w:ascii="宋体" w:hAnsi="宋体" w:eastAsia="宋体" w:cs="Times New Roman"/>
                <w:szCs w:val="21"/>
              </w:rPr>
              <w:t>教学设计与实施</w:t>
            </w:r>
            <w:r>
              <w:rPr>
                <w:rFonts w:ascii="宋体" w:hAnsi="宋体" w:eastAsia="宋体" w:cs="Times New Roman"/>
                <w:szCs w:val="21"/>
              </w:rPr>
              <w:t>能力型题目占40%。</w:t>
            </w:r>
          </w:p>
        </w:tc>
        <w:tc>
          <w:tcPr>
            <w:tcW w:w="1265" w:type="dxa"/>
            <w:vAlign w:val="center"/>
          </w:tcPr>
          <w:p w14:paraId="07AF7FF6">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w:t>
            </w:r>
          </w:p>
          <w:p w14:paraId="06AD4106">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w:t>
            </w:r>
          </w:p>
          <w:p w14:paraId="4A8B572A">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65" w:type="dxa"/>
            <w:vAlign w:val="center"/>
          </w:tcPr>
          <w:p w14:paraId="5C699E4A">
            <w:pPr>
              <w:spacing w:line="276" w:lineRule="auto"/>
              <w:rPr>
                <w:rFonts w:hint="eastAsia" w:ascii="宋体" w:hAnsi="宋体" w:eastAsia="宋体" w:cs="Times New Roman"/>
                <w:szCs w:val="21"/>
              </w:rPr>
            </w:pPr>
            <w:r>
              <w:rPr>
                <w:rFonts w:hint="eastAsia" w:ascii="宋体" w:hAnsi="宋体" w:eastAsia="宋体" w:cs="Times New Roman"/>
                <w:szCs w:val="21"/>
              </w:rPr>
              <w:t>课程与教学目标、课程与教学内容、课程与教学评价、教学设计与实施等</w:t>
            </w:r>
          </w:p>
        </w:tc>
        <w:tc>
          <w:tcPr>
            <w:tcW w:w="1265" w:type="dxa"/>
            <w:vAlign w:val="center"/>
          </w:tcPr>
          <w:p w14:paraId="35246D6C">
            <w:pPr>
              <w:spacing w:line="276" w:lineRule="auto"/>
              <w:rPr>
                <w:rFonts w:hint="eastAsia" w:ascii="宋体" w:hAnsi="宋体" w:eastAsia="宋体" w:cs="Times New Roman"/>
                <w:szCs w:val="21"/>
              </w:rPr>
            </w:pPr>
            <w:r>
              <w:rPr>
                <w:rFonts w:ascii="宋体" w:hAnsi="宋体" w:eastAsia="宋体" w:cs="Times New Roman"/>
                <w:szCs w:val="21"/>
              </w:rPr>
              <w:t>3-4、4-1、</w:t>
            </w:r>
          </w:p>
          <w:p w14:paraId="5D200750">
            <w:pPr>
              <w:spacing w:line="276" w:lineRule="auto"/>
              <w:rPr>
                <w:rFonts w:hint="eastAsia" w:ascii="宋体" w:hAnsi="宋体" w:eastAsia="宋体" w:cs="Times New Roman"/>
                <w:szCs w:val="21"/>
              </w:rPr>
            </w:pPr>
            <w:r>
              <w:rPr>
                <w:rFonts w:ascii="宋体" w:hAnsi="宋体" w:eastAsia="宋体" w:cs="Times New Roman"/>
                <w:szCs w:val="21"/>
              </w:rPr>
              <w:t>4-2、6-2</w:t>
            </w:r>
            <w:r>
              <w:rPr>
                <w:rFonts w:hint="eastAsia" w:ascii="宋体" w:hAnsi="宋体" w:eastAsia="宋体" w:cs="Times New Roman"/>
                <w:szCs w:val="21"/>
              </w:rPr>
              <w:t>、</w:t>
            </w:r>
          </w:p>
          <w:p w14:paraId="0A921CF9">
            <w:pPr>
              <w:spacing w:line="276" w:lineRule="auto"/>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1</w:t>
            </w:r>
          </w:p>
        </w:tc>
      </w:tr>
    </w:tbl>
    <w:p w14:paraId="6CBC8373">
      <w:pPr>
        <w:spacing w:line="360" w:lineRule="auto"/>
        <w:rPr>
          <w:rFonts w:ascii="Times New Roman" w:hAnsi="Times New Roman" w:eastAsia="宋体" w:cs="Times New Roman"/>
          <w:b/>
          <w:bCs/>
          <w:sz w:val="24"/>
          <w:szCs w:val="24"/>
        </w:rPr>
      </w:pPr>
    </w:p>
    <w:p w14:paraId="42411871">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1816"/>
        <w:gridCol w:w="2196"/>
        <w:gridCol w:w="1843"/>
        <w:gridCol w:w="1134"/>
      </w:tblGrid>
      <w:tr w14:paraId="00CD28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3864" w:type="dxa"/>
            <w:gridSpan w:val="2"/>
            <w:shd w:val="clear" w:color="auto" w:fill="auto"/>
            <w:vAlign w:val="center"/>
          </w:tcPr>
          <w:p w14:paraId="2286EA29">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课程目标及权重</w:t>
            </w:r>
          </w:p>
        </w:tc>
        <w:tc>
          <w:tcPr>
            <w:tcW w:w="5173" w:type="dxa"/>
            <w:gridSpan w:val="3"/>
            <w:shd w:val="clear" w:color="auto" w:fill="auto"/>
            <w:vAlign w:val="center"/>
          </w:tcPr>
          <w:p w14:paraId="39A3535A">
            <w:pPr>
              <w:widowControl/>
              <w:spacing w:line="276" w:lineRule="auto"/>
              <w:ind w:right="-391" w:rightChars="-186"/>
              <w:jc w:val="center"/>
              <w:rPr>
                <w:rFonts w:hint="eastAsia" w:ascii="宋体" w:hAnsi="宋体" w:eastAsia="宋体" w:cs="Times New Roman"/>
                <w:kern w:val="0"/>
                <w:szCs w:val="21"/>
              </w:rPr>
            </w:pPr>
            <w:r>
              <w:rPr>
                <w:rFonts w:hint="eastAsia" w:ascii="宋体" w:hAnsi="宋体" w:eastAsia="宋体" w:cs="Times New Roman"/>
                <w:kern w:val="0"/>
                <w:szCs w:val="21"/>
              </w:rPr>
              <w:t>考核方式及权重</w:t>
            </w:r>
          </w:p>
        </w:tc>
      </w:tr>
      <w:tr w14:paraId="743244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048" w:type="dxa"/>
            <w:shd w:val="clear" w:color="auto" w:fill="auto"/>
            <w:vAlign w:val="center"/>
          </w:tcPr>
          <w:p w14:paraId="0BF1977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项目</w:t>
            </w:r>
          </w:p>
        </w:tc>
        <w:tc>
          <w:tcPr>
            <w:tcW w:w="1816" w:type="dxa"/>
            <w:shd w:val="clear" w:color="auto" w:fill="auto"/>
            <w:vAlign w:val="center"/>
          </w:tcPr>
          <w:p w14:paraId="53CABF7C">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196" w:type="dxa"/>
            <w:shd w:val="clear" w:color="auto" w:fill="auto"/>
            <w:vAlign w:val="center"/>
          </w:tcPr>
          <w:p w14:paraId="75F2050C">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评价依据</w:t>
            </w:r>
          </w:p>
        </w:tc>
        <w:tc>
          <w:tcPr>
            <w:tcW w:w="1843" w:type="dxa"/>
            <w:shd w:val="clear" w:color="auto" w:fill="auto"/>
            <w:vAlign w:val="center"/>
          </w:tcPr>
          <w:p w14:paraId="6A3C8CA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134" w:type="dxa"/>
          </w:tcPr>
          <w:p w14:paraId="0EAD5946">
            <w:pPr>
              <w:widowControl/>
              <w:spacing w:line="276" w:lineRule="auto"/>
              <w:rPr>
                <w:rFonts w:hint="eastAsia" w:ascii="宋体" w:hAnsi="宋体" w:eastAsia="宋体" w:cs="Times New Roman"/>
                <w:kern w:val="0"/>
                <w:szCs w:val="21"/>
              </w:rPr>
            </w:pPr>
            <w:r>
              <w:rPr>
                <w:rFonts w:hint="eastAsia" w:ascii="宋体" w:hAnsi="宋体" w:eastAsia="宋体" w:cs="Times New Roman"/>
                <w:kern w:val="0"/>
                <w:szCs w:val="21"/>
              </w:rPr>
              <w:t>考核方式权重合计</w:t>
            </w:r>
          </w:p>
        </w:tc>
      </w:tr>
      <w:tr w14:paraId="673C38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2048" w:type="dxa"/>
            <w:vMerge w:val="restart"/>
            <w:shd w:val="clear" w:color="auto" w:fill="auto"/>
            <w:vAlign w:val="center"/>
          </w:tcPr>
          <w:p w14:paraId="32E456F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16" w:type="dxa"/>
            <w:vMerge w:val="restart"/>
            <w:shd w:val="clear" w:color="auto" w:fill="auto"/>
            <w:vAlign w:val="center"/>
          </w:tcPr>
          <w:p w14:paraId="033833A9">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2196" w:type="dxa"/>
            <w:shd w:val="clear" w:color="auto" w:fill="auto"/>
            <w:vAlign w:val="center"/>
          </w:tcPr>
          <w:p w14:paraId="54C890A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19D78FE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4" w:type="dxa"/>
            <w:vMerge w:val="restart"/>
            <w:vAlign w:val="center"/>
          </w:tcPr>
          <w:p w14:paraId="14B796C5">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33FF5E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437DD13D">
            <w:pPr>
              <w:widowControl/>
              <w:spacing w:line="276" w:lineRule="auto"/>
              <w:jc w:val="left"/>
              <w:rPr>
                <w:rFonts w:hint="eastAsia" w:ascii="宋体" w:hAnsi="宋体" w:eastAsia="宋体" w:cs="Times New Roman"/>
                <w:kern w:val="0"/>
                <w:szCs w:val="21"/>
              </w:rPr>
            </w:pPr>
          </w:p>
        </w:tc>
        <w:tc>
          <w:tcPr>
            <w:tcW w:w="1816" w:type="dxa"/>
            <w:vMerge w:val="continue"/>
            <w:shd w:val="clear" w:color="auto" w:fill="auto"/>
            <w:vAlign w:val="center"/>
          </w:tcPr>
          <w:p w14:paraId="5847BE2B">
            <w:pPr>
              <w:widowControl/>
              <w:spacing w:line="276" w:lineRule="auto"/>
              <w:jc w:val="left"/>
              <w:rPr>
                <w:rFonts w:hint="eastAsia" w:ascii="宋体" w:hAnsi="宋体" w:eastAsia="宋体" w:cs="Times New Roman"/>
                <w:kern w:val="0"/>
                <w:szCs w:val="21"/>
              </w:rPr>
            </w:pPr>
          </w:p>
        </w:tc>
        <w:tc>
          <w:tcPr>
            <w:tcW w:w="2196" w:type="dxa"/>
            <w:shd w:val="clear" w:color="auto" w:fill="auto"/>
            <w:vAlign w:val="center"/>
          </w:tcPr>
          <w:p w14:paraId="1A6DB9D4">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p>
        </w:tc>
        <w:tc>
          <w:tcPr>
            <w:tcW w:w="1843" w:type="dxa"/>
            <w:shd w:val="clear" w:color="auto" w:fill="auto"/>
            <w:vAlign w:val="center"/>
          </w:tcPr>
          <w:p w14:paraId="6F65871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p>
        </w:tc>
        <w:tc>
          <w:tcPr>
            <w:tcW w:w="1134" w:type="dxa"/>
            <w:vMerge w:val="continue"/>
            <w:vAlign w:val="center"/>
          </w:tcPr>
          <w:p w14:paraId="24B3168C">
            <w:pPr>
              <w:widowControl/>
              <w:spacing w:line="276" w:lineRule="auto"/>
              <w:jc w:val="center"/>
              <w:rPr>
                <w:rFonts w:hint="eastAsia" w:ascii="宋体" w:hAnsi="宋体" w:eastAsia="宋体" w:cs="Times New Roman"/>
                <w:kern w:val="0"/>
                <w:szCs w:val="21"/>
              </w:rPr>
            </w:pPr>
          </w:p>
        </w:tc>
      </w:tr>
      <w:tr w14:paraId="1A2E67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restart"/>
            <w:shd w:val="clear" w:color="auto" w:fill="auto"/>
            <w:vAlign w:val="center"/>
          </w:tcPr>
          <w:p w14:paraId="30CC9D4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16" w:type="dxa"/>
            <w:vMerge w:val="restart"/>
            <w:shd w:val="clear" w:color="auto" w:fill="auto"/>
            <w:vAlign w:val="center"/>
          </w:tcPr>
          <w:p w14:paraId="34751AD5">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35%</w:t>
            </w:r>
          </w:p>
        </w:tc>
        <w:tc>
          <w:tcPr>
            <w:tcW w:w="2196" w:type="dxa"/>
            <w:shd w:val="clear" w:color="auto" w:fill="auto"/>
            <w:vAlign w:val="center"/>
          </w:tcPr>
          <w:p w14:paraId="1BE2625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5D647C9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40%</w:t>
            </w:r>
            <w:r>
              <w:rPr>
                <w:rFonts w:ascii="宋体" w:hAnsi="宋体" w:eastAsia="宋体" w:cs="Times New Roman"/>
                <w:kern w:val="0"/>
                <w:szCs w:val="21"/>
              </w:rPr>
              <w:t xml:space="preserve"> </w:t>
            </w:r>
          </w:p>
        </w:tc>
        <w:tc>
          <w:tcPr>
            <w:tcW w:w="1134" w:type="dxa"/>
            <w:vMerge w:val="restart"/>
            <w:vAlign w:val="center"/>
          </w:tcPr>
          <w:p w14:paraId="5483DBA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618F98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68555FA4">
            <w:pPr>
              <w:widowControl/>
              <w:spacing w:line="276" w:lineRule="auto"/>
              <w:jc w:val="left"/>
              <w:rPr>
                <w:rFonts w:hint="eastAsia" w:ascii="宋体" w:hAnsi="宋体" w:eastAsia="宋体" w:cs="Times New Roman"/>
                <w:kern w:val="0"/>
                <w:szCs w:val="21"/>
              </w:rPr>
            </w:pPr>
          </w:p>
        </w:tc>
        <w:tc>
          <w:tcPr>
            <w:tcW w:w="1816" w:type="dxa"/>
            <w:vMerge w:val="continue"/>
            <w:shd w:val="clear" w:color="auto" w:fill="auto"/>
            <w:vAlign w:val="center"/>
          </w:tcPr>
          <w:p w14:paraId="70C995DA">
            <w:pPr>
              <w:widowControl/>
              <w:spacing w:line="276" w:lineRule="auto"/>
              <w:jc w:val="left"/>
              <w:rPr>
                <w:rFonts w:hint="eastAsia" w:ascii="宋体" w:hAnsi="宋体" w:eastAsia="宋体" w:cs="Times New Roman"/>
                <w:kern w:val="0"/>
                <w:szCs w:val="21"/>
              </w:rPr>
            </w:pPr>
          </w:p>
        </w:tc>
        <w:tc>
          <w:tcPr>
            <w:tcW w:w="2196" w:type="dxa"/>
            <w:shd w:val="clear" w:color="auto" w:fill="auto"/>
            <w:vAlign w:val="center"/>
          </w:tcPr>
          <w:p w14:paraId="2C366E7B">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p>
        </w:tc>
        <w:tc>
          <w:tcPr>
            <w:tcW w:w="1843" w:type="dxa"/>
            <w:shd w:val="clear" w:color="auto" w:fill="auto"/>
            <w:vAlign w:val="center"/>
          </w:tcPr>
          <w:p w14:paraId="6453A422">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60%</w:t>
            </w:r>
          </w:p>
        </w:tc>
        <w:tc>
          <w:tcPr>
            <w:tcW w:w="1134" w:type="dxa"/>
            <w:vMerge w:val="continue"/>
            <w:vAlign w:val="center"/>
          </w:tcPr>
          <w:p w14:paraId="10BCAD9A">
            <w:pPr>
              <w:widowControl/>
              <w:spacing w:line="276" w:lineRule="auto"/>
              <w:jc w:val="center"/>
              <w:rPr>
                <w:rFonts w:hint="eastAsia" w:ascii="宋体" w:hAnsi="宋体" w:eastAsia="宋体" w:cs="Times New Roman"/>
                <w:kern w:val="0"/>
                <w:szCs w:val="21"/>
              </w:rPr>
            </w:pPr>
          </w:p>
        </w:tc>
      </w:tr>
      <w:tr w14:paraId="1D92E5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restart"/>
            <w:shd w:val="clear" w:color="auto" w:fill="auto"/>
            <w:vAlign w:val="center"/>
          </w:tcPr>
          <w:p w14:paraId="6E7EBD0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816" w:type="dxa"/>
            <w:vMerge w:val="restart"/>
            <w:shd w:val="clear" w:color="auto" w:fill="auto"/>
            <w:vAlign w:val="center"/>
          </w:tcPr>
          <w:p w14:paraId="3E645BE1">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25%</w:t>
            </w:r>
          </w:p>
        </w:tc>
        <w:tc>
          <w:tcPr>
            <w:tcW w:w="2196" w:type="dxa"/>
            <w:shd w:val="clear" w:color="auto" w:fill="auto"/>
            <w:vAlign w:val="center"/>
          </w:tcPr>
          <w:p w14:paraId="6BB3DF03">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1DBB12E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50%</w:t>
            </w:r>
          </w:p>
        </w:tc>
        <w:tc>
          <w:tcPr>
            <w:tcW w:w="1134" w:type="dxa"/>
            <w:vMerge w:val="restart"/>
            <w:vAlign w:val="center"/>
          </w:tcPr>
          <w:p w14:paraId="175A0AB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6197DC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6DE3402B">
            <w:pPr>
              <w:widowControl/>
              <w:spacing w:line="276" w:lineRule="auto"/>
              <w:jc w:val="left"/>
              <w:rPr>
                <w:rFonts w:hint="eastAsia" w:ascii="宋体" w:hAnsi="宋体" w:eastAsia="宋体" w:cs="Times New Roman"/>
                <w:kern w:val="0"/>
                <w:szCs w:val="21"/>
              </w:rPr>
            </w:pPr>
          </w:p>
        </w:tc>
        <w:tc>
          <w:tcPr>
            <w:tcW w:w="1816" w:type="dxa"/>
            <w:vMerge w:val="continue"/>
            <w:shd w:val="clear" w:color="auto" w:fill="auto"/>
            <w:vAlign w:val="center"/>
          </w:tcPr>
          <w:p w14:paraId="54FAE1F5">
            <w:pPr>
              <w:widowControl/>
              <w:spacing w:line="276" w:lineRule="auto"/>
              <w:jc w:val="left"/>
              <w:rPr>
                <w:rFonts w:hint="eastAsia" w:ascii="宋体" w:hAnsi="宋体" w:eastAsia="宋体" w:cs="Times New Roman"/>
                <w:kern w:val="0"/>
                <w:szCs w:val="21"/>
              </w:rPr>
            </w:pPr>
          </w:p>
        </w:tc>
        <w:tc>
          <w:tcPr>
            <w:tcW w:w="2196" w:type="dxa"/>
            <w:shd w:val="clear" w:color="auto" w:fill="auto"/>
            <w:vAlign w:val="center"/>
          </w:tcPr>
          <w:p w14:paraId="1B1D7EA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p>
        </w:tc>
        <w:tc>
          <w:tcPr>
            <w:tcW w:w="1843" w:type="dxa"/>
            <w:shd w:val="clear" w:color="auto" w:fill="auto"/>
            <w:vAlign w:val="center"/>
          </w:tcPr>
          <w:p w14:paraId="7B74BE86">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50%</w:t>
            </w:r>
          </w:p>
        </w:tc>
        <w:tc>
          <w:tcPr>
            <w:tcW w:w="1134" w:type="dxa"/>
            <w:vMerge w:val="continue"/>
            <w:vAlign w:val="center"/>
          </w:tcPr>
          <w:p w14:paraId="6B8D3ACD">
            <w:pPr>
              <w:widowControl/>
              <w:spacing w:line="276" w:lineRule="auto"/>
              <w:jc w:val="center"/>
              <w:rPr>
                <w:rFonts w:hint="eastAsia" w:ascii="宋体" w:hAnsi="宋体" w:eastAsia="宋体" w:cs="Times New Roman"/>
                <w:kern w:val="0"/>
                <w:szCs w:val="21"/>
              </w:rPr>
            </w:pPr>
          </w:p>
        </w:tc>
      </w:tr>
      <w:tr w14:paraId="4B577C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restart"/>
            <w:shd w:val="clear" w:color="auto" w:fill="auto"/>
            <w:vAlign w:val="center"/>
          </w:tcPr>
          <w:p w14:paraId="1AFF73C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816" w:type="dxa"/>
            <w:vMerge w:val="restart"/>
            <w:shd w:val="clear" w:color="auto" w:fill="auto"/>
            <w:vAlign w:val="center"/>
          </w:tcPr>
          <w:p w14:paraId="3799531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2196" w:type="dxa"/>
            <w:shd w:val="clear" w:color="auto" w:fill="auto"/>
            <w:vAlign w:val="center"/>
          </w:tcPr>
          <w:p w14:paraId="2A4A00A8">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0813C399">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20%</w:t>
            </w:r>
          </w:p>
        </w:tc>
        <w:tc>
          <w:tcPr>
            <w:tcW w:w="1134" w:type="dxa"/>
            <w:vMerge w:val="restart"/>
            <w:vAlign w:val="center"/>
          </w:tcPr>
          <w:p w14:paraId="7D519FA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r w14:paraId="0A8150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066666D5">
            <w:pPr>
              <w:widowControl/>
              <w:spacing w:line="276" w:lineRule="auto"/>
              <w:jc w:val="left"/>
              <w:rPr>
                <w:rFonts w:hint="eastAsia" w:ascii="宋体" w:hAnsi="宋体" w:eastAsia="宋体" w:cs="Times New Roman"/>
                <w:kern w:val="0"/>
                <w:szCs w:val="21"/>
              </w:rPr>
            </w:pPr>
          </w:p>
        </w:tc>
        <w:tc>
          <w:tcPr>
            <w:tcW w:w="1816" w:type="dxa"/>
            <w:vMerge w:val="continue"/>
            <w:shd w:val="clear" w:color="auto" w:fill="auto"/>
            <w:vAlign w:val="center"/>
          </w:tcPr>
          <w:p w14:paraId="441B0823">
            <w:pPr>
              <w:widowControl/>
              <w:spacing w:line="276" w:lineRule="auto"/>
              <w:jc w:val="left"/>
              <w:rPr>
                <w:rFonts w:hint="eastAsia" w:ascii="宋体" w:hAnsi="宋体" w:eastAsia="宋体" w:cs="Times New Roman"/>
                <w:kern w:val="0"/>
                <w:szCs w:val="21"/>
              </w:rPr>
            </w:pPr>
          </w:p>
        </w:tc>
        <w:tc>
          <w:tcPr>
            <w:tcW w:w="2196" w:type="dxa"/>
            <w:shd w:val="clear" w:color="auto" w:fill="auto"/>
            <w:vAlign w:val="center"/>
          </w:tcPr>
          <w:p w14:paraId="03A78849">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p>
        </w:tc>
        <w:tc>
          <w:tcPr>
            <w:tcW w:w="1843" w:type="dxa"/>
            <w:shd w:val="clear" w:color="auto" w:fill="auto"/>
            <w:vAlign w:val="center"/>
          </w:tcPr>
          <w:p w14:paraId="323E3A9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34" w:type="dxa"/>
            <w:vMerge w:val="continue"/>
          </w:tcPr>
          <w:p w14:paraId="7D88CD3B">
            <w:pPr>
              <w:widowControl/>
              <w:spacing w:line="276" w:lineRule="auto"/>
              <w:jc w:val="center"/>
              <w:rPr>
                <w:rFonts w:hint="eastAsia" w:ascii="宋体" w:hAnsi="宋体" w:eastAsia="宋体" w:cs="Times New Roman"/>
                <w:kern w:val="0"/>
                <w:szCs w:val="21"/>
              </w:rPr>
            </w:pPr>
          </w:p>
        </w:tc>
      </w:tr>
      <w:tr w14:paraId="6BD245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3E670631">
            <w:pPr>
              <w:widowControl/>
              <w:spacing w:line="276" w:lineRule="auto"/>
              <w:jc w:val="left"/>
              <w:rPr>
                <w:rFonts w:hint="eastAsia" w:ascii="宋体" w:hAnsi="宋体" w:eastAsia="宋体" w:cs="Times New Roman"/>
                <w:kern w:val="0"/>
                <w:szCs w:val="21"/>
              </w:rPr>
            </w:pPr>
          </w:p>
        </w:tc>
        <w:tc>
          <w:tcPr>
            <w:tcW w:w="1816" w:type="dxa"/>
            <w:vMerge w:val="continue"/>
            <w:shd w:val="clear" w:color="auto" w:fill="auto"/>
            <w:vAlign w:val="center"/>
          </w:tcPr>
          <w:p w14:paraId="454CFD6F">
            <w:pPr>
              <w:widowControl/>
              <w:spacing w:line="276" w:lineRule="auto"/>
              <w:jc w:val="left"/>
              <w:rPr>
                <w:rFonts w:hint="eastAsia" w:ascii="宋体" w:hAnsi="宋体" w:eastAsia="宋体" w:cs="Times New Roman"/>
                <w:kern w:val="0"/>
                <w:szCs w:val="21"/>
              </w:rPr>
            </w:pPr>
          </w:p>
        </w:tc>
        <w:tc>
          <w:tcPr>
            <w:tcW w:w="2196" w:type="dxa"/>
            <w:shd w:val="clear" w:color="auto" w:fill="auto"/>
            <w:vAlign w:val="center"/>
          </w:tcPr>
          <w:p w14:paraId="216A9F14">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课内实践</w:t>
            </w:r>
          </w:p>
        </w:tc>
        <w:tc>
          <w:tcPr>
            <w:tcW w:w="1843" w:type="dxa"/>
            <w:shd w:val="clear" w:color="auto" w:fill="auto"/>
            <w:vAlign w:val="center"/>
          </w:tcPr>
          <w:p w14:paraId="1D503C3A">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c>
          <w:tcPr>
            <w:tcW w:w="1134" w:type="dxa"/>
            <w:vMerge w:val="continue"/>
          </w:tcPr>
          <w:p w14:paraId="6D22A708">
            <w:pPr>
              <w:widowControl/>
              <w:spacing w:line="276" w:lineRule="auto"/>
              <w:jc w:val="center"/>
              <w:rPr>
                <w:rFonts w:hint="eastAsia" w:ascii="宋体" w:hAnsi="宋体" w:eastAsia="宋体" w:cs="Times New Roman"/>
                <w:kern w:val="0"/>
                <w:szCs w:val="21"/>
              </w:rPr>
            </w:pPr>
          </w:p>
        </w:tc>
      </w:tr>
      <w:tr w14:paraId="2F8F19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2048" w:type="dxa"/>
            <w:shd w:val="clear" w:color="auto" w:fill="auto"/>
            <w:vAlign w:val="center"/>
          </w:tcPr>
          <w:p w14:paraId="41E7EABC">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课程目标权重合计</w:t>
            </w:r>
          </w:p>
        </w:tc>
        <w:tc>
          <w:tcPr>
            <w:tcW w:w="1816" w:type="dxa"/>
            <w:shd w:val="clear" w:color="auto" w:fill="auto"/>
            <w:vAlign w:val="center"/>
          </w:tcPr>
          <w:p w14:paraId="167D1CF0">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c>
          <w:tcPr>
            <w:tcW w:w="5173" w:type="dxa"/>
            <w:gridSpan w:val="3"/>
            <w:shd w:val="clear" w:color="auto" w:fill="auto"/>
            <w:vAlign w:val="center"/>
          </w:tcPr>
          <w:p w14:paraId="3D101F6C">
            <w:pPr>
              <w:widowControl/>
              <w:spacing w:line="276" w:lineRule="auto"/>
              <w:jc w:val="center"/>
              <w:rPr>
                <w:rFonts w:hint="eastAsia" w:ascii="宋体" w:hAnsi="宋体" w:eastAsia="宋体" w:cs="Times New Roman"/>
                <w:kern w:val="0"/>
                <w:szCs w:val="21"/>
              </w:rPr>
            </w:pPr>
          </w:p>
        </w:tc>
      </w:tr>
    </w:tbl>
    <w:p w14:paraId="720D958B">
      <w:pPr>
        <w:spacing w:line="360" w:lineRule="auto"/>
        <w:rPr>
          <w:rFonts w:ascii="Times New Roman" w:hAnsi="Times New Roman" w:eastAsia="宋体" w:cs="Times New Roman"/>
          <w:sz w:val="24"/>
          <w:szCs w:val="24"/>
        </w:rPr>
      </w:pPr>
    </w:p>
    <w:p w14:paraId="20A4D81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（四）课程目标达成度计算方法</w:t>
      </w:r>
    </w:p>
    <w:p w14:paraId="0122254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所有课程目标均需大于等于</w:t>
      </w:r>
      <w:r>
        <w:rPr>
          <w:rFonts w:ascii="Times New Roman" w:hAnsi="Times New Roman" w:eastAsia="宋体" w:cs="Times New Roman"/>
          <w:sz w:val="24"/>
          <w:szCs w:val="24"/>
        </w:rPr>
        <w:t>0.6，否则总评成绩不及格，需要补考或重修。每门课程目标总体达成度计算方法如下：</w:t>
      </w:r>
    </w:p>
    <w:p w14:paraId="4EF4700F">
      <w:pPr>
        <w:spacing w:line="360" w:lineRule="auto"/>
        <w:rPr>
          <w:rFonts w:ascii="Times New Roman" w:hAnsi="Times New Roman" w:eastAsia="宋体" w:cs="Times New Roman"/>
          <w:sz w:val="24"/>
          <w:szCs w:val="24"/>
        </w:rPr>
      </w:pPr>
      <w:r>
        <w:rPr>
          <w:rFonts w:ascii="Times New Roman" w:hAnsi="Times New Roman" w:cs="Times New Roman"/>
          <w:position w:val="-26"/>
          <w:sz w:val="24"/>
        </w:rPr>
        <w:object>
          <v:shape id="_x0000_i1029" o:spt="75" type="#_x0000_t75" style="height:27pt;width:381pt;" o:ole="t" filled="f" o:preferrelative="t" stroked="f" coordsize="21600,21600">
            <v:path/>
            <v:fill on="f" focussize="0,0"/>
            <v:stroke on="f" joinstyle="miter"/>
            <v:imagedata r:id="rId7" o:title=""/>
            <o:lock v:ext="edit" aspectratio="t"/>
            <w10:wrap type="none"/>
            <w10:anchorlock/>
          </v:shape>
          <o:OLEObject Type="Embed" ProgID="Equation.KSEE3" ShapeID="_x0000_i1029" DrawAspect="Content" ObjectID="_1468075729" r:id="rId11">
            <o:LockedField>false</o:LockedField>
          </o:OLEObject>
        </w:object>
      </w:r>
    </w:p>
    <w:p w14:paraId="504D4B2C">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2FD3FBB3">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（一）持续改进</w:t>
      </w:r>
    </w:p>
    <w:p w14:paraId="49FD7014">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本课程根据学生作业、课堂讨论、模拟教学、说课、平时考核情况和学生、教学督导等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40FC98AB">
      <w:pPr>
        <w:spacing w:line="360" w:lineRule="auto"/>
        <w:ind w:firstLine="482" w:firstLineChars="200"/>
        <w:rPr>
          <w:rFonts w:hint="eastAsia" w:ascii="宋体" w:hAnsi="宋体" w:eastAsia="宋体" w:cs="Times New Roman"/>
          <w:b/>
          <w:sz w:val="24"/>
        </w:rPr>
      </w:pPr>
      <w:bookmarkStart w:id="71" w:name="_Toc27847270"/>
      <w:bookmarkStart w:id="72" w:name="_Toc27846252"/>
      <w:r>
        <w:rPr>
          <w:rFonts w:hint="eastAsia" w:ascii="宋体" w:hAnsi="宋体" w:eastAsia="宋体" w:cs="Times New Roman"/>
          <w:b/>
          <w:sz w:val="24"/>
        </w:rPr>
        <w:t>（二）</w:t>
      </w:r>
      <w:r>
        <w:rPr>
          <w:rFonts w:ascii="宋体" w:hAnsi="宋体" w:eastAsia="宋体" w:cs="Times New Roman"/>
          <w:b/>
          <w:sz w:val="24"/>
        </w:rPr>
        <w:t>参考书目及学习资料</w:t>
      </w:r>
      <w:bookmarkEnd w:id="71"/>
      <w:bookmarkEnd w:id="72"/>
    </w:p>
    <w:p w14:paraId="63E5DE3E">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1</w:t>
      </w:r>
      <w:r>
        <w:rPr>
          <w:rFonts w:ascii="宋体" w:hAnsi="宋体" w:eastAsia="宋体" w:cs="Times New Roman"/>
          <w:b/>
          <w:bCs/>
          <w:sz w:val="24"/>
        </w:rPr>
        <w:t>.</w:t>
      </w:r>
      <w:r>
        <w:rPr>
          <w:rFonts w:hint="eastAsia" w:ascii="宋体" w:hAnsi="宋体" w:eastAsia="宋体" w:cs="Times New Roman"/>
          <w:b/>
          <w:bCs/>
          <w:sz w:val="24"/>
        </w:rPr>
        <w:t>教材</w:t>
      </w:r>
    </w:p>
    <w:p w14:paraId="7F0510A0">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陈佑清，有效教学，北京：高等教育出版社，2016.</w:t>
      </w:r>
    </w:p>
    <w:p w14:paraId="5162A610">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2</w:t>
      </w:r>
      <w:r>
        <w:rPr>
          <w:rFonts w:ascii="宋体" w:hAnsi="宋体" w:eastAsia="宋体" w:cs="Times New Roman"/>
          <w:b/>
          <w:bCs/>
          <w:sz w:val="24"/>
        </w:rPr>
        <w:t>.</w:t>
      </w:r>
      <w:r>
        <w:rPr>
          <w:rFonts w:hint="eastAsia" w:ascii="宋体" w:hAnsi="宋体" w:eastAsia="宋体" w:cs="Times New Roman"/>
          <w:b/>
          <w:bCs/>
          <w:sz w:val="24"/>
        </w:rPr>
        <w:t>教学参考书</w:t>
      </w:r>
    </w:p>
    <w:p w14:paraId="331613F3">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[捷]夸美纽斯.傅任敢译.大教学论.北京：教育科学出版社，1999.</w:t>
      </w:r>
    </w:p>
    <w:p w14:paraId="3BE5B8C5">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陈晓端</w:t>
      </w:r>
      <w:r>
        <w:rPr>
          <w:rFonts w:ascii="宋体" w:hAnsi="宋体" w:eastAsia="宋体" w:cs="Times New Roman"/>
          <w:sz w:val="24"/>
        </w:rPr>
        <w:t>, 张立昌. 课程与教学通论. 西安: 陕西师范大学出版总社, 2017.</w:t>
      </w:r>
    </w:p>
    <w:p w14:paraId="22B46E61">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王本陆.课程与教学论.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北京：高等教育出版社，201</w:t>
      </w:r>
      <w:r>
        <w:rPr>
          <w:rFonts w:ascii="Times New Roman" w:hAnsi="Times New Roman" w:eastAsia="宋体" w:cs="Times New Roman"/>
          <w:sz w:val="24"/>
          <w:szCs w:val="24"/>
        </w:rPr>
        <w:t>7.</w:t>
      </w:r>
    </w:p>
    <w:p w14:paraId="015E8169">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徐继存、徐文彬</w:t>
      </w:r>
      <w:r>
        <w:rPr>
          <w:rFonts w:ascii="宋体" w:hAnsi="宋体" w:eastAsia="宋体" w:cs="Times New Roman"/>
          <w:sz w:val="24"/>
        </w:rPr>
        <w:t>.课程与教学论.</w:t>
      </w:r>
      <w:r>
        <w:rPr>
          <w:rFonts w:hint="eastAsia" w:ascii="宋体" w:hAnsi="宋体" w:eastAsia="宋体" w:cs="Times New Roman"/>
          <w:sz w:val="24"/>
        </w:rPr>
        <w:t>北京：</w:t>
      </w:r>
      <w:r>
        <w:rPr>
          <w:rFonts w:ascii="宋体" w:hAnsi="宋体" w:eastAsia="宋体" w:cs="Times New Roman"/>
          <w:sz w:val="24"/>
        </w:rPr>
        <w:t>高等教育出版社，2009.</w:t>
      </w:r>
    </w:p>
    <w:p w14:paraId="104F9B89">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张 华.课程与教学论.</w:t>
      </w:r>
      <w:r>
        <w:rPr>
          <w:rFonts w:hint="eastAsia" w:ascii="宋体" w:hAnsi="宋体" w:eastAsia="宋体" w:cs="Times New Roman"/>
          <w:sz w:val="24"/>
        </w:rPr>
        <w:t>上海：</w:t>
      </w:r>
      <w:r>
        <w:rPr>
          <w:rFonts w:ascii="宋体" w:hAnsi="宋体" w:eastAsia="宋体" w:cs="Times New Roman"/>
          <w:sz w:val="24"/>
        </w:rPr>
        <w:t>上海教育出版社，2001.</w:t>
      </w:r>
    </w:p>
    <w:p w14:paraId="420EF8A2">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钟启泉.课程论.</w:t>
      </w:r>
      <w:r>
        <w:rPr>
          <w:rFonts w:hint="eastAsia" w:ascii="宋体" w:hAnsi="宋体" w:eastAsia="宋体" w:cs="Times New Roman"/>
          <w:sz w:val="24"/>
        </w:rPr>
        <w:t>北京：</w:t>
      </w:r>
      <w:r>
        <w:rPr>
          <w:rFonts w:ascii="宋体" w:hAnsi="宋体" w:eastAsia="宋体" w:cs="Times New Roman"/>
          <w:sz w:val="24"/>
        </w:rPr>
        <w:t>教育科学出版社，2007.</w:t>
      </w:r>
    </w:p>
    <w:p w14:paraId="36D0162E">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裴娣娜.教学论.</w:t>
      </w:r>
      <w:r>
        <w:rPr>
          <w:rFonts w:hint="eastAsia" w:ascii="宋体" w:hAnsi="宋体" w:eastAsia="宋体" w:cs="Times New Roman"/>
          <w:sz w:val="24"/>
        </w:rPr>
        <w:t>北京：</w:t>
      </w:r>
      <w:r>
        <w:rPr>
          <w:rFonts w:ascii="宋体" w:hAnsi="宋体" w:eastAsia="宋体" w:cs="Times New Roman"/>
          <w:sz w:val="24"/>
        </w:rPr>
        <w:t>教育科学出版社，2007.</w:t>
      </w:r>
    </w:p>
    <w:p w14:paraId="711DD06E">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施良方.教学理论.</w:t>
      </w:r>
      <w:r>
        <w:rPr>
          <w:rFonts w:hint="eastAsia" w:ascii="宋体" w:hAnsi="宋体" w:eastAsia="宋体" w:cs="Times New Roman"/>
          <w:sz w:val="24"/>
        </w:rPr>
        <w:t>上海：</w:t>
      </w:r>
      <w:r>
        <w:rPr>
          <w:rFonts w:ascii="宋体" w:hAnsi="宋体" w:eastAsia="宋体" w:cs="Times New Roman"/>
          <w:sz w:val="24"/>
        </w:rPr>
        <w:t>华东师范大学出版社，1999.</w:t>
      </w:r>
    </w:p>
    <w:p w14:paraId="1AED21AD">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施良方.课程理论</w:t>
      </w:r>
      <w:r>
        <w:rPr>
          <w:rFonts w:hint="eastAsia" w:ascii="宋体" w:hAnsi="宋体" w:eastAsia="宋体" w:cs="Times New Roman"/>
          <w:sz w:val="24"/>
        </w:rPr>
        <w:t>：课程的基础、原理与问题</w:t>
      </w:r>
      <w:r>
        <w:rPr>
          <w:rFonts w:ascii="宋体" w:hAnsi="宋体" w:eastAsia="宋体" w:cs="Times New Roman"/>
          <w:sz w:val="24"/>
        </w:rPr>
        <w:t>.</w:t>
      </w:r>
      <w:r>
        <w:rPr>
          <w:rFonts w:hint="eastAsia" w:ascii="宋体" w:hAnsi="宋体" w:eastAsia="宋体" w:cs="Times New Roman"/>
          <w:sz w:val="24"/>
        </w:rPr>
        <w:t>北京：</w:t>
      </w:r>
      <w:r>
        <w:rPr>
          <w:rFonts w:ascii="宋体" w:hAnsi="宋体" w:eastAsia="宋体" w:cs="Times New Roman"/>
          <w:sz w:val="24"/>
        </w:rPr>
        <w:t>教育科学出版社，1996.</w:t>
      </w:r>
    </w:p>
    <w:p w14:paraId="5B7E0D63">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杨启亮.困惑与抉择—20 世纪的新教学论.</w:t>
      </w:r>
      <w:r>
        <w:rPr>
          <w:rFonts w:hint="eastAsia" w:ascii="宋体" w:hAnsi="宋体" w:eastAsia="宋体" w:cs="Times New Roman"/>
          <w:sz w:val="24"/>
        </w:rPr>
        <w:t>济南：</w:t>
      </w:r>
      <w:r>
        <w:rPr>
          <w:rFonts w:ascii="宋体" w:hAnsi="宋体" w:eastAsia="宋体" w:cs="Times New Roman"/>
          <w:sz w:val="24"/>
        </w:rPr>
        <w:t>山东教育出版社，1995.</w:t>
      </w:r>
    </w:p>
    <w:p w14:paraId="0391BB42">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李定仁、徐继存.课程论研究二十年.</w:t>
      </w:r>
      <w:r>
        <w:rPr>
          <w:rFonts w:hint="eastAsia" w:ascii="宋体" w:hAnsi="宋体" w:eastAsia="宋体" w:cs="Times New Roman"/>
          <w:sz w:val="24"/>
        </w:rPr>
        <w:t>北京：</w:t>
      </w:r>
      <w:r>
        <w:rPr>
          <w:rFonts w:ascii="宋体" w:hAnsi="宋体" w:eastAsia="宋体" w:cs="Times New Roman"/>
          <w:sz w:val="24"/>
        </w:rPr>
        <w:t>人民教育出版社，2004.</w:t>
      </w:r>
    </w:p>
    <w:p w14:paraId="77B6B13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陈晓端主编</w:t>
      </w:r>
      <w:r>
        <w:rPr>
          <w:rFonts w:ascii="宋体" w:hAnsi="宋体" w:eastAsia="宋体" w:cs="Times New Roman"/>
          <w:sz w:val="24"/>
        </w:rPr>
        <w:t>. 国外教学论基本文献讲读.北京：北京大学出版社, 2013.</w:t>
      </w:r>
    </w:p>
    <w:p w14:paraId="501294D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陈晓端、郝文武主编</w:t>
      </w:r>
      <w:r>
        <w:rPr>
          <w:rFonts w:ascii="宋体" w:hAnsi="宋体" w:eastAsia="宋体" w:cs="Times New Roman"/>
          <w:sz w:val="24"/>
        </w:rPr>
        <w:t>.西方教育哲学流派课程与教学思想.北京：中国轻工业出版社，2008.</w:t>
      </w:r>
    </w:p>
    <w:p w14:paraId="72F83E2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何克抗等著</w:t>
      </w:r>
      <w:r>
        <w:rPr>
          <w:rFonts w:ascii="宋体" w:hAnsi="宋体" w:eastAsia="宋体" w:cs="Times New Roman"/>
          <w:sz w:val="24"/>
        </w:rPr>
        <w:t>. 教学系统设计(第2版).北京:高等教育出版社, 2016.</w:t>
      </w:r>
    </w:p>
    <w:p w14:paraId="4B743D99">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Diane Heacox著.杨希洁译.差异教学——帮助每个学生获得成功.北京：中国轻工业出版社, 2004.</w:t>
      </w:r>
    </w:p>
    <w:p w14:paraId="1CEF923D">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熊川武.反思性教学.上海:华东师范大学出版社, 1999.</w:t>
      </w:r>
    </w:p>
    <w:p w14:paraId="3983B84D">
      <w:pPr>
        <w:autoSpaceDE w:val="0"/>
        <w:autoSpaceDN w:val="0"/>
        <w:adjustRightInd w:val="0"/>
        <w:spacing w:line="360" w:lineRule="auto"/>
        <w:ind w:firstLine="5280" w:firstLineChars="2200"/>
        <w:jc w:val="left"/>
        <w:rPr>
          <w:rFonts w:hint="eastAsia" w:ascii="宋体" w:hAnsi="宋体" w:eastAsia="宋体" w:cs="Times New Roman"/>
          <w:color w:val="FF0000"/>
          <w:kern w:val="0"/>
          <w:sz w:val="24"/>
          <w:szCs w:val="21"/>
        </w:rPr>
      </w:pPr>
    </w:p>
    <w:p w14:paraId="379F8851">
      <w:pPr>
        <w:autoSpaceDE w:val="0"/>
        <w:autoSpaceDN w:val="0"/>
        <w:adjustRightInd w:val="0"/>
        <w:spacing w:line="360" w:lineRule="auto"/>
        <w:ind w:firstLine="5280" w:firstLineChars="2200"/>
        <w:jc w:val="left"/>
        <w:rPr>
          <w:rFonts w:hint="eastAsia" w:ascii="宋体" w:hAnsi="宋体" w:eastAsia="宋体" w:cs="Times New Roman"/>
          <w:color w:val="FF0000"/>
          <w:kern w:val="0"/>
          <w:sz w:val="24"/>
          <w:szCs w:val="21"/>
        </w:rPr>
      </w:pPr>
    </w:p>
    <w:p w14:paraId="3331010C">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张志欣、张文娟</w:t>
      </w:r>
    </w:p>
    <w:p w14:paraId="4F6EAC89">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张建波</w:t>
      </w:r>
      <w:r>
        <w:rPr>
          <w:rFonts w:ascii="宋体" w:hAnsi="宋体" w:eastAsia="宋体" w:cs="Times New Roman"/>
          <w:kern w:val="0"/>
          <w:sz w:val="24"/>
          <w:szCs w:val="21"/>
        </w:rPr>
        <w:t xml:space="preserve"> </w:t>
      </w:r>
    </w:p>
    <w:p w14:paraId="57E3F2A2">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王瑛</w:t>
      </w:r>
    </w:p>
    <w:p w14:paraId="23CB09F6">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年11月20日</w:t>
      </w:r>
    </w:p>
    <w:p w14:paraId="62F49189">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16DCA5A5">
      <w:pPr>
        <w:rPr>
          <w:rFonts w:ascii="Calibri" w:hAnsi="Calibri" w:eastAsia="宋体" w:cs="Times New Roman"/>
        </w:rPr>
      </w:pPr>
    </w:p>
    <w:p w14:paraId="1430671E">
      <w:pPr>
        <w:rPr>
          <w:rFonts w:ascii="Calibri" w:hAnsi="Calibri" w:eastAsia="宋体" w:cs="Times New Roman"/>
        </w:rPr>
      </w:pPr>
    </w:p>
    <w:p w14:paraId="76234C6A">
      <w:pPr>
        <w:widowControl/>
        <w:jc w:val="left"/>
        <w:rPr>
          <w:rFonts w:ascii="宋体" w:hAnsi="宋体" w:eastAsia="宋体" w:cs="Times New Roman"/>
          <w:sz w:val="24"/>
          <w:szCs w:val="24"/>
        </w:rPr>
      </w:pPr>
      <w:r>
        <w:rPr>
          <w:rFonts w:ascii="宋体" w:hAnsi="宋体" w:eastAsia="宋体" w:cs="Times New Roman"/>
          <w:sz w:val="24"/>
          <w:szCs w:val="24"/>
        </w:rPr>
        <w:br w:type="page"/>
      </w:r>
    </w:p>
    <w:p w14:paraId="2A94D6B7">
      <w:pPr>
        <w:spacing w:line="360" w:lineRule="auto"/>
        <w:jc w:val="center"/>
        <w:outlineLvl w:val="0"/>
        <w:rPr>
          <w:rFonts w:ascii="宋体" w:hAnsi="宋体" w:eastAsia="宋体" w:cs="Times New Roman"/>
          <w:b/>
          <w:bCs/>
          <w:sz w:val="30"/>
          <w:szCs w:val="24"/>
        </w:rPr>
      </w:pPr>
      <w:bookmarkStart w:id="73" w:name="_Toc166165193"/>
      <w:bookmarkStart w:id="74" w:name="_Toc57017177"/>
      <w:r>
        <w:rPr>
          <w:rFonts w:ascii="宋体" w:hAnsi="宋体" w:eastAsia="宋体" w:cs="Times New Roman"/>
          <w:b/>
          <w:bCs/>
          <w:sz w:val="30"/>
          <w:szCs w:val="24"/>
        </w:rPr>
        <w:t>教育</w:t>
      </w:r>
      <w:r>
        <w:rPr>
          <w:rFonts w:hint="eastAsia" w:ascii="宋体" w:hAnsi="宋体" w:eastAsia="宋体" w:cs="Times New Roman"/>
          <w:b/>
          <w:bCs/>
          <w:sz w:val="30"/>
          <w:szCs w:val="24"/>
        </w:rPr>
        <w:t>心理学</w:t>
      </w:r>
      <w:r>
        <w:rPr>
          <w:rFonts w:ascii="宋体" w:hAnsi="宋体" w:eastAsia="宋体" w:cs="Times New Roman"/>
          <w:b/>
          <w:bCs/>
          <w:sz w:val="30"/>
          <w:szCs w:val="24"/>
        </w:rPr>
        <w:t>课程教学大纲</w:t>
      </w:r>
      <w:bookmarkEnd w:id="73"/>
      <w:bookmarkEnd w:id="74"/>
    </w:p>
    <w:p w14:paraId="7F5BB6FD">
      <w:pPr>
        <w:spacing w:line="360"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（Educational Psychology）</w:t>
      </w:r>
    </w:p>
    <w:p w14:paraId="36CC14C6">
      <w:pPr>
        <w:spacing w:line="360" w:lineRule="auto"/>
        <w:ind w:firstLine="551" w:firstLineChars="196"/>
        <w:rPr>
          <w:rFonts w:ascii="宋体" w:hAnsi="宋体" w:eastAsia="宋体" w:cs="Times New Roman"/>
          <w:b/>
          <w:sz w:val="28"/>
          <w:szCs w:val="28"/>
        </w:rPr>
      </w:pPr>
      <w:bookmarkStart w:id="75" w:name="_Toc27846254"/>
      <w:bookmarkStart w:id="76" w:name="_Toc27847272"/>
      <w:r>
        <w:rPr>
          <w:rFonts w:ascii="宋体" w:hAnsi="宋体" w:eastAsia="宋体" w:cs="Times New Roman"/>
          <w:b/>
          <w:sz w:val="28"/>
          <w:szCs w:val="28"/>
        </w:rPr>
        <w:t>一、课程概况</w:t>
      </w:r>
      <w:bookmarkEnd w:id="75"/>
      <w:bookmarkEnd w:id="76"/>
    </w:p>
    <w:p w14:paraId="3D13547E">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hint="eastAsia" w:ascii="宋体" w:hAnsi="宋体" w:eastAsia="宋体" w:cs="Times New Roman"/>
          <w:kern w:val="0"/>
          <w:sz w:val="24"/>
          <w:szCs w:val="24"/>
        </w:rPr>
        <w:t>2401011</w:t>
      </w:r>
    </w:p>
    <w:p w14:paraId="0EFABC07">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w:t>
      </w:r>
      <w:r>
        <w:rPr>
          <w:rFonts w:hint="eastAsia" w:ascii="宋体" w:hAnsi="宋体" w:eastAsia="宋体" w:cs="Times New Roman"/>
          <w:kern w:val="0"/>
          <w:sz w:val="24"/>
          <w:szCs w:val="24"/>
        </w:rPr>
        <w:t>2</w:t>
      </w:r>
    </w:p>
    <w:p w14:paraId="570F5FE1">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w:t>
      </w:r>
    </w:p>
    <w:p w14:paraId="50E91038">
      <w:pPr>
        <w:spacing w:line="360" w:lineRule="auto"/>
        <w:ind w:firstLine="482" w:firstLineChars="200"/>
        <w:jc w:val="left"/>
        <w:rPr>
          <w:rFonts w:ascii="宋体" w:hAnsi="宋体" w:eastAsia="宋体" w:cs="Times New Roman"/>
          <w:sz w:val="24"/>
          <w:szCs w:val="24"/>
        </w:rPr>
      </w:pPr>
      <w:r>
        <w:rPr>
          <w:rFonts w:ascii="宋体" w:hAnsi="宋体" w:eastAsia="宋体" w:cs="Times New Roman"/>
          <w:b/>
          <w:bCs/>
          <w:kern w:val="0"/>
          <w:sz w:val="24"/>
          <w:szCs w:val="24"/>
        </w:rPr>
        <w:t>先修课程</w:t>
      </w:r>
      <w:r>
        <w:rPr>
          <w:rFonts w:ascii="宋体" w:hAnsi="宋体" w:eastAsia="宋体" w:cs="Times New Roman"/>
          <w:b/>
          <w:kern w:val="0"/>
          <w:sz w:val="24"/>
          <w:szCs w:val="24"/>
        </w:rPr>
        <w:t>：</w:t>
      </w:r>
      <w:r>
        <w:rPr>
          <w:rFonts w:hint="eastAsia" w:ascii="Times New Roman" w:hAnsi="Times New Roman" w:eastAsia="宋体" w:cs="Times New Roman"/>
          <w:bCs/>
          <w:sz w:val="24"/>
          <w:szCs w:val="24"/>
        </w:rPr>
        <w:t>教育原理、</w:t>
      </w:r>
      <w:r>
        <w:rPr>
          <w:rFonts w:hint="eastAsia" w:ascii="Calibri" w:hAnsi="Calibri" w:eastAsia="宋体" w:cs="Times New Roman"/>
          <w:bCs/>
          <w:sz w:val="24"/>
          <w:szCs w:val="24"/>
        </w:rPr>
        <w:t>小学心理学</w:t>
      </w:r>
    </w:p>
    <w:p w14:paraId="71AEE337">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hint="eastAsia" w:ascii="宋体" w:hAnsi="宋体" w:eastAsia="宋体" w:cs="Times New Roman"/>
          <w:kern w:val="0"/>
          <w:sz w:val="24"/>
          <w:szCs w:val="24"/>
        </w:rPr>
        <w:t>小学</w:t>
      </w:r>
      <w:r>
        <w:rPr>
          <w:rFonts w:ascii="宋体" w:hAnsi="宋体" w:eastAsia="宋体" w:cs="Times New Roman"/>
          <w:kern w:val="0"/>
          <w:sz w:val="24"/>
          <w:szCs w:val="24"/>
        </w:rPr>
        <w:t>教育</w:t>
      </w:r>
      <w:r>
        <w:rPr>
          <w:rFonts w:hint="eastAsia" w:ascii="宋体" w:hAnsi="宋体" w:eastAsia="宋体" w:cs="Times New Roman"/>
          <w:kern w:val="0"/>
          <w:sz w:val="24"/>
          <w:szCs w:val="24"/>
        </w:rPr>
        <w:t>（文）、小学教育（理）</w:t>
      </w:r>
      <w:r>
        <w:rPr>
          <w:rFonts w:ascii="宋体" w:hAnsi="宋体" w:eastAsia="宋体" w:cs="Times New Roman"/>
          <w:kern w:val="0"/>
          <w:sz w:val="24"/>
          <w:szCs w:val="24"/>
        </w:rPr>
        <w:t xml:space="preserve">                         </w:t>
      </w:r>
    </w:p>
    <w:p w14:paraId="532587B0">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ascii="宋体" w:hAnsi="宋体" w:eastAsia="宋体" w:cs="Times New Roman"/>
          <w:kern w:val="0"/>
          <w:sz w:val="24"/>
          <w:szCs w:val="24"/>
        </w:rPr>
        <w:t>《</w:t>
      </w:r>
      <w:r>
        <w:rPr>
          <w:rFonts w:hint="eastAsia" w:ascii="宋体" w:hAnsi="宋体" w:eastAsia="宋体" w:cs="Times New Roman"/>
          <w:kern w:val="0"/>
          <w:sz w:val="24"/>
          <w:szCs w:val="24"/>
        </w:rPr>
        <w:t>当代</w:t>
      </w:r>
      <w:r>
        <w:rPr>
          <w:rFonts w:hint="eastAsia" w:ascii="宋体" w:hAnsi="宋体" w:eastAsia="宋体" w:cs="Times New Roman"/>
          <w:sz w:val="24"/>
          <w:szCs w:val="24"/>
        </w:rPr>
        <w:t>教育心理学</w:t>
      </w:r>
      <w:r>
        <w:rPr>
          <w:rFonts w:ascii="宋体" w:hAnsi="宋体" w:eastAsia="宋体" w:cs="Times New Roman"/>
          <w:sz w:val="24"/>
          <w:szCs w:val="24"/>
        </w:rPr>
        <w:t>》</w:t>
      </w:r>
      <w:r>
        <w:rPr>
          <w:rFonts w:hint="eastAsia" w:ascii="宋体" w:hAnsi="宋体" w:eastAsia="宋体" w:cs="Times New Roman"/>
          <w:sz w:val="24"/>
          <w:szCs w:val="24"/>
        </w:rPr>
        <w:t>(第3版).陈琦，刘儒德.北京师范大学出版社，</w:t>
      </w:r>
      <w:r>
        <w:rPr>
          <w:rFonts w:ascii="宋体" w:hAnsi="宋体" w:eastAsia="宋体" w:cs="Times New Roman"/>
          <w:kern w:val="0"/>
          <w:sz w:val="24"/>
          <w:szCs w:val="24"/>
        </w:rPr>
        <w:t>201</w:t>
      </w:r>
      <w:r>
        <w:rPr>
          <w:rFonts w:hint="eastAsia" w:ascii="宋体" w:hAnsi="宋体" w:eastAsia="宋体" w:cs="Times New Roman"/>
          <w:kern w:val="0"/>
          <w:sz w:val="24"/>
          <w:szCs w:val="24"/>
        </w:rPr>
        <w:t>9.</w:t>
      </w:r>
    </w:p>
    <w:p w14:paraId="74A8F2E0">
      <w:pPr>
        <w:spacing w:line="360" w:lineRule="auto"/>
        <w:ind w:firstLine="482" w:firstLineChars="200"/>
        <w:rPr>
          <w:rFonts w:ascii="宋体" w:hAnsi="宋体" w:eastAsia="宋体" w:cs="Times New Roman"/>
          <w:sz w:val="24"/>
          <w:szCs w:val="24"/>
        </w:rPr>
      </w:pPr>
      <w:r>
        <w:rPr>
          <w:rFonts w:ascii="宋体" w:hAnsi="宋体" w:eastAsia="宋体" w:cs="Times New Roman"/>
          <w:b/>
          <w:bCs/>
          <w:kern w:val="0"/>
          <w:sz w:val="24"/>
          <w:szCs w:val="24"/>
        </w:rPr>
        <w:t>课程归口：</w:t>
      </w:r>
      <w:r>
        <w:rPr>
          <w:rFonts w:hint="eastAsia" w:ascii="宋体" w:hAnsi="宋体" w:eastAsia="宋体" w:cs="Times New Roman"/>
          <w:sz w:val="24"/>
          <w:szCs w:val="24"/>
        </w:rPr>
        <w:t>师范</w:t>
      </w:r>
      <w:r>
        <w:rPr>
          <w:rFonts w:ascii="宋体" w:hAnsi="宋体" w:eastAsia="宋体" w:cs="Times New Roman"/>
          <w:sz w:val="24"/>
          <w:szCs w:val="24"/>
        </w:rPr>
        <w:t>学院</w:t>
      </w:r>
    </w:p>
    <w:p w14:paraId="023D5159">
      <w:pPr>
        <w:autoSpaceDE w:val="0"/>
        <w:autoSpaceDN w:val="0"/>
        <w:adjustRightInd w:val="0"/>
        <w:spacing w:line="360" w:lineRule="auto"/>
        <w:ind w:firstLine="482" w:firstLineChars="200"/>
        <w:jc w:val="left"/>
        <w:rPr>
          <w:rFonts w:ascii="宋体" w:hAnsi="宋体" w:eastAsia="宋体" w:cs="Times New Roman"/>
          <w:kern w:val="0"/>
          <w:sz w:val="24"/>
          <w:szCs w:val="24"/>
        </w:rPr>
      </w:pPr>
      <w:r>
        <w:rPr>
          <w:rFonts w:hint="eastAsia" w:ascii="宋体" w:hAnsi="宋体" w:eastAsia="宋体" w:cs="Times New Roman"/>
          <w:b/>
          <w:bCs/>
          <w:kern w:val="0"/>
          <w:sz w:val="24"/>
          <w:szCs w:val="24"/>
        </w:rPr>
        <w:t>课程的性质与任务：</w:t>
      </w:r>
      <w:r>
        <w:rPr>
          <w:rFonts w:hint="eastAsia" w:ascii="Times New Roman" w:hAnsi="Times New Roman" w:eastAsia="宋体" w:cs="Times New Roman"/>
          <w:bCs/>
          <w:sz w:val="24"/>
          <w:szCs w:val="24"/>
        </w:rPr>
        <w:t>本课程是小学教育专业的专业基础必修课。通过本课程的学习，学生能掌握有关学与教的心理学理论与基本原理，获得适应将来教学环境的基础知识和基本能力，为后续《课程与教学论》、《小学数学课程标准与教材分析》/《小学语文课程标准与教材分析》、《小学数学教学设计与实施》/《小学语文教学设计与实施》、《小学班队管理》、《小学生心理辅导》等课程</w:t>
      </w:r>
      <w:r>
        <w:rPr>
          <w:rFonts w:ascii="宋体" w:hAnsi="宋体" w:eastAsia="宋体" w:cs="Times New Roman"/>
          <w:kern w:val="0"/>
          <w:sz w:val="24"/>
          <w:szCs w:val="24"/>
        </w:rPr>
        <w:t>及教育实习环节</w:t>
      </w:r>
      <w:r>
        <w:rPr>
          <w:rFonts w:hint="eastAsia" w:ascii="宋体" w:hAnsi="宋体" w:eastAsia="宋体" w:cs="Times New Roman"/>
          <w:kern w:val="0"/>
          <w:sz w:val="24"/>
          <w:szCs w:val="24"/>
        </w:rPr>
        <w:t>奠定</w:t>
      </w:r>
      <w:r>
        <w:rPr>
          <w:rFonts w:hint="eastAsia" w:ascii="Times New Roman" w:hAnsi="Times New Roman" w:eastAsia="宋体" w:cs="Times New Roman"/>
          <w:bCs/>
          <w:sz w:val="24"/>
          <w:szCs w:val="24"/>
        </w:rPr>
        <w:t xml:space="preserve">基础。 </w:t>
      </w:r>
    </w:p>
    <w:p w14:paraId="469CEDE6">
      <w:pPr>
        <w:spacing w:line="360" w:lineRule="auto"/>
        <w:ind w:firstLine="562" w:firstLineChars="200"/>
        <w:rPr>
          <w:rFonts w:ascii="宋体" w:hAnsi="宋体" w:eastAsia="宋体" w:cs="Times New Roman"/>
          <w:b/>
          <w:sz w:val="28"/>
          <w:szCs w:val="28"/>
        </w:rPr>
      </w:pPr>
      <w:bookmarkStart w:id="77" w:name="_Toc27846255"/>
      <w:bookmarkStart w:id="78" w:name="_Toc27847273"/>
      <w:r>
        <w:rPr>
          <w:rFonts w:hint="eastAsia" w:ascii="宋体" w:hAnsi="宋体" w:eastAsia="宋体" w:cs="Times New Roman"/>
          <w:b/>
          <w:sz w:val="28"/>
          <w:szCs w:val="28"/>
        </w:rPr>
        <w:t>二</w:t>
      </w:r>
      <w:r>
        <w:rPr>
          <w:rFonts w:ascii="宋体" w:hAnsi="宋体" w:eastAsia="宋体" w:cs="Times New Roman"/>
          <w:b/>
          <w:sz w:val="28"/>
          <w:szCs w:val="28"/>
        </w:rPr>
        <w:t>、课程目标</w:t>
      </w:r>
      <w:bookmarkEnd w:id="77"/>
      <w:bookmarkEnd w:id="78"/>
    </w:p>
    <w:p w14:paraId="575773C0">
      <w:pPr>
        <w:spacing w:line="360" w:lineRule="auto"/>
        <w:ind w:firstLine="482" w:firstLineChars="200"/>
        <w:rPr>
          <w:rFonts w:ascii="宋体" w:hAnsi="宋体" w:eastAsia="宋体" w:cs="Times New Roman"/>
          <w:b/>
          <w:sz w:val="24"/>
          <w:szCs w:val="24"/>
        </w:rPr>
      </w:pPr>
      <w:bookmarkStart w:id="79" w:name="_Toc27846256"/>
      <w:bookmarkStart w:id="80" w:name="_Toc27847274"/>
      <w:r>
        <w:rPr>
          <w:rFonts w:hint="eastAsia" w:ascii="宋体" w:hAnsi="宋体" w:eastAsia="宋体" w:cs="Times New Roman"/>
          <w:b/>
          <w:sz w:val="24"/>
          <w:szCs w:val="24"/>
        </w:rPr>
        <w:t>（一）课程具体目标</w:t>
      </w:r>
      <w:bookmarkEnd w:id="79"/>
      <w:bookmarkEnd w:id="80"/>
    </w:p>
    <w:p w14:paraId="3B7F3E31">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目标1：掌握学与教的基本心理学理论与基本原理；</w:t>
      </w:r>
    </w:p>
    <w:p w14:paraId="2ADAE683">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目标2：能运用教育心理学的基本理论进行教学设计，组织教学活动，实施教学评价；</w:t>
      </w:r>
    </w:p>
    <w:p w14:paraId="278DDD11">
      <w:pPr>
        <w:spacing w:line="360" w:lineRule="auto"/>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目标3：了解小学生身心发展的一般规律与个体差异；</w:t>
      </w:r>
    </w:p>
    <w:p w14:paraId="642C0A16">
      <w:pPr>
        <w:spacing w:line="360" w:lineRule="auto"/>
        <w:ind w:firstLine="480" w:firstLineChars="200"/>
        <w:rPr>
          <w:rFonts w:ascii="宋体" w:hAnsi="宋体" w:eastAsia="宋体" w:cs="Times New Roman"/>
          <w:b/>
          <w:sz w:val="24"/>
          <w:szCs w:val="24"/>
        </w:rPr>
      </w:pPr>
      <w:r>
        <w:rPr>
          <w:rFonts w:hint="eastAsia" w:ascii="宋体" w:hAnsi="宋体" w:eastAsia="宋体" w:cs="Times New Roman"/>
          <w:kern w:val="0"/>
          <w:sz w:val="24"/>
          <w:szCs w:val="24"/>
        </w:rPr>
        <w:t>目标4：具有专业发展的意识，了解专业成长的基本途径。</w:t>
      </w:r>
      <w:bookmarkStart w:id="81" w:name="_Toc27847275"/>
      <w:bookmarkStart w:id="82" w:name="_Toc27846257"/>
    </w:p>
    <w:p w14:paraId="08967FE9">
      <w:p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（二）课程目标与专业毕业要求的关系</w:t>
      </w:r>
      <w:bookmarkEnd w:id="81"/>
      <w:bookmarkEnd w:id="82"/>
    </w:p>
    <w:tbl>
      <w:tblPr>
        <w:tblStyle w:val="30"/>
        <w:tblW w:w="8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184"/>
        <w:gridCol w:w="5189"/>
      </w:tblGrid>
      <w:tr w14:paraId="2FD2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97" w:type="dxa"/>
            <w:vAlign w:val="center"/>
          </w:tcPr>
          <w:p w14:paraId="44EB781A">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184" w:type="dxa"/>
            <w:vAlign w:val="center"/>
          </w:tcPr>
          <w:p w14:paraId="08107CD8">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189" w:type="dxa"/>
            <w:vAlign w:val="center"/>
          </w:tcPr>
          <w:p w14:paraId="3B67D4B1">
            <w:pPr>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24FD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97" w:type="dxa"/>
            <w:vAlign w:val="center"/>
          </w:tcPr>
          <w:p w14:paraId="799169A0">
            <w:pPr>
              <w:spacing w:line="276" w:lineRule="auto"/>
              <w:jc w:val="center"/>
              <w:rPr>
                <w:rFonts w:ascii="宋体" w:hAnsi="宋体" w:eastAsia="宋体" w:cs="宋体"/>
                <w:bCs/>
                <w:szCs w:val="21"/>
              </w:rPr>
            </w:pPr>
            <w:r>
              <w:rPr>
                <w:rFonts w:hint="eastAsia" w:ascii="宋体" w:hAnsi="宋体" w:eastAsia="宋体" w:cs="宋体"/>
                <w:bCs/>
                <w:szCs w:val="21"/>
              </w:rPr>
              <w:t>课程目标1</w:t>
            </w:r>
          </w:p>
        </w:tc>
        <w:tc>
          <w:tcPr>
            <w:tcW w:w="2184" w:type="dxa"/>
            <w:vAlign w:val="center"/>
          </w:tcPr>
          <w:p w14:paraId="5D1D55C5">
            <w:pPr>
              <w:spacing w:line="276" w:lineRule="auto"/>
              <w:rPr>
                <w:rFonts w:ascii="宋体" w:hAnsi="宋体" w:eastAsia="宋体" w:cs="Times New Roman"/>
                <w:kern w:val="0"/>
                <w:szCs w:val="21"/>
              </w:rPr>
            </w:pPr>
            <w:r>
              <w:rPr>
                <w:rFonts w:hint="eastAsia" w:ascii="宋体" w:hAnsi="宋体" w:eastAsia="宋体" w:cs="Times New Roman"/>
                <w:kern w:val="0"/>
                <w:szCs w:val="21"/>
              </w:rPr>
              <w:t>毕业要求4.教学能力</w:t>
            </w:r>
          </w:p>
        </w:tc>
        <w:tc>
          <w:tcPr>
            <w:tcW w:w="5189" w:type="dxa"/>
            <w:vAlign w:val="center"/>
          </w:tcPr>
          <w:p w14:paraId="3EBED493">
            <w:pPr>
              <w:spacing w:line="276" w:lineRule="auto"/>
              <w:jc w:val="left"/>
              <w:rPr>
                <w:rFonts w:ascii="宋体" w:hAnsi="宋体" w:eastAsia="宋体" w:cs="Times New Roman"/>
                <w:kern w:val="0"/>
                <w:sz w:val="18"/>
                <w:szCs w:val="18"/>
              </w:rPr>
            </w:pPr>
            <w:r>
              <w:rPr>
                <w:rFonts w:hint="eastAsia" w:ascii="宋体" w:hAnsi="宋体" w:eastAsia="宋体" w:cs="Times New Roman"/>
                <w:kern w:val="0"/>
                <w:szCs w:val="21"/>
              </w:rPr>
              <w:t>指标点4-1:【领会课程标准】掌握教与学的知识，熟悉所教学科课程标准和教材、教学内容，具有一定的教材解读能力，具有依据课标进行教学的意识和习惯。</w:t>
            </w:r>
          </w:p>
        </w:tc>
      </w:tr>
      <w:tr w14:paraId="7788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97" w:type="dxa"/>
            <w:vAlign w:val="center"/>
          </w:tcPr>
          <w:p w14:paraId="35AA2F05">
            <w:pPr>
              <w:spacing w:line="276" w:lineRule="auto"/>
              <w:jc w:val="center"/>
              <w:rPr>
                <w:rFonts w:ascii="宋体" w:hAnsi="宋体" w:eastAsia="宋体" w:cs="宋体"/>
                <w:szCs w:val="21"/>
              </w:rPr>
            </w:pPr>
            <w:r>
              <w:rPr>
                <w:rFonts w:hint="eastAsia" w:ascii="宋体" w:hAnsi="宋体" w:eastAsia="宋体" w:cs="宋体"/>
                <w:szCs w:val="21"/>
              </w:rPr>
              <w:t>课程目标2</w:t>
            </w:r>
          </w:p>
        </w:tc>
        <w:tc>
          <w:tcPr>
            <w:tcW w:w="2184" w:type="dxa"/>
            <w:vAlign w:val="center"/>
          </w:tcPr>
          <w:p w14:paraId="29F14A77">
            <w:pPr>
              <w:spacing w:line="276" w:lineRule="auto"/>
              <w:rPr>
                <w:rFonts w:ascii="宋体" w:hAnsi="宋体" w:eastAsia="宋体" w:cs="Times New Roman"/>
                <w:kern w:val="0"/>
                <w:sz w:val="18"/>
                <w:szCs w:val="18"/>
              </w:rPr>
            </w:pPr>
            <w:r>
              <w:rPr>
                <w:rFonts w:hint="eastAsia" w:ascii="宋体" w:hAnsi="宋体" w:eastAsia="宋体" w:cs="Times New Roman"/>
                <w:kern w:val="0"/>
                <w:szCs w:val="21"/>
              </w:rPr>
              <w:t>毕业要求4.教学</w:t>
            </w:r>
            <w:r>
              <w:rPr>
                <w:rFonts w:ascii="宋体" w:hAnsi="宋体" w:eastAsia="宋体" w:cs="Times New Roman"/>
                <w:kern w:val="0"/>
                <w:szCs w:val="21"/>
              </w:rPr>
              <w:t>能力</w:t>
            </w:r>
          </w:p>
        </w:tc>
        <w:tc>
          <w:tcPr>
            <w:tcW w:w="5189" w:type="dxa"/>
            <w:vAlign w:val="center"/>
          </w:tcPr>
          <w:p w14:paraId="30E7BD4F">
            <w:pPr>
              <w:spacing w:line="276" w:lineRule="auto"/>
              <w:jc w:val="left"/>
              <w:rPr>
                <w:rFonts w:ascii="宋体" w:hAnsi="宋体" w:eastAsia="宋体" w:cs="Times New Roman"/>
                <w:kern w:val="0"/>
                <w:sz w:val="18"/>
                <w:szCs w:val="18"/>
              </w:rPr>
            </w:pPr>
            <w:r>
              <w:rPr>
                <w:rFonts w:hint="eastAsia" w:ascii="宋体" w:hAnsi="宋体" w:eastAsia="宋体" w:cs="Times New Roman"/>
                <w:szCs w:val="21"/>
              </w:rPr>
              <w:t>指标点4-2：【教学技能突出】获得全面的小学教学体验，掌握学科教学的基本方法与策略，能独立进行教学设计、实施和评价。</w:t>
            </w:r>
          </w:p>
        </w:tc>
      </w:tr>
      <w:tr w14:paraId="3291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97" w:type="dxa"/>
            <w:vAlign w:val="center"/>
          </w:tcPr>
          <w:p w14:paraId="033B99D9">
            <w:pPr>
              <w:spacing w:line="276" w:lineRule="auto"/>
              <w:jc w:val="center"/>
              <w:rPr>
                <w:rFonts w:ascii="宋体" w:hAnsi="宋体" w:eastAsia="宋体" w:cs="宋体"/>
                <w:szCs w:val="21"/>
              </w:rPr>
            </w:pPr>
            <w:r>
              <w:rPr>
                <w:rFonts w:hint="eastAsia" w:ascii="宋体" w:hAnsi="宋体" w:eastAsia="宋体" w:cs="宋体"/>
                <w:szCs w:val="21"/>
              </w:rPr>
              <w:t>课程目标3</w:t>
            </w:r>
          </w:p>
        </w:tc>
        <w:tc>
          <w:tcPr>
            <w:tcW w:w="2184" w:type="dxa"/>
            <w:vAlign w:val="center"/>
          </w:tcPr>
          <w:p w14:paraId="4EA78973">
            <w:pPr>
              <w:spacing w:line="276" w:lineRule="auto"/>
              <w:rPr>
                <w:rFonts w:ascii="宋体" w:hAnsi="宋体" w:eastAsia="宋体" w:cs="Times New Roman"/>
                <w:spacing w:val="2"/>
                <w:kern w:val="0"/>
                <w:szCs w:val="21"/>
              </w:rPr>
            </w:pPr>
            <w:r>
              <w:rPr>
                <w:rFonts w:hint="eastAsia" w:ascii="宋体" w:hAnsi="宋体" w:eastAsia="宋体" w:cs="Times New Roman"/>
                <w:kern w:val="0"/>
                <w:szCs w:val="21"/>
              </w:rPr>
              <w:t>毕业要求6.</w:t>
            </w:r>
            <w:r>
              <w:rPr>
                <w:rFonts w:hint="eastAsia" w:ascii="宋体" w:hAnsi="宋体" w:eastAsia="宋体" w:cs="Times New Roman"/>
                <w:spacing w:val="2"/>
                <w:kern w:val="0"/>
                <w:szCs w:val="21"/>
              </w:rPr>
              <w:t>综合育人</w:t>
            </w:r>
          </w:p>
        </w:tc>
        <w:tc>
          <w:tcPr>
            <w:tcW w:w="5189" w:type="dxa"/>
            <w:vAlign w:val="center"/>
          </w:tcPr>
          <w:p w14:paraId="5BBC69C9">
            <w:pPr>
              <w:shd w:val="clear" w:color="auto" w:fill="FFFFFF"/>
              <w:spacing w:line="276" w:lineRule="auto"/>
              <w:jc w:val="left"/>
              <w:rPr>
                <w:rFonts w:ascii="宋体" w:hAnsi="宋体" w:eastAsia="宋体" w:cs="Times New Roman"/>
                <w:spacing w:val="2"/>
                <w:kern w:val="0"/>
                <w:szCs w:val="21"/>
              </w:rPr>
            </w:pPr>
            <w:r>
              <w:rPr>
                <w:rFonts w:ascii="Calibri" w:hAnsi="Calibri" w:eastAsia="宋体" w:cs="Times New Roman"/>
                <w:kern w:val="0"/>
                <w:szCs w:val="21"/>
              </w:rPr>
              <w:t>指标点</w:t>
            </w:r>
            <w:r>
              <w:rPr>
                <w:rFonts w:ascii="Calibri" w:hAnsi="Calibri" w:eastAsia="宋体" w:cs="Times New Roman"/>
                <w:szCs w:val="21"/>
              </w:rPr>
              <w:t>6-1：</w:t>
            </w:r>
            <w:r>
              <w:rPr>
                <w:rFonts w:hint="eastAsia" w:ascii="Calibri" w:hAnsi="Calibri" w:eastAsia="宋体" w:cs="Times New Roman"/>
                <w:szCs w:val="21"/>
              </w:rPr>
              <w:t>【遵循身心规律】了解不同年龄以及有特殊需要的小学生的身心发展特点和规律、不同年龄小学生学习的特点，掌握小学生良好行为习惯养成的知识。</w:t>
            </w:r>
          </w:p>
        </w:tc>
      </w:tr>
      <w:tr w14:paraId="34AF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297" w:type="dxa"/>
            <w:vAlign w:val="center"/>
          </w:tcPr>
          <w:p w14:paraId="365145FD">
            <w:pPr>
              <w:spacing w:line="276" w:lineRule="auto"/>
              <w:jc w:val="center"/>
              <w:rPr>
                <w:rFonts w:ascii="宋体" w:hAnsi="宋体" w:eastAsia="宋体" w:cs="宋体"/>
                <w:szCs w:val="21"/>
              </w:rPr>
            </w:pPr>
            <w:r>
              <w:rPr>
                <w:rFonts w:hint="eastAsia" w:ascii="宋体" w:hAnsi="宋体" w:eastAsia="宋体" w:cs="宋体"/>
                <w:szCs w:val="21"/>
              </w:rPr>
              <w:t>课程目标4</w:t>
            </w:r>
          </w:p>
        </w:tc>
        <w:tc>
          <w:tcPr>
            <w:tcW w:w="2184" w:type="dxa"/>
            <w:vAlign w:val="center"/>
          </w:tcPr>
          <w:p w14:paraId="0702CE74">
            <w:pPr>
              <w:spacing w:line="276" w:lineRule="auto"/>
              <w:rPr>
                <w:rFonts w:ascii="宋体" w:hAnsi="宋体" w:eastAsia="宋体" w:cs="Times New Roman"/>
                <w:kern w:val="0"/>
                <w:szCs w:val="21"/>
              </w:rPr>
            </w:pPr>
            <w:r>
              <w:rPr>
                <w:rFonts w:hint="eastAsia" w:ascii="宋体" w:hAnsi="宋体" w:eastAsia="宋体" w:cs="Times New Roman"/>
                <w:kern w:val="0"/>
                <w:szCs w:val="21"/>
              </w:rPr>
              <w:t>毕业要求7.学会反思</w:t>
            </w:r>
          </w:p>
        </w:tc>
        <w:tc>
          <w:tcPr>
            <w:tcW w:w="5189" w:type="dxa"/>
            <w:vAlign w:val="center"/>
          </w:tcPr>
          <w:p w14:paraId="774C3FFA">
            <w:pPr>
              <w:spacing w:line="276" w:lineRule="auto"/>
              <w:rPr>
                <w:rFonts w:ascii="宋体" w:hAnsi="宋体" w:eastAsia="宋体" w:cs="Times New Roman"/>
                <w:szCs w:val="21"/>
              </w:rPr>
            </w:pPr>
            <w:r>
              <w:rPr>
                <w:rFonts w:hint="eastAsia" w:ascii="Times New Roman" w:hAnsi="Times New Roman" w:eastAsia="宋体" w:cs="Times New Roman"/>
                <w:szCs w:val="23"/>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7D94846D">
      <w:pPr>
        <w:spacing w:line="360" w:lineRule="auto"/>
        <w:ind w:firstLine="562" w:firstLineChars="200"/>
        <w:rPr>
          <w:rFonts w:ascii="宋体" w:hAnsi="宋体" w:eastAsia="宋体" w:cs="Times New Roman"/>
          <w:b/>
          <w:sz w:val="28"/>
          <w:szCs w:val="28"/>
        </w:rPr>
      </w:pPr>
      <w:bookmarkStart w:id="83" w:name="_Toc27846258"/>
      <w:bookmarkStart w:id="84" w:name="_Toc27847276"/>
      <w:r>
        <w:rPr>
          <w:rFonts w:hint="eastAsia" w:ascii="宋体" w:hAnsi="宋体" w:eastAsia="宋体" w:cs="Times New Roman"/>
          <w:b/>
          <w:sz w:val="28"/>
          <w:szCs w:val="28"/>
        </w:rPr>
        <w:t>三</w:t>
      </w:r>
      <w:r>
        <w:rPr>
          <w:rFonts w:ascii="宋体" w:hAnsi="宋体" w:eastAsia="宋体" w:cs="Times New Roman"/>
          <w:b/>
          <w:sz w:val="28"/>
          <w:szCs w:val="28"/>
        </w:rPr>
        <w:t>、课程内容及要求</w:t>
      </w:r>
      <w:bookmarkEnd w:id="83"/>
      <w:bookmarkEnd w:id="84"/>
    </w:p>
    <w:p w14:paraId="6925E3AA">
      <w:pPr>
        <w:spacing w:line="360" w:lineRule="auto"/>
        <w:ind w:firstLine="482" w:firstLineChars="200"/>
        <w:rPr>
          <w:rFonts w:ascii="宋体" w:hAnsi="宋体" w:eastAsia="宋体" w:cs="Times New Roman"/>
          <w:b/>
          <w:sz w:val="24"/>
          <w:szCs w:val="24"/>
        </w:rPr>
      </w:pPr>
      <w:bookmarkStart w:id="85" w:name="_Toc27847277"/>
      <w:bookmarkStart w:id="86" w:name="_Toc27846259"/>
      <w:r>
        <w:rPr>
          <w:rFonts w:hint="eastAsia" w:ascii="宋体" w:hAnsi="宋体" w:eastAsia="宋体" w:cs="宋体"/>
          <w:b/>
          <w:bCs/>
          <w:sz w:val="24"/>
          <w:szCs w:val="24"/>
        </w:rPr>
        <w:t>（一）教育心理学及其研究</w:t>
      </w:r>
      <w:r>
        <w:rPr>
          <w:rFonts w:hint="eastAsia" w:ascii="宋体" w:hAnsi="宋体" w:eastAsia="宋体" w:cs="Times New Roman"/>
          <w:b/>
          <w:sz w:val="24"/>
          <w:szCs w:val="24"/>
        </w:rPr>
        <w:t>（本模块各知识点的讲授与学习，可以支撑课程目标1）</w:t>
      </w:r>
      <w:bookmarkEnd w:id="85"/>
      <w:bookmarkEnd w:id="86"/>
    </w:p>
    <w:p w14:paraId="78142949">
      <w:pPr>
        <w:spacing w:line="360" w:lineRule="auto"/>
        <w:ind w:firstLine="482" w:firstLineChars="200"/>
        <w:rPr>
          <w:rFonts w:ascii="宋体" w:hAnsi="宋体" w:eastAsia="宋体" w:cs="Times New Roman"/>
          <w:b/>
          <w:sz w:val="24"/>
          <w:szCs w:val="24"/>
        </w:rPr>
      </w:pPr>
      <w:bookmarkStart w:id="87" w:name="_Toc27847278"/>
      <w:bookmarkStart w:id="88" w:name="_Toc27846260"/>
      <w:r>
        <w:rPr>
          <w:rFonts w:hint="eastAsia" w:ascii="宋体" w:hAnsi="宋体" w:eastAsia="宋体" w:cs="Times New Roman"/>
          <w:b/>
          <w:sz w:val="24"/>
          <w:szCs w:val="24"/>
        </w:rPr>
        <w:t>1.学习内容</w:t>
      </w:r>
      <w:bookmarkEnd w:id="87"/>
      <w:bookmarkEnd w:id="88"/>
    </w:p>
    <w:p w14:paraId="20085F2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（1）教育心理学研究的对象与应用</w:t>
      </w:r>
    </w:p>
    <w:p w14:paraId="79D9ED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（2）教育心理学的产生概况</w:t>
      </w:r>
    </w:p>
    <w:p w14:paraId="253E1C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（3）教育心理学的研究方法</w:t>
      </w:r>
    </w:p>
    <w:p w14:paraId="604506CB">
      <w:p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2.学习要求</w:t>
      </w:r>
    </w:p>
    <w:p w14:paraId="119624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（1）理解教育心理学的研究对象；</w:t>
      </w:r>
    </w:p>
    <w:p w14:paraId="4A371F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（2）了解教育心理学的研究任务和意义；</w:t>
      </w:r>
    </w:p>
    <w:p w14:paraId="30FFA8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（3）掌握教育心理学的研究方法；</w:t>
      </w:r>
    </w:p>
    <w:p w14:paraId="6177B9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（4）熟悉教育心理学的发展过程与发展趋势。</w:t>
      </w:r>
    </w:p>
    <w:p w14:paraId="3F5784D7">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036F1D5D">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通过让学生了解教育心理学的产生背景和发展脉络，了解教育心理规律，形成正确的符合我国国情的教育心理观，深刻理解立德树人的教育理念。</w:t>
      </w:r>
    </w:p>
    <w:p w14:paraId="2D134A7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理解教育心理学的研究对象。</w:t>
      </w:r>
    </w:p>
    <w:p w14:paraId="225C05B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掌握教育心理学的研究方法。</w:t>
      </w:r>
    </w:p>
    <w:p w14:paraId="62AAE82B">
      <w:pPr>
        <w:spacing w:line="360" w:lineRule="auto"/>
        <w:ind w:firstLine="482" w:firstLineChars="200"/>
        <w:rPr>
          <w:rFonts w:ascii="宋体" w:hAnsi="宋体" w:eastAsia="宋体" w:cs="Times New Roman"/>
          <w:b/>
          <w:sz w:val="24"/>
          <w:szCs w:val="24"/>
        </w:rPr>
      </w:pPr>
      <w:r>
        <w:rPr>
          <w:rFonts w:hint="eastAsia" w:ascii="宋体" w:hAnsi="宋体" w:eastAsia="宋体" w:cs="宋体"/>
          <w:b/>
          <w:bCs/>
          <w:sz w:val="24"/>
          <w:szCs w:val="24"/>
        </w:rPr>
        <w:t>（二）学生心理</w:t>
      </w:r>
      <w:r>
        <w:rPr>
          <w:rFonts w:hint="eastAsia" w:ascii="宋体" w:hAnsi="宋体" w:eastAsia="宋体" w:cs="Times New Roman"/>
          <w:b/>
          <w:sz w:val="24"/>
          <w:szCs w:val="24"/>
        </w:rPr>
        <w:t>（本模块各知识点的讲授与学习，可以支撑课程目标3）</w:t>
      </w:r>
    </w:p>
    <w:p w14:paraId="5868602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019597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（1）学生的认知发展</w:t>
      </w:r>
    </w:p>
    <w:p w14:paraId="170213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（2）学生的情感和个性发展</w:t>
      </w:r>
    </w:p>
    <w:p w14:paraId="329243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（3）学生的个体差异</w:t>
      </w:r>
    </w:p>
    <w:p w14:paraId="78B3ED2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18B0E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（1）掌握学生发展的一般规律与个体差异性；</w:t>
      </w:r>
    </w:p>
    <w:p w14:paraId="0D0514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（2）把握学生发展的个体差异性。</w:t>
      </w:r>
    </w:p>
    <w:p w14:paraId="193F405A">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1AE149A7">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通过学习认识人的心理的发展和个体差异性，培养学生对自我的全面认识和对他人的尊重，进而为四个自信以及心态平和的价值观打下良好的自我基础。</w:t>
      </w:r>
    </w:p>
    <w:p w14:paraId="4A4C028F">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掌握学生发展的一般规律。</w:t>
      </w:r>
    </w:p>
    <w:p w14:paraId="318B1B2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比较各心理发展理论基本观点的异同。</w:t>
      </w:r>
    </w:p>
    <w:p w14:paraId="14E5F8E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（三）教师心理</w:t>
      </w:r>
      <w:r>
        <w:rPr>
          <w:rFonts w:hint="eastAsia" w:ascii="宋体" w:hAnsi="宋体" w:eastAsia="宋体" w:cs="Times New Roman"/>
          <w:b/>
          <w:sz w:val="24"/>
          <w:szCs w:val="24"/>
        </w:rPr>
        <w:t>（本模块各知识点的讲授与学习，可以支撑课程目标4）</w:t>
      </w:r>
    </w:p>
    <w:p w14:paraId="321A55E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1C62F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（1）教师的角色与特征</w:t>
      </w:r>
    </w:p>
    <w:p w14:paraId="357EDF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（2）教师的专业品质</w:t>
      </w:r>
    </w:p>
    <w:p w14:paraId="437BCB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（3）师生互动</w:t>
      </w:r>
    </w:p>
    <w:p w14:paraId="3EFDF8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（4）教师的成长和培养</w:t>
      </w:r>
    </w:p>
    <w:p w14:paraId="16D1C3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（5）教师职业倦怠</w:t>
      </w:r>
    </w:p>
    <w:p w14:paraId="0F76B8A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26C15C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（1）理解教师的角色与特征；</w:t>
      </w:r>
    </w:p>
    <w:p w14:paraId="5DF1D6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（2）把握胜任教师的基本素质要求；</w:t>
      </w:r>
    </w:p>
    <w:p w14:paraId="38A15D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（3）理解师生互动对于学生发展的影响；</w:t>
      </w:r>
    </w:p>
    <w:p w14:paraId="5E7BBB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（4）理解教师专业性成长历程和途径；</w:t>
      </w:r>
    </w:p>
    <w:p w14:paraId="5B1112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（5）准确分析教师职业倦怠的成因，并提出合理的对策。</w:t>
      </w:r>
    </w:p>
    <w:p w14:paraId="4A364B26">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254612AC">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通过学习教师心理，充分认识教师这个职业的神圣性和光荣使命，为将来有志于从事教书育人这一行业的学生培育有担当、有责任、肯奉献的初心精神和职业观。</w:t>
      </w:r>
    </w:p>
    <w:p w14:paraId="2ED0C22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把握胜任教师的基本特征及其成长途径。</w:t>
      </w:r>
    </w:p>
    <w:p w14:paraId="305797A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理解教师专业性成长途径。</w:t>
      </w:r>
    </w:p>
    <w:p w14:paraId="44AC2440">
      <w:pPr>
        <w:spacing w:line="360" w:lineRule="auto"/>
        <w:ind w:firstLine="361" w:firstLineChars="150"/>
        <w:rPr>
          <w:rFonts w:ascii="宋体" w:hAnsi="宋体" w:eastAsia="宋体" w:cs="宋体"/>
          <w:b/>
          <w:bCs/>
          <w:sz w:val="24"/>
          <w:szCs w:val="24"/>
        </w:rPr>
      </w:pPr>
      <w:r>
        <w:rPr>
          <w:rFonts w:hint="eastAsia" w:ascii="宋体" w:hAnsi="宋体" w:eastAsia="宋体" w:cs="宋体"/>
          <w:b/>
          <w:bCs/>
          <w:sz w:val="24"/>
          <w:szCs w:val="24"/>
        </w:rPr>
        <w:t>（四）学习心理导论</w:t>
      </w:r>
      <w:r>
        <w:rPr>
          <w:rFonts w:hint="eastAsia" w:ascii="宋体" w:hAnsi="宋体" w:eastAsia="宋体" w:cs="Times New Roman"/>
          <w:b/>
          <w:sz w:val="24"/>
          <w:szCs w:val="24"/>
        </w:rPr>
        <w:t>（本模块各知识点的讲授与学习，可以支撑课程目标1）</w:t>
      </w:r>
    </w:p>
    <w:p w14:paraId="6FCB39D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138BA1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（1）学习及其分类</w:t>
      </w:r>
    </w:p>
    <w:p w14:paraId="0DDCA5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（2）学习与脑</w:t>
      </w:r>
    </w:p>
    <w:p w14:paraId="252CCC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（3）学习理论发展</w:t>
      </w:r>
    </w:p>
    <w:p w14:paraId="2A8B474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4B1036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（1）理解学习的实质；</w:t>
      </w:r>
    </w:p>
    <w:p w14:paraId="5B554A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（2）掌握学习的分类；</w:t>
      </w:r>
    </w:p>
    <w:p w14:paraId="727EA4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（3）了解有关学习理论的发展过程。</w:t>
      </w:r>
    </w:p>
    <w:p w14:paraId="2B1CE195">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3D6F5C40">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通过了解和掌握有关学习的规律和知识，培育学生“活到老、学到老”的中华优秀传统文化，立志肩负起民族文化复兴的时代重任。</w:t>
      </w:r>
    </w:p>
    <w:p w14:paraId="77EB3B9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理解学习的实质与分类。</w:t>
      </w:r>
    </w:p>
    <w:p w14:paraId="6FF9365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 xml:space="preserve">理解学习的分类。 </w:t>
      </w:r>
    </w:p>
    <w:p w14:paraId="5900F80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（五）行为学习理论</w:t>
      </w:r>
      <w:r>
        <w:rPr>
          <w:rFonts w:hint="eastAsia" w:ascii="宋体" w:hAnsi="宋体" w:eastAsia="宋体" w:cs="Times New Roman"/>
          <w:b/>
          <w:sz w:val="24"/>
          <w:szCs w:val="24"/>
        </w:rPr>
        <w:t>（本模块各知识点的讲授与学习，可以支撑课程目标1、2）</w:t>
      </w:r>
    </w:p>
    <w:p w14:paraId="0B1FDBE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A4491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（1）经典性条件作用理论</w:t>
      </w:r>
    </w:p>
    <w:p w14:paraId="6F4FA2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（2）联结主义理论</w:t>
      </w:r>
    </w:p>
    <w:p w14:paraId="5D9A32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（3）操作性条件作用理论</w:t>
      </w:r>
    </w:p>
    <w:p w14:paraId="4C3E6A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（4）社会学习理论及行为主义新进展</w:t>
      </w:r>
    </w:p>
    <w:p w14:paraId="68EAFC6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26E1D3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（1）掌握行为主义有关学习的本质和习得条件的基本观点；</w:t>
      </w:r>
    </w:p>
    <w:p w14:paraId="55ABE7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（2）比较各种行为主义学习理论的异同；</w:t>
      </w:r>
    </w:p>
    <w:p w14:paraId="422C2E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（3）了解行为主义理论发展的新进展。</w:t>
      </w:r>
    </w:p>
    <w:p w14:paraId="0D0EE0DF">
      <w:pPr>
        <w:spacing w:line="336"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ascii="宋体" w:hAnsi="宋体" w:eastAsia="宋体" w:cs="宋体"/>
          <w:b/>
          <w:bCs/>
          <w:sz w:val="24"/>
          <w:szCs w:val="24"/>
        </w:rPr>
        <w:t>.</w:t>
      </w:r>
      <w:r>
        <w:rPr>
          <w:rFonts w:hint="eastAsia" w:ascii="宋体" w:hAnsi="宋体" w:eastAsia="宋体" w:cs="宋体"/>
          <w:b/>
          <w:bCs/>
          <w:sz w:val="24"/>
          <w:szCs w:val="24"/>
        </w:rPr>
        <w:t>课程思政育人目标</w:t>
      </w:r>
    </w:p>
    <w:p w14:paraId="22A6ACF5">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通过了解行为主义学习理论观，让学生充分认识“做中学”的核心理念，进而积极引导学生在日常生活中积极通过实际行动厚植爱国主义情怀，弘扬以爱国主义为核心的民族精神和以改革创新为核心的时代精神。</w:t>
      </w:r>
    </w:p>
    <w:p w14:paraId="48876B9F">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理解各种行为主义学习理论的基本观点</w:t>
      </w:r>
    </w:p>
    <w:p w14:paraId="03071AFF">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比较各种行为主义学习理论的异同</w:t>
      </w:r>
    </w:p>
    <w:p w14:paraId="3E9DDCF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（六）认知学习理论</w:t>
      </w:r>
      <w:r>
        <w:rPr>
          <w:rFonts w:hint="eastAsia" w:ascii="宋体" w:hAnsi="宋体" w:eastAsia="宋体" w:cs="Times New Roman"/>
          <w:b/>
          <w:sz w:val="24"/>
          <w:szCs w:val="24"/>
        </w:rPr>
        <w:t>（本模块各知识点的讲授与学习，可以支撑课程目标1、2）</w:t>
      </w:r>
    </w:p>
    <w:p w14:paraId="56265A90">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w:t>
      </w:r>
      <w:r>
        <w:rPr>
          <w:rFonts w:hint="eastAsia" w:ascii="宋体" w:hAnsi="宋体" w:eastAsia="宋体" w:cs="宋体"/>
          <w:b/>
          <w:bCs/>
          <w:sz w:val="24"/>
          <w:szCs w:val="24"/>
        </w:rPr>
        <w:t>学习内容：</w:t>
      </w:r>
    </w:p>
    <w:p w14:paraId="010CA5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（1）早期的认知学习理论</w:t>
      </w:r>
    </w:p>
    <w:p w14:paraId="59E39B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（2）认知结构学习理论</w:t>
      </w:r>
    </w:p>
    <w:p w14:paraId="548CB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（3）认知同化学习理论</w:t>
      </w:r>
    </w:p>
    <w:p w14:paraId="427189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（4）学习的信息加工论</w:t>
      </w:r>
    </w:p>
    <w:p w14:paraId="75BF81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2AF56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（1）掌握各认知主义学习理论有关学习的本质和习得条件的基本观点；</w:t>
      </w:r>
    </w:p>
    <w:p w14:paraId="067DD3E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（2）比较各种行为主义学习理论的异同。</w:t>
      </w:r>
    </w:p>
    <w:p w14:paraId="27A82097">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3.课程思育人政目标</w:t>
      </w:r>
    </w:p>
    <w:p w14:paraId="23F0863F">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p w14:paraId="65D191D0">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理解各种认知主义学习理论的基本观点。</w:t>
      </w:r>
    </w:p>
    <w:p w14:paraId="4A297CF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比较各种认知主义学习理论的异同以及认知主义与行为主义学习理论的异同。</w:t>
      </w:r>
    </w:p>
    <w:p w14:paraId="7214579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（七）建构主义与人本主义学习理论</w:t>
      </w:r>
      <w:r>
        <w:rPr>
          <w:rFonts w:hint="eastAsia" w:ascii="宋体" w:hAnsi="宋体" w:eastAsia="宋体" w:cs="Times New Roman"/>
          <w:b/>
          <w:sz w:val="24"/>
          <w:szCs w:val="24"/>
        </w:rPr>
        <w:t>（本模块各知识点的讲授与学习，可以支撑课程目标1、2）</w:t>
      </w:r>
    </w:p>
    <w:p w14:paraId="069B04D0">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w:t>
      </w:r>
      <w:r>
        <w:rPr>
          <w:rFonts w:hint="eastAsia" w:ascii="宋体" w:hAnsi="宋体" w:eastAsia="宋体" w:cs="宋体"/>
          <w:b/>
          <w:bCs/>
          <w:sz w:val="24"/>
          <w:szCs w:val="24"/>
        </w:rPr>
        <w:t>学习内容：</w:t>
      </w:r>
    </w:p>
    <w:p w14:paraId="290DDCA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（1）建构主义思想渊源与基本观点</w:t>
      </w:r>
    </w:p>
    <w:p w14:paraId="14ACC6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（2）个人建构主义理论</w:t>
      </w:r>
    </w:p>
    <w:p w14:paraId="4A94F4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（3）社会建构主义理论</w:t>
      </w:r>
    </w:p>
    <w:p w14:paraId="268D2B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（4）人本主义学习理论</w:t>
      </w:r>
    </w:p>
    <w:p w14:paraId="6CF0954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学习要求：</w:t>
      </w:r>
    </w:p>
    <w:p w14:paraId="0DF47D3B">
      <w:pPr>
        <w:numPr>
          <w:ilvl w:val="0"/>
          <w:numId w:val="1"/>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掌握建构主义学习理论的基本观点；</w:t>
      </w:r>
    </w:p>
    <w:p w14:paraId="3CEBCF7A">
      <w:pPr>
        <w:numPr>
          <w:ilvl w:val="0"/>
          <w:numId w:val="1"/>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掌握人本主义学习理论的基本观点；</w:t>
      </w:r>
    </w:p>
    <w:p w14:paraId="69AE1F6A">
      <w:pPr>
        <w:spacing w:line="360" w:lineRule="auto"/>
        <w:ind w:firstLine="482" w:firstLineChars="200"/>
        <w:rPr>
          <w:rFonts w:ascii="宋体" w:hAnsi="宋体" w:eastAsia="宋体" w:cs="宋体"/>
          <w:b/>
          <w:bCs/>
          <w:sz w:val="24"/>
          <w:szCs w:val="24"/>
        </w:rPr>
      </w:pPr>
      <w:r>
        <w:rPr>
          <w:rFonts w:ascii="宋体" w:hAnsi="宋体" w:eastAsia="宋体" w:cs="宋体"/>
          <w:b/>
          <w:bCs/>
          <w:sz w:val="24"/>
          <w:szCs w:val="24"/>
        </w:rPr>
        <w:t>3.课程思政</w:t>
      </w:r>
      <w:r>
        <w:rPr>
          <w:rFonts w:hint="eastAsia" w:ascii="宋体" w:hAnsi="宋体" w:eastAsia="宋体" w:cs="宋体"/>
          <w:b/>
          <w:bCs/>
          <w:sz w:val="24"/>
          <w:szCs w:val="24"/>
        </w:rPr>
        <w:t>育人</w:t>
      </w:r>
      <w:r>
        <w:rPr>
          <w:rFonts w:ascii="宋体" w:hAnsi="宋体" w:eastAsia="宋体" w:cs="宋体"/>
          <w:b/>
          <w:bCs/>
          <w:sz w:val="24"/>
          <w:szCs w:val="24"/>
        </w:rPr>
        <w:t>目标</w:t>
      </w:r>
    </w:p>
    <w:p w14:paraId="1B8477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通过认识建构主义学习理念，让学生充分认识到人的主观能动性的作用，知识既然可以是建构获得，人的成长与成才更需要个人的积极努力和不懈追求。进而培养学生“功成不必在我”的初心精神。</w:t>
      </w:r>
    </w:p>
    <w:p w14:paraId="022ED81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重点：</w:t>
      </w:r>
      <w:r>
        <w:rPr>
          <w:rFonts w:hint="eastAsia" w:ascii="宋体" w:hAnsi="宋体" w:eastAsia="宋体" w:cs="宋体"/>
          <w:sz w:val="24"/>
          <w:szCs w:val="24"/>
        </w:rPr>
        <w:t>掌握建构主义学习理论的基本观点。</w:t>
      </w:r>
    </w:p>
    <w:p w14:paraId="2D64BAE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难点：</w:t>
      </w:r>
      <w:r>
        <w:rPr>
          <w:rFonts w:hint="eastAsia" w:ascii="宋体" w:hAnsi="宋体" w:eastAsia="宋体" w:cs="宋体"/>
          <w:sz w:val="24"/>
          <w:szCs w:val="24"/>
        </w:rPr>
        <w:t>比较建构主义与认知主义学习观的异同。</w:t>
      </w:r>
    </w:p>
    <w:p w14:paraId="5ABE1C6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（八）学习动机</w:t>
      </w:r>
      <w:r>
        <w:rPr>
          <w:rFonts w:hint="eastAsia" w:ascii="宋体" w:hAnsi="宋体" w:eastAsia="宋体" w:cs="Times New Roman"/>
          <w:b/>
          <w:sz w:val="24"/>
          <w:szCs w:val="24"/>
        </w:rPr>
        <w:t>（本模块各知识点的讲授与学习，可以支撑课程目标目标2）</w:t>
      </w:r>
    </w:p>
    <w:p w14:paraId="4271F1E7">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w:t>
      </w:r>
      <w:r>
        <w:rPr>
          <w:rFonts w:hint="eastAsia" w:ascii="宋体" w:hAnsi="宋体" w:eastAsia="宋体" w:cs="宋体"/>
          <w:b/>
          <w:bCs/>
          <w:sz w:val="24"/>
          <w:szCs w:val="24"/>
        </w:rPr>
        <w:t>学习内容</w:t>
      </w:r>
    </w:p>
    <w:p w14:paraId="134CFE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（1）学习动机的概述 </w:t>
      </w:r>
    </w:p>
    <w:p w14:paraId="2BB5A6A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（2）学习动机的理论</w:t>
      </w:r>
    </w:p>
    <w:p w14:paraId="6D37D5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（3）学习动机的培养与激发</w:t>
      </w:r>
    </w:p>
    <w:p w14:paraId="1C7409E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2B612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（1）理解学习动机的概念及其分类，掌握学生学习动机的特点；</w:t>
      </w:r>
    </w:p>
    <w:p w14:paraId="4BF119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（2）了解有关学习动机的基本理论；</w:t>
      </w:r>
    </w:p>
    <w:p w14:paraId="066A9F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（3）掌握学生学习动机的培养与激发的具体措施。</w:t>
      </w:r>
    </w:p>
    <w:p w14:paraId="633A1377">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292DBB33">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通过学生对学习动机的理解，认识到个人意愿和心态在学习与工作中的重要作用。进而引导学生更好的深化对“不忘初心、牢记使命”所具有的警醒和激励作用。</w:t>
      </w:r>
    </w:p>
    <w:p w14:paraId="6EE190C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掌握各学习动机理论的基本观点；掌握学习动机的培养与激发具体措施。</w:t>
      </w:r>
    </w:p>
    <w:p w14:paraId="377AF11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学习动机的理论的基本观点。</w:t>
      </w:r>
    </w:p>
    <w:p w14:paraId="709B6421">
      <w:pPr>
        <w:spacing w:line="360" w:lineRule="auto"/>
        <w:ind w:firstLine="482" w:firstLineChars="200"/>
        <w:rPr>
          <w:rFonts w:ascii="宋体" w:hAnsi="宋体" w:eastAsia="宋体" w:cs="Times New Roman"/>
          <w:b/>
          <w:sz w:val="24"/>
          <w:szCs w:val="24"/>
        </w:rPr>
      </w:pPr>
      <w:r>
        <w:rPr>
          <w:rFonts w:hint="eastAsia" w:ascii="宋体" w:hAnsi="宋体" w:eastAsia="宋体" w:cs="宋体"/>
          <w:b/>
          <w:bCs/>
          <w:sz w:val="24"/>
          <w:szCs w:val="24"/>
        </w:rPr>
        <w:t>（九）知识的学习</w:t>
      </w:r>
      <w:r>
        <w:rPr>
          <w:rFonts w:hint="eastAsia" w:ascii="宋体" w:hAnsi="宋体" w:eastAsia="宋体" w:cs="Times New Roman"/>
          <w:b/>
          <w:sz w:val="24"/>
          <w:szCs w:val="24"/>
        </w:rPr>
        <w:t>（本模块各知识点的讲授与学习，可以支撑课程目标1与目标2）</w:t>
      </w:r>
    </w:p>
    <w:p w14:paraId="695C6215">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w:t>
      </w:r>
      <w:r>
        <w:rPr>
          <w:rFonts w:hint="eastAsia" w:ascii="宋体" w:hAnsi="宋体" w:eastAsia="宋体" w:cs="宋体"/>
          <w:b/>
          <w:bCs/>
          <w:sz w:val="24"/>
          <w:szCs w:val="24"/>
        </w:rPr>
        <w:t>学习内容</w:t>
      </w:r>
    </w:p>
    <w:p w14:paraId="084C62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（1）知识的分类与表征</w:t>
      </w:r>
    </w:p>
    <w:p w14:paraId="0FBA16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（2）知识的理解</w:t>
      </w:r>
    </w:p>
    <w:p w14:paraId="2029F2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（3）错误概念的转变</w:t>
      </w:r>
    </w:p>
    <w:p w14:paraId="6E6F57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（4）知识学习与迁移</w:t>
      </w:r>
    </w:p>
    <w:p w14:paraId="29395B5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D8E62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（1）理解知识分类及表征；</w:t>
      </w:r>
    </w:p>
    <w:p w14:paraId="1AAFDD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（2）把握学生对言语信息的学习条件及过程。</w:t>
      </w:r>
    </w:p>
    <w:p w14:paraId="4CA7DEAE">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38785572">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通过对知识的本身概念和分类以及表征过程的学习和理解，让学生充分认识到中华传统文化知识的丰富性与传承的艰巨性，培养学生在日常生活中学会运用知识原理去继承和发扬我国的传统文化。</w:t>
      </w:r>
    </w:p>
    <w:p w14:paraId="09CA624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掌握知识的分类与表征、言语信息的学习条件与过程、概念学习条件与过程。</w:t>
      </w:r>
    </w:p>
    <w:p w14:paraId="7B3A82A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知识的表征与概念的学习过程。</w:t>
      </w:r>
    </w:p>
    <w:p w14:paraId="3688D0C2">
      <w:pPr>
        <w:spacing w:line="360" w:lineRule="auto"/>
        <w:ind w:firstLine="482" w:firstLineChars="200"/>
        <w:rPr>
          <w:rFonts w:ascii="宋体" w:hAnsi="宋体" w:eastAsia="宋体" w:cs="Times New Roman"/>
          <w:b/>
          <w:sz w:val="24"/>
          <w:szCs w:val="24"/>
        </w:rPr>
      </w:pPr>
      <w:r>
        <w:rPr>
          <w:rFonts w:hint="eastAsia" w:ascii="宋体" w:hAnsi="宋体" w:eastAsia="宋体" w:cs="宋体"/>
          <w:b/>
          <w:bCs/>
          <w:sz w:val="24"/>
          <w:szCs w:val="24"/>
        </w:rPr>
        <w:t>（十）技能的学习</w:t>
      </w:r>
      <w:r>
        <w:rPr>
          <w:rFonts w:hint="eastAsia" w:ascii="宋体" w:hAnsi="宋体" w:eastAsia="宋体" w:cs="Times New Roman"/>
          <w:b/>
          <w:sz w:val="24"/>
          <w:szCs w:val="24"/>
        </w:rPr>
        <w:t>（本模块各知识点的讲授与学习，可以支撑课程目标1与目标2）</w:t>
      </w:r>
    </w:p>
    <w:p w14:paraId="5675C29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01B11E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（1）技能的概述</w:t>
      </w:r>
    </w:p>
    <w:p w14:paraId="3E59D9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（2）动作技能</w:t>
      </w:r>
    </w:p>
    <w:p w14:paraId="4D5901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（3）心智技能</w:t>
      </w:r>
    </w:p>
    <w:p w14:paraId="272E7FC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54B706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（1）把握对心智技能的学习及迁移过程与条件；</w:t>
      </w:r>
    </w:p>
    <w:p w14:paraId="701481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（2）把握对运动技能的学习及迁移过程与条件。</w:t>
      </w:r>
    </w:p>
    <w:p w14:paraId="37088016">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524974E1">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通过让学生掌握有关技能的知识，让学生明确自己如何才能有效地掌握基本的生存和职业技能，如何通过日益月累的经验积累才能培育出一种具有工匠精神的优秀品质。</w:t>
      </w:r>
    </w:p>
    <w:p w14:paraId="1A59711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掌握心智技能的学习及迁移过程与条件。</w:t>
      </w:r>
    </w:p>
    <w:p w14:paraId="648BDE8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掌握心智技能的学习及迁移过程与条件。</w:t>
      </w:r>
    </w:p>
    <w:p w14:paraId="3961EE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（十一）问题解决的学习与创造性</w:t>
      </w:r>
      <w:r>
        <w:rPr>
          <w:rFonts w:hint="eastAsia" w:ascii="宋体" w:hAnsi="宋体" w:eastAsia="宋体" w:cs="Times New Roman"/>
          <w:b/>
          <w:sz w:val="24"/>
          <w:szCs w:val="24"/>
        </w:rPr>
        <w:t>（本模块各知识点的讲授与学习，可以支撑课程目标1与目标2）</w:t>
      </w:r>
    </w:p>
    <w:p w14:paraId="58BC6AA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504BB2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(1)问题与问题解决</w:t>
      </w:r>
    </w:p>
    <w:p w14:paraId="53E112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(2)问题解决的过程</w:t>
      </w:r>
    </w:p>
    <w:p w14:paraId="42C379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(3)问题解决的训练</w:t>
      </w:r>
    </w:p>
    <w:p w14:paraId="2153B6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(4)创造性思维</w:t>
      </w:r>
    </w:p>
    <w:p w14:paraId="4A65DFE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50C72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（1）理解问题解决的内涵和基本过程；</w:t>
      </w:r>
    </w:p>
    <w:p w14:paraId="751B3D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（2）掌握问题解决能力培养的基本方法；</w:t>
      </w:r>
    </w:p>
    <w:p w14:paraId="7D9F04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（3）理解创造性思维的内涵；</w:t>
      </w:r>
    </w:p>
    <w:p w14:paraId="0EA63B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（4）掌握创新心理教育的基本方法。</w:t>
      </w:r>
    </w:p>
    <w:p w14:paraId="04D16916">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026327C5">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通过对问题解决的原理的分析，培养学生在日常生活中如何有效思考，学会用更具创造性的方法去解决实际问题，继而为创新型社会贡献自己的一份力量。</w:t>
      </w:r>
    </w:p>
    <w:p w14:paraId="0E81E1C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掌握问题解决能力培养的基本方法。</w:t>
      </w:r>
    </w:p>
    <w:p w14:paraId="1DC1663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掌握创新心理能力的培养的基本方法。</w:t>
      </w:r>
    </w:p>
    <w:p w14:paraId="24F8CE7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（十二）学习策略</w:t>
      </w:r>
      <w:r>
        <w:rPr>
          <w:rFonts w:hint="eastAsia" w:ascii="宋体" w:hAnsi="宋体" w:eastAsia="宋体" w:cs="Times New Roman"/>
          <w:b/>
          <w:sz w:val="24"/>
          <w:szCs w:val="24"/>
        </w:rPr>
        <w:t>（本模块各知识点的讲授与学习，可以支撑课程目标1与目标2）</w:t>
      </w:r>
    </w:p>
    <w:p w14:paraId="7686298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534E66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（1）学习策略概述</w:t>
      </w:r>
    </w:p>
    <w:p w14:paraId="0A0BD1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（2）认知策略</w:t>
      </w:r>
    </w:p>
    <w:p w14:paraId="5F9B8E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（3）元认知策略与资源管理策略</w:t>
      </w:r>
    </w:p>
    <w:p w14:paraId="0D20DB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（4）学习策略的促进</w:t>
      </w:r>
    </w:p>
    <w:p w14:paraId="206C12D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417729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（1）理解学习策略的概念与类别；</w:t>
      </w:r>
    </w:p>
    <w:p w14:paraId="563080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（2）掌握学习策略培养方法与措施。</w:t>
      </w:r>
    </w:p>
    <w:p w14:paraId="743B51E1">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342639D4">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p w14:paraId="7EB407C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掌握学习策略的培养方法。</w:t>
      </w:r>
    </w:p>
    <w:p w14:paraId="29369E9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掌握学习策略的培养方法。</w:t>
      </w:r>
    </w:p>
    <w:p w14:paraId="54164AE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（十三）品德的形成</w:t>
      </w:r>
      <w:r>
        <w:rPr>
          <w:rFonts w:hint="eastAsia" w:ascii="宋体" w:hAnsi="宋体" w:eastAsia="宋体" w:cs="Times New Roman"/>
          <w:b/>
          <w:sz w:val="24"/>
          <w:szCs w:val="24"/>
        </w:rPr>
        <w:t>（本模块各知识点的讲授与学习，可以支撑课程目标3）</w:t>
      </w:r>
    </w:p>
    <w:p w14:paraId="6A77533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 xml:space="preserve">1.学习内容： </w:t>
      </w:r>
      <w:r>
        <w:rPr>
          <w:rFonts w:hint="eastAsia" w:ascii="宋体" w:hAnsi="宋体" w:eastAsia="宋体" w:cs="宋体"/>
          <w:sz w:val="24"/>
          <w:szCs w:val="24"/>
        </w:rPr>
        <w:t xml:space="preserve">   </w:t>
      </w:r>
    </w:p>
    <w:p w14:paraId="7B864D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（1）品德心理概述</w:t>
      </w:r>
    </w:p>
    <w:p w14:paraId="7D6169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（2）道德发展的理论</w:t>
      </w:r>
    </w:p>
    <w:p w14:paraId="677BAB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（3）品德的形成与培养</w:t>
      </w:r>
    </w:p>
    <w:p w14:paraId="379098C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（4）品德不良的矫正</w:t>
      </w:r>
    </w:p>
    <w:p w14:paraId="2B3A325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0CEB35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（1）理解品德与道德的内涵、二者的关系及其心理结构；</w:t>
      </w:r>
    </w:p>
    <w:p w14:paraId="2E331F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（2）了解影响品德形成的主要因素；</w:t>
      </w:r>
    </w:p>
    <w:p w14:paraId="347A2D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（3）理解并掌握关于品德发展的主要理论。</w:t>
      </w:r>
    </w:p>
    <w:p w14:paraId="6AF85AA5">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7B673051">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学习和掌握有关品德的理论和知识，培养学生从理论知识层面充分评估自我的品德，从典型道德模范人物的先进事迹中汲取能量，进而在日常实践中不断完善和提升自我的人格，从而更好地达成“立德树人”的育人目标。</w:t>
      </w:r>
    </w:p>
    <w:p w14:paraId="2BCCD3A3">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道德心理结构；道德发展的主要理论；品德的培养和矫正。</w:t>
      </w:r>
    </w:p>
    <w:p w14:paraId="411AE75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品德发展的主要理论。</w:t>
      </w:r>
    </w:p>
    <w:p w14:paraId="716B365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（十四）教学设计</w:t>
      </w:r>
      <w:r>
        <w:rPr>
          <w:rFonts w:hint="eastAsia" w:ascii="宋体" w:hAnsi="宋体" w:eastAsia="宋体" w:cs="Times New Roman"/>
          <w:b/>
          <w:sz w:val="24"/>
          <w:szCs w:val="24"/>
        </w:rPr>
        <w:t>（本模块各知识点的讲授与学习，可以支撑课程目标目标2）</w:t>
      </w:r>
    </w:p>
    <w:p w14:paraId="16E2CA0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F1FC3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（1）设置教学目标</w:t>
      </w:r>
    </w:p>
    <w:p w14:paraId="425210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（2）选择教学模式</w:t>
      </w:r>
    </w:p>
    <w:p w14:paraId="130BBD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（3）设置教学环境</w:t>
      </w:r>
    </w:p>
    <w:p w14:paraId="44E6236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3F72A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（1）掌握教学目标的表述方式与目标分类体系，并为一完整课程设计教学目标；</w:t>
      </w:r>
    </w:p>
    <w:p w14:paraId="30B893C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（2）根据各类教学目标选择和运用相应的教学模式；</w:t>
      </w:r>
    </w:p>
    <w:p w14:paraId="753CE3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（3）根据教学目标与教学模式布置教学环境。</w:t>
      </w:r>
    </w:p>
    <w:p w14:paraId="23C209DB">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37A3F137">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通过学习如何设计教学，从而让学生在生活中学会如何规划自己的时间，如何让生活中的每一天过得充实、高效、有意义。进而为将来的职业规划打下良好的基础。</w:t>
      </w:r>
    </w:p>
    <w:p w14:paraId="52D0FCAF">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教学设计过程的教学目标设置、教学模式选择与教学环境布置。</w:t>
      </w:r>
    </w:p>
    <w:p w14:paraId="69F8600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 xml:space="preserve">教学目标的设置、教学模式的选择与教学环境布置。 </w:t>
      </w:r>
    </w:p>
    <w:p w14:paraId="54FFAA4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（十五）课堂管理</w:t>
      </w:r>
      <w:r>
        <w:rPr>
          <w:rFonts w:hint="eastAsia" w:ascii="宋体" w:hAnsi="宋体" w:eastAsia="宋体" w:cs="Times New Roman"/>
          <w:b/>
          <w:sz w:val="24"/>
          <w:szCs w:val="24"/>
        </w:rPr>
        <w:t>（本模块各知识点的讲授与学习，可以支撑课程目标3）</w:t>
      </w:r>
    </w:p>
    <w:p w14:paraId="04E53DF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1A6E16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（1）课堂管理概述</w:t>
      </w:r>
    </w:p>
    <w:p w14:paraId="0063AD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（2）课堂管理过程</w:t>
      </w:r>
    </w:p>
    <w:p w14:paraId="21F34E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（3）处理严重的问题行为</w:t>
      </w:r>
    </w:p>
    <w:p w14:paraId="3B3F3AE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3C31A9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（1）了解课堂管理的目标和阶段性；</w:t>
      </w:r>
    </w:p>
    <w:p w14:paraId="789F28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（2）把握课堂管理的基本环节；</w:t>
      </w:r>
    </w:p>
    <w:p w14:paraId="4A7DFE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（3）掌握课堂问题分析和处理的基本方法。</w:t>
      </w:r>
    </w:p>
    <w:p w14:paraId="60193669">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04630C50">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p w14:paraId="0CFB26E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课堂管理的过程和问题行为的分析及处理。</w:t>
      </w:r>
    </w:p>
    <w:p w14:paraId="08BF18A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问题行为分析及处理。</w:t>
      </w:r>
    </w:p>
    <w:p w14:paraId="7B30404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（十六）学习评定</w:t>
      </w:r>
      <w:r>
        <w:rPr>
          <w:rFonts w:hint="eastAsia" w:ascii="宋体" w:hAnsi="宋体" w:eastAsia="宋体" w:cs="Times New Roman"/>
          <w:b/>
          <w:sz w:val="24"/>
          <w:szCs w:val="24"/>
        </w:rPr>
        <w:t>（本模块各知识点的讲授与学习，可以支撑课程目标2、4）</w:t>
      </w:r>
    </w:p>
    <w:p w14:paraId="50037DD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B06E40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（1）学习评定概述</w:t>
      </w:r>
    </w:p>
    <w:p w14:paraId="4E2758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（2）标准化测验</w:t>
      </w:r>
    </w:p>
    <w:p w14:paraId="57693B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（3）教师自编测验</w:t>
      </w:r>
    </w:p>
    <w:p w14:paraId="6C884F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（4）真实性评定与评定结果报告</w:t>
      </w:r>
    </w:p>
    <w:p w14:paraId="7BD8DF5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3B3A95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（1）掌握学习评定的基本理论；</w:t>
      </w:r>
    </w:p>
    <w:p w14:paraId="52D359F2">
      <w:pPr>
        <w:spacing w:line="360" w:lineRule="auto"/>
        <w:ind w:firstLine="480" w:firstLineChars="200"/>
        <w:rPr>
          <w:rFonts w:ascii="宋体" w:hAnsi="宋体" w:eastAsia="宋体" w:cs="Times New Roman"/>
          <w:b/>
          <w:sz w:val="24"/>
          <w:szCs w:val="24"/>
        </w:rPr>
      </w:pPr>
      <w:r>
        <w:rPr>
          <w:rFonts w:hint="eastAsia" w:ascii="宋体" w:hAnsi="宋体" w:eastAsia="宋体" w:cs="宋体"/>
          <w:sz w:val="24"/>
          <w:szCs w:val="24"/>
        </w:rPr>
        <w:t>（2）掌握学习评定的基本方法。</w:t>
      </w:r>
    </w:p>
    <w:p w14:paraId="4F64EC98">
      <w:pPr>
        <w:spacing w:line="336"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3.课程思政育人目标</w:t>
      </w:r>
    </w:p>
    <w:p w14:paraId="762B55D8">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p w14:paraId="148B5144">
      <w:pPr>
        <w:spacing w:line="360" w:lineRule="auto"/>
        <w:ind w:firstLine="405"/>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掌握学习评定的基本理论与基本方法。</w:t>
      </w:r>
    </w:p>
    <w:p w14:paraId="0E3638F6">
      <w:pPr>
        <w:spacing w:line="360" w:lineRule="auto"/>
        <w:ind w:firstLine="405"/>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掌握学习评定的基本方法。</w:t>
      </w:r>
    </w:p>
    <w:p w14:paraId="70CDA041">
      <w:pPr>
        <w:spacing w:line="360" w:lineRule="auto"/>
        <w:ind w:firstLine="405"/>
        <w:rPr>
          <w:rFonts w:ascii="宋体" w:hAnsi="宋体" w:eastAsia="宋体" w:cs="宋体"/>
          <w:bCs/>
          <w:sz w:val="24"/>
          <w:szCs w:val="24"/>
        </w:rPr>
      </w:pPr>
      <w:r>
        <w:rPr>
          <w:rFonts w:hint="eastAsia" w:ascii="宋体" w:hAnsi="宋体" w:eastAsia="宋体" w:cs="Times New Roman"/>
          <w:bCs/>
          <w:sz w:val="24"/>
          <w:szCs w:val="24"/>
        </w:rPr>
        <w:t>教学内容与</w:t>
      </w:r>
      <w:r>
        <w:rPr>
          <w:rFonts w:ascii="宋体" w:hAnsi="宋体" w:eastAsia="宋体" w:cs="Times New Roman"/>
          <w:bCs/>
          <w:sz w:val="24"/>
          <w:szCs w:val="24"/>
        </w:rPr>
        <w:t>课程目标的</w:t>
      </w:r>
      <w:r>
        <w:rPr>
          <w:rFonts w:hint="eastAsia" w:ascii="宋体" w:hAnsi="宋体" w:eastAsia="宋体" w:cs="Times New Roman"/>
          <w:bCs/>
          <w:sz w:val="24"/>
          <w:szCs w:val="24"/>
        </w:rPr>
        <w:t>对应关系及</w:t>
      </w:r>
      <w:r>
        <w:rPr>
          <w:rFonts w:ascii="宋体" w:hAnsi="宋体" w:eastAsia="宋体" w:cs="Times New Roman"/>
          <w:bCs/>
          <w:sz w:val="24"/>
          <w:szCs w:val="24"/>
        </w:rPr>
        <w:t>学时分配</w:t>
      </w:r>
      <w:r>
        <w:rPr>
          <w:rFonts w:hint="eastAsia" w:ascii="宋体" w:hAnsi="宋体" w:eastAsia="宋体" w:cs="Times New Roman"/>
          <w:bCs/>
          <w:sz w:val="24"/>
          <w:szCs w:val="24"/>
        </w:rPr>
        <w:t>如表所示：</w:t>
      </w:r>
    </w:p>
    <w:tbl>
      <w:tblPr>
        <w:tblStyle w:val="30"/>
        <w:tblpPr w:leftFromText="180" w:rightFromText="180" w:vertAnchor="text" w:horzAnchor="page" w:tblpX="1788" w:tblpY="100"/>
        <w:tblOverlap w:val="never"/>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083"/>
        <w:gridCol w:w="1898"/>
        <w:gridCol w:w="1756"/>
        <w:gridCol w:w="1168"/>
      </w:tblGrid>
      <w:tr w14:paraId="5581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09" w:type="dxa"/>
            <w:shd w:val="clear" w:color="auto" w:fill="FFFFFF"/>
            <w:vAlign w:val="center"/>
          </w:tcPr>
          <w:p w14:paraId="72A53CA1">
            <w:pPr>
              <w:adjustRightInd w:val="0"/>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序号</w:t>
            </w:r>
          </w:p>
        </w:tc>
        <w:tc>
          <w:tcPr>
            <w:tcW w:w="3083" w:type="dxa"/>
            <w:shd w:val="clear" w:color="auto" w:fill="FFFFFF"/>
            <w:vAlign w:val="center"/>
          </w:tcPr>
          <w:p w14:paraId="0854D1F2">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教学内容</w:t>
            </w:r>
          </w:p>
        </w:tc>
        <w:tc>
          <w:tcPr>
            <w:tcW w:w="1898" w:type="dxa"/>
            <w:shd w:val="clear" w:color="auto" w:fill="FFFFFF"/>
            <w:vAlign w:val="center"/>
          </w:tcPr>
          <w:p w14:paraId="60DE9B5F">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756" w:type="dxa"/>
            <w:shd w:val="clear" w:color="auto" w:fill="FFFFFF"/>
            <w:vAlign w:val="center"/>
          </w:tcPr>
          <w:p w14:paraId="0A5E6245">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1168" w:type="dxa"/>
            <w:shd w:val="clear" w:color="auto" w:fill="FFFFFF"/>
            <w:vAlign w:val="center"/>
          </w:tcPr>
          <w:p w14:paraId="1806518E">
            <w:pPr>
              <w:adjustRightInd w:val="0"/>
              <w:snapToGrid w:val="0"/>
              <w:spacing w:line="276" w:lineRule="auto"/>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r>
      <w:tr w14:paraId="7E3A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09" w:type="dxa"/>
            <w:shd w:val="clear" w:color="auto" w:fill="FFFFFF"/>
            <w:vAlign w:val="center"/>
          </w:tcPr>
          <w:p w14:paraId="7B698EBD">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w:t>
            </w:r>
          </w:p>
        </w:tc>
        <w:tc>
          <w:tcPr>
            <w:tcW w:w="3083" w:type="dxa"/>
            <w:shd w:val="clear" w:color="auto" w:fill="FFFFFF"/>
            <w:vAlign w:val="center"/>
          </w:tcPr>
          <w:p w14:paraId="5F4D82A0">
            <w:pPr>
              <w:adjustRightInd w:val="0"/>
              <w:snapToGrid w:val="0"/>
              <w:spacing w:line="276" w:lineRule="auto"/>
              <w:jc w:val="center"/>
              <w:rPr>
                <w:rFonts w:ascii="宋体" w:hAnsi="宋体" w:eastAsia="宋体" w:cs="宋体"/>
                <w:kern w:val="0"/>
                <w:szCs w:val="21"/>
              </w:rPr>
            </w:pPr>
            <w:r>
              <w:rPr>
                <w:rFonts w:hint="eastAsia" w:ascii="宋体" w:hAnsi="宋体" w:eastAsia="宋体" w:cs="宋体"/>
                <w:szCs w:val="21"/>
              </w:rPr>
              <w:t>教育心理学及其研究</w:t>
            </w:r>
          </w:p>
        </w:tc>
        <w:tc>
          <w:tcPr>
            <w:tcW w:w="1898" w:type="dxa"/>
            <w:shd w:val="clear" w:color="auto" w:fill="FFFFFF"/>
            <w:vAlign w:val="center"/>
          </w:tcPr>
          <w:p w14:paraId="7070936C">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p>
        </w:tc>
        <w:tc>
          <w:tcPr>
            <w:tcW w:w="1756" w:type="dxa"/>
            <w:shd w:val="clear" w:color="auto" w:fill="FFFFFF"/>
            <w:vAlign w:val="center"/>
          </w:tcPr>
          <w:p w14:paraId="5F64A50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w:t>
            </w:r>
          </w:p>
        </w:tc>
        <w:tc>
          <w:tcPr>
            <w:tcW w:w="1168" w:type="dxa"/>
            <w:shd w:val="clear" w:color="auto" w:fill="FFFFFF"/>
            <w:vAlign w:val="center"/>
          </w:tcPr>
          <w:p w14:paraId="32CF9CC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w:t>
            </w:r>
          </w:p>
        </w:tc>
      </w:tr>
      <w:tr w14:paraId="6D4E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9" w:type="dxa"/>
            <w:vAlign w:val="center"/>
          </w:tcPr>
          <w:p w14:paraId="4A5D284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3083" w:type="dxa"/>
            <w:vAlign w:val="center"/>
          </w:tcPr>
          <w:p w14:paraId="2B7908EC">
            <w:pPr>
              <w:adjustRightInd w:val="0"/>
              <w:snapToGrid w:val="0"/>
              <w:spacing w:line="276" w:lineRule="auto"/>
              <w:jc w:val="center"/>
              <w:rPr>
                <w:rFonts w:ascii="宋体" w:hAnsi="宋体" w:eastAsia="宋体" w:cs="宋体"/>
                <w:kern w:val="0"/>
                <w:szCs w:val="21"/>
              </w:rPr>
            </w:pPr>
            <w:r>
              <w:rPr>
                <w:rFonts w:hint="eastAsia" w:ascii="宋体" w:hAnsi="宋体" w:eastAsia="宋体" w:cs="宋体"/>
                <w:szCs w:val="21"/>
              </w:rPr>
              <w:t>学生心理</w:t>
            </w:r>
          </w:p>
        </w:tc>
        <w:tc>
          <w:tcPr>
            <w:tcW w:w="1898" w:type="dxa"/>
            <w:vAlign w:val="center"/>
          </w:tcPr>
          <w:p w14:paraId="7AE076E4">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目标3</w:t>
            </w:r>
          </w:p>
        </w:tc>
        <w:tc>
          <w:tcPr>
            <w:tcW w:w="1756" w:type="dxa"/>
            <w:vAlign w:val="center"/>
          </w:tcPr>
          <w:p w14:paraId="52717BAD">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6-1</w:t>
            </w:r>
          </w:p>
        </w:tc>
        <w:tc>
          <w:tcPr>
            <w:tcW w:w="1168" w:type="dxa"/>
            <w:vAlign w:val="center"/>
          </w:tcPr>
          <w:p w14:paraId="635A3CA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1D71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709" w:type="dxa"/>
            <w:vAlign w:val="center"/>
          </w:tcPr>
          <w:p w14:paraId="7A0A8CF7">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3083" w:type="dxa"/>
            <w:vAlign w:val="center"/>
          </w:tcPr>
          <w:p w14:paraId="6C6DD073">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教师心理</w:t>
            </w:r>
          </w:p>
        </w:tc>
        <w:tc>
          <w:tcPr>
            <w:tcW w:w="1898" w:type="dxa"/>
            <w:vAlign w:val="center"/>
          </w:tcPr>
          <w:p w14:paraId="698B2797">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目标4</w:t>
            </w:r>
          </w:p>
        </w:tc>
        <w:tc>
          <w:tcPr>
            <w:tcW w:w="1756" w:type="dxa"/>
            <w:vAlign w:val="center"/>
          </w:tcPr>
          <w:p w14:paraId="3A2E34F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7-3</w:t>
            </w:r>
          </w:p>
        </w:tc>
        <w:tc>
          <w:tcPr>
            <w:tcW w:w="1168" w:type="dxa"/>
            <w:vAlign w:val="center"/>
          </w:tcPr>
          <w:p w14:paraId="6623AFCC">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61A0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09" w:type="dxa"/>
            <w:vAlign w:val="center"/>
          </w:tcPr>
          <w:p w14:paraId="5F264D7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w:t>
            </w:r>
          </w:p>
        </w:tc>
        <w:tc>
          <w:tcPr>
            <w:tcW w:w="3083" w:type="dxa"/>
            <w:vAlign w:val="center"/>
          </w:tcPr>
          <w:p w14:paraId="4FBFC2CC">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学习心理导论</w:t>
            </w:r>
          </w:p>
        </w:tc>
        <w:tc>
          <w:tcPr>
            <w:tcW w:w="1898" w:type="dxa"/>
            <w:vAlign w:val="center"/>
          </w:tcPr>
          <w:p w14:paraId="53EA06CC">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w:t>
            </w:r>
          </w:p>
        </w:tc>
        <w:tc>
          <w:tcPr>
            <w:tcW w:w="1756" w:type="dxa"/>
            <w:vAlign w:val="center"/>
          </w:tcPr>
          <w:p w14:paraId="25C2B70E">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w:t>
            </w:r>
          </w:p>
        </w:tc>
        <w:tc>
          <w:tcPr>
            <w:tcW w:w="1168" w:type="dxa"/>
            <w:vAlign w:val="center"/>
          </w:tcPr>
          <w:p w14:paraId="1892428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w:t>
            </w:r>
          </w:p>
        </w:tc>
      </w:tr>
      <w:tr w14:paraId="0E56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09" w:type="dxa"/>
            <w:vAlign w:val="center"/>
          </w:tcPr>
          <w:p w14:paraId="758F096C">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5</w:t>
            </w:r>
          </w:p>
        </w:tc>
        <w:tc>
          <w:tcPr>
            <w:tcW w:w="3083" w:type="dxa"/>
            <w:vAlign w:val="center"/>
          </w:tcPr>
          <w:p w14:paraId="1CD2B830">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行为学习理论</w:t>
            </w:r>
          </w:p>
        </w:tc>
        <w:tc>
          <w:tcPr>
            <w:tcW w:w="1898" w:type="dxa"/>
            <w:vAlign w:val="center"/>
          </w:tcPr>
          <w:p w14:paraId="514C4995">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2E3B0728">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4-1、4-2</w:t>
            </w:r>
          </w:p>
        </w:tc>
        <w:tc>
          <w:tcPr>
            <w:tcW w:w="1168" w:type="dxa"/>
            <w:vAlign w:val="center"/>
          </w:tcPr>
          <w:p w14:paraId="4008450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w:t>
            </w:r>
          </w:p>
        </w:tc>
      </w:tr>
      <w:tr w14:paraId="0708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09" w:type="dxa"/>
            <w:vAlign w:val="center"/>
          </w:tcPr>
          <w:p w14:paraId="6596667A">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6</w:t>
            </w:r>
          </w:p>
        </w:tc>
        <w:tc>
          <w:tcPr>
            <w:tcW w:w="3083" w:type="dxa"/>
            <w:vAlign w:val="center"/>
          </w:tcPr>
          <w:p w14:paraId="7A39DBDA">
            <w:pPr>
              <w:adjustRightInd w:val="0"/>
              <w:snapToGrid w:val="0"/>
              <w:spacing w:line="276" w:lineRule="auto"/>
              <w:jc w:val="center"/>
              <w:rPr>
                <w:rFonts w:ascii="宋体" w:hAnsi="宋体" w:eastAsia="宋体" w:cs="宋体"/>
                <w:kern w:val="0"/>
                <w:szCs w:val="21"/>
              </w:rPr>
            </w:pPr>
            <w:r>
              <w:rPr>
                <w:rFonts w:hint="eastAsia" w:ascii="宋体" w:hAnsi="宋体" w:eastAsia="宋体" w:cs="宋体"/>
                <w:szCs w:val="21"/>
              </w:rPr>
              <w:t>认知学习理论</w:t>
            </w:r>
          </w:p>
        </w:tc>
        <w:tc>
          <w:tcPr>
            <w:tcW w:w="1898" w:type="dxa"/>
            <w:vAlign w:val="center"/>
          </w:tcPr>
          <w:p w14:paraId="01EB654E">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11510366">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4-1、4-2</w:t>
            </w:r>
          </w:p>
        </w:tc>
        <w:tc>
          <w:tcPr>
            <w:tcW w:w="1168" w:type="dxa"/>
            <w:vAlign w:val="center"/>
          </w:tcPr>
          <w:p w14:paraId="3C6F813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w:t>
            </w:r>
          </w:p>
        </w:tc>
      </w:tr>
      <w:tr w14:paraId="6FEA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09" w:type="dxa"/>
            <w:vAlign w:val="center"/>
          </w:tcPr>
          <w:p w14:paraId="1A920EEF">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7</w:t>
            </w:r>
          </w:p>
        </w:tc>
        <w:tc>
          <w:tcPr>
            <w:tcW w:w="3083" w:type="dxa"/>
            <w:vAlign w:val="center"/>
          </w:tcPr>
          <w:p w14:paraId="5FC045A3">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建构主义与人本主义学习理论</w:t>
            </w:r>
          </w:p>
        </w:tc>
        <w:tc>
          <w:tcPr>
            <w:tcW w:w="1898" w:type="dxa"/>
            <w:vAlign w:val="center"/>
          </w:tcPr>
          <w:p w14:paraId="7C37248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19F9F97E">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4-1、4-2</w:t>
            </w:r>
          </w:p>
        </w:tc>
        <w:tc>
          <w:tcPr>
            <w:tcW w:w="1168" w:type="dxa"/>
            <w:vAlign w:val="center"/>
          </w:tcPr>
          <w:p w14:paraId="29E8E1C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7BE7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09" w:type="dxa"/>
            <w:vAlign w:val="center"/>
          </w:tcPr>
          <w:p w14:paraId="6E404A9A">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8</w:t>
            </w:r>
          </w:p>
        </w:tc>
        <w:tc>
          <w:tcPr>
            <w:tcW w:w="3083" w:type="dxa"/>
            <w:vAlign w:val="center"/>
          </w:tcPr>
          <w:p w14:paraId="3B20F578">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学习动机</w:t>
            </w:r>
          </w:p>
        </w:tc>
        <w:tc>
          <w:tcPr>
            <w:tcW w:w="1898" w:type="dxa"/>
            <w:vAlign w:val="center"/>
          </w:tcPr>
          <w:p w14:paraId="75C899CB">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目标2</w:t>
            </w:r>
          </w:p>
        </w:tc>
        <w:tc>
          <w:tcPr>
            <w:tcW w:w="1756" w:type="dxa"/>
            <w:vAlign w:val="center"/>
          </w:tcPr>
          <w:p w14:paraId="162D2107">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4-2</w:t>
            </w:r>
          </w:p>
        </w:tc>
        <w:tc>
          <w:tcPr>
            <w:tcW w:w="1168" w:type="dxa"/>
            <w:vAlign w:val="center"/>
          </w:tcPr>
          <w:p w14:paraId="61AD0DB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5E74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09" w:type="dxa"/>
            <w:vAlign w:val="center"/>
          </w:tcPr>
          <w:p w14:paraId="42BF158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9</w:t>
            </w:r>
          </w:p>
        </w:tc>
        <w:tc>
          <w:tcPr>
            <w:tcW w:w="3083" w:type="dxa"/>
            <w:vAlign w:val="center"/>
          </w:tcPr>
          <w:p w14:paraId="5083AE3D">
            <w:pPr>
              <w:adjustRightInd w:val="0"/>
              <w:snapToGrid w:val="0"/>
              <w:spacing w:line="276" w:lineRule="auto"/>
              <w:jc w:val="center"/>
              <w:rPr>
                <w:rFonts w:ascii="宋体" w:hAnsi="宋体" w:eastAsia="宋体" w:cs="宋体"/>
                <w:kern w:val="0"/>
                <w:szCs w:val="21"/>
              </w:rPr>
            </w:pPr>
            <w:r>
              <w:rPr>
                <w:rFonts w:hint="eastAsia" w:ascii="宋体" w:hAnsi="宋体" w:eastAsia="宋体" w:cs="宋体"/>
                <w:szCs w:val="21"/>
              </w:rPr>
              <w:t>知识的学习</w:t>
            </w:r>
          </w:p>
        </w:tc>
        <w:tc>
          <w:tcPr>
            <w:tcW w:w="1898" w:type="dxa"/>
            <w:vAlign w:val="center"/>
          </w:tcPr>
          <w:p w14:paraId="5669C1F8">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7E9F5DEE">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4-1、4-2</w:t>
            </w:r>
          </w:p>
        </w:tc>
        <w:tc>
          <w:tcPr>
            <w:tcW w:w="1168" w:type="dxa"/>
            <w:vAlign w:val="center"/>
          </w:tcPr>
          <w:p w14:paraId="1E7D420B">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58E2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45AC90A4">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10</w:t>
            </w:r>
          </w:p>
        </w:tc>
        <w:tc>
          <w:tcPr>
            <w:tcW w:w="3083" w:type="dxa"/>
            <w:vAlign w:val="center"/>
          </w:tcPr>
          <w:p w14:paraId="3BDF1633">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技能的学习</w:t>
            </w:r>
          </w:p>
        </w:tc>
        <w:tc>
          <w:tcPr>
            <w:tcW w:w="1898" w:type="dxa"/>
            <w:vAlign w:val="center"/>
          </w:tcPr>
          <w:p w14:paraId="7553663D">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kern w:val="0"/>
                <w:szCs w:val="21"/>
              </w:rPr>
              <w:t>目标1、2</w:t>
            </w:r>
          </w:p>
        </w:tc>
        <w:tc>
          <w:tcPr>
            <w:tcW w:w="1756" w:type="dxa"/>
            <w:vAlign w:val="center"/>
          </w:tcPr>
          <w:p w14:paraId="43E3CF4F">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4-1、4-2</w:t>
            </w:r>
          </w:p>
        </w:tc>
        <w:tc>
          <w:tcPr>
            <w:tcW w:w="1168" w:type="dxa"/>
            <w:vAlign w:val="center"/>
          </w:tcPr>
          <w:p w14:paraId="48D8895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w:t>
            </w:r>
          </w:p>
        </w:tc>
      </w:tr>
      <w:tr w14:paraId="1351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1E2BBEA4">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11</w:t>
            </w:r>
          </w:p>
        </w:tc>
        <w:tc>
          <w:tcPr>
            <w:tcW w:w="3083" w:type="dxa"/>
            <w:vAlign w:val="center"/>
          </w:tcPr>
          <w:p w14:paraId="47E14A46">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问题解决的学习与创造性</w:t>
            </w:r>
          </w:p>
        </w:tc>
        <w:tc>
          <w:tcPr>
            <w:tcW w:w="1898" w:type="dxa"/>
            <w:vAlign w:val="center"/>
          </w:tcPr>
          <w:p w14:paraId="7BBA763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目标1、2</w:t>
            </w:r>
          </w:p>
        </w:tc>
        <w:tc>
          <w:tcPr>
            <w:tcW w:w="1756" w:type="dxa"/>
            <w:vAlign w:val="center"/>
          </w:tcPr>
          <w:p w14:paraId="4016209D">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4-1、4-2</w:t>
            </w:r>
          </w:p>
        </w:tc>
        <w:tc>
          <w:tcPr>
            <w:tcW w:w="1168" w:type="dxa"/>
            <w:vAlign w:val="center"/>
          </w:tcPr>
          <w:p w14:paraId="1FF336E6">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w:t>
            </w:r>
          </w:p>
        </w:tc>
      </w:tr>
      <w:tr w14:paraId="51C1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7D6AA143">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12</w:t>
            </w:r>
          </w:p>
        </w:tc>
        <w:tc>
          <w:tcPr>
            <w:tcW w:w="3083" w:type="dxa"/>
            <w:vAlign w:val="center"/>
          </w:tcPr>
          <w:p w14:paraId="5CD3AD06">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学习策略</w:t>
            </w:r>
          </w:p>
        </w:tc>
        <w:tc>
          <w:tcPr>
            <w:tcW w:w="1898" w:type="dxa"/>
            <w:vAlign w:val="center"/>
          </w:tcPr>
          <w:p w14:paraId="670475B2">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目标1、2</w:t>
            </w:r>
          </w:p>
        </w:tc>
        <w:tc>
          <w:tcPr>
            <w:tcW w:w="1756" w:type="dxa"/>
            <w:vAlign w:val="center"/>
          </w:tcPr>
          <w:p w14:paraId="6ECDA7B7">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4-1、4-2</w:t>
            </w:r>
          </w:p>
        </w:tc>
        <w:tc>
          <w:tcPr>
            <w:tcW w:w="1168" w:type="dxa"/>
            <w:vAlign w:val="center"/>
          </w:tcPr>
          <w:p w14:paraId="174D4A2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3FA4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6BB9B80D">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13</w:t>
            </w:r>
          </w:p>
        </w:tc>
        <w:tc>
          <w:tcPr>
            <w:tcW w:w="3083" w:type="dxa"/>
            <w:vAlign w:val="center"/>
          </w:tcPr>
          <w:p w14:paraId="2FC15E32">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品德的形成</w:t>
            </w:r>
          </w:p>
        </w:tc>
        <w:tc>
          <w:tcPr>
            <w:tcW w:w="1898" w:type="dxa"/>
            <w:vAlign w:val="center"/>
          </w:tcPr>
          <w:p w14:paraId="3D002C5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目标3</w:t>
            </w:r>
          </w:p>
        </w:tc>
        <w:tc>
          <w:tcPr>
            <w:tcW w:w="1756" w:type="dxa"/>
            <w:vAlign w:val="center"/>
          </w:tcPr>
          <w:p w14:paraId="28B6639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6-1</w:t>
            </w:r>
          </w:p>
        </w:tc>
        <w:tc>
          <w:tcPr>
            <w:tcW w:w="1168" w:type="dxa"/>
            <w:vAlign w:val="center"/>
          </w:tcPr>
          <w:p w14:paraId="62DC830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14B8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6A854919">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14</w:t>
            </w:r>
          </w:p>
        </w:tc>
        <w:tc>
          <w:tcPr>
            <w:tcW w:w="3083" w:type="dxa"/>
            <w:vAlign w:val="center"/>
          </w:tcPr>
          <w:p w14:paraId="4053490A">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教学设计</w:t>
            </w:r>
          </w:p>
        </w:tc>
        <w:tc>
          <w:tcPr>
            <w:tcW w:w="1898" w:type="dxa"/>
            <w:vAlign w:val="center"/>
          </w:tcPr>
          <w:p w14:paraId="474952C1">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目标2</w:t>
            </w:r>
          </w:p>
        </w:tc>
        <w:tc>
          <w:tcPr>
            <w:tcW w:w="1756" w:type="dxa"/>
            <w:vAlign w:val="center"/>
          </w:tcPr>
          <w:p w14:paraId="6FB82EC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4-2</w:t>
            </w:r>
          </w:p>
        </w:tc>
        <w:tc>
          <w:tcPr>
            <w:tcW w:w="1168" w:type="dxa"/>
            <w:vAlign w:val="center"/>
          </w:tcPr>
          <w:p w14:paraId="7491AD00">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7E1B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383274B5">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15</w:t>
            </w:r>
          </w:p>
        </w:tc>
        <w:tc>
          <w:tcPr>
            <w:tcW w:w="3083" w:type="dxa"/>
            <w:vAlign w:val="center"/>
          </w:tcPr>
          <w:p w14:paraId="53A48902">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课堂管理</w:t>
            </w:r>
          </w:p>
        </w:tc>
        <w:tc>
          <w:tcPr>
            <w:tcW w:w="1898" w:type="dxa"/>
            <w:vAlign w:val="center"/>
          </w:tcPr>
          <w:p w14:paraId="1AA69124">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目标3</w:t>
            </w:r>
          </w:p>
        </w:tc>
        <w:tc>
          <w:tcPr>
            <w:tcW w:w="1756" w:type="dxa"/>
            <w:vAlign w:val="center"/>
          </w:tcPr>
          <w:p w14:paraId="2179A5DE">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6-1</w:t>
            </w:r>
          </w:p>
        </w:tc>
        <w:tc>
          <w:tcPr>
            <w:tcW w:w="1168" w:type="dxa"/>
            <w:vAlign w:val="center"/>
          </w:tcPr>
          <w:p w14:paraId="4B7A06D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2C10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09" w:type="dxa"/>
            <w:vAlign w:val="center"/>
          </w:tcPr>
          <w:p w14:paraId="4433AE31">
            <w:pPr>
              <w:adjustRightInd w:val="0"/>
              <w:snapToGrid w:val="0"/>
              <w:spacing w:line="276" w:lineRule="auto"/>
              <w:jc w:val="center"/>
              <w:rPr>
                <w:rFonts w:ascii="宋体" w:hAnsi="宋体" w:eastAsia="宋体" w:cs="Times New Roman"/>
                <w:szCs w:val="21"/>
              </w:rPr>
            </w:pPr>
            <w:r>
              <w:rPr>
                <w:rFonts w:hint="eastAsia" w:ascii="宋体" w:hAnsi="宋体" w:eastAsia="宋体" w:cs="Times New Roman"/>
                <w:szCs w:val="21"/>
              </w:rPr>
              <w:t>16</w:t>
            </w:r>
          </w:p>
        </w:tc>
        <w:tc>
          <w:tcPr>
            <w:tcW w:w="3083" w:type="dxa"/>
            <w:vAlign w:val="center"/>
          </w:tcPr>
          <w:p w14:paraId="71613F2C">
            <w:pPr>
              <w:adjustRightInd w:val="0"/>
              <w:snapToGrid w:val="0"/>
              <w:spacing w:line="276" w:lineRule="auto"/>
              <w:jc w:val="center"/>
              <w:rPr>
                <w:rFonts w:ascii="宋体" w:hAnsi="宋体" w:eastAsia="宋体" w:cs="Times New Roman"/>
                <w:szCs w:val="21"/>
              </w:rPr>
            </w:pPr>
            <w:r>
              <w:rPr>
                <w:rFonts w:hint="eastAsia" w:ascii="宋体" w:hAnsi="宋体" w:eastAsia="宋体" w:cs="宋体"/>
                <w:szCs w:val="21"/>
              </w:rPr>
              <w:t>学习评定</w:t>
            </w:r>
          </w:p>
        </w:tc>
        <w:tc>
          <w:tcPr>
            <w:tcW w:w="1898" w:type="dxa"/>
            <w:vAlign w:val="center"/>
          </w:tcPr>
          <w:p w14:paraId="0C014A33">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目标2、4</w:t>
            </w:r>
          </w:p>
        </w:tc>
        <w:tc>
          <w:tcPr>
            <w:tcW w:w="1756" w:type="dxa"/>
            <w:vAlign w:val="center"/>
          </w:tcPr>
          <w:p w14:paraId="76CCCDAF">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szCs w:val="21"/>
              </w:rPr>
              <w:t>4-2、7-3</w:t>
            </w:r>
          </w:p>
        </w:tc>
        <w:tc>
          <w:tcPr>
            <w:tcW w:w="1168" w:type="dxa"/>
            <w:vAlign w:val="center"/>
          </w:tcPr>
          <w:p w14:paraId="4F9D7D85">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r>
      <w:tr w14:paraId="1B48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446" w:type="dxa"/>
            <w:gridSpan w:val="4"/>
            <w:vAlign w:val="center"/>
          </w:tcPr>
          <w:p w14:paraId="6E0F0358">
            <w:pPr>
              <w:adjustRightInd w:val="0"/>
              <w:snapToGrid w:val="0"/>
              <w:spacing w:line="276" w:lineRule="auto"/>
              <w:jc w:val="center"/>
              <w:rPr>
                <w:rFonts w:ascii="宋体" w:hAnsi="宋体" w:eastAsia="宋体" w:cs="Times New Roman"/>
                <w:szCs w:val="21"/>
              </w:rPr>
            </w:pPr>
            <w:r>
              <w:rPr>
                <w:rFonts w:ascii="宋体" w:hAnsi="宋体" w:eastAsia="宋体" w:cs="Times New Roman"/>
                <w:szCs w:val="21"/>
              </w:rPr>
              <w:t>合计</w:t>
            </w:r>
          </w:p>
        </w:tc>
        <w:tc>
          <w:tcPr>
            <w:tcW w:w="1168" w:type="dxa"/>
            <w:vAlign w:val="center"/>
          </w:tcPr>
          <w:p w14:paraId="7B6FAE59">
            <w:pPr>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32</w:t>
            </w:r>
          </w:p>
        </w:tc>
      </w:tr>
    </w:tbl>
    <w:p w14:paraId="1364679B">
      <w:pPr>
        <w:spacing w:line="360" w:lineRule="auto"/>
        <w:ind w:firstLine="562" w:firstLineChars="200"/>
        <w:rPr>
          <w:rFonts w:ascii="宋体" w:hAnsi="宋体" w:eastAsia="宋体" w:cs="Times New Roman"/>
          <w:b/>
          <w:sz w:val="28"/>
          <w:szCs w:val="28"/>
        </w:rPr>
      </w:pPr>
      <w:bookmarkStart w:id="89" w:name="_Toc27846261"/>
      <w:bookmarkStart w:id="90" w:name="_Toc27847279"/>
      <w:r>
        <w:rPr>
          <w:rFonts w:hint="eastAsia" w:ascii="宋体" w:hAnsi="宋体" w:eastAsia="宋体" w:cs="Times New Roman"/>
          <w:b/>
          <w:sz w:val="28"/>
          <w:szCs w:val="28"/>
        </w:rPr>
        <w:t>五、课程实施</w:t>
      </w:r>
      <w:bookmarkEnd w:id="89"/>
      <w:bookmarkEnd w:id="90"/>
    </w:p>
    <w:p w14:paraId="02BA4478">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（一）教学方法与教学手段</w:t>
      </w:r>
    </w:p>
    <w:p w14:paraId="1227AE8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注重以情境为中心的案例教学。</w:t>
      </w:r>
    </w:p>
    <w:p w14:paraId="57C43D0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课程由于涉及理论多、概念多，过于抽象，学生不容易理解，学习动机不强。为此，对这部分内容的教学需要借助于基于教育情境的案例来进行。一方面，通过丰富而形象的情境化案例，可以帮助学生更好地建构对各种理论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5328B5A9">
      <w:pPr>
        <w:numPr>
          <w:ilvl w:val="0"/>
          <w:numId w:val="2"/>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注重以问题为中心的启发教学。</w:t>
      </w:r>
    </w:p>
    <w:p w14:paraId="7F0746C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课程主要涉及各种教育心理学理论知识，需要学生深入思考并各种理论提出的背景、主要观点及教育意义，并需要进行对比。一方面，这种方法可以帮助学生深入建构对新知识意义的理解，利于与原有知识框架形成紧密联系，从而推动认知结构的优化与系统化；另一方面，这种方法还可以促进学生的批判性思维的发展，有利于创新意识与创新能力的发展；此外，这种方法还可以促进学生学习主动性的发挥，促进其认知内驱力的提升。</w:t>
      </w:r>
    </w:p>
    <w:p w14:paraId="250BCF4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 注重以问题为中心的项目学习。</w:t>
      </w:r>
    </w:p>
    <w:p w14:paraId="603AD48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课程将学生的课外学习与课内学习相结合，个人学习与小组学习相结合。通过确定问题，分析问题，提出方案，验证假设等四步法，一方面，这有利于帮助学生深入理解和运用各类理论；另一方面，这有利于学生批判性思维意识与能力的发展，有利于其创新性的发展；此外，通过合作探讨，也利于促进学生的交流与合作能力的发展。</w:t>
      </w:r>
    </w:p>
    <w:p w14:paraId="7E3AEBA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合理使用多媒体等现代化教学手段。利用多种教学资源，增加课堂教学信息量和课堂教学的吸引力。</w:t>
      </w:r>
    </w:p>
    <w:p w14:paraId="66CC558F">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sz w:val="24"/>
          <w:szCs w:val="24"/>
        </w:rPr>
        <w:t xml:space="preserve">5. </w:t>
      </w:r>
      <w:r>
        <w:rPr>
          <w:rFonts w:hint="eastAsia" w:ascii="宋体" w:hAnsi="宋体" w:eastAsia="宋体" w:cs="Times New Roman"/>
          <w:sz w:val="24"/>
          <w:szCs w:val="24"/>
        </w:rPr>
        <w:t>紧密结合教育心理学及课程改革最新研究成果，及时调整和补充学科前沿知识。</w:t>
      </w:r>
    </w:p>
    <w:p w14:paraId="0475917B">
      <w:pPr>
        <w:spacing w:line="360" w:lineRule="auto"/>
        <w:ind w:firstLine="482" w:firstLineChars="200"/>
        <w:rPr>
          <w:rFonts w:ascii="宋体" w:hAnsi="宋体" w:eastAsia="宋体" w:cs="Times New Roman"/>
          <w:b/>
          <w:bCs/>
          <w:sz w:val="24"/>
          <w:szCs w:val="24"/>
        </w:rPr>
      </w:pPr>
      <w:r>
        <w:rPr>
          <w:rFonts w:hint="eastAsia" w:ascii="Times New Roman" w:hAnsi="Times New Roman" w:eastAsia="宋体" w:cs="Times New Roman"/>
          <w:b/>
          <w:sz w:val="24"/>
          <w:szCs w:val="24"/>
        </w:rPr>
        <w:t>（二）课程实施与保障</w:t>
      </w:r>
    </w:p>
    <w:p w14:paraId="4EE24DF9">
      <w:pPr>
        <w:spacing w:line="360" w:lineRule="auto"/>
        <w:ind w:firstLine="482" w:firstLineChars="200"/>
        <w:rPr>
          <w:rFonts w:ascii="宋体" w:hAnsi="宋体" w:eastAsia="宋体" w:cs="Times New Roman"/>
          <w:b/>
          <w:bCs/>
          <w:sz w:val="24"/>
          <w:szCs w:val="24"/>
        </w:rPr>
      </w:pPr>
      <w:r>
        <w:rPr>
          <w:rFonts w:ascii="宋体" w:hAnsi="宋体" w:eastAsia="宋体" w:cs="Times New Roman"/>
          <w:b/>
          <w:bCs/>
          <w:sz w:val="24"/>
          <w:szCs w:val="24"/>
        </w:rPr>
        <w:t>主要教学环节的质量要求如表所示</w:t>
      </w:r>
      <w:r>
        <w:rPr>
          <w:rFonts w:hint="eastAsia" w:ascii="宋体" w:hAnsi="宋体" w:eastAsia="宋体" w:cs="Times New Roman"/>
          <w:b/>
          <w:bCs/>
          <w:sz w:val="24"/>
          <w:szCs w:val="24"/>
        </w:rPr>
        <w:t>：</w:t>
      </w:r>
    </w:p>
    <w:tbl>
      <w:tblPr>
        <w:tblStyle w:val="30"/>
        <w:tblW w:w="8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50"/>
        <w:gridCol w:w="7055"/>
      </w:tblGrid>
      <w:tr w14:paraId="41DF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16" w:type="dxa"/>
            <w:gridSpan w:val="2"/>
            <w:tcBorders>
              <w:top w:val="single" w:color="auto" w:sz="8" w:space="0"/>
              <w:left w:val="single" w:color="auto" w:sz="8" w:space="0"/>
              <w:right w:val="single" w:color="auto" w:sz="8" w:space="0"/>
            </w:tcBorders>
            <w:tcMar>
              <w:left w:w="28" w:type="dxa"/>
              <w:right w:w="28" w:type="dxa"/>
            </w:tcMar>
            <w:vAlign w:val="center"/>
          </w:tcPr>
          <w:p w14:paraId="6FB9D429">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055" w:type="dxa"/>
            <w:tcBorders>
              <w:top w:val="single" w:color="auto" w:sz="8" w:space="0"/>
              <w:left w:val="single" w:color="auto" w:sz="8" w:space="0"/>
              <w:right w:val="single" w:color="auto" w:sz="8" w:space="0"/>
            </w:tcBorders>
            <w:vAlign w:val="center"/>
          </w:tcPr>
          <w:p w14:paraId="2171CACF">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6A93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666" w:type="dxa"/>
            <w:tcBorders>
              <w:left w:val="single" w:color="auto" w:sz="8" w:space="0"/>
            </w:tcBorders>
            <w:vAlign w:val="center"/>
          </w:tcPr>
          <w:p w14:paraId="43B66598">
            <w:pPr>
              <w:spacing w:line="276" w:lineRule="auto"/>
              <w:jc w:val="center"/>
              <w:rPr>
                <w:rFonts w:ascii="宋体" w:hAnsi="宋体" w:eastAsia="宋体" w:cs="Times New Roman"/>
                <w:szCs w:val="21"/>
              </w:rPr>
            </w:pPr>
            <w:r>
              <w:rPr>
                <w:rFonts w:ascii="宋体" w:hAnsi="宋体" w:eastAsia="宋体" w:cs="Times New Roman"/>
                <w:szCs w:val="21"/>
              </w:rPr>
              <w:t>1</w:t>
            </w:r>
          </w:p>
        </w:tc>
        <w:tc>
          <w:tcPr>
            <w:tcW w:w="850" w:type="dxa"/>
            <w:tcMar>
              <w:left w:w="28" w:type="dxa"/>
              <w:right w:w="28" w:type="dxa"/>
            </w:tcMar>
            <w:vAlign w:val="center"/>
          </w:tcPr>
          <w:p w14:paraId="69600388">
            <w:pPr>
              <w:spacing w:line="276" w:lineRule="auto"/>
              <w:jc w:val="center"/>
              <w:rPr>
                <w:rFonts w:ascii="宋体" w:hAnsi="宋体" w:eastAsia="宋体" w:cs="Times New Roman"/>
                <w:szCs w:val="21"/>
              </w:rPr>
            </w:pPr>
            <w:r>
              <w:rPr>
                <w:rFonts w:ascii="宋体" w:hAnsi="宋体" w:eastAsia="宋体" w:cs="Times New Roman"/>
                <w:szCs w:val="21"/>
              </w:rPr>
              <w:t>备课</w:t>
            </w:r>
          </w:p>
        </w:tc>
        <w:tc>
          <w:tcPr>
            <w:tcW w:w="7055" w:type="dxa"/>
            <w:tcBorders>
              <w:right w:val="single" w:color="auto" w:sz="8" w:space="0"/>
            </w:tcBorders>
            <w:vAlign w:val="center"/>
          </w:tcPr>
          <w:p w14:paraId="1F83ACA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（1）教师</w:t>
            </w:r>
            <w:r>
              <w:rPr>
                <w:rFonts w:ascii="Times New Roman" w:hAnsi="Times New Roman" w:eastAsia="宋体" w:cs="Times New Roman"/>
                <w:szCs w:val="21"/>
              </w:rPr>
              <w:t>掌握本课程教学大纲内容，严格按照教学大纲要求进行课程教学内容的组织。</w:t>
            </w:r>
          </w:p>
          <w:p w14:paraId="65270F5C">
            <w:pPr>
              <w:spacing w:line="276" w:lineRule="auto"/>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教师查阅相关资料，参考其他高校相关专业的经验，认真编写教案，制作课件</w:t>
            </w:r>
            <w:r>
              <w:rPr>
                <w:rFonts w:ascii="Times New Roman" w:hAnsi="Times New Roman" w:eastAsia="宋体" w:cs="Times New Roman"/>
                <w:szCs w:val="21"/>
              </w:rPr>
              <w:t>。</w:t>
            </w:r>
          </w:p>
          <w:p w14:paraId="0002686E">
            <w:pPr>
              <w:spacing w:line="276" w:lineRule="auto"/>
              <w:rPr>
                <w:rFonts w:ascii="宋体" w:hAnsi="宋体"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w:t>
            </w:r>
            <w:r>
              <w:rPr>
                <w:rFonts w:hint="eastAsia" w:ascii="Times New Roman" w:hAnsi="Times New Roman" w:eastAsia="宋体" w:cs="Times New Roman"/>
                <w:szCs w:val="21"/>
              </w:rPr>
              <w:t>主题的教学</w:t>
            </w:r>
            <w:r>
              <w:rPr>
                <w:rFonts w:ascii="Times New Roman" w:hAnsi="Times New Roman" w:eastAsia="宋体" w:cs="Times New Roman"/>
                <w:szCs w:val="21"/>
              </w:rPr>
              <w:t>内容</w:t>
            </w:r>
            <w:r>
              <w:rPr>
                <w:rFonts w:hint="eastAsia" w:ascii="Times New Roman" w:hAnsi="Times New Roman" w:eastAsia="宋体" w:cs="Times New Roman"/>
                <w:szCs w:val="21"/>
              </w:rPr>
              <w:t>，根据学生最近发展区与个性特征，进行教学设计</w:t>
            </w:r>
            <w:r>
              <w:rPr>
                <w:rFonts w:ascii="Times New Roman" w:hAnsi="Times New Roman" w:eastAsia="宋体" w:cs="Times New Roman"/>
                <w:szCs w:val="21"/>
              </w:rPr>
              <w:t>。</w:t>
            </w:r>
          </w:p>
        </w:tc>
      </w:tr>
      <w:tr w14:paraId="58B4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666" w:type="dxa"/>
            <w:tcBorders>
              <w:left w:val="single" w:color="auto" w:sz="8" w:space="0"/>
            </w:tcBorders>
            <w:vAlign w:val="center"/>
          </w:tcPr>
          <w:p w14:paraId="1DA14239">
            <w:pPr>
              <w:spacing w:line="276" w:lineRule="auto"/>
              <w:jc w:val="center"/>
              <w:rPr>
                <w:rFonts w:ascii="宋体" w:hAnsi="宋体" w:eastAsia="宋体" w:cs="Times New Roman"/>
                <w:szCs w:val="21"/>
              </w:rPr>
            </w:pPr>
            <w:r>
              <w:rPr>
                <w:rFonts w:ascii="宋体" w:hAnsi="宋体" w:eastAsia="宋体" w:cs="Times New Roman"/>
                <w:szCs w:val="21"/>
              </w:rPr>
              <w:t>2</w:t>
            </w:r>
          </w:p>
        </w:tc>
        <w:tc>
          <w:tcPr>
            <w:tcW w:w="850" w:type="dxa"/>
            <w:tcMar>
              <w:left w:w="28" w:type="dxa"/>
              <w:right w:w="28" w:type="dxa"/>
            </w:tcMar>
            <w:vAlign w:val="center"/>
          </w:tcPr>
          <w:p w14:paraId="2256B645">
            <w:pPr>
              <w:jc w:val="center"/>
              <w:rPr>
                <w:rFonts w:ascii="宋体" w:hAnsi="宋体" w:eastAsia="宋体" w:cs="Times New Roman"/>
                <w:szCs w:val="21"/>
              </w:rPr>
            </w:pPr>
            <w:r>
              <w:rPr>
                <w:rFonts w:ascii="宋体" w:hAnsi="宋体" w:eastAsia="宋体" w:cs="Times New Roman"/>
                <w:szCs w:val="21"/>
              </w:rPr>
              <w:t>讲授</w:t>
            </w:r>
          </w:p>
        </w:tc>
        <w:tc>
          <w:tcPr>
            <w:tcW w:w="7055" w:type="dxa"/>
            <w:tcBorders>
              <w:right w:val="single" w:color="auto" w:sz="8" w:space="0"/>
            </w:tcBorders>
            <w:vAlign w:val="center"/>
          </w:tcPr>
          <w:p w14:paraId="7A5997B0">
            <w:pPr>
              <w:rPr>
                <w:rFonts w:ascii="Times New Roman" w:hAnsi="Times New Roman" w:eastAsia="宋体" w:cs="Times New Roman"/>
                <w:szCs w:val="21"/>
              </w:rPr>
            </w:pPr>
            <w:r>
              <w:rPr>
                <w:rFonts w:hint="eastAsia" w:ascii="Times New Roman" w:hAnsi="Times New Roman" w:eastAsia="宋体" w:cs="Times New Roman"/>
                <w:szCs w:val="21"/>
              </w:rPr>
              <w:t>（1）教师严格按照常州工学院课堂教学规范组织教学。</w:t>
            </w:r>
          </w:p>
          <w:p w14:paraId="1D8651B5">
            <w:pPr>
              <w:rPr>
                <w:rFonts w:ascii="Times New Roman" w:hAnsi="Times New Roman" w:eastAsia="宋体" w:cs="Times New Roman"/>
                <w:szCs w:val="21"/>
              </w:rPr>
            </w:pPr>
            <w:r>
              <w:rPr>
                <w:rFonts w:hint="eastAsia" w:ascii="Times New Roman" w:hAnsi="Times New Roman" w:eastAsia="宋体" w:cs="Times New Roman"/>
                <w:szCs w:val="21"/>
              </w:rPr>
              <w:t>（2）教师讲授时应注意</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；力求做到能够</w:t>
            </w:r>
            <w:r>
              <w:rPr>
                <w:rFonts w:ascii="Times New Roman" w:hAnsi="Times New Roman" w:eastAsia="宋体" w:cs="Times New Roman"/>
                <w:szCs w:val="21"/>
              </w:rPr>
              <w:t>理论联系实际</w:t>
            </w:r>
            <w:r>
              <w:rPr>
                <w:rFonts w:hint="eastAsia" w:ascii="Times New Roman" w:hAnsi="Times New Roman" w:eastAsia="宋体" w:cs="Times New Roman"/>
                <w:szCs w:val="21"/>
              </w:rPr>
              <w:t>，深入浅出</w:t>
            </w:r>
            <w:r>
              <w:rPr>
                <w:rFonts w:ascii="Times New Roman" w:hAnsi="Times New Roman" w:eastAsia="宋体" w:cs="Times New Roman"/>
                <w:szCs w:val="21"/>
              </w:rPr>
              <w:t>。</w:t>
            </w:r>
          </w:p>
          <w:p w14:paraId="7EFB40C3">
            <w:pPr>
              <w:rPr>
                <w:rFonts w:ascii="宋体" w:hAnsi="宋体" w:eastAsia="宋体" w:cs="Times New Roman"/>
                <w:szCs w:val="21"/>
              </w:rPr>
            </w:pPr>
            <w:r>
              <w:rPr>
                <w:rFonts w:hint="eastAsia" w:ascii="Times New Roman" w:hAnsi="Times New Roman" w:eastAsia="宋体" w:cs="Times New Roman"/>
                <w:szCs w:val="21"/>
              </w:rPr>
              <w:t>（3）教师讲授时应</w:t>
            </w:r>
            <w:r>
              <w:rPr>
                <w:rFonts w:ascii="Times New Roman" w:hAnsi="Times New Roman" w:eastAsia="宋体" w:cs="Times New Roman"/>
                <w:szCs w:val="21"/>
              </w:rPr>
              <w:t>采用多种教学方式</w:t>
            </w:r>
            <w:r>
              <w:rPr>
                <w:rFonts w:hint="eastAsia" w:ascii="Times New Roman" w:hAnsi="Times New Roman" w:eastAsia="宋体" w:cs="Times New Roman"/>
                <w:szCs w:val="21"/>
              </w:rPr>
              <w:t>，</w:t>
            </w:r>
            <w:r>
              <w:rPr>
                <w:rFonts w:ascii="Times New Roman" w:hAnsi="Times New Roman" w:eastAsia="宋体" w:cs="Times New Roman"/>
                <w:szCs w:val="21"/>
              </w:rPr>
              <w:t>如</w:t>
            </w:r>
            <w:r>
              <w:rPr>
                <w:rFonts w:hint="eastAsia" w:ascii="Times New Roman" w:hAnsi="Times New Roman" w:eastAsia="宋体" w:cs="Times New Roman"/>
                <w:szCs w:val="21"/>
              </w:rPr>
              <w:t>谈话式</w:t>
            </w:r>
            <w:r>
              <w:rPr>
                <w:rFonts w:ascii="Times New Roman" w:hAnsi="Times New Roman" w:eastAsia="宋体" w:cs="Times New Roman"/>
                <w:szCs w:val="21"/>
              </w:rPr>
              <w:t>、案例分析</w:t>
            </w:r>
            <w:r>
              <w:rPr>
                <w:rFonts w:hint="eastAsia" w:ascii="Times New Roman" w:hAnsi="Times New Roman" w:eastAsia="宋体" w:cs="Times New Roman"/>
                <w:szCs w:val="21"/>
              </w:rPr>
              <w:t>式</w:t>
            </w:r>
            <w:r>
              <w:rPr>
                <w:rFonts w:ascii="Times New Roman" w:hAnsi="Times New Roman" w:eastAsia="宋体" w:cs="Times New Roman"/>
                <w:szCs w:val="21"/>
              </w:rPr>
              <w:t>、讨论式</w:t>
            </w:r>
            <w:r>
              <w:rPr>
                <w:rFonts w:hint="eastAsia" w:ascii="Times New Roman" w:hAnsi="Times New Roman" w:eastAsia="宋体" w:cs="Times New Roman"/>
                <w:szCs w:val="21"/>
              </w:rPr>
              <w:t>、项目式等</w:t>
            </w:r>
            <w:r>
              <w:rPr>
                <w:rFonts w:ascii="Times New Roman" w:hAnsi="Times New Roman" w:eastAsia="宋体" w:cs="Times New Roman"/>
                <w:szCs w:val="21"/>
              </w:rPr>
              <w:t>，</w:t>
            </w:r>
            <w:r>
              <w:rPr>
                <w:rFonts w:hint="eastAsia" w:ascii="Times New Roman" w:hAnsi="Times New Roman" w:eastAsia="宋体" w:cs="Times New Roman"/>
                <w:szCs w:val="21"/>
              </w:rPr>
              <w:t>充分调动学生参与课堂学习，培养学生对本专业的兴趣</w:t>
            </w:r>
            <w:r>
              <w:rPr>
                <w:rFonts w:ascii="Times New Roman" w:hAnsi="Times New Roman" w:eastAsia="宋体" w:cs="Times New Roman"/>
                <w:szCs w:val="21"/>
              </w:rPr>
              <w:t>。</w:t>
            </w:r>
          </w:p>
        </w:tc>
      </w:tr>
      <w:tr w14:paraId="408F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666" w:type="dxa"/>
            <w:tcBorders>
              <w:left w:val="single" w:color="auto" w:sz="8" w:space="0"/>
            </w:tcBorders>
            <w:vAlign w:val="center"/>
          </w:tcPr>
          <w:p w14:paraId="2697B6BA">
            <w:pPr>
              <w:spacing w:line="276" w:lineRule="auto"/>
              <w:jc w:val="center"/>
              <w:rPr>
                <w:rFonts w:ascii="宋体" w:hAnsi="宋体" w:eastAsia="宋体" w:cs="Times New Roman"/>
                <w:szCs w:val="21"/>
              </w:rPr>
            </w:pPr>
            <w:r>
              <w:rPr>
                <w:rFonts w:ascii="宋体" w:hAnsi="宋体" w:eastAsia="宋体" w:cs="Times New Roman"/>
                <w:szCs w:val="21"/>
              </w:rPr>
              <w:t>3</w:t>
            </w:r>
          </w:p>
        </w:tc>
        <w:tc>
          <w:tcPr>
            <w:tcW w:w="850" w:type="dxa"/>
            <w:tcMar>
              <w:left w:w="28" w:type="dxa"/>
              <w:right w:w="28" w:type="dxa"/>
            </w:tcMar>
            <w:vAlign w:val="center"/>
          </w:tcPr>
          <w:p w14:paraId="63E4A241">
            <w:pPr>
              <w:jc w:val="center"/>
              <w:rPr>
                <w:rFonts w:ascii="宋体" w:hAnsi="宋体" w:eastAsia="宋体" w:cs="Times New Roman"/>
                <w:szCs w:val="21"/>
              </w:rPr>
            </w:pPr>
            <w:r>
              <w:rPr>
                <w:rFonts w:ascii="宋体" w:hAnsi="宋体" w:eastAsia="宋体" w:cs="Times New Roman"/>
                <w:szCs w:val="21"/>
              </w:rPr>
              <w:t>作业布置与批改</w:t>
            </w:r>
          </w:p>
        </w:tc>
        <w:tc>
          <w:tcPr>
            <w:tcW w:w="7055" w:type="dxa"/>
            <w:tcBorders>
              <w:right w:val="single" w:color="auto" w:sz="8" w:space="0"/>
            </w:tcBorders>
            <w:vAlign w:val="center"/>
          </w:tcPr>
          <w:p w14:paraId="4921565D">
            <w:pPr>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08B6A82E">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3A7610A5">
            <w:pPr>
              <w:rPr>
                <w:rFonts w:ascii="Times New Roman" w:hAnsi="Times New Roman" w:eastAsia="宋体" w:cs="Times New Roman"/>
                <w:szCs w:val="21"/>
              </w:rPr>
            </w:pPr>
            <w:r>
              <w:rPr>
                <w:rFonts w:hint="eastAsia" w:ascii="Times New Roman" w:hAnsi="Times New Roman" w:eastAsia="宋体" w:cs="Times New Roman"/>
                <w:szCs w:val="21"/>
              </w:rPr>
              <w:t>（2）书写或打印</w:t>
            </w:r>
            <w:r>
              <w:rPr>
                <w:rFonts w:ascii="Times New Roman" w:hAnsi="Times New Roman" w:eastAsia="宋体" w:cs="Times New Roman"/>
                <w:szCs w:val="21"/>
              </w:rPr>
              <w:t>规范</w:t>
            </w:r>
            <w:r>
              <w:rPr>
                <w:rFonts w:hint="eastAsia" w:ascii="Times New Roman" w:hAnsi="Times New Roman" w:eastAsia="宋体" w:cs="Times New Roman"/>
                <w:szCs w:val="21"/>
              </w:rPr>
              <w:t>。</w:t>
            </w:r>
          </w:p>
          <w:p w14:paraId="01604F98">
            <w:pPr>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496B00B6">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、反馈。</w:t>
            </w:r>
          </w:p>
          <w:p w14:paraId="1F01885A">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346DFBA8">
            <w:pPr>
              <w:rPr>
                <w:rFonts w:ascii="宋体" w:hAnsi="宋体"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作为本课程总评成绩的重要组成部分。</w:t>
            </w:r>
          </w:p>
        </w:tc>
      </w:tr>
      <w:tr w14:paraId="0475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66" w:type="dxa"/>
            <w:tcBorders>
              <w:left w:val="single" w:color="auto" w:sz="8" w:space="0"/>
            </w:tcBorders>
            <w:vAlign w:val="center"/>
          </w:tcPr>
          <w:p w14:paraId="17A59515">
            <w:pPr>
              <w:spacing w:line="276" w:lineRule="auto"/>
              <w:jc w:val="center"/>
              <w:rPr>
                <w:rFonts w:ascii="宋体" w:hAnsi="宋体" w:eastAsia="宋体" w:cs="Times New Roman"/>
                <w:szCs w:val="21"/>
              </w:rPr>
            </w:pPr>
            <w:r>
              <w:rPr>
                <w:rFonts w:ascii="宋体" w:hAnsi="宋体" w:eastAsia="宋体" w:cs="Times New Roman"/>
                <w:szCs w:val="21"/>
              </w:rPr>
              <w:t>4</w:t>
            </w:r>
          </w:p>
        </w:tc>
        <w:tc>
          <w:tcPr>
            <w:tcW w:w="850" w:type="dxa"/>
            <w:tcMar>
              <w:left w:w="28" w:type="dxa"/>
              <w:right w:w="28" w:type="dxa"/>
            </w:tcMar>
            <w:vAlign w:val="center"/>
          </w:tcPr>
          <w:p w14:paraId="31FB915D">
            <w:pPr>
              <w:jc w:val="center"/>
              <w:rPr>
                <w:rFonts w:ascii="宋体" w:hAnsi="宋体" w:eastAsia="宋体" w:cs="Times New Roman"/>
                <w:szCs w:val="21"/>
              </w:rPr>
            </w:pPr>
            <w:r>
              <w:rPr>
                <w:rFonts w:ascii="宋体" w:hAnsi="宋体" w:eastAsia="宋体" w:cs="Times New Roman"/>
                <w:szCs w:val="21"/>
              </w:rPr>
              <w:t>课外答疑</w:t>
            </w:r>
          </w:p>
        </w:tc>
        <w:tc>
          <w:tcPr>
            <w:tcW w:w="7055" w:type="dxa"/>
            <w:tcBorders>
              <w:right w:val="single" w:color="auto" w:sz="8" w:space="0"/>
            </w:tcBorders>
            <w:vAlign w:val="center"/>
          </w:tcPr>
          <w:p w14:paraId="6A387B85">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6D81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66" w:type="dxa"/>
            <w:tcBorders>
              <w:left w:val="single" w:color="auto" w:sz="8" w:space="0"/>
            </w:tcBorders>
            <w:vAlign w:val="center"/>
          </w:tcPr>
          <w:p w14:paraId="06489785">
            <w:pPr>
              <w:spacing w:line="276" w:lineRule="auto"/>
              <w:jc w:val="center"/>
              <w:rPr>
                <w:rFonts w:ascii="宋体" w:hAnsi="宋体" w:eastAsia="宋体" w:cs="Times New Roman"/>
                <w:szCs w:val="21"/>
              </w:rPr>
            </w:pPr>
            <w:r>
              <w:rPr>
                <w:rFonts w:ascii="宋体" w:hAnsi="宋体" w:eastAsia="宋体" w:cs="Times New Roman"/>
                <w:szCs w:val="21"/>
              </w:rPr>
              <w:t>5</w:t>
            </w:r>
          </w:p>
        </w:tc>
        <w:tc>
          <w:tcPr>
            <w:tcW w:w="850" w:type="dxa"/>
            <w:tcMar>
              <w:left w:w="28" w:type="dxa"/>
              <w:right w:w="28" w:type="dxa"/>
            </w:tcMar>
            <w:vAlign w:val="center"/>
          </w:tcPr>
          <w:p w14:paraId="553C1E57">
            <w:pPr>
              <w:jc w:val="center"/>
              <w:rPr>
                <w:rFonts w:ascii="宋体" w:hAnsi="宋体" w:eastAsia="宋体" w:cs="Times New Roman"/>
                <w:szCs w:val="21"/>
              </w:rPr>
            </w:pPr>
            <w:r>
              <w:rPr>
                <w:rFonts w:ascii="宋体" w:hAnsi="宋体" w:eastAsia="宋体" w:cs="Times New Roman"/>
                <w:szCs w:val="21"/>
              </w:rPr>
              <w:t>成绩考核</w:t>
            </w:r>
          </w:p>
        </w:tc>
        <w:tc>
          <w:tcPr>
            <w:tcW w:w="7055" w:type="dxa"/>
            <w:tcBorders>
              <w:right w:val="single" w:color="auto" w:sz="8" w:space="0"/>
            </w:tcBorders>
            <w:vAlign w:val="center"/>
          </w:tcPr>
          <w:p w14:paraId="63F97DA4">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为闭卷笔试</w:t>
            </w:r>
            <w:r>
              <w:rPr>
                <w:rFonts w:ascii="宋体" w:hAnsi="宋体" w:eastAsia="宋体" w:cs="Times New Roman"/>
                <w:szCs w:val="21"/>
              </w:rPr>
              <w:t>。考试采取教考分离，监考</w:t>
            </w:r>
            <w:r>
              <w:rPr>
                <w:rFonts w:hint="eastAsia" w:ascii="宋体" w:hAnsi="宋体" w:eastAsia="宋体" w:cs="Times New Roman"/>
                <w:szCs w:val="21"/>
              </w:rPr>
              <w:t>由学院</w:t>
            </w:r>
            <w:r>
              <w:rPr>
                <w:rFonts w:ascii="宋体" w:hAnsi="宋体" w:eastAsia="宋体" w:cs="Times New Roman"/>
                <w:szCs w:val="21"/>
              </w:rPr>
              <w:t>统一安排。有下列情况之一者，总评成绩为不及格：</w:t>
            </w:r>
          </w:p>
          <w:p w14:paraId="450DA687">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32F7572D">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571495BA">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624890C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w:t>
      </w:r>
      <w:r>
        <w:rPr>
          <w:rFonts w:ascii="宋体" w:hAnsi="宋体" w:eastAsia="宋体" w:cs="Times New Roman"/>
          <w:sz w:val="24"/>
          <w:szCs w:val="24"/>
        </w:rPr>
        <w:t>课程考核包括期末考试、平时考核</w:t>
      </w:r>
      <w:r>
        <w:rPr>
          <w:rFonts w:hint="eastAsia" w:ascii="宋体" w:hAnsi="宋体" w:eastAsia="宋体" w:cs="Times New Roman"/>
          <w:sz w:val="24"/>
          <w:szCs w:val="24"/>
        </w:rPr>
        <w:t>等</w:t>
      </w:r>
      <w:r>
        <w:rPr>
          <w:rFonts w:ascii="宋体" w:hAnsi="宋体" w:eastAsia="宋体" w:cs="Times New Roman"/>
          <w:sz w:val="24"/>
          <w:szCs w:val="24"/>
        </w:rPr>
        <w:t>，期</w:t>
      </w:r>
      <w:r>
        <w:rPr>
          <w:rFonts w:hint="eastAsia" w:ascii="宋体" w:hAnsi="宋体" w:eastAsia="宋体" w:cs="Times New Roman"/>
          <w:sz w:val="24"/>
          <w:szCs w:val="24"/>
        </w:rPr>
        <w:t>末</w:t>
      </w:r>
      <w:r>
        <w:rPr>
          <w:rFonts w:ascii="宋体" w:hAnsi="宋体" w:eastAsia="宋体" w:cs="Times New Roman"/>
          <w:sz w:val="24"/>
          <w:szCs w:val="24"/>
        </w:rPr>
        <w:t>考试采用</w:t>
      </w:r>
      <w:r>
        <w:rPr>
          <w:rFonts w:hint="eastAsia" w:ascii="宋体" w:hAnsi="宋体" w:eastAsia="宋体" w:cs="Times New Roman"/>
          <w:sz w:val="24"/>
          <w:szCs w:val="24"/>
        </w:rPr>
        <w:t>闭卷考试方式</w:t>
      </w:r>
      <w:r>
        <w:rPr>
          <w:rFonts w:ascii="宋体" w:hAnsi="宋体" w:eastAsia="宋体" w:cs="Times New Roman"/>
          <w:sz w:val="24"/>
          <w:szCs w:val="24"/>
        </w:rPr>
        <w:t>。</w:t>
      </w:r>
    </w:p>
    <w:p w14:paraId="4508BD8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w:t>
      </w:r>
      <w:r>
        <w:rPr>
          <w:rFonts w:ascii="宋体" w:hAnsi="宋体" w:eastAsia="宋体" w:cs="Times New Roman"/>
          <w:sz w:val="24"/>
          <w:szCs w:val="24"/>
        </w:rPr>
        <w:t>课程</w:t>
      </w:r>
      <w:r>
        <w:rPr>
          <w:rFonts w:hint="eastAsia" w:ascii="宋体" w:hAnsi="宋体" w:eastAsia="宋体" w:cs="Times New Roman"/>
          <w:sz w:val="24"/>
          <w:szCs w:val="24"/>
        </w:rPr>
        <w:t>总评</w:t>
      </w:r>
      <w:r>
        <w:rPr>
          <w:rFonts w:ascii="宋体" w:hAnsi="宋体" w:eastAsia="宋体" w:cs="Times New Roman"/>
          <w:sz w:val="24"/>
          <w:szCs w:val="24"/>
        </w:rPr>
        <w:t>成绩=平时成绩×</w:t>
      </w:r>
      <w:r>
        <w:rPr>
          <w:rFonts w:hint="eastAsia" w:ascii="宋体" w:hAnsi="宋体" w:eastAsia="宋体" w:cs="Times New Roman"/>
          <w:sz w:val="24"/>
          <w:szCs w:val="24"/>
        </w:rPr>
        <w:t>40</w:t>
      </w:r>
      <w:r>
        <w:rPr>
          <w:rFonts w:ascii="宋体" w:hAnsi="宋体" w:eastAsia="宋体" w:cs="Times New Roman"/>
          <w:sz w:val="24"/>
          <w:szCs w:val="24"/>
        </w:rPr>
        <w:t>% +期末考试成绩×</w:t>
      </w:r>
      <w:r>
        <w:rPr>
          <w:rFonts w:hint="eastAsia" w:ascii="宋体" w:hAnsi="宋体" w:eastAsia="宋体" w:cs="Times New Roman"/>
          <w:sz w:val="24"/>
          <w:szCs w:val="24"/>
        </w:rPr>
        <w:t>60</w:t>
      </w:r>
      <w:r>
        <w:rPr>
          <w:rFonts w:ascii="宋体" w:hAnsi="宋体" w:eastAsia="宋体" w:cs="Times New Roman"/>
          <w:sz w:val="24"/>
          <w:szCs w:val="24"/>
        </w:rPr>
        <w:t>%。</w:t>
      </w:r>
    </w:p>
    <w:p w14:paraId="6A706E66">
      <w:pPr>
        <w:spacing w:line="360" w:lineRule="auto"/>
        <w:ind w:firstLine="482" w:firstLineChars="200"/>
        <w:rPr>
          <w:rFonts w:ascii="宋体" w:hAnsi="宋体" w:eastAsia="宋体" w:cs="Times New Roman"/>
          <w:b/>
          <w:sz w:val="24"/>
          <w:szCs w:val="24"/>
        </w:rPr>
      </w:pPr>
      <w:r>
        <w:rPr>
          <w:rFonts w:ascii="宋体" w:hAnsi="宋体" w:eastAsia="宋体" w:cs="Times New Roman"/>
          <w:b/>
          <w:sz w:val="24"/>
          <w:szCs w:val="24"/>
        </w:rPr>
        <w:t>具体内容和比例</w:t>
      </w:r>
      <w:r>
        <w:rPr>
          <w:rFonts w:hint="eastAsia" w:ascii="宋体" w:hAnsi="宋体" w:eastAsia="宋体" w:cs="Times New Roman"/>
          <w:b/>
          <w:sz w:val="24"/>
          <w:szCs w:val="24"/>
        </w:rPr>
        <w:t>如表所示：</w:t>
      </w:r>
    </w:p>
    <w:tbl>
      <w:tblPr>
        <w:tblStyle w:val="30"/>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14"/>
        <w:gridCol w:w="910"/>
        <w:gridCol w:w="2834"/>
        <w:gridCol w:w="1266"/>
        <w:gridCol w:w="1609"/>
      </w:tblGrid>
      <w:tr w14:paraId="2BA4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538023F6">
            <w:pPr>
              <w:spacing w:line="276" w:lineRule="auto"/>
              <w:jc w:val="center"/>
              <w:rPr>
                <w:rFonts w:ascii="宋体" w:hAnsi="宋体" w:eastAsia="宋体" w:cs="Times New Roman"/>
                <w:b/>
                <w:szCs w:val="24"/>
              </w:rPr>
            </w:pPr>
            <w:r>
              <w:rPr>
                <w:rFonts w:ascii="宋体" w:hAnsi="宋体" w:eastAsia="宋体" w:cs="Times New Roman"/>
                <w:b/>
                <w:szCs w:val="24"/>
              </w:rPr>
              <w:t>成绩组成</w:t>
            </w:r>
          </w:p>
        </w:tc>
        <w:tc>
          <w:tcPr>
            <w:tcW w:w="1214" w:type="dxa"/>
            <w:shd w:val="clear" w:color="auto" w:fill="FFFFFF"/>
            <w:vAlign w:val="center"/>
          </w:tcPr>
          <w:p w14:paraId="07D6CB4C">
            <w:pPr>
              <w:spacing w:line="276" w:lineRule="auto"/>
              <w:jc w:val="center"/>
              <w:rPr>
                <w:rFonts w:ascii="宋体" w:hAnsi="宋体" w:eastAsia="宋体" w:cs="Times New Roman"/>
                <w:b/>
                <w:szCs w:val="24"/>
              </w:rPr>
            </w:pPr>
            <w:r>
              <w:rPr>
                <w:rFonts w:ascii="宋体" w:hAnsi="宋体" w:eastAsia="宋体" w:cs="Times New Roman"/>
                <w:b/>
                <w:szCs w:val="24"/>
              </w:rPr>
              <w:t>考核/</w:t>
            </w:r>
          </w:p>
          <w:p w14:paraId="2E2CFE5E">
            <w:pPr>
              <w:spacing w:line="276" w:lineRule="auto"/>
              <w:jc w:val="center"/>
              <w:rPr>
                <w:rFonts w:ascii="宋体" w:hAnsi="宋体" w:eastAsia="宋体" w:cs="Times New Roman"/>
                <w:b/>
                <w:szCs w:val="24"/>
              </w:rPr>
            </w:pPr>
            <w:r>
              <w:rPr>
                <w:rFonts w:ascii="宋体" w:hAnsi="宋体" w:eastAsia="宋体" w:cs="Times New Roman"/>
                <w:b/>
                <w:szCs w:val="24"/>
              </w:rPr>
              <w:t>评价环节</w:t>
            </w:r>
          </w:p>
        </w:tc>
        <w:tc>
          <w:tcPr>
            <w:tcW w:w="910" w:type="dxa"/>
            <w:shd w:val="clear" w:color="auto" w:fill="FFFFFF"/>
            <w:vAlign w:val="center"/>
          </w:tcPr>
          <w:p w14:paraId="42D59410">
            <w:pPr>
              <w:spacing w:line="276" w:lineRule="auto"/>
              <w:jc w:val="center"/>
              <w:rPr>
                <w:rFonts w:ascii="宋体" w:hAnsi="宋体" w:eastAsia="宋体" w:cs="Times New Roman"/>
                <w:b/>
                <w:szCs w:val="24"/>
              </w:rPr>
            </w:pPr>
            <w:r>
              <w:rPr>
                <w:rFonts w:hint="eastAsia" w:ascii="宋体" w:hAnsi="宋体" w:eastAsia="宋体" w:cs="Times New Roman"/>
                <w:b/>
                <w:szCs w:val="24"/>
              </w:rPr>
              <w:t>权重</w:t>
            </w:r>
          </w:p>
        </w:tc>
        <w:tc>
          <w:tcPr>
            <w:tcW w:w="2834" w:type="dxa"/>
            <w:shd w:val="clear" w:color="auto" w:fill="FFFFFF"/>
            <w:vAlign w:val="center"/>
          </w:tcPr>
          <w:p w14:paraId="280E8DEF">
            <w:pPr>
              <w:spacing w:line="276" w:lineRule="auto"/>
              <w:jc w:val="center"/>
              <w:rPr>
                <w:rFonts w:ascii="宋体" w:hAnsi="宋体" w:eastAsia="宋体" w:cs="Times New Roman"/>
                <w:b/>
                <w:szCs w:val="24"/>
              </w:rPr>
            </w:pPr>
            <w:r>
              <w:rPr>
                <w:rFonts w:ascii="宋体" w:hAnsi="宋体" w:eastAsia="宋体" w:cs="Times New Roman"/>
                <w:b/>
                <w:szCs w:val="24"/>
              </w:rPr>
              <w:t>考核/评价细则</w:t>
            </w:r>
          </w:p>
        </w:tc>
        <w:tc>
          <w:tcPr>
            <w:tcW w:w="1266" w:type="dxa"/>
            <w:shd w:val="clear" w:color="auto" w:fill="FFFFFF"/>
            <w:vAlign w:val="center"/>
          </w:tcPr>
          <w:p w14:paraId="5638B15D">
            <w:pPr>
              <w:spacing w:line="276" w:lineRule="auto"/>
              <w:jc w:val="center"/>
              <w:rPr>
                <w:rFonts w:ascii="宋体" w:hAnsi="宋体" w:eastAsia="宋体" w:cs="Times New Roman"/>
                <w:b/>
                <w:szCs w:val="24"/>
              </w:rPr>
            </w:pPr>
            <w:r>
              <w:rPr>
                <w:rFonts w:hint="eastAsia" w:ascii="宋体" w:hAnsi="宋体" w:eastAsia="宋体" w:cs="Times New Roman"/>
                <w:b/>
                <w:szCs w:val="24"/>
              </w:rPr>
              <w:t>课程目标</w:t>
            </w:r>
          </w:p>
        </w:tc>
        <w:tc>
          <w:tcPr>
            <w:tcW w:w="1609" w:type="dxa"/>
            <w:shd w:val="clear" w:color="auto" w:fill="FFFFFF"/>
            <w:vAlign w:val="center"/>
          </w:tcPr>
          <w:p w14:paraId="5C31B1D0">
            <w:pPr>
              <w:spacing w:line="276" w:lineRule="auto"/>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608F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trPr>
        <w:tc>
          <w:tcPr>
            <w:tcW w:w="624" w:type="dxa"/>
            <w:tcMar>
              <w:left w:w="57" w:type="dxa"/>
              <w:right w:w="57" w:type="dxa"/>
            </w:tcMar>
            <w:vAlign w:val="center"/>
          </w:tcPr>
          <w:p w14:paraId="51970DA3">
            <w:pPr>
              <w:spacing w:before="240" w:line="240" w:lineRule="exact"/>
              <w:jc w:val="center"/>
              <w:rPr>
                <w:rFonts w:ascii="宋体" w:hAnsi="宋体" w:eastAsia="宋体" w:cs="Times New Roman"/>
                <w:szCs w:val="24"/>
              </w:rPr>
            </w:pPr>
            <w:r>
              <w:rPr>
                <w:rFonts w:ascii="宋体" w:hAnsi="宋体" w:eastAsia="宋体" w:cs="Times New Roman"/>
                <w:szCs w:val="24"/>
              </w:rPr>
              <w:t>平时成绩</w:t>
            </w:r>
          </w:p>
        </w:tc>
        <w:tc>
          <w:tcPr>
            <w:tcW w:w="1214" w:type="dxa"/>
            <w:vAlign w:val="center"/>
          </w:tcPr>
          <w:p w14:paraId="1A0A555E">
            <w:pPr>
              <w:spacing w:before="240" w:line="240" w:lineRule="exact"/>
              <w:jc w:val="center"/>
              <w:rPr>
                <w:rFonts w:ascii="宋体" w:hAnsi="宋体" w:eastAsia="宋体" w:cs="Times New Roman"/>
                <w:szCs w:val="24"/>
              </w:rPr>
            </w:pPr>
            <w:r>
              <w:rPr>
                <w:rFonts w:hint="eastAsia" w:ascii="宋体" w:hAnsi="宋体" w:eastAsia="宋体" w:cs="Times New Roman"/>
                <w:szCs w:val="24"/>
              </w:rPr>
              <w:t>课堂表现、考勤及</w:t>
            </w:r>
            <w:r>
              <w:rPr>
                <w:rFonts w:ascii="宋体" w:hAnsi="宋体" w:eastAsia="宋体" w:cs="Times New Roman"/>
                <w:szCs w:val="24"/>
              </w:rPr>
              <w:t>平时作业</w:t>
            </w:r>
          </w:p>
        </w:tc>
        <w:tc>
          <w:tcPr>
            <w:tcW w:w="910" w:type="dxa"/>
            <w:vAlign w:val="center"/>
          </w:tcPr>
          <w:p w14:paraId="68E5E29A">
            <w:pPr>
              <w:spacing w:before="240" w:line="240" w:lineRule="exact"/>
              <w:jc w:val="center"/>
              <w:rPr>
                <w:rFonts w:ascii="宋体" w:hAnsi="宋体" w:eastAsia="宋体" w:cs="Times New Roman"/>
                <w:szCs w:val="24"/>
              </w:rPr>
            </w:pPr>
            <w:r>
              <w:rPr>
                <w:rFonts w:hint="eastAsia" w:ascii="宋体" w:hAnsi="宋体" w:eastAsia="宋体" w:cs="Times New Roman"/>
                <w:szCs w:val="24"/>
              </w:rPr>
              <w:t>4</w:t>
            </w:r>
            <w:r>
              <w:rPr>
                <w:rFonts w:ascii="宋体" w:hAnsi="宋体" w:eastAsia="宋体" w:cs="Times New Roman"/>
                <w:szCs w:val="24"/>
              </w:rPr>
              <w:t>0%</w:t>
            </w:r>
          </w:p>
        </w:tc>
        <w:tc>
          <w:tcPr>
            <w:tcW w:w="2834" w:type="dxa"/>
            <w:vAlign w:val="center"/>
          </w:tcPr>
          <w:p w14:paraId="05499945">
            <w:pPr>
              <w:spacing w:line="270" w:lineRule="exact"/>
              <w:rPr>
                <w:rFonts w:ascii="Times New Roman" w:hAnsi="Times New Roman" w:eastAsia="宋体" w:cs="Times New Roman"/>
                <w:szCs w:val="21"/>
              </w:rPr>
            </w:pPr>
            <w:r>
              <w:rPr>
                <w:rFonts w:hint="eastAsia" w:ascii="Times New Roman" w:hAnsi="Times New Roman" w:eastAsia="宋体" w:cs="Times New Roman"/>
                <w:szCs w:val="21"/>
              </w:rPr>
              <w:t>课堂考勤及课堂表现占30%，平时作业占70%。</w:t>
            </w:r>
          </w:p>
          <w:p w14:paraId="70C0BCF9">
            <w:pPr>
              <w:spacing w:line="270" w:lineRule="exact"/>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课堂考勤：病假和事假一次扣5分，无故缺席一次扣10分，累积达5次以上（不含5次）取消课程成绩。</w:t>
            </w:r>
          </w:p>
          <w:p w14:paraId="7FFB92D2">
            <w:pPr>
              <w:spacing w:line="270" w:lineRule="exact"/>
              <w:jc w:val="left"/>
              <w:rPr>
                <w:rFonts w:ascii="Times New Roman" w:hAnsi="Times New Roman" w:eastAsia="宋体" w:cs="Times New Roman"/>
                <w:szCs w:val="21"/>
              </w:rPr>
            </w:pPr>
            <w:r>
              <w:rPr>
                <w:rFonts w:hint="eastAsia" w:ascii="Times New Roman" w:hAnsi="Times New Roman" w:eastAsia="宋体" w:cs="Times New Roman"/>
                <w:szCs w:val="21"/>
              </w:rPr>
              <w:t>课堂表现：勤于思考，积极参加小组活动，主动回答提问。表现优秀按满分计算。具体根据表现积极情况酌情加减分。</w:t>
            </w:r>
          </w:p>
          <w:p w14:paraId="4ED1AA8E">
            <w:pPr>
              <w:spacing w:line="270" w:lineRule="exact"/>
              <w:rPr>
                <w:rFonts w:ascii="Times New Roman" w:hAnsi="Times New Roman" w:eastAsia="宋体" w:cs="Times New Roman"/>
                <w:szCs w:val="21"/>
              </w:rPr>
            </w:pPr>
            <w:r>
              <w:rPr>
                <w:rFonts w:hint="eastAsia" w:ascii="Times New Roman" w:hAnsi="Times New Roman" w:eastAsia="宋体" w:cs="Times New Roman"/>
                <w:szCs w:val="21"/>
              </w:rPr>
              <w:t>平时作业：课后完成3次作业，考核学生对课堂知识点的复习、理解和掌握程度，计算全部作业的平均成绩。</w:t>
            </w:r>
          </w:p>
        </w:tc>
        <w:tc>
          <w:tcPr>
            <w:tcW w:w="1266" w:type="dxa"/>
          </w:tcPr>
          <w:p w14:paraId="7FC50E16">
            <w:pPr>
              <w:spacing w:before="240" w:line="240" w:lineRule="exact"/>
              <w:rPr>
                <w:rFonts w:ascii="宋体" w:hAnsi="宋体" w:eastAsia="宋体" w:cs="Times New Roman"/>
                <w:szCs w:val="24"/>
              </w:rPr>
            </w:pPr>
          </w:p>
          <w:p w14:paraId="30E59FE8">
            <w:pPr>
              <w:spacing w:before="240" w:line="240" w:lineRule="exact"/>
              <w:jc w:val="center"/>
              <w:rPr>
                <w:rFonts w:ascii="宋体" w:hAnsi="宋体" w:eastAsia="宋体" w:cs="Times New Roman"/>
                <w:szCs w:val="24"/>
              </w:rPr>
            </w:pPr>
          </w:p>
          <w:p w14:paraId="729C3646">
            <w:pPr>
              <w:spacing w:before="240" w:line="240" w:lineRule="exact"/>
              <w:rPr>
                <w:rFonts w:ascii="宋体" w:hAnsi="宋体" w:eastAsia="宋体" w:cs="Times New Roman"/>
                <w:szCs w:val="24"/>
              </w:rPr>
            </w:pPr>
          </w:p>
          <w:p w14:paraId="0D22C3DC">
            <w:pPr>
              <w:jc w:val="center"/>
              <w:rPr>
                <w:rFonts w:ascii="宋体" w:hAnsi="宋体" w:eastAsia="宋体" w:cs="Times New Roman"/>
                <w:szCs w:val="24"/>
              </w:rPr>
            </w:pPr>
            <w:r>
              <w:rPr>
                <w:rFonts w:hint="eastAsia" w:ascii="宋体" w:hAnsi="宋体" w:eastAsia="宋体" w:cs="Times New Roman"/>
                <w:szCs w:val="24"/>
              </w:rPr>
              <w:t>课程目标1</w:t>
            </w:r>
          </w:p>
          <w:p w14:paraId="0119BAA2">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4F120AE3">
            <w:pPr>
              <w:jc w:val="center"/>
              <w:rPr>
                <w:rFonts w:ascii="宋体" w:hAnsi="宋体" w:eastAsia="宋体" w:cs="Times New Roman"/>
                <w:szCs w:val="24"/>
              </w:rPr>
            </w:pPr>
            <w:r>
              <w:rPr>
                <w:rFonts w:ascii="宋体" w:hAnsi="宋体" w:eastAsia="宋体" w:cs="Times New Roman"/>
                <w:szCs w:val="24"/>
              </w:rPr>
              <w:t>课程目标3</w:t>
            </w:r>
          </w:p>
          <w:p w14:paraId="4B4798CE">
            <w:pPr>
              <w:jc w:val="center"/>
              <w:rPr>
                <w:rFonts w:ascii="宋体" w:hAnsi="宋体" w:eastAsia="宋体" w:cs="Times New Roman"/>
                <w:szCs w:val="24"/>
              </w:rPr>
            </w:pPr>
            <w:r>
              <w:rPr>
                <w:rFonts w:hint="eastAsia" w:ascii="宋体" w:hAnsi="宋体" w:eastAsia="宋体" w:cs="Times New Roman"/>
                <w:szCs w:val="24"/>
              </w:rPr>
              <w:t>课程目标4</w:t>
            </w:r>
          </w:p>
        </w:tc>
        <w:tc>
          <w:tcPr>
            <w:tcW w:w="1609" w:type="dxa"/>
            <w:vAlign w:val="center"/>
          </w:tcPr>
          <w:p w14:paraId="6F9F7ACB">
            <w:pPr>
              <w:spacing w:before="240" w:line="240" w:lineRule="exact"/>
              <w:jc w:val="left"/>
              <w:rPr>
                <w:rFonts w:ascii="宋体" w:hAnsi="宋体" w:eastAsia="宋体" w:cs="Times New Roman"/>
                <w:szCs w:val="24"/>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1、4-2、6-1、7-3</w:t>
            </w:r>
          </w:p>
        </w:tc>
      </w:tr>
      <w:tr w14:paraId="1625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trPr>
        <w:tc>
          <w:tcPr>
            <w:tcW w:w="624" w:type="dxa"/>
            <w:tcMar>
              <w:left w:w="57" w:type="dxa"/>
              <w:right w:w="57" w:type="dxa"/>
            </w:tcMar>
            <w:vAlign w:val="center"/>
          </w:tcPr>
          <w:p w14:paraId="55872ACC">
            <w:pPr>
              <w:spacing w:line="276" w:lineRule="auto"/>
              <w:jc w:val="center"/>
              <w:rPr>
                <w:rFonts w:ascii="宋体" w:hAnsi="宋体" w:eastAsia="宋体" w:cs="Times New Roman"/>
                <w:szCs w:val="24"/>
              </w:rPr>
            </w:pPr>
            <w:r>
              <w:rPr>
                <w:rFonts w:ascii="宋体" w:hAnsi="宋体" w:eastAsia="宋体" w:cs="Times New Roman"/>
                <w:szCs w:val="24"/>
              </w:rPr>
              <w:t>期末考试</w:t>
            </w:r>
          </w:p>
        </w:tc>
        <w:tc>
          <w:tcPr>
            <w:tcW w:w="1214" w:type="dxa"/>
            <w:vAlign w:val="center"/>
          </w:tcPr>
          <w:p w14:paraId="1A0C5249">
            <w:pPr>
              <w:spacing w:line="276" w:lineRule="auto"/>
              <w:jc w:val="center"/>
              <w:rPr>
                <w:rFonts w:ascii="宋体" w:hAnsi="宋体" w:eastAsia="宋体" w:cs="Times New Roman"/>
                <w:szCs w:val="24"/>
              </w:rPr>
            </w:pPr>
            <w:r>
              <w:rPr>
                <w:rFonts w:ascii="宋体" w:hAnsi="宋体" w:eastAsia="宋体" w:cs="Times New Roman"/>
                <w:szCs w:val="24"/>
              </w:rPr>
              <w:t>期末考试</w:t>
            </w:r>
          </w:p>
          <w:p w14:paraId="7CD3D280">
            <w:pPr>
              <w:spacing w:line="276" w:lineRule="auto"/>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910" w:type="dxa"/>
            <w:vAlign w:val="center"/>
          </w:tcPr>
          <w:p w14:paraId="0BCCDB01">
            <w:pPr>
              <w:spacing w:line="276" w:lineRule="auto"/>
              <w:jc w:val="center"/>
              <w:rPr>
                <w:rFonts w:ascii="宋体" w:hAnsi="宋体" w:eastAsia="宋体" w:cs="Times New Roman"/>
                <w:szCs w:val="24"/>
              </w:rPr>
            </w:pPr>
            <w:r>
              <w:rPr>
                <w:rFonts w:hint="eastAsia" w:ascii="宋体" w:hAnsi="宋体" w:eastAsia="宋体" w:cs="Times New Roman"/>
                <w:szCs w:val="24"/>
              </w:rPr>
              <w:t>6</w:t>
            </w:r>
            <w:r>
              <w:rPr>
                <w:rFonts w:ascii="宋体" w:hAnsi="宋体" w:eastAsia="宋体" w:cs="Times New Roman"/>
                <w:szCs w:val="24"/>
              </w:rPr>
              <w:t>0%</w:t>
            </w:r>
          </w:p>
        </w:tc>
        <w:tc>
          <w:tcPr>
            <w:tcW w:w="2834" w:type="dxa"/>
            <w:vAlign w:val="center"/>
          </w:tcPr>
          <w:p w14:paraId="289D0497">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试卷题型包括选择题、填空题、简答题、判断题、材料分析题、论述题和教学设计等，以卷面成绩的60%计入课程总成绩。其中考核教育心理学基本理论型题目占40%，考核学生运用基本理论知识进行案例分析能力型题目占30%；考核学生教学设计与评价能力型题目占30%。</w:t>
            </w:r>
          </w:p>
        </w:tc>
        <w:tc>
          <w:tcPr>
            <w:tcW w:w="1266" w:type="dxa"/>
          </w:tcPr>
          <w:p w14:paraId="0CF46047">
            <w:pPr>
              <w:spacing w:line="276" w:lineRule="auto"/>
              <w:rPr>
                <w:rFonts w:ascii="宋体" w:hAnsi="宋体" w:eastAsia="宋体" w:cs="Times New Roman"/>
                <w:szCs w:val="24"/>
              </w:rPr>
            </w:pPr>
          </w:p>
          <w:p w14:paraId="3C7A8CD0">
            <w:pPr>
              <w:spacing w:line="276" w:lineRule="auto"/>
              <w:jc w:val="center"/>
              <w:rPr>
                <w:rFonts w:ascii="宋体" w:hAnsi="宋体" w:eastAsia="宋体" w:cs="Times New Roman"/>
                <w:szCs w:val="24"/>
              </w:rPr>
            </w:pPr>
          </w:p>
          <w:p w14:paraId="0F15C02F">
            <w:pPr>
              <w:spacing w:line="276" w:lineRule="auto"/>
              <w:rPr>
                <w:rFonts w:ascii="宋体" w:hAnsi="宋体" w:eastAsia="宋体" w:cs="Times New Roman"/>
                <w:szCs w:val="24"/>
              </w:rPr>
            </w:pPr>
          </w:p>
          <w:p w14:paraId="2B54EBF3">
            <w:pPr>
              <w:spacing w:line="276" w:lineRule="auto"/>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r>
              <w:rPr>
                <w:rFonts w:ascii="宋体" w:hAnsi="宋体" w:eastAsia="宋体" w:cs="Times New Roman"/>
                <w:szCs w:val="24"/>
              </w:rPr>
              <w:t>课程目标3</w:t>
            </w:r>
          </w:p>
          <w:p w14:paraId="1AD3EAD0">
            <w:pPr>
              <w:spacing w:line="276" w:lineRule="auto"/>
              <w:jc w:val="center"/>
              <w:rPr>
                <w:rFonts w:ascii="宋体" w:hAnsi="宋体" w:eastAsia="宋体" w:cs="Times New Roman"/>
                <w:szCs w:val="24"/>
              </w:rPr>
            </w:pPr>
            <w:r>
              <w:rPr>
                <w:rFonts w:hint="eastAsia" w:ascii="宋体" w:hAnsi="宋体" w:eastAsia="宋体" w:cs="Times New Roman"/>
                <w:szCs w:val="24"/>
              </w:rPr>
              <w:t>课程目标4</w:t>
            </w:r>
          </w:p>
        </w:tc>
        <w:tc>
          <w:tcPr>
            <w:tcW w:w="1609" w:type="dxa"/>
            <w:vAlign w:val="center"/>
          </w:tcPr>
          <w:p w14:paraId="78B0FAC1">
            <w:pPr>
              <w:spacing w:line="276" w:lineRule="auto"/>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1、4-2、6-1、7-3</w:t>
            </w:r>
          </w:p>
        </w:tc>
      </w:tr>
    </w:tbl>
    <w:p w14:paraId="56F63AA1">
      <w:pPr>
        <w:spacing w:line="360" w:lineRule="auto"/>
        <w:rPr>
          <w:rFonts w:ascii="宋体" w:hAnsi="宋体" w:eastAsia="宋体" w:cs="Times New Roman"/>
          <w:sz w:val="24"/>
          <w:szCs w:val="24"/>
        </w:rPr>
      </w:pPr>
    </w:p>
    <w:p w14:paraId="09D80715">
      <w:pPr>
        <w:spacing w:line="360" w:lineRule="auto"/>
        <w:rPr>
          <w:rFonts w:ascii="宋体" w:hAnsi="宋体" w:eastAsia="宋体" w:cs="Times New Roman"/>
          <w:sz w:val="24"/>
          <w:szCs w:val="24"/>
        </w:rPr>
      </w:pPr>
      <w:r>
        <w:rPr>
          <w:rFonts w:ascii="宋体" w:hAnsi="宋体" w:eastAsia="宋体" w:cs="Times New Roman"/>
          <w:sz w:val="24"/>
          <w:szCs w:val="24"/>
        </w:rPr>
        <w:t>（三）</w:t>
      </w:r>
      <w:r>
        <w:rPr>
          <w:rFonts w:hint="eastAsia" w:ascii="宋体" w:hAnsi="宋体" w:eastAsia="宋体" w:cs="Times New Roman"/>
          <w:sz w:val="24"/>
          <w:szCs w:val="24"/>
        </w:rPr>
        <w:t>课程目标及考核方式权重分配表</w:t>
      </w:r>
    </w:p>
    <w:tbl>
      <w:tblPr>
        <w:tblStyle w:val="30"/>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341"/>
        <w:gridCol w:w="1975"/>
        <w:gridCol w:w="1404"/>
        <w:gridCol w:w="2126"/>
      </w:tblGrid>
      <w:tr w14:paraId="42DE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274" w:type="dxa"/>
            <w:gridSpan w:val="2"/>
            <w:vAlign w:val="center"/>
          </w:tcPr>
          <w:p w14:paraId="2690D2E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505" w:type="dxa"/>
            <w:gridSpan w:val="3"/>
            <w:vAlign w:val="center"/>
          </w:tcPr>
          <w:p w14:paraId="3536B7B1">
            <w:pPr>
              <w:widowControl/>
              <w:spacing w:line="276" w:lineRule="auto"/>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2ABF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933" w:type="dxa"/>
            <w:vAlign w:val="center"/>
          </w:tcPr>
          <w:p w14:paraId="45EF6E0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341" w:type="dxa"/>
            <w:vAlign w:val="center"/>
          </w:tcPr>
          <w:p w14:paraId="49C6470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75" w:type="dxa"/>
            <w:vAlign w:val="center"/>
          </w:tcPr>
          <w:p w14:paraId="125B13C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404" w:type="dxa"/>
            <w:vAlign w:val="center"/>
          </w:tcPr>
          <w:p w14:paraId="2E98F3C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126" w:type="dxa"/>
            <w:vAlign w:val="center"/>
          </w:tcPr>
          <w:p w14:paraId="6ED4F23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7313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933" w:type="dxa"/>
            <w:vMerge w:val="restart"/>
            <w:vAlign w:val="center"/>
          </w:tcPr>
          <w:p w14:paraId="390966E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41" w:type="dxa"/>
            <w:vMerge w:val="restart"/>
            <w:vAlign w:val="center"/>
          </w:tcPr>
          <w:p w14:paraId="3442C38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975" w:type="dxa"/>
            <w:vAlign w:val="center"/>
          </w:tcPr>
          <w:p w14:paraId="3AE7B5A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404" w:type="dxa"/>
            <w:vAlign w:val="center"/>
          </w:tcPr>
          <w:p w14:paraId="665224E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60%</w:t>
            </w:r>
            <w:r>
              <w:rPr>
                <w:rFonts w:ascii="宋体" w:hAnsi="宋体" w:eastAsia="宋体" w:cs="Times New Roman"/>
                <w:kern w:val="0"/>
                <w:szCs w:val="21"/>
              </w:rPr>
              <w:t xml:space="preserve"> </w:t>
            </w:r>
          </w:p>
        </w:tc>
        <w:tc>
          <w:tcPr>
            <w:tcW w:w="2126" w:type="dxa"/>
            <w:vMerge w:val="restart"/>
            <w:vAlign w:val="center"/>
          </w:tcPr>
          <w:p w14:paraId="0287827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3C88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933" w:type="dxa"/>
            <w:vMerge w:val="continue"/>
            <w:vAlign w:val="center"/>
          </w:tcPr>
          <w:p w14:paraId="3352CC78">
            <w:pPr>
              <w:widowControl/>
              <w:spacing w:line="276" w:lineRule="auto"/>
              <w:jc w:val="left"/>
              <w:rPr>
                <w:rFonts w:ascii="宋体" w:hAnsi="宋体" w:eastAsia="宋体" w:cs="Times New Roman"/>
                <w:kern w:val="0"/>
                <w:szCs w:val="21"/>
              </w:rPr>
            </w:pPr>
          </w:p>
        </w:tc>
        <w:tc>
          <w:tcPr>
            <w:tcW w:w="1341" w:type="dxa"/>
            <w:vMerge w:val="continue"/>
            <w:vAlign w:val="center"/>
          </w:tcPr>
          <w:p w14:paraId="49C429C1">
            <w:pPr>
              <w:widowControl/>
              <w:spacing w:line="276" w:lineRule="auto"/>
              <w:jc w:val="left"/>
              <w:rPr>
                <w:rFonts w:ascii="宋体" w:hAnsi="宋体" w:eastAsia="宋体" w:cs="Times New Roman"/>
                <w:kern w:val="0"/>
                <w:szCs w:val="21"/>
              </w:rPr>
            </w:pPr>
          </w:p>
        </w:tc>
        <w:tc>
          <w:tcPr>
            <w:tcW w:w="1975" w:type="dxa"/>
            <w:vAlign w:val="center"/>
          </w:tcPr>
          <w:p w14:paraId="56B34F3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404" w:type="dxa"/>
            <w:vAlign w:val="center"/>
          </w:tcPr>
          <w:p w14:paraId="66BE6B3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74737CE4">
            <w:pPr>
              <w:widowControl/>
              <w:spacing w:line="276" w:lineRule="auto"/>
              <w:jc w:val="center"/>
              <w:rPr>
                <w:rFonts w:ascii="宋体" w:hAnsi="宋体" w:eastAsia="宋体" w:cs="Times New Roman"/>
                <w:kern w:val="0"/>
                <w:szCs w:val="21"/>
              </w:rPr>
            </w:pPr>
          </w:p>
        </w:tc>
      </w:tr>
      <w:tr w14:paraId="447D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933" w:type="dxa"/>
            <w:vMerge w:val="continue"/>
            <w:vAlign w:val="center"/>
          </w:tcPr>
          <w:p w14:paraId="00CB5C12">
            <w:pPr>
              <w:widowControl/>
              <w:spacing w:line="276" w:lineRule="auto"/>
              <w:jc w:val="center"/>
              <w:rPr>
                <w:rFonts w:ascii="Times New Roman" w:hAnsi="Times New Roman" w:eastAsia="宋体" w:cs="Times New Roman"/>
                <w:szCs w:val="24"/>
              </w:rPr>
            </w:pPr>
          </w:p>
        </w:tc>
        <w:tc>
          <w:tcPr>
            <w:tcW w:w="1341" w:type="dxa"/>
            <w:vMerge w:val="continue"/>
            <w:vAlign w:val="center"/>
          </w:tcPr>
          <w:p w14:paraId="0006ABAD">
            <w:pPr>
              <w:widowControl/>
              <w:spacing w:line="276" w:lineRule="auto"/>
              <w:jc w:val="center"/>
              <w:rPr>
                <w:rFonts w:ascii="Times New Roman" w:hAnsi="Times New Roman" w:eastAsia="宋体" w:cs="Times New Roman"/>
                <w:szCs w:val="24"/>
              </w:rPr>
            </w:pPr>
          </w:p>
        </w:tc>
        <w:tc>
          <w:tcPr>
            <w:tcW w:w="1975" w:type="dxa"/>
            <w:vAlign w:val="center"/>
          </w:tcPr>
          <w:p w14:paraId="6D5EAAD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404" w:type="dxa"/>
            <w:vAlign w:val="center"/>
          </w:tcPr>
          <w:p w14:paraId="534B1A9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w:t>
            </w:r>
          </w:p>
        </w:tc>
        <w:tc>
          <w:tcPr>
            <w:tcW w:w="2126" w:type="dxa"/>
            <w:vMerge w:val="continue"/>
            <w:vAlign w:val="center"/>
          </w:tcPr>
          <w:p w14:paraId="11750113">
            <w:pPr>
              <w:widowControl/>
              <w:spacing w:line="276" w:lineRule="auto"/>
              <w:jc w:val="center"/>
              <w:rPr>
                <w:rFonts w:ascii="宋体" w:hAnsi="宋体" w:eastAsia="宋体" w:cs="Times New Roman"/>
                <w:kern w:val="0"/>
                <w:szCs w:val="21"/>
              </w:rPr>
            </w:pPr>
          </w:p>
        </w:tc>
      </w:tr>
      <w:tr w14:paraId="7121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933" w:type="dxa"/>
            <w:vMerge w:val="continue"/>
            <w:vAlign w:val="center"/>
          </w:tcPr>
          <w:p w14:paraId="06588E1D">
            <w:pPr>
              <w:widowControl/>
              <w:spacing w:line="276" w:lineRule="auto"/>
              <w:jc w:val="center"/>
              <w:rPr>
                <w:rFonts w:ascii="Times New Roman" w:hAnsi="Times New Roman" w:eastAsia="宋体" w:cs="Times New Roman"/>
                <w:szCs w:val="24"/>
              </w:rPr>
            </w:pPr>
          </w:p>
        </w:tc>
        <w:tc>
          <w:tcPr>
            <w:tcW w:w="1341" w:type="dxa"/>
            <w:vMerge w:val="continue"/>
            <w:vAlign w:val="center"/>
          </w:tcPr>
          <w:p w14:paraId="6C36B32B">
            <w:pPr>
              <w:widowControl/>
              <w:spacing w:line="276" w:lineRule="auto"/>
              <w:jc w:val="center"/>
              <w:rPr>
                <w:rFonts w:ascii="Times New Roman" w:hAnsi="Times New Roman" w:eastAsia="宋体" w:cs="Times New Roman"/>
                <w:szCs w:val="24"/>
              </w:rPr>
            </w:pPr>
          </w:p>
        </w:tc>
        <w:tc>
          <w:tcPr>
            <w:tcW w:w="1975" w:type="dxa"/>
            <w:vAlign w:val="center"/>
          </w:tcPr>
          <w:p w14:paraId="028EC9F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404" w:type="dxa"/>
            <w:vAlign w:val="center"/>
          </w:tcPr>
          <w:p w14:paraId="186CECE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51D0882A">
            <w:pPr>
              <w:widowControl/>
              <w:spacing w:line="276" w:lineRule="auto"/>
              <w:jc w:val="center"/>
              <w:rPr>
                <w:rFonts w:ascii="宋体" w:hAnsi="宋体" w:eastAsia="宋体" w:cs="Times New Roman"/>
                <w:kern w:val="0"/>
                <w:szCs w:val="21"/>
              </w:rPr>
            </w:pPr>
          </w:p>
        </w:tc>
      </w:tr>
      <w:tr w14:paraId="4B62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933" w:type="dxa"/>
            <w:vMerge w:val="continue"/>
            <w:vAlign w:val="center"/>
          </w:tcPr>
          <w:p w14:paraId="29E7EC98">
            <w:pPr>
              <w:widowControl/>
              <w:spacing w:line="276" w:lineRule="auto"/>
              <w:jc w:val="center"/>
              <w:rPr>
                <w:rFonts w:ascii="宋体" w:hAnsi="宋体" w:eastAsia="宋体" w:cs="Times New Roman"/>
                <w:kern w:val="0"/>
                <w:szCs w:val="21"/>
              </w:rPr>
            </w:pPr>
          </w:p>
        </w:tc>
        <w:tc>
          <w:tcPr>
            <w:tcW w:w="1341" w:type="dxa"/>
            <w:vMerge w:val="continue"/>
            <w:vAlign w:val="center"/>
          </w:tcPr>
          <w:p w14:paraId="27A767C2">
            <w:pPr>
              <w:widowControl/>
              <w:spacing w:line="276" w:lineRule="auto"/>
              <w:jc w:val="center"/>
              <w:rPr>
                <w:rFonts w:ascii="宋体" w:hAnsi="宋体" w:eastAsia="宋体" w:cs="Times New Roman"/>
                <w:kern w:val="0"/>
                <w:szCs w:val="21"/>
              </w:rPr>
            </w:pPr>
          </w:p>
        </w:tc>
        <w:tc>
          <w:tcPr>
            <w:tcW w:w="1975" w:type="dxa"/>
            <w:vAlign w:val="center"/>
          </w:tcPr>
          <w:p w14:paraId="2E08B9F6">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404" w:type="dxa"/>
            <w:vAlign w:val="center"/>
          </w:tcPr>
          <w:p w14:paraId="2E85B1E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12%</w:t>
            </w:r>
          </w:p>
        </w:tc>
        <w:tc>
          <w:tcPr>
            <w:tcW w:w="2126" w:type="dxa"/>
            <w:vMerge w:val="continue"/>
            <w:vAlign w:val="center"/>
          </w:tcPr>
          <w:p w14:paraId="6D2D6943">
            <w:pPr>
              <w:widowControl/>
              <w:spacing w:line="276" w:lineRule="auto"/>
              <w:jc w:val="center"/>
              <w:rPr>
                <w:rFonts w:ascii="宋体" w:hAnsi="宋体" w:eastAsia="宋体" w:cs="Times New Roman"/>
                <w:kern w:val="0"/>
                <w:szCs w:val="21"/>
              </w:rPr>
            </w:pPr>
          </w:p>
        </w:tc>
      </w:tr>
      <w:tr w14:paraId="54D0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restart"/>
            <w:vAlign w:val="center"/>
          </w:tcPr>
          <w:p w14:paraId="7FCC334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41" w:type="dxa"/>
            <w:vMerge w:val="restart"/>
            <w:vAlign w:val="center"/>
          </w:tcPr>
          <w:p w14:paraId="67137F6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975" w:type="dxa"/>
            <w:vAlign w:val="center"/>
          </w:tcPr>
          <w:p w14:paraId="561EC23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404" w:type="dxa"/>
            <w:vAlign w:val="center"/>
          </w:tcPr>
          <w:p w14:paraId="2AF42EE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60%</w:t>
            </w:r>
            <w:r>
              <w:rPr>
                <w:rFonts w:ascii="宋体" w:hAnsi="宋体" w:eastAsia="宋体" w:cs="Times New Roman"/>
                <w:kern w:val="0"/>
                <w:szCs w:val="21"/>
              </w:rPr>
              <w:t xml:space="preserve"> </w:t>
            </w:r>
          </w:p>
        </w:tc>
        <w:tc>
          <w:tcPr>
            <w:tcW w:w="2126" w:type="dxa"/>
            <w:vMerge w:val="restart"/>
            <w:vAlign w:val="center"/>
          </w:tcPr>
          <w:p w14:paraId="19C5FD3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2883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6C9449AB">
            <w:pPr>
              <w:widowControl/>
              <w:spacing w:line="276" w:lineRule="auto"/>
              <w:jc w:val="left"/>
              <w:rPr>
                <w:rFonts w:ascii="宋体" w:hAnsi="宋体" w:eastAsia="宋体" w:cs="Times New Roman"/>
                <w:kern w:val="0"/>
                <w:szCs w:val="21"/>
              </w:rPr>
            </w:pPr>
          </w:p>
        </w:tc>
        <w:tc>
          <w:tcPr>
            <w:tcW w:w="1341" w:type="dxa"/>
            <w:vMerge w:val="continue"/>
            <w:vAlign w:val="center"/>
          </w:tcPr>
          <w:p w14:paraId="7351719F">
            <w:pPr>
              <w:widowControl/>
              <w:spacing w:line="276" w:lineRule="auto"/>
              <w:jc w:val="left"/>
              <w:rPr>
                <w:rFonts w:ascii="宋体" w:hAnsi="宋体" w:eastAsia="宋体" w:cs="Times New Roman"/>
                <w:kern w:val="0"/>
                <w:szCs w:val="21"/>
              </w:rPr>
            </w:pPr>
          </w:p>
        </w:tc>
        <w:tc>
          <w:tcPr>
            <w:tcW w:w="1975" w:type="dxa"/>
            <w:vAlign w:val="center"/>
          </w:tcPr>
          <w:p w14:paraId="3E15F09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404" w:type="dxa"/>
            <w:vAlign w:val="center"/>
          </w:tcPr>
          <w:p w14:paraId="4D5167B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w:t>
            </w:r>
          </w:p>
        </w:tc>
        <w:tc>
          <w:tcPr>
            <w:tcW w:w="2126" w:type="dxa"/>
            <w:vMerge w:val="continue"/>
            <w:vAlign w:val="center"/>
          </w:tcPr>
          <w:p w14:paraId="31BA9044">
            <w:pPr>
              <w:widowControl/>
              <w:spacing w:line="276" w:lineRule="auto"/>
              <w:jc w:val="center"/>
              <w:rPr>
                <w:rFonts w:ascii="宋体" w:hAnsi="宋体" w:eastAsia="宋体" w:cs="Times New Roman"/>
                <w:kern w:val="0"/>
                <w:szCs w:val="21"/>
              </w:rPr>
            </w:pPr>
          </w:p>
        </w:tc>
      </w:tr>
      <w:tr w14:paraId="116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4FA473C5">
            <w:pPr>
              <w:widowControl/>
              <w:spacing w:line="276" w:lineRule="auto"/>
              <w:jc w:val="left"/>
              <w:rPr>
                <w:rFonts w:ascii="宋体" w:hAnsi="宋体" w:eastAsia="宋体" w:cs="Times New Roman"/>
                <w:kern w:val="0"/>
                <w:szCs w:val="21"/>
              </w:rPr>
            </w:pPr>
          </w:p>
        </w:tc>
        <w:tc>
          <w:tcPr>
            <w:tcW w:w="1341" w:type="dxa"/>
            <w:vMerge w:val="continue"/>
            <w:vAlign w:val="center"/>
          </w:tcPr>
          <w:p w14:paraId="5963BDB7">
            <w:pPr>
              <w:widowControl/>
              <w:spacing w:line="276" w:lineRule="auto"/>
              <w:jc w:val="left"/>
              <w:rPr>
                <w:rFonts w:ascii="宋体" w:hAnsi="宋体" w:eastAsia="宋体" w:cs="Times New Roman"/>
                <w:kern w:val="0"/>
                <w:szCs w:val="21"/>
              </w:rPr>
            </w:pPr>
          </w:p>
        </w:tc>
        <w:tc>
          <w:tcPr>
            <w:tcW w:w="1975" w:type="dxa"/>
            <w:vAlign w:val="center"/>
          </w:tcPr>
          <w:p w14:paraId="3B50FA7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404" w:type="dxa"/>
            <w:vAlign w:val="center"/>
          </w:tcPr>
          <w:p w14:paraId="38A26DE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18081E55">
            <w:pPr>
              <w:widowControl/>
              <w:spacing w:line="276" w:lineRule="auto"/>
              <w:jc w:val="center"/>
              <w:rPr>
                <w:rFonts w:ascii="宋体" w:hAnsi="宋体" w:eastAsia="宋体" w:cs="Times New Roman"/>
                <w:kern w:val="0"/>
                <w:szCs w:val="21"/>
              </w:rPr>
            </w:pPr>
          </w:p>
        </w:tc>
      </w:tr>
      <w:tr w14:paraId="72CC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5E9000E8">
            <w:pPr>
              <w:widowControl/>
              <w:spacing w:line="276" w:lineRule="auto"/>
              <w:jc w:val="left"/>
              <w:rPr>
                <w:rFonts w:ascii="宋体" w:hAnsi="宋体" w:eastAsia="宋体" w:cs="Times New Roman"/>
                <w:kern w:val="0"/>
                <w:szCs w:val="21"/>
              </w:rPr>
            </w:pPr>
          </w:p>
        </w:tc>
        <w:tc>
          <w:tcPr>
            <w:tcW w:w="1341" w:type="dxa"/>
            <w:vMerge w:val="continue"/>
            <w:vAlign w:val="center"/>
          </w:tcPr>
          <w:p w14:paraId="2C3B68BF">
            <w:pPr>
              <w:widowControl/>
              <w:spacing w:line="276" w:lineRule="auto"/>
              <w:jc w:val="left"/>
              <w:rPr>
                <w:rFonts w:ascii="宋体" w:hAnsi="宋体" w:eastAsia="宋体" w:cs="Times New Roman"/>
                <w:kern w:val="0"/>
                <w:szCs w:val="21"/>
              </w:rPr>
            </w:pPr>
          </w:p>
        </w:tc>
        <w:tc>
          <w:tcPr>
            <w:tcW w:w="1975" w:type="dxa"/>
            <w:vAlign w:val="center"/>
          </w:tcPr>
          <w:p w14:paraId="3B59784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404" w:type="dxa"/>
            <w:vAlign w:val="center"/>
          </w:tcPr>
          <w:p w14:paraId="270DF6D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77D83ADA">
            <w:pPr>
              <w:widowControl/>
              <w:spacing w:line="276" w:lineRule="auto"/>
              <w:jc w:val="center"/>
              <w:rPr>
                <w:rFonts w:ascii="宋体" w:hAnsi="宋体" w:eastAsia="宋体" w:cs="Times New Roman"/>
                <w:kern w:val="0"/>
                <w:szCs w:val="21"/>
              </w:rPr>
            </w:pPr>
          </w:p>
        </w:tc>
      </w:tr>
      <w:tr w14:paraId="7456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3B3F5AEA">
            <w:pPr>
              <w:widowControl/>
              <w:spacing w:line="276" w:lineRule="auto"/>
              <w:jc w:val="left"/>
              <w:rPr>
                <w:rFonts w:ascii="宋体" w:hAnsi="宋体" w:eastAsia="宋体" w:cs="Times New Roman"/>
                <w:kern w:val="0"/>
                <w:szCs w:val="21"/>
              </w:rPr>
            </w:pPr>
          </w:p>
        </w:tc>
        <w:tc>
          <w:tcPr>
            <w:tcW w:w="1341" w:type="dxa"/>
            <w:vMerge w:val="continue"/>
            <w:vAlign w:val="center"/>
          </w:tcPr>
          <w:p w14:paraId="4F56EF94">
            <w:pPr>
              <w:widowControl/>
              <w:spacing w:line="276" w:lineRule="auto"/>
              <w:jc w:val="left"/>
              <w:rPr>
                <w:rFonts w:ascii="宋体" w:hAnsi="宋体" w:eastAsia="宋体" w:cs="Times New Roman"/>
                <w:kern w:val="0"/>
                <w:szCs w:val="21"/>
              </w:rPr>
            </w:pPr>
          </w:p>
        </w:tc>
        <w:tc>
          <w:tcPr>
            <w:tcW w:w="1975" w:type="dxa"/>
            <w:vAlign w:val="center"/>
          </w:tcPr>
          <w:p w14:paraId="0A89EB37">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404" w:type="dxa"/>
            <w:vAlign w:val="center"/>
          </w:tcPr>
          <w:p w14:paraId="2A6FFE1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12%</w:t>
            </w:r>
          </w:p>
        </w:tc>
        <w:tc>
          <w:tcPr>
            <w:tcW w:w="2126" w:type="dxa"/>
            <w:vMerge w:val="continue"/>
            <w:vAlign w:val="center"/>
          </w:tcPr>
          <w:p w14:paraId="5C2380CD">
            <w:pPr>
              <w:widowControl/>
              <w:spacing w:line="276" w:lineRule="auto"/>
              <w:jc w:val="center"/>
              <w:rPr>
                <w:rFonts w:ascii="宋体" w:hAnsi="宋体" w:eastAsia="宋体" w:cs="Times New Roman"/>
                <w:kern w:val="0"/>
                <w:szCs w:val="21"/>
              </w:rPr>
            </w:pPr>
          </w:p>
        </w:tc>
      </w:tr>
      <w:tr w14:paraId="6648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restart"/>
            <w:vAlign w:val="center"/>
          </w:tcPr>
          <w:p w14:paraId="28046E7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41" w:type="dxa"/>
            <w:vMerge w:val="restart"/>
            <w:vAlign w:val="center"/>
          </w:tcPr>
          <w:p w14:paraId="33FA984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975" w:type="dxa"/>
            <w:vAlign w:val="center"/>
          </w:tcPr>
          <w:p w14:paraId="3841DB1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404" w:type="dxa"/>
            <w:vAlign w:val="center"/>
          </w:tcPr>
          <w:p w14:paraId="2343E5A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60%</w:t>
            </w:r>
            <w:r>
              <w:rPr>
                <w:rFonts w:ascii="宋体" w:hAnsi="宋体" w:eastAsia="宋体" w:cs="Times New Roman"/>
                <w:kern w:val="0"/>
                <w:szCs w:val="21"/>
              </w:rPr>
              <w:t xml:space="preserve"> </w:t>
            </w:r>
          </w:p>
        </w:tc>
        <w:tc>
          <w:tcPr>
            <w:tcW w:w="2126" w:type="dxa"/>
            <w:vMerge w:val="restart"/>
            <w:vAlign w:val="center"/>
          </w:tcPr>
          <w:p w14:paraId="12E4427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BCD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24F4CDA1">
            <w:pPr>
              <w:widowControl/>
              <w:spacing w:line="276" w:lineRule="auto"/>
              <w:jc w:val="center"/>
              <w:rPr>
                <w:rFonts w:ascii="宋体" w:hAnsi="宋体" w:eastAsia="宋体" w:cs="Times New Roman"/>
                <w:kern w:val="0"/>
                <w:szCs w:val="21"/>
              </w:rPr>
            </w:pPr>
          </w:p>
        </w:tc>
        <w:tc>
          <w:tcPr>
            <w:tcW w:w="1341" w:type="dxa"/>
            <w:vMerge w:val="continue"/>
            <w:vAlign w:val="center"/>
          </w:tcPr>
          <w:p w14:paraId="21EFD756">
            <w:pPr>
              <w:widowControl/>
              <w:spacing w:line="276" w:lineRule="auto"/>
              <w:jc w:val="center"/>
              <w:rPr>
                <w:rFonts w:ascii="宋体" w:hAnsi="宋体" w:eastAsia="宋体" w:cs="Times New Roman"/>
                <w:kern w:val="0"/>
                <w:szCs w:val="21"/>
              </w:rPr>
            </w:pPr>
          </w:p>
        </w:tc>
        <w:tc>
          <w:tcPr>
            <w:tcW w:w="1975" w:type="dxa"/>
            <w:vAlign w:val="center"/>
          </w:tcPr>
          <w:p w14:paraId="04C861F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404" w:type="dxa"/>
            <w:vAlign w:val="center"/>
          </w:tcPr>
          <w:p w14:paraId="722453C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253B2C69">
            <w:pPr>
              <w:widowControl/>
              <w:spacing w:line="276" w:lineRule="auto"/>
              <w:jc w:val="center"/>
              <w:rPr>
                <w:rFonts w:ascii="宋体" w:hAnsi="宋体" w:eastAsia="宋体" w:cs="Times New Roman"/>
                <w:kern w:val="0"/>
                <w:szCs w:val="21"/>
              </w:rPr>
            </w:pPr>
          </w:p>
        </w:tc>
      </w:tr>
      <w:tr w14:paraId="3467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1B7B3CB1">
            <w:pPr>
              <w:widowControl/>
              <w:spacing w:line="276" w:lineRule="auto"/>
              <w:jc w:val="left"/>
              <w:rPr>
                <w:rFonts w:ascii="宋体" w:hAnsi="宋体" w:eastAsia="宋体" w:cs="Times New Roman"/>
                <w:kern w:val="0"/>
                <w:szCs w:val="21"/>
              </w:rPr>
            </w:pPr>
          </w:p>
        </w:tc>
        <w:tc>
          <w:tcPr>
            <w:tcW w:w="1341" w:type="dxa"/>
            <w:vMerge w:val="continue"/>
            <w:vAlign w:val="center"/>
          </w:tcPr>
          <w:p w14:paraId="5CE84068">
            <w:pPr>
              <w:widowControl/>
              <w:spacing w:line="276" w:lineRule="auto"/>
              <w:jc w:val="left"/>
              <w:rPr>
                <w:rFonts w:ascii="宋体" w:hAnsi="宋体" w:eastAsia="宋体" w:cs="Times New Roman"/>
                <w:kern w:val="0"/>
                <w:szCs w:val="21"/>
              </w:rPr>
            </w:pPr>
          </w:p>
        </w:tc>
        <w:tc>
          <w:tcPr>
            <w:tcW w:w="1975" w:type="dxa"/>
            <w:vAlign w:val="center"/>
          </w:tcPr>
          <w:p w14:paraId="5397508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404" w:type="dxa"/>
            <w:vAlign w:val="center"/>
          </w:tcPr>
          <w:p w14:paraId="52EEA26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126" w:type="dxa"/>
            <w:vMerge w:val="continue"/>
            <w:vAlign w:val="center"/>
          </w:tcPr>
          <w:p w14:paraId="1DDAD40C">
            <w:pPr>
              <w:widowControl/>
              <w:spacing w:line="276" w:lineRule="auto"/>
              <w:jc w:val="center"/>
              <w:rPr>
                <w:rFonts w:ascii="宋体" w:hAnsi="宋体" w:eastAsia="宋体" w:cs="Times New Roman"/>
                <w:kern w:val="0"/>
                <w:szCs w:val="21"/>
              </w:rPr>
            </w:pPr>
          </w:p>
        </w:tc>
      </w:tr>
      <w:tr w14:paraId="5261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62E5D447">
            <w:pPr>
              <w:widowControl/>
              <w:spacing w:line="276" w:lineRule="auto"/>
              <w:jc w:val="left"/>
              <w:rPr>
                <w:rFonts w:ascii="宋体" w:hAnsi="宋体" w:eastAsia="宋体" w:cs="Times New Roman"/>
                <w:kern w:val="0"/>
                <w:szCs w:val="21"/>
              </w:rPr>
            </w:pPr>
          </w:p>
        </w:tc>
        <w:tc>
          <w:tcPr>
            <w:tcW w:w="1341" w:type="dxa"/>
            <w:vMerge w:val="continue"/>
            <w:vAlign w:val="center"/>
          </w:tcPr>
          <w:p w14:paraId="266632EE">
            <w:pPr>
              <w:widowControl/>
              <w:spacing w:line="276" w:lineRule="auto"/>
              <w:jc w:val="left"/>
              <w:rPr>
                <w:rFonts w:ascii="宋体" w:hAnsi="宋体" w:eastAsia="宋体" w:cs="Times New Roman"/>
                <w:kern w:val="0"/>
                <w:szCs w:val="21"/>
              </w:rPr>
            </w:pPr>
          </w:p>
        </w:tc>
        <w:tc>
          <w:tcPr>
            <w:tcW w:w="1975" w:type="dxa"/>
            <w:vAlign w:val="center"/>
          </w:tcPr>
          <w:p w14:paraId="359DB48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404" w:type="dxa"/>
            <w:vAlign w:val="center"/>
          </w:tcPr>
          <w:p w14:paraId="2C526DC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w:t>
            </w:r>
          </w:p>
        </w:tc>
        <w:tc>
          <w:tcPr>
            <w:tcW w:w="2126" w:type="dxa"/>
            <w:vMerge w:val="continue"/>
            <w:vAlign w:val="center"/>
          </w:tcPr>
          <w:p w14:paraId="6A7FA3D7">
            <w:pPr>
              <w:widowControl/>
              <w:spacing w:line="276" w:lineRule="auto"/>
              <w:jc w:val="center"/>
              <w:rPr>
                <w:rFonts w:ascii="宋体" w:hAnsi="宋体" w:eastAsia="宋体" w:cs="Times New Roman"/>
                <w:kern w:val="0"/>
                <w:szCs w:val="21"/>
              </w:rPr>
            </w:pPr>
          </w:p>
        </w:tc>
      </w:tr>
      <w:tr w14:paraId="1D3D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933" w:type="dxa"/>
            <w:vMerge w:val="continue"/>
            <w:vAlign w:val="center"/>
          </w:tcPr>
          <w:p w14:paraId="4D7969AC">
            <w:pPr>
              <w:widowControl/>
              <w:spacing w:line="276" w:lineRule="auto"/>
              <w:jc w:val="left"/>
              <w:rPr>
                <w:rFonts w:ascii="宋体" w:hAnsi="宋体" w:eastAsia="宋体" w:cs="Times New Roman"/>
                <w:kern w:val="0"/>
                <w:szCs w:val="21"/>
              </w:rPr>
            </w:pPr>
          </w:p>
        </w:tc>
        <w:tc>
          <w:tcPr>
            <w:tcW w:w="1341" w:type="dxa"/>
            <w:vMerge w:val="continue"/>
            <w:vAlign w:val="center"/>
          </w:tcPr>
          <w:p w14:paraId="393EAEDE">
            <w:pPr>
              <w:widowControl/>
              <w:spacing w:line="276" w:lineRule="auto"/>
              <w:jc w:val="left"/>
              <w:rPr>
                <w:rFonts w:ascii="宋体" w:hAnsi="宋体" w:eastAsia="宋体" w:cs="Times New Roman"/>
                <w:kern w:val="0"/>
                <w:szCs w:val="21"/>
              </w:rPr>
            </w:pPr>
          </w:p>
        </w:tc>
        <w:tc>
          <w:tcPr>
            <w:tcW w:w="1975" w:type="dxa"/>
            <w:vAlign w:val="center"/>
          </w:tcPr>
          <w:p w14:paraId="3126127B">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404" w:type="dxa"/>
            <w:vAlign w:val="center"/>
          </w:tcPr>
          <w:p w14:paraId="72C68A7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12%</w:t>
            </w:r>
          </w:p>
        </w:tc>
        <w:tc>
          <w:tcPr>
            <w:tcW w:w="2126" w:type="dxa"/>
            <w:vMerge w:val="continue"/>
            <w:vAlign w:val="center"/>
          </w:tcPr>
          <w:p w14:paraId="67D7D6EC">
            <w:pPr>
              <w:widowControl/>
              <w:spacing w:line="276" w:lineRule="auto"/>
              <w:jc w:val="center"/>
              <w:rPr>
                <w:rFonts w:ascii="宋体" w:hAnsi="宋体" w:eastAsia="宋体" w:cs="Times New Roman"/>
                <w:kern w:val="0"/>
                <w:szCs w:val="21"/>
              </w:rPr>
            </w:pPr>
          </w:p>
        </w:tc>
      </w:tr>
      <w:tr w14:paraId="06B8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933" w:type="dxa"/>
            <w:vMerge w:val="restart"/>
            <w:vAlign w:val="center"/>
          </w:tcPr>
          <w:p w14:paraId="34E0B4B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课程目标4</w:t>
            </w:r>
          </w:p>
        </w:tc>
        <w:tc>
          <w:tcPr>
            <w:tcW w:w="1341" w:type="dxa"/>
            <w:vMerge w:val="restart"/>
            <w:vAlign w:val="center"/>
          </w:tcPr>
          <w:p w14:paraId="3CCB4DA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w:t>
            </w:r>
          </w:p>
        </w:tc>
        <w:tc>
          <w:tcPr>
            <w:tcW w:w="1975" w:type="dxa"/>
            <w:vAlign w:val="center"/>
          </w:tcPr>
          <w:p w14:paraId="65FC0D2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404" w:type="dxa"/>
            <w:vAlign w:val="center"/>
          </w:tcPr>
          <w:p w14:paraId="5B03C82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60%</w:t>
            </w:r>
          </w:p>
        </w:tc>
        <w:tc>
          <w:tcPr>
            <w:tcW w:w="2126" w:type="dxa"/>
            <w:vMerge w:val="restart"/>
            <w:vAlign w:val="center"/>
          </w:tcPr>
          <w:p w14:paraId="16597F4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0F46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933" w:type="dxa"/>
            <w:vMerge w:val="continue"/>
            <w:vAlign w:val="center"/>
          </w:tcPr>
          <w:p w14:paraId="5125E892">
            <w:pPr>
              <w:widowControl/>
              <w:spacing w:line="276" w:lineRule="auto"/>
              <w:jc w:val="center"/>
              <w:rPr>
                <w:rFonts w:ascii="Times New Roman" w:hAnsi="Times New Roman" w:eastAsia="宋体" w:cs="Times New Roman"/>
                <w:szCs w:val="24"/>
              </w:rPr>
            </w:pPr>
          </w:p>
        </w:tc>
        <w:tc>
          <w:tcPr>
            <w:tcW w:w="1341" w:type="dxa"/>
            <w:vMerge w:val="continue"/>
            <w:vAlign w:val="center"/>
          </w:tcPr>
          <w:p w14:paraId="60439678">
            <w:pPr>
              <w:widowControl/>
              <w:spacing w:line="276" w:lineRule="auto"/>
              <w:jc w:val="center"/>
              <w:rPr>
                <w:rFonts w:ascii="Times New Roman" w:hAnsi="Times New Roman" w:eastAsia="宋体" w:cs="Times New Roman"/>
                <w:szCs w:val="24"/>
              </w:rPr>
            </w:pPr>
          </w:p>
        </w:tc>
        <w:tc>
          <w:tcPr>
            <w:tcW w:w="1975" w:type="dxa"/>
            <w:vAlign w:val="center"/>
          </w:tcPr>
          <w:p w14:paraId="785F3255">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作业1</w:t>
            </w:r>
          </w:p>
        </w:tc>
        <w:tc>
          <w:tcPr>
            <w:tcW w:w="1404" w:type="dxa"/>
            <w:vAlign w:val="center"/>
          </w:tcPr>
          <w:p w14:paraId="25AEA2BF">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28%</w:t>
            </w:r>
            <w:r>
              <w:rPr>
                <w:rFonts w:ascii="宋体" w:hAnsi="宋体" w:eastAsia="宋体" w:cs="Times New Roman"/>
                <w:kern w:val="0"/>
                <w:szCs w:val="21"/>
              </w:rPr>
              <w:t xml:space="preserve"> </w:t>
            </w:r>
          </w:p>
        </w:tc>
        <w:tc>
          <w:tcPr>
            <w:tcW w:w="2126" w:type="dxa"/>
            <w:vMerge w:val="continue"/>
            <w:vAlign w:val="center"/>
          </w:tcPr>
          <w:p w14:paraId="237E0D30">
            <w:pPr>
              <w:widowControl/>
              <w:spacing w:line="276" w:lineRule="auto"/>
              <w:jc w:val="center"/>
              <w:rPr>
                <w:rFonts w:ascii="Times New Roman" w:hAnsi="Times New Roman" w:eastAsia="宋体" w:cs="Times New Roman"/>
                <w:szCs w:val="24"/>
              </w:rPr>
            </w:pPr>
          </w:p>
        </w:tc>
      </w:tr>
      <w:tr w14:paraId="7922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933" w:type="dxa"/>
            <w:vMerge w:val="continue"/>
            <w:vAlign w:val="center"/>
          </w:tcPr>
          <w:p w14:paraId="5EF72886">
            <w:pPr>
              <w:widowControl/>
              <w:spacing w:line="276" w:lineRule="auto"/>
              <w:jc w:val="center"/>
              <w:rPr>
                <w:rFonts w:ascii="Times New Roman" w:hAnsi="Times New Roman" w:eastAsia="宋体" w:cs="Times New Roman"/>
                <w:szCs w:val="24"/>
              </w:rPr>
            </w:pPr>
          </w:p>
        </w:tc>
        <w:tc>
          <w:tcPr>
            <w:tcW w:w="1341" w:type="dxa"/>
            <w:vMerge w:val="continue"/>
            <w:vAlign w:val="center"/>
          </w:tcPr>
          <w:p w14:paraId="2805675D">
            <w:pPr>
              <w:widowControl/>
              <w:spacing w:line="276" w:lineRule="auto"/>
              <w:jc w:val="center"/>
              <w:rPr>
                <w:rFonts w:ascii="Times New Roman" w:hAnsi="Times New Roman" w:eastAsia="宋体" w:cs="Times New Roman"/>
                <w:szCs w:val="24"/>
              </w:rPr>
            </w:pPr>
          </w:p>
        </w:tc>
        <w:tc>
          <w:tcPr>
            <w:tcW w:w="1975" w:type="dxa"/>
            <w:vAlign w:val="center"/>
          </w:tcPr>
          <w:p w14:paraId="0182AEBC">
            <w:pPr>
              <w:widowControl/>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课堂表现与考勤</w:t>
            </w:r>
          </w:p>
        </w:tc>
        <w:tc>
          <w:tcPr>
            <w:tcW w:w="1404" w:type="dxa"/>
            <w:vAlign w:val="center"/>
          </w:tcPr>
          <w:p w14:paraId="38BF3819">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12%</w:t>
            </w:r>
            <w:r>
              <w:rPr>
                <w:rFonts w:ascii="宋体" w:hAnsi="宋体" w:eastAsia="宋体" w:cs="Times New Roman"/>
                <w:kern w:val="0"/>
                <w:szCs w:val="21"/>
              </w:rPr>
              <w:t xml:space="preserve"> </w:t>
            </w:r>
          </w:p>
        </w:tc>
        <w:tc>
          <w:tcPr>
            <w:tcW w:w="2126" w:type="dxa"/>
            <w:vMerge w:val="continue"/>
            <w:vAlign w:val="center"/>
          </w:tcPr>
          <w:p w14:paraId="56C0C2F8">
            <w:pPr>
              <w:widowControl/>
              <w:spacing w:line="276" w:lineRule="auto"/>
              <w:jc w:val="center"/>
              <w:rPr>
                <w:rFonts w:ascii="Times New Roman" w:hAnsi="Times New Roman" w:eastAsia="宋体" w:cs="Times New Roman"/>
                <w:szCs w:val="24"/>
              </w:rPr>
            </w:pPr>
          </w:p>
        </w:tc>
      </w:tr>
      <w:tr w14:paraId="64F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33" w:type="dxa"/>
            <w:vAlign w:val="center"/>
          </w:tcPr>
          <w:p w14:paraId="334E903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341" w:type="dxa"/>
            <w:vAlign w:val="center"/>
          </w:tcPr>
          <w:p w14:paraId="782B079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505" w:type="dxa"/>
            <w:gridSpan w:val="3"/>
            <w:vAlign w:val="center"/>
          </w:tcPr>
          <w:p w14:paraId="699BC5D6">
            <w:pPr>
              <w:widowControl/>
              <w:spacing w:line="276" w:lineRule="auto"/>
              <w:jc w:val="center"/>
              <w:rPr>
                <w:rFonts w:ascii="宋体" w:hAnsi="宋体" w:eastAsia="宋体" w:cs="Times New Roman"/>
                <w:kern w:val="0"/>
                <w:szCs w:val="21"/>
              </w:rPr>
            </w:pPr>
          </w:p>
        </w:tc>
      </w:tr>
    </w:tbl>
    <w:p w14:paraId="36FEEBA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（四）</w:t>
      </w:r>
      <w:r>
        <w:rPr>
          <w:rFonts w:ascii="宋体" w:hAnsi="宋体" w:eastAsia="宋体" w:cs="Times New Roman"/>
          <w:sz w:val="24"/>
          <w:szCs w:val="24"/>
        </w:rPr>
        <w:t>课程目标达成度计算方法</w:t>
      </w:r>
    </w:p>
    <w:p w14:paraId="139F9426">
      <w:pPr>
        <w:spacing w:line="360" w:lineRule="auto"/>
        <w:ind w:firstLine="480"/>
        <w:rPr>
          <w:rFonts w:ascii="宋体" w:hAnsi="宋体" w:eastAsia="宋体" w:cs="Times New Roman"/>
          <w:sz w:val="24"/>
          <w:szCs w:val="24"/>
        </w:rPr>
      </w:pPr>
      <w:r>
        <w:rPr>
          <w:rFonts w:ascii="宋体" w:hAnsi="宋体" w:eastAsia="宋体" w:cs="Times New Roman"/>
          <w:sz w:val="24"/>
          <w:szCs w:val="24"/>
        </w:rPr>
        <w:t>所有课程目标均</w:t>
      </w:r>
      <w:r>
        <w:rPr>
          <w:rFonts w:hint="eastAsia" w:ascii="宋体" w:hAnsi="宋体" w:eastAsia="宋体" w:cs="Times New Roman"/>
          <w:sz w:val="24"/>
          <w:szCs w:val="24"/>
        </w:rPr>
        <w:t>需</w:t>
      </w:r>
      <w:r>
        <w:rPr>
          <w:rFonts w:ascii="宋体" w:hAnsi="宋体" w:eastAsia="宋体" w:cs="Times New Roman"/>
          <w:sz w:val="24"/>
          <w:szCs w:val="24"/>
        </w:rPr>
        <w:t>大于等于0.6，否则总评成绩不及格，需要补考或重</w:t>
      </w:r>
      <w:r>
        <w:rPr>
          <w:rFonts w:hint="eastAsia" w:ascii="宋体" w:hAnsi="宋体" w:eastAsia="宋体" w:cs="Times New Roman"/>
          <w:sz w:val="24"/>
          <w:szCs w:val="24"/>
        </w:rPr>
        <w:t>修。</w:t>
      </w:r>
      <w:r>
        <w:rPr>
          <w:rFonts w:ascii="宋体" w:hAnsi="宋体" w:eastAsia="宋体" w:cs="Times New Roman"/>
          <w:sz w:val="24"/>
          <w:szCs w:val="24"/>
        </w:rPr>
        <w:t>每</w:t>
      </w:r>
      <w:r>
        <w:rPr>
          <w:rFonts w:hint="eastAsia" w:ascii="宋体" w:hAnsi="宋体" w:eastAsia="宋体" w:cs="Times New Roman"/>
          <w:sz w:val="24"/>
          <w:szCs w:val="24"/>
        </w:rPr>
        <w:t>门</w:t>
      </w:r>
      <w:r>
        <w:rPr>
          <w:rFonts w:ascii="宋体" w:hAnsi="宋体" w:eastAsia="宋体" w:cs="Times New Roman"/>
          <w:sz w:val="24"/>
          <w:szCs w:val="24"/>
        </w:rPr>
        <w:t>课程目标</w:t>
      </w:r>
      <w:r>
        <w:rPr>
          <w:rFonts w:hint="eastAsia" w:ascii="宋体" w:hAnsi="宋体" w:eastAsia="宋体" w:cs="Times New Roman"/>
          <w:sz w:val="24"/>
          <w:szCs w:val="24"/>
        </w:rPr>
        <w:t>总体</w:t>
      </w:r>
      <w:r>
        <w:rPr>
          <w:rFonts w:ascii="宋体" w:hAnsi="宋体" w:eastAsia="宋体" w:cs="Times New Roman"/>
          <w:sz w:val="24"/>
          <w:szCs w:val="24"/>
        </w:rPr>
        <w:t>达成度计算方法如下：</w:t>
      </w:r>
    </w:p>
    <w:p w14:paraId="27C4D31A">
      <w:pPr>
        <w:spacing w:line="360" w:lineRule="auto"/>
        <w:rPr>
          <w:rFonts w:ascii="宋体" w:hAnsi="宋体" w:eastAsia="宋体" w:cs="Times New Roman"/>
          <w:sz w:val="24"/>
          <w:szCs w:val="24"/>
        </w:rPr>
      </w:pPr>
      <w:r>
        <w:rPr>
          <w:rFonts w:ascii="宋体" w:hAnsi="宋体" w:eastAsia="宋体" w:cs="Times New Roman"/>
          <w:sz w:val="24"/>
          <w:szCs w:val="24"/>
        </w:rPr>
        <w:drawing>
          <wp:inline distT="0" distB="0" distL="0" distR="0">
            <wp:extent cx="4803140" cy="306705"/>
            <wp:effectExtent l="0" t="0" r="698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58158" cy="310580"/>
                    </a:xfrm>
                    <a:prstGeom prst="rect">
                      <a:avLst/>
                    </a:prstGeom>
                    <a:noFill/>
                    <a:ln>
                      <a:noFill/>
                    </a:ln>
                  </pic:spPr>
                </pic:pic>
              </a:graphicData>
            </a:graphic>
          </wp:inline>
        </w:drawing>
      </w:r>
    </w:p>
    <w:p w14:paraId="45B1E169">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3F7585E2">
      <w:pPr>
        <w:spacing w:line="360" w:lineRule="auto"/>
        <w:ind w:firstLine="482" w:firstLineChars="200"/>
        <w:rPr>
          <w:rFonts w:ascii="宋体" w:hAnsi="宋体" w:eastAsia="宋体" w:cs="Times New Roman"/>
          <w:b/>
          <w:sz w:val="24"/>
          <w:szCs w:val="24"/>
        </w:rPr>
      </w:pPr>
      <w:bookmarkStart w:id="91" w:name="_Toc27847280"/>
      <w:bookmarkStart w:id="92" w:name="_Toc27846262"/>
      <w:r>
        <w:rPr>
          <w:rFonts w:hint="eastAsia" w:ascii="宋体" w:hAnsi="宋体" w:eastAsia="宋体" w:cs="Times New Roman"/>
          <w:b/>
          <w:sz w:val="24"/>
          <w:szCs w:val="24"/>
        </w:rPr>
        <w:t>（一）持续改进</w:t>
      </w:r>
      <w:bookmarkEnd w:id="91"/>
      <w:bookmarkEnd w:id="92"/>
    </w:p>
    <w:p w14:paraId="58CCE36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本课程根据学生作业、课堂讨论、模拟教学、说课、平时考核情况和学生、教学督导等</w:t>
      </w:r>
      <w:r>
        <w:rPr>
          <w:rFonts w:hint="eastAsia" w:ascii="宋体" w:hAnsi="宋体" w:eastAsia="宋体" w:cs="Times New Roman"/>
          <w:sz w:val="24"/>
          <w:szCs w:val="24"/>
        </w:rPr>
        <w:t>的</w:t>
      </w:r>
      <w:r>
        <w:rPr>
          <w:rFonts w:ascii="宋体" w:hAnsi="宋体" w:eastAsia="宋体" w:cs="Times New Roman"/>
          <w:sz w:val="24"/>
          <w:szCs w:val="24"/>
        </w:rPr>
        <w:t>反馈，及时对教学中</w:t>
      </w:r>
      <w:r>
        <w:rPr>
          <w:rFonts w:hint="eastAsia" w:ascii="宋体" w:hAnsi="宋体" w:eastAsia="宋体" w:cs="Times New Roman"/>
          <w:sz w:val="24"/>
          <w:szCs w:val="24"/>
        </w:rPr>
        <w:t>的</w:t>
      </w:r>
      <w:r>
        <w:rPr>
          <w:rFonts w:ascii="宋体" w:hAnsi="宋体" w:eastAsia="宋体" w:cs="Times New Roman"/>
          <w:sz w:val="24"/>
          <w:szCs w:val="24"/>
        </w:rPr>
        <w:t>不足之处进行改进，并在下一轮课程教学中</w:t>
      </w:r>
      <w:r>
        <w:rPr>
          <w:rFonts w:hint="eastAsia" w:ascii="宋体" w:hAnsi="宋体" w:eastAsia="宋体" w:cs="Times New Roman"/>
          <w:sz w:val="24"/>
          <w:szCs w:val="24"/>
        </w:rPr>
        <w:t>整改完善</w:t>
      </w:r>
      <w:r>
        <w:rPr>
          <w:rFonts w:ascii="宋体" w:hAnsi="宋体" w:eastAsia="宋体" w:cs="Times New Roman"/>
          <w:sz w:val="24"/>
          <w:szCs w:val="24"/>
        </w:rPr>
        <w:t>，确保相应毕业要求指标点达成。</w:t>
      </w:r>
    </w:p>
    <w:p w14:paraId="2E2EFF2E">
      <w:pPr>
        <w:spacing w:line="360" w:lineRule="auto"/>
        <w:ind w:firstLine="482" w:firstLineChars="200"/>
        <w:rPr>
          <w:rFonts w:ascii="宋体" w:hAnsi="宋体" w:eastAsia="宋体" w:cs="Times New Roman"/>
          <w:b/>
          <w:sz w:val="24"/>
          <w:szCs w:val="24"/>
        </w:rPr>
      </w:pPr>
      <w:bookmarkStart w:id="93" w:name="_Toc27847281"/>
      <w:bookmarkStart w:id="94" w:name="_Toc27846263"/>
      <w:r>
        <w:rPr>
          <w:rFonts w:hint="eastAsia" w:ascii="宋体" w:hAnsi="宋体" w:eastAsia="宋体" w:cs="Times New Roman"/>
          <w:b/>
          <w:sz w:val="24"/>
          <w:szCs w:val="24"/>
        </w:rPr>
        <w:t>（二）</w:t>
      </w:r>
      <w:r>
        <w:rPr>
          <w:rFonts w:ascii="宋体" w:hAnsi="宋体" w:eastAsia="宋体" w:cs="Times New Roman"/>
          <w:b/>
          <w:sz w:val="24"/>
          <w:szCs w:val="24"/>
        </w:rPr>
        <w:t>参考书目及学习资料</w:t>
      </w:r>
      <w:bookmarkEnd w:id="93"/>
      <w:bookmarkEnd w:id="94"/>
    </w:p>
    <w:p w14:paraId="734F8D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1.教材</w:t>
      </w:r>
    </w:p>
    <w:p w14:paraId="363FA0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陈琦，刘儒德主编.当代教育心理学（第3版）.北京：北京师范大学出版社，2019</w:t>
      </w:r>
    </w:p>
    <w:p w14:paraId="7BB453A0">
      <w:pPr>
        <w:spacing w:line="360" w:lineRule="auto"/>
        <w:ind w:left="48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教学参考书</w:t>
      </w:r>
    </w:p>
    <w:p w14:paraId="57CFC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卢家楣主编.心理学与教育：理论和实践(第3版). 上海：上海教育出版社，2016</w:t>
      </w:r>
    </w:p>
    <w:p w14:paraId="1F2047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[美]伍尔福克（Woolfolk,A.）著，伍新春等译.教育心理学（第12版）.北京：中国人民大学出版社，2015</w:t>
      </w:r>
    </w:p>
    <w:p w14:paraId="5BF0D0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[美]斯莱文（Slavin,R.）著，吕红梅，姚梅林译.教育心理学：理论与实践（第10版）.北京：人民邮电出版社，2016</w:t>
      </w:r>
    </w:p>
    <w:p w14:paraId="7E3A3EE5">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4D379959">
      <w:pPr>
        <w:autoSpaceDE w:val="0"/>
        <w:autoSpaceDN w:val="0"/>
        <w:adjustRightInd w:val="0"/>
        <w:spacing w:line="360" w:lineRule="auto"/>
        <w:ind w:firstLine="5040" w:firstLineChars="21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巫文胜</w:t>
      </w:r>
    </w:p>
    <w:p w14:paraId="1D3FED98">
      <w:pPr>
        <w:autoSpaceDE w:val="0"/>
        <w:autoSpaceDN w:val="0"/>
        <w:adjustRightInd w:val="0"/>
        <w:spacing w:line="360" w:lineRule="auto"/>
        <w:ind w:firstLine="5040" w:firstLineChars="2100"/>
        <w:jc w:val="left"/>
        <w:rPr>
          <w:rFonts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王  健</w:t>
      </w:r>
      <w:r>
        <w:rPr>
          <w:rFonts w:ascii="宋体" w:hAnsi="宋体" w:eastAsia="宋体" w:cs="Times New Roman"/>
          <w:kern w:val="0"/>
          <w:sz w:val="24"/>
          <w:szCs w:val="21"/>
        </w:rPr>
        <w:t xml:space="preserve"> </w:t>
      </w:r>
    </w:p>
    <w:p w14:paraId="47DAB731">
      <w:pPr>
        <w:autoSpaceDE w:val="0"/>
        <w:autoSpaceDN w:val="0"/>
        <w:adjustRightInd w:val="0"/>
        <w:spacing w:line="360" w:lineRule="auto"/>
        <w:ind w:firstLine="5040" w:firstLineChars="2100"/>
        <w:jc w:val="left"/>
        <w:rPr>
          <w:rFonts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2CE99080">
      <w:pPr>
        <w:ind w:firstLine="5040" w:firstLineChars="2100"/>
        <w:rPr>
          <w:szCs w:val="24"/>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4CCF6A2F">
      <w:pPr>
        <w:rPr>
          <w:rFonts w:ascii="Calibri" w:hAnsi="Calibri" w:eastAsia="宋体" w:cs="Times New Roman"/>
        </w:rPr>
      </w:pPr>
    </w:p>
    <w:p w14:paraId="436AD64E">
      <w:pPr>
        <w:widowControl/>
        <w:jc w:val="left"/>
        <w:rPr>
          <w:rFonts w:ascii="宋体" w:hAnsi="宋体" w:eastAsia="宋体" w:cs="Times New Roman"/>
          <w:sz w:val="24"/>
          <w:szCs w:val="24"/>
        </w:rPr>
      </w:pPr>
      <w:r>
        <w:rPr>
          <w:rFonts w:ascii="宋体" w:hAnsi="宋体" w:eastAsia="宋体" w:cs="Times New Roman"/>
          <w:sz w:val="24"/>
          <w:szCs w:val="24"/>
        </w:rPr>
        <w:br w:type="page"/>
      </w:r>
    </w:p>
    <w:p w14:paraId="6B2C4C21">
      <w:pPr>
        <w:widowControl/>
        <w:adjustRightInd w:val="0"/>
        <w:snapToGrid w:val="0"/>
        <w:spacing w:line="360" w:lineRule="auto"/>
        <w:jc w:val="center"/>
        <w:outlineLvl w:val="0"/>
        <w:rPr>
          <w:rFonts w:ascii="宋体" w:hAnsi="宋体" w:eastAsia="宋体" w:cs="Times New Roman"/>
          <w:b/>
          <w:kern w:val="0"/>
          <w:sz w:val="30"/>
          <w:szCs w:val="30"/>
        </w:rPr>
      </w:pPr>
      <w:bookmarkStart w:id="95" w:name="_Toc88424520"/>
      <w:r>
        <w:rPr>
          <w:rFonts w:hint="eastAsia" w:ascii="宋体" w:hAnsi="宋体" w:eastAsia="宋体" w:cs="Times New Roman"/>
          <w:b/>
          <w:kern w:val="0"/>
          <w:sz w:val="30"/>
          <w:szCs w:val="30"/>
        </w:rPr>
        <w:t>现代教育技术课程教学大纲</w:t>
      </w:r>
      <w:bookmarkEnd w:id="95"/>
    </w:p>
    <w:p w14:paraId="70DCCC7F">
      <w:pPr>
        <w:widowControl/>
        <w:adjustRightInd w:val="0"/>
        <w:snapToGrid w:val="0"/>
        <w:spacing w:line="360" w:lineRule="auto"/>
        <w:jc w:val="center"/>
        <w:rPr>
          <w:rFonts w:ascii="宋体" w:hAnsi="宋体" w:eastAsia="宋体" w:cs="Times New Roman"/>
          <w:b/>
          <w:kern w:val="0"/>
          <w:sz w:val="30"/>
          <w:szCs w:val="30"/>
        </w:rPr>
      </w:pPr>
      <w:r>
        <w:rPr>
          <w:rFonts w:hint="eastAsia" w:ascii="宋体" w:hAnsi="宋体" w:eastAsia="宋体" w:cs="Times New Roman"/>
          <w:b/>
          <w:kern w:val="0"/>
          <w:sz w:val="30"/>
          <w:szCs w:val="30"/>
        </w:rPr>
        <w:t>（</w:t>
      </w:r>
      <w:r>
        <w:rPr>
          <w:rFonts w:ascii="宋体" w:hAnsi="宋体" w:eastAsia="宋体" w:cs="Times New Roman"/>
          <w:b/>
          <w:kern w:val="0"/>
          <w:sz w:val="30"/>
          <w:szCs w:val="30"/>
        </w:rPr>
        <w:t>Modern Educational Technology</w:t>
      </w:r>
      <w:r>
        <w:rPr>
          <w:rFonts w:hint="eastAsia" w:ascii="宋体" w:hAnsi="宋体" w:eastAsia="宋体" w:cs="Times New Roman"/>
          <w:b/>
          <w:kern w:val="0"/>
          <w:sz w:val="30"/>
          <w:szCs w:val="30"/>
        </w:rPr>
        <w:t>）</w:t>
      </w:r>
    </w:p>
    <w:p w14:paraId="0BF8892D">
      <w:pPr>
        <w:widowControl/>
        <w:adjustRightInd w:val="0"/>
        <w:snapToGrid w:val="0"/>
        <w:spacing w:line="360" w:lineRule="auto"/>
        <w:jc w:val="center"/>
        <w:rPr>
          <w:rFonts w:ascii="宋体" w:hAnsi="宋体" w:eastAsia="宋体" w:cs="Times New Roman"/>
          <w:b/>
          <w:kern w:val="0"/>
          <w:sz w:val="24"/>
          <w:szCs w:val="24"/>
        </w:rPr>
      </w:pPr>
    </w:p>
    <w:p w14:paraId="739A42AD">
      <w:pPr>
        <w:spacing w:line="360" w:lineRule="auto"/>
        <w:ind w:left="0" w:leftChars="0" w:firstLine="0" w:firstLineChars="0"/>
        <w:rPr>
          <w:rFonts w:ascii="宋体" w:hAnsi="宋体" w:eastAsia="宋体" w:cs="Times New Roman"/>
          <w:b/>
          <w:sz w:val="28"/>
          <w:szCs w:val="28"/>
        </w:rPr>
      </w:pPr>
      <w:r>
        <w:rPr>
          <w:rFonts w:ascii="宋体" w:hAnsi="宋体" w:eastAsia="宋体" w:cs="Times New Roman"/>
          <w:b/>
          <w:sz w:val="28"/>
          <w:szCs w:val="28"/>
        </w:rPr>
        <w:t>一、课程概况</w:t>
      </w:r>
    </w:p>
    <w:p w14:paraId="4F0DB646">
      <w:pPr>
        <w:spacing w:line="360" w:lineRule="auto"/>
        <w:ind w:left="0" w:leftChars="0" w:firstLine="0" w:firstLineChars="0"/>
        <w:rPr>
          <w:rFonts w:ascii="宋体" w:hAnsi="宋体" w:eastAsia="宋体" w:cs="Times New Roman"/>
          <w:kern w:val="0"/>
          <w:sz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ascii="宋体" w:hAnsi="宋体" w:eastAsia="宋体" w:cs="Times New Roman"/>
          <w:kern w:val="0"/>
          <w:sz w:val="24"/>
        </w:rPr>
        <w:t>2401054</w:t>
      </w:r>
    </w:p>
    <w:p w14:paraId="458FB412">
      <w:pPr>
        <w:spacing w:line="360" w:lineRule="auto"/>
        <w:ind w:left="0" w:leftChars="0" w:firstLine="0" w:firstLineChars="0"/>
        <w:rPr>
          <w:rFonts w:ascii="宋体" w:hAnsi="宋体" w:eastAsia="宋体" w:cs="Times New Roman"/>
          <w:kern w:val="0"/>
          <w:sz w:val="24"/>
          <w:szCs w:val="24"/>
        </w:rPr>
      </w:pPr>
      <w:r>
        <w:rPr>
          <w:rFonts w:ascii="宋体" w:hAnsi="宋体" w:eastAsia="宋体" w:cs="Times New Roman"/>
          <w:b/>
          <w:bCs/>
          <w:kern w:val="0"/>
          <w:sz w:val="24"/>
          <w:szCs w:val="24"/>
        </w:rPr>
        <w:t>学    分：</w:t>
      </w:r>
      <w:r>
        <w:rPr>
          <w:rFonts w:hint="eastAsia" w:ascii="宋体" w:hAnsi="宋体" w:eastAsia="宋体" w:cs="Times New Roman"/>
          <w:kern w:val="0"/>
          <w:sz w:val="24"/>
        </w:rPr>
        <w:t>2</w:t>
      </w:r>
    </w:p>
    <w:p w14:paraId="632B7F30">
      <w:pPr>
        <w:spacing w:line="360" w:lineRule="auto"/>
        <w:ind w:left="0" w:leftChars="0" w:firstLine="0" w:firstLineChars="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（其中：讲授学时</w:t>
      </w:r>
      <w:r>
        <w:rPr>
          <w:rFonts w:hint="eastAsia" w:ascii="宋体" w:hAnsi="宋体" w:eastAsia="宋体" w:cs="Times New Roman"/>
          <w:kern w:val="0"/>
          <w:sz w:val="24"/>
          <w:szCs w:val="24"/>
        </w:rPr>
        <w:t>16，</w:t>
      </w:r>
      <w:r>
        <w:rPr>
          <w:rFonts w:ascii="宋体" w:hAnsi="宋体" w:eastAsia="宋体" w:cs="Times New Roman"/>
          <w:kern w:val="0"/>
          <w:sz w:val="24"/>
          <w:szCs w:val="24"/>
        </w:rPr>
        <w:t xml:space="preserve"> 课内实践学时</w:t>
      </w:r>
      <w:r>
        <w:rPr>
          <w:rFonts w:hint="eastAsia" w:ascii="宋体" w:hAnsi="宋体" w:eastAsia="宋体" w:cs="Times New Roman"/>
          <w:kern w:val="0"/>
          <w:sz w:val="24"/>
          <w:szCs w:val="24"/>
        </w:rPr>
        <w:t>16</w:t>
      </w:r>
      <w:r>
        <w:rPr>
          <w:rFonts w:ascii="宋体" w:hAnsi="宋体" w:eastAsia="宋体" w:cs="Times New Roman"/>
          <w:kern w:val="0"/>
          <w:sz w:val="24"/>
          <w:szCs w:val="24"/>
        </w:rPr>
        <w:t>）</w:t>
      </w:r>
    </w:p>
    <w:p w14:paraId="6B8BAF4F">
      <w:pPr>
        <w:spacing w:line="360" w:lineRule="auto"/>
        <w:ind w:left="0" w:leftChars="0" w:firstLine="0" w:firstLineChars="0"/>
        <w:jc w:val="left"/>
        <w:rPr>
          <w:rFonts w:ascii="宋体" w:hAnsi="宋体" w:eastAsia="宋体" w:cs="Times New Roman"/>
          <w:kern w:val="0"/>
          <w:sz w:val="24"/>
          <w:szCs w:val="24"/>
        </w:rPr>
      </w:pPr>
      <w:r>
        <w:rPr>
          <w:rFonts w:ascii="宋体" w:hAnsi="宋体" w:eastAsia="宋体" w:cs="Times New Roman"/>
          <w:b/>
          <w:bCs/>
          <w:kern w:val="0"/>
          <w:sz w:val="24"/>
          <w:szCs w:val="24"/>
        </w:rPr>
        <w:t>先修课程：</w:t>
      </w:r>
      <w:r>
        <w:rPr>
          <w:rFonts w:hint="eastAsia" w:ascii="宋体" w:hAnsi="宋体" w:eastAsia="宋体" w:cs="Times New Roman"/>
          <w:kern w:val="0"/>
          <w:sz w:val="24"/>
          <w:szCs w:val="24"/>
        </w:rPr>
        <w:t>教育原理、小学心理学、教育心理学、教育科学研究方法、教师职业道德小学班队管理、课程与教</w:t>
      </w:r>
      <w:r>
        <w:rPr>
          <w:rFonts w:ascii="宋体" w:hAnsi="宋体" w:eastAsia="宋体" w:cs="Times New Roman"/>
          <w:kern w:val="0"/>
          <w:sz w:val="24"/>
          <w:szCs w:val="24"/>
        </w:rPr>
        <w:t>学论</w:t>
      </w:r>
    </w:p>
    <w:p w14:paraId="484C03F4">
      <w:pPr>
        <w:spacing w:line="360" w:lineRule="auto"/>
        <w:ind w:left="0" w:leftChars="0" w:firstLine="0" w:firstLineChars="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hint="eastAsia" w:ascii="宋体" w:hAnsi="宋体" w:eastAsia="宋体" w:cs="Times New Roman"/>
          <w:kern w:val="0"/>
          <w:sz w:val="24"/>
          <w:szCs w:val="24"/>
        </w:rPr>
        <w:t>小学教育</w:t>
      </w:r>
      <w:r>
        <w:rPr>
          <w:rFonts w:ascii="宋体" w:hAnsi="宋体" w:eastAsia="宋体" w:cs="Times New Roman"/>
          <w:kern w:val="0"/>
          <w:sz w:val="24"/>
          <w:szCs w:val="24"/>
        </w:rPr>
        <w:t xml:space="preserve">                    </w:t>
      </w:r>
    </w:p>
    <w:p w14:paraId="0DFA4B4C">
      <w:pPr>
        <w:spacing w:line="360" w:lineRule="auto"/>
        <w:ind w:left="0" w:leftChars="0" w:firstLine="0" w:firstLineChars="0"/>
        <w:rPr>
          <w:rFonts w:hint="eastAsia" w:ascii="宋体" w:hAnsi="宋体" w:eastAsia="宋体" w:cs="Times New Roman"/>
          <w:kern w:val="0"/>
          <w:sz w:val="24"/>
          <w:szCs w:val="24"/>
          <w:lang w:eastAsia="zh-CN"/>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hint="eastAsia" w:ascii="宋体" w:hAnsi="宋体" w:eastAsia="宋体" w:cs="Times New Roman"/>
          <w:kern w:val="0"/>
          <w:sz w:val="24"/>
        </w:rPr>
        <w:t>《现代教育技术》（第</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版）</w:t>
      </w:r>
      <w:r>
        <w:rPr>
          <w:rFonts w:hint="eastAsia" w:ascii="宋体" w:hAnsi="宋体" w:eastAsia="宋体" w:cs="Times New Roman"/>
          <w:kern w:val="0"/>
          <w:sz w:val="24"/>
          <w:lang w:eastAsia="zh-CN"/>
        </w:rPr>
        <w:t>，</w:t>
      </w:r>
      <w:r>
        <w:rPr>
          <w:rFonts w:hint="eastAsia" w:ascii="宋体" w:hAnsi="宋体" w:eastAsia="宋体" w:cs="Times New Roman"/>
          <w:kern w:val="0"/>
          <w:sz w:val="24"/>
        </w:rPr>
        <w:t>陈明选</w:t>
      </w:r>
      <w:r>
        <w:rPr>
          <w:rFonts w:hint="eastAsia" w:ascii="宋体" w:hAnsi="宋体" w:eastAsia="宋体" w:cs="Times New Roman"/>
          <w:kern w:val="0"/>
          <w:sz w:val="24"/>
          <w:lang w:eastAsia="zh-CN"/>
        </w:rPr>
        <w:t>，</w:t>
      </w:r>
      <w:r>
        <w:rPr>
          <w:rFonts w:hint="eastAsia" w:ascii="宋体" w:hAnsi="宋体" w:eastAsia="宋体" w:cs="Times New Roman"/>
          <w:kern w:val="0"/>
          <w:sz w:val="24"/>
        </w:rPr>
        <w:t>上海交通大学出版社</w:t>
      </w:r>
      <w:r>
        <w:rPr>
          <w:rFonts w:hint="eastAsia"/>
          <w:lang w:eastAsia="zh-CN"/>
        </w:rPr>
        <w:t>，</w:t>
      </w:r>
      <w:r>
        <w:rPr>
          <w:rFonts w:hint="eastAsia" w:ascii="宋体" w:hAnsi="宋体" w:eastAsia="宋体" w:cs="Times New Roman"/>
          <w:kern w:val="0"/>
          <w:sz w:val="24"/>
        </w:rPr>
        <w:t>202</w:t>
      </w:r>
      <w:r>
        <w:rPr>
          <w:rFonts w:hint="eastAsia" w:ascii="宋体" w:hAnsi="宋体" w:cs="Times New Roman"/>
          <w:kern w:val="0"/>
          <w:sz w:val="24"/>
          <w:lang w:val="en-US" w:eastAsia="zh-CN"/>
        </w:rPr>
        <w:t>2</w:t>
      </w:r>
    </w:p>
    <w:p w14:paraId="1CD8FC53">
      <w:pPr>
        <w:spacing w:line="360" w:lineRule="auto"/>
        <w:ind w:left="0" w:leftChars="0" w:firstLine="0" w:firstLineChars="0"/>
        <w:rPr>
          <w:rFonts w:ascii="宋体" w:hAnsi="宋体" w:eastAsia="宋体" w:cs="Times New Roman"/>
          <w:sz w:val="24"/>
          <w:szCs w:val="24"/>
        </w:rPr>
      </w:pPr>
      <w:r>
        <w:rPr>
          <w:rFonts w:ascii="宋体" w:hAnsi="宋体" w:eastAsia="宋体" w:cs="Times New Roman"/>
          <w:b/>
          <w:bCs/>
          <w:kern w:val="0"/>
          <w:sz w:val="24"/>
          <w:szCs w:val="24"/>
        </w:rPr>
        <w:t>课程归口：</w:t>
      </w:r>
      <w:r>
        <w:rPr>
          <w:rFonts w:hint="eastAsia" w:ascii="宋体" w:hAnsi="宋体" w:eastAsia="宋体" w:cs="Times New Roman"/>
          <w:sz w:val="24"/>
          <w:szCs w:val="24"/>
        </w:rPr>
        <w:t>师范</w:t>
      </w:r>
      <w:r>
        <w:rPr>
          <w:rFonts w:ascii="宋体" w:hAnsi="宋体" w:eastAsia="宋体" w:cs="Times New Roman"/>
          <w:sz w:val="24"/>
          <w:szCs w:val="24"/>
        </w:rPr>
        <w:t>学院</w:t>
      </w:r>
    </w:p>
    <w:p w14:paraId="4CA9E1C9">
      <w:pPr>
        <w:widowControl/>
        <w:autoSpaceDE w:val="0"/>
        <w:autoSpaceDN w:val="0"/>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课程的性质与任务：</w:t>
      </w:r>
      <w:r>
        <w:rPr>
          <w:rFonts w:hint="eastAsia" w:ascii="宋体" w:hAnsi="宋体" w:eastAsia="宋体" w:cs="Times New Roman"/>
          <w:kern w:val="0"/>
          <w:sz w:val="24"/>
          <w:szCs w:val="24"/>
        </w:rPr>
        <w:t>本课程</w:t>
      </w:r>
      <w:r>
        <w:rPr>
          <w:rFonts w:ascii="宋体" w:hAnsi="宋体" w:eastAsia="宋体" w:cs="Times New Roman"/>
          <w:kern w:val="0"/>
          <w:sz w:val="24"/>
          <w:szCs w:val="24"/>
        </w:rPr>
        <w:t>是</w:t>
      </w:r>
      <w:r>
        <w:rPr>
          <w:rFonts w:hint="eastAsia" w:ascii="宋体" w:hAnsi="宋体" w:eastAsia="宋体" w:cs="Times New Roman"/>
          <w:kern w:val="0"/>
          <w:sz w:val="24"/>
          <w:szCs w:val="24"/>
        </w:rPr>
        <w:t>小学教育</w:t>
      </w:r>
      <w:r>
        <w:rPr>
          <w:rFonts w:ascii="宋体" w:hAnsi="宋体" w:eastAsia="宋体" w:cs="Times New Roman"/>
          <w:kern w:val="0"/>
          <w:sz w:val="24"/>
          <w:szCs w:val="24"/>
        </w:rPr>
        <w:t>专业的一门</w:t>
      </w:r>
      <w:r>
        <w:rPr>
          <w:rFonts w:hint="eastAsia" w:ascii="宋体" w:hAnsi="宋体" w:eastAsia="宋体" w:cs="Times New Roman"/>
          <w:kern w:val="0"/>
          <w:sz w:val="24"/>
          <w:szCs w:val="24"/>
        </w:rPr>
        <w:t>专业基础必修</w:t>
      </w:r>
      <w:r>
        <w:rPr>
          <w:rFonts w:ascii="宋体" w:hAnsi="宋体" w:eastAsia="宋体" w:cs="Times New Roman"/>
          <w:kern w:val="0"/>
          <w:sz w:val="24"/>
          <w:szCs w:val="24"/>
        </w:rPr>
        <w:t>课程</w:t>
      </w:r>
      <w:r>
        <w:rPr>
          <w:rFonts w:hint="eastAsia" w:ascii="宋体" w:hAnsi="宋体" w:eastAsia="宋体" w:cs="Times New Roman"/>
          <w:kern w:val="0"/>
          <w:sz w:val="24"/>
          <w:szCs w:val="24"/>
        </w:rPr>
        <w:t>。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w:t>
      </w:r>
      <w:r>
        <w:rPr>
          <w:rFonts w:ascii="宋体" w:hAnsi="宋体" w:eastAsia="宋体" w:cs="Times New Roman"/>
          <w:kern w:val="0"/>
          <w:sz w:val="24"/>
          <w:szCs w:val="24"/>
        </w:rPr>
        <w:t>等课程及教育实习环节奠定基础。</w:t>
      </w:r>
    </w:p>
    <w:p w14:paraId="2F509A04">
      <w:pPr>
        <w:spacing w:line="360" w:lineRule="auto"/>
        <w:ind w:left="0" w:leftChars="0" w:firstLine="0" w:firstLineChars="0"/>
        <w:rPr>
          <w:rFonts w:ascii="宋体" w:hAnsi="宋体" w:eastAsia="宋体" w:cs="Times New Roman"/>
          <w:b/>
          <w:sz w:val="28"/>
          <w:szCs w:val="28"/>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262E62E6">
      <w:pPr>
        <w:spacing w:line="360" w:lineRule="auto"/>
        <w:ind w:left="0" w:leftChars="0" w:firstLine="0" w:firstLineChars="0"/>
        <w:rPr>
          <w:rFonts w:ascii="宋体" w:hAnsi="宋体" w:eastAsia="宋体" w:cs="Times New Roman"/>
          <w:b/>
          <w:sz w:val="24"/>
          <w:szCs w:val="24"/>
        </w:rPr>
      </w:pPr>
      <w:r>
        <w:rPr>
          <w:rFonts w:hint="eastAsia" w:ascii="宋体" w:hAnsi="宋体" w:eastAsia="宋体" w:cs="Times New Roman"/>
          <w:b/>
          <w:sz w:val="24"/>
          <w:szCs w:val="24"/>
        </w:rPr>
        <w:t>（一）课程具体目标</w:t>
      </w:r>
    </w:p>
    <w:p w14:paraId="259E5B4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目标1.</w:t>
      </w:r>
      <w:r>
        <w:rPr>
          <w:rFonts w:hint="eastAsia" w:ascii="宋体" w:hAnsi="宋体" w:eastAsia="微软雅黑" w:cs="Times New Roman"/>
          <w:color w:val="FF0000"/>
          <w:kern w:val="0"/>
          <w:sz w:val="24"/>
        </w:rPr>
        <w:t xml:space="preserve"> </w:t>
      </w:r>
      <w:r>
        <w:rPr>
          <w:rFonts w:hint="eastAsia" w:ascii="宋体" w:hAnsi="宋体" w:eastAsia="宋体" w:cs="Times New Roman"/>
          <w:kern w:val="0"/>
          <w:sz w:val="24"/>
          <w:szCs w:val="24"/>
        </w:rPr>
        <w:t>阐释教育技术的概念、作用与理论基础；形成教育技术相关理论的认知框架；了解信息时代教师应具备的素质能力要求。</w:t>
      </w:r>
    </w:p>
    <w:p w14:paraId="7CC723C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目标2.</w:t>
      </w:r>
      <w:r>
        <w:rPr>
          <w:rFonts w:ascii="宋体" w:hAnsi="宋体" w:eastAsia="宋体" w:cs="Times New Roman"/>
          <w:kern w:val="0"/>
          <w:sz w:val="24"/>
          <w:szCs w:val="24"/>
        </w:rPr>
        <w:t xml:space="preserve"> 将教育理论与信息技术相结合，</w:t>
      </w:r>
      <w:r>
        <w:rPr>
          <w:rFonts w:hint="eastAsia" w:ascii="宋体" w:hAnsi="宋体" w:eastAsia="宋体" w:cs="Times New Roman"/>
          <w:kern w:val="0"/>
          <w:sz w:val="24"/>
          <w:szCs w:val="24"/>
        </w:rPr>
        <w:t>对信息化教学资源进行设计与开发；运用信息化教学模式与方法进行课程的设计并组织教学。</w:t>
      </w:r>
    </w:p>
    <w:p w14:paraId="12B018C8">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目标3.</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掌握多种教学媒体的基本原理和使用方法。并掌握数字化资源的采集、加工与利用方法，能够进行数字化教学资源的设计与制作。</w:t>
      </w:r>
    </w:p>
    <w:p w14:paraId="022C39DC">
      <w:pPr>
        <w:widowControl/>
        <w:adjustRightInd w:val="0"/>
        <w:snapToGrid w:val="0"/>
        <w:spacing w:line="360" w:lineRule="auto"/>
        <w:ind w:left="0" w:leftChars="0" w:firstLine="0" w:firstLineChars="0"/>
        <w:jc w:val="left"/>
        <w:rPr>
          <w:rFonts w:ascii="宋体" w:hAnsi="宋体" w:eastAsia="宋体" w:cs="Times New Roman"/>
          <w:kern w:val="0"/>
          <w:sz w:val="24"/>
          <w:szCs w:val="24"/>
        </w:rPr>
      </w:pPr>
    </w:p>
    <w:p w14:paraId="123E9802">
      <w:pPr>
        <w:widowControl/>
        <w:adjustRightInd w:val="0"/>
        <w:snapToGrid w:val="0"/>
        <w:spacing w:line="360" w:lineRule="auto"/>
        <w:ind w:left="0" w:leftChars="0" w:firstLine="0" w:firstLineChars="0"/>
        <w:jc w:val="left"/>
        <w:rPr>
          <w:rFonts w:ascii="宋体" w:hAnsi="宋体" w:eastAsia="宋体" w:cs="Times New Roman"/>
          <w:kern w:val="0"/>
          <w:sz w:val="24"/>
          <w:szCs w:val="24"/>
        </w:rPr>
      </w:pPr>
    </w:p>
    <w:p w14:paraId="37201DF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p>
    <w:p w14:paraId="1B8179F4">
      <w:pPr>
        <w:widowControl/>
        <w:adjustRightInd w:val="0"/>
        <w:snapToGrid w:val="0"/>
        <w:spacing w:line="360" w:lineRule="auto"/>
        <w:ind w:left="0" w:leftChars="0" w:firstLine="0" w:firstLineChars="0"/>
        <w:jc w:val="left"/>
        <w:rPr>
          <w:rFonts w:ascii="宋体" w:hAnsi="宋体" w:eastAsia="宋体" w:cs="Times New Roman"/>
          <w:b/>
          <w:sz w:val="24"/>
          <w:szCs w:val="24"/>
        </w:rPr>
      </w:pPr>
      <w:r>
        <w:rPr>
          <w:rFonts w:hint="eastAsia" w:ascii="宋体" w:hAnsi="宋体" w:eastAsia="宋体" w:cs="Times New Roman"/>
          <w:b/>
          <w:sz w:val="24"/>
          <w:szCs w:val="24"/>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40A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2F1ADC7">
            <w:pPr>
              <w:spacing w:line="276" w:lineRule="auto"/>
              <w:jc w:val="center"/>
              <w:rPr>
                <w:rFonts w:ascii="宋体" w:hAnsi="宋体" w:eastAsia="宋体" w:cs="Times New Roman"/>
                <w:bCs/>
                <w:szCs w:val="21"/>
              </w:rPr>
            </w:pPr>
            <w:r>
              <w:rPr>
                <w:rFonts w:hint="eastAsia" w:ascii="宋体" w:hAnsi="宋体" w:eastAsia="宋体" w:cs="Times New Roman"/>
                <w:bCs/>
                <w:szCs w:val="21"/>
              </w:rPr>
              <w:t>课程目标</w:t>
            </w:r>
          </w:p>
        </w:tc>
        <w:tc>
          <w:tcPr>
            <w:tcW w:w="2223" w:type="dxa"/>
            <w:noWrap w:val="0"/>
            <w:vAlign w:val="center"/>
          </w:tcPr>
          <w:p w14:paraId="1C50AD9B">
            <w:pPr>
              <w:spacing w:line="276" w:lineRule="auto"/>
              <w:jc w:val="center"/>
              <w:rPr>
                <w:rFonts w:ascii="宋体" w:hAnsi="宋体" w:eastAsia="宋体" w:cs="Times New Roman"/>
                <w:bCs/>
                <w:szCs w:val="21"/>
              </w:rPr>
            </w:pPr>
            <w:r>
              <w:rPr>
                <w:rFonts w:hint="eastAsia" w:ascii="宋体" w:hAnsi="宋体" w:eastAsia="宋体" w:cs="Times New Roman"/>
                <w:bCs/>
                <w:szCs w:val="21"/>
              </w:rPr>
              <w:t>支撑的毕业要求</w:t>
            </w:r>
          </w:p>
        </w:tc>
        <w:tc>
          <w:tcPr>
            <w:tcW w:w="4977" w:type="dxa"/>
            <w:noWrap w:val="0"/>
            <w:vAlign w:val="center"/>
          </w:tcPr>
          <w:p w14:paraId="3030FD27">
            <w:pPr>
              <w:spacing w:line="276" w:lineRule="auto"/>
              <w:ind w:firstLine="420" w:firstLineChars="200"/>
              <w:jc w:val="center"/>
              <w:rPr>
                <w:rFonts w:ascii="宋体" w:hAnsi="宋体" w:eastAsia="宋体" w:cs="Times New Roman"/>
                <w:bCs/>
                <w:szCs w:val="21"/>
              </w:rPr>
            </w:pPr>
            <w:r>
              <w:rPr>
                <w:rFonts w:hint="eastAsia" w:ascii="宋体" w:hAnsi="宋体" w:eastAsia="宋体" w:cs="Times New Roman"/>
                <w:bCs/>
                <w:szCs w:val="21"/>
              </w:rPr>
              <w:t>支撑的毕业要求指标点</w:t>
            </w:r>
          </w:p>
        </w:tc>
      </w:tr>
      <w:tr w14:paraId="4224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9E8B896">
            <w:pPr>
              <w:spacing w:line="276" w:lineRule="auto"/>
              <w:jc w:val="center"/>
              <w:rPr>
                <w:rFonts w:ascii="宋体" w:hAnsi="宋体" w:eastAsia="宋体" w:cs="宋体"/>
                <w:bCs/>
                <w:szCs w:val="21"/>
              </w:rPr>
            </w:pPr>
            <w:r>
              <w:rPr>
                <w:rFonts w:hint="eastAsia" w:ascii="宋体" w:hAnsi="宋体" w:eastAsia="宋体" w:cs="宋体"/>
                <w:bCs/>
                <w:szCs w:val="21"/>
              </w:rPr>
              <w:t>课程目标1</w:t>
            </w:r>
          </w:p>
        </w:tc>
        <w:tc>
          <w:tcPr>
            <w:tcW w:w="2223" w:type="dxa"/>
            <w:noWrap w:val="0"/>
            <w:vAlign w:val="center"/>
          </w:tcPr>
          <w:p w14:paraId="6C36BA29">
            <w:pPr>
              <w:spacing w:line="276"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tc>
        <w:tc>
          <w:tcPr>
            <w:tcW w:w="4977" w:type="dxa"/>
            <w:noWrap w:val="0"/>
            <w:vAlign w:val="center"/>
          </w:tcPr>
          <w:p w14:paraId="4855FF63">
            <w:pPr>
              <w:spacing w:line="276" w:lineRule="auto"/>
              <w:jc w:val="left"/>
              <w:rPr>
                <w:rFonts w:ascii="宋体" w:hAnsi="宋体" w:eastAsia="宋体" w:cs="Times New Roman"/>
                <w:kern w:val="0"/>
                <w:szCs w:val="21"/>
              </w:rPr>
            </w:pPr>
            <w:r>
              <w:rPr>
                <w:rFonts w:hint="eastAsia" w:ascii="宋体" w:hAnsi="宋体" w:eastAsia="宋体" w:cs="Times New Roman"/>
                <w:kern w:val="0"/>
                <w:szCs w:val="21"/>
              </w:rPr>
              <w:t>指标点3-1：【教育基础扎实】具有一定的人文与科学素养，掌握教育理论基本知识，能够结合小学生认知发展特点，运用教育原理和方法，分析和解决教育教学实践中的问题。</w:t>
            </w:r>
          </w:p>
          <w:p w14:paraId="368CB15D">
            <w:pPr>
              <w:spacing w:line="276" w:lineRule="auto"/>
              <w:jc w:val="left"/>
              <w:rPr>
                <w:rFonts w:ascii="宋体" w:hAnsi="宋体" w:eastAsia="宋体" w:cs="Times New Roman"/>
                <w:kern w:val="0"/>
                <w:sz w:val="18"/>
                <w:szCs w:val="18"/>
              </w:rPr>
            </w:pPr>
            <w:r>
              <w:rPr>
                <w:rFonts w:hint="eastAsia" w:ascii="宋体" w:hAnsi="宋体" w:eastAsia="宋体" w:cs="Times New Roman"/>
                <w:kern w:val="0"/>
                <w:szCs w:val="21"/>
              </w:rPr>
              <w:t>指标点3-3：【熟悉兼教学科】熟悉兼教学科的知识体系，掌握兼教学科的基本知识、原理和技能。</w:t>
            </w:r>
          </w:p>
        </w:tc>
      </w:tr>
      <w:tr w14:paraId="6690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noWrap w:val="0"/>
            <w:vAlign w:val="center"/>
          </w:tcPr>
          <w:p w14:paraId="12C594ED">
            <w:pPr>
              <w:spacing w:line="276" w:lineRule="auto"/>
              <w:jc w:val="center"/>
              <w:rPr>
                <w:rFonts w:ascii="宋体" w:hAnsi="宋体" w:eastAsia="宋体" w:cs="宋体"/>
                <w:szCs w:val="21"/>
              </w:rPr>
            </w:pPr>
            <w:r>
              <w:rPr>
                <w:rFonts w:hint="eastAsia" w:ascii="宋体" w:hAnsi="宋体" w:eastAsia="宋体" w:cs="宋体"/>
                <w:szCs w:val="21"/>
              </w:rPr>
              <w:t>课程目标2</w:t>
            </w:r>
          </w:p>
        </w:tc>
        <w:tc>
          <w:tcPr>
            <w:tcW w:w="2223" w:type="dxa"/>
            <w:noWrap w:val="0"/>
            <w:vAlign w:val="center"/>
          </w:tcPr>
          <w:p w14:paraId="13F2AF7B">
            <w:pPr>
              <w:spacing w:line="276"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p w14:paraId="293CCE2D">
            <w:pPr>
              <w:spacing w:line="276" w:lineRule="auto"/>
              <w:rPr>
                <w:rFonts w:ascii="宋体" w:hAnsi="宋体" w:eastAsia="宋体" w:cs="Times New Roman"/>
                <w:kern w:val="0"/>
                <w:szCs w:val="21"/>
              </w:rPr>
            </w:pPr>
            <w:r>
              <w:rPr>
                <w:rFonts w:ascii="宋体" w:hAnsi="宋体" w:eastAsia="宋体" w:cs="Times New Roman"/>
                <w:kern w:val="0"/>
                <w:szCs w:val="21"/>
              </w:rPr>
              <w:t>毕业要求</w:t>
            </w:r>
            <w:r>
              <w:rPr>
                <w:rFonts w:hint="eastAsia" w:ascii="宋体" w:hAnsi="宋体" w:eastAsia="宋体" w:cs="Times New Roman"/>
                <w:spacing w:val="2"/>
                <w:kern w:val="0"/>
                <w:szCs w:val="21"/>
              </w:rPr>
              <w:t>4</w:t>
            </w:r>
            <w:r>
              <w:rPr>
                <w:rFonts w:ascii="宋体" w:hAnsi="宋体" w:eastAsia="宋体" w:cs="Times New Roman"/>
                <w:spacing w:val="2"/>
                <w:kern w:val="0"/>
                <w:szCs w:val="21"/>
              </w:rPr>
              <w:t>.</w:t>
            </w:r>
            <w:r>
              <w:rPr>
                <w:rFonts w:hint="eastAsia" w:ascii="宋体" w:hAnsi="宋体" w:eastAsia="宋体" w:cs="Times New Roman"/>
                <w:spacing w:val="2"/>
                <w:kern w:val="0"/>
                <w:szCs w:val="21"/>
              </w:rPr>
              <w:t>教学能力</w:t>
            </w:r>
          </w:p>
        </w:tc>
        <w:tc>
          <w:tcPr>
            <w:tcW w:w="4977" w:type="dxa"/>
            <w:noWrap w:val="0"/>
            <w:vAlign w:val="center"/>
          </w:tcPr>
          <w:p w14:paraId="0D2F4748">
            <w:pPr>
              <w:spacing w:line="276" w:lineRule="auto"/>
              <w:ind w:firstLine="420" w:firstLineChars="200"/>
              <w:rPr>
                <w:rFonts w:ascii="宋体" w:hAnsi="宋体" w:eastAsia="宋体" w:cs="Times New Roman"/>
                <w:kern w:val="0"/>
                <w:szCs w:val="21"/>
              </w:rPr>
            </w:pPr>
            <w:r>
              <w:rPr>
                <w:rFonts w:hint="eastAsia" w:ascii="宋体" w:hAnsi="宋体" w:eastAsia="宋体" w:cs="Times New Roman"/>
                <w:kern w:val="0"/>
                <w:szCs w:val="21"/>
              </w:rPr>
              <w:t>指标点3-1：【教育基础扎实】具有一定的人文与科学素养，掌握教育理论基本知识，能够结合小学生认知发展特点，运用教育原理和方法，分析和解决教育教学实践中的问题。</w:t>
            </w:r>
          </w:p>
          <w:p w14:paraId="6B731DA1">
            <w:pPr>
              <w:spacing w:line="276" w:lineRule="auto"/>
              <w:jc w:val="left"/>
              <w:rPr>
                <w:rFonts w:ascii="宋体" w:hAnsi="宋体" w:eastAsia="宋体" w:cs="Times New Roman"/>
                <w:kern w:val="0"/>
                <w:szCs w:val="21"/>
              </w:rPr>
            </w:pPr>
            <w:r>
              <w:rPr>
                <w:rFonts w:hint="eastAsia" w:ascii="宋体" w:hAnsi="宋体" w:eastAsia="宋体" w:cs="Times New Roman"/>
                <w:kern w:val="0"/>
                <w:szCs w:val="21"/>
              </w:rPr>
              <w:t>指标点3-3：【熟悉兼教学科】熟悉兼教学科的知识体系，掌握兼教学科的基本知识、原理和技能。指标点3-4：【注重知识整合】了解所教学科与其他学科及与社会实践、小学生生活实践之间的联系，了解学科整合的在小学教育中的价值，具有跨学科解决问题的意识和能力，能指导综合性学科教学活动。</w:t>
            </w:r>
          </w:p>
          <w:p w14:paraId="7BB66487">
            <w:pPr>
              <w:spacing w:line="276" w:lineRule="auto"/>
              <w:jc w:val="left"/>
              <w:rPr>
                <w:rFonts w:ascii="宋体" w:hAnsi="宋体" w:eastAsia="宋体" w:cs="Times New Roman"/>
                <w:kern w:val="0"/>
                <w:sz w:val="18"/>
                <w:szCs w:val="18"/>
              </w:rPr>
            </w:pPr>
            <w:r>
              <w:rPr>
                <w:rFonts w:hint="eastAsia" w:ascii="宋体" w:hAnsi="宋体" w:eastAsia="宋体" w:cs="Times New Roman"/>
                <w:szCs w:val="21"/>
              </w:rPr>
              <w:t>指标点4-3：【教师基本功扎实】掌握小学教师基本功技能，包括书写技能、沟通与表达技能、信息技术运用技能等。</w:t>
            </w:r>
          </w:p>
        </w:tc>
      </w:tr>
      <w:tr w14:paraId="72F7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748" w:type="dxa"/>
            <w:noWrap w:val="0"/>
            <w:vAlign w:val="center"/>
          </w:tcPr>
          <w:p w14:paraId="467CE765">
            <w:pPr>
              <w:spacing w:line="276" w:lineRule="auto"/>
              <w:jc w:val="center"/>
              <w:rPr>
                <w:rFonts w:ascii="宋体" w:hAnsi="宋体" w:eastAsia="宋体" w:cs="宋体"/>
                <w:szCs w:val="21"/>
              </w:rPr>
            </w:pPr>
            <w:r>
              <w:rPr>
                <w:rFonts w:hint="eastAsia" w:ascii="宋体" w:hAnsi="宋体" w:eastAsia="宋体" w:cs="宋体"/>
                <w:szCs w:val="21"/>
              </w:rPr>
              <w:t>课程目标3</w:t>
            </w:r>
          </w:p>
        </w:tc>
        <w:tc>
          <w:tcPr>
            <w:tcW w:w="2223" w:type="dxa"/>
            <w:noWrap w:val="0"/>
            <w:vAlign w:val="center"/>
          </w:tcPr>
          <w:p w14:paraId="750A7360">
            <w:pPr>
              <w:spacing w:line="276"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p w14:paraId="0F4819F6">
            <w:pPr>
              <w:spacing w:line="276" w:lineRule="auto"/>
              <w:rPr>
                <w:rFonts w:ascii="宋体" w:hAnsi="宋体" w:eastAsia="宋体" w:cs="Times New Roman"/>
                <w:spacing w:val="2"/>
                <w:kern w:val="0"/>
                <w:szCs w:val="21"/>
              </w:rPr>
            </w:pPr>
            <w:r>
              <w:rPr>
                <w:rFonts w:ascii="宋体" w:hAnsi="宋体" w:eastAsia="宋体" w:cs="Times New Roman"/>
                <w:kern w:val="0"/>
                <w:szCs w:val="21"/>
              </w:rPr>
              <w:t>毕业要求</w:t>
            </w:r>
            <w:r>
              <w:rPr>
                <w:rFonts w:hint="eastAsia" w:ascii="宋体" w:hAnsi="宋体" w:eastAsia="宋体" w:cs="Times New Roman"/>
                <w:spacing w:val="2"/>
                <w:kern w:val="0"/>
                <w:szCs w:val="21"/>
              </w:rPr>
              <w:t>4</w:t>
            </w:r>
            <w:r>
              <w:rPr>
                <w:rFonts w:ascii="宋体" w:hAnsi="宋体" w:eastAsia="宋体" w:cs="Times New Roman"/>
                <w:spacing w:val="2"/>
                <w:kern w:val="0"/>
                <w:szCs w:val="21"/>
              </w:rPr>
              <w:t>.</w:t>
            </w:r>
            <w:r>
              <w:rPr>
                <w:rFonts w:hint="eastAsia" w:ascii="宋体" w:hAnsi="宋体" w:eastAsia="宋体" w:cs="Times New Roman"/>
                <w:spacing w:val="2"/>
                <w:kern w:val="0"/>
                <w:szCs w:val="21"/>
              </w:rPr>
              <w:t>教学能力</w:t>
            </w:r>
          </w:p>
        </w:tc>
        <w:tc>
          <w:tcPr>
            <w:tcW w:w="4977" w:type="dxa"/>
            <w:noWrap w:val="0"/>
            <w:vAlign w:val="center"/>
          </w:tcPr>
          <w:p w14:paraId="6F7CDBC1">
            <w:pPr>
              <w:spacing w:line="276" w:lineRule="auto"/>
              <w:rPr>
                <w:rFonts w:ascii="宋体" w:hAnsi="宋体" w:eastAsia="宋体" w:cs="Times New Roman"/>
                <w:kern w:val="0"/>
                <w:szCs w:val="21"/>
              </w:rPr>
            </w:pPr>
            <w:r>
              <w:rPr>
                <w:rFonts w:hint="eastAsia" w:ascii="宋体" w:hAnsi="宋体" w:eastAsia="宋体" w:cs="Times New Roman"/>
                <w:kern w:val="0"/>
                <w:szCs w:val="21"/>
              </w:rPr>
              <w:t>指标点3-3：【熟悉兼教学科】熟悉兼教学科的知识体系，掌握兼教学科的基本知识、原理和技能。指标点3-4：【注重知识整合】了解所教学科与其他学科及与社会实践、小学生生活实践之间的联系，了解学科整合的在小学教育中的价值，具有跨学科解决问题的意识和能力，能指导综合性学科教学活动。</w:t>
            </w:r>
          </w:p>
          <w:p w14:paraId="760A3F0B">
            <w:pPr>
              <w:shd w:val="clear" w:color="auto" w:fill="FFFFFF"/>
              <w:spacing w:line="276" w:lineRule="auto"/>
              <w:jc w:val="left"/>
              <w:rPr>
                <w:rFonts w:ascii="宋体" w:hAnsi="宋体" w:eastAsia="宋体" w:cs="Times New Roman"/>
                <w:spacing w:val="2"/>
                <w:kern w:val="0"/>
                <w:szCs w:val="21"/>
              </w:rPr>
            </w:pPr>
            <w:r>
              <w:rPr>
                <w:rFonts w:hint="eastAsia" w:ascii="宋体" w:hAnsi="宋体" w:eastAsia="宋体" w:cs="Times New Roman"/>
                <w:kern w:val="0"/>
                <w:szCs w:val="21"/>
              </w:rPr>
              <w:t>指标点4-3：【教师基本功扎实】掌握小学教师基本功技能，包括书写技能、沟通与表达技能、信息技术运用技能等。</w:t>
            </w:r>
          </w:p>
        </w:tc>
      </w:tr>
    </w:tbl>
    <w:p w14:paraId="3B0FD12D">
      <w:pPr>
        <w:widowControl/>
        <w:adjustRightInd w:val="0"/>
        <w:snapToGrid w:val="0"/>
        <w:spacing w:line="360" w:lineRule="auto"/>
        <w:jc w:val="left"/>
        <w:rPr>
          <w:rFonts w:ascii="宋体" w:hAnsi="宋体" w:eastAsia="宋体" w:cs="Times New Roman"/>
          <w:kern w:val="0"/>
          <w:sz w:val="24"/>
          <w:szCs w:val="24"/>
        </w:rPr>
      </w:pPr>
    </w:p>
    <w:p w14:paraId="6A9D7E08">
      <w:pPr>
        <w:widowControl/>
        <w:adjustRightInd w:val="0"/>
        <w:snapToGrid w:val="0"/>
        <w:spacing w:line="360" w:lineRule="auto"/>
        <w:ind w:left="0" w:leftChars="0" w:firstLine="0" w:firstLineChars="0"/>
        <w:jc w:val="left"/>
        <w:rPr>
          <w:rFonts w:ascii="宋体" w:hAnsi="宋体" w:eastAsia="宋体" w:cs="Times New Roman"/>
          <w:b/>
          <w:sz w:val="28"/>
          <w:szCs w:val="28"/>
        </w:rPr>
      </w:pPr>
      <w:r>
        <w:rPr>
          <w:rFonts w:hint="eastAsia" w:ascii="宋体" w:hAnsi="宋体" w:eastAsia="宋体" w:cs="Times New Roman"/>
          <w:b/>
          <w:sz w:val="28"/>
          <w:szCs w:val="28"/>
        </w:rPr>
        <w:t>三</w:t>
      </w:r>
      <w:r>
        <w:rPr>
          <w:rFonts w:ascii="宋体" w:hAnsi="宋体" w:eastAsia="宋体" w:cs="Times New Roman"/>
          <w:b/>
          <w:sz w:val="28"/>
          <w:szCs w:val="28"/>
        </w:rPr>
        <w:t>、课程内容及要求</w:t>
      </w:r>
    </w:p>
    <w:p w14:paraId="0A747237">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hint="eastAsia" w:ascii="宋体" w:hAnsi="宋体" w:eastAsia="宋体" w:cs="Times New Roman"/>
          <w:b/>
          <w:sz w:val="24"/>
          <w:szCs w:val="24"/>
        </w:rPr>
        <w:t>（一）教育技术概述</w:t>
      </w:r>
    </w:p>
    <w:p w14:paraId="45F7969B">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2F689333">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（1）技术与教育的关系</w:t>
      </w:r>
    </w:p>
    <w:p w14:paraId="339601A7">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（2）教育技术的产生、发展及其趋势</w:t>
      </w:r>
    </w:p>
    <w:p w14:paraId="209A065A">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（3）教育技术、现代教育技术与信息技术</w:t>
      </w:r>
    </w:p>
    <w:p w14:paraId="34B61EF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（4）教育技术与教育创新、现代教育技术与教师专业发展</w:t>
      </w:r>
    </w:p>
    <w:p w14:paraId="233A5FBC">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6C1AFB7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（1）了解历史上不同的技术对教育产生的影响</w:t>
      </w:r>
    </w:p>
    <w:p w14:paraId="755C1FCC">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（2）了解教育技术的产生、发展及其趋势</w:t>
      </w:r>
    </w:p>
    <w:p w14:paraId="1A4C6D19">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（3）知道教育技术名词的演变过程</w:t>
      </w:r>
    </w:p>
    <w:p w14:paraId="36ECFDFE">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（4）清楚信息时代对新型教师在教育技术能力方面的要求</w:t>
      </w:r>
    </w:p>
    <w:p w14:paraId="16124856">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0AF8B1AC">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在讲述信息技术发展的过程中，回顾我国教育技术和理论的发展历程，激发同学们的民族自豪感</w:t>
      </w:r>
      <w:r>
        <w:rPr>
          <w:rFonts w:hint="eastAsia" w:ascii="宋体" w:hAnsi="宋体" w:eastAsia="宋体" w:cs="Times New Roman"/>
          <w:kern w:val="0"/>
          <w:sz w:val="24"/>
          <w:szCs w:val="24"/>
        </w:rPr>
        <w:t>，树牢“四个意识”，坚定“四个自信”，坚决做到“两个维护”，形成教育情怀，坚定教育信仰，肩负起民族复兴的时代重任。</w:t>
      </w:r>
    </w:p>
    <w:p w14:paraId="57B489A9">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了解教育技术的产生、发展及其趋势</w:t>
      </w:r>
    </w:p>
    <w:p w14:paraId="3E17787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清楚信息时代对新型教师在教育技术能力方面的要求</w:t>
      </w:r>
    </w:p>
    <w:p w14:paraId="22E408DC">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sz w:val="24"/>
          <w:szCs w:val="24"/>
        </w:rPr>
        <w:t>（二）教育技术的理论基础</w:t>
      </w:r>
    </w:p>
    <w:p w14:paraId="3FA66DC6">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518F2B3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（1）视听教学理论</w:t>
      </w:r>
    </w:p>
    <w:p w14:paraId="1F83E78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（2）传播理论与教育传播</w:t>
      </w:r>
    </w:p>
    <w:p w14:paraId="512AC1E4">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hint="eastAsia" w:ascii="宋体" w:hAnsi="宋体" w:eastAsia="宋体" w:cs="Times New Roman"/>
          <w:kern w:val="0"/>
          <w:sz w:val="24"/>
          <w:szCs w:val="24"/>
        </w:rPr>
        <w:t>（3）学习理论</w:t>
      </w:r>
    </w:p>
    <w:p w14:paraId="3E830A26">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7F9E8D68">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（1）理解“经验之塔”理论对视听教育的影响</w:t>
      </w:r>
    </w:p>
    <w:p w14:paraId="2E6EE33A">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（2）了解主要的教育传播模式，知道教学传播过程的基本要素、基本过程和基本规律</w:t>
      </w:r>
    </w:p>
    <w:p w14:paraId="4530C4B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（3）知道不同学习理论的主要观点，了解各学习理论指导下的教学模式</w:t>
      </w:r>
    </w:p>
    <w:p w14:paraId="4F8DA11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（4）了解传播理论、学习理论和教学理论与教育技术的关系，能叙述三者作为教育技术学理论基础的意义</w:t>
      </w:r>
    </w:p>
    <w:p w14:paraId="1A520E3F">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0FE64658">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在讲述各教育理论的过程中，引导学生对教育理论进行深入思考和研究，激发同学们投身我国教育事业的热情，</w:t>
      </w:r>
      <w:r>
        <w:rPr>
          <w:rFonts w:hint="eastAsia" w:ascii="宋体" w:hAnsi="宋体" w:eastAsia="宋体" w:cs="Times New Roman"/>
          <w:kern w:val="0"/>
          <w:sz w:val="24"/>
          <w:szCs w:val="24"/>
        </w:rPr>
        <w:t>将社会主义核心价值观内化为精神追求，具有优良的爱国主义情怀和以爱为魂的高尚师德</w:t>
      </w:r>
      <w:r>
        <w:rPr>
          <w:rFonts w:ascii="宋体" w:hAnsi="宋体" w:eastAsia="宋体" w:cs="Times New Roman"/>
          <w:kern w:val="0"/>
          <w:sz w:val="24"/>
          <w:szCs w:val="24"/>
        </w:rPr>
        <w:t>。</w:t>
      </w:r>
    </w:p>
    <w:p w14:paraId="65A091F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了解主要的教育传播模式，知道教学传播过程的基本要素、基本过程和基本规律</w:t>
      </w:r>
    </w:p>
    <w:p w14:paraId="358B201F">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了解传播理论、学习理论和教学理论与教育技术的关系，能叙述三者作为教育技术学理论基础的意义</w:t>
      </w:r>
    </w:p>
    <w:p w14:paraId="6BB5EB9D">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hint="eastAsia" w:ascii="宋体" w:hAnsi="宋体" w:eastAsia="宋体" w:cs="Times New Roman"/>
          <w:b/>
          <w:sz w:val="24"/>
          <w:szCs w:val="24"/>
        </w:rPr>
        <w:t>（三）教学媒体及其应用</w:t>
      </w:r>
    </w:p>
    <w:p w14:paraId="79563082">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6EF7D4D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（1）媒体本质及其类型</w:t>
      </w:r>
    </w:p>
    <w:p w14:paraId="3D394EF5">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（2）教学媒体的分类及特性</w:t>
      </w:r>
    </w:p>
    <w:p w14:paraId="4CFEFF03">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（3）传统教学媒体的应用</w:t>
      </w:r>
    </w:p>
    <w:p w14:paraId="4DC6B3D2">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（4）现代教学媒体的应用</w:t>
      </w:r>
    </w:p>
    <w:p w14:paraId="6373B224">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6ECDB8F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（1）了解教学媒体的定义、特点和作用</w:t>
      </w:r>
    </w:p>
    <w:p w14:paraId="73DBA63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（2）了解教学媒体的分类方法</w:t>
      </w:r>
    </w:p>
    <w:p w14:paraId="66C559EF">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（3）掌握各常规媒体的优势、不足及使用方法</w:t>
      </w:r>
    </w:p>
    <w:p w14:paraId="6E4316D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（4）了解教学媒体选择的原则与方法</w:t>
      </w:r>
    </w:p>
    <w:p w14:paraId="44838143">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52F1F81E">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现在很多学校都配备了多种教学媒体，使得教师能够充分地选择多种媒体组织教学；引导学生在今后的工作中不仅要用好教学媒体，还要主动爱惜和维护好学校的这些公共设施。</w:t>
      </w:r>
    </w:p>
    <w:p w14:paraId="7391C628">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掌握各常规媒体的优势、不足及使用方法</w:t>
      </w:r>
    </w:p>
    <w:p w14:paraId="1E375AD8">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了解教学媒体选择的原则与方法</w:t>
      </w:r>
    </w:p>
    <w:p w14:paraId="7EAF477E">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sz w:val="24"/>
          <w:szCs w:val="24"/>
        </w:rPr>
        <w:t>（四）教学资源的获取与加工</w:t>
      </w:r>
    </w:p>
    <w:p w14:paraId="2086EE74">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748F967F">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（1）教学资源的概念</w:t>
      </w:r>
    </w:p>
    <w:p w14:paraId="5D03774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（2）教学资源的类型与特点</w:t>
      </w:r>
    </w:p>
    <w:p w14:paraId="47006ADF">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（3）教学资源的获取</w:t>
      </w:r>
    </w:p>
    <w:p w14:paraId="21F5D3EE">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（4）数字化教学素材的加工</w:t>
      </w:r>
    </w:p>
    <w:p w14:paraId="5EC614CC">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627300D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（1）了解教学资源的分类和特性</w:t>
      </w:r>
    </w:p>
    <w:p w14:paraId="09D9810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（2）了解教学资源获取的途径</w:t>
      </w:r>
    </w:p>
    <w:p w14:paraId="2B20E889">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（3）掌握数字化教学素材获取的方法与技巧</w:t>
      </w:r>
    </w:p>
    <w:p w14:paraId="1D2C61B5">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（4）能用一些基本的工具软件加工教学资源</w:t>
      </w:r>
    </w:p>
    <w:p w14:paraId="09767DB4">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697F93A3">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在讲述各种软件的使用过程中，因为多数是国外公司开发的软件，所以，在引导同学们对国产软件认同的同时，激发同学们的危机意识，在今后的工作中努力支持国产软件，树立起</w:t>
      </w:r>
      <w:r>
        <w:rPr>
          <w:rFonts w:hint="eastAsia" w:ascii="宋体" w:hAnsi="宋体" w:eastAsia="宋体" w:cs="Times New Roman"/>
          <w:kern w:val="0"/>
          <w:sz w:val="24"/>
          <w:szCs w:val="24"/>
        </w:rPr>
        <w:t>为中华民族复兴培养全面发展的社会主义建设者和接班人的职业理想</w:t>
      </w:r>
      <w:r>
        <w:rPr>
          <w:rFonts w:ascii="宋体" w:hAnsi="宋体" w:eastAsia="宋体" w:cs="Times New Roman"/>
          <w:kern w:val="0"/>
          <w:sz w:val="24"/>
          <w:szCs w:val="24"/>
        </w:rPr>
        <w:t>。</w:t>
      </w:r>
    </w:p>
    <w:p w14:paraId="3DFF072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掌握数字化教学素材获取的方法与技巧</w:t>
      </w:r>
    </w:p>
    <w:p w14:paraId="44F7295A">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能用一些基本的工具软件加工教学资源</w:t>
      </w:r>
    </w:p>
    <w:p w14:paraId="16EC0665">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sz w:val="24"/>
          <w:szCs w:val="24"/>
        </w:rPr>
        <w:t>（五）数字化教学资源的设计与运用</w:t>
      </w:r>
    </w:p>
    <w:p w14:paraId="7A55139D">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78BEF137">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（1）数字化教学资源的内涵</w:t>
      </w:r>
    </w:p>
    <w:p w14:paraId="31F9E523">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（2）数字化教学资源的类型及特点</w:t>
      </w:r>
    </w:p>
    <w:p w14:paraId="2DD6D9B2">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（3）多媒体教学课件的制作</w:t>
      </w:r>
    </w:p>
    <w:p w14:paraId="22992085">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（4）演示型PPT课件的制作与运用技巧</w:t>
      </w:r>
    </w:p>
    <w:p w14:paraId="07C143DF">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2D08A8E2">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（1）了解数字化教学资源的内涵及类型</w:t>
      </w:r>
    </w:p>
    <w:p w14:paraId="30F0BC1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（2）常用数字化教学资源制作工具简介</w:t>
      </w:r>
    </w:p>
    <w:p w14:paraId="3561800C">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（3）熟练掌握利用PowerPoint制作多媒体课件的原则、过程和方法</w:t>
      </w:r>
    </w:p>
    <w:p w14:paraId="2E27D4B3">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（4）掌握基于PPT课件的教学方法</w:t>
      </w:r>
    </w:p>
    <w:p w14:paraId="4CEB9DF5">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62FF99F5">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引导学生注重知识产权保护，既要学会保护自己设计制作的数字作品，又要学会尊重他人的相关作品，推动数字资源市场的良性化发展。</w:t>
      </w:r>
    </w:p>
    <w:p w14:paraId="22C53549">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熟练掌握利用PowerPoint制作多媒体课件的原则、过程和方法</w:t>
      </w:r>
    </w:p>
    <w:p w14:paraId="3827370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掌握基于PPT课件的教学方法</w:t>
      </w:r>
    </w:p>
    <w:p w14:paraId="6CD76772">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sz w:val="24"/>
          <w:szCs w:val="24"/>
        </w:rPr>
        <w:t>（六）教学设计的理论与实践</w:t>
      </w:r>
    </w:p>
    <w:p w14:paraId="06B17257">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6930C5B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（1）教学设计的理论基础</w:t>
      </w:r>
    </w:p>
    <w:p w14:paraId="13D20613">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（2）教学设计的一般方法</w:t>
      </w:r>
    </w:p>
    <w:p w14:paraId="485B496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（3）信息化教学模式的类型、特点及应用案例</w:t>
      </w:r>
    </w:p>
    <w:p w14:paraId="702A6000">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（4）信息化教学工具及应用方法</w:t>
      </w:r>
    </w:p>
    <w:p w14:paraId="714E122E">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021D22AC">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（1）了解教学设计的概念和模式</w:t>
      </w:r>
    </w:p>
    <w:p w14:paraId="3D748400">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（2）掌握教学设计的基本过程和方法</w:t>
      </w:r>
    </w:p>
    <w:p w14:paraId="5526CE3F">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（3）了解信息化教学模式的类型及特点</w:t>
      </w:r>
    </w:p>
    <w:p w14:paraId="70B0CC1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（4）能够结合学科内容编写教学设计方案并付诸教学实践</w:t>
      </w:r>
    </w:p>
    <w:p w14:paraId="33C5414B">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138A9740">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hint="eastAsia" w:ascii="宋体" w:hAnsi="宋体" w:eastAsia="宋体" w:cs="Times New Roman"/>
          <w:kern w:val="0"/>
          <w:sz w:val="24"/>
          <w:szCs w:val="24"/>
        </w:rPr>
        <w:t>能创造性地运用所学知识设计与实施小学科学教育，成为有理想信念、有道德情操、有扎实学识、有仁爱之心的小学好老师</w:t>
      </w:r>
      <w:r>
        <w:rPr>
          <w:rFonts w:ascii="宋体" w:hAnsi="宋体" w:eastAsia="宋体" w:cs="Times New Roman"/>
          <w:kern w:val="0"/>
          <w:sz w:val="24"/>
          <w:szCs w:val="24"/>
        </w:rPr>
        <w:t>。</w:t>
      </w:r>
    </w:p>
    <w:p w14:paraId="37EEBB8A">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掌握教学设计的基本过程和方法</w:t>
      </w:r>
    </w:p>
    <w:p w14:paraId="660B9C6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能够结合学科内容编写教学设计方案并付诸教学实践</w:t>
      </w:r>
    </w:p>
    <w:p w14:paraId="6E0D390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sz w:val="24"/>
          <w:szCs w:val="24"/>
        </w:rPr>
        <w:t>（七）微课制作</w:t>
      </w:r>
    </w:p>
    <w:p w14:paraId="04146010">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1.教学内容</w:t>
      </w:r>
    </w:p>
    <w:p w14:paraId="770D1EB7">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（1）教学设计的理论基础</w:t>
      </w:r>
    </w:p>
    <w:p w14:paraId="09DDBAFD">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（2）教学设计的一般方法</w:t>
      </w:r>
    </w:p>
    <w:p w14:paraId="508B84A7">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w:t>
      </w:r>
      <w:r>
        <w:rPr>
          <w:rFonts w:ascii="宋体" w:hAnsi="宋体" w:eastAsia="宋体" w:cs="Times New Roman"/>
          <w:kern w:val="0"/>
          <w:sz w:val="24"/>
          <w:szCs w:val="24"/>
        </w:rPr>
        <w:t>Camtasia</w:t>
      </w:r>
      <w:r>
        <w:rPr>
          <w:rFonts w:hint="eastAsia" w:ascii="宋体" w:hAnsi="宋体" w:eastAsia="宋体" w:cs="Times New Roman"/>
          <w:kern w:val="0"/>
          <w:sz w:val="24"/>
          <w:szCs w:val="24"/>
        </w:rPr>
        <w:t>软件安装与使用</w:t>
      </w:r>
    </w:p>
    <w:p w14:paraId="7AB90C1A">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（4）微课制作基本方法与原则</w:t>
      </w:r>
    </w:p>
    <w:p w14:paraId="4D6EA5D2">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2.基本要求</w:t>
      </w:r>
    </w:p>
    <w:p w14:paraId="4F5BDD7B">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（1）了解信息化教学设计的概念和模式</w:t>
      </w:r>
    </w:p>
    <w:p w14:paraId="3AEF87D9">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（2）掌握微课制作的基本过程和方法</w:t>
      </w:r>
    </w:p>
    <w:p w14:paraId="366DB0D1">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（3）了解</w:t>
      </w:r>
      <w:r>
        <w:rPr>
          <w:rFonts w:ascii="宋体" w:hAnsi="宋体" w:eastAsia="宋体" w:cs="Times New Roman"/>
          <w:kern w:val="0"/>
          <w:sz w:val="24"/>
          <w:szCs w:val="24"/>
        </w:rPr>
        <w:t>Camtasia</w:t>
      </w:r>
      <w:r>
        <w:rPr>
          <w:rFonts w:hint="eastAsia" w:ascii="宋体" w:hAnsi="宋体" w:eastAsia="宋体" w:cs="Times New Roman"/>
          <w:kern w:val="0"/>
          <w:sz w:val="24"/>
          <w:szCs w:val="24"/>
        </w:rPr>
        <w:t>软件的功能及特点</w:t>
      </w:r>
    </w:p>
    <w:p w14:paraId="774F1090">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kern w:val="0"/>
          <w:sz w:val="24"/>
          <w:szCs w:val="24"/>
        </w:rPr>
        <w:t>（4）能够结合学科内容制作一个微课作品</w:t>
      </w:r>
    </w:p>
    <w:p w14:paraId="2F38DDD0">
      <w:pPr>
        <w:widowControl/>
        <w:adjustRightInd w:val="0"/>
        <w:snapToGrid w:val="0"/>
        <w:spacing w:line="360" w:lineRule="auto"/>
        <w:ind w:left="0" w:leftChars="0" w:firstLine="0" w:firstLineChars="0"/>
        <w:jc w:val="left"/>
        <w:rPr>
          <w:rFonts w:ascii="宋体" w:hAnsi="宋体" w:eastAsia="宋体" w:cs="Times New Roman"/>
          <w:b/>
          <w:bCs/>
          <w:kern w:val="0"/>
          <w:sz w:val="24"/>
          <w:szCs w:val="24"/>
        </w:rPr>
      </w:pPr>
      <w:r>
        <w:rPr>
          <w:rFonts w:ascii="宋体" w:hAnsi="宋体" w:eastAsia="宋体" w:cs="Times New Roman"/>
          <w:b/>
          <w:bCs/>
          <w:kern w:val="0"/>
          <w:sz w:val="24"/>
          <w:szCs w:val="24"/>
        </w:rPr>
        <w:t>3.</w:t>
      </w:r>
      <w:r>
        <w:rPr>
          <w:rFonts w:hint="eastAsia" w:ascii="宋体" w:hAnsi="宋体" w:eastAsia="宋体" w:cs="Times New Roman"/>
          <w:b/>
          <w:bCs/>
          <w:kern w:val="0"/>
          <w:sz w:val="24"/>
          <w:szCs w:val="24"/>
        </w:rPr>
        <w:t>课程思政育人目标</w:t>
      </w:r>
    </w:p>
    <w:p w14:paraId="1849D499">
      <w:pPr>
        <w:widowControl/>
        <w:adjustRightInd w:val="0"/>
        <w:snapToGrid w:val="0"/>
        <w:spacing w:line="360" w:lineRule="auto"/>
        <w:ind w:left="0" w:leftChars="0" w:firstLine="420" w:firstLineChars="175"/>
        <w:jc w:val="left"/>
        <w:rPr>
          <w:rFonts w:ascii="宋体" w:hAnsi="宋体" w:eastAsia="宋体" w:cs="Times New Roman"/>
          <w:b/>
          <w:bCs/>
          <w:kern w:val="0"/>
          <w:sz w:val="24"/>
          <w:szCs w:val="24"/>
        </w:rPr>
      </w:pPr>
      <w:r>
        <w:rPr>
          <w:rFonts w:ascii="宋体" w:hAnsi="宋体" w:eastAsia="宋体" w:cs="Times New Roman"/>
          <w:kern w:val="0"/>
          <w:sz w:val="24"/>
          <w:szCs w:val="24"/>
        </w:rPr>
        <w:t>通过微课制作，让学生了解微课制作的基本原则和方法，引导学生</w:t>
      </w:r>
      <w:r>
        <w:rPr>
          <w:rFonts w:hint="eastAsia" w:ascii="宋体" w:hAnsi="宋体" w:eastAsia="宋体" w:cs="Times New Roman"/>
          <w:kern w:val="0"/>
          <w:sz w:val="24"/>
          <w:szCs w:val="24"/>
        </w:rPr>
        <w:t>树牢唯物主义世界观、科学发展观、社会主义核心价值观，能够认真体会微课在教学过程中的作用，使微课能够更好地融入到整个教学环节中</w:t>
      </w:r>
      <w:r>
        <w:rPr>
          <w:rFonts w:ascii="宋体" w:hAnsi="宋体" w:eastAsia="宋体" w:cs="Times New Roman"/>
          <w:kern w:val="0"/>
          <w:sz w:val="24"/>
          <w:szCs w:val="24"/>
        </w:rPr>
        <w:t>。</w:t>
      </w:r>
    </w:p>
    <w:p w14:paraId="2EEEF8B6">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教学重点：</w:t>
      </w:r>
      <w:r>
        <w:rPr>
          <w:rFonts w:hint="eastAsia" w:ascii="宋体" w:hAnsi="宋体" w:eastAsia="宋体" w:cs="Times New Roman"/>
          <w:kern w:val="0"/>
          <w:sz w:val="24"/>
          <w:szCs w:val="24"/>
        </w:rPr>
        <w:t>掌握微课制作的基本过程和方法</w:t>
      </w:r>
    </w:p>
    <w:p w14:paraId="7A1C5BB5">
      <w:pPr>
        <w:widowControl/>
        <w:adjustRightInd w:val="0"/>
        <w:snapToGrid w:val="0"/>
        <w:spacing w:line="360" w:lineRule="auto"/>
        <w:ind w:left="0" w:leftChars="0" w:firstLine="0" w:firstLineChars="0"/>
        <w:jc w:val="left"/>
        <w:rPr>
          <w:rFonts w:ascii="宋体" w:hAnsi="宋体" w:eastAsia="宋体" w:cs="Times New Roman"/>
          <w:kern w:val="0"/>
          <w:sz w:val="24"/>
          <w:szCs w:val="24"/>
        </w:rPr>
      </w:pPr>
      <w:r>
        <w:rPr>
          <w:rFonts w:hint="eastAsia" w:ascii="宋体" w:hAnsi="宋体" w:eastAsia="宋体" w:cs="Times New Roman"/>
          <w:b/>
          <w:bCs/>
          <w:kern w:val="0"/>
          <w:sz w:val="24"/>
          <w:szCs w:val="24"/>
        </w:rPr>
        <w:t>教学难点：</w:t>
      </w:r>
      <w:r>
        <w:rPr>
          <w:rFonts w:hint="eastAsia" w:ascii="宋体" w:hAnsi="宋体" w:eastAsia="宋体" w:cs="Times New Roman"/>
          <w:kern w:val="0"/>
          <w:sz w:val="24"/>
          <w:szCs w:val="24"/>
        </w:rPr>
        <w:t>能够结合学科内容制作一个微课作品</w:t>
      </w:r>
    </w:p>
    <w:p w14:paraId="220EC2F4">
      <w:pPr>
        <w:widowControl/>
        <w:adjustRightInd w:val="0"/>
        <w:snapToGrid w:val="0"/>
        <w:spacing w:line="360" w:lineRule="auto"/>
        <w:ind w:left="0" w:leftChars="0" w:firstLine="0" w:firstLineChars="0"/>
        <w:jc w:val="left"/>
        <w:rPr>
          <w:rFonts w:ascii="宋体" w:hAnsi="宋体" w:eastAsia="宋体" w:cs="Times New Roman"/>
          <w:kern w:val="0"/>
          <w:sz w:val="24"/>
          <w:szCs w:val="24"/>
        </w:rPr>
      </w:pPr>
    </w:p>
    <w:p w14:paraId="7836BA60">
      <w:pPr>
        <w:widowControl/>
        <w:adjustRightInd w:val="0"/>
        <w:snapToGrid w:val="0"/>
        <w:spacing w:line="360" w:lineRule="auto"/>
        <w:ind w:left="0" w:leftChars="0" w:firstLine="0" w:firstLineChars="0"/>
        <w:jc w:val="left"/>
        <w:rPr>
          <w:rFonts w:ascii="宋体" w:hAnsi="宋体" w:eastAsia="宋体" w:cs="Times New Roman"/>
          <w:kern w:val="0"/>
          <w:sz w:val="24"/>
          <w:szCs w:val="24"/>
        </w:rPr>
      </w:pPr>
    </w:p>
    <w:p w14:paraId="6D47A13F">
      <w:pPr>
        <w:widowControl/>
        <w:adjustRightInd w:val="0"/>
        <w:snapToGrid w:val="0"/>
        <w:spacing w:line="360" w:lineRule="auto"/>
        <w:ind w:left="0" w:leftChars="0" w:firstLine="0" w:firstLineChars="0"/>
        <w:jc w:val="left"/>
        <w:rPr>
          <w:rFonts w:ascii="宋体" w:hAnsi="宋体" w:eastAsia="宋体" w:cs="Times New Roman"/>
          <w:b/>
          <w:kern w:val="0"/>
          <w:sz w:val="24"/>
          <w:szCs w:val="24"/>
        </w:rPr>
      </w:pPr>
      <w:r>
        <w:rPr>
          <w:rFonts w:hint="eastAsia" w:ascii="宋体" w:hAnsi="宋体" w:eastAsia="宋体" w:cs="Times New Roman"/>
          <w:b/>
          <w:kern w:val="0"/>
          <w:sz w:val="24"/>
          <w:szCs w:val="24"/>
        </w:rPr>
        <w:t>教学内容与</w:t>
      </w:r>
      <w:r>
        <w:rPr>
          <w:rFonts w:ascii="宋体" w:hAnsi="宋体" w:eastAsia="宋体" w:cs="Times New Roman"/>
          <w:b/>
          <w:kern w:val="0"/>
          <w:sz w:val="24"/>
          <w:szCs w:val="24"/>
        </w:rPr>
        <w:t>课程目标的</w:t>
      </w:r>
      <w:r>
        <w:rPr>
          <w:rFonts w:hint="eastAsia" w:ascii="宋体" w:hAnsi="宋体" w:eastAsia="宋体" w:cs="Times New Roman"/>
          <w:b/>
          <w:kern w:val="0"/>
          <w:sz w:val="24"/>
          <w:szCs w:val="24"/>
        </w:rPr>
        <w:t>对应关系及</w:t>
      </w:r>
      <w:r>
        <w:rPr>
          <w:rFonts w:ascii="宋体" w:hAnsi="宋体" w:eastAsia="宋体" w:cs="Times New Roman"/>
          <w:b/>
          <w:kern w:val="0"/>
          <w:sz w:val="24"/>
          <w:szCs w:val="24"/>
        </w:rPr>
        <w:t>学时分配</w:t>
      </w:r>
      <w:r>
        <w:rPr>
          <w:rFonts w:hint="eastAsia" w:ascii="宋体" w:hAnsi="宋体" w:eastAsia="宋体" w:cs="Times New Roman"/>
          <w:b/>
          <w:kern w:val="0"/>
          <w:sz w:val="24"/>
          <w:szCs w:val="24"/>
        </w:rPr>
        <w:t>如表所示：</w:t>
      </w:r>
    </w:p>
    <w:tbl>
      <w:tblPr>
        <w:tblStyle w:val="30"/>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76"/>
        <w:gridCol w:w="1701"/>
        <w:gridCol w:w="1418"/>
        <w:gridCol w:w="7"/>
        <w:gridCol w:w="701"/>
        <w:gridCol w:w="709"/>
      </w:tblGrid>
      <w:tr w14:paraId="1CC2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FFFFFF"/>
            <w:noWrap w:val="0"/>
            <w:vAlign w:val="center"/>
          </w:tcPr>
          <w:p w14:paraId="32D30379">
            <w:pPr>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序号</w:t>
            </w:r>
          </w:p>
        </w:tc>
        <w:tc>
          <w:tcPr>
            <w:tcW w:w="4676" w:type="dxa"/>
            <w:shd w:val="clear" w:color="auto" w:fill="FFFFFF"/>
            <w:noWrap w:val="0"/>
            <w:vAlign w:val="center"/>
          </w:tcPr>
          <w:p w14:paraId="6325A478">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教学内容</w:t>
            </w:r>
          </w:p>
        </w:tc>
        <w:tc>
          <w:tcPr>
            <w:tcW w:w="1701" w:type="dxa"/>
            <w:shd w:val="clear" w:color="auto" w:fill="FFFFFF"/>
            <w:noWrap w:val="0"/>
            <w:vAlign w:val="center"/>
          </w:tcPr>
          <w:p w14:paraId="49C6908B">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支撑</w:t>
            </w:r>
            <w:r>
              <w:rPr>
                <w:rFonts w:hint="eastAsia" w:ascii="宋体" w:hAnsi="宋体" w:eastAsia="宋体" w:cs="Times New Roman"/>
                <w:b/>
                <w:bCs/>
                <w:kern w:val="0"/>
                <w:szCs w:val="21"/>
              </w:rPr>
              <w:t>的</w:t>
            </w:r>
            <w:r>
              <w:rPr>
                <w:rFonts w:ascii="宋体" w:hAnsi="宋体" w:eastAsia="宋体" w:cs="Times New Roman"/>
                <w:b/>
                <w:bCs/>
                <w:kern w:val="0"/>
                <w:szCs w:val="21"/>
              </w:rPr>
              <w:t>课程目标</w:t>
            </w:r>
          </w:p>
        </w:tc>
        <w:tc>
          <w:tcPr>
            <w:tcW w:w="1418" w:type="dxa"/>
            <w:shd w:val="clear" w:color="auto" w:fill="FFFFFF"/>
            <w:noWrap w:val="0"/>
            <w:vAlign w:val="center"/>
          </w:tcPr>
          <w:p w14:paraId="513E82DD">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支撑</w:t>
            </w:r>
            <w:r>
              <w:rPr>
                <w:rFonts w:hint="eastAsia" w:ascii="宋体" w:hAnsi="宋体" w:eastAsia="宋体" w:cs="Times New Roman"/>
                <w:b/>
                <w:bCs/>
                <w:kern w:val="0"/>
                <w:szCs w:val="21"/>
              </w:rPr>
              <w:t>的</w:t>
            </w:r>
            <w:r>
              <w:rPr>
                <w:rFonts w:ascii="宋体" w:hAnsi="宋体" w:eastAsia="宋体" w:cs="Times New Roman"/>
                <w:b/>
                <w:bCs/>
                <w:kern w:val="0"/>
                <w:szCs w:val="21"/>
              </w:rPr>
              <w:t>毕业要求指标点</w:t>
            </w:r>
          </w:p>
        </w:tc>
        <w:tc>
          <w:tcPr>
            <w:tcW w:w="708" w:type="dxa"/>
            <w:gridSpan w:val="2"/>
            <w:shd w:val="clear" w:color="auto" w:fill="FFFFFF"/>
            <w:noWrap w:val="0"/>
            <w:vAlign w:val="center"/>
          </w:tcPr>
          <w:p w14:paraId="1E1B5E3C">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讲</w:t>
            </w:r>
            <w:r>
              <w:rPr>
                <w:rFonts w:hint="eastAsia" w:ascii="宋体" w:hAnsi="宋体" w:eastAsia="宋体" w:cs="Times New Roman"/>
                <w:b/>
                <w:bCs/>
                <w:kern w:val="0"/>
                <w:szCs w:val="21"/>
              </w:rPr>
              <w:t>授</w:t>
            </w:r>
            <w:r>
              <w:rPr>
                <w:rFonts w:ascii="宋体" w:hAnsi="宋体" w:eastAsia="宋体" w:cs="Times New Roman"/>
                <w:b/>
                <w:bCs/>
                <w:kern w:val="0"/>
                <w:szCs w:val="21"/>
              </w:rPr>
              <w:t>学时</w:t>
            </w:r>
          </w:p>
        </w:tc>
        <w:tc>
          <w:tcPr>
            <w:tcW w:w="709" w:type="dxa"/>
            <w:shd w:val="clear" w:color="auto" w:fill="FFFFFF"/>
            <w:noWrap w:val="0"/>
            <w:vAlign w:val="center"/>
          </w:tcPr>
          <w:p w14:paraId="53E3B374">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实验</w:t>
            </w:r>
          </w:p>
          <w:p w14:paraId="465E6248">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学时</w:t>
            </w:r>
          </w:p>
        </w:tc>
      </w:tr>
      <w:tr w14:paraId="0B80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9" w:type="dxa"/>
            <w:shd w:val="clear" w:color="auto" w:fill="FFFFFF"/>
            <w:noWrap w:val="0"/>
            <w:vAlign w:val="center"/>
          </w:tcPr>
          <w:p w14:paraId="23F6F043">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1</w:t>
            </w:r>
          </w:p>
        </w:tc>
        <w:tc>
          <w:tcPr>
            <w:tcW w:w="4676" w:type="dxa"/>
            <w:shd w:val="clear" w:color="auto" w:fill="FFFFFF"/>
            <w:noWrap w:val="0"/>
            <w:vAlign w:val="center"/>
          </w:tcPr>
          <w:p w14:paraId="5170F7D0">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教育技术概述</w:t>
            </w:r>
          </w:p>
        </w:tc>
        <w:tc>
          <w:tcPr>
            <w:tcW w:w="1701" w:type="dxa"/>
            <w:shd w:val="clear" w:color="auto" w:fill="FFFFFF"/>
            <w:noWrap w:val="0"/>
            <w:vAlign w:val="center"/>
          </w:tcPr>
          <w:p w14:paraId="32FCE5BF">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w:t>
            </w:r>
          </w:p>
        </w:tc>
        <w:tc>
          <w:tcPr>
            <w:tcW w:w="1418" w:type="dxa"/>
            <w:shd w:val="clear" w:color="auto" w:fill="FFFFFF"/>
            <w:noWrap w:val="0"/>
            <w:vAlign w:val="center"/>
          </w:tcPr>
          <w:p w14:paraId="3325A744">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w:t>
            </w:r>
          </w:p>
        </w:tc>
        <w:tc>
          <w:tcPr>
            <w:tcW w:w="708" w:type="dxa"/>
            <w:gridSpan w:val="2"/>
            <w:shd w:val="clear" w:color="auto" w:fill="FFFFFF"/>
            <w:noWrap w:val="0"/>
            <w:vAlign w:val="center"/>
          </w:tcPr>
          <w:p w14:paraId="6ECFDDB8">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shd w:val="clear" w:color="auto" w:fill="FFFFFF"/>
            <w:noWrap w:val="0"/>
            <w:vAlign w:val="center"/>
          </w:tcPr>
          <w:p w14:paraId="2992255D">
            <w:pPr>
              <w:widowControl/>
              <w:adjustRightInd w:val="0"/>
              <w:snapToGrid w:val="0"/>
              <w:spacing w:line="276" w:lineRule="auto"/>
              <w:jc w:val="left"/>
              <w:rPr>
                <w:rFonts w:ascii="宋体" w:hAnsi="宋体" w:eastAsia="宋体" w:cs="Times New Roman"/>
                <w:kern w:val="0"/>
                <w:szCs w:val="21"/>
              </w:rPr>
            </w:pPr>
          </w:p>
        </w:tc>
      </w:tr>
      <w:tr w14:paraId="26BB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09" w:type="dxa"/>
            <w:noWrap w:val="0"/>
            <w:vAlign w:val="center"/>
          </w:tcPr>
          <w:p w14:paraId="2DE54454">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4676" w:type="dxa"/>
            <w:noWrap w:val="0"/>
            <w:vAlign w:val="center"/>
          </w:tcPr>
          <w:p w14:paraId="1CDC66EA">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教育技术的理论基础</w:t>
            </w:r>
          </w:p>
        </w:tc>
        <w:tc>
          <w:tcPr>
            <w:tcW w:w="1701" w:type="dxa"/>
            <w:noWrap w:val="0"/>
            <w:vAlign w:val="center"/>
          </w:tcPr>
          <w:p w14:paraId="3D88116A">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w:t>
            </w:r>
          </w:p>
        </w:tc>
        <w:tc>
          <w:tcPr>
            <w:tcW w:w="1418" w:type="dxa"/>
            <w:noWrap w:val="0"/>
            <w:vAlign w:val="center"/>
          </w:tcPr>
          <w:p w14:paraId="36858BF1">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520B6827">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noWrap w:val="0"/>
            <w:vAlign w:val="center"/>
          </w:tcPr>
          <w:p w14:paraId="08753D68">
            <w:pPr>
              <w:widowControl/>
              <w:adjustRightInd w:val="0"/>
              <w:snapToGrid w:val="0"/>
              <w:spacing w:line="276" w:lineRule="auto"/>
              <w:jc w:val="left"/>
              <w:rPr>
                <w:rFonts w:ascii="宋体" w:hAnsi="宋体" w:eastAsia="宋体" w:cs="Times New Roman"/>
                <w:kern w:val="0"/>
                <w:szCs w:val="21"/>
              </w:rPr>
            </w:pPr>
          </w:p>
        </w:tc>
      </w:tr>
      <w:tr w14:paraId="1F66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9" w:type="dxa"/>
            <w:noWrap w:val="0"/>
            <w:vAlign w:val="center"/>
          </w:tcPr>
          <w:p w14:paraId="27BAC731">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p>
        </w:tc>
        <w:tc>
          <w:tcPr>
            <w:tcW w:w="4676" w:type="dxa"/>
            <w:noWrap w:val="0"/>
            <w:vAlign w:val="center"/>
          </w:tcPr>
          <w:p w14:paraId="0D021827">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教学媒体及其应用</w:t>
            </w:r>
          </w:p>
        </w:tc>
        <w:tc>
          <w:tcPr>
            <w:tcW w:w="1701" w:type="dxa"/>
            <w:noWrap w:val="0"/>
            <w:vAlign w:val="center"/>
          </w:tcPr>
          <w:p w14:paraId="648EE55E">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w:t>
            </w:r>
          </w:p>
        </w:tc>
        <w:tc>
          <w:tcPr>
            <w:tcW w:w="1418" w:type="dxa"/>
            <w:noWrap w:val="0"/>
            <w:vAlign w:val="center"/>
          </w:tcPr>
          <w:p w14:paraId="44C0C8F9">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5F09BB62">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noWrap w:val="0"/>
            <w:vAlign w:val="center"/>
          </w:tcPr>
          <w:p w14:paraId="4DDBCC06">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r>
      <w:tr w14:paraId="5F7B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09" w:type="dxa"/>
            <w:noWrap w:val="0"/>
            <w:vAlign w:val="center"/>
          </w:tcPr>
          <w:p w14:paraId="14399FD9">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4</w:t>
            </w:r>
          </w:p>
        </w:tc>
        <w:tc>
          <w:tcPr>
            <w:tcW w:w="4676" w:type="dxa"/>
            <w:noWrap w:val="0"/>
            <w:vAlign w:val="center"/>
          </w:tcPr>
          <w:p w14:paraId="2421BC41">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教学资源的获取与加工</w:t>
            </w:r>
          </w:p>
        </w:tc>
        <w:tc>
          <w:tcPr>
            <w:tcW w:w="1701" w:type="dxa"/>
            <w:noWrap w:val="0"/>
            <w:vAlign w:val="center"/>
          </w:tcPr>
          <w:p w14:paraId="1EF847CE">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w:t>
            </w:r>
          </w:p>
        </w:tc>
        <w:tc>
          <w:tcPr>
            <w:tcW w:w="1418" w:type="dxa"/>
            <w:noWrap w:val="0"/>
            <w:vAlign w:val="center"/>
          </w:tcPr>
          <w:p w14:paraId="04A56968">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7D148A7F">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noWrap w:val="0"/>
            <w:vAlign w:val="center"/>
          </w:tcPr>
          <w:p w14:paraId="5AC004C0">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4</w:t>
            </w:r>
          </w:p>
        </w:tc>
      </w:tr>
      <w:tr w14:paraId="4554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E3B76A0">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5</w:t>
            </w:r>
          </w:p>
        </w:tc>
        <w:tc>
          <w:tcPr>
            <w:tcW w:w="4676" w:type="dxa"/>
            <w:noWrap w:val="0"/>
            <w:vAlign w:val="center"/>
          </w:tcPr>
          <w:p w14:paraId="5DF6EA63">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数字化教学资源的设计与运用</w:t>
            </w:r>
          </w:p>
        </w:tc>
        <w:tc>
          <w:tcPr>
            <w:tcW w:w="1701" w:type="dxa"/>
            <w:noWrap w:val="0"/>
            <w:vAlign w:val="center"/>
          </w:tcPr>
          <w:p w14:paraId="506DB30B">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目标1、2、3</w:t>
            </w:r>
          </w:p>
        </w:tc>
        <w:tc>
          <w:tcPr>
            <w:tcW w:w="1418" w:type="dxa"/>
            <w:noWrap w:val="0"/>
            <w:vAlign w:val="center"/>
          </w:tcPr>
          <w:p w14:paraId="0DDDCB9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61DD6F44">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noWrap w:val="0"/>
            <w:vAlign w:val="center"/>
          </w:tcPr>
          <w:p w14:paraId="3C2939F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4</w:t>
            </w:r>
          </w:p>
        </w:tc>
      </w:tr>
      <w:tr w14:paraId="2031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09" w:type="dxa"/>
            <w:noWrap w:val="0"/>
            <w:vAlign w:val="center"/>
          </w:tcPr>
          <w:p w14:paraId="3835C1C8">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6</w:t>
            </w:r>
          </w:p>
        </w:tc>
        <w:tc>
          <w:tcPr>
            <w:tcW w:w="4676" w:type="dxa"/>
            <w:noWrap w:val="0"/>
            <w:vAlign w:val="center"/>
          </w:tcPr>
          <w:p w14:paraId="0707033C">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教学设计的理论与实践</w:t>
            </w:r>
          </w:p>
        </w:tc>
        <w:tc>
          <w:tcPr>
            <w:tcW w:w="1701" w:type="dxa"/>
            <w:noWrap w:val="0"/>
            <w:vAlign w:val="center"/>
          </w:tcPr>
          <w:p w14:paraId="460810AD">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w:t>
            </w:r>
          </w:p>
        </w:tc>
        <w:tc>
          <w:tcPr>
            <w:tcW w:w="1418" w:type="dxa"/>
            <w:noWrap w:val="0"/>
            <w:vAlign w:val="center"/>
          </w:tcPr>
          <w:p w14:paraId="4D56E10C">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754B2C1C">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c>
          <w:tcPr>
            <w:tcW w:w="709" w:type="dxa"/>
            <w:noWrap w:val="0"/>
            <w:vAlign w:val="center"/>
          </w:tcPr>
          <w:p w14:paraId="43DF3442">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p>
        </w:tc>
      </w:tr>
      <w:tr w14:paraId="7304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09" w:type="dxa"/>
            <w:noWrap w:val="0"/>
            <w:vAlign w:val="center"/>
          </w:tcPr>
          <w:p w14:paraId="2AC3B1EF">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7</w:t>
            </w:r>
          </w:p>
        </w:tc>
        <w:tc>
          <w:tcPr>
            <w:tcW w:w="4676" w:type="dxa"/>
            <w:noWrap w:val="0"/>
            <w:vAlign w:val="center"/>
          </w:tcPr>
          <w:p w14:paraId="6CBB45D5">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微课制作</w:t>
            </w:r>
          </w:p>
        </w:tc>
        <w:tc>
          <w:tcPr>
            <w:tcW w:w="1701" w:type="dxa"/>
            <w:noWrap w:val="0"/>
            <w:vAlign w:val="center"/>
          </w:tcPr>
          <w:p w14:paraId="53879074">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目标1、2、3</w:t>
            </w:r>
          </w:p>
        </w:tc>
        <w:tc>
          <w:tcPr>
            <w:tcW w:w="1418" w:type="dxa"/>
            <w:noWrap w:val="0"/>
            <w:vAlign w:val="center"/>
          </w:tcPr>
          <w:p w14:paraId="51F8009A">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3.1、3.3、3.4</w:t>
            </w: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3</w:t>
            </w:r>
          </w:p>
        </w:tc>
        <w:tc>
          <w:tcPr>
            <w:tcW w:w="708" w:type="dxa"/>
            <w:gridSpan w:val="2"/>
            <w:noWrap w:val="0"/>
            <w:vAlign w:val="center"/>
          </w:tcPr>
          <w:p w14:paraId="78F77C1B">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4</w:t>
            </w:r>
          </w:p>
        </w:tc>
        <w:tc>
          <w:tcPr>
            <w:tcW w:w="709" w:type="dxa"/>
            <w:noWrap w:val="0"/>
            <w:vAlign w:val="center"/>
          </w:tcPr>
          <w:p w14:paraId="7F7E06EC">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4</w:t>
            </w:r>
          </w:p>
        </w:tc>
      </w:tr>
      <w:tr w14:paraId="2450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511" w:type="dxa"/>
            <w:gridSpan w:val="5"/>
            <w:noWrap w:val="0"/>
            <w:vAlign w:val="center"/>
          </w:tcPr>
          <w:p w14:paraId="2EE2A0B6">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合计</w:t>
            </w:r>
          </w:p>
        </w:tc>
        <w:tc>
          <w:tcPr>
            <w:tcW w:w="701" w:type="dxa"/>
            <w:noWrap w:val="0"/>
            <w:vAlign w:val="center"/>
          </w:tcPr>
          <w:p w14:paraId="72FA25C0">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16</w:t>
            </w:r>
          </w:p>
        </w:tc>
        <w:tc>
          <w:tcPr>
            <w:tcW w:w="709" w:type="dxa"/>
            <w:noWrap w:val="0"/>
            <w:vAlign w:val="center"/>
          </w:tcPr>
          <w:p w14:paraId="2D00CF54">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16</w:t>
            </w:r>
          </w:p>
        </w:tc>
      </w:tr>
    </w:tbl>
    <w:p w14:paraId="3CF6E6C1">
      <w:pPr>
        <w:spacing w:line="360" w:lineRule="auto"/>
        <w:jc w:val="left"/>
        <w:rPr>
          <w:rFonts w:ascii="宋体" w:hAnsi="宋体" w:eastAsia="宋体" w:cs="Times New Roman"/>
          <w:b/>
          <w:sz w:val="28"/>
          <w:szCs w:val="28"/>
        </w:rPr>
      </w:pPr>
    </w:p>
    <w:p w14:paraId="299BE62D">
      <w:pPr>
        <w:spacing w:line="360" w:lineRule="auto"/>
        <w:jc w:val="left"/>
        <w:rPr>
          <w:rFonts w:ascii="宋体" w:hAnsi="宋体" w:eastAsia="宋体" w:cs="Times New Roman"/>
          <w:b/>
          <w:sz w:val="28"/>
          <w:szCs w:val="28"/>
        </w:rPr>
      </w:pPr>
      <w:r>
        <w:rPr>
          <w:rFonts w:hint="eastAsia" w:ascii="宋体" w:hAnsi="宋体" w:eastAsia="宋体" w:cs="Times New Roman"/>
          <w:b/>
          <w:sz w:val="28"/>
          <w:szCs w:val="28"/>
        </w:rPr>
        <w:t>四</w:t>
      </w:r>
      <w:r>
        <w:rPr>
          <w:rFonts w:ascii="宋体" w:hAnsi="宋体" w:eastAsia="宋体" w:cs="Times New Roman"/>
          <w:b/>
          <w:sz w:val="28"/>
          <w:szCs w:val="28"/>
        </w:rPr>
        <w:t>、</w:t>
      </w:r>
      <w:r>
        <w:rPr>
          <w:rFonts w:hint="eastAsia" w:ascii="宋体" w:hAnsi="宋体" w:eastAsia="宋体" w:cs="Times New Roman"/>
          <w:b/>
          <w:sz w:val="28"/>
          <w:szCs w:val="28"/>
        </w:rPr>
        <w:t>课内实践</w:t>
      </w:r>
    </w:p>
    <w:tbl>
      <w:tblPr>
        <w:tblStyle w:val="30"/>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784"/>
        <w:gridCol w:w="3568"/>
        <w:gridCol w:w="735"/>
        <w:gridCol w:w="1155"/>
        <w:gridCol w:w="840"/>
        <w:gridCol w:w="630"/>
      </w:tblGrid>
      <w:tr w14:paraId="1520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237" w:type="dxa"/>
            <w:shd w:val="clear" w:color="auto" w:fill="FFFFFF"/>
            <w:noWrap w:val="0"/>
            <w:vAlign w:val="center"/>
          </w:tcPr>
          <w:p w14:paraId="19ACFB70">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序号</w:t>
            </w:r>
          </w:p>
        </w:tc>
        <w:tc>
          <w:tcPr>
            <w:tcW w:w="1784" w:type="dxa"/>
            <w:shd w:val="clear" w:color="auto" w:fill="FFFFFF"/>
            <w:noWrap w:val="0"/>
            <w:vAlign w:val="center"/>
          </w:tcPr>
          <w:p w14:paraId="6003DBBA">
            <w:pPr>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实践</w:t>
            </w:r>
          </w:p>
          <w:p w14:paraId="115E5517">
            <w:pPr>
              <w:spacing w:line="276" w:lineRule="auto"/>
              <w:ind w:firstLine="211" w:firstLineChars="100"/>
              <w:rPr>
                <w:rFonts w:ascii="宋体" w:hAnsi="宋体" w:eastAsia="宋体" w:cs="Times New Roman"/>
                <w:b/>
                <w:bCs/>
                <w:kern w:val="0"/>
                <w:szCs w:val="21"/>
              </w:rPr>
            </w:pPr>
            <w:r>
              <w:rPr>
                <w:rFonts w:ascii="宋体" w:hAnsi="宋体" w:eastAsia="宋体" w:cs="Times New Roman"/>
                <w:b/>
                <w:bCs/>
                <w:kern w:val="0"/>
                <w:szCs w:val="21"/>
              </w:rPr>
              <w:t>项目名称</w:t>
            </w:r>
          </w:p>
        </w:tc>
        <w:tc>
          <w:tcPr>
            <w:tcW w:w="3568" w:type="dxa"/>
            <w:shd w:val="clear" w:color="auto" w:fill="FFFFFF"/>
            <w:noWrap w:val="0"/>
            <w:vAlign w:val="center"/>
          </w:tcPr>
          <w:p w14:paraId="2EA33934">
            <w:pPr>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实践</w:t>
            </w:r>
            <w:r>
              <w:rPr>
                <w:rFonts w:ascii="宋体" w:hAnsi="宋体" w:eastAsia="宋体" w:cs="Times New Roman"/>
                <w:b/>
                <w:bCs/>
                <w:kern w:val="0"/>
                <w:szCs w:val="21"/>
              </w:rPr>
              <w:t>内容</w:t>
            </w:r>
            <w:r>
              <w:rPr>
                <w:rFonts w:hint="eastAsia" w:ascii="宋体" w:hAnsi="宋体" w:eastAsia="宋体" w:cs="Times New Roman"/>
                <w:b/>
                <w:bCs/>
                <w:kern w:val="0"/>
                <w:szCs w:val="21"/>
              </w:rPr>
              <w:t>及要求</w:t>
            </w:r>
          </w:p>
        </w:tc>
        <w:tc>
          <w:tcPr>
            <w:tcW w:w="735" w:type="dxa"/>
            <w:shd w:val="clear" w:color="auto" w:fill="FFFFFF"/>
            <w:noWrap w:val="0"/>
            <w:vAlign w:val="center"/>
          </w:tcPr>
          <w:p w14:paraId="56AA979A">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学时</w:t>
            </w:r>
          </w:p>
        </w:tc>
        <w:tc>
          <w:tcPr>
            <w:tcW w:w="1155" w:type="dxa"/>
            <w:shd w:val="clear" w:color="auto" w:fill="FFFFFF"/>
            <w:noWrap w:val="0"/>
            <w:vAlign w:val="center"/>
          </w:tcPr>
          <w:p w14:paraId="646E8F83">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对毕业要求的支撑</w:t>
            </w:r>
          </w:p>
        </w:tc>
        <w:tc>
          <w:tcPr>
            <w:tcW w:w="840" w:type="dxa"/>
            <w:shd w:val="clear" w:color="auto" w:fill="FFFFFF"/>
            <w:noWrap w:val="0"/>
            <w:tcMar>
              <w:left w:w="28" w:type="dxa"/>
              <w:right w:w="28" w:type="dxa"/>
            </w:tcMar>
            <w:vAlign w:val="center"/>
          </w:tcPr>
          <w:p w14:paraId="0FCDC12D">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类型</w:t>
            </w:r>
          </w:p>
        </w:tc>
        <w:tc>
          <w:tcPr>
            <w:tcW w:w="630" w:type="dxa"/>
            <w:shd w:val="clear" w:color="auto" w:fill="FFFFFF"/>
            <w:noWrap w:val="0"/>
            <w:tcMar>
              <w:left w:w="28" w:type="dxa"/>
              <w:right w:w="28" w:type="dxa"/>
            </w:tcMar>
            <w:vAlign w:val="center"/>
          </w:tcPr>
          <w:p w14:paraId="2F638FD6">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备注</w:t>
            </w:r>
          </w:p>
        </w:tc>
      </w:tr>
      <w:tr w14:paraId="2F41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237" w:type="dxa"/>
            <w:noWrap w:val="0"/>
            <w:vAlign w:val="center"/>
          </w:tcPr>
          <w:p w14:paraId="57C81806">
            <w:pPr>
              <w:spacing w:line="276" w:lineRule="auto"/>
              <w:jc w:val="center"/>
              <w:rPr>
                <w:rFonts w:ascii="宋体" w:hAnsi="宋体" w:eastAsia="宋体" w:cs="Times New Roman"/>
                <w:bCs/>
                <w:szCs w:val="21"/>
              </w:rPr>
            </w:pPr>
            <w:r>
              <w:rPr>
                <w:rFonts w:ascii="宋体" w:hAnsi="宋体" w:eastAsia="宋体" w:cs="Times New Roman"/>
                <w:bCs/>
                <w:szCs w:val="21"/>
              </w:rPr>
              <w:t>1</w:t>
            </w:r>
          </w:p>
        </w:tc>
        <w:tc>
          <w:tcPr>
            <w:tcW w:w="1784" w:type="dxa"/>
            <w:noWrap w:val="0"/>
            <w:vAlign w:val="center"/>
          </w:tcPr>
          <w:p w14:paraId="2E3316DE">
            <w:pPr>
              <w:spacing w:line="276" w:lineRule="auto"/>
              <w:rPr>
                <w:rFonts w:ascii="宋体" w:hAnsi="宋体" w:eastAsia="宋体" w:cs="宋体"/>
                <w:kern w:val="0"/>
                <w:szCs w:val="21"/>
              </w:rPr>
            </w:pPr>
            <w:r>
              <w:rPr>
                <w:rFonts w:hint="eastAsia" w:ascii="宋体" w:hAnsi="宋体" w:eastAsia="宋体" w:cs="宋体"/>
                <w:kern w:val="0"/>
                <w:szCs w:val="21"/>
              </w:rPr>
              <w:t>智慧教室的应用学习</w:t>
            </w:r>
          </w:p>
        </w:tc>
        <w:tc>
          <w:tcPr>
            <w:tcW w:w="3568" w:type="dxa"/>
            <w:noWrap w:val="0"/>
            <w:vAlign w:val="center"/>
          </w:tcPr>
          <w:p w14:paraId="3BDDB01E">
            <w:pPr>
              <w:spacing w:line="276" w:lineRule="auto"/>
              <w:ind w:firstLine="420" w:firstLineChars="200"/>
              <w:rPr>
                <w:rFonts w:ascii="宋体" w:hAnsi="宋体" w:eastAsia="宋体" w:cs="Times New Roman"/>
                <w:szCs w:val="21"/>
              </w:rPr>
            </w:pPr>
            <w:r>
              <w:rPr>
                <w:rFonts w:hint="eastAsia" w:ascii="宋体" w:hAnsi="宋体" w:eastAsia="宋体" w:cs="Times New Roman"/>
                <w:bCs/>
                <w:szCs w:val="21"/>
              </w:rPr>
              <w:t>实践</w:t>
            </w:r>
            <w:r>
              <w:rPr>
                <w:rFonts w:ascii="宋体" w:hAnsi="宋体" w:eastAsia="宋体" w:cs="Times New Roman"/>
                <w:bCs/>
                <w:szCs w:val="21"/>
              </w:rPr>
              <w:t>内容</w:t>
            </w:r>
            <w:r>
              <w:rPr>
                <w:rFonts w:hint="eastAsia" w:ascii="宋体" w:hAnsi="宋体" w:eastAsia="宋体" w:cs="Times New Roman"/>
                <w:bCs/>
                <w:szCs w:val="21"/>
              </w:rPr>
              <w:t>：</w:t>
            </w:r>
            <w:r>
              <w:rPr>
                <w:rFonts w:hint="eastAsia" w:ascii="宋体" w:hAnsi="宋体" w:eastAsia="宋体" w:cs="Times New Roman"/>
                <w:szCs w:val="21"/>
              </w:rPr>
              <w:t>根据中小学常用的智慧教室配置，学习数字白板的使用。</w:t>
            </w:r>
          </w:p>
          <w:p w14:paraId="7B5AE158">
            <w:pPr>
              <w:spacing w:line="276" w:lineRule="auto"/>
              <w:ind w:firstLine="315" w:firstLineChars="150"/>
              <w:rPr>
                <w:rFonts w:ascii="宋体" w:hAnsi="宋体" w:eastAsia="宋体" w:cs="宋体"/>
                <w:kern w:val="0"/>
                <w:szCs w:val="21"/>
              </w:rPr>
            </w:pPr>
            <w:r>
              <w:rPr>
                <w:rFonts w:hint="eastAsia" w:ascii="宋体" w:hAnsi="宋体" w:eastAsia="宋体" w:cs="Times New Roman"/>
                <w:bCs/>
                <w:szCs w:val="21"/>
              </w:rPr>
              <w:t xml:space="preserve"> 实践要求：利用数字白板制作一个课件</w:t>
            </w:r>
            <w:r>
              <w:rPr>
                <w:rFonts w:hint="eastAsia" w:ascii="宋体" w:hAnsi="宋体" w:eastAsia="宋体" w:cs="Times New Roman"/>
                <w:szCs w:val="21"/>
              </w:rPr>
              <w:t>。</w:t>
            </w:r>
          </w:p>
        </w:tc>
        <w:tc>
          <w:tcPr>
            <w:tcW w:w="735" w:type="dxa"/>
            <w:noWrap w:val="0"/>
            <w:vAlign w:val="center"/>
          </w:tcPr>
          <w:p w14:paraId="139EA4CF">
            <w:pPr>
              <w:spacing w:line="276" w:lineRule="auto"/>
              <w:jc w:val="center"/>
              <w:rPr>
                <w:rFonts w:ascii="宋体" w:hAnsi="宋体" w:eastAsia="宋体" w:cs="Times New Roman"/>
                <w:bCs/>
                <w:szCs w:val="21"/>
              </w:rPr>
            </w:pPr>
            <w:r>
              <w:rPr>
                <w:rFonts w:ascii="宋体" w:hAnsi="宋体" w:eastAsia="宋体" w:cs="Times New Roman"/>
                <w:bCs/>
                <w:szCs w:val="21"/>
              </w:rPr>
              <w:t>2</w:t>
            </w:r>
          </w:p>
        </w:tc>
        <w:tc>
          <w:tcPr>
            <w:tcW w:w="1155" w:type="dxa"/>
            <w:noWrap w:val="0"/>
            <w:vAlign w:val="center"/>
          </w:tcPr>
          <w:p w14:paraId="695769E2">
            <w:pPr>
              <w:spacing w:line="276" w:lineRule="auto"/>
              <w:jc w:val="center"/>
              <w:rPr>
                <w:rFonts w:ascii="宋体" w:hAnsi="宋体" w:eastAsia="宋体" w:cs="Times New Roman"/>
                <w:bCs/>
                <w:szCs w:val="21"/>
              </w:rPr>
            </w:pPr>
            <w:r>
              <w:rPr>
                <w:rFonts w:ascii="宋体" w:hAnsi="宋体" w:eastAsia="宋体" w:cs="Times New Roman"/>
                <w:bCs/>
                <w:szCs w:val="21"/>
              </w:rPr>
              <w:t>3.3</w:t>
            </w:r>
            <w:r>
              <w:rPr>
                <w:rFonts w:hint="eastAsia" w:ascii="宋体" w:hAnsi="宋体" w:eastAsia="宋体" w:cs="Times New Roman"/>
                <w:bCs/>
                <w:szCs w:val="21"/>
              </w:rPr>
              <w:t>、</w:t>
            </w:r>
          </w:p>
          <w:p w14:paraId="41EC08CC">
            <w:pPr>
              <w:spacing w:line="276" w:lineRule="auto"/>
              <w:jc w:val="center"/>
              <w:rPr>
                <w:rFonts w:ascii="宋体" w:hAnsi="宋体" w:eastAsia="宋体" w:cs="Times New Roman"/>
                <w:bCs/>
                <w:szCs w:val="21"/>
              </w:rPr>
            </w:pPr>
            <w:r>
              <w:rPr>
                <w:rFonts w:ascii="宋体" w:hAnsi="宋体" w:eastAsia="宋体" w:cs="Times New Roman"/>
                <w:bCs/>
                <w:szCs w:val="21"/>
              </w:rPr>
              <w:t>3.4</w:t>
            </w:r>
            <w:r>
              <w:rPr>
                <w:rFonts w:hint="eastAsia" w:ascii="宋体" w:hAnsi="宋体" w:eastAsia="宋体" w:cs="Times New Roman"/>
                <w:bCs/>
                <w:szCs w:val="21"/>
              </w:rPr>
              <w:t>、4</w:t>
            </w:r>
            <w:r>
              <w:rPr>
                <w:rFonts w:ascii="宋体" w:hAnsi="宋体" w:eastAsia="宋体" w:cs="Times New Roman"/>
                <w:bCs/>
                <w:szCs w:val="21"/>
              </w:rPr>
              <w:t>.</w:t>
            </w:r>
            <w:r>
              <w:rPr>
                <w:rFonts w:hint="eastAsia" w:ascii="宋体" w:hAnsi="宋体" w:eastAsia="宋体" w:cs="Times New Roman"/>
                <w:bCs/>
                <w:szCs w:val="21"/>
              </w:rPr>
              <w:t>3</w:t>
            </w:r>
          </w:p>
        </w:tc>
        <w:tc>
          <w:tcPr>
            <w:tcW w:w="840" w:type="dxa"/>
            <w:noWrap w:val="0"/>
            <w:tcMar>
              <w:left w:w="28" w:type="dxa"/>
              <w:right w:w="28" w:type="dxa"/>
            </w:tcMar>
            <w:vAlign w:val="center"/>
          </w:tcPr>
          <w:p w14:paraId="6F9DA8FE">
            <w:pPr>
              <w:spacing w:line="276" w:lineRule="auto"/>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noWrap w:val="0"/>
            <w:tcMar>
              <w:left w:w="28" w:type="dxa"/>
              <w:right w:w="28" w:type="dxa"/>
            </w:tcMar>
            <w:vAlign w:val="center"/>
          </w:tcPr>
          <w:p w14:paraId="166FD9B7">
            <w:pPr>
              <w:spacing w:line="276" w:lineRule="auto"/>
              <w:jc w:val="center"/>
              <w:rPr>
                <w:rFonts w:ascii="宋体" w:hAnsi="宋体" w:eastAsia="宋体" w:cs="Times New Roman"/>
                <w:bCs/>
                <w:szCs w:val="21"/>
              </w:rPr>
            </w:pPr>
          </w:p>
        </w:tc>
      </w:tr>
      <w:tr w14:paraId="21CB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237" w:type="dxa"/>
            <w:noWrap w:val="0"/>
            <w:vAlign w:val="center"/>
          </w:tcPr>
          <w:p w14:paraId="5DE2FD1D">
            <w:pPr>
              <w:spacing w:line="276" w:lineRule="auto"/>
              <w:jc w:val="center"/>
              <w:rPr>
                <w:rFonts w:ascii="宋体" w:hAnsi="宋体" w:eastAsia="宋体" w:cs="Times New Roman"/>
                <w:bCs/>
                <w:szCs w:val="21"/>
              </w:rPr>
            </w:pPr>
            <w:r>
              <w:rPr>
                <w:rFonts w:hint="eastAsia" w:ascii="宋体" w:hAnsi="宋体" w:eastAsia="宋体" w:cs="Times New Roman"/>
                <w:bCs/>
                <w:szCs w:val="21"/>
              </w:rPr>
              <w:t>2</w:t>
            </w:r>
          </w:p>
        </w:tc>
        <w:tc>
          <w:tcPr>
            <w:tcW w:w="1784" w:type="dxa"/>
            <w:noWrap w:val="0"/>
            <w:vAlign w:val="center"/>
          </w:tcPr>
          <w:p w14:paraId="2791C86D">
            <w:pPr>
              <w:spacing w:line="276" w:lineRule="auto"/>
              <w:rPr>
                <w:rFonts w:ascii="宋体" w:hAnsi="宋体" w:eastAsia="宋体" w:cs="宋体"/>
                <w:kern w:val="0"/>
                <w:szCs w:val="21"/>
              </w:rPr>
            </w:pPr>
            <w:r>
              <w:rPr>
                <w:rFonts w:hint="eastAsia" w:ascii="宋体" w:hAnsi="宋体" w:eastAsia="宋体" w:cs="宋体"/>
                <w:kern w:val="0"/>
                <w:szCs w:val="21"/>
              </w:rPr>
              <w:t>Photoshop设计与制作</w:t>
            </w:r>
          </w:p>
        </w:tc>
        <w:tc>
          <w:tcPr>
            <w:tcW w:w="3568" w:type="dxa"/>
            <w:noWrap w:val="0"/>
            <w:vAlign w:val="center"/>
          </w:tcPr>
          <w:p w14:paraId="26C5180D">
            <w:pPr>
              <w:spacing w:line="276" w:lineRule="auto"/>
              <w:ind w:firstLine="420" w:firstLineChars="200"/>
              <w:rPr>
                <w:rFonts w:ascii="宋体" w:hAnsi="宋体" w:eastAsia="宋体" w:cs="Times New Roman"/>
                <w:szCs w:val="21"/>
              </w:rPr>
            </w:pPr>
            <w:r>
              <w:rPr>
                <w:rFonts w:hint="eastAsia" w:ascii="宋体" w:hAnsi="宋体" w:eastAsia="宋体" w:cs="Times New Roman"/>
                <w:bCs/>
                <w:szCs w:val="21"/>
              </w:rPr>
              <w:t>实践</w:t>
            </w:r>
            <w:r>
              <w:rPr>
                <w:rFonts w:ascii="宋体" w:hAnsi="宋体" w:eastAsia="宋体" w:cs="Times New Roman"/>
                <w:bCs/>
                <w:szCs w:val="21"/>
              </w:rPr>
              <w:t>内容</w:t>
            </w:r>
            <w:r>
              <w:rPr>
                <w:rFonts w:hint="eastAsia" w:ascii="宋体" w:hAnsi="宋体" w:eastAsia="宋体" w:cs="Times New Roman"/>
                <w:bCs/>
                <w:szCs w:val="21"/>
              </w:rPr>
              <w:t>：</w:t>
            </w:r>
            <w:r>
              <w:rPr>
                <w:rFonts w:hint="eastAsia" w:ascii="宋体" w:hAnsi="宋体" w:eastAsia="宋体" w:cs="Times New Roman"/>
                <w:szCs w:val="21"/>
              </w:rPr>
              <w:t>利用Photoshop软件合成并处理教育资源相关图像</w:t>
            </w:r>
          </w:p>
          <w:p w14:paraId="6DE1AF56">
            <w:pPr>
              <w:spacing w:line="276" w:lineRule="auto"/>
              <w:ind w:firstLine="420" w:firstLineChars="200"/>
              <w:rPr>
                <w:rFonts w:ascii="宋体" w:hAnsi="宋体" w:eastAsia="宋体" w:cs="宋体"/>
                <w:kern w:val="0"/>
                <w:szCs w:val="21"/>
              </w:rPr>
            </w:pPr>
            <w:r>
              <w:rPr>
                <w:rFonts w:hint="eastAsia" w:ascii="宋体" w:hAnsi="宋体" w:eastAsia="宋体" w:cs="Times New Roman"/>
                <w:bCs/>
                <w:szCs w:val="21"/>
              </w:rPr>
              <w:t>实践要求：</w:t>
            </w:r>
            <w:r>
              <w:rPr>
                <w:rFonts w:hint="eastAsia" w:ascii="宋体" w:hAnsi="宋体" w:eastAsia="宋体" w:cs="Times New Roman"/>
                <w:szCs w:val="21"/>
              </w:rPr>
              <w:t>提交一个JPG格式合成作品</w:t>
            </w:r>
            <w:r>
              <w:rPr>
                <w:rFonts w:ascii="宋体" w:hAnsi="宋体" w:eastAsia="宋体" w:cs="宋体"/>
                <w:kern w:val="0"/>
                <w:szCs w:val="21"/>
              </w:rPr>
              <w:t>。</w:t>
            </w:r>
          </w:p>
        </w:tc>
        <w:tc>
          <w:tcPr>
            <w:tcW w:w="735" w:type="dxa"/>
            <w:noWrap w:val="0"/>
            <w:vAlign w:val="center"/>
          </w:tcPr>
          <w:p w14:paraId="2BFB9911">
            <w:pPr>
              <w:spacing w:line="276" w:lineRule="auto"/>
              <w:jc w:val="center"/>
              <w:rPr>
                <w:rFonts w:ascii="宋体" w:hAnsi="宋体" w:eastAsia="宋体" w:cs="Times New Roman"/>
                <w:bCs/>
                <w:szCs w:val="21"/>
              </w:rPr>
            </w:pPr>
            <w:r>
              <w:rPr>
                <w:rFonts w:ascii="宋体" w:hAnsi="宋体" w:eastAsia="宋体" w:cs="Times New Roman"/>
                <w:bCs/>
                <w:szCs w:val="21"/>
              </w:rPr>
              <w:t>4</w:t>
            </w:r>
          </w:p>
        </w:tc>
        <w:tc>
          <w:tcPr>
            <w:tcW w:w="1155" w:type="dxa"/>
            <w:noWrap w:val="0"/>
            <w:vAlign w:val="center"/>
          </w:tcPr>
          <w:p w14:paraId="267A9100">
            <w:pPr>
              <w:spacing w:line="276" w:lineRule="auto"/>
              <w:jc w:val="center"/>
              <w:rPr>
                <w:rFonts w:ascii="宋体" w:hAnsi="宋体" w:eastAsia="宋体" w:cs="Times New Roman"/>
                <w:bCs/>
                <w:szCs w:val="21"/>
              </w:rPr>
            </w:pPr>
            <w:r>
              <w:rPr>
                <w:rFonts w:ascii="宋体" w:hAnsi="宋体" w:eastAsia="宋体" w:cs="Times New Roman"/>
                <w:bCs/>
                <w:szCs w:val="21"/>
              </w:rPr>
              <w:t>3.3</w:t>
            </w:r>
            <w:r>
              <w:rPr>
                <w:rFonts w:hint="eastAsia" w:ascii="宋体" w:hAnsi="宋体" w:eastAsia="宋体" w:cs="Times New Roman"/>
                <w:bCs/>
                <w:szCs w:val="21"/>
              </w:rPr>
              <w:t>、</w:t>
            </w:r>
          </w:p>
          <w:p w14:paraId="21AC5B92">
            <w:pPr>
              <w:spacing w:line="276" w:lineRule="auto"/>
              <w:jc w:val="center"/>
              <w:rPr>
                <w:rFonts w:ascii="宋体" w:hAnsi="宋体" w:eastAsia="宋体" w:cs="Times New Roman"/>
                <w:bCs/>
                <w:szCs w:val="21"/>
              </w:rPr>
            </w:pPr>
            <w:r>
              <w:rPr>
                <w:rFonts w:ascii="宋体" w:hAnsi="宋体" w:eastAsia="宋体" w:cs="Times New Roman"/>
                <w:bCs/>
                <w:szCs w:val="21"/>
              </w:rPr>
              <w:t>3.4</w:t>
            </w:r>
            <w:r>
              <w:rPr>
                <w:rFonts w:hint="eastAsia" w:ascii="宋体" w:hAnsi="宋体" w:eastAsia="宋体" w:cs="Times New Roman"/>
                <w:bCs/>
                <w:szCs w:val="21"/>
              </w:rPr>
              <w:t>、4</w:t>
            </w:r>
            <w:r>
              <w:rPr>
                <w:rFonts w:ascii="宋体" w:hAnsi="宋体" w:eastAsia="宋体" w:cs="Times New Roman"/>
                <w:bCs/>
                <w:szCs w:val="21"/>
              </w:rPr>
              <w:t>.</w:t>
            </w:r>
            <w:r>
              <w:rPr>
                <w:rFonts w:hint="eastAsia" w:ascii="宋体" w:hAnsi="宋体" w:eastAsia="宋体" w:cs="Times New Roman"/>
                <w:bCs/>
                <w:szCs w:val="21"/>
              </w:rPr>
              <w:t>3</w:t>
            </w:r>
          </w:p>
        </w:tc>
        <w:tc>
          <w:tcPr>
            <w:tcW w:w="840" w:type="dxa"/>
            <w:noWrap w:val="0"/>
            <w:tcMar>
              <w:left w:w="28" w:type="dxa"/>
              <w:right w:w="28" w:type="dxa"/>
            </w:tcMar>
            <w:vAlign w:val="center"/>
          </w:tcPr>
          <w:p w14:paraId="38DC53CE">
            <w:pPr>
              <w:spacing w:line="276" w:lineRule="auto"/>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noWrap w:val="0"/>
            <w:tcMar>
              <w:left w:w="28" w:type="dxa"/>
              <w:right w:w="28" w:type="dxa"/>
            </w:tcMar>
            <w:vAlign w:val="center"/>
          </w:tcPr>
          <w:p w14:paraId="25045D49">
            <w:pPr>
              <w:spacing w:line="276" w:lineRule="auto"/>
              <w:jc w:val="center"/>
              <w:rPr>
                <w:rFonts w:ascii="宋体" w:hAnsi="宋体" w:eastAsia="宋体" w:cs="Times New Roman"/>
                <w:bCs/>
                <w:szCs w:val="21"/>
              </w:rPr>
            </w:pPr>
          </w:p>
        </w:tc>
      </w:tr>
      <w:tr w14:paraId="79DB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37" w:type="dxa"/>
            <w:noWrap w:val="0"/>
            <w:vAlign w:val="center"/>
          </w:tcPr>
          <w:p w14:paraId="54F87B5C">
            <w:pPr>
              <w:spacing w:line="276" w:lineRule="auto"/>
              <w:jc w:val="center"/>
              <w:rPr>
                <w:rFonts w:ascii="宋体" w:hAnsi="宋体" w:eastAsia="宋体" w:cs="Times New Roman"/>
                <w:bCs/>
                <w:szCs w:val="21"/>
              </w:rPr>
            </w:pPr>
            <w:r>
              <w:rPr>
                <w:rFonts w:hint="eastAsia" w:ascii="宋体" w:hAnsi="宋体" w:eastAsia="宋体" w:cs="Times New Roman"/>
                <w:bCs/>
                <w:szCs w:val="21"/>
              </w:rPr>
              <w:t>3</w:t>
            </w:r>
          </w:p>
        </w:tc>
        <w:tc>
          <w:tcPr>
            <w:tcW w:w="1784" w:type="dxa"/>
            <w:noWrap w:val="0"/>
            <w:vAlign w:val="center"/>
          </w:tcPr>
          <w:p w14:paraId="4D77922F">
            <w:pPr>
              <w:spacing w:line="276" w:lineRule="auto"/>
              <w:rPr>
                <w:rFonts w:ascii="宋体" w:hAnsi="宋体" w:eastAsia="宋体" w:cs="宋体"/>
                <w:kern w:val="0"/>
                <w:szCs w:val="21"/>
              </w:rPr>
            </w:pPr>
            <w:r>
              <w:rPr>
                <w:rFonts w:hint="eastAsia" w:ascii="宋体" w:hAnsi="宋体" w:eastAsia="宋体" w:cs="宋体"/>
                <w:kern w:val="0"/>
                <w:szCs w:val="21"/>
              </w:rPr>
              <w:t>PPT制作</w:t>
            </w:r>
          </w:p>
        </w:tc>
        <w:tc>
          <w:tcPr>
            <w:tcW w:w="3568" w:type="dxa"/>
            <w:noWrap w:val="0"/>
            <w:vAlign w:val="center"/>
          </w:tcPr>
          <w:p w14:paraId="5FDDB7DE">
            <w:pPr>
              <w:spacing w:line="276" w:lineRule="auto"/>
              <w:ind w:firstLine="420" w:firstLineChars="200"/>
              <w:rPr>
                <w:rFonts w:ascii="宋体" w:hAnsi="宋体" w:eastAsia="宋体" w:cs="Times New Roman"/>
                <w:szCs w:val="21"/>
              </w:rPr>
            </w:pPr>
            <w:r>
              <w:rPr>
                <w:rFonts w:hint="eastAsia" w:ascii="宋体" w:hAnsi="宋体" w:eastAsia="宋体" w:cs="Times New Roman"/>
                <w:bCs/>
                <w:szCs w:val="21"/>
              </w:rPr>
              <w:t>实践</w:t>
            </w:r>
            <w:r>
              <w:rPr>
                <w:rFonts w:ascii="宋体" w:hAnsi="宋体" w:eastAsia="宋体" w:cs="Times New Roman"/>
                <w:bCs/>
                <w:szCs w:val="21"/>
              </w:rPr>
              <w:t>内容</w:t>
            </w:r>
            <w:r>
              <w:rPr>
                <w:rFonts w:hint="eastAsia" w:ascii="宋体" w:hAnsi="宋体" w:eastAsia="宋体" w:cs="Times New Roman"/>
                <w:bCs/>
                <w:szCs w:val="21"/>
              </w:rPr>
              <w:t>：</w:t>
            </w:r>
            <w:r>
              <w:rPr>
                <w:rFonts w:hint="eastAsia" w:ascii="宋体" w:hAnsi="宋体" w:eastAsia="宋体" w:cs="Times New Roman"/>
                <w:szCs w:val="21"/>
              </w:rPr>
              <w:t>结合本人所授微课内容制作配套PPT课件。</w:t>
            </w:r>
          </w:p>
          <w:p w14:paraId="6C138053">
            <w:pPr>
              <w:spacing w:line="276" w:lineRule="auto"/>
              <w:ind w:firstLine="420" w:firstLineChars="200"/>
              <w:rPr>
                <w:rFonts w:ascii="宋体" w:hAnsi="宋体" w:eastAsia="宋体" w:cs="宋体"/>
                <w:kern w:val="0"/>
                <w:szCs w:val="21"/>
              </w:rPr>
            </w:pPr>
            <w:r>
              <w:rPr>
                <w:rFonts w:hint="eastAsia" w:ascii="宋体" w:hAnsi="宋体" w:eastAsia="宋体" w:cs="Times New Roman"/>
                <w:bCs/>
                <w:szCs w:val="21"/>
              </w:rPr>
              <w:t>实践要求：每人</w:t>
            </w:r>
            <w:r>
              <w:rPr>
                <w:rFonts w:hint="eastAsia" w:ascii="宋体" w:hAnsi="宋体" w:eastAsia="宋体" w:cs="Times New Roman"/>
                <w:szCs w:val="21"/>
              </w:rPr>
              <w:t>提交一个与本人微课相关的PPT课件</w:t>
            </w:r>
            <w:r>
              <w:rPr>
                <w:rFonts w:ascii="宋体" w:hAnsi="宋体" w:eastAsia="宋体" w:cs="宋体"/>
                <w:kern w:val="0"/>
                <w:szCs w:val="21"/>
              </w:rPr>
              <w:t>。</w:t>
            </w:r>
          </w:p>
        </w:tc>
        <w:tc>
          <w:tcPr>
            <w:tcW w:w="735" w:type="dxa"/>
            <w:noWrap w:val="0"/>
            <w:vAlign w:val="center"/>
          </w:tcPr>
          <w:p w14:paraId="12F8A33D">
            <w:pPr>
              <w:spacing w:line="276" w:lineRule="auto"/>
              <w:jc w:val="center"/>
              <w:rPr>
                <w:rFonts w:ascii="宋体" w:hAnsi="宋体" w:eastAsia="宋体" w:cs="Times New Roman"/>
                <w:bCs/>
                <w:szCs w:val="21"/>
              </w:rPr>
            </w:pPr>
            <w:r>
              <w:rPr>
                <w:rFonts w:ascii="宋体" w:hAnsi="宋体" w:eastAsia="宋体" w:cs="Times New Roman"/>
                <w:bCs/>
                <w:szCs w:val="21"/>
              </w:rPr>
              <w:t>2</w:t>
            </w:r>
          </w:p>
        </w:tc>
        <w:tc>
          <w:tcPr>
            <w:tcW w:w="1155" w:type="dxa"/>
            <w:noWrap w:val="0"/>
            <w:vAlign w:val="center"/>
          </w:tcPr>
          <w:p w14:paraId="653CCE11">
            <w:pPr>
              <w:spacing w:line="276" w:lineRule="auto"/>
              <w:jc w:val="center"/>
              <w:rPr>
                <w:rFonts w:ascii="宋体" w:hAnsi="宋体" w:eastAsia="宋体" w:cs="Times New Roman"/>
                <w:bCs/>
                <w:szCs w:val="21"/>
              </w:rPr>
            </w:pPr>
            <w:r>
              <w:rPr>
                <w:rFonts w:ascii="宋体" w:hAnsi="宋体" w:eastAsia="宋体" w:cs="Times New Roman"/>
                <w:bCs/>
                <w:szCs w:val="21"/>
              </w:rPr>
              <w:t>3.1</w:t>
            </w:r>
            <w:r>
              <w:rPr>
                <w:rFonts w:hint="eastAsia" w:ascii="宋体" w:hAnsi="宋体" w:eastAsia="宋体" w:cs="Times New Roman"/>
                <w:bCs/>
                <w:szCs w:val="21"/>
              </w:rPr>
              <w:t>、</w:t>
            </w:r>
            <w:r>
              <w:rPr>
                <w:rFonts w:ascii="宋体" w:hAnsi="宋体" w:eastAsia="宋体" w:cs="Times New Roman"/>
                <w:bCs/>
                <w:szCs w:val="21"/>
              </w:rPr>
              <w:t>3.3</w:t>
            </w:r>
          </w:p>
          <w:p w14:paraId="747243E0">
            <w:pPr>
              <w:spacing w:line="276" w:lineRule="auto"/>
              <w:jc w:val="center"/>
              <w:rPr>
                <w:rFonts w:ascii="宋体" w:hAnsi="宋体" w:eastAsia="宋体" w:cs="Times New Roman"/>
                <w:bCs/>
                <w:szCs w:val="21"/>
              </w:rPr>
            </w:pPr>
            <w:r>
              <w:rPr>
                <w:rFonts w:ascii="宋体" w:hAnsi="宋体" w:eastAsia="宋体" w:cs="Times New Roman"/>
                <w:bCs/>
                <w:szCs w:val="21"/>
              </w:rPr>
              <w:t>3.4</w:t>
            </w:r>
            <w:r>
              <w:rPr>
                <w:rFonts w:hint="eastAsia" w:ascii="宋体" w:hAnsi="宋体" w:eastAsia="宋体" w:cs="Times New Roman"/>
                <w:bCs/>
                <w:szCs w:val="21"/>
              </w:rPr>
              <w:t>、4</w:t>
            </w:r>
            <w:r>
              <w:rPr>
                <w:rFonts w:ascii="宋体" w:hAnsi="宋体" w:eastAsia="宋体" w:cs="Times New Roman"/>
                <w:bCs/>
                <w:szCs w:val="21"/>
              </w:rPr>
              <w:t>.</w:t>
            </w:r>
            <w:r>
              <w:rPr>
                <w:rFonts w:hint="eastAsia" w:ascii="宋体" w:hAnsi="宋体" w:eastAsia="宋体" w:cs="Times New Roman"/>
                <w:bCs/>
                <w:szCs w:val="21"/>
              </w:rPr>
              <w:t>3</w:t>
            </w:r>
          </w:p>
        </w:tc>
        <w:tc>
          <w:tcPr>
            <w:tcW w:w="840" w:type="dxa"/>
            <w:noWrap w:val="0"/>
            <w:tcMar>
              <w:left w:w="28" w:type="dxa"/>
              <w:right w:w="28" w:type="dxa"/>
            </w:tcMar>
            <w:vAlign w:val="center"/>
          </w:tcPr>
          <w:p w14:paraId="2DDDFADF">
            <w:pPr>
              <w:spacing w:line="276" w:lineRule="auto"/>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noWrap w:val="0"/>
            <w:tcMar>
              <w:left w:w="28" w:type="dxa"/>
              <w:right w:w="28" w:type="dxa"/>
            </w:tcMar>
            <w:vAlign w:val="center"/>
          </w:tcPr>
          <w:p w14:paraId="4BBFFFBA">
            <w:pPr>
              <w:spacing w:line="276" w:lineRule="auto"/>
              <w:jc w:val="center"/>
              <w:rPr>
                <w:rFonts w:ascii="宋体" w:hAnsi="宋体" w:eastAsia="宋体" w:cs="Times New Roman"/>
                <w:bCs/>
                <w:szCs w:val="21"/>
              </w:rPr>
            </w:pPr>
          </w:p>
        </w:tc>
      </w:tr>
      <w:tr w14:paraId="596A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exact"/>
        </w:trPr>
        <w:tc>
          <w:tcPr>
            <w:tcW w:w="1237" w:type="dxa"/>
            <w:noWrap w:val="0"/>
            <w:vAlign w:val="center"/>
          </w:tcPr>
          <w:p w14:paraId="511CDB82">
            <w:pPr>
              <w:spacing w:line="276" w:lineRule="auto"/>
              <w:jc w:val="center"/>
              <w:rPr>
                <w:rFonts w:ascii="宋体" w:hAnsi="宋体" w:eastAsia="宋体" w:cs="Times New Roman"/>
                <w:bCs/>
                <w:szCs w:val="21"/>
              </w:rPr>
            </w:pPr>
            <w:r>
              <w:rPr>
                <w:rFonts w:hint="eastAsia" w:ascii="宋体" w:hAnsi="宋体" w:eastAsia="宋体" w:cs="Times New Roman"/>
                <w:bCs/>
                <w:szCs w:val="21"/>
              </w:rPr>
              <w:t>4</w:t>
            </w:r>
          </w:p>
        </w:tc>
        <w:tc>
          <w:tcPr>
            <w:tcW w:w="1784" w:type="dxa"/>
            <w:noWrap w:val="0"/>
            <w:vAlign w:val="center"/>
          </w:tcPr>
          <w:p w14:paraId="2B0DDC66">
            <w:pPr>
              <w:spacing w:line="276" w:lineRule="auto"/>
              <w:rPr>
                <w:rFonts w:ascii="宋体" w:hAnsi="宋体" w:eastAsia="宋体" w:cs="宋体"/>
                <w:kern w:val="0"/>
                <w:szCs w:val="21"/>
              </w:rPr>
            </w:pPr>
            <w:r>
              <w:rPr>
                <w:rFonts w:hint="eastAsia" w:ascii="宋体" w:hAnsi="宋体" w:eastAsia="宋体" w:cs="Times New Roman"/>
                <w:szCs w:val="21"/>
              </w:rPr>
              <w:t>教学设计</w:t>
            </w:r>
            <w:r>
              <w:rPr>
                <w:rFonts w:hint="eastAsia" w:ascii="宋体" w:hAnsi="宋体" w:eastAsia="宋体" w:cs="宋体"/>
                <w:kern w:val="0"/>
                <w:szCs w:val="21"/>
              </w:rPr>
              <w:t>训练</w:t>
            </w:r>
          </w:p>
        </w:tc>
        <w:tc>
          <w:tcPr>
            <w:tcW w:w="3568" w:type="dxa"/>
            <w:noWrap w:val="0"/>
            <w:vAlign w:val="center"/>
          </w:tcPr>
          <w:p w14:paraId="3CA81A26">
            <w:pPr>
              <w:spacing w:line="276" w:lineRule="auto"/>
              <w:ind w:firstLine="420" w:firstLineChars="200"/>
              <w:rPr>
                <w:rFonts w:ascii="宋体" w:hAnsi="宋体" w:eastAsia="宋体" w:cs="Times New Roman"/>
                <w:szCs w:val="21"/>
              </w:rPr>
            </w:pPr>
            <w:r>
              <w:rPr>
                <w:rFonts w:hint="eastAsia" w:ascii="宋体" w:hAnsi="宋体" w:eastAsia="宋体" w:cs="Times New Roman"/>
                <w:bCs/>
                <w:szCs w:val="21"/>
              </w:rPr>
              <w:t>实践</w:t>
            </w:r>
            <w:r>
              <w:rPr>
                <w:rFonts w:ascii="宋体" w:hAnsi="宋体" w:eastAsia="宋体" w:cs="Times New Roman"/>
                <w:bCs/>
                <w:szCs w:val="21"/>
              </w:rPr>
              <w:t>内容</w:t>
            </w:r>
            <w:r>
              <w:rPr>
                <w:rFonts w:hint="eastAsia" w:ascii="宋体" w:hAnsi="宋体" w:eastAsia="宋体" w:cs="Times New Roman"/>
                <w:bCs/>
                <w:szCs w:val="21"/>
              </w:rPr>
              <w:t>：</w:t>
            </w:r>
            <w:r>
              <w:rPr>
                <w:rFonts w:hint="eastAsia" w:ascii="宋体" w:hAnsi="宋体" w:eastAsia="宋体" w:cs="Times New Roman"/>
                <w:szCs w:val="21"/>
              </w:rPr>
              <w:t>结合本人所授微课内容制作配套教学设计。</w:t>
            </w:r>
          </w:p>
          <w:p w14:paraId="445535D4">
            <w:pPr>
              <w:spacing w:line="276" w:lineRule="auto"/>
              <w:ind w:firstLine="420" w:firstLineChars="200"/>
              <w:rPr>
                <w:rFonts w:ascii="宋体" w:hAnsi="宋体" w:eastAsia="宋体" w:cs="宋体"/>
                <w:kern w:val="0"/>
                <w:szCs w:val="21"/>
              </w:rPr>
            </w:pPr>
            <w:r>
              <w:rPr>
                <w:rFonts w:hint="eastAsia" w:ascii="宋体" w:hAnsi="宋体" w:eastAsia="宋体" w:cs="Times New Roman"/>
                <w:bCs/>
                <w:szCs w:val="21"/>
              </w:rPr>
              <w:t>实践要求：</w:t>
            </w:r>
            <w:r>
              <w:rPr>
                <w:rFonts w:hint="eastAsia" w:ascii="宋体" w:hAnsi="宋体" w:eastAsia="宋体" w:cs="Times New Roman"/>
                <w:szCs w:val="21"/>
              </w:rPr>
              <w:t>提交教学设计方案一份。</w:t>
            </w:r>
          </w:p>
        </w:tc>
        <w:tc>
          <w:tcPr>
            <w:tcW w:w="735" w:type="dxa"/>
            <w:noWrap w:val="0"/>
            <w:vAlign w:val="center"/>
          </w:tcPr>
          <w:p w14:paraId="23D997E1">
            <w:pPr>
              <w:spacing w:line="276" w:lineRule="auto"/>
              <w:jc w:val="center"/>
              <w:rPr>
                <w:rFonts w:ascii="宋体" w:hAnsi="宋体" w:eastAsia="宋体" w:cs="Times New Roman"/>
                <w:bCs/>
                <w:szCs w:val="21"/>
              </w:rPr>
            </w:pPr>
            <w:r>
              <w:rPr>
                <w:rFonts w:ascii="宋体" w:hAnsi="宋体" w:eastAsia="宋体" w:cs="Times New Roman"/>
                <w:bCs/>
                <w:szCs w:val="21"/>
              </w:rPr>
              <w:t>2</w:t>
            </w:r>
          </w:p>
        </w:tc>
        <w:tc>
          <w:tcPr>
            <w:tcW w:w="1155" w:type="dxa"/>
            <w:noWrap w:val="0"/>
            <w:vAlign w:val="center"/>
          </w:tcPr>
          <w:p w14:paraId="06B570EE">
            <w:pPr>
              <w:spacing w:line="276" w:lineRule="auto"/>
              <w:jc w:val="center"/>
              <w:rPr>
                <w:rFonts w:ascii="宋体" w:hAnsi="宋体" w:eastAsia="宋体" w:cs="Times New Roman"/>
                <w:bCs/>
                <w:szCs w:val="21"/>
              </w:rPr>
            </w:pPr>
            <w:r>
              <w:rPr>
                <w:rFonts w:ascii="宋体" w:hAnsi="宋体" w:eastAsia="宋体" w:cs="Times New Roman"/>
                <w:bCs/>
                <w:szCs w:val="21"/>
              </w:rPr>
              <w:t>3.1</w:t>
            </w:r>
            <w:r>
              <w:rPr>
                <w:rFonts w:hint="eastAsia" w:ascii="宋体" w:hAnsi="宋体" w:eastAsia="宋体" w:cs="Times New Roman"/>
                <w:bCs/>
                <w:szCs w:val="21"/>
              </w:rPr>
              <w:t>、</w:t>
            </w:r>
            <w:r>
              <w:rPr>
                <w:rFonts w:ascii="宋体" w:hAnsi="宋体" w:eastAsia="宋体" w:cs="Times New Roman"/>
                <w:bCs/>
                <w:szCs w:val="21"/>
              </w:rPr>
              <w:t>3.3</w:t>
            </w:r>
          </w:p>
          <w:p w14:paraId="0ABB00BA">
            <w:pPr>
              <w:spacing w:line="276" w:lineRule="auto"/>
              <w:jc w:val="center"/>
              <w:rPr>
                <w:rFonts w:ascii="宋体" w:hAnsi="宋体" w:eastAsia="宋体" w:cs="Times New Roman"/>
                <w:bCs/>
                <w:szCs w:val="21"/>
              </w:rPr>
            </w:pPr>
            <w:r>
              <w:rPr>
                <w:rFonts w:ascii="宋体" w:hAnsi="宋体" w:eastAsia="宋体" w:cs="Times New Roman"/>
                <w:bCs/>
                <w:szCs w:val="21"/>
              </w:rPr>
              <w:t>3.4</w:t>
            </w:r>
            <w:r>
              <w:rPr>
                <w:rFonts w:hint="eastAsia" w:ascii="宋体" w:hAnsi="宋体" w:eastAsia="宋体" w:cs="Times New Roman"/>
                <w:bCs/>
                <w:szCs w:val="21"/>
              </w:rPr>
              <w:t>、4</w:t>
            </w:r>
            <w:r>
              <w:rPr>
                <w:rFonts w:ascii="宋体" w:hAnsi="宋体" w:eastAsia="宋体" w:cs="Times New Roman"/>
                <w:bCs/>
                <w:szCs w:val="21"/>
              </w:rPr>
              <w:t>.</w:t>
            </w:r>
            <w:r>
              <w:rPr>
                <w:rFonts w:hint="eastAsia" w:ascii="宋体" w:hAnsi="宋体" w:eastAsia="宋体" w:cs="Times New Roman"/>
                <w:bCs/>
                <w:szCs w:val="21"/>
              </w:rPr>
              <w:t>3</w:t>
            </w:r>
          </w:p>
        </w:tc>
        <w:tc>
          <w:tcPr>
            <w:tcW w:w="840" w:type="dxa"/>
            <w:noWrap w:val="0"/>
            <w:tcMar>
              <w:left w:w="28" w:type="dxa"/>
              <w:right w:w="28" w:type="dxa"/>
            </w:tcMar>
            <w:vAlign w:val="center"/>
          </w:tcPr>
          <w:p w14:paraId="4004BB38">
            <w:pPr>
              <w:spacing w:line="276" w:lineRule="auto"/>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noWrap w:val="0"/>
            <w:tcMar>
              <w:left w:w="28" w:type="dxa"/>
              <w:right w:w="28" w:type="dxa"/>
            </w:tcMar>
            <w:vAlign w:val="center"/>
          </w:tcPr>
          <w:p w14:paraId="48CDA226">
            <w:pPr>
              <w:spacing w:line="276" w:lineRule="auto"/>
              <w:jc w:val="center"/>
              <w:rPr>
                <w:rFonts w:ascii="宋体" w:hAnsi="宋体" w:eastAsia="宋体" w:cs="Times New Roman"/>
                <w:bCs/>
                <w:szCs w:val="21"/>
              </w:rPr>
            </w:pPr>
          </w:p>
        </w:tc>
      </w:tr>
      <w:tr w14:paraId="29C1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237" w:type="dxa"/>
            <w:noWrap w:val="0"/>
            <w:vAlign w:val="center"/>
          </w:tcPr>
          <w:p w14:paraId="59C437F8">
            <w:pPr>
              <w:spacing w:line="276" w:lineRule="auto"/>
              <w:jc w:val="center"/>
              <w:rPr>
                <w:rFonts w:ascii="宋体" w:hAnsi="宋体" w:eastAsia="宋体" w:cs="Times New Roman"/>
                <w:bCs/>
                <w:szCs w:val="21"/>
              </w:rPr>
            </w:pPr>
            <w:r>
              <w:rPr>
                <w:rFonts w:hint="eastAsia" w:ascii="宋体" w:hAnsi="宋体" w:eastAsia="宋体" w:cs="Times New Roman"/>
                <w:bCs/>
                <w:szCs w:val="21"/>
              </w:rPr>
              <w:t>5</w:t>
            </w:r>
          </w:p>
        </w:tc>
        <w:tc>
          <w:tcPr>
            <w:tcW w:w="1784" w:type="dxa"/>
            <w:noWrap w:val="0"/>
            <w:vAlign w:val="center"/>
          </w:tcPr>
          <w:p w14:paraId="266919FC">
            <w:pPr>
              <w:spacing w:line="276" w:lineRule="auto"/>
              <w:rPr>
                <w:rFonts w:ascii="宋体" w:hAnsi="宋体" w:eastAsia="宋体" w:cs="宋体"/>
                <w:kern w:val="0"/>
                <w:szCs w:val="21"/>
              </w:rPr>
            </w:pPr>
            <w:r>
              <w:rPr>
                <w:rFonts w:hint="eastAsia" w:ascii="宋体" w:hAnsi="宋体" w:eastAsia="宋体" w:cs="宋体"/>
                <w:kern w:val="0"/>
                <w:szCs w:val="21"/>
              </w:rPr>
              <w:t>微课设计与制作</w:t>
            </w:r>
          </w:p>
        </w:tc>
        <w:tc>
          <w:tcPr>
            <w:tcW w:w="3568" w:type="dxa"/>
            <w:noWrap w:val="0"/>
            <w:vAlign w:val="center"/>
          </w:tcPr>
          <w:p w14:paraId="125765A9">
            <w:pPr>
              <w:spacing w:line="276" w:lineRule="auto"/>
              <w:ind w:firstLine="420" w:firstLineChars="200"/>
              <w:rPr>
                <w:rFonts w:ascii="宋体" w:hAnsi="宋体" w:eastAsia="宋体" w:cs="Times New Roman"/>
                <w:szCs w:val="21"/>
              </w:rPr>
            </w:pPr>
            <w:r>
              <w:rPr>
                <w:rFonts w:hint="eastAsia" w:ascii="宋体" w:hAnsi="宋体" w:eastAsia="宋体" w:cs="Times New Roman"/>
                <w:bCs/>
                <w:szCs w:val="21"/>
              </w:rPr>
              <w:t>实践</w:t>
            </w:r>
            <w:r>
              <w:rPr>
                <w:rFonts w:ascii="宋体" w:hAnsi="宋体" w:eastAsia="宋体" w:cs="Times New Roman"/>
                <w:bCs/>
                <w:szCs w:val="21"/>
              </w:rPr>
              <w:t>内容</w:t>
            </w:r>
            <w:r>
              <w:rPr>
                <w:rFonts w:hint="eastAsia" w:ascii="宋体" w:hAnsi="宋体" w:eastAsia="宋体" w:cs="Times New Roman"/>
                <w:bCs/>
                <w:szCs w:val="21"/>
              </w:rPr>
              <w:t>：</w:t>
            </w:r>
            <w:r>
              <w:rPr>
                <w:rFonts w:hint="eastAsia" w:ascii="宋体" w:hAnsi="宋体" w:eastAsia="宋体" w:cs="Times New Roman"/>
                <w:szCs w:val="21"/>
              </w:rPr>
              <w:t>观看微课网站上获奖作品，完成某些重难点知识点的微课制作。</w:t>
            </w:r>
          </w:p>
          <w:p w14:paraId="63B05BD1">
            <w:pPr>
              <w:spacing w:line="276" w:lineRule="auto"/>
              <w:ind w:firstLine="315" w:firstLineChars="150"/>
              <w:rPr>
                <w:rFonts w:ascii="宋体" w:hAnsi="宋体" w:eastAsia="宋体" w:cs="宋体"/>
                <w:kern w:val="0"/>
                <w:szCs w:val="21"/>
              </w:rPr>
            </w:pPr>
            <w:r>
              <w:rPr>
                <w:rFonts w:hint="eastAsia" w:ascii="宋体" w:hAnsi="宋体" w:eastAsia="宋体" w:cs="Times New Roman"/>
                <w:bCs/>
                <w:szCs w:val="21"/>
              </w:rPr>
              <w:t>实践要求：</w:t>
            </w:r>
            <w:r>
              <w:rPr>
                <w:rFonts w:ascii="宋体" w:hAnsi="宋体" w:eastAsia="宋体" w:cs="Times New Roman"/>
                <w:bCs/>
                <w:szCs w:val="21"/>
              </w:rPr>
              <w:t>自选</w:t>
            </w:r>
            <w:r>
              <w:rPr>
                <w:rFonts w:hint="eastAsia" w:ascii="宋体" w:hAnsi="宋体" w:eastAsia="宋体" w:cs="Times New Roman"/>
                <w:bCs/>
                <w:szCs w:val="21"/>
              </w:rPr>
              <w:t>教学内容，每人</w:t>
            </w:r>
            <w:r>
              <w:rPr>
                <w:rFonts w:hint="eastAsia" w:ascii="宋体" w:hAnsi="宋体" w:eastAsia="宋体" w:cs="Times New Roman"/>
                <w:szCs w:val="21"/>
              </w:rPr>
              <w:t>提交一个微课作品。</w:t>
            </w:r>
          </w:p>
        </w:tc>
        <w:tc>
          <w:tcPr>
            <w:tcW w:w="735" w:type="dxa"/>
            <w:noWrap w:val="0"/>
            <w:vAlign w:val="center"/>
          </w:tcPr>
          <w:p w14:paraId="0E593497">
            <w:pPr>
              <w:spacing w:line="276" w:lineRule="auto"/>
              <w:jc w:val="center"/>
              <w:rPr>
                <w:rFonts w:ascii="宋体" w:hAnsi="宋体" w:eastAsia="宋体" w:cs="Times New Roman"/>
                <w:bCs/>
                <w:szCs w:val="21"/>
              </w:rPr>
            </w:pPr>
            <w:r>
              <w:rPr>
                <w:rFonts w:ascii="宋体" w:hAnsi="宋体" w:eastAsia="宋体" w:cs="Times New Roman"/>
                <w:bCs/>
                <w:szCs w:val="21"/>
              </w:rPr>
              <w:t>6</w:t>
            </w:r>
          </w:p>
        </w:tc>
        <w:tc>
          <w:tcPr>
            <w:tcW w:w="1155" w:type="dxa"/>
            <w:noWrap w:val="0"/>
            <w:vAlign w:val="center"/>
          </w:tcPr>
          <w:p w14:paraId="12E34A30">
            <w:pPr>
              <w:spacing w:line="276" w:lineRule="auto"/>
              <w:jc w:val="center"/>
              <w:rPr>
                <w:rFonts w:ascii="宋体" w:hAnsi="宋体" w:eastAsia="宋体" w:cs="Times New Roman"/>
                <w:bCs/>
                <w:szCs w:val="21"/>
              </w:rPr>
            </w:pPr>
            <w:r>
              <w:rPr>
                <w:rFonts w:ascii="宋体" w:hAnsi="宋体" w:eastAsia="宋体" w:cs="Times New Roman"/>
                <w:bCs/>
                <w:szCs w:val="21"/>
              </w:rPr>
              <w:t>3.1</w:t>
            </w:r>
            <w:r>
              <w:rPr>
                <w:rFonts w:hint="eastAsia" w:ascii="宋体" w:hAnsi="宋体" w:eastAsia="宋体" w:cs="Times New Roman"/>
                <w:bCs/>
                <w:szCs w:val="21"/>
              </w:rPr>
              <w:t>、</w:t>
            </w:r>
            <w:r>
              <w:rPr>
                <w:rFonts w:ascii="宋体" w:hAnsi="宋体" w:eastAsia="宋体" w:cs="Times New Roman"/>
                <w:bCs/>
                <w:szCs w:val="21"/>
              </w:rPr>
              <w:t>3.3</w:t>
            </w:r>
          </w:p>
          <w:p w14:paraId="6E743CCD">
            <w:pPr>
              <w:spacing w:line="276" w:lineRule="auto"/>
              <w:jc w:val="center"/>
              <w:rPr>
                <w:rFonts w:ascii="宋体" w:hAnsi="宋体" w:eastAsia="宋体" w:cs="Times New Roman"/>
                <w:bCs/>
                <w:szCs w:val="21"/>
              </w:rPr>
            </w:pPr>
            <w:r>
              <w:rPr>
                <w:rFonts w:ascii="宋体" w:hAnsi="宋体" w:eastAsia="宋体" w:cs="Times New Roman"/>
                <w:bCs/>
                <w:szCs w:val="21"/>
              </w:rPr>
              <w:t>3.4</w:t>
            </w:r>
            <w:r>
              <w:rPr>
                <w:rFonts w:hint="eastAsia" w:ascii="宋体" w:hAnsi="宋体" w:eastAsia="宋体" w:cs="Times New Roman"/>
                <w:bCs/>
                <w:szCs w:val="21"/>
              </w:rPr>
              <w:t>、4</w:t>
            </w:r>
            <w:r>
              <w:rPr>
                <w:rFonts w:ascii="宋体" w:hAnsi="宋体" w:eastAsia="宋体" w:cs="Times New Roman"/>
                <w:bCs/>
                <w:szCs w:val="21"/>
              </w:rPr>
              <w:t>.</w:t>
            </w:r>
            <w:r>
              <w:rPr>
                <w:rFonts w:hint="eastAsia" w:ascii="宋体" w:hAnsi="宋体" w:eastAsia="宋体" w:cs="Times New Roman"/>
                <w:bCs/>
                <w:szCs w:val="21"/>
              </w:rPr>
              <w:t>3</w:t>
            </w:r>
          </w:p>
        </w:tc>
        <w:tc>
          <w:tcPr>
            <w:tcW w:w="840" w:type="dxa"/>
            <w:noWrap w:val="0"/>
            <w:tcMar>
              <w:left w:w="28" w:type="dxa"/>
              <w:right w:w="28" w:type="dxa"/>
            </w:tcMar>
            <w:vAlign w:val="center"/>
          </w:tcPr>
          <w:p w14:paraId="1FC8A30D">
            <w:pPr>
              <w:spacing w:line="276" w:lineRule="auto"/>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noWrap w:val="0"/>
            <w:tcMar>
              <w:left w:w="28" w:type="dxa"/>
              <w:right w:w="28" w:type="dxa"/>
            </w:tcMar>
            <w:vAlign w:val="center"/>
          </w:tcPr>
          <w:p w14:paraId="465505BF">
            <w:pPr>
              <w:spacing w:line="276" w:lineRule="auto"/>
              <w:jc w:val="center"/>
              <w:rPr>
                <w:rFonts w:ascii="宋体" w:hAnsi="宋体" w:eastAsia="宋体" w:cs="Times New Roman"/>
                <w:bCs/>
                <w:szCs w:val="21"/>
              </w:rPr>
            </w:pPr>
          </w:p>
        </w:tc>
      </w:tr>
    </w:tbl>
    <w:p w14:paraId="271427BF">
      <w:pPr>
        <w:widowControl/>
        <w:adjustRightInd w:val="0"/>
        <w:snapToGrid w:val="0"/>
        <w:spacing w:line="360" w:lineRule="auto"/>
        <w:jc w:val="left"/>
        <w:rPr>
          <w:rFonts w:ascii="宋体" w:hAnsi="宋体" w:eastAsia="宋体" w:cs="Times New Roman"/>
          <w:kern w:val="0"/>
          <w:sz w:val="24"/>
          <w:szCs w:val="24"/>
        </w:rPr>
      </w:pPr>
    </w:p>
    <w:p w14:paraId="10AFADE9">
      <w:pPr>
        <w:widowControl/>
        <w:adjustRightInd w:val="0"/>
        <w:snapToGrid w:val="0"/>
        <w:spacing w:line="360" w:lineRule="auto"/>
        <w:jc w:val="left"/>
        <w:rPr>
          <w:rFonts w:ascii="宋体" w:hAnsi="宋体" w:eastAsia="宋体" w:cs="Times New Roman"/>
          <w:b/>
          <w:kern w:val="0"/>
          <w:sz w:val="28"/>
          <w:szCs w:val="28"/>
        </w:rPr>
      </w:pPr>
      <w:r>
        <w:rPr>
          <w:rFonts w:hint="eastAsia" w:ascii="宋体" w:hAnsi="宋体" w:eastAsia="宋体" w:cs="Times New Roman"/>
          <w:b/>
          <w:kern w:val="0"/>
          <w:sz w:val="28"/>
          <w:szCs w:val="28"/>
        </w:rPr>
        <w:t>五、课程实施</w:t>
      </w:r>
    </w:p>
    <w:p w14:paraId="1C3EC4BB">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一）积极进行课堂教学改革，采用讲授法、翻转课堂、案例教学法等进行教学。充分利用中国大学慕课、国家教育资源公共服务平台、毕博网络课程等手段辅助教学，缩短教育理论教学与实践应用的距离，提高教学的针对性和实效性。</w:t>
      </w:r>
    </w:p>
    <w:p w14:paraId="6DCC513D">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（二）加强课程实践教学，组织学生观看中国微课网的优秀作品，培养学生的教学设计能力、教学实施能力和教育评价能力。</w:t>
      </w:r>
    </w:p>
    <w:p w14:paraId="62D98EAA">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（三）采用混合式学习方式，让线上线下相结合</w:t>
      </w:r>
      <w:r>
        <w:rPr>
          <w:rFonts w:ascii="宋体" w:hAnsi="宋体" w:eastAsia="宋体" w:cs="Times New Roman"/>
          <w:kern w:val="0"/>
          <w:sz w:val="24"/>
        </w:rPr>
        <w:t>。</w:t>
      </w:r>
    </w:p>
    <w:p w14:paraId="3BD40AAF">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（四）紧密结合小学教育课程改革最新研究成果，及时调整和补充学科前沿知识。</w:t>
      </w:r>
    </w:p>
    <w:p w14:paraId="1A6BD6BA">
      <w:pPr>
        <w:widowControl/>
        <w:adjustRightInd w:val="0"/>
        <w:snapToGrid w:val="0"/>
        <w:spacing w:line="360" w:lineRule="auto"/>
        <w:ind w:left="0" w:leftChars="0" w:firstLine="0" w:firstLineChars="0"/>
        <w:jc w:val="left"/>
        <w:rPr>
          <w:rFonts w:ascii="宋体" w:hAnsi="宋体" w:eastAsia="宋体" w:cs="Times New Roman"/>
          <w:b/>
          <w:kern w:val="0"/>
          <w:sz w:val="24"/>
        </w:rPr>
      </w:pPr>
      <w:r>
        <w:rPr>
          <w:rFonts w:ascii="宋体" w:hAnsi="宋体" w:eastAsia="宋体" w:cs="Times New Roman"/>
          <w:b/>
          <w:bCs/>
          <w:kern w:val="0"/>
          <w:sz w:val="24"/>
        </w:rPr>
        <w:t>主要教学环节的质量要求如表所示</w:t>
      </w:r>
      <w:r>
        <w:rPr>
          <w:rFonts w:hint="eastAsia" w:ascii="宋体" w:hAnsi="宋体" w:eastAsia="宋体" w:cs="Times New Roman"/>
          <w:b/>
          <w:bCs/>
          <w:kern w:val="0"/>
          <w:sz w:val="24"/>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324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4D8EF175">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主要教学环节</w:t>
            </w:r>
          </w:p>
        </w:tc>
        <w:tc>
          <w:tcPr>
            <w:tcW w:w="7525" w:type="dxa"/>
            <w:tcBorders>
              <w:top w:val="single" w:color="auto" w:sz="8" w:space="0"/>
              <w:left w:val="single" w:color="auto" w:sz="8" w:space="0"/>
              <w:right w:val="single" w:color="auto" w:sz="8" w:space="0"/>
            </w:tcBorders>
            <w:noWrap w:val="0"/>
            <w:vAlign w:val="center"/>
          </w:tcPr>
          <w:p w14:paraId="10999F05">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质量</w:t>
            </w:r>
            <w:r>
              <w:rPr>
                <w:rFonts w:hint="eastAsia" w:ascii="宋体" w:hAnsi="宋体" w:eastAsia="宋体" w:cs="Times New Roman"/>
                <w:b/>
                <w:bCs/>
                <w:kern w:val="0"/>
                <w:szCs w:val="21"/>
              </w:rPr>
              <w:t>要求</w:t>
            </w:r>
          </w:p>
        </w:tc>
      </w:tr>
      <w:tr w14:paraId="3D18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0BFEA2AE">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w:t>
            </w:r>
          </w:p>
        </w:tc>
        <w:tc>
          <w:tcPr>
            <w:tcW w:w="993" w:type="dxa"/>
            <w:noWrap w:val="0"/>
            <w:tcMar>
              <w:left w:w="28" w:type="dxa"/>
              <w:right w:w="28" w:type="dxa"/>
            </w:tcMar>
            <w:vAlign w:val="center"/>
          </w:tcPr>
          <w:p w14:paraId="72B7FBC2">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备课</w:t>
            </w:r>
          </w:p>
        </w:tc>
        <w:tc>
          <w:tcPr>
            <w:tcW w:w="7525" w:type="dxa"/>
            <w:tcBorders>
              <w:right w:val="single" w:color="auto" w:sz="8" w:space="0"/>
            </w:tcBorders>
            <w:noWrap w:val="0"/>
            <w:vAlign w:val="center"/>
          </w:tcPr>
          <w:p w14:paraId="56B9DD5C">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（1）掌握课程教学大纲内容，严格按照教学大纲要求进行课程教学内容的组织。</w:t>
            </w:r>
          </w:p>
          <w:p w14:paraId="6D6E268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（2）悉心了解学生的现有水平和最新发展区水平，深透钻研教材内容，广泛阅读相关文献资料，精心选择教学方法、组织形式</w:t>
            </w:r>
            <w:r>
              <w:rPr>
                <w:rFonts w:hint="eastAsia" w:ascii="宋体" w:hAnsi="宋体" w:eastAsia="宋体" w:cs="Times New Roman"/>
                <w:kern w:val="0"/>
                <w:szCs w:val="21"/>
              </w:rPr>
              <w:t>和教学手段，认真</w:t>
            </w:r>
            <w:r>
              <w:rPr>
                <w:rFonts w:ascii="宋体" w:hAnsi="宋体" w:eastAsia="宋体" w:cs="Times New Roman"/>
                <w:kern w:val="0"/>
                <w:szCs w:val="21"/>
              </w:rPr>
              <w:t>编写授课计划。授课教案内容包括章节标题、教学目标、教学准备、教学方法、课堂类型、时间分配、授课内容、课后作业、教学效果分析等方面。</w:t>
            </w:r>
          </w:p>
        </w:tc>
      </w:tr>
      <w:tr w14:paraId="6452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82" w:type="dxa"/>
            <w:tcBorders>
              <w:left w:val="single" w:color="auto" w:sz="8" w:space="0"/>
            </w:tcBorders>
            <w:noWrap w:val="0"/>
            <w:vAlign w:val="center"/>
          </w:tcPr>
          <w:p w14:paraId="18592B5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2</w:t>
            </w:r>
          </w:p>
        </w:tc>
        <w:tc>
          <w:tcPr>
            <w:tcW w:w="993" w:type="dxa"/>
            <w:noWrap w:val="0"/>
            <w:tcMar>
              <w:left w:w="28" w:type="dxa"/>
              <w:right w:w="28" w:type="dxa"/>
            </w:tcMar>
            <w:vAlign w:val="center"/>
          </w:tcPr>
          <w:p w14:paraId="3718F1B8">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讲授</w:t>
            </w:r>
          </w:p>
        </w:tc>
        <w:tc>
          <w:tcPr>
            <w:tcW w:w="7525" w:type="dxa"/>
            <w:tcBorders>
              <w:right w:val="single" w:color="auto" w:sz="8" w:space="0"/>
            </w:tcBorders>
            <w:noWrap w:val="0"/>
            <w:vAlign w:val="center"/>
          </w:tcPr>
          <w:p w14:paraId="31A90DF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w:t>
            </w:r>
            <w:r>
              <w:rPr>
                <w:rFonts w:hint="eastAsia" w:ascii="宋体" w:hAnsi="宋体" w:eastAsia="宋体" w:cs="Times New Roman"/>
                <w:kern w:val="0"/>
                <w:szCs w:val="21"/>
              </w:rPr>
              <w:t>教师仪表端庄，情绪情感要饱满；</w:t>
            </w:r>
          </w:p>
          <w:p w14:paraId="42E35676">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教学准备充分，熟悉教学内容；</w:t>
            </w:r>
          </w:p>
          <w:p w14:paraId="443A6190">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教学内容充实，不断充实最新研究成果；</w:t>
            </w:r>
          </w:p>
          <w:p w14:paraId="4128E4FD">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严格执行计划，教学进度适宜；</w:t>
            </w:r>
          </w:p>
          <w:p w14:paraId="379D5CF6">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（5）</w:t>
            </w:r>
            <w:r>
              <w:rPr>
                <w:rFonts w:hint="eastAsia" w:ascii="宋体" w:hAnsi="宋体" w:eastAsia="宋体" w:cs="Times New Roman"/>
                <w:kern w:val="0"/>
                <w:szCs w:val="21"/>
              </w:rPr>
              <w:t>课堂教学信息充分，注重理论联系实际；</w:t>
            </w:r>
          </w:p>
          <w:p w14:paraId="08181921">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（6）</w:t>
            </w:r>
            <w:r>
              <w:rPr>
                <w:rFonts w:hint="eastAsia" w:ascii="宋体" w:hAnsi="宋体" w:eastAsia="宋体" w:cs="Times New Roman"/>
                <w:kern w:val="0"/>
                <w:szCs w:val="21"/>
              </w:rPr>
              <w:t>注重启发学生思维，培养学生的教学能力；</w:t>
            </w:r>
          </w:p>
          <w:p w14:paraId="4D754F24">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（7）</w:t>
            </w:r>
            <w:r>
              <w:rPr>
                <w:rFonts w:hint="eastAsia" w:ascii="宋体" w:hAnsi="宋体" w:eastAsia="宋体" w:cs="Times New Roman"/>
                <w:kern w:val="0"/>
                <w:szCs w:val="21"/>
              </w:rPr>
              <w:t>面向全体基础上因材施教，灵活运用多种教学方法；</w:t>
            </w:r>
          </w:p>
          <w:p w14:paraId="28D1E8F6">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（8）</w:t>
            </w:r>
            <w:r>
              <w:rPr>
                <w:rFonts w:hint="eastAsia" w:ascii="宋体" w:hAnsi="宋体" w:eastAsia="宋体" w:cs="Times New Roman"/>
                <w:kern w:val="0"/>
                <w:szCs w:val="21"/>
              </w:rPr>
              <w:t>教学语言规范，为学生教育教学做好表率；</w:t>
            </w:r>
          </w:p>
          <w:p w14:paraId="27A42AFB">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（9）</w:t>
            </w:r>
            <w:r>
              <w:rPr>
                <w:rFonts w:hint="eastAsia" w:ascii="宋体" w:hAnsi="宋体" w:eastAsia="宋体" w:cs="Times New Roman"/>
                <w:kern w:val="0"/>
                <w:szCs w:val="21"/>
              </w:rPr>
              <w:t>教学条理清楚，教学思路逻辑严密；</w:t>
            </w:r>
          </w:p>
          <w:p w14:paraId="512F9F75">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（10）</w:t>
            </w:r>
            <w:r>
              <w:rPr>
                <w:rFonts w:hint="eastAsia" w:ascii="宋体" w:hAnsi="宋体" w:eastAsia="宋体" w:cs="Times New Roman"/>
                <w:kern w:val="0"/>
                <w:szCs w:val="21"/>
              </w:rPr>
              <w:t>充分运用现代化教学手段，教学技术熟练；</w:t>
            </w:r>
          </w:p>
          <w:p w14:paraId="5B875081">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（11）</w:t>
            </w:r>
            <w:r>
              <w:rPr>
                <w:rFonts w:hint="eastAsia" w:ascii="宋体" w:hAnsi="宋体" w:eastAsia="宋体" w:cs="Times New Roman"/>
                <w:kern w:val="0"/>
                <w:szCs w:val="21"/>
              </w:rPr>
              <w:t>课堂教学要重点突出，难点突破；</w:t>
            </w:r>
          </w:p>
          <w:p w14:paraId="697AAAD3">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（12）</w:t>
            </w:r>
            <w:r>
              <w:rPr>
                <w:rFonts w:hint="eastAsia" w:ascii="宋体" w:hAnsi="宋体" w:eastAsia="宋体" w:cs="Times New Roman"/>
                <w:kern w:val="0"/>
                <w:szCs w:val="21"/>
              </w:rPr>
              <w:t>注重师生互动，形成良好的课堂氛围。</w:t>
            </w:r>
          </w:p>
        </w:tc>
      </w:tr>
      <w:tr w14:paraId="383B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82" w:type="dxa"/>
            <w:tcBorders>
              <w:left w:val="single" w:color="auto" w:sz="8" w:space="0"/>
            </w:tcBorders>
            <w:noWrap w:val="0"/>
            <w:vAlign w:val="center"/>
          </w:tcPr>
          <w:p w14:paraId="752711C6">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w:t>
            </w:r>
          </w:p>
        </w:tc>
        <w:tc>
          <w:tcPr>
            <w:tcW w:w="993" w:type="dxa"/>
            <w:noWrap w:val="0"/>
            <w:tcMar>
              <w:left w:w="28" w:type="dxa"/>
              <w:right w:w="28" w:type="dxa"/>
            </w:tcMar>
            <w:vAlign w:val="center"/>
          </w:tcPr>
          <w:p w14:paraId="2984D3C4">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作业布置与批改</w:t>
            </w:r>
          </w:p>
        </w:tc>
        <w:tc>
          <w:tcPr>
            <w:tcW w:w="7525" w:type="dxa"/>
            <w:tcBorders>
              <w:right w:val="single" w:color="auto" w:sz="8" w:space="0"/>
            </w:tcBorders>
            <w:noWrap w:val="0"/>
            <w:vAlign w:val="center"/>
          </w:tcPr>
          <w:p w14:paraId="45B57765">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学生必须完成</w:t>
            </w:r>
            <w:r>
              <w:rPr>
                <w:rFonts w:hint="eastAsia" w:ascii="宋体" w:hAnsi="宋体" w:eastAsia="宋体" w:cs="Times New Roman"/>
                <w:kern w:val="0"/>
                <w:szCs w:val="21"/>
              </w:rPr>
              <w:t>规定</w:t>
            </w:r>
            <w:r>
              <w:rPr>
                <w:rFonts w:ascii="宋体" w:hAnsi="宋体" w:eastAsia="宋体" w:cs="Times New Roman"/>
                <w:kern w:val="0"/>
                <w:szCs w:val="21"/>
              </w:rPr>
              <w:t>数量的作业</w:t>
            </w:r>
            <w:r>
              <w:rPr>
                <w:rFonts w:hint="eastAsia" w:ascii="宋体" w:hAnsi="宋体" w:eastAsia="宋体" w:cs="Times New Roman"/>
                <w:kern w:val="0"/>
                <w:szCs w:val="21"/>
              </w:rPr>
              <w:t>，</w:t>
            </w:r>
            <w:r>
              <w:rPr>
                <w:rFonts w:ascii="宋体" w:hAnsi="宋体" w:eastAsia="宋体" w:cs="Times New Roman"/>
                <w:kern w:val="0"/>
                <w:szCs w:val="21"/>
              </w:rPr>
              <w:t>作业必须达到以下基本要求：</w:t>
            </w:r>
          </w:p>
          <w:p w14:paraId="055EE093">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按时按量完成作业，不缺交，不抄袭</w:t>
            </w:r>
            <w:r>
              <w:rPr>
                <w:rFonts w:hint="eastAsia" w:ascii="宋体" w:hAnsi="宋体" w:eastAsia="宋体" w:cs="Times New Roman"/>
                <w:kern w:val="0"/>
                <w:szCs w:val="21"/>
              </w:rPr>
              <w:t>。</w:t>
            </w:r>
          </w:p>
          <w:p w14:paraId="05ABAB6F">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（2）作业制作</w:t>
            </w:r>
            <w:r>
              <w:rPr>
                <w:rFonts w:ascii="宋体" w:hAnsi="宋体" w:eastAsia="宋体" w:cs="Times New Roman"/>
                <w:kern w:val="0"/>
                <w:szCs w:val="21"/>
              </w:rPr>
              <w:t>规范</w:t>
            </w:r>
            <w:r>
              <w:rPr>
                <w:rFonts w:hint="eastAsia" w:ascii="宋体" w:hAnsi="宋体" w:eastAsia="宋体" w:cs="Times New Roman"/>
                <w:kern w:val="0"/>
                <w:szCs w:val="21"/>
              </w:rPr>
              <w:t>、</w:t>
            </w:r>
            <w:r>
              <w:rPr>
                <w:rFonts w:ascii="宋体" w:hAnsi="宋体" w:eastAsia="宋体" w:cs="Times New Roman"/>
                <w:kern w:val="0"/>
                <w:szCs w:val="21"/>
              </w:rPr>
              <w:t>教学设计方案格式规范、清晰</w:t>
            </w:r>
            <w:r>
              <w:rPr>
                <w:rFonts w:hint="eastAsia" w:ascii="宋体" w:hAnsi="宋体" w:eastAsia="宋体" w:cs="Times New Roman"/>
                <w:kern w:val="0"/>
                <w:szCs w:val="21"/>
              </w:rPr>
              <w:t>。</w:t>
            </w:r>
          </w:p>
          <w:p w14:paraId="6956BCF2">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教学设计理念先进，教学目标适宜，教学方法灵活，教学组织形式多样、教学过程紧凑，教学准备充分。</w:t>
            </w:r>
          </w:p>
          <w:p w14:paraId="6A43B700">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教师批改</w:t>
            </w:r>
            <w:r>
              <w:rPr>
                <w:rFonts w:hint="eastAsia" w:ascii="宋体" w:hAnsi="宋体" w:eastAsia="宋体" w:cs="Times New Roman"/>
                <w:kern w:val="0"/>
                <w:szCs w:val="21"/>
              </w:rPr>
              <w:t>和</w:t>
            </w:r>
            <w:r>
              <w:rPr>
                <w:rFonts w:ascii="宋体" w:hAnsi="宋体" w:eastAsia="宋体" w:cs="Times New Roman"/>
                <w:kern w:val="0"/>
                <w:szCs w:val="21"/>
              </w:rPr>
              <w:t>讲评作业要求如下：</w:t>
            </w:r>
          </w:p>
          <w:p w14:paraId="04ECF557">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学生的作业要</w:t>
            </w:r>
            <w:r>
              <w:rPr>
                <w:rFonts w:hint="eastAsia" w:ascii="宋体" w:hAnsi="宋体" w:eastAsia="宋体" w:cs="Times New Roman"/>
                <w:kern w:val="0"/>
                <w:szCs w:val="21"/>
              </w:rPr>
              <w:t>按时</w:t>
            </w:r>
            <w:r>
              <w:rPr>
                <w:rFonts w:ascii="宋体" w:hAnsi="宋体" w:eastAsia="宋体" w:cs="Times New Roman"/>
                <w:kern w:val="0"/>
                <w:szCs w:val="21"/>
              </w:rPr>
              <w:t>全</w:t>
            </w:r>
            <w:r>
              <w:rPr>
                <w:rFonts w:hint="eastAsia" w:ascii="宋体" w:hAnsi="宋体" w:eastAsia="宋体" w:cs="Times New Roman"/>
                <w:kern w:val="0"/>
                <w:szCs w:val="21"/>
              </w:rPr>
              <w:t>部</w:t>
            </w:r>
            <w:r>
              <w:rPr>
                <w:rFonts w:ascii="宋体" w:hAnsi="宋体" w:eastAsia="宋体" w:cs="Times New Roman"/>
                <w:kern w:val="0"/>
                <w:szCs w:val="21"/>
              </w:rPr>
              <w:t>批改，并</w:t>
            </w:r>
            <w:r>
              <w:rPr>
                <w:rFonts w:hint="eastAsia" w:ascii="宋体" w:hAnsi="宋体" w:eastAsia="宋体" w:cs="Times New Roman"/>
                <w:kern w:val="0"/>
                <w:szCs w:val="21"/>
              </w:rPr>
              <w:t>及时进行</w:t>
            </w:r>
            <w:r>
              <w:rPr>
                <w:rFonts w:ascii="宋体" w:hAnsi="宋体" w:eastAsia="宋体" w:cs="Times New Roman"/>
                <w:kern w:val="0"/>
                <w:szCs w:val="21"/>
              </w:rPr>
              <w:t>讲评</w:t>
            </w:r>
            <w:r>
              <w:rPr>
                <w:rFonts w:hint="eastAsia" w:ascii="宋体" w:hAnsi="宋体" w:eastAsia="宋体" w:cs="Times New Roman"/>
                <w:kern w:val="0"/>
                <w:szCs w:val="21"/>
              </w:rPr>
              <w:t>。</w:t>
            </w:r>
          </w:p>
          <w:p w14:paraId="116A45F3">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教师批改</w:t>
            </w:r>
            <w:r>
              <w:rPr>
                <w:rFonts w:hint="eastAsia" w:ascii="宋体" w:hAnsi="宋体" w:eastAsia="宋体" w:cs="Times New Roman"/>
                <w:kern w:val="0"/>
                <w:szCs w:val="21"/>
              </w:rPr>
              <w:t>和</w:t>
            </w:r>
            <w:r>
              <w:rPr>
                <w:rFonts w:ascii="宋体" w:hAnsi="宋体" w:eastAsia="宋体" w:cs="Times New Roman"/>
                <w:kern w:val="0"/>
                <w:szCs w:val="21"/>
              </w:rPr>
              <w:t>讲评作业要认真、细致，按百分制评定成绩并写明日期</w:t>
            </w:r>
            <w:r>
              <w:rPr>
                <w:rFonts w:hint="eastAsia" w:ascii="宋体" w:hAnsi="宋体" w:eastAsia="宋体" w:cs="Times New Roman"/>
                <w:kern w:val="0"/>
                <w:szCs w:val="21"/>
              </w:rPr>
              <w:t>。</w:t>
            </w:r>
          </w:p>
          <w:p w14:paraId="71F67390">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学生作业平均成绩</w:t>
            </w:r>
            <w:r>
              <w:rPr>
                <w:rFonts w:hint="eastAsia" w:ascii="宋体" w:hAnsi="宋体" w:eastAsia="宋体" w:cs="Times New Roman"/>
                <w:kern w:val="0"/>
                <w:szCs w:val="21"/>
              </w:rPr>
              <w:t>应</w:t>
            </w:r>
            <w:r>
              <w:rPr>
                <w:rFonts w:ascii="宋体" w:hAnsi="宋体" w:eastAsia="宋体" w:cs="Times New Roman"/>
                <w:kern w:val="0"/>
                <w:szCs w:val="21"/>
              </w:rPr>
              <w:t>作为本课程总评成绩中平时成绩的重要组成部分。</w:t>
            </w:r>
          </w:p>
        </w:tc>
      </w:tr>
      <w:tr w14:paraId="7314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226EB0DF">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4</w:t>
            </w:r>
          </w:p>
        </w:tc>
        <w:tc>
          <w:tcPr>
            <w:tcW w:w="993" w:type="dxa"/>
            <w:noWrap w:val="0"/>
            <w:tcMar>
              <w:left w:w="28" w:type="dxa"/>
              <w:right w:w="28" w:type="dxa"/>
            </w:tcMar>
            <w:vAlign w:val="center"/>
          </w:tcPr>
          <w:p w14:paraId="68FDEF55">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课外答疑</w:t>
            </w:r>
          </w:p>
        </w:tc>
        <w:tc>
          <w:tcPr>
            <w:tcW w:w="7525" w:type="dxa"/>
            <w:tcBorders>
              <w:right w:val="single" w:color="auto" w:sz="8" w:space="0"/>
            </w:tcBorders>
            <w:noWrap w:val="0"/>
            <w:vAlign w:val="center"/>
          </w:tcPr>
          <w:p w14:paraId="4B374151">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为了解学生的学习情况，帮助学生</w:t>
            </w:r>
            <w:r>
              <w:rPr>
                <w:rFonts w:hint="eastAsia" w:ascii="宋体" w:hAnsi="宋体" w:eastAsia="宋体" w:cs="Times New Roman"/>
                <w:kern w:val="0"/>
                <w:szCs w:val="21"/>
              </w:rPr>
              <w:t>更好地</w:t>
            </w:r>
            <w:r>
              <w:rPr>
                <w:rFonts w:ascii="宋体" w:hAnsi="宋体" w:eastAsia="宋体" w:cs="Times New Roman"/>
                <w:kern w:val="0"/>
                <w:szCs w:val="21"/>
              </w:rPr>
              <w:t>理解和消化所学知识、改进学习方法和思维方式，培养其独立的教学设计能力、教学组织指导能力、教学反思与评价能力，任课教师</w:t>
            </w:r>
            <w:r>
              <w:rPr>
                <w:rFonts w:hint="eastAsia" w:ascii="宋体" w:hAnsi="宋体" w:eastAsia="宋体" w:cs="Times New Roman"/>
                <w:kern w:val="0"/>
                <w:szCs w:val="21"/>
              </w:rPr>
              <w:t>需</w:t>
            </w:r>
            <w:r>
              <w:rPr>
                <w:rFonts w:ascii="宋体" w:hAnsi="宋体" w:eastAsia="宋体" w:cs="Times New Roman"/>
                <w:kern w:val="0"/>
                <w:szCs w:val="21"/>
              </w:rPr>
              <w:t>每周安排</w:t>
            </w:r>
            <w:r>
              <w:rPr>
                <w:rFonts w:hint="eastAsia" w:ascii="宋体" w:hAnsi="宋体" w:eastAsia="宋体" w:cs="Times New Roman"/>
                <w:kern w:val="0"/>
                <w:szCs w:val="21"/>
              </w:rPr>
              <w:t>一定</w:t>
            </w:r>
            <w:r>
              <w:rPr>
                <w:rFonts w:ascii="宋体" w:hAnsi="宋体" w:eastAsia="宋体" w:cs="Times New Roman"/>
                <w:kern w:val="0"/>
                <w:szCs w:val="21"/>
              </w:rPr>
              <w:t>时间进行课外答疑与辅导。</w:t>
            </w:r>
          </w:p>
        </w:tc>
      </w:tr>
      <w:tr w14:paraId="2C7E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582" w:type="dxa"/>
            <w:tcBorders>
              <w:left w:val="single" w:color="auto" w:sz="8" w:space="0"/>
            </w:tcBorders>
            <w:noWrap w:val="0"/>
            <w:vAlign w:val="center"/>
          </w:tcPr>
          <w:p w14:paraId="7A6C6D37">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5</w:t>
            </w:r>
          </w:p>
        </w:tc>
        <w:tc>
          <w:tcPr>
            <w:tcW w:w="993" w:type="dxa"/>
            <w:noWrap w:val="0"/>
            <w:tcMar>
              <w:left w:w="28" w:type="dxa"/>
              <w:right w:w="28" w:type="dxa"/>
            </w:tcMar>
            <w:vAlign w:val="center"/>
          </w:tcPr>
          <w:p w14:paraId="0A69FAB5">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成绩考核</w:t>
            </w:r>
          </w:p>
        </w:tc>
        <w:tc>
          <w:tcPr>
            <w:tcW w:w="7525" w:type="dxa"/>
            <w:tcBorders>
              <w:right w:val="single" w:color="auto" w:sz="8" w:space="0"/>
            </w:tcBorders>
            <w:noWrap w:val="0"/>
            <w:vAlign w:val="center"/>
          </w:tcPr>
          <w:p w14:paraId="7DA1E92A">
            <w:pPr>
              <w:spacing w:line="276" w:lineRule="auto"/>
              <w:rPr>
                <w:rFonts w:ascii="宋体" w:hAnsi="宋体" w:eastAsia="宋体" w:cs="Times New Roman"/>
                <w:kern w:val="0"/>
                <w:szCs w:val="21"/>
              </w:rPr>
            </w:pPr>
            <w:r>
              <w:rPr>
                <w:rFonts w:ascii="宋体" w:hAnsi="宋体" w:eastAsia="宋体" w:cs="Times New Roman"/>
                <w:kern w:val="0"/>
                <w:szCs w:val="21"/>
              </w:rPr>
              <w:t>本课程考核的方式为制作完成个人作品（作品内容及评定标准可由任课教师自行确定）</w:t>
            </w:r>
          </w:p>
          <w:p w14:paraId="4BBF228F">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课程总评成绩=平时成绩×</w:t>
            </w:r>
            <w:r>
              <w:rPr>
                <w:rFonts w:hint="eastAsia" w:ascii="宋体" w:hAnsi="宋体" w:eastAsia="宋体" w:cs="Times New Roman"/>
                <w:kern w:val="0"/>
                <w:szCs w:val="21"/>
                <w:lang w:val="en-US" w:eastAsia="zh-CN"/>
              </w:rPr>
              <w:t>5</w:t>
            </w:r>
            <w:r>
              <w:rPr>
                <w:rFonts w:ascii="宋体" w:hAnsi="宋体" w:eastAsia="宋体" w:cs="Times New Roman"/>
                <w:kern w:val="0"/>
                <w:szCs w:val="21"/>
              </w:rPr>
              <w:t>0%</w:t>
            </w:r>
            <w:r>
              <w:rPr>
                <w:rFonts w:hint="eastAsia" w:ascii="宋体" w:hAnsi="宋体" w:eastAsia="宋体" w:cs="Times New Roman"/>
                <w:kern w:val="0"/>
                <w:szCs w:val="21"/>
                <w:lang w:val="en-US" w:eastAsia="zh-CN"/>
              </w:rPr>
              <w:t xml:space="preserve"> </w:t>
            </w:r>
            <w:r>
              <w:rPr>
                <w:rFonts w:ascii="宋体" w:hAnsi="宋体" w:eastAsia="宋体" w:cs="Times New Roman"/>
                <w:kern w:val="0"/>
                <w:szCs w:val="21"/>
              </w:rPr>
              <w:t>+</w:t>
            </w:r>
            <w:r>
              <w:rPr>
                <w:rFonts w:hint="eastAsia" w:ascii="宋体" w:hAnsi="宋体" w:eastAsia="宋体" w:cs="Times New Roman"/>
                <w:kern w:val="0"/>
                <w:szCs w:val="21"/>
                <w:lang w:val="en-US" w:eastAsia="zh-CN"/>
              </w:rPr>
              <w:t xml:space="preserve"> </w:t>
            </w:r>
            <w:r>
              <w:rPr>
                <w:rFonts w:ascii="宋体" w:hAnsi="宋体" w:eastAsia="宋体" w:cs="Times New Roman"/>
                <w:kern w:val="0"/>
                <w:szCs w:val="21"/>
              </w:rPr>
              <w:t>期末</w:t>
            </w:r>
            <w:r>
              <w:rPr>
                <w:rFonts w:hint="eastAsia" w:ascii="宋体" w:hAnsi="宋体" w:eastAsia="宋体" w:cs="Times New Roman"/>
                <w:kern w:val="0"/>
                <w:szCs w:val="21"/>
                <w:lang w:eastAsia="zh-CN"/>
              </w:rPr>
              <w:t>考核</w:t>
            </w:r>
            <w:r>
              <w:rPr>
                <w:rFonts w:ascii="宋体" w:hAnsi="宋体" w:eastAsia="宋体" w:cs="Times New Roman"/>
                <w:kern w:val="0"/>
                <w:szCs w:val="21"/>
              </w:rPr>
              <w:t>×</w:t>
            </w:r>
            <w:r>
              <w:rPr>
                <w:rFonts w:hint="eastAsia" w:ascii="宋体" w:hAnsi="宋体" w:eastAsia="宋体" w:cs="Times New Roman"/>
                <w:kern w:val="0"/>
                <w:szCs w:val="21"/>
                <w:lang w:val="en-US" w:eastAsia="zh-CN"/>
              </w:rPr>
              <w:t>5</w:t>
            </w:r>
            <w:r>
              <w:rPr>
                <w:rFonts w:ascii="宋体" w:hAnsi="宋体" w:eastAsia="宋体" w:cs="Times New Roman"/>
                <w:kern w:val="0"/>
                <w:szCs w:val="21"/>
              </w:rPr>
              <w:t>0%</w:t>
            </w:r>
          </w:p>
        </w:tc>
      </w:tr>
    </w:tbl>
    <w:p w14:paraId="6AA80C71">
      <w:pPr>
        <w:widowControl/>
        <w:adjustRightInd w:val="0"/>
        <w:snapToGrid w:val="0"/>
        <w:spacing w:line="360" w:lineRule="auto"/>
        <w:jc w:val="left"/>
        <w:rPr>
          <w:rFonts w:ascii="宋体" w:hAnsi="宋体" w:eastAsia="宋体" w:cs="Times New Roman"/>
          <w:b/>
          <w:kern w:val="0"/>
          <w:sz w:val="24"/>
          <w:szCs w:val="24"/>
        </w:rPr>
      </w:pPr>
    </w:p>
    <w:p w14:paraId="09A04DF2">
      <w:pPr>
        <w:widowControl/>
        <w:adjustRightInd w:val="0"/>
        <w:snapToGrid w:val="0"/>
        <w:spacing w:line="360" w:lineRule="auto"/>
        <w:jc w:val="left"/>
        <w:rPr>
          <w:rFonts w:ascii="宋体" w:hAnsi="宋体" w:eastAsia="宋体" w:cs="Times New Roman"/>
          <w:b/>
          <w:kern w:val="0"/>
          <w:sz w:val="28"/>
          <w:szCs w:val="28"/>
        </w:rPr>
      </w:pPr>
      <w:r>
        <w:rPr>
          <w:rFonts w:hint="eastAsia" w:ascii="宋体" w:hAnsi="宋体" w:eastAsia="宋体" w:cs="Times New Roman"/>
          <w:b/>
          <w:kern w:val="0"/>
          <w:sz w:val="28"/>
          <w:szCs w:val="28"/>
        </w:rPr>
        <w:t>六、课程</w:t>
      </w:r>
      <w:r>
        <w:rPr>
          <w:rFonts w:ascii="宋体" w:hAnsi="宋体" w:eastAsia="宋体" w:cs="Times New Roman"/>
          <w:b/>
          <w:kern w:val="0"/>
          <w:sz w:val="28"/>
          <w:szCs w:val="28"/>
        </w:rPr>
        <w:t>考核</w:t>
      </w:r>
    </w:p>
    <w:p w14:paraId="3A838C38">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（一）</w:t>
      </w:r>
      <w:r>
        <w:rPr>
          <w:rFonts w:ascii="宋体" w:hAnsi="宋体" w:eastAsia="宋体" w:cs="Times New Roman"/>
          <w:kern w:val="0"/>
          <w:sz w:val="24"/>
        </w:rPr>
        <w:t>课程考核包括平时成绩</w:t>
      </w:r>
      <w:r>
        <w:rPr>
          <w:rFonts w:hint="eastAsia" w:ascii="宋体" w:hAnsi="宋体" w:eastAsia="宋体" w:cs="Times New Roman"/>
          <w:kern w:val="0"/>
          <w:sz w:val="24"/>
          <w:lang w:eastAsia="zh-CN"/>
        </w:rPr>
        <w:t>和</w:t>
      </w:r>
      <w:r>
        <w:rPr>
          <w:rFonts w:hint="eastAsia" w:ascii="宋体" w:hAnsi="宋体" w:eastAsia="宋体" w:cs="Times New Roman"/>
          <w:kern w:val="0"/>
          <w:sz w:val="24"/>
        </w:rPr>
        <w:t>期末</w:t>
      </w:r>
      <w:r>
        <w:rPr>
          <w:rFonts w:ascii="宋体" w:hAnsi="宋体" w:eastAsia="宋体" w:cs="Times New Roman"/>
          <w:kern w:val="0"/>
          <w:sz w:val="24"/>
        </w:rPr>
        <w:t>考核。</w:t>
      </w:r>
    </w:p>
    <w:p w14:paraId="33323BCB">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（二）</w:t>
      </w:r>
      <w:r>
        <w:rPr>
          <w:rFonts w:ascii="宋体" w:hAnsi="宋体" w:eastAsia="宋体" w:cs="Times New Roman"/>
          <w:kern w:val="0"/>
          <w:sz w:val="24"/>
        </w:rPr>
        <w:t>课程</w:t>
      </w:r>
      <w:r>
        <w:rPr>
          <w:rFonts w:hint="eastAsia" w:ascii="宋体" w:hAnsi="宋体" w:eastAsia="宋体" w:cs="Times New Roman"/>
          <w:kern w:val="0"/>
          <w:sz w:val="24"/>
        </w:rPr>
        <w:t>总评</w:t>
      </w:r>
      <w:r>
        <w:rPr>
          <w:rFonts w:ascii="宋体" w:hAnsi="宋体" w:eastAsia="宋体" w:cs="Times New Roman"/>
          <w:kern w:val="0"/>
          <w:sz w:val="24"/>
        </w:rPr>
        <w:t>成绩=平时成绩×</w:t>
      </w:r>
      <w:r>
        <w:rPr>
          <w:rFonts w:hint="eastAsia" w:ascii="宋体" w:hAnsi="宋体" w:eastAsia="宋体" w:cs="Times New Roman"/>
          <w:kern w:val="0"/>
          <w:sz w:val="24"/>
          <w:lang w:val="en-US" w:eastAsia="zh-CN"/>
        </w:rPr>
        <w:t>5</w:t>
      </w:r>
      <w:r>
        <w:rPr>
          <w:rFonts w:hint="eastAsia" w:ascii="宋体" w:hAnsi="宋体" w:eastAsia="宋体" w:cs="Times New Roman"/>
          <w:kern w:val="0"/>
          <w:sz w:val="24"/>
        </w:rPr>
        <w:t>0</w:t>
      </w:r>
      <w:r>
        <w:rPr>
          <w:rFonts w:ascii="宋体" w:hAnsi="宋体" w:eastAsia="宋体" w:cs="Times New Roman"/>
          <w:kern w:val="0"/>
          <w:sz w:val="24"/>
        </w:rPr>
        <w:t>% +</w:t>
      </w:r>
      <w:r>
        <w:rPr>
          <w:rFonts w:hint="eastAsia" w:ascii="宋体" w:hAnsi="宋体" w:eastAsia="宋体" w:cs="Times New Roman"/>
          <w:kern w:val="0"/>
          <w:sz w:val="24"/>
          <w:lang w:val="en-US" w:eastAsia="zh-CN"/>
        </w:rPr>
        <w:t xml:space="preserve"> </w:t>
      </w:r>
      <w:r>
        <w:rPr>
          <w:rFonts w:ascii="宋体" w:hAnsi="宋体" w:eastAsia="宋体" w:cs="Times New Roman"/>
          <w:kern w:val="0"/>
          <w:sz w:val="24"/>
        </w:rPr>
        <w:t>期末</w:t>
      </w:r>
      <w:r>
        <w:rPr>
          <w:rFonts w:hint="eastAsia" w:ascii="宋体" w:hAnsi="宋体" w:eastAsia="宋体" w:cs="Times New Roman"/>
          <w:kern w:val="0"/>
          <w:sz w:val="24"/>
          <w:lang w:eastAsia="zh-CN"/>
        </w:rPr>
        <w:t>考核</w:t>
      </w:r>
      <w:r>
        <w:rPr>
          <w:rFonts w:ascii="宋体" w:hAnsi="宋体" w:eastAsia="宋体" w:cs="Times New Roman"/>
          <w:kern w:val="0"/>
          <w:sz w:val="24"/>
        </w:rPr>
        <w:t>×</w:t>
      </w:r>
      <w:r>
        <w:rPr>
          <w:rFonts w:hint="eastAsia" w:ascii="宋体" w:hAnsi="宋体" w:eastAsia="宋体" w:cs="Times New Roman"/>
          <w:kern w:val="0"/>
          <w:sz w:val="24"/>
          <w:lang w:val="en-US" w:eastAsia="zh-CN"/>
        </w:rPr>
        <w:t>5</w:t>
      </w:r>
      <w:r>
        <w:rPr>
          <w:rFonts w:hint="eastAsia" w:ascii="宋体" w:hAnsi="宋体" w:eastAsia="宋体" w:cs="Times New Roman"/>
          <w:kern w:val="0"/>
          <w:sz w:val="24"/>
        </w:rPr>
        <w:t>0</w:t>
      </w:r>
      <w:r>
        <w:rPr>
          <w:rFonts w:ascii="宋体" w:hAnsi="宋体" w:eastAsia="宋体" w:cs="Times New Roman"/>
          <w:kern w:val="0"/>
          <w:sz w:val="24"/>
        </w:rPr>
        <w:t>%</w:t>
      </w:r>
    </w:p>
    <w:p w14:paraId="05F55614">
      <w:pPr>
        <w:widowControl/>
        <w:adjustRightInd w:val="0"/>
        <w:snapToGrid w:val="0"/>
        <w:spacing w:line="360" w:lineRule="auto"/>
        <w:ind w:left="0" w:leftChars="0" w:firstLine="420" w:firstLineChars="175"/>
        <w:jc w:val="left"/>
        <w:rPr>
          <w:rFonts w:ascii="宋体" w:hAnsi="宋体" w:eastAsia="宋体" w:cs="Times New Roman"/>
          <w:kern w:val="0"/>
          <w:sz w:val="24"/>
        </w:rPr>
      </w:pPr>
      <w:r>
        <w:rPr>
          <w:rFonts w:ascii="宋体" w:hAnsi="宋体" w:eastAsia="宋体" w:cs="Times New Roman"/>
          <w:kern w:val="0"/>
          <w:sz w:val="24"/>
        </w:rPr>
        <w:t>平时成绩</w:t>
      </w:r>
      <w:r>
        <w:rPr>
          <w:rFonts w:hint="eastAsia" w:ascii="宋体" w:hAnsi="宋体" w:eastAsia="宋体" w:cs="Times New Roman"/>
          <w:kern w:val="0"/>
          <w:sz w:val="24"/>
          <w:lang w:val="en-US" w:eastAsia="zh-CN"/>
        </w:rPr>
        <w:t>=</w:t>
      </w:r>
      <w:r>
        <w:rPr>
          <w:rFonts w:ascii="宋体" w:hAnsi="宋体" w:eastAsia="宋体" w:cs="Times New Roman"/>
          <w:kern w:val="0"/>
          <w:sz w:val="24"/>
        </w:rPr>
        <w:t>平时</w:t>
      </w:r>
      <w:r>
        <w:rPr>
          <w:rFonts w:hint="eastAsia" w:ascii="宋体" w:hAnsi="宋体" w:eastAsia="宋体" w:cs="Times New Roman"/>
          <w:kern w:val="0"/>
          <w:sz w:val="24"/>
          <w:lang w:eastAsia="zh-CN"/>
        </w:rPr>
        <w:t>作业</w:t>
      </w:r>
      <w:r>
        <w:rPr>
          <w:rFonts w:ascii="宋体" w:hAnsi="宋体" w:eastAsia="宋体" w:cs="Times New Roman"/>
          <w:kern w:val="0"/>
          <w:sz w:val="24"/>
        </w:rPr>
        <w:t>×</w:t>
      </w:r>
      <w:r>
        <w:rPr>
          <w:rFonts w:hint="eastAsia" w:ascii="宋体" w:hAnsi="宋体" w:eastAsia="宋体" w:cs="Times New Roman"/>
          <w:kern w:val="0"/>
          <w:sz w:val="24"/>
          <w:lang w:val="en-US" w:eastAsia="zh-CN"/>
        </w:rPr>
        <w:t>2</w:t>
      </w:r>
      <w:r>
        <w:rPr>
          <w:rFonts w:hint="eastAsia" w:ascii="宋体" w:hAnsi="宋体" w:eastAsia="宋体" w:cs="Times New Roman"/>
          <w:kern w:val="0"/>
          <w:sz w:val="24"/>
        </w:rPr>
        <w:t>0</w:t>
      </w:r>
      <w:r>
        <w:rPr>
          <w:rFonts w:ascii="宋体" w:hAnsi="宋体" w:eastAsia="宋体" w:cs="Times New Roman"/>
          <w:kern w:val="0"/>
          <w:sz w:val="24"/>
        </w:rPr>
        <w:t>%</w:t>
      </w:r>
      <w:r>
        <w:rPr>
          <w:rFonts w:hint="eastAsia" w:ascii="宋体" w:hAnsi="宋体" w:eastAsia="宋体" w:cs="Times New Roman"/>
          <w:kern w:val="0"/>
          <w:sz w:val="24"/>
          <w:lang w:val="en-US" w:eastAsia="zh-CN"/>
        </w:rPr>
        <w:t xml:space="preserve"> + </w:t>
      </w:r>
      <w:r>
        <w:rPr>
          <w:rFonts w:ascii="宋体" w:hAnsi="宋体" w:eastAsia="宋体" w:cs="Times New Roman"/>
          <w:kern w:val="0"/>
          <w:sz w:val="24"/>
        </w:rPr>
        <w:t>实验（实践）成绩×</w:t>
      </w:r>
      <w:r>
        <w:rPr>
          <w:rFonts w:hint="eastAsia" w:ascii="宋体" w:hAnsi="宋体" w:eastAsia="宋体" w:cs="Times New Roman"/>
          <w:kern w:val="0"/>
          <w:sz w:val="24"/>
          <w:lang w:val="en-US" w:eastAsia="zh-CN"/>
        </w:rPr>
        <w:t>8</w:t>
      </w:r>
      <w:r>
        <w:rPr>
          <w:rFonts w:ascii="宋体" w:hAnsi="宋体" w:eastAsia="宋体" w:cs="Times New Roman"/>
          <w:kern w:val="0"/>
          <w:sz w:val="24"/>
        </w:rPr>
        <w:t>0%</w:t>
      </w:r>
    </w:p>
    <w:p w14:paraId="0630C5B1">
      <w:pPr>
        <w:widowControl/>
        <w:adjustRightInd w:val="0"/>
        <w:snapToGrid w:val="0"/>
        <w:spacing w:line="360" w:lineRule="auto"/>
        <w:ind w:left="0" w:leftChars="0" w:firstLine="0" w:firstLineChars="0"/>
        <w:jc w:val="left"/>
        <w:rPr>
          <w:rFonts w:ascii="宋体" w:hAnsi="宋体" w:eastAsia="宋体" w:cs="Times New Roman"/>
          <w:kern w:val="0"/>
          <w:sz w:val="24"/>
        </w:rPr>
      </w:pPr>
      <w:r>
        <w:rPr>
          <w:rFonts w:ascii="宋体" w:hAnsi="宋体" w:eastAsia="宋体" w:cs="Times New Roman"/>
          <w:kern w:val="0"/>
          <w:sz w:val="24"/>
        </w:rPr>
        <w:t>具体内容和比例</w:t>
      </w:r>
      <w:r>
        <w:rPr>
          <w:rFonts w:hint="eastAsia" w:ascii="宋体" w:hAnsi="宋体" w:eastAsia="宋体" w:cs="Times New Roman"/>
          <w:kern w:val="0"/>
          <w:sz w:val="24"/>
        </w:rPr>
        <w:t>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764"/>
        <w:gridCol w:w="709"/>
        <w:gridCol w:w="4120"/>
        <w:gridCol w:w="1330"/>
      </w:tblGrid>
      <w:tr w14:paraId="5B5D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3" w:type="dxa"/>
            <w:shd w:val="clear" w:color="auto" w:fill="FFFFFF"/>
            <w:noWrap w:val="0"/>
            <w:tcMar>
              <w:left w:w="57" w:type="dxa"/>
              <w:right w:w="57" w:type="dxa"/>
            </w:tcMar>
            <w:vAlign w:val="center"/>
          </w:tcPr>
          <w:p w14:paraId="63112FA3">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成绩组成</w:t>
            </w:r>
          </w:p>
        </w:tc>
        <w:tc>
          <w:tcPr>
            <w:tcW w:w="1764" w:type="dxa"/>
            <w:shd w:val="clear" w:color="auto" w:fill="FFFFFF"/>
            <w:noWrap w:val="0"/>
            <w:vAlign w:val="center"/>
          </w:tcPr>
          <w:p w14:paraId="3914452D">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考核/</w:t>
            </w:r>
          </w:p>
          <w:p w14:paraId="1AB3C62C">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评价环节</w:t>
            </w:r>
          </w:p>
        </w:tc>
        <w:tc>
          <w:tcPr>
            <w:tcW w:w="709" w:type="dxa"/>
            <w:shd w:val="clear" w:color="auto" w:fill="FFFFFF"/>
            <w:noWrap w:val="0"/>
            <w:vAlign w:val="center"/>
          </w:tcPr>
          <w:p w14:paraId="01509905">
            <w:pPr>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权重</w:t>
            </w:r>
          </w:p>
        </w:tc>
        <w:tc>
          <w:tcPr>
            <w:tcW w:w="4120" w:type="dxa"/>
            <w:shd w:val="clear" w:color="auto" w:fill="FFFFFF"/>
            <w:noWrap w:val="0"/>
            <w:vAlign w:val="center"/>
          </w:tcPr>
          <w:p w14:paraId="0CB4DABC">
            <w:pPr>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考核/评价细则</w:t>
            </w:r>
          </w:p>
        </w:tc>
        <w:tc>
          <w:tcPr>
            <w:tcW w:w="1330" w:type="dxa"/>
            <w:shd w:val="clear" w:color="auto" w:fill="FFFFFF"/>
            <w:noWrap w:val="0"/>
            <w:vAlign w:val="center"/>
          </w:tcPr>
          <w:p w14:paraId="38BAB081">
            <w:pPr>
              <w:spacing w:line="276" w:lineRule="auto"/>
              <w:ind w:left="-107" w:leftChars="-51"/>
              <w:jc w:val="center"/>
              <w:rPr>
                <w:rFonts w:ascii="宋体" w:hAnsi="宋体" w:eastAsia="宋体" w:cs="Times New Roman"/>
                <w:b/>
                <w:bCs/>
                <w:kern w:val="0"/>
                <w:szCs w:val="21"/>
              </w:rPr>
            </w:pPr>
            <w:r>
              <w:rPr>
                <w:rFonts w:ascii="宋体" w:hAnsi="宋体" w:eastAsia="宋体" w:cs="Times New Roman"/>
                <w:b/>
                <w:bCs/>
                <w:kern w:val="0"/>
                <w:szCs w:val="21"/>
              </w:rPr>
              <w:t>对应的毕业要求指标点</w:t>
            </w:r>
          </w:p>
        </w:tc>
      </w:tr>
      <w:tr w14:paraId="23DB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93" w:type="dxa"/>
            <w:noWrap w:val="0"/>
            <w:tcMar>
              <w:left w:w="57" w:type="dxa"/>
              <w:right w:w="57" w:type="dxa"/>
            </w:tcMar>
            <w:vAlign w:val="center"/>
          </w:tcPr>
          <w:p w14:paraId="0D38EB87">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平时成绩</w:t>
            </w:r>
          </w:p>
        </w:tc>
        <w:tc>
          <w:tcPr>
            <w:tcW w:w="1764" w:type="dxa"/>
            <w:noWrap w:val="0"/>
            <w:vAlign w:val="center"/>
          </w:tcPr>
          <w:p w14:paraId="11FAC056">
            <w:pPr>
              <w:widowControl/>
              <w:adjustRightInd w:val="0"/>
              <w:snapToGrid w:val="0"/>
              <w:spacing w:line="276" w:lineRule="auto"/>
              <w:jc w:val="center"/>
              <w:rPr>
                <w:rFonts w:ascii="宋体" w:hAnsi="宋体" w:eastAsia="宋体" w:cs="Times New Roman"/>
                <w:kern w:val="0"/>
                <w:szCs w:val="21"/>
              </w:rPr>
            </w:pPr>
            <w:r>
              <w:rPr>
                <w:rFonts w:ascii="Tahoma" w:hAnsi="Tahoma" w:eastAsia="宋体" w:cs="Times New Roman"/>
                <w:kern w:val="0"/>
                <w:szCs w:val="21"/>
              </w:rPr>
              <w:t>电子（书面）作业+课堂表现</w:t>
            </w:r>
          </w:p>
        </w:tc>
        <w:tc>
          <w:tcPr>
            <w:tcW w:w="709" w:type="dxa"/>
            <w:noWrap w:val="0"/>
            <w:vAlign w:val="center"/>
          </w:tcPr>
          <w:p w14:paraId="12F2ABF0">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10%</w:t>
            </w:r>
          </w:p>
        </w:tc>
        <w:tc>
          <w:tcPr>
            <w:tcW w:w="4120" w:type="dxa"/>
            <w:noWrap w:val="0"/>
            <w:vAlign w:val="center"/>
          </w:tcPr>
          <w:p w14:paraId="70EC0726">
            <w:pPr>
              <w:widowControl/>
              <w:adjustRightInd w:val="0"/>
              <w:snapToGrid w:val="0"/>
              <w:spacing w:line="276" w:lineRule="auto"/>
              <w:jc w:val="left"/>
              <w:rPr>
                <w:rFonts w:ascii="宋体" w:hAnsi="宋体" w:eastAsia="宋体" w:cs="Times New Roman"/>
                <w:kern w:val="0"/>
                <w:szCs w:val="21"/>
              </w:rPr>
            </w:pPr>
            <w:r>
              <w:rPr>
                <w:rFonts w:ascii="Tahoma" w:hAnsi="Tahoma" w:eastAsia="宋体" w:cs="Times New Roman"/>
                <w:kern w:val="0"/>
                <w:szCs w:val="21"/>
              </w:rPr>
              <w:t>教师根据学生完成作业的质量评定相应的成绩。学生出勤及课堂表现与平时成绩挂钩</w:t>
            </w:r>
          </w:p>
        </w:tc>
        <w:tc>
          <w:tcPr>
            <w:tcW w:w="1330" w:type="dxa"/>
            <w:noWrap w:val="0"/>
            <w:vAlign w:val="center"/>
          </w:tcPr>
          <w:p w14:paraId="5BC0C295">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r>
              <w:rPr>
                <w:rFonts w:hint="eastAsia" w:ascii="宋体" w:hAnsi="宋体" w:eastAsia="宋体" w:cs="Times New Roman"/>
                <w:kern w:val="0"/>
                <w:szCs w:val="21"/>
              </w:rPr>
              <w:t>3、</w:t>
            </w:r>
          </w:p>
          <w:p w14:paraId="52A3A2A7">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3.4</w:t>
            </w:r>
            <w:r>
              <w:rPr>
                <w:rFonts w:hint="eastAsia" w:ascii="宋体" w:hAnsi="宋体" w:eastAsia="宋体" w:cs="Times New Roman"/>
                <w:kern w:val="0"/>
                <w:szCs w:val="21"/>
              </w:rPr>
              <w:t>、</w:t>
            </w:r>
            <w:r>
              <w:rPr>
                <w:rFonts w:ascii="宋体" w:hAnsi="宋体" w:eastAsia="宋体" w:cs="Times New Roman"/>
                <w:kern w:val="0"/>
                <w:szCs w:val="21"/>
              </w:rPr>
              <w:t>4.3</w:t>
            </w:r>
          </w:p>
        </w:tc>
      </w:tr>
      <w:tr w14:paraId="348E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193" w:type="dxa"/>
            <w:noWrap w:val="0"/>
            <w:tcMar>
              <w:left w:w="57" w:type="dxa"/>
              <w:right w:w="57" w:type="dxa"/>
            </w:tcMar>
            <w:vAlign w:val="center"/>
          </w:tcPr>
          <w:p w14:paraId="59E05D5F">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实践</w:t>
            </w:r>
            <w:r>
              <w:rPr>
                <w:rFonts w:ascii="宋体" w:hAnsi="宋体" w:eastAsia="宋体" w:cs="Times New Roman"/>
                <w:kern w:val="0"/>
                <w:szCs w:val="21"/>
              </w:rPr>
              <w:t>成绩</w:t>
            </w:r>
          </w:p>
        </w:tc>
        <w:tc>
          <w:tcPr>
            <w:tcW w:w="1764" w:type="dxa"/>
            <w:noWrap w:val="0"/>
            <w:vAlign w:val="center"/>
          </w:tcPr>
          <w:p w14:paraId="7EEAB09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课内实践</w:t>
            </w:r>
          </w:p>
        </w:tc>
        <w:tc>
          <w:tcPr>
            <w:tcW w:w="709" w:type="dxa"/>
            <w:noWrap w:val="0"/>
            <w:vAlign w:val="center"/>
          </w:tcPr>
          <w:p w14:paraId="5EF41FF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 xml:space="preserve">0% </w:t>
            </w:r>
          </w:p>
        </w:tc>
        <w:tc>
          <w:tcPr>
            <w:tcW w:w="4120" w:type="dxa"/>
            <w:noWrap w:val="0"/>
            <w:vAlign w:val="center"/>
          </w:tcPr>
          <w:p w14:paraId="1E11F8AE">
            <w:pPr>
              <w:spacing w:line="276"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按照要求完成素材的采集，各种多媒体应用软件的操作，必须有自己的思想，不得让他人代操作、不能使用网上下载的作品。</w:t>
            </w:r>
            <w:r>
              <w:rPr>
                <w:rFonts w:ascii="Times New Roman" w:hAnsi="Times New Roman" w:eastAsia="宋体" w:cs="Times New Roman"/>
                <w:szCs w:val="21"/>
              </w:rPr>
              <w:t>教师根据学生完成要求的质量评定相应的成绩。</w:t>
            </w:r>
          </w:p>
        </w:tc>
        <w:tc>
          <w:tcPr>
            <w:tcW w:w="1330" w:type="dxa"/>
            <w:noWrap w:val="0"/>
            <w:vAlign w:val="center"/>
          </w:tcPr>
          <w:p w14:paraId="15B05EB6">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r>
              <w:rPr>
                <w:rFonts w:hint="eastAsia" w:ascii="宋体" w:hAnsi="宋体" w:eastAsia="宋体" w:cs="Times New Roman"/>
                <w:kern w:val="0"/>
                <w:szCs w:val="21"/>
              </w:rPr>
              <w:t>3、</w:t>
            </w:r>
          </w:p>
          <w:p w14:paraId="1EE240EB">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3.4</w:t>
            </w:r>
            <w:r>
              <w:rPr>
                <w:rFonts w:hint="eastAsia" w:ascii="宋体" w:hAnsi="宋体" w:eastAsia="宋体" w:cs="Times New Roman"/>
                <w:kern w:val="0"/>
                <w:szCs w:val="21"/>
              </w:rPr>
              <w:t>、</w:t>
            </w:r>
            <w:r>
              <w:rPr>
                <w:rFonts w:ascii="宋体" w:hAnsi="宋体" w:eastAsia="宋体" w:cs="Times New Roman"/>
                <w:kern w:val="0"/>
                <w:szCs w:val="21"/>
              </w:rPr>
              <w:t>4.3</w:t>
            </w:r>
          </w:p>
        </w:tc>
      </w:tr>
      <w:tr w14:paraId="288F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193" w:type="dxa"/>
            <w:noWrap w:val="0"/>
            <w:tcMar>
              <w:left w:w="57" w:type="dxa"/>
              <w:right w:w="57" w:type="dxa"/>
            </w:tcMar>
            <w:vAlign w:val="center"/>
          </w:tcPr>
          <w:p w14:paraId="17C4C16E">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期末考核</w:t>
            </w:r>
          </w:p>
        </w:tc>
        <w:tc>
          <w:tcPr>
            <w:tcW w:w="1764" w:type="dxa"/>
            <w:noWrap w:val="0"/>
            <w:vAlign w:val="center"/>
          </w:tcPr>
          <w:p w14:paraId="0BBEBF0D">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期末考核</w:t>
            </w:r>
          </w:p>
        </w:tc>
        <w:tc>
          <w:tcPr>
            <w:tcW w:w="709" w:type="dxa"/>
            <w:noWrap w:val="0"/>
            <w:vAlign w:val="center"/>
          </w:tcPr>
          <w:p w14:paraId="07AA83FE">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5</w:t>
            </w:r>
            <w:r>
              <w:rPr>
                <w:rFonts w:ascii="宋体" w:hAnsi="宋体" w:eastAsia="宋体" w:cs="Times New Roman"/>
                <w:kern w:val="0"/>
                <w:szCs w:val="21"/>
              </w:rPr>
              <w:t>0%</w:t>
            </w:r>
          </w:p>
        </w:tc>
        <w:tc>
          <w:tcPr>
            <w:tcW w:w="4120" w:type="dxa"/>
            <w:noWrap w:val="0"/>
            <w:vAlign w:val="center"/>
          </w:tcPr>
          <w:p w14:paraId="370E3AF6">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考核主要考察学生针对特定教学任务，充分、合理运用信息技术、数字资源和信息化教学环境进行教学设计和实际教学，并将教学的过程制作成为学习资源的能力。</w:t>
            </w:r>
          </w:p>
        </w:tc>
        <w:tc>
          <w:tcPr>
            <w:tcW w:w="1330" w:type="dxa"/>
            <w:noWrap w:val="0"/>
            <w:vAlign w:val="center"/>
          </w:tcPr>
          <w:p w14:paraId="1DC94C85">
            <w:pPr>
              <w:widowControl/>
              <w:adjustRightInd w:val="0"/>
              <w:snapToGrid w:val="0"/>
              <w:spacing w:line="276" w:lineRule="auto"/>
              <w:jc w:val="left"/>
              <w:rPr>
                <w:rFonts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.1</w:t>
            </w:r>
            <w:r>
              <w:rPr>
                <w:rFonts w:hint="eastAsia" w:ascii="宋体" w:hAnsi="宋体" w:eastAsia="宋体" w:cs="Times New Roman"/>
                <w:kern w:val="0"/>
                <w:szCs w:val="21"/>
              </w:rPr>
              <w:t>、</w:t>
            </w:r>
            <w:r>
              <w:rPr>
                <w:rFonts w:ascii="宋体" w:hAnsi="宋体" w:eastAsia="宋体" w:cs="Times New Roman"/>
                <w:kern w:val="0"/>
                <w:szCs w:val="21"/>
              </w:rPr>
              <w:t>3.</w:t>
            </w:r>
            <w:r>
              <w:rPr>
                <w:rFonts w:hint="eastAsia" w:ascii="宋体" w:hAnsi="宋体" w:eastAsia="宋体" w:cs="Times New Roman"/>
                <w:kern w:val="0"/>
                <w:szCs w:val="21"/>
              </w:rPr>
              <w:t>3、</w:t>
            </w:r>
          </w:p>
          <w:p w14:paraId="7247F5FB">
            <w:pPr>
              <w:widowControl/>
              <w:adjustRightInd w:val="0"/>
              <w:snapToGrid w:val="0"/>
              <w:spacing w:line="276" w:lineRule="auto"/>
              <w:jc w:val="left"/>
              <w:rPr>
                <w:rFonts w:ascii="宋体" w:hAnsi="宋体" w:eastAsia="宋体" w:cs="Times New Roman"/>
                <w:kern w:val="0"/>
                <w:szCs w:val="21"/>
              </w:rPr>
            </w:pPr>
            <w:r>
              <w:rPr>
                <w:rFonts w:ascii="宋体" w:hAnsi="宋体" w:eastAsia="宋体" w:cs="Times New Roman"/>
                <w:kern w:val="0"/>
                <w:szCs w:val="21"/>
              </w:rPr>
              <w:t>3.4</w:t>
            </w:r>
            <w:r>
              <w:rPr>
                <w:rFonts w:hint="eastAsia" w:ascii="宋体" w:hAnsi="宋体" w:eastAsia="宋体" w:cs="Times New Roman"/>
                <w:kern w:val="0"/>
                <w:szCs w:val="21"/>
              </w:rPr>
              <w:t>、</w:t>
            </w:r>
            <w:r>
              <w:rPr>
                <w:rFonts w:ascii="宋体" w:hAnsi="宋体" w:eastAsia="宋体" w:cs="Times New Roman"/>
                <w:kern w:val="0"/>
                <w:szCs w:val="21"/>
              </w:rPr>
              <w:t>4.3</w:t>
            </w:r>
          </w:p>
        </w:tc>
      </w:tr>
    </w:tbl>
    <w:p w14:paraId="3866B0BF">
      <w:pPr>
        <w:widowControl/>
        <w:adjustRightInd w:val="0"/>
        <w:snapToGrid w:val="0"/>
        <w:spacing w:line="276" w:lineRule="auto"/>
        <w:jc w:val="left"/>
        <w:rPr>
          <w:rFonts w:ascii="宋体" w:hAnsi="宋体" w:eastAsia="宋体" w:cs="Times New Roman"/>
          <w:b/>
          <w:bCs/>
          <w:kern w:val="0"/>
          <w:sz w:val="24"/>
          <w:szCs w:val="24"/>
        </w:rPr>
      </w:pPr>
    </w:p>
    <w:p w14:paraId="58F60852">
      <w:pPr>
        <w:widowControl/>
        <w:adjustRightInd w:val="0"/>
        <w:snapToGrid w:val="0"/>
        <w:spacing w:line="276" w:lineRule="auto"/>
        <w:jc w:val="left"/>
        <w:rPr>
          <w:rFonts w:ascii="宋体" w:hAnsi="宋体" w:eastAsia="宋体" w:cs="Times New Roman"/>
          <w:b/>
          <w:bCs/>
          <w:kern w:val="0"/>
          <w:sz w:val="24"/>
          <w:szCs w:val="24"/>
        </w:rPr>
      </w:pPr>
      <w:r>
        <w:rPr>
          <w:rFonts w:ascii="宋体" w:hAnsi="宋体" w:eastAsia="宋体" w:cs="Times New Roman"/>
          <w:b/>
          <w:bCs/>
          <w:kern w:val="0"/>
          <w:sz w:val="24"/>
          <w:szCs w:val="24"/>
        </w:rPr>
        <w:t>（三）</w:t>
      </w:r>
      <w:r>
        <w:rPr>
          <w:rFonts w:hint="eastAsia" w:ascii="宋体" w:hAnsi="宋体" w:eastAsia="宋体" w:cs="Times New Roman"/>
          <w:b/>
          <w:bCs/>
          <w:kern w:val="0"/>
          <w:sz w:val="24"/>
          <w:szCs w:val="24"/>
        </w:rPr>
        <w:t>课程目标及考核方式权重分配表</w:t>
      </w:r>
    </w:p>
    <w:tbl>
      <w:tblPr>
        <w:tblStyle w:val="30"/>
        <w:tblW w:w="0" w:type="auto"/>
        <w:jc w:val="center"/>
        <w:tblLayout w:type="fixed"/>
        <w:tblCellMar>
          <w:top w:w="0" w:type="dxa"/>
          <w:left w:w="108" w:type="dxa"/>
          <w:bottom w:w="0" w:type="dxa"/>
          <w:right w:w="108" w:type="dxa"/>
        </w:tblCellMar>
      </w:tblPr>
      <w:tblGrid>
        <w:gridCol w:w="1985"/>
        <w:gridCol w:w="1418"/>
        <w:gridCol w:w="2268"/>
        <w:gridCol w:w="2158"/>
      </w:tblGrid>
      <w:tr w14:paraId="1274F878">
        <w:tblPrEx>
          <w:tblCellMar>
            <w:top w:w="0" w:type="dxa"/>
            <w:left w:w="108" w:type="dxa"/>
            <w:bottom w:w="0" w:type="dxa"/>
            <w:right w:w="108" w:type="dxa"/>
          </w:tblCellMar>
        </w:tblPrEx>
        <w:trPr>
          <w:trHeight w:val="413" w:hRule="atLeast"/>
          <w:jc w:val="center"/>
        </w:trPr>
        <w:tc>
          <w:tcPr>
            <w:tcW w:w="3403" w:type="dxa"/>
            <w:gridSpan w:val="2"/>
            <w:tcBorders>
              <w:top w:val="single" w:color="auto" w:sz="8" w:space="0"/>
              <w:left w:val="single" w:color="auto" w:sz="8" w:space="0"/>
              <w:bottom w:val="single" w:color="auto" w:sz="8" w:space="0"/>
              <w:right w:val="single" w:color="000000" w:sz="8" w:space="0"/>
            </w:tcBorders>
            <w:noWrap w:val="0"/>
            <w:vAlign w:val="center"/>
          </w:tcPr>
          <w:p w14:paraId="05851D84">
            <w:pPr>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课程目标及权重</w:t>
            </w:r>
          </w:p>
        </w:tc>
        <w:tc>
          <w:tcPr>
            <w:tcW w:w="4426" w:type="dxa"/>
            <w:gridSpan w:val="2"/>
            <w:tcBorders>
              <w:top w:val="single" w:color="auto" w:sz="8" w:space="0"/>
              <w:left w:val="nil"/>
              <w:bottom w:val="single" w:color="auto" w:sz="8" w:space="0"/>
              <w:right w:val="single" w:color="000000" w:sz="8" w:space="0"/>
            </w:tcBorders>
            <w:noWrap w:val="0"/>
            <w:vAlign w:val="center"/>
          </w:tcPr>
          <w:p w14:paraId="76253CD3">
            <w:pPr>
              <w:spacing w:line="276" w:lineRule="auto"/>
              <w:ind w:right="-391" w:rightChars="-186"/>
              <w:jc w:val="center"/>
              <w:rPr>
                <w:rFonts w:ascii="宋体" w:hAnsi="宋体" w:eastAsia="宋体" w:cs="Times New Roman"/>
                <w:b/>
                <w:bCs/>
                <w:kern w:val="0"/>
                <w:szCs w:val="21"/>
              </w:rPr>
            </w:pPr>
            <w:r>
              <w:rPr>
                <w:rFonts w:hint="eastAsia" w:ascii="宋体" w:hAnsi="宋体" w:eastAsia="宋体" w:cs="Times New Roman"/>
                <w:b/>
                <w:bCs/>
                <w:kern w:val="0"/>
                <w:szCs w:val="21"/>
              </w:rPr>
              <w:t>考核方式及权重</w:t>
            </w:r>
          </w:p>
        </w:tc>
      </w:tr>
      <w:tr w14:paraId="02202F8D">
        <w:tblPrEx>
          <w:tblCellMar>
            <w:top w:w="0" w:type="dxa"/>
            <w:left w:w="108" w:type="dxa"/>
            <w:bottom w:w="0" w:type="dxa"/>
            <w:right w:w="108" w:type="dxa"/>
          </w:tblCellMar>
        </w:tblPrEx>
        <w:trPr>
          <w:trHeight w:val="356" w:hRule="atLeast"/>
          <w:jc w:val="center"/>
        </w:trPr>
        <w:tc>
          <w:tcPr>
            <w:tcW w:w="1985" w:type="dxa"/>
            <w:tcBorders>
              <w:top w:val="nil"/>
              <w:left w:val="single" w:color="auto" w:sz="8" w:space="0"/>
              <w:bottom w:val="single" w:color="auto" w:sz="8" w:space="0"/>
              <w:right w:val="single" w:color="auto" w:sz="8" w:space="0"/>
            </w:tcBorders>
            <w:noWrap w:val="0"/>
            <w:vAlign w:val="center"/>
          </w:tcPr>
          <w:p w14:paraId="153020E1">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418" w:type="dxa"/>
            <w:tcBorders>
              <w:top w:val="nil"/>
              <w:left w:val="nil"/>
              <w:bottom w:val="single" w:color="auto" w:sz="8" w:space="0"/>
              <w:right w:val="single" w:color="auto" w:sz="8" w:space="0"/>
            </w:tcBorders>
            <w:noWrap w:val="0"/>
            <w:vAlign w:val="center"/>
          </w:tcPr>
          <w:p w14:paraId="050961D3">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268" w:type="dxa"/>
            <w:tcBorders>
              <w:top w:val="nil"/>
              <w:left w:val="nil"/>
              <w:bottom w:val="single" w:color="auto" w:sz="8" w:space="0"/>
              <w:right w:val="single" w:color="auto" w:sz="8" w:space="0"/>
            </w:tcBorders>
            <w:noWrap w:val="0"/>
            <w:vAlign w:val="center"/>
          </w:tcPr>
          <w:p w14:paraId="7045D637">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158" w:type="dxa"/>
            <w:tcBorders>
              <w:top w:val="nil"/>
              <w:left w:val="nil"/>
              <w:bottom w:val="single" w:color="auto" w:sz="8" w:space="0"/>
              <w:right w:val="single" w:color="auto" w:sz="8" w:space="0"/>
            </w:tcBorders>
            <w:noWrap w:val="0"/>
            <w:vAlign w:val="center"/>
          </w:tcPr>
          <w:p w14:paraId="1FF3FFCE">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r>
      <w:tr w14:paraId="40637073">
        <w:tblPrEx>
          <w:tblCellMar>
            <w:top w:w="0" w:type="dxa"/>
            <w:left w:w="108" w:type="dxa"/>
            <w:bottom w:w="0" w:type="dxa"/>
            <w:right w:w="108" w:type="dxa"/>
          </w:tblCellMar>
        </w:tblPrEx>
        <w:trPr>
          <w:trHeight w:val="340" w:hRule="atLeast"/>
          <w:jc w:val="center"/>
        </w:trPr>
        <w:tc>
          <w:tcPr>
            <w:tcW w:w="1985" w:type="dxa"/>
            <w:vMerge w:val="restart"/>
            <w:tcBorders>
              <w:top w:val="nil"/>
              <w:left w:val="single" w:color="auto" w:sz="8" w:space="0"/>
              <w:right w:val="single" w:color="auto" w:sz="8" w:space="0"/>
            </w:tcBorders>
            <w:noWrap w:val="0"/>
            <w:vAlign w:val="center"/>
          </w:tcPr>
          <w:p w14:paraId="6AF22981">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418" w:type="dxa"/>
            <w:vMerge w:val="restart"/>
            <w:tcBorders>
              <w:top w:val="nil"/>
              <w:left w:val="single" w:color="auto" w:sz="8" w:space="0"/>
              <w:right w:val="single" w:color="auto" w:sz="8" w:space="0"/>
            </w:tcBorders>
            <w:noWrap w:val="0"/>
            <w:vAlign w:val="center"/>
          </w:tcPr>
          <w:p w14:paraId="60BA0AD7">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0%</w:t>
            </w:r>
          </w:p>
        </w:tc>
        <w:tc>
          <w:tcPr>
            <w:tcW w:w="2268" w:type="dxa"/>
            <w:tcBorders>
              <w:top w:val="nil"/>
              <w:left w:val="nil"/>
              <w:bottom w:val="single" w:color="auto" w:sz="8" w:space="0"/>
              <w:right w:val="single" w:color="auto" w:sz="8" w:space="0"/>
            </w:tcBorders>
            <w:noWrap w:val="0"/>
            <w:vAlign w:val="center"/>
          </w:tcPr>
          <w:p w14:paraId="171E2148">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作业+课堂表现</w:t>
            </w:r>
          </w:p>
        </w:tc>
        <w:tc>
          <w:tcPr>
            <w:tcW w:w="2158" w:type="dxa"/>
            <w:tcBorders>
              <w:top w:val="nil"/>
              <w:left w:val="nil"/>
              <w:bottom w:val="single" w:color="auto" w:sz="8" w:space="0"/>
              <w:right w:val="single" w:color="auto" w:sz="8" w:space="0"/>
            </w:tcBorders>
            <w:noWrap w:val="0"/>
            <w:vAlign w:val="center"/>
          </w:tcPr>
          <w:p w14:paraId="43B698D3">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30</w:t>
            </w:r>
            <w:r>
              <w:rPr>
                <w:rFonts w:hint="eastAsia" w:ascii="宋体" w:hAnsi="宋体" w:eastAsia="宋体" w:cs="Times New Roman"/>
                <w:kern w:val="0"/>
                <w:szCs w:val="21"/>
              </w:rPr>
              <w:t>%</w:t>
            </w:r>
            <w:r>
              <w:rPr>
                <w:rFonts w:ascii="宋体" w:hAnsi="宋体" w:eastAsia="宋体" w:cs="Times New Roman"/>
                <w:kern w:val="0"/>
                <w:szCs w:val="21"/>
              </w:rPr>
              <w:t xml:space="preserve"> </w:t>
            </w:r>
          </w:p>
        </w:tc>
      </w:tr>
      <w:tr w14:paraId="0CB5CADF">
        <w:tblPrEx>
          <w:tblCellMar>
            <w:top w:w="0" w:type="dxa"/>
            <w:left w:w="108" w:type="dxa"/>
            <w:bottom w:w="0" w:type="dxa"/>
            <w:right w:w="108" w:type="dxa"/>
          </w:tblCellMar>
        </w:tblPrEx>
        <w:trPr>
          <w:trHeight w:val="340" w:hRule="atLeast"/>
          <w:jc w:val="center"/>
        </w:trPr>
        <w:tc>
          <w:tcPr>
            <w:tcW w:w="1985" w:type="dxa"/>
            <w:vMerge w:val="continue"/>
            <w:tcBorders>
              <w:left w:val="single" w:color="auto" w:sz="8" w:space="0"/>
              <w:bottom w:val="single" w:color="000000" w:sz="8" w:space="0"/>
              <w:right w:val="single" w:color="auto" w:sz="8" w:space="0"/>
            </w:tcBorders>
            <w:noWrap w:val="0"/>
            <w:vAlign w:val="center"/>
          </w:tcPr>
          <w:p w14:paraId="45AC1B7E">
            <w:pPr>
              <w:widowControl/>
              <w:adjustRightInd w:val="0"/>
              <w:snapToGrid w:val="0"/>
              <w:spacing w:line="276" w:lineRule="auto"/>
              <w:jc w:val="center"/>
              <w:rPr>
                <w:rFonts w:ascii="宋体" w:hAnsi="宋体" w:eastAsia="宋体" w:cs="Times New Roman"/>
                <w:kern w:val="0"/>
                <w:szCs w:val="21"/>
              </w:rPr>
            </w:pPr>
          </w:p>
        </w:tc>
        <w:tc>
          <w:tcPr>
            <w:tcW w:w="1418" w:type="dxa"/>
            <w:vMerge w:val="continue"/>
            <w:tcBorders>
              <w:left w:val="single" w:color="auto" w:sz="8" w:space="0"/>
              <w:bottom w:val="single" w:color="000000" w:sz="8" w:space="0"/>
              <w:right w:val="single" w:color="auto" w:sz="8" w:space="0"/>
            </w:tcBorders>
            <w:noWrap w:val="0"/>
            <w:vAlign w:val="center"/>
          </w:tcPr>
          <w:p w14:paraId="38DB84FB">
            <w:pPr>
              <w:widowControl/>
              <w:adjustRightInd w:val="0"/>
              <w:snapToGrid w:val="0"/>
              <w:spacing w:line="276" w:lineRule="auto"/>
              <w:jc w:val="center"/>
              <w:rPr>
                <w:rFonts w:ascii="宋体" w:hAnsi="宋体" w:eastAsia="宋体" w:cs="Times New Roman"/>
                <w:kern w:val="0"/>
                <w:szCs w:val="21"/>
              </w:rPr>
            </w:pPr>
          </w:p>
        </w:tc>
        <w:tc>
          <w:tcPr>
            <w:tcW w:w="2268" w:type="dxa"/>
            <w:tcBorders>
              <w:top w:val="nil"/>
              <w:left w:val="nil"/>
              <w:bottom w:val="single" w:color="auto" w:sz="8" w:space="0"/>
              <w:right w:val="single" w:color="auto" w:sz="8" w:space="0"/>
            </w:tcBorders>
            <w:noWrap w:val="0"/>
            <w:vAlign w:val="center"/>
          </w:tcPr>
          <w:p w14:paraId="05714AA0">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课内实践</w:t>
            </w:r>
          </w:p>
        </w:tc>
        <w:tc>
          <w:tcPr>
            <w:tcW w:w="2158" w:type="dxa"/>
            <w:tcBorders>
              <w:top w:val="nil"/>
              <w:left w:val="nil"/>
              <w:bottom w:val="single" w:color="auto" w:sz="8" w:space="0"/>
              <w:right w:val="single" w:color="auto" w:sz="8" w:space="0"/>
            </w:tcBorders>
            <w:noWrap w:val="0"/>
            <w:vAlign w:val="center"/>
          </w:tcPr>
          <w:p w14:paraId="4A70ECA9">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70</w:t>
            </w:r>
            <w:r>
              <w:rPr>
                <w:rFonts w:hint="eastAsia" w:ascii="宋体" w:hAnsi="宋体" w:eastAsia="宋体" w:cs="Times New Roman"/>
                <w:kern w:val="0"/>
                <w:szCs w:val="21"/>
              </w:rPr>
              <w:t>%</w:t>
            </w:r>
          </w:p>
        </w:tc>
      </w:tr>
      <w:tr w14:paraId="0BAD19E7">
        <w:tblPrEx>
          <w:tblCellMar>
            <w:top w:w="0" w:type="dxa"/>
            <w:left w:w="108" w:type="dxa"/>
            <w:bottom w:w="0" w:type="dxa"/>
            <w:right w:w="108" w:type="dxa"/>
          </w:tblCellMar>
        </w:tblPrEx>
        <w:trPr>
          <w:trHeight w:val="340" w:hRule="atLeast"/>
          <w:jc w:val="center"/>
        </w:trPr>
        <w:tc>
          <w:tcPr>
            <w:tcW w:w="1985" w:type="dxa"/>
            <w:vMerge w:val="restart"/>
            <w:tcBorders>
              <w:top w:val="nil"/>
              <w:left w:val="single" w:color="auto" w:sz="8" w:space="0"/>
              <w:bottom w:val="single" w:color="000000" w:sz="8" w:space="0"/>
              <w:right w:val="single" w:color="auto" w:sz="8" w:space="0"/>
            </w:tcBorders>
            <w:noWrap w:val="0"/>
            <w:vAlign w:val="center"/>
          </w:tcPr>
          <w:p w14:paraId="704CD66B">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418" w:type="dxa"/>
            <w:vMerge w:val="restart"/>
            <w:tcBorders>
              <w:top w:val="nil"/>
              <w:left w:val="single" w:color="auto" w:sz="8" w:space="0"/>
              <w:bottom w:val="single" w:color="000000" w:sz="8" w:space="0"/>
              <w:right w:val="single" w:color="auto" w:sz="8" w:space="0"/>
            </w:tcBorders>
            <w:noWrap w:val="0"/>
            <w:vAlign w:val="center"/>
          </w:tcPr>
          <w:p w14:paraId="27AF2A52">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50</w:t>
            </w:r>
            <w:r>
              <w:rPr>
                <w:rFonts w:hint="eastAsia" w:ascii="宋体" w:hAnsi="宋体" w:eastAsia="宋体" w:cs="Times New Roman"/>
                <w:kern w:val="0"/>
                <w:szCs w:val="21"/>
              </w:rPr>
              <w:t>%</w:t>
            </w:r>
          </w:p>
        </w:tc>
        <w:tc>
          <w:tcPr>
            <w:tcW w:w="2268" w:type="dxa"/>
            <w:tcBorders>
              <w:top w:val="nil"/>
              <w:left w:val="nil"/>
              <w:bottom w:val="single" w:color="auto" w:sz="8" w:space="0"/>
              <w:right w:val="single" w:color="auto" w:sz="8" w:space="0"/>
            </w:tcBorders>
            <w:noWrap w:val="0"/>
            <w:vAlign w:val="center"/>
          </w:tcPr>
          <w:p w14:paraId="066274B4">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作业+课堂表现</w:t>
            </w:r>
          </w:p>
        </w:tc>
        <w:tc>
          <w:tcPr>
            <w:tcW w:w="2158" w:type="dxa"/>
            <w:tcBorders>
              <w:top w:val="nil"/>
              <w:left w:val="nil"/>
              <w:bottom w:val="single" w:color="auto" w:sz="8" w:space="0"/>
              <w:right w:val="single" w:color="auto" w:sz="8" w:space="0"/>
            </w:tcBorders>
            <w:noWrap w:val="0"/>
            <w:vAlign w:val="center"/>
          </w:tcPr>
          <w:p w14:paraId="4DA1D987">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0%</w:t>
            </w:r>
            <w:r>
              <w:rPr>
                <w:rFonts w:ascii="宋体" w:hAnsi="宋体" w:eastAsia="宋体" w:cs="Times New Roman"/>
                <w:kern w:val="0"/>
                <w:szCs w:val="21"/>
              </w:rPr>
              <w:t xml:space="preserve"> </w:t>
            </w:r>
          </w:p>
        </w:tc>
      </w:tr>
      <w:tr w14:paraId="16F798D1">
        <w:tblPrEx>
          <w:tblCellMar>
            <w:top w:w="0" w:type="dxa"/>
            <w:left w:w="108" w:type="dxa"/>
            <w:bottom w:w="0" w:type="dxa"/>
            <w:right w:w="108" w:type="dxa"/>
          </w:tblCellMar>
        </w:tblPrEx>
        <w:trPr>
          <w:trHeight w:val="340" w:hRule="atLeast"/>
          <w:jc w:val="center"/>
        </w:trPr>
        <w:tc>
          <w:tcPr>
            <w:tcW w:w="1985" w:type="dxa"/>
            <w:vMerge w:val="continue"/>
            <w:tcBorders>
              <w:top w:val="nil"/>
              <w:left w:val="single" w:color="auto" w:sz="8" w:space="0"/>
              <w:bottom w:val="single" w:color="000000" w:sz="8" w:space="0"/>
              <w:right w:val="single" w:color="auto" w:sz="8" w:space="0"/>
            </w:tcBorders>
            <w:noWrap w:val="0"/>
            <w:vAlign w:val="center"/>
          </w:tcPr>
          <w:p w14:paraId="5314EEB0">
            <w:pPr>
              <w:widowControl/>
              <w:adjustRightInd w:val="0"/>
              <w:snapToGrid w:val="0"/>
              <w:spacing w:line="276" w:lineRule="auto"/>
              <w:jc w:val="left"/>
              <w:rPr>
                <w:rFonts w:ascii="宋体" w:hAnsi="宋体" w:eastAsia="宋体" w:cs="Times New Roman"/>
                <w:kern w:val="0"/>
                <w:szCs w:val="21"/>
              </w:rPr>
            </w:pPr>
          </w:p>
        </w:tc>
        <w:tc>
          <w:tcPr>
            <w:tcW w:w="1418" w:type="dxa"/>
            <w:vMerge w:val="continue"/>
            <w:tcBorders>
              <w:top w:val="nil"/>
              <w:left w:val="single" w:color="auto" w:sz="8" w:space="0"/>
              <w:bottom w:val="single" w:color="000000" w:sz="8" w:space="0"/>
              <w:right w:val="single" w:color="auto" w:sz="8" w:space="0"/>
            </w:tcBorders>
            <w:noWrap w:val="0"/>
            <w:vAlign w:val="center"/>
          </w:tcPr>
          <w:p w14:paraId="77C1B1E6">
            <w:pPr>
              <w:widowControl/>
              <w:adjustRightInd w:val="0"/>
              <w:snapToGrid w:val="0"/>
              <w:spacing w:line="276" w:lineRule="auto"/>
              <w:jc w:val="left"/>
              <w:rPr>
                <w:rFonts w:ascii="宋体" w:hAnsi="宋体" w:eastAsia="宋体" w:cs="Times New Roman"/>
                <w:kern w:val="0"/>
                <w:szCs w:val="21"/>
              </w:rPr>
            </w:pPr>
          </w:p>
        </w:tc>
        <w:tc>
          <w:tcPr>
            <w:tcW w:w="2268" w:type="dxa"/>
            <w:tcBorders>
              <w:top w:val="nil"/>
              <w:left w:val="nil"/>
              <w:bottom w:val="single" w:color="auto" w:sz="8" w:space="0"/>
              <w:right w:val="single" w:color="auto" w:sz="8" w:space="0"/>
            </w:tcBorders>
            <w:noWrap w:val="0"/>
            <w:vAlign w:val="center"/>
          </w:tcPr>
          <w:p w14:paraId="118F96A7">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课内实践</w:t>
            </w:r>
          </w:p>
        </w:tc>
        <w:tc>
          <w:tcPr>
            <w:tcW w:w="2158" w:type="dxa"/>
            <w:tcBorders>
              <w:top w:val="nil"/>
              <w:left w:val="nil"/>
              <w:bottom w:val="single" w:color="auto" w:sz="8" w:space="0"/>
              <w:right w:val="single" w:color="auto" w:sz="8" w:space="0"/>
            </w:tcBorders>
            <w:noWrap w:val="0"/>
            <w:vAlign w:val="center"/>
          </w:tcPr>
          <w:p w14:paraId="5B281B6F">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7</w:t>
            </w:r>
            <w:r>
              <w:rPr>
                <w:rFonts w:hint="eastAsia" w:ascii="宋体" w:hAnsi="宋体" w:eastAsia="宋体" w:cs="Times New Roman"/>
                <w:kern w:val="0"/>
                <w:szCs w:val="21"/>
              </w:rPr>
              <w:t>0%</w:t>
            </w:r>
          </w:p>
        </w:tc>
      </w:tr>
      <w:tr w14:paraId="753312A7">
        <w:tblPrEx>
          <w:tblCellMar>
            <w:top w:w="0" w:type="dxa"/>
            <w:left w:w="108" w:type="dxa"/>
            <w:bottom w:w="0" w:type="dxa"/>
            <w:right w:w="108" w:type="dxa"/>
          </w:tblCellMar>
        </w:tblPrEx>
        <w:trPr>
          <w:trHeight w:val="340"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41A0115">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418" w:type="dxa"/>
            <w:vMerge w:val="restart"/>
            <w:tcBorders>
              <w:top w:val="single" w:color="auto" w:sz="4" w:space="0"/>
              <w:left w:val="single" w:color="auto" w:sz="4" w:space="0"/>
              <w:bottom w:val="single" w:color="auto" w:sz="4" w:space="0"/>
              <w:right w:val="single" w:color="auto" w:sz="4" w:space="0"/>
            </w:tcBorders>
            <w:noWrap w:val="0"/>
            <w:vAlign w:val="center"/>
          </w:tcPr>
          <w:p w14:paraId="318FB384">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30</w:t>
            </w:r>
            <w:r>
              <w:rPr>
                <w:rFonts w:hint="eastAsia" w:ascii="宋体" w:hAnsi="宋体" w:eastAsia="宋体" w:cs="Times New Roman"/>
                <w:kern w:val="0"/>
                <w:szCs w:val="21"/>
              </w:rPr>
              <w:t>%</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F3D0141">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作业+课堂表现</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230D740E">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0%</w:t>
            </w:r>
          </w:p>
        </w:tc>
      </w:tr>
      <w:tr w14:paraId="7BD5FBE1">
        <w:tblPrEx>
          <w:tblCellMar>
            <w:top w:w="0" w:type="dxa"/>
            <w:left w:w="108" w:type="dxa"/>
            <w:bottom w:w="0" w:type="dxa"/>
            <w:right w:w="108" w:type="dxa"/>
          </w:tblCellMar>
        </w:tblPrEx>
        <w:trPr>
          <w:trHeight w:val="77"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D2C18CC">
            <w:pPr>
              <w:widowControl/>
              <w:adjustRightInd w:val="0"/>
              <w:snapToGrid w:val="0"/>
              <w:spacing w:line="276" w:lineRule="auto"/>
              <w:jc w:val="left"/>
              <w:rPr>
                <w:rFonts w:ascii="宋体" w:hAnsi="宋体" w:eastAsia="宋体" w:cs="Times New Roman"/>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noWrap w:val="0"/>
            <w:vAlign w:val="center"/>
          </w:tcPr>
          <w:p w14:paraId="69B899B7">
            <w:pPr>
              <w:widowControl/>
              <w:adjustRightInd w:val="0"/>
              <w:snapToGrid w:val="0"/>
              <w:spacing w:line="276" w:lineRule="auto"/>
              <w:jc w:val="left"/>
              <w:rPr>
                <w:rFonts w:ascii="宋体" w:hAnsi="宋体" w:eastAsia="宋体" w:cs="Times New Roman"/>
                <w:kern w:val="0"/>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1CAFB31">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课内实践</w:t>
            </w:r>
          </w:p>
        </w:tc>
        <w:tc>
          <w:tcPr>
            <w:tcW w:w="2158" w:type="dxa"/>
            <w:tcBorders>
              <w:top w:val="single" w:color="auto" w:sz="4" w:space="0"/>
              <w:left w:val="single" w:color="auto" w:sz="4" w:space="0"/>
              <w:bottom w:val="single" w:color="auto" w:sz="4" w:space="0"/>
              <w:right w:val="single" w:color="auto" w:sz="4" w:space="0"/>
            </w:tcBorders>
            <w:noWrap w:val="0"/>
            <w:vAlign w:val="center"/>
          </w:tcPr>
          <w:p w14:paraId="470FBB7C">
            <w:pPr>
              <w:widowControl/>
              <w:adjustRightInd w:val="0"/>
              <w:snapToGrid w:val="0"/>
              <w:spacing w:line="276" w:lineRule="auto"/>
              <w:jc w:val="center"/>
              <w:rPr>
                <w:rFonts w:ascii="宋体" w:hAnsi="宋体" w:eastAsia="宋体" w:cs="Times New Roman"/>
                <w:kern w:val="0"/>
                <w:szCs w:val="21"/>
              </w:rPr>
            </w:pPr>
            <w:r>
              <w:rPr>
                <w:rFonts w:ascii="宋体" w:hAnsi="宋体" w:eastAsia="宋体" w:cs="Times New Roman"/>
                <w:kern w:val="0"/>
                <w:szCs w:val="21"/>
              </w:rPr>
              <w:t>7</w:t>
            </w:r>
            <w:r>
              <w:rPr>
                <w:rFonts w:hint="eastAsia" w:ascii="宋体" w:hAnsi="宋体" w:eastAsia="宋体" w:cs="Times New Roman"/>
                <w:kern w:val="0"/>
                <w:szCs w:val="21"/>
              </w:rPr>
              <w:t>0%</w:t>
            </w:r>
          </w:p>
        </w:tc>
      </w:tr>
      <w:tr w14:paraId="176BA093">
        <w:tblPrEx>
          <w:tblCellMar>
            <w:top w:w="0" w:type="dxa"/>
            <w:left w:w="108" w:type="dxa"/>
            <w:bottom w:w="0" w:type="dxa"/>
            <w:right w:w="108" w:type="dxa"/>
          </w:tblCellMar>
        </w:tblPrEx>
        <w:trPr>
          <w:trHeight w:val="549"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FF5D467">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70194EB">
            <w:pPr>
              <w:widowControl/>
              <w:adjustRightInd w:val="0"/>
              <w:snapToGrid w:val="0"/>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4426" w:type="dxa"/>
            <w:gridSpan w:val="2"/>
            <w:tcBorders>
              <w:top w:val="single" w:color="auto" w:sz="4" w:space="0"/>
              <w:left w:val="single" w:color="auto" w:sz="4" w:space="0"/>
              <w:bottom w:val="single" w:color="auto" w:sz="4" w:space="0"/>
              <w:right w:val="single" w:color="auto" w:sz="4" w:space="0"/>
            </w:tcBorders>
            <w:noWrap w:val="0"/>
            <w:vAlign w:val="center"/>
          </w:tcPr>
          <w:p w14:paraId="53C7496C">
            <w:pPr>
              <w:widowControl/>
              <w:adjustRightInd w:val="0"/>
              <w:snapToGrid w:val="0"/>
              <w:spacing w:line="276" w:lineRule="auto"/>
              <w:jc w:val="center"/>
              <w:rPr>
                <w:rFonts w:ascii="宋体" w:hAnsi="宋体" w:eastAsia="宋体" w:cs="Times New Roman"/>
                <w:kern w:val="0"/>
                <w:szCs w:val="21"/>
              </w:rPr>
            </w:pPr>
          </w:p>
        </w:tc>
      </w:tr>
    </w:tbl>
    <w:p w14:paraId="6CFC163E">
      <w:pPr>
        <w:widowControl/>
        <w:adjustRightInd w:val="0"/>
        <w:snapToGrid w:val="0"/>
        <w:spacing w:line="360" w:lineRule="auto"/>
        <w:jc w:val="left"/>
        <w:rPr>
          <w:rFonts w:ascii="宋体" w:hAnsi="宋体" w:eastAsia="宋体" w:cs="Times New Roman"/>
          <w:kern w:val="0"/>
          <w:sz w:val="24"/>
        </w:rPr>
      </w:pPr>
    </w:p>
    <w:p w14:paraId="6E34C7B1">
      <w:pPr>
        <w:widowControl/>
        <w:adjustRightInd w:val="0"/>
        <w:snapToGrid w:val="0"/>
        <w:spacing w:line="360" w:lineRule="auto"/>
        <w:ind w:left="0" w:leftChars="0" w:firstLine="0" w:firstLineChars="0"/>
        <w:jc w:val="left"/>
        <w:rPr>
          <w:rFonts w:ascii="宋体" w:hAnsi="宋体" w:eastAsia="宋体" w:cs="Times New Roman"/>
          <w:b/>
          <w:bCs/>
          <w:kern w:val="0"/>
          <w:sz w:val="24"/>
        </w:rPr>
      </w:pPr>
      <w:r>
        <w:rPr>
          <w:rFonts w:hint="eastAsia" w:ascii="宋体" w:hAnsi="宋体" w:eastAsia="宋体" w:cs="Times New Roman"/>
          <w:b/>
          <w:bCs/>
          <w:kern w:val="0"/>
          <w:sz w:val="24"/>
        </w:rPr>
        <w:t>（四）</w:t>
      </w:r>
      <w:r>
        <w:rPr>
          <w:rFonts w:ascii="宋体" w:hAnsi="宋体" w:eastAsia="宋体" w:cs="Times New Roman"/>
          <w:b/>
          <w:bCs/>
          <w:kern w:val="0"/>
          <w:sz w:val="24"/>
        </w:rPr>
        <w:t>课程目标达成度计算方法</w:t>
      </w:r>
    </w:p>
    <w:p w14:paraId="7F717705">
      <w:pPr>
        <w:widowControl/>
        <w:adjustRightInd w:val="0"/>
        <w:snapToGrid w:val="0"/>
        <w:spacing w:line="360" w:lineRule="auto"/>
        <w:ind w:firstLine="480"/>
        <w:jc w:val="left"/>
        <w:rPr>
          <w:rFonts w:ascii="宋体" w:hAnsi="宋体" w:eastAsia="宋体" w:cs="Times New Roman"/>
          <w:kern w:val="0"/>
          <w:sz w:val="24"/>
        </w:rPr>
      </w:pPr>
      <w:r>
        <w:rPr>
          <w:rFonts w:ascii="宋体" w:hAnsi="宋体" w:eastAsia="宋体" w:cs="Times New Roman"/>
          <w:kern w:val="0"/>
          <w:sz w:val="24"/>
        </w:rPr>
        <w:t>所有课程目标均</w:t>
      </w:r>
      <w:r>
        <w:rPr>
          <w:rFonts w:hint="eastAsia" w:ascii="宋体" w:hAnsi="宋体" w:eastAsia="宋体" w:cs="Times New Roman"/>
          <w:kern w:val="0"/>
          <w:sz w:val="24"/>
        </w:rPr>
        <w:t>需</w:t>
      </w:r>
      <w:r>
        <w:rPr>
          <w:rFonts w:ascii="宋体" w:hAnsi="宋体" w:eastAsia="宋体" w:cs="Times New Roman"/>
          <w:kern w:val="0"/>
          <w:sz w:val="24"/>
        </w:rPr>
        <w:t>大于等于0.6，否则总评成绩不及格，需要重</w:t>
      </w:r>
      <w:r>
        <w:rPr>
          <w:rFonts w:hint="eastAsia" w:ascii="宋体" w:hAnsi="宋体" w:eastAsia="宋体" w:cs="Times New Roman"/>
          <w:kern w:val="0"/>
          <w:sz w:val="24"/>
        </w:rPr>
        <w:t>修。</w:t>
      </w:r>
      <w:r>
        <w:rPr>
          <w:rFonts w:ascii="宋体" w:hAnsi="宋体" w:eastAsia="宋体" w:cs="Times New Roman"/>
          <w:kern w:val="0"/>
          <w:sz w:val="24"/>
        </w:rPr>
        <w:t>每</w:t>
      </w:r>
      <w:r>
        <w:rPr>
          <w:rFonts w:hint="eastAsia" w:ascii="宋体" w:hAnsi="宋体" w:eastAsia="宋体" w:cs="Times New Roman"/>
          <w:kern w:val="0"/>
          <w:sz w:val="24"/>
        </w:rPr>
        <w:t>门</w:t>
      </w:r>
      <w:r>
        <w:rPr>
          <w:rFonts w:ascii="宋体" w:hAnsi="宋体" w:eastAsia="宋体" w:cs="Times New Roman"/>
          <w:kern w:val="0"/>
          <w:sz w:val="24"/>
        </w:rPr>
        <w:t>课程目标</w:t>
      </w:r>
      <w:r>
        <w:rPr>
          <w:rFonts w:hint="eastAsia" w:ascii="宋体" w:hAnsi="宋体" w:eastAsia="宋体" w:cs="Times New Roman"/>
          <w:kern w:val="0"/>
          <w:sz w:val="24"/>
        </w:rPr>
        <w:t>总体</w:t>
      </w:r>
      <w:r>
        <w:rPr>
          <w:rFonts w:ascii="宋体" w:hAnsi="宋体" w:eastAsia="宋体" w:cs="Times New Roman"/>
          <w:kern w:val="0"/>
          <w:sz w:val="24"/>
        </w:rPr>
        <w:t>达成度计算方法如下：</w:t>
      </w:r>
    </w:p>
    <w:p w14:paraId="7554C30A">
      <w:pPr>
        <w:widowControl/>
        <w:adjustRightInd w:val="0"/>
        <w:snapToGrid w:val="0"/>
        <w:spacing w:line="360" w:lineRule="auto"/>
        <w:jc w:val="left"/>
        <w:rPr>
          <w:rFonts w:ascii="宋体" w:hAnsi="宋体" w:eastAsia="宋体" w:cs="Times New Roman"/>
          <w:kern w:val="0"/>
          <w:sz w:val="24"/>
        </w:rPr>
      </w:pPr>
      <w:r>
        <w:rPr>
          <w:rFonts w:ascii="宋体" w:hAnsi="宋体" w:eastAsia="宋体" w:cs="Times New Roman"/>
          <w:kern w:val="0"/>
          <w:sz w:val="24"/>
        </w:rPr>
        <w:drawing>
          <wp:inline distT="0" distB="0" distL="114300" distR="114300">
            <wp:extent cx="5763260" cy="361950"/>
            <wp:effectExtent l="0" t="0" r="254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5"/>
                    <a:stretch>
                      <a:fillRect/>
                    </a:stretch>
                  </pic:blipFill>
                  <pic:spPr>
                    <a:xfrm>
                      <a:off x="0" y="0"/>
                      <a:ext cx="5763260" cy="361950"/>
                    </a:xfrm>
                    <a:prstGeom prst="rect">
                      <a:avLst/>
                    </a:prstGeom>
                    <a:noFill/>
                    <a:ln>
                      <a:noFill/>
                    </a:ln>
                  </pic:spPr>
                </pic:pic>
              </a:graphicData>
            </a:graphic>
          </wp:inline>
        </w:drawing>
      </w:r>
    </w:p>
    <w:p w14:paraId="1F2C1D0B">
      <w:pPr>
        <w:widowControl/>
        <w:adjustRightInd w:val="0"/>
        <w:snapToGrid w:val="0"/>
        <w:spacing w:line="312" w:lineRule="auto"/>
        <w:ind w:left="0" w:leftChars="0" w:firstLine="0" w:firstLineChars="0"/>
        <w:jc w:val="left"/>
        <w:rPr>
          <w:rFonts w:ascii="宋体" w:hAnsi="宋体" w:eastAsia="宋体" w:cs="Times New Roman"/>
          <w:b/>
          <w:kern w:val="0"/>
          <w:sz w:val="28"/>
          <w:szCs w:val="28"/>
        </w:rPr>
      </w:pPr>
      <w:r>
        <w:rPr>
          <w:rFonts w:hint="eastAsia" w:ascii="宋体" w:hAnsi="宋体" w:eastAsia="宋体" w:cs="Times New Roman"/>
          <w:b/>
          <w:kern w:val="0"/>
          <w:sz w:val="28"/>
          <w:szCs w:val="28"/>
        </w:rPr>
        <w:t>七</w:t>
      </w:r>
      <w:r>
        <w:rPr>
          <w:rFonts w:ascii="宋体" w:hAnsi="宋体" w:eastAsia="宋体" w:cs="Times New Roman"/>
          <w:b/>
          <w:kern w:val="0"/>
          <w:sz w:val="28"/>
          <w:szCs w:val="28"/>
        </w:rPr>
        <w:t>、</w:t>
      </w:r>
      <w:r>
        <w:rPr>
          <w:rFonts w:hint="eastAsia" w:ascii="宋体" w:hAnsi="宋体" w:eastAsia="宋体" w:cs="Times New Roman"/>
          <w:b/>
          <w:kern w:val="0"/>
          <w:sz w:val="28"/>
          <w:szCs w:val="28"/>
        </w:rPr>
        <w:t>有关说明</w:t>
      </w:r>
    </w:p>
    <w:p w14:paraId="41401CC3">
      <w:pPr>
        <w:widowControl/>
        <w:adjustRightInd w:val="0"/>
        <w:snapToGrid w:val="0"/>
        <w:spacing w:line="312" w:lineRule="auto"/>
        <w:ind w:left="0" w:leftChars="0" w:firstLine="0" w:firstLineChars="0"/>
        <w:jc w:val="left"/>
        <w:rPr>
          <w:rFonts w:ascii="宋体" w:hAnsi="宋体" w:eastAsia="宋体" w:cs="Times New Roman"/>
          <w:b/>
          <w:kern w:val="0"/>
          <w:sz w:val="24"/>
        </w:rPr>
      </w:pPr>
      <w:r>
        <w:rPr>
          <w:rFonts w:hint="eastAsia" w:ascii="宋体" w:hAnsi="宋体" w:eastAsia="宋体" w:cs="Times New Roman"/>
          <w:b/>
          <w:kern w:val="0"/>
          <w:sz w:val="24"/>
        </w:rPr>
        <w:t>（一）持续改进</w:t>
      </w:r>
    </w:p>
    <w:p w14:paraId="0CB030A3">
      <w:pPr>
        <w:widowControl/>
        <w:adjustRightInd w:val="0"/>
        <w:snapToGrid w:val="0"/>
        <w:spacing w:line="312" w:lineRule="auto"/>
        <w:ind w:left="0" w:leftChars="0" w:firstLine="420" w:firstLineChars="175"/>
        <w:jc w:val="left"/>
        <w:rPr>
          <w:rFonts w:ascii="宋体" w:hAnsi="宋体" w:eastAsia="宋体" w:cs="Times New Roman"/>
          <w:kern w:val="0"/>
          <w:sz w:val="24"/>
        </w:rPr>
      </w:pPr>
      <w:r>
        <w:rPr>
          <w:rFonts w:ascii="宋体" w:hAnsi="宋体" w:eastAsia="宋体" w:cs="Times New Roman"/>
          <w:kern w:val="0"/>
          <w:sz w:val="24"/>
        </w:rPr>
        <w:t>本课程根据学生作业、课堂讨论、模拟教学、</w:t>
      </w:r>
      <w:r>
        <w:rPr>
          <w:rFonts w:hint="eastAsia" w:ascii="宋体" w:hAnsi="宋体" w:eastAsia="宋体" w:cs="Times New Roman"/>
          <w:kern w:val="0"/>
          <w:sz w:val="24"/>
        </w:rPr>
        <w:t>微课教学设计与制作</w:t>
      </w:r>
      <w:r>
        <w:rPr>
          <w:rFonts w:ascii="宋体" w:hAnsi="宋体" w:eastAsia="宋体" w:cs="Times New Roman"/>
          <w:kern w:val="0"/>
          <w:sz w:val="24"/>
        </w:rPr>
        <w:t>、平时考核情况和学生、教学督导等</w:t>
      </w:r>
      <w:r>
        <w:rPr>
          <w:rFonts w:hint="eastAsia" w:ascii="宋体" w:hAnsi="宋体" w:eastAsia="宋体" w:cs="Times New Roman"/>
          <w:kern w:val="0"/>
          <w:sz w:val="24"/>
        </w:rPr>
        <w:t>的</w:t>
      </w:r>
      <w:r>
        <w:rPr>
          <w:rFonts w:ascii="宋体" w:hAnsi="宋体" w:eastAsia="宋体" w:cs="Times New Roman"/>
          <w:kern w:val="0"/>
          <w:sz w:val="24"/>
        </w:rPr>
        <w:t>反馈，及时对教学中</w:t>
      </w:r>
      <w:r>
        <w:rPr>
          <w:rFonts w:hint="eastAsia" w:ascii="宋体" w:hAnsi="宋体" w:eastAsia="宋体" w:cs="Times New Roman"/>
          <w:kern w:val="0"/>
          <w:sz w:val="24"/>
        </w:rPr>
        <w:t>的</w:t>
      </w:r>
      <w:r>
        <w:rPr>
          <w:rFonts w:ascii="宋体" w:hAnsi="宋体" w:eastAsia="宋体" w:cs="Times New Roman"/>
          <w:kern w:val="0"/>
          <w:sz w:val="24"/>
        </w:rPr>
        <w:t>不足之处进行改进，并在下一轮课程教学中</w:t>
      </w:r>
      <w:r>
        <w:rPr>
          <w:rFonts w:hint="eastAsia" w:ascii="宋体" w:hAnsi="宋体" w:eastAsia="宋体" w:cs="Times New Roman"/>
          <w:kern w:val="0"/>
          <w:sz w:val="24"/>
        </w:rPr>
        <w:t>整改完善</w:t>
      </w:r>
      <w:r>
        <w:rPr>
          <w:rFonts w:ascii="宋体" w:hAnsi="宋体" w:eastAsia="宋体" w:cs="Times New Roman"/>
          <w:kern w:val="0"/>
          <w:sz w:val="24"/>
        </w:rPr>
        <w:t>，确保相应毕业要求指标点达成。</w:t>
      </w:r>
    </w:p>
    <w:p w14:paraId="7B59873A">
      <w:pPr>
        <w:widowControl/>
        <w:adjustRightInd w:val="0"/>
        <w:snapToGrid w:val="0"/>
        <w:spacing w:line="312" w:lineRule="auto"/>
        <w:ind w:left="0" w:leftChars="0" w:firstLine="0" w:firstLineChars="0"/>
        <w:jc w:val="left"/>
        <w:rPr>
          <w:rFonts w:ascii="宋体" w:hAnsi="宋体" w:eastAsia="宋体" w:cs="Times New Roman"/>
          <w:b/>
          <w:kern w:val="0"/>
          <w:sz w:val="24"/>
        </w:rPr>
      </w:pPr>
      <w:r>
        <w:rPr>
          <w:rFonts w:hint="eastAsia" w:ascii="宋体" w:hAnsi="宋体" w:eastAsia="宋体" w:cs="Times New Roman"/>
          <w:b/>
          <w:kern w:val="0"/>
          <w:sz w:val="24"/>
        </w:rPr>
        <w:t>（二）</w:t>
      </w:r>
      <w:r>
        <w:rPr>
          <w:rFonts w:ascii="宋体" w:hAnsi="宋体" w:eastAsia="宋体" w:cs="Times New Roman"/>
          <w:b/>
          <w:kern w:val="0"/>
          <w:sz w:val="24"/>
        </w:rPr>
        <w:t>参考书目及学习资料</w:t>
      </w:r>
    </w:p>
    <w:p w14:paraId="453D7FC4">
      <w:pPr>
        <w:widowControl/>
        <w:adjustRightInd w:val="0"/>
        <w:snapToGrid w:val="0"/>
        <w:spacing w:line="312"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1．教材</w:t>
      </w:r>
    </w:p>
    <w:p w14:paraId="6539F1A3">
      <w:pPr>
        <w:widowControl/>
        <w:adjustRightInd w:val="0"/>
        <w:snapToGrid w:val="0"/>
        <w:spacing w:line="312" w:lineRule="auto"/>
        <w:ind w:left="0" w:leftChars="0" w:firstLine="0" w:firstLineChars="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rPr>
        <w:t>陈明选.《现代教育技术》（第</w:t>
      </w:r>
      <w:r>
        <w:rPr>
          <w:rFonts w:hint="eastAsia" w:ascii="宋体" w:hAnsi="宋体" w:cs="Times New Roman"/>
          <w:kern w:val="0"/>
          <w:sz w:val="24"/>
          <w:lang w:val="en-US" w:eastAsia="zh-CN"/>
        </w:rPr>
        <w:t>1</w:t>
      </w:r>
      <w:r>
        <w:rPr>
          <w:rFonts w:hint="eastAsia" w:ascii="宋体" w:hAnsi="宋体" w:eastAsia="宋体" w:cs="Times New Roman"/>
          <w:kern w:val="0"/>
          <w:sz w:val="24"/>
        </w:rPr>
        <w:t>版）.上海交通大学出版社. 202</w:t>
      </w:r>
      <w:r>
        <w:rPr>
          <w:rFonts w:hint="eastAsia" w:ascii="宋体" w:hAnsi="宋体" w:cs="Times New Roman"/>
          <w:kern w:val="0"/>
          <w:sz w:val="24"/>
          <w:lang w:val="en-US" w:eastAsia="zh-CN"/>
        </w:rPr>
        <w:t>2.</w:t>
      </w:r>
    </w:p>
    <w:p w14:paraId="6B6E33DE">
      <w:pPr>
        <w:widowControl/>
        <w:adjustRightInd w:val="0"/>
        <w:snapToGrid w:val="0"/>
        <w:spacing w:line="312"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2．教学参考书</w:t>
      </w:r>
    </w:p>
    <w:p w14:paraId="27B2B699">
      <w:pPr>
        <w:widowControl/>
        <w:adjustRightInd w:val="0"/>
        <w:snapToGrid w:val="0"/>
        <w:spacing w:line="312"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李世荣.《现代教育技术》（第</w:t>
      </w:r>
      <w:r>
        <w:rPr>
          <w:rFonts w:hint="eastAsia" w:ascii="宋体" w:hAnsi="宋体" w:cs="Times New Roman"/>
          <w:kern w:val="0"/>
          <w:sz w:val="24"/>
          <w:lang w:val="en-US" w:eastAsia="zh-CN"/>
        </w:rPr>
        <w:t>2</w:t>
      </w:r>
      <w:r>
        <w:rPr>
          <w:rFonts w:hint="eastAsia" w:ascii="宋体" w:hAnsi="宋体" w:eastAsia="宋体" w:cs="Times New Roman"/>
          <w:kern w:val="0"/>
          <w:sz w:val="24"/>
        </w:rPr>
        <w:t>版）.清华大学出版社. 2020</w:t>
      </w:r>
      <w:r>
        <w:rPr>
          <w:rFonts w:hint="eastAsia" w:ascii="宋体" w:hAnsi="宋体" w:cs="Times New Roman"/>
          <w:kern w:val="0"/>
          <w:sz w:val="24"/>
          <w:lang w:val="en-US" w:eastAsia="zh-CN"/>
        </w:rPr>
        <w:t>.</w:t>
      </w:r>
    </w:p>
    <w:p w14:paraId="6D0F1330">
      <w:pPr>
        <w:widowControl/>
        <w:adjustRightInd w:val="0"/>
        <w:snapToGrid w:val="0"/>
        <w:spacing w:line="312" w:lineRule="auto"/>
        <w:ind w:left="0" w:leftChars="0" w:firstLine="0" w:firstLineChars="0"/>
        <w:jc w:val="left"/>
        <w:rPr>
          <w:rFonts w:ascii="宋体" w:hAnsi="宋体" w:eastAsia="宋体" w:cs="Times New Roman"/>
          <w:kern w:val="0"/>
          <w:sz w:val="24"/>
        </w:rPr>
      </w:pPr>
      <w:r>
        <w:rPr>
          <w:rFonts w:hint="eastAsia" w:ascii="宋体" w:hAnsi="宋体" w:eastAsia="宋体" w:cs="Times New Roman"/>
          <w:kern w:val="0"/>
          <w:sz w:val="24"/>
        </w:rPr>
        <w:t>张一春.《精品微课设计与开发》.高等教育出版社.2016.</w:t>
      </w:r>
      <w:r>
        <w:rPr>
          <w:rFonts w:ascii="宋体" w:hAnsi="宋体" w:eastAsia="宋体" w:cs="Times New Roman"/>
          <w:kern w:val="0"/>
          <w:sz w:val="24"/>
        </w:rPr>
        <w:t xml:space="preserve"> </w:t>
      </w:r>
    </w:p>
    <w:p w14:paraId="0730D93D">
      <w:pPr>
        <w:widowControl/>
        <w:adjustRightInd w:val="0"/>
        <w:snapToGrid w:val="0"/>
        <w:spacing w:line="312" w:lineRule="auto"/>
        <w:ind w:left="0" w:leftChars="0" w:firstLine="0" w:firstLineChars="0"/>
        <w:jc w:val="left"/>
        <w:rPr>
          <w:rFonts w:ascii="宋体" w:hAnsi="宋体" w:eastAsia="宋体" w:cs="Times New Roman"/>
          <w:kern w:val="0"/>
          <w:sz w:val="24"/>
        </w:rPr>
      </w:pPr>
      <w:r>
        <w:rPr>
          <w:rFonts w:ascii="宋体" w:hAnsi="宋体" w:eastAsia="宋体" w:cs="Times New Roman"/>
          <w:kern w:val="0"/>
          <w:sz w:val="24"/>
        </w:rPr>
        <w:t>Adobe公司  Adobe数字艺术中心Photoshop CS标准教材 人民邮电出版社</w:t>
      </w:r>
    </w:p>
    <w:p w14:paraId="14D65211">
      <w:pPr>
        <w:widowControl/>
        <w:adjustRightInd w:val="0"/>
        <w:snapToGrid w:val="0"/>
        <w:spacing w:line="312" w:lineRule="auto"/>
        <w:ind w:left="0" w:leftChars="0" w:firstLine="0" w:firstLineChars="0"/>
        <w:jc w:val="left"/>
        <w:rPr>
          <w:rFonts w:hint="eastAsia" w:ascii="宋体" w:hAnsi="宋体" w:eastAsia="宋体" w:cs="Times New Roman"/>
          <w:kern w:val="0"/>
          <w:sz w:val="24"/>
          <w:lang w:val="en-US" w:eastAsia="zh-CN"/>
        </w:rPr>
      </w:pPr>
      <w:r>
        <w:rPr>
          <w:rFonts w:ascii="宋体" w:hAnsi="宋体" w:eastAsia="宋体" w:cs="Times New Roman"/>
          <w:kern w:val="0"/>
          <w:sz w:val="24"/>
        </w:rPr>
        <w:t>李颖、董彦</w:t>
      </w:r>
      <w:r>
        <w:rPr>
          <w:rFonts w:hint="eastAsia" w:ascii="宋体" w:hAnsi="宋体" w:eastAsia="宋体" w:cs="Times New Roman"/>
          <w:kern w:val="0"/>
          <w:sz w:val="24"/>
        </w:rPr>
        <w:t>.《现代教育技术》.中国科学技术大学出版社.2010</w:t>
      </w:r>
      <w:r>
        <w:rPr>
          <w:rFonts w:hint="eastAsia" w:ascii="宋体" w:hAnsi="宋体" w:cs="Times New Roman"/>
          <w:kern w:val="0"/>
          <w:sz w:val="24"/>
          <w:lang w:val="en-US" w:eastAsia="zh-CN"/>
        </w:rPr>
        <w:t>.</w:t>
      </w:r>
    </w:p>
    <w:p w14:paraId="472057F3">
      <w:pPr>
        <w:widowControl/>
        <w:adjustRightInd w:val="0"/>
        <w:snapToGrid w:val="0"/>
        <w:spacing w:line="312" w:lineRule="auto"/>
        <w:jc w:val="left"/>
        <w:rPr>
          <w:rFonts w:ascii="宋体" w:hAnsi="宋体" w:eastAsia="宋体" w:cs="Times New Roman"/>
          <w:kern w:val="0"/>
          <w:sz w:val="24"/>
        </w:rPr>
      </w:pPr>
    </w:p>
    <w:p w14:paraId="06684120">
      <w:pPr>
        <w:widowControl/>
        <w:adjustRightInd w:val="0"/>
        <w:snapToGrid w:val="0"/>
        <w:spacing w:line="312" w:lineRule="auto"/>
        <w:ind w:firstLine="4960" w:firstLineChars="2067"/>
        <w:jc w:val="left"/>
        <w:rPr>
          <w:rFonts w:ascii="宋体" w:hAnsi="宋体" w:eastAsia="宋体" w:cs="Times New Roman"/>
          <w:kern w:val="0"/>
          <w:sz w:val="24"/>
        </w:rPr>
      </w:pPr>
      <w:r>
        <w:rPr>
          <w:rFonts w:hint="eastAsia" w:ascii="宋体" w:hAnsi="宋体" w:eastAsia="宋体" w:cs="Times New Roman"/>
          <w:kern w:val="0"/>
          <w:sz w:val="24"/>
        </w:rPr>
        <w:t>执笔人：曾新勇</w:t>
      </w:r>
    </w:p>
    <w:p w14:paraId="2EEFD1CB">
      <w:pPr>
        <w:widowControl/>
        <w:adjustRightInd w:val="0"/>
        <w:snapToGrid w:val="0"/>
        <w:spacing w:line="312" w:lineRule="auto"/>
        <w:ind w:firstLine="4960" w:firstLineChars="2067"/>
        <w:jc w:val="left"/>
        <w:rPr>
          <w:rFonts w:ascii="宋体" w:hAnsi="宋体" w:eastAsia="宋体" w:cs="Times New Roman"/>
          <w:kern w:val="0"/>
          <w:sz w:val="24"/>
        </w:rPr>
      </w:pPr>
      <w:r>
        <w:rPr>
          <w:rFonts w:hint="eastAsia" w:ascii="宋体" w:hAnsi="宋体" w:eastAsia="宋体" w:cs="Times New Roman"/>
          <w:kern w:val="0"/>
          <w:sz w:val="24"/>
        </w:rPr>
        <w:t>审定人：张志欣</w:t>
      </w:r>
    </w:p>
    <w:p w14:paraId="33AC810B">
      <w:pPr>
        <w:widowControl/>
        <w:adjustRightInd w:val="0"/>
        <w:snapToGrid w:val="0"/>
        <w:spacing w:line="312" w:lineRule="auto"/>
        <w:ind w:firstLine="4960" w:firstLineChars="2067"/>
        <w:jc w:val="left"/>
        <w:rPr>
          <w:rFonts w:ascii="宋体" w:hAnsi="宋体" w:eastAsia="宋体" w:cs="Times New Roman"/>
          <w:kern w:val="0"/>
          <w:sz w:val="24"/>
        </w:rPr>
      </w:pPr>
      <w:r>
        <w:rPr>
          <w:rFonts w:hint="eastAsia" w:ascii="宋体" w:hAnsi="宋体" w:eastAsia="宋体" w:cs="Times New Roman"/>
          <w:kern w:val="0"/>
          <w:sz w:val="24"/>
        </w:rPr>
        <w:t>审批人：王瑛</w:t>
      </w:r>
    </w:p>
    <w:p w14:paraId="2C43BE7B">
      <w:pPr>
        <w:widowControl/>
        <w:adjustRightInd w:val="0"/>
        <w:snapToGrid w:val="0"/>
        <w:spacing w:line="312" w:lineRule="auto"/>
        <w:ind w:firstLine="4960" w:firstLineChars="2067"/>
        <w:jc w:val="left"/>
      </w:pPr>
      <w:r>
        <w:rPr>
          <w:rFonts w:hint="eastAsia" w:ascii="宋体" w:hAnsi="宋体" w:eastAsia="宋体" w:cs="Times New Roman"/>
          <w:kern w:val="0"/>
          <w:sz w:val="24"/>
        </w:rPr>
        <w:t>批准时间：202</w:t>
      </w:r>
      <w:r>
        <w:rPr>
          <w:rFonts w:hint="eastAsia" w:ascii="宋体" w:hAnsi="宋体" w:cs="Times New Roman"/>
          <w:kern w:val="0"/>
          <w:sz w:val="24"/>
          <w:lang w:val="en-US" w:eastAsia="zh-CN"/>
        </w:rPr>
        <w:t>2</w:t>
      </w:r>
      <w:r>
        <w:rPr>
          <w:rFonts w:hint="eastAsia" w:ascii="宋体" w:hAnsi="宋体" w:eastAsia="宋体" w:cs="Times New Roman"/>
          <w:kern w:val="0"/>
          <w:sz w:val="24"/>
        </w:rPr>
        <w:t>年8月30日</w:t>
      </w:r>
    </w:p>
    <w:p w14:paraId="0FC10BED">
      <w:pPr>
        <w:spacing w:line="312" w:lineRule="auto"/>
        <w:jc w:val="center"/>
        <w:rPr>
          <w:rFonts w:ascii="宋体" w:hAnsi="宋体"/>
          <w:b/>
          <w:bCs/>
          <w:sz w:val="30"/>
        </w:rPr>
      </w:pPr>
      <w:r>
        <w:rPr>
          <w:rFonts w:ascii="宋体" w:hAnsi="宋体" w:eastAsia="宋体" w:cs="Times New Roman"/>
          <w:kern w:val="0"/>
          <w:sz w:val="24"/>
        </w:rPr>
        <w:br w:type="page"/>
      </w:r>
      <w:r>
        <w:rPr>
          <w:rFonts w:hint="eastAsia" w:ascii="宋体" w:hAnsi="宋体"/>
          <w:b/>
          <w:bCs/>
          <w:sz w:val="30"/>
        </w:rPr>
        <w:t>教育科学研究方法</w:t>
      </w:r>
      <w:r>
        <w:rPr>
          <w:rFonts w:ascii="宋体" w:hAnsi="宋体"/>
          <w:b/>
          <w:bCs/>
          <w:sz w:val="30"/>
        </w:rPr>
        <w:t>课程教学大纲</w:t>
      </w:r>
      <w:r>
        <w:rPr>
          <w:rFonts w:hint="eastAsia" w:ascii="宋体" w:hAnsi="宋体"/>
          <w:b/>
          <w:bCs/>
          <w:sz w:val="30"/>
        </w:rPr>
        <w:t xml:space="preserve"> </w:t>
      </w:r>
    </w:p>
    <w:p w14:paraId="5E0644D8">
      <w:pPr>
        <w:spacing w:line="312" w:lineRule="auto"/>
        <w:jc w:val="center"/>
        <w:rPr>
          <w:rFonts w:hint="eastAsia"/>
          <w:b/>
          <w:bCs/>
          <w:sz w:val="30"/>
        </w:rPr>
      </w:pPr>
      <w:r>
        <w:rPr>
          <w:b/>
          <w:bCs/>
          <w:sz w:val="30"/>
        </w:rPr>
        <w:t>（</w:t>
      </w:r>
      <w:r>
        <w:rPr>
          <w:rFonts w:hint="eastAsia"/>
          <w:b/>
          <w:bCs/>
          <w:sz w:val="30"/>
        </w:rPr>
        <w:tab/>
      </w:r>
      <w:r>
        <w:rPr>
          <w:rFonts w:hint="eastAsia"/>
          <w:b/>
          <w:bCs/>
          <w:sz w:val="30"/>
        </w:rPr>
        <w:t>Educational Research Method</w:t>
      </w:r>
      <w:r>
        <w:rPr>
          <w:b/>
          <w:bCs/>
          <w:sz w:val="30"/>
        </w:rPr>
        <w:t>）</w:t>
      </w:r>
    </w:p>
    <w:p w14:paraId="511EF503">
      <w:pPr>
        <w:spacing w:line="360" w:lineRule="auto"/>
        <w:ind w:firstLine="551" w:firstLineChars="196"/>
        <w:outlineLvl w:val="0"/>
        <w:rPr>
          <w:rFonts w:hint="eastAsia" w:ascii="宋体" w:hAnsi="宋体"/>
          <w:b/>
          <w:color w:val="000000"/>
          <w:sz w:val="28"/>
          <w:szCs w:val="28"/>
        </w:rPr>
      </w:pPr>
      <w:r>
        <w:rPr>
          <w:rFonts w:ascii="宋体" w:hAnsi="宋体"/>
          <w:b/>
          <w:color w:val="000000"/>
          <w:sz w:val="28"/>
          <w:szCs w:val="28"/>
        </w:rPr>
        <w:t>一、课程概况</w:t>
      </w:r>
    </w:p>
    <w:p w14:paraId="7E6ABEF8">
      <w:pPr>
        <w:spacing w:line="360" w:lineRule="auto"/>
        <w:ind w:firstLine="482" w:firstLineChars="200"/>
        <w:rPr>
          <w:b/>
          <w:sz w:val="28"/>
          <w:szCs w:val="28"/>
        </w:rPr>
      </w:pPr>
      <w:r>
        <w:rPr>
          <w:rFonts w:ascii="宋体" w:hAnsi="宋体"/>
          <w:b/>
          <w:bCs/>
          <w:kern w:val="0"/>
          <w:sz w:val="24"/>
        </w:rPr>
        <w:t>课程代码</w:t>
      </w:r>
      <w:r>
        <w:rPr>
          <w:rFonts w:ascii="宋体" w:hAnsi="宋体"/>
          <w:b/>
          <w:kern w:val="0"/>
          <w:sz w:val="24"/>
        </w:rPr>
        <w:t>：</w:t>
      </w:r>
      <w:r>
        <w:rPr>
          <w:rFonts w:ascii="宋体" w:hAnsi="宋体"/>
          <w:kern w:val="0"/>
          <w:sz w:val="24"/>
        </w:rPr>
        <w:t>2401012</w:t>
      </w:r>
      <w:r>
        <w:rPr>
          <w:rFonts w:hint="eastAsia" w:ascii="宋体" w:hAnsi="宋体"/>
          <w:b/>
          <w:kern w:val="0"/>
          <w:sz w:val="24"/>
        </w:rPr>
        <w:tab/>
      </w:r>
      <w:r>
        <w:rPr>
          <w:rFonts w:hint="eastAsia" w:ascii="宋体" w:hAnsi="宋体"/>
          <w:b/>
          <w:kern w:val="0"/>
          <w:sz w:val="24"/>
        </w:rPr>
        <w:t xml:space="preserve"> </w:t>
      </w:r>
    </w:p>
    <w:p w14:paraId="65992015">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ascii="宋体" w:hAnsi="宋体"/>
          <w:kern w:val="0"/>
          <w:sz w:val="24"/>
        </w:rPr>
        <w:t xml:space="preserve"> </w:t>
      </w:r>
      <w:r>
        <w:rPr>
          <w:rFonts w:hint="eastAsia" w:ascii="宋体" w:hAnsi="宋体"/>
          <w:kern w:val="0"/>
          <w:sz w:val="24"/>
        </w:rPr>
        <w:t>2</w:t>
      </w:r>
    </w:p>
    <w:p w14:paraId="3B6FD76F">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ascii="宋体" w:hAnsi="宋体"/>
          <w:kern w:val="0"/>
          <w:sz w:val="24"/>
        </w:rPr>
        <w:t xml:space="preserve"> </w:t>
      </w:r>
      <w:r>
        <w:rPr>
          <w:rFonts w:hint="eastAsia" w:ascii="宋体" w:hAnsi="宋体"/>
          <w:kern w:val="0"/>
          <w:sz w:val="24"/>
        </w:rPr>
        <w:t>32（其中，讲授学时24，实践学时8）</w:t>
      </w:r>
    </w:p>
    <w:p w14:paraId="4C7CAC27">
      <w:pPr>
        <w:spacing w:line="360" w:lineRule="auto"/>
        <w:ind w:firstLine="482" w:firstLineChars="200"/>
        <w:rPr>
          <w:rFonts w:ascii="宋体" w:hAnsi="宋体"/>
          <w:kern w:val="0"/>
          <w:sz w:val="24"/>
        </w:rPr>
      </w:pPr>
      <w:r>
        <w:rPr>
          <w:rFonts w:ascii="宋体" w:hAnsi="宋体"/>
          <w:b/>
          <w:bCs/>
          <w:kern w:val="0"/>
          <w:sz w:val="24"/>
        </w:rPr>
        <w:t>先修课程</w:t>
      </w:r>
      <w:r>
        <w:rPr>
          <w:rFonts w:ascii="宋体" w:hAnsi="宋体"/>
          <w:b/>
          <w:kern w:val="0"/>
          <w:sz w:val="24"/>
        </w:rPr>
        <w:t>：</w:t>
      </w:r>
      <w:r>
        <w:rPr>
          <w:rFonts w:hint="eastAsia" w:ascii="宋体" w:hAnsi="宋体"/>
          <w:kern w:val="0"/>
          <w:sz w:val="24"/>
        </w:rPr>
        <w:t>小学心理学、教育原理、教育心理学、课程与教学论，等</w:t>
      </w:r>
    </w:p>
    <w:p w14:paraId="2A8CE67C">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小学教育（理）</w:t>
      </w:r>
      <w:r>
        <w:rPr>
          <w:rFonts w:ascii="宋体" w:hAnsi="宋体"/>
          <w:kern w:val="0"/>
          <w:sz w:val="24"/>
        </w:rPr>
        <w:t xml:space="preserve">                       </w:t>
      </w:r>
    </w:p>
    <w:p w14:paraId="07358364">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温忠麟主编《教育研究方法基础》，高等教育出版社，最新版</w:t>
      </w:r>
    </w:p>
    <w:p w14:paraId="1592E78F">
      <w:pPr>
        <w:spacing w:line="360" w:lineRule="auto"/>
        <w:ind w:firstLine="482" w:firstLineChars="200"/>
        <w:rPr>
          <w:rFonts w:hint="eastAsia" w:ascii="宋体" w:hAnsi="宋体"/>
          <w:kern w:val="0"/>
          <w:sz w:val="24"/>
        </w:rPr>
      </w:pPr>
      <w:r>
        <w:rPr>
          <w:rFonts w:ascii="宋体" w:hAnsi="宋体"/>
          <w:b/>
          <w:bCs/>
          <w:kern w:val="0"/>
          <w:sz w:val="24"/>
        </w:rPr>
        <w:t>课程归口：</w:t>
      </w:r>
      <w:r>
        <w:rPr>
          <w:rFonts w:hint="eastAsia" w:ascii="宋体" w:hAnsi="宋体"/>
          <w:bCs/>
          <w:kern w:val="0"/>
          <w:sz w:val="24"/>
        </w:rPr>
        <w:t>师范</w:t>
      </w:r>
      <w:r>
        <w:rPr>
          <w:rFonts w:ascii="宋体" w:hAnsi="宋体"/>
          <w:kern w:val="0"/>
          <w:sz w:val="24"/>
        </w:rPr>
        <w:t>学院</w:t>
      </w:r>
    </w:p>
    <w:p w14:paraId="6EA6049B">
      <w:pPr>
        <w:autoSpaceDE w:val="0"/>
        <w:autoSpaceDN w:val="0"/>
        <w:adjustRightInd w:val="0"/>
        <w:spacing w:line="360" w:lineRule="auto"/>
        <w:ind w:firstLine="482" w:firstLineChars="200"/>
        <w:jc w:val="left"/>
        <w:rPr>
          <w:rFonts w:hint="eastAsia" w:ascii="宋体" w:hAnsi="宋体"/>
          <w:b/>
          <w:bCs/>
          <w:kern w:val="0"/>
          <w:sz w:val="24"/>
        </w:rPr>
      </w:pPr>
      <w:r>
        <w:rPr>
          <w:rFonts w:hint="eastAsia" w:ascii="宋体" w:hAnsi="宋体"/>
          <w:b/>
          <w:bCs/>
          <w:kern w:val="0"/>
          <w:sz w:val="24"/>
        </w:rPr>
        <w:t>课程的性质与任务：</w:t>
      </w:r>
      <w:r>
        <w:rPr>
          <w:rFonts w:hint="eastAsia"/>
          <w:kern w:val="0"/>
          <w:sz w:val="24"/>
        </w:rPr>
        <w:t>本课程是小学教育专业的一门专业基础必修课程。通过本课程的教学，师范生能够了解教育科学研究的基本理论和一般过程，掌握小学教育科研基本方法，学会发现、分析和解决小学教育实践中的问题，形成小学教育科研的意识和开展教育科研工作的基本能力，为后续毕业论文写作奠定良好基础。</w:t>
      </w:r>
    </w:p>
    <w:p w14:paraId="07A8DD25">
      <w:pPr>
        <w:autoSpaceDE w:val="0"/>
        <w:autoSpaceDN w:val="0"/>
        <w:adjustRightInd w:val="0"/>
        <w:spacing w:line="360" w:lineRule="auto"/>
        <w:ind w:firstLine="562" w:firstLineChars="200"/>
        <w:jc w:val="left"/>
        <w:rPr>
          <w:rFonts w:ascii="宋体" w:hAnsi="宋体"/>
          <w:b/>
          <w:bCs/>
          <w:kern w:val="0"/>
          <w:sz w:val="24"/>
        </w:rPr>
      </w:pPr>
      <w:r>
        <w:rPr>
          <w:rFonts w:hint="eastAsia" w:ascii="宋体" w:hAnsi="宋体"/>
          <w:b/>
          <w:color w:val="000000"/>
          <w:sz w:val="28"/>
          <w:szCs w:val="28"/>
        </w:rPr>
        <w:t>二</w:t>
      </w:r>
      <w:r>
        <w:rPr>
          <w:rFonts w:ascii="宋体" w:hAnsi="宋体"/>
          <w:b/>
          <w:color w:val="000000"/>
          <w:sz w:val="28"/>
          <w:szCs w:val="28"/>
        </w:rPr>
        <w:t>、课程目标</w:t>
      </w:r>
    </w:p>
    <w:p w14:paraId="79AB635F">
      <w:pPr>
        <w:autoSpaceDE w:val="0"/>
        <w:autoSpaceDN w:val="0"/>
        <w:adjustRightInd w:val="0"/>
        <w:spacing w:line="360" w:lineRule="auto"/>
        <w:ind w:firstLine="562" w:firstLineChars="200"/>
        <w:jc w:val="left"/>
        <w:rPr>
          <w:rFonts w:ascii="宋体" w:hAnsi="宋体"/>
          <w:b/>
          <w:bCs/>
          <w:kern w:val="0"/>
          <w:sz w:val="24"/>
        </w:rPr>
      </w:pPr>
      <w:r>
        <w:rPr>
          <w:rFonts w:hint="eastAsia" w:ascii="宋体" w:hAnsi="宋体"/>
          <w:b/>
          <w:color w:val="000000"/>
          <w:sz w:val="28"/>
          <w:szCs w:val="28"/>
        </w:rPr>
        <w:t>（一）课程具体目标</w:t>
      </w:r>
    </w:p>
    <w:p w14:paraId="1369E2B5">
      <w:pPr>
        <w:autoSpaceDE w:val="0"/>
        <w:autoSpaceDN w:val="0"/>
        <w:adjustRightInd w:val="0"/>
        <w:spacing w:line="360" w:lineRule="auto"/>
        <w:ind w:firstLine="480" w:firstLineChars="200"/>
        <w:jc w:val="left"/>
        <w:rPr>
          <w:kern w:val="0"/>
          <w:sz w:val="24"/>
        </w:rPr>
      </w:pPr>
      <w:r>
        <w:rPr>
          <w:rFonts w:hint="eastAsia"/>
          <w:kern w:val="0"/>
          <w:sz w:val="24"/>
        </w:rPr>
        <w:t xml:space="preserve">目标1. </w:t>
      </w:r>
      <w:r>
        <w:rPr>
          <w:kern w:val="0"/>
          <w:sz w:val="24"/>
        </w:rPr>
        <w:t xml:space="preserve"> </w:t>
      </w:r>
      <w:r>
        <w:rPr>
          <w:rFonts w:hint="eastAsia"/>
          <w:kern w:val="0"/>
          <w:sz w:val="24"/>
        </w:rPr>
        <w:t>理解教育科学研究的价值和意义，树立正确的教育科研观。</w:t>
      </w:r>
    </w:p>
    <w:p w14:paraId="183CB992">
      <w:pPr>
        <w:autoSpaceDE w:val="0"/>
        <w:autoSpaceDN w:val="0"/>
        <w:adjustRightInd w:val="0"/>
        <w:spacing w:line="360" w:lineRule="auto"/>
        <w:ind w:firstLine="480" w:firstLineChars="200"/>
        <w:jc w:val="left"/>
        <w:rPr>
          <w:rFonts w:ascii="宋体" w:hAnsi="宋体"/>
          <w:b/>
          <w:bCs/>
          <w:kern w:val="0"/>
          <w:sz w:val="24"/>
        </w:rPr>
      </w:pPr>
      <w:r>
        <w:rPr>
          <w:rFonts w:hint="eastAsia"/>
          <w:kern w:val="0"/>
          <w:sz w:val="24"/>
        </w:rPr>
        <w:t>目标2. 了解小学教育研究课题的问题来源、研究现状和趋势，熟悉教育研究的过程，能够准确表述研究问题，能够独立设计教育研究方案。</w:t>
      </w:r>
      <w:r>
        <w:rPr>
          <w:kern w:val="0"/>
          <w:sz w:val="24"/>
        </w:rPr>
        <w:t xml:space="preserve"> </w:t>
      </w:r>
    </w:p>
    <w:p w14:paraId="1B2CEC17">
      <w:pPr>
        <w:autoSpaceDE w:val="0"/>
        <w:autoSpaceDN w:val="0"/>
        <w:adjustRightInd w:val="0"/>
        <w:spacing w:line="360" w:lineRule="auto"/>
        <w:ind w:firstLine="480" w:firstLineChars="200"/>
        <w:jc w:val="left"/>
        <w:rPr>
          <w:rFonts w:ascii="宋体" w:hAnsi="宋体"/>
          <w:b/>
          <w:bCs/>
          <w:kern w:val="0"/>
          <w:sz w:val="24"/>
        </w:rPr>
      </w:pPr>
      <w:r>
        <w:rPr>
          <w:rFonts w:hint="eastAsia"/>
          <w:kern w:val="0"/>
          <w:sz w:val="24"/>
        </w:rPr>
        <w:t>目标3. 理解各种教育科学研究方法的特征、功能与局限性，能够根据基础教育的实际需要选择、设计和使用研究方法。</w:t>
      </w:r>
      <w:r>
        <w:rPr>
          <w:kern w:val="0"/>
          <w:sz w:val="24"/>
        </w:rPr>
        <w:t xml:space="preserve"> </w:t>
      </w:r>
    </w:p>
    <w:p w14:paraId="0C302C39">
      <w:pPr>
        <w:autoSpaceDE w:val="0"/>
        <w:autoSpaceDN w:val="0"/>
        <w:adjustRightInd w:val="0"/>
        <w:spacing w:line="360" w:lineRule="auto"/>
        <w:ind w:firstLine="480" w:firstLineChars="200"/>
        <w:jc w:val="left"/>
      </w:pPr>
      <w:r>
        <w:rPr>
          <w:rFonts w:hint="eastAsia"/>
          <w:kern w:val="0"/>
          <w:sz w:val="24"/>
        </w:rPr>
        <w:t>目标4. 了解学术论文的基本结构，初步掌握学术论文的写作方法，能够撰写符合学术规范的论</w:t>
      </w:r>
      <w:r>
        <w:rPr>
          <w:rFonts w:hint="eastAsia"/>
        </w:rPr>
        <w:t>文。</w:t>
      </w:r>
    </w:p>
    <w:p w14:paraId="21FA0A0B">
      <w:pPr>
        <w:autoSpaceDE w:val="0"/>
        <w:autoSpaceDN w:val="0"/>
        <w:adjustRightInd w:val="0"/>
        <w:spacing w:line="360" w:lineRule="auto"/>
        <w:ind w:firstLine="562" w:firstLineChars="200"/>
        <w:jc w:val="left"/>
        <w:rPr>
          <w:rFonts w:hint="eastAsia" w:ascii="宋体" w:hAnsi="宋体"/>
          <w:b/>
          <w:bCs/>
          <w:kern w:val="0"/>
          <w:sz w:val="24"/>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221E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4E0A0EEE">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223" w:type="dxa"/>
            <w:noWrap w:val="0"/>
            <w:vAlign w:val="center"/>
          </w:tcPr>
          <w:p w14:paraId="6C30D787">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3BB56B81">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6490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A977C02">
            <w:pPr>
              <w:pStyle w:val="58"/>
              <w:spacing w:line="276" w:lineRule="auto"/>
              <w:ind w:firstLine="0" w:firstLineChars="0"/>
              <w:jc w:val="center"/>
              <w:rPr>
                <w:rFonts w:hint="eastAsia" w:ascii="宋体" w:hAnsi="宋体" w:cs="宋体"/>
                <w:bCs/>
                <w:color w:val="000000"/>
                <w:szCs w:val="21"/>
              </w:rPr>
            </w:pPr>
            <w:r>
              <w:rPr>
                <w:rFonts w:hint="eastAsia" w:ascii="宋体" w:hAnsi="宋体" w:cs="宋体"/>
                <w:bCs/>
                <w:color w:val="000000"/>
                <w:szCs w:val="21"/>
              </w:rPr>
              <w:t>课程目标1</w:t>
            </w:r>
          </w:p>
        </w:tc>
        <w:tc>
          <w:tcPr>
            <w:tcW w:w="2223" w:type="dxa"/>
            <w:noWrap w:val="0"/>
            <w:vAlign w:val="center"/>
          </w:tcPr>
          <w:p w14:paraId="54080FD4">
            <w:pPr>
              <w:pStyle w:val="58"/>
              <w:spacing w:line="276" w:lineRule="auto"/>
              <w:ind w:firstLine="0" w:firstLineChars="0"/>
              <w:rPr>
                <w:rFonts w:hint="eastAsia" w:ascii="宋体" w:hAnsi="宋体" w:cs="宋体"/>
                <w:color w:val="000000"/>
                <w:szCs w:val="21"/>
              </w:rPr>
            </w:pPr>
            <w:r>
              <w:rPr>
                <w:rFonts w:hint="eastAsia" w:ascii="宋体" w:hAnsi="宋体" w:cs="宋体"/>
                <w:color w:val="000000"/>
                <w:szCs w:val="21"/>
              </w:rPr>
              <w:t>毕业要求8.沟通合作</w:t>
            </w:r>
          </w:p>
        </w:tc>
        <w:tc>
          <w:tcPr>
            <w:tcW w:w="4977" w:type="dxa"/>
            <w:noWrap w:val="0"/>
            <w:vAlign w:val="center"/>
          </w:tcPr>
          <w:p w14:paraId="0059FA84">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8-1理解学习共同体的作用，在课堂学习与教育实践中获得合作学习体验，形成团队协作精神。</w:t>
            </w:r>
          </w:p>
        </w:tc>
      </w:tr>
      <w:tr w14:paraId="4A06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noWrap w:val="0"/>
            <w:vAlign w:val="center"/>
          </w:tcPr>
          <w:p w14:paraId="3610B59A">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课程目标2</w:t>
            </w:r>
          </w:p>
        </w:tc>
        <w:tc>
          <w:tcPr>
            <w:tcW w:w="2223" w:type="dxa"/>
            <w:noWrap w:val="0"/>
            <w:vAlign w:val="center"/>
          </w:tcPr>
          <w:p w14:paraId="3CE19DD0">
            <w:pPr>
              <w:pStyle w:val="58"/>
              <w:spacing w:line="276" w:lineRule="auto"/>
              <w:ind w:firstLine="0" w:firstLineChars="0"/>
              <w:rPr>
                <w:rFonts w:ascii="宋体" w:hAnsi="宋体" w:cs="宋体"/>
                <w:color w:val="000000"/>
                <w:szCs w:val="21"/>
              </w:rPr>
            </w:pPr>
            <w:r>
              <w:rPr>
                <w:rFonts w:hint="eastAsia" w:ascii="宋体" w:hAnsi="宋体" w:cs="宋体"/>
                <w:color w:val="000000"/>
                <w:szCs w:val="21"/>
              </w:rPr>
              <w:t>毕业要求4.教学能力</w:t>
            </w:r>
          </w:p>
          <w:p w14:paraId="7B0ED209">
            <w:pPr>
              <w:pStyle w:val="58"/>
              <w:spacing w:line="276" w:lineRule="auto"/>
              <w:ind w:firstLine="0" w:firstLineChars="0"/>
              <w:rPr>
                <w:rFonts w:hint="eastAsia" w:ascii="宋体" w:hAnsi="宋体" w:cs="宋体"/>
                <w:color w:val="000000"/>
                <w:szCs w:val="21"/>
              </w:rPr>
            </w:pPr>
            <w:r>
              <w:rPr>
                <w:rFonts w:hint="eastAsia" w:ascii="宋体" w:hAnsi="宋体" w:cs="宋体"/>
                <w:color w:val="000000"/>
                <w:szCs w:val="21"/>
              </w:rPr>
              <w:t>毕业要求7.学会反思</w:t>
            </w:r>
          </w:p>
        </w:tc>
        <w:tc>
          <w:tcPr>
            <w:tcW w:w="4977" w:type="dxa"/>
            <w:noWrap w:val="0"/>
            <w:vAlign w:val="center"/>
          </w:tcPr>
          <w:p w14:paraId="03BD3431">
            <w:pPr>
              <w:pStyle w:val="58"/>
              <w:spacing w:line="276" w:lineRule="auto"/>
              <w:ind w:firstLine="0" w:firstLineChars="0"/>
              <w:jc w:val="left"/>
              <w:rPr>
                <w:rFonts w:ascii="宋体" w:hAnsi="宋体" w:cs="宋体"/>
                <w:color w:val="000000"/>
                <w:szCs w:val="21"/>
              </w:rPr>
            </w:pPr>
            <w:r>
              <w:rPr>
                <w:rFonts w:hint="eastAsia" w:ascii="宋体" w:hAnsi="宋体" w:cs="宋体"/>
                <w:color w:val="000000"/>
                <w:szCs w:val="21"/>
              </w:rPr>
              <w:t>4-4掌握教育研究的基本方法，结合小学教育教学实践进行研究，具有一定的教学研究能力。</w:t>
            </w:r>
          </w:p>
          <w:p w14:paraId="123B291B">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7-1积极参加基础教育领域的国内外交流，了解国内外基础教育改革发展的动态，具有宽广的教育视野。</w:t>
            </w:r>
          </w:p>
        </w:tc>
      </w:tr>
      <w:tr w14:paraId="1D6A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noWrap w:val="0"/>
            <w:vAlign w:val="center"/>
          </w:tcPr>
          <w:p w14:paraId="5ED1510F">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课程目标3</w:t>
            </w:r>
          </w:p>
        </w:tc>
        <w:tc>
          <w:tcPr>
            <w:tcW w:w="2223" w:type="dxa"/>
            <w:noWrap w:val="0"/>
            <w:vAlign w:val="center"/>
          </w:tcPr>
          <w:p w14:paraId="7C2641D9">
            <w:pPr>
              <w:pStyle w:val="58"/>
              <w:spacing w:line="276" w:lineRule="auto"/>
              <w:ind w:firstLine="0" w:firstLineChars="0"/>
              <w:rPr>
                <w:rFonts w:ascii="宋体" w:hAnsi="宋体" w:cs="宋体"/>
                <w:color w:val="000000"/>
                <w:szCs w:val="21"/>
              </w:rPr>
            </w:pPr>
            <w:r>
              <w:rPr>
                <w:rFonts w:hint="eastAsia" w:ascii="宋体" w:hAnsi="宋体" w:cs="宋体"/>
                <w:color w:val="000000"/>
                <w:szCs w:val="21"/>
              </w:rPr>
              <w:t>毕业要求4.教学能力毕业要求7.学会反思</w:t>
            </w:r>
          </w:p>
          <w:p w14:paraId="0C451276">
            <w:pPr>
              <w:pStyle w:val="58"/>
              <w:spacing w:line="276" w:lineRule="auto"/>
              <w:ind w:firstLine="0" w:firstLineChars="0"/>
              <w:rPr>
                <w:rFonts w:hint="eastAsia" w:ascii="宋体" w:hAnsi="宋体" w:cs="宋体"/>
                <w:color w:val="000000"/>
                <w:szCs w:val="21"/>
              </w:rPr>
            </w:pPr>
            <w:r>
              <w:rPr>
                <w:rFonts w:hint="eastAsia" w:ascii="宋体" w:hAnsi="宋体" w:cs="宋体"/>
                <w:color w:val="000000"/>
                <w:szCs w:val="21"/>
              </w:rPr>
              <w:t>毕业要求8.沟通合作</w:t>
            </w:r>
          </w:p>
        </w:tc>
        <w:tc>
          <w:tcPr>
            <w:tcW w:w="4977" w:type="dxa"/>
            <w:noWrap w:val="0"/>
            <w:vAlign w:val="center"/>
          </w:tcPr>
          <w:p w14:paraId="3E41F724">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4-4掌握教育研究的基本方法，结合小学教育教学实践进行研究，具有一定的教学研究能力。</w:t>
            </w:r>
          </w:p>
          <w:p w14:paraId="097C4ACB">
            <w:pPr>
              <w:pStyle w:val="58"/>
              <w:spacing w:line="276" w:lineRule="auto"/>
              <w:ind w:firstLine="0" w:firstLineChars="0"/>
              <w:jc w:val="left"/>
              <w:rPr>
                <w:rFonts w:ascii="宋体" w:hAnsi="宋体" w:cs="宋体"/>
                <w:color w:val="000000"/>
                <w:szCs w:val="21"/>
              </w:rPr>
            </w:pPr>
            <w:r>
              <w:rPr>
                <w:rFonts w:hint="eastAsia" w:ascii="宋体" w:hAnsi="宋体" w:cs="宋体"/>
                <w:color w:val="000000"/>
                <w:szCs w:val="21"/>
              </w:rPr>
              <w:t>7-3初步掌握反思方法和技能，具有一定创新意识，运用批判性思维方法，学会发现、分析和解决小学教育实践中的问题。</w:t>
            </w:r>
          </w:p>
          <w:p w14:paraId="3243DB45">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8-1理解学习共同体的作用，在课堂学习与教育实践中获得合作学习体验，形成团队协作精神。</w:t>
            </w:r>
          </w:p>
        </w:tc>
      </w:tr>
      <w:tr w14:paraId="7CDE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noWrap w:val="0"/>
            <w:vAlign w:val="center"/>
          </w:tcPr>
          <w:p w14:paraId="6138DA8B">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 4</w:t>
            </w:r>
          </w:p>
        </w:tc>
        <w:tc>
          <w:tcPr>
            <w:tcW w:w="2223" w:type="dxa"/>
            <w:noWrap w:val="0"/>
            <w:vAlign w:val="center"/>
          </w:tcPr>
          <w:p w14:paraId="16C85AC6">
            <w:pPr>
              <w:pStyle w:val="58"/>
              <w:spacing w:line="276" w:lineRule="auto"/>
              <w:ind w:firstLine="0" w:firstLineChars="0"/>
              <w:rPr>
                <w:rFonts w:hint="eastAsia" w:ascii="宋体" w:hAnsi="宋体" w:cs="宋体"/>
                <w:color w:val="000000"/>
                <w:szCs w:val="21"/>
              </w:rPr>
            </w:pPr>
            <w:r>
              <w:rPr>
                <w:rFonts w:hint="eastAsia" w:ascii="宋体" w:hAnsi="宋体" w:cs="宋体"/>
                <w:color w:val="000000"/>
                <w:szCs w:val="21"/>
              </w:rPr>
              <w:t>毕业要求7.学会反思</w:t>
            </w:r>
          </w:p>
        </w:tc>
        <w:tc>
          <w:tcPr>
            <w:tcW w:w="4977" w:type="dxa"/>
            <w:noWrap w:val="0"/>
            <w:vAlign w:val="center"/>
          </w:tcPr>
          <w:p w14:paraId="739B08BA">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7-3初步掌握反思方法和技能，具有一定创新意识，运用批判性思维方法，学会发现、分析和解决小学教育实践中的问题。</w:t>
            </w:r>
          </w:p>
        </w:tc>
      </w:tr>
    </w:tbl>
    <w:p w14:paraId="2CB6DB10">
      <w:pPr>
        <w:spacing w:line="360" w:lineRule="auto"/>
        <w:outlineLvl w:val="0"/>
        <w:rPr>
          <w:rFonts w:ascii="宋体" w:hAnsi="宋体"/>
          <w:b/>
          <w:color w:val="000000"/>
          <w:sz w:val="28"/>
          <w:szCs w:val="28"/>
        </w:rPr>
      </w:pPr>
      <w:r>
        <w:rPr>
          <w:rFonts w:hint="eastAsia" w:ascii="宋体" w:hAnsi="宋体"/>
          <w:b/>
          <w:color w:val="000000"/>
          <w:sz w:val="28"/>
          <w:szCs w:val="28"/>
        </w:rPr>
        <w:t>三</w:t>
      </w:r>
      <w:r>
        <w:rPr>
          <w:rFonts w:ascii="宋体" w:hAnsi="宋体"/>
          <w:b/>
          <w:color w:val="000000"/>
          <w:sz w:val="28"/>
          <w:szCs w:val="28"/>
        </w:rPr>
        <w:t>、课程内容及要求</w:t>
      </w:r>
    </w:p>
    <w:p w14:paraId="301506B5">
      <w:pPr>
        <w:spacing w:line="360" w:lineRule="auto"/>
        <w:jc w:val="left"/>
        <w:rPr>
          <w:rFonts w:hint="eastAsia"/>
          <w:bCs/>
          <w:kern w:val="0"/>
          <w:sz w:val="24"/>
          <w:szCs w:val="21"/>
        </w:rPr>
      </w:pPr>
      <w:r>
        <w:rPr>
          <w:rFonts w:hint="eastAsia"/>
          <w:b/>
          <w:kern w:val="0"/>
          <w:sz w:val="24"/>
          <w:szCs w:val="21"/>
        </w:rPr>
        <w:t>（一）教育研究概述</w:t>
      </w:r>
      <w:r>
        <w:rPr>
          <w:rFonts w:hint="eastAsia"/>
          <w:bCs/>
          <w:kern w:val="0"/>
          <w:sz w:val="24"/>
          <w:szCs w:val="21"/>
        </w:rPr>
        <w:t>（本模块各知识点的讲授与学习，可以支撑课程目标1）</w:t>
      </w:r>
    </w:p>
    <w:p w14:paraId="6CBB7B1B">
      <w:pPr>
        <w:spacing w:line="360" w:lineRule="auto"/>
        <w:jc w:val="left"/>
        <w:rPr>
          <w:rFonts w:hint="eastAsia"/>
          <w:b/>
          <w:bCs/>
          <w:kern w:val="0"/>
          <w:sz w:val="24"/>
          <w:szCs w:val="21"/>
        </w:rPr>
      </w:pPr>
      <w:r>
        <w:rPr>
          <w:rFonts w:hint="eastAsia"/>
          <w:b/>
          <w:bCs/>
          <w:kern w:val="0"/>
          <w:sz w:val="24"/>
          <w:szCs w:val="21"/>
        </w:rPr>
        <w:t>1．教学内容</w:t>
      </w:r>
    </w:p>
    <w:p w14:paraId="55901398">
      <w:pPr>
        <w:spacing w:line="360" w:lineRule="auto"/>
        <w:jc w:val="left"/>
        <w:rPr>
          <w:rFonts w:hint="eastAsia"/>
          <w:kern w:val="0"/>
          <w:sz w:val="24"/>
          <w:szCs w:val="21"/>
        </w:rPr>
      </w:pPr>
      <w:r>
        <w:rPr>
          <w:rFonts w:hint="eastAsia"/>
          <w:kern w:val="0"/>
          <w:sz w:val="24"/>
          <w:szCs w:val="21"/>
        </w:rPr>
        <w:t>（1）教育科学研究的涵义、特征和意义</w:t>
      </w:r>
    </w:p>
    <w:p w14:paraId="093068E8">
      <w:pPr>
        <w:spacing w:line="360" w:lineRule="auto"/>
        <w:jc w:val="left"/>
        <w:rPr>
          <w:rFonts w:hint="eastAsia"/>
          <w:kern w:val="0"/>
          <w:sz w:val="24"/>
          <w:szCs w:val="21"/>
        </w:rPr>
      </w:pPr>
      <w:r>
        <w:rPr>
          <w:rFonts w:hint="eastAsia"/>
          <w:kern w:val="0"/>
          <w:sz w:val="24"/>
          <w:szCs w:val="21"/>
        </w:rPr>
        <w:t>（2）教育科学研究的类型及其发展趋势</w:t>
      </w:r>
    </w:p>
    <w:p w14:paraId="2A3E400A">
      <w:pPr>
        <w:spacing w:line="360" w:lineRule="auto"/>
        <w:jc w:val="left"/>
        <w:rPr>
          <w:rFonts w:hint="eastAsia"/>
          <w:kern w:val="0"/>
          <w:sz w:val="24"/>
          <w:szCs w:val="21"/>
        </w:rPr>
      </w:pPr>
      <w:r>
        <w:rPr>
          <w:rFonts w:hint="eastAsia"/>
          <w:kern w:val="0"/>
          <w:sz w:val="24"/>
          <w:szCs w:val="21"/>
        </w:rPr>
        <w:t>（3）教育学科研究中学术规范与伦理问题</w:t>
      </w:r>
    </w:p>
    <w:p w14:paraId="4EE7A6AB">
      <w:pPr>
        <w:spacing w:line="360" w:lineRule="auto"/>
        <w:jc w:val="left"/>
        <w:rPr>
          <w:kern w:val="0"/>
          <w:sz w:val="24"/>
          <w:szCs w:val="21"/>
        </w:rPr>
      </w:pPr>
      <w:r>
        <w:rPr>
          <w:rFonts w:hint="eastAsia"/>
          <w:kern w:val="0"/>
          <w:sz w:val="24"/>
          <w:szCs w:val="21"/>
        </w:rPr>
        <w:t>（4）学习教育科学研究的基本方法</w:t>
      </w:r>
    </w:p>
    <w:p w14:paraId="4F74379C">
      <w:pPr>
        <w:spacing w:line="360" w:lineRule="auto"/>
        <w:jc w:val="left"/>
        <w:rPr>
          <w:rFonts w:hint="eastAsia"/>
          <w:b/>
          <w:bCs/>
          <w:kern w:val="0"/>
          <w:sz w:val="24"/>
          <w:szCs w:val="21"/>
        </w:rPr>
      </w:pPr>
      <w:r>
        <w:rPr>
          <w:rFonts w:hint="eastAsia"/>
          <w:b/>
          <w:bCs/>
          <w:kern w:val="0"/>
          <w:sz w:val="24"/>
          <w:szCs w:val="21"/>
        </w:rPr>
        <w:t>2．基本要求</w:t>
      </w:r>
    </w:p>
    <w:p w14:paraId="31344310">
      <w:pPr>
        <w:spacing w:line="360" w:lineRule="auto"/>
        <w:jc w:val="left"/>
        <w:rPr>
          <w:rFonts w:hint="eastAsia"/>
          <w:kern w:val="0"/>
          <w:sz w:val="24"/>
          <w:szCs w:val="21"/>
        </w:rPr>
      </w:pPr>
      <w:r>
        <w:rPr>
          <w:rFonts w:hint="eastAsia"/>
          <w:kern w:val="0"/>
          <w:sz w:val="24"/>
          <w:szCs w:val="21"/>
        </w:rPr>
        <w:t>（1）理解教育科学研究的涵义、特征和意义；</w:t>
      </w:r>
    </w:p>
    <w:p w14:paraId="5018F2C9">
      <w:pPr>
        <w:spacing w:line="360" w:lineRule="auto"/>
        <w:jc w:val="left"/>
        <w:rPr>
          <w:rFonts w:hint="eastAsia"/>
          <w:kern w:val="0"/>
          <w:sz w:val="24"/>
          <w:szCs w:val="21"/>
        </w:rPr>
      </w:pPr>
      <w:r>
        <w:rPr>
          <w:rFonts w:hint="eastAsia"/>
          <w:kern w:val="0"/>
          <w:sz w:val="24"/>
          <w:szCs w:val="21"/>
        </w:rPr>
        <w:t>（2）熟悉教育科学研究方法的类型及其发展趋势；</w:t>
      </w:r>
    </w:p>
    <w:p w14:paraId="60F81391">
      <w:pPr>
        <w:spacing w:line="360" w:lineRule="auto"/>
        <w:jc w:val="left"/>
        <w:rPr>
          <w:rFonts w:hint="eastAsia"/>
          <w:kern w:val="0"/>
          <w:sz w:val="24"/>
          <w:szCs w:val="21"/>
        </w:rPr>
      </w:pPr>
      <w:r>
        <w:rPr>
          <w:rFonts w:hint="eastAsia"/>
          <w:kern w:val="0"/>
          <w:sz w:val="24"/>
          <w:szCs w:val="21"/>
        </w:rPr>
        <w:t>（3）了解教育科学研究中的学术规范与伦理问题，树立正确的学术观和价值观；</w:t>
      </w:r>
    </w:p>
    <w:p w14:paraId="681D8241">
      <w:pPr>
        <w:spacing w:line="360" w:lineRule="auto"/>
        <w:jc w:val="left"/>
        <w:rPr>
          <w:kern w:val="0"/>
          <w:sz w:val="24"/>
          <w:szCs w:val="21"/>
        </w:rPr>
      </w:pPr>
      <w:r>
        <w:rPr>
          <w:rFonts w:hint="eastAsia"/>
          <w:kern w:val="0"/>
          <w:sz w:val="24"/>
          <w:szCs w:val="21"/>
        </w:rPr>
        <w:t>（4）掌握正确的学习教育研究的方法，立志投身教育科学研究。</w:t>
      </w:r>
    </w:p>
    <w:p w14:paraId="694DAB53">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教育科学研究的特征、 </w:t>
      </w:r>
      <w:r>
        <w:rPr>
          <w:rFonts w:hint="eastAsia"/>
          <w:kern w:val="0"/>
          <w:sz w:val="24"/>
          <w:szCs w:val="21"/>
        </w:rPr>
        <w:t>教育科学研究中的学术规范与伦理问题</w:t>
      </w:r>
    </w:p>
    <w:p w14:paraId="0D73B177">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教育科学研究的类型</w:t>
      </w:r>
    </w:p>
    <w:p w14:paraId="45A763E7">
      <w:pPr>
        <w:spacing w:line="360" w:lineRule="auto"/>
        <w:jc w:val="left"/>
        <w:rPr>
          <w:rFonts w:hint="eastAsia"/>
          <w:b/>
          <w:color w:val="000000"/>
          <w:kern w:val="0"/>
          <w:sz w:val="24"/>
          <w:szCs w:val="21"/>
        </w:rPr>
      </w:pPr>
      <w:r>
        <w:rPr>
          <w:rFonts w:hint="eastAsia"/>
          <w:b/>
          <w:color w:val="000000"/>
          <w:kern w:val="0"/>
          <w:sz w:val="24"/>
          <w:szCs w:val="21"/>
        </w:rPr>
        <w:t>5.</w:t>
      </w:r>
      <w:r>
        <w:rPr>
          <w:b/>
          <w:color w:val="000000"/>
          <w:kern w:val="0"/>
          <w:sz w:val="24"/>
          <w:szCs w:val="21"/>
        </w:rPr>
        <w:t xml:space="preserve"> </w:t>
      </w:r>
      <w:bookmarkStart w:id="96" w:name="_Hlk55763235"/>
      <w:bookmarkStart w:id="97" w:name="_Hlk55743761"/>
      <w:r>
        <w:rPr>
          <w:rFonts w:hint="eastAsia"/>
          <w:b/>
          <w:color w:val="000000"/>
          <w:kern w:val="0"/>
          <w:sz w:val="24"/>
          <w:szCs w:val="21"/>
        </w:rPr>
        <w:t>课程思政育人目标</w:t>
      </w:r>
    </w:p>
    <w:bookmarkEnd w:id="96"/>
    <w:bookmarkEnd w:id="97"/>
    <w:p w14:paraId="3E0F9C8E">
      <w:pPr>
        <w:spacing w:line="360" w:lineRule="auto"/>
        <w:ind w:firstLine="480" w:firstLineChars="200"/>
        <w:jc w:val="left"/>
        <w:rPr>
          <w:bCs/>
          <w:color w:val="000000"/>
          <w:kern w:val="0"/>
          <w:sz w:val="24"/>
          <w:szCs w:val="21"/>
        </w:rPr>
      </w:pPr>
      <w:r>
        <w:rPr>
          <w:rFonts w:hint="eastAsia"/>
          <w:bCs/>
          <w:color w:val="000000"/>
          <w:kern w:val="0"/>
          <w:sz w:val="24"/>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p>
    <w:p w14:paraId="47A59D7D">
      <w:pPr>
        <w:spacing w:line="360" w:lineRule="auto"/>
        <w:jc w:val="left"/>
        <w:rPr>
          <w:rFonts w:hint="eastAsia"/>
          <w:bCs/>
          <w:color w:val="000000"/>
          <w:kern w:val="0"/>
          <w:sz w:val="24"/>
          <w:szCs w:val="21"/>
        </w:rPr>
      </w:pPr>
      <w:r>
        <w:rPr>
          <w:rFonts w:hint="eastAsia"/>
          <w:b/>
          <w:kern w:val="0"/>
          <w:sz w:val="24"/>
          <w:szCs w:val="21"/>
        </w:rPr>
        <w:t>（二）教育研究选题与设计</w:t>
      </w:r>
      <w:r>
        <w:rPr>
          <w:rFonts w:hint="eastAsia"/>
          <w:bCs/>
          <w:kern w:val="0"/>
          <w:sz w:val="24"/>
          <w:szCs w:val="21"/>
        </w:rPr>
        <w:t>（本模块各知识点的讲授与学习，可以支撑课程目标2）</w:t>
      </w:r>
    </w:p>
    <w:p w14:paraId="67F0E982">
      <w:pPr>
        <w:spacing w:line="360" w:lineRule="auto"/>
        <w:jc w:val="left"/>
        <w:rPr>
          <w:rFonts w:hint="eastAsia"/>
          <w:b/>
          <w:bCs/>
          <w:kern w:val="0"/>
          <w:sz w:val="24"/>
          <w:szCs w:val="21"/>
        </w:rPr>
      </w:pPr>
      <w:r>
        <w:rPr>
          <w:rFonts w:hint="eastAsia"/>
          <w:b/>
          <w:bCs/>
          <w:kern w:val="0"/>
          <w:sz w:val="24"/>
          <w:szCs w:val="21"/>
        </w:rPr>
        <w:t>1．教学内容</w:t>
      </w:r>
    </w:p>
    <w:p w14:paraId="5C3557DE">
      <w:pPr>
        <w:spacing w:line="360" w:lineRule="auto"/>
        <w:jc w:val="left"/>
        <w:rPr>
          <w:rFonts w:hint="eastAsia"/>
          <w:kern w:val="0"/>
          <w:sz w:val="24"/>
          <w:szCs w:val="21"/>
        </w:rPr>
      </w:pPr>
      <w:r>
        <w:rPr>
          <w:rFonts w:hint="eastAsia"/>
          <w:kern w:val="0"/>
          <w:sz w:val="24"/>
          <w:szCs w:val="21"/>
        </w:rPr>
        <w:t>（1）教育研究课题的问题来源</w:t>
      </w:r>
    </w:p>
    <w:p w14:paraId="2E2D70D8">
      <w:pPr>
        <w:spacing w:line="360" w:lineRule="auto"/>
        <w:jc w:val="left"/>
        <w:rPr>
          <w:rFonts w:hint="eastAsia"/>
          <w:kern w:val="0"/>
          <w:sz w:val="24"/>
          <w:szCs w:val="21"/>
        </w:rPr>
      </w:pPr>
      <w:r>
        <w:rPr>
          <w:rFonts w:hint="eastAsia"/>
          <w:kern w:val="0"/>
          <w:sz w:val="24"/>
          <w:szCs w:val="21"/>
        </w:rPr>
        <w:t>（2）教育研究选题的评价</w:t>
      </w:r>
    </w:p>
    <w:p w14:paraId="18B66419">
      <w:pPr>
        <w:spacing w:line="360" w:lineRule="auto"/>
        <w:jc w:val="left"/>
        <w:rPr>
          <w:rFonts w:hint="eastAsia"/>
          <w:kern w:val="0"/>
          <w:sz w:val="24"/>
          <w:szCs w:val="21"/>
        </w:rPr>
      </w:pPr>
      <w:r>
        <w:rPr>
          <w:rFonts w:hint="eastAsia"/>
          <w:kern w:val="0"/>
          <w:sz w:val="24"/>
          <w:szCs w:val="21"/>
        </w:rPr>
        <w:t>（3）教育研究选题策略</w:t>
      </w:r>
    </w:p>
    <w:p w14:paraId="5E0F2526">
      <w:pPr>
        <w:spacing w:line="360" w:lineRule="auto"/>
        <w:jc w:val="left"/>
        <w:rPr>
          <w:kern w:val="0"/>
          <w:sz w:val="24"/>
          <w:szCs w:val="21"/>
        </w:rPr>
      </w:pPr>
      <w:r>
        <w:rPr>
          <w:rFonts w:hint="eastAsia"/>
          <w:kern w:val="0"/>
          <w:sz w:val="24"/>
          <w:szCs w:val="21"/>
        </w:rPr>
        <w:t>（4）教育研究方案设计</w:t>
      </w:r>
    </w:p>
    <w:p w14:paraId="2DFF2D55">
      <w:pPr>
        <w:spacing w:line="360" w:lineRule="auto"/>
        <w:jc w:val="left"/>
        <w:rPr>
          <w:rFonts w:hint="eastAsia"/>
          <w:kern w:val="0"/>
          <w:sz w:val="24"/>
          <w:szCs w:val="21"/>
        </w:rPr>
      </w:pPr>
      <w:r>
        <w:rPr>
          <w:rFonts w:hint="eastAsia"/>
          <w:kern w:val="0"/>
          <w:sz w:val="24"/>
          <w:szCs w:val="21"/>
        </w:rPr>
        <w:t>（5）毕业论文开题报告</w:t>
      </w:r>
    </w:p>
    <w:p w14:paraId="15CCE59F">
      <w:pPr>
        <w:spacing w:line="360" w:lineRule="auto"/>
        <w:jc w:val="left"/>
        <w:rPr>
          <w:rFonts w:hint="eastAsia"/>
          <w:b/>
          <w:bCs/>
          <w:kern w:val="0"/>
          <w:sz w:val="24"/>
          <w:szCs w:val="21"/>
        </w:rPr>
      </w:pPr>
      <w:r>
        <w:rPr>
          <w:rFonts w:hint="eastAsia"/>
          <w:b/>
          <w:bCs/>
          <w:kern w:val="0"/>
          <w:sz w:val="24"/>
          <w:szCs w:val="21"/>
        </w:rPr>
        <w:t>2．基本要求</w:t>
      </w:r>
    </w:p>
    <w:p w14:paraId="123A343A">
      <w:pPr>
        <w:spacing w:line="360" w:lineRule="auto"/>
        <w:jc w:val="left"/>
        <w:rPr>
          <w:rFonts w:hint="eastAsia"/>
          <w:kern w:val="0"/>
          <w:sz w:val="24"/>
          <w:szCs w:val="21"/>
        </w:rPr>
      </w:pPr>
      <w:r>
        <w:rPr>
          <w:rFonts w:hint="eastAsia"/>
          <w:kern w:val="0"/>
          <w:sz w:val="24"/>
          <w:szCs w:val="21"/>
        </w:rPr>
        <w:t>（1）了解教育研究课题的问题来源；</w:t>
      </w:r>
    </w:p>
    <w:p w14:paraId="3A1BC808">
      <w:pPr>
        <w:spacing w:line="360" w:lineRule="auto"/>
        <w:jc w:val="left"/>
        <w:rPr>
          <w:rFonts w:hint="eastAsia"/>
          <w:kern w:val="0"/>
          <w:sz w:val="24"/>
          <w:szCs w:val="21"/>
        </w:rPr>
      </w:pPr>
      <w:r>
        <w:rPr>
          <w:rFonts w:hint="eastAsia"/>
          <w:kern w:val="0"/>
          <w:sz w:val="24"/>
          <w:szCs w:val="21"/>
        </w:rPr>
        <w:t>（2）理解教育研究选题的评价要求；</w:t>
      </w:r>
    </w:p>
    <w:p w14:paraId="1090688D">
      <w:pPr>
        <w:spacing w:line="360" w:lineRule="auto"/>
        <w:jc w:val="left"/>
        <w:rPr>
          <w:rFonts w:hint="eastAsia"/>
          <w:kern w:val="0"/>
          <w:sz w:val="24"/>
          <w:szCs w:val="21"/>
        </w:rPr>
      </w:pPr>
      <w:r>
        <w:rPr>
          <w:rFonts w:hint="eastAsia"/>
          <w:kern w:val="0"/>
          <w:sz w:val="24"/>
          <w:szCs w:val="21"/>
        </w:rPr>
        <w:t>（3）学会清楚、明确地表述所研究的问题；</w:t>
      </w:r>
    </w:p>
    <w:p w14:paraId="50113BD1">
      <w:pPr>
        <w:spacing w:line="360" w:lineRule="auto"/>
        <w:jc w:val="left"/>
        <w:rPr>
          <w:kern w:val="0"/>
          <w:sz w:val="24"/>
          <w:szCs w:val="21"/>
        </w:rPr>
      </w:pPr>
      <w:r>
        <w:rPr>
          <w:rFonts w:hint="eastAsia"/>
          <w:kern w:val="0"/>
          <w:sz w:val="24"/>
          <w:szCs w:val="21"/>
        </w:rPr>
        <w:t>（4）能够设计简单的教育研究方案；</w:t>
      </w:r>
    </w:p>
    <w:p w14:paraId="3DAB8F95">
      <w:pPr>
        <w:spacing w:line="360" w:lineRule="auto"/>
        <w:jc w:val="left"/>
        <w:rPr>
          <w:kern w:val="0"/>
          <w:sz w:val="24"/>
          <w:szCs w:val="21"/>
        </w:rPr>
      </w:pPr>
      <w:r>
        <w:rPr>
          <w:rFonts w:hint="eastAsia"/>
          <w:kern w:val="0"/>
          <w:sz w:val="24"/>
          <w:szCs w:val="21"/>
        </w:rPr>
        <w:t>（5）学会撰写毕业论文开题报告。</w:t>
      </w:r>
    </w:p>
    <w:p w14:paraId="71FB2364">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毕业论文开题报告撰写 </w:t>
      </w:r>
    </w:p>
    <w:p w14:paraId="4B93AFF0">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教育研究方案设计</w:t>
      </w:r>
    </w:p>
    <w:p w14:paraId="7EE54520">
      <w:pPr>
        <w:spacing w:line="360" w:lineRule="auto"/>
        <w:jc w:val="left"/>
        <w:rPr>
          <w:b/>
          <w:color w:val="000000"/>
          <w:kern w:val="0"/>
          <w:sz w:val="24"/>
          <w:szCs w:val="21"/>
        </w:rPr>
      </w:pPr>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 xml:space="preserve">课程思政育人目标 </w:t>
      </w:r>
    </w:p>
    <w:p w14:paraId="11FC1147">
      <w:pPr>
        <w:spacing w:line="360" w:lineRule="auto"/>
        <w:ind w:firstLine="240" w:firstLineChars="100"/>
        <w:jc w:val="left"/>
        <w:rPr>
          <w:rFonts w:hint="eastAsia"/>
          <w:bCs/>
          <w:color w:val="000000"/>
          <w:kern w:val="0"/>
          <w:sz w:val="24"/>
          <w:szCs w:val="21"/>
        </w:rPr>
      </w:pPr>
      <w:bookmarkStart w:id="98" w:name="_Hlk55763376"/>
      <w:r>
        <w:rPr>
          <w:rFonts w:hint="eastAsia"/>
          <w:bCs/>
          <w:color w:val="000000"/>
          <w:kern w:val="0"/>
          <w:sz w:val="24"/>
          <w:szCs w:val="21"/>
        </w:rPr>
        <w:t>培养学生坚持真理、热爱科学、实事求是的品格，形成正确的学术观、科研观；热爱中小学教育，理解基础教育改革的意义，具有一定的创新意识，学会发现和分析人民群众关心的基础教育热点与难点问题。</w:t>
      </w:r>
    </w:p>
    <w:bookmarkEnd w:id="98"/>
    <w:p w14:paraId="46E21674">
      <w:pPr>
        <w:spacing w:line="360" w:lineRule="auto"/>
        <w:jc w:val="left"/>
        <w:rPr>
          <w:rFonts w:hint="eastAsia"/>
          <w:bCs/>
          <w:kern w:val="0"/>
          <w:sz w:val="24"/>
          <w:szCs w:val="21"/>
        </w:rPr>
      </w:pPr>
      <w:r>
        <w:rPr>
          <w:rFonts w:hint="eastAsia"/>
          <w:b/>
          <w:kern w:val="0"/>
          <w:sz w:val="24"/>
          <w:szCs w:val="21"/>
        </w:rPr>
        <w:t>（三）文献检索与综述</w:t>
      </w:r>
      <w:r>
        <w:rPr>
          <w:rFonts w:hint="eastAsia"/>
          <w:bCs/>
          <w:kern w:val="0"/>
          <w:sz w:val="24"/>
          <w:szCs w:val="21"/>
        </w:rPr>
        <w:t>（本模块各知识点的讲授与学习，可以支撑课程目标2）</w:t>
      </w:r>
    </w:p>
    <w:p w14:paraId="7C49733A">
      <w:pPr>
        <w:spacing w:line="360" w:lineRule="auto"/>
        <w:jc w:val="left"/>
        <w:rPr>
          <w:rFonts w:hint="eastAsia"/>
          <w:b/>
          <w:bCs/>
          <w:kern w:val="0"/>
          <w:sz w:val="24"/>
          <w:szCs w:val="21"/>
        </w:rPr>
      </w:pPr>
      <w:r>
        <w:rPr>
          <w:rFonts w:hint="eastAsia"/>
          <w:b/>
          <w:bCs/>
          <w:kern w:val="0"/>
          <w:sz w:val="24"/>
          <w:szCs w:val="21"/>
        </w:rPr>
        <w:t>1. 教学内容</w:t>
      </w:r>
    </w:p>
    <w:p w14:paraId="2C32EF32">
      <w:pPr>
        <w:spacing w:line="360" w:lineRule="auto"/>
        <w:jc w:val="left"/>
        <w:rPr>
          <w:rFonts w:hint="eastAsia"/>
          <w:kern w:val="0"/>
          <w:sz w:val="24"/>
          <w:szCs w:val="21"/>
        </w:rPr>
      </w:pPr>
      <w:r>
        <w:rPr>
          <w:rFonts w:hint="eastAsia"/>
          <w:kern w:val="0"/>
          <w:sz w:val="24"/>
          <w:szCs w:val="21"/>
        </w:rPr>
        <w:t>（1）文献及其作用</w:t>
      </w:r>
    </w:p>
    <w:p w14:paraId="408BB9A1">
      <w:pPr>
        <w:spacing w:line="360" w:lineRule="auto"/>
        <w:jc w:val="left"/>
        <w:rPr>
          <w:rFonts w:hint="eastAsia"/>
          <w:kern w:val="0"/>
          <w:sz w:val="24"/>
          <w:szCs w:val="21"/>
        </w:rPr>
      </w:pPr>
      <w:r>
        <w:rPr>
          <w:rFonts w:hint="eastAsia"/>
          <w:kern w:val="0"/>
          <w:sz w:val="24"/>
          <w:szCs w:val="21"/>
        </w:rPr>
        <w:t>（2）教育文献检索</w:t>
      </w:r>
    </w:p>
    <w:p w14:paraId="0DA0A409">
      <w:pPr>
        <w:spacing w:line="360" w:lineRule="auto"/>
        <w:jc w:val="left"/>
        <w:rPr>
          <w:rFonts w:hint="eastAsia"/>
          <w:kern w:val="0"/>
          <w:sz w:val="24"/>
          <w:szCs w:val="21"/>
        </w:rPr>
      </w:pPr>
      <w:r>
        <w:rPr>
          <w:rFonts w:hint="eastAsia"/>
          <w:kern w:val="0"/>
          <w:sz w:val="24"/>
          <w:szCs w:val="21"/>
        </w:rPr>
        <w:t>（3）教育文献的整理</w:t>
      </w:r>
    </w:p>
    <w:p w14:paraId="4A86F941">
      <w:pPr>
        <w:spacing w:line="360" w:lineRule="auto"/>
        <w:jc w:val="left"/>
        <w:rPr>
          <w:rFonts w:hint="eastAsia"/>
          <w:kern w:val="0"/>
          <w:sz w:val="24"/>
          <w:szCs w:val="21"/>
        </w:rPr>
      </w:pPr>
      <w:r>
        <w:rPr>
          <w:rFonts w:hint="eastAsia"/>
          <w:kern w:val="0"/>
          <w:sz w:val="24"/>
          <w:szCs w:val="21"/>
        </w:rPr>
        <w:t>（4）文献综述</w:t>
      </w:r>
    </w:p>
    <w:p w14:paraId="0A27D2AF">
      <w:pPr>
        <w:spacing w:line="360" w:lineRule="auto"/>
        <w:jc w:val="left"/>
        <w:rPr>
          <w:rFonts w:hint="eastAsia"/>
          <w:b/>
          <w:bCs/>
          <w:kern w:val="0"/>
          <w:sz w:val="24"/>
          <w:szCs w:val="21"/>
        </w:rPr>
      </w:pPr>
      <w:r>
        <w:rPr>
          <w:rFonts w:hint="eastAsia"/>
          <w:b/>
          <w:bCs/>
          <w:kern w:val="0"/>
          <w:sz w:val="24"/>
          <w:szCs w:val="21"/>
        </w:rPr>
        <w:t>2. 基本要求</w:t>
      </w:r>
    </w:p>
    <w:p w14:paraId="00633FDE">
      <w:pPr>
        <w:spacing w:line="360" w:lineRule="auto"/>
        <w:jc w:val="left"/>
        <w:rPr>
          <w:rFonts w:hint="eastAsia"/>
          <w:kern w:val="0"/>
          <w:sz w:val="24"/>
          <w:szCs w:val="21"/>
        </w:rPr>
      </w:pPr>
      <w:r>
        <w:rPr>
          <w:rFonts w:hint="eastAsia"/>
          <w:kern w:val="0"/>
          <w:sz w:val="24"/>
          <w:szCs w:val="21"/>
        </w:rPr>
        <w:t>（1）掌握文献检索与文献综述的基本知识；</w:t>
      </w:r>
    </w:p>
    <w:p w14:paraId="63E2053A">
      <w:pPr>
        <w:spacing w:line="360" w:lineRule="auto"/>
        <w:jc w:val="left"/>
        <w:rPr>
          <w:rFonts w:hint="eastAsia"/>
          <w:kern w:val="0"/>
          <w:sz w:val="24"/>
          <w:szCs w:val="21"/>
        </w:rPr>
      </w:pPr>
      <w:r>
        <w:rPr>
          <w:rFonts w:hint="eastAsia"/>
          <w:kern w:val="0"/>
          <w:sz w:val="24"/>
          <w:szCs w:val="21"/>
        </w:rPr>
        <w:t>（2）了解文献在教育研究中的作用；</w:t>
      </w:r>
    </w:p>
    <w:p w14:paraId="058B1CF0">
      <w:pPr>
        <w:spacing w:line="360" w:lineRule="auto"/>
        <w:jc w:val="left"/>
        <w:rPr>
          <w:rFonts w:hint="eastAsia"/>
          <w:kern w:val="0"/>
          <w:sz w:val="24"/>
          <w:szCs w:val="21"/>
        </w:rPr>
      </w:pPr>
      <w:r>
        <w:rPr>
          <w:rFonts w:hint="eastAsia"/>
          <w:kern w:val="0"/>
          <w:sz w:val="24"/>
          <w:szCs w:val="21"/>
        </w:rPr>
        <w:t>（3）学会使用常用的文献检索方法；</w:t>
      </w:r>
    </w:p>
    <w:p w14:paraId="6A7315C5">
      <w:pPr>
        <w:spacing w:line="360" w:lineRule="auto"/>
        <w:jc w:val="left"/>
        <w:rPr>
          <w:kern w:val="0"/>
          <w:sz w:val="24"/>
          <w:szCs w:val="21"/>
        </w:rPr>
      </w:pPr>
      <w:r>
        <w:rPr>
          <w:rFonts w:hint="eastAsia"/>
          <w:kern w:val="0"/>
          <w:sz w:val="24"/>
          <w:szCs w:val="21"/>
        </w:rPr>
        <w:t>（4）学会撰写简单的文献综述。</w:t>
      </w:r>
    </w:p>
    <w:p w14:paraId="4DA43A5B">
      <w:pPr>
        <w:spacing w:line="360" w:lineRule="auto"/>
        <w:rPr>
          <w:rFonts w:hint="eastAsia" w:ascii="宋体" w:hAnsi="宋体"/>
          <w:bCs/>
          <w:color w:val="000000"/>
          <w:sz w:val="24"/>
          <w:szCs w:val="22"/>
        </w:rPr>
      </w:pPr>
      <w:bookmarkStart w:id="99" w:name="_Hlk18818084"/>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文献综述 </w:t>
      </w:r>
    </w:p>
    <w:p w14:paraId="7CF498E9">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文献综述撰写</w:t>
      </w:r>
    </w:p>
    <w:p w14:paraId="77594433">
      <w:pPr>
        <w:spacing w:line="360" w:lineRule="auto"/>
        <w:jc w:val="left"/>
        <w:rPr>
          <w:b/>
          <w:color w:val="000000"/>
          <w:kern w:val="0"/>
          <w:sz w:val="24"/>
          <w:szCs w:val="21"/>
        </w:rPr>
      </w:pPr>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 xml:space="preserve">课程思政育人目标 </w:t>
      </w:r>
    </w:p>
    <w:p w14:paraId="17128F75">
      <w:pPr>
        <w:spacing w:line="360" w:lineRule="auto"/>
        <w:jc w:val="left"/>
        <w:rPr>
          <w:rFonts w:hint="eastAsia"/>
          <w:bCs/>
          <w:color w:val="000000"/>
          <w:kern w:val="0"/>
          <w:sz w:val="24"/>
          <w:szCs w:val="21"/>
        </w:rPr>
      </w:pPr>
      <w:r>
        <w:rPr>
          <w:rFonts w:hint="eastAsia"/>
          <w:b/>
          <w:color w:val="000000"/>
          <w:kern w:val="0"/>
          <w:sz w:val="24"/>
          <w:szCs w:val="21"/>
        </w:rPr>
        <w:t xml:space="preserve"> </w:t>
      </w:r>
      <w:r>
        <w:rPr>
          <w:b/>
          <w:color w:val="000000"/>
          <w:kern w:val="0"/>
          <w:sz w:val="24"/>
          <w:szCs w:val="21"/>
        </w:rPr>
        <w:t xml:space="preserve"> </w:t>
      </w:r>
      <w:r>
        <w:rPr>
          <w:bCs/>
          <w:color w:val="000000"/>
          <w:kern w:val="0"/>
          <w:sz w:val="24"/>
          <w:szCs w:val="21"/>
        </w:rPr>
        <w:t xml:space="preserve"> </w:t>
      </w:r>
      <w:r>
        <w:rPr>
          <w:rFonts w:hint="eastAsia"/>
          <w:bCs/>
          <w:color w:val="000000"/>
          <w:kern w:val="0"/>
          <w:sz w:val="24"/>
          <w:szCs w:val="21"/>
        </w:rPr>
        <w:t>通过对国内外教育研究现状的全面梳理，增强对我国基础教育改革取得伟大成就的自豪感，培养投身基础教育科学研究的责任感和使命感；形成诚信务实、脚踏实地、实事求是的科研素养。</w:t>
      </w:r>
    </w:p>
    <w:bookmarkEnd w:id="99"/>
    <w:p w14:paraId="766A36F2">
      <w:pPr>
        <w:spacing w:line="360" w:lineRule="auto"/>
        <w:jc w:val="left"/>
        <w:rPr>
          <w:rFonts w:hint="eastAsia"/>
          <w:bCs/>
          <w:kern w:val="0"/>
          <w:sz w:val="24"/>
          <w:szCs w:val="21"/>
        </w:rPr>
      </w:pPr>
      <w:r>
        <w:rPr>
          <w:rFonts w:hint="eastAsia"/>
          <w:b/>
          <w:kern w:val="0"/>
          <w:sz w:val="24"/>
          <w:szCs w:val="21"/>
        </w:rPr>
        <w:t>（四）教育调查研究</w:t>
      </w:r>
      <w:r>
        <w:rPr>
          <w:rFonts w:hint="eastAsia"/>
          <w:bCs/>
          <w:kern w:val="0"/>
          <w:sz w:val="24"/>
          <w:szCs w:val="21"/>
        </w:rPr>
        <w:t>（本模块各知识点的讲授与学习，可以支撑课程目标3）</w:t>
      </w:r>
    </w:p>
    <w:p w14:paraId="6AC0EFDB">
      <w:pPr>
        <w:spacing w:line="360" w:lineRule="auto"/>
        <w:jc w:val="left"/>
        <w:rPr>
          <w:rFonts w:hint="eastAsia"/>
          <w:b/>
          <w:bCs/>
          <w:kern w:val="0"/>
          <w:sz w:val="24"/>
          <w:szCs w:val="21"/>
        </w:rPr>
      </w:pPr>
      <w:r>
        <w:rPr>
          <w:rFonts w:hint="eastAsia"/>
          <w:b/>
          <w:bCs/>
          <w:kern w:val="0"/>
          <w:sz w:val="24"/>
          <w:szCs w:val="21"/>
        </w:rPr>
        <w:t>1. 教学内容</w:t>
      </w:r>
    </w:p>
    <w:p w14:paraId="6177B884">
      <w:pPr>
        <w:spacing w:line="360" w:lineRule="auto"/>
        <w:jc w:val="left"/>
        <w:rPr>
          <w:rFonts w:hint="eastAsia"/>
          <w:kern w:val="0"/>
          <w:sz w:val="24"/>
          <w:szCs w:val="21"/>
        </w:rPr>
      </w:pPr>
      <w:r>
        <w:rPr>
          <w:rFonts w:hint="eastAsia"/>
          <w:kern w:val="0"/>
          <w:sz w:val="24"/>
          <w:szCs w:val="21"/>
        </w:rPr>
        <w:t>（1）调查研究的主要步骤</w:t>
      </w:r>
    </w:p>
    <w:p w14:paraId="6FCDAE3D">
      <w:pPr>
        <w:spacing w:line="360" w:lineRule="auto"/>
        <w:jc w:val="left"/>
        <w:rPr>
          <w:rFonts w:hint="eastAsia"/>
          <w:kern w:val="0"/>
          <w:sz w:val="24"/>
          <w:szCs w:val="21"/>
        </w:rPr>
      </w:pPr>
      <w:r>
        <w:rPr>
          <w:rFonts w:hint="eastAsia"/>
          <w:kern w:val="0"/>
          <w:sz w:val="24"/>
          <w:szCs w:val="21"/>
        </w:rPr>
        <w:t>（2）问卷法</w:t>
      </w:r>
    </w:p>
    <w:p w14:paraId="5B42A7CE">
      <w:pPr>
        <w:spacing w:line="360" w:lineRule="auto"/>
        <w:jc w:val="left"/>
        <w:rPr>
          <w:rFonts w:hint="eastAsia"/>
          <w:kern w:val="0"/>
          <w:sz w:val="24"/>
          <w:szCs w:val="21"/>
        </w:rPr>
      </w:pPr>
      <w:r>
        <w:rPr>
          <w:rFonts w:hint="eastAsia"/>
          <w:kern w:val="0"/>
          <w:sz w:val="24"/>
          <w:szCs w:val="21"/>
        </w:rPr>
        <w:t>（3）访谈法</w:t>
      </w:r>
    </w:p>
    <w:p w14:paraId="50973D31">
      <w:pPr>
        <w:spacing w:line="360" w:lineRule="auto"/>
        <w:jc w:val="left"/>
        <w:rPr>
          <w:rFonts w:hint="eastAsia"/>
          <w:kern w:val="0"/>
          <w:sz w:val="24"/>
          <w:szCs w:val="21"/>
        </w:rPr>
      </w:pPr>
      <w:r>
        <w:rPr>
          <w:rFonts w:hint="eastAsia"/>
          <w:kern w:val="0"/>
          <w:sz w:val="24"/>
          <w:szCs w:val="21"/>
        </w:rPr>
        <w:t>（4）观察法</w:t>
      </w:r>
    </w:p>
    <w:p w14:paraId="28D28F66">
      <w:pPr>
        <w:spacing w:line="360" w:lineRule="auto"/>
        <w:jc w:val="left"/>
        <w:rPr>
          <w:rFonts w:hint="eastAsia"/>
          <w:kern w:val="0"/>
          <w:sz w:val="24"/>
          <w:szCs w:val="21"/>
        </w:rPr>
      </w:pPr>
      <w:r>
        <w:rPr>
          <w:rFonts w:hint="eastAsia"/>
          <w:kern w:val="0"/>
          <w:sz w:val="24"/>
          <w:szCs w:val="21"/>
        </w:rPr>
        <w:t>（5）调查抽样</w:t>
      </w:r>
    </w:p>
    <w:p w14:paraId="6FEDDE39">
      <w:pPr>
        <w:spacing w:line="360" w:lineRule="auto"/>
        <w:jc w:val="left"/>
        <w:rPr>
          <w:rFonts w:hint="eastAsia"/>
          <w:b/>
          <w:bCs/>
          <w:kern w:val="0"/>
          <w:sz w:val="24"/>
          <w:szCs w:val="21"/>
        </w:rPr>
      </w:pPr>
      <w:r>
        <w:rPr>
          <w:rFonts w:hint="eastAsia"/>
          <w:b/>
          <w:bCs/>
          <w:kern w:val="0"/>
          <w:sz w:val="24"/>
          <w:szCs w:val="21"/>
        </w:rPr>
        <w:t>2. 基本要求</w:t>
      </w:r>
    </w:p>
    <w:p w14:paraId="52C4347C">
      <w:pPr>
        <w:spacing w:line="360" w:lineRule="auto"/>
        <w:jc w:val="left"/>
        <w:rPr>
          <w:rFonts w:hint="eastAsia"/>
          <w:kern w:val="0"/>
          <w:sz w:val="24"/>
          <w:szCs w:val="21"/>
        </w:rPr>
      </w:pPr>
      <w:r>
        <w:rPr>
          <w:rFonts w:hint="eastAsia"/>
          <w:kern w:val="0"/>
          <w:sz w:val="24"/>
          <w:szCs w:val="21"/>
        </w:rPr>
        <w:t>（1）明确调查研究的涵义；</w:t>
      </w:r>
    </w:p>
    <w:p w14:paraId="7B4E0592">
      <w:pPr>
        <w:spacing w:line="360" w:lineRule="auto"/>
        <w:jc w:val="left"/>
        <w:rPr>
          <w:rFonts w:hint="eastAsia"/>
          <w:kern w:val="0"/>
          <w:sz w:val="24"/>
          <w:szCs w:val="21"/>
        </w:rPr>
      </w:pPr>
      <w:r>
        <w:rPr>
          <w:rFonts w:hint="eastAsia"/>
          <w:kern w:val="0"/>
          <w:sz w:val="24"/>
          <w:szCs w:val="21"/>
        </w:rPr>
        <w:t>（2）理解问卷法、访谈法、观察法的优缺点；</w:t>
      </w:r>
    </w:p>
    <w:p w14:paraId="349BB4C5">
      <w:pPr>
        <w:spacing w:line="360" w:lineRule="auto"/>
        <w:jc w:val="left"/>
        <w:rPr>
          <w:rFonts w:hint="eastAsia"/>
          <w:kern w:val="0"/>
          <w:sz w:val="24"/>
          <w:szCs w:val="21"/>
        </w:rPr>
      </w:pPr>
      <w:r>
        <w:rPr>
          <w:rFonts w:hint="eastAsia"/>
          <w:kern w:val="0"/>
          <w:sz w:val="24"/>
          <w:szCs w:val="21"/>
        </w:rPr>
        <w:t>（3）学会设计简单的问卷、访谈提纲、观察记录表；</w:t>
      </w:r>
    </w:p>
    <w:p w14:paraId="60E82A70">
      <w:pPr>
        <w:spacing w:line="360" w:lineRule="auto"/>
        <w:jc w:val="left"/>
        <w:rPr>
          <w:kern w:val="0"/>
          <w:sz w:val="24"/>
          <w:szCs w:val="21"/>
        </w:rPr>
      </w:pPr>
      <w:r>
        <w:rPr>
          <w:rFonts w:hint="eastAsia"/>
          <w:kern w:val="0"/>
          <w:sz w:val="24"/>
          <w:szCs w:val="21"/>
        </w:rPr>
        <w:t>（4）了解抽样的主要方法。</w:t>
      </w:r>
    </w:p>
    <w:p w14:paraId="3A152579">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教育调查问卷设计 </w:t>
      </w:r>
    </w:p>
    <w:p w14:paraId="2FB0478D">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教育调查抽样</w:t>
      </w:r>
    </w:p>
    <w:p w14:paraId="4431DE6E">
      <w:pPr>
        <w:spacing w:line="360" w:lineRule="auto"/>
        <w:jc w:val="left"/>
        <w:rPr>
          <w:rFonts w:hint="eastAsia"/>
          <w:b/>
          <w:color w:val="000000"/>
          <w:kern w:val="0"/>
          <w:sz w:val="24"/>
          <w:szCs w:val="21"/>
        </w:rPr>
      </w:pPr>
      <w:bookmarkStart w:id="100" w:name="_Hlk55745141"/>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课程思政育人目标</w:t>
      </w:r>
    </w:p>
    <w:bookmarkEnd w:id="100"/>
    <w:p w14:paraId="6CD00ABD">
      <w:pPr>
        <w:spacing w:line="360" w:lineRule="auto"/>
        <w:jc w:val="left"/>
        <w:rPr>
          <w:rFonts w:hint="eastAsia"/>
          <w:bCs/>
          <w:color w:val="000000"/>
          <w:kern w:val="0"/>
          <w:sz w:val="24"/>
          <w:szCs w:val="21"/>
        </w:rPr>
      </w:pPr>
      <w:r>
        <w:rPr>
          <w:rFonts w:hint="eastAsia"/>
          <w:bCs/>
          <w:color w:val="000000"/>
          <w:kern w:val="0"/>
          <w:sz w:val="24"/>
          <w:szCs w:val="21"/>
        </w:rPr>
        <w:t xml:space="preserve"> </w:t>
      </w:r>
      <w:r>
        <w:rPr>
          <w:bCs/>
          <w:color w:val="000000"/>
          <w:kern w:val="0"/>
          <w:sz w:val="24"/>
          <w:szCs w:val="21"/>
        </w:rPr>
        <w:t xml:space="preserve"> </w:t>
      </w:r>
      <w:bookmarkStart w:id="101" w:name="_Hlk55745121"/>
      <w:r>
        <w:rPr>
          <w:bCs/>
          <w:color w:val="000000"/>
          <w:kern w:val="0"/>
          <w:sz w:val="24"/>
          <w:szCs w:val="21"/>
        </w:rPr>
        <w:t xml:space="preserve"> </w:t>
      </w:r>
      <w:r>
        <w:rPr>
          <w:rFonts w:hint="eastAsia"/>
          <w:bCs/>
          <w:color w:val="000000"/>
          <w:kern w:val="0"/>
          <w:sz w:val="24"/>
          <w:szCs w:val="21"/>
        </w:rPr>
        <w:t>以马克思主义的方法论为指导，培养学生</w:t>
      </w:r>
      <w:bookmarkStart w:id="102" w:name="_Hlk55762773"/>
      <w:r>
        <w:rPr>
          <w:rFonts w:hint="eastAsia"/>
          <w:bCs/>
          <w:color w:val="000000"/>
          <w:kern w:val="0"/>
          <w:sz w:val="24"/>
          <w:szCs w:val="21"/>
        </w:rPr>
        <w:t>诚信务实、脚踏实地、实事求是</w:t>
      </w:r>
      <w:bookmarkEnd w:id="102"/>
      <w:r>
        <w:rPr>
          <w:rFonts w:hint="eastAsia"/>
          <w:bCs/>
          <w:color w:val="000000"/>
          <w:kern w:val="0"/>
          <w:sz w:val="24"/>
          <w:szCs w:val="21"/>
        </w:rPr>
        <w:t>的科研素养。</w:t>
      </w:r>
    </w:p>
    <w:bookmarkEnd w:id="101"/>
    <w:p w14:paraId="128CC669">
      <w:pPr>
        <w:spacing w:line="360" w:lineRule="auto"/>
        <w:jc w:val="left"/>
        <w:rPr>
          <w:rFonts w:hint="eastAsia"/>
          <w:bCs/>
          <w:kern w:val="0"/>
          <w:sz w:val="24"/>
          <w:szCs w:val="21"/>
        </w:rPr>
      </w:pPr>
      <w:r>
        <w:rPr>
          <w:rFonts w:hint="eastAsia"/>
          <w:b/>
          <w:kern w:val="0"/>
          <w:sz w:val="24"/>
          <w:szCs w:val="21"/>
        </w:rPr>
        <w:t>（五）教育个案研究</w:t>
      </w:r>
      <w:r>
        <w:rPr>
          <w:rFonts w:hint="eastAsia"/>
          <w:bCs/>
          <w:kern w:val="0"/>
          <w:sz w:val="24"/>
          <w:szCs w:val="21"/>
        </w:rPr>
        <w:t>（本模块各知识点的讲授与学习，可以支撑课程目标3）</w:t>
      </w:r>
    </w:p>
    <w:p w14:paraId="02BA2984">
      <w:pPr>
        <w:spacing w:line="360" w:lineRule="auto"/>
        <w:jc w:val="left"/>
        <w:rPr>
          <w:rFonts w:hint="eastAsia"/>
          <w:b/>
          <w:bCs/>
          <w:kern w:val="0"/>
          <w:sz w:val="24"/>
          <w:szCs w:val="21"/>
        </w:rPr>
      </w:pPr>
      <w:r>
        <w:rPr>
          <w:rFonts w:hint="eastAsia"/>
          <w:b/>
          <w:bCs/>
          <w:kern w:val="0"/>
          <w:sz w:val="24"/>
          <w:szCs w:val="21"/>
        </w:rPr>
        <w:t>1. 教学内容</w:t>
      </w:r>
    </w:p>
    <w:p w14:paraId="650C1E63">
      <w:pPr>
        <w:spacing w:line="360" w:lineRule="auto"/>
        <w:jc w:val="left"/>
        <w:rPr>
          <w:rFonts w:hint="eastAsia"/>
          <w:kern w:val="0"/>
          <w:sz w:val="24"/>
          <w:szCs w:val="21"/>
        </w:rPr>
      </w:pPr>
      <w:r>
        <w:rPr>
          <w:rFonts w:hint="eastAsia"/>
          <w:kern w:val="0"/>
          <w:sz w:val="24"/>
          <w:szCs w:val="21"/>
        </w:rPr>
        <w:t>（1）个案研究概述</w:t>
      </w:r>
    </w:p>
    <w:p w14:paraId="0143B822">
      <w:pPr>
        <w:spacing w:line="360" w:lineRule="auto"/>
        <w:jc w:val="left"/>
        <w:rPr>
          <w:rFonts w:hint="eastAsia"/>
          <w:kern w:val="0"/>
          <w:sz w:val="24"/>
          <w:szCs w:val="21"/>
        </w:rPr>
      </w:pPr>
      <w:r>
        <w:rPr>
          <w:rFonts w:hint="eastAsia"/>
          <w:kern w:val="0"/>
          <w:sz w:val="24"/>
          <w:szCs w:val="21"/>
        </w:rPr>
        <w:t>（2）个案研究的步骤</w:t>
      </w:r>
    </w:p>
    <w:p w14:paraId="4BF0ABE8">
      <w:pPr>
        <w:spacing w:line="360" w:lineRule="auto"/>
        <w:jc w:val="left"/>
        <w:rPr>
          <w:rFonts w:hint="eastAsia"/>
          <w:kern w:val="0"/>
          <w:sz w:val="24"/>
          <w:szCs w:val="21"/>
        </w:rPr>
      </w:pPr>
      <w:r>
        <w:rPr>
          <w:rFonts w:hint="eastAsia"/>
          <w:kern w:val="0"/>
          <w:sz w:val="24"/>
          <w:szCs w:val="21"/>
        </w:rPr>
        <w:t>（3）个案研究的方法</w:t>
      </w:r>
    </w:p>
    <w:p w14:paraId="3F0BE805">
      <w:pPr>
        <w:spacing w:line="360" w:lineRule="auto"/>
        <w:jc w:val="left"/>
        <w:rPr>
          <w:rFonts w:hint="eastAsia"/>
          <w:b/>
          <w:bCs/>
          <w:kern w:val="0"/>
          <w:sz w:val="24"/>
          <w:szCs w:val="21"/>
        </w:rPr>
      </w:pPr>
      <w:r>
        <w:rPr>
          <w:rFonts w:hint="eastAsia"/>
          <w:b/>
          <w:bCs/>
          <w:kern w:val="0"/>
          <w:sz w:val="24"/>
          <w:szCs w:val="21"/>
        </w:rPr>
        <w:t>2. 基本要求</w:t>
      </w:r>
    </w:p>
    <w:p w14:paraId="179402A3">
      <w:pPr>
        <w:spacing w:line="360" w:lineRule="auto"/>
        <w:jc w:val="left"/>
        <w:rPr>
          <w:rFonts w:hint="eastAsia"/>
          <w:kern w:val="0"/>
          <w:sz w:val="24"/>
          <w:szCs w:val="21"/>
        </w:rPr>
      </w:pPr>
      <w:r>
        <w:rPr>
          <w:rFonts w:hint="eastAsia"/>
          <w:kern w:val="0"/>
          <w:sz w:val="24"/>
          <w:szCs w:val="21"/>
        </w:rPr>
        <w:t>（1）理解个案研究的涵义和特点；</w:t>
      </w:r>
    </w:p>
    <w:p w14:paraId="61AC6506">
      <w:pPr>
        <w:spacing w:line="360" w:lineRule="auto"/>
        <w:jc w:val="left"/>
        <w:rPr>
          <w:rFonts w:hint="eastAsia"/>
          <w:kern w:val="0"/>
          <w:sz w:val="24"/>
          <w:szCs w:val="21"/>
        </w:rPr>
      </w:pPr>
      <w:r>
        <w:rPr>
          <w:rFonts w:hint="eastAsia"/>
          <w:kern w:val="0"/>
          <w:sz w:val="24"/>
          <w:szCs w:val="21"/>
        </w:rPr>
        <w:t>（2）掌握个案研究的步骤；了解个案研究的主要方法；</w:t>
      </w:r>
    </w:p>
    <w:p w14:paraId="6DC88933">
      <w:pPr>
        <w:spacing w:line="360" w:lineRule="auto"/>
        <w:jc w:val="left"/>
        <w:rPr>
          <w:kern w:val="0"/>
          <w:sz w:val="24"/>
          <w:szCs w:val="21"/>
        </w:rPr>
      </w:pPr>
      <w:r>
        <w:rPr>
          <w:rFonts w:hint="eastAsia"/>
          <w:kern w:val="0"/>
          <w:sz w:val="24"/>
          <w:szCs w:val="21"/>
        </w:rPr>
        <w:t>（3）初步尝试个案研究的方案设计。</w:t>
      </w:r>
    </w:p>
    <w:p w14:paraId="508B37C9">
      <w:pPr>
        <w:spacing w:line="360" w:lineRule="auto"/>
        <w:rPr>
          <w:rFonts w:hint="eastAsia" w:ascii="宋体" w:hAnsi="宋体"/>
          <w:bCs/>
          <w:color w:val="000000"/>
          <w:sz w:val="24"/>
          <w:szCs w:val="22"/>
        </w:rPr>
      </w:pPr>
      <w:bookmarkStart w:id="103" w:name="_Hlk18818407"/>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个案研究的特点和步骤 </w:t>
      </w:r>
    </w:p>
    <w:p w14:paraId="7CA2345B">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个案研究方案设计</w:t>
      </w:r>
    </w:p>
    <w:p w14:paraId="5EC43E2C">
      <w:pPr>
        <w:spacing w:line="360" w:lineRule="auto"/>
        <w:jc w:val="left"/>
        <w:rPr>
          <w:bCs/>
          <w:color w:val="000000"/>
          <w:kern w:val="0"/>
          <w:sz w:val="24"/>
          <w:szCs w:val="21"/>
        </w:rPr>
      </w:pPr>
      <w:bookmarkStart w:id="104" w:name="_Hlk55745362"/>
      <w:r>
        <w:rPr>
          <w:rFonts w:hint="eastAsia"/>
          <w:b/>
          <w:color w:val="000000"/>
          <w:kern w:val="0"/>
          <w:sz w:val="24"/>
          <w:szCs w:val="21"/>
        </w:rPr>
        <w:t>5. 课程思政育人目标</w:t>
      </w:r>
    </w:p>
    <w:bookmarkEnd w:id="104"/>
    <w:p w14:paraId="6ACB093B">
      <w:pPr>
        <w:spacing w:line="360" w:lineRule="auto"/>
        <w:ind w:firstLine="480" w:firstLineChars="200"/>
        <w:jc w:val="left"/>
        <w:rPr>
          <w:rFonts w:hint="eastAsia"/>
          <w:bCs/>
          <w:color w:val="000000"/>
          <w:kern w:val="0"/>
          <w:sz w:val="24"/>
          <w:szCs w:val="21"/>
        </w:rPr>
      </w:pPr>
      <w:bookmarkStart w:id="105" w:name="_Hlk55795046"/>
      <w:r>
        <w:rPr>
          <w:rFonts w:hint="eastAsia"/>
          <w:bCs/>
          <w:color w:val="000000"/>
          <w:kern w:val="0"/>
          <w:sz w:val="24"/>
          <w:szCs w:val="21"/>
        </w:rPr>
        <w:t>遵循教育规律和儿童身心发展，尊重儿童个性，培养和形成正确的儿童观，热爱儿童、关心儿童的品质；培养和形成具体问题具体分析的工作作风。</w:t>
      </w:r>
    </w:p>
    <w:bookmarkEnd w:id="103"/>
    <w:bookmarkEnd w:id="105"/>
    <w:p w14:paraId="7E47D5E3">
      <w:pPr>
        <w:spacing w:line="360" w:lineRule="auto"/>
        <w:jc w:val="left"/>
        <w:rPr>
          <w:rFonts w:hint="eastAsia"/>
          <w:b/>
          <w:kern w:val="0"/>
          <w:sz w:val="24"/>
          <w:szCs w:val="21"/>
        </w:rPr>
      </w:pPr>
      <w:r>
        <w:rPr>
          <w:rFonts w:hint="eastAsia"/>
          <w:b/>
          <w:kern w:val="0"/>
          <w:sz w:val="24"/>
          <w:szCs w:val="21"/>
        </w:rPr>
        <w:t>（六）教育实验研究（</w:t>
      </w:r>
      <w:r>
        <w:rPr>
          <w:rFonts w:hint="eastAsia"/>
          <w:bCs/>
          <w:kern w:val="0"/>
          <w:sz w:val="24"/>
          <w:szCs w:val="21"/>
        </w:rPr>
        <w:t>本模块各知识点的讲授与学习，可以支撑课程目标3</w:t>
      </w:r>
      <w:r>
        <w:rPr>
          <w:rFonts w:hint="eastAsia"/>
          <w:b/>
          <w:kern w:val="0"/>
          <w:sz w:val="24"/>
          <w:szCs w:val="21"/>
        </w:rPr>
        <w:t>）</w:t>
      </w:r>
    </w:p>
    <w:p w14:paraId="7B87A574">
      <w:pPr>
        <w:spacing w:line="360" w:lineRule="auto"/>
        <w:jc w:val="left"/>
        <w:rPr>
          <w:rFonts w:hint="eastAsia"/>
          <w:b/>
          <w:bCs/>
          <w:kern w:val="0"/>
          <w:sz w:val="24"/>
          <w:szCs w:val="21"/>
        </w:rPr>
      </w:pPr>
      <w:r>
        <w:rPr>
          <w:rFonts w:hint="eastAsia"/>
          <w:b/>
          <w:bCs/>
          <w:kern w:val="0"/>
          <w:sz w:val="24"/>
          <w:szCs w:val="21"/>
        </w:rPr>
        <w:t>1. 教学内容</w:t>
      </w:r>
    </w:p>
    <w:p w14:paraId="2C38D6CA">
      <w:pPr>
        <w:spacing w:line="360" w:lineRule="auto"/>
        <w:jc w:val="left"/>
        <w:rPr>
          <w:rFonts w:hint="eastAsia"/>
          <w:kern w:val="0"/>
          <w:sz w:val="24"/>
          <w:szCs w:val="21"/>
        </w:rPr>
      </w:pPr>
      <w:r>
        <w:rPr>
          <w:rFonts w:hint="eastAsia"/>
          <w:kern w:val="0"/>
          <w:sz w:val="24"/>
          <w:szCs w:val="21"/>
        </w:rPr>
        <w:t>（1）教育实验概述</w:t>
      </w:r>
    </w:p>
    <w:p w14:paraId="7D89F4F3">
      <w:pPr>
        <w:spacing w:line="360" w:lineRule="auto"/>
        <w:jc w:val="left"/>
        <w:rPr>
          <w:rFonts w:hint="eastAsia"/>
          <w:kern w:val="0"/>
          <w:sz w:val="24"/>
          <w:szCs w:val="21"/>
        </w:rPr>
      </w:pPr>
      <w:r>
        <w:rPr>
          <w:rFonts w:hint="eastAsia"/>
          <w:kern w:val="0"/>
          <w:sz w:val="24"/>
          <w:szCs w:val="21"/>
        </w:rPr>
        <w:t>（2）教育实验选题与实验假设</w:t>
      </w:r>
    </w:p>
    <w:p w14:paraId="6B833CBD">
      <w:pPr>
        <w:spacing w:line="360" w:lineRule="auto"/>
        <w:jc w:val="left"/>
        <w:rPr>
          <w:rFonts w:hint="eastAsia"/>
          <w:kern w:val="0"/>
          <w:sz w:val="24"/>
          <w:szCs w:val="21"/>
        </w:rPr>
      </w:pPr>
      <w:r>
        <w:rPr>
          <w:rFonts w:hint="eastAsia"/>
          <w:kern w:val="0"/>
          <w:sz w:val="24"/>
          <w:szCs w:val="21"/>
        </w:rPr>
        <w:t>（3）教育实验的变量选择、测量和控制</w:t>
      </w:r>
    </w:p>
    <w:p w14:paraId="7D5A362F">
      <w:pPr>
        <w:spacing w:line="360" w:lineRule="auto"/>
        <w:jc w:val="left"/>
        <w:rPr>
          <w:rFonts w:hint="eastAsia"/>
          <w:kern w:val="0"/>
          <w:sz w:val="24"/>
          <w:szCs w:val="21"/>
        </w:rPr>
      </w:pPr>
      <w:r>
        <w:rPr>
          <w:rFonts w:hint="eastAsia"/>
          <w:kern w:val="0"/>
          <w:sz w:val="24"/>
          <w:szCs w:val="21"/>
        </w:rPr>
        <w:t>（4）教育实验的类型和设计</w:t>
      </w:r>
    </w:p>
    <w:p w14:paraId="6FD31A90">
      <w:pPr>
        <w:spacing w:line="360" w:lineRule="auto"/>
        <w:jc w:val="left"/>
        <w:rPr>
          <w:rFonts w:hint="eastAsia"/>
          <w:kern w:val="0"/>
          <w:sz w:val="24"/>
          <w:szCs w:val="21"/>
        </w:rPr>
      </w:pPr>
      <w:r>
        <w:rPr>
          <w:rFonts w:hint="eastAsia"/>
          <w:kern w:val="0"/>
          <w:sz w:val="24"/>
          <w:szCs w:val="21"/>
        </w:rPr>
        <w:t>（5）教育实验的评价</w:t>
      </w:r>
    </w:p>
    <w:p w14:paraId="6CAC50D6">
      <w:pPr>
        <w:spacing w:line="360" w:lineRule="auto"/>
        <w:jc w:val="left"/>
        <w:rPr>
          <w:rFonts w:hint="eastAsia"/>
          <w:b/>
          <w:bCs/>
          <w:kern w:val="0"/>
          <w:sz w:val="24"/>
          <w:szCs w:val="21"/>
        </w:rPr>
      </w:pPr>
      <w:r>
        <w:rPr>
          <w:rFonts w:hint="eastAsia"/>
          <w:b/>
          <w:bCs/>
          <w:kern w:val="0"/>
          <w:sz w:val="24"/>
          <w:szCs w:val="21"/>
        </w:rPr>
        <w:t>2. 基本要求</w:t>
      </w:r>
    </w:p>
    <w:p w14:paraId="2EA80F2D">
      <w:pPr>
        <w:spacing w:line="360" w:lineRule="auto"/>
        <w:jc w:val="left"/>
        <w:rPr>
          <w:rFonts w:hint="eastAsia"/>
          <w:kern w:val="0"/>
          <w:sz w:val="24"/>
          <w:szCs w:val="21"/>
        </w:rPr>
      </w:pPr>
      <w:r>
        <w:rPr>
          <w:rFonts w:hint="eastAsia"/>
          <w:kern w:val="0"/>
          <w:sz w:val="24"/>
          <w:szCs w:val="21"/>
        </w:rPr>
        <w:t>（1）明确教育实验研究的涵义及其基本概念，理解教育实验的特征、功能和局限性；（2）了解教育实验的步骤；了解常见的无关变量及其控制办法；</w:t>
      </w:r>
    </w:p>
    <w:p w14:paraId="0071ABC6">
      <w:pPr>
        <w:spacing w:line="360" w:lineRule="auto"/>
        <w:jc w:val="left"/>
        <w:rPr>
          <w:rFonts w:hint="eastAsia"/>
          <w:kern w:val="0"/>
          <w:sz w:val="24"/>
          <w:szCs w:val="21"/>
        </w:rPr>
      </w:pPr>
      <w:r>
        <w:rPr>
          <w:rFonts w:hint="eastAsia"/>
          <w:kern w:val="0"/>
          <w:sz w:val="24"/>
          <w:szCs w:val="21"/>
        </w:rPr>
        <w:t>（3）学会识别常用的实验设计类型；</w:t>
      </w:r>
    </w:p>
    <w:p w14:paraId="5A2195CB">
      <w:pPr>
        <w:spacing w:line="360" w:lineRule="auto"/>
        <w:jc w:val="left"/>
        <w:rPr>
          <w:kern w:val="0"/>
          <w:sz w:val="24"/>
          <w:szCs w:val="21"/>
        </w:rPr>
      </w:pPr>
      <w:r>
        <w:rPr>
          <w:rFonts w:hint="eastAsia"/>
          <w:kern w:val="0"/>
          <w:sz w:val="24"/>
          <w:szCs w:val="21"/>
        </w:rPr>
        <w:t>（4）学会从实验设计的角度评价实验效度。</w:t>
      </w:r>
    </w:p>
    <w:p w14:paraId="492EE48F">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教育实验研究的步骤 </w:t>
      </w:r>
    </w:p>
    <w:p w14:paraId="23FDC15E">
      <w:pPr>
        <w:spacing w:line="360" w:lineRule="auto"/>
        <w:jc w:val="left"/>
        <w:rPr>
          <w:bCs/>
          <w:color w:val="000000"/>
          <w:kern w:val="0"/>
          <w:sz w:val="24"/>
          <w:szCs w:val="21"/>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教育实验研究方案设计</w:t>
      </w:r>
      <w:r>
        <w:rPr>
          <w:rFonts w:hint="eastAsia"/>
          <w:bCs/>
          <w:color w:val="000000"/>
          <w:kern w:val="0"/>
          <w:sz w:val="24"/>
          <w:szCs w:val="21"/>
        </w:rPr>
        <w:t xml:space="preserve"> </w:t>
      </w:r>
    </w:p>
    <w:p w14:paraId="295F9039">
      <w:pPr>
        <w:spacing w:line="360" w:lineRule="auto"/>
        <w:jc w:val="left"/>
        <w:rPr>
          <w:bCs/>
          <w:color w:val="000000"/>
          <w:kern w:val="0"/>
          <w:sz w:val="24"/>
          <w:szCs w:val="21"/>
        </w:rPr>
      </w:pPr>
      <w:bookmarkStart w:id="106" w:name="_Hlk55745773"/>
      <w:bookmarkStart w:id="107" w:name="_Hlk55794632"/>
      <w:r>
        <w:rPr>
          <w:rFonts w:hint="eastAsia"/>
          <w:b/>
          <w:color w:val="000000"/>
          <w:kern w:val="0"/>
          <w:sz w:val="24"/>
          <w:szCs w:val="21"/>
        </w:rPr>
        <w:t>5. 课程思政育人目标</w:t>
      </w:r>
    </w:p>
    <w:bookmarkEnd w:id="106"/>
    <w:p w14:paraId="2683B7E1">
      <w:pPr>
        <w:spacing w:line="360" w:lineRule="auto"/>
        <w:jc w:val="left"/>
        <w:rPr>
          <w:rFonts w:hint="eastAsia"/>
          <w:bCs/>
          <w:color w:val="000000"/>
          <w:kern w:val="0"/>
          <w:sz w:val="24"/>
          <w:szCs w:val="21"/>
        </w:rPr>
      </w:pPr>
      <w:r>
        <w:rPr>
          <w:rFonts w:hint="eastAsia"/>
          <w:bCs/>
          <w:color w:val="000000"/>
          <w:kern w:val="0"/>
          <w:sz w:val="24"/>
          <w:szCs w:val="21"/>
        </w:rPr>
        <w:t xml:space="preserve"> </w:t>
      </w:r>
      <w:bookmarkStart w:id="108" w:name="_Hlk55764339"/>
      <w:r>
        <w:rPr>
          <w:bCs/>
          <w:color w:val="000000"/>
          <w:kern w:val="0"/>
          <w:sz w:val="24"/>
          <w:szCs w:val="21"/>
        </w:rPr>
        <w:t xml:space="preserve"> </w:t>
      </w:r>
      <w:bookmarkStart w:id="109" w:name="_Hlk55801390"/>
      <w:r>
        <w:rPr>
          <w:rFonts w:hint="eastAsia"/>
          <w:bCs/>
          <w:color w:val="000000"/>
          <w:kern w:val="0"/>
          <w:sz w:val="24"/>
          <w:szCs w:val="21"/>
        </w:rPr>
        <w:t>尊重事物发展的内在规律，准确把握事物的主要矛盾和次要矛盾；</w:t>
      </w:r>
      <w:bookmarkEnd w:id="109"/>
      <w:bookmarkStart w:id="110" w:name="_Hlk55749769"/>
      <w:r>
        <w:rPr>
          <w:rFonts w:hint="eastAsia"/>
          <w:bCs/>
          <w:color w:val="000000"/>
          <w:kern w:val="0"/>
          <w:sz w:val="24"/>
          <w:szCs w:val="21"/>
        </w:rPr>
        <w:t>尊重儿童身心发展规律，关注教育研究的伦理特点，形成正确的科研观和业绩观。</w:t>
      </w:r>
    </w:p>
    <w:bookmarkEnd w:id="107"/>
    <w:bookmarkEnd w:id="108"/>
    <w:bookmarkEnd w:id="110"/>
    <w:p w14:paraId="70580E6A">
      <w:pPr>
        <w:spacing w:line="360" w:lineRule="auto"/>
        <w:jc w:val="left"/>
        <w:rPr>
          <w:rFonts w:hint="eastAsia"/>
          <w:bCs/>
          <w:kern w:val="0"/>
          <w:sz w:val="24"/>
          <w:szCs w:val="21"/>
        </w:rPr>
      </w:pPr>
      <w:r>
        <w:rPr>
          <w:rFonts w:hint="eastAsia"/>
          <w:b/>
          <w:kern w:val="0"/>
          <w:sz w:val="24"/>
          <w:szCs w:val="21"/>
        </w:rPr>
        <w:t>（七）教育叙事研究</w:t>
      </w:r>
      <w:r>
        <w:rPr>
          <w:rFonts w:hint="eastAsia"/>
          <w:bCs/>
          <w:kern w:val="0"/>
          <w:sz w:val="24"/>
          <w:szCs w:val="21"/>
        </w:rPr>
        <w:t>（本模块各知识点的讲授与学习，可以支撑课程目标3）</w:t>
      </w:r>
    </w:p>
    <w:p w14:paraId="2F94C891">
      <w:pPr>
        <w:spacing w:line="360" w:lineRule="auto"/>
        <w:jc w:val="left"/>
        <w:rPr>
          <w:rFonts w:hint="eastAsia"/>
          <w:b/>
          <w:bCs/>
          <w:kern w:val="0"/>
          <w:sz w:val="24"/>
          <w:szCs w:val="21"/>
        </w:rPr>
      </w:pPr>
      <w:r>
        <w:rPr>
          <w:rFonts w:hint="eastAsia"/>
          <w:b/>
          <w:bCs/>
          <w:kern w:val="0"/>
          <w:sz w:val="24"/>
          <w:szCs w:val="21"/>
        </w:rPr>
        <w:t>1. 教学内容</w:t>
      </w:r>
    </w:p>
    <w:p w14:paraId="2E447C66">
      <w:pPr>
        <w:spacing w:line="360" w:lineRule="auto"/>
        <w:jc w:val="left"/>
        <w:rPr>
          <w:rFonts w:hint="eastAsia"/>
          <w:kern w:val="0"/>
          <w:sz w:val="24"/>
          <w:szCs w:val="21"/>
        </w:rPr>
      </w:pPr>
      <w:r>
        <w:rPr>
          <w:rFonts w:hint="eastAsia"/>
          <w:kern w:val="0"/>
          <w:sz w:val="24"/>
          <w:szCs w:val="21"/>
        </w:rPr>
        <w:t>（1）教育叙事研究概述</w:t>
      </w:r>
    </w:p>
    <w:p w14:paraId="098E45F6">
      <w:pPr>
        <w:spacing w:line="360" w:lineRule="auto"/>
        <w:jc w:val="left"/>
        <w:rPr>
          <w:rFonts w:hint="eastAsia"/>
          <w:kern w:val="0"/>
          <w:sz w:val="24"/>
          <w:szCs w:val="21"/>
        </w:rPr>
      </w:pPr>
      <w:r>
        <w:rPr>
          <w:rFonts w:hint="eastAsia"/>
          <w:kern w:val="0"/>
          <w:sz w:val="24"/>
          <w:szCs w:val="21"/>
        </w:rPr>
        <w:t>（2）教育叙事研究的操作策略</w:t>
      </w:r>
    </w:p>
    <w:p w14:paraId="671E15FD">
      <w:pPr>
        <w:spacing w:line="360" w:lineRule="auto"/>
        <w:jc w:val="left"/>
        <w:rPr>
          <w:rFonts w:hint="eastAsia"/>
          <w:kern w:val="0"/>
          <w:sz w:val="24"/>
          <w:szCs w:val="21"/>
        </w:rPr>
      </w:pPr>
      <w:r>
        <w:rPr>
          <w:rFonts w:hint="eastAsia"/>
          <w:kern w:val="0"/>
          <w:sz w:val="24"/>
          <w:szCs w:val="21"/>
        </w:rPr>
        <w:t>（3）教育叙事研究的基本要求</w:t>
      </w:r>
    </w:p>
    <w:p w14:paraId="4E9C437D">
      <w:pPr>
        <w:spacing w:line="360" w:lineRule="auto"/>
        <w:jc w:val="left"/>
        <w:rPr>
          <w:rFonts w:hint="eastAsia"/>
          <w:b/>
          <w:bCs/>
          <w:kern w:val="0"/>
          <w:sz w:val="24"/>
          <w:szCs w:val="21"/>
        </w:rPr>
      </w:pPr>
      <w:r>
        <w:rPr>
          <w:rFonts w:hint="eastAsia"/>
          <w:b/>
          <w:bCs/>
          <w:kern w:val="0"/>
          <w:sz w:val="24"/>
          <w:szCs w:val="21"/>
        </w:rPr>
        <w:t xml:space="preserve"> 2. 基本要求</w:t>
      </w:r>
    </w:p>
    <w:p w14:paraId="1788C51F">
      <w:pPr>
        <w:spacing w:line="360" w:lineRule="auto"/>
        <w:jc w:val="left"/>
        <w:rPr>
          <w:rFonts w:hint="eastAsia"/>
          <w:kern w:val="0"/>
          <w:sz w:val="24"/>
          <w:szCs w:val="21"/>
        </w:rPr>
      </w:pPr>
      <w:r>
        <w:rPr>
          <w:rFonts w:hint="eastAsia"/>
          <w:kern w:val="0"/>
          <w:sz w:val="24"/>
          <w:szCs w:val="21"/>
        </w:rPr>
        <w:t>（1）了解教育叙事研究的特征；</w:t>
      </w:r>
    </w:p>
    <w:p w14:paraId="157548D7">
      <w:pPr>
        <w:spacing w:line="360" w:lineRule="auto"/>
        <w:jc w:val="left"/>
        <w:rPr>
          <w:rFonts w:hint="eastAsia"/>
          <w:kern w:val="0"/>
          <w:sz w:val="24"/>
          <w:szCs w:val="21"/>
        </w:rPr>
      </w:pPr>
      <w:r>
        <w:rPr>
          <w:rFonts w:hint="eastAsia"/>
          <w:kern w:val="0"/>
          <w:sz w:val="24"/>
          <w:szCs w:val="21"/>
        </w:rPr>
        <w:t>（2）掌握教育叙事研究的关键步骤及操作策略；</w:t>
      </w:r>
    </w:p>
    <w:p w14:paraId="7AA6117C">
      <w:pPr>
        <w:spacing w:line="360" w:lineRule="auto"/>
        <w:jc w:val="left"/>
        <w:rPr>
          <w:kern w:val="0"/>
          <w:sz w:val="24"/>
          <w:szCs w:val="21"/>
        </w:rPr>
      </w:pPr>
      <w:r>
        <w:rPr>
          <w:rFonts w:hint="eastAsia"/>
          <w:kern w:val="0"/>
          <w:sz w:val="24"/>
          <w:szCs w:val="21"/>
        </w:rPr>
        <w:t>（3）掌握教育叙事研究的“深度描写”的基本要求；</w:t>
      </w:r>
    </w:p>
    <w:p w14:paraId="47F789B6">
      <w:pPr>
        <w:spacing w:line="360" w:lineRule="auto"/>
        <w:jc w:val="left"/>
        <w:rPr>
          <w:rFonts w:hint="eastAsia"/>
          <w:kern w:val="0"/>
          <w:sz w:val="24"/>
          <w:szCs w:val="21"/>
        </w:rPr>
      </w:pPr>
      <w:r>
        <w:rPr>
          <w:rFonts w:hint="eastAsia"/>
          <w:kern w:val="0"/>
          <w:sz w:val="24"/>
          <w:szCs w:val="21"/>
        </w:rPr>
        <w:t>（4）初步掌握教育叙事研究方案的设计。</w:t>
      </w:r>
    </w:p>
    <w:p w14:paraId="08D021E4">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叙事研究的操作策略 </w:t>
      </w:r>
    </w:p>
    <w:p w14:paraId="41F74405">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叙事研究方案设计</w:t>
      </w:r>
    </w:p>
    <w:p w14:paraId="6A489187">
      <w:pPr>
        <w:spacing w:line="360" w:lineRule="auto"/>
        <w:jc w:val="left"/>
        <w:rPr>
          <w:bCs/>
          <w:color w:val="000000"/>
          <w:kern w:val="0"/>
          <w:sz w:val="24"/>
          <w:szCs w:val="21"/>
        </w:rPr>
      </w:pPr>
      <w:r>
        <w:rPr>
          <w:rFonts w:hint="eastAsia"/>
          <w:b/>
          <w:color w:val="000000"/>
          <w:kern w:val="0"/>
          <w:sz w:val="24"/>
          <w:szCs w:val="21"/>
        </w:rPr>
        <w:t>5. 课程思政育人目标</w:t>
      </w:r>
    </w:p>
    <w:p w14:paraId="672A2197">
      <w:pPr>
        <w:spacing w:line="360" w:lineRule="auto"/>
        <w:ind w:firstLine="480" w:firstLineChars="200"/>
        <w:jc w:val="left"/>
        <w:rPr>
          <w:rFonts w:hint="eastAsia"/>
          <w:bCs/>
          <w:color w:val="000000"/>
          <w:kern w:val="0"/>
          <w:sz w:val="24"/>
          <w:szCs w:val="21"/>
        </w:rPr>
      </w:pPr>
      <w:bookmarkStart w:id="111" w:name="_Hlk55794574"/>
      <w:bookmarkStart w:id="112" w:name="_Hlk55764540"/>
      <w:r>
        <w:rPr>
          <w:rFonts w:hint="eastAsia"/>
          <w:bCs/>
          <w:color w:val="000000"/>
          <w:kern w:val="0"/>
          <w:sz w:val="24"/>
          <w:szCs w:val="21"/>
        </w:rPr>
        <w:t>培养和形成深厚的教育情怀，走进儿童心灵，关心、关爱儿童；</w:t>
      </w:r>
      <w:bookmarkEnd w:id="111"/>
      <w:r>
        <w:rPr>
          <w:rFonts w:hint="eastAsia"/>
          <w:bCs/>
          <w:color w:val="000000"/>
          <w:kern w:val="0"/>
          <w:sz w:val="24"/>
          <w:szCs w:val="21"/>
        </w:rPr>
        <w:t>养成脚踏实地、实事求是的学习风气和研究态度。</w:t>
      </w:r>
    </w:p>
    <w:bookmarkEnd w:id="112"/>
    <w:p w14:paraId="2A4ABD94">
      <w:pPr>
        <w:spacing w:line="360" w:lineRule="auto"/>
        <w:jc w:val="left"/>
        <w:rPr>
          <w:rFonts w:hint="eastAsia"/>
          <w:b/>
          <w:kern w:val="0"/>
          <w:sz w:val="24"/>
          <w:szCs w:val="21"/>
        </w:rPr>
      </w:pPr>
      <w:r>
        <w:rPr>
          <w:rFonts w:hint="eastAsia"/>
          <w:b/>
          <w:kern w:val="0"/>
          <w:sz w:val="24"/>
          <w:szCs w:val="21"/>
        </w:rPr>
        <w:t>（八）教育行动研究（</w:t>
      </w:r>
      <w:r>
        <w:rPr>
          <w:rFonts w:hint="eastAsia"/>
          <w:bCs/>
          <w:kern w:val="0"/>
          <w:sz w:val="24"/>
          <w:szCs w:val="21"/>
        </w:rPr>
        <w:t>本模块各知识点的讲授与学习，可以支撑课程目标3</w:t>
      </w:r>
      <w:r>
        <w:rPr>
          <w:rFonts w:hint="eastAsia"/>
          <w:b/>
          <w:kern w:val="0"/>
          <w:sz w:val="24"/>
          <w:szCs w:val="21"/>
        </w:rPr>
        <w:t>）</w:t>
      </w:r>
    </w:p>
    <w:p w14:paraId="5257A679">
      <w:pPr>
        <w:spacing w:line="360" w:lineRule="auto"/>
        <w:jc w:val="left"/>
        <w:rPr>
          <w:rFonts w:hint="eastAsia"/>
          <w:b/>
          <w:bCs/>
          <w:kern w:val="0"/>
          <w:sz w:val="24"/>
          <w:szCs w:val="21"/>
        </w:rPr>
      </w:pPr>
      <w:r>
        <w:rPr>
          <w:rFonts w:hint="eastAsia"/>
          <w:b/>
          <w:bCs/>
          <w:kern w:val="0"/>
          <w:sz w:val="24"/>
          <w:szCs w:val="21"/>
        </w:rPr>
        <w:t>1. 教学内容</w:t>
      </w:r>
    </w:p>
    <w:p w14:paraId="453EF1EB">
      <w:pPr>
        <w:spacing w:line="360" w:lineRule="auto"/>
        <w:jc w:val="left"/>
        <w:rPr>
          <w:rFonts w:hint="eastAsia"/>
          <w:kern w:val="0"/>
          <w:sz w:val="24"/>
          <w:szCs w:val="21"/>
        </w:rPr>
      </w:pPr>
      <w:r>
        <w:rPr>
          <w:rFonts w:hint="eastAsia"/>
          <w:kern w:val="0"/>
          <w:sz w:val="24"/>
          <w:szCs w:val="21"/>
        </w:rPr>
        <w:t>（1）教育行动研究概述</w:t>
      </w:r>
    </w:p>
    <w:p w14:paraId="534B66C8">
      <w:pPr>
        <w:spacing w:line="360" w:lineRule="auto"/>
        <w:jc w:val="left"/>
        <w:rPr>
          <w:rFonts w:hint="eastAsia"/>
          <w:kern w:val="0"/>
          <w:sz w:val="24"/>
          <w:szCs w:val="21"/>
        </w:rPr>
      </w:pPr>
      <w:r>
        <w:rPr>
          <w:rFonts w:hint="eastAsia"/>
          <w:kern w:val="0"/>
          <w:sz w:val="24"/>
          <w:szCs w:val="21"/>
        </w:rPr>
        <w:t>（2）教育行动研究的步骤</w:t>
      </w:r>
    </w:p>
    <w:p w14:paraId="3F8827E1">
      <w:pPr>
        <w:spacing w:line="360" w:lineRule="auto"/>
        <w:jc w:val="left"/>
        <w:rPr>
          <w:rFonts w:hint="eastAsia"/>
          <w:kern w:val="0"/>
          <w:sz w:val="24"/>
          <w:szCs w:val="21"/>
        </w:rPr>
      </w:pPr>
      <w:r>
        <w:rPr>
          <w:rFonts w:hint="eastAsia"/>
          <w:kern w:val="0"/>
          <w:sz w:val="24"/>
          <w:szCs w:val="21"/>
        </w:rPr>
        <w:t>（3）教育行动研究的基本要求</w:t>
      </w:r>
    </w:p>
    <w:p w14:paraId="54CD5203">
      <w:pPr>
        <w:spacing w:line="360" w:lineRule="auto"/>
        <w:jc w:val="left"/>
        <w:rPr>
          <w:rFonts w:hint="eastAsia"/>
          <w:kern w:val="0"/>
          <w:sz w:val="24"/>
          <w:szCs w:val="21"/>
        </w:rPr>
      </w:pPr>
      <w:r>
        <w:rPr>
          <w:rFonts w:hint="eastAsia"/>
          <w:kern w:val="0"/>
          <w:sz w:val="24"/>
          <w:szCs w:val="21"/>
        </w:rPr>
        <w:t xml:space="preserve"> 2. 基本要求</w:t>
      </w:r>
    </w:p>
    <w:p w14:paraId="4B5ED8B8">
      <w:pPr>
        <w:spacing w:line="360" w:lineRule="auto"/>
        <w:jc w:val="left"/>
        <w:rPr>
          <w:rFonts w:hint="eastAsia"/>
          <w:kern w:val="0"/>
          <w:sz w:val="24"/>
          <w:szCs w:val="21"/>
        </w:rPr>
      </w:pPr>
      <w:r>
        <w:rPr>
          <w:rFonts w:hint="eastAsia"/>
          <w:kern w:val="0"/>
          <w:sz w:val="24"/>
          <w:szCs w:val="21"/>
        </w:rPr>
        <w:t>（1）了解教育行动研究的特征和意义；</w:t>
      </w:r>
    </w:p>
    <w:p w14:paraId="2125F374">
      <w:pPr>
        <w:spacing w:line="360" w:lineRule="auto"/>
        <w:jc w:val="left"/>
        <w:rPr>
          <w:rFonts w:hint="eastAsia"/>
          <w:kern w:val="0"/>
          <w:sz w:val="24"/>
          <w:szCs w:val="21"/>
        </w:rPr>
      </w:pPr>
      <w:r>
        <w:rPr>
          <w:rFonts w:hint="eastAsia"/>
          <w:kern w:val="0"/>
          <w:sz w:val="24"/>
          <w:szCs w:val="21"/>
        </w:rPr>
        <w:t>（2）掌握教育行动研究的基本步骤；</w:t>
      </w:r>
    </w:p>
    <w:p w14:paraId="1D63C59B">
      <w:pPr>
        <w:spacing w:line="360" w:lineRule="auto"/>
        <w:jc w:val="left"/>
        <w:rPr>
          <w:kern w:val="0"/>
          <w:sz w:val="24"/>
          <w:szCs w:val="21"/>
        </w:rPr>
      </w:pPr>
      <w:r>
        <w:rPr>
          <w:rFonts w:hint="eastAsia"/>
          <w:kern w:val="0"/>
          <w:sz w:val="24"/>
          <w:szCs w:val="21"/>
        </w:rPr>
        <w:t>（3）学会教育行动研究方案设计。</w:t>
      </w:r>
    </w:p>
    <w:p w14:paraId="582E0DEE">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教育行动研究的基本步骤 </w:t>
      </w:r>
    </w:p>
    <w:p w14:paraId="77BFA94C">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教育行动研究方案设计</w:t>
      </w:r>
    </w:p>
    <w:p w14:paraId="5726003A">
      <w:pPr>
        <w:spacing w:line="360" w:lineRule="auto"/>
        <w:jc w:val="left"/>
        <w:rPr>
          <w:bCs/>
          <w:color w:val="000000"/>
          <w:kern w:val="0"/>
          <w:sz w:val="24"/>
          <w:szCs w:val="21"/>
        </w:rPr>
      </w:pPr>
      <w:bookmarkStart w:id="113" w:name="_Hlk55745887"/>
      <w:r>
        <w:rPr>
          <w:rFonts w:hint="eastAsia"/>
          <w:b/>
          <w:color w:val="000000"/>
          <w:kern w:val="0"/>
          <w:sz w:val="24"/>
          <w:szCs w:val="21"/>
        </w:rPr>
        <w:t>5. 课程思政育人目标</w:t>
      </w:r>
    </w:p>
    <w:p w14:paraId="4D4B1CEC">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尊重教育发展规律和儿童身心发展规律，形成务实的研究作风；培养和形成协调合作能力和创新实践能力。</w:t>
      </w:r>
    </w:p>
    <w:bookmarkEnd w:id="113"/>
    <w:p w14:paraId="5BCEF141">
      <w:pPr>
        <w:spacing w:line="360" w:lineRule="auto"/>
        <w:jc w:val="left"/>
        <w:rPr>
          <w:rFonts w:hint="eastAsia"/>
          <w:b/>
          <w:kern w:val="0"/>
          <w:sz w:val="24"/>
          <w:szCs w:val="21"/>
        </w:rPr>
      </w:pPr>
      <w:r>
        <w:rPr>
          <w:rFonts w:hint="eastAsia"/>
          <w:b/>
          <w:kern w:val="0"/>
          <w:sz w:val="24"/>
          <w:szCs w:val="21"/>
        </w:rPr>
        <w:t>（九）教育研究成果表述</w:t>
      </w:r>
      <w:r>
        <w:rPr>
          <w:rFonts w:hint="eastAsia"/>
          <w:bCs/>
          <w:kern w:val="0"/>
          <w:sz w:val="24"/>
          <w:szCs w:val="21"/>
        </w:rPr>
        <w:t>（本模块各知识点的讲授与学习，可以支撑课程目标4）</w:t>
      </w:r>
    </w:p>
    <w:p w14:paraId="086135B1">
      <w:pPr>
        <w:spacing w:line="360" w:lineRule="auto"/>
        <w:ind w:firstLine="120" w:firstLineChars="50"/>
        <w:jc w:val="left"/>
        <w:rPr>
          <w:rFonts w:hint="eastAsia"/>
          <w:kern w:val="0"/>
          <w:sz w:val="24"/>
          <w:szCs w:val="21"/>
        </w:rPr>
      </w:pPr>
      <w:r>
        <w:rPr>
          <w:rFonts w:hint="eastAsia"/>
          <w:kern w:val="0"/>
          <w:sz w:val="24"/>
          <w:szCs w:val="21"/>
        </w:rPr>
        <w:t>1. 教学内容</w:t>
      </w:r>
    </w:p>
    <w:p w14:paraId="2E12827E">
      <w:pPr>
        <w:spacing w:line="360" w:lineRule="auto"/>
        <w:ind w:firstLine="120" w:firstLineChars="50"/>
        <w:jc w:val="left"/>
        <w:rPr>
          <w:rFonts w:hint="eastAsia"/>
          <w:kern w:val="0"/>
          <w:sz w:val="24"/>
          <w:szCs w:val="21"/>
        </w:rPr>
      </w:pPr>
      <w:r>
        <w:rPr>
          <w:rFonts w:hint="eastAsia"/>
          <w:kern w:val="0"/>
          <w:sz w:val="24"/>
          <w:szCs w:val="21"/>
        </w:rPr>
        <w:t>（1）教育研究成果表述的目的</w:t>
      </w:r>
    </w:p>
    <w:p w14:paraId="32C7DDCB">
      <w:pPr>
        <w:spacing w:line="360" w:lineRule="auto"/>
        <w:ind w:firstLine="120" w:firstLineChars="50"/>
        <w:jc w:val="left"/>
        <w:rPr>
          <w:rFonts w:hint="eastAsia"/>
          <w:kern w:val="0"/>
          <w:sz w:val="24"/>
          <w:szCs w:val="21"/>
        </w:rPr>
      </w:pPr>
      <w:r>
        <w:rPr>
          <w:rFonts w:hint="eastAsia"/>
          <w:kern w:val="0"/>
          <w:sz w:val="24"/>
          <w:szCs w:val="21"/>
        </w:rPr>
        <w:t>（2）教育研究成果的主要类型</w:t>
      </w:r>
    </w:p>
    <w:p w14:paraId="7792BF98">
      <w:pPr>
        <w:spacing w:line="360" w:lineRule="auto"/>
        <w:ind w:firstLine="120" w:firstLineChars="50"/>
        <w:jc w:val="left"/>
        <w:rPr>
          <w:rFonts w:hint="eastAsia"/>
          <w:kern w:val="0"/>
          <w:sz w:val="24"/>
          <w:szCs w:val="21"/>
        </w:rPr>
      </w:pPr>
      <w:r>
        <w:rPr>
          <w:rFonts w:hint="eastAsia"/>
          <w:kern w:val="0"/>
          <w:sz w:val="24"/>
          <w:szCs w:val="21"/>
        </w:rPr>
        <w:t>（3）教育研究成果的撰写</w:t>
      </w:r>
    </w:p>
    <w:p w14:paraId="35D055A4">
      <w:pPr>
        <w:spacing w:line="360" w:lineRule="auto"/>
        <w:ind w:firstLine="120" w:firstLineChars="50"/>
        <w:jc w:val="left"/>
        <w:rPr>
          <w:rFonts w:hint="eastAsia"/>
          <w:kern w:val="0"/>
          <w:sz w:val="24"/>
          <w:szCs w:val="21"/>
        </w:rPr>
      </w:pPr>
      <w:r>
        <w:rPr>
          <w:rFonts w:hint="eastAsia"/>
          <w:kern w:val="0"/>
          <w:sz w:val="24"/>
          <w:szCs w:val="21"/>
        </w:rPr>
        <w:t>（4）教育研究成果表述通行规范</w:t>
      </w:r>
    </w:p>
    <w:p w14:paraId="57E26112">
      <w:pPr>
        <w:spacing w:line="360" w:lineRule="auto"/>
        <w:ind w:firstLine="120" w:firstLineChars="50"/>
        <w:jc w:val="left"/>
        <w:rPr>
          <w:rFonts w:hint="eastAsia"/>
          <w:kern w:val="0"/>
          <w:sz w:val="24"/>
          <w:szCs w:val="21"/>
        </w:rPr>
      </w:pPr>
      <w:r>
        <w:rPr>
          <w:rFonts w:hint="eastAsia"/>
          <w:kern w:val="0"/>
          <w:sz w:val="24"/>
          <w:szCs w:val="21"/>
        </w:rPr>
        <w:t>2. 基本要求</w:t>
      </w:r>
    </w:p>
    <w:p w14:paraId="235BC2C1">
      <w:pPr>
        <w:spacing w:line="360" w:lineRule="auto"/>
        <w:jc w:val="left"/>
        <w:rPr>
          <w:rFonts w:hint="eastAsia"/>
          <w:kern w:val="0"/>
          <w:sz w:val="24"/>
          <w:szCs w:val="21"/>
        </w:rPr>
      </w:pPr>
      <w:r>
        <w:rPr>
          <w:rFonts w:hint="eastAsia"/>
          <w:kern w:val="0"/>
          <w:sz w:val="24"/>
          <w:szCs w:val="21"/>
        </w:rPr>
        <w:t>（1）了解教育研究成果表述的目的；</w:t>
      </w:r>
    </w:p>
    <w:p w14:paraId="659B2828">
      <w:pPr>
        <w:spacing w:line="360" w:lineRule="auto"/>
        <w:jc w:val="left"/>
        <w:rPr>
          <w:rFonts w:hint="eastAsia"/>
          <w:kern w:val="0"/>
          <w:sz w:val="24"/>
          <w:szCs w:val="21"/>
        </w:rPr>
      </w:pPr>
      <w:r>
        <w:rPr>
          <w:rFonts w:hint="eastAsia"/>
          <w:kern w:val="0"/>
          <w:sz w:val="24"/>
          <w:szCs w:val="21"/>
        </w:rPr>
        <w:t>（2）掌握教育经验总结、教育调查报告、实验报告及学术论文（毕业论文）的基本结构；</w:t>
      </w:r>
    </w:p>
    <w:p w14:paraId="01A24F7C">
      <w:pPr>
        <w:spacing w:line="360" w:lineRule="auto"/>
        <w:jc w:val="left"/>
        <w:rPr>
          <w:rFonts w:hint="eastAsia"/>
          <w:kern w:val="0"/>
          <w:sz w:val="24"/>
          <w:szCs w:val="21"/>
        </w:rPr>
      </w:pPr>
      <w:r>
        <w:rPr>
          <w:rFonts w:hint="eastAsia"/>
          <w:kern w:val="0"/>
          <w:sz w:val="24"/>
          <w:szCs w:val="21"/>
        </w:rPr>
        <w:t>（3）掌握研究撰写的通行规范；</w:t>
      </w:r>
    </w:p>
    <w:p w14:paraId="15626F7B">
      <w:pPr>
        <w:spacing w:line="360" w:lineRule="auto"/>
        <w:jc w:val="left"/>
        <w:rPr>
          <w:kern w:val="0"/>
          <w:sz w:val="24"/>
          <w:szCs w:val="21"/>
        </w:rPr>
      </w:pPr>
      <w:r>
        <w:rPr>
          <w:rFonts w:hint="eastAsia"/>
          <w:kern w:val="0"/>
          <w:sz w:val="24"/>
          <w:szCs w:val="21"/>
        </w:rPr>
        <w:t>（4）初步掌握研究报告及毕业论文的撰写方法。</w:t>
      </w:r>
    </w:p>
    <w:p w14:paraId="33AB1D4B">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教育研究成果的结构 </w:t>
      </w:r>
    </w:p>
    <w:p w14:paraId="6ACCD77D">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学位论文撰写要求</w:t>
      </w:r>
    </w:p>
    <w:p w14:paraId="73F85890">
      <w:pPr>
        <w:spacing w:line="360" w:lineRule="auto"/>
        <w:jc w:val="left"/>
        <w:rPr>
          <w:bCs/>
          <w:color w:val="000000"/>
          <w:kern w:val="0"/>
          <w:sz w:val="24"/>
          <w:szCs w:val="21"/>
        </w:rPr>
      </w:pPr>
      <w:r>
        <w:rPr>
          <w:rFonts w:hint="eastAsia"/>
          <w:b/>
          <w:color w:val="000000"/>
          <w:kern w:val="0"/>
          <w:sz w:val="24"/>
          <w:szCs w:val="21"/>
        </w:rPr>
        <w:t>5. 课程思政育人目标</w:t>
      </w:r>
    </w:p>
    <w:p w14:paraId="0FD0D857">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正确处理整体和部分的关系，准确把握主要矛盾和次要矛盾；践行社会主义核心价值观，坚持“四个自信”；虚心学习，实事求是，培养和形成朴素的文风；学会创新，树立远大理想。</w:t>
      </w:r>
    </w:p>
    <w:p w14:paraId="5B6C133E">
      <w:pPr>
        <w:spacing w:line="360" w:lineRule="auto"/>
        <w:jc w:val="left"/>
        <w:rPr>
          <w:rFonts w:hint="eastAsia"/>
          <w:bCs/>
          <w:color w:val="000000"/>
          <w:kern w:val="0"/>
          <w:sz w:val="24"/>
          <w:szCs w:val="21"/>
        </w:rPr>
      </w:pPr>
    </w:p>
    <w:p w14:paraId="15F84DE2">
      <w:pPr>
        <w:spacing w:line="360" w:lineRule="auto"/>
        <w:ind w:firstLine="482" w:firstLineChars="200"/>
        <w:rPr>
          <w:b/>
          <w:bCs/>
          <w:color w:val="000000"/>
          <w:sz w:val="24"/>
        </w:rPr>
      </w:pPr>
      <w:r>
        <w:rPr>
          <w:rFonts w:hint="eastAsia"/>
          <w:b/>
          <w:bCs/>
          <w:color w:val="000000"/>
          <w:sz w:val="24"/>
        </w:rPr>
        <w:t>教学内容与</w:t>
      </w:r>
      <w:r>
        <w:rPr>
          <w:b/>
          <w:bCs/>
          <w:color w:val="000000"/>
          <w:sz w:val="24"/>
        </w:rPr>
        <w:t>课程目标的</w:t>
      </w:r>
      <w:r>
        <w:rPr>
          <w:rFonts w:hint="eastAsia"/>
          <w:b/>
          <w:bCs/>
          <w:color w:val="000000"/>
          <w:sz w:val="24"/>
        </w:rPr>
        <w:t>对应关系及</w:t>
      </w:r>
      <w:r>
        <w:rPr>
          <w:b/>
          <w:bCs/>
          <w:color w:val="000000"/>
          <w:sz w:val="24"/>
        </w:rPr>
        <w:t>学时分配</w:t>
      </w:r>
      <w:r>
        <w:rPr>
          <w:rFonts w:hint="eastAsia"/>
          <w:b/>
          <w:bCs/>
          <w:color w:val="000000"/>
          <w:sz w:val="24"/>
        </w:rPr>
        <w:t>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686"/>
        <w:gridCol w:w="1701"/>
        <w:gridCol w:w="1711"/>
        <w:gridCol w:w="735"/>
        <w:gridCol w:w="735"/>
      </w:tblGrid>
      <w:tr w14:paraId="1D4D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FFFFFF"/>
            <w:noWrap w:val="0"/>
            <w:vAlign w:val="center"/>
          </w:tcPr>
          <w:p w14:paraId="38207FA6">
            <w:pPr>
              <w:jc w:val="center"/>
              <w:rPr>
                <w:color w:val="000000"/>
                <w:szCs w:val="21"/>
              </w:rPr>
            </w:pPr>
            <w:r>
              <w:rPr>
                <w:rFonts w:hint="eastAsia"/>
                <w:color w:val="000000"/>
                <w:szCs w:val="21"/>
              </w:rPr>
              <w:t>序号</w:t>
            </w:r>
          </w:p>
        </w:tc>
        <w:tc>
          <w:tcPr>
            <w:tcW w:w="3686" w:type="dxa"/>
            <w:shd w:val="clear" w:color="auto" w:fill="FFFFFF"/>
            <w:noWrap w:val="0"/>
            <w:vAlign w:val="center"/>
          </w:tcPr>
          <w:p w14:paraId="019737B6">
            <w:pPr>
              <w:jc w:val="center"/>
              <w:rPr>
                <w:color w:val="000000"/>
                <w:szCs w:val="21"/>
              </w:rPr>
            </w:pPr>
            <w:r>
              <w:rPr>
                <w:color w:val="000000"/>
                <w:szCs w:val="21"/>
              </w:rPr>
              <w:t>教学内容</w:t>
            </w:r>
          </w:p>
        </w:tc>
        <w:tc>
          <w:tcPr>
            <w:tcW w:w="1701" w:type="dxa"/>
            <w:shd w:val="clear" w:color="auto" w:fill="FFFFFF"/>
            <w:noWrap w:val="0"/>
            <w:vAlign w:val="center"/>
          </w:tcPr>
          <w:p w14:paraId="242C5179">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711" w:type="dxa"/>
            <w:shd w:val="clear" w:color="auto" w:fill="FFFFFF"/>
            <w:noWrap w:val="0"/>
            <w:vAlign w:val="center"/>
          </w:tcPr>
          <w:p w14:paraId="3A9F31D8">
            <w:pPr>
              <w:jc w:val="center"/>
              <w:rPr>
                <w:rFonts w:hint="eastAsia"/>
                <w:color w:val="000000"/>
                <w:szCs w:val="21"/>
              </w:rPr>
            </w:pPr>
            <w:r>
              <w:rPr>
                <w:color w:val="000000"/>
                <w:szCs w:val="21"/>
              </w:rPr>
              <w:t>支撑</w:t>
            </w:r>
            <w:r>
              <w:rPr>
                <w:rFonts w:hint="eastAsia"/>
                <w:color w:val="000000"/>
                <w:szCs w:val="21"/>
              </w:rPr>
              <w:t>的</w:t>
            </w:r>
            <w:r>
              <w:rPr>
                <w:color w:val="000000"/>
                <w:szCs w:val="21"/>
              </w:rPr>
              <w:t>毕业要求</w:t>
            </w:r>
          </w:p>
          <w:p w14:paraId="265E5EA3">
            <w:pPr>
              <w:jc w:val="center"/>
              <w:rPr>
                <w:color w:val="000000"/>
                <w:szCs w:val="21"/>
              </w:rPr>
            </w:pPr>
            <w:r>
              <w:rPr>
                <w:color w:val="000000"/>
                <w:szCs w:val="21"/>
              </w:rPr>
              <w:t>指标点</w:t>
            </w:r>
          </w:p>
        </w:tc>
        <w:tc>
          <w:tcPr>
            <w:tcW w:w="735" w:type="dxa"/>
            <w:shd w:val="clear" w:color="auto" w:fill="FFFFFF"/>
            <w:noWrap w:val="0"/>
            <w:vAlign w:val="center"/>
          </w:tcPr>
          <w:p w14:paraId="2C91A4E7">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79793C66">
            <w:pPr>
              <w:jc w:val="center"/>
              <w:rPr>
                <w:color w:val="000000"/>
                <w:szCs w:val="21"/>
              </w:rPr>
            </w:pPr>
            <w:r>
              <w:rPr>
                <w:color w:val="000000"/>
                <w:szCs w:val="21"/>
              </w:rPr>
              <w:t>实验学时</w:t>
            </w:r>
          </w:p>
        </w:tc>
      </w:tr>
      <w:tr w14:paraId="3DBA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3D08D3BE">
            <w:pPr>
              <w:jc w:val="center"/>
              <w:rPr>
                <w:szCs w:val="21"/>
              </w:rPr>
            </w:pPr>
            <w:r>
              <w:rPr>
                <w:rFonts w:hint="eastAsia"/>
                <w:szCs w:val="21"/>
              </w:rPr>
              <w:t>1</w:t>
            </w:r>
          </w:p>
        </w:tc>
        <w:tc>
          <w:tcPr>
            <w:tcW w:w="3686" w:type="dxa"/>
            <w:noWrap w:val="0"/>
            <w:vAlign w:val="center"/>
          </w:tcPr>
          <w:p w14:paraId="08BC8CFF">
            <w:pPr>
              <w:jc w:val="left"/>
              <w:rPr>
                <w:color w:val="000000"/>
                <w:szCs w:val="21"/>
              </w:rPr>
            </w:pPr>
            <w:r>
              <w:rPr>
                <w:rFonts w:hint="eastAsia"/>
                <w:color w:val="000000"/>
                <w:szCs w:val="21"/>
              </w:rPr>
              <w:t>教育研究概述</w:t>
            </w:r>
          </w:p>
        </w:tc>
        <w:tc>
          <w:tcPr>
            <w:tcW w:w="1701" w:type="dxa"/>
            <w:noWrap w:val="0"/>
            <w:vAlign w:val="center"/>
          </w:tcPr>
          <w:p w14:paraId="64C4ED61">
            <w:pPr>
              <w:jc w:val="center"/>
              <w:rPr>
                <w:color w:val="000000"/>
                <w:szCs w:val="21"/>
              </w:rPr>
            </w:pPr>
            <w:r>
              <w:rPr>
                <w:color w:val="000000"/>
                <w:szCs w:val="21"/>
              </w:rPr>
              <w:t>目标</w:t>
            </w:r>
            <w:r>
              <w:rPr>
                <w:rFonts w:hint="eastAsia"/>
                <w:szCs w:val="21"/>
              </w:rPr>
              <w:t>1</w:t>
            </w:r>
            <w:r>
              <w:rPr>
                <w:rFonts w:hint="eastAsia"/>
                <w:color w:val="000000"/>
                <w:szCs w:val="21"/>
              </w:rPr>
              <w:t xml:space="preserve"> </w:t>
            </w:r>
          </w:p>
        </w:tc>
        <w:tc>
          <w:tcPr>
            <w:tcW w:w="1711" w:type="dxa"/>
            <w:noWrap w:val="0"/>
            <w:vAlign w:val="center"/>
          </w:tcPr>
          <w:p w14:paraId="6D02F2EB">
            <w:pPr>
              <w:jc w:val="center"/>
              <w:rPr>
                <w:szCs w:val="21"/>
              </w:rPr>
            </w:pPr>
            <w:r>
              <w:rPr>
                <w:rFonts w:hint="eastAsia"/>
                <w:szCs w:val="21"/>
              </w:rPr>
              <w:t>毕业要求3</w:t>
            </w:r>
          </w:p>
        </w:tc>
        <w:tc>
          <w:tcPr>
            <w:tcW w:w="735" w:type="dxa"/>
            <w:noWrap w:val="0"/>
            <w:vAlign w:val="center"/>
          </w:tcPr>
          <w:p w14:paraId="10E7FEAA">
            <w:pPr>
              <w:jc w:val="center"/>
              <w:rPr>
                <w:szCs w:val="21"/>
              </w:rPr>
            </w:pPr>
            <w:r>
              <w:rPr>
                <w:rFonts w:hint="eastAsia"/>
                <w:szCs w:val="21"/>
              </w:rPr>
              <w:t>2</w:t>
            </w:r>
          </w:p>
        </w:tc>
        <w:tc>
          <w:tcPr>
            <w:tcW w:w="735" w:type="dxa"/>
            <w:noWrap w:val="0"/>
            <w:vAlign w:val="center"/>
          </w:tcPr>
          <w:p w14:paraId="72C9340C">
            <w:pPr>
              <w:jc w:val="center"/>
              <w:rPr>
                <w:szCs w:val="21"/>
              </w:rPr>
            </w:pPr>
          </w:p>
        </w:tc>
      </w:tr>
      <w:tr w14:paraId="3752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57CA62BB">
            <w:pPr>
              <w:jc w:val="center"/>
              <w:rPr>
                <w:szCs w:val="21"/>
              </w:rPr>
            </w:pPr>
            <w:r>
              <w:rPr>
                <w:rFonts w:hint="eastAsia"/>
                <w:szCs w:val="21"/>
              </w:rPr>
              <w:t>2</w:t>
            </w:r>
          </w:p>
        </w:tc>
        <w:tc>
          <w:tcPr>
            <w:tcW w:w="3686" w:type="dxa"/>
            <w:noWrap w:val="0"/>
            <w:vAlign w:val="center"/>
          </w:tcPr>
          <w:p w14:paraId="1708C79A">
            <w:pPr>
              <w:jc w:val="left"/>
              <w:rPr>
                <w:color w:val="000000"/>
                <w:szCs w:val="21"/>
              </w:rPr>
            </w:pPr>
            <w:r>
              <w:rPr>
                <w:rFonts w:hint="eastAsia"/>
                <w:color w:val="000000"/>
                <w:szCs w:val="21"/>
              </w:rPr>
              <w:t>教育研究选题与设计</w:t>
            </w:r>
          </w:p>
        </w:tc>
        <w:tc>
          <w:tcPr>
            <w:tcW w:w="1701" w:type="dxa"/>
            <w:noWrap w:val="0"/>
            <w:vAlign w:val="center"/>
          </w:tcPr>
          <w:p w14:paraId="265E3964">
            <w:pPr>
              <w:jc w:val="center"/>
              <w:rPr>
                <w:color w:val="000000"/>
                <w:szCs w:val="21"/>
              </w:rPr>
            </w:pPr>
            <w:r>
              <w:rPr>
                <w:color w:val="000000"/>
                <w:szCs w:val="21"/>
              </w:rPr>
              <w:t>目标</w:t>
            </w:r>
            <w:r>
              <w:rPr>
                <w:rFonts w:hint="eastAsia"/>
                <w:szCs w:val="21"/>
              </w:rPr>
              <w:t>2</w:t>
            </w:r>
          </w:p>
        </w:tc>
        <w:tc>
          <w:tcPr>
            <w:tcW w:w="1711" w:type="dxa"/>
            <w:noWrap w:val="0"/>
            <w:vAlign w:val="center"/>
          </w:tcPr>
          <w:p w14:paraId="5807174A">
            <w:pPr>
              <w:jc w:val="center"/>
              <w:rPr>
                <w:szCs w:val="21"/>
              </w:rPr>
            </w:pPr>
            <w:r>
              <w:rPr>
                <w:rFonts w:hint="eastAsia"/>
                <w:szCs w:val="21"/>
              </w:rPr>
              <w:t>毕业要求7</w:t>
            </w:r>
          </w:p>
        </w:tc>
        <w:tc>
          <w:tcPr>
            <w:tcW w:w="735" w:type="dxa"/>
            <w:noWrap w:val="0"/>
            <w:vAlign w:val="center"/>
          </w:tcPr>
          <w:p w14:paraId="7794B7F2">
            <w:pPr>
              <w:jc w:val="center"/>
              <w:rPr>
                <w:szCs w:val="21"/>
              </w:rPr>
            </w:pPr>
            <w:r>
              <w:rPr>
                <w:rFonts w:hint="eastAsia"/>
                <w:szCs w:val="21"/>
              </w:rPr>
              <w:t>3</w:t>
            </w:r>
          </w:p>
        </w:tc>
        <w:tc>
          <w:tcPr>
            <w:tcW w:w="735" w:type="dxa"/>
            <w:noWrap w:val="0"/>
            <w:vAlign w:val="center"/>
          </w:tcPr>
          <w:p w14:paraId="02DD55F1">
            <w:pPr>
              <w:jc w:val="center"/>
              <w:rPr>
                <w:szCs w:val="21"/>
              </w:rPr>
            </w:pPr>
          </w:p>
        </w:tc>
      </w:tr>
      <w:tr w14:paraId="088A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17CF49F1">
            <w:pPr>
              <w:jc w:val="center"/>
              <w:rPr>
                <w:szCs w:val="21"/>
              </w:rPr>
            </w:pPr>
            <w:r>
              <w:rPr>
                <w:rFonts w:hint="eastAsia"/>
                <w:szCs w:val="21"/>
              </w:rPr>
              <w:t>3</w:t>
            </w:r>
          </w:p>
        </w:tc>
        <w:tc>
          <w:tcPr>
            <w:tcW w:w="3686" w:type="dxa"/>
            <w:noWrap w:val="0"/>
            <w:vAlign w:val="center"/>
          </w:tcPr>
          <w:p w14:paraId="35F1B217">
            <w:pPr>
              <w:jc w:val="left"/>
              <w:rPr>
                <w:color w:val="000000"/>
                <w:szCs w:val="21"/>
              </w:rPr>
            </w:pPr>
            <w:r>
              <w:rPr>
                <w:rFonts w:hint="eastAsia"/>
                <w:color w:val="000000"/>
                <w:szCs w:val="21"/>
              </w:rPr>
              <w:t>文献检索与综述</w:t>
            </w:r>
          </w:p>
        </w:tc>
        <w:tc>
          <w:tcPr>
            <w:tcW w:w="1701" w:type="dxa"/>
            <w:noWrap w:val="0"/>
            <w:vAlign w:val="center"/>
          </w:tcPr>
          <w:p w14:paraId="6DEB3F00">
            <w:pPr>
              <w:jc w:val="center"/>
              <w:rPr>
                <w:color w:val="000000"/>
                <w:szCs w:val="21"/>
              </w:rPr>
            </w:pPr>
            <w:r>
              <w:rPr>
                <w:color w:val="000000"/>
                <w:szCs w:val="21"/>
              </w:rPr>
              <w:t>目标</w:t>
            </w:r>
            <w:r>
              <w:rPr>
                <w:rFonts w:hint="eastAsia"/>
                <w:szCs w:val="21"/>
              </w:rPr>
              <w:t>2</w:t>
            </w:r>
          </w:p>
        </w:tc>
        <w:tc>
          <w:tcPr>
            <w:tcW w:w="1711" w:type="dxa"/>
            <w:noWrap w:val="0"/>
            <w:vAlign w:val="center"/>
          </w:tcPr>
          <w:p w14:paraId="0B16B573">
            <w:pPr>
              <w:jc w:val="center"/>
              <w:rPr>
                <w:szCs w:val="21"/>
              </w:rPr>
            </w:pPr>
            <w:r>
              <w:rPr>
                <w:rFonts w:hint="eastAsia"/>
                <w:szCs w:val="21"/>
              </w:rPr>
              <w:t>毕业要求3，7</w:t>
            </w:r>
          </w:p>
        </w:tc>
        <w:tc>
          <w:tcPr>
            <w:tcW w:w="735" w:type="dxa"/>
            <w:noWrap w:val="0"/>
            <w:vAlign w:val="center"/>
          </w:tcPr>
          <w:p w14:paraId="3FE5FB12">
            <w:pPr>
              <w:jc w:val="center"/>
              <w:rPr>
                <w:szCs w:val="21"/>
              </w:rPr>
            </w:pPr>
            <w:r>
              <w:rPr>
                <w:rFonts w:hint="eastAsia"/>
                <w:szCs w:val="21"/>
              </w:rPr>
              <w:t>3</w:t>
            </w:r>
          </w:p>
        </w:tc>
        <w:tc>
          <w:tcPr>
            <w:tcW w:w="735" w:type="dxa"/>
            <w:noWrap w:val="0"/>
            <w:vAlign w:val="center"/>
          </w:tcPr>
          <w:p w14:paraId="018B7BA4">
            <w:pPr>
              <w:jc w:val="center"/>
              <w:rPr>
                <w:szCs w:val="21"/>
              </w:rPr>
            </w:pPr>
          </w:p>
        </w:tc>
      </w:tr>
      <w:tr w14:paraId="1E15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513332E4">
            <w:pPr>
              <w:jc w:val="center"/>
              <w:rPr>
                <w:rFonts w:hint="eastAsia"/>
                <w:szCs w:val="21"/>
              </w:rPr>
            </w:pPr>
            <w:r>
              <w:rPr>
                <w:rFonts w:hint="eastAsia"/>
                <w:szCs w:val="21"/>
              </w:rPr>
              <w:t>4</w:t>
            </w:r>
          </w:p>
        </w:tc>
        <w:tc>
          <w:tcPr>
            <w:tcW w:w="3686" w:type="dxa"/>
            <w:noWrap w:val="0"/>
            <w:vAlign w:val="center"/>
          </w:tcPr>
          <w:p w14:paraId="15704C9F">
            <w:pPr>
              <w:jc w:val="left"/>
              <w:rPr>
                <w:rFonts w:hint="eastAsia"/>
                <w:color w:val="000000"/>
                <w:szCs w:val="21"/>
              </w:rPr>
            </w:pPr>
            <w:r>
              <w:rPr>
                <w:rFonts w:hint="eastAsia"/>
                <w:color w:val="000000"/>
                <w:szCs w:val="21"/>
              </w:rPr>
              <w:t>教育调查研究</w:t>
            </w:r>
          </w:p>
        </w:tc>
        <w:tc>
          <w:tcPr>
            <w:tcW w:w="1701" w:type="dxa"/>
            <w:noWrap w:val="0"/>
            <w:vAlign w:val="center"/>
          </w:tcPr>
          <w:p w14:paraId="11A96168">
            <w:pPr>
              <w:jc w:val="center"/>
              <w:rPr>
                <w:color w:val="000000"/>
                <w:szCs w:val="21"/>
              </w:rPr>
            </w:pPr>
            <w:r>
              <w:rPr>
                <w:color w:val="000000"/>
                <w:szCs w:val="21"/>
              </w:rPr>
              <w:t>目标</w:t>
            </w:r>
            <w:r>
              <w:rPr>
                <w:rFonts w:hint="eastAsia"/>
                <w:szCs w:val="21"/>
              </w:rPr>
              <w:t>3</w:t>
            </w:r>
          </w:p>
        </w:tc>
        <w:tc>
          <w:tcPr>
            <w:tcW w:w="1711" w:type="dxa"/>
            <w:noWrap w:val="0"/>
            <w:vAlign w:val="center"/>
          </w:tcPr>
          <w:p w14:paraId="70832D3F">
            <w:pPr>
              <w:jc w:val="center"/>
              <w:rPr>
                <w:szCs w:val="21"/>
              </w:rPr>
            </w:pPr>
            <w:r>
              <w:rPr>
                <w:rFonts w:hint="eastAsia"/>
                <w:szCs w:val="21"/>
              </w:rPr>
              <w:t>毕业要求4,</w:t>
            </w:r>
            <w:r>
              <w:rPr>
                <w:szCs w:val="21"/>
              </w:rPr>
              <w:t xml:space="preserve"> </w:t>
            </w:r>
            <w:r>
              <w:rPr>
                <w:rFonts w:hint="eastAsia"/>
                <w:szCs w:val="21"/>
              </w:rPr>
              <w:t>8</w:t>
            </w:r>
          </w:p>
        </w:tc>
        <w:tc>
          <w:tcPr>
            <w:tcW w:w="735" w:type="dxa"/>
            <w:noWrap w:val="0"/>
            <w:vAlign w:val="center"/>
          </w:tcPr>
          <w:p w14:paraId="5EB1CA4E">
            <w:pPr>
              <w:jc w:val="center"/>
              <w:rPr>
                <w:rFonts w:hint="eastAsia"/>
                <w:szCs w:val="21"/>
              </w:rPr>
            </w:pPr>
            <w:r>
              <w:rPr>
                <w:rFonts w:hint="eastAsia"/>
                <w:szCs w:val="21"/>
              </w:rPr>
              <w:t>4</w:t>
            </w:r>
          </w:p>
        </w:tc>
        <w:tc>
          <w:tcPr>
            <w:tcW w:w="735" w:type="dxa"/>
            <w:noWrap w:val="0"/>
            <w:vAlign w:val="center"/>
          </w:tcPr>
          <w:p w14:paraId="34F108AA">
            <w:pPr>
              <w:jc w:val="center"/>
              <w:rPr>
                <w:szCs w:val="21"/>
              </w:rPr>
            </w:pPr>
          </w:p>
        </w:tc>
      </w:tr>
      <w:tr w14:paraId="7AB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26DD3921">
            <w:pPr>
              <w:jc w:val="center"/>
              <w:rPr>
                <w:rFonts w:hint="eastAsia"/>
                <w:szCs w:val="21"/>
              </w:rPr>
            </w:pPr>
            <w:r>
              <w:rPr>
                <w:rFonts w:hint="eastAsia"/>
                <w:szCs w:val="21"/>
              </w:rPr>
              <w:t>5</w:t>
            </w:r>
          </w:p>
        </w:tc>
        <w:tc>
          <w:tcPr>
            <w:tcW w:w="3686" w:type="dxa"/>
            <w:noWrap w:val="0"/>
            <w:vAlign w:val="center"/>
          </w:tcPr>
          <w:p w14:paraId="0FD6F493">
            <w:pPr>
              <w:jc w:val="left"/>
              <w:rPr>
                <w:rFonts w:hint="eastAsia"/>
                <w:color w:val="000000"/>
                <w:szCs w:val="21"/>
              </w:rPr>
            </w:pPr>
            <w:r>
              <w:rPr>
                <w:rFonts w:hint="eastAsia"/>
                <w:color w:val="000000"/>
                <w:szCs w:val="21"/>
              </w:rPr>
              <w:t>教育个案研究</w:t>
            </w:r>
          </w:p>
        </w:tc>
        <w:tc>
          <w:tcPr>
            <w:tcW w:w="1701" w:type="dxa"/>
            <w:noWrap w:val="0"/>
            <w:vAlign w:val="center"/>
          </w:tcPr>
          <w:p w14:paraId="5A3C64BC">
            <w:pPr>
              <w:jc w:val="center"/>
              <w:rPr>
                <w:color w:val="000000"/>
                <w:szCs w:val="21"/>
              </w:rPr>
            </w:pPr>
            <w:r>
              <w:rPr>
                <w:color w:val="000000"/>
                <w:szCs w:val="21"/>
              </w:rPr>
              <w:t>目标</w:t>
            </w:r>
            <w:r>
              <w:rPr>
                <w:rFonts w:hint="eastAsia"/>
                <w:szCs w:val="21"/>
              </w:rPr>
              <w:t>3</w:t>
            </w:r>
          </w:p>
        </w:tc>
        <w:tc>
          <w:tcPr>
            <w:tcW w:w="1711" w:type="dxa"/>
            <w:noWrap w:val="0"/>
            <w:vAlign w:val="center"/>
          </w:tcPr>
          <w:p w14:paraId="61EA8355">
            <w:pPr>
              <w:jc w:val="center"/>
              <w:rPr>
                <w:szCs w:val="21"/>
              </w:rPr>
            </w:pPr>
            <w:r>
              <w:rPr>
                <w:rFonts w:hint="eastAsia"/>
                <w:szCs w:val="21"/>
              </w:rPr>
              <w:t>毕业要求4，8</w:t>
            </w:r>
          </w:p>
        </w:tc>
        <w:tc>
          <w:tcPr>
            <w:tcW w:w="735" w:type="dxa"/>
            <w:noWrap w:val="0"/>
            <w:vAlign w:val="center"/>
          </w:tcPr>
          <w:p w14:paraId="0FDD44BE">
            <w:pPr>
              <w:jc w:val="center"/>
              <w:rPr>
                <w:rFonts w:hint="eastAsia"/>
                <w:szCs w:val="21"/>
              </w:rPr>
            </w:pPr>
            <w:r>
              <w:rPr>
                <w:rFonts w:hint="eastAsia"/>
                <w:szCs w:val="21"/>
              </w:rPr>
              <w:t>2</w:t>
            </w:r>
          </w:p>
        </w:tc>
        <w:tc>
          <w:tcPr>
            <w:tcW w:w="735" w:type="dxa"/>
            <w:noWrap w:val="0"/>
            <w:vAlign w:val="center"/>
          </w:tcPr>
          <w:p w14:paraId="16F160CF">
            <w:pPr>
              <w:jc w:val="center"/>
              <w:rPr>
                <w:szCs w:val="21"/>
              </w:rPr>
            </w:pPr>
            <w:r>
              <w:rPr>
                <w:rFonts w:hint="eastAsia"/>
                <w:szCs w:val="21"/>
              </w:rPr>
              <w:t xml:space="preserve">2 </w:t>
            </w:r>
          </w:p>
        </w:tc>
      </w:tr>
      <w:tr w14:paraId="2592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48D3F162">
            <w:pPr>
              <w:jc w:val="center"/>
              <w:rPr>
                <w:rFonts w:hint="eastAsia"/>
                <w:szCs w:val="21"/>
              </w:rPr>
            </w:pPr>
            <w:r>
              <w:rPr>
                <w:rFonts w:hint="eastAsia"/>
                <w:szCs w:val="21"/>
              </w:rPr>
              <w:t>6</w:t>
            </w:r>
          </w:p>
        </w:tc>
        <w:tc>
          <w:tcPr>
            <w:tcW w:w="3686" w:type="dxa"/>
            <w:noWrap w:val="0"/>
            <w:vAlign w:val="center"/>
          </w:tcPr>
          <w:p w14:paraId="6C92B390">
            <w:pPr>
              <w:jc w:val="left"/>
              <w:rPr>
                <w:rFonts w:hint="eastAsia"/>
                <w:color w:val="000000"/>
                <w:szCs w:val="21"/>
              </w:rPr>
            </w:pPr>
            <w:r>
              <w:rPr>
                <w:rFonts w:hint="eastAsia"/>
                <w:color w:val="000000"/>
                <w:szCs w:val="21"/>
              </w:rPr>
              <w:t>教育实验研究</w:t>
            </w:r>
          </w:p>
        </w:tc>
        <w:tc>
          <w:tcPr>
            <w:tcW w:w="1701" w:type="dxa"/>
            <w:noWrap w:val="0"/>
            <w:vAlign w:val="center"/>
          </w:tcPr>
          <w:p w14:paraId="778AF280">
            <w:pPr>
              <w:jc w:val="center"/>
              <w:rPr>
                <w:color w:val="000000"/>
                <w:szCs w:val="21"/>
              </w:rPr>
            </w:pPr>
            <w:r>
              <w:rPr>
                <w:color w:val="000000"/>
                <w:szCs w:val="21"/>
              </w:rPr>
              <w:t>目标</w:t>
            </w:r>
            <w:r>
              <w:rPr>
                <w:rFonts w:hint="eastAsia"/>
                <w:szCs w:val="21"/>
              </w:rPr>
              <w:t>3</w:t>
            </w:r>
          </w:p>
        </w:tc>
        <w:tc>
          <w:tcPr>
            <w:tcW w:w="1711" w:type="dxa"/>
            <w:noWrap w:val="0"/>
            <w:vAlign w:val="center"/>
          </w:tcPr>
          <w:p w14:paraId="0B17A131">
            <w:pPr>
              <w:jc w:val="center"/>
              <w:rPr>
                <w:szCs w:val="21"/>
              </w:rPr>
            </w:pPr>
            <w:r>
              <w:rPr>
                <w:rFonts w:hint="eastAsia"/>
                <w:szCs w:val="21"/>
              </w:rPr>
              <w:t>毕业要求4，8</w:t>
            </w:r>
          </w:p>
        </w:tc>
        <w:tc>
          <w:tcPr>
            <w:tcW w:w="735" w:type="dxa"/>
            <w:noWrap w:val="0"/>
            <w:vAlign w:val="center"/>
          </w:tcPr>
          <w:p w14:paraId="2372A0C5">
            <w:pPr>
              <w:jc w:val="center"/>
              <w:rPr>
                <w:rFonts w:hint="eastAsia"/>
                <w:szCs w:val="21"/>
              </w:rPr>
            </w:pPr>
            <w:r>
              <w:rPr>
                <w:rFonts w:hint="eastAsia"/>
                <w:szCs w:val="21"/>
              </w:rPr>
              <w:t>3</w:t>
            </w:r>
          </w:p>
        </w:tc>
        <w:tc>
          <w:tcPr>
            <w:tcW w:w="735" w:type="dxa"/>
            <w:noWrap w:val="0"/>
            <w:vAlign w:val="center"/>
          </w:tcPr>
          <w:p w14:paraId="2C80B57F">
            <w:pPr>
              <w:jc w:val="center"/>
              <w:rPr>
                <w:szCs w:val="21"/>
              </w:rPr>
            </w:pPr>
            <w:r>
              <w:rPr>
                <w:rFonts w:hint="eastAsia"/>
                <w:szCs w:val="21"/>
              </w:rPr>
              <w:t xml:space="preserve">2 </w:t>
            </w:r>
          </w:p>
        </w:tc>
      </w:tr>
      <w:tr w14:paraId="5C9A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6BCA3A38">
            <w:pPr>
              <w:jc w:val="center"/>
              <w:rPr>
                <w:szCs w:val="21"/>
              </w:rPr>
            </w:pPr>
            <w:r>
              <w:rPr>
                <w:rFonts w:hint="eastAsia"/>
                <w:szCs w:val="21"/>
              </w:rPr>
              <w:t xml:space="preserve">7 </w:t>
            </w:r>
          </w:p>
        </w:tc>
        <w:tc>
          <w:tcPr>
            <w:tcW w:w="3686" w:type="dxa"/>
            <w:noWrap w:val="0"/>
            <w:vAlign w:val="center"/>
          </w:tcPr>
          <w:p w14:paraId="2565035D">
            <w:pPr>
              <w:jc w:val="left"/>
              <w:rPr>
                <w:color w:val="000000"/>
                <w:szCs w:val="21"/>
              </w:rPr>
            </w:pPr>
            <w:r>
              <w:rPr>
                <w:rFonts w:hint="eastAsia"/>
                <w:color w:val="000000"/>
                <w:szCs w:val="21"/>
              </w:rPr>
              <w:t>教育叙事研究</w:t>
            </w:r>
          </w:p>
        </w:tc>
        <w:tc>
          <w:tcPr>
            <w:tcW w:w="1701" w:type="dxa"/>
            <w:noWrap w:val="0"/>
            <w:vAlign w:val="center"/>
          </w:tcPr>
          <w:p w14:paraId="3AC0C6E9">
            <w:pPr>
              <w:jc w:val="center"/>
              <w:rPr>
                <w:color w:val="000000"/>
                <w:szCs w:val="21"/>
              </w:rPr>
            </w:pPr>
            <w:r>
              <w:rPr>
                <w:color w:val="000000"/>
                <w:szCs w:val="21"/>
              </w:rPr>
              <w:t>目标</w:t>
            </w:r>
            <w:r>
              <w:rPr>
                <w:rFonts w:hint="eastAsia"/>
                <w:szCs w:val="21"/>
              </w:rPr>
              <w:t>3</w:t>
            </w:r>
          </w:p>
        </w:tc>
        <w:tc>
          <w:tcPr>
            <w:tcW w:w="1711" w:type="dxa"/>
            <w:noWrap w:val="0"/>
            <w:vAlign w:val="center"/>
          </w:tcPr>
          <w:p w14:paraId="6A78C7A5">
            <w:pPr>
              <w:jc w:val="center"/>
              <w:rPr>
                <w:szCs w:val="21"/>
              </w:rPr>
            </w:pPr>
            <w:r>
              <w:rPr>
                <w:rFonts w:hint="eastAsia"/>
                <w:szCs w:val="21"/>
              </w:rPr>
              <w:t>毕业要求4，8</w:t>
            </w:r>
          </w:p>
        </w:tc>
        <w:tc>
          <w:tcPr>
            <w:tcW w:w="735" w:type="dxa"/>
            <w:noWrap w:val="0"/>
            <w:vAlign w:val="center"/>
          </w:tcPr>
          <w:p w14:paraId="43D128DE">
            <w:pPr>
              <w:jc w:val="center"/>
              <w:rPr>
                <w:szCs w:val="21"/>
              </w:rPr>
            </w:pPr>
            <w:r>
              <w:rPr>
                <w:rFonts w:hint="eastAsia"/>
                <w:szCs w:val="21"/>
              </w:rPr>
              <w:t>2</w:t>
            </w:r>
          </w:p>
        </w:tc>
        <w:tc>
          <w:tcPr>
            <w:tcW w:w="735" w:type="dxa"/>
            <w:noWrap w:val="0"/>
            <w:vAlign w:val="center"/>
          </w:tcPr>
          <w:p w14:paraId="14162006">
            <w:pPr>
              <w:jc w:val="center"/>
              <w:rPr>
                <w:szCs w:val="21"/>
              </w:rPr>
            </w:pPr>
            <w:r>
              <w:rPr>
                <w:rFonts w:hint="eastAsia"/>
                <w:szCs w:val="21"/>
              </w:rPr>
              <w:t>2</w:t>
            </w:r>
          </w:p>
        </w:tc>
      </w:tr>
      <w:tr w14:paraId="318D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0818EE18">
            <w:pPr>
              <w:jc w:val="center"/>
              <w:rPr>
                <w:rFonts w:hint="eastAsia"/>
                <w:szCs w:val="21"/>
              </w:rPr>
            </w:pPr>
            <w:r>
              <w:rPr>
                <w:rFonts w:hint="eastAsia"/>
                <w:szCs w:val="21"/>
              </w:rPr>
              <w:t>8</w:t>
            </w:r>
          </w:p>
        </w:tc>
        <w:tc>
          <w:tcPr>
            <w:tcW w:w="3686" w:type="dxa"/>
            <w:noWrap w:val="0"/>
            <w:vAlign w:val="center"/>
          </w:tcPr>
          <w:p w14:paraId="29118D8B">
            <w:pPr>
              <w:jc w:val="left"/>
              <w:rPr>
                <w:rFonts w:hint="eastAsia"/>
                <w:color w:val="000000"/>
                <w:szCs w:val="21"/>
              </w:rPr>
            </w:pPr>
            <w:r>
              <w:rPr>
                <w:rFonts w:hint="eastAsia"/>
                <w:color w:val="000000"/>
                <w:szCs w:val="21"/>
              </w:rPr>
              <w:t>教育行动研究</w:t>
            </w:r>
          </w:p>
        </w:tc>
        <w:tc>
          <w:tcPr>
            <w:tcW w:w="1701" w:type="dxa"/>
            <w:noWrap w:val="0"/>
            <w:vAlign w:val="center"/>
          </w:tcPr>
          <w:p w14:paraId="009900BB">
            <w:pPr>
              <w:jc w:val="center"/>
              <w:rPr>
                <w:color w:val="000000"/>
                <w:szCs w:val="21"/>
              </w:rPr>
            </w:pPr>
            <w:r>
              <w:rPr>
                <w:color w:val="000000"/>
                <w:szCs w:val="21"/>
              </w:rPr>
              <w:t>目标</w:t>
            </w:r>
            <w:r>
              <w:rPr>
                <w:rFonts w:hint="eastAsia"/>
                <w:szCs w:val="21"/>
              </w:rPr>
              <w:t>3</w:t>
            </w:r>
          </w:p>
        </w:tc>
        <w:tc>
          <w:tcPr>
            <w:tcW w:w="1711" w:type="dxa"/>
            <w:noWrap w:val="0"/>
            <w:vAlign w:val="center"/>
          </w:tcPr>
          <w:p w14:paraId="122A5956">
            <w:pPr>
              <w:jc w:val="center"/>
              <w:rPr>
                <w:rFonts w:hint="eastAsia"/>
                <w:szCs w:val="21"/>
              </w:rPr>
            </w:pPr>
            <w:r>
              <w:rPr>
                <w:rFonts w:hint="eastAsia"/>
                <w:szCs w:val="21"/>
              </w:rPr>
              <w:t>毕业要求4，8</w:t>
            </w:r>
          </w:p>
        </w:tc>
        <w:tc>
          <w:tcPr>
            <w:tcW w:w="735" w:type="dxa"/>
            <w:noWrap w:val="0"/>
            <w:vAlign w:val="center"/>
          </w:tcPr>
          <w:p w14:paraId="0C459170">
            <w:pPr>
              <w:jc w:val="center"/>
              <w:rPr>
                <w:rFonts w:hint="eastAsia"/>
                <w:szCs w:val="21"/>
              </w:rPr>
            </w:pPr>
            <w:r>
              <w:rPr>
                <w:rFonts w:hint="eastAsia"/>
                <w:szCs w:val="21"/>
              </w:rPr>
              <w:t>2</w:t>
            </w:r>
          </w:p>
        </w:tc>
        <w:tc>
          <w:tcPr>
            <w:tcW w:w="735" w:type="dxa"/>
            <w:noWrap w:val="0"/>
            <w:vAlign w:val="center"/>
          </w:tcPr>
          <w:p w14:paraId="66A53859">
            <w:pPr>
              <w:jc w:val="center"/>
              <w:rPr>
                <w:szCs w:val="21"/>
              </w:rPr>
            </w:pPr>
            <w:r>
              <w:rPr>
                <w:rFonts w:hint="eastAsia"/>
                <w:szCs w:val="21"/>
              </w:rPr>
              <w:t>2</w:t>
            </w:r>
          </w:p>
        </w:tc>
      </w:tr>
      <w:tr w14:paraId="7073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066EC5BF">
            <w:pPr>
              <w:jc w:val="center"/>
              <w:rPr>
                <w:rFonts w:hint="eastAsia"/>
                <w:szCs w:val="21"/>
              </w:rPr>
            </w:pPr>
            <w:r>
              <w:rPr>
                <w:szCs w:val="21"/>
              </w:rPr>
              <w:t>9</w:t>
            </w:r>
          </w:p>
        </w:tc>
        <w:tc>
          <w:tcPr>
            <w:tcW w:w="3686" w:type="dxa"/>
            <w:noWrap w:val="0"/>
            <w:vAlign w:val="center"/>
          </w:tcPr>
          <w:p w14:paraId="0F443D4B">
            <w:pPr>
              <w:jc w:val="left"/>
              <w:rPr>
                <w:color w:val="000000"/>
                <w:szCs w:val="21"/>
              </w:rPr>
            </w:pPr>
            <w:r>
              <w:rPr>
                <w:rFonts w:hint="eastAsia"/>
                <w:color w:val="000000"/>
                <w:szCs w:val="21"/>
              </w:rPr>
              <w:t>教育研究成果表述</w:t>
            </w:r>
          </w:p>
        </w:tc>
        <w:tc>
          <w:tcPr>
            <w:tcW w:w="1701" w:type="dxa"/>
            <w:noWrap w:val="0"/>
            <w:vAlign w:val="center"/>
          </w:tcPr>
          <w:p w14:paraId="7692F87F">
            <w:pPr>
              <w:jc w:val="center"/>
              <w:rPr>
                <w:color w:val="000000"/>
                <w:szCs w:val="21"/>
              </w:rPr>
            </w:pPr>
            <w:r>
              <w:rPr>
                <w:color w:val="000000"/>
                <w:szCs w:val="21"/>
              </w:rPr>
              <w:t>目标</w:t>
            </w:r>
            <w:r>
              <w:rPr>
                <w:rFonts w:hint="eastAsia"/>
                <w:szCs w:val="21"/>
              </w:rPr>
              <w:t>4</w:t>
            </w:r>
          </w:p>
        </w:tc>
        <w:tc>
          <w:tcPr>
            <w:tcW w:w="1711" w:type="dxa"/>
            <w:noWrap w:val="0"/>
            <w:vAlign w:val="center"/>
          </w:tcPr>
          <w:p w14:paraId="6F433E18">
            <w:pPr>
              <w:jc w:val="center"/>
              <w:rPr>
                <w:szCs w:val="21"/>
              </w:rPr>
            </w:pPr>
            <w:r>
              <w:rPr>
                <w:rFonts w:hint="eastAsia"/>
                <w:szCs w:val="21"/>
              </w:rPr>
              <w:t>毕业要求7</w:t>
            </w:r>
          </w:p>
        </w:tc>
        <w:tc>
          <w:tcPr>
            <w:tcW w:w="735" w:type="dxa"/>
            <w:noWrap w:val="0"/>
            <w:vAlign w:val="center"/>
          </w:tcPr>
          <w:p w14:paraId="3D0B03D6">
            <w:pPr>
              <w:jc w:val="center"/>
              <w:rPr>
                <w:rFonts w:hint="eastAsia"/>
                <w:szCs w:val="21"/>
              </w:rPr>
            </w:pPr>
            <w:r>
              <w:rPr>
                <w:rFonts w:hint="eastAsia"/>
                <w:szCs w:val="21"/>
              </w:rPr>
              <w:t>3</w:t>
            </w:r>
          </w:p>
        </w:tc>
        <w:tc>
          <w:tcPr>
            <w:tcW w:w="735" w:type="dxa"/>
            <w:noWrap w:val="0"/>
            <w:vAlign w:val="center"/>
          </w:tcPr>
          <w:p w14:paraId="3A0C640E">
            <w:pPr>
              <w:jc w:val="center"/>
              <w:rPr>
                <w:szCs w:val="21"/>
              </w:rPr>
            </w:pPr>
          </w:p>
        </w:tc>
      </w:tr>
      <w:tr w14:paraId="3066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43B4B195">
            <w:pPr>
              <w:jc w:val="center"/>
              <w:rPr>
                <w:szCs w:val="21"/>
              </w:rPr>
            </w:pPr>
            <w:r>
              <w:rPr>
                <w:szCs w:val="21"/>
              </w:rPr>
              <w:t>合计</w:t>
            </w:r>
          </w:p>
        </w:tc>
        <w:tc>
          <w:tcPr>
            <w:tcW w:w="735" w:type="dxa"/>
            <w:noWrap w:val="0"/>
            <w:vAlign w:val="center"/>
          </w:tcPr>
          <w:p w14:paraId="421CD774">
            <w:pPr>
              <w:jc w:val="center"/>
              <w:rPr>
                <w:szCs w:val="21"/>
              </w:rPr>
            </w:pPr>
            <w:r>
              <w:rPr>
                <w:rFonts w:hint="eastAsia"/>
                <w:szCs w:val="21"/>
              </w:rPr>
              <w:t>24</w:t>
            </w:r>
          </w:p>
        </w:tc>
        <w:tc>
          <w:tcPr>
            <w:tcW w:w="735" w:type="dxa"/>
            <w:noWrap w:val="0"/>
            <w:vAlign w:val="center"/>
          </w:tcPr>
          <w:p w14:paraId="068DE0E7">
            <w:pPr>
              <w:jc w:val="center"/>
              <w:rPr>
                <w:szCs w:val="21"/>
              </w:rPr>
            </w:pPr>
            <w:r>
              <w:rPr>
                <w:rFonts w:hint="eastAsia"/>
                <w:szCs w:val="21"/>
              </w:rPr>
              <w:t xml:space="preserve">8 </w:t>
            </w:r>
          </w:p>
        </w:tc>
      </w:tr>
    </w:tbl>
    <w:p w14:paraId="59A4D576">
      <w:pPr>
        <w:spacing w:line="360" w:lineRule="auto"/>
        <w:rPr>
          <w:rFonts w:hint="eastAsia"/>
          <w:b/>
          <w:sz w:val="28"/>
          <w:szCs w:val="28"/>
        </w:rPr>
      </w:pPr>
    </w:p>
    <w:p w14:paraId="3F654714">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四、课内实验（实践）</w:t>
      </w:r>
    </w:p>
    <w:tbl>
      <w:tblPr>
        <w:tblStyle w:val="3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4409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noWrap w:val="0"/>
            <w:vAlign w:val="center"/>
          </w:tcPr>
          <w:p w14:paraId="1D91A534">
            <w:pPr>
              <w:jc w:val="center"/>
              <w:rPr>
                <w:color w:val="000000"/>
                <w:szCs w:val="21"/>
              </w:rPr>
            </w:pPr>
            <w:r>
              <w:rPr>
                <w:rFonts w:hint="eastAsia"/>
                <w:color w:val="000000"/>
                <w:szCs w:val="21"/>
              </w:rPr>
              <w:t>序号</w:t>
            </w:r>
          </w:p>
        </w:tc>
        <w:tc>
          <w:tcPr>
            <w:tcW w:w="1610" w:type="dxa"/>
            <w:shd w:val="clear" w:color="auto" w:fill="FFFFFF"/>
            <w:noWrap w:val="0"/>
            <w:vAlign w:val="center"/>
          </w:tcPr>
          <w:p w14:paraId="7E381265">
            <w:pPr>
              <w:jc w:val="center"/>
              <w:rPr>
                <w:color w:val="000000"/>
                <w:szCs w:val="21"/>
              </w:rPr>
            </w:pPr>
            <w:r>
              <w:rPr>
                <w:rFonts w:hint="eastAsia"/>
                <w:color w:val="000000"/>
                <w:szCs w:val="21"/>
              </w:rPr>
              <w:t>实验（实践）</w:t>
            </w:r>
          </w:p>
          <w:p w14:paraId="6047DB23">
            <w:pPr>
              <w:jc w:val="center"/>
              <w:rPr>
                <w:rFonts w:hint="eastAsia"/>
                <w:color w:val="000000"/>
                <w:szCs w:val="21"/>
              </w:rPr>
            </w:pPr>
            <w:r>
              <w:rPr>
                <w:rFonts w:hint="eastAsia"/>
                <w:color w:val="000000"/>
                <w:szCs w:val="21"/>
              </w:rPr>
              <w:t>项目名称</w:t>
            </w:r>
          </w:p>
        </w:tc>
        <w:tc>
          <w:tcPr>
            <w:tcW w:w="3260" w:type="dxa"/>
            <w:shd w:val="clear" w:color="auto" w:fill="FFFFFF"/>
            <w:noWrap w:val="0"/>
            <w:vAlign w:val="center"/>
          </w:tcPr>
          <w:p w14:paraId="6D9173B5">
            <w:pPr>
              <w:jc w:val="center"/>
              <w:rPr>
                <w:color w:val="000000"/>
                <w:szCs w:val="21"/>
              </w:rPr>
            </w:pPr>
            <w:r>
              <w:rPr>
                <w:rFonts w:hint="eastAsia"/>
                <w:color w:val="000000"/>
                <w:szCs w:val="21"/>
              </w:rPr>
              <w:t>实验（实践）项目</w:t>
            </w:r>
          </w:p>
          <w:p w14:paraId="322E56F2">
            <w:pPr>
              <w:jc w:val="center"/>
              <w:rPr>
                <w:color w:val="000000"/>
                <w:szCs w:val="21"/>
              </w:rPr>
            </w:pPr>
            <w:r>
              <w:rPr>
                <w:rFonts w:hint="eastAsia"/>
                <w:color w:val="000000"/>
                <w:szCs w:val="21"/>
              </w:rPr>
              <w:t>内容及要求</w:t>
            </w:r>
          </w:p>
        </w:tc>
        <w:tc>
          <w:tcPr>
            <w:tcW w:w="1276" w:type="dxa"/>
            <w:shd w:val="clear" w:color="auto" w:fill="FFFFFF"/>
            <w:noWrap w:val="0"/>
            <w:vAlign w:val="center"/>
          </w:tcPr>
          <w:p w14:paraId="156A0D93">
            <w:pPr>
              <w:jc w:val="center"/>
              <w:rPr>
                <w:color w:val="000000"/>
                <w:szCs w:val="21"/>
              </w:rPr>
            </w:pPr>
            <w:r>
              <w:rPr>
                <w:rFonts w:hint="eastAsia"/>
                <w:color w:val="000000"/>
                <w:szCs w:val="21"/>
              </w:rPr>
              <w:t>对</w:t>
            </w:r>
            <w:r>
              <w:rPr>
                <w:color w:val="000000"/>
                <w:szCs w:val="21"/>
              </w:rPr>
              <w:t>毕业要求</w:t>
            </w:r>
          </w:p>
          <w:p w14:paraId="4EAD28F3">
            <w:pPr>
              <w:jc w:val="center"/>
              <w:rPr>
                <w:rFonts w:hint="eastAsia"/>
                <w:color w:val="000000"/>
                <w:szCs w:val="21"/>
              </w:rPr>
            </w:pPr>
            <w:r>
              <w:rPr>
                <w:rFonts w:hint="eastAsia"/>
                <w:color w:val="000000"/>
                <w:szCs w:val="21"/>
              </w:rPr>
              <w:t>的</w:t>
            </w:r>
            <w:r>
              <w:rPr>
                <w:color w:val="000000"/>
                <w:szCs w:val="21"/>
              </w:rPr>
              <w:t>支撑</w:t>
            </w:r>
          </w:p>
        </w:tc>
        <w:tc>
          <w:tcPr>
            <w:tcW w:w="708" w:type="dxa"/>
            <w:shd w:val="clear" w:color="auto" w:fill="FFFFFF"/>
            <w:noWrap w:val="0"/>
            <w:vAlign w:val="center"/>
          </w:tcPr>
          <w:p w14:paraId="346B02D3">
            <w:pPr>
              <w:rPr>
                <w:color w:val="000000"/>
                <w:szCs w:val="21"/>
              </w:rPr>
            </w:pPr>
            <w:r>
              <w:rPr>
                <w:color w:val="000000"/>
                <w:szCs w:val="21"/>
              </w:rPr>
              <w:t>学时</w:t>
            </w:r>
          </w:p>
        </w:tc>
        <w:tc>
          <w:tcPr>
            <w:tcW w:w="851" w:type="dxa"/>
            <w:shd w:val="clear" w:color="auto" w:fill="FFFFFF"/>
            <w:noWrap w:val="0"/>
            <w:vAlign w:val="center"/>
          </w:tcPr>
          <w:p w14:paraId="3D6E7E54">
            <w:pPr>
              <w:jc w:val="center"/>
              <w:rPr>
                <w:color w:val="000000"/>
                <w:szCs w:val="21"/>
              </w:rPr>
            </w:pPr>
            <w:r>
              <w:rPr>
                <w:rFonts w:hint="eastAsia"/>
                <w:color w:val="000000"/>
                <w:szCs w:val="21"/>
              </w:rPr>
              <w:t>类型</w:t>
            </w:r>
          </w:p>
        </w:tc>
        <w:tc>
          <w:tcPr>
            <w:tcW w:w="908" w:type="dxa"/>
            <w:shd w:val="clear" w:color="auto" w:fill="FFFFFF"/>
            <w:noWrap w:val="0"/>
            <w:vAlign w:val="center"/>
          </w:tcPr>
          <w:p w14:paraId="2429C426">
            <w:pPr>
              <w:jc w:val="center"/>
              <w:rPr>
                <w:color w:val="000000"/>
                <w:szCs w:val="21"/>
              </w:rPr>
            </w:pPr>
            <w:r>
              <w:rPr>
                <w:rFonts w:hint="eastAsia"/>
                <w:color w:val="000000"/>
                <w:szCs w:val="21"/>
              </w:rPr>
              <w:t>备注</w:t>
            </w:r>
          </w:p>
        </w:tc>
      </w:tr>
      <w:tr w14:paraId="4C7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18B24EDE">
            <w:pPr>
              <w:jc w:val="center"/>
              <w:rPr>
                <w:rFonts w:hint="eastAsia"/>
                <w:szCs w:val="21"/>
              </w:rPr>
            </w:pPr>
            <w:r>
              <w:rPr>
                <w:rFonts w:hint="eastAsia"/>
                <w:szCs w:val="21"/>
              </w:rPr>
              <w:t>1</w:t>
            </w:r>
          </w:p>
        </w:tc>
        <w:tc>
          <w:tcPr>
            <w:tcW w:w="1610" w:type="dxa"/>
            <w:noWrap w:val="0"/>
            <w:vAlign w:val="center"/>
          </w:tcPr>
          <w:p w14:paraId="42176D4F">
            <w:pPr>
              <w:jc w:val="left"/>
              <w:rPr>
                <w:color w:val="000000"/>
                <w:szCs w:val="21"/>
              </w:rPr>
            </w:pPr>
            <w:r>
              <w:rPr>
                <w:rFonts w:hint="eastAsia"/>
                <w:color w:val="000000"/>
                <w:szCs w:val="21"/>
              </w:rPr>
              <w:t>教育个案研究</w:t>
            </w:r>
          </w:p>
          <w:p w14:paraId="46D32B34">
            <w:pPr>
              <w:jc w:val="left"/>
              <w:rPr>
                <w:rFonts w:hint="eastAsia"/>
                <w:color w:val="000000"/>
                <w:szCs w:val="21"/>
              </w:rPr>
            </w:pPr>
            <w:r>
              <w:rPr>
                <w:rFonts w:hint="eastAsia"/>
                <w:color w:val="000000"/>
                <w:szCs w:val="21"/>
              </w:rPr>
              <w:t>方案设计</w:t>
            </w:r>
          </w:p>
        </w:tc>
        <w:tc>
          <w:tcPr>
            <w:tcW w:w="3260" w:type="dxa"/>
            <w:noWrap w:val="0"/>
            <w:vAlign w:val="center"/>
          </w:tcPr>
          <w:p w14:paraId="29DD7741">
            <w:pPr>
              <w:jc w:val="left"/>
              <w:rPr>
                <w:color w:val="000000"/>
                <w:szCs w:val="21"/>
              </w:rPr>
            </w:pPr>
            <w:r>
              <w:rPr>
                <w:rFonts w:hint="eastAsia"/>
                <w:color w:val="000000"/>
                <w:szCs w:val="21"/>
              </w:rPr>
              <w:t>内容：以小组为单位，进行个案研究方案设计。</w:t>
            </w:r>
          </w:p>
          <w:p w14:paraId="03529BF8">
            <w:pPr>
              <w:jc w:val="left"/>
              <w:rPr>
                <w:color w:val="000000"/>
                <w:szCs w:val="21"/>
              </w:rPr>
            </w:pPr>
            <w:r>
              <w:rPr>
                <w:rFonts w:hint="eastAsia"/>
                <w:color w:val="000000"/>
                <w:szCs w:val="21"/>
              </w:rPr>
              <w:t>要求：问题界定明确，研究步骤清晰，方法使用恰当。</w:t>
            </w:r>
          </w:p>
        </w:tc>
        <w:tc>
          <w:tcPr>
            <w:tcW w:w="1276" w:type="dxa"/>
            <w:noWrap w:val="0"/>
            <w:vAlign w:val="center"/>
          </w:tcPr>
          <w:p w14:paraId="3E4AA4FC">
            <w:pPr>
              <w:jc w:val="center"/>
              <w:rPr>
                <w:rFonts w:hint="eastAsia"/>
                <w:szCs w:val="21"/>
              </w:rPr>
            </w:pPr>
            <w:r>
              <w:rPr>
                <w:rFonts w:hint="eastAsia"/>
                <w:szCs w:val="21"/>
              </w:rPr>
              <w:t>4-4，7-3，8-1</w:t>
            </w:r>
          </w:p>
        </w:tc>
        <w:tc>
          <w:tcPr>
            <w:tcW w:w="708" w:type="dxa"/>
            <w:noWrap w:val="0"/>
            <w:vAlign w:val="center"/>
          </w:tcPr>
          <w:p w14:paraId="784B74C8">
            <w:pPr>
              <w:jc w:val="center"/>
              <w:rPr>
                <w:rFonts w:hint="eastAsia"/>
                <w:szCs w:val="21"/>
              </w:rPr>
            </w:pPr>
            <w:r>
              <w:rPr>
                <w:rFonts w:hint="eastAsia"/>
                <w:szCs w:val="21"/>
              </w:rPr>
              <w:t>2</w:t>
            </w:r>
          </w:p>
        </w:tc>
        <w:tc>
          <w:tcPr>
            <w:tcW w:w="851" w:type="dxa"/>
            <w:noWrap w:val="0"/>
            <w:vAlign w:val="center"/>
          </w:tcPr>
          <w:p w14:paraId="7558F16A">
            <w:pPr>
              <w:jc w:val="center"/>
              <w:rPr>
                <w:rFonts w:hint="eastAsia"/>
                <w:szCs w:val="21"/>
              </w:rPr>
            </w:pPr>
            <w:r>
              <w:rPr>
                <w:rFonts w:hint="eastAsia"/>
                <w:szCs w:val="21"/>
              </w:rPr>
              <w:t>设计性</w:t>
            </w:r>
          </w:p>
        </w:tc>
        <w:tc>
          <w:tcPr>
            <w:tcW w:w="908" w:type="dxa"/>
            <w:noWrap w:val="0"/>
            <w:vAlign w:val="center"/>
          </w:tcPr>
          <w:p w14:paraId="12551A3B">
            <w:pPr>
              <w:jc w:val="center"/>
              <w:rPr>
                <w:szCs w:val="21"/>
              </w:rPr>
            </w:pPr>
          </w:p>
        </w:tc>
      </w:tr>
      <w:tr w14:paraId="1250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30E649AF">
            <w:pPr>
              <w:jc w:val="center"/>
              <w:rPr>
                <w:rFonts w:hint="eastAsia"/>
                <w:szCs w:val="21"/>
              </w:rPr>
            </w:pPr>
            <w:r>
              <w:rPr>
                <w:rFonts w:hint="eastAsia"/>
                <w:szCs w:val="21"/>
              </w:rPr>
              <w:t>2</w:t>
            </w:r>
          </w:p>
        </w:tc>
        <w:tc>
          <w:tcPr>
            <w:tcW w:w="1610" w:type="dxa"/>
            <w:noWrap w:val="0"/>
            <w:vAlign w:val="center"/>
          </w:tcPr>
          <w:p w14:paraId="44591008">
            <w:pPr>
              <w:jc w:val="left"/>
              <w:rPr>
                <w:rFonts w:hint="eastAsia"/>
                <w:color w:val="000000"/>
                <w:szCs w:val="21"/>
              </w:rPr>
            </w:pPr>
            <w:r>
              <w:rPr>
                <w:rFonts w:hint="eastAsia"/>
                <w:color w:val="000000"/>
                <w:szCs w:val="21"/>
              </w:rPr>
              <w:t>教育实验研究方案设计</w:t>
            </w:r>
          </w:p>
        </w:tc>
        <w:tc>
          <w:tcPr>
            <w:tcW w:w="3260" w:type="dxa"/>
            <w:noWrap w:val="0"/>
            <w:vAlign w:val="center"/>
          </w:tcPr>
          <w:p w14:paraId="3565D767">
            <w:pPr>
              <w:jc w:val="left"/>
              <w:rPr>
                <w:rFonts w:hint="eastAsia"/>
                <w:color w:val="000000"/>
                <w:szCs w:val="21"/>
              </w:rPr>
            </w:pPr>
            <w:r>
              <w:rPr>
                <w:rFonts w:hint="eastAsia"/>
                <w:color w:val="000000"/>
                <w:szCs w:val="21"/>
              </w:rPr>
              <w:t>内容：以小组为单位，进行教育实验方案设计。</w:t>
            </w:r>
          </w:p>
          <w:p w14:paraId="4A5FA0E2">
            <w:pPr>
              <w:jc w:val="left"/>
              <w:rPr>
                <w:color w:val="000000"/>
                <w:szCs w:val="21"/>
              </w:rPr>
            </w:pPr>
            <w:r>
              <w:rPr>
                <w:rFonts w:hint="eastAsia"/>
                <w:color w:val="000000"/>
                <w:szCs w:val="21"/>
              </w:rPr>
              <w:t>要求：选题适当，实验目的明确，实验假设和统计假设表述正确，自变量取值水平及实验处理合理，因变量分解及测量方法科学，提高实验效度的措施有效。</w:t>
            </w:r>
          </w:p>
        </w:tc>
        <w:tc>
          <w:tcPr>
            <w:tcW w:w="1276" w:type="dxa"/>
            <w:noWrap w:val="0"/>
            <w:vAlign w:val="center"/>
          </w:tcPr>
          <w:p w14:paraId="7BBB5EA0">
            <w:pPr>
              <w:jc w:val="center"/>
              <w:rPr>
                <w:rFonts w:hint="eastAsia"/>
                <w:szCs w:val="21"/>
              </w:rPr>
            </w:pPr>
            <w:r>
              <w:rPr>
                <w:rFonts w:hint="eastAsia"/>
                <w:szCs w:val="21"/>
              </w:rPr>
              <w:t>4-4，7-3，8-1</w:t>
            </w:r>
          </w:p>
        </w:tc>
        <w:tc>
          <w:tcPr>
            <w:tcW w:w="708" w:type="dxa"/>
            <w:noWrap w:val="0"/>
            <w:vAlign w:val="center"/>
          </w:tcPr>
          <w:p w14:paraId="442125D7">
            <w:pPr>
              <w:jc w:val="center"/>
              <w:rPr>
                <w:rFonts w:hint="eastAsia"/>
                <w:szCs w:val="21"/>
              </w:rPr>
            </w:pPr>
            <w:r>
              <w:rPr>
                <w:rFonts w:hint="eastAsia"/>
                <w:szCs w:val="21"/>
              </w:rPr>
              <w:t>2</w:t>
            </w:r>
          </w:p>
        </w:tc>
        <w:tc>
          <w:tcPr>
            <w:tcW w:w="851" w:type="dxa"/>
            <w:noWrap w:val="0"/>
            <w:vAlign w:val="center"/>
          </w:tcPr>
          <w:p w14:paraId="3578CB1B">
            <w:pPr>
              <w:jc w:val="center"/>
              <w:rPr>
                <w:rFonts w:hint="eastAsia"/>
                <w:szCs w:val="21"/>
              </w:rPr>
            </w:pPr>
            <w:r>
              <w:rPr>
                <w:rFonts w:hint="eastAsia"/>
                <w:szCs w:val="21"/>
              </w:rPr>
              <w:t>设计性</w:t>
            </w:r>
          </w:p>
        </w:tc>
        <w:tc>
          <w:tcPr>
            <w:tcW w:w="908" w:type="dxa"/>
            <w:noWrap w:val="0"/>
            <w:vAlign w:val="center"/>
          </w:tcPr>
          <w:p w14:paraId="31B53990">
            <w:pPr>
              <w:jc w:val="center"/>
              <w:rPr>
                <w:szCs w:val="21"/>
              </w:rPr>
            </w:pPr>
            <w:r>
              <w:rPr>
                <w:rFonts w:hint="eastAsia"/>
                <w:szCs w:val="21"/>
              </w:rPr>
              <w:t>四选二</w:t>
            </w:r>
          </w:p>
        </w:tc>
      </w:tr>
      <w:tr w14:paraId="1A4C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13C7CB3F">
            <w:pPr>
              <w:jc w:val="center"/>
              <w:rPr>
                <w:szCs w:val="21"/>
              </w:rPr>
            </w:pPr>
            <w:r>
              <w:rPr>
                <w:rFonts w:hint="eastAsia"/>
                <w:szCs w:val="21"/>
              </w:rPr>
              <w:t>3</w:t>
            </w:r>
          </w:p>
        </w:tc>
        <w:tc>
          <w:tcPr>
            <w:tcW w:w="1610" w:type="dxa"/>
            <w:noWrap w:val="0"/>
            <w:vAlign w:val="center"/>
          </w:tcPr>
          <w:p w14:paraId="283D3743">
            <w:pPr>
              <w:jc w:val="left"/>
              <w:rPr>
                <w:color w:val="000000"/>
                <w:szCs w:val="21"/>
              </w:rPr>
            </w:pPr>
            <w:r>
              <w:rPr>
                <w:rFonts w:hint="eastAsia"/>
                <w:color w:val="000000"/>
                <w:szCs w:val="21"/>
              </w:rPr>
              <w:t>教育叙事研究方案设计</w:t>
            </w:r>
          </w:p>
        </w:tc>
        <w:tc>
          <w:tcPr>
            <w:tcW w:w="3260" w:type="dxa"/>
            <w:noWrap w:val="0"/>
            <w:vAlign w:val="center"/>
          </w:tcPr>
          <w:p w14:paraId="63BC10D8">
            <w:pPr>
              <w:jc w:val="left"/>
              <w:rPr>
                <w:color w:val="000000"/>
                <w:szCs w:val="21"/>
              </w:rPr>
            </w:pPr>
            <w:r>
              <w:rPr>
                <w:rFonts w:hint="eastAsia"/>
                <w:color w:val="000000"/>
                <w:szCs w:val="21"/>
              </w:rPr>
              <w:t>内容：以小组为单位，进行教育叙事研究方案设计。</w:t>
            </w:r>
          </w:p>
          <w:p w14:paraId="301F7E91">
            <w:pPr>
              <w:jc w:val="left"/>
              <w:rPr>
                <w:color w:val="000000"/>
                <w:szCs w:val="21"/>
              </w:rPr>
            </w:pPr>
            <w:r>
              <w:rPr>
                <w:rFonts w:hint="eastAsia"/>
                <w:color w:val="000000"/>
                <w:szCs w:val="21"/>
              </w:rPr>
              <w:t>要求：问题界定明确，研究步骤清晰，方法使用恰当。</w:t>
            </w:r>
          </w:p>
        </w:tc>
        <w:tc>
          <w:tcPr>
            <w:tcW w:w="1276" w:type="dxa"/>
            <w:noWrap w:val="0"/>
            <w:vAlign w:val="center"/>
          </w:tcPr>
          <w:p w14:paraId="4574E109">
            <w:pPr>
              <w:jc w:val="center"/>
              <w:rPr>
                <w:szCs w:val="21"/>
              </w:rPr>
            </w:pPr>
            <w:r>
              <w:rPr>
                <w:rFonts w:hint="eastAsia"/>
                <w:szCs w:val="21"/>
              </w:rPr>
              <w:t>4-4，7-3，8-1</w:t>
            </w:r>
          </w:p>
        </w:tc>
        <w:tc>
          <w:tcPr>
            <w:tcW w:w="708" w:type="dxa"/>
            <w:noWrap w:val="0"/>
            <w:vAlign w:val="center"/>
          </w:tcPr>
          <w:p w14:paraId="1F2A867E">
            <w:pPr>
              <w:jc w:val="center"/>
              <w:rPr>
                <w:rFonts w:hint="eastAsia"/>
                <w:szCs w:val="21"/>
              </w:rPr>
            </w:pPr>
            <w:r>
              <w:rPr>
                <w:rFonts w:hint="eastAsia"/>
                <w:szCs w:val="21"/>
              </w:rPr>
              <w:t>2</w:t>
            </w:r>
          </w:p>
        </w:tc>
        <w:tc>
          <w:tcPr>
            <w:tcW w:w="851" w:type="dxa"/>
            <w:noWrap w:val="0"/>
            <w:vAlign w:val="center"/>
          </w:tcPr>
          <w:p w14:paraId="044D8F9C">
            <w:pPr>
              <w:jc w:val="center"/>
              <w:rPr>
                <w:szCs w:val="21"/>
              </w:rPr>
            </w:pPr>
            <w:r>
              <w:rPr>
                <w:rFonts w:hint="eastAsia"/>
                <w:szCs w:val="21"/>
              </w:rPr>
              <w:t>设计性</w:t>
            </w:r>
          </w:p>
        </w:tc>
        <w:tc>
          <w:tcPr>
            <w:tcW w:w="908" w:type="dxa"/>
            <w:noWrap w:val="0"/>
            <w:vAlign w:val="center"/>
          </w:tcPr>
          <w:p w14:paraId="6BDC7681">
            <w:pPr>
              <w:jc w:val="center"/>
              <w:rPr>
                <w:szCs w:val="21"/>
              </w:rPr>
            </w:pPr>
            <w:r>
              <w:rPr>
                <w:rFonts w:hint="eastAsia"/>
                <w:szCs w:val="21"/>
              </w:rPr>
              <w:t>四选二</w:t>
            </w:r>
          </w:p>
        </w:tc>
      </w:tr>
      <w:tr w14:paraId="12AA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noWrap w:val="0"/>
            <w:vAlign w:val="center"/>
          </w:tcPr>
          <w:p w14:paraId="280CB2E5">
            <w:pPr>
              <w:jc w:val="center"/>
              <w:rPr>
                <w:szCs w:val="21"/>
              </w:rPr>
            </w:pPr>
            <w:r>
              <w:rPr>
                <w:rFonts w:hint="eastAsia"/>
                <w:szCs w:val="21"/>
              </w:rPr>
              <w:t>4</w:t>
            </w:r>
          </w:p>
        </w:tc>
        <w:tc>
          <w:tcPr>
            <w:tcW w:w="1610" w:type="dxa"/>
            <w:noWrap w:val="0"/>
            <w:vAlign w:val="center"/>
          </w:tcPr>
          <w:p w14:paraId="0D233AD2">
            <w:pPr>
              <w:jc w:val="left"/>
              <w:rPr>
                <w:color w:val="000000"/>
                <w:szCs w:val="21"/>
              </w:rPr>
            </w:pPr>
            <w:r>
              <w:rPr>
                <w:rFonts w:hint="eastAsia"/>
                <w:color w:val="000000"/>
                <w:szCs w:val="21"/>
              </w:rPr>
              <w:t>教育行动研究方案设计</w:t>
            </w:r>
          </w:p>
        </w:tc>
        <w:tc>
          <w:tcPr>
            <w:tcW w:w="3260" w:type="dxa"/>
            <w:noWrap w:val="0"/>
            <w:vAlign w:val="center"/>
          </w:tcPr>
          <w:p w14:paraId="47A68A9C">
            <w:pPr>
              <w:jc w:val="left"/>
              <w:rPr>
                <w:rFonts w:hint="eastAsia"/>
                <w:color w:val="000000"/>
                <w:szCs w:val="21"/>
              </w:rPr>
            </w:pPr>
            <w:r>
              <w:rPr>
                <w:rFonts w:hint="eastAsia"/>
                <w:color w:val="000000"/>
                <w:szCs w:val="21"/>
              </w:rPr>
              <w:t>内容：结合教育实践，以小组为单位，讨论分析在小学教育教学实践中感到困惑的“现象”。选择一个合适的课题，进行教育行动研究方案设计。</w:t>
            </w:r>
          </w:p>
          <w:p w14:paraId="14B4521A">
            <w:pPr>
              <w:jc w:val="left"/>
              <w:rPr>
                <w:color w:val="000000"/>
                <w:szCs w:val="21"/>
              </w:rPr>
            </w:pPr>
            <w:r>
              <w:rPr>
                <w:rFonts w:hint="eastAsia"/>
                <w:color w:val="000000"/>
                <w:szCs w:val="21"/>
              </w:rPr>
              <w:t>要求：研究目的明确，问题界定清晰，研究计划详细具体，研究策略与方法科学合理。</w:t>
            </w:r>
          </w:p>
        </w:tc>
        <w:tc>
          <w:tcPr>
            <w:tcW w:w="1276" w:type="dxa"/>
            <w:noWrap w:val="0"/>
            <w:vAlign w:val="center"/>
          </w:tcPr>
          <w:p w14:paraId="7096F43F">
            <w:pPr>
              <w:jc w:val="center"/>
              <w:rPr>
                <w:szCs w:val="21"/>
              </w:rPr>
            </w:pPr>
            <w:r>
              <w:rPr>
                <w:rFonts w:hint="eastAsia"/>
                <w:szCs w:val="21"/>
              </w:rPr>
              <w:t>4-4，7-3，8-1</w:t>
            </w:r>
          </w:p>
        </w:tc>
        <w:tc>
          <w:tcPr>
            <w:tcW w:w="708" w:type="dxa"/>
            <w:noWrap w:val="0"/>
            <w:vAlign w:val="center"/>
          </w:tcPr>
          <w:p w14:paraId="4729D86B">
            <w:pPr>
              <w:jc w:val="center"/>
              <w:rPr>
                <w:rFonts w:hint="eastAsia"/>
                <w:szCs w:val="21"/>
              </w:rPr>
            </w:pPr>
            <w:r>
              <w:rPr>
                <w:rFonts w:hint="eastAsia"/>
                <w:szCs w:val="21"/>
              </w:rPr>
              <w:t>2</w:t>
            </w:r>
          </w:p>
        </w:tc>
        <w:tc>
          <w:tcPr>
            <w:tcW w:w="851" w:type="dxa"/>
            <w:noWrap w:val="0"/>
            <w:vAlign w:val="center"/>
          </w:tcPr>
          <w:p w14:paraId="4344F298">
            <w:pPr>
              <w:jc w:val="center"/>
              <w:rPr>
                <w:szCs w:val="21"/>
              </w:rPr>
            </w:pPr>
            <w:r>
              <w:rPr>
                <w:rFonts w:hint="eastAsia"/>
                <w:szCs w:val="21"/>
              </w:rPr>
              <w:t>设计性</w:t>
            </w:r>
          </w:p>
        </w:tc>
        <w:tc>
          <w:tcPr>
            <w:tcW w:w="908" w:type="dxa"/>
            <w:noWrap w:val="0"/>
            <w:vAlign w:val="center"/>
          </w:tcPr>
          <w:p w14:paraId="4D1CF8A5">
            <w:pPr>
              <w:jc w:val="center"/>
              <w:rPr>
                <w:szCs w:val="21"/>
              </w:rPr>
            </w:pPr>
            <w:r>
              <w:rPr>
                <w:rFonts w:hint="eastAsia"/>
                <w:szCs w:val="21"/>
              </w:rPr>
              <w:t>四选二</w:t>
            </w:r>
          </w:p>
        </w:tc>
      </w:tr>
    </w:tbl>
    <w:p w14:paraId="1EAD1D79">
      <w:pPr>
        <w:spacing w:line="360" w:lineRule="auto"/>
        <w:ind w:firstLine="562" w:firstLineChars="200"/>
        <w:outlineLvl w:val="0"/>
        <w:rPr>
          <w:rFonts w:ascii="宋体" w:hAnsi="宋体"/>
          <w:b/>
          <w:color w:val="000000"/>
          <w:sz w:val="28"/>
          <w:szCs w:val="28"/>
        </w:rPr>
      </w:pPr>
    </w:p>
    <w:p w14:paraId="3F43E862">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五、课程实施</w:t>
      </w:r>
    </w:p>
    <w:p w14:paraId="773D4E0A">
      <w:pPr>
        <w:spacing w:line="360" w:lineRule="auto"/>
        <w:ind w:firstLine="482" w:firstLineChars="200"/>
        <w:rPr>
          <w:rFonts w:hint="eastAsia"/>
          <w:b/>
          <w:sz w:val="24"/>
        </w:rPr>
      </w:pPr>
      <w:r>
        <w:rPr>
          <w:rFonts w:hint="eastAsia"/>
          <w:b/>
          <w:sz w:val="24"/>
        </w:rPr>
        <w:t>（一）教学方法与教学手段</w:t>
      </w:r>
    </w:p>
    <w:p w14:paraId="6EDFDD1C">
      <w:pPr>
        <w:spacing w:line="360" w:lineRule="auto"/>
        <w:ind w:firstLine="480" w:firstLineChars="200"/>
        <w:rPr>
          <w:sz w:val="24"/>
        </w:rPr>
      </w:pPr>
      <w:r>
        <w:rPr>
          <w:rFonts w:hint="eastAsia"/>
          <w:sz w:val="24"/>
        </w:rPr>
        <w:t>1</w:t>
      </w:r>
      <w:r>
        <w:rPr>
          <w:sz w:val="24"/>
        </w:rPr>
        <w:t>.</w:t>
      </w:r>
      <w:r>
        <w:rPr>
          <w:rFonts w:hint="eastAsia"/>
          <w:sz w:val="24"/>
        </w:rPr>
        <w:t xml:space="preserve"> 课程教学与毕业论文有机融合。在教学内容的传授上，教师在讲授教育科学研究的原理和方法的过程中，嵌入式地教授毕业论文的过程与方法，让学生水到渠成地掌握毕业论文的基本要求。如，在“教育科学研究选题与设计”一讲中，教师通过教育科学研究的选题来源、选题策略以及方案设计的讲解，顺理成章地完成毕业论文选题与设计的讲授。其次，在课程考核中，大多数项目均结合毕业论文展开，如：在“文献检索与综述”项目中，学生可选择与毕业论文选题相关的主题撰写研究综述；在“研究方案设计”项目中，学生以毕业论文开题报告的形式完成方案设计。</w:t>
      </w:r>
    </w:p>
    <w:p w14:paraId="1D2A5533">
      <w:pPr>
        <w:spacing w:line="360" w:lineRule="auto"/>
        <w:ind w:firstLine="480" w:firstLineChars="200"/>
        <w:rPr>
          <w:sz w:val="24"/>
        </w:rPr>
      </w:pPr>
      <w:r>
        <w:rPr>
          <w:rFonts w:hint="eastAsia"/>
          <w:sz w:val="24"/>
        </w:rPr>
        <w:t>2</w:t>
      </w:r>
      <w:r>
        <w:rPr>
          <w:sz w:val="24"/>
        </w:rPr>
        <w:t xml:space="preserve">. </w:t>
      </w:r>
      <w:r>
        <w:rPr>
          <w:rFonts w:hint="eastAsia"/>
          <w:sz w:val="24"/>
        </w:rPr>
        <w:t>积极探索研究性教学。在本课程教学中，教师首先要将基础教育最新的科研方法、最前沿的研究成果及时转化为课程内容，这些前沿理论与方法既可以是教师自身的独到见解，也可以是其他专家、学者的创新发现。其次，教师要结合自身的科学研究实践，向学生分享自己申报课题、设计方法、分析数据、表达结果的经验，增强学生对科研过程的感性认识，培养学生的研究精神。第三，发挥学生主观能动性，让学生主动探究，批判思考，同时结合大学生创新实践项目、学科竞赛、毕业论文撰写等，提高其独特性发现问题、批判性分析问题和创造性解决问题的能力。</w:t>
      </w:r>
    </w:p>
    <w:p w14:paraId="318894E6">
      <w:pPr>
        <w:spacing w:line="360" w:lineRule="auto"/>
        <w:ind w:firstLine="480" w:firstLineChars="200"/>
        <w:rPr>
          <w:rFonts w:hint="eastAsia"/>
          <w:sz w:val="24"/>
        </w:rPr>
      </w:pPr>
      <w:r>
        <w:rPr>
          <w:rFonts w:hint="eastAsia"/>
          <w:sz w:val="24"/>
        </w:rPr>
        <w:t>3</w:t>
      </w:r>
      <w:r>
        <w:rPr>
          <w:sz w:val="24"/>
        </w:rPr>
        <w:t xml:space="preserve">. </w:t>
      </w:r>
      <w:r>
        <w:rPr>
          <w:rFonts w:hint="eastAsia"/>
          <w:sz w:val="24"/>
        </w:rPr>
        <w:t>小组合作学习贯穿课程始终。上课前，学生通过小组合作学习，讨论、汇总课程预习中的疑难问题；在课堂教学中，教师要有意识地要求学生以团体合作的方式完成具有挑战性的学习任务,训练学生倾听、交流、批评、反思等合作学习的意识和方法，并努力通过学生之间的互动与合作解决学习中的困难和问题。课后，学生通过小组合作完成学习任务和小组考核项目。在课程评价中，小组成员互评是课程评价的组成部分之一。</w:t>
      </w:r>
    </w:p>
    <w:p w14:paraId="0AD560BB">
      <w:pPr>
        <w:spacing w:line="360" w:lineRule="auto"/>
        <w:ind w:firstLine="480" w:firstLineChars="200"/>
        <w:rPr>
          <w:sz w:val="24"/>
        </w:rPr>
      </w:pPr>
      <w:r>
        <w:rPr>
          <w:rFonts w:hint="eastAsia"/>
          <w:sz w:val="24"/>
        </w:rPr>
        <w:t>4</w:t>
      </w:r>
      <w:r>
        <w:rPr>
          <w:sz w:val="24"/>
        </w:rPr>
        <w:t xml:space="preserve">. </w:t>
      </w:r>
      <w:r>
        <w:rPr>
          <w:rFonts w:hint="eastAsia"/>
          <w:sz w:val="24"/>
        </w:rPr>
        <w:t>积极尝试体验式学习。依托 “全过程双导师制实践教学模式”，师范生均应在实践基地学校实质性参与中小学教科研课题研究，如协助课题组梳理研究现状、设计调查问卷、开展课堂观察、整理研究数据等。同时，每一个师范生都应积极参与基地学校课题研究专题活动，了解中小学教科研的选题论证、行动推进、成果交流、反省改进的过程。</w:t>
      </w:r>
    </w:p>
    <w:p w14:paraId="1F62F7D2">
      <w:pPr>
        <w:spacing w:line="360" w:lineRule="auto"/>
        <w:ind w:firstLine="480" w:firstLineChars="200"/>
        <w:rPr>
          <w:sz w:val="24"/>
        </w:rPr>
      </w:pPr>
      <w:r>
        <w:rPr>
          <w:rFonts w:hint="eastAsia"/>
          <w:sz w:val="24"/>
        </w:rPr>
        <w:t>5</w:t>
      </w:r>
      <w:r>
        <w:rPr>
          <w:sz w:val="24"/>
        </w:rPr>
        <w:t>.</w:t>
      </w:r>
      <w:r>
        <w:rPr>
          <w:rFonts w:hint="eastAsia"/>
          <w:sz w:val="24"/>
        </w:rPr>
        <w:t xml:space="preserve"> 推进开放式项目制考核。根据本课程实践性强的特点，对课程目标进行合理分解，形成若干核心任务，学生在开放的时间、开放的地点完成考核任务。本课程的开放式考核项目分为个人项目和小组合作项目。个人项目由文献检索与综述、教育研究方法设计、教育研究方案设计三部分构成；小组合作项目要求学生以学习小组（也是教育实践小组）为单位，在中小学校实践导师的指导下，通过观察、思考和讨论，选择合适的研究问题，分工合作，完成教育实验研究、行动研究、叙事研究等研究方案的设计。</w:t>
      </w:r>
    </w:p>
    <w:p w14:paraId="5F7A3AF0">
      <w:pPr>
        <w:spacing w:line="360" w:lineRule="auto"/>
        <w:ind w:firstLine="480" w:firstLineChars="200"/>
        <w:rPr>
          <w:sz w:val="24"/>
        </w:rPr>
      </w:pPr>
      <w:r>
        <w:rPr>
          <w:rFonts w:hint="eastAsia"/>
          <w:sz w:val="24"/>
        </w:rPr>
        <w:t>6</w:t>
      </w:r>
      <w:r>
        <w:rPr>
          <w:sz w:val="24"/>
        </w:rPr>
        <w:t xml:space="preserve">. </w:t>
      </w:r>
      <w:r>
        <w:rPr>
          <w:rFonts w:hint="eastAsia"/>
          <w:sz w:val="24"/>
        </w:rPr>
        <w:t>完善成绩动态管理机制。本课程成绩动态管理主要体现在项目制考核上。在个人考核项目中，学生第一次提交考核作业后，主讲教师需在一周内完成每个学生作业的评阅，不仅要给出初始得分，还要指出存在问题，提出修改建议。教师应利用辅导答疑时以班级为单位进行集体反馈，随后还需进行一对一的辅导。辅导答疑后，首次考核不及格的学生对考核作业进行修改完善，并重新提交，直到取得合格成绩或自己满意成绩为止。首次成绩合格但不满意的学生，亦可重新修改、提交作业，直到取得理想成绩。每个学生的个人考核项目，均取其最高分计入最终成绩。在小组合作项目中，教师在学生小组汇报阶段提出存在问题，每个小组进行完善和改进。项目成绩评定不仅要看小组汇报情况，也要看最终方案设计的文稿质量。</w:t>
      </w:r>
    </w:p>
    <w:p w14:paraId="6414D124">
      <w:pPr>
        <w:spacing w:line="360" w:lineRule="auto"/>
        <w:ind w:firstLine="480" w:firstLineChars="200"/>
        <w:rPr>
          <w:sz w:val="24"/>
        </w:rPr>
      </w:pPr>
    </w:p>
    <w:p w14:paraId="42917030">
      <w:pPr>
        <w:spacing w:line="360" w:lineRule="auto"/>
        <w:ind w:firstLine="480" w:firstLineChars="200"/>
        <w:rPr>
          <w:rFonts w:hint="eastAsia"/>
          <w:sz w:val="24"/>
        </w:rPr>
      </w:pPr>
    </w:p>
    <w:p w14:paraId="2DCD2559">
      <w:pPr>
        <w:spacing w:line="360" w:lineRule="auto"/>
        <w:ind w:firstLine="482" w:firstLineChars="200"/>
        <w:rPr>
          <w:rFonts w:hint="eastAsia"/>
          <w:b/>
          <w:sz w:val="24"/>
        </w:rPr>
      </w:pPr>
      <w:r>
        <w:rPr>
          <w:rFonts w:hint="eastAsia"/>
          <w:b/>
          <w:sz w:val="24"/>
        </w:rPr>
        <w:t>（二）课程实施与保障</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3AC1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7BF2AB2A">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593D2BE5">
            <w:pPr>
              <w:spacing w:line="276" w:lineRule="auto"/>
              <w:jc w:val="center"/>
              <w:rPr>
                <w:szCs w:val="21"/>
              </w:rPr>
            </w:pPr>
            <w:r>
              <w:rPr>
                <w:bCs/>
                <w:szCs w:val="21"/>
              </w:rPr>
              <w:t>质量</w:t>
            </w:r>
            <w:r>
              <w:rPr>
                <w:rFonts w:hint="eastAsia"/>
                <w:bCs/>
                <w:szCs w:val="21"/>
              </w:rPr>
              <w:t>要求</w:t>
            </w:r>
          </w:p>
        </w:tc>
      </w:tr>
      <w:tr w14:paraId="4A72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582" w:type="dxa"/>
            <w:tcBorders>
              <w:left w:val="single" w:color="auto" w:sz="8" w:space="0"/>
            </w:tcBorders>
            <w:noWrap w:val="0"/>
            <w:vAlign w:val="center"/>
          </w:tcPr>
          <w:p w14:paraId="7B99B5CC">
            <w:pPr>
              <w:spacing w:line="276" w:lineRule="auto"/>
              <w:jc w:val="center"/>
              <w:rPr>
                <w:szCs w:val="21"/>
              </w:rPr>
            </w:pPr>
            <w:r>
              <w:rPr>
                <w:szCs w:val="21"/>
              </w:rPr>
              <w:t>1</w:t>
            </w:r>
          </w:p>
        </w:tc>
        <w:tc>
          <w:tcPr>
            <w:tcW w:w="1701" w:type="dxa"/>
            <w:noWrap w:val="0"/>
            <w:tcMar>
              <w:left w:w="28" w:type="dxa"/>
              <w:right w:w="28" w:type="dxa"/>
            </w:tcMar>
            <w:vAlign w:val="center"/>
          </w:tcPr>
          <w:p w14:paraId="20E217A0">
            <w:pPr>
              <w:spacing w:line="276" w:lineRule="auto"/>
              <w:jc w:val="center"/>
              <w:rPr>
                <w:szCs w:val="21"/>
              </w:rPr>
            </w:pPr>
            <w:r>
              <w:rPr>
                <w:szCs w:val="21"/>
              </w:rPr>
              <w:t>备课</w:t>
            </w:r>
          </w:p>
        </w:tc>
        <w:tc>
          <w:tcPr>
            <w:tcW w:w="6817" w:type="dxa"/>
            <w:tcBorders>
              <w:right w:val="single" w:color="auto" w:sz="8" w:space="0"/>
            </w:tcBorders>
            <w:noWrap w:val="0"/>
            <w:vAlign w:val="center"/>
          </w:tcPr>
          <w:p w14:paraId="7C84BEF0">
            <w:pPr>
              <w:spacing w:line="276" w:lineRule="auto"/>
              <w:rPr>
                <w:szCs w:val="21"/>
              </w:rPr>
            </w:pPr>
            <w:r>
              <w:rPr>
                <w:rFonts w:hint="eastAsia"/>
                <w:szCs w:val="21"/>
              </w:rPr>
              <w:t>（1）教师</w:t>
            </w:r>
            <w:r>
              <w:rPr>
                <w:szCs w:val="21"/>
              </w:rPr>
              <w:t>掌握本课程教学大纲内容，严格按照教学大纲要求进行课程教学内容的组织。</w:t>
            </w:r>
          </w:p>
          <w:p w14:paraId="752D9F98">
            <w:pPr>
              <w:spacing w:line="276" w:lineRule="auto"/>
              <w:rPr>
                <w:szCs w:val="21"/>
              </w:rPr>
            </w:pPr>
            <w:r>
              <w:rPr>
                <w:szCs w:val="21"/>
              </w:rPr>
              <w:t>（2）</w:t>
            </w:r>
            <w:r>
              <w:rPr>
                <w:rFonts w:hint="eastAsia"/>
                <w:szCs w:val="21"/>
              </w:rPr>
              <w:t>教师查阅相关资料，参与和观摩小学教科研实践，参考其他高校相关专业的经验，认真编写教案，制作课件</w:t>
            </w:r>
            <w:r>
              <w:rPr>
                <w:szCs w:val="21"/>
              </w:rPr>
              <w:t>。</w:t>
            </w:r>
          </w:p>
          <w:p w14:paraId="77CCC740">
            <w:pPr>
              <w:spacing w:line="276" w:lineRule="auto"/>
              <w:rPr>
                <w:szCs w:val="21"/>
              </w:rPr>
            </w:pPr>
            <w:r>
              <w:rPr>
                <w:szCs w:val="21"/>
              </w:rPr>
              <w:t>（3）</w:t>
            </w:r>
            <w:r>
              <w:rPr>
                <w:rFonts w:hint="eastAsia"/>
                <w:szCs w:val="21"/>
              </w:rPr>
              <w:t>根据</w:t>
            </w:r>
            <w:r>
              <w:rPr>
                <w:szCs w:val="21"/>
              </w:rPr>
              <w:t>各</w:t>
            </w:r>
            <w:r>
              <w:rPr>
                <w:rFonts w:hint="eastAsia"/>
                <w:szCs w:val="21"/>
              </w:rPr>
              <w:t>模块的教学</w:t>
            </w:r>
            <w:r>
              <w:rPr>
                <w:szCs w:val="21"/>
              </w:rPr>
              <w:t>内容</w:t>
            </w:r>
            <w:r>
              <w:rPr>
                <w:rFonts w:hint="eastAsia"/>
                <w:szCs w:val="21"/>
              </w:rPr>
              <w:t>，进行教学设计，选择合适的</w:t>
            </w:r>
            <w:r>
              <w:rPr>
                <w:szCs w:val="21"/>
              </w:rPr>
              <w:t>教学方法。</w:t>
            </w:r>
          </w:p>
        </w:tc>
      </w:tr>
      <w:tr w14:paraId="0C7B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2AA876FB">
            <w:pPr>
              <w:spacing w:line="276" w:lineRule="auto"/>
              <w:jc w:val="center"/>
              <w:rPr>
                <w:szCs w:val="21"/>
              </w:rPr>
            </w:pPr>
            <w:r>
              <w:rPr>
                <w:szCs w:val="21"/>
              </w:rPr>
              <w:t>2</w:t>
            </w:r>
          </w:p>
        </w:tc>
        <w:tc>
          <w:tcPr>
            <w:tcW w:w="1701" w:type="dxa"/>
            <w:noWrap w:val="0"/>
            <w:tcMar>
              <w:left w:w="28" w:type="dxa"/>
              <w:right w:w="28" w:type="dxa"/>
            </w:tcMar>
            <w:vAlign w:val="center"/>
          </w:tcPr>
          <w:p w14:paraId="6BB774E9">
            <w:pPr>
              <w:spacing w:line="276" w:lineRule="auto"/>
              <w:jc w:val="center"/>
              <w:rPr>
                <w:szCs w:val="21"/>
              </w:rPr>
            </w:pPr>
            <w:r>
              <w:rPr>
                <w:szCs w:val="21"/>
              </w:rPr>
              <w:t>讲授</w:t>
            </w:r>
          </w:p>
        </w:tc>
        <w:tc>
          <w:tcPr>
            <w:tcW w:w="6817" w:type="dxa"/>
            <w:tcBorders>
              <w:right w:val="single" w:color="auto" w:sz="8" w:space="0"/>
            </w:tcBorders>
            <w:noWrap w:val="0"/>
            <w:vAlign w:val="center"/>
          </w:tcPr>
          <w:p w14:paraId="56228C80">
            <w:pPr>
              <w:spacing w:line="276" w:lineRule="auto"/>
              <w:rPr>
                <w:rFonts w:ascii="宋体" w:hAnsi="宋体"/>
                <w:color w:val="000000"/>
              </w:rPr>
            </w:pPr>
            <w:r>
              <w:rPr>
                <w:rFonts w:hint="eastAsia"/>
                <w:szCs w:val="21"/>
              </w:rPr>
              <w:t>（</w:t>
            </w:r>
            <w:r>
              <w:rPr>
                <w:rFonts w:ascii="宋体" w:hAnsi="宋体"/>
                <w:color w:val="000000"/>
                <w:szCs w:val="21"/>
              </w:rPr>
              <w:t>（1）</w:t>
            </w:r>
            <w:r>
              <w:rPr>
                <w:rFonts w:hint="eastAsia" w:ascii="宋体" w:hAnsi="宋体"/>
                <w:color w:val="000000"/>
              </w:rPr>
              <w:t>教师仪表端庄，情绪情感要饱满；</w:t>
            </w:r>
          </w:p>
          <w:p w14:paraId="5369973B">
            <w:pPr>
              <w:spacing w:line="276" w:lineRule="auto"/>
              <w:rPr>
                <w:rFonts w:ascii="宋体" w:hAnsi="宋体"/>
                <w:color w:val="000000"/>
                <w:szCs w:val="21"/>
              </w:rPr>
            </w:pPr>
            <w:r>
              <w:rPr>
                <w:rFonts w:ascii="宋体" w:hAnsi="宋体"/>
                <w:color w:val="000000"/>
                <w:szCs w:val="21"/>
              </w:rPr>
              <w:t>（2）</w:t>
            </w:r>
            <w:r>
              <w:rPr>
                <w:rFonts w:hint="eastAsia" w:ascii="宋体" w:hAnsi="宋体"/>
                <w:color w:val="000000"/>
              </w:rPr>
              <w:t>教学准备充分，熟悉教学内容；</w:t>
            </w:r>
          </w:p>
          <w:p w14:paraId="5E6522F8">
            <w:pPr>
              <w:spacing w:line="276" w:lineRule="auto"/>
              <w:rPr>
                <w:rFonts w:ascii="宋体" w:hAnsi="宋体"/>
                <w:color w:val="000000"/>
                <w:szCs w:val="21"/>
              </w:rPr>
            </w:pPr>
            <w:r>
              <w:rPr>
                <w:rFonts w:ascii="宋体" w:hAnsi="宋体"/>
                <w:color w:val="000000"/>
                <w:szCs w:val="21"/>
              </w:rPr>
              <w:t>（3）</w:t>
            </w:r>
            <w:r>
              <w:rPr>
                <w:rFonts w:hint="eastAsia" w:ascii="宋体" w:hAnsi="宋体"/>
                <w:color w:val="000000"/>
              </w:rPr>
              <w:t>教学内容充实，不断充实最新研究成果；</w:t>
            </w:r>
          </w:p>
          <w:p w14:paraId="53BCFDC0">
            <w:pPr>
              <w:spacing w:line="276" w:lineRule="auto"/>
              <w:rPr>
                <w:rFonts w:ascii="宋体" w:hAnsi="宋体"/>
                <w:color w:val="000000"/>
                <w:szCs w:val="21"/>
              </w:rPr>
            </w:pPr>
            <w:r>
              <w:rPr>
                <w:rFonts w:ascii="宋体" w:hAnsi="宋体"/>
                <w:color w:val="000000"/>
                <w:szCs w:val="21"/>
              </w:rPr>
              <w:t>（4）</w:t>
            </w:r>
            <w:r>
              <w:rPr>
                <w:rFonts w:hint="eastAsia" w:ascii="宋体" w:hAnsi="宋体"/>
                <w:color w:val="000000"/>
              </w:rPr>
              <w:t>严格执行计划，教学进度适宜；</w:t>
            </w:r>
          </w:p>
          <w:p w14:paraId="1222F172">
            <w:pPr>
              <w:spacing w:line="276" w:lineRule="auto"/>
              <w:rPr>
                <w:rFonts w:ascii="宋体" w:hAnsi="宋体"/>
                <w:color w:val="000000"/>
                <w:szCs w:val="21"/>
              </w:rPr>
            </w:pPr>
            <w:r>
              <w:rPr>
                <w:rFonts w:ascii="宋体" w:hAnsi="宋体"/>
                <w:color w:val="000000"/>
                <w:szCs w:val="21"/>
              </w:rPr>
              <w:t>（5）</w:t>
            </w:r>
            <w:r>
              <w:rPr>
                <w:rFonts w:hint="eastAsia" w:ascii="宋体" w:hAnsi="宋体"/>
                <w:color w:val="000000"/>
              </w:rPr>
              <w:t>课堂教学信息充分，注重理论联系实际；</w:t>
            </w:r>
          </w:p>
          <w:p w14:paraId="41C5A715">
            <w:pPr>
              <w:spacing w:line="276" w:lineRule="auto"/>
              <w:rPr>
                <w:rFonts w:ascii="宋体" w:hAnsi="宋体"/>
                <w:color w:val="000000"/>
                <w:szCs w:val="21"/>
              </w:rPr>
            </w:pPr>
            <w:r>
              <w:rPr>
                <w:rFonts w:ascii="宋体" w:hAnsi="宋体"/>
                <w:color w:val="000000"/>
                <w:szCs w:val="21"/>
              </w:rPr>
              <w:t>（6）</w:t>
            </w:r>
            <w:r>
              <w:rPr>
                <w:rFonts w:hint="eastAsia" w:ascii="宋体" w:hAnsi="宋体"/>
                <w:color w:val="000000"/>
              </w:rPr>
              <w:t>注重启发学生思维，培养学生的教学能力；</w:t>
            </w:r>
          </w:p>
          <w:p w14:paraId="6594B59B">
            <w:pPr>
              <w:spacing w:line="276" w:lineRule="auto"/>
              <w:rPr>
                <w:rFonts w:ascii="宋体" w:hAnsi="宋体"/>
                <w:color w:val="000000"/>
                <w:szCs w:val="21"/>
              </w:rPr>
            </w:pPr>
            <w:r>
              <w:rPr>
                <w:rFonts w:ascii="宋体" w:hAnsi="宋体"/>
                <w:color w:val="000000"/>
                <w:szCs w:val="21"/>
              </w:rPr>
              <w:t>（7）</w:t>
            </w:r>
            <w:r>
              <w:rPr>
                <w:rFonts w:hint="eastAsia" w:ascii="宋体" w:hAnsi="宋体"/>
                <w:color w:val="000000"/>
              </w:rPr>
              <w:t>面向全体基础上因材施教，灵活运用多种教学方法；</w:t>
            </w:r>
          </w:p>
          <w:p w14:paraId="060E91A1">
            <w:pPr>
              <w:spacing w:line="276" w:lineRule="auto"/>
              <w:rPr>
                <w:rFonts w:ascii="宋体" w:hAnsi="宋体"/>
                <w:color w:val="000000"/>
                <w:szCs w:val="21"/>
              </w:rPr>
            </w:pPr>
            <w:r>
              <w:rPr>
                <w:rFonts w:ascii="宋体" w:hAnsi="宋体"/>
                <w:color w:val="000000"/>
                <w:szCs w:val="21"/>
              </w:rPr>
              <w:t>（8）</w:t>
            </w:r>
            <w:r>
              <w:rPr>
                <w:rFonts w:hint="eastAsia" w:ascii="宋体" w:hAnsi="宋体"/>
                <w:color w:val="000000"/>
              </w:rPr>
              <w:t>教学语言规范，为学生教育教学做好表率；</w:t>
            </w:r>
          </w:p>
          <w:p w14:paraId="0A973C52">
            <w:pPr>
              <w:spacing w:line="276" w:lineRule="auto"/>
              <w:rPr>
                <w:rFonts w:ascii="宋体" w:hAnsi="宋体"/>
                <w:color w:val="000000"/>
                <w:szCs w:val="21"/>
              </w:rPr>
            </w:pPr>
            <w:r>
              <w:rPr>
                <w:rFonts w:ascii="宋体" w:hAnsi="宋体"/>
                <w:color w:val="000000"/>
                <w:szCs w:val="21"/>
              </w:rPr>
              <w:t>（9）</w:t>
            </w:r>
            <w:r>
              <w:rPr>
                <w:rFonts w:hint="eastAsia" w:ascii="宋体" w:hAnsi="宋体"/>
                <w:color w:val="000000"/>
              </w:rPr>
              <w:t>教学条理清楚，教学思路逻辑严密；</w:t>
            </w:r>
          </w:p>
          <w:p w14:paraId="7615E279">
            <w:pPr>
              <w:spacing w:line="276" w:lineRule="auto"/>
              <w:rPr>
                <w:rFonts w:ascii="宋体" w:hAnsi="宋体"/>
                <w:color w:val="000000"/>
                <w:szCs w:val="21"/>
              </w:rPr>
            </w:pPr>
            <w:r>
              <w:rPr>
                <w:rFonts w:ascii="宋体" w:hAnsi="宋体"/>
                <w:color w:val="000000"/>
                <w:szCs w:val="21"/>
              </w:rPr>
              <w:t>（10）</w:t>
            </w:r>
            <w:r>
              <w:rPr>
                <w:rFonts w:hint="eastAsia" w:ascii="宋体" w:hAnsi="宋体"/>
                <w:color w:val="000000"/>
              </w:rPr>
              <w:t>充分运用现代化教学手段，教学技术熟练；</w:t>
            </w:r>
          </w:p>
          <w:p w14:paraId="5EFF9FF7">
            <w:pPr>
              <w:spacing w:line="276" w:lineRule="auto"/>
              <w:rPr>
                <w:rFonts w:ascii="宋体" w:hAnsi="宋体"/>
                <w:color w:val="000000"/>
                <w:szCs w:val="21"/>
              </w:rPr>
            </w:pPr>
            <w:r>
              <w:rPr>
                <w:rFonts w:ascii="宋体" w:hAnsi="宋体"/>
                <w:color w:val="000000"/>
                <w:szCs w:val="21"/>
              </w:rPr>
              <w:t>（11）</w:t>
            </w:r>
            <w:r>
              <w:rPr>
                <w:rFonts w:hint="eastAsia" w:ascii="宋体" w:hAnsi="宋体"/>
                <w:color w:val="000000"/>
              </w:rPr>
              <w:t>课堂教学要重点突出，难点突破；</w:t>
            </w:r>
          </w:p>
          <w:p w14:paraId="349134DD">
            <w:pPr>
              <w:spacing w:line="276" w:lineRule="auto"/>
              <w:rPr>
                <w:szCs w:val="21"/>
              </w:rPr>
            </w:pPr>
            <w:r>
              <w:rPr>
                <w:rFonts w:ascii="宋体" w:hAnsi="宋体"/>
                <w:color w:val="000000"/>
                <w:szCs w:val="21"/>
              </w:rPr>
              <w:t>（12）</w:t>
            </w:r>
            <w:r>
              <w:rPr>
                <w:rFonts w:hint="eastAsia" w:ascii="宋体" w:hAnsi="宋体"/>
                <w:color w:val="000000"/>
              </w:rPr>
              <w:t>注重师生互动，形成良好的课堂氛围。</w:t>
            </w:r>
          </w:p>
        </w:tc>
      </w:tr>
      <w:tr w14:paraId="237B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3" w:hRule="atLeast"/>
          <w:jc w:val="center"/>
        </w:trPr>
        <w:tc>
          <w:tcPr>
            <w:tcW w:w="582" w:type="dxa"/>
            <w:tcBorders>
              <w:left w:val="single" w:color="auto" w:sz="8" w:space="0"/>
            </w:tcBorders>
            <w:noWrap w:val="0"/>
            <w:vAlign w:val="center"/>
          </w:tcPr>
          <w:p w14:paraId="11611A5B">
            <w:pPr>
              <w:spacing w:line="276" w:lineRule="auto"/>
              <w:jc w:val="center"/>
              <w:rPr>
                <w:szCs w:val="21"/>
              </w:rPr>
            </w:pPr>
            <w:r>
              <w:rPr>
                <w:szCs w:val="21"/>
              </w:rPr>
              <w:t>3</w:t>
            </w:r>
          </w:p>
        </w:tc>
        <w:tc>
          <w:tcPr>
            <w:tcW w:w="1701" w:type="dxa"/>
            <w:noWrap w:val="0"/>
            <w:tcMar>
              <w:left w:w="28" w:type="dxa"/>
              <w:right w:w="28" w:type="dxa"/>
            </w:tcMar>
            <w:vAlign w:val="center"/>
          </w:tcPr>
          <w:p w14:paraId="0615E8AC">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0244007A">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4FCE0D61">
            <w:pPr>
              <w:spacing w:line="276" w:lineRule="auto"/>
              <w:rPr>
                <w:szCs w:val="21"/>
              </w:rPr>
            </w:pPr>
            <w:r>
              <w:rPr>
                <w:rFonts w:hint="eastAsia"/>
                <w:szCs w:val="21"/>
              </w:rPr>
              <w:t>（1）</w:t>
            </w:r>
            <w:r>
              <w:rPr>
                <w:szCs w:val="21"/>
              </w:rPr>
              <w:t>按时按量完成作业，不缺交，不抄袭</w:t>
            </w:r>
            <w:r>
              <w:rPr>
                <w:rFonts w:hint="eastAsia"/>
                <w:szCs w:val="21"/>
              </w:rPr>
              <w:t>。</w:t>
            </w:r>
          </w:p>
          <w:p w14:paraId="39E0B2C7">
            <w:pPr>
              <w:spacing w:line="276" w:lineRule="auto"/>
              <w:rPr>
                <w:szCs w:val="21"/>
              </w:rPr>
            </w:pPr>
            <w:r>
              <w:rPr>
                <w:rFonts w:hint="eastAsia"/>
                <w:szCs w:val="21"/>
              </w:rPr>
              <w:t>（2）书写或打印</w:t>
            </w:r>
            <w:r>
              <w:rPr>
                <w:szCs w:val="21"/>
              </w:rPr>
              <w:t>规范</w:t>
            </w:r>
            <w:r>
              <w:rPr>
                <w:rFonts w:hint="eastAsia"/>
                <w:szCs w:val="21"/>
              </w:rPr>
              <w:t>。</w:t>
            </w:r>
          </w:p>
          <w:p w14:paraId="39C70391">
            <w:pPr>
              <w:spacing w:line="276" w:lineRule="auto"/>
              <w:rPr>
                <w:szCs w:val="21"/>
              </w:rPr>
            </w:pPr>
            <w:r>
              <w:rPr>
                <w:szCs w:val="21"/>
              </w:rPr>
              <w:t>教师批改</w:t>
            </w:r>
            <w:r>
              <w:rPr>
                <w:rFonts w:hint="eastAsia"/>
                <w:szCs w:val="21"/>
              </w:rPr>
              <w:t>和</w:t>
            </w:r>
            <w:r>
              <w:rPr>
                <w:szCs w:val="21"/>
              </w:rPr>
              <w:t>讲评作业要求如下：</w:t>
            </w:r>
          </w:p>
          <w:p w14:paraId="38BB25AC">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、反馈。</w:t>
            </w:r>
          </w:p>
          <w:p w14:paraId="1EEFBE0E">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w:t>
            </w:r>
            <w:r>
              <w:rPr>
                <w:rFonts w:hint="eastAsia"/>
                <w:szCs w:val="21"/>
              </w:rPr>
              <w:t>不仅要指出学生作业中存在的问题，还应给出修改的思路和建议。</w:t>
            </w:r>
          </w:p>
          <w:p w14:paraId="4EC10DEF">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作为本课程总评成绩的重要组成部分。</w:t>
            </w:r>
          </w:p>
        </w:tc>
      </w:tr>
      <w:tr w14:paraId="7770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582" w:type="dxa"/>
            <w:tcBorders>
              <w:left w:val="single" w:color="auto" w:sz="8" w:space="0"/>
            </w:tcBorders>
            <w:noWrap w:val="0"/>
            <w:vAlign w:val="center"/>
          </w:tcPr>
          <w:p w14:paraId="0EFF5A27">
            <w:pPr>
              <w:spacing w:line="276" w:lineRule="auto"/>
              <w:jc w:val="center"/>
              <w:rPr>
                <w:szCs w:val="21"/>
              </w:rPr>
            </w:pPr>
            <w:r>
              <w:rPr>
                <w:szCs w:val="21"/>
              </w:rPr>
              <w:t>4</w:t>
            </w:r>
          </w:p>
        </w:tc>
        <w:tc>
          <w:tcPr>
            <w:tcW w:w="1701" w:type="dxa"/>
            <w:noWrap w:val="0"/>
            <w:tcMar>
              <w:left w:w="28" w:type="dxa"/>
              <w:right w:w="28" w:type="dxa"/>
            </w:tcMar>
            <w:vAlign w:val="center"/>
          </w:tcPr>
          <w:p w14:paraId="5DF9FFB8">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49213187">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w:t>
            </w:r>
            <w:r>
              <w:rPr>
                <w:rFonts w:hint="eastAsia"/>
                <w:szCs w:val="21"/>
              </w:rPr>
              <w:t>主讲</w:t>
            </w:r>
            <w:r>
              <w:rPr>
                <w:szCs w:val="21"/>
              </w:rPr>
              <w:t>教师</w:t>
            </w:r>
            <w:r>
              <w:rPr>
                <w:rFonts w:hint="eastAsia"/>
                <w:szCs w:val="21"/>
              </w:rPr>
              <w:t>在学生提交作业后均应安排集体答疑和一对一个别辅导；同时，教师利用课程群随时回答学生学习上的疑问。</w:t>
            </w:r>
          </w:p>
        </w:tc>
      </w:tr>
      <w:tr w14:paraId="69CF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82" w:type="dxa"/>
            <w:tcBorders>
              <w:left w:val="single" w:color="auto" w:sz="8" w:space="0"/>
            </w:tcBorders>
            <w:noWrap w:val="0"/>
            <w:vAlign w:val="center"/>
          </w:tcPr>
          <w:p w14:paraId="52CCFD86">
            <w:pPr>
              <w:spacing w:line="276" w:lineRule="auto"/>
              <w:jc w:val="center"/>
              <w:rPr>
                <w:szCs w:val="21"/>
              </w:rPr>
            </w:pPr>
            <w:r>
              <w:rPr>
                <w:szCs w:val="21"/>
              </w:rPr>
              <w:t>5</w:t>
            </w:r>
          </w:p>
        </w:tc>
        <w:tc>
          <w:tcPr>
            <w:tcW w:w="1701" w:type="dxa"/>
            <w:noWrap w:val="0"/>
            <w:tcMar>
              <w:left w:w="28" w:type="dxa"/>
              <w:right w:w="28" w:type="dxa"/>
            </w:tcMar>
            <w:vAlign w:val="center"/>
          </w:tcPr>
          <w:p w14:paraId="6F3A2641">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371137B5">
            <w:pPr>
              <w:spacing w:line="276" w:lineRule="auto"/>
              <w:rPr>
                <w:szCs w:val="21"/>
              </w:rPr>
            </w:pPr>
            <w:r>
              <w:rPr>
                <w:rFonts w:hint="eastAsia"/>
                <w:szCs w:val="21"/>
              </w:rPr>
              <w:t>本课程的成绩考核实行项目考核、过程评价、动态管理。除平时成绩外，学生均应在考核项目布置后三周内提交所完成的项目作业（其中开题报告须在第18周结束前提交）；项目考核成绩公布后，学生成绩不合格的，或对考核成绩不满意的，可第二次提交项目作业（原则上一学期内同一考核项可提交3次考核作业）；每个项目取最高好成绩计入总分。开题报告成绩须达到50分以上，总评成绩方能评定为及格。学生应独立完成本课程所有的考核项目，如有抄袭等不诚信行为，课程成绩评定为不及格。</w:t>
            </w:r>
          </w:p>
        </w:tc>
      </w:tr>
    </w:tbl>
    <w:p w14:paraId="3A56C641">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六、课程</w:t>
      </w:r>
      <w:r>
        <w:rPr>
          <w:rFonts w:ascii="宋体" w:hAnsi="宋体"/>
          <w:b/>
          <w:color w:val="000000"/>
          <w:sz w:val="28"/>
          <w:szCs w:val="28"/>
        </w:rPr>
        <w:t>考核</w:t>
      </w:r>
    </w:p>
    <w:p w14:paraId="4E7106F8">
      <w:pPr>
        <w:spacing w:line="360" w:lineRule="auto"/>
        <w:ind w:firstLine="480" w:firstLineChars="200"/>
        <w:rPr>
          <w:rFonts w:hint="eastAsia"/>
          <w:sz w:val="24"/>
        </w:rPr>
      </w:pPr>
      <w:r>
        <w:rPr>
          <w:rFonts w:hint="eastAsia"/>
          <w:sz w:val="24"/>
        </w:rPr>
        <w:t>（一）</w:t>
      </w:r>
      <w:r>
        <w:rPr>
          <w:sz w:val="24"/>
        </w:rPr>
        <w:t>课程考核</w:t>
      </w:r>
      <w:r>
        <w:rPr>
          <w:rFonts w:hint="eastAsia"/>
          <w:sz w:val="24"/>
        </w:rPr>
        <w:t>项目</w:t>
      </w:r>
      <w:r>
        <w:rPr>
          <w:sz w:val="24"/>
        </w:rPr>
        <w:t>包括</w:t>
      </w:r>
      <w:r>
        <w:rPr>
          <w:rFonts w:hint="eastAsia"/>
          <w:sz w:val="24"/>
        </w:rPr>
        <w:t>：平时成绩（包括在线学习、课堂参与、平时作业）、课内实践、项目制考核</w:t>
      </w:r>
      <w:r>
        <w:rPr>
          <w:sz w:val="24"/>
        </w:rPr>
        <w:t>。</w:t>
      </w:r>
    </w:p>
    <w:p w14:paraId="0C8518F6">
      <w:pPr>
        <w:spacing w:line="360" w:lineRule="auto"/>
        <w:ind w:firstLine="480" w:firstLineChars="200"/>
        <w:rPr>
          <w:rFonts w:hint="eastAsia"/>
          <w:sz w:val="24"/>
        </w:rPr>
      </w:pPr>
      <w:r>
        <w:rPr>
          <w:rFonts w:hint="eastAsia"/>
          <w:sz w:val="24"/>
        </w:rPr>
        <w:t>（二）项目制考核由以下项目构成：</w:t>
      </w:r>
    </w:p>
    <w:p w14:paraId="10CF9732">
      <w:pPr>
        <w:spacing w:line="360" w:lineRule="auto"/>
        <w:ind w:firstLine="480" w:firstLineChars="200"/>
        <w:rPr>
          <w:rFonts w:hint="eastAsia"/>
          <w:sz w:val="24"/>
        </w:rPr>
      </w:pPr>
      <w:r>
        <w:rPr>
          <w:rFonts w:hint="eastAsia"/>
          <w:sz w:val="24"/>
        </w:rPr>
        <w:t>1. 文献检索与文献综述。要求学生在参加中小学教科研课题或确定毕业论文选题的基础上，在中国学术期刊网上进行文献检索；利用检索的文献，撰写一篇文献综述，字数1500字左右；按照常州工学院师范学院小学教育专业毕业论文参考文献的要求，列出检索到的文献（15篇以上）。</w:t>
      </w:r>
    </w:p>
    <w:p w14:paraId="56AD4DDD">
      <w:pPr>
        <w:spacing w:line="360" w:lineRule="auto"/>
        <w:ind w:firstLine="480" w:firstLineChars="200"/>
        <w:rPr>
          <w:rFonts w:hint="eastAsia"/>
          <w:sz w:val="24"/>
        </w:rPr>
      </w:pPr>
      <w:r>
        <w:rPr>
          <w:rFonts w:hint="eastAsia"/>
          <w:sz w:val="24"/>
        </w:rPr>
        <w:t>2．科研方法设计。要求学生根据中小学教科研课题或毕业论文课题研究的需要，主要选取一种研究方法，进行研究方法设计。如，选用教育调查方法的，可设计调查问卷1份（或访谈提纲1份+观察记录表1份）；选用教育实验方法的，须进行实验方案设计。</w:t>
      </w:r>
    </w:p>
    <w:p w14:paraId="15FD772A">
      <w:pPr>
        <w:spacing w:line="360" w:lineRule="auto"/>
        <w:ind w:firstLine="480" w:firstLineChars="200"/>
        <w:rPr>
          <w:rFonts w:hint="eastAsia"/>
          <w:sz w:val="24"/>
        </w:rPr>
      </w:pPr>
      <w:r>
        <w:rPr>
          <w:rFonts w:hint="eastAsia"/>
          <w:sz w:val="24"/>
        </w:rPr>
        <w:t>3．研究方案设计。选择对中小学教科研课题进行方案设计的，按照《江苏省教育科学规划课题申报书》的格式撰写课题研究方案；选择对毕业论文进行方案设计的，按照本专业毕业论文开题报告的格式，独立完成开题报告的撰写。</w:t>
      </w:r>
    </w:p>
    <w:p w14:paraId="076CF1A7">
      <w:pPr>
        <w:spacing w:line="360" w:lineRule="auto"/>
        <w:ind w:firstLine="480" w:firstLineChars="200"/>
        <w:rPr>
          <w:sz w:val="24"/>
        </w:rPr>
      </w:pPr>
      <w:r>
        <w:rPr>
          <w:rFonts w:hint="eastAsia"/>
          <w:sz w:val="24"/>
        </w:rPr>
        <w:t>（三）</w:t>
      </w:r>
      <w:r>
        <w:rPr>
          <w:sz w:val="24"/>
        </w:rPr>
        <w:t>课程</w:t>
      </w:r>
      <w:r>
        <w:rPr>
          <w:rFonts w:hint="eastAsia"/>
          <w:sz w:val="24"/>
        </w:rPr>
        <w:t>总评</w:t>
      </w:r>
      <w:r>
        <w:rPr>
          <w:sz w:val="24"/>
        </w:rPr>
        <w:t>成绩=</w:t>
      </w:r>
      <w:r>
        <w:rPr>
          <w:rFonts w:hint="eastAsia"/>
          <w:sz w:val="24"/>
        </w:rPr>
        <w:t>平时成绩30</w:t>
      </w:r>
      <w:r>
        <w:rPr>
          <w:sz w:val="24"/>
        </w:rPr>
        <w:t>%+</w:t>
      </w:r>
      <w:r>
        <w:rPr>
          <w:rFonts w:hint="eastAsia"/>
          <w:sz w:val="24"/>
        </w:rPr>
        <w:t>课内实践+20%+学期考核（项目制考核）5</w:t>
      </w:r>
      <w:r>
        <w:rPr>
          <w:sz w:val="24"/>
        </w:rPr>
        <w:t>0%。</w:t>
      </w:r>
      <w:r>
        <w:rPr>
          <w:rFonts w:hint="eastAsia"/>
          <w:sz w:val="24"/>
        </w:rPr>
        <w:t>具体内容和比例如表所示。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140"/>
        <w:gridCol w:w="708"/>
        <w:gridCol w:w="3261"/>
        <w:gridCol w:w="1417"/>
        <w:gridCol w:w="1418"/>
      </w:tblGrid>
      <w:tr w14:paraId="25AD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7655B3C6">
            <w:pPr>
              <w:pStyle w:val="40"/>
              <w:jc w:val="center"/>
              <w:rPr>
                <w:rFonts w:eastAsia="宋体"/>
                <w:b/>
                <w:bCs/>
              </w:rPr>
            </w:pPr>
            <w:r>
              <w:rPr>
                <w:rFonts w:eastAsia="宋体"/>
                <w:b/>
                <w:bCs/>
              </w:rPr>
              <w:t>成绩组成</w:t>
            </w:r>
          </w:p>
        </w:tc>
        <w:tc>
          <w:tcPr>
            <w:tcW w:w="1140" w:type="dxa"/>
            <w:shd w:val="clear" w:color="auto" w:fill="FFFFFF"/>
            <w:noWrap w:val="0"/>
            <w:vAlign w:val="center"/>
          </w:tcPr>
          <w:p w14:paraId="08695D19">
            <w:pPr>
              <w:pStyle w:val="40"/>
              <w:jc w:val="center"/>
              <w:rPr>
                <w:rFonts w:eastAsia="宋体"/>
                <w:b/>
                <w:bCs/>
              </w:rPr>
            </w:pPr>
            <w:r>
              <w:rPr>
                <w:rFonts w:eastAsia="宋体"/>
                <w:b/>
                <w:bCs/>
              </w:rPr>
              <w:t>考核/评价环节</w:t>
            </w:r>
          </w:p>
        </w:tc>
        <w:tc>
          <w:tcPr>
            <w:tcW w:w="708" w:type="dxa"/>
            <w:shd w:val="clear" w:color="auto" w:fill="FFFFFF"/>
            <w:noWrap w:val="0"/>
            <w:vAlign w:val="center"/>
          </w:tcPr>
          <w:p w14:paraId="2D298D0C">
            <w:pPr>
              <w:pStyle w:val="40"/>
              <w:jc w:val="center"/>
              <w:rPr>
                <w:rFonts w:eastAsia="宋体"/>
                <w:b/>
                <w:bCs/>
              </w:rPr>
            </w:pPr>
            <w:r>
              <w:rPr>
                <w:rFonts w:hint="eastAsia" w:eastAsia="宋体"/>
                <w:b/>
                <w:bCs/>
              </w:rPr>
              <w:t>权重</w:t>
            </w:r>
          </w:p>
        </w:tc>
        <w:tc>
          <w:tcPr>
            <w:tcW w:w="3261" w:type="dxa"/>
            <w:shd w:val="clear" w:color="auto" w:fill="FFFFFF"/>
            <w:noWrap w:val="0"/>
            <w:vAlign w:val="center"/>
          </w:tcPr>
          <w:p w14:paraId="1C20EA85">
            <w:pPr>
              <w:pStyle w:val="40"/>
              <w:jc w:val="center"/>
              <w:rPr>
                <w:rFonts w:eastAsia="宋体"/>
                <w:b/>
                <w:bCs/>
              </w:rPr>
            </w:pPr>
            <w:r>
              <w:rPr>
                <w:rFonts w:eastAsia="宋体"/>
                <w:b/>
                <w:bCs/>
              </w:rPr>
              <w:t>考核/评价细则</w:t>
            </w:r>
          </w:p>
        </w:tc>
        <w:tc>
          <w:tcPr>
            <w:tcW w:w="1417" w:type="dxa"/>
            <w:shd w:val="clear" w:color="auto" w:fill="FFFFFF"/>
            <w:noWrap w:val="0"/>
            <w:vAlign w:val="center"/>
          </w:tcPr>
          <w:p w14:paraId="193F84B9">
            <w:pPr>
              <w:ind w:firstLine="211" w:firstLineChars="100"/>
              <w:rPr>
                <w:b/>
                <w:bCs/>
              </w:rPr>
            </w:pPr>
            <w:r>
              <w:rPr>
                <w:rFonts w:hint="eastAsia"/>
                <w:b/>
                <w:bCs/>
              </w:rPr>
              <w:t>课程目标</w:t>
            </w:r>
          </w:p>
        </w:tc>
        <w:tc>
          <w:tcPr>
            <w:tcW w:w="1418" w:type="dxa"/>
            <w:shd w:val="clear" w:color="auto" w:fill="FFFFFF"/>
            <w:noWrap w:val="0"/>
            <w:vAlign w:val="center"/>
          </w:tcPr>
          <w:p w14:paraId="46669780">
            <w:pPr>
              <w:pStyle w:val="40"/>
              <w:jc w:val="center"/>
              <w:rPr>
                <w:rFonts w:eastAsia="宋体"/>
                <w:b/>
                <w:bCs/>
              </w:rPr>
            </w:pPr>
            <w:r>
              <w:rPr>
                <w:rFonts w:eastAsia="宋体"/>
                <w:b/>
                <w:bCs/>
              </w:rPr>
              <w:t>对应的毕业要求指标点</w:t>
            </w:r>
          </w:p>
        </w:tc>
      </w:tr>
      <w:tr w14:paraId="38EF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44" w:type="dxa"/>
            <w:vMerge w:val="restart"/>
            <w:noWrap w:val="0"/>
            <w:tcMar>
              <w:left w:w="57" w:type="dxa"/>
              <w:right w:w="57" w:type="dxa"/>
            </w:tcMar>
            <w:vAlign w:val="center"/>
          </w:tcPr>
          <w:p w14:paraId="6290EEA3">
            <w:pPr>
              <w:pStyle w:val="40"/>
              <w:jc w:val="center"/>
              <w:rPr>
                <w:rFonts w:eastAsia="宋体"/>
              </w:rPr>
            </w:pPr>
            <w:r>
              <w:rPr>
                <w:rFonts w:eastAsia="宋体"/>
              </w:rPr>
              <w:t>平时</w:t>
            </w:r>
            <w:r>
              <w:rPr>
                <w:rFonts w:hint="eastAsia" w:eastAsia="宋体"/>
              </w:rPr>
              <w:t>成绩</w:t>
            </w:r>
          </w:p>
        </w:tc>
        <w:tc>
          <w:tcPr>
            <w:tcW w:w="1140" w:type="dxa"/>
            <w:noWrap w:val="0"/>
            <w:vAlign w:val="center"/>
          </w:tcPr>
          <w:p w14:paraId="4FB0D212">
            <w:pPr>
              <w:pStyle w:val="40"/>
              <w:jc w:val="center"/>
              <w:rPr>
                <w:rFonts w:eastAsia="宋体"/>
              </w:rPr>
            </w:pPr>
            <w:r>
              <w:rPr>
                <w:rFonts w:hint="eastAsia" w:eastAsia="宋体"/>
              </w:rPr>
              <w:t>在线学习</w:t>
            </w:r>
          </w:p>
        </w:tc>
        <w:tc>
          <w:tcPr>
            <w:tcW w:w="708" w:type="dxa"/>
            <w:noWrap w:val="0"/>
            <w:vAlign w:val="center"/>
          </w:tcPr>
          <w:p w14:paraId="0E1C1C77">
            <w:pPr>
              <w:pStyle w:val="40"/>
              <w:jc w:val="center"/>
              <w:rPr>
                <w:rFonts w:eastAsia="宋体"/>
              </w:rPr>
            </w:pPr>
            <w:r>
              <w:rPr>
                <w:rFonts w:eastAsia="宋体"/>
              </w:rPr>
              <w:t>1</w:t>
            </w:r>
            <w:r>
              <w:rPr>
                <w:rFonts w:hint="eastAsia" w:eastAsia="宋体"/>
              </w:rPr>
              <w:t>0</w:t>
            </w:r>
            <w:r>
              <w:rPr>
                <w:rFonts w:eastAsia="宋体"/>
              </w:rPr>
              <w:t>%</w:t>
            </w:r>
          </w:p>
        </w:tc>
        <w:tc>
          <w:tcPr>
            <w:tcW w:w="3261" w:type="dxa"/>
            <w:noWrap w:val="0"/>
            <w:vAlign w:val="center"/>
          </w:tcPr>
          <w:p w14:paraId="793F782C">
            <w:pPr>
              <w:pStyle w:val="40"/>
              <w:rPr>
                <w:rFonts w:eastAsia="宋体"/>
              </w:rPr>
            </w:pPr>
            <w:r>
              <w:rPr>
                <w:rFonts w:hint="eastAsia" w:eastAsia="宋体"/>
              </w:rPr>
              <w:t>每单元教学前一周，完成本单元课程内容预习，登录毕博系统，完成预习测试题。</w:t>
            </w:r>
          </w:p>
        </w:tc>
        <w:tc>
          <w:tcPr>
            <w:tcW w:w="1417" w:type="dxa"/>
            <w:noWrap w:val="0"/>
            <w:vAlign w:val="center"/>
          </w:tcPr>
          <w:p w14:paraId="1A2D79FE">
            <w:pPr>
              <w:pStyle w:val="40"/>
              <w:rPr>
                <w:rFonts w:eastAsia="宋体"/>
              </w:rPr>
            </w:pPr>
            <w:r>
              <w:rPr>
                <w:rFonts w:hint="eastAsia" w:eastAsia="宋体"/>
              </w:rPr>
              <w:t>课程目标1</w:t>
            </w:r>
          </w:p>
          <w:p w14:paraId="1EC2843E">
            <w:pPr>
              <w:pStyle w:val="40"/>
              <w:rPr>
                <w:rFonts w:eastAsia="宋体"/>
              </w:rPr>
            </w:pPr>
            <w:r>
              <w:rPr>
                <w:rFonts w:hint="eastAsia" w:eastAsia="宋体"/>
              </w:rPr>
              <w:t>课程目标2</w:t>
            </w:r>
          </w:p>
        </w:tc>
        <w:tc>
          <w:tcPr>
            <w:tcW w:w="1418" w:type="dxa"/>
            <w:noWrap w:val="0"/>
            <w:vAlign w:val="center"/>
          </w:tcPr>
          <w:p w14:paraId="7D5EA959">
            <w:pPr>
              <w:pStyle w:val="40"/>
              <w:jc w:val="center"/>
              <w:rPr>
                <w:rFonts w:eastAsia="宋体"/>
              </w:rPr>
            </w:pPr>
            <w:r>
              <w:rPr>
                <w:rFonts w:hint="eastAsia" w:eastAsia="宋体"/>
                <w:color w:val="000000"/>
                <w:szCs w:val="21"/>
              </w:rPr>
              <w:t xml:space="preserve"> 3-1，7-1</w:t>
            </w:r>
          </w:p>
        </w:tc>
      </w:tr>
      <w:tr w14:paraId="266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044" w:type="dxa"/>
            <w:vMerge w:val="continue"/>
            <w:noWrap w:val="0"/>
            <w:tcMar>
              <w:left w:w="57" w:type="dxa"/>
              <w:right w:w="57" w:type="dxa"/>
            </w:tcMar>
            <w:vAlign w:val="center"/>
          </w:tcPr>
          <w:p w14:paraId="20770EB6">
            <w:pPr>
              <w:pStyle w:val="40"/>
              <w:jc w:val="center"/>
              <w:rPr>
                <w:rFonts w:eastAsia="宋体"/>
              </w:rPr>
            </w:pPr>
          </w:p>
        </w:tc>
        <w:tc>
          <w:tcPr>
            <w:tcW w:w="1140" w:type="dxa"/>
            <w:noWrap w:val="0"/>
            <w:vAlign w:val="center"/>
          </w:tcPr>
          <w:p w14:paraId="24A9ECAB">
            <w:pPr>
              <w:pStyle w:val="40"/>
              <w:jc w:val="center"/>
              <w:rPr>
                <w:rFonts w:hint="eastAsia" w:eastAsia="宋体"/>
              </w:rPr>
            </w:pPr>
            <w:r>
              <w:rPr>
                <w:rFonts w:hint="eastAsia" w:eastAsia="宋体"/>
              </w:rPr>
              <w:t>课堂参与</w:t>
            </w:r>
          </w:p>
        </w:tc>
        <w:tc>
          <w:tcPr>
            <w:tcW w:w="708" w:type="dxa"/>
            <w:noWrap w:val="0"/>
            <w:vAlign w:val="center"/>
          </w:tcPr>
          <w:p w14:paraId="62B19DB7">
            <w:pPr>
              <w:pStyle w:val="40"/>
              <w:jc w:val="center"/>
              <w:rPr>
                <w:rFonts w:eastAsia="宋体"/>
              </w:rPr>
            </w:pPr>
            <w:r>
              <w:rPr>
                <w:rFonts w:eastAsia="宋体"/>
              </w:rPr>
              <w:t>1</w:t>
            </w:r>
            <w:r>
              <w:rPr>
                <w:rFonts w:hint="eastAsia" w:eastAsia="宋体"/>
              </w:rPr>
              <w:t>0</w:t>
            </w:r>
            <w:r>
              <w:rPr>
                <w:rFonts w:eastAsia="宋体"/>
              </w:rPr>
              <w:t>%</w:t>
            </w:r>
          </w:p>
        </w:tc>
        <w:tc>
          <w:tcPr>
            <w:tcW w:w="3261" w:type="dxa"/>
            <w:noWrap w:val="0"/>
            <w:vAlign w:val="center"/>
          </w:tcPr>
          <w:p w14:paraId="437CFD3D">
            <w:pPr>
              <w:pStyle w:val="40"/>
              <w:rPr>
                <w:rFonts w:hint="eastAsia" w:eastAsia="宋体"/>
              </w:rPr>
            </w:pPr>
            <w:r>
              <w:rPr>
                <w:rFonts w:hint="eastAsia" w:eastAsia="宋体"/>
              </w:rPr>
              <w:t>全勤记按</w:t>
            </w:r>
            <w:r>
              <w:rPr>
                <w:rFonts w:eastAsia="宋体"/>
              </w:rPr>
              <w:t>5</w:t>
            </w:r>
            <w:r>
              <w:rPr>
                <w:rFonts w:hint="eastAsia" w:eastAsia="宋体"/>
              </w:rPr>
              <w:t>%计入总分。事假1节课以及迟到、早退1次各扣</w:t>
            </w:r>
            <w:r>
              <w:rPr>
                <w:rFonts w:eastAsia="宋体"/>
              </w:rPr>
              <w:t>1</w:t>
            </w:r>
            <w:r>
              <w:rPr>
                <w:rFonts w:hint="eastAsia" w:eastAsia="宋体"/>
              </w:rPr>
              <w:t>分；无故旷课1次扣</w:t>
            </w:r>
            <w:r>
              <w:rPr>
                <w:rFonts w:eastAsia="宋体"/>
              </w:rPr>
              <w:t>2</w:t>
            </w:r>
            <w:r>
              <w:rPr>
                <w:rFonts w:hint="eastAsia" w:eastAsia="宋体"/>
              </w:rPr>
              <w:t>分，无故旷课2次扣</w:t>
            </w:r>
            <w:r>
              <w:rPr>
                <w:rFonts w:eastAsia="宋体"/>
              </w:rPr>
              <w:t>5</w:t>
            </w:r>
            <w:r>
              <w:rPr>
                <w:rFonts w:hint="eastAsia" w:eastAsia="宋体"/>
              </w:rPr>
              <w:t>分，旷课3次及以上课程考核直接定为不及格</w:t>
            </w:r>
            <w:r>
              <w:rPr>
                <w:rFonts w:eastAsia="宋体"/>
              </w:rPr>
              <w:t>。</w:t>
            </w:r>
            <w:r>
              <w:rPr>
                <w:rFonts w:hint="eastAsia" w:eastAsia="宋体"/>
                <w:szCs w:val="21"/>
              </w:rPr>
              <w:t>课堂上不做与学习无关的事；勤于思考，积极参加小组活动，主动回答提问。</w:t>
            </w:r>
          </w:p>
        </w:tc>
        <w:tc>
          <w:tcPr>
            <w:tcW w:w="1417" w:type="dxa"/>
            <w:noWrap w:val="0"/>
            <w:vAlign w:val="center"/>
          </w:tcPr>
          <w:p w14:paraId="3C08E539">
            <w:pPr>
              <w:pStyle w:val="40"/>
              <w:rPr>
                <w:rFonts w:eastAsia="宋体"/>
              </w:rPr>
            </w:pPr>
            <w:r>
              <w:rPr>
                <w:rFonts w:hint="eastAsia" w:eastAsia="宋体"/>
              </w:rPr>
              <w:t>课程目标1</w:t>
            </w:r>
          </w:p>
          <w:p w14:paraId="13608D16">
            <w:pPr>
              <w:pStyle w:val="40"/>
              <w:rPr>
                <w:rFonts w:hint="eastAsia" w:eastAsia="宋体"/>
              </w:rPr>
            </w:pPr>
            <w:r>
              <w:rPr>
                <w:rFonts w:hint="eastAsia" w:eastAsia="宋体"/>
              </w:rPr>
              <w:t>课程目标2</w:t>
            </w:r>
          </w:p>
        </w:tc>
        <w:tc>
          <w:tcPr>
            <w:tcW w:w="1418" w:type="dxa"/>
            <w:noWrap w:val="0"/>
            <w:vAlign w:val="center"/>
          </w:tcPr>
          <w:p w14:paraId="2557D741">
            <w:pPr>
              <w:pStyle w:val="40"/>
              <w:jc w:val="center"/>
              <w:rPr>
                <w:rFonts w:hint="eastAsia" w:eastAsia="宋体"/>
                <w:color w:val="000000"/>
                <w:szCs w:val="21"/>
              </w:rPr>
            </w:pPr>
            <w:r>
              <w:rPr>
                <w:rFonts w:hint="eastAsia" w:eastAsia="宋体"/>
                <w:color w:val="000000"/>
                <w:szCs w:val="21"/>
              </w:rPr>
              <w:t xml:space="preserve"> 3-1，7-1</w:t>
            </w:r>
          </w:p>
        </w:tc>
      </w:tr>
      <w:tr w14:paraId="1CBC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1044" w:type="dxa"/>
            <w:vMerge w:val="continue"/>
            <w:noWrap w:val="0"/>
            <w:tcMar>
              <w:left w:w="57" w:type="dxa"/>
              <w:right w:w="57" w:type="dxa"/>
            </w:tcMar>
            <w:vAlign w:val="center"/>
          </w:tcPr>
          <w:p w14:paraId="466F0888">
            <w:pPr>
              <w:pStyle w:val="40"/>
              <w:jc w:val="center"/>
              <w:rPr>
                <w:rFonts w:eastAsia="宋体"/>
              </w:rPr>
            </w:pPr>
          </w:p>
        </w:tc>
        <w:tc>
          <w:tcPr>
            <w:tcW w:w="1140" w:type="dxa"/>
            <w:noWrap w:val="0"/>
            <w:vAlign w:val="center"/>
          </w:tcPr>
          <w:p w14:paraId="0CF4B1B6">
            <w:pPr>
              <w:pStyle w:val="40"/>
              <w:jc w:val="center"/>
              <w:rPr>
                <w:rFonts w:eastAsia="宋体"/>
              </w:rPr>
            </w:pPr>
            <w:r>
              <w:rPr>
                <w:rFonts w:hint="eastAsia" w:eastAsia="宋体"/>
              </w:rPr>
              <w:t>平时作业</w:t>
            </w:r>
          </w:p>
        </w:tc>
        <w:tc>
          <w:tcPr>
            <w:tcW w:w="708" w:type="dxa"/>
            <w:noWrap w:val="0"/>
            <w:vAlign w:val="center"/>
          </w:tcPr>
          <w:p w14:paraId="74DC0614">
            <w:pPr>
              <w:pStyle w:val="40"/>
              <w:jc w:val="center"/>
              <w:rPr>
                <w:rFonts w:eastAsia="宋体"/>
              </w:rPr>
            </w:pPr>
            <w:r>
              <w:rPr>
                <w:rFonts w:hint="eastAsia" w:eastAsia="宋体"/>
              </w:rPr>
              <w:t>1</w:t>
            </w:r>
            <w:r>
              <w:rPr>
                <w:rFonts w:eastAsia="宋体"/>
              </w:rPr>
              <w:t>0%</w:t>
            </w:r>
          </w:p>
        </w:tc>
        <w:tc>
          <w:tcPr>
            <w:tcW w:w="3261" w:type="dxa"/>
            <w:noWrap w:val="0"/>
            <w:vAlign w:val="center"/>
          </w:tcPr>
          <w:p w14:paraId="5BF50A8A">
            <w:pPr>
              <w:pStyle w:val="40"/>
              <w:rPr>
                <w:rFonts w:hint="eastAsia" w:eastAsia="宋体"/>
                <w:szCs w:val="21"/>
              </w:rPr>
            </w:pPr>
            <w:r>
              <w:rPr>
                <w:rFonts w:hint="eastAsia" w:eastAsia="宋体"/>
                <w:szCs w:val="21"/>
              </w:rPr>
              <w:t>按时完成项目作业，无故迟交作业1次扣</w:t>
            </w:r>
            <w:r>
              <w:rPr>
                <w:rFonts w:eastAsia="宋体"/>
                <w:szCs w:val="21"/>
              </w:rPr>
              <w:t>1</w:t>
            </w:r>
            <w:r>
              <w:rPr>
                <w:rFonts w:hint="eastAsia" w:eastAsia="宋体"/>
                <w:szCs w:val="21"/>
              </w:rPr>
              <w:t>分；项目作业的初稿、二稿作为平时成绩。</w:t>
            </w:r>
          </w:p>
        </w:tc>
        <w:tc>
          <w:tcPr>
            <w:tcW w:w="1417" w:type="dxa"/>
            <w:noWrap w:val="0"/>
            <w:vAlign w:val="center"/>
          </w:tcPr>
          <w:p w14:paraId="0D291BD4">
            <w:pPr>
              <w:pStyle w:val="40"/>
              <w:rPr>
                <w:rFonts w:eastAsia="宋体"/>
              </w:rPr>
            </w:pPr>
            <w:r>
              <w:rPr>
                <w:rFonts w:hint="eastAsia" w:eastAsia="宋体"/>
              </w:rPr>
              <w:t>课程目标1</w:t>
            </w:r>
          </w:p>
          <w:p w14:paraId="7D325BAF">
            <w:pPr>
              <w:pStyle w:val="40"/>
              <w:rPr>
                <w:rFonts w:eastAsia="宋体"/>
              </w:rPr>
            </w:pPr>
            <w:r>
              <w:rPr>
                <w:rFonts w:hint="eastAsia" w:eastAsia="宋体"/>
              </w:rPr>
              <w:t>课程目标2</w:t>
            </w:r>
          </w:p>
        </w:tc>
        <w:tc>
          <w:tcPr>
            <w:tcW w:w="1418" w:type="dxa"/>
            <w:noWrap w:val="0"/>
            <w:vAlign w:val="center"/>
          </w:tcPr>
          <w:p w14:paraId="76263763">
            <w:pPr>
              <w:pStyle w:val="40"/>
              <w:jc w:val="center"/>
              <w:rPr>
                <w:rFonts w:eastAsia="宋体"/>
              </w:rPr>
            </w:pPr>
            <w:r>
              <w:rPr>
                <w:rFonts w:hint="eastAsia" w:eastAsia="宋体"/>
                <w:color w:val="000000"/>
                <w:szCs w:val="21"/>
              </w:rPr>
              <w:t xml:space="preserve">3-1，7-1 </w:t>
            </w:r>
          </w:p>
        </w:tc>
      </w:tr>
      <w:tr w14:paraId="2AC2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044" w:type="dxa"/>
            <w:noWrap w:val="0"/>
            <w:tcMar>
              <w:left w:w="57" w:type="dxa"/>
              <w:right w:w="57" w:type="dxa"/>
            </w:tcMar>
            <w:vAlign w:val="center"/>
          </w:tcPr>
          <w:p w14:paraId="06F0BAC6">
            <w:pPr>
              <w:pStyle w:val="40"/>
              <w:jc w:val="center"/>
              <w:rPr>
                <w:rFonts w:hint="eastAsia" w:eastAsia="宋体"/>
              </w:rPr>
            </w:pPr>
            <w:r>
              <w:rPr>
                <w:rFonts w:hint="eastAsia" w:eastAsia="宋体"/>
              </w:rPr>
              <w:t>课内实践</w:t>
            </w:r>
          </w:p>
        </w:tc>
        <w:tc>
          <w:tcPr>
            <w:tcW w:w="1140" w:type="dxa"/>
            <w:noWrap w:val="0"/>
            <w:vAlign w:val="center"/>
          </w:tcPr>
          <w:p w14:paraId="6773AE23">
            <w:pPr>
              <w:pStyle w:val="40"/>
              <w:jc w:val="center"/>
              <w:rPr>
                <w:rFonts w:hint="eastAsia" w:eastAsia="宋体"/>
              </w:rPr>
            </w:pPr>
            <w:r>
              <w:rPr>
                <w:rFonts w:hint="eastAsia" w:eastAsia="宋体"/>
              </w:rPr>
              <w:t>小组合作</w:t>
            </w:r>
          </w:p>
        </w:tc>
        <w:tc>
          <w:tcPr>
            <w:tcW w:w="708" w:type="dxa"/>
            <w:noWrap w:val="0"/>
            <w:vAlign w:val="center"/>
          </w:tcPr>
          <w:p w14:paraId="59EF5910">
            <w:pPr>
              <w:pStyle w:val="40"/>
              <w:jc w:val="center"/>
              <w:rPr>
                <w:rFonts w:hint="eastAsia" w:eastAsia="宋体"/>
              </w:rPr>
            </w:pPr>
            <w:r>
              <w:rPr>
                <w:rFonts w:hint="eastAsia" w:eastAsia="宋体"/>
              </w:rPr>
              <w:t>20%</w:t>
            </w:r>
          </w:p>
        </w:tc>
        <w:tc>
          <w:tcPr>
            <w:tcW w:w="3261" w:type="dxa"/>
            <w:noWrap w:val="0"/>
            <w:vAlign w:val="center"/>
          </w:tcPr>
          <w:p w14:paraId="3639A7C9">
            <w:pPr>
              <w:pStyle w:val="40"/>
              <w:jc w:val="left"/>
              <w:rPr>
                <w:rFonts w:hint="eastAsia" w:eastAsia="宋体"/>
              </w:rPr>
            </w:pPr>
            <w:r>
              <w:rPr>
                <w:rFonts w:hint="eastAsia" w:eastAsia="宋体"/>
              </w:rPr>
              <w:t>以小组为单位完成教育实验研究、个案研究、叙事研究、行动研究方案设计（四选二）。根据小组ppt汇报情况以及学生在方案设计中的贡献度，评定课内实践得分。</w:t>
            </w:r>
          </w:p>
        </w:tc>
        <w:tc>
          <w:tcPr>
            <w:tcW w:w="1417" w:type="dxa"/>
            <w:noWrap w:val="0"/>
            <w:vAlign w:val="center"/>
          </w:tcPr>
          <w:p w14:paraId="4033D872">
            <w:pPr>
              <w:pStyle w:val="40"/>
              <w:rPr>
                <w:rFonts w:hint="eastAsia" w:eastAsia="宋体"/>
              </w:rPr>
            </w:pPr>
            <w:r>
              <w:rPr>
                <w:rFonts w:hint="eastAsia" w:eastAsia="宋体"/>
              </w:rPr>
              <w:t>课程目标3</w:t>
            </w:r>
          </w:p>
        </w:tc>
        <w:tc>
          <w:tcPr>
            <w:tcW w:w="1418" w:type="dxa"/>
            <w:noWrap w:val="0"/>
            <w:vAlign w:val="center"/>
          </w:tcPr>
          <w:p w14:paraId="3457C22E">
            <w:pPr>
              <w:pStyle w:val="40"/>
              <w:jc w:val="center"/>
              <w:rPr>
                <w:rFonts w:hint="eastAsia" w:eastAsia="宋体"/>
                <w:color w:val="000000"/>
                <w:szCs w:val="21"/>
              </w:rPr>
            </w:pPr>
            <w:r>
              <w:rPr>
                <w:rFonts w:hint="eastAsia" w:eastAsia="宋体"/>
                <w:color w:val="000000"/>
                <w:szCs w:val="21"/>
              </w:rPr>
              <w:t>4-4，8-1</w:t>
            </w:r>
          </w:p>
        </w:tc>
      </w:tr>
      <w:tr w14:paraId="617D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044" w:type="dxa"/>
            <w:noWrap w:val="0"/>
            <w:tcMar>
              <w:left w:w="57" w:type="dxa"/>
              <w:right w:w="57" w:type="dxa"/>
            </w:tcMar>
            <w:vAlign w:val="center"/>
          </w:tcPr>
          <w:p w14:paraId="6345A74D">
            <w:pPr>
              <w:pStyle w:val="40"/>
              <w:jc w:val="center"/>
              <w:rPr>
                <w:rFonts w:hint="eastAsia" w:eastAsia="宋体"/>
              </w:rPr>
            </w:pPr>
            <w:r>
              <w:rPr>
                <w:rFonts w:hint="eastAsia" w:eastAsia="宋体"/>
              </w:rPr>
              <w:t>学期考核</w:t>
            </w:r>
          </w:p>
        </w:tc>
        <w:tc>
          <w:tcPr>
            <w:tcW w:w="1140" w:type="dxa"/>
            <w:noWrap w:val="0"/>
            <w:vAlign w:val="center"/>
          </w:tcPr>
          <w:p w14:paraId="67963A80">
            <w:pPr>
              <w:pStyle w:val="40"/>
              <w:jc w:val="center"/>
              <w:rPr>
                <w:rFonts w:eastAsia="宋体"/>
              </w:rPr>
            </w:pPr>
            <w:r>
              <w:rPr>
                <w:rFonts w:hint="eastAsia" w:eastAsia="宋体"/>
              </w:rPr>
              <w:t>项目制</w:t>
            </w:r>
          </w:p>
          <w:p w14:paraId="643400A3">
            <w:pPr>
              <w:pStyle w:val="40"/>
              <w:jc w:val="center"/>
              <w:rPr>
                <w:rFonts w:eastAsia="宋体"/>
              </w:rPr>
            </w:pPr>
            <w:r>
              <w:rPr>
                <w:rFonts w:hint="eastAsia" w:eastAsia="宋体"/>
              </w:rPr>
              <w:t>考核</w:t>
            </w:r>
          </w:p>
        </w:tc>
        <w:tc>
          <w:tcPr>
            <w:tcW w:w="708" w:type="dxa"/>
            <w:noWrap w:val="0"/>
            <w:vAlign w:val="center"/>
          </w:tcPr>
          <w:p w14:paraId="6196D676">
            <w:pPr>
              <w:pStyle w:val="40"/>
              <w:jc w:val="center"/>
              <w:rPr>
                <w:rFonts w:eastAsia="宋体"/>
              </w:rPr>
            </w:pPr>
            <w:r>
              <w:rPr>
                <w:rFonts w:eastAsia="宋体"/>
              </w:rPr>
              <w:t>50%</w:t>
            </w:r>
          </w:p>
        </w:tc>
        <w:tc>
          <w:tcPr>
            <w:tcW w:w="3261" w:type="dxa"/>
            <w:noWrap w:val="0"/>
            <w:vAlign w:val="center"/>
          </w:tcPr>
          <w:p w14:paraId="28412DD4">
            <w:pPr>
              <w:pStyle w:val="40"/>
              <w:jc w:val="left"/>
              <w:rPr>
                <w:rFonts w:eastAsia="宋体"/>
                <w:color w:val="000000"/>
                <w:szCs w:val="21"/>
              </w:rPr>
            </w:pPr>
            <w:r>
              <w:rPr>
                <w:rFonts w:hint="eastAsia" w:eastAsia="宋体"/>
              </w:rPr>
              <w:t>文献检索与文献综述占项目考核制30%；科研方法设计占30％；开题报告撰写占40%。</w:t>
            </w:r>
          </w:p>
        </w:tc>
        <w:tc>
          <w:tcPr>
            <w:tcW w:w="1417" w:type="dxa"/>
            <w:noWrap w:val="0"/>
            <w:vAlign w:val="center"/>
          </w:tcPr>
          <w:p w14:paraId="76393AEA">
            <w:pPr>
              <w:pStyle w:val="40"/>
              <w:rPr>
                <w:rFonts w:eastAsia="宋体"/>
              </w:rPr>
            </w:pPr>
            <w:r>
              <w:rPr>
                <w:rFonts w:hint="eastAsia" w:eastAsia="宋体"/>
              </w:rPr>
              <w:t>课程目标2</w:t>
            </w:r>
          </w:p>
          <w:p w14:paraId="2536EA1E">
            <w:pPr>
              <w:pStyle w:val="40"/>
              <w:rPr>
                <w:rFonts w:eastAsia="宋体"/>
              </w:rPr>
            </w:pPr>
            <w:r>
              <w:rPr>
                <w:rFonts w:hint="eastAsia" w:eastAsia="宋体"/>
              </w:rPr>
              <w:t>课程目标3</w:t>
            </w:r>
          </w:p>
          <w:p w14:paraId="6A1C077A">
            <w:pPr>
              <w:pStyle w:val="40"/>
              <w:rPr>
                <w:rFonts w:hint="eastAsia" w:eastAsia="宋体"/>
              </w:rPr>
            </w:pPr>
            <w:r>
              <w:rPr>
                <w:rFonts w:hint="eastAsia" w:eastAsia="宋体"/>
              </w:rPr>
              <w:t>课程目标4</w:t>
            </w:r>
          </w:p>
        </w:tc>
        <w:tc>
          <w:tcPr>
            <w:tcW w:w="1418" w:type="dxa"/>
            <w:noWrap w:val="0"/>
            <w:vAlign w:val="center"/>
          </w:tcPr>
          <w:p w14:paraId="666B93D4">
            <w:pPr>
              <w:pStyle w:val="40"/>
              <w:jc w:val="center"/>
              <w:rPr>
                <w:rFonts w:eastAsia="宋体"/>
              </w:rPr>
            </w:pPr>
            <w:r>
              <w:rPr>
                <w:rFonts w:hint="eastAsia" w:eastAsia="宋体"/>
                <w:color w:val="000000"/>
                <w:szCs w:val="21"/>
              </w:rPr>
              <w:t xml:space="preserve"> 4-4，7-1，7-3</w:t>
            </w:r>
          </w:p>
        </w:tc>
      </w:tr>
    </w:tbl>
    <w:p w14:paraId="3C52D196">
      <w:pPr>
        <w:spacing w:line="360" w:lineRule="auto"/>
        <w:rPr>
          <w:rFonts w:hint="eastAsia" w:ascii="宋体" w:hAnsi="宋体"/>
          <w:b/>
          <w:bCs/>
          <w:color w:val="000000"/>
          <w:sz w:val="24"/>
          <w:szCs w:val="22"/>
        </w:rPr>
      </w:pPr>
      <w:r>
        <w:rPr>
          <w:rFonts w:ascii="宋体" w:hAnsi="宋体"/>
          <w:b/>
          <w:bCs/>
          <w:color w:val="000000"/>
          <w:sz w:val="24"/>
          <w:szCs w:val="22"/>
        </w:rPr>
        <w:t>（三）</w:t>
      </w:r>
      <w:r>
        <w:rPr>
          <w:rFonts w:hint="eastAsia" w:ascii="宋体" w:hAnsi="宋体"/>
          <w:b/>
          <w:bCs/>
          <w:color w:val="000000"/>
          <w:sz w:val="24"/>
          <w:szCs w:val="22"/>
        </w:rPr>
        <w:t>课程目标及考核方式权重分配表</w:t>
      </w:r>
    </w:p>
    <w:tbl>
      <w:tblPr>
        <w:tblStyle w:val="30"/>
        <w:tblW w:w="9037" w:type="dxa"/>
        <w:tblInd w:w="0" w:type="dxa"/>
        <w:tblLayout w:type="autofit"/>
        <w:tblCellMar>
          <w:top w:w="0" w:type="dxa"/>
          <w:left w:w="108" w:type="dxa"/>
          <w:bottom w:w="0" w:type="dxa"/>
          <w:right w:w="108" w:type="dxa"/>
        </w:tblCellMar>
      </w:tblPr>
      <w:tblGrid>
        <w:gridCol w:w="2048"/>
        <w:gridCol w:w="1816"/>
        <w:gridCol w:w="2196"/>
        <w:gridCol w:w="1843"/>
        <w:gridCol w:w="1134"/>
      </w:tblGrid>
      <w:tr w14:paraId="0579966A">
        <w:tblPrEx>
          <w:tblCellMar>
            <w:top w:w="0" w:type="dxa"/>
            <w:left w:w="108" w:type="dxa"/>
            <w:bottom w:w="0" w:type="dxa"/>
            <w:right w:w="108" w:type="dxa"/>
          </w:tblCellMar>
        </w:tblPrEx>
        <w:trPr>
          <w:trHeight w:val="413" w:hRule="atLeast"/>
        </w:trPr>
        <w:tc>
          <w:tcPr>
            <w:tcW w:w="3864" w:type="dxa"/>
            <w:gridSpan w:val="2"/>
            <w:tcBorders>
              <w:top w:val="single" w:color="auto" w:sz="8" w:space="0"/>
              <w:left w:val="single" w:color="auto" w:sz="8" w:space="0"/>
              <w:bottom w:val="single" w:color="auto" w:sz="8" w:space="0"/>
              <w:right w:val="single" w:color="000000" w:sz="8" w:space="0"/>
            </w:tcBorders>
            <w:shd w:val="clear" w:color="auto" w:fill="auto"/>
            <w:noWrap w:val="0"/>
            <w:vAlign w:val="center"/>
          </w:tcPr>
          <w:p w14:paraId="7AE7A438">
            <w:pPr>
              <w:widowControl/>
              <w:jc w:val="center"/>
              <w:rPr>
                <w:rFonts w:ascii="宋体" w:hAnsi="宋体"/>
                <w:b/>
                <w:bCs/>
                <w:color w:val="000000"/>
                <w:kern w:val="0"/>
                <w:szCs w:val="21"/>
              </w:rPr>
            </w:pPr>
            <w:r>
              <w:rPr>
                <w:rFonts w:hint="eastAsia" w:ascii="宋体" w:hAnsi="宋体"/>
                <w:b/>
                <w:bCs/>
                <w:color w:val="000000"/>
                <w:kern w:val="0"/>
                <w:szCs w:val="21"/>
              </w:rPr>
              <w:t>课程目标及权重</w:t>
            </w:r>
          </w:p>
        </w:tc>
        <w:tc>
          <w:tcPr>
            <w:tcW w:w="5173" w:type="dxa"/>
            <w:gridSpan w:val="3"/>
            <w:tcBorders>
              <w:top w:val="single" w:color="auto" w:sz="8" w:space="0"/>
              <w:left w:val="nil"/>
              <w:bottom w:val="single" w:color="auto" w:sz="8" w:space="0"/>
              <w:right w:val="single" w:color="000000" w:sz="8" w:space="0"/>
            </w:tcBorders>
            <w:shd w:val="clear" w:color="auto" w:fill="auto"/>
            <w:noWrap w:val="0"/>
            <w:vAlign w:val="center"/>
          </w:tcPr>
          <w:p w14:paraId="072E1FD2">
            <w:pPr>
              <w:widowControl/>
              <w:ind w:right="-391" w:rightChars="-186"/>
              <w:jc w:val="center"/>
              <w:rPr>
                <w:rFonts w:hint="eastAsia" w:ascii="宋体" w:hAnsi="宋体"/>
                <w:b/>
                <w:bCs/>
                <w:color w:val="000000"/>
                <w:kern w:val="0"/>
                <w:szCs w:val="21"/>
              </w:rPr>
            </w:pPr>
            <w:r>
              <w:rPr>
                <w:rFonts w:hint="eastAsia" w:ascii="宋体" w:hAnsi="宋体"/>
                <w:b/>
                <w:bCs/>
                <w:color w:val="000000"/>
                <w:kern w:val="0"/>
                <w:szCs w:val="21"/>
              </w:rPr>
              <w:t>考核方式及权重</w:t>
            </w:r>
          </w:p>
        </w:tc>
      </w:tr>
      <w:tr w14:paraId="7057FC3F">
        <w:tblPrEx>
          <w:tblCellMar>
            <w:top w:w="0" w:type="dxa"/>
            <w:left w:w="108" w:type="dxa"/>
            <w:bottom w:w="0" w:type="dxa"/>
            <w:right w:w="108" w:type="dxa"/>
          </w:tblCellMar>
        </w:tblPrEx>
        <w:trPr>
          <w:trHeight w:val="636" w:hRule="atLeast"/>
        </w:trPr>
        <w:tc>
          <w:tcPr>
            <w:tcW w:w="2048" w:type="dxa"/>
            <w:tcBorders>
              <w:top w:val="nil"/>
              <w:left w:val="single" w:color="auto" w:sz="8" w:space="0"/>
              <w:bottom w:val="single" w:color="auto" w:sz="8" w:space="0"/>
              <w:right w:val="single" w:color="auto" w:sz="8" w:space="0"/>
            </w:tcBorders>
            <w:shd w:val="clear" w:color="auto" w:fill="auto"/>
            <w:noWrap w:val="0"/>
            <w:vAlign w:val="center"/>
          </w:tcPr>
          <w:p w14:paraId="52755866">
            <w:pPr>
              <w:widowControl/>
              <w:jc w:val="center"/>
              <w:rPr>
                <w:rFonts w:hint="eastAsia" w:ascii="宋体" w:hAnsi="宋体"/>
                <w:b/>
                <w:bCs/>
                <w:color w:val="000000"/>
                <w:kern w:val="0"/>
                <w:szCs w:val="21"/>
              </w:rPr>
            </w:pPr>
            <w:r>
              <w:rPr>
                <w:rFonts w:hint="eastAsia" w:ascii="宋体" w:hAnsi="宋体"/>
                <w:b/>
                <w:bCs/>
                <w:color w:val="000000"/>
                <w:kern w:val="0"/>
                <w:szCs w:val="21"/>
              </w:rPr>
              <w:t>课程目标</w:t>
            </w:r>
          </w:p>
        </w:tc>
        <w:tc>
          <w:tcPr>
            <w:tcW w:w="1816" w:type="dxa"/>
            <w:tcBorders>
              <w:top w:val="nil"/>
              <w:left w:val="nil"/>
              <w:bottom w:val="single" w:color="auto" w:sz="8" w:space="0"/>
              <w:right w:val="single" w:color="auto" w:sz="8" w:space="0"/>
            </w:tcBorders>
            <w:shd w:val="clear" w:color="auto" w:fill="auto"/>
            <w:noWrap w:val="0"/>
            <w:vAlign w:val="center"/>
          </w:tcPr>
          <w:p w14:paraId="3536F4CF">
            <w:pPr>
              <w:widowControl/>
              <w:jc w:val="center"/>
              <w:rPr>
                <w:rFonts w:hint="eastAsia" w:ascii="宋体" w:hAnsi="宋体"/>
                <w:b/>
                <w:bCs/>
                <w:color w:val="000000"/>
                <w:kern w:val="0"/>
                <w:szCs w:val="21"/>
              </w:rPr>
            </w:pPr>
            <w:r>
              <w:rPr>
                <w:rFonts w:hint="eastAsia" w:ascii="宋体" w:hAnsi="宋体"/>
                <w:b/>
                <w:bCs/>
                <w:color w:val="000000"/>
                <w:kern w:val="0"/>
                <w:szCs w:val="21"/>
              </w:rPr>
              <w:t>权重（</w:t>
            </w:r>
            <w:r>
              <w:rPr>
                <w:rFonts w:ascii="宋体" w:hAnsi="宋体"/>
                <w:b/>
                <w:bCs/>
                <w:color w:val="000000"/>
                <w:kern w:val="0"/>
                <w:szCs w:val="21"/>
              </w:rPr>
              <w:t>a</w:t>
            </w:r>
            <w:r>
              <w:rPr>
                <w:rFonts w:hint="eastAsia" w:ascii="宋体" w:hAnsi="宋体"/>
                <w:b/>
                <w:bCs/>
                <w:color w:val="000000"/>
                <w:kern w:val="0"/>
                <w:szCs w:val="21"/>
              </w:rPr>
              <w:t>）</w:t>
            </w:r>
          </w:p>
        </w:tc>
        <w:tc>
          <w:tcPr>
            <w:tcW w:w="2196" w:type="dxa"/>
            <w:tcBorders>
              <w:top w:val="nil"/>
              <w:left w:val="nil"/>
              <w:bottom w:val="single" w:color="auto" w:sz="8" w:space="0"/>
              <w:right w:val="single" w:color="auto" w:sz="8" w:space="0"/>
            </w:tcBorders>
            <w:shd w:val="clear" w:color="auto" w:fill="auto"/>
            <w:noWrap w:val="0"/>
            <w:vAlign w:val="center"/>
          </w:tcPr>
          <w:p w14:paraId="03DD55EF">
            <w:pPr>
              <w:widowControl/>
              <w:jc w:val="center"/>
              <w:rPr>
                <w:rFonts w:hint="eastAsia" w:ascii="宋体" w:hAnsi="宋体"/>
                <w:b/>
                <w:bCs/>
                <w:color w:val="000000"/>
                <w:kern w:val="0"/>
                <w:szCs w:val="21"/>
              </w:rPr>
            </w:pPr>
            <w:r>
              <w:rPr>
                <w:rFonts w:hint="eastAsia" w:ascii="宋体" w:hAnsi="宋体"/>
                <w:b/>
                <w:bCs/>
                <w:color w:val="000000"/>
                <w:kern w:val="0"/>
                <w:szCs w:val="21"/>
              </w:rPr>
              <w:t>评价依据</w:t>
            </w:r>
          </w:p>
        </w:tc>
        <w:tc>
          <w:tcPr>
            <w:tcW w:w="1843" w:type="dxa"/>
            <w:tcBorders>
              <w:top w:val="nil"/>
              <w:left w:val="nil"/>
              <w:bottom w:val="single" w:color="auto" w:sz="8" w:space="0"/>
              <w:right w:val="single" w:color="auto" w:sz="8" w:space="0"/>
            </w:tcBorders>
            <w:shd w:val="clear" w:color="auto" w:fill="auto"/>
            <w:noWrap w:val="0"/>
            <w:vAlign w:val="center"/>
          </w:tcPr>
          <w:p w14:paraId="50772748">
            <w:pPr>
              <w:widowControl/>
              <w:jc w:val="center"/>
              <w:rPr>
                <w:rFonts w:hint="eastAsia" w:ascii="宋体" w:hAnsi="宋体"/>
                <w:b/>
                <w:bCs/>
                <w:color w:val="000000"/>
                <w:kern w:val="0"/>
                <w:szCs w:val="21"/>
              </w:rPr>
            </w:pPr>
            <w:r>
              <w:rPr>
                <w:rFonts w:hint="eastAsia" w:ascii="宋体" w:hAnsi="宋体"/>
                <w:b/>
                <w:bCs/>
                <w:color w:val="000000"/>
                <w:kern w:val="0"/>
                <w:szCs w:val="21"/>
              </w:rPr>
              <w:t>权重（</w:t>
            </w:r>
            <w:r>
              <w:rPr>
                <w:rFonts w:ascii="宋体" w:hAnsi="宋体"/>
                <w:b/>
                <w:bCs/>
                <w:color w:val="000000"/>
                <w:kern w:val="0"/>
                <w:szCs w:val="21"/>
              </w:rPr>
              <w:t>b</w:t>
            </w:r>
            <w:r>
              <w:rPr>
                <w:rFonts w:hint="eastAsia" w:ascii="宋体" w:hAnsi="宋体"/>
                <w:b/>
                <w:bCs/>
                <w:color w:val="000000"/>
                <w:kern w:val="0"/>
                <w:szCs w:val="21"/>
              </w:rPr>
              <w:t>）</w:t>
            </w:r>
          </w:p>
        </w:tc>
        <w:tc>
          <w:tcPr>
            <w:tcW w:w="1134" w:type="dxa"/>
            <w:tcBorders>
              <w:top w:val="nil"/>
              <w:left w:val="nil"/>
              <w:bottom w:val="single" w:color="auto" w:sz="8" w:space="0"/>
              <w:right w:val="single" w:color="auto" w:sz="8" w:space="0"/>
            </w:tcBorders>
            <w:noWrap w:val="0"/>
            <w:vAlign w:val="top"/>
          </w:tcPr>
          <w:p w14:paraId="7E9DB734">
            <w:pPr>
              <w:widowControl/>
              <w:rPr>
                <w:rFonts w:hint="eastAsia" w:ascii="宋体" w:hAnsi="宋体"/>
                <w:b/>
                <w:bCs/>
                <w:color w:val="000000"/>
                <w:kern w:val="0"/>
                <w:szCs w:val="21"/>
              </w:rPr>
            </w:pPr>
            <w:r>
              <w:rPr>
                <w:rFonts w:hint="eastAsia" w:ascii="宋体" w:hAnsi="宋体"/>
                <w:b/>
                <w:bCs/>
                <w:color w:val="000000"/>
                <w:kern w:val="0"/>
                <w:szCs w:val="21"/>
              </w:rPr>
              <w:t>考核方式权重合计</w:t>
            </w:r>
          </w:p>
        </w:tc>
      </w:tr>
      <w:tr w14:paraId="59A951DF">
        <w:tblPrEx>
          <w:tblCellMar>
            <w:top w:w="0" w:type="dxa"/>
            <w:left w:w="108" w:type="dxa"/>
            <w:bottom w:w="0" w:type="dxa"/>
            <w:right w:w="108" w:type="dxa"/>
          </w:tblCellMar>
        </w:tblPrEx>
        <w:trPr>
          <w:trHeight w:val="384" w:hRule="atLeast"/>
        </w:trPr>
        <w:tc>
          <w:tcPr>
            <w:tcW w:w="2048"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3F8FD385">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62CE8C03">
            <w:pPr>
              <w:widowControl/>
              <w:jc w:val="center"/>
              <w:rPr>
                <w:rFonts w:hint="eastAsia" w:ascii="宋体" w:hAnsi="宋体"/>
                <w:kern w:val="0"/>
                <w:szCs w:val="21"/>
              </w:rPr>
            </w:pPr>
            <w:r>
              <w:rPr>
                <w:rFonts w:hint="eastAsia" w:ascii="宋体" w:hAnsi="宋体"/>
                <w:kern w:val="0"/>
                <w:szCs w:val="21"/>
              </w:rPr>
              <w:t>20%</w:t>
            </w:r>
          </w:p>
        </w:tc>
        <w:tc>
          <w:tcPr>
            <w:tcW w:w="2196" w:type="dxa"/>
            <w:tcBorders>
              <w:top w:val="nil"/>
              <w:left w:val="nil"/>
              <w:bottom w:val="single" w:color="auto" w:sz="8" w:space="0"/>
              <w:right w:val="single" w:color="auto" w:sz="8" w:space="0"/>
            </w:tcBorders>
            <w:shd w:val="clear" w:color="auto" w:fill="auto"/>
            <w:noWrap w:val="0"/>
            <w:vAlign w:val="center"/>
          </w:tcPr>
          <w:p w14:paraId="2D74BA96">
            <w:pPr>
              <w:widowControl/>
              <w:jc w:val="center"/>
              <w:rPr>
                <w:rFonts w:hint="eastAsia" w:ascii="宋体" w:hAnsi="宋体"/>
                <w:kern w:val="0"/>
                <w:szCs w:val="21"/>
              </w:rPr>
            </w:pPr>
            <w:r>
              <w:rPr>
                <w:rFonts w:hint="eastAsia" w:ascii="宋体" w:hAnsi="宋体"/>
                <w:kern w:val="0"/>
                <w:szCs w:val="21"/>
              </w:rPr>
              <w:t>在线学习</w:t>
            </w:r>
          </w:p>
        </w:tc>
        <w:tc>
          <w:tcPr>
            <w:tcW w:w="1843" w:type="dxa"/>
            <w:tcBorders>
              <w:top w:val="nil"/>
              <w:left w:val="nil"/>
              <w:bottom w:val="single" w:color="auto" w:sz="8" w:space="0"/>
              <w:right w:val="single" w:color="auto" w:sz="8" w:space="0"/>
            </w:tcBorders>
            <w:shd w:val="clear" w:color="auto" w:fill="auto"/>
            <w:noWrap w:val="0"/>
            <w:vAlign w:val="center"/>
          </w:tcPr>
          <w:p w14:paraId="4FD9F6D5">
            <w:pPr>
              <w:widowControl/>
              <w:jc w:val="center"/>
              <w:rPr>
                <w:rFonts w:hint="eastAsia" w:ascii="宋体" w:hAnsi="宋体"/>
                <w:kern w:val="0"/>
                <w:szCs w:val="21"/>
              </w:rPr>
            </w:pPr>
            <w:r>
              <w:rPr>
                <w:rFonts w:hint="eastAsia" w:ascii="宋体" w:hAnsi="宋体"/>
                <w:kern w:val="0"/>
                <w:szCs w:val="21"/>
              </w:rPr>
              <w:t>50%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5D2DE4AF">
            <w:pPr>
              <w:widowControl/>
              <w:jc w:val="center"/>
              <w:rPr>
                <w:rFonts w:hint="eastAsia" w:ascii="宋体" w:hAnsi="宋体"/>
                <w:kern w:val="0"/>
                <w:szCs w:val="21"/>
              </w:rPr>
            </w:pPr>
            <w:r>
              <w:rPr>
                <w:rFonts w:hint="eastAsia" w:ascii="宋体" w:hAnsi="宋体"/>
                <w:kern w:val="0"/>
                <w:szCs w:val="21"/>
              </w:rPr>
              <w:t>100%</w:t>
            </w:r>
          </w:p>
        </w:tc>
      </w:tr>
      <w:tr w14:paraId="7CD9136D">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6A07EA71">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310FCF31">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5FFAFB36">
            <w:pPr>
              <w:widowControl/>
              <w:jc w:val="center"/>
              <w:rPr>
                <w:rFonts w:ascii="宋体" w:hAnsi="宋体"/>
                <w:kern w:val="0"/>
                <w:szCs w:val="21"/>
              </w:rPr>
            </w:pPr>
            <w:r>
              <w:rPr>
                <w:rFonts w:hint="eastAsia" w:ascii="宋体" w:hAnsi="宋体"/>
                <w:kern w:val="0"/>
                <w:szCs w:val="21"/>
              </w:rPr>
              <w:t>课堂参与</w:t>
            </w:r>
          </w:p>
        </w:tc>
        <w:tc>
          <w:tcPr>
            <w:tcW w:w="1843" w:type="dxa"/>
            <w:tcBorders>
              <w:top w:val="nil"/>
              <w:left w:val="nil"/>
              <w:bottom w:val="single" w:color="auto" w:sz="8" w:space="0"/>
              <w:right w:val="single" w:color="auto" w:sz="8" w:space="0"/>
            </w:tcBorders>
            <w:shd w:val="clear" w:color="auto" w:fill="auto"/>
            <w:noWrap w:val="0"/>
            <w:vAlign w:val="center"/>
          </w:tcPr>
          <w:p w14:paraId="5CD816B6">
            <w:pPr>
              <w:widowControl/>
              <w:jc w:val="center"/>
              <w:rPr>
                <w:rFonts w:hint="eastAsia" w:ascii="宋体" w:hAnsi="宋体"/>
                <w:kern w:val="0"/>
                <w:szCs w:val="21"/>
              </w:rPr>
            </w:pPr>
            <w:r>
              <w:rPr>
                <w:rFonts w:hint="eastAsia" w:ascii="宋体" w:hAnsi="宋体"/>
                <w:kern w:val="0"/>
                <w:szCs w:val="21"/>
              </w:rPr>
              <w:t>50%</w:t>
            </w:r>
          </w:p>
        </w:tc>
        <w:tc>
          <w:tcPr>
            <w:tcW w:w="1134" w:type="dxa"/>
            <w:vMerge w:val="continue"/>
            <w:tcBorders>
              <w:left w:val="nil"/>
              <w:bottom w:val="single" w:color="auto" w:sz="8" w:space="0"/>
              <w:right w:val="single" w:color="auto" w:sz="8" w:space="0"/>
            </w:tcBorders>
            <w:noWrap w:val="0"/>
            <w:vAlign w:val="center"/>
          </w:tcPr>
          <w:p w14:paraId="68160C24">
            <w:pPr>
              <w:widowControl/>
              <w:jc w:val="center"/>
              <w:rPr>
                <w:rFonts w:hint="eastAsia" w:ascii="宋体" w:hAnsi="宋体"/>
                <w:kern w:val="0"/>
                <w:szCs w:val="21"/>
              </w:rPr>
            </w:pPr>
          </w:p>
        </w:tc>
      </w:tr>
      <w:tr w14:paraId="36D5C48B">
        <w:tblPrEx>
          <w:tblCellMar>
            <w:top w:w="0" w:type="dxa"/>
            <w:left w:w="108" w:type="dxa"/>
            <w:bottom w:w="0" w:type="dxa"/>
            <w:right w:w="108" w:type="dxa"/>
          </w:tblCellMar>
        </w:tblPrEx>
        <w:trPr>
          <w:trHeight w:val="340" w:hRule="atLeast"/>
        </w:trPr>
        <w:tc>
          <w:tcPr>
            <w:tcW w:w="2048"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47D0E3A1">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39C00839">
            <w:pPr>
              <w:widowControl/>
              <w:jc w:val="center"/>
              <w:rPr>
                <w:rFonts w:hint="eastAsia" w:ascii="宋体" w:hAnsi="宋体"/>
                <w:kern w:val="0"/>
                <w:szCs w:val="21"/>
              </w:rPr>
            </w:pPr>
            <w:r>
              <w:rPr>
                <w:rFonts w:hint="eastAsia" w:ascii="宋体" w:hAnsi="宋体"/>
                <w:kern w:val="0"/>
                <w:szCs w:val="21"/>
              </w:rPr>
              <w:t>30%</w:t>
            </w:r>
          </w:p>
        </w:tc>
        <w:tc>
          <w:tcPr>
            <w:tcW w:w="2196" w:type="dxa"/>
            <w:tcBorders>
              <w:top w:val="nil"/>
              <w:left w:val="nil"/>
              <w:bottom w:val="single" w:color="auto" w:sz="8" w:space="0"/>
              <w:right w:val="single" w:color="auto" w:sz="8" w:space="0"/>
            </w:tcBorders>
            <w:shd w:val="clear" w:color="auto" w:fill="auto"/>
            <w:noWrap w:val="0"/>
            <w:vAlign w:val="center"/>
          </w:tcPr>
          <w:p w14:paraId="64A8B503">
            <w:pPr>
              <w:widowControl/>
              <w:jc w:val="center"/>
              <w:rPr>
                <w:rFonts w:ascii="宋体" w:hAnsi="宋体"/>
                <w:kern w:val="0"/>
                <w:szCs w:val="21"/>
              </w:rPr>
            </w:pPr>
            <w:r>
              <w:rPr>
                <w:rFonts w:hint="eastAsia" w:ascii="宋体" w:hAnsi="宋体"/>
                <w:kern w:val="0"/>
                <w:szCs w:val="21"/>
              </w:rPr>
              <w:t>项目考核</w:t>
            </w:r>
          </w:p>
        </w:tc>
        <w:tc>
          <w:tcPr>
            <w:tcW w:w="1843" w:type="dxa"/>
            <w:tcBorders>
              <w:top w:val="nil"/>
              <w:left w:val="nil"/>
              <w:bottom w:val="single" w:color="auto" w:sz="8" w:space="0"/>
              <w:right w:val="single" w:color="auto" w:sz="8" w:space="0"/>
            </w:tcBorders>
            <w:shd w:val="clear" w:color="auto" w:fill="auto"/>
            <w:noWrap w:val="0"/>
            <w:vAlign w:val="center"/>
          </w:tcPr>
          <w:p w14:paraId="6A67B003">
            <w:pPr>
              <w:widowControl/>
              <w:jc w:val="center"/>
              <w:rPr>
                <w:rFonts w:hint="eastAsia" w:ascii="宋体" w:hAnsi="宋体"/>
                <w:kern w:val="0"/>
                <w:szCs w:val="21"/>
              </w:rPr>
            </w:pPr>
            <w:r>
              <w:rPr>
                <w:rFonts w:hint="eastAsia" w:ascii="宋体" w:hAnsi="宋体"/>
                <w:kern w:val="0"/>
                <w:szCs w:val="21"/>
              </w:rPr>
              <w:t>70%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0077C8C7">
            <w:pPr>
              <w:widowControl/>
              <w:jc w:val="center"/>
              <w:rPr>
                <w:rFonts w:hint="eastAsia" w:ascii="宋体" w:hAnsi="宋体"/>
                <w:kern w:val="0"/>
                <w:szCs w:val="21"/>
              </w:rPr>
            </w:pPr>
            <w:r>
              <w:rPr>
                <w:rFonts w:hint="eastAsia" w:ascii="宋体" w:hAnsi="宋体"/>
                <w:kern w:val="0"/>
                <w:szCs w:val="21"/>
              </w:rPr>
              <w:t>100%</w:t>
            </w:r>
          </w:p>
        </w:tc>
      </w:tr>
      <w:tr w14:paraId="0DDAD7ED">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0829A5DF">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6423E9B9">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7433DAF3">
            <w:pPr>
              <w:widowControl/>
              <w:jc w:val="center"/>
              <w:rPr>
                <w:rFonts w:ascii="宋体" w:hAnsi="宋体"/>
                <w:kern w:val="0"/>
                <w:szCs w:val="21"/>
              </w:rPr>
            </w:pPr>
            <w:r>
              <w:rPr>
                <w:rFonts w:hint="eastAsia" w:ascii="宋体" w:hAnsi="宋体"/>
                <w:kern w:val="0"/>
                <w:szCs w:val="21"/>
              </w:rPr>
              <w:t>课内实践</w:t>
            </w:r>
          </w:p>
        </w:tc>
        <w:tc>
          <w:tcPr>
            <w:tcW w:w="1843" w:type="dxa"/>
            <w:tcBorders>
              <w:top w:val="nil"/>
              <w:left w:val="nil"/>
              <w:bottom w:val="single" w:color="auto" w:sz="8" w:space="0"/>
              <w:right w:val="single" w:color="auto" w:sz="8" w:space="0"/>
            </w:tcBorders>
            <w:shd w:val="clear" w:color="auto" w:fill="auto"/>
            <w:noWrap w:val="0"/>
            <w:vAlign w:val="center"/>
          </w:tcPr>
          <w:p w14:paraId="6FD32575">
            <w:pPr>
              <w:widowControl/>
              <w:jc w:val="center"/>
              <w:rPr>
                <w:rFonts w:hint="eastAsia" w:ascii="宋体" w:hAnsi="宋体"/>
                <w:kern w:val="0"/>
                <w:szCs w:val="21"/>
              </w:rPr>
            </w:pPr>
            <w:r>
              <w:rPr>
                <w:rFonts w:hint="eastAsia" w:ascii="宋体" w:hAnsi="宋体"/>
                <w:kern w:val="0"/>
                <w:szCs w:val="21"/>
              </w:rPr>
              <w:t>20%</w:t>
            </w:r>
          </w:p>
        </w:tc>
        <w:tc>
          <w:tcPr>
            <w:tcW w:w="1134" w:type="dxa"/>
            <w:vMerge w:val="continue"/>
            <w:tcBorders>
              <w:left w:val="nil"/>
              <w:right w:val="single" w:color="auto" w:sz="8" w:space="0"/>
            </w:tcBorders>
            <w:noWrap w:val="0"/>
            <w:vAlign w:val="center"/>
          </w:tcPr>
          <w:p w14:paraId="1598C8A8">
            <w:pPr>
              <w:widowControl/>
              <w:jc w:val="center"/>
              <w:rPr>
                <w:rFonts w:hint="eastAsia" w:ascii="宋体" w:hAnsi="宋体"/>
                <w:kern w:val="0"/>
                <w:szCs w:val="21"/>
              </w:rPr>
            </w:pPr>
          </w:p>
        </w:tc>
      </w:tr>
      <w:tr w14:paraId="48D75C65">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auto" w:sz="4" w:space="0"/>
              <w:right w:val="single" w:color="auto" w:sz="8" w:space="0"/>
            </w:tcBorders>
            <w:shd w:val="clear" w:color="auto" w:fill="auto"/>
            <w:noWrap w:val="0"/>
            <w:vAlign w:val="center"/>
          </w:tcPr>
          <w:p w14:paraId="1123EDCD">
            <w:pPr>
              <w:widowControl/>
              <w:jc w:val="left"/>
              <w:rPr>
                <w:rFonts w:ascii="宋体" w:hAnsi="宋体"/>
                <w:kern w:val="0"/>
                <w:szCs w:val="21"/>
              </w:rPr>
            </w:pPr>
          </w:p>
        </w:tc>
        <w:tc>
          <w:tcPr>
            <w:tcW w:w="1816" w:type="dxa"/>
            <w:vMerge w:val="continue"/>
            <w:tcBorders>
              <w:top w:val="nil"/>
              <w:left w:val="single" w:color="auto" w:sz="8" w:space="0"/>
              <w:bottom w:val="single" w:color="auto" w:sz="4" w:space="0"/>
              <w:right w:val="single" w:color="auto" w:sz="8" w:space="0"/>
            </w:tcBorders>
            <w:shd w:val="clear" w:color="auto" w:fill="auto"/>
            <w:noWrap w:val="0"/>
            <w:vAlign w:val="center"/>
          </w:tcPr>
          <w:p w14:paraId="387022EF">
            <w:pPr>
              <w:widowControl/>
              <w:jc w:val="left"/>
              <w:rPr>
                <w:rFonts w:ascii="宋体" w:hAnsi="宋体"/>
                <w:kern w:val="0"/>
                <w:szCs w:val="21"/>
              </w:rPr>
            </w:pPr>
          </w:p>
        </w:tc>
        <w:tc>
          <w:tcPr>
            <w:tcW w:w="2196" w:type="dxa"/>
            <w:tcBorders>
              <w:top w:val="nil"/>
              <w:left w:val="nil"/>
              <w:bottom w:val="single" w:color="auto" w:sz="4" w:space="0"/>
              <w:right w:val="single" w:color="auto" w:sz="8" w:space="0"/>
            </w:tcBorders>
            <w:shd w:val="clear" w:color="auto" w:fill="auto"/>
            <w:noWrap w:val="0"/>
            <w:vAlign w:val="center"/>
          </w:tcPr>
          <w:p w14:paraId="0ED492F4">
            <w:pPr>
              <w:widowControl/>
              <w:jc w:val="center"/>
              <w:rPr>
                <w:rFonts w:ascii="宋体" w:hAnsi="宋体"/>
                <w:kern w:val="0"/>
                <w:szCs w:val="21"/>
              </w:rPr>
            </w:pPr>
            <w:r>
              <w:rPr>
                <w:rFonts w:hint="eastAsia" w:ascii="宋体" w:hAnsi="宋体"/>
                <w:kern w:val="0"/>
                <w:szCs w:val="21"/>
              </w:rPr>
              <w:t>平时作业</w:t>
            </w:r>
          </w:p>
        </w:tc>
        <w:tc>
          <w:tcPr>
            <w:tcW w:w="1843" w:type="dxa"/>
            <w:tcBorders>
              <w:top w:val="nil"/>
              <w:left w:val="nil"/>
              <w:bottom w:val="single" w:color="auto" w:sz="4" w:space="0"/>
              <w:right w:val="single" w:color="auto" w:sz="8" w:space="0"/>
            </w:tcBorders>
            <w:shd w:val="clear" w:color="auto" w:fill="auto"/>
            <w:noWrap w:val="0"/>
            <w:vAlign w:val="center"/>
          </w:tcPr>
          <w:p w14:paraId="30C831B6">
            <w:pPr>
              <w:widowControl/>
              <w:jc w:val="center"/>
              <w:rPr>
                <w:rFonts w:hint="eastAsia" w:ascii="宋体" w:hAnsi="宋体"/>
                <w:kern w:val="0"/>
                <w:szCs w:val="21"/>
              </w:rPr>
            </w:pPr>
            <w:r>
              <w:rPr>
                <w:rFonts w:hint="eastAsia" w:ascii="宋体" w:hAnsi="宋体"/>
                <w:kern w:val="0"/>
                <w:szCs w:val="21"/>
              </w:rPr>
              <w:t>10%</w:t>
            </w:r>
            <w:r>
              <w:rPr>
                <w:rFonts w:ascii="宋体" w:hAnsi="宋体"/>
                <w:kern w:val="0"/>
                <w:szCs w:val="21"/>
              </w:rPr>
              <w:t xml:space="preserve"> </w:t>
            </w:r>
          </w:p>
        </w:tc>
        <w:tc>
          <w:tcPr>
            <w:tcW w:w="1134" w:type="dxa"/>
            <w:vMerge w:val="continue"/>
            <w:tcBorders>
              <w:left w:val="nil"/>
              <w:bottom w:val="single" w:color="auto" w:sz="4" w:space="0"/>
              <w:right w:val="single" w:color="auto" w:sz="8" w:space="0"/>
            </w:tcBorders>
            <w:noWrap w:val="0"/>
            <w:vAlign w:val="center"/>
          </w:tcPr>
          <w:p w14:paraId="171E86F8">
            <w:pPr>
              <w:widowControl/>
              <w:jc w:val="center"/>
              <w:rPr>
                <w:rFonts w:hint="eastAsia" w:ascii="宋体" w:hAnsi="宋体"/>
                <w:kern w:val="0"/>
                <w:szCs w:val="21"/>
              </w:rPr>
            </w:pPr>
          </w:p>
        </w:tc>
      </w:tr>
      <w:tr w14:paraId="016009BC">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E41AF69">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367713E2">
            <w:pPr>
              <w:widowControl/>
              <w:jc w:val="center"/>
              <w:rPr>
                <w:rFonts w:hint="eastAsia" w:ascii="宋体" w:hAnsi="宋体"/>
                <w:kern w:val="0"/>
                <w:szCs w:val="21"/>
              </w:rPr>
            </w:pPr>
            <w:r>
              <w:rPr>
                <w:rFonts w:hint="eastAsia" w:ascii="宋体" w:hAnsi="宋体"/>
                <w:kern w:val="0"/>
                <w:szCs w:val="21"/>
              </w:rPr>
              <w:t>30%</w:t>
            </w:r>
          </w:p>
        </w:tc>
        <w:tc>
          <w:tcPr>
            <w:tcW w:w="2196" w:type="dxa"/>
            <w:tcBorders>
              <w:top w:val="single" w:color="auto" w:sz="4" w:space="0"/>
              <w:left w:val="single" w:color="auto" w:sz="4" w:space="0"/>
              <w:bottom w:val="single" w:color="auto" w:sz="4" w:space="0"/>
              <w:right w:val="single" w:color="auto" w:sz="8" w:space="0"/>
            </w:tcBorders>
            <w:shd w:val="clear" w:color="auto" w:fill="auto"/>
            <w:noWrap w:val="0"/>
            <w:vAlign w:val="center"/>
          </w:tcPr>
          <w:p w14:paraId="30C34B32">
            <w:pPr>
              <w:widowControl/>
              <w:jc w:val="center"/>
              <w:rPr>
                <w:rFonts w:ascii="宋体" w:hAnsi="宋体"/>
                <w:kern w:val="0"/>
                <w:szCs w:val="21"/>
              </w:rPr>
            </w:pPr>
            <w:r>
              <w:rPr>
                <w:rFonts w:hint="eastAsia" w:ascii="宋体" w:hAnsi="宋体"/>
                <w:kern w:val="0"/>
                <w:szCs w:val="21"/>
              </w:rPr>
              <w:t>项目考核</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52FCB0">
            <w:pPr>
              <w:widowControl/>
              <w:jc w:val="center"/>
              <w:rPr>
                <w:rFonts w:hint="eastAsia" w:ascii="宋体" w:hAnsi="宋体"/>
                <w:kern w:val="0"/>
                <w:szCs w:val="21"/>
              </w:rPr>
            </w:pPr>
            <w:r>
              <w:rPr>
                <w:rFonts w:hint="eastAsia" w:ascii="宋体" w:hAnsi="宋体"/>
                <w:kern w:val="0"/>
                <w:szCs w:val="21"/>
              </w:rPr>
              <w:t>70%</w:t>
            </w:r>
          </w:p>
        </w:tc>
        <w:tc>
          <w:tcPr>
            <w:tcW w:w="1134" w:type="dxa"/>
            <w:vMerge w:val="restart"/>
            <w:tcBorders>
              <w:top w:val="single" w:color="auto" w:sz="4" w:space="0"/>
              <w:left w:val="single" w:color="auto" w:sz="4" w:space="0"/>
              <w:right w:val="single" w:color="auto" w:sz="4" w:space="0"/>
            </w:tcBorders>
            <w:noWrap w:val="0"/>
            <w:vAlign w:val="center"/>
          </w:tcPr>
          <w:p w14:paraId="73B759F0">
            <w:pPr>
              <w:widowControl/>
              <w:jc w:val="center"/>
              <w:rPr>
                <w:rFonts w:hint="eastAsia" w:ascii="宋体" w:hAnsi="宋体"/>
                <w:kern w:val="0"/>
                <w:szCs w:val="21"/>
              </w:rPr>
            </w:pPr>
            <w:r>
              <w:rPr>
                <w:rFonts w:hint="eastAsia" w:ascii="宋体" w:hAnsi="宋体"/>
                <w:kern w:val="0"/>
                <w:szCs w:val="21"/>
              </w:rPr>
              <w:t>100%</w:t>
            </w:r>
          </w:p>
        </w:tc>
      </w:tr>
      <w:tr w14:paraId="0272A436">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11355DB">
            <w:pPr>
              <w:widowControl/>
              <w:jc w:val="center"/>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A6AFAD0">
            <w:pPr>
              <w:widowControl/>
              <w:jc w:val="center"/>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8" w:space="0"/>
            </w:tcBorders>
            <w:shd w:val="clear" w:color="auto" w:fill="auto"/>
            <w:noWrap w:val="0"/>
            <w:vAlign w:val="center"/>
          </w:tcPr>
          <w:p w14:paraId="09BD402E">
            <w:pPr>
              <w:widowControl/>
              <w:jc w:val="center"/>
              <w:rPr>
                <w:rFonts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7F6FB">
            <w:pPr>
              <w:widowControl/>
              <w:jc w:val="center"/>
              <w:rPr>
                <w:rFonts w:hint="eastAsia" w:ascii="宋体" w:hAnsi="宋体"/>
                <w:kern w:val="0"/>
                <w:szCs w:val="21"/>
              </w:rPr>
            </w:pPr>
            <w:r>
              <w:rPr>
                <w:rFonts w:hint="eastAsia" w:ascii="宋体" w:hAnsi="宋体"/>
                <w:kern w:val="0"/>
                <w:szCs w:val="21"/>
              </w:rPr>
              <w:t>20%</w:t>
            </w:r>
          </w:p>
        </w:tc>
        <w:tc>
          <w:tcPr>
            <w:tcW w:w="1134" w:type="dxa"/>
            <w:vMerge w:val="continue"/>
            <w:tcBorders>
              <w:left w:val="single" w:color="auto" w:sz="4" w:space="0"/>
              <w:right w:val="single" w:color="auto" w:sz="4" w:space="0"/>
            </w:tcBorders>
            <w:noWrap w:val="0"/>
            <w:vAlign w:val="center"/>
          </w:tcPr>
          <w:p w14:paraId="15C2343C">
            <w:pPr>
              <w:widowControl/>
              <w:jc w:val="center"/>
              <w:rPr>
                <w:rFonts w:hint="eastAsia" w:ascii="宋体" w:hAnsi="宋体"/>
                <w:kern w:val="0"/>
                <w:szCs w:val="21"/>
              </w:rPr>
            </w:pPr>
          </w:p>
        </w:tc>
      </w:tr>
      <w:tr w14:paraId="1959E917">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5AD767E">
            <w:pPr>
              <w:widowControl/>
              <w:jc w:val="center"/>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03D9DAC">
            <w:pPr>
              <w:widowControl/>
              <w:jc w:val="center"/>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8" w:space="0"/>
            </w:tcBorders>
            <w:shd w:val="clear" w:color="auto" w:fill="auto"/>
            <w:noWrap w:val="0"/>
            <w:vAlign w:val="center"/>
          </w:tcPr>
          <w:p w14:paraId="01F92159">
            <w:pPr>
              <w:widowControl/>
              <w:jc w:val="center"/>
              <w:rPr>
                <w:rFonts w:ascii="宋体" w:hAnsi="宋体"/>
                <w:kern w:val="0"/>
                <w:szCs w:val="21"/>
              </w:rPr>
            </w:pPr>
            <w:r>
              <w:rPr>
                <w:rFonts w:hint="eastAsia" w:ascii="宋体" w:hAnsi="宋体"/>
                <w:kern w:val="0"/>
                <w:szCs w:val="21"/>
              </w:rPr>
              <w:t>平时作业</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90F34F">
            <w:pPr>
              <w:widowControl/>
              <w:jc w:val="center"/>
              <w:rPr>
                <w:rFonts w:hint="eastAsia" w:ascii="宋体" w:hAnsi="宋体"/>
                <w:kern w:val="0"/>
                <w:szCs w:val="21"/>
              </w:rPr>
            </w:pPr>
            <w:r>
              <w:rPr>
                <w:rFonts w:hint="eastAsia" w:ascii="宋体" w:hAnsi="宋体"/>
                <w:kern w:val="0"/>
                <w:szCs w:val="21"/>
              </w:rPr>
              <w:t>10%</w:t>
            </w:r>
          </w:p>
        </w:tc>
        <w:tc>
          <w:tcPr>
            <w:tcW w:w="1134" w:type="dxa"/>
            <w:vMerge w:val="continue"/>
            <w:tcBorders>
              <w:left w:val="single" w:color="auto" w:sz="4" w:space="0"/>
              <w:bottom w:val="single" w:color="auto" w:sz="4" w:space="0"/>
              <w:right w:val="single" w:color="auto" w:sz="4" w:space="0"/>
            </w:tcBorders>
            <w:noWrap w:val="0"/>
            <w:vAlign w:val="center"/>
          </w:tcPr>
          <w:p w14:paraId="05D2978F">
            <w:pPr>
              <w:widowControl/>
              <w:jc w:val="center"/>
              <w:rPr>
                <w:rFonts w:hint="eastAsia" w:ascii="宋体" w:hAnsi="宋体"/>
                <w:kern w:val="0"/>
                <w:szCs w:val="21"/>
              </w:rPr>
            </w:pPr>
          </w:p>
        </w:tc>
      </w:tr>
      <w:tr w14:paraId="086E745D">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8" w:space="0"/>
              <w:bottom w:val="single" w:color="000000" w:sz="8" w:space="0"/>
              <w:right w:val="single" w:color="auto" w:sz="8" w:space="0"/>
            </w:tcBorders>
            <w:shd w:val="clear" w:color="auto" w:fill="auto"/>
            <w:noWrap w:val="0"/>
            <w:vAlign w:val="center"/>
          </w:tcPr>
          <w:p w14:paraId="62A9AFDA">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tcBorders>
              <w:top w:val="single" w:color="auto" w:sz="4" w:space="0"/>
              <w:left w:val="single" w:color="auto" w:sz="8" w:space="0"/>
              <w:bottom w:val="single" w:color="000000" w:sz="8" w:space="0"/>
              <w:right w:val="single" w:color="auto" w:sz="8" w:space="0"/>
            </w:tcBorders>
            <w:shd w:val="clear" w:color="auto" w:fill="auto"/>
            <w:noWrap w:val="0"/>
            <w:vAlign w:val="center"/>
          </w:tcPr>
          <w:p w14:paraId="638FFCC5">
            <w:pPr>
              <w:widowControl/>
              <w:jc w:val="center"/>
              <w:rPr>
                <w:rFonts w:hint="eastAsia" w:ascii="宋体" w:hAnsi="宋体"/>
                <w:kern w:val="0"/>
                <w:szCs w:val="21"/>
              </w:rPr>
            </w:pPr>
            <w:r>
              <w:rPr>
                <w:rFonts w:hint="eastAsia" w:ascii="宋体" w:hAnsi="宋体"/>
                <w:kern w:val="0"/>
                <w:szCs w:val="21"/>
              </w:rPr>
              <w:t>20%</w:t>
            </w:r>
          </w:p>
        </w:tc>
        <w:tc>
          <w:tcPr>
            <w:tcW w:w="2196" w:type="dxa"/>
            <w:tcBorders>
              <w:top w:val="single" w:color="auto" w:sz="4" w:space="0"/>
              <w:left w:val="nil"/>
              <w:bottom w:val="single" w:color="auto" w:sz="8" w:space="0"/>
              <w:right w:val="single" w:color="auto" w:sz="8" w:space="0"/>
            </w:tcBorders>
            <w:shd w:val="clear" w:color="auto" w:fill="auto"/>
            <w:noWrap w:val="0"/>
            <w:vAlign w:val="center"/>
          </w:tcPr>
          <w:p w14:paraId="24B216C1">
            <w:pPr>
              <w:widowControl/>
              <w:jc w:val="center"/>
              <w:rPr>
                <w:rFonts w:ascii="宋体" w:hAnsi="宋体"/>
                <w:kern w:val="0"/>
                <w:szCs w:val="21"/>
              </w:rPr>
            </w:pPr>
            <w:r>
              <w:rPr>
                <w:rFonts w:hint="eastAsia" w:ascii="宋体" w:hAnsi="宋体"/>
                <w:kern w:val="0"/>
                <w:szCs w:val="21"/>
              </w:rPr>
              <w:t>项目考核</w:t>
            </w:r>
          </w:p>
        </w:tc>
        <w:tc>
          <w:tcPr>
            <w:tcW w:w="1843" w:type="dxa"/>
            <w:tcBorders>
              <w:top w:val="single" w:color="auto" w:sz="4" w:space="0"/>
              <w:left w:val="nil"/>
              <w:bottom w:val="single" w:color="auto" w:sz="8" w:space="0"/>
              <w:right w:val="single" w:color="auto" w:sz="8" w:space="0"/>
            </w:tcBorders>
            <w:shd w:val="clear" w:color="auto" w:fill="auto"/>
            <w:noWrap w:val="0"/>
            <w:vAlign w:val="center"/>
          </w:tcPr>
          <w:p w14:paraId="35FD93CF">
            <w:pPr>
              <w:widowControl/>
              <w:jc w:val="center"/>
              <w:rPr>
                <w:rFonts w:hint="eastAsia" w:ascii="宋体" w:hAnsi="宋体"/>
                <w:kern w:val="0"/>
                <w:szCs w:val="21"/>
              </w:rPr>
            </w:pPr>
            <w:r>
              <w:rPr>
                <w:rFonts w:hint="eastAsia" w:ascii="宋体" w:hAnsi="宋体"/>
                <w:kern w:val="0"/>
                <w:szCs w:val="21"/>
              </w:rPr>
              <w:t>60%</w:t>
            </w:r>
          </w:p>
        </w:tc>
        <w:tc>
          <w:tcPr>
            <w:tcW w:w="1134" w:type="dxa"/>
            <w:vMerge w:val="restart"/>
            <w:tcBorders>
              <w:top w:val="single" w:color="auto" w:sz="4" w:space="0"/>
              <w:left w:val="nil"/>
              <w:right w:val="single" w:color="auto" w:sz="8" w:space="0"/>
            </w:tcBorders>
            <w:noWrap w:val="0"/>
            <w:vAlign w:val="center"/>
          </w:tcPr>
          <w:p w14:paraId="3055CBAE">
            <w:pPr>
              <w:widowControl/>
              <w:jc w:val="center"/>
              <w:rPr>
                <w:rFonts w:hint="eastAsia" w:ascii="宋体" w:hAnsi="宋体"/>
                <w:kern w:val="0"/>
                <w:szCs w:val="21"/>
              </w:rPr>
            </w:pPr>
            <w:r>
              <w:rPr>
                <w:rFonts w:hint="eastAsia" w:ascii="宋体" w:hAnsi="宋体"/>
                <w:kern w:val="0"/>
                <w:szCs w:val="21"/>
              </w:rPr>
              <w:t>100%</w:t>
            </w:r>
          </w:p>
        </w:tc>
      </w:tr>
      <w:tr w14:paraId="63E505BC">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02B92A9F">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330FF18D">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313D54FB">
            <w:pPr>
              <w:widowControl/>
              <w:jc w:val="center"/>
              <w:rPr>
                <w:rFonts w:ascii="宋体" w:hAnsi="宋体"/>
                <w:kern w:val="0"/>
                <w:szCs w:val="21"/>
              </w:rPr>
            </w:pPr>
            <w:r>
              <w:rPr>
                <w:rFonts w:hint="eastAsia" w:ascii="宋体" w:hAnsi="宋体"/>
                <w:kern w:val="0"/>
                <w:szCs w:val="21"/>
              </w:rPr>
              <w:t>平时作业</w:t>
            </w:r>
          </w:p>
        </w:tc>
        <w:tc>
          <w:tcPr>
            <w:tcW w:w="1843" w:type="dxa"/>
            <w:tcBorders>
              <w:top w:val="nil"/>
              <w:left w:val="nil"/>
              <w:bottom w:val="single" w:color="auto" w:sz="8" w:space="0"/>
              <w:right w:val="single" w:color="auto" w:sz="8" w:space="0"/>
            </w:tcBorders>
            <w:shd w:val="clear" w:color="auto" w:fill="auto"/>
            <w:noWrap w:val="0"/>
            <w:vAlign w:val="center"/>
          </w:tcPr>
          <w:p w14:paraId="441CF7ED">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continue"/>
            <w:tcBorders>
              <w:left w:val="nil"/>
              <w:right w:val="single" w:color="auto" w:sz="8" w:space="0"/>
            </w:tcBorders>
            <w:noWrap w:val="0"/>
            <w:vAlign w:val="top"/>
          </w:tcPr>
          <w:p w14:paraId="77E1E264">
            <w:pPr>
              <w:widowControl/>
              <w:jc w:val="center"/>
              <w:rPr>
                <w:rFonts w:hint="eastAsia" w:ascii="宋体" w:hAnsi="宋体"/>
                <w:kern w:val="0"/>
                <w:szCs w:val="21"/>
              </w:rPr>
            </w:pPr>
          </w:p>
        </w:tc>
      </w:tr>
      <w:tr w14:paraId="68D3ABCC">
        <w:tblPrEx>
          <w:tblCellMar>
            <w:top w:w="0" w:type="dxa"/>
            <w:left w:w="108" w:type="dxa"/>
            <w:bottom w:w="0" w:type="dxa"/>
            <w:right w:w="108" w:type="dxa"/>
          </w:tblCellMar>
        </w:tblPrEx>
        <w:trPr>
          <w:trHeight w:val="549" w:hRule="atLeast"/>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E82FF6">
            <w:pPr>
              <w:widowControl/>
              <w:jc w:val="center"/>
              <w:rPr>
                <w:rFonts w:hint="eastAsia" w:ascii="宋体" w:hAnsi="宋体"/>
                <w:color w:val="000000"/>
                <w:kern w:val="0"/>
                <w:szCs w:val="21"/>
              </w:rPr>
            </w:pPr>
            <w:r>
              <w:rPr>
                <w:rFonts w:hint="eastAsia" w:ascii="宋体" w:hAnsi="宋体"/>
                <w:color w:val="000000"/>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560664">
            <w:pPr>
              <w:widowControl/>
              <w:jc w:val="center"/>
              <w:rPr>
                <w:rFonts w:hint="eastAsia" w:ascii="宋体" w:hAnsi="宋体"/>
                <w:color w:val="000000"/>
                <w:kern w:val="0"/>
                <w:szCs w:val="21"/>
              </w:rPr>
            </w:pPr>
            <w:r>
              <w:rPr>
                <w:rFonts w:hint="eastAsia" w:ascii="宋体" w:hAnsi="宋体"/>
                <w:color w:val="000000"/>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F7ED480">
            <w:pPr>
              <w:widowControl/>
              <w:jc w:val="center"/>
              <w:rPr>
                <w:rFonts w:hint="eastAsia" w:ascii="宋体" w:hAnsi="宋体"/>
                <w:color w:val="000000"/>
                <w:kern w:val="0"/>
                <w:szCs w:val="21"/>
              </w:rPr>
            </w:pPr>
          </w:p>
        </w:tc>
      </w:tr>
    </w:tbl>
    <w:p w14:paraId="29F08B6F">
      <w:pPr>
        <w:spacing w:line="360" w:lineRule="auto"/>
        <w:ind w:firstLine="480"/>
        <w:rPr>
          <w:rFonts w:hint="eastAsia" w:ascii="宋体" w:hAnsi="宋体"/>
          <w:b/>
          <w:bCs/>
          <w:color w:val="000000"/>
          <w:sz w:val="24"/>
          <w:szCs w:val="22"/>
        </w:rPr>
      </w:pPr>
      <w:r>
        <w:rPr>
          <w:rFonts w:hint="eastAsia" w:ascii="宋体" w:hAnsi="宋体"/>
          <w:b/>
          <w:bCs/>
          <w:color w:val="000000"/>
          <w:sz w:val="24"/>
          <w:szCs w:val="22"/>
        </w:rPr>
        <w:t>（四）</w:t>
      </w:r>
      <w:r>
        <w:rPr>
          <w:rFonts w:ascii="宋体" w:hAnsi="宋体"/>
          <w:b/>
          <w:bCs/>
          <w:color w:val="000000"/>
          <w:sz w:val="24"/>
          <w:szCs w:val="22"/>
        </w:rPr>
        <w:t>课程目标达成度计算方法</w:t>
      </w:r>
    </w:p>
    <w:p w14:paraId="7A6A4B67">
      <w:pPr>
        <w:spacing w:line="360" w:lineRule="auto"/>
        <w:ind w:firstLine="480"/>
        <w:rPr>
          <w:rFonts w:ascii="宋体" w:hAnsi="宋体"/>
          <w:color w:val="000000"/>
          <w:sz w:val="24"/>
          <w:szCs w:val="22"/>
        </w:rPr>
      </w:pPr>
      <w:r>
        <w:rPr>
          <w:rFonts w:ascii="宋体" w:hAnsi="宋体"/>
          <w:color w:val="000000"/>
          <w:sz w:val="24"/>
          <w:szCs w:val="22"/>
        </w:rPr>
        <w:t>所有课程目标均</w:t>
      </w:r>
      <w:r>
        <w:rPr>
          <w:rFonts w:hint="eastAsia" w:ascii="宋体" w:hAnsi="宋体"/>
          <w:color w:val="000000"/>
          <w:sz w:val="24"/>
          <w:szCs w:val="22"/>
        </w:rPr>
        <w:t>需</w:t>
      </w:r>
      <w:r>
        <w:rPr>
          <w:rFonts w:ascii="宋体" w:hAnsi="宋体"/>
          <w:color w:val="000000"/>
          <w:sz w:val="24"/>
          <w:szCs w:val="22"/>
        </w:rPr>
        <w:t>大于等于0.6，否则总评成绩不及格，需要补考或重</w:t>
      </w:r>
      <w:r>
        <w:rPr>
          <w:rFonts w:hint="eastAsia" w:ascii="宋体" w:hAnsi="宋体"/>
          <w:color w:val="000000"/>
          <w:sz w:val="24"/>
          <w:szCs w:val="22"/>
        </w:rPr>
        <w:t>修。</w:t>
      </w:r>
      <w:r>
        <w:rPr>
          <w:rFonts w:ascii="宋体" w:hAnsi="宋体"/>
          <w:color w:val="000000"/>
          <w:sz w:val="24"/>
          <w:szCs w:val="22"/>
        </w:rPr>
        <w:t>每</w:t>
      </w:r>
      <w:r>
        <w:rPr>
          <w:rFonts w:hint="eastAsia" w:ascii="宋体" w:hAnsi="宋体"/>
          <w:color w:val="000000"/>
          <w:sz w:val="24"/>
          <w:szCs w:val="22"/>
        </w:rPr>
        <w:t>门</w:t>
      </w:r>
      <w:r>
        <w:rPr>
          <w:rFonts w:ascii="宋体" w:hAnsi="宋体"/>
          <w:color w:val="000000"/>
          <w:sz w:val="24"/>
          <w:szCs w:val="22"/>
        </w:rPr>
        <w:t>课程目标</w:t>
      </w:r>
      <w:r>
        <w:rPr>
          <w:rFonts w:hint="eastAsia" w:ascii="宋体" w:hAnsi="宋体"/>
          <w:color w:val="000000"/>
          <w:sz w:val="24"/>
          <w:szCs w:val="22"/>
        </w:rPr>
        <w:t>总体</w:t>
      </w:r>
      <w:r>
        <w:rPr>
          <w:rFonts w:ascii="宋体" w:hAnsi="宋体"/>
          <w:color w:val="000000"/>
          <w:sz w:val="24"/>
          <w:szCs w:val="22"/>
        </w:rPr>
        <w:t>达成度计算方法如下：</w:t>
      </w:r>
    </w:p>
    <w:p w14:paraId="63E4E342">
      <w:pPr>
        <w:spacing w:line="360" w:lineRule="auto"/>
        <w:rPr>
          <w:rFonts w:hint="eastAsia" w:ascii="宋体" w:hAnsi="宋体"/>
          <w:sz w:val="24"/>
          <w:szCs w:val="22"/>
        </w:rPr>
      </w:pPr>
      <w:r>
        <w:rPr>
          <w:rFonts w:ascii="宋体" w:hAnsi="宋体"/>
          <w:sz w:val="24"/>
          <w:szCs w:val="22"/>
        </w:rPr>
        <w:drawing>
          <wp:inline distT="0" distB="0" distL="114300" distR="114300">
            <wp:extent cx="5760720" cy="365760"/>
            <wp:effectExtent l="0" t="0" r="5080" b="254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1D751C9F">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七</w:t>
      </w:r>
      <w:r>
        <w:rPr>
          <w:rFonts w:ascii="宋体" w:hAnsi="宋体"/>
          <w:b/>
          <w:color w:val="000000"/>
          <w:sz w:val="28"/>
          <w:szCs w:val="28"/>
        </w:rPr>
        <w:t>、</w:t>
      </w:r>
      <w:r>
        <w:rPr>
          <w:rFonts w:hint="eastAsia" w:ascii="宋体" w:hAnsi="宋体"/>
          <w:b/>
          <w:color w:val="000000"/>
          <w:sz w:val="28"/>
          <w:szCs w:val="28"/>
        </w:rPr>
        <w:t>有关说明</w:t>
      </w:r>
    </w:p>
    <w:p w14:paraId="0656972E">
      <w:pPr>
        <w:spacing w:line="360" w:lineRule="auto"/>
        <w:ind w:firstLine="482" w:firstLineChars="200"/>
        <w:outlineLvl w:val="0"/>
        <w:rPr>
          <w:rFonts w:hint="eastAsia"/>
          <w:b/>
          <w:color w:val="000000"/>
          <w:sz w:val="24"/>
        </w:rPr>
      </w:pPr>
      <w:r>
        <w:rPr>
          <w:rFonts w:hint="eastAsia"/>
          <w:b/>
          <w:color w:val="000000"/>
          <w:sz w:val="24"/>
        </w:rPr>
        <w:t>（一）持续改进</w:t>
      </w:r>
    </w:p>
    <w:p w14:paraId="3A5B81E1">
      <w:pPr>
        <w:spacing w:line="360" w:lineRule="auto"/>
        <w:ind w:firstLine="480" w:firstLineChars="200"/>
        <w:rPr>
          <w:rFonts w:hint="eastAsia"/>
          <w:kern w:val="0"/>
          <w:sz w:val="24"/>
          <w:szCs w:val="21"/>
        </w:rPr>
      </w:pPr>
      <w:r>
        <w:rPr>
          <w:rFonts w:hint="eastAsia"/>
          <w:kern w:val="0"/>
          <w:sz w:val="24"/>
          <w:szCs w:val="21"/>
        </w:rPr>
        <w:t>根据学生课堂教学中的反应、课后反馈、作业质量、答卷情况，以及领导、督导、教师等的听课情况，及时发现和改进教学中的不足之处，确保相应毕业要求指标点达成。</w:t>
      </w:r>
    </w:p>
    <w:p w14:paraId="079E80CB">
      <w:pPr>
        <w:spacing w:line="360" w:lineRule="auto"/>
        <w:ind w:firstLine="482" w:firstLineChars="200"/>
        <w:rPr>
          <w:b/>
          <w:color w:val="000000"/>
          <w:sz w:val="24"/>
        </w:rPr>
      </w:pPr>
      <w:r>
        <w:rPr>
          <w:rFonts w:hint="eastAsia"/>
          <w:b/>
          <w:color w:val="000000"/>
          <w:sz w:val="24"/>
        </w:rPr>
        <w:t>（二）</w:t>
      </w:r>
      <w:r>
        <w:rPr>
          <w:b/>
          <w:color w:val="000000"/>
          <w:sz w:val="24"/>
        </w:rPr>
        <w:t>参考书目及学习资料</w:t>
      </w:r>
    </w:p>
    <w:p w14:paraId="030CEE51">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1．张红霞：教育科学研究方法，教育科学出版社，最新版。</w:t>
      </w:r>
    </w:p>
    <w:p w14:paraId="468DC163">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2．孙德芳等：小学教育科研方法，西南师范大学出版社，最新版。</w:t>
      </w:r>
    </w:p>
    <w:p w14:paraId="1798932D">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3．张志杰等：教育科研方法，北京师范大学出版社，最新版。</w:t>
      </w:r>
    </w:p>
    <w:p w14:paraId="77FA6350">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4. 胡中锋：教育科学方法，中国人民大学出版社，最新版。</w:t>
      </w:r>
    </w:p>
    <w:p w14:paraId="30AAC94B">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5. 王红艳：小学教育研究方法，北京大学出版社，最新版。</w:t>
      </w:r>
    </w:p>
    <w:p w14:paraId="47D96994">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6. 荷兰芝等：教育研究方法，同济大学出版社，最新版。</w:t>
      </w:r>
    </w:p>
    <w:p w14:paraId="24DB2D79">
      <w:pPr>
        <w:spacing w:line="360" w:lineRule="auto"/>
        <w:ind w:firstLine="480" w:firstLineChars="200"/>
        <w:rPr>
          <w:rFonts w:hint="eastAsia"/>
          <w:b/>
          <w:color w:val="000000"/>
          <w:sz w:val="24"/>
        </w:rPr>
      </w:pPr>
      <w:r>
        <w:rPr>
          <w:rFonts w:hint="eastAsia"/>
          <w:kern w:val="0"/>
          <w:sz w:val="24"/>
          <w:szCs w:val="21"/>
        </w:rPr>
        <w:t>7. 丁炜等： 小学教育科学研究方法，华东师范大学出版社，最新版。</w:t>
      </w:r>
    </w:p>
    <w:p w14:paraId="2A84711E">
      <w:pPr>
        <w:autoSpaceDE w:val="0"/>
        <w:autoSpaceDN w:val="0"/>
        <w:adjustRightInd w:val="0"/>
        <w:spacing w:line="360" w:lineRule="auto"/>
        <w:ind w:firstLine="480" w:firstLineChars="200"/>
        <w:jc w:val="left"/>
        <w:rPr>
          <w:rFonts w:hint="eastAsia"/>
          <w:sz w:val="24"/>
        </w:rPr>
      </w:pPr>
      <w:r>
        <w:rPr>
          <w:rFonts w:hint="eastAsia"/>
          <w:sz w:val="24"/>
        </w:rPr>
        <w:t xml:space="preserve">                                                     </w:t>
      </w:r>
    </w:p>
    <w:p w14:paraId="17413594">
      <w:pPr>
        <w:autoSpaceDE w:val="0"/>
        <w:autoSpaceDN w:val="0"/>
        <w:adjustRightInd w:val="0"/>
        <w:spacing w:line="360" w:lineRule="auto"/>
        <w:ind w:firstLine="5280" w:firstLineChars="2200"/>
        <w:jc w:val="left"/>
        <w:rPr>
          <w:kern w:val="0"/>
          <w:sz w:val="24"/>
          <w:szCs w:val="21"/>
        </w:rPr>
      </w:pPr>
      <w:r>
        <w:rPr>
          <w:kern w:val="0"/>
          <w:sz w:val="24"/>
          <w:szCs w:val="21"/>
        </w:rPr>
        <w:t>执笔人：</w:t>
      </w:r>
      <w:r>
        <w:rPr>
          <w:rFonts w:hint="eastAsia"/>
          <w:kern w:val="0"/>
          <w:sz w:val="24"/>
          <w:szCs w:val="21"/>
        </w:rPr>
        <w:t>潘金林</w:t>
      </w:r>
      <w:r>
        <w:rPr>
          <w:kern w:val="0"/>
          <w:sz w:val="24"/>
          <w:szCs w:val="21"/>
        </w:rPr>
        <w:t xml:space="preserve"> </w:t>
      </w:r>
    </w:p>
    <w:p w14:paraId="597BCDD3">
      <w:pPr>
        <w:autoSpaceDE w:val="0"/>
        <w:autoSpaceDN w:val="0"/>
        <w:adjustRightInd w:val="0"/>
        <w:spacing w:line="360" w:lineRule="auto"/>
        <w:ind w:firstLine="5280" w:firstLineChars="2200"/>
        <w:jc w:val="left"/>
        <w:rPr>
          <w:kern w:val="0"/>
          <w:sz w:val="24"/>
          <w:szCs w:val="21"/>
        </w:rPr>
      </w:pPr>
      <w:r>
        <w:rPr>
          <w:kern w:val="0"/>
          <w:sz w:val="24"/>
          <w:szCs w:val="21"/>
        </w:rPr>
        <w:t>审定人：</w:t>
      </w:r>
      <w:r>
        <w:rPr>
          <w:rFonts w:hint="eastAsia"/>
          <w:kern w:val="0"/>
          <w:sz w:val="24"/>
          <w:szCs w:val="21"/>
        </w:rPr>
        <w:t>张志欣</w:t>
      </w:r>
    </w:p>
    <w:p w14:paraId="7473B690">
      <w:pPr>
        <w:autoSpaceDE w:val="0"/>
        <w:autoSpaceDN w:val="0"/>
        <w:adjustRightInd w:val="0"/>
        <w:spacing w:line="360" w:lineRule="auto"/>
        <w:ind w:firstLine="5280" w:firstLineChars="220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张建波</w:t>
      </w:r>
    </w:p>
    <w:p w14:paraId="702EDD73">
      <w:pPr>
        <w:autoSpaceDE w:val="0"/>
        <w:autoSpaceDN w:val="0"/>
        <w:adjustRightInd w:val="0"/>
        <w:spacing w:line="360" w:lineRule="auto"/>
        <w:ind w:firstLine="5280" w:firstLineChars="2200"/>
        <w:jc w:val="left"/>
        <w:rPr>
          <w:rFonts w:hint="eastAsia"/>
          <w:kern w:val="0"/>
          <w:sz w:val="24"/>
          <w:szCs w:val="21"/>
        </w:rPr>
      </w:pPr>
      <w:r>
        <w:rPr>
          <w:rFonts w:hint="eastAsia"/>
          <w:kern w:val="0"/>
          <w:sz w:val="24"/>
          <w:szCs w:val="21"/>
        </w:rPr>
        <w:t>批准时间：</w:t>
      </w:r>
      <w:r>
        <w:rPr>
          <w:kern w:val="0"/>
          <w:sz w:val="24"/>
          <w:szCs w:val="21"/>
        </w:rPr>
        <w:t xml:space="preserve"> </w:t>
      </w:r>
      <w:r>
        <w:rPr>
          <w:rFonts w:hint="eastAsia"/>
          <w:kern w:val="0"/>
          <w:sz w:val="24"/>
          <w:szCs w:val="21"/>
        </w:rPr>
        <w:t>202</w:t>
      </w:r>
      <w:r>
        <w:rPr>
          <w:kern w:val="0"/>
          <w:sz w:val="24"/>
          <w:szCs w:val="21"/>
        </w:rPr>
        <w:t>2</w:t>
      </w:r>
      <w:r>
        <w:rPr>
          <w:rFonts w:hint="eastAsia"/>
          <w:kern w:val="0"/>
          <w:sz w:val="24"/>
          <w:szCs w:val="21"/>
        </w:rPr>
        <w:t>年9月</w:t>
      </w:r>
      <w:r>
        <w:rPr>
          <w:kern w:val="0"/>
          <w:sz w:val="24"/>
          <w:szCs w:val="21"/>
        </w:rPr>
        <w:t>20</w:t>
      </w:r>
      <w:r>
        <w:rPr>
          <w:rFonts w:hint="eastAsia"/>
          <w:kern w:val="0"/>
          <w:sz w:val="24"/>
          <w:szCs w:val="21"/>
        </w:rPr>
        <w:t>日</w:t>
      </w:r>
    </w:p>
    <w:p w14:paraId="2BE01FDC">
      <w:pPr>
        <w:autoSpaceDE w:val="0"/>
        <w:autoSpaceDN w:val="0"/>
        <w:adjustRightInd w:val="0"/>
        <w:spacing w:line="360" w:lineRule="auto"/>
        <w:ind w:firstLine="5040" w:firstLineChars="2100"/>
        <w:jc w:val="left"/>
        <w:rPr>
          <w:rFonts w:ascii="Times New Roman" w:hAnsi="Times New Roman" w:eastAsia="宋体" w:cs="Times New Roman"/>
          <w:kern w:val="0"/>
          <w:sz w:val="24"/>
          <w:szCs w:val="21"/>
        </w:rPr>
      </w:pPr>
    </w:p>
    <w:p w14:paraId="48D57810">
      <w:pPr>
        <w:autoSpaceDE w:val="0"/>
        <w:autoSpaceDN w:val="0"/>
        <w:adjustRightInd w:val="0"/>
        <w:spacing w:line="360" w:lineRule="auto"/>
        <w:jc w:val="left"/>
        <w:rPr>
          <w:rFonts w:ascii="Times New Roman" w:hAnsi="Times New Roman" w:eastAsia="宋体" w:cs="Times New Roman"/>
          <w:kern w:val="0"/>
          <w:sz w:val="24"/>
          <w:szCs w:val="21"/>
        </w:rPr>
      </w:pPr>
    </w:p>
    <w:p w14:paraId="77F33723">
      <w:pPr>
        <w:widowControl/>
        <w:jc w:val="left"/>
        <w:rPr>
          <w:rFonts w:ascii="宋体" w:hAnsi="宋体" w:eastAsia="宋体" w:cs="Times New Roman"/>
          <w:kern w:val="0"/>
          <w:sz w:val="24"/>
        </w:rPr>
      </w:pPr>
      <w:r>
        <w:rPr>
          <w:rFonts w:ascii="宋体" w:hAnsi="宋体" w:eastAsia="宋体" w:cs="Times New Roman"/>
          <w:kern w:val="0"/>
          <w:sz w:val="24"/>
        </w:rPr>
        <w:br w:type="page"/>
      </w:r>
    </w:p>
    <w:p w14:paraId="7DFAAD75">
      <w:pPr>
        <w:spacing w:line="312" w:lineRule="auto"/>
        <w:jc w:val="center"/>
        <w:outlineLvl w:val="0"/>
        <w:rPr>
          <w:rFonts w:ascii="Times New Roman" w:hAnsi="Times New Roman" w:eastAsia="宋体" w:cs="Times New Roman"/>
          <w:b/>
          <w:bCs/>
          <w:sz w:val="30"/>
          <w:szCs w:val="24"/>
        </w:rPr>
      </w:pPr>
      <w:bookmarkStart w:id="114" w:name="_Toc88340326"/>
      <w:r>
        <w:rPr>
          <w:rFonts w:hint="eastAsia" w:ascii="Times New Roman" w:hAnsi="Times New Roman" w:eastAsia="宋体" w:cs="Times New Roman"/>
          <w:b/>
          <w:bCs/>
          <w:sz w:val="30"/>
          <w:szCs w:val="24"/>
        </w:rPr>
        <w:t>小学班队管理</w:t>
      </w:r>
      <w:r>
        <w:rPr>
          <w:rFonts w:ascii="Times New Roman" w:hAnsi="Times New Roman" w:eastAsia="宋体" w:cs="Times New Roman"/>
          <w:b/>
          <w:bCs/>
          <w:sz w:val="30"/>
          <w:szCs w:val="24"/>
        </w:rPr>
        <w:t>课程教学大纲</w:t>
      </w:r>
      <w:bookmarkEnd w:id="114"/>
      <w:r>
        <w:rPr>
          <w:rFonts w:hint="eastAsia" w:ascii="Times New Roman" w:hAnsi="Times New Roman" w:eastAsia="宋体" w:cs="Times New Roman"/>
          <w:b/>
          <w:bCs/>
          <w:sz w:val="30"/>
          <w:szCs w:val="24"/>
        </w:rPr>
        <w:t xml:space="preserve"> </w:t>
      </w:r>
    </w:p>
    <w:p w14:paraId="220B4E41">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w:t>
      </w:r>
      <w:r>
        <w:rPr>
          <w:rFonts w:hint="eastAsia" w:ascii="Times New Roman" w:hAnsi="Times New Roman" w:eastAsia="宋体" w:cs="Times New Roman"/>
          <w:b/>
          <w:bCs/>
          <w:sz w:val="30"/>
          <w:szCs w:val="24"/>
        </w:rPr>
        <w:t>Class  Management</w:t>
      </w:r>
      <w:r>
        <w:rPr>
          <w:rFonts w:ascii="Times New Roman" w:hAnsi="Times New Roman" w:eastAsia="宋体" w:cs="Times New Roman"/>
          <w:b/>
          <w:bCs/>
          <w:sz w:val="30"/>
          <w:szCs w:val="24"/>
        </w:rPr>
        <w:t>）</w:t>
      </w:r>
    </w:p>
    <w:p w14:paraId="501241F3">
      <w:pPr>
        <w:spacing w:line="360" w:lineRule="auto"/>
        <w:rPr>
          <w:rFonts w:ascii="Times New Roman" w:hAnsi="Times New Roman" w:eastAsia="宋体" w:cs="Times New Roman"/>
          <w:b/>
          <w:sz w:val="28"/>
          <w:szCs w:val="28"/>
        </w:rPr>
      </w:pPr>
    </w:p>
    <w:p w14:paraId="4BA8A5F7">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7018F1DA">
      <w:pPr>
        <w:spacing w:line="360" w:lineRule="auto"/>
        <w:rPr>
          <w:rFonts w:ascii="宋体" w:hAnsi="宋体" w:eastAsia="宋体" w:cs="Times New Roman"/>
          <w:b/>
          <w:kern w:val="0"/>
          <w:sz w:val="24"/>
          <w:szCs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：2401013</w:t>
      </w:r>
    </w:p>
    <w:p w14:paraId="7DD52C31">
      <w:pPr>
        <w:spacing w:line="360" w:lineRule="auto"/>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 xml:space="preserve">： </w:t>
      </w:r>
      <w:r>
        <w:rPr>
          <w:rFonts w:hint="eastAsia" w:ascii="宋体" w:hAnsi="宋体" w:eastAsia="宋体" w:cs="Times New Roman"/>
          <w:b/>
          <w:kern w:val="0"/>
          <w:sz w:val="24"/>
          <w:szCs w:val="24"/>
        </w:rPr>
        <w:t>2</w:t>
      </w:r>
    </w:p>
    <w:p w14:paraId="0FC79D88">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32（其中，讲授学时24，实践学时8）</w:t>
      </w:r>
    </w:p>
    <w:p w14:paraId="017C9688">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先修课程</w:t>
      </w:r>
      <w:r>
        <w:rPr>
          <w:rFonts w:ascii="宋体" w:hAnsi="宋体" w:eastAsia="宋体" w:cs="Times New Roman"/>
          <w:b/>
          <w:kern w:val="0"/>
          <w:sz w:val="24"/>
          <w:szCs w:val="24"/>
        </w:rPr>
        <w:t>：</w:t>
      </w:r>
      <w:r>
        <w:rPr>
          <w:rFonts w:hint="eastAsia" w:ascii="宋体" w:hAnsi="宋体" w:eastAsia="宋体" w:cs="Times New Roman"/>
          <w:kern w:val="0"/>
          <w:sz w:val="24"/>
          <w:szCs w:val="24"/>
        </w:rPr>
        <w:t xml:space="preserve">小学心理学、教育原理、教育心理学、小学教育政策与法规 </w:t>
      </w:r>
    </w:p>
    <w:p w14:paraId="4D3F0FEC">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小学教育（文）、小学教育（理）</w:t>
      </w:r>
      <w:r>
        <w:rPr>
          <w:rFonts w:ascii="宋体" w:hAnsi="宋体" w:eastAsia="宋体" w:cs="Times New Roman"/>
          <w:kern w:val="0"/>
          <w:sz w:val="24"/>
          <w:szCs w:val="24"/>
        </w:rPr>
        <w:t xml:space="preserve">                       </w:t>
      </w:r>
    </w:p>
    <w:p w14:paraId="21598487">
      <w:pPr>
        <w:spacing w:line="360" w:lineRule="auto"/>
        <w:rPr>
          <w:rFonts w:hint="default" w:ascii="宋体" w:hAnsi="宋体" w:eastAsia="宋体" w:cs="Times New Roman"/>
          <w:kern w:val="0"/>
          <w:sz w:val="24"/>
          <w:szCs w:val="24"/>
          <w:lang w:val="en-US" w:eastAsia="zh-CN"/>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hint="eastAsia" w:ascii="宋体" w:hAnsi="宋体" w:eastAsia="宋体" w:cs="Times New Roman"/>
          <w:kern w:val="0"/>
          <w:sz w:val="24"/>
          <w:szCs w:val="24"/>
          <w:lang w:val="en-US" w:eastAsia="zh-CN"/>
        </w:rPr>
        <w:t>沈佳琪</w:t>
      </w:r>
      <w:r>
        <w:rPr>
          <w:rFonts w:hint="eastAsia" w:ascii="宋体" w:hAnsi="宋体" w:eastAsia="宋体" w:cs="Times New Roman"/>
          <w:kern w:val="0"/>
          <w:sz w:val="24"/>
          <w:szCs w:val="24"/>
        </w:rPr>
        <w:t>主编《小学班管</w:t>
      </w:r>
      <w:r>
        <w:rPr>
          <w:rFonts w:hint="eastAsia" w:ascii="宋体" w:hAnsi="宋体" w:eastAsia="宋体" w:cs="Times New Roman"/>
          <w:kern w:val="0"/>
          <w:sz w:val="24"/>
          <w:szCs w:val="24"/>
          <w:lang w:val="en-US" w:eastAsia="zh-CN"/>
        </w:rPr>
        <w:t>队</w:t>
      </w:r>
      <w:r>
        <w:rPr>
          <w:rFonts w:hint="eastAsia" w:ascii="宋体" w:hAnsi="宋体" w:eastAsia="宋体" w:cs="Times New Roman"/>
          <w:kern w:val="0"/>
          <w:sz w:val="24"/>
          <w:szCs w:val="24"/>
        </w:rPr>
        <w:t>理》，</w:t>
      </w:r>
      <w:r>
        <w:rPr>
          <w:rFonts w:hint="eastAsia" w:ascii="宋体" w:hAnsi="宋体" w:eastAsia="宋体" w:cs="Times New Roman"/>
          <w:kern w:val="0"/>
          <w:sz w:val="24"/>
          <w:szCs w:val="24"/>
          <w:lang w:val="en-US" w:eastAsia="zh-CN"/>
        </w:rPr>
        <w:t>高等教育出版社</w:t>
      </w:r>
      <w:r>
        <w:rPr>
          <w:rFonts w:hint="eastAsia" w:ascii="宋体" w:hAnsi="宋体" w:eastAsia="宋体" w:cs="Times New Roman"/>
          <w:kern w:val="0"/>
          <w:sz w:val="24"/>
          <w:szCs w:val="24"/>
        </w:rPr>
        <w:t>，</w:t>
      </w:r>
      <w:r>
        <w:rPr>
          <w:rFonts w:hint="eastAsia" w:ascii="宋体" w:hAnsi="宋体" w:eastAsia="宋体" w:cs="Times New Roman"/>
          <w:kern w:val="0"/>
          <w:sz w:val="24"/>
          <w:szCs w:val="24"/>
          <w:lang w:val="en-US" w:eastAsia="zh-CN"/>
        </w:rPr>
        <w:t>2021</w:t>
      </w:r>
    </w:p>
    <w:p w14:paraId="7195FAA7">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课程归口：</w:t>
      </w:r>
      <w:r>
        <w:rPr>
          <w:rFonts w:hint="eastAsia" w:ascii="宋体" w:hAnsi="宋体" w:eastAsia="宋体" w:cs="Times New Roman"/>
          <w:bCs/>
          <w:kern w:val="0"/>
          <w:sz w:val="24"/>
          <w:szCs w:val="24"/>
        </w:rPr>
        <w:t>师范</w:t>
      </w:r>
      <w:r>
        <w:rPr>
          <w:rFonts w:ascii="宋体" w:hAnsi="宋体" w:eastAsia="宋体" w:cs="Times New Roman"/>
          <w:kern w:val="0"/>
          <w:sz w:val="24"/>
          <w:szCs w:val="24"/>
        </w:rPr>
        <w:t>学院</w:t>
      </w:r>
    </w:p>
    <w:p w14:paraId="5D64F4D7">
      <w:pPr>
        <w:autoSpaceDE w:val="0"/>
        <w:autoSpaceDN w:val="0"/>
        <w:adjustRightInd w:val="0"/>
        <w:spacing w:line="360" w:lineRule="auto"/>
        <w:jc w:val="left"/>
        <w:rPr>
          <w:rFonts w:ascii="Times New Roman" w:hAnsi="Times New Roman" w:eastAsia="宋体" w:cs="Times New Roman"/>
          <w:kern w:val="0"/>
          <w:sz w:val="24"/>
          <w:szCs w:val="24"/>
        </w:rPr>
      </w:pPr>
      <w:r>
        <w:rPr>
          <w:rFonts w:hint="eastAsia" w:ascii="宋体" w:hAnsi="宋体" w:eastAsia="宋体" w:cs="Times New Roman"/>
          <w:b/>
          <w:bCs/>
          <w:kern w:val="0"/>
          <w:sz w:val="24"/>
          <w:szCs w:val="24"/>
        </w:rPr>
        <w:t>课程的性质与任务：</w:t>
      </w:r>
      <w:r>
        <w:rPr>
          <w:rFonts w:hint="eastAsia" w:ascii="Times New Roman" w:hAnsi="Times New Roman" w:eastAsia="宋体" w:cs="Times New Roman"/>
          <w:kern w:val="0"/>
          <w:sz w:val="24"/>
          <w:szCs w:val="24"/>
        </w:rPr>
        <w:t>本课程是小学教育专业的一门专业基础必修课程</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对于学生形成班队组织与管理能力，落实立德树人根本任务具有重要作用</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通过</w:t>
      </w:r>
      <w:r>
        <w:rPr>
          <w:rFonts w:hint="eastAsia" w:ascii="Times New Roman" w:hAnsi="Times New Roman" w:eastAsia="宋体" w:cs="Times New Roman"/>
          <w:kern w:val="0"/>
          <w:sz w:val="24"/>
          <w:szCs w:val="24"/>
        </w:rPr>
        <w:t>本课程的学习，学生</w:t>
      </w:r>
      <w:r>
        <w:rPr>
          <w:rFonts w:hint="eastAsia" w:ascii="Times New Roman" w:hAnsi="Times New Roman" w:eastAsia="宋体" w:cs="Times New Roman"/>
          <w:kern w:val="0"/>
          <w:sz w:val="24"/>
          <w:szCs w:val="24"/>
          <w:lang w:val="en-US" w:eastAsia="zh-CN"/>
        </w:rPr>
        <w:t>进一步</w:t>
      </w:r>
      <w:r>
        <w:rPr>
          <w:rFonts w:hint="eastAsia" w:ascii="Times New Roman" w:hAnsi="Times New Roman" w:eastAsia="宋体" w:cs="Times New Roman"/>
          <w:kern w:val="0"/>
          <w:sz w:val="24"/>
          <w:szCs w:val="24"/>
        </w:rPr>
        <w:t>理解小学班队管理的目的和意义，掌握小学班队管理的系统理论和基本方法，形成新型的班队管理理念，具备</w:t>
      </w:r>
      <w:r>
        <w:rPr>
          <w:rFonts w:hint="eastAsia" w:ascii="Times New Roman" w:hAnsi="Times New Roman" w:eastAsia="宋体" w:cs="Times New Roman"/>
          <w:kern w:val="0"/>
          <w:sz w:val="24"/>
          <w:szCs w:val="24"/>
          <w:lang w:val="en-US" w:eastAsia="zh-CN"/>
        </w:rPr>
        <w:t>制定班队管理计划、开展班队管理工作的能力，</w:t>
      </w:r>
      <w:r>
        <w:rPr>
          <w:rFonts w:hint="eastAsia" w:ascii="Times New Roman" w:hAnsi="Times New Roman" w:eastAsia="宋体" w:cs="Times New Roman"/>
          <w:kern w:val="0"/>
          <w:sz w:val="24"/>
          <w:szCs w:val="24"/>
        </w:rPr>
        <w:t>为其今后从事班主任</w:t>
      </w:r>
      <w:r>
        <w:rPr>
          <w:rFonts w:hint="eastAsia" w:ascii="Times New Roman" w:hAnsi="Times New Roman" w:eastAsia="宋体" w:cs="Times New Roman"/>
          <w:kern w:val="0"/>
          <w:sz w:val="24"/>
          <w:szCs w:val="24"/>
          <w:lang w:val="en-US" w:eastAsia="zh-CN"/>
        </w:rPr>
        <w:t>工作</w:t>
      </w:r>
      <w:r>
        <w:rPr>
          <w:rFonts w:hint="eastAsia" w:ascii="Times New Roman" w:hAnsi="Times New Roman" w:eastAsia="宋体" w:cs="Times New Roman"/>
          <w:kern w:val="0"/>
          <w:sz w:val="24"/>
          <w:szCs w:val="24"/>
        </w:rPr>
        <w:t>和少先队工作奠定基础。</w:t>
      </w:r>
    </w:p>
    <w:p w14:paraId="72CABD51">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p>
    <w:p w14:paraId="0B39340A">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b/>
          <w:kern w:val="0"/>
          <w:sz w:val="24"/>
          <w:szCs w:val="21"/>
        </w:rPr>
        <w:t>目标</w:t>
      </w:r>
      <w:r>
        <w:rPr>
          <w:rFonts w:hint="eastAsia" w:ascii="Times New Roman" w:hAnsi="Times New Roman" w:eastAsia="宋体" w:cs="Times New Roman"/>
          <w:b/>
          <w:kern w:val="0"/>
          <w:sz w:val="24"/>
          <w:szCs w:val="21"/>
          <w:lang w:val="en-US" w:eastAsia="zh-CN"/>
        </w:rPr>
        <w:t>1</w:t>
      </w:r>
      <w:r>
        <w:rPr>
          <w:rFonts w:hint="eastAsia" w:ascii="Times New Roman" w:hAnsi="Times New Roman" w:eastAsia="宋体" w:cs="Times New Roman"/>
          <w:b/>
          <w:kern w:val="0"/>
          <w:sz w:val="24"/>
          <w:szCs w:val="21"/>
        </w:rPr>
        <w:t>：</w:t>
      </w:r>
      <w:r>
        <w:rPr>
          <w:rFonts w:hint="eastAsia" w:ascii="Times New Roman" w:hAnsi="Times New Roman" w:eastAsia="宋体" w:cs="Times New Roman"/>
          <w:kern w:val="0"/>
          <w:sz w:val="24"/>
          <w:szCs w:val="21"/>
        </w:rPr>
        <w:t>理解小学班级和小学班队管理的特性，</w:t>
      </w:r>
      <w:r>
        <w:rPr>
          <w:rFonts w:hint="eastAsia" w:ascii="Times New Roman" w:hAnsi="Times New Roman" w:eastAsia="宋体" w:cs="Times New Roman"/>
          <w:kern w:val="0"/>
          <w:sz w:val="24"/>
          <w:szCs w:val="21"/>
          <w:lang w:val="en-US" w:eastAsia="zh-CN"/>
        </w:rPr>
        <w:t>领会班队管理对学生发展的重要作用；</w:t>
      </w:r>
      <w:r>
        <w:rPr>
          <w:rFonts w:hint="eastAsia" w:ascii="Times New Roman" w:hAnsi="Times New Roman" w:eastAsia="宋体" w:cs="Times New Roman"/>
          <w:kern w:val="0"/>
          <w:sz w:val="24"/>
          <w:szCs w:val="21"/>
        </w:rPr>
        <w:t>熟悉班主任的职责和</w:t>
      </w:r>
      <w:r>
        <w:rPr>
          <w:rFonts w:hint="eastAsia" w:ascii="Times New Roman" w:hAnsi="Times New Roman" w:eastAsia="宋体" w:cs="Times New Roman"/>
          <w:kern w:val="0"/>
          <w:sz w:val="24"/>
          <w:szCs w:val="21"/>
          <w:lang w:val="en-US" w:eastAsia="zh-CN"/>
        </w:rPr>
        <w:t>应具备的基本素养</w:t>
      </w:r>
      <w:r>
        <w:rPr>
          <w:rFonts w:hint="eastAsia" w:ascii="Times New Roman" w:hAnsi="Times New Roman" w:eastAsia="宋体" w:cs="Times New Roman"/>
          <w:kern w:val="0"/>
          <w:sz w:val="24"/>
          <w:szCs w:val="21"/>
        </w:rPr>
        <w:t>，明晰班主任的专业发展</w:t>
      </w:r>
      <w:r>
        <w:rPr>
          <w:rFonts w:hint="eastAsia" w:ascii="Times New Roman" w:hAnsi="Times New Roman" w:eastAsia="宋体" w:cs="Times New Roman"/>
          <w:kern w:val="0"/>
          <w:sz w:val="24"/>
          <w:szCs w:val="21"/>
          <w:lang w:val="en-US" w:eastAsia="zh-CN"/>
        </w:rPr>
        <w:t>路径与方法</w:t>
      </w:r>
      <w:r>
        <w:rPr>
          <w:rFonts w:hint="eastAsia" w:ascii="Times New Roman" w:hAnsi="Times New Roman" w:eastAsia="宋体" w:cs="Times New Roman"/>
          <w:kern w:val="0"/>
          <w:sz w:val="24"/>
          <w:szCs w:val="21"/>
        </w:rPr>
        <w:t>，确立成长为</w:t>
      </w:r>
      <w:r>
        <w:rPr>
          <w:rFonts w:hint="eastAsia" w:ascii="Times New Roman" w:hAnsi="Times New Roman" w:eastAsia="宋体" w:cs="Times New Roman"/>
          <w:kern w:val="0"/>
          <w:sz w:val="24"/>
          <w:szCs w:val="21"/>
          <w:lang w:val="en-US" w:eastAsia="zh-CN"/>
        </w:rPr>
        <w:t>优秀</w:t>
      </w:r>
      <w:r>
        <w:rPr>
          <w:rFonts w:hint="eastAsia" w:ascii="Times New Roman" w:hAnsi="Times New Roman" w:eastAsia="宋体" w:cs="Times New Roman"/>
          <w:kern w:val="0"/>
          <w:sz w:val="24"/>
          <w:szCs w:val="21"/>
        </w:rPr>
        <w:t>班主任的基本愿景</w:t>
      </w:r>
      <w:r>
        <w:rPr>
          <w:rFonts w:hint="eastAsia" w:ascii="Times New Roman" w:hAnsi="Times New Roman" w:eastAsia="宋体" w:cs="Times New Roman"/>
          <w:kern w:val="0"/>
          <w:sz w:val="24"/>
          <w:szCs w:val="21"/>
          <w:lang w:eastAsia="zh-CN"/>
        </w:rPr>
        <w:t>。</w:t>
      </w:r>
    </w:p>
    <w:p w14:paraId="21256022">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lang w:val="en-US" w:eastAsia="zh-CN"/>
        </w:rPr>
        <w:t>目标2：</w:t>
      </w:r>
      <w:r>
        <w:rPr>
          <w:rFonts w:hint="eastAsia" w:ascii="Times New Roman" w:hAnsi="Times New Roman" w:eastAsia="宋体" w:cs="Times New Roman"/>
          <w:b w:val="0"/>
          <w:bCs w:val="0"/>
          <w:kern w:val="0"/>
          <w:sz w:val="24"/>
          <w:szCs w:val="21"/>
          <w:lang w:val="en-US" w:eastAsia="zh-CN"/>
        </w:rPr>
        <w:t>了解</w:t>
      </w:r>
      <w:r>
        <w:rPr>
          <w:rFonts w:hint="eastAsia" w:ascii="Times New Roman" w:hAnsi="Times New Roman" w:eastAsia="宋体" w:cs="Times New Roman"/>
          <w:kern w:val="0"/>
          <w:sz w:val="24"/>
          <w:szCs w:val="21"/>
          <w:lang w:val="en-US" w:eastAsia="zh-CN"/>
        </w:rPr>
        <w:t>小学班队管理的主要内容，</w:t>
      </w:r>
      <w:r>
        <w:rPr>
          <w:rFonts w:hint="eastAsia" w:ascii="Times New Roman" w:hAnsi="Times New Roman" w:eastAsia="宋体" w:cs="Times New Roman"/>
          <w:kern w:val="0"/>
          <w:sz w:val="24"/>
          <w:szCs w:val="21"/>
        </w:rPr>
        <w:t>系统掌握班队</w:t>
      </w:r>
      <w:r>
        <w:rPr>
          <w:rFonts w:hint="eastAsia" w:ascii="Times New Roman" w:hAnsi="Times New Roman" w:eastAsia="宋体" w:cs="Times New Roman"/>
          <w:kern w:val="0"/>
          <w:sz w:val="24"/>
          <w:szCs w:val="21"/>
          <w:lang w:val="en-US" w:eastAsia="zh-CN"/>
        </w:rPr>
        <w:t>常规、班队组织、班队活动、班队环境、学生问题行为、家校合作等方面</w:t>
      </w:r>
      <w:r>
        <w:rPr>
          <w:rFonts w:hint="eastAsia" w:ascii="Times New Roman" w:hAnsi="Times New Roman" w:eastAsia="宋体" w:cs="Times New Roman"/>
          <w:kern w:val="0"/>
          <w:sz w:val="24"/>
          <w:szCs w:val="21"/>
        </w:rPr>
        <w:t>管理的</w:t>
      </w:r>
      <w:r>
        <w:rPr>
          <w:rFonts w:hint="eastAsia" w:ascii="Times New Roman" w:hAnsi="Times New Roman" w:eastAsia="宋体" w:cs="Times New Roman"/>
          <w:kern w:val="0"/>
          <w:sz w:val="24"/>
          <w:szCs w:val="21"/>
          <w:lang w:val="en-US" w:eastAsia="zh-CN"/>
        </w:rPr>
        <w:t>基本</w:t>
      </w:r>
      <w:r>
        <w:rPr>
          <w:rFonts w:hint="eastAsia" w:ascii="Times New Roman" w:hAnsi="Times New Roman" w:eastAsia="宋体" w:cs="Times New Roman"/>
          <w:kern w:val="0"/>
          <w:sz w:val="24"/>
          <w:szCs w:val="21"/>
        </w:rPr>
        <w:t>理论</w:t>
      </w:r>
      <w:r>
        <w:rPr>
          <w:rFonts w:hint="eastAsia" w:ascii="Times New Roman" w:hAnsi="Times New Roman" w:eastAsia="宋体" w:cs="Times New Roman"/>
          <w:kern w:val="0"/>
          <w:sz w:val="24"/>
          <w:szCs w:val="21"/>
          <w:lang w:val="en-US" w:eastAsia="zh-CN"/>
        </w:rPr>
        <w:t>与方法，能够在工作实践中，科学制定班级工作计划和班队常规，具有合理组织和开展班队活动、创建班队文化的能力。</w:t>
      </w:r>
    </w:p>
    <w:p w14:paraId="4333EA34">
      <w:pPr>
        <w:spacing w:line="360" w:lineRule="auto"/>
        <w:jc w:val="left"/>
        <w:rPr>
          <w:rFonts w:hint="eastAsia"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lang w:val="en-US" w:eastAsia="zh-CN"/>
        </w:rPr>
        <w:t>目标3：</w:t>
      </w:r>
      <w:r>
        <w:rPr>
          <w:rFonts w:hint="eastAsia" w:ascii="Times New Roman" w:hAnsi="Times New Roman" w:eastAsia="宋体" w:cs="Times New Roman"/>
          <w:b w:val="0"/>
          <w:bCs w:val="0"/>
          <w:kern w:val="0"/>
          <w:sz w:val="24"/>
          <w:szCs w:val="21"/>
          <w:lang w:val="en-US" w:eastAsia="zh-CN"/>
        </w:rPr>
        <w:t>能够运用班队管理的理论与方法，分析班主任与不同类型学生的关系处理，及时觉察学生问题行并进行有效干预；能够</w:t>
      </w:r>
      <w:r>
        <w:rPr>
          <w:rFonts w:hint="eastAsia" w:ascii="Times New Roman" w:hAnsi="Times New Roman" w:eastAsia="宋体" w:cs="Times New Roman"/>
          <w:kern w:val="0"/>
          <w:sz w:val="24"/>
          <w:szCs w:val="21"/>
          <w:lang w:val="en-US" w:eastAsia="zh-CN"/>
        </w:rPr>
        <w:t>与任课教师、学生、家长进行良好的沟通与合作</w:t>
      </w:r>
      <w:r>
        <w:rPr>
          <w:rFonts w:hint="eastAsia" w:ascii="Times New Roman" w:hAnsi="Times New Roman" w:eastAsia="宋体" w:cs="Times New Roman"/>
          <w:kern w:val="0"/>
          <w:sz w:val="24"/>
          <w:szCs w:val="21"/>
        </w:rPr>
        <w:t>。</w:t>
      </w:r>
    </w:p>
    <w:p w14:paraId="3DCC1506">
      <w:pPr>
        <w:spacing w:line="360" w:lineRule="auto"/>
        <w:jc w:val="left"/>
        <w:rPr>
          <w:rFonts w:hint="default" w:ascii="Times New Roman" w:hAnsi="Times New Roman" w:eastAsia="宋体" w:cs="Times New Roman"/>
          <w:kern w:val="0"/>
          <w:sz w:val="24"/>
          <w:szCs w:val="21"/>
          <w:lang w:val="en-US" w:eastAsia="zh-CN"/>
        </w:rPr>
      </w:pPr>
    </w:p>
    <w:p w14:paraId="18E7578E">
      <w:pPr>
        <w:spacing w:line="360" w:lineRule="auto"/>
        <w:rPr>
          <w:rFonts w:ascii="宋体" w:hAnsi="宋体" w:eastAsia="宋体" w:cs="Times New Roman"/>
          <w:b/>
          <w:sz w:val="28"/>
          <w:szCs w:val="28"/>
        </w:rPr>
      </w:pPr>
      <w:r>
        <w:rPr>
          <w:rFonts w:hint="eastAsia" w:ascii="宋体" w:hAnsi="宋体" w:eastAsia="宋体" w:cs="Times New Roman"/>
          <w:b/>
          <w:sz w:val="28"/>
          <w:szCs w:val="28"/>
        </w:rPr>
        <w:t>（二）课程目标与专业毕业要求的关系</w:t>
      </w:r>
    </w:p>
    <w:tbl>
      <w:tblPr>
        <w:tblStyle w:val="3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268"/>
        <w:gridCol w:w="5181"/>
      </w:tblGrid>
      <w:tr w14:paraId="68E3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vAlign w:val="center"/>
          </w:tcPr>
          <w:p w14:paraId="596F0590">
            <w:pPr>
              <w:spacing w:line="264"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68" w:type="dxa"/>
            <w:vAlign w:val="center"/>
          </w:tcPr>
          <w:p w14:paraId="3D2265B0">
            <w:pPr>
              <w:spacing w:line="264"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181" w:type="dxa"/>
            <w:vAlign w:val="center"/>
          </w:tcPr>
          <w:p w14:paraId="09C64F75">
            <w:pPr>
              <w:spacing w:line="264" w:lineRule="auto"/>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7338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vAlign w:val="center"/>
          </w:tcPr>
          <w:p w14:paraId="082FD50C">
            <w:pPr>
              <w:spacing w:line="264" w:lineRule="auto"/>
              <w:jc w:val="center"/>
              <w:rPr>
                <w:rFonts w:hint="eastAsia" w:ascii="宋体" w:hAnsi="宋体" w:eastAsia="宋体" w:cs="宋体"/>
                <w:color w:val="000000"/>
                <w:szCs w:val="21"/>
                <w:lang w:eastAsia="zh-CN"/>
              </w:rPr>
            </w:pPr>
            <w:r>
              <w:rPr>
                <w:rFonts w:hint="eastAsia" w:ascii="宋体" w:hAnsi="宋体" w:eastAsia="宋体" w:cs="宋体"/>
                <w:color w:val="000000"/>
                <w:szCs w:val="21"/>
              </w:rPr>
              <w:t>课程目标</w:t>
            </w:r>
            <w:r>
              <w:rPr>
                <w:rFonts w:hint="eastAsia" w:ascii="宋体" w:hAnsi="宋体" w:eastAsia="宋体" w:cs="宋体"/>
                <w:color w:val="000000"/>
                <w:szCs w:val="21"/>
                <w:lang w:val="en-US" w:eastAsia="zh-CN"/>
              </w:rPr>
              <w:t>1</w:t>
            </w:r>
          </w:p>
        </w:tc>
        <w:tc>
          <w:tcPr>
            <w:tcW w:w="2268" w:type="dxa"/>
            <w:vAlign w:val="center"/>
          </w:tcPr>
          <w:p w14:paraId="651C6E58">
            <w:pPr>
              <w:spacing w:line="264" w:lineRule="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毕业要求1.师德规范</w:t>
            </w:r>
          </w:p>
          <w:p w14:paraId="5B4D1FEB">
            <w:pPr>
              <w:spacing w:line="264" w:lineRule="auto"/>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毕业要求2.教育情怀</w:t>
            </w:r>
          </w:p>
        </w:tc>
        <w:tc>
          <w:tcPr>
            <w:tcW w:w="5181" w:type="dxa"/>
            <w:vAlign w:val="center"/>
          </w:tcPr>
          <w:p w14:paraId="753BC3E7">
            <w:pPr>
              <w:spacing w:line="264" w:lineRule="auto"/>
              <w:jc w:val="left"/>
              <w:rPr>
                <w:rFonts w:hint="eastAsia" w:ascii="宋体" w:hAnsi="宋体" w:cs="宋体"/>
                <w:sz w:val="20"/>
                <w:szCs w:val="20"/>
              </w:rPr>
            </w:pPr>
            <w:r>
              <w:rPr>
                <w:rFonts w:hint="eastAsia" w:ascii="宋体" w:hAnsi="宋体" w:cs="宋体"/>
                <w:sz w:val="20"/>
                <w:szCs w:val="20"/>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10F9D4DD">
            <w:pPr>
              <w:spacing w:line="264" w:lineRule="auto"/>
              <w:jc w:val="left"/>
              <w:rPr>
                <w:rFonts w:hint="eastAsia" w:ascii="宋体" w:hAnsi="宋体" w:cs="宋体"/>
                <w:sz w:val="20"/>
                <w:szCs w:val="20"/>
              </w:rPr>
            </w:pPr>
            <w:r>
              <w:rPr>
                <w:rFonts w:hint="eastAsia" w:ascii="宋体" w:hAnsi="宋体" w:cs="宋体"/>
                <w:sz w:val="20"/>
                <w:szCs w:val="20"/>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4C1F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7" w:hRule="atLeast"/>
          <w:jc w:val="center"/>
        </w:trPr>
        <w:tc>
          <w:tcPr>
            <w:tcW w:w="1499" w:type="dxa"/>
            <w:vAlign w:val="center"/>
          </w:tcPr>
          <w:p w14:paraId="18DFF54A">
            <w:pPr>
              <w:spacing w:line="264" w:lineRule="auto"/>
              <w:jc w:val="center"/>
              <w:rPr>
                <w:rFonts w:hint="eastAsia" w:ascii="宋体" w:hAnsi="宋体" w:eastAsia="宋体" w:cs="宋体"/>
                <w:color w:val="000000"/>
                <w:szCs w:val="21"/>
                <w:lang w:eastAsia="zh-CN"/>
              </w:rPr>
            </w:pPr>
            <w:r>
              <w:rPr>
                <w:rFonts w:hint="eastAsia" w:ascii="宋体" w:hAnsi="宋体" w:eastAsia="宋体" w:cs="宋体"/>
                <w:color w:val="000000"/>
                <w:szCs w:val="21"/>
              </w:rPr>
              <w:t>课程目标</w:t>
            </w:r>
            <w:r>
              <w:rPr>
                <w:rFonts w:hint="eastAsia" w:ascii="宋体" w:hAnsi="宋体" w:eastAsia="宋体" w:cs="宋体"/>
                <w:color w:val="000000"/>
                <w:szCs w:val="21"/>
                <w:lang w:val="en-US" w:eastAsia="zh-CN"/>
              </w:rPr>
              <w:t>2</w:t>
            </w:r>
          </w:p>
        </w:tc>
        <w:tc>
          <w:tcPr>
            <w:tcW w:w="2268" w:type="dxa"/>
            <w:shd w:val="clear" w:color="auto" w:fill="auto"/>
            <w:vAlign w:val="center"/>
          </w:tcPr>
          <w:p w14:paraId="3AC942DF">
            <w:pPr>
              <w:spacing w:line="264" w:lineRule="auto"/>
              <w:jc w:val="left"/>
              <w:rPr>
                <w:rFonts w:hint="eastAsia" w:ascii="宋体" w:hAnsi="宋体" w:eastAsia="宋体" w:cs="宋体"/>
                <w:color w:val="000000"/>
                <w:szCs w:val="21"/>
                <w:lang w:val="en-US" w:eastAsia="zh-CN"/>
              </w:rPr>
            </w:pPr>
            <w:r>
              <w:rPr>
                <w:rFonts w:hint="eastAsia" w:ascii="宋体" w:hAnsi="宋体" w:eastAsia="宋体" w:cs="宋体"/>
                <w:color w:val="000000"/>
                <w:szCs w:val="21"/>
              </w:rPr>
              <w:t>毕业要求5.班级管理毕业要求</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综合育人</w:t>
            </w:r>
          </w:p>
          <w:p w14:paraId="03BC07A6">
            <w:pPr>
              <w:spacing w:line="264" w:lineRule="auto"/>
              <w:jc w:val="left"/>
              <w:rPr>
                <w:rFonts w:ascii="宋体" w:hAnsi="宋体" w:eastAsia="宋体" w:cs="宋体"/>
                <w:color w:val="000000"/>
                <w:szCs w:val="21"/>
              </w:rPr>
            </w:pPr>
          </w:p>
        </w:tc>
        <w:tc>
          <w:tcPr>
            <w:tcW w:w="5181" w:type="dxa"/>
            <w:shd w:val="clear" w:color="auto" w:fill="auto"/>
            <w:vAlign w:val="center"/>
          </w:tcPr>
          <w:p w14:paraId="744CCABD">
            <w:pPr>
              <w:spacing w:line="264" w:lineRule="auto"/>
              <w:jc w:val="left"/>
              <w:rPr>
                <w:rFonts w:hint="eastAsia" w:ascii="宋体" w:hAnsi="宋体" w:cs="宋体"/>
                <w:sz w:val="20"/>
                <w:szCs w:val="20"/>
              </w:rPr>
            </w:pPr>
            <w:r>
              <w:rPr>
                <w:rFonts w:hint="eastAsia" w:ascii="宋体" w:hAnsi="宋体" w:cs="宋体"/>
                <w:sz w:val="20"/>
                <w:szCs w:val="20"/>
              </w:rPr>
              <w:t>指标点5-1：【擅长班队管理】获得小学班队组织与建设的体验。掌握小学班队组织与建设的工作规律和基本方法，具有班队建设和管理的基本能力。</w:t>
            </w:r>
          </w:p>
          <w:p w14:paraId="13C612DA">
            <w:pPr>
              <w:spacing w:line="264" w:lineRule="auto"/>
              <w:jc w:val="left"/>
              <w:rPr>
                <w:rFonts w:hint="eastAsia" w:ascii="宋体" w:hAnsi="宋体" w:cs="宋体"/>
                <w:sz w:val="20"/>
                <w:szCs w:val="20"/>
              </w:rPr>
            </w:pPr>
            <w:r>
              <w:rPr>
                <w:rFonts w:hint="eastAsia" w:ascii="宋体" w:hAnsi="宋体" w:cs="宋体"/>
                <w:sz w:val="20"/>
                <w:szCs w:val="20"/>
              </w:rPr>
              <w:t>指标点5-2：【强化德育地位】获得小学德育工作体验，树立德育为先的理念，熟悉小学德育的基本原理与方法。</w:t>
            </w:r>
          </w:p>
          <w:p w14:paraId="387B66B5">
            <w:pPr>
              <w:spacing w:line="264" w:lineRule="auto"/>
              <w:jc w:val="left"/>
              <w:rPr>
                <w:rFonts w:hint="eastAsia" w:ascii="宋体" w:hAnsi="宋体" w:cs="宋体"/>
                <w:sz w:val="20"/>
                <w:szCs w:val="20"/>
                <w:lang w:val="en-US" w:eastAsia="zh-CN"/>
              </w:rPr>
            </w:pPr>
            <w:r>
              <w:rPr>
                <w:rFonts w:hint="eastAsia" w:ascii="宋体" w:hAnsi="宋体" w:cs="宋体"/>
                <w:sz w:val="20"/>
                <w:szCs w:val="20"/>
                <w:lang w:val="en-US" w:eastAsia="zh-CN"/>
              </w:rPr>
              <w:t>指标点5-3：【重视心理健康教育】获得小学心理健康教育指导体验，参与组织与指导对小学生心理健康教育的科普宣传及心理辅导，掌握小学心理健康教育的基本方法。</w:t>
            </w:r>
          </w:p>
          <w:p w14:paraId="794884EA">
            <w:pPr>
              <w:spacing w:line="264" w:lineRule="auto"/>
              <w:jc w:val="left"/>
              <w:rPr>
                <w:rFonts w:hint="eastAsia" w:ascii="宋体" w:hAnsi="宋体" w:cs="宋体"/>
                <w:sz w:val="20"/>
                <w:szCs w:val="20"/>
              </w:rPr>
            </w:pPr>
            <w:r>
              <w:rPr>
                <w:rFonts w:hint="eastAsia" w:ascii="宋体" w:hAnsi="宋体" w:cs="宋体"/>
                <w:sz w:val="20"/>
                <w:szCs w:val="20"/>
              </w:rPr>
              <w:t>标点6-1：【遵循身心规律】了解不同年龄以及有特殊需要的小学生的身心发展特点和规律、不同年龄小学生学习的特点，掌握小学生良好行为习惯养成的知识。</w:t>
            </w:r>
          </w:p>
          <w:p w14:paraId="38A7F16F">
            <w:pPr>
              <w:spacing w:line="264" w:lineRule="auto"/>
              <w:jc w:val="left"/>
              <w:rPr>
                <w:rFonts w:hint="eastAsia" w:ascii="宋体" w:hAnsi="宋体" w:cs="宋体"/>
                <w:sz w:val="20"/>
                <w:szCs w:val="20"/>
              </w:rPr>
            </w:pPr>
            <w:r>
              <w:rPr>
                <w:rFonts w:hint="eastAsia" w:ascii="宋体" w:hAnsi="宋体" w:cs="宋体"/>
                <w:sz w:val="20"/>
                <w:szCs w:val="20"/>
              </w:rPr>
              <w:t>指标点6-3：【掌握育人方法】了解课外活动组织和管理知识，掌握学校文化和各类课外教育活动的育人内涵和方法，参与组织主题教育、少先队活动和社团活动，促进小学生全面、健康发展。</w:t>
            </w:r>
          </w:p>
        </w:tc>
      </w:tr>
      <w:tr w14:paraId="3744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vAlign w:val="center"/>
          </w:tcPr>
          <w:p w14:paraId="5680AC51">
            <w:pPr>
              <w:spacing w:line="264" w:lineRule="auto"/>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课程目标3</w:t>
            </w:r>
          </w:p>
        </w:tc>
        <w:tc>
          <w:tcPr>
            <w:tcW w:w="2268" w:type="dxa"/>
            <w:vAlign w:val="center"/>
          </w:tcPr>
          <w:p w14:paraId="664F79ED">
            <w:pPr>
              <w:spacing w:line="264" w:lineRule="auto"/>
              <w:jc w:val="left"/>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毕业要求6.综合育人</w:t>
            </w:r>
          </w:p>
          <w:p w14:paraId="37C8B927">
            <w:pPr>
              <w:spacing w:line="264" w:lineRule="auto"/>
              <w:jc w:val="left"/>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毕业要求8.沟通合作</w:t>
            </w:r>
          </w:p>
        </w:tc>
        <w:tc>
          <w:tcPr>
            <w:tcW w:w="5181" w:type="dxa"/>
            <w:vAlign w:val="center"/>
          </w:tcPr>
          <w:p w14:paraId="3E692583">
            <w:pPr>
              <w:spacing w:line="264" w:lineRule="auto"/>
              <w:jc w:val="left"/>
              <w:rPr>
                <w:rFonts w:hint="eastAsia" w:ascii="宋体" w:hAnsi="宋体" w:cs="宋体"/>
                <w:sz w:val="20"/>
                <w:szCs w:val="20"/>
              </w:rPr>
            </w:pPr>
            <w:r>
              <w:rPr>
                <w:rFonts w:hint="eastAsia" w:ascii="宋体" w:hAnsi="宋体" w:cs="宋体"/>
                <w:sz w:val="20"/>
                <w:szCs w:val="20"/>
              </w:rPr>
              <w:t>标点6-1：【遵循身心规律】了解不同年龄以及有特殊需要的小学生的身心发展特点和规律、不同年龄小学生学习的特点，掌握小学生良好行为习惯养成的知识。</w:t>
            </w:r>
          </w:p>
          <w:p w14:paraId="4A1AD9E8">
            <w:pPr>
              <w:spacing w:line="264" w:lineRule="auto"/>
              <w:jc w:val="left"/>
              <w:rPr>
                <w:rFonts w:hint="eastAsia" w:ascii="宋体" w:hAnsi="宋体" w:cs="宋体"/>
                <w:sz w:val="20"/>
                <w:szCs w:val="20"/>
              </w:rPr>
            </w:pPr>
            <w:r>
              <w:rPr>
                <w:rFonts w:hint="eastAsia" w:ascii="宋体" w:hAnsi="宋体" w:cs="宋体"/>
                <w:sz w:val="20"/>
                <w:szCs w:val="20"/>
              </w:rPr>
              <w:t>指标点8-1：【善于团队合作】理解学习共同体的本质和价值，掌握团队协作的基本策略，在课堂学习与教育实践中获得合作学习体验，形成团队协作精神。</w:t>
            </w:r>
          </w:p>
          <w:p w14:paraId="4E2AF28B">
            <w:pPr>
              <w:spacing w:line="264" w:lineRule="auto"/>
              <w:jc w:val="left"/>
              <w:rPr>
                <w:rFonts w:hint="eastAsia" w:ascii="宋体" w:hAnsi="宋体" w:cs="宋体"/>
                <w:sz w:val="20"/>
                <w:szCs w:val="20"/>
              </w:rPr>
            </w:pPr>
            <w:r>
              <w:rPr>
                <w:rFonts w:hint="eastAsia" w:ascii="宋体" w:hAnsi="宋体" w:cs="宋体"/>
                <w:sz w:val="20"/>
                <w:szCs w:val="20"/>
              </w:rPr>
              <w:t>指标点8-2：【学会沟通交流】掌握人际沟通合作技能与方法，能与学生和家长以及同行、同事、专家进行有效沟通与合作，实现共同发展。</w:t>
            </w:r>
          </w:p>
        </w:tc>
      </w:tr>
    </w:tbl>
    <w:p w14:paraId="156BFBDD">
      <w:pPr>
        <w:spacing w:line="360" w:lineRule="auto"/>
        <w:rPr>
          <w:rFonts w:hint="eastAsia" w:ascii="Times New Roman" w:hAnsi="Times New Roman" w:eastAsia="宋体" w:cs="Times New Roman"/>
          <w:b/>
          <w:sz w:val="28"/>
          <w:szCs w:val="28"/>
        </w:rPr>
      </w:pPr>
    </w:p>
    <w:p w14:paraId="216F9EF0">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三</w:t>
      </w:r>
      <w:r>
        <w:rPr>
          <w:rFonts w:ascii="Times New Roman" w:hAnsi="Times New Roman" w:eastAsia="宋体" w:cs="Times New Roman"/>
          <w:b/>
          <w:sz w:val="28"/>
          <w:szCs w:val="28"/>
        </w:rPr>
        <w:t>、课程内容及要求</w:t>
      </w:r>
    </w:p>
    <w:p w14:paraId="3D347C72">
      <w:pPr>
        <w:spacing w:line="360" w:lineRule="auto"/>
        <w:jc w:val="left"/>
        <w:rPr>
          <w:rFonts w:ascii="Times New Roman" w:hAnsi="Times New Roman" w:eastAsia="宋体" w:cs="Times New Roman"/>
          <w:bCs/>
          <w:kern w:val="0"/>
          <w:sz w:val="24"/>
          <w:szCs w:val="21"/>
        </w:rPr>
      </w:pPr>
      <w:r>
        <w:rPr>
          <w:rFonts w:hint="eastAsia" w:ascii="Times New Roman" w:hAnsi="Times New Roman" w:eastAsia="宋体" w:cs="Times New Roman"/>
          <w:b/>
          <w:kern w:val="0"/>
          <w:sz w:val="24"/>
          <w:szCs w:val="21"/>
        </w:rPr>
        <w:t>（一）小学班</w:t>
      </w:r>
      <w:r>
        <w:rPr>
          <w:rFonts w:hint="eastAsia" w:ascii="Times New Roman" w:hAnsi="Times New Roman" w:eastAsia="宋体" w:cs="Times New Roman"/>
          <w:b/>
          <w:kern w:val="0"/>
          <w:sz w:val="24"/>
          <w:szCs w:val="21"/>
          <w:lang w:val="en-US" w:eastAsia="zh-CN"/>
        </w:rPr>
        <w:t>队</w:t>
      </w:r>
      <w:r>
        <w:rPr>
          <w:rFonts w:hint="eastAsia" w:ascii="Times New Roman" w:hAnsi="Times New Roman" w:eastAsia="宋体" w:cs="Times New Roman"/>
          <w:b/>
          <w:kern w:val="0"/>
          <w:sz w:val="24"/>
          <w:szCs w:val="21"/>
        </w:rPr>
        <w:t>与</w:t>
      </w:r>
      <w:r>
        <w:rPr>
          <w:rFonts w:hint="eastAsia" w:ascii="Times New Roman" w:hAnsi="Times New Roman" w:eastAsia="宋体" w:cs="Times New Roman"/>
          <w:b/>
          <w:kern w:val="0"/>
          <w:sz w:val="24"/>
          <w:szCs w:val="21"/>
          <w:lang w:val="en-US" w:eastAsia="zh-CN"/>
        </w:rPr>
        <w:t>班队</w:t>
      </w:r>
      <w:r>
        <w:rPr>
          <w:rFonts w:hint="eastAsia" w:ascii="Times New Roman" w:hAnsi="Times New Roman" w:eastAsia="宋体" w:cs="Times New Roman"/>
          <w:b/>
          <w:kern w:val="0"/>
          <w:sz w:val="24"/>
          <w:szCs w:val="21"/>
        </w:rPr>
        <w:t>管理</w:t>
      </w:r>
      <w:r>
        <w:rPr>
          <w:rFonts w:hint="eastAsia" w:ascii="Times New Roman" w:hAnsi="Times New Roman" w:eastAsia="宋体" w:cs="Times New Roman"/>
          <w:bCs/>
          <w:kern w:val="0"/>
          <w:sz w:val="24"/>
          <w:szCs w:val="21"/>
        </w:rPr>
        <w:t>（本模块各知识点的讲授与学习，可以支撑课程目标1</w:t>
      </w:r>
      <w:r>
        <w:rPr>
          <w:rFonts w:hint="eastAsia" w:ascii="Times New Roman" w:hAnsi="Times New Roman" w:eastAsia="宋体" w:cs="Times New Roman"/>
          <w:bCs/>
          <w:kern w:val="0"/>
          <w:sz w:val="24"/>
          <w:szCs w:val="21"/>
          <w:lang w:eastAsia="zh-CN"/>
        </w:rPr>
        <w:t>、</w:t>
      </w:r>
      <w:r>
        <w:rPr>
          <w:rFonts w:hint="eastAsia" w:ascii="Times New Roman" w:hAnsi="Times New Roman" w:eastAsia="宋体" w:cs="Times New Roman"/>
          <w:bCs/>
          <w:kern w:val="0"/>
          <w:sz w:val="24"/>
          <w:szCs w:val="21"/>
          <w:lang w:val="en-US" w:eastAsia="zh-CN"/>
        </w:rPr>
        <w:t>2</w:t>
      </w:r>
      <w:r>
        <w:rPr>
          <w:rFonts w:hint="eastAsia" w:ascii="Times New Roman" w:hAnsi="Times New Roman" w:eastAsia="宋体" w:cs="Times New Roman"/>
          <w:bCs/>
          <w:kern w:val="0"/>
          <w:sz w:val="24"/>
          <w:szCs w:val="21"/>
        </w:rPr>
        <w:t>）</w:t>
      </w:r>
    </w:p>
    <w:p w14:paraId="46D30896">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1．教学内容</w:t>
      </w:r>
    </w:p>
    <w:p w14:paraId="3CB5C22F">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（1）小学班</w:t>
      </w:r>
      <w:r>
        <w:rPr>
          <w:rFonts w:hint="eastAsia" w:ascii="Times New Roman" w:hAnsi="Times New Roman" w:eastAsia="宋体" w:cs="Times New Roman"/>
          <w:kern w:val="0"/>
          <w:sz w:val="24"/>
          <w:szCs w:val="21"/>
          <w:lang w:val="en-US" w:eastAsia="zh-CN"/>
        </w:rPr>
        <w:t>队概述</w:t>
      </w:r>
    </w:p>
    <w:p w14:paraId="0FE77DD0">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（2）小学班</w:t>
      </w:r>
      <w:r>
        <w:rPr>
          <w:rFonts w:hint="eastAsia" w:ascii="Times New Roman" w:hAnsi="Times New Roman" w:eastAsia="宋体" w:cs="Times New Roman"/>
          <w:kern w:val="0"/>
          <w:sz w:val="24"/>
          <w:szCs w:val="21"/>
          <w:lang w:val="en-US" w:eastAsia="zh-CN"/>
        </w:rPr>
        <w:t>队管理</w:t>
      </w:r>
    </w:p>
    <w:p w14:paraId="3C875411">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（3）小学班</w:t>
      </w:r>
      <w:r>
        <w:rPr>
          <w:rFonts w:hint="eastAsia" w:ascii="Times New Roman" w:hAnsi="Times New Roman" w:eastAsia="宋体" w:cs="Times New Roman"/>
          <w:kern w:val="0"/>
          <w:sz w:val="24"/>
          <w:szCs w:val="21"/>
          <w:lang w:val="en-US" w:eastAsia="zh-CN"/>
        </w:rPr>
        <w:t>队</w:t>
      </w:r>
      <w:r>
        <w:rPr>
          <w:rFonts w:hint="eastAsia" w:ascii="Times New Roman" w:hAnsi="Times New Roman" w:eastAsia="宋体" w:cs="Times New Roman"/>
          <w:kern w:val="0"/>
          <w:sz w:val="24"/>
          <w:szCs w:val="21"/>
        </w:rPr>
        <w:t>管理</w:t>
      </w:r>
      <w:r>
        <w:rPr>
          <w:rFonts w:hint="eastAsia" w:ascii="Times New Roman" w:hAnsi="Times New Roman" w:eastAsia="宋体" w:cs="Times New Roman"/>
          <w:kern w:val="0"/>
          <w:sz w:val="24"/>
          <w:szCs w:val="21"/>
          <w:lang w:val="en-US" w:eastAsia="zh-CN"/>
        </w:rPr>
        <w:t>目标与计划</w:t>
      </w:r>
    </w:p>
    <w:p w14:paraId="71BC6DAD">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2．基本要求</w:t>
      </w:r>
    </w:p>
    <w:p w14:paraId="6CB0748E">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（1）明确班级、班级管理的概念，树立班队管理主体多元化的意识；</w:t>
      </w:r>
    </w:p>
    <w:p w14:paraId="37935F71">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（2）理解小学班级和小学班队管理的特征；</w:t>
      </w:r>
    </w:p>
    <w:p w14:paraId="0C3093F1">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（3）知道班级组织的发展现状与趋势；</w:t>
      </w:r>
    </w:p>
    <w:p w14:paraId="586CEEEF">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（4）理解与班级管理相关的理论，树立以理论指导班级管理实践的意识。</w:t>
      </w:r>
    </w:p>
    <w:p w14:paraId="51A4E90A">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小学班队管理的特征</w:t>
      </w:r>
    </w:p>
    <w:p w14:paraId="672E8AC8">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班级管理相关理论</w:t>
      </w:r>
      <w:bookmarkStart w:id="115" w:name="_Hlk55794451"/>
    </w:p>
    <w:p w14:paraId="712C4880">
      <w:pPr>
        <w:spacing w:line="360" w:lineRule="auto"/>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 xml:space="preserve">3. </w:t>
      </w:r>
      <w:r>
        <w:rPr>
          <w:rFonts w:hint="eastAsia" w:ascii="Times New Roman" w:hAnsi="Times New Roman" w:eastAsia="宋体" w:cs="Times New Roman"/>
          <w:bCs/>
          <w:color w:val="000000"/>
          <w:kern w:val="0"/>
          <w:sz w:val="24"/>
          <w:szCs w:val="21"/>
        </w:rPr>
        <w:t>课程思政育人目标</w:t>
      </w:r>
    </w:p>
    <w:p w14:paraId="4D0C8319">
      <w:pPr>
        <w:spacing w:line="360" w:lineRule="auto"/>
        <w:jc w:val="left"/>
        <w:rPr>
          <w:rFonts w:ascii="Times New Roman" w:hAnsi="Times New Roman" w:eastAsia="宋体" w:cs="Times New Roman"/>
          <w:bCs/>
          <w:color w:val="000000"/>
          <w:kern w:val="0"/>
          <w:sz w:val="24"/>
          <w:szCs w:val="21"/>
        </w:rPr>
      </w:pPr>
      <w:r>
        <w:rPr>
          <w:rFonts w:hint="eastAsia" w:ascii="Times New Roman" w:hAnsi="Times New Roman" w:eastAsia="宋体" w:cs="Times New Roman"/>
          <w:bCs/>
          <w:color w:val="000000"/>
          <w:kern w:val="0"/>
          <w:sz w:val="24"/>
          <w:szCs w:val="21"/>
        </w:rPr>
        <w:t xml:space="preserve"> </w:t>
      </w:r>
      <w:r>
        <w:rPr>
          <w:rFonts w:ascii="Times New Roman" w:hAnsi="Times New Roman" w:eastAsia="宋体" w:cs="Times New Roman"/>
          <w:bCs/>
          <w:color w:val="000000"/>
          <w:kern w:val="0"/>
          <w:sz w:val="24"/>
          <w:szCs w:val="21"/>
        </w:rPr>
        <w:t xml:space="preserve"> </w:t>
      </w:r>
      <w:r>
        <w:rPr>
          <w:rFonts w:hint="eastAsia" w:ascii="Times New Roman" w:hAnsi="Times New Roman" w:eastAsia="宋体" w:cs="Times New Roman"/>
          <w:bCs/>
          <w:color w:val="000000"/>
          <w:kern w:val="0"/>
          <w:sz w:val="24"/>
          <w:szCs w:val="21"/>
        </w:rPr>
        <w:t>理解“立德树人”的重要价值和意义，</w:t>
      </w:r>
      <w:r>
        <w:rPr>
          <w:rFonts w:hint="eastAsia" w:ascii="Times New Roman" w:hAnsi="Times New Roman" w:eastAsia="宋体" w:cs="Times New Roman"/>
          <w:kern w:val="0"/>
          <w:sz w:val="24"/>
          <w:szCs w:val="21"/>
        </w:rPr>
        <w:t>树立德育为先的理念</w:t>
      </w:r>
      <w:r>
        <w:rPr>
          <w:rFonts w:hint="eastAsia" w:ascii="Times New Roman" w:hAnsi="Times New Roman" w:eastAsia="宋体" w:cs="Times New Roman"/>
          <w:bCs/>
          <w:color w:val="000000"/>
          <w:kern w:val="0"/>
          <w:sz w:val="24"/>
          <w:szCs w:val="21"/>
        </w:rPr>
        <w:t>；准确把握教育发展规律和学生身心发展规律。</w:t>
      </w:r>
    </w:p>
    <w:bookmarkEnd w:id="115"/>
    <w:p w14:paraId="45FAC1CC">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（二）小学</w:t>
      </w:r>
      <w:bookmarkStart w:id="116" w:name="_Hlk23864088"/>
      <w:r>
        <w:rPr>
          <w:rFonts w:hint="eastAsia" w:ascii="Times New Roman" w:hAnsi="Times New Roman" w:eastAsia="宋体" w:cs="Times New Roman"/>
          <w:b/>
          <w:kern w:val="0"/>
          <w:sz w:val="24"/>
          <w:szCs w:val="21"/>
          <w:lang w:val="en-US" w:eastAsia="zh-CN"/>
        </w:rPr>
        <w:t>班队管理者</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w:t>
      </w:r>
      <w:r>
        <w:rPr>
          <w:rFonts w:hint="eastAsia" w:ascii="Times New Roman" w:hAnsi="Times New Roman" w:eastAsia="宋体" w:cs="Times New Roman"/>
          <w:bCs/>
          <w:kern w:val="0"/>
          <w:sz w:val="24"/>
          <w:szCs w:val="21"/>
        </w:rPr>
        <w:t>）</w:t>
      </w:r>
    </w:p>
    <w:bookmarkEnd w:id="116"/>
    <w:p w14:paraId="08B1D715">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1．教学内容</w:t>
      </w:r>
    </w:p>
    <w:p w14:paraId="24C06D22">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班队管理者的角色</w:t>
      </w:r>
    </w:p>
    <w:p w14:paraId="1BDC9D9E">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班队管理者的领导力及素养</w:t>
      </w:r>
    </w:p>
    <w:p w14:paraId="2E18A692">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班队管理者的专业发展</w:t>
      </w:r>
    </w:p>
    <w:p w14:paraId="72DEBF30">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2．基本要求</w:t>
      </w:r>
    </w:p>
    <w:p w14:paraId="6B61E15E">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（1）熟悉班主任的职责，明确班主任与其他班级管理主体的关系；理解班主任的职责边界；</w:t>
      </w:r>
    </w:p>
    <w:p w14:paraId="1AA6409A">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（2）理解班主任与其管理对象——小学班级及小学生的关系，树立多重角色意识；</w:t>
      </w:r>
    </w:p>
    <w:p w14:paraId="6C1CE5F0">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（3）了解班主任应享有的权利，坚定从事班主任工作的信心；</w:t>
      </w:r>
    </w:p>
    <w:p w14:paraId="06F3C461">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（4）明确班主任应具备的基本素养，促进自我专业成长。</w:t>
      </w:r>
      <w:bookmarkStart w:id="117" w:name="_Hlk23864859"/>
    </w:p>
    <w:p w14:paraId="26107E22">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小学班主任的职责</w:t>
      </w:r>
    </w:p>
    <w:p w14:paraId="3BCFC47F">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小学班主任的素养</w:t>
      </w:r>
      <w:bookmarkStart w:id="118" w:name="_Hlk55794943"/>
    </w:p>
    <w:p w14:paraId="5979E88A">
      <w:pPr>
        <w:spacing w:line="360" w:lineRule="auto"/>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 xml:space="preserve">3. </w:t>
      </w:r>
      <w:r>
        <w:rPr>
          <w:rFonts w:hint="eastAsia" w:ascii="Times New Roman" w:hAnsi="Times New Roman" w:eastAsia="宋体" w:cs="Times New Roman"/>
          <w:kern w:val="0"/>
          <w:sz w:val="24"/>
          <w:szCs w:val="21"/>
        </w:rPr>
        <w:t>课程思政育人目标</w:t>
      </w:r>
      <w:bookmarkEnd w:id="118"/>
    </w:p>
    <w:p w14:paraId="033E8C13">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bookmarkEnd w:id="117"/>
    <w:p w14:paraId="3B0A0574">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（三）</w:t>
      </w:r>
      <w:r>
        <w:rPr>
          <w:rFonts w:hint="eastAsia" w:ascii="Times New Roman" w:hAnsi="Times New Roman" w:eastAsia="宋体" w:cs="Times New Roman"/>
          <w:b/>
          <w:kern w:val="0"/>
          <w:sz w:val="24"/>
          <w:szCs w:val="21"/>
          <w:lang w:val="en-US" w:eastAsia="zh-CN"/>
        </w:rPr>
        <w:t>小学班队常规管理</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1、2</w:t>
      </w:r>
      <w:r>
        <w:rPr>
          <w:rFonts w:hint="eastAsia" w:ascii="Times New Roman" w:hAnsi="Times New Roman" w:eastAsia="宋体" w:cs="Times New Roman"/>
          <w:bCs/>
          <w:kern w:val="0"/>
          <w:sz w:val="24"/>
          <w:szCs w:val="21"/>
        </w:rPr>
        <w:t>）</w:t>
      </w:r>
    </w:p>
    <w:p w14:paraId="7370C895">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 教学内容</w:t>
      </w:r>
    </w:p>
    <w:p w14:paraId="72B8BD28">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小学班队规范的制定</w:t>
      </w:r>
    </w:p>
    <w:p w14:paraId="6B67C0AC">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小学班队常规教育</w:t>
      </w:r>
    </w:p>
    <w:p w14:paraId="7B787CCD">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教育惩戒</w:t>
      </w:r>
    </w:p>
    <w:p w14:paraId="3F6AC9DB">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 基本要求</w:t>
      </w:r>
    </w:p>
    <w:p w14:paraId="3D8C46B7">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（1）认识</w:t>
      </w:r>
      <w:r>
        <w:rPr>
          <w:rFonts w:hint="eastAsia" w:ascii="Times New Roman" w:hAnsi="Times New Roman" w:eastAsia="宋体" w:cs="Times New Roman"/>
          <w:kern w:val="0"/>
          <w:sz w:val="24"/>
          <w:szCs w:val="21"/>
          <w:lang w:val="en-US" w:eastAsia="zh-CN"/>
        </w:rPr>
        <w:t>小学班队规范的类型与内容</w:t>
      </w:r>
      <w:r>
        <w:rPr>
          <w:rFonts w:hint="eastAsia" w:ascii="Times New Roman" w:hAnsi="Times New Roman" w:eastAsia="宋体" w:cs="Times New Roman"/>
          <w:kern w:val="0"/>
          <w:sz w:val="24"/>
          <w:szCs w:val="21"/>
        </w:rPr>
        <w:t>；</w:t>
      </w:r>
    </w:p>
    <w:p w14:paraId="76336D1B">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明确小学班队规范制定</w:t>
      </w:r>
      <w:r>
        <w:rPr>
          <w:rFonts w:hint="eastAsia" w:ascii="Times New Roman" w:hAnsi="Times New Roman" w:eastAsia="宋体" w:cs="Times New Roman"/>
          <w:kern w:val="0"/>
          <w:sz w:val="24"/>
          <w:szCs w:val="21"/>
        </w:rPr>
        <w:t>的</w:t>
      </w:r>
      <w:r>
        <w:rPr>
          <w:rFonts w:hint="eastAsia" w:ascii="Times New Roman" w:hAnsi="Times New Roman" w:eastAsia="宋体" w:cs="Times New Roman"/>
          <w:kern w:val="0"/>
          <w:sz w:val="24"/>
          <w:szCs w:val="21"/>
          <w:lang w:val="en-US" w:eastAsia="zh-CN"/>
        </w:rPr>
        <w:t>要求</w:t>
      </w:r>
      <w:r>
        <w:rPr>
          <w:rFonts w:hint="eastAsia" w:ascii="Times New Roman" w:hAnsi="Times New Roman" w:eastAsia="宋体" w:cs="Times New Roman"/>
          <w:kern w:val="0"/>
          <w:sz w:val="24"/>
          <w:szCs w:val="21"/>
        </w:rPr>
        <w:t>；</w:t>
      </w:r>
    </w:p>
    <w:p w14:paraId="6434FC3B">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掌握小学班队常规教育的意义以及有效执行班规的策略；</w:t>
      </w:r>
    </w:p>
    <w:p w14:paraId="6A118FC4">
      <w:pPr>
        <w:spacing w:line="360" w:lineRule="auto"/>
        <w:jc w:val="left"/>
        <w:rPr>
          <w:rFonts w:hint="default" w:ascii="Times New Roman" w:hAnsi="Times New Roman" w:eastAsia="宋体" w:cs="Times New Roman"/>
          <w:kern w:val="0"/>
          <w:sz w:val="24"/>
          <w:szCs w:val="21"/>
          <w:lang w:val="en-US"/>
        </w:rPr>
      </w:pPr>
      <w:r>
        <w:rPr>
          <w:rFonts w:hint="eastAsia" w:ascii="Times New Roman" w:hAnsi="Times New Roman" w:eastAsia="宋体" w:cs="Times New Roman"/>
          <w:kern w:val="0"/>
          <w:sz w:val="24"/>
          <w:szCs w:val="21"/>
          <w:lang w:val="en-US" w:eastAsia="zh-CN"/>
        </w:rPr>
        <w:t>（4）理解教育惩戒的作用，知道教育惩戒的运用范围，在教育实践中能够合理运用教育惩戒</w:t>
      </w:r>
    </w:p>
    <w:p w14:paraId="2CD88AD5">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班级</w:t>
      </w:r>
      <w:r>
        <w:rPr>
          <w:rFonts w:hint="eastAsia" w:ascii="Times New Roman" w:hAnsi="Times New Roman" w:eastAsia="宋体" w:cs="Times New Roman"/>
          <w:kern w:val="0"/>
          <w:sz w:val="24"/>
          <w:szCs w:val="21"/>
          <w:lang w:val="en-US" w:eastAsia="zh-CN"/>
        </w:rPr>
        <w:t>规范的制定</w:t>
      </w:r>
    </w:p>
    <w:p w14:paraId="582CE30A">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lang w:val="en-US" w:eastAsia="zh-CN"/>
        </w:rPr>
        <w:t>教育惩戒的运用</w:t>
      </w:r>
    </w:p>
    <w:p w14:paraId="60C91953">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3</w:t>
      </w:r>
      <w:r>
        <w:rPr>
          <w:rFonts w:ascii="Times New Roman" w:hAnsi="Times New Roman" w:eastAsia="宋体" w:cs="Times New Roman"/>
          <w:b/>
          <w:bCs/>
          <w:kern w:val="0"/>
          <w:sz w:val="24"/>
          <w:szCs w:val="21"/>
        </w:rPr>
        <w:t xml:space="preserve">. </w:t>
      </w:r>
      <w:r>
        <w:rPr>
          <w:rFonts w:hint="eastAsia" w:ascii="Times New Roman" w:hAnsi="Times New Roman" w:eastAsia="宋体" w:cs="Times New Roman"/>
          <w:b/>
          <w:bCs/>
          <w:kern w:val="0"/>
          <w:sz w:val="24"/>
          <w:szCs w:val="21"/>
        </w:rPr>
        <w:t>课程思政育人目标</w:t>
      </w:r>
    </w:p>
    <w:p w14:paraId="784E02AB">
      <w:pPr>
        <w:spacing w:line="360" w:lineRule="auto"/>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了解</w:t>
      </w:r>
      <w:r>
        <w:rPr>
          <w:rFonts w:hint="eastAsia" w:ascii="Times New Roman" w:hAnsi="Times New Roman" w:eastAsia="宋体" w:cs="Times New Roman"/>
          <w:kern w:val="0"/>
          <w:sz w:val="24"/>
          <w:szCs w:val="21"/>
          <w:lang w:val="en-US" w:eastAsia="zh-CN"/>
        </w:rPr>
        <w:t>教育惩戒的作用与运用范围，遵循教育规律，正确运用教育惩戒</w:t>
      </w:r>
      <w:r>
        <w:rPr>
          <w:rFonts w:hint="eastAsia" w:ascii="Times New Roman" w:hAnsi="Times New Roman" w:eastAsia="宋体" w:cs="Times New Roman"/>
          <w:kern w:val="0"/>
          <w:sz w:val="24"/>
          <w:szCs w:val="21"/>
        </w:rPr>
        <w:t>。</w:t>
      </w:r>
    </w:p>
    <w:p w14:paraId="51BB8C08">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四</w:t>
      </w:r>
      <w:r>
        <w:rPr>
          <w:rFonts w:hint="eastAsia" w:ascii="Times New Roman" w:hAnsi="Times New Roman" w:eastAsia="宋体" w:cs="Times New Roman"/>
          <w:b/>
          <w:kern w:val="0"/>
          <w:sz w:val="24"/>
          <w:szCs w:val="21"/>
        </w:rPr>
        <w:t xml:space="preserve">） </w:t>
      </w:r>
      <w:r>
        <w:rPr>
          <w:rFonts w:hint="eastAsia" w:ascii="Times New Roman" w:hAnsi="Times New Roman" w:eastAsia="宋体" w:cs="Times New Roman"/>
          <w:b/>
          <w:kern w:val="0"/>
          <w:sz w:val="24"/>
          <w:szCs w:val="21"/>
          <w:lang w:val="en-US" w:eastAsia="zh-CN"/>
        </w:rPr>
        <w:t>小学班队组织管理</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1、2</w:t>
      </w:r>
      <w:r>
        <w:rPr>
          <w:rFonts w:hint="eastAsia" w:ascii="Times New Roman" w:hAnsi="Times New Roman" w:eastAsia="宋体" w:cs="Times New Roman"/>
          <w:bCs/>
          <w:kern w:val="0"/>
          <w:sz w:val="24"/>
          <w:szCs w:val="21"/>
        </w:rPr>
        <w:t>）</w:t>
      </w:r>
    </w:p>
    <w:p w14:paraId="4D88A81E">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 教学内容</w:t>
      </w:r>
    </w:p>
    <w:p w14:paraId="5B1D8CC4">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小学班集体的形成</w:t>
      </w:r>
    </w:p>
    <w:p w14:paraId="513C9A9B">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小学班队组织结构</w:t>
      </w:r>
    </w:p>
    <w:p w14:paraId="2BA96D1B">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非正式群体的类型与教育</w:t>
      </w:r>
    </w:p>
    <w:p w14:paraId="781B391B">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 基本要求</w:t>
      </w:r>
    </w:p>
    <w:p w14:paraId="023B541B">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掌握班级和少先队的组织结构</w:t>
      </w:r>
      <w:r>
        <w:rPr>
          <w:rFonts w:hint="eastAsia" w:ascii="Times New Roman" w:hAnsi="Times New Roman" w:eastAsia="宋体" w:cs="Times New Roman"/>
          <w:kern w:val="0"/>
          <w:sz w:val="24"/>
          <w:szCs w:val="21"/>
        </w:rPr>
        <w:t>；</w:t>
      </w:r>
    </w:p>
    <w:p w14:paraId="1262DEE4">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了解班队干部的产生方式与培养</w:t>
      </w:r>
      <w:r>
        <w:rPr>
          <w:rFonts w:hint="eastAsia" w:ascii="Times New Roman" w:hAnsi="Times New Roman" w:eastAsia="宋体" w:cs="Times New Roman"/>
          <w:kern w:val="0"/>
          <w:sz w:val="24"/>
          <w:szCs w:val="21"/>
        </w:rPr>
        <w:t xml:space="preserve">；            </w:t>
      </w:r>
    </w:p>
    <w:p w14:paraId="16C0BF79">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掌握对非正式群体的教育策略。</w:t>
      </w:r>
    </w:p>
    <w:p w14:paraId="014ADD43">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b w:val="0"/>
          <w:bCs w:val="0"/>
          <w:kern w:val="0"/>
          <w:sz w:val="24"/>
          <w:szCs w:val="21"/>
          <w:lang w:val="en-US" w:eastAsia="zh-CN"/>
        </w:rPr>
        <w:t>班队组织</w:t>
      </w:r>
      <w:r>
        <w:rPr>
          <w:rFonts w:hint="eastAsia" w:ascii="Times New Roman" w:hAnsi="Times New Roman" w:eastAsia="宋体" w:cs="Times New Roman"/>
          <w:kern w:val="0"/>
          <w:sz w:val="24"/>
          <w:szCs w:val="21"/>
        </w:rPr>
        <w:t>的</w:t>
      </w:r>
      <w:r>
        <w:rPr>
          <w:rFonts w:hint="eastAsia" w:ascii="Times New Roman" w:hAnsi="Times New Roman" w:eastAsia="宋体" w:cs="Times New Roman"/>
          <w:kern w:val="0"/>
          <w:sz w:val="24"/>
          <w:szCs w:val="21"/>
          <w:lang w:val="en-US" w:eastAsia="zh-CN"/>
        </w:rPr>
        <w:t>作用</w:t>
      </w:r>
    </w:p>
    <w:p w14:paraId="105B134D">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班级</w:t>
      </w:r>
      <w:r>
        <w:rPr>
          <w:rFonts w:hint="eastAsia" w:ascii="Times New Roman" w:hAnsi="Times New Roman" w:eastAsia="宋体" w:cs="Times New Roman"/>
          <w:kern w:val="0"/>
          <w:sz w:val="24"/>
          <w:szCs w:val="21"/>
          <w:lang w:val="en-US" w:eastAsia="zh-CN"/>
        </w:rPr>
        <w:t>组织的建设</w:t>
      </w:r>
    </w:p>
    <w:p w14:paraId="52A54B79">
      <w:pPr>
        <w:spacing w:line="360" w:lineRule="auto"/>
        <w:jc w:val="left"/>
        <w:rPr>
          <w:rFonts w:ascii="Times New Roman" w:hAnsi="Times New Roman" w:eastAsia="宋体" w:cs="Times New Roman"/>
          <w:kern w:val="0"/>
          <w:sz w:val="24"/>
          <w:szCs w:val="21"/>
        </w:rPr>
      </w:pPr>
      <w:r>
        <w:rPr>
          <w:rFonts w:ascii="Times New Roman" w:hAnsi="Times New Roman" w:eastAsia="宋体" w:cs="Times New Roman"/>
          <w:b/>
          <w:bCs/>
          <w:kern w:val="0"/>
          <w:sz w:val="24"/>
          <w:szCs w:val="21"/>
        </w:rPr>
        <w:t>3.</w:t>
      </w:r>
      <w:r>
        <w:rPr>
          <w:rFonts w:hint="eastAsia" w:ascii="Times New Roman" w:hAnsi="Times New Roman" w:eastAsia="宋体" w:cs="Times New Roman"/>
          <w:b/>
          <w:bCs/>
          <w:kern w:val="0"/>
          <w:sz w:val="24"/>
          <w:szCs w:val="21"/>
        </w:rPr>
        <w:t xml:space="preserve"> 课程思政育人目标</w:t>
      </w:r>
    </w:p>
    <w:p w14:paraId="19AC77F8">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理解</w:t>
      </w:r>
      <w:r>
        <w:rPr>
          <w:rFonts w:hint="eastAsia" w:ascii="Times New Roman" w:hAnsi="Times New Roman" w:eastAsia="宋体" w:cs="Times New Roman"/>
          <w:kern w:val="0"/>
          <w:sz w:val="24"/>
          <w:szCs w:val="21"/>
          <w:lang w:val="en-US" w:eastAsia="zh-CN"/>
        </w:rPr>
        <w:t>班队组织</w:t>
      </w:r>
      <w:r>
        <w:rPr>
          <w:rFonts w:hint="eastAsia" w:ascii="Times New Roman" w:hAnsi="Times New Roman" w:eastAsia="宋体" w:cs="Times New Roman"/>
          <w:kern w:val="0"/>
          <w:sz w:val="24"/>
          <w:szCs w:val="21"/>
        </w:rPr>
        <w:t>的价值和意义，坚定</w:t>
      </w:r>
      <w:r>
        <w:rPr>
          <w:rFonts w:hint="eastAsia" w:ascii="Times New Roman" w:hAnsi="Times New Roman" w:eastAsia="宋体" w:cs="Times New Roman"/>
          <w:kern w:val="0"/>
          <w:sz w:val="24"/>
          <w:szCs w:val="21"/>
          <w:lang w:val="en-US" w:eastAsia="zh-CN"/>
        </w:rPr>
        <w:t>学好组织建设的意识并为之而努力</w:t>
      </w:r>
      <w:r>
        <w:rPr>
          <w:rFonts w:hint="eastAsia" w:ascii="Times New Roman" w:hAnsi="Times New Roman" w:eastAsia="宋体" w:cs="Times New Roman"/>
          <w:kern w:val="0"/>
          <w:sz w:val="24"/>
          <w:szCs w:val="21"/>
        </w:rPr>
        <w:t>。</w:t>
      </w:r>
    </w:p>
    <w:p w14:paraId="481E1B04">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五</w:t>
      </w: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小学</w:t>
      </w:r>
      <w:r>
        <w:rPr>
          <w:rFonts w:hint="eastAsia" w:ascii="Times New Roman" w:hAnsi="Times New Roman" w:eastAsia="宋体" w:cs="Times New Roman"/>
          <w:b/>
          <w:kern w:val="0"/>
          <w:sz w:val="24"/>
          <w:szCs w:val="21"/>
        </w:rPr>
        <w:t>班队活动</w:t>
      </w:r>
      <w:bookmarkStart w:id="119" w:name="_Hlk23865706"/>
      <w:r>
        <w:rPr>
          <w:rFonts w:hint="eastAsia" w:ascii="Times New Roman" w:hAnsi="Times New Roman" w:eastAsia="宋体" w:cs="Times New Roman"/>
          <w:b/>
          <w:kern w:val="0"/>
          <w:sz w:val="24"/>
          <w:szCs w:val="21"/>
          <w:lang w:val="en-US" w:eastAsia="zh-CN"/>
        </w:rPr>
        <w:t>管理</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1、2</w:t>
      </w:r>
      <w:r>
        <w:rPr>
          <w:rFonts w:hint="eastAsia" w:ascii="Times New Roman" w:hAnsi="Times New Roman" w:eastAsia="宋体" w:cs="Times New Roman"/>
          <w:bCs/>
          <w:kern w:val="0"/>
          <w:sz w:val="24"/>
          <w:szCs w:val="21"/>
        </w:rPr>
        <w:t>）</w:t>
      </w:r>
    </w:p>
    <w:bookmarkEnd w:id="119"/>
    <w:p w14:paraId="2AFDA0D7">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 教学内容</w:t>
      </w:r>
    </w:p>
    <w:p w14:paraId="4504E593">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小学班队活动概述</w:t>
      </w:r>
    </w:p>
    <w:p w14:paraId="146BE5A3">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小学班队活动的类型</w:t>
      </w:r>
    </w:p>
    <w:p w14:paraId="2F7E5429">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lang w:val="en-US" w:eastAsia="zh-CN"/>
        </w:rPr>
        <w:t>（3）小学班队活动的设计与组织</w:t>
      </w:r>
    </w:p>
    <w:p w14:paraId="4FBC96EC">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 基本要求</w:t>
      </w:r>
    </w:p>
    <w:p w14:paraId="50F1111B">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（1）理解班队活动的意义，提升对班队活动价值的认识；</w:t>
      </w:r>
    </w:p>
    <w:p w14:paraId="29CE542C">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（2）初步掌握班队活动的方法和策略；</w:t>
      </w:r>
    </w:p>
    <w:p w14:paraId="6C850C31">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（3）能根据班级活动的特点及规律进行班队活动的设计。</w:t>
      </w:r>
    </w:p>
    <w:p w14:paraId="60965B8D">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班队活动设计</w:t>
      </w:r>
    </w:p>
    <w:p w14:paraId="06D7DD7F">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班队活动的价值</w:t>
      </w:r>
    </w:p>
    <w:p w14:paraId="39D78640">
      <w:pPr>
        <w:spacing w:line="360" w:lineRule="auto"/>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3</w:t>
      </w:r>
      <w:r>
        <w:rPr>
          <w:rFonts w:hint="eastAsia" w:ascii="Times New Roman" w:hAnsi="Times New Roman" w:eastAsia="宋体" w:cs="Times New Roman"/>
          <w:kern w:val="0"/>
          <w:sz w:val="24"/>
          <w:szCs w:val="21"/>
        </w:rPr>
        <w:t>. 课程思政育人目标</w:t>
      </w:r>
    </w:p>
    <w:p w14:paraId="230F3119">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理解“三全育人”的作用和价值，</w:t>
      </w:r>
      <w:r>
        <w:rPr>
          <w:rFonts w:hint="eastAsia" w:ascii="Times New Roman" w:hAnsi="Times New Roman" w:eastAsia="宋体" w:cs="Times New Roman"/>
          <w:kern w:val="0"/>
          <w:sz w:val="24"/>
          <w:szCs w:val="21"/>
          <w:lang w:val="en-US" w:eastAsia="zh-CN"/>
        </w:rPr>
        <w:t>增强团队意识、合作精神</w:t>
      </w:r>
      <w:r>
        <w:rPr>
          <w:rFonts w:hint="eastAsia" w:ascii="Times New Roman" w:hAnsi="Times New Roman" w:eastAsia="宋体" w:cs="Times New Roman"/>
          <w:kern w:val="0"/>
          <w:sz w:val="24"/>
          <w:szCs w:val="21"/>
        </w:rPr>
        <w:t>。</w:t>
      </w:r>
    </w:p>
    <w:p w14:paraId="490BA3A3">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六</w:t>
      </w:r>
      <w:r>
        <w:rPr>
          <w:rFonts w:hint="eastAsia" w:ascii="Times New Roman" w:hAnsi="Times New Roman" w:eastAsia="宋体" w:cs="Times New Roman"/>
          <w:b/>
          <w:kern w:val="0"/>
          <w:sz w:val="24"/>
          <w:szCs w:val="21"/>
        </w:rPr>
        <w:t>）</w:t>
      </w:r>
      <w:bookmarkStart w:id="120" w:name="_Hlk23865727"/>
      <w:r>
        <w:rPr>
          <w:rFonts w:hint="eastAsia" w:ascii="Times New Roman" w:hAnsi="Times New Roman" w:eastAsia="宋体" w:cs="Times New Roman"/>
          <w:b/>
          <w:kern w:val="0"/>
          <w:sz w:val="24"/>
          <w:szCs w:val="21"/>
          <w:lang w:val="en-US" w:eastAsia="zh-CN"/>
        </w:rPr>
        <w:t>小学班队环境管理</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1、2</w:t>
      </w:r>
      <w:r>
        <w:rPr>
          <w:rFonts w:hint="eastAsia" w:ascii="Times New Roman" w:hAnsi="Times New Roman" w:eastAsia="宋体" w:cs="Times New Roman"/>
          <w:bCs/>
          <w:kern w:val="0"/>
          <w:sz w:val="24"/>
          <w:szCs w:val="21"/>
        </w:rPr>
        <w:t>）</w:t>
      </w:r>
    </w:p>
    <w:bookmarkEnd w:id="120"/>
    <w:p w14:paraId="79C5CE81">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 教学内容</w:t>
      </w:r>
    </w:p>
    <w:p w14:paraId="604A7565">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教室环境布置</w:t>
      </w:r>
    </w:p>
    <w:p w14:paraId="018A80B5">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班队人际沟通</w:t>
      </w:r>
    </w:p>
    <w:p w14:paraId="7A795EDD">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班风建设</w:t>
      </w:r>
    </w:p>
    <w:p w14:paraId="3F63049F">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b/>
          <w:bCs/>
          <w:kern w:val="0"/>
          <w:sz w:val="24"/>
          <w:szCs w:val="21"/>
        </w:rPr>
        <w:t xml:space="preserve">  </w:t>
      </w:r>
      <w:r>
        <w:rPr>
          <w:rFonts w:hint="eastAsia" w:ascii="Times New Roman" w:hAnsi="Times New Roman" w:eastAsia="宋体" w:cs="Times New Roman"/>
          <w:b/>
          <w:bCs/>
          <w:kern w:val="0"/>
          <w:sz w:val="24"/>
          <w:szCs w:val="21"/>
        </w:rPr>
        <w:t>2. 基本要求</w:t>
      </w:r>
    </w:p>
    <w:p w14:paraId="41339FA0">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（1）了解</w:t>
      </w:r>
      <w:r>
        <w:rPr>
          <w:rFonts w:hint="eastAsia" w:ascii="Times New Roman" w:hAnsi="Times New Roman" w:eastAsia="宋体" w:cs="Times New Roman"/>
          <w:kern w:val="0"/>
          <w:sz w:val="24"/>
          <w:szCs w:val="21"/>
          <w:lang w:val="en-US" w:eastAsia="zh-CN"/>
        </w:rPr>
        <w:t>班队环境管理的内容</w:t>
      </w:r>
      <w:r>
        <w:rPr>
          <w:rFonts w:hint="eastAsia" w:ascii="Times New Roman" w:hAnsi="Times New Roman" w:eastAsia="宋体" w:cs="Times New Roman"/>
          <w:kern w:val="0"/>
          <w:sz w:val="24"/>
          <w:szCs w:val="21"/>
        </w:rPr>
        <w:t>；</w:t>
      </w:r>
    </w:p>
    <w:p w14:paraId="6EA88779">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了解教室环境布置的要求</w:t>
      </w:r>
      <w:r>
        <w:rPr>
          <w:rFonts w:hint="eastAsia" w:ascii="Times New Roman" w:hAnsi="Times New Roman" w:eastAsia="宋体" w:cs="Times New Roman"/>
          <w:kern w:val="0"/>
          <w:sz w:val="24"/>
          <w:szCs w:val="21"/>
        </w:rPr>
        <w:t>；</w:t>
      </w:r>
    </w:p>
    <w:p w14:paraId="597731C5">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掌握班队人际沟通方式及师生沟通中应注意的事项；</w:t>
      </w:r>
    </w:p>
    <w:p w14:paraId="6248F2CE">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lang w:val="en-US" w:eastAsia="zh-CN"/>
        </w:rPr>
        <w:t>（4）掌握班风建设的要求。</w:t>
      </w:r>
    </w:p>
    <w:p w14:paraId="7F59D670">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lang w:val="en-US" w:eastAsia="zh-CN"/>
        </w:rPr>
        <w:t>人际沟通的方式、班风建设的要点</w:t>
      </w:r>
    </w:p>
    <w:p w14:paraId="17EB62CF">
      <w:pPr>
        <w:spacing w:line="360" w:lineRule="auto"/>
        <w:jc w:val="left"/>
        <w:rPr>
          <w:rFonts w:hint="default" w:ascii="Times New Roman" w:hAnsi="Times New Roman" w:eastAsia="宋体" w:cs="Times New Roman"/>
          <w:b w:val="0"/>
          <w:bCs w:val="0"/>
          <w:kern w:val="0"/>
          <w:sz w:val="24"/>
          <w:szCs w:val="21"/>
          <w:lang w:val="en-US" w:eastAsia="zh-CN"/>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b w:val="0"/>
          <w:bCs w:val="0"/>
          <w:kern w:val="0"/>
          <w:sz w:val="24"/>
          <w:szCs w:val="21"/>
          <w:lang w:val="en-US" w:eastAsia="zh-CN"/>
        </w:rPr>
        <w:t>人际冲突的解决</w:t>
      </w:r>
    </w:p>
    <w:p w14:paraId="017F2A12">
      <w:pPr>
        <w:spacing w:line="360" w:lineRule="auto"/>
        <w:jc w:val="left"/>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3</w:t>
      </w:r>
      <w:r>
        <w:rPr>
          <w:rFonts w:hint="eastAsia" w:ascii="Times New Roman" w:hAnsi="Times New Roman" w:eastAsia="宋体" w:cs="Times New Roman"/>
          <w:b/>
          <w:bCs/>
          <w:kern w:val="0"/>
          <w:sz w:val="24"/>
          <w:szCs w:val="21"/>
        </w:rPr>
        <w:t>. 课程思政育人目标</w:t>
      </w:r>
    </w:p>
    <w:p w14:paraId="65A4361F">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理解“立德树人”的意义，</w:t>
      </w:r>
      <w:r>
        <w:rPr>
          <w:rFonts w:hint="eastAsia" w:ascii="Times New Roman" w:hAnsi="Times New Roman" w:eastAsia="宋体" w:cs="Times New Roman"/>
          <w:kern w:val="0"/>
          <w:sz w:val="24"/>
          <w:szCs w:val="21"/>
          <w:lang w:val="en-US" w:eastAsia="zh-CN"/>
        </w:rPr>
        <w:t>自觉</w:t>
      </w:r>
      <w:r>
        <w:rPr>
          <w:rFonts w:hint="eastAsia" w:ascii="Times New Roman" w:hAnsi="Times New Roman" w:eastAsia="宋体" w:cs="Times New Roman"/>
          <w:kern w:val="0"/>
          <w:sz w:val="24"/>
          <w:szCs w:val="21"/>
        </w:rPr>
        <w:t>探索儿童成长成才的规律。</w:t>
      </w:r>
    </w:p>
    <w:p w14:paraId="01AE44C8">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七</w:t>
      </w: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学生问题行为管理</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1、3</w:t>
      </w:r>
      <w:r>
        <w:rPr>
          <w:rFonts w:hint="eastAsia" w:ascii="Times New Roman" w:hAnsi="Times New Roman" w:eastAsia="宋体" w:cs="Times New Roman"/>
          <w:bCs/>
          <w:kern w:val="0"/>
          <w:sz w:val="24"/>
          <w:szCs w:val="21"/>
        </w:rPr>
        <w:t>）</w:t>
      </w:r>
    </w:p>
    <w:p w14:paraId="5834C324">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 教学内容</w:t>
      </w:r>
    </w:p>
    <w:p w14:paraId="63351CC8">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学生问题行为界定</w:t>
      </w:r>
    </w:p>
    <w:p w14:paraId="1D1B6954">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学生常见问题行为及教育</w:t>
      </w:r>
    </w:p>
    <w:p w14:paraId="28B16E39">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学生问题行为干预</w:t>
      </w:r>
    </w:p>
    <w:p w14:paraId="2D9A5E25">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 基本要求</w:t>
      </w:r>
    </w:p>
    <w:p w14:paraId="67DDC539">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了解常见的各类学生问题行为及其表现</w:t>
      </w:r>
      <w:r>
        <w:rPr>
          <w:rFonts w:hint="eastAsia" w:ascii="Times New Roman" w:hAnsi="Times New Roman" w:eastAsia="宋体" w:cs="Times New Roman"/>
          <w:kern w:val="0"/>
          <w:sz w:val="24"/>
          <w:szCs w:val="21"/>
        </w:rPr>
        <w:t>；</w:t>
      </w:r>
    </w:p>
    <w:p w14:paraId="0644D6AB">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学会判断和分析各类学生问题行为产生的原因</w:t>
      </w:r>
      <w:r>
        <w:rPr>
          <w:rFonts w:hint="eastAsia" w:ascii="Times New Roman" w:hAnsi="Times New Roman" w:eastAsia="宋体" w:cs="Times New Roman"/>
          <w:kern w:val="0"/>
          <w:sz w:val="24"/>
          <w:szCs w:val="21"/>
        </w:rPr>
        <w:t>；</w:t>
      </w:r>
    </w:p>
    <w:p w14:paraId="43B6BE56">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掌握学生问题行为干预的步骤和各种方法；</w:t>
      </w:r>
    </w:p>
    <w:p w14:paraId="5969334B">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lang w:val="en-US" w:eastAsia="zh-CN"/>
        </w:rPr>
        <w:t>（4）尝试提出解决各类学生问题行为的合理方案。</w:t>
      </w:r>
    </w:p>
    <w:p w14:paraId="6FEB32C2">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常见的各类学生问题行为</w:t>
      </w:r>
      <w:r>
        <w:rPr>
          <w:rFonts w:hint="eastAsia" w:ascii="Times New Roman" w:hAnsi="Times New Roman" w:eastAsia="宋体" w:cs="Times New Roman"/>
          <w:kern w:val="0"/>
          <w:sz w:val="24"/>
          <w:szCs w:val="21"/>
          <w:lang w:eastAsia="zh-CN"/>
        </w:rPr>
        <w:t>、</w:t>
      </w:r>
      <w:r>
        <w:rPr>
          <w:rFonts w:hint="eastAsia" w:ascii="Times New Roman" w:hAnsi="Times New Roman" w:eastAsia="宋体" w:cs="Times New Roman"/>
          <w:kern w:val="0"/>
          <w:sz w:val="24"/>
          <w:szCs w:val="21"/>
        </w:rPr>
        <w:t>表现</w:t>
      </w:r>
      <w:r>
        <w:rPr>
          <w:rFonts w:hint="eastAsia" w:ascii="Times New Roman" w:hAnsi="Times New Roman" w:eastAsia="宋体" w:cs="Times New Roman"/>
          <w:kern w:val="0"/>
          <w:sz w:val="24"/>
          <w:szCs w:val="21"/>
          <w:lang w:eastAsia="zh-CN"/>
        </w:rPr>
        <w:t>、</w:t>
      </w:r>
      <w:r>
        <w:rPr>
          <w:rFonts w:hint="eastAsia" w:ascii="Times New Roman" w:hAnsi="Times New Roman" w:eastAsia="宋体" w:cs="Times New Roman"/>
          <w:kern w:val="0"/>
          <w:sz w:val="24"/>
          <w:szCs w:val="21"/>
          <w:lang w:val="en-US" w:eastAsia="zh-CN"/>
        </w:rPr>
        <w:t>成因及干预</w:t>
      </w:r>
    </w:p>
    <w:p w14:paraId="2B5128CE">
      <w:pPr>
        <w:spacing w:line="360" w:lineRule="auto"/>
        <w:jc w:val="left"/>
        <w:rPr>
          <w:rFonts w:hint="eastAsia"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学生问题行为</w:t>
      </w:r>
      <w:r>
        <w:rPr>
          <w:rFonts w:hint="eastAsia" w:ascii="Times New Roman" w:hAnsi="Times New Roman" w:eastAsia="宋体" w:cs="Times New Roman"/>
          <w:kern w:val="0"/>
          <w:sz w:val="24"/>
          <w:szCs w:val="21"/>
          <w:lang w:eastAsia="zh-CN"/>
        </w:rPr>
        <w:t>的</w:t>
      </w:r>
      <w:r>
        <w:rPr>
          <w:rFonts w:hint="eastAsia" w:ascii="Times New Roman" w:hAnsi="Times New Roman" w:eastAsia="宋体" w:cs="Times New Roman"/>
          <w:kern w:val="0"/>
          <w:sz w:val="24"/>
          <w:szCs w:val="21"/>
        </w:rPr>
        <w:t>干预</w:t>
      </w:r>
    </w:p>
    <w:p w14:paraId="04F777C9">
      <w:pPr>
        <w:spacing w:line="360" w:lineRule="auto"/>
        <w:jc w:val="left"/>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3</w:t>
      </w:r>
      <w:r>
        <w:rPr>
          <w:rFonts w:hint="eastAsia" w:ascii="Times New Roman" w:hAnsi="Times New Roman" w:eastAsia="宋体" w:cs="Times New Roman"/>
          <w:b/>
          <w:bCs/>
          <w:kern w:val="0"/>
          <w:sz w:val="24"/>
          <w:szCs w:val="21"/>
        </w:rPr>
        <w:t>. 课程思政育人目标</w:t>
      </w:r>
    </w:p>
    <w:p w14:paraId="3949BDDC">
      <w:pPr>
        <w:spacing w:line="360" w:lineRule="auto"/>
        <w:jc w:val="left"/>
        <w:rPr>
          <w:rFonts w:ascii="Times New Roman" w:hAnsi="Times New Roman" w:eastAsia="宋体" w:cs="Times New Roman"/>
          <w:bCs/>
          <w:color w:val="000000"/>
          <w:kern w:val="0"/>
          <w:sz w:val="24"/>
          <w:szCs w:val="21"/>
        </w:rPr>
      </w:pPr>
      <w:r>
        <w:rPr>
          <w:rFonts w:hint="eastAsia" w:ascii="Times New Roman" w:hAnsi="Times New Roman" w:eastAsia="宋体" w:cs="Times New Roman"/>
          <w:bCs/>
          <w:color w:val="000000"/>
          <w:kern w:val="0"/>
          <w:sz w:val="24"/>
          <w:szCs w:val="21"/>
        </w:rPr>
        <w:t>遵循教育规律和儿童身心发展，尊重儿童个性，培养和形成正确的</w:t>
      </w:r>
      <w:r>
        <w:rPr>
          <w:rFonts w:hint="eastAsia" w:ascii="Times New Roman" w:hAnsi="Times New Roman" w:eastAsia="宋体" w:cs="Times New Roman"/>
          <w:bCs/>
          <w:color w:val="000000"/>
          <w:kern w:val="0"/>
          <w:sz w:val="24"/>
          <w:szCs w:val="21"/>
          <w:lang w:val="en-US" w:eastAsia="zh-CN"/>
        </w:rPr>
        <w:t>学生</w:t>
      </w:r>
      <w:r>
        <w:rPr>
          <w:rFonts w:hint="eastAsia" w:ascii="Times New Roman" w:hAnsi="Times New Roman" w:eastAsia="宋体" w:cs="Times New Roman"/>
          <w:bCs/>
          <w:color w:val="000000"/>
          <w:kern w:val="0"/>
          <w:sz w:val="24"/>
          <w:szCs w:val="21"/>
        </w:rPr>
        <w:t>观</w:t>
      </w:r>
      <w:r>
        <w:rPr>
          <w:rFonts w:hint="eastAsia" w:ascii="Times New Roman" w:hAnsi="Times New Roman" w:eastAsia="宋体" w:cs="Times New Roman"/>
          <w:bCs/>
          <w:color w:val="000000"/>
          <w:kern w:val="0"/>
          <w:sz w:val="24"/>
          <w:szCs w:val="21"/>
          <w:lang w:eastAsia="zh-CN"/>
        </w:rPr>
        <w:t>、</w:t>
      </w:r>
      <w:r>
        <w:rPr>
          <w:rFonts w:hint="eastAsia" w:ascii="Times New Roman" w:hAnsi="Times New Roman" w:eastAsia="宋体" w:cs="Times New Roman"/>
          <w:bCs/>
          <w:color w:val="000000"/>
          <w:kern w:val="0"/>
          <w:sz w:val="24"/>
          <w:szCs w:val="21"/>
          <w:lang w:val="en-US" w:eastAsia="zh-CN"/>
        </w:rPr>
        <w:t>教师观</w:t>
      </w:r>
      <w:r>
        <w:rPr>
          <w:rFonts w:hint="eastAsia" w:ascii="Times New Roman" w:hAnsi="Times New Roman" w:eastAsia="宋体" w:cs="Times New Roman"/>
          <w:bCs/>
          <w:color w:val="000000"/>
          <w:kern w:val="0"/>
          <w:sz w:val="24"/>
          <w:szCs w:val="21"/>
        </w:rPr>
        <w:t>，</w:t>
      </w:r>
      <w:r>
        <w:rPr>
          <w:rFonts w:hint="eastAsia" w:ascii="Times New Roman" w:hAnsi="Times New Roman" w:eastAsia="宋体" w:cs="Times New Roman"/>
          <w:bCs/>
          <w:color w:val="000000"/>
          <w:kern w:val="0"/>
          <w:sz w:val="24"/>
          <w:szCs w:val="21"/>
          <w:lang w:val="en-US" w:eastAsia="zh-CN"/>
        </w:rPr>
        <w:t>提升关爱学生，公平公正对待学生的意识</w:t>
      </w:r>
      <w:r>
        <w:rPr>
          <w:rFonts w:hint="eastAsia" w:ascii="Times New Roman" w:hAnsi="Times New Roman" w:eastAsia="宋体" w:cs="Times New Roman"/>
          <w:bCs/>
          <w:color w:val="000000"/>
          <w:kern w:val="0"/>
          <w:sz w:val="24"/>
          <w:szCs w:val="21"/>
        </w:rPr>
        <w:t>。</w:t>
      </w:r>
    </w:p>
    <w:p w14:paraId="649867B6">
      <w:pPr>
        <w:spacing w:line="360" w:lineRule="auto"/>
        <w:jc w:val="left"/>
        <w:rPr>
          <w:rFonts w:ascii="Times New Roman" w:hAnsi="Times New Roman" w:eastAsia="宋体" w:cs="Times New Roman"/>
          <w:b/>
          <w:kern w:val="0"/>
          <w:sz w:val="24"/>
          <w:szCs w:val="21"/>
        </w:rPr>
      </w:pP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八</w:t>
      </w:r>
      <w:r>
        <w:rPr>
          <w:rFonts w:hint="eastAsia" w:ascii="Times New Roman" w:hAnsi="Times New Roman" w:eastAsia="宋体" w:cs="Times New Roman"/>
          <w:b/>
          <w:kern w:val="0"/>
          <w:sz w:val="24"/>
          <w:szCs w:val="21"/>
        </w:rPr>
        <w:t>）</w:t>
      </w:r>
      <w:r>
        <w:rPr>
          <w:rFonts w:hint="eastAsia" w:ascii="Times New Roman" w:hAnsi="Times New Roman" w:eastAsia="宋体" w:cs="Times New Roman"/>
          <w:b/>
          <w:kern w:val="0"/>
          <w:sz w:val="24"/>
          <w:szCs w:val="21"/>
          <w:lang w:val="en-US" w:eastAsia="zh-CN"/>
        </w:rPr>
        <w:t>小学家校合作</w:t>
      </w:r>
      <w:r>
        <w:rPr>
          <w:rFonts w:hint="eastAsia" w:ascii="Times New Roman" w:hAnsi="Times New Roman" w:eastAsia="宋体" w:cs="Times New Roman"/>
          <w:bCs/>
          <w:kern w:val="0"/>
          <w:sz w:val="24"/>
          <w:szCs w:val="21"/>
        </w:rPr>
        <w:t>（本模块各知识点的讲授与学习，可以支撑课程目标</w:t>
      </w:r>
      <w:r>
        <w:rPr>
          <w:rFonts w:hint="eastAsia" w:ascii="Times New Roman" w:hAnsi="Times New Roman" w:eastAsia="宋体" w:cs="Times New Roman"/>
          <w:bCs/>
          <w:kern w:val="0"/>
          <w:sz w:val="24"/>
          <w:szCs w:val="21"/>
          <w:lang w:val="en-US" w:eastAsia="zh-CN"/>
        </w:rPr>
        <w:t>1、3</w:t>
      </w:r>
      <w:r>
        <w:rPr>
          <w:rFonts w:hint="eastAsia" w:ascii="Times New Roman" w:hAnsi="Times New Roman" w:eastAsia="宋体" w:cs="Times New Roman"/>
          <w:bCs/>
          <w:kern w:val="0"/>
          <w:sz w:val="24"/>
          <w:szCs w:val="21"/>
        </w:rPr>
        <w:t>）</w:t>
      </w:r>
    </w:p>
    <w:p w14:paraId="603AD6DE">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1. 教学内容</w:t>
      </w:r>
    </w:p>
    <w:p w14:paraId="597016C6">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家校合作的意义</w:t>
      </w:r>
    </w:p>
    <w:p w14:paraId="666CB159">
      <w:pPr>
        <w:spacing w:line="360" w:lineRule="auto"/>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班主任与家长沟通</w:t>
      </w:r>
    </w:p>
    <w:p w14:paraId="2777B589">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lang w:val="en-US" w:eastAsia="zh-CN"/>
        </w:rPr>
        <w:t>（3）家校合作的方式</w:t>
      </w:r>
    </w:p>
    <w:p w14:paraId="57E904C0">
      <w:pPr>
        <w:spacing w:line="360" w:lineRule="auto"/>
        <w:jc w:val="left"/>
        <w:rPr>
          <w:rFonts w:ascii="Times New Roman" w:hAnsi="Times New Roman" w:eastAsia="宋体" w:cs="Times New Roman"/>
          <w:b/>
          <w:bCs/>
          <w:kern w:val="0"/>
          <w:sz w:val="24"/>
          <w:szCs w:val="21"/>
        </w:rPr>
      </w:pPr>
      <w:r>
        <w:rPr>
          <w:rFonts w:hint="eastAsia" w:ascii="Times New Roman" w:hAnsi="Times New Roman" w:eastAsia="宋体" w:cs="Times New Roman"/>
          <w:b/>
          <w:bCs/>
          <w:kern w:val="0"/>
          <w:sz w:val="24"/>
          <w:szCs w:val="21"/>
        </w:rPr>
        <w:t>2. 基本要求</w:t>
      </w:r>
    </w:p>
    <w:p w14:paraId="457202F9">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kern w:val="0"/>
          <w:sz w:val="24"/>
          <w:szCs w:val="21"/>
          <w:lang w:val="en-US" w:eastAsia="zh-CN"/>
        </w:rPr>
        <w:t>明确家校合作的意义</w:t>
      </w:r>
      <w:r>
        <w:rPr>
          <w:rFonts w:hint="eastAsia" w:ascii="Times New Roman" w:hAnsi="Times New Roman" w:eastAsia="宋体" w:cs="Times New Roman"/>
          <w:kern w:val="0"/>
          <w:sz w:val="24"/>
          <w:szCs w:val="21"/>
        </w:rPr>
        <w:t>；</w:t>
      </w:r>
    </w:p>
    <w:p w14:paraId="78004C9D">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了解班主任与家长沟通的目的、方式及注意事项</w:t>
      </w:r>
      <w:r>
        <w:rPr>
          <w:rFonts w:hint="eastAsia" w:ascii="Times New Roman" w:hAnsi="Times New Roman" w:eastAsia="宋体" w:cs="Times New Roman"/>
          <w:kern w:val="0"/>
          <w:sz w:val="24"/>
          <w:szCs w:val="21"/>
        </w:rPr>
        <w:t>；</w:t>
      </w:r>
    </w:p>
    <w:p w14:paraId="30261EE0">
      <w:pPr>
        <w:spacing w:line="360" w:lineRule="auto"/>
        <w:jc w:val="left"/>
        <w:rPr>
          <w:rFonts w:hint="default"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（3）</w:t>
      </w:r>
      <w:r>
        <w:rPr>
          <w:rFonts w:hint="eastAsia" w:ascii="Times New Roman" w:hAnsi="Times New Roman" w:eastAsia="宋体" w:cs="Times New Roman"/>
          <w:kern w:val="0"/>
          <w:sz w:val="24"/>
          <w:szCs w:val="21"/>
          <w:lang w:val="en-US" w:eastAsia="zh-CN"/>
        </w:rPr>
        <w:t>学会判断班主任与家长产生冲突的原因并尝试提出解决方案</w:t>
      </w:r>
    </w:p>
    <w:p w14:paraId="094638D1">
      <w:pPr>
        <w:spacing w:line="360" w:lineRule="auto"/>
        <w:jc w:val="lef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b/>
          <w:bCs/>
          <w:kern w:val="0"/>
          <w:sz w:val="24"/>
          <w:szCs w:val="21"/>
        </w:rPr>
        <w:t>教学重点：</w:t>
      </w:r>
      <w:r>
        <w:rPr>
          <w:rFonts w:hint="eastAsia" w:ascii="Times New Roman" w:hAnsi="Times New Roman" w:eastAsia="宋体" w:cs="Times New Roman"/>
          <w:kern w:val="0"/>
          <w:sz w:val="24"/>
          <w:szCs w:val="21"/>
        </w:rPr>
        <w:t>班主任与家长沟通的目的、方式及注意事项</w:t>
      </w:r>
      <w:r>
        <w:rPr>
          <w:rFonts w:hint="eastAsia" w:ascii="Times New Roman" w:hAnsi="Times New Roman" w:eastAsia="宋体" w:cs="Times New Roman"/>
          <w:kern w:val="0"/>
          <w:sz w:val="24"/>
          <w:szCs w:val="21"/>
          <w:lang w:eastAsia="zh-CN"/>
        </w:rPr>
        <w:t>；班主任与家长产生冲突的原因、解决方案</w:t>
      </w:r>
    </w:p>
    <w:p w14:paraId="4FDB3CC9">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b/>
          <w:bCs/>
          <w:kern w:val="0"/>
          <w:sz w:val="24"/>
          <w:szCs w:val="21"/>
        </w:rPr>
        <w:t>教学难点：</w:t>
      </w:r>
      <w:r>
        <w:rPr>
          <w:rFonts w:hint="eastAsia" w:ascii="Times New Roman" w:hAnsi="Times New Roman" w:eastAsia="宋体" w:cs="Times New Roman"/>
          <w:kern w:val="0"/>
          <w:sz w:val="24"/>
          <w:szCs w:val="21"/>
        </w:rPr>
        <w:t xml:space="preserve"> 班主任与家长</w:t>
      </w:r>
      <w:r>
        <w:rPr>
          <w:rFonts w:hint="eastAsia" w:ascii="Times New Roman" w:hAnsi="Times New Roman" w:eastAsia="宋体" w:cs="Times New Roman"/>
          <w:kern w:val="0"/>
          <w:sz w:val="24"/>
          <w:szCs w:val="21"/>
          <w:lang w:val="en-US" w:eastAsia="zh-CN"/>
        </w:rPr>
        <w:t>分歧的</w:t>
      </w:r>
      <w:r>
        <w:rPr>
          <w:rFonts w:hint="eastAsia" w:ascii="Times New Roman" w:hAnsi="Times New Roman" w:eastAsia="宋体" w:cs="Times New Roman"/>
          <w:kern w:val="0"/>
          <w:sz w:val="24"/>
          <w:szCs w:val="21"/>
        </w:rPr>
        <w:t>解决方案</w:t>
      </w:r>
    </w:p>
    <w:p w14:paraId="79DCF63C">
      <w:pPr>
        <w:spacing w:line="360" w:lineRule="auto"/>
        <w:jc w:val="left"/>
        <w:rPr>
          <w:rFonts w:ascii="Times New Roman" w:hAnsi="Times New Roman" w:eastAsia="宋体" w:cs="Times New Roman"/>
          <w:b/>
          <w:bCs/>
          <w:kern w:val="0"/>
          <w:sz w:val="24"/>
          <w:szCs w:val="21"/>
        </w:rPr>
      </w:pPr>
      <w:r>
        <w:rPr>
          <w:rFonts w:ascii="Times New Roman" w:hAnsi="Times New Roman" w:eastAsia="宋体" w:cs="Times New Roman"/>
          <w:b/>
          <w:bCs/>
          <w:kern w:val="0"/>
          <w:sz w:val="24"/>
          <w:szCs w:val="21"/>
        </w:rPr>
        <w:t>3.</w:t>
      </w:r>
      <w:r>
        <w:rPr>
          <w:rFonts w:hint="eastAsia" w:ascii="Times New Roman" w:hAnsi="Times New Roman" w:eastAsia="宋体" w:cs="Times New Roman"/>
          <w:b/>
          <w:bCs/>
          <w:kern w:val="0"/>
          <w:sz w:val="24"/>
          <w:szCs w:val="21"/>
        </w:rPr>
        <w:t>课程思政育人目标</w:t>
      </w:r>
    </w:p>
    <w:p w14:paraId="2F3B9960">
      <w:pPr>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深刻理解</w:t>
      </w:r>
      <w:r>
        <w:rPr>
          <w:rFonts w:hint="eastAsia" w:ascii="Times New Roman" w:hAnsi="Times New Roman" w:eastAsia="宋体" w:cs="Times New Roman"/>
          <w:kern w:val="0"/>
          <w:sz w:val="24"/>
          <w:szCs w:val="21"/>
          <w:lang w:val="en-US" w:eastAsia="zh-CN"/>
        </w:rPr>
        <w:t>家校合作的意义</w:t>
      </w:r>
      <w:r>
        <w:rPr>
          <w:rFonts w:hint="eastAsia" w:ascii="Times New Roman" w:hAnsi="Times New Roman" w:eastAsia="宋体" w:cs="Times New Roman"/>
          <w:kern w:val="0"/>
          <w:sz w:val="24"/>
          <w:szCs w:val="21"/>
        </w:rPr>
        <w:t>，</w:t>
      </w:r>
      <w:r>
        <w:rPr>
          <w:rFonts w:hint="eastAsia" w:ascii="Times New Roman" w:hAnsi="Times New Roman" w:eastAsia="宋体" w:cs="Times New Roman"/>
          <w:kern w:val="0"/>
          <w:sz w:val="24"/>
          <w:szCs w:val="21"/>
          <w:lang w:val="en-US" w:eastAsia="zh-CN"/>
        </w:rPr>
        <w:t>增强家校共育的大局意识、合作精神、敬业精神</w:t>
      </w:r>
      <w:r>
        <w:rPr>
          <w:rFonts w:hint="eastAsia" w:ascii="Times New Roman" w:hAnsi="Times New Roman" w:eastAsia="宋体" w:cs="Times New Roman"/>
          <w:kern w:val="0"/>
          <w:sz w:val="24"/>
          <w:szCs w:val="21"/>
        </w:rPr>
        <w:t>。</w:t>
      </w:r>
    </w:p>
    <w:p w14:paraId="7448853F">
      <w:pPr>
        <w:spacing w:line="360" w:lineRule="auto"/>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教学内容与</w:t>
      </w:r>
      <w:r>
        <w:rPr>
          <w:rFonts w:ascii="Times New Roman" w:hAnsi="Times New Roman" w:eastAsia="宋体" w:cs="Times New Roman"/>
          <w:b/>
          <w:color w:val="000000"/>
          <w:sz w:val="24"/>
          <w:szCs w:val="24"/>
        </w:rPr>
        <w:t>课程目标的</w:t>
      </w:r>
      <w:r>
        <w:rPr>
          <w:rFonts w:hint="eastAsia" w:ascii="Times New Roman" w:hAnsi="Times New Roman" w:eastAsia="宋体" w:cs="Times New Roman"/>
          <w:b/>
          <w:color w:val="000000"/>
          <w:sz w:val="24"/>
          <w:szCs w:val="24"/>
        </w:rPr>
        <w:t>对应关系及</w:t>
      </w:r>
      <w:r>
        <w:rPr>
          <w:rFonts w:ascii="Times New Roman" w:hAnsi="Times New Roman" w:eastAsia="宋体" w:cs="Times New Roman"/>
          <w:b/>
          <w:color w:val="000000"/>
          <w:sz w:val="24"/>
          <w:szCs w:val="24"/>
        </w:rPr>
        <w:t>学时分配</w:t>
      </w:r>
      <w:r>
        <w:rPr>
          <w:rFonts w:hint="eastAsia" w:ascii="Times New Roman" w:hAnsi="Times New Roman" w:eastAsia="宋体" w:cs="Times New Roman"/>
          <w:b/>
          <w:color w:val="000000"/>
          <w:sz w:val="24"/>
          <w:szCs w:val="24"/>
        </w:rPr>
        <w:t>如表所示。</w:t>
      </w:r>
    </w:p>
    <w:tbl>
      <w:tblPr>
        <w:tblStyle w:val="3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528"/>
        <w:gridCol w:w="2033"/>
        <w:gridCol w:w="2537"/>
        <w:gridCol w:w="735"/>
        <w:gridCol w:w="735"/>
      </w:tblGrid>
      <w:tr w14:paraId="1245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shd w:val="clear" w:color="auto" w:fill="FFFFFF"/>
            <w:vAlign w:val="center"/>
          </w:tcPr>
          <w:p w14:paraId="6144A34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2528" w:type="dxa"/>
            <w:shd w:val="clear" w:color="auto" w:fill="FFFFFF"/>
            <w:vAlign w:val="center"/>
          </w:tcPr>
          <w:p w14:paraId="3C611C4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2033" w:type="dxa"/>
            <w:shd w:val="clear" w:color="auto" w:fill="FFFFFF"/>
            <w:vAlign w:val="center"/>
          </w:tcPr>
          <w:p w14:paraId="49AB2C2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课程目标</w:t>
            </w:r>
          </w:p>
        </w:tc>
        <w:tc>
          <w:tcPr>
            <w:tcW w:w="2537" w:type="dxa"/>
            <w:shd w:val="clear" w:color="auto" w:fill="FFFFFF"/>
            <w:vAlign w:val="center"/>
          </w:tcPr>
          <w:p w14:paraId="23D97AC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w:t>
            </w:r>
          </w:p>
          <w:p w14:paraId="29F836C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7D5F45A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c>
          <w:tcPr>
            <w:tcW w:w="735" w:type="dxa"/>
            <w:shd w:val="clear" w:color="auto" w:fill="FFFFFF"/>
            <w:vAlign w:val="center"/>
          </w:tcPr>
          <w:p w14:paraId="1E96F04F">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实践</w:t>
            </w:r>
            <w:r>
              <w:rPr>
                <w:rFonts w:ascii="Times New Roman" w:hAnsi="Times New Roman" w:eastAsia="宋体" w:cs="Times New Roman"/>
                <w:color w:val="000000"/>
                <w:szCs w:val="21"/>
              </w:rPr>
              <w:t>学时</w:t>
            </w:r>
          </w:p>
        </w:tc>
      </w:tr>
      <w:tr w14:paraId="766E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2ED54CE3">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528" w:type="dxa"/>
            <w:vAlign w:val="center"/>
          </w:tcPr>
          <w:p w14:paraId="4A93627F">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小学班级与班级管理</w:t>
            </w:r>
          </w:p>
        </w:tc>
        <w:tc>
          <w:tcPr>
            <w:tcW w:w="2033" w:type="dxa"/>
            <w:vAlign w:val="center"/>
          </w:tcPr>
          <w:p w14:paraId="63431B13">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szCs w:val="21"/>
              </w:rPr>
              <w:t xml:space="preserve"> 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p>
        </w:tc>
        <w:tc>
          <w:tcPr>
            <w:tcW w:w="2537" w:type="dxa"/>
            <w:vAlign w:val="center"/>
          </w:tcPr>
          <w:p w14:paraId="62439EF8">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w:t>
            </w:r>
          </w:p>
        </w:tc>
        <w:tc>
          <w:tcPr>
            <w:tcW w:w="735" w:type="dxa"/>
            <w:vAlign w:val="center"/>
          </w:tcPr>
          <w:p w14:paraId="0F4FEE60">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172E50D1">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r>
      <w:tr w14:paraId="011E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5EB71D72">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2528" w:type="dxa"/>
            <w:vAlign w:val="center"/>
          </w:tcPr>
          <w:p w14:paraId="20AD8606">
            <w:pPr>
              <w:jc w:val="left"/>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rPr>
              <w:t>小学</w:t>
            </w:r>
            <w:r>
              <w:rPr>
                <w:rFonts w:hint="eastAsia" w:ascii="Times New Roman" w:hAnsi="Times New Roman" w:eastAsia="宋体" w:cs="Times New Roman"/>
                <w:color w:val="000000"/>
                <w:szCs w:val="21"/>
                <w:lang w:val="en-US" w:eastAsia="zh-CN"/>
              </w:rPr>
              <w:t>班队管理者</w:t>
            </w:r>
          </w:p>
        </w:tc>
        <w:tc>
          <w:tcPr>
            <w:tcW w:w="2033" w:type="dxa"/>
            <w:vAlign w:val="center"/>
          </w:tcPr>
          <w:p w14:paraId="4297CEBF">
            <w:pPr>
              <w:jc w:val="center"/>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w:t>
            </w:r>
          </w:p>
        </w:tc>
        <w:tc>
          <w:tcPr>
            <w:tcW w:w="2537" w:type="dxa"/>
            <w:vAlign w:val="center"/>
          </w:tcPr>
          <w:p w14:paraId="192B08B9">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w:t>
            </w:r>
          </w:p>
        </w:tc>
        <w:tc>
          <w:tcPr>
            <w:tcW w:w="735" w:type="dxa"/>
            <w:vAlign w:val="center"/>
          </w:tcPr>
          <w:p w14:paraId="6EEA078A">
            <w:pPr>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val="en-US" w:eastAsia="zh-CN"/>
              </w:rPr>
              <w:t>3</w:t>
            </w:r>
          </w:p>
        </w:tc>
        <w:tc>
          <w:tcPr>
            <w:tcW w:w="735" w:type="dxa"/>
            <w:vAlign w:val="center"/>
          </w:tcPr>
          <w:p w14:paraId="65E8CC4C">
            <w:pPr>
              <w:jc w:val="center"/>
              <w:rPr>
                <w:rFonts w:hint="eastAsia" w:ascii="Times New Roman" w:hAnsi="Times New Roman" w:eastAsia="宋体" w:cs="Times New Roman"/>
                <w:szCs w:val="21"/>
                <w:lang w:val="en-US" w:eastAsia="zh-CN"/>
              </w:rPr>
            </w:pPr>
          </w:p>
        </w:tc>
      </w:tr>
      <w:tr w14:paraId="581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2F2C118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2528" w:type="dxa"/>
            <w:vAlign w:val="center"/>
          </w:tcPr>
          <w:p w14:paraId="3D613E3E">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小学班队常规管理</w:t>
            </w:r>
          </w:p>
        </w:tc>
        <w:tc>
          <w:tcPr>
            <w:tcW w:w="2033" w:type="dxa"/>
            <w:vAlign w:val="center"/>
          </w:tcPr>
          <w:p w14:paraId="2FB76188">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1、2</w:t>
            </w:r>
          </w:p>
        </w:tc>
        <w:tc>
          <w:tcPr>
            <w:tcW w:w="2537" w:type="dxa"/>
            <w:vAlign w:val="center"/>
          </w:tcPr>
          <w:p w14:paraId="3EB3CD80">
            <w:pPr>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w:t>
            </w:r>
            <w:r>
              <w:rPr>
                <w:rFonts w:hint="eastAsia" w:ascii="Times New Roman" w:hAnsi="Times New Roman" w:eastAsia="宋体" w:cs="Times New Roman"/>
                <w:szCs w:val="21"/>
              </w:rPr>
              <w:t>5</w:t>
            </w:r>
          </w:p>
        </w:tc>
        <w:tc>
          <w:tcPr>
            <w:tcW w:w="735" w:type="dxa"/>
            <w:vAlign w:val="center"/>
          </w:tcPr>
          <w:p w14:paraId="38F55095">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c>
          <w:tcPr>
            <w:tcW w:w="735" w:type="dxa"/>
            <w:vAlign w:val="center"/>
          </w:tcPr>
          <w:p w14:paraId="2C864C6C">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5FDA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561ABD15">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2528" w:type="dxa"/>
            <w:vAlign w:val="center"/>
          </w:tcPr>
          <w:p w14:paraId="6784D721">
            <w:pPr>
              <w:jc w:val="left"/>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小学班队组织管理</w:t>
            </w:r>
          </w:p>
        </w:tc>
        <w:tc>
          <w:tcPr>
            <w:tcW w:w="2033" w:type="dxa"/>
            <w:vAlign w:val="center"/>
          </w:tcPr>
          <w:p w14:paraId="1B2A7497">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1、2</w:t>
            </w:r>
          </w:p>
        </w:tc>
        <w:tc>
          <w:tcPr>
            <w:tcW w:w="2537" w:type="dxa"/>
            <w:vAlign w:val="center"/>
          </w:tcPr>
          <w:p w14:paraId="7BBBF80B">
            <w:pPr>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w:t>
            </w:r>
            <w:r>
              <w:rPr>
                <w:rFonts w:hint="eastAsia" w:ascii="Times New Roman" w:hAnsi="Times New Roman" w:eastAsia="宋体" w:cs="Times New Roman"/>
                <w:szCs w:val="21"/>
              </w:rPr>
              <w:t>5</w:t>
            </w:r>
          </w:p>
        </w:tc>
        <w:tc>
          <w:tcPr>
            <w:tcW w:w="735" w:type="dxa"/>
            <w:vAlign w:val="center"/>
          </w:tcPr>
          <w:p w14:paraId="5C827806">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c>
          <w:tcPr>
            <w:tcW w:w="735" w:type="dxa"/>
            <w:vAlign w:val="center"/>
          </w:tcPr>
          <w:p w14:paraId="5A296CE7">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22B4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079F009D">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2528" w:type="dxa"/>
            <w:vAlign w:val="center"/>
          </w:tcPr>
          <w:p w14:paraId="381927AE">
            <w:pPr>
              <w:jc w:val="left"/>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小学班队活动管理</w:t>
            </w:r>
          </w:p>
        </w:tc>
        <w:tc>
          <w:tcPr>
            <w:tcW w:w="2033" w:type="dxa"/>
            <w:vAlign w:val="center"/>
          </w:tcPr>
          <w:p w14:paraId="46F47A64">
            <w:pPr>
              <w:jc w:val="center"/>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lang w:val="en-US" w:eastAsia="zh-CN"/>
              </w:rPr>
              <w:t>1、2</w:t>
            </w:r>
          </w:p>
        </w:tc>
        <w:tc>
          <w:tcPr>
            <w:tcW w:w="2537" w:type="dxa"/>
            <w:vAlign w:val="center"/>
          </w:tcPr>
          <w:p w14:paraId="277DF2A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1、2、5、6</w:t>
            </w:r>
          </w:p>
        </w:tc>
        <w:tc>
          <w:tcPr>
            <w:tcW w:w="735" w:type="dxa"/>
            <w:vAlign w:val="center"/>
          </w:tcPr>
          <w:p w14:paraId="79CDAB3F">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c>
          <w:tcPr>
            <w:tcW w:w="735" w:type="dxa"/>
            <w:vAlign w:val="center"/>
          </w:tcPr>
          <w:p w14:paraId="63E6EEFA">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r>
      <w:tr w14:paraId="27C6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360A1F85">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2528" w:type="dxa"/>
            <w:vAlign w:val="center"/>
          </w:tcPr>
          <w:p w14:paraId="668BD3A8">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小学班队环境管理</w:t>
            </w:r>
          </w:p>
        </w:tc>
        <w:tc>
          <w:tcPr>
            <w:tcW w:w="2033" w:type="dxa"/>
            <w:vAlign w:val="center"/>
          </w:tcPr>
          <w:p w14:paraId="124FAA3E">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 xml:space="preserve"> </w:t>
            </w:r>
            <w:r>
              <w:rPr>
                <w:rFonts w:hint="eastAsia" w:ascii="Times New Roman" w:hAnsi="Times New Roman" w:eastAsia="宋体" w:cs="Times New Roman"/>
                <w:szCs w:val="21"/>
                <w:lang w:val="en-US" w:eastAsia="zh-CN"/>
              </w:rPr>
              <w:t>1、2</w:t>
            </w:r>
          </w:p>
        </w:tc>
        <w:tc>
          <w:tcPr>
            <w:tcW w:w="2537" w:type="dxa"/>
            <w:vAlign w:val="center"/>
          </w:tcPr>
          <w:p w14:paraId="02A07715">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1、2、5、6</w:t>
            </w:r>
          </w:p>
        </w:tc>
        <w:tc>
          <w:tcPr>
            <w:tcW w:w="735" w:type="dxa"/>
            <w:vAlign w:val="center"/>
          </w:tcPr>
          <w:p w14:paraId="6D395765">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3</w:t>
            </w:r>
          </w:p>
        </w:tc>
        <w:tc>
          <w:tcPr>
            <w:tcW w:w="735" w:type="dxa"/>
            <w:vAlign w:val="center"/>
          </w:tcPr>
          <w:p w14:paraId="449BF24E">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r>
      <w:tr w14:paraId="51E1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442A7882">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7 </w:t>
            </w:r>
          </w:p>
        </w:tc>
        <w:tc>
          <w:tcPr>
            <w:tcW w:w="2528" w:type="dxa"/>
            <w:vAlign w:val="center"/>
          </w:tcPr>
          <w:p w14:paraId="7380C837">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学生问题行为管理</w:t>
            </w:r>
          </w:p>
        </w:tc>
        <w:tc>
          <w:tcPr>
            <w:tcW w:w="2033" w:type="dxa"/>
            <w:vAlign w:val="center"/>
          </w:tcPr>
          <w:p w14:paraId="6F186D27">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lang w:val="en-US" w:eastAsia="zh-CN"/>
              </w:rPr>
              <w:t>1、3</w:t>
            </w:r>
          </w:p>
        </w:tc>
        <w:tc>
          <w:tcPr>
            <w:tcW w:w="2537" w:type="dxa"/>
            <w:vAlign w:val="center"/>
          </w:tcPr>
          <w:p w14:paraId="7848119E">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1、2、6</w:t>
            </w:r>
          </w:p>
        </w:tc>
        <w:tc>
          <w:tcPr>
            <w:tcW w:w="735" w:type="dxa"/>
            <w:vAlign w:val="center"/>
          </w:tcPr>
          <w:p w14:paraId="29B6C82F">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0F10E703">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14:paraId="65B5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Align w:val="center"/>
          </w:tcPr>
          <w:p w14:paraId="0B9CE8BA">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2528" w:type="dxa"/>
            <w:vAlign w:val="center"/>
          </w:tcPr>
          <w:p w14:paraId="137486CF">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小学家校合作</w:t>
            </w:r>
          </w:p>
        </w:tc>
        <w:tc>
          <w:tcPr>
            <w:tcW w:w="2033" w:type="dxa"/>
            <w:vAlign w:val="center"/>
          </w:tcPr>
          <w:p w14:paraId="7FA2B008">
            <w:pPr>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lang w:val="en-US" w:eastAsia="zh-CN"/>
              </w:rPr>
              <w:t>1、3</w:t>
            </w:r>
          </w:p>
        </w:tc>
        <w:tc>
          <w:tcPr>
            <w:tcW w:w="2537" w:type="dxa"/>
            <w:vAlign w:val="center"/>
          </w:tcPr>
          <w:p w14:paraId="45728758">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毕业要求</w:t>
            </w:r>
            <w:r>
              <w:rPr>
                <w:rFonts w:hint="eastAsia" w:ascii="Times New Roman" w:hAnsi="Times New Roman" w:eastAsia="宋体" w:cs="Times New Roman"/>
                <w:szCs w:val="21"/>
                <w:lang w:val="en-US" w:eastAsia="zh-CN"/>
              </w:rPr>
              <w:t>1、2、8</w:t>
            </w:r>
          </w:p>
        </w:tc>
        <w:tc>
          <w:tcPr>
            <w:tcW w:w="735" w:type="dxa"/>
            <w:vAlign w:val="center"/>
          </w:tcPr>
          <w:p w14:paraId="459A4E9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35" w:type="dxa"/>
            <w:vAlign w:val="center"/>
          </w:tcPr>
          <w:p w14:paraId="176E71FE">
            <w:pPr>
              <w:jc w:val="center"/>
              <w:rPr>
                <w:rFonts w:hint="eastAsia" w:ascii="Times New Roman" w:hAnsi="Times New Roman" w:eastAsia="宋体" w:cs="Times New Roman"/>
                <w:szCs w:val="21"/>
                <w:lang w:val="en-US" w:eastAsia="zh-CN"/>
              </w:rPr>
            </w:pPr>
          </w:p>
        </w:tc>
      </w:tr>
      <w:tr w14:paraId="411B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0" w:type="dxa"/>
            <w:gridSpan w:val="4"/>
            <w:vAlign w:val="center"/>
          </w:tcPr>
          <w:p w14:paraId="58439E73">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39661381">
            <w:pPr>
              <w:jc w:val="center"/>
              <w:rPr>
                <w:rFonts w:ascii="Times New Roman" w:hAnsi="Times New Roman" w:eastAsia="宋体" w:cs="Times New Roman"/>
                <w:szCs w:val="21"/>
              </w:rPr>
            </w:pPr>
            <w:r>
              <w:rPr>
                <w:rFonts w:hint="eastAsia" w:ascii="Times New Roman" w:hAnsi="Times New Roman" w:eastAsia="宋体" w:cs="Times New Roman"/>
                <w:szCs w:val="21"/>
              </w:rPr>
              <w:t>24</w:t>
            </w:r>
          </w:p>
        </w:tc>
        <w:tc>
          <w:tcPr>
            <w:tcW w:w="735" w:type="dxa"/>
            <w:vAlign w:val="center"/>
          </w:tcPr>
          <w:p w14:paraId="550B927F">
            <w:pPr>
              <w:jc w:val="center"/>
              <w:rPr>
                <w:rFonts w:ascii="Times New Roman" w:hAnsi="Times New Roman" w:eastAsia="宋体" w:cs="Times New Roman"/>
                <w:szCs w:val="21"/>
              </w:rPr>
            </w:pPr>
            <w:r>
              <w:rPr>
                <w:rFonts w:hint="eastAsia" w:ascii="Times New Roman" w:hAnsi="Times New Roman" w:eastAsia="宋体" w:cs="Times New Roman"/>
                <w:szCs w:val="21"/>
              </w:rPr>
              <w:t>8</w:t>
            </w:r>
          </w:p>
        </w:tc>
      </w:tr>
    </w:tbl>
    <w:p w14:paraId="6D2602E4">
      <w:pPr>
        <w:spacing w:line="360" w:lineRule="auto"/>
        <w:rPr>
          <w:rFonts w:ascii="宋体" w:hAnsi="宋体" w:eastAsia="宋体" w:cs="Times New Roman"/>
          <w:b/>
          <w:color w:val="000000"/>
          <w:sz w:val="28"/>
          <w:szCs w:val="28"/>
        </w:rPr>
      </w:pPr>
      <w:r>
        <w:rPr>
          <w:rFonts w:hint="eastAsia" w:ascii="宋体" w:hAnsi="宋体" w:eastAsia="宋体" w:cs="Times New Roman"/>
          <w:b/>
          <w:color w:val="000000"/>
          <w:sz w:val="28"/>
          <w:szCs w:val="28"/>
        </w:rPr>
        <w:t>四、课内实践</w:t>
      </w:r>
    </w:p>
    <w:tbl>
      <w:tblPr>
        <w:tblStyle w:val="3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56"/>
        <w:gridCol w:w="4139"/>
        <w:gridCol w:w="1134"/>
        <w:gridCol w:w="567"/>
        <w:gridCol w:w="851"/>
        <w:gridCol w:w="766"/>
      </w:tblGrid>
      <w:tr w14:paraId="0379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1F3ACE2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1156" w:type="dxa"/>
            <w:shd w:val="clear" w:color="auto" w:fill="FFFFFF"/>
            <w:vAlign w:val="center"/>
          </w:tcPr>
          <w:p w14:paraId="2788F0B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实践</w:t>
            </w:r>
          </w:p>
          <w:p w14:paraId="29223D9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项目名称</w:t>
            </w:r>
          </w:p>
        </w:tc>
        <w:tc>
          <w:tcPr>
            <w:tcW w:w="4139" w:type="dxa"/>
            <w:shd w:val="clear" w:color="auto" w:fill="FFFFFF"/>
            <w:vAlign w:val="center"/>
          </w:tcPr>
          <w:p w14:paraId="40C1BB56">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实践项目</w:t>
            </w:r>
          </w:p>
          <w:p w14:paraId="556F7159">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内容及要求</w:t>
            </w:r>
          </w:p>
        </w:tc>
        <w:tc>
          <w:tcPr>
            <w:tcW w:w="1134" w:type="dxa"/>
            <w:shd w:val="clear" w:color="auto" w:fill="FFFFFF"/>
            <w:vAlign w:val="center"/>
          </w:tcPr>
          <w:p w14:paraId="40016DA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对</w:t>
            </w:r>
            <w:r>
              <w:rPr>
                <w:rFonts w:ascii="Times New Roman" w:hAnsi="Times New Roman" w:eastAsia="宋体" w:cs="Times New Roman"/>
                <w:color w:val="000000"/>
                <w:szCs w:val="21"/>
              </w:rPr>
              <w:t>毕业要</w:t>
            </w:r>
          </w:p>
          <w:p w14:paraId="652E2A3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求</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支撑</w:t>
            </w:r>
          </w:p>
        </w:tc>
        <w:tc>
          <w:tcPr>
            <w:tcW w:w="567" w:type="dxa"/>
            <w:shd w:val="clear" w:color="auto" w:fill="FFFFFF"/>
            <w:vAlign w:val="center"/>
          </w:tcPr>
          <w:p w14:paraId="35C33552">
            <w:pPr>
              <w:rPr>
                <w:rFonts w:ascii="Times New Roman" w:hAnsi="Times New Roman" w:eastAsia="宋体" w:cs="Times New Roman"/>
                <w:color w:val="000000"/>
                <w:szCs w:val="21"/>
              </w:rPr>
            </w:pPr>
            <w:r>
              <w:rPr>
                <w:rFonts w:ascii="Times New Roman" w:hAnsi="Times New Roman" w:eastAsia="宋体" w:cs="Times New Roman"/>
                <w:color w:val="000000"/>
                <w:szCs w:val="21"/>
              </w:rPr>
              <w:t>学时</w:t>
            </w:r>
          </w:p>
        </w:tc>
        <w:tc>
          <w:tcPr>
            <w:tcW w:w="851" w:type="dxa"/>
            <w:shd w:val="clear" w:color="auto" w:fill="FFFFFF"/>
            <w:vAlign w:val="center"/>
          </w:tcPr>
          <w:p w14:paraId="63E01E0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类型</w:t>
            </w:r>
          </w:p>
        </w:tc>
        <w:tc>
          <w:tcPr>
            <w:tcW w:w="766" w:type="dxa"/>
            <w:shd w:val="clear" w:color="auto" w:fill="FFFFFF"/>
            <w:vAlign w:val="center"/>
          </w:tcPr>
          <w:p w14:paraId="6E2AD00B">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备注</w:t>
            </w:r>
          </w:p>
        </w:tc>
      </w:tr>
      <w:tr w14:paraId="6120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472BCC89">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1156" w:type="dxa"/>
            <w:vAlign w:val="center"/>
          </w:tcPr>
          <w:p w14:paraId="7285A5CB">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班主任工作计划制订</w:t>
            </w:r>
          </w:p>
        </w:tc>
        <w:tc>
          <w:tcPr>
            <w:tcW w:w="4139" w:type="dxa"/>
            <w:vAlign w:val="center"/>
          </w:tcPr>
          <w:p w14:paraId="6A1BA6D7">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内容：结合见（实）习实践，试写一份班主任工作计划（学期计划或月工作计划）。</w:t>
            </w:r>
          </w:p>
          <w:p w14:paraId="2F5F7876">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要求：对班级现状进行系统分析，计划要有可行性。</w:t>
            </w:r>
          </w:p>
        </w:tc>
        <w:tc>
          <w:tcPr>
            <w:tcW w:w="1134" w:type="dxa"/>
            <w:vAlign w:val="center"/>
          </w:tcPr>
          <w:p w14:paraId="76FB91C7">
            <w:pPr>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567" w:type="dxa"/>
            <w:vAlign w:val="center"/>
          </w:tcPr>
          <w:p w14:paraId="26597007">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851" w:type="dxa"/>
            <w:vAlign w:val="center"/>
          </w:tcPr>
          <w:p w14:paraId="58958D25">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766" w:type="dxa"/>
            <w:vMerge w:val="restart"/>
            <w:vAlign w:val="center"/>
          </w:tcPr>
          <w:p w14:paraId="473A06D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课内研讨汇报，并在学期末提交其中2份作为实践作业</w:t>
            </w:r>
          </w:p>
        </w:tc>
      </w:tr>
      <w:tr w14:paraId="3228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1D7A94D9">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1156" w:type="dxa"/>
            <w:vAlign w:val="center"/>
          </w:tcPr>
          <w:p w14:paraId="063BD964">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小学班规</w:t>
            </w:r>
            <w:r>
              <w:rPr>
                <w:rFonts w:hint="eastAsia" w:ascii="Times New Roman" w:hAnsi="Times New Roman" w:eastAsia="宋体" w:cs="Times New Roman"/>
                <w:color w:val="000000"/>
                <w:szCs w:val="21"/>
                <w:lang w:val="en-US" w:eastAsia="zh-CN"/>
              </w:rPr>
              <w:t>研究报告</w:t>
            </w:r>
          </w:p>
        </w:tc>
        <w:tc>
          <w:tcPr>
            <w:tcW w:w="4139" w:type="dxa"/>
            <w:vAlign w:val="center"/>
          </w:tcPr>
          <w:p w14:paraId="64F75EC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内容：搜集一个班级的班规，分析其</w:t>
            </w:r>
            <w:r>
              <w:rPr>
                <w:rFonts w:hint="eastAsia" w:ascii="Times New Roman" w:hAnsi="Times New Roman" w:eastAsia="宋体" w:cs="Times New Roman"/>
                <w:color w:val="000000"/>
                <w:szCs w:val="21"/>
                <w:lang w:val="en-US" w:eastAsia="zh-CN"/>
              </w:rPr>
              <w:t>优劣</w:t>
            </w:r>
            <w:r>
              <w:rPr>
                <w:rFonts w:hint="eastAsia" w:ascii="Times New Roman" w:hAnsi="Times New Roman" w:eastAsia="宋体" w:cs="Times New Roman"/>
                <w:color w:val="000000"/>
                <w:szCs w:val="21"/>
              </w:rPr>
              <w:t>及其中蕴含的教育观。</w:t>
            </w:r>
          </w:p>
          <w:p w14:paraId="6A8438EF">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要求：结合所学理论进行分析。</w:t>
            </w:r>
          </w:p>
        </w:tc>
        <w:tc>
          <w:tcPr>
            <w:tcW w:w="1134" w:type="dxa"/>
            <w:vAlign w:val="center"/>
          </w:tcPr>
          <w:p w14:paraId="12A40BD2">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5-1，5-2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5-3</w:t>
            </w:r>
          </w:p>
        </w:tc>
        <w:tc>
          <w:tcPr>
            <w:tcW w:w="567" w:type="dxa"/>
            <w:vAlign w:val="center"/>
          </w:tcPr>
          <w:p w14:paraId="5EBDEAA8">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851" w:type="dxa"/>
            <w:vAlign w:val="center"/>
          </w:tcPr>
          <w:p w14:paraId="2A0F65F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研究</w:t>
            </w:r>
            <w:r>
              <w:rPr>
                <w:rFonts w:hint="eastAsia" w:ascii="Times New Roman" w:hAnsi="Times New Roman" w:eastAsia="宋体" w:cs="Times New Roman"/>
                <w:szCs w:val="21"/>
              </w:rPr>
              <w:t>性</w:t>
            </w:r>
          </w:p>
        </w:tc>
        <w:tc>
          <w:tcPr>
            <w:tcW w:w="766" w:type="dxa"/>
            <w:vMerge w:val="continue"/>
            <w:vAlign w:val="center"/>
          </w:tcPr>
          <w:p w14:paraId="697F56EE">
            <w:pPr>
              <w:jc w:val="center"/>
              <w:rPr>
                <w:rFonts w:ascii="Times New Roman" w:hAnsi="Times New Roman" w:eastAsia="宋体" w:cs="Times New Roman"/>
                <w:szCs w:val="21"/>
              </w:rPr>
            </w:pPr>
          </w:p>
        </w:tc>
      </w:tr>
      <w:tr w14:paraId="62EE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5A03D84F">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p>
        </w:tc>
        <w:tc>
          <w:tcPr>
            <w:tcW w:w="1156" w:type="dxa"/>
            <w:shd w:val="clear" w:color="auto" w:fill="auto"/>
            <w:vAlign w:val="center"/>
          </w:tcPr>
          <w:p w14:paraId="245F5D7A">
            <w:pPr>
              <w:jc w:val="lef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班干部选聘方式</w:t>
            </w:r>
          </w:p>
        </w:tc>
        <w:tc>
          <w:tcPr>
            <w:tcW w:w="4139" w:type="dxa"/>
            <w:shd w:val="clear" w:color="auto" w:fill="auto"/>
            <w:vAlign w:val="center"/>
          </w:tcPr>
          <w:p w14:paraId="086B9E09">
            <w:pPr>
              <w:jc w:val="lef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内容：观看纪录片《请投我一票》，分析民主竞选制及其组织过程中应注意的问题</w:t>
            </w:r>
          </w:p>
        </w:tc>
        <w:tc>
          <w:tcPr>
            <w:tcW w:w="1134" w:type="dxa"/>
            <w:vAlign w:val="center"/>
          </w:tcPr>
          <w:p w14:paraId="563E427B">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5-1，5-2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5-3</w:t>
            </w:r>
          </w:p>
        </w:tc>
        <w:tc>
          <w:tcPr>
            <w:tcW w:w="567" w:type="dxa"/>
            <w:vAlign w:val="center"/>
          </w:tcPr>
          <w:p w14:paraId="4BABD95F">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w:t>
            </w:r>
          </w:p>
        </w:tc>
        <w:tc>
          <w:tcPr>
            <w:tcW w:w="851" w:type="dxa"/>
            <w:vAlign w:val="center"/>
          </w:tcPr>
          <w:p w14:paraId="59A2C577">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研究性</w:t>
            </w:r>
          </w:p>
        </w:tc>
        <w:tc>
          <w:tcPr>
            <w:tcW w:w="766" w:type="dxa"/>
            <w:vMerge w:val="continue"/>
            <w:vAlign w:val="center"/>
          </w:tcPr>
          <w:p w14:paraId="4F552B9B">
            <w:pPr>
              <w:jc w:val="center"/>
              <w:rPr>
                <w:rFonts w:ascii="Times New Roman" w:hAnsi="Times New Roman" w:eastAsia="宋体" w:cs="Times New Roman"/>
                <w:szCs w:val="21"/>
              </w:rPr>
            </w:pPr>
          </w:p>
        </w:tc>
      </w:tr>
      <w:tr w14:paraId="410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5FBAA894">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156" w:type="dxa"/>
            <w:shd w:val="clear" w:color="auto" w:fill="auto"/>
            <w:vAlign w:val="center"/>
          </w:tcPr>
          <w:p w14:paraId="36AD6941">
            <w:pPr>
              <w:jc w:val="lef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lang w:val="en-US" w:eastAsia="zh-CN"/>
              </w:rPr>
              <w:t>主题班队活动方案设计</w:t>
            </w:r>
          </w:p>
        </w:tc>
        <w:tc>
          <w:tcPr>
            <w:tcW w:w="4139" w:type="dxa"/>
            <w:shd w:val="clear" w:color="auto" w:fill="auto"/>
            <w:vAlign w:val="center"/>
          </w:tcPr>
          <w:p w14:paraId="5DE9DBA0">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结合</w:t>
            </w:r>
            <w:r>
              <w:rPr>
                <w:rFonts w:hint="eastAsia" w:ascii="Times New Roman" w:hAnsi="Times New Roman" w:eastAsia="宋体" w:cs="Times New Roman"/>
                <w:color w:val="000000"/>
                <w:szCs w:val="21"/>
              </w:rPr>
              <w:t>教育见（实）习中参加</w:t>
            </w:r>
            <w:r>
              <w:rPr>
                <w:rFonts w:hint="eastAsia" w:ascii="Times New Roman" w:hAnsi="Times New Roman" w:eastAsia="宋体" w:cs="Times New Roman"/>
                <w:color w:val="000000"/>
                <w:szCs w:val="21"/>
                <w:lang w:val="en-US" w:eastAsia="zh-CN"/>
              </w:rPr>
              <w:t>的</w:t>
            </w:r>
            <w:r>
              <w:rPr>
                <w:rFonts w:hint="eastAsia" w:ascii="Times New Roman" w:hAnsi="Times New Roman" w:eastAsia="宋体" w:cs="Times New Roman"/>
                <w:color w:val="000000"/>
                <w:szCs w:val="21"/>
              </w:rPr>
              <w:t>小学班级活动</w:t>
            </w:r>
            <w:r>
              <w:rPr>
                <w:rFonts w:hint="eastAsia" w:ascii="Times New Roman" w:hAnsi="Times New Roman" w:eastAsia="宋体" w:cs="Times New Roman"/>
                <w:color w:val="000000"/>
                <w:szCs w:val="21"/>
                <w:lang w:eastAsia="zh-CN"/>
              </w:rPr>
              <w:t>，</w:t>
            </w:r>
            <w:r>
              <w:rPr>
                <w:rFonts w:hint="eastAsia" w:ascii="Times New Roman" w:hAnsi="Times New Roman" w:eastAsia="宋体" w:cs="Times New Roman"/>
                <w:color w:val="000000"/>
                <w:szCs w:val="21"/>
              </w:rPr>
              <w:t>联系所学内容，</w:t>
            </w:r>
            <w:r>
              <w:rPr>
                <w:rFonts w:hint="eastAsia" w:ascii="Times New Roman" w:hAnsi="Times New Roman" w:eastAsia="宋体" w:cs="Times New Roman"/>
                <w:color w:val="000000"/>
                <w:szCs w:val="21"/>
                <w:lang w:val="en-US" w:eastAsia="zh-CN"/>
              </w:rPr>
              <w:t>设计一份主题班队</w:t>
            </w:r>
            <w:r>
              <w:rPr>
                <w:rFonts w:hint="eastAsia" w:ascii="Times New Roman" w:hAnsi="Times New Roman" w:eastAsia="宋体" w:cs="Times New Roman"/>
                <w:color w:val="000000"/>
                <w:szCs w:val="21"/>
              </w:rPr>
              <w:t>活动</w:t>
            </w:r>
            <w:r>
              <w:rPr>
                <w:rFonts w:hint="eastAsia" w:ascii="Times New Roman" w:hAnsi="Times New Roman" w:eastAsia="宋体" w:cs="Times New Roman"/>
                <w:color w:val="000000"/>
                <w:szCs w:val="21"/>
                <w:lang w:val="en-US" w:eastAsia="zh-CN"/>
              </w:rPr>
              <w:t>方案</w:t>
            </w:r>
            <w:r>
              <w:rPr>
                <w:rFonts w:hint="eastAsia" w:ascii="Times New Roman" w:hAnsi="Times New Roman" w:eastAsia="宋体" w:cs="Times New Roman"/>
                <w:color w:val="000000"/>
                <w:szCs w:val="21"/>
              </w:rPr>
              <w:t>。</w:t>
            </w:r>
          </w:p>
          <w:p w14:paraId="6821AE6A">
            <w:pPr>
              <w:jc w:val="lef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rPr>
              <w:t>要求：</w:t>
            </w:r>
            <w:r>
              <w:rPr>
                <w:rFonts w:hint="eastAsia" w:ascii="Times New Roman" w:hAnsi="Times New Roman" w:eastAsia="宋体" w:cs="Times New Roman"/>
                <w:color w:val="000000"/>
                <w:szCs w:val="21"/>
                <w:lang w:val="en-US" w:eastAsia="zh-CN"/>
              </w:rPr>
              <w:t>主题明确，</w:t>
            </w:r>
            <w:r>
              <w:rPr>
                <w:rFonts w:hint="eastAsia" w:ascii="Times New Roman" w:hAnsi="Times New Roman" w:eastAsia="宋体" w:cs="Times New Roman"/>
                <w:color w:val="000000"/>
                <w:szCs w:val="21"/>
              </w:rPr>
              <w:t>重点突出；</w:t>
            </w:r>
            <w:r>
              <w:rPr>
                <w:rFonts w:hint="eastAsia" w:ascii="Times New Roman" w:hAnsi="Times New Roman" w:eastAsia="宋体" w:cs="Times New Roman"/>
                <w:color w:val="000000"/>
                <w:szCs w:val="21"/>
                <w:lang w:val="en-US" w:eastAsia="zh-CN"/>
              </w:rPr>
              <w:t>方案合理</w:t>
            </w:r>
          </w:p>
        </w:tc>
        <w:tc>
          <w:tcPr>
            <w:tcW w:w="1134" w:type="dxa"/>
            <w:vAlign w:val="center"/>
          </w:tcPr>
          <w:p w14:paraId="381B926F">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5-1，6-1，6-3</w:t>
            </w:r>
          </w:p>
        </w:tc>
        <w:tc>
          <w:tcPr>
            <w:tcW w:w="567" w:type="dxa"/>
            <w:vAlign w:val="center"/>
          </w:tcPr>
          <w:p w14:paraId="2C8E253E">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851" w:type="dxa"/>
            <w:vAlign w:val="center"/>
          </w:tcPr>
          <w:p w14:paraId="2570D95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设计性</w:t>
            </w:r>
          </w:p>
        </w:tc>
        <w:tc>
          <w:tcPr>
            <w:tcW w:w="766" w:type="dxa"/>
            <w:vMerge w:val="continue"/>
            <w:vAlign w:val="center"/>
          </w:tcPr>
          <w:p w14:paraId="228EC612">
            <w:pPr>
              <w:jc w:val="center"/>
              <w:rPr>
                <w:rFonts w:ascii="Times New Roman" w:hAnsi="Times New Roman" w:eastAsia="宋体" w:cs="Times New Roman"/>
                <w:szCs w:val="21"/>
              </w:rPr>
            </w:pPr>
          </w:p>
        </w:tc>
      </w:tr>
      <w:tr w14:paraId="62C6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59D05790">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5</w:t>
            </w:r>
          </w:p>
        </w:tc>
        <w:tc>
          <w:tcPr>
            <w:tcW w:w="1156" w:type="dxa"/>
            <w:vAlign w:val="center"/>
          </w:tcPr>
          <w:p w14:paraId="750BBEB2">
            <w:pPr>
              <w:jc w:val="left"/>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小学班级文化</w:t>
            </w:r>
            <w:r>
              <w:rPr>
                <w:rFonts w:hint="eastAsia" w:ascii="Times New Roman" w:hAnsi="Times New Roman" w:eastAsia="宋体" w:cs="Times New Roman"/>
                <w:color w:val="000000"/>
                <w:szCs w:val="21"/>
                <w:lang w:val="en-US" w:eastAsia="zh-CN"/>
              </w:rPr>
              <w:t>研究报告</w:t>
            </w:r>
          </w:p>
        </w:tc>
        <w:tc>
          <w:tcPr>
            <w:tcW w:w="4139" w:type="dxa"/>
            <w:vAlign w:val="center"/>
          </w:tcPr>
          <w:p w14:paraId="3421C471">
            <w:pPr>
              <w:jc w:val="left"/>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系统考察一个班级的文化，对其中所蕴藏的价值取向进行分析。</w:t>
            </w:r>
          </w:p>
          <w:p w14:paraId="32F19AAD">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要求：结合所学理论进行分析.</w:t>
            </w:r>
          </w:p>
        </w:tc>
        <w:tc>
          <w:tcPr>
            <w:tcW w:w="1134" w:type="dxa"/>
            <w:vAlign w:val="center"/>
          </w:tcPr>
          <w:p w14:paraId="19AEBDFD">
            <w:pPr>
              <w:jc w:val="center"/>
              <w:rPr>
                <w:rFonts w:ascii="Times New Roman" w:hAnsi="Times New Roman" w:eastAsia="宋体" w:cs="Times New Roman"/>
                <w:szCs w:val="21"/>
              </w:rPr>
            </w:pPr>
            <w:r>
              <w:rPr>
                <w:rFonts w:hint="eastAsia" w:ascii="Times New Roman" w:hAnsi="Times New Roman" w:eastAsia="宋体" w:cs="Times New Roman"/>
                <w:szCs w:val="21"/>
              </w:rPr>
              <w:t>5-1，6-1，6-3</w:t>
            </w:r>
          </w:p>
        </w:tc>
        <w:tc>
          <w:tcPr>
            <w:tcW w:w="567" w:type="dxa"/>
            <w:vAlign w:val="center"/>
          </w:tcPr>
          <w:p w14:paraId="15E21EC2">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2</w:t>
            </w:r>
          </w:p>
        </w:tc>
        <w:tc>
          <w:tcPr>
            <w:tcW w:w="851" w:type="dxa"/>
            <w:vAlign w:val="center"/>
          </w:tcPr>
          <w:p w14:paraId="1D2EC36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研究</w:t>
            </w:r>
            <w:r>
              <w:rPr>
                <w:rFonts w:hint="eastAsia" w:ascii="Times New Roman" w:hAnsi="Times New Roman" w:eastAsia="宋体" w:cs="Times New Roman"/>
                <w:szCs w:val="21"/>
              </w:rPr>
              <w:t>性</w:t>
            </w:r>
          </w:p>
        </w:tc>
        <w:tc>
          <w:tcPr>
            <w:tcW w:w="766" w:type="dxa"/>
            <w:vMerge w:val="continue"/>
            <w:vAlign w:val="center"/>
          </w:tcPr>
          <w:p w14:paraId="041F05D7">
            <w:pPr>
              <w:jc w:val="center"/>
              <w:rPr>
                <w:rFonts w:ascii="Times New Roman" w:hAnsi="Times New Roman" w:eastAsia="宋体" w:cs="Times New Roman"/>
                <w:szCs w:val="21"/>
              </w:rPr>
            </w:pPr>
          </w:p>
        </w:tc>
      </w:tr>
      <w:tr w14:paraId="1E42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7EB5F3DB">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6</w:t>
            </w:r>
          </w:p>
        </w:tc>
        <w:tc>
          <w:tcPr>
            <w:tcW w:w="1156" w:type="dxa"/>
            <w:vAlign w:val="center"/>
          </w:tcPr>
          <w:p w14:paraId="5F0DC262">
            <w:pPr>
              <w:jc w:val="left"/>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校园霸凌问题及应对</w:t>
            </w:r>
          </w:p>
        </w:tc>
        <w:tc>
          <w:tcPr>
            <w:tcW w:w="4139" w:type="dxa"/>
            <w:vAlign w:val="center"/>
          </w:tcPr>
          <w:p w14:paraId="2537B132">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内容：</w:t>
            </w:r>
            <w:r>
              <w:rPr>
                <w:rFonts w:hint="eastAsia" w:ascii="Times New Roman" w:hAnsi="Times New Roman" w:eastAsia="宋体" w:cs="Times New Roman"/>
                <w:color w:val="000000"/>
                <w:szCs w:val="21"/>
                <w:lang w:val="en-US" w:eastAsia="zh-CN"/>
              </w:rPr>
              <w:t>分析当前小学校园霸凌问题的表现、成因及应对策略</w:t>
            </w:r>
            <w:r>
              <w:rPr>
                <w:rFonts w:hint="eastAsia" w:ascii="Times New Roman" w:hAnsi="Times New Roman" w:eastAsia="宋体" w:cs="Times New Roman"/>
                <w:color w:val="000000"/>
                <w:szCs w:val="21"/>
              </w:rPr>
              <w:t>。</w:t>
            </w:r>
          </w:p>
          <w:p w14:paraId="68D6A25E">
            <w:pPr>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要求：</w:t>
            </w:r>
            <w:r>
              <w:rPr>
                <w:rFonts w:hint="eastAsia" w:ascii="Times New Roman" w:hAnsi="Times New Roman" w:eastAsia="宋体" w:cs="Times New Roman"/>
                <w:color w:val="000000"/>
                <w:szCs w:val="21"/>
                <w:lang w:val="en-US" w:eastAsia="zh-CN"/>
              </w:rPr>
              <w:t>结合学生问题行为管理的相关理论进行分析</w:t>
            </w:r>
            <w:r>
              <w:rPr>
                <w:rFonts w:hint="eastAsia" w:ascii="Times New Roman" w:hAnsi="Times New Roman" w:eastAsia="宋体" w:cs="Times New Roman"/>
                <w:color w:val="000000"/>
                <w:szCs w:val="21"/>
              </w:rPr>
              <w:t>。</w:t>
            </w:r>
          </w:p>
        </w:tc>
        <w:tc>
          <w:tcPr>
            <w:tcW w:w="1134" w:type="dxa"/>
            <w:vAlign w:val="center"/>
          </w:tcPr>
          <w:p w14:paraId="2B6AA14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8-1，</w:t>
            </w:r>
            <w:r>
              <w:rPr>
                <w:rFonts w:hint="eastAsia" w:ascii="Times New Roman" w:hAnsi="Times New Roman" w:eastAsia="宋体" w:cs="Times New Roman"/>
                <w:szCs w:val="21"/>
              </w:rPr>
              <w:t>8-2</w:t>
            </w:r>
          </w:p>
        </w:tc>
        <w:tc>
          <w:tcPr>
            <w:tcW w:w="567" w:type="dxa"/>
            <w:vAlign w:val="center"/>
          </w:tcPr>
          <w:p w14:paraId="3E231D6D">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1</w:t>
            </w:r>
          </w:p>
        </w:tc>
        <w:tc>
          <w:tcPr>
            <w:tcW w:w="851" w:type="dxa"/>
            <w:vAlign w:val="center"/>
          </w:tcPr>
          <w:p w14:paraId="37C75D6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研究</w:t>
            </w:r>
            <w:r>
              <w:rPr>
                <w:rFonts w:hint="eastAsia" w:ascii="Times New Roman" w:hAnsi="Times New Roman" w:eastAsia="宋体" w:cs="Times New Roman"/>
                <w:szCs w:val="21"/>
              </w:rPr>
              <w:t>性</w:t>
            </w:r>
          </w:p>
        </w:tc>
        <w:tc>
          <w:tcPr>
            <w:tcW w:w="766" w:type="dxa"/>
            <w:vMerge w:val="continue"/>
            <w:vAlign w:val="center"/>
          </w:tcPr>
          <w:p w14:paraId="19EE1B1C">
            <w:pPr>
              <w:jc w:val="center"/>
              <w:rPr>
                <w:rFonts w:ascii="Times New Roman" w:hAnsi="Times New Roman" w:eastAsia="宋体" w:cs="Times New Roman"/>
                <w:szCs w:val="21"/>
              </w:rPr>
            </w:pPr>
          </w:p>
        </w:tc>
      </w:tr>
    </w:tbl>
    <w:p w14:paraId="143A6AB4">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五、课程实施</w:t>
      </w:r>
    </w:p>
    <w:p w14:paraId="31E8D467">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（一）教学方法与教学手段</w:t>
      </w:r>
    </w:p>
    <w:p w14:paraId="776624AF">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 xml:space="preserve">. 注重启发式教学，调动学生学习积极性，启发学生主动思考。 </w:t>
      </w:r>
    </w:p>
    <w:p w14:paraId="2B171BF7">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2. 发挥小组合作学习的优势。本课程教学建议在智慧教室、微格教室等专用教室进行，课堂上对学生进行分组，多采用小组讨论方式进行学习。</w:t>
      </w:r>
    </w:p>
    <w:p w14:paraId="67D2EB5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合理使用多媒体等现代化教学手段。利用多种教学资源，增加课堂教学信息量和课堂教学的吸引力。</w:t>
      </w:r>
    </w:p>
    <w:p w14:paraId="2597443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4. 理论与实践密切结合。本课程是理论和实践结合度较强的学科，要加强</w:t>
      </w:r>
      <w:r>
        <w:rPr>
          <w:rFonts w:ascii="Times New Roman" w:hAnsi="Times New Roman" w:eastAsia="宋体" w:cs="Times New Roman"/>
          <w:sz w:val="24"/>
          <w:szCs w:val="24"/>
        </w:rPr>
        <w:t>案例式</w:t>
      </w:r>
      <w:r>
        <w:rPr>
          <w:rFonts w:hint="eastAsia" w:ascii="Times New Roman" w:hAnsi="Times New Roman" w:eastAsia="宋体" w:cs="Times New Roman"/>
          <w:sz w:val="24"/>
          <w:szCs w:val="24"/>
        </w:rPr>
        <w:t xml:space="preserve">教学，引导学生结合教育实践，思考、分析和解决实际问题。 </w:t>
      </w:r>
    </w:p>
    <w:p w14:paraId="11557D59">
      <w:pPr>
        <w:spacing w:line="360" w:lineRule="auto"/>
        <w:rPr>
          <w:rFonts w:ascii="Times New Roman" w:hAnsi="Times New Roman" w:eastAsia="宋体" w:cs="Times New Roman"/>
          <w:b/>
          <w:sz w:val="24"/>
          <w:szCs w:val="24"/>
        </w:rPr>
      </w:pPr>
      <w:r>
        <w:rPr>
          <w:rFonts w:hint="eastAsia" w:ascii="Times New Roman" w:hAnsi="Times New Roman" w:eastAsia="宋体" w:cs="Times New Roman"/>
          <w:b/>
          <w:sz w:val="24"/>
          <w:szCs w:val="24"/>
        </w:rPr>
        <w:t>（二）课程实施与保障</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6F3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30F74633">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817" w:type="dxa"/>
            <w:tcBorders>
              <w:top w:val="single" w:color="auto" w:sz="8" w:space="0"/>
              <w:left w:val="single" w:color="auto" w:sz="8" w:space="0"/>
              <w:right w:val="single" w:color="auto" w:sz="8" w:space="0"/>
            </w:tcBorders>
            <w:vAlign w:val="center"/>
          </w:tcPr>
          <w:p w14:paraId="1C28E6CA">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7D36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582" w:type="dxa"/>
            <w:tcBorders>
              <w:left w:val="single" w:color="auto" w:sz="8" w:space="0"/>
            </w:tcBorders>
            <w:vAlign w:val="center"/>
          </w:tcPr>
          <w:p w14:paraId="44D8657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701" w:type="dxa"/>
            <w:tcMar>
              <w:left w:w="28" w:type="dxa"/>
              <w:right w:w="28" w:type="dxa"/>
            </w:tcMar>
            <w:vAlign w:val="center"/>
          </w:tcPr>
          <w:p w14:paraId="1F1747E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817" w:type="dxa"/>
            <w:tcBorders>
              <w:right w:val="single" w:color="auto" w:sz="8" w:space="0"/>
            </w:tcBorders>
            <w:vAlign w:val="center"/>
          </w:tcPr>
          <w:p w14:paraId="2E98CFFD">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（1）教师</w:t>
            </w:r>
            <w:r>
              <w:rPr>
                <w:rFonts w:ascii="Times New Roman" w:hAnsi="Times New Roman" w:eastAsia="宋体" w:cs="Times New Roman"/>
                <w:szCs w:val="21"/>
              </w:rPr>
              <w:t>掌握本课程教学大纲内容，严格按照教学大纲要求进行课程教学内容的组织。</w:t>
            </w:r>
          </w:p>
          <w:p w14:paraId="37B8ADDB">
            <w:pPr>
              <w:spacing w:line="276" w:lineRule="auto"/>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教师查阅相关资料，参考其他高校相关专业的经验，认真编写教案，制作课件</w:t>
            </w:r>
            <w:r>
              <w:rPr>
                <w:rFonts w:ascii="Times New Roman" w:hAnsi="Times New Roman" w:eastAsia="宋体" w:cs="Times New Roman"/>
                <w:szCs w:val="21"/>
              </w:rPr>
              <w:t>。</w:t>
            </w:r>
          </w:p>
          <w:p w14:paraId="23A0BD0F">
            <w:pPr>
              <w:spacing w:line="276"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w:t>
            </w:r>
            <w:r>
              <w:rPr>
                <w:rFonts w:hint="eastAsia" w:ascii="Times New Roman" w:hAnsi="Times New Roman" w:eastAsia="宋体" w:cs="Times New Roman"/>
                <w:szCs w:val="21"/>
              </w:rPr>
              <w:t>模块的教学</w:t>
            </w:r>
            <w:r>
              <w:rPr>
                <w:rFonts w:ascii="Times New Roman" w:hAnsi="Times New Roman" w:eastAsia="宋体" w:cs="Times New Roman"/>
                <w:szCs w:val="21"/>
              </w:rPr>
              <w:t>内容</w:t>
            </w:r>
            <w:r>
              <w:rPr>
                <w:rFonts w:hint="eastAsia" w:ascii="Times New Roman" w:hAnsi="Times New Roman" w:eastAsia="宋体" w:cs="Times New Roman"/>
                <w:szCs w:val="21"/>
              </w:rPr>
              <w:t>，进行教学设计，选择合适的</w:t>
            </w:r>
            <w:r>
              <w:rPr>
                <w:rFonts w:ascii="Times New Roman" w:hAnsi="Times New Roman" w:eastAsia="宋体" w:cs="Times New Roman"/>
                <w:szCs w:val="21"/>
              </w:rPr>
              <w:t>教学方法。</w:t>
            </w:r>
          </w:p>
        </w:tc>
      </w:tr>
      <w:tr w14:paraId="73C1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39453F2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701" w:type="dxa"/>
            <w:tcMar>
              <w:left w:w="28" w:type="dxa"/>
              <w:right w:w="28" w:type="dxa"/>
            </w:tcMar>
            <w:vAlign w:val="center"/>
          </w:tcPr>
          <w:p w14:paraId="3928E5A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817" w:type="dxa"/>
            <w:tcBorders>
              <w:right w:val="single" w:color="auto" w:sz="8" w:space="0"/>
            </w:tcBorders>
            <w:vAlign w:val="center"/>
          </w:tcPr>
          <w:p w14:paraId="350AEDE5">
            <w:pPr>
              <w:spacing w:line="276" w:lineRule="auto"/>
              <w:rPr>
                <w:rFonts w:ascii="宋体" w:hAnsi="宋体" w:eastAsia="宋体" w:cs="Times New Roman"/>
                <w:color w:val="000000"/>
                <w:szCs w:val="24"/>
              </w:rPr>
            </w:pPr>
            <w:r>
              <w:rPr>
                <w:rFonts w:hint="eastAsia" w:ascii="Times New Roman" w:hAnsi="Times New Roman" w:eastAsia="宋体" w:cs="Times New Roman"/>
                <w:szCs w:val="21"/>
              </w:rPr>
              <w:t>（</w:t>
            </w:r>
            <w:r>
              <w:rPr>
                <w:rFonts w:ascii="宋体" w:hAnsi="宋体" w:eastAsia="宋体" w:cs="Times New Roman"/>
                <w:color w:val="000000"/>
                <w:szCs w:val="21"/>
              </w:rPr>
              <w:t>（1）</w:t>
            </w:r>
            <w:r>
              <w:rPr>
                <w:rFonts w:hint="eastAsia" w:ascii="宋体" w:hAnsi="宋体" w:eastAsia="宋体" w:cs="Times New Roman"/>
                <w:color w:val="000000"/>
                <w:szCs w:val="24"/>
              </w:rPr>
              <w:t>教师仪表端庄，情绪情感要饱满；</w:t>
            </w:r>
          </w:p>
          <w:p w14:paraId="6B05BF23">
            <w:pPr>
              <w:spacing w:line="276" w:lineRule="auto"/>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4"/>
              </w:rPr>
              <w:t>教学准备充分，熟悉教学内容；</w:t>
            </w:r>
          </w:p>
          <w:p w14:paraId="4AA0B0A2">
            <w:pPr>
              <w:spacing w:line="276" w:lineRule="auto"/>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4"/>
              </w:rPr>
              <w:t>教学内容充实，不断充实最新研究成果；</w:t>
            </w:r>
          </w:p>
          <w:p w14:paraId="5540337A">
            <w:pPr>
              <w:spacing w:line="276" w:lineRule="auto"/>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4"/>
              </w:rPr>
              <w:t>严格执行计划，教学进度适宜；</w:t>
            </w:r>
          </w:p>
          <w:p w14:paraId="2F41C5B9">
            <w:pPr>
              <w:spacing w:line="276" w:lineRule="auto"/>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4"/>
              </w:rPr>
              <w:t>课堂教学信息充分，注重理论联系实际；</w:t>
            </w:r>
          </w:p>
          <w:p w14:paraId="23B176BD">
            <w:pPr>
              <w:spacing w:line="276" w:lineRule="auto"/>
              <w:rPr>
                <w:rFonts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4"/>
              </w:rPr>
              <w:t>注重启发学生思维，培养学生的教学能力；</w:t>
            </w:r>
          </w:p>
          <w:p w14:paraId="4825413F">
            <w:pPr>
              <w:spacing w:line="276" w:lineRule="auto"/>
              <w:rPr>
                <w:rFonts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4"/>
              </w:rPr>
              <w:t>面向全体基础上因材施教，灵活运用多种教学方法；</w:t>
            </w:r>
          </w:p>
          <w:p w14:paraId="4A0E8BB6">
            <w:pPr>
              <w:spacing w:line="276" w:lineRule="auto"/>
              <w:rPr>
                <w:rFonts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szCs w:val="24"/>
              </w:rPr>
              <w:t>教学语言规范，为学生教育教学做好表率；</w:t>
            </w:r>
          </w:p>
          <w:p w14:paraId="6FA644C3">
            <w:pPr>
              <w:spacing w:line="276" w:lineRule="auto"/>
              <w:rPr>
                <w:rFonts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4"/>
              </w:rPr>
              <w:t>教学条理清楚，教学思路逻辑严密；</w:t>
            </w:r>
          </w:p>
          <w:p w14:paraId="49236B46">
            <w:pPr>
              <w:spacing w:line="276" w:lineRule="auto"/>
              <w:rPr>
                <w:rFonts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4"/>
              </w:rPr>
              <w:t>充分运用现代化教学手段，教学技术熟练；</w:t>
            </w:r>
          </w:p>
          <w:p w14:paraId="0E6B0717">
            <w:pPr>
              <w:spacing w:line="276" w:lineRule="auto"/>
              <w:rPr>
                <w:rFonts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szCs w:val="24"/>
              </w:rPr>
              <w:t>课堂教学要重点突出，难点突破；</w:t>
            </w:r>
          </w:p>
          <w:p w14:paraId="3841BC0A">
            <w:pPr>
              <w:spacing w:line="276" w:lineRule="auto"/>
              <w:rPr>
                <w:rFonts w:ascii="Times New Roman" w:hAnsi="Times New Roman" w:eastAsia="宋体" w:cs="Times New Roman"/>
                <w:szCs w:val="21"/>
              </w:rPr>
            </w:pPr>
            <w:r>
              <w:rPr>
                <w:rFonts w:ascii="宋体" w:hAnsi="宋体" w:eastAsia="宋体" w:cs="Times New Roman"/>
                <w:color w:val="000000"/>
                <w:szCs w:val="21"/>
              </w:rPr>
              <w:t>（12）</w:t>
            </w:r>
            <w:r>
              <w:rPr>
                <w:rFonts w:hint="eastAsia" w:ascii="宋体" w:hAnsi="宋体" w:eastAsia="宋体" w:cs="Times New Roman"/>
                <w:color w:val="000000"/>
                <w:szCs w:val="24"/>
              </w:rPr>
              <w:t>注重师生互动，形成良好的课堂氛围。</w:t>
            </w:r>
          </w:p>
        </w:tc>
      </w:tr>
      <w:tr w14:paraId="1638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582" w:type="dxa"/>
            <w:tcBorders>
              <w:left w:val="single" w:color="auto" w:sz="8" w:space="0"/>
            </w:tcBorders>
            <w:vAlign w:val="center"/>
          </w:tcPr>
          <w:p w14:paraId="6FCB82F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701" w:type="dxa"/>
            <w:tcMar>
              <w:left w:w="28" w:type="dxa"/>
              <w:right w:w="28" w:type="dxa"/>
            </w:tcMar>
            <w:vAlign w:val="center"/>
          </w:tcPr>
          <w:p w14:paraId="1144B6D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817" w:type="dxa"/>
            <w:tcBorders>
              <w:right w:val="single" w:color="auto" w:sz="8" w:space="0"/>
            </w:tcBorders>
            <w:vAlign w:val="center"/>
          </w:tcPr>
          <w:p w14:paraId="5A0B458A">
            <w:pPr>
              <w:spacing w:line="276" w:lineRule="auto"/>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74E68152">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21ADED0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（2）书写或打印</w:t>
            </w:r>
            <w:r>
              <w:rPr>
                <w:rFonts w:ascii="Times New Roman" w:hAnsi="Times New Roman" w:eastAsia="宋体" w:cs="Times New Roman"/>
                <w:szCs w:val="21"/>
              </w:rPr>
              <w:t>规范</w:t>
            </w:r>
            <w:r>
              <w:rPr>
                <w:rFonts w:hint="eastAsia" w:ascii="Times New Roman" w:hAnsi="Times New Roman" w:eastAsia="宋体" w:cs="Times New Roman"/>
                <w:szCs w:val="21"/>
              </w:rPr>
              <w:t>。</w:t>
            </w:r>
          </w:p>
          <w:p w14:paraId="6A11727F">
            <w:pPr>
              <w:spacing w:line="276" w:lineRule="auto"/>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00A07FDA">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、反馈。</w:t>
            </w:r>
          </w:p>
          <w:p w14:paraId="5D7A1EFF">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115C51B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作为本课程总评成绩的重要组成部分。</w:t>
            </w:r>
          </w:p>
        </w:tc>
      </w:tr>
      <w:tr w14:paraId="4F31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173EFBB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701" w:type="dxa"/>
            <w:tcMar>
              <w:left w:w="28" w:type="dxa"/>
              <w:right w:w="28" w:type="dxa"/>
            </w:tcMar>
            <w:vAlign w:val="center"/>
          </w:tcPr>
          <w:p w14:paraId="080973E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817" w:type="dxa"/>
            <w:tcBorders>
              <w:right w:val="single" w:color="auto" w:sz="8" w:space="0"/>
            </w:tcBorders>
            <w:vAlign w:val="center"/>
          </w:tcPr>
          <w:p w14:paraId="1A87E8AA">
            <w:pPr>
              <w:spacing w:line="276" w:lineRule="auto"/>
              <w:rPr>
                <w:rFonts w:ascii="Times New Roman" w:hAnsi="Times New Roman" w:eastAsia="宋体" w:cs="Times New Roman"/>
                <w:szCs w:val="21"/>
              </w:rPr>
            </w:pPr>
            <w:r>
              <w:rPr>
                <w:rFonts w:ascii="Times New Roman" w:hAnsi="Times New Roman" w:eastAsia="宋体" w:cs="Times New Roman"/>
                <w:szCs w:val="21"/>
              </w:rPr>
              <w:t>为了解学生的学习情况，帮助学生</w:t>
            </w:r>
            <w:r>
              <w:rPr>
                <w:rFonts w:hint="eastAsia" w:ascii="Times New Roman" w:hAnsi="Times New Roman" w:eastAsia="宋体" w:cs="Times New Roman"/>
                <w:szCs w:val="21"/>
              </w:rPr>
              <w:t>更好地</w:t>
            </w:r>
            <w:r>
              <w:rPr>
                <w:rFonts w:ascii="Times New Roman" w:hAnsi="Times New Roman" w:eastAsia="宋体" w:cs="Times New Roman"/>
                <w:szCs w:val="21"/>
              </w:rPr>
              <w:t>理解和消化所学知识、改进学习方法和思维方式，培养其独立思考问题的能力，任课教师</w:t>
            </w:r>
            <w:r>
              <w:rPr>
                <w:rFonts w:hint="eastAsia" w:ascii="Times New Roman" w:hAnsi="Times New Roman" w:eastAsia="宋体" w:cs="Times New Roman"/>
                <w:szCs w:val="21"/>
              </w:rPr>
              <w:t>需</w:t>
            </w:r>
            <w:r>
              <w:rPr>
                <w:rFonts w:ascii="Times New Roman" w:hAnsi="Times New Roman" w:eastAsia="宋体" w:cs="Times New Roman"/>
                <w:szCs w:val="21"/>
              </w:rPr>
              <w:t>每周安排</w:t>
            </w:r>
            <w:r>
              <w:rPr>
                <w:rFonts w:hint="eastAsia" w:ascii="Times New Roman" w:hAnsi="Times New Roman" w:eastAsia="宋体" w:cs="Times New Roman"/>
                <w:szCs w:val="21"/>
              </w:rPr>
              <w:t>一定</w:t>
            </w:r>
            <w:r>
              <w:rPr>
                <w:rFonts w:ascii="Times New Roman" w:hAnsi="Times New Roman" w:eastAsia="宋体" w:cs="Times New Roman"/>
                <w:szCs w:val="21"/>
              </w:rPr>
              <w:t>时间进行课外答疑与辅导。</w:t>
            </w:r>
          </w:p>
        </w:tc>
      </w:tr>
      <w:tr w14:paraId="678A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vAlign w:val="center"/>
          </w:tcPr>
          <w:p w14:paraId="3D9E924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1701" w:type="dxa"/>
            <w:tcMar>
              <w:left w:w="28" w:type="dxa"/>
              <w:right w:w="28" w:type="dxa"/>
            </w:tcMar>
            <w:vAlign w:val="center"/>
          </w:tcPr>
          <w:p w14:paraId="653E668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817" w:type="dxa"/>
            <w:tcBorders>
              <w:right w:val="single" w:color="auto" w:sz="8" w:space="0"/>
            </w:tcBorders>
            <w:vAlign w:val="center"/>
          </w:tcPr>
          <w:p w14:paraId="1CF21F84">
            <w:pPr>
              <w:spacing w:line="276" w:lineRule="auto"/>
              <w:rPr>
                <w:rFonts w:hint="eastAsia" w:ascii="Times New Roman" w:hAnsi="Times New Roman" w:eastAsia="宋体" w:cs="Times New Roman"/>
                <w:szCs w:val="21"/>
              </w:rPr>
            </w:pPr>
            <w:r>
              <w:rPr>
                <w:rFonts w:hint="eastAsia" w:ascii="Times New Roman" w:hAnsi="Times New Roman" w:eastAsia="宋体" w:cs="Times New Roman"/>
                <w:szCs w:val="21"/>
              </w:rPr>
              <w:t>本课程考核的方式为</w:t>
            </w:r>
            <w:r>
              <w:rPr>
                <w:rFonts w:hint="eastAsia" w:ascii="Times New Roman" w:hAnsi="Times New Roman" w:eastAsia="宋体" w:cs="Times New Roman"/>
                <w:szCs w:val="21"/>
                <w:lang w:val="en-US" w:eastAsia="zh-CN"/>
              </w:rPr>
              <w:t>平时成绩、课内实践与学期考查相结合</w:t>
            </w:r>
            <w:r>
              <w:rPr>
                <w:rFonts w:hint="eastAsia" w:ascii="Times New Roman" w:hAnsi="Times New Roman" w:eastAsia="宋体" w:cs="Times New Roman"/>
                <w:szCs w:val="21"/>
              </w:rPr>
              <w:t>。有下列情况之一者，总评成绩为不及格：</w:t>
            </w:r>
          </w:p>
          <w:p w14:paraId="21F672EF">
            <w:pPr>
              <w:spacing w:line="276" w:lineRule="auto"/>
              <w:rPr>
                <w:rFonts w:hint="eastAsia" w:ascii="Times New Roman" w:hAnsi="Times New Roman" w:eastAsia="宋体" w:cs="Times New Roman"/>
                <w:szCs w:val="21"/>
              </w:rPr>
            </w:pPr>
            <w:r>
              <w:rPr>
                <w:rFonts w:hint="eastAsia" w:ascii="Times New Roman" w:hAnsi="Times New Roman" w:eastAsia="宋体" w:cs="Times New Roman"/>
                <w:szCs w:val="21"/>
              </w:rPr>
              <w:t>（1）缺交作业次数达1/3以上者。</w:t>
            </w:r>
          </w:p>
          <w:p w14:paraId="47782B37">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（2）缺课次数达本学期总授课学时的1/3以上者。</w:t>
            </w:r>
          </w:p>
        </w:tc>
      </w:tr>
    </w:tbl>
    <w:p w14:paraId="3538593E">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六、课程</w:t>
      </w:r>
      <w:r>
        <w:rPr>
          <w:rFonts w:ascii="Times New Roman" w:hAnsi="Times New Roman" w:eastAsia="宋体" w:cs="Times New Roman"/>
          <w:b/>
          <w:sz w:val="28"/>
          <w:szCs w:val="28"/>
        </w:rPr>
        <w:t>考核</w:t>
      </w:r>
    </w:p>
    <w:p w14:paraId="33BF7E6A">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课程考核</w:t>
      </w: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包括</w:t>
      </w:r>
      <w:r>
        <w:rPr>
          <w:rFonts w:hint="eastAsia" w:ascii="Times New Roman" w:hAnsi="Times New Roman" w:eastAsia="宋体" w:cs="Times New Roman"/>
          <w:sz w:val="24"/>
          <w:szCs w:val="24"/>
        </w:rPr>
        <w:t>：</w:t>
      </w:r>
      <w:r>
        <w:rPr>
          <w:rFonts w:ascii="Times New Roman" w:hAnsi="Times New Roman" w:eastAsia="宋体" w:cs="Times New Roman"/>
          <w:sz w:val="24"/>
          <w:szCs w:val="24"/>
        </w:rPr>
        <w:t>平时</w:t>
      </w:r>
      <w:r>
        <w:rPr>
          <w:rFonts w:hint="eastAsia" w:ascii="Times New Roman" w:hAnsi="Times New Roman" w:eastAsia="宋体" w:cs="Times New Roman"/>
          <w:sz w:val="24"/>
          <w:szCs w:val="24"/>
        </w:rPr>
        <w:t>成绩、实践成绩、学期考查等</w:t>
      </w:r>
      <w:r>
        <w:rPr>
          <w:rFonts w:ascii="Times New Roman" w:hAnsi="Times New Roman" w:eastAsia="宋体" w:cs="Times New Roman"/>
          <w:sz w:val="24"/>
          <w:szCs w:val="24"/>
        </w:rPr>
        <w:t>。</w:t>
      </w:r>
    </w:p>
    <w:p w14:paraId="52FA2722">
      <w:pPr>
        <w:spacing w:line="360" w:lineRule="auto"/>
        <w:rPr>
          <w:rFonts w:ascii="Times New Roman" w:hAnsi="Times New Roman" w:eastAsia="宋体" w:cs="Times New Roman"/>
          <w:sz w:val="24"/>
          <w:szCs w:val="24"/>
        </w:rPr>
      </w:pPr>
      <w:bookmarkStart w:id="121" w:name="_Hlk23910131"/>
      <w:r>
        <w:rPr>
          <w:rFonts w:hint="eastAsia" w:ascii="Times New Roman" w:hAnsi="Times New Roman" w:eastAsia="宋体" w:cs="Times New Roman"/>
          <w:sz w:val="24"/>
          <w:szCs w:val="24"/>
        </w:rPr>
        <w:t>（二）</w:t>
      </w:r>
      <w:r>
        <w:rPr>
          <w:rFonts w:ascii="Times New Roman" w:hAnsi="Times New Roman" w:eastAsia="宋体" w:cs="Times New Roman"/>
          <w:sz w:val="24"/>
          <w:szCs w:val="24"/>
        </w:rPr>
        <w:t>课程成绩=</w:t>
      </w:r>
      <w:r>
        <w:rPr>
          <w:rFonts w:hint="eastAsia" w:ascii="Times New Roman" w:hAnsi="Times New Roman" w:eastAsia="宋体" w:cs="Times New Roman"/>
          <w:sz w:val="24"/>
          <w:szCs w:val="24"/>
        </w:rPr>
        <w:t>平时成绩</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w:t>
      </w:r>
      <w:r>
        <w:rPr>
          <w:rFonts w:hint="eastAsia" w:ascii="Times New Roman" w:hAnsi="Times New Roman" w:eastAsia="宋体" w:cs="Times New Roman"/>
          <w:sz w:val="24"/>
          <w:szCs w:val="24"/>
        </w:rPr>
        <w:t>（含考勤、课堂表现、</w:t>
      </w:r>
      <w:r>
        <w:rPr>
          <w:rFonts w:hint="eastAsia" w:ascii="Times New Roman" w:hAnsi="Times New Roman" w:eastAsia="宋体" w:cs="Times New Roman"/>
          <w:sz w:val="24"/>
          <w:szCs w:val="24"/>
          <w:lang w:val="en-US" w:eastAsia="zh-CN"/>
        </w:rPr>
        <w:t>中期测验</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r>
        <w:rPr>
          <w:rFonts w:hint="eastAsia" w:ascii="Times New Roman" w:hAnsi="Times New Roman" w:eastAsia="宋体" w:cs="Times New Roman"/>
          <w:sz w:val="24"/>
          <w:szCs w:val="24"/>
        </w:rPr>
        <w:t>课内实践30%+学期考查5</w:t>
      </w:r>
      <w:r>
        <w:rPr>
          <w:rFonts w:ascii="Times New Roman" w:hAnsi="Times New Roman" w:eastAsia="宋体" w:cs="Times New Roman"/>
          <w:sz w:val="24"/>
          <w:szCs w:val="24"/>
        </w:rPr>
        <w:t>0%。</w:t>
      </w:r>
      <w:r>
        <w:rPr>
          <w:rFonts w:hint="eastAsia" w:ascii="Times New Roman" w:hAnsi="Times New Roman" w:eastAsia="宋体" w:cs="Times New Roman"/>
          <w:sz w:val="24"/>
          <w:szCs w:val="24"/>
        </w:rPr>
        <w:t>具体内容和比例如表所示。</w:t>
      </w:r>
    </w:p>
    <w:tbl>
      <w:tblPr>
        <w:tblStyle w:val="30"/>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98"/>
        <w:gridCol w:w="850"/>
        <w:gridCol w:w="3544"/>
        <w:gridCol w:w="1276"/>
        <w:gridCol w:w="1585"/>
      </w:tblGrid>
      <w:tr w14:paraId="0F03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shd w:val="clear" w:color="auto" w:fill="FFFFFF"/>
            <w:tcMar>
              <w:left w:w="57" w:type="dxa"/>
              <w:right w:w="57" w:type="dxa"/>
            </w:tcMar>
            <w:vAlign w:val="center"/>
          </w:tcPr>
          <w:p w14:paraId="1D304110">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998" w:type="dxa"/>
            <w:shd w:val="clear" w:color="auto" w:fill="FFFFFF"/>
            <w:vAlign w:val="center"/>
          </w:tcPr>
          <w:p w14:paraId="3D1F96BD">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850" w:type="dxa"/>
            <w:shd w:val="clear" w:color="auto" w:fill="FFFFFF"/>
            <w:vAlign w:val="center"/>
          </w:tcPr>
          <w:p w14:paraId="0A19333A">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3544" w:type="dxa"/>
            <w:shd w:val="clear" w:color="auto" w:fill="FFFFFF"/>
            <w:vAlign w:val="center"/>
          </w:tcPr>
          <w:p w14:paraId="6A1BCC9B">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276" w:type="dxa"/>
            <w:shd w:val="clear" w:color="auto" w:fill="FFFFFF"/>
            <w:vAlign w:val="center"/>
          </w:tcPr>
          <w:p w14:paraId="0607A583">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c>
          <w:tcPr>
            <w:tcW w:w="1585" w:type="dxa"/>
            <w:shd w:val="clear" w:color="auto" w:fill="FFFFFF"/>
            <w:vAlign w:val="center"/>
          </w:tcPr>
          <w:p w14:paraId="2C8CBCEA">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对应的毕业要求指标点</w:t>
            </w:r>
          </w:p>
        </w:tc>
      </w:tr>
      <w:tr w14:paraId="1B85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44" w:type="dxa"/>
            <w:tcMar>
              <w:left w:w="57" w:type="dxa"/>
              <w:right w:w="57" w:type="dxa"/>
            </w:tcMar>
            <w:vAlign w:val="center"/>
          </w:tcPr>
          <w:p w14:paraId="52782CA4">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平时</w:t>
            </w:r>
            <w:r>
              <w:rPr>
                <w:rFonts w:hint="eastAsia" w:ascii="Times New Roman" w:hAnsi="Times New Roman" w:eastAsia="宋体" w:cs="Times New Roman"/>
                <w:szCs w:val="24"/>
              </w:rPr>
              <w:t>成绩</w:t>
            </w:r>
          </w:p>
        </w:tc>
        <w:tc>
          <w:tcPr>
            <w:tcW w:w="998" w:type="dxa"/>
            <w:vAlign w:val="center"/>
          </w:tcPr>
          <w:p w14:paraId="23E02D23">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考勤、</w:t>
            </w:r>
          </w:p>
          <w:p w14:paraId="457AE23F">
            <w:pPr>
              <w:spacing w:line="276" w:lineRule="auto"/>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rPr>
              <w:t>课堂表现及</w:t>
            </w:r>
            <w:r>
              <w:rPr>
                <w:rFonts w:hint="eastAsia" w:ascii="Times New Roman" w:hAnsi="Times New Roman" w:eastAsia="宋体" w:cs="Times New Roman"/>
                <w:szCs w:val="24"/>
                <w:lang w:val="en-US" w:eastAsia="zh-CN"/>
              </w:rPr>
              <w:t>中期测验</w:t>
            </w:r>
          </w:p>
        </w:tc>
        <w:tc>
          <w:tcPr>
            <w:tcW w:w="850" w:type="dxa"/>
            <w:vAlign w:val="center"/>
          </w:tcPr>
          <w:p w14:paraId="4960264D">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20</w:t>
            </w:r>
            <w:r>
              <w:rPr>
                <w:rFonts w:ascii="Times New Roman" w:hAnsi="Times New Roman" w:eastAsia="宋体" w:cs="Times New Roman"/>
                <w:szCs w:val="24"/>
              </w:rPr>
              <w:t>%</w:t>
            </w:r>
          </w:p>
          <w:p w14:paraId="05DFD10D">
            <w:pPr>
              <w:spacing w:line="276" w:lineRule="auto"/>
              <w:jc w:val="center"/>
              <w:rPr>
                <w:rFonts w:ascii="Times New Roman" w:hAnsi="Times New Roman" w:eastAsia="宋体" w:cs="Times New Roman"/>
                <w:szCs w:val="24"/>
              </w:rPr>
            </w:pPr>
          </w:p>
        </w:tc>
        <w:tc>
          <w:tcPr>
            <w:tcW w:w="3544" w:type="dxa"/>
            <w:vAlign w:val="center"/>
          </w:tcPr>
          <w:p w14:paraId="7DECA3FD">
            <w:pPr>
              <w:spacing w:line="276" w:lineRule="auto"/>
              <w:rPr>
                <w:rFonts w:ascii="Times New Roman" w:hAnsi="Times New Roman" w:eastAsia="宋体" w:cs="Times New Roman"/>
                <w:szCs w:val="24"/>
              </w:rPr>
            </w:pPr>
            <w:r>
              <w:rPr>
                <w:rFonts w:hint="eastAsia" w:ascii="Times New Roman" w:hAnsi="Times New Roman" w:eastAsia="宋体" w:cs="Times New Roman"/>
                <w:szCs w:val="24"/>
              </w:rPr>
              <w:t>全勤记按</w:t>
            </w:r>
            <w:r>
              <w:rPr>
                <w:rFonts w:hint="eastAsia" w:ascii="Times New Roman" w:hAnsi="Times New Roman" w:eastAsia="宋体" w:cs="Times New Roman"/>
                <w:szCs w:val="24"/>
                <w:lang w:val="en-US" w:eastAsia="zh-CN"/>
              </w:rPr>
              <w:t>平时成绩的10</w:t>
            </w:r>
            <w:r>
              <w:rPr>
                <w:rFonts w:hint="eastAsia" w:ascii="Times New Roman" w:hAnsi="Times New Roman" w:eastAsia="宋体" w:cs="Times New Roman"/>
                <w:szCs w:val="24"/>
              </w:rPr>
              <w:t>%计入总分。事假1节课扣</w:t>
            </w:r>
            <w:r>
              <w:rPr>
                <w:rFonts w:hint="eastAsia" w:ascii="Times New Roman" w:hAnsi="Times New Roman" w:eastAsia="宋体" w:cs="Times New Roman"/>
                <w:szCs w:val="24"/>
                <w:lang w:val="en-US" w:eastAsia="zh-CN"/>
              </w:rPr>
              <w:t>2</w:t>
            </w:r>
            <w:r>
              <w:rPr>
                <w:rFonts w:hint="eastAsia" w:ascii="Times New Roman" w:hAnsi="Times New Roman" w:eastAsia="宋体" w:cs="Times New Roman"/>
                <w:szCs w:val="24"/>
              </w:rPr>
              <w:t>分，病假1节课扣1分，迟到、早退1次扣2分；扣完</w:t>
            </w:r>
            <w:r>
              <w:rPr>
                <w:rFonts w:hint="eastAsia" w:ascii="Times New Roman" w:hAnsi="Times New Roman" w:eastAsia="宋体" w:cs="Times New Roman"/>
                <w:szCs w:val="24"/>
                <w:lang w:val="en-US" w:eastAsia="zh-CN"/>
              </w:rPr>
              <w:t>10</w:t>
            </w:r>
            <w:r>
              <w:rPr>
                <w:rFonts w:hint="eastAsia" w:ascii="Times New Roman" w:hAnsi="Times New Roman" w:eastAsia="宋体" w:cs="Times New Roman"/>
                <w:szCs w:val="24"/>
              </w:rPr>
              <w:t>分为止；无故旷课1次扣</w:t>
            </w:r>
            <w:r>
              <w:rPr>
                <w:rFonts w:hint="eastAsia" w:ascii="Times New Roman" w:hAnsi="Times New Roman" w:eastAsia="宋体" w:cs="Times New Roman"/>
                <w:szCs w:val="24"/>
                <w:lang w:val="en-US" w:eastAsia="zh-CN"/>
              </w:rPr>
              <w:t>5</w:t>
            </w:r>
            <w:r>
              <w:rPr>
                <w:rFonts w:hint="eastAsia" w:ascii="Times New Roman" w:hAnsi="Times New Roman" w:eastAsia="宋体" w:cs="Times New Roman"/>
                <w:szCs w:val="24"/>
              </w:rPr>
              <w:t>分，无故旷课2次扣1</w:t>
            </w:r>
            <w:r>
              <w:rPr>
                <w:rFonts w:hint="eastAsia" w:ascii="Times New Roman" w:hAnsi="Times New Roman" w:eastAsia="宋体" w:cs="Times New Roman"/>
                <w:szCs w:val="24"/>
                <w:lang w:val="en-US" w:eastAsia="zh-CN"/>
              </w:rPr>
              <w:t>0</w:t>
            </w:r>
            <w:r>
              <w:rPr>
                <w:rFonts w:hint="eastAsia" w:ascii="Times New Roman" w:hAnsi="Times New Roman" w:eastAsia="宋体" w:cs="Times New Roman"/>
                <w:szCs w:val="24"/>
              </w:rPr>
              <w:t>分，旷课3次课程考核直接定为不及格</w:t>
            </w:r>
            <w:r>
              <w:rPr>
                <w:rFonts w:ascii="Times New Roman" w:hAnsi="Times New Roman" w:eastAsia="宋体" w:cs="Times New Roman"/>
                <w:szCs w:val="24"/>
              </w:rPr>
              <w:t>。</w:t>
            </w:r>
          </w:p>
          <w:p w14:paraId="4AFF279D">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课堂上不玩手机、不做与学习无关的事；勤于思考，积极参加小组活动，主动回答提问。按</w:t>
            </w:r>
            <w:r>
              <w:rPr>
                <w:rFonts w:hint="eastAsia" w:ascii="Times New Roman" w:hAnsi="Times New Roman" w:eastAsia="宋体" w:cs="Times New Roman"/>
                <w:szCs w:val="21"/>
                <w:lang w:val="en-US" w:eastAsia="zh-CN"/>
              </w:rPr>
              <w:t>平时成绩的40</w:t>
            </w:r>
            <w:r>
              <w:rPr>
                <w:rFonts w:hint="eastAsia" w:ascii="Times New Roman" w:hAnsi="Times New Roman" w:eastAsia="宋体" w:cs="Times New Roman"/>
                <w:szCs w:val="21"/>
              </w:rPr>
              <w:t>%计入总</w:t>
            </w:r>
            <w:r>
              <w:rPr>
                <w:rFonts w:hint="eastAsia" w:ascii="Times New Roman" w:hAnsi="Times New Roman" w:eastAsia="宋体" w:cs="Times New Roman"/>
                <w:szCs w:val="21"/>
                <w:lang w:val="en-US" w:eastAsia="zh-CN"/>
              </w:rPr>
              <w:t>成绩</w:t>
            </w:r>
            <w:r>
              <w:rPr>
                <w:rFonts w:hint="eastAsia" w:ascii="Times New Roman" w:hAnsi="Times New Roman" w:eastAsia="宋体" w:cs="Times New Roman"/>
                <w:szCs w:val="21"/>
              </w:rPr>
              <w:t>。课堂各种违纪情况酌情加减分。</w:t>
            </w:r>
          </w:p>
          <w:p w14:paraId="418D0ABB">
            <w:pPr>
              <w:spacing w:line="276" w:lineRule="auto"/>
              <w:rPr>
                <w:rFonts w:ascii="Times New Roman" w:hAnsi="Times New Roman" w:eastAsia="宋体" w:cs="Times New Roman"/>
                <w:szCs w:val="24"/>
              </w:rPr>
            </w:pPr>
            <w:r>
              <w:rPr>
                <w:rFonts w:hint="eastAsia" w:ascii="Times New Roman" w:hAnsi="Times New Roman" w:eastAsia="宋体" w:cs="Times New Roman"/>
                <w:szCs w:val="24"/>
                <w:lang w:val="en-US" w:eastAsia="zh-CN"/>
              </w:rPr>
              <w:t>学期中开展小测验，按平时成绩的50%计入总成绩</w:t>
            </w:r>
            <w:r>
              <w:rPr>
                <w:rFonts w:hint="eastAsia" w:ascii="Times New Roman" w:hAnsi="Times New Roman" w:eastAsia="宋体" w:cs="Times New Roman"/>
                <w:szCs w:val="24"/>
              </w:rPr>
              <w:t>。</w:t>
            </w:r>
          </w:p>
        </w:tc>
        <w:tc>
          <w:tcPr>
            <w:tcW w:w="1276" w:type="dxa"/>
            <w:vAlign w:val="center"/>
          </w:tcPr>
          <w:p w14:paraId="4D87C328">
            <w:pPr>
              <w:spacing w:line="276" w:lineRule="auto"/>
              <w:rPr>
                <w:rFonts w:ascii="Times New Roman" w:hAnsi="Times New Roman" w:eastAsia="宋体" w:cs="Times New Roman"/>
                <w:szCs w:val="24"/>
              </w:rPr>
            </w:pPr>
            <w:r>
              <w:rPr>
                <w:rFonts w:hint="eastAsia" w:ascii="Times New Roman" w:hAnsi="Times New Roman" w:eastAsia="宋体" w:cs="Times New Roman"/>
                <w:szCs w:val="24"/>
              </w:rPr>
              <w:t>课程目标1</w:t>
            </w:r>
          </w:p>
          <w:p w14:paraId="37C4500E">
            <w:pPr>
              <w:spacing w:line="276" w:lineRule="auto"/>
              <w:jc w:val="cente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rPr>
              <w:t>课程目标2</w:t>
            </w:r>
          </w:p>
        </w:tc>
        <w:tc>
          <w:tcPr>
            <w:tcW w:w="1585" w:type="dxa"/>
            <w:vAlign w:val="center"/>
          </w:tcPr>
          <w:p w14:paraId="072C168C">
            <w:pPr>
              <w:spacing w:line="276" w:lineRule="auto"/>
              <w:jc w:val="center"/>
              <w:rPr>
                <w:rFonts w:hint="default" w:ascii="Times New Roman" w:hAnsi="Times New Roman" w:eastAsia="楷体" w:cs="Times New Roman"/>
                <w:szCs w:val="24"/>
                <w:lang w:val="en-US" w:eastAsia="zh-CN"/>
              </w:rPr>
            </w:pPr>
            <w:r>
              <w:rPr>
                <w:rFonts w:ascii="Times New Roman" w:hAnsi="Times New Roman" w:eastAsia="楷体" w:cs="Times New Roman"/>
                <w:szCs w:val="21"/>
              </w:rPr>
              <w:t>1-2</w:t>
            </w:r>
            <w:r>
              <w:rPr>
                <w:rFonts w:hint="eastAsia" w:ascii="Times New Roman" w:hAnsi="Times New Roman" w:eastAsia="楷体" w:cs="Times New Roman"/>
                <w:szCs w:val="21"/>
                <w:lang w:eastAsia="zh-CN"/>
              </w:rPr>
              <w:t>、</w:t>
            </w:r>
            <w:r>
              <w:rPr>
                <w:rFonts w:hint="eastAsia" w:ascii="Times New Roman" w:hAnsi="Times New Roman" w:eastAsia="楷体" w:cs="Times New Roman"/>
                <w:szCs w:val="21"/>
                <w:lang w:val="en-US" w:eastAsia="zh-CN"/>
              </w:rPr>
              <w:t>2-1、5-1、5-2、5-3</w:t>
            </w:r>
          </w:p>
          <w:p w14:paraId="01EF2982">
            <w:pPr>
              <w:spacing w:line="276" w:lineRule="auto"/>
              <w:jc w:val="center"/>
              <w:rPr>
                <w:rFonts w:ascii="Times New Roman" w:hAnsi="Times New Roman" w:eastAsia="宋体" w:cs="Times New Roman"/>
                <w:szCs w:val="24"/>
              </w:rPr>
            </w:pPr>
          </w:p>
        </w:tc>
      </w:tr>
      <w:tr w14:paraId="24BE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044" w:type="dxa"/>
            <w:tcMar>
              <w:left w:w="57" w:type="dxa"/>
              <w:right w:w="57" w:type="dxa"/>
            </w:tcMar>
            <w:vAlign w:val="center"/>
          </w:tcPr>
          <w:p w14:paraId="755C75FA">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实践成绩</w:t>
            </w:r>
          </w:p>
        </w:tc>
        <w:tc>
          <w:tcPr>
            <w:tcW w:w="998" w:type="dxa"/>
            <w:vAlign w:val="center"/>
          </w:tcPr>
          <w:p w14:paraId="330ADB1B">
            <w:pPr>
              <w:spacing w:line="276" w:lineRule="auto"/>
              <w:jc w:val="center"/>
              <w:rPr>
                <w:rFonts w:hint="eastAsia" w:ascii="Times New Roman" w:hAnsi="Times New Roman" w:eastAsia="宋体" w:cs="Times New Roman"/>
                <w:szCs w:val="24"/>
              </w:rPr>
            </w:pPr>
            <w:r>
              <w:rPr>
                <w:rFonts w:hint="eastAsia" w:ascii="Times New Roman" w:hAnsi="Times New Roman" w:eastAsia="宋体" w:cs="Times New Roman"/>
                <w:szCs w:val="24"/>
              </w:rPr>
              <w:t>课内</w:t>
            </w:r>
          </w:p>
          <w:p w14:paraId="3F2396B7">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实践</w:t>
            </w:r>
          </w:p>
        </w:tc>
        <w:tc>
          <w:tcPr>
            <w:tcW w:w="850" w:type="dxa"/>
            <w:vAlign w:val="center"/>
          </w:tcPr>
          <w:p w14:paraId="1892F4A2">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3</w:t>
            </w:r>
            <w:r>
              <w:rPr>
                <w:rFonts w:ascii="Times New Roman" w:hAnsi="Times New Roman" w:eastAsia="宋体" w:cs="Times New Roman"/>
                <w:szCs w:val="24"/>
              </w:rPr>
              <w:t>0%</w:t>
            </w:r>
          </w:p>
        </w:tc>
        <w:tc>
          <w:tcPr>
            <w:tcW w:w="3544" w:type="dxa"/>
            <w:vAlign w:val="center"/>
          </w:tcPr>
          <w:p w14:paraId="58780B9D">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本课程建立“小学班队管理课内实践项目库”，要求每个学生在项目库中选择并完成其中的</w:t>
            </w:r>
            <w:r>
              <w:rPr>
                <w:rFonts w:hint="eastAsia" w:ascii="Times New Roman" w:hAnsi="Times New Roman" w:eastAsia="宋体" w:cs="Times New Roman"/>
                <w:color w:val="000000"/>
                <w:szCs w:val="21"/>
                <w:lang w:val="en-US" w:eastAsia="zh-CN"/>
              </w:rPr>
              <w:t>3</w:t>
            </w:r>
            <w:r>
              <w:rPr>
                <w:rFonts w:hint="eastAsia" w:ascii="Times New Roman" w:hAnsi="Times New Roman" w:eastAsia="宋体" w:cs="Times New Roman"/>
                <w:color w:val="000000"/>
                <w:szCs w:val="21"/>
              </w:rPr>
              <w:t>个项目，每个项目需在1000字以上。</w:t>
            </w:r>
          </w:p>
        </w:tc>
        <w:tc>
          <w:tcPr>
            <w:tcW w:w="1276" w:type="dxa"/>
            <w:vAlign w:val="center"/>
          </w:tcPr>
          <w:p w14:paraId="578D1301">
            <w:pPr>
              <w:spacing w:line="276"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1</w:t>
            </w:r>
          </w:p>
          <w:p w14:paraId="21DE8DAF">
            <w:pPr>
              <w:spacing w:line="276"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2</w:t>
            </w:r>
          </w:p>
          <w:p w14:paraId="7B267A8E">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3</w:t>
            </w:r>
          </w:p>
        </w:tc>
        <w:tc>
          <w:tcPr>
            <w:tcW w:w="1585" w:type="dxa"/>
            <w:vAlign w:val="center"/>
          </w:tcPr>
          <w:p w14:paraId="5C8F3B4A">
            <w:pPr>
              <w:spacing w:line="276" w:lineRule="auto"/>
              <w:rPr>
                <w:rFonts w:ascii="Times New Roman" w:hAnsi="Times New Roman" w:eastAsia="宋体" w:cs="Times New Roman"/>
                <w:color w:val="000000"/>
                <w:szCs w:val="21"/>
              </w:rPr>
            </w:pPr>
            <w:r>
              <w:rPr>
                <w:rFonts w:hint="eastAsia" w:ascii="Times New Roman" w:hAnsi="Times New Roman" w:eastAsia="楷体" w:cs="Times New Roman"/>
                <w:szCs w:val="21"/>
              </w:rPr>
              <w:t>1-2、2-1、5-1、5-2、5-3</w:t>
            </w:r>
            <w:r>
              <w:rPr>
                <w:rFonts w:hint="eastAsia" w:ascii="Times New Roman" w:hAnsi="Times New Roman" w:eastAsia="楷体" w:cs="Times New Roman"/>
                <w:szCs w:val="21"/>
                <w:lang w:eastAsia="zh-CN"/>
              </w:rPr>
              <w:t>、</w:t>
            </w:r>
            <w:r>
              <w:rPr>
                <w:rFonts w:hint="eastAsia" w:ascii="Times New Roman" w:hAnsi="Times New Roman" w:eastAsia="楷体" w:cs="Times New Roman"/>
                <w:szCs w:val="21"/>
              </w:rPr>
              <w:t>6-1，6-3</w:t>
            </w:r>
            <w:r>
              <w:rPr>
                <w:rFonts w:hint="eastAsia" w:ascii="Times New Roman" w:hAnsi="Times New Roman" w:eastAsia="楷体" w:cs="Times New Roman"/>
                <w:szCs w:val="21"/>
                <w:lang w:eastAsia="zh-CN"/>
              </w:rPr>
              <w:t>、</w:t>
            </w:r>
            <w:r>
              <w:rPr>
                <w:rFonts w:hint="eastAsia" w:ascii="Times New Roman" w:hAnsi="Times New Roman" w:eastAsia="楷体" w:cs="Times New Roman"/>
                <w:szCs w:val="21"/>
                <w:lang w:val="en-US" w:eastAsia="zh-CN"/>
              </w:rPr>
              <w:t>8-1、</w:t>
            </w:r>
            <w:r>
              <w:rPr>
                <w:rFonts w:hint="eastAsia" w:ascii="Times New Roman" w:hAnsi="Times New Roman" w:eastAsia="楷体" w:cs="Times New Roman"/>
                <w:szCs w:val="21"/>
              </w:rPr>
              <w:t>8-2</w:t>
            </w:r>
          </w:p>
        </w:tc>
      </w:tr>
      <w:tr w14:paraId="6882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44" w:type="dxa"/>
            <w:tcMar>
              <w:left w:w="57" w:type="dxa"/>
              <w:right w:w="57" w:type="dxa"/>
            </w:tcMar>
            <w:vAlign w:val="center"/>
          </w:tcPr>
          <w:p w14:paraId="13982712">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学期考查</w:t>
            </w:r>
          </w:p>
          <w:p w14:paraId="0841A8DE">
            <w:pPr>
              <w:spacing w:line="276" w:lineRule="auto"/>
              <w:jc w:val="center"/>
              <w:rPr>
                <w:rFonts w:ascii="Times New Roman" w:hAnsi="Times New Roman" w:eastAsia="宋体" w:cs="Times New Roman"/>
                <w:szCs w:val="24"/>
              </w:rPr>
            </w:pPr>
          </w:p>
        </w:tc>
        <w:tc>
          <w:tcPr>
            <w:tcW w:w="998" w:type="dxa"/>
            <w:vAlign w:val="center"/>
          </w:tcPr>
          <w:p w14:paraId="127925EC">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w:t>期末</w:t>
            </w:r>
            <w:r>
              <w:rPr>
                <w:rFonts w:hint="eastAsia" w:ascii="Times New Roman" w:hAnsi="Times New Roman" w:eastAsia="宋体" w:cs="Times New Roman"/>
                <w:szCs w:val="24"/>
              </w:rPr>
              <w:t>考核</w:t>
            </w:r>
            <w:r>
              <w:rPr>
                <w:rFonts w:ascii="Times New Roman" w:hAnsi="Times New Roman" w:eastAsia="宋体" w:cs="Times New Roman"/>
                <w:szCs w:val="24"/>
              </w:rPr>
              <w:t>成绩</w:t>
            </w:r>
          </w:p>
        </w:tc>
        <w:tc>
          <w:tcPr>
            <w:tcW w:w="850" w:type="dxa"/>
            <w:vAlign w:val="center"/>
          </w:tcPr>
          <w:p w14:paraId="441C2D74">
            <w:pPr>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5</w:t>
            </w:r>
            <w:r>
              <w:rPr>
                <w:rFonts w:ascii="Times New Roman" w:hAnsi="Times New Roman" w:eastAsia="宋体" w:cs="Times New Roman"/>
                <w:szCs w:val="24"/>
              </w:rPr>
              <w:t>0%</w:t>
            </w:r>
          </w:p>
        </w:tc>
        <w:tc>
          <w:tcPr>
            <w:tcW w:w="3544" w:type="dxa"/>
            <w:vAlign w:val="center"/>
          </w:tcPr>
          <w:p w14:paraId="594D6381">
            <w:pPr>
              <w:spacing w:line="276" w:lineRule="auto"/>
              <w:jc w:val="left"/>
              <w:rPr>
                <w:rFonts w:ascii="Times New Roman" w:hAnsi="Times New Roman" w:eastAsia="宋体" w:cs="Times New Roman"/>
                <w:color w:val="000000"/>
                <w:szCs w:val="21"/>
              </w:rPr>
            </w:pPr>
            <w:r>
              <w:rPr>
                <w:rFonts w:hint="eastAsia" w:ascii="Times New Roman" w:hAnsi="Times New Roman" w:eastAsia="宋体" w:cs="Times New Roman"/>
                <w:szCs w:val="24"/>
              </w:rPr>
              <w:t>本课程学期考核采用论文方式进行考核。学生需独立完成1篇符合学术规范的教育论文，字数</w:t>
            </w:r>
            <w:r>
              <w:rPr>
                <w:rFonts w:hint="eastAsia" w:ascii="Times New Roman" w:hAnsi="Times New Roman" w:eastAsia="宋体" w:cs="Times New Roman"/>
                <w:szCs w:val="24"/>
                <w:lang w:val="en-US" w:eastAsia="zh-CN"/>
              </w:rPr>
              <w:t>3</w:t>
            </w:r>
            <w:r>
              <w:rPr>
                <w:rFonts w:hint="eastAsia" w:ascii="Times New Roman" w:hAnsi="Times New Roman" w:eastAsia="宋体" w:cs="Times New Roman"/>
                <w:szCs w:val="24"/>
              </w:rPr>
              <w:t>000字以上。论文成绩按50%计入课程总评成绩。</w:t>
            </w:r>
          </w:p>
        </w:tc>
        <w:tc>
          <w:tcPr>
            <w:tcW w:w="1276" w:type="dxa"/>
            <w:vAlign w:val="center"/>
          </w:tcPr>
          <w:p w14:paraId="673C70C7">
            <w:pPr>
              <w:spacing w:line="276"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1</w:t>
            </w:r>
          </w:p>
          <w:p w14:paraId="052AE9D8">
            <w:pPr>
              <w:spacing w:line="276"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2</w:t>
            </w:r>
          </w:p>
          <w:p w14:paraId="2A9A6398">
            <w:pPr>
              <w:spacing w:line="276" w:lineRule="auto"/>
              <w:rPr>
                <w:rFonts w:ascii="Times New Roman" w:hAnsi="Times New Roman" w:eastAsia="宋体" w:cs="Times New Roman"/>
                <w:szCs w:val="24"/>
              </w:rPr>
            </w:pPr>
            <w:r>
              <w:rPr>
                <w:rFonts w:hint="eastAsia" w:ascii="Times New Roman" w:hAnsi="Times New Roman" w:eastAsia="宋体" w:cs="Times New Roman"/>
                <w:szCs w:val="24"/>
              </w:rPr>
              <w:t>课程目标</w:t>
            </w:r>
            <w:r>
              <w:rPr>
                <w:rFonts w:hint="eastAsia" w:ascii="Times New Roman" w:hAnsi="Times New Roman" w:eastAsia="宋体" w:cs="Times New Roman"/>
                <w:szCs w:val="24"/>
                <w:lang w:val="en-US" w:eastAsia="zh-CN"/>
              </w:rPr>
              <w:t>3</w:t>
            </w:r>
          </w:p>
        </w:tc>
        <w:tc>
          <w:tcPr>
            <w:tcW w:w="1585" w:type="dxa"/>
            <w:vAlign w:val="center"/>
          </w:tcPr>
          <w:p w14:paraId="1C2BBF9B">
            <w:pPr>
              <w:spacing w:line="276" w:lineRule="auto"/>
              <w:jc w:val="center"/>
              <w:rPr>
                <w:rFonts w:ascii="Times New Roman" w:hAnsi="Times New Roman" w:eastAsia="宋体" w:cs="Times New Roman"/>
                <w:szCs w:val="24"/>
              </w:rPr>
            </w:pPr>
            <w:r>
              <w:rPr>
                <w:rFonts w:hint="eastAsia" w:ascii="Times New Roman" w:hAnsi="Times New Roman" w:eastAsia="楷体" w:cs="Times New Roman"/>
                <w:szCs w:val="21"/>
              </w:rPr>
              <w:t>1-2、2-1、5-1、5-2、5-3、6-1，6-3、8-1、8-2</w:t>
            </w:r>
          </w:p>
        </w:tc>
      </w:tr>
      <w:bookmarkEnd w:id="121"/>
    </w:tbl>
    <w:p w14:paraId="1B582302">
      <w:pPr>
        <w:spacing w:line="360" w:lineRule="auto"/>
        <w:rPr>
          <w:rFonts w:ascii="宋体" w:hAnsi="宋体" w:eastAsia="宋体" w:cs="Times New Roman"/>
          <w:b/>
          <w:bCs/>
          <w:color w:val="000000"/>
          <w:sz w:val="24"/>
        </w:rPr>
      </w:pPr>
    </w:p>
    <w:p w14:paraId="1A2F25FD">
      <w:pPr>
        <w:spacing w:line="360" w:lineRule="auto"/>
        <w:rPr>
          <w:rFonts w:ascii="宋体" w:hAnsi="宋体" w:eastAsia="宋体" w:cs="Times New Roman"/>
          <w:b/>
          <w:bCs/>
          <w:color w:val="000000"/>
          <w:sz w:val="24"/>
        </w:rPr>
      </w:pPr>
      <w:r>
        <w:rPr>
          <w:rFonts w:ascii="宋体" w:hAnsi="宋体" w:eastAsia="宋体" w:cs="Times New Roman"/>
          <w:b/>
          <w:bCs/>
          <w:color w:val="000000"/>
          <w:sz w:val="24"/>
        </w:rPr>
        <w:t>（三）</w:t>
      </w:r>
      <w:r>
        <w:rPr>
          <w:rFonts w:hint="eastAsia" w:ascii="宋体" w:hAnsi="宋体" w:eastAsia="宋体" w:cs="Times New Roman"/>
          <w:b/>
          <w:bCs/>
          <w:color w:val="000000"/>
          <w:sz w:val="24"/>
        </w:rPr>
        <w:t>课程目标及考核方式权重分配表</w:t>
      </w:r>
    </w:p>
    <w:tbl>
      <w:tblPr>
        <w:tblStyle w:val="30"/>
        <w:tblW w:w="903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1816"/>
        <w:gridCol w:w="2196"/>
        <w:gridCol w:w="1843"/>
        <w:gridCol w:w="1134"/>
      </w:tblGrid>
      <w:tr w14:paraId="084699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3864" w:type="dxa"/>
            <w:gridSpan w:val="2"/>
            <w:shd w:val="clear" w:color="auto" w:fill="auto"/>
            <w:vAlign w:val="center"/>
          </w:tcPr>
          <w:p w14:paraId="7BB46CBC">
            <w:pPr>
              <w:widowControl/>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课程目标及权重</w:t>
            </w:r>
          </w:p>
        </w:tc>
        <w:tc>
          <w:tcPr>
            <w:tcW w:w="5173" w:type="dxa"/>
            <w:gridSpan w:val="3"/>
            <w:shd w:val="clear" w:color="auto" w:fill="auto"/>
            <w:vAlign w:val="center"/>
          </w:tcPr>
          <w:p w14:paraId="477FF241">
            <w:pPr>
              <w:widowControl/>
              <w:spacing w:line="276" w:lineRule="auto"/>
              <w:ind w:right="-391" w:rightChars="-186"/>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考核方式及权重</w:t>
            </w:r>
          </w:p>
        </w:tc>
      </w:tr>
      <w:tr w14:paraId="6C8537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2048" w:type="dxa"/>
            <w:shd w:val="clear" w:color="auto" w:fill="auto"/>
            <w:vAlign w:val="center"/>
          </w:tcPr>
          <w:p w14:paraId="37C4DE46">
            <w:pPr>
              <w:widowControl/>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1816" w:type="dxa"/>
            <w:shd w:val="clear" w:color="auto" w:fill="auto"/>
            <w:vAlign w:val="center"/>
          </w:tcPr>
          <w:p w14:paraId="6BEE18DD">
            <w:pPr>
              <w:widowControl/>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权重（</w:t>
            </w:r>
            <w:r>
              <w:rPr>
                <w:rFonts w:ascii="宋体" w:hAnsi="宋体" w:eastAsia="宋体" w:cs="Times New Roman"/>
                <w:b/>
                <w:bCs/>
                <w:color w:val="000000"/>
                <w:kern w:val="0"/>
                <w:szCs w:val="21"/>
              </w:rPr>
              <w:t>a</w:t>
            </w:r>
            <w:r>
              <w:rPr>
                <w:rFonts w:hint="eastAsia" w:ascii="宋体" w:hAnsi="宋体" w:eastAsia="宋体" w:cs="Times New Roman"/>
                <w:b/>
                <w:bCs/>
                <w:color w:val="000000"/>
                <w:kern w:val="0"/>
                <w:szCs w:val="21"/>
              </w:rPr>
              <w:t>）</w:t>
            </w:r>
          </w:p>
        </w:tc>
        <w:tc>
          <w:tcPr>
            <w:tcW w:w="2196" w:type="dxa"/>
            <w:shd w:val="clear" w:color="auto" w:fill="auto"/>
            <w:vAlign w:val="center"/>
          </w:tcPr>
          <w:p w14:paraId="209EDF54">
            <w:pPr>
              <w:widowControl/>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评价依据</w:t>
            </w:r>
          </w:p>
        </w:tc>
        <w:tc>
          <w:tcPr>
            <w:tcW w:w="1843" w:type="dxa"/>
            <w:shd w:val="clear" w:color="auto" w:fill="auto"/>
            <w:vAlign w:val="center"/>
          </w:tcPr>
          <w:p w14:paraId="06317697">
            <w:pPr>
              <w:widowControl/>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权重（</w:t>
            </w:r>
            <w:r>
              <w:rPr>
                <w:rFonts w:ascii="宋体" w:hAnsi="宋体" w:eastAsia="宋体" w:cs="Times New Roman"/>
                <w:b/>
                <w:bCs/>
                <w:color w:val="000000"/>
                <w:kern w:val="0"/>
                <w:szCs w:val="21"/>
              </w:rPr>
              <w:t>b</w:t>
            </w:r>
            <w:r>
              <w:rPr>
                <w:rFonts w:hint="eastAsia" w:ascii="宋体" w:hAnsi="宋体" w:eastAsia="宋体" w:cs="Times New Roman"/>
                <w:b/>
                <w:bCs/>
                <w:color w:val="000000"/>
                <w:kern w:val="0"/>
                <w:szCs w:val="21"/>
              </w:rPr>
              <w:t>）</w:t>
            </w:r>
          </w:p>
        </w:tc>
        <w:tc>
          <w:tcPr>
            <w:tcW w:w="1134" w:type="dxa"/>
          </w:tcPr>
          <w:p w14:paraId="469C2AB3">
            <w:pPr>
              <w:widowControl/>
              <w:spacing w:line="276" w:lineRule="auto"/>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考核方式权重合计</w:t>
            </w:r>
          </w:p>
        </w:tc>
      </w:tr>
      <w:tr w14:paraId="3A97D8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048" w:type="dxa"/>
            <w:vMerge w:val="restart"/>
            <w:shd w:val="clear" w:color="auto" w:fill="auto"/>
            <w:vAlign w:val="center"/>
          </w:tcPr>
          <w:p w14:paraId="51346A8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16" w:type="dxa"/>
            <w:vMerge w:val="restart"/>
            <w:shd w:val="clear" w:color="auto" w:fill="auto"/>
            <w:vAlign w:val="center"/>
          </w:tcPr>
          <w:p w14:paraId="2EF7123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20</w:t>
            </w:r>
            <w:r>
              <w:rPr>
                <w:rFonts w:hint="eastAsia" w:ascii="宋体" w:hAnsi="宋体" w:eastAsia="宋体" w:cs="Times New Roman"/>
                <w:kern w:val="0"/>
                <w:szCs w:val="21"/>
              </w:rPr>
              <w:t>%</w:t>
            </w:r>
          </w:p>
        </w:tc>
        <w:tc>
          <w:tcPr>
            <w:tcW w:w="2196" w:type="dxa"/>
            <w:shd w:val="clear" w:color="auto" w:fill="auto"/>
            <w:vAlign w:val="center"/>
          </w:tcPr>
          <w:p w14:paraId="46F45CF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考勤</w:t>
            </w:r>
          </w:p>
        </w:tc>
        <w:tc>
          <w:tcPr>
            <w:tcW w:w="1843" w:type="dxa"/>
            <w:shd w:val="clear" w:color="auto" w:fill="auto"/>
            <w:vAlign w:val="center"/>
          </w:tcPr>
          <w:p w14:paraId="18B869E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3</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34" w:type="dxa"/>
            <w:vMerge w:val="restart"/>
            <w:vAlign w:val="center"/>
          </w:tcPr>
          <w:p w14:paraId="467D97D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6AFEC9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3E3D10CD">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63CB9554">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59383A4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课堂表现</w:t>
            </w:r>
          </w:p>
        </w:tc>
        <w:tc>
          <w:tcPr>
            <w:tcW w:w="1843" w:type="dxa"/>
            <w:shd w:val="clear" w:color="auto" w:fill="auto"/>
            <w:vAlign w:val="center"/>
          </w:tcPr>
          <w:p w14:paraId="406FE50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134" w:type="dxa"/>
            <w:vMerge w:val="continue"/>
            <w:vAlign w:val="center"/>
          </w:tcPr>
          <w:p w14:paraId="60E9BD31">
            <w:pPr>
              <w:widowControl/>
              <w:spacing w:line="276" w:lineRule="auto"/>
              <w:jc w:val="center"/>
              <w:rPr>
                <w:rFonts w:ascii="宋体" w:hAnsi="宋体" w:eastAsia="宋体" w:cs="Times New Roman"/>
                <w:kern w:val="0"/>
                <w:szCs w:val="21"/>
              </w:rPr>
            </w:pPr>
          </w:p>
        </w:tc>
      </w:tr>
      <w:tr w14:paraId="0D62BE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6ED2DDC5">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10E55FE3">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4F85011E">
            <w:pPr>
              <w:widowControl/>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课内实践</w:t>
            </w:r>
          </w:p>
        </w:tc>
        <w:tc>
          <w:tcPr>
            <w:tcW w:w="1843" w:type="dxa"/>
            <w:shd w:val="clear" w:color="auto" w:fill="auto"/>
            <w:vAlign w:val="center"/>
          </w:tcPr>
          <w:p w14:paraId="374F26CC">
            <w:pPr>
              <w:widowControl/>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10%</w:t>
            </w:r>
          </w:p>
        </w:tc>
        <w:tc>
          <w:tcPr>
            <w:tcW w:w="1134" w:type="dxa"/>
            <w:vMerge w:val="continue"/>
            <w:vAlign w:val="center"/>
          </w:tcPr>
          <w:p w14:paraId="2923F286">
            <w:pPr>
              <w:widowControl/>
              <w:spacing w:line="276" w:lineRule="auto"/>
              <w:jc w:val="center"/>
              <w:rPr>
                <w:rFonts w:ascii="宋体" w:hAnsi="宋体" w:eastAsia="宋体" w:cs="Times New Roman"/>
                <w:kern w:val="0"/>
                <w:szCs w:val="21"/>
              </w:rPr>
            </w:pPr>
          </w:p>
        </w:tc>
      </w:tr>
      <w:tr w14:paraId="513FD0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0C35F3F8">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77E6BC3C">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3C66D5C2">
            <w:pPr>
              <w:widowControl/>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期末考核</w:t>
            </w:r>
          </w:p>
        </w:tc>
        <w:tc>
          <w:tcPr>
            <w:tcW w:w="1843" w:type="dxa"/>
            <w:shd w:val="clear" w:color="auto" w:fill="auto"/>
            <w:vAlign w:val="center"/>
          </w:tcPr>
          <w:p w14:paraId="3ED9C431">
            <w:pPr>
              <w:widowControl/>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10%</w:t>
            </w:r>
          </w:p>
        </w:tc>
        <w:tc>
          <w:tcPr>
            <w:tcW w:w="1134" w:type="dxa"/>
            <w:vMerge w:val="continue"/>
            <w:vAlign w:val="center"/>
          </w:tcPr>
          <w:p w14:paraId="67921E1D">
            <w:pPr>
              <w:widowControl/>
              <w:spacing w:line="276" w:lineRule="auto"/>
              <w:jc w:val="center"/>
              <w:rPr>
                <w:rFonts w:ascii="宋体" w:hAnsi="宋体" w:eastAsia="宋体" w:cs="Times New Roman"/>
                <w:kern w:val="0"/>
                <w:szCs w:val="21"/>
              </w:rPr>
            </w:pPr>
          </w:p>
        </w:tc>
      </w:tr>
      <w:tr w14:paraId="6048C0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restart"/>
            <w:shd w:val="clear" w:color="auto" w:fill="auto"/>
            <w:vAlign w:val="center"/>
          </w:tcPr>
          <w:p w14:paraId="6953DC3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16" w:type="dxa"/>
            <w:vMerge w:val="restart"/>
            <w:shd w:val="clear" w:color="auto" w:fill="auto"/>
            <w:vAlign w:val="center"/>
          </w:tcPr>
          <w:p w14:paraId="64AC470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50</w:t>
            </w:r>
            <w:r>
              <w:rPr>
                <w:rFonts w:hint="eastAsia" w:ascii="宋体" w:hAnsi="宋体" w:eastAsia="宋体" w:cs="Times New Roman"/>
                <w:kern w:val="0"/>
                <w:szCs w:val="21"/>
              </w:rPr>
              <w:t>%</w:t>
            </w:r>
          </w:p>
        </w:tc>
        <w:tc>
          <w:tcPr>
            <w:tcW w:w="2196" w:type="dxa"/>
            <w:shd w:val="clear" w:color="auto" w:fill="auto"/>
            <w:vAlign w:val="center"/>
          </w:tcPr>
          <w:p w14:paraId="17E6A986">
            <w:pPr>
              <w:widowControl/>
              <w:spacing w:line="276" w:lineRule="auto"/>
              <w:jc w:val="center"/>
              <w:rPr>
                <w:rFonts w:hint="eastAsia" w:ascii="宋体" w:hAnsi="宋体" w:eastAsia="宋体" w:cs="Times New Roman"/>
                <w:kern w:val="0"/>
                <w:szCs w:val="21"/>
                <w:lang w:val="en-US" w:eastAsia="zh-CN"/>
              </w:rPr>
            </w:pPr>
            <w:r>
              <w:rPr>
                <w:rFonts w:hint="eastAsia" w:ascii="宋体" w:hAnsi="宋体" w:eastAsia="宋体" w:cs="Times New Roman"/>
                <w:kern w:val="0"/>
                <w:szCs w:val="21"/>
                <w:lang w:val="en-US" w:eastAsia="zh-CN"/>
              </w:rPr>
              <w:t>课堂表现</w:t>
            </w:r>
          </w:p>
        </w:tc>
        <w:tc>
          <w:tcPr>
            <w:tcW w:w="1843" w:type="dxa"/>
            <w:shd w:val="clear" w:color="auto" w:fill="auto"/>
            <w:vAlign w:val="center"/>
          </w:tcPr>
          <w:p w14:paraId="6AC217FA">
            <w:pPr>
              <w:widowControl/>
              <w:spacing w:line="276" w:lineRule="auto"/>
              <w:jc w:val="center"/>
              <w:rPr>
                <w:rFonts w:hint="default" w:ascii="宋体" w:hAnsi="宋体" w:eastAsia="宋体" w:cs="Times New Roman"/>
                <w:kern w:val="0"/>
                <w:szCs w:val="21"/>
                <w:lang w:val="en-US" w:eastAsia="zh-CN"/>
              </w:rPr>
            </w:pPr>
            <w:r>
              <w:rPr>
                <w:rFonts w:hint="eastAsia" w:ascii="宋体" w:hAnsi="宋体" w:eastAsia="宋体" w:cs="Times New Roman"/>
                <w:kern w:val="0"/>
                <w:szCs w:val="21"/>
                <w:lang w:val="en-US" w:eastAsia="zh-CN"/>
              </w:rPr>
              <w:t>20%</w:t>
            </w:r>
          </w:p>
        </w:tc>
        <w:tc>
          <w:tcPr>
            <w:tcW w:w="1134" w:type="dxa"/>
            <w:vMerge w:val="restart"/>
            <w:vAlign w:val="center"/>
          </w:tcPr>
          <w:p w14:paraId="40FFF79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3F886E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4DC6C505">
            <w:pPr>
              <w:widowControl/>
              <w:spacing w:line="276" w:lineRule="auto"/>
              <w:jc w:val="center"/>
              <w:rPr>
                <w:rFonts w:hint="eastAsia" w:ascii="宋体" w:hAnsi="宋体" w:eastAsia="宋体" w:cs="Times New Roman"/>
                <w:kern w:val="0"/>
                <w:szCs w:val="21"/>
              </w:rPr>
            </w:pPr>
          </w:p>
        </w:tc>
        <w:tc>
          <w:tcPr>
            <w:tcW w:w="1816" w:type="dxa"/>
            <w:vMerge w:val="continue"/>
            <w:shd w:val="clear" w:color="auto" w:fill="auto"/>
            <w:vAlign w:val="center"/>
          </w:tcPr>
          <w:p w14:paraId="29B42C10">
            <w:pPr>
              <w:widowControl/>
              <w:spacing w:line="276" w:lineRule="auto"/>
              <w:jc w:val="center"/>
              <w:rPr>
                <w:rFonts w:hint="eastAsia" w:ascii="宋体" w:hAnsi="宋体" w:eastAsia="宋体" w:cs="Times New Roman"/>
                <w:kern w:val="0"/>
                <w:szCs w:val="21"/>
                <w:lang w:val="en-US" w:eastAsia="zh-CN"/>
              </w:rPr>
            </w:pPr>
          </w:p>
        </w:tc>
        <w:tc>
          <w:tcPr>
            <w:tcW w:w="2196" w:type="dxa"/>
            <w:shd w:val="clear" w:color="auto" w:fill="auto"/>
            <w:vAlign w:val="center"/>
          </w:tcPr>
          <w:p w14:paraId="33F94128">
            <w:pPr>
              <w:widowControl/>
              <w:spacing w:line="276" w:lineRule="auto"/>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Cs w:val="21"/>
              </w:rPr>
              <w:t xml:space="preserve">课内实践 </w:t>
            </w:r>
          </w:p>
        </w:tc>
        <w:tc>
          <w:tcPr>
            <w:tcW w:w="1843" w:type="dxa"/>
            <w:shd w:val="clear" w:color="auto" w:fill="auto"/>
            <w:vAlign w:val="center"/>
          </w:tcPr>
          <w:p w14:paraId="61453C93">
            <w:pPr>
              <w:widowControl/>
              <w:spacing w:line="276" w:lineRule="auto"/>
              <w:jc w:val="center"/>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Cs w:val="21"/>
                <w:lang w:val="en-US" w:eastAsia="zh-CN"/>
              </w:rPr>
              <w:t>2</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34" w:type="dxa"/>
            <w:vMerge w:val="continue"/>
            <w:vAlign w:val="center"/>
          </w:tcPr>
          <w:p w14:paraId="5FB02C53">
            <w:pPr>
              <w:widowControl/>
              <w:spacing w:line="276" w:lineRule="auto"/>
              <w:jc w:val="center"/>
              <w:rPr>
                <w:rFonts w:hint="eastAsia" w:ascii="宋体" w:hAnsi="宋体" w:eastAsia="宋体" w:cs="Times New Roman"/>
                <w:kern w:val="0"/>
                <w:szCs w:val="21"/>
              </w:rPr>
            </w:pPr>
          </w:p>
        </w:tc>
      </w:tr>
      <w:tr w14:paraId="21B5A7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3E5E33E7">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23DDBD20">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0D93A9F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中期测验</w:t>
            </w:r>
            <w:r>
              <w:rPr>
                <w:rFonts w:ascii="宋体" w:hAnsi="宋体" w:eastAsia="宋体" w:cs="Times New Roman"/>
                <w:kern w:val="0"/>
                <w:szCs w:val="21"/>
              </w:rPr>
              <w:t xml:space="preserve"> </w:t>
            </w:r>
          </w:p>
        </w:tc>
        <w:tc>
          <w:tcPr>
            <w:tcW w:w="1843" w:type="dxa"/>
            <w:shd w:val="clear" w:color="auto" w:fill="auto"/>
            <w:vAlign w:val="center"/>
          </w:tcPr>
          <w:p w14:paraId="6929AFA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1</w:t>
            </w:r>
            <w:r>
              <w:rPr>
                <w:rFonts w:hint="eastAsia" w:ascii="宋体" w:hAnsi="宋体" w:eastAsia="宋体" w:cs="Times New Roman"/>
                <w:kern w:val="0"/>
                <w:szCs w:val="21"/>
              </w:rPr>
              <w:t>0%</w:t>
            </w:r>
          </w:p>
        </w:tc>
        <w:tc>
          <w:tcPr>
            <w:tcW w:w="1134" w:type="dxa"/>
            <w:vMerge w:val="continue"/>
            <w:vAlign w:val="center"/>
          </w:tcPr>
          <w:p w14:paraId="73A2721A">
            <w:pPr>
              <w:widowControl/>
              <w:spacing w:line="276" w:lineRule="auto"/>
              <w:jc w:val="center"/>
              <w:rPr>
                <w:rFonts w:ascii="宋体" w:hAnsi="宋体" w:eastAsia="宋体" w:cs="Times New Roman"/>
                <w:kern w:val="0"/>
                <w:szCs w:val="21"/>
              </w:rPr>
            </w:pPr>
          </w:p>
        </w:tc>
      </w:tr>
      <w:tr w14:paraId="6530B6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14DF3324">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43CB3A95">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5DE3467D">
            <w:pPr>
              <w:widowControl/>
              <w:spacing w:line="276" w:lineRule="auto"/>
              <w:jc w:val="center"/>
              <w:rPr>
                <w:rFonts w:hint="eastAsia" w:ascii="宋体" w:hAnsi="宋体" w:eastAsia="宋体" w:cs="Times New Roman"/>
                <w:kern w:val="0"/>
                <w:szCs w:val="21"/>
                <w:lang w:eastAsia="zh-CN"/>
              </w:rPr>
            </w:pPr>
            <w:r>
              <w:rPr>
                <w:rFonts w:hint="eastAsia" w:ascii="宋体" w:hAnsi="宋体" w:eastAsia="宋体" w:cs="Times New Roman"/>
                <w:kern w:val="0"/>
                <w:szCs w:val="21"/>
              </w:rPr>
              <w:t>期末考核</w:t>
            </w:r>
          </w:p>
        </w:tc>
        <w:tc>
          <w:tcPr>
            <w:tcW w:w="1843" w:type="dxa"/>
            <w:shd w:val="clear" w:color="auto" w:fill="auto"/>
            <w:vAlign w:val="center"/>
          </w:tcPr>
          <w:p w14:paraId="636C9D2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5</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34" w:type="dxa"/>
            <w:vMerge w:val="continue"/>
            <w:vAlign w:val="center"/>
          </w:tcPr>
          <w:p w14:paraId="14B906AE">
            <w:pPr>
              <w:widowControl/>
              <w:spacing w:line="276" w:lineRule="auto"/>
              <w:jc w:val="center"/>
              <w:rPr>
                <w:rFonts w:ascii="宋体" w:hAnsi="宋体" w:eastAsia="宋体" w:cs="Times New Roman"/>
                <w:kern w:val="0"/>
                <w:szCs w:val="21"/>
              </w:rPr>
            </w:pPr>
          </w:p>
        </w:tc>
      </w:tr>
      <w:tr w14:paraId="33D51F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restart"/>
            <w:shd w:val="clear" w:color="auto" w:fill="auto"/>
            <w:vAlign w:val="center"/>
          </w:tcPr>
          <w:p w14:paraId="786A620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816" w:type="dxa"/>
            <w:vMerge w:val="restart"/>
            <w:shd w:val="clear" w:color="auto" w:fill="auto"/>
            <w:vAlign w:val="center"/>
          </w:tcPr>
          <w:p w14:paraId="6EC3A60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30</w:t>
            </w:r>
            <w:r>
              <w:rPr>
                <w:rFonts w:hint="eastAsia" w:ascii="宋体" w:hAnsi="宋体" w:eastAsia="宋体" w:cs="Times New Roman"/>
                <w:kern w:val="0"/>
                <w:szCs w:val="21"/>
              </w:rPr>
              <w:t>%</w:t>
            </w:r>
          </w:p>
        </w:tc>
        <w:tc>
          <w:tcPr>
            <w:tcW w:w="2196" w:type="dxa"/>
            <w:shd w:val="clear" w:color="auto" w:fill="auto"/>
            <w:vAlign w:val="center"/>
          </w:tcPr>
          <w:p w14:paraId="08835C5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课堂表现</w:t>
            </w:r>
            <w:r>
              <w:rPr>
                <w:rFonts w:hint="eastAsia" w:ascii="宋体" w:hAnsi="宋体" w:eastAsia="宋体" w:cs="Times New Roman"/>
                <w:kern w:val="0"/>
                <w:szCs w:val="21"/>
              </w:rPr>
              <w:t xml:space="preserve"> </w:t>
            </w:r>
          </w:p>
        </w:tc>
        <w:tc>
          <w:tcPr>
            <w:tcW w:w="1843" w:type="dxa"/>
            <w:shd w:val="clear" w:color="auto" w:fill="auto"/>
            <w:vAlign w:val="center"/>
          </w:tcPr>
          <w:p w14:paraId="63C69FF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5</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34" w:type="dxa"/>
            <w:vMerge w:val="restart"/>
            <w:vAlign w:val="center"/>
          </w:tcPr>
          <w:p w14:paraId="0883144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4BBB84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5628857D">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1F4718AC">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2A1164B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课内实践</w:t>
            </w:r>
            <w:r>
              <w:rPr>
                <w:rFonts w:ascii="宋体" w:hAnsi="宋体" w:eastAsia="宋体" w:cs="Times New Roman"/>
                <w:kern w:val="0"/>
                <w:szCs w:val="21"/>
              </w:rPr>
              <w:t xml:space="preserve"> </w:t>
            </w:r>
          </w:p>
        </w:tc>
        <w:tc>
          <w:tcPr>
            <w:tcW w:w="1843" w:type="dxa"/>
            <w:shd w:val="clear" w:color="auto" w:fill="auto"/>
            <w:vAlign w:val="center"/>
          </w:tcPr>
          <w:p w14:paraId="5D97FDA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lang w:val="en-US" w:eastAsia="zh-CN"/>
              </w:rPr>
              <w:t>3</w:t>
            </w:r>
            <w:r>
              <w:rPr>
                <w:rFonts w:hint="eastAsia" w:ascii="宋体" w:hAnsi="宋体" w:eastAsia="宋体" w:cs="Times New Roman"/>
                <w:kern w:val="0"/>
                <w:szCs w:val="21"/>
              </w:rPr>
              <w:t>0%</w:t>
            </w:r>
          </w:p>
        </w:tc>
        <w:tc>
          <w:tcPr>
            <w:tcW w:w="1134" w:type="dxa"/>
            <w:vMerge w:val="continue"/>
            <w:vAlign w:val="center"/>
          </w:tcPr>
          <w:p w14:paraId="68F0AB5A">
            <w:pPr>
              <w:widowControl/>
              <w:spacing w:line="276" w:lineRule="auto"/>
              <w:jc w:val="center"/>
              <w:rPr>
                <w:rFonts w:ascii="宋体" w:hAnsi="宋体" w:eastAsia="宋体" w:cs="Times New Roman"/>
                <w:kern w:val="0"/>
                <w:szCs w:val="21"/>
              </w:rPr>
            </w:pPr>
          </w:p>
        </w:tc>
      </w:tr>
      <w:tr w14:paraId="74615C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48" w:type="dxa"/>
            <w:vMerge w:val="continue"/>
            <w:shd w:val="clear" w:color="auto" w:fill="auto"/>
            <w:vAlign w:val="center"/>
          </w:tcPr>
          <w:p w14:paraId="7A4684F0">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3E01FB3A">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4C1B58C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期末考核</w:t>
            </w:r>
          </w:p>
        </w:tc>
        <w:tc>
          <w:tcPr>
            <w:tcW w:w="1843" w:type="dxa"/>
            <w:shd w:val="clear" w:color="auto" w:fill="auto"/>
            <w:vAlign w:val="center"/>
          </w:tcPr>
          <w:p w14:paraId="5C125A6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20%</w:t>
            </w:r>
            <w:r>
              <w:rPr>
                <w:rFonts w:ascii="宋体" w:hAnsi="宋体" w:eastAsia="宋体" w:cs="Times New Roman"/>
                <w:kern w:val="0"/>
                <w:szCs w:val="21"/>
              </w:rPr>
              <w:t xml:space="preserve"> </w:t>
            </w:r>
          </w:p>
        </w:tc>
        <w:tc>
          <w:tcPr>
            <w:tcW w:w="1134" w:type="dxa"/>
            <w:vMerge w:val="continue"/>
            <w:vAlign w:val="center"/>
          </w:tcPr>
          <w:p w14:paraId="62F5E729">
            <w:pPr>
              <w:widowControl/>
              <w:spacing w:line="276" w:lineRule="auto"/>
              <w:jc w:val="center"/>
              <w:rPr>
                <w:rFonts w:ascii="宋体" w:hAnsi="宋体" w:eastAsia="宋体" w:cs="Times New Roman"/>
                <w:kern w:val="0"/>
                <w:szCs w:val="21"/>
              </w:rPr>
            </w:pPr>
          </w:p>
        </w:tc>
      </w:tr>
      <w:tr w14:paraId="20AB0A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2048" w:type="dxa"/>
            <w:shd w:val="clear" w:color="auto" w:fill="auto"/>
            <w:vAlign w:val="center"/>
          </w:tcPr>
          <w:p w14:paraId="4FEC4F8B">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816" w:type="dxa"/>
            <w:shd w:val="clear" w:color="auto" w:fill="auto"/>
            <w:vAlign w:val="center"/>
          </w:tcPr>
          <w:p w14:paraId="3C5ACDA0">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100%</w:t>
            </w:r>
          </w:p>
        </w:tc>
        <w:tc>
          <w:tcPr>
            <w:tcW w:w="5173" w:type="dxa"/>
            <w:gridSpan w:val="3"/>
            <w:shd w:val="clear" w:color="auto" w:fill="auto"/>
            <w:vAlign w:val="center"/>
          </w:tcPr>
          <w:p w14:paraId="3D6AD2A0">
            <w:pPr>
              <w:widowControl/>
              <w:spacing w:line="276" w:lineRule="auto"/>
              <w:jc w:val="center"/>
              <w:rPr>
                <w:rFonts w:ascii="宋体" w:hAnsi="宋体" w:eastAsia="宋体" w:cs="Times New Roman"/>
                <w:color w:val="000000"/>
                <w:kern w:val="0"/>
                <w:szCs w:val="21"/>
              </w:rPr>
            </w:pPr>
          </w:p>
        </w:tc>
      </w:tr>
    </w:tbl>
    <w:p w14:paraId="132CFC36">
      <w:pPr>
        <w:spacing w:line="360" w:lineRule="auto"/>
        <w:rPr>
          <w:rFonts w:ascii="宋体" w:hAnsi="宋体" w:eastAsia="宋体" w:cs="Times New Roman"/>
          <w:b/>
          <w:bCs/>
          <w:color w:val="FF0000"/>
          <w:sz w:val="24"/>
        </w:rPr>
      </w:pPr>
    </w:p>
    <w:p w14:paraId="4FE8608F">
      <w:pPr>
        <w:spacing w:line="360" w:lineRule="auto"/>
        <w:rPr>
          <w:rFonts w:ascii="宋体" w:hAnsi="宋体" w:eastAsia="宋体" w:cs="Times New Roman"/>
          <w:b/>
          <w:bCs/>
          <w:color w:val="000000"/>
          <w:sz w:val="24"/>
        </w:rPr>
      </w:pPr>
      <w:r>
        <w:rPr>
          <w:rFonts w:hint="eastAsia" w:ascii="宋体" w:hAnsi="宋体" w:eastAsia="宋体" w:cs="Times New Roman"/>
          <w:b/>
          <w:bCs/>
          <w:color w:val="000000"/>
          <w:sz w:val="24"/>
        </w:rPr>
        <w:t>（四）</w:t>
      </w:r>
      <w:r>
        <w:rPr>
          <w:rFonts w:ascii="宋体" w:hAnsi="宋体" w:eastAsia="宋体" w:cs="Times New Roman"/>
          <w:b/>
          <w:bCs/>
          <w:color w:val="000000"/>
          <w:sz w:val="24"/>
        </w:rPr>
        <w:t>课程目标达成度计算方法</w:t>
      </w:r>
    </w:p>
    <w:p w14:paraId="103E7F8E">
      <w:pPr>
        <w:spacing w:line="360" w:lineRule="auto"/>
        <w:rPr>
          <w:rFonts w:ascii="宋体" w:hAnsi="宋体" w:eastAsia="宋体" w:cs="Times New Roman"/>
          <w:color w:val="000000"/>
          <w:sz w:val="24"/>
        </w:rPr>
      </w:pPr>
      <w:r>
        <w:rPr>
          <w:rFonts w:ascii="宋体" w:hAnsi="宋体" w:eastAsia="宋体" w:cs="Times New Roman"/>
          <w:color w:val="000000"/>
          <w:sz w:val="24"/>
        </w:rPr>
        <w:t>所有课程目标均</w:t>
      </w:r>
      <w:r>
        <w:rPr>
          <w:rFonts w:hint="eastAsia" w:ascii="宋体" w:hAnsi="宋体" w:eastAsia="宋体" w:cs="Times New Roman"/>
          <w:color w:val="000000"/>
          <w:sz w:val="24"/>
        </w:rPr>
        <w:t>需</w:t>
      </w:r>
      <w:r>
        <w:rPr>
          <w:rFonts w:ascii="宋体" w:hAnsi="宋体" w:eastAsia="宋体" w:cs="Times New Roman"/>
          <w:color w:val="000000"/>
          <w:sz w:val="24"/>
        </w:rPr>
        <w:t>大于等于0.6，否则总评成绩不及格，需要补考或重</w:t>
      </w:r>
      <w:r>
        <w:rPr>
          <w:rFonts w:hint="eastAsia" w:ascii="宋体" w:hAnsi="宋体" w:eastAsia="宋体" w:cs="Times New Roman"/>
          <w:color w:val="000000"/>
          <w:sz w:val="24"/>
        </w:rPr>
        <w:t>修。</w:t>
      </w:r>
      <w:r>
        <w:rPr>
          <w:rFonts w:ascii="宋体" w:hAnsi="宋体" w:eastAsia="宋体" w:cs="Times New Roman"/>
          <w:color w:val="000000"/>
          <w:sz w:val="24"/>
        </w:rPr>
        <w:t>每</w:t>
      </w:r>
      <w:r>
        <w:rPr>
          <w:rFonts w:hint="eastAsia" w:ascii="宋体" w:hAnsi="宋体" w:eastAsia="宋体" w:cs="Times New Roman"/>
          <w:color w:val="000000"/>
          <w:sz w:val="24"/>
        </w:rPr>
        <w:t>门</w:t>
      </w:r>
      <w:r>
        <w:rPr>
          <w:rFonts w:ascii="宋体" w:hAnsi="宋体" w:eastAsia="宋体" w:cs="Times New Roman"/>
          <w:color w:val="000000"/>
          <w:sz w:val="24"/>
        </w:rPr>
        <w:t>课程目标</w:t>
      </w:r>
      <w:r>
        <w:rPr>
          <w:rFonts w:hint="eastAsia" w:ascii="宋体" w:hAnsi="宋体" w:eastAsia="宋体" w:cs="Times New Roman"/>
          <w:color w:val="000000"/>
          <w:sz w:val="24"/>
        </w:rPr>
        <w:t>总体</w:t>
      </w:r>
      <w:r>
        <w:rPr>
          <w:rFonts w:ascii="宋体" w:hAnsi="宋体" w:eastAsia="宋体" w:cs="Times New Roman"/>
          <w:color w:val="000000"/>
          <w:sz w:val="24"/>
        </w:rPr>
        <w:t>达成度计算方法如下：</w:t>
      </w:r>
    </w:p>
    <w:p w14:paraId="7A9D0E9A">
      <w:pPr>
        <w:spacing w:line="360" w:lineRule="auto"/>
        <w:rPr>
          <w:rFonts w:ascii="宋体" w:hAnsi="宋体" w:eastAsia="宋体" w:cs="Times New Roman"/>
          <w:sz w:val="24"/>
        </w:rPr>
      </w:pPr>
      <w:r>
        <w:rPr>
          <w:rFonts w:ascii="宋体" w:hAnsi="宋体" w:eastAsia="宋体" w:cs="Times New Roman"/>
          <w:sz w:val="24"/>
        </w:rPr>
        <w:drawing>
          <wp:inline distT="0" distB="0" distL="0" distR="0">
            <wp:extent cx="5274310" cy="337185"/>
            <wp:effectExtent l="0" t="0" r="889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5A7E29FE">
      <w:pPr>
        <w:spacing w:line="360" w:lineRule="auto"/>
        <w:rPr>
          <w:rFonts w:ascii="宋体" w:hAnsi="宋体" w:eastAsia="宋体" w:cs="Times New Roman"/>
          <w:sz w:val="24"/>
        </w:rPr>
      </w:pPr>
    </w:p>
    <w:p w14:paraId="3853C195">
      <w:pPr>
        <w:spacing w:line="360" w:lineRule="auto"/>
        <w:rPr>
          <w:rFonts w:ascii="宋体" w:hAnsi="宋体" w:eastAsia="宋体" w:cs="Times New Roman"/>
          <w:b/>
          <w:color w:val="000000"/>
          <w:sz w:val="28"/>
          <w:szCs w:val="28"/>
        </w:rPr>
      </w:pPr>
      <w:r>
        <w:rPr>
          <w:rFonts w:hint="eastAsia" w:ascii="宋体" w:hAnsi="宋体" w:eastAsia="宋体" w:cs="Times New Roman"/>
          <w:b/>
          <w:color w:val="000000"/>
          <w:sz w:val="28"/>
          <w:szCs w:val="28"/>
        </w:rPr>
        <w:t>七</w:t>
      </w:r>
      <w:r>
        <w:rPr>
          <w:rFonts w:ascii="宋体" w:hAnsi="宋体" w:eastAsia="宋体" w:cs="Times New Roman"/>
          <w:b/>
          <w:color w:val="000000"/>
          <w:sz w:val="28"/>
          <w:szCs w:val="28"/>
        </w:rPr>
        <w:t>、</w:t>
      </w:r>
      <w:r>
        <w:rPr>
          <w:rFonts w:hint="eastAsia" w:ascii="宋体" w:hAnsi="宋体" w:eastAsia="宋体" w:cs="Times New Roman"/>
          <w:b/>
          <w:color w:val="000000"/>
          <w:sz w:val="28"/>
          <w:szCs w:val="28"/>
        </w:rPr>
        <w:t>有关说明</w:t>
      </w:r>
    </w:p>
    <w:p w14:paraId="02DA0E7A">
      <w:pPr>
        <w:spacing w:line="360" w:lineRule="auto"/>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56B8474E">
      <w:pPr>
        <w:spacing w:line="360" w:lineRule="auto"/>
        <w:rPr>
          <w:rFonts w:ascii="Times New Roman" w:hAnsi="Times New Roman" w:eastAsia="宋体" w:cs="Times New Roman"/>
          <w:sz w:val="24"/>
        </w:rPr>
      </w:pPr>
      <w:r>
        <w:rPr>
          <w:rFonts w:hint="eastAsia" w:ascii="Times New Roman" w:hAnsi="Times New Roman" w:eastAsia="宋体" w:cs="Times New Roman"/>
          <w:sz w:val="24"/>
        </w:rPr>
        <w:t>根据学生课堂教学中的反应、作业质量以及领导、教师等听课情况</w:t>
      </w:r>
      <w:r>
        <w:rPr>
          <w:rFonts w:ascii="Times New Roman" w:hAnsi="Times New Roman" w:eastAsia="宋体" w:cs="Times New Roman"/>
          <w:sz w:val="24"/>
        </w:rPr>
        <w:t>，及时</w:t>
      </w:r>
      <w:r>
        <w:rPr>
          <w:rFonts w:hint="eastAsia" w:ascii="Times New Roman" w:hAnsi="Times New Roman" w:eastAsia="宋体" w:cs="Times New Roman"/>
          <w:sz w:val="24"/>
        </w:rPr>
        <w:t>发现和改进</w:t>
      </w:r>
      <w:r>
        <w:rPr>
          <w:rFonts w:ascii="Times New Roman" w:hAnsi="Times New Roman" w:eastAsia="宋体" w:cs="Times New Roman"/>
          <w:sz w:val="24"/>
        </w:rPr>
        <w:t>教学中</w:t>
      </w:r>
      <w:r>
        <w:rPr>
          <w:rFonts w:hint="eastAsia" w:ascii="Times New Roman" w:hAnsi="Times New Roman" w:eastAsia="宋体" w:cs="Times New Roman"/>
          <w:sz w:val="24"/>
        </w:rPr>
        <w:t>的</w:t>
      </w:r>
      <w:r>
        <w:rPr>
          <w:rFonts w:ascii="Times New Roman" w:hAnsi="Times New Roman" w:eastAsia="宋体" w:cs="Times New Roman"/>
          <w:sz w:val="24"/>
        </w:rPr>
        <w:t>不足之处，确保相应毕业要求指标点达成。</w:t>
      </w:r>
    </w:p>
    <w:p w14:paraId="4B9D1665">
      <w:pPr>
        <w:spacing w:line="360" w:lineRule="auto"/>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624FC96F">
      <w:pPr>
        <w:autoSpaceDE w:val="0"/>
        <w:autoSpaceDN w:val="0"/>
        <w:adjustRightInd w:val="0"/>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 李镇西.我这样做班主任——李镇西30年班级管理精华. 漓江出版社，201</w:t>
      </w:r>
      <w:r>
        <w:rPr>
          <w:rFonts w:ascii="Times New Roman" w:hAnsi="Times New Roman" w:eastAsia="宋体" w:cs="Times New Roman"/>
          <w:kern w:val="0"/>
          <w:sz w:val="24"/>
          <w:szCs w:val="21"/>
        </w:rPr>
        <w:t>8</w:t>
      </w:r>
      <w:r>
        <w:rPr>
          <w:rFonts w:hint="eastAsia" w:ascii="Times New Roman" w:hAnsi="Times New Roman" w:eastAsia="宋体" w:cs="Times New Roman"/>
          <w:kern w:val="0"/>
          <w:sz w:val="24"/>
          <w:szCs w:val="21"/>
        </w:rPr>
        <w:t>年出版.</w:t>
      </w:r>
    </w:p>
    <w:p w14:paraId="7EC17A8A">
      <w:pPr>
        <w:autoSpaceDE w:val="0"/>
        <w:autoSpaceDN w:val="0"/>
        <w:adjustRightInd w:val="0"/>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曹长德.</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当代班级管理引论.</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中国科学技术大学出版社,</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2019年出版.</w:t>
      </w:r>
      <w:r>
        <w:rPr>
          <w:rFonts w:ascii="Times New Roman" w:hAnsi="Times New Roman" w:eastAsia="宋体" w:cs="Times New Roman"/>
          <w:kern w:val="0"/>
          <w:sz w:val="24"/>
          <w:szCs w:val="21"/>
        </w:rPr>
        <w:t xml:space="preserve"> </w:t>
      </w:r>
    </w:p>
    <w:p w14:paraId="2F24BEEB">
      <w:pPr>
        <w:autoSpaceDE w:val="0"/>
        <w:autoSpaceDN w:val="0"/>
        <w:adjustRightInd w:val="0"/>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3</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王怀玉.</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从班级到成长共同体：不一样的带班策略.华东师范大学出版社, 2019年出版</w:t>
      </w:r>
      <w:r>
        <w:rPr>
          <w:rFonts w:ascii="Times New Roman" w:hAnsi="Times New Roman" w:eastAsia="宋体" w:cs="Times New Roman"/>
          <w:kern w:val="0"/>
          <w:sz w:val="24"/>
          <w:szCs w:val="21"/>
        </w:rPr>
        <w:t xml:space="preserve">. </w:t>
      </w:r>
    </w:p>
    <w:p w14:paraId="1CFD83D2">
      <w:pPr>
        <w:autoSpaceDE w:val="0"/>
        <w:autoSpaceDN w:val="0"/>
        <w:adjustRightInd w:val="0"/>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4</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李明敏等.</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班级管理原理与方法. 中国社会科学出版社,</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2017出版</w:t>
      </w:r>
      <w:r>
        <w:rPr>
          <w:rFonts w:ascii="Times New Roman" w:hAnsi="Times New Roman" w:eastAsia="宋体" w:cs="Times New Roman"/>
          <w:kern w:val="0"/>
          <w:sz w:val="24"/>
          <w:szCs w:val="21"/>
        </w:rPr>
        <w:t>.</w:t>
      </w:r>
    </w:p>
    <w:p w14:paraId="4683BF44">
      <w:pPr>
        <w:autoSpaceDE w:val="0"/>
        <w:autoSpaceDN w:val="0"/>
        <w:adjustRightInd w:val="0"/>
        <w:spacing w:line="360" w:lineRule="auto"/>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5</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李继秀,</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陈小勤.</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班级管理案例精选.</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安徽大学出版社,</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2018年出版</w:t>
      </w:r>
      <w:r>
        <w:rPr>
          <w:rFonts w:ascii="Times New Roman" w:hAnsi="Times New Roman" w:eastAsia="宋体" w:cs="Times New Roman"/>
          <w:kern w:val="0"/>
          <w:sz w:val="24"/>
          <w:szCs w:val="21"/>
        </w:rPr>
        <w:t>.</w:t>
      </w:r>
    </w:p>
    <w:p w14:paraId="0C0603EE">
      <w:pPr>
        <w:autoSpaceDE w:val="0"/>
        <w:autoSpaceDN w:val="0"/>
        <w:adjustRightInd w:val="0"/>
        <w:spacing w:line="360" w:lineRule="auto"/>
        <w:jc w:val="left"/>
        <w:rPr>
          <w:rFonts w:ascii="Times New Roman" w:hAnsi="Times New Roman" w:eastAsia="宋体" w:cs="Times New Roman"/>
          <w:kern w:val="0"/>
          <w:sz w:val="24"/>
          <w:szCs w:val="21"/>
        </w:rPr>
      </w:pPr>
    </w:p>
    <w:p w14:paraId="5712D5C1">
      <w:pPr>
        <w:autoSpaceDE w:val="0"/>
        <w:autoSpaceDN w:val="0"/>
        <w:adjustRightInd w:val="0"/>
        <w:spacing w:line="360" w:lineRule="auto"/>
        <w:jc w:val="righ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lang w:val="en-US" w:eastAsia="zh-CN"/>
        </w:rPr>
        <w:t>张文娟</w:t>
      </w:r>
    </w:p>
    <w:p w14:paraId="63D13862">
      <w:pPr>
        <w:autoSpaceDE w:val="0"/>
        <w:autoSpaceDN w:val="0"/>
        <w:adjustRightInd w:val="0"/>
        <w:spacing w:line="360" w:lineRule="auto"/>
        <w:jc w:val="righ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lang w:val="en-US" w:eastAsia="zh-CN"/>
        </w:rPr>
        <w:t>张志欣</w:t>
      </w:r>
    </w:p>
    <w:p w14:paraId="0EEA6A68">
      <w:pPr>
        <w:autoSpaceDE w:val="0"/>
        <w:autoSpaceDN w:val="0"/>
        <w:adjustRightInd w:val="0"/>
        <w:spacing w:line="360" w:lineRule="auto"/>
        <w:jc w:val="right"/>
        <w:rPr>
          <w:rFonts w:hint="eastAsia" w:ascii="Times New Roman" w:hAnsi="Times New Roman" w:eastAsia="宋体" w:cs="Times New Roman"/>
          <w:kern w:val="0"/>
          <w:sz w:val="24"/>
          <w:szCs w:val="21"/>
          <w:lang w:eastAsia="zh-CN"/>
        </w:rPr>
      </w:pPr>
      <w:r>
        <w:rPr>
          <w:rFonts w:hint="eastAsia" w:ascii="Times New Roman" w:hAnsi="Times New Roman" w:eastAsia="宋体" w:cs="Times New Roman"/>
          <w:kern w:val="0"/>
          <w:sz w:val="24"/>
          <w:szCs w:val="21"/>
        </w:rPr>
        <w:t>审批人：</w:t>
      </w:r>
      <w:r>
        <w:rPr>
          <w:rFonts w:hint="eastAsia" w:ascii="Times New Roman" w:hAnsi="Times New Roman" w:eastAsia="宋体" w:cs="Times New Roman"/>
          <w:kern w:val="0"/>
          <w:sz w:val="24"/>
          <w:szCs w:val="21"/>
          <w:lang w:val="en-US" w:eastAsia="zh-CN"/>
        </w:rPr>
        <w:t>张建波</w:t>
      </w:r>
    </w:p>
    <w:p w14:paraId="38592FC8">
      <w:pPr>
        <w:autoSpaceDE w:val="0"/>
        <w:autoSpaceDN w:val="0"/>
        <w:adjustRightInd w:val="0"/>
        <w:spacing w:line="360" w:lineRule="auto"/>
        <w:jc w:val="righ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批准时间：2022年8月30日</w:t>
      </w:r>
    </w:p>
    <w:p w14:paraId="51BD1DCC">
      <w:pPr>
        <w:spacing w:line="360" w:lineRule="auto"/>
        <w:ind w:firstLine="6720" w:firstLineChars="2800"/>
        <w:rPr>
          <w:rFonts w:ascii="Times New Roman" w:hAnsi="Times New Roman" w:eastAsia="宋体" w:cs="Times New Roman"/>
          <w:sz w:val="24"/>
          <w:szCs w:val="24"/>
        </w:rPr>
      </w:pPr>
    </w:p>
    <w:p w14:paraId="68A84D93">
      <w:pPr>
        <w:widowControl/>
        <w:jc w:val="left"/>
        <w:rPr>
          <w:rFonts w:ascii="宋体" w:hAnsi="宋体" w:eastAsia="宋体" w:cs="Times New Roman"/>
          <w:kern w:val="0"/>
          <w:sz w:val="24"/>
        </w:rPr>
      </w:pPr>
      <w:r>
        <w:rPr>
          <w:rFonts w:ascii="宋体" w:hAnsi="宋体" w:eastAsia="宋体" w:cs="Times New Roman"/>
          <w:kern w:val="0"/>
          <w:sz w:val="24"/>
        </w:rPr>
        <w:br w:type="page"/>
      </w:r>
    </w:p>
    <w:p w14:paraId="5B04BF44">
      <w:pPr>
        <w:spacing w:line="360" w:lineRule="auto"/>
        <w:jc w:val="center"/>
        <w:outlineLvl w:val="0"/>
        <w:rPr>
          <w:rFonts w:ascii="宋体" w:hAnsi="宋体" w:eastAsia="宋体" w:cs="Times New Roman"/>
          <w:b/>
          <w:bCs/>
          <w:sz w:val="30"/>
          <w:szCs w:val="24"/>
        </w:rPr>
      </w:pPr>
      <w:bookmarkStart w:id="122" w:name="_Toc57017180"/>
      <w:bookmarkStart w:id="123" w:name="_Toc166165196"/>
      <w:r>
        <w:rPr>
          <w:rFonts w:hint="eastAsia" w:ascii="宋体" w:hAnsi="宋体" w:eastAsia="宋体" w:cs="Times New Roman"/>
          <w:b/>
          <w:bCs/>
          <w:sz w:val="30"/>
          <w:szCs w:val="24"/>
        </w:rPr>
        <w:t>教育统计与测量课程教学大纲</w:t>
      </w:r>
      <w:bookmarkEnd w:id="122"/>
      <w:bookmarkEnd w:id="123"/>
    </w:p>
    <w:p w14:paraId="2589E1A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（Education</w:t>
      </w:r>
      <w:r>
        <w:rPr>
          <w:rFonts w:hint="eastAsia" w:ascii="Times New Roman" w:hAnsi="Times New Roman" w:eastAsia="宋体" w:cs="Times New Roman"/>
          <w:b/>
          <w:bCs/>
          <w:sz w:val="28"/>
          <w:szCs w:val="28"/>
        </w:rPr>
        <w:t>al Psychology</w:t>
      </w:r>
      <w:r>
        <w:rPr>
          <w:rFonts w:ascii="Times New Roman" w:hAnsi="Times New Roman" w:eastAsia="宋体" w:cs="Times New Roman"/>
          <w:b/>
          <w:bCs/>
          <w:sz w:val="28"/>
          <w:szCs w:val="28"/>
        </w:rPr>
        <w:t>）</w:t>
      </w:r>
    </w:p>
    <w:p w14:paraId="693A2DCC">
      <w:pPr>
        <w:spacing w:line="360" w:lineRule="auto"/>
        <w:rPr>
          <w:rFonts w:ascii="宋体" w:hAnsi="宋体" w:eastAsia="宋体" w:cs="Times New Roman"/>
          <w:b/>
          <w:sz w:val="28"/>
          <w:szCs w:val="28"/>
        </w:rPr>
      </w:pPr>
      <w:r>
        <w:rPr>
          <w:rFonts w:ascii="宋体" w:hAnsi="宋体" w:eastAsia="宋体" w:cs="Times New Roman"/>
          <w:b/>
          <w:sz w:val="28"/>
          <w:szCs w:val="28"/>
        </w:rPr>
        <w:t>一、课程概况</w:t>
      </w:r>
    </w:p>
    <w:p w14:paraId="48499BDB">
      <w:pPr>
        <w:spacing w:line="360" w:lineRule="auto"/>
        <w:rPr>
          <w:rFonts w:ascii="宋体" w:hAnsi="宋体" w:eastAsia="宋体" w:cs="Times New Roman"/>
          <w:kern w:val="0"/>
          <w:sz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hint="eastAsia" w:ascii="宋体" w:hAnsi="宋体" w:eastAsia="宋体" w:cs="Times New Roman"/>
          <w:kern w:val="0"/>
          <w:sz w:val="24"/>
        </w:rPr>
        <w:t>2401015</w:t>
      </w:r>
    </w:p>
    <w:p w14:paraId="06A12A30">
      <w:pPr>
        <w:spacing w:line="360" w:lineRule="auto"/>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w:t>
      </w:r>
      <w:r>
        <w:rPr>
          <w:rFonts w:hint="eastAsia" w:ascii="宋体" w:hAnsi="宋体" w:eastAsia="宋体" w:cs="Times New Roman"/>
          <w:kern w:val="0"/>
          <w:sz w:val="24"/>
        </w:rPr>
        <w:t>2</w:t>
      </w:r>
    </w:p>
    <w:p w14:paraId="31F1FEF5">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w:t>
      </w:r>
    </w:p>
    <w:p w14:paraId="2DBBD840">
      <w:pPr>
        <w:spacing w:line="360" w:lineRule="auto"/>
        <w:jc w:val="left"/>
        <w:rPr>
          <w:rFonts w:ascii="宋体" w:hAnsi="宋体" w:eastAsia="宋体" w:cs="Times New Roman"/>
          <w:sz w:val="24"/>
        </w:rPr>
      </w:pPr>
      <w:r>
        <w:rPr>
          <w:rFonts w:ascii="宋体" w:hAnsi="宋体" w:eastAsia="宋体" w:cs="Times New Roman"/>
          <w:b/>
          <w:bCs/>
          <w:kern w:val="0"/>
          <w:sz w:val="24"/>
          <w:szCs w:val="24"/>
        </w:rPr>
        <w:t>先修课程</w:t>
      </w:r>
      <w:r>
        <w:rPr>
          <w:rFonts w:ascii="宋体" w:hAnsi="宋体" w:eastAsia="宋体" w:cs="Times New Roman"/>
          <w:b/>
          <w:kern w:val="0"/>
          <w:sz w:val="24"/>
          <w:szCs w:val="24"/>
        </w:rPr>
        <w:t>：</w:t>
      </w:r>
    </w:p>
    <w:p w14:paraId="5795C947">
      <w:pPr>
        <w:spacing w:line="360" w:lineRule="auto"/>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hint="eastAsia" w:ascii="宋体" w:hAnsi="宋体" w:eastAsia="宋体" w:cs="Times New Roman"/>
          <w:kern w:val="0"/>
          <w:sz w:val="24"/>
          <w:szCs w:val="24"/>
        </w:rPr>
        <w:t>小学</w:t>
      </w:r>
      <w:r>
        <w:rPr>
          <w:rFonts w:ascii="宋体" w:hAnsi="宋体" w:eastAsia="宋体" w:cs="Times New Roman"/>
          <w:kern w:val="0"/>
          <w:sz w:val="24"/>
          <w:szCs w:val="24"/>
        </w:rPr>
        <w:t>教育</w:t>
      </w:r>
      <w:r>
        <w:rPr>
          <w:rFonts w:hint="eastAsia" w:ascii="宋体" w:hAnsi="宋体" w:eastAsia="宋体" w:cs="Times New Roman"/>
          <w:kern w:val="0"/>
          <w:sz w:val="24"/>
          <w:szCs w:val="24"/>
        </w:rPr>
        <w:t>（文）、小学教育（理）</w:t>
      </w:r>
      <w:r>
        <w:rPr>
          <w:rFonts w:ascii="宋体" w:hAnsi="宋体" w:eastAsia="宋体" w:cs="Times New Roman"/>
          <w:kern w:val="0"/>
          <w:sz w:val="24"/>
          <w:szCs w:val="24"/>
        </w:rPr>
        <w:t xml:space="preserve">                         </w:t>
      </w:r>
    </w:p>
    <w:p w14:paraId="65635A1E">
      <w:pPr>
        <w:spacing w:line="360" w:lineRule="auto"/>
        <w:rPr>
          <w:rFonts w:ascii="宋体" w:hAnsi="宋体" w:eastAsia="宋体" w:cs="Times New Roman"/>
          <w:kern w:val="0"/>
          <w:sz w:val="24"/>
          <w:szCs w:val="24"/>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ascii="宋体" w:hAnsi="宋体" w:eastAsia="宋体" w:cs="Times New Roman"/>
          <w:kern w:val="0"/>
          <w:sz w:val="24"/>
          <w:szCs w:val="24"/>
        </w:rPr>
        <w:t>《</w:t>
      </w:r>
      <w:r>
        <w:rPr>
          <w:rFonts w:hint="eastAsia" w:ascii="宋体" w:hAnsi="宋体" w:eastAsia="宋体" w:cs="Times New Roman"/>
          <w:kern w:val="0"/>
          <w:sz w:val="24"/>
          <w:szCs w:val="24"/>
        </w:rPr>
        <w:t>现代心理与</w:t>
      </w:r>
      <w:r>
        <w:rPr>
          <w:rFonts w:hint="eastAsia" w:ascii="宋体" w:hAnsi="宋体" w:eastAsia="宋体" w:cs="Times New Roman"/>
          <w:sz w:val="24"/>
        </w:rPr>
        <w:t>教育统计学</w:t>
      </w:r>
      <w:r>
        <w:rPr>
          <w:rFonts w:ascii="宋体" w:hAnsi="宋体" w:eastAsia="宋体" w:cs="Times New Roman"/>
          <w:sz w:val="24"/>
        </w:rPr>
        <w:t>》</w:t>
      </w:r>
      <w:r>
        <w:rPr>
          <w:rFonts w:hint="eastAsia" w:ascii="宋体" w:hAnsi="宋体" w:eastAsia="宋体" w:cs="Times New Roman"/>
          <w:sz w:val="24"/>
        </w:rPr>
        <w:t>(第5版).张厚粲，徐建平.北京师范大学出版社，</w:t>
      </w:r>
      <w:r>
        <w:rPr>
          <w:rFonts w:ascii="宋体" w:hAnsi="宋体" w:eastAsia="宋体" w:cs="Times New Roman"/>
          <w:kern w:val="0"/>
          <w:sz w:val="24"/>
          <w:szCs w:val="24"/>
        </w:rPr>
        <w:t>20</w:t>
      </w:r>
      <w:r>
        <w:rPr>
          <w:rFonts w:hint="eastAsia" w:ascii="宋体" w:hAnsi="宋体" w:eastAsia="宋体" w:cs="Times New Roman"/>
          <w:kern w:val="0"/>
          <w:sz w:val="24"/>
          <w:szCs w:val="24"/>
        </w:rPr>
        <w:t>20.</w:t>
      </w:r>
    </w:p>
    <w:p w14:paraId="50708C40">
      <w:pPr>
        <w:spacing w:line="360" w:lineRule="auto"/>
        <w:rPr>
          <w:rFonts w:ascii="宋体" w:hAnsi="宋体" w:eastAsia="宋体" w:cs="Times New Roman"/>
          <w:sz w:val="24"/>
        </w:rPr>
      </w:pPr>
      <w:r>
        <w:rPr>
          <w:rFonts w:ascii="宋体" w:hAnsi="宋体" w:eastAsia="宋体" w:cs="Times New Roman"/>
          <w:b/>
          <w:bCs/>
          <w:kern w:val="0"/>
          <w:sz w:val="24"/>
          <w:szCs w:val="24"/>
        </w:rPr>
        <w:t>课程归口：</w:t>
      </w:r>
      <w:r>
        <w:rPr>
          <w:rFonts w:hint="eastAsia" w:ascii="宋体" w:hAnsi="宋体" w:eastAsia="宋体" w:cs="Times New Roman"/>
          <w:sz w:val="24"/>
        </w:rPr>
        <w:t>师范</w:t>
      </w:r>
      <w:r>
        <w:rPr>
          <w:rFonts w:ascii="宋体" w:hAnsi="宋体" w:eastAsia="宋体" w:cs="Times New Roman"/>
          <w:sz w:val="24"/>
        </w:rPr>
        <w:t>学院</w:t>
      </w:r>
    </w:p>
    <w:p w14:paraId="01FDBE49">
      <w:pPr>
        <w:autoSpaceDE w:val="0"/>
        <w:autoSpaceDN w:val="0"/>
        <w:adjustRightInd w:val="0"/>
        <w:spacing w:line="360" w:lineRule="auto"/>
        <w:jc w:val="left"/>
        <w:rPr>
          <w:rFonts w:ascii="宋体" w:hAnsi="宋体" w:eastAsia="宋体" w:cs="Times New Roman"/>
          <w:kern w:val="0"/>
          <w:sz w:val="24"/>
        </w:rPr>
      </w:pPr>
      <w:r>
        <w:rPr>
          <w:rFonts w:hint="eastAsia" w:ascii="宋体" w:hAnsi="宋体" w:eastAsia="宋体" w:cs="Times New Roman"/>
          <w:b/>
          <w:bCs/>
          <w:kern w:val="0"/>
          <w:sz w:val="24"/>
          <w:szCs w:val="24"/>
        </w:rPr>
        <w:t>课程的性质与任务：</w:t>
      </w:r>
      <w:r>
        <w:rPr>
          <w:rFonts w:hint="eastAsia" w:ascii="Times New Roman" w:hAnsi="Times New Roman" w:eastAsia="宋体" w:cs="Times New Roman"/>
          <w:bCs/>
          <w:sz w:val="24"/>
          <w:szCs w:val="24"/>
        </w:rPr>
        <w:t>本课程是小学教育专业的专业基础必修课。通过本课程的学习使师范生能够运用统计学和测量学的一般原理和方法研究教育问题，将教育现象按照教育目标规定的要求用数字加以确定。本课程的主要任务是：学习教育统计与测量的基本理论；学习对教育问题进行数理统计分析和数字确定的基本原理；培养教育科研的基本能力；提高分析问题、解决问题的能力，为后续《社会统计软件》、《教育科学研究方法》等课程</w:t>
      </w:r>
      <w:r>
        <w:rPr>
          <w:rFonts w:ascii="宋体" w:hAnsi="宋体" w:eastAsia="宋体" w:cs="Times New Roman"/>
          <w:kern w:val="0"/>
          <w:sz w:val="24"/>
        </w:rPr>
        <w:t>及</w:t>
      </w:r>
      <w:r>
        <w:rPr>
          <w:rFonts w:hint="eastAsia" w:ascii="宋体" w:hAnsi="宋体" w:eastAsia="宋体" w:cs="Times New Roman"/>
          <w:kern w:val="0"/>
          <w:sz w:val="24"/>
        </w:rPr>
        <w:t>教育实习与</w:t>
      </w:r>
      <w:r>
        <w:rPr>
          <w:rFonts w:hint="eastAsia" w:ascii="Times New Roman" w:hAnsi="Times New Roman" w:eastAsia="宋体" w:cs="Times New Roman"/>
          <w:bCs/>
          <w:sz w:val="24"/>
          <w:szCs w:val="24"/>
        </w:rPr>
        <w:t>毕业论文等实践</w:t>
      </w:r>
      <w:r>
        <w:rPr>
          <w:rFonts w:ascii="宋体" w:hAnsi="宋体" w:eastAsia="宋体" w:cs="Times New Roman"/>
          <w:kern w:val="0"/>
          <w:sz w:val="24"/>
        </w:rPr>
        <w:t>环节</w:t>
      </w:r>
      <w:r>
        <w:rPr>
          <w:rFonts w:hint="eastAsia" w:ascii="宋体" w:hAnsi="宋体" w:eastAsia="宋体" w:cs="Times New Roman"/>
          <w:kern w:val="0"/>
          <w:sz w:val="24"/>
        </w:rPr>
        <w:t>奠定</w:t>
      </w:r>
      <w:r>
        <w:rPr>
          <w:rFonts w:hint="eastAsia" w:ascii="Times New Roman" w:hAnsi="Times New Roman" w:eastAsia="宋体" w:cs="Times New Roman"/>
          <w:bCs/>
          <w:sz w:val="24"/>
          <w:szCs w:val="24"/>
        </w:rPr>
        <w:t>基础。</w:t>
      </w:r>
    </w:p>
    <w:p w14:paraId="187DFD47">
      <w:pPr>
        <w:spacing w:line="360" w:lineRule="auto"/>
        <w:rPr>
          <w:rFonts w:ascii="宋体" w:hAnsi="宋体" w:eastAsia="宋体" w:cs="Times New Roman"/>
          <w:b/>
          <w:sz w:val="28"/>
          <w:szCs w:val="28"/>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283AC0E7">
      <w:pPr>
        <w:spacing w:line="360" w:lineRule="auto"/>
        <w:rPr>
          <w:rFonts w:ascii="宋体" w:hAnsi="宋体" w:eastAsia="宋体" w:cs="Times New Roman"/>
          <w:b/>
          <w:sz w:val="24"/>
          <w:szCs w:val="24"/>
        </w:rPr>
      </w:pPr>
      <w:r>
        <w:rPr>
          <w:rFonts w:hint="eastAsia" w:ascii="宋体" w:hAnsi="宋体" w:eastAsia="宋体" w:cs="Times New Roman"/>
          <w:b/>
          <w:sz w:val="24"/>
          <w:szCs w:val="24"/>
        </w:rPr>
        <w:t>（一）课程具体目标</w:t>
      </w:r>
    </w:p>
    <w:p w14:paraId="77B1C0B2">
      <w:pPr>
        <w:spacing w:line="360" w:lineRule="auto"/>
        <w:rPr>
          <w:rFonts w:ascii="宋体" w:hAnsi="宋体" w:eastAsia="宋体" w:cs="Times New Roman"/>
          <w:kern w:val="0"/>
          <w:sz w:val="24"/>
        </w:rPr>
      </w:pPr>
      <w:r>
        <w:rPr>
          <w:rFonts w:hint="eastAsia" w:ascii="宋体" w:hAnsi="宋体" w:eastAsia="宋体" w:cs="Times New Roman"/>
          <w:kern w:val="0"/>
          <w:sz w:val="24"/>
        </w:rPr>
        <w:t>目标1：掌握教育统计与测量的基本原理与方法，以分析和解决小学教育实践中的问题，形成一定的教学研究能力。</w:t>
      </w:r>
    </w:p>
    <w:p w14:paraId="7C25B711">
      <w:pPr>
        <w:spacing w:line="360" w:lineRule="auto"/>
        <w:rPr>
          <w:rFonts w:ascii="宋体" w:hAnsi="宋体" w:eastAsia="宋体" w:cs="Times New Roman"/>
          <w:kern w:val="0"/>
          <w:sz w:val="24"/>
        </w:rPr>
      </w:pPr>
      <w:r>
        <w:rPr>
          <w:rFonts w:hint="eastAsia" w:ascii="宋体" w:hAnsi="宋体" w:eastAsia="宋体" w:cs="Times New Roman"/>
          <w:kern w:val="0"/>
          <w:sz w:val="24"/>
        </w:rPr>
        <w:t>目标2：能运用教育统计与测量实施教学评价，发展反思意识，掌握一定的批判性思维能力。</w:t>
      </w:r>
    </w:p>
    <w:p w14:paraId="05AE0060">
      <w:pPr>
        <w:numPr>
          <w:ilvl w:val="0"/>
          <w:numId w:val="3"/>
        </w:numPr>
        <w:spacing w:line="360" w:lineRule="auto"/>
        <w:rPr>
          <w:rFonts w:ascii="宋体" w:hAnsi="宋体" w:eastAsia="宋体" w:cs="Times New Roman"/>
          <w:b/>
          <w:sz w:val="24"/>
          <w:szCs w:val="24"/>
        </w:rPr>
      </w:pPr>
      <w:r>
        <w:rPr>
          <w:rFonts w:hint="eastAsia" w:ascii="宋体" w:hAnsi="宋体" w:eastAsia="宋体" w:cs="Times New Roman"/>
          <w:b/>
          <w:sz w:val="24"/>
          <w:szCs w:val="24"/>
        </w:rPr>
        <w:t>课程目标与专业毕业要求的关系</w:t>
      </w:r>
    </w:p>
    <w:tbl>
      <w:tblPr>
        <w:tblStyle w:val="3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085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115EA9C">
            <w:pPr>
              <w:spacing w:line="26" w:lineRule="atLeast"/>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1C43B803">
            <w:pPr>
              <w:spacing w:line="26" w:lineRule="atLeast"/>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696B9F55">
            <w:pPr>
              <w:spacing w:line="26" w:lineRule="atLeast"/>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4E0A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0B29AC32">
            <w:pPr>
              <w:spacing w:line="26" w:lineRule="atLeast"/>
              <w:jc w:val="center"/>
              <w:rPr>
                <w:rFonts w:ascii="宋体" w:hAnsi="宋体" w:eastAsia="宋体" w:cs="宋体"/>
                <w:bCs/>
                <w:szCs w:val="21"/>
              </w:rPr>
            </w:pPr>
            <w:r>
              <w:rPr>
                <w:rFonts w:hint="eastAsia" w:ascii="宋体" w:hAnsi="宋体" w:eastAsia="宋体" w:cs="宋体"/>
                <w:bCs/>
                <w:szCs w:val="21"/>
              </w:rPr>
              <w:t>课程目标1</w:t>
            </w:r>
          </w:p>
        </w:tc>
        <w:tc>
          <w:tcPr>
            <w:tcW w:w="2223" w:type="dxa"/>
            <w:vAlign w:val="center"/>
          </w:tcPr>
          <w:p w14:paraId="247AA5F3">
            <w:pPr>
              <w:spacing w:line="26" w:lineRule="atLeast"/>
              <w:rPr>
                <w:rFonts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r>
              <w:rPr>
                <w:rFonts w:hint="eastAsia" w:ascii="宋体" w:hAnsi="宋体" w:eastAsia="宋体" w:cs="Times New Roman"/>
                <w:kern w:val="0"/>
                <w:szCs w:val="21"/>
              </w:rPr>
              <w:t>教学能力</w:t>
            </w:r>
          </w:p>
        </w:tc>
        <w:tc>
          <w:tcPr>
            <w:tcW w:w="4977" w:type="dxa"/>
            <w:vAlign w:val="center"/>
          </w:tcPr>
          <w:p w14:paraId="3933BF30">
            <w:pPr>
              <w:spacing w:line="26" w:lineRule="atLeast"/>
              <w:jc w:val="left"/>
              <w:rPr>
                <w:rFonts w:ascii="宋体" w:hAnsi="宋体" w:eastAsia="宋体" w:cs="Times New Roman"/>
                <w:kern w:val="0"/>
                <w:sz w:val="18"/>
                <w:szCs w:val="18"/>
              </w:rPr>
            </w:pPr>
            <w:r>
              <w:rPr>
                <w:rFonts w:hint="eastAsia" w:ascii="宋体" w:hAnsi="宋体" w:eastAsia="宋体" w:cs="Times New Roman"/>
                <w:kern w:val="0"/>
                <w:szCs w:val="21"/>
              </w:rPr>
              <w:t>指标点4-4：【教学研究能力好】掌握教育研究的基本方法，结合小学教育教学实践进行研究，具有一定的教学研究能力。</w:t>
            </w:r>
          </w:p>
        </w:tc>
      </w:tr>
      <w:tr w14:paraId="5BDB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448D5C30">
            <w:pPr>
              <w:spacing w:line="26" w:lineRule="atLeast"/>
              <w:jc w:val="center"/>
              <w:rPr>
                <w:rFonts w:ascii="宋体" w:hAnsi="宋体" w:eastAsia="宋体" w:cs="宋体"/>
                <w:szCs w:val="21"/>
              </w:rPr>
            </w:pPr>
            <w:r>
              <w:rPr>
                <w:rFonts w:hint="eastAsia" w:ascii="宋体" w:hAnsi="宋体" w:eastAsia="宋体" w:cs="宋体"/>
                <w:szCs w:val="21"/>
              </w:rPr>
              <w:t>课程目标2</w:t>
            </w:r>
          </w:p>
        </w:tc>
        <w:tc>
          <w:tcPr>
            <w:tcW w:w="2223" w:type="dxa"/>
            <w:vAlign w:val="center"/>
          </w:tcPr>
          <w:p w14:paraId="67201868">
            <w:pPr>
              <w:spacing w:line="26" w:lineRule="atLeast"/>
              <w:rPr>
                <w:rFonts w:ascii="宋体" w:hAnsi="宋体" w:eastAsia="宋体" w:cs="Times New Roman"/>
                <w:kern w:val="0"/>
                <w:sz w:val="18"/>
                <w:szCs w:val="18"/>
              </w:rPr>
            </w:pPr>
            <w:r>
              <w:rPr>
                <w:rFonts w:hint="eastAsia" w:ascii="宋体" w:hAnsi="宋体" w:eastAsia="宋体" w:cs="Times New Roman"/>
                <w:kern w:val="0"/>
                <w:szCs w:val="21"/>
              </w:rPr>
              <w:t>毕业要求7</w:t>
            </w:r>
            <w:r>
              <w:rPr>
                <w:rFonts w:ascii="宋体" w:hAnsi="宋体" w:eastAsia="宋体" w:cs="Times New Roman"/>
                <w:kern w:val="0"/>
                <w:szCs w:val="21"/>
              </w:rPr>
              <w:t>.</w:t>
            </w:r>
            <w:r>
              <w:rPr>
                <w:rFonts w:hint="eastAsia" w:ascii="宋体" w:hAnsi="宋体" w:eastAsia="宋体" w:cs="Times New Roman"/>
                <w:kern w:val="0"/>
                <w:szCs w:val="21"/>
              </w:rPr>
              <w:t>学会反思</w:t>
            </w:r>
          </w:p>
        </w:tc>
        <w:tc>
          <w:tcPr>
            <w:tcW w:w="4977" w:type="dxa"/>
            <w:vAlign w:val="center"/>
          </w:tcPr>
          <w:p w14:paraId="694A2248">
            <w:pPr>
              <w:spacing w:line="26" w:lineRule="atLeast"/>
              <w:jc w:val="left"/>
              <w:rPr>
                <w:rFonts w:ascii="宋体" w:hAnsi="宋体" w:eastAsia="宋体" w:cs="Times New Roman"/>
                <w:kern w:val="0"/>
                <w:sz w:val="18"/>
                <w:szCs w:val="18"/>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5D3CBAB5">
      <w:pPr>
        <w:spacing w:line="26" w:lineRule="atLeast"/>
        <w:rPr>
          <w:rFonts w:ascii="宋体" w:hAnsi="宋体" w:eastAsia="宋体" w:cs="Times New Roman"/>
          <w:b/>
          <w:kern w:val="0"/>
          <w:sz w:val="24"/>
        </w:rPr>
      </w:pPr>
      <w:r>
        <w:rPr>
          <w:rFonts w:hint="eastAsia" w:ascii="宋体" w:hAnsi="宋体" w:eastAsia="宋体" w:cs="Times New Roman"/>
          <w:b/>
          <w:kern w:val="0"/>
          <w:sz w:val="24"/>
        </w:rPr>
        <w:t xml:space="preserve">        </w:t>
      </w:r>
    </w:p>
    <w:p w14:paraId="110BE843">
      <w:pPr>
        <w:spacing w:line="26" w:lineRule="atLeast"/>
        <w:ind w:firstLine="562" w:firstLineChars="200"/>
        <w:rPr>
          <w:rFonts w:ascii="宋体" w:hAnsi="宋体" w:eastAsia="宋体" w:cs="Times New Roman"/>
          <w:b/>
          <w:sz w:val="28"/>
          <w:szCs w:val="28"/>
        </w:rPr>
      </w:pPr>
      <w:r>
        <w:rPr>
          <w:rFonts w:hint="eastAsia" w:ascii="宋体" w:hAnsi="宋体" w:eastAsia="宋体" w:cs="Times New Roman"/>
          <w:b/>
          <w:sz w:val="28"/>
          <w:szCs w:val="28"/>
        </w:rPr>
        <w:t>三</w:t>
      </w:r>
      <w:r>
        <w:rPr>
          <w:rFonts w:ascii="宋体" w:hAnsi="宋体" w:eastAsia="宋体" w:cs="Times New Roman"/>
          <w:b/>
          <w:sz w:val="28"/>
          <w:szCs w:val="28"/>
        </w:rPr>
        <w:t>、课程内容及要求</w:t>
      </w:r>
    </w:p>
    <w:p w14:paraId="1EBFA7C6">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（一）教育统计与测量概述</w:t>
      </w:r>
      <w:r>
        <w:rPr>
          <w:rFonts w:hint="eastAsia" w:ascii="宋体" w:hAnsi="宋体" w:eastAsia="宋体" w:cs="Times New Roman"/>
          <w:b/>
          <w:sz w:val="24"/>
        </w:rPr>
        <w:t>（本模块各知识点的讲授与学习，可以支撑课程目标1）</w:t>
      </w:r>
    </w:p>
    <w:p w14:paraId="078DEFF6">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1.学习内容</w:t>
      </w:r>
    </w:p>
    <w:p w14:paraId="26E6C5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（1）教育统计在教育实践中的意义、内容与基本概念</w:t>
      </w:r>
    </w:p>
    <w:p w14:paraId="0F8009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（2）教育测量在教育实践中的意义、性质与基本要素</w:t>
      </w:r>
    </w:p>
    <w:p w14:paraId="5CA8006D">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2.学习要求</w:t>
      </w:r>
    </w:p>
    <w:p w14:paraId="72D320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（1）了解教育统计与测量在教育实践中的意义；</w:t>
      </w:r>
    </w:p>
    <w:p w14:paraId="20BF5C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（2）熟悉教育统计的基本内容；</w:t>
      </w:r>
    </w:p>
    <w:p w14:paraId="32C03A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（3）掌握教育统计的基本概念；</w:t>
      </w:r>
    </w:p>
    <w:p w14:paraId="422572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（4）理解教育测量的性质与基本要素。</w:t>
      </w:r>
    </w:p>
    <w:p w14:paraId="22A9F31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2137A9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（1）了解科学测量方式对生活的影响，形成良好的科学素养。</w:t>
      </w:r>
    </w:p>
    <w:p w14:paraId="4C5B82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（2）教育中进行统计与测量，强化科学育人观。</w:t>
      </w:r>
    </w:p>
    <w:p w14:paraId="019CE2FF">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教育统计的基本概念，教育测量的性质与基本要素。</w:t>
      </w:r>
    </w:p>
    <w:p w14:paraId="3C7BB91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教育统计的基本概念。</w:t>
      </w:r>
    </w:p>
    <w:p w14:paraId="4DB5856E">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（二）数据的初步整理与统计图表</w:t>
      </w:r>
      <w:r>
        <w:rPr>
          <w:rFonts w:hint="eastAsia" w:ascii="宋体" w:hAnsi="宋体" w:eastAsia="宋体" w:cs="Times New Roman"/>
          <w:b/>
          <w:sz w:val="24"/>
        </w:rPr>
        <w:t>（本模块各知识点的讲授与学习，可以支撑课程目标1、2）</w:t>
      </w:r>
    </w:p>
    <w:p w14:paraId="748A49F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5F8A7B4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（1）资料的初步整理</w:t>
      </w:r>
    </w:p>
    <w:p w14:paraId="3542AC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（2）常用的统计表</w:t>
      </w:r>
    </w:p>
    <w:p w14:paraId="0379F2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（3）常用的统计图</w:t>
      </w:r>
    </w:p>
    <w:p w14:paraId="5BD4572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BA83B0E">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（1）掌握教育研究数据的初步整理方法与步骤；</w:t>
      </w:r>
    </w:p>
    <w:p w14:paraId="0EB8C2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（2）掌握常用的统计图表的基本结构、编制方法及适用条件。</w:t>
      </w:r>
    </w:p>
    <w:p w14:paraId="7A57D81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62BB69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（1）用科学方法整理数据和绘制图表，形成良好的理性思维。</w:t>
      </w:r>
    </w:p>
    <w:p w14:paraId="385C71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（2）培育尊重科学、正确认识日常现象的习惯。</w:t>
      </w:r>
    </w:p>
    <w:p w14:paraId="159DFC0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数据的初步整理与统计图表编制。</w:t>
      </w:r>
    </w:p>
    <w:p w14:paraId="2F48A1A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次数分布表与次数分布图的编制。</w:t>
      </w:r>
    </w:p>
    <w:p w14:paraId="151FD8D1">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（三）集中量数</w:t>
      </w:r>
      <w:r>
        <w:rPr>
          <w:rFonts w:hint="eastAsia" w:ascii="宋体" w:hAnsi="宋体" w:eastAsia="宋体" w:cs="Times New Roman"/>
          <w:b/>
          <w:sz w:val="24"/>
        </w:rPr>
        <w:t>（本模块各知识点的讲授与学习，可以支撑课程目标1、2）</w:t>
      </w:r>
    </w:p>
    <w:p w14:paraId="73872A3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E1582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（1）算术平均数</w:t>
      </w:r>
    </w:p>
    <w:p w14:paraId="038289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（2）中数与众数</w:t>
      </w:r>
    </w:p>
    <w:p w14:paraId="1982DD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（3）其他集中量数</w:t>
      </w:r>
    </w:p>
    <w:p w14:paraId="6005CC5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28BC90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（1）理解各种集中量数的含义、性质与作用；</w:t>
      </w:r>
    </w:p>
    <w:p w14:paraId="0D46FF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（2）掌握各种集中量数的计算方法；</w:t>
      </w:r>
    </w:p>
    <w:p w14:paraId="1B952C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（3）掌握各种集中量数的适用条件，能恰当地运用于描述各类数据的集中趋势。</w:t>
      </w:r>
    </w:p>
    <w:p w14:paraId="4BAA658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520DA7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（1）学会用数学思维认识世界，为科技兴国奠定基本的科学素养。</w:t>
      </w:r>
    </w:p>
    <w:p w14:paraId="5ED1C5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（2）掌握分析和看待世界的基本统计量。</w:t>
      </w:r>
    </w:p>
    <w:p w14:paraId="0DCBD13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各种集中量数的计算方法及适用条件。</w:t>
      </w:r>
    </w:p>
    <w:p w14:paraId="7960533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各种集中量数的适用条件及其灵活运用。</w:t>
      </w:r>
    </w:p>
    <w:p w14:paraId="3B397F6C">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（四）差异量数</w:t>
      </w:r>
      <w:r>
        <w:rPr>
          <w:rFonts w:hint="eastAsia" w:ascii="宋体" w:hAnsi="宋体" w:eastAsia="宋体" w:cs="Times New Roman"/>
          <w:b/>
          <w:sz w:val="24"/>
        </w:rPr>
        <w:t>（本模块各知识点的讲授与学习，可以支撑课程目标1、2）</w:t>
      </w:r>
    </w:p>
    <w:p w14:paraId="7DCF484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6FF0A7B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（1）全距与百分位差</w:t>
      </w:r>
    </w:p>
    <w:p w14:paraId="23E0E01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（2）平均差、方差与标准差</w:t>
      </w:r>
    </w:p>
    <w:p w14:paraId="6B7443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（3）标准差的应用</w:t>
      </w:r>
    </w:p>
    <w:p w14:paraId="6A21F3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（4）差异系数的选用</w:t>
      </w:r>
    </w:p>
    <w:p w14:paraId="5B9DB47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67211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（1）理解各种差异量数的含义、性质与作用；</w:t>
      </w:r>
    </w:p>
    <w:p w14:paraId="042D0D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（2）掌握各种差异量数的计算方法；</w:t>
      </w:r>
    </w:p>
    <w:p w14:paraId="4C1DB7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（3）掌握各种差异量数的适用条件，能恰当地运用于描述各类数据的离中趋势。</w:t>
      </w:r>
    </w:p>
    <w:p w14:paraId="1D349AF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17947F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（1）通过学习各种差异量数，形成平和理性的世界观。</w:t>
      </w:r>
    </w:p>
    <w:p w14:paraId="2FE128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（2）通过认识差异量数的计算方法和运用情况，树立崇尚自然、尊重规律的理念。</w:t>
      </w:r>
    </w:p>
    <w:p w14:paraId="4157F362">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各种差异量数的计算方法及适用条件。</w:t>
      </w:r>
    </w:p>
    <w:p w14:paraId="15AAA5B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各种差异量数的适用条件及其灵活运用。</w:t>
      </w:r>
    </w:p>
    <w:p w14:paraId="071F7D08">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（五）相关关系</w:t>
      </w:r>
      <w:r>
        <w:rPr>
          <w:rFonts w:hint="eastAsia" w:ascii="宋体" w:hAnsi="宋体" w:eastAsia="宋体" w:cs="Times New Roman"/>
          <w:b/>
          <w:sz w:val="24"/>
        </w:rPr>
        <w:t>（本模块各知识点的讲授与学习，可以支撑课程目标1、2）</w:t>
      </w:r>
    </w:p>
    <w:p w14:paraId="0CDB449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F62D7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（1）相关、相关关系与散点图</w:t>
      </w:r>
    </w:p>
    <w:p w14:paraId="71E0DB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（2）积差相关</w:t>
      </w:r>
    </w:p>
    <w:p w14:paraId="526AFB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（3）等级相关</w:t>
      </w:r>
    </w:p>
    <w:p w14:paraId="650417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（4）质与量相关</w:t>
      </w:r>
    </w:p>
    <w:p w14:paraId="23A709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（5）品质相关</w:t>
      </w:r>
    </w:p>
    <w:p w14:paraId="5334B56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（6）相关关系的选用与解释</w:t>
      </w:r>
    </w:p>
    <w:p w14:paraId="626EF25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E87D3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（1）理解相关、散点图、相关系数的类别与含义；</w:t>
      </w:r>
    </w:p>
    <w:p w14:paraId="1C9944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（2）掌握各种相关系数的计算方法；</w:t>
      </w:r>
    </w:p>
    <w:p w14:paraId="7231E3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（3）掌握各种相关系数的适用条件，能恰当对各类相关系数进行相关分析。</w:t>
      </w:r>
    </w:p>
    <w:p w14:paraId="6756846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231639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（1）认识到万事万物存在是一种看似相互独立、实则相互联系的辩证观。</w:t>
      </w:r>
    </w:p>
    <w:p w14:paraId="4B05CC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（2）通过认识统计学意义上的相关，深化对马克思主义经典理论和习近平新时代中国特色社会主义思想的认识。</w:t>
      </w:r>
    </w:p>
    <w:p w14:paraId="4BF4E30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各种相关系数的计算方法及适用条件。</w:t>
      </w:r>
    </w:p>
    <w:p w14:paraId="4C44AFF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各种相关系数的适用条件及其灵活运用。</w:t>
      </w:r>
    </w:p>
    <w:p w14:paraId="5BF928A6">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（六）概率分布</w:t>
      </w:r>
      <w:r>
        <w:rPr>
          <w:rFonts w:hint="eastAsia" w:ascii="宋体" w:hAnsi="宋体" w:eastAsia="宋体" w:cs="Times New Roman"/>
          <w:b/>
          <w:sz w:val="24"/>
        </w:rPr>
        <w:t>（本模块各知识点的讲授与学习，可以支撑课程目标1、2）</w:t>
      </w:r>
    </w:p>
    <w:p w14:paraId="1836575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E1E4F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（1）概率的基本概念</w:t>
      </w:r>
    </w:p>
    <w:p w14:paraId="3EFA36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（2）正态分布</w:t>
      </w:r>
    </w:p>
    <w:p w14:paraId="105589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（3）二项分布</w:t>
      </w:r>
    </w:p>
    <w:p w14:paraId="6F8224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（4）样本分布</w:t>
      </w:r>
    </w:p>
    <w:p w14:paraId="7BEFD92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09F86A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（1）掌握有关概率的基本知识；</w:t>
      </w:r>
    </w:p>
    <w:p w14:paraId="4A2FA2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（2）理解常用概率分布的基本特征；</w:t>
      </w:r>
    </w:p>
    <w:p w14:paraId="011006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（3）掌握各类概率分布的适用条件，能恰当地应用各类概率分布。</w:t>
      </w:r>
    </w:p>
    <w:p w14:paraId="4038422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5C6266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（1）通过了解概率的基本特征与适用条件，达到对世界现象和问题的深层意义的了解。</w:t>
      </w:r>
    </w:p>
    <w:p w14:paraId="108D92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（2）培育透过现象看本质、更好地认识自然规律、防止迷信的传播。</w:t>
      </w:r>
    </w:p>
    <w:p w14:paraId="54C700B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各种概率分布的基本特征与适用条件。</w:t>
      </w:r>
    </w:p>
    <w:p w14:paraId="1835874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各种概率分布的基本特征与适用条件。</w:t>
      </w:r>
    </w:p>
    <w:p w14:paraId="01D6C84D">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（七）参数估计与检验</w:t>
      </w:r>
      <w:r>
        <w:rPr>
          <w:rFonts w:hint="eastAsia" w:ascii="宋体" w:hAnsi="宋体" w:eastAsia="宋体" w:cs="Times New Roman"/>
          <w:b/>
          <w:sz w:val="24"/>
        </w:rPr>
        <w:t>（本模块各知识点的讲授与学习，可以支撑课程目标1、2）</w:t>
      </w:r>
    </w:p>
    <w:p w14:paraId="51CA488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CED4A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（1）点估计与区间估计</w:t>
      </w:r>
    </w:p>
    <w:p w14:paraId="2D55FB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（2）假设检验基本原理</w:t>
      </w:r>
    </w:p>
    <w:p w14:paraId="0F8C98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（3）平均数与平均数差异的显著性检验</w:t>
      </w:r>
    </w:p>
    <w:p w14:paraId="5BD505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（4）方差的显著性检验</w:t>
      </w:r>
    </w:p>
    <w:p w14:paraId="4B964EC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2253B4D2">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（1）掌握点估计与区间估计的原理、步骤与方法；</w:t>
      </w:r>
    </w:p>
    <w:p w14:paraId="6984FA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（2）掌握假设检验的一般原理与步骤；</w:t>
      </w:r>
    </w:p>
    <w:p w14:paraId="763B3E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（3）掌握平均数、平均数差异及方差差异的检验步骤与方法。</w:t>
      </w:r>
    </w:p>
    <w:p w14:paraId="7BB90FC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2AC158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（1）通过了解假设检验，认识到科学精神本质之一就是可证伪性。</w:t>
      </w:r>
    </w:p>
    <w:p w14:paraId="37100E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（2）深化学生对马克思主义批判原理的认识。</w:t>
      </w:r>
    </w:p>
    <w:p w14:paraId="20675D2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点估计与区间估计的原理、步骤与方法，假设检验的一般原理与步骤。</w:t>
      </w:r>
    </w:p>
    <w:p w14:paraId="79A3731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假设检验的一般原理与步骤。</w:t>
      </w:r>
    </w:p>
    <w:p w14:paraId="260AD36E">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（八）方差分析</w:t>
      </w:r>
      <w:r>
        <w:rPr>
          <w:rFonts w:hint="eastAsia" w:ascii="宋体" w:hAnsi="宋体" w:eastAsia="宋体" w:cs="Times New Roman"/>
          <w:b/>
          <w:sz w:val="24"/>
        </w:rPr>
        <w:t>（本模块各知识点的讲授与学习，可以支撑课程目标1、2）</w:t>
      </w:r>
    </w:p>
    <w:p w14:paraId="3F526FF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F939F5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（1）方差分析的基本原理与步骤</w:t>
      </w:r>
    </w:p>
    <w:p w14:paraId="4060AD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（2）完全随机设计的方差分析</w:t>
      </w:r>
    </w:p>
    <w:p w14:paraId="55B1E7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（3）随机区组设计的方差分析</w:t>
      </w:r>
    </w:p>
    <w:p w14:paraId="160C66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（4）事后检验</w:t>
      </w:r>
    </w:p>
    <w:p w14:paraId="56A95AB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2320D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（1）掌握方差分析的一般原理；</w:t>
      </w:r>
    </w:p>
    <w:p w14:paraId="6E8D4E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（2）掌握完全随机设计与随机区组设计方差分析的步骤</w:t>
      </w:r>
    </w:p>
    <w:p w14:paraId="3EE8CB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（3）熟悉事后检验的方法。</w:t>
      </w:r>
    </w:p>
    <w:p w14:paraId="1361C79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059FF8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（1）培养学生对教育教学量化数据可以反映客观世界和表达细微差异性的深刻认识。</w:t>
      </w:r>
    </w:p>
    <w:p w14:paraId="5BA1AD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（2）培养学生对科学和理性精神的敬畏感。</w:t>
      </w:r>
    </w:p>
    <w:p w14:paraId="44572FE3">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方差分析的一般原理，完全随机设计与随机区组设计方差分析的步骤。</w:t>
      </w:r>
    </w:p>
    <w:p w14:paraId="2BA1B8E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方差分析的一般原理，完全随机设计与随机区组设计方差分析的步骤。</w:t>
      </w:r>
    </w:p>
    <w:p w14:paraId="7A21A720">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（九）参数估计与检验</w:t>
      </w:r>
      <w:r>
        <w:rPr>
          <w:rFonts w:hint="eastAsia" w:ascii="宋体" w:hAnsi="宋体" w:eastAsia="宋体" w:cs="Times New Roman"/>
          <w:b/>
          <w:sz w:val="24"/>
        </w:rPr>
        <w:t>（本模块各知识点的讲授与学习，可以支撑课程目标1、2）</w:t>
      </w:r>
    </w:p>
    <w:p w14:paraId="575817D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64A882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（1）点估计与区间估计</w:t>
      </w:r>
    </w:p>
    <w:p w14:paraId="05C634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（2）假设检验基本原理</w:t>
      </w:r>
    </w:p>
    <w:p w14:paraId="34A334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（3）平均数与平均数差异的显著性检验</w:t>
      </w:r>
    </w:p>
    <w:p w14:paraId="70BC53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（4）方差的显著性检验</w:t>
      </w:r>
    </w:p>
    <w:p w14:paraId="26E9765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73806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（1）掌握点估计与区间估计的原理、步骤与方法；</w:t>
      </w:r>
    </w:p>
    <w:p w14:paraId="74B678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（2）掌握假设检验的一般原理与步骤；</w:t>
      </w:r>
    </w:p>
    <w:p w14:paraId="231DD0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（3）掌握平均数、平均数差异及方差差异的检验步骤与方法。</w:t>
      </w:r>
    </w:p>
    <w:p w14:paraId="757AB90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2D6EE9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通过对假设检验原理和步骤的学习，培养学生的批判意识，让学生明白社会主义制度的优越性，培养抵御西方不良文化的侵袭的能力。</w:t>
      </w:r>
    </w:p>
    <w:p w14:paraId="18B8760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点估计与区间估计的原理、步骤与方法，假设检验的一般原理与步骤。</w:t>
      </w:r>
    </w:p>
    <w:p w14:paraId="3BF3E042">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假设检验的一般原理与步骤。</w:t>
      </w:r>
    </w:p>
    <w:p w14:paraId="6F55807F">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（十）方差分析</w:t>
      </w:r>
      <w:r>
        <w:rPr>
          <w:rFonts w:hint="eastAsia" w:ascii="宋体" w:hAnsi="宋体" w:eastAsia="宋体" w:cs="Times New Roman"/>
          <w:b/>
          <w:sz w:val="24"/>
        </w:rPr>
        <w:t>（本模块各知识点的讲授与学习，可以支撑课程目标1、2）</w:t>
      </w:r>
    </w:p>
    <w:p w14:paraId="0C7F3B1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67DEFF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（1）方差分析的基本原理与步骤</w:t>
      </w:r>
    </w:p>
    <w:p w14:paraId="1B862C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（2）完全随机设计的方差分析</w:t>
      </w:r>
    </w:p>
    <w:p w14:paraId="0F1C03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（3）随机区组设计的方差分析</w:t>
      </w:r>
    </w:p>
    <w:p w14:paraId="546958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（4）事后检验</w:t>
      </w:r>
    </w:p>
    <w:p w14:paraId="6D3A336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92B68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（1）掌握方差分析的一般原理；</w:t>
      </w:r>
    </w:p>
    <w:p w14:paraId="78B676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（2）掌握完全随机设计与随机区组设计方差分析的步骤</w:t>
      </w:r>
    </w:p>
    <w:p w14:paraId="6E3FDD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（3）熟悉事后检验的方法。</w:t>
      </w:r>
    </w:p>
    <w:p w14:paraId="7459E07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549B56CB">
      <w:pPr>
        <w:spacing w:line="336" w:lineRule="auto"/>
        <w:ind w:firstLine="480" w:firstLineChars="200"/>
        <w:rPr>
          <w:rFonts w:ascii="宋体" w:hAnsi="宋体" w:eastAsia="宋体" w:cs="宋体"/>
          <w:sz w:val="24"/>
          <w:szCs w:val="24"/>
        </w:rPr>
      </w:pPr>
      <w:r>
        <w:rPr>
          <w:rFonts w:hint="eastAsia" w:ascii="宋体" w:hAnsi="宋体" w:eastAsia="宋体" w:cs="宋体"/>
          <w:sz w:val="24"/>
          <w:szCs w:val="24"/>
        </w:rPr>
        <w:t>（1）认识到任何一种教育结果的发生之前，有众多不同的因素的影响。</w:t>
      </w:r>
    </w:p>
    <w:p w14:paraId="0B75E5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（2）能用统计学的语言描述社会现象，培养科学严谨的用词用语。</w:t>
      </w:r>
    </w:p>
    <w:p w14:paraId="59B427F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方差分析的一般原理，完全随机设计与随机区组设计方差分析的步骤。</w:t>
      </w:r>
    </w:p>
    <w:p w14:paraId="29D264C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方差分析的一般原理，完全随机设计与随机区组设计方差分析的步骤。</w:t>
      </w:r>
    </w:p>
    <w:p w14:paraId="7F976982">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（十一）卡方检验</w:t>
      </w:r>
      <w:r>
        <w:rPr>
          <w:rFonts w:hint="eastAsia" w:ascii="宋体" w:hAnsi="宋体" w:eastAsia="宋体" w:cs="Times New Roman"/>
          <w:b/>
          <w:sz w:val="24"/>
        </w:rPr>
        <w:t>（本模块各知识点的讲授与学习，可以支撑课程目标1、2）</w:t>
      </w:r>
    </w:p>
    <w:p w14:paraId="2C4CF58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5F6269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（1）卡方检验的基本原理</w:t>
      </w:r>
    </w:p>
    <w:p w14:paraId="7DF362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（2）配合度检验</w:t>
      </w:r>
    </w:p>
    <w:p w14:paraId="64B8B7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（3）独立性检验</w:t>
      </w:r>
    </w:p>
    <w:p w14:paraId="74CD81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（4）同质性检验</w:t>
      </w:r>
    </w:p>
    <w:p w14:paraId="77169F5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0FA69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（1）掌握卡方检验的一般原理；</w:t>
      </w:r>
    </w:p>
    <w:p w14:paraId="36E7DC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（2）掌握配合度检验、独立性检验与同质性检验的方法</w:t>
      </w:r>
    </w:p>
    <w:p w14:paraId="3E3B0E92">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2E0E4D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通过了解卡方检验，认识到人的活动所产生的信息并非完全能达到理想的数学标准。因此激发学生树立正确的“三观”，塑造良好人格，努力争做新时代建设祖国的有用之才。</w:t>
      </w:r>
    </w:p>
    <w:p w14:paraId="1F91DFF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卡方检验的一般原理，配合度检验、独立性检验与同质性检验的方法。</w:t>
      </w:r>
    </w:p>
    <w:p w14:paraId="30B9860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卡方检验的一般原理，配合度检验、独立性检验方法及应用。</w:t>
      </w:r>
    </w:p>
    <w:p w14:paraId="2F13A9EF">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（十二）线性回归</w:t>
      </w:r>
      <w:r>
        <w:rPr>
          <w:rFonts w:hint="eastAsia" w:ascii="宋体" w:hAnsi="宋体" w:eastAsia="宋体" w:cs="Times New Roman"/>
          <w:b/>
          <w:sz w:val="24"/>
        </w:rPr>
        <w:t>（本模块各知识点的讲授与学习，可以支撑课程目标1、2）</w:t>
      </w:r>
    </w:p>
    <w:p w14:paraId="0B37FEE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880EB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（1）线性回归模型的建立方法</w:t>
      </w:r>
    </w:p>
    <w:p w14:paraId="13DBA2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（2）回归模型的检验与估计</w:t>
      </w:r>
    </w:p>
    <w:p w14:paraId="50CE80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（3）回归方程的应用</w:t>
      </w:r>
    </w:p>
    <w:p w14:paraId="23A79BA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5BE18B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（1）掌握线性回归的一般原理；</w:t>
      </w:r>
    </w:p>
    <w:p w14:paraId="3539F1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（2）掌握线性回归模型建立的方法和检验方法；</w:t>
      </w:r>
    </w:p>
    <w:p w14:paraId="5CA753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（3）了解简单线性回归分析方法的用途。</w:t>
      </w:r>
    </w:p>
    <w:p w14:paraId="5FA09CC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483ADD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通过了解一些主要的因素都会对结果造成影响，激发学生注重培养自己的核心能力，健全自我人格，成为一个能对社会发挥出自己最大贡献的人。</w:t>
      </w:r>
    </w:p>
    <w:p w14:paraId="0FCC554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线性回归的一般原理，线性回归模型建立的方法和检验方法。</w:t>
      </w:r>
    </w:p>
    <w:p w14:paraId="33BA37D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线性回归的一般原理，线性回归模型建立的方法和检验方法。</w:t>
      </w:r>
    </w:p>
    <w:p w14:paraId="0ACBBAD3">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（十三）教育测量的种类与质量分析</w:t>
      </w:r>
      <w:r>
        <w:rPr>
          <w:rFonts w:hint="eastAsia" w:ascii="宋体" w:hAnsi="宋体" w:eastAsia="宋体" w:cs="Times New Roman"/>
          <w:b/>
          <w:sz w:val="24"/>
        </w:rPr>
        <w:t>（本模块各知识点的讲授与学习，可以支撑课程目标1、2）</w:t>
      </w:r>
    </w:p>
    <w:p w14:paraId="15137AB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138037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（1）教育测量的种类</w:t>
      </w:r>
    </w:p>
    <w:p w14:paraId="6446E7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（2）教育测量的信度与效度分析</w:t>
      </w:r>
    </w:p>
    <w:p w14:paraId="699356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（3）教育测量的项目分析</w:t>
      </w:r>
    </w:p>
    <w:p w14:paraId="651F72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19BC8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（1）熟悉教育测量的主要类型；</w:t>
      </w:r>
    </w:p>
    <w:p w14:paraId="23B91F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（2）掌握教育测量信度与效度分析的基本方法；</w:t>
      </w:r>
    </w:p>
    <w:p w14:paraId="69E3DE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（3）掌握教育测量项目分析的方法与步骤。</w:t>
      </w:r>
    </w:p>
    <w:p w14:paraId="7131B9E3">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574921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（1）渗透社会主义核心价值观。</w:t>
      </w:r>
    </w:p>
    <w:p w14:paraId="3614AF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（2）结合对测验的信效度分析方法，让学生尊重事实、秉持真理、严谨细致，培育匠人精神。</w:t>
      </w:r>
    </w:p>
    <w:p w14:paraId="048609E6">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教育测量信度与效度分析的基本方法，项目分析的方法与步骤。</w:t>
      </w:r>
    </w:p>
    <w:p w14:paraId="043FE01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教育测量信度与效度分析的基本方法，项目分析的方法与步骤。</w:t>
      </w:r>
    </w:p>
    <w:p w14:paraId="03D1DEBA">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（十四）教育测验的编制与实施</w:t>
      </w:r>
      <w:r>
        <w:rPr>
          <w:rFonts w:hint="eastAsia" w:ascii="宋体" w:hAnsi="宋体" w:eastAsia="宋体" w:cs="Times New Roman"/>
          <w:b/>
          <w:sz w:val="24"/>
        </w:rPr>
        <w:t>（本模块各知识点的讲授与学习，可以支撑课程目标1、2）</w:t>
      </w:r>
    </w:p>
    <w:p w14:paraId="176401F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032C37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（1）教育测验编制的基本程序</w:t>
      </w:r>
    </w:p>
    <w:p w14:paraId="5051B8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（2）教育测验的实施</w:t>
      </w:r>
    </w:p>
    <w:p w14:paraId="4E0841A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3272AC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（1）掌握教育测验编制的基本程序；</w:t>
      </w:r>
    </w:p>
    <w:p w14:paraId="457172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（2）熟悉教育测验的实施过程与注意事项；</w:t>
      </w:r>
    </w:p>
    <w:p w14:paraId="48D505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（3）掌握教育测验分数解释基本原则及相受测者报告测验分数的基本原则。</w:t>
      </w:r>
    </w:p>
    <w:p w14:paraId="68B2156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3.课程思政育人目标</w:t>
      </w:r>
    </w:p>
    <w:p w14:paraId="7A9F5D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（1）培养学生的劳动实践能力。</w:t>
      </w:r>
    </w:p>
    <w:p w14:paraId="7C0E95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（2）培育学生科学严谨的学习与工作作风。</w:t>
      </w:r>
    </w:p>
    <w:p w14:paraId="5B54A58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教育测验编制的基本程序与分数解释与报告的基本原则。</w:t>
      </w:r>
    </w:p>
    <w:p w14:paraId="469AD5FC">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教学难点：</w:t>
      </w:r>
      <w:r>
        <w:rPr>
          <w:rFonts w:hint="eastAsia" w:ascii="宋体" w:hAnsi="宋体" w:eastAsia="宋体" w:cs="宋体"/>
          <w:sz w:val="24"/>
          <w:szCs w:val="24"/>
        </w:rPr>
        <w:t>教育测验编制的基本程序。</w:t>
      </w:r>
    </w:p>
    <w:p w14:paraId="045B384A">
      <w:pPr>
        <w:spacing w:line="360" w:lineRule="auto"/>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p w14:paraId="4DA78767">
      <w:pPr>
        <w:spacing w:line="360" w:lineRule="auto"/>
        <w:rPr>
          <w:rFonts w:ascii="宋体" w:hAnsi="宋体" w:eastAsia="宋体" w:cs="Times New Roman"/>
          <w:b/>
          <w:sz w:val="24"/>
        </w:rPr>
      </w:pPr>
    </w:p>
    <w:p w14:paraId="519109F9">
      <w:pPr>
        <w:spacing w:line="360" w:lineRule="auto"/>
        <w:rPr>
          <w:rFonts w:ascii="宋体" w:hAnsi="宋体" w:eastAsia="宋体" w:cs="Times New Roman"/>
          <w:b/>
          <w:sz w:val="24"/>
        </w:rPr>
      </w:pPr>
    </w:p>
    <w:tbl>
      <w:tblPr>
        <w:tblStyle w:val="30"/>
        <w:tblpPr w:leftFromText="180" w:rightFromText="180" w:vertAnchor="text" w:horzAnchor="margin" w:tblpXSpec="center" w:tblpY="124"/>
        <w:tblOverlap w:val="never"/>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813"/>
        <w:gridCol w:w="1737"/>
        <w:gridCol w:w="2350"/>
        <w:gridCol w:w="1223"/>
      </w:tblGrid>
      <w:tr w14:paraId="33F7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3" w:type="dxa"/>
            <w:shd w:val="clear" w:color="auto" w:fill="FFFFFF"/>
            <w:vAlign w:val="center"/>
          </w:tcPr>
          <w:p w14:paraId="4DDE3540">
            <w:pPr>
              <w:spacing w:line="276" w:lineRule="auto"/>
              <w:jc w:val="center"/>
              <w:rPr>
                <w:rFonts w:ascii="宋体" w:hAnsi="宋体" w:eastAsia="宋体" w:cs="Times New Roman"/>
                <w:b/>
                <w:szCs w:val="21"/>
              </w:rPr>
            </w:pPr>
            <w:r>
              <w:rPr>
                <w:rFonts w:hint="eastAsia" w:ascii="宋体" w:hAnsi="宋体" w:eastAsia="宋体" w:cs="Times New Roman"/>
                <w:b/>
                <w:szCs w:val="21"/>
              </w:rPr>
              <w:t>序号</w:t>
            </w:r>
          </w:p>
        </w:tc>
        <w:tc>
          <w:tcPr>
            <w:tcW w:w="2813" w:type="dxa"/>
            <w:shd w:val="clear" w:color="auto" w:fill="FFFFFF"/>
            <w:vAlign w:val="center"/>
          </w:tcPr>
          <w:p w14:paraId="1F588A76">
            <w:pPr>
              <w:spacing w:line="276" w:lineRule="auto"/>
              <w:jc w:val="center"/>
              <w:rPr>
                <w:rFonts w:ascii="宋体" w:hAnsi="宋体" w:eastAsia="宋体" w:cs="Times New Roman"/>
                <w:b/>
                <w:szCs w:val="21"/>
              </w:rPr>
            </w:pPr>
            <w:r>
              <w:rPr>
                <w:rFonts w:ascii="宋体" w:hAnsi="宋体" w:eastAsia="宋体" w:cs="Times New Roman"/>
                <w:b/>
                <w:szCs w:val="21"/>
              </w:rPr>
              <w:t>教学内容</w:t>
            </w:r>
          </w:p>
        </w:tc>
        <w:tc>
          <w:tcPr>
            <w:tcW w:w="1737" w:type="dxa"/>
            <w:shd w:val="clear" w:color="auto" w:fill="FFFFFF"/>
            <w:vAlign w:val="center"/>
          </w:tcPr>
          <w:p w14:paraId="6634A853">
            <w:pPr>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2350" w:type="dxa"/>
            <w:shd w:val="clear" w:color="auto" w:fill="FFFFFF"/>
            <w:vAlign w:val="center"/>
          </w:tcPr>
          <w:p w14:paraId="7A81D061">
            <w:pPr>
              <w:spacing w:line="276" w:lineRule="auto"/>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1223" w:type="dxa"/>
            <w:shd w:val="clear" w:color="auto" w:fill="FFFFFF"/>
            <w:vAlign w:val="center"/>
          </w:tcPr>
          <w:p w14:paraId="1079FF98">
            <w:pPr>
              <w:spacing w:line="276" w:lineRule="auto"/>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r>
      <w:tr w14:paraId="6D44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63" w:type="dxa"/>
            <w:shd w:val="clear" w:color="auto" w:fill="FFFFFF"/>
            <w:vAlign w:val="center"/>
          </w:tcPr>
          <w:p w14:paraId="59D4054A">
            <w:pPr>
              <w:spacing w:line="276" w:lineRule="auto"/>
              <w:jc w:val="center"/>
              <w:rPr>
                <w:rFonts w:ascii="宋体" w:hAnsi="宋体" w:eastAsia="宋体" w:cs="Times New Roman"/>
                <w:szCs w:val="21"/>
              </w:rPr>
            </w:pPr>
            <w:r>
              <w:rPr>
                <w:rFonts w:hint="eastAsia" w:ascii="宋体" w:hAnsi="宋体" w:eastAsia="宋体" w:cs="Times New Roman"/>
                <w:szCs w:val="21"/>
              </w:rPr>
              <w:t>1</w:t>
            </w:r>
          </w:p>
        </w:tc>
        <w:tc>
          <w:tcPr>
            <w:tcW w:w="2813" w:type="dxa"/>
            <w:shd w:val="clear" w:color="auto" w:fill="FFFFFF"/>
          </w:tcPr>
          <w:p w14:paraId="4701625B">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教育统计与测量概述</w:t>
            </w:r>
          </w:p>
        </w:tc>
        <w:tc>
          <w:tcPr>
            <w:tcW w:w="1737" w:type="dxa"/>
            <w:shd w:val="clear" w:color="auto" w:fill="FFFFFF"/>
            <w:vAlign w:val="center"/>
          </w:tcPr>
          <w:p w14:paraId="280DA199">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w:t>
            </w:r>
          </w:p>
        </w:tc>
        <w:tc>
          <w:tcPr>
            <w:tcW w:w="2350" w:type="dxa"/>
            <w:shd w:val="clear" w:color="auto" w:fill="FFFFFF"/>
            <w:vAlign w:val="center"/>
          </w:tcPr>
          <w:p w14:paraId="0D2738B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1223" w:type="dxa"/>
            <w:shd w:val="clear" w:color="auto" w:fill="FFFFFF"/>
            <w:vAlign w:val="center"/>
          </w:tcPr>
          <w:p w14:paraId="4CAE660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5FAB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63" w:type="dxa"/>
            <w:vAlign w:val="center"/>
          </w:tcPr>
          <w:p w14:paraId="56E0484A">
            <w:pPr>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2813" w:type="dxa"/>
          </w:tcPr>
          <w:p w14:paraId="5D825CE0">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数据的初步整理与统计图表</w:t>
            </w:r>
          </w:p>
        </w:tc>
        <w:tc>
          <w:tcPr>
            <w:tcW w:w="1737" w:type="dxa"/>
            <w:vAlign w:val="center"/>
          </w:tcPr>
          <w:p w14:paraId="58908EE1">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3CC3402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13DD96A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03B1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63" w:type="dxa"/>
            <w:vAlign w:val="center"/>
          </w:tcPr>
          <w:p w14:paraId="07BDD029">
            <w:pPr>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2813" w:type="dxa"/>
          </w:tcPr>
          <w:p w14:paraId="1A83FD46">
            <w:pPr>
              <w:spacing w:line="276" w:lineRule="auto"/>
              <w:rPr>
                <w:rFonts w:ascii="Times New Roman" w:hAnsi="Times New Roman" w:eastAsia="宋体" w:cs="Times New Roman"/>
                <w:bCs/>
                <w:szCs w:val="21"/>
              </w:rPr>
            </w:pPr>
            <w:r>
              <w:rPr>
                <w:rFonts w:hint="eastAsia" w:ascii="Times New Roman" w:hAnsi="Times New Roman" w:eastAsia="宋体" w:cs="Times New Roman"/>
                <w:bCs/>
                <w:szCs w:val="21"/>
              </w:rPr>
              <w:t>集中量数</w:t>
            </w:r>
          </w:p>
        </w:tc>
        <w:tc>
          <w:tcPr>
            <w:tcW w:w="1737" w:type="dxa"/>
            <w:vAlign w:val="center"/>
          </w:tcPr>
          <w:p w14:paraId="6FD9BF24">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1EE2C3A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5C3256F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6F1F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63" w:type="dxa"/>
            <w:vAlign w:val="center"/>
          </w:tcPr>
          <w:p w14:paraId="289C4CF2">
            <w:pPr>
              <w:spacing w:line="276" w:lineRule="auto"/>
              <w:jc w:val="center"/>
              <w:rPr>
                <w:rFonts w:ascii="宋体" w:hAnsi="宋体" w:eastAsia="宋体" w:cs="Times New Roman"/>
                <w:szCs w:val="21"/>
              </w:rPr>
            </w:pPr>
            <w:r>
              <w:rPr>
                <w:rFonts w:hint="eastAsia" w:ascii="宋体" w:hAnsi="宋体" w:eastAsia="宋体" w:cs="Times New Roman"/>
                <w:szCs w:val="21"/>
              </w:rPr>
              <w:t>4</w:t>
            </w:r>
          </w:p>
        </w:tc>
        <w:tc>
          <w:tcPr>
            <w:tcW w:w="2813" w:type="dxa"/>
          </w:tcPr>
          <w:p w14:paraId="39FBA9B7">
            <w:pPr>
              <w:spacing w:line="276" w:lineRule="auto"/>
              <w:rPr>
                <w:rFonts w:ascii="Times New Roman" w:hAnsi="Times New Roman" w:eastAsia="宋体" w:cs="Times New Roman"/>
                <w:bCs/>
                <w:szCs w:val="21"/>
              </w:rPr>
            </w:pPr>
            <w:r>
              <w:rPr>
                <w:rFonts w:hint="eastAsia" w:ascii="Times New Roman" w:hAnsi="Times New Roman" w:eastAsia="宋体" w:cs="Times New Roman"/>
                <w:bCs/>
                <w:szCs w:val="21"/>
              </w:rPr>
              <w:t>差异量数</w:t>
            </w:r>
          </w:p>
        </w:tc>
        <w:tc>
          <w:tcPr>
            <w:tcW w:w="1737" w:type="dxa"/>
            <w:vAlign w:val="center"/>
          </w:tcPr>
          <w:p w14:paraId="4DF86A89">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3194459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388E367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74C8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63" w:type="dxa"/>
            <w:vAlign w:val="center"/>
          </w:tcPr>
          <w:p w14:paraId="1F18B9AB">
            <w:pPr>
              <w:spacing w:line="276" w:lineRule="auto"/>
              <w:jc w:val="center"/>
              <w:rPr>
                <w:rFonts w:ascii="宋体" w:hAnsi="宋体" w:eastAsia="宋体" w:cs="Times New Roman"/>
                <w:szCs w:val="21"/>
              </w:rPr>
            </w:pPr>
            <w:r>
              <w:rPr>
                <w:rFonts w:hint="eastAsia" w:ascii="宋体" w:hAnsi="宋体" w:eastAsia="宋体" w:cs="Times New Roman"/>
                <w:szCs w:val="21"/>
              </w:rPr>
              <w:t>5</w:t>
            </w:r>
          </w:p>
        </w:tc>
        <w:tc>
          <w:tcPr>
            <w:tcW w:w="2813" w:type="dxa"/>
          </w:tcPr>
          <w:p w14:paraId="5B4F1A2B">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相关关系</w:t>
            </w:r>
          </w:p>
        </w:tc>
        <w:tc>
          <w:tcPr>
            <w:tcW w:w="1737" w:type="dxa"/>
            <w:vAlign w:val="center"/>
          </w:tcPr>
          <w:p w14:paraId="555E61BC">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70CDE77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28386E9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58F2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63" w:type="dxa"/>
            <w:vAlign w:val="center"/>
          </w:tcPr>
          <w:p w14:paraId="42A637C1">
            <w:pPr>
              <w:spacing w:line="276" w:lineRule="auto"/>
              <w:jc w:val="center"/>
              <w:rPr>
                <w:rFonts w:ascii="宋体" w:hAnsi="宋体" w:eastAsia="宋体" w:cs="Times New Roman"/>
                <w:szCs w:val="21"/>
              </w:rPr>
            </w:pPr>
            <w:r>
              <w:rPr>
                <w:rFonts w:hint="eastAsia" w:ascii="宋体" w:hAnsi="宋体" w:eastAsia="宋体" w:cs="Times New Roman"/>
                <w:szCs w:val="21"/>
              </w:rPr>
              <w:t>6</w:t>
            </w:r>
          </w:p>
        </w:tc>
        <w:tc>
          <w:tcPr>
            <w:tcW w:w="2813" w:type="dxa"/>
          </w:tcPr>
          <w:p w14:paraId="65CCF7DA">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概率分布</w:t>
            </w:r>
          </w:p>
        </w:tc>
        <w:tc>
          <w:tcPr>
            <w:tcW w:w="1737" w:type="dxa"/>
            <w:vAlign w:val="center"/>
          </w:tcPr>
          <w:p w14:paraId="1ABF7D40">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38AA525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4D0474A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7C81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63" w:type="dxa"/>
            <w:vAlign w:val="center"/>
          </w:tcPr>
          <w:p w14:paraId="05BFFD40">
            <w:pPr>
              <w:spacing w:line="276" w:lineRule="auto"/>
              <w:jc w:val="center"/>
              <w:rPr>
                <w:rFonts w:ascii="宋体" w:hAnsi="宋体" w:eastAsia="宋体" w:cs="Times New Roman"/>
                <w:szCs w:val="21"/>
              </w:rPr>
            </w:pPr>
            <w:r>
              <w:rPr>
                <w:rFonts w:hint="eastAsia" w:ascii="宋体" w:hAnsi="宋体" w:eastAsia="宋体" w:cs="Times New Roman"/>
                <w:szCs w:val="21"/>
              </w:rPr>
              <w:t>7</w:t>
            </w:r>
          </w:p>
        </w:tc>
        <w:tc>
          <w:tcPr>
            <w:tcW w:w="2813" w:type="dxa"/>
          </w:tcPr>
          <w:p w14:paraId="36E43B45">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参数估计与检验</w:t>
            </w:r>
          </w:p>
        </w:tc>
        <w:tc>
          <w:tcPr>
            <w:tcW w:w="1737" w:type="dxa"/>
            <w:vAlign w:val="center"/>
          </w:tcPr>
          <w:p w14:paraId="47BC18A6">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5CFBC5C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305E6E2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03B4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63" w:type="dxa"/>
            <w:vAlign w:val="center"/>
          </w:tcPr>
          <w:p w14:paraId="12463646">
            <w:pPr>
              <w:spacing w:line="276" w:lineRule="auto"/>
              <w:jc w:val="center"/>
              <w:rPr>
                <w:rFonts w:ascii="宋体" w:hAnsi="宋体" w:eastAsia="宋体" w:cs="Times New Roman"/>
                <w:szCs w:val="21"/>
              </w:rPr>
            </w:pPr>
            <w:r>
              <w:rPr>
                <w:rFonts w:hint="eastAsia" w:ascii="宋体" w:hAnsi="宋体" w:eastAsia="宋体" w:cs="Times New Roman"/>
                <w:szCs w:val="21"/>
              </w:rPr>
              <w:t>8</w:t>
            </w:r>
          </w:p>
        </w:tc>
        <w:tc>
          <w:tcPr>
            <w:tcW w:w="2813" w:type="dxa"/>
          </w:tcPr>
          <w:p w14:paraId="4F659A45">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方差分析</w:t>
            </w:r>
          </w:p>
        </w:tc>
        <w:tc>
          <w:tcPr>
            <w:tcW w:w="1737" w:type="dxa"/>
            <w:vAlign w:val="center"/>
          </w:tcPr>
          <w:p w14:paraId="5E566756">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26D827E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1EBBA98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2967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63" w:type="dxa"/>
            <w:vAlign w:val="center"/>
          </w:tcPr>
          <w:p w14:paraId="272D9595">
            <w:pPr>
              <w:spacing w:line="276" w:lineRule="auto"/>
              <w:jc w:val="center"/>
              <w:rPr>
                <w:rFonts w:ascii="宋体" w:hAnsi="宋体" w:eastAsia="宋体" w:cs="Times New Roman"/>
                <w:szCs w:val="21"/>
              </w:rPr>
            </w:pPr>
            <w:r>
              <w:rPr>
                <w:rFonts w:hint="eastAsia" w:ascii="宋体" w:hAnsi="宋体" w:eastAsia="宋体" w:cs="Times New Roman"/>
                <w:szCs w:val="21"/>
              </w:rPr>
              <w:t>9</w:t>
            </w:r>
          </w:p>
        </w:tc>
        <w:tc>
          <w:tcPr>
            <w:tcW w:w="2813" w:type="dxa"/>
          </w:tcPr>
          <w:p w14:paraId="60846F7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卡方检验</w:t>
            </w:r>
          </w:p>
        </w:tc>
        <w:tc>
          <w:tcPr>
            <w:tcW w:w="1737" w:type="dxa"/>
            <w:vAlign w:val="center"/>
          </w:tcPr>
          <w:p w14:paraId="3859BBBC">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238E14B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297E891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746B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63" w:type="dxa"/>
            <w:vAlign w:val="center"/>
          </w:tcPr>
          <w:p w14:paraId="3F8C7FF9">
            <w:pPr>
              <w:spacing w:line="276" w:lineRule="auto"/>
              <w:jc w:val="center"/>
              <w:rPr>
                <w:rFonts w:ascii="宋体" w:hAnsi="宋体" w:eastAsia="宋体" w:cs="Times New Roman"/>
                <w:szCs w:val="21"/>
              </w:rPr>
            </w:pPr>
            <w:r>
              <w:rPr>
                <w:rFonts w:hint="eastAsia" w:ascii="宋体" w:hAnsi="宋体" w:eastAsia="宋体" w:cs="Times New Roman"/>
                <w:szCs w:val="21"/>
              </w:rPr>
              <w:t>10</w:t>
            </w:r>
          </w:p>
        </w:tc>
        <w:tc>
          <w:tcPr>
            <w:tcW w:w="2813" w:type="dxa"/>
          </w:tcPr>
          <w:p w14:paraId="23C121A7">
            <w:pPr>
              <w:spacing w:line="276" w:lineRule="auto"/>
              <w:rPr>
                <w:rFonts w:ascii="Times New Roman" w:hAnsi="Times New Roman" w:eastAsia="宋体" w:cs="Times New Roman"/>
                <w:bCs/>
                <w:szCs w:val="21"/>
              </w:rPr>
            </w:pPr>
            <w:r>
              <w:rPr>
                <w:rFonts w:hint="eastAsia" w:ascii="Times New Roman" w:hAnsi="Times New Roman" w:eastAsia="宋体" w:cs="Times New Roman"/>
                <w:bCs/>
                <w:szCs w:val="21"/>
              </w:rPr>
              <w:t>线性回归</w:t>
            </w:r>
          </w:p>
        </w:tc>
        <w:tc>
          <w:tcPr>
            <w:tcW w:w="1737" w:type="dxa"/>
            <w:vAlign w:val="center"/>
          </w:tcPr>
          <w:p w14:paraId="03A57B9C">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527DD3A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709890E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3D1F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63" w:type="dxa"/>
            <w:vAlign w:val="center"/>
          </w:tcPr>
          <w:p w14:paraId="6F0B0DF9">
            <w:pPr>
              <w:spacing w:line="276" w:lineRule="auto"/>
              <w:jc w:val="center"/>
              <w:rPr>
                <w:rFonts w:ascii="宋体" w:hAnsi="宋体" w:eastAsia="宋体" w:cs="Times New Roman"/>
                <w:szCs w:val="21"/>
              </w:rPr>
            </w:pPr>
            <w:r>
              <w:rPr>
                <w:rFonts w:hint="eastAsia" w:ascii="宋体" w:hAnsi="宋体" w:eastAsia="宋体" w:cs="Times New Roman"/>
                <w:szCs w:val="21"/>
              </w:rPr>
              <w:t>11</w:t>
            </w:r>
          </w:p>
        </w:tc>
        <w:tc>
          <w:tcPr>
            <w:tcW w:w="2813" w:type="dxa"/>
          </w:tcPr>
          <w:p w14:paraId="4BE2464D">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教育测验的种类及质量分析</w:t>
            </w:r>
          </w:p>
        </w:tc>
        <w:tc>
          <w:tcPr>
            <w:tcW w:w="1737" w:type="dxa"/>
            <w:vAlign w:val="center"/>
          </w:tcPr>
          <w:p w14:paraId="01784114">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6574280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6EE74DF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048D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63" w:type="dxa"/>
            <w:vAlign w:val="center"/>
          </w:tcPr>
          <w:p w14:paraId="0EA753E0">
            <w:pPr>
              <w:spacing w:line="276" w:lineRule="auto"/>
              <w:jc w:val="center"/>
              <w:rPr>
                <w:rFonts w:ascii="宋体" w:hAnsi="宋体" w:eastAsia="宋体" w:cs="Times New Roman"/>
                <w:szCs w:val="21"/>
              </w:rPr>
            </w:pPr>
            <w:r>
              <w:rPr>
                <w:rFonts w:hint="eastAsia" w:ascii="宋体" w:hAnsi="宋体" w:eastAsia="宋体" w:cs="Times New Roman"/>
                <w:szCs w:val="21"/>
              </w:rPr>
              <w:t>12</w:t>
            </w:r>
          </w:p>
        </w:tc>
        <w:tc>
          <w:tcPr>
            <w:tcW w:w="2813" w:type="dxa"/>
          </w:tcPr>
          <w:p w14:paraId="5E701B64">
            <w:pPr>
              <w:spacing w:line="276" w:lineRule="auto"/>
              <w:rPr>
                <w:rFonts w:ascii="Times New Roman" w:hAnsi="Times New Roman" w:eastAsia="宋体" w:cs="Times New Roman"/>
                <w:szCs w:val="21"/>
              </w:rPr>
            </w:pPr>
            <w:r>
              <w:rPr>
                <w:rFonts w:hint="eastAsia" w:ascii="Times New Roman" w:hAnsi="Times New Roman" w:eastAsia="宋体" w:cs="Times New Roman"/>
                <w:bCs/>
                <w:szCs w:val="21"/>
              </w:rPr>
              <w:t>教育测验的编制与实施</w:t>
            </w:r>
          </w:p>
        </w:tc>
        <w:tc>
          <w:tcPr>
            <w:tcW w:w="1737" w:type="dxa"/>
            <w:vAlign w:val="center"/>
          </w:tcPr>
          <w:p w14:paraId="5FEB7AA7">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350" w:type="dxa"/>
            <w:vAlign w:val="center"/>
          </w:tcPr>
          <w:p w14:paraId="018566E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223" w:type="dxa"/>
            <w:vAlign w:val="center"/>
          </w:tcPr>
          <w:p w14:paraId="6ABB987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r>
      <w:tr w14:paraId="58C0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563" w:type="dxa"/>
            <w:gridSpan w:val="4"/>
            <w:vAlign w:val="center"/>
          </w:tcPr>
          <w:p w14:paraId="29761ABB">
            <w:pPr>
              <w:spacing w:line="276" w:lineRule="auto"/>
              <w:jc w:val="center"/>
              <w:rPr>
                <w:rFonts w:ascii="宋体" w:hAnsi="宋体" w:eastAsia="宋体" w:cs="Times New Roman"/>
                <w:szCs w:val="21"/>
              </w:rPr>
            </w:pPr>
            <w:r>
              <w:rPr>
                <w:rFonts w:ascii="宋体" w:hAnsi="宋体" w:eastAsia="宋体" w:cs="Times New Roman"/>
                <w:szCs w:val="21"/>
              </w:rPr>
              <w:t>合计</w:t>
            </w:r>
          </w:p>
        </w:tc>
        <w:tc>
          <w:tcPr>
            <w:tcW w:w="1223" w:type="dxa"/>
            <w:vAlign w:val="center"/>
          </w:tcPr>
          <w:p w14:paraId="30B82B54">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32</w:t>
            </w:r>
          </w:p>
        </w:tc>
      </w:tr>
    </w:tbl>
    <w:p w14:paraId="47BE350C">
      <w:pPr>
        <w:spacing w:line="360" w:lineRule="auto"/>
        <w:rPr>
          <w:rFonts w:ascii="宋体" w:hAnsi="宋体" w:eastAsia="宋体" w:cs="Times New Roman"/>
          <w:b/>
          <w:sz w:val="24"/>
          <w:szCs w:val="24"/>
        </w:rPr>
      </w:pPr>
      <w:r>
        <w:rPr>
          <w:rFonts w:ascii="宋体" w:hAnsi="宋体" w:eastAsia="宋体" w:cs="Times New Roman"/>
          <w:b/>
          <w:sz w:val="28"/>
          <w:szCs w:val="28"/>
        </w:rPr>
        <w:t xml:space="preserve"> </w:t>
      </w:r>
      <w:r>
        <w:rPr>
          <w:rFonts w:hint="eastAsia" w:ascii="宋体" w:hAnsi="宋体" w:eastAsia="宋体" w:cs="Times New Roman"/>
          <w:b/>
          <w:sz w:val="28"/>
          <w:szCs w:val="28"/>
        </w:rPr>
        <w:t xml:space="preserve">    </w:t>
      </w:r>
    </w:p>
    <w:p w14:paraId="7D2F5D36">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五、课程实施</w:t>
      </w:r>
    </w:p>
    <w:p w14:paraId="510A2E41">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（一）教学方法与教学手段</w:t>
      </w:r>
    </w:p>
    <w:p w14:paraId="7858AF4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1.注重以情境为中心的案例教学。</w:t>
      </w:r>
    </w:p>
    <w:p w14:paraId="069948F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课程由于涉及数学原理多，过于抽象，学生不容易理解，学习动机不强。为此，对这部分内容的教学需要借助于基于教育情境的案例来进行。一方面，通过丰富而形象的情境化案例，可以帮助学生更好地建构对各种统计原理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58D0FC7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注重以问题为中心的项目学习。</w:t>
      </w:r>
    </w:p>
    <w:p w14:paraId="51D96AD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课程将学生的课外学习与课内学习相结合，个人学习与小组学习相结合。通过确定问题，分析问题，提出方案，验证假设等四步法，一方面，这有利于帮助学生深入理解和运用各类统计与测量原理与方法；另一方面，这有利于学生批判性思维意识与能力的发展，有利于其创新性的发展；此外，通过合作探讨，也利于促进学生的交流与合作能力的发展。</w:t>
      </w:r>
    </w:p>
    <w:p w14:paraId="18B70F8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合理使用多媒体等现代化教学手段。利用多种教学资源，增加课堂教学信息量和课堂教学的吸引力。</w:t>
      </w:r>
    </w:p>
    <w:p w14:paraId="435358CE">
      <w:pPr>
        <w:spacing w:line="360" w:lineRule="auto"/>
        <w:ind w:firstLine="480" w:firstLineChars="200"/>
        <w:rPr>
          <w:rFonts w:ascii="宋体" w:hAnsi="宋体" w:eastAsia="宋体" w:cs="Times New Roman"/>
          <w:sz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 xml:space="preserve"> </w:t>
      </w:r>
      <w:r>
        <w:rPr>
          <w:rFonts w:hint="eastAsia" w:ascii="宋体" w:hAnsi="宋体" w:eastAsia="宋体" w:cs="Times New Roman"/>
          <w:sz w:val="24"/>
        </w:rPr>
        <w:t>紧密结合教育统计与测量最新研究成果，及时调整和补充学科前沿知识。</w:t>
      </w:r>
    </w:p>
    <w:p w14:paraId="3C1BF010">
      <w:pPr>
        <w:spacing w:line="360" w:lineRule="auto"/>
        <w:rPr>
          <w:rFonts w:ascii="宋体" w:hAnsi="宋体" w:eastAsia="宋体" w:cs="Times New Roman"/>
          <w:b/>
          <w:bCs/>
          <w:sz w:val="24"/>
        </w:rPr>
      </w:pPr>
      <w:r>
        <w:rPr>
          <w:rFonts w:hint="eastAsia" w:ascii="Times New Roman" w:hAnsi="Times New Roman" w:eastAsia="宋体" w:cs="Times New Roman"/>
          <w:b/>
          <w:sz w:val="24"/>
          <w:szCs w:val="24"/>
        </w:rPr>
        <w:t>（二）课程实施与保障</w:t>
      </w:r>
    </w:p>
    <w:p w14:paraId="483156DF">
      <w:pPr>
        <w:spacing w:line="360" w:lineRule="auto"/>
        <w:rPr>
          <w:rFonts w:ascii="宋体" w:hAnsi="宋体" w:eastAsia="宋体" w:cs="Times New Roman"/>
          <w:b/>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51F3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57E3A911">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781500EC">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321B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56FE859F">
            <w:pPr>
              <w:spacing w:line="276" w:lineRule="auto"/>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55DFEA94">
            <w:pPr>
              <w:spacing w:line="276" w:lineRule="auto"/>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26D49324">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（1）教师</w:t>
            </w:r>
            <w:r>
              <w:rPr>
                <w:rFonts w:ascii="Times New Roman" w:hAnsi="Times New Roman" w:eastAsia="宋体" w:cs="Times New Roman"/>
                <w:szCs w:val="21"/>
              </w:rPr>
              <w:t>掌握本课程教学大纲内容，严格按照教学大纲要求进行课程教学内容的组织。</w:t>
            </w:r>
          </w:p>
          <w:p w14:paraId="333F65CB">
            <w:pPr>
              <w:spacing w:line="276" w:lineRule="auto"/>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教师查阅相关资料，参考其他高校相关专业的经验，认真编写教案，制作课件</w:t>
            </w:r>
            <w:r>
              <w:rPr>
                <w:rFonts w:ascii="Times New Roman" w:hAnsi="Times New Roman" w:eastAsia="宋体" w:cs="Times New Roman"/>
                <w:szCs w:val="21"/>
              </w:rPr>
              <w:t>。</w:t>
            </w:r>
          </w:p>
          <w:p w14:paraId="5A6E9356">
            <w:pPr>
              <w:spacing w:line="276" w:lineRule="auto"/>
              <w:rPr>
                <w:rFonts w:ascii="宋体" w:hAnsi="宋体"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w:t>
            </w:r>
            <w:r>
              <w:rPr>
                <w:rFonts w:hint="eastAsia" w:ascii="Times New Roman" w:hAnsi="Times New Roman" w:eastAsia="宋体" w:cs="Times New Roman"/>
                <w:szCs w:val="21"/>
              </w:rPr>
              <w:t>主题的教学</w:t>
            </w:r>
            <w:r>
              <w:rPr>
                <w:rFonts w:ascii="Times New Roman" w:hAnsi="Times New Roman" w:eastAsia="宋体" w:cs="Times New Roman"/>
                <w:szCs w:val="21"/>
              </w:rPr>
              <w:t>内容</w:t>
            </w:r>
            <w:r>
              <w:rPr>
                <w:rFonts w:hint="eastAsia" w:ascii="Times New Roman" w:hAnsi="Times New Roman" w:eastAsia="宋体" w:cs="Times New Roman"/>
                <w:szCs w:val="21"/>
              </w:rPr>
              <w:t>，根据学生最近发展区与个性特征，进行教学设计</w:t>
            </w:r>
            <w:r>
              <w:rPr>
                <w:rFonts w:ascii="Times New Roman" w:hAnsi="Times New Roman" w:eastAsia="宋体" w:cs="Times New Roman"/>
                <w:szCs w:val="21"/>
              </w:rPr>
              <w:t>。</w:t>
            </w:r>
          </w:p>
        </w:tc>
      </w:tr>
      <w:tr w14:paraId="5794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82" w:type="dxa"/>
            <w:tcBorders>
              <w:left w:val="single" w:color="auto" w:sz="8" w:space="0"/>
            </w:tcBorders>
            <w:vAlign w:val="center"/>
          </w:tcPr>
          <w:p w14:paraId="1EE639D9">
            <w:pPr>
              <w:spacing w:line="276" w:lineRule="auto"/>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1E6B7C23">
            <w:pPr>
              <w:spacing w:line="276" w:lineRule="auto"/>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62DC12E3">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（1）教师严格按照常州工学院课堂教学规范组织教学。</w:t>
            </w:r>
          </w:p>
          <w:p w14:paraId="78E3D9DF">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（2）教师讲授时应注意</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；力求做到能够</w:t>
            </w:r>
            <w:r>
              <w:rPr>
                <w:rFonts w:ascii="Times New Roman" w:hAnsi="Times New Roman" w:eastAsia="宋体" w:cs="Times New Roman"/>
                <w:szCs w:val="21"/>
              </w:rPr>
              <w:t>理论联系实际</w:t>
            </w:r>
            <w:r>
              <w:rPr>
                <w:rFonts w:hint="eastAsia" w:ascii="Times New Roman" w:hAnsi="Times New Roman" w:eastAsia="宋体" w:cs="Times New Roman"/>
                <w:szCs w:val="21"/>
              </w:rPr>
              <w:t>，深入浅出</w:t>
            </w:r>
            <w:r>
              <w:rPr>
                <w:rFonts w:ascii="Times New Roman" w:hAnsi="Times New Roman" w:eastAsia="宋体" w:cs="Times New Roman"/>
                <w:szCs w:val="21"/>
              </w:rPr>
              <w:t>。</w:t>
            </w:r>
          </w:p>
          <w:p w14:paraId="4A1C4C95">
            <w:pPr>
              <w:spacing w:line="276" w:lineRule="auto"/>
              <w:rPr>
                <w:rFonts w:ascii="宋体" w:hAnsi="宋体" w:eastAsia="宋体" w:cs="Times New Roman"/>
                <w:szCs w:val="21"/>
              </w:rPr>
            </w:pPr>
            <w:r>
              <w:rPr>
                <w:rFonts w:hint="eastAsia" w:ascii="Times New Roman" w:hAnsi="Times New Roman" w:eastAsia="宋体" w:cs="Times New Roman"/>
                <w:szCs w:val="21"/>
              </w:rPr>
              <w:t>（3）教师讲授时应</w:t>
            </w:r>
            <w:r>
              <w:rPr>
                <w:rFonts w:ascii="Times New Roman" w:hAnsi="Times New Roman" w:eastAsia="宋体" w:cs="Times New Roman"/>
                <w:szCs w:val="21"/>
              </w:rPr>
              <w:t>采用多种教学方式</w:t>
            </w:r>
            <w:r>
              <w:rPr>
                <w:rFonts w:hint="eastAsia" w:ascii="Times New Roman" w:hAnsi="Times New Roman" w:eastAsia="宋体" w:cs="Times New Roman"/>
                <w:szCs w:val="21"/>
              </w:rPr>
              <w:t>，</w:t>
            </w:r>
            <w:r>
              <w:rPr>
                <w:rFonts w:ascii="Times New Roman" w:hAnsi="Times New Roman" w:eastAsia="宋体" w:cs="Times New Roman"/>
                <w:szCs w:val="21"/>
              </w:rPr>
              <w:t>如案例分析</w:t>
            </w:r>
            <w:r>
              <w:rPr>
                <w:rFonts w:hint="eastAsia" w:ascii="Times New Roman" w:hAnsi="Times New Roman" w:eastAsia="宋体" w:cs="Times New Roman"/>
                <w:szCs w:val="21"/>
              </w:rPr>
              <w:t>式</w:t>
            </w:r>
            <w:r>
              <w:rPr>
                <w:rFonts w:ascii="Times New Roman" w:hAnsi="Times New Roman" w:eastAsia="宋体" w:cs="Times New Roman"/>
                <w:szCs w:val="21"/>
              </w:rPr>
              <w:t>、</w:t>
            </w:r>
            <w:r>
              <w:rPr>
                <w:rFonts w:hint="eastAsia" w:ascii="Times New Roman" w:hAnsi="Times New Roman" w:eastAsia="宋体" w:cs="Times New Roman"/>
                <w:szCs w:val="21"/>
              </w:rPr>
              <w:t>讲授</w:t>
            </w:r>
            <w:r>
              <w:rPr>
                <w:rFonts w:ascii="Times New Roman" w:hAnsi="Times New Roman" w:eastAsia="宋体" w:cs="Times New Roman"/>
                <w:szCs w:val="21"/>
              </w:rPr>
              <w:t>式</w:t>
            </w:r>
            <w:r>
              <w:rPr>
                <w:rFonts w:hint="eastAsia" w:ascii="Times New Roman" w:hAnsi="Times New Roman" w:eastAsia="宋体" w:cs="Times New Roman"/>
                <w:szCs w:val="21"/>
              </w:rPr>
              <w:t>、项目式等</w:t>
            </w:r>
            <w:r>
              <w:rPr>
                <w:rFonts w:ascii="Times New Roman" w:hAnsi="Times New Roman" w:eastAsia="宋体" w:cs="Times New Roman"/>
                <w:szCs w:val="21"/>
              </w:rPr>
              <w:t>，</w:t>
            </w:r>
            <w:r>
              <w:rPr>
                <w:rFonts w:hint="eastAsia" w:ascii="Times New Roman" w:hAnsi="Times New Roman" w:eastAsia="宋体" w:cs="Times New Roman"/>
                <w:szCs w:val="21"/>
              </w:rPr>
              <w:t>充分调动学生参与课堂学习，培养学生对本专业的兴趣</w:t>
            </w:r>
            <w:r>
              <w:rPr>
                <w:rFonts w:ascii="Times New Roman" w:hAnsi="Times New Roman" w:eastAsia="宋体" w:cs="Times New Roman"/>
                <w:szCs w:val="21"/>
              </w:rPr>
              <w:t>。</w:t>
            </w:r>
          </w:p>
        </w:tc>
      </w:tr>
      <w:tr w14:paraId="72EE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582" w:type="dxa"/>
            <w:tcBorders>
              <w:left w:val="single" w:color="auto" w:sz="8" w:space="0"/>
            </w:tcBorders>
            <w:vAlign w:val="center"/>
          </w:tcPr>
          <w:p w14:paraId="43510957">
            <w:pPr>
              <w:spacing w:line="276" w:lineRule="auto"/>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0FA8663F">
            <w:pPr>
              <w:spacing w:line="276" w:lineRule="auto"/>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494DA030">
            <w:pPr>
              <w:spacing w:line="276" w:lineRule="auto"/>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222D1A8E">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17AACDDF">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（2）书写或打印</w:t>
            </w:r>
            <w:r>
              <w:rPr>
                <w:rFonts w:ascii="Times New Roman" w:hAnsi="Times New Roman" w:eastAsia="宋体" w:cs="Times New Roman"/>
                <w:szCs w:val="21"/>
              </w:rPr>
              <w:t>规范</w:t>
            </w:r>
            <w:r>
              <w:rPr>
                <w:rFonts w:hint="eastAsia" w:ascii="Times New Roman" w:hAnsi="Times New Roman" w:eastAsia="宋体" w:cs="Times New Roman"/>
                <w:szCs w:val="21"/>
              </w:rPr>
              <w:t>。</w:t>
            </w:r>
          </w:p>
          <w:p w14:paraId="639F7E5F">
            <w:pPr>
              <w:spacing w:line="276" w:lineRule="auto"/>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2FCB7B5A">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、反馈。</w:t>
            </w:r>
          </w:p>
          <w:p w14:paraId="478FE848">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58496AC1">
            <w:pPr>
              <w:spacing w:line="276" w:lineRule="auto"/>
              <w:rPr>
                <w:rFonts w:ascii="宋体" w:hAnsi="宋体"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作为本课程总评成绩的重要组成部分。</w:t>
            </w:r>
          </w:p>
        </w:tc>
      </w:tr>
      <w:tr w14:paraId="3073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0A403487">
            <w:pPr>
              <w:spacing w:line="276" w:lineRule="auto"/>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49C3BE63">
            <w:pPr>
              <w:spacing w:line="276" w:lineRule="auto"/>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7AB8C756">
            <w:pPr>
              <w:spacing w:line="276" w:lineRule="auto"/>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74C7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68BA9429">
            <w:pPr>
              <w:spacing w:line="276" w:lineRule="auto"/>
              <w:jc w:val="center"/>
              <w:rPr>
                <w:rFonts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42AF3976">
            <w:pPr>
              <w:spacing w:line="276" w:lineRule="auto"/>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0B5EF943">
            <w:pPr>
              <w:spacing w:line="276" w:lineRule="auto"/>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为闭卷笔试</w:t>
            </w:r>
            <w:r>
              <w:rPr>
                <w:rFonts w:ascii="宋体" w:hAnsi="宋体" w:eastAsia="宋体" w:cs="Times New Roman"/>
                <w:szCs w:val="21"/>
              </w:rPr>
              <w:t>。考试采取教考分离，监考</w:t>
            </w:r>
            <w:r>
              <w:rPr>
                <w:rFonts w:hint="eastAsia" w:ascii="宋体" w:hAnsi="宋体" w:eastAsia="宋体" w:cs="Times New Roman"/>
                <w:szCs w:val="21"/>
              </w:rPr>
              <w:t>由学院</w:t>
            </w:r>
            <w:r>
              <w:rPr>
                <w:rFonts w:ascii="宋体" w:hAnsi="宋体" w:eastAsia="宋体" w:cs="Times New Roman"/>
                <w:szCs w:val="21"/>
              </w:rPr>
              <w:t>统一安排。有下列情况之一者，总评成绩为不及格：</w:t>
            </w:r>
          </w:p>
          <w:p w14:paraId="42ABE626">
            <w:pPr>
              <w:spacing w:line="276" w:lineRule="auto"/>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7E04D5EB">
            <w:pPr>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18C7DA61">
      <w:pPr>
        <w:spacing w:line="360" w:lineRule="auto"/>
        <w:rPr>
          <w:rFonts w:ascii="宋体" w:hAnsi="宋体" w:eastAsia="宋体" w:cs="Times New Roman"/>
          <w:b/>
          <w:sz w:val="28"/>
          <w:szCs w:val="28"/>
        </w:rPr>
      </w:pPr>
    </w:p>
    <w:p w14:paraId="4B63C3D9">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5F20D83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闭卷考试方式</w:t>
      </w:r>
      <w:r>
        <w:rPr>
          <w:rFonts w:ascii="宋体" w:hAnsi="宋体" w:eastAsia="宋体" w:cs="Times New Roman"/>
          <w:sz w:val="24"/>
        </w:rPr>
        <w:t>。</w:t>
      </w:r>
    </w:p>
    <w:p w14:paraId="3040DC9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30</w:t>
      </w:r>
      <w:r>
        <w:rPr>
          <w:rFonts w:ascii="宋体" w:hAnsi="宋体" w:eastAsia="宋体" w:cs="Times New Roman"/>
          <w:sz w:val="24"/>
        </w:rPr>
        <w:t>% +期末考试成绩×</w:t>
      </w:r>
      <w:r>
        <w:rPr>
          <w:rFonts w:hint="eastAsia" w:ascii="宋体" w:hAnsi="宋体" w:eastAsia="宋体" w:cs="Times New Roman"/>
          <w:sz w:val="24"/>
        </w:rPr>
        <w:t>70</w:t>
      </w:r>
      <w:r>
        <w:rPr>
          <w:rFonts w:ascii="宋体" w:hAnsi="宋体" w:eastAsia="宋体" w:cs="Times New Roman"/>
          <w:sz w:val="24"/>
        </w:rPr>
        <w:t>%。</w:t>
      </w:r>
    </w:p>
    <w:p w14:paraId="5BF62CB1">
      <w:pPr>
        <w:spacing w:line="360" w:lineRule="auto"/>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42EF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0E8D0771">
            <w:pPr>
              <w:spacing w:line="276" w:lineRule="auto"/>
              <w:jc w:val="center"/>
              <w:rPr>
                <w:rFonts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153058D5">
            <w:pPr>
              <w:spacing w:line="276" w:lineRule="auto"/>
              <w:jc w:val="center"/>
              <w:rPr>
                <w:rFonts w:ascii="宋体" w:hAnsi="宋体" w:eastAsia="宋体" w:cs="Times New Roman"/>
                <w:b/>
                <w:szCs w:val="24"/>
              </w:rPr>
            </w:pPr>
            <w:r>
              <w:rPr>
                <w:rFonts w:ascii="宋体" w:hAnsi="宋体" w:eastAsia="宋体" w:cs="Times New Roman"/>
                <w:b/>
                <w:szCs w:val="24"/>
              </w:rPr>
              <w:t>考核/</w:t>
            </w:r>
          </w:p>
          <w:p w14:paraId="0904CA62">
            <w:pPr>
              <w:spacing w:line="276" w:lineRule="auto"/>
              <w:jc w:val="center"/>
              <w:rPr>
                <w:rFonts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12D7C079">
            <w:pPr>
              <w:spacing w:line="276" w:lineRule="auto"/>
              <w:jc w:val="center"/>
              <w:rPr>
                <w:rFonts w:ascii="宋体" w:hAnsi="宋体" w:eastAsia="宋体" w:cs="Times New Roman"/>
                <w:b/>
                <w:szCs w:val="24"/>
              </w:rPr>
            </w:pPr>
            <w:r>
              <w:rPr>
                <w:rFonts w:hint="eastAsia" w:ascii="宋体" w:hAnsi="宋体" w:eastAsia="宋体" w:cs="Times New Roman"/>
                <w:b/>
                <w:szCs w:val="24"/>
              </w:rPr>
              <w:t>权重</w:t>
            </w:r>
          </w:p>
        </w:tc>
        <w:tc>
          <w:tcPr>
            <w:tcW w:w="2693" w:type="dxa"/>
            <w:shd w:val="clear" w:color="auto" w:fill="FFFFFF"/>
            <w:vAlign w:val="center"/>
          </w:tcPr>
          <w:p w14:paraId="6EAD260B">
            <w:pPr>
              <w:spacing w:line="276" w:lineRule="auto"/>
              <w:jc w:val="center"/>
              <w:rPr>
                <w:rFonts w:ascii="宋体" w:hAnsi="宋体" w:eastAsia="宋体" w:cs="Times New Roman"/>
                <w:b/>
                <w:szCs w:val="24"/>
              </w:rPr>
            </w:pPr>
            <w:r>
              <w:rPr>
                <w:rFonts w:ascii="宋体" w:hAnsi="宋体" w:eastAsia="宋体" w:cs="Times New Roman"/>
                <w:b/>
                <w:szCs w:val="24"/>
              </w:rPr>
              <w:t>考核/评价细则</w:t>
            </w:r>
          </w:p>
        </w:tc>
        <w:tc>
          <w:tcPr>
            <w:tcW w:w="1276" w:type="dxa"/>
            <w:shd w:val="clear" w:color="auto" w:fill="FFFFFF"/>
          </w:tcPr>
          <w:p w14:paraId="6BE0B778">
            <w:pPr>
              <w:spacing w:line="276" w:lineRule="auto"/>
              <w:rPr>
                <w:rFonts w:ascii="宋体" w:hAnsi="宋体" w:eastAsia="宋体" w:cs="Times New Roman"/>
                <w:b/>
                <w:szCs w:val="24"/>
              </w:rPr>
            </w:pPr>
            <w:r>
              <w:rPr>
                <w:rFonts w:hint="eastAsia" w:ascii="宋体" w:hAnsi="宋体" w:eastAsia="宋体" w:cs="Times New Roman"/>
                <w:b/>
                <w:szCs w:val="24"/>
              </w:rPr>
              <w:t>课程</w:t>
            </w:r>
          </w:p>
          <w:p w14:paraId="5AC5739E">
            <w:pPr>
              <w:spacing w:line="276" w:lineRule="auto"/>
              <w:jc w:val="center"/>
              <w:rPr>
                <w:rFonts w:ascii="宋体" w:hAnsi="宋体" w:eastAsia="宋体" w:cs="Times New Roman"/>
                <w:b/>
                <w:szCs w:val="24"/>
              </w:rPr>
            </w:pPr>
            <w:r>
              <w:rPr>
                <w:rFonts w:hint="eastAsia" w:ascii="宋体" w:hAnsi="宋体" w:eastAsia="宋体" w:cs="Times New Roman"/>
                <w:b/>
                <w:szCs w:val="24"/>
              </w:rPr>
              <w:t>目标</w:t>
            </w:r>
          </w:p>
        </w:tc>
        <w:tc>
          <w:tcPr>
            <w:tcW w:w="1276" w:type="dxa"/>
            <w:shd w:val="clear" w:color="auto" w:fill="FFFFFF"/>
          </w:tcPr>
          <w:p w14:paraId="2B4567CC">
            <w:pPr>
              <w:spacing w:line="276" w:lineRule="auto"/>
              <w:jc w:val="center"/>
              <w:rPr>
                <w:rFonts w:ascii="宋体" w:hAnsi="宋体" w:eastAsia="宋体" w:cs="Times New Roman"/>
                <w:b/>
                <w:szCs w:val="24"/>
              </w:rPr>
            </w:pPr>
            <w:r>
              <w:rPr>
                <w:rFonts w:hint="eastAsia" w:ascii="宋体" w:hAnsi="宋体" w:eastAsia="宋体" w:cs="Times New Roman"/>
                <w:b/>
                <w:szCs w:val="24"/>
              </w:rPr>
              <w:t>考核</w:t>
            </w:r>
          </w:p>
          <w:p w14:paraId="6F874224">
            <w:pPr>
              <w:spacing w:line="276" w:lineRule="auto"/>
              <w:jc w:val="center"/>
              <w:rPr>
                <w:rFonts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413BED6F">
            <w:pPr>
              <w:spacing w:line="276" w:lineRule="auto"/>
              <w:jc w:val="center"/>
              <w:rPr>
                <w:rFonts w:ascii="宋体" w:hAnsi="宋体" w:eastAsia="宋体" w:cs="Times New Roman"/>
                <w:b/>
                <w:szCs w:val="24"/>
              </w:rPr>
            </w:pPr>
            <w:r>
              <w:rPr>
                <w:rFonts w:ascii="宋体" w:hAnsi="宋体" w:eastAsia="宋体" w:cs="Times New Roman"/>
                <w:b/>
                <w:szCs w:val="24"/>
              </w:rPr>
              <w:t>对应的毕业要求指标点</w:t>
            </w:r>
          </w:p>
        </w:tc>
      </w:tr>
      <w:tr w14:paraId="38C2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24" w:type="dxa"/>
            <w:tcMar>
              <w:left w:w="57" w:type="dxa"/>
              <w:right w:w="57" w:type="dxa"/>
            </w:tcMar>
            <w:vAlign w:val="center"/>
          </w:tcPr>
          <w:p w14:paraId="38DB7C95">
            <w:pPr>
              <w:spacing w:line="276" w:lineRule="auto"/>
              <w:jc w:val="center"/>
              <w:rPr>
                <w:rFonts w:ascii="宋体" w:hAnsi="宋体" w:eastAsia="宋体" w:cs="Times New Roman"/>
                <w:szCs w:val="24"/>
              </w:rPr>
            </w:pPr>
            <w:r>
              <w:rPr>
                <w:rFonts w:ascii="宋体" w:hAnsi="宋体" w:eastAsia="宋体" w:cs="Times New Roman"/>
                <w:szCs w:val="24"/>
              </w:rPr>
              <w:t>平时成绩</w:t>
            </w:r>
          </w:p>
        </w:tc>
        <w:tc>
          <w:tcPr>
            <w:tcW w:w="1134" w:type="dxa"/>
            <w:vAlign w:val="center"/>
          </w:tcPr>
          <w:p w14:paraId="234042AF">
            <w:pPr>
              <w:spacing w:line="276" w:lineRule="auto"/>
              <w:rPr>
                <w:rFonts w:ascii="宋体" w:hAnsi="宋体" w:eastAsia="宋体" w:cs="Times New Roman"/>
                <w:szCs w:val="24"/>
              </w:rPr>
            </w:pPr>
            <w:r>
              <w:rPr>
                <w:rFonts w:hint="eastAsia" w:ascii="宋体" w:hAnsi="宋体" w:eastAsia="宋体" w:cs="Times New Roman"/>
                <w:szCs w:val="24"/>
              </w:rPr>
              <w:t>课堂表现、考勤及</w:t>
            </w:r>
            <w:r>
              <w:rPr>
                <w:rFonts w:ascii="宋体" w:hAnsi="宋体" w:eastAsia="宋体" w:cs="Times New Roman"/>
                <w:szCs w:val="24"/>
              </w:rPr>
              <w:t>平时作业</w:t>
            </w:r>
          </w:p>
        </w:tc>
        <w:tc>
          <w:tcPr>
            <w:tcW w:w="709" w:type="dxa"/>
            <w:vAlign w:val="center"/>
          </w:tcPr>
          <w:p w14:paraId="4AFACBB5">
            <w:pPr>
              <w:spacing w:line="276" w:lineRule="auto"/>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0%</w:t>
            </w:r>
          </w:p>
        </w:tc>
        <w:tc>
          <w:tcPr>
            <w:tcW w:w="2693" w:type="dxa"/>
            <w:vAlign w:val="center"/>
          </w:tcPr>
          <w:p w14:paraId="3427FFEC">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其中课堂考勤及课堂表现占30%，平时作业占70%。</w:t>
            </w:r>
          </w:p>
          <w:p w14:paraId="103E536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课堂考勤：病假和事假一次扣5分，无故缺席一次扣10分，无故缺席累积达5次以上（不含5次）取消课程成绩。</w:t>
            </w:r>
          </w:p>
          <w:p w14:paraId="20ECD44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课堂表现：勤于思考，积极参加小组活动，主动回答提问。表现优秀按满分计算。具体根据表现积极情况酌情加减分。</w:t>
            </w:r>
          </w:p>
          <w:p w14:paraId="5EE7AA7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平时作业：课后完成3次作业，主要考核学生对每节课知识点的复习、理解和掌握程度，计算全部作业的平均成绩。</w:t>
            </w:r>
          </w:p>
        </w:tc>
        <w:tc>
          <w:tcPr>
            <w:tcW w:w="1276" w:type="dxa"/>
          </w:tcPr>
          <w:p w14:paraId="78829FFD">
            <w:pPr>
              <w:spacing w:line="276" w:lineRule="auto"/>
              <w:rPr>
                <w:rFonts w:ascii="宋体" w:hAnsi="宋体" w:eastAsia="宋体" w:cs="Times New Roman"/>
                <w:szCs w:val="24"/>
              </w:rPr>
            </w:pPr>
          </w:p>
          <w:p w14:paraId="0B8F3E27">
            <w:pPr>
              <w:spacing w:line="276" w:lineRule="auto"/>
              <w:jc w:val="center"/>
              <w:rPr>
                <w:rFonts w:ascii="宋体" w:hAnsi="宋体" w:eastAsia="宋体" w:cs="Times New Roman"/>
                <w:szCs w:val="24"/>
              </w:rPr>
            </w:pPr>
          </w:p>
          <w:p w14:paraId="0722B531">
            <w:pPr>
              <w:spacing w:line="276" w:lineRule="auto"/>
              <w:jc w:val="center"/>
              <w:rPr>
                <w:rFonts w:ascii="宋体" w:hAnsi="宋体" w:eastAsia="宋体" w:cs="Times New Roman"/>
                <w:szCs w:val="24"/>
              </w:rPr>
            </w:pPr>
          </w:p>
          <w:p w14:paraId="4CC75B62">
            <w:pPr>
              <w:spacing w:line="276" w:lineRule="auto"/>
              <w:jc w:val="center"/>
              <w:rPr>
                <w:rFonts w:ascii="宋体" w:hAnsi="宋体" w:eastAsia="宋体" w:cs="Times New Roman"/>
                <w:szCs w:val="24"/>
              </w:rPr>
            </w:pPr>
          </w:p>
          <w:p w14:paraId="093C7E96">
            <w:pPr>
              <w:spacing w:line="276" w:lineRule="auto"/>
              <w:jc w:val="center"/>
              <w:rPr>
                <w:rFonts w:ascii="宋体" w:hAnsi="宋体" w:eastAsia="宋体" w:cs="Times New Roman"/>
                <w:szCs w:val="24"/>
              </w:rPr>
            </w:pPr>
          </w:p>
          <w:p w14:paraId="0C0EE9BD">
            <w:pPr>
              <w:spacing w:line="276" w:lineRule="auto"/>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tc>
        <w:tc>
          <w:tcPr>
            <w:tcW w:w="1276" w:type="dxa"/>
          </w:tcPr>
          <w:p w14:paraId="4241FBBB">
            <w:pPr>
              <w:spacing w:line="276" w:lineRule="auto"/>
              <w:rPr>
                <w:rFonts w:ascii="宋体" w:hAnsi="宋体" w:eastAsia="宋体" w:cs="Times New Roman"/>
                <w:szCs w:val="24"/>
              </w:rPr>
            </w:pPr>
          </w:p>
          <w:p w14:paraId="3CDE29E9">
            <w:pPr>
              <w:spacing w:line="276" w:lineRule="auto"/>
              <w:rPr>
                <w:rFonts w:ascii="宋体" w:hAnsi="宋体" w:eastAsia="宋体" w:cs="Times New Roman"/>
                <w:szCs w:val="24"/>
              </w:rPr>
            </w:pPr>
          </w:p>
          <w:p w14:paraId="31170478">
            <w:pPr>
              <w:spacing w:line="276" w:lineRule="auto"/>
              <w:rPr>
                <w:rFonts w:ascii="宋体" w:hAnsi="宋体" w:eastAsia="宋体" w:cs="Times New Roman"/>
                <w:szCs w:val="24"/>
              </w:rPr>
            </w:pPr>
          </w:p>
          <w:p w14:paraId="657A5F83">
            <w:pPr>
              <w:spacing w:line="276" w:lineRule="auto"/>
              <w:rPr>
                <w:rFonts w:ascii="宋体" w:hAnsi="宋体" w:eastAsia="宋体" w:cs="Times New Roman"/>
                <w:szCs w:val="24"/>
              </w:rPr>
            </w:pPr>
          </w:p>
          <w:p w14:paraId="19329D85">
            <w:pPr>
              <w:spacing w:line="276" w:lineRule="auto"/>
              <w:rPr>
                <w:rFonts w:ascii="宋体" w:hAnsi="宋体" w:eastAsia="宋体" w:cs="宋体"/>
                <w:kern w:val="0"/>
                <w:szCs w:val="21"/>
              </w:rPr>
            </w:pPr>
          </w:p>
        </w:tc>
        <w:tc>
          <w:tcPr>
            <w:tcW w:w="1276" w:type="dxa"/>
            <w:vAlign w:val="center"/>
          </w:tcPr>
          <w:p w14:paraId="6F0FAAAE">
            <w:pPr>
              <w:spacing w:line="276" w:lineRule="auto"/>
              <w:jc w:val="left"/>
              <w:rPr>
                <w:rFonts w:ascii="宋体" w:hAnsi="宋体" w:eastAsia="宋体" w:cs="Times New Roman"/>
                <w:szCs w:val="24"/>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4、7-3</w:t>
            </w:r>
          </w:p>
        </w:tc>
      </w:tr>
      <w:tr w14:paraId="39F4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7" w:hRule="atLeast"/>
        </w:trPr>
        <w:tc>
          <w:tcPr>
            <w:tcW w:w="624" w:type="dxa"/>
            <w:tcMar>
              <w:left w:w="57" w:type="dxa"/>
              <w:right w:w="57" w:type="dxa"/>
            </w:tcMar>
            <w:vAlign w:val="center"/>
          </w:tcPr>
          <w:p w14:paraId="29D2ABCF">
            <w:pPr>
              <w:spacing w:line="276" w:lineRule="auto"/>
              <w:jc w:val="center"/>
              <w:rPr>
                <w:rFonts w:ascii="宋体" w:hAnsi="宋体" w:eastAsia="宋体" w:cs="Times New Roman"/>
                <w:szCs w:val="24"/>
              </w:rPr>
            </w:pPr>
            <w:r>
              <w:rPr>
                <w:rFonts w:ascii="宋体" w:hAnsi="宋体" w:eastAsia="宋体" w:cs="Times New Roman"/>
                <w:szCs w:val="24"/>
              </w:rPr>
              <w:t>期末考试</w:t>
            </w:r>
          </w:p>
        </w:tc>
        <w:tc>
          <w:tcPr>
            <w:tcW w:w="1134" w:type="dxa"/>
            <w:vAlign w:val="center"/>
          </w:tcPr>
          <w:p w14:paraId="6FA3827B">
            <w:pPr>
              <w:spacing w:line="276" w:lineRule="auto"/>
              <w:jc w:val="center"/>
              <w:rPr>
                <w:rFonts w:ascii="宋体" w:hAnsi="宋体" w:eastAsia="宋体" w:cs="Times New Roman"/>
                <w:szCs w:val="24"/>
              </w:rPr>
            </w:pPr>
            <w:r>
              <w:rPr>
                <w:rFonts w:ascii="宋体" w:hAnsi="宋体" w:eastAsia="宋体" w:cs="Times New Roman"/>
                <w:szCs w:val="24"/>
              </w:rPr>
              <w:t>期末考试</w:t>
            </w:r>
          </w:p>
          <w:p w14:paraId="3E78B45B">
            <w:pPr>
              <w:spacing w:line="276" w:lineRule="auto"/>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9" w:type="dxa"/>
            <w:vAlign w:val="center"/>
          </w:tcPr>
          <w:p w14:paraId="0D9509FA">
            <w:pPr>
              <w:spacing w:line="276" w:lineRule="auto"/>
              <w:jc w:val="center"/>
              <w:rPr>
                <w:rFonts w:ascii="宋体" w:hAnsi="宋体" w:eastAsia="宋体" w:cs="Times New Roman"/>
                <w:szCs w:val="24"/>
              </w:rPr>
            </w:pPr>
            <w:r>
              <w:rPr>
                <w:rFonts w:hint="eastAsia" w:ascii="宋体" w:hAnsi="宋体" w:eastAsia="宋体" w:cs="Times New Roman"/>
                <w:szCs w:val="24"/>
              </w:rPr>
              <w:t>7</w:t>
            </w:r>
            <w:r>
              <w:rPr>
                <w:rFonts w:ascii="宋体" w:hAnsi="宋体" w:eastAsia="宋体" w:cs="Times New Roman"/>
                <w:szCs w:val="24"/>
              </w:rPr>
              <w:t>0%</w:t>
            </w:r>
          </w:p>
        </w:tc>
        <w:tc>
          <w:tcPr>
            <w:tcW w:w="2693" w:type="dxa"/>
            <w:vAlign w:val="center"/>
          </w:tcPr>
          <w:p w14:paraId="34EA6367">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试卷题型包括选择题和应用题，以卷面成绩的70%计入课程总成绩。其中考核教育统计与测量的基本理论型题目占20%，考核学生应用基本理论知识分析和解决实际问题的题目占80%。</w:t>
            </w:r>
          </w:p>
        </w:tc>
        <w:tc>
          <w:tcPr>
            <w:tcW w:w="1276" w:type="dxa"/>
          </w:tcPr>
          <w:p w14:paraId="4068B0CA">
            <w:pPr>
              <w:spacing w:line="276" w:lineRule="auto"/>
              <w:jc w:val="center"/>
              <w:rPr>
                <w:rFonts w:ascii="宋体" w:hAnsi="宋体" w:eastAsia="宋体" w:cs="Times New Roman"/>
                <w:szCs w:val="24"/>
              </w:rPr>
            </w:pPr>
          </w:p>
          <w:p w14:paraId="546C9DAD">
            <w:pPr>
              <w:spacing w:line="276" w:lineRule="auto"/>
              <w:jc w:val="center"/>
              <w:rPr>
                <w:rFonts w:ascii="宋体" w:hAnsi="宋体" w:eastAsia="宋体" w:cs="Times New Roman"/>
                <w:szCs w:val="24"/>
              </w:rPr>
            </w:pPr>
          </w:p>
          <w:p w14:paraId="35A0207A">
            <w:pPr>
              <w:spacing w:line="276" w:lineRule="auto"/>
              <w:jc w:val="center"/>
              <w:rPr>
                <w:rFonts w:ascii="宋体" w:hAnsi="宋体" w:eastAsia="宋体" w:cs="Times New Roman"/>
                <w:szCs w:val="24"/>
              </w:rPr>
            </w:pPr>
          </w:p>
          <w:p w14:paraId="146491E2">
            <w:pPr>
              <w:spacing w:line="276" w:lineRule="auto"/>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1</w:t>
            </w:r>
          </w:p>
          <w:p w14:paraId="58092504">
            <w:pPr>
              <w:spacing w:line="276" w:lineRule="auto"/>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tc>
        <w:tc>
          <w:tcPr>
            <w:tcW w:w="1276" w:type="dxa"/>
          </w:tcPr>
          <w:p w14:paraId="2CFB3C04">
            <w:pPr>
              <w:spacing w:line="276" w:lineRule="auto"/>
              <w:rPr>
                <w:rFonts w:ascii="宋体" w:hAnsi="宋体" w:eastAsia="宋体" w:cs="宋体"/>
                <w:kern w:val="0"/>
                <w:szCs w:val="21"/>
              </w:rPr>
            </w:pPr>
          </w:p>
          <w:p w14:paraId="1C3C8B07">
            <w:pPr>
              <w:spacing w:line="276" w:lineRule="auto"/>
              <w:rPr>
                <w:rFonts w:ascii="宋体" w:hAnsi="宋体" w:eastAsia="宋体" w:cs="Times New Roman"/>
                <w:szCs w:val="21"/>
              </w:rPr>
            </w:pPr>
          </w:p>
        </w:tc>
        <w:tc>
          <w:tcPr>
            <w:tcW w:w="1276" w:type="dxa"/>
            <w:vAlign w:val="center"/>
          </w:tcPr>
          <w:p w14:paraId="5145926B">
            <w:pPr>
              <w:spacing w:line="276" w:lineRule="auto"/>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4、7-3</w:t>
            </w:r>
          </w:p>
        </w:tc>
      </w:tr>
    </w:tbl>
    <w:p w14:paraId="5311E213">
      <w:pPr>
        <w:spacing w:line="360" w:lineRule="auto"/>
        <w:rPr>
          <w:rFonts w:ascii="宋体" w:hAnsi="宋体" w:eastAsia="宋体" w:cs="Times New Roman"/>
          <w:sz w:val="24"/>
        </w:rPr>
      </w:pPr>
    </w:p>
    <w:p w14:paraId="491A6344">
      <w:pPr>
        <w:spacing w:line="360" w:lineRule="auto"/>
        <w:rPr>
          <w:rFonts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9078" w:type="dxa"/>
        <w:tblInd w:w="0" w:type="dxa"/>
        <w:tblLayout w:type="fixed"/>
        <w:tblCellMar>
          <w:top w:w="0" w:type="dxa"/>
          <w:left w:w="108" w:type="dxa"/>
          <w:bottom w:w="0" w:type="dxa"/>
          <w:right w:w="108" w:type="dxa"/>
        </w:tblCellMar>
      </w:tblPr>
      <w:tblGrid>
        <w:gridCol w:w="2057"/>
        <w:gridCol w:w="1824"/>
        <w:gridCol w:w="2206"/>
        <w:gridCol w:w="1851"/>
        <w:gridCol w:w="1140"/>
      </w:tblGrid>
      <w:tr w14:paraId="6D450DA6">
        <w:tblPrEx>
          <w:tblCellMar>
            <w:top w:w="0" w:type="dxa"/>
            <w:left w:w="108" w:type="dxa"/>
            <w:bottom w:w="0" w:type="dxa"/>
            <w:right w:w="108" w:type="dxa"/>
          </w:tblCellMar>
        </w:tblPrEx>
        <w:trPr>
          <w:trHeight w:val="337" w:hRule="atLeast"/>
        </w:trPr>
        <w:tc>
          <w:tcPr>
            <w:tcW w:w="3881" w:type="dxa"/>
            <w:gridSpan w:val="2"/>
            <w:tcBorders>
              <w:top w:val="single" w:color="auto" w:sz="8" w:space="0"/>
              <w:left w:val="single" w:color="auto" w:sz="8" w:space="0"/>
              <w:bottom w:val="single" w:color="auto" w:sz="8" w:space="0"/>
              <w:right w:val="single" w:color="000000" w:sz="8" w:space="0"/>
            </w:tcBorders>
            <w:vAlign w:val="center"/>
          </w:tcPr>
          <w:p w14:paraId="5250E86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197" w:type="dxa"/>
            <w:gridSpan w:val="3"/>
            <w:tcBorders>
              <w:top w:val="single" w:color="auto" w:sz="8" w:space="0"/>
              <w:left w:val="nil"/>
              <w:bottom w:val="single" w:color="auto" w:sz="8" w:space="0"/>
              <w:right w:val="single" w:color="000000" w:sz="8" w:space="0"/>
            </w:tcBorders>
            <w:vAlign w:val="center"/>
          </w:tcPr>
          <w:p w14:paraId="29CDD6E5">
            <w:pPr>
              <w:widowControl/>
              <w:spacing w:line="276" w:lineRule="auto"/>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007510CB">
        <w:tblPrEx>
          <w:tblCellMar>
            <w:top w:w="0" w:type="dxa"/>
            <w:left w:w="108" w:type="dxa"/>
            <w:bottom w:w="0" w:type="dxa"/>
            <w:right w:w="108" w:type="dxa"/>
          </w:tblCellMar>
        </w:tblPrEx>
        <w:trPr>
          <w:trHeight w:val="519" w:hRule="atLeast"/>
        </w:trPr>
        <w:tc>
          <w:tcPr>
            <w:tcW w:w="2057" w:type="dxa"/>
            <w:tcBorders>
              <w:top w:val="nil"/>
              <w:left w:val="single" w:color="auto" w:sz="8" w:space="0"/>
              <w:bottom w:val="single" w:color="auto" w:sz="8" w:space="0"/>
              <w:right w:val="single" w:color="auto" w:sz="8" w:space="0"/>
            </w:tcBorders>
            <w:vAlign w:val="center"/>
          </w:tcPr>
          <w:p w14:paraId="5E25F8B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824" w:type="dxa"/>
            <w:tcBorders>
              <w:top w:val="nil"/>
              <w:left w:val="nil"/>
              <w:bottom w:val="single" w:color="auto" w:sz="8" w:space="0"/>
              <w:right w:val="single" w:color="auto" w:sz="8" w:space="0"/>
            </w:tcBorders>
            <w:vAlign w:val="center"/>
          </w:tcPr>
          <w:p w14:paraId="7C9A7F2F">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206" w:type="dxa"/>
            <w:tcBorders>
              <w:top w:val="nil"/>
              <w:left w:val="nil"/>
              <w:bottom w:val="single" w:color="auto" w:sz="8" w:space="0"/>
              <w:right w:val="single" w:color="auto" w:sz="8" w:space="0"/>
            </w:tcBorders>
            <w:vAlign w:val="center"/>
          </w:tcPr>
          <w:p w14:paraId="7C75FB1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851" w:type="dxa"/>
            <w:tcBorders>
              <w:top w:val="nil"/>
              <w:left w:val="nil"/>
              <w:bottom w:val="single" w:color="auto" w:sz="8" w:space="0"/>
              <w:right w:val="single" w:color="auto" w:sz="8" w:space="0"/>
            </w:tcBorders>
            <w:vAlign w:val="center"/>
          </w:tcPr>
          <w:p w14:paraId="1C81951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139" w:type="dxa"/>
            <w:tcBorders>
              <w:top w:val="nil"/>
              <w:left w:val="nil"/>
              <w:bottom w:val="single" w:color="auto" w:sz="8" w:space="0"/>
              <w:right w:val="single" w:color="auto" w:sz="8" w:space="0"/>
            </w:tcBorders>
          </w:tcPr>
          <w:p w14:paraId="0C38792B">
            <w:pPr>
              <w:widowControl/>
              <w:spacing w:line="276" w:lineRule="auto"/>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70E1E31B">
        <w:tblPrEx>
          <w:tblCellMar>
            <w:top w:w="0" w:type="dxa"/>
            <w:left w:w="108" w:type="dxa"/>
            <w:bottom w:w="0" w:type="dxa"/>
            <w:right w:w="108" w:type="dxa"/>
          </w:tblCellMar>
        </w:tblPrEx>
        <w:trPr>
          <w:trHeight w:val="313" w:hRule="atLeast"/>
        </w:trPr>
        <w:tc>
          <w:tcPr>
            <w:tcW w:w="2057" w:type="dxa"/>
            <w:vMerge w:val="restart"/>
            <w:tcBorders>
              <w:top w:val="nil"/>
              <w:left w:val="single" w:color="auto" w:sz="8" w:space="0"/>
              <w:bottom w:val="single" w:color="000000" w:sz="8" w:space="0"/>
              <w:right w:val="single" w:color="auto" w:sz="8" w:space="0"/>
            </w:tcBorders>
            <w:vAlign w:val="center"/>
          </w:tcPr>
          <w:p w14:paraId="3CAAD66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24" w:type="dxa"/>
            <w:vMerge w:val="restart"/>
            <w:tcBorders>
              <w:top w:val="nil"/>
              <w:left w:val="single" w:color="auto" w:sz="8" w:space="0"/>
              <w:bottom w:val="single" w:color="000000" w:sz="8" w:space="0"/>
              <w:right w:val="single" w:color="auto" w:sz="8" w:space="0"/>
            </w:tcBorders>
            <w:vAlign w:val="center"/>
          </w:tcPr>
          <w:p w14:paraId="34ABB01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2206" w:type="dxa"/>
            <w:tcBorders>
              <w:top w:val="nil"/>
              <w:left w:val="nil"/>
              <w:bottom w:val="single" w:color="auto" w:sz="8" w:space="0"/>
              <w:right w:val="single" w:color="auto" w:sz="8" w:space="0"/>
            </w:tcBorders>
            <w:vAlign w:val="center"/>
          </w:tcPr>
          <w:p w14:paraId="74F9B89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51" w:type="dxa"/>
            <w:tcBorders>
              <w:top w:val="nil"/>
              <w:left w:val="nil"/>
              <w:bottom w:val="single" w:color="auto" w:sz="8" w:space="0"/>
              <w:right w:val="single" w:color="auto" w:sz="8" w:space="0"/>
            </w:tcBorders>
            <w:vAlign w:val="center"/>
          </w:tcPr>
          <w:p w14:paraId="55D96F8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9" w:type="dxa"/>
            <w:vMerge w:val="restart"/>
            <w:tcBorders>
              <w:top w:val="nil"/>
              <w:left w:val="nil"/>
              <w:right w:val="single" w:color="auto" w:sz="8" w:space="0"/>
            </w:tcBorders>
            <w:vAlign w:val="center"/>
          </w:tcPr>
          <w:p w14:paraId="2E5B52E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14686CD0">
        <w:tblPrEx>
          <w:tblCellMar>
            <w:top w:w="0" w:type="dxa"/>
            <w:left w:w="108" w:type="dxa"/>
            <w:bottom w:w="0" w:type="dxa"/>
            <w:right w:w="108" w:type="dxa"/>
          </w:tblCellMar>
        </w:tblPrEx>
        <w:trPr>
          <w:trHeight w:val="106" w:hRule="atLeast"/>
        </w:trPr>
        <w:tc>
          <w:tcPr>
            <w:tcW w:w="2057" w:type="dxa"/>
            <w:vMerge w:val="continue"/>
            <w:tcBorders>
              <w:top w:val="nil"/>
              <w:left w:val="single" w:color="auto" w:sz="8" w:space="0"/>
              <w:bottom w:val="single" w:color="000000" w:sz="8" w:space="0"/>
              <w:right w:val="single" w:color="auto" w:sz="8" w:space="0"/>
            </w:tcBorders>
            <w:vAlign w:val="center"/>
          </w:tcPr>
          <w:p w14:paraId="1B958732">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67D57C2D">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2E2F3C2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作业1</w:t>
            </w:r>
          </w:p>
        </w:tc>
        <w:tc>
          <w:tcPr>
            <w:tcW w:w="1851" w:type="dxa"/>
            <w:tcBorders>
              <w:top w:val="nil"/>
              <w:left w:val="nil"/>
              <w:bottom w:val="single" w:color="auto" w:sz="8" w:space="0"/>
              <w:right w:val="single" w:color="auto" w:sz="8" w:space="0"/>
            </w:tcBorders>
            <w:vAlign w:val="center"/>
          </w:tcPr>
          <w:p w14:paraId="50EC907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9" w:type="dxa"/>
            <w:vMerge w:val="continue"/>
            <w:tcBorders>
              <w:left w:val="nil"/>
              <w:bottom w:val="single" w:color="auto" w:sz="8" w:space="0"/>
              <w:right w:val="single" w:color="auto" w:sz="8" w:space="0"/>
            </w:tcBorders>
            <w:vAlign w:val="center"/>
          </w:tcPr>
          <w:p w14:paraId="74E8CCD6">
            <w:pPr>
              <w:widowControl/>
              <w:spacing w:line="276" w:lineRule="auto"/>
              <w:jc w:val="center"/>
              <w:rPr>
                <w:rFonts w:ascii="宋体" w:hAnsi="宋体" w:eastAsia="宋体" w:cs="Times New Roman"/>
                <w:kern w:val="0"/>
                <w:szCs w:val="21"/>
              </w:rPr>
            </w:pPr>
          </w:p>
        </w:tc>
      </w:tr>
      <w:tr w14:paraId="7FE410EC">
        <w:tblPrEx>
          <w:tblCellMar>
            <w:top w:w="0" w:type="dxa"/>
            <w:left w:w="108" w:type="dxa"/>
            <w:bottom w:w="0" w:type="dxa"/>
            <w:right w:w="108" w:type="dxa"/>
          </w:tblCellMar>
        </w:tblPrEx>
        <w:trPr>
          <w:trHeight w:val="106" w:hRule="atLeast"/>
        </w:trPr>
        <w:tc>
          <w:tcPr>
            <w:tcW w:w="2057" w:type="dxa"/>
            <w:vMerge w:val="continue"/>
            <w:tcBorders>
              <w:top w:val="nil"/>
              <w:left w:val="single" w:color="auto" w:sz="8" w:space="0"/>
              <w:bottom w:val="single" w:color="000000" w:sz="8" w:space="0"/>
              <w:right w:val="single" w:color="auto" w:sz="8" w:space="0"/>
            </w:tcBorders>
            <w:vAlign w:val="center"/>
          </w:tcPr>
          <w:p w14:paraId="3DA2F9F1">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6E63FF02">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6D47208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51" w:type="dxa"/>
            <w:tcBorders>
              <w:top w:val="nil"/>
              <w:left w:val="nil"/>
              <w:bottom w:val="single" w:color="auto" w:sz="8" w:space="0"/>
              <w:right w:val="single" w:color="auto" w:sz="8" w:space="0"/>
            </w:tcBorders>
            <w:vAlign w:val="center"/>
          </w:tcPr>
          <w:p w14:paraId="5072EF5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9" w:type="dxa"/>
            <w:vMerge w:val="continue"/>
            <w:tcBorders>
              <w:left w:val="nil"/>
              <w:bottom w:val="single" w:color="auto" w:sz="8" w:space="0"/>
              <w:right w:val="single" w:color="auto" w:sz="8" w:space="0"/>
            </w:tcBorders>
            <w:vAlign w:val="center"/>
          </w:tcPr>
          <w:p w14:paraId="698FD1EF">
            <w:pPr>
              <w:widowControl/>
              <w:spacing w:line="276" w:lineRule="auto"/>
              <w:jc w:val="center"/>
              <w:rPr>
                <w:rFonts w:ascii="宋体" w:hAnsi="宋体" w:eastAsia="宋体" w:cs="Times New Roman"/>
                <w:kern w:val="0"/>
                <w:szCs w:val="21"/>
              </w:rPr>
            </w:pPr>
          </w:p>
        </w:tc>
      </w:tr>
      <w:tr w14:paraId="5A5F6728">
        <w:tblPrEx>
          <w:tblCellMar>
            <w:top w:w="0" w:type="dxa"/>
            <w:left w:w="108" w:type="dxa"/>
            <w:bottom w:w="0" w:type="dxa"/>
            <w:right w:w="108" w:type="dxa"/>
          </w:tblCellMar>
        </w:tblPrEx>
        <w:trPr>
          <w:trHeight w:val="106" w:hRule="atLeast"/>
        </w:trPr>
        <w:tc>
          <w:tcPr>
            <w:tcW w:w="2057" w:type="dxa"/>
            <w:vMerge w:val="continue"/>
            <w:tcBorders>
              <w:top w:val="nil"/>
              <w:left w:val="single" w:color="auto" w:sz="8" w:space="0"/>
              <w:bottom w:val="single" w:color="000000" w:sz="8" w:space="0"/>
              <w:right w:val="single" w:color="auto" w:sz="8" w:space="0"/>
            </w:tcBorders>
            <w:vAlign w:val="center"/>
          </w:tcPr>
          <w:p w14:paraId="2E3BF752">
            <w:pPr>
              <w:widowControl/>
              <w:spacing w:line="276" w:lineRule="auto"/>
              <w:jc w:val="center"/>
              <w:rPr>
                <w:rFonts w:ascii="Times New Roman" w:hAnsi="Times New Roman" w:eastAsia="宋体" w:cs="Times New Roman"/>
                <w:szCs w:val="24"/>
              </w:rPr>
            </w:pPr>
          </w:p>
        </w:tc>
        <w:tc>
          <w:tcPr>
            <w:tcW w:w="1824" w:type="dxa"/>
            <w:vMerge w:val="continue"/>
            <w:tcBorders>
              <w:top w:val="nil"/>
              <w:left w:val="single" w:color="auto" w:sz="8" w:space="0"/>
              <w:bottom w:val="single" w:color="000000" w:sz="8" w:space="0"/>
              <w:right w:val="single" w:color="auto" w:sz="8" w:space="0"/>
            </w:tcBorders>
            <w:vAlign w:val="center"/>
          </w:tcPr>
          <w:p w14:paraId="4D237311">
            <w:pPr>
              <w:widowControl/>
              <w:spacing w:line="276" w:lineRule="auto"/>
              <w:jc w:val="center"/>
              <w:rPr>
                <w:rFonts w:ascii="Times New Roman" w:hAnsi="Times New Roman" w:eastAsia="宋体" w:cs="Times New Roman"/>
                <w:szCs w:val="24"/>
              </w:rPr>
            </w:pPr>
          </w:p>
        </w:tc>
        <w:tc>
          <w:tcPr>
            <w:tcW w:w="2206" w:type="dxa"/>
            <w:tcBorders>
              <w:top w:val="nil"/>
              <w:left w:val="nil"/>
              <w:bottom w:val="single" w:color="auto" w:sz="8" w:space="0"/>
              <w:right w:val="single" w:color="auto" w:sz="8" w:space="0"/>
            </w:tcBorders>
            <w:vAlign w:val="center"/>
          </w:tcPr>
          <w:p w14:paraId="2CC2A93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51" w:type="dxa"/>
            <w:tcBorders>
              <w:top w:val="nil"/>
              <w:left w:val="nil"/>
              <w:bottom w:val="single" w:color="auto" w:sz="8" w:space="0"/>
              <w:right w:val="single" w:color="auto" w:sz="8" w:space="0"/>
            </w:tcBorders>
            <w:vAlign w:val="center"/>
          </w:tcPr>
          <w:p w14:paraId="0946CBC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9" w:type="dxa"/>
            <w:vMerge w:val="continue"/>
            <w:tcBorders>
              <w:left w:val="nil"/>
              <w:bottom w:val="single" w:color="auto" w:sz="8" w:space="0"/>
              <w:right w:val="single" w:color="auto" w:sz="8" w:space="0"/>
            </w:tcBorders>
            <w:vAlign w:val="center"/>
          </w:tcPr>
          <w:p w14:paraId="66615996">
            <w:pPr>
              <w:widowControl/>
              <w:spacing w:line="276" w:lineRule="auto"/>
              <w:jc w:val="center"/>
              <w:rPr>
                <w:rFonts w:ascii="宋体" w:hAnsi="宋体" w:eastAsia="宋体" w:cs="Times New Roman"/>
                <w:kern w:val="0"/>
                <w:szCs w:val="21"/>
              </w:rPr>
            </w:pPr>
          </w:p>
        </w:tc>
      </w:tr>
      <w:tr w14:paraId="5068A713">
        <w:tblPrEx>
          <w:tblCellMar>
            <w:top w:w="0" w:type="dxa"/>
            <w:left w:w="108" w:type="dxa"/>
            <w:bottom w:w="0" w:type="dxa"/>
            <w:right w:w="108" w:type="dxa"/>
          </w:tblCellMar>
        </w:tblPrEx>
        <w:trPr>
          <w:trHeight w:val="106" w:hRule="atLeast"/>
        </w:trPr>
        <w:tc>
          <w:tcPr>
            <w:tcW w:w="2057" w:type="dxa"/>
            <w:vMerge w:val="continue"/>
            <w:tcBorders>
              <w:top w:val="nil"/>
              <w:left w:val="single" w:color="auto" w:sz="8" w:space="0"/>
              <w:bottom w:val="single" w:color="000000" w:sz="8" w:space="0"/>
              <w:right w:val="single" w:color="auto" w:sz="8" w:space="0"/>
            </w:tcBorders>
            <w:vAlign w:val="center"/>
          </w:tcPr>
          <w:p w14:paraId="5FEE03AA">
            <w:pPr>
              <w:widowControl/>
              <w:spacing w:line="276" w:lineRule="auto"/>
              <w:jc w:val="center"/>
              <w:rPr>
                <w:rFonts w:ascii="Times New Roman" w:hAnsi="Times New Roman" w:eastAsia="宋体" w:cs="Times New Roman"/>
                <w:szCs w:val="24"/>
              </w:rPr>
            </w:pPr>
          </w:p>
        </w:tc>
        <w:tc>
          <w:tcPr>
            <w:tcW w:w="1824" w:type="dxa"/>
            <w:vMerge w:val="continue"/>
            <w:tcBorders>
              <w:top w:val="nil"/>
              <w:left w:val="single" w:color="auto" w:sz="8" w:space="0"/>
              <w:bottom w:val="single" w:color="000000" w:sz="8" w:space="0"/>
              <w:right w:val="single" w:color="auto" w:sz="8" w:space="0"/>
            </w:tcBorders>
            <w:vAlign w:val="center"/>
          </w:tcPr>
          <w:p w14:paraId="7698387B">
            <w:pPr>
              <w:widowControl/>
              <w:spacing w:line="276" w:lineRule="auto"/>
              <w:jc w:val="center"/>
              <w:rPr>
                <w:rFonts w:ascii="Times New Roman" w:hAnsi="Times New Roman" w:eastAsia="宋体" w:cs="Times New Roman"/>
                <w:szCs w:val="24"/>
              </w:rPr>
            </w:pPr>
          </w:p>
        </w:tc>
        <w:tc>
          <w:tcPr>
            <w:tcW w:w="2206" w:type="dxa"/>
            <w:tcBorders>
              <w:top w:val="nil"/>
              <w:left w:val="nil"/>
              <w:bottom w:val="single" w:color="auto" w:sz="8" w:space="0"/>
              <w:right w:val="single" w:color="auto" w:sz="8" w:space="0"/>
            </w:tcBorders>
            <w:vAlign w:val="center"/>
          </w:tcPr>
          <w:p w14:paraId="166241E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851" w:type="dxa"/>
            <w:tcBorders>
              <w:top w:val="nil"/>
              <w:left w:val="nil"/>
              <w:bottom w:val="single" w:color="auto" w:sz="8" w:space="0"/>
              <w:right w:val="single" w:color="auto" w:sz="8" w:space="0"/>
            </w:tcBorders>
            <w:vAlign w:val="center"/>
          </w:tcPr>
          <w:p w14:paraId="6171FEA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9" w:type="dxa"/>
            <w:vMerge w:val="continue"/>
            <w:tcBorders>
              <w:left w:val="nil"/>
              <w:bottom w:val="single" w:color="auto" w:sz="8" w:space="0"/>
              <w:right w:val="single" w:color="auto" w:sz="8" w:space="0"/>
            </w:tcBorders>
            <w:vAlign w:val="center"/>
          </w:tcPr>
          <w:p w14:paraId="02CA598D">
            <w:pPr>
              <w:widowControl/>
              <w:spacing w:line="276" w:lineRule="auto"/>
              <w:jc w:val="center"/>
              <w:rPr>
                <w:rFonts w:ascii="宋体" w:hAnsi="宋体" w:eastAsia="宋体" w:cs="Times New Roman"/>
                <w:kern w:val="0"/>
                <w:szCs w:val="21"/>
              </w:rPr>
            </w:pPr>
          </w:p>
        </w:tc>
      </w:tr>
      <w:tr w14:paraId="4B87C00C">
        <w:tblPrEx>
          <w:tblCellMar>
            <w:top w:w="0" w:type="dxa"/>
            <w:left w:w="108" w:type="dxa"/>
            <w:bottom w:w="0" w:type="dxa"/>
            <w:right w:w="108" w:type="dxa"/>
          </w:tblCellMar>
        </w:tblPrEx>
        <w:trPr>
          <w:trHeight w:val="106" w:hRule="atLeast"/>
        </w:trPr>
        <w:tc>
          <w:tcPr>
            <w:tcW w:w="2057" w:type="dxa"/>
            <w:vMerge w:val="continue"/>
            <w:tcBorders>
              <w:top w:val="nil"/>
              <w:left w:val="single" w:color="auto" w:sz="8" w:space="0"/>
              <w:bottom w:val="single" w:color="000000" w:sz="8" w:space="0"/>
              <w:right w:val="single" w:color="auto" w:sz="8" w:space="0"/>
            </w:tcBorders>
            <w:vAlign w:val="center"/>
          </w:tcPr>
          <w:p w14:paraId="6D5E3B98">
            <w:pPr>
              <w:widowControl/>
              <w:spacing w:line="276" w:lineRule="auto"/>
              <w:jc w:val="center"/>
              <w:rPr>
                <w:rFonts w:ascii="Times New Roman" w:hAnsi="Times New Roman" w:eastAsia="宋体" w:cs="Times New Roman"/>
                <w:szCs w:val="24"/>
              </w:rPr>
            </w:pPr>
          </w:p>
        </w:tc>
        <w:tc>
          <w:tcPr>
            <w:tcW w:w="1824" w:type="dxa"/>
            <w:vMerge w:val="continue"/>
            <w:tcBorders>
              <w:top w:val="nil"/>
              <w:left w:val="single" w:color="auto" w:sz="8" w:space="0"/>
              <w:bottom w:val="single" w:color="000000" w:sz="8" w:space="0"/>
              <w:right w:val="single" w:color="auto" w:sz="8" w:space="0"/>
            </w:tcBorders>
            <w:vAlign w:val="center"/>
          </w:tcPr>
          <w:p w14:paraId="42536A30">
            <w:pPr>
              <w:widowControl/>
              <w:spacing w:line="276" w:lineRule="auto"/>
              <w:jc w:val="center"/>
              <w:rPr>
                <w:rFonts w:ascii="Times New Roman" w:hAnsi="Times New Roman" w:eastAsia="宋体" w:cs="Times New Roman"/>
                <w:szCs w:val="24"/>
              </w:rPr>
            </w:pPr>
          </w:p>
        </w:tc>
        <w:tc>
          <w:tcPr>
            <w:tcW w:w="2206" w:type="dxa"/>
            <w:tcBorders>
              <w:top w:val="nil"/>
              <w:left w:val="nil"/>
              <w:bottom w:val="single" w:color="auto" w:sz="8" w:space="0"/>
              <w:right w:val="single" w:color="auto" w:sz="8" w:space="0"/>
            </w:tcBorders>
            <w:vAlign w:val="center"/>
          </w:tcPr>
          <w:p w14:paraId="4FEEE51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51" w:type="dxa"/>
            <w:tcBorders>
              <w:top w:val="nil"/>
              <w:left w:val="nil"/>
              <w:bottom w:val="single" w:color="auto" w:sz="8" w:space="0"/>
              <w:right w:val="single" w:color="auto" w:sz="8" w:space="0"/>
            </w:tcBorders>
            <w:vAlign w:val="center"/>
          </w:tcPr>
          <w:p w14:paraId="198D660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9" w:type="dxa"/>
            <w:vMerge w:val="continue"/>
            <w:tcBorders>
              <w:left w:val="nil"/>
              <w:bottom w:val="single" w:color="auto" w:sz="8" w:space="0"/>
              <w:right w:val="single" w:color="auto" w:sz="8" w:space="0"/>
            </w:tcBorders>
            <w:vAlign w:val="center"/>
          </w:tcPr>
          <w:p w14:paraId="3ED8963E">
            <w:pPr>
              <w:widowControl/>
              <w:spacing w:line="276" w:lineRule="auto"/>
              <w:jc w:val="center"/>
              <w:rPr>
                <w:rFonts w:ascii="宋体" w:hAnsi="宋体" w:eastAsia="宋体" w:cs="Times New Roman"/>
                <w:kern w:val="0"/>
                <w:szCs w:val="21"/>
              </w:rPr>
            </w:pPr>
          </w:p>
        </w:tc>
      </w:tr>
      <w:tr w14:paraId="014A7638">
        <w:tblPrEx>
          <w:tblCellMar>
            <w:top w:w="0" w:type="dxa"/>
            <w:left w:w="108" w:type="dxa"/>
            <w:bottom w:w="0" w:type="dxa"/>
            <w:right w:w="108" w:type="dxa"/>
          </w:tblCellMar>
        </w:tblPrEx>
        <w:trPr>
          <w:trHeight w:val="106" w:hRule="atLeast"/>
        </w:trPr>
        <w:tc>
          <w:tcPr>
            <w:tcW w:w="2057" w:type="dxa"/>
            <w:vMerge w:val="continue"/>
            <w:tcBorders>
              <w:left w:val="single" w:color="auto" w:sz="8" w:space="0"/>
              <w:bottom w:val="single" w:color="000000" w:sz="8" w:space="0"/>
              <w:right w:val="single" w:color="auto" w:sz="8" w:space="0"/>
            </w:tcBorders>
            <w:vAlign w:val="center"/>
          </w:tcPr>
          <w:p w14:paraId="78947736">
            <w:pPr>
              <w:widowControl/>
              <w:spacing w:line="276" w:lineRule="auto"/>
              <w:jc w:val="center"/>
              <w:rPr>
                <w:rFonts w:ascii="宋体" w:hAnsi="宋体" w:eastAsia="宋体" w:cs="Times New Roman"/>
                <w:kern w:val="0"/>
                <w:szCs w:val="21"/>
              </w:rPr>
            </w:pPr>
          </w:p>
        </w:tc>
        <w:tc>
          <w:tcPr>
            <w:tcW w:w="1824" w:type="dxa"/>
            <w:vMerge w:val="continue"/>
            <w:tcBorders>
              <w:left w:val="single" w:color="auto" w:sz="8" w:space="0"/>
              <w:bottom w:val="single" w:color="000000" w:sz="8" w:space="0"/>
              <w:right w:val="single" w:color="auto" w:sz="8" w:space="0"/>
            </w:tcBorders>
            <w:vAlign w:val="center"/>
          </w:tcPr>
          <w:p w14:paraId="44C911C4">
            <w:pPr>
              <w:widowControl/>
              <w:spacing w:line="276" w:lineRule="auto"/>
              <w:jc w:val="center"/>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2DFA83A4">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51" w:type="dxa"/>
            <w:tcBorders>
              <w:top w:val="nil"/>
              <w:left w:val="nil"/>
              <w:bottom w:val="single" w:color="auto" w:sz="8" w:space="0"/>
              <w:right w:val="single" w:color="auto" w:sz="8" w:space="0"/>
            </w:tcBorders>
            <w:vAlign w:val="center"/>
          </w:tcPr>
          <w:p w14:paraId="11B3627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1139" w:type="dxa"/>
            <w:vMerge w:val="continue"/>
            <w:tcBorders>
              <w:left w:val="nil"/>
              <w:bottom w:val="single" w:color="auto" w:sz="8" w:space="0"/>
              <w:right w:val="single" w:color="auto" w:sz="8" w:space="0"/>
            </w:tcBorders>
            <w:vAlign w:val="center"/>
          </w:tcPr>
          <w:p w14:paraId="34B9599C">
            <w:pPr>
              <w:widowControl/>
              <w:spacing w:line="276" w:lineRule="auto"/>
              <w:jc w:val="center"/>
              <w:rPr>
                <w:rFonts w:ascii="宋体" w:hAnsi="宋体" w:eastAsia="宋体" w:cs="Times New Roman"/>
                <w:kern w:val="0"/>
                <w:szCs w:val="21"/>
              </w:rPr>
            </w:pPr>
          </w:p>
        </w:tc>
      </w:tr>
      <w:tr w14:paraId="5A27A914">
        <w:tblPrEx>
          <w:tblCellMar>
            <w:top w:w="0" w:type="dxa"/>
            <w:left w:w="108" w:type="dxa"/>
            <w:bottom w:w="0" w:type="dxa"/>
            <w:right w:w="108" w:type="dxa"/>
          </w:tblCellMar>
        </w:tblPrEx>
        <w:trPr>
          <w:trHeight w:val="277" w:hRule="atLeast"/>
        </w:trPr>
        <w:tc>
          <w:tcPr>
            <w:tcW w:w="2057" w:type="dxa"/>
            <w:vMerge w:val="restart"/>
            <w:tcBorders>
              <w:top w:val="nil"/>
              <w:left w:val="single" w:color="auto" w:sz="8" w:space="0"/>
              <w:bottom w:val="single" w:color="000000" w:sz="8" w:space="0"/>
              <w:right w:val="single" w:color="auto" w:sz="8" w:space="0"/>
            </w:tcBorders>
            <w:vAlign w:val="center"/>
          </w:tcPr>
          <w:p w14:paraId="29E95F0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24" w:type="dxa"/>
            <w:vMerge w:val="restart"/>
            <w:tcBorders>
              <w:top w:val="nil"/>
              <w:left w:val="single" w:color="auto" w:sz="8" w:space="0"/>
              <w:bottom w:val="single" w:color="000000" w:sz="8" w:space="0"/>
              <w:right w:val="single" w:color="auto" w:sz="8" w:space="0"/>
            </w:tcBorders>
            <w:vAlign w:val="center"/>
          </w:tcPr>
          <w:p w14:paraId="0C7A3D8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2206" w:type="dxa"/>
            <w:tcBorders>
              <w:top w:val="nil"/>
              <w:left w:val="nil"/>
              <w:bottom w:val="single" w:color="auto" w:sz="8" w:space="0"/>
              <w:right w:val="single" w:color="auto" w:sz="8" w:space="0"/>
            </w:tcBorders>
            <w:vAlign w:val="center"/>
          </w:tcPr>
          <w:p w14:paraId="3A3BC79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51" w:type="dxa"/>
            <w:tcBorders>
              <w:top w:val="nil"/>
              <w:left w:val="nil"/>
              <w:bottom w:val="single" w:color="auto" w:sz="8" w:space="0"/>
              <w:right w:val="single" w:color="auto" w:sz="8" w:space="0"/>
            </w:tcBorders>
            <w:vAlign w:val="center"/>
          </w:tcPr>
          <w:p w14:paraId="319B2FA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9" w:type="dxa"/>
            <w:vMerge w:val="restart"/>
            <w:tcBorders>
              <w:top w:val="nil"/>
              <w:left w:val="nil"/>
              <w:right w:val="single" w:color="auto" w:sz="8" w:space="0"/>
            </w:tcBorders>
            <w:vAlign w:val="center"/>
          </w:tcPr>
          <w:p w14:paraId="36778D0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44F5A227">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000000" w:sz="8" w:space="0"/>
              <w:right w:val="single" w:color="auto" w:sz="8" w:space="0"/>
            </w:tcBorders>
            <w:vAlign w:val="center"/>
          </w:tcPr>
          <w:p w14:paraId="418E7E6E">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7197856F">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25747C3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51" w:type="dxa"/>
            <w:tcBorders>
              <w:top w:val="nil"/>
              <w:left w:val="nil"/>
              <w:bottom w:val="single" w:color="auto" w:sz="8" w:space="0"/>
              <w:right w:val="single" w:color="auto" w:sz="8" w:space="0"/>
            </w:tcBorders>
            <w:vAlign w:val="center"/>
          </w:tcPr>
          <w:p w14:paraId="631156D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9" w:type="dxa"/>
            <w:vMerge w:val="continue"/>
            <w:tcBorders>
              <w:left w:val="nil"/>
              <w:right w:val="single" w:color="auto" w:sz="8" w:space="0"/>
            </w:tcBorders>
            <w:vAlign w:val="center"/>
          </w:tcPr>
          <w:p w14:paraId="10705863">
            <w:pPr>
              <w:widowControl/>
              <w:spacing w:line="276" w:lineRule="auto"/>
              <w:jc w:val="center"/>
              <w:rPr>
                <w:rFonts w:ascii="宋体" w:hAnsi="宋体" w:eastAsia="宋体" w:cs="Times New Roman"/>
                <w:kern w:val="0"/>
                <w:szCs w:val="21"/>
              </w:rPr>
            </w:pPr>
          </w:p>
        </w:tc>
      </w:tr>
      <w:tr w14:paraId="13694320">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000000" w:sz="8" w:space="0"/>
              <w:right w:val="single" w:color="auto" w:sz="8" w:space="0"/>
            </w:tcBorders>
            <w:vAlign w:val="center"/>
          </w:tcPr>
          <w:p w14:paraId="0FA5A717">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0783FEC3">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57593599">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51" w:type="dxa"/>
            <w:tcBorders>
              <w:top w:val="nil"/>
              <w:left w:val="nil"/>
              <w:bottom w:val="single" w:color="auto" w:sz="8" w:space="0"/>
              <w:right w:val="single" w:color="auto" w:sz="8" w:space="0"/>
            </w:tcBorders>
            <w:vAlign w:val="center"/>
          </w:tcPr>
          <w:p w14:paraId="542FBC8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9" w:type="dxa"/>
            <w:vMerge w:val="continue"/>
            <w:tcBorders>
              <w:left w:val="nil"/>
              <w:right w:val="single" w:color="auto" w:sz="8" w:space="0"/>
            </w:tcBorders>
            <w:vAlign w:val="center"/>
          </w:tcPr>
          <w:p w14:paraId="571B5DBA">
            <w:pPr>
              <w:widowControl/>
              <w:spacing w:line="276" w:lineRule="auto"/>
              <w:jc w:val="center"/>
              <w:rPr>
                <w:rFonts w:ascii="宋体" w:hAnsi="宋体" w:eastAsia="宋体" w:cs="Times New Roman"/>
                <w:kern w:val="0"/>
                <w:szCs w:val="21"/>
              </w:rPr>
            </w:pPr>
          </w:p>
        </w:tc>
      </w:tr>
      <w:tr w14:paraId="1D6C8F8C">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000000" w:sz="8" w:space="0"/>
              <w:right w:val="single" w:color="auto" w:sz="8" w:space="0"/>
            </w:tcBorders>
            <w:vAlign w:val="center"/>
          </w:tcPr>
          <w:p w14:paraId="0C462A81">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179B7CBE">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4E43D9D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851" w:type="dxa"/>
            <w:tcBorders>
              <w:top w:val="nil"/>
              <w:left w:val="nil"/>
              <w:bottom w:val="single" w:color="auto" w:sz="8" w:space="0"/>
              <w:right w:val="single" w:color="auto" w:sz="8" w:space="0"/>
            </w:tcBorders>
            <w:vAlign w:val="center"/>
          </w:tcPr>
          <w:p w14:paraId="181D1E5D">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9" w:type="dxa"/>
            <w:vMerge w:val="continue"/>
            <w:tcBorders>
              <w:left w:val="nil"/>
              <w:right w:val="single" w:color="auto" w:sz="8" w:space="0"/>
            </w:tcBorders>
            <w:vAlign w:val="center"/>
          </w:tcPr>
          <w:p w14:paraId="4E23E9B4">
            <w:pPr>
              <w:widowControl/>
              <w:spacing w:line="276" w:lineRule="auto"/>
              <w:jc w:val="center"/>
              <w:rPr>
                <w:rFonts w:ascii="宋体" w:hAnsi="宋体" w:eastAsia="宋体" w:cs="Times New Roman"/>
                <w:kern w:val="0"/>
                <w:szCs w:val="21"/>
              </w:rPr>
            </w:pPr>
          </w:p>
        </w:tc>
      </w:tr>
      <w:tr w14:paraId="1B667BE9">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000000" w:sz="8" w:space="0"/>
              <w:right w:val="single" w:color="auto" w:sz="8" w:space="0"/>
            </w:tcBorders>
            <w:vAlign w:val="center"/>
          </w:tcPr>
          <w:p w14:paraId="66F9F230">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1BB390BB">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0DC2113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51" w:type="dxa"/>
            <w:tcBorders>
              <w:top w:val="nil"/>
              <w:left w:val="nil"/>
              <w:bottom w:val="single" w:color="auto" w:sz="8" w:space="0"/>
              <w:right w:val="single" w:color="auto" w:sz="8" w:space="0"/>
            </w:tcBorders>
            <w:vAlign w:val="center"/>
          </w:tcPr>
          <w:p w14:paraId="5AC6B0D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9" w:type="dxa"/>
            <w:vMerge w:val="continue"/>
            <w:tcBorders>
              <w:left w:val="nil"/>
              <w:right w:val="single" w:color="auto" w:sz="8" w:space="0"/>
            </w:tcBorders>
            <w:vAlign w:val="center"/>
          </w:tcPr>
          <w:p w14:paraId="17EC4433">
            <w:pPr>
              <w:widowControl/>
              <w:spacing w:line="276" w:lineRule="auto"/>
              <w:jc w:val="center"/>
              <w:rPr>
                <w:rFonts w:ascii="宋体" w:hAnsi="宋体" w:eastAsia="宋体" w:cs="Times New Roman"/>
                <w:kern w:val="0"/>
                <w:szCs w:val="21"/>
              </w:rPr>
            </w:pPr>
          </w:p>
        </w:tc>
      </w:tr>
      <w:tr w14:paraId="3FA9925B">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auto" w:sz="4" w:space="0"/>
              <w:right w:val="single" w:color="auto" w:sz="8" w:space="0"/>
            </w:tcBorders>
            <w:vAlign w:val="center"/>
          </w:tcPr>
          <w:p w14:paraId="25CD6B32">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auto" w:sz="4" w:space="0"/>
              <w:right w:val="single" w:color="auto" w:sz="8" w:space="0"/>
            </w:tcBorders>
            <w:vAlign w:val="center"/>
          </w:tcPr>
          <w:p w14:paraId="3522277E">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4" w:space="0"/>
              <w:right w:val="single" w:color="auto" w:sz="8" w:space="0"/>
            </w:tcBorders>
            <w:vAlign w:val="center"/>
          </w:tcPr>
          <w:p w14:paraId="6C625721">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51" w:type="dxa"/>
            <w:tcBorders>
              <w:top w:val="nil"/>
              <w:left w:val="nil"/>
              <w:bottom w:val="single" w:color="auto" w:sz="4" w:space="0"/>
              <w:right w:val="single" w:color="auto" w:sz="8" w:space="0"/>
            </w:tcBorders>
            <w:vAlign w:val="center"/>
          </w:tcPr>
          <w:p w14:paraId="1848981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p>
        </w:tc>
        <w:tc>
          <w:tcPr>
            <w:tcW w:w="1139" w:type="dxa"/>
            <w:vMerge w:val="continue"/>
            <w:tcBorders>
              <w:left w:val="nil"/>
              <w:bottom w:val="single" w:color="auto" w:sz="4" w:space="0"/>
              <w:right w:val="single" w:color="auto" w:sz="8" w:space="0"/>
            </w:tcBorders>
            <w:vAlign w:val="center"/>
          </w:tcPr>
          <w:p w14:paraId="221F4183">
            <w:pPr>
              <w:widowControl/>
              <w:spacing w:line="276" w:lineRule="auto"/>
              <w:jc w:val="center"/>
              <w:rPr>
                <w:rFonts w:ascii="宋体" w:hAnsi="宋体" w:eastAsia="宋体" w:cs="Times New Roman"/>
                <w:kern w:val="0"/>
                <w:szCs w:val="21"/>
              </w:rPr>
            </w:pPr>
          </w:p>
        </w:tc>
      </w:tr>
      <w:tr w14:paraId="43275CD2">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000000" w:sz="8" w:space="0"/>
              <w:right w:val="single" w:color="auto" w:sz="8" w:space="0"/>
            </w:tcBorders>
            <w:vAlign w:val="center"/>
          </w:tcPr>
          <w:p w14:paraId="36D61901">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000000" w:sz="8" w:space="0"/>
              <w:right w:val="single" w:color="auto" w:sz="8" w:space="0"/>
            </w:tcBorders>
            <w:vAlign w:val="center"/>
          </w:tcPr>
          <w:p w14:paraId="76F2A5FC">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8" w:space="0"/>
              <w:right w:val="single" w:color="auto" w:sz="8" w:space="0"/>
            </w:tcBorders>
            <w:vAlign w:val="center"/>
          </w:tcPr>
          <w:p w14:paraId="2612997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作业1</w:t>
            </w:r>
          </w:p>
        </w:tc>
        <w:tc>
          <w:tcPr>
            <w:tcW w:w="1851" w:type="dxa"/>
            <w:tcBorders>
              <w:top w:val="nil"/>
              <w:left w:val="nil"/>
              <w:bottom w:val="single" w:color="auto" w:sz="8" w:space="0"/>
              <w:right w:val="single" w:color="auto" w:sz="8" w:space="0"/>
            </w:tcBorders>
            <w:vAlign w:val="center"/>
          </w:tcPr>
          <w:p w14:paraId="7FBDF30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21%</w:t>
            </w:r>
            <w:r>
              <w:rPr>
                <w:rFonts w:ascii="宋体" w:hAnsi="宋体" w:eastAsia="宋体" w:cs="Times New Roman"/>
                <w:kern w:val="0"/>
                <w:szCs w:val="21"/>
              </w:rPr>
              <w:t xml:space="preserve"> </w:t>
            </w:r>
          </w:p>
        </w:tc>
        <w:tc>
          <w:tcPr>
            <w:tcW w:w="1139" w:type="dxa"/>
            <w:vMerge w:val="continue"/>
            <w:tcBorders>
              <w:left w:val="nil"/>
              <w:right w:val="single" w:color="auto" w:sz="8" w:space="0"/>
            </w:tcBorders>
          </w:tcPr>
          <w:p w14:paraId="2519D584">
            <w:pPr>
              <w:widowControl/>
              <w:spacing w:line="276" w:lineRule="auto"/>
              <w:jc w:val="center"/>
              <w:rPr>
                <w:rFonts w:ascii="宋体" w:hAnsi="宋体" w:eastAsia="宋体" w:cs="Times New Roman"/>
                <w:kern w:val="0"/>
                <w:szCs w:val="21"/>
              </w:rPr>
            </w:pPr>
          </w:p>
        </w:tc>
      </w:tr>
      <w:tr w14:paraId="7F307E19">
        <w:tblPrEx>
          <w:tblCellMar>
            <w:top w:w="0" w:type="dxa"/>
            <w:left w:w="108" w:type="dxa"/>
            <w:bottom w:w="0" w:type="dxa"/>
            <w:right w:w="108" w:type="dxa"/>
          </w:tblCellMar>
        </w:tblPrEx>
        <w:trPr>
          <w:trHeight w:val="277" w:hRule="atLeast"/>
        </w:trPr>
        <w:tc>
          <w:tcPr>
            <w:tcW w:w="2057" w:type="dxa"/>
            <w:vMerge w:val="continue"/>
            <w:tcBorders>
              <w:top w:val="nil"/>
              <w:left w:val="single" w:color="auto" w:sz="8" w:space="0"/>
              <w:bottom w:val="single" w:color="auto" w:sz="4" w:space="0"/>
              <w:right w:val="single" w:color="auto" w:sz="8" w:space="0"/>
            </w:tcBorders>
            <w:vAlign w:val="center"/>
          </w:tcPr>
          <w:p w14:paraId="428DFDD1">
            <w:pPr>
              <w:widowControl/>
              <w:spacing w:line="276" w:lineRule="auto"/>
              <w:jc w:val="left"/>
              <w:rPr>
                <w:rFonts w:ascii="宋体" w:hAnsi="宋体" w:eastAsia="宋体" w:cs="Times New Roman"/>
                <w:kern w:val="0"/>
                <w:szCs w:val="21"/>
              </w:rPr>
            </w:pPr>
          </w:p>
        </w:tc>
        <w:tc>
          <w:tcPr>
            <w:tcW w:w="1824" w:type="dxa"/>
            <w:vMerge w:val="continue"/>
            <w:tcBorders>
              <w:top w:val="nil"/>
              <w:left w:val="single" w:color="auto" w:sz="8" w:space="0"/>
              <w:bottom w:val="single" w:color="auto" w:sz="4" w:space="0"/>
              <w:right w:val="single" w:color="auto" w:sz="8" w:space="0"/>
            </w:tcBorders>
            <w:vAlign w:val="center"/>
          </w:tcPr>
          <w:p w14:paraId="08EAD9BE">
            <w:pPr>
              <w:widowControl/>
              <w:spacing w:line="276" w:lineRule="auto"/>
              <w:jc w:val="left"/>
              <w:rPr>
                <w:rFonts w:ascii="宋体" w:hAnsi="宋体" w:eastAsia="宋体" w:cs="Times New Roman"/>
                <w:kern w:val="0"/>
                <w:szCs w:val="21"/>
              </w:rPr>
            </w:pPr>
          </w:p>
        </w:tc>
        <w:tc>
          <w:tcPr>
            <w:tcW w:w="2206" w:type="dxa"/>
            <w:tcBorders>
              <w:top w:val="nil"/>
              <w:left w:val="nil"/>
              <w:bottom w:val="single" w:color="auto" w:sz="4" w:space="0"/>
              <w:right w:val="single" w:color="auto" w:sz="8" w:space="0"/>
            </w:tcBorders>
            <w:vAlign w:val="center"/>
          </w:tcPr>
          <w:p w14:paraId="301D4FE4">
            <w:pPr>
              <w:widowControl/>
              <w:spacing w:line="276" w:lineRule="auto"/>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51" w:type="dxa"/>
            <w:tcBorders>
              <w:top w:val="nil"/>
              <w:left w:val="nil"/>
              <w:bottom w:val="single" w:color="auto" w:sz="4" w:space="0"/>
              <w:right w:val="single" w:color="auto" w:sz="8" w:space="0"/>
            </w:tcBorders>
            <w:vAlign w:val="center"/>
          </w:tcPr>
          <w:p w14:paraId="05EEEF5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9%</w:t>
            </w:r>
            <w:r>
              <w:rPr>
                <w:rFonts w:ascii="宋体" w:hAnsi="宋体" w:eastAsia="宋体" w:cs="Times New Roman"/>
                <w:kern w:val="0"/>
                <w:szCs w:val="21"/>
              </w:rPr>
              <w:t xml:space="preserve"> </w:t>
            </w:r>
          </w:p>
        </w:tc>
        <w:tc>
          <w:tcPr>
            <w:tcW w:w="1139" w:type="dxa"/>
            <w:vMerge w:val="continue"/>
            <w:tcBorders>
              <w:left w:val="nil"/>
              <w:bottom w:val="single" w:color="auto" w:sz="4" w:space="0"/>
              <w:right w:val="single" w:color="auto" w:sz="8" w:space="0"/>
            </w:tcBorders>
          </w:tcPr>
          <w:p w14:paraId="5452F88E">
            <w:pPr>
              <w:widowControl/>
              <w:spacing w:line="276" w:lineRule="auto"/>
              <w:jc w:val="center"/>
              <w:rPr>
                <w:rFonts w:ascii="宋体" w:hAnsi="宋体" w:eastAsia="宋体" w:cs="Times New Roman"/>
                <w:kern w:val="0"/>
                <w:szCs w:val="21"/>
              </w:rPr>
            </w:pPr>
          </w:p>
        </w:tc>
      </w:tr>
      <w:tr w14:paraId="6F9EAE49">
        <w:tblPrEx>
          <w:tblCellMar>
            <w:top w:w="0" w:type="dxa"/>
            <w:left w:w="108" w:type="dxa"/>
            <w:bottom w:w="0" w:type="dxa"/>
            <w:right w:w="108" w:type="dxa"/>
          </w:tblCellMar>
        </w:tblPrEx>
        <w:trPr>
          <w:trHeight w:val="146" w:hRule="atLeast"/>
        </w:trPr>
        <w:tc>
          <w:tcPr>
            <w:tcW w:w="2057" w:type="dxa"/>
            <w:vMerge w:val="continue"/>
            <w:tcBorders>
              <w:left w:val="single" w:color="auto" w:sz="4" w:space="0"/>
              <w:right w:val="single" w:color="auto" w:sz="4" w:space="0"/>
            </w:tcBorders>
            <w:vAlign w:val="center"/>
          </w:tcPr>
          <w:p w14:paraId="746FD641">
            <w:pPr>
              <w:widowControl/>
              <w:spacing w:line="276" w:lineRule="auto"/>
              <w:jc w:val="center"/>
              <w:rPr>
                <w:rFonts w:ascii="Times New Roman" w:hAnsi="Times New Roman" w:eastAsia="宋体" w:cs="Times New Roman"/>
                <w:szCs w:val="24"/>
              </w:rPr>
            </w:pPr>
          </w:p>
        </w:tc>
        <w:tc>
          <w:tcPr>
            <w:tcW w:w="1824" w:type="dxa"/>
            <w:vMerge w:val="continue"/>
            <w:tcBorders>
              <w:left w:val="single" w:color="auto" w:sz="4" w:space="0"/>
              <w:right w:val="single" w:color="auto" w:sz="4" w:space="0"/>
            </w:tcBorders>
            <w:vAlign w:val="center"/>
          </w:tcPr>
          <w:p w14:paraId="0DCE3953">
            <w:pPr>
              <w:widowControl/>
              <w:spacing w:line="276" w:lineRule="auto"/>
              <w:jc w:val="center"/>
              <w:rPr>
                <w:rFonts w:ascii="Times New Roman" w:hAnsi="Times New Roman" w:eastAsia="宋体" w:cs="Times New Roman"/>
                <w:szCs w:val="24"/>
              </w:rPr>
            </w:pPr>
          </w:p>
        </w:tc>
        <w:tc>
          <w:tcPr>
            <w:tcW w:w="2206" w:type="dxa"/>
            <w:tcBorders>
              <w:top w:val="single" w:color="auto" w:sz="4" w:space="0"/>
              <w:left w:val="single" w:color="auto" w:sz="4" w:space="0"/>
              <w:bottom w:val="single" w:color="auto" w:sz="4" w:space="0"/>
              <w:right w:val="single" w:color="auto" w:sz="4" w:space="0"/>
            </w:tcBorders>
            <w:vAlign w:val="center"/>
          </w:tcPr>
          <w:p w14:paraId="00625F14">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作业1</w:t>
            </w:r>
          </w:p>
        </w:tc>
        <w:tc>
          <w:tcPr>
            <w:tcW w:w="1851" w:type="dxa"/>
            <w:tcBorders>
              <w:top w:val="single" w:color="auto" w:sz="4" w:space="0"/>
              <w:left w:val="single" w:color="auto" w:sz="4" w:space="0"/>
              <w:bottom w:val="single" w:color="auto" w:sz="4" w:space="0"/>
              <w:right w:val="single" w:color="auto" w:sz="4" w:space="0"/>
            </w:tcBorders>
            <w:vAlign w:val="center"/>
          </w:tcPr>
          <w:p w14:paraId="4A838042">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21%</w:t>
            </w:r>
            <w:r>
              <w:rPr>
                <w:rFonts w:ascii="宋体" w:hAnsi="宋体" w:eastAsia="宋体" w:cs="Times New Roman"/>
                <w:kern w:val="0"/>
                <w:szCs w:val="21"/>
              </w:rPr>
              <w:t xml:space="preserve"> </w:t>
            </w:r>
          </w:p>
        </w:tc>
        <w:tc>
          <w:tcPr>
            <w:tcW w:w="1139" w:type="dxa"/>
            <w:vMerge w:val="continue"/>
            <w:tcBorders>
              <w:left w:val="single" w:color="auto" w:sz="4" w:space="0"/>
              <w:right w:val="single" w:color="auto" w:sz="4" w:space="0"/>
            </w:tcBorders>
            <w:vAlign w:val="center"/>
          </w:tcPr>
          <w:p w14:paraId="3B3F1EDB">
            <w:pPr>
              <w:widowControl/>
              <w:spacing w:line="276" w:lineRule="auto"/>
              <w:jc w:val="center"/>
              <w:rPr>
                <w:rFonts w:ascii="Times New Roman" w:hAnsi="Times New Roman" w:eastAsia="宋体" w:cs="Times New Roman"/>
                <w:szCs w:val="24"/>
              </w:rPr>
            </w:pPr>
          </w:p>
        </w:tc>
      </w:tr>
      <w:tr w14:paraId="195B68E3">
        <w:tblPrEx>
          <w:tblCellMar>
            <w:top w:w="0" w:type="dxa"/>
            <w:left w:w="108" w:type="dxa"/>
            <w:bottom w:w="0" w:type="dxa"/>
            <w:right w:w="108" w:type="dxa"/>
          </w:tblCellMar>
        </w:tblPrEx>
        <w:trPr>
          <w:trHeight w:val="146" w:hRule="atLeast"/>
        </w:trPr>
        <w:tc>
          <w:tcPr>
            <w:tcW w:w="2057" w:type="dxa"/>
            <w:vMerge w:val="continue"/>
            <w:tcBorders>
              <w:left w:val="single" w:color="auto" w:sz="4" w:space="0"/>
              <w:bottom w:val="single" w:color="auto" w:sz="4" w:space="0"/>
              <w:right w:val="single" w:color="auto" w:sz="4" w:space="0"/>
            </w:tcBorders>
            <w:vAlign w:val="center"/>
          </w:tcPr>
          <w:p w14:paraId="79B7DBC3">
            <w:pPr>
              <w:widowControl/>
              <w:spacing w:line="276" w:lineRule="auto"/>
              <w:jc w:val="center"/>
              <w:rPr>
                <w:rFonts w:ascii="Times New Roman" w:hAnsi="Times New Roman" w:eastAsia="宋体" w:cs="Times New Roman"/>
                <w:szCs w:val="24"/>
              </w:rPr>
            </w:pPr>
          </w:p>
        </w:tc>
        <w:tc>
          <w:tcPr>
            <w:tcW w:w="1824" w:type="dxa"/>
            <w:vMerge w:val="continue"/>
            <w:tcBorders>
              <w:left w:val="single" w:color="auto" w:sz="4" w:space="0"/>
              <w:bottom w:val="single" w:color="auto" w:sz="4" w:space="0"/>
              <w:right w:val="single" w:color="auto" w:sz="4" w:space="0"/>
            </w:tcBorders>
            <w:vAlign w:val="center"/>
          </w:tcPr>
          <w:p w14:paraId="17E4B21C">
            <w:pPr>
              <w:widowControl/>
              <w:spacing w:line="276" w:lineRule="auto"/>
              <w:jc w:val="center"/>
              <w:rPr>
                <w:rFonts w:ascii="Times New Roman" w:hAnsi="Times New Roman" w:eastAsia="宋体" w:cs="Times New Roman"/>
                <w:szCs w:val="24"/>
              </w:rPr>
            </w:pPr>
          </w:p>
        </w:tc>
        <w:tc>
          <w:tcPr>
            <w:tcW w:w="2206" w:type="dxa"/>
            <w:tcBorders>
              <w:top w:val="single" w:color="auto" w:sz="4" w:space="0"/>
              <w:left w:val="single" w:color="auto" w:sz="4" w:space="0"/>
              <w:bottom w:val="single" w:color="auto" w:sz="4" w:space="0"/>
              <w:right w:val="single" w:color="auto" w:sz="4" w:space="0"/>
            </w:tcBorders>
            <w:vAlign w:val="center"/>
          </w:tcPr>
          <w:p w14:paraId="150D294A">
            <w:pPr>
              <w:widowControl/>
              <w:spacing w:line="276" w:lineRule="auto"/>
              <w:jc w:val="center"/>
              <w:rPr>
                <w:rFonts w:ascii="Times New Roman" w:hAnsi="Times New Roman" w:eastAsia="宋体" w:cs="Times New Roman"/>
                <w:szCs w:val="24"/>
              </w:rPr>
            </w:pPr>
            <w:r>
              <w:rPr>
                <w:rFonts w:hint="eastAsia" w:ascii="Times New Roman" w:hAnsi="Times New Roman" w:eastAsia="宋体" w:cs="Times New Roman"/>
                <w:szCs w:val="24"/>
              </w:rPr>
              <w:t>课堂表现与考勤</w:t>
            </w:r>
          </w:p>
        </w:tc>
        <w:tc>
          <w:tcPr>
            <w:tcW w:w="1851" w:type="dxa"/>
            <w:tcBorders>
              <w:top w:val="single" w:color="auto" w:sz="4" w:space="0"/>
              <w:left w:val="single" w:color="auto" w:sz="4" w:space="0"/>
              <w:bottom w:val="single" w:color="auto" w:sz="4" w:space="0"/>
              <w:right w:val="single" w:color="auto" w:sz="4" w:space="0"/>
            </w:tcBorders>
            <w:vAlign w:val="center"/>
          </w:tcPr>
          <w:p w14:paraId="5C29F2C9">
            <w:pPr>
              <w:widowControl/>
              <w:spacing w:line="276" w:lineRule="auto"/>
              <w:jc w:val="center"/>
              <w:rPr>
                <w:rFonts w:ascii="Times New Roman" w:hAnsi="Times New Roman" w:eastAsia="宋体" w:cs="Times New Roman"/>
                <w:szCs w:val="24"/>
              </w:rPr>
            </w:pPr>
            <w:r>
              <w:rPr>
                <w:rFonts w:hint="eastAsia" w:ascii="宋体" w:hAnsi="宋体" w:eastAsia="宋体" w:cs="Times New Roman"/>
                <w:kern w:val="0"/>
                <w:szCs w:val="21"/>
              </w:rPr>
              <w:t>9%</w:t>
            </w:r>
            <w:r>
              <w:rPr>
                <w:rFonts w:ascii="宋体" w:hAnsi="宋体" w:eastAsia="宋体" w:cs="Times New Roman"/>
                <w:kern w:val="0"/>
                <w:szCs w:val="21"/>
              </w:rPr>
              <w:t xml:space="preserve"> </w:t>
            </w:r>
          </w:p>
        </w:tc>
        <w:tc>
          <w:tcPr>
            <w:tcW w:w="1139" w:type="dxa"/>
            <w:vMerge w:val="continue"/>
            <w:tcBorders>
              <w:left w:val="single" w:color="auto" w:sz="4" w:space="0"/>
              <w:bottom w:val="single" w:color="auto" w:sz="4" w:space="0"/>
              <w:right w:val="single" w:color="auto" w:sz="4" w:space="0"/>
            </w:tcBorders>
            <w:vAlign w:val="center"/>
          </w:tcPr>
          <w:p w14:paraId="2CDC61C4">
            <w:pPr>
              <w:widowControl/>
              <w:spacing w:line="276" w:lineRule="auto"/>
              <w:jc w:val="center"/>
              <w:rPr>
                <w:rFonts w:ascii="Times New Roman" w:hAnsi="Times New Roman" w:eastAsia="宋体" w:cs="Times New Roman"/>
                <w:szCs w:val="24"/>
              </w:rPr>
            </w:pPr>
          </w:p>
        </w:tc>
      </w:tr>
      <w:tr w14:paraId="6BDEF108">
        <w:tblPrEx>
          <w:tblCellMar>
            <w:top w:w="0" w:type="dxa"/>
            <w:left w:w="108" w:type="dxa"/>
            <w:bottom w:w="0" w:type="dxa"/>
            <w:right w:w="108" w:type="dxa"/>
          </w:tblCellMar>
        </w:tblPrEx>
        <w:trPr>
          <w:trHeight w:val="448" w:hRule="atLeast"/>
        </w:trPr>
        <w:tc>
          <w:tcPr>
            <w:tcW w:w="2057" w:type="dxa"/>
            <w:tcBorders>
              <w:top w:val="single" w:color="auto" w:sz="4" w:space="0"/>
              <w:left w:val="single" w:color="auto" w:sz="4" w:space="0"/>
              <w:bottom w:val="single" w:color="auto" w:sz="4" w:space="0"/>
              <w:right w:val="single" w:color="auto" w:sz="4" w:space="0"/>
            </w:tcBorders>
            <w:vAlign w:val="center"/>
          </w:tcPr>
          <w:p w14:paraId="38160D7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824" w:type="dxa"/>
            <w:tcBorders>
              <w:top w:val="single" w:color="auto" w:sz="4" w:space="0"/>
              <w:left w:val="single" w:color="auto" w:sz="4" w:space="0"/>
              <w:bottom w:val="single" w:color="auto" w:sz="4" w:space="0"/>
              <w:right w:val="single" w:color="auto" w:sz="4" w:space="0"/>
            </w:tcBorders>
            <w:vAlign w:val="center"/>
          </w:tcPr>
          <w:p w14:paraId="0D48EB8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197" w:type="dxa"/>
            <w:gridSpan w:val="3"/>
            <w:tcBorders>
              <w:top w:val="single" w:color="auto" w:sz="4" w:space="0"/>
              <w:left w:val="single" w:color="auto" w:sz="4" w:space="0"/>
              <w:bottom w:val="single" w:color="auto" w:sz="4" w:space="0"/>
              <w:right w:val="single" w:color="auto" w:sz="4" w:space="0"/>
            </w:tcBorders>
            <w:vAlign w:val="center"/>
          </w:tcPr>
          <w:p w14:paraId="3F6F72B7">
            <w:pPr>
              <w:widowControl/>
              <w:spacing w:line="276" w:lineRule="auto"/>
              <w:jc w:val="center"/>
              <w:rPr>
                <w:rFonts w:ascii="宋体" w:hAnsi="宋体" w:eastAsia="宋体" w:cs="Times New Roman"/>
                <w:kern w:val="0"/>
                <w:szCs w:val="21"/>
              </w:rPr>
            </w:pPr>
          </w:p>
        </w:tc>
      </w:tr>
    </w:tbl>
    <w:p w14:paraId="285D3B41">
      <w:pPr>
        <w:spacing w:line="360" w:lineRule="auto"/>
        <w:rPr>
          <w:rFonts w:ascii="宋体" w:hAnsi="宋体" w:eastAsia="宋体" w:cs="Times New Roman"/>
          <w:sz w:val="24"/>
        </w:rPr>
      </w:pPr>
    </w:p>
    <w:p w14:paraId="7462DC6F">
      <w:pPr>
        <w:spacing w:line="360" w:lineRule="auto"/>
        <w:ind w:firstLine="360" w:firstLineChars="15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3F3622B1">
      <w:pPr>
        <w:spacing w:line="360" w:lineRule="auto"/>
        <w:ind w:firstLine="480" w:firstLineChars="200"/>
        <w:rPr>
          <w:rFonts w:ascii="宋体" w:hAnsi="宋体" w:eastAsia="宋体" w:cs="Times New Roman"/>
          <w:sz w:val="24"/>
        </w:rPr>
      </w:pPr>
      <w:r>
        <w:rPr>
          <w:rFonts w:ascii="宋体" w:hAnsi="宋体" w:eastAsia="宋体" w:cs="Times New Roman"/>
          <w:sz w:val="24"/>
        </w:rPr>
        <w:t>所有课程目标</w:t>
      </w:r>
      <w:r>
        <w:rPr>
          <w:rFonts w:hint="eastAsia" w:ascii="宋体" w:hAnsi="宋体" w:eastAsia="宋体" w:cs="Times New Roman"/>
          <w:sz w:val="24"/>
        </w:rPr>
        <w:t>达成度</w:t>
      </w:r>
      <w:r>
        <w:rPr>
          <w:rFonts w:ascii="宋体" w:hAnsi="宋体" w:eastAsia="宋体" w:cs="Times New Roman"/>
          <w:sz w:val="24"/>
        </w:rPr>
        <w:t>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18C7B3D6">
      <w:pPr>
        <w:spacing w:line="360" w:lineRule="auto"/>
        <w:rPr>
          <w:rFonts w:ascii="宋体" w:hAnsi="宋体" w:eastAsia="宋体" w:cs="Times New Roman"/>
          <w:sz w:val="24"/>
        </w:rPr>
      </w:pPr>
      <w:r>
        <w:rPr>
          <w:rFonts w:ascii="宋体" w:hAnsi="宋体" w:eastAsia="宋体" w:cs="Times New Roman"/>
          <w:sz w:val="24"/>
        </w:rPr>
        <w:drawing>
          <wp:inline distT="0" distB="0" distL="114300" distR="114300">
            <wp:extent cx="5022215" cy="318770"/>
            <wp:effectExtent l="0" t="0" r="6985" b="11430"/>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5"/>
                    <a:stretch>
                      <a:fillRect/>
                    </a:stretch>
                  </pic:blipFill>
                  <pic:spPr>
                    <a:xfrm>
                      <a:off x="0" y="0"/>
                      <a:ext cx="5162949" cy="327806"/>
                    </a:xfrm>
                    <a:prstGeom prst="rect">
                      <a:avLst/>
                    </a:prstGeom>
                    <a:noFill/>
                    <a:ln>
                      <a:noFill/>
                    </a:ln>
                  </pic:spPr>
                </pic:pic>
              </a:graphicData>
            </a:graphic>
          </wp:inline>
        </w:drawing>
      </w:r>
    </w:p>
    <w:p w14:paraId="145FB86D">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3CF1012F">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（一）持续改进</w:t>
      </w:r>
    </w:p>
    <w:p w14:paraId="76283125">
      <w:pPr>
        <w:spacing w:line="360" w:lineRule="auto"/>
        <w:ind w:firstLine="480" w:firstLineChars="200"/>
        <w:rPr>
          <w:rFonts w:ascii="宋体" w:hAnsi="宋体" w:eastAsia="宋体" w:cs="Times New Roman"/>
          <w:sz w:val="24"/>
        </w:rPr>
      </w:pPr>
      <w:r>
        <w:rPr>
          <w:rFonts w:ascii="宋体" w:hAnsi="宋体" w:eastAsia="宋体" w:cs="Times New Roman"/>
          <w:sz w:val="24"/>
        </w:rPr>
        <w:t>本课程根据学生作业、课堂讨论、平时考核情况和学生、教学督导等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721B49EE">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（二）</w:t>
      </w:r>
      <w:r>
        <w:rPr>
          <w:rFonts w:ascii="宋体" w:hAnsi="宋体" w:eastAsia="宋体" w:cs="Times New Roman"/>
          <w:b/>
          <w:sz w:val="24"/>
        </w:rPr>
        <w:t>参考书目及学习资料</w:t>
      </w:r>
    </w:p>
    <w:p w14:paraId="2EB2FD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 教材：</w:t>
      </w:r>
    </w:p>
    <w:p w14:paraId="438CAA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张厚粲、徐建平主编.现代心理与教育统计学（第5版）.北京：北京师范大学出版社，2020</w:t>
      </w:r>
    </w:p>
    <w:p w14:paraId="099765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戴海琦，张峰主编.心理与教育测量（第4版）.广州：暨南大学出版社，2018</w:t>
      </w:r>
    </w:p>
    <w:p w14:paraId="528608EE">
      <w:pPr>
        <w:numPr>
          <w:ilvl w:val="0"/>
          <w:numId w:val="4"/>
        </w:numPr>
        <w:spacing w:line="360" w:lineRule="auto"/>
        <w:ind w:firstLine="480"/>
        <w:rPr>
          <w:rFonts w:ascii="宋体" w:hAnsi="宋体" w:eastAsia="宋体" w:cs="宋体"/>
          <w:sz w:val="24"/>
          <w:szCs w:val="24"/>
        </w:rPr>
      </w:pPr>
      <w:r>
        <w:rPr>
          <w:rFonts w:hint="eastAsia" w:ascii="宋体" w:hAnsi="宋体" w:eastAsia="宋体" w:cs="宋体"/>
          <w:sz w:val="24"/>
          <w:szCs w:val="24"/>
        </w:rPr>
        <w:t>教学参考书：</w:t>
      </w:r>
    </w:p>
    <w:p w14:paraId="1E110D85">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徐文彬主编．教育统计学．南京：南京师范大学出版社，2007</w:t>
      </w:r>
    </w:p>
    <w:p w14:paraId="6ABC85D3">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张敏强主编．教育与心理统计学（第3版）．北京：人民教育出版社，2010</w:t>
      </w:r>
    </w:p>
    <w:p w14:paraId="38D70641">
      <w:pPr>
        <w:autoSpaceDE w:val="0"/>
        <w:autoSpaceDN w:val="0"/>
        <w:adjustRightInd w:val="0"/>
        <w:spacing w:line="360" w:lineRule="auto"/>
        <w:jc w:val="right"/>
        <w:rPr>
          <w:rFonts w:ascii="宋体" w:hAnsi="宋体" w:eastAsia="宋体" w:cs="Times New Roman"/>
          <w:kern w:val="0"/>
          <w:sz w:val="24"/>
          <w:szCs w:val="21"/>
        </w:rPr>
      </w:pPr>
    </w:p>
    <w:p w14:paraId="324577EA">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笔</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人：</w:t>
      </w:r>
      <w:r>
        <w:rPr>
          <w:rFonts w:hint="eastAsia" w:ascii="宋体" w:hAnsi="宋体" w:eastAsia="宋体" w:cs="Times New Roman"/>
          <w:kern w:val="0"/>
          <w:sz w:val="24"/>
          <w:szCs w:val="21"/>
        </w:rPr>
        <w:t>巫文胜</w:t>
      </w:r>
    </w:p>
    <w:p w14:paraId="00E26C1C">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审 定 人：王  健</w:t>
      </w:r>
      <w:r>
        <w:rPr>
          <w:rFonts w:ascii="宋体" w:hAnsi="宋体" w:eastAsia="宋体" w:cs="Times New Roman"/>
          <w:kern w:val="0"/>
          <w:sz w:val="24"/>
          <w:szCs w:val="21"/>
        </w:rPr>
        <w:t xml:space="preserve"> </w:t>
      </w:r>
    </w:p>
    <w:p w14:paraId="76FF2D3F">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审 批 人：张志欣</w:t>
      </w:r>
    </w:p>
    <w:p w14:paraId="54CC9352">
      <w:pPr>
        <w:spacing w:line="360" w:lineRule="auto"/>
        <w:ind w:firstLine="5280" w:firstLineChars="2200"/>
        <w:rPr>
          <w:rFonts w:ascii="宋体" w:hAnsi="宋体" w:eastAsia="宋体" w:cs="Times New Roman"/>
          <w:b/>
          <w:bCs/>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4EC360F0">
      <w:pPr>
        <w:rPr>
          <w:rFonts w:ascii="Calibri" w:hAnsi="Calibri" w:eastAsia="宋体" w:cs="Times New Roman"/>
        </w:rPr>
      </w:pPr>
    </w:p>
    <w:p w14:paraId="333A55D5">
      <w:pPr>
        <w:widowControl/>
        <w:jc w:val="left"/>
        <w:rPr>
          <w:rFonts w:ascii="宋体" w:hAnsi="宋体" w:eastAsia="宋体" w:cs="Times New Roman"/>
          <w:kern w:val="0"/>
          <w:sz w:val="24"/>
        </w:rPr>
      </w:pPr>
      <w:r>
        <w:rPr>
          <w:rFonts w:ascii="宋体" w:hAnsi="宋体" w:eastAsia="宋体" w:cs="Times New Roman"/>
          <w:kern w:val="0"/>
          <w:sz w:val="24"/>
        </w:rPr>
        <w:br w:type="page"/>
      </w:r>
    </w:p>
    <w:p w14:paraId="333237BB">
      <w:pPr>
        <w:spacing w:line="360" w:lineRule="auto"/>
        <w:jc w:val="center"/>
        <w:outlineLvl w:val="0"/>
        <w:rPr>
          <w:rFonts w:ascii="宋体" w:hAnsi="宋体" w:eastAsia="宋体" w:cs="Times New Roman"/>
          <w:b/>
          <w:bCs/>
          <w:sz w:val="30"/>
          <w:szCs w:val="24"/>
        </w:rPr>
      </w:pPr>
      <w:bookmarkStart w:id="124" w:name="_Toc166165197"/>
      <w:bookmarkStart w:id="125" w:name="_Toc57017181"/>
      <w:r>
        <w:rPr>
          <w:rFonts w:hint="eastAsia" w:ascii="宋体" w:hAnsi="宋体" w:eastAsia="宋体" w:cs="Times New Roman"/>
          <w:b/>
          <w:bCs/>
          <w:sz w:val="30"/>
          <w:szCs w:val="24"/>
        </w:rPr>
        <w:t>中外基础教育改革热点</w:t>
      </w:r>
      <w:r>
        <w:rPr>
          <w:rFonts w:ascii="宋体" w:hAnsi="宋体" w:eastAsia="宋体" w:cs="Times New Roman"/>
          <w:b/>
          <w:bCs/>
          <w:sz w:val="30"/>
          <w:szCs w:val="24"/>
        </w:rPr>
        <w:t>课程教学大纲</w:t>
      </w:r>
      <w:bookmarkEnd w:id="124"/>
      <w:bookmarkEnd w:id="125"/>
    </w:p>
    <w:p w14:paraId="2001BABC">
      <w:pPr>
        <w:autoSpaceDE w:val="0"/>
        <w:autoSpaceDN w:val="0"/>
        <w:adjustRightInd w:val="0"/>
        <w:spacing w:line="360" w:lineRule="auto"/>
        <w:jc w:val="center"/>
        <w:rPr>
          <w:rFonts w:ascii="Times New Roman" w:hAnsi="Times New Roman" w:eastAsia="黑体" w:cs="Times New Roman"/>
          <w:b/>
          <w:bCs/>
          <w:color w:val="000000"/>
          <w:kern w:val="0"/>
          <w:sz w:val="24"/>
          <w:szCs w:val="28"/>
        </w:rPr>
      </w:pPr>
      <w:r>
        <w:rPr>
          <w:rFonts w:ascii="Times New Roman" w:hAnsi="Times New Roman" w:eastAsia="宋体" w:cs="Times New Roman"/>
          <w:b/>
          <w:bCs/>
          <w:color w:val="000000"/>
          <w:kern w:val="0"/>
          <w:sz w:val="24"/>
          <w:szCs w:val="28"/>
        </w:rPr>
        <w:t>（</w:t>
      </w:r>
      <w:r>
        <w:rPr>
          <w:rFonts w:ascii="Times New Roman" w:hAnsi="Times New Roman" w:eastAsia="黑体" w:cs="Times New Roman"/>
          <w:b/>
          <w:bCs/>
          <w:color w:val="000000"/>
          <w:kern w:val="0"/>
          <w:sz w:val="24"/>
          <w:szCs w:val="28"/>
        </w:rPr>
        <w:t>Focus on Basic Research Reform in China and Foreign Countries</w:t>
      </w:r>
      <w:r>
        <w:rPr>
          <w:rFonts w:ascii="Times New Roman" w:hAnsi="Times New Roman" w:eastAsia="宋体" w:cs="Times New Roman"/>
          <w:b/>
          <w:bCs/>
          <w:color w:val="000000"/>
          <w:kern w:val="0"/>
          <w:sz w:val="24"/>
          <w:szCs w:val="28"/>
        </w:rPr>
        <w:t>）</w:t>
      </w:r>
      <w:bookmarkStart w:id="126" w:name="_Toc27847311"/>
    </w:p>
    <w:p w14:paraId="4EECCEA3">
      <w:pPr>
        <w:spacing w:line="360" w:lineRule="auto"/>
        <w:ind w:firstLine="551" w:firstLineChars="196"/>
        <w:rPr>
          <w:rFonts w:ascii="宋体" w:hAnsi="宋体" w:eastAsia="宋体" w:cs="Times New Roman"/>
          <w:b/>
          <w:color w:val="000000"/>
          <w:sz w:val="28"/>
          <w:szCs w:val="28"/>
        </w:rPr>
      </w:pPr>
      <w:r>
        <w:rPr>
          <w:rFonts w:ascii="宋体" w:hAnsi="宋体" w:eastAsia="宋体" w:cs="Times New Roman"/>
          <w:b/>
          <w:color w:val="000000"/>
          <w:sz w:val="28"/>
          <w:szCs w:val="28"/>
        </w:rPr>
        <w:t>一、课程概况</w:t>
      </w:r>
      <w:bookmarkEnd w:id="126"/>
    </w:p>
    <w:p w14:paraId="53EB26C4">
      <w:pPr>
        <w:autoSpaceDE w:val="0"/>
        <w:autoSpaceDN w:val="0"/>
        <w:adjustRightInd w:val="0"/>
        <w:spacing w:line="360" w:lineRule="auto"/>
        <w:ind w:firstLine="470" w:firstLineChars="195"/>
        <w:rPr>
          <w:rFonts w:ascii="Times New Roman" w:hAnsi="Times New Roman" w:eastAsia="宋体" w:cs="Times New Roman"/>
          <w:color w:val="000000"/>
          <w:kern w:val="0"/>
          <w:sz w:val="18"/>
          <w:szCs w:val="18"/>
        </w:rPr>
      </w:pPr>
      <w:r>
        <w:rPr>
          <w:rFonts w:ascii="宋体" w:hAnsi="宋体" w:eastAsia="宋体" w:cs="Times New Roman"/>
          <w:b/>
          <w:bCs/>
          <w:color w:val="000000"/>
          <w:kern w:val="0"/>
          <w:sz w:val="24"/>
          <w:szCs w:val="24"/>
        </w:rPr>
        <w:t>课程代码</w:t>
      </w:r>
      <w:r>
        <w:rPr>
          <w:rFonts w:ascii="宋体" w:hAnsi="宋体" w:eastAsia="宋体" w:cs="Times New Roman"/>
          <w:b/>
          <w:color w:val="000000"/>
          <w:kern w:val="0"/>
          <w:sz w:val="24"/>
          <w:szCs w:val="24"/>
        </w:rPr>
        <w:t>：</w:t>
      </w:r>
      <w:r>
        <w:rPr>
          <w:rFonts w:ascii="宋体" w:hAnsi="宋体" w:eastAsia="宋体" w:cs="Times New Roman"/>
          <w:kern w:val="0"/>
          <w:sz w:val="24"/>
          <w:szCs w:val="24"/>
        </w:rPr>
        <w:t>2401016</w:t>
      </w:r>
    </w:p>
    <w:p w14:paraId="0D70AB93">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color w:val="000000"/>
          <w:kern w:val="0"/>
          <w:sz w:val="24"/>
          <w:szCs w:val="24"/>
        </w:rPr>
        <w:t>学    分：</w:t>
      </w:r>
      <w:r>
        <w:rPr>
          <w:rFonts w:hint="eastAsia" w:ascii="宋体" w:hAnsi="宋体" w:eastAsia="宋体" w:cs="Times New Roman"/>
          <w:kern w:val="0"/>
          <w:sz w:val="24"/>
        </w:rPr>
        <w:t>2</w:t>
      </w:r>
    </w:p>
    <w:p w14:paraId="0DC1E081">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学    时：</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（其中：讲授学时</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实践学时</w:t>
      </w:r>
      <w:r>
        <w:rPr>
          <w:rFonts w:hint="eastAsia" w:ascii="宋体" w:hAnsi="宋体" w:eastAsia="宋体" w:cs="Times New Roman"/>
          <w:kern w:val="0"/>
          <w:sz w:val="24"/>
          <w:szCs w:val="24"/>
        </w:rPr>
        <w:t>0</w:t>
      </w:r>
      <w:r>
        <w:rPr>
          <w:rFonts w:ascii="宋体" w:hAnsi="宋体" w:eastAsia="宋体" w:cs="Times New Roman"/>
          <w:kern w:val="0"/>
          <w:sz w:val="24"/>
          <w:szCs w:val="24"/>
        </w:rPr>
        <w:t>）</w:t>
      </w:r>
    </w:p>
    <w:p w14:paraId="2BF743AD">
      <w:pPr>
        <w:spacing w:line="360" w:lineRule="auto"/>
        <w:ind w:firstLine="482" w:firstLineChars="200"/>
        <w:jc w:val="left"/>
        <w:rPr>
          <w:rFonts w:ascii="宋体" w:hAnsi="宋体" w:eastAsia="宋体" w:cs="Times New Roman"/>
          <w:kern w:val="0"/>
          <w:sz w:val="24"/>
          <w:szCs w:val="24"/>
        </w:rPr>
      </w:pPr>
      <w:r>
        <w:rPr>
          <w:rFonts w:ascii="宋体" w:hAnsi="宋体" w:eastAsia="宋体" w:cs="Times New Roman"/>
          <w:b/>
          <w:bCs/>
          <w:color w:val="000000"/>
          <w:kern w:val="0"/>
          <w:sz w:val="24"/>
          <w:szCs w:val="24"/>
        </w:rPr>
        <w:t>先修课程：</w:t>
      </w:r>
      <w:r>
        <w:rPr>
          <w:rFonts w:hint="eastAsia" w:ascii="宋体" w:hAnsi="宋体" w:eastAsia="宋体" w:cs="Times New Roman"/>
          <w:sz w:val="24"/>
          <w:lang w:val="zh-CN"/>
        </w:rPr>
        <w:t>教育原理、教育心理学、中外教育史、课程与教学论</w:t>
      </w:r>
    </w:p>
    <w:p w14:paraId="04443833">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适用专业：</w:t>
      </w:r>
      <w:r>
        <w:rPr>
          <w:rFonts w:hint="eastAsia" w:ascii="宋体" w:hAnsi="宋体" w:eastAsia="宋体" w:cs="Times New Roman"/>
          <w:kern w:val="0"/>
          <w:sz w:val="24"/>
          <w:szCs w:val="24"/>
        </w:rPr>
        <w:t>小学</w:t>
      </w:r>
      <w:r>
        <w:rPr>
          <w:rFonts w:ascii="宋体" w:hAnsi="宋体" w:eastAsia="宋体" w:cs="Times New Roman"/>
          <w:kern w:val="0"/>
          <w:sz w:val="24"/>
          <w:szCs w:val="24"/>
        </w:rPr>
        <w:t>教育</w:t>
      </w:r>
      <w:r>
        <w:rPr>
          <w:rFonts w:hint="eastAsia" w:ascii="宋体" w:hAnsi="宋体" w:eastAsia="宋体" w:cs="Times New Roman"/>
          <w:kern w:val="0"/>
          <w:sz w:val="24"/>
          <w:szCs w:val="24"/>
        </w:rPr>
        <w:t>（文）、小学</w:t>
      </w:r>
      <w:r>
        <w:rPr>
          <w:rFonts w:ascii="宋体" w:hAnsi="宋体" w:eastAsia="宋体" w:cs="Times New Roman"/>
          <w:kern w:val="0"/>
          <w:sz w:val="24"/>
          <w:szCs w:val="24"/>
        </w:rPr>
        <w:t>教育</w:t>
      </w:r>
      <w:r>
        <w:rPr>
          <w:rFonts w:hint="eastAsia" w:ascii="宋体" w:hAnsi="宋体" w:eastAsia="宋体" w:cs="Times New Roman"/>
          <w:kern w:val="0"/>
          <w:sz w:val="24"/>
          <w:szCs w:val="24"/>
        </w:rPr>
        <w:t>（理）</w:t>
      </w:r>
      <w:r>
        <w:rPr>
          <w:rFonts w:ascii="宋体" w:hAnsi="宋体" w:eastAsia="宋体" w:cs="Times New Roman"/>
          <w:kern w:val="0"/>
          <w:sz w:val="24"/>
          <w:szCs w:val="24"/>
        </w:rPr>
        <w:t xml:space="preserve">                        </w:t>
      </w:r>
    </w:p>
    <w:p w14:paraId="18162D91">
      <w:pPr>
        <w:spacing w:line="360" w:lineRule="auto"/>
        <w:ind w:firstLine="482" w:firstLineChars="200"/>
        <w:rPr>
          <w:rFonts w:ascii="Times New Roman" w:hAnsi="Times New Roman" w:eastAsia="宋体" w:cs="Times New Roman"/>
          <w:kern w:val="0"/>
          <w:sz w:val="24"/>
          <w:szCs w:val="24"/>
        </w:rPr>
      </w:pPr>
      <w:r>
        <w:rPr>
          <w:rFonts w:hint="eastAsia" w:ascii="宋体" w:hAnsi="宋体" w:eastAsia="宋体" w:cs="Times New Roman"/>
          <w:b/>
          <w:bCs/>
          <w:color w:val="000000"/>
          <w:kern w:val="0"/>
          <w:sz w:val="24"/>
          <w:szCs w:val="24"/>
        </w:rPr>
        <w:t>建议</w:t>
      </w:r>
      <w:r>
        <w:rPr>
          <w:rFonts w:ascii="宋体" w:hAnsi="宋体" w:eastAsia="宋体" w:cs="Times New Roman"/>
          <w:b/>
          <w:bCs/>
          <w:color w:val="000000"/>
          <w:kern w:val="0"/>
          <w:sz w:val="24"/>
          <w:szCs w:val="24"/>
        </w:rPr>
        <w:t>教材</w:t>
      </w:r>
      <w:r>
        <w:rPr>
          <w:rFonts w:hint="eastAsia" w:ascii="宋体" w:hAnsi="宋体" w:eastAsia="宋体" w:cs="Times New Roman"/>
          <w:b/>
          <w:bCs/>
          <w:color w:val="000000"/>
          <w:kern w:val="0"/>
          <w:sz w:val="24"/>
          <w:szCs w:val="24"/>
        </w:rPr>
        <w:t>：1.</w:t>
      </w:r>
      <w:r>
        <w:rPr>
          <w:rFonts w:hint="eastAsia" w:ascii="Times New Roman" w:hAnsi="Times New Roman" w:eastAsia="宋体" w:cs="Times New Roman"/>
          <w:kern w:val="0"/>
          <w:sz w:val="24"/>
          <w:szCs w:val="24"/>
        </w:rPr>
        <w:t>《当代中国基础教育改革的理论与实践》，何杰， 南京大学出版社，2011.</w:t>
      </w:r>
    </w:p>
    <w:p w14:paraId="20D8F644">
      <w:pPr>
        <w:spacing w:line="360" w:lineRule="auto"/>
        <w:ind w:firstLine="720" w:firstLineChars="3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2.《中国基础教育改革发展研究》，叶澜，中国人民大学出版社，2009.</w:t>
      </w:r>
    </w:p>
    <w:p w14:paraId="74BB02B3">
      <w:pPr>
        <w:spacing w:line="360" w:lineRule="auto"/>
        <w:ind w:firstLine="482" w:firstLineChars="200"/>
        <w:rPr>
          <w:rFonts w:ascii="宋体" w:hAnsi="宋体" w:eastAsia="宋体" w:cs="Times New Roman"/>
          <w:color w:val="000000"/>
          <w:sz w:val="24"/>
        </w:rPr>
      </w:pPr>
      <w:r>
        <w:rPr>
          <w:rFonts w:ascii="宋体" w:hAnsi="宋体" w:eastAsia="宋体" w:cs="Times New Roman"/>
          <w:b/>
          <w:bCs/>
          <w:color w:val="000000"/>
          <w:kern w:val="0"/>
          <w:sz w:val="24"/>
          <w:szCs w:val="24"/>
        </w:rPr>
        <w:t>课程归口：</w:t>
      </w:r>
      <w:r>
        <w:rPr>
          <w:rFonts w:hint="eastAsia" w:ascii="宋体" w:hAnsi="宋体" w:eastAsia="宋体" w:cs="Times New Roman"/>
          <w:color w:val="000000"/>
          <w:sz w:val="24"/>
        </w:rPr>
        <w:t>师范</w:t>
      </w:r>
      <w:r>
        <w:rPr>
          <w:rFonts w:ascii="宋体" w:hAnsi="宋体" w:eastAsia="宋体" w:cs="Times New Roman"/>
          <w:color w:val="000000"/>
          <w:sz w:val="24"/>
        </w:rPr>
        <w:t>学院</w:t>
      </w:r>
    </w:p>
    <w:p w14:paraId="05D43F77">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bCs/>
          <w:color w:val="000000"/>
          <w:kern w:val="0"/>
          <w:sz w:val="24"/>
          <w:szCs w:val="24"/>
        </w:rPr>
        <w:t>课程的性质与任务：</w:t>
      </w:r>
      <w:r>
        <w:rPr>
          <w:rFonts w:hint="eastAsia" w:ascii="Times New Roman" w:hAnsi="Times New Roman" w:eastAsia="宋体" w:cs="Times New Roman"/>
          <w:sz w:val="24"/>
          <w:szCs w:val="24"/>
        </w:rPr>
        <w:t xml:space="preserve"> 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21世纪基础教育深化改革的现实意义；了解当前基础教育改革的主要内容，提高未来小学教师的发现问题、分析问题、研究问题的能力。</w:t>
      </w:r>
    </w:p>
    <w:p w14:paraId="167C7C21">
      <w:pPr>
        <w:spacing w:line="360" w:lineRule="auto"/>
        <w:ind w:firstLine="562" w:firstLineChars="200"/>
        <w:rPr>
          <w:rFonts w:ascii="宋体" w:hAnsi="宋体" w:eastAsia="宋体" w:cs="Times New Roman"/>
          <w:b/>
          <w:color w:val="000000"/>
          <w:sz w:val="28"/>
          <w:szCs w:val="28"/>
        </w:rPr>
      </w:pPr>
      <w:bookmarkStart w:id="127" w:name="_Toc27847312"/>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bookmarkEnd w:id="127"/>
    </w:p>
    <w:p w14:paraId="759FDF78">
      <w:pPr>
        <w:spacing w:line="360" w:lineRule="auto"/>
        <w:ind w:firstLine="482" w:firstLineChars="200"/>
        <w:rPr>
          <w:rFonts w:ascii="宋体" w:hAnsi="宋体" w:eastAsia="宋体" w:cs="Times New Roman"/>
          <w:color w:val="000000"/>
          <w:sz w:val="24"/>
          <w:szCs w:val="28"/>
        </w:rPr>
      </w:pPr>
      <w:bookmarkStart w:id="128" w:name="_Toc27847313"/>
      <w:r>
        <w:rPr>
          <w:rFonts w:hint="eastAsia" w:ascii="宋体" w:hAnsi="宋体" w:eastAsia="宋体" w:cs="Times New Roman"/>
          <w:b/>
          <w:color w:val="000000"/>
          <w:sz w:val="24"/>
          <w:szCs w:val="28"/>
        </w:rPr>
        <w:t>（一）课程具体目标</w:t>
      </w:r>
      <w:bookmarkEnd w:id="128"/>
    </w:p>
    <w:p w14:paraId="60C90EE6">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w:t>
      </w:r>
      <w:r>
        <w:rPr>
          <w:rFonts w:ascii="Times New Roman" w:hAnsi="Times New Roman" w:eastAsia="宋体" w:cs="Times New Roman"/>
          <w:b/>
          <w:sz w:val="24"/>
          <w:szCs w:val="24"/>
        </w:rPr>
        <w:t>1.</w:t>
      </w:r>
      <w:r>
        <w:rPr>
          <w:rFonts w:hint="eastAsia" w:ascii="Times New Roman" w:hAnsi="Times New Roman" w:eastAsia="宋体" w:cs="Times New Roman"/>
          <w:sz w:val="24"/>
          <w:szCs w:val="24"/>
        </w:rPr>
        <w:t>了解社会转型对教育改革的含义与影响，理解我国21世纪基础教育改革的必要性，掌握基础教育改革中的热点问题，增强教育使命感和教师责任感。</w:t>
      </w:r>
    </w:p>
    <w:p w14:paraId="098F0BA0">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目标2</w:t>
      </w:r>
      <w:r>
        <w:rPr>
          <w:rFonts w:ascii="Times New Roman" w:hAnsi="Times New Roman" w:eastAsia="宋体" w:cs="Times New Roman"/>
          <w:b/>
          <w:sz w:val="24"/>
          <w:szCs w:val="24"/>
        </w:rPr>
        <w:t>.</w:t>
      </w:r>
      <w:r>
        <w:rPr>
          <w:rFonts w:hint="eastAsia" w:ascii="Times New Roman" w:hAnsi="Times New Roman" w:eastAsia="宋体" w:cs="Times New Roman"/>
          <w:sz w:val="24"/>
          <w:szCs w:val="24"/>
        </w:rPr>
        <w:t>了</w:t>
      </w:r>
      <w:r>
        <w:rPr>
          <w:rFonts w:ascii="Times New Roman" w:hAnsi="Times New Roman" w:eastAsia="宋体" w:cs="Times New Roman"/>
          <w:sz w:val="24"/>
          <w:szCs w:val="24"/>
        </w:rPr>
        <w:t>解国际视野中的基础教育改革概况</w:t>
      </w:r>
      <w:r>
        <w:rPr>
          <w:rFonts w:hint="eastAsia" w:ascii="Times New Roman" w:hAnsi="Times New Roman" w:eastAsia="宋体" w:cs="Times New Roman"/>
          <w:sz w:val="24"/>
          <w:szCs w:val="24"/>
        </w:rPr>
        <w:t>，基本掌握美国、英国、德国、日本、新加坡等主要国家基础教育改革的动向和发展趋势，牢固树立建设中国特色社会主义的自信心。</w:t>
      </w:r>
      <w:r>
        <w:rPr>
          <w:rFonts w:ascii="Times New Roman" w:hAnsi="Times New Roman" w:eastAsia="宋体" w:cs="Times New Roman"/>
          <w:sz w:val="24"/>
          <w:szCs w:val="24"/>
        </w:rPr>
        <w:t xml:space="preserve"> </w:t>
      </w:r>
    </w:p>
    <w:p w14:paraId="53D85BA3">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目标3</w:t>
      </w:r>
      <w:r>
        <w:rPr>
          <w:rFonts w:ascii="Times New Roman" w:hAnsi="Times New Roman" w:eastAsia="宋体" w:cs="Times New Roman"/>
          <w:b/>
          <w:sz w:val="24"/>
          <w:szCs w:val="24"/>
        </w:rPr>
        <w:t xml:space="preserve">. </w:t>
      </w:r>
      <w:r>
        <w:rPr>
          <w:rFonts w:hint="eastAsia" w:ascii="Times New Roman" w:hAnsi="Times New Roman" w:eastAsia="宋体" w:cs="Times New Roman"/>
          <w:sz w:val="24"/>
          <w:szCs w:val="24"/>
        </w:rPr>
        <w:t>了解基础教育课程与教学改革的国际潮流、历史演进及政策分析，初步理解我国21世纪基础教育课程与教学改革中的基本问题及解决策略；掌握我国城乡基础教育改革中的主要热点问题及改革思路，增强教育危机意识。</w:t>
      </w:r>
    </w:p>
    <w:p w14:paraId="6A3FAF87">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目标4</w:t>
      </w:r>
      <w:r>
        <w:rPr>
          <w:rFonts w:ascii="Times New Roman" w:hAnsi="Times New Roman" w:eastAsia="宋体" w:cs="Times New Roman"/>
          <w:b/>
          <w:sz w:val="24"/>
          <w:szCs w:val="24"/>
        </w:rPr>
        <w:t>.</w:t>
      </w:r>
      <w:r>
        <w:rPr>
          <w:rFonts w:ascii="Times New Roman" w:hAnsi="Times New Roman" w:eastAsia="宋体" w:cs="Times New Roman"/>
          <w:sz w:val="24"/>
          <w:szCs w:val="24"/>
        </w:rPr>
        <w:t xml:space="preserve"> 能够通过自主</w:t>
      </w:r>
      <w:r>
        <w:rPr>
          <w:rFonts w:hint="eastAsia" w:ascii="Times New Roman" w:hAnsi="Times New Roman" w:eastAsia="宋体" w:cs="Times New Roman"/>
          <w:sz w:val="24"/>
          <w:szCs w:val="24"/>
        </w:rPr>
        <w:t>、</w:t>
      </w:r>
      <w:r>
        <w:rPr>
          <w:rFonts w:ascii="Times New Roman" w:hAnsi="Times New Roman" w:eastAsia="宋体" w:cs="Times New Roman"/>
          <w:sz w:val="24"/>
          <w:szCs w:val="24"/>
        </w:rPr>
        <w:t>合作</w:t>
      </w:r>
      <w:r>
        <w:rPr>
          <w:rFonts w:hint="eastAsia" w:ascii="Times New Roman" w:hAnsi="Times New Roman" w:eastAsia="宋体" w:cs="Times New Roman"/>
          <w:sz w:val="24"/>
          <w:szCs w:val="24"/>
        </w:rPr>
        <w:t>、</w:t>
      </w:r>
      <w:r>
        <w:rPr>
          <w:rFonts w:ascii="Times New Roman" w:hAnsi="Times New Roman" w:eastAsia="宋体" w:cs="Times New Roman"/>
          <w:sz w:val="24"/>
          <w:szCs w:val="24"/>
        </w:rPr>
        <w:t>探究的方式</w:t>
      </w:r>
      <w:r>
        <w:rPr>
          <w:rFonts w:hint="eastAsia" w:ascii="Times New Roman" w:hAnsi="Times New Roman" w:eastAsia="宋体" w:cs="Times New Roman"/>
          <w:sz w:val="24"/>
          <w:szCs w:val="24"/>
        </w:rPr>
        <w:t>分析中外主要国家</w:t>
      </w:r>
      <w:r>
        <w:rPr>
          <w:rFonts w:ascii="Times New Roman" w:hAnsi="Times New Roman" w:eastAsia="宋体" w:cs="Times New Roman"/>
          <w:sz w:val="24"/>
          <w:szCs w:val="24"/>
        </w:rPr>
        <w:t>基础教育改革的</w:t>
      </w:r>
      <w:r>
        <w:rPr>
          <w:rFonts w:hint="eastAsia" w:ascii="Times New Roman" w:hAnsi="Times New Roman" w:eastAsia="宋体" w:cs="Times New Roman"/>
          <w:sz w:val="24"/>
          <w:szCs w:val="24"/>
        </w:rPr>
        <w:t>缺陷，</w:t>
      </w:r>
      <w:r>
        <w:rPr>
          <w:rFonts w:ascii="Times New Roman" w:hAnsi="Times New Roman" w:eastAsia="宋体" w:cs="Times New Roman"/>
          <w:sz w:val="24"/>
          <w:szCs w:val="24"/>
        </w:rPr>
        <w:t>形成独立的分析判断能力</w:t>
      </w:r>
      <w:r>
        <w:rPr>
          <w:rFonts w:hint="eastAsia" w:ascii="Times New Roman" w:hAnsi="Times New Roman" w:eastAsia="宋体" w:cs="Times New Roman"/>
          <w:sz w:val="24"/>
          <w:szCs w:val="24"/>
        </w:rPr>
        <w:t>和问题研究能力。</w:t>
      </w:r>
    </w:p>
    <w:p w14:paraId="5036A54F">
      <w:pPr>
        <w:spacing w:line="360" w:lineRule="auto"/>
        <w:ind w:firstLine="482" w:firstLineChars="200"/>
        <w:rPr>
          <w:rFonts w:ascii="宋体" w:hAnsi="宋体" w:eastAsia="宋体" w:cs="Times New Roman"/>
          <w:b/>
          <w:sz w:val="24"/>
          <w:szCs w:val="28"/>
        </w:rPr>
      </w:pPr>
      <w:bookmarkStart w:id="129" w:name="_Toc27847314"/>
      <w:r>
        <w:rPr>
          <w:rFonts w:hint="eastAsia" w:ascii="宋体" w:hAnsi="宋体" w:eastAsia="宋体" w:cs="Times New Roman"/>
          <w:b/>
          <w:sz w:val="24"/>
          <w:szCs w:val="28"/>
        </w:rPr>
        <w:t>（二）课程目标与专业毕业要求的关系</w:t>
      </w:r>
      <w:bookmarkEnd w:id="129"/>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268"/>
        <w:gridCol w:w="5323"/>
      </w:tblGrid>
      <w:tr w14:paraId="07D4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1C0CD294">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68" w:type="dxa"/>
            <w:vAlign w:val="center"/>
          </w:tcPr>
          <w:p w14:paraId="7498BE04">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323" w:type="dxa"/>
            <w:vAlign w:val="center"/>
          </w:tcPr>
          <w:p w14:paraId="145C07EC">
            <w:pPr>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6E32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57" w:type="dxa"/>
            <w:vAlign w:val="center"/>
          </w:tcPr>
          <w:p w14:paraId="76636B8A">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68" w:type="dxa"/>
            <w:vAlign w:val="center"/>
          </w:tcPr>
          <w:p w14:paraId="58FA1E1C">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毕业要求2：教育情怀</w:t>
            </w:r>
          </w:p>
          <w:p w14:paraId="0D8DF56F">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76D159AE">
            <w:pPr>
              <w:autoSpaceDE w:val="0"/>
              <w:autoSpaceDN w:val="0"/>
              <w:adjustRightIn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2-1：【职业认同感强】具有家国情怀，乐于从教，热爱教育事业，具有较高的教师职业认同感，认同教师职业的专业性与意义性。</w:t>
            </w:r>
          </w:p>
          <w:p w14:paraId="056773BF">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Times New Roman" w:hAnsi="Times New Roman" w:eastAsia="宋体" w:cs="Times New Roman"/>
                <w:color w:val="000000"/>
                <w:kern w:val="0"/>
                <w:szCs w:val="21"/>
              </w:rPr>
              <w:t>7-1：【教育视野开阔】积极参加基础教育领域的国内外交流，了解国内外基础教育改革发展的动态，具有宽广的教育视野，能够主动适应新时代和教育发展需求。</w:t>
            </w:r>
          </w:p>
        </w:tc>
      </w:tr>
      <w:tr w14:paraId="0225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57" w:type="dxa"/>
            <w:vAlign w:val="center"/>
          </w:tcPr>
          <w:p w14:paraId="2D3E478A">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课程目标2</w:t>
            </w:r>
          </w:p>
        </w:tc>
        <w:tc>
          <w:tcPr>
            <w:tcW w:w="2268" w:type="dxa"/>
            <w:vAlign w:val="center"/>
          </w:tcPr>
          <w:p w14:paraId="026BD48D">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tc>
        <w:tc>
          <w:tcPr>
            <w:tcW w:w="5323" w:type="dxa"/>
            <w:vAlign w:val="center"/>
          </w:tcPr>
          <w:p w14:paraId="64FEAFAB">
            <w:pPr>
              <w:autoSpaceDE w:val="0"/>
              <w:autoSpaceDN w:val="0"/>
              <w:adjustRightInd w:val="0"/>
              <w:spacing w:line="276" w:lineRule="auto"/>
              <w:jc w:val="left"/>
              <w:rPr>
                <w:rFonts w:ascii="Times New Roman" w:hAnsi="Times New Roman" w:eastAsia="宋体" w:cs="Times New Roman"/>
                <w:color w:val="000000"/>
                <w:kern w:val="0"/>
                <w:sz w:val="24"/>
                <w:szCs w:val="21"/>
              </w:rPr>
            </w:pPr>
            <w:r>
              <w:rPr>
                <w:rFonts w:hint="eastAsia" w:ascii="Times New Roman" w:hAnsi="Times New Roman" w:eastAsia="宋体" w:cs="Times New Roman"/>
                <w:color w:val="000000"/>
                <w:kern w:val="0"/>
                <w:szCs w:val="21"/>
              </w:rPr>
              <w:t>指标点7-1：【教育视野开阔】积极参加基础教育领域的国内外交流，了解国内外基础教育改革发展的动态，具有宽广的教育视野，能够主动适应新时代和教育发展需求。</w:t>
            </w:r>
          </w:p>
        </w:tc>
      </w:tr>
      <w:tr w14:paraId="1852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61AE8329">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课程目标3</w:t>
            </w:r>
          </w:p>
        </w:tc>
        <w:tc>
          <w:tcPr>
            <w:tcW w:w="2268" w:type="dxa"/>
            <w:vAlign w:val="center"/>
          </w:tcPr>
          <w:p w14:paraId="537FFBF1">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毕业要求7：学会反思</w:t>
            </w:r>
          </w:p>
        </w:tc>
        <w:tc>
          <w:tcPr>
            <w:tcW w:w="5323" w:type="dxa"/>
          </w:tcPr>
          <w:p w14:paraId="4AB24F77">
            <w:pPr>
              <w:autoSpaceDE w:val="0"/>
              <w:autoSpaceDN w:val="0"/>
              <w:adjustRightInd w:val="0"/>
              <w:spacing w:line="276" w:lineRule="auto"/>
              <w:rPr>
                <w:rFonts w:ascii="Times New Roman" w:hAnsi="宋体" w:eastAsia="宋体" w:cs="Times New Roman"/>
                <w:color w:val="000000"/>
                <w:kern w:val="0"/>
                <w:sz w:val="24"/>
                <w:szCs w:val="21"/>
              </w:rPr>
            </w:pPr>
            <w:r>
              <w:rPr>
                <w:rFonts w:hint="eastAsia" w:ascii="宋体" w:hAnsi="宋体" w:eastAsia="宋体" w:cs="宋体"/>
                <w:color w:val="000000"/>
                <w:kern w:val="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7B24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57" w:type="dxa"/>
            <w:vAlign w:val="center"/>
          </w:tcPr>
          <w:p w14:paraId="1E0B00F1">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 4</w:t>
            </w:r>
          </w:p>
        </w:tc>
        <w:tc>
          <w:tcPr>
            <w:tcW w:w="2268" w:type="dxa"/>
            <w:vAlign w:val="center"/>
          </w:tcPr>
          <w:p w14:paraId="509968F0">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毕业要求7：学会反思</w:t>
            </w:r>
          </w:p>
          <w:p w14:paraId="154FD818">
            <w:pPr>
              <w:spacing w:line="276" w:lineRule="auto"/>
              <w:rPr>
                <w:rFonts w:ascii="宋体" w:hAnsi="宋体" w:eastAsia="宋体" w:cs="Times New Roman"/>
                <w:b/>
                <w:color w:val="000000"/>
                <w:kern w:val="0"/>
                <w:szCs w:val="21"/>
              </w:rPr>
            </w:pPr>
            <w:r>
              <w:rPr>
                <w:rFonts w:hint="eastAsia" w:ascii="宋体" w:hAnsi="宋体" w:eastAsia="宋体" w:cs="Times New Roman"/>
                <w:color w:val="000000"/>
                <w:kern w:val="0"/>
                <w:szCs w:val="21"/>
              </w:rPr>
              <w:t>毕业要求8：</w:t>
            </w:r>
            <w:r>
              <w:rPr>
                <w:rFonts w:hint="eastAsia" w:ascii="Times New Roman" w:hAnsi="Times New Roman" w:eastAsia="宋体" w:cs="Times New Roman"/>
                <w:szCs w:val="23"/>
              </w:rPr>
              <w:t>沟通合作</w:t>
            </w:r>
          </w:p>
        </w:tc>
        <w:tc>
          <w:tcPr>
            <w:tcW w:w="5323" w:type="dxa"/>
          </w:tcPr>
          <w:p w14:paraId="363FCD1C">
            <w:pPr>
              <w:spacing w:line="276" w:lineRule="auto"/>
              <w:rPr>
                <w:rFonts w:ascii="Calibri" w:hAnsi="Calibri" w:eastAsia="宋体" w:cs="Times New Roman"/>
                <w:szCs w:val="21"/>
              </w:rPr>
            </w:pPr>
            <w:r>
              <w:rPr>
                <w:rFonts w:ascii="Calibri" w:hAnsi="Calibri" w:eastAsia="宋体" w:cs="Times New Roman"/>
                <w:szCs w:val="21"/>
              </w:rPr>
              <w:t>7-3：</w:t>
            </w:r>
            <w:r>
              <w:rPr>
                <w:rFonts w:hint="eastAsia" w:ascii="Calibri" w:hAnsi="Calibri" w:eastAsia="宋体" w:cs="Times New Roman"/>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p w14:paraId="46CB3659">
            <w:pPr>
              <w:spacing w:line="276" w:lineRule="auto"/>
              <w:rPr>
                <w:rFonts w:ascii="宋体" w:hAnsi="宋体" w:eastAsia="宋体" w:cs="Times New Roman"/>
                <w:szCs w:val="21"/>
              </w:rPr>
            </w:pPr>
            <w:r>
              <w:rPr>
                <w:rFonts w:hint="eastAsia" w:ascii="宋体" w:hAnsi="宋体" w:eastAsia="宋体" w:cs="Times New Roman"/>
                <w:szCs w:val="21"/>
              </w:rPr>
              <w:t>8-3：【具有国际视野】具备基本的国际理解与交流沟通能力。</w:t>
            </w:r>
          </w:p>
        </w:tc>
      </w:tr>
    </w:tbl>
    <w:p w14:paraId="1D5CDD9A">
      <w:pPr>
        <w:spacing w:line="360" w:lineRule="auto"/>
        <w:rPr>
          <w:rFonts w:ascii="宋体" w:hAnsi="宋体" w:eastAsia="宋体" w:cs="Times New Roman"/>
          <w:b/>
          <w:kern w:val="0"/>
          <w:sz w:val="24"/>
        </w:rPr>
      </w:pPr>
      <w:r>
        <w:rPr>
          <w:rFonts w:hint="eastAsia" w:ascii="宋体" w:hAnsi="宋体" w:eastAsia="宋体" w:cs="Times New Roman"/>
          <w:b/>
          <w:kern w:val="0"/>
          <w:sz w:val="24"/>
        </w:rPr>
        <w:t xml:space="preserve">    </w:t>
      </w:r>
    </w:p>
    <w:p w14:paraId="795C4873">
      <w:pPr>
        <w:spacing w:line="360" w:lineRule="auto"/>
        <w:rPr>
          <w:rFonts w:ascii="宋体" w:hAnsi="宋体" w:eastAsia="宋体" w:cs="Times New Roman"/>
          <w:b/>
          <w:sz w:val="28"/>
          <w:szCs w:val="24"/>
        </w:rPr>
      </w:pPr>
      <w:r>
        <w:rPr>
          <w:rFonts w:hint="eastAsia" w:ascii="宋体" w:hAnsi="宋体" w:eastAsia="宋体" w:cs="Times New Roman"/>
          <w:b/>
          <w:kern w:val="0"/>
          <w:sz w:val="24"/>
        </w:rPr>
        <w:t xml:space="preserve">   </w:t>
      </w:r>
      <w:r>
        <w:rPr>
          <w:rFonts w:hint="eastAsia" w:ascii="宋体" w:hAnsi="宋体" w:eastAsia="宋体" w:cs="Times New Roman"/>
          <w:b/>
          <w:color w:val="FF0000"/>
          <w:kern w:val="0"/>
          <w:sz w:val="28"/>
        </w:rPr>
        <w:t xml:space="preserve"> </w:t>
      </w:r>
      <w:bookmarkStart w:id="130" w:name="_Toc27847315"/>
      <w:r>
        <w:rPr>
          <w:rFonts w:hint="eastAsia" w:ascii="宋体" w:hAnsi="宋体" w:eastAsia="宋体" w:cs="Times New Roman"/>
          <w:b/>
          <w:sz w:val="28"/>
          <w:szCs w:val="24"/>
        </w:rPr>
        <w:t>三</w:t>
      </w:r>
      <w:r>
        <w:rPr>
          <w:rFonts w:ascii="宋体" w:hAnsi="宋体" w:eastAsia="宋体" w:cs="Times New Roman"/>
          <w:b/>
          <w:sz w:val="28"/>
          <w:szCs w:val="24"/>
        </w:rPr>
        <w:t>、课程内容及要求</w:t>
      </w:r>
      <w:bookmarkEnd w:id="130"/>
    </w:p>
    <w:p w14:paraId="7C7E8760">
      <w:pPr>
        <w:spacing w:line="360" w:lineRule="auto"/>
        <w:ind w:firstLine="482" w:firstLineChars="200"/>
        <w:rPr>
          <w:rFonts w:ascii="宋体" w:hAnsi="宋体" w:eastAsia="宋体" w:cs="Times New Roman"/>
          <w:b/>
          <w:color w:val="000000"/>
          <w:sz w:val="24"/>
          <w:szCs w:val="24"/>
        </w:rPr>
      </w:pPr>
      <w:bookmarkStart w:id="131" w:name="_Toc27847316"/>
      <w:r>
        <w:rPr>
          <w:rFonts w:hint="eastAsia" w:ascii="宋体" w:hAnsi="宋体" w:eastAsia="宋体" w:cs="Times New Roman"/>
          <w:b/>
          <w:color w:val="000000"/>
          <w:sz w:val="24"/>
          <w:szCs w:val="24"/>
        </w:rPr>
        <w:t>（一）</w:t>
      </w:r>
      <w:r>
        <w:rPr>
          <w:rFonts w:hint="eastAsia" w:ascii="Times New Roman" w:hAnsi="Times New Roman" w:eastAsia="宋体" w:cs="Times New Roman"/>
          <w:b/>
          <w:sz w:val="24"/>
          <w:szCs w:val="24"/>
        </w:rPr>
        <w:t>社会转型与基础教育改革</w:t>
      </w:r>
      <w:r>
        <w:rPr>
          <w:rFonts w:hint="eastAsia" w:ascii="宋体" w:hAnsi="宋体" w:eastAsia="宋体" w:cs="Times New Roman"/>
          <w:b/>
          <w:color w:val="000000"/>
          <w:sz w:val="24"/>
          <w:szCs w:val="24"/>
        </w:rPr>
        <w:t>（本模块各知识点的讲授与学习，可以支撑课程目标1）</w:t>
      </w:r>
      <w:bookmarkEnd w:id="131"/>
    </w:p>
    <w:p w14:paraId="5652514A">
      <w:pPr>
        <w:autoSpaceDE w:val="0"/>
        <w:autoSpaceDN w:val="0"/>
        <w:adjustRightInd w:val="0"/>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1. 教学内容</w:t>
      </w:r>
    </w:p>
    <w:p w14:paraId="7F6E0B0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（1）社会转型的含义与特征</w:t>
      </w:r>
    </w:p>
    <w:p w14:paraId="4382433C">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（2）基础教育改革的必要性及政策分析</w:t>
      </w:r>
    </w:p>
    <w:p w14:paraId="4EFBBF5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（3）基础教育改革的问题及策略</w:t>
      </w:r>
    </w:p>
    <w:p w14:paraId="57AB1A5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szCs w:val="24"/>
        </w:rPr>
        <w:t>2．基本要求</w:t>
      </w:r>
    </w:p>
    <w:p w14:paraId="78EC4091">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（1）了解社会转型的含义与特征</w:t>
      </w:r>
    </w:p>
    <w:p w14:paraId="1C84236C">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（2）理解社会转型与基础教育改革的关系</w:t>
      </w:r>
    </w:p>
    <w:p w14:paraId="280BAC61">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（3）掌握基础教育改革的问题及策略</w:t>
      </w:r>
    </w:p>
    <w:p w14:paraId="6B4EA78B">
      <w:pPr>
        <w:autoSpaceDE w:val="0"/>
        <w:autoSpaceDN w:val="0"/>
        <w:adjustRightInd w:val="0"/>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课程</w:t>
      </w:r>
      <w:r>
        <w:rPr>
          <w:rFonts w:ascii="Times New Roman" w:hAnsi="Times New Roman" w:eastAsia="宋体" w:cs="Times New Roman"/>
          <w:b/>
          <w:sz w:val="24"/>
          <w:szCs w:val="24"/>
        </w:rPr>
        <w:t>思政</w:t>
      </w:r>
      <w:r>
        <w:rPr>
          <w:rFonts w:hint="eastAsia" w:ascii="Times New Roman" w:hAnsi="Times New Roman" w:eastAsia="宋体" w:cs="Times New Roman"/>
          <w:b/>
          <w:sz w:val="24"/>
          <w:szCs w:val="24"/>
        </w:rPr>
        <w:t>育人</w:t>
      </w:r>
      <w:r>
        <w:rPr>
          <w:rFonts w:ascii="Times New Roman" w:hAnsi="Times New Roman" w:eastAsia="宋体" w:cs="Times New Roman"/>
          <w:b/>
          <w:sz w:val="24"/>
          <w:szCs w:val="24"/>
        </w:rPr>
        <w:t>目标</w:t>
      </w:r>
    </w:p>
    <w:p w14:paraId="499033D5">
      <w:pPr>
        <w:autoSpaceDE w:val="0"/>
        <w:autoSpaceDN w:val="0"/>
        <w:adjustRightInd w:val="0"/>
        <w:spacing w:line="360" w:lineRule="auto"/>
        <w:ind w:firstLine="480" w:firstLineChars="200"/>
        <w:jc w:val="left"/>
        <w:rPr>
          <w:rFonts w:ascii="宋体" w:hAnsi="宋体" w:eastAsia="宋体" w:cs="Times New Roman"/>
          <w:b/>
          <w:sz w:val="24"/>
        </w:rPr>
      </w:pPr>
      <w:r>
        <w:rPr>
          <w:rFonts w:ascii="Times New Roman" w:hAnsi="Times New Roman" w:eastAsia="宋体" w:cs="Times New Roman"/>
          <w:sz w:val="24"/>
          <w:szCs w:val="24"/>
        </w:rPr>
        <w:t>用马克思主义观点剖析</w:t>
      </w:r>
      <w:r>
        <w:rPr>
          <w:rFonts w:hint="eastAsia" w:ascii="Times New Roman" w:hAnsi="Times New Roman" w:eastAsia="宋体" w:cs="Times New Roman"/>
          <w:sz w:val="24"/>
          <w:szCs w:val="24"/>
        </w:rPr>
        <w:t>人类历史发展规律，理解</w:t>
      </w:r>
      <w:r>
        <w:rPr>
          <w:rFonts w:ascii="Times New Roman" w:hAnsi="Times New Roman" w:eastAsia="宋体" w:cs="Times New Roman"/>
          <w:sz w:val="24"/>
          <w:szCs w:val="24"/>
        </w:rPr>
        <w:t>我国新时代社会转型及教育</w:t>
      </w:r>
      <w:r>
        <w:rPr>
          <w:rFonts w:hint="eastAsia" w:ascii="Times New Roman" w:hAnsi="Times New Roman" w:eastAsia="宋体" w:cs="Times New Roman"/>
          <w:sz w:val="24"/>
          <w:szCs w:val="24"/>
        </w:rPr>
        <w:t>改革</w:t>
      </w:r>
      <w:r>
        <w:rPr>
          <w:rFonts w:ascii="Times New Roman" w:hAnsi="Times New Roman" w:eastAsia="宋体" w:cs="Times New Roman"/>
          <w:sz w:val="24"/>
          <w:szCs w:val="24"/>
        </w:rPr>
        <w:t>需求</w:t>
      </w:r>
      <w:r>
        <w:rPr>
          <w:rFonts w:hint="eastAsia" w:ascii="Times New Roman" w:hAnsi="Times New Roman" w:eastAsia="宋体" w:cs="Times New Roman"/>
          <w:sz w:val="24"/>
          <w:szCs w:val="24"/>
        </w:rPr>
        <w:t>；</w:t>
      </w:r>
      <w:r>
        <w:rPr>
          <w:rFonts w:ascii="Times New Roman" w:hAnsi="Times New Roman" w:eastAsia="宋体" w:cs="Times New Roman"/>
          <w:sz w:val="24"/>
          <w:szCs w:val="24"/>
        </w:rPr>
        <w:t>明确基础教育要以人民为中心</w:t>
      </w:r>
      <w:r>
        <w:rPr>
          <w:rFonts w:hint="eastAsia" w:ascii="Times New Roman" w:hAnsi="Times New Roman" w:eastAsia="宋体" w:cs="Times New Roman"/>
          <w:sz w:val="24"/>
          <w:szCs w:val="24"/>
        </w:rPr>
        <w:t>、</w:t>
      </w:r>
      <w:r>
        <w:rPr>
          <w:rFonts w:ascii="Times New Roman" w:hAnsi="Times New Roman" w:eastAsia="宋体" w:cs="Times New Roman"/>
          <w:sz w:val="24"/>
          <w:szCs w:val="24"/>
        </w:rPr>
        <w:t>发展教育要促进人的全面发展</w:t>
      </w:r>
      <w:r>
        <w:rPr>
          <w:rFonts w:hint="eastAsia" w:ascii="Times New Roman" w:hAnsi="Times New Roman" w:eastAsia="宋体" w:cs="Times New Roman"/>
          <w:sz w:val="24"/>
          <w:szCs w:val="24"/>
        </w:rPr>
        <w:t>等基本治国理念。</w:t>
      </w:r>
    </w:p>
    <w:p w14:paraId="28F68C4F">
      <w:pPr>
        <w:autoSpaceDE w:val="0"/>
        <w:autoSpaceDN w:val="0"/>
        <w:adjustRightInd w:val="0"/>
        <w:spacing w:line="360" w:lineRule="auto"/>
        <w:ind w:firstLine="482" w:firstLineChars="200"/>
        <w:jc w:val="left"/>
        <w:rPr>
          <w:rFonts w:ascii="宋体" w:hAnsi="宋体" w:eastAsia="宋体" w:cs="Times New Roman"/>
          <w:b/>
          <w:sz w:val="24"/>
          <w:szCs w:val="24"/>
        </w:rPr>
      </w:pPr>
      <w:r>
        <w:rPr>
          <w:rFonts w:ascii="宋体" w:hAnsi="宋体" w:eastAsia="宋体" w:cs="Times New Roman"/>
          <w:b/>
          <w:sz w:val="24"/>
          <w:szCs w:val="24"/>
        </w:rPr>
        <w:t>教学重点</w:t>
      </w:r>
      <w:r>
        <w:rPr>
          <w:rFonts w:hint="eastAsia" w:ascii="宋体" w:hAnsi="宋体" w:eastAsia="宋体" w:cs="Times New Roman"/>
          <w:b/>
          <w:sz w:val="24"/>
          <w:szCs w:val="24"/>
        </w:rPr>
        <w:t>：</w:t>
      </w:r>
      <w:r>
        <w:rPr>
          <w:rFonts w:hint="eastAsia" w:ascii="Times New Roman" w:hAnsi="Times New Roman" w:eastAsia="宋体" w:cs="Times New Roman"/>
          <w:sz w:val="24"/>
          <w:szCs w:val="24"/>
        </w:rPr>
        <w:t>基础教育改革的必要性</w:t>
      </w:r>
    </w:p>
    <w:p w14:paraId="764C89D1">
      <w:pPr>
        <w:autoSpaceDE w:val="0"/>
        <w:autoSpaceDN w:val="0"/>
        <w:adjustRightInd w:val="0"/>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基础教育当下的问题</w:t>
      </w:r>
    </w:p>
    <w:p w14:paraId="15FEEBBB">
      <w:pPr>
        <w:spacing w:line="360" w:lineRule="auto"/>
        <w:ind w:firstLine="482" w:firstLineChars="200"/>
        <w:rPr>
          <w:rFonts w:ascii="宋体" w:hAnsi="宋体" w:eastAsia="宋体" w:cs="Times New Roman"/>
          <w:b/>
          <w:sz w:val="24"/>
          <w:szCs w:val="24"/>
        </w:rPr>
      </w:pPr>
      <w:bookmarkStart w:id="132" w:name="_Toc27847317"/>
      <w:r>
        <w:rPr>
          <w:rFonts w:hint="eastAsia" w:ascii="宋体" w:hAnsi="宋体" w:eastAsia="宋体" w:cs="Times New Roman"/>
          <w:b/>
          <w:color w:val="000000"/>
          <w:sz w:val="24"/>
          <w:szCs w:val="24"/>
        </w:rPr>
        <w:t>（二）</w:t>
      </w:r>
      <w:r>
        <w:rPr>
          <w:rFonts w:hint="eastAsia" w:ascii="Times New Roman" w:hAnsi="Times New Roman" w:eastAsia="宋体" w:cs="Times New Roman"/>
          <w:b/>
          <w:sz w:val="24"/>
          <w:szCs w:val="24"/>
        </w:rPr>
        <w:t>国际视野中的基础教育改革（一）</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bookmarkEnd w:id="132"/>
    </w:p>
    <w:p w14:paraId="2C303DEC">
      <w:pPr>
        <w:autoSpaceDE w:val="0"/>
        <w:autoSpaceDN w:val="0"/>
        <w:adjustRightInd w:val="0"/>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1．教学内容</w:t>
      </w:r>
    </w:p>
    <w:p w14:paraId="61E5D083">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）美国基础教育改革的进程</w:t>
      </w:r>
    </w:p>
    <w:p w14:paraId="2670F7D3">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）美国基础教育改革的问题</w:t>
      </w:r>
    </w:p>
    <w:p w14:paraId="63F10216">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）美国基础教育改革的现实意义</w:t>
      </w:r>
    </w:p>
    <w:p w14:paraId="0ED07D60">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szCs w:val="24"/>
        </w:rPr>
        <w:t>2．基本要求</w:t>
      </w:r>
    </w:p>
    <w:p w14:paraId="07B4C288">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）了解美国基础教育改革的概况</w:t>
      </w:r>
    </w:p>
    <w:p w14:paraId="7B8B2B6B">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（2）掌握美国基础教育的精神实质及对中国的启示</w:t>
      </w:r>
    </w:p>
    <w:p w14:paraId="79987AC9">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5711D7FD">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 xml:space="preserve">用马克思辩证唯物主义的观点全面分析美国基础教育改革的历史背景，以客观开放的心态吸收借鉴国外先进教育改革经验；坚持中国特色社会主义文化自信。 </w:t>
      </w:r>
    </w:p>
    <w:p w14:paraId="080CDA3F">
      <w:pPr>
        <w:spacing w:line="360" w:lineRule="auto"/>
        <w:ind w:firstLine="482" w:firstLineChars="200"/>
        <w:rPr>
          <w:rFonts w:ascii="宋体" w:hAnsi="宋体" w:eastAsia="宋体" w:cs="Times New Roman"/>
          <w:b/>
          <w:color w:val="000000"/>
          <w:sz w:val="24"/>
          <w:szCs w:val="24"/>
        </w:rPr>
      </w:pPr>
      <w:bookmarkStart w:id="133" w:name="_Toc27847318"/>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rPr>
        <w:t>美国基础教育改革的概况</w:t>
      </w:r>
      <w:bookmarkEnd w:id="133"/>
    </w:p>
    <w:p w14:paraId="617363A9">
      <w:pPr>
        <w:spacing w:line="360" w:lineRule="auto"/>
        <w:ind w:firstLine="482" w:firstLineChars="200"/>
        <w:rPr>
          <w:rFonts w:ascii="宋体" w:hAnsi="宋体" w:eastAsia="宋体" w:cs="Times New Roman"/>
          <w:b/>
          <w:color w:val="000000"/>
          <w:sz w:val="24"/>
          <w:szCs w:val="24"/>
        </w:rPr>
      </w:pPr>
      <w:bookmarkStart w:id="134" w:name="_Toc27847319"/>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rPr>
        <w:t>美国基础教育改革对中国的启示</w:t>
      </w:r>
      <w:bookmarkEnd w:id="134"/>
    </w:p>
    <w:p w14:paraId="4D98FCE7">
      <w:pPr>
        <w:autoSpaceDE w:val="0"/>
        <w:autoSpaceDN w:val="0"/>
        <w:adjustRightInd w:val="0"/>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（三）国际视野中的基础教育改革（二）</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p>
    <w:p w14:paraId="5CC62FF7">
      <w:pPr>
        <w:autoSpaceDE w:val="0"/>
        <w:autoSpaceDN w:val="0"/>
        <w:adjustRightInd w:val="0"/>
        <w:spacing w:line="360" w:lineRule="auto"/>
        <w:ind w:firstLine="482" w:firstLineChars="200"/>
        <w:jc w:val="left"/>
        <w:rPr>
          <w:rFonts w:ascii="宋体" w:hAnsi="宋体" w:eastAsia="宋体" w:cs="Times New Roman"/>
          <w:b/>
          <w:sz w:val="24"/>
          <w:szCs w:val="24"/>
        </w:rPr>
      </w:pPr>
      <w:r>
        <w:rPr>
          <w:rFonts w:ascii="宋体" w:hAnsi="宋体" w:eastAsia="宋体" w:cs="Times New Roman"/>
          <w:b/>
          <w:sz w:val="24"/>
          <w:szCs w:val="24"/>
        </w:rPr>
        <w:t>1</w:t>
      </w:r>
      <w:r>
        <w:rPr>
          <w:rFonts w:hint="eastAsia" w:ascii="宋体" w:hAnsi="宋体" w:eastAsia="宋体" w:cs="Times New Roman"/>
          <w:b/>
          <w:sz w:val="24"/>
          <w:szCs w:val="24"/>
        </w:rPr>
        <w:t>．教学内容</w:t>
      </w:r>
    </w:p>
    <w:p w14:paraId="3BF04EF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）英国基础教育改革的进程</w:t>
      </w:r>
    </w:p>
    <w:p w14:paraId="57E1D973">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（2）英国基础教育改革的问题</w:t>
      </w:r>
    </w:p>
    <w:p w14:paraId="62420CB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（3）英国基础教育改革的现实意义</w:t>
      </w:r>
    </w:p>
    <w:p w14:paraId="37F238FD">
      <w:pPr>
        <w:autoSpaceDE w:val="0"/>
        <w:autoSpaceDN w:val="0"/>
        <w:adjustRightInd w:val="0"/>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2. 基本要求</w:t>
      </w:r>
    </w:p>
    <w:p w14:paraId="1F432E83">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（1）了解英国基础教育改革的概况</w:t>
      </w:r>
    </w:p>
    <w:p w14:paraId="0AE4576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（2）掌握英国基础教育的精神实质及对中国的启示</w:t>
      </w:r>
    </w:p>
    <w:p w14:paraId="2CC9EA48">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36EE41C9">
      <w:pPr>
        <w:spacing w:line="360" w:lineRule="auto"/>
        <w:ind w:firstLine="480" w:firstLineChars="200"/>
        <w:rPr>
          <w:rFonts w:ascii="宋体" w:hAnsi="宋体" w:eastAsia="宋体" w:cs="Times New Roman"/>
          <w:color w:val="000000"/>
          <w:sz w:val="24"/>
        </w:rPr>
      </w:pPr>
      <w:bookmarkStart w:id="135" w:name="_Toc27847320"/>
      <w:r>
        <w:rPr>
          <w:rFonts w:hint="eastAsia" w:ascii="宋体" w:hAnsi="宋体" w:eastAsia="宋体" w:cs="Times New Roman"/>
          <w:color w:val="000000"/>
          <w:sz w:val="24"/>
        </w:rPr>
        <w:t>用马克思辩证唯物主义的观点全面分析美国基础教育改革的历史背景，以客观开放的心态吸收借鉴国外先进教育改革经验；坚持中国特色社会主义文化自信。</w:t>
      </w:r>
    </w:p>
    <w:p w14:paraId="26FF4A87">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rPr>
        <w:t>英国基础教育改革的概况</w:t>
      </w:r>
      <w:bookmarkEnd w:id="135"/>
    </w:p>
    <w:p w14:paraId="384F06E1">
      <w:pPr>
        <w:spacing w:line="360" w:lineRule="auto"/>
        <w:ind w:firstLine="482" w:firstLineChars="200"/>
        <w:rPr>
          <w:rFonts w:ascii="宋体" w:hAnsi="宋体" w:eastAsia="宋体" w:cs="Times New Roman"/>
          <w:b/>
          <w:color w:val="000000"/>
          <w:sz w:val="24"/>
          <w:szCs w:val="24"/>
        </w:rPr>
      </w:pPr>
      <w:bookmarkStart w:id="136" w:name="_Toc27847321"/>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rPr>
        <w:t>英国基础教育改革对中国的启示</w:t>
      </w:r>
      <w:bookmarkEnd w:id="136"/>
    </w:p>
    <w:p w14:paraId="0821F20C">
      <w:pPr>
        <w:autoSpaceDE w:val="0"/>
        <w:autoSpaceDN w:val="0"/>
        <w:adjustRightInd w:val="0"/>
        <w:spacing w:line="360" w:lineRule="auto"/>
        <w:ind w:firstLine="482" w:firstLineChars="200"/>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（四）</w:t>
      </w:r>
      <w:r>
        <w:rPr>
          <w:rFonts w:hint="eastAsia" w:ascii="Times New Roman" w:hAnsi="Times New Roman" w:eastAsia="宋体" w:cs="Times New Roman"/>
          <w:b/>
          <w:sz w:val="24"/>
          <w:szCs w:val="24"/>
        </w:rPr>
        <w:t>国际视野中的基础教育改革（三）</w:t>
      </w:r>
      <w:r>
        <w:rPr>
          <w:rFonts w:hint="eastAsia" w:ascii="宋体" w:hAnsi="宋体" w:eastAsia="宋体" w:cs="Times New Roman"/>
          <w:b/>
          <w:sz w:val="24"/>
          <w:szCs w:val="24"/>
        </w:rPr>
        <w:t>（本模块各知识点的讲授与学习，可以支撑课程目标2、</w:t>
      </w:r>
      <w:r>
        <w:rPr>
          <w:rFonts w:hint="eastAsia" w:ascii="宋体" w:hAnsi="宋体" w:eastAsia="宋体" w:cs="Times New Roman"/>
          <w:b/>
          <w:color w:val="000000"/>
          <w:sz w:val="24"/>
          <w:szCs w:val="24"/>
        </w:rPr>
        <w:t>课程目标4</w:t>
      </w:r>
      <w:r>
        <w:rPr>
          <w:rFonts w:hint="eastAsia" w:ascii="宋体" w:hAnsi="宋体" w:eastAsia="宋体" w:cs="Times New Roman"/>
          <w:b/>
          <w:sz w:val="24"/>
          <w:szCs w:val="24"/>
        </w:rPr>
        <w:t>）</w:t>
      </w:r>
    </w:p>
    <w:p w14:paraId="28C10AFB">
      <w:pPr>
        <w:autoSpaceDE w:val="0"/>
        <w:autoSpaceDN w:val="0"/>
        <w:adjustRightInd w:val="0"/>
        <w:spacing w:line="360" w:lineRule="auto"/>
        <w:ind w:firstLine="482" w:firstLineChars="200"/>
        <w:jc w:val="left"/>
        <w:rPr>
          <w:rFonts w:ascii="宋体" w:hAnsi="宋体" w:eastAsia="宋体" w:cs="Times New Roman"/>
          <w:b/>
          <w:sz w:val="24"/>
          <w:szCs w:val="24"/>
        </w:rPr>
      </w:pPr>
      <w:r>
        <w:rPr>
          <w:rFonts w:ascii="宋体" w:hAnsi="宋体" w:eastAsia="宋体" w:cs="Times New Roman"/>
          <w:b/>
          <w:sz w:val="24"/>
          <w:szCs w:val="24"/>
        </w:rPr>
        <w:t>1</w:t>
      </w:r>
      <w:r>
        <w:rPr>
          <w:rFonts w:hint="eastAsia" w:ascii="宋体" w:hAnsi="宋体" w:eastAsia="宋体" w:cs="Times New Roman"/>
          <w:b/>
          <w:sz w:val="24"/>
          <w:szCs w:val="24"/>
        </w:rPr>
        <w:t>．教学内容</w:t>
      </w:r>
    </w:p>
    <w:p w14:paraId="1EBC04CF">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）德国基础教育改革的进程</w:t>
      </w:r>
    </w:p>
    <w:p w14:paraId="6442535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（2）德国基础教育改革的问题</w:t>
      </w:r>
    </w:p>
    <w:p w14:paraId="12859A8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（3）德国基础教育改革的现实意义</w:t>
      </w:r>
    </w:p>
    <w:p w14:paraId="067A4D63">
      <w:pPr>
        <w:autoSpaceDE w:val="0"/>
        <w:autoSpaceDN w:val="0"/>
        <w:adjustRightInd w:val="0"/>
        <w:spacing w:line="360" w:lineRule="auto"/>
        <w:ind w:firstLine="482" w:firstLineChars="200"/>
        <w:jc w:val="left"/>
        <w:rPr>
          <w:rFonts w:ascii="宋体" w:hAnsi="宋体" w:eastAsia="宋体" w:cs="Times New Roman"/>
          <w:b/>
          <w:sz w:val="24"/>
          <w:szCs w:val="24"/>
        </w:rPr>
      </w:pPr>
      <w:r>
        <w:rPr>
          <w:rFonts w:hint="eastAsia" w:ascii="宋体" w:hAnsi="宋体" w:eastAsia="宋体" w:cs="Times New Roman"/>
          <w:b/>
          <w:sz w:val="24"/>
          <w:szCs w:val="24"/>
        </w:rPr>
        <w:t>2. 基本要求</w:t>
      </w:r>
    </w:p>
    <w:p w14:paraId="5C295A0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（1）了解德国基础教育改革的概况</w:t>
      </w:r>
    </w:p>
    <w:p w14:paraId="56C3E4E8">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（2）掌握德国基础教育的精神实质及对中国的启示</w:t>
      </w:r>
    </w:p>
    <w:p w14:paraId="45BC631D">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43DBBBBC">
      <w:pPr>
        <w:spacing w:line="360" w:lineRule="auto"/>
        <w:ind w:firstLine="480" w:firstLineChars="200"/>
        <w:rPr>
          <w:rFonts w:ascii="宋体" w:hAnsi="宋体" w:eastAsia="宋体" w:cs="Times New Roman"/>
          <w:color w:val="000000"/>
          <w:sz w:val="24"/>
        </w:rPr>
      </w:pPr>
      <w:bookmarkStart w:id="137" w:name="_Toc27847322"/>
      <w:r>
        <w:rPr>
          <w:rFonts w:hint="eastAsia" w:ascii="宋体" w:hAnsi="宋体" w:eastAsia="宋体" w:cs="Times New Roman"/>
          <w:color w:val="000000"/>
          <w:sz w:val="24"/>
        </w:rPr>
        <w:t>用马克思辩证唯物主义的观点全面分析美国基础教育改革的历史背景，以客观开放的心态吸收借鉴国外先进教育改革经验；坚持中国特色社会主义文化自信。</w:t>
      </w:r>
    </w:p>
    <w:p w14:paraId="5BA1D36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教学重点：</w:t>
      </w:r>
      <w:r>
        <w:rPr>
          <w:rFonts w:hint="eastAsia" w:ascii="Times New Roman" w:hAnsi="Times New Roman" w:eastAsia="宋体" w:cs="Times New Roman"/>
          <w:sz w:val="24"/>
          <w:szCs w:val="24"/>
        </w:rPr>
        <w:t>德国基础教育改革的概况</w:t>
      </w:r>
      <w:bookmarkEnd w:id="137"/>
    </w:p>
    <w:p w14:paraId="7B82A9BB">
      <w:pPr>
        <w:spacing w:line="360" w:lineRule="auto"/>
        <w:ind w:firstLine="482" w:firstLineChars="200"/>
        <w:rPr>
          <w:rFonts w:ascii="宋体" w:hAnsi="宋体" w:eastAsia="宋体" w:cs="Times New Roman"/>
          <w:b/>
          <w:color w:val="000000"/>
          <w:sz w:val="24"/>
          <w:szCs w:val="24"/>
        </w:rPr>
      </w:pPr>
      <w:bookmarkStart w:id="138" w:name="_Toc27847323"/>
      <w:r>
        <w:rPr>
          <w:rFonts w:hint="eastAsia" w:ascii="宋体" w:hAnsi="宋体" w:eastAsia="宋体" w:cs="Times New Roman"/>
          <w:b/>
          <w:color w:val="000000"/>
          <w:sz w:val="24"/>
          <w:szCs w:val="24"/>
        </w:rPr>
        <w:t>教学难点：</w:t>
      </w:r>
      <w:r>
        <w:rPr>
          <w:rFonts w:hint="eastAsia" w:ascii="Times New Roman" w:hAnsi="Times New Roman" w:eastAsia="宋体" w:cs="Times New Roman"/>
          <w:sz w:val="24"/>
          <w:szCs w:val="24"/>
        </w:rPr>
        <w:t>德国基础教育改革对中国的启示</w:t>
      </w:r>
      <w:bookmarkEnd w:id="138"/>
    </w:p>
    <w:p w14:paraId="26D01F8A">
      <w:pPr>
        <w:spacing w:line="360" w:lineRule="auto"/>
        <w:ind w:firstLine="482" w:firstLineChars="200"/>
        <w:rPr>
          <w:rFonts w:ascii="宋体" w:hAnsi="宋体" w:eastAsia="宋体" w:cs="Times New Roman"/>
          <w:b/>
          <w:color w:val="FF0000"/>
          <w:sz w:val="24"/>
          <w:szCs w:val="24"/>
        </w:rPr>
      </w:pPr>
      <w:bookmarkStart w:id="139" w:name="_Toc27847324"/>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基础教育课程改革的理论与实践</w:t>
      </w:r>
      <w:r>
        <w:rPr>
          <w:rFonts w:hint="eastAsia" w:ascii="宋体" w:hAnsi="宋体" w:eastAsia="宋体" w:cs="Times New Roman"/>
          <w:b/>
          <w:color w:val="000000"/>
          <w:sz w:val="24"/>
          <w:szCs w:val="24"/>
        </w:rPr>
        <w:t>（本模块各知识点的讲授与学习，可以支撑课程目标3、课程目标4）</w:t>
      </w:r>
      <w:bookmarkEnd w:id="139"/>
    </w:p>
    <w:p w14:paraId="1D570FAF">
      <w:pPr>
        <w:spacing w:line="360" w:lineRule="auto"/>
        <w:ind w:firstLine="482" w:firstLineChars="200"/>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31C1A16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）基础教育课程改革的国际潮流</w:t>
      </w:r>
    </w:p>
    <w:p w14:paraId="6EA390B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）我国基础教育课程改革的历史演进</w:t>
      </w:r>
    </w:p>
    <w:p w14:paraId="03D068E5">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）我国基础教育课程改革的政策分析</w:t>
      </w:r>
    </w:p>
    <w:p w14:paraId="29706646">
      <w:pPr>
        <w:autoSpaceDE w:val="0"/>
        <w:autoSpaceDN w:val="0"/>
        <w:adjustRightInd w:val="0"/>
        <w:spacing w:line="360" w:lineRule="auto"/>
        <w:ind w:firstLine="482" w:firstLineChars="200"/>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631AFEF3">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（1）了解基础教育课程改革的国际潮流</w:t>
      </w:r>
    </w:p>
    <w:p w14:paraId="2AF3CBF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（2）理解我国基础教育课程改革的历史演进</w:t>
      </w:r>
    </w:p>
    <w:p w14:paraId="4608A532">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hint="eastAsia" w:ascii="宋体" w:hAnsi="宋体" w:eastAsia="宋体" w:cs="Times New Roman"/>
          <w:color w:val="000000"/>
          <w:sz w:val="24"/>
          <w:szCs w:val="24"/>
        </w:rPr>
        <w:t>掌握</w:t>
      </w:r>
      <w:r>
        <w:rPr>
          <w:rFonts w:hint="eastAsia" w:ascii="Times New Roman" w:hAnsi="Times New Roman" w:eastAsia="宋体" w:cs="Times New Roman"/>
          <w:sz w:val="24"/>
          <w:szCs w:val="24"/>
        </w:rPr>
        <w:t>基础教育课程改革的政策及执行</w:t>
      </w:r>
    </w:p>
    <w:p w14:paraId="23A752FA">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F1B3F07">
      <w:pPr>
        <w:spacing w:line="360" w:lineRule="auto"/>
        <w:ind w:firstLine="480" w:firstLineChars="200"/>
        <w:rPr>
          <w:rFonts w:ascii="宋体" w:hAnsi="宋体" w:eastAsia="宋体" w:cs="Times New Roman"/>
          <w:b/>
          <w:color w:val="000000"/>
          <w:sz w:val="24"/>
        </w:rPr>
      </w:pPr>
      <w:r>
        <w:rPr>
          <w:rFonts w:hint="eastAsia" w:ascii="Times New Roman" w:hAnsi="Times New Roman" w:eastAsia="宋体" w:cs="Times New Roman"/>
          <w:sz w:val="24"/>
          <w:szCs w:val="24"/>
        </w:rPr>
        <w:t>以历史唯物主义观点全面分析基础教育课程改革的国际动向，坚持把服务中华民族伟大复兴作为我国基础教育改革的重要历史使命；坚持基础教育的社会主义办学方向，培养全面发展的中国人。</w:t>
      </w:r>
    </w:p>
    <w:p w14:paraId="558A606A">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基础教育课程改革的政策</w:t>
      </w:r>
    </w:p>
    <w:p w14:paraId="1A7126F3">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教学难点</w:t>
      </w:r>
      <w:r>
        <w:rPr>
          <w:rFonts w:ascii="宋体" w:hAnsi="宋体" w:eastAsia="宋体" w:cs="Times New Roman"/>
          <w:b/>
          <w:sz w:val="24"/>
          <w:szCs w:val="24"/>
        </w:rPr>
        <w:t>：</w:t>
      </w:r>
      <w:r>
        <w:rPr>
          <w:rFonts w:hint="eastAsia" w:ascii="Times New Roman" w:hAnsi="Times New Roman" w:eastAsia="宋体" w:cs="Times New Roman"/>
          <w:sz w:val="24"/>
          <w:szCs w:val="24"/>
        </w:rPr>
        <w:t>当下课程改革中存在的教育问题</w:t>
      </w:r>
    </w:p>
    <w:p w14:paraId="063E9030">
      <w:pPr>
        <w:spacing w:line="360" w:lineRule="auto"/>
        <w:ind w:firstLine="482" w:firstLineChars="200"/>
        <w:rPr>
          <w:rFonts w:ascii="宋体" w:hAnsi="宋体" w:eastAsia="宋体" w:cs="Times New Roman"/>
          <w:b/>
          <w:color w:val="000000"/>
          <w:sz w:val="24"/>
          <w:szCs w:val="24"/>
        </w:rPr>
      </w:pPr>
      <w:bookmarkStart w:id="140" w:name="_Toc27847325"/>
      <w:r>
        <w:rPr>
          <w:rFonts w:hint="eastAsia" w:ascii="宋体" w:hAnsi="宋体" w:eastAsia="宋体" w:cs="Times New Roman"/>
          <w:b/>
          <w:color w:val="000000"/>
          <w:sz w:val="24"/>
          <w:szCs w:val="24"/>
        </w:rPr>
        <w:t>（六）</w:t>
      </w:r>
      <w:r>
        <w:rPr>
          <w:rFonts w:hint="eastAsia" w:ascii="Times New Roman" w:hAnsi="Times New Roman" w:eastAsia="宋体" w:cs="Times New Roman"/>
          <w:b/>
          <w:sz w:val="24"/>
          <w:szCs w:val="24"/>
        </w:rPr>
        <w:t>基础教育课堂教学改革的理论与实践</w:t>
      </w:r>
      <w:r>
        <w:rPr>
          <w:rFonts w:hint="eastAsia" w:ascii="宋体" w:hAnsi="宋体" w:eastAsia="宋体" w:cs="Times New Roman"/>
          <w:b/>
          <w:color w:val="000000"/>
          <w:sz w:val="24"/>
          <w:szCs w:val="24"/>
        </w:rPr>
        <w:t>（本模块各知识点的讲授与学习，可以支撑课程目标3、课程目标4）</w:t>
      </w:r>
      <w:bookmarkEnd w:id="140"/>
    </w:p>
    <w:p w14:paraId="4D71F50A">
      <w:pPr>
        <w:spacing w:line="360" w:lineRule="auto"/>
        <w:ind w:firstLine="482" w:firstLineChars="200"/>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1928528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）基础教育课堂教学目标：预设与生成</w:t>
      </w:r>
    </w:p>
    <w:p w14:paraId="64B3B028">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）基础教育课堂教学过程：理解与创生</w:t>
      </w:r>
    </w:p>
    <w:p w14:paraId="0F1E31C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）基础教育课堂师生关系：理解与对话</w:t>
      </w:r>
    </w:p>
    <w:p w14:paraId="76691D91">
      <w:pPr>
        <w:autoSpaceDE w:val="0"/>
        <w:autoSpaceDN w:val="0"/>
        <w:adjustRightInd w:val="0"/>
        <w:spacing w:line="360" w:lineRule="auto"/>
        <w:ind w:firstLine="482" w:firstLineChars="200"/>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1407C2F6">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（1）理解基础教育课堂教学的目标的选择和过程，树立正确的师生观</w:t>
      </w:r>
    </w:p>
    <w:p w14:paraId="4B9E4BC6">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（2）掌握教学过程的设计</w:t>
      </w:r>
    </w:p>
    <w:p w14:paraId="43E2D39D">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A68A761">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树立教师工作的本质是塑造灵魂、塑造生命、塑造人的理念，牢固树立“四有”好老师的标准。</w:t>
      </w:r>
    </w:p>
    <w:p w14:paraId="23DF041C">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教学目标的设定</w:t>
      </w:r>
    </w:p>
    <w:p w14:paraId="7BE0D74A">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教学过程的创生与意义</w:t>
      </w:r>
    </w:p>
    <w:p w14:paraId="4C620042">
      <w:pPr>
        <w:spacing w:line="360" w:lineRule="auto"/>
        <w:ind w:firstLine="482" w:firstLineChars="200"/>
        <w:rPr>
          <w:rFonts w:ascii="宋体" w:hAnsi="宋体" w:eastAsia="宋体" w:cs="Times New Roman"/>
          <w:b/>
          <w:color w:val="000000"/>
          <w:sz w:val="24"/>
          <w:szCs w:val="24"/>
        </w:rPr>
      </w:pPr>
      <w:bookmarkStart w:id="141" w:name="_Toc27847326"/>
      <w:r>
        <w:rPr>
          <w:rFonts w:hint="eastAsia" w:ascii="宋体" w:hAnsi="宋体" w:eastAsia="宋体" w:cs="Times New Roman"/>
          <w:b/>
          <w:color w:val="000000"/>
          <w:sz w:val="24"/>
          <w:szCs w:val="24"/>
        </w:rPr>
        <w:t>（七）农村基础教育改革的问题与走向（本模块各知识点的讲授与学习，可以支撑课程目标3、课程目标4）</w:t>
      </w:r>
      <w:bookmarkEnd w:id="141"/>
    </w:p>
    <w:p w14:paraId="3FF75AFA">
      <w:pPr>
        <w:spacing w:line="360" w:lineRule="auto"/>
        <w:ind w:firstLine="482" w:firstLineChars="200"/>
        <w:rPr>
          <w:rFonts w:ascii="宋体" w:hAnsi="宋体" w:eastAsia="宋体" w:cs="Times New Roman"/>
          <w:b/>
          <w:color w:val="000000"/>
          <w:sz w:val="24"/>
          <w:szCs w:val="24"/>
        </w:rPr>
      </w:pPr>
      <w:r>
        <w:rPr>
          <w:rFonts w:ascii="宋体" w:hAnsi="宋体" w:eastAsia="宋体" w:cs="Times New Roman"/>
          <w:b/>
          <w:color w:val="000000"/>
          <w:sz w:val="24"/>
          <w:szCs w:val="24"/>
        </w:rPr>
        <w:t>1.教学内容</w:t>
      </w:r>
    </w:p>
    <w:p w14:paraId="3518884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）农村基础教育改革中存在的问题</w:t>
      </w:r>
    </w:p>
    <w:p w14:paraId="62570DC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）农村基础教育改革中存在问题的原因分析</w:t>
      </w:r>
    </w:p>
    <w:p w14:paraId="500DDA6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）农村基础教育改革的推进策略</w:t>
      </w:r>
    </w:p>
    <w:p w14:paraId="36D0200D">
      <w:pPr>
        <w:autoSpaceDE w:val="0"/>
        <w:autoSpaceDN w:val="0"/>
        <w:adjustRightInd w:val="0"/>
        <w:spacing w:line="360" w:lineRule="auto"/>
        <w:ind w:firstLine="482" w:firstLineChars="200"/>
        <w:jc w:val="left"/>
        <w:rPr>
          <w:rFonts w:ascii="宋体" w:hAnsi="宋体" w:eastAsia="宋体" w:cs="Times New Roman"/>
          <w:b/>
          <w:color w:val="000000"/>
          <w:sz w:val="24"/>
          <w:szCs w:val="24"/>
        </w:rPr>
      </w:pP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.基本要求</w:t>
      </w:r>
    </w:p>
    <w:p w14:paraId="7FC46AFD">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（1）了解我国农村基础教育改革的的地位和作用</w:t>
      </w:r>
    </w:p>
    <w:p w14:paraId="0BFA5A4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（2）正确分析农村基础教育改革的问题</w:t>
      </w:r>
    </w:p>
    <w:p w14:paraId="015C8A49">
      <w:pPr>
        <w:autoSpaceDE w:val="0"/>
        <w:autoSpaceDN w:val="0"/>
        <w:adjustRightInd w:val="0"/>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5B345D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用马克思主义观点正确分析我国农村基础教育改革中存在的问题及原因，坚持教育的人民立场，树立以教育公平促进社会公平正义的信念。</w:t>
      </w:r>
    </w:p>
    <w:p w14:paraId="6AF5CCF5">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教学重点</w:t>
      </w:r>
      <w:r>
        <w:rPr>
          <w:rFonts w:ascii="宋体" w:hAnsi="宋体" w:eastAsia="宋体" w:cs="Times New Roman"/>
          <w:b/>
          <w:sz w:val="24"/>
          <w:szCs w:val="24"/>
        </w:rPr>
        <w:t>：</w:t>
      </w:r>
      <w:r>
        <w:rPr>
          <w:rFonts w:hint="eastAsia" w:ascii="Times New Roman" w:hAnsi="Times New Roman" w:eastAsia="宋体" w:cs="Times New Roman"/>
          <w:sz w:val="24"/>
          <w:szCs w:val="24"/>
        </w:rPr>
        <w:t>农村基础教育改革的问题</w:t>
      </w:r>
    </w:p>
    <w:p w14:paraId="0A66385B">
      <w:pPr>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sz w:val="24"/>
          <w:szCs w:val="24"/>
        </w:rPr>
        <w:t>教学难点：</w:t>
      </w:r>
      <w:r>
        <w:rPr>
          <w:rFonts w:hint="eastAsia" w:ascii="Times New Roman" w:hAnsi="Times New Roman" w:eastAsia="宋体" w:cs="Times New Roman"/>
          <w:sz w:val="24"/>
          <w:szCs w:val="24"/>
        </w:rPr>
        <w:t>农村基础教育改革的思路</w:t>
      </w:r>
    </w:p>
    <w:p w14:paraId="0F648D44">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tbl>
      <w:tblPr>
        <w:tblStyle w:val="30"/>
        <w:tblW w:w="85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798"/>
        <w:gridCol w:w="1237"/>
        <w:gridCol w:w="1644"/>
        <w:gridCol w:w="8"/>
        <w:gridCol w:w="647"/>
        <w:gridCol w:w="655"/>
      </w:tblGrid>
      <w:tr w14:paraId="3C63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579EAA29">
            <w:pPr>
              <w:spacing w:line="276" w:lineRule="auto"/>
              <w:jc w:val="center"/>
              <w:rPr>
                <w:rFonts w:ascii="宋体" w:hAnsi="宋体" w:eastAsia="宋体" w:cs="Times New Roman"/>
                <w:szCs w:val="21"/>
              </w:rPr>
            </w:pPr>
            <w:r>
              <w:rPr>
                <w:rFonts w:hint="eastAsia" w:ascii="宋体" w:hAnsi="宋体" w:eastAsia="宋体" w:cs="Times New Roman"/>
                <w:b/>
                <w:szCs w:val="21"/>
              </w:rPr>
              <w:t>序号</w:t>
            </w:r>
          </w:p>
        </w:tc>
        <w:tc>
          <w:tcPr>
            <w:tcW w:w="3798" w:type="dxa"/>
            <w:vAlign w:val="center"/>
          </w:tcPr>
          <w:p w14:paraId="71AF37CF">
            <w:pPr>
              <w:widowControl/>
              <w:snapToGrid w:val="0"/>
              <w:spacing w:line="276" w:lineRule="auto"/>
              <w:jc w:val="center"/>
              <w:rPr>
                <w:rFonts w:ascii="宋体" w:hAnsi="宋体" w:eastAsia="宋体" w:cs="宋体"/>
                <w:color w:val="000000"/>
                <w:kern w:val="0"/>
                <w:szCs w:val="21"/>
              </w:rPr>
            </w:pPr>
            <w:r>
              <w:rPr>
                <w:rFonts w:ascii="宋体" w:hAnsi="宋体" w:eastAsia="宋体" w:cs="Times New Roman"/>
                <w:b/>
                <w:szCs w:val="21"/>
              </w:rPr>
              <w:t>教学内容</w:t>
            </w:r>
          </w:p>
        </w:tc>
        <w:tc>
          <w:tcPr>
            <w:tcW w:w="1237" w:type="dxa"/>
            <w:vAlign w:val="center"/>
          </w:tcPr>
          <w:p w14:paraId="32C9257B">
            <w:pPr>
              <w:spacing w:line="276" w:lineRule="auto"/>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644" w:type="dxa"/>
            <w:vAlign w:val="center"/>
          </w:tcPr>
          <w:p w14:paraId="619ADE92">
            <w:pPr>
              <w:spacing w:line="276" w:lineRule="auto"/>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654" w:type="dxa"/>
            <w:gridSpan w:val="2"/>
            <w:vAlign w:val="center"/>
          </w:tcPr>
          <w:p w14:paraId="728E9F2A">
            <w:pPr>
              <w:spacing w:line="276" w:lineRule="auto"/>
              <w:jc w:val="center"/>
              <w:rPr>
                <w:rFonts w:ascii="宋体" w:hAnsi="宋体" w:eastAsia="宋体" w:cs="Times New Roman"/>
                <w:kern w:val="0"/>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c>
          <w:tcPr>
            <w:tcW w:w="655" w:type="dxa"/>
            <w:vAlign w:val="center"/>
          </w:tcPr>
          <w:p w14:paraId="1A4D59F2">
            <w:pPr>
              <w:spacing w:line="276" w:lineRule="auto"/>
              <w:jc w:val="center"/>
              <w:rPr>
                <w:rFonts w:ascii="宋体" w:hAnsi="宋体" w:eastAsia="宋体" w:cs="Times New Roman"/>
                <w:b/>
                <w:szCs w:val="21"/>
              </w:rPr>
            </w:pPr>
            <w:r>
              <w:rPr>
                <w:rFonts w:ascii="宋体" w:hAnsi="宋体" w:eastAsia="宋体" w:cs="Times New Roman"/>
                <w:b/>
                <w:szCs w:val="21"/>
              </w:rPr>
              <w:t>实验</w:t>
            </w:r>
          </w:p>
          <w:p w14:paraId="71A6BD2F">
            <w:pPr>
              <w:spacing w:line="276" w:lineRule="auto"/>
              <w:rPr>
                <w:rFonts w:ascii="宋体" w:hAnsi="宋体" w:eastAsia="宋体" w:cs="Times New Roman"/>
                <w:kern w:val="0"/>
                <w:szCs w:val="21"/>
              </w:rPr>
            </w:pPr>
            <w:r>
              <w:rPr>
                <w:rFonts w:ascii="宋体" w:hAnsi="宋体" w:eastAsia="宋体" w:cs="Times New Roman"/>
                <w:b/>
                <w:szCs w:val="21"/>
              </w:rPr>
              <w:t>学时</w:t>
            </w:r>
          </w:p>
        </w:tc>
      </w:tr>
      <w:tr w14:paraId="7A35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6530859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p>
        </w:tc>
        <w:tc>
          <w:tcPr>
            <w:tcW w:w="3798" w:type="dxa"/>
            <w:vAlign w:val="center"/>
          </w:tcPr>
          <w:p w14:paraId="35B88A72">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社会转型与各国基础教育改革</w:t>
            </w:r>
          </w:p>
        </w:tc>
        <w:tc>
          <w:tcPr>
            <w:tcW w:w="1237" w:type="dxa"/>
            <w:vAlign w:val="center"/>
          </w:tcPr>
          <w:p w14:paraId="586996F7">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目标1</w:t>
            </w:r>
          </w:p>
        </w:tc>
        <w:tc>
          <w:tcPr>
            <w:tcW w:w="1644" w:type="dxa"/>
            <w:vAlign w:val="center"/>
          </w:tcPr>
          <w:p w14:paraId="32709D62">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w:t>
            </w:r>
          </w:p>
        </w:tc>
        <w:tc>
          <w:tcPr>
            <w:tcW w:w="654" w:type="dxa"/>
            <w:gridSpan w:val="2"/>
            <w:vAlign w:val="center"/>
          </w:tcPr>
          <w:p w14:paraId="5590973C">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p>
        </w:tc>
        <w:tc>
          <w:tcPr>
            <w:tcW w:w="655" w:type="dxa"/>
            <w:vAlign w:val="center"/>
          </w:tcPr>
          <w:p w14:paraId="5546367E">
            <w:pPr>
              <w:spacing w:line="276" w:lineRule="auto"/>
              <w:ind w:firstLine="420" w:firstLineChars="200"/>
              <w:jc w:val="center"/>
              <w:rPr>
                <w:rFonts w:ascii="宋体" w:hAnsi="宋体" w:eastAsia="宋体" w:cs="Times New Roman"/>
                <w:kern w:val="0"/>
                <w:szCs w:val="21"/>
              </w:rPr>
            </w:pPr>
          </w:p>
        </w:tc>
      </w:tr>
      <w:tr w14:paraId="7DFC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24" w:type="dxa"/>
            <w:vAlign w:val="center"/>
          </w:tcPr>
          <w:p w14:paraId="032424B6">
            <w:pPr>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3798" w:type="dxa"/>
            <w:vAlign w:val="center"/>
          </w:tcPr>
          <w:p w14:paraId="285763C0">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国际视野中的基础教育改革（一）</w:t>
            </w:r>
          </w:p>
        </w:tc>
        <w:tc>
          <w:tcPr>
            <w:tcW w:w="1237" w:type="dxa"/>
            <w:vAlign w:val="center"/>
          </w:tcPr>
          <w:p w14:paraId="38C220A7">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025AE80B">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4" w:type="dxa"/>
            <w:gridSpan w:val="2"/>
            <w:vAlign w:val="center"/>
          </w:tcPr>
          <w:p w14:paraId="3EDD61FD">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188105AB">
            <w:pPr>
              <w:spacing w:line="276" w:lineRule="auto"/>
              <w:ind w:firstLine="420" w:firstLineChars="200"/>
              <w:jc w:val="center"/>
              <w:rPr>
                <w:rFonts w:ascii="宋体" w:hAnsi="宋体" w:eastAsia="宋体" w:cs="Times New Roman"/>
                <w:kern w:val="0"/>
                <w:szCs w:val="21"/>
              </w:rPr>
            </w:pPr>
          </w:p>
        </w:tc>
      </w:tr>
      <w:tr w14:paraId="24DE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24" w:type="dxa"/>
            <w:vAlign w:val="center"/>
          </w:tcPr>
          <w:p w14:paraId="205BF193">
            <w:pPr>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3798" w:type="dxa"/>
            <w:vAlign w:val="center"/>
          </w:tcPr>
          <w:p w14:paraId="4B9A3B39">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国际视野中的基础教育改革（二）</w:t>
            </w:r>
          </w:p>
        </w:tc>
        <w:tc>
          <w:tcPr>
            <w:tcW w:w="1237" w:type="dxa"/>
            <w:vAlign w:val="center"/>
          </w:tcPr>
          <w:p w14:paraId="4B76BCD1">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0DB91224">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4" w:type="dxa"/>
            <w:gridSpan w:val="2"/>
            <w:vAlign w:val="center"/>
          </w:tcPr>
          <w:p w14:paraId="3949428D">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2D74482B">
            <w:pPr>
              <w:spacing w:line="276" w:lineRule="auto"/>
              <w:rPr>
                <w:rFonts w:ascii="宋体" w:hAnsi="宋体" w:eastAsia="宋体" w:cs="Times New Roman"/>
                <w:kern w:val="0"/>
                <w:szCs w:val="21"/>
              </w:rPr>
            </w:pPr>
          </w:p>
        </w:tc>
      </w:tr>
      <w:tr w14:paraId="5C18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24" w:type="dxa"/>
            <w:vAlign w:val="center"/>
          </w:tcPr>
          <w:p w14:paraId="2C6196E1">
            <w:pPr>
              <w:spacing w:line="276" w:lineRule="auto"/>
              <w:jc w:val="center"/>
              <w:rPr>
                <w:rFonts w:ascii="宋体" w:hAnsi="宋体" w:eastAsia="宋体" w:cs="Times New Roman"/>
                <w:szCs w:val="21"/>
              </w:rPr>
            </w:pPr>
            <w:r>
              <w:rPr>
                <w:rFonts w:hint="eastAsia" w:ascii="宋体" w:hAnsi="宋体" w:eastAsia="宋体" w:cs="Times New Roman"/>
                <w:szCs w:val="21"/>
              </w:rPr>
              <w:t>4</w:t>
            </w:r>
          </w:p>
        </w:tc>
        <w:tc>
          <w:tcPr>
            <w:tcW w:w="3798" w:type="dxa"/>
            <w:vAlign w:val="center"/>
          </w:tcPr>
          <w:p w14:paraId="540528D1">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国际视野中的基础教育改革（三）</w:t>
            </w:r>
          </w:p>
        </w:tc>
        <w:tc>
          <w:tcPr>
            <w:tcW w:w="1237" w:type="dxa"/>
            <w:vAlign w:val="center"/>
          </w:tcPr>
          <w:p w14:paraId="52C7FBEA">
            <w:pPr>
              <w:spacing w:line="276" w:lineRule="auto"/>
              <w:jc w:val="center"/>
              <w:rPr>
                <w:rFonts w:ascii="宋体" w:hAnsi="宋体" w:eastAsia="宋体" w:cs="Times New Roman"/>
                <w:color w:val="000000"/>
                <w:szCs w:val="21"/>
              </w:rPr>
            </w:pPr>
            <w:r>
              <w:rPr>
                <w:rFonts w:hint="eastAsia" w:ascii="宋体" w:hAnsi="宋体" w:eastAsia="宋体" w:cs="Times New Roman"/>
                <w:kern w:val="0"/>
                <w:szCs w:val="21"/>
              </w:rPr>
              <w:t>目标2、4</w:t>
            </w:r>
          </w:p>
        </w:tc>
        <w:tc>
          <w:tcPr>
            <w:tcW w:w="1644" w:type="dxa"/>
            <w:vAlign w:val="center"/>
          </w:tcPr>
          <w:p w14:paraId="33F3FD95">
            <w:pPr>
              <w:spacing w:line="276" w:lineRule="auto"/>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4" w:type="dxa"/>
            <w:gridSpan w:val="2"/>
            <w:vAlign w:val="center"/>
          </w:tcPr>
          <w:p w14:paraId="275DBD72">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4</w:t>
            </w:r>
          </w:p>
        </w:tc>
        <w:tc>
          <w:tcPr>
            <w:tcW w:w="655" w:type="dxa"/>
            <w:vAlign w:val="center"/>
          </w:tcPr>
          <w:p w14:paraId="0A3CD2B3">
            <w:pPr>
              <w:spacing w:line="276" w:lineRule="auto"/>
              <w:rPr>
                <w:rFonts w:ascii="宋体" w:hAnsi="宋体" w:eastAsia="宋体" w:cs="Times New Roman"/>
                <w:kern w:val="0"/>
                <w:szCs w:val="21"/>
              </w:rPr>
            </w:pPr>
          </w:p>
        </w:tc>
      </w:tr>
      <w:tr w14:paraId="5F58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24" w:type="dxa"/>
            <w:vAlign w:val="center"/>
          </w:tcPr>
          <w:p w14:paraId="15A737C3">
            <w:pPr>
              <w:spacing w:line="276" w:lineRule="auto"/>
              <w:jc w:val="center"/>
              <w:rPr>
                <w:rFonts w:ascii="宋体" w:hAnsi="宋体" w:eastAsia="宋体" w:cs="Times New Roman"/>
                <w:szCs w:val="21"/>
              </w:rPr>
            </w:pPr>
            <w:r>
              <w:rPr>
                <w:rFonts w:hint="eastAsia" w:ascii="宋体" w:hAnsi="宋体" w:eastAsia="宋体" w:cs="Times New Roman"/>
                <w:szCs w:val="21"/>
              </w:rPr>
              <w:t>5</w:t>
            </w:r>
          </w:p>
        </w:tc>
        <w:tc>
          <w:tcPr>
            <w:tcW w:w="3798" w:type="dxa"/>
            <w:vAlign w:val="center"/>
          </w:tcPr>
          <w:p w14:paraId="1CE637EA">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基础教育课程改革的理论与实践</w:t>
            </w:r>
          </w:p>
        </w:tc>
        <w:tc>
          <w:tcPr>
            <w:tcW w:w="1237" w:type="dxa"/>
            <w:vAlign w:val="center"/>
          </w:tcPr>
          <w:p w14:paraId="504D6D92">
            <w:pPr>
              <w:spacing w:line="276" w:lineRule="auto"/>
              <w:jc w:val="center"/>
              <w:rPr>
                <w:rFonts w:ascii="宋体" w:hAnsi="宋体" w:eastAsia="宋体" w:cs="Times New Roman"/>
                <w:szCs w:val="21"/>
              </w:rPr>
            </w:pPr>
            <w:r>
              <w:rPr>
                <w:rFonts w:hint="eastAsia" w:ascii="宋体" w:hAnsi="宋体" w:eastAsia="宋体" w:cs="Times New Roman"/>
                <w:kern w:val="0"/>
                <w:szCs w:val="21"/>
              </w:rPr>
              <w:t>目标3、4</w:t>
            </w:r>
          </w:p>
        </w:tc>
        <w:tc>
          <w:tcPr>
            <w:tcW w:w="1644" w:type="dxa"/>
            <w:vAlign w:val="center"/>
          </w:tcPr>
          <w:p w14:paraId="7FA1169A">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4" w:type="dxa"/>
            <w:gridSpan w:val="2"/>
            <w:vAlign w:val="center"/>
          </w:tcPr>
          <w:p w14:paraId="06C647C0">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w:t>
            </w:r>
          </w:p>
        </w:tc>
        <w:tc>
          <w:tcPr>
            <w:tcW w:w="655" w:type="dxa"/>
            <w:vAlign w:val="center"/>
          </w:tcPr>
          <w:p w14:paraId="0DDB5087">
            <w:pPr>
              <w:spacing w:line="276" w:lineRule="auto"/>
              <w:jc w:val="center"/>
              <w:rPr>
                <w:rFonts w:ascii="宋体" w:hAnsi="宋体" w:eastAsia="宋体" w:cs="Times New Roman"/>
                <w:kern w:val="0"/>
                <w:szCs w:val="21"/>
              </w:rPr>
            </w:pPr>
          </w:p>
        </w:tc>
      </w:tr>
      <w:tr w14:paraId="4E65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6ECDBA2A">
            <w:pPr>
              <w:spacing w:line="276" w:lineRule="auto"/>
              <w:jc w:val="center"/>
              <w:rPr>
                <w:rFonts w:ascii="宋体" w:hAnsi="宋体" w:eastAsia="宋体" w:cs="Times New Roman"/>
                <w:szCs w:val="21"/>
              </w:rPr>
            </w:pPr>
            <w:r>
              <w:rPr>
                <w:rFonts w:hint="eastAsia" w:ascii="宋体" w:hAnsi="宋体" w:eastAsia="宋体" w:cs="Times New Roman"/>
                <w:szCs w:val="21"/>
              </w:rPr>
              <w:t>6</w:t>
            </w:r>
          </w:p>
        </w:tc>
        <w:tc>
          <w:tcPr>
            <w:tcW w:w="3798" w:type="dxa"/>
            <w:vAlign w:val="center"/>
          </w:tcPr>
          <w:p w14:paraId="6335EA0C">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基础教育课堂教学改革的理论与实践</w:t>
            </w:r>
          </w:p>
        </w:tc>
        <w:tc>
          <w:tcPr>
            <w:tcW w:w="1237" w:type="dxa"/>
            <w:vAlign w:val="center"/>
          </w:tcPr>
          <w:p w14:paraId="04793B3A">
            <w:pPr>
              <w:spacing w:line="276" w:lineRule="auto"/>
              <w:jc w:val="center"/>
              <w:rPr>
                <w:rFonts w:ascii="宋体" w:hAnsi="宋体" w:eastAsia="宋体" w:cs="Times New Roman"/>
                <w:szCs w:val="21"/>
              </w:rPr>
            </w:pPr>
            <w:r>
              <w:rPr>
                <w:rFonts w:hint="eastAsia" w:ascii="宋体" w:hAnsi="宋体" w:eastAsia="宋体" w:cs="Times New Roman"/>
                <w:kern w:val="0"/>
                <w:szCs w:val="21"/>
              </w:rPr>
              <w:t>目标3、4</w:t>
            </w:r>
          </w:p>
        </w:tc>
        <w:tc>
          <w:tcPr>
            <w:tcW w:w="1644" w:type="dxa"/>
            <w:vAlign w:val="center"/>
          </w:tcPr>
          <w:p w14:paraId="1CCAEB3F">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w:t>
            </w:r>
            <w:r>
              <w:rPr>
                <w:rFonts w:ascii="宋体" w:hAnsi="宋体" w:eastAsia="宋体" w:cs="Times New Roman"/>
                <w:kern w:val="0"/>
                <w:szCs w:val="21"/>
              </w:rPr>
              <w:t>-</w:t>
            </w:r>
            <w:r>
              <w:rPr>
                <w:rFonts w:hint="eastAsia" w:ascii="宋体" w:hAnsi="宋体" w:eastAsia="宋体" w:cs="Times New Roman"/>
                <w:kern w:val="0"/>
                <w:szCs w:val="21"/>
              </w:rPr>
              <w:t>1、7-3、8-</w:t>
            </w:r>
            <w:r>
              <w:rPr>
                <w:rFonts w:ascii="宋体" w:hAnsi="宋体" w:eastAsia="宋体" w:cs="Times New Roman"/>
                <w:kern w:val="0"/>
                <w:szCs w:val="21"/>
              </w:rPr>
              <w:t>3</w:t>
            </w:r>
          </w:p>
        </w:tc>
        <w:tc>
          <w:tcPr>
            <w:tcW w:w="654" w:type="dxa"/>
            <w:gridSpan w:val="2"/>
            <w:vAlign w:val="center"/>
          </w:tcPr>
          <w:p w14:paraId="5707D8B9">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w:t>
            </w:r>
          </w:p>
        </w:tc>
        <w:tc>
          <w:tcPr>
            <w:tcW w:w="655" w:type="dxa"/>
            <w:vAlign w:val="center"/>
          </w:tcPr>
          <w:p w14:paraId="5F1E2940">
            <w:pPr>
              <w:spacing w:line="276" w:lineRule="auto"/>
              <w:jc w:val="center"/>
              <w:rPr>
                <w:rFonts w:ascii="宋体" w:hAnsi="宋体" w:eastAsia="宋体" w:cs="Times New Roman"/>
                <w:kern w:val="0"/>
                <w:szCs w:val="21"/>
              </w:rPr>
            </w:pPr>
          </w:p>
        </w:tc>
      </w:tr>
      <w:tr w14:paraId="11C9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24" w:type="dxa"/>
            <w:vAlign w:val="center"/>
          </w:tcPr>
          <w:p w14:paraId="6355A14A">
            <w:pPr>
              <w:spacing w:line="276" w:lineRule="auto"/>
              <w:jc w:val="center"/>
              <w:rPr>
                <w:rFonts w:ascii="宋体" w:hAnsi="宋体" w:eastAsia="宋体" w:cs="Times New Roman"/>
                <w:szCs w:val="21"/>
              </w:rPr>
            </w:pPr>
            <w:r>
              <w:rPr>
                <w:rFonts w:hint="eastAsia" w:ascii="宋体" w:hAnsi="宋体" w:eastAsia="宋体" w:cs="Times New Roman"/>
                <w:szCs w:val="21"/>
              </w:rPr>
              <w:t>7</w:t>
            </w:r>
          </w:p>
        </w:tc>
        <w:tc>
          <w:tcPr>
            <w:tcW w:w="3798" w:type="dxa"/>
            <w:vAlign w:val="center"/>
          </w:tcPr>
          <w:p w14:paraId="23790932">
            <w:pPr>
              <w:spacing w:line="276" w:lineRule="auto"/>
              <w:jc w:val="center"/>
              <w:rPr>
                <w:rFonts w:ascii="宋体" w:hAnsi="宋体" w:eastAsia="宋体" w:cs="宋体"/>
                <w:color w:val="000000"/>
                <w:kern w:val="0"/>
                <w:szCs w:val="21"/>
              </w:rPr>
            </w:pPr>
            <w:r>
              <w:rPr>
                <w:rFonts w:hint="eastAsia" w:ascii="宋体" w:hAnsi="宋体" w:eastAsia="宋体" w:cs="宋体"/>
                <w:color w:val="000000"/>
                <w:kern w:val="0"/>
                <w:szCs w:val="21"/>
              </w:rPr>
              <w:t>农村基础教育改革的问题与走向</w:t>
            </w:r>
          </w:p>
        </w:tc>
        <w:tc>
          <w:tcPr>
            <w:tcW w:w="1237" w:type="dxa"/>
            <w:vAlign w:val="center"/>
          </w:tcPr>
          <w:p w14:paraId="54080613">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目标3、4</w:t>
            </w:r>
          </w:p>
        </w:tc>
        <w:tc>
          <w:tcPr>
            <w:tcW w:w="1644" w:type="dxa"/>
            <w:vAlign w:val="center"/>
          </w:tcPr>
          <w:p w14:paraId="5C132E72">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1、7-3</w:t>
            </w:r>
          </w:p>
        </w:tc>
        <w:tc>
          <w:tcPr>
            <w:tcW w:w="654" w:type="dxa"/>
            <w:gridSpan w:val="2"/>
            <w:vAlign w:val="center"/>
          </w:tcPr>
          <w:p w14:paraId="419C4933">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6</w:t>
            </w:r>
          </w:p>
        </w:tc>
        <w:tc>
          <w:tcPr>
            <w:tcW w:w="655" w:type="dxa"/>
            <w:vAlign w:val="center"/>
          </w:tcPr>
          <w:p w14:paraId="08B8E8AF">
            <w:pPr>
              <w:spacing w:line="276" w:lineRule="auto"/>
              <w:jc w:val="center"/>
              <w:rPr>
                <w:rFonts w:ascii="宋体" w:hAnsi="宋体" w:eastAsia="宋体" w:cs="Times New Roman"/>
                <w:kern w:val="0"/>
                <w:szCs w:val="21"/>
              </w:rPr>
            </w:pPr>
          </w:p>
        </w:tc>
      </w:tr>
      <w:tr w14:paraId="3ADA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211" w:type="dxa"/>
            <w:gridSpan w:val="5"/>
            <w:vAlign w:val="center"/>
          </w:tcPr>
          <w:p w14:paraId="5348399C">
            <w:pPr>
              <w:spacing w:line="276" w:lineRule="auto"/>
              <w:jc w:val="center"/>
              <w:rPr>
                <w:rFonts w:ascii="宋体" w:hAnsi="宋体" w:eastAsia="宋体" w:cs="Times New Roman"/>
                <w:szCs w:val="21"/>
              </w:rPr>
            </w:pPr>
            <w:r>
              <w:rPr>
                <w:rFonts w:ascii="宋体" w:hAnsi="宋体" w:eastAsia="宋体" w:cs="Times New Roman"/>
                <w:szCs w:val="21"/>
              </w:rPr>
              <w:t>合计</w:t>
            </w:r>
          </w:p>
        </w:tc>
        <w:tc>
          <w:tcPr>
            <w:tcW w:w="647" w:type="dxa"/>
            <w:vAlign w:val="center"/>
          </w:tcPr>
          <w:p w14:paraId="1BF31526">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32</w:t>
            </w:r>
          </w:p>
        </w:tc>
        <w:tc>
          <w:tcPr>
            <w:tcW w:w="655" w:type="dxa"/>
            <w:vAlign w:val="center"/>
          </w:tcPr>
          <w:p w14:paraId="4804C92C">
            <w:pPr>
              <w:spacing w:line="276" w:lineRule="auto"/>
              <w:jc w:val="center"/>
              <w:rPr>
                <w:rFonts w:ascii="宋体" w:hAnsi="宋体" w:eastAsia="宋体" w:cs="Times New Roman"/>
                <w:kern w:val="0"/>
                <w:szCs w:val="21"/>
              </w:rPr>
            </w:pPr>
          </w:p>
        </w:tc>
      </w:tr>
    </w:tbl>
    <w:p w14:paraId="7EB9F66F">
      <w:pPr>
        <w:spacing w:before="156" w:beforeLines="50" w:line="360" w:lineRule="auto"/>
        <w:rPr>
          <w:rFonts w:ascii="宋体" w:hAnsi="宋体" w:eastAsia="宋体" w:cs="Times New Roman"/>
          <w:b/>
          <w:sz w:val="28"/>
          <w:szCs w:val="28"/>
        </w:rPr>
      </w:pPr>
      <w:r>
        <w:rPr>
          <w:rFonts w:hint="eastAsia" w:ascii="宋体" w:hAnsi="宋体" w:eastAsia="宋体" w:cs="Times New Roman"/>
          <w:b/>
          <w:sz w:val="28"/>
          <w:szCs w:val="28"/>
        </w:rPr>
        <w:t xml:space="preserve">    </w:t>
      </w:r>
      <w:bookmarkStart w:id="142" w:name="_Toc27847327"/>
      <w:r>
        <w:rPr>
          <w:rFonts w:hint="eastAsia" w:ascii="宋体" w:hAnsi="宋体" w:eastAsia="宋体" w:cs="Times New Roman"/>
          <w:b/>
          <w:sz w:val="28"/>
          <w:szCs w:val="28"/>
        </w:rPr>
        <w:t>四、课程实施</w:t>
      </w:r>
      <w:bookmarkEnd w:id="142"/>
    </w:p>
    <w:p w14:paraId="3833006B">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（一）</w:t>
      </w:r>
      <w:r>
        <w:rPr>
          <w:rFonts w:hint="eastAsia" w:ascii="宋体" w:hAnsi="宋体" w:eastAsia="宋体" w:cs="Times New Roman"/>
          <w:color w:val="000000"/>
          <w:sz w:val="24"/>
        </w:rPr>
        <w:t>积极进行课堂教学改革，主要教学方式包括讲授法、案例分析、讨论法、社会调查等。充分利用视频、QQ群、教学软件等现代化教学手段，提高教学的针对性和实效性。</w:t>
      </w:r>
    </w:p>
    <w:p w14:paraId="6662B7F3">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（二）采用小组合作学习方式，</w:t>
      </w:r>
      <w:r>
        <w:rPr>
          <w:rFonts w:hint="eastAsia" w:ascii="宋体" w:hAnsi="宋体" w:eastAsia="宋体" w:cs="Times New Roman"/>
          <w:kern w:val="0"/>
          <w:sz w:val="24"/>
        </w:rPr>
        <w:t>学生在小组合作学习过程中完成基础教育改革的社会调查，培养学生团队协作精神</w:t>
      </w:r>
      <w:r>
        <w:rPr>
          <w:rFonts w:ascii="宋体" w:hAnsi="宋体" w:eastAsia="宋体" w:cs="Times New Roman"/>
          <w:kern w:val="0"/>
          <w:sz w:val="24"/>
        </w:rPr>
        <w:t>。</w:t>
      </w:r>
    </w:p>
    <w:p w14:paraId="5A7F292E">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（四）</w:t>
      </w:r>
      <w:r>
        <w:rPr>
          <w:rFonts w:hint="eastAsia" w:ascii="宋体" w:hAnsi="宋体" w:eastAsia="宋体" w:cs="Times New Roman"/>
          <w:color w:val="000000"/>
          <w:sz w:val="24"/>
        </w:rPr>
        <w:t>紧密结合本课程的最新研究成果，及时调整和补充学科前沿知识。</w:t>
      </w:r>
    </w:p>
    <w:p w14:paraId="6F8027F7">
      <w:pPr>
        <w:spacing w:line="360" w:lineRule="auto"/>
        <w:ind w:firstLine="482" w:firstLineChars="200"/>
        <w:rPr>
          <w:rFonts w:ascii="宋体" w:hAnsi="宋体" w:eastAsia="宋体" w:cs="Times New Roman"/>
          <w:b/>
          <w:bCs/>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4211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4C2F5ED6">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7DB02183">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4BF6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5652D0A2">
            <w:pPr>
              <w:spacing w:line="276" w:lineRule="auto"/>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1CE7314B">
            <w:pPr>
              <w:spacing w:line="276" w:lineRule="auto"/>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0DC4AD1B">
            <w:pPr>
              <w:spacing w:line="276" w:lineRule="auto"/>
              <w:rPr>
                <w:rFonts w:ascii="宋体" w:hAnsi="宋体" w:eastAsia="宋体" w:cs="Times New Roman"/>
                <w:color w:val="000000"/>
                <w:szCs w:val="21"/>
              </w:rPr>
            </w:pPr>
            <w:r>
              <w:rPr>
                <w:rFonts w:ascii="宋体" w:hAnsi="宋体" w:eastAsia="宋体" w:cs="Times New Roman"/>
                <w:color w:val="000000"/>
                <w:szCs w:val="21"/>
              </w:rPr>
              <w:t>（1）掌握课程教学大纲内容，严格按照教学大纲要求进行课程教学内容的组织。</w:t>
            </w:r>
          </w:p>
          <w:p w14:paraId="757E9E04">
            <w:pPr>
              <w:spacing w:line="276" w:lineRule="auto"/>
              <w:rPr>
                <w:rFonts w:ascii="宋体" w:hAnsi="宋体" w:eastAsia="宋体" w:cs="Times New Roman"/>
                <w:color w:val="000000"/>
                <w:szCs w:val="21"/>
              </w:rPr>
            </w:pPr>
            <w:r>
              <w:rPr>
                <w:rFonts w:ascii="宋体" w:hAnsi="宋体" w:eastAsia="宋体" w:cs="Times New Roman"/>
                <w:color w:val="000000"/>
                <w:szCs w:val="21"/>
              </w:rPr>
              <w:t>（2）悉心了解学生的现有水平和最新发展区水平，深透钻研教材内容，广泛阅读相关文献资料，精心选择教学方法、组织形式</w:t>
            </w:r>
            <w:r>
              <w:rPr>
                <w:rFonts w:hint="eastAsia" w:ascii="宋体" w:hAnsi="宋体" w:eastAsia="宋体" w:cs="Times New Roman"/>
                <w:color w:val="000000"/>
                <w:szCs w:val="21"/>
              </w:rPr>
              <w:t>和教学手段，认真</w:t>
            </w:r>
            <w:r>
              <w:rPr>
                <w:rFonts w:ascii="宋体" w:hAnsi="宋体" w:eastAsia="宋体" w:cs="Times New Roman"/>
                <w:color w:val="000000"/>
                <w:szCs w:val="21"/>
              </w:rPr>
              <w:t>编写授课计划。授课教案内容包括章节标题、教学目标、教学准备、教学方法、课堂类型、时间分配、授课内容、课后作业、教学效果分析等方面。</w:t>
            </w:r>
          </w:p>
        </w:tc>
      </w:tr>
      <w:tr w14:paraId="2346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82" w:type="dxa"/>
            <w:tcBorders>
              <w:left w:val="single" w:color="auto" w:sz="8" w:space="0"/>
            </w:tcBorders>
            <w:vAlign w:val="center"/>
          </w:tcPr>
          <w:p w14:paraId="4123376A">
            <w:pPr>
              <w:spacing w:line="276" w:lineRule="auto"/>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43E184B7">
            <w:pPr>
              <w:spacing w:line="276" w:lineRule="auto"/>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483F43DC">
            <w:pPr>
              <w:spacing w:line="276" w:lineRule="auto"/>
              <w:rPr>
                <w:rFonts w:ascii="宋体" w:hAnsi="宋体" w:eastAsia="宋体" w:cs="Times New Roman"/>
                <w:color w:val="000000"/>
                <w:szCs w:val="24"/>
              </w:rPr>
            </w:pPr>
            <w:r>
              <w:rPr>
                <w:rFonts w:ascii="宋体" w:hAnsi="宋体" w:eastAsia="宋体" w:cs="Times New Roman"/>
                <w:color w:val="000000"/>
                <w:szCs w:val="21"/>
              </w:rPr>
              <w:t>（1）</w:t>
            </w:r>
            <w:r>
              <w:rPr>
                <w:rFonts w:hint="eastAsia" w:ascii="宋体" w:hAnsi="宋体" w:eastAsia="宋体" w:cs="Times New Roman"/>
                <w:color w:val="000000"/>
                <w:szCs w:val="24"/>
              </w:rPr>
              <w:t>教师仪表端庄，情绪情感要饱满；</w:t>
            </w:r>
          </w:p>
          <w:p w14:paraId="012DA59A">
            <w:pPr>
              <w:spacing w:line="276" w:lineRule="auto"/>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4"/>
              </w:rPr>
              <w:t>教学准备充分，熟悉教学内容；</w:t>
            </w:r>
          </w:p>
          <w:p w14:paraId="050FBDE9">
            <w:pPr>
              <w:spacing w:line="276" w:lineRule="auto"/>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4"/>
              </w:rPr>
              <w:t>教学内容充实，不断充实最新研究成果；</w:t>
            </w:r>
          </w:p>
          <w:p w14:paraId="1DEE3CFB">
            <w:pPr>
              <w:spacing w:line="276" w:lineRule="auto"/>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4"/>
              </w:rPr>
              <w:t>严格执行计划，教学进度适宜；</w:t>
            </w:r>
          </w:p>
          <w:p w14:paraId="2AD60410">
            <w:pPr>
              <w:spacing w:line="276" w:lineRule="auto"/>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4"/>
              </w:rPr>
              <w:t>课堂教学信息充分，注重理论联系实际；</w:t>
            </w:r>
          </w:p>
          <w:p w14:paraId="6749F838">
            <w:pPr>
              <w:spacing w:line="276" w:lineRule="auto"/>
              <w:rPr>
                <w:rFonts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4"/>
              </w:rPr>
              <w:t>注重启发学生思维，培养学生的教学能力；</w:t>
            </w:r>
          </w:p>
          <w:p w14:paraId="2DC6F379">
            <w:pPr>
              <w:spacing w:line="276" w:lineRule="auto"/>
              <w:rPr>
                <w:rFonts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4"/>
              </w:rPr>
              <w:t>面向全体基础上因材施教，灵活运用多种教学方法；</w:t>
            </w:r>
          </w:p>
          <w:p w14:paraId="30B01933">
            <w:pPr>
              <w:spacing w:line="276" w:lineRule="auto"/>
              <w:rPr>
                <w:rFonts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szCs w:val="24"/>
              </w:rPr>
              <w:t>教学语言规范，为学生教育教学做好表率；</w:t>
            </w:r>
          </w:p>
          <w:p w14:paraId="539E40E1">
            <w:pPr>
              <w:spacing w:line="276" w:lineRule="auto"/>
              <w:rPr>
                <w:rFonts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4"/>
              </w:rPr>
              <w:t>教学条理清楚，教学思路逻辑严密；</w:t>
            </w:r>
          </w:p>
          <w:p w14:paraId="544A7335">
            <w:pPr>
              <w:spacing w:line="276" w:lineRule="auto"/>
              <w:rPr>
                <w:rFonts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4"/>
              </w:rPr>
              <w:t>充分运用现代化教学手段，教学技术熟练；</w:t>
            </w:r>
          </w:p>
          <w:p w14:paraId="4E13D803">
            <w:pPr>
              <w:spacing w:line="276" w:lineRule="auto"/>
              <w:rPr>
                <w:rFonts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szCs w:val="24"/>
              </w:rPr>
              <w:t>课堂教学要重点突出，难点突破；</w:t>
            </w:r>
          </w:p>
          <w:p w14:paraId="4CDDD99E">
            <w:pPr>
              <w:spacing w:line="276" w:lineRule="auto"/>
              <w:rPr>
                <w:rFonts w:ascii="宋体" w:hAnsi="宋体" w:eastAsia="宋体" w:cs="Times New Roman"/>
                <w:color w:val="000000"/>
                <w:szCs w:val="21"/>
              </w:rPr>
            </w:pPr>
            <w:r>
              <w:rPr>
                <w:rFonts w:ascii="宋体" w:hAnsi="宋体" w:eastAsia="宋体" w:cs="Times New Roman"/>
                <w:color w:val="000000"/>
                <w:szCs w:val="21"/>
              </w:rPr>
              <w:t>（12）</w:t>
            </w:r>
            <w:r>
              <w:rPr>
                <w:rFonts w:hint="eastAsia" w:ascii="宋体" w:hAnsi="宋体" w:eastAsia="宋体" w:cs="Times New Roman"/>
                <w:color w:val="000000"/>
                <w:szCs w:val="24"/>
              </w:rPr>
              <w:t>注重师生互动，形成良好的课堂氛围。</w:t>
            </w:r>
          </w:p>
        </w:tc>
      </w:tr>
      <w:tr w14:paraId="1607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vAlign w:val="center"/>
          </w:tcPr>
          <w:p w14:paraId="010FD274">
            <w:pPr>
              <w:spacing w:line="276" w:lineRule="auto"/>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4BA28138">
            <w:pPr>
              <w:spacing w:line="276" w:lineRule="auto"/>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35026E75">
            <w:pPr>
              <w:spacing w:line="276" w:lineRule="auto"/>
              <w:rPr>
                <w:rFonts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791C7B0B">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3E4D48B5">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ascii="宋体" w:hAnsi="宋体" w:eastAsia="宋体" w:cs="Times New Roman"/>
                <w:color w:val="000000"/>
                <w:szCs w:val="21"/>
              </w:rPr>
              <w:t>教学设计方案格式规范、清晰</w:t>
            </w:r>
            <w:r>
              <w:rPr>
                <w:rFonts w:hint="eastAsia" w:ascii="宋体" w:hAnsi="宋体" w:eastAsia="宋体" w:cs="Times New Roman"/>
                <w:color w:val="000000"/>
                <w:szCs w:val="21"/>
              </w:rPr>
              <w:t>。</w:t>
            </w:r>
          </w:p>
          <w:p w14:paraId="09819424">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教学设计理念先进，教学目标适宜，教学方法灵活，教学组织形式多样、教学过程紧凑，教学准备充分。</w:t>
            </w:r>
          </w:p>
          <w:p w14:paraId="1E5716AB">
            <w:pPr>
              <w:spacing w:line="276" w:lineRule="auto"/>
              <w:rPr>
                <w:rFonts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6D165774">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536E1E8C">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讲评作业要认真、细致，按百分制评定成绩并写明日期</w:t>
            </w:r>
            <w:r>
              <w:rPr>
                <w:rFonts w:hint="eastAsia" w:ascii="宋体" w:hAnsi="宋体" w:eastAsia="宋体" w:cs="Times New Roman"/>
                <w:color w:val="000000"/>
                <w:szCs w:val="21"/>
              </w:rPr>
              <w:t>。</w:t>
            </w:r>
          </w:p>
          <w:p w14:paraId="26672301">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5CA1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504273F2">
            <w:pPr>
              <w:spacing w:line="276" w:lineRule="auto"/>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40E3F6FB">
            <w:pPr>
              <w:spacing w:line="276" w:lineRule="auto"/>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65CF9F5E">
            <w:pPr>
              <w:spacing w:line="276" w:lineRule="auto"/>
              <w:rPr>
                <w:rFonts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理解和消化所学知识、改进学习方法和思维方式，培养其独立的教学设计能力、教学组织指导能力、教学反思与评价能力，任课教师</w:t>
            </w:r>
            <w:r>
              <w:rPr>
                <w:rFonts w:hint="eastAsia" w:ascii="宋体" w:hAnsi="宋体" w:eastAsia="宋体" w:cs="Times New Roman"/>
                <w:color w:val="000000"/>
                <w:szCs w:val="21"/>
              </w:rPr>
              <w:t>需</w:t>
            </w:r>
            <w:r>
              <w:rPr>
                <w:rFonts w:ascii="宋体" w:hAnsi="宋体" w:eastAsia="宋体" w:cs="Times New Roman"/>
                <w:color w:val="000000"/>
                <w:szCs w:val="21"/>
              </w:rPr>
              <w:t>每周安排</w:t>
            </w:r>
            <w:r>
              <w:rPr>
                <w:rFonts w:hint="eastAsia" w:ascii="宋体" w:hAnsi="宋体" w:eastAsia="宋体" w:cs="Times New Roman"/>
                <w:color w:val="000000"/>
                <w:szCs w:val="21"/>
              </w:rPr>
              <w:t>一定</w:t>
            </w:r>
            <w:r>
              <w:rPr>
                <w:rFonts w:ascii="宋体" w:hAnsi="宋体" w:eastAsia="宋体" w:cs="Times New Roman"/>
                <w:color w:val="000000"/>
                <w:szCs w:val="21"/>
              </w:rPr>
              <w:t>时间进行课外答疑与辅导。</w:t>
            </w:r>
          </w:p>
        </w:tc>
      </w:tr>
      <w:tr w14:paraId="239F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1DB87CA0">
            <w:pPr>
              <w:spacing w:line="276" w:lineRule="auto"/>
              <w:jc w:val="center"/>
              <w:rPr>
                <w:rFonts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63E92949">
            <w:pPr>
              <w:spacing w:line="276" w:lineRule="auto"/>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0DD5CE97">
            <w:pPr>
              <w:spacing w:line="276" w:lineRule="auto"/>
              <w:rPr>
                <w:rFonts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。考试采取教考分离，监考</w:t>
            </w:r>
            <w:r>
              <w:rPr>
                <w:rFonts w:hint="eastAsia" w:ascii="宋体" w:hAnsi="宋体" w:eastAsia="宋体" w:cs="Times New Roman"/>
                <w:color w:val="000000"/>
                <w:szCs w:val="21"/>
              </w:rPr>
              <w:t>由学院</w:t>
            </w:r>
            <w:r>
              <w:rPr>
                <w:rFonts w:ascii="宋体" w:hAnsi="宋体" w:eastAsia="宋体" w:cs="Times New Roman"/>
                <w:color w:val="000000"/>
                <w:szCs w:val="21"/>
              </w:rPr>
              <w:t>统一安排。有下列情况之一者，总评成绩为不及格：</w:t>
            </w:r>
          </w:p>
          <w:p w14:paraId="52D93F7E">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缺交作业次数达1/3以上者</w:t>
            </w:r>
            <w:r>
              <w:rPr>
                <w:rFonts w:hint="eastAsia" w:ascii="宋体" w:hAnsi="宋体" w:eastAsia="宋体" w:cs="Times New Roman"/>
                <w:color w:val="000000"/>
                <w:szCs w:val="21"/>
              </w:rPr>
              <w:t>。</w:t>
            </w:r>
          </w:p>
          <w:p w14:paraId="5BFB75F5">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缺课次数达本学期总授课学时的1/3以上者</w:t>
            </w:r>
            <w:r>
              <w:rPr>
                <w:rFonts w:hint="eastAsia" w:ascii="宋体" w:hAnsi="宋体" w:eastAsia="宋体" w:cs="Times New Roman"/>
                <w:color w:val="000000"/>
                <w:szCs w:val="21"/>
              </w:rPr>
              <w:t>。</w:t>
            </w:r>
          </w:p>
        </w:tc>
      </w:tr>
    </w:tbl>
    <w:p w14:paraId="75950FA0">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五、课程</w:t>
      </w:r>
      <w:r>
        <w:rPr>
          <w:rFonts w:ascii="宋体" w:hAnsi="宋体" w:eastAsia="宋体" w:cs="Times New Roman"/>
          <w:b/>
          <w:sz w:val="28"/>
          <w:szCs w:val="28"/>
        </w:rPr>
        <w:t>考核</w:t>
      </w:r>
    </w:p>
    <w:p w14:paraId="13B2BF5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开卷笔试方式</w:t>
      </w:r>
      <w:r>
        <w:rPr>
          <w:rFonts w:ascii="宋体" w:hAnsi="宋体" w:eastAsia="宋体" w:cs="Times New Roman"/>
          <w:sz w:val="24"/>
        </w:rPr>
        <w:t>。</w:t>
      </w:r>
    </w:p>
    <w:p w14:paraId="568CD7F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30</w:t>
      </w:r>
      <w:r>
        <w:rPr>
          <w:rFonts w:ascii="宋体" w:hAnsi="宋体" w:eastAsia="宋体" w:cs="Times New Roman"/>
          <w:sz w:val="24"/>
        </w:rPr>
        <w:t>% +期末考试成绩×</w:t>
      </w:r>
      <w:r>
        <w:rPr>
          <w:rFonts w:hint="eastAsia" w:ascii="宋体" w:hAnsi="宋体" w:eastAsia="宋体" w:cs="Times New Roman"/>
          <w:sz w:val="24"/>
        </w:rPr>
        <w:t>70</w:t>
      </w:r>
      <w:r>
        <w:rPr>
          <w:rFonts w:ascii="宋体" w:hAnsi="宋体" w:eastAsia="宋体" w:cs="Times New Roman"/>
          <w:sz w:val="24"/>
        </w:rPr>
        <w:t>%。</w:t>
      </w:r>
    </w:p>
    <w:p w14:paraId="299AEADA">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2EF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5596D48C">
            <w:pPr>
              <w:jc w:val="center"/>
              <w:rPr>
                <w:rFonts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1BDFDBFF">
            <w:pPr>
              <w:jc w:val="center"/>
              <w:rPr>
                <w:rFonts w:ascii="宋体" w:hAnsi="宋体" w:eastAsia="宋体" w:cs="Times New Roman"/>
                <w:b/>
                <w:szCs w:val="24"/>
              </w:rPr>
            </w:pPr>
            <w:r>
              <w:rPr>
                <w:rFonts w:ascii="宋体" w:hAnsi="宋体" w:eastAsia="宋体" w:cs="Times New Roman"/>
                <w:b/>
                <w:szCs w:val="24"/>
              </w:rPr>
              <w:t>考核/</w:t>
            </w:r>
          </w:p>
          <w:p w14:paraId="4339AD6B">
            <w:pPr>
              <w:jc w:val="center"/>
              <w:rPr>
                <w:rFonts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772865AE">
            <w:pPr>
              <w:jc w:val="center"/>
              <w:rPr>
                <w:rFonts w:ascii="宋体" w:hAnsi="宋体" w:eastAsia="宋体" w:cs="Times New Roman"/>
                <w:b/>
                <w:szCs w:val="24"/>
              </w:rPr>
            </w:pPr>
            <w:r>
              <w:rPr>
                <w:rFonts w:hint="eastAsia" w:ascii="宋体" w:hAnsi="宋体" w:eastAsia="宋体" w:cs="Times New Roman"/>
                <w:b/>
                <w:szCs w:val="24"/>
              </w:rPr>
              <w:t>权重</w:t>
            </w:r>
          </w:p>
        </w:tc>
        <w:tc>
          <w:tcPr>
            <w:tcW w:w="2693" w:type="dxa"/>
            <w:shd w:val="clear" w:color="auto" w:fill="FFFFFF"/>
            <w:vAlign w:val="center"/>
          </w:tcPr>
          <w:p w14:paraId="42C962E0">
            <w:pPr>
              <w:jc w:val="center"/>
              <w:rPr>
                <w:rFonts w:ascii="宋体" w:hAnsi="宋体" w:eastAsia="宋体" w:cs="Times New Roman"/>
                <w:b/>
                <w:szCs w:val="24"/>
              </w:rPr>
            </w:pPr>
            <w:r>
              <w:rPr>
                <w:rFonts w:ascii="宋体" w:hAnsi="宋体" w:eastAsia="宋体" w:cs="Times New Roman"/>
                <w:b/>
                <w:szCs w:val="24"/>
              </w:rPr>
              <w:t>考核/评价细则</w:t>
            </w:r>
          </w:p>
        </w:tc>
        <w:tc>
          <w:tcPr>
            <w:tcW w:w="1276" w:type="dxa"/>
            <w:shd w:val="clear" w:color="auto" w:fill="FFFFFF"/>
          </w:tcPr>
          <w:p w14:paraId="235FCBFC">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0C296CA0">
            <w:pPr>
              <w:jc w:val="center"/>
              <w:rPr>
                <w:rFonts w:ascii="宋体" w:hAnsi="宋体" w:eastAsia="宋体" w:cs="Times New Roman"/>
                <w:b/>
                <w:szCs w:val="24"/>
              </w:rPr>
            </w:pPr>
            <w:r>
              <w:rPr>
                <w:rFonts w:hint="eastAsia" w:ascii="宋体" w:hAnsi="宋体" w:eastAsia="宋体" w:cs="Times New Roman"/>
                <w:b/>
                <w:szCs w:val="24"/>
              </w:rPr>
              <w:t>目标</w:t>
            </w:r>
          </w:p>
        </w:tc>
        <w:tc>
          <w:tcPr>
            <w:tcW w:w="1276" w:type="dxa"/>
            <w:shd w:val="clear" w:color="auto" w:fill="FFFFFF"/>
          </w:tcPr>
          <w:p w14:paraId="20A03AE7">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4A86F119">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30F881BF">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293E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trPr>
        <w:tc>
          <w:tcPr>
            <w:tcW w:w="624" w:type="dxa"/>
            <w:tcMar>
              <w:left w:w="57" w:type="dxa"/>
              <w:right w:w="57" w:type="dxa"/>
            </w:tcMar>
            <w:vAlign w:val="center"/>
          </w:tcPr>
          <w:p w14:paraId="15D8C949">
            <w:pPr>
              <w:jc w:val="center"/>
              <w:rPr>
                <w:rFonts w:ascii="宋体" w:hAnsi="宋体" w:eastAsia="宋体" w:cs="Times New Roman"/>
                <w:szCs w:val="24"/>
              </w:rPr>
            </w:pPr>
            <w:r>
              <w:rPr>
                <w:rFonts w:ascii="宋体" w:hAnsi="宋体" w:eastAsia="宋体" w:cs="Times New Roman"/>
                <w:szCs w:val="24"/>
              </w:rPr>
              <w:t>平时成绩</w:t>
            </w:r>
          </w:p>
        </w:tc>
        <w:tc>
          <w:tcPr>
            <w:tcW w:w="1134" w:type="dxa"/>
            <w:vAlign w:val="center"/>
          </w:tcPr>
          <w:p w14:paraId="3139F91D">
            <w:pPr>
              <w:jc w:val="center"/>
              <w:rPr>
                <w:rFonts w:ascii="宋体" w:hAnsi="宋体" w:eastAsia="宋体" w:cs="Times New Roman"/>
                <w:szCs w:val="24"/>
              </w:rPr>
            </w:pPr>
            <w:r>
              <w:rPr>
                <w:rFonts w:hint="eastAsia" w:ascii="宋体" w:hAnsi="宋体" w:eastAsia="宋体" w:cs="Times New Roman"/>
                <w:szCs w:val="24"/>
              </w:rPr>
              <w:t>课堂参与及</w:t>
            </w:r>
          </w:p>
          <w:p w14:paraId="68848E5E">
            <w:pPr>
              <w:jc w:val="center"/>
              <w:rPr>
                <w:rFonts w:ascii="宋体" w:hAnsi="宋体" w:eastAsia="宋体" w:cs="Times New Roman"/>
                <w:szCs w:val="24"/>
              </w:rPr>
            </w:pPr>
            <w:r>
              <w:rPr>
                <w:rFonts w:ascii="宋体" w:hAnsi="宋体" w:eastAsia="宋体" w:cs="Times New Roman"/>
                <w:szCs w:val="24"/>
              </w:rPr>
              <w:t>平时作业</w:t>
            </w:r>
          </w:p>
        </w:tc>
        <w:tc>
          <w:tcPr>
            <w:tcW w:w="709" w:type="dxa"/>
            <w:vAlign w:val="center"/>
          </w:tcPr>
          <w:p w14:paraId="3A034340">
            <w:pPr>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0%</w:t>
            </w:r>
          </w:p>
        </w:tc>
        <w:tc>
          <w:tcPr>
            <w:tcW w:w="2693" w:type="dxa"/>
            <w:vAlign w:val="center"/>
          </w:tcPr>
          <w:p w14:paraId="20854E99">
            <w:pPr>
              <w:ind w:firstLine="420" w:firstLineChars="200"/>
              <w:jc w:val="left"/>
              <w:rPr>
                <w:rFonts w:ascii="宋体" w:hAnsi="宋体" w:eastAsia="宋体" w:cs="Times New Roman"/>
                <w:szCs w:val="24"/>
              </w:rPr>
            </w:pPr>
            <w:r>
              <w:rPr>
                <w:rFonts w:hint="eastAsia" w:ascii="宋体" w:hAnsi="宋体" w:eastAsia="宋体" w:cs="Times New Roman"/>
                <w:szCs w:val="24"/>
              </w:rPr>
              <w:t>其中课堂参与包括考勤占20%，平时作业占80%。</w:t>
            </w:r>
          </w:p>
          <w:p w14:paraId="3714C45D">
            <w:pPr>
              <w:ind w:firstLine="420" w:firstLineChars="200"/>
              <w:jc w:val="left"/>
              <w:rPr>
                <w:rFonts w:ascii="宋体" w:hAnsi="宋体" w:eastAsia="宋体" w:cs="Times New Roman"/>
                <w:szCs w:val="21"/>
              </w:rPr>
            </w:pPr>
            <w:r>
              <w:rPr>
                <w:rFonts w:hint="eastAsia" w:ascii="宋体" w:hAnsi="宋体" w:eastAsia="宋体" w:cs="Times New Roman"/>
                <w:szCs w:val="21"/>
              </w:rPr>
              <w:t>课堂考勤：病假和事假一次扣5分，无故缺席一次扣10分，无故缺席累积达5次以上（不含5次）取消课程成绩。</w:t>
            </w:r>
          </w:p>
          <w:p w14:paraId="6BE16410">
            <w:pPr>
              <w:ind w:firstLine="420" w:firstLineChars="200"/>
              <w:jc w:val="left"/>
              <w:rPr>
                <w:rFonts w:ascii="宋体" w:hAnsi="宋体" w:eastAsia="宋体" w:cs="Times New Roman"/>
                <w:color w:val="0070C0"/>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rPr>
              <w:t>3次作业</w:t>
            </w:r>
            <w:r>
              <w:rPr>
                <w:rFonts w:ascii="宋体" w:hAnsi="宋体" w:eastAsia="宋体" w:cs="Times New Roman"/>
                <w:szCs w:val="24"/>
              </w:rPr>
              <w:t>，主要考核学生对</w:t>
            </w:r>
            <w:r>
              <w:rPr>
                <w:rFonts w:hint="eastAsia" w:ascii="宋体" w:hAnsi="宋体" w:eastAsia="宋体" w:cs="Times New Roman"/>
                <w:szCs w:val="24"/>
              </w:rPr>
              <w:t>基本</w:t>
            </w:r>
            <w:r>
              <w:rPr>
                <w:rFonts w:ascii="宋体" w:hAnsi="宋体" w:eastAsia="宋体" w:cs="Times New Roman"/>
                <w:szCs w:val="24"/>
              </w:rPr>
              <w:t>理论的理解和掌握程度，计算全部作业的平均成绩。</w:t>
            </w:r>
          </w:p>
        </w:tc>
        <w:tc>
          <w:tcPr>
            <w:tcW w:w="1276" w:type="dxa"/>
            <w:vAlign w:val="center"/>
          </w:tcPr>
          <w:p w14:paraId="75039A2F">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p w14:paraId="5B82409B">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p w14:paraId="1CC5B5AB">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4</w:t>
            </w:r>
          </w:p>
        </w:tc>
        <w:tc>
          <w:tcPr>
            <w:tcW w:w="1276" w:type="dxa"/>
            <w:vAlign w:val="center"/>
          </w:tcPr>
          <w:p w14:paraId="1780B989">
            <w:pPr>
              <w:jc w:val="left"/>
              <w:rPr>
                <w:rFonts w:ascii="宋体" w:hAnsi="宋体" w:eastAsia="宋体" w:cs="Times New Roman"/>
                <w:color w:val="000000"/>
                <w:szCs w:val="24"/>
              </w:rPr>
            </w:pPr>
            <w:r>
              <w:rPr>
                <w:rFonts w:hint="eastAsia" w:ascii="宋体" w:hAnsi="宋体" w:eastAsia="宋体" w:cs="Times New Roman"/>
                <w:color w:val="000000"/>
                <w:szCs w:val="24"/>
              </w:rPr>
              <w:t>我国基础教育改革热点问题及改革路径</w:t>
            </w:r>
          </w:p>
        </w:tc>
        <w:tc>
          <w:tcPr>
            <w:tcW w:w="1276" w:type="dxa"/>
            <w:vAlign w:val="center"/>
          </w:tcPr>
          <w:p w14:paraId="75384E44">
            <w:pPr>
              <w:jc w:val="center"/>
              <w:rPr>
                <w:rFonts w:ascii="宋体" w:hAnsi="宋体" w:eastAsia="宋体" w:cs="Times New Roman"/>
                <w:szCs w:val="24"/>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r>
              <w:rPr>
                <w:rFonts w:hint="eastAsia" w:ascii="宋体" w:hAnsi="宋体" w:eastAsia="宋体" w:cs="Times New Roman"/>
                <w:color w:val="000000"/>
                <w:szCs w:val="21"/>
              </w:rPr>
              <w:t>8-</w:t>
            </w:r>
            <w:r>
              <w:rPr>
                <w:rFonts w:ascii="宋体" w:hAnsi="宋体" w:eastAsia="宋体" w:cs="Times New Roman"/>
                <w:color w:val="000000"/>
                <w:szCs w:val="21"/>
              </w:rPr>
              <w:t>3</w:t>
            </w:r>
          </w:p>
        </w:tc>
      </w:tr>
      <w:tr w14:paraId="275D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624" w:type="dxa"/>
            <w:tcMar>
              <w:left w:w="57" w:type="dxa"/>
              <w:right w:w="57" w:type="dxa"/>
            </w:tcMar>
            <w:vAlign w:val="center"/>
          </w:tcPr>
          <w:p w14:paraId="620B170E">
            <w:pPr>
              <w:jc w:val="center"/>
              <w:rPr>
                <w:rFonts w:ascii="宋体" w:hAnsi="宋体" w:eastAsia="宋体" w:cs="Times New Roman"/>
                <w:szCs w:val="24"/>
              </w:rPr>
            </w:pPr>
            <w:r>
              <w:rPr>
                <w:rFonts w:ascii="宋体" w:hAnsi="宋体" w:eastAsia="宋体" w:cs="Times New Roman"/>
                <w:szCs w:val="24"/>
              </w:rPr>
              <w:t>期末考试</w:t>
            </w:r>
          </w:p>
        </w:tc>
        <w:tc>
          <w:tcPr>
            <w:tcW w:w="1134" w:type="dxa"/>
            <w:vAlign w:val="center"/>
          </w:tcPr>
          <w:p w14:paraId="66F51D9E">
            <w:pPr>
              <w:jc w:val="center"/>
              <w:rPr>
                <w:rFonts w:ascii="宋体" w:hAnsi="宋体" w:eastAsia="宋体" w:cs="Times New Roman"/>
                <w:szCs w:val="24"/>
              </w:rPr>
            </w:pPr>
            <w:r>
              <w:rPr>
                <w:rFonts w:ascii="宋体" w:hAnsi="宋体" w:eastAsia="宋体" w:cs="Times New Roman"/>
                <w:szCs w:val="24"/>
              </w:rPr>
              <w:t>期末考试</w:t>
            </w:r>
          </w:p>
          <w:p w14:paraId="2D0CF6E7">
            <w:pPr>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9" w:type="dxa"/>
            <w:vAlign w:val="center"/>
          </w:tcPr>
          <w:p w14:paraId="01BCA498">
            <w:pPr>
              <w:jc w:val="center"/>
              <w:rPr>
                <w:rFonts w:ascii="宋体" w:hAnsi="宋体" w:eastAsia="宋体" w:cs="Times New Roman"/>
                <w:szCs w:val="24"/>
              </w:rPr>
            </w:pPr>
            <w:r>
              <w:rPr>
                <w:rFonts w:hint="eastAsia" w:ascii="宋体" w:hAnsi="宋体" w:eastAsia="宋体" w:cs="Times New Roman"/>
                <w:szCs w:val="24"/>
              </w:rPr>
              <w:t>7</w:t>
            </w:r>
            <w:r>
              <w:rPr>
                <w:rFonts w:ascii="宋体" w:hAnsi="宋体" w:eastAsia="宋体" w:cs="Times New Roman"/>
                <w:szCs w:val="24"/>
              </w:rPr>
              <w:t>0%</w:t>
            </w:r>
          </w:p>
        </w:tc>
        <w:tc>
          <w:tcPr>
            <w:tcW w:w="2693" w:type="dxa"/>
            <w:vAlign w:val="center"/>
          </w:tcPr>
          <w:p w14:paraId="2863C5E3">
            <w:pPr>
              <w:ind w:firstLine="420" w:firstLineChars="200"/>
              <w:jc w:val="left"/>
              <w:rPr>
                <w:rFonts w:ascii="宋体" w:hAnsi="宋体"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w:t>
            </w:r>
            <w:r>
              <w:rPr>
                <w:rFonts w:hint="eastAsia" w:ascii="宋体" w:hAnsi="宋体" w:eastAsia="宋体" w:cs="Times New Roman"/>
                <w:szCs w:val="21"/>
              </w:rPr>
              <w:t>论述题</w:t>
            </w:r>
            <w:r>
              <w:rPr>
                <w:rFonts w:ascii="宋体" w:hAnsi="宋体" w:eastAsia="宋体" w:cs="Times New Roman"/>
                <w:szCs w:val="21"/>
              </w:rPr>
              <w:t>和</w:t>
            </w:r>
            <w:r>
              <w:rPr>
                <w:rFonts w:hint="eastAsia" w:ascii="宋体" w:hAnsi="宋体" w:eastAsia="宋体" w:cs="Times New Roman"/>
                <w:szCs w:val="21"/>
              </w:rPr>
              <w:t>教学</w:t>
            </w:r>
            <w:r>
              <w:rPr>
                <w:rFonts w:ascii="宋体" w:hAnsi="宋体" w:eastAsia="宋体" w:cs="Times New Roman"/>
                <w:szCs w:val="21"/>
              </w:rPr>
              <w:t>设计，以卷面成绩的</w:t>
            </w:r>
            <w:r>
              <w:rPr>
                <w:rFonts w:hint="eastAsia" w:ascii="宋体" w:hAnsi="宋体" w:eastAsia="宋体" w:cs="Times New Roman"/>
                <w:szCs w:val="21"/>
              </w:rPr>
              <w:t>7</w:t>
            </w:r>
            <w:r>
              <w:rPr>
                <w:rFonts w:ascii="宋体" w:hAnsi="宋体" w:eastAsia="宋体" w:cs="Times New Roman"/>
                <w:szCs w:val="21"/>
              </w:rPr>
              <w:t>0%计入课程总成绩。其中考察运用理论分析</w:t>
            </w:r>
            <w:r>
              <w:rPr>
                <w:rFonts w:hint="eastAsia" w:ascii="宋体" w:hAnsi="宋体" w:eastAsia="宋体" w:cs="Times New Roman"/>
                <w:szCs w:val="21"/>
              </w:rPr>
              <w:t>问题</w:t>
            </w:r>
            <w:r>
              <w:rPr>
                <w:rFonts w:ascii="宋体" w:hAnsi="宋体" w:eastAsia="宋体" w:cs="Times New Roman"/>
                <w:szCs w:val="21"/>
              </w:rPr>
              <w:t>能力的题目占30%，考核学生</w:t>
            </w:r>
            <w:r>
              <w:rPr>
                <w:rFonts w:hint="eastAsia" w:ascii="宋体" w:hAnsi="宋体" w:eastAsia="宋体" w:cs="Times New Roman"/>
                <w:szCs w:val="21"/>
              </w:rPr>
              <w:t>综合能力的教学设计占7</w:t>
            </w:r>
            <w:r>
              <w:rPr>
                <w:rFonts w:ascii="宋体" w:hAnsi="宋体" w:eastAsia="宋体" w:cs="Times New Roman"/>
                <w:szCs w:val="21"/>
              </w:rPr>
              <w:t>0%。</w:t>
            </w:r>
          </w:p>
        </w:tc>
        <w:tc>
          <w:tcPr>
            <w:tcW w:w="1276" w:type="dxa"/>
            <w:vAlign w:val="center"/>
          </w:tcPr>
          <w:p w14:paraId="6C7EEF02">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p w14:paraId="3BD8B740">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tc>
        <w:tc>
          <w:tcPr>
            <w:tcW w:w="1276" w:type="dxa"/>
            <w:vAlign w:val="center"/>
          </w:tcPr>
          <w:p w14:paraId="5F617EE0">
            <w:pPr>
              <w:jc w:val="left"/>
              <w:rPr>
                <w:rFonts w:ascii="宋体" w:hAnsi="宋体" w:eastAsia="宋体" w:cs="Times New Roman"/>
                <w:color w:val="000000"/>
                <w:szCs w:val="21"/>
              </w:rPr>
            </w:pPr>
            <w:r>
              <w:rPr>
                <w:rFonts w:hint="eastAsia" w:ascii="宋体" w:hAnsi="宋体" w:eastAsia="宋体" w:cs="Times New Roman"/>
                <w:color w:val="000000"/>
                <w:szCs w:val="21"/>
              </w:rPr>
              <w:t>国内外基础教育改革现状及发展趋势</w:t>
            </w:r>
          </w:p>
        </w:tc>
        <w:tc>
          <w:tcPr>
            <w:tcW w:w="1276" w:type="dxa"/>
            <w:vAlign w:val="center"/>
          </w:tcPr>
          <w:p w14:paraId="410F17D9">
            <w:pPr>
              <w:jc w:val="center"/>
              <w:rPr>
                <w:rFonts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1、7-1、7-3</w:t>
            </w:r>
          </w:p>
        </w:tc>
      </w:tr>
    </w:tbl>
    <w:p w14:paraId="76E0204D">
      <w:pPr>
        <w:spacing w:line="360" w:lineRule="auto"/>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904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93"/>
        <w:gridCol w:w="1768"/>
        <w:gridCol w:w="1806"/>
        <w:gridCol w:w="2402"/>
        <w:gridCol w:w="1071"/>
      </w:tblGrid>
      <w:tr w14:paraId="34B6C2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3761" w:type="dxa"/>
            <w:gridSpan w:val="2"/>
            <w:shd w:val="clear" w:color="auto" w:fill="auto"/>
            <w:vAlign w:val="center"/>
          </w:tcPr>
          <w:p w14:paraId="3A359A56">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279" w:type="dxa"/>
            <w:gridSpan w:val="3"/>
            <w:shd w:val="clear" w:color="auto" w:fill="auto"/>
            <w:vAlign w:val="center"/>
          </w:tcPr>
          <w:p w14:paraId="21C38DFE">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73F3B7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1993" w:type="dxa"/>
            <w:shd w:val="clear" w:color="auto" w:fill="auto"/>
            <w:vAlign w:val="center"/>
          </w:tcPr>
          <w:p w14:paraId="2BAD0A4F">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768" w:type="dxa"/>
            <w:shd w:val="clear" w:color="auto" w:fill="auto"/>
            <w:vAlign w:val="center"/>
          </w:tcPr>
          <w:p w14:paraId="2158247C">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806" w:type="dxa"/>
            <w:shd w:val="clear" w:color="auto" w:fill="auto"/>
            <w:vAlign w:val="center"/>
          </w:tcPr>
          <w:p w14:paraId="7BFED11E">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402" w:type="dxa"/>
            <w:shd w:val="clear" w:color="auto" w:fill="auto"/>
            <w:vAlign w:val="center"/>
          </w:tcPr>
          <w:p w14:paraId="51E9DD0C">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070" w:type="dxa"/>
          </w:tcPr>
          <w:p w14:paraId="5C1167B4">
            <w:pPr>
              <w:widowControl/>
              <w:rPr>
                <w:rFonts w:ascii="宋体" w:hAnsi="宋体" w:eastAsia="宋体" w:cs="Times New Roman"/>
                <w:color w:val="FF0000"/>
                <w:kern w:val="0"/>
                <w:szCs w:val="21"/>
              </w:rPr>
            </w:pPr>
            <w:r>
              <w:rPr>
                <w:rFonts w:hint="eastAsia" w:ascii="宋体" w:hAnsi="宋体" w:eastAsia="宋体" w:cs="Times New Roman"/>
                <w:kern w:val="0"/>
                <w:szCs w:val="21"/>
              </w:rPr>
              <w:t>考核方式权重合计</w:t>
            </w:r>
          </w:p>
        </w:tc>
      </w:tr>
      <w:tr w14:paraId="76C127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098352F5">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68" w:type="dxa"/>
            <w:vMerge w:val="restart"/>
            <w:shd w:val="clear" w:color="auto" w:fill="auto"/>
            <w:vAlign w:val="center"/>
          </w:tcPr>
          <w:p w14:paraId="78C0A941">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0639CF49">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45422C67">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3A72A7C7">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233D3F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993" w:type="dxa"/>
            <w:vMerge w:val="continue"/>
            <w:shd w:val="clear" w:color="auto" w:fill="auto"/>
            <w:vAlign w:val="center"/>
          </w:tcPr>
          <w:p w14:paraId="6A3DEA3D">
            <w:pPr>
              <w:widowControl/>
              <w:jc w:val="left"/>
              <w:rPr>
                <w:rFonts w:ascii="宋体" w:hAnsi="宋体" w:eastAsia="宋体" w:cs="Times New Roman"/>
                <w:kern w:val="0"/>
                <w:szCs w:val="21"/>
              </w:rPr>
            </w:pPr>
          </w:p>
        </w:tc>
        <w:tc>
          <w:tcPr>
            <w:tcW w:w="1768" w:type="dxa"/>
            <w:vMerge w:val="continue"/>
            <w:shd w:val="clear" w:color="auto" w:fill="auto"/>
            <w:vAlign w:val="center"/>
          </w:tcPr>
          <w:p w14:paraId="7FA8FF70">
            <w:pPr>
              <w:widowControl/>
              <w:jc w:val="left"/>
              <w:rPr>
                <w:rFonts w:ascii="宋体" w:hAnsi="宋体" w:eastAsia="宋体" w:cs="Times New Roman"/>
                <w:kern w:val="0"/>
                <w:szCs w:val="21"/>
              </w:rPr>
            </w:pPr>
          </w:p>
        </w:tc>
        <w:tc>
          <w:tcPr>
            <w:tcW w:w="1806" w:type="dxa"/>
            <w:shd w:val="clear" w:color="auto" w:fill="auto"/>
            <w:vAlign w:val="center"/>
          </w:tcPr>
          <w:p w14:paraId="1519BFF7">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2402" w:type="dxa"/>
            <w:shd w:val="clear" w:color="auto" w:fill="auto"/>
            <w:vAlign w:val="center"/>
          </w:tcPr>
          <w:p w14:paraId="75C01DE2">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tcPr>
          <w:p w14:paraId="3C0040B9">
            <w:pPr>
              <w:widowControl/>
              <w:jc w:val="center"/>
              <w:rPr>
                <w:rFonts w:ascii="宋体" w:hAnsi="宋体" w:eastAsia="宋体" w:cs="Times New Roman"/>
                <w:kern w:val="0"/>
                <w:szCs w:val="21"/>
              </w:rPr>
            </w:pPr>
          </w:p>
        </w:tc>
      </w:tr>
      <w:tr w14:paraId="679080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3270D553">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68" w:type="dxa"/>
            <w:vMerge w:val="restart"/>
            <w:shd w:val="clear" w:color="auto" w:fill="auto"/>
            <w:vAlign w:val="center"/>
          </w:tcPr>
          <w:p w14:paraId="7B7C73FE">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3D41DD50">
            <w:pPr>
              <w:widowControl/>
              <w:ind w:firstLine="525" w:firstLineChars="250"/>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7BB6EFCF">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070" w:type="dxa"/>
            <w:vMerge w:val="restart"/>
            <w:vAlign w:val="center"/>
          </w:tcPr>
          <w:p w14:paraId="669A64CB">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396F8D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67924AE0">
            <w:pPr>
              <w:widowControl/>
              <w:jc w:val="left"/>
              <w:rPr>
                <w:rFonts w:ascii="宋体" w:hAnsi="宋体" w:eastAsia="宋体" w:cs="Times New Roman"/>
                <w:kern w:val="0"/>
                <w:szCs w:val="21"/>
              </w:rPr>
            </w:pPr>
          </w:p>
        </w:tc>
        <w:tc>
          <w:tcPr>
            <w:tcW w:w="1768" w:type="dxa"/>
            <w:vMerge w:val="continue"/>
            <w:shd w:val="clear" w:color="auto" w:fill="auto"/>
            <w:vAlign w:val="center"/>
          </w:tcPr>
          <w:p w14:paraId="34D14BF1">
            <w:pPr>
              <w:widowControl/>
              <w:jc w:val="left"/>
              <w:rPr>
                <w:rFonts w:ascii="宋体" w:hAnsi="宋体" w:eastAsia="宋体" w:cs="Times New Roman"/>
                <w:kern w:val="0"/>
                <w:szCs w:val="21"/>
              </w:rPr>
            </w:pPr>
          </w:p>
        </w:tc>
        <w:tc>
          <w:tcPr>
            <w:tcW w:w="1806" w:type="dxa"/>
            <w:shd w:val="clear" w:color="auto" w:fill="auto"/>
            <w:vAlign w:val="center"/>
          </w:tcPr>
          <w:p w14:paraId="5050C1C6">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2402" w:type="dxa"/>
            <w:shd w:val="clear" w:color="auto" w:fill="auto"/>
            <w:vAlign w:val="center"/>
          </w:tcPr>
          <w:p w14:paraId="63C12CDF">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1E0E2839">
            <w:pPr>
              <w:widowControl/>
              <w:jc w:val="center"/>
              <w:rPr>
                <w:rFonts w:ascii="宋体" w:hAnsi="宋体" w:eastAsia="宋体" w:cs="Times New Roman"/>
                <w:kern w:val="0"/>
                <w:szCs w:val="21"/>
              </w:rPr>
            </w:pPr>
          </w:p>
        </w:tc>
      </w:tr>
      <w:tr w14:paraId="4379E3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0D723A0A">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68" w:type="dxa"/>
            <w:vMerge w:val="restart"/>
            <w:shd w:val="clear" w:color="auto" w:fill="auto"/>
            <w:vAlign w:val="center"/>
          </w:tcPr>
          <w:p w14:paraId="0D76F545">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806" w:type="dxa"/>
            <w:shd w:val="clear" w:color="auto" w:fill="auto"/>
            <w:vAlign w:val="center"/>
          </w:tcPr>
          <w:p w14:paraId="45593EA8">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250BF44A">
            <w:pPr>
              <w:widowControl/>
              <w:jc w:val="center"/>
              <w:rPr>
                <w:rFonts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1295FF3A">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5F6246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2CB29F9E">
            <w:pPr>
              <w:widowControl/>
              <w:jc w:val="left"/>
              <w:rPr>
                <w:rFonts w:ascii="宋体" w:hAnsi="宋体" w:eastAsia="宋体" w:cs="Times New Roman"/>
                <w:kern w:val="0"/>
                <w:szCs w:val="21"/>
              </w:rPr>
            </w:pPr>
          </w:p>
        </w:tc>
        <w:tc>
          <w:tcPr>
            <w:tcW w:w="1768" w:type="dxa"/>
            <w:vMerge w:val="continue"/>
            <w:shd w:val="clear" w:color="auto" w:fill="auto"/>
            <w:vAlign w:val="center"/>
          </w:tcPr>
          <w:p w14:paraId="7145E087">
            <w:pPr>
              <w:widowControl/>
              <w:jc w:val="left"/>
              <w:rPr>
                <w:rFonts w:ascii="宋体" w:hAnsi="宋体" w:eastAsia="宋体" w:cs="Times New Roman"/>
                <w:kern w:val="0"/>
                <w:szCs w:val="21"/>
              </w:rPr>
            </w:pPr>
          </w:p>
        </w:tc>
        <w:tc>
          <w:tcPr>
            <w:tcW w:w="1806" w:type="dxa"/>
            <w:shd w:val="clear" w:color="auto" w:fill="auto"/>
            <w:vAlign w:val="center"/>
          </w:tcPr>
          <w:p w14:paraId="76193DE2">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729E4DF3">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70" w:type="dxa"/>
            <w:vMerge w:val="continue"/>
            <w:vAlign w:val="center"/>
          </w:tcPr>
          <w:p w14:paraId="7467EA07">
            <w:pPr>
              <w:widowControl/>
              <w:jc w:val="center"/>
              <w:rPr>
                <w:rFonts w:ascii="宋体" w:hAnsi="宋体" w:eastAsia="宋体" w:cs="Times New Roman"/>
                <w:kern w:val="0"/>
                <w:szCs w:val="21"/>
              </w:rPr>
            </w:pPr>
          </w:p>
        </w:tc>
      </w:tr>
      <w:tr w14:paraId="738F4E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restart"/>
            <w:shd w:val="clear" w:color="auto" w:fill="auto"/>
            <w:vAlign w:val="center"/>
          </w:tcPr>
          <w:p w14:paraId="110E2A4F">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68" w:type="dxa"/>
            <w:vMerge w:val="restart"/>
            <w:shd w:val="clear" w:color="auto" w:fill="auto"/>
            <w:vAlign w:val="center"/>
          </w:tcPr>
          <w:p w14:paraId="334AAE8C">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806" w:type="dxa"/>
            <w:shd w:val="clear" w:color="auto" w:fill="auto"/>
            <w:vAlign w:val="center"/>
          </w:tcPr>
          <w:p w14:paraId="7F61E3F2">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2402" w:type="dxa"/>
            <w:shd w:val="clear" w:color="auto" w:fill="auto"/>
            <w:vAlign w:val="center"/>
          </w:tcPr>
          <w:p w14:paraId="18CAAF46">
            <w:pPr>
              <w:widowControl/>
              <w:jc w:val="center"/>
              <w:rPr>
                <w:rFonts w:ascii="宋体" w:hAnsi="宋体" w:eastAsia="宋体" w:cs="Times New Roman"/>
                <w:kern w:val="0"/>
                <w:szCs w:val="21"/>
              </w:rPr>
            </w:pPr>
            <w:r>
              <w:rPr>
                <w:rFonts w:hint="eastAsia" w:ascii="宋体" w:hAnsi="宋体" w:eastAsia="宋体" w:cs="Times New Roman"/>
                <w:kern w:val="0"/>
                <w:szCs w:val="21"/>
              </w:rPr>
              <w:t>70%</w:t>
            </w:r>
          </w:p>
        </w:tc>
        <w:tc>
          <w:tcPr>
            <w:tcW w:w="1070" w:type="dxa"/>
            <w:vMerge w:val="restart"/>
            <w:vAlign w:val="center"/>
          </w:tcPr>
          <w:p w14:paraId="34382028">
            <w:pPr>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1EA9D6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993" w:type="dxa"/>
            <w:vMerge w:val="continue"/>
            <w:shd w:val="clear" w:color="auto" w:fill="auto"/>
            <w:vAlign w:val="center"/>
          </w:tcPr>
          <w:p w14:paraId="4CD8E3B7">
            <w:pPr>
              <w:widowControl/>
              <w:jc w:val="left"/>
              <w:rPr>
                <w:rFonts w:ascii="宋体" w:hAnsi="宋体" w:eastAsia="宋体" w:cs="Times New Roman"/>
                <w:kern w:val="0"/>
                <w:szCs w:val="21"/>
              </w:rPr>
            </w:pPr>
          </w:p>
        </w:tc>
        <w:tc>
          <w:tcPr>
            <w:tcW w:w="1768" w:type="dxa"/>
            <w:vMerge w:val="continue"/>
            <w:shd w:val="clear" w:color="auto" w:fill="auto"/>
            <w:vAlign w:val="center"/>
          </w:tcPr>
          <w:p w14:paraId="5A9DF7BF">
            <w:pPr>
              <w:widowControl/>
              <w:jc w:val="left"/>
              <w:rPr>
                <w:rFonts w:ascii="宋体" w:hAnsi="宋体" w:eastAsia="宋体" w:cs="Times New Roman"/>
                <w:kern w:val="0"/>
                <w:szCs w:val="21"/>
              </w:rPr>
            </w:pPr>
          </w:p>
        </w:tc>
        <w:tc>
          <w:tcPr>
            <w:tcW w:w="1806" w:type="dxa"/>
            <w:shd w:val="clear" w:color="auto" w:fill="auto"/>
            <w:vAlign w:val="center"/>
          </w:tcPr>
          <w:p w14:paraId="190B54DE">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2402" w:type="dxa"/>
            <w:shd w:val="clear" w:color="auto" w:fill="auto"/>
            <w:vAlign w:val="center"/>
          </w:tcPr>
          <w:p w14:paraId="0F1DB34D">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070" w:type="dxa"/>
            <w:vMerge w:val="continue"/>
          </w:tcPr>
          <w:p w14:paraId="53EBC066">
            <w:pPr>
              <w:widowControl/>
              <w:jc w:val="center"/>
              <w:rPr>
                <w:rFonts w:ascii="宋体" w:hAnsi="宋体" w:eastAsia="宋体" w:cs="Times New Roman"/>
                <w:kern w:val="0"/>
                <w:szCs w:val="21"/>
              </w:rPr>
            </w:pPr>
          </w:p>
        </w:tc>
      </w:tr>
      <w:tr w14:paraId="630F91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993" w:type="dxa"/>
            <w:shd w:val="clear" w:color="auto" w:fill="auto"/>
            <w:vAlign w:val="center"/>
          </w:tcPr>
          <w:p w14:paraId="3F3FDC31">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768" w:type="dxa"/>
            <w:shd w:val="clear" w:color="auto" w:fill="auto"/>
            <w:vAlign w:val="center"/>
          </w:tcPr>
          <w:p w14:paraId="005279D9">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279" w:type="dxa"/>
            <w:gridSpan w:val="3"/>
            <w:shd w:val="clear" w:color="auto" w:fill="auto"/>
            <w:vAlign w:val="center"/>
          </w:tcPr>
          <w:p w14:paraId="3E39F677">
            <w:pPr>
              <w:widowControl/>
              <w:jc w:val="center"/>
              <w:rPr>
                <w:rFonts w:ascii="宋体" w:hAnsi="宋体" w:eastAsia="宋体" w:cs="Times New Roman"/>
                <w:kern w:val="0"/>
                <w:szCs w:val="21"/>
              </w:rPr>
            </w:pPr>
          </w:p>
        </w:tc>
      </w:tr>
    </w:tbl>
    <w:p w14:paraId="0984066B">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3B398A01">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4FE337CB">
      <w:pPr>
        <w:spacing w:line="360" w:lineRule="auto"/>
        <w:rPr>
          <w:rFonts w:ascii="宋体" w:hAnsi="宋体" w:eastAsia="宋体" w:cs="Times New Roman"/>
          <w:sz w:val="24"/>
        </w:rPr>
      </w:pPr>
      <w:r>
        <w:rPr>
          <w:rFonts w:ascii="宋体" w:hAnsi="宋体" w:eastAsia="宋体" w:cs="Times New Roman"/>
          <w:sz w:val="24"/>
        </w:rPr>
        <w:drawing>
          <wp:inline distT="0" distB="0" distL="0" distR="0">
            <wp:extent cx="5274310" cy="337185"/>
            <wp:effectExtent l="0" t="0" r="1397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702AAA13">
      <w:pPr>
        <w:spacing w:line="360" w:lineRule="auto"/>
        <w:ind w:firstLine="482" w:firstLineChars="200"/>
        <w:rPr>
          <w:rFonts w:ascii="宋体" w:hAnsi="宋体" w:eastAsia="宋体" w:cs="Times New Roman"/>
          <w:b/>
          <w:sz w:val="24"/>
          <w:szCs w:val="24"/>
        </w:rPr>
      </w:pPr>
    </w:p>
    <w:p w14:paraId="242DD2B1">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427B780C">
      <w:pPr>
        <w:spacing w:line="360" w:lineRule="auto"/>
        <w:ind w:firstLine="482" w:firstLineChars="200"/>
        <w:rPr>
          <w:rFonts w:ascii="宋体" w:hAnsi="宋体" w:eastAsia="宋体" w:cs="Times New Roman"/>
          <w:b/>
          <w:sz w:val="24"/>
        </w:rPr>
      </w:pPr>
      <w:bookmarkStart w:id="143" w:name="_Toc27847328"/>
      <w:r>
        <w:rPr>
          <w:rFonts w:hint="eastAsia" w:ascii="宋体" w:hAnsi="宋体" w:eastAsia="宋体" w:cs="Times New Roman"/>
          <w:b/>
          <w:sz w:val="24"/>
        </w:rPr>
        <w:t>（一）持续改进</w:t>
      </w:r>
      <w:bookmarkEnd w:id="143"/>
    </w:p>
    <w:p w14:paraId="1BAABE6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提倡改革教学方法，强调应用现代化教学手段，如课件、互联网教学和网络答疑。</w:t>
      </w:r>
    </w:p>
    <w:p w14:paraId="1B3A4D4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合理安排教学课时，加强课堂提问、小组讨论</w:t>
      </w:r>
      <w:r>
        <w:rPr>
          <w:rFonts w:hint="eastAsia" w:ascii="Times New Roman" w:hAnsi="Times New Roman" w:eastAsia="宋体" w:cs="Times New Roman"/>
          <w:sz w:val="24"/>
          <w:szCs w:val="24"/>
        </w:rPr>
        <w:t>、</w:t>
      </w:r>
      <w:r>
        <w:rPr>
          <w:rFonts w:ascii="Times New Roman" w:hAnsi="Times New Roman" w:eastAsia="宋体" w:cs="Times New Roman"/>
          <w:sz w:val="24"/>
          <w:szCs w:val="24"/>
        </w:rPr>
        <w:t>社会调查环节</w:t>
      </w:r>
      <w:r>
        <w:rPr>
          <w:rFonts w:hint="eastAsia" w:ascii="Times New Roman" w:hAnsi="Times New Roman" w:eastAsia="宋体" w:cs="Times New Roman"/>
          <w:sz w:val="24"/>
          <w:szCs w:val="24"/>
        </w:rPr>
        <w:t>，</w:t>
      </w:r>
      <w:r>
        <w:rPr>
          <w:rFonts w:ascii="Times New Roman" w:hAnsi="Times New Roman" w:eastAsia="宋体" w:cs="Times New Roman"/>
          <w:sz w:val="24"/>
          <w:szCs w:val="24"/>
        </w:rPr>
        <w:t>旨在</w:t>
      </w:r>
      <w:r>
        <w:rPr>
          <w:rFonts w:hint="eastAsia" w:ascii="Times New Roman" w:hAnsi="Times New Roman" w:eastAsia="宋体" w:cs="Times New Roman"/>
          <w:sz w:val="24"/>
          <w:szCs w:val="24"/>
        </w:rPr>
        <w:t>促进</w:t>
      </w:r>
      <w:r>
        <w:rPr>
          <w:rFonts w:ascii="Times New Roman" w:hAnsi="Times New Roman" w:eastAsia="宋体" w:cs="Times New Roman"/>
          <w:sz w:val="24"/>
          <w:szCs w:val="24"/>
        </w:rPr>
        <w:t>学生</w:t>
      </w:r>
      <w:r>
        <w:rPr>
          <w:rFonts w:hint="eastAsia" w:ascii="Times New Roman" w:hAnsi="Times New Roman" w:eastAsia="宋体" w:cs="Times New Roman"/>
          <w:sz w:val="24"/>
          <w:szCs w:val="24"/>
        </w:rPr>
        <w:t>反思基础教育改革热点问题，培养批判性思维能力。</w:t>
      </w:r>
    </w:p>
    <w:p w14:paraId="29B09A30">
      <w:pPr>
        <w:spacing w:line="360" w:lineRule="auto"/>
        <w:ind w:firstLine="480" w:firstLineChars="200"/>
        <w:rPr>
          <w:rFonts w:ascii="宋体" w:hAnsi="宋体" w:eastAsia="宋体" w:cs="Times New Roman"/>
          <w:sz w:val="24"/>
        </w:rPr>
      </w:pPr>
      <w:r>
        <w:rPr>
          <w:rFonts w:ascii="Times New Roman" w:hAnsi="Times New Roman" w:eastAsia="宋体" w:cs="Times New Roman"/>
          <w:sz w:val="24"/>
          <w:szCs w:val="24"/>
        </w:rPr>
        <w:t>3．教学内容密切联系</w:t>
      </w:r>
      <w:r>
        <w:rPr>
          <w:rFonts w:hint="eastAsia" w:ascii="Times New Roman" w:hAnsi="Times New Roman" w:eastAsia="宋体" w:cs="Times New Roman"/>
          <w:sz w:val="24"/>
          <w:szCs w:val="24"/>
        </w:rPr>
        <w:t>当前</w:t>
      </w:r>
      <w:r>
        <w:rPr>
          <w:rFonts w:ascii="Times New Roman" w:hAnsi="Times New Roman" w:eastAsia="宋体" w:cs="Times New Roman"/>
          <w:sz w:val="24"/>
          <w:szCs w:val="24"/>
        </w:rPr>
        <w:t>的社会热点。</w:t>
      </w:r>
    </w:p>
    <w:p w14:paraId="763FCB05">
      <w:pPr>
        <w:spacing w:line="360" w:lineRule="auto"/>
        <w:ind w:firstLine="482" w:firstLineChars="200"/>
        <w:rPr>
          <w:rFonts w:ascii="宋体" w:hAnsi="宋体" w:eastAsia="宋体" w:cs="Times New Roman"/>
          <w:b/>
          <w:sz w:val="24"/>
        </w:rPr>
      </w:pPr>
      <w:bookmarkStart w:id="144" w:name="_Toc27847329"/>
      <w:r>
        <w:rPr>
          <w:rFonts w:hint="eastAsia" w:ascii="宋体" w:hAnsi="宋体" w:eastAsia="宋体" w:cs="Times New Roman"/>
          <w:b/>
          <w:sz w:val="24"/>
        </w:rPr>
        <w:t>（二）</w:t>
      </w:r>
      <w:r>
        <w:rPr>
          <w:rFonts w:ascii="宋体" w:hAnsi="宋体" w:eastAsia="宋体" w:cs="Times New Roman"/>
          <w:b/>
          <w:sz w:val="24"/>
        </w:rPr>
        <w:t>参考书目及学习资料</w:t>
      </w:r>
      <w:bookmarkEnd w:id="144"/>
    </w:p>
    <w:p w14:paraId="15B6BC7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1．教材</w:t>
      </w:r>
    </w:p>
    <w:p w14:paraId="6405D436">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何杰. 当代中国基础教育改革的理论与实践.</w:t>
      </w:r>
      <w:r>
        <w:rPr>
          <w:rFonts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rPr>
        <w:t>南京： 南京大学出版社</w:t>
      </w:r>
      <w:r>
        <w:rPr>
          <w:rFonts w:hint="eastAsia" w:ascii="宋体" w:hAnsi="宋体" w:eastAsia="宋体" w:cs="Times New Roman"/>
          <w:sz w:val="24"/>
        </w:rPr>
        <w:t>.</w:t>
      </w:r>
      <w:r>
        <w:rPr>
          <w:rFonts w:ascii="Times New Roman" w:hAnsi="Times New Roman" w:eastAsia="宋体" w:cs="Times New Roman"/>
          <w:kern w:val="0"/>
          <w:sz w:val="24"/>
          <w:szCs w:val="24"/>
        </w:rPr>
        <w:t>20</w:t>
      </w:r>
      <w:r>
        <w:rPr>
          <w:rFonts w:hint="eastAsia" w:ascii="Times New Roman" w:hAnsi="Times New Roman" w:eastAsia="宋体" w:cs="Times New Roman"/>
          <w:kern w:val="0"/>
          <w:sz w:val="24"/>
          <w:szCs w:val="24"/>
        </w:rPr>
        <w:t>11.</w:t>
      </w:r>
    </w:p>
    <w:p w14:paraId="529D2E38">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叶澜. 中国基础教育改革发展研究. 北京：中国人民大学出版社，2009.</w:t>
      </w:r>
    </w:p>
    <w:p w14:paraId="60657198">
      <w:pPr>
        <w:spacing w:line="360" w:lineRule="auto"/>
        <w:ind w:firstLine="480" w:firstLineChars="200"/>
        <w:rPr>
          <w:rFonts w:ascii="宋体" w:hAnsi="宋体" w:eastAsia="宋体" w:cs="Times New Roman"/>
          <w:sz w:val="24"/>
        </w:rPr>
      </w:pPr>
      <w:bookmarkStart w:id="145" w:name="_Toc27847330"/>
      <w:r>
        <w:rPr>
          <w:rFonts w:hint="eastAsia" w:ascii="宋体" w:hAnsi="宋体" w:eastAsia="宋体" w:cs="Times New Roman"/>
          <w:sz w:val="24"/>
        </w:rPr>
        <w:t>2．教学参考书</w:t>
      </w:r>
      <w:bookmarkEnd w:id="145"/>
    </w:p>
    <w:p w14:paraId="0ABFDA0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赵中建.</w:t>
      </w:r>
      <w:r>
        <w:rPr>
          <w:rFonts w:ascii="Times New Roman" w:hAnsi="Times New Roman" w:eastAsia="宋体" w:cs="Times New Roman"/>
          <w:sz w:val="24"/>
          <w:szCs w:val="24"/>
        </w:rPr>
        <w:t xml:space="preserve"> 质量为本：美国基础教育热点问题研究</w:t>
      </w:r>
      <w:r>
        <w:rPr>
          <w:rFonts w:hint="eastAsia" w:ascii="Times New Roman" w:hAnsi="Times New Roman" w:eastAsia="宋体" w:cs="Times New Roman"/>
          <w:sz w:val="24"/>
          <w:szCs w:val="24"/>
        </w:rPr>
        <w:t>.安徽教育出版社.2010.</w:t>
      </w:r>
    </w:p>
    <w:p w14:paraId="2BA1D8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卫建国，杨晓</w:t>
      </w:r>
      <w:r>
        <w:rPr>
          <w:rFonts w:hint="eastAsia" w:ascii="Times New Roman" w:hAnsi="Times New Roman" w:eastAsia="宋体" w:cs="Times New Roman"/>
          <w:sz w:val="24"/>
          <w:szCs w:val="24"/>
        </w:rPr>
        <w:t>.</w:t>
      </w:r>
      <w:r>
        <w:rPr>
          <w:rFonts w:ascii="Times New Roman" w:hAnsi="Times New Roman" w:eastAsia="宋体" w:cs="Times New Roman"/>
          <w:sz w:val="24"/>
          <w:szCs w:val="24"/>
        </w:rPr>
        <w:t>基础教育课程改革理论与实践</w:t>
      </w:r>
      <w:r>
        <w:rPr>
          <w:rFonts w:hint="eastAsia" w:ascii="Times New Roman" w:hAnsi="Times New Roman" w:eastAsia="宋体" w:cs="Times New Roman"/>
          <w:sz w:val="24"/>
          <w:szCs w:val="24"/>
        </w:rPr>
        <w:t>.北京师范大学出版社.2012.</w:t>
      </w:r>
    </w:p>
    <w:p w14:paraId="4F75EB5E">
      <w:pPr>
        <w:spacing w:line="360" w:lineRule="auto"/>
        <w:ind w:firstLine="420" w:firstLineChars="200"/>
        <w:rPr>
          <w:rFonts w:ascii="宋体" w:hAnsi="宋体" w:eastAsia="宋体" w:cs="Times New Roman"/>
          <w:sz w:val="24"/>
        </w:rPr>
      </w:pPr>
      <w:r>
        <w:fldChar w:fldCharType="begin"/>
      </w:r>
      <w:r>
        <w:instrText xml:space="preserve"> HYPERLINK "https://book.jd.com/writer/%E5%AE%8B%E4%B9%83%E5%BA%86_1.html" \t "_blank" </w:instrText>
      </w:r>
      <w:r>
        <w:fldChar w:fldCharType="separate"/>
      </w:r>
      <w:bookmarkStart w:id="146" w:name="_Toc27847331"/>
      <w:r>
        <w:rPr>
          <w:rFonts w:ascii="宋体" w:hAnsi="宋体" w:eastAsia="宋体" w:cs="Times New Roman"/>
          <w:sz w:val="24"/>
        </w:rPr>
        <w:t>宋乃庆</w:t>
      </w:r>
      <w:r>
        <w:rPr>
          <w:rFonts w:ascii="宋体" w:hAnsi="宋体" w:eastAsia="宋体" w:cs="Times New Roman"/>
          <w:sz w:val="24"/>
        </w:rPr>
        <w:fldChar w:fldCharType="end"/>
      </w:r>
      <w:r>
        <w:rPr>
          <w:rFonts w:ascii="宋体" w:hAnsi="宋体" w:eastAsia="宋体" w:cs="Times New Roman"/>
          <w:sz w:val="24"/>
        </w:rPr>
        <w:t>，</w:t>
      </w:r>
      <w:r>
        <w:fldChar w:fldCharType="begin"/>
      </w:r>
      <w:r>
        <w:instrText xml:space="preserve"> HYPERLINK "https://book.jd.com/writer/%E6%9D%8E%E6%A3%AE_1.html" \t "_blank" </w:instrText>
      </w:r>
      <w:r>
        <w:fldChar w:fldCharType="separate"/>
      </w:r>
      <w:r>
        <w:rPr>
          <w:rFonts w:ascii="宋体" w:hAnsi="宋体" w:eastAsia="宋体" w:cs="Times New Roman"/>
          <w:sz w:val="24"/>
        </w:rPr>
        <w:t>李森</w:t>
      </w:r>
      <w:r>
        <w:rPr>
          <w:rFonts w:ascii="宋体" w:hAnsi="宋体" w:eastAsia="宋体" w:cs="Times New Roman"/>
          <w:sz w:val="24"/>
        </w:rPr>
        <w:fldChar w:fldCharType="end"/>
      </w:r>
      <w:r>
        <w:rPr>
          <w:rFonts w:ascii="宋体" w:hAnsi="宋体" w:eastAsia="宋体" w:cs="Times New Roman"/>
          <w:sz w:val="24"/>
        </w:rPr>
        <w:t>，</w:t>
      </w:r>
      <w:r>
        <w:fldChar w:fldCharType="begin"/>
      </w:r>
      <w:r>
        <w:instrText xml:space="preserve"> HYPERLINK "https://book.jd.com/writer/%E6%9C%B1%E5%BE%B7%E5%85%A8_1.html" \t "_blank" </w:instrText>
      </w:r>
      <w:r>
        <w:fldChar w:fldCharType="separate"/>
      </w:r>
      <w:r>
        <w:rPr>
          <w:rFonts w:ascii="宋体" w:hAnsi="宋体" w:eastAsia="宋体" w:cs="Times New Roman"/>
          <w:sz w:val="24"/>
        </w:rPr>
        <w:t>朱德全</w:t>
      </w:r>
      <w:r>
        <w:rPr>
          <w:rFonts w:ascii="宋体" w:hAnsi="宋体" w:eastAsia="宋体" w:cs="Times New Roman"/>
          <w:sz w:val="24"/>
        </w:rPr>
        <w:fldChar w:fldCharType="end"/>
      </w:r>
      <w:r>
        <w:rPr>
          <w:rFonts w:hint="eastAsia" w:ascii="Times New Roman" w:hAnsi="Times New Roman" w:eastAsia="宋体" w:cs="Times New Roman"/>
          <w:sz w:val="24"/>
          <w:szCs w:val="24"/>
        </w:rPr>
        <w:t>.</w:t>
      </w:r>
      <w:r>
        <w:rPr>
          <w:rFonts w:ascii="宋体" w:hAnsi="宋体" w:eastAsia="宋体" w:cs="Times New Roman"/>
          <w:sz w:val="24"/>
        </w:rPr>
        <w:t>中国基础教育改革与发展</w:t>
      </w:r>
      <w:r>
        <w:rPr>
          <w:rFonts w:hint="eastAsia" w:ascii="Times New Roman" w:hAnsi="Times New Roman" w:eastAsia="宋体" w:cs="Times New Roman"/>
          <w:sz w:val="24"/>
          <w:szCs w:val="24"/>
        </w:rPr>
        <w:t>.</w:t>
      </w:r>
      <w:r>
        <w:rPr>
          <w:rFonts w:ascii="宋体" w:hAnsi="宋体" w:eastAsia="宋体" w:cs="Times New Roman"/>
          <w:sz w:val="24"/>
        </w:rPr>
        <w:t>高等教育出版社</w:t>
      </w:r>
      <w:r>
        <w:rPr>
          <w:rFonts w:hint="eastAsia" w:ascii="宋体" w:hAnsi="宋体" w:eastAsia="宋体" w:cs="Times New Roman"/>
          <w:sz w:val="24"/>
        </w:rPr>
        <w:t>.2018.</w:t>
      </w:r>
      <w:bookmarkEnd w:id="146"/>
    </w:p>
    <w:p w14:paraId="7F75465B">
      <w:pPr>
        <w:shd w:val="clear" w:color="auto" w:fill="FFFFFF"/>
        <w:spacing w:line="360" w:lineRule="auto"/>
        <w:ind w:firstLine="480" w:firstLineChars="200"/>
        <w:rPr>
          <w:rFonts w:ascii="宋体" w:hAnsi="宋体" w:eastAsia="宋体" w:cs="Times New Roman"/>
          <w:sz w:val="24"/>
        </w:rPr>
      </w:pPr>
      <w:r>
        <w:rPr>
          <w:rFonts w:ascii="宋体" w:hAnsi="宋体" w:eastAsia="宋体" w:cs="Times New Roman"/>
          <w:sz w:val="24"/>
        </w:rPr>
        <w:t>彭泽平，姚琳新</w:t>
      </w:r>
      <w:r>
        <w:rPr>
          <w:rFonts w:hint="eastAsia" w:ascii="宋体" w:hAnsi="宋体" w:eastAsia="宋体" w:cs="Times New Roman"/>
          <w:sz w:val="24"/>
        </w:rPr>
        <w:t>.</w:t>
      </w:r>
      <w:r>
        <w:rPr>
          <w:rFonts w:ascii="宋体" w:hAnsi="宋体" w:eastAsia="宋体" w:cs="Times New Roman"/>
          <w:sz w:val="24"/>
        </w:rPr>
        <w:t>中国基础教育改革与发展：历史·经验·展望</w:t>
      </w:r>
      <w:r>
        <w:rPr>
          <w:rFonts w:hint="eastAsia" w:ascii="宋体" w:hAnsi="宋体" w:eastAsia="宋体" w:cs="Times New Roman"/>
          <w:sz w:val="24"/>
        </w:rPr>
        <w:t>.人民出版社.2018</w:t>
      </w:r>
    </w:p>
    <w:p w14:paraId="5612084C">
      <w:pPr>
        <w:spacing w:line="360" w:lineRule="auto"/>
        <w:rPr>
          <w:rFonts w:ascii="宋体" w:hAnsi="宋体" w:eastAsia="宋体" w:cs="Times New Roman"/>
          <w:sz w:val="24"/>
        </w:rPr>
      </w:pPr>
    </w:p>
    <w:p w14:paraId="538E7448">
      <w:pPr>
        <w:spacing w:line="360" w:lineRule="auto"/>
        <w:rPr>
          <w:rFonts w:ascii="宋体" w:hAnsi="宋体" w:eastAsia="宋体" w:cs="Times New Roman"/>
          <w:sz w:val="24"/>
        </w:rPr>
      </w:pPr>
    </w:p>
    <w:p w14:paraId="59173E6B">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赵振杰</w:t>
      </w:r>
    </w:p>
    <w:p w14:paraId="435E941C">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审定人：王  健</w:t>
      </w:r>
      <w:r>
        <w:rPr>
          <w:rFonts w:ascii="宋体" w:hAnsi="宋体" w:eastAsia="宋体" w:cs="Times New Roman"/>
          <w:kern w:val="0"/>
          <w:sz w:val="24"/>
          <w:szCs w:val="21"/>
        </w:rPr>
        <w:t xml:space="preserve"> </w:t>
      </w:r>
    </w:p>
    <w:p w14:paraId="1C746864">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5060EB33">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年8月20日</w:t>
      </w:r>
    </w:p>
    <w:p w14:paraId="7C36490D">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079DA8FA">
      <w:pPr>
        <w:spacing w:line="360" w:lineRule="auto"/>
        <w:jc w:val="center"/>
        <w:outlineLvl w:val="0"/>
        <w:rPr>
          <w:rFonts w:hint="eastAsia" w:ascii="宋体"/>
          <w:b/>
          <w:bCs/>
          <w:sz w:val="30"/>
        </w:rPr>
      </w:pPr>
      <w:r>
        <w:rPr>
          <w:rFonts w:hint="eastAsia" w:ascii="宋体" w:hAnsi="宋体"/>
          <w:b/>
          <w:bCs/>
          <w:sz w:val="30"/>
        </w:rPr>
        <w:t>教育哲学课程教学大纲</w:t>
      </w:r>
    </w:p>
    <w:p w14:paraId="741F729B">
      <w:pPr>
        <w:spacing w:line="360" w:lineRule="auto"/>
        <w:jc w:val="center"/>
        <w:rPr>
          <w:rFonts w:ascii="Times New Roman" w:hAnsi="Times New Roman"/>
          <w:b/>
          <w:bCs/>
          <w:sz w:val="28"/>
        </w:rPr>
      </w:pPr>
      <w:r>
        <w:rPr>
          <w:rFonts w:hint="eastAsia" w:ascii="Times New Roman" w:hAnsi="Times New Roman"/>
          <w:b/>
          <w:bCs/>
          <w:sz w:val="28"/>
        </w:rPr>
        <w:t>（</w:t>
      </w:r>
      <w:r>
        <w:rPr>
          <w:rFonts w:ascii="Times New Roman" w:hAnsi="Times New Roman"/>
          <w:b/>
          <w:bCs/>
          <w:sz w:val="28"/>
        </w:rPr>
        <w:t>Philosophy of Education</w:t>
      </w:r>
      <w:r>
        <w:rPr>
          <w:rFonts w:hint="eastAsia" w:ascii="Times New Roman" w:hAnsi="Times New Roman"/>
          <w:b/>
          <w:bCs/>
          <w:sz w:val="28"/>
        </w:rPr>
        <w:t>）</w:t>
      </w:r>
    </w:p>
    <w:p w14:paraId="66180563">
      <w:pPr>
        <w:spacing w:line="360" w:lineRule="auto"/>
        <w:rPr>
          <w:rFonts w:hint="eastAsia" w:ascii="宋体"/>
          <w:b/>
          <w:sz w:val="28"/>
        </w:rPr>
      </w:pPr>
      <w:r>
        <w:rPr>
          <w:rFonts w:hint="eastAsia" w:ascii="宋体" w:hAnsi="宋体"/>
          <w:b/>
          <w:sz w:val="28"/>
        </w:rPr>
        <w:t>一、课程概况</w:t>
      </w:r>
    </w:p>
    <w:p w14:paraId="5F073B5A">
      <w:pPr>
        <w:spacing w:line="360" w:lineRule="auto"/>
        <w:ind w:firstLine="422" w:firstLineChars="200"/>
        <w:rPr>
          <w:rFonts w:hint="eastAsia" w:ascii="宋体" w:hAnsi="宋体"/>
        </w:rPr>
      </w:pPr>
      <w:r>
        <w:rPr>
          <w:rFonts w:hint="eastAsia" w:ascii="宋体" w:hAnsi="宋体"/>
          <w:b/>
        </w:rPr>
        <w:t>课程代码</w:t>
      </w:r>
      <w:r>
        <w:rPr>
          <w:rFonts w:hint="eastAsia" w:ascii="宋体" w:hAnsi="宋体"/>
        </w:rPr>
        <w:t>：</w:t>
      </w:r>
      <w:r>
        <w:rPr>
          <w:rFonts w:ascii="宋体" w:hAnsi="宋体"/>
        </w:rPr>
        <w:t>2401017</w:t>
      </w:r>
    </w:p>
    <w:p w14:paraId="191969E0">
      <w:pPr>
        <w:spacing w:line="360" w:lineRule="auto"/>
        <w:ind w:firstLine="422" w:firstLineChars="200"/>
        <w:rPr>
          <w:rFonts w:hint="eastAsia" w:ascii="宋体" w:hAnsi="宋体"/>
        </w:rPr>
      </w:pPr>
      <w:r>
        <w:rPr>
          <w:rFonts w:hint="eastAsia" w:ascii="宋体" w:hAnsi="宋体"/>
          <w:b/>
        </w:rPr>
        <w:t>学分</w:t>
      </w:r>
      <w:r>
        <w:rPr>
          <w:rFonts w:hint="eastAsia" w:ascii="宋体" w:hAnsi="宋体"/>
        </w:rPr>
        <w:t>：</w:t>
      </w:r>
      <w:r>
        <w:rPr>
          <w:rFonts w:ascii="宋体" w:hAnsi="宋体"/>
        </w:rPr>
        <w:t>2</w:t>
      </w:r>
    </w:p>
    <w:p w14:paraId="1BA42EA2">
      <w:pPr>
        <w:spacing w:line="360" w:lineRule="auto"/>
        <w:ind w:firstLine="422" w:firstLineChars="200"/>
        <w:rPr>
          <w:rFonts w:hint="eastAsia" w:ascii="宋体" w:hAnsi="宋体"/>
        </w:rPr>
      </w:pPr>
      <w:r>
        <w:rPr>
          <w:rFonts w:hint="eastAsia" w:ascii="宋体" w:hAnsi="宋体"/>
          <w:b/>
        </w:rPr>
        <w:t>学时</w:t>
      </w:r>
      <w:r>
        <w:rPr>
          <w:rFonts w:hint="eastAsia" w:ascii="宋体" w:hAnsi="宋体"/>
        </w:rPr>
        <w:t>：</w:t>
      </w:r>
      <w:r>
        <w:rPr>
          <w:rFonts w:ascii="宋体" w:hAnsi="宋体"/>
        </w:rPr>
        <w:t>32</w:t>
      </w:r>
    </w:p>
    <w:p w14:paraId="3A6844D0">
      <w:pPr>
        <w:spacing w:line="360" w:lineRule="auto"/>
        <w:ind w:firstLine="422" w:firstLineChars="200"/>
        <w:rPr>
          <w:rFonts w:hint="eastAsia" w:ascii="宋体"/>
        </w:rPr>
      </w:pPr>
      <w:r>
        <w:rPr>
          <w:rFonts w:hint="eastAsia" w:ascii="宋体" w:hAnsi="宋体"/>
          <w:b/>
        </w:rPr>
        <w:t>先修课程</w:t>
      </w:r>
      <w:r>
        <w:rPr>
          <w:rFonts w:hint="eastAsia" w:ascii="宋体" w:hAnsi="宋体"/>
        </w:rPr>
        <w:t>：中外教育史、教育原理</w:t>
      </w:r>
    </w:p>
    <w:p w14:paraId="209EC22B">
      <w:pPr>
        <w:spacing w:line="360" w:lineRule="auto"/>
        <w:ind w:firstLine="422" w:firstLineChars="200"/>
        <w:rPr>
          <w:rFonts w:hint="eastAsia" w:ascii="宋体"/>
        </w:rPr>
      </w:pPr>
      <w:r>
        <w:rPr>
          <w:rFonts w:hint="eastAsia" w:ascii="宋体" w:hAnsi="宋体"/>
          <w:b/>
        </w:rPr>
        <w:t>适用专业</w:t>
      </w:r>
      <w:r>
        <w:rPr>
          <w:rFonts w:hint="eastAsia" w:ascii="宋体" w:hAnsi="宋体"/>
        </w:rPr>
        <w:t>：小学教育（文）、小学教育（理）</w:t>
      </w:r>
    </w:p>
    <w:p w14:paraId="345A5606">
      <w:pPr>
        <w:spacing w:line="360" w:lineRule="auto"/>
        <w:ind w:firstLine="422" w:firstLineChars="200"/>
        <w:rPr>
          <w:rFonts w:hint="eastAsia" w:ascii="宋体" w:hAnsi="宋体"/>
        </w:rPr>
      </w:pPr>
      <w:r>
        <w:rPr>
          <w:rFonts w:hint="eastAsia" w:ascii="宋体" w:hAnsi="宋体"/>
          <w:b/>
        </w:rPr>
        <w:t>建议教材</w:t>
      </w:r>
      <w:r>
        <w:rPr>
          <w:rFonts w:hint="eastAsia" w:ascii="宋体" w:hAnsi="宋体"/>
        </w:rPr>
        <w:t>：《教育哲学》，石中英，高等教育出版社，</w:t>
      </w:r>
      <w:r>
        <w:rPr>
          <w:rFonts w:ascii="宋体" w:hAnsi="宋体"/>
        </w:rPr>
        <w:t>2019.</w:t>
      </w:r>
    </w:p>
    <w:p w14:paraId="2084D0EB">
      <w:pPr>
        <w:spacing w:line="360" w:lineRule="auto"/>
        <w:ind w:firstLine="422" w:firstLineChars="200"/>
        <w:rPr>
          <w:rFonts w:hint="eastAsia" w:ascii="宋体"/>
        </w:rPr>
      </w:pPr>
      <w:r>
        <w:rPr>
          <w:rFonts w:hint="eastAsia" w:ascii="宋体" w:hAnsi="宋体"/>
          <w:b/>
        </w:rPr>
        <w:t>课程归口</w:t>
      </w:r>
      <w:r>
        <w:rPr>
          <w:rFonts w:hint="eastAsia" w:ascii="宋体" w:hAnsi="宋体"/>
        </w:rPr>
        <w:t>：师范学院</w:t>
      </w:r>
    </w:p>
    <w:p w14:paraId="3A733245">
      <w:pPr>
        <w:spacing w:line="360" w:lineRule="auto"/>
        <w:ind w:firstLine="422" w:firstLineChars="200"/>
        <w:rPr>
          <w:rFonts w:hint="eastAsia" w:ascii="宋体"/>
        </w:rPr>
      </w:pPr>
      <w:r>
        <w:rPr>
          <w:rFonts w:hint="eastAsia" w:ascii="宋体" w:hAnsi="宋体"/>
          <w:b/>
        </w:rPr>
        <w:t>课程的性质与任务</w:t>
      </w:r>
      <w:r>
        <w:rPr>
          <w:rFonts w:hint="eastAsia" w:ascii="宋体" w:hAnsi="宋体"/>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4539FEB8">
      <w:pPr>
        <w:spacing w:line="360" w:lineRule="auto"/>
        <w:rPr>
          <w:rFonts w:hint="eastAsia" w:ascii="宋体"/>
          <w:b/>
          <w:sz w:val="28"/>
        </w:rPr>
      </w:pPr>
      <w:r>
        <w:rPr>
          <w:rFonts w:hint="eastAsia" w:ascii="宋体" w:hAnsi="宋体"/>
          <w:b/>
          <w:sz w:val="28"/>
        </w:rPr>
        <w:t>二、课程目标</w:t>
      </w:r>
    </w:p>
    <w:p w14:paraId="176196E1">
      <w:pPr>
        <w:adjustRightInd w:val="0"/>
        <w:snapToGrid w:val="0"/>
        <w:spacing w:line="360" w:lineRule="auto"/>
        <w:ind w:firstLine="316" w:firstLineChars="150"/>
        <w:rPr>
          <w:rFonts w:hint="eastAsia" w:ascii="宋体"/>
          <w:b/>
        </w:rPr>
      </w:pPr>
      <w:r>
        <w:rPr>
          <w:rFonts w:hint="eastAsia" w:ascii="宋体" w:hAnsi="宋体"/>
          <w:b/>
        </w:rPr>
        <w:t>（一）课程具体目标</w:t>
      </w:r>
    </w:p>
    <w:p w14:paraId="637FB4CE">
      <w:pPr>
        <w:adjustRightInd w:val="0"/>
        <w:snapToGrid w:val="0"/>
        <w:spacing w:line="360" w:lineRule="auto"/>
        <w:ind w:firstLine="420" w:firstLineChars="200"/>
        <w:rPr>
          <w:rFonts w:hint="eastAsia" w:ascii="宋体" w:hAnsi="宋体"/>
        </w:rPr>
      </w:pPr>
      <w:r>
        <w:rPr>
          <w:rFonts w:hint="eastAsia" w:ascii="宋体" w:hAnsi="宋体"/>
        </w:rPr>
        <w:t>目标</w:t>
      </w:r>
      <w:r>
        <w:rPr>
          <w:rFonts w:ascii="宋体" w:hAnsi="宋体"/>
        </w:rPr>
        <w:t>1.</w:t>
      </w:r>
      <w:r>
        <w:rPr>
          <w:rFonts w:hint="eastAsia" w:ascii="宋体" w:hAnsi="宋体"/>
        </w:rPr>
        <w:t>全面系统地了解教育哲学基本知识，深入理解教育哲学特别是建构教育哲学的基本理论观点，初步掌握教育哲学的理论方法。</w:t>
      </w:r>
    </w:p>
    <w:p w14:paraId="2959D422">
      <w:pPr>
        <w:adjustRightInd w:val="0"/>
        <w:snapToGrid w:val="0"/>
        <w:spacing w:line="360" w:lineRule="auto"/>
        <w:ind w:firstLine="420" w:firstLineChars="200"/>
        <w:rPr>
          <w:rFonts w:hint="eastAsia" w:ascii="宋体"/>
        </w:rPr>
      </w:pPr>
      <w:r>
        <w:rPr>
          <w:rFonts w:hint="eastAsia" w:ascii="宋体" w:hAnsi="宋体"/>
        </w:rPr>
        <w:t>目标2</w:t>
      </w:r>
      <w:r>
        <w:rPr>
          <w:rFonts w:ascii="宋体" w:hAnsi="宋体"/>
        </w:rPr>
        <w:t>.</w:t>
      </w:r>
      <w:r>
        <w:rPr>
          <w:rFonts w:hint="eastAsia" w:ascii="宋体" w:hAnsi="宋体"/>
        </w:rPr>
        <w:t>引导师范生思考教育的根本目的与价值、反思教育实践问题，认识学生、认识教师专业，引导师范生树立正确的教育观、教师观和学生观。</w:t>
      </w:r>
    </w:p>
    <w:p w14:paraId="76018A92">
      <w:pPr>
        <w:adjustRightInd w:val="0"/>
        <w:snapToGrid w:val="0"/>
        <w:spacing w:line="360" w:lineRule="auto"/>
        <w:ind w:firstLine="420" w:firstLineChars="200"/>
        <w:rPr>
          <w:rFonts w:hint="eastAsia" w:ascii="宋体"/>
        </w:rPr>
      </w:pPr>
      <w:r>
        <w:rPr>
          <w:rFonts w:hint="eastAsia" w:ascii="宋体" w:hAnsi="宋体"/>
        </w:rPr>
        <w:t>目标</w:t>
      </w:r>
      <w:r>
        <w:rPr>
          <w:rFonts w:ascii="宋体" w:hAnsi="宋体"/>
        </w:rPr>
        <w:t>3.</w:t>
      </w:r>
      <w:r>
        <w:rPr>
          <w:rFonts w:hint="eastAsia" w:ascii="宋体" w:hAnsi="宋体"/>
        </w:rPr>
        <w:t>针对日常教育教学活动和过程的分析与审视，养成师范生反思、乐思、善思的思维品质和思维习惯，提升他们的教育反思意识与能力。</w:t>
      </w:r>
    </w:p>
    <w:p w14:paraId="0C6EBDFE">
      <w:pPr>
        <w:adjustRightInd w:val="0"/>
        <w:snapToGrid w:val="0"/>
        <w:spacing w:line="360" w:lineRule="auto"/>
        <w:ind w:firstLine="420" w:firstLineChars="200"/>
        <w:rPr>
          <w:rFonts w:hint="eastAsia" w:ascii="宋体" w:hAnsi="宋体"/>
        </w:rPr>
      </w:pPr>
      <w:r>
        <w:rPr>
          <w:rFonts w:hint="eastAsia" w:ascii="宋体" w:hAnsi="宋体"/>
        </w:rPr>
        <w:t>目标</w:t>
      </w:r>
      <w:r>
        <w:rPr>
          <w:rFonts w:ascii="宋体" w:hAnsi="宋体"/>
        </w:rPr>
        <w:t>4</w:t>
      </w:r>
      <w:r>
        <w:rPr>
          <w:rFonts w:ascii="宋体"/>
        </w:rPr>
        <w:t>.</w:t>
      </w:r>
      <w:r>
        <w:rPr>
          <w:rFonts w:hint="eastAsia" w:ascii="宋体" w:hAnsi="宋体"/>
        </w:rPr>
        <w:t>形成对教育教学科学合理的理念和价值观，形成和发展优秀的教育人格和卓越的教师品质，逐步成长为研究型、智慧型教师。</w:t>
      </w:r>
    </w:p>
    <w:p w14:paraId="742E3389">
      <w:pPr>
        <w:widowControl/>
        <w:jc w:val="left"/>
        <w:rPr>
          <w:rFonts w:hint="eastAsia" w:ascii="宋体" w:hAnsi="宋体"/>
        </w:rPr>
      </w:pPr>
      <w:r>
        <w:rPr>
          <w:rFonts w:ascii="宋体" w:hAnsi="宋体"/>
        </w:rPr>
        <w:br w:type="page"/>
      </w:r>
    </w:p>
    <w:p w14:paraId="407A61A4">
      <w:pPr>
        <w:adjustRightInd w:val="0"/>
        <w:snapToGrid w:val="0"/>
        <w:spacing w:line="360" w:lineRule="auto"/>
        <w:ind w:firstLine="422" w:firstLineChars="200"/>
        <w:rPr>
          <w:rFonts w:hint="eastAsia" w:ascii="宋体"/>
          <w:b/>
        </w:rPr>
      </w:pPr>
      <w:r>
        <w:rPr>
          <w:rFonts w:hint="eastAsia" w:ascii="宋体" w:hAnsi="宋体"/>
          <w:b/>
        </w:rPr>
        <w:t>（二）课程目标与专业毕业要求的关系</w:t>
      </w:r>
    </w:p>
    <w:tbl>
      <w:tblPr>
        <w:tblStyle w:val="30"/>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293"/>
        <w:gridCol w:w="5325"/>
      </w:tblGrid>
      <w:tr w14:paraId="3BB0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28" w:type="dxa"/>
            <w:vAlign w:val="center"/>
          </w:tcPr>
          <w:p w14:paraId="6A114826">
            <w:pPr>
              <w:pStyle w:val="58"/>
              <w:adjustRightInd w:val="0"/>
              <w:snapToGrid w:val="0"/>
              <w:spacing w:line="276" w:lineRule="auto"/>
              <w:ind w:firstLine="0" w:firstLineChars="0"/>
              <w:jc w:val="center"/>
              <w:rPr>
                <w:rFonts w:ascii="宋体"/>
                <w:b/>
                <w:bCs/>
                <w:color w:val="000000"/>
                <w:szCs w:val="21"/>
              </w:rPr>
            </w:pPr>
            <w:r>
              <w:rPr>
                <w:rFonts w:hint="eastAsia" w:ascii="宋体" w:hAnsi="宋体"/>
                <w:b/>
                <w:bCs/>
                <w:color w:val="000000"/>
                <w:szCs w:val="21"/>
              </w:rPr>
              <w:t>课程目标</w:t>
            </w:r>
          </w:p>
        </w:tc>
        <w:tc>
          <w:tcPr>
            <w:tcW w:w="2293" w:type="dxa"/>
            <w:vAlign w:val="center"/>
          </w:tcPr>
          <w:p w14:paraId="588643EB">
            <w:pPr>
              <w:pStyle w:val="58"/>
              <w:adjustRightInd w:val="0"/>
              <w:snapToGrid w:val="0"/>
              <w:spacing w:line="276" w:lineRule="auto"/>
              <w:ind w:firstLine="0" w:firstLineChars="0"/>
              <w:jc w:val="center"/>
              <w:rPr>
                <w:rFonts w:ascii="宋体"/>
                <w:b/>
                <w:bCs/>
                <w:color w:val="000000"/>
                <w:szCs w:val="21"/>
              </w:rPr>
            </w:pPr>
            <w:r>
              <w:rPr>
                <w:rFonts w:hint="eastAsia" w:ascii="宋体" w:hAnsi="宋体"/>
                <w:b/>
                <w:bCs/>
                <w:color w:val="000000"/>
                <w:szCs w:val="21"/>
              </w:rPr>
              <w:t>支撑的毕业要求</w:t>
            </w:r>
          </w:p>
        </w:tc>
        <w:tc>
          <w:tcPr>
            <w:tcW w:w="5325" w:type="dxa"/>
            <w:vAlign w:val="center"/>
          </w:tcPr>
          <w:p w14:paraId="56006379">
            <w:pPr>
              <w:pStyle w:val="58"/>
              <w:adjustRightInd w:val="0"/>
              <w:snapToGrid w:val="0"/>
              <w:spacing w:line="276" w:lineRule="auto"/>
              <w:ind w:firstLine="422"/>
              <w:jc w:val="center"/>
              <w:rPr>
                <w:rFonts w:ascii="宋体"/>
                <w:b/>
                <w:bCs/>
                <w:color w:val="000000"/>
                <w:szCs w:val="21"/>
              </w:rPr>
            </w:pPr>
            <w:r>
              <w:rPr>
                <w:rFonts w:hint="eastAsia" w:ascii="宋体" w:hAnsi="宋体"/>
                <w:b/>
                <w:bCs/>
                <w:color w:val="000000"/>
                <w:szCs w:val="21"/>
              </w:rPr>
              <w:t>支撑的毕业要求指标点</w:t>
            </w:r>
          </w:p>
        </w:tc>
      </w:tr>
      <w:tr w14:paraId="4499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28" w:type="dxa"/>
            <w:vAlign w:val="center"/>
          </w:tcPr>
          <w:p w14:paraId="50910CE7">
            <w:pPr>
              <w:pStyle w:val="58"/>
              <w:adjustRightInd w:val="0"/>
              <w:snapToGrid w:val="0"/>
              <w:spacing w:line="276" w:lineRule="auto"/>
              <w:ind w:firstLine="0" w:firstLineChars="0"/>
              <w:jc w:val="center"/>
              <w:rPr>
                <w:rFonts w:ascii="宋体" w:cs="宋体"/>
                <w:bCs/>
                <w:color w:val="000000"/>
                <w:szCs w:val="21"/>
              </w:rPr>
            </w:pPr>
            <w:r>
              <w:rPr>
                <w:rFonts w:hint="eastAsia" w:ascii="宋体" w:hAnsi="宋体" w:cs="宋体"/>
                <w:bCs/>
                <w:color w:val="000000"/>
                <w:szCs w:val="21"/>
              </w:rPr>
              <w:t>课程目标</w:t>
            </w:r>
            <w:r>
              <w:rPr>
                <w:rFonts w:ascii="宋体" w:hAnsi="宋体" w:cs="宋体"/>
                <w:bCs/>
                <w:color w:val="000000"/>
                <w:szCs w:val="21"/>
              </w:rPr>
              <w:t>1</w:t>
            </w:r>
          </w:p>
        </w:tc>
        <w:tc>
          <w:tcPr>
            <w:tcW w:w="2293" w:type="dxa"/>
            <w:vAlign w:val="center"/>
          </w:tcPr>
          <w:p w14:paraId="0895058F">
            <w:pPr>
              <w:pStyle w:val="58"/>
              <w:adjustRightInd w:val="0"/>
              <w:snapToGrid w:val="0"/>
              <w:spacing w:line="276" w:lineRule="auto"/>
              <w:ind w:firstLine="0" w:firstLineChars="0"/>
              <w:rPr>
                <w:rFonts w:hint="eastAsia"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67E66243">
            <w:pPr>
              <w:pStyle w:val="58"/>
              <w:adjustRightInd w:val="0"/>
              <w:snapToGrid w:val="0"/>
              <w:spacing w:line="276" w:lineRule="auto"/>
              <w:ind w:firstLine="0" w:firstLineChars="0"/>
              <w:rPr>
                <w:rFonts w:ascii="宋体"/>
                <w:color w:val="000000"/>
                <w:kern w:val="0"/>
                <w:szCs w:val="21"/>
              </w:rPr>
            </w:pPr>
            <w:r>
              <w:rPr>
                <w:rFonts w:hint="eastAsia" w:ascii="宋体" w:hAnsi="宋体"/>
                <w:color w:val="000000"/>
                <w:kern w:val="0"/>
                <w:szCs w:val="21"/>
              </w:rPr>
              <w:t>毕业要求7</w:t>
            </w:r>
            <w:r>
              <w:rPr>
                <w:rFonts w:ascii="宋体" w:hAnsi="宋体"/>
                <w:color w:val="000000"/>
                <w:kern w:val="0"/>
                <w:szCs w:val="21"/>
              </w:rPr>
              <w:t>.</w:t>
            </w:r>
            <w:r>
              <w:rPr>
                <w:rFonts w:hint="eastAsia" w:ascii="宋体" w:hAnsi="宋体"/>
                <w:color w:val="000000"/>
                <w:kern w:val="0"/>
                <w:szCs w:val="21"/>
              </w:rPr>
              <w:t>学会反思</w:t>
            </w:r>
          </w:p>
        </w:tc>
        <w:tc>
          <w:tcPr>
            <w:tcW w:w="5325" w:type="dxa"/>
            <w:vAlign w:val="center"/>
          </w:tcPr>
          <w:p w14:paraId="5278FDB4">
            <w:pPr>
              <w:pStyle w:val="58"/>
              <w:adjustRightInd w:val="0"/>
              <w:snapToGrid w:val="0"/>
              <w:spacing w:line="276" w:lineRule="auto"/>
              <w:ind w:firstLine="0" w:firstLineChars="0"/>
              <w:jc w:val="left"/>
              <w:rPr>
                <w:rFonts w:hint="eastAsia" w:ascii="宋体" w:hAnsi="宋体"/>
                <w:color w:val="000000"/>
                <w:szCs w:val="21"/>
              </w:rPr>
            </w:pPr>
            <w:r>
              <w:rPr>
                <w:rFonts w:ascii="宋体" w:hAnsi="宋体"/>
                <w:color w:val="000000"/>
                <w:szCs w:val="21"/>
              </w:rPr>
              <w:t>3-1：【教育基础扎实】具有一定的人文与科学素养，掌握教育理论基本知识，能够结合小学生认知发展特点，运用教育原理和方法，分析和解决教育教学实践中的问题。</w:t>
            </w:r>
          </w:p>
          <w:p w14:paraId="7A0A749B">
            <w:pPr>
              <w:pStyle w:val="58"/>
              <w:adjustRightInd w:val="0"/>
              <w:snapToGrid w:val="0"/>
              <w:spacing w:line="276" w:lineRule="auto"/>
              <w:ind w:firstLine="0" w:firstLineChars="0"/>
              <w:jc w:val="left"/>
              <w:rPr>
                <w:rFonts w:ascii="宋体"/>
                <w:color w:val="000000"/>
                <w:szCs w:val="21"/>
              </w:rPr>
            </w:pPr>
            <w:r>
              <w:rPr>
                <w:rFonts w:ascii="宋体"/>
                <w:color w:val="000000"/>
                <w:szCs w:val="21"/>
              </w:rPr>
              <w:t>7-1：【教育视野开阔】积极参加基础教育领域的国内外交流，了解国内外基础教育改革发展的动态，具有宽广的教育视野，能够主动适应新时代和教育发展需求。</w:t>
            </w:r>
          </w:p>
        </w:tc>
      </w:tr>
      <w:tr w14:paraId="4E5B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28" w:type="dxa"/>
            <w:vAlign w:val="center"/>
          </w:tcPr>
          <w:p w14:paraId="4E04C40D">
            <w:pPr>
              <w:pStyle w:val="58"/>
              <w:adjustRightInd w:val="0"/>
              <w:snapToGrid w:val="0"/>
              <w:spacing w:line="276" w:lineRule="auto"/>
              <w:ind w:firstLine="0" w:firstLineChars="0"/>
              <w:jc w:val="center"/>
              <w:rPr>
                <w:rFonts w:ascii="宋体" w:cs="宋体"/>
                <w:color w:val="000000"/>
                <w:szCs w:val="21"/>
              </w:rPr>
            </w:pPr>
            <w:r>
              <w:rPr>
                <w:rFonts w:hint="eastAsia" w:ascii="宋体" w:hAnsi="宋体" w:cs="宋体"/>
                <w:color w:val="000000"/>
                <w:szCs w:val="21"/>
              </w:rPr>
              <w:t>课程目标</w:t>
            </w:r>
            <w:r>
              <w:rPr>
                <w:rFonts w:ascii="宋体" w:hAnsi="宋体" w:cs="宋体"/>
                <w:color w:val="000000"/>
                <w:szCs w:val="21"/>
              </w:rPr>
              <w:t>2</w:t>
            </w:r>
          </w:p>
        </w:tc>
        <w:tc>
          <w:tcPr>
            <w:tcW w:w="2293" w:type="dxa"/>
            <w:vAlign w:val="center"/>
          </w:tcPr>
          <w:p w14:paraId="3925EF38">
            <w:pPr>
              <w:pStyle w:val="58"/>
              <w:adjustRightInd w:val="0"/>
              <w:snapToGrid w:val="0"/>
              <w:spacing w:line="276" w:lineRule="auto"/>
              <w:ind w:firstLine="0" w:firstLineChars="0"/>
              <w:rPr>
                <w:rFonts w:hint="eastAsia" w:ascii="宋体" w:hAnsi="宋体"/>
                <w:color w:val="000000"/>
                <w:kern w:val="0"/>
                <w:szCs w:val="21"/>
              </w:rPr>
            </w:pPr>
          </w:p>
          <w:p w14:paraId="0CE812C9">
            <w:pPr>
              <w:pStyle w:val="58"/>
              <w:adjustRightInd w:val="0"/>
              <w:snapToGrid w:val="0"/>
              <w:spacing w:line="276" w:lineRule="auto"/>
              <w:ind w:firstLine="0" w:firstLineChars="0"/>
              <w:rPr>
                <w:rFonts w:ascii="宋体"/>
                <w:color w:val="000000"/>
                <w:kern w:val="0"/>
                <w:szCs w:val="21"/>
              </w:rPr>
            </w:pPr>
            <w:r>
              <w:rPr>
                <w:rFonts w:hint="eastAsia" w:ascii="宋体" w:hAnsi="宋体"/>
                <w:color w:val="000000"/>
                <w:kern w:val="0"/>
                <w:szCs w:val="21"/>
              </w:rPr>
              <w:t>毕业要求</w:t>
            </w:r>
            <w:r>
              <w:rPr>
                <w:rFonts w:ascii="宋体" w:hAnsi="宋体"/>
                <w:color w:val="000000"/>
                <w:kern w:val="0"/>
                <w:szCs w:val="21"/>
              </w:rPr>
              <w:t>2</w:t>
            </w:r>
            <w:r>
              <w:rPr>
                <w:rFonts w:ascii="宋体"/>
                <w:color w:val="000000"/>
                <w:kern w:val="0"/>
                <w:szCs w:val="21"/>
              </w:rPr>
              <w:t>.</w:t>
            </w:r>
            <w:r>
              <w:rPr>
                <w:rFonts w:hint="eastAsia" w:ascii="宋体" w:hAnsi="宋体"/>
                <w:color w:val="000000"/>
                <w:kern w:val="0"/>
                <w:szCs w:val="21"/>
              </w:rPr>
              <w:t>教育情怀</w:t>
            </w:r>
          </w:p>
          <w:p w14:paraId="71CE1911">
            <w:pPr>
              <w:pStyle w:val="58"/>
              <w:adjustRightInd w:val="0"/>
              <w:snapToGrid w:val="0"/>
              <w:spacing w:line="276" w:lineRule="auto"/>
              <w:ind w:firstLine="0" w:firstLineChars="0"/>
              <w:rPr>
                <w:rFonts w:ascii="宋体"/>
                <w:color w:val="000000"/>
                <w:kern w:val="0"/>
                <w:sz w:val="18"/>
                <w:szCs w:val="18"/>
              </w:rPr>
            </w:pPr>
          </w:p>
        </w:tc>
        <w:tc>
          <w:tcPr>
            <w:tcW w:w="5325" w:type="dxa"/>
            <w:vAlign w:val="center"/>
          </w:tcPr>
          <w:p w14:paraId="75D29444">
            <w:pPr>
              <w:pStyle w:val="58"/>
              <w:adjustRightInd w:val="0"/>
              <w:snapToGrid w:val="0"/>
              <w:spacing w:line="276" w:lineRule="auto"/>
              <w:ind w:firstLine="0" w:firstLineChars="0"/>
              <w:jc w:val="left"/>
              <w:rPr>
                <w:rFonts w:hint="eastAsia" w:ascii="宋体" w:hAnsi="宋体"/>
                <w:color w:val="000000"/>
                <w:szCs w:val="21"/>
              </w:rPr>
            </w:pPr>
            <w:r>
              <w:rPr>
                <w:rFonts w:ascii="宋体" w:hAnsi="宋体"/>
                <w:color w:val="000000"/>
                <w:szCs w:val="21"/>
              </w:rPr>
              <w:t>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12E1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428" w:type="dxa"/>
            <w:vAlign w:val="center"/>
          </w:tcPr>
          <w:p w14:paraId="1B64CCCB">
            <w:pPr>
              <w:pStyle w:val="58"/>
              <w:adjustRightInd w:val="0"/>
              <w:snapToGrid w:val="0"/>
              <w:spacing w:line="276" w:lineRule="auto"/>
              <w:ind w:firstLine="0" w:firstLineChars="0"/>
              <w:jc w:val="center"/>
              <w:rPr>
                <w:rFonts w:ascii="宋体" w:cs="宋体"/>
                <w:color w:val="000000"/>
                <w:szCs w:val="21"/>
              </w:rPr>
            </w:pPr>
            <w:r>
              <w:rPr>
                <w:rFonts w:hint="eastAsia" w:ascii="宋体" w:hAnsi="宋体" w:cs="宋体"/>
                <w:color w:val="000000"/>
                <w:szCs w:val="21"/>
              </w:rPr>
              <w:t>课程目标</w:t>
            </w:r>
            <w:r>
              <w:rPr>
                <w:rFonts w:ascii="宋体" w:hAnsi="宋体" w:cs="宋体"/>
                <w:color w:val="000000"/>
                <w:szCs w:val="21"/>
              </w:rPr>
              <w:t>3</w:t>
            </w:r>
          </w:p>
        </w:tc>
        <w:tc>
          <w:tcPr>
            <w:tcW w:w="2293" w:type="dxa"/>
            <w:vAlign w:val="center"/>
          </w:tcPr>
          <w:p w14:paraId="7259B660">
            <w:pPr>
              <w:pStyle w:val="58"/>
              <w:adjustRightInd w:val="0"/>
              <w:snapToGrid w:val="0"/>
              <w:spacing w:line="276" w:lineRule="auto"/>
              <w:ind w:firstLine="0" w:firstLineChars="0"/>
              <w:rPr>
                <w:rFonts w:ascii="宋体"/>
                <w:color w:val="000000"/>
                <w:spacing w:val="2"/>
                <w:kern w:val="0"/>
                <w:szCs w:val="21"/>
              </w:rPr>
            </w:pPr>
            <w:r>
              <w:rPr>
                <w:rFonts w:hint="eastAsia" w:ascii="宋体" w:hAnsi="宋体"/>
                <w:color w:val="000000"/>
                <w:spacing w:val="2"/>
                <w:kern w:val="0"/>
                <w:szCs w:val="21"/>
              </w:rPr>
              <w:t>毕业要求</w:t>
            </w:r>
            <w:r>
              <w:rPr>
                <w:rFonts w:ascii="宋体" w:hAnsi="宋体"/>
                <w:color w:val="000000"/>
                <w:spacing w:val="2"/>
                <w:kern w:val="0"/>
                <w:szCs w:val="21"/>
              </w:rPr>
              <w:t>7</w:t>
            </w:r>
            <w:r>
              <w:rPr>
                <w:rFonts w:ascii="宋体"/>
                <w:color w:val="000000"/>
                <w:spacing w:val="2"/>
                <w:kern w:val="0"/>
                <w:szCs w:val="21"/>
              </w:rPr>
              <w:t>.</w:t>
            </w:r>
            <w:r>
              <w:rPr>
                <w:rFonts w:hint="eastAsia" w:ascii="宋体" w:hAnsi="宋体"/>
                <w:color w:val="000000"/>
                <w:spacing w:val="2"/>
                <w:kern w:val="0"/>
                <w:szCs w:val="21"/>
              </w:rPr>
              <w:t>学会反思</w:t>
            </w:r>
          </w:p>
        </w:tc>
        <w:tc>
          <w:tcPr>
            <w:tcW w:w="5325" w:type="dxa"/>
            <w:vAlign w:val="center"/>
          </w:tcPr>
          <w:p w14:paraId="316709CA">
            <w:pPr>
              <w:pStyle w:val="58"/>
              <w:adjustRightInd w:val="0"/>
              <w:snapToGrid w:val="0"/>
              <w:spacing w:line="276" w:lineRule="auto"/>
              <w:ind w:firstLine="0" w:firstLineChars="0"/>
              <w:jc w:val="left"/>
              <w:rPr>
                <w:rFonts w:ascii="宋体" w:cs="宋体"/>
                <w:color w:val="000000"/>
                <w:szCs w:val="21"/>
              </w:rPr>
            </w:pPr>
            <w:r>
              <w:rPr>
                <w:rFonts w:ascii="宋体" w:hAnsi="宋体"/>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6E93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428" w:type="dxa"/>
            <w:vAlign w:val="center"/>
          </w:tcPr>
          <w:p w14:paraId="6CFFEF4D">
            <w:pPr>
              <w:pStyle w:val="58"/>
              <w:adjustRightInd w:val="0"/>
              <w:snapToGrid w:val="0"/>
              <w:spacing w:line="276" w:lineRule="auto"/>
              <w:ind w:firstLine="0" w:firstLineChars="0"/>
              <w:jc w:val="center"/>
              <w:rPr>
                <w:rFonts w:ascii="宋体" w:cs="宋体"/>
                <w:color w:val="000000"/>
                <w:szCs w:val="21"/>
              </w:rPr>
            </w:pPr>
            <w:r>
              <w:rPr>
                <w:rFonts w:hint="eastAsia" w:ascii="宋体" w:hAnsi="宋体" w:cs="宋体"/>
                <w:color w:val="000000"/>
                <w:szCs w:val="21"/>
              </w:rPr>
              <w:t>课程目标</w:t>
            </w:r>
            <w:r>
              <w:rPr>
                <w:rFonts w:ascii="宋体" w:hAnsi="宋体" w:cs="宋体"/>
                <w:color w:val="000000"/>
                <w:szCs w:val="21"/>
              </w:rPr>
              <w:t xml:space="preserve"> 4</w:t>
            </w:r>
          </w:p>
        </w:tc>
        <w:tc>
          <w:tcPr>
            <w:tcW w:w="2293" w:type="dxa"/>
            <w:vAlign w:val="center"/>
          </w:tcPr>
          <w:p w14:paraId="61033A1F">
            <w:pPr>
              <w:pStyle w:val="58"/>
              <w:adjustRightInd w:val="0"/>
              <w:snapToGrid w:val="0"/>
              <w:spacing w:line="276" w:lineRule="auto"/>
              <w:ind w:firstLine="0" w:firstLineChars="0"/>
              <w:rPr>
                <w:rFonts w:hint="eastAsia" w:ascii="宋体" w:hAnsi="宋体"/>
                <w:color w:val="000000"/>
                <w:spacing w:val="2"/>
                <w:kern w:val="0"/>
                <w:szCs w:val="21"/>
              </w:rPr>
            </w:pPr>
            <w:r>
              <w:rPr>
                <w:rFonts w:hint="eastAsia" w:ascii="宋体" w:hAnsi="宋体"/>
                <w:color w:val="000000"/>
                <w:kern w:val="0"/>
                <w:szCs w:val="21"/>
              </w:rPr>
              <w:t>毕业要求</w:t>
            </w:r>
            <w:r>
              <w:rPr>
                <w:rFonts w:ascii="宋体" w:hAnsi="宋体"/>
                <w:color w:val="000000"/>
                <w:spacing w:val="2"/>
                <w:kern w:val="0"/>
                <w:szCs w:val="21"/>
              </w:rPr>
              <w:t>1</w:t>
            </w:r>
            <w:r>
              <w:rPr>
                <w:rFonts w:ascii="宋体"/>
                <w:color w:val="000000"/>
                <w:spacing w:val="2"/>
                <w:kern w:val="0"/>
                <w:szCs w:val="21"/>
              </w:rPr>
              <w:t>.</w:t>
            </w:r>
            <w:r>
              <w:rPr>
                <w:rFonts w:hint="eastAsia" w:ascii="宋体" w:hAnsi="宋体"/>
                <w:color w:val="000000"/>
                <w:spacing w:val="2"/>
                <w:kern w:val="0"/>
                <w:szCs w:val="21"/>
              </w:rPr>
              <w:t>师德规范</w:t>
            </w:r>
          </w:p>
          <w:p w14:paraId="1E2B0F1A">
            <w:pPr>
              <w:pStyle w:val="58"/>
              <w:adjustRightInd w:val="0"/>
              <w:snapToGrid w:val="0"/>
              <w:spacing w:line="276" w:lineRule="auto"/>
              <w:ind w:firstLine="0" w:firstLineChars="0"/>
              <w:rPr>
                <w:rFonts w:ascii="宋体"/>
                <w:color w:val="000000"/>
                <w:spacing w:val="2"/>
                <w:kern w:val="0"/>
                <w:szCs w:val="21"/>
              </w:rPr>
            </w:pPr>
            <w:r>
              <w:rPr>
                <w:rFonts w:hint="eastAsia" w:ascii="宋体" w:hAnsi="宋体"/>
                <w:color w:val="000000"/>
                <w:spacing w:val="2"/>
                <w:kern w:val="0"/>
                <w:szCs w:val="21"/>
              </w:rPr>
              <w:t>毕业要求2</w:t>
            </w:r>
            <w:r>
              <w:rPr>
                <w:rFonts w:ascii="宋体" w:hAnsi="宋体"/>
                <w:color w:val="000000"/>
                <w:spacing w:val="2"/>
                <w:kern w:val="0"/>
                <w:szCs w:val="21"/>
              </w:rPr>
              <w:t>.</w:t>
            </w:r>
            <w:r>
              <w:rPr>
                <w:rFonts w:hint="eastAsia" w:ascii="宋体" w:hAnsi="宋体"/>
                <w:color w:val="000000"/>
                <w:spacing w:val="2"/>
                <w:kern w:val="0"/>
                <w:szCs w:val="21"/>
              </w:rPr>
              <w:t>教育情怀</w:t>
            </w:r>
          </w:p>
        </w:tc>
        <w:tc>
          <w:tcPr>
            <w:tcW w:w="5325" w:type="dxa"/>
            <w:vAlign w:val="center"/>
          </w:tcPr>
          <w:p w14:paraId="729C77A8">
            <w:pPr>
              <w:pStyle w:val="58"/>
              <w:shd w:val="clear" w:color="auto" w:fill="FFFFFF"/>
              <w:adjustRightInd w:val="0"/>
              <w:snapToGrid w:val="0"/>
              <w:spacing w:line="276" w:lineRule="auto"/>
              <w:ind w:firstLine="0" w:firstLineChars="0"/>
              <w:jc w:val="left"/>
              <w:rPr>
                <w:rFonts w:ascii="宋体"/>
                <w:color w:val="000000"/>
                <w:spacing w:val="2"/>
                <w:kern w:val="0"/>
                <w:szCs w:val="21"/>
              </w:rPr>
            </w:pPr>
            <w:r>
              <w:rPr>
                <w:rFonts w:ascii="宋体"/>
                <w:color w:val="000000"/>
                <w:spacing w:val="2"/>
                <w:kern w:val="0"/>
                <w:szCs w:val="21"/>
              </w:rPr>
              <w:t>1-1</w:t>
            </w:r>
            <w:r>
              <w:rPr>
                <w:rFonts w:hint="eastAsia" w:ascii="宋体"/>
                <w:color w:val="000000"/>
                <w:spacing w:val="2"/>
                <w:kern w:val="0"/>
                <w:szCs w:val="21"/>
              </w:rPr>
              <w:t>：</w:t>
            </w:r>
            <w:r>
              <w:rPr>
                <w:rFonts w:ascii="宋体"/>
                <w:color w:val="000000"/>
                <w:spacing w:val="2"/>
                <w:kern w:val="0"/>
                <w:szCs w:val="21"/>
              </w:rPr>
              <w:t>【理想信念坚定】认同中国特色社会主义，贯彻党的教育方针，自觉践行社会主义核心价值观，树立职业理想，立志成为有理想信念、有道德情操、有扎实学识、有仁爱之心的好教师。</w:t>
            </w:r>
          </w:p>
          <w:p w14:paraId="6A62B6F0">
            <w:pPr>
              <w:pStyle w:val="58"/>
              <w:shd w:val="clear" w:color="auto" w:fill="FFFFFF"/>
              <w:adjustRightInd w:val="0"/>
              <w:snapToGrid w:val="0"/>
              <w:spacing w:line="276" w:lineRule="auto"/>
              <w:ind w:firstLine="0" w:firstLineChars="0"/>
              <w:jc w:val="left"/>
              <w:rPr>
                <w:rFonts w:ascii="宋体"/>
                <w:color w:val="000000"/>
                <w:spacing w:val="2"/>
                <w:kern w:val="0"/>
                <w:szCs w:val="21"/>
              </w:rPr>
            </w:pPr>
            <w:r>
              <w:rPr>
                <w:rFonts w:ascii="宋体"/>
                <w:color w:val="000000"/>
                <w:spacing w:val="2"/>
                <w:kern w:val="0"/>
                <w:szCs w:val="21"/>
              </w:rPr>
              <w:t>2-3：【自身修养良好】具有较好的人文底蕴与科学精神，人格健全，心理健康，情感丰富，为人师表。</w:t>
            </w:r>
          </w:p>
        </w:tc>
      </w:tr>
    </w:tbl>
    <w:p w14:paraId="132BF5A8">
      <w:pPr>
        <w:spacing w:line="360" w:lineRule="auto"/>
        <w:rPr>
          <w:rFonts w:hint="eastAsia" w:ascii="宋体"/>
        </w:rPr>
      </w:pPr>
    </w:p>
    <w:p w14:paraId="4A049ADB">
      <w:pPr>
        <w:spacing w:line="348" w:lineRule="auto"/>
        <w:rPr>
          <w:rFonts w:hint="eastAsia" w:ascii="宋体"/>
          <w:b/>
          <w:sz w:val="28"/>
        </w:rPr>
      </w:pPr>
      <w:r>
        <w:rPr>
          <w:rFonts w:hint="eastAsia" w:ascii="宋体" w:hAnsi="宋体"/>
          <w:b/>
          <w:sz w:val="28"/>
        </w:rPr>
        <w:t>三、课程内容及要求</w:t>
      </w:r>
    </w:p>
    <w:p w14:paraId="7BBC0083">
      <w:pPr>
        <w:adjustRightInd w:val="0"/>
        <w:snapToGrid w:val="0"/>
        <w:spacing w:line="348" w:lineRule="auto"/>
        <w:ind w:firstLine="422" w:firstLineChars="200"/>
        <w:rPr>
          <w:rFonts w:hint="eastAsia" w:ascii="宋体"/>
          <w:b/>
          <w:color w:val="000000"/>
          <w:szCs w:val="22"/>
        </w:rPr>
      </w:pPr>
      <w:r>
        <w:rPr>
          <w:rFonts w:hint="eastAsia" w:ascii="宋体" w:hAnsi="宋体"/>
          <w:b/>
        </w:rPr>
        <w:t>（一）绪论</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w:t>
      </w:r>
    </w:p>
    <w:p w14:paraId="46AA8F99">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18A9A597">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）教育哲学的研究对象与性质</w:t>
      </w:r>
    </w:p>
    <w:p w14:paraId="7C244E8F">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）教育哲学的价值</w:t>
      </w:r>
    </w:p>
    <w:p w14:paraId="04E47504">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）教育哲学的研究与教学方法</w:t>
      </w:r>
    </w:p>
    <w:p w14:paraId="49BE5B73">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6D18ECA7">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了解教育哲学课程的性质、目标与学习要求；</w:t>
      </w:r>
    </w:p>
    <w:p w14:paraId="6F6974F0">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辨识教育哲学的研究对象，理解教育哲学的四种基本性质；</w:t>
      </w:r>
    </w:p>
    <w:p w14:paraId="5723E5FA">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理解教育哲学的教育实践价值、政策价值和研究价值；</w:t>
      </w:r>
    </w:p>
    <w:p w14:paraId="48F42B5B">
      <w:pPr>
        <w:adjustRightInd w:val="0"/>
        <w:snapToGrid w:val="0"/>
        <w:spacing w:line="348" w:lineRule="auto"/>
        <w:ind w:firstLine="420" w:firstLineChars="200"/>
        <w:rPr>
          <w:rFonts w:hint="eastAsia" w:ascii="宋体" w:hAnsi="宋体"/>
        </w:rPr>
      </w:pPr>
      <w:r>
        <w:rPr>
          <w:rFonts w:hint="eastAsia" w:ascii="宋体" w:hAnsi="宋体"/>
        </w:rPr>
        <w:t>（4）</w:t>
      </w:r>
      <w:r>
        <w:rPr>
          <w:rFonts w:ascii="宋体" w:hAnsi="宋体"/>
        </w:rPr>
        <w:t>理解中国教育哲学的研究和教学为什么要以马克思主义为指导以及如何以马克思主义为指导</w:t>
      </w:r>
    </w:p>
    <w:p w14:paraId="41EEB094">
      <w:pPr>
        <w:adjustRightInd w:val="0"/>
        <w:snapToGrid w:val="0"/>
        <w:spacing w:line="348" w:lineRule="auto"/>
        <w:ind w:firstLine="420" w:firstLineChars="200"/>
        <w:rPr>
          <w:rFonts w:hint="eastAsia" w:ascii="宋体"/>
        </w:rPr>
      </w:pPr>
      <w:r>
        <w:rPr>
          <w:rFonts w:hint="eastAsia" w:ascii="宋体" w:hAnsi="宋体"/>
        </w:rPr>
        <w:t>（5）</w:t>
      </w:r>
      <w:r>
        <w:rPr>
          <w:rFonts w:ascii="宋体" w:hAnsi="宋体"/>
        </w:rPr>
        <w:t>培养初步的对于教育哲学学科的积极态度和价值认同</w:t>
      </w:r>
      <w:r>
        <w:rPr>
          <w:rFonts w:hint="eastAsia" w:ascii="宋体" w:hAnsi="宋体"/>
          <w:b/>
        </w:rPr>
        <w:t>教学重点</w:t>
      </w:r>
      <w:r>
        <w:rPr>
          <w:rFonts w:hint="eastAsia" w:ascii="宋体" w:hAnsi="宋体"/>
        </w:rPr>
        <w:t>：认识教育哲学的学科属性</w:t>
      </w:r>
    </w:p>
    <w:p w14:paraId="451827AB">
      <w:pPr>
        <w:adjustRightInd w:val="0"/>
        <w:snapToGrid w:val="0"/>
        <w:spacing w:line="348" w:lineRule="auto"/>
        <w:ind w:firstLine="422" w:firstLineChars="200"/>
        <w:rPr>
          <w:rFonts w:hint="eastAsia" w:ascii="宋体" w:hAnsi="宋体"/>
          <w:bCs/>
        </w:rPr>
      </w:pPr>
      <w:r>
        <w:rPr>
          <w:rFonts w:hint="eastAsia" w:ascii="宋体" w:hAnsi="宋体"/>
          <w:b/>
        </w:rPr>
        <w:t>教学重点：</w:t>
      </w:r>
      <w:r>
        <w:rPr>
          <w:rFonts w:hint="eastAsia" w:ascii="宋体" w:hAnsi="宋体"/>
          <w:bCs/>
        </w:rPr>
        <w:t>教育哲学的价值与教育哲学的研究</w:t>
      </w:r>
    </w:p>
    <w:p w14:paraId="28D54938">
      <w:pPr>
        <w:adjustRightInd w:val="0"/>
        <w:snapToGrid w:val="0"/>
        <w:spacing w:line="348" w:lineRule="auto"/>
        <w:ind w:firstLine="422" w:firstLineChars="200"/>
        <w:rPr>
          <w:rFonts w:hint="eastAsia" w:ascii="宋体" w:hAnsi="宋体"/>
        </w:rPr>
      </w:pPr>
      <w:r>
        <w:rPr>
          <w:rFonts w:hint="eastAsia" w:ascii="宋体" w:hAnsi="宋体"/>
          <w:b/>
        </w:rPr>
        <w:t>教学难点</w:t>
      </w:r>
      <w:r>
        <w:rPr>
          <w:rFonts w:hint="eastAsia" w:ascii="宋体" w:hAnsi="宋体"/>
        </w:rPr>
        <w:t>：教育哲学的四种基本性质</w:t>
      </w:r>
    </w:p>
    <w:p w14:paraId="54C37353">
      <w:pPr>
        <w:numPr>
          <w:ilvl w:val="0"/>
          <w:numId w:val="5"/>
        </w:numPr>
        <w:adjustRightInd w:val="0"/>
        <w:snapToGrid w:val="0"/>
        <w:spacing w:line="348" w:lineRule="auto"/>
        <w:ind w:firstLine="422" w:firstLineChars="200"/>
        <w:rPr>
          <w:rFonts w:hint="eastAsia" w:ascii="宋体" w:hAnsi="宋体"/>
          <w:b/>
          <w:bCs/>
        </w:rPr>
      </w:pPr>
      <w:r>
        <w:rPr>
          <w:rFonts w:hint="eastAsia" w:ascii="宋体" w:hAnsi="宋体"/>
          <w:b/>
          <w:bCs/>
        </w:rPr>
        <w:t>课程思政育人目标</w:t>
      </w:r>
    </w:p>
    <w:p w14:paraId="56EC4434">
      <w:pPr>
        <w:adjustRightInd w:val="0"/>
        <w:snapToGrid w:val="0"/>
        <w:spacing w:line="348" w:lineRule="auto"/>
        <w:ind w:firstLine="420" w:firstLineChars="200"/>
        <w:rPr>
          <w:rFonts w:hint="eastAsia" w:ascii="宋体" w:hAnsi="宋体"/>
        </w:rPr>
      </w:pPr>
      <w:r>
        <w:rPr>
          <w:rFonts w:hint="eastAsia" w:ascii="宋体" w:hAnsi="宋体"/>
        </w:rPr>
        <w:t>把马克思主义哲学中的辩证唯物主义和历史唯物主义基本观点融入教育哲学概念和基本理论中，弥补学生哲学素养的不足，并对“哲学是时代精神的精华”做出新时代背景下的阐释。</w:t>
      </w:r>
    </w:p>
    <w:p w14:paraId="107DAD8A">
      <w:pPr>
        <w:adjustRightInd w:val="0"/>
        <w:snapToGrid w:val="0"/>
        <w:spacing w:line="348" w:lineRule="auto"/>
        <w:ind w:firstLine="422" w:firstLineChars="200"/>
        <w:rPr>
          <w:rFonts w:hint="eastAsia" w:ascii="宋体"/>
        </w:rPr>
      </w:pPr>
      <w:r>
        <w:rPr>
          <w:rFonts w:hint="eastAsia" w:ascii="宋体" w:hAnsi="宋体"/>
          <w:b/>
        </w:rPr>
        <w:t>（二）教育的历史发展</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w:t>
      </w:r>
    </w:p>
    <w:p w14:paraId="556A9301">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5E8DE7A7">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）中国教育哲学的历史发展</w:t>
      </w:r>
    </w:p>
    <w:p w14:paraId="16284F15">
      <w:pPr>
        <w:adjustRightInd w:val="0"/>
        <w:snapToGrid w:val="0"/>
        <w:spacing w:line="348" w:lineRule="auto"/>
        <w:ind w:firstLine="420" w:firstLineChars="200"/>
        <w:rPr>
          <w:rFonts w:hint="eastAsia" w:ascii="宋体" w:hAnsi="宋体"/>
        </w:rPr>
      </w:pPr>
      <w:r>
        <w:rPr>
          <w:rFonts w:hint="eastAsia" w:ascii="宋体" w:hAnsi="宋体"/>
        </w:rPr>
        <w:t>（</w:t>
      </w:r>
      <w:r>
        <w:rPr>
          <w:rFonts w:ascii="宋体" w:hAnsi="宋体"/>
        </w:rPr>
        <w:t>2</w:t>
      </w:r>
      <w:r>
        <w:rPr>
          <w:rFonts w:hint="eastAsia" w:ascii="宋体" w:hAnsi="宋体"/>
        </w:rPr>
        <w:t>）西方教育哲学的历史发展</w:t>
      </w:r>
    </w:p>
    <w:p w14:paraId="7A9C5B06">
      <w:pPr>
        <w:adjustRightInd w:val="0"/>
        <w:snapToGrid w:val="0"/>
        <w:spacing w:line="348" w:lineRule="auto"/>
        <w:ind w:firstLine="420" w:firstLineChars="200"/>
        <w:rPr>
          <w:rFonts w:hint="eastAsia" w:ascii="宋体"/>
        </w:rPr>
      </w:pPr>
      <w:r>
        <w:rPr>
          <w:rFonts w:hint="eastAsia" w:ascii="宋体" w:hAnsi="宋体"/>
        </w:rPr>
        <w:t>（3）马克思主义哲学的形成与发展</w:t>
      </w:r>
    </w:p>
    <w:p w14:paraId="32E38264">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4DCB671B">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了解中国教育哲学历史发展的主要脉络，初步理解我国古代几种主要的教育哲学传统；</w:t>
      </w:r>
    </w:p>
    <w:p w14:paraId="6556BF2F">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了解西方教育哲学历史发展的主要脉络，批判性地认识实用主义教育哲学、存在主义教育哲学、分析教育哲学及后现代教育哲学思潮产生的社会背景、主要观点、学术影响和理论局限；</w:t>
      </w:r>
    </w:p>
    <w:p w14:paraId="2303E8AE">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系统了解马克思主义经典作家有关教育问题的重要哲学论述，理解马克思主义教育哲学思想在西方、苏联和我国的传播与发展。</w:t>
      </w:r>
    </w:p>
    <w:p w14:paraId="1ADA5A6B">
      <w:pPr>
        <w:adjustRightInd w:val="0"/>
        <w:snapToGrid w:val="0"/>
        <w:spacing w:line="348" w:lineRule="auto"/>
        <w:ind w:firstLine="420" w:firstLineChars="200"/>
        <w:rPr>
          <w:rFonts w:hint="eastAsia" w:ascii="宋体" w:hAnsi="宋体"/>
        </w:rPr>
      </w:pPr>
      <w:r>
        <w:rPr>
          <w:rFonts w:hint="eastAsia" w:ascii="宋体" w:hAnsi="宋体"/>
        </w:rPr>
        <w:t>（4）</w:t>
      </w:r>
      <w:r>
        <w:rPr>
          <w:rFonts w:ascii="宋体" w:hAnsi="宋体"/>
        </w:rPr>
        <w:t>重点理解十八大以来习近平总书记有关教育问题的重要论述，深度思考如何进一步继承和发展马克思主义教育哲学思想，构建中国特色、中国风格和中国气派</w:t>
      </w:r>
      <w:r>
        <w:rPr>
          <w:rFonts w:hint="eastAsia" w:ascii="宋体" w:hAnsi="宋体"/>
        </w:rPr>
        <w:t>的教育哲学体系。</w:t>
      </w:r>
    </w:p>
    <w:p w14:paraId="036A7A09">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：马克思主义哲学思想与当代社会</w:t>
      </w:r>
    </w:p>
    <w:p w14:paraId="6841E9B1">
      <w:pPr>
        <w:adjustRightInd w:val="0"/>
        <w:snapToGrid w:val="0"/>
        <w:spacing w:line="348" w:lineRule="auto"/>
        <w:ind w:firstLine="422" w:firstLineChars="200"/>
        <w:rPr>
          <w:rFonts w:hint="eastAsia" w:ascii="宋体" w:hAnsi="宋体"/>
        </w:rPr>
      </w:pPr>
      <w:r>
        <w:rPr>
          <w:rFonts w:hint="eastAsia" w:ascii="宋体" w:hAnsi="宋体"/>
          <w:b/>
        </w:rPr>
        <w:t>教学难点</w:t>
      </w:r>
      <w:r>
        <w:rPr>
          <w:rFonts w:hint="eastAsia" w:ascii="宋体" w:hAnsi="宋体"/>
        </w:rPr>
        <w:t>：中国古代主要教育哲学传统和西方教育哲学思潮</w:t>
      </w:r>
    </w:p>
    <w:p w14:paraId="41D72978">
      <w:pPr>
        <w:adjustRightInd w:val="0"/>
        <w:snapToGrid w:val="0"/>
        <w:spacing w:line="348" w:lineRule="auto"/>
        <w:ind w:left="420" w:leftChars="200"/>
        <w:rPr>
          <w:rFonts w:hint="eastAsia" w:ascii="宋体" w:hAnsi="宋体"/>
          <w:b/>
          <w:bCs/>
        </w:rPr>
      </w:pPr>
      <w:r>
        <w:rPr>
          <w:rFonts w:hint="eastAsia" w:ascii="宋体" w:hAnsi="宋体"/>
          <w:b/>
          <w:bCs/>
        </w:rPr>
        <w:t>3.课程思政育人目标</w:t>
      </w:r>
    </w:p>
    <w:p w14:paraId="68B1FDFF">
      <w:pPr>
        <w:adjustRightInd w:val="0"/>
        <w:snapToGrid w:val="0"/>
        <w:spacing w:line="348" w:lineRule="auto"/>
        <w:ind w:firstLine="420" w:firstLineChars="200"/>
        <w:rPr>
          <w:rFonts w:hint="eastAsia" w:ascii="宋体" w:hAnsi="宋体"/>
          <w:bCs/>
        </w:rPr>
      </w:pPr>
      <w:r>
        <w:rPr>
          <w:rFonts w:hint="eastAsia" w:ascii="宋体" w:hAnsi="宋体"/>
          <w:bCs/>
        </w:rPr>
        <w:t>通过研究和阐发中国教育哲学蕴含的中国智慧，增强文化自信；通过理解十八大以来习近平总书记有关教育问题的重要论述，深度思考如何进一步继承和发展马克思主义教育哲学思想，构建中国特色、中国风格和中国气派的教育哲学。</w:t>
      </w:r>
    </w:p>
    <w:p w14:paraId="5F1E4CB8">
      <w:pPr>
        <w:adjustRightInd w:val="0"/>
        <w:snapToGrid w:val="0"/>
        <w:spacing w:line="348" w:lineRule="auto"/>
        <w:ind w:firstLine="422" w:firstLineChars="200"/>
        <w:rPr>
          <w:rFonts w:hint="eastAsia" w:ascii="宋体"/>
          <w:b/>
          <w:color w:val="000000"/>
          <w:szCs w:val="22"/>
        </w:rPr>
      </w:pPr>
      <w:r>
        <w:rPr>
          <w:rFonts w:hint="eastAsia" w:ascii="宋体" w:hAnsi="宋体"/>
          <w:b/>
        </w:rPr>
        <w:t>（三）教育的本质</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2</w:t>
      </w:r>
      <w:r>
        <w:rPr>
          <w:rFonts w:hint="eastAsia" w:ascii="宋体" w:hAnsi="宋体"/>
          <w:b/>
          <w:color w:val="000000"/>
          <w:szCs w:val="22"/>
        </w:rPr>
        <w:t>）</w:t>
      </w:r>
    </w:p>
    <w:p w14:paraId="291993D1">
      <w:pPr>
        <w:pStyle w:val="26"/>
        <w:adjustRightInd w:val="0"/>
        <w:snapToGrid w:val="0"/>
        <w:spacing w:line="348" w:lineRule="auto"/>
        <w:ind w:firstLine="422" w:firstLineChars="200"/>
        <w:rPr>
          <w:rFonts w:hint="eastAsia" w:cs="Times New Roman"/>
          <w:b/>
          <w:kern w:val="2"/>
        </w:rPr>
      </w:pPr>
      <w:r>
        <w:rPr>
          <w:b/>
        </w:rPr>
        <w:t>1.</w:t>
      </w:r>
      <w:r>
        <w:rPr>
          <w:rFonts w:hint="eastAsia"/>
          <w:b/>
        </w:rPr>
        <w:t>教</w:t>
      </w:r>
      <w:r>
        <w:rPr>
          <w:rFonts w:hint="eastAsia" w:cs="Times New Roman"/>
          <w:b/>
          <w:kern w:val="2"/>
        </w:rPr>
        <w:t>学内容</w:t>
      </w:r>
    </w:p>
    <w:p w14:paraId="676D123D">
      <w:pPr>
        <w:pStyle w:val="26"/>
        <w:adjustRightInd w:val="0"/>
        <w:snapToGrid w:val="0"/>
        <w:spacing w:line="348" w:lineRule="auto"/>
        <w:ind w:firstLine="420" w:firstLineChars="200"/>
        <w:rPr>
          <w:rFonts w:hint="eastAsia" w:cs="Times New Roman"/>
          <w:kern w:val="2"/>
        </w:rPr>
      </w:pPr>
      <w:r>
        <w:rPr>
          <w:rFonts w:hint="eastAsia" w:cs="Times New Roman"/>
          <w:kern w:val="2"/>
        </w:rPr>
        <w:t>（</w:t>
      </w:r>
      <w:r>
        <w:rPr>
          <w:rFonts w:cs="Times New Roman"/>
          <w:kern w:val="2"/>
        </w:rPr>
        <w:t>1</w:t>
      </w:r>
      <w:r>
        <w:rPr>
          <w:rFonts w:hint="eastAsia" w:cs="Times New Roman"/>
          <w:kern w:val="2"/>
        </w:rPr>
        <w:t>）教育概念的语言分析</w:t>
      </w:r>
    </w:p>
    <w:p w14:paraId="1B87B450">
      <w:pPr>
        <w:pStyle w:val="26"/>
        <w:adjustRightInd w:val="0"/>
        <w:snapToGrid w:val="0"/>
        <w:spacing w:line="348" w:lineRule="auto"/>
        <w:ind w:firstLine="420" w:firstLineChars="200"/>
        <w:rPr>
          <w:rFonts w:hint="eastAsia" w:cs="Times New Roman"/>
          <w:kern w:val="2"/>
        </w:rPr>
      </w:pPr>
      <w:r>
        <w:rPr>
          <w:rFonts w:hint="eastAsia" w:cs="Times New Roman"/>
          <w:kern w:val="2"/>
        </w:rPr>
        <w:t>（</w:t>
      </w:r>
      <w:r>
        <w:rPr>
          <w:rFonts w:cs="Times New Roman"/>
          <w:kern w:val="2"/>
        </w:rPr>
        <w:t>2</w:t>
      </w:r>
      <w:r>
        <w:rPr>
          <w:rFonts w:hint="eastAsia" w:cs="Times New Roman"/>
          <w:kern w:val="2"/>
        </w:rPr>
        <w:t>）教育与相关概念的辨析</w:t>
      </w:r>
    </w:p>
    <w:p w14:paraId="63DC2B1B">
      <w:pPr>
        <w:pStyle w:val="26"/>
        <w:adjustRightInd w:val="0"/>
        <w:snapToGrid w:val="0"/>
        <w:spacing w:line="348" w:lineRule="auto"/>
        <w:ind w:firstLine="420" w:firstLineChars="200"/>
        <w:rPr>
          <w:rFonts w:hint="eastAsia" w:cs="Times New Roman"/>
          <w:kern w:val="2"/>
        </w:rPr>
      </w:pPr>
      <w:r>
        <w:rPr>
          <w:rFonts w:hint="eastAsia" w:cs="Times New Roman"/>
          <w:kern w:val="2"/>
        </w:rPr>
        <w:t>（</w:t>
      </w:r>
      <w:r>
        <w:rPr>
          <w:rFonts w:cs="Times New Roman"/>
          <w:kern w:val="2"/>
        </w:rPr>
        <w:t>3</w:t>
      </w:r>
      <w:r>
        <w:rPr>
          <w:rFonts w:hint="eastAsia" w:cs="Times New Roman"/>
          <w:kern w:val="2"/>
        </w:rPr>
        <w:t>）教育的本质与理想</w:t>
      </w:r>
    </w:p>
    <w:p w14:paraId="76E3BB7A">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2DACA0D0">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了解教育概念的日常意义、定义类型以及主要的隐喻；</w:t>
      </w:r>
    </w:p>
    <w:p w14:paraId="5AD2BB92">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从理论上和实践上能够把握教育概念与教学、学习、训练、宣传等的区别与联系；</w:t>
      </w:r>
    </w:p>
    <w:p w14:paraId="2C39A0BC">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理解教育本质认识的社会性和历史性，重点掌握习近平总书记有关教育一般本质和中国特色社会主义教育本质的重要论述；</w:t>
      </w:r>
    </w:p>
    <w:p w14:paraId="1BA2D0D5">
      <w:pPr>
        <w:adjustRightInd w:val="0"/>
        <w:snapToGrid w:val="0"/>
        <w:spacing w:line="348" w:lineRule="auto"/>
        <w:ind w:firstLine="420" w:firstLineChars="200"/>
        <w:rPr>
          <w:rFonts w:hint="eastAsia" w:ascii="宋体" w:hAnsi="宋体"/>
        </w:rPr>
      </w:pPr>
      <w:r>
        <w:rPr>
          <w:rFonts w:hint="eastAsia" w:ascii="宋体" w:hAnsi="宋体"/>
        </w:rPr>
        <w:t>（4）</w:t>
      </w:r>
      <w:r>
        <w:rPr>
          <w:rFonts w:ascii="宋体" w:hAnsi="宋体"/>
        </w:rPr>
        <w:t>掌握新时代中国特色社会主义良好教育的标准，理解教育的理想是人的自由全面发展。</w:t>
      </w:r>
    </w:p>
    <w:p w14:paraId="102C3152">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：教育的本质与理想</w:t>
      </w:r>
    </w:p>
    <w:p w14:paraId="35F94A16">
      <w:pPr>
        <w:adjustRightInd w:val="0"/>
        <w:snapToGrid w:val="0"/>
        <w:spacing w:line="348" w:lineRule="auto"/>
        <w:ind w:firstLine="422" w:firstLineChars="200"/>
        <w:rPr>
          <w:rFonts w:hint="eastAsia" w:ascii="宋体" w:hAnsi="宋体"/>
        </w:rPr>
      </w:pPr>
      <w:r>
        <w:rPr>
          <w:rFonts w:hint="eastAsia" w:ascii="宋体" w:hAnsi="宋体"/>
          <w:b/>
        </w:rPr>
        <w:t>教学难点</w:t>
      </w:r>
      <w:r>
        <w:rPr>
          <w:rFonts w:hint="eastAsia" w:ascii="宋体" w:hAnsi="宋体"/>
        </w:rPr>
        <w:t>：教育概念的语言分析</w:t>
      </w:r>
    </w:p>
    <w:p w14:paraId="1D9BFEE2">
      <w:pPr>
        <w:adjustRightInd w:val="0"/>
        <w:snapToGrid w:val="0"/>
        <w:spacing w:line="348" w:lineRule="auto"/>
        <w:ind w:firstLine="422" w:firstLineChars="200"/>
        <w:rPr>
          <w:rFonts w:hint="eastAsia" w:ascii="宋体" w:hAnsi="宋体"/>
          <w:b/>
          <w:bCs/>
        </w:rPr>
      </w:pPr>
      <w:r>
        <w:rPr>
          <w:rFonts w:hint="eastAsia" w:ascii="宋体" w:hAnsi="宋体"/>
          <w:b/>
          <w:bCs/>
        </w:rPr>
        <w:t>3.课程思政育人目标</w:t>
      </w:r>
    </w:p>
    <w:p w14:paraId="2CBB6DD5">
      <w:pPr>
        <w:adjustRightInd w:val="0"/>
        <w:snapToGrid w:val="0"/>
        <w:spacing w:line="348" w:lineRule="auto"/>
        <w:ind w:firstLine="420" w:firstLineChars="200"/>
        <w:rPr>
          <w:rFonts w:hint="eastAsia" w:ascii="宋体" w:hAnsi="宋体"/>
        </w:rPr>
      </w:pPr>
      <w:r>
        <w:rPr>
          <w:rFonts w:hint="eastAsia" w:ascii="宋体" w:hAnsi="宋体"/>
        </w:rPr>
        <w:t>用习近平总书记关于教育重要论述中关于“立德树人”思想分析中外历史上对教育本质的不同理解差异，以及新时代对教育本质理解所发生的变化，使学生通过对比深入思考哲学视域内的教育内涵。</w:t>
      </w:r>
      <w:r>
        <w:rPr>
          <w:rFonts w:hint="eastAsia" w:ascii="宋体" w:hAnsi="宋体"/>
          <w:bCs/>
        </w:rPr>
        <w:t>使学生从更深的意义上思考师范生所承担的育人使命，增强职业敬畏感和神圣感。</w:t>
      </w:r>
    </w:p>
    <w:p w14:paraId="45876F37">
      <w:pPr>
        <w:adjustRightInd w:val="0"/>
        <w:snapToGrid w:val="0"/>
        <w:spacing w:line="348" w:lineRule="auto"/>
        <w:ind w:firstLine="422" w:firstLineChars="200"/>
        <w:rPr>
          <w:rFonts w:hint="eastAsia" w:ascii="宋体"/>
          <w:b/>
          <w:color w:val="000000"/>
          <w:szCs w:val="22"/>
        </w:rPr>
      </w:pPr>
      <w:r>
        <w:rPr>
          <w:rFonts w:hint="eastAsia" w:ascii="宋体" w:hAnsi="宋体"/>
          <w:b/>
        </w:rPr>
        <w:t>（四）人性论与教育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、课程目标2、课程目标</w:t>
      </w:r>
      <w:r>
        <w:rPr>
          <w:rFonts w:ascii="宋体" w:hAnsi="宋体"/>
          <w:b/>
          <w:color w:val="000000"/>
          <w:szCs w:val="22"/>
        </w:rPr>
        <w:t>3</w:t>
      </w:r>
      <w:r>
        <w:rPr>
          <w:rFonts w:hint="eastAsia" w:ascii="宋体" w:hAnsi="宋体"/>
          <w:b/>
          <w:color w:val="000000"/>
          <w:szCs w:val="22"/>
        </w:rPr>
        <w:t>）</w:t>
      </w:r>
    </w:p>
    <w:p w14:paraId="1ED07F44">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5E21BE6D">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）人性论概述</w:t>
      </w:r>
    </w:p>
    <w:p w14:paraId="57E0D2AE">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）人性论与教育的关系</w:t>
      </w:r>
    </w:p>
    <w:p w14:paraId="17941B95">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）当代教育中的人性问题与责任</w:t>
      </w:r>
    </w:p>
    <w:p w14:paraId="6548E244">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5B330346">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了解中外历史上的人性论主张，掌握马克思主义在人性问题上的基本立场、观点和方法，理解它们之间的联系与本质差别；</w:t>
      </w:r>
    </w:p>
    <w:p w14:paraId="12BC4763">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理解不同的人性论假设与儿童观、教育方法和教育管理实践之间的内在关联，并辩证地看待不同人性论对教育实践的影响；</w:t>
      </w:r>
    </w:p>
    <w:p w14:paraId="2A5A156F">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从实际出发，分析当代教育实践中存在的人性论问题，理解“以人为本”的内涵以及现代教育的人性关怀。</w:t>
      </w:r>
    </w:p>
    <w:p w14:paraId="26275EEB">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：不同人性论对教育实践的影响；当代教育中的人性问题与责任</w:t>
      </w:r>
    </w:p>
    <w:p w14:paraId="45296515">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：不同的人性论假设与儿童观、教育方法和教育管理实践之间的内在联系</w:t>
      </w:r>
    </w:p>
    <w:p w14:paraId="673476D5">
      <w:pPr>
        <w:adjustRightInd w:val="0"/>
        <w:snapToGrid w:val="0"/>
        <w:spacing w:line="348" w:lineRule="auto"/>
        <w:ind w:firstLine="422" w:firstLineChars="200"/>
        <w:rPr>
          <w:rFonts w:hint="eastAsia" w:ascii="宋体" w:hAnsi="宋体"/>
          <w:b/>
        </w:rPr>
      </w:pPr>
      <w:r>
        <w:rPr>
          <w:rFonts w:hint="eastAsia" w:ascii="宋体" w:hAnsi="宋体"/>
          <w:b/>
        </w:rPr>
        <w:t>3.课程思政育人目标</w:t>
      </w:r>
    </w:p>
    <w:p w14:paraId="491817E1">
      <w:pPr>
        <w:adjustRightInd w:val="0"/>
        <w:snapToGrid w:val="0"/>
        <w:spacing w:line="348" w:lineRule="auto"/>
        <w:ind w:firstLine="420" w:firstLineChars="200"/>
        <w:rPr>
          <w:rFonts w:hint="eastAsia" w:ascii="宋体" w:hAnsi="宋体"/>
          <w:bCs/>
        </w:rPr>
      </w:pPr>
      <w:r>
        <w:rPr>
          <w:rFonts w:hint="eastAsia" w:ascii="宋体" w:hAnsi="宋体"/>
          <w:bCs/>
        </w:rPr>
        <w:t>通过对人本身问题的追问和反思，深入理解人性论与教育活动的内在联系，坚持以人为本的原则，树立正确的学生观，促进每一个学生健康、和谐与可持续发展。</w:t>
      </w:r>
    </w:p>
    <w:p w14:paraId="59673749">
      <w:pPr>
        <w:adjustRightInd w:val="0"/>
        <w:snapToGrid w:val="0"/>
        <w:spacing w:line="348" w:lineRule="auto"/>
        <w:ind w:firstLine="422" w:firstLineChars="200"/>
        <w:rPr>
          <w:rFonts w:hint="eastAsia" w:ascii="宋体"/>
          <w:b/>
          <w:color w:val="000000"/>
          <w:szCs w:val="22"/>
        </w:rPr>
      </w:pPr>
      <w:r>
        <w:rPr>
          <w:rFonts w:hint="eastAsia" w:ascii="宋体" w:hAnsi="宋体"/>
          <w:b/>
        </w:rPr>
        <w:t>（五）认识论与教育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3</w:t>
      </w:r>
      <w:r>
        <w:rPr>
          <w:rFonts w:hint="eastAsia" w:ascii="宋体" w:hAnsi="宋体"/>
          <w:b/>
          <w:color w:val="000000"/>
          <w:szCs w:val="22"/>
        </w:rPr>
        <w:t>）</w:t>
      </w:r>
    </w:p>
    <w:p w14:paraId="4BB79DF8">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4097E66B">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）认识论概述</w:t>
      </w:r>
    </w:p>
    <w:p w14:paraId="5A2D8D9F">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）知识的性质、类型与课程</w:t>
      </w:r>
    </w:p>
    <w:p w14:paraId="575E0D23">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）教育中的批判性思维</w:t>
      </w:r>
    </w:p>
    <w:p w14:paraId="0829D5B1">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1DAA801A">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了解和评析中国传统和西方认识论，深入理解马克思主义认识论；</w:t>
      </w:r>
    </w:p>
    <w:p w14:paraId="55B9B6EA">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了解知识的性质与学科性质，掌握知识类型与课程建构的规律，理解课程建构和教育教学中的知识选择；</w:t>
      </w:r>
    </w:p>
    <w:p w14:paraId="037B67A0">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理解批判性思维的概念及其与创造力培养的关系，把握批判性思维的教与学的原则要求；</w:t>
      </w:r>
    </w:p>
    <w:p w14:paraId="68C020DF">
      <w:pPr>
        <w:adjustRightInd w:val="0"/>
        <w:snapToGrid w:val="0"/>
        <w:spacing w:line="348" w:lineRule="auto"/>
        <w:ind w:left="420" w:leftChars="200"/>
        <w:rPr>
          <w:rFonts w:hint="eastAsia" w:ascii="宋体"/>
        </w:rPr>
      </w:pPr>
      <w:r>
        <w:rPr>
          <w:rFonts w:hint="eastAsia" w:ascii="宋体" w:hAnsi="宋体"/>
        </w:rPr>
        <w:t>（4）</w:t>
      </w:r>
      <w:r>
        <w:rPr>
          <w:rFonts w:ascii="宋体" w:hAnsi="宋体"/>
        </w:rPr>
        <w:t>能够就当前我国课程与教学改革中的若干问题从认识论视角进行分析。</w:t>
      </w:r>
      <w:r>
        <w:rPr>
          <w:rFonts w:hint="eastAsia" w:ascii="宋体" w:hAnsi="宋体"/>
          <w:b/>
        </w:rPr>
        <w:t>教学重点</w:t>
      </w:r>
      <w:r>
        <w:rPr>
          <w:rFonts w:hint="eastAsia" w:ascii="宋体" w:hAnsi="宋体"/>
        </w:rPr>
        <w:t>：马克思主义认识论，批判性思维教与学的原则</w:t>
      </w:r>
    </w:p>
    <w:p w14:paraId="30A3D082">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：知识类型与课程建构的规律</w:t>
      </w:r>
    </w:p>
    <w:p w14:paraId="0B395A0F">
      <w:pPr>
        <w:adjustRightInd w:val="0"/>
        <w:snapToGrid w:val="0"/>
        <w:spacing w:line="348" w:lineRule="auto"/>
        <w:ind w:firstLine="422" w:firstLineChars="200"/>
        <w:rPr>
          <w:rFonts w:hint="eastAsia" w:ascii="宋体" w:hAnsi="宋体"/>
          <w:b/>
        </w:rPr>
      </w:pPr>
      <w:r>
        <w:rPr>
          <w:rFonts w:hint="eastAsia" w:ascii="宋体" w:hAnsi="宋体"/>
          <w:b/>
        </w:rPr>
        <w:t>3.课程思政育人目标</w:t>
      </w:r>
    </w:p>
    <w:p w14:paraId="0A9B42E4">
      <w:pPr>
        <w:adjustRightInd w:val="0"/>
        <w:snapToGrid w:val="0"/>
        <w:spacing w:line="348" w:lineRule="auto"/>
        <w:ind w:firstLine="420" w:firstLineChars="200"/>
        <w:rPr>
          <w:rFonts w:hint="eastAsia" w:ascii="宋体" w:hAnsi="宋体"/>
          <w:bCs/>
        </w:rPr>
      </w:pPr>
      <w:r>
        <w:rPr>
          <w:rFonts w:hint="eastAsia" w:ascii="宋体" w:hAnsi="宋体"/>
          <w:bCs/>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p w14:paraId="4DBC013D">
      <w:pPr>
        <w:adjustRightInd w:val="0"/>
        <w:snapToGrid w:val="0"/>
        <w:spacing w:line="348" w:lineRule="auto"/>
        <w:ind w:firstLine="422" w:firstLineChars="200"/>
        <w:rPr>
          <w:rFonts w:hint="eastAsia" w:ascii="宋体"/>
          <w:b/>
          <w:color w:val="000000"/>
          <w:szCs w:val="22"/>
        </w:rPr>
      </w:pPr>
      <w:r>
        <w:rPr>
          <w:rFonts w:hint="eastAsia" w:ascii="宋体" w:hAnsi="宋体"/>
          <w:b/>
        </w:rPr>
        <w:t>（六）价值论与教育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、课程目标2、课程目标</w:t>
      </w:r>
      <w:r>
        <w:rPr>
          <w:rFonts w:ascii="宋体" w:hAnsi="宋体"/>
          <w:b/>
          <w:color w:val="000000"/>
          <w:szCs w:val="22"/>
        </w:rPr>
        <w:t>3</w:t>
      </w:r>
      <w:r>
        <w:rPr>
          <w:rFonts w:hint="eastAsia" w:ascii="宋体" w:hAnsi="宋体"/>
          <w:b/>
          <w:color w:val="000000"/>
          <w:szCs w:val="22"/>
        </w:rPr>
        <w:t>）</w:t>
      </w:r>
    </w:p>
    <w:p w14:paraId="70291B94">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4B3D10C5">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）价值论概述</w:t>
      </w:r>
    </w:p>
    <w:p w14:paraId="5B7ACEC5">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）教育价值</w:t>
      </w:r>
    </w:p>
    <w:p w14:paraId="4EBDE14F">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）价值教育的理论与实践</w:t>
      </w:r>
    </w:p>
    <w:p w14:paraId="6F838794">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3BA5CB64">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了解价值和价值论的基本概念；</w:t>
      </w:r>
    </w:p>
    <w:p w14:paraId="0BD0F5CE">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理解中国传统价值论、西方主要的价值思潮，重点学习和掌握马克思主义价值思想；</w:t>
      </w:r>
    </w:p>
    <w:p w14:paraId="71F64B01">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理解教育价值的概念、类型和秩序，能够结合实际理解教育价值冲突的本质是教育价值排序的不同，把握当代中国教育改革的基本价值取向；</w:t>
      </w:r>
    </w:p>
    <w:p w14:paraId="135CAF5E">
      <w:pPr>
        <w:adjustRightInd w:val="0"/>
        <w:snapToGrid w:val="0"/>
        <w:spacing w:line="348" w:lineRule="auto"/>
        <w:ind w:firstLine="420" w:firstLineChars="200"/>
        <w:rPr>
          <w:rFonts w:hint="eastAsia" w:ascii="宋体" w:hAnsi="宋体"/>
        </w:rPr>
      </w:pPr>
      <w:r>
        <w:rPr>
          <w:rFonts w:hint="eastAsia" w:ascii="宋体" w:hAnsi="宋体"/>
        </w:rPr>
        <w:t>（4）</w:t>
      </w:r>
      <w:r>
        <w:rPr>
          <w:rFonts w:ascii="宋体" w:hAnsi="宋体"/>
        </w:rPr>
        <w:t>理解价值教育的概念及在人的全面自由发展中的作用，批判性地看待20世纪英美主要的价值教育思想，重点掌握新时代我国社会主义核心价值观教育的主要内容和途径。</w:t>
      </w:r>
    </w:p>
    <w:p w14:paraId="2412088B">
      <w:pPr>
        <w:adjustRightInd w:val="0"/>
        <w:snapToGrid w:val="0"/>
        <w:spacing w:line="348" w:lineRule="auto"/>
        <w:ind w:firstLine="422" w:firstLineChars="200"/>
        <w:rPr>
          <w:rFonts w:hint="eastAsia" w:ascii="宋体" w:hAnsi="宋体"/>
        </w:rPr>
      </w:pPr>
      <w:r>
        <w:rPr>
          <w:rFonts w:hint="eastAsia" w:ascii="宋体" w:hAnsi="宋体"/>
          <w:b/>
        </w:rPr>
        <w:t>教学重点</w:t>
      </w:r>
      <w:r>
        <w:rPr>
          <w:rFonts w:hint="eastAsia" w:ascii="宋体" w:hAnsi="宋体"/>
        </w:rPr>
        <w:t>：当代中国教育改革的基本价值取向，新时代我国社会主义核心价值观教育的主要内容和途径</w:t>
      </w:r>
    </w:p>
    <w:p w14:paraId="7BDF8FF6">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：价值冲突的本质</w:t>
      </w:r>
    </w:p>
    <w:p w14:paraId="38D85B57">
      <w:pPr>
        <w:adjustRightInd w:val="0"/>
        <w:snapToGrid w:val="0"/>
        <w:spacing w:line="348" w:lineRule="auto"/>
        <w:ind w:firstLine="422" w:firstLineChars="200"/>
        <w:rPr>
          <w:rFonts w:hint="eastAsia" w:ascii="宋体" w:hAnsi="宋体"/>
          <w:b/>
        </w:rPr>
      </w:pPr>
      <w:r>
        <w:rPr>
          <w:rFonts w:hint="eastAsia" w:ascii="宋体" w:hAnsi="宋体"/>
          <w:b/>
        </w:rPr>
        <w:t>3.课程思政育人目标</w:t>
      </w:r>
    </w:p>
    <w:p w14:paraId="6A604707">
      <w:pPr>
        <w:adjustRightInd w:val="0"/>
        <w:snapToGrid w:val="0"/>
        <w:spacing w:line="348" w:lineRule="auto"/>
        <w:ind w:firstLine="420" w:firstLineChars="200"/>
        <w:rPr>
          <w:rFonts w:hint="eastAsia" w:ascii="宋体" w:hAnsi="宋体"/>
          <w:bCs/>
        </w:rPr>
      </w:pPr>
      <w:r>
        <w:rPr>
          <w:rFonts w:hint="eastAsia" w:ascii="宋体" w:hAnsi="宋体"/>
          <w:bCs/>
        </w:rPr>
        <w:t>通过把握当代中国教育改革的基本价值取向，使师范生在未来的教育教学实践中推进价值教育实践，更好地完成立德树人根本任务。同时加强对师范生的核心主义价值观教育，为其扣好第一粒扣子。</w:t>
      </w:r>
    </w:p>
    <w:p w14:paraId="2B690A7C">
      <w:pPr>
        <w:adjustRightInd w:val="0"/>
        <w:snapToGrid w:val="0"/>
        <w:spacing w:line="348" w:lineRule="auto"/>
        <w:ind w:firstLine="422" w:firstLineChars="200"/>
        <w:rPr>
          <w:rFonts w:hint="eastAsia" w:ascii="宋体" w:hAnsi="宋体"/>
          <w:b/>
        </w:rPr>
      </w:pPr>
      <w:r>
        <w:rPr>
          <w:rFonts w:hint="eastAsia" w:ascii="宋体" w:hAnsi="宋体"/>
          <w:b/>
        </w:rPr>
        <w:t>（七）伦理学与教育（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3</w:t>
      </w:r>
      <w:r>
        <w:rPr>
          <w:rFonts w:hint="eastAsia" w:ascii="宋体" w:hAnsi="宋体"/>
          <w:b/>
        </w:rPr>
        <w:t>）</w:t>
      </w:r>
    </w:p>
    <w:p w14:paraId="466A0A25">
      <w:pPr>
        <w:adjustRightInd w:val="0"/>
        <w:snapToGrid w:val="0"/>
        <w:spacing w:line="348" w:lineRule="auto"/>
        <w:ind w:firstLine="422" w:firstLineChars="200"/>
        <w:rPr>
          <w:rFonts w:hint="eastAsia" w:ascii="宋体" w:hAnsi="宋体"/>
          <w:b/>
        </w:rPr>
      </w:pPr>
      <w:r>
        <w:rPr>
          <w:rFonts w:hint="eastAsia" w:ascii="宋体" w:hAnsi="宋体"/>
          <w:b/>
        </w:rPr>
        <w:t>1</w:t>
      </w:r>
      <w:r>
        <w:rPr>
          <w:rFonts w:ascii="宋体" w:hAnsi="宋体"/>
          <w:b/>
        </w:rPr>
        <w:t>.</w:t>
      </w:r>
      <w:r>
        <w:rPr>
          <w:rFonts w:hint="eastAsia" w:ascii="宋体" w:hAnsi="宋体"/>
          <w:b/>
        </w:rPr>
        <w:t>教学内容</w:t>
      </w:r>
    </w:p>
    <w:p w14:paraId="680FD7D3">
      <w:pPr>
        <w:adjustRightInd w:val="0"/>
        <w:snapToGrid w:val="0"/>
        <w:spacing w:line="348" w:lineRule="auto"/>
        <w:ind w:firstLine="420" w:firstLineChars="200"/>
        <w:rPr>
          <w:rFonts w:hint="eastAsia" w:ascii="宋体" w:hAnsi="宋体"/>
          <w:bCs/>
        </w:rPr>
      </w:pPr>
      <w:r>
        <w:rPr>
          <w:rFonts w:hint="eastAsia" w:ascii="宋体" w:hAnsi="宋体"/>
          <w:bCs/>
        </w:rPr>
        <w:t>（1）伦理学概述</w:t>
      </w:r>
    </w:p>
    <w:p w14:paraId="6B9ED059">
      <w:pPr>
        <w:adjustRightInd w:val="0"/>
        <w:snapToGrid w:val="0"/>
        <w:spacing w:line="348" w:lineRule="auto"/>
        <w:ind w:firstLine="420" w:firstLineChars="200"/>
        <w:rPr>
          <w:rFonts w:hint="eastAsia" w:ascii="宋体" w:hAnsi="宋体"/>
          <w:bCs/>
        </w:rPr>
      </w:pPr>
      <w:r>
        <w:rPr>
          <w:rFonts w:hint="eastAsia" w:ascii="宋体" w:hAnsi="宋体"/>
          <w:bCs/>
        </w:rPr>
        <w:t>（2）道德教育的伦理学基础</w:t>
      </w:r>
    </w:p>
    <w:p w14:paraId="63504608">
      <w:pPr>
        <w:adjustRightInd w:val="0"/>
        <w:snapToGrid w:val="0"/>
        <w:spacing w:line="348" w:lineRule="auto"/>
        <w:ind w:firstLine="420" w:firstLineChars="200"/>
        <w:rPr>
          <w:rFonts w:hint="eastAsia" w:ascii="宋体" w:hAnsi="宋体"/>
          <w:bCs/>
        </w:rPr>
      </w:pPr>
      <w:r>
        <w:rPr>
          <w:rFonts w:hint="eastAsia" w:ascii="宋体" w:hAnsi="宋体"/>
          <w:bCs/>
        </w:rPr>
        <w:t>（3）教育活动中的伦理问题</w:t>
      </w:r>
    </w:p>
    <w:p w14:paraId="22B6D157">
      <w:pPr>
        <w:adjustRightInd w:val="0"/>
        <w:snapToGrid w:val="0"/>
        <w:spacing w:line="348" w:lineRule="auto"/>
        <w:ind w:firstLine="422" w:firstLineChars="200"/>
        <w:rPr>
          <w:rFonts w:hint="eastAsia" w:ascii="宋体" w:hAnsi="宋体"/>
          <w:b/>
        </w:rPr>
      </w:pPr>
      <w:r>
        <w:rPr>
          <w:rFonts w:hint="eastAsia" w:ascii="宋体" w:hAnsi="宋体"/>
          <w:b/>
        </w:rPr>
        <w:t>2</w:t>
      </w:r>
      <w:r>
        <w:rPr>
          <w:rFonts w:ascii="宋体" w:hAnsi="宋体"/>
          <w:b/>
        </w:rPr>
        <w:t>.</w:t>
      </w:r>
      <w:r>
        <w:rPr>
          <w:rFonts w:hint="eastAsia" w:ascii="宋体" w:hAnsi="宋体"/>
          <w:b/>
        </w:rPr>
        <w:t>基本要求</w:t>
      </w:r>
    </w:p>
    <w:p w14:paraId="58A0EB54">
      <w:pPr>
        <w:adjustRightInd w:val="0"/>
        <w:snapToGrid w:val="0"/>
        <w:spacing w:line="348" w:lineRule="auto"/>
        <w:ind w:firstLine="420" w:firstLineChars="200"/>
        <w:rPr>
          <w:rFonts w:hint="eastAsia" w:ascii="宋体" w:hAnsi="宋体"/>
          <w:bCs/>
        </w:rPr>
      </w:pPr>
      <w:r>
        <w:rPr>
          <w:rFonts w:hint="eastAsia" w:ascii="宋体" w:hAnsi="宋体"/>
          <w:bCs/>
        </w:rPr>
        <w:t>（1）</w:t>
      </w:r>
      <w:r>
        <w:rPr>
          <w:rFonts w:ascii="宋体" w:hAnsi="宋体"/>
          <w:bCs/>
        </w:rPr>
        <w:t>了解中国传统的伦理学、西方伦理学的主要流派，重点学习和掌握马克思主义伦理学；</w:t>
      </w:r>
    </w:p>
    <w:p w14:paraId="4AC8FB23">
      <w:pPr>
        <w:adjustRightInd w:val="0"/>
        <w:snapToGrid w:val="0"/>
        <w:spacing w:line="348" w:lineRule="auto"/>
        <w:ind w:firstLine="420" w:firstLineChars="200"/>
        <w:rPr>
          <w:rFonts w:hint="eastAsia" w:ascii="宋体" w:hAnsi="宋体"/>
          <w:bCs/>
        </w:rPr>
      </w:pPr>
      <w:r>
        <w:rPr>
          <w:rFonts w:hint="eastAsia" w:ascii="宋体" w:hAnsi="宋体"/>
          <w:bCs/>
        </w:rPr>
        <w:t>（2）</w:t>
      </w:r>
      <w:r>
        <w:rPr>
          <w:rFonts w:ascii="宋体" w:hAnsi="宋体"/>
          <w:bCs/>
        </w:rPr>
        <w:t>理解道德教育的伦理学基础，包括德性伦理学、功利主义伦理学、义务论伦理学、元伦理学；</w:t>
      </w:r>
    </w:p>
    <w:p w14:paraId="3E9C1395">
      <w:pPr>
        <w:adjustRightInd w:val="0"/>
        <w:snapToGrid w:val="0"/>
        <w:spacing w:line="348" w:lineRule="auto"/>
        <w:ind w:firstLine="420" w:firstLineChars="200"/>
        <w:rPr>
          <w:rFonts w:hint="eastAsia" w:ascii="宋体" w:hAnsi="宋体"/>
          <w:bCs/>
        </w:rPr>
      </w:pPr>
      <w:r>
        <w:rPr>
          <w:rFonts w:hint="eastAsia" w:ascii="宋体" w:hAnsi="宋体"/>
          <w:bCs/>
        </w:rPr>
        <w:t>（3）</w:t>
      </w:r>
      <w:r>
        <w:rPr>
          <w:rFonts w:ascii="宋体" w:hAnsi="宋体"/>
          <w:bCs/>
        </w:rPr>
        <w:t>能够结合实际分析教育活动中的伦理问题。</w:t>
      </w:r>
    </w:p>
    <w:p w14:paraId="14059DF3">
      <w:pPr>
        <w:adjustRightInd w:val="0"/>
        <w:snapToGrid w:val="0"/>
        <w:spacing w:line="348" w:lineRule="auto"/>
        <w:ind w:firstLine="422" w:firstLineChars="200"/>
        <w:rPr>
          <w:rFonts w:hint="eastAsia" w:ascii="宋体" w:hAnsi="宋体"/>
          <w:bCs/>
        </w:rPr>
      </w:pPr>
      <w:r>
        <w:rPr>
          <w:rFonts w:hint="eastAsia" w:ascii="宋体" w:hAnsi="宋体"/>
          <w:b/>
        </w:rPr>
        <w:t>教学重点：</w:t>
      </w:r>
      <w:r>
        <w:rPr>
          <w:rFonts w:hint="eastAsia" w:ascii="宋体" w:hAnsi="宋体"/>
          <w:bCs/>
        </w:rPr>
        <w:t>教育活动中的伦理问题分析</w:t>
      </w:r>
    </w:p>
    <w:p w14:paraId="47F71982">
      <w:pPr>
        <w:adjustRightInd w:val="0"/>
        <w:snapToGrid w:val="0"/>
        <w:spacing w:line="348" w:lineRule="auto"/>
        <w:ind w:firstLine="422" w:firstLineChars="200"/>
        <w:rPr>
          <w:rFonts w:hint="eastAsia" w:ascii="宋体" w:hAnsi="宋体"/>
          <w:bCs/>
        </w:rPr>
      </w:pPr>
      <w:r>
        <w:rPr>
          <w:rFonts w:hint="eastAsia" w:ascii="宋体" w:hAnsi="宋体"/>
          <w:b/>
        </w:rPr>
        <w:t>教育难点：</w:t>
      </w:r>
      <w:r>
        <w:rPr>
          <w:rFonts w:hint="eastAsia" w:ascii="宋体" w:hAnsi="宋体"/>
          <w:bCs/>
        </w:rPr>
        <w:t>伦理学的主要流派以及道德教育的伦理学基础</w:t>
      </w:r>
    </w:p>
    <w:p w14:paraId="6F54B576">
      <w:pPr>
        <w:adjustRightInd w:val="0"/>
        <w:snapToGrid w:val="0"/>
        <w:spacing w:line="348" w:lineRule="auto"/>
        <w:ind w:firstLine="422" w:firstLineChars="200"/>
        <w:rPr>
          <w:rFonts w:hint="eastAsia" w:ascii="宋体" w:hAnsi="宋体"/>
          <w:b/>
        </w:rPr>
      </w:pPr>
      <w:r>
        <w:rPr>
          <w:rFonts w:hint="eastAsia" w:ascii="宋体" w:hAnsi="宋体"/>
          <w:b/>
        </w:rPr>
        <w:t>3</w:t>
      </w:r>
      <w:r>
        <w:rPr>
          <w:rFonts w:ascii="宋体" w:hAnsi="宋体"/>
          <w:b/>
        </w:rPr>
        <w:t>.</w:t>
      </w:r>
      <w:r>
        <w:rPr>
          <w:rFonts w:hint="eastAsia" w:ascii="宋体" w:hAnsi="宋体"/>
          <w:b/>
        </w:rPr>
        <w:t>课程思政育人目标</w:t>
      </w:r>
    </w:p>
    <w:p w14:paraId="2938B50E">
      <w:pPr>
        <w:adjustRightInd w:val="0"/>
        <w:snapToGrid w:val="0"/>
        <w:spacing w:line="348" w:lineRule="auto"/>
        <w:ind w:firstLine="420" w:firstLineChars="200"/>
        <w:rPr>
          <w:rFonts w:hint="eastAsia" w:ascii="宋体" w:hAnsi="宋体"/>
          <w:bCs/>
        </w:rPr>
      </w:pPr>
      <w:r>
        <w:rPr>
          <w:rFonts w:hint="eastAsia" w:ascii="宋体" w:hAnsi="宋体"/>
          <w:bCs/>
        </w:rPr>
        <w:t>引导师范生对教育活动进行全面的伦理审视，保障教师专业操守，提升教育专业自信。</w:t>
      </w:r>
    </w:p>
    <w:p w14:paraId="625A6E05">
      <w:pPr>
        <w:adjustRightInd w:val="0"/>
        <w:snapToGrid w:val="0"/>
        <w:spacing w:line="348" w:lineRule="auto"/>
        <w:ind w:firstLine="422" w:firstLineChars="200"/>
        <w:rPr>
          <w:rFonts w:hint="eastAsia" w:ascii="宋体"/>
          <w:b/>
          <w:color w:val="000000"/>
          <w:szCs w:val="22"/>
        </w:rPr>
      </w:pPr>
      <w:r>
        <w:rPr>
          <w:rFonts w:hint="eastAsia" w:ascii="宋体" w:hAnsi="宋体"/>
          <w:b/>
        </w:rPr>
        <w:t>（八）美学与教育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3</w:t>
      </w:r>
      <w:r>
        <w:rPr>
          <w:rFonts w:hint="eastAsia" w:ascii="宋体" w:hAnsi="宋体"/>
          <w:b/>
          <w:color w:val="000000"/>
          <w:szCs w:val="22"/>
        </w:rPr>
        <w:t>）</w:t>
      </w:r>
    </w:p>
    <w:p w14:paraId="77E4A274">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204AB264">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）美学概述</w:t>
      </w:r>
    </w:p>
    <w:p w14:paraId="01483FCB">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）美育的美学基础</w:t>
      </w:r>
    </w:p>
    <w:p w14:paraId="7C616928">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）美育与人的创造性培养</w:t>
      </w:r>
    </w:p>
    <w:p w14:paraId="44F6CCB6">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7854488E">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了解中国传统的美学思想、西方主要的美学思想以及马克思主义的美学思想，理解美的多样性以及美学理论的丰富性；</w:t>
      </w:r>
    </w:p>
    <w:p w14:paraId="0C3039DA">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理解美育的美学基础，包括美的需要与美育的必要性、美的特性与美育的特性以及美与美育的多样性等；</w:t>
      </w:r>
    </w:p>
    <w:p w14:paraId="3F59EADC">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理解审美素养与人的创造性之间的内在关联，学会用美的眼光来审视教育实践活动。</w:t>
      </w:r>
    </w:p>
    <w:p w14:paraId="7CB20536">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：美育与人的创造性培养</w:t>
      </w:r>
    </w:p>
    <w:p w14:paraId="4AC50C62">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：美育的美学基础</w:t>
      </w:r>
    </w:p>
    <w:p w14:paraId="687F8F45">
      <w:pPr>
        <w:spacing w:line="348" w:lineRule="auto"/>
        <w:ind w:firstLine="316" w:firstLineChars="150"/>
        <w:rPr>
          <w:rFonts w:hint="eastAsia" w:ascii="宋体" w:hAnsi="宋体"/>
          <w:b/>
        </w:rPr>
      </w:pPr>
      <w:r>
        <w:rPr>
          <w:rFonts w:hint="eastAsia" w:ascii="宋体" w:hAnsi="宋体"/>
          <w:b/>
        </w:rPr>
        <w:t>3.课程思政育人目标</w:t>
      </w:r>
    </w:p>
    <w:p w14:paraId="324E0E1D">
      <w:pPr>
        <w:spacing w:line="348" w:lineRule="auto"/>
        <w:ind w:firstLine="315" w:firstLineChars="150"/>
        <w:rPr>
          <w:rFonts w:hint="eastAsia" w:ascii="宋体" w:hAnsi="宋体"/>
          <w:bCs/>
        </w:rPr>
      </w:pPr>
      <w:r>
        <w:rPr>
          <w:rFonts w:hint="eastAsia" w:ascii="宋体" w:hAnsi="宋体"/>
          <w:bCs/>
        </w:rPr>
        <w:t>通过对美的沉思以及美育问题的讨论，提升师范生的审美素养与创造力，同时传播中国美学精神，从而促进师范生的全面发展和健全人格的养成。</w:t>
      </w:r>
    </w:p>
    <w:p w14:paraId="7C72B1F1">
      <w:pPr>
        <w:adjustRightInd w:val="0"/>
        <w:snapToGrid w:val="0"/>
        <w:spacing w:line="348" w:lineRule="auto"/>
        <w:ind w:firstLine="422" w:firstLineChars="200"/>
        <w:rPr>
          <w:rFonts w:hint="eastAsia" w:ascii="宋体"/>
          <w:b/>
          <w:color w:val="000000"/>
          <w:szCs w:val="22"/>
        </w:rPr>
      </w:pPr>
      <w:r>
        <w:rPr>
          <w:rFonts w:hint="eastAsia" w:ascii="宋体" w:hAnsi="宋体"/>
          <w:b/>
        </w:rPr>
        <w:t>（九）社会哲学与教育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3</w:t>
      </w:r>
      <w:r>
        <w:rPr>
          <w:rFonts w:hint="eastAsia" w:ascii="宋体" w:hAnsi="宋体"/>
          <w:b/>
          <w:color w:val="000000"/>
          <w:szCs w:val="22"/>
        </w:rPr>
        <w:t>）</w:t>
      </w:r>
    </w:p>
    <w:p w14:paraId="39236924">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6AED2FB0">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）社会哲学概述</w:t>
      </w:r>
    </w:p>
    <w:p w14:paraId="1EF05E00">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）良好的社会秩序与教育</w:t>
      </w:r>
    </w:p>
    <w:p w14:paraId="203E6508">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）公民意识与公民教育</w:t>
      </w:r>
    </w:p>
    <w:p w14:paraId="3925DD84">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36A0EFD1">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继承和弘扬中国传统的社会哲学思想，在了解和借鉴西方社会哲学思想的基础上，确立马克思主义的历史唯物主义社会哲学思想；</w:t>
      </w:r>
    </w:p>
    <w:p w14:paraId="2F97AE9B">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辩证理解个人自由与社会秩序的关系，以及我国良好社会秩序建设的思想基础和价值追求，自觉而有效地开展促进良好社会秩序的教育；</w:t>
      </w:r>
    </w:p>
    <w:p w14:paraId="402A1AD7">
      <w:pPr>
        <w:adjustRightInd w:val="0"/>
        <w:snapToGrid w:val="0"/>
        <w:spacing w:line="348" w:lineRule="auto"/>
        <w:ind w:firstLine="420" w:firstLineChars="200"/>
        <w:rPr>
          <w:rFonts w:hint="eastAsia" w:ascii="宋体" w:hAnsi="宋体"/>
        </w:rPr>
      </w:pPr>
      <w:r>
        <w:rPr>
          <w:rFonts w:hint="eastAsia" w:ascii="宋体" w:hAnsi="宋体"/>
        </w:rPr>
        <w:t>（3）</w:t>
      </w:r>
      <w:r>
        <w:rPr>
          <w:rFonts w:ascii="宋体" w:hAnsi="宋体"/>
        </w:rPr>
        <w:t>立足于我国建设民主法治的社会主义国家，开展社会主义公民教育，培养社会主义的合格公民，成为社会主义的建设者和接班人。</w:t>
      </w:r>
    </w:p>
    <w:p w14:paraId="4283A88D">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：公民意识与公民教育</w:t>
      </w:r>
    </w:p>
    <w:p w14:paraId="7420642D">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：个人自由与社会秩序的关系</w:t>
      </w:r>
    </w:p>
    <w:p w14:paraId="3B4FF9D4">
      <w:pPr>
        <w:spacing w:line="348" w:lineRule="auto"/>
        <w:ind w:firstLine="316" w:firstLineChars="150"/>
        <w:rPr>
          <w:rFonts w:hint="eastAsia" w:ascii="宋体" w:hAnsi="宋体"/>
          <w:b/>
        </w:rPr>
      </w:pPr>
      <w:r>
        <w:rPr>
          <w:rFonts w:hint="eastAsia" w:ascii="宋体" w:hAnsi="宋体"/>
          <w:b/>
        </w:rPr>
        <w:t>3.课程思政育人目标</w:t>
      </w:r>
    </w:p>
    <w:p w14:paraId="4B636279">
      <w:pPr>
        <w:adjustRightInd w:val="0"/>
        <w:snapToGrid w:val="0"/>
        <w:spacing w:line="348" w:lineRule="auto"/>
        <w:ind w:firstLine="420" w:firstLineChars="200"/>
        <w:rPr>
          <w:rFonts w:hint="eastAsia" w:ascii="宋体" w:hAnsi="宋体"/>
          <w:bCs/>
        </w:rPr>
      </w:pPr>
      <w:r>
        <w:rPr>
          <w:rFonts w:hint="eastAsia" w:ascii="宋体" w:hAnsi="宋体"/>
          <w:bCs/>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p w14:paraId="4E103294">
      <w:pPr>
        <w:adjustRightInd w:val="0"/>
        <w:snapToGrid w:val="0"/>
        <w:spacing w:line="348" w:lineRule="auto"/>
        <w:ind w:firstLine="422" w:firstLineChars="200"/>
        <w:jc w:val="left"/>
        <w:rPr>
          <w:rFonts w:hint="eastAsia" w:ascii="宋体"/>
          <w:b/>
          <w:color w:val="000000"/>
          <w:szCs w:val="22"/>
        </w:rPr>
      </w:pPr>
      <w:r>
        <w:rPr>
          <w:rFonts w:hint="eastAsia" w:ascii="宋体" w:hAnsi="宋体"/>
          <w:b/>
        </w:rPr>
        <w:t>（十）文化哲学与教育</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w:t>
      </w:r>
      <w:r>
        <w:rPr>
          <w:rFonts w:ascii="宋体" w:hAnsi="宋体"/>
          <w:b/>
          <w:color w:val="000000"/>
          <w:szCs w:val="22"/>
        </w:rPr>
        <w:t>3</w:t>
      </w:r>
      <w:r>
        <w:rPr>
          <w:rFonts w:hint="eastAsia" w:ascii="宋体" w:hAnsi="宋体"/>
          <w:b/>
          <w:color w:val="000000"/>
          <w:szCs w:val="22"/>
        </w:rPr>
        <w:t>）</w:t>
      </w:r>
    </w:p>
    <w:p w14:paraId="039CFFE4">
      <w:pPr>
        <w:adjustRightInd w:val="0"/>
        <w:snapToGrid w:val="0"/>
        <w:spacing w:line="348" w:lineRule="auto"/>
        <w:ind w:firstLine="422" w:firstLineChars="200"/>
        <w:jc w:val="left"/>
        <w:rPr>
          <w:rFonts w:hint="eastAsia" w:ascii="宋体"/>
          <w:b/>
        </w:rPr>
      </w:pPr>
      <w:r>
        <w:rPr>
          <w:rFonts w:ascii="宋体" w:hAnsi="宋体"/>
          <w:b/>
        </w:rPr>
        <w:t>1.</w:t>
      </w:r>
      <w:r>
        <w:rPr>
          <w:rFonts w:hint="eastAsia" w:ascii="宋体" w:hAnsi="宋体"/>
          <w:b/>
        </w:rPr>
        <w:t>教学内容</w:t>
      </w:r>
    </w:p>
    <w:p w14:paraId="49A95C23">
      <w:pPr>
        <w:adjustRightInd w:val="0"/>
        <w:snapToGrid w:val="0"/>
        <w:spacing w:line="348" w:lineRule="auto"/>
        <w:ind w:firstLine="420" w:firstLineChars="200"/>
        <w:jc w:val="left"/>
        <w:rPr>
          <w:rFonts w:hint="eastAsia" w:ascii="宋体"/>
        </w:rPr>
      </w:pPr>
      <w:r>
        <w:rPr>
          <w:rFonts w:hint="eastAsia" w:ascii="宋体" w:hAnsi="宋体"/>
        </w:rPr>
        <w:t>（</w:t>
      </w:r>
      <w:r>
        <w:rPr>
          <w:rFonts w:ascii="宋体" w:hAnsi="宋体"/>
        </w:rPr>
        <w:t>1</w:t>
      </w:r>
      <w:r>
        <w:rPr>
          <w:rFonts w:hint="eastAsia" w:ascii="宋体" w:hAnsi="宋体"/>
        </w:rPr>
        <w:t>）文化哲学概述</w:t>
      </w:r>
    </w:p>
    <w:p w14:paraId="71674E84">
      <w:pPr>
        <w:adjustRightInd w:val="0"/>
        <w:snapToGrid w:val="0"/>
        <w:spacing w:line="348" w:lineRule="auto"/>
        <w:ind w:firstLine="420" w:firstLineChars="200"/>
        <w:jc w:val="left"/>
        <w:rPr>
          <w:rFonts w:hint="eastAsia" w:ascii="宋体"/>
        </w:rPr>
      </w:pPr>
      <w:r>
        <w:rPr>
          <w:rFonts w:hint="eastAsia" w:ascii="宋体" w:hAnsi="宋体"/>
        </w:rPr>
        <w:t>（</w:t>
      </w:r>
      <w:r>
        <w:rPr>
          <w:rFonts w:ascii="宋体" w:hAnsi="宋体"/>
        </w:rPr>
        <w:t>2</w:t>
      </w:r>
      <w:r>
        <w:rPr>
          <w:rFonts w:hint="eastAsia" w:ascii="宋体" w:hAnsi="宋体"/>
        </w:rPr>
        <w:t>）教育的文化基础与责任</w:t>
      </w:r>
    </w:p>
    <w:p w14:paraId="12D4CE68">
      <w:pPr>
        <w:adjustRightInd w:val="0"/>
        <w:snapToGrid w:val="0"/>
        <w:spacing w:line="348" w:lineRule="auto"/>
        <w:ind w:firstLine="420" w:firstLineChars="200"/>
        <w:jc w:val="left"/>
        <w:rPr>
          <w:rFonts w:hint="eastAsia" w:ascii="宋体"/>
        </w:rPr>
      </w:pPr>
      <w:r>
        <w:rPr>
          <w:rFonts w:hint="eastAsia" w:ascii="宋体" w:hAnsi="宋体"/>
        </w:rPr>
        <w:t>（</w:t>
      </w:r>
      <w:r>
        <w:rPr>
          <w:rFonts w:ascii="宋体" w:hAnsi="宋体"/>
        </w:rPr>
        <w:t>3</w:t>
      </w:r>
      <w:r>
        <w:rPr>
          <w:rFonts w:hint="eastAsia" w:ascii="宋体" w:hAnsi="宋体"/>
        </w:rPr>
        <w:t>）全球化背景下的文化多样性教育</w:t>
      </w:r>
    </w:p>
    <w:p w14:paraId="0F8D6399">
      <w:pPr>
        <w:adjustRightInd w:val="0"/>
        <w:snapToGrid w:val="0"/>
        <w:spacing w:line="348" w:lineRule="auto"/>
        <w:ind w:firstLine="422" w:firstLineChars="200"/>
        <w:jc w:val="left"/>
        <w:rPr>
          <w:rFonts w:hint="eastAsia" w:ascii="宋体"/>
          <w:b/>
        </w:rPr>
      </w:pPr>
      <w:r>
        <w:rPr>
          <w:rFonts w:ascii="宋体" w:hAnsi="宋体"/>
          <w:b/>
        </w:rPr>
        <w:t>2.</w:t>
      </w:r>
      <w:r>
        <w:rPr>
          <w:rFonts w:hint="eastAsia" w:ascii="宋体" w:hAnsi="宋体"/>
          <w:b/>
        </w:rPr>
        <w:t>基本要求</w:t>
      </w:r>
    </w:p>
    <w:p w14:paraId="32CD317C">
      <w:pPr>
        <w:adjustRightInd w:val="0"/>
        <w:snapToGrid w:val="0"/>
        <w:spacing w:line="348" w:lineRule="auto"/>
        <w:ind w:firstLine="420" w:firstLineChars="200"/>
        <w:jc w:val="left"/>
        <w:rPr>
          <w:rFonts w:hint="eastAsia" w:ascii="宋体" w:hAnsi="宋体"/>
        </w:rPr>
      </w:pPr>
      <w:r>
        <w:rPr>
          <w:rFonts w:hint="eastAsia" w:ascii="宋体" w:hAnsi="宋体"/>
        </w:rPr>
        <w:t>（1）</w:t>
      </w:r>
      <w:r>
        <w:rPr>
          <w:rFonts w:ascii="宋体" w:hAnsi="宋体"/>
        </w:rPr>
        <w:t>了解中国古代、西方的文化哲学思想，理解马克思主义文化哲</w:t>
      </w:r>
      <w:r>
        <w:rPr>
          <w:rFonts w:hint="eastAsia" w:ascii="宋体" w:hAnsi="宋体"/>
        </w:rPr>
        <w:t>学；</w:t>
      </w:r>
    </w:p>
    <w:p w14:paraId="076333B4">
      <w:pPr>
        <w:adjustRightInd w:val="0"/>
        <w:snapToGrid w:val="0"/>
        <w:spacing w:line="348" w:lineRule="auto"/>
        <w:ind w:firstLine="420" w:firstLineChars="200"/>
        <w:jc w:val="left"/>
        <w:rPr>
          <w:rFonts w:hint="eastAsia" w:ascii="宋体"/>
          <w:b/>
        </w:rPr>
      </w:pPr>
      <w:r>
        <w:rPr>
          <w:rFonts w:hint="eastAsia" w:ascii="宋体" w:hAnsi="宋体"/>
        </w:rPr>
        <w:t>（2）</w:t>
      </w:r>
      <w:r>
        <w:rPr>
          <w:rFonts w:ascii="宋体" w:hAnsi="宋体"/>
        </w:rPr>
        <w:t>理解教育的文化基础与责任，特别关注如何通过教育促进文化传统</w:t>
      </w:r>
      <w:r>
        <w:rPr>
          <w:rFonts w:hint="eastAsia" w:ascii="宋体" w:hAnsi="宋体"/>
        </w:rPr>
        <w:t>的</w:t>
      </w:r>
      <w:r>
        <w:rPr>
          <w:rFonts w:ascii="宋体" w:hAnsi="宋体"/>
        </w:rPr>
        <w:t>继承与弘扬；</w:t>
      </w:r>
    </w:p>
    <w:p w14:paraId="522A368C">
      <w:pPr>
        <w:adjustRightInd w:val="0"/>
        <w:snapToGrid w:val="0"/>
        <w:spacing w:line="348" w:lineRule="auto"/>
        <w:ind w:firstLine="420" w:firstLineChars="200"/>
        <w:jc w:val="left"/>
        <w:rPr>
          <w:rFonts w:hint="eastAsia" w:ascii="宋体" w:hAnsi="宋体"/>
        </w:rPr>
      </w:pPr>
      <w:r>
        <w:rPr>
          <w:rFonts w:hint="eastAsia" w:ascii="宋体" w:hAnsi="宋体"/>
        </w:rPr>
        <w:t>（3）</w:t>
      </w:r>
      <w:r>
        <w:rPr>
          <w:rFonts w:ascii="宋体" w:hAnsi="宋体"/>
        </w:rPr>
        <w:t>理解多元文化背景下民族文化认同遭遇的挑战及其教育行动要点；</w:t>
      </w:r>
    </w:p>
    <w:p w14:paraId="5A64FF4A">
      <w:pPr>
        <w:adjustRightInd w:val="0"/>
        <w:snapToGrid w:val="0"/>
        <w:spacing w:line="348" w:lineRule="auto"/>
        <w:ind w:firstLine="420" w:firstLineChars="200"/>
        <w:jc w:val="left"/>
        <w:rPr>
          <w:rFonts w:hint="eastAsia" w:ascii="宋体" w:hAnsi="宋体"/>
        </w:rPr>
      </w:pPr>
      <w:r>
        <w:rPr>
          <w:rFonts w:hint="eastAsia" w:ascii="宋体" w:hAnsi="宋体"/>
        </w:rPr>
        <w:t>（4）</w:t>
      </w:r>
      <w:r>
        <w:rPr>
          <w:rFonts w:ascii="宋体" w:hAnsi="宋体"/>
        </w:rPr>
        <w:t>树立文化多样性以及文化交流、文化对话的态度和价值观念。</w:t>
      </w:r>
    </w:p>
    <w:p w14:paraId="3D35FA2A">
      <w:pPr>
        <w:adjustRightInd w:val="0"/>
        <w:snapToGrid w:val="0"/>
        <w:spacing w:line="348" w:lineRule="auto"/>
        <w:ind w:firstLine="422" w:firstLineChars="200"/>
        <w:jc w:val="left"/>
        <w:rPr>
          <w:rFonts w:hint="eastAsia" w:ascii="宋体" w:hAnsi="宋体"/>
        </w:rPr>
      </w:pPr>
      <w:r>
        <w:rPr>
          <w:rFonts w:hint="eastAsia" w:ascii="宋体" w:hAnsi="宋体"/>
          <w:b/>
        </w:rPr>
        <w:t>教学重点</w:t>
      </w:r>
      <w:r>
        <w:rPr>
          <w:rFonts w:hint="eastAsia" w:ascii="宋体" w:hAnsi="宋体"/>
        </w:rPr>
        <w:t>：全球化背景下的文化多样性教育</w:t>
      </w:r>
    </w:p>
    <w:p w14:paraId="20C1E711">
      <w:pPr>
        <w:adjustRightInd w:val="0"/>
        <w:snapToGrid w:val="0"/>
        <w:spacing w:line="348" w:lineRule="auto"/>
        <w:ind w:firstLine="422" w:firstLineChars="200"/>
        <w:jc w:val="left"/>
        <w:rPr>
          <w:rFonts w:hint="eastAsia" w:ascii="宋体"/>
        </w:rPr>
      </w:pPr>
      <w:r>
        <w:rPr>
          <w:rFonts w:hint="eastAsia" w:ascii="宋体" w:hAnsi="宋体"/>
          <w:b/>
        </w:rPr>
        <w:t>教学难点</w:t>
      </w:r>
      <w:r>
        <w:rPr>
          <w:rFonts w:hint="eastAsia" w:ascii="宋体" w:hAnsi="宋体"/>
        </w:rPr>
        <w:t>：教育的文化基础与责任</w:t>
      </w:r>
    </w:p>
    <w:p w14:paraId="3BBD1E8F">
      <w:pPr>
        <w:spacing w:line="348" w:lineRule="auto"/>
        <w:ind w:firstLine="316" w:firstLineChars="150"/>
        <w:jc w:val="left"/>
        <w:rPr>
          <w:rFonts w:hint="eastAsia" w:ascii="宋体" w:hAnsi="宋体"/>
          <w:b/>
        </w:rPr>
      </w:pPr>
      <w:r>
        <w:rPr>
          <w:rFonts w:hint="eastAsia" w:ascii="宋体" w:hAnsi="宋体"/>
          <w:b/>
        </w:rPr>
        <w:t>3.课程思政育人目标</w:t>
      </w:r>
    </w:p>
    <w:p w14:paraId="28D9898E">
      <w:pPr>
        <w:adjustRightInd w:val="0"/>
        <w:snapToGrid w:val="0"/>
        <w:spacing w:line="348" w:lineRule="auto"/>
        <w:ind w:firstLine="420" w:firstLineChars="200"/>
        <w:jc w:val="left"/>
        <w:rPr>
          <w:rFonts w:hint="eastAsia" w:ascii="宋体" w:hAnsi="宋体"/>
          <w:bCs/>
        </w:rPr>
      </w:pPr>
      <w:r>
        <w:rPr>
          <w:rFonts w:hint="eastAsia" w:ascii="宋体" w:hAnsi="宋体"/>
          <w:bCs/>
        </w:rPr>
        <w:t>传承和弘扬中国优秀文化传统，培养具有传统文化素养的人，通过教育变革培养青年一代的文化自信和文化自觉，为中华民族文化保留优秀的基因，培育新的文化生命力。</w:t>
      </w:r>
    </w:p>
    <w:p w14:paraId="7C94320A">
      <w:pPr>
        <w:adjustRightInd w:val="0"/>
        <w:snapToGrid w:val="0"/>
        <w:spacing w:line="348" w:lineRule="auto"/>
        <w:ind w:firstLine="422" w:firstLineChars="200"/>
        <w:rPr>
          <w:rFonts w:hint="eastAsia" w:ascii="宋体"/>
          <w:b/>
          <w:color w:val="000000"/>
          <w:szCs w:val="22"/>
        </w:rPr>
      </w:pPr>
      <w:r>
        <w:rPr>
          <w:rFonts w:hint="eastAsia" w:ascii="宋体" w:hAnsi="宋体"/>
          <w:b/>
        </w:rPr>
        <w:t>（十一）教育哲学与教师发展</w:t>
      </w:r>
      <w:r>
        <w:rPr>
          <w:rFonts w:hint="eastAsia" w:ascii="宋体" w:hAnsi="宋体"/>
          <w:b/>
          <w:color w:val="000000"/>
          <w:szCs w:val="22"/>
        </w:rPr>
        <w:t>（本模块各知识点的讲授与学习，可以支撑课程目标</w:t>
      </w:r>
      <w:r>
        <w:rPr>
          <w:rFonts w:ascii="宋体" w:hAnsi="宋体"/>
          <w:b/>
          <w:color w:val="000000"/>
          <w:szCs w:val="22"/>
        </w:rPr>
        <w:t>1</w:t>
      </w:r>
      <w:r>
        <w:rPr>
          <w:rFonts w:hint="eastAsia" w:ascii="宋体" w:hAnsi="宋体"/>
          <w:b/>
          <w:color w:val="000000"/>
          <w:szCs w:val="22"/>
        </w:rPr>
        <w:t>、课程目标2、课程目标</w:t>
      </w:r>
      <w:r>
        <w:rPr>
          <w:rFonts w:ascii="宋体" w:hAnsi="宋体"/>
          <w:b/>
          <w:color w:val="000000"/>
          <w:szCs w:val="22"/>
        </w:rPr>
        <w:t>4</w:t>
      </w:r>
      <w:r>
        <w:rPr>
          <w:rFonts w:hint="eastAsia" w:ascii="宋体" w:hAnsi="宋体"/>
          <w:b/>
          <w:color w:val="000000"/>
          <w:szCs w:val="22"/>
        </w:rPr>
        <w:t>）</w:t>
      </w:r>
    </w:p>
    <w:p w14:paraId="08127F1C">
      <w:pPr>
        <w:adjustRightInd w:val="0"/>
        <w:snapToGrid w:val="0"/>
        <w:spacing w:line="348" w:lineRule="auto"/>
        <w:ind w:firstLine="422" w:firstLineChars="200"/>
        <w:rPr>
          <w:rFonts w:hint="eastAsia" w:ascii="宋体"/>
          <w:b/>
        </w:rPr>
      </w:pPr>
      <w:r>
        <w:rPr>
          <w:rFonts w:ascii="宋体" w:hAnsi="宋体"/>
          <w:b/>
        </w:rPr>
        <w:t>1.</w:t>
      </w:r>
      <w:r>
        <w:rPr>
          <w:rFonts w:hint="eastAsia" w:ascii="宋体" w:hAnsi="宋体"/>
          <w:b/>
        </w:rPr>
        <w:t>教学内容</w:t>
      </w:r>
    </w:p>
    <w:p w14:paraId="7BD21E26">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1</w:t>
      </w:r>
      <w:r>
        <w:rPr>
          <w:rFonts w:hint="eastAsia" w:ascii="宋体" w:hAnsi="宋体"/>
        </w:rPr>
        <w:t>）卓越教师的教育哲学</w:t>
      </w:r>
    </w:p>
    <w:p w14:paraId="0E57B3A9">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2</w:t>
      </w:r>
      <w:r>
        <w:rPr>
          <w:rFonts w:hint="eastAsia" w:ascii="宋体" w:hAnsi="宋体"/>
        </w:rPr>
        <w:t>）教育哲学与教师专业发展</w:t>
      </w:r>
    </w:p>
    <w:p w14:paraId="6E8C0EF6">
      <w:pPr>
        <w:adjustRightInd w:val="0"/>
        <w:snapToGrid w:val="0"/>
        <w:spacing w:line="348" w:lineRule="auto"/>
        <w:ind w:firstLine="420" w:firstLineChars="200"/>
        <w:rPr>
          <w:rFonts w:hint="eastAsia" w:ascii="宋体"/>
        </w:rPr>
      </w:pPr>
      <w:r>
        <w:rPr>
          <w:rFonts w:hint="eastAsia" w:ascii="宋体" w:hAnsi="宋体"/>
        </w:rPr>
        <w:t>（</w:t>
      </w:r>
      <w:r>
        <w:rPr>
          <w:rFonts w:ascii="宋体" w:hAnsi="宋体"/>
        </w:rPr>
        <w:t>3</w:t>
      </w:r>
      <w:r>
        <w:rPr>
          <w:rFonts w:hint="eastAsia" w:ascii="宋体" w:hAnsi="宋体"/>
        </w:rPr>
        <w:t>）建构教师个人教育哲学</w:t>
      </w:r>
    </w:p>
    <w:p w14:paraId="7803F33C">
      <w:pPr>
        <w:adjustRightInd w:val="0"/>
        <w:snapToGrid w:val="0"/>
        <w:spacing w:line="348" w:lineRule="auto"/>
        <w:ind w:firstLine="422" w:firstLineChars="200"/>
        <w:rPr>
          <w:rFonts w:hint="eastAsia" w:ascii="宋体"/>
          <w:b/>
        </w:rPr>
      </w:pPr>
      <w:r>
        <w:rPr>
          <w:rFonts w:ascii="宋体" w:hAnsi="宋体"/>
          <w:b/>
        </w:rPr>
        <w:t>2.</w:t>
      </w:r>
      <w:r>
        <w:rPr>
          <w:rFonts w:hint="eastAsia" w:ascii="宋体" w:hAnsi="宋体"/>
          <w:b/>
        </w:rPr>
        <w:t>基本要求</w:t>
      </w:r>
    </w:p>
    <w:p w14:paraId="6AE6E063">
      <w:pPr>
        <w:adjustRightInd w:val="0"/>
        <w:snapToGrid w:val="0"/>
        <w:spacing w:line="348" w:lineRule="auto"/>
        <w:ind w:firstLine="420" w:firstLineChars="200"/>
        <w:rPr>
          <w:rFonts w:hint="eastAsia" w:ascii="宋体" w:hAnsi="宋体"/>
        </w:rPr>
      </w:pPr>
      <w:r>
        <w:rPr>
          <w:rFonts w:hint="eastAsia" w:ascii="宋体" w:hAnsi="宋体"/>
        </w:rPr>
        <w:t>（1）</w:t>
      </w:r>
      <w:r>
        <w:rPr>
          <w:rFonts w:ascii="宋体" w:hAnsi="宋体"/>
        </w:rPr>
        <w:t>理解教育哲学作为一种实践哲学，只有与教育实践的主体（教师）相结合，才能发挥实践作用；</w:t>
      </w:r>
    </w:p>
    <w:p w14:paraId="560931EE">
      <w:pPr>
        <w:adjustRightInd w:val="0"/>
        <w:snapToGrid w:val="0"/>
        <w:spacing w:line="348" w:lineRule="auto"/>
        <w:ind w:firstLine="420" w:firstLineChars="200"/>
        <w:rPr>
          <w:rFonts w:hint="eastAsia" w:ascii="宋体" w:hAnsi="宋体"/>
        </w:rPr>
      </w:pPr>
      <w:r>
        <w:rPr>
          <w:rFonts w:hint="eastAsia" w:ascii="宋体" w:hAnsi="宋体"/>
        </w:rPr>
        <w:t>（2）</w:t>
      </w:r>
      <w:r>
        <w:rPr>
          <w:rFonts w:ascii="宋体" w:hAnsi="宋体"/>
        </w:rPr>
        <w:t>理解教师成长与哲学之思的内在联系，理解教育哲学的实践意义在于让教师拥有反思实践的理论态度；</w:t>
      </w:r>
    </w:p>
    <w:p w14:paraId="42989D8E">
      <w:pPr>
        <w:adjustRightInd w:val="0"/>
        <w:snapToGrid w:val="0"/>
        <w:spacing w:line="348" w:lineRule="auto"/>
        <w:ind w:firstLine="422" w:firstLineChars="200"/>
        <w:rPr>
          <w:rFonts w:hint="eastAsia" w:ascii="宋体"/>
        </w:rPr>
      </w:pPr>
      <w:r>
        <w:rPr>
          <w:rFonts w:hint="eastAsia" w:ascii="宋体" w:hAnsi="宋体"/>
          <w:b/>
        </w:rPr>
        <w:t>教学重点</w:t>
      </w:r>
      <w:r>
        <w:rPr>
          <w:rFonts w:hint="eastAsia" w:ascii="宋体" w:hAnsi="宋体"/>
        </w:rPr>
        <w:t>：教育哲学与教师专业发展</w:t>
      </w:r>
    </w:p>
    <w:p w14:paraId="602485AA">
      <w:pPr>
        <w:adjustRightInd w:val="0"/>
        <w:snapToGrid w:val="0"/>
        <w:spacing w:line="348" w:lineRule="auto"/>
        <w:ind w:firstLine="422" w:firstLineChars="200"/>
        <w:rPr>
          <w:rFonts w:hint="eastAsia" w:ascii="宋体"/>
        </w:rPr>
      </w:pPr>
      <w:r>
        <w:rPr>
          <w:rFonts w:hint="eastAsia" w:ascii="宋体" w:hAnsi="宋体"/>
          <w:b/>
        </w:rPr>
        <w:t>教学难点</w:t>
      </w:r>
      <w:r>
        <w:rPr>
          <w:rFonts w:hint="eastAsia" w:ascii="宋体" w:hAnsi="宋体"/>
        </w:rPr>
        <w:t>：建构教师个人教育哲学</w:t>
      </w:r>
    </w:p>
    <w:p w14:paraId="72EAB58E">
      <w:pPr>
        <w:adjustRightInd w:val="0"/>
        <w:snapToGrid w:val="0"/>
        <w:spacing w:line="348" w:lineRule="auto"/>
        <w:ind w:firstLine="422" w:firstLineChars="200"/>
        <w:rPr>
          <w:rFonts w:hint="eastAsia" w:ascii="宋体" w:hAnsi="宋体"/>
          <w:b/>
        </w:rPr>
      </w:pPr>
      <w:r>
        <w:rPr>
          <w:rFonts w:hint="eastAsia" w:ascii="宋体" w:hAnsi="宋体"/>
          <w:b/>
        </w:rPr>
        <w:t>3.课程思政育人目标</w:t>
      </w:r>
    </w:p>
    <w:p w14:paraId="749E3D53">
      <w:pPr>
        <w:adjustRightInd w:val="0"/>
        <w:snapToGrid w:val="0"/>
        <w:spacing w:line="348" w:lineRule="auto"/>
        <w:ind w:firstLine="420" w:firstLineChars="200"/>
        <w:rPr>
          <w:rFonts w:hint="eastAsia" w:ascii="宋体" w:hAnsi="宋体"/>
        </w:rPr>
      </w:pPr>
      <w:r>
        <w:rPr>
          <w:rFonts w:ascii="宋体" w:hAnsi="宋体"/>
        </w:rPr>
        <w:t>指导</w:t>
      </w:r>
      <w:r>
        <w:rPr>
          <w:rFonts w:hint="eastAsia" w:ascii="宋体" w:hAnsi="宋体"/>
        </w:rPr>
        <w:t>师范生</w:t>
      </w:r>
      <w:r>
        <w:rPr>
          <w:rFonts w:ascii="宋体" w:hAnsi="宋体"/>
        </w:rPr>
        <w:t>学会以哲学方式思考教师的境遇与相关问题</w:t>
      </w:r>
      <w:r>
        <w:rPr>
          <w:rFonts w:hint="eastAsia" w:ascii="宋体" w:hAnsi="宋体"/>
        </w:rPr>
        <w:t>，</w:t>
      </w:r>
      <w:r>
        <w:rPr>
          <w:rFonts w:ascii="宋体" w:hAnsi="宋体"/>
        </w:rPr>
        <w:t>拥有反思实践的能力（哲学态度）。</w:t>
      </w:r>
      <w:r>
        <w:rPr>
          <w:rFonts w:hint="eastAsia" w:ascii="宋体" w:hAnsi="宋体"/>
          <w:bCs/>
        </w:rPr>
        <w:t>增强其对专业的热爱和坚持，从而深刻认识教师所承担的国家使命、社会期待和民族重托，立志成为“四有”好老师。</w:t>
      </w:r>
    </w:p>
    <w:p w14:paraId="6A95668D">
      <w:pPr>
        <w:spacing w:line="360" w:lineRule="auto"/>
        <w:ind w:firstLine="316" w:firstLineChars="150"/>
        <w:rPr>
          <w:rFonts w:hint="eastAsia" w:ascii="宋体"/>
          <w:b/>
        </w:rPr>
      </w:pPr>
      <w:r>
        <w:rPr>
          <w:rFonts w:hint="eastAsia" w:ascii="宋体" w:hAnsi="宋体"/>
          <w:b/>
        </w:rPr>
        <w:t>教学内容与课程目标的对应关系及学时分配如表所示：</w:t>
      </w:r>
    </w:p>
    <w:tbl>
      <w:tblPr>
        <w:tblStyle w:val="30"/>
        <w:tblW w:w="88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829"/>
        <w:gridCol w:w="1831"/>
        <w:gridCol w:w="2835"/>
        <w:gridCol w:w="667"/>
      </w:tblGrid>
      <w:tr w14:paraId="3FB5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22" w:type="dxa"/>
            <w:vAlign w:val="center"/>
          </w:tcPr>
          <w:p w14:paraId="4E9D5358">
            <w:pPr>
              <w:adjustRightInd w:val="0"/>
              <w:snapToGrid w:val="0"/>
              <w:spacing w:line="276" w:lineRule="auto"/>
              <w:jc w:val="center"/>
              <w:rPr>
                <w:rFonts w:hint="eastAsia" w:ascii="宋体"/>
                <w:b/>
                <w:sz w:val="21"/>
                <w:szCs w:val="21"/>
              </w:rPr>
            </w:pPr>
            <w:r>
              <w:rPr>
                <w:rFonts w:hint="eastAsia" w:ascii="宋体" w:hAnsi="宋体"/>
                <w:b/>
                <w:sz w:val="21"/>
                <w:szCs w:val="21"/>
              </w:rPr>
              <w:t>序号</w:t>
            </w:r>
          </w:p>
        </w:tc>
        <w:tc>
          <w:tcPr>
            <w:tcW w:w="2829" w:type="dxa"/>
            <w:vAlign w:val="center"/>
          </w:tcPr>
          <w:p w14:paraId="7E7D8DCE">
            <w:pPr>
              <w:adjustRightInd w:val="0"/>
              <w:snapToGrid w:val="0"/>
              <w:spacing w:line="276" w:lineRule="auto"/>
              <w:jc w:val="center"/>
              <w:rPr>
                <w:rFonts w:hint="eastAsia" w:ascii="宋体"/>
                <w:b/>
                <w:sz w:val="21"/>
                <w:szCs w:val="21"/>
              </w:rPr>
            </w:pPr>
            <w:r>
              <w:rPr>
                <w:rFonts w:hint="eastAsia" w:ascii="宋体" w:hAnsi="宋体"/>
                <w:b/>
                <w:sz w:val="21"/>
                <w:szCs w:val="21"/>
              </w:rPr>
              <w:t>教学内容</w:t>
            </w:r>
          </w:p>
        </w:tc>
        <w:tc>
          <w:tcPr>
            <w:tcW w:w="1831" w:type="dxa"/>
            <w:vAlign w:val="center"/>
          </w:tcPr>
          <w:p w14:paraId="0554FB5B">
            <w:pPr>
              <w:adjustRightInd w:val="0"/>
              <w:snapToGrid w:val="0"/>
              <w:spacing w:line="276" w:lineRule="auto"/>
              <w:jc w:val="center"/>
              <w:rPr>
                <w:rFonts w:hint="eastAsia" w:ascii="宋体"/>
                <w:b/>
                <w:sz w:val="21"/>
                <w:szCs w:val="21"/>
              </w:rPr>
            </w:pPr>
            <w:r>
              <w:rPr>
                <w:rFonts w:hint="eastAsia" w:ascii="宋体" w:hAnsi="宋体"/>
                <w:b/>
                <w:sz w:val="21"/>
                <w:szCs w:val="21"/>
              </w:rPr>
              <w:t>支撑的课程目标</w:t>
            </w:r>
          </w:p>
        </w:tc>
        <w:tc>
          <w:tcPr>
            <w:tcW w:w="2835" w:type="dxa"/>
            <w:vAlign w:val="center"/>
          </w:tcPr>
          <w:p w14:paraId="0A50A095">
            <w:pPr>
              <w:adjustRightInd w:val="0"/>
              <w:snapToGrid w:val="0"/>
              <w:spacing w:line="276" w:lineRule="auto"/>
              <w:jc w:val="center"/>
              <w:rPr>
                <w:rFonts w:hint="eastAsia" w:ascii="宋体" w:hAnsi="宋体"/>
                <w:b/>
                <w:sz w:val="21"/>
                <w:szCs w:val="21"/>
              </w:rPr>
            </w:pPr>
            <w:r>
              <w:rPr>
                <w:rFonts w:hint="eastAsia" w:ascii="宋体" w:hAnsi="宋体"/>
                <w:b/>
                <w:sz w:val="21"/>
                <w:szCs w:val="21"/>
              </w:rPr>
              <w:t>支撑的毕业要求</w:t>
            </w:r>
          </w:p>
          <w:p w14:paraId="17BC86E4">
            <w:pPr>
              <w:adjustRightInd w:val="0"/>
              <w:snapToGrid w:val="0"/>
              <w:spacing w:line="276" w:lineRule="auto"/>
              <w:jc w:val="center"/>
              <w:rPr>
                <w:rFonts w:hint="eastAsia" w:ascii="宋体"/>
                <w:b/>
                <w:sz w:val="21"/>
                <w:szCs w:val="21"/>
              </w:rPr>
            </w:pPr>
            <w:r>
              <w:rPr>
                <w:rFonts w:hint="eastAsia" w:ascii="宋体" w:hAnsi="宋体"/>
                <w:b/>
                <w:sz w:val="21"/>
                <w:szCs w:val="21"/>
              </w:rPr>
              <w:t>指标点</w:t>
            </w:r>
          </w:p>
        </w:tc>
        <w:tc>
          <w:tcPr>
            <w:tcW w:w="667" w:type="dxa"/>
            <w:vAlign w:val="center"/>
          </w:tcPr>
          <w:p w14:paraId="555DE6E5">
            <w:pPr>
              <w:adjustRightInd w:val="0"/>
              <w:snapToGrid w:val="0"/>
              <w:spacing w:line="276" w:lineRule="auto"/>
              <w:jc w:val="center"/>
              <w:rPr>
                <w:rFonts w:hint="eastAsia" w:ascii="宋体"/>
                <w:b/>
                <w:sz w:val="21"/>
                <w:szCs w:val="21"/>
              </w:rPr>
            </w:pPr>
            <w:r>
              <w:rPr>
                <w:rFonts w:hint="eastAsia" w:ascii="宋体" w:hAnsi="宋体"/>
                <w:b/>
                <w:sz w:val="21"/>
                <w:szCs w:val="21"/>
              </w:rPr>
              <w:t>讲授学时</w:t>
            </w:r>
          </w:p>
        </w:tc>
      </w:tr>
      <w:tr w14:paraId="7639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08F3F791">
            <w:pPr>
              <w:adjustRightInd w:val="0"/>
              <w:snapToGrid w:val="0"/>
              <w:spacing w:line="276" w:lineRule="auto"/>
              <w:jc w:val="center"/>
              <w:rPr>
                <w:rFonts w:hint="eastAsia" w:ascii="宋体" w:hAnsi="宋体"/>
                <w:sz w:val="21"/>
                <w:szCs w:val="21"/>
              </w:rPr>
            </w:pPr>
            <w:r>
              <w:rPr>
                <w:rFonts w:ascii="宋体" w:hAnsi="宋体"/>
                <w:sz w:val="21"/>
                <w:szCs w:val="21"/>
              </w:rPr>
              <w:t>1</w:t>
            </w:r>
          </w:p>
        </w:tc>
        <w:tc>
          <w:tcPr>
            <w:tcW w:w="2829" w:type="dxa"/>
            <w:vAlign w:val="center"/>
          </w:tcPr>
          <w:p w14:paraId="070849EC">
            <w:pPr>
              <w:adjustRightInd w:val="0"/>
              <w:snapToGrid w:val="0"/>
              <w:spacing w:line="276" w:lineRule="auto"/>
              <w:rPr>
                <w:rFonts w:hint="eastAsia" w:ascii="宋体"/>
                <w:sz w:val="21"/>
                <w:szCs w:val="21"/>
              </w:rPr>
            </w:pPr>
            <w:r>
              <w:rPr>
                <w:rFonts w:hint="eastAsia" w:ascii="宋体"/>
                <w:sz w:val="21"/>
                <w:szCs w:val="21"/>
              </w:rPr>
              <w:t>绪论</w:t>
            </w:r>
          </w:p>
        </w:tc>
        <w:tc>
          <w:tcPr>
            <w:tcW w:w="1831" w:type="dxa"/>
            <w:vAlign w:val="center"/>
          </w:tcPr>
          <w:p w14:paraId="7B2F7D5C">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p>
        </w:tc>
        <w:tc>
          <w:tcPr>
            <w:tcW w:w="2835" w:type="dxa"/>
            <w:vAlign w:val="center"/>
          </w:tcPr>
          <w:p w14:paraId="43D7CCE7">
            <w:pPr>
              <w:adjustRightInd w:val="0"/>
              <w:snapToGrid w:val="0"/>
              <w:spacing w:line="276" w:lineRule="auto"/>
              <w:rPr>
                <w:rFonts w:hint="eastAsia" w:ascii="宋体" w:hAnsi="宋体"/>
                <w:sz w:val="21"/>
                <w:szCs w:val="21"/>
              </w:rPr>
            </w:pPr>
            <w:r>
              <w:rPr>
                <w:rFonts w:ascii="宋体" w:hAnsi="宋体"/>
                <w:sz w:val="21"/>
                <w:szCs w:val="21"/>
              </w:rPr>
              <w:t>3-1</w:t>
            </w:r>
            <w:r>
              <w:rPr>
                <w:rFonts w:hint="eastAsia" w:ascii="宋体" w:hAnsi="宋体"/>
                <w:sz w:val="21"/>
                <w:szCs w:val="21"/>
              </w:rPr>
              <w:t>、</w:t>
            </w:r>
            <w:r>
              <w:rPr>
                <w:rFonts w:ascii="宋体" w:hAnsi="宋体"/>
                <w:sz w:val="21"/>
                <w:szCs w:val="21"/>
              </w:rPr>
              <w:t>7-1</w:t>
            </w:r>
          </w:p>
        </w:tc>
        <w:tc>
          <w:tcPr>
            <w:tcW w:w="667" w:type="dxa"/>
            <w:vAlign w:val="center"/>
          </w:tcPr>
          <w:p w14:paraId="5C7F075E">
            <w:pPr>
              <w:adjustRightInd w:val="0"/>
              <w:snapToGrid w:val="0"/>
              <w:spacing w:line="276" w:lineRule="auto"/>
              <w:jc w:val="center"/>
              <w:rPr>
                <w:rFonts w:hint="eastAsia" w:ascii="宋体"/>
                <w:sz w:val="21"/>
                <w:szCs w:val="21"/>
              </w:rPr>
            </w:pPr>
            <w:r>
              <w:rPr>
                <w:rFonts w:ascii="宋体" w:hAnsi="宋体"/>
                <w:sz w:val="21"/>
                <w:szCs w:val="21"/>
              </w:rPr>
              <w:t>2</w:t>
            </w:r>
          </w:p>
        </w:tc>
      </w:tr>
      <w:tr w14:paraId="7677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2" w:type="dxa"/>
            <w:vAlign w:val="center"/>
          </w:tcPr>
          <w:p w14:paraId="41003BA1">
            <w:pPr>
              <w:adjustRightInd w:val="0"/>
              <w:snapToGrid w:val="0"/>
              <w:spacing w:line="276" w:lineRule="auto"/>
              <w:jc w:val="center"/>
              <w:rPr>
                <w:rFonts w:hint="eastAsia" w:ascii="宋体" w:hAnsi="宋体"/>
                <w:sz w:val="21"/>
                <w:szCs w:val="21"/>
              </w:rPr>
            </w:pPr>
            <w:r>
              <w:rPr>
                <w:rFonts w:ascii="宋体" w:hAnsi="宋体"/>
                <w:sz w:val="21"/>
                <w:szCs w:val="21"/>
              </w:rPr>
              <w:t>2</w:t>
            </w:r>
          </w:p>
        </w:tc>
        <w:tc>
          <w:tcPr>
            <w:tcW w:w="2829" w:type="dxa"/>
            <w:vAlign w:val="center"/>
          </w:tcPr>
          <w:p w14:paraId="3F4D0398">
            <w:pPr>
              <w:adjustRightInd w:val="0"/>
              <w:snapToGrid w:val="0"/>
              <w:spacing w:line="276" w:lineRule="auto"/>
              <w:rPr>
                <w:rFonts w:hint="eastAsia" w:ascii="宋体"/>
                <w:sz w:val="21"/>
                <w:szCs w:val="21"/>
              </w:rPr>
            </w:pPr>
            <w:r>
              <w:rPr>
                <w:rFonts w:hint="eastAsia" w:ascii="宋体"/>
                <w:sz w:val="21"/>
                <w:szCs w:val="21"/>
              </w:rPr>
              <w:t>教育哲学的历史发展</w:t>
            </w:r>
          </w:p>
        </w:tc>
        <w:tc>
          <w:tcPr>
            <w:tcW w:w="1831" w:type="dxa"/>
            <w:vAlign w:val="center"/>
          </w:tcPr>
          <w:p w14:paraId="026702B0">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p>
        </w:tc>
        <w:tc>
          <w:tcPr>
            <w:tcW w:w="2835" w:type="dxa"/>
            <w:vAlign w:val="center"/>
          </w:tcPr>
          <w:p w14:paraId="5DA83CB8">
            <w:pPr>
              <w:adjustRightInd w:val="0"/>
              <w:snapToGrid w:val="0"/>
              <w:spacing w:line="276" w:lineRule="auto"/>
              <w:rPr>
                <w:rFonts w:hint="eastAsia" w:ascii="宋体" w:hAnsi="宋体"/>
                <w:sz w:val="21"/>
                <w:szCs w:val="21"/>
              </w:rPr>
            </w:pPr>
            <w:r>
              <w:rPr>
                <w:rFonts w:ascii="宋体" w:hAnsi="宋体"/>
                <w:sz w:val="21"/>
                <w:szCs w:val="21"/>
              </w:rPr>
              <w:t>3-1</w:t>
            </w:r>
            <w:r>
              <w:rPr>
                <w:rFonts w:hint="eastAsia" w:ascii="宋体" w:hAnsi="宋体"/>
                <w:sz w:val="21"/>
                <w:szCs w:val="21"/>
              </w:rPr>
              <w:t>、</w:t>
            </w:r>
            <w:r>
              <w:rPr>
                <w:rFonts w:ascii="宋体" w:hAnsi="宋体"/>
                <w:sz w:val="21"/>
                <w:szCs w:val="21"/>
              </w:rPr>
              <w:t>7-1</w:t>
            </w:r>
          </w:p>
        </w:tc>
        <w:tc>
          <w:tcPr>
            <w:tcW w:w="667" w:type="dxa"/>
            <w:vAlign w:val="center"/>
          </w:tcPr>
          <w:p w14:paraId="23E3FD76">
            <w:pPr>
              <w:adjustRightInd w:val="0"/>
              <w:snapToGrid w:val="0"/>
              <w:spacing w:line="276" w:lineRule="auto"/>
              <w:jc w:val="center"/>
              <w:rPr>
                <w:rFonts w:hint="eastAsia" w:ascii="宋体"/>
                <w:sz w:val="21"/>
                <w:szCs w:val="21"/>
              </w:rPr>
            </w:pPr>
            <w:r>
              <w:rPr>
                <w:rFonts w:ascii="宋体" w:hAnsi="宋体"/>
                <w:sz w:val="21"/>
                <w:szCs w:val="21"/>
              </w:rPr>
              <w:t>2</w:t>
            </w:r>
          </w:p>
        </w:tc>
      </w:tr>
      <w:tr w14:paraId="1078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2C8EFC1C">
            <w:pPr>
              <w:adjustRightInd w:val="0"/>
              <w:snapToGrid w:val="0"/>
              <w:spacing w:line="276" w:lineRule="auto"/>
              <w:jc w:val="center"/>
              <w:rPr>
                <w:rFonts w:hint="eastAsia" w:ascii="宋体" w:hAnsi="宋体"/>
                <w:sz w:val="21"/>
                <w:szCs w:val="21"/>
              </w:rPr>
            </w:pPr>
            <w:r>
              <w:rPr>
                <w:rFonts w:ascii="宋体" w:hAnsi="宋体"/>
                <w:sz w:val="21"/>
                <w:szCs w:val="21"/>
              </w:rPr>
              <w:t>3</w:t>
            </w:r>
          </w:p>
        </w:tc>
        <w:tc>
          <w:tcPr>
            <w:tcW w:w="2829" w:type="dxa"/>
            <w:vAlign w:val="center"/>
          </w:tcPr>
          <w:p w14:paraId="373608BF">
            <w:pPr>
              <w:adjustRightInd w:val="0"/>
              <w:snapToGrid w:val="0"/>
              <w:spacing w:line="276" w:lineRule="auto"/>
              <w:rPr>
                <w:rFonts w:hint="eastAsia" w:ascii="宋体"/>
                <w:sz w:val="21"/>
                <w:szCs w:val="21"/>
              </w:rPr>
            </w:pPr>
            <w:r>
              <w:rPr>
                <w:rFonts w:hint="eastAsia" w:ascii="宋体"/>
                <w:sz w:val="21"/>
                <w:szCs w:val="21"/>
              </w:rPr>
              <w:t>教育的本质</w:t>
            </w:r>
          </w:p>
        </w:tc>
        <w:tc>
          <w:tcPr>
            <w:tcW w:w="1831" w:type="dxa"/>
            <w:vAlign w:val="center"/>
          </w:tcPr>
          <w:p w14:paraId="4F0050F4">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w:t>
            </w:r>
            <w:r>
              <w:rPr>
                <w:rFonts w:ascii="宋体" w:hAnsi="宋体"/>
                <w:sz w:val="21"/>
                <w:szCs w:val="21"/>
              </w:rPr>
              <w:t>2</w:t>
            </w:r>
          </w:p>
        </w:tc>
        <w:tc>
          <w:tcPr>
            <w:tcW w:w="2835" w:type="dxa"/>
            <w:vAlign w:val="center"/>
          </w:tcPr>
          <w:p w14:paraId="484FBC36">
            <w:pPr>
              <w:adjustRightInd w:val="0"/>
              <w:snapToGrid w:val="0"/>
              <w:spacing w:line="276" w:lineRule="auto"/>
              <w:rPr>
                <w:rFonts w:hint="eastAsia" w:ascii="宋体" w:hAnsi="宋体"/>
                <w:sz w:val="21"/>
                <w:szCs w:val="21"/>
              </w:rPr>
            </w:pPr>
            <w:r>
              <w:rPr>
                <w:rFonts w:hint="eastAsia" w:ascii="宋体" w:hAnsi="宋体"/>
                <w:sz w:val="21"/>
                <w:szCs w:val="21"/>
              </w:rPr>
              <w:t>2-</w:t>
            </w:r>
            <w:r>
              <w:rPr>
                <w:rFonts w:ascii="宋体" w:hAnsi="宋体"/>
                <w:sz w:val="21"/>
                <w:szCs w:val="21"/>
              </w:rPr>
              <w:t>2</w:t>
            </w:r>
            <w:r>
              <w:rPr>
                <w:rFonts w:hint="eastAsia" w:ascii="宋体" w:hAnsi="宋体"/>
                <w:sz w:val="21"/>
                <w:szCs w:val="21"/>
              </w:rPr>
              <w:t>、</w:t>
            </w:r>
            <w:r>
              <w:rPr>
                <w:rFonts w:ascii="宋体" w:hAnsi="宋体"/>
                <w:sz w:val="21"/>
                <w:szCs w:val="21"/>
              </w:rPr>
              <w:t>3-1</w:t>
            </w:r>
            <w:r>
              <w:rPr>
                <w:rFonts w:hint="eastAsia" w:ascii="宋体" w:hAnsi="宋体"/>
                <w:sz w:val="21"/>
                <w:szCs w:val="21"/>
              </w:rPr>
              <w:t>、</w:t>
            </w:r>
            <w:r>
              <w:rPr>
                <w:rFonts w:ascii="宋体" w:hAnsi="宋体"/>
                <w:sz w:val="21"/>
                <w:szCs w:val="21"/>
              </w:rPr>
              <w:t>7-1</w:t>
            </w:r>
          </w:p>
        </w:tc>
        <w:tc>
          <w:tcPr>
            <w:tcW w:w="667" w:type="dxa"/>
            <w:vAlign w:val="center"/>
          </w:tcPr>
          <w:p w14:paraId="44590D72">
            <w:pPr>
              <w:adjustRightInd w:val="0"/>
              <w:snapToGrid w:val="0"/>
              <w:spacing w:line="276" w:lineRule="auto"/>
              <w:jc w:val="center"/>
              <w:rPr>
                <w:rFonts w:hint="eastAsia" w:ascii="宋体"/>
                <w:sz w:val="21"/>
                <w:szCs w:val="21"/>
              </w:rPr>
            </w:pPr>
            <w:r>
              <w:rPr>
                <w:rFonts w:ascii="宋体" w:hAnsi="宋体"/>
                <w:sz w:val="21"/>
                <w:szCs w:val="21"/>
              </w:rPr>
              <w:t>2</w:t>
            </w:r>
          </w:p>
        </w:tc>
      </w:tr>
      <w:tr w14:paraId="2F52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23E287DA">
            <w:pPr>
              <w:adjustRightInd w:val="0"/>
              <w:snapToGrid w:val="0"/>
              <w:spacing w:line="276" w:lineRule="auto"/>
              <w:jc w:val="center"/>
              <w:rPr>
                <w:rFonts w:hint="eastAsia" w:ascii="宋体" w:hAnsi="宋体"/>
                <w:sz w:val="21"/>
                <w:szCs w:val="21"/>
              </w:rPr>
            </w:pPr>
            <w:r>
              <w:rPr>
                <w:rFonts w:ascii="宋体" w:hAnsi="宋体"/>
                <w:sz w:val="21"/>
                <w:szCs w:val="21"/>
              </w:rPr>
              <w:t>4</w:t>
            </w:r>
          </w:p>
        </w:tc>
        <w:tc>
          <w:tcPr>
            <w:tcW w:w="2829" w:type="dxa"/>
            <w:vAlign w:val="center"/>
          </w:tcPr>
          <w:p w14:paraId="6CADFB68">
            <w:pPr>
              <w:adjustRightInd w:val="0"/>
              <w:snapToGrid w:val="0"/>
              <w:spacing w:line="276" w:lineRule="auto"/>
              <w:rPr>
                <w:rFonts w:hint="eastAsia" w:ascii="宋体"/>
                <w:sz w:val="21"/>
                <w:szCs w:val="21"/>
              </w:rPr>
            </w:pPr>
            <w:r>
              <w:rPr>
                <w:rFonts w:hint="eastAsia" w:ascii="宋体"/>
                <w:sz w:val="21"/>
                <w:szCs w:val="21"/>
              </w:rPr>
              <w:t>人性论与教育</w:t>
            </w:r>
          </w:p>
        </w:tc>
        <w:tc>
          <w:tcPr>
            <w:tcW w:w="1831" w:type="dxa"/>
            <w:vAlign w:val="center"/>
          </w:tcPr>
          <w:p w14:paraId="305CB124">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、2、</w:t>
            </w:r>
            <w:r>
              <w:rPr>
                <w:rFonts w:ascii="宋体" w:hAnsi="宋体"/>
                <w:sz w:val="21"/>
                <w:szCs w:val="21"/>
              </w:rPr>
              <w:t>3</w:t>
            </w:r>
          </w:p>
        </w:tc>
        <w:tc>
          <w:tcPr>
            <w:tcW w:w="2835" w:type="dxa"/>
            <w:vAlign w:val="center"/>
          </w:tcPr>
          <w:p w14:paraId="546EF40B">
            <w:pPr>
              <w:adjustRightInd w:val="0"/>
              <w:snapToGrid w:val="0"/>
              <w:spacing w:line="276" w:lineRule="auto"/>
              <w:rPr>
                <w:rFonts w:hint="eastAsia" w:ascii="宋体" w:hAnsi="宋体"/>
                <w:sz w:val="21"/>
                <w:szCs w:val="21"/>
              </w:rPr>
            </w:pPr>
            <w:r>
              <w:rPr>
                <w:rFonts w:hint="eastAsia" w:ascii="宋体" w:hAnsi="宋体"/>
                <w:sz w:val="21"/>
                <w:szCs w:val="21"/>
              </w:rPr>
              <w:t>2-</w:t>
            </w:r>
            <w:r>
              <w:rPr>
                <w:rFonts w:ascii="宋体" w:hAnsi="宋体"/>
                <w:sz w:val="21"/>
                <w:szCs w:val="21"/>
              </w:rPr>
              <w:t>2</w:t>
            </w:r>
            <w:r>
              <w:rPr>
                <w:rFonts w:hint="eastAsia" w:ascii="宋体" w:hAnsi="宋体"/>
                <w:sz w:val="21"/>
                <w:szCs w:val="21"/>
              </w:rPr>
              <w:t>、</w:t>
            </w:r>
            <w:r>
              <w:rPr>
                <w:rFonts w:ascii="宋体" w:hAnsi="宋体"/>
                <w:sz w:val="21"/>
                <w:szCs w:val="21"/>
              </w:rPr>
              <w:t>3-1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6C14EAA4">
            <w:pPr>
              <w:adjustRightInd w:val="0"/>
              <w:snapToGrid w:val="0"/>
              <w:spacing w:line="276" w:lineRule="auto"/>
              <w:jc w:val="center"/>
              <w:rPr>
                <w:rFonts w:hint="eastAsia" w:ascii="宋体"/>
                <w:sz w:val="21"/>
                <w:szCs w:val="21"/>
              </w:rPr>
            </w:pPr>
            <w:r>
              <w:rPr>
                <w:rFonts w:ascii="宋体" w:hAnsi="宋体"/>
                <w:sz w:val="21"/>
                <w:szCs w:val="21"/>
              </w:rPr>
              <w:t>4</w:t>
            </w:r>
          </w:p>
        </w:tc>
      </w:tr>
      <w:tr w14:paraId="61E7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4EAF5EB7">
            <w:pPr>
              <w:adjustRightInd w:val="0"/>
              <w:snapToGrid w:val="0"/>
              <w:spacing w:line="276" w:lineRule="auto"/>
              <w:jc w:val="center"/>
              <w:rPr>
                <w:rFonts w:hint="eastAsia" w:ascii="宋体" w:hAnsi="宋体"/>
                <w:sz w:val="21"/>
                <w:szCs w:val="21"/>
              </w:rPr>
            </w:pPr>
            <w:r>
              <w:rPr>
                <w:rFonts w:ascii="宋体" w:hAnsi="宋体"/>
                <w:sz w:val="21"/>
                <w:szCs w:val="21"/>
              </w:rPr>
              <w:t>5</w:t>
            </w:r>
          </w:p>
        </w:tc>
        <w:tc>
          <w:tcPr>
            <w:tcW w:w="2829" w:type="dxa"/>
            <w:vAlign w:val="center"/>
          </w:tcPr>
          <w:p w14:paraId="414A7131">
            <w:pPr>
              <w:adjustRightInd w:val="0"/>
              <w:snapToGrid w:val="0"/>
              <w:spacing w:line="276" w:lineRule="auto"/>
              <w:rPr>
                <w:rFonts w:hint="eastAsia" w:ascii="宋体"/>
                <w:sz w:val="21"/>
                <w:szCs w:val="21"/>
              </w:rPr>
            </w:pPr>
            <w:r>
              <w:rPr>
                <w:rFonts w:hint="eastAsia" w:ascii="宋体"/>
                <w:sz w:val="21"/>
                <w:szCs w:val="21"/>
              </w:rPr>
              <w:t>认识论与教育</w:t>
            </w:r>
          </w:p>
        </w:tc>
        <w:tc>
          <w:tcPr>
            <w:tcW w:w="1831" w:type="dxa"/>
            <w:vAlign w:val="center"/>
          </w:tcPr>
          <w:p w14:paraId="25EAE8A5">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w:t>
            </w:r>
            <w:r>
              <w:rPr>
                <w:rFonts w:ascii="宋体" w:hAnsi="宋体"/>
                <w:sz w:val="21"/>
                <w:szCs w:val="21"/>
              </w:rPr>
              <w:t>3</w:t>
            </w:r>
          </w:p>
        </w:tc>
        <w:tc>
          <w:tcPr>
            <w:tcW w:w="2835" w:type="dxa"/>
            <w:vAlign w:val="center"/>
          </w:tcPr>
          <w:p w14:paraId="47BE97A3">
            <w:pPr>
              <w:adjustRightInd w:val="0"/>
              <w:snapToGrid w:val="0"/>
              <w:spacing w:line="276" w:lineRule="auto"/>
              <w:rPr>
                <w:rFonts w:hint="eastAsia" w:ascii="宋体" w:hAns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45665B96">
            <w:pPr>
              <w:adjustRightInd w:val="0"/>
              <w:snapToGrid w:val="0"/>
              <w:spacing w:line="276" w:lineRule="auto"/>
              <w:jc w:val="center"/>
              <w:rPr>
                <w:rFonts w:hint="eastAsia" w:ascii="宋体"/>
                <w:sz w:val="21"/>
                <w:szCs w:val="21"/>
              </w:rPr>
            </w:pPr>
            <w:r>
              <w:rPr>
                <w:rFonts w:ascii="宋体" w:hAnsi="宋体"/>
                <w:sz w:val="21"/>
                <w:szCs w:val="21"/>
              </w:rPr>
              <w:t>3</w:t>
            </w:r>
          </w:p>
        </w:tc>
      </w:tr>
      <w:tr w14:paraId="026D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7557CF36">
            <w:pPr>
              <w:adjustRightInd w:val="0"/>
              <w:snapToGrid w:val="0"/>
              <w:spacing w:line="276" w:lineRule="auto"/>
              <w:jc w:val="center"/>
              <w:rPr>
                <w:rFonts w:hint="eastAsia" w:ascii="宋体" w:hAnsi="宋体"/>
                <w:sz w:val="21"/>
                <w:szCs w:val="21"/>
              </w:rPr>
            </w:pPr>
            <w:r>
              <w:rPr>
                <w:rFonts w:ascii="宋体" w:hAnsi="宋体"/>
                <w:sz w:val="21"/>
                <w:szCs w:val="21"/>
              </w:rPr>
              <w:t>6</w:t>
            </w:r>
          </w:p>
        </w:tc>
        <w:tc>
          <w:tcPr>
            <w:tcW w:w="2829" w:type="dxa"/>
            <w:vAlign w:val="center"/>
          </w:tcPr>
          <w:p w14:paraId="42891E26">
            <w:pPr>
              <w:adjustRightInd w:val="0"/>
              <w:snapToGrid w:val="0"/>
              <w:spacing w:line="276" w:lineRule="auto"/>
              <w:rPr>
                <w:rFonts w:hint="eastAsia" w:ascii="宋体"/>
                <w:sz w:val="21"/>
                <w:szCs w:val="21"/>
              </w:rPr>
            </w:pPr>
            <w:r>
              <w:rPr>
                <w:rFonts w:hint="eastAsia" w:ascii="宋体"/>
                <w:sz w:val="21"/>
                <w:szCs w:val="21"/>
              </w:rPr>
              <w:t>价值论与教育</w:t>
            </w:r>
          </w:p>
        </w:tc>
        <w:tc>
          <w:tcPr>
            <w:tcW w:w="1831" w:type="dxa"/>
            <w:vAlign w:val="center"/>
          </w:tcPr>
          <w:p w14:paraId="3CB775EA">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、2、</w:t>
            </w:r>
            <w:r>
              <w:rPr>
                <w:rFonts w:ascii="宋体" w:hAnsi="宋体"/>
                <w:sz w:val="21"/>
                <w:szCs w:val="21"/>
              </w:rPr>
              <w:t>3</w:t>
            </w:r>
          </w:p>
        </w:tc>
        <w:tc>
          <w:tcPr>
            <w:tcW w:w="2835" w:type="dxa"/>
            <w:vAlign w:val="center"/>
          </w:tcPr>
          <w:p w14:paraId="460812E9">
            <w:pPr>
              <w:adjustRightInd w:val="0"/>
              <w:snapToGrid w:val="0"/>
              <w:spacing w:line="276" w:lineRule="auto"/>
              <w:rPr>
                <w:rFonts w:hint="eastAsia" w:ascii="宋体" w:hAnsi="宋体"/>
                <w:sz w:val="21"/>
                <w:szCs w:val="21"/>
              </w:rPr>
            </w:pPr>
            <w:r>
              <w:rPr>
                <w:rFonts w:hint="eastAsia" w:ascii="宋体" w:hAnsi="宋体"/>
                <w:sz w:val="21"/>
                <w:szCs w:val="21"/>
              </w:rPr>
              <w:t>2-</w:t>
            </w:r>
            <w:r>
              <w:rPr>
                <w:rFonts w:ascii="宋体" w:hAnsi="宋体"/>
                <w:sz w:val="21"/>
                <w:szCs w:val="21"/>
              </w:rPr>
              <w:t>2</w:t>
            </w:r>
            <w:r>
              <w:rPr>
                <w:rFonts w:hint="eastAsia" w:ascii="宋体" w:hAnsi="宋体"/>
                <w:sz w:val="21"/>
                <w:szCs w:val="21"/>
              </w:rPr>
              <w:t>、</w:t>
            </w:r>
            <w:r>
              <w:rPr>
                <w:rFonts w:ascii="宋体" w:hAnsi="宋体"/>
                <w:sz w:val="21"/>
                <w:szCs w:val="21"/>
              </w:rPr>
              <w:t>3-1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1D9DF328">
            <w:pPr>
              <w:adjustRightInd w:val="0"/>
              <w:snapToGrid w:val="0"/>
              <w:spacing w:line="276" w:lineRule="auto"/>
              <w:jc w:val="center"/>
              <w:rPr>
                <w:rFonts w:hint="eastAsia" w:ascii="宋体"/>
                <w:sz w:val="21"/>
                <w:szCs w:val="21"/>
              </w:rPr>
            </w:pPr>
            <w:r>
              <w:rPr>
                <w:rFonts w:ascii="宋体" w:hAnsi="宋体"/>
                <w:sz w:val="21"/>
                <w:szCs w:val="21"/>
              </w:rPr>
              <w:t>3</w:t>
            </w:r>
          </w:p>
        </w:tc>
      </w:tr>
      <w:tr w14:paraId="7754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2" w:type="dxa"/>
            <w:vAlign w:val="center"/>
          </w:tcPr>
          <w:p w14:paraId="577EE08E">
            <w:pPr>
              <w:adjustRightInd w:val="0"/>
              <w:snapToGrid w:val="0"/>
              <w:spacing w:line="276" w:lineRule="auto"/>
              <w:jc w:val="center"/>
              <w:rPr>
                <w:rFonts w:hint="eastAsia" w:ascii="宋体" w:hAnsi="宋体"/>
                <w:sz w:val="21"/>
                <w:szCs w:val="21"/>
              </w:rPr>
            </w:pPr>
            <w:r>
              <w:rPr>
                <w:rFonts w:ascii="宋体" w:hAnsi="宋体"/>
                <w:sz w:val="21"/>
                <w:szCs w:val="21"/>
              </w:rPr>
              <w:t>7</w:t>
            </w:r>
          </w:p>
        </w:tc>
        <w:tc>
          <w:tcPr>
            <w:tcW w:w="2829" w:type="dxa"/>
            <w:vAlign w:val="center"/>
          </w:tcPr>
          <w:p w14:paraId="7BD91F35">
            <w:pPr>
              <w:adjustRightInd w:val="0"/>
              <w:snapToGrid w:val="0"/>
              <w:spacing w:line="276" w:lineRule="auto"/>
              <w:rPr>
                <w:rFonts w:hint="eastAsia" w:ascii="宋体"/>
                <w:sz w:val="21"/>
                <w:szCs w:val="21"/>
              </w:rPr>
            </w:pPr>
            <w:r>
              <w:rPr>
                <w:rFonts w:hint="eastAsia" w:ascii="宋体" w:hAnsi="宋体"/>
                <w:sz w:val="21"/>
                <w:szCs w:val="21"/>
              </w:rPr>
              <w:t>伦理学与教育</w:t>
            </w:r>
          </w:p>
        </w:tc>
        <w:tc>
          <w:tcPr>
            <w:tcW w:w="1831" w:type="dxa"/>
            <w:vAlign w:val="center"/>
          </w:tcPr>
          <w:p w14:paraId="48B8A958">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、3</w:t>
            </w:r>
          </w:p>
        </w:tc>
        <w:tc>
          <w:tcPr>
            <w:tcW w:w="2835" w:type="dxa"/>
            <w:vAlign w:val="center"/>
          </w:tcPr>
          <w:p w14:paraId="45D4D046">
            <w:pPr>
              <w:adjustRightInd w:val="0"/>
              <w:snapToGrid w:val="0"/>
              <w:spacing w:line="276" w:lineRule="auto"/>
              <w:rPr>
                <w:rFonts w:hint="eastAsia" w:ascii="宋体" w:hAns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17843EFC">
            <w:pPr>
              <w:adjustRightInd w:val="0"/>
              <w:snapToGrid w:val="0"/>
              <w:spacing w:line="276" w:lineRule="auto"/>
              <w:jc w:val="center"/>
              <w:rPr>
                <w:rFonts w:hint="eastAsia" w:ascii="宋体"/>
                <w:sz w:val="21"/>
                <w:szCs w:val="21"/>
              </w:rPr>
            </w:pPr>
            <w:r>
              <w:rPr>
                <w:rFonts w:ascii="宋体" w:hAnsi="宋体"/>
                <w:sz w:val="21"/>
                <w:szCs w:val="21"/>
              </w:rPr>
              <w:t>3</w:t>
            </w:r>
          </w:p>
        </w:tc>
      </w:tr>
      <w:tr w14:paraId="4940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4B6B4FD4">
            <w:pPr>
              <w:adjustRightInd w:val="0"/>
              <w:snapToGrid w:val="0"/>
              <w:spacing w:line="276" w:lineRule="auto"/>
              <w:jc w:val="center"/>
              <w:rPr>
                <w:rFonts w:hint="eastAsia" w:ascii="宋体" w:hAnsi="宋体"/>
                <w:sz w:val="21"/>
                <w:szCs w:val="21"/>
              </w:rPr>
            </w:pPr>
            <w:r>
              <w:rPr>
                <w:rFonts w:ascii="宋体" w:hAnsi="宋体"/>
                <w:sz w:val="21"/>
                <w:szCs w:val="21"/>
              </w:rPr>
              <w:t>8</w:t>
            </w:r>
          </w:p>
        </w:tc>
        <w:tc>
          <w:tcPr>
            <w:tcW w:w="2829" w:type="dxa"/>
            <w:vAlign w:val="center"/>
          </w:tcPr>
          <w:p w14:paraId="64B2FF19">
            <w:pPr>
              <w:adjustRightInd w:val="0"/>
              <w:snapToGrid w:val="0"/>
              <w:spacing w:line="276" w:lineRule="auto"/>
              <w:rPr>
                <w:rFonts w:hint="eastAsia" w:ascii="宋体"/>
                <w:sz w:val="21"/>
                <w:szCs w:val="21"/>
              </w:rPr>
            </w:pPr>
            <w:r>
              <w:rPr>
                <w:rFonts w:hint="eastAsia" w:ascii="宋体" w:hAnsi="宋体"/>
                <w:sz w:val="21"/>
                <w:szCs w:val="21"/>
              </w:rPr>
              <w:t>美学与教育</w:t>
            </w:r>
          </w:p>
        </w:tc>
        <w:tc>
          <w:tcPr>
            <w:tcW w:w="1831" w:type="dxa"/>
            <w:vAlign w:val="center"/>
          </w:tcPr>
          <w:p w14:paraId="4DE93367">
            <w:pPr>
              <w:adjustRightInd w:val="0"/>
              <w:snapToGrid w:val="0"/>
              <w:spacing w:line="276" w:lineRule="auto"/>
              <w:jc w:val="center"/>
              <w:rPr>
                <w:rFonts w:hint="eastAsia" w:ascii="宋体" w:hAnsi="宋体"/>
                <w:sz w:val="21"/>
                <w:szCs w:val="21"/>
              </w:rPr>
            </w:pPr>
            <w:r>
              <w:rPr>
                <w:rFonts w:hint="eastAsia" w:ascii="宋体" w:hAnsi="宋体"/>
                <w:sz w:val="21"/>
                <w:szCs w:val="21"/>
              </w:rPr>
              <w:t>目标</w:t>
            </w:r>
            <w:r>
              <w:rPr>
                <w:rFonts w:ascii="宋体" w:hAnsi="宋体"/>
                <w:sz w:val="21"/>
                <w:szCs w:val="21"/>
              </w:rPr>
              <w:t>1</w:t>
            </w:r>
            <w:r>
              <w:rPr>
                <w:rFonts w:hint="eastAsia" w:ascii="宋体" w:hAnsi="宋体"/>
                <w:sz w:val="21"/>
                <w:szCs w:val="21"/>
              </w:rPr>
              <w:t>、</w:t>
            </w:r>
            <w:r>
              <w:rPr>
                <w:rFonts w:ascii="宋体" w:hAnsi="宋体"/>
                <w:sz w:val="21"/>
                <w:szCs w:val="21"/>
              </w:rPr>
              <w:t>3</w:t>
            </w:r>
          </w:p>
        </w:tc>
        <w:tc>
          <w:tcPr>
            <w:tcW w:w="2835" w:type="dxa"/>
          </w:tcPr>
          <w:p w14:paraId="3E874DF1">
            <w:pPr>
              <w:adjustRightInd w:val="0"/>
              <w:snapToGrid w:val="0"/>
              <w:spacing w:line="276" w:lineRule="auto"/>
              <w:rPr>
                <w:rFonts w:hint="eastAsia" w:ascii="宋体" w:hAns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60E01366">
            <w:pPr>
              <w:adjustRightInd w:val="0"/>
              <w:snapToGrid w:val="0"/>
              <w:spacing w:line="276" w:lineRule="auto"/>
              <w:jc w:val="center"/>
              <w:rPr>
                <w:rFonts w:hint="eastAsia" w:ascii="宋体"/>
                <w:sz w:val="21"/>
                <w:szCs w:val="21"/>
              </w:rPr>
            </w:pPr>
            <w:r>
              <w:rPr>
                <w:rFonts w:ascii="宋体" w:hAnsi="宋体"/>
                <w:sz w:val="21"/>
                <w:szCs w:val="21"/>
              </w:rPr>
              <w:t>3</w:t>
            </w:r>
          </w:p>
        </w:tc>
      </w:tr>
      <w:tr w14:paraId="7D84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1DC9FA32">
            <w:pPr>
              <w:adjustRightInd w:val="0"/>
              <w:snapToGrid w:val="0"/>
              <w:spacing w:line="276" w:lineRule="auto"/>
              <w:jc w:val="center"/>
              <w:rPr>
                <w:rFonts w:hint="eastAsia" w:ascii="宋体"/>
                <w:sz w:val="21"/>
                <w:szCs w:val="21"/>
              </w:rPr>
            </w:pPr>
            <w:r>
              <w:rPr>
                <w:rFonts w:hint="eastAsia" w:ascii="宋体"/>
                <w:sz w:val="21"/>
                <w:szCs w:val="21"/>
              </w:rPr>
              <w:t>9</w:t>
            </w:r>
          </w:p>
        </w:tc>
        <w:tc>
          <w:tcPr>
            <w:tcW w:w="2829" w:type="dxa"/>
            <w:vAlign w:val="center"/>
          </w:tcPr>
          <w:p w14:paraId="0EB40F56">
            <w:pPr>
              <w:adjustRightInd w:val="0"/>
              <w:snapToGrid w:val="0"/>
              <w:spacing w:line="276" w:lineRule="auto"/>
              <w:rPr>
                <w:rFonts w:hint="eastAsia" w:ascii="宋体"/>
                <w:sz w:val="21"/>
                <w:szCs w:val="21"/>
              </w:rPr>
            </w:pPr>
            <w:r>
              <w:rPr>
                <w:rFonts w:hint="eastAsia" w:ascii="宋体"/>
                <w:sz w:val="21"/>
                <w:szCs w:val="21"/>
              </w:rPr>
              <w:t>社会哲学与教育</w:t>
            </w:r>
          </w:p>
        </w:tc>
        <w:tc>
          <w:tcPr>
            <w:tcW w:w="1831" w:type="dxa"/>
            <w:vAlign w:val="center"/>
          </w:tcPr>
          <w:p w14:paraId="6184D3E3">
            <w:pPr>
              <w:adjustRightInd w:val="0"/>
              <w:snapToGrid w:val="0"/>
              <w:spacing w:line="276" w:lineRule="auto"/>
              <w:jc w:val="center"/>
              <w:rPr>
                <w:rFonts w:hint="eastAsia" w:ascii="宋体"/>
                <w:sz w:val="21"/>
                <w:szCs w:val="21"/>
              </w:rPr>
            </w:pPr>
            <w:r>
              <w:rPr>
                <w:rFonts w:hint="eastAsia" w:ascii="宋体"/>
                <w:sz w:val="21"/>
                <w:szCs w:val="21"/>
              </w:rPr>
              <w:t>目标1、</w:t>
            </w:r>
            <w:r>
              <w:rPr>
                <w:rFonts w:ascii="宋体"/>
                <w:sz w:val="21"/>
                <w:szCs w:val="21"/>
              </w:rPr>
              <w:t>3</w:t>
            </w:r>
          </w:p>
        </w:tc>
        <w:tc>
          <w:tcPr>
            <w:tcW w:w="2835" w:type="dxa"/>
          </w:tcPr>
          <w:p w14:paraId="32F00BE2">
            <w:pPr>
              <w:adjustRightInd w:val="0"/>
              <w:snapToGrid w:val="0"/>
              <w:spacing w:line="276" w:lineRule="auto"/>
              <w:rPr>
                <w:rFonts w:hint="eastAsia" w:asci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59E74364">
            <w:pPr>
              <w:adjustRightInd w:val="0"/>
              <w:snapToGrid w:val="0"/>
              <w:spacing w:line="276" w:lineRule="auto"/>
              <w:jc w:val="center"/>
              <w:rPr>
                <w:rFonts w:hint="eastAsia" w:ascii="宋体"/>
                <w:sz w:val="21"/>
                <w:szCs w:val="21"/>
              </w:rPr>
            </w:pPr>
            <w:r>
              <w:rPr>
                <w:rFonts w:hint="eastAsia" w:ascii="宋体"/>
                <w:sz w:val="21"/>
                <w:szCs w:val="21"/>
              </w:rPr>
              <w:t>3</w:t>
            </w:r>
          </w:p>
        </w:tc>
      </w:tr>
      <w:tr w14:paraId="342B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04F1DE3C">
            <w:pPr>
              <w:adjustRightInd w:val="0"/>
              <w:snapToGrid w:val="0"/>
              <w:spacing w:line="276" w:lineRule="auto"/>
              <w:jc w:val="center"/>
              <w:rPr>
                <w:rFonts w:hint="eastAsia" w:ascii="宋体"/>
                <w:sz w:val="21"/>
                <w:szCs w:val="21"/>
              </w:rPr>
            </w:pPr>
            <w:r>
              <w:rPr>
                <w:rFonts w:hint="eastAsia" w:ascii="宋体"/>
                <w:sz w:val="21"/>
                <w:szCs w:val="21"/>
              </w:rPr>
              <w:t>1</w:t>
            </w:r>
            <w:r>
              <w:rPr>
                <w:rFonts w:ascii="宋体"/>
                <w:sz w:val="21"/>
                <w:szCs w:val="21"/>
              </w:rPr>
              <w:t>0</w:t>
            </w:r>
          </w:p>
        </w:tc>
        <w:tc>
          <w:tcPr>
            <w:tcW w:w="2829" w:type="dxa"/>
            <w:vAlign w:val="center"/>
          </w:tcPr>
          <w:p w14:paraId="2D62CD34">
            <w:pPr>
              <w:adjustRightInd w:val="0"/>
              <w:snapToGrid w:val="0"/>
              <w:spacing w:line="276" w:lineRule="auto"/>
              <w:rPr>
                <w:rFonts w:hint="eastAsia" w:ascii="宋体"/>
                <w:sz w:val="21"/>
                <w:szCs w:val="21"/>
              </w:rPr>
            </w:pPr>
            <w:r>
              <w:rPr>
                <w:rFonts w:hint="eastAsia" w:ascii="宋体"/>
                <w:sz w:val="21"/>
                <w:szCs w:val="21"/>
              </w:rPr>
              <w:t>文化哲学与教育</w:t>
            </w:r>
          </w:p>
        </w:tc>
        <w:tc>
          <w:tcPr>
            <w:tcW w:w="1831" w:type="dxa"/>
            <w:vAlign w:val="center"/>
          </w:tcPr>
          <w:p w14:paraId="76CCD50A">
            <w:pPr>
              <w:adjustRightInd w:val="0"/>
              <w:snapToGrid w:val="0"/>
              <w:spacing w:line="276" w:lineRule="auto"/>
              <w:jc w:val="center"/>
              <w:rPr>
                <w:rFonts w:hint="eastAsia" w:ascii="宋体"/>
                <w:sz w:val="21"/>
                <w:szCs w:val="21"/>
              </w:rPr>
            </w:pPr>
            <w:r>
              <w:rPr>
                <w:rFonts w:hint="eastAsia" w:ascii="宋体"/>
                <w:sz w:val="21"/>
                <w:szCs w:val="21"/>
              </w:rPr>
              <w:t>目标1、</w:t>
            </w:r>
            <w:r>
              <w:rPr>
                <w:rFonts w:ascii="宋体"/>
                <w:sz w:val="21"/>
                <w:szCs w:val="21"/>
              </w:rPr>
              <w:t>3</w:t>
            </w:r>
          </w:p>
        </w:tc>
        <w:tc>
          <w:tcPr>
            <w:tcW w:w="2835" w:type="dxa"/>
          </w:tcPr>
          <w:p w14:paraId="0AF52E94">
            <w:pPr>
              <w:adjustRightInd w:val="0"/>
              <w:snapToGrid w:val="0"/>
              <w:spacing w:line="276" w:lineRule="auto"/>
              <w:rPr>
                <w:rFonts w:hint="eastAsia" w:asci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w:t>
            </w:r>
            <w:r>
              <w:rPr>
                <w:rFonts w:ascii="宋体" w:hAnsi="宋体"/>
                <w:sz w:val="21"/>
                <w:szCs w:val="21"/>
              </w:rPr>
              <w:t>7-1</w:t>
            </w:r>
            <w:r>
              <w:rPr>
                <w:rFonts w:hint="eastAsia" w:ascii="宋体" w:hAnsi="宋体"/>
                <w:sz w:val="21"/>
                <w:szCs w:val="21"/>
              </w:rPr>
              <w:t>、</w:t>
            </w:r>
            <w:r>
              <w:rPr>
                <w:rFonts w:ascii="宋体" w:hAnsi="宋体"/>
                <w:sz w:val="21"/>
                <w:szCs w:val="21"/>
              </w:rPr>
              <w:t>7-3</w:t>
            </w:r>
          </w:p>
        </w:tc>
        <w:tc>
          <w:tcPr>
            <w:tcW w:w="667" w:type="dxa"/>
            <w:vAlign w:val="center"/>
          </w:tcPr>
          <w:p w14:paraId="2B098B1A">
            <w:pPr>
              <w:adjustRightInd w:val="0"/>
              <w:snapToGrid w:val="0"/>
              <w:spacing w:line="276" w:lineRule="auto"/>
              <w:jc w:val="center"/>
              <w:rPr>
                <w:rFonts w:hint="eastAsia" w:ascii="宋体"/>
                <w:sz w:val="21"/>
                <w:szCs w:val="21"/>
              </w:rPr>
            </w:pPr>
            <w:r>
              <w:rPr>
                <w:rFonts w:hint="eastAsia" w:ascii="宋体"/>
                <w:sz w:val="21"/>
                <w:szCs w:val="21"/>
              </w:rPr>
              <w:t>3</w:t>
            </w:r>
          </w:p>
        </w:tc>
      </w:tr>
      <w:tr w14:paraId="342F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2" w:type="dxa"/>
            <w:vAlign w:val="center"/>
          </w:tcPr>
          <w:p w14:paraId="2711275F">
            <w:pPr>
              <w:adjustRightInd w:val="0"/>
              <w:snapToGrid w:val="0"/>
              <w:spacing w:line="276" w:lineRule="auto"/>
              <w:jc w:val="center"/>
              <w:rPr>
                <w:rFonts w:hint="eastAsia" w:ascii="宋体"/>
                <w:sz w:val="21"/>
                <w:szCs w:val="21"/>
              </w:rPr>
            </w:pPr>
            <w:r>
              <w:rPr>
                <w:rFonts w:hint="eastAsia" w:ascii="宋体"/>
                <w:sz w:val="21"/>
                <w:szCs w:val="21"/>
              </w:rPr>
              <w:t>1</w:t>
            </w:r>
            <w:r>
              <w:rPr>
                <w:rFonts w:ascii="宋体"/>
                <w:sz w:val="21"/>
                <w:szCs w:val="21"/>
              </w:rPr>
              <w:t>1</w:t>
            </w:r>
          </w:p>
        </w:tc>
        <w:tc>
          <w:tcPr>
            <w:tcW w:w="2829" w:type="dxa"/>
            <w:vAlign w:val="center"/>
          </w:tcPr>
          <w:p w14:paraId="57A56F1E">
            <w:pPr>
              <w:adjustRightInd w:val="0"/>
              <w:snapToGrid w:val="0"/>
              <w:spacing w:line="276" w:lineRule="auto"/>
              <w:rPr>
                <w:rFonts w:hint="eastAsia" w:ascii="宋体"/>
                <w:sz w:val="21"/>
                <w:szCs w:val="21"/>
              </w:rPr>
            </w:pPr>
            <w:r>
              <w:rPr>
                <w:rFonts w:hint="eastAsia" w:ascii="宋体"/>
                <w:sz w:val="21"/>
                <w:szCs w:val="21"/>
              </w:rPr>
              <w:t>教育哲学与教师发展</w:t>
            </w:r>
          </w:p>
        </w:tc>
        <w:tc>
          <w:tcPr>
            <w:tcW w:w="1831" w:type="dxa"/>
            <w:vAlign w:val="center"/>
          </w:tcPr>
          <w:p w14:paraId="5A321561">
            <w:pPr>
              <w:adjustRightInd w:val="0"/>
              <w:snapToGrid w:val="0"/>
              <w:spacing w:line="276" w:lineRule="auto"/>
              <w:jc w:val="center"/>
              <w:rPr>
                <w:rFonts w:hint="eastAsia" w:ascii="宋体"/>
                <w:sz w:val="21"/>
                <w:szCs w:val="21"/>
              </w:rPr>
            </w:pPr>
            <w:r>
              <w:rPr>
                <w:rFonts w:hint="eastAsia" w:ascii="宋体"/>
                <w:sz w:val="21"/>
                <w:szCs w:val="21"/>
              </w:rPr>
              <w:t>目标1、2、4</w:t>
            </w:r>
          </w:p>
        </w:tc>
        <w:tc>
          <w:tcPr>
            <w:tcW w:w="2835" w:type="dxa"/>
            <w:vAlign w:val="center"/>
          </w:tcPr>
          <w:p w14:paraId="3C4F42FD">
            <w:pPr>
              <w:adjustRightInd w:val="0"/>
              <w:snapToGrid w:val="0"/>
              <w:spacing w:line="276" w:lineRule="auto"/>
              <w:rPr>
                <w:rFonts w:hint="eastAsia" w:ascii="宋体" w:hAnsi="宋体"/>
                <w:sz w:val="21"/>
                <w:szCs w:val="21"/>
              </w:rPr>
            </w:pPr>
            <w:r>
              <w:rPr>
                <w:rFonts w:ascii="宋体" w:hAnsi="宋体"/>
                <w:sz w:val="21"/>
                <w:szCs w:val="21"/>
              </w:rPr>
              <w:t>1</w:t>
            </w:r>
            <w:r>
              <w:rPr>
                <w:rFonts w:hint="eastAsia" w:ascii="宋体" w:hAnsi="宋体"/>
                <w:sz w:val="21"/>
                <w:szCs w:val="21"/>
              </w:rPr>
              <w:t>-</w:t>
            </w:r>
            <w:r>
              <w:rPr>
                <w:rFonts w:ascii="宋体" w:hAnsi="宋体"/>
                <w:sz w:val="21"/>
                <w:szCs w:val="21"/>
              </w:rPr>
              <w:t>1</w:t>
            </w:r>
            <w:r>
              <w:rPr>
                <w:rFonts w:hint="eastAsia" w:ascii="宋体" w:hAnsi="宋体"/>
                <w:sz w:val="21"/>
                <w:szCs w:val="21"/>
              </w:rPr>
              <w:t>、2-</w:t>
            </w:r>
            <w:r>
              <w:rPr>
                <w:rFonts w:ascii="宋体" w:hAnsi="宋体"/>
                <w:sz w:val="21"/>
                <w:szCs w:val="21"/>
              </w:rPr>
              <w:t>3</w:t>
            </w:r>
            <w:r>
              <w:rPr>
                <w:rFonts w:hint="eastAsia" w:ascii="宋体" w:hAnsi="宋体"/>
                <w:sz w:val="21"/>
                <w:szCs w:val="21"/>
              </w:rPr>
              <w:t>、</w:t>
            </w:r>
            <w:r>
              <w:rPr>
                <w:rFonts w:ascii="宋体" w:hAnsi="宋体"/>
                <w:sz w:val="21"/>
                <w:szCs w:val="21"/>
              </w:rPr>
              <w:t>3-1</w:t>
            </w:r>
            <w:r>
              <w:rPr>
                <w:rFonts w:hint="eastAsia" w:ascii="宋体" w:hAnsi="宋体"/>
                <w:sz w:val="21"/>
                <w:szCs w:val="21"/>
              </w:rPr>
              <w:t>、</w:t>
            </w:r>
            <w:r>
              <w:rPr>
                <w:rFonts w:ascii="宋体" w:hAnsi="宋体"/>
                <w:sz w:val="21"/>
                <w:szCs w:val="21"/>
              </w:rPr>
              <w:t>7-1</w:t>
            </w:r>
            <w:r>
              <w:rPr>
                <w:rFonts w:hint="eastAsia" w:ascii="宋体" w:hAnsi="宋体"/>
                <w:sz w:val="21"/>
                <w:szCs w:val="21"/>
              </w:rPr>
              <w:t>、2-</w:t>
            </w:r>
            <w:r>
              <w:rPr>
                <w:rFonts w:ascii="宋体" w:hAnsi="宋体"/>
                <w:sz w:val="21"/>
                <w:szCs w:val="21"/>
              </w:rPr>
              <w:t>2</w:t>
            </w:r>
          </w:p>
        </w:tc>
        <w:tc>
          <w:tcPr>
            <w:tcW w:w="667" w:type="dxa"/>
            <w:vAlign w:val="center"/>
          </w:tcPr>
          <w:p w14:paraId="41262270">
            <w:pPr>
              <w:adjustRightInd w:val="0"/>
              <w:snapToGrid w:val="0"/>
              <w:spacing w:line="276" w:lineRule="auto"/>
              <w:jc w:val="center"/>
              <w:rPr>
                <w:rFonts w:hint="eastAsia" w:ascii="宋体"/>
                <w:sz w:val="21"/>
                <w:szCs w:val="21"/>
              </w:rPr>
            </w:pPr>
            <w:r>
              <w:rPr>
                <w:rFonts w:ascii="宋体"/>
                <w:sz w:val="21"/>
                <w:szCs w:val="21"/>
              </w:rPr>
              <w:t>4</w:t>
            </w:r>
          </w:p>
        </w:tc>
      </w:tr>
      <w:tr w14:paraId="6BBE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217" w:type="dxa"/>
            <w:gridSpan w:val="4"/>
            <w:vAlign w:val="center"/>
          </w:tcPr>
          <w:p w14:paraId="6455F680">
            <w:pPr>
              <w:adjustRightInd w:val="0"/>
              <w:snapToGrid w:val="0"/>
              <w:spacing w:line="276" w:lineRule="auto"/>
              <w:jc w:val="center"/>
              <w:rPr>
                <w:rFonts w:hint="eastAsia" w:ascii="宋体"/>
                <w:sz w:val="21"/>
                <w:szCs w:val="21"/>
              </w:rPr>
            </w:pPr>
            <w:r>
              <w:rPr>
                <w:rFonts w:hint="eastAsia" w:ascii="宋体" w:hAnsi="宋体"/>
                <w:sz w:val="21"/>
                <w:szCs w:val="21"/>
              </w:rPr>
              <w:t>合计</w:t>
            </w:r>
          </w:p>
        </w:tc>
        <w:tc>
          <w:tcPr>
            <w:tcW w:w="667" w:type="dxa"/>
            <w:vAlign w:val="center"/>
          </w:tcPr>
          <w:p w14:paraId="62FF0485">
            <w:pPr>
              <w:adjustRightInd w:val="0"/>
              <w:snapToGrid w:val="0"/>
              <w:spacing w:line="276" w:lineRule="auto"/>
              <w:jc w:val="center"/>
              <w:rPr>
                <w:rFonts w:hint="eastAsia" w:ascii="宋体"/>
                <w:sz w:val="21"/>
                <w:szCs w:val="21"/>
              </w:rPr>
            </w:pPr>
            <w:r>
              <w:rPr>
                <w:rFonts w:ascii="宋体" w:hAnsi="宋体"/>
                <w:sz w:val="21"/>
                <w:szCs w:val="21"/>
              </w:rPr>
              <w:t>32</w:t>
            </w:r>
          </w:p>
        </w:tc>
      </w:tr>
    </w:tbl>
    <w:p w14:paraId="757A7AA9">
      <w:pPr>
        <w:spacing w:line="360" w:lineRule="auto"/>
        <w:rPr>
          <w:rFonts w:hint="eastAsia" w:ascii="宋体"/>
        </w:rPr>
      </w:pPr>
    </w:p>
    <w:p w14:paraId="2D47E782">
      <w:pPr>
        <w:spacing w:line="360" w:lineRule="auto"/>
        <w:ind w:firstLine="422" w:firstLineChars="150"/>
        <w:rPr>
          <w:rFonts w:hint="eastAsia" w:ascii="宋体"/>
          <w:b/>
          <w:sz w:val="28"/>
        </w:rPr>
      </w:pPr>
      <w:r>
        <w:rPr>
          <w:rFonts w:hint="eastAsia" w:ascii="宋体" w:hAnsi="宋体"/>
          <w:b/>
          <w:sz w:val="28"/>
        </w:rPr>
        <w:t>四、课程实施</w:t>
      </w:r>
    </w:p>
    <w:p w14:paraId="7BBAC541">
      <w:pPr>
        <w:spacing w:line="360" w:lineRule="auto"/>
        <w:ind w:firstLine="315" w:firstLineChars="150"/>
        <w:rPr>
          <w:rFonts w:hint="eastAsia" w:ascii="宋体"/>
        </w:rPr>
      </w:pPr>
      <w:r>
        <w:rPr>
          <w:rFonts w:hint="eastAsia" w:ascii="宋体" w:hAnsi="宋体"/>
        </w:rPr>
        <w:t>（一）课程在展开之前，要借助教学视频、教育讲座等形式建立学生对教育活动和教师职业的直观感受与体验，认识其特殊性与价值感。</w:t>
      </w:r>
    </w:p>
    <w:p w14:paraId="3952B876">
      <w:pPr>
        <w:spacing w:line="360" w:lineRule="auto"/>
        <w:ind w:firstLine="315" w:firstLineChars="150"/>
        <w:rPr>
          <w:rFonts w:hint="eastAsia" w:ascii="宋体"/>
        </w:rPr>
      </w:pPr>
      <w:r>
        <w:rPr>
          <w:rFonts w:hint="eastAsia" w:ascii="宋体" w:hAnsi="宋体"/>
        </w:rPr>
        <w:t>（二）课程在教学中要充分激发学生哲学反思的意识和能力，结合现实教育案例引导学生进行深度思考。</w:t>
      </w:r>
    </w:p>
    <w:p w14:paraId="6AA87F5B">
      <w:pPr>
        <w:spacing w:line="360" w:lineRule="auto"/>
        <w:ind w:firstLine="315" w:firstLineChars="150"/>
        <w:rPr>
          <w:rFonts w:hint="eastAsia" w:ascii="宋体"/>
        </w:rPr>
      </w:pPr>
      <w:r>
        <w:rPr>
          <w:rFonts w:hint="eastAsia" w:ascii="宋体" w:hAnsi="宋体"/>
        </w:rPr>
        <w:t>（三）课程要着重于引导学会批判性思维。</w:t>
      </w:r>
    </w:p>
    <w:p w14:paraId="18A5634B">
      <w:pPr>
        <w:spacing w:line="360" w:lineRule="auto"/>
        <w:ind w:firstLine="315" w:firstLineChars="150"/>
        <w:rPr>
          <w:rFonts w:hint="eastAsia" w:ascii="宋体"/>
        </w:rPr>
      </w:pPr>
      <w:r>
        <w:rPr>
          <w:rFonts w:hint="eastAsia" w:ascii="宋体" w:hAnsi="宋体"/>
        </w:rPr>
        <w:t>（四）教师要积极采用平时考勤、课堂讨论、作业、期末考试等多种形式相结合的考核方法，引导学生按时、保质保量地完成本课程学习任务。</w:t>
      </w:r>
    </w:p>
    <w:p w14:paraId="0ECD5D0F">
      <w:pPr>
        <w:spacing w:line="360" w:lineRule="auto"/>
        <w:ind w:firstLine="316" w:firstLineChars="150"/>
        <w:rPr>
          <w:rFonts w:hint="eastAsia" w:ascii="宋体"/>
          <w:b/>
        </w:rPr>
      </w:pPr>
      <w:r>
        <w:rPr>
          <w:rFonts w:hint="eastAsia" w:ascii="宋体" w:hAnsi="宋体"/>
          <w:b/>
        </w:rPr>
        <w:t>主要教学环节的质量要求如表所示：</w:t>
      </w:r>
    </w:p>
    <w:tbl>
      <w:tblPr>
        <w:tblStyle w:val="30"/>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0694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5333D5C0">
            <w:pPr>
              <w:adjustRightInd w:val="0"/>
              <w:snapToGrid w:val="0"/>
              <w:spacing w:line="276" w:lineRule="auto"/>
              <w:jc w:val="center"/>
              <w:rPr>
                <w:rFonts w:hint="eastAsia" w:ascii="宋体"/>
                <w:b/>
                <w:color w:val="000000"/>
                <w:sz w:val="21"/>
                <w:szCs w:val="21"/>
              </w:rPr>
            </w:pPr>
            <w:r>
              <w:rPr>
                <w:rFonts w:hint="eastAsia" w:ascii="宋体" w:hAnsi="宋体"/>
                <w:b/>
                <w:bCs/>
                <w:color w:val="000000"/>
                <w:sz w:val="21"/>
                <w:szCs w:val="21"/>
              </w:rPr>
              <w:t>主要教学环节</w:t>
            </w:r>
          </w:p>
        </w:tc>
        <w:tc>
          <w:tcPr>
            <w:tcW w:w="7525" w:type="dxa"/>
            <w:tcBorders>
              <w:top w:val="single" w:color="auto" w:sz="8" w:space="0"/>
              <w:left w:val="single" w:color="auto" w:sz="8" w:space="0"/>
              <w:right w:val="single" w:color="auto" w:sz="8" w:space="0"/>
            </w:tcBorders>
            <w:vAlign w:val="center"/>
          </w:tcPr>
          <w:p w14:paraId="662CF0B1">
            <w:pPr>
              <w:adjustRightInd w:val="0"/>
              <w:snapToGrid w:val="0"/>
              <w:spacing w:line="276" w:lineRule="auto"/>
              <w:jc w:val="center"/>
              <w:rPr>
                <w:rFonts w:hint="eastAsia" w:ascii="宋体"/>
                <w:b/>
                <w:color w:val="000000"/>
                <w:sz w:val="21"/>
                <w:szCs w:val="21"/>
              </w:rPr>
            </w:pPr>
            <w:r>
              <w:rPr>
                <w:rFonts w:hint="eastAsia" w:ascii="宋体" w:hAnsi="宋体"/>
                <w:b/>
                <w:bCs/>
                <w:color w:val="000000"/>
                <w:sz w:val="21"/>
                <w:szCs w:val="21"/>
              </w:rPr>
              <w:t>质量要求</w:t>
            </w:r>
          </w:p>
        </w:tc>
      </w:tr>
      <w:tr w14:paraId="204E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582" w:type="dxa"/>
            <w:tcBorders>
              <w:left w:val="single" w:color="auto" w:sz="8" w:space="0"/>
            </w:tcBorders>
            <w:vAlign w:val="center"/>
          </w:tcPr>
          <w:p w14:paraId="5264071F">
            <w:pPr>
              <w:adjustRightInd w:val="0"/>
              <w:snapToGrid w:val="0"/>
              <w:spacing w:line="276" w:lineRule="auto"/>
              <w:jc w:val="center"/>
              <w:rPr>
                <w:rFonts w:hint="eastAsia" w:ascii="宋体" w:hAnsi="宋体"/>
                <w:color w:val="000000"/>
                <w:sz w:val="21"/>
                <w:szCs w:val="21"/>
              </w:rPr>
            </w:pPr>
            <w:r>
              <w:rPr>
                <w:rFonts w:ascii="宋体" w:hAnsi="宋体"/>
                <w:color w:val="000000"/>
                <w:sz w:val="21"/>
                <w:szCs w:val="21"/>
              </w:rPr>
              <w:t>1</w:t>
            </w:r>
          </w:p>
        </w:tc>
        <w:tc>
          <w:tcPr>
            <w:tcW w:w="993" w:type="dxa"/>
            <w:tcMar>
              <w:left w:w="28" w:type="dxa"/>
              <w:right w:w="28" w:type="dxa"/>
            </w:tcMar>
            <w:vAlign w:val="center"/>
          </w:tcPr>
          <w:p w14:paraId="78C0E426">
            <w:pPr>
              <w:adjustRightInd w:val="0"/>
              <w:snapToGrid w:val="0"/>
              <w:spacing w:line="276" w:lineRule="auto"/>
              <w:jc w:val="center"/>
              <w:rPr>
                <w:rFonts w:hint="eastAsia" w:ascii="宋体"/>
                <w:color w:val="000000"/>
                <w:sz w:val="21"/>
                <w:szCs w:val="21"/>
              </w:rPr>
            </w:pPr>
            <w:r>
              <w:rPr>
                <w:rFonts w:hint="eastAsia" w:ascii="宋体" w:hAnsi="宋体"/>
                <w:color w:val="000000"/>
                <w:sz w:val="21"/>
                <w:szCs w:val="21"/>
              </w:rPr>
              <w:t>备课</w:t>
            </w:r>
          </w:p>
        </w:tc>
        <w:tc>
          <w:tcPr>
            <w:tcW w:w="7525" w:type="dxa"/>
            <w:tcBorders>
              <w:right w:val="single" w:color="auto" w:sz="8" w:space="0"/>
            </w:tcBorders>
            <w:vAlign w:val="center"/>
          </w:tcPr>
          <w:p w14:paraId="7D91E9B3">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）掌握课程教学大纲内容，严格按照教学大纲要求进行课程教学内容的组织。</w:t>
            </w:r>
          </w:p>
          <w:p w14:paraId="5075C622">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2</w:t>
            </w:r>
            <w:r>
              <w:rPr>
                <w:rFonts w:hint="eastAsia" w:ascii="宋体" w:hAnsi="宋体"/>
                <w:color w:val="000000"/>
                <w:sz w:val="21"/>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25E4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trPr>
        <w:tc>
          <w:tcPr>
            <w:tcW w:w="582" w:type="dxa"/>
            <w:tcBorders>
              <w:left w:val="single" w:color="auto" w:sz="8" w:space="0"/>
            </w:tcBorders>
            <w:vAlign w:val="center"/>
          </w:tcPr>
          <w:p w14:paraId="2A973A6D">
            <w:pPr>
              <w:adjustRightInd w:val="0"/>
              <w:snapToGrid w:val="0"/>
              <w:spacing w:line="276" w:lineRule="auto"/>
              <w:jc w:val="center"/>
              <w:rPr>
                <w:rFonts w:hint="eastAsia" w:ascii="宋体" w:hAnsi="宋体"/>
                <w:color w:val="000000"/>
                <w:sz w:val="21"/>
                <w:szCs w:val="21"/>
              </w:rPr>
            </w:pPr>
            <w:r>
              <w:rPr>
                <w:rFonts w:ascii="宋体" w:hAnsi="宋体"/>
                <w:color w:val="000000"/>
                <w:sz w:val="21"/>
                <w:szCs w:val="21"/>
              </w:rPr>
              <w:t>2</w:t>
            </w:r>
          </w:p>
        </w:tc>
        <w:tc>
          <w:tcPr>
            <w:tcW w:w="993" w:type="dxa"/>
            <w:tcMar>
              <w:left w:w="28" w:type="dxa"/>
              <w:right w:w="28" w:type="dxa"/>
            </w:tcMar>
            <w:vAlign w:val="center"/>
          </w:tcPr>
          <w:p w14:paraId="6230CDAD">
            <w:pPr>
              <w:adjustRightInd w:val="0"/>
              <w:snapToGrid w:val="0"/>
              <w:spacing w:line="276" w:lineRule="auto"/>
              <w:jc w:val="center"/>
              <w:rPr>
                <w:rFonts w:hint="eastAsia" w:ascii="宋体"/>
                <w:color w:val="000000"/>
                <w:sz w:val="21"/>
                <w:szCs w:val="21"/>
              </w:rPr>
            </w:pPr>
            <w:r>
              <w:rPr>
                <w:rFonts w:hint="eastAsia" w:ascii="宋体" w:hAnsi="宋体"/>
                <w:color w:val="000000"/>
                <w:sz w:val="21"/>
                <w:szCs w:val="21"/>
              </w:rPr>
              <w:t>讲授</w:t>
            </w:r>
          </w:p>
        </w:tc>
        <w:tc>
          <w:tcPr>
            <w:tcW w:w="7525" w:type="dxa"/>
            <w:tcBorders>
              <w:right w:val="single" w:color="auto" w:sz="8" w:space="0"/>
            </w:tcBorders>
            <w:vAlign w:val="center"/>
          </w:tcPr>
          <w:p w14:paraId="5B426194">
            <w:pPr>
              <w:adjustRightInd w:val="0"/>
              <w:snapToGrid w:val="0"/>
              <w:spacing w:line="276" w:lineRule="auto"/>
              <w:rPr>
                <w:rFonts w:hint="eastAsia" w:ascii="宋体"/>
                <w:color w:val="000000"/>
                <w:sz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w:t>
            </w:r>
            <w:r>
              <w:rPr>
                <w:rFonts w:hint="eastAsia" w:ascii="宋体" w:hAnsi="宋体"/>
                <w:color w:val="000000"/>
                <w:sz w:val="21"/>
              </w:rPr>
              <w:t>教师仪表端庄，情绪情感要饱满；</w:t>
            </w:r>
          </w:p>
          <w:p w14:paraId="2293E458">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2</w:t>
            </w:r>
            <w:r>
              <w:rPr>
                <w:rFonts w:hint="eastAsia" w:ascii="宋体" w:hAnsi="宋体"/>
                <w:color w:val="000000"/>
                <w:sz w:val="21"/>
                <w:szCs w:val="21"/>
              </w:rPr>
              <w:t>）</w:t>
            </w:r>
            <w:r>
              <w:rPr>
                <w:rFonts w:hint="eastAsia" w:ascii="宋体" w:hAnsi="宋体"/>
                <w:color w:val="000000"/>
                <w:sz w:val="21"/>
              </w:rPr>
              <w:t>教学准备充分，熟悉教学内容；</w:t>
            </w:r>
          </w:p>
          <w:p w14:paraId="00683596">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3</w:t>
            </w:r>
            <w:r>
              <w:rPr>
                <w:rFonts w:hint="eastAsia" w:ascii="宋体" w:hAnsi="宋体"/>
                <w:color w:val="000000"/>
                <w:sz w:val="21"/>
                <w:szCs w:val="21"/>
              </w:rPr>
              <w:t>）</w:t>
            </w:r>
            <w:r>
              <w:rPr>
                <w:rFonts w:hint="eastAsia" w:ascii="宋体" w:hAnsi="宋体"/>
                <w:color w:val="000000"/>
                <w:sz w:val="21"/>
              </w:rPr>
              <w:t>教学内容充实，不断充实最新研究成果；</w:t>
            </w:r>
          </w:p>
          <w:p w14:paraId="73A93E33">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4</w:t>
            </w:r>
            <w:r>
              <w:rPr>
                <w:rFonts w:hint="eastAsia" w:ascii="宋体" w:hAnsi="宋体"/>
                <w:color w:val="000000"/>
                <w:sz w:val="21"/>
                <w:szCs w:val="21"/>
              </w:rPr>
              <w:t>）</w:t>
            </w:r>
            <w:r>
              <w:rPr>
                <w:rFonts w:hint="eastAsia" w:ascii="宋体" w:hAnsi="宋体"/>
                <w:color w:val="000000"/>
                <w:sz w:val="21"/>
              </w:rPr>
              <w:t>严格执行计划，教学进度适宜；</w:t>
            </w:r>
          </w:p>
          <w:p w14:paraId="61B1E454">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5</w:t>
            </w:r>
            <w:r>
              <w:rPr>
                <w:rFonts w:hint="eastAsia" w:ascii="宋体" w:hAnsi="宋体"/>
                <w:color w:val="000000"/>
                <w:sz w:val="21"/>
                <w:szCs w:val="21"/>
              </w:rPr>
              <w:t>）</w:t>
            </w:r>
            <w:r>
              <w:rPr>
                <w:rFonts w:hint="eastAsia" w:ascii="宋体" w:hAnsi="宋体"/>
                <w:color w:val="000000"/>
                <w:sz w:val="21"/>
              </w:rPr>
              <w:t>课堂教学信息充分，注重理论联系实际；</w:t>
            </w:r>
          </w:p>
          <w:p w14:paraId="6B19F011">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6</w:t>
            </w:r>
            <w:r>
              <w:rPr>
                <w:rFonts w:hint="eastAsia" w:ascii="宋体" w:hAnsi="宋体"/>
                <w:color w:val="000000"/>
                <w:sz w:val="21"/>
                <w:szCs w:val="21"/>
              </w:rPr>
              <w:t>）</w:t>
            </w:r>
            <w:r>
              <w:rPr>
                <w:rFonts w:hint="eastAsia" w:ascii="宋体" w:hAnsi="宋体"/>
                <w:color w:val="000000"/>
                <w:sz w:val="21"/>
              </w:rPr>
              <w:t>注重启发学生思维，培养学生的教学能力；</w:t>
            </w:r>
          </w:p>
          <w:p w14:paraId="1072CB21">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7</w:t>
            </w:r>
            <w:r>
              <w:rPr>
                <w:rFonts w:hint="eastAsia" w:ascii="宋体" w:hAnsi="宋体"/>
                <w:color w:val="000000"/>
                <w:sz w:val="21"/>
                <w:szCs w:val="21"/>
              </w:rPr>
              <w:t>）</w:t>
            </w:r>
            <w:r>
              <w:rPr>
                <w:rFonts w:hint="eastAsia" w:ascii="宋体" w:hAnsi="宋体"/>
                <w:color w:val="000000"/>
                <w:sz w:val="21"/>
              </w:rPr>
              <w:t>面向全体基础上因材施教，灵活运用多种教学方法；</w:t>
            </w:r>
          </w:p>
          <w:p w14:paraId="63D3A3F5">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8</w:t>
            </w:r>
            <w:r>
              <w:rPr>
                <w:rFonts w:hint="eastAsia" w:ascii="宋体" w:hAnsi="宋体"/>
                <w:color w:val="000000"/>
                <w:sz w:val="21"/>
                <w:szCs w:val="21"/>
              </w:rPr>
              <w:t>）</w:t>
            </w:r>
            <w:r>
              <w:rPr>
                <w:rFonts w:hint="eastAsia" w:ascii="宋体" w:hAnsi="宋体"/>
                <w:color w:val="000000"/>
                <w:sz w:val="21"/>
              </w:rPr>
              <w:t>教学语言规范，为学生教育教学做好表率；</w:t>
            </w:r>
          </w:p>
          <w:p w14:paraId="2EEC8458">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9</w:t>
            </w:r>
            <w:r>
              <w:rPr>
                <w:rFonts w:hint="eastAsia" w:ascii="宋体" w:hAnsi="宋体"/>
                <w:color w:val="000000"/>
                <w:sz w:val="21"/>
                <w:szCs w:val="21"/>
              </w:rPr>
              <w:t>）</w:t>
            </w:r>
            <w:r>
              <w:rPr>
                <w:rFonts w:hint="eastAsia" w:ascii="宋体" w:hAnsi="宋体"/>
                <w:color w:val="000000"/>
                <w:sz w:val="21"/>
              </w:rPr>
              <w:t>教学条理清楚，教学思路逻辑严密；</w:t>
            </w:r>
          </w:p>
          <w:p w14:paraId="776B16D8">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10</w:t>
            </w:r>
            <w:r>
              <w:rPr>
                <w:rFonts w:hint="eastAsia" w:ascii="宋体" w:hAnsi="宋体"/>
                <w:color w:val="000000"/>
                <w:sz w:val="21"/>
                <w:szCs w:val="21"/>
              </w:rPr>
              <w:t>）</w:t>
            </w:r>
            <w:r>
              <w:rPr>
                <w:rFonts w:hint="eastAsia" w:ascii="宋体" w:hAnsi="宋体"/>
                <w:color w:val="000000"/>
                <w:sz w:val="21"/>
              </w:rPr>
              <w:t>充分运用现代化教学手段，教学技术熟练；</w:t>
            </w:r>
          </w:p>
          <w:p w14:paraId="1DE6A1B3">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11</w:t>
            </w:r>
            <w:r>
              <w:rPr>
                <w:rFonts w:hint="eastAsia" w:ascii="宋体" w:hAnsi="宋体"/>
                <w:color w:val="000000"/>
                <w:sz w:val="21"/>
                <w:szCs w:val="21"/>
              </w:rPr>
              <w:t>）</w:t>
            </w:r>
            <w:r>
              <w:rPr>
                <w:rFonts w:hint="eastAsia" w:ascii="宋体" w:hAnsi="宋体"/>
                <w:color w:val="000000"/>
                <w:sz w:val="21"/>
              </w:rPr>
              <w:t>课堂教学要重点突出，难点突破；</w:t>
            </w:r>
          </w:p>
          <w:p w14:paraId="158E7095">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12</w:t>
            </w:r>
            <w:r>
              <w:rPr>
                <w:rFonts w:hint="eastAsia" w:ascii="宋体" w:hAnsi="宋体"/>
                <w:color w:val="000000"/>
                <w:sz w:val="21"/>
                <w:szCs w:val="21"/>
              </w:rPr>
              <w:t>）</w:t>
            </w:r>
            <w:r>
              <w:rPr>
                <w:rFonts w:hint="eastAsia" w:ascii="宋体" w:hAnsi="宋体"/>
                <w:color w:val="000000"/>
                <w:sz w:val="21"/>
              </w:rPr>
              <w:t>注重师生互动，形成良好的课堂氛围。</w:t>
            </w:r>
          </w:p>
        </w:tc>
      </w:tr>
      <w:tr w14:paraId="5991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582" w:type="dxa"/>
            <w:tcBorders>
              <w:left w:val="single" w:color="auto" w:sz="8" w:space="0"/>
            </w:tcBorders>
            <w:vAlign w:val="center"/>
          </w:tcPr>
          <w:p w14:paraId="0C7C1237">
            <w:pPr>
              <w:adjustRightInd w:val="0"/>
              <w:snapToGrid w:val="0"/>
              <w:spacing w:line="276" w:lineRule="auto"/>
              <w:jc w:val="center"/>
              <w:rPr>
                <w:rFonts w:hint="eastAsia" w:ascii="宋体" w:hAnsi="宋体"/>
                <w:color w:val="000000"/>
                <w:sz w:val="21"/>
                <w:szCs w:val="21"/>
              </w:rPr>
            </w:pPr>
            <w:r>
              <w:rPr>
                <w:rFonts w:ascii="宋体" w:hAnsi="宋体"/>
                <w:color w:val="000000"/>
                <w:sz w:val="21"/>
                <w:szCs w:val="21"/>
              </w:rPr>
              <w:t>3</w:t>
            </w:r>
          </w:p>
        </w:tc>
        <w:tc>
          <w:tcPr>
            <w:tcW w:w="993" w:type="dxa"/>
            <w:tcMar>
              <w:left w:w="28" w:type="dxa"/>
              <w:right w:w="28" w:type="dxa"/>
            </w:tcMar>
            <w:vAlign w:val="center"/>
          </w:tcPr>
          <w:p w14:paraId="3AD51C96">
            <w:pPr>
              <w:adjustRightInd w:val="0"/>
              <w:snapToGrid w:val="0"/>
              <w:spacing w:line="276" w:lineRule="auto"/>
              <w:jc w:val="center"/>
              <w:rPr>
                <w:rFonts w:hint="eastAsia" w:ascii="宋体"/>
                <w:color w:val="000000"/>
                <w:sz w:val="21"/>
                <w:szCs w:val="21"/>
              </w:rPr>
            </w:pPr>
            <w:r>
              <w:rPr>
                <w:rFonts w:hint="eastAsia" w:ascii="宋体" w:hAnsi="宋体"/>
                <w:color w:val="000000"/>
                <w:sz w:val="21"/>
                <w:szCs w:val="21"/>
              </w:rPr>
              <w:t>作业布置与批改</w:t>
            </w:r>
          </w:p>
        </w:tc>
        <w:tc>
          <w:tcPr>
            <w:tcW w:w="7525" w:type="dxa"/>
            <w:tcBorders>
              <w:right w:val="single" w:color="auto" w:sz="8" w:space="0"/>
            </w:tcBorders>
            <w:vAlign w:val="center"/>
          </w:tcPr>
          <w:p w14:paraId="0B840309">
            <w:pPr>
              <w:adjustRightInd w:val="0"/>
              <w:snapToGrid w:val="0"/>
              <w:spacing w:line="276" w:lineRule="auto"/>
              <w:rPr>
                <w:rFonts w:hint="eastAsia" w:ascii="宋体"/>
                <w:color w:val="000000"/>
                <w:sz w:val="21"/>
                <w:szCs w:val="21"/>
              </w:rPr>
            </w:pPr>
            <w:r>
              <w:rPr>
                <w:rFonts w:hint="eastAsia" w:ascii="宋体" w:hAnsi="宋体"/>
                <w:color w:val="000000"/>
                <w:sz w:val="21"/>
                <w:szCs w:val="21"/>
              </w:rPr>
              <w:t>学生必须完成规定数量的作业，作业必须达到以下基本要求：</w:t>
            </w:r>
          </w:p>
          <w:p w14:paraId="52241C22">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）按时按量完成作业，不缺交，不抄袭。</w:t>
            </w:r>
          </w:p>
          <w:p w14:paraId="6552BDFB">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2</w:t>
            </w:r>
            <w:r>
              <w:rPr>
                <w:rFonts w:hint="eastAsia" w:ascii="宋体" w:hAnsi="宋体"/>
                <w:color w:val="000000"/>
                <w:sz w:val="21"/>
                <w:szCs w:val="21"/>
              </w:rPr>
              <w:t>）书写规范、教学设计方案格式规范、清晰。</w:t>
            </w:r>
          </w:p>
          <w:p w14:paraId="0E2A4C36">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3</w:t>
            </w:r>
            <w:r>
              <w:rPr>
                <w:rFonts w:hint="eastAsia" w:ascii="宋体" w:hAnsi="宋体"/>
                <w:color w:val="000000"/>
                <w:sz w:val="21"/>
                <w:szCs w:val="21"/>
              </w:rPr>
              <w:t>）教学设计理念先进，教学目标适宜，教学方法灵活，教学组织形式多样、教学过程紧凑，教学准备充分。</w:t>
            </w:r>
          </w:p>
          <w:p w14:paraId="11671653">
            <w:pPr>
              <w:adjustRightInd w:val="0"/>
              <w:snapToGrid w:val="0"/>
              <w:spacing w:line="276" w:lineRule="auto"/>
              <w:rPr>
                <w:rFonts w:hint="eastAsia" w:ascii="宋体"/>
                <w:color w:val="000000"/>
                <w:sz w:val="21"/>
                <w:szCs w:val="21"/>
              </w:rPr>
            </w:pPr>
            <w:r>
              <w:rPr>
                <w:rFonts w:hint="eastAsia" w:ascii="宋体" w:hAnsi="宋体"/>
                <w:color w:val="000000"/>
                <w:sz w:val="21"/>
                <w:szCs w:val="21"/>
              </w:rPr>
              <w:t>教师批改和讲评作业要求如下：</w:t>
            </w:r>
          </w:p>
          <w:p w14:paraId="3F9FF5C9">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）学生的作业要按时全部批改，并及时进行讲评。</w:t>
            </w:r>
          </w:p>
          <w:p w14:paraId="09142055">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2</w:t>
            </w:r>
            <w:r>
              <w:rPr>
                <w:rFonts w:hint="eastAsia" w:ascii="宋体" w:hAnsi="宋体"/>
                <w:color w:val="000000"/>
                <w:sz w:val="21"/>
                <w:szCs w:val="21"/>
              </w:rPr>
              <w:t>）教师批改和讲评作业要认真、细致，按百分制评定成绩并写明日期。</w:t>
            </w:r>
          </w:p>
          <w:p w14:paraId="0FDD1C29">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3</w:t>
            </w:r>
            <w:r>
              <w:rPr>
                <w:rFonts w:hint="eastAsia" w:ascii="宋体" w:hAnsi="宋体"/>
                <w:color w:val="000000"/>
                <w:sz w:val="21"/>
                <w:szCs w:val="21"/>
              </w:rPr>
              <w:t>）学生作业平均成绩应作为本课程总评成绩中平时成绩的重要组成部分。</w:t>
            </w:r>
          </w:p>
        </w:tc>
      </w:tr>
      <w:tr w14:paraId="097A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5DE93B76">
            <w:pPr>
              <w:adjustRightInd w:val="0"/>
              <w:snapToGrid w:val="0"/>
              <w:spacing w:line="276" w:lineRule="auto"/>
              <w:jc w:val="center"/>
              <w:rPr>
                <w:rFonts w:hint="eastAsia" w:ascii="宋体" w:hAnsi="宋体"/>
                <w:color w:val="000000"/>
                <w:sz w:val="21"/>
                <w:szCs w:val="21"/>
              </w:rPr>
            </w:pPr>
            <w:r>
              <w:rPr>
                <w:rFonts w:ascii="宋体" w:hAnsi="宋体"/>
                <w:color w:val="000000"/>
                <w:sz w:val="21"/>
                <w:szCs w:val="21"/>
              </w:rPr>
              <w:t>4</w:t>
            </w:r>
          </w:p>
        </w:tc>
        <w:tc>
          <w:tcPr>
            <w:tcW w:w="993" w:type="dxa"/>
            <w:tcMar>
              <w:left w:w="28" w:type="dxa"/>
              <w:right w:w="28" w:type="dxa"/>
            </w:tcMar>
            <w:vAlign w:val="center"/>
          </w:tcPr>
          <w:p w14:paraId="1DC72DB9">
            <w:pPr>
              <w:adjustRightInd w:val="0"/>
              <w:snapToGrid w:val="0"/>
              <w:spacing w:line="276" w:lineRule="auto"/>
              <w:jc w:val="center"/>
              <w:rPr>
                <w:rFonts w:hint="eastAsia" w:ascii="宋体"/>
                <w:color w:val="000000"/>
                <w:sz w:val="21"/>
                <w:szCs w:val="21"/>
              </w:rPr>
            </w:pPr>
            <w:r>
              <w:rPr>
                <w:rFonts w:hint="eastAsia" w:ascii="宋体" w:hAnsi="宋体"/>
                <w:color w:val="000000"/>
                <w:sz w:val="21"/>
                <w:szCs w:val="21"/>
              </w:rPr>
              <w:t>课外答疑</w:t>
            </w:r>
          </w:p>
        </w:tc>
        <w:tc>
          <w:tcPr>
            <w:tcW w:w="7525" w:type="dxa"/>
            <w:tcBorders>
              <w:right w:val="single" w:color="auto" w:sz="8" w:space="0"/>
            </w:tcBorders>
            <w:vAlign w:val="center"/>
          </w:tcPr>
          <w:p w14:paraId="1B2D7BC3">
            <w:pPr>
              <w:adjustRightInd w:val="0"/>
              <w:snapToGrid w:val="0"/>
              <w:spacing w:line="276" w:lineRule="auto"/>
              <w:rPr>
                <w:rFonts w:hint="eastAsia" w:ascii="宋体"/>
                <w:color w:val="000000"/>
                <w:sz w:val="21"/>
                <w:szCs w:val="21"/>
              </w:rPr>
            </w:pPr>
            <w:r>
              <w:rPr>
                <w:rFonts w:hint="eastAsia" w:ascii="宋体" w:hAnsi="宋体"/>
                <w:color w:val="000000"/>
                <w:sz w:val="21"/>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7016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582" w:type="dxa"/>
            <w:tcBorders>
              <w:left w:val="single" w:color="auto" w:sz="8" w:space="0"/>
            </w:tcBorders>
            <w:vAlign w:val="center"/>
          </w:tcPr>
          <w:p w14:paraId="6C99B2FC">
            <w:pPr>
              <w:adjustRightInd w:val="0"/>
              <w:snapToGrid w:val="0"/>
              <w:spacing w:line="276" w:lineRule="auto"/>
              <w:jc w:val="center"/>
              <w:rPr>
                <w:rFonts w:hint="eastAsia" w:ascii="宋体" w:hAnsi="宋体"/>
                <w:color w:val="000000"/>
                <w:sz w:val="21"/>
                <w:szCs w:val="21"/>
              </w:rPr>
            </w:pPr>
            <w:r>
              <w:rPr>
                <w:rFonts w:ascii="宋体" w:hAnsi="宋体"/>
                <w:color w:val="000000"/>
                <w:sz w:val="21"/>
                <w:szCs w:val="21"/>
              </w:rPr>
              <w:t>5</w:t>
            </w:r>
          </w:p>
        </w:tc>
        <w:tc>
          <w:tcPr>
            <w:tcW w:w="993" w:type="dxa"/>
            <w:tcMar>
              <w:left w:w="28" w:type="dxa"/>
              <w:right w:w="28" w:type="dxa"/>
            </w:tcMar>
            <w:vAlign w:val="center"/>
          </w:tcPr>
          <w:p w14:paraId="3329B541">
            <w:pPr>
              <w:adjustRightInd w:val="0"/>
              <w:snapToGrid w:val="0"/>
              <w:spacing w:line="276" w:lineRule="auto"/>
              <w:jc w:val="center"/>
              <w:rPr>
                <w:rFonts w:hint="eastAsia" w:ascii="宋体"/>
                <w:color w:val="000000"/>
                <w:sz w:val="21"/>
                <w:szCs w:val="21"/>
              </w:rPr>
            </w:pPr>
            <w:r>
              <w:rPr>
                <w:rFonts w:hint="eastAsia" w:ascii="宋体" w:hAnsi="宋体"/>
                <w:color w:val="000000"/>
                <w:sz w:val="21"/>
                <w:szCs w:val="21"/>
              </w:rPr>
              <w:t>成绩考核</w:t>
            </w:r>
          </w:p>
        </w:tc>
        <w:tc>
          <w:tcPr>
            <w:tcW w:w="7525" w:type="dxa"/>
            <w:tcBorders>
              <w:right w:val="single" w:color="auto" w:sz="8" w:space="0"/>
            </w:tcBorders>
            <w:vAlign w:val="center"/>
          </w:tcPr>
          <w:p w14:paraId="3ECD8812">
            <w:pPr>
              <w:adjustRightInd w:val="0"/>
              <w:snapToGrid w:val="0"/>
              <w:spacing w:line="276" w:lineRule="auto"/>
              <w:rPr>
                <w:rFonts w:hint="eastAsia" w:ascii="宋体"/>
                <w:color w:val="000000"/>
                <w:sz w:val="21"/>
                <w:szCs w:val="21"/>
              </w:rPr>
            </w:pPr>
            <w:r>
              <w:rPr>
                <w:rFonts w:hint="eastAsia" w:ascii="宋体" w:hAnsi="宋体"/>
                <w:color w:val="000000"/>
                <w:sz w:val="21"/>
                <w:szCs w:val="21"/>
              </w:rPr>
              <w:t>本课程考核的方式为开卷笔试。考试采取教考分离，监考由学院统一安排。有下列情况之一者，总评成绩为不及格：</w:t>
            </w:r>
          </w:p>
          <w:p w14:paraId="04C5F1A2">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）缺交作业次数达</w:t>
            </w:r>
            <w:r>
              <w:rPr>
                <w:rFonts w:ascii="宋体" w:hAnsi="宋体"/>
                <w:color w:val="000000"/>
                <w:sz w:val="21"/>
                <w:szCs w:val="21"/>
              </w:rPr>
              <w:t>1/3</w:t>
            </w:r>
            <w:r>
              <w:rPr>
                <w:rFonts w:hint="eastAsia" w:ascii="宋体" w:hAnsi="宋体"/>
                <w:color w:val="000000"/>
                <w:sz w:val="21"/>
                <w:szCs w:val="21"/>
              </w:rPr>
              <w:t>以上者。</w:t>
            </w:r>
          </w:p>
          <w:p w14:paraId="54CFB376">
            <w:pPr>
              <w:adjustRightInd w:val="0"/>
              <w:snapToGrid w:val="0"/>
              <w:spacing w:line="276" w:lineRule="auto"/>
              <w:rPr>
                <w:rFonts w:hint="eastAsia" w:ascii="宋体"/>
                <w:color w:val="000000"/>
                <w:sz w:val="21"/>
                <w:szCs w:val="21"/>
              </w:rPr>
            </w:pPr>
            <w:r>
              <w:rPr>
                <w:rFonts w:hint="eastAsia" w:ascii="宋体" w:hAnsi="宋体"/>
                <w:color w:val="000000"/>
                <w:sz w:val="21"/>
                <w:szCs w:val="21"/>
              </w:rPr>
              <w:t>（</w:t>
            </w:r>
            <w:r>
              <w:rPr>
                <w:rFonts w:ascii="宋体" w:hAnsi="宋体"/>
                <w:color w:val="000000"/>
                <w:sz w:val="21"/>
                <w:szCs w:val="21"/>
              </w:rPr>
              <w:t>2</w:t>
            </w:r>
            <w:r>
              <w:rPr>
                <w:rFonts w:hint="eastAsia" w:ascii="宋体" w:hAnsi="宋体"/>
                <w:color w:val="000000"/>
                <w:sz w:val="21"/>
                <w:szCs w:val="21"/>
              </w:rPr>
              <w:t>）缺课次数达本学期总授课学时的</w:t>
            </w:r>
            <w:r>
              <w:rPr>
                <w:rFonts w:ascii="宋体" w:hAnsi="宋体"/>
                <w:color w:val="000000"/>
                <w:sz w:val="21"/>
                <w:szCs w:val="21"/>
              </w:rPr>
              <w:t>1/3</w:t>
            </w:r>
            <w:r>
              <w:rPr>
                <w:rFonts w:hint="eastAsia" w:ascii="宋体" w:hAnsi="宋体"/>
                <w:color w:val="000000"/>
                <w:sz w:val="21"/>
                <w:szCs w:val="21"/>
              </w:rPr>
              <w:t>以上者。</w:t>
            </w:r>
          </w:p>
        </w:tc>
      </w:tr>
    </w:tbl>
    <w:p w14:paraId="4DD35143">
      <w:pPr>
        <w:spacing w:line="360" w:lineRule="auto"/>
        <w:ind w:firstLine="422" w:firstLineChars="150"/>
        <w:rPr>
          <w:rFonts w:hint="eastAsia" w:ascii="宋体"/>
          <w:b/>
          <w:sz w:val="28"/>
          <w:szCs w:val="28"/>
        </w:rPr>
      </w:pPr>
    </w:p>
    <w:p w14:paraId="49D82A8B">
      <w:pPr>
        <w:spacing w:line="360" w:lineRule="auto"/>
        <w:rPr>
          <w:rFonts w:hint="eastAsia" w:ascii="宋体"/>
          <w:b/>
          <w:sz w:val="28"/>
          <w:szCs w:val="28"/>
        </w:rPr>
      </w:pPr>
      <w:r>
        <w:rPr>
          <w:rFonts w:hint="eastAsia" w:ascii="宋体" w:hAnsi="宋体"/>
          <w:b/>
          <w:sz w:val="28"/>
          <w:szCs w:val="28"/>
        </w:rPr>
        <w:t>五、课程考核</w:t>
      </w:r>
    </w:p>
    <w:p w14:paraId="0E951D9F">
      <w:pPr>
        <w:spacing w:line="360" w:lineRule="auto"/>
        <w:ind w:firstLine="315" w:firstLineChars="150"/>
        <w:rPr>
          <w:rFonts w:hint="eastAsia" w:ascii="宋体"/>
        </w:rPr>
      </w:pPr>
      <w:r>
        <w:rPr>
          <w:rFonts w:hint="eastAsia" w:ascii="宋体" w:hAnsi="宋体"/>
        </w:rPr>
        <w:t>（一）课程考核包括期末考试、平时及作业考核等，期末考试采用开卷笔试方式。</w:t>
      </w:r>
    </w:p>
    <w:p w14:paraId="61273BA4">
      <w:pPr>
        <w:spacing w:line="360" w:lineRule="auto"/>
        <w:ind w:firstLine="315" w:firstLineChars="150"/>
        <w:rPr>
          <w:rFonts w:hint="eastAsia" w:ascii="宋体"/>
        </w:rPr>
      </w:pPr>
      <w:r>
        <w:rPr>
          <w:rFonts w:hint="eastAsia" w:ascii="宋体" w:hAnsi="宋体"/>
        </w:rPr>
        <w:t>（二）课程总评成绩</w:t>
      </w:r>
      <w:r>
        <w:rPr>
          <w:rFonts w:ascii="宋体" w:hAnsi="宋体"/>
        </w:rPr>
        <w:t>=</w:t>
      </w:r>
      <w:r>
        <w:rPr>
          <w:rFonts w:hint="eastAsia" w:ascii="宋体" w:hAnsi="宋体"/>
        </w:rPr>
        <w:t>平时成绩×</w:t>
      </w:r>
      <w:r>
        <w:rPr>
          <w:rFonts w:ascii="宋体" w:hAnsi="宋体"/>
        </w:rPr>
        <w:t>40%+</w:t>
      </w:r>
      <w:r>
        <w:rPr>
          <w:rFonts w:hint="eastAsia" w:ascii="宋体" w:hAnsi="宋体"/>
        </w:rPr>
        <w:t>期末考试成绩×</w:t>
      </w:r>
      <w:r>
        <w:rPr>
          <w:rFonts w:ascii="宋体" w:hAnsi="宋体"/>
        </w:rPr>
        <w:t>60%</w:t>
      </w:r>
      <w:r>
        <w:rPr>
          <w:rFonts w:hint="eastAsia" w:ascii="宋体" w:hAnsi="宋体"/>
        </w:rPr>
        <w:t>。</w:t>
      </w:r>
    </w:p>
    <w:p w14:paraId="4C09759B">
      <w:pPr>
        <w:spacing w:line="360" w:lineRule="auto"/>
        <w:ind w:firstLine="316" w:firstLineChars="150"/>
        <w:rPr>
          <w:rFonts w:hint="eastAsia" w:ascii="宋体"/>
          <w:b/>
        </w:rPr>
      </w:pPr>
      <w:r>
        <w:rPr>
          <w:rFonts w:hint="eastAsia" w:ascii="宋体" w:hAnsi="宋体"/>
          <w:b/>
        </w:rPr>
        <w:t>具体内容和比例如表所示：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072"/>
        <w:gridCol w:w="709"/>
        <w:gridCol w:w="2755"/>
        <w:gridCol w:w="1276"/>
        <w:gridCol w:w="1276"/>
        <w:gridCol w:w="1276"/>
      </w:tblGrid>
      <w:tr w14:paraId="0236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30CF9CF7">
            <w:pPr>
              <w:adjustRightInd w:val="0"/>
              <w:snapToGrid w:val="0"/>
              <w:spacing w:line="276" w:lineRule="auto"/>
              <w:jc w:val="center"/>
              <w:rPr>
                <w:rFonts w:hint="eastAsia" w:ascii="宋体"/>
                <w:b/>
                <w:color w:val="000000"/>
                <w:sz w:val="21"/>
              </w:rPr>
            </w:pPr>
            <w:r>
              <w:rPr>
                <w:rFonts w:hint="eastAsia" w:ascii="宋体" w:hAnsi="宋体"/>
                <w:b/>
                <w:color w:val="000000"/>
                <w:sz w:val="21"/>
              </w:rPr>
              <w:t>成绩组成</w:t>
            </w:r>
          </w:p>
        </w:tc>
        <w:tc>
          <w:tcPr>
            <w:tcW w:w="1072" w:type="dxa"/>
            <w:shd w:val="clear" w:color="auto" w:fill="FFFFFF"/>
            <w:vAlign w:val="center"/>
          </w:tcPr>
          <w:p w14:paraId="4594D365">
            <w:pPr>
              <w:adjustRightInd w:val="0"/>
              <w:snapToGrid w:val="0"/>
              <w:spacing w:line="276" w:lineRule="auto"/>
              <w:jc w:val="center"/>
              <w:rPr>
                <w:rFonts w:hint="eastAsia" w:ascii="宋体" w:hAnsi="宋体"/>
                <w:b/>
                <w:color w:val="000000"/>
                <w:sz w:val="21"/>
              </w:rPr>
            </w:pPr>
            <w:r>
              <w:rPr>
                <w:rFonts w:hint="eastAsia" w:ascii="宋体" w:hAnsi="宋体"/>
                <w:b/>
                <w:color w:val="000000"/>
                <w:sz w:val="21"/>
              </w:rPr>
              <w:t>考核</w:t>
            </w:r>
            <w:r>
              <w:rPr>
                <w:rFonts w:ascii="宋体" w:hAnsi="宋体"/>
                <w:b/>
                <w:color w:val="000000"/>
                <w:sz w:val="21"/>
              </w:rPr>
              <w:t>/</w:t>
            </w:r>
          </w:p>
          <w:p w14:paraId="0247ED09">
            <w:pPr>
              <w:adjustRightInd w:val="0"/>
              <w:snapToGrid w:val="0"/>
              <w:spacing w:line="276" w:lineRule="auto"/>
              <w:jc w:val="center"/>
              <w:rPr>
                <w:rFonts w:hint="eastAsia" w:ascii="宋体"/>
                <w:b/>
                <w:color w:val="000000"/>
                <w:sz w:val="21"/>
              </w:rPr>
            </w:pPr>
            <w:r>
              <w:rPr>
                <w:rFonts w:hint="eastAsia" w:ascii="宋体" w:hAnsi="宋体"/>
                <w:b/>
                <w:color w:val="000000"/>
                <w:sz w:val="21"/>
              </w:rPr>
              <w:t>评价环节</w:t>
            </w:r>
          </w:p>
        </w:tc>
        <w:tc>
          <w:tcPr>
            <w:tcW w:w="709" w:type="dxa"/>
            <w:shd w:val="clear" w:color="auto" w:fill="FFFFFF"/>
            <w:vAlign w:val="center"/>
          </w:tcPr>
          <w:p w14:paraId="75B31B6B">
            <w:pPr>
              <w:adjustRightInd w:val="0"/>
              <w:snapToGrid w:val="0"/>
              <w:spacing w:line="276" w:lineRule="auto"/>
              <w:jc w:val="center"/>
              <w:rPr>
                <w:rFonts w:hint="eastAsia" w:ascii="宋体"/>
                <w:b/>
                <w:color w:val="000000"/>
                <w:sz w:val="21"/>
              </w:rPr>
            </w:pPr>
            <w:r>
              <w:rPr>
                <w:rFonts w:hint="eastAsia" w:ascii="宋体" w:hAnsi="宋体"/>
                <w:b/>
                <w:color w:val="000000"/>
                <w:sz w:val="21"/>
              </w:rPr>
              <w:t>权重</w:t>
            </w:r>
          </w:p>
        </w:tc>
        <w:tc>
          <w:tcPr>
            <w:tcW w:w="2755" w:type="dxa"/>
            <w:shd w:val="clear" w:color="auto" w:fill="FFFFFF"/>
            <w:vAlign w:val="center"/>
          </w:tcPr>
          <w:p w14:paraId="33DE0EF3">
            <w:pPr>
              <w:adjustRightInd w:val="0"/>
              <w:snapToGrid w:val="0"/>
              <w:spacing w:line="276" w:lineRule="auto"/>
              <w:jc w:val="center"/>
              <w:rPr>
                <w:rFonts w:hint="eastAsia" w:ascii="宋体"/>
                <w:b/>
                <w:color w:val="000000"/>
                <w:sz w:val="21"/>
              </w:rPr>
            </w:pPr>
            <w:r>
              <w:rPr>
                <w:rFonts w:hint="eastAsia" w:ascii="宋体" w:hAnsi="宋体"/>
                <w:b/>
                <w:color w:val="000000"/>
                <w:sz w:val="21"/>
              </w:rPr>
              <w:t>考核</w:t>
            </w:r>
            <w:r>
              <w:rPr>
                <w:rFonts w:ascii="宋体" w:hAnsi="宋体"/>
                <w:b/>
                <w:color w:val="000000"/>
                <w:sz w:val="21"/>
              </w:rPr>
              <w:t>/</w:t>
            </w:r>
            <w:r>
              <w:rPr>
                <w:rFonts w:hint="eastAsia" w:ascii="宋体" w:hAnsi="宋体"/>
                <w:b/>
                <w:color w:val="000000"/>
                <w:sz w:val="21"/>
              </w:rPr>
              <w:t>评价细则</w:t>
            </w:r>
          </w:p>
        </w:tc>
        <w:tc>
          <w:tcPr>
            <w:tcW w:w="1276" w:type="dxa"/>
            <w:shd w:val="clear" w:color="auto" w:fill="FFFFFF"/>
          </w:tcPr>
          <w:p w14:paraId="7B822779">
            <w:pPr>
              <w:adjustRightInd w:val="0"/>
              <w:snapToGrid w:val="0"/>
              <w:spacing w:line="276" w:lineRule="auto"/>
              <w:ind w:firstLine="316" w:firstLineChars="150"/>
              <w:rPr>
                <w:rFonts w:hint="eastAsia" w:ascii="宋体"/>
                <w:b/>
                <w:color w:val="000000"/>
                <w:sz w:val="21"/>
              </w:rPr>
            </w:pPr>
            <w:r>
              <w:rPr>
                <w:rFonts w:hint="eastAsia" w:ascii="宋体" w:hAnsi="宋体"/>
                <w:b/>
                <w:color w:val="000000"/>
                <w:sz w:val="21"/>
              </w:rPr>
              <w:t>课程</w:t>
            </w:r>
          </w:p>
          <w:p w14:paraId="5E7B778F">
            <w:pPr>
              <w:adjustRightInd w:val="0"/>
              <w:snapToGrid w:val="0"/>
              <w:spacing w:line="276" w:lineRule="auto"/>
              <w:jc w:val="center"/>
              <w:rPr>
                <w:rFonts w:hint="eastAsia" w:ascii="宋体"/>
                <w:b/>
                <w:color w:val="000000"/>
                <w:sz w:val="21"/>
              </w:rPr>
            </w:pPr>
            <w:r>
              <w:rPr>
                <w:rFonts w:hint="eastAsia" w:ascii="宋体" w:hAnsi="宋体"/>
                <w:b/>
                <w:color w:val="000000"/>
                <w:sz w:val="21"/>
              </w:rPr>
              <w:t>目标</w:t>
            </w:r>
          </w:p>
        </w:tc>
        <w:tc>
          <w:tcPr>
            <w:tcW w:w="1276" w:type="dxa"/>
            <w:shd w:val="clear" w:color="auto" w:fill="FFFFFF"/>
          </w:tcPr>
          <w:p w14:paraId="6E2B4895">
            <w:pPr>
              <w:adjustRightInd w:val="0"/>
              <w:snapToGrid w:val="0"/>
              <w:spacing w:line="276" w:lineRule="auto"/>
              <w:ind w:left="-107" w:leftChars="-51"/>
              <w:jc w:val="center"/>
              <w:rPr>
                <w:rFonts w:hint="eastAsia" w:ascii="宋体"/>
                <w:b/>
                <w:color w:val="000000"/>
                <w:sz w:val="21"/>
              </w:rPr>
            </w:pPr>
            <w:r>
              <w:rPr>
                <w:rFonts w:hint="eastAsia" w:ascii="宋体" w:hAnsi="宋体"/>
                <w:b/>
                <w:color w:val="000000"/>
                <w:sz w:val="21"/>
              </w:rPr>
              <w:t>考核</w:t>
            </w:r>
          </w:p>
          <w:p w14:paraId="117C2404">
            <w:pPr>
              <w:adjustRightInd w:val="0"/>
              <w:snapToGrid w:val="0"/>
              <w:spacing w:line="276" w:lineRule="auto"/>
              <w:ind w:left="-107" w:leftChars="-51"/>
              <w:jc w:val="center"/>
              <w:rPr>
                <w:rFonts w:hint="eastAsia" w:ascii="宋体"/>
                <w:b/>
                <w:color w:val="000000"/>
                <w:sz w:val="21"/>
              </w:rPr>
            </w:pPr>
            <w:r>
              <w:rPr>
                <w:rFonts w:hint="eastAsia" w:ascii="宋体" w:hAnsi="宋体"/>
                <w:b/>
                <w:color w:val="000000"/>
                <w:sz w:val="21"/>
              </w:rPr>
              <w:t>内容</w:t>
            </w:r>
          </w:p>
        </w:tc>
        <w:tc>
          <w:tcPr>
            <w:tcW w:w="1276" w:type="dxa"/>
            <w:shd w:val="clear" w:color="auto" w:fill="FFFFFF"/>
            <w:vAlign w:val="center"/>
          </w:tcPr>
          <w:p w14:paraId="731B67F3">
            <w:pPr>
              <w:adjustRightInd w:val="0"/>
              <w:snapToGrid w:val="0"/>
              <w:spacing w:line="276" w:lineRule="auto"/>
              <w:ind w:left="-107" w:leftChars="-51"/>
              <w:jc w:val="center"/>
              <w:rPr>
                <w:rFonts w:hint="eastAsia" w:ascii="宋体"/>
                <w:b/>
                <w:color w:val="000000"/>
                <w:sz w:val="21"/>
              </w:rPr>
            </w:pPr>
            <w:r>
              <w:rPr>
                <w:rFonts w:hint="eastAsia" w:ascii="宋体" w:hAnsi="宋体"/>
                <w:b/>
                <w:color w:val="000000"/>
                <w:sz w:val="21"/>
              </w:rPr>
              <w:t>对应的毕业要求指标点</w:t>
            </w:r>
          </w:p>
        </w:tc>
      </w:tr>
      <w:tr w14:paraId="2D5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24" w:type="dxa"/>
            <w:tcMar>
              <w:left w:w="57" w:type="dxa"/>
              <w:right w:w="57" w:type="dxa"/>
            </w:tcMar>
            <w:vAlign w:val="center"/>
          </w:tcPr>
          <w:p w14:paraId="6300C277">
            <w:pPr>
              <w:adjustRightInd w:val="0"/>
              <w:snapToGrid w:val="0"/>
              <w:spacing w:line="276" w:lineRule="auto"/>
              <w:jc w:val="center"/>
              <w:rPr>
                <w:rFonts w:hint="eastAsia" w:ascii="宋体"/>
                <w:color w:val="000000"/>
                <w:sz w:val="21"/>
              </w:rPr>
            </w:pPr>
            <w:r>
              <w:rPr>
                <w:rFonts w:hint="eastAsia" w:ascii="宋体" w:hAnsi="宋体"/>
                <w:color w:val="000000"/>
                <w:sz w:val="21"/>
              </w:rPr>
              <w:t>平时成绩</w:t>
            </w:r>
          </w:p>
        </w:tc>
        <w:tc>
          <w:tcPr>
            <w:tcW w:w="1072" w:type="dxa"/>
            <w:vAlign w:val="center"/>
          </w:tcPr>
          <w:p w14:paraId="3BBDC43F">
            <w:pPr>
              <w:adjustRightInd w:val="0"/>
              <w:snapToGrid w:val="0"/>
              <w:spacing w:line="276" w:lineRule="auto"/>
              <w:jc w:val="center"/>
              <w:rPr>
                <w:rFonts w:hint="eastAsia" w:ascii="宋体"/>
                <w:color w:val="000000"/>
                <w:sz w:val="21"/>
              </w:rPr>
            </w:pPr>
            <w:r>
              <w:rPr>
                <w:rFonts w:hint="eastAsia" w:ascii="宋体" w:hAnsi="宋体"/>
                <w:color w:val="000000"/>
                <w:sz w:val="21"/>
              </w:rPr>
              <w:t>课堂考勤及</w:t>
            </w:r>
          </w:p>
          <w:p w14:paraId="230B7EA4">
            <w:pPr>
              <w:adjustRightInd w:val="0"/>
              <w:snapToGrid w:val="0"/>
              <w:spacing w:line="276" w:lineRule="auto"/>
              <w:jc w:val="center"/>
              <w:rPr>
                <w:rFonts w:hint="eastAsia" w:ascii="宋体"/>
                <w:color w:val="000000"/>
                <w:sz w:val="21"/>
              </w:rPr>
            </w:pPr>
            <w:r>
              <w:rPr>
                <w:rFonts w:hint="eastAsia" w:ascii="宋体" w:hAnsi="宋体"/>
                <w:color w:val="000000"/>
                <w:sz w:val="21"/>
              </w:rPr>
              <w:t>平时作业</w:t>
            </w:r>
          </w:p>
        </w:tc>
        <w:tc>
          <w:tcPr>
            <w:tcW w:w="709" w:type="dxa"/>
            <w:vAlign w:val="center"/>
          </w:tcPr>
          <w:p w14:paraId="26AF99E9">
            <w:pPr>
              <w:adjustRightInd w:val="0"/>
              <w:snapToGrid w:val="0"/>
              <w:spacing w:line="276" w:lineRule="auto"/>
              <w:jc w:val="center"/>
              <w:rPr>
                <w:rFonts w:hint="eastAsia" w:ascii="宋体" w:hAnsi="宋体"/>
                <w:color w:val="000000"/>
                <w:sz w:val="21"/>
              </w:rPr>
            </w:pPr>
            <w:r>
              <w:rPr>
                <w:rFonts w:ascii="宋体" w:hAnsi="宋体"/>
                <w:color w:val="000000"/>
                <w:sz w:val="21"/>
              </w:rPr>
              <w:t>40%</w:t>
            </w:r>
          </w:p>
        </w:tc>
        <w:tc>
          <w:tcPr>
            <w:tcW w:w="2755" w:type="dxa"/>
            <w:vAlign w:val="center"/>
          </w:tcPr>
          <w:p w14:paraId="63B88F5A">
            <w:pPr>
              <w:adjustRightInd w:val="0"/>
              <w:snapToGrid w:val="0"/>
              <w:spacing w:line="276" w:lineRule="auto"/>
              <w:ind w:firstLine="420" w:firstLineChars="200"/>
              <w:rPr>
                <w:rFonts w:hint="eastAsia" w:ascii="宋体"/>
                <w:color w:val="000000"/>
                <w:sz w:val="21"/>
              </w:rPr>
            </w:pPr>
            <w:r>
              <w:rPr>
                <w:rFonts w:hint="eastAsia" w:ascii="宋体" w:hAnsi="宋体"/>
                <w:color w:val="000000"/>
                <w:sz w:val="21"/>
              </w:rPr>
              <w:t>其中课堂考勤占</w:t>
            </w:r>
            <w:r>
              <w:rPr>
                <w:rFonts w:ascii="宋体" w:hAnsi="宋体"/>
                <w:color w:val="000000"/>
                <w:sz w:val="21"/>
              </w:rPr>
              <w:t>20%</w:t>
            </w:r>
            <w:r>
              <w:rPr>
                <w:rFonts w:hint="eastAsia" w:ascii="宋体" w:hAnsi="宋体"/>
                <w:color w:val="000000"/>
                <w:sz w:val="21"/>
              </w:rPr>
              <w:t>，课堂表现占2</w:t>
            </w:r>
            <w:r>
              <w:rPr>
                <w:rFonts w:ascii="宋体" w:hAnsi="宋体"/>
                <w:color w:val="000000"/>
                <w:sz w:val="21"/>
              </w:rPr>
              <w:t>0</w:t>
            </w:r>
            <w:r>
              <w:rPr>
                <w:rFonts w:hint="eastAsia" w:ascii="宋体" w:hAnsi="宋体"/>
                <w:color w:val="000000"/>
                <w:sz w:val="21"/>
              </w:rPr>
              <w:t>%，平时作业占</w:t>
            </w:r>
            <w:r>
              <w:rPr>
                <w:rFonts w:ascii="宋体" w:hAnsi="宋体"/>
                <w:color w:val="000000"/>
                <w:sz w:val="21"/>
              </w:rPr>
              <w:t>60%</w:t>
            </w:r>
            <w:r>
              <w:rPr>
                <w:rFonts w:hint="eastAsia" w:ascii="宋体" w:hAnsi="宋体"/>
                <w:color w:val="000000"/>
                <w:sz w:val="21"/>
              </w:rPr>
              <w:t>。</w:t>
            </w:r>
          </w:p>
          <w:p w14:paraId="4F3EEAD2">
            <w:pPr>
              <w:adjustRightInd w:val="0"/>
              <w:snapToGrid w:val="0"/>
              <w:spacing w:line="276" w:lineRule="auto"/>
              <w:ind w:firstLine="420" w:firstLineChars="200"/>
              <w:jc w:val="left"/>
              <w:rPr>
                <w:rFonts w:hint="eastAsia" w:ascii="宋体" w:hAnsi="宋体"/>
                <w:color w:val="000000"/>
                <w:sz w:val="21"/>
                <w:szCs w:val="21"/>
              </w:rPr>
            </w:pPr>
            <w:r>
              <w:rPr>
                <w:rFonts w:hint="eastAsia" w:ascii="宋体" w:hAnsi="宋体"/>
                <w:color w:val="000000"/>
                <w:sz w:val="21"/>
                <w:szCs w:val="21"/>
              </w:rPr>
              <w:t>课堂考勤：病假和事假一次扣</w:t>
            </w:r>
            <w:r>
              <w:rPr>
                <w:rFonts w:ascii="宋体" w:hAnsi="宋体"/>
                <w:color w:val="000000"/>
                <w:sz w:val="21"/>
                <w:szCs w:val="21"/>
              </w:rPr>
              <w:t>5</w:t>
            </w:r>
            <w:r>
              <w:rPr>
                <w:rFonts w:hint="eastAsia" w:ascii="宋体" w:hAnsi="宋体"/>
                <w:color w:val="000000"/>
                <w:sz w:val="21"/>
                <w:szCs w:val="21"/>
              </w:rPr>
              <w:t>分，无故缺席一次扣</w:t>
            </w:r>
            <w:r>
              <w:rPr>
                <w:rFonts w:ascii="宋体" w:hAnsi="宋体"/>
                <w:color w:val="000000"/>
                <w:sz w:val="21"/>
                <w:szCs w:val="21"/>
              </w:rPr>
              <w:t>10</w:t>
            </w:r>
            <w:r>
              <w:rPr>
                <w:rFonts w:hint="eastAsia" w:ascii="宋体" w:hAnsi="宋体"/>
                <w:color w:val="000000"/>
                <w:sz w:val="21"/>
                <w:szCs w:val="21"/>
              </w:rPr>
              <w:t>分，无故缺席累积达</w:t>
            </w:r>
            <w:r>
              <w:rPr>
                <w:rFonts w:ascii="宋体" w:hAnsi="宋体"/>
                <w:color w:val="000000"/>
                <w:sz w:val="21"/>
                <w:szCs w:val="21"/>
              </w:rPr>
              <w:t>5</w:t>
            </w:r>
            <w:r>
              <w:rPr>
                <w:rFonts w:hint="eastAsia" w:ascii="宋体" w:hAnsi="宋体"/>
                <w:color w:val="000000"/>
                <w:sz w:val="21"/>
                <w:szCs w:val="21"/>
              </w:rPr>
              <w:t>次以上（不含</w:t>
            </w:r>
            <w:r>
              <w:rPr>
                <w:rFonts w:ascii="宋体" w:hAnsi="宋体"/>
                <w:color w:val="000000"/>
                <w:sz w:val="21"/>
                <w:szCs w:val="21"/>
              </w:rPr>
              <w:t>5</w:t>
            </w:r>
            <w:r>
              <w:rPr>
                <w:rFonts w:hint="eastAsia" w:ascii="宋体" w:hAnsi="宋体"/>
                <w:color w:val="000000"/>
                <w:sz w:val="21"/>
                <w:szCs w:val="21"/>
              </w:rPr>
              <w:t>次）取消课程成绩。</w:t>
            </w:r>
          </w:p>
          <w:p w14:paraId="080D5049">
            <w:pPr>
              <w:adjustRightInd w:val="0"/>
              <w:snapToGrid w:val="0"/>
              <w:spacing w:line="276" w:lineRule="auto"/>
              <w:ind w:firstLine="420" w:firstLineChars="200"/>
              <w:jc w:val="left"/>
              <w:rPr>
                <w:rFonts w:hint="eastAsia" w:ascii="宋体"/>
                <w:color w:val="000000"/>
                <w:sz w:val="21"/>
                <w:szCs w:val="21"/>
              </w:rPr>
            </w:pPr>
            <w:r>
              <w:rPr>
                <w:rFonts w:hint="eastAsia" w:ascii="宋体" w:hAnsi="宋体"/>
                <w:color w:val="000000"/>
                <w:sz w:val="21"/>
                <w:szCs w:val="21"/>
              </w:rPr>
              <w:t>课堂表现：参加小组讨论与汇报，积极主动回答问题，根据实际表现给分。</w:t>
            </w:r>
          </w:p>
          <w:p w14:paraId="34E037DE">
            <w:pPr>
              <w:adjustRightInd w:val="0"/>
              <w:snapToGrid w:val="0"/>
              <w:spacing w:line="276" w:lineRule="auto"/>
              <w:ind w:firstLine="420" w:firstLineChars="200"/>
              <w:rPr>
                <w:rFonts w:hint="eastAsia" w:ascii="宋体"/>
                <w:color w:val="000000"/>
                <w:sz w:val="21"/>
              </w:rPr>
            </w:pPr>
            <w:r>
              <w:rPr>
                <w:rFonts w:hint="eastAsia" w:ascii="宋体" w:hAnsi="宋体"/>
                <w:color w:val="000000"/>
                <w:sz w:val="21"/>
              </w:rPr>
              <w:t>平时作业：课后完成</w:t>
            </w:r>
            <w:r>
              <w:rPr>
                <w:rFonts w:ascii="宋体" w:hAnsi="宋体"/>
                <w:color w:val="000000"/>
                <w:sz w:val="21"/>
              </w:rPr>
              <w:t>3</w:t>
            </w:r>
            <w:r>
              <w:rPr>
                <w:rFonts w:hint="eastAsia" w:ascii="宋体" w:hAnsi="宋体"/>
                <w:color w:val="000000"/>
                <w:sz w:val="21"/>
              </w:rPr>
              <w:t>次作业，主要考核学生对每节课知识点的复习、理解和掌握程度，计算全部作业的平均成绩。</w:t>
            </w:r>
          </w:p>
        </w:tc>
        <w:tc>
          <w:tcPr>
            <w:tcW w:w="1276" w:type="dxa"/>
            <w:vAlign w:val="center"/>
          </w:tcPr>
          <w:p w14:paraId="5F5D1373">
            <w:pPr>
              <w:adjustRightInd w:val="0"/>
              <w:snapToGrid w:val="0"/>
              <w:spacing w:line="276" w:lineRule="auto"/>
              <w:jc w:val="right"/>
              <w:rPr>
                <w:rFonts w:hint="eastAsia" w:ascii="宋体"/>
                <w:sz w:val="21"/>
              </w:rPr>
            </w:pPr>
            <w:r>
              <w:rPr>
                <w:rFonts w:hint="eastAsia" w:ascii="宋体" w:hAnsi="宋体"/>
                <w:sz w:val="21"/>
              </w:rPr>
              <w:t>课程目标</w:t>
            </w:r>
            <w:r>
              <w:rPr>
                <w:rFonts w:ascii="宋体" w:hAnsi="宋体"/>
                <w:sz w:val="21"/>
              </w:rPr>
              <w:t>1</w:t>
            </w:r>
            <w:r>
              <w:rPr>
                <w:rFonts w:hint="eastAsia" w:ascii="宋体" w:hAnsi="宋体"/>
                <w:sz w:val="21"/>
              </w:rPr>
              <w:t>课程目标</w:t>
            </w:r>
            <w:r>
              <w:rPr>
                <w:rFonts w:ascii="宋体" w:hAnsi="宋体"/>
                <w:sz w:val="21"/>
              </w:rPr>
              <w:t>2</w:t>
            </w:r>
          </w:p>
          <w:p w14:paraId="7556ED5A">
            <w:pPr>
              <w:adjustRightInd w:val="0"/>
              <w:snapToGrid w:val="0"/>
              <w:spacing w:line="276" w:lineRule="auto"/>
              <w:jc w:val="right"/>
              <w:rPr>
                <w:rFonts w:hint="eastAsia" w:ascii="宋体" w:hAnsi="宋体"/>
                <w:sz w:val="21"/>
              </w:rPr>
            </w:pPr>
            <w:r>
              <w:rPr>
                <w:rFonts w:hint="eastAsia" w:ascii="宋体" w:hAnsi="宋体"/>
                <w:sz w:val="21"/>
              </w:rPr>
              <w:t>课程目标</w:t>
            </w:r>
            <w:r>
              <w:rPr>
                <w:rFonts w:ascii="宋体" w:hAnsi="宋体"/>
                <w:sz w:val="21"/>
              </w:rPr>
              <w:t>3</w:t>
            </w:r>
          </w:p>
          <w:p w14:paraId="61E78083">
            <w:pPr>
              <w:adjustRightInd w:val="0"/>
              <w:snapToGrid w:val="0"/>
              <w:spacing w:line="276" w:lineRule="auto"/>
              <w:jc w:val="right"/>
              <w:rPr>
                <w:rFonts w:hint="eastAsia" w:ascii="宋体"/>
                <w:sz w:val="21"/>
              </w:rPr>
            </w:pPr>
            <w:r>
              <w:rPr>
                <w:rFonts w:hint="eastAsia" w:ascii="宋体" w:hAnsi="宋体"/>
                <w:sz w:val="21"/>
              </w:rPr>
              <w:t>课程目标</w:t>
            </w:r>
            <w:r>
              <w:rPr>
                <w:rFonts w:ascii="宋体" w:hAnsi="宋体"/>
                <w:sz w:val="21"/>
              </w:rPr>
              <w:t>4</w:t>
            </w:r>
          </w:p>
        </w:tc>
        <w:tc>
          <w:tcPr>
            <w:tcW w:w="1276" w:type="dxa"/>
            <w:vAlign w:val="center"/>
          </w:tcPr>
          <w:p w14:paraId="7DD610EF">
            <w:pPr>
              <w:adjustRightInd w:val="0"/>
              <w:snapToGrid w:val="0"/>
              <w:spacing w:line="276" w:lineRule="auto"/>
              <w:jc w:val="left"/>
              <w:rPr>
                <w:rFonts w:hint="eastAsia" w:ascii="宋体" w:cs="宋体"/>
                <w:color w:val="000000"/>
                <w:kern w:val="0"/>
                <w:sz w:val="21"/>
                <w:szCs w:val="21"/>
              </w:rPr>
            </w:pPr>
            <w:r>
              <w:rPr>
                <w:rFonts w:hint="eastAsia" w:ascii="宋体" w:hAnsi="宋体" w:cs="宋体"/>
                <w:color w:val="000000"/>
                <w:kern w:val="0"/>
                <w:sz w:val="21"/>
                <w:szCs w:val="21"/>
              </w:rPr>
              <w:t>人性论和哲学、伦理学和哲学、教育哲学与教师专业发展</w:t>
            </w:r>
          </w:p>
        </w:tc>
        <w:tc>
          <w:tcPr>
            <w:tcW w:w="1276" w:type="dxa"/>
            <w:vAlign w:val="center"/>
          </w:tcPr>
          <w:p w14:paraId="7DC3D62C">
            <w:pPr>
              <w:adjustRightInd w:val="0"/>
              <w:snapToGrid w:val="0"/>
              <w:spacing w:line="276" w:lineRule="auto"/>
              <w:jc w:val="left"/>
              <w:rPr>
                <w:rFonts w:hint="eastAsia" w:ascii="宋体"/>
                <w:color w:val="000000"/>
                <w:sz w:val="21"/>
                <w:szCs w:val="21"/>
              </w:rPr>
            </w:pPr>
            <w:r>
              <w:rPr>
                <w:rFonts w:ascii="宋体" w:hAnsi="宋体"/>
                <w:color w:val="000000"/>
                <w:sz w:val="21"/>
                <w:szCs w:val="21"/>
              </w:rPr>
              <w:t>1-1</w:t>
            </w:r>
            <w:r>
              <w:rPr>
                <w:rFonts w:hint="eastAsia" w:ascii="宋体" w:hAnsi="宋体"/>
                <w:color w:val="000000"/>
                <w:sz w:val="21"/>
                <w:szCs w:val="21"/>
              </w:rPr>
              <w:t>、</w:t>
            </w:r>
            <w:r>
              <w:rPr>
                <w:rFonts w:ascii="宋体" w:hAnsi="宋体"/>
                <w:color w:val="000000"/>
                <w:sz w:val="21"/>
                <w:szCs w:val="21"/>
              </w:rPr>
              <w:t>2-1</w:t>
            </w:r>
            <w:r>
              <w:rPr>
                <w:rFonts w:hint="eastAsia" w:ascii="宋体" w:hAnsi="宋体"/>
                <w:color w:val="000000"/>
                <w:sz w:val="21"/>
                <w:szCs w:val="21"/>
              </w:rPr>
              <w:t>、</w:t>
            </w:r>
            <w:r>
              <w:rPr>
                <w:rFonts w:ascii="宋体" w:hAnsi="宋体"/>
                <w:color w:val="000000"/>
                <w:sz w:val="21"/>
                <w:szCs w:val="21"/>
              </w:rPr>
              <w:t>2-2</w:t>
            </w:r>
            <w:r>
              <w:rPr>
                <w:rFonts w:hint="eastAsia" w:ascii="宋体" w:hAnsi="宋体"/>
                <w:color w:val="000000"/>
                <w:sz w:val="21"/>
                <w:szCs w:val="21"/>
              </w:rPr>
              <w:t>、</w:t>
            </w:r>
            <w:r>
              <w:rPr>
                <w:rFonts w:ascii="宋体" w:hAnsi="宋体"/>
                <w:color w:val="000000"/>
                <w:sz w:val="21"/>
                <w:szCs w:val="21"/>
              </w:rPr>
              <w:t>2-3</w:t>
            </w:r>
            <w:r>
              <w:rPr>
                <w:rFonts w:hint="eastAsia" w:ascii="宋体" w:hAnsi="宋体"/>
                <w:color w:val="000000"/>
                <w:sz w:val="21"/>
                <w:szCs w:val="21"/>
              </w:rPr>
              <w:t>、</w:t>
            </w:r>
          </w:p>
          <w:p w14:paraId="23090B07">
            <w:pPr>
              <w:adjustRightInd w:val="0"/>
              <w:snapToGrid w:val="0"/>
              <w:spacing w:line="276" w:lineRule="auto"/>
              <w:ind w:right="210"/>
              <w:jc w:val="left"/>
              <w:rPr>
                <w:rFonts w:hint="eastAsia" w:ascii="宋体"/>
                <w:sz w:val="21"/>
              </w:rPr>
            </w:pPr>
            <w:r>
              <w:rPr>
                <w:rFonts w:ascii="宋体" w:hAnsi="宋体"/>
                <w:color w:val="000000"/>
                <w:sz w:val="21"/>
                <w:szCs w:val="21"/>
              </w:rPr>
              <w:t>7-2</w:t>
            </w:r>
          </w:p>
        </w:tc>
      </w:tr>
      <w:tr w14:paraId="37AD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trPr>
        <w:tc>
          <w:tcPr>
            <w:tcW w:w="624" w:type="dxa"/>
            <w:tcMar>
              <w:left w:w="57" w:type="dxa"/>
              <w:right w:w="57" w:type="dxa"/>
            </w:tcMar>
            <w:vAlign w:val="center"/>
          </w:tcPr>
          <w:p w14:paraId="1CA20010">
            <w:pPr>
              <w:adjustRightInd w:val="0"/>
              <w:snapToGrid w:val="0"/>
              <w:spacing w:line="276" w:lineRule="auto"/>
              <w:jc w:val="center"/>
              <w:rPr>
                <w:rFonts w:hint="eastAsia" w:ascii="宋体"/>
                <w:color w:val="000000"/>
                <w:sz w:val="21"/>
              </w:rPr>
            </w:pPr>
            <w:r>
              <w:rPr>
                <w:rFonts w:hint="eastAsia" w:ascii="宋体" w:hAnsi="宋体"/>
                <w:color w:val="000000"/>
                <w:sz w:val="21"/>
              </w:rPr>
              <w:t>期末考试</w:t>
            </w:r>
          </w:p>
        </w:tc>
        <w:tc>
          <w:tcPr>
            <w:tcW w:w="1072" w:type="dxa"/>
            <w:vAlign w:val="center"/>
          </w:tcPr>
          <w:p w14:paraId="5FB4BD9B">
            <w:pPr>
              <w:adjustRightInd w:val="0"/>
              <w:snapToGrid w:val="0"/>
              <w:spacing w:line="276" w:lineRule="auto"/>
              <w:jc w:val="center"/>
              <w:rPr>
                <w:rFonts w:hint="eastAsia" w:ascii="宋体"/>
                <w:color w:val="000000"/>
                <w:sz w:val="21"/>
              </w:rPr>
            </w:pPr>
            <w:r>
              <w:rPr>
                <w:rFonts w:hint="eastAsia" w:ascii="宋体" w:hAnsi="宋体"/>
                <w:color w:val="000000"/>
                <w:sz w:val="21"/>
              </w:rPr>
              <w:t>期末考试</w:t>
            </w:r>
          </w:p>
          <w:p w14:paraId="162ED271">
            <w:pPr>
              <w:adjustRightInd w:val="0"/>
              <w:snapToGrid w:val="0"/>
              <w:spacing w:line="276" w:lineRule="auto"/>
              <w:jc w:val="center"/>
              <w:rPr>
                <w:rFonts w:hint="eastAsia" w:ascii="宋体"/>
                <w:color w:val="000000"/>
                <w:sz w:val="21"/>
              </w:rPr>
            </w:pPr>
            <w:r>
              <w:rPr>
                <w:rFonts w:hint="eastAsia" w:ascii="宋体" w:hAnsi="宋体"/>
                <w:color w:val="000000"/>
                <w:sz w:val="21"/>
              </w:rPr>
              <w:t>卷面成绩</w:t>
            </w:r>
          </w:p>
        </w:tc>
        <w:tc>
          <w:tcPr>
            <w:tcW w:w="709" w:type="dxa"/>
            <w:vAlign w:val="center"/>
          </w:tcPr>
          <w:p w14:paraId="5FD460F3">
            <w:pPr>
              <w:adjustRightInd w:val="0"/>
              <w:snapToGrid w:val="0"/>
              <w:spacing w:line="276" w:lineRule="auto"/>
              <w:jc w:val="center"/>
              <w:rPr>
                <w:rFonts w:hint="eastAsia" w:ascii="宋体" w:hAnsi="宋体"/>
                <w:color w:val="000000"/>
                <w:sz w:val="21"/>
              </w:rPr>
            </w:pPr>
            <w:r>
              <w:rPr>
                <w:rFonts w:ascii="宋体" w:hAnsi="宋体"/>
                <w:color w:val="000000"/>
                <w:sz w:val="21"/>
              </w:rPr>
              <w:t>60%</w:t>
            </w:r>
          </w:p>
        </w:tc>
        <w:tc>
          <w:tcPr>
            <w:tcW w:w="2755" w:type="dxa"/>
            <w:vAlign w:val="center"/>
          </w:tcPr>
          <w:p w14:paraId="03107CB3">
            <w:pPr>
              <w:adjustRightInd w:val="0"/>
              <w:snapToGrid w:val="0"/>
              <w:spacing w:line="276" w:lineRule="auto"/>
              <w:ind w:firstLine="420" w:firstLineChars="200"/>
              <w:rPr>
                <w:rFonts w:hint="eastAsia" w:ascii="宋体"/>
                <w:color w:val="000000"/>
                <w:sz w:val="21"/>
                <w:szCs w:val="21"/>
              </w:rPr>
            </w:pPr>
            <w:r>
              <w:rPr>
                <w:rFonts w:hint="eastAsia" w:ascii="宋体" w:hAnsi="宋体"/>
                <w:color w:val="000000"/>
                <w:sz w:val="21"/>
                <w:szCs w:val="21"/>
              </w:rPr>
              <w:t>开卷，题型为论述题等，以卷面成绩的</w:t>
            </w:r>
            <w:r>
              <w:rPr>
                <w:rFonts w:ascii="宋体" w:hAnsi="宋体"/>
                <w:color w:val="000000"/>
                <w:sz w:val="21"/>
                <w:szCs w:val="21"/>
              </w:rPr>
              <w:t>60%</w:t>
            </w:r>
            <w:r>
              <w:rPr>
                <w:rFonts w:hint="eastAsia" w:ascii="宋体" w:hAnsi="宋体"/>
                <w:color w:val="000000"/>
                <w:sz w:val="21"/>
                <w:szCs w:val="21"/>
              </w:rPr>
              <w:t>计入课程总成绩。</w:t>
            </w:r>
          </w:p>
          <w:p w14:paraId="6E6C7563">
            <w:pPr>
              <w:adjustRightInd w:val="0"/>
              <w:snapToGrid w:val="0"/>
              <w:spacing w:line="276" w:lineRule="auto"/>
              <w:ind w:firstLine="420" w:firstLineChars="200"/>
              <w:rPr>
                <w:rFonts w:hint="eastAsia" w:ascii="宋体"/>
                <w:color w:val="000000"/>
                <w:sz w:val="21"/>
                <w:szCs w:val="21"/>
              </w:rPr>
            </w:pPr>
            <w:r>
              <w:rPr>
                <w:rFonts w:hint="eastAsia" w:ascii="宋体" w:hAnsi="宋体"/>
                <w:color w:val="000000"/>
                <w:sz w:val="21"/>
                <w:szCs w:val="21"/>
              </w:rPr>
              <w:t>其中：</w:t>
            </w:r>
          </w:p>
          <w:p w14:paraId="450147CA">
            <w:pPr>
              <w:adjustRightInd w:val="0"/>
              <w:snapToGrid w:val="0"/>
              <w:spacing w:line="276" w:lineRule="auto"/>
              <w:ind w:firstLine="420" w:firstLineChars="200"/>
              <w:rPr>
                <w:rFonts w:hint="eastAsia" w:ascii="宋体"/>
                <w:color w:val="000000"/>
                <w:sz w:val="21"/>
                <w:szCs w:val="21"/>
              </w:rPr>
            </w:pPr>
            <w:r>
              <w:rPr>
                <w:rFonts w:hint="eastAsia" w:ascii="宋体" w:hAnsi="宋体"/>
                <w:color w:val="000000"/>
                <w:sz w:val="21"/>
                <w:szCs w:val="21"/>
              </w:rPr>
              <w:t>考核学生对基本理论知识的掌握自己运用基本理论知识进行综合分析的能力。</w:t>
            </w:r>
          </w:p>
        </w:tc>
        <w:tc>
          <w:tcPr>
            <w:tcW w:w="1276" w:type="dxa"/>
            <w:vAlign w:val="center"/>
          </w:tcPr>
          <w:p w14:paraId="6CDD94AE">
            <w:pPr>
              <w:adjustRightInd w:val="0"/>
              <w:snapToGrid w:val="0"/>
              <w:spacing w:line="276" w:lineRule="auto"/>
              <w:jc w:val="right"/>
              <w:rPr>
                <w:rFonts w:hint="eastAsia" w:ascii="宋体" w:hAnsi="宋体"/>
                <w:sz w:val="21"/>
              </w:rPr>
            </w:pPr>
            <w:r>
              <w:rPr>
                <w:rFonts w:hint="eastAsia" w:ascii="宋体" w:hAnsi="宋体"/>
                <w:sz w:val="21"/>
              </w:rPr>
              <w:t>课程目标</w:t>
            </w:r>
            <w:r>
              <w:rPr>
                <w:rFonts w:ascii="宋体" w:hAnsi="宋体"/>
                <w:sz w:val="21"/>
              </w:rPr>
              <w:t>1</w:t>
            </w:r>
          </w:p>
          <w:p w14:paraId="5A5E889F">
            <w:pPr>
              <w:adjustRightInd w:val="0"/>
              <w:snapToGrid w:val="0"/>
              <w:spacing w:line="276" w:lineRule="auto"/>
              <w:jc w:val="right"/>
              <w:rPr>
                <w:rFonts w:hint="eastAsia" w:ascii="宋体"/>
                <w:sz w:val="21"/>
              </w:rPr>
            </w:pPr>
            <w:r>
              <w:rPr>
                <w:rFonts w:hint="eastAsia" w:ascii="宋体" w:hAnsi="宋体"/>
                <w:sz w:val="21"/>
              </w:rPr>
              <w:t>课程目标</w:t>
            </w:r>
            <w:r>
              <w:rPr>
                <w:rFonts w:ascii="宋体" w:hAnsi="宋体"/>
                <w:sz w:val="21"/>
              </w:rPr>
              <w:t>2</w:t>
            </w:r>
            <w:r>
              <w:rPr>
                <w:rFonts w:hint="eastAsia" w:ascii="宋体" w:hAnsi="宋体"/>
                <w:sz w:val="21"/>
              </w:rPr>
              <w:t>课程目标</w:t>
            </w:r>
            <w:r>
              <w:rPr>
                <w:rFonts w:ascii="宋体" w:hAnsi="宋体"/>
                <w:sz w:val="21"/>
              </w:rPr>
              <w:t>3</w:t>
            </w:r>
          </w:p>
          <w:p w14:paraId="31060E94">
            <w:pPr>
              <w:adjustRightInd w:val="0"/>
              <w:snapToGrid w:val="0"/>
              <w:spacing w:line="276" w:lineRule="auto"/>
              <w:jc w:val="right"/>
              <w:rPr>
                <w:rFonts w:hint="eastAsia" w:ascii="宋体"/>
                <w:color w:val="000000"/>
                <w:sz w:val="21"/>
                <w:szCs w:val="21"/>
              </w:rPr>
            </w:pPr>
            <w:r>
              <w:rPr>
                <w:rFonts w:hint="eastAsia" w:ascii="宋体" w:hAnsi="宋体"/>
                <w:color w:val="000000"/>
                <w:sz w:val="21"/>
                <w:szCs w:val="21"/>
              </w:rPr>
              <w:t>课程目标</w:t>
            </w:r>
            <w:r>
              <w:rPr>
                <w:rFonts w:ascii="宋体" w:hAnsi="宋体"/>
                <w:color w:val="000000"/>
                <w:sz w:val="21"/>
                <w:szCs w:val="21"/>
              </w:rPr>
              <w:t>4</w:t>
            </w:r>
          </w:p>
        </w:tc>
        <w:tc>
          <w:tcPr>
            <w:tcW w:w="1276" w:type="dxa"/>
            <w:vAlign w:val="center"/>
          </w:tcPr>
          <w:p w14:paraId="2F19DB1A">
            <w:pPr>
              <w:adjustRightInd w:val="0"/>
              <w:snapToGrid w:val="0"/>
              <w:spacing w:line="276" w:lineRule="auto"/>
              <w:jc w:val="left"/>
              <w:rPr>
                <w:rFonts w:hint="eastAsia" w:ascii="宋体"/>
                <w:color w:val="000000"/>
                <w:sz w:val="21"/>
                <w:szCs w:val="21"/>
              </w:rPr>
            </w:pPr>
            <w:r>
              <w:rPr>
                <w:rFonts w:hint="eastAsia" w:ascii="宋体"/>
                <w:color w:val="000000"/>
                <w:sz w:val="21"/>
                <w:szCs w:val="21"/>
              </w:rPr>
              <w:t>对教育实践中的一般问题和根本性问题进行哲学思考。</w:t>
            </w:r>
          </w:p>
        </w:tc>
        <w:tc>
          <w:tcPr>
            <w:tcW w:w="1276" w:type="dxa"/>
            <w:vAlign w:val="center"/>
          </w:tcPr>
          <w:p w14:paraId="079EACC0">
            <w:pPr>
              <w:adjustRightInd w:val="0"/>
              <w:snapToGrid w:val="0"/>
              <w:spacing w:line="276" w:lineRule="auto"/>
              <w:jc w:val="left"/>
              <w:rPr>
                <w:rFonts w:hint="eastAsia" w:ascii="宋体"/>
                <w:color w:val="000000"/>
                <w:sz w:val="21"/>
                <w:szCs w:val="21"/>
              </w:rPr>
            </w:pPr>
            <w:r>
              <w:rPr>
                <w:rFonts w:ascii="宋体" w:hAnsi="宋体"/>
                <w:color w:val="000000"/>
                <w:sz w:val="21"/>
                <w:szCs w:val="21"/>
              </w:rPr>
              <w:t>1-2</w:t>
            </w:r>
            <w:r>
              <w:rPr>
                <w:rFonts w:hint="eastAsia" w:ascii="宋体" w:hAnsi="宋体"/>
                <w:color w:val="000000"/>
                <w:sz w:val="21"/>
                <w:szCs w:val="21"/>
              </w:rPr>
              <w:t>、</w:t>
            </w:r>
            <w:r>
              <w:rPr>
                <w:rFonts w:ascii="宋体" w:hAnsi="宋体"/>
                <w:color w:val="000000"/>
                <w:sz w:val="21"/>
                <w:szCs w:val="21"/>
              </w:rPr>
              <w:t>2-1</w:t>
            </w:r>
            <w:r>
              <w:rPr>
                <w:rFonts w:hint="eastAsia" w:ascii="宋体" w:hAnsi="宋体"/>
                <w:color w:val="000000"/>
                <w:sz w:val="21"/>
                <w:szCs w:val="21"/>
              </w:rPr>
              <w:t>、</w:t>
            </w:r>
            <w:r>
              <w:rPr>
                <w:rFonts w:ascii="宋体" w:hAnsi="宋体"/>
                <w:color w:val="000000"/>
                <w:sz w:val="21"/>
                <w:szCs w:val="21"/>
              </w:rPr>
              <w:t>2-2</w:t>
            </w:r>
            <w:r>
              <w:rPr>
                <w:rFonts w:hint="eastAsia" w:ascii="宋体" w:hAnsi="宋体"/>
                <w:color w:val="000000"/>
                <w:sz w:val="21"/>
                <w:szCs w:val="21"/>
              </w:rPr>
              <w:t>、</w:t>
            </w:r>
            <w:r>
              <w:rPr>
                <w:rFonts w:ascii="宋体" w:hAnsi="宋体"/>
                <w:color w:val="000000"/>
                <w:sz w:val="21"/>
                <w:szCs w:val="21"/>
              </w:rPr>
              <w:t>2-3</w:t>
            </w:r>
            <w:r>
              <w:rPr>
                <w:rFonts w:hint="eastAsia" w:ascii="宋体" w:hAnsi="宋体"/>
                <w:color w:val="000000"/>
                <w:sz w:val="21"/>
                <w:szCs w:val="21"/>
              </w:rPr>
              <w:t>、</w:t>
            </w:r>
          </w:p>
          <w:p w14:paraId="15A06428">
            <w:pPr>
              <w:adjustRightInd w:val="0"/>
              <w:snapToGrid w:val="0"/>
              <w:spacing w:line="276" w:lineRule="auto"/>
              <w:ind w:right="210"/>
              <w:jc w:val="left"/>
              <w:rPr>
                <w:rFonts w:hint="eastAsia" w:ascii="宋体"/>
                <w:color w:val="000000"/>
                <w:sz w:val="21"/>
                <w:szCs w:val="21"/>
              </w:rPr>
            </w:pPr>
            <w:r>
              <w:rPr>
                <w:rFonts w:ascii="宋体" w:hAnsi="宋体"/>
                <w:color w:val="000000"/>
                <w:sz w:val="21"/>
                <w:szCs w:val="21"/>
              </w:rPr>
              <w:t>7-2</w:t>
            </w:r>
          </w:p>
        </w:tc>
      </w:tr>
    </w:tbl>
    <w:p w14:paraId="3CF070A6">
      <w:pPr>
        <w:spacing w:line="360" w:lineRule="auto"/>
        <w:ind w:firstLine="315" w:firstLineChars="150"/>
        <w:rPr>
          <w:rFonts w:hint="eastAsia" w:ascii="宋体"/>
        </w:rPr>
      </w:pPr>
      <w:r>
        <w:rPr>
          <w:rFonts w:hint="eastAsia" w:ascii="宋体" w:hAnsi="宋体"/>
        </w:rPr>
        <w:t>（三）课程目标及考核方式权重分配表</w:t>
      </w:r>
    </w:p>
    <w:tbl>
      <w:tblPr>
        <w:tblStyle w:val="30"/>
        <w:tblW w:w="8993"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38"/>
        <w:gridCol w:w="1807"/>
        <w:gridCol w:w="2185"/>
        <w:gridCol w:w="1833"/>
        <w:gridCol w:w="1130"/>
      </w:tblGrid>
      <w:tr w14:paraId="5AFB61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4" w:hRule="atLeast"/>
        </w:trPr>
        <w:tc>
          <w:tcPr>
            <w:tcW w:w="3845" w:type="dxa"/>
            <w:gridSpan w:val="2"/>
            <w:vAlign w:val="center"/>
          </w:tcPr>
          <w:p w14:paraId="770A19FD">
            <w:pPr>
              <w:widowControl/>
              <w:adjustRightInd w:val="0"/>
              <w:snapToGrid w:val="0"/>
              <w:jc w:val="center"/>
              <w:rPr>
                <w:rFonts w:hint="eastAsia" w:ascii="宋体"/>
                <w:b/>
                <w:color w:val="000000"/>
                <w:kern w:val="0"/>
                <w:sz w:val="21"/>
                <w:szCs w:val="21"/>
              </w:rPr>
            </w:pPr>
            <w:r>
              <w:rPr>
                <w:rFonts w:hint="eastAsia" w:ascii="宋体" w:hAnsi="宋体"/>
                <w:b/>
                <w:color w:val="000000"/>
                <w:kern w:val="0"/>
                <w:sz w:val="21"/>
                <w:szCs w:val="21"/>
              </w:rPr>
              <w:t>课程目标及权重</w:t>
            </w:r>
          </w:p>
        </w:tc>
        <w:tc>
          <w:tcPr>
            <w:tcW w:w="5148" w:type="dxa"/>
            <w:gridSpan w:val="3"/>
            <w:vAlign w:val="center"/>
          </w:tcPr>
          <w:p w14:paraId="434D48FA">
            <w:pPr>
              <w:widowControl/>
              <w:adjustRightInd w:val="0"/>
              <w:snapToGrid w:val="0"/>
              <w:ind w:right="-391" w:rightChars="-186"/>
              <w:jc w:val="center"/>
              <w:rPr>
                <w:rFonts w:hint="eastAsia" w:ascii="宋体"/>
                <w:b/>
                <w:color w:val="000000"/>
                <w:kern w:val="0"/>
                <w:sz w:val="21"/>
                <w:szCs w:val="21"/>
              </w:rPr>
            </w:pPr>
            <w:r>
              <w:rPr>
                <w:rFonts w:hint="eastAsia" w:ascii="宋体" w:hAnsi="宋体"/>
                <w:b/>
                <w:color w:val="000000"/>
                <w:kern w:val="0"/>
                <w:sz w:val="21"/>
                <w:szCs w:val="21"/>
              </w:rPr>
              <w:t>考核方式及权重</w:t>
            </w:r>
          </w:p>
        </w:tc>
      </w:tr>
      <w:tr w14:paraId="2198BB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9" w:hRule="atLeast"/>
        </w:trPr>
        <w:tc>
          <w:tcPr>
            <w:tcW w:w="2038" w:type="dxa"/>
            <w:vAlign w:val="center"/>
          </w:tcPr>
          <w:p w14:paraId="2F5E7576">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项目</w:t>
            </w:r>
          </w:p>
        </w:tc>
        <w:tc>
          <w:tcPr>
            <w:tcW w:w="1807" w:type="dxa"/>
            <w:vAlign w:val="center"/>
          </w:tcPr>
          <w:p w14:paraId="526A25B7">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权重（</w:t>
            </w:r>
            <w:r>
              <w:rPr>
                <w:rFonts w:ascii="宋体" w:hAnsi="宋体"/>
                <w:color w:val="000000"/>
                <w:kern w:val="0"/>
                <w:sz w:val="21"/>
                <w:szCs w:val="21"/>
              </w:rPr>
              <w:t>a</w:t>
            </w:r>
            <w:r>
              <w:rPr>
                <w:rFonts w:hint="eastAsia" w:ascii="宋体" w:hAnsi="宋体"/>
                <w:color w:val="000000"/>
                <w:kern w:val="0"/>
                <w:sz w:val="21"/>
                <w:szCs w:val="21"/>
              </w:rPr>
              <w:t>）</w:t>
            </w:r>
          </w:p>
        </w:tc>
        <w:tc>
          <w:tcPr>
            <w:tcW w:w="2185" w:type="dxa"/>
            <w:vAlign w:val="center"/>
          </w:tcPr>
          <w:p w14:paraId="32DB5736">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评价依据</w:t>
            </w:r>
          </w:p>
        </w:tc>
        <w:tc>
          <w:tcPr>
            <w:tcW w:w="1833" w:type="dxa"/>
            <w:vAlign w:val="center"/>
          </w:tcPr>
          <w:p w14:paraId="0A17C051">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权重（</w:t>
            </w:r>
            <w:r>
              <w:rPr>
                <w:rFonts w:ascii="宋体" w:hAnsi="宋体"/>
                <w:color w:val="000000"/>
                <w:kern w:val="0"/>
                <w:sz w:val="21"/>
                <w:szCs w:val="21"/>
              </w:rPr>
              <w:t>b</w:t>
            </w:r>
            <w:r>
              <w:rPr>
                <w:rFonts w:hint="eastAsia" w:ascii="宋体" w:hAnsi="宋体"/>
                <w:color w:val="000000"/>
                <w:kern w:val="0"/>
                <w:sz w:val="21"/>
                <w:szCs w:val="21"/>
              </w:rPr>
              <w:t>）</w:t>
            </w:r>
          </w:p>
        </w:tc>
        <w:tc>
          <w:tcPr>
            <w:tcW w:w="1130" w:type="dxa"/>
          </w:tcPr>
          <w:p w14:paraId="6155B767">
            <w:pPr>
              <w:widowControl/>
              <w:adjustRightInd w:val="0"/>
              <w:snapToGrid w:val="0"/>
              <w:rPr>
                <w:rFonts w:hint="eastAsia" w:ascii="宋体"/>
                <w:color w:val="000000"/>
                <w:kern w:val="0"/>
                <w:sz w:val="21"/>
                <w:szCs w:val="21"/>
              </w:rPr>
            </w:pPr>
            <w:r>
              <w:rPr>
                <w:rFonts w:hint="eastAsia" w:ascii="宋体" w:hAnsi="宋体"/>
                <w:color w:val="000000"/>
                <w:kern w:val="0"/>
                <w:sz w:val="21"/>
                <w:szCs w:val="21"/>
              </w:rPr>
              <w:t>考核方式权重合计</w:t>
            </w:r>
          </w:p>
        </w:tc>
      </w:tr>
      <w:tr w14:paraId="00927E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2038" w:type="dxa"/>
            <w:vMerge w:val="restart"/>
            <w:vAlign w:val="center"/>
          </w:tcPr>
          <w:p w14:paraId="35FA8AB4">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课程目标</w:t>
            </w:r>
            <w:r>
              <w:rPr>
                <w:rFonts w:ascii="宋体" w:hAnsi="宋体"/>
                <w:color w:val="000000"/>
                <w:kern w:val="0"/>
                <w:sz w:val="21"/>
                <w:szCs w:val="21"/>
              </w:rPr>
              <w:t>1</w:t>
            </w:r>
          </w:p>
        </w:tc>
        <w:tc>
          <w:tcPr>
            <w:tcW w:w="1807" w:type="dxa"/>
            <w:vMerge w:val="restart"/>
            <w:vAlign w:val="center"/>
          </w:tcPr>
          <w:p w14:paraId="25E26327">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25%</w:t>
            </w:r>
          </w:p>
        </w:tc>
        <w:tc>
          <w:tcPr>
            <w:tcW w:w="2185" w:type="dxa"/>
            <w:vAlign w:val="center"/>
          </w:tcPr>
          <w:p w14:paraId="7A822253">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考试</w:t>
            </w:r>
          </w:p>
        </w:tc>
        <w:tc>
          <w:tcPr>
            <w:tcW w:w="1833" w:type="dxa"/>
            <w:vAlign w:val="center"/>
          </w:tcPr>
          <w:p w14:paraId="0026A000">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50%</w:t>
            </w:r>
          </w:p>
        </w:tc>
        <w:tc>
          <w:tcPr>
            <w:tcW w:w="1130" w:type="dxa"/>
            <w:vMerge w:val="restart"/>
            <w:vAlign w:val="center"/>
          </w:tcPr>
          <w:p w14:paraId="308B0F29">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100%</w:t>
            </w:r>
          </w:p>
        </w:tc>
      </w:tr>
      <w:tr w14:paraId="5B938C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2038" w:type="dxa"/>
            <w:vMerge w:val="continue"/>
            <w:vAlign w:val="center"/>
          </w:tcPr>
          <w:p w14:paraId="7886CA0B">
            <w:pPr>
              <w:widowControl/>
              <w:adjustRightInd w:val="0"/>
              <w:snapToGrid w:val="0"/>
              <w:jc w:val="center"/>
              <w:rPr>
                <w:rFonts w:hint="eastAsia" w:ascii="宋体" w:hAnsi="宋体"/>
                <w:color w:val="000000"/>
                <w:kern w:val="0"/>
                <w:sz w:val="21"/>
                <w:szCs w:val="21"/>
              </w:rPr>
            </w:pPr>
          </w:p>
        </w:tc>
        <w:tc>
          <w:tcPr>
            <w:tcW w:w="1807" w:type="dxa"/>
            <w:vMerge w:val="continue"/>
            <w:vAlign w:val="center"/>
          </w:tcPr>
          <w:p w14:paraId="25B14C74">
            <w:pPr>
              <w:widowControl/>
              <w:adjustRightInd w:val="0"/>
              <w:snapToGrid w:val="0"/>
              <w:jc w:val="center"/>
              <w:rPr>
                <w:rFonts w:hint="eastAsia" w:ascii="宋体" w:hAnsi="宋体"/>
                <w:color w:val="000000"/>
                <w:kern w:val="0"/>
                <w:sz w:val="21"/>
                <w:szCs w:val="21"/>
              </w:rPr>
            </w:pPr>
          </w:p>
        </w:tc>
        <w:tc>
          <w:tcPr>
            <w:tcW w:w="2185" w:type="dxa"/>
            <w:vAlign w:val="center"/>
          </w:tcPr>
          <w:p w14:paraId="2816A084">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课堂表现</w:t>
            </w:r>
          </w:p>
        </w:tc>
        <w:tc>
          <w:tcPr>
            <w:tcW w:w="1833" w:type="dxa"/>
            <w:vAlign w:val="center"/>
          </w:tcPr>
          <w:p w14:paraId="1A922A79">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2</w:t>
            </w:r>
            <w:r>
              <w:rPr>
                <w:rFonts w:ascii="宋体" w:hAnsi="宋体"/>
                <w:color w:val="000000"/>
                <w:kern w:val="0"/>
                <w:sz w:val="21"/>
                <w:szCs w:val="21"/>
              </w:rPr>
              <w:t>0</w:t>
            </w:r>
            <w:r>
              <w:rPr>
                <w:rFonts w:hint="eastAsia" w:ascii="宋体" w:hAnsi="宋体"/>
                <w:color w:val="000000"/>
                <w:kern w:val="0"/>
                <w:sz w:val="21"/>
                <w:szCs w:val="21"/>
              </w:rPr>
              <w:t>%</w:t>
            </w:r>
          </w:p>
        </w:tc>
        <w:tc>
          <w:tcPr>
            <w:tcW w:w="1130" w:type="dxa"/>
            <w:vMerge w:val="continue"/>
            <w:vAlign w:val="center"/>
          </w:tcPr>
          <w:p w14:paraId="3C9F6E3C">
            <w:pPr>
              <w:widowControl/>
              <w:adjustRightInd w:val="0"/>
              <w:snapToGrid w:val="0"/>
              <w:jc w:val="center"/>
              <w:rPr>
                <w:rFonts w:hint="eastAsia" w:ascii="宋体" w:hAnsi="宋体"/>
                <w:color w:val="000000"/>
                <w:kern w:val="0"/>
                <w:sz w:val="21"/>
                <w:szCs w:val="21"/>
              </w:rPr>
            </w:pPr>
          </w:p>
        </w:tc>
      </w:tr>
      <w:tr w14:paraId="55E2C6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4A9B86CA">
            <w:pPr>
              <w:widowControl/>
              <w:adjustRightInd w:val="0"/>
              <w:snapToGrid w:val="0"/>
              <w:jc w:val="left"/>
              <w:rPr>
                <w:rFonts w:hint="eastAsia" w:ascii="宋体"/>
                <w:color w:val="000000"/>
                <w:kern w:val="0"/>
                <w:sz w:val="21"/>
                <w:szCs w:val="21"/>
              </w:rPr>
            </w:pPr>
          </w:p>
        </w:tc>
        <w:tc>
          <w:tcPr>
            <w:tcW w:w="1807" w:type="dxa"/>
            <w:vMerge w:val="continue"/>
            <w:vAlign w:val="center"/>
          </w:tcPr>
          <w:p w14:paraId="47EAD32B">
            <w:pPr>
              <w:widowControl/>
              <w:adjustRightInd w:val="0"/>
              <w:snapToGrid w:val="0"/>
              <w:jc w:val="left"/>
              <w:rPr>
                <w:rFonts w:hint="eastAsia" w:ascii="宋体"/>
                <w:color w:val="000000"/>
                <w:kern w:val="0"/>
                <w:sz w:val="21"/>
                <w:szCs w:val="21"/>
              </w:rPr>
            </w:pPr>
          </w:p>
        </w:tc>
        <w:tc>
          <w:tcPr>
            <w:tcW w:w="2185" w:type="dxa"/>
            <w:vAlign w:val="center"/>
          </w:tcPr>
          <w:p w14:paraId="7CDF1E08">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2</w:t>
            </w:r>
          </w:p>
        </w:tc>
        <w:tc>
          <w:tcPr>
            <w:tcW w:w="1833" w:type="dxa"/>
            <w:vAlign w:val="center"/>
          </w:tcPr>
          <w:p w14:paraId="0FA9CDBE">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30%</w:t>
            </w:r>
          </w:p>
        </w:tc>
        <w:tc>
          <w:tcPr>
            <w:tcW w:w="1130" w:type="dxa"/>
            <w:vMerge w:val="continue"/>
            <w:vAlign w:val="center"/>
          </w:tcPr>
          <w:p w14:paraId="1A7732B4">
            <w:pPr>
              <w:widowControl/>
              <w:adjustRightInd w:val="0"/>
              <w:snapToGrid w:val="0"/>
              <w:jc w:val="center"/>
              <w:rPr>
                <w:rFonts w:hint="eastAsia" w:ascii="宋体" w:hAnsi="宋体"/>
                <w:color w:val="000000"/>
                <w:kern w:val="0"/>
                <w:sz w:val="21"/>
                <w:szCs w:val="21"/>
              </w:rPr>
            </w:pPr>
          </w:p>
        </w:tc>
      </w:tr>
      <w:tr w14:paraId="00001A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restart"/>
            <w:vAlign w:val="center"/>
          </w:tcPr>
          <w:p w14:paraId="40D92440">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课程目标</w:t>
            </w:r>
            <w:r>
              <w:rPr>
                <w:rFonts w:ascii="宋体" w:hAnsi="宋体"/>
                <w:color w:val="000000"/>
                <w:kern w:val="0"/>
                <w:sz w:val="21"/>
                <w:szCs w:val="21"/>
              </w:rPr>
              <w:t>2</w:t>
            </w:r>
          </w:p>
        </w:tc>
        <w:tc>
          <w:tcPr>
            <w:tcW w:w="1807" w:type="dxa"/>
            <w:vMerge w:val="restart"/>
            <w:vAlign w:val="center"/>
          </w:tcPr>
          <w:p w14:paraId="6C1CEE4E">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25%</w:t>
            </w:r>
          </w:p>
        </w:tc>
        <w:tc>
          <w:tcPr>
            <w:tcW w:w="2185" w:type="dxa"/>
            <w:vAlign w:val="center"/>
          </w:tcPr>
          <w:p w14:paraId="1A74A783">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考试</w:t>
            </w:r>
          </w:p>
        </w:tc>
        <w:tc>
          <w:tcPr>
            <w:tcW w:w="1833" w:type="dxa"/>
            <w:vAlign w:val="center"/>
          </w:tcPr>
          <w:p w14:paraId="029F7AA7">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40%</w:t>
            </w:r>
          </w:p>
        </w:tc>
        <w:tc>
          <w:tcPr>
            <w:tcW w:w="1130" w:type="dxa"/>
            <w:vMerge w:val="restart"/>
            <w:vAlign w:val="center"/>
          </w:tcPr>
          <w:p w14:paraId="569C4E6C">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100%</w:t>
            </w:r>
          </w:p>
        </w:tc>
      </w:tr>
      <w:tr w14:paraId="749F94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442FC38B">
            <w:pPr>
              <w:widowControl/>
              <w:adjustRightInd w:val="0"/>
              <w:snapToGrid w:val="0"/>
              <w:jc w:val="left"/>
              <w:rPr>
                <w:rFonts w:hint="eastAsia" w:ascii="宋体"/>
                <w:color w:val="000000"/>
                <w:kern w:val="0"/>
                <w:sz w:val="21"/>
                <w:szCs w:val="21"/>
              </w:rPr>
            </w:pPr>
          </w:p>
        </w:tc>
        <w:tc>
          <w:tcPr>
            <w:tcW w:w="1807" w:type="dxa"/>
            <w:vMerge w:val="continue"/>
            <w:vAlign w:val="center"/>
          </w:tcPr>
          <w:p w14:paraId="4054373A">
            <w:pPr>
              <w:widowControl/>
              <w:adjustRightInd w:val="0"/>
              <w:snapToGrid w:val="0"/>
              <w:jc w:val="left"/>
              <w:rPr>
                <w:rFonts w:hint="eastAsia" w:ascii="宋体"/>
                <w:color w:val="000000"/>
                <w:kern w:val="0"/>
                <w:sz w:val="21"/>
                <w:szCs w:val="21"/>
              </w:rPr>
            </w:pPr>
          </w:p>
        </w:tc>
        <w:tc>
          <w:tcPr>
            <w:tcW w:w="2185" w:type="dxa"/>
            <w:vAlign w:val="center"/>
          </w:tcPr>
          <w:p w14:paraId="29FBB1FA">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课堂表现</w:t>
            </w:r>
          </w:p>
        </w:tc>
        <w:tc>
          <w:tcPr>
            <w:tcW w:w="1833" w:type="dxa"/>
            <w:vAlign w:val="center"/>
          </w:tcPr>
          <w:p w14:paraId="7C320C61">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20%</w:t>
            </w:r>
          </w:p>
        </w:tc>
        <w:tc>
          <w:tcPr>
            <w:tcW w:w="1130" w:type="dxa"/>
            <w:vMerge w:val="continue"/>
            <w:vAlign w:val="center"/>
          </w:tcPr>
          <w:p w14:paraId="4A4791D3">
            <w:pPr>
              <w:widowControl/>
              <w:adjustRightInd w:val="0"/>
              <w:snapToGrid w:val="0"/>
              <w:jc w:val="center"/>
              <w:rPr>
                <w:rFonts w:hint="eastAsia" w:ascii="宋体" w:hAnsi="宋体"/>
                <w:color w:val="000000"/>
                <w:kern w:val="0"/>
                <w:sz w:val="21"/>
                <w:szCs w:val="21"/>
              </w:rPr>
            </w:pPr>
          </w:p>
        </w:tc>
      </w:tr>
      <w:tr w14:paraId="2FD221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68C31605">
            <w:pPr>
              <w:widowControl/>
              <w:adjustRightInd w:val="0"/>
              <w:snapToGrid w:val="0"/>
              <w:jc w:val="left"/>
              <w:rPr>
                <w:rFonts w:hint="eastAsia" w:ascii="宋体"/>
                <w:color w:val="000000"/>
                <w:kern w:val="0"/>
                <w:sz w:val="21"/>
                <w:szCs w:val="21"/>
              </w:rPr>
            </w:pPr>
          </w:p>
        </w:tc>
        <w:tc>
          <w:tcPr>
            <w:tcW w:w="1807" w:type="dxa"/>
            <w:vMerge w:val="continue"/>
            <w:vAlign w:val="center"/>
          </w:tcPr>
          <w:p w14:paraId="6273A7D8">
            <w:pPr>
              <w:widowControl/>
              <w:adjustRightInd w:val="0"/>
              <w:snapToGrid w:val="0"/>
              <w:jc w:val="left"/>
              <w:rPr>
                <w:rFonts w:hint="eastAsia" w:ascii="宋体"/>
                <w:color w:val="000000"/>
                <w:kern w:val="0"/>
                <w:sz w:val="21"/>
                <w:szCs w:val="21"/>
              </w:rPr>
            </w:pPr>
          </w:p>
        </w:tc>
        <w:tc>
          <w:tcPr>
            <w:tcW w:w="2185" w:type="dxa"/>
            <w:vAlign w:val="center"/>
          </w:tcPr>
          <w:p w14:paraId="22830901">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1</w:t>
            </w:r>
          </w:p>
        </w:tc>
        <w:tc>
          <w:tcPr>
            <w:tcW w:w="1833" w:type="dxa"/>
            <w:vAlign w:val="center"/>
          </w:tcPr>
          <w:p w14:paraId="1C7B6534">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2</w:t>
            </w:r>
            <w:r>
              <w:rPr>
                <w:rFonts w:ascii="宋体" w:hAnsi="宋体"/>
                <w:color w:val="000000"/>
                <w:kern w:val="0"/>
                <w:sz w:val="21"/>
                <w:szCs w:val="21"/>
              </w:rPr>
              <w:t>0</w:t>
            </w:r>
            <w:r>
              <w:rPr>
                <w:rFonts w:hint="eastAsia" w:ascii="宋体" w:hAnsi="宋体"/>
                <w:color w:val="000000"/>
                <w:kern w:val="0"/>
                <w:sz w:val="21"/>
                <w:szCs w:val="21"/>
              </w:rPr>
              <w:t>%</w:t>
            </w:r>
          </w:p>
        </w:tc>
        <w:tc>
          <w:tcPr>
            <w:tcW w:w="1130" w:type="dxa"/>
            <w:vMerge w:val="continue"/>
            <w:vAlign w:val="center"/>
          </w:tcPr>
          <w:p w14:paraId="7ADC908F">
            <w:pPr>
              <w:widowControl/>
              <w:adjustRightInd w:val="0"/>
              <w:snapToGrid w:val="0"/>
              <w:jc w:val="center"/>
              <w:rPr>
                <w:rFonts w:hint="eastAsia" w:ascii="宋体" w:hAnsi="宋体"/>
                <w:color w:val="000000"/>
                <w:kern w:val="0"/>
                <w:sz w:val="21"/>
                <w:szCs w:val="21"/>
              </w:rPr>
            </w:pPr>
          </w:p>
        </w:tc>
      </w:tr>
      <w:tr w14:paraId="6AACCD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17D76BBE">
            <w:pPr>
              <w:widowControl/>
              <w:adjustRightInd w:val="0"/>
              <w:snapToGrid w:val="0"/>
              <w:jc w:val="left"/>
              <w:rPr>
                <w:rFonts w:hint="eastAsia" w:ascii="宋体"/>
                <w:color w:val="000000"/>
                <w:kern w:val="0"/>
                <w:sz w:val="21"/>
                <w:szCs w:val="21"/>
              </w:rPr>
            </w:pPr>
          </w:p>
        </w:tc>
        <w:tc>
          <w:tcPr>
            <w:tcW w:w="1807" w:type="dxa"/>
            <w:vMerge w:val="continue"/>
            <w:vAlign w:val="center"/>
          </w:tcPr>
          <w:p w14:paraId="02198FB0">
            <w:pPr>
              <w:widowControl/>
              <w:adjustRightInd w:val="0"/>
              <w:snapToGrid w:val="0"/>
              <w:jc w:val="left"/>
              <w:rPr>
                <w:rFonts w:hint="eastAsia" w:ascii="宋体"/>
                <w:color w:val="000000"/>
                <w:kern w:val="0"/>
                <w:sz w:val="21"/>
                <w:szCs w:val="21"/>
              </w:rPr>
            </w:pPr>
          </w:p>
        </w:tc>
        <w:tc>
          <w:tcPr>
            <w:tcW w:w="2185" w:type="dxa"/>
            <w:vAlign w:val="center"/>
          </w:tcPr>
          <w:p w14:paraId="68FD1902">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2</w:t>
            </w:r>
          </w:p>
        </w:tc>
        <w:tc>
          <w:tcPr>
            <w:tcW w:w="1833" w:type="dxa"/>
            <w:vAlign w:val="center"/>
          </w:tcPr>
          <w:p w14:paraId="71B9FBAE">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20%</w:t>
            </w:r>
          </w:p>
        </w:tc>
        <w:tc>
          <w:tcPr>
            <w:tcW w:w="1130" w:type="dxa"/>
            <w:vMerge w:val="continue"/>
            <w:vAlign w:val="center"/>
          </w:tcPr>
          <w:p w14:paraId="69DC562D">
            <w:pPr>
              <w:widowControl/>
              <w:adjustRightInd w:val="0"/>
              <w:snapToGrid w:val="0"/>
              <w:jc w:val="center"/>
              <w:rPr>
                <w:rFonts w:hint="eastAsia" w:ascii="宋体" w:hAnsi="宋体"/>
                <w:color w:val="000000"/>
                <w:kern w:val="0"/>
                <w:sz w:val="21"/>
                <w:szCs w:val="21"/>
              </w:rPr>
            </w:pPr>
          </w:p>
        </w:tc>
      </w:tr>
      <w:tr w14:paraId="34A4DF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restart"/>
            <w:vAlign w:val="center"/>
          </w:tcPr>
          <w:p w14:paraId="0BAE54D1">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课程目标</w:t>
            </w:r>
            <w:r>
              <w:rPr>
                <w:rFonts w:ascii="宋体" w:hAnsi="宋体"/>
                <w:color w:val="000000"/>
                <w:kern w:val="0"/>
                <w:sz w:val="21"/>
                <w:szCs w:val="21"/>
              </w:rPr>
              <w:t>3</w:t>
            </w:r>
          </w:p>
        </w:tc>
        <w:tc>
          <w:tcPr>
            <w:tcW w:w="1807" w:type="dxa"/>
            <w:vMerge w:val="restart"/>
            <w:vAlign w:val="center"/>
          </w:tcPr>
          <w:p w14:paraId="768BD2DE">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25%</w:t>
            </w:r>
          </w:p>
        </w:tc>
        <w:tc>
          <w:tcPr>
            <w:tcW w:w="2185" w:type="dxa"/>
            <w:vAlign w:val="center"/>
          </w:tcPr>
          <w:p w14:paraId="0A3F133A">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考试</w:t>
            </w:r>
          </w:p>
        </w:tc>
        <w:tc>
          <w:tcPr>
            <w:tcW w:w="1833" w:type="dxa"/>
            <w:vAlign w:val="center"/>
          </w:tcPr>
          <w:p w14:paraId="7B25ECFC">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50%</w:t>
            </w:r>
          </w:p>
        </w:tc>
        <w:tc>
          <w:tcPr>
            <w:tcW w:w="1130" w:type="dxa"/>
            <w:vMerge w:val="restart"/>
            <w:vAlign w:val="center"/>
          </w:tcPr>
          <w:p w14:paraId="41F5E309">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100%</w:t>
            </w:r>
          </w:p>
        </w:tc>
      </w:tr>
      <w:tr w14:paraId="695CBF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20C4DB79">
            <w:pPr>
              <w:widowControl/>
              <w:adjustRightInd w:val="0"/>
              <w:snapToGrid w:val="0"/>
              <w:jc w:val="center"/>
              <w:rPr>
                <w:rFonts w:hint="eastAsia" w:ascii="宋体" w:hAnsi="宋体"/>
                <w:color w:val="000000"/>
                <w:kern w:val="0"/>
                <w:sz w:val="21"/>
                <w:szCs w:val="21"/>
              </w:rPr>
            </w:pPr>
          </w:p>
        </w:tc>
        <w:tc>
          <w:tcPr>
            <w:tcW w:w="1807" w:type="dxa"/>
            <w:vMerge w:val="continue"/>
            <w:vAlign w:val="center"/>
          </w:tcPr>
          <w:p w14:paraId="3E2592F9">
            <w:pPr>
              <w:widowControl/>
              <w:adjustRightInd w:val="0"/>
              <w:snapToGrid w:val="0"/>
              <w:jc w:val="center"/>
              <w:rPr>
                <w:rFonts w:hint="eastAsia" w:ascii="宋体" w:hAnsi="宋体"/>
                <w:color w:val="000000"/>
                <w:kern w:val="0"/>
                <w:sz w:val="21"/>
                <w:szCs w:val="21"/>
              </w:rPr>
            </w:pPr>
          </w:p>
        </w:tc>
        <w:tc>
          <w:tcPr>
            <w:tcW w:w="2185" w:type="dxa"/>
            <w:vAlign w:val="center"/>
          </w:tcPr>
          <w:p w14:paraId="7FA557BC">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课堂表现</w:t>
            </w:r>
          </w:p>
        </w:tc>
        <w:tc>
          <w:tcPr>
            <w:tcW w:w="1833" w:type="dxa"/>
            <w:vAlign w:val="center"/>
          </w:tcPr>
          <w:p w14:paraId="222F8D3C">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2</w:t>
            </w:r>
            <w:r>
              <w:rPr>
                <w:rFonts w:ascii="宋体" w:hAnsi="宋体"/>
                <w:color w:val="000000"/>
                <w:kern w:val="0"/>
                <w:sz w:val="21"/>
                <w:szCs w:val="21"/>
              </w:rPr>
              <w:t>0</w:t>
            </w:r>
            <w:r>
              <w:rPr>
                <w:rFonts w:hint="eastAsia" w:ascii="宋体" w:hAnsi="宋体"/>
                <w:color w:val="000000"/>
                <w:kern w:val="0"/>
                <w:sz w:val="21"/>
                <w:szCs w:val="21"/>
              </w:rPr>
              <w:t>%</w:t>
            </w:r>
          </w:p>
        </w:tc>
        <w:tc>
          <w:tcPr>
            <w:tcW w:w="1130" w:type="dxa"/>
            <w:vMerge w:val="continue"/>
            <w:vAlign w:val="center"/>
          </w:tcPr>
          <w:p w14:paraId="32078AC1">
            <w:pPr>
              <w:widowControl/>
              <w:adjustRightInd w:val="0"/>
              <w:snapToGrid w:val="0"/>
              <w:jc w:val="center"/>
              <w:rPr>
                <w:rFonts w:hint="eastAsia" w:ascii="宋体" w:hAnsi="宋体"/>
                <w:color w:val="000000"/>
                <w:kern w:val="0"/>
                <w:sz w:val="21"/>
                <w:szCs w:val="21"/>
              </w:rPr>
            </w:pPr>
          </w:p>
        </w:tc>
      </w:tr>
      <w:tr w14:paraId="217F24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2CC02FCF">
            <w:pPr>
              <w:widowControl/>
              <w:adjustRightInd w:val="0"/>
              <w:snapToGrid w:val="0"/>
              <w:jc w:val="left"/>
              <w:rPr>
                <w:rFonts w:hint="eastAsia" w:ascii="宋体"/>
                <w:color w:val="000000"/>
                <w:kern w:val="0"/>
                <w:sz w:val="21"/>
                <w:szCs w:val="21"/>
              </w:rPr>
            </w:pPr>
          </w:p>
        </w:tc>
        <w:tc>
          <w:tcPr>
            <w:tcW w:w="1807" w:type="dxa"/>
            <w:vMerge w:val="continue"/>
            <w:vAlign w:val="center"/>
          </w:tcPr>
          <w:p w14:paraId="37D3A5BD">
            <w:pPr>
              <w:widowControl/>
              <w:adjustRightInd w:val="0"/>
              <w:snapToGrid w:val="0"/>
              <w:jc w:val="left"/>
              <w:rPr>
                <w:rFonts w:hint="eastAsia" w:ascii="宋体"/>
                <w:color w:val="000000"/>
                <w:kern w:val="0"/>
                <w:sz w:val="21"/>
                <w:szCs w:val="21"/>
              </w:rPr>
            </w:pPr>
          </w:p>
        </w:tc>
        <w:tc>
          <w:tcPr>
            <w:tcW w:w="2185" w:type="dxa"/>
            <w:vAlign w:val="center"/>
          </w:tcPr>
          <w:p w14:paraId="16FEFAEF">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1</w:t>
            </w:r>
          </w:p>
        </w:tc>
        <w:tc>
          <w:tcPr>
            <w:tcW w:w="1833" w:type="dxa"/>
            <w:vAlign w:val="center"/>
          </w:tcPr>
          <w:p w14:paraId="45781319">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15%</w:t>
            </w:r>
          </w:p>
        </w:tc>
        <w:tc>
          <w:tcPr>
            <w:tcW w:w="1130" w:type="dxa"/>
            <w:vMerge w:val="continue"/>
            <w:vAlign w:val="center"/>
          </w:tcPr>
          <w:p w14:paraId="16326859">
            <w:pPr>
              <w:widowControl/>
              <w:adjustRightInd w:val="0"/>
              <w:snapToGrid w:val="0"/>
              <w:jc w:val="center"/>
              <w:rPr>
                <w:rFonts w:hint="eastAsia" w:ascii="宋体" w:hAnsi="宋体"/>
                <w:color w:val="000000"/>
                <w:kern w:val="0"/>
                <w:sz w:val="21"/>
                <w:szCs w:val="21"/>
              </w:rPr>
            </w:pPr>
          </w:p>
        </w:tc>
      </w:tr>
      <w:tr w14:paraId="1B3A01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54C11B6A">
            <w:pPr>
              <w:widowControl/>
              <w:adjustRightInd w:val="0"/>
              <w:snapToGrid w:val="0"/>
              <w:jc w:val="left"/>
              <w:rPr>
                <w:rFonts w:hint="eastAsia" w:ascii="宋体"/>
                <w:color w:val="000000"/>
                <w:kern w:val="0"/>
                <w:sz w:val="21"/>
                <w:szCs w:val="21"/>
              </w:rPr>
            </w:pPr>
          </w:p>
        </w:tc>
        <w:tc>
          <w:tcPr>
            <w:tcW w:w="1807" w:type="dxa"/>
            <w:vMerge w:val="continue"/>
            <w:vAlign w:val="center"/>
          </w:tcPr>
          <w:p w14:paraId="6479E23A">
            <w:pPr>
              <w:widowControl/>
              <w:adjustRightInd w:val="0"/>
              <w:snapToGrid w:val="0"/>
              <w:jc w:val="left"/>
              <w:rPr>
                <w:rFonts w:hint="eastAsia" w:ascii="宋体"/>
                <w:color w:val="000000"/>
                <w:kern w:val="0"/>
                <w:sz w:val="21"/>
                <w:szCs w:val="21"/>
              </w:rPr>
            </w:pPr>
          </w:p>
        </w:tc>
        <w:tc>
          <w:tcPr>
            <w:tcW w:w="2185" w:type="dxa"/>
            <w:vAlign w:val="center"/>
          </w:tcPr>
          <w:p w14:paraId="266BC7CA">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3</w:t>
            </w:r>
          </w:p>
        </w:tc>
        <w:tc>
          <w:tcPr>
            <w:tcW w:w="1833" w:type="dxa"/>
            <w:vAlign w:val="center"/>
          </w:tcPr>
          <w:p w14:paraId="5BFE22E4">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15%</w:t>
            </w:r>
          </w:p>
        </w:tc>
        <w:tc>
          <w:tcPr>
            <w:tcW w:w="1130" w:type="dxa"/>
            <w:vMerge w:val="continue"/>
            <w:vAlign w:val="center"/>
          </w:tcPr>
          <w:p w14:paraId="0BC05064">
            <w:pPr>
              <w:widowControl/>
              <w:adjustRightInd w:val="0"/>
              <w:snapToGrid w:val="0"/>
              <w:jc w:val="center"/>
              <w:rPr>
                <w:rFonts w:hint="eastAsia" w:ascii="宋体" w:hAnsi="宋体"/>
                <w:color w:val="000000"/>
                <w:kern w:val="0"/>
                <w:sz w:val="21"/>
                <w:szCs w:val="21"/>
              </w:rPr>
            </w:pPr>
          </w:p>
        </w:tc>
      </w:tr>
      <w:tr w14:paraId="0E9D7B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restart"/>
            <w:vAlign w:val="center"/>
          </w:tcPr>
          <w:p w14:paraId="10C7F822">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课程目标</w:t>
            </w:r>
            <w:r>
              <w:rPr>
                <w:rFonts w:ascii="宋体" w:hAnsi="宋体"/>
                <w:color w:val="000000"/>
                <w:kern w:val="0"/>
                <w:sz w:val="21"/>
                <w:szCs w:val="21"/>
              </w:rPr>
              <w:t>4</w:t>
            </w:r>
          </w:p>
        </w:tc>
        <w:tc>
          <w:tcPr>
            <w:tcW w:w="1807" w:type="dxa"/>
            <w:vMerge w:val="restart"/>
            <w:vAlign w:val="center"/>
          </w:tcPr>
          <w:p w14:paraId="1205756A">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25%</w:t>
            </w:r>
          </w:p>
        </w:tc>
        <w:tc>
          <w:tcPr>
            <w:tcW w:w="2185" w:type="dxa"/>
            <w:vAlign w:val="center"/>
          </w:tcPr>
          <w:p w14:paraId="65EF63D5">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考试</w:t>
            </w:r>
          </w:p>
        </w:tc>
        <w:tc>
          <w:tcPr>
            <w:tcW w:w="1833" w:type="dxa"/>
            <w:vAlign w:val="center"/>
          </w:tcPr>
          <w:p w14:paraId="58C99847">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50%</w:t>
            </w:r>
          </w:p>
        </w:tc>
        <w:tc>
          <w:tcPr>
            <w:tcW w:w="1130" w:type="dxa"/>
            <w:vMerge w:val="restart"/>
            <w:vAlign w:val="center"/>
          </w:tcPr>
          <w:p w14:paraId="1516986B">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100%</w:t>
            </w:r>
          </w:p>
        </w:tc>
      </w:tr>
      <w:tr w14:paraId="1724B0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0F362475">
            <w:pPr>
              <w:widowControl/>
              <w:adjustRightInd w:val="0"/>
              <w:snapToGrid w:val="0"/>
              <w:jc w:val="center"/>
              <w:rPr>
                <w:rFonts w:hint="eastAsia" w:ascii="宋体" w:hAnsi="宋体"/>
                <w:color w:val="000000"/>
                <w:kern w:val="0"/>
                <w:sz w:val="21"/>
                <w:szCs w:val="21"/>
              </w:rPr>
            </w:pPr>
          </w:p>
        </w:tc>
        <w:tc>
          <w:tcPr>
            <w:tcW w:w="1807" w:type="dxa"/>
            <w:vMerge w:val="continue"/>
            <w:vAlign w:val="center"/>
          </w:tcPr>
          <w:p w14:paraId="3E33436C">
            <w:pPr>
              <w:widowControl/>
              <w:adjustRightInd w:val="0"/>
              <w:snapToGrid w:val="0"/>
              <w:jc w:val="center"/>
              <w:rPr>
                <w:rFonts w:hint="eastAsia" w:ascii="宋体" w:hAnsi="宋体"/>
                <w:color w:val="000000"/>
                <w:kern w:val="0"/>
                <w:sz w:val="21"/>
                <w:szCs w:val="21"/>
              </w:rPr>
            </w:pPr>
          </w:p>
        </w:tc>
        <w:tc>
          <w:tcPr>
            <w:tcW w:w="2185" w:type="dxa"/>
            <w:vAlign w:val="center"/>
          </w:tcPr>
          <w:p w14:paraId="258357DA">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课堂表现</w:t>
            </w:r>
          </w:p>
        </w:tc>
        <w:tc>
          <w:tcPr>
            <w:tcW w:w="1833" w:type="dxa"/>
            <w:vAlign w:val="center"/>
          </w:tcPr>
          <w:p w14:paraId="543B597F">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2</w:t>
            </w:r>
            <w:r>
              <w:rPr>
                <w:rFonts w:ascii="宋体" w:hAnsi="宋体"/>
                <w:color w:val="000000"/>
                <w:kern w:val="0"/>
                <w:sz w:val="21"/>
                <w:szCs w:val="21"/>
              </w:rPr>
              <w:t>0</w:t>
            </w:r>
            <w:r>
              <w:rPr>
                <w:rFonts w:hint="eastAsia" w:ascii="宋体" w:hAnsi="宋体"/>
                <w:color w:val="000000"/>
                <w:kern w:val="0"/>
                <w:sz w:val="21"/>
                <w:szCs w:val="21"/>
              </w:rPr>
              <w:t>%</w:t>
            </w:r>
          </w:p>
        </w:tc>
        <w:tc>
          <w:tcPr>
            <w:tcW w:w="1130" w:type="dxa"/>
            <w:vMerge w:val="continue"/>
            <w:vAlign w:val="center"/>
          </w:tcPr>
          <w:p w14:paraId="685DB275">
            <w:pPr>
              <w:widowControl/>
              <w:adjustRightInd w:val="0"/>
              <w:snapToGrid w:val="0"/>
              <w:jc w:val="center"/>
              <w:rPr>
                <w:rFonts w:hint="eastAsia" w:ascii="宋体" w:hAnsi="宋体"/>
                <w:color w:val="000000"/>
                <w:kern w:val="0"/>
                <w:sz w:val="21"/>
                <w:szCs w:val="21"/>
              </w:rPr>
            </w:pPr>
          </w:p>
        </w:tc>
      </w:tr>
      <w:tr w14:paraId="437F8F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6" w:hRule="atLeast"/>
        </w:trPr>
        <w:tc>
          <w:tcPr>
            <w:tcW w:w="2038" w:type="dxa"/>
            <w:vMerge w:val="continue"/>
            <w:vAlign w:val="center"/>
          </w:tcPr>
          <w:p w14:paraId="33816948">
            <w:pPr>
              <w:widowControl/>
              <w:adjustRightInd w:val="0"/>
              <w:snapToGrid w:val="0"/>
              <w:jc w:val="left"/>
              <w:rPr>
                <w:rFonts w:hint="eastAsia" w:ascii="宋体"/>
                <w:color w:val="000000"/>
                <w:kern w:val="0"/>
                <w:sz w:val="21"/>
                <w:szCs w:val="21"/>
              </w:rPr>
            </w:pPr>
          </w:p>
        </w:tc>
        <w:tc>
          <w:tcPr>
            <w:tcW w:w="1807" w:type="dxa"/>
            <w:vMerge w:val="continue"/>
            <w:vAlign w:val="center"/>
          </w:tcPr>
          <w:p w14:paraId="1D36F87A">
            <w:pPr>
              <w:widowControl/>
              <w:adjustRightInd w:val="0"/>
              <w:snapToGrid w:val="0"/>
              <w:jc w:val="left"/>
              <w:rPr>
                <w:rFonts w:hint="eastAsia" w:ascii="宋体"/>
                <w:color w:val="000000"/>
                <w:kern w:val="0"/>
                <w:sz w:val="21"/>
                <w:szCs w:val="21"/>
              </w:rPr>
            </w:pPr>
          </w:p>
        </w:tc>
        <w:tc>
          <w:tcPr>
            <w:tcW w:w="2185" w:type="dxa"/>
            <w:vAlign w:val="center"/>
          </w:tcPr>
          <w:p w14:paraId="25C24337">
            <w:pPr>
              <w:widowControl/>
              <w:adjustRightInd w:val="0"/>
              <w:snapToGrid w:val="0"/>
              <w:jc w:val="center"/>
              <w:rPr>
                <w:rFonts w:hint="eastAsia" w:ascii="宋体" w:hAnsi="宋体"/>
                <w:color w:val="000000"/>
                <w:kern w:val="0"/>
                <w:sz w:val="21"/>
                <w:szCs w:val="21"/>
              </w:rPr>
            </w:pPr>
            <w:r>
              <w:rPr>
                <w:rFonts w:hint="eastAsia" w:ascii="宋体" w:hAnsi="宋体"/>
                <w:color w:val="000000"/>
                <w:kern w:val="0"/>
                <w:sz w:val="21"/>
                <w:szCs w:val="21"/>
              </w:rPr>
              <w:t>作业</w:t>
            </w:r>
            <w:r>
              <w:rPr>
                <w:rFonts w:ascii="宋体" w:hAnsi="宋体"/>
                <w:color w:val="000000"/>
                <w:kern w:val="0"/>
                <w:sz w:val="21"/>
                <w:szCs w:val="21"/>
              </w:rPr>
              <w:t>3</w:t>
            </w:r>
          </w:p>
        </w:tc>
        <w:tc>
          <w:tcPr>
            <w:tcW w:w="1833" w:type="dxa"/>
            <w:vAlign w:val="center"/>
          </w:tcPr>
          <w:p w14:paraId="6F9C291A">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30%</w:t>
            </w:r>
          </w:p>
        </w:tc>
        <w:tc>
          <w:tcPr>
            <w:tcW w:w="1130" w:type="dxa"/>
            <w:vMerge w:val="continue"/>
          </w:tcPr>
          <w:p w14:paraId="08A3C690">
            <w:pPr>
              <w:widowControl/>
              <w:adjustRightInd w:val="0"/>
              <w:snapToGrid w:val="0"/>
              <w:jc w:val="center"/>
              <w:rPr>
                <w:rFonts w:hint="eastAsia" w:ascii="宋体" w:hAnsi="宋体"/>
                <w:color w:val="000000"/>
                <w:kern w:val="0"/>
                <w:sz w:val="21"/>
                <w:szCs w:val="21"/>
              </w:rPr>
            </w:pPr>
          </w:p>
        </w:tc>
      </w:tr>
      <w:tr w14:paraId="15B1A3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038" w:type="dxa"/>
            <w:vAlign w:val="center"/>
          </w:tcPr>
          <w:p w14:paraId="284384F0">
            <w:pPr>
              <w:widowControl/>
              <w:adjustRightInd w:val="0"/>
              <w:snapToGrid w:val="0"/>
              <w:jc w:val="center"/>
              <w:rPr>
                <w:rFonts w:hint="eastAsia" w:ascii="宋体"/>
                <w:color w:val="000000"/>
                <w:kern w:val="0"/>
                <w:sz w:val="21"/>
                <w:szCs w:val="21"/>
              </w:rPr>
            </w:pPr>
            <w:r>
              <w:rPr>
                <w:rFonts w:hint="eastAsia" w:ascii="宋体" w:hAnsi="宋体"/>
                <w:color w:val="000000"/>
                <w:kern w:val="0"/>
                <w:sz w:val="21"/>
                <w:szCs w:val="21"/>
              </w:rPr>
              <w:t>课程目标权重合计</w:t>
            </w:r>
          </w:p>
        </w:tc>
        <w:tc>
          <w:tcPr>
            <w:tcW w:w="1807" w:type="dxa"/>
            <w:vAlign w:val="center"/>
          </w:tcPr>
          <w:p w14:paraId="3201DEC9">
            <w:pPr>
              <w:widowControl/>
              <w:adjustRightInd w:val="0"/>
              <w:snapToGrid w:val="0"/>
              <w:jc w:val="center"/>
              <w:rPr>
                <w:rFonts w:hint="eastAsia" w:ascii="宋体" w:hAnsi="宋体"/>
                <w:color w:val="000000"/>
                <w:kern w:val="0"/>
                <w:sz w:val="21"/>
                <w:szCs w:val="21"/>
              </w:rPr>
            </w:pPr>
            <w:r>
              <w:rPr>
                <w:rFonts w:ascii="宋体" w:hAnsi="宋体"/>
                <w:color w:val="000000"/>
                <w:kern w:val="0"/>
                <w:sz w:val="21"/>
                <w:szCs w:val="21"/>
              </w:rPr>
              <w:t>100%</w:t>
            </w:r>
          </w:p>
        </w:tc>
        <w:tc>
          <w:tcPr>
            <w:tcW w:w="5148" w:type="dxa"/>
            <w:gridSpan w:val="3"/>
            <w:vAlign w:val="center"/>
          </w:tcPr>
          <w:p w14:paraId="3D1E194D">
            <w:pPr>
              <w:widowControl/>
              <w:adjustRightInd w:val="0"/>
              <w:snapToGrid w:val="0"/>
              <w:jc w:val="center"/>
              <w:rPr>
                <w:rFonts w:hint="eastAsia" w:ascii="宋体" w:hAnsi="宋体"/>
                <w:color w:val="000000"/>
                <w:kern w:val="0"/>
                <w:sz w:val="21"/>
                <w:szCs w:val="21"/>
              </w:rPr>
            </w:pPr>
          </w:p>
        </w:tc>
      </w:tr>
    </w:tbl>
    <w:p w14:paraId="380D52BC">
      <w:pPr>
        <w:spacing w:line="300" w:lineRule="auto"/>
        <w:ind w:firstLine="315" w:firstLineChars="150"/>
        <w:rPr>
          <w:rFonts w:hint="eastAsia" w:ascii="宋体"/>
        </w:rPr>
      </w:pPr>
      <w:r>
        <w:rPr>
          <w:rFonts w:hint="eastAsia" w:ascii="宋体" w:hAnsi="宋体"/>
        </w:rPr>
        <w:t>（四）课程目标达成度计算方法</w:t>
      </w:r>
    </w:p>
    <w:p w14:paraId="35C4EBBE">
      <w:pPr>
        <w:spacing w:line="300" w:lineRule="auto"/>
        <w:ind w:firstLine="420" w:firstLineChars="200"/>
        <w:rPr>
          <w:rFonts w:ascii="Calibri" w:hAnsi="Calibri"/>
        </w:rPr>
      </w:pPr>
      <w:r>
        <w:rPr>
          <w:rFonts w:hint="eastAsia" w:ascii="Calibri" w:hAnsi="Calibri"/>
        </w:rPr>
        <w:t>所有课程目标均需大于等</w:t>
      </w:r>
      <w:r>
        <w:rPr>
          <w:rFonts w:hint="eastAsia" w:ascii="宋体" w:hAnsi="宋体"/>
        </w:rPr>
        <w:t>于</w:t>
      </w:r>
      <w:r>
        <w:rPr>
          <w:rFonts w:ascii="宋体" w:hAnsi="宋体"/>
          <w:sz w:val="21"/>
          <w:szCs w:val="21"/>
        </w:rPr>
        <w:t>0.6</w:t>
      </w:r>
      <w:r>
        <w:rPr>
          <w:rFonts w:hint="eastAsia" w:ascii="Calibri" w:hAnsi="Calibri"/>
        </w:rPr>
        <w:t>，否则总评成绩不及格，需要补考或重修。每门课程目标总体达成度计算方法如下：</w:t>
      </w:r>
    </w:p>
    <w:p w14:paraId="7ACAB285">
      <w:pPr>
        <w:spacing w:line="300" w:lineRule="auto"/>
        <w:jc w:val="left"/>
        <w:rPr>
          <w:rFonts w:ascii="Calibri" w:hAnsi="Calibri"/>
        </w:rPr>
      </w:pPr>
      <w:r>
        <w:rPr>
          <w:rFonts w:ascii="宋体" w:hAnsi="宋体"/>
          <w:szCs w:val="22"/>
        </w:rPr>
        <w:drawing>
          <wp:inline distT="0" distB="0" distL="0" distR="0">
            <wp:extent cx="5274310" cy="337185"/>
            <wp:effectExtent l="0" t="0" r="889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46A44FBC">
      <w:pPr>
        <w:spacing w:line="300" w:lineRule="auto"/>
        <w:rPr>
          <w:rFonts w:ascii="Calibri" w:hAnsi="Calibri"/>
          <w:b/>
          <w:sz w:val="28"/>
          <w:szCs w:val="28"/>
        </w:rPr>
      </w:pPr>
      <w:r>
        <w:rPr>
          <w:rFonts w:hint="eastAsia" w:ascii="Calibri" w:hAnsi="Calibri"/>
          <w:b/>
          <w:sz w:val="28"/>
          <w:szCs w:val="28"/>
        </w:rPr>
        <w:t>七、有关说明</w:t>
      </w:r>
    </w:p>
    <w:p w14:paraId="1D2F7106">
      <w:pPr>
        <w:spacing w:line="300" w:lineRule="auto"/>
        <w:ind w:firstLine="422" w:firstLineChars="200"/>
        <w:rPr>
          <w:rFonts w:ascii="Calibri" w:hAnsi="Calibri"/>
          <w:b/>
          <w:color w:val="000000"/>
        </w:rPr>
      </w:pPr>
      <w:r>
        <w:rPr>
          <w:rFonts w:hint="eastAsia" w:ascii="Calibri" w:hAnsi="Calibri"/>
          <w:b/>
          <w:color w:val="000000"/>
        </w:rPr>
        <w:t>（一）持续改进</w:t>
      </w:r>
    </w:p>
    <w:p w14:paraId="47C53CE6">
      <w:pPr>
        <w:spacing w:line="300" w:lineRule="auto"/>
        <w:ind w:firstLine="420" w:firstLineChars="200"/>
        <w:rPr>
          <w:rFonts w:ascii="Calibri" w:hAnsi="Calibri"/>
          <w:szCs w:val="22"/>
        </w:rPr>
      </w:pPr>
      <w:r>
        <w:rPr>
          <w:rFonts w:hint="eastAsia" w:ascii="Calibri" w:hAnsi="Calibri"/>
          <w:szCs w:val="22"/>
        </w:rPr>
        <w:t>本课程根据学生作业、课堂讨论、教学环节、平时考核情况和学生、教学督导等的反馈，及时对教学中的不足之处进行改进，并在下一轮课程教学中整改完善，确保相应毕业要求指标点达成。</w:t>
      </w:r>
    </w:p>
    <w:p w14:paraId="5FDC4EDC">
      <w:pPr>
        <w:spacing w:line="300" w:lineRule="auto"/>
        <w:ind w:firstLine="422" w:firstLineChars="200"/>
        <w:rPr>
          <w:rFonts w:ascii="Calibri" w:hAnsi="Calibri"/>
          <w:b/>
          <w:color w:val="000000"/>
        </w:rPr>
      </w:pPr>
      <w:r>
        <w:rPr>
          <w:rFonts w:hint="eastAsia" w:ascii="Calibri" w:hAnsi="Calibri"/>
          <w:b/>
          <w:color w:val="000000"/>
        </w:rPr>
        <w:t>（二）参考书目及学习资料</w:t>
      </w:r>
    </w:p>
    <w:p w14:paraId="6C5E0190">
      <w:pPr>
        <w:spacing w:line="300" w:lineRule="auto"/>
        <w:ind w:firstLine="525" w:firstLineChars="250"/>
        <w:rPr>
          <w:rFonts w:hint="eastAsia" w:ascii="宋体" w:hAnsi="宋体"/>
          <w:szCs w:val="22"/>
        </w:rPr>
      </w:pPr>
      <w:r>
        <w:rPr>
          <w:rFonts w:ascii="宋体" w:hAnsi="宋体"/>
          <w:szCs w:val="22"/>
        </w:rPr>
        <w:t>1.</w:t>
      </w:r>
      <w:r>
        <w:rPr>
          <w:rFonts w:hint="eastAsia" w:ascii="宋体" w:hAnsi="宋体"/>
          <w:szCs w:val="22"/>
        </w:rPr>
        <w:t>教材</w:t>
      </w:r>
    </w:p>
    <w:p w14:paraId="5C0FC7AF">
      <w:pPr>
        <w:spacing w:line="300" w:lineRule="auto"/>
        <w:ind w:firstLine="525" w:firstLineChars="250"/>
        <w:rPr>
          <w:rFonts w:hint="eastAsia" w:ascii="宋体" w:hAnsi="宋体"/>
        </w:rPr>
      </w:pPr>
      <w:r>
        <w:rPr>
          <w:rFonts w:hint="eastAsia" w:ascii="宋体" w:hAnsi="宋体"/>
        </w:rPr>
        <w:t>石中英</w:t>
      </w:r>
      <w:r>
        <w:rPr>
          <w:rFonts w:ascii="宋体"/>
        </w:rPr>
        <w:t>.</w:t>
      </w:r>
      <w:r>
        <w:rPr>
          <w:rFonts w:hint="eastAsia" w:ascii="宋体" w:hAnsi="宋体"/>
        </w:rPr>
        <w:t>教育哲学</w:t>
      </w:r>
      <w:r>
        <w:rPr>
          <w:rFonts w:ascii="宋体"/>
        </w:rPr>
        <w:t>.</w:t>
      </w:r>
      <w:r>
        <w:rPr>
          <w:rFonts w:hint="eastAsia" w:ascii="宋体" w:hAnsi="宋体"/>
        </w:rPr>
        <w:t>高等教育出版社，</w:t>
      </w:r>
      <w:r>
        <w:rPr>
          <w:rFonts w:ascii="宋体" w:hAnsi="宋体"/>
        </w:rPr>
        <w:t>2019.</w:t>
      </w:r>
      <w:r>
        <w:rPr>
          <w:rFonts w:hint="eastAsia" w:ascii="宋体" w:hAnsi="宋体"/>
        </w:rPr>
        <w:t>（马工程教材）</w:t>
      </w:r>
    </w:p>
    <w:p w14:paraId="7ED65B46">
      <w:pPr>
        <w:spacing w:line="300" w:lineRule="auto"/>
        <w:ind w:firstLine="420" w:firstLineChars="200"/>
        <w:rPr>
          <w:rFonts w:hint="eastAsia" w:ascii="宋体"/>
        </w:rPr>
      </w:pPr>
      <w:r>
        <w:rPr>
          <w:rFonts w:ascii="宋体" w:hAnsi="宋体"/>
        </w:rPr>
        <w:t>2.</w:t>
      </w:r>
      <w:r>
        <w:rPr>
          <w:rFonts w:hint="eastAsia" w:ascii="宋体" w:hAnsi="宋体"/>
        </w:rPr>
        <w:t>教学参考书</w:t>
      </w:r>
    </w:p>
    <w:p w14:paraId="6AA707E4">
      <w:pPr>
        <w:spacing w:line="300" w:lineRule="auto"/>
        <w:ind w:firstLine="525" w:firstLineChars="250"/>
        <w:rPr>
          <w:rFonts w:hint="eastAsia" w:ascii="宋体" w:hAnsi="宋体"/>
        </w:rPr>
      </w:pPr>
      <w:r>
        <w:rPr>
          <w:rFonts w:hint="eastAsia" w:ascii="宋体" w:hAnsi="宋体"/>
        </w:rPr>
        <w:t>于伟</w:t>
      </w:r>
      <w:r>
        <w:rPr>
          <w:rFonts w:ascii="宋体"/>
        </w:rPr>
        <w:t>.</w:t>
      </w:r>
      <w:r>
        <w:rPr>
          <w:rFonts w:hint="eastAsia" w:ascii="宋体" w:hAnsi="宋体"/>
        </w:rPr>
        <w:t>教育哲学</w:t>
      </w:r>
      <w:r>
        <w:rPr>
          <w:rFonts w:ascii="宋体"/>
        </w:rPr>
        <w:t>.</w:t>
      </w:r>
      <w:r>
        <w:rPr>
          <w:rFonts w:hint="eastAsia" w:ascii="宋体" w:hAnsi="宋体"/>
        </w:rPr>
        <w:t>北京师范大学出版社，</w:t>
      </w:r>
      <w:r>
        <w:rPr>
          <w:rFonts w:ascii="宋体" w:hAnsi="宋体"/>
        </w:rPr>
        <w:t>2016.</w:t>
      </w:r>
    </w:p>
    <w:p w14:paraId="23B1A798">
      <w:pPr>
        <w:spacing w:line="300" w:lineRule="auto"/>
        <w:ind w:firstLine="525" w:firstLineChars="250"/>
        <w:rPr>
          <w:rFonts w:hint="eastAsia" w:ascii="宋体" w:hAnsi="宋体"/>
        </w:rPr>
      </w:pPr>
      <w:r>
        <w:rPr>
          <w:rFonts w:hint="eastAsia" w:ascii="宋体" w:hAnsi="宋体"/>
        </w:rPr>
        <w:t>郝文武</w:t>
      </w:r>
      <w:r>
        <w:rPr>
          <w:rFonts w:ascii="宋体"/>
        </w:rPr>
        <w:t>.</w:t>
      </w:r>
      <w:r>
        <w:rPr>
          <w:rFonts w:hint="eastAsia" w:ascii="宋体" w:hAnsi="宋体"/>
        </w:rPr>
        <w:t>教育哲学</w:t>
      </w:r>
      <w:r>
        <w:rPr>
          <w:rFonts w:ascii="宋体"/>
        </w:rPr>
        <w:t>.</w:t>
      </w:r>
      <w:r>
        <w:rPr>
          <w:rFonts w:hint="eastAsia" w:ascii="宋体" w:hAnsi="宋体"/>
        </w:rPr>
        <w:t>人民教育出版社</w:t>
      </w:r>
      <w:r>
        <w:rPr>
          <w:rFonts w:ascii="宋体" w:hAnsi="宋体"/>
        </w:rPr>
        <w:t>2011.</w:t>
      </w:r>
    </w:p>
    <w:p w14:paraId="7D098B17">
      <w:pPr>
        <w:spacing w:line="300" w:lineRule="auto"/>
        <w:ind w:firstLine="315" w:firstLineChars="150"/>
        <w:rPr>
          <w:rFonts w:hint="eastAsia" w:ascii="宋体"/>
        </w:rPr>
      </w:pPr>
    </w:p>
    <w:p w14:paraId="569DC4E2">
      <w:pPr>
        <w:autoSpaceDE w:val="0"/>
        <w:autoSpaceDN w:val="0"/>
        <w:adjustRightInd w:val="0"/>
        <w:spacing w:line="300" w:lineRule="auto"/>
        <w:ind w:firstLine="4620" w:firstLineChars="2200"/>
        <w:jc w:val="left"/>
        <w:rPr>
          <w:rFonts w:hint="eastAsia" w:ascii="宋体"/>
          <w:color w:val="000000"/>
          <w:kern w:val="0"/>
          <w:szCs w:val="21"/>
        </w:rPr>
      </w:pPr>
      <w:r>
        <w:rPr>
          <w:rFonts w:hint="eastAsia" w:ascii="宋体" w:hAnsi="宋体"/>
          <w:color w:val="000000"/>
          <w:kern w:val="0"/>
          <w:szCs w:val="21"/>
        </w:rPr>
        <w:t>执笔人：张志欣</w:t>
      </w:r>
    </w:p>
    <w:p w14:paraId="4C910410">
      <w:pPr>
        <w:autoSpaceDE w:val="0"/>
        <w:autoSpaceDN w:val="0"/>
        <w:adjustRightInd w:val="0"/>
        <w:spacing w:line="300" w:lineRule="auto"/>
        <w:ind w:firstLine="4620" w:firstLineChars="2200"/>
        <w:jc w:val="left"/>
        <w:rPr>
          <w:rFonts w:hint="eastAsia" w:ascii="宋体"/>
          <w:color w:val="000000"/>
          <w:kern w:val="0"/>
          <w:szCs w:val="21"/>
        </w:rPr>
      </w:pPr>
      <w:r>
        <w:rPr>
          <w:rFonts w:hint="eastAsia" w:ascii="宋体" w:hAnsi="宋体"/>
          <w:color w:val="000000"/>
          <w:kern w:val="0"/>
          <w:szCs w:val="21"/>
        </w:rPr>
        <w:t>审定人：张志欣</w:t>
      </w:r>
    </w:p>
    <w:p w14:paraId="166E1937">
      <w:pPr>
        <w:autoSpaceDE w:val="0"/>
        <w:autoSpaceDN w:val="0"/>
        <w:adjustRightInd w:val="0"/>
        <w:spacing w:line="300" w:lineRule="auto"/>
        <w:ind w:firstLine="4620" w:firstLineChars="2200"/>
        <w:jc w:val="left"/>
        <w:rPr>
          <w:rFonts w:hint="eastAsia" w:ascii="宋体"/>
          <w:color w:val="000000"/>
          <w:kern w:val="0"/>
          <w:szCs w:val="21"/>
        </w:rPr>
      </w:pPr>
      <w:r>
        <w:rPr>
          <w:rFonts w:hint="eastAsia" w:ascii="宋体" w:hAnsi="宋体"/>
          <w:color w:val="000000"/>
          <w:kern w:val="0"/>
          <w:szCs w:val="21"/>
        </w:rPr>
        <w:t>审批人：张建波</w:t>
      </w:r>
    </w:p>
    <w:p w14:paraId="644A6007">
      <w:pPr>
        <w:autoSpaceDE w:val="0"/>
        <w:autoSpaceDN w:val="0"/>
        <w:adjustRightInd w:val="0"/>
        <w:spacing w:line="300" w:lineRule="auto"/>
        <w:ind w:firstLine="4620" w:firstLineChars="2200"/>
        <w:jc w:val="left"/>
        <w:rPr>
          <w:rFonts w:hint="eastAsia" w:ascii="宋体"/>
          <w:color w:val="000000"/>
          <w:kern w:val="0"/>
          <w:szCs w:val="21"/>
        </w:rPr>
      </w:pPr>
      <w:r>
        <w:rPr>
          <w:rFonts w:hint="eastAsia" w:ascii="宋体" w:hAnsi="宋体"/>
          <w:color w:val="000000"/>
          <w:kern w:val="0"/>
          <w:szCs w:val="21"/>
        </w:rPr>
        <w:t>批准时间：</w:t>
      </w:r>
      <w:r>
        <w:rPr>
          <w:rFonts w:ascii="宋体" w:hAnsi="宋体"/>
          <w:color w:val="000000"/>
          <w:kern w:val="0"/>
          <w:szCs w:val="21"/>
        </w:rPr>
        <w:t>20</w:t>
      </w:r>
      <w:r>
        <w:rPr>
          <w:rFonts w:hint="eastAsia" w:ascii="宋体" w:hAnsi="宋体"/>
          <w:color w:val="000000"/>
          <w:kern w:val="0"/>
          <w:szCs w:val="21"/>
        </w:rPr>
        <w:t>22年</w:t>
      </w:r>
      <w:r>
        <w:rPr>
          <w:rFonts w:ascii="宋体" w:hAnsi="宋体"/>
          <w:color w:val="000000"/>
          <w:kern w:val="0"/>
          <w:szCs w:val="21"/>
        </w:rPr>
        <w:t>8</w:t>
      </w:r>
      <w:r>
        <w:rPr>
          <w:rFonts w:hint="eastAsia" w:ascii="宋体" w:hAnsi="宋体"/>
          <w:color w:val="000000"/>
          <w:kern w:val="0"/>
          <w:szCs w:val="21"/>
        </w:rPr>
        <w:t>月</w:t>
      </w:r>
      <w:r>
        <w:rPr>
          <w:rFonts w:ascii="宋体" w:hAnsi="宋体"/>
          <w:color w:val="000000"/>
          <w:kern w:val="0"/>
          <w:szCs w:val="21"/>
        </w:rPr>
        <w:t>30</w:t>
      </w:r>
      <w:r>
        <w:rPr>
          <w:rFonts w:hint="eastAsia" w:ascii="宋体" w:hAnsi="宋体"/>
          <w:color w:val="000000"/>
          <w:kern w:val="0"/>
          <w:szCs w:val="21"/>
        </w:rPr>
        <w:t>日</w:t>
      </w:r>
    </w:p>
    <w:p w14:paraId="5F1B13C7">
      <w:pPr>
        <w:rPr>
          <w:rFonts w:ascii="Calibri" w:hAnsi="Calibri" w:eastAsia="宋体" w:cs="Times New Roman"/>
        </w:rPr>
      </w:pPr>
      <w:r>
        <w:rPr>
          <w:rFonts w:ascii="宋体" w:hAnsi="等线" w:eastAsia="宋体" w:cs="Times New Roman"/>
          <w:color w:val="000000"/>
          <w:kern w:val="0"/>
          <w:sz w:val="24"/>
          <w:szCs w:val="21"/>
        </w:rPr>
        <w:br w:type="page"/>
      </w:r>
    </w:p>
    <w:p w14:paraId="1C1D0A9A">
      <w:pPr>
        <w:spacing w:line="360" w:lineRule="auto"/>
        <w:jc w:val="center"/>
        <w:outlineLvl w:val="0"/>
        <w:rPr>
          <w:rFonts w:hint="eastAsia" w:ascii="宋体" w:hAnsi="等线" w:eastAsia="宋体" w:cs="Times New Roman"/>
          <w:b/>
          <w:sz w:val="30"/>
          <w:szCs w:val="30"/>
        </w:rPr>
      </w:pPr>
      <w:bookmarkStart w:id="147" w:name="_Toc29380667"/>
      <w:r>
        <w:rPr>
          <w:rFonts w:hint="eastAsia" w:ascii="宋体" w:hAnsi="宋体" w:eastAsia="宋体" w:cs="Times New Roman"/>
          <w:b/>
          <w:sz w:val="30"/>
          <w:szCs w:val="30"/>
        </w:rPr>
        <w:t>教育社会学概论课程与教学大纲</w:t>
      </w:r>
      <w:bookmarkEnd w:id="147"/>
    </w:p>
    <w:p w14:paraId="4ABA006F">
      <w:pPr>
        <w:spacing w:line="360" w:lineRule="auto"/>
        <w:ind w:firstLine="2519" w:firstLineChars="896"/>
        <w:rPr>
          <w:rFonts w:ascii="宋体" w:hAnsi="宋体" w:eastAsia="宋体" w:cs="Times New Roman"/>
          <w:b/>
          <w:sz w:val="28"/>
          <w:szCs w:val="30"/>
        </w:rPr>
      </w:pPr>
      <w:bookmarkStart w:id="148" w:name="_Toc27847420"/>
      <w:r>
        <w:rPr>
          <w:rFonts w:ascii="宋体" w:hAnsi="宋体" w:eastAsia="宋体" w:cs="Times New Roman"/>
          <w:b/>
          <w:sz w:val="28"/>
          <w:szCs w:val="30"/>
        </w:rPr>
        <w:t>(sociology of education</w:t>
      </w:r>
      <w:r>
        <w:rPr>
          <w:rFonts w:hint="eastAsia" w:ascii="宋体" w:hAnsi="宋体" w:eastAsia="宋体" w:cs="Times New Roman"/>
          <w:b/>
          <w:sz w:val="28"/>
          <w:szCs w:val="30"/>
        </w:rPr>
        <w:t>)</w:t>
      </w:r>
    </w:p>
    <w:p w14:paraId="3A93A19E">
      <w:pPr>
        <w:spacing w:line="360" w:lineRule="auto"/>
        <w:ind w:firstLine="551" w:firstLineChars="196"/>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一、课程概况</w:t>
      </w:r>
      <w:bookmarkEnd w:id="148"/>
    </w:p>
    <w:p w14:paraId="40CE97E7">
      <w:pPr>
        <w:spacing w:line="360" w:lineRule="auto"/>
        <w:ind w:firstLine="482" w:firstLineChars="200"/>
        <w:rPr>
          <w:rFonts w:hint="eastAsia" w:ascii="宋体" w:hAnsi="等线" w:eastAsia="宋体" w:cs="Times New Roman"/>
          <w:color w:val="000000"/>
          <w:kern w:val="0"/>
          <w:sz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2401043</w:t>
      </w:r>
    </w:p>
    <w:p w14:paraId="4DB45ABE">
      <w:pPr>
        <w:spacing w:line="360" w:lineRule="auto"/>
        <w:ind w:firstLine="482" w:firstLineChars="200"/>
        <w:rPr>
          <w:rFonts w:hint="eastAsia" w:ascii="宋体" w:hAnsi="等线" w:eastAsia="宋体" w:cs="Times New Roman"/>
          <w:b/>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rPr>
        <w:t>2</w:t>
      </w:r>
    </w:p>
    <w:p w14:paraId="74261675">
      <w:pPr>
        <w:spacing w:line="360" w:lineRule="auto"/>
        <w:ind w:firstLine="482" w:firstLineChars="200"/>
        <w:rPr>
          <w:rFonts w:hint="eastAsia"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hint="eastAsia" w:ascii="宋体" w:hAnsi="宋体" w:eastAsia="宋体" w:cs="Times New Roman"/>
          <w:b/>
          <w:color w:val="000000"/>
          <w:kern w:val="0"/>
          <w:sz w:val="24"/>
          <w:szCs w:val="24"/>
        </w:rPr>
        <w:t>：</w:t>
      </w:r>
      <w:r>
        <w:rPr>
          <w:rFonts w:ascii="宋体" w:hAnsi="宋体" w:eastAsia="宋体" w:cs="Times New Roman"/>
          <w:color w:val="000000"/>
          <w:kern w:val="0"/>
          <w:sz w:val="24"/>
          <w:szCs w:val="24"/>
        </w:rPr>
        <w:t>32</w:t>
      </w:r>
    </w:p>
    <w:p w14:paraId="547AA705">
      <w:pPr>
        <w:spacing w:line="360" w:lineRule="auto"/>
        <w:ind w:firstLine="482" w:firstLineChars="200"/>
        <w:jc w:val="left"/>
        <w:rPr>
          <w:rFonts w:hint="eastAsia" w:ascii="宋体" w:hAnsi="等线" w:eastAsia="宋体" w:cs="Times New Roman"/>
          <w:color w:val="000000"/>
          <w:sz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b/>
          <w:color w:val="000000"/>
          <w:kern w:val="0"/>
          <w:sz w:val="24"/>
          <w:szCs w:val="24"/>
        </w:rPr>
        <w:t>：</w:t>
      </w:r>
      <w:r>
        <w:rPr>
          <w:rFonts w:hint="eastAsia" w:ascii="宋体" w:hAnsi="宋体" w:eastAsia="宋体" w:cs="Times New Roman"/>
          <w:color w:val="000000"/>
          <w:sz w:val="24"/>
        </w:rPr>
        <w:t>小学教育专业导论与职业发展</w:t>
      </w:r>
    </w:p>
    <w:p w14:paraId="786A142C">
      <w:pPr>
        <w:spacing w:line="360" w:lineRule="auto"/>
        <w:ind w:firstLine="482" w:firstLineChars="200"/>
        <w:rPr>
          <w:rFonts w:hint="eastAsia" w:ascii="宋体" w:hAnsi="等线"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b/>
          <w:color w:val="000000"/>
          <w:kern w:val="0"/>
          <w:sz w:val="24"/>
          <w:szCs w:val="24"/>
        </w:rPr>
        <w:t>：</w:t>
      </w:r>
      <w:r>
        <w:rPr>
          <w:rFonts w:hint="eastAsia" w:ascii="宋体" w:hAnsi="宋体" w:eastAsia="宋体" w:cs="Times New Roman"/>
          <w:color w:val="000000"/>
          <w:kern w:val="0"/>
          <w:sz w:val="24"/>
          <w:szCs w:val="24"/>
        </w:rPr>
        <w:t>小学教育</w:t>
      </w:r>
    </w:p>
    <w:p w14:paraId="30D59520">
      <w:pPr>
        <w:spacing w:line="360" w:lineRule="auto"/>
        <w:ind w:firstLine="482" w:firstLineChars="200"/>
        <w:rPr>
          <w:rFonts w:hint="eastAsia" w:ascii="宋体" w:hAnsi="等线" w:eastAsia="宋体" w:cs="Times New Roman"/>
          <w:color w:val="FF0000"/>
          <w:kern w:val="0"/>
          <w:sz w:val="24"/>
          <w:szCs w:val="24"/>
        </w:rPr>
      </w:pPr>
      <w:r>
        <w:rPr>
          <w:rFonts w:hint="eastAsia" w:ascii="宋体" w:hAnsi="宋体" w:eastAsia="宋体" w:cs="Times New Roman"/>
          <w:b/>
          <w:bCs/>
          <w:color w:val="000000"/>
          <w:kern w:val="0"/>
          <w:sz w:val="24"/>
          <w:szCs w:val="24"/>
        </w:rPr>
        <w:t>建议教</w:t>
      </w:r>
      <w:r>
        <w:rPr>
          <w:rFonts w:hint="eastAsia" w:ascii="宋体" w:hAnsi="宋体" w:eastAsia="宋体" w:cs="Times New Roman"/>
          <w:b/>
          <w:bCs/>
          <w:kern w:val="0"/>
          <w:sz w:val="24"/>
          <w:szCs w:val="24"/>
        </w:rPr>
        <w:t>材</w:t>
      </w:r>
      <w:r>
        <w:rPr>
          <w:rFonts w:hint="eastAsia" w:ascii="宋体" w:hAnsi="宋体" w:eastAsia="宋体" w:cs="Times New Roman"/>
          <w:b/>
          <w:kern w:val="0"/>
          <w:sz w:val="24"/>
          <w:szCs w:val="24"/>
        </w:rPr>
        <w:t>：</w:t>
      </w:r>
      <w:r>
        <w:rPr>
          <w:rFonts w:hint="eastAsia" w:ascii="宋体" w:hAnsi="宋体" w:eastAsia="宋体" w:cs="Times New Roman"/>
          <w:sz w:val="24"/>
        </w:rPr>
        <w:t>雷通群，</w:t>
      </w:r>
      <w:r>
        <w:rPr>
          <w:rFonts w:hint="eastAsia" w:ascii="宋体" w:hAnsi="宋体" w:eastAsia="宋体" w:cs="Times New Roman"/>
          <w:kern w:val="0"/>
          <w:sz w:val="24"/>
          <w:szCs w:val="24"/>
        </w:rPr>
        <w:t>《教育社会学</w:t>
      </w:r>
      <w:r>
        <w:rPr>
          <w:rFonts w:hint="eastAsia" w:ascii="宋体" w:hAnsi="宋体" w:eastAsia="宋体" w:cs="Times New Roman"/>
          <w:sz w:val="24"/>
        </w:rPr>
        <w:t>》，厦门大学出版社，2021</w:t>
      </w:r>
      <w:r>
        <w:rPr>
          <w:rFonts w:ascii="宋体" w:hAnsi="等线" w:eastAsia="宋体" w:cs="Times New Roman"/>
          <w:kern w:val="0"/>
          <w:sz w:val="24"/>
          <w:szCs w:val="24"/>
        </w:rPr>
        <w:t>.</w:t>
      </w:r>
    </w:p>
    <w:p w14:paraId="6A537264">
      <w:pPr>
        <w:spacing w:line="360" w:lineRule="auto"/>
        <w:ind w:firstLine="482" w:firstLineChars="200"/>
        <w:rPr>
          <w:rFonts w:hint="eastAsia" w:ascii="宋体" w:hAnsi="等线" w:eastAsia="宋体" w:cs="Times New Roman"/>
          <w:color w:val="000000"/>
          <w:sz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color w:val="000000"/>
          <w:sz w:val="24"/>
        </w:rPr>
        <w:t>师范学院</w:t>
      </w:r>
    </w:p>
    <w:p w14:paraId="77CBCBAD">
      <w:pPr>
        <w:spacing w:line="360" w:lineRule="auto"/>
        <w:ind w:firstLine="482" w:firstLineChars="200"/>
        <w:rPr>
          <w:rFonts w:hint="eastAsia" w:ascii="宋体" w:hAnsi="等线" w:eastAsia="宋体" w:cs="Times New Roman"/>
          <w:color w:val="000000"/>
          <w:sz w:val="24"/>
        </w:rPr>
      </w:pPr>
      <w:r>
        <w:rPr>
          <w:rFonts w:hint="eastAsia" w:ascii="宋体" w:hAnsi="宋体" w:eastAsia="宋体" w:cs="Times New Roman"/>
          <w:b/>
          <w:color w:val="000000"/>
          <w:sz w:val="24"/>
        </w:rPr>
        <w:t>课程的性质与任务</w:t>
      </w:r>
      <w:r>
        <w:rPr>
          <w:rFonts w:hint="eastAsia" w:ascii="宋体" w:hAnsi="宋体" w:eastAsia="宋体" w:cs="Times New Roman"/>
          <w:color w:val="000000"/>
          <w:sz w:val="24"/>
        </w:rPr>
        <w:t>：本课程是小学教育专业选修课程。课程的主要任务是通过展示社会学的独特研究视角与经典研究成果，培养学生分析社会问题和社会现象的学科意识，提高其作为教师的综合人文社科素养，以及对人类一般社会活动的认知能力。</w:t>
      </w:r>
    </w:p>
    <w:p w14:paraId="3766A984">
      <w:pPr>
        <w:spacing w:line="360" w:lineRule="auto"/>
        <w:ind w:firstLine="562" w:firstLineChars="200"/>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二、课程目标</w:t>
      </w:r>
    </w:p>
    <w:p w14:paraId="3AFB7523">
      <w:pPr>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（一）课程具体目标</w:t>
      </w:r>
    </w:p>
    <w:p w14:paraId="7FB74EC6">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1.</w:t>
      </w:r>
      <w:r>
        <w:rPr>
          <w:rFonts w:hint="eastAsia" w:ascii="宋体" w:hAnsi="宋体" w:eastAsia="宋体" w:cs="Times New Roman"/>
          <w:color w:val="000000"/>
          <w:sz w:val="24"/>
        </w:rPr>
        <w:t>掌握教育社会学的学科性质、研究对象、基本概念、基本方法论，建立社会学的研究视角和学科意识。</w:t>
      </w:r>
    </w:p>
    <w:p w14:paraId="3A6F3B25">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2.</w:t>
      </w:r>
      <w:r>
        <w:rPr>
          <w:rFonts w:hint="eastAsia" w:ascii="宋体" w:hAnsi="宋体" w:eastAsia="宋体" w:cs="Times New Roman"/>
          <w:color w:val="000000"/>
          <w:sz w:val="24"/>
        </w:rPr>
        <w:t>理解社会系统的运行规则，掌握分析社会问题的社会学理论。</w:t>
      </w:r>
    </w:p>
    <w:p w14:paraId="5735261F">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3.</w:t>
      </w:r>
      <w:r>
        <w:rPr>
          <w:rFonts w:hint="eastAsia" w:ascii="宋体" w:hAnsi="宋体" w:eastAsia="宋体" w:cs="Times New Roman"/>
          <w:color w:val="000000"/>
          <w:sz w:val="24"/>
        </w:rPr>
        <w:t>理解社会化、社会角色、社会群体等社会良性运动规律的微观分析，理解个体在社会中的作用，建立分析问题的社会学视角和意识。</w:t>
      </w:r>
    </w:p>
    <w:p w14:paraId="46A3405C">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4.</w:t>
      </w:r>
      <w:r>
        <w:rPr>
          <w:rFonts w:hint="eastAsia" w:ascii="宋体" w:hAnsi="宋体" w:eastAsia="宋体" w:cs="Times New Roman"/>
          <w:color w:val="000000"/>
          <w:sz w:val="24"/>
        </w:rPr>
        <w:t>理解宏观范围内的社会组织、社会分层、社会流动等教育社会学基础问题，掌握使用社会学方法分析思考一般社会现象的基本能力。</w:t>
      </w:r>
    </w:p>
    <w:p w14:paraId="5A142475">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5.</w:t>
      </w:r>
      <w:r>
        <w:rPr>
          <w:rFonts w:hint="eastAsia" w:ascii="宋体" w:hAnsi="宋体" w:eastAsia="宋体" w:cs="Times New Roman"/>
          <w:color w:val="000000"/>
          <w:sz w:val="24"/>
        </w:rPr>
        <w:t>理解社会良性运行规律的反向研究社会学问题，掌握使用社会学方法分析和思考社会问题、社会控制等现象的能力。</w:t>
      </w:r>
    </w:p>
    <w:p w14:paraId="73ACED6F">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目标</w:t>
      </w:r>
      <w:r>
        <w:rPr>
          <w:rFonts w:ascii="宋体" w:hAnsi="宋体" w:eastAsia="宋体" w:cs="Times New Roman"/>
          <w:color w:val="000000"/>
          <w:sz w:val="24"/>
        </w:rPr>
        <w:t>6.</w:t>
      </w:r>
      <w:r>
        <w:rPr>
          <w:rFonts w:hint="eastAsia" w:ascii="宋体" w:hAnsi="宋体" w:eastAsia="宋体" w:cs="Times New Roman"/>
          <w:color w:val="000000"/>
          <w:sz w:val="24"/>
        </w:rPr>
        <w:t>了解研究社会运行的常用手段，掌握社会学调查和社会问题研究的方法。</w:t>
      </w:r>
    </w:p>
    <w:p w14:paraId="3B3B8996">
      <w:pPr>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（二）课程目标与专业毕业要求的关系</w:t>
      </w:r>
    </w:p>
    <w:tbl>
      <w:tblPr>
        <w:tblStyle w:val="30"/>
        <w:tblW w:w="8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317"/>
        <w:gridCol w:w="5308"/>
      </w:tblGrid>
      <w:tr w14:paraId="4A8C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310" w:type="dxa"/>
            <w:vAlign w:val="center"/>
          </w:tcPr>
          <w:p w14:paraId="4F223D31">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课程目标</w:t>
            </w:r>
          </w:p>
        </w:tc>
        <w:tc>
          <w:tcPr>
            <w:tcW w:w="2317" w:type="dxa"/>
            <w:vAlign w:val="center"/>
          </w:tcPr>
          <w:p w14:paraId="278BAD73">
            <w:pPr>
              <w:adjustRightInd w:val="0"/>
              <w:snapToGrid w:val="0"/>
              <w:spacing w:line="276" w:lineRule="auto"/>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w:t>
            </w:r>
          </w:p>
        </w:tc>
        <w:tc>
          <w:tcPr>
            <w:tcW w:w="5308" w:type="dxa"/>
            <w:vAlign w:val="center"/>
          </w:tcPr>
          <w:p w14:paraId="08B776BB">
            <w:pPr>
              <w:adjustRightInd w:val="0"/>
              <w:snapToGrid w:val="0"/>
              <w:spacing w:line="276" w:lineRule="auto"/>
              <w:ind w:firstLine="422" w:firstLineChars="200"/>
              <w:jc w:val="center"/>
              <w:rPr>
                <w:rFonts w:ascii="宋体" w:hAnsi="Calibri"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045A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310" w:type="dxa"/>
            <w:vAlign w:val="center"/>
          </w:tcPr>
          <w:p w14:paraId="3BC0C532">
            <w:pPr>
              <w:adjustRightInd w:val="0"/>
              <w:snapToGrid w:val="0"/>
              <w:spacing w:line="276" w:lineRule="auto"/>
              <w:jc w:val="center"/>
              <w:rPr>
                <w:rFonts w:ascii="宋体" w:hAnsi="Calibri" w:eastAsia="宋体" w:cs="宋体"/>
                <w:bCs/>
                <w:color w:val="000000"/>
                <w:szCs w:val="21"/>
              </w:rPr>
            </w:pPr>
            <w:r>
              <w:rPr>
                <w:rFonts w:hint="eastAsia" w:ascii="宋体" w:hAnsi="宋体" w:eastAsia="宋体" w:cs="宋体"/>
                <w:bCs/>
                <w:color w:val="000000"/>
                <w:szCs w:val="21"/>
              </w:rPr>
              <w:t>课程目标</w:t>
            </w:r>
            <w:r>
              <w:rPr>
                <w:rFonts w:ascii="宋体" w:hAnsi="宋体" w:eastAsia="宋体" w:cs="宋体"/>
                <w:bCs/>
                <w:color w:val="000000"/>
                <w:szCs w:val="21"/>
              </w:rPr>
              <w:t>1</w:t>
            </w:r>
          </w:p>
        </w:tc>
        <w:tc>
          <w:tcPr>
            <w:tcW w:w="2317" w:type="dxa"/>
            <w:vAlign w:val="center"/>
          </w:tcPr>
          <w:p w14:paraId="3347E836">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师德规范</w:t>
            </w:r>
          </w:p>
        </w:tc>
        <w:tc>
          <w:tcPr>
            <w:tcW w:w="5308" w:type="dxa"/>
            <w:vAlign w:val="center"/>
          </w:tcPr>
          <w:p w14:paraId="0A3C431C">
            <w:pPr>
              <w:adjustRightInd w:val="0"/>
              <w:snapToGrid w:val="0"/>
              <w:spacing w:line="276" w:lineRule="auto"/>
              <w:jc w:val="left"/>
              <w:rPr>
                <w:rFonts w:ascii="宋体" w:hAnsi="Calibri" w:eastAsia="宋体" w:cs="Times New Roman"/>
                <w:color w:val="000000"/>
                <w:kern w:val="0"/>
                <w:sz w:val="18"/>
                <w:szCs w:val="18"/>
              </w:rPr>
            </w:pP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Calibri" w:hAnsi="Calibri" w:eastAsia="宋体" w:cs="Times New Roman"/>
                <w:color w:val="000000"/>
                <w:szCs w:val="23"/>
              </w:rPr>
              <w:t>认同中国特色社会主义，践行社会主义核心价值观，以立德树人为己任。</w:t>
            </w:r>
          </w:p>
        </w:tc>
      </w:tr>
      <w:tr w14:paraId="68AB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10" w:type="dxa"/>
            <w:vAlign w:val="center"/>
          </w:tcPr>
          <w:p w14:paraId="59419729">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2</w:t>
            </w:r>
          </w:p>
        </w:tc>
        <w:tc>
          <w:tcPr>
            <w:tcW w:w="2317" w:type="dxa"/>
            <w:vAlign w:val="center"/>
          </w:tcPr>
          <w:p w14:paraId="5521AD25">
            <w:pPr>
              <w:adjustRightInd w:val="0"/>
              <w:snapToGrid w:val="0"/>
              <w:spacing w:line="276" w:lineRule="auto"/>
              <w:rPr>
                <w:rFonts w:ascii="宋体" w:hAnsi="Calibri" w:eastAsia="宋体" w:cs="Times New Roman"/>
                <w:color w:val="000000"/>
                <w:kern w:val="0"/>
                <w:sz w:val="18"/>
                <w:szCs w:val="18"/>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r>
              <w:rPr>
                <w:rFonts w:hint="eastAsia" w:ascii="宋体" w:hAnsi="宋体" w:eastAsia="宋体" w:cs="Times New Roman"/>
                <w:color w:val="000000"/>
                <w:kern w:val="0"/>
                <w:szCs w:val="21"/>
              </w:rPr>
              <w:t>教育情怀</w:t>
            </w:r>
          </w:p>
        </w:tc>
        <w:tc>
          <w:tcPr>
            <w:tcW w:w="5308" w:type="dxa"/>
            <w:vAlign w:val="center"/>
          </w:tcPr>
          <w:p w14:paraId="2E1CA7EC">
            <w:pPr>
              <w:adjustRightInd w:val="0"/>
              <w:snapToGrid w:val="0"/>
              <w:spacing w:line="276" w:lineRule="auto"/>
              <w:jc w:val="left"/>
              <w:rPr>
                <w:rFonts w:ascii="宋体" w:hAnsi="Calibri" w:eastAsia="宋体" w:cs="Times New Roman"/>
                <w:szCs w:val="21"/>
              </w:rPr>
            </w:pPr>
            <w:r>
              <w:rPr>
                <w:rFonts w:ascii="宋体" w:hAnsi="宋体" w:eastAsia="宋体" w:cs="Times New Roman"/>
                <w:szCs w:val="21"/>
              </w:rPr>
              <w:t>2-3</w:t>
            </w:r>
            <w:r>
              <w:rPr>
                <w:rFonts w:hint="eastAsia" w:ascii="宋体" w:hAnsi="宋体" w:eastAsia="宋体" w:cs="Times New Roman"/>
                <w:szCs w:val="21"/>
              </w:rPr>
              <w:t>具有较好的人文底蕴和科学精神，人格健全，心理健康，情感丰富，为人师表。</w:t>
            </w:r>
          </w:p>
        </w:tc>
      </w:tr>
      <w:tr w14:paraId="5C50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310" w:type="dxa"/>
            <w:vAlign w:val="center"/>
          </w:tcPr>
          <w:p w14:paraId="0164795F">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317" w:type="dxa"/>
            <w:vAlign w:val="center"/>
          </w:tcPr>
          <w:p w14:paraId="0173D700">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3</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学科素养</w:t>
            </w:r>
          </w:p>
        </w:tc>
        <w:tc>
          <w:tcPr>
            <w:tcW w:w="5308" w:type="dxa"/>
            <w:vAlign w:val="center"/>
          </w:tcPr>
          <w:p w14:paraId="293CBDA4">
            <w:pPr>
              <w:adjustRightInd w:val="0"/>
              <w:snapToGrid w:val="0"/>
              <w:spacing w:line="276" w:lineRule="auto"/>
              <w:jc w:val="left"/>
              <w:rPr>
                <w:rFonts w:ascii="宋体" w:hAnsi="Calibri" w:eastAsia="宋体" w:cs="Times New Roman"/>
                <w:color w:val="000000"/>
                <w:szCs w:val="21"/>
              </w:rPr>
            </w:pPr>
            <w:r>
              <w:rPr>
                <w:rFonts w:ascii="宋体" w:hAnsi="宋体" w:eastAsia="宋体" w:cs="Times New Roman"/>
                <w:color w:val="000000"/>
                <w:szCs w:val="21"/>
              </w:rPr>
              <w:t>3-1</w:t>
            </w:r>
            <w:r>
              <w:rPr>
                <w:rFonts w:hint="eastAsia" w:ascii="宋体" w:hAnsi="宋体" w:eastAsia="宋体" w:cs="Times New Roman"/>
                <w:color w:val="000000"/>
                <w:szCs w:val="21"/>
              </w:rPr>
              <w:t>具有一定的人文社会与科学素养。</w:t>
            </w:r>
          </w:p>
        </w:tc>
      </w:tr>
      <w:tr w14:paraId="2A6B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310" w:type="dxa"/>
            <w:vAlign w:val="center"/>
          </w:tcPr>
          <w:p w14:paraId="1596A4F7">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 xml:space="preserve"> 4</w:t>
            </w:r>
          </w:p>
        </w:tc>
        <w:tc>
          <w:tcPr>
            <w:tcW w:w="2317" w:type="dxa"/>
            <w:vAlign w:val="center"/>
          </w:tcPr>
          <w:p w14:paraId="1993279A">
            <w:pPr>
              <w:adjustRightInd w:val="0"/>
              <w:snapToGrid w:val="0"/>
              <w:spacing w:line="276" w:lineRule="auto"/>
              <w:rPr>
                <w:rFonts w:ascii="宋体" w:hAnsi="Calibri"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spacing w:val="2"/>
                <w:kern w:val="0"/>
                <w:szCs w:val="21"/>
              </w:rPr>
              <w:t>3</w:t>
            </w:r>
            <w:r>
              <w:rPr>
                <w:rFonts w:ascii="宋体" w:hAnsi="Calibri" w:eastAsia="宋体" w:cs="Times New Roman"/>
                <w:color w:val="000000"/>
                <w:spacing w:val="2"/>
                <w:kern w:val="0"/>
                <w:szCs w:val="21"/>
              </w:rPr>
              <w:t>.</w:t>
            </w:r>
            <w:r>
              <w:rPr>
                <w:rFonts w:hint="eastAsia" w:ascii="宋体" w:hAnsi="宋体" w:eastAsia="宋体" w:cs="Times New Roman"/>
                <w:color w:val="000000"/>
                <w:spacing w:val="2"/>
                <w:kern w:val="0"/>
                <w:szCs w:val="21"/>
              </w:rPr>
              <w:t>学科素养</w:t>
            </w:r>
          </w:p>
        </w:tc>
        <w:tc>
          <w:tcPr>
            <w:tcW w:w="5308" w:type="dxa"/>
            <w:vAlign w:val="center"/>
          </w:tcPr>
          <w:p w14:paraId="2568D30A">
            <w:pPr>
              <w:shd w:val="clear" w:color="auto" w:fill="FFFFFF"/>
              <w:adjustRightInd w:val="0"/>
              <w:snapToGrid w:val="0"/>
              <w:spacing w:line="276" w:lineRule="auto"/>
              <w:jc w:val="left"/>
              <w:rPr>
                <w:rFonts w:ascii="宋体" w:hAnsi="Calibri" w:eastAsia="宋体" w:cs="Times New Roman"/>
                <w:color w:val="000000"/>
                <w:szCs w:val="21"/>
              </w:rPr>
            </w:pPr>
            <w:r>
              <w:rPr>
                <w:rFonts w:ascii="宋体" w:hAnsi="宋体" w:eastAsia="宋体" w:cs="Times New Roman"/>
                <w:color w:val="000000"/>
                <w:szCs w:val="21"/>
              </w:rPr>
              <w:t>3-3</w:t>
            </w:r>
            <w:r>
              <w:rPr>
                <w:rFonts w:hint="eastAsia" w:ascii="宋体" w:hAnsi="宋体" w:eastAsia="宋体" w:cs="Times New Roman"/>
                <w:color w:val="000000"/>
                <w:szCs w:val="21"/>
              </w:rPr>
              <w:t>掌握兼教学科的基本知识、原理和技能，理解兼教学科的知识体系。</w:t>
            </w:r>
          </w:p>
        </w:tc>
      </w:tr>
      <w:tr w14:paraId="69E2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310" w:type="dxa"/>
            <w:vAlign w:val="center"/>
          </w:tcPr>
          <w:p w14:paraId="316A8F0C">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5</w:t>
            </w:r>
          </w:p>
        </w:tc>
        <w:tc>
          <w:tcPr>
            <w:tcW w:w="2317" w:type="dxa"/>
            <w:vAlign w:val="center"/>
          </w:tcPr>
          <w:p w14:paraId="7B16B1CF">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综合育人</w:t>
            </w:r>
          </w:p>
        </w:tc>
        <w:tc>
          <w:tcPr>
            <w:tcW w:w="5308" w:type="dxa"/>
            <w:vAlign w:val="center"/>
          </w:tcPr>
          <w:p w14:paraId="5E2FEF66">
            <w:pPr>
              <w:shd w:val="clear" w:color="auto" w:fill="FFFFFF"/>
              <w:adjustRightInd w:val="0"/>
              <w:snapToGrid w:val="0"/>
              <w:spacing w:line="276" w:lineRule="auto"/>
              <w:jc w:val="left"/>
              <w:rPr>
                <w:rFonts w:ascii="宋体" w:hAnsi="Calibri" w:eastAsia="宋体" w:cs="Times New Roman"/>
                <w:color w:val="000000"/>
                <w:szCs w:val="21"/>
              </w:rPr>
            </w:pPr>
            <w:r>
              <w:rPr>
                <w:rFonts w:ascii="宋体" w:hAnsi="Calibri" w:eastAsia="宋体" w:cs="Times New Roman"/>
                <w:color w:val="000000"/>
                <w:szCs w:val="21"/>
              </w:rPr>
              <w:t>6-2</w:t>
            </w:r>
            <w:r>
              <w:rPr>
                <w:rFonts w:hint="eastAsia" w:ascii="宋体" w:hAnsi="Calibri" w:eastAsia="宋体" w:cs="Times New Roman"/>
                <w:color w:val="000000"/>
                <w:szCs w:val="21"/>
              </w:rPr>
              <w:t>具备结合学科教学进行育人的意识与能力。</w:t>
            </w:r>
          </w:p>
        </w:tc>
      </w:tr>
      <w:tr w14:paraId="640E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310" w:type="dxa"/>
            <w:vAlign w:val="center"/>
          </w:tcPr>
          <w:p w14:paraId="116611E7">
            <w:pPr>
              <w:adjustRightInd w:val="0"/>
              <w:snapToGrid w:val="0"/>
              <w:spacing w:line="276" w:lineRule="auto"/>
              <w:jc w:val="center"/>
              <w:rPr>
                <w:rFonts w:ascii="宋体" w:hAnsi="Calibri"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6</w:t>
            </w:r>
          </w:p>
        </w:tc>
        <w:tc>
          <w:tcPr>
            <w:tcW w:w="2317" w:type="dxa"/>
            <w:vAlign w:val="center"/>
          </w:tcPr>
          <w:p w14:paraId="06AF12D2">
            <w:pPr>
              <w:adjustRightInd w:val="0"/>
              <w:snapToGrid w:val="0"/>
              <w:spacing w:line="276" w:lineRule="auto"/>
              <w:rPr>
                <w:rFonts w:ascii="宋体" w:hAnsi="Calibri"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ascii="宋体" w:hAnsi="Calibri" w:eastAsia="宋体" w:cs="Times New Roman"/>
                <w:color w:val="000000"/>
                <w:kern w:val="0"/>
                <w:szCs w:val="21"/>
              </w:rPr>
              <w:t>.</w:t>
            </w:r>
            <w:r>
              <w:rPr>
                <w:rFonts w:hint="eastAsia" w:ascii="宋体" w:hAnsi="宋体" w:eastAsia="宋体" w:cs="Times New Roman"/>
                <w:color w:val="000000"/>
                <w:kern w:val="0"/>
                <w:szCs w:val="21"/>
              </w:rPr>
              <w:t>学会反思</w:t>
            </w:r>
          </w:p>
        </w:tc>
        <w:tc>
          <w:tcPr>
            <w:tcW w:w="5308" w:type="dxa"/>
            <w:vAlign w:val="center"/>
          </w:tcPr>
          <w:p w14:paraId="275E6600">
            <w:pPr>
              <w:shd w:val="clear" w:color="auto" w:fill="FFFFFF"/>
              <w:adjustRightInd w:val="0"/>
              <w:snapToGrid w:val="0"/>
              <w:spacing w:line="276" w:lineRule="auto"/>
              <w:jc w:val="left"/>
              <w:rPr>
                <w:rFonts w:ascii="宋体" w:hAnsi="Calibri" w:eastAsia="宋体" w:cs="Times New Roman"/>
                <w:color w:val="000000"/>
                <w:szCs w:val="21"/>
              </w:rPr>
            </w:pPr>
            <w:r>
              <w:rPr>
                <w:rFonts w:ascii="宋体" w:hAnsi="宋体" w:eastAsia="宋体" w:cs="Times New Roman"/>
                <w:color w:val="000000"/>
                <w:szCs w:val="21"/>
              </w:rPr>
              <w:t>7-2</w:t>
            </w:r>
            <w:r>
              <w:rPr>
                <w:rFonts w:hint="eastAsia" w:ascii="宋体" w:hAnsi="宋体" w:eastAsia="宋体" w:cs="Times New Roman"/>
                <w:color w:val="000000"/>
                <w:szCs w:val="21"/>
              </w:rPr>
              <w:t>具有终身学习和专业发展意识，能适应时代和教育发展需求，进行职业生涯规划和自主学习。</w:t>
            </w:r>
          </w:p>
          <w:p w14:paraId="122ACF28">
            <w:pPr>
              <w:shd w:val="clear" w:color="auto" w:fill="FFFFFF"/>
              <w:adjustRightInd w:val="0"/>
              <w:snapToGrid w:val="0"/>
              <w:spacing w:line="276" w:lineRule="auto"/>
              <w:jc w:val="left"/>
              <w:rPr>
                <w:rFonts w:ascii="宋体" w:hAnsi="Calibri" w:eastAsia="宋体" w:cs="Times New Roman"/>
                <w:color w:val="000000"/>
                <w:szCs w:val="21"/>
              </w:rPr>
            </w:pPr>
            <w:r>
              <w:rPr>
                <w:rFonts w:ascii="宋体" w:hAnsi="宋体" w:eastAsia="宋体" w:cs="Times New Roman"/>
                <w:color w:val="000000"/>
                <w:szCs w:val="21"/>
              </w:rPr>
              <w:t>7</w:t>
            </w:r>
            <w:r>
              <w:rPr>
                <w:rFonts w:ascii="宋体" w:hAnsi="Calibri"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：初步掌握反思方法和技能，具有一定创新意识，运用批判性思维方法，学会发现、分析和解决小学教育实践中的问题。</w:t>
            </w:r>
          </w:p>
        </w:tc>
      </w:tr>
    </w:tbl>
    <w:p w14:paraId="06C3858D">
      <w:pPr>
        <w:adjustRightInd w:val="0"/>
        <w:snapToGrid w:val="0"/>
        <w:spacing w:line="360" w:lineRule="auto"/>
        <w:ind w:firstLine="480" w:firstLineChars="200"/>
        <w:rPr>
          <w:rFonts w:hint="eastAsia" w:ascii="宋体" w:hAnsi="等线" w:eastAsia="宋体" w:cs="Times New Roman"/>
          <w:color w:val="000000"/>
          <w:sz w:val="24"/>
        </w:rPr>
      </w:pPr>
    </w:p>
    <w:p w14:paraId="37D6A0E2">
      <w:pPr>
        <w:adjustRightInd w:val="0"/>
        <w:snapToGrid w:val="0"/>
        <w:spacing w:line="360" w:lineRule="auto"/>
        <w:ind w:firstLine="562" w:firstLineChars="200"/>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三、课程内容</w:t>
      </w:r>
    </w:p>
    <w:p w14:paraId="7738FCFE">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（一）教育</w:t>
      </w:r>
      <w:r>
        <w:rPr>
          <w:rFonts w:hint="eastAsia" w:ascii="宋体" w:hAnsi="宋体" w:eastAsia="宋体" w:cs="宋体"/>
          <w:b/>
          <w:color w:val="000000"/>
          <w:kern w:val="0"/>
          <w:sz w:val="24"/>
          <w:szCs w:val="24"/>
        </w:rPr>
        <w:t>社会学概</w:t>
      </w:r>
      <w:r>
        <w:rPr>
          <w:rFonts w:hint="eastAsia" w:ascii="宋体" w:hAnsi="宋体" w:eastAsia="宋体" w:cs="Times New Roman"/>
          <w:b/>
          <w:color w:val="000000"/>
          <w:sz w:val="24"/>
          <w:szCs w:val="24"/>
        </w:rPr>
        <w:t>论（本模块各知识点的讲授与学习，可以支撑课程目标</w:t>
      </w:r>
      <w:r>
        <w:rPr>
          <w:rFonts w:ascii="宋体" w:hAnsi="宋体" w:eastAsia="宋体" w:cs="Times New Roman"/>
          <w:b/>
          <w:color w:val="000000"/>
          <w:sz w:val="24"/>
          <w:szCs w:val="24"/>
        </w:rPr>
        <w:t>1</w:t>
      </w:r>
      <w:r>
        <w:rPr>
          <w:rFonts w:hint="eastAsia" w:ascii="宋体" w:hAnsi="宋体" w:eastAsia="宋体" w:cs="Times New Roman"/>
          <w:b/>
          <w:color w:val="000000"/>
          <w:sz w:val="24"/>
          <w:szCs w:val="24"/>
        </w:rPr>
        <w:t>）</w:t>
      </w:r>
    </w:p>
    <w:p w14:paraId="3B74CD67">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72F62BF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）什么是教育社会学</w:t>
      </w:r>
    </w:p>
    <w:p w14:paraId="4A40B499">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）教育社会学的历史与发展</w:t>
      </w:r>
    </w:p>
    <w:p w14:paraId="660807B5">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）马克思主义社会学与西方社会学</w:t>
      </w:r>
    </w:p>
    <w:p w14:paraId="15BFA523">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0F549CE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）了解教育社会学的学科性质、研究对象</w:t>
      </w:r>
    </w:p>
    <w:p w14:paraId="011423B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）理解教育社会学的与其他社会科学的关系</w:t>
      </w:r>
    </w:p>
    <w:p w14:paraId="40337F1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）掌握社会学考查社会系统的基本角度</w:t>
      </w:r>
    </w:p>
    <w:p w14:paraId="2D5A46B4">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：了解教育社会学的发展历史</w:t>
      </w:r>
    </w:p>
    <w:p w14:paraId="6EE3F73C">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：理解教育社会学的学科性质、马克思主义社会学和西方社会学的关系</w:t>
      </w:r>
    </w:p>
    <w:p w14:paraId="0F2EE1B4">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（二）社会学的理论流派（本模块各知识点的讲授与学习，可以支撑课程目标</w:t>
      </w:r>
      <w:r>
        <w:rPr>
          <w:rFonts w:ascii="宋体" w:hAnsi="宋体" w:eastAsia="宋体" w:cs="Times New Roman"/>
          <w:b/>
          <w:color w:val="000000"/>
          <w:sz w:val="24"/>
          <w:szCs w:val="24"/>
        </w:rPr>
        <w:t>2</w:t>
      </w:r>
      <w:r>
        <w:rPr>
          <w:rFonts w:hint="eastAsia" w:ascii="宋体" w:hAnsi="宋体" w:eastAsia="宋体" w:cs="Times New Roman"/>
          <w:b/>
          <w:color w:val="000000"/>
          <w:sz w:val="24"/>
          <w:szCs w:val="24"/>
        </w:rPr>
        <w:t>）</w:t>
      </w:r>
    </w:p>
    <w:p w14:paraId="2A9935CC">
      <w:pPr>
        <w:widowControl/>
        <w:adjustRightInd w:val="0"/>
        <w:snapToGrid w:val="0"/>
        <w:spacing w:line="360" w:lineRule="auto"/>
        <w:ind w:firstLine="723" w:firstLineChars="30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188DF8F3">
      <w:pPr>
        <w:widowControl/>
        <w:adjustRightInd w:val="0"/>
        <w:snapToGrid w:val="0"/>
        <w:spacing w:line="360" w:lineRule="auto"/>
        <w:ind w:firstLine="600" w:firstLineChars="25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）社会有机论</w:t>
      </w:r>
    </w:p>
    <w:p w14:paraId="43208F4B">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）冲突论</w:t>
      </w:r>
    </w:p>
    <w:p w14:paraId="74462AE1">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）结构功能主义</w:t>
      </w:r>
    </w:p>
    <w:p w14:paraId="33E1E1A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）符号相互作用论</w:t>
      </w:r>
    </w:p>
    <w:p w14:paraId="30C26B08">
      <w:pPr>
        <w:widowControl/>
        <w:adjustRightInd w:val="0"/>
        <w:snapToGrid w:val="0"/>
        <w:spacing w:line="360" w:lineRule="auto"/>
        <w:ind w:firstLine="723" w:firstLineChars="30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25B3D24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）了解社会学理论流派的基本主张、代表人物及经典研究</w:t>
      </w:r>
    </w:p>
    <w:p w14:paraId="527F2C31">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）理解冲突论的基本主张、代表人物及经典研究</w:t>
      </w:r>
    </w:p>
    <w:p w14:paraId="6C85714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）掌握符号相互作用论的基本主张、代表人物及经典研究</w:t>
      </w:r>
    </w:p>
    <w:p w14:paraId="777580BF">
      <w:pPr>
        <w:widowControl/>
        <w:adjustRightInd w:val="0"/>
        <w:snapToGrid w:val="0"/>
        <w:spacing w:line="360" w:lineRule="auto"/>
        <w:ind w:firstLine="602" w:firstLineChars="25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：掌握结构功能论、冲突论、符号论的观点内容</w:t>
      </w:r>
    </w:p>
    <w:p w14:paraId="3A56F6F9">
      <w:pPr>
        <w:widowControl/>
        <w:adjustRightInd w:val="0"/>
        <w:snapToGrid w:val="0"/>
        <w:spacing w:line="360" w:lineRule="auto"/>
        <w:ind w:firstLine="602" w:firstLineChars="25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：理解主要理论流派之间的区别与联系</w:t>
      </w:r>
    </w:p>
    <w:p w14:paraId="419AF495">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（三）人的社会化（本模块各知识点的讲授与学习，可以支撑课程目标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2F13481B">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5DEABFC5">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）社会化的含义</w:t>
      </w:r>
    </w:p>
    <w:p w14:paraId="66B3C51B">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）社会化的过程和主要内容</w:t>
      </w:r>
    </w:p>
    <w:p w14:paraId="45CBFEB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）当前我国现实生活中的社会化问题</w:t>
      </w:r>
    </w:p>
    <w:p w14:paraId="0DB7812F">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6EF3109">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）了解人的社会学定义和内涵</w:t>
      </w:r>
    </w:p>
    <w:p w14:paraId="55D92BA4">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）理解个体社会化的过程和主要内容</w:t>
      </w:r>
    </w:p>
    <w:p w14:paraId="439925E3">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）掌握社会化中的现实问题</w:t>
      </w:r>
    </w:p>
    <w:p w14:paraId="22F2AB79">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：理解社会化的内容</w:t>
      </w:r>
    </w:p>
    <w:p w14:paraId="67A3C20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：分析人的现代化问题</w:t>
      </w:r>
    </w:p>
    <w:p w14:paraId="25658DF8">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（四）社会角色与社会互动（本模块各知识点的讲授与学习，可以支撑课程目标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w:t>
      </w:r>
    </w:p>
    <w:p w14:paraId="16A02CA2">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5BCCB304">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）社会角色与角色集</w:t>
      </w:r>
    </w:p>
    <w:p w14:paraId="38E08D95">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）社会角色的类型、扮演与失调</w:t>
      </w:r>
    </w:p>
    <w:p w14:paraId="0CFEA0BC">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）社会互动理论与集合行为</w:t>
      </w:r>
    </w:p>
    <w:p w14:paraId="6E1CF8E9">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EFBF92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）了解社会角色和社会互动的概念</w:t>
      </w:r>
    </w:p>
    <w:p w14:paraId="217B1AE3">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）了解社会角色扮演过程</w:t>
      </w:r>
    </w:p>
    <w:p w14:paraId="4F4D9EF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）理解社会角色失调和社会互动的类型</w:t>
      </w:r>
    </w:p>
    <w:p w14:paraId="78162CE0">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）掌握社会角色和社会互动的作用</w:t>
      </w:r>
    </w:p>
    <w:p w14:paraId="5B565586">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：社会角色和社会互动的概念内涵，社会角色和社会互动类型及其表现</w:t>
      </w:r>
    </w:p>
    <w:p w14:paraId="60A13A7E">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：把握角色集和集合行为</w:t>
      </w:r>
    </w:p>
    <w:p w14:paraId="787E1D7D">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（五）社会群体与社会组织（本模块各知识点的讲授与学习，可以支撑课程目标</w:t>
      </w:r>
      <w:r>
        <w:rPr>
          <w:rFonts w:ascii="宋体" w:hAnsi="宋体" w:eastAsia="宋体" w:cs="Times New Roman"/>
          <w:b/>
          <w:color w:val="000000"/>
          <w:sz w:val="24"/>
          <w:szCs w:val="24"/>
        </w:rPr>
        <w:t>3</w:t>
      </w:r>
      <w:r>
        <w:rPr>
          <w:rFonts w:hint="eastAsia" w:ascii="宋体" w:hAnsi="宋体" w:eastAsia="宋体" w:cs="Times New Roman"/>
          <w:b/>
          <w:color w:val="000000"/>
          <w:sz w:val="24"/>
          <w:szCs w:val="24"/>
        </w:rPr>
        <w:t>、课程目标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05E49191">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32C7F7B1">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）社会群体的意义与一般特征、社会组织的定义和特点</w:t>
      </w:r>
    </w:p>
    <w:p w14:paraId="0E146393">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）群体功能与初级社会群体、社会组织的结构</w:t>
      </w:r>
    </w:p>
    <w:p w14:paraId="3B4B4ACC">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）社会组织的管理</w:t>
      </w:r>
    </w:p>
    <w:p w14:paraId="4421DB77">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3967B12B">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）了解社会群体的意义；社会组织的内涵</w:t>
      </w:r>
    </w:p>
    <w:p w14:paraId="2E84824C">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）理解群体功能与群体角度；社会组织的结构</w:t>
      </w:r>
    </w:p>
    <w:p w14:paraId="430AC0A5">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）掌握初级社会群体的功能和发展趋势；社会组织的管理。</w:t>
      </w:r>
    </w:p>
    <w:p w14:paraId="41D725C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：理解社会群体的一般特征和初级社会群体的功能</w:t>
      </w:r>
    </w:p>
    <w:p w14:paraId="681E173B">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：社会学关于社会群体的一般理论</w:t>
      </w:r>
    </w:p>
    <w:p w14:paraId="1CBFF892">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（六）社会分层和社会流动（本模块各知识点的讲授与学习，可以支撑课程目标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07E1F79F">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062B836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）社会分层与社会平等</w:t>
      </w:r>
    </w:p>
    <w:p w14:paraId="6C8BC5A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）社会流动</w:t>
      </w:r>
    </w:p>
    <w:p w14:paraId="479F2BEE">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B558D9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）了解社会分层与社会流动的涵义；</w:t>
      </w:r>
    </w:p>
    <w:p w14:paraId="6A771382">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）理解社会分层理论以及社会流动的类型；</w:t>
      </w:r>
    </w:p>
    <w:p w14:paraId="77F86FC0">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）掌握社会分层的标准与社会流动的影响因素。</w:t>
      </w:r>
    </w:p>
    <w:p w14:paraId="5991B606">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：理解社会分层理论，掌握社会分层、社会流动的影响因素</w:t>
      </w:r>
    </w:p>
    <w:p w14:paraId="68171B9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：社会分层的标准和合理的社会流动</w:t>
      </w:r>
    </w:p>
    <w:p w14:paraId="5FBBA6CF">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（七）社会变迁与教育社会现代化（本模块各知识点的讲授与学习，可以支撑课程目标</w:t>
      </w:r>
      <w:r>
        <w:rPr>
          <w:rFonts w:ascii="宋体" w:hAnsi="宋体" w:eastAsia="宋体" w:cs="Times New Roman"/>
          <w:b/>
          <w:color w:val="000000"/>
          <w:sz w:val="24"/>
          <w:szCs w:val="24"/>
        </w:rPr>
        <w:t>4</w:t>
      </w:r>
      <w:r>
        <w:rPr>
          <w:rFonts w:hint="eastAsia" w:ascii="宋体" w:hAnsi="宋体" w:eastAsia="宋体" w:cs="Times New Roman"/>
          <w:b/>
          <w:color w:val="000000"/>
          <w:sz w:val="24"/>
          <w:szCs w:val="24"/>
        </w:rPr>
        <w:t>）</w:t>
      </w:r>
    </w:p>
    <w:p w14:paraId="3834EF21">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5E140CBE">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）社会变迁的内容、类型和特点</w:t>
      </w:r>
    </w:p>
    <w:p w14:paraId="4E65648A">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）教育社会现代化的内涵和基本特征</w:t>
      </w:r>
    </w:p>
    <w:p w14:paraId="5654A8FA">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）我国的教育社会现代化</w:t>
      </w:r>
    </w:p>
    <w:p w14:paraId="4D930C30">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42E647C3">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）了解社会变迁的内容和根源</w:t>
      </w:r>
    </w:p>
    <w:p w14:paraId="65FB3F0E">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）理解教育社会现代化的基本规律和制约因素</w:t>
      </w:r>
    </w:p>
    <w:p w14:paraId="52BFA1BA">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）掌握我国的社会主义教育现代化与社会改革</w:t>
      </w:r>
    </w:p>
    <w:p w14:paraId="3216E7F6">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：理解社会变迁和教育社会现代化之间的关系，以及教育社会现代化的内涵。</w:t>
      </w:r>
    </w:p>
    <w:p w14:paraId="146F9D6A">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：我国的社会主义教育现代化与教育社会改革。</w:t>
      </w:r>
    </w:p>
    <w:p w14:paraId="6F2BD97C">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（八）教育社会问题与社会控制（本模块各知识点的讲授与学习，可以支撑课程目标</w:t>
      </w:r>
      <w:r>
        <w:rPr>
          <w:rFonts w:ascii="宋体" w:hAnsi="宋体" w:eastAsia="宋体" w:cs="Times New Roman"/>
          <w:b/>
          <w:color w:val="000000"/>
          <w:sz w:val="24"/>
          <w:szCs w:val="24"/>
        </w:rPr>
        <w:t>5</w:t>
      </w:r>
      <w:r>
        <w:rPr>
          <w:rFonts w:hint="eastAsia" w:ascii="宋体" w:hAnsi="宋体" w:eastAsia="宋体" w:cs="Times New Roman"/>
          <w:b/>
          <w:color w:val="000000"/>
          <w:sz w:val="24"/>
          <w:szCs w:val="24"/>
        </w:rPr>
        <w:t>）</w:t>
      </w:r>
    </w:p>
    <w:p w14:paraId="6886AD80">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7ACA657F">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）教育社会问题与社会控制的内涵</w:t>
      </w:r>
    </w:p>
    <w:p w14:paraId="093A3FFE">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）教育社会问题的主要表现和社会控制体系</w:t>
      </w:r>
    </w:p>
    <w:p w14:paraId="02FCF5A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）社会舆论、社会保障与社会福利</w:t>
      </w:r>
    </w:p>
    <w:p w14:paraId="24983177">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11EE709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）了解教育社会问题的特性；</w:t>
      </w:r>
    </w:p>
    <w:p w14:paraId="1529C3C3">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）理解教育社会控制的社会职能；</w:t>
      </w:r>
    </w:p>
    <w:p w14:paraId="5CA524C1">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）掌握主要社会问题的表现和社会控制的途径。</w:t>
      </w:r>
    </w:p>
    <w:p w14:paraId="5EF65E2E">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：理解教育社会问题的区分和社会控制的社会功能</w:t>
      </w:r>
    </w:p>
    <w:p w14:paraId="686F2FD5">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：社会控制体系</w:t>
      </w:r>
    </w:p>
    <w:p w14:paraId="1E01A2C7">
      <w:pPr>
        <w:adjustRightInd w:val="0"/>
        <w:snapToGrid w:val="0"/>
        <w:spacing w:line="360" w:lineRule="auto"/>
        <w:ind w:firstLine="482" w:firstLineChars="200"/>
        <w:rPr>
          <w:rFonts w:hint="eastAsia" w:ascii="宋体" w:hAnsi="等线" w:eastAsia="宋体" w:cs="Times New Roman"/>
          <w:b/>
          <w:color w:val="000000"/>
          <w:sz w:val="24"/>
          <w:szCs w:val="24"/>
        </w:rPr>
      </w:pPr>
      <w:r>
        <w:rPr>
          <w:rFonts w:hint="eastAsia" w:ascii="宋体" w:hAnsi="宋体" w:eastAsia="宋体" w:cs="Times New Roman"/>
          <w:b/>
          <w:color w:val="000000"/>
          <w:sz w:val="24"/>
          <w:szCs w:val="24"/>
        </w:rPr>
        <w:t>（九）社会学研究（本模块各知识点的讲授与学习，可以支撑课程目标</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w:t>
      </w:r>
    </w:p>
    <w:p w14:paraId="6422AEA6">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1.</w:t>
      </w:r>
      <w:r>
        <w:rPr>
          <w:rFonts w:hint="eastAsia" w:ascii="宋体" w:hAnsi="宋体" w:eastAsia="宋体" w:cs="宋体"/>
          <w:b/>
          <w:color w:val="000000"/>
          <w:kern w:val="0"/>
          <w:sz w:val="24"/>
          <w:szCs w:val="24"/>
        </w:rPr>
        <w:t>教学内容</w:t>
      </w:r>
    </w:p>
    <w:p w14:paraId="63D5882A">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）社会学调查研究的意义</w:t>
      </w:r>
    </w:p>
    <w:p w14:paraId="69416AC0">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）社会学调查研究的组织与实施</w:t>
      </w:r>
    </w:p>
    <w:p w14:paraId="587FBCC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）常用的社会学调查方法</w:t>
      </w:r>
    </w:p>
    <w:p w14:paraId="1626078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）社会指标体系的建立</w:t>
      </w:r>
    </w:p>
    <w:p w14:paraId="3EAC5F83">
      <w:pPr>
        <w:widowControl/>
        <w:adjustRightInd w:val="0"/>
        <w:snapToGrid w:val="0"/>
        <w:spacing w:line="360" w:lineRule="auto"/>
        <w:ind w:firstLine="560"/>
        <w:jc w:val="left"/>
        <w:rPr>
          <w:rFonts w:hint="eastAsia" w:ascii="宋体" w:hAnsi="宋体" w:eastAsia="宋体" w:cs="宋体"/>
          <w:b/>
          <w:color w:val="000000"/>
          <w:kern w:val="0"/>
          <w:sz w:val="24"/>
          <w:szCs w:val="24"/>
        </w:rPr>
      </w:pPr>
      <w:r>
        <w:rPr>
          <w:rFonts w:ascii="宋体" w:hAnsi="宋体" w:eastAsia="宋体" w:cs="宋体"/>
          <w:b/>
          <w:color w:val="000000"/>
          <w:kern w:val="0"/>
          <w:sz w:val="24"/>
          <w:szCs w:val="24"/>
        </w:rPr>
        <w:t>2.</w:t>
      </w:r>
      <w:r>
        <w:rPr>
          <w:rFonts w:hint="eastAsia" w:ascii="宋体" w:hAnsi="宋体" w:eastAsia="宋体" w:cs="宋体"/>
          <w:b/>
          <w:color w:val="000000"/>
          <w:kern w:val="0"/>
          <w:sz w:val="24"/>
          <w:szCs w:val="24"/>
        </w:rPr>
        <w:t>基本要求</w:t>
      </w:r>
    </w:p>
    <w:p w14:paraId="5EC01771">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）了解社会学调查研究的目的和意义</w:t>
      </w:r>
    </w:p>
    <w:p w14:paraId="0BD3E5A8">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2</w:t>
      </w:r>
      <w:r>
        <w:rPr>
          <w:rFonts w:hint="eastAsia" w:ascii="宋体" w:hAnsi="宋体" w:eastAsia="宋体" w:cs="宋体"/>
          <w:color w:val="000000"/>
          <w:kern w:val="0"/>
          <w:sz w:val="24"/>
          <w:szCs w:val="24"/>
        </w:rPr>
        <w:t>）理解社会学调查研究的组织和实施</w:t>
      </w:r>
    </w:p>
    <w:p w14:paraId="20943C7D">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）掌握问卷的设计与应用</w:t>
      </w:r>
    </w:p>
    <w:p w14:paraId="7AB790D0">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ascii="宋体" w:hAnsi="宋体" w:eastAsia="宋体" w:cs="宋体"/>
          <w:color w:val="000000"/>
          <w:kern w:val="0"/>
          <w:sz w:val="24"/>
          <w:szCs w:val="24"/>
        </w:rPr>
        <w:t>4</w:t>
      </w:r>
      <w:r>
        <w:rPr>
          <w:rFonts w:hint="eastAsia" w:ascii="宋体" w:hAnsi="宋体" w:eastAsia="宋体" w:cs="宋体"/>
          <w:color w:val="000000"/>
          <w:kern w:val="0"/>
          <w:sz w:val="24"/>
          <w:szCs w:val="24"/>
        </w:rPr>
        <w:t>）了解社会指标及其体系</w:t>
      </w:r>
    </w:p>
    <w:p w14:paraId="6ECDD5D0">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教学重点</w:t>
      </w:r>
      <w:r>
        <w:rPr>
          <w:rFonts w:hint="eastAsia" w:ascii="宋体" w:hAnsi="宋体" w:eastAsia="宋体" w:cs="宋体"/>
          <w:color w:val="000000"/>
          <w:kern w:val="0"/>
          <w:sz w:val="24"/>
          <w:szCs w:val="24"/>
        </w:rPr>
        <w:t>：社会学调查的常用研究方法</w:t>
      </w:r>
    </w:p>
    <w:p w14:paraId="068143EB">
      <w:pPr>
        <w:widowControl/>
        <w:adjustRightInd w:val="0"/>
        <w:snapToGrid w:val="0"/>
        <w:spacing w:line="360" w:lineRule="auto"/>
        <w:ind w:firstLine="56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教学难点</w:t>
      </w:r>
      <w:r>
        <w:rPr>
          <w:rFonts w:hint="eastAsia" w:ascii="宋体" w:hAnsi="宋体" w:eastAsia="宋体" w:cs="宋体"/>
          <w:color w:val="000000"/>
          <w:kern w:val="0"/>
          <w:sz w:val="24"/>
          <w:szCs w:val="24"/>
        </w:rPr>
        <w:t>：社会指标及其体系</w:t>
      </w:r>
    </w:p>
    <w:p w14:paraId="37495661">
      <w:pPr>
        <w:adjustRightInd w:val="0"/>
        <w:snapToGrid w:val="0"/>
        <w:spacing w:line="360" w:lineRule="auto"/>
        <w:ind w:firstLine="482" w:firstLineChars="200"/>
        <w:rPr>
          <w:rFonts w:hint="eastAsia" w:ascii="宋体" w:hAnsi="等线" w:eastAsia="宋体" w:cs="Times New Roman"/>
          <w:b/>
          <w:color w:val="000000"/>
          <w:sz w:val="24"/>
        </w:rPr>
      </w:pPr>
      <w:r>
        <w:rPr>
          <w:rFonts w:hint="eastAsia" w:ascii="宋体" w:hAnsi="宋体" w:eastAsia="宋体" w:cs="Times New Roman"/>
          <w:b/>
          <w:color w:val="000000"/>
          <w:sz w:val="24"/>
        </w:rPr>
        <w:t>教学内容与课程目标的对应关系及学时分配如表所示：</w:t>
      </w:r>
    </w:p>
    <w:tbl>
      <w:tblPr>
        <w:tblStyle w:val="30"/>
        <w:tblW w:w="86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904"/>
        <w:gridCol w:w="2012"/>
        <w:gridCol w:w="2412"/>
        <w:gridCol w:w="9"/>
        <w:gridCol w:w="710"/>
      </w:tblGrid>
      <w:tr w14:paraId="6D71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75" w:type="dxa"/>
            <w:shd w:val="clear" w:color="auto" w:fill="FFFFFF"/>
            <w:vAlign w:val="center"/>
          </w:tcPr>
          <w:p w14:paraId="1EAB629C">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序号</w:t>
            </w:r>
          </w:p>
        </w:tc>
        <w:tc>
          <w:tcPr>
            <w:tcW w:w="2904" w:type="dxa"/>
            <w:shd w:val="clear" w:color="auto" w:fill="FFFFFF"/>
            <w:vAlign w:val="center"/>
          </w:tcPr>
          <w:p w14:paraId="6F187308">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教学内容</w:t>
            </w:r>
          </w:p>
        </w:tc>
        <w:tc>
          <w:tcPr>
            <w:tcW w:w="2012" w:type="dxa"/>
            <w:shd w:val="clear" w:color="auto" w:fill="FFFFFF"/>
            <w:vAlign w:val="center"/>
          </w:tcPr>
          <w:p w14:paraId="11C9AD56">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支撑的课程目标</w:t>
            </w:r>
          </w:p>
        </w:tc>
        <w:tc>
          <w:tcPr>
            <w:tcW w:w="2412" w:type="dxa"/>
            <w:shd w:val="clear" w:color="auto" w:fill="FFFFFF"/>
            <w:vAlign w:val="center"/>
          </w:tcPr>
          <w:p w14:paraId="0FED3FEF">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支撑的毕业要求指标点</w:t>
            </w:r>
          </w:p>
        </w:tc>
        <w:tc>
          <w:tcPr>
            <w:tcW w:w="717" w:type="dxa"/>
            <w:gridSpan w:val="2"/>
            <w:shd w:val="clear" w:color="auto" w:fill="FFFFFF"/>
            <w:vAlign w:val="center"/>
          </w:tcPr>
          <w:p w14:paraId="5D2829F8">
            <w:pPr>
              <w:spacing w:line="276" w:lineRule="auto"/>
              <w:jc w:val="center"/>
              <w:rPr>
                <w:rFonts w:hint="eastAsia" w:ascii="宋体" w:hAnsi="等线" w:eastAsia="宋体" w:cs="Times New Roman"/>
                <w:b/>
                <w:color w:val="000000"/>
                <w:szCs w:val="21"/>
              </w:rPr>
            </w:pPr>
            <w:r>
              <w:rPr>
                <w:rFonts w:hint="eastAsia" w:ascii="宋体" w:hAnsi="宋体" w:eastAsia="宋体" w:cs="Times New Roman"/>
                <w:b/>
                <w:color w:val="000000"/>
                <w:szCs w:val="21"/>
              </w:rPr>
              <w:t>讲授学时</w:t>
            </w:r>
          </w:p>
        </w:tc>
      </w:tr>
      <w:tr w14:paraId="34DD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75" w:type="dxa"/>
            <w:shd w:val="clear" w:color="auto" w:fill="FFFFFF"/>
            <w:vAlign w:val="center"/>
          </w:tcPr>
          <w:p w14:paraId="5BF5BF8B">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2904" w:type="dxa"/>
            <w:shd w:val="clear" w:color="auto" w:fill="FFFFFF"/>
            <w:vAlign w:val="center"/>
          </w:tcPr>
          <w:p w14:paraId="5F4F5BF5">
            <w:pPr>
              <w:spacing w:line="276" w:lineRule="auto"/>
              <w:jc w:val="left"/>
              <w:rPr>
                <w:rFonts w:hint="eastAsia" w:ascii="宋体" w:hAnsi="等线" w:eastAsia="宋体" w:cs="宋体"/>
                <w:color w:val="000000"/>
                <w:kern w:val="0"/>
                <w:szCs w:val="21"/>
              </w:rPr>
            </w:pPr>
            <w:r>
              <w:rPr>
                <w:rFonts w:hint="eastAsia" w:ascii="宋体" w:hAnsi="宋体" w:eastAsia="宋体" w:cs="宋体"/>
                <w:color w:val="000000"/>
                <w:kern w:val="0"/>
                <w:szCs w:val="21"/>
              </w:rPr>
              <w:t>教育社会学概论</w:t>
            </w:r>
          </w:p>
        </w:tc>
        <w:tc>
          <w:tcPr>
            <w:tcW w:w="2012" w:type="dxa"/>
            <w:shd w:val="clear" w:color="auto" w:fill="FFFFFF"/>
            <w:vAlign w:val="center"/>
          </w:tcPr>
          <w:p w14:paraId="2213178D">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1</w:t>
            </w:r>
          </w:p>
        </w:tc>
        <w:tc>
          <w:tcPr>
            <w:tcW w:w="2412" w:type="dxa"/>
            <w:shd w:val="clear" w:color="auto" w:fill="FFFFFF"/>
            <w:vAlign w:val="center"/>
          </w:tcPr>
          <w:p w14:paraId="4C951414">
            <w:pPr>
              <w:spacing w:line="276" w:lineRule="auto"/>
              <w:jc w:val="center"/>
              <w:rPr>
                <w:rFonts w:hint="eastAsia" w:ascii="宋体" w:hAnsi="等线" w:eastAsia="宋体" w:cs="Times New Roman"/>
                <w:color w:val="000000"/>
                <w:szCs w:val="21"/>
              </w:rPr>
            </w:pPr>
            <w:r>
              <w:rPr>
                <w:rFonts w:ascii="宋体" w:hAnsi="宋体" w:eastAsia="宋体" w:cs="Times New Roman"/>
                <w:kern w:val="0"/>
                <w:szCs w:val="21"/>
              </w:rPr>
              <w:t>1-1</w:t>
            </w:r>
          </w:p>
        </w:tc>
        <w:tc>
          <w:tcPr>
            <w:tcW w:w="717" w:type="dxa"/>
            <w:gridSpan w:val="2"/>
            <w:shd w:val="clear" w:color="auto" w:fill="FFFFFF"/>
            <w:vAlign w:val="center"/>
          </w:tcPr>
          <w:p w14:paraId="2A6059DD">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2</w:t>
            </w:r>
          </w:p>
        </w:tc>
      </w:tr>
      <w:tr w14:paraId="20CA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75" w:type="dxa"/>
            <w:vAlign w:val="center"/>
          </w:tcPr>
          <w:p w14:paraId="26BCE0AA">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2904" w:type="dxa"/>
            <w:vAlign w:val="center"/>
          </w:tcPr>
          <w:p w14:paraId="56558D8E">
            <w:pPr>
              <w:widowControl/>
              <w:snapToGrid w:val="0"/>
              <w:spacing w:line="276" w:lineRule="auto"/>
              <w:jc w:val="left"/>
              <w:rPr>
                <w:rFonts w:hint="eastAsia" w:ascii="宋体" w:hAnsi="等线" w:eastAsia="宋体" w:cs="宋体"/>
                <w:color w:val="000000"/>
                <w:kern w:val="0"/>
                <w:szCs w:val="21"/>
              </w:rPr>
            </w:pPr>
            <w:r>
              <w:rPr>
                <w:rFonts w:hint="eastAsia" w:ascii="宋体" w:hAnsi="宋体" w:eastAsia="宋体" w:cs="宋体"/>
                <w:color w:val="000000"/>
                <w:kern w:val="0"/>
                <w:szCs w:val="21"/>
              </w:rPr>
              <w:t>教育社会学的理论流派</w:t>
            </w:r>
          </w:p>
        </w:tc>
        <w:tc>
          <w:tcPr>
            <w:tcW w:w="2012" w:type="dxa"/>
            <w:vAlign w:val="center"/>
          </w:tcPr>
          <w:p w14:paraId="6966B139">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2</w:t>
            </w:r>
          </w:p>
        </w:tc>
        <w:tc>
          <w:tcPr>
            <w:tcW w:w="2412" w:type="dxa"/>
            <w:vAlign w:val="center"/>
          </w:tcPr>
          <w:p w14:paraId="486C1F34">
            <w:pPr>
              <w:spacing w:line="276" w:lineRule="auto"/>
              <w:jc w:val="center"/>
              <w:rPr>
                <w:rFonts w:hint="eastAsia" w:ascii="宋体" w:hAnsi="等线" w:eastAsia="宋体" w:cs="Times New Roman"/>
                <w:szCs w:val="21"/>
              </w:rPr>
            </w:pPr>
            <w:r>
              <w:rPr>
                <w:rFonts w:ascii="宋体" w:hAnsi="宋体" w:eastAsia="宋体" w:cs="Times New Roman"/>
                <w:kern w:val="0"/>
                <w:szCs w:val="21"/>
              </w:rPr>
              <w:t>1-1</w:t>
            </w:r>
            <w:r>
              <w:rPr>
                <w:rFonts w:hint="eastAsia" w:ascii="宋体" w:hAnsi="宋体" w:eastAsia="宋体" w:cs="Times New Roman"/>
                <w:kern w:val="0"/>
                <w:szCs w:val="21"/>
              </w:rPr>
              <w:t>、</w:t>
            </w:r>
            <w:r>
              <w:rPr>
                <w:rFonts w:ascii="宋体" w:hAnsi="宋体" w:eastAsia="宋体" w:cs="Times New Roman"/>
                <w:kern w:val="0"/>
                <w:szCs w:val="21"/>
              </w:rPr>
              <w:t>2-3</w:t>
            </w:r>
          </w:p>
        </w:tc>
        <w:tc>
          <w:tcPr>
            <w:tcW w:w="717" w:type="dxa"/>
            <w:gridSpan w:val="2"/>
            <w:vAlign w:val="center"/>
          </w:tcPr>
          <w:p w14:paraId="335376A4">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36E5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75" w:type="dxa"/>
            <w:vAlign w:val="center"/>
          </w:tcPr>
          <w:p w14:paraId="3DE4848D">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2904" w:type="dxa"/>
            <w:vAlign w:val="center"/>
          </w:tcPr>
          <w:p w14:paraId="335DEDC6">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人的社会化</w:t>
            </w:r>
          </w:p>
        </w:tc>
        <w:tc>
          <w:tcPr>
            <w:tcW w:w="2012" w:type="dxa"/>
            <w:vAlign w:val="center"/>
          </w:tcPr>
          <w:p w14:paraId="42691206">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412" w:type="dxa"/>
            <w:vAlign w:val="center"/>
          </w:tcPr>
          <w:p w14:paraId="1737CF29">
            <w:pPr>
              <w:spacing w:line="276" w:lineRule="auto"/>
              <w:jc w:val="center"/>
              <w:rPr>
                <w:rFonts w:hint="eastAsia" w:ascii="宋体" w:hAnsi="等线" w:eastAsia="宋体" w:cs="Times New Roman"/>
                <w:szCs w:val="21"/>
              </w:rPr>
            </w:pPr>
            <w:r>
              <w:rPr>
                <w:rFonts w:ascii="宋体" w:hAnsi="宋体" w:eastAsia="宋体" w:cs="Times New Roman"/>
                <w:kern w:val="0"/>
                <w:szCs w:val="21"/>
              </w:rPr>
              <w:t>2-3</w:t>
            </w:r>
            <w:r>
              <w:rPr>
                <w:rFonts w:hint="eastAsia" w:ascii="宋体" w:hAnsi="宋体" w:eastAsia="宋体" w:cs="Times New Roman"/>
                <w:kern w:val="0"/>
                <w:szCs w:val="21"/>
              </w:rPr>
              <w:t>、</w:t>
            </w:r>
            <w:r>
              <w:rPr>
                <w:rFonts w:ascii="宋体" w:hAnsi="宋体" w:eastAsia="宋体" w:cs="Times New Roman"/>
                <w:kern w:val="0"/>
                <w:szCs w:val="21"/>
              </w:rPr>
              <w:t>3-1</w:t>
            </w:r>
          </w:p>
        </w:tc>
        <w:tc>
          <w:tcPr>
            <w:tcW w:w="717" w:type="dxa"/>
            <w:gridSpan w:val="2"/>
            <w:vAlign w:val="center"/>
          </w:tcPr>
          <w:p w14:paraId="7774D30B">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1AF7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75" w:type="dxa"/>
            <w:vAlign w:val="center"/>
          </w:tcPr>
          <w:p w14:paraId="20B89A3A">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2904" w:type="dxa"/>
            <w:vAlign w:val="center"/>
          </w:tcPr>
          <w:p w14:paraId="16BF8EB5">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社会角色与社会互动</w:t>
            </w:r>
          </w:p>
        </w:tc>
        <w:tc>
          <w:tcPr>
            <w:tcW w:w="2012" w:type="dxa"/>
            <w:vAlign w:val="center"/>
          </w:tcPr>
          <w:p w14:paraId="3182A27A">
            <w:pPr>
              <w:spacing w:line="276" w:lineRule="auto"/>
              <w:jc w:val="center"/>
              <w:rPr>
                <w:rFonts w:hint="eastAsia" w:ascii="宋体" w:hAnsi="等线" w:eastAsia="宋体" w:cs="Times New Roman"/>
                <w:color w:val="000000"/>
                <w:szCs w:val="21"/>
              </w:rPr>
            </w:pPr>
            <w:r>
              <w:rPr>
                <w:rFonts w:hint="eastAsia" w:ascii="宋体" w:hAnsi="宋体" w:eastAsia="宋体" w:cs="Times New Roman"/>
                <w:kern w:val="0"/>
                <w:szCs w:val="21"/>
              </w:rPr>
              <w:t>目标</w:t>
            </w:r>
            <w:r>
              <w:rPr>
                <w:rFonts w:ascii="宋体" w:hAnsi="宋体" w:eastAsia="宋体" w:cs="Times New Roman"/>
                <w:kern w:val="0"/>
                <w:szCs w:val="21"/>
              </w:rPr>
              <w:t>3</w:t>
            </w:r>
          </w:p>
        </w:tc>
        <w:tc>
          <w:tcPr>
            <w:tcW w:w="2412" w:type="dxa"/>
            <w:vAlign w:val="center"/>
          </w:tcPr>
          <w:p w14:paraId="4B4B78CF">
            <w:pPr>
              <w:spacing w:line="276" w:lineRule="auto"/>
              <w:jc w:val="center"/>
              <w:rPr>
                <w:rFonts w:hint="eastAsia" w:ascii="宋体" w:hAnsi="等线" w:eastAsia="宋体" w:cs="Times New Roman"/>
                <w:szCs w:val="21"/>
              </w:rPr>
            </w:pPr>
            <w:r>
              <w:rPr>
                <w:rFonts w:ascii="宋体" w:hAnsi="宋体" w:eastAsia="宋体" w:cs="Times New Roman"/>
                <w:kern w:val="0"/>
                <w:szCs w:val="21"/>
              </w:rPr>
              <w:t>2-3</w:t>
            </w:r>
            <w:r>
              <w:rPr>
                <w:rFonts w:hint="eastAsia" w:ascii="宋体" w:hAnsi="宋体" w:eastAsia="宋体" w:cs="Times New Roman"/>
                <w:kern w:val="0"/>
                <w:szCs w:val="21"/>
              </w:rPr>
              <w:t>、</w:t>
            </w:r>
            <w:r>
              <w:rPr>
                <w:rFonts w:ascii="宋体" w:hAnsi="宋体" w:eastAsia="宋体" w:cs="Times New Roman"/>
                <w:kern w:val="0"/>
                <w:szCs w:val="21"/>
              </w:rPr>
              <w:t>3-3</w:t>
            </w:r>
          </w:p>
        </w:tc>
        <w:tc>
          <w:tcPr>
            <w:tcW w:w="717" w:type="dxa"/>
            <w:gridSpan w:val="2"/>
            <w:vAlign w:val="center"/>
          </w:tcPr>
          <w:p w14:paraId="482ACD3D">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69C5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75" w:type="dxa"/>
            <w:vAlign w:val="center"/>
          </w:tcPr>
          <w:p w14:paraId="153098FC">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2904" w:type="dxa"/>
            <w:vAlign w:val="center"/>
          </w:tcPr>
          <w:p w14:paraId="7166BF72">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社会群体与社会组织</w:t>
            </w:r>
          </w:p>
        </w:tc>
        <w:tc>
          <w:tcPr>
            <w:tcW w:w="2012" w:type="dxa"/>
            <w:vAlign w:val="center"/>
          </w:tcPr>
          <w:p w14:paraId="400A884F">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3</w:t>
            </w:r>
            <w:r>
              <w:rPr>
                <w:rFonts w:hint="eastAsia" w:ascii="宋体" w:hAnsi="宋体" w:eastAsia="宋体" w:cs="Times New Roman"/>
                <w:kern w:val="0"/>
                <w:szCs w:val="21"/>
              </w:rPr>
              <w:t>、</w:t>
            </w:r>
            <w:r>
              <w:rPr>
                <w:rFonts w:ascii="宋体" w:hAnsi="宋体" w:eastAsia="宋体" w:cs="Times New Roman"/>
                <w:kern w:val="0"/>
                <w:szCs w:val="21"/>
              </w:rPr>
              <w:t>4</w:t>
            </w:r>
          </w:p>
        </w:tc>
        <w:tc>
          <w:tcPr>
            <w:tcW w:w="2412" w:type="dxa"/>
            <w:vAlign w:val="center"/>
          </w:tcPr>
          <w:p w14:paraId="281F3144">
            <w:pPr>
              <w:spacing w:line="276" w:lineRule="auto"/>
              <w:jc w:val="center"/>
              <w:rPr>
                <w:rFonts w:hint="eastAsia" w:ascii="宋体" w:hAnsi="等线" w:eastAsia="宋体" w:cs="Times New Roman"/>
                <w:szCs w:val="21"/>
              </w:rPr>
            </w:pPr>
            <w:r>
              <w:rPr>
                <w:rFonts w:ascii="宋体" w:hAnsi="宋体" w:eastAsia="宋体" w:cs="Times New Roman"/>
                <w:kern w:val="0"/>
                <w:szCs w:val="21"/>
              </w:rPr>
              <w:t>3-3</w:t>
            </w:r>
            <w:r>
              <w:rPr>
                <w:rFonts w:hint="eastAsia" w:ascii="宋体" w:hAnsi="宋体" w:eastAsia="宋体" w:cs="Times New Roman"/>
                <w:kern w:val="0"/>
                <w:szCs w:val="21"/>
              </w:rPr>
              <w:t>、</w:t>
            </w:r>
            <w:r>
              <w:rPr>
                <w:rFonts w:ascii="宋体" w:hAnsi="宋体" w:eastAsia="宋体" w:cs="Times New Roman"/>
                <w:kern w:val="0"/>
                <w:szCs w:val="21"/>
              </w:rPr>
              <w:t>6-2</w:t>
            </w:r>
          </w:p>
        </w:tc>
        <w:tc>
          <w:tcPr>
            <w:tcW w:w="717" w:type="dxa"/>
            <w:gridSpan w:val="2"/>
            <w:vAlign w:val="center"/>
          </w:tcPr>
          <w:p w14:paraId="7711F59A">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119A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75" w:type="dxa"/>
            <w:vAlign w:val="center"/>
          </w:tcPr>
          <w:p w14:paraId="4280B31E">
            <w:pPr>
              <w:spacing w:line="276" w:lineRule="auto"/>
              <w:jc w:val="center"/>
              <w:rPr>
                <w:rFonts w:hint="eastAsia" w:ascii="宋体" w:hAnsi="宋体" w:eastAsia="宋体" w:cs="Times New Roman"/>
                <w:szCs w:val="21"/>
              </w:rPr>
            </w:pPr>
            <w:r>
              <w:rPr>
                <w:rFonts w:ascii="宋体" w:hAnsi="宋体" w:eastAsia="宋体" w:cs="Times New Roman"/>
                <w:szCs w:val="21"/>
              </w:rPr>
              <w:t>6</w:t>
            </w:r>
          </w:p>
        </w:tc>
        <w:tc>
          <w:tcPr>
            <w:tcW w:w="2904" w:type="dxa"/>
            <w:vAlign w:val="center"/>
          </w:tcPr>
          <w:p w14:paraId="25926A60">
            <w:pPr>
              <w:widowControl/>
              <w:snapToGrid w:val="0"/>
              <w:spacing w:line="276" w:lineRule="auto"/>
              <w:jc w:val="left"/>
              <w:rPr>
                <w:rFonts w:hint="eastAsia" w:ascii="宋体" w:hAnsi="等线" w:eastAsia="宋体" w:cs="宋体"/>
                <w:color w:val="000000"/>
                <w:kern w:val="0"/>
                <w:szCs w:val="21"/>
              </w:rPr>
            </w:pPr>
            <w:r>
              <w:rPr>
                <w:rFonts w:hint="eastAsia" w:ascii="宋体" w:hAnsi="宋体" w:eastAsia="宋体" w:cs="宋体"/>
                <w:color w:val="000000"/>
                <w:kern w:val="0"/>
                <w:szCs w:val="21"/>
              </w:rPr>
              <w:t>社会分层与社会流动</w:t>
            </w:r>
          </w:p>
        </w:tc>
        <w:tc>
          <w:tcPr>
            <w:tcW w:w="2012" w:type="dxa"/>
            <w:vAlign w:val="center"/>
          </w:tcPr>
          <w:p w14:paraId="31CBEE6F">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4</w:t>
            </w:r>
          </w:p>
        </w:tc>
        <w:tc>
          <w:tcPr>
            <w:tcW w:w="2412" w:type="dxa"/>
            <w:vAlign w:val="center"/>
          </w:tcPr>
          <w:p w14:paraId="44CCCCDA">
            <w:pPr>
              <w:spacing w:line="276" w:lineRule="auto"/>
              <w:jc w:val="center"/>
              <w:rPr>
                <w:rFonts w:hint="eastAsia" w:ascii="宋体" w:hAnsi="等线" w:eastAsia="宋体" w:cs="Times New Roman"/>
                <w:szCs w:val="21"/>
              </w:rPr>
            </w:pPr>
            <w:r>
              <w:rPr>
                <w:rFonts w:ascii="宋体" w:hAnsi="宋体" w:eastAsia="宋体" w:cs="Times New Roman"/>
                <w:kern w:val="0"/>
                <w:szCs w:val="21"/>
              </w:rPr>
              <w:t>3-3</w:t>
            </w:r>
            <w:r>
              <w:rPr>
                <w:rFonts w:hint="eastAsia" w:ascii="宋体" w:hAnsi="宋体" w:eastAsia="宋体" w:cs="Times New Roman"/>
                <w:kern w:val="0"/>
                <w:szCs w:val="21"/>
              </w:rPr>
              <w:t>、</w:t>
            </w:r>
            <w:r>
              <w:rPr>
                <w:rFonts w:ascii="宋体" w:hAnsi="宋体" w:eastAsia="宋体" w:cs="Times New Roman"/>
                <w:kern w:val="0"/>
                <w:szCs w:val="21"/>
              </w:rPr>
              <w:t>6-2</w:t>
            </w:r>
          </w:p>
        </w:tc>
        <w:tc>
          <w:tcPr>
            <w:tcW w:w="717" w:type="dxa"/>
            <w:gridSpan w:val="2"/>
            <w:vAlign w:val="center"/>
          </w:tcPr>
          <w:p w14:paraId="2B754813">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03F2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575" w:type="dxa"/>
            <w:vAlign w:val="center"/>
          </w:tcPr>
          <w:p w14:paraId="32199C27">
            <w:pPr>
              <w:spacing w:line="276" w:lineRule="auto"/>
              <w:jc w:val="center"/>
              <w:rPr>
                <w:rFonts w:hint="eastAsia" w:ascii="宋体" w:hAnsi="宋体" w:eastAsia="宋体" w:cs="Times New Roman"/>
                <w:szCs w:val="21"/>
              </w:rPr>
            </w:pPr>
            <w:r>
              <w:rPr>
                <w:rFonts w:ascii="宋体" w:hAnsi="宋体" w:eastAsia="宋体" w:cs="Times New Roman"/>
                <w:szCs w:val="21"/>
              </w:rPr>
              <w:t>7</w:t>
            </w:r>
          </w:p>
        </w:tc>
        <w:tc>
          <w:tcPr>
            <w:tcW w:w="2904" w:type="dxa"/>
            <w:vAlign w:val="center"/>
          </w:tcPr>
          <w:p w14:paraId="32019F61">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社会变迁与教育社会现代化</w:t>
            </w:r>
          </w:p>
        </w:tc>
        <w:tc>
          <w:tcPr>
            <w:tcW w:w="2012" w:type="dxa"/>
            <w:vAlign w:val="center"/>
          </w:tcPr>
          <w:p w14:paraId="031969A1">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4</w:t>
            </w:r>
          </w:p>
        </w:tc>
        <w:tc>
          <w:tcPr>
            <w:tcW w:w="2412" w:type="dxa"/>
            <w:vAlign w:val="center"/>
          </w:tcPr>
          <w:p w14:paraId="5CDE0154">
            <w:pPr>
              <w:spacing w:line="276" w:lineRule="auto"/>
              <w:jc w:val="center"/>
              <w:rPr>
                <w:rFonts w:hint="eastAsia" w:ascii="宋体" w:hAnsi="等线" w:eastAsia="宋体" w:cs="Times New Roman"/>
                <w:szCs w:val="21"/>
              </w:rPr>
            </w:pPr>
            <w:r>
              <w:rPr>
                <w:rFonts w:ascii="宋体" w:hAnsi="宋体" w:eastAsia="宋体" w:cs="Times New Roman"/>
                <w:kern w:val="0"/>
                <w:szCs w:val="21"/>
              </w:rPr>
              <w:t>6-2</w:t>
            </w:r>
          </w:p>
        </w:tc>
        <w:tc>
          <w:tcPr>
            <w:tcW w:w="717" w:type="dxa"/>
            <w:gridSpan w:val="2"/>
            <w:vAlign w:val="center"/>
          </w:tcPr>
          <w:p w14:paraId="55205170">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606F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75" w:type="dxa"/>
            <w:vAlign w:val="center"/>
          </w:tcPr>
          <w:p w14:paraId="6025E964">
            <w:pPr>
              <w:spacing w:line="276" w:lineRule="auto"/>
              <w:jc w:val="center"/>
              <w:rPr>
                <w:rFonts w:hint="eastAsia" w:ascii="宋体" w:hAnsi="宋体" w:eastAsia="宋体" w:cs="Times New Roman"/>
                <w:szCs w:val="21"/>
              </w:rPr>
            </w:pPr>
            <w:r>
              <w:rPr>
                <w:rFonts w:ascii="宋体" w:hAnsi="宋体" w:eastAsia="宋体" w:cs="Times New Roman"/>
                <w:szCs w:val="21"/>
              </w:rPr>
              <w:t>8</w:t>
            </w:r>
          </w:p>
        </w:tc>
        <w:tc>
          <w:tcPr>
            <w:tcW w:w="2904" w:type="dxa"/>
            <w:vAlign w:val="center"/>
          </w:tcPr>
          <w:p w14:paraId="1AF86DF9">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教育社会问题与社会控制</w:t>
            </w:r>
          </w:p>
        </w:tc>
        <w:tc>
          <w:tcPr>
            <w:tcW w:w="2012" w:type="dxa"/>
            <w:vAlign w:val="center"/>
          </w:tcPr>
          <w:p w14:paraId="4D253B51">
            <w:pPr>
              <w:spacing w:line="276" w:lineRule="auto"/>
              <w:jc w:val="center"/>
              <w:rPr>
                <w:rFonts w:hint="eastAsia" w:ascii="宋体" w:hAnsi="等线" w:eastAsia="宋体" w:cs="Times New Roman"/>
                <w:szCs w:val="21"/>
              </w:rPr>
            </w:pPr>
            <w:r>
              <w:rPr>
                <w:rFonts w:hint="eastAsia" w:ascii="宋体" w:hAnsi="宋体" w:eastAsia="宋体" w:cs="Times New Roman"/>
                <w:kern w:val="0"/>
                <w:szCs w:val="21"/>
              </w:rPr>
              <w:t>目标</w:t>
            </w:r>
            <w:r>
              <w:rPr>
                <w:rFonts w:ascii="宋体" w:hAnsi="宋体" w:eastAsia="宋体" w:cs="Times New Roman"/>
                <w:kern w:val="0"/>
                <w:szCs w:val="21"/>
              </w:rPr>
              <w:t>5</w:t>
            </w:r>
          </w:p>
        </w:tc>
        <w:tc>
          <w:tcPr>
            <w:tcW w:w="2412" w:type="dxa"/>
            <w:vAlign w:val="center"/>
          </w:tcPr>
          <w:p w14:paraId="0A716B6C">
            <w:pPr>
              <w:spacing w:line="276" w:lineRule="auto"/>
              <w:jc w:val="center"/>
              <w:rPr>
                <w:rFonts w:hint="eastAsia" w:ascii="宋体" w:hAnsi="等线" w:eastAsia="宋体" w:cs="Times New Roman"/>
                <w:szCs w:val="21"/>
              </w:rPr>
            </w:pPr>
            <w:r>
              <w:rPr>
                <w:rFonts w:ascii="宋体" w:hAnsi="宋体" w:eastAsia="宋体" w:cs="Times New Roman"/>
                <w:kern w:val="0"/>
                <w:szCs w:val="21"/>
              </w:rPr>
              <w:t>6-2</w:t>
            </w:r>
          </w:p>
        </w:tc>
        <w:tc>
          <w:tcPr>
            <w:tcW w:w="717" w:type="dxa"/>
            <w:gridSpan w:val="2"/>
            <w:vAlign w:val="center"/>
          </w:tcPr>
          <w:p w14:paraId="161D79F3">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4</w:t>
            </w:r>
          </w:p>
        </w:tc>
      </w:tr>
      <w:tr w14:paraId="603A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75" w:type="dxa"/>
            <w:vAlign w:val="center"/>
          </w:tcPr>
          <w:p w14:paraId="63E098C4">
            <w:pPr>
              <w:spacing w:line="276" w:lineRule="auto"/>
              <w:jc w:val="center"/>
              <w:rPr>
                <w:rFonts w:hint="eastAsia" w:ascii="宋体" w:hAnsi="等线" w:eastAsia="宋体" w:cs="Times New Roman"/>
                <w:szCs w:val="21"/>
              </w:rPr>
            </w:pPr>
            <w:r>
              <w:rPr>
                <w:rFonts w:ascii="宋体" w:hAnsi="宋体" w:eastAsia="宋体" w:cs="Times New Roman"/>
                <w:szCs w:val="21"/>
              </w:rPr>
              <w:t>9</w:t>
            </w:r>
          </w:p>
        </w:tc>
        <w:tc>
          <w:tcPr>
            <w:tcW w:w="2904" w:type="dxa"/>
            <w:vAlign w:val="center"/>
          </w:tcPr>
          <w:p w14:paraId="2C5D15C3">
            <w:pPr>
              <w:spacing w:line="276" w:lineRule="auto"/>
              <w:jc w:val="left"/>
              <w:rPr>
                <w:rFonts w:hint="eastAsia" w:ascii="宋体" w:hAnsi="等线" w:eastAsia="宋体" w:cs="Times New Roman"/>
                <w:color w:val="000000"/>
                <w:szCs w:val="21"/>
              </w:rPr>
            </w:pPr>
            <w:r>
              <w:rPr>
                <w:rFonts w:hint="eastAsia" w:ascii="宋体" w:hAnsi="宋体" w:eastAsia="宋体" w:cs="Times New Roman"/>
                <w:color w:val="000000"/>
                <w:szCs w:val="21"/>
              </w:rPr>
              <w:t>社会学研究</w:t>
            </w:r>
          </w:p>
        </w:tc>
        <w:tc>
          <w:tcPr>
            <w:tcW w:w="2012" w:type="dxa"/>
            <w:vAlign w:val="center"/>
          </w:tcPr>
          <w:p w14:paraId="53C9CA81">
            <w:pPr>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目标</w:t>
            </w:r>
            <w:r>
              <w:rPr>
                <w:rFonts w:ascii="宋体" w:hAnsi="宋体" w:eastAsia="宋体" w:cs="Times New Roman"/>
                <w:kern w:val="0"/>
                <w:szCs w:val="21"/>
              </w:rPr>
              <w:t>6</w:t>
            </w:r>
          </w:p>
        </w:tc>
        <w:tc>
          <w:tcPr>
            <w:tcW w:w="2412" w:type="dxa"/>
            <w:vAlign w:val="center"/>
          </w:tcPr>
          <w:p w14:paraId="288BFA69">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7-2</w:t>
            </w:r>
            <w:r>
              <w:rPr>
                <w:rFonts w:hint="eastAsia" w:ascii="宋体" w:hAnsi="宋体" w:eastAsia="宋体" w:cs="Times New Roman"/>
                <w:kern w:val="0"/>
                <w:szCs w:val="21"/>
              </w:rPr>
              <w:t>、</w:t>
            </w:r>
            <w:r>
              <w:rPr>
                <w:rFonts w:ascii="宋体" w:hAnsi="宋体" w:eastAsia="宋体" w:cs="Times New Roman"/>
                <w:kern w:val="0"/>
                <w:szCs w:val="21"/>
              </w:rPr>
              <w:t>7-3</w:t>
            </w:r>
          </w:p>
        </w:tc>
        <w:tc>
          <w:tcPr>
            <w:tcW w:w="717" w:type="dxa"/>
            <w:gridSpan w:val="2"/>
            <w:vAlign w:val="center"/>
          </w:tcPr>
          <w:p w14:paraId="714DDBCE">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p>
        </w:tc>
      </w:tr>
      <w:tr w14:paraId="2D15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2" w:type="dxa"/>
            <w:gridSpan w:val="5"/>
            <w:vAlign w:val="center"/>
          </w:tcPr>
          <w:p w14:paraId="31959C7E">
            <w:pPr>
              <w:spacing w:line="276" w:lineRule="auto"/>
              <w:jc w:val="center"/>
              <w:rPr>
                <w:rFonts w:hint="eastAsia" w:ascii="宋体" w:hAnsi="等线" w:eastAsia="宋体" w:cs="Times New Roman"/>
                <w:szCs w:val="21"/>
              </w:rPr>
            </w:pPr>
            <w:r>
              <w:rPr>
                <w:rFonts w:hint="eastAsia" w:ascii="宋体" w:hAnsi="宋体" w:eastAsia="宋体" w:cs="Times New Roman"/>
                <w:szCs w:val="21"/>
              </w:rPr>
              <w:t>合计</w:t>
            </w:r>
          </w:p>
        </w:tc>
        <w:tc>
          <w:tcPr>
            <w:tcW w:w="710" w:type="dxa"/>
            <w:vAlign w:val="center"/>
          </w:tcPr>
          <w:p w14:paraId="7A817B3D">
            <w:pPr>
              <w:spacing w:line="276" w:lineRule="auto"/>
              <w:jc w:val="center"/>
              <w:rPr>
                <w:rFonts w:hint="eastAsia" w:ascii="宋体" w:hAnsi="等线" w:eastAsia="宋体" w:cs="Times New Roman"/>
                <w:kern w:val="0"/>
                <w:szCs w:val="21"/>
              </w:rPr>
            </w:pPr>
            <w:r>
              <w:rPr>
                <w:rFonts w:ascii="宋体" w:hAnsi="宋体" w:eastAsia="宋体" w:cs="Times New Roman"/>
                <w:kern w:val="0"/>
                <w:szCs w:val="21"/>
              </w:rPr>
              <w:t>32</w:t>
            </w:r>
          </w:p>
        </w:tc>
      </w:tr>
    </w:tbl>
    <w:p w14:paraId="5C38519E">
      <w:pPr>
        <w:adjustRightInd w:val="0"/>
        <w:snapToGrid w:val="0"/>
        <w:spacing w:line="360" w:lineRule="auto"/>
        <w:ind w:firstLine="480" w:firstLineChars="200"/>
        <w:rPr>
          <w:rFonts w:hint="eastAsia" w:ascii="宋体" w:hAnsi="等线" w:eastAsia="宋体" w:cs="Times New Roman"/>
          <w:color w:val="000000"/>
          <w:sz w:val="24"/>
        </w:rPr>
      </w:pPr>
    </w:p>
    <w:p w14:paraId="3E41485B">
      <w:pPr>
        <w:adjustRightInd w:val="0"/>
        <w:snapToGrid w:val="0"/>
        <w:spacing w:line="360" w:lineRule="auto"/>
        <w:ind w:firstLine="562" w:firstLineChars="200"/>
        <w:rPr>
          <w:rFonts w:hint="eastAsia" w:ascii="宋体" w:hAnsi="等线" w:eastAsia="宋体" w:cs="Times New Roman"/>
          <w:b/>
          <w:color w:val="000000"/>
          <w:sz w:val="28"/>
          <w:szCs w:val="28"/>
        </w:rPr>
      </w:pPr>
      <w:r>
        <w:rPr>
          <w:rFonts w:hint="eastAsia" w:ascii="宋体" w:hAnsi="宋体" w:eastAsia="宋体" w:cs="Times New Roman"/>
          <w:b/>
          <w:color w:val="000000"/>
          <w:sz w:val="28"/>
          <w:szCs w:val="28"/>
        </w:rPr>
        <w:t>四、课程实施</w:t>
      </w:r>
    </w:p>
    <w:p w14:paraId="44EB2493">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（一）课程在展开之前，要借助教育社会学视频、教育社会学入门著作等奠定学生对教育社会学的印象，建立学生对教育社会学学科的初步认识。</w:t>
      </w:r>
    </w:p>
    <w:p w14:paraId="43253329">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（二）课程在教学中要充分搜集好的教育社会案例、社会视频，引导学生使用所学教育社会学理论审视问题、分析问题，建立对教育社会生活问题不断深入的分析和思考。</w:t>
      </w:r>
    </w:p>
    <w:p w14:paraId="46278F65">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（三）教师要积极采用平时考勤、课堂讨论、期末考试等多种形式相结合的考核方法，引导学生按时、保质保量地完成本课程学习任务。</w:t>
      </w:r>
    </w:p>
    <w:p w14:paraId="38A7815F">
      <w:pPr>
        <w:spacing w:line="360" w:lineRule="auto"/>
        <w:ind w:firstLine="482" w:firstLineChars="200"/>
        <w:rPr>
          <w:rFonts w:ascii="Calibri" w:hAnsi="Calibri" w:eastAsia="宋体" w:cs="Times New Roman"/>
          <w:b/>
          <w:bCs/>
          <w:sz w:val="24"/>
          <w:szCs w:val="24"/>
        </w:rPr>
      </w:pPr>
    </w:p>
    <w:p w14:paraId="04ADCA37">
      <w:pPr>
        <w:spacing w:line="360" w:lineRule="auto"/>
        <w:ind w:firstLine="482" w:firstLineChars="200"/>
        <w:rPr>
          <w:rFonts w:ascii="Calibri" w:hAnsi="Calibri" w:eastAsia="宋体" w:cs="Times New Roman"/>
          <w:b/>
          <w:bCs/>
          <w:sz w:val="24"/>
          <w:szCs w:val="24"/>
        </w:rPr>
      </w:pPr>
    </w:p>
    <w:p w14:paraId="1C55152C">
      <w:pPr>
        <w:spacing w:line="360" w:lineRule="auto"/>
        <w:ind w:firstLine="482" w:firstLineChars="200"/>
        <w:rPr>
          <w:rFonts w:ascii="Calibri" w:hAnsi="Calibri" w:eastAsia="宋体" w:cs="Times New Roman"/>
          <w:b/>
          <w:bCs/>
          <w:sz w:val="24"/>
          <w:szCs w:val="24"/>
        </w:rPr>
      </w:pPr>
    </w:p>
    <w:p w14:paraId="0A6B9983">
      <w:pPr>
        <w:spacing w:line="360" w:lineRule="auto"/>
        <w:ind w:firstLine="482" w:firstLineChars="200"/>
        <w:rPr>
          <w:rFonts w:ascii="Calibri" w:hAnsi="Calibri" w:eastAsia="宋体" w:cs="Times New Roman"/>
          <w:b/>
          <w:bCs/>
          <w:sz w:val="24"/>
          <w:szCs w:val="24"/>
        </w:rPr>
      </w:pPr>
    </w:p>
    <w:p w14:paraId="1DCBE8AB">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bCs/>
          <w:sz w:val="24"/>
          <w:szCs w:val="24"/>
        </w:rPr>
        <w:t>主要教学环节的质量要求如表所示：</w:t>
      </w:r>
    </w:p>
    <w:tbl>
      <w:tblPr>
        <w:tblStyle w:val="30"/>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4631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1DA9EA28">
            <w:pPr>
              <w:adjustRightInd w:val="0"/>
              <w:snapToGrid w:val="0"/>
              <w:spacing w:line="276" w:lineRule="auto"/>
              <w:jc w:val="center"/>
              <w:rPr>
                <w:rFonts w:hint="eastAsia" w:ascii="宋体" w:hAnsi="等线" w:eastAsia="宋体" w:cs="Times New Roman"/>
                <w:b/>
                <w:color w:val="000000"/>
                <w:szCs w:val="21"/>
              </w:rPr>
            </w:pPr>
            <w:r>
              <w:rPr>
                <w:rFonts w:hint="eastAsia"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79F1718E">
            <w:pPr>
              <w:adjustRightInd w:val="0"/>
              <w:snapToGrid w:val="0"/>
              <w:spacing w:line="276" w:lineRule="auto"/>
              <w:jc w:val="center"/>
              <w:rPr>
                <w:rFonts w:hint="eastAsia" w:ascii="宋体" w:hAnsi="等线" w:eastAsia="宋体" w:cs="Times New Roman"/>
                <w:b/>
                <w:color w:val="000000"/>
                <w:szCs w:val="21"/>
              </w:rPr>
            </w:pPr>
            <w:r>
              <w:rPr>
                <w:rFonts w:hint="eastAsia" w:ascii="宋体" w:hAnsi="宋体" w:eastAsia="宋体" w:cs="Times New Roman"/>
                <w:b/>
                <w:bCs/>
                <w:color w:val="000000"/>
                <w:szCs w:val="21"/>
              </w:rPr>
              <w:t>质量要求</w:t>
            </w:r>
          </w:p>
        </w:tc>
      </w:tr>
      <w:tr w14:paraId="369A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582" w:type="dxa"/>
            <w:tcBorders>
              <w:left w:val="single" w:color="auto" w:sz="8" w:space="0"/>
            </w:tcBorders>
            <w:vAlign w:val="center"/>
          </w:tcPr>
          <w:p w14:paraId="188EB348">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399679B0">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备课</w:t>
            </w:r>
          </w:p>
        </w:tc>
        <w:tc>
          <w:tcPr>
            <w:tcW w:w="7525" w:type="dxa"/>
            <w:tcBorders>
              <w:right w:val="single" w:color="auto" w:sz="8" w:space="0"/>
            </w:tcBorders>
            <w:vAlign w:val="center"/>
          </w:tcPr>
          <w:p w14:paraId="1EB91ED5">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）掌握课程教学大纲内容，严格按照教学大纲要求进行课程教学内容的组织。</w:t>
            </w:r>
          </w:p>
          <w:p w14:paraId="4C7DDC33">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4D38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582" w:type="dxa"/>
            <w:tcBorders>
              <w:left w:val="single" w:color="auto" w:sz="8" w:space="0"/>
            </w:tcBorders>
            <w:vAlign w:val="center"/>
          </w:tcPr>
          <w:p w14:paraId="613A77FF">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035EE66D">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讲授</w:t>
            </w:r>
          </w:p>
        </w:tc>
        <w:tc>
          <w:tcPr>
            <w:tcW w:w="7525" w:type="dxa"/>
            <w:tcBorders>
              <w:right w:val="single" w:color="auto" w:sz="8" w:space="0"/>
            </w:tcBorders>
            <w:vAlign w:val="center"/>
          </w:tcPr>
          <w:p w14:paraId="62905CD6">
            <w:pPr>
              <w:adjustRightInd w:val="0"/>
              <w:snapToGrid w:val="0"/>
              <w:spacing w:line="276" w:lineRule="auto"/>
              <w:rPr>
                <w:rFonts w:hint="eastAsia" w:ascii="宋体" w:hAnsi="等线" w:eastAsia="宋体" w:cs="Times New Roman"/>
                <w:color w:val="000000"/>
                <w:szCs w:val="24"/>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hint="eastAsia" w:ascii="宋体" w:hAnsi="宋体" w:eastAsia="宋体" w:cs="Times New Roman"/>
                <w:color w:val="000000"/>
                <w:szCs w:val="24"/>
              </w:rPr>
              <w:t>教师仪表端庄，情绪情感要饱满；</w:t>
            </w:r>
          </w:p>
          <w:p w14:paraId="59EF1C03">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w:t>
            </w:r>
            <w:r>
              <w:rPr>
                <w:rFonts w:hint="eastAsia" w:ascii="宋体" w:hAnsi="宋体" w:eastAsia="宋体" w:cs="Times New Roman"/>
                <w:color w:val="000000"/>
                <w:szCs w:val="24"/>
              </w:rPr>
              <w:t>教学准备充分，熟悉教学内容；</w:t>
            </w:r>
          </w:p>
          <w:p w14:paraId="7F1D21B3">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hint="eastAsia" w:ascii="宋体" w:hAnsi="宋体" w:eastAsia="宋体" w:cs="Times New Roman"/>
                <w:color w:val="000000"/>
                <w:szCs w:val="24"/>
              </w:rPr>
              <w:t>教学内容充实，不断充实最新研究成果；</w:t>
            </w:r>
          </w:p>
          <w:p w14:paraId="03D23FE1">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hint="eastAsia" w:ascii="宋体" w:hAnsi="宋体" w:eastAsia="宋体" w:cs="Times New Roman"/>
                <w:color w:val="000000"/>
                <w:szCs w:val="24"/>
              </w:rPr>
              <w:t>严格执行计划，教学进度适宜；</w:t>
            </w:r>
          </w:p>
          <w:p w14:paraId="4DE208D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课堂教学信息充分，注重理论联系实际；</w:t>
            </w:r>
          </w:p>
          <w:p w14:paraId="0FB285A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6</w:t>
            </w:r>
            <w:r>
              <w:rPr>
                <w:rFonts w:hint="eastAsia" w:ascii="宋体" w:hAnsi="宋体" w:eastAsia="宋体" w:cs="Times New Roman"/>
                <w:color w:val="000000"/>
                <w:szCs w:val="21"/>
              </w:rPr>
              <w:t>）</w:t>
            </w:r>
            <w:r>
              <w:rPr>
                <w:rFonts w:hint="eastAsia" w:ascii="宋体" w:hAnsi="宋体" w:eastAsia="宋体" w:cs="Times New Roman"/>
                <w:color w:val="000000"/>
                <w:szCs w:val="24"/>
              </w:rPr>
              <w:t>注重启发学生思维，培养学生的教学能力；</w:t>
            </w:r>
          </w:p>
          <w:p w14:paraId="47F54764">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7</w:t>
            </w:r>
            <w:r>
              <w:rPr>
                <w:rFonts w:hint="eastAsia" w:ascii="宋体" w:hAnsi="宋体" w:eastAsia="宋体" w:cs="Times New Roman"/>
                <w:color w:val="000000"/>
                <w:szCs w:val="21"/>
              </w:rPr>
              <w:t>）</w:t>
            </w:r>
            <w:r>
              <w:rPr>
                <w:rFonts w:hint="eastAsia" w:ascii="宋体" w:hAnsi="宋体" w:eastAsia="宋体" w:cs="Times New Roman"/>
                <w:color w:val="000000"/>
                <w:szCs w:val="24"/>
              </w:rPr>
              <w:t>面向全体基础上因材施教，灵活运用多种教学方法；</w:t>
            </w:r>
          </w:p>
          <w:p w14:paraId="6F999A1E">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8</w:t>
            </w:r>
            <w:r>
              <w:rPr>
                <w:rFonts w:hint="eastAsia" w:ascii="宋体" w:hAnsi="宋体" w:eastAsia="宋体" w:cs="Times New Roman"/>
                <w:color w:val="000000"/>
                <w:szCs w:val="21"/>
              </w:rPr>
              <w:t>）</w:t>
            </w:r>
            <w:r>
              <w:rPr>
                <w:rFonts w:hint="eastAsia" w:ascii="宋体" w:hAnsi="宋体" w:eastAsia="宋体" w:cs="Times New Roman"/>
                <w:color w:val="000000"/>
                <w:szCs w:val="24"/>
              </w:rPr>
              <w:t>教学语言规范，为学生教育教学做好表率；</w:t>
            </w:r>
          </w:p>
          <w:p w14:paraId="7F82D9D9">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color w:val="000000"/>
                <w:szCs w:val="24"/>
              </w:rPr>
              <w:t>教学条理清楚，教学思路逻辑严密；</w:t>
            </w:r>
          </w:p>
          <w:p w14:paraId="5E5764D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color w:val="000000"/>
                <w:szCs w:val="24"/>
              </w:rPr>
              <w:t>充分运用现代化教学手段，教学技术熟练；</w:t>
            </w:r>
          </w:p>
          <w:p w14:paraId="1EA60AF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11</w:t>
            </w:r>
            <w:r>
              <w:rPr>
                <w:rFonts w:hint="eastAsia" w:ascii="宋体" w:hAnsi="宋体" w:eastAsia="宋体" w:cs="Times New Roman"/>
                <w:color w:val="000000"/>
                <w:szCs w:val="21"/>
              </w:rPr>
              <w:t>）</w:t>
            </w:r>
            <w:r>
              <w:rPr>
                <w:rFonts w:hint="eastAsia" w:ascii="宋体" w:hAnsi="宋体" w:eastAsia="宋体" w:cs="Times New Roman"/>
                <w:color w:val="000000"/>
                <w:szCs w:val="24"/>
              </w:rPr>
              <w:t>课堂教学要重点突出，难点突破；</w:t>
            </w:r>
          </w:p>
          <w:p w14:paraId="29D9814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12</w:t>
            </w:r>
            <w:r>
              <w:rPr>
                <w:rFonts w:hint="eastAsia" w:ascii="宋体" w:hAnsi="宋体" w:eastAsia="宋体" w:cs="Times New Roman"/>
                <w:color w:val="000000"/>
                <w:szCs w:val="21"/>
              </w:rPr>
              <w:t>）</w:t>
            </w:r>
            <w:r>
              <w:rPr>
                <w:rFonts w:hint="eastAsia" w:ascii="宋体" w:hAnsi="宋体" w:eastAsia="宋体" w:cs="Times New Roman"/>
                <w:color w:val="000000"/>
                <w:szCs w:val="24"/>
              </w:rPr>
              <w:t>注重师生互动，形成良好的课堂氛围。</w:t>
            </w:r>
          </w:p>
        </w:tc>
      </w:tr>
      <w:tr w14:paraId="63CD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trPr>
        <w:tc>
          <w:tcPr>
            <w:tcW w:w="582" w:type="dxa"/>
            <w:tcBorders>
              <w:left w:val="single" w:color="auto" w:sz="8" w:space="0"/>
            </w:tcBorders>
            <w:vAlign w:val="center"/>
          </w:tcPr>
          <w:p w14:paraId="752BCC46">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3EA43D58">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作业布置与批改</w:t>
            </w:r>
          </w:p>
        </w:tc>
        <w:tc>
          <w:tcPr>
            <w:tcW w:w="7525" w:type="dxa"/>
            <w:tcBorders>
              <w:right w:val="single" w:color="auto" w:sz="8" w:space="0"/>
            </w:tcBorders>
            <w:vAlign w:val="center"/>
          </w:tcPr>
          <w:p w14:paraId="31FDA428">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4B13DD7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）按时按量完成作业，不缺交，不抄袭。</w:t>
            </w:r>
          </w:p>
          <w:p w14:paraId="7D9C39CC">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）书写规范、教学设计方案格式规范、清晰。</w:t>
            </w:r>
          </w:p>
          <w:p w14:paraId="1ABE7813">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）教学设计理念先进，教学目标适宜，教学方法灵活，教学组织形式多样、教学过程紧凑，教学准备充分。</w:t>
            </w:r>
          </w:p>
          <w:p w14:paraId="7099C051">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教师批改和讲评作业要求如下：</w:t>
            </w:r>
          </w:p>
          <w:p w14:paraId="5F8B0E1A">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）学生的作业要按时全部批改，并及时进行讲评。</w:t>
            </w:r>
          </w:p>
          <w:p w14:paraId="2575C936">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）教师批改和讲评作业要认真、细致，按百分制评定成绩并写明日期。</w:t>
            </w:r>
          </w:p>
          <w:p w14:paraId="556831B2">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w:t>
            </w:r>
            <w:r>
              <w:rPr>
                <w:rFonts w:hint="eastAsia" w:ascii="宋体" w:hAnsi="宋体" w:eastAsia="宋体" w:cs="Times New Roman"/>
                <w:color w:val="000000"/>
                <w:szCs w:val="21"/>
              </w:rPr>
              <w:t>）学生作业平均成绩应作为本课程总评成绩中平时成绩的重要组成部分。</w:t>
            </w:r>
          </w:p>
        </w:tc>
      </w:tr>
      <w:tr w14:paraId="3384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582" w:type="dxa"/>
            <w:tcBorders>
              <w:left w:val="single" w:color="auto" w:sz="8" w:space="0"/>
            </w:tcBorders>
            <w:vAlign w:val="center"/>
          </w:tcPr>
          <w:p w14:paraId="10593EF4">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0A9B79C2">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课外答疑</w:t>
            </w:r>
          </w:p>
        </w:tc>
        <w:tc>
          <w:tcPr>
            <w:tcW w:w="7525" w:type="dxa"/>
            <w:tcBorders>
              <w:right w:val="single" w:color="auto" w:sz="8" w:space="0"/>
            </w:tcBorders>
            <w:vAlign w:val="center"/>
          </w:tcPr>
          <w:p w14:paraId="1D04B8AA">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642A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82" w:type="dxa"/>
            <w:tcBorders>
              <w:left w:val="single" w:color="auto" w:sz="8" w:space="0"/>
            </w:tcBorders>
            <w:vAlign w:val="center"/>
          </w:tcPr>
          <w:p w14:paraId="49EF591F">
            <w:pPr>
              <w:adjustRightInd w:val="0"/>
              <w:snapToGrid w:val="0"/>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493C0F33">
            <w:pPr>
              <w:adjustRightInd w:val="0"/>
              <w:snapToGrid w:val="0"/>
              <w:spacing w:line="276" w:lineRule="auto"/>
              <w:jc w:val="center"/>
              <w:rPr>
                <w:rFonts w:hint="eastAsia" w:ascii="宋体" w:hAnsi="等线" w:eastAsia="宋体" w:cs="Times New Roman"/>
                <w:color w:val="000000"/>
                <w:szCs w:val="21"/>
              </w:rPr>
            </w:pPr>
            <w:r>
              <w:rPr>
                <w:rFonts w:hint="eastAsia" w:ascii="宋体" w:hAnsi="宋体" w:eastAsia="宋体" w:cs="Times New Roman"/>
                <w:color w:val="000000"/>
                <w:szCs w:val="21"/>
              </w:rPr>
              <w:t>成绩考核</w:t>
            </w:r>
          </w:p>
        </w:tc>
        <w:tc>
          <w:tcPr>
            <w:tcW w:w="7525" w:type="dxa"/>
            <w:tcBorders>
              <w:right w:val="single" w:color="auto" w:sz="8" w:space="0"/>
            </w:tcBorders>
            <w:vAlign w:val="center"/>
          </w:tcPr>
          <w:p w14:paraId="59DF12BD">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7857BD9D">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）缺交作业次数达</w:t>
            </w:r>
            <w:r>
              <w:rPr>
                <w:rFonts w:ascii="宋体" w:hAnsi="宋体" w:eastAsia="宋体" w:cs="Times New Roman"/>
                <w:color w:val="000000"/>
                <w:szCs w:val="21"/>
              </w:rPr>
              <w:t>1/3</w:t>
            </w:r>
            <w:r>
              <w:rPr>
                <w:rFonts w:hint="eastAsia" w:ascii="宋体" w:hAnsi="宋体" w:eastAsia="宋体" w:cs="Times New Roman"/>
                <w:color w:val="000000"/>
                <w:szCs w:val="21"/>
              </w:rPr>
              <w:t>以上者。</w:t>
            </w:r>
          </w:p>
          <w:p w14:paraId="5D223710">
            <w:pPr>
              <w:adjustRightInd w:val="0"/>
              <w:snapToGrid w:val="0"/>
              <w:spacing w:line="276" w:lineRule="auto"/>
              <w:rPr>
                <w:rFonts w:hint="eastAsia" w:ascii="宋体" w:hAnsi="等线"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）缺课次数达本学期总授课学时的</w:t>
            </w:r>
            <w:r>
              <w:rPr>
                <w:rFonts w:ascii="宋体" w:hAnsi="宋体" w:eastAsia="宋体" w:cs="Times New Roman"/>
                <w:color w:val="000000"/>
                <w:szCs w:val="21"/>
              </w:rPr>
              <w:t>1/3</w:t>
            </w:r>
            <w:r>
              <w:rPr>
                <w:rFonts w:hint="eastAsia" w:ascii="宋体" w:hAnsi="宋体" w:eastAsia="宋体" w:cs="Times New Roman"/>
                <w:color w:val="000000"/>
                <w:szCs w:val="21"/>
              </w:rPr>
              <w:t>以上者。</w:t>
            </w:r>
          </w:p>
        </w:tc>
      </w:tr>
    </w:tbl>
    <w:p w14:paraId="2895AA99">
      <w:pPr>
        <w:spacing w:line="360" w:lineRule="auto"/>
        <w:rPr>
          <w:rFonts w:hint="eastAsia" w:ascii="宋体" w:hAnsi="等线" w:eastAsia="宋体" w:cs="宋体"/>
          <w:bCs/>
          <w:szCs w:val="21"/>
        </w:rPr>
      </w:pPr>
    </w:p>
    <w:p w14:paraId="27C2D490">
      <w:pPr>
        <w:spacing w:line="360" w:lineRule="auto"/>
        <w:ind w:firstLine="562" w:firstLineChars="200"/>
        <w:rPr>
          <w:rFonts w:ascii="Calibri" w:hAnsi="Calibri" w:eastAsia="宋体" w:cs="Times New Roman"/>
          <w:b/>
          <w:sz w:val="28"/>
          <w:szCs w:val="28"/>
        </w:rPr>
      </w:pPr>
      <w:r>
        <w:rPr>
          <w:rFonts w:hint="eastAsia" w:ascii="Calibri" w:hAnsi="Calibri" w:eastAsia="宋体" w:cs="Times New Roman"/>
          <w:b/>
          <w:sz w:val="28"/>
          <w:szCs w:val="28"/>
        </w:rPr>
        <w:t>五、课程考核</w:t>
      </w:r>
    </w:p>
    <w:p w14:paraId="132FBB8F">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（一）课程考核包括期末考试、平时及作业考核，期末考试采用开卷笔试方式。</w:t>
      </w:r>
    </w:p>
    <w:p w14:paraId="0974C6A6">
      <w:pPr>
        <w:adjustRightInd w:val="0"/>
        <w:snapToGrid w:val="0"/>
        <w:spacing w:line="360" w:lineRule="auto"/>
        <w:ind w:firstLine="480" w:firstLineChars="200"/>
        <w:rPr>
          <w:rFonts w:hint="eastAsia" w:ascii="宋体" w:hAnsi="等线" w:eastAsia="宋体" w:cs="Times New Roman"/>
          <w:sz w:val="24"/>
          <w:szCs w:val="24"/>
        </w:rPr>
      </w:pPr>
      <w:r>
        <w:rPr>
          <w:rFonts w:hint="eastAsia" w:ascii="Calibri" w:hAnsi="Calibri" w:eastAsia="宋体" w:cs="Times New Roman"/>
          <w:sz w:val="24"/>
          <w:szCs w:val="24"/>
        </w:rPr>
        <w:t>（二）课程成绩</w:t>
      </w:r>
      <w:r>
        <w:rPr>
          <w:rFonts w:ascii="Calibri" w:hAnsi="Calibri" w:eastAsia="宋体" w:cs="Times New Roman"/>
          <w:sz w:val="24"/>
          <w:szCs w:val="24"/>
        </w:rPr>
        <w:t>=</w:t>
      </w:r>
      <w:r>
        <w:rPr>
          <w:rFonts w:hint="eastAsia" w:ascii="Calibri" w:hAnsi="Calibri" w:eastAsia="宋体" w:cs="Times New Roman"/>
          <w:sz w:val="24"/>
          <w:szCs w:val="24"/>
        </w:rPr>
        <w:t>平时成绩</w:t>
      </w:r>
      <w:r>
        <w:rPr>
          <w:rFonts w:hint="eastAsia" w:ascii="宋体" w:hAnsi="宋体" w:eastAsia="宋体" w:cs="Times New Roman"/>
          <w:sz w:val="24"/>
          <w:szCs w:val="24"/>
        </w:rPr>
        <w:t>×</w:t>
      </w:r>
      <w:r>
        <w:rPr>
          <w:rFonts w:ascii="宋体" w:hAnsi="宋体" w:eastAsia="宋体" w:cs="Times New Roman"/>
          <w:sz w:val="24"/>
          <w:szCs w:val="24"/>
        </w:rPr>
        <w:t>20%+</w:t>
      </w:r>
      <w:r>
        <w:rPr>
          <w:rFonts w:hint="eastAsia" w:ascii="宋体" w:hAnsi="宋体" w:eastAsia="宋体" w:cs="Times New Roman"/>
          <w:sz w:val="24"/>
          <w:szCs w:val="24"/>
        </w:rPr>
        <w:t>实践成绩×</w:t>
      </w:r>
      <w:r>
        <w:rPr>
          <w:rFonts w:ascii="宋体" w:hAnsi="宋体" w:eastAsia="宋体" w:cs="Times New Roman"/>
          <w:sz w:val="24"/>
          <w:szCs w:val="24"/>
        </w:rPr>
        <w:t>20%+</w:t>
      </w:r>
      <w:r>
        <w:rPr>
          <w:rFonts w:hint="eastAsia" w:ascii="宋体" w:hAnsi="宋体" w:eastAsia="宋体" w:cs="Times New Roman"/>
          <w:sz w:val="24"/>
          <w:szCs w:val="24"/>
        </w:rPr>
        <w:t>期末考试成绩×</w:t>
      </w:r>
      <w:r>
        <w:rPr>
          <w:rFonts w:ascii="宋体" w:hAnsi="宋体" w:eastAsia="宋体" w:cs="Times New Roman"/>
          <w:sz w:val="24"/>
          <w:szCs w:val="24"/>
        </w:rPr>
        <w:t>60%</w:t>
      </w:r>
      <w:r>
        <w:rPr>
          <w:rFonts w:hint="eastAsia" w:ascii="宋体" w:hAnsi="宋体" w:eastAsia="宋体" w:cs="Times New Roman"/>
          <w:sz w:val="24"/>
          <w:szCs w:val="24"/>
        </w:rPr>
        <w:t>。</w:t>
      </w:r>
    </w:p>
    <w:p w14:paraId="1E734789">
      <w:pPr>
        <w:adjustRightInd w:val="0"/>
        <w:snapToGrid w:val="0"/>
        <w:spacing w:line="360" w:lineRule="auto"/>
        <w:ind w:firstLine="482" w:firstLineChars="200"/>
        <w:rPr>
          <w:rFonts w:hint="eastAsia" w:ascii="宋体" w:hAnsi="等线"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30"/>
        <w:tblW w:w="936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2977"/>
        <w:gridCol w:w="1276"/>
        <w:gridCol w:w="1559"/>
        <w:gridCol w:w="1001"/>
      </w:tblGrid>
      <w:tr w14:paraId="0D7D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10" w:type="dxa"/>
            <w:shd w:val="clear" w:color="auto" w:fill="FFFFFF"/>
            <w:tcMar>
              <w:left w:w="57" w:type="dxa"/>
              <w:right w:w="57" w:type="dxa"/>
            </w:tcMar>
            <w:vAlign w:val="center"/>
          </w:tcPr>
          <w:p w14:paraId="205B8DBE">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成绩组成</w:t>
            </w:r>
          </w:p>
        </w:tc>
        <w:tc>
          <w:tcPr>
            <w:tcW w:w="1134" w:type="dxa"/>
            <w:shd w:val="clear" w:color="auto" w:fill="FFFFFF"/>
            <w:vAlign w:val="center"/>
          </w:tcPr>
          <w:p w14:paraId="2049B991">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评价环节</w:t>
            </w:r>
          </w:p>
        </w:tc>
        <w:tc>
          <w:tcPr>
            <w:tcW w:w="708" w:type="dxa"/>
            <w:shd w:val="clear" w:color="auto" w:fill="FFFFFF"/>
            <w:vAlign w:val="center"/>
          </w:tcPr>
          <w:p w14:paraId="54519C3C">
            <w:pPr>
              <w:adjustRightInd w:val="0"/>
              <w:snapToGrid w:val="0"/>
              <w:spacing w:line="276" w:lineRule="auto"/>
              <w:jc w:val="center"/>
              <w:rPr>
                <w:rFonts w:ascii="等线" w:hAnsi="等线" w:eastAsia="Times New Roman" w:cs="Times New Roman"/>
                <w:b/>
                <w:szCs w:val="24"/>
              </w:rPr>
            </w:pPr>
            <w:r>
              <w:rPr>
                <w:rFonts w:hint="eastAsia" w:ascii="宋体" w:hAnsi="宋体" w:eastAsia="宋体" w:cs="宋体"/>
                <w:b/>
                <w:szCs w:val="24"/>
              </w:rPr>
              <w:t>权重</w:t>
            </w:r>
          </w:p>
        </w:tc>
        <w:tc>
          <w:tcPr>
            <w:tcW w:w="2977" w:type="dxa"/>
            <w:shd w:val="clear" w:color="auto" w:fill="FFFFFF"/>
            <w:vAlign w:val="center"/>
          </w:tcPr>
          <w:p w14:paraId="7477E959">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考核</w:t>
            </w:r>
            <w:r>
              <w:rPr>
                <w:rFonts w:ascii="等线" w:hAnsi="等线" w:eastAsia="宋体" w:cs="Times New Roman"/>
                <w:b/>
                <w:szCs w:val="24"/>
              </w:rPr>
              <w:t>/</w:t>
            </w:r>
            <w:r>
              <w:rPr>
                <w:rFonts w:hint="eastAsia" w:ascii="等线" w:hAnsi="等线" w:eastAsia="宋体" w:cs="Times New Roman"/>
                <w:b/>
                <w:szCs w:val="24"/>
              </w:rPr>
              <w:t>评价细则</w:t>
            </w:r>
          </w:p>
        </w:tc>
        <w:tc>
          <w:tcPr>
            <w:tcW w:w="1276" w:type="dxa"/>
            <w:shd w:val="clear" w:color="auto" w:fill="FFFFFF"/>
            <w:vAlign w:val="center"/>
          </w:tcPr>
          <w:p w14:paraId="78DA9B3E">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课程目标</w:t>
            </w:r>
          </w:p>
        </w:tc>
        <w:tc>
          <w:tcPr>
            <w:tcW w:w="1559" w:type="dxa"/>
            <w:shd w:val="clear" w:color="auto" w:fill="FFFFFF"/>
            <w:vAlign w:val="center"/>
          </w:tcPr>
          <w:p w14:paraId="53E96FDA">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考核内容</w:t>
            </w:r>
          </w:p>
        </w:tc>
        <w:tc>
          <w:tcPr>
            <w:tcW w:w="1001" w:type="dxa"/>
            <w:shd w:val="clear" w:color="auto" w:fill="FFFFFF"/>
            <w:vAlign w:val="center"/>
          </w:tcPr>
          <w:p w14:paraId="3D1F0014">
            <w:pPr>
              <w:adjustRightInd w:val="0"/>
              <w:snapToGrid w:val="0"/>
              <w:spacing w:line="276" w:lineRule="auto"/>
              <w:jc w:val="center"/>
              <w:rPr>
                <w:rFonts w:hint="eastAsia" w:ascii="等线" w:hAnsi="等线" w:eastAsia="宋体" w:cs="Times New Roman"/>
                <w:b/>
                <w:szCs w:val="24"/>
              </w:rPr>
            </w:pPr>
            <w:r>
              <w:rPr>
                <w:rFonts w:hint="eastAsia" w:ascii="等线" w:hAnsi="等线" w:eastAsia="宋体" w:cs="Times New Roman"/>
                <w:b/>
                <w:szCs w:val="24"/>
              </w:rPr>
              <w:t>对应的毕业要求指标点</w:t>
            </w:r>
          </w:p>
        </w:tc>
      </w:tr>
      <w:tr w14:paraId="6DCB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710" w:type="dxa"/>
            <w:tcMar>
              <w:left w:w="57" w:type="dxa"/>
              <w:right w:w="57" w:type="dxa"/>
            </w:tcMar>
            <w:vAlign w:val="center"/>
          </w:tcPr>
          <w:p w14:paraId="59F14110">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平时成绩</w:t>
            </w:r>
          </w:p>
        </w:tc>
        <w:tc>
          <w:tcPr>
            <w:tcW w:w="1134" w:type="dxa"/>
            <w:vAlign w:val="center"/>
          </w:tcPr>
          <w:p w14:paraId="4B462D40">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课堂考勤、表现及平时作业</w:t>
            </w:r>
          </w:p>
        </w:tc>
        <w:tc>
          <w:tcPr>
            <w:tcW w:w="708" w:type="dxa"/>
            <w:vAlign w:val="center"/>
          </w:tcPr>
          <w:p w14:paraId="48AEDB4A">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40%</w:t>
            </w:r>
          </w:p>
        </w:tc>
        <w:tc>
          <w:tcPr>
            <w:tcW w:w="2977" w:type="dxa"/>
            <w:vAlign w:val="center"/>
          </w:tcPr>
          <w:p w14:paraId="4AC04A64">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课堂考勤：病假和事假一次扣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p w14:paraId="17030C0F">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次讨论，主要考核学生对知识的理解与思考情况。根据回答给出相应分数。</w:t>
            </w:r>
          </w:p>
          <w:p w14:paraId="76086DB9">
            <w:pPr>
              <w:adjustRightInd w:val="0"/>
              <w:snapToGrid w:val="0"/>
              <w:spacing w:line="276" w:lineRule="auto"/>
              <w:rPr>
                <w:rFonts w:hint="eastAsia" w:ascii="宋体" w:hAnsi="宋体" w:eastAsia="宋体" w:cs="Times New Roman"/>
                <w:szCs w:val="24"/>
              </w:rPr>
            </w:pPr>
            <w:r>
              <w:rPr>
                <w:rFonts w:hint="eastAsia" w:ascii="宋体" w:hAnsi="宋体" w:eastAsia="宋体" w:cs="Times New Roman"/>
                <w:szCs w:val="21"/>
              </w:rPr>
              <w:t>平时作业：</w:t>
            </w:r>
            <w:r>
              <w:rPr>
                <w:rFonts w:ascii="宋体" w:hAnsi="宋体" w:eastAsia="宋体" w:cs="Times New Roman"/>
                <w:szCs w:val="21"/>
              </w:rPr>
              <w:t>3</w:t>
            </w:r>
            <w:r>
              <w:rPr>
                <w:rFonts w:hint="eastAsia" w:ascii="宋体" w:hAnsi="宋体" w:eastAsia="宋体" w:cs="Times New Roman"/>
                <w:szCs w:val="21"/>
              </w:rPr>
              <w:t>次书面作业，主要考核学生运用社会学理论分析问题的能力。</w:t>
            </w:r>
          </w:p>
        </w:tc>
        <w:tc>
          <w:tcPr>
            <w:tcW w:w="1276" w:type="dxa"/>
            <w:vAlign w:val="center"/>
          </w:tcPr>
          <w:p w14:paraId="58507F50">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2A59DBBE">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56460D2A">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577B8379">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67048524">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559" w:type="dxa"/>
            <w:vAlign w:val="center"/>
          </w:tcPr>
          <w:p w14:paraId="08DD9CF4">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每章节的基本知识和理论的掌握及运用</w:t>
            </w:r>
          </w:p>
        </w:tc>
        <w:tc>
          <w:tcPr>
            <w:tcW w:w="1001" w:type="dxa"/>
            <w:vAlign w:val="center"/>
          </w:tcPr>
          <w:p w14:paraId="77A00B4E">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1-1</w:t>
            </w:r>
          </w:p>
          <w:p w14:paraId="7955F6DC">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782DBF94">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5-3</w:t>
            </w:r>
          </w:p>
          <w:p w14:paraId="13A654B8">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r w14:paraId="4CDF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trPr>
        <w:tc>
          <w:tcPr>
            <w:tcW w:w="710" w:type="dxa"/>
            <w:tcMar>
              <w:left w:w="57" w:type="dxa"/>
              <w:right w:w="57" w:type="dxa"/>
            </w:tcMar>
            <w:vAlign w:val="center"/>
          </w:tcPr>
          <w:p w14:paraId="70A25EF1">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期末考试</w:t>
            </w:r>
          </w:p>
        </w:tc>
        <w:tc>
          <w:tcPr>
            <w:tcW w:w="1134" w:type="dxa"/>
            <w:vAlign w:val="center"/>
          </w:tcPr>
          <w:p w14:paraId="6464E4BD">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期末考试</w:t>
            </w:r>
          </w:p>
          <w:p w14:paraId="7990149C">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卷面成绩</w:t>
            </w:r>
          </w:p>
        </w:tc>
        <w:tc>
          <w:tcPr>
            <w:tcW w:w="708" w:type="dxa"/>
            <w:vAlign w:val="center"/>
          </w:tcPr>
          <w:p w14:paraId="31B2F46B">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60%</w:t>
            </w:r>
          </w:p>
        </w:tc>
        <w:tc>
          <w:tcPr>
            <w:tcW w:w="2977" w:type="dxa"/>
            <w:vAlign w:val="center"/>
          </w:tcPr>
          <w:p w14:paraId="5EDE20EF">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试卷题型包括填空题、简答题、论述题，以卷面成绩的</w:t>
            </w:r>
            <w:r>
              <w:rPr>
                <w:rFonts w:ascii="宋体" w:hAnsi="宋体" w:eastAsia="宋体" w:cs="Times New Roman"/>
                <w:color w:val="000000"/>
                <w:szCs w:val="21"/>
              </w:rPr>
              <w:t>60%</w:t>
            </w:r>
            <w:r>
              <w:rPr>
                <w:rFonts w:hint="eastAsia" w:ascii="宋体" w:hAnsi="宋体" w:eastAsia="宋体" w:cs="Times New Roman"/>
                <w:color w:val="000000"/>
                <w:szCs w:val="21"/>
              </w:rPr>
              <w:t>计入课程总成绩。其中：</w:t>
            </w:r>
          </w:p>
          <w:p w14:paraId="7F56A3A4">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考核基本概念知识型题目占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19EDA151">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考核基本知识理解占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2BDE6263">
            <w:pPr>
              <w:adjustRightInd w:val="0"/>
              <w:snapToGri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考核综合运用能力占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276" w:type="dxa"/>
            <w:vAlign w:val="center"/>
          </w:tcPr>
          <w:p w14:paraId="4E4932F5">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1</w:t>
            </w:r>
          </w:p>
          <w:p w14:paraId="7A5D5968">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p w14:paraId="0B047B58">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3</w:t>
            </w:r>
            <w:r>
              <w:rPr>
                <w:rFonts w:hint="eastAsia" w:ascii="宋体" w:hAnsi="宋体" w:eastAsia="宋体" w:cs="Times New Roman"/>
                <w:szCs w:val="24"/>
              </w:rPr>
              <w:t>课程目标</w:t>
            </w:r>
            <w:r>
              <w:rPr>
                <w:rFonts w:ascii="宋体" w:hAnsi="宋体" w:eastAsia="宋体" w:cs="Times New Roman"/>
                <w:szCs w:val="24"/>
              </w:rPr>
              <w:t>4</w:t>
            </w:r>
          </w:p>
          <w:p w14:paraId="288050EA">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5</w:t>
            </w:r>
          </w:p>
          <w:p w14:paraId="6882B397">
            <w:pPr>
              <w:adjustRightInd w:val="0"/>
              <w:snapToGrid w:val="0"/>
              <w:spacing w:line="276" w:lineRule="auto"/>
              <w:jc w:val="center"/>
              <w:rPr>
                <w:rFonts w:hint="eastAsia" w:ascii="宋体" w:hAnsi="宋体" w:eastAsia="宋体" w:cs="Times New Roman"/>
                <w:b/>
                <w:szCs w:val="24"/>
              </w:rPr>
            </w:pPr>
            <w:r>
              <w:rPr>
                <w:rFonts w:hint="eastAsia" w:ascii="宋体" w:hAnsi="宋体" w:eastAsia="宋体" w:cs="Times New Roman"/>
                <w:szCs w:val="24"/>
              </w:rPr>
              <w:t>课程目标</w:t>
            </w:r>
            <w:r>
              <w:rPr>
                <w:rFonts w:ascii="宋体" w:hAnsi="宋体" w:eastAsia="宋体" w:cs="Times New Roman"/>
                <w:szCs w:val="24"/>
              </w:rPr>
              <w:t>6</w:t>
            </w:r>
          </w:p>
        </w:tc>
        <w:tc>
          <w:tcPr>
            <w:tcW w:w="1559" w:type="dxa"/>
            <w:vAlign w:val="center"/>
          </w:tcPr>
          <w:p w14:paraId="4582C8A8">
            <w:pPr>
              <w:adjustRightInd w:val="0"/>
              <w:snapToGrid w:val="0"/>
              <w:spacing w:line="276" w:lineRule="auto"/>
              <w:jc w:val="center"/>
              <w:rPr>
                <w:rFonts w:hint="eastAsia" w:ascii="宋体" w:hAnsi="宋体" w:eastAsia="宋体" w:cs="Times New Roman"/>
                <w:szCs w:val="24"/>
              </w:rPr>
            </w:pPr>
            <w:r>
              <w:rPr>
                <w:rFonts w:hint="eastAsia" w:ascii="宋体" w:hAnsi="宋体" w:eastAsia="宋体" w:cs="Times New Roman"/>
                <w:szCs w:val="24"/>
              </w:rPr>
              <w:t>社会学的基本知识、人的社会化、社会角色和社会控制、社会组织、社会舆论、社会现代化、社会分层与社会流动。</w:t>
            </w:r>
          </w:p>
        </w:tc>
        <w:tc>
          <w:tcPr>
            <w:tcW w:w="1001" w:type="dxa"/>
            <w:vAlign w:val="center"/>
          </w:tcPr>
          <w:p w14:paraId="623940BB">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1-1</w:t>
            </w:r>
          </w:p>
          <w:p w14:paraId="141CA04B">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5-1</w:t>
            </w:r>
            <w:r>
              <w:rPr>
                <w:rFonts w:hint="eastAsia" w:ascii="宋体" w:hAnsi="宋体" w:eastAsia="宋体" w:cs="Times New Roman"/>
                <w:szCs w:val="24"/>
              </w:rPr>
              <w:t>、</w:t>
            </w:r>
            <w:r>
              <w:rPr>
                <w:rFonts w:ascii="宋体" w:hAnsi="宋体" w:eastAsia="宋体" w:cs="Times New Roman"/>
                <w:szCs w:val="24"/>
              </w:rPr>
              <w:t>5-2</w:t>
            </w:r>
          </w:p>
          <w:p w14:paraId="35E44C01">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5-3</w:t>
            </w:r>
          </w:p>
          <w:p w14:paraId="0034CE66">
            <w:pPr>
              <w:adjustRightInd w:val="0"/>
              <w:snapToGrid w:val="0"/>
              <w:spacing w:line="276" w:lineRule="auto"/>
              <w:jc w:val="center"/>
              <w:rPr>
                <w:rFonts w:hint="eastAsia" w:ascii="宋体" w:hAnsi="宋体" w:eastAsia="宋体" w:cs="Times New Roman"/>
                <w:szCs w:val="24"/>
              </w:rPr>
            </w:pPr>
            <w:r>
              <w:rPr>
                <w:rFonts w:ascii="宋体" w:hAnsi="宋体" w:eastAsia="宋体" w:cs="Times New Roman"/>
                <w:szCs w:val="24"/>
              </w:rPr>
              <w:t>7-1</w:t>
            </w:r>
            <w:r>
              <w:rPr>
                <w:rFonts w:hint="eastAsia" w:ascii="宋体" w:hAnsi="宋体" w:eastAsia="宋体" w:cs="Times New Roman"/>
                <w:szCs w:val="24"/>
              </w:rPr>
              <w:t>、</w:t>
            </w:r>
            <w:r>
              <w:rPr>
                <w:rFonts w:ascii="宋体" w:hAnsi="宋体" w:eastAsia="宋体" w:cs="Times New Roman"/>
                <w:szCs w:val="24"/>
              </w:rPr>
              <w:t>7-3</w:t>
            </w:r>
          </w:p>
        </w:tc>
      </w:tr>
    </w:tbl>
    <w:p w14:paraId="3BF57C5E">
      <w:pPr>
        <w:adjustRightInd w:val="0"/>
        <w:snapToGrid w:val="0"/>
        <w:spacing w:line="360" w:lineRule="auto"/>
        <w:ind w:firstLine="480" w:firstLineChars="200"/>
        <w:rPr>
          <w:rFonts w:hint="eastAsia" w:ascii="宋体" w:hAnsi="等线" w:eastAsia="宋体" w:cs="Times New Roman"/>
          <w:color w:val="000000"/>
          <w:sz w:val="24"/>
        </w:rPr>
      </w:pPr>
    </w:p>
    <w:p w14:paraId="64719386">
      <w:pPr>
        <w:spacing w:line="360" w:lineRule="auto"/>
        <w:rPr>
          <w:rFonts w:ascii="Calibri" w:hAnsi="Calibri" w:eastAsia="宋体" w:cs="Times New Roman"/>
          <w:sz w:val="24"/>
          <w:szCs w:val="24"/>
        </w:rPr>
      </w:pPr>
      <w:r>
        <w:rPr>
          <w:rFonts w:hint="eastAsia" w:ascii="Calibri" w:hAnsi="Calibri" w:eastAsia="宋体" w:cs="Times New Roman"/>
          <w:sz w:val="24"/>
          <w:szCs w:val="24"/>
        </w:rPr>
        <w:t>（三）课程目标及考核方式权重分配表</w:t>
      </w:r>
    </w:p>
    <w:tbl>
      <w:tblPr>
        <w:tblStyle w:val="30"/>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346"/>
        <w:gridCol w:w="1902"/>
        <w:gridCol w:w="1426"/>
        <w:gridCol w:w="2065"/>
      </w:tblGrid>
      <w:tr w14:paraId="1973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326" w:type="dxa"/>
            <w:gridSpan w:val="2"/>
            <w:vAlign w:val="center"/>
          </w:tcPr>
          <w:p w14:paraId="38085372">
            <w:pPr>
              <w:adjustRightInd w:val="0"/>
              <w:snapToGrid w:val="0"/>
              <w:spacing w:line="276" w:lineRule="auto"/>
              <w:jc w:val="center"/>
              <w:rPr>
                <w:rFonts w:hint="eastAsia" w:ascii="宋体" w:hAnsi="等线" w:eastAsia="宋体" w:cs="Times New Roman"/>
                <w:b/>
                <w:kern w:val="0"/>
                <w:szCs w:val="21"/>
              </w:rPr>
            </w:pPr>
            <w:r>
              <w:rPr>
                <w:rFonts w:hint="eastAsia" w:ascii="宋体" w:hAnsi="宋体" w:eastAsia="宋体" w:cs="Times New Roman"/>
                <w:b/>
                <w:kern w:val="0"/>
                <w:szCs w:val="21"/>
              </w:rPr>
              <w:t>课程目标及权重</w:t>
            </w:r>
          </w:p>
        </w:tc>
        <w:tc>
          <w:tcPr>
            <w:tcW w:w="5393" w:type="dxa"/>
            <w:gridSpan w:val="3"/>
            <w:vAlign w:val="center"/>
          </w:tcPr>
          <w:p w14:paraId="417E4371">
            <w:pPr>
              <w:adjustRightInd w:val="0"/>
              <w:snapToGrid w:val="0"/>
              <w:spacing w:line="276" w:lineRule="auto"/>
              <w:jc w:val="center"/>
              <w:rPr>
                <w:rFonts w:hint="eastAsia" w:ascii="宋体" w:hAnsi="等线" w:eastAsia="宋体" w:cs="Times New Roman"/>
                <w:b/>
                <w:kern w:val="0"/>
                <w:szCs w:val="21"/>
              </w:rPr>
            </w:pPr>
            <w:r>
              <w:rPr>
                <w:rFonts w:hint="eastAsia" w:ascii="宋体" w:hAnsi="宋体" w:eastAsia="宋体" w:cs="Times New Roman"/>
                <w:b/>
                <w:kern w:val="0"/>
                <w:szCs w:val="21"/>
              </w:rPr>
              <w:t>考核方式及权重</w:t>
            </w:r>
          </w:p>
        </w:tc>
      </w:tr>
      <w:tr w14:paraId="4601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80" w:type="dxa"/>
            <w:vAlign w:val="center"/>
          </w:tcPr>
          <w:p w14:paraId="078BA637">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项目</w:t>
            </w:r>
          </w:p>
        </w:tc>
        <w:tc>
          <w:tcPr>
            <w:tcW w:w="1346" w:type="dxa"/>
            <w:vAlign w:val="center"/>
          </w:tcPr>
          <w:p w14:paraId="53169A89">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902" w:type="dxa"/>
            <w:vAlign w:val="center"/>
          </w:tcPr>
          <w:p w14:paraId="20236CBD">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评价依据</w:t>
            </w:r>
          </w:p>
        </w:tc>
        <w:tc>
          <w:tcPr>
            <w:tcW w:w="1426" w:type="dxa"/>
            <w:vAlign w:val="center"/>
          </w:tcPr>
          <w:p w14:paraId="5B3D651B">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2065" w:type="dxa"/>
            <w:vAlign w:val="center"/>
          </w:tcPr>
          <w:p w14:paraId="4D97BCC6">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考核方式权重合计</w:t>
            </w:r>
          </w:p>
        </w:tc>
      </w:tr>
      <w:tr w14:paraId="0D8E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2C793F4B">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346" w:type="dxa"/>
            <w:vMerge w:val="restart"/>
            <w:vAlign w:val="center"/>
          </w:tcPr>
          <w:p w14:paraId="03401B5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6687582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09DC3EB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5BBB384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76DB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8FB1ABC">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163F3F2C">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49759106">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1F95F15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4742D46D">
            <w:pPr>
              <w:adjustRightInd w:val="0"/>
              <w:snapToGrid w:val="0"/>
              <w:spacing w:line="276" w:lineRule="auto"/>
              <w:jc w:val="center"/>
              <w:rPr>
                <w:rFonts w:hint="eastAsia" w:ascii="宋体" w:hAnsi="宋体" w:eastAsia="宋体" w:cs="Times New Roman"/>
                <w:kern w:val="0"/>
                <w:szCs w:val="21"/>
              </w:rPr>
            </w:pPr>
          </w:p>
        </w:tc>
      </w:tr>
      <w:tr w14:paraId="036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980" w:type="dxa"/>
            <w:vAlign w:val="center"/>
          </w:tcPr>
          <w:p w14:paraId="20D3973B">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346" w:type="dxa"/>
            <w:vAlign w:val="center"/>
          </w:tcPr>
          <w:p w14:paraId="41883B52">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1CC79C0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4D40AC0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65" w:type="dxa"/>
            <w:vAlign w:val="center"/>
          </w:tcPr>
          <w:p w14:paraId="3E30D06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4FC7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980" w:type="dxa"/>
            <w:vAlign w:val="center"/>
          </w:tcPr>
          <w:p w14:paraId="55398C20">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346" w:type="dxa"/>
            <w:vAlign w:val="center"/>
          </w:tcPr>
          <w:p w14:paraId="2A68F899">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902" w:type="dxa"/>
            <w:vAlign w:val="center"/>
          </w:tcPr>
          <w:p w14:paraId="589C2BF8">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22D55E4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65" w:type="dxa"/>
            <w:vAlign w:val="center"/>
          </w:tcPr>
          <w:p w14:paraId="2EAF483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0754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1315C1B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346" w:type="dxa"/>
            <w:vMerge w:val="restart"/>
            <w:vAlign w:val="center"/>
          </w:tcPr>
          <w:p w14:paraId="5BC3143F">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5451274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426" w:type="dxa"/>
            <w:vAlign w:val="center"/>
          </w:tcPr>
          <w:p w14:paraId="14AEAB5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restart"/>
            <w:vAlign w:val="center"/>
          </w:tcPr>
          <w:p w14:paraId="676DAF0C">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6E0C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4DCD69F3">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5407F826">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34CF21DF">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0881DDD2">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30555DCA">
            <w:pPr>
              <w:adjustRightInd w:val="0"/>
              <w:snapToGrid w:val="0"/>
              <w:spacing w:line="276" w:lineRule="auto"/>
              <w:jc w:val="center"/>
              <w:rPr>
                <w:rFonts w:hint="eastAsia" w:ascii="宋体" w:hAnsi="宋体" w:eastAsia="宋体" w:cs="Times New Roman"/>
                <w:kern w:val="0"/>
                <w:szCs w:val="21"/>
              </w:rPr>
            </w:pPr>
          </w:p>
        </w:tc>
      </w:tr>
      <w:tr w14:paraId="285F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41AEACB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346" w:type="dxa"/>
            <w:vMerge w:val="restart"/>
            <w:vAlign w:val="center"/>
          </w:tcPr>
          <w:p w14:paraId="6AADA3CD">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25%</w:t>
            </w:r>
          </w:p>
        </w:tc>
        <w:tc>
          <w:tcPr>
            <w:tcW w:w="1902" w:type="dxa"/>
            <w:vAlign w:val="center"/>
          </w:tcPr>
          <w:p w14:paraId="4DDBF82E">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765FC48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60%</w:t>
            </w:r>
          </w:p>
        </w:tc>
        <w:tc>
          <w:tcPr>
            <w:tcW w:w="2065" w:type="dxa"/>
            <w:vMerge w:val="restart"/>
            <w:vAlign w:val="center"/>
          </w:tcPr>
          <w:p w14:paraId="5CE8B4F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7FC0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56274E7C">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522300E6">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0BDACF9E">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05DED6D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40%</w:t>
            </w:r>
          </w:p>
        </w:tc>
        <w:tc>
          <w:tcPr>
            <w:tcW w:w="2065" w:type="dxa"/>
            <w:vMerge w:val="continue"/>
            <w:vAlign w:val="center"/>
          </w:tcPr>
          <w:p w14:paraId="0010D75F">
            <w:pPr>
              <w:adjustRightInd w:val="0"/>
              <w:snapToGrid w:val="0"/>
              <w:spacing w:line="276" w:lineRule="auto"/>
              <w:jc w:val="center"/>
              <w:rPr>
                <w:rFonts w:hint="eastAsia" w:ascii="宋体" w:hAnsi="宋体" w:eastAsia="宋体" w:cs="Times New Roman"/>
                <w:kern w:val="0"/>
                <w:szCs w:val="21"/>
              </w:rPr>
            </w:pPr>
          </w:p>
        </w:tc>
      </w:tr>
      <w:tr w14:paraId="41CA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restart"/>
            <w:vAlign w:val="center"/>
          </w:tcPr>
          <w:p w14:paraId="5392E67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346" w:type="dxa"/>
            <w:vMerge w:val="restart"/>
            <w:vAlign w:val="center"/>
          </w:tcPr>
          <w:p w14:paraId="1A5E9BB2">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w:t>
            </w:r>
          </w:p>
        </w:tc>
        <w:tc>
          <w:tcPr>
            <w:tcW w:w="1902" w:type="dxa"/>
            <w:vAlign w:val="center"/>
          </w:tcPr>
          <w:p w14:paraId="39673FA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426" w:type="dxa"/>
            <w:vAlign w:val="center"/>
          </w:tcPr>
          <w:p w14:paraId="2296E5CA">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c>
          <w:tcPr>
            <w:tcW w:w="2065" w:type="dxa"/>
            <w:vMerge w:val="restart"/>
            <w:vAlign w:val="center"/>
          </w:tcPr>
          <w:p w14:paraId="6D441AB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r>
      <w:tr w14:paraId="6545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225B704A">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6F7421EA">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5358395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3</w:t>
            </w:r>
          </w:p>
        </w:tc>
        <w:tc>
          <w:tcPr>
            <w:tcW w:w="1426" w:type="dxa"/>
            <w:vAlign w:val="center"/>
          </w:tcPr>
          <w:p w14:paraId="347D967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2065" w:type="dxa"/>
            <w:vMerge w:val="continue"/>
            <w:vAlign w:val="center"/>
          </w:tcPr>
          <w:p w14:paraId="7207A56B">
            <w:pPr>
              <w:adjustRightInd w:val="0"/>
              <w:snapToGrid w:val="0"/>
              <w:spacing w:line="276" w:lineRule="auto"/>
              <w:jc w:val="center"/>
              <w:rPr>
                <w:rFonts w:hint="eastAsia" w:ascii="宋体" w:hAnsi="宋体" w:eastAsia="宋体" w:cs="Times New Roman"/>
                <w:kern w:val="0"/>
                <w:szCs w:val="21"/>
              </w:rPr>
            </w:pPr>
          </w:p>
        </w:tc>
      </w:tr>
      <w:tr w14:paraId="37AC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Merge w:val="continue"/>
            <w:vAlign w:val="center"/>
          </w:tcPr>
          <w:p w14:paraId="37A570DB">
            <w:pPr>
              <w:adjustRightInd w:val="0"/>
              <w:snapToGrid w:val="0"/>
              <w:spacing w:line="276" w:lineRule="auto"/>
              <w:jc w:val="center"/>
              <w:rPr>
                <w:rFonts w:hint="eastAsia" w:ascii="宋体" w:hAnsi="等线" w:eastAsia="宋体" w:cs="Times New Roman"/>
                <w:kern w:val="0"/>
                <w:szCs w:val="21"/>
              </w:rPr>
            </w:pPr>
          </w:p>
        </w:tc>
        <w:tc>
          <w:tcPr>
            <w:tcW w:w="1346" w:type="dxa"/>
            <w:vMerge w:val="continue"/>
            <w:vAlign w:val="center"/>
          </w:tcPr>
          <w:p w14:paraId="1CB6FEB2">
            <w:pPr>
              <w:adjustRightInd w:val="0"/>
              <w:snapToGrid w:val="0"/>
              <w:spacing w:line="276" w:lineRule="auto"/>
              <w:jc w:val="center"/>
              <w:rPr>
                <w:rFonts w:hint="eastAsia" w:ascii="宋体" w:hAnsi="等线" w:eastAsia="宋体" w:cs="Times New Roman"/>
                <w:kern w:val="0"/>
                <w:szCs w:val="21"/>
              </w:rPr>
            </w:pPr>
          </w:p>
        </w:tc>
        <w:tc>
          <w:tcPr>
            <w:tcW w:w="1902" w:type="dxa"/>
            <w:vAlign w:val="center"/>
          </w:tcPr>
          <w:p w14:paraId="5A717FFF">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期末考试</w:t>
            </w:r>
          </w:p>
        </w:tc>
        <w:tc>
          <w:tcPr>
            <w:tcW w:w="1426" w:type="dxa"/>
            <w:vAlign w:val="center"/>
          </w:tcPr>
          <w:p w14:paraId="3E17F0A7">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2065" w:type="dxa"/>
            <w:vMerge w:val="continue"/>
            <w:vAlign w:val="center"/>
          </w:tcPr>
          <w:p w14:paraId="61F0CB36">
            <w:pPr>
              <w:adjustRightInd w:val="0"/>
              <w:snapToGrid w:val="0"/>
              <w:spacing w:line="276" w:lineRule="auto"/>
              <w:jc w:val="center"/>
              <w:rPr>
                <w:rFonts w:hint="eastAsia" w:ascii="宋体" w:hAnsi="宋体" w:eastAsia="宋体" w:cs="Times New Roman"/>
                <w:kern w:val="0"/>
                <w:szCs w:val="21"/>
              </w:rPr>
            </w:pPr>
          </w:p>
        </w:tc>
      </w:tr>
      <w:tr w14:paraId="493E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980" w:type="dxa"/>
            <w:vAlign w:val="center"/>
          </w:tcPr>
          <w:p w14:paraId="4D0A8BCD">
            <w:pPr>
              <w:adjustRightInd w:val="0"/>
              <w:snapToGrid w:val="0"/>
              <w:spacing w:line="276" w:lineRule="auto"/>
              <w:jc w:val="center"/>
              <w:rPr>
                <w:rFonts w:hint="eastAsia" w:ascii="宋体" w:hAnsi="等线" w:eastAsia="宋体" w:cs="Times New Roman"/>
                <w:kern w:val="0"/>
                <w:szCs w:val="21"/>
              </w:rPr>
            </w:pPr>
            <w:r>
              <w:rPr>
                <w:rFonts w:hint="eastAsia" w:ascii="宋体" w:hAnsi="宋体" w:eastAsia="宋体" w:cs="Times New Roman"/>
                <w:kern w:val="0"/>
                <w:szCs w:val="21"/>
              </w:rPr>
              <w:t>课程目标权重合计</w:t>
            </w:r>
          </w:p>
        </w:tc>
        <w:tc>
          <w:tcPr>
            <w:tcW w:w="1346" w:type="dxa"/>
            <w:vAlign w:val="center"/>
          </w:tcPr>
          <w:p w14:paraId="23E332A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100%</w:t>
            </w:r>
          </w:p>
        </w:tc>
        <w:tc>
          <w:tcPr>
            <w:tcW w:w="5393" w:type="dxa"/>
            <w:gridSpan w:val="3"/>
            <w:vAlign w:val="center"/>
          </w:tcPr>
          <w:p w14:paraId="634D1EE9">
            <w:pPr>
              <w:adjustRightInd w:val="0"/>
              <w:snapToGrid w:val="0"/>
              <w:spacing w:line="276" w:lineRule="auto"/>
              <w:jc w:val="center"/>
              <w:rPr>
                <w:rFonts w:hint="eastAsia" w:ascii="宋体" w:hAnsi="宋体" w:eastAsia="宋体" w:cs="Times New Roman"/>
                <w:kern w:val="0"/>
                <w:szCs w:val="21"/>
              </w:rPr>
            </w:pPr>
          </w:p>
        </w:tc>
      </w:tr>
    </w:tbl>
    <w:p w14:paraId="6DB0A532">
      <w:pPr>
        <w:spacing w:line="360" w:lineRule="auto"/>
        <w:rPr>
          <w:rFonts w:ascii="Calibri" w:hAnsi="Calibri" w:eastAsia="宋体" w:cs="Times New Roman"/>
          <w:sz w:val="24"/>
          <w:szCs w:val="24"/>
        </w:rPr>
      </w:pPr>
      <w:r>
        <w:rPr>
          <w:rFonts w:hint="eastAsia" w:ascii="Calibri" w:hAnsi="Calibri" w:eastAsia="宋体" w:cs="Times New Roman"/>
          <w:sz w:val="24"/>
          <w:szCs w:val="24"/>
        </w:rPr>
        <w:t>（四）课程目标达成度计算方法</w:t>
      </w:r>
    </w:p>
    <w:p w14:paraId="1B47C9B4">
      <w:pPr>
        <w:adjustRightInd w:val="0"/>
        <w:snapToGrid w:val="0"/>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w:t>
      </w:r>
      <w:r>
        <w:rPr>
          <w:rFonts w:ascii="宋体" w:hAnsi="宋体" w:eastAsia="宋体" w:cs="Times New Roman"/>
          <w:szCs w:val="21"/>
        </w:rPr>
        <w:t>0.6</w:t>
      </w:r>
      <w:r>
        <w:rPr>
          <w:rFonts w:hint="eastAsia" w:ascii="Calibri" w:hAnsi="Calibri" w:eastAsia="宋体" w:cs="Times New Roman"/>
          <w:sz w:val="24"/>
          <w:szCs w:val="24"/>
        </w:rPr>
        <w:t>，否则总评成绩不及格，需要补考或重修。每门课程目标总体达成度计算方法如下：</w:t>
      </w:r>
    </w:p>
    <w:p w14:paraId="03A620D0">
      <w:pPr>
        <w:adjustRightInd w:val="0"/>
        <w:snapToGrid w:val="0"/>
        <w:spacing w:line="360" w:lineRule="auto"/>
        <w:jc w:val="left"/>
        <w:rPr>
          <w:rFonts w:hint="eastAsia" w:ascii="宋体" w:hAnsi="等线" w:eastAsia="宋体" w:cs="Times New Roman"/>
          <w:color w:val="000000"/>
          <w:sz w:val="24"/>
        </w:rPr>
      </w:pPr>
      <w:r>
        <w:rPr>
          <w:rFonts w:ascii="宋体" w:hAnsi="宋体" w:eastAsia="宋体" w:cs="Times New Roman"/>
          <w:sz w:val="24"/>
          <w:szCs w:val="24"/>
        </w:rPr>
        <w:drawing>
          <wp:inline distT="0" distB="0" distL="0" distR="0">
            <wp:extent cx="5037455" cy="321310"/>
            <wp:effectExtent l="0" t="0" r="44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97251" cy="325252"/>
                    </a:xfrm>
                    <a:prstGeom prst="rect">
                      <a:avLst/>
                    </a:prstGeom>
                    <a:noFill/>
                    <a:ln>
                      <a:noFill/>
                    </a:ln>
                  </pic:spPr>
                </pic:pic>
              </a:graphicData>
            </a:graphic>
          </wp:inline>
        </w:drawing>
      </w:r>
    </w:p>
    <w:p w14:paraId="2B688F7E">
      <w:pPr>
        <w:adjustRightInd w:val="0"/>
        <w:snapToGrid w:val="0"/>
        <w:spacing w:line="360" w:lineRule="auto"/>
        <w:rPr>
          <w:rFonts w:ascii="Calibri" w:hAnsi="Calibri" w:eastAsia="宋体" w:cs="Times New Roman"/>
          <w:b/>
          <w:sz w:val="28"/>
          <w:szCs w:val="28"/>
        </w:rPr>
      </w:pPr>
      <w:r>
        <w:rPr>
          <w:rFonts w:hint="eastAsia" w:ascii="Calibri" w:hAnsi="Calibri" w:eastAsia="宋体" w:cs="Times New Roman"/>
          <w:b/>
          <w:sz w:val="28"/>
          <w:szCs w:val="28"/>
        </w:rPr>
        <w:t>七、有关说明</w:t>
      </w:r>
    </w:p>
    <w:p w14:paraId="6FF2EBC1">
      <w:pPr>
        <w:adjustRightInd w:val="0"/>
        <w:snapToGrid w:val="0"/>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（一）持续改进</w:t>
      </w:r>
    </w:p>
    <w:p w14:paraId="4157615B">
      <w:pPr>
        <w:adjustRightInd w:val="0"/>
        <w:snapToGrid w:val="0"/>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本课程根据学生作业、课堂讨论、教学环节、平时考核情况和学生、教学督导等的反馈，及时对教学中的不足之处进行改进，并在下一轮课程教学中整改完善，确保相应毕业要求指标点达成。</w:t>
      </w:r>
    </w:p>
    <w:p w14:paraId="19C5DE60">
      <w:pPr>
        <w:adjustRightInd w:val="0"/>
        <w:snapToGrid w:val="0"/>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（二）参考书目及学习资料</w:t>
      </w:r>
    </w:p>
    <w:p w14:paraId="1B9FD13E">
      <w:pPr>
        <w:spacing w:line="360" w:lineRule="auto"/>
        <w:ind w:firstLine="480" w:firstLineChars="200"/>
        <w:rPr>
          <w:rFonts w:hint="eastAsia" w:ascii="宋体" w:hAnsi="等线" w:eastAsia="宋体" w:cs="Times New Roman"/>
          <w:color w:val="000000"/>
          <w:sz w:val="24"/>
        </w:rPr>
      </w:pPr>
      <w:r>
        <w:rPr>
          <w:rFonts w:ascii="宋体" w:hAnsi="宋体" w:eastAsia="宋体" w:cs="Times New Roman"/>
          <w:color w:val="000000"/>
          <w:sz w:val="24"/>
        </w:rPr>
        <w:t>1.</w:t>
      </w:r>
      <w:r>
        <w:rPr>
          <w:rFonts w:hint="eastAsia" w:ascii="宋体" w:hAnsi="宋体" w:eastAsia="宋体" w:cs="Times New Roman"/>
          <w:color w:val="000000"/>
          <w:sz w:val="24"/>
        </w:rPr>
        <w:t>教材</w:t>
      </w:r>
    </w:p>
    <w:p w14:paraId="1CE075BB">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color w:val="000000"/>
          <w:sz w:val="24"/>
        </w:rPr>
        <w:t>雷通群，《教育社会学》，厦门大学出版社，2021.</w:t>
      </w:r>
    </w:p>
    <w:p w14:paraId="7A6B04E0">
      <w:pPr>
        <w:spacing w:line="360" w:lineRule="auto"/>
        <w:ind w:firstLine="480" w:firstLineChars="200"/>
        <w:rPr>
          <w:rFonts w:hint="eastAsia" w:ascii="宋体" w:hAnsi="等线" w:eastAsia="宋体" w:cs="Times New Roman"/>
          <w:color w:val="000000"/>
          <w:sz w:val="24"/>
        </w:rPr>
      </w:pPr>
      <w:r>
        <w:rPr>
          <w:rFonts w:ascii="宋体" w:hAnsi="宋体" w:eastAsia="宋体" w:cs="Times New Roman"/>
          <w:color w:val="000000"/>
          <w:sz w:val="24"/>
        </w:rPr>
        <w:t>2.</w:t>
      </w:r>
      <w:r>
        <w:rPr>
          <w:rFonts w:hint="eastAsia" w:ascii="宋体" w:hAnsi="宋体" w:eastAsia="宋体" w:cs="Times New Roman"/>
          <w:color w:val="000000"/>
          <w:sz w:val="24"/>
        </w:rPr>
        <w:t>教学参考书</w:t>
      </w:r>
    </w:p>
    <w:p w14:paraId="48FFFECE">
      <w:pPr>
        <w:spacing w:line="360" w:lineRule="auto"/>
        <w:ind w:firstLine="480" w:firstLineChars="200"/>
        <w:rPr>
          <w:rFonts w:ascii="宋体" w:hAnsi="等线" w:eastAsia="宋体" w:cs="Times New Roman"/>
          <w:color w:val="000000"/>
          <w:sz w:val="24"/>
        </w:rPr>
      </w:pPr>
      <w:r>
        <w:rPr>
          <w:rFonts w:hint="eastAsia" w:ascii="宋体" w:hAnsi="等线" w:eastAsia="宋体" w:cs="Times New Roman"/>
          <w:color w:val="000000"/>
          <w:sz w:val="24"/>
        </w:rPr>
        <w:t>吴康宁，教育社会学，人民教育出版社，2005.</w:t>
      </w:r>
    </w:p>
    <w:p w14:paraId="5EA86E61">
      <w:pPr>
        <w:spacing w:line="360" w:lineRule="auto"/>
        <w:ind w:firstLine="480" w:firstLineChars="200"/>
        <w:rPr>
          <w:rFonts w:hint="eastAsia" w:ascii="宋体" w:hAnsi="等线" w:eastAsia="宋体" w:cs="Times New Roman"/>
          <w:color w:val="000000"/>
          <w:sz w:val="24"/>
        </w:rPr>
      </w:pPr>
      <w:r>
        <w:rPr>
          <w:rFonts w:hint="eastAsia" w:ascii="宋体" w:hAnsi="宋体" w:eastAsia="宋体" w:cs="Times New Roman"/>
          <w:color w:val="000000"/>
          <w:sz w:val="24"/>
        </w:rPr>
        <w:t>郑杭生</w:t>
      </w:r>
      <w:r>
        <w:rPr>
          <w:rFonts w:ascii="宋体" w:hAnsi="等线" w:eastAsia="宋体" w:cs="Times New Roman"/>
          <w:color w:val="000000"/>
          <w:sz w:val="24"/>
        </w:rPr>
        <w:t>.</w:t>
      </w:r>
      <w:r>
        <w:rPr>
          <w:rFonts w:hint="eastAsia" w:ascii="宋体" w:hAnsi="宋体" w:eastAsia="宋体" w:cs="Times New Roman"/>
          <w:color w:val="000000"/>
          <w:sz w:val="24"/>
        </w:rPr>
        <w:t>社会学概论新修</w:t>
      </w:r>
      <w:r>
        <w:rPr>
          <w:rFonts w:ascii="宋体" w:hAnsi="宋体" w:eastAsia="宋体" w:cs="Times New Roman"/>
          <w:color w:val="000000"/>
          <w:sz w:val="24"/>
        </w:rPr>
        <w:t>[M].</w:t>
      </w:r>
      <w:r>
        <w:rPr>
          <w:rFonts w:hint="eastAsia" w:ascii="宋体" w:hAnsi="宋体" w:eastAsia="宋体" w:cs="Times New Roman"/>
          <w:color w:val="000000"/>
          <w:sz w:val="24"/>
        </w:rPr>
        <w:t>北京：中国人民大学出版社，</w:t>
      </w:r>
      <w:r>
        <w:rPr>
          <w:rFonts w:ascii="宋体" w:hAnsi="宋体" w:eastAsia="宋体" w:cs="Times New Roman"/>
          <w:color w:val="000000"/>
          <w:sz w:val="24"/>
        </w:rPr>
        <w:t>2016</w:t>
      </w:r>
      <w:r>
        <w:rPr>
          <w:rFonts w:ascii="宋体" w:hAnsi="等线" w:eastAsia="宋体" w:cs="Times New Roman"/>
          <w:color w:val="000000"/>
          <w:sz w:val="24"/>
        </w:rPr>
        <w:t>.</w:t>
      </w:r>
    </w:p>
    <w:p w14:paraId="5A496288">
      <w:pPr>
        <w:spacing w:line="360" w:lineRule="auto"/>
        <w:ind w:firstLine="480" w:firstLineChars="200"/>
        <w:rPr>
          <w:rFonts w:hint="eastAsia" w:ascii="宋体" w:hAnsi="宋体" w:eastAsia="宋体" w:cs="Times New Roman"/>
          <w:color w:val="000000"/>
          <w:sz w:val="24"/>
        </w:rPr>
      </w:pPr>
      <w:r>
        <w:rPr>
          <w:rFonts w:ascii="宋体" w:hAnsi="宋体" w:eastAsia="宋体" w:cs="Times New Roman"/>
          <w:color w:val="000000"/>
          <w:sz w:val="24"/>
        </w:rPr>
        <w:t>[</w:t>
      </w:r>
      <w:r>
        <w:rPr>
          <w:rFonts w:hint="eastAsia" w:ascii="宋体" w:hAnsi="宋体" w:eastAsia="宋体" w:cs="Times New Roman"/>
          <w:color w:val="000000"/>
          <w:sz w:val="24"/>
        </w:rPr>
        <w:t>美</w:t>
      </w:r>
      <w:r>
        <w:rPr>
          <w:rFonts w:ascii="宋体" w:hAnsi="宋体" w:eastAsia="宋体" w:cs="Times New Roman"/>
          <w:color w:val="000000"/>
          <w:sz w:val="24"/>
        </w:rPr>
        <w:t>]</w:t>
      </w:r>
      <w:r>
        <w:rPr>
          <w:rFonts w:hint="eastAsia" w:ascii="宋体" w:hAnsi="宋体" w:eastAsia="宋体" w:cs="Times New Roman"/>
          <w:color w:val="000000"/>
          <w:sz w:val="24"/>
        </w:rPr>
        <w:t>戴维·波普诺</w:t>
      </w:r>
      <w:r>
        <w:rPr>
          <w:rFonts w:ascii="宋体" w:hAnsi="等线" w:eastAsia="宋体" w:cs="Times New Roman"/>
          <w:color w:val="000000"/>
          <w:sz w:val="24"/>
        </w:rPr>
        <w:t>.</w:t>
      </w:r>
      <w:r>
        <w:rPr>
          <w:rFonts w:hint="eastAsia" w:ascii="宋体" w:hAnsi="宋体" w:eastAsia="宋体" w:cs="Times New Roman"/>
          <w:color w:val="000000"/>
          <w:sz w:val="24"/>
        </w:rPr>
        <w:t>社会学（第十一版）</w:t>
      </w:r>
      <w:r>
        <w:rPr>
          <w:rFonts w:ascii="宋体" w:hAnsi="宋体" w:eastAsia="宋体" w:cs="Times New Roman"/>
          <w:color w:val="000000"/>
          <w:sz w:val="24"/>
        </w:rPr>
        <w:t xml:space="preserve"> [M].</w:t>
      </w:r>
      <w:r>
        <w:rPr>
          <w:rFonts w:hint="eastAsia" w:ascii="宋体" w:hAnsi="宋体" w:eastAsia="宋体" w:cs="Times New Roman"/>
          <w:color w:val="000000"/>
          <w:sz w:val="24"/>
        </w:rPr>
        <w:t>李强等译，北京：中国人民大学出版社，</w:t>
      </w:r>
      <w:r>
        <w:rPr>
          <w:rFonts w:ascii="宋体" w:hAnsi="宋体" w:eastAsia="宋体" w:cs="Times New Roman"/>
          <w:color w:val="000000"/>
          <w:sz w:val="24"/>
        </w:rPr>
        <w:t>2007.</w:t>
      </w:r>
    </w:p>
    <w:p w14:paraId="46BDBB2C">
      <w:pPr>
        <w:spacing w:line="360" w:lineRule="auto"/>
        <w:ind w:firstLine="480" w:firstLineChars="200"/>
        <w:rPr>
          <w:rFonts w:hint="eastAsia" w:ascii="宋体" w:hAnsi="等线" w:eastAsia="宋体" w:cs="Times New Roman"/>
          <w:color w:val="000000"/>
          <w:sz w:val="24"/>
        </w:rPr>
      </w:pPr>
    </w:p>
    <w:p w14:paraId="296705BA">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执笔人：赵振杰</w:t>
      </w:r>
    </w:p>
    <w:p w14:paraId="4081904B">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审定人：张志欣</w:t>
      </w:r>
    </w:p>
    <w:p w14:paraId="5E6FEF19">
      <w:pPr>
        <w:autoSpaceDE w:val="0"/>
        <w:autoSpaceDN w:val="0"/>
        <w:adjustRightInd w:val="0"/>
        <w:snapToGrid w:val="0"/>
        <w:spacing w:line="360" w:lineRule="auto"/>
        <w:ind w:right="1440"/>
        <w:jc w:val="right"/>
        <w:rPr>
          <w:rFonts w:ascii="Calibri" w:hAnsi="Calibri" w:eastAsia="宋体" w:cs="Times New Roman"/>
          <w:kern w:val="0"/>
          <w:sz w:val="24"/>
          <w:szCs w:val="21"/>
        </w:rPr>
      </w:pPr>
      <w:r>
        <w:rPr>
          <w:rFonts w:hint="eastAsia" w:ascii="Calibri" w:hAnsi="Calibri" w:eastAsia="宋体" w:cs="Times New Roman"/>
          <w:kern w:val="0"/>
          <w:sz w:val="24"/>
          <w:szCs w:val="21"/>
        </w:rPr>
        <w:t>审批人：张建波</w:t>
      </w:r>
    </w:p>
    <w:p w14:paraId="09B7D0FF">
      <w:pPr>
        <w:adjustRightInd w:val="0"/>
        <w:snapToGrid w:val="0"/>
        <w:spacing w:line="360" w:lineRule="auto"/>
        <w:ind w:right="120"/>
        <w:jc w:val="right"/>
        <w:rPr>
          <w:rFonts w:hint="eastAsia" w:ascii="宋体" w:hAnsi="等线" w:eastAsia="宋体" w:cs="Times New Roman"/>
          <w:szCs w:val="24"/>
        </w:rPr>
      </w:pPr>
      <w:r>
        <w:rPr>
          <w:rFonts w:hint="eastAsia" w:ascii="宋体" w:hAnsi="宋体" w:eastAsia="宋体" w:cs="Times New Roman"/>
          <w:kern w:val="0"/>
          <w:sz w:val="24"/>
          <w:szCs w:val="21"/>
        </w:rPr>
        <w:t>批准时间：</w:t>
      </w:r>
      <w:r>
        <w:rPr>
          <w:rFonts w:ascii="宋体" w:hAnsi="宋体" w:eastAsia="宋体" w:cs="Times New Roman"/>
          <w:kern w:val="0"/>
          <w:sz w:val="24"/>
          <w:szCs w:val="21"/>
        </w:rPr>
        <w:t>20</w:t>
      </w:r>
      <w:r>
        <w:rPr>
          <w:rFonts w:hint="eastAsia" w:ascii="宋体" w:hAnsi="宋体" w:eastAsia="宋体" w:cs="Times New Roman"/>
          <w:kern w:val="0"/>
          <w:sz w:val="24"/>
          <w:szCs w:val="21"/>
        </w:rPr>
        <w:t>22年8月</w:t>
      </w:r>
      <w:r>
        <w:rPr>
          <w:rFonts w:ascii="宋体" w:hAnsi="宋体" w:eastAsia="宋体" w:cs="Times New Roman"/>
          <w:kern w:val="0"/>
          <w:sz w:val="24"/>
          <w:szCs w:val="21"/>
        </w:rPr>
        <w:t>30</w:t>
      </w:r>
      <w:r>
        <w:rPr>
          <w:rFonts w:hint="eastAsia" w:ascii="宋体" w:hAnsi="宋体" w:eastAsia="宋体" w:cs="Times New Roman"/>
          <w:kern w:val="0"/>
          <w:sz w:val="24"/>
          <w:szCs w:val="21"/>
        </w:rPr>
        <w:t>日</w:t>
      </w:r>
    </w:p>
    <w:p w14:paraId="70FAFA8A">
      <w:pPr>
        <w:rPr>
          <w:rFonts w:hint="eastAsia"/>
        </w:rPr>
      </w:pPr>
    </w:p>
    <w:p w14:paraId="42992804">
      <w:pPr>
        <w:rPr>
          <w:rFonts w:ascii="Calibri" w:hAnsi="Calibri" w:eastAsia="宋体" w:cs="Times New Roman"/>
        </w:rPr>
      </w:pPr>
    </w:p>
    <w:p w14:paraId="336DE7C9">
      <w:pPr>
        <w:widowControl/>
        <w:jc w:val="left"/>
        <w:rPr>
          <w:rFonts w:ascii="宋体" w:hAnsi="等线" w:eastAsia="宋体" w:cs="Times New Roman"/>
          <w:color w:val="000000"/>
          <w:kern w:val="0"/>
          <w:sz w:val="24"/>
          <w:szCs w:val="21"/>
        </w:rPr>
      </w:pPr>
      <w:r>
        <w:rPr>
          <w:rFonts w:ascii="宋体" w:hAnsi="等线" w:eastAsia="宋体" w:cs="Times New Roman"/>
          <w:color w:val="000000"/>
          <w:kern w:val="0"/>
          <w:sz w:val="24"/>
          <w:szCs w:val="21"/>
        </w:rPr>
        <w:br w:type="page"/>
      </w:r>
    </w:p>
    <w:p w14:paraId="4E45A982">
      <w:pPr>
        <w:spacing w:line="360" w:lineRule="auto"/>
        <w:jc w:val="center"/>
        <w:outlineLvl w:val="0"/>
        <w:rPr>
          <w:rFonts w:ascii="Times New Roman" w:hAnsi="Times New Roman" w:eastAsia="宋体" w:cs="Times New Roman"/>
          <w:b/>
          <w:sz w:val="30"/>
          <w:szCs w:val="30"/>
        </w:rPr>
      </w:pPr>
      <w:bookmarkStart w:id="149" w:name="_Toc57017184"/>
      <w:bookmarkStart w:id="150" w:name="_Toc166165200"/>
      <w:r>
        <w:rPr>
          <w:rFonts w:hint="eastAsia" w:ascii="Times New Roman" w:hAnsi="Times New Roman" w:eastAsia="宋体" w:cs="Times New Roman"/>
          <w:b/>
          <w:sz w:val="30"/>
          <w:szCs w:val="30"/>
        </w:rPr>
        <w:t>教育伦理学课程教学大纲</w:t>
      </w:r>
      <w:bookmarkEnd w:id="149"/>
      <w:bookmarkEnd w:id="150"/>
    </w:p>
    <w:p w14:paraId="54FF1FB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（Educational Ethics.）</w:t>
      </w:r>
    </w:p>
    <w:p w14:paraId="553F2706">
      <w:pPr>
        <w:spacing w:line="360" w:lineRule="auto"/>
        <w:jc w:val="center"/>
        <w:rPr>
          <w:rFonts w:ascii="Times New Roman" w:hAnsi="Times New Roman" w:eastAsia="宋体" w:cs="Times New Roman"/>
          <w:bCs/>
          <w:sz w:val="30"/>
          <w:szCs w:val="30"/>
        </w:rPr>
      </w:pPr>
    </w:p>
    <w:p w14:paraId="48A50522">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5D385E0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2401019</w:t>
      </w:r>
    </w:p>
    <w:p w14:paraId="5A16CC4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0AD0C98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r>
        <w:rPr>
          <w:rFonts w:ascii="Times New Roman" w:hAnsi="Times New Roman" w:eastAsia="宋体" w:cs="Times New Roman"/>
          <w:sz w:val="24"/>
          <w:szCs w:val="24"/>
        </w:rPr>
        <w:t>（其中：讲授学时32</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学时0）</w:t>
      </w:r>
    </w:p>
    <w:p w14:paraId="5F7D6AE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教育原理、教育心理学、中外教育史、教师职业道德</w:t>
      </w:r>
    </w:p>
    <w:p w14:paraId="5D82AA71">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216512F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《教育伦理学》，王正平，人民教育出版社，20</w:t>
      </w:r>
      <w:r>
        <w:rPr>
          <w:rFonts w:ascii="Times New Roman" w:hAnsi="Times New Roman" w:eastAsia="宋体" w:cs="Times New Roman"/>
          <w:sz w:val="24"/>
          <w:szCs w:val="24"/>
        </w:rPr>
        <w:t>19.</w:t>
      </w:r>
    </w:p>
    <w:p w14:paraId="334E65C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0076F1DC">
      <w:pPr>
        <w:adjustRightInd w:val="0"/>
        <w:snapToGrid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sz w:val="24"/>
          <w:szCs w:val="24"/>
        </w:rPr>
        <w:t>本课程是小学教育专业的一门专业基础选修课，是一门跨教育学与伦理学的新兴交叉学科，它是研究教育活动的价值与善恶，探讨教育中的道德关系、伦理原则和行为规范，探索健全教师和教育工作者道德人格完善，以实现教育的最大利益和最大善的科学。该课程通过教育伦理学基础知识的讲授和课堂讨论，使学生掌握当代教育伦理基本理论、原则和范畴，提高学生认识道德原则和把握道德生活的能力，从而增强道德意识、提高伦理分析、伦理决策、道德评价和道德修养的能力，进而提升职业道德水平。</w:t>
      </w:r>
    </w:p>
    <w:p w14:paraId="3EC6E53C">
      <w:pPr>
        <w:adjustRightInd w:val="0"/>
        <w:snapToGrid w:val="0"/>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6F484E19">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（一）课程具体目标</w:t>
      </w:r>
    </w:p>
    <w:p w14:paraId="1FF532F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阐释教育伦理学的基本概念，形成教育伦理学的相关理论，学会运用教育伦理学的基本原理分析教育现象。</w:t>
      </w:r>
    </w:p>
    <w:p w14:paraId="286FA66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尝试运用教育伦理有关要求，研究教育中的具体伦理问题，联系小学生发展实际，设计班级德育活动，并能说明设计原理。</w:t>
      </w:r>
    </w:p>
    <w:p w14:paraId="78965F4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应用批判性思维，反思教育伦理道的德实践，提升职业道德的理论水平。</w:t>
      </w:r>
    </w:p>
    <w:p w14:paraId="14A7C7C1">
      <w:pPr>
        <w:spacing w:line="360" w:lineRule="auto"/>
        <w:ind w:firstLine="480" w:firstLineChars="200"/>
        <w:rPr>
          <w:rFonts w:ascii="Times New Roman" w:hAnsi="Times New Roman" w:eastAsia="宋体" w:cs="Times New Roman"/>
          <w:sz w:val="24"/>
          <w:szCs w:val="24"/>
        </w:rPr>
      </w:pPr>
    </w:p>
    <w:p w14:paraId="0D910677">
      <w:pPr>
        <w:spacing w:line="360" w:lineRule="auto"/>
        <w:ind w:firstLine="480" w:firstLineChars="200"/>
        <w:rPr>
          <w:rFonts w:ascii="Times New Roman" w:hAnsi="Times New Roman" w:eastAsia="宋体" w:cs="Times New Roman"/>
          <w:sz w:val="24"/>
          <w:szCs w:val="24"/>
        </w:rPr>
      </w:pPr>
    </w:p>
    <w:p w14:paraId="0DFFA442">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tbl>
      <w:tblPr>
        <w:tblStyle w:val="30"/>
        <w:tblW w:w="894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041E2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48" w:type="dxa"/>
            <w:vAlign w:val="center"/>
          </w:tcPr>
          <w:p w14:paraId="07606090">
            <w:pPr>
              <w:spacing w:line="276" w:lineRule="auto"/>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2223" w:type="dxa"/>
            <w:vAlign w:val="center"/>
          </w:tcPr>
          <w:p w14:paraId="26CB5024">
            <w:pPr>
              <w:spacing w:line="276" w:lineRule="auto"/>
              <w:jc w:val="center"/>
              <w:rPr>
                <w:rFonts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4977" w:type="dxa"/>
            <w:vAlign w:val="center"/>
          </w:tcPr>
          <w:p w14:paraId="61255B77">
            <w:pPr>
              <w:spacing w:line="276" w:lineRule="auto"/>
              <w:ind w:firstLine="422" w:firstLineChars="200"/>
              <w:jc w:val="center"/>
              <w:rPr>
                <w:rFonts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0A065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48" w:type="dxa"/>
            <w:vAlign w:val="center"/>
          </w:tcPr>
          <w:p w14:paraId="185E9025">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23" w:type="dxa"/>
            <w:vAlign w:val="center"/>
          </w:tcPr>
          <w:p w14:paraId="4737872E">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毕业要求1</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师德规范</w:t>
            </w:r>
          </w:p>
        </w:tc>
        <w:tc>
          <w:tcPr>
            <w:tcW w:w="4977" w:type="dxa"/>
            <w:vAlign w:val="center"/>
          </w:tcPr>
          <w:p w14:paraId="1059DD31">
            <w:pPr>
              <w:spacing w:line="276" w:lineRule="auto"/>
              <w:jc w:val="left"/>
              <w:rPr>
                <w:rFonts w:ascii="宋体" w:hAnsi="宋体" w:eastAsia="宋体" w:cs="Times New Roman"/>
                <w:szCs w:val="24"/>
              </w:rPr>
            </w:pPr>
            <w:r>
              <w:rPr>
                <w:rFonts w:hint="eastAsia" w:ascii="宋体" w:hAnsi="宋体" w:eastAsia="宋体" w:cs="Times New Roman"/>
                <w:kern w:val="0"/>
                <w:szCs w:val="24"/>
              </w:rPr>
              <w:t>指标点</w:t>
            </w:r>
            <w:r>
              <w:rPr>
                <w:rFonts w:ascii="等线" w:hAnsi="等线" w:eastAsia="等线" w:cs="Times New Roman"/>
                <w:szCs w:val="24"/>
              </w:rPr>
              <w:t>1-1</w:t>
            </w:r>
            <w:r>
              <w:rPr>
                <w:rFonts w:hint="eastAsia" w:ascii="宋体" w:hAnsi="宋体" w:eastAsia="宋体" w:cs="Times New Roman"/>
                <w:szCs w:val="24"/>
              </w:rPr>
              <w:t>：【理想信念坚定】认同中国特色社会主义，贯彻党的教育方针，自觉践行社会主义核心价值观，树立职业理想，立志成为有理想信念、有道德情操、有扎实学识、有仁爱之心的好教师。</w:t>
            </w:r>
          </w:p>
          <w:p w14:paraId="065378DD">
            <w:pPr>
              <w:spacing w:line="276" w:lineRule="auto"/>
              <w:jc w:val="left"/>
              <w:rPr>
                <w:rFonts w:ascii="宋体" w:hAnsi="宋体" w:eastAsia="宋体" w:cs="Times New Roman"/>
                <w:szCs w:val="24"/>
              </w:rPr>
            </w:pPr>
            <w:r>
              <w:rPr>
                <w:rFonts w:hint="eastAsia" w:ascii="宋体" w:hAnsi="宋体" w:eastAsia="宋体" w:cs="Times New Roman"/>
                <w:szCs w:val="24"/>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6BAA0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48" w:type="dxa"/>
            <w:vAlign w:val="center"/>
          </w:tcPr>
          <w:p w14:paraId="2D2A3ADE">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课程目标2</w:t>
            </w:r>
          </w:p>
        </w:tc>
        <w:tc>
          <w:tcPr>
            <w:tcW w:w="2223" w:type="dxa"/>
            <w:vAlign w:val="center"/>
          </w:tcPr>
          <w:p w14:paraId="7D503114">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毕业要求1</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师德规范</w:t>
            </w:r>
          </w:p>
          <w:p w14:paraId="2646CBB5">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毕业要求5</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班级管理</w:t>
            </w:r>
          </w:p>
        </w:tc>
        <w:tc>
          <w:tcPr>
            <w:tcW w:w="4977" w:type="dxa"/>
            <w:vAlign w:val="center"/>
          </w:tcPr>
          <w:p w14:paraId="46A5608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指标点1-1：【理想信念坚定】认同中国特色社会主义，贯彻党的教育方针，自觉践行社会主义核心价值观，树立职业理想，立志成为有理想信念、有道德情操、有扎实学识、有仁爱之心的好教师。</w:t>
            </w:r>
          </w:p>
          <w:p w14:paraId="6B30748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018D7DA8">
            <w:pPr>
              <w:spacing w:line="276" w:lineRule="auto"/>
              <w:jc w:val="left"/>
              <w:rPr>
                <w:rFonts w:ascii="宋体" w:hAnsi="宋体" w:eastAsia="宋体" w:cs="Times New Roman"/>
                <w:szCs w:val="21"/>
              </w:rPr>
            </w:pPr>
            <w:r>
              <w:rPr>
                <w:rFonts w:hint="eastAsia" w:ascii="宋体" w:hAnsi="宋体" w:eastAsia="宋体" w:cs="Times New Roman"/>
                <w:szCs w:val="21"/>
              </w:rPr>
              <w:t>指标点5-2：【强化德育地位】获得小学德育工作体验，树立德育为先的理念，熟悉小学德育的基本原理与方法。</w:t>
            </w:r>
          </w:p>
          <w:p w14:paraId="0BFF77B0">
            <w:pPr>
              <w:spacing w:line="276" w:lineRule="auto"/>
              <w:jc w:val="left"/>
              <w:rPr>
                <w:rFonts w:ascii="宋体" w:hAnsi="宋体" w:eastAsia="宋体" w:cs="Times New Roman"/>
                <w:color w:val="000000"/>
                <w:kern w:val="0"/>
                <w:szCs w:val="21"/>
              </w:rPr>
            </w:pPr>
            <w:r>
              <w:rPr>
                <w:rFonts w:hint="eastAsia" w:ascii="宋体" w:hAnsi="宋体" w:eastAsia="宋体" w:cs="Times New Roman"/>
                <w:szCs w:val="21"/>
              </w:rPr>
              <w:t>指标点5-3：【重视心理健康教育】获得小学心理健康教育指导体验，参与组织与指导对小学生心理健康教育的科普宣传及心理辅导，掌握小学心理健康教育的基本方法。</w:t>
            </w:r>
          </w:p>
        </w:tc>
      </w:tr>
      <w:tr w14:paraId="5388F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48" w:type="dxa"/>
            <w:vAlign w:val="center"/>
          </w:tcPr>
          <w:p w14:paraId="285C70DE">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223" w:type="dxa"/>
            <w:vAlign w:val="center"/>
          </w:tcPr>
          <w:p w14:paraId="3B9CB6B7">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毕业要求1</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师德规范</w:t>
            </w:r>
          </w:p>
        </w:tc>
        <w:tc>
          <w:tcPr>
            <w:tcW w:w="4977" w:type="dxa"/>
            <w:vAlign w:val="center"/>
          </w:tcPr>
          <w:p w14:paraId="0F4B2825">
            <w:pPr>
              <w:shd w:val="clear" w:color="auto" w:fill="FFFFFF"/>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指标点1-1：【理想信念坚定】认同中国特色社会主义，贯彻党的教育方针，自觉践行社会主义核心价值观，树立职业理想，立志成为有理想信念、有道德情操、有扎实学识、有仁爱之心的好教师。</w:t>
            </w:r>
          </w:p>
          <w:p w14:paraId="1BA7374F">
            <w:pPr>
              <w:shd w:val="clear" w:color="auto" w:fill="FFFFFF"/>
              <w:spacing w:line="276" w:lineRule="auto"/>
              <w:jc w:val="left"/>
              <w:rPr>
                <w:rFonts w:ascii="宋体" w:hAnsi="宋体" w:eastAsia="宋体" w:cs="Times New Roman"/>
                <w:color w:val="000000"/>
                <w:spacing w:val="2"/>
                <w:kern w:val="0"/>
                <w:szCs w:val="21"/>
              </w:rPr>
            </w:pPr>
            <w:r>
              <w:rPr>
                <w:rFonts w:hint="eastAsia" w:ascii="宋体" w:hAnsi="宋体" w:eastAsia="宋体" w:cs="Times New Roman"/>
                <w:color w:val="00000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bl>
    <w:p w14:paraId="0C56FBD2">
      <w:pPr>
        <w:spacing w:line="360" w:lineRule="auto"/>
        <w:ind w:firstLine="482" w:firstLineChars="200"/>
        <w:jc w:val="center"/>
        <w:rPr>
          <w:rFonts w:ascii="Times New Roman" w:hAnsi="Times New Roman" w:eastAsia="宋体" w:cs="Times New Roman"/>
          <w:b/>
          <w:bCs/>
          <w:sz w:val="24"/>
          <w:szCs w:val="24"/>
        </w:rPr>
      </w:pPr>
    </w:p>
    <w:p w14:paraId="7CFBC8F9">
      <w:pPr>
        <w:spacing w:line="348"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三、课程内容及要求</w:t>
      </w:r>
    </w:p>
    <w:p w14:paraId="45C67797">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（一）教育伦理学的基本理论</w:t>
      </w:r>
      <w:r>
        <w:rPr>
          <w:rFonts w:hint="eastAsia" w:ascii="Times New Roman" w:hAnsi="Times New Roman" w:eastAsia="宋体" w:cs="Times New Roman"/>
          <w:sz w:val="24"/>
          <w:szCs w:val="24"/>
        </w:rPr>
        <w:t>（本模块各知识点的讲授与学习，可以支撑课程目标1）</w:t>
      </w:r>
    </w:p>
    <w:p w14:paraId="4F3DAFE8">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71A537E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（1）何谓教育伦理学</w:t>
      </w:r>
    </w:p>
    <w:p w14:paraId="2A18961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（2）中外教育伦理思想发展概况</w:t>
      </w:r>
    </w:p>
    <w:p w14:paraId="037A001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（3）教育与善的追求</w:t>
      </w:r>
    </w:p>
    <w:p w14:paraId="1FFAB38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（4）教育制度与教育政策的伦理</w:t>
      </w:r>
    </w:p>
    <w:p w14:paraId="1DB1F8D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（5）教育中的利益冲突与道德调试</w:t>
      </w:r>
    </w:p>
    <w:p w14:paraId="05572362">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74C71ED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（1）了解教育伦理学的学科性质、定义与研究对象、中外教育伦理思想发展概况</w:t>
      </w:r>
    </w:p>
    <w:p w14:paraId="6FD781FA">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（2）理解并掌握“教育”与“伦理”的内在联系</w:t>
      </w:r>
    </w:p>
    <w:p w14:paraId="764B2BB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（3）明确学习教育伦理学的意义</w:t>
      </w:r>
    </w:p>
    <w:p w14:paraId="2EE6DD4E">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（4）内化教育与善的追求</w:t>
      </w:r>
    </w:p>
    <w:p w14:paraId="4D51F02A">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（5）明确教育制度与教育政策的伦理</w:t>
      </w:r>
    </w:p>
    <w:p w14:paraId="34C0D01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6</w:t>
      </w:r>
      <w:r>
        <w:rPr>
          <w:rFonts w:hint="eastAsia" w:ascii="Times New Roman" w:hAnsi="Times New Roman" w:eastAsia="宋体" w:cs="Times New Roman"/>
          <w:sz w:val="24"/>
          <w:szCs w:val="24"/>
        </w:rPr>
        <w:t>）理解教育中的利益冲突并能进行道德调试</w:t>
      </w:r>
    </w:p>
    <w:p w14:paraId="517DA11E">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8FB556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引导学生形成较高的教师职业认同感，认同教师职业的专业性与意义性，有着良好的职业理想与较强的敬业精神。树立</w:t>
      </w:r>
      <w:r>
        <w:rPr>
          <w:rFonts w:ascii="Times New Roman" w:hAnsi="Times New Roman" w:eastAsia="宋体" w:cs="Times New Roman"/>
          <w:sz w:val="24"/>
          <w:szCs w:val="24"/>
        </w:rPr>
        <w:t>正确的儿童观，理解、尊重、关爱、保护学生，以儿童发展为教育的中心。</w:t>
      </w:r>
      <w:r>
        <w:rPr>
          <w:rFonts w:hint="eastAsia" w:ascii="Times New Roman" w:hAnsi="Times New Roman" w:eastAsia="宋体" w:cs="Times New Roman"/>
          <w:sz w:val="24"/>
          <w:szCs w:val="24"/>
        </w:rPr>
        <w:t>同时树立以培养全面发展的社会主义事业建设者和接班人的职业理想。</w:t>
      </w:r>
    </w:p>
    <w:p w14:paraId="243241AF">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教育伦理学的定义、教育与善的追求。</w:t>
      </w:r>
    </w:p>
    <w:p w14:paraId="2C25DF78">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“教育”与“伦理”的内在联系以及教育中的利益冲突与道德调试</w:t>
      </w:r>
    </w:p>
    <w:p w14:paraId="1AA8B422">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（二）教育伦理原则与范畴</w:t>
      </w:r>
      <w:r>
        <w:rPr>
          <w:rFonts w:hint="eastAsia" w:ascii="Times New Roman" w:hAnsi="Times New Roman" w:eastAsia="宋体" w:cs="Times New Roman"/>
          <w:sz w:val="24"/>
          <w:szCs w:val="24"/>
        </w:rPr>
        <w:t>（本模块的各知识点的讲授和学习，可以支撑课程目标1）</w:t>
      </w:r>
    </w:p>
    <w:p w14:paraId="57258722">
      <w:pPr>
        <w:spacing w:line="348"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4A87B1B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（1）教育伦理原则</w:t>
      </w:r>
    </w:p>
    <w:p w14:paraId="4C61C7B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（2）教育伦理范畴</w:t>
      </w:r>
    </w:p>
    <w:p w14:paraId="4F514C86">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34A0364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（1）掌握教育伦理的基本原则和范畴</w:t>
      </w:r>
    </w:p>
    <w:p w14:paraId="33E55FF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（2）内化教育伦理的基本原则和范畴，在教育教学实践中能够自觉遵守</w:t>
      </w:r>
    </w:p>
    <w:p w14:paraId="247EED0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课程思政育人目标</w:t>
      </w:r>
    </w:p>
    <w:p w14:paraId="4B82972F">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引导学生认同认同中国特色社会主义，贯彻党的教育方针，自觉践行社会主义核心价值观。</w:t>
      </w:r>
      <w:r>
        <w:rPr>
          <w:rFonts w:ascii="Times New Roman" w:hAnsi="Times New Roman" w:eastAsia="宋体" w:cs="Times New Roman"/>
          <w:sz w:val="24"/>
          <w:szCs w:val="24"/>
        </w:rPr>
        <w:t>以立德树人为己任，遵守教师职业道德规范，依法执教，</w:t>
      </w:r>
      <w:r>
        <w:rPr>
          <w:rFonts w:hint="eastAsia" w:ascii="Times New Roman" w:hAnsi="Times New Roman" w:eastAsia="宋体" w:cs="Times New Roman"/>
          <w:sz w:val="24"/>
          <w:szCs w:val="24"/>
        </w:rPr>
        <w:t>具有较高的教师职业认同感，</w:t>
      </w:r>
      <w:r>
        <w:rPr>
          <w:rFonts w:ascii="Times New Roman" w:hAnsi="Times New Roman" w:eastAsia="宋体" w:cs="Times New Roman"/>
          <w:sz w:val="24"/>
          <w:szCs w:val="24"/>
        </w:rPr>
        <w:t>立志成为有理想信念、有道德情操、有扎实学识、有仁爱之心的好教师。</w:t>
      </w:r>
    </w:p>
    <w:p w14:paraId="448F5D9B">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教育伦理原则中的立德树人、教育公正、教育仁爱、尊师重教</w:t>
      </w:r>
    </w:p>
    <w:p w14:paraId="54BDAD6B">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教育伦理范畴中的教育良心、教育诚信、教育分寸</w:t>
      </w:r>
    </w:p>
    <w:p w14:paraId="597FF7DD">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（三）教育中的具体伦理问题研究</w:t>
      </w:r>
      <w:r>
        <w:rPr>
          <w:rFonts w:hint="eastAsia" w:ascii="Times New Roman" w:hAnsi="Times New Roman" w:eastAsia="宋体" w:cs="Times New Roman"/>
          <w:sz w:val="24"/>
          <w:szCs w:val="24"/>
        </w:rPr>
        <w:t>（本模块各知识点的讲授与学习，可以支撑课程目标</w:t>
      </w: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p>
    <w:p w14:paraId="7B32ECDA">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32F3C08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（1）教师伦理</w:t>
      </w:r>
    </w:p>
    <w:p w14:paraId="7EC775B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（2）教育管理伦理</w:t>
      </w:r>
    </w:p>
    <w:p w14:paraId="3752E46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（3）学校与社会关系中的伦理</w:t>
      </w:r>
    </w:p>
    <w:p w14:paraId="795048BB">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（4）家校关系与家庭教育中的伦理</w:t>
      </w:r>
    </w:p>
    <w:p w14:paraId="502E0F5F">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285A0AC9">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（1）了解教育中的各种具体伦理问题</w:t>
      </w:r>
    </w:p>
    <w:p w14:paraId="707B3EF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（2）明确教育中的各种具体伦理问题中的相关伦理要求</w:t>
      </w:r>
    </w:p>
    <w:p w14:paraId="31EB7A2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（3）践行相关伦理要求</w:t>
      </w:r>
    </w:p>
    <w:p w14:paraId="767B315D">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108CC6A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引导学生辩证认识学校与社会、学校与家庭的关系，践行社会主义核心价值观贯穿课程始终，从国家意识、法治意识、社会责任意识和个人诚信意识等层面，加强社会公德、职业道德、家庭美德、个人品德教育，在潜移默化中引导学生树立正确的世界观、人生观、价值观。</w:t>
      </w:r>
    </w:p>
    <w:p w14:paraId="0AD870BA">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教师伦理及其相关要求、教育管理伦理</w:t>
      </w:r>
    </w:p>
    <w:p w14:paraId="5E2FD72C">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学校与社会关系、家校关系中的伦理</w:t>
      </w:r>
    </w:p>
    <w:p w14:paraId="4CCACD1B">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（四）教育伦理道德实践</w:t>
      </w:r>
      <w:r>
        <w:rPr>
          <w:rFonts w:hint="eastAsia" w:ascii="Times New Roman" w:hAnsi="Times New Roman" w:eastAsia="宋体" w:cs="Times New Roman"/>
          <w:sz w:val="24"/>
          <w:szCs w:val="24"/>
        </w:rPr>
        <w:t>（本模块各知识点的讲授与学习，可以支撑课程目标3）</w:t>
      </w:r>
    </w:p>
    <w:p w14:paraId="00261B38">
      <w:pPr>
        <w:spacing w:line="348"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639930C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（1）教师行为选择和道德评价</w:t>
      </w:r>
    </w:p>
    <w:p w14:paraId="31AF53F9">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（2）教师道德规范和教师道德实践</w:t>
      </w:r>
    </w:p>
    <w:p w14:paraId="64C2EE0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（3）教师职业伦理修养和人格完善</w:t>
      </w:r>
    </w:p>
    <w:p w14:paraId="60D21EF8">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418F4F1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（1）明确教师职业道德规范和道德实践要求</w:t>
      </w:r>
    </w:p>
    <w:p w14:paraId="38F7756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（2）理解教师职业道德评价标准</w:t>
      </w:r>
    </w:p>
    <w:p w14:paraId="6FAAC01C">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（3）掌握提升教师职业伦理修养和人格完善的方法和途径</w:t>
      </w:r>
    </w:p>
    <w:p w14:paraId="57B45B5A">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6EFE9FC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教育引导学生以立德树人为己任，遵守教师职业道德规范，依法执教，立志成为有理想信念、有道德情操、有扎实学识、有仁爱之心的好教师。</w:t>
      </w:r>
    </w:p>
    <w:p w14:paraId="5B88B1E6">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教师行为选择和道德实践要求、教师职业伦理修养和人格完善</w:t>
      </w:r>
    </w:p>
    <w:p w14:paraId="69C8E986">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教师行为选择和道德评价</w:t>
      </w:r>
    </w:p>
    <w:p w14:paraId="0E371DC9">
      <w:pPr>
        <w:spacing w:line="360" w:lineRule="auto"/>
        <w:ind w:firstLine="480"/>
        <w:rPr>
          <w:rFonts w:ascii="Times New Roman" w:hAnsi="Times New Roman" w:eastAsia="宋体" w:cs="Times New Roman"/>
          <w:sz w:val="24"/>
          <w:szCs w:val="24"/>
        </w:rPr>
      </w:pPr>
    </w:p>
    <w:p w14:paraId="1C6EE916">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教学内容与课程目标的对应关系及学时分配如表所示</w:t>
      </w:r>
    </w:p>
    <w:tbl>
      <w:tblPr>
        <w:tblStyle w:val="30"/>
        <w:tblW w:w="92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255"/>
        <w:gridCol w:w="1842"/>
        <w:gridCol w:w="2132"/>
        <w:gridCol w:w="7"/>
        <w:gridCol w:w="701"/>
        <w:gridCol w:w="709"/>
      </w:tblGrid>
      <w:tr w14:paraId="7EAE7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FFFFFF"/>
            <w:vAlign w:val="center"/>
          </w:tcPr>
          <w:p w14:paraId="621AB9E9">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序号</w:t>
            </w:r>
          </w:p>
        </w:tc>
        <w:tc>
          <w:tcPr>
            <w:tcW w:w="3255" w:type="dxa"/>
            <w:shd w:val="clear" w:color="auto" w:fill="FFFFFF"/>
            <w:vAlign w:val="center"/>
          </w:tcPr>
          <w:p w14:paraId="3DE734FF">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教学内容</w:t>
            </w:r>
          </w:p>
        </w:tc>
        <w:tc>
          <w:tcPr>
            <w:tcW w:w="1842" w:type="dxa"/>
            <w:shd w:val="clear" w:color="auto" w:fill="FFFFFF"/>
            <w:vAlign w:val="center"/>
          </w:tcPr>
          <w:p w14:paraId="499D6E82">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支撑</w:t>
            </w:r>
            <w:r>
              <w:rPr>
                <w:rFonts w:hint="eastAsia" w:ascii="宋体" w:hAnsi="宋体" w:eastAsia="宋体" w:cs="Times New Roman"/>
                <w:b/>
                <w:color w:val="000000"/>
                <w:szCs w:val="21"/>
              </w:rPr>
              <w:t>的</w:t>
            </w:r>
            <w:r>
              <w:rPr>
                <w:rFonts w:ascii="宋体" w:hAnsi="宋体" w:eastAsia="宋体" w:cs="Times New Roman"/>
                <w:b/>
                <w:color w:val="000000"/>
                <w:szCs w:val="21"/>
              </w:rPr>
              <w:t>课程目标</w:t>
            </w:r>
          </w:p>
        </w:tc>
        <w:tc>
          <w:tcPr>
            <w:tcW w:w="2132" w:type="dxa"/>
            <w:shd w:val="clear" w:color="auto" w:fill="FFFFFF"/>
            <w:vAlign w:val="center"/>
          </w:tcPr>
          <w:p w14:paraId="76A37CEA">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支撑</w:t>
            </w:r>
            <w:r>
              <w:rPr>
                <w:rFonts w:hint="eastAsia" w:ascii="宋体" w:hAnsi="宋体" w:eastAsia="宋体" w:cs="Times New Roman"/>
                <w:b/>
                <w:color w:val="000000"/>
                <w:szCs w:val="21"/>
              </w:rPr>
              <w:t>的</w:t>
            </w:r>
            <w:r>
              <w:rPr>
                <w:rFonts w:ascii="宋体" w:hAnsi="宋体" w:eastAsia="宋体" w:cs="Times New Roman"/>
                <w:b/>
                <w:color w:val="000000"/>
                <w:szCs w:val="21"/>
              </w:rPr>
              <w:t>毕业要求</w:t>
            </w:r>
          </w:p>
          <w:p w14:paraId="65FAF090">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指标点</w:t>
            </w:r>
          </w:p>
        </w:tc>
        <w:tc>
          <w:tcPr>
            <w:tcW w:w="708" w:type="dxa"/>
            <w:gridSpan w:val="2"/>
            <w:shd w:val="clear" w:color="auto" w:fill="FFFFFF"/>
            <w:vAlign w:val="center"/>
          </w:tcPr>
          <w:p w14:paraId="69C74632">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讲</w:t>
            </w:r>
            <w:r>
              <w:rPr>
                <w:rFonts w:hint="eastAsia" w:ascii="宋体" w:hAnsi="宋体" w:eastAsia="宋体" w:cs="Times New Roman"/>
                <w:b/>
                <w:color w:val="000000"/>
                <w:szCs w:val="21"/>
              </w:rPr>
              <w:t>授</w:t>
            </w:r>
            <w:r>
              <w:rPr>
                <w:rFonts w:ascii="宋体" w:hAnsi="宋体" w:eastAsia="宋体" w:cs="Times New Roman"/>
                <w:b/>
                <w:color w:val="000000"/>
                <w:szCs w:val="21"/>
              </w:rPr>
              <w:t>学时</w:t>
            </w:r>
          </w:p>
        </w:tc>
        <w:tc>
          <w:tcPr>
            <w:tcW w:w="709" w:type="dxa"/>
            <w:shd w:val="clear" w:color="auto" w:fill="FFFFFF"/>
            <w:vAlign w:val="center"/>
          </w:tcPr>
          <w:p w14:paraId="21F51392">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实验</w:t>
            </w:r>
          </w:p>
          <w:p w14:paraId="0E82989A">
            <w:pPr>
              <w:spacing w:line="276" w:lineRule="auto"/>
              <w:jc w:val="center"/>
              <w:rPr>
                <w:rFonts w:ascii="宋体" w:hAnsi="宋体" w:eastAsia="宋体" w:cs="Times New Roman"/>
                <w:b/>
                <w:color w:val="000000"/>
                <w:szCs w:val="21"/>
              </w:rPr>
            </w:pPr>
            <w:r>
              <w:rPr>
                <w:rFonts w:ascii="宋体" w:hAnsi="宋体" w:eastAsia="宋体" w:cs="Times New Roman"/>
                <w:b/>
                <w:color w:val="000000"/>
                <w:szCs w:val="21"/>
              </w:rPr>
              <w:t>学时</w:t>
            </w:r>
          </w:p>
        </w:tc>
      </w:tr>
      <w:tr w14:paraId="4F79A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FFFFFF"/>
            <w:vAlign w:val="center"/>
          </w:tcPr>
          <w:p w14:paraId="3975E71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p>
        </w:tc>
        <w:tc>
          <w:tcPr>
            <w:tcW w:w="3255" w:type="dxa"/>
            <w:shd w:val="clear" w:color="auto" w:fill="FFFFFF"/>
            <w:vAlign w:val="center"/>
          </w:tcPr>
          <w:p w14:paraId="7FC0483E">
            <w:pPr>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教育伦理学的基本理论</w:t>
            </w:r>
          </w:p>
        </w:tc>
        <w:tc>
          <w:tcPr>
            <w:tcW w:w="1842" w:type="dxa"/>
            <w:shd w:val="clear" w:color="auto" w:fill="FFFFFF"/>
            <w:vAlign w:val="center"/>
          </w:tcPr>
          <w:p w14:paraId="72F26D8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tc>
        <w:tc>
          <w:tcPr>
            <w:tcW w:w="2132" w:type="dxa"/>
            <w:shd w:val="clear" w:color="auto" w:fill="FFFFFF"/>
            <w:vAlign w:val="center"/>
          </w:tcPr>
          <w:p w14:paraId="42074B83">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ascii="宋体" w:hAnsi="宋体" w:eastAsia="宋体" w:cs="Times New Roman"/>
                <w:color w:val="000000"/>
                <w:szCs w:val="21"/>
              </w:rPr>
              <w:t>2</w:t>
            </w:r>
          </w:p>
        </w:tc>
        <w:tc>
          <w:tcPr>
            <w:tcW w:w="708" w:type="dxa"/>
            <w:gridSpan w:val="2"/>
            <w:shd w:val="clear" w:color="auto" w:fill="FFFFFF"/>
            <w:vAlign w:val="center"/>
          </w:tcPr>
          <w:p w14:paraId="3AF57F15">
            <w:pPr>
              <w:spacing w:line="276" w:lineRule="auto"/>
              <w:jc w:val="center"/>
              <w:rPr>
                <w:rFonts w:ascii="宋体" w:hAnsi="宋体" w:eastAsia="宋体" w:cs="Times New Roman"/>
                <w:kern w:val="0"/>
                <w:szCs w:val="21"/>
              </w:rPr>
            </w:pPr>
            <w:r>
              <w:rPr>
                <w:rFonts w:ascii="宋体" w:hAnsi="宋体" w:eastAsia="宋体" w:cs="Times New Roman"/>
                <w:kern w:val="0"/>
                <w:szCs w:val="21"/>
              </w:rPr>
              <w:t>4</w:t>
            </w:r>
          </w:p>
        </w:tc>
        <w:tc>
          <w:tcPr>
            <w:tcW w:w="709" w:type="dxa"/>
            <w:shd w:val="clear" w:color="auto" w:fill="FFFFFF"/>
            <w:vAlign w:val="center"/>
          </w:tcPr>
          <w:p w14:paraId="5049015B">
            <w:pPr>
              <w:spacing w:line="276" w:lineRule="auto"/>
              <w:jc w:val="center"/>
              <w:rPr>
                <w:rFonts w:ascii="宋体" w:hAnsi="宋体" w:eastAsia="宋体" w:cs="Times New Roman"/>
                <w:kern w:val="0"/>
                <w:szCs w:val="21"/>
              </w:rPr>
            </w:pPr>
          </w:p>
        </w:tc>
      </w:tr>
      <w:tr w14:paraId="6218E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68" w:type="dxa"/>
            <w:vAlign w:val="center"/>
          </w:tcPr>
          <w:p w14:paraId="5EBAE6D3">
            <w:pPr>
              <w:spacing w:line="276" w:lineRule="auto"/>
              <w:jc w:val="center"/>
              <w:rPr>
                <w:rFonts w:ascii="宋体" w:hAnsi="宋体" w:eastAsia="宋体" w:cs="Times New Roman"/>
                <w:szCs w:val="21"/>
              </w:rPr>
            </w:pPr>
            <w:r>
              <w:rPr>
                <w:rFonts w:hint="eastAsia" w:ascii="宋体" w:hAnsi="宋体" w:eastAsia="宋体" w:cs="Times New Roman"/>
                <w:szCs w:val="21"/>
              </w:rPr>
              <w:t>2</w:t>
            </w:r>
          </w:p>
        </w:tc>
        <w:tc>
          <w:tcPr>
            <w:tcW w:w="3255" w:type="dxa"/>
            <w:vAlign w:val="center"/>
          </w:tcPr>
          <w:p w14:paraId="31734C81">
            <w:pPr>
              <w:widowControl/>
              <w:snapToGrid w:val="0"/>
              <w:spacing w:line="276" w:lineRule="auto"/>
              <w:jc w:val="left"/>
              <w:rPr>
                <w:rFonts w:ascii="宋体" w:hAnsi="宋体" w:eastAsia="宋体" w:cs="宋体"/>
                <w:color w:val="000000"/>
                <w:kern w:val="0"/>
                <w:szCs w:val="21"/>
              </w:rPr>
            </w:pPr>
            <w:r>
              <w:rPr>
                <w:rFonts w:hint="eastAsia" w:ascii="宋体" w:hAnsi="宋体" w:eastAsia="宋体" w:cs="宋体"/>
                <w:color w:val="000000"/>
                <w:kern w:val="0"/>
                <w:szCs w:val="21"/>
              </w:rPr>
              <w:t>教育伦理原则与范畴</w:t>
            </w:r>
          </w:p>
        </w:tc>
        <w:tc>
          <w:tcPr>
            <w:tcW w:w="1842" w:type="dxa"/>
            <w:vAlign w:val="center"/>
          </w:tcPr>
          <w:p w14:paraId="548DD28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目标1</w:t>
            </w:r>
          </w:p>
        </w:tc>
        <w:tc>
          <w:tcPr>
            <w:tcW w:w="2132" w:type="dxa"/>
            <w:vAlign w:val="center"/>
          </w:tcPr>
          <w:p w14:paraId="568F933C">
            <w:pPr>
              <w:spacing w:line="276" w:lineRule="auto"/>
              <w:jc w:val="center"/>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、1-</w:t>
            </w:r>
            <w:r>
              <w:rPr>
                <w:rFonts w:ascii="宋体" w:hAnsi="宋体" w:eastAsia="宋体" w:cs="Times New Roman"/>
                <w:szCs w:val="21"/>
              </w:rPr>
              <w:t>2</w:t>
            </w:r>
          </w:p>
        </w:tc>
        <w:tc>
          <w:tcPr>
            <w:tcW w:w="708" w:type="dxa"/>
            <w:gridSpan w:val="2"/>
            <w:vAlign w:val="center"/>
          </w:tcPr>
          <w:p w14:paraId="254E71B0">
            <w:pPr>
              <w:spacing w:line="276" w:lineRule="auto"/>
              <w:jc w:val="center"/>
              <w:rPr>
                <w:rFonts w:ascii="宋体" w:hAnsi="宋体" w:eastAsia="宋体" w:cs="Times New Roman"/>
                <w:kern w:val="0"/>
                <w:szCs w:val="21"/>
              </w:rPr>
            </w:pPr>
            <w:r>
              <w:rPr>
                <w:rFonts w:ascii="宋体" w:hAnsi="宋体" w:eastAsia="宋体" w:cs="Times New Roman"/>
                <w:kern w:val="0"/>
                <w:szCs w:val="21"/>
              </w:rPr>
              <w:t>6</w:t>
            </w:r>
          </w:p>
        </w:tc>
        <w:tc>
          <w:tcPr>
            <w:tcW w:w="709" w:type="dxa"/>
            <w:vAlign w:val="center"/>
          </w:tcPr>
          <w:p w14:paraId="221EBB96">
            <w:pPr>
              <w:spacing w:line="276" w:lineRule="auto"/>
              <w:ind w:firstLine="420" w:firstLineChars="200"/>
              <w:jc w:val="center"/>
              <w:rPr>
                <w:rFonts w:ascii="宋体" w:hAnsi="宋体" w:eastAsia="宋体" w:cs="Times New Roman"/>
                <w:kern w:val="0"/>
                <w:szCs w:val="21"/>
              </w:rPr>
            </w:pPr>
          </w:p>
        </w:tc>
      </w:tr>
      <w:tr w14:paraId="4E587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68" w:type="dxa"/>
            <w:vAlign w:val="center"/>
          </w:tcPr>
          <w:p w14:paraId="23697D21">
            <w:pPr>
              <w:spacing w:line="276" w:lineRule="auto"/>
              <w:jc w:val="center"/>
              <w:rPr>
                <w:rFonts w:ascii="宋体" w:hAnsi="宋体" w:eastAsia="宋体" w:cs="Times New Roman"/>
                <w:szCs w:val="21"/>
              </w:rPr>
            </w:pPr>
            <w:r>
              <w:rPr>
                <w:rFonts w:hint="eastAsia" w:ascii="宋体" w:hAnsi="宋体" w:eastAsia="宋体" w:cs="Times New Roman"/>
                <w:szCs w:val="21"/>
              </w:rPr>
              <w:t>3</w:t>
            </w:r>
          </w:p>
        </w:tc>
        <w:tc>
          <w:tcPr>
            <w:tcW w:w="3255" w:type="dxa"/>
            <w:vAlign w:val="center"/>
          </w:tcPr>
          <w:p w14:paraId="1958DCC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教育中的具体伦理问题研究</w:t>
            </w:r>
          </w:p>
        </w:tc>
        <w:tc>
          <w:tcPr>
            <w:tcW w:w="1842" w:type="dxa"/>
            <w:vAlign w:val="center"/>
          </w:tcPr>
          <w:p w14:paraId="513EE0A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w:t>
            </w:r>
            <w:r>
              <w:rPr>
                <w:rFonts w:ascii="宋体" w:hAnsi="宋体" w:eastAsia="宋体" w:cs="Times New Roman"/>
                <w:color w:val="000000"/>
                <w:szCs w:val="21"/>
              </w:rPr>
              <w:t>2</w:t>
            </w:r>
          </w:p>
        </w:tc>
        <w:tc>
          <w:tcPr>
            <w:tcW w:w="2132" w:type="dxa"/>
            <w:vAlign w:val="center"/>
          </w:tcPr>
          <w:p w14:paraId="0F6AA599">
            <w:pPr>
              <w:spacing w:line="276" w:lineRule="auto"/>
              <w:jc w:val="center"/>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3</w:t>
            </w:r>
          </w:p>
        </w:tc>
        <w:tc>
          <w:tcPr>
            <w:tcW w:w="708" w:type="dxa"/>
            <w:gridSpan w:val="2"/>
            <w:vAlign w:val="center"/>
          </w:tcPr>
          <w:p w14:paraId="127777F7">
            <w:pPr>
              <w:spacing w:line="276" w:lineRule="auto"/>
              <w:jc w:val="center"/>
              <w:rPr>
                <w:rFonts w:ascii="宋体" w:hAnsi="宋体" w:eastAsia="宋体" w:cs="Times New Roman"/>
                <w:kern w:val="0"/>
                <w:szCs w:val="21"/>
              </w:rPr>
            </w:pPr>
            <w:r>
              <w:rPr>
                <w:rFonts w:ascii="宋体" w:hAnsi="宋体" w:eastAsia="宋体" w:cs="Times New Roman"/>
                <w:kern w:val="0"/>
                <w:szCs w:val="21"/>
              </w:rPr>
              <w:t>16</w:t>
            </w:r>
          </w:p>
        </w:tc>
        <w:tc>
          <w:tcPr>
            <w:tcW w:w="709" w:type="dxa"/>
            <w:vAlign w:val="center"/>
          </w:tcPr>
          <w:p w14:paraId="6281AF77">
            <w:pPr>
              <w:spacing w:line="276" w:lineRule="auto"/>
              <w:ind w:firstLine="420" w:firstLineChars="200"/>
              <w:jc w:val="center"/>
              <w:rPr>
                <w:rFonts w:ascii="宋体" w:hAnsi="宋体" w:eastAsia="宋体" w:cs="Times New Roman"/>
                <w:kern w:val="0"/>
                <w:szCs w:val="21"/>
              </w:rPr>
            </w:pPr>
          </w:p>
        </w:tc>
      </w:tr>
      <w:tr w14:paraId="72F10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68" w:type="dxa"/>
            <w:vAlign w:val="center"/>
          </w:tcPr>
          <w:p w14:paraId="0CC6BA97">
            <w:pPr>
              <w:spacing w:line="276" w:lineRule="auto"/>
              <w:jc w:val="center"/>
              <w:rPr>
                <w:rFonts w:ascii="宋体" w:hAnsi="宋体" w:eastAsia="宋体" w:cs="Times New Roman"/>
                <w:szCs w:val="21"/>
              </w:rPr>
            </w:pPr>
            <w:r>
              <w:rPr>
                <w:rFonts w:ascii="宋体" w:hAnsi="宋体" w:eastAsia="宋体" w:cs="Times New Roman"/>
                <w:szCs w:val="21"/>
              </w:rPr>
              <w:t>4</w:t>
            </w:r>
          </w:p>
        </w:tc>
        <w:tc>
          <w:tcPr>
            <w:tcW w:w="3255" w:type="dxa"/>
            <w:vAlign w:val="center"/>
          </w:tcPr>
          <w:p w14:paraId="09B5EAC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教育伦理道德实践</w:t>
            </w:r>
          </w:p>
        </w:tc>
        <w:tc>
          <w:tcPr>
            <w:tcW w:w="1842" w:type="dxa"/>
            <w:vAlign w:val="center"/>
          </w:tcPr>
          <w:p w14:paraId="30E5B5E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目标</w:t>
            </w:r>
            <w:r>
              <w:rPr>
                <w:rFonts w:ascii="宋体" w:hAnsi="宋体" w:eastAsia="宋体" w:cs="Times New Roman"/>
                <w:color w:val="000000"/>
                <w:szCs w:val="21"/>
              </w:rPr>
              <w:t>3</w:t>
            </w:r>
          </w:p>
        </w:tc>
        <w:tc>
          <w:tcPr>
            <w:tcW w:w="2132" w:type="dxa"/>
            <w:vAlign w:val="center"/>
          </w:tcPr>
          <w:p w14:paraId="3035D561">
            <w:pPr>
              <w:spacing w:line="276" w:lineRule="auto"/>
              <w:jc w:val="center"/>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、1-</w:t>
            </w:r>
            <w:r>
              <w:rPr>
                <w:rFonts w:ascii="宋体" w:hAnsi="宋体" w:eastAsia="宋体" w:cs="Times New Roman"/>
                <w:szCs w:val="21"/>
              </w:rPr>
              <w:t>2</w:t>
            </w:r>
          </w:p>
        </w:tc>
        <w:tc>
          <w:tcPr>
            <w:tcW w:w="708" w:type="dxa"/>
            <w:gridSpan w:val="2"/>
            <w:vAlign w:val="center"/>
          </w:tcPr>
          <w:p w14:paraId="72D3316F">
            <w:pPr>
              <w:spacing w:line="276" w:lineRule="auto"/>
              <w:jc w:val="center"/>
              <w:rPr>
                <w:rFonts w:ascii="宋体" w:hAnsi="宋体" w:eastAsia="宋体" w:cs="Times New Roman"/>
                <w:kern w:val="0"/>
                <w:szCs w:val="21"/>
              </w:rPr>
            </w:pPr>
            <w:r>
              <w:rPr>
                <w:rFonts w:ascii="宋体" w:hAnsi="宋体" w:eastAsia="宋体" w:cs="Times New Roman"/>
                <w:kern w:val="0"/>
                <w:szCs w:val="21"/>
              </w:rPr>
              <w:t>6</w:t>
            </w:r>
          </w:p>
        </w:tc>
        <w:tc>
          <w:tcPr>
            <w:tcW w:w="709" w:type="dxa"/>
            <w:vAlign w:val="center"/>
          </w:tcPr>
          <w:p w14:paraId="0601F89D">
            <w:pPr>
              <w:spacing w:line="276" w:lineRule="auto"/>
              <w:jc w:val="center"/>
              <w:rPr>
                <w:rFonts w:ascii="宋体" w:hAnsi="宋体" w:eastAsia="宋体" w:cs="Times New Roman"/>
                <w:kern w:val="0"/>
                <w:szCs w:val="21"/>
              </w:rPr>
            </w:pPr>
          </w:p>
        </w:tc>
      </w:tr>
      <w:tr w14:paraId="61376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04" w:type="dxa"/>
            <w:gridSpan w:val="5"/>
            <w:vAlign w:val="center"/>
          </w:tcPr>
          <w:p w14:paraId="7CC68409">
            <w:pPr>
              <w:spacing w:line="276" w:lineRule="auto"/>
              <w:jc w:val="center"/>
              <w:rPr>
                <w:rFonts w:ascii="宋体" w:hAnsi="宋体" w:eastAsia="宋体" w:cs="Times New Roman"/>
                <w:szCs w:val="21"/>
              </w:rPr>
            </w:pPr>
            <w:r>
              <w:rPr>
                <w:rFonts w:ascii="宋体" w:hAnsi="宋体" w:eastAsia="宋体" w:cs="Times New Roman"/>
                <w:szCs w:val="21"/>
              </w:rPr>
              <w:t>合计</w:t>
            </w:r>
          </w:p>
        </w:tc>
        <w:tc>
          <w:tcPr>
            <w:tcW w:w="701" w:type="dxa"/>
            <w:vAlign w:val="center"/>
          </w:tcPr>
          <w:p w14:paraId="34C5FFC4">
            <w:pPr>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709" w:type="dxa"/>
            <w:vAlign w:val="center"/>
          </w:tcPr>
          <w:p w14:paraId="6BEC6638">
            <w:pPr>
              <w:spacing w:line="276" w:lineRule="auto"/>
              <w:jc w:val="center"/>
              <w:rPr>
                <w:rFonts w:ascii="宋体" w:hAnsi="宋体" w:eastAsia="宋体" w:cs="Times New Roman"/>
                <w:kern w:val="0"/>
                <w:szCs w:val="21"/>
              </w:rPr>
            </w:pPr>
          </w:p>
        </w:tc>
      </w:tr>
    </w:tbl>
    <w:p w14:paraId="64490E11">
      <w:pPr>
        <w:spacing w:line="360" w:lineRule="auto"/>
        <w:rPr>
          <w:rFonts w:ascii="Times New Roman" w:hAnsi="Times New Roman" w:eastAsia="宋体" w:cs="Times New Roman"/>
          <w:sz w:val="24"/>
          <w:szCs w:val="24"/>
        </w:rPr>
      </w:pPr>
    </w:p>
    <w:p w14:paraId="67BB211B">
      <w:pPr>
        <w:spacing w:line="360" w:lineRule="auto"/>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四、课程实施</w:t>
      </w:r>
    </w:p>
    <w:p w14:paraId="668B72F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（一）本课程理论性较强</w:t>
      </w:r>
      <w:r>
        <w:rPr>
          <w:rFonts w:ascii="Times New Roman" w:hAnsi="Times New Roman" w:eastAsia="宋体" w:cs="Times New Roman"/>
          <w:sz w:val="24"/>
          <w:szCs w:val="24"/>
        </w:rPr>
        <w:t>。在教学中，教师应密切结合</w:t>
      </w:r>
      <w:r>
        <w:rPr>
          <w:rFonts w:hint="eastAsia" w:ascii="Times New Roman" w:hAnsi="Times New Roman" w:eastAsia="宋体" w:cs="Times New Roman"/>
          <w:sz w:val="24"/>
          <w:szCs w:val="24"/>
        </w:rPr>
        <w:t>教育教学实践，多举案例，避免一味的空洞理论讲授，引导学生结合当前教育伦理实践，思考和分析问题，培养学生独立思考、分析问题和解决问题的能力。</w:t>
      </w:r>
    </w:p>
    <w:p w14:paraId="19B86D4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（二）在教学过程中努力贯穿科学性与思想性相统一、传授知识与培养能力相统一、教师主导作用与学生主体性相结合、面向学生与因材施教相结合、理论与实践相结合等原则。</w:t>
      </w:r>
    </w:p>
    <w:p w14:paraId="66571BC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（三）教学方法上以讲授为主，辅以讨论、写论文和研究性学习等方法。</w:t>
      </w:r>
    </w:p>
    <w:p w14:paraId="3885FFB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1EA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674F2B1C">
            <w:pPr>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6B8BE223">
            <w:pPr>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616B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5D2E2E55">
            <w:pPr>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28B9B266">
            <w:pPr>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012E0D0B">
            <w:pPr>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47675F46">
            <w:pPr>
              <w:rPr>
                <w:rFonts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1FE8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vAlign w:val="center"/>
          </w:tcPr>
          <w:p w14:paraId="35D8EF20">
            <w:pPr>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3C0B2608">
            <w:pPr>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50186766">
            <w:pPr>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18C316A4">
            <w:pPr>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34EB11C3">
            <w:pPr>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教学内容充实，不断充实最新研究成果；</w:t>
            </w:r>
          </w:p>
          <w:p w14:paraId="21DBFC2B">
            <w:pPr>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严格执行计划，教学进度适宜；</w:t>
            </w:r>
          </w:p>
          <w:p w14:paraId="674B1268">
            <w:pPr>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课堂教学信息充分，注重理论联系实际；</w:t>
            </w:r>
          </w:p>
          <w:p w14:paraId="3083ACF5">
            <w:pPr>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注重启发学生思维，培养学生的教学能力；</w:t>
            </w:r>
          </w:p>
          <w:p w14:paraId="33296E83">
            <w:pPr>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面向全体基础上因材施教，灵活运用多种教学方法；</w:t>
            </w:r>
          </w:p>
          <w:p w14:paraId="61C02E71">
            <w:pPr>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4"/>
              </w:rPr>
              <w:t>教学语言规范，为学生教育教学做好表率；</w:t>
            </w:r>
          </w:p>
          <w:p w14:paraId="12813531">
            <w:pPr>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4"/>
              </w:rPr>
              <w:t>教学条理清楚，教学思路逻辑严密；</w:t>
            </w:r>
          </w:p>
          <w:p w14:paraId="016AE7E5">
            <w:pPr>
              <w:rPr>
                <w:rFonts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4"/>
              </w:rPr>
              <w:t>充分运用现代化教学手段，教学技术熟练；</w:t>
            </w:r>
          </w:p>
          <w:p w14:paraId="4DC4CECC">
            <w:pPr>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4"/>
              </w:rPr>
              <w:t>课堂教学要重点突出，难点突破；</w:t>
            </w:r>
          </w:p>
          <w:p w14:paraId="708630B3">
            <w:pPr>
              <w:rPr>
                <w:rFonts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4"/>
              </w:rPr>
              <w:t>注重师生互动，形成良好的课堂氛围。</w:t>
            </w:r>
          </w:p>
        </w:tc>
      </w:tr>
      <w:tr w14:paraId="4D04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jc w:val="center"/>
        </w:trPr>
        <w:tc>
          <w:tcPr>
            <w:tcW w:w="582" w:type="dxa"/>
            <w:tcBorders>
              <w:left w:val="single" w:color="auto" w:sz="8" w:space="0"/>
            </w:tcBorders>
            <w:vAlign w:val="center"/>
          </w:tcPr>
          <w:p w14:paraId="2B570139">
            <w:pPr>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6390FE8A">
            <w:pPr>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3FF317AE">
            <w:pPr>
              <w:rPr>
                <w:rFonts w:ascii="宋体" w:hAnsi="宋体" w:eastAsia="宋体" w:cs="Times New Roman"/>
                <w:szCs w:val="21"/>
              </w:rPr>
            </w:pPr>
            <w:r>
              <w:rPr>
                <w:rFonts w:ascii="宋体" w:hAnsi="宋体" w:eastAsia="宋体" w:cs="Times New Roman"/>
                <w:szCs w:val="21"/>
              </w:rPr>
              <w:t>学生必须完成</w:t>
            </w:r>
            <w:r>
              <w:rPr>
                <w:rFonts w:hint="eastAsia" w:ascii="宋体" w:hAnsi="宋体" w:eastAsia="宋体" w:cs="Times New Roman"/>
                <w:szCs w:val="21"/>
              </w:rPr>
              <w:t>规定</w:t>
            </w:r>
            <w:r>
              <w:rPr>
                <w:rFonts w:ascii="宋体" w:hAnsi="宋体" w:eastAsia="宋体" w:cs="Times New Roman"/>
                <w:szCs w:val="21"/>
              </w:rPr>
              <w:t>数量的作业</w:t>
            </w:r>
            <w:r>
              <w:rPr>
                <w:rFonts w:hint="eastAsia" w:ascii="宋体" w:hAnsi="宋体" w:eastAsia="宋体" w:cs="Times New Roman"/>
                <w:szCs w:val="21"/>
              </w:rPr>
              <w:t>，</w:t>
            </w:r>
            <w:r>
              <w:rPr>
                <w:rFonts w:ascii="宋体" w:hAnsi="宋体" w:eastAsia="宋体" w:cs="Times New Roman"/>
                <w:szCs w:val="21"/>
              </w:rPr>
              <w:t>作业必须达到以下基本要求：</w:t>
            </w:r>
          </w:p>
          <w:p w14:paraId="0D2EE740">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按时按量完成作业，不缺交，不抄袭</w:t>
            </w:r>
            <w:r>
              <w:rPr>
                <w:rFonts w:hint="eastAsia" w:ascii="宋体" w:hAnsi="宋体" w:eastAsia="宋体" w:cs="Times New Roman"/>
                <w:szCs w:val="21"/>
              </w:rPr>
              <w:t>。</w:t>
            </w:r>
          </w:p>
          <w:p w14:paraId="02307506">
            <w:pPr>
              <w:rPr>
                <w:rFonts w:ascii="宋体" w:hAnsi="宋体" w:eastAsia="宋体" w:cs="Times New Roman"/>
                <w:szCs w:val="21"/>
              </w:rPr>
            </w:pPr>
            <w:r>
              <w:rPr>
                <w:rFonts w:hint="eastAsia" w:ascii="宋体" w:hAnsi="宋体" w:eastAsia="宋体" w:cs="Times New Roman"/>
                <w:szCs w:val="21"/>
              </w:rPr>
              <w:t>（2）书写</w:t>
            </w:r>
            <w:r>
              <w:rPr>
                <w:rFonts w:ascii="宋体" w:hAnsi="宋体" w:eastAsia="宋体" w:cs="Times New Roman"/>
                <w:szCs w:val="21"/>
              </w:rPr>
              <w:t>规范</w:t>
            </w:r>
            <w:r>
              <w:rPr>
                <w:rFonts w:hint="eastAsia" w:ascii="宋体" w:hAnsi="宋体" w:eastAsia="宋体" w:cs="Times New Roman"/>
                <w:szCs w:val="21"/>
              </w:rPr>
              <w:t>、</w:t>
            </w:r>
            <w:r>
              <w:rPr>
                <w:rFonts w:ascii="宋体" w:hAnsi="宋体" w:eastAsia="宋体" w:cs="Times New Roman"/>
                <w:szCs w:val="21"/>
              </w:rPr>
              <w:t>教学设计方案格式规范、清晰</w:t>
            </w:r>
            <w:r>
              <w:rPr>
                <w:rFonts w:hint="eastAsia" w:ascii="宋体" w:hAnsi="宋体" w:eastAsia="宋体" w:cs="Times New Roman"/>
                <w:szCs w:val="21"/>
              </w:rPr>
              <w:t>。</w:t>
            </w:r>
          </w:p>
          <w:p w14:paraId="2AF5D46E">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教学设计理念先进，教学目标适宜，教学方法灵活，教学组织形式多样、教学过程紧凑，教学准备充分。</w:t>
            </w:r>
          </w:p>
          <w:p w14:paraId="330328D4">
            <w:pPr>
              <w:rPr>
                <w:rFonts w:ascii="宋体" w:hAnsi="宋体" w:eastAsia="宋体" w:cs="Times New Roman"/>
                <w:szCs w:val="21"/>
              </w:rPr>
            </w:pP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讲评作业要求如下：</w:t>
            </w:r>
          </w:p>
          <w:p w14:paraId="21AB3321">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学生的作业要</w:t>
            </w:r>
            <w:r>
              <w:rPr>
                <w:rFonts w:hint="eastAsia" w:ascii="宋体" w:hAnsi="宋体" w:eastAsia="宋体" w:cs="Times New Roman"/>
                <w:szCs w:val="21"/>
              </w:rPr>
              <w:t>按时</w:t>
            </w:r>
            <w:r>
              <w:rPr>
                <w:rFonts w:ascii="宋体" w:hAnsi="宋体" w:eastAsia="宋体" w:cs="Times New Roman"/>
                <w:szCs w:val="21"/>
              </w:rPr>
              <w:t>全</w:t>
            </w:r>
            <w:r>
              <w:rPr>
                <w:rFonts w:hint="eastAsia" w:ascii="宋体" w:hAnsi="宋体" w:eastAsia="宋体" w:cs="Times New Roman"/>
                <w:szCs w:val="21"/>
              </w:rPr>
              <w:t>部</w:t>
            </w:r>
            <w:r>
              <w:rPr>
                <w:rFonts w:ascii="宋体" w:hAnsi="宋体" w:eastAsia="宋体" w:cs="Times New Roman"/>
                <w:szCs w:val="21"/>
              </w:rPr>
              <w:t>批改，并</w:t>
            </w:r>
            <w:r>
              <w:rPr>
                <w:rFonts w:hint="eastAsia" w:ascii="宋体" w:hAnsi="宋体" w:eastAsia="宋体" w:cs="Times New Roman"/>
                <w:szCs w:val="21"/>
              </w:rPr>
              <w:t>及时进行</w:t>
            </w:r>
            <w:r>
              <w:rPr>
                <w:rFonts w:ascii="宋体" w:hAnsi="宋体" w:eastAsia="宋体" w:cs="Times New Roman"/>
                <w:szCs w:val="21"/>
              </w:rPr>
              <w:t>讲评</w:t>
            </w:r>
            <w:r>
              <w:rPr>
                <w:rFonts w:hint="eastAsia" w:ascii="宋体" w:hAnsi="宋体" w:eastAsia="宋体" w:cs="Times New Roman"/>
                <w:szCs w:val="21"/>
              </w:rPr>
              <w:t>。</w:t>
            </w:r>
          </w:p>
          <w:p w14:paraId="3CFDE492">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讲评作业要认真、细致，按百分制评定成绩并写明日期</w:t>
            </w:r>
            <w:r>
              <w:rPr>
                <w:rFonts w:hint="eastAsia" w:ascii="宋体" w:hAnsi="宋体" w:eastAsia="宋体" w:cs="Times New Roman"/>
                <w:szCs w:val="21"/>
              </w:rPr>
              <w:t>。</w:t>
            </w:r>
          </w:p>
          <w:p w14:paraId="615972E0">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学生作业平均成绩</w:t>
            </w:r>
            <w:r>
              <w:rPr>
                <w:rFonts w:hint="eastAsia" w:ascii="宋体" w:hAnsi="宋体" w:eastAsia="宋体" w:cs="Times New Roman"/>
                <w:szCs w:val="21"/>
              </w:rPr>
              <w:t>应</w:t>
            </w:r>
            <w:r>
              <w:rPr>
                <w:rFonts w:ascii="宋体" w:hAnsi="宋体" w:eastAsia="宋体" w:cs="Times New Roman"/>
                <w:szCs w:val="21"/>
              </w:rPr>
              <w:t>作为本课程总评成绩中平时成绩的重要组成部分。</w:t>
            </w:r>
          </w:p>
        </w:tc>
      </w:tr>
      <w:tr w14:paraId="5486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1BB42B7A">
            <w:pPr>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607A9951">
            <w:pPr>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1FF32DE3">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1EFA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82" w:type="dxa"/>
            <w:tcBorders>
              <w:left w:val="single" w:color="auto" w:sz="8" w:space="0"/>
            </w:tcBorders>
            <w:vAlign w:val="center"/>
          </w:tcPr>
          <w:p w14:paraId="3BB701C6">
            <w:pPr>
              <w:jc w:val="center"/>
              <w:rPr>
                <w:rFonts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1E0321B6">
            <w:pPr>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72F94BB2">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为课程论文</w:t>
            </w:r>
            <w:r>
              <w:rPr>
                <w:rFonts w:ascii="宋体" w:hAnsi="宋体" w:eastAsia="宋体" w:cs="Times New Roman"/>
                <w:szCs w:val="21"/>
              </w:rPr>
              <w:t>。有下列情况之一者，总评成绩为不及格：</w:t>
            </w:r>
          </w:p>
          <w:p w14:paraId="73A9CD56">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60ABB566">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115E9737">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五、课程考核</w:t>
      </w:r>
    </w:p>
    <w:p w14:paraId="2F18F714">
      <w:pPr>
        <w:spacing w:line="360" w:lineRule="auto"/>
        <w:ind w:firstLine="480" w:firstLineChars="200"/>
        <w:rPr>
          <w:rFonts w:ascii="Times New Roman" w:hAnsi="Times New Roman" w:eastAsia="宋体" w:cs="Times New Roman"/>
          <w:b/>
          <w:bCs/>
          <w:sz w:val="28"/>
          <w:szCs w:val="28"/>
        </w:rPr>
      </w:pPr>
      <w:r>
        <w:rPr>
          <w:rFonts w:hint="eastAsia" w:ascii="宋体" w:hAnsi="宋体" w:eastAsia="宋体" w:cs="Times New Roman"/>
          <w:sz w:val="24"/>
        </w:rPr>
        <w:t>（一）</w:t>
      </w:r>
      <w:r>
        <w:rPr>
          <w:rFonts w:ascii="宋体" w:hAnsi="宋体" w:eastAsia="宋体" w:cs="Times New Roman"/>
          <w:sz w:val="24"/>
        </w:rPr>
        <w:t>课程考核包括期末考试、平时及作业考核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课程论文方式</w:t>
      </w:r>
      <w:r>
        <w:rPr>
          <w:rFonts w:ascii="宋体" w:hAnsi="宋体" w:eastAsia="宋体" w:cs="Times New Roman"/>
          <w:sz w:val="24"/>
        </w:rPr>
        <w:t>。</w:t>
      </w:r>
    </w:p>
    <w:p w14:paraId="762A785D">
      <w:pPr>
        <w:spacing w:line="360" w:lineRule="auto"/>
        <w:ind w:firstLine="480" w:firstLineChars="200"/>
        <w:rPr>
          <w:rFonts w:ascii="Times New Roman" w:hAnsi="Times New Roman" w:eastAsia="宋体" w:cs="Times New Roman"/>
          <w:b/>
          <w:bCs/>
          <w:sz w:val="28"/>
          <w:szCs w:val="28"/>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成绩=平时成绩×4</w:t>
      </w:r>
      <w:r>
        <w:rPr>
          <w:rFonts w:hint="eastAsia" w:ascii="宋体" w:hAnsi="宋体" w:eastAsia="宋体" w:cs="Times New Roman"/>
          <w:sz w:val="24"/>
        </w:rPr>
        <w:t>0</w:t>
      </w:r>
      <w:r>
        <w:rPr>
          <w:rFonts w:ascii="宋体" w:hAnsi="宋体" w:eastAsia="宋体" w:cs="Times New Roman"/>
          <w:sz w:val="24"/>
        </w:rPr>
        <w:t>%+期末考试成绩×</w:t>
      </w:r>
      <w:r>
        <w:rPr>
          <w:rFonts w:hint="eastAsia" w:ascii="宋体" w:hAnsi="宋体" w:eastAsia="宋体" w:cs="Times New Roman"/>
          <w:sz w:val="24"/>
        </w:rPr>
        <w:t>60</w:t>
      </w:r>
      <w:r>
        <w:rPr>
          <w:rFonts w:ascii="宋体" w:hAnsi="宋体" w:eastAsia="宋体" w:cs="Times New Roman"/>
          <w:sz w:val="24"/>
        </w:rPr>
        <w:t>%。</w:t>
      </w:r>
    </w:p>
    <w:p w14:paraId="509DE592">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具体内容和比例如表所示：</w:t>
      </w:r>
    </w:p>
    <w:tbl>
      <w:tblPr>
        <w:tblStyle w:val="30"/>
        <w:tblW w:w="898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2B6904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6E4E60A9">
            <w:pPr>
              <w:jc w:val="center"/>
              <w:rPr>
                <w:rFonts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7CD59493">
            <w:pPr>
              <w:jc w:val="center"/>
              <w:rPr>
                <w:rFonts w:ascii="宋体" w:hAnsi="宋体" w:eastAsia="宋体" w:cs="Times New Roman"/>
                <w:b/>
                <w:szCs w:val="24"/>
              </w:rPr>
            </w:pPr>
            <w:r>
              <w:rPr>
                <w:rFonts w:ascii="宋体" w:hAnsi="宋体" w:eastAsia="宋体" w:cs="Times New Roman"/>
                <w:b/>
                <w:szCs w:val="24"/>
              </w:rPr>
              <w:t>考核/</w:t>
            </w:r>
          </w:p>
          <w:p w14:paraId="68DF985E">
            <w:pPr>
              <w:jc w:val="center"/>
              <w:rPr>
                <w:rFonts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77D9D37C">
            <w:pPr>
              <w:jc w:val="center"/>
              <w:rPr>
                <w:rFonts w:ascii="宋体" w:hAnsi="宋体" w:eastAsia="宋体" w:cs="Times New Roman"/>
                <w:b/>
                <w:szCs w:val="24"/>
              </w:rPr>
            </w:pPr>
            <w:r>
              <w:rPr>
                <w:rFonts w:hint="eastAsia" w:ascii="宋体" w:hAnsi="宋体" w:eastAsia="宋体" w:cs="Times New Roman"/>
                <w:b/>
                <w:szCs w:val="24"/>
              </w:rPr>
              <w:t>权重</w:t>
            </w:r>
          </w:p>
        </w:tc>
        <w:tc>
          <w:tcPr>
            <w:tcW w:w="2693" w:type="dxa"/>
            <w:shd w:val="clear" w:color="auto" w:fill="FFFFFF"/>
            <w:vAlign w:val="center"/>
          </w:tcPr>
          <w:p w14:paraId="14ECCB92">
            <w:pPr>
              <w:jc w:val="center"/>
              <w:rPr>
                <w:rFonts w:ascii="宋体" w:hAnsi="宋体" w:eastAsia="宋体" w:cs="Times New Roman"/>
                <w:b/>
                <w:szCs w:val="24"/>
              </w:rPr>
            </w:pPr>
            <w:r>
              <w:rPr>
                <w:rFonts w:ascii="宋体" w:hAnsi="宋体" w:eastAsia="宋体" w:cs="Times New Roman"/>
                <w:b/>
                <w:szCs w:val="24"/>
              </w:rPr>
              <w:t>考核/评价细则</w:t>
            </w:r>
          </w:p>
        </w:tc>
        <w:tc>
          <w:tcPr>
            <w:tcW w:w="1276" w:type="dxa"/>
            <w:shd w:val="clear" w:color="auto" w:fill="FFFFFF"/>
            <w:vAlign w:val="center"/>
          </w:tcPr>
          <w:p w14:paraId="7F60CD13">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2559A5A7">
            <w:pPr>
              <w:jc w:val="center"/>
              <w:rPr>
                <w:rFonts w:ascii="宋体" w:hAnsi="宋体" w:eastAsia="宋体" w:cs="Times New Roman"/>
                <w:b/>
                <w:szCs w:val="24"/>
              </w:rPr>
            </w:pPr>
            <w:r>
              <w:rPr>
                <w:rFonts w:hint="eastAsia" w:ascii="宋体" w:hAnsi="宋体" w:eastAsia="宋体" w:cs="Times New Roman"/>
                <w:b/>
                <w:szCs w:val="24"/>
              </w:rPr>
              <w:t>目标</w:t>
            </w:r>
          </w:p>
        </w:tc>
        <w:tc>
          <w:tcPr>
            <w:tcW w:w="1276" w:type="dxa"/>
            <w:shd w:val="clear" w:color="auto" w:fill="FFFFFF"/>
            <w:vAlign w:val="center"/>
          </w:tcPr>
          <w:p w14:paraId="668BC4B1">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63D8F099">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1556A499">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1A55FD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80" w:hRule="atLeast"/>
        </w:trPr>
        <w:tc>
          <w:tcPr>
            <w:tcW w:w="624" w:type="dxa"/>
            <w:tcMar>
              <w:left w:w="57" w:type="dxa"/>
              <w:right w:w="57" w:type="dxa"/>
            </w:tcMar>
            <w:vAlign w:val="center"/>
          </w:tcPr>
          <w:p w14:paraId="29C49BB0">
            <w:pPr>
              <w:jc w:val="center"/>
              <w:rPr>
                <w:rFonts w:ascii="宋体" w:hAnsi="宋体" w:eastAsia="宋体" w:cs="Times New Roman"/>
                <w:szCs w:val="24"/>
              </w:rPr>
            </w:pPr>
            <w:r>
              <w:rPr>
                <w:rFonts w:ascii="宋体" w:hAnsi="宋体" w:eastAsia="宋体" w:cs="Times New Roman"/>
                <w:szCs w:val="24"/>
              </w:rPr>
              <w:t>平时成绩</w:t>
            </w:r>
          </w:p>
        </w:tc>
        <w:tc>
          <w:tcPr>
            <w:tcW w:w="1134" w:type="dxa"/>
            <w:vAlign w:val="center"/>
          </w:tcPr>
          <w:p w14:paraId="55805B58">
            <w:pPr>
              <w:jc w:val="center"/>
              <w:rPr>
                <w:rFonts w:ascii="宋体" w:hAnsi="宋体" w:eastAsia="宋体" w:cs="Times New Roman"/>
                <w:szCs w:val="24"/>
              </w:rPr>
            </w:pPr>
            <w:r>
              <w:rPr>
                <w:rFonts w:hint="eastAsia" w:ascii="宋体" w:hAnsi="宋体" w:eastAsia="宋体" w:cs="Times New Roman"/>
                <w:szCs w:val="24"/>
              </w:rPr>
              <w:t>课堂考勤及</w:t>
            </w:r>
          </w:p>
          <w:p w14:paraId="369E32A9">
            <w:pPr>
              <w:jc w:val="center"/>
              <w:rPr>
                <w:rFonts w:ascii="宋体" w:hAnsi="宋体" w:eastAsia="宋体" w:cs="Times New Roman"/>
                <w:szCs w:val="24"/>
              </w:rPr>
            </w:pPr>
            <w:r>
              <w:rPr>
                <w:rFonts w:ascii="宋体" w:hAnsi="宋体" w:eastAsia="宋体" w:cs="Times New Roman"/>
                <w:szCs w:val="24"/>
              </w:rPr>
              <w:t>平时作业</w:t>
            </w:r>
          </w:p>
        </w:tc>
        <w:tc>
          <w:tcPr>
            <w:tcW w:w="709" w:type="dxa"/>
            <w:vAlign w:val="center"/>
          </w:tcPr>
          <w:p w14:paraId="6B0D9DC4">
            <w:pPr>
              <w:jc w:val="center"/>
              <w:rPr>
                <w:rFonts w:ascii="宋体" w:hAnsi="宋体" w:eastAsia="宋体" w:cs="Times New Roman"/>
                <w:szCs w:val="24"/>
              </w:rPr>
            </w:pPr>
            <w:r>
              <w:rPr>
                <w:rFonts w:ascii="宋体" w:hAnsi="宋体" w:eastAsia="宋体" w:cs="Times New Roman"/>
                <w:szCs w:val="24"/>
              </w:rPr>
              <w:t>40%</w:t>
            </w:r>
          </w:p>
        </w:tc>
        <w:tc>
          <w:tcPr>
            <w:tcW w:w="2693" w:type="dxa"/>
            <w:vAlign w:val="center"/>
          </w:tcPr>
          <w:p w14:paraId="6EA7D536">
            <w:pPr>
              <w:ind w:firstLine="420" w:firstLineChars="200"/>
              <w:rPr>
                <w:rFonts w:ascii="宋体" w:hAnsi="宋体" w:eastAsia="宋体" w:cs="Times New Roman"/>
                <w:szCs w:val="24"/>
              </w:rPr>
            </w:pPr>
            <w:r>
              <w:rPr>
                <w:rFonts w:hint="eastAsia" w:ascii="宋体" w:hAnsi="宋体" w:eastAsia="宋体" w:cs="Times New Roman"/>
                <w:szCs w:val="24"/>
              </w:rPr>
              <w:t>其中课堂考勤占20%，平时作业占80%。</w:t>
            </w:r>
          </w:p>
          <w:p w14:paraId="23837BDB">
            <w:pPr>
              <w:ind w:firstLine="420" w:firstLineChars="200"/>
              <w:jc w:val="left"/>
              <w:rPr>
                <w:rFonts w:ascii="宋体" w:hAnsi="宋体" w:eastAsia="宋体" w:cs="Times New Roman"/>
                <w:szCs w:val="21"/>
              </w:rPr>
            </w:pPr>
            <w:r>
              <w:rPr>
                <w:rFonts w:hint="eastAsia" w:ascii="宋体" w:hAnsi="宋体" w:eastAsia="宋体" w:cs="Times New Roman"/>
                <w:szCs w:val="21"/>
              </w:rPr>
              <w:t>课堂考勤：病假和事假一次扣</w:t>
            </w:r>
            <w:r>
              <w:rPr>
                <w:rFonts w:ascii="宋体" w:hAnsi="宋体" w:eastAsia="宋体" w:cs="Times New Roman"/>
                <w:szCs w:val="21"/>
              </w:rPr>
              <w:t>2</w:t>
            </w:r>
            <w:r>
              <w:rPr>
                <w:rFonts w:hint="eastAsia" w:ascii="宋体" w:hAnsi="宋体" w:eastAsia="宋体" w:cs="Times New Roman"/>
                <w:szCs w:val="21"/>
              </w:rPr>
              <w:t>分，无故缺席一次扣</w:t>
            </w:r>
            <w:r>
              <w:rPr>
                <w:rFonts w:ascii="宋体" w:hAnsi="宋体" w:eastAsia="宋体" w:cs="Times New Roman"/>
                <w:szCs w:val="21"/>
              </w:rPr>
              <w:t>5</w:t>
            </w:r>
            <w:r>
              <w:rPr>
                <w:rFonts w:hint="eastAsia" w:ascii="宋体" w:hAnsi="宋体" w:eastAsia="宋体" w:cs="Times New Roman"/>
                <w:szCs w:val="21"/>
              </w:rPr>
              <w:t>分，无故缺席累积达5次以上（不含5次）取消课程成绩。</w:t>
            </w:r>
          </w:p>
          <w:p w14:paraId="4E8E6582">
            <w:pPr>
              <w:ind w:firstLine="420" w:firstLineChars="200"/>
              <w:rPr>
                <w:rFonts w:ascii="宋体" w:hAnsi="宋体" w:eastAsia="宋体" w:cs="Times New Roman"/>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rPr>
              <w:t>3次作业</w:t>
            </w:r>
            <w:r>
              <w:rPr>
                <w:rFonts w:ascii="宋体" w:hAnsi="宋体" w:eastAsia="宋体" w:cs="Times New Roman"/>
                <w:szCs w:val="24"/>
              </w:rPr>
              <w:t>，主要考核学生对每节课知识点的复习、理解和掌握</w:t>
            </w:r>
            <w:r>
              <w:rPr>
                <w:rFonts w:hint="eastAsia" w:ascii="宋体" w:hAnsi="宋体" w:eastAsia="宋体" w:cs="Times New Roman"/>
                <w:szCs w:val="24"/>
              </w:rPr>
              <w:t>与运用</w:t>
            </w:r>
            <w:r>
              <w:rPr>
                <w:rFonts w:ascii="宋体" w:hAnsi="宋体" w:eastAsia="宋体" w:cs="Times New Roman"/>
                <w:szCs w:val="24"/>
              </w:rPr>
              <w:t>程度</w:t>
            </w:r>
            <w:r>
              <w:rPr>
                <w:rFonts w:hint="eastAsia" w:ascii="宋体" w:hAnsi="宋体" w:eastAsia="宋体" w:cs="Times New Roman"/>
                <w:szCs w:val="24"/>
              </w:rPr>
              <w:t>和能力</w:t>
            </w:r>
            <w:r>
              <w:rPr>
                <w:rFonts w:ascii="宋体" w:hAnsi="宋体" w:eastAsia="宋体" w:cs="Times New Roman"/>
                <w:szCs w:val="24"/>
              </w:rPr>
              <w:t>，计算全部作业的平均成绩。</w:t>
            </w:r>
          </w:p>
        </w:tc>
        <w:tc>
          <w:tcPr>
            <w:tcW w:w="1276" w:type="dxa"/>
            <w:vAlign w:val="center"/>
          </w:tcPr>
          <w:p w14:paraId="07D84D49">
            <w:pPr>
              <w:jc w:val="center"/>
              <w:rPr>
                <w:rFonts w:ascii="宋体" w:hAnsi="宋体" w:eastAsia="宋体" w:cs="Times New Roman"/>
                <w:szCs w:val="24"/>
              </w:rPr>
            </w:pPr>
            <w:r>
              <w:rPr>
                <w:rFonts w:hint="eastAsia" w:ascii="宋体" w:hAnsi="宋体" w:eastAsia="宋体" w:cs="Times New Roman"/>
                <w:szCs w:val="24"/>
              </w:rPr>
              <w:t>课程目标1</w:t>
            </w:r>
          </w:p>
          <w:p w14:paraId="6A646C39">
            <w:pPr>
              <w:jc w:val="center"/>
              <w:rPr>
                <w:rFonts w:ascii="宋体" w:hAnsi="宋体" w:eastAsia="宋体" w:cs="Times New Roman"/>
                <w:szCs w:val="24"/>
              </w:rPr>
            </w:pPr>
            <w:r>
              <w:rPr>
                <w:rFonts w:hint="eastAsia" w:ascii="宋体" w:hAnsi="宋体" w:eastAsia="宋体" w:cs="Times New Roman"/>
                <w:szCs w:val="24"/>
              </w:rPr>
              <w:t>课程目标3</w:t>
            </w:r>
          </w:p>
        </w:tc>
        <w:tc>
          <w:tcPr>
            <w:tcW w:w="1276" w:type="dxa"/>
            <w:vAlign w:val="center"/>
          </w:tcPr>
          <w:p w14:paraId="50B9339C">
            <w:pPr>
              <w:rPr>
                <w:rFonts w:ascii="宋体" w:hAnsi="宋体" w:eastAsia="宋体" w:cs="宋体"/>
                <w:kern w:val="0"/>
                <w:szCs w:val="21"/>
              </w:rPr>
            </w:pPr>
            <w:r>
              <w:rPr>
                <w:rFonts w:hint="eastAsia" w:ascii="宋体" w:hAnsi="宋体" w:eastAsia="宋体" w:cs="宋体"/>
                <w:kern w:val="0"/>
                <w:szCs w:val="21"/>
              </w:rPr>
              <w:t>学生对教育伦理学基本知识和理论的掌握与应用、职业伦理修养与人格完善</w:t>
            </w:r>
          </w:p>
        </w:tc>
        <w:tc>
          <w:tcPr>
            <w:tcW w:w="1276" w:type="dxa"/>
            <w:vAlign w:val="center"/>
          </w:tcPr>
          <w:p w14:paraId="34701DA0">
            <w:pPr>
              <w:jc w:val="center"/>
              <w:rPr>
                <w:rFonts w:ascii="宋体" w:hAnsi="宋体" w:eastAsia="宋体" w:cs="Times New Roman"/>
                <w:szCs w:val="24"/>
              </w:rPr>
            </w:pPr>
            <w:r>
              <w:rPr>
                <w:rFonts w:hint="eastAsia" w:ascii="宋体" w:hAnsi="宋体" w:eastAsia="宋体" w:cs="Times New Roman"/>
                <w:szCs w:val="24"/>
              </w:rPr>
              <w:t>1-</w:t>
            </w:r>
            <w:r>
              <w:rPr>
                <w:rFonts w:ascii="宋体" w:hAnsi="宋体" w:eastAsia="宋体" w:cs="Times New Roman"/>
                <w:szCs w:val="24"/>
              </w:rPr>
              <w:t>1</w:t>
            </w:r>
            <w:r>
              <w:rPr>
                <w:rFonts w:hint="eastAsia" w:ascii="宋体" w:hAnsi="宋体" w:eastAsia="宋体" w:cs="Times New Roman"/>
                <w:szCs w:val="24"/>
              </w:rPr>
              <w:t>、1-</w:t>
            </w:r>
            <w:r>
              <w:rPr>
                <w:rFonts w:ascii="宋体" w:hAnsi="宋体" w:eastAsia="宋体" w:cs="Times New Roman"/>
                <w:szCs w:val="24"/>
              </w:rPr>
              <w:t>2</w:t>
            </w:r>
          </w:p>
        </w:tc>
      </w:tr>
      <w:tr w14:paraId="07DBB9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94" w:hRule="atLeast"/>
        </w:trPr>
        <w:tc>
          <w:tcPr>
            <w:tcW w:w="624" w:type="dxa"/>
            <w:tcMar>
              <w:left w:w="57" w:type="dxa"/>
              <w:right w:w="57" w:type="dxa"/>
            </w:tcMar>
            <w:vAlign w:val="center"/>
          </w:tcPr>
          <w:p w14:paraId="20A156BA">
            <w:pPr>
              <w:jc w:val="center"/>
              <w:rPr>
                <w:rFonts w:ascii="宋体" w:hAnsi="宋体" w:eastAsia="宋体" w:cs="Times New Roman"/>
                <w:szCs w:val="24"/>
              </w:rPr>
            </w:pPr>
            <w:r>
              <w:rPr>
                <w:rFonts w:ascii="宋体" w:hAnsi="宋体" w:eastAsia="宋体" w:cs="Times New Roman"/>
                <w:szCs w:val="24"/>
              </w:rPr>
              <w:t>期末考试</w:t>
            </w:r>
          </w:p>
        </w:tc>
        <w:tc>
          <w:tcPr>
            <w:tcW w:w="1134" w:type="dxa"/>
            <w:vAlign w:val="center"/>
          </w:tcPr>
          <w:p w14:paraId="6F06DBDA">
            <w:pPr>
              <w:jc w:val="center"/>
              <w:rPr>
                <w:rFonts w:ascii="宋体" w:hAnsi="宋体" w:eastAsia="宋体" w:cs="Times New Roman"/>
                <w:szCs w:val="24"/>
              </w:rPr>
            </w:pPr>
            <w:r>
              <w:rPr>
                <w:rFonts w:ascii="宋体" w:hAnsi="宋体" w:eastAsia="宋体" w:cs="Times New Roman"/>
                <w:szCs w:val="24"/>
              </w:rPr>
              <w:t>期末考试</w:t>
            </w:r>
          </w:p>
          <w:p w14:paraId="337E6F8A">
            <w:pPr>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9" w:type="dxa"/>
            <w:vAlign w:val="center"/>
          </w:tcPr>
          <w:p w14:paraId="1F345D10">
            <w:pPr>
              <w:jc w:val="center"/>
              <w:rPr>
                <w:rFonts w:ascii="宋体" w:hAnsi="宋体" w:eastAsia="宋体" w:cs="Times New Roman"/>
                <w:szCs w:val="24"/>
              </w:rPr>
            </w:pPr>
            <w:r>
              <w:rPr>
                <w:rFonts w:ascii="宋体" w:hAnsi="宋体" w:eastAsia="宋体" w:cs="Times New Roman"/>
                <w:szCs w:val="24"/>
              </w:rPr>
              <w:t>60%</w:t>
            </w:r>
          </w:p>
        </w:tc>
        <w:tc>
          <w:tcPr>
            <w:tcW w:w="2693" w:type="dxa"/>
            <w:vAlign w:val="center"/>
          </w:tcPr>
          <w:p w14:paraId="27F77DDD">
            <w:pPr>
              <w:ind w:firstLine="420" w:firstLineChars="200"/>
              <w:rPr>
                <w:rFonts w:ascii="宋体" w:hAnsi="宋体" w:eastAsia="宋体" w:cs="Times New Roman"/>
                <w:szCs w:val="21"/>
              </w:rPr>
            </w:pPr>
            <w:r>
              <w:rPr>
                <w:rFonts w:hint="eastAsia" w:ascii="宋体" w:hAnsi="宋体" w:eastAsia="宋体" w:cs="Times New Roman"/>
                <w:szCs w:val="21"/>
              </w:rPr>
              <w:t>以课程论文方式进行，主要测查学生对教育伦理基础知识的掌握和应用，对教育中具体伦理问题的分析能力、反思能力和解决问题的能力</w:t>
            </w:r>
          </w:p>
        </w:tc>
        <w:tc>
          <w:tcPr>
            <w:tcW w:w="1276" w:type="dxa"/>
            <w:vAlign w:val="center"/>
          </w:tcPr>
          <w:p w14:paraId="29CD93D5">
            <w:pPr>
              <w:jc w:val="center"/>
              <w:rPr>
                <w:rFonts w:ascii="宋体" w:hAnsi="宋体" w:eastAsia="宋体" w:cs="Times New Roman"/>
                <w:szCs w:val="21"/>
              </w:rPr>
            </w:pPr>
            <w:r>
              <w:rPr>
                <w:rFonts w:hint="eastAsia" w:ascii="宋体" w:hAnsi="宋体" w:eastAsia="宋体" w:cs="Times New Roman"/>
                <w:szCs w:val="21"/>
              </w:rPr>
              <w:t>课程目标1</w:t>
            </w:r>
          </w:p>
          <w:p w14:paraId="5938665B">
            <w:pPr>
              <w:jc w:val="center"/>
              <w:rPr>
                <w:rFonts w:ascii="宋体" w:hAnsi="宋体" w:eastAsia="宋体" w:cs="Times New Roman"/>
                <w:szCs w:val="21"/>
              </w:rPr>
            </w:pPr>
            <w:r>
              <w:rPr>
                <w:rFonts w:hint="eastAsia" w:ascii="宋体" w:hAnsi="宋体" w:eastAsia="宋体" w:cs="Times New Roman"/>
                <w:szCs w:val="21"/>
              </w:rPr>
              <w:t>课程目标2</w:t>
            </w:r>
          </w:p>
          <w:p w14:paraId="42B3856E">
            <w:pPr>
              <w:jc w:val="center"/>
              <w:rPr>
                <w:rFonts w:ascii="宋体" w:hAnsi="宋体" w:eastAsia="宋体" w:cs="Times New Roman"/>
                <w:szCs w:val="21"/>
              </w:rPr>
            </w:pPr>
          </w:p>
        </w:tc>
        <w:tc>
          <w:tcPr>
            <w:tcW w:w="1276" w:type="dxa"/>
            <w:vAlign w:val="center"/>
          </w:tcPr>
          <w:p w14:paraId="589F40A1">
            <w:pPr>
              <w:rPr>
                <w:rFonts w:ascii="宋体" w:hAnsi="宋体" w:eastAsia="宋体" w:cs="Times New Roman"/>
                <w:szCs w:val="21"/>
              </w:rPr>
            </w:pPr>
            <w:r>
              <w:rPr>
                <w:rFonts w:hint="eastAsia" w:ascii="宋体" w:hAnsi="宋体" w:eastAsia="宋体" w:cs="Times New Roman"/>
                <w:szCs w:val="21"/>
              </w:rPr>
              <w:t>教育中具体伦理问题的分析与反思</w:t>
            </w:r>
          </w:p>
        </w:tc>
        <w:tc>
          <w:tcPr>
            <w:tcW w:w="1276" w:type="dxa"/>
            <w:vAlign w:val="center"/>
          </w:tcPr>
          <w:p w14:paraId="37621478">
            <w:pPr>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w:t>
            </w:r>
          </w:p>
          <w:p w14:paraId="77776BC1">
            <w:pPr>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3</w:t>
            </w:r>
          </w:p>
        </w:tc>
      </w:tr>
    </w:tbl>
    <w:p w14:paraId="4ED3892C">
      <w:pPr>
        <w:spacing w:before="156" w:beforeLines="50"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1816"/>
        <w:gridCol w:w="2196"/>
        <w:gridCol w:w="1843"/>
        <w:gridCol w:w="1134"/>
      </w:tblGrid>
      <w:tr w14:paraId="035E31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3864" w:type="dxa"/>
            <w:gridSpan w:val="2"/>
            <w:shd w:val="clear" w:color="auto" w:fill="auto"/>
            <w:vAlign w:val="center"/>
          </w:tcPr>
          <w:p w14:paraId="7688408E">
            <w:pPr>
              <w:widowControl/>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课程目标及权重</w:t>
            </w:r>
          </w:p>
        </w:tc>
        <w:tc>
          <w:tcPr>
            <w:tcW w:w="5173" w:type="dxa"/>
            <w:gridSpan w:val="3"/>
            <w:shd w:val="clear" w:color="auto" w:fill="auto"/>
            <w:vAlign w:val="center"/>
          </w:tcPr>
          <w:p w14:paraId="429D3D8A">
            <w:pPr>
              <w:widowControl/>
              <w:spacing w:line="276" w:lineRule="auto"/>
              <w:ind w:right="-391" w:rightChars="-186"/>
              <w:jc w:val="center"/>
              <w:rPr>
                <w:rFonts w:ascii="宋体" w:hAnsi="宋体" w:eastAsia="宋体" w:cs="Times New Roman"/>
                <w:b/>
                <w:bCs/>
                <w:kern w:val="0"/>
                <w:szCs w:val="21"/>
              </w:rPr>
            </w:pPr>
            <w:r>
              <w:rPr>
                <w:rFonts w:hint="eastAsia" w:ascii="宋体" w:hAnsi="宋体" w:eastAsia="宋体" w:cs="Times New Roman"/>
                <w:b/>
                <w:bCs/>
                <w:kern w:val="0"/>
                <w:szCs w:val="21"/>
              </w:rPr>
              <w:t>考核方式及权重</w:t>
            </w:r>
          </w:p>
        </w:tc>
      </w:tr>
      <w:tr w14:paraId="128CF9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2048" w:type="dxa"/>
            <w:shd w:val="clear" w:color="auto" w:fill="auto"/>
            <w:vAlign w:val="center"/>
          </w:tcPr>
          <w:p w14:paraId="262E5A09">
            <w:pPr>
              <w:widowControl/>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项目</w:t>
            </w:r>
          </w:p>
        </w:tc>
        <w:tc>
          <w:tcPr>
            <w:tcW w:w="1816" w:type="dxa"/>
            <w:shd w:val="clear" w:color="auto" w:fill="auto"/>
            <w:vAlign w:val="center"/>
          </w:tcPr>
          <w:p w14:paraId="4A1F90D9">
            <w:pPr>
              <w:widowControl/>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权重（</w:t>
            </w:r>
            <w:r>
              <w:rPr>
                <w:rFonts w:ascii="宋体" w:hAnsi="宋体" w:eastAsia="宋体" w:cs="Times New Roman"/>
                <w:b/>
                <w:bCs/>
                <w:kern w:val="0"/>
                <w:szCs w:val="21"/>
              </w:rPr>
              <w:t>a</w:t>
            </w:r>
            <w:r>
              <w:rPr>
                <w:rFonts w:hint="eastAsia" w:ascii="宋体" w:hAnsi="宋体" w:eastAsia="宋体" w:cs="Times New Roman"/>
                <w:b/>
                <w:bCs/>
                <w:kern w:val="0"/>
                <w:szCs w:val="21"/>
              </w:rPr>
              <w:t>）</w:t>
            </w:r>
          </w:p>
        </w:tc>
        <w:tc>
          <w:tcPr>
            <w:tcW w:w="2196" w:type="dxa"/>
            <w:shd w:val="clear" w:color="auto" w:fill="auto"/>
            <w:vAlign w:val="center"/>
          </w:tcPr>
          <w:p w14:paraId="67CB16A9">
            <w:pPr>
              <w:widowControl/>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评价依据</w:t>
            </w:r>
          </w:p>
        </w:tc>
        <w:tc>
          <w:tcPr>
            <w:tcW w:w="1843" w:type="dxa"/>
            <w:shd w:val="clear" w:color="auto" w:fill="auto"/>
            <w:vAlign w:val="center"/>
          </w:tcPr>
          <w:p w14:paraId="3FA0C18E">
            <w:pPr>
              <w:widowControl/>
              <w:spacing w:line="276" w:lineRule="auto"/>
              <w:jc w:val="center"/>
              <w:rPr>
                <w:rFonts w:ascii="宋体" w:hAnsi="宋体" w:eastAsia="宋体" w:cs="Times New Roman"/>
                <w:b/>
                <w:bCs/>
                <w:kern w:val="0"/>
                <w:szCs w:val="21"/>
              </w:rPr>
            </w:pPr>
            <w:r>
              <w:rPr>
                <w:rFonts w:hint="eastAsia" w:ascii="宋体" w:hAnsi="宋体" w:eastAsia="宋体" w:cs="Times New Roman"/>
                <w:b/>
                <w:bCs/>
                <w:kern w:val="0"/>
                <w:szCs w:val="21"/>
              </w:rPr>
              <w:t>权重（</w:t>
            </w:r>
            <w:r>
              <w:rPr>
                <w:rFonts w:ascii="宋体" w:hAnsi="宋体" w:eastAsia="宋体" w:cs="Times New Roman"/>
                <w:b/>
                <w:bCs/>
                <w:kern w:val="0"/>
                <w:szCs w:val="21"/>
              </w:rPr>
              <w:t>b</w:t>
            </w:r>
            <w:r>
              <w:rPr>
                <w:rFonts w:hint="eastAsia" w:ascii="宋体" w:hAnsi="宋体" w:eastAsia="宋体" w:cs="Times New Roman"/>
                <w:b/>
                <w:bCs/>
                <w:kern w:val="0"/>
                <w:szCs w:val="21"/>
              </w:rPr>
              <w:t>）</w:t>
            </w:r>
          </w:p>
        </w:tc>
        <w:tc>
          <w:tcPr>
            <w:tcW w:w="1134" w:type="dxa"/>
          </w:tcPr>
          <w:p w14:paraId="63175BED">
            <w:pPr>
              <w:widowControl/>
              <w:spacing w:line="276" w:lineRule="auto"/>
              <w:rPr>
                <w:rFonts w:ascii="宋体" w:hAnsi="宋体" w:eastAsia="宋体" w:cs="Times New Roman"/>
                <w:b/>
                <w:bCs/>
                <w:kern w:val="0"/>
                <w:szCs w:val="21"/>
              </w:rPr>
            </w:pPr>
            <w:r>
              <w:rPr>
                <w:rFonts w:hint="eastAsia" w:ascii="宋体" w:hAnsi="宋体" w:eastAsia="宋体" w:cs="Times New Roman"/>
                <w:b/>
                <w:bCs/>
                <w:kern w:val="0"/>
                <w:szCs w:val="21"/>
              </w:rPr>
              <w:t>考核方式权重合计</w:t>
            </w:r>
          </w:p>
        </w:tc>
      </w:tr>
      <w:tr w14:paraId="23E4CE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2048" w:type="dxa"/>
            <w:vMerge w:val="restart"/>
            <w:shd w:val="clear" w:color="auto" w:fill="auto"/>
            <w:vAlign w:val="center"/>
          </w:tcPr>
          <w:p w14:paraId="5E3163E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16" w:type="dxa"/>
            <w:vMerge w:val="restart"/>
            <w:shd w:val="clear" w:color="auto" w:fill="auto"/>
            <w:vAlign w:val="center"/>
          </w:tcPr>
          <w:p w14:paraId="35FE2AB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2196" w:type="dxa"/>
            <w:shd w:val="clear" w:color="auto" w:fill="auto"/>
            <w:vAlign w:val="center"/>
          </w:tcPr>
          <w:p w14:paraId="2BF3A71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110939F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4" w:type="dxa"/>
            <w:vMerge w:val="restart"/>
            <w:vAlign w:val="center"/>
          </w:tcPr>
          <w:p w14:paraId="74A3464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D7574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64F6248E">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53458346">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068A8ED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843" w:type="dxa"/>
            <w:shd w:val="clear" w:color="auto" w:fill="auto"/>
            <w:vAlign w:val="center"/>
          </w:tcPr>
          <w:p w14:paraId="1EEE1FC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34" w:type="dxa"/>
            <w:vMerge w:val="continue"/>
            <w:vAlign w:val="center"/>
          </w:tcPr>
          <w:p w14:paraId="1FB16079">
            <w:pPr>
              <w:widowControl/>
              <w:spacing w:line="276" w:lineRule="auto"/>
              <w:jc w:val="center"/>
              <w:rPr>
                <w:rFonts w:ascii="宋体" w:hAnsi="宋体" w:eastAsia="宋体" w:cs="Times New Roman"/>
                <w:kern w:val="0"/>
                <w:szCs w:val="21"/>
              </w:rPr>
            </w:pPr>
          </w:p>
        </w:tc>
      </w:tr>
      <w:tr w14:paraId="71AEBB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restart"/>
            <w:shd w:val="clear" w:color="auto" w:fill="auto"/>
            <w:vAlign w:val="center"/>
          </w:tcPr>
          <w:p w14:paraId="1CFB497A">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16" w:type="dxa"/>
            <w:vMerge w:val="restart"/>
            <w:shd w:val="clear" w:color="auto" w:fill="auto"/>
            <w:vAlign w:val="center"/>
          </w:tcPr>
          <w:p w14:paraId="6BEDE66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35%</w:t>
            </w:r>
          </w:p>
        </w:tc>
        <w:tc>
          <w:tcPr>
            <w:tcW w:w="2196" w:type="dxa"/>
            <w:shd w:val="clear" w:color="auto" w:fill="auto"/>
            <w:vAlign w:val="center"/>
          </w:tcPr>
          <w:p w14:paraId="60204C96">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61169694">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7</w:t>
            </w:r>
            <w:r>
              <w:rPr>
                <w:rFonts w:hint="eastAsia" w:ascii="宋体" w:hAnsi="宋体" w:eastAsia="宋体" w:cs="Times New Roman"/>
                <w:kern w:val="0"/>
                <w:szCs w:val="21"/>
              </w:rPr>
              <w:t>0%</w:t>
            </w:r>
            <w:r>
              <w:rPr>
                <w:rFonts w:ascii="宋体" w:hAnsi="宋体" w:eastAsia="宋体" w:cs="Times New Roman"/>
                <w:kern w:val="0"/>
                <w:szCs w:val="21"/>
              </w:rPr>
              <w:t xml:space="preserve"> </w:t>
            </w:r>
          </w:p>
        </w:tc>
        <w:tc>
          <w:tcPr>
            <w:tcW w:w="1134" w:type="dxa"/>
            <w:vMerge w:val="restart"/>
            <w:vAlign w:val="center"/>
          </w:tcPr>
          <w:p w14:paraId="76EEF2EC">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5FF91B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2A962174">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18B74B88">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7021539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2</w:t>
            </w:r>
          </w:p>
        </w:tc>
        <w:tc>
          <w:tcPr>
            <w:tcW w:w="1843" w:type="dxa"/>
            <w:shd w:val="clear" w:color="auto" w:fill="auto"/>
            <w:vAlign w:val="center"/>
          </w:tcPr>
          <w:p w14:paraId="0CAF9748">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34" w:type="dxa"/>
            <w:vMerge w:val="continue"/>
            <w:vAlign w:val="center"/>
          </w:tcPr>
          <w:p w14:paraId="6DD19C13">
            <w:pPr>
              <w:widowControl/>
              <w:spacing w:line="276" w:lineRule="auto"/>
              <w:jc w:val="center"/>
              <w:rPr>
                <w:rFonts w:ascii="宋体" w:hAnsi="宋体" w:eastAsia="宋体" w:cs="Times New Roman"/>
                <w:kern w:val="0"/>
                <w:szCs w:val="21"/>
              </w:rPr>
            </w:pPr>
          </w:p>
        </w:tc>
      </w:tr>
      <w:tr w14:paraId="1CBE14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restart"/>
            <w:shd w:val="clear" w:color="auto" w:fill="auto"/>
            <w:vAlign w:val="center"/>
          </w:tcPr>
          <w:p w14:paraId="6B27398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816" w:type="dxa"/>
            <w:vMerge w:val="restart"/>
            <w:shd w:val="clear" w:color="auto" w:fill="auto"/>
            <w:vAlign w:val="center"/>
          </w:tcPr>
          <w:p w14:paraId="52296E2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25%</w:t>
            </w:r>
          </w:p>
        </w:tc>
        <w:tc>
          <w:tcPr>
            <w:tcW w:w="2196" w:type="dxa"/>
            <w:shd w:val="clear" w:color="auto" w:fill="auto"/>
            <w:vAlign w:val="center"/>
          </w:tcPr>
          <w:p w14:paraId="01A6F03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43" w:type="dxa"/>
            <w:shd w:val="clear" w:color="auto" w:fill="auto"/>
            <w:vAlign w:val="center"/>
          </w:tcPr>
          <w:p w14:paraId="6B2BF1C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134" w:type="dxa"/>
            <w:vMerge w:val="restart"/>
            <w:vAlign w:val="center"/>
          </w:tcPr>
          <w:p w14:paraId="07EA41C1">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5B4A94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5FDBDAFD">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486B733C">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7FCDDB1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43" w:type="dxa"/>
            <w:shd w:val="clear" w:color="auto" w:fill="auto"/>
            <w:vAlign w:val="center"/>
          </w:tcPr>
          <w:p w14:paraId="0AF47493">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1</w:t>
            </w:r>
            <w:r>
              <w:rPr>
                <w:rFonts w:hint="eastAsia" w:ascii="宋体" w:hAnsi="宋体" w:eastAsia="宋体" w:cs="Times New Roman"/>
                <w:kern w:val="0"/>
                <w:szCs w:val="21"/>
              </w:rPr>
              <w:t>0%</w:t>
            </w:r>
          </w:p>
        </w:tc>
        <w:tc>
          <w:tcPr>
            <w:tcW w:w="1134" w:type="dxa"/>
            <w:vMerge w:val="continue"/>
            <w:vAlign w:val="center"/>
          </w:tcPr>
          <w:p w14:paraId="14394914">
            <w:pPr>
              <w:widowControl/>
              <w:spacing w:line="276" w:lineRule="auto"/>
              <w:jc w:val="center"/>
              <w:rPr>
                <w:rFonts w:ascii="宋体" w:hAnsi="宋体" w:eastAsia="宋体" w:cs="Times New Roman"/>
                <w:kern w:val="0"/>
                <w:szCs w:val="21"/>
              </w:rPr>
            </w:pPr>
          </w:p>
        </w:tc>
      </w:tr>
      <w:tr w14:paraId="4E30E4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48" w:type="dxa"/>
            <w:vMerge w:val="continue"/>
            <w:shd w:val="clear" w:color="auto" w:fill="auto"/>
            <w:vAlign w:val="center"/>
          </w:tcPr>
          <w:p w14:paraId="22E77EBB">
            <w:pPr>
              <w:widowControl/>
              <w:spacing w:line="276" w:lineRule="auto"/>
              <w:jc w:val="left"/>
              <w:rPr>
                <w:rFonts w:ascii="宋体" w:hAnsi="宋体" w:eastAsia="宋体" w:cs="Times New Roman"/>
                <w:kern w:val="0"/>
                <w:szCs w:val="21"/>
              </w:rPr>
            </w:pPr>
          </w:p>
        </w:tc>
        <w:tc>
          <w:tcPr>
            <w:tcW w:w="1816" w:type="dxa"/>
            <w:vMerge w:val="continue"/>
            <w:shd w:val="clear" w:color="auto" w:fill="auto"/>
            <w:vAlign w:val="center"/>
          </w:tcPr>
          <w:p w14:paraId="40AD4767">
            <w:pPr>
              <w:widowControl/>
              <w:spacing w:line="276" w:lineRule="auto"/>
              <w:jc w:val="left"/>
              <w:rPr>
                <w:rFonts w:ascii="宋体" w:hAnsi="宋体" w:eastAsia="宋体" w:cs="Times New Roman"/>
                <w:kern w:val="0"/>
                <w:szCs w:val="21"/>
              </w:rPr>
            </w:pPr>
          </w:p>
        </w:tc>
        <w:tc>
          <w:tcPr>
            <w:tcW w:w="2196" w:type="dxa"/>
            <w:shd w:val="clear" w:color="auto" w:fill="auto"/>
            <w:vAlign w:val="center"/>
          </w:tcPr>
          <w:p w14:paraId="7037489B">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43" w:type="dxa"/>
            <w:shd w:val="clear" w:color="auto" w:fill="auto"/>
            <w:vAlign w:val="center"/>
          </w:tcPr>
          <w:p w14:paraId="0CB4425E">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0%</w:t>
            </w:r>
          </w:p>
        </w:tc>
        <w:tc>
          <w:tcPr>
            <w:tcW w:w="1134" w:type="dxa"/>
            <w:vMerge w:val="continue"/>
            <w:vAlign w:val="center"/>
          </w:tcPr>
          <w:p w14:paraId="33BEC796">
            <w:pPr>
              <w:widowControl/>
              <w:spacing w:line="276" w:lineRule="auto"/>
              <w:jc w:val="center"/>
              <w:rPr>
                <w:rFonts w:ascii="宋体" w:hAnsi="宋体" w:eastAsia="宋体" w:cs="Times New Roman"/>
                <w:kern w:val="0"/>
                <w:szCs w:val="21"/>
              </w:rPr>
            </w:pPr>
          </w:p>
        </w:tc>
      </w:tr>
      <w:tr w14:paraId="03CE21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2048" w:type="dxa"/>
            <w:shd w:val="clear" w:color="auto" w:fill="auto"/>
            <w:vAlign w:val="center"/>
          </w:tcPr>
          <w:p w14:paraId="40F444B0">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816" w:type="dxa"/>
            <w:shd w:val="clear" w:color="auto" w:fill="auto"/>
            <w:vAlign w:val="center"/>
          </w:tcPr>
          <w:p w14:paraId="5A3019F4">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173" w:type="dxa"/>
            <w:gridSpan w:val="3"/>
            <w:shd w:val="clear" w:color="auto" w:fill="auto"/>
            <w:vAlign w:val="center"/>
          </w:tcPr>
          <w:p w14:paraId="379C88CB">
            <w:pPr>
              <w:widowControl/>
              <w:spacing w:line="276" w:lineRule="auto"/>
              <w:jc w:val="center"/>
              <w:rPr>
                <w:rFonts w:ascii="宋体" w:hAnsi="宋体" w:eastAsia="宋体" w:cs="Times New Roman"/>
                <w:kern w:val="0"/>
                <w:szCs w:val="21"/>
              </w:rPr>
            </w:pPr>
          </w:p>
        </w:tc>
      </w:tr>
    </w:tbl>
    <w:p w14:paraId="36CA1B29">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（四）课程目标达成度计算方法</w:t>
      </w:r>
    </w:p>
    <w:p w14:paraId="4B41119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所有课程目标均需大于等于</w:t>
      </w:r>
      <w:r>
        <w:rPr>
          <w:rFonts w:ascii="Times New Roman" w:hAnsi="Times New Roman" w:eastAsia="宋体" w:cs="Times New Roman"/>
          <w:sz w:val="24"/>
          <w:szCs w:val="24"/>
        </w:rPr>
        <w:t>0.6，否则总评成绩不及格，需要补考或重修。每门课程目标总体达成度计算方法如下：</w:t>
      </w:r>
    </w:p>
    <w:p w14:paraId="149B0D46">
      <w:pPr>
        <w:spacing w:line="360" w:lineRule="auto"/>
        <w:rPr>
          <w:rFonts w:ascii="Times New Roman" w:hAnsi="Times New Roman" w:eastAsia="宋体" w:cs="Times New Roman"/>
          <w:sz w:val="24"/>
          <w:szCs w:val="24"/>
        </w:rPr>
      </w:pPr>
      <w:r>
        <w:rPr>
          <w:rFonts w:ascii="Times New Roman" w:hAnsi="Times New Roman" w:eastAsia="等线" w:cs="Times New Roman"/>
          <w:position w:val="-26"/>
          <w:sz w:val="24"/>
        </w:rPr>
        <w:object>
          <v:shape id="_x0000_i1030" o:spt="75" type="#_x0000_t75" style="height:28.45pt;width:393.5pt;" o:ole="t" filled="f" o:preferrelative="t" stroked="f" coordsize="21600,21600">
            <v:path/>
            <v:fill on="f" focussize="0,0"/>
            <v:stroke on="f" joinstyle="miter"/>
            <v:imagedata r:id="rId7" o:title=""/>
            <o:lock v:ext="edit" aspectratio="t"/>
            <w10:wrap type="none"/>
            <w10:anchorlock/>
          </v:shape>
          <o:OLEObject Type="Embed" ProgID="Equation.KSEE3" ShapeID="_x0000_i1030" DrawAspect="Content" ObjectID="_1468075730" r:id="rId12">
            <o:LockedField>false</o:LockedField>
          </o:OLEObject>
        </w:object>
      </w:r>
    </w:p>
    <w:p w14:paraId="5F4C9557">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2DFDB959">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（一）持续改进</w:t>
      </w:r>
    </w:p>
    <w:p w14:paraId="41FB7E11">
      <w:pPr>
        <w:spacing w:line="360" w:lineRule="auto"/>
        <w:ind w:firstLine="480" w:firstLineChars="200"/>
        <w:rPr>
          <w:rFonts w:ascii="宋体" w:hAnsi="宋体" w:eastAsia="宋体" w:cs="Times New Roman"/>
          <w:sz w:val="24"/>
        </w:rPr>
      </w:pPr>
      <w:r>
        <w:rPr>
          <w:rFonts w:ascii="宋体" w:hAnsi="宋体" w:eastAsia="宋体" w:cs="Times New Roman"/>
          <w:sz w:val="24"/>
        </w:rPr>
        <w:t>本课程根据学生作业、课堂讨论、模拟教学、说课、平时考核情况和学生、教学督导等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5BA68885">
      <w:pPr>
        <w:spacing w:line="360" w:lineRule="auto"/>
        <w:ind w:firstLine="482" w:firstLineChars="200"/>
        <w:rPr>
          <w:rFonts w:ascii="宋体" w:hAnsi="宋体" w:eastAsia="宋体" w:cs="Times New Roman"/>
          <w:b/>
          <w:sz w:val="24"/>
        </w:rPr>
      </w:pPr>
      <w:bookmarkStart w:id="151" w:name="_Toc27847343"/>
      <w:r>
        <w:rPr>
          <w:rFonts w:hint="eastAsia" w:ascii="宋体" w:hAnsi="宋体" w:eastAsia="宋体" w:cs="Times New Roman"/>
          <w:b/>
          <w:sz w:val="24"/>
        </w:rPr>
        <w:t>（二）教学参考书</w:t>
      </w:r>
      <w:bookmarkEnd w:id="151"/>
    </w:p>
    <w:p w14:paraId="54CA0AC5">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1</w:t>
      </w:r>
      <w:r>
        <w:rPr>
          <w:rFonts w:ascii="宋体" w:hAnsi="宋体" w:eastAsia="宋体" w:cs="Times New Roman"/>
          <w:b/>
          <w:bCs/>
          <w:sz w:val="24"/>
        </w:rPr>
        <w:t>.</w:t>
      </w:r>
      <w:r>
        <w:rPr>
          <w:rFonts w:hint="eastAsia" w:ascii="宋体" w:hAnsi="宋体" w:eastAsia="宋体" w:cs="Times New Roman"/>
          <w:b/>
          <w:bCs/>
          <w:sz w:val="24"/>
        </w:rPr>
        <w:t>教材</w:t>
      </w:r>
    </w:p>
    <w:p w14:paraId="059C891A">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李春秋.教育伦理学概论（修订版）.</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北京：北京师范大学出版社，20</w:t>
      </w:r>
      <w:r>
        <w:rPr>
          <w:rFonts w:ascii="Times New Roman" w:hAnsi="Times New Roman" w:eastAsia="宋体" w:cs="Times New Roman"/>
          <w:sz w:val="24"/>
          <w:szCs w:val="24"/>
        </w:rPr>
        <w:t>06.</w:t>
      </w:r>
    </w:p>
    <w:p w14:paraId="01110082">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2</w:t>
      </w:r>
      <w:r>
        <w:rPr>
          <w:rFonts w:ascii="宋体" w:hAnsi="宋体" w:eastAsia="宋体" w:cs="Times New Roman"/>
          <w:b/>
          <w:bCs/>
          <w:sz w:val="24"/>
        </w:rPr>
        <w:t>.</w:t>
      </w:r>
      <w:r>
        <w:rPr>
          <w:rFonts w:hint="eastAsia" w:ascii="宋体" w:hAnsi="宋体" w:eastAsia="宋体" w:cs="Times New Roman"/>
          <w:b/>
          <w:bCs/>
          <w:sz w:val="24"/>
        </w:rPr>
        <w:t>教学参考书</w:t>
      </w:r>
    </w:p>
    <w:p w14:paraId="6E31B56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王正平.教育伦理学.北京：人民教育出版社，2</w:t>
      </w:r>
      <w:r>
        <w:rPr>
          <w:rFonts w:ascii="宋体" w:hAnsi="宋体" w:eastAsia="宋体" w:cs="Times New Roman"/>
          <w:sz w:val="24"/>
        </w:rPr>
        <w:t>019.</w:t>
      </w:r>
    </w:p>
    <w:p w14:paraId="72969E5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理查德•斯坦利•彼得斯著，朱镜人译.伦理学与教育.北京：商务印书馆，2</w:t>
      </w:r>
      <w:r>
        <w:rPr>
          <w:rFonts w:ascii="宋体" w:hAnsi="宋体" w:eastAsia="宋体" w:cs="Times New Roman"/>
          <w:sz w:val="24"/>
        </w:rPr>
        <w:t>019.</w:t>
      </w:r>
    </w:p>
    <w:p w14:paraId="1E83B2C5">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李廷宪</w:t>
      </w:r>
      <w:r>
        <w:rPr>
          <w:rFonts w:ascii="宋体" w:hAnsi="宋体" w:eastAsia="宋体" w:cs="Times New Roman"/>
          <w:sz w:val="24"/>
        </w:rPr>
        <w:t>.</w:t>
      </w:r>
      <w:r>
        <w:rPr>
          <w:rFonts w:hint="eastAsia" w:ascii="宋体" w:hAnsi="宋体" w:eastAsia="宋体" w:cs="Times New Roman"/>
          <w:sz w:val="24"/>
        </w:rPr>
        <w:t>教育伦理学的体系与案例</w:t>
      </w:r>
      <w:r>
        <w:rPr>
          <w:rFonts w:ascii="宋体" w:hAnsi="宋体" w:eastAsia="宋体" w:cs="Times New Roman"/>
          <w:sz w:val="24"/>
        </w:rPr>
        <w:t>.</w:t>
      </w:r>
      <w:r>
        <w:rPr>
          <w:rFonts w:hint="eastAsia" w:ascii="宋体" w:hAnsi="宋体" w:eastAsia="宋体" w:cs="Times New Roman"/>
          <w:sz w:val="24"/>
        </w:rPr>
        <w:t>芜湖</w:t>
      </w:r>
      <w:r>
        <w:rPr>
          <w:rFonts w:ascii="宋体" w:hAnsi="宋体" w:eastAsia="宋体" w:cs="Times New Roman"/>
          <w:sz w:val="24"/>
        </w:rPr>
        <w:t>：</w:t>
      </w:r>
      <w:r>
        <w:rPr>
          <w:rFonts w:hint="eastAsia" w:ascii="宋体" w:hAnsi="宋体" w:eastAsia="宋体" w:cs="Times New Roman"/>
          <w:sz w:val="24"/>
        </w:rPr>
        <w:t>安徽师范大学出版社</w:t>
      </w:r>
      <w:r>
        <w:rPr>
          <w:rFonts w:ascii="宋体" w:hAnsi="宋体" w:eastAsia="宋体" w:cs="Times New Roman"/>
          <w:sz w:val="24"/>
        </w:rPr>
        <w:t>，2010.</w:t>
      </w:r>
    </w:p>
    <w:p w14:paraId="4834C28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贾新奇</w:t>
      </w:r>
      <w:r>
        <w:rPr>
          <w:rFonts w:ascii="宋体" w:hAnsi="宋体" w:eastAsia="宋体" w:cs="Times New Roman"/>
          <w:sz w:val="24"/>
        </w:rPr>
        <w:t>.</w:t>
      </w:r>
      <w:r>
        <w:rPr>
          <w:rFonts w:hint="eastAsia" w:ascii="宋体" w:hAnsi="宋体" w:eastAsia="宋体" w:cs="Times New Roman"/>
          <w:sz w:val="24"/>
        </w:rPr>
        <w:t>教育伦理学新编</w:t>
      </w:r>
      <w:r>
        <w:rPr>
          <w:rFonts w:ascii="宋体" w:hAnsi="宋体" w:eastAsia="宋体" w:cs="Times New Roman"/>
          <w:sz w:val="24"/>
        </w:rPr>
        <w:t>.</w:t>
      </w:r>
      <w:r>
        <w:rPr>
          <w:rFonts w:hint="eastAsia" w:ascii="宋体" w:hAnsi="宋体" w:eastAsia="宋体" w:cs="Times New Roman"/>
          <w:sz w:val="24"/>
        </w:rPr>
        <w:t>太原</w:t>
      </w:r>
      <w:r>
        <w:rPr>
          <w:rFonts w:ascii="宋体" w:hAnsi="宋体" w:eastAsia="宋体" w:cs="Times New Roman"/>
          <w:sz w:val="24"/>
        </w:rPr>
        <w:t xml:space="preserve">: </w:t>
      </w:r>
      <w:r>
        <w:rPr>
          <w:rFonts w:hint="eastAsia" w:ascii="宋体" w:hAnsi="宋体" w:eastAsia="宋体" w:cs="Times New Roman"/>
          <w:sz w:val="24"/>
        </w:rPr>
        <w:t>山西教育出版社</w:t>
      </w:r>
      <w:r>
        <w:rPr>
          <w:rFonts w:ascii="宋体" w:hAnsi="宋体" w:eastAsia="宋体" w:cs="Times New Roman"/>
          <w:sz w:val="24"/>
        </w:rPr>
        <w:t>, 2008.</w:t>
      </w:r>
    </w:p>
    <w:p w14:paraId="2E93137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程亮</w:t>
      </w:r>
      <w:r>
        <w:rPr>
          <w:rFonts w:ascii="宋体" w:hAnsi="宋体" w:eastAsia="宋体" w:cs="Times New Roman"/>
          <w:sz w:val="24"/>
        </w:rPr>
        <w:t>.</w:t>
      </w:r>
      <w:r>
        <w:rPr>
          <w:rFonts w:hint="eastAsia" w:ascii="宋体" w:hAnsi="宋体" w:eastAsia="宋体" w:cs="Times New Roman"/>
          <w:sz w:val="24"/>
        </w:rPr>
        <w:t>教育的道德基础——教育伦理学引论</w:t>
      </w:r>
      <w:r>
        <w:rPr>
          <w:rFonts w:ascii="宋体" w:hAnsi="宋体" w:eastAsia="宋体" w:cs="Times New Roman"/>
          <w:sz w:val="24"/>
        </w:rPr>
        <w:t>.</w:t>
      </w:r>
      <w:r>
        <w:rPr>
          <w:rFonts w:hint="eastAsia" w:ascii="宋体" w:hAnsi="宋体" w:eastAsia="宋体" w:cs="Times New Roman"/>
          <w:sz w:val="24"/>
        </w:rPr>
        <w:t>福州：福建教育出版社</w:t>
      </w:r>
      <w:r>
        <w:rPr>
          <w:rFonts w:ascii="宋体" w:hAnsi="宋体" w:eastAsia="宋体" w:cs="Times New Roman"/>
          <w:sz w:val="24"/>
        </w:rPr>
        <w:t>，2016.</w:t>
      </w:r>
    </w:p>
    <w:p w14:paraId="0AB6AB6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王正平，郑百伟.教育伦理学：理论与实践.上海：上海教育出版社，2</w:t>
      </w:r>
      <w:r>
        <w:rPr>
          <w:rFonts w:ascii="宋体" w:hAnsi="宋体" w:eastAsia="宋体" w:cs="Times New Roman"/>
          <w:sz w:val="24"/>
        </w:rPr>
        <w:t>001.</w:t>
      </w:r>
    </w:p>
    <w:p w14:paraId="387364A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孙彩平.教育的伦理精神.太原：山西教育出版社，2</w:t>
      </w:r>
      <w:r>
        <w:rPr>
          <w:rFonts w:ascii="宋体" w:hAnsi="宋体" w:eastAsia="宋体" w:cs="Times New Roman"/>
          <w:sz w:val="24"/>
        </w:rPr>
        <w:t>007.</w:t>
      </w:r>
    </w:p>
    <w:p w14:paraId="2677FC4A">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缪周芬</w:t>
      </w:r>
    </w:p>
    <w:p w14:paraId="7704E646">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审定人：王  健</w:t>
      </w:r>
    </w:p>
    <w:p w14:paraId="16D84359">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5EA981E6">
      <w:pPr>
        <w:widowControl/>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5D3409F0">
      <w:pPr>
        <w:widowControl/>
        <w:jc w:val="left"/>
        <w:rPr>
          <w:rFonts w:ascii="宋体" w:hAnsi="宋体" w:eastAsia="宋体" w:cs="Times New Roman"/>
          <w:kern w:val="0"/>
          <w:sz w:val="24"/>
          <w:szCs w:val="21"/>
        </w:rPr>
      </w:pPr>
    </w:p>
    <w:p w14:paraId="44060ACA">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508BE5FA">
      <w:pPr>
        <w:spacing w:line="360" w:lineRule="auto"/>
        <w:jc w:val="center"/>
        <w:outlineLvl w:val="0"/>
        <w:rPr>
          <w:rFonts w:ascii="Times New Roman" w:hAnsi="Times New Roman" w:eastAsia="宋体" w:cs="Times New Roman"/>
          <w:b/>
          <w:sz w:val="30"/>
          <w:szCs w:val="30"/>
        </w:rPr>
      </w:pPr>
      <w:bookmarkStart w:id="152" w:name="_Toc166165201"/>
      <w:bookmarkStart w:id="153" w:name="_Toc57017185"/>
      <w:r>
        <w:rPr>
          <w:rFonts w:hint="eastAsia" w:ascii="Times New Roman" w:hAnsi="Times New Roman" w:eastAsia="宋体" w:cs="Times New Roman"/>
          <w:b/>
          <w:sz w:val="30"/>
          <w:szCs w:val="30"/>
          <w:lang w:eastAsia="zh-CN"/>
        </w:rPr>
        <w:t>《</w:t>
      </w:r>
      <w:r>
        <w:rPr>
          <w:rFonts w:hint="eastAsia" w:ascii="Times New Roman" w:hAnsi="Times New Roman" w:eastAsia="宋体" w:cs="Times New Roman"/>
          <w:b/>
          <w:sz w:val="30"/>
          <w:szCs w:val="30"/>
        </w:rPr>
        <w:t>中外教育名著导读</w:t>
      </w:r>
      <w:r>
        <w:rPr>
          <w:rFonts w:hint="eastAsia" w:ascii="Times New Roman" w:hAnsi="Times New Roman" w:eastAsia="宋体" w:cs="Times New Roman"/>
          <w:b/>
          <w:sz w:val="30"/>
          <w:szCs w:val="30"/>
          <w:lang w:eastAsia="zh-CN"/>
        </w:rPr>
        <w:t>》</w:t>
      </w:r>
      <w:bookmarkStart w:id="339" w:name="_GoBack"/>
      <w:bookmarkEnd w:id="339"/>
      <w:r>
        <w:rPr>
          <w:rFonts w:hint="eastAsia" w:ascii="Times New Roman" w:hAnsi="Times New Roman" w:eastAsia="宋体" w:cs="Times New Roman"/>
          <w:b/>
          <w:sz w:val="30"/>
          <w:szCs w:val="30"/>
        </w:rPr>
        <w:t>课程教学大纲</w:t>
      </w:r>
      <w:bookmarkEnd w:id="152"/>
      <w:bookmarkEnd w:id="153"/>
    </w:p>
    <w:p w14:paraId="1803F3E2">
      <w:pPr>
        <w:spacing w:line="360" w:lineRule="auto"/>
        <w:jc w:val="center"/>
        <w:rPr>
          <w:rFonts w:ascii="Times New Roman" w:hAnsi="Times New Roman" w:eastAsia="宋体" w:cs="Times New Roman"/>
          <w:b/>
          <w:bCs/>
          <w:sz w:val="28"/>
          <w:szCs w:val="30"/>
        </w:rPr>
      </w:pPr>
      <w:r>
        <w:rPr>
          <w:rFonts w:ascii="Times New Roman" w:hAnsi="Times New Roman" w:eastAsia="宋体" w:cs="Times New Roman"/>
          <w:b/>
          <w:bCs/>
          <w:sz w:val="28"/>
          <w:szCs w:val="30"/>
        </w:rPr>
        <w:t>（Introduction to Chinese and Foreign Educational Classics）</w:t>
      </w:r>
    </w:p>
    <w:p w14:paraId="6CE3EAD2">
      <w:pPr>
        <w:spacing w:line="360" w:lineRule="auto"/>
        <w:ind w:firstLine="482" w:firstLineChars="200"/>
        <w:jc w:val="left"/>
        <w:rPr>
          <w:rFonts w:ascii="Times New Roman" w:hAnsi="Times New Roman" w:eastAsia="宋体" w:cs="Times New Roman"/>
          <w:b/>
          <w:sz w:val="24"/>
          <w:szCs w:val="24"/>
        </w:rPr>
      </w:pPr>
    </w:p>
    <w:p w14:paraId="6D592A69">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一、课程概况</w:t>
      </w:r>
    </w:p>
    <w:p w14:paraId="0CF1A764">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sz w:val="24"/>
          <w:szCs w:val="24"/>
        </w:rPr>
        <w:t>2401020</w:t>
      </w:r>
    </w:p>
    <w:p w14:paraId="5827124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hint="eastAsia" w:ascii="Times New Roman" w:hAnsi="Times New Roman" w:eastAsia="宋体" w:cs="Times New Roman"/>
          <w:sz w:val="24"/>
          <w:szCs w:val="24"/>
        </w:rPr>
        <w:t>2</w:t>
      </w:r>
    </w:p>
    <w:p w14:paraId="06FE1E9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hint="eastAsia" w:ascii="Times New Roman" w:hAnsi="Times New Roman" w:eastAsia="宋体" w:cs="Times New Roman"/>
          <w:sz w:val="24"/>
          <w:szCs w:val="24"/>
        </w:rPr>
        <w:t>32</w:t>
      </w:r>
    </w:p>
    <w:p w14:paraId="450C4EE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Cs/>
          <w:sz w:val="24"/>
          <w:szCs w:val="24"/>
        </w:rPr>
        <w:t>教育原理、中国教育史、外国教育史</w:t>
      </w:r>
    </w:p>
    <w:p w14:paraId="14DF9AA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w:t>
      </w:r>
      <w:r>
        <w:rPr>
          <w:rFonts w:hint="eastAsia" w:ascii="Times New Roman" w:hAnsi="Times New Roman" w:eastAsia="宋体" w:cs="Times New Roman"/>
          <w:sz w:val="24"/>
          <w:szCs w:val="24"/>
        </w:rPr>
        <w:t>小学教育</w:t>
      </w:r>
    </w:p>
    <w:p w14:paraId="3532131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建议教材：</w:t>
      </w:r>
      <w:r>
        <w:rPr>
          <w:rFonts w:hint="eastAsia" w:ascii="Times New Roman" w:hAnsi="Times New Roman" w:eastAsia="宋体" w:cs="Times New Roman"/>
          <w:sz w:val="24"/>
          <w:szCs w:val="24"/>
        </w:rPr>
        <w:t>《中外教育名著选读》，肖朗，高等教育出版社，20</w:t>
      </w:r>
      <w:r>
        <w:rPr>
          <w:rFonts w:ascii="Times New Roman" w:hAnsi="Times New Roman" w:eastAsia="宋体" w:cs="Times New Roman"/>
          <w:sz w:val="24"/>
          <w:szCs w:val="24"/>
        </w:rPr>
        <w:t>09.</w:t>
      </w:r>
    </w:p>
    <w:p w14:paraId="2DCCF0B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课程归口：</w:t>
      </w:r>
      <w:r>
        <w:rPr>
          <w:rFonts w:hint="eastAsia" w:ascii="Times New Roman" w:hAnsi="Times New Roman" w:eastAsia="宋体" w:cs="Times New Roman"/>
          <w:sz w:val="24"/>
          <w:szCs w:val="24"/>
        </w:rPr>
        <w:t>师范学院</w:t>
      </w:r>
    </w:p>
    <w:p w14:paraId="4E21D466">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课程的性质与任务：</w:t>
      </w:r>
      <w:r>
        <w:rPr>
          <w:rFonts w:hint="eastAsia" w:ascii="Times New Roman" w:hAnsi="Times New Roman" w:eastAsia="宋体" w:cs="Times New Roman"/>
          <w:sz w:val="24"/>
          <w:szCs w:val="24"/>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26A1B131">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二、课程目标</w:t>
      </w:r>
    </w:p>
    <w:p w14:paraId="69FC4322">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（一）课程具体目标</w:t>
      </w:r>
    </w:p>
    <w:p w14:paraId="6A36E46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掌握中外著名教育家的主要教育思想及代表性作品</w:t>
      </w:r>
    </w:p>
    <w:p w14:paraId="4B07F72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了解中外教育名著的写作背景，把握其思想实质和教育家们分析问题的立场、方法，自觉树立科学的教育理念</w:t>
      </w:r>
    </w:p>
    <w:p w14:paraId="36A76EF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了解古今中外教育家教育思想的现实意义，通过知古识今，洋为中用，更好地分析和思考当前我国教育改革的实际问题，增强教育的革新意识</w:t>
      </w:r>
    </w:p>
    <w:p w14:paraId="67226B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4. </w:t>
      </w:r>
      <w:r>
        <w:rPr>
          <w:rFonts w:hint="eastAsia" w:ascii="Times New Roman" w:hAnsi="Times New Roman" w:eastAsia="宋体" w:cs="Times New Roman"/>
          <w:sz w:val="24"/>
          <w:szCs w:val="24"/>
        </w:rPr>
        <w:t>掌握一定的阅读方法，养成良好的阅读习惯，增强分析、批判和创新能力。</w:t>
      </w:r>
    </w:p>
    <w:p w14:paraId="7A624C93">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tbl>
      <w:tblPr>
        <w:tblStyle w:val="30"/>
        <w:tblW w:w="85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2223"/>
        <w:gridCol w:w="4977"/>
      </w:tblGrid>
      <w:tr w14:paraId="2B35F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32" w:type="dxa"/>
            <w:shd w:val="clear" w:color="auto" w:fill="auto"/>
            <w:vAlign w:val="center"/>
          </w:tcPr>
          <w:p w14:paraId="37F1055E">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2223" w:type="dxa"/>
            <w:shd w:val="clear" w:color="auto" w:fill="auto"/>
            <w:vAlign w:val="center"/>
          </w:tcPr>
          <w:p w14:paraId="74A2F044">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4977" w:type="dxa"/>
            <w:shd w:val="clear" w:color="auto" w:fill="auto"/>
            <w:vAlign w:val="center"/>
          </w:tcPr>
          <w:p w14:paraId="71ED34C7">
            <w:pPr>
              <w:spacing w:line="276" w:lineRule="auto"/>
              <w:ind w:firstLine="422" w:firstLineChars="200"/>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7D5B0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32" w:type="dxa"/>
            <w:shd w:val="clear" w:color="auto" w:fill="auto"/>
            <w:vAlign w:val="center"/>
          </w:tcPr>
          <w:p w14:paraId="299BB40C">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23" w:type="dxa"/>
            <w:shd w:val="clear" w:color="auto" w:fill="auto"/>
            <w:vAlign w:val="center"/>
          </w:tcPr>
          <w:p w14:paraId="5397E3A1">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r>
              <w:rPr>
                <w:rFonts w:hint="eastAsia" w:ascii="宋体" w:hAnsi="宋体" w:eastAsia="宋体" w:cs="Times New Roman"/>
                <w:color w:val="000000"/>
                <w:kern w:val="0"/>
                <w:szCs w:val="21"/>
              </w:rPr>
              <w:t>综合素养</w:t>
            </w:r>
          </w:p>
        </w:tc>
        <w:tc>
          <w:tcPr>
            <w:tcW w:w="4977" w:type="dxa"/>
            <w:shd w:val="clear" w:color="auto" w:fill="auto"/>
            <w:vAlign w:val="center"/>
          </w:tcPr>
          <w:p w14:paraId="6636F724">
            <w:pPr>
              <w:spacing w:line="276" w:lineRule="auto"/>
              <w:jc w:val="left"/>
              <w:rPr>
                <w:rFonts w:hint="eastAsia" w:ascii="宋体" w:hAnsi="宋体" w:eastAsia="宋体" w:cs="Times New Roman"/>
                <w:color w:val="000000"/>
                <w:kern w:val="0"/>
                <w:szCs w:val="21"/>
              </w:rPr>
            </w:pPr>
            <w:r>
              <w:rPr>
                <w:rFonts w:ascii="Calibri" w:hAnsi="Calibri" w:eastAsia="宋体" w:cs="Times New Roman"/>
                <w:kern w:val="0"/>
                <w:szCs w:val="21"/>
              </w:rPr>
              <w:t>指标点</w:t>
            </w:r>
            <w:r>
              <w:rPr>
                <w:rFonts w:ascii="Calibri" w:hAnsi="Calibri" w:eastAsia="宋体" w:cs="Times New Roman"/>
                <w:szCs w:val="21"/>
              </w:rPr>
              <w:t>3-1：</w:t>
            </w:r>
            <w:r>
              <w:rPr>
                <w:rFonts w:hint="eastAsia" w:ascii="Calibri" w:hAnsi="Calibri" w:eastAsia="宋体" w:cs="Times New Roman"/>
                <w:szCs w:val="21"/>
              </w:rPr>
              <w:t>【教育基础扎实】具有一定的人文与科学素养，掌握教育理论基本知识，能够结合小学生认知发展特点，运用教育原理和方法，分析和解决教育教学实践中的问题。</w:t>
            </w:r>
          </w:p>
        </w:tc>
      </w:tr>
      <w:tr w14:paraId="43840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32" w:type="dxa"/>
            <w:shd w:val="clear" w:color="auto" w:fill="auto"/>
            <w:vAlign w:val="center"/>
          </w:tcPr>
          <w:p w14:paraId="330F448B">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课程目标2</w:t>
            </w:r>
          </w:p>
        </w:tc>
        <w:tc>
          <w:tcPr>
            <w:tcW w:w="2223" w:type="dxa"/>
            <w:shd w:val="clear" w:color="auto" w:fill="auto"/>
            <w:vAlign w:val="center"/>
          </w:tcPr>
          <w:p w14:paraId="11FFA65F">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p w14:paraId="69E24CF7">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毕业要求8</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沟通合作</w:t>
            </w:r>
          </w:p>
        </w:tc>
        <w:tc>
          <w:tcPr>
            <w:tcW w:w="4977" w:type="dxa"/>
            <w:shd w:val="clear" w:color="auto" w:fill="auto"/>
            <w:vAlign w:val="center"/>
          </w:tcPr>
          <w:p w14:paraId="072042BE">
            <w:pPr>
              <w:spacing w:line="276" w:lineRule="auto"/>
              <w:jc w:val="left"/>
              <w:rPr>
                <w:rFonts w:ascii="Calibri" w:hAnsi="Calibri" w:eastAsia="宋体" w:cs="Times New Roman"/>
                <w:szCs w:val="21"/>
              </w:rPr>
            </w:pPr>
            <w:r>
              <w:rPr>
                <w:rFonts w:ascii="Calibri" w:hAnsi="Calibri" w:eastAsia="宋体" w:cs="Times New Roman"/>
                <w:kern w:val="0"/>
                <w:szCs w:val="21"/>
              </w:rPr>
              <w:t>指标点</w:t>
            </w:r>
            <w:r>
              <w:rPr>
                <w:rFonts w:ascii="Calibri" w:hAnsi="Calibri" w:eastAsia="宋体" w:cs="Times New Roman"/>
                <w:szCs w:val="21"/>
              </w:rPr>
              <w:t>7-3：</w:t>
            </w:r>
            <w:r>
              <w:rPr>
                <w:rFonts w:hint="eastAsia" w:ascii="Calibri" w:hAnsi="Calibri" w:eastAsia="宋体" w:cs="Times New Roman"/>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p w14:paraId="077EA801">
            <w:pPr>
              <w:spacing w:line="276" w:lineRule="auto"/>
              <w:jc w:val="left"/>
              <w:rPr>
                <w:rFonts w:hint="eastAsia" w:ascii="宋体" w:hAnsi="宋体" w:eastAsia="宋体" w:cs="Times New Roman"/>
                <w:color w:val="000000"/>
                <w:kern w:val="0"/>
                <w:szCs w:val="21"/>
              </w:rPr>
            </w:pPr>
            <w:r>
              <w:rPr>
                <w:rFonts w:ascii="Calibri" w:hAnsi="Calibri" w:eastAsia="宋体" w:cs="Times New Roman"/>
                <w:kern w:val="0"/>
                <w:szCs w:val="21"/>
              </w:rPr>
              <w:t>指标点</w:t>
            </w:r>
            <w:r>
              <w:rPr>
                <w:rFonts w:ascii="Calibri" w:hAnsi="Calibri" w:eastAsia="宋体" w:cs="Times New Roman"/>
                <w:szCs w:val="21"/>
              </w:rPr>
              <w:t>8-3：</w:t>
            </w:r>
            <w:r>
              <w:rPr>
                <w:rFonts w:hint="eastAsia" w:ascii="Calibri" w:hAnsi="Calibri" w:eastAsia="宋体" w:cs="Times New Roman"/>
                <w:szCs w:val="21"/>
              </w:rPr>
              <w:t>【具有国际视野】</w:t>
            </w:r>
            <w:r>
              <w:rPr>
                <w:rFonts w:ascii="Calibri" w:hAnsi="Calibri" w:eastAsia="宋体" w:cs="Times New Roman"/>
                <w:szCs w:val="21"/>
              </w:rPr>
              <w:t>具备基本的国际理解与交流沟通能力。</w:t>
            </w:r>
          </w:p>
        </w:tc>
      </w:tr>
      <w:tr w14:paraId="45950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32" w:type="dxa"/>
            <w:shd w:val="clear" w:color="auto" w:fill="auto"/>
            <w:vAlign w:val="center"/>
          </w:tcPr>
          <w:p w14:paraId="27D931C6">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3</w:t>
            </w:r>
          </w:p>
        </w:tc>
        <w:tc>
          <w:tcPr>
            <w:tcW w:w="2223" w:type="dxa"/>
            <w:shd w:val="clear" w:color="auto" w:fill="auto"/>
            <w:vAlign w:val="center"/>
          </w:tcPr>
          <w:p w14:paraId="16B12401">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p w14:paraId="3D7FDA96">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毕业要求8</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沟通合作</w:t>
            </w:r>
          </w:p>
        </w:tc>
        <w:tc>
          <w:tcPr>
            <w:tcW w:w="4977" w:type="dxa"/>
            <w:shd w:val="clear" w:color="auto" w:fill="auto"/>
            <w:vAlign w:val="center"/>
          </w:tcPr>
          <w:p w14:paraId="16D3719C">
            <w:pPr>
              <w:spacing w:line="276" w:lineRule="auto"/>
              <w:jc w:val="left"/>
              <w:rPr>
                <w:rFonts w:ascii="Calibri" w:hAnsi="Calibri" w:eastAsia="宋体" w:cs="Times New Roman"/>
                <w:szCs w:val="21"/>
              </w:rPr>
            </w:pPr>
            <w:r>
              <w:rPr>
                <w:rFonts w:ascii="Calibri" w:hAnsi="Calibri" w:eastAsia="宋体" w:cs="Times New Roman"/>
                <w:kern w:val="0"/>
                <w:szCs w:val="21"/>
              </w:rPr>
              <w:t>指标点</w:t>
            </w:r>
            <w:r>
              <w:rPr>
                <w:rFonts w:ascii="Calibri" w:hAnsi="Calibri" w:eastAsia="宋体" w:cs="Times New Roman"/>
                <w:szCs w:val="21"/>
              </w:rPr>
              <w:t>7-1：</w:t>
            </w:r>
            <w:r>
              <w:rPr>
                <w:rFonts w:hint="eastAsia" w:ascii="Calibri" w:hAnsi="Calibri" w:eastAsia="宋体" w:cs="Times New Roman"/>
                <w:szCs w:val="21"/>
              </w:rPr>
              <w:t>【教育视野开阔】</w:t>
            </w:r>
            <w:r>
              <w:rPr>
                <w:rFonts w:ascii="Calibri" w:hAnsi="Calibri" w:eastAsia="宋体" w:cs="Times New Roman"/>
                <w:szCs w:val="21"/>
              </w:rPr>
              <w:t>积极参加基础教育领域的国内外交流，了解国内外基础教育改革发展的动态，具有宽广的教育视野</w:t>
            </w:r>
            <w:r>
              <w:rPr>
                <w:rFonts w:hint="eastAsia" w:ascii="Calibri" w:hAnsi="Calibri" w:eastAsia="宋体" w:cs="Times New Roman"/>
                <w:szCs w:val="21"/>
              </w:rPr>
              <w:t>，能够主动适应新时代和教育发展需求。</w:t>
            </w:r>
          </w:p>
          <w:p w14:paraId="57E0CB82">
            <w:pPr>
              <w:spacing w:line="276" w:lineRule="auto"/>
              <w:jc w:val="left"/>
              <w:rPr>
                <w:rFonts w:hint="eastAsia" w:ascii="宋体" w:hAnsi="宋体" w:eastAsia="宋体" w:cs="宋体"/>
                <w:color w:val="000000"/>
                <w:szCs w:val="21"/>
              </w:rPr>
            </w:pPr>
            <w:r>
              <w:rPr>
                <w:rFonts w:ascii="Calibri" w:hAnsi="Calibri" w:eastAsia="宋体" w:cs="Times New Roman"/>
                <w:kern w:val="0"/>
                <w:szCs w:val="21"/>
              </w:rPr>
              <w:t>指标点</w:t>
            </w:r>
            <w:r>
              <w:rPr>
                <w:rFonts w:ascii="Calibri" w:hAnsi="Calibri" w:eastAsia="宋体" w:cs="Times New Roman"/>
                <w:szCs w:val="21"/>
              </w:rPr>
              <w:t>8-3：</w:t>
            </w:r>
            <w:r>
              <w:rPr>
                <w:rFonts w:hint="eastAsia" w:ascii="Calibri" w:hAnsi="Calibri" w:eastAsia="宋体" w:cs="Times New Roman"/>
                <w:szCs w:val="21"/>
              </w:rPr>
              <w:t>【具有国际视野】</w:t>
            </w:r>
            <w:r>
              <w:rPr>
                <w:rFonts w:ascii="Calibri" w:hAnsi="Calibri" w:eastAsia="宋体" w:cs="Times New Roman"/>
                <w:szCs w:val="21"/>
              </w:rPr>
              <w:t>具备基本的国际理解与交流沟通能力。</w:t>
            </w:r>
          </w:p>
        </w:tc>
      </w:tr>
      <w:tr w14:paraId="61B27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32" w:type="dxa"/>
            <w:shd w:val="clear" w:color="auto" w:fill="auto"/>
            <w:vAlign w:val="center"/>
          </w:tcPr>
          <w:p w14:paraId="20ED4DD4">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w:t>
            </w:r>
            <w:r>
              <w:rPr>
                <w:rFonts w:ascii="宋体" w:hAnsi="宋体" w:eastAsia="宋体" w:cs="宋体"/>
                <w:color w:val="000000"/>
                <w:szCs w:val="21"/>
              </w:rPr>
              <w:t>4</w:t>
            </w:r>
          </w:p>
        </w:tc>
        <w:tc>
          <w:tcPr>
            <w:tcW w:w="2223" w:type="dxa"/>
            <w:shd w:val="clear" w:color="auto" w:fill="auto"/>
            <w:vAlign w:val="center"/>
          </w:tcPr>
          <w:p w14:paraId="4168DD04">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毕业要求7</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4977" w:type="dxa"/>
            <w:shd w:val="clear" w:color="auto" w:fill="auto"/>
            <w:vAlign w:val="center"/>
          </w:tcPr>
          <w:p w14:paraId="7B819EB1">
            <w:pPr>
              <w:shd w:val="clear" w:color="auto" w:fill="FFFFFF"/>
              <w:spacing w:line="276" w:lineRule="auto"/>
              <w:jc w:val="left"/>
              <w:rPr>
                <w:rFonts w:hint="eastAsia" w:ascii="宋体" w:hAnsi="宋体" w:eastAsia="宋体" w:cs="Times New Roman"/>
                <w:color w:val="000000"/>
                <w:spacing w:val="2"/>
                <w:kern w:val="0"/>
                <w:szCs w:val="21"/>
              </w:rPr>
            </w:pPr>
            <w:r>
              <w:rPr>
                <w:rFonts w:ascii="Calibri" w:hAnsi="Calibri" w:eastAsia="宋体" w:cs="Times New Roman"/>
                <w:kern w:val="0"/>
                <w:szCs w:val="21"/>
              </w:rPr>
              <w:t>指标点</w:t>
            </w:r>
            <w:r>
              <w:rPr>
                <w:rFonts w:ascii="Calibri" w:hAnsi="Calibri" w:eastAsia="宋体" w:cs="Times New Roman"/>
                <w:szCs w:val="21"/>
              </w:rPr>
              <w:t>7-3：</w:t>
            </w:r>
            <w:r>
              <w:rPr>
                <w:rFonts w:hint="eastAsia" w:ascii="Calibri" w:hAnsi="Calibri" w:eastAsia="宋体" w:cs="Times New Roman"/>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39E45DDB">
      <w:pPr>
        <w:spacing w:line="360" w:lineRule="auto"/>
        <w:ind w:firstLine="562" w:firstLineChars="200"/>
        <w:jc w:val="center"/>
        <w:rPr>
          <w:rFonts w:ascii="Times New Roman" w:hAnsi="Times New Roman" w:eastAsia="宋体" w:cs="Times New Roman"/>
          <w:b/>
          <w:bCs/>
          <w:sz w:val="28"/>
          <w:szCs w:val="28"/>
        </w:rPr>
      </w:pPr>
    </w:p>
    <w:p w14:paraId="2FB33591">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三、课程内容及要求</w:t>
      </w:r>
    </w:p>
    <w:p w14:paraId="55F6B3A7">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（一）导读概述</w:t>
      </w:r>
      <w:r>
        <w:rPr>
          <w:rFonts w:hint="eastAsia" w:ascii="Times New Roman" w:hAnsi="Times New Roman" w:eastAsia="宋体" w:cs="Times New Roman"/>
          <w:sz w:val="24"/>
          <w:szCs w:val="24"/>
        </w:rPr>
        <w:t>（本模块各知识点的讲授与学习，可以支撑课程目标</w:t>
      </w: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p>
    <w:p w14:paraId="372385A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69A397F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（1）什么是教育经典名著</w:t>
      </w:r>
    </w:p>
    <w:p w14:paraId="5D9B2F6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（2）阅读教育经典名著的方法</w:t>
      </w:r>
    </w:p>
    <w:p w14:paraId="6145052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67C81EC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（1）了解什么是教育经典名著</w:t>
      </w:r>
    </w:p>
    <w:p w14:paraId="6F2D396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（2）明确阅读教育经典名著的意义</w:t>
      </w:r>
    </w:p>
    <w:p w14:paraId="3AF7103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（3）掌握教育经典名著的方法</w:t>
      </w:r>
    </w:p>
    <w:p w14:paraId="5DB8D0B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2C158E9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把马克思主义经典理论和习近平新时代中国特色社会主义思想等马克思主义中国化的最新理论成果融入课程内容，树牢“四个意识”，坚定“四个自信”，坚决做到“两个维护”，立志肩负起民族复兴的时代重任。</w:t>
      </w:r>
    </w:p>
    <w:p w14:paraId="6A8961A9">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教育经典名著的含义，读什么、怎样读、为什么读？</w:t>
      </w:r>
    </w:p>
    <w:p w14:paraId="09CE7523">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对阅读教育名著意义的理解</w:t>
      </w:r>
    </w:p>
    <w:p w14:paraId="2BD2DAED">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（二）中国古代教育名著导读</w:t>
      </w:r>
      <w:r>
        <w:rPr>
          <w:rFonts w:hint="eastAsia" w:ascii="Times New Roman" w:hAnsi="Times New Roman" w:eastAsia="宋体" w:cs="Times New Roman"/>
          <w:sz w:val="24"/>
          <w:szCs w:val="24"/>
        </w:rPr>
        <w:t>（本模块的各知识点的讲授和学习，可以支撑课程目标1、课程目标2、课程目标</w:t>
      </w:r>
      <w:r>
        <w:rPr>
          <w:rFonts w:ascii="Times New Roman" w:hAnsi="Times New Roman" w:eastAsia="宋体" w:cs="Times New Roman"/>
          <w:sz w:val="24"/>
          <w:szCs w:val="24"/>
        </w:rPr>
        <w:t>3</w:t>
      </w:r>
      <w:r>
        <w:rPr>
          <w:rFonts w:hint="eastAsia" w:ascii="Times New Roman" w:hAnsi="Times New Roman" w:eastAsia="宋体" w:cs="Times New Roman"/>
          <w:sz w:val="24"/>
          <w:szCs w:val="24"/>
        </w:rPr>
        <w:t>、课程目标4）</w:t>
      </w:r>
    </w:p>
    <w:p w14:paraId="7858CDE7">
      <w:pPr>
        <w:spacing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1. </w:t>
      </w:r>
      <w:r>
        <w:rPr>
          <w:rFonts w:hint="eastAsia" w:ascii="Times New Roman" w:hAnsi="Times New Roman" w:eastAsia="宋体" w:cs="Times New Roman"/>
          <w:b/>
          <w:bCs/>
          <w:sz w:val="24"/>
          <w:szCs w:val="24"/>
        </w:rPr>
        <w:t>教学内容</w:t>
      </w:r>
    </w:p>
    <w:p w14:paraId="7FD88DA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（1）《论语》导读</w:t>
      </w:r>
    </w:p>
    <w:p w14:paraId="40C4CCA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（2）《学记》导读</w:t>
      </w:r>
    </w:p>
    <w:p w14:paraId="2D2A46D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（3）《勉学》导读</w:t>
      </w:r>
    </w:p>
    <w:p w14:paraId="7D52330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（4）《师说》导读</w:t>
      </w:r>
    </w:p>
    <w:p w14:paraId="2739F806">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577570A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（1）了解《论语》《学记》《勉学》《师说》的内容和孔子、颜之推、韩愈的教育思想</w:t>
      </w:r>
    </w:p>
    <w:p w14:paraId="3713D16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（2）理解《论语》《学记》《勉学》《师说》中的教育观和它们的历史地位</w:t>
      </w:r>
    </w:p>
    <w:p w14:paraId="7065531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（3）掌握其思想精髓</w:t>
      </w:r>
    </w:p>
    <w:p w14:paraId="2EB0A79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bookmarkStart w:id="154" w:name="_Hlk20491973"/>
      <w:r>
        <w:rPr>
          <w:rFonts w:hint="eastAsia" w:ascii="Times New Roman" w:hAnsi="Times New Roman" w:eastAsia="宋体" w:cs="Times New Roman"/>
          <w:sz w:val="24"/>
          <w:szCs w:val="24"/>
        </w:rPr>
        <w:t>能联系实际，探寻教育思想的现代意义</w:t>
      </w:r>
      <w:bookmarkEnd w:id="154"/>
    </w:p>
    <w:p w14:paraId="0091DB3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66295B2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1）继承祖国优秀教育遗产，增强民族自尊心和自信心。</w:t>
      </w:r>
    </w:p>
    <w:p w14:paraId="7277BAF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2）以教育家为榜样，忠诚人民教育事业，进一步巩固专业思想，乐于从事“太阳底下最光辉的事业”，把青春和智慧献给教育事业。</w:t>
      </w:r>
    </w:p>
    <w:p w14:paraId="578588F1">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《论语》《学记》《勉学》《师说》的内容和精髓</w:t>
      </w:r>
    </w:p>
    <w:p w14:paraId="311A3A8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《论语》《学记》《勉学》《师说》的思想精髓；其教育思想的现代意义</w:t>
      </w:r>
    </w:p>
    <w:p w14:paraId="15FC62EC">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（三）中国近现代教育名著导读</w:t>
      </w:r>
      <w:r>
        <w:rPr>
          <w:rFonts w:hint="eastAsia" w:ascii="Times New Roman" w:hAnsi="Times New Roman" w:eastAsia="宋体" w:cs="Times New Roman"/>
          <w:sz w:val="24"/>
          <w:szCs w:val="24"/>
        </w:rPr>
        <w:t>（本模块各知识点的讲授与学习，可以支撑课程目标1、课程目标</w:t>
      </w:r>
      <w:r>
        <w:rPr>
          <w:rFonts w:ascii="Times New Roman" w:hAnsi="Times New Roman" w:eastAsia="宋体" w:cs="Times New Roman"/>
          <w:sz w:val="24"/>
          <w:szCs w:val="24"/>
        </w:rPr>
        <w:t>2</w:t>
      </w:r>
      <w:r>
        <w:rPr>
          <w:rFonts w:hint="eastAsia" w:ascii="Times New Roman" w:hAnsi="Times New Roman" w:eastAsia="宋体" w:cs="Times New Roman"/>
          <w:sz w:val="24"/>
          <w:szCs w:val="24"/>
        </w:rPr>
        <w:t>、课程目标3、课程目标4）</w:t>
      </w:r>
    </w:p>
    <w:p w14:paraId="2E82FCF0">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62DA967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（1）《就任北京大学校长之演说》导读</w:t>
      </w:r>
    </w:p>
    <w:p w14:paraId="2080442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（2）《大学一解》导读</w:t>
      </w:r>
    </w:p>
    <w:p w14:paraId="0FE1A51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（3）《创造的教育》导读</w:t>
      </w:r>
    </w:p>
    <w:p w14:paraId="371AE4E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（4）《为什么读书》导读</w:t>
      </w:r>
    </w:p>
    <w:p w14:paraId="6ADC9E87">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08612B8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（1）了解蔡元培、梅贻琦、陶行知、胡适的教育思想</w:t>
      </w:r>
    </w:p>
    <w:p w14:paraId="517948E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（2）理解《就任北京大学校长之演说》《大学一解》《创造的教育》《为什么读书》中的教育观</w:t>
      </w:r>
    </w:p>
    <w:p w14:paraId="50646F7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（3）掌握其思想精髓</w:t>
      </w:r>
    </w:p>
    <w:p w14:paraId="77599F2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（4）能联系实际，探寻其教育思想的现代意义</w:t>
      </w:r>
    </w:p>
    <w:p w14:paraId="176EF9DB">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035EE15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1）继承祖国优秀教育遗产，增强民族自尊心和自信心。</w:t>
      </w:r>
      <w:r>
        <w:rPr>
          <w:rFonts w:hint="eastAsia" w:ascii="Times New Roman" w:hAnsi="Times New Roman" w:eastAsia="宋体" w:cs="Times New Roman"/>
          <w:sz w:val="24"/>
          <w:szCs w:val="24"/>
        </w:rPr>
        <w:t>厚植爱国主义情怀，传承中华优秀传统文化，弘扬以爱国主义为核心的民族精神和以改革创新为核心的时代精神。</w:t>
      </w:r>
    </w:p>
    <w:p w14:paraId="6461978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2）以教育家为榜样，忠诚人民教育事业，进一步巩固专业思想，乐于从事“太阳底下最光辉的事业”，把青春和智慧献给教育事业。</w:t>
      </w:r>
    </w:p>
    <w:p w14:paraId="0FB0F19F">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《就任北京大学校长之演说》《大学一解》《创造的教育》《为什么读书》中的教育观和其教育思想精髓</w:t>
      </w:r>
    </w:p>
    <w:p w14:paraId="6F3359B4">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《就任北京大学校长之演说》《大学一解》《创造的教育》《为什么读书》的思想精髓；其教育思想的现代意义</w:t>
      </w:r>
    </w:p>
    <w:p w14:paraId="7A3035E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（四）西方古代教育名著导读</w:t>
      </w:r>
      <w:r>
        <w:rPr>
          <w:rFonts w:hint="eastAsia" w:ascii="Times New Roman" w:hAnsi="Times New Roman" w:eastAsia="宋体" w:cs="Times New Roman"/>
          <w:sz w:val="24"/>
          <w:szCs w:val="24"/>
        </w:rPr>
        <w:t>（本模块各知识点的讲授与学习，可以支撑课程目标1、课程目标2、课程目标3、课程目标4）</w:t>
      </w:r>
    </w:p>
    <w:p w14:paraId="39391287">
      <w:pPr>
        <w:spacing w:line="360" w:lineRule="auto"/>
        <w:ind w:firstLine="482" w:firstLineChars="200"/>
        <w:rPr>
          <w:rFonts w:hint="eastAsia" w:ascii="宋体" w:hAnsi="宋体" w:eastAsia="宋体" w:cs="Times New Roman"/>
          <w:b/>
          <w:bCs/>
          <w:sz w:val="24"/>
          <w:szCs w:val="24"/>
        </w:rPr>
      </w:pPr>
      <w:r>
        <w:rPr>
          <w:rFonts w:ascii="宋体" w:hAnsi="宋体" w:eastAsia="宋体" w:cs="Times New Roman"/>
          <w:b/>
          <w:bCs/>
          <w:sz w:val="24"/>
          <w:szCs w:val="24"/>
        </w:rPr>
        <w:t xml:space="preserve">1. </w:t>
      </w:r>
      <w:r>
        <w:rPr>
          <w:rFonts w:hint="eastAsia" w:ascii="宋体" w:hAnsi="宋体" w:eastAsia="宋体" w:cs="Times New Roman"/>
          <w:b/>
          <w:bCs/>
          <w:sz w:val="24"/>
          <w:szCs w:val="24"/>
        </w:rPr>
        <w:t>教学内容</w:t>
      </w:r>
    </w:p>
    <w:p w14:paraId="69BFB6D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（1）《大教学论》导读</w:t>
      </w:r>
    </w:p>
    <w:p w14:paraId="463D9D3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（2）《教育漫话》导读</w:t>
      </w:r>
    </w:p>
    <w:p w14:paraId="152398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（3）《爱弥儿》导读</w:t>
      </w:r>
    </w:p>
    <w:p w14:paraId="194F824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（4）《普通教育学》导读</w:t>
      </w:r>
    </w:p>
    <w:p w14:paraId="4F5BF63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30BED07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（1）了解夸美纽斯、洛克、卢梭、赫尔巴特的教育思想</w:t>
      </w:r>
    </w:p>
    <w:p w14:paraId="1B6BF43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（2）理解《大教学论》《教育漫话》《爱弥儿》《普通教育学》中的教育观</w:t>
      </w:r>
    </w:p>
    <w:p w14:paraId="163D27B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（3）掌握其思想精髓</w:t>
      </w:r>
    </w:p>
    <w:p w14:paraId="7665587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（4）能联系实际，探寻教育思想的现代意义</w:t>
      </w:r>
    </w:p>
    <w:p w14:paraId="246BFB0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课程思政育人目标</w:t>
      </w:r>
    </w:p>
    <w:p w14:paraId="75D09D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（1）学会以辩证唯物主义的观点看待世界教育遗产，树牢“四个意识”，坚定“四个自信”，坚决做到“两个维护”，立志肩负起民族复兴的时代重任。</w:t>
      </w:r>
    </w:p>
    <w:p w14:paraId="039E504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（2）以教育家为榜样，忠诚人民教育事业，进一步巩固专业思想，乐于从事“太阳底下最光辉的事业”，把青春和智慧献给教育事业。</w:t>
      </w:r>
    </w:p>
    <w:p w14:paraId="0578079C">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bookmarkStart w:id="155" w:name="_Hlk20492025"/>
      <w:r>
        <w:rPr>
          <w:rFonts w:hint="eastAsia" w:ascii="Times New Roman" w:hAnsi="Times New Roman" w:eastAsia="宋体" w:cs="Times New Roman"/>
          <w:sz w:val="24"/>
          <w:szCs w:val="24"/>
        </w:rPr>
        <w:t>《大教学论》《教育漫话》《爱弥儿》《普通教育学》中的教育观和其思想精髓</w:t>
      </w:r>
    </w:p>
    <w:bookmarkEnd w:id="155"/>
    <w:p w14:paraId="43EABB9E">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《大教学论》《教育漫话》《爱弥儿》《普通教育学》的思想精髓；其教育思想的现代意义</w:t>
      </w:r>
    </w:p>
    <w:p w14:paraId="661BD0C5">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（五）西方近现代教育名著导读</w:t>
      </w:r>
      <w:r>
        <w:rPr>
          <w:rFonts w:hint="eastAsia" w:ascii="Times New Roman" w:hAnsi="Times New Roman" w:eastAsia="宋体" w:cs="Times New Roman"/>
          <w:sz w:val="24"/>
          <w:szCs w:val="24"/>
        </w:rPr>
        <w:t>（本模块各知识点的讲授与学习，可以支撑课程目标</w:t>
      </w:r>
      <w:r>
        <w:rPr>
          <w:rFonts w:ascii="Times New Roman" w:hAnsi="Times New Roman" w:eastAsia="宋体" w:cs="Times New Roman"/>
          <w:sz w:val="24"/>
          <w:szCs w:val="24"/>
        </w:rPr>
        <w:t>1</w:t>
      </w:r>
      <w:r>
        <w:rPr>
          <w:rFonts w:hint="eastAsia" w:ascii="Times New Roman" w:hAnsi="Times New Roman" w:eastAsia="宋体" w:cs="Times New Roman"/>
          <w:sz w:val="24"/>
          <w:szCs w:val="24"/>
        </w:rPr>
        <w:t>、课程目标2、课程目标</w:t>
      </w:r>
      <w:r>
        <w:rPr>
          <w:rFonts w:ascii="Times New Roman" w:hAnsi="Times New Roman" w:eastAsia="宋体" w:cs="Times New Roman"/>
          <w:sz w:val="24"/>
          <w:szCs w:val="24"/>
        </w:rPr>
        <w:t>3</w:t>
      </w:r>
      <w:r>
        <w:rPr>
          <w:rFonts w:hint="eastAsia" w:ascii="Times New Roman" w:hAnsi="Times New Roman" w:eastAsia="宋体" w:cs="Times New Roman"/>
          <w:sz w:val="24"/>
          <w:szCs w:val="24"/>
        </w:rPr>
        <w:t>、课程目标4）</w:t>
      </w:r>
    </w:p>
    <w:p w14:paraId="712E32AB">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教学内容</w:t>
      </w:r>
    </w:p>
    <w:p w14:paraId="6C4513B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（1）《民主主义与教育》导读</w:t>
      </w:r>
    </w:p>
    <w:p w14:paraId="0355BB5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（2）《静悄悄的革命》导读</w:t>
      </w:r>
    </w:p>
    <w:p w14:paraId="63099EC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（3）《学会生存——教育世界的今天和明天》导读</w:t>
      </w:r>
    </w:p>
    <w:p w14:paraId="2F2D39C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基本要求</w:t>
      </w:r>
    </w:p>
    <w:p w14:paraId="77E770A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（1）了解杜威、佐藤学、埃德加</w:t>
      </w:r>
      <w:r>
        <w:rPr>
          <w:rFonts w:hint="eastAsia" w:ascii="宋体" w:hAnsi="宋体" w:eastAsia="宋体" w:cs="Times New Roman"/>
          <w:sz w:val="24"/>
          <w:szCs w:val="24"/>
        </w:rPr>
        <w:t>·</w:t>
      </w:r>
      <w:r>
        <w:rPr>
          <w:rFonts w:hint="eastAsia" w:ascii="Times New Roman" w:hAnsi="Times New Roman" w:eastAsia="宋体" w:cs="Times New Roman"/>
          <w:sz w:val="24"/>
          <w:szCs w:val="24"/>
        </w:rPr>
        <w:t>富尔的教育思想</w:t>
      </w:r>
    </w:p>
    <w:p w14:paraId="21EF1EC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（2）理解《民主主义与教育》《静悄悄的革命》《学会生存》中的教育观</w:t>
      </w:r>
    </w:p>
    <w:p w14:paraId="04EBAB3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（3）掌握其思想精髓</w:t>
      </w:r>
    </w:p>
    <w:p w14:paraId="74A58E5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（4）能联系实际，探寻教育思想的现代意义</w:t>
      </w:r>
    </w:p>
    <w:p w14:paraId="102E9F6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7D2F423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1）学会以辩证唯物主义的观点看待世界教育遗产，树牢“四个意识”，坚定“四个自信”，坚决做到“两个维护”，立志肩负起民族复兴的时代重任。</w:t>
      </w:r>
    </w:p>
    <w:p w14:paraId="12F8859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2）以教育家为榜样，忠诚人民教育事业，进一步巩固专业思想，乐于从事“太阳底下最光辉的事业”，把青春和智慧献给教育事业。</w:t>
      </w:r>
    </w:p>
    <w:p w14:paraId="6019BFA9">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《民主主义与教育》《静悄悄的革命》《学会生存》中的教育观和其思想精髓</w:t>
      </w:r>
    </w:p>
    <w:p w14:paraId="3737A3F3">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《民主主义与教育》《静悄悄的革命》《学会生存》的思想精髓；其教育思想的现代意义</w:t>
      </w:r>
    </w:p>
    <w:p w14:paraId="71CC3F02">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教学内容与课程目标的对应关系及学时分配如表所示</w:t>
      </w:r>
    </w:p>
    <w:tbl>
      <w:tblPr>
        <w:tblStyle w:val="30"/>
        <w:tblW w:w="83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2575"/>
        <w:gridCol w:w="1843"/>
        <w:gridCol w:w="2254"/>
        <w:gridCol w:w="8"/>
        <w:gridCol w:w="647"/>
        <w:gridCol w:w="654"/>
      </w:tblGrid>
      <w:tr w14:paraId="7E3CA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02" w:type="dxa"/>
            <w:shd w:val="clear" w:color="auto" w:fill="FFFFFF"/>
            <w:vAlign w:val="center"/>
          </w:tcPr>
          <w:p w14:paraId="106A7D72">
            <w:pPr>
              <w:spacing w:line="276" w:lineRule="auto"/>
              <w:jc w:val="center"/>
              <w:rPr>
                <w:rFonts w:hint="eastAsia" w:ascii="宋体" w:hAnsi="宋体" w:eastAsia="宋体" w:cs="Times New Roman"/>
                <w:b/>
                <w:color w:val="000000"/>
                <w:szCs w:val="21"/>
              </w:rPr>
            </w:pPr>
            <w:r>
              <w:rPr>
                <w:rFonts w:hint="eastAsia" w:ascii="宋体" w:hAnsi="宋体" w:eastAsia="宋体" w:cs="Times New Roman"/>
                <w:b/>
                <w:color w:val="000000"/>
                <w:szCs w:val="21"/>
              </w:rPr>
              <w:t>序号</w:t>
            </w:r>
          </w:p>
        </w:tc>
        <w:tc>
          <w:tcPr>
            <w:tcW w:w="2575" w:type="dxa"/>
            <w:shd w:val="clear" w:color="auto" w:fill="FFFFFF"/>
            <w:vAlign w:val="center"/>
          </w:tcPr>
          <w:p w14:paraId="528F1AFC">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教学内容</w:t>
            </w:r>
          </w:p>
        </w:tc>
        <w:tc>
          <w:tcPr>
            <w:tcW w:w="1843" w:type="dxa"/>
            <w:shd w:val="clear" w:color="auto" w:fill="FFFFFF"/>
            <w:vAlign w:val="center"/>
          </w:tcPr>
          <w:p w14:paraId="08C95611">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支撑</w:t>
            </w:r>
            <w:r>
              <w:rPr>
                <w:rFonts w:hint="eastAsia" w:ascii="宋体" w:hAnsi="宋体" w:eastAsia="宋体" w:cs="Times New Roman"/>
                <w:b/>
                <w:color w:val="000000"/>
                <w:szCs w:val="21"/>
              </w:rPr>
              <w:t>的</w:t>
            </w:r>
            <w:r>
              <w:rPr>
                <w:rFonts w:ascii="宋体" w:hAnsi="宋体" w:eastAsia="宋体" w:cs="Times New Roman"/>
                <w:b/>
                <w:color w:val="000000"/>
                <w:szCs w:val="21"/>
              </w:rPr>
              <w:t>课程目标</w:t>
            </w:r>
          </w:p>
        </w:tc>
        <w:tc>
          <w:tcPr>
            <w:tcW w:w="2254" w:type="dxa"/>
            <w:shd w:val="clear" w:color="auto" w:fill="FFFFFF"/>
            <w:vAlign w:val="center"/>
          </w:tcPr>
          <w:p w14:paraId="2A2F1D1B">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支撑</w:t>
            </w:r>
            <w:r>
              <w:rPr>
                <w:rFonts w:hint="eastAsia" w:ascii="宋体" w:hAnsi="宋体" w:eastAsia="宋体" w:cs="Times New Roman"/>
                <w:b/>
                <w:color w:val="000000"/>
                <w:szCs w:val="21"/>
              </w:rPr>
              <w:t>的</w:t>
            </w:r>
            <w:r>
              <w:rPr>
                <w:rFonts w:ascii="宋体" w:hAnsi="宋体" w:eastAsia="宋体" w:cs="Times New Roman"/>
                <w:b/>
                <w:color w:val="000000"/>
                <w:szCs w:val="21"/>
              </w:rPr>
              <w:t>毕业要求</w:t>
            </w:r>
          </w:p>
          <w:p w14:paraId="05889EB9">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指标点</w:t>
            </w:r>
          </w:p>
        </w:tc>
        <w:tc>
          <w:tcPr>
            <w:tcW w:w="653" w:type="dxa"/>
            <w:gridSpan w:val="2"/>
            <w:shd w:val="clear" w:color="auto" w:fill="FFFFFF"/>
            <w:vAlign w:val="center"/>
          </w:tcPr>
          <w:p w14:paraId="076B230C">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讲</w:t>
            </w:r>
            <w:r>
              <w:rPr>
                <w:rFonts w:hint="eastAsia" w:ascii="宋体" w:hAnsi="宋体" w:eastAsia="宋体" w:cs="Times New Roman"/>
                <w:b/>
                <w:color w:val="000000"/>
                <w:szCs w:val="21"/>
              </w:rPr>
              <w:t>授</w:t>
            </w:r>
            <w:r>
              <w:rPr>
                <w:rFonts w:ascii="宋体" w:hAnsi="宋体" w:eastAsia="宋体" w:cs="Times New Roman"/>
                <w:b/>
                <w:color w:val="000000"/>
                <w:szCs w:val="21"/>
              </w:rPr>
              <w:t>学时</w:t>
            </w:r>
          </w:p>
        </w:tc>
        <w:tc>
          <w:tcPr>
            <w:tcW w:w="654" w:type="dxa"/>
            <w:shd w:val="clear" w:color="auto" w:fill="FFFFFF"/>
            <w:vAlign w:val="center"/>
          </w:tcPr>
          <w:p w14:paraId="6D4FB80C">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实验</w:t>
            </w:r>
          </w:p>
          <w:p w14:paraId="76649361">
            <w:pPr>
              <w:spacing w:line="276" w:lineRule="auto"/>
              <w:jc w:val="center"/>
              <w:rPr>
                <w:rFonts w:hint="eastAsia" w:ascii="宋体" w:hAnsi="宋体" w:eastAsia="宋体" w:cs="Times New Roman"/>
                <w:b/>
                <w:color w:val="000000"/>
                <w:szCs w:val="21"/>
              </w:rPr>
            </w:pPr>
            <w:r>
              <w:rPr>
                <w:rFonts w:ascii="宋体" w:hAnsi="宋体" w:eastAsia="宋体" w:cs="Times New Roman"/>
                <w:b/>
                <w:color w:val="000000"/>
                <w:szCs w:val="21"/>
              </w:rPr>
              <w:t>学时</w:t>
            </w:r>
          </w:p>
        </w:tc>
      </w:tr>
      <w:tr w14:paraId="63346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2" w:type="dxa"/>
            <w:shd w:val="clear" w:color="auto" w:fill="FFFFFF"/>
            <w:vAlign w:val="center"/>
          </w:tcPr>
          <w:p w14:paraId="62C9BE4C">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c>
          <w:tcPr>
            <w:tcW w:w="2575" w:type="dxa"/>
            <w:shd w:val="clear" w:color="auto" w:fill="FFFFFF"/>
            <w:vAlign w:val="center"/>
          </w:tcPr>
          <w:p w14:paraId="14082A0F">
            <w:pPr>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“名著导读”概述</w:t>
            </w:r>
          </w:p>
        </w:tc>
        <w:tc>
          <w:tcPr>
            <w:tcW w:w="1843" w:type="dxa"/>
            <w:shd w:val="clear" w:color="auto" w:fill="FFFFFF"/>
            <w:vAlign w:val="center"/>
          </w:tcPr>
          <w:p w14:paraId="3056FD29">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目标4</w:t>
            </w:r>
          </w:p>
        </w:tc>
        <w:tc>
          <w:tcPr>
            <w:tcW w:w="2254" w:type="dxa"/>
            <w:shd w:val="clear" w:color="auto" w:fill="FFFFFF"/>
            <w:vAlign w:val="center"/>
          </w:tcPr>
          <w:p w14:paraId="5178DC59">
            <w:pPr>
              <w:spacing w:line="276" w:lineRule="auto"/>
              <w:jc w:val="center"/>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1"/>
              </w:rPr>
              <w:t>-</w:t>
            </w:r>
            <w:r>
              <w:rPr>
                <w:rFonts w:ascii="宋体" w:hAnsi="宋体" w:eastAsia="宋体" w:cs="Times New Roman"/>
                <w:color w:val="000000"/>
                <w:szCs w:val="21"/>
              </w:rPr>
              <w:t>3</w:t>
            </w:r>
          </w:p>
        </w:tc>
        <w:tc>
          <w:tcPr>
            <w:tcW w:w="653" w:type="dxa"/>
            <w:gridSpan w:val="2"/>
            <w:shd w:val="clear" w:color="auto" w:fill="FFFFFF"/>
            <w:vAlign w:val="center"/>
          </w:tcPr>
          <w:p w14:paraId="426FCE0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1</w:t>
            </w:r>
          </w:p>
        </w:tc>
        <w:tc>
          <w:tcPr>
            <w:tcW w:w="654" w:type="dxa"/>
            <w:shd w:val="clear" w:color="auto" w:fill="FFFFFF"/>
            <w:vAlign w:val="center"/>
          </w:tcPr>
          <w:p w14:paraId="34A9EAED">
            <w:pPr>
              <w:spacing w:line="276" w:lineRule="auto"/>
              <w:jc w:val="center"/>
              <w:rPr>
                <w:rFonts w:hint="eastAsia" w:ascii="宋体" w:hAnsi="宋体" w:eastAsia="宋体" w:cs="Times New Roman"/>
                <w:kern w:val="0"/>
                <w:szCs w:val="21"/>
              </w:rPr>
            </w:pPr>
          </w:p>
        </w:tc>
      </w:tr>
      <w:tr w14:paraId="22A0C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2" w:type="dxa"/>
            <w:vAlign w:val="center"/>
          </w:tcPr>
          <w:p w14:paraId="3A5ABD44">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c>
          <w:tcPr>
            <w:tcW w:w="2575" w:type="dxa"/>
            <w:vAlign w:val="center"/>
          </w:tcPr>
          <w:p w14:paraId="7C134763">
            <w:pPr>
              <w:widowControl/>
              <w:snapToGrid w:val="0"/>
              <w:spacing w:line="276" w:lineRule="auto"/>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中国古代教育名著导读</w:t>
            </w:r>
          </w:p>
        </w:tc>
        <w:tc>
          <w:tcPr>
            <w:tcW w:w="1843" w:type="dxa"/>
            <w:vAlign w:val="center"/>
          </w:tcPr>
          <w:p w14:paraId="65A86A83">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目标1、2、3、4</w:t>
            </w:r>
          </w:p>
        </w:tc>
        <w:tc>
          <w:tcPr>
            <w:tcW w:w="2254" w:type="dxa"/>
            <w:vAlign w:val="center"/>
          </w:tcPr>
          <w:p w14:paraId="77E4BBEB">
            <w:pPr>
              <w:spacing w:line="276"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c>
          <w:tcPr>
            <w:tcW w:w="653" w:type="dxa"/>
            <w:gridSpan w:val="2"/>
            <w:vAlign w:val="center"/>
          </w:tcPr>
          <w:p w14:paraId="119BF6B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8</w:t>
            </w:r>
          </w:p>
        </w:tc>
        <w:tc>
          <w:tcPr>
            <w:tcW w:w="654" w:type="dxa"/>
            <w:vAlign w:val="center"/>
          </w:tcPr>
          <w:p w14:paraId="29954C1B">
            <w:pPr>
              <w:spacing w:line="276" w:lineRule="auto"/>
              <w:ind w:firstLine="420" w:firstLineChars="200"/>
              <w:jc w:val="center"/>
              <w:rPr>
                <w:rFonts w:hint="eastAsia" w:ascii="宋体" w:hAnsi="宋体" w:eastAsia="宋体" w:cs="Times New Roman"/>
                <w:kern w:val="0"/>
                <w:szCs w:val="21"/>
              </w:rPr>
            </w:pPr>
          </w:p>
        </w:tc>
      </w:tr>
      <w:tr w14:paraId="018E2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2" w:type="dxa"/>
            <w:vAlign w:val="center"/>
          </w:tcPr>
          <w:p w14:paraId="6711BD60">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575" w:type="dxa"/>
            <w:vAlign w:val="center"/>
          </w:tcPr>
          <w:p w14:paraId="5AAFACC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中国近现代教育名著导读</w:t>
            </w:r>
          </w:p>
        </w:tc>
        <w:tc>
          <w:tcPr>
            <w:tcW w:w="1843" w:type="dxa"/>
            <w:vAlign w:val="center"/>
          </w:tcPr>
          <w:p w14:paraId="50177D6F">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目标1、</w:t>
            </w:r>
            <w:r>
              <w:rPr>
                <w:rFonts w:ascii="宋体" w:hAnsi="宋体" w:eastAsia="宋体" w:cs="Times New Roman"/>
                <w:color w:val="000000"/>
                <w:szCs w:val="21"/>
              </w:rPr>
              <w:t>2</w:t>
            </w:r>
            <w:r>
              <w:rPr>
                <w:rFonts w:hint="eastAsia" w:ascii="宋体" w:hAnsi="宋体" w:eastAsia="宋体" w:cs="Times New Roman"/>
                <w:color w:val="000000"/>
                <w:szCs w:val="21"/>
              </w:rPr>
              <w:t>、3、4</w:t>
            </w:r>
          </w:p>
        </w:tc>
        <w:tc>
          <w:tcPr>
            <w:tcW w:w="2254" w:type="dxa"/>
            <w:vAlign w:val="center"/>
          </w:tcPr>
          <w:p w14:paraId="44992068">
            <w:pPr>
              <w:spacing w:line="276"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c>
          <w:tcPr>
            <w:tcW w:w="653" w:type="dxa"/>
            <w:gridSpan w:val="2"/>
            <w:vAlign w:val="center"/>
          </w:tcPr>
          <w:p w14:paraId="6507A9F1">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8</w:t>
            </w:r>
          </w:p>
        </w:tc>
        <w:tc>
          <w:tcPr>
            <w:tcW w:w="654" w:type="dxa"/>
            <w:vAlign w:val="center"/>
          </w:tcPr>
          <w:p w14:paraId="18081EF0">
            <w:pPr>
              <w:spacing w:line="276" w:lineRule="auto"/>
              <w:ind w:firstLine="420" w:firstLineChars="200"/>
              <w:jc w:val="center"/>
              <w:rPr>
                <w:rFonts w:hint="eastAsia" w:ascii="宋体" w:hAnsi="宋体" w:eastAsia="宋体" w:cs="Times New Roman"/>
                <w:kern w:val="0"/>
                <w:szCs w:val="21"/>
              </w:rPr>
            </w:pPr>
          </w:p>
        </w:tc>
      </w:tr>
      <w:tr w14:paraId="0C17F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2" w:type="dxa"/>
            <w:vAlign w:val="center"/>
          </w:tcPr>
          <w:p w14:paraId="3C829CDC">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575" w:type="dxa"/>
            <w:vAlign w:val="center"/>
          </w:tcPr>
          <w:p w14:paraId="25A209C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西方古代教育名著导读</w:t>
            </w:r>
          </w:p>
        </w:tc>
        <w:tc>
          <w:tcPr>
            <w:tcW w:w="1843" w:type="dxa"/>
            <w:vAlign w:val="center"/>
          </w:tcPr>
          <w:p w14:paraId="78F6B4EE">
            <w:pPr>
              <w:spacing w:line="276"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目标</w:t>
            </w:r>
            <w:r>
              <w:rPr>
                <w:rFonts w:ascii="宋体" w:hAnsi="宋体" w:eastAsia="宋体" w:cs="Times New Roman"/>
                <w:color w:val="000000"/>
                <w:szCs w:val="21"/>
              </w:rPr>
              <w:t>1</w:t>
            </w: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、3、4</w:t>
            </w:r>
          </w:p>
        </w:tc>
        <w:tc>
          <w:tcPr>
            <w:tcW w:w="2254" w:type="dxa"/>
            <w:vAlign w:val="center"/>
          </w:tcPr>
          <w:p w14:paraId="78AA9A1F">
            <w:pPr>
              <w:spacing w:line="276"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c>
          <w:tcPr>
            <w:tcW w:w="653" w:type="dxa"/>
            <w:gridSpan w:val="2"/>
            <w:vAlign w:val="center"/>
          </w:tcPr>
          <w:p w14:paraId="7718B2FC">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8</w:t>
            </w:r>
          </w:p>
        </w:tc>
        <w:tc>
          <w:tcPr>
            <w:tcW w:w="654" w:type="dxa"/>
            <w:vAlign w:val="center"/>
          </w:tcPr>
          <w:p w14:paraId="5B3C222F">
            <w:pPr>
              <w:spacing w:line="276" w:lineRule="auto"/>
              <w:jc w:val="center"/>
              <w:rPr>
                <w:rFonts w:hint="eastAsia" w:ascii="宋体" w:hAnsi="宋体" w:eastAsia="宋体" w:cs="Times New Roman"/>
                <w:kern w:val="0"/>
                <w:szCs w:val="21"/>
              </w:rPr>
            </w:pPr>
          </w:p>
        </w:tc>
      </w:tr>
      <w:tr w14:paraId="3D310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02" w:type="dxa"/>
            <w:vAlign w:val="center"/>
          </w:tcPr>
          <w:p w14:paraId="52744793">
            <w:pPr>
              <w:spacing w:line="276"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575" w:type="dxa"/>
            <w:vAlign w:val="center"/>
          </w:tcPr>
          <w:p w14:paraId="7CD900B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西方近现代教育名著导读</w:t>
            </w:r>
          </w:p>
        </w:tc>
        <w:tc>
          <w:tcPr>
            <w:tcW w:w="1843" w:type="dxa"/>
            <w:vAlign w:val="center"/>
          </w:tcPr>
          <w:p w14:paraId="6C9F6C2F">
            <w:pPr>
              <w:spacing w:line="276" w:lineRule="auto"/>
              <w:jc w:val="center"/>
              <w:rPr>
                <w:rFonts w:hint="eastAsia" w:ascii="宋体" w:hAnsi="宋体" w:eastAsia="宋体" w:cs="Times New Roman"/>
                <w:szCs w:val="21"/>
              </w:rPr>
            </w:pPr>
            <w:r>
              <w:rPr>
                <w:rFonts w:hint="eastAsia" w:ascii="宋体" w:hAnsi="宋体" w:eastAsia="宋体" w:cs="Times New Roman"/>
                <w:szCs w:val="21"/>
              </w:rPr>
              <w:t>目标1、2、3、4</w:t>
            </w:r>
          </w:p>
        </w:tc>
        <w:tc>
          <w:tcPr>
            <w:tcW w:w="2254" w:type="dxa"/>
            <w:vAlign w:val="center"/>
          </w:tcPr>
          <w:p w14:paraId="170860D4">
            <w:pPr>
              <w:spacing w:line="276" w:lineRule="auto"/>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c>
          <w:tcPr>
            <w:tcW w:w="653" w:type="dxa"/>
            <w:gridSpan w:val="2"/>
            <w:vAlign w:val="center"/>
          </w:tcPr>
          <w:p w14:paraId="1E07CB67">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7</w:t>
            </w:r>
          </w:p>
        </w:tc>
        <w:tc>
          <w:tcPr>
            <w:tcW w:w="654" w:type="dxa"/>
            <w:vAlign w:val="center"/>
          </w:tcPr>
          <w:p w14:paraId="23F4729E">
            <w:pPr>
              <w:spacing w:line="276" w:lineRule="auto"/>
              <w:jc w:val="center"/>
              <w:rPr>
                <w:rFonts w:hint="eastAsia" w:ascii="宋体" w:hAnsi="宋体" w:eastAsia="宋体" w:cs="Times New Roman"/>
                <w:kern w:val="0"/>
                <w:szCs w:val="21"/>
              </w:rPr>
            </w:pPr>
          </w:p>
        </w:tc>
      </w:tr>
      <w:tr w14:paraId="48D12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82" w:type="dxa"/>
            <w:gridSpan w:val="5"/>
            <w:vAlign w:val="center"/>
          </w:tcPr>
          <w:p w14:paraId="477B2156">
            <w:pPr>
              <w:spacing w:line="276" w:lineRule="auto"/>
              <w:jc w:val="center"/>
              <w:rPr>
                <w:rFonts w:hint="eastAsia" w:ascii="宋体" w:hAnsi="宋体" w:eastAsia="宋体" w:cs="Times New Roman"/>
                <w:szCs w:val="21"/>
              </w:rPr>
            </w:pPr>
            <w:r>
              <w:rPr>
                <w:rFonts w:ascii="宋体" w:hAnsi="宋体" w:eastAsia="宋体" w:cs="Times New Roman"/>
                <w:szCs w:val="21"/>
              </w:rPr>
              <w:t>合计</w:t>
            </w:r>
          </w:p>
        </w:tc>
        <w:tc>
          <w:tcPr>
            <w:tcW w:w="647" w:type="dxa"/>
            <w:vAlign w:val="center"/>
          </w:tcPr>
          <w:p w14:paraId="27F6B8BD">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32</w:t>
            </w:r>
          </w:p>
        </w:tc>
        <w:tc>
          <w:tcPr>
            <w:tcW w:w="654" w:type="dxa"/>
            <w:vAlign w:val="center"/>
          </w:tcPr>
          <w:p w14:paraId="13B59E82">
            <w:pPr>
              <w:spacing w:line="276" w:lineRule="auto"/>
              <w:jc w:val="center"/>
              <w:rPr>
                <w:rFonts w:hint="eastAsia" w:ascii="宋体" w:hAnsi="宋体" w:eastAsia="宋体" w:cs="Times New Roman"/>
                <w:kern w:val="0"/>
                <w:szCs w:val="21"/>
              </w:rPr>
            </w:pPr>
          </w:p>
        </w:tc>
      </w:tr>
    </w:tbl>
    <w:p w14:paraId="0ABC1C43">
      <w:pPr>
        <w:spacing w:line="360" w:lineRule="auto"/>
        <w:rPr>
          <w:rFonts w:ascii="Times New Roman" w:hAnsi="Times New Roman" w:eastAsia="宋体" w:cs="Times New Roman"/>
          <w:sz w:val="24"/>
          <w:szCs w:val="24"/>
        </w:rPr>
      </w:pPr>
    </w:p>
    <w:p w14:paraId="184B7852">
      <w:pPr>
        <w:spacing w:line="348"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四、课程实施</w:t>
      </w:r>
    </w:p>
    <w:p w14:paraId="23ED7B0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（一）《中外教育名著选读》是一门理论性很强的课程，教学时，要注意在理论上追踪教育科学研究的重要成果，援引较为权威的专著作为立论的依据，充实教材内容，验证理论原理。</w:t>
      </w:r>
    </w:p>
    <w:p w14:paraId="410321B9">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（二）要充分调动学生学习的自觉性、主动性，引导学生积极参与研究。</w:t>
      </w:r>
    </w:p>
    <w:p w14:paraId="2B444C49">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（三）将教师讲授课程基本内容和组织学生讨论课程重点难点热点问题结合起来，引导学生将读书和撰写小论文结合起来。</w:t>
      </w:r>
    </w:p>
    <w:p w14:paraId="76346B0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四）在教学过程中将采用启发式、案例式、专题式等多种形式的课堂教学方法，同时辅以讨论、辩论、答疑、查阅相关资料、参看教学录像、演讲和撰写论文或心得体会等多种方法组织教学，以期收到良好的教学效果。</w:t>
      </w:r>
    </w:p>
    <w:p w14:paraId="4BD42BC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69DB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79961A56">
            <w:pPr>
              <w:spacing w:line="276" w:lineRule="auto"/>
              <w:jc w:val="center"/>
              <w:rPr>
                <w:rFonts w:hint="eastAsia"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79A19C8C">
            <w:pPr>
              <w:spacing w:line="276" w:lineRule="auto"/>
              <w:jc w:val="center"/>
              <w:rPr>
                <w:rFonts w:hint="eastAsia"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6B40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0F132CE2">
            <w:pPr>
              <w:spacing w:line="276" w:lineRule="auto"/>
              <w:jc w:val="center"/>
              <w:rPr>
                <w:rFonts w:hint="eastAsia"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11B7CF8F">
            <w:pPr>
              <w:spacing w:line="276" w:lineRule="auto"/>
              <w:jc w:val="center"/>
              <w:rPr>
                <w:rFonts w:hint="eastAsia"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080F8F84">
            <w:pPr>
              <w:spacing w:line="276" w:lineRule="auto"/>
              <w:rPr>
                <w:rFonts w:hint="eastAsia"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0E4F22F0">
            <w:pPr>
              <w:spacing w:line="276" w:lineRule="auto"/>
              <w:rPr>
                <w:rFonts w:hint="eastAsia"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5B79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vAlign w:val="center"/>
          </w:tcPr>
          <w:p w14:paraId="47C29F13">
            <w:pPr>
              <w:spacing w:line="276" w:lineRule="auto"/>
              <w:jc w:val="center"/>
              <w:rPr>
                <w:rFonts w:hint="eastAsia"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2E9CCA05">
            <w:pPr>
              <w:spacing w:line="276" w:lineRule="auto"/>
              <w:jc w:val="center"/>
              <w:rPr>
                <w:rFonts w:hint="eastAsia"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1BF7EADE">
            <w:pPr>
              <w:spacing w:line="276" w:lineRule="auto"/>
              <w:rPr>
                <w:rFonts w:hint="eastAsia" w:ascii="宋体" w:hAnsi="宋体" w:eastAsia="宋体" w:cs="Times New Roman"/>
                <w:color w:val="000000"/>
                <w:szCs w:val="24"/>
              </w:rPr>
            </w:pPr>
            <w:r>
              <w:rPr>
                <w:rFonts w:ascii="宋体" w:hAnsi="宋体" w:eastAsia="宋体" w:cs="Times New Roman"/>
                <w:color w:val="000000"/>
                <w:szCs w:val="21"/>
              </w:rPr>
              <w:t>（1）</w:t>
            </w:r>
            <w:r>
              <w:rPr>
                <w:rFonts w:hint="eastAsia" w:ascii="宋体" w:hAnsi="宋体" w:eastAsia="宋体" w:cs="Times New Roman"/>
                <w:color w:val="000000"/>
                <w:szCs w:val="24"/>
              </w:rPr>
              <w:t>教师仪表端庄，情绪情感要饱满；</w:t>
            </w:r>
          </w:p>
          <w:p w14:paraId="27E8BCC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4"/>
              </w:rPr>
              <w:t>教学准备充分，熟悉教学内容；</w:t>
            </w:r>
          </w:p>
          <w:p w14:paraId="279668D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4"/>
              </w:rPr>
              <w:t>教学内容充实，不断充实最新研究成果；</w:t>
            </w:r>
          </w:p>
          <w:p w14:paraId="11BDD13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4"/>
              </w:rPr>
              <w:t>严格执行计划，教学进度适宜；</w:t>
            </w:r>
          </w:p>
          <w:p w14:paraId="394C9AC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4"/>
              </w:rPr>
              <w:t>课堂教学信息充分，注重理论联系实际；</w:t>
            </w:r>
          </w:p>
          <w:p w14:paraId="5A1EAA9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4"/>
              </w:rPr>
              <w:t>注重启发学生思维，培养学生的教学能力；</w:t>
            </w:r>
          </w:p>
          <w:p w14:paraId="374D1D9C">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4"/>
              </w:rPr>
              <w:t>面向全体基础上因材施教，灵活运用多种教学方法；</w:t>
            </w:r>
          </w:p>
          <w:p w14:paraId="3E9E0345">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szCs w:val="24"/>
              </w:rPr>
              <w:t>教学语言规范，为学生教育教学做好表率；</w:t>
            </w:r>
          </w:p>
          <w:p w14:paraId="5C15322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4"/>
              </w:rPr>
              <w:t>教学条理清楚，教学思路逻辑严密；</w:t>
            </w:r>
          </w:p>
          <w:p w14:paraId="73F2FDE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4"/>
              </w:rPr>
              <w:t>充分运用现代化教学手段，教学技术熟练；</w:t>
            </w:r>
          </w:p>
          <w:p w14:paraId="5860963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szCs w:val="24"/>
              </w:rPr>
              <w:t>课堂教学要重点突出，难点突破；</w:t>
            </w:r>
          </w:p>
          <w:p w14:paraId="1B35C27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（12）</w:t>
            </w:r>
            <w:r>
              <w:rPr>
                <w:rFonts w:hint="eastAsia" w:ascii="宋体" w:hAnsi="宋体" w:eastAsia="宋体" w:cs="Times New Roman"/>
                <w:color w:val="000000"/>
                <w:szCs w:val="24"/>
              </w:rPr>
              <w:t>注重师生互动，形成良好的课堂氛围。</w:t>
            </w:r>
          </w:p>
        </w:tc>
      </w:tr>
      <w:tr w14:paraId="5C96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vAlign w:val="center"/>
          </w:tcPr>
          <w:p w14:paraId="05E3C033">
            <w:pPr>
              <w:spacing w:line="276" w:lineRule="auto"/>
              <w:jc w:val="center"/>
              <w:rPr>
                <w:rFonts w:hint="eastAsia"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6605CEAC">
            <w:pPr>
              <w:spacing w:line="276" w:lineRule="auto"/>
              <w:jc w:val="center"/>
              <w:rPr>
                <w:rFonts w:hint="eastAsia"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4C8554D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51EFEC2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290502B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ascii="宋体" w:hAnsi="宋体" w:eastAsia="宋体" w:cs="Times New Roman"/>
                <w:color w:val="000000"/>
                <w:szCs w:val="21"/>
              </w:rPr>
              <w:t>教学设计方案格式规范、清晰</w:t>
            </w:r>
            <w:r>
              <w:rPr>
                <w:rFonts w:hint="eastAsia" w:ascii="宋体" w:hAnsi="宋体" w:eastAsia="宋体" w:cs="Times New Roman"/>
                <w:color w:val="000000"/>
                <w:szCs w:val="21"/>
              </w:rPr>
              <w:t>。</w:t>
            </w:r>
          </w:p>
          <w:p w14:paraId="48E15DA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教学设计理念先进，教学目标适宜，教学方法灵活，教学组织形式多样、教学过程紧凑，教学准备充分。</w:t>
            </w:r>
          </w:p>
          <w:p w14:paraId="1762CDF5">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72E43BC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33D5C4A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讲评作业要认真、细致，按百分制评定成绩并写明日期</w:t>
            </w:r>
            <w:r>
              <w:rPr>
                <w:rFonts w:hint="eastAsia" w:ascii="宋体" w:hAnsi="宋体" w:eastAsia="宋体" w:cs="Times New Roman"/>
                <w:color w:val="000000"/>
                <w:szCs w:val="21"/>
              </w:rPr>
              <w:t>。</w:t>
            </w:r>
          </w:p>
          <w:p w14:paraId="33EB91B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151D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633C9F84">
            <w:pPr>
              <w:spacing w:line="276" w:lineRule="auto"/>
              <w:jc w:val="center"/>
              <w:rPr>
                <w:rFonts w:hint="eastAsia"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69E3A298">
            <w:pPr>
              <w:spacing w:line="276" w:lineRule="auto"/>
              <w:jc w:val="center"/>
              <w:rPr>
                <w:rFonts w:hint="eastAsia"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37CDFCB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理解和消化所学知识、改进学习方法和思维方式，培养其独立的教学设计能力、教学组织指导能力、教学反思与评价能力，任课教师</w:t>
            </w:r>
            <w:r>
              <w:rPr>
                <w:rFonts w:hint="eastAsia" w:ascii="宋体" w:hAnsi="宋体" w:eastAsia="宋体" w:cs="Times New Roman"/>
                <w:color w:val="000000"/>
                <w:szCs w:val="21"/>
              </w:rPr>
              <w:t>需</w:t>
            </w:r>
            <w:r>
              <w:rPr>
                <w:rFonts w:ascii="宋体" w:hAnsi="宋体" w:eastAsia="宋体" w:cs="Times New Roman"/>
                <w:color w:val="000000"/>
                <w:szCs w:val="21"/>
              </w:rPr>
              <w:t>每周安排</w:t>
            </w:r>
            <w:r>
              <w:rPr>
                <w:rFonts w:hint="eastAsia" w:ascii="宋体" w:hAnsi="宋体" w:eastAsia="宋体" w:cs="Times New Roman"/>
                <w:color w:val="000000"/>
                <w:szCs w:val="21"/>
              </w:rPr>
              <w:t>一定</w:t>
            </w:r>
            <w:r>
              <w:rPr>
                <w:rFonts w:ascii="宋体" w:hAnsi="宋体" w:eastAsia="宋体" w:cs="Times New Roman"/>
                <w:color w:val="000000"/>
                <w:szCs w:val="21"/>
              </w:rPr>
              <w:t>时间进行课外答疑与辅导。</w:t>
            </w:r>
          </w:p>
        </w:tc>
      </w:tr>
      <w:tr w14:paraId="48E3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vAlign w:val="center"/>
          </w:tcPr>
          <w:p w14:paraId="2F20D6CC">
            <w:pPr>
              <w:spacing w:line="276" w:lineRule="auto"/>
              <w:jc w:val="center"/>
              <w:rPr>
                <w:rFonts w:hint="eastAsia" w:ascii="宋体" w:hAnsi="宋体" w:eastAsia="宋体" w:cs="Times New Roman"/>
                <w:szCs w:val="21"/>
              </w:rPr>
            </w:pPr>
            <w:r>
              <w:rPr>
                <w:rFonts w:ascii="宋体" w:hAnsi="宋体" w:eastAsia="宋体" w:cs="Times New Roman"/>
                <w:szCs w:val="21"/>
              </w:rPr>
              <w:t>5</w:t>
            </w:r>
          </w:p>
        </w:tc>
        <w:tc>
          <w:tcPr>
            <w:tcW w:w="993" w:type="dxa"/>
            <w:tcMar>
              <w:left w:w="28" w:type="dxa"/>
              <w:right w:w="28" w:type="dxa"/>
            </w:tcMar>
            <w:vAlign w:val="center"/>
          </w:tcPr>
          <w:p w14:paraId="6C8531F3">
            <w:pPr>
              <w:spacing w:line="276" w:lineRule="auto"/>
              <w:jc w:val="center"/>
              <w:rPr>
                <w:rFonts w:hint="eastAsia"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4C3E68A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课程论文</w:t>
            </w:r>
            <w:r>
              <w:rPr>
                <w:rFonts w:ascii="宋体" w:hAnsi="宋体" w:eastAsia="宋体" w:cs="Times New Roman"/>
                <w:color w:val="000000"/>
                <w:szCs w:val="21"/>
              </w:rPr>
              <w:t>。有下列情况之一者，总评成绩为不及格：</w:t>
            </w:r>
          </w:p>
          <w:p w14:paraId="3AB2505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缺交作业次数达1/3以上者</w:t>
            </w:r>
            <w:r>
              <w:rPr>
                <w:rFonts w:hint="eastAsia" w:ascii="宋体" w:hAnsi="宋体" w:eastAsia="宋体" w:cs="Times New Roman"/>
                <w:color w:val="000000"/>
                <w:szCs w:val="21"/>
              </w:rPr>
              <w:t>。</w:t>
            </w:r>
          </w:p>
          <w:p w14:paraId="0F16E4E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缺课次数达本学期总授课学时的1/3以上者</w:t>
            </w:r>
            <w:r>
              <w:rPr>
                <w:rFonts w:hint="eastAsia" w:ascii="宋体" w:hAnsi="宋体" w:eastAsia="宋体" w:cs="Times New Roman"/>
                <w:color w:val="000000"/>
                <w:szCs w:val="21"/>
              </w:rPr>
              <w:t>。</w:t>
            </w:r>
          </w:p>
        </w:tc>
      </w:tr>
    </w:tbl>
    <w:p w14:paraId="1210D43D">
      <w:pPr>
        <w:spacing w:line="360" w:lineRule="auto"/>
        <w:rPr>
          <w:rFonts w:ascii="Times New Roman" w:hAnsi="Times New Roman" w:eastAsia="宋体" w:cs="Times New Roman"/>
          <w:sz w:val="24"/>
          <w:szCs w:val="24"/>
        </w:rPr>
      </w:pPr>
    </w:p>
    <w:p w14:paraId="5A7EC15F">
      <w:pPr>
        <w:spacing w:line="360" w:lineRule="auto"/>
        <w:ind w:firstLine="562" w:firstLineChars="200"/>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五、课程考核</w:t>
      </w:r>
    </w:p>
    <w:p w14:paraId="775C9DC9">
      <w:pPr>
        <w:spacing w:line="360" w:lineRule="auto"/>
        <w:ind w:firstLine="480" w:firstLineChars="200"/>
        <w:rPr>
          <w:rFonts w:ascii="Times New Roman" w:hAnsi="Times New Roman" w:eastAsia="宋体" w:cs="Times New Roman"/>
          <w:b/>
          <w:bCs/>
          <w:sz w:val="28"/>
          <w:szCs w:val="28"/>
        </w:rPr>
      </w:pPr>
      <w:r>
        <w:rPr>
          <w:rFonts w:hint="eastAsia" w:ascii="宋体" w:hAnsi="宋体" w:eastAsia="宋体" w:cs="Times New Roman"/>
          <w:sz w:val="24"/>
        </w:rPr>
        <w:t>（一）</w:t>
      </w:r>
      <w:r>
        <w:rPr>
          <w:rFonts w:ascii="宋体" w:hAnsi="宋体" w:eastAsia="宋体" w:cs="Times New Roman"/>
          <w:sz w:val="24"/>
        </w:rPr>
        <w:t>课程考核包括期末考试、平时及作业考核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课程论文的方式</w:t>
      </w:r>
      <w:r>
        <w:rPr>
          <w:rFonts w:ascii="宋体" w:hAnsi="宋体" w:eastAsia="宋体" w:cs="Times New Roman"/>
          <w:sz w:val="24"/>
        </w:rPr>
        <w:t>。</w:t>
      </w:r>
    </w:p>
    <w:p w14:paraId="25D34732">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5</w:t>
      </w:r>
      <w:r>
        <w:rPr>
          <w:rFonts w:ascii="宋体" w:hAnsi="宋体" w:eastAsia="宋体" w:cs="Times New Roman"/>
          <w:sz w:val="24"/>
        </w:rPr>
        <w:t>0%+期末考试成绩×</w:t>
      </w:r>
      <w:r>
        <w:rPr>
          <w:rFonts w:hint="eastAsia" w:ascii="宋体" w:hAnsi="宋体" w:eastAsia="宋体" w:cs="Times New Roman"/>
          <w:sz w:val="24"/>
        </w:rPr>
        <w:t>50</w:t>
      </w:r>
      <w:r>
        <w:rPr>
          <w:rFonts w:ascii="宋体" w:hAnsi="宋体" w:eastAsia="宋体" w:cs="Times New Roman"/>
          <w:sz w:val="24"/>
        </w:rPr>
        <w:t>%。</w:t>
      </w:r>
      <w:r>
        <w:rPr>
          <w:rFonts w:ascii="Times New Roman" w:hAnsi="Times New Roman" w:eastAsia="宋体" w:cs="Times New Roman"/>
          <w:sz w:val="24"/>
          <w:szCs w:val="24"/>
        </w:rPr>
        <w:t xml:space="preserve"> </w:t>
      </w:r>
    </w:p>
    <w:p w14:paraId="2335720A">
      <w:pPr>
        <w:spacing w:line="360" w:lineRule="auto"/>
        <w:rPr>
          <w:rFonts w:ascii="Times New Roman" w:hAnsi="Times New Roman" w:eastAsia="宋体" w:cs="Times New Roman"/>
          <w:b/>
          <w:bCs/>
          <w:sz w:val="28"/>
          <w:szCs w:val="28"/>
        </w:rPr>
      </w:pPr>
    </w:p>
    <w:p w14:paraId="06CC9E5C">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6F3C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25E36EE5">
            <w:pPr>
              <w:spacing w:line="276" w:lineRule="auto"/>
              <w:jc w:val="center"/>
              <w:rPr>
                <w:rFonts w:hint="eastAsia"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0F72B762">
            <w:pPr>
              <w:spacing w:line="276" w:lineRule="auto"/>
              <w:jc w:val="center"/>
              <w:rPr>
                <w:rFonts w:hint="eastAsia" w:ascii="宋体" w:hAnsi="宋体" w:eastAsia="宋体" w:cs="Times New Roman"/>
                <w:b/>
                <w:szCs w:val="24"/>
              </w:rPr>
            </w:pPr>
            <w:r>
              <w:rPr>
                <w:rFonts w:ascii="宋体" w:hAnsi="宋体" w:eastAsia="宋体" w:cs="Times New Roman"/>
                <w:b/>
                <w:szCs w:val="24"/>
              </w:rPr>
              <w:t>考核/</w:t>
            </w:r>
          </w:p>
          <w:p w14:paraId="4543B35B">
            <w:pPr>
              <w:spacing w:line="276" w:lineRule="auto"/>
              <w:jc w:val="center"/>
              <w:rPr>
                <w:rFonts w:hint="eastAsia"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3D158B6E">
            <w:pPr>
              <w:spacing w:line="276" w:lineRule="auto"/>
              <w:jc w:val="center"/>
              <w:rPr>
                <w:rFonts w:hint="eastAsia" w:ascii="宋体" w:hAnsi="宋体" w:eastAsia="宋体" w:cs="Times New Roman"/>
                <w:b/>
                <w:szCs w:val="24"/>
              </w:rPr>
            </w:pPr>
            <w:r>
              <w:rPr>
                <w:rFonts w:hint="eastAsia" w:ascii="宋体" w:hAnsi="宋体" w:eastAsia="宋体" w:cs="Times New Roman"/>
                <w:b/>
                <w:szCs w:val="24"/>
              </w:rPr>
              <w:t>权重</w:t>
            </w:r>
          </w:p>
        </w:tc>
        <w:tc>
          <w:tcPr>
            <w:tcW w:w="2693" w:type="dxa"/>
            <w:shd w:val="clear" w:color="auto" w:fill="FFFFFF"/>
            <w:vAlign w:val="center"/>
          </w:tcPr>
          <w:p w14:paraId="5F28464D">
            <w:pPr>
              <w:spacing w:line="276" w:lineRule="auto"/>
              <w:jc w:val="center"/>
              <w:rPr>
                <w:rFonts w:hint="eastAsia" w:ascii="宋体" w:hAnsi="宋体" w:eastAsia="宋体" w:cs="Times New Roman"/>
                <w:b/>
                <w:szCs w:val="24"/>
              </w:rPr>
            </w:pPr>
            <w:r>
              <w:rPr>
                <w:rFonts w:ascii="宋体" w:hAnsi="宋体" w:eastAsia="宋体" w:cs="Times New Roman"/>
                <w:b/>
                <w:szCs w:val="24"/>
              </w:rPr>
              <w:t>考核/评价细则</w:t>
            </w:r>
          </w:p>
        </w:tc>
        <w:tc>
          <w:tcPr>
            <w:tcW w:w="1276" w:type="dxa"/>
            <w:shd w:val="clear" w:color="auto" w:fill="FFFFFF"/>
            <w:vAlign w:val="center"/>
          </w:tcPr>
          <w:p w14:paraId="58EF077A">
            <w:pPr>
              <w:spacing w:line="276" w:lineRule="auto"/>
              <w:ind w:firstLine="316" w:firstLineChars="150"/>
              <w:rPr>
                <w:rFonts w:hint="eastAsia" w:ascii="宋体" w:hAnsi="宋体" w:eastAsia="宋体" w:cs="Times New Roman"/>
                <w:b/>
                <w:szCs w:val="24"/>
              </w:rPr>
            </w:pPr>
            <w:r>
              <w:rPr>
                <w:rFonts w:hint="eastAsia" w:ascii="宋体" w:hAnsi="宋体" w:eastAsia="宋体" w:cs="Times New Roman"/>
                <w:b/>
                <w:szCs w:val="24"/>
              </w:rPr>
              <w:t>课程</w:t>
            </w:r>
          </w:p>
          <w:p w14:paraId="4C9A0A27">
            <w:pPr>
              <w:spacing w:line="276" w:lineRule="auto"/>
              <w:jc w:val="center"/>
              <w:rPr>
                <w:rFonts w:hint="eastAsia" w:ascii="宋体" w:hAnsi="宋体" w:eastAsia="宋体" w:cs="Times New Roman"/>
                <w:b/>
                <w:szCs w:val="24"/>
              </w:rPr>
            </w:pPr>
            <w:r>
              <w:rPr>
                <w:rFonts w:hint="eastAsia" w:ascii="宋体" w:hAnsi="宋体" w:eastAsia="宋体" w:cs="Times New Roman"/>
                <w:b/>
                <w:szCs w:val="24"/>
              </w:rPr>
              <w:t>目标</w:t>
            </w:r>
          </w:p>
        </w:tc>
        <w:tc>
          <w:tcPr>
            <w:tcW w:w="1276" w:type="dxa"/>
            <w:shd w:val="clear" w:color="auto" w:fill="FFFFFF"/>
            <w:vAlign w:val="center"/>
          </w:tcPr>
          <w:p w14:paraId="5D40E171">
            <w:pPr>
              <w:spacing w:line="276" w:lineRule="auto"/>
              <w:ind w:left="-107" w:leftChars="-51"/>
              <w:jc w:val="center"/>
              <w:rPr>
                <w:rFonts w:hint="eastAsia" w:ascii="宋体" w:hAnsi="宋体" w:eastAsia="宋体" w:cs="Times New Roman"/>
                <w:b/>
                <w:szCs w:val="24"/>
              </w:rPr>
            </w:pPr>
            <w:r>
              <w:rPr>
                <w:rFonts w:hint="eastAsia" w:ascii="宋体" w:hAnsi="宋体" w:eastAsia="宋体" w:cs="Times New Roman"/>
                <w:b/>
                <w:szCs w:val="24"/>
              </w:rPr>
              <w:t>考核</w:t>
            </w:r>
          </w:p>
          <w:p w14:paraId="373D5624">
            <w:pPr>
              <w:spacing w:line="276" w:lineRule="auto"/>
              <w:ind w:left="-107" w:leftChars="-51"/>
              <w:jc w:val="center"/>
              <w:rPr>
                <w:rFonts w:hint="eastAsia"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4858DBAC">
            <w:pPr>
              <w:spacing w:line="276" w:lineRule="auto"/>
              <w:ind w:left="-107" w:leftChars="-51"/>
              <w:jc w:val="center"/>
              <w:rPr>
                <w:rFonts w:hint="eastAsia" w:ascii="宋体" w:hAnsi="宋体" w:eastAsia="宋体" w:cs="Times New Roman"/>
                <w:b/>
                <w:szCs w:val="24"/>
              </w:rPr>
            </w:pPr>
            <w:r>
              <w:rPr>
                <w:rFonts w:ascii="宋体" w:hAnsi="宋体" w:eastAsia="宋体" w:cs="Times New Roman"/>
                <w:b/>
                <w:szCs w:val="24"/>
              </w:rPr>
              <w:t>对应的毕业要求指标点</w:t>
            </w:r>
          </w:p>
        </w:tc>
      </w:tr>
      <w:tr w14:paraId="0504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24" w:type="dxa"/>
            <w:tcMar>
              <w:left w:w="57" w:type="dxa"/>
              <w:right w:w="57" w:type="dxa"/>
            </w:tcMar>
            <w:vAlign w:val="center"/>
          </w:tcPr>
          <w:p w14:paraId="04401E57">
            <w:pPr>
              <w:spacing w:line="276" w:lineRule="auto"/>
              <w:jc w:val="center"/>
              <w:rPr>
                <w:rFonts w:hint="eastAsia" w:ascii="宋体" w:hAnsi="宋体" w:eastAsia="宋体" w:cs="Times New Roman"/>
                <w:szCs w:val="24"/>
              </w:rPr>
            </w:pPr>
            <w:r>
              <w:rPr>
                <w:rFonts w:ascii="宋体" w:hAnsi="宋体" w:eastAsia="宋体" w:cs="Times New Roman"/>
                <w:szCs w:val="24"/>
              </w:rPr>
              <w:t>平时成绩</w:t>
            </w:r>
          </w:p>
        </w:tc>
        <w:tc>
          <w:tcPr>
            <w:tcW w:w="1134" w:type="dxa"/>
            <w:vAlign w:val="center"/>
          </w:tcPr>
          <w:p w14:paraId="3CDE06F9">
            <w:pPr>
              <w:spacing w:line="276" w:lineRule="auto"/>
              <w:jc w:val="center"/>
              <w:rPr>
                <w:rFonts w:hint="eastAsia" w:ascii="宋体" w:hAnsi="宋体" w:eastAsia="宋体" w:cs="Times New Roman"/>
                <w:szCs w:val="24"/>
              </w:rPr>
            </w:pPr>
            <w:r>
              <w:rPr>
                <w:rFonts w:hint="eastAsia" w:ascii="宋体" w:hAnsi="宋体" w:eastAsia="宋体" w:cs="Times New Roman"/>
                <w:szCs w:val="24"/>
              </w:rPr>
              <w:t>课堂考勤及</w:t>
            </w:r>
            <w:r>
              <w:rPr>
                <w:rFonts w:ascii="宋体" w:hAnsi="宋体" w:eastAsia="宋体" w:cs="Times New Roman"/>
                <w:szCs w:val="24"/>
              </w:rPr>
              <w:t>平时作业</w:t>
            </w:r>
          </w:p>
        </w:tc>
        <w:tc>
          <w:tcPr>
            <w:tcW w:w="709" w:type="dxa"/>
            <w:vAlign w:val="center"/>
          </w:tcPr>
          <w:p w14:paraId="1A5CA39E">
            <w:pPr>
              <w:spacing w:line="276" w:lineRule="auto"/>
              <w:jc w:val="center"/>
              <w:rPr>
                <w:rFonts w:hint="eastAsia" w:ascii="宋体" w:hAnsi="宋体" w:eastAsia="宋体" w:cs="Times New Roman"/>
                <w:szCs w:val="24"/>
              </w:rPr>
            </w:pPr>
            <w:r>
              <w:rPr>
                <w:rFonts w:ascii="宋体" w:hAnsi="宋体" w:eastAsia="宋体" w:cs="Times New Roman"/>
                <w:szCs w:val="24"/>
              </w:rPr>
              <w:t>40%</w:t>
            </w:r>
          </w:p>
        </w:tc>
        <w:tc>
          <w:tcPr>
            <w:tcW w:w="2693" w:type="dxa"/>
            <w:vAlign w:val="center"/>
          </w:tcPr>
          <w:p w14:paraId="063A139D">
            <w:pPr>
              <w:spacing w:line="276"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课堂考勤：病假和事假一次扣</w:t>
            </w:r>
            <w:r>
              <w:rPr>
                <w:rFonts w:ascii="宋体" w:hAnsi="宋体" w:eastAsia="宋体" w:cs="Times New Roman"/>
                <w:szCs w:val="21"/>
              </w:rPr>
              <w:t>2</w:t>
            </w:r>
            <w:r>
              <w:rPr>
                <w:rFonts w:hint="eastAsia" w:ascii="宋体" w:hAnsi="宋体" w:eastAsia="宋体" w:cs="Times New Roman"/>
                <w:szCs w:val="21"/>
              </w:rPr>
              <w:t>分，无故缺席一次扣</w:t>
            </w:r>
            <w:r>
              <w:rPr>
                <w:rFonts w:ascii="宋体" w:hAnsi="宋体" w:eastAsia="宋体" w:cs="Times New Roman"/>
                <w:szCs w:val="21"/>
              </w:rPr>
              <w:t>5</w:t>
            </w:r>
            <w:r>
              <w:rPr>
                <w:rFonts w:hint="eastAsia" w:ascii="宋体" w:hAnsi="宋体" w:eastAsia="宋体" w:cs="Times New Roman"/>
                <w:szCs w:val="21"/>
              </w:rPr>
              <w:t>分，无故缺席累积达5次以上（不含5次）取消课程成绩。</w:t>
            </w:r>
          </w:p>
          <w:p w14:paraId="3FDB7648">
            <w:pPr>
              <w:spacing w:line="276" w:lineRule="auto"/>
              <w:ind w:firstLine="420" w:firstLineChars="200"/>
              <w:rPr>
                <w:rFonts w:hint="eastAsia" w:ascii="宋体" w:hAnsi="宋体" w:eastAsia="宋体" w:cs="Times New Roman"/>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rPr>
              <w:t>3次作业</w:t>
            </w:r>
            <w:r>
              <w:rPr>
                <w:rFonts w:ascii="宋体" w:hAnsi="宋体" w:eastAsia="宋体" w:cs="Times New Roman"/>
                <w:szCs w:val="24"/>
              </w:rPr>
              <w:t>，主要考核学生对每节课知识点的理解</w:t>
            </w:r>
            <w:r>
              <w:rPr>
                <w:rFonts w:hint="eastAsia" w:ascii="宋体" w:hAnsi="宋体" w:eastAsia="宋体" w:cs="Times New Roman"/>
                <w:szCs w:val="24"/>
              </w:rPr>
              <w:t>、</w:t>
            </w:r>
            <w:r>
              <w:rPr>
                <w:rFonts w:ascii="宋体" w:hAnsi="宋体" w:eastAsia="宋体" w:cs="Times New Roman"/>
                <w:szCs w:val="24"/>
              </w:rPr>
              <w:t>掌握</w:t>
            </w:r>
            <w:r>
              <w:rPr>
                <w:rFonts w:hint="eastAsia" w:ascii="宋体" w:hAnsi="宋体" w:eastAsia="宋体" w:cs="Times New Roman"/>
                <w:szCs w:val="24"/>
              </w:rPr>
              <w:t>和运用</w:t>
            </w:r>
            <w:r>
              <w:rPr>
                <w:rFonts w:ascii="宋体" w:hAnsi="宋体" w:eastAsia="宋体" w:cs="Times New Roman"/>
                <w:szCs w:val="24"/>
              </w:rPr>
              <w:t>程度，计算全部作业的平均成绩。</w:t>
            </w:r>
          </w:p>
        </w:tc>
        <w:tc>
          <w:tcPr>
            <w:tcW w:w="1276" w:type="dxa"/>
            <w:vAlign w:val="center"/>
          </w:tcPr>
          <w:p w14:paraId="2F134900">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课程目标1</w:t>
            </w:r>
          </w:p>
          <w:p w14:paraId="7838F670">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课程目标2</w:t>
            </w:r>
          </w:p>
          <w:p w14:paraId="3A7CA63D">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课程目标3</w:t>
            </w:r>
          </w:p>
          <w:p w14:paraId="331BEFBF">
            <w:pPr>
              <w:spacing w:line="276" w:lineRule="auto"/>
              <w:jc w:val="center"/>
              <w:rPr>
                <w:rFonts w:hint="eastAsia" w:ascii="宋体" w:hAnsi="宋体" w:eastAsia="宋体" w:cs="Times New Roman"/>
                <w:szCs w:val="24"/>
              </w:rPr>
            </w:pPr>
            <w:r>
              <w:rPr>
                <w:rFonts w:hint="eastAsia" w:ascii="宋体" w:hAnsi="宋体" w:eastAsia="宋体" w:cs="Times New Roman"/>
                <w:szCs w:val="24"/>
              </w:rPr>
              <w:t>课程目标4</w:t>
            </w:r>
          </w:p>
        </w:tc>
        <w:tc>
          <w:tcPr>
            <w:tcW w:w="1276" w:type="dxa"/>
            <w:vAlign w:val="center"/>
          </w:tcPr>
          <w:p w14:paraId="75EF8AA5">
            <w:pPr>
              <w:spacing w:line="276" w:lineRule="auto"/>
              <w:rPr>
                <w:rFonts w:hint="eastAsia" w:ascii="宋体" w:hAnsi="宋体" w:eastAsia="宋体" w:cs="宋体"/>
                <w:kern w:val="0"/>
                <w:szCs w:val="21"/>
              </w:rPr>
            </w:pPr>
            <w:r>
              <w:rPr>
                <w:rFonts w:hint="eastAsia" w:ascii="宋体" w:hAnsi="宋体" w:eastAsia="宋体" w:cs="宋体"/>
                <w:kern w:val="0"/>
                <w:szCs w:val="21"/>
              </w:rPr>
              <w:t>学生对中外教育名著的理解与应用</w:t>
            </w:r>
          </w:p>
        </w:tc>
        <w:tc>
          <w:tcPr>
            <w:tcW w:w="1276" w:type="dxa"/>
            <w:vAlign w:val="center"/>
          </w:tcPr>
          <w:p w14:paraId="270E67CF">
            <w:pPr>
              <w:spacing w:line="276" w:lineRule="auto"/>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w:t>
            </w:r>
          </w:p>
          <w:p w14:paraId="6D561939">
            <w:pPr>
              <w:spacing w:line="276" w:lineRule="auto"/>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r>
      <w:tr w14:paraId="6CF7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624" w:type="dxa"/>
            <w:tcMar>
              <w:left w:w="57" w:type="dxa"/>
              <w:right w:w="57" w:type="dxa"/>
            </w:tcMar>
            <w:vAlign w:val="center"/>
          </w:tcPr>
          <w:p w14:paraId="5D5AC35D">
            <w:pPr>
              <w:spacing w:line="276" w:lineRule="auto"/>
              <w:jc w:val="center"/>
              <w:rPr>
                <w:rFonts w:hint="eastAsia" w:ascii="宋体" w:hAnsi="宋体" w:eastAsia="宋体" w:cs="Times New Roman"/>
                <w:szCs w:val="24"/>
              </w:rPr>
            </w:pPr>
            <w:r>
              <w:rPr>
                <w:rFonts w:ascii="宋体" w:hAnsi="宋体" w:eastAsia="宋体" w:cs="Times New Roman"/>
                <w:szCs w:val="24"/>
              </w:rPr>
              <w:t>期末考试</w:t>
            </w:r>
          </w:p>
        </w:tc>
        <w:tc>
          <w:tcPr>
            <w:tcW w:w="1134" w:type="dxa"/>
            <w:vAlign w:val="center"/>
          </w:tcPr>
          <w:p w14:paraId="0E5DBF0C">
            <w:pPr>
              <w:spacing w:line="276" w:lineRule="auto"/>
              <w:jc w:val="center"/>
              <w:rPr>
                <w:rFonts w:hint="eastAsia" w:ascii="宋体" w:hAnsi="宋体" w:eastAsia="宋体" w:cs="Times New Roman"/>
                <w:szCs w:val="24"/>
              </w:rPr>
            </w:pPr>
            <w:r>
              <w:rPr>
                <w:rFonts w:ascii="宋体" w:hAnsi="宋体" w:eastAsia="宋体" w:cs="Times New Roman"/>
                <w:szCs w:val="24"/>
              </w:rPr>
              <w:t>期末考试</w:t>
            </w:r>
          </w:p>
          <w:p w14:paraId="59B67148">
            <w:pPr>
              <w:spacing w:line="276" w:lineRule="auto"/>
              <w:jc w:val="center"/>
              <w:rPr>
                <w:rFonts w:hint="eastAsia"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9" w:type="dxa"/>
            <w:vAlign w:val="center"/>
          </w:tcPr>
          <w:p w14:paraId="3F316415">
            <w:pPr>
              <w:spacing w:line="276" w:lineRule="auto"/>
              <w:jc w:val="center"/>
              <w:rPr>
                <w:rFonts w:hint="eastAsia" w:ascii="宋体" w:hAnsi="宋体" w:eastAsia="宋体" w:cs="Times New Roman"/>
                <w:szCs w:val="24"/>
              </w:rPr>
            </w:pPr>
            <w:r>
              <w:rPr>
                <w:rFonts w:ascii="宋体" w:hAnsi="宋体" w:eastAsia="宋体" w:cs="Times New Roman"/>
                <w:szCs w:val="24"/>
              </w:rPr>
              <w:t>60%</w:t>
            </w:r>
          </w:p>
        </w:tc>
        <w:tc>
          <w:tcPr>
            <w:tcW w:w="2693" w:type="dxa"/>
            <w:vAlign w:val="center"/>
          </w:tcPr>
          <w:p w14:paraId="1EA0237A">
            <w:pPr>
              <w:spacing w:line="276" w:lineRule="auto"/>
              <w:ind w:firstLine="420" w:firstLineChars="200"/>
              <w:rPr>
                <w:rFonts w:hint="eastAsia" w:ascii="宋体" w:hAnsi="宋体" w:eastAsia="宋体" w:cs="Times New Roman"/>
                <w:szCs w:val="21"/>
              </w:rPr>
            </w:pPr>
            <w:r>
              <w:rPr>
                <w:rFonts w:hint="eastAsia" w:ascii="宋体" w:hAnsi="宋体" w:eastAsia="宋体" w:cs="Times New Roman"/>
                <w:szCs w:val="21"/>
              </w:rPr>
              <w:t>以课程论文方式进行，主要测查学生对于中外教育名著的了解程度和理解程度占5</w:t>
            </w:r>
            <w:r>
              <w:rPr>
                <w:rFonts w:ascii="宋体" w:hAnsi="宋体" w:eastAsia="宋体" w:cs="Times New Roman"/>
                <w:szCs w:val="21"/>
              </w:rPr>
              <w:t>0</w:t>
            </w:r>
            <w:r>
              <w:rPr>
                <w:rFonts w:hint="eastAsia" w:ascii="宋体" w:hAnsi="宋体" w:eastAsia="宋体" w:cs="Times New Roman"/>
                <w:szCs w:val="21"/>
              </w:rPr>
              <w:t>%；对当代中国教育教学改革的关注意识、反思能力和创新精神占5</w:t>
            </w:r>
            <w:r>
              <w:rPr>
                <w:rFonts w:ascii="宋体" w:hAnsi="宋体" w:eastAsia="宋体" w:cs="Times New Roman"/>
                <w:szCs w:val="21"/>
              </w:rPr>
              <w:t>0</w:t>
            </w:r>
            <w:r>
              <w:rPr>
                <w:rFonts w:hint="eastAsia" w:ascii="宋体" w:hAnsi="宋体" w:eastAsia="宋体" w:cs="Times New Roman"/>
                <w:szCs w:val="21"/>
              </w:rPr>
              <w:t>%。</w:t>
            </w:r>
          </w:p>
        </w:tc>
        <w:tc>
          <w:tcPr>
            <w:tcW w:w="1276" w:type="dxa"/>
            <w:vAlign w:val="center"/>
          </w:tcPr>
          <w:p w14:paraId="3749055E">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w:t>
            </w:r>
          </w:p>
          <w:p w14:paraId="6CEA0312">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w:t>
            </w:r>
          </w:p>
          <w:p w14:paraId="0BD9E4EA">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p w14:paraId="00C7E431">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276" w:type="dxa"/>
            <w:vAlign w:val="center"/>
          </w:tcPr>
          <w:p w14:paraId="413BBDF2">
            <w:pPr>
              <w:spacing w:line="276" w:lineRule="auto"/>
              <w:rPr>
                <w:rFonts w:hint="eastAsia" w:ascii="宋体" w:hAnsi="宋体" w:eastAsia="宋体" w:cs="Times New Roman"/>
                <w:szCs w:val="21"/>
              </w:rPr>
            </w:pPr>
            <w:r>
              <w:rPr>
                <w:rFonts w:hint="eastAsia" w:ascii="宋体" w:hAnsi="宋体" w:eastAsia="宋体" w:cs="Times New Roman"/>
                <w:szCs w:val="21"/>
              </w:rPr>
              <w:t>学生对于中外教育名著的了解程度和理解程度以及对当代中国教育教学改革的关注意识、反思能力和创新精神。</w:t>
            </w:r>
          </w:p>
        </w:tc>
        <w:tc>
          <w:tcPr>
            <w:tcW w:w="1276" w:type="dxa"/>
            <w:vAlign w:val="center"/>
          </w:tcPr>
          <w:p w14:paraId="449ED60F">
            <w:pPr>
              <w:spacing w:line="276" w:lineRule="auto"/>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、7-</w:t>
            </w:r>
            <w:r>
              <w:rPr>
                <w:rFonts w:ascii="宋体" w:hAnsi="宋体" w:eastAsia="宋体" w:cs="Times New Roman"/>
                <w:szCs w:val="21"/>
              </w:rPr>
              <w:t>1</w:t>
            </w:r>
            <w:r>
              <w:rPr>
                <w:rFonts w:hint="eastAsia" w:ascii="宋体" w:hAnsi="宋体" w:eastAsia="宋体" w:cs="Times New Roman"/>
                <w:szCs w:val="21"/>
              </w:rPr>
              <w:t>、</w:t>
            </w:r>
          </w:p>
          <w:p w14:paraId="0FDA3120">
            <w:pPr>
              <w:spacing w:line="276" w:lineRule="auto"/>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3</w:t>
            </w:r>
          </w:p>
        </w:tc>
      </w:tr>
    </w:tbl>
    <w:p w14:paraId="6F499D22">
      <w:pPr>
        <w:spacing w:line="360" w:lineRule="auto"/>
        <w:rPr>
          <w:rFonts w:ascii="Times New Roman" w:hAnsi="Times New Roman" w:eastAsia="宋体" w:cs="Times New Roman"/>
          <w:b/>
          <w:bCs/>
          <w:sz w:val="24"/>
          <w:szCs w:val="24"/>
        </w:rPr>
      </w:pPr>
    </w:p>
    <w:p w14:paraId="77484A11">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（三）课程目标及考核方式权重分配表</w:t>
      </w:r>
    </w:p>
    <w:tbl>
      <w:tblPr>
        <w:tblStyle w:val="30"/>
        <w:tblW w:w="9007"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41"/>
        <w:gridCol w:w="1810"/>
        <w:gridCol w:w="2188"/>
        <w:gridCol w:w="1837"/>
        <w:gridCol w:w="1131"/>
      </w:tblGrid>
      <w:tr w14:paraId="622D80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3851" w:type="dxa"/>
            <w:gridSpan w:val="2"/>
            <w:shd w:val="clear" w:color="auto" w:fill="auto"/>
            <w:vAlign w:val="center"/>
          </w:tcPr>
          <w:p w14:paraId="6E4E99D6">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5156" w:type="dxa"/>
            <w:gridSpan w:val="3"/>
            <w:shd w:val="clear" w:color="auto" w:fill="auto"/>
            <w:vAlign w:val="center"/>
          </w:tcPr>
          <w:p w14:paraId="4B1DF8BA">
            <w:pPr>
              <w:widowControl/>
              <w:ind w:right="-391" w:rightChars="-186"/>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7B6CC5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2041" w:type="dxa"/>
            <w:shd w:val="clear" w:color="auto" w:fill="auto"/>
            <w:vAlign w:val="center"/>
          </w:tcPr>
          <w:p w14:paraId="6F148D9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810" w:type="dxa"/>
            <w:shd w:val="clear" w:color="auto" w:fill="auto"/>
            <w:vAlign w:val="center"/>
          </w:tcPr>
          <w:p w14:paraId="6E0A119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188" w:type="dxa"/>
            <w:shd w:val="clear" w:color="auto" w:fill="auto"/>
            <w:vAlign w:val="center"/>
          </w:tcPr>
          <w:p w14:paraId="66C465F0">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837" w:type="dxa"/>
            <w:shd w:val="clear" w:color="auto" w:fill="auto"/>
            <w:vAlign w:val="center"/>
          </w:tcPr>
          <w:p w14:paraId="17CC554B">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130" w:type="dxa"/>
          </w:tcPr>
          <w:p w14:paraId="0B6EE23C">
            <w:pPr>
              <w:widowControl/>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4B0A6B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2041" w:type="dxa"/>
            <w:vMerge w:val="restart"/>
            <w:shd w:val="clear" w:color="auto" w:fill="auto"/>
            <w:vAlign w:val="center"/>
          </w:tcPr>
          <w:p w14:paraId="335F5D2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810" w:type="dxa"/>
            <w:vMerge w:val="restart"/>
            <w:shd w:val="clear" w:color="auto" w:fill="auto"/>
            <w:vAlign w:val="center"/>
          </w:tcPr>
          <w:p w14:paraId="04825809">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20</w:t>
            </w:r>
            <w:r>
              <w:rPr>
                <w:rFonts w:hint="eastAsia" w:ascii="宋体" w:hAnsi="宋体" w:eastAsia="宋体" w:cs="Times New Roman"/>
                <w:color w:val="000000"/>
                <w:kern w:val="0"/>
                <w:szCs w:val="21"/>
              </w:rPr>
              <w:t>%</w:t>
            </w:r>
          </w:p>
        </w:tc>
        <w:tc>
          <w:tcPr>
            <w:tcW w:w="2188" w:type="dxa"/>
            <w:shd w:val="clear" w:color="auto" w:fill="auto"/>
            <w:vAlign w:val="center"/>
          </w:tcPr>
          <w:p w14:paraId="3AD1E866">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37" w:type="dxa"/>
            <w:shd w:val="clear" w:color="auto" w:fill="auto"/>
            <w:vAlign w:val="center"/>
          </w:tcPr>
          <w:p w14:paraId="502A7790">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70%</w:t>
            </w:r>
            <w:r>
              <w:rPr>
                <w:rFonts w:ascii="宋体" w:hAnsi="宋体" w:eastAsia="宋体" w:cs="Times New Roman"/>
                <w:color w:val="000000"/>
                <w:kern w:val="0"/>
                <w:szCs w:val="21"/>
              </w:rPr>
              <w:t xml:space="preserve"> </w:t>
            </w:r>
          </w:p>
        </w:tc>
        <w:tc>
          <w:tcPr>
            <w:tcW w:w="1130" w:type="dxa"/>
            <w:vMerge w:val="restart"/>
            <w:vAlign w:val="center"/>
          </w:tcPr>
          <w:p w14:paraId="1856F020">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5A90DC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2041" w:type="dxa"/>
            <w:vMerge w:val="continue"/>
            <w:shd w:val="clear" w:color="auto" w:fill="auto"/>
            <w:vAlign w:val="center"/>
          </w:tcPr>
          <w:p w14:paraId="3830F5A3">
            <w:pPr>
              <w:widowControl/>
              <w:jc w:val="center"/>
              <w:rPr>
                <w:rFonts w:hint="eastAsia" w:ascii="宋体" w:hAnsi="宋体" w:eastAsia="宋体" w:cs="Times New Roman"/>
                <w:color w:val="000000"/>
                <w:kern w:val="0"/>
                <w:szCs w:val="21"/>
              </w:rPr>
            </w:pPr>
          </w:p>
        </w:tc>
        <w:tc>
          <w:tcPr>
            <w:tcW w:w="1810" w:type="dxa"/>
            <w:vMerge w:val="continue"/>
            <w:shd w:val="clear" w:color="auto" w:fill="auto"/>
            <w:vAlign w:val="center"/>
          </w:tcPr>
          <w:p w14:paraId="1A1E8B50">
            <w:pPr>
              <w:widowControl/>
              <w:jc w:val="center"/>
              <w:rPr>
                <w:rFonts w:hint="eastAsia" w:ascii="宋体" w:hAnsi="宋体" w:eastAsia="宋体" w:cs="Times New Roman"/>
                <w:color w:val="000000"/>
                <w:kern w:val="0"/>
                <w:szCs w:val="21"/>
              </w:rPr>
            </w:pPr>
          </w:p>
        </w:tc>
        <w:tc>
          <w:tcPr>
            <w:tcW w:w="2188" w:type="dxa"/>
            <w:shd w:val="clear" w:color="auto" w:fill="auto"/>
            <w:vAlign w:val="center"/>
          </w:tcPr>
          <w:p w14:paraId="4C482268">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作业1</w:t>
            </w:r>
          </w:p>
        </w:tc>
        <w:tc>
          <w:tcPr>
            <w:tcW w:w="1837" w:type="dxa"/>
            <w:shd w:val="clear" w:color="auto" w:fill="auto"/>
            <w:vAlign w:val="center"/>
          </w:tcPr>
          <w:p w14:paraId="5F6CF89F">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r>
              <w:rPr>
                <w:rFonts w:hint="eastAsia" w:ascii="宋体" w:hAnsi="宋体" w:eastAsia="宋体" w:cs="Times New Roman"/>
                <w:color w:val="000000"/>
                <w:kern w:val="0"/>
                <w:szCs w:val="21"/>
              </w:rPr>
              <w:t>%</w:t>
            </w:r>
          </w:p>
        </w:tc>
        <w:tc>
          <w:tcPr>
            <w:tcW w:w="1130" w:type="dxa"/>
            <w:vMerge w:val="continue"/>
            <w:vAlign w:val="center"/>
          </w:tcPr>
          <w:p w14:paraId="3D1D2814">
            <w:pPr>
              <w:widowControl/>
              <w:jc w:val="center"/>
              <w:rPr>
                <w:rFonts w:hint="eastAsia" w:ascii="宋体" w:hAnsi="宋体" w:eastAsia="宋体" w:cs="Times New Roman"/>
                <w:color w:val="000000"/>
                <w:kern w:val="0"/>
                <w:szCs w:val="21"/>
              </w:rPr>
            </w:pPr>
          </w:p>
        </w:tc>
      </w:tr>
      <w:tr w14:paraId="1A6095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7" w:hRule="atLeast"/>
        </w:trPr>
        <w:tc>
          <w:tcPr>
            <w:tcW w:w="2041" w:type="dxa"/>
            <w:vMerge w:val="continue"/>
            <w:shd w:val="clear" w:color="auto" w:fill="auto"/>
            <w:vAlign w:val="center"/>
          </w:tcPr>
          <w:p w14:paraId="48793AEC">
            <w:pPr>
              <w:widowControl/>
              <w:jc w:val="center"/>
              <w:rPr>
                <w:rFonts w:hint="eastAsia" w:ascii="宋体" w:hAnsi="宋体" w:eastAsia="宋体" w:cs="Times New Roman"/>
                <w:color w:val="000000"/>
                <w:kern w:val="0"/>
                <w:szCs w:val="21"/>
              </w:rPr>
            </w:pPr>
          </w:p>
        </w:tc>
        <w:tc>
          <w:tcPr>
            <w:tcW w:w="1810" w:type="dxa"/>
            <w:vMerge w:val="continue"/>
            <w:shd w:val="clear" w:color="auto" w:fill="auto"/>
            <w:vAlign w:val="center"/>
          </w:tcPr>
          <w:p w14:paraId="2CEE1B3A">
            <w:pPr>
              <w:widowControl/>
              <w:jc w:val="center"/>
              <w:rPr>
                <w:rFonts w:hint="eastAsia" w:ascii="宋体" w:hAnsi="宋体" w:eastAsia="宋体" w:cs="Times New Roman"/>
                <w:color w:val="000000"/>
                <w:kern w:val="0"/>
                <w:szCs w:val="21"/>
              </w:rPr>
            </w:pPr>
          </w:p>
        </w:tc>
        <w:tc>
          <w:tcPr>
            <w:tcW w:w="2188" w:type="dxa"/>
            <w:shd w:val="clear" w:color="auto" w:fill="auto"/>
            <w:vAlign w:val="center"/>
          </w:tcPr>
          <w:p w14:paraId="5B8B7B5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作业2</w:t>
            </w:r>
          </w:p>
        </w:tc>
        <w:tc>
          <w:tcPr>
            <w:tcW w:w="1837" w:type="dxa"/>
            <w:shd w:val="clear" w:color="auto" w:fill="auto"/>
            <w:vAlign w:val="center"/>
          </w:tcPr>
          <w:p w14:paraId="7DF9D55F">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r>
              <w:rPr>
                <w:rFonts w:hint="eastAsia" w:ascii="宋体" w:hAnsi="宋体" w:eastAsia="宋体" w:cs="Times New Roman"/>
                <w:color w:val="000000"/>
                <w:kern w:val="0"/>
                <w:szCs w:val="21"/>
              </w:rPr>
              <w:t>%</w:t>
            </w:r>
          </w:p>
        </w:tc>
        <w:tc>
          <w:tcPr>
            <w:tcW w:w="1130" w:type="dxa"/>
            <w:vMerge w:val="continue"/>
            <w:vAlign w:val="center"/>
          </w:tcPr>
          <w:p w14:paraId="40A26657">
            <w:pPr>
              <w:widowControl/>
              <w:jc w:val="center"/>
              <w:rPr>
                <w:rFonts w:hint="eastAsia" w:ascii="宋体" w:hAnsi="宋体" w:eastAsia="宋体" w:cs="Times New Roman"/>
                <w:color w:val="000000"/>
                <w:kern w:val="0"/>
                <w:szCs w:val="21"/>
              </w:rPr>
            </w:pPr>
          </w:p>
        </w:tc>
      </w:tr>
      <w:tr w14:paraId="073F4C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2041" w:type="dxa"/>
            <w:vMerge w:val="continue"/>
            <w:shd w:val="clear" w:color="auto" w:fill="auto"/>
            <w:vAlign w:val="center"/>
          </w:tcPr>
          <w:p w14:paraId="72A10368">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3A3B02D7">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50E9AB4F">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w:t>
            </w:r>
            <w:r>
              <w:rPr>
                <w:rFonts w:ascii="宋体" w:hAnsi="宋体" w:eastAsia="宋体" w:cs="Times New Roman"/>
                <w:color w:val="000000"/>
                <w:kern w:val="0"/>
                <w:szCs w:val="21"/>
              </w:rPr>
              <w:t>3</w:t>
            </w:r>
          </w:p>
        </w:tc>
        <w:tc>
          <w:tcPr>
            <w:tcW w:w="1837" w:type="dxa"/>
            <w:shd w:val="clear" w:color="auto" w:fill="auto"/>
            <w:vAlign w:val="center"/>
          </w:tcPr>
          <w:p w14:paraId="4CF8BAEE">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1</w:t>
            </w:r>
            <w:r>
              <w:rPr>
                <w:rFonts w:hint="eastAsia" w:ascii="宋体" w:hAnsi="宋体" w:eastAsia="宋体" w:cs="Times New Roman"/>
                <w:color w:val="000000"/>
                <w:kern w:val="0"/>
                <w:szCs w:val="21"/>
              </w:rPr>
              <w:t>0%</w:t>
            </w:r>
          </w:p>
        </w:tc>
        <w:tc>
          <w:tcPr>
            <w:tcW w:w="1130" w:type="dxa"/>
            <w:vMerge w:val="continue"/>
            <w:vAlign w:val="center"/>
          </w:tcPr>
          <w:p w14:paraId="729B1DA4">
            <w:pPr>
              <w:widowControl/>
              <w:jc w:val="center"/>
              <w:rPr>
                <w:rFonts w:hint="eastAsia" w:ascii="宋体" w:hAnsi="宋体" w:eastAsia="宋体" w:cs="Times New Roman"/>
                <w:color w:val="000000"/>
                <w:kern w:val="0"/>
                <w:szCs w:val="21"/>
              </w:rPr>
            </w:pPr>
          </w:p>
        </w:tc>
      </w:tr>
      <w:tr w14:paraId="424ED9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restart"/>
            <w:shd w:val="clear" w:color="auto" w:fill="auto"/>
            <w:vAlign w:val="center"/>
          </w:tcPr>
          <w:p w14:paraId="65B1548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810" w:type="dxa"/>
            <w:vMerge w:val="restart"/>
            <w:shd w:val="clear" w:color="auto" w:fill="auto"/>
            <w:vAlign w:val="center"/>
          </w:tcPr>
          <w:p w14:paraId="3FE0574E">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30</w:t>
            </w:r>
            <w:r>
              <w:rPr>
                <w:rFonts w:hint="eastAsia" w:ascii="宋体" w:hAnsi="宋体" w:eastAsia="宋体" w:cs="Times New Roman"/>
                <w:color w:val="000000"/>
                <w:kern w:val="0"/>
                <w:szCs w:val="21"/>
              </w:rPr>
              <w:t>%</w:t>
            </w:r>
          </w:p>
        </w:tc>
        <w:tc>
          <w:tcPr>
            <w:tcW w:w="2188" w:type="dxa"/>
            <w:shd w:val="clear" w:color="auto" w:fill="auto"/>
            <w:vAlign w:val="center"/>
          </w:tcPr>
          <w:p w14:paraId="3A8622A4">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37" w:type="dxa"/>
            <w:shd w:val="clear" w:color="auto" w:fill="auto"/>
            <w:vAlign w:val="center"/>
          </w:tcPr>
          <w:p w14:paraId="670A55A0">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6</w:t>
            </w:r>
            <w:r>
              <w:rPr>
                <w:rFonts w:hint="eastAsia" w:ascii="宋体" w:hAnsi="宋体" w:eastAsia="宋体" w:cs="Times New Roman"/>
                <w:color w:val="000000"/>
                <w:kern w:val="0"/>
                <w:szCs w:val="21"/>
              </w:rPr>
              <w:t>0%</w:t>
            </w:r>
            <w:r>
              <w:rPr>
                <w:rFonts w:ascii="宋体" w:hAnsi="宋体" w:eastAsia="宋体" w:cs="Times New Roman"/>
                <w:color w:val="000000"/>
                <w:kern w:val="0"/>
                <w:szCs w:val="21"/>
              </w:rPr>
              <w:t xml:space="preserve"> </w:t>
            </w:r>
          </w:p>
        </w:tc>
        <w:tc>
          <w:tcPr>
            <w:tcW w:w="1130" w:type="dxa"/>
            <w:vMerge w:val="restart"/>
            <w:vAlign w:val="center"/>
          </w:tcPr>
          <w:p w14:paraId="36C31C36">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2E0C03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3FA79876">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0214484C">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45917A8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作业1</w:t>
            </w:r>
          </w:p>
        </w:tc>
        <w:tc>
          <w:tcPr>
            <w:tcW w:w="1837" w:type="dxa"/>
            <w:shd w:val="clear" w:color="auto" w:fill="auto"/>
            <w:vAlign w:val="center"/>
          </w:tcPr>
          <w:p w14:paraId="08E79497">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1</w:t>
            </w:r>
            <w:r>
              <w:rPr>
                <w:rFonts w:hint="eastAsia" w:ascii="宋体" w:hAnsi="宋体" w:eastAsia="宋体" w:cs="Times New Roman"/>
                <w:color w:val="000000"/>
                <w:kern w:val="0"/>
                <w:szCs w:val="21"/>
              </w:rPr>
              <w:t>0%</w:t>
            </w:r>
          </w:p>
        </w:tc>
        <w:tc>
          <w:tcPr>
            <w:tcW w:w="1130" w:type="dxa"/>
            <w:vMerge w:val="continue"/>
            <w:vAlign w:val="center"/>
          </w:tcPr>
          <w:p w14:paraId="05C78324">
            <w:pPr>
              <w:widowControl/>
              <w:jc w:val="center"/>
              <w:rPr>
                <w:rFonts w:hint="eastAsia" w:ascii="宋体" w:hAnsi="宋体" w:eastAsia="宋体" w:cs="Times New Roman"/>
                <w:color w:val="000000"/>
                <w:kern w:val="0"/>
                <w:szCs w:val="21"/>
              </w:rPr>
            </w:pPr>
          </w:p>
        </w:tc>
      </w:tr>
      <w:tr w14:paraId="036A5E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3609D58A">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02829A95">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1632D088">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作业2</w:t>
            </w:r>
          </w:p>
        </w:tc>
        <w:tc>
          <w:tcPr>
            <w:tcW w:w="1837" w:type="dxa"/>
            <w:shd w:val="clear" w:color="auto" w:fill="auto"/>
            <w:vAlign w:val="center"/>
          </w:tcPr>
          <w:p w14:paraId="6D75657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5</w:t>
            </w:r>
            <w:r>
              <w:rPr>
                <w:rFonts w:hint="eastAsia" w:ascii="宋体" w:hAnsi="宋体" w:eastAsia="宋体" w:cs="Times New Roman"/>
                <w:color w:val="000000"/>
                <w:kern w:val="0"/>
                <w:szCs w:val="21"/>
              </w:rPr>
              <w:t>%</w:t>
            </w:r>
          </w:p>
        </w:tc>
        <w:tc>
          <w:tcPr>
            <w:tcW w:w="1130" w:type="dxa"/>
            <w:vMerge w:val="continue"/>
            <w:vAlign w:val="center"/>
          </w:tcPr>
          <w:p w14:paraId="7DBB9748">
            <w:pPr>
              <w:widowControl/>
              <w:jc w:val="center"/>
              <w:rPr>
                <w:rFonts w:hint="eastAsia" w:ascii="宋体" w:hAnsi="宋体" w:eastAsia="宋体" w:cs="Times New Roman"/>
                <w:color w:val="000000"/>
                <w:kern w:val="0"/>
                <w:szCs w:val="21"/>
              </w:rPr>
            </w:pPr>
          </w:p>
        </w:tc>
      </w:tr>
      <w:tr w14:paraId="7905D0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2A6736D8">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475EB6C2">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32A7614F">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作业3</w:t>
            </w:r>
          </w:p>
        </w:tc>
        <w:tc>
          <w:tcPr>
            <w:tcW w:w="1837" w:type="dxa"/>
            <w:shd w:val="clear" w:color="auto" w:fill="auto"/>
            <w:vAlign w:val="center"/>
          </w:tcPr>
          <w:p w14:paraId="0789FCD9">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15</w:t>
            </w:r>
            <w:r>
              <w:rPr>
                <w:rFonts w:hint="eastAsia" w:ascii="宋体" w:hAnsi="宋体" w:eastAsia="宋体" w:cs="Times New Roman"/>
                <w:color w:val="000000"/>
                <w:kern w:val="0"/>
                <w:szCs w:val="21"/>
              </w:rPr>
              <w:t>%</w:t>
            </w:r>
            <w:r>
              <w:rPr>
                <w:rFonts w:ascii="宋体" w:hAnsi="宋体" w:eastAsia="宋体" w:cs="Times New Roman"/>
                <w:color w:val="000000"/>
                <w:kern w:val="0"/>
                <w:szCs w:val="21"/>
              </w:rPr>
              <w:t xml:space="preserve"> </w:t>
            </w:r>
          </w:p>
        </w:tc>
        <w:tc>
          <w:tcPr>
            <w:tcW w:w="1130" w:type="dxa"/>
            <w:vMerge w:val="continue"/>
            <w:vAlign w:val="center"/>
          </w:tcPr>
          <w:p w14:paraId="5B39EB73">
            <w:pPr>
              <w:widowControl/>
              <w:jc w:val="center"/>
              <w:rPr>
                <w:rFonts w:hint="eastAsia" w:ascii="宋体" w:hAnsi="宋体" w:eastAsia="宋体" w:cs="Times New Roman"/>
                <w:color w:val="000000"/>
                <w:kern w:val="0"/>
                <w:szCs w:val="21"/>
              </w:rPr>
            </w:pPr>
          </w:p>
        </w:tc>
      </w:tr>
      <w:tr w14:paraId="6BB641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restart"/>
            <w:shd w:val="clear" w:color="auto" w:fill="auto"/>
            <w:vAlign w:val="center"/>
          </w:tcPr>
          <w:p w14:paraId="7ECB2A9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810" w:type="dxa"/>
            <w:vMerge w:val="restart"/>
            <w:shd w:val="clear" w:color="auto" w:fill="auto"/>
            <w:vAlign w:val="center"/>
          </w:tcPr>
          <w:p w14:paraId="7FA9A682">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3</w:t>
            </w:r>
            <w:r>
              <w:rPr>
                <w:rFonts w:hint="eastAsia" w:ascii="宋体" w:hAnsi="宋体" w:eastAsia="宋体" w:cs="Times New Roman"/>
                <w:color w:val="000000"/>
                <w:kern w:val="0"/>
                <w:szCs w:val="21"/>
              </w:rPr>
              <w:t>0%</w:t>
            </w:r>
          </w:p>
        </w:tc>
        <w:tc>
          <w:tcPr>
            <w:tcW w:w="2188" w:type="dxa"/>
            <w:shd w:val="clear" w:color="auto" w:fill="auto"/>
            <w:vAlign w:val="center"/>
          </w:tcPr>
          <w:p w14:paraId="04DB452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37" w:type="dxa"/>
            <w:shd w:val="clear" w:color="auto" w:fill="auto"/>
            <w:vAlign w:val="center"/>
          </w:tcPr>
          <w:p w14:paraId="56E648D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50%</w:t>
            </w:r>
          </w:p>
        </w:tc>
        <w:tc>
          <w:tcPr>
            <w:tcW w:w="1130" w:type="dxa"/>
            <w:vMerge w:val="restart"/>
            <w:vAlign w:val="center"/>
          </w:tcPr>
          <w:p w14:paraId="36A6D17B">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63C253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063EC326">
            <w:pPr>
              <w:widowControl/>
              <w:jc w:val="center"/>
              <w:rPr>
                <w:rFonts w:hint="eastAsia" w:ascii="宋体" w:hAnsi="宋体" w:eastAsia="宋体" w:cs="Times New Roman"/>
                <w:color w:val="000000"/>
                <w:kern w:val="0"/>
                <w:szCs w:val="21"/>
              </w:rPr>
            </w:pPr>
          </w:p>
        </w:tc>
        <w:tc>
          <w:tcPr>
            <w:tcW w:w="1810" w:type="dxa"/>
            <w:vMerge w:val="continue"/>
            <w:shd w:val="clear" w:color="auto" w:fill="auto"/>
            <w:vAlign w:val="center"/>
          </w:tcPr>
          <w:p w14:paraId="472C0EBB">
            <w:pPr>
              <w:widowControl/>
              <w:jc w:val="center"/>
              <w:rPr>
                <w:rFonts w:hint="eastAsia" w:ascii="宋体" w:hAnsi="宋体" w:eastAsia="宋体" w:cs="Times New Roman"/>
                <w:color w:val="000000"/>
                <w:kern w:val="0"/>
                <w:szCs w:val="21"/>
              </w:rPr>
            </w:pPr>
          </w:p>
        </w:tc>
        <w:tc>
          <w:tcPr>
            <w:tcW w:w="2188" w:type="dxa"/>
            <w:shd w:val="clear" w:color="auto" w:fill="auto"/>
            <w:vAlign w:val="center"/>
          </w:tcPr>
          <w:p w14:paraId="7D440DA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作业1</w:t>
            </w:r>
          </w:p>
        </w:tc>
        <w:tc>
          <w:tcPr>
            <w:tcW w:w="1837" w:type="dxa"/>
            <w:shd w:val="clear" w:color="auto" w:fill="auto"/>
            <w:vAlign w:val="center"/>
          </w:tcPr>
          <w:p w14:paraId="4F4AACC6">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p>
        </w:tc>
        <w:tc>
          <w:tcPr>
            <w:tcW w:w="1130" w:type="dxa"/>
            <w:vMerge w:val="continue"/>
            <w:vAlign w:val="center"/>
          </w:tcPr>
          <w:p w14:paraId="68596CD7">
            <w:pPr>
              <w:widowControl/>
              <w:jc w:val="center"/>
              <w:rPr>
                <w:rFonts w:hint="eastAsia" w:ascii="宋体" w:hAnsi="宋体" w:eastAsia="宋体" w:cs="Times New Roman"/>
                <w:color w:val="000000"/>
                <w:kern w:val="0"/>
                <w:szCs w:val="21"/>
              </w:rPr>
            </w:pPr>
          </w:p>
        </w:tc>
      </w:tr>
      <w:tr w14:paraId="7E8433A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0F222E0E">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38512748">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174A5D92">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作业2</w:t>
            </w:r>
          </w:p>
        </w:tc>
        <w:tc>
          <w:tcPr>
            <w:tcW w:w="1837" w:type="dxa"/>
            <w:shd w:val="clear" w:color="auto" w:fill="auto"/>
            <w:vAlign w:val="center"/>
          </w:tcPr>
          <w:p w14:paraId="0BF6289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20%</w:t>
            </w:r>
          </w:p>
        </w:tc>
        <w:tc>
          <w:tcPr>
            <w:tcW w:w="1130" w:type="dxa"/>
            <w:vMerge w:val="continue"/>
            <w:vAlign w:val="center"/>
          </w:tcPr>
          <w:p w14:paraId="64FE8030">
            <w:pPr>
              <w:widowControl/>
              <w:jc w:val="center"/>
              <w:rPr>
                <w:rFonts w:hint="eastAsia" w:ascii="宋体" w:hAnsi="宋体" w:eastAsia="宋体" w:cs="Times New Roman"/>
                <w:color w:val="000000"/>
                <w:kern w:val="0"/>
                <w:szCs w:val="21"/>
              </w:rPr>
            </w:pPr>
          </w:p>
        </w:tc>
      </w:tr>
      <w:tr w14:paraId="31890B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2AE0FEF1">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17DFED22">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54BD02F5">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作业3</w:t>
            </w:r>
          </w:p>
        </w:tc>
        <w:tc>
          <w:tcPr>
            <w:tcW w:w="1837" w:type="dxa"/>
            <w:shd w:val="clear" w:color="auto" w:fill="auto"/>
            <w:vAlign w:val="center"/>
          </w:tcPr>
          <w:p w14:paraId="0AAC6C0D">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2</w:t>
            </w:r>
            <w:r>
              <w:rPr>
                <w:rFonts w:hint="eastAsia" w:ascii="宋体" w:hAnsi="宋体" w:eastAsia="宋体" w:cs="Times New Roman"/>
                <w:color w:val="000000"/>
                <w:kern w:val="0"/>
                <w:szCs w:val="21"/>
              </w:rPr>
              <w:t>0%</w:t>
            </w:r>
          </w:p>
        </w:tc>
        <w:tc>
          <w:tcPr>
            <w:tcW w:w="1130" w:type="dxa"/>
            <w:vMerge w:val="continue"/>
            <w:vAlign w:val="center"/>
          </w:tcPr>
          <w:p w14:paraId="0C6221A6">
            <w:pPr>
              <w:widowControl/>
              <w:jc w:val="center"/>
              <w:rPr>
                <w:rFonts w:hint="eastAsia" w:ascii="宋体" w:hAnsi="宋体" w:eastAsia="宋体" w:cs="Times New Roman"/>
                <w:color w:val="000000"/>
                <w:kern w:val="0"/>
                <w:szCs w:val="21"/>
              </w:rPr>
            </w:pPr>
          </w:p>
        </w:tc>
      </w:tr>
      <w:tr w14:paraId="53E086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restart"/>
            <w:shd w:val="clear" w:color="auto" w:fill="auto"/>
            <w:vAlign w:val="center"/>
          </w:tcPr>
          <w:p w14:paraId="53DE60DD">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4</w:t>
            </w:r>
          </w:p>
        </w:tc>
        <w:tc>
          <w:tcPr>
            <w:tcW w:w="1810" w:type="dxa"/>
            <w:vMerge w:val="restart"/>
            <w:shd w:val="clear" w:color="auto" w:fill="auto"/>
            <w:vAlign w:val="center"/>
          </w:tcPr>
          <w:p w14:paraId="0CFA9493">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20</w:t>
            </w:r>
            <w:r>
              <w:rPr>
                <w:rFonts w:hint="eastAsia" w:ascii="宋体" w:hAnsi="宋体" w:eastAsia="宋体" w:cs="Times New Roman"/>
                <w:color w:val="000000"/>
                <w:kern w:val="0"/>
                <w:szCs w:val="21"/>
              </w:rPr>
              <w:t>%</w:t>
            </w:r>
          </w:p>
        </w:tc>
        <w:tc>
          <w:tcPr>
            <w:tcW w:w="2188" w:type="dxa"/>
            <w:shd w:val="clear" w:color="auto" w:fill="auto"/>
            <w:vAlign w:val="center"/>
          </w:tcPr>
          <w:p w14:paraId="65990217">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37" w:type="dxa"/>
            <w:shd w:val="clear" w:color="auto" w:fill="auto"/>
            <w:vAlign w:val="center"/>
          </w:tcPr>
          <w:p w14:paraId="0797001A">
            <w:pPr>
              <w:widowControl/>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70</w:t>
            </w:r>
            <w:r>
              <w:rPr>
                <w:rFonts w:hint="eastAsia" w:ascii="宋体" w:hAnsi="宋体" w:eastAsia="宋体" w:cs="Times New Roman"/>
                <w:color w:val="000000"/>
                <w:kern w:val="0"/>
                <w:szCs w:val="21"/>
              </w:rPr>
              <w:t>%</w:t>
            </w:r>
          </w:p>
        </w:tc>
        <w:tc>
          <w:tcPr>
            <w:tcW w:w="1130" w:type="dxa"/>
            <w:vMerge w:val="restart"/>
            <w:vAlign w:val="center"/>
          </w:tcPr>
          <w:p w14:paraId="4DF50C8B">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581E0E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79777D5D">
            <w:pPr>
              <w:widowControl/>
              <w:jc w:val="center"/>
              <w:rPr>
                <w:rFonts w:hint="eastAsia" w:ascii="宋体" w:hAnsi="宋体" w:eastAsia="宋体" w:cs="Times New Roman"/>
                <w:color w:val="000000"/>
                <w:kern w:val="0"/>
                <w:szCs w:val="21"/>
              </w:rPr>
            </w:pPr>
          </w:p>
        </w:tc>
        <w:tc>
          <w:tcPr>
            <w:tcW w:w="1810" w:type="dxa"/>
            <w:vMerge w:val="continue"/>
            <w:shd w:val="clear" w:color="auto" w:fill="auto"/>
            <w:vAlign w:val="center"/>
          </w:tcPr>
          <w:p w14:paraId="590E7E46">
            <w:pPr>
              <w:widowControl/>
              <w:jc w:val="center"/>
              <w:rPr>
                <w:rFonts w:hint="eastAsia" w:ascii="宋体" w:hAnsi="宋体" w:eastAsia="宋体" w:cs="Times New Roman"/>
                <w:color w:val="000000"/>
                <w:kern w:val="0"/>
                <w:szCs w:val="21"/>
              </w:rPr>
            </w:pPr>
          </w:p>
        </w:tc>
        <w:tc>
          <w:tcPr>
            <w:tcW w:w="2188" w:type="dxa"/>
            <w:shd w:val="clear" w:color="auto" w:fill="auto"/>
            <w:vAlign w:val="center"/>
          </w:tcPr>
          <w:p w14:paraId="70DCE22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作业1</w:t>
            </w:r>
          </w:p>
        </w:tc>
        <w:tc>
          <w:tcPr>
            <w:tcW w:w="1837" w:type="dxa"/>
            <w:shd w:val="clear" w:color="auto" w:fill="auto"/>
            <w:vAlign w:val="center"/>
          </w:tcPr>
          <w:p w14:paraId="0EDCB43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r>
              <w:rPr>
                <w:rFonts w:hint="eastAsia" w:ascii="宋体" w:hAnsi="宋体" w:eastAsia="宋体" w:cs="Times New Roman"/>
                <w:color w:val="000000"/>
                <w:kern w:val="0"/>
                <w:szCs w:val="21"/>
              </w:rPr>
              <w:t>%</w:t>
            </w:r>
          </w:p>
        </w:tc>
        <w:tc>
          <w:tcPr>
            <w:tcW w:w="1130" w:type="dxa"/>
            <w:vMerge w:val="continue"/>
            <w:vAlign w:val="center"/>
          </w:tcPr>
          <w:p w14:paraId="1812BCBE">
            <w:pPr>
              <w:widowControl/>
              <w:jc w:val="center"/>
              <w:rPr>
                <w:rFonts w:hint="eastAsia" w:ascii="宋体" w:hAnsi="宋体" w:eastAsia="宋体" w:cs="Times New Roman"/>
                <w:color w:val="000000"/>
                <w:kern w:val="0"/>
                <w:szCs w:val="21"/>
              </w:rPr>
            </w:pPr>
          </w:p>
        </w:tc>
      </w:tr>
      <w:tr w14:paraId="2796A1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785B33D8">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6D15ABE3">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5889450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作业2</w:t>
            </w:r>
          </w:p>
        </w:tc>
        <w:tc>
          <w:tcPr>
            <w:tcW w:w="1837" w:type="dxa"/>
            <w:shd w:val="clear" w:color="auto" w:fill="auto"/>
            <w:vAlign w:val="center"/>
          </w:tcPr>
          <w:p w14:paraId="62DF01D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r>
              <w:rPr>
                <w:rFonts w:hint="eastAsia" w:ascii="宋体" w:hAnsi="宋体" w:eastAsia="宋体" w:cs="Times New Roman"/>
                <w:color w:val="000000"/>
                <w:kern w:val="0"/>
                <w:szCs w:val="21"/>
              </w:rPr>
              <w:t>%</w:t>
            </w:r>
          </w:p>
        </w:tc>
        <w:tc>
          <w:tcPr>
            <w:tcW w:w="1130" w:type="dxa"/>
            <w:vMerge w:val="continue"/>
          </w:tcPr>
          <w:p w14:paraId="04702D3C">
            <w:pPr>
              <w:widowControl/>
              <w:jc w:val="center"/>
              <w:rPr>
                <w:rFonts w:hint="eastAsia" w:ascii="宋体" w:hAnsi="宋体" w:eastAsia="宋体" w:cs="Times New Roman"/>
                <w:color w:val="000000"/>
                <w:kern w:val="0"/>
                <w:szCs w:val="21"/>
              </w:rPr>
            </w:pPr>
          </w:p>
        </w:tc>
      </w:tr>
      <w:tr w14:paraId="3C2FB4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2041" w:type="dxa"/>
            <w:vMerge w:val="continue"/>
            <w:shd w:val="clear" w:color="auto" w:fill="auto"/>
            <w:vAlign w:val="center"/>
          </w:tcPr>
          <w:p w14:paraId="5D26F97A">
            <w:pPr>
              <w:widowControl/>
              <w:jc w:val="left"/>
              <w:rPr>
                <w:rFonts w:hint="eastAsia" w:ascii="宋体" w:hAnsi="宋体" w:eastAsia="宋体" w:cs="Times New Roman"/>
                <w:color w:val="000000"/>
                <w:kern w:val="0"/>
                <w:szCs w:val="21"/>
              </w:rPr>
            </w:pPr>
          </w:p>
        </w:tc>
        <w:tc>
          <w:tcPr>
            <w:tcW w:w="1810" w:type="dxa"/>
            <w:vMerge w:val="continue"/>
            <w:shd w:val="clear" w:color="auto" w:fill="auto"/>
            <w:vAlign w:val="center"/>
          </w:tcPr>
          <w:p w14:paraId="44C6BC10">
            <w:pPr>
              <w:widowControl/>
              <w:jc w:val="left"/>
              <w:rPr>
                <w:rFonts w:hint="eastAsia" w:ascii="宋体" w:hAnsi="宋体" w:eastAsia="宋体" w:cs="Times New Roman"/>
                <w:color w:val="000000"/>
                <w:kern w:val="0"/>
                <w:szCs w:val="21"/>
              </w:rPr>
            </w:pPr>
          </w:p>
        </w:tc>
        <w:tc>
          <w:tcPr>
            <w:tcW w:w="2188" w:type="dxa"/>
            <w:shd w:val="clear" w:color="auto" w:fill="auto"/>
            <w:vAlign w:val="center"/>
          </w:tcPr>
          <w:p w14:paraId="665D0A2D">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作业3</w:t>
            </w:r>
          </w:p>
        </w:tc>
        <w:tc>
          <w:tcPr>
            <w:tcW w:w="1837" w:type="dxa"/>
            <w:shd w:val="clear" w:color="auto" w:fill="auto"/>
            <w:vAlign w:val="center"/>
          </w:tcPr>
          <w:p w14:paraId="3448548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r>
              <w:rPr>
                <w:rFonts w:hint="eastAsia" w:ascii="宋体" w:hAnsi="宋体" w:eastAsia="宋体" w:cs="Times New Roman"/>
                <w:color w:val="000000"/>
                <w:kern w:val="0"/>
                <w:szCs w:val="21"/>
              </w:rPr>
              <w:t>%</w:t>
            </w:r>
          </w:p>
        </w:tc>
        <w:tc>
          <w:tcPr>
            <w:tcW w:w="1130" w:type="dxa"/>
            <w:vMerge w:val="continue"/>
          </w:tcPr>
          <w:p w14:paraId="38D5BB57">
            <w:pPr>
              <w:widowControl/>
              <w:jc w:val="center"/>
              <w:rPr>
                <w:rFonts w:hint="eastAsia" w:ascii="宋体" w:hAnsi="宋体" w:eastAsia="宋体" w:cs="Times New Roman"/>
                <w:color w:val="000000"/>
                <w:kern w:val="0"/>
                <w:szCs w:val="21"/>
              </w:rPr>
            </w:pPr>
          </w:p>
        </w:tc>
      </w:tr>
      <w:tr w14:paraId="171F81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2041" w:type="dxa"/>
            <w:shd w:val="clear" w:color="auto" w:fill="auto"/>
            <w:vAlign w:val="center"/>
          </w:tcPr>
          <w:p w14:paraId="53759B90">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810" w:type="dxa"/>
            <w:shd w:val="clear" w:color="auto" w:fill="auto"/>
            <w:vAlign w:val="center"/>
          </w:tcPr>
          <w:p w14:paraId="2B10EC4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c>
          <w:tcPr>
            <w:tcW w:w="5156" w:type="dxa"/>
            <w:gridSpan w:val="3"/>
            <w:shd w:val="clear" w:color="auto" w:fill="auto"/>
            <w:vAlign w:val="center"/>
          </w:tcPr>
          <w:p w14:paraId="35772923">
            <w:pPr>
              <w:widowControl/>
              <w:jc w:val="center"/>
              <w:rPr>
                <w:rFonts w:hint="eastAsia" w:ascii="宋体" w:hAnsi="宋体" w:eastAsia="宋体" w:cs="Times New Roman"/>
                <w:color w:val="000000"/>
                <w:kern w:val="0"/>
                <w:szCs w:val="21"/>
              </w:rPr>
            </w:pPr>
          </w:p>
        </w:tc>
      </w:tr>
    </w:tbl>
    <w:p w14:paraId="04374CFA">
      <w:pPr>
        <w:spacing w:line="360" w:lineRule="auto"/>
        <w:rPr>
          <w:rFonts w:ascii="Times New Roman" w:hAnsi="Times New Roman" w:eastAsia="宋体" w:cs="Times New Roman"/>
          <w:sz w:val="24"/>
          <w:szCs w:val="24"/>
        </w:rPr>
      </w:pPr>
    </w:p>
    <w:p w14:paraId="0C72658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（四）课程目标达成度计算方法</w:t>
      </w:r>
    </w:p>
    <w:p w14:paraId="7E0ABA1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所有课程目标均需大于等于</w:t>
      </w:r>
      <w:r>
        <w:rPr>
          <w:rFonts w:ascii="Times New Roman" w:hAnsi="Times New Roman" w:eastAsia="宋体" w:cs="Times New Roman"/>
          <w:sz w:val="24"/>
          <w:szCs w:val="24"/>
        </w:rPr>
        <w:t>0.6，否则总评成绩不及格，需要补考或重修。每门课程目标总体达成度计算方法如下：</w:t>
      </w:r>
    </w:p>
    <w:p w14:paraId="08132D9B">
      <w:pPr>
        <w:spacing w:line="360" w:lineRule="auto"/>
        <w:rPr>
          <w:rFonts w:ascii="Times New Roman" w:hAnsi="Times New Roman" w:eastAsia="宋体" w:cs="Times New Roman"/>
          <w:sz w:val="24"/>
          <w:szCs w:val="24"/>
        </w:rPr>
      </w:pPr>
      <w:r>
        <w:rPr>
          <w:rFonts w:ascii="Times New Roman" w:hAnsi="Times New Roman" w:eastAsia="宋体" w:cs="Times New Roman"/>
          <w:position w:val="-26"/>
          <w:sz w:val="24"/>
        </w:rPr>
        <w:object>
          <v:shape id="_x0000_i1031" o:spt="75" type="#_x0000_t75" style="height:31.9pt;width:448.4pt;" o:ole="t" filled="f" o:preferrelative="t" stroked="f" coordsize="21600,21600">
            <v:path/>
            <v:fill on="f" focussize="0,0"/>
            <v:stroke on="f" joinstyle="miter"/>
            <v:imagedata r:id="rId7" o:title=""/>
            <o:lock v:ext="edit" aspectratio="t"/>
            <w10:wrap type="none"/>
            <w10:anchorlock/>
          </v:shape>
          <o:OLEObject Type="Embed" ProgID="Equation.KSEE3" ShapeID="_x0000_i1031" DrawAspect="Content" ObjectID="_1468075731" r:id="rId13">
            <o:LockedField>false</o:LockedField>
          </o:OLEObject>
        </w:object>
      </w:r>
    </w:p>
    <w:p w14:paraId="418DEBFA">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六</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4C78CC38">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（一）持续改进</w:t>
      </w:r>
    </w:p>
    <w:p w14:paraId="583051C0">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本课程根据学生作业、课堂讨论、考核情况和学生、教学督导等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4F0E1F49">
      <w:pPr>
        <w:spacing w:line="360" w:lineRule="auto"/>
        <w:ind w:firstLine="482" w:firstLineChars="200"/>
        <w:rPr>
          <w:rFonts w:hint="eastAsia" w:ascii="宋体" w:hAnsi="宋体" w:eastAsia="宋体" w:cs="Times New Roman"/>
          <w:b/>
          <w:sz w:val="24"/>
        </w:rPr>
      </w:pPr>
      <w:bookmarkStart w:id="156" w:name="_Toc27847345"/>
      <w:r>
        <w:rPr>
          <w:rFonts w:hint="eastAsia" w:ascii="宋体" w:hAnsi="宋体" w:eastAsia="宋体" w:cs="Times New Roman"/>
          <w:b/>
          <w:sz w:val="24"/>
        </w:rPr>
        <w:t>（二）</w:t>
      </w:r>
      <w:r>
        <w:rPr>
          <w:rFonts w:ascii="宋体" w:hAnsi="宋体" w:eastAsia="宋体" w:cs="Times New Roman"/>
          <w:b/>
          <w:sz w:val="24"/>
        </w:rPr>
        <w:t>参考书目及学习资料</w:t>
      </w:r>
      <w:bookmarkEnd w:id="156"/>
    </w:p>
    <w:p w14:paraId="4202591C">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1</w:t>
      </w:r>
      <w:r>
        <w:rPr>
          <w:rFonts w:ascii="宋体" w:hAnsi="宋体" w:eastAsia="宋体" w:cs="Times New Roman"/>
          <w:b/>
          <w:bCs/>
          <w:sz w:val="24"/>
        </w:rPr>
        <w:t>.</w:t>
      </w:r>
      <w:r>
        <w:rPr>
          <w:rFonts w:hint="eastAsia" w:ascii="宋体" w:hAnsi="宋体" w:eastAsia="宋体" w:cs="Times New Roman"/>
          <w:b/>
          <w:bCs/>
          <w:sz w:val="24"/>
        </w:rPr>
        <w:t>教材</w:t>
      </w:r>
    </w:p>
    <w:p w14:paraId="71954159">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肖朗.中外教育名著选读.</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北京：高等教育出版社，20</w:t>
      </w:r>
      <w:r>
        <w:rPr>
          <w:rFonts w:ascii="Times New Roman" w:hAnsi="Times New Roman" w:eastAsia="宋体" w:cs="Times New Roman"/>
          <w:sz w:val="24"/>
          <w:szCs w:val="24"/>
        </w:rPr>
        <w:t>09.</w:t>
      </w:r>
    </w:p>
    <w:p w14:paraId="2CBF728D">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2</w:t>
      </w:r>
      <w:r>
        <w:rPr>
          <w:rFonts w:ascii="宋体" w:hAnsi="宋体" w:eastAsia="宋体" w:cs="Times New Roman"/>
          <w:b/>
          <w:bCs/>
          <w:sz w:val="24"/>
        </w:rPr>
        <w:t>.</w:t>
      </w:r>
      <w:r>
        <w:rPr>
          <w:rFonts w:hint="eastAsia" w:ascii="宋体" w:hAnsi="宋体" w:eastAsia="宋体" w:cs="Times New Roman"/>
          <w:b/>
          <w:bCs/>
          <w:sz w:val="24"/>
        </w:rPr>
        <w:t>教学参考书</w:t>
      </w:r>
    </w:p>
    <w:p w14:paraId="3E1F08B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华东师范大学教育系</w:t>
      </w:r>
      <w:r>
        <w:rPr>
          <w:rFonts w:ascii="宋体" w:hAnsi="宋体" w:eastAsia="宋体" w:cs="Times New Roman"/>
          <w:sz w:val="24"/>
        </w:rPr>
        <w:t xml:space="preserve">. </w:t>
      </w:r>
      <w:r>
        <w:rPr>
          <w:rFonts w:hint="eastAsia" w:ascii="宋体" w:hAnsi="宋体" w:eastAsia="宋体" w:cs="Times New Roman"/>
          <w:sz w:val="24"/>
        </w:rPr>
        <w:t>教育文选</w:t>
      </w:r>
      <w:r>
        <w:rPr>
          <w:rFonts w:ascii="宋体" w:hAnsi="宋体" w:eastAsia="宋体" w:cs="Times New Roman"/>
          <w:sz w:val="24"/>
        </w:rPr>
        <w:t xml:space="preserve">. </w:t>
      </w:r>
      <w:r>
        <w:rPr>
          <w:rFonts w:hint="eastAsia" w:ascii="宋体" w:hAnsi="宋体" w:eastAsia="宋体" w:cs="Times New Roman"/>
          <w:sz w:val="24"/>
        </w:rPr>
        <w:t>北京</w:t>
      </w:r>
      <w:r>
        <w:rPr>
          <w:rFonts w:ascii="宋体" w:hAnsi="宋体" w:eastAsia="宋体" w:cs="Times New Roman"/>
          <w:sz w:val="24"/>
        </w:rPr>
        <w:t xml:space="preserve">: </w:t>
      </w:r>
      <w:r>
        <w:rPr>
          <w:rFonts w:hint="eastAsia" w:ascii="宋体" w:hAnsi="宋体" w:eastAsia="宋体" w:cs="Times New Roman"/>
          <w:sz w:val="24"/>
        </w:rPr>
        <w:t>人民教育出版社</w:t>
      </w:r>
      <w:r>
        <w:rPr>
          <w:rFonts w:ascii="宋体" w:hAnsi="宋体" w:eastAsia="宋体" w:cs="Times New Roman"/>
          <w:sz w:val="24"/>
        </w:rPr>
        <w:t>, 2007.</w:t>
      </w:r>
    </w:p>
    <w:p w14:paraId="4BDFCD1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褚慧芳</w:t>
      </w:r>
      <w:r>
        <w:rPr>
          <w:rFonts w:ascii="宋体" w:hAnsi="宋体" w:eastAsia="宋体" w:cs="Times New Roman"/>
          <w:sz w:val="24"/>
        </w:rPr>
        <w:t>.</w:t>
      </w:r>
      <w:r>
        <w:rPr>
          <w:rFonts w:hint="eastAsia" w:ascii="宋体" w:hAnsi="宋体" w:eastAsia="宋体" w:cs="Times New Roman"/>
          <w:sz w:val="24"/>
        </w:rPr>
        <w:t>外国教育名著导读</w:t>
      </w:r>
      <w:r>
        <w:rPr>
          <w:rFonts w:ascii="宋体" w:hAnsi="宋体" w:eastAsia="宋体" w:cs="Times New Roman"/>
          <w:sz w:val="24"/>
        </w:rPr>
        <w:t>.</w:t>
      </w:r>
      <w:r>
        <w:rPr>
          <w:rFonts w:hint="eastAsia" w:ascii="宋体" w:hAnsi="宋体" w:eastAsia="宋体" w:cs="Times New Roman"/>
          <w:sz w:val="24"/>
        </w:rPr>
        <w:t>北京：人民教育出版社</w:t>
      </w:r>
      <w:r>
        <w:rPr>
          <w:rFonts w:ascii="宋体" w:hAnsi="宋体" w:eastAsia="宋体" w:cs="Times New Roman"/>
          <w:sz w:val="24"/>
        </w:rPr>
        <w:t>，2009.</w:t>
      </w:r>
    </w:p>
    <w:p w14:paraId="74497D62">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张瑞璠，王承绪</w:t>
      </w:r>
      <w:r>
        <w:rPr>
          <w:rFonts w:ascii="宋体" w:hAnsi="宋体" w:eastAsia="宋体" w:cs="Times New Roman"/>
          <w:sz w:val="24"/>
        </w:rPr>
        <w:t>.</w:t>
      </w:r>
      <w:r>
        <w:rPr>
          <w:rFonts w:hint="eastAsia" w:ascii="宋体" w:hAnsi="宋体" w:eastAsia="宋体" w:cs="Times New Roman"/>
          <w:sz w:val="24"/>
        </w:rPr>
        <w:t>中外教育比较史纲</w:t>
      </w:r>
      <w:r>
        <w:rPr>
          <w:rFonts w:ascii="宋体" w:hAnsi="宋体" w:eastAsia="宋体" w:cs="Times New Roman"/>
          <w:sz w:val="24"/>
        </w:rPr>
        <w:t>.</w:t>
      </w:r>
      <w:r>
        <w:rPr>
          <w:rFonts w:hint="eastAsia" w:ascii="宋体" w:hAnsi="宋体" w:eastAsia="宋体" w:cs="Times New Roman"/>
          <w:sz w:val="24"/>
        </w:rPr>
        <w:t>济南：山东教育出版社</w:t>
      </w:r>
      <w:r>
        <w:rPr>
          <w:rFonts w:ascii="宋体" w:hAnsi="宋体" w:eastAsia="宋体" w:cs="Times New Roman"/>
          <w:sz w:val="24"/>
        </w:rPr>
        <w:t>，2001.</w:t>
      </w:r>
    </w:p>
    <w:p w14:paraId="62381040">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张文娟</w:t>
      </w:r>
    </w:p>
    <w:p w14:paraId="5BA64A10">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审定人：张志欣</w:t>
      </w:r>
    </w:p>
    <w:p w14:paraId="2E78B890">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审批人：张建波</w:t>
      </w:r>
    </w:p>
    <w:p w14:paraId="3EC6EE75">
      <w:pPr>
        <w:ind w:firstLine="4800" w:firstLineChars="2000"/>
        <w:rPr>
          <w:rFonts w:hint="eastAsia"/>
        </w:rPr>
      </w:pPr>
      <w:r>
        <w:rPr>
          <w:rFonts w:hint="eastAsia" w:ascii="宋体" w:hAnsi="宋体" w:eastAsia="宋体" w:cs="Times New Roman"/>
          <w:kern w:val="0"/>
          <w:sz w:val="24"/>
          <w:szCs w:val="21"/>
        </w:rPr>
        <w:t>批准时间：2022年8月30</w:t>
      </w:r>
    </w:p>
    <w:p w14:paraId="5D0C8BA3">
      <w:pPr>
        <w:spacing w:line="312" w:lineRule="auto"/>
        <w:jc w:val="center"/>
        <w:rPr>
          <w:rFonts w:hint="eastAsia" w:ascii="宋体" w:hAnsi="宋体"/>
          <w:b/>
          <w:bCs/>
          <w:sz w:val="30"/>
          <w:lang w:val="en-US" w:eastAsia="zh-CN"/>
        </w:rPr>
      </w:pPr>
    </w:p>
    <w:p w14:paraId="56C4E73D">
      <w:pPr>
        <w:spacing w:line="312" w:lineRule="auto"/>
        <w:jc w:val="center"/>
        <w:rPr>
          <w:rFonts w:hint="eastAsia" w:ascii="宋体" w:hAnsi="宋体"/>
          <w:b/>
          <w:bCs/>
          <w:sz w:val="30"/>
          <w:lang w:val="en-US" w:eastAsia="zh-CN"/>
        </w:rPr>
      </w:pPr>
    </w:p>
    <w:p w14:paraId="6ACB3AD6">
      <w:pPr>
        <w:rPr>
          <w:rFonts w:hint="eastAsia" w:ascii="宋体" w:hAnsi="宋体"/>
          <w:b/>
          <w:bCs/>
          <w:sz w:val="30"/>
          <w:lang w:val="en-US" w:eastAsia="zh-CN"/>
        </w:rPr>
      </w:pPr>
      <w:r>
        <w:rPr>
          <w:rFonts w:hint="eastAsia" w:ascii="宋体" w:hAnsi="宋体"/>
          <w:b/>
          <w:bCs/>
          <w:sz w:val="30"/>
          <w:lang w:val="en-US" w:eastAsia="zh-CN"/>
        </w:rPr>
        <w:br w:type="page"/>
      </w:r>
    </w:p>
    <w:p w14:paraId="156F3241">
      <w:pPr>
        <w:spacing w:line="312" w:lineRule="auto"/>
        <w:jc w:val="center"/>
        <w:rPr>
          <w:rFonts w:hint="eastAsia" w:ascii="宋体" w:hAnsi="宋体"/>
          <w:b/>
          <w:bCs/>
          <w:sz w:val="30"/>
        </w:rPr>
      </w:pPr>
      <w:r>
        <w:rPr>
          <w:rFonts w:hint="eastAsia" w:ascii="宋体" w:hAnsi="宋体"/>
          <w:b/>
          <w:bCs/>
          <w:sz w:val="30"/>
          <w:lang w:val="en-US" w:eastAsia="zh-CN"/>
        </w:rPr>
        <w:t xml:space="preserve">  </w:t>
      </w:r>
      <w:r>
        <w:rPr>
          <w:rFonts w:hint="eastAsia" w:ascii="宋体" w:hAnsi="宋体"/>
          <w:b/>
          <w:bCs/>
          <w:sz w:val="30"/>
        </w:rPr>
        <w:t>课堂观察与模拟教学</w:t>
      </w:r>
      <w:r>
        <w:rPr>
          <w:rFonts w:ascii="宋体" w:hAnsi="宋体"/>
          <w:b/>
          <w:bCs/>
          <w:sz w:val="30"/>
        </w:rPr>
        <w:t>课程教学大纲</w:t>
      </w:r>
    </w:p>
    <w:p w14:paraId="2A41A41B">
      <w:pPr>
        <w:spacing w:line="312" w:lineRule="auto"/>
        <w:jc w:val="center"/>
        <w:rPr>
          <w:rFonts w:ascii="宋体" w:hAnsi="宋体"/>
          <w:b/>
          <w:bCs/>
          <w:sz w:val="30"/>
        </w:rPr>
      </w:pPr>
      <w:r>
        <w:rPr>
          <w:rFonts w:ascii="宋体" w:hAnsi="宋体"/>
          <w:b/>
          <w:bCs/>
          <w:sz w:val="30"/>
        </w:rPr>
        <w:t>（Classroom Observation and Simulation Teaching）</w:t>
      </w:r>
    </w:p>
    <w:p w14:paraId="01715D64">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278EF621">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2401021</w:t>
      </w:r>
    </w:p>
    <w:p w14:paraId="12C282A7">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73229080">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（其中：讲授学时16</w:t>
      </w:r>
      <w:r>
        <w:rPr>
          <w:rFonts w:hint="eastAsia" w:ascii="宋体" w:hAnsi="宋体"/>
          <w:kern w:val="0"/>
          <w:sz w:val="24"/>
        </w:rPr>
        <w:t>，</w:t>
      </w:r>
      <w:r>
        <w:rPr>
          <w:rFonts w:ascii="宋体" w:hAnsi="宋体"/>
          <w:kern w:val="0"/>
          <w:sz w:val="24"/>
        </w:rPr>
        <w:t xml:space="preserve"> 实践学时16）</w:t>
      </w:r>
    </w:p>
    <w:p w14:paraId="1195A5CA">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ascii="宋体" w:hAnsi="宋体"/>
          <w:sz w:val="24"/>
          <w:szCs w:val="22"/>
          <w:lang w:val="en-US" w:eastAsia="zh-CN"/>
        </w:rPr>
        <w:t>教育心理学、课程与教学论</w:t>
      </w:r>
    </w:p>
    <w:p w14:paraId="0F871E1C">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（文</w:t>
      </w:r>
      <w:r>
        <w:rPr>
          <w:rFonts w:ascii="宋体" w:hAnsi="宋体"/>
          <w:kern w:val="0"/>
          <w:sz w:val="24"/>
        </w:rPr>
        <w:t>）</w:t>
      </w:r>
      <w:r>
        <w:rPr>
          <w:rFonts w:hint="eastAsia" w:ascii="宋体" w:hAnsi="宋体"/>
          <w:kern w:val="0"/>
          <w:sz w:val="24"/>
        </w:rPr>
        <w:t>、</w:t>
      </w:r>
      <w:r>
        <w:rPr>
          <w:rFonts w:ascii="宋体" w:hAnsi="宋体"/>
          <w:kern w:val="0"/>
          <w:sz w:val="24"/>
        </w:rPr>
        <w:t xml:space="preserve">小学教育（理）                          </w:t>
      </w:r>
    </w:p>
    <w:p w14:paraId="477B0A80">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《课堂观察</w:t>
      </w:r>
      <w:r>
        <w:rPr>
          <w:rFonts w:ascii="宋体" w:hAnsi="宋体"/>
          <w:kern w:val="0"/>
          <w:sz w:val="24"/>
        </w:rPr>
        <w:t>指导</w:t>
      </w:r>
      <w:r>
        <w:rPr>
          <w:rFonts w:hint="eastAsia" w:ascii="宋体" w:hAnsi="宋体"/>
          <w:kern w:val="0"/>
          <w:sz w:val="24"/>
        </w:rPr>
        <w:t>》，陈瑶，教育科学出版社，最新版</w:t>
      </w:r>
      <w:r>
        <w:rPr>
          <w:rFonts w:ascii="宋体" w:hAnsi="宋体"/>
          <w:kern w:val="0"/>
          <w:sz w:val="24"/>
        </w:rPr>
        <w:t>.</w:t>
      </w:r>
    </w:p>
    <w:p w14:paraId="68BE8F44">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07CB01E6">
      <w:pPr>
        <w:autoSpaceDE w:val="0"/>
        <w:autoSpaceDN w:val="0"/>
        <w:adjustRightInd w:val="0"/>
        <w:spacing w:line="360" w:lineRule="auto"/>
        <w:ind w:firstLine="482" w:firstLineChars="200"/>
        <w:jc w:val="left"/>
        <w:rPr>
          <w:rFonts w:hint="eastAsia" w:ascii="宋体" w:hAnsi="宋体"/>
          <w:kern w:val="0"/>
          <w:sz w:val="24"/>
          <w:szCs w:val="22"/>
        </w:rPr>
      </w:pPr>
      <w:r>
        <w:rPr>
          <w:rFonts w:hint="eastAsia" w:ascii="宋体" w:hAnsi="宋体"/>
          <w:b/>
          <w:bCs/>
          <w:kern w:val="0"/>
          <w:sz w:val="24"/>
        </w:rPr>
        <w:t>课程的性质与任务：</w:t>
      </w:r>
      <w:r>
        <w:rPr>
          <w:rFonts w:hint="eastAsia" w:ascii="宋体" w:hAnsi="宋体"/>
          <w:kern w:val="0"/>
          <w:sz w:val="24"/>
        </w:rPr>
        <w:t>本课程是小学教育专业的一门专业基础必修课程。通过本课程的学习，学生能熟练掌握</w:t>
      </w:r>
      <w:r>
        <w:rPr>
          <w:rFonts w:ascii="宋体" w:hAnsi="宋体"/>
          <w:kern w:val="0"/>
          <w:sz w:val="24"/>
        </w:rPr>
        <w:t>课程观察的方法和技能，</w:t>
      </w:r>
      <w:r>
        <w:rPr>
          <w:rFonts w:hint="eastAsia" w:ascii="宋体" w:hAnsi="宋体"/>
          <w:kern w:val="0"/>
          <w:sz w:val="24"/>
        </w:rPr>
        <w:t>能够</w:t>
      </w:r>
      <w:r>
        <w:rPr>
          <w:rFonts w:ascii="宋体" w:hAnsi="宋体"/>
          <w:kern w:val="0"/>
          <w:sz w:val="24"/>
        </w:rPr>
        <w:t>从课堂观察中借鉴他人的课堂</w:t>
      </w:r>
      <w:r>
        <w:rPr>
          <w:rFonts w:hint="eastAsia" w:ascii="宋体" w:hAnsi="宋体"/>
          <w:kern w:val="0"/>
          <w:sz w:val="24"/>
        </w:rPr>
        <w:t>教学</w:t>
      </w:r>
      <w:r>
        <w:rPr>
          <w:rFonts w:ascii="宋体" w:hAnsi="宋体"/>
          <w:kern w:val="0"/>
          <w:sz w:val="24"/>
        </w:rPr>
        <w:t>与管理经验</w:t>
      </w:r>
      <w:r>
        <w:rPr>
          <w:rFonts w:hint="eastAsia" w:ascii="宋体" w:hAnsi="宋体"/>
          <w:kern w:val="0"/>
          <w:sz w:val="24"/>
        </w:rPr>
        <w:t>；掌握模拟教学的一般原理和基本技能，具备较强的模拟教学能力，为将来从事小学教学工作做好准备。</w:t>
      </w:r>
    </w:p>
    <w:p w14:paraId="7574172A">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3B1F9022">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79FC2DF8">
      <w:pPr>
        <w:spacing w:line="360" w:lineRule="auto"/>
        <w:ind w:firstLine="482"/>
        <w:jc w:val="left"/>
        <w:rPr>
          <w:rFonts w:hint="eastAsia"/>
          <w:sz w:val="24"/>
        </w:rPr>
      </w:pPr>
      <w:r>
        <w:rPr>
          <w:rFonts w:hint="eastAsia"/>
          <w:sz w:val="24"/>
        </w:rPr>
        <w:t>目标1.理解</w:t>
      </w:r>
      <w:r>
        <w:rPr>
          <w:sz w:val="24"/>
        </w:rPr>
        <w:t>课堂观察与模拟教学的内涵，</w:t>
      </w:r>
      <w:r>
        <w:rPr>
          <w:rFonts w:hint="eastAsia"/>
          <w:sz w:val="24"/>
        </w:rPr>
        <w:t>理解课堂观察与模拟教学对于</w:t>
      </w:r>
      <w:r>
        <w:rPr>
          <w:sz w:val="24"/>
        </w:rPr>
        <w:t>师范生专业发展</w:t>
      </w:r>
      <w:r>
        <w:rPr>
          <w:rFonts w:hint="eastAsia"/>
          <w:sz w:val="24"/>
        </w:rPr>
        <w:t>的意义，明确课堂</w:t>
      </w:r>
      <w:r>
        <w:rPr>
          <w:sz w:val="24"/>
        </w:rPr>
        <w:t>观察</w:t>
      </w:r>
      <w:r>
        <w:rPr>
          <w:rFonts w:hint="eastAsia"/>
          <w:sz w:val="24"/>
        </w:rPr>
        <w:t>与模拟教学的任务。</w:t>
      </w:r>
    </w:p>
    <w:p w14:paraId="0B40D581">
      <w:pPr>
        <w:spacing w:line="360" w:lineRule="auto"/>
        <w:ind w:firstLine="482"/>
        <w:jc w:val="left"/>
        <w:rPr>
          <w:rFonts w:hint="eastAsia"/>
          <w:kern w:val="0"/>
          <w:sz w:val="24"/>
        </w:rPr>
      </w:pPr>
      <w:r>
        <w:rPr>
          <w:rFonts w:hint="eastAsia"/>
          <w:sz w:val="24"/>
        </w:rPr>
        <w:t>目标2.</w:t>
      </w:r>
      <w:r>
        <w:rPr>
          <w:rFonts w:hint="eastAsia"/>
          <w:kern w:val="0"/>
          <w:sz w:val="24"/>
        </w:rPr>
        <w:t>了解课堂</w:t>
      </w:r>
      <w:r>
        <w:rPr>
          <w:kern w:val="0"/>
          <w:sz w:val="24"/>
        </w:rPr>
        <w:t>观察的类型与方法，</w:t>
      </w:r>
      <w:r>
        <w:rPr>
          <w:rFonts w:hint="eastAsia"/>
          <w:kern w:val="0"/>
          <w:sz w:val="24"/>
        </w:rPr>
        <w:t>掌握课堂</w:t>
      </w:r>
      <w:r>
        <w:rPr>
          <w:kern w:val="0"/>
          <w:sz w:val="24"/>
        </w:rPr>
        <w:t>观察的基本技能，能够运用科学的方法深入现场进行全</w:t>
      </w:r>
      <w:r>
        <w:rPr>
          <w:rFonts w:hint="eastAsia"/>
          <w:kern w:val="0"/>
          <w:sz w:val="24"/>
        </w:rPr>
        <w:t>方位</w:t>
      </w:r>
      <w:r>
        <w:rPr>
          <w:kern w:val="0"/>
          <w:sz w:val="24"/>
        </w:rPr>
        <w:t>的课堂观察</w:t>
      </w:r>
      <w:r>
        <w:rPr>
          <w:rFonts w:hint="eastAsia"/>
          <w:kern w:val="0"/>
          <w:sz w:val="24"/>
        </w:rPr>
        <w:t>，</w:t>
      </w:r>
      <w:r>
        <w:rPr>
          <w:kern w:val="0"/>
          <w:sz w:val="24"/>
        </w:rPr>
        <w:t>能够</w:t>
      </w:r>
      <w:r>
        <w:rPr>
          <w:rFonts w:hint="eastAsia"/>
          <w:kern w:val="0"/>
          <w:sz w:val="24"/>
        </w:rPr>
        <w:t>撰写规范的</w:t>
      </w:r>
      <w:r>
        <w:rPr>
          <w:kern w:val="0"/>
          <w:sz w:val="24"/>
        </w:rPr>
        <w:t>课堂观察报告，能</w:t>
      </w:r>
      <w:r>
        <w:rPr>
          <w:rFonts w:hint="eastAsia"/>
          <w:kern w:val="0"/>
          <w:sz w:val="24"/>
        </w:rPr>
        <w:t>够</w:t>
      </w:r>
      <w:r>
        <w:rPr>
          <w:kern w:val="0"/>
          <w:sz w:val="24"/>
        </w:rPr>
        <w:t>从课堂观察中</w:t>
      </w:r>
      <w:r>
        <w:rPr>
          <w:rFonts w:hint="eastAsia"/>
          <w:kern w:val="0"/>
          <w:sz w:val="24"/>
        </w:rPr>
        <w:t>吸取</w:t>
      </w:r>
      <w:r>
        <w:rPr>
          <w:kern w:val="0"/>
          <w:sz w:val="24"/>
        </w:rPr>
        <w:t>经验</w:t>
      </w:r>
      <w:r>
        <w:rPr>
          <w:rFonts w:hint="eastAsia"/>
          <w:kern w:val="0"/>
          <w:sz w:val="24"/>
        </w:rPr>
        <w:t>教训</w:t>
      </w:r>
      <w:r>
        <w:rPr>
          <w:kern w:val="0"/>
          <w:sz w:val="24"/>
        </w:rPr>
        <w:t>，从而提升自己的课堂教学</w:t>
      </w:r>
      <w:r>
        <w:rPr>
          <w:rFonts w:hint="eastAsia"/>
          <w:kern w:val="0"/>
          <w:sz w:val="24"/>
        </w:rPr>
        <w:t>水平</w:t>
      </w:r>
      <w:r>
        <w:rPr>
          <w:kern w:val="0"/>
          <w:sz w:val="24"/>
        </w:rPr>
        <w:t>。</w:t>
      </w:r>
    </w:p>
    <w:p w14:paraId="719A449A">
      <w:pPr>
        <w:spacing w:line="360" w:lineRule="auto"/>
        <w:ind w:firstLine="482"/>
        <w:jc w:val="left"/>
        <w:rPr>
          <w:rFonts w:hint="eastAsia"/>
          <w:sz w:val="24"/>
        </w:rPr>
      </w:pPr>
      <w:r>
        <w:rPr>
          <w:rFonts w:hint="eastAsia"/>
          <w:sz w:val="24"/>
        </w:rPr>
        <w:t>目标3. 理解</w:t>
      </w:r>
      <w:r>
        <w:rPr>
          <w:sz w:val="24"/>
        </w:rPr>
        <w:t>模拟教学的原则，掌握模拟教学的方法</w:t>
      </w:r>
      <w:r>
        <w:rPr>
          <w:rFonts w:hint="eastAsia"/>
          <w:sz w:val="24"/>
        </w:rPr>
        <w:t>，了解</w:t>
      </w:r>
      <w:r>
        <w:rPr>
          <w:sz w:val="24"/>
        </w:rPr>
        <w:t>模拟教学的一般流程，能够</w:t>
      </w:r>
      <w:r>
        <w:rPr>
          <w:rFonts w:hint="eastAsia"/>
          <w:sz w:val="24"/>
        </w:rPr>
        <w:t>运用</w:t>
      </w:r>
      <w:r>
        <w:rPr>
          <w:sz w:val="24"/>
        </w:rPr>
        <w:t>现代教学理念开展模拟教学，具有较强的模拟教学能力</w:t>
      </w:r>
      <w:r>
        <w:rPr>
          <w:rFonts w:hint="eastAsia"/>
          <w:sz w:val="24"/>
        </w:rPr>
        <w:t>，</w:t>
      </w:r>
      <w:r>
        <w:rPr>
          <w:rFonts w:hint="eastAsia"/>
          <w:kern w:val="0"/>
          <w:sz w:val="24"/>
        </w:rPr>
        <w:t>能对自己的模拟教学进行正确的评价并作出相应的改进。</w:t>
      </w:r>
    </w:p>
    <w:p w14:paraId="44DCE998">
      <w:pPr>
        <w:spacing w:line="360" w:lineRule="auto"/>
        <w:ind w:firstLine="480" w:firstLineChars="200"/>
        <w:rPr>
          <w:rFonts w:ascii="宋体" w:hAnsi="宋体"/>
          <w:kern w:val="0"/>
          <w:sz w:val="24"/>
          <w:szCs w:val="22"/>
        </w:rPr>
      </w:pPr>
      <w:r>
        <w:rPr>
          <w:rFonts w:hint="eastAsia" w:ascii="宋体" w:hAnsi="宋体"/>
          <w:kern w:val="0"/>
          <w:sz w:val="24"/>
          <w:szCs w:val="22"/>
        </w:rPr>
        <w:t>目标4.具有</w:t>
      </w:r>
      <w:r>
        <w:rPr>
          <w:rFonts w:ascii="宋体" w:hAnsi="宋体"/>
          <w:kern w:val="0"/>
          <w:sz w:val="24"/>
          <w:szCs w:val="22"/>
        </w:rPr>
        <w:t>较强的</w:t>
      </w:r>
      <w:r>
        <w:rPr>
          <w:rFonts w:hint="eastAsia" w:ascii="宋体" w:hAnsi="宋体"/>
          <w:kern w:val="0"/>
          <w:sz w:val="24"/>
          <w:szCs w:val="22"/>
        </w:rPr>
        <w:t>沟通</w:t>
      </w:r>
      <w:r>
        <w:rPr>
          <w:rFonts w:ascii="宋体" w:hAnsi="宋体"/>
          <w:kern w:val="0"/>
          <w:sz w:val="24"/>
          <w:szCs w:val="22"/>
        </w:rPr>
        <w:t>与合作能力，</w:t>
      </w:r>
      <w:r>
        <w:rPr>
          <w:rFonts w:hint="eastAsia" w:ascii="宋体" w:hAnsi="宋体"/>
          <w:kern w:val="0"/>
          <w:sz w:val="24"/>
          <w:szCs w:val="22"/>
        </w:rPr>
        <w:t>愿意</w:t>
      </w:r>
      <w:r>
        <w:rPr>
          <w:rFonts w:ascii="宋体" w:hAnsi="宋体"/>
          <w:kern w:val="0"/>
          <w:sz w:val="24"/>
          <w:szCs w:val="22"/>
        </w:rPr>
        <w:t>与他人分享自己的课堂观察</w:t>
      </w:r>
      <w:r>
        <w:rPr>
          <w:rFonts w:hint="eastAsia" w:ascii="宋体" w:hAnsi="宋体"/>
          <w:kern w:val="0"/>
          <w:sz w:val="24"/>
          <w:szCs w:val="22"/>
        </w:rPr>
        <w:t>和</w:t>
      </w:r>
      <w:r>
        <w:rPr>
          <w:rFonts w:ascii="宋体" w:hAnsi="宋体"/>
          <w:kern w:val="0"/>
          <w:sz w:val="24"/>
          <w:szCs w:val="22"/>
        </w:rPr>
        <w:t>模拟教学</w:t>
      </w:r>
      <w:r>
        <w:rPr>
          <w:rFonts w:hint="eastAsia" w:ascii="宋体" w:hAnsi="宋体"/>
          <w:kern w:val="0"/>
          <w:sz w:val="24"/>
          <w:szCs w:val="22"/>
        </w:rPr>
        <w:t>经验，</w:t>
      </w:r>
      <w:r>
        <w:rPr>
          <w:rFonts w:ascii="宋体" w:hAnsi="宋体"/>
          <w:kern w:val="0"/>
          <w:sz w:val="24"/>
          <w:szCs w:val="22"/>
        </w:rPr>
        <w:t>获得</w:t>
      </w:r>
      <w:r>
        <w:rPr>
          <w:rFonts w:hint="eastAsia" w:ascii="宋体" w:hAnsi="宋体"/>
          <w:kern w:val="0"/>
          <w:sz w:val="24"/>
          <w:szCs w:val="22"/>
        </w:rPr>
        <w:t>良好的学习</w:t>
      </w:r>
      <w:r>
        <w:rPr>
          <w:rFonts w:ascii="宋体" w:hAnsi="宋体"/>
          <w:kern w:val="0"/>
          <w:sz w:val="24"/>
          <w:szCs w:val="22"/>
        </w:rPr>
        <w:t>体验，形成</w:t>
      </w:r>
      <w:r>
        <w:rPr>
          <w:rFonts w:hint="eastAsia" w:ascii="宋体" w:hAnsi="宋体"/>
          <w:kern w:val="0"/>
          <w:sz w:val="24"/>
          <w:szCs w:val="22"/>
        </w:rPr>
        <w:t>较强</w:t>
      </w:r>
      <w:r>
        <w:rPr>
          <w:rFonts w:ascii="宋体" w:hAnsi="宋体"/>
          <w:kern w:val="0"/>
          <w:sz w:val="24"/>
          <w:szCs w:val="22"/>
        </w:rPr>
        <w:t>的团队协作精神。</w:t>
      </w:r>
    </w:p>
    <w:p w14:paraId="281BEC51">
      <w:pPr>
        <w:spacing w:line="360" w:lineRule="auto"/>
        <w:ind w:firstLine="480" w:firstLineChars="200"/>
        <w:rPr>
          <w:rFonts w:ascii="宋体" w:hAnsi="宋体"/>
          <w:kern w:val="0"/>
          <w:sz w:val="24"/>
          <w:szCs w:val="22"/>
        </w:rPr>
      </w:pPr>
    </w:p>
    <w:p w14:paraId="623A5B11">
      <w:pPr>
        <w:spacing w:line="360" w:lineRule="auto"/>
        <w:ind w:firstLine="480" w:firstLineChars="200"/>
        <w:rPr>
          <w:rFonts w:hint="eastAsia" w:ascii="宋体" w:hAnsi="宋体"/>
          <w:kern w:val="0"/>
          <w:sz w:val="24"/>
          <w:szCs w:val="22"/>
        </w:rPr>
      </w:pPr>
    </w:p>
    <w:p w14:paraId="03582648">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2447"/>
        <w:gridCol w:w="4926"/>
      </w:tblGrid>
      <w:tr w14:paraId="1A6F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483" w:type="dxa"/>
            <w:noWrap w:val="0"/>
            <w:vAlign w:val="center"/>
          </w:tcPr>
          <w:p w14:paraId="35B39FE3">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47" w:type="dxa"/>
            <w:noWrap w:val="0"/>
            <w:vAlign w:val="center"/>
          </w:tcPr>
          <w:p w14:paraId="131BCCA7">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26" w:type="dxa"/>
            <w:noWrap w:val="0"/>
            <w:vAlign w:val="center"/>
          </w:tcPr>
          <w:p w14:paraId="0007CE75">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769E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483" w:type="dxa"/>
            <w:noWrap w:val="0"/>
            <w:vAlign w:val="center"/>
          </w:tcPr>
          <w:p w14:paraId="6506FBA6">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47" w:type="dxa"/>
            <w:noWrap w:val="0"/>
            <w:vAlign w:val="center"/>
          </w:tcPr>
          <w:p w14:paraId="5A69E357">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毕业要求4. 教学能力</w:t>
            </w:r>
          </w:p>
        </w:tc>
        <w:tc>
          <w:tcPr>
            <w:tcW w:w="4926" w:type="dxa"/>
            <w:noWrap w:val="0"/>
            <w:vAlign w:val="center"/>
          </w:tcPr>
          <w:p w14:paraId="52BA93F9">
            <w:pPr>
              <w:pStyle w:val="58"/>
              <w:spacing w:line="276" w:lineRule="auto"/>
              <w:ind w:firstLine="0" w:firstLineChars="0"/>
              <w:jc w:val="left"/>
              <w:rPr>
                <w:rFonts w:hint="eastAsia" w:ascii="宋体" w:hAnsi="宋体"/>
                <w:kern w:val="0"/>
                <w:szCs w:val="21"/>
              </w:rPr>
            </w:pPr>
            <w:r>
              <w:rPr>
                <w:rFonts w:hint="eastAsia" w:ascii="宋体" w:hAnsi="宋体"/>
                <w:kern w:val="0"/>
                <w:szCs w:val="21"/>
              </w:rPr>
              <w:t>4-2：获得全面的小学教学体验，掌握学科教学的基本方法与策略，能独立进行教学设计、实施和评价。</w:t>
            </w:r>
          </w:p>
          <w:p w14:paraId="40CAD347">
            <w:pPr>
              <w:pStyle w:val="58"/>
              <w:spacing w:line="276" w:lineRule="auto"/>
              <w:ind w:firstLine="0" w:firstLineChars="0"/>
              <w:jc w:val="left"/>
              <w:rPr>
                <w:rFonts w:hint="eastAsia" w:ascii="宋体" w:hAnsi="宋体"/>
                <w:kern w:val="0"/>
                <w:szCs w:val="21"/>
              </w:rPr>
            </w:pPr>
            <w:r>
              <w:rPr>
                <w:rFonts w:hint="eastAsia" w:ascii="宋体" w:hAnsi="宋体"/>
                <w:kern w:val="0"/>
                <w:szCs w:val="21"/>
              </w:rPr>
              <w:t>4-4：掌握教育研究的基本方法，结合小学教育教学实践进行研究，具有一定的教学研究能力。</w:t>
            </w:r>
          </w:p>
        </w:tc>
      </w:tr>
      <w:tr w14:paraId="1F40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jc w:val="center"/>
        </w:trPr>
        <w:tc>
          <w:tcPr>
            <w:tcW w:w="1483" w:type="dxa"/>
            <w:noWrap w:val="0"/>
            <w:vAlign w:val="center"/>
          </w:tcPr>
          <w:p w14:paraId="0012FA3D">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47" w:type="dxa"/>
            <w:noWrap w:val="0"/>
            <w:vAlign w:val="center"/>
          </w:tcPr>
          <w:p w14:paraId="5BB4CC7A">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毕业要求4. 教学能力</w:t>
            </w:r>
          </w:p>
          <w:p w14:paraId="108DF54A">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毕业要求8. 沟通合作</w:t>
            </w:r>
          </w:p>
        </w:tc>
        <w:tc>
          <w:tcPr>
            <w:tcW w:w="4926" w:type="dxa"/>
            <w:noWrap w:val="0"/>
            <w:vAlign w:val="center"/>
          </w:tcPr>
          <w:p w14:paraId="73BA4D3A">
            <w:pPr>
              <w:pStyle w:val="58"/>
              <w:spacing w:line="276" w:lineRule="auto"/>
              <w:ind w:firstLine="0" w:firstLineChars="0"/>
              <w:jc w:val="left"/>
              <w:rPr>
                <w:rFonts w:hint="eastAsia" w:ascii="宋体" w:hAnsi="宋体"/>
                <w:kern w:val="0"/>
                <w:szCs w:val="21"/>
              </w:rPr>
            </w:pPr>
            <w:r>
              <w:rPr>
                <w:rFonts w:hint="eastAsia" w:ascii="宋体" w:hAnsi="宋体"/>
                <w:kern w:val="0"/>
                <w:szCs w:val="21"/>
              </w:rPr>
              <w:t>4-2：获得全面的小学教学体验，掌握学科教学的基本方法与策略，能独立进行教学设计、实施和评价。</w:t>
            </w:r>
          </w:p>
          <w:p w14:paraId="536EBA38">
            <w:pPr>
              <w:pStyle w:val="58"/>
              <w:spacing w:line="276" w:lineRule="auto"/>
              <w:ind w:firstLine="0" w:firstLineChars="0"/>
              <w:jc w:val="left"/>
              <w:rPr>
                <w:rFonts w:hint="eastAsia" w:ascii="宋体" w:hAnsi="宋体"/>
                <w:kern w:val="0"/>
                <w:szCs w:val="21"/>
              </w:rPr>
            </w:pPr>
            <w:r>
              <w:rPr>
                <w:rFonts w:hint="eastAsia" w:ascii="宋体" w:hAnsi="宋体"/>
                <w:kern w:val="0"/>
                <w:szCs w:val="21"/>
              </w:rPr>
              <w:t>4-3：掌握小学教师基本功技能，包括书写技能、沟通与表达技能、信息技术运用技能等。</w:t>
            </w:r>
          </w:p>
          <w:p w14:paraId="639548D5">
            <w:pPr>
              <w:pStyle w:val="58"/>
              <w:spacing w:line="276" w:lineRule="auto"/>
              <w:ind w:firstLine="0" w:firstLineChars="0"/>
              <w:jc w:val="left"/>
              <w:rPr>
                <w:rFonts w:hint="eastAsia" w:ascii="宋体" w:hAnsi="宋体"/>
                <w:kern w:val="0"/>
                <w:szCs w:val="21"/>
              </w:rPr>
            </w:pPr>
            <w:r>
              <w:rPr>
                <w:rFonts w:hint="eastAsia" w:ascii="宋体" w:hAnsi="宋体"/>
                <w:kern w:val="0"/>
                <w:szCs w:val="21"/>
              </w:rPr>
              <w:t>4-4：掌握教育研究的基本方法，结合小学教育教学实践进行研究，具有一定的教学研究能力。</w:t>
            </w:r>
          </w:p>
          <w:p w14:paraId="3E29945B">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8-1：理解学习共同体的作用，在课堂学习与教育实践中获得合作学习体验，形成团队协作精神。</w:t>
            </w:r>
          </w:p>
        </w:tc>
      </w:tr>
      <w:tr w14:paraId="33FA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1483" w:type="dxa"/>
            <w:noWrap w:val="0"/>
            <w:vAlign w:val="center"/>
          </w:tcPr>
          <w:p w14:paraId="1DEDD1F2">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47" w:type="dxa"/>
            <w:noWrap w:val="0"/>
            <w:vAlign w:val="center"/>
          </w:tcPr>
          <w:p w14:paraId="2F349250">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毕业要求4. 教学能力</w:t>
            </w:r>
          </w:p>
          <w:p w14:paraId="344625EA">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毕业要求8. 沟通合作</w:t>
            </w:r>
          </w:p>
        </w:tc>
        <w:tc>
          <w:tcPr>
            <w:tcW w:w="4926" w:type="dxa"/>
            <w:noWrap w:val="0"/>
            <w:vAlign w:val="center"/>
          </w:tcPr>
          <w:p w14:paraId="05FD0DE4">
            <w:pPr>
              <w:pStyle w:val="58"/>
              <w:spacing w:line="276" w:lineRule="auto"/>
              <w:ind w:firstLine="0" w:firstLineChars="0"/>
              <w:jc w:val="left"/>
              <w:rPr>
                <w:rFonts w:hint="eastAsia" w:ascii="宋体" w:hAnsi="宋体"/>
                <w:kern w:val="0"/>
                <w:szCs w:val="21"/>
              </w:rPr>
            </w:pPr>
            <w:r>
              <w:rPr>
                <w:rFonts w:hint="eastAsia" w:ascii="宋体" w:hAnsi="宋体"/>
                <w:kern w:val="0"/>
                <w:szCs w:val="21"/>
              </w:rPr>
              <w:t>4</w:t>
            </w:r>
            <w:r>
              <w:rPr>
                <w:rFonts w:ascii="宋体" w:hAnsi="宋体"/>
                <w:kern w:val="0"/>
                <w:szCs w:val="21"/>
              </w:rPr>
              <w:t>-</w:t>
            </w:r>
            <w:r>
              <w:rPr>
                <w:rFonts w:hint="eastAsia" w:ascii="宋体" w:hAnsi="宋体"/>
                <w:kern w:val="0"/>
                <w:szCs w:val="21"/>
              </w:rPr>
              <w:t>1：掌握教与学的知识，熟悉所教学科课程标准、教学内容，具有一定的教材解读能力。</w:t>
            </w:r>
          </w:p>
          <w:p w14:paraId="58BBCF35">
            <w:pPr>
              <w:pStyle w:val="58"/>
              <w:spacing w:line="276" w:lineRule="auto"/>
              <w:ind w:firstLine="0" w:firstLineChars="0"/>
              <w:jc w:val="left"/>
              <w:rPr>
                <w:rFonts w:hint="eastAsia" w:ascii="宋体" w:hAnsi="宋体"/>
                <w:kern w:val="0"/>
                <w:szCs w:val="21"/>
              </w:rPr>
            </w:pPr>
            <w:r>
              <w:rPr>
                <w:rFonts w:hint="eastAsia" w:ascii="宋体" w:hAnsi="宋体"/>
                <w:kern w:val="0"/>
                <w:szCs w:val="21"/>
              </w:rPr>
              <w:t>4-2：获得全面的小学教学体验，掌握学科教学的基本方法与策略，能独立进行教学设计、实施和评价。</w:t>
            </w:r>
          </w:p>
          <w:p w14:paraId="22E3521E">
            <w:pPr>
              <w:pStyle w:val="58"/>
              <w:spacing w:line="276" w:lineRule="auto"/>
              <w:ind w:firstLine="0" w:firstLineChars="0"/>
              <w:jc w:val="left"/>
              <w:rPr>
                <w:rFonts w:hint="eastAsia" w:ascii="宋体" w:hAnsi="宋体"/>
                <w:kern w:val="0"/>
                <w:szCs w:val="21"/>
              </w:rPr>
            </w:pPr>
            <w:r>
              <w:rPr>
                <w:rFonts w:hint="eastAsia" w:ascii="宋体" w:hAnsi="宋体"/>
                <w:kern w:val="0"/>
                <w:szCs w:val="21"/>
              </w:rPr>
              <w:t>4-3：掌握小学教师基本功技能，包括书写技能、沟通与表达技能、信息技术运用技能等。</w:t>
            </w:r>
          </w:p>
          <w:p w14:paraId="6AA54519">
            <w:pPr>
              <w:pStyle w:val="58"/>
              <w:spacing w:line="276" w:lineRule="auto"/>
              <w:ind w:firstLine="0" w:firstLineChars="0"/>
              <w:jc w:val="left"/>
              <w:rPr>
                <w:rFonts w:hint="eastAsia" w:ascii="宋体" w:hAnsi="宋体"/>
                <w:kern w:val="0"/>
                <w:szCs w:val="21"/>
              </w:rPr>
            </w:pPr>
            <w:r>
              <w:rPr>
                <w:rFonts w:hint="eastAsia" w:ascii="宋体" w:hAnsi="宋体"/>
                <w:kern w:val="0"/>
                <w:szCs w:val="21"/>
              </w:rPr>
              <w:t>4-4：掌握教育研究的基本方法，结合小学教育教学实践进行研究，具有一定的教学研究能力。</w:t>
            </w:r>
          </w:p>
          <w:p w14:paraId="10CCAF95">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8-1：理解学习共同体的作用，在课堂学习与教育实践中获得合作学习体验，形成团队协作精神。</w:t>
            </w:r>
          </w:p>
        </w:tc>
      </w:tr>
      <w:tr w14:paraId="514F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jc w:val="center"/>
        </w:trPr>
        <w:tc>
          <w:tcPr>
            <w:tcW w:w="1483" w:type="dxa"/>
            <w:noWrap w:val="0"/>
            <w:vAlign w:val="center"/>
          </w:tcPr>
          <w:p w14:paraId="60019162">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w:t>
            </w:r>
            <w:r>
              <w:rPr>
                <w:rFonts w:ascii="宋体" w:hAnsi="宋体" w:cs="宋体"/>
                <w:szCs w:val="21"/>
              </w:rPr>
              <w:t>目标</w:t>
            </w:r>
            <w:r>
              <w:rPr>
                <w:rFonts w:hint="eastAsia" w:ascii="宋体" w:hAnsi="宋体" w:cs="宋体"/>
                <w:szCs w:val="21"/>
              </w:rPr>
              <w:t>4</w:t>
            </w:r>
          </w:p>
        </w:tc>
        <w:tc>
          <w:tcPr>
            <w:tcW w:w="2447" w:type="dxa"/>
            <w:noWrap w:val="0"/>
            <w:vAlign w:val="center"/>
          </w:tcPr>
          <w:p w14:paraId="5711FED2">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毕业要求4. 教学能力</w:t>
            </w:r>
          </w:p>
          <w:p w14:paraId="14FB11A0">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毕业要求8. 沟通合作</w:t>
            </w:r>
          </w:p>
        </w:tc>
        <w:tc>
          <w:tcPr>
            <w:tcW w:w="4926" w:type="dxa"/>
            <w:noWrap w:val="0"/>
            <w:vAlign w:val="center"/>
          </w:tcPr>
          <w:p w14:paraId="71DD8C8B">
            <w:pPr>
              <w:pStyle w:val="58"/>
              <w:spacing w:line="276" w:lineRule="auto"/>
              <w:ind w:firstLine="0" w:firstLineChars="0"/>
              <w:jc w:val="left"/>
              <w:rPr>
                <w:rFonts w:hint="eastAsia" w:ascii="宋体" w:hAnsi="宋体"/>
                <w:kern w:val="0"/>
                <w:szCs w:val="21"/>
              </w:rPr>
            </w:pPr>
            <w:r>
              <w:rPr>
                <w:rFonts w:hint="eastAsia" w:ascii="宋体" w:hAnsi="宋体"/>
                <w:kern w:val="0"/>
                <w:szCs w:val="21"/>
              </w:rPr>
              <w:t>4-2：获得全面的小学教学体验，掌握学科教学的基本方法与策略，能独立进行教学设计、实施和评价。</w:t>
            </w:r>
          </w:p>
          <w:p w14:paraId="1AF268F4">
            <w:pPr>
              <w:pStyle w:val="58"/>
              <w:spacing w:line="276" w:lineRule="auto"/>
              <w:ind w:firstLine="0" w:firstLineChars="0"/>
              <w:jc w:val="left"/>
              <w:rPr>
                <w:rFonts w:hint="eastAsia" w:ascii="宋体" w:hAnsi="宋体"/>
                <w:kern w:val="0"/>
                <w:szCs w:val="21"/>
              </w:rPr>
            </w:pPr>
            <w:r>
              <w:rPr>
                <w:rFonts w:hint="eastAsia" w:ascii="宋体" w:hAnsi="宋体"/>
                <w:kern w:val="0"/>
                <w:szCs w:val="21"/>
              </w:rPr>
              <w:t>4-3：掌握小学教师基本功技能，包括书写技能、沟通与表达技能、信息技术运用技能等。</w:t>
            </w:r>
          </w:p>
          <w:p w14:paraId="2118DCD6">
            <w:pPr>
              <w:pStyle w:val="58"/>
              <w:spacing w:line="276" w:lineRule="auto"/>
              <w:ind w:firstLine="0" w:firstLineChars="0"/>
              <w:jc w:val="left"/>
              <w:rPr>
                <w:rFonts w:hint="eastAsia" w:ascii="宋体" w:hAnsi="宋体"/>
                <w:kern w:val="0"/>
                <w:szCs w:val="21"/>
              </w:rPr>
            </w:pPr>
            <w:r>
              <w:rPr>
                <w:rFonts w:hint="eastAsia" w:ascii="宋体" w:hAnsi="宋体"/>
                <w:kern w:val="0"/>
                <w:szCs w:val="21"/>
              </w:rPr>
              <w:t>4-4：掌握教育研究的基本方法，结合小学教育教学实践进行研究，具有一定的教学研究能力。</w:t>
            </w:r>
          </w:p>
          <w:p w14:paraId="1A84BE65">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8-1：理解学习共同体的作用，在课堂学习与教育实践中获得合作学习体验，形成团队协作精神。</w:t>
            </w:r>
          </w:p>
        </w:tc>
      </w:tr>
    </w:tbl>
    <w:p w14:paraId="69585386">
      <w:pPr>
        <w:spacing w:line="360" w:lineRule="auto"/>
        <w:outlineLvl w:val="0"/>
        <w:rPr>
          <w:rFonts w:ascii="宋体" w:hAnsi="宋体"/>
          <w:b/>
          <w:kern w:val="0"/>
          <w:sz w:val="24"/>
          <w:szCs w:val="22"/>
        </w:rPr>
      </w:pPr>
      <w:r>
        <w:rPr>
          <w:rFonts w:hint="eastAsia" w:ascii="宋体" w:hAnsi="宋体"/>
          <w:b/>
          <w:kern w:val="0"/>
          <w:sz w:val="24"/>
          <w:szCs w:val="22"/>
        </w:rPr>
        <w:t xml:space="preserve">    </w:t>
      </w:r>
    </w:p>
    <w:p w14:paraId="000D2E5D">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4576BA82">
      <w:pPr>
        <w:spacing w:line="360" w:lineRule="auto"/>
        <w:ind w:firstLine="482" w:firstLineChars="200"/>
        <w:outlineLvl w:val="0"/>
        <w:rPr>
          <w:rFonts w:ascii="宋体" w:hAnsi="宋体"/>
          <w:b/>
          <w:sz w:val="24"/>
          <w:szCs w:val="22"/>
        </w:rPr>
      </w:pPr>
      <w:r>
        <w:rPr>
          <w:rFonts w:hint="eastAsia" w:ascii="宋体" w:hAnsi="宋体"/>
          <w:b/>
          <w:sz w:val="24"/>
          <w:szCs w:val="22"/>
        </w:rPr>
        <w:t>（一）课堂观察</w:t>
      </w:r>
      <w:r>
        <w:rPr>
          <w:rFonts w:ascii="宋体" w:hAnsi="宋体"/>
          <w:b/>
          <w:sz w:val="24"/>
          <w:szCs w:val="22"/>
        </w:rPr>
        <w:t>与模拟教学概述</w:t>
      </w:r>
      <w:r>
        <w:rPr>
          <w:rFonts w:hint="eastAsia" w:ascii="宋体" w:hAnsi="宋体"/>
          <w:b/>
          <w:sz w:val="24"/>
          <w:szCs w:val="22"/>
        </w:rPr>
        <w:t>（本模块各知识点的讲授与学习，可以支撑课程目标1）</w:t>
      </w:r>
    </w:p>
    <w:p w14:paraId="43BDDA8C">
      <w:pPr>
        <w:spacing w:line="360" w:lineRule="auto"/>
        <w:ind w:firstLine="482" w:firstLineChars="200"/>
        <w:rPr>
          <w:rFonts w:ascii="宋体" w:hAnsi="宋体"/>
          <w:b/>
          <w:sz w:val="24"/>
          <w:szCs w:val="22"/>
        </w:rPr>
      </w:pPr>
      <w:r>
        <w:rPr>
          <w:rFonts w:ascii="宋体" w:hAnsi="宋体"/>
          <w:b/>
          <w:sz w:val="24"/>
          <w:szCs w:val="22"/>
        </w:rPr>
        <w:t>1.教学内容</w:t>
      </w:r>
    </w:p>
    <w:p w14:paraId="52B00ADA">
      <w:pPr>
        <w:spacing w:line="360" w:lineRule="auto"/>
        <w:ind w:firstLine="480" w:firstLineChars="200"/>
        <w:rPr>
          <w:rFonts w:hint="eastAsia"/>
          <w:sz w:val="24"/>
        </w:rPr>
      </w:pPr>
      <w:r>
        <w:rPr>
          <w:rFonts w:hint="eastAsia"/>
          <w:sz w:val="24"/>
        </w:rPr>
        <w:t>⑴课堂观察与模拟教学的内涵</w:t>
      </w:r>
    </w:p>
    <w:p w14:paraId="69184C3A">
      <w:pPr>
        <w:spacing w:line="360" w:lineRule="auto"/>
        <w:ind w:firstLine="480" w:firstLineChars="200"/>
        <w:rPr>
          <w:rFonts w:hint="eastAsia"/>
          <w:sz w:val="24"/>
        </w:rPr>
      </w:pPr>
      <w:r>
        <w:rPr>
          <w:rFonts w:hint="eastAsia"/>
          <w:sz w:val="24"/>
        </w:rPr>
        <w:t>⑵课堂观察与模拟教学的意义</w:t>
      </w:r>
    </w:p>
    <w:p w14:paraId="05BE6335">
      <w:pPr>
        <w:spacing w:line="360" w:lineRule="auto"/>
        <w:ind w:firstLine="480" w:firstLineChars="200"/>
        <w:rPr>
          <w:sz w:val="24"/>
        </w:rPr>
      </w:pPr>
      <w:r>
        <w:rPr>
          <w:rFonts w:hint="eastAsia"/>
          <w:sz w:val="24"/>
        </w:rPr>
        <w:t>⑶课堂观察与模拟教学的任务</w:t>
      </w:r>
    </w:p>
    <w:p w14:paraId="17690912">
      <w:pPr>
        <w:spacing w:line="360" w:lineRule="auto"/>
        <w:ind w:firstLine="482" w:firstLineChars="200"/>
        <w:rPr>
          <w:rFonts w:ascii="宋体" w:hAnsi="宋体"/>
          <w:b/>
          <w:sz w:val="24"/>
          <w:szCs w:val="22"/>
        </w:rPr>
      </w:pPr>
      <w:r>
        <w:rPr>
          <w:rFonts w:ascii="宋体" w:hAnsi="宋体"/>
          <w:b/>
          <w:sz w:val="24"/>
          <w:szCs w:val="22"/>
        </w:rPr>
        <w:t>2.基本要求</w:t>
      </w:r>
    </w:p>
    <w:p w14:paraId="6887FF2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理解课堂观察</w:t>
      </w:r>
      <w:r>
        <w:rPr>
          <w:rFonts w:ascii="宋体" w:hAnsi="宋体"/>
          <w:sz w:val="24"/>
          <w:szCs w:val="22"/>
        </w:rPr>
        <w:t>与模拟教学</w:t>
      </w:r>
      <w:r>
        <w:rPr>
          <w:rFonts w:hint="eastAsia" w:ascii="宋体" w:hAnsi="宋体"/>
          <w:sz w:val="24"/>
          <w:szCs w:val="22"/>
        </w:rPr>
        <w:t>的内涵</w:t>
      </w:r>
    </w:p>
    <w:p w14:paraId="011F6EEE">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明确</w:t>
      </w:r>
      <w:r>
        <w:rPr>
          <w:rFonts w:ascii="宋体" w:hAnsi="宋体"/>
          <w:sz w:val="24"/>
          <w:szCs w:val="22"/>
        </w:rPr>
        <w:t>课</w:t>
      </w:r>
      <w:r>
        <w:rPr>
          <w:rFonts w:hint="eastAsia" w:ascii="宋体" w:hAnsi="宋体"/>
          <w:sz w:val="24"/>
          <w:szCs w:val="22"/>
        </w:rPr>
        <w:t>堂观察与模拟教学的意义</w:t>
      </w:r>
    </w:p>
    <w:p w14:paraId="682ADF66">
      <w:pPr>
        <w:spacing w:line="360" w:lineRule="auto"/>
        <w:ind w:firstLine="480" w:firstLineChars="200"/>
        <w:rPr>
          <w:rFonts w:hint="eastAsia" w:ascii="宋体" w:hAnsi="宋体"/>
          <w:sz w:val="24"/>
          <w:szCs w:val="22"/>
        </w:rPr>
      </w:pPr>
      <w:r>
        <w:rPr>
          <w:rFonts w:hint="eastAsia" w:ascii="宋体" w:hAnsi="宋体"/>
          <w:sz w:val="24"/>
          <w:szCs w:val="22"/>
        </w:rPr>
        <w:t>（3）了解课堂</w:t>
      </w:r>
      <w:r>
        <w:rPr>
          <w:rFonts w:ascii="宋体" w:hAnsi="宋体"/>
          <w:sz w:val="24"/>
          <w:szCs w:val="22"/>
        </w:rPr>
        <w:t>观察的</w:t>
      </w:r>
      <w:r>
        <w:rPr>
          <w:rFonts w:hint="eastAsia" w:ascii="宋体" w:hAnsi="宋体"/>
          <w:sz w:val="24"/>
          <w:szCs w:val="22"/>
        </w:rPr>
        <w:t>任务</w:t>
      </w:r>
    </w:p>
    <w:p w14:paraId="3634BABC">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35C00A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体会数学</w:t>
      </w:r>
      <w:r>
        <w:rPr>
          <w:rFonts w:ascii="宋体" w:hAnsi="宋体"/>
          <w:sz w:val="24"/>
          <w:szCs w:val="22"/>
        </w:rPr>
        <w:t>的严谨性，养成严谨治学的态度</w:t>
      </w:r>
      <w:r>
        <w:rPr>
          <w:rFonts w:hint="eastAsia" w:ascii="宋体" w:hAnsi="宋体"/>
          <w:sz w:val="24"/>
          <w:szCs w:val="22"/>
        </w:rPr>
        <w:t>。</w:t>
      </w:r>
    </w:p>
    <w:p w14:paraId="738C0FD8">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确立</w:t>
      </w:r>
      <w:r>
        <w:rPr>
          <w:rFonts w:ascii="宋体" w:hAnsi="宋体"/>
          <w:sz w:val="24"/>
          <w:szCs w:val="22"/>
        </w:rPr>
        <w:t>专业发展目标</w:t>
      </w:r>
      <w:r>
        <w:rPr>
          <w:rFonts w:hint="eastAsia" w:ascii="宋体" w:hAnsi="宋体"/>
          <w:sz w:val="24"/>
          <w:szCs w:val="22"/>
        </w:rPr>
        <w:t>，争</w:t>
      </w:r>
      <w:r>
        <w:rPr>
          <w:rFonts w:ascii="宋体" w:hAnsi="宋体"/>
          <w:sz w:val="24"/>
          <w:szCs w:val="22"/>
        </w:rPr>
        <w:t>做“四有”好老师。</w:t>
      </w:r>
    </w:p>
    <w:p w14:paraId="00CF9A7A">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课堂观察与模拟教学的内涵、</w:t>
      </w:r>
      <w:r>
        <w:rPr>
          <w:rFonts w:ascii="宋体" w:hAnsi="宋体"/>
          <w:sz w:val="24"/>
          <w:szCs w:val="22"/>
        </w:rPr>
        <w:t>意义</w:t>
      </w:r>
    </w:p>
    <w:p w14:paraId="05CCE6B5">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课堂观察与模拟教学的内涵</w:t>
      </w:r>
    </w:p>
    <w:p w14:paraId="21F6EA47">
      <w:pPr>
        <w:spacing w:line="360" w:lineRule="auto"/>
        <w:ind w:firstLine="482" w:firstLineChars="200"/>
        <w:outlineLvl w:val="0"/>
        <w:rPr>
          <w:rFonts w:hint="eastAsia" w:ascii="宋体" w:hAnsi="宋体"/>
          <w:b/>
          <w:sz w:val="24"/>
          <w:szCs w:val="22"/>
        </w:rPr>
      </w:pPr>
      <w:r>
        <w:rPr>
          <w:rFonts w:hint="eastAsia" w:ascii="宋体" w:hAnsi="宋体"/>
          <w:b/>
          <w:sz w:val="24"/>
          <w:szCs w:val="22"/>
        </w:rPr>
        <w:t>（二）课堂观察</w:t>
      </w:r>
      <w:r>
        <w:rPr>
          <w:rFonts w:ascii="宋体" w:hAnsi="宋体"/>
          <w:b/>
          <w:sz w:val="24"/>
          <w:szCs w:val="22"/>
        </w:rPr>
        <w:t>的</w:t>
      </w:r>
      <w:r>
        <w:rPr>
          <w:rFonts w:hint="eastAsia" w:ascii="宋体" w:hAnsi="宋体"/>
          <w:b/>
          <w:sz w:val="24"/>
          <w:szCs w:val="22"/>
        </w:rPr>
        <w:t>类型与</w:t>
      </w:r>
      <w:r>
        <w:rPr>
          <w:rFonts w:ascii="宋体" w:hAnsi="宋体"/>
          <w:b/>
          <w:sz w:val="24"/>
          <w:szCs w:val="22"/>
        </w:rPr>
        <w:t>方法</w:t>
      </w:r>
      <w:r>
        <w:rPr>
          <w:rFonts w:hint="eastAsia" w:ascii="宋体" w:hAnsi="宋体"/>
          <w:b/>
          <w:sz w:val="24"/>
          <w:szCs w:val="22"/>
        </w:rPr>
        <w:t>（本模块各知识点的讲授与学习，可以支撑课程目标</w:t>
      </w:r>
      <w:r>
        <w:rPr>
          <w:rFonts w:ascii="宋体" w:hAnsi="宋体"/>
          <w:b/>
          <w:sz w:val="24"/>
          <w:szCs w:val="22"/>
        </w:rPr>
        <w:t>2</w:t>
      </w:r>
      <w:r>
        <w:rPr>
          <w:rFonts w:hint="eastAsia" w:ascii="宋体" w:hAnsi="宋体"/>
          <w:b/>
          <w:sz w:val="24"/>
          <w:szCs w:val="22"/>
        </w:rPr>
        <w:t>、课程目标</w:t>
      </w:r>
      <w:r>
        <w:rPr>
          <w:rFonts w:ascii="宋体" w:hAnsi="宋体"/>
          <w:b/>
          <w:sz w:val="24"/>
          <w:szCs w:val="22"/>
        </w:rPr>
        <w:t>4</w:t>
      </w:r>
      <w:r>
        <w:rPr>
          <w:rFonts w:hint="eastAsia" w:ascii="宋体" w:hAnsi="宋体"/>
          <w:b/>
          <w:sz w:val="24"/>
          <w:szCs w:val="22"/>
        </w:rPr>
        <w:t>）</w:t>
      </w:r>
    </w:p>
    <w:p w14:paraId="0381FBD0">
      <w:pPr>
        <w:spacing w:line="360" w:lineRule="auto"/>
        <w:ind w:firstLine="482" w:firstLineChars="200"/>
        <w:rPr>
          <w:rFonts w:ascii="宋体" w:hAnsi="宋体"/>
          <w:b/>
          <w:sz w:val="24"/>
          <w:szCs w:val="22"/>
        </w:rPr>
      </w:pPr>
      <w:r>
        <w:rPr>
          <w:rFonts w:ascii="宋体" w:hAnsi="宋体"/>
          <w:b/>
          <w:sz w:val="24"/>
          <w:szCs w:val="22"/>
        </w:rPr>
        <w:t>1.教学内容</w:t>
      </w:r>
    </w:p>
    <w:p w14:paraId="78AFD2E8">
      <w:pPr>
        <w:spacing w:line="360" w:lineRule="auto"/>
        <w:ind w:firstLine="480" w:firstLineChars="200"/>
        <w:rPr>
          <w:rFonts w:hint="eastAsia" w:ascii="宋体" w:hAnsi="宋体"/>
          <w:sz w:val="24"/>
          <w:szCs w:val="22"/>
        </w:rPr>
      </w:pPr>
      <w:r>
        <w:rPr>
          <w:rFonts w:hint="eastAsia" w:ascii="宋体" w:hAnsi="宋体"/>
          <w:sz w:val="24"/>
          <w:szCs w:val="22"/>
        </w:rPr>
        <w:t>⑴课堂观察</w:t>
      </w:r>
      <w:r>
        <w:rPr>
          <w:rFonts w:ascii="宋体" w:hAnsi="宋体"/>
          <w:sz w:val="24"/>
          <w:szCs w:val="22"/>
        </w:rPr>
        <w:t>的类型</w:t>
      </w:r>
    </w:p>
    <w:p w14:paraId="57237C53">
      <w:pPr>
        <w:spacing w:line="360" w:lineRule="auto"/>
        <w:ind w:firstLine="480" w:firstLineChars="200"/>
        <w:rPr>
          <w:rFonts w:hint="eastAsia" w:ascii="宋体" w:hAnsi="宋体"/>
          <w:sz w:val="24"/>
          <w:szCs w:val="22"/>
        </w:rPr>
      </w:pPr>
      <w:r>
        <w:rPr>
          <w:rFonts w:hint="eastAsia" w:ascii="宋体" w:hAnsi="宋体"/>
          <w:sz w:val="24"/>
          <w:szCs w:val="22"/>
        </w:rPr>
        <w:t>⑵课堂观察</w:t>
      </w:r>
      <w:r>
        <w:rPr>
          <w:rFonts w:ascii="宋体" w:hAnsi="宋体"/>
          <w:sz w:val="24"/>
          <w:szCs w:val="22"/>
        </w:rPr>
        <w:t>的方法</w:t>
      </w:r>
    </w:p>
    <w:p w14:paraId="193CA1AE">
      <w:pPr>
        <w:spacing w:line="360" w:lineRule="auto"/>
        <w:ind w:firstLine="482" w:firstLineChars="200"/>
        <w:rPr>
          <w:rFonts w:ascii="宋体" w:hAnsi="宋体"/>
          <w:b/>
          <w:sz w:val="24"/>
          <w:szCs w:val="22"/>
        </w:rPr>
      </w:pPr>
      <w:r>
        <w:rPr>
          <w:rFonts w:ascii="宋体" w:hAnsi="宋体"/>
          <w:b/>
          <w:sz w:val="24"/>
          <w:szCs w:val="22"/>
        </w:rPr>
        <w:t>2.基本要求</w:t>
      </w:r>
    </w:p>
    <w:p w14:paraId="7261F9C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了解课堂</w:t>
      </w:r>
      <w:r>
        <w:rPr>
          <w:rFonts w:ascii="宋体" w:hAnsi="宋体"/>
          <w:sz w:val="24"/>
          <w:szCs w:val="22"/>
        </w:rPr>
        <w:t>观察的基本类型</w:t>
      </w:r>
      <w:r>
        <w:rPr>
          <w:rFonts w:hint="eastAsia" w:ascii="宋体" w:hAnsi="宋体"/>
          <w:sz w:val="24"/>
          <w:szCs w:val="22"/>
        </w:rPr>
        <w:t>及</w:t>
      </w:r>
      <w:r>
        <w:rPr>
          <w:rFonts w:ascii="宋体" w:hAnsi="宋体"/>
          <w:sz w:val="24"/>
          <w:szCs w:val="22"/>
        </w:rPr>
        <w:t>特点</w:t>
      </w:r>
    </w:p>
    <w:p w14:paraId="4CC8898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掌握常用</w:t>
      </w:r>
      <w:r>
        <w:rPr>
          <w:rFonts w:ascii="宋体" w:hAnsi="宋体"/>
          <w:sz w:val="24"/>
          <w:szCs w:val="22"/>
        </w:rPr>
        <w:t>的课堂观察方法</w:t>
      </w:r>
    </w:p>
    <w:p w14:paraId="00702673">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51F28B4">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掌握科学</w:t>
      </w:r>
      <w:r>
        <w:rPr>
          <w:rFonts w:ascii="宋体" w:hAnsi="宋体"/>
          <w:sz w:val="24"/>
          <w:szCs w:val="22"/>
        </w:rPr>
        <w:t>、严谨的学习方法</w:t>
      </w:r>
      <w:r>
        <w:rPr>
          <w:rFonts w:hint="eastAsia" w:ascii="宋体" w:hAnsi="宋体"/>
          <w:sz w:val="24"/>
          <w:szCs w:val="22"/>
        </w:rPr>
        <w:t>。</w:t>
      </w:r>
    </w:p>
    <w:p w14:paraId="4B0ADE2D">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养成学习他</w:t>
      </w:r>
      <w:r>
        <w:rPr>
          <w:rFonts w:ascii="宋体" w:hAnsi="宋体"/>
          <w:sz w:val="24"/>
          <w:szCs w:val="22"/>
        </w:rPr>
        <w:t>人先进理念</w:t>
      </w:r>
      <w:r>
        <w:rPr>
          <w:rFonts w:hint="eastAsia" w:ascii="宋体" w:hAnsi="宋体"/>
          <w:sz w:val="24"/>
          <w:szCs w:val="22"/>
        </w:rPr>
        <w:t>和</w:t>
      </w:r>
      <w:r>
        <w:rPr>
          <w:rFonts w:ascii="宋体" w:hAnsi="宋体"/>
          <w:sz w:val="24"/>
          <w:szCs w:val="22"/>
        </w:rPr>
        <w:t>教学经验</w:t>
      </w:r>
      <w:r>
        <w:rPr>
          <w:rFonts w:hint="eastAsia" w:ascii="宋体" w:hAnsi="宋体"/>
          <w:sz w:val="24"/>
          <w:szCs w:val="22"/>
        </w:rPr>
        <w:t>的意识。</w:t>
      </w:r>
    </w:p>
    <w:p w14:paraId="69C408AF">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课堂观察的类型、</w:t>
      </w:r>
      <w:r>
        <w:rPr>
          <w:rFonts w:ascii="宋体" w:hAnsi="宋体"/>
          <w:sz w:val="24"/>
          <w:szCs w:val="22"/>
        </w:rPr>
        <w:t>方法</w:t>
      </w:r>
    </w:p>
    <w:p w14:paraId="7BEE1F0A">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课堂观察的方法</w:t>
      </w:r>
    </w:p>
    <w:p w14:paraId="75D14590">
      <w:pPr>
        <w:spacing w:line="360" w:lineRule="auto"/>
        <w:ind w:firstLine="482" w:firstLineChars="200"/>
        <w:outlineLvl w:val="0"/>
        <w:rPr>
          <w:rFonts w:hint="eastAsia" w:ascii="宋体" w:hAnsi="宋体"/>
          <w:b/>
          <w:sz w:val="24"/>
          <w:szCs w:val="22"/>
        </w:rPr>
      </w:pPr>
      <w:r>
        <w:rPr>
          <w:rFonts w:hint="eastAsia" w:ascii="宋体" w:hAnsi="宋体"/>
          <w:b/>
          <w:sz w:val="24"/>
          <w:szCs w:val="22"/>
        </w:rPr>
        <w:t>（三）课堂观察</w:t>
      </w:r>
      <w:r>
        <w:rPr>
          <w:rFonts w:ascii="宋体" w:hAnsi="宋体"/>
          <w:b/>
          <w:sz w:val="24"/>
          <w:szCs w:val="22"/>
        </w:rPr>
        <w:t>的</w:t>
      </w:r>
      <w:r>
        <w:rPr>
          <w:rFonts w:hint="eastAsia" w:ascii="宋体" w:hAnsi="宋体"/>
          <w:b/>
          <w:sz w:val="24"/>
          <w:szCs w:val="22"/>
        </w:rPr>
        <w:t>实施（本模块各知识点的讲授与学习，可以支撑课程目标</w:t>
      </w:r>
      <w:r>
        <w:rPr>
          <w:rFonts w:ascii="宋体" w:hAnsi="宋体"/>
          <w:b/>
          <w:sz w:val="24"/>
          <w:szCs w:val="22"/>
        </w:rPr>
        <w:t>2</w:t>
      </w:r>
      <w:r>
        <w:rPr>
          <w:rFonts w:hint="eastAsia" w:ascii="宋体" w:hAnsi="宋体"/>
          <w:b/>
          <w:sz w:val="24"/>
          <w:szCs w:val="22"/>
        </w:rPr>
        <w:t>、课程目标</w:t>
      </w:r>
      <w:r>
        <w:rPr>
          <w:rFonts w:ascii="宋体" w:hAnsi="宋体"/>
          <w:b/>
          <w:sz w:val="24"/>
          <w:szCs w:val="22"/>
        </w:rPr>
        <w:t>4</w:t>
      </w:r>
      <w:r>
        <w:rPr>
          <w:rFonts w:hint="eastAsia" w:ascii="宋体" w:hAnsi="宋体"/>
          <w:b/>
          <w:sz w:val="24"/>
          <w:szCs w:val="22"/>
        </w:rPr>
        <w:t>）</w:t>
      </w:r>
    </w:p>
    <w:p w14:paraId="0767CD89">
      <w:pPr>
        <w:spacing w:line="360" w:lineRule="auto"/>
        <w:ind w:firstLine="482" w:firstLineChars="200"/>
        <w:rPr>
          <w:rFonts w:ascii="宋体" w:hAnsi="宋体"/>
          <w:b/>
          <w:sz w:val="24"/>
          <w:szCs w:val="22"/>
        </w:rPr>
      </w:pPr>
      <w:r>
        <w:rPr>
          <w:rFonts w:ascii="宋体" w:hAnsi="宋体"/>
          <w:b/>
          <w:sz w:val="24"/>
          <w:szCs w:val="22"/>
        </w:rPr>
        <w:t>1.教学内容</w:t>
      </w:r>
    </w:p>
    <w:p w14:paraId="6D4D22F2">
      <w:pPr>
        <w:spacing w:line="360" w:lineRule="auto"/>
        <w:ind w:firstLine="480" w:firstLineChars="200"/>
        <w:rPr>
          <w:rFonts w:hint="eastAsia" w:ascii="宋体" w:hAnsi="宋体"/>
          <w:sz w:val="24"/>
          <w:szCs w:val="22"/>
        </w:rPr>
      </w:pPr>
      <w:r>
        <w:rPr>
          <w:rFonts w:hint="eastAsia" w:ascii="宋体" w:hAnsi="宋体"/>
          <w:sz w:val="24"/>
          <w:szCs w:val="22"/>
        </w:rPr>
        <w:t>⑴课堂观察</w:t>
      </w:r>
      <w:r>
        <w:rPr>
          <w:rFonts w:ascii="宋体" w:hAnsi="宋体"/>
          <w:sz w:val="24"/>
          <w:szCs w:val="22"/>
        </w:rPr>
        <w:t>的</w:t>
      </w:r>
      <w:r>
        <w:rPr>
          <w:rFonts w:hint="eastAsia" w:ascii="宋体" w:hAnsi="宋体"/>
          <w:sz w:val="24"/>
          <w:szCs w:val="22"/>
        </w:rPr>
        <w:t>准备</w:t>
      </w:r>
    </w:p>
    <w:p w14:paraId="78112798">
      <w:pPr>
        <w:spacing w:line="360" w:lineRule="auto"/>
        <w:ind w:firstLine="480" w:firstLineChars="200"/>
        <w:rPr>
          <w:rFonts w:ascii="宋体" w:hAnsi="宋体"/>
          <w:sz w:val="24"/>
          <w:szCs w:val="22"/>
        </w:rPr>
      </w:pPr>
      <w:r>
        <w:rPr>
          <w:rFonts w:hint="eastAsia" w:ascii="宋体" w:hAnsi="宋体"/>
          <w:sz w:val="24"/>
          <w:szCs w:val="22"/>
        </w:rPr>
        <w:t>⑵课堂观察</w:t>
      </w:r>
      <w:r>
        <w:rPr>
          <w:rFonts w:ascii="宋体" w:hAnsi="宋体"/>
          <w:sz w:val="24"/>
          <w:szCs w:val="22"/>
        </w:rPr>
        <w:t>的</w:t>
      </w:r>
      <w:r>
        <w:rPr>
          <w:rFonts w:hint="eastAsia" w:ascii="宋体" w:hAnsi="宋体"/>
          <w:sz w:val="24"/>
          <w:szCs w:val="22"/>
        </w:rPr>
        <w:t>具体</w:t>
      </w:r>
      <w:r>
        <w:rPr>
          <w:rFonts w:ascii="宋体" w:hAnsi="宋体"/>
          <w:sz w:val="24"/>
          <w:szCs w:val="22"/>
        </w:rPr>
        <w:t>实施</w:t>
      </w:r>
    </w:p>
    <w:p w14:paraId="0FBEBDE1">
      <w:pPr>
        <w:spacing w:line="360" w:lineRule="auto"/>
        <w:ind w:firstLine="480" w:firstLineChars="200"/>
        <w:rPr>
          <w:rFonts w:hint="eastAsia" w:ascii="宋体" w:hAnsi="宋体"/>
          <w:sz w:val="24"/>
          <w:szCs w:val="22"/>
        </w:rPr>
      </w:pPr>
      <w:r>
        <w:rPr>
          <w:rFonts w:hint="eastAsia" w:ascii="宋体" w:hAnsi="宋体"/>
          <w:sz w:val="24"/>
          <w:szCs w:val="22"/>
        </w:rPr>
        <w:t>⑶课堂</w:t>
      </w:r>
      <w:r>
        <w:rPr>
          <w:rFonts w:ascii="宋体" w:hAnsi="宋体"/>
          <w:sz w:val="24"/>
          <w:szCs w:val="22"/>
        </w:rPr>
        <w:t>观察报告的撰写</w:t>
      </w:r>
    </w:p>
    <w:p w14:paraId="231F5434">
      <w:pPr>
        <w:spacing w:line="360" w:lineRule="auto"/>
        <w:ind w:firstLine="482" w:firstLineChars="200"/>
        <w:rPr>
          <w:rFonts w:ascii="宋体" w:hAnsi="宋体"/>
          <w:b/>
          <w:sz w:val="24"/>
          <w:szCs w:val="22"/>
        </w:rPr>
      </w:pPr>
      <w:r>
        <w:rPr>
          <w:rFonts w:ascii="宋体" w:hAnsi="宋体"/>
          <w:b/>
          <w:sz w:val="24"/>
          <w:szCs w:val="22"/>
        </w:rPr>
        <w:t>2.基本要求</w:t>
      </w:r>
    </w:p>
    <w:p w14:paraId="1DB5BD9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知道如何做好</w:t>
      </w:r>
      <w:r>
        <w:rPr>
          <w:rFonts w:ascii="宋体" w:hAnsi="宋体"/>
          <w:sz w:val="24"/>
          <w:szCs w:val="22"/>
        </w:rPr>
        <w:t>课堂观察</w:t>
      </w:r>
      <w:r>
        <w:rPr>
          <w:rFonts w:hint="eastAsia" w:ascii="宋体" w:hAnsi="宋体"/>
          <w:sz w:val="24"/>
          <w:szCs w:val="22"/>
        </w:rPr>
        <w:t>的准备</w:t>
      </w:r>
    </w:p>
    <w:p w14:paraId="2027F0F2">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能够运用</w:t>
      </w:r>
      <w:r>
        <w:rPr>
          <w:rFonts w:ascii="宋体" w:hAnsi="宋体"/>
          <w:sz w:val="24"/>
          <w:szCs w:val="22"/>
        </w:rPr>
        <w:t>科学的方法开展课堂观察</w:t>
      </w:r>
    </w:p>
    <w:p w14:paraId="588BD315">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能够撰写较</w:t>
      </w:r>
      <w:r>
        <w:rPr>
          <w:rFonts w:ascii="宋体" w:hAnsi="宋体"/>
          <w:sz w:val="24"/>
          <w:szCs w:val="22"/>
        </w:rPr>
        <w:t>为</w:t>
      </w:r>
      <w:r>
        <w:rPr>
          <w:rFonts w:hint="eastAsia" w:ascii="宋体" w:hAnsi="宋体"/>
          <w:sz w:val="24"/>
          <w:szCs w:val="22"/>
        </w:rPr>
        <w:t>全面</w:t>
      </w:r>
      <w:r>
        <w:rPr>
          <w:rFonts w:ascii="宋体" w:hAnsi="宋体"/>
          <w:sz w:val="24"/>
          <w:szCs w:val="22"/>
        </w:rPr>
        <w:t>课堂观察</w:t>
      </w:r>
      <w:r>
        <w:rPr>
          <w:rFonts w:hint="eastAsia" w:ascii="宋体" w:hAnsi="宋体"/>
          <w:sz w:val="24"/>
          <w:szCs w:val="22"/>
        </w:rPr>
        <w:t xml:space="preserve">报告 </w:t>
      </w:r>
    </w:p>
    <w:p w14:paraId="6E71102F">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4B65490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以社会</w:t>
      </w:r>
      <w:r>
        <w:rPr>
          <w:rFonts w:ascii="宋体" w:hAnsi="宋体"/>
          <w:sz w:val="24"/>
          <w:szCs w:val="22"/>
        </w:rPr>
        <w:t>主义核心价值观</w:t>
      </w:r>
      <w:r>
        <w:rPr>
          <w:rFonts w:hint="eastAsia" w:ascii="宋体" w:hAnsi="宋体"/>
          <w:sz w:val="24"/>
          <w:szCs w:val="22"/>
        </w:rPr>
        <w:t>为</w:t>
      </w:r>
      <w:r>
        <w:rPr>
          <w:rFonts w:ascii="宋体" w:hAnsi="宋体"/>
          <w:sz w:val="24"/>
          <w:szCs w:val="22"/>
        </w:rPr>
        <w:t>指导，学习优</w:t>
      </w:r>
      <w:r>
        <w:rPr>
          <w:rFonts w:hint="eastAsia" w:ascii="宋体" w:hAnsi="宋体"/>
          <w:sz w:val="24"/>
          <w:szCs w:val="22"/>
        </w:rPr>
        <w:t>秀</w:t>
      </w:r>
      <w:r>
        <w:rPr>
          <w:rFonts w:ascii="宋体" w:hAnsi="宋体"/>
          <w:sz w:val="24"/>
          <w:szCs w:val="22"/>
        </w:rPr>
        <w:t>教师的教学经验和专业情怀</w:t>
      </w:r>
      <w:r>
        <w:rPr>
          <w:rFonts w:hint="eastAsia" w:ascii="宋体" w:hAnsi="宋体"/>
          <w:sz w:val="24"/>
          <w:szCs w:val="22"/>
        </w:rPr>
        <w:t>。</w:t>
      </w:r>
    </w:p>
    <w:p w14:paraId="48F529A4">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养成踏实</w:t>
      </w:r>
      <w:r>
        <w:rPr>
          <w:rFonts w:ascii="宋体" w:hAnsi="宋体"/>
          <w:sz w:val="24"/>
          <w:szCs w:val="22"/>
        </w:rPr>
        <w:t>、严谨的</w:t>
      </w:r>
      <w:r>
        <w:rPr>
          <w:rFonts w:hint="eastAsia" w:ascii="宋体" w:hAnsi="宋体"/>
          <w:sz w:val="24"/>
          <w:szCs w:val="22"/>
        </w:rPr>
        <w:t>学习</w:t>
      </w:r>
      <w:r>
        <w:rPr>
          <w:rFonts w:ascii="宋体" w:hAnsi="宋体"/>
          <w:sz w:val="24"/>
          <w:szCs w:val="22"/>
        </w:rPr>
        <w:t>习惯。</w:t>
      </w:r>
    </w:p>
    <w:p w14:paraId="6E584144">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课堂观察</w:t>
      </w:r>
      <w:r>
        <w:rPr>
          <w:rFonts w:ascii="宋体" w:hAnsi="宋体"/>
          <w:sz w:val="24"/>
          <w:szCs w:val="22"/>
        </w:rPr>
        <w:t>的具体实施</w:t>
      </w:r>
    </w:p>
    <w:p w14:paraId="4B732225">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课堂观察</w:t>
      </w:r>
      <w:r>
        <w:rPr>
          <w:rFonts w:ascii="宋体" w:hAnsi="宋体"/>
          <w:sz w:val="24"/>
          <w:szCs w:val="22"/>
        </w:rPr>
        <w:t>报告</w:t>
      </w:r>
      <w:r>
        <w:rPr>
          <w:rFonts w:hint="eastAsia" w:ascii="宋体" w:hAnsi="宋体"/>
          <w:sz w:val="24"/>
          <w:szCs w:val="22"/>
        </w:rPr>
        <w:t>的</w:t>
      </w:r>
      <w:r>
        <w:rPr>
          <w:rFonts w:ascii="宋体" w:hAnsi="宋体"/>
          <w:sz w:val="24"/>
          <w:szCs w:val="22"/>
        </w:rPr>
        <w:t>撰写</w:t>
      </w:r>
    </w:p>
    <w:p w14:paraId="1B7B3C21">
      <w:pPr>
        <w:spacing w:line="360" w:lineRule="auto"/>
        <w:ind w:firstLine="482" w:firstLineChars="200"/>
        <w:outlineLvl w:val="0"/>
        <w:rPr>
          <w:rFonts w:ascii="宋体" w:hAnsi="宋体"/>
          <w:b/>
          <w:sz w:val="24"/>
          <w:szCs w:val="22"/>
        </w:rPr>
      </w:pPr>
      <w:r>
        <w:rPr>
          <w:rFonts w:hint="eastAsia" w:ascii="宋体" w:hAnsi="宋体"/>
          <w:b/>
          <w:sz w:val="24"/>
          <w:szCs w:val="22"/>
        </w:rPr>
        <w:t>（四）模拟教学的原则（本模块各知识点的讲授与学习，可以支撑课程目标3、课程目标4）</w:t>
      </w:r>
    </w:p>
    <w:p w14:paraId="084B38FB">
      <w:pPr>
        <w:spacing w:line="360" w:lineRule="auto"/>
        <w:ind w:firstLine="482" w:firstLineChars="200"/>
        <w:rPr>
          <w:rFonts w:ascii="宋体" w:hAnsi="宋体"/>
          <w:b/>
          <w:sz w:val="24"/>
          <w:szCs w:val="22"/>
        </w:rPr>
      </w:pPr>
      <w:r>
        <w:rPr>
          <w:rFonts w:ascii="宋体" w:hAnsi="宋体"/>
          <w:b/>
          <w:sz w:val="24"/>
          <w:szCs w:val="22"/>
        </w:rPr>
        <w:t>1.教学内容</w:t>
      </w:r>
    </w:p>
    <w:p w14:paraId="003CD6FB">
      <w:pPr>
        <w:spacing w:line="360" w:lineRule="auto"/>
        <w:ind w:firstLine="480" w:firstLineChars="200"/>
        <w:rPr>
          <w:rFonts w:hint="eastAsia"/>
          <w:sz w:val="24"/>
        </w:rPr>
      </w:pPr>
      <w:r>
        <w:rPr>
          <w:rFonts w:hint="eastAsia"/>
          <w:sz w:val="24"/>
        </w:rPr>
        <w:t>⑴影响模拟教学的主要</w:t>
      </w:r>
      <w:r>
        <w:rPr>
          <w:sz w:val="24"/>
        </w:rPr>
        <w:t>因素</w:t>
      </w:r>
    </w:p>
    <w:p w14:paraId="0E0D29BC">
      <w:pPr>
        <w:spacing w:line="360" w:lineRule="auto"/>
        <w:ind w:firstLine="480" w:firstLineChars="200"/>
        <w:rPr>
          <w:rFonts w:hint="eastAsia"/>
          <w:sz w:val="24"/>
        </w:rPr>
      </w:pPr>
      <w:r>
        <w:rPr>
          <w:rFonts w:hint="eastAsia"/>
          <w:sz w:val="24"/>
        </w:rPr>
        <w:t>⑵模拟教学的一般原则</w:t>
      </w:r>
    </w:p>
    <w:p w14:paraId="1088D0B7">
      <w:pPr>
        <w:spacing w:line="360" w:lineRule="auto"/>
        <w:ind w:firstLine="482" w:firstLineChars="200"/>
        <w:rPr>
          <w:rFonts w:ascii="宋体" w:hAnsi="宋体"/>
          <w:b/>
          <w:sz w:val="24"/>
          <w:szCs w:val="22"/>
        </w:rPr>
      </w:pPr>
      <w:r>
        <w:rPr>
          <w:rFonts w:ascii="宋体" w:hAnsi="宋体"/>
          <w:b/>
          <w:sz w:val="24"/>
          <w:szCs w:val="22"/>
        </w:rPr>
        <w:t>2.基本要求</w:t>
      </w:r>
    </w:p>
    <w:p w14:paraId="27CE11C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了解影响模拟</w:t>
      </w:r>
      <w:r>
        <w:rPr>
          <w:rFonts w:ascii="宋体" w:hAnsi="宋体"/>
          <w:sz w:val="24"/>
          <w:szCs w:val="22"/>
        </w:rPr>
        <w:t>教学的主要因素</w:t>
      </w:r>
    </w:p>
    <w:p w14:paraId="4F12373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理解模拟</w:t>
      </w:r>
      <w:r>
        <w:rPr>
          <w:rFonts w:ascii="宋体" w:hAnsi="宋体"/>
          <w:sz w:val="24"/>
          <w:szCs w:val="22"/>
        </w:rPr>
        <w:t>教学</w:t>
      </w:r>
      <w:r>
        <w:rPr>
          <w:rFonts w:hint="eastAsia" w:ascii="宋体" w:hAnsi="宋体"/>
          <w:sz w:val="24"/>
          <w:szCs w:val="22"/>
        </w:rPr>
        <w:t>应遵循</w:t>
      </w:r>
      <w:r>
        <w:rPr>
          <w:rFonts w:ascii="宋体" w:hAnsi="宋体"/>
          <w:sz w:val="24"/>
          <w:szCs w:val="22"/>
        </w:rPr>
        <w:t>的一般原则</w:t>
      </w:r>
    </w:p>
    <w:p w14:paraId="3F57CBEC">
      <w:pPr>
        <w:spacing w:line="360" w:lineRule="auto"/>
        <w:ind w:firstLine="480" w:firstLineChars="200"/>
        <w:rPr>
          <w:rFonts w:hint="eastAsia" w:ascii="宋体" w:hAnsi="宋体"/>
          <w:sz w:val="24"/>
          <w:szCs w:val="22"/>
        </w:rPr>
      </w:pPr>
      <w:r>
        <w:rPr>
          <w:rFonts w:hint="eastAsia" w:ascii="宋体" w:hAnsi="宋体"/>
          <w:sz w:val="24"/>
          <w:szCs w:val="22"/>
        </w:rPr>
        <w:t>（3）明确模拟</w:t>
      </w:r>
      <w:r>
        <w:rPr>
          <w:rFonts w:ascii="宋体" w:hAnsi="宋体"/>
          <w:sz w:val="24"/>
          <w:szCs w:val="22"/>
        </w:rPr>
        <w:t>教学的</w:t>
      </w:r>
      <w:r>
        <w:rPr>
          <w:rFonts w:hint="eastAsia" w:ascii="宋体" w:hAnsi="宋体"/>
          <w:sz w:val="24"/>
          <w:szCs w:val="22"/>
        </w:rPr>
        <w:t>基本</w:t>
      </w:r>
      <w:r>
        <w:rPr>
          <w:rFonts w:ascii="宋体" w:hAnsi="宋体"/>
          <w:sz w:val="24"/>
          <w:szCs w:val="22"/>
        </w:rPr>
        <w:t>要求</w:t>
      </w:r>
    </w:p>
    <w:p w14:paraId="3A9FC565">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467E86A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强化学习</w:t>
      </w:r>
      <w:r>
        <w:rPr>
          <w:rFonts w:ascii="宋体" w:hAnsi="宋体"/>
          <w:sz w:val="24"/>
          <w:szCs w:val="22"/>
        </w:rPr>
        <w:t>意识，注重创新精神和实践能力的提升。</w:t>
      </w:r>
    </w:p>
    <w:p w14:paraId="71467662">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提高专业学习</w:t>
      </w:r>
      <w:r>
        <w:rPr>
          <w:rFonts w:ascii="宋体" w:hAnsi="宋体"/>
          <w:sz w:val="24"/>
          <w:szCs w:val="22"/>
        </w:rPr>
        <w:t>的严谨性。</w:t>
      </w:r>
    </w:p>
    <w:p w14:paraId="39344807">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模拟</w:t>
      </w:r>
      <w:r>
        <w:rPr>
          <w:rFonts w:ascii="宋体" w:hAnsi="宋体"/>
          <w:sz w:val="24"/>
          <w:szCs w:val="22"/>
        </w:rPr>
        <w:t>教学的原则</w:t>
      </w:r>
      <w:r>
        <w:rPr>
          <w:rFonts w:hint="eastAsia" w:ascii="宋体" w:hAnsi="宋体"/>
          <w:sz w:val="24"/>
          <w:szCs w:val="22"/>
        </w:rPr>
        <w:t>、</w:t>
      </w:r>
      <w:r>
        <w:rPr>
          <w:rFonts w:ascii="宋体" w:hAnsi="宋体"/>
          <w:sz w:val="24"/>
          <w:szCs w:val="22"/>
        </w:rPr>
        <w:t>要求</w:t>
      </w:r>
    </w:p>
    <w:p w14:paraId="044C6B97">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模拟教学的原则</w:t>
      </w:r>
    </w:p>
    <w:p w14:paraId="13967160">
      <w:pPr>
        <w:spacing w:line="360" w:lineRule="auto"/>
        <w:ind w:firstLine="482" w:firstLineChars="200"/>
        <w:outlineLvl w:val="0"/>
        <w:rPr>
          <w:rFonts w:hint="eastAsia" w:ascii="宋体" w:hAnsi="宋体"/>
          <w:b/>
          <w:sz w:val="24"/>
          <w:szCs w:val="22"/>
        </w:rPr>
      </w:pPr>
      <w:r>
        <w:rPr>
          <w:rFonts w:hint="eastAsia" w:ascii="宋体" w:hAnsi="宋体"/>
          <w:b/>
          <w:sz w:val="24"/>
          <w:szCs w:val="22"/>
        </w:rPr>
        <w:t>（五）模拟教学的流程（本模块各知识点的讲授与学习，可以支撑课程目标3、课程目标4）</w:t>
      </w:r>
    </w:p>
    <w:p w14:paraId="2BBDB014">
      <w:pPr>
        <w:spacing w:line="360" w:lineRule="auto"/>
        <w:ind w:firstLine="482" w:firstLineChars="200"/>
        <w:rPr>
          <w:rFonts w:ascii="宋体" w:hAnsi="宋体"/>
          <w:b/>
          <w:sz w:val="24"/>
          <w:szCs w:val="22"/>
        </w:rPr>
      </w:pPr>
      <w:r>
        <w:rPr>
          <w:rFonts w:ascii="宋体" w:hAnsi="宋体"/>
          <w:b/>
          <w:sz w:val="24"/>
          <w:szCs w:val="22"/>
        </w:rPr>
        <w:t>1.教学内容</w:t>
      </w:r>
    </w:p>
    <w:p w14:paraId="7A863CF7">
      <w:pPr>
        <w:spacing w:line="360" w:lineRule="auto"/>
        <w:ind w:firstLine="480" w:firstLineChars="200"/>
        <w:rPr>
          <w:rFonts w:hint="eastAsia" w:ascii="宋体" w:hAnsi="宋体"/>
          <w:sz w:val="24"/>
          <w:szCs w:val="22"/>
        </w:rPr>
      </w:pPr>
      <w:r>
        <w:rPr>
          <w:rFonts w:hint="eastAsia" w:ascii="宋体" w:hAnsi="宋体"/>
          <w:sz w:val="24"/>
          <w:szCs w:val="22"/>
        </w:rPr>
        <w:t>⑴模拟教学</w:t>
      </w:r>
      <w:r>
        <w:rPr>
          <w:rFonts w:ascii="宋体" w:hAnsi="宋体"/>
          <w:sz w:val="24"/>
          <w:szCs w:val="22"/>
        </w:rPr>
        <w:t>的</w:t>
      </w:r>
      <w:r>
        <w:rPr>
          <w:rFonts w:hint="eastAsia" w:ascii="宋体" w:hAnsi="宋体"/>
          <w:sz w:val="24"/>
          <w:szCs w:val="22"/>
        </w:rPr>
        <w:t>一般流程</w:t>
      </w:r>
    </w:p>
    <w:p w14:paraId="6A0D3461">
      <w:pPr>
        <w:spacing w:line="360" w:lineRule="auto"/>
        <w:ind w:firstLine="480" w:firstLineChars="200"/>
        <w:rPr>
          <w:rFonts w:hint="eastAsia" w:ascii="宋体" w:hAnsi="宋体"/>
          <w:sz w:val="24"/>
          <w:szCs w:val="22"/>
        </w:rPr>
      </w:pPr>
      <w:r>
        <w:rPr>
          <w:rFonts w:hint="eastAsia" w:ascii="宋体" w:hAnsi="宋体"/>
          <w:sz w:val="24"/>
          <w:szCs w:val="22"/>
        </w:rPr>
        <w:t>⑵模拟教学案例分析</w:t>
      </w:r>
    </w:p>
    <w:p w14:paraId="27835399">
      <w:pPr>
        <w:spacing w:line="360" w:lineRule="auto"/>
        <w:ind w:firstLine="482" w:firstLineChars="200"/>
        <w:rPr>
          <w:rFonts w:ascii="宋体" w:hAnsi="宋体"/>
          <w:b/>
          <w:sz w:val="24"/>
          <w:szCs w:val="22"/>
        </w:rPr>
      </w:pPr>
      <w:r>
        <w:rPr>
          <w:rFonts w:ascii="宋体" w:hAnsi="宋体"/>
          <w:b/>
          <w:sz w:val="24"/>
          <w:szCs w:val="22"/>
        </w:rPr>
        <w:t>2.基本要求</w:t>
      </w:r>
    </w:p>
    <w:p w14:paraId="40930925">
      <w:pPr>
        <w:spacing w:line="360" w:lineRule="auto"/>
        <w:ind w:left="105" w:leftChars="50" w:firstLine="360" w:firstLineChars="150"/>
        <w:rPr>
          <w:rFonts w:hint="eastAsia" w:ascii="宋体" w:hAnsi="宋体"/>
          <w:sz w:val="24"/>
          <w:szCs w:val="22"/>
        </w:rPr>
      </w:pPr>
      <w:r>
        <w:rPr>
          <w:rFonts w:ascii="宋体" w:hAnsi="宋体"/>
          <w:sz w:val="24"/>
          <w:szCs w:val="22"/>
        </w:rPr>
        <w:t>（1）</w:t>
      </w:r>
      <w:r>
        <w:rPr>
          <w:rFonts w:hint="eastAsia"/>
          <w:sz w:val="24"/>
        </w:rPr>
        <w:t>了解模拟教学的一般流程</w:t>
      </w:r>
    </w:p>
    <w:p w14:paraId="1033C384">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sz w:val="24"/>
        </w:rPr>
        <w:t>知道如何进行有效的模拟教学</w:t>
      </w:r>
    </w:p>
    <w:p w14:paraId="51156CD7">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sz w:val="24"/>
        </w:rPr>
        <w:t>能较好地进行模拟教学</w:t>
      </w:r>
    </w:p>
    <w:p w14:paraId="01B00FAE">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01EC5E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增强团队</w:t>
      </w:r>
      <w:r>
        <w:rPr>
          <w:rFonts w:ascii="宋体" w:hAnsi="宋体"/>
          <w:sz w:val="24"/>
          <w:szCs w:val="22"/>
        </w:rPr>
        <w:t>合作意识</w:t>
      </w:r>
      <w:r>
        <w:rPr>
          <w:rFonts w:hint="eastAsia" w:ascii="宋体" w:hAnsi="宋体"/>
          <w:sz w:val="24"/>
          <w:szCs w:val="22"/>
        </w:rPr>
        <w:t>与</w:t>
      </w:r>
      <w:r>
        <w:rPr>
          <w:rFonts w:ascii="宋体" w:hAnsi="宋体"/>
          <w:sz w:val="24"/>
          <w:szCs w:val="22"/>
        </w:rPr>
        <w:t>沟通表达能力。</w:t>
      </w:r>
    </w:p>
    <w:p w14:paraId="0E27114F">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养成虚心</w:t>
      </w:r>
      <w:r>
        <w:rPr>
          <w:rFonts w:ascii="宋体" w:hAnsi="宋体"/>
          <w:sz w:val="24"/>
          <w:szCs w:val="22"/>
        </w:rPr>
        <w:t>学习和不断进取的意识</w:t>
      </w:r>
      <w:r>
        <w:rPr>
          <w:rFonts w:hint="eastAsia" w:ascii="宋体" w:hAnsi="宋体"/>
          <w:sz w:val="24"/>
          <w:szCs w:val="22"/>
        </w:rPr>
        <w:t>。</w:t>
      </w:r>
    </w:p>
    <w:p w14:paraId="69E9CB6D">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模拟教学的一般流程</w:t>
      </w:r>
    </w:p>
    <w:p w14:paraId="13136AE3">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模拟教学的一般流程</w:t>
      </w:r>
    </w:p>
    <w:p w14:paraId="051E975E">
      <w:pPr>
        <w:spacing w:line="360" w:lineRule="auto"/>
        <w:ind w:firstLine="482" w:firstLineChars="200"/>
        <w:outlineLvl w:val="0"/>
        <w:rPr>
          <w:rFonts w:ascii="宋体" w:hAnsi="宋体"/>
          <w:b/>
          <w:sz w:val="24"/>
          <w:szCs w:val="22"/>
        </w:rPr>
      </w:pPr>
      <w:r>
        <w:rPr>
          <w:rFonts w:hint="eastAsia" w:ascii="宋体" w:hAnsi="宋体"/>
          <w:b/>
          <w:sz w:val="24"/>
          <w:szCs w:val="22"/>
        </w:rPr>
        <w:t>（六）模拟教学</w:t>
      </w:r>
      <w:r>
        <w:rPr>
          <w:rFonts w:ascii="宋体" w:hAnsi="宋体"/>
          <w:b/>
          <w:sz w:val="24"/>
          <w:szCs w:val="22"/>
        </w:rPr>
        <w:t>的</w:t>
      </w:r>
      <w:r>
        <w:rPr>
          <w:rFonts w:hint="eastAsia" w:ascii="宋体" w:hAnsi="宋体"/>
          <w:b/>
          <w:sz w:val="24"/>
          <w:szCs w:val="22"/>
        </w:rPr>
        <w:t>训练与</w:t>
      </w:r>
      <w:r>
        <w:rPr>
          <w:rFonts w:ascii="宋体" w:hAnsi="宋体"/>
          <w:b/>
          <w:sz w:val="24"/>
          <w:szCs w:val="22"/>
        </w:rPr>
        <w:t>指导</w:t>
      </w:r>
      <w:r>
        <w:rPr>
          <w:rFonts w:hint="eastAsia" w:ascii="宋体" w:hAnsi="宋体"/>
          <w:b/>
          <w:sz w:val="24"/>
          <w:szCs w:val="22"/>
        </w:rPr>
        <w:t>（本模块各知识点的讲授与学习，可以支撑课程目标3、课程目标4）</w:t>
      </w:r>
    </w:p>
    <w:p w14:paraId="15371CFC">
      <w:pPr>
        <w:spacing w:line="360" w:lineRule="auto"/>
        <w:ind w:firstLine="482" w:firstLineChars="200"/>
        <w:rPr>
          <w:rFonts w:ascii="宋体" w:hAnsi="宋体"/>
          <w:b/>
          <w:sz w:val="24"/>
          <w:szCs w:val="22"/>
        </w:rPr>
      </w:pPr>
      <w:r>
        <w:rPr>
          <w:rFonts w:ascii="宋体" w:hAnsi="宋体"/>
          <w:b/>
          <w:sz w:val="24"/>
          <w:szCs w:val="22"/>
        </w:rPr>
        <w:t>1.教学内容</w:t>
      </w:r>
    </w:p>
    <w:p w14:paraId="5502F48A">
      <w:pPr>
        <w:spacing w:line="360" w:lineRule="auto"/>
        <w:ind w:firstLine="480" w:firstLineChars="200"/>
        <w:rPr>
          <w:rFonts w:hint="eastAsia"/>
          <w:sz w:val="24"/>
        </w:rPr>
      </w:pPr>
      <w:r>
        <w:rPr>
          <w:rFonts w:hint="eastAsia"/>
          <w:sz w:val="24"/>
        </w:rPr>
        <w:t>⑴模拟</w:t>
      </w:r>
      <w:r>
        <w:rPr>
          <w:sz w:val="24"/>
        </w:rPr>
        <w:t>教学训练</w:t>
      </w:r>
    </w:p>
    <w:p w14:paraId="1F5A5BEF">
      <w:pPr>
        <w:spacing w:line="360" w:lineRule="auto"/>
        <w:ind w:firstLine="480" w:firstLineChars="200"/>
        <w:rPr>
          <w:rFonts w:hint="eastAsia"/>
          <w:sz w:val="24"/>
        </w:rPr>
      </w:pPr>
      <w:r>
        <w:rPr>
          <w:rFonts w:hint="eastAsia"/>
          <w:sz w:val="24"/>
        </w:rPr>
        <w:t>⑵模拟教学指导</w:t>
      </w:r>
    </w:p>
    <w:p w14:paraId="7021A4A8">
      <w:pPr>
        <w:spacing w:line="360" w:lineRule="auto"/>
        <w:ind w:firstLine="482" w:firstLineChars="200"/>
        <w:rPr>
          <w:rFonts w:ascii="宋体" w:hAnsi="宋体"/>
          <w:b/>
          <w:sz w:val="24"/>
          <w:szCs w:val="22"/>
        </w:rPr>
      </w:pPr>
      <w:r>
        <w:rPr>
          <w:rFonts w:ascii="宋体" w:hAnsi="宋体"/>
          <w:b/>
          <w:sz w:val="24"/>
          <w:szCs w:val="22"/>
        </w:rPr>
        <w:t>2.基本要求</w:t>
      </w:r>
    </w:p>
    <w:p w14:paraId="6CB5C80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能够在</w:t>
      </w:r>
      <w:r>
        <w:rPr>
          <w:rFonts w:ascii="宋体" w:hAnsi="宋体"/>
          <w:sz w:val="24"/>
          <w:szCs w:val="22"/>
        </w:rPr>
        <w:t>理论的指导下开展经常性的模拟教学训练</w:t>
      </w:r>
    </w:p>
    <w:p w14:paraId="67857E3D">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较</w:t>
      </w:r>
      <w:r>
        <w:rPr>
          <w:rFonts w:ascii="宋体" w:hAnsi="宋体"/>
          <w:sz w:val="24"/>
          <w:szCs w:val="22"/>
        </w:rPr>
        <w:t>为熟练地</w:t>
      </w:r>
      <w:r>
        <w:rPr>
          <w:rFonts w:hint="eastAsia" w:ascii="宋体" w:hAnsi="宋体"/>
          <w:sz w:val="24"/>
          <w:szCs w:val="22"/>
        </w:rPr>
        <w:t>掌握模拟</w:t>
      </w:r>
      <w:r>
        <w:rPr>
          <w:rFonts w:ascii="宋体" w:hAnsi="宋体"/>
          <w:sz w:val="24"/>
          <w:szCs w:val="22"/>
        </w:rPr>
        <w:t>教学的</w:t>
      </w:r>
      <w:r>
        <w:rPr>
          <w:rFonts w:hint="eastAsia" w:ascii="宋体" w:hAnsi="宋体"/>
          <w:sz w:val="24"/>
          <w:szCs w:val="22"/>
        </w:rPr>
        <w:t>技能</w:t>
      </w:r>
    </w:p>
    <w:p w14:paraId="2BDC7E43">
      <w:pPr>
        <w:spacing w:line="360" w:lineRule="auto"/>
        <w:ind w:firstLine="480" w:firstLineChars="200"/>
        <w:rPr>
          <w:rFonts w:hint="eastAsia" w:ascii="宋体" w:hAnsi="宋体"/>
          <w:sz w:val="24"/>
          <w:szCs w:val="22"/>
        </w:rPr>
      </w:pPr>
      <w:r>
        <w:rPr>
          <w:rFonts w:hint="eastAsia" w:ascii="宋体" w:hAnsi="宋体"/>
          <w:sz w:val="24"/>
          <w:szCs w:val="22"/>
        </w:rPr>
        <w:t>（3）能</w:t>
      </w:r>
      <w:r>
        <w:rPr>
          <w:rFonts w:ascii="宋体" w:hAnsi="宋体"/>
          <w:sz w:val="24"/>
          <w:szCs w:val="22"/>
        </w:rPr>
        <w:t>虚心听取</w:t>
      </w:r>
      <w:r>
        <w:rPr>
          <w:rFonts w:hint="eastAsia" w:ascii="宋体" w:hAnsi="宋体"/>
          <w:sz w:val="24"/>
          <w:szCs w:val="22"/>
        </w:rPr>
        <w:t>老师</w:t>
      </w:r>
      <w:r>
        <w:rPr>
          <w:rFonts w:ascii="宋体" w:hAnsi="宋体"/>
          <w:sz w:val="24"/>
          <w:szCs w:val="22"/>
        </w:rPr>
        <w:t>和同学们的建议</w:t>
      </w:r>
    </w:p>
    <w:p w14:paraId="36617B3D">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C7D13B0">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增强团队</w:t>
      </w:r>
      <w:r>
        <w:rPr>
          <w:rFonts w:ascii="宋体" w:hAnsi="宋体"/>
          <w:sz w:val="24"/>
          <w:szCs w:val="22"/>
        </w:rPr>
        <w:t>合作</w:t>
      </w:r>
      <w:r>
        <w:rPr>
          <w:rFonts w:hint="eastAsia" w:ascii="宋体" w:hAnsi="宋体"/>
          <w:sz w:val="24"/>
          <w:szCs w:val="22"/>
        </w:rPr>
        <w:t>意识。</w:t>
      </w:r>
    </w:p>
    <w:p w14:paraId="07994ED3">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养成坚持不懈</w:t>
      </w:r>
      <w:r>
        <w:rPr>
          <w:rFonts w:ascii="宋体" w:hAnsi="宋体"/>
          <w:sz w:val="24"/>
          <w:szCs w:val="22"/>
        </w:rPr>
        <w:t>的意志品质</w:t>
      </w:r>
      <w:r>
        <w:rPr>
          <w:rFonts w:hint="eastAsia" w:ascii="宋体" w:hAnsi="宋体"/>
          <w:sz w:val="24"/>
          <w:szCs w:val="22"/>
        </w:rPr>
        <w:t>。</w:t>
      </w:r>
    </w:p>
    <w:p w14:paraId="4B07B1B0">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w:t>
      </w:r>
      <w:r>
        <w:rPr>
          <w:rFonts w:hint="eastAsia" w:ascii="宋体" w:hAnsi="宋体"/>
          <w:sz w:val="24"/>
          <w:szCs w:val="22"/>
        </w:rPr>
        <w:t>以“</w:t>
      </w:r>
      <w:r>
        <w:rPr>
          <w:rFonts w:ascii="宋体" w:hAnsi="宋体"/>
          <w:sz w:val="24"/>
          <w:szCs w:val="22"/>
        </w:rPr>
        <w:t>四有”好老师的标准要求自己，</w:t>
      </w:r>
      <w:r>
        <w:rPr>
          <w:rFonts w:hint="eastAsia" w:ascii="宋体" w:hAnsi="宋体"/>
          <w:sz w:val="24"/>
          <w:szCs w:val="22"/>
        </w:rPr>
        <w:t>进一步</w:t>
      </w:r>
      <w:r>
        <w:rPr>
          <w:rFonts w:ascii="宋体" w:hAnsi="宋体"/>
          <w:sz w:val="24"/>
          <w:szCs w:val="22"/>
        </w:rPr>
        <w:t>巩固专业思想</w:t>
      </w:r>
      <w:r>
        <w:rPr>
          <w:rFonts w:hint="eastAsia" w:ascii="宋体" w:hAnsi="宋体"/>
          <w:sz w:val="24"/>
          <w:szCs w:val="22"/>
        </w:rPr>
        <w:t>。</w:t>
      </w:r>
    </w:p>
    <w:p w14:paraId="69434E25">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模拟教学技能</w:t>
      </w:r>
      <w:r>
        <w:rPr>
          <w:rFonts w:ascii="宋体" w:hAnsi="宋体"/>
          <w:sz w:val="24"/>
          <w:szCs w:val="22"/>
        </w:rPr>
        <w:t>训练</w:t>
      </w:r>
    </w:p>
    <w:p w14:paraId="4274BBB0">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模拟教学技能的</w:t>
      </w:r>
      <w:r>
        <w:rPr>
          <w:rFonts w:ascii="宋体" w:hAnsi="宋体"/>
          <w:sz w:val="24"/>
          <w:szCs w:val="22"/>
        </w:rPr>
        <w:t>提升</w:t>
      </w:r>
    </w:p>
    <w:p w14:paraId="45C1E649">
      <w:pPr>
        <w:spacing w:line="360" w:lineRule="auto"/>
        <w:ind w:firstLine="361" w:firstLineChars="150"/>
        <w:outlineLvl w:val="0"/>
        <w:rPr>
          <w:rFonts w:hint="eastAsia" w:ascii="宋体" w:hAnsi="宋体"/>
          <w:b/>
          <w:sz w:val="24"/>
          <w:szCs w:val="22"/>
        </w:rPr>
      </w:pPr>
      <w:r>
        <w:rPr>
          <w:rFonts w:hint="eastAsia" w:ascii="宋体" w:hAnsi="宋体"/>
          <w:b/>
          <w:sz w:val="24"/>
          <w:szCs w:val="22"/>
        </w:rPr>
        <w:t>（七）模拟教学</w:t>
      </w:r>
      <w:r>
        <w:rPr>
          <w:rFonts w:ascii="宋体" w:hAnsi="宋体"/>
          <w:b/>
          <w:sz w:val="24"/>
          <w:szCs w:val="22"/>
        </w:rPr>
        <w:t>的评价</w:t>
      </w:r>
      <w:r>
        <w:rPr>
          <w:rFonts w:hint="eastAsia" w:ascii="宋体" w:hAnsi="宋体"/>
          <w:b/>
          <w:sz w:val="24"/>
          <w:szCs w:val="22"/>
        </w:rPr>
        <w:t>（本模块各知识点的讲授与学习，可以支撑课程目标</w:t>
      </w:r>
      <w:r>
        <w:rPr>
          <w:rFonts w:ascii="宋体" w:hAnsi="宋体"/>
          <w:b/>
          <w:sz w:val="24"/>
          <w:szCs w:val="22"/>
        </w:rPr>
        <w:t>3</w:t>
      </w:r>
      <w:r>
        <w:rPr>
          <w:rFonts w:hint="eastAsia" w:ascii="宋体" w:hAnsi="宋体"/>
          <w:b/>
          <w:sz w:val="24"/>
          <w:szCs w:val="22"/>
        </w:rPr>
        <w:t>、课程目标4）</w:t>
      </w:r>
    </w:p>
    <w:p w14:paraId="2F761A67">
      <w:pPr>
        <w:spacing w:line="360" w:lineRule="auto"/>
        <w:ind w:firstLine="482" w:firstLineChars="200"/>
        <w:rPr>
          <w:rFonts w:ascii="宋体" w:hAnsi="宋体"/>
          <w:b/>
          <w:sz w:val="24"/>
          <w:szCs w:val="22"/>
        </w:rPr>
      </w:pPr>
      <w:r>
        <w:rPr>
          <w:rFonts w:ascii="宋体" w:hAnsi="宋体"/>
          <w:b/>
          <w:sz w:val="24"/>
          <w:szCs w:val="22"/>
        </w:rPr>
        <w:t>1.教学内容</w:t>
      </w:r>
    </w:p>
    <w:p w14:paraId="2F7F7FDA">
      <w:pPr>
        <w:spacing w:line="360" w:lineRule="auto"/>
        <w:ind w:firstLine="480" w:firstLineChars="200"/>
        <w:rPr>
          <w:rFonts w:hint="eastAsia" w:ascii="宋体" w:hAnsi="宋体"/>
          <w:sz w:val="24"/>
          <w:szCs w:val="22"/>
        </w:rPr>
      </w:pPr>
      <w:r>
        <w:rPr>
          <w:rFonts w:hint="eastAsia" w:ascii="宋体" w:hAnsi="宋体"/>
          <w:sz w:val="24"/>
          <w:szCs w:val="22"/>
        </w:rPr>
        <w:t>⑴模拟教学</w:t>
      </w:r>
      <w:r>
        <w:rPr>
          <w:rFonts w:ascii="宋体" w:hAnsi="宋体"/>
          <w:sz w:val="24"/>
          <w:szCs w:val="22"/>
        </w:rPr>
        <w:t>的评价标准</w:t>
      </w:r>
    </w:p>
    <w:p w14:paraId="04DE6792">
      <w:pPr>
        <w:spacing w:line="360" w:lineRule="auto"/>
        <w:ind w:firstLine="480" w:firstLineChars="200"/>
        <w:rPr>
          <w:rFonts w:hint="eastAsia" w:ascii="宋体" w:hAnsi="宋体"/>
          <w:sz w:val="24"/>
          <w:szCs w:val="22"/>
        </w:rPr>
      </w:pPr>
      <w:r>
        <w:rPr>
          <w:rFonts w:hint="eastAsia" w:ascii="宋体" w:hAnsi="宋体"/>
          <w:sz w:val="24"/>
          <w:szCs w:val="22"/>
        </w:rPr>
        <w:t>⑵模拟教学的</w:t>
      </w:r>
      <w:r>
        <w:rPr>
          <w:rFonts w:ascii="宋体" w:hAnsi="宋体"/>
          <w:sz w:val="24"/>
          <w:szCs w:val="22"/>
        </w:rPr>
        <w:t>评价方法</w:t>
      </w:r>
    </w:p>
    <w:p w14:paraId="5FA9FD25">
      <w:pPr>
        <w:spacing w:line="360" w:lineRule="auto"/>
        <w:ind w:firstLine="482" w:firstLineChars="200"/>
        <w:rPr>
          <w:rFonts w:ascii="宋体" w:hAnsi="宋体"/>
          <w:b/>
          <w:sz w:val="24"/>
          <w:szCs w:val="22"/>
        </w:rPr>
      </w:pPr>
      <w:r>
        <w:rPr>
          <w:rFonts w:ascii="宋体" w:hAnsi="宋体"/>
          <w:b/>
          <w:sz w:val="24"/>
          <w:szCs w:val="22"/>
        </w:rPr>
        <w:t>2.基本要求</w:t>
      </w:r>
    </w:p>
    <w:p w14:paraId="47D462B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明确模拟教学的评价标准</w:t>
      </w:r>
    </w:p>
    <w:p w14:paraId="72CF4F7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知道如何开展模拟教学评价</w:t>
      </w:r>
    </w:p>
    <w:p w14:paraId="018BEB0F">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能在全面评价的基础上进一步改进模拟教学</w:t>
      </w:r>
    </w:p>
    <w:p w14:paraId="3383CAEE">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E6BCD09">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以</w:t>
      </w:r>
      <w:r>
        <w:rPr>
          <w:rFonts w:ascii="宋体" w:hAnsi="宋体"/>
          <w:sz w:val="24"/>
          <w:szCs w:val="22"/>
        </w:rPr>
        <w:t>社会主义核心价值观为依据，</w:t>
      </w:r>
      <w:r>
        <w:rPr>
          <w:rFonts w:hint="eastAsia" w:ascii="宋体" w:hAnsi="宋体"/>
          <w:sz w:val="24"/>
          <w:szCs w:val="22"/>
        </w:rPr>
        <w:t>树立全面</w:t>
      </w:r>
      <w:r>
        <w:rPr>
          <w:rFonts w:ascii="宋体" w:hAnsi="宋体"/>
          <w:sz w:val="24"/>
          <w:szCs w:val="22"/>
        </w:rPr>
        <w:t>的评价</w:t>
      </w:r>
      <w:r>
        <w:rPr>
          <w:rFonts w:hint="eastAsia" w:ascii="宋体" w:hAnsi="宋体"/>
          <w:sz w:val="24"/>
          <w:szCs w:val="22"/>
        </w:rPr>
        <w:t>理念。</w:t>
      </w:r>
    </w:p>
    <w:p w14:paraId="6EAF81D1">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增强团队</w:t>
      </w:r>
      <w:r>
        <w:rPr>
          <w:rFonts w:ascii="宋体" w:hAnsi="宋体"/>
          <w:sz w:val="24"/>
          <w:szCs w:val="22"/>
        </w:rPr>
        <w:t>合作的</w:t>
      </w:r>
      <w:r>
        <w:rPr>
          <w:rFonts w:hint="eastAsia" w:ascii="宋体" w:hAnsi="宋体"/>
          <w:sz w:val="24"/>
          <w:szCs w:val="22"/>
        </w:rPr>
        <w:t>意识。</w:t>
      </w:r>
    </w:p>
    <w:p w14:paraId="018ED7AA">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模拟教学的评价标准和</w:t>
      </w:r>
      <w:r>
        <w:rPr>
          <w:rFonts w:ascii="宋体" w:hAnsi="宋体"/>
          <w:sz w:val="24"/>
          <w:szCs w:val="22"/>
        </w:rPr>
        <w:t>方法</w:t>
      </w:r>
    </w:p>
    <w:p w14:paraId="739CC5AC">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模拟教学的评价方法</w:t>
      </w:r>
    </w:p>
    <w:p w14:paraId="63AC4548">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3792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4BE05E16">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29B37CCB">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7071348D">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0D98024D">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0B60731B">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2354CCCE">
            <w:pPr>
              <w:jc w:val="center"/>
              <w:rPr>
                <w:rFonts w:hint="eastAsia" w:ascii="宋体" w:hAnsi="宋体"/>
                <w:b/>
                <w:szCs w:val="21"/>
              </w:rPr>
            </w:pPr>
            <w:r>
              <w:rPr>
                <w:rFonts w:hint="eastAsia" w:ascii="宋体" w:hAnsi="宋体"/>
                <w:b/>
                <w:szCs w:val="21"/>
              </w:rPr>
              <w:t>实践</w:t>
            </w:r>
          </w:p>
          <w:p w14:paraId="3DCF5C37">
            <w:pPr>
              <w:jc w:val="center"/>
              <w:rPr>
                <w:rFonts w:ascii="宋体" w:hAnsi="宋体"/>
                <w:b/>
                <w:szCs w:val="21"/>
              </w:rPr>
            </w:pPr>
            <w:r>
              <w:rPr>
                <w:rFonts w:ascii="宋体" w:hAnsi="宋体"/>
                <w:b/>
                <w:szCs w:val="21"/>
              </w:rPr>
              <w:t>学时</w:t>
            </w:r>
          </w:p>
        </w:tc>
      </w:tr>
      <w:tr w14:paraId="66BB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5A3F62D1">
            <w:pPr>
              <w:jc w:val="center"/>
              <w:rPr>
                <w:rFonts w:ascii="宋体" w:hAnsi="宋体"/>
                <w:szCs w:val="21"/>
              </w:rPr>
            </w:pPr>
            <w:r>
              <w:rPr>
                <w:rFonts w:hint="eastAsia" w:ascii="宋体" w:hAnsi="宋体"/>
                <w:szCs w:val="21"/>
              </w:rPr>
              <w:t>1</w:t>
            </w:r>
          </w:p>
        </w:tc>
        <w:tc>
          <w:tcPr>
            <w:tcW w:w="4110" w:type="dxa"/>
            <w:shd w:val="clear" w:color="auto" w:fill="FFFFFF"/>
            <w:noWrap w:val="0"/>
            <w:vAlign w:val="center"/>
          </w:tcPr>
          <w:p w14:paraId="0B7DB614">
            <w:pPr>
              <w:spacing w:line="360" w:lineRule="auto"/>
              <w:jc w:val="center"/>
              <w:rPr>
                <w:rFonts w:hint="eastAsia" w:ascii="宋体" w:hAnsi="宋体" w:cs="宋体"/>
                <w:kern w:val="0"/>
                <w:szCs w:val="21"/>
              </w:rPr>
            </w:pPr>
            <w:r>
              <w:rPr>
                <w:rFonts w:hint="eastAsia" w:ascii="宋体" w:hAnsi="宋体" w:cs="宋体"/>
                <w:kern w:val="0"/>
                <w:szCs w:val="21"/>
              </w:rPr>
              <w:t>课堂观察与模拟教学概述</w:t>
            </w:r>
          </w:p>
        </w:tc>
        <w:tc>
          <w:tcPr>
            <w:tcW w:w="1701" w:type="dxa"/>
            <w:shd w:val="clear" w:color="auto" w:fill="FFFFFF"/>
            <w:noWrap w:val="0"/>
            <w:vAlign w:val="center"/>
          </w:tcPr>
          <w:p w14:paraId="64D9421A">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20BD0810">
            <w:pPr>
              <w:jc w:val="center"/>
              <w:rPr>
                <w:rFonts w:hint="eastAsia" w:ascii="宋体" w:hAnsi="宋体"/>
                <w:szCs w:val="21"/>
              </w:rPr>
            </w:pPr>
            <w:r>
              <w:rPr>
                <w:rFonts w:ascii="宋体" w:hAnsi="宋体"/>
                <w:kern w:val="0"/>
                <w:szCs w:val="21"/>
              </w:rPr>
              <w:t>4-2</w:t>
            </w:r>
            <w:r>
              <w:rPr>
                <w:rFonts w:hint="eastAsia" w:ascii="宋体" w:hAnsi="宋体"/>
                <w:kern w:val="0"/>
                <w:szCs w:val="21"/>
              </w:rPr>
              <w:t>、</w:t>
            </w:r>
            <w:r>
              <w:rPr>
                <w:rFonts w:ascii="宋体" w:hAnsi="宋体"/>
                <w:kern w:val="0"/>
                <w:szCs w:val="21"/>
              </w:rPr>
              <w:t>4</w:t>
            </w:r>
            <w:r>
              <w:rPr>
                <w:rFonts w:hint="eastAsia" w:ascii="宋体" w:hAnsi="宋体"/>
                <w:kern w:val="0"/>
                <w:szCs w:val="21"/>
              </w:rPr>
              <w:t>-</w:t>
            </w:r>
            <w:r>
              <w:rPr>
                <w:rFonts w:ascii="宋体" w:hAnsi="宋体"/>
                <w:kern w:val="0"/>
                <w:szCs w:val="21"/>
              </w:rPr>
              <w:t>4</w:t>
            </w:r>
          </w:p>
        </w:tc>
        <w:tc>
          <w:tcPr>
            <w:tcW w:w="708" w:type="dxa"/>
            <w:gridSpan w:val="2"/>
            <w:shd w:val="clear" w:color="auto" w:fill="FFFFFF"/>
            <w:noWrap w:val="0"/>
            <w:vAlign w:val="center"/>
          </w:tcPr>
          <w:p w14:paraId="674A34D0">
            <w:pPr>
              <w:jc w:val="center"/>
              <w:rPr>
                <w:rFonts w:ascii="宋体" w:hAnsi="宋体"/>
                <w:kern w:val="0"/>
                <w:szCs w:val="21"/>
              </w:rPr>
            </w:pPr>
            <w:r>
              <w:rPr>
                <w:rFonts w:hint="eastAsia" w:ascii="宋体" w:hAnsi="宋体"/>
                <w:kern w:val="0"/>
                <w:szCs w:val="21"/>
              </w:rPr>
              <w:t>2</w:t>
            </w:r>
          </w:p>
        </w:tc>
        <w:tc>
          <w:tcPr>
            <w:tcW w:w="709" w:type="dxa"/>
            <w:shd w:val="clear" w:color="auto" w:fill="FFFFFF"/>
            <w:noWrap w:val="0"/>
            <w:vAlign w:val="center"/>
          </w:tcPr>
          <w:p w14:paraId="4335917C">
            <w:pPr>
              <w:jc w:val="center"/>
              <w:rPr>
                <w:rFonts w:ascii="宋体" w:hAnsi="宋体"/>
                <w:kern w:val="0"/>
                <w:szCs w:val="21"/>
              </w:rPr>
            </w:pPr>
            <w:r>
              <w:rPr>
                <w:rFonts w:ascii="宋体" w:hAnsi="宋体"/>
                <w:kern w:val="0"/>
                <w:szCs w:val="21"/>
              </w:rPr>
              <w:t>2</w:t>
            </w:r>
          </w:p>
        </w:tc>
      </w:tr>
      <w:tr w14:paraId="51BC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604C616F">
            <w:pPr>
              <w:jc w:val="center"/>
              <w:rPr>
                <w:rFonts w:ascii="宋体" w:hAnsi="宋体"/>
                <w:szCs w:val="21"/>
              </w:rPr>
            </w:pPr>
            <w:r>
              <w:rPr>
                <w:rFonts w:hint="eastAsia" w:ascii="宋体" w:hAnsi="宋体"/>
                <w:szCs w:val="21"/>
              </w:rPr>
              <w:t>2</w:t>
            </w:r>
          </w:p>
        </w:tc>
        <w:tc>
          <w:tcPr>
            <w:tcW w:w="4110" w:type="dxa"/>
            <w:noWrap w:val="0"/>
            <w:vAlign w:val="center"/>
          </w:tcPr>
          <w:p w14:paraId="060D7E40">
            <w:pPr>
              <w:jc w:val="center"/>
            </w:pPr>
            <w:r>
              <w:rPr>
                <w:rFonts w:hint="eastAsia"/>
              </w:rPr>
              <w:t>课堂观察的类型与方法</w:t>
            </w:r>
          </w:p>
        </w:tc>
        <w:tc>
          <w:tcPr>
            <w:tcW w:w="1701" w:type="dxa"/>
            <w:noWrap w:val="0"/>
            <w:vAlign w:val="center"/>
          </w:tcPr>
          <w:p w14:paraId="18A2FD47">
            <w:pPr>
              <w:jc w:val="center"/>
              <w:rPr>
                <w:rFonts w:hint="eastAsia" w:ascii="宋体" w:hAnsi="宋体"/>
                <w:szCs w:val="21"/>
              </w:rPr>
            </w:pPr>
            <w:r>
              <w:rPr>
                <w:rFonts w:hint="eastAsia" w:ascii="宋体" w:hAnsi="宋体"/>
                <w:kern w:val="0"/>
                <w:szCs w:val="21"/>
              </w:rPr>
              <w:t>目标</w:t>
            </w:r>
            <w:r>
              <w:rPr>
                <w:rFonts w:ascii="宋体" w:hAnsi="宋体"/>
                <w:kern w:val="0"/>
                <w:szCs w:val="21"/>
              </w:rPr>
              <w:t>2</w:t>
            </w:r>
            <w:r>
              <w:rPr>
                <w:rFonts w:hint="eastAsia" w:ascii="宋体" w:hAnsi="宋体"/>
                <w:kern w:val="0"/>
                <w:szCs w:val="21"/>
              </w:rPr>
              <w:t>、4</w:t>
            </w:r>
          </w:p>
        </w:tc>
        <w:tc>
          <w:tcPr>
            <w:tcW w:w="1418" w:type="dxa"/>
            <w:noWrap w:val="0"/>
            <w:vAlign w:val="center"/>
          </w:tcPr>
          <w:p w14:paraId="6BF95F74">
            <w:pPr>
              <w:jc w:val="center"/>
              <w:rPr>
                <w:rFonts w:hint="eastAsia" w:ascii="宋体" w:hAnsi="宋体"/>
                <w:kern w:val="0"/>
                <w:szCs w:val="21"/>
              </w:rPr>
            </w:pPr>
            <w:r>
              <w:rPr>
                <w:rFonts w:ascii="宋体" w:hAnsi="宋体"/>
                <w:kern w:val="0"/>
                <w:szCs w:val="21"/>
              </w:rPr>
              <w:t>4-2</w:t>
            </w:r>
            <w:r>
              <w:rPr>
                <w:rFonts w:hint="eastAsia" w:ascii="宋体" w:hAnsi="宋体"/>
                <w:kern w:val="0"/>
                <w:szCs w:val="21"/>
              </w:rPr>
              <w:t>、4-3</w:t>
            </w:r>
          </w:p>
          <w:p w14:paraId="68E376B5">
            <w:pPr>
              <w:jc w:val="center"/>
              <w:rPr>
                <w:rFonts w:hint="eastAsia" w:ascii="宋体" w:hAnsi="宋体"/>
                <w:szCs w:val="21"/>
              </w:rPr>
            </w:pPr>
            <w:r>
              <w:rPr>
                <w:rFonts w:hint="eastAsia" w:ascii="宋体" w:hAnsi="宋体"/>
                <w:szCs w:val="21"/>
              </w:rPr>
              <w:t>4-4、8-1</w:t>
            </w:r>
          </w:p>
        </w:tc>
        <w:tc>
          <w:tcPr>
            <w:tcW w:w="708" w:type="dxa"/>
            <w:gridSpan w:val="2"/>
            <w:noWrap w:val="0"/>
            <w:vAlign w:val="center"/>
          </w:tcPr>
          <w:p w14:paraId="3FB88EE7">
            <w:pPr>
              <w:jc w:val="center"/>
              <w:rPr>
                <w:rFonts w:ascii="宋体" w:hAnsi="宋体"/>
                <w:kern w:val="0"/>
                <w:szCs w:val="21"/>
              </w:rPr>
            </w:pPr>
            <w:r>
              <w:rPr>
                <w:rFonts w:ascii="宋体" w:hAnsi="宋体"/>
                <w:kern w:val="0"/>
                <w:szCs w:val="21"/>
              </w:rPr>
              <w:t>2</w:t>
            </w:r>
          </w:p>
        </w:tc>
        <w:tc>
          <w:tcPr>
            <w:tcW w:w="709" w:type="dxa"/>
            <w:noWrap w:val="0"/>
            <w:vAlign w:val="center"/>
          </w:tcPr>
          <w:p w14:paraId="43E50249">
            <w:pPr>
              <w:jc w:val="center"/>
              <w:rPr>
                <w:rFonts w:ascii="宋体" w:hAnsi="宋体"/>
                <w:kern w:val="0"/>
                <w:szCs w:val="21"/>
              </w:rPr>
            </w:pPr>
          </w:p>
        </w:tc>
      </w:tr>
      <w:tr w14:paraId="0B11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6198177F">
            <w:pPr>
              <w:jc w:val="center"/>
              <w:rPr>
                <w:rFonts w:ascii="宋体" w:hAnsi="宋体"/>
                <w:szCs w:val="21"/>
              </w:rPr>
            </w:pPr>
            <w:r>
              <w:rPr>
                <w:rFonts w:hint="eastAsia" w:ascii="宋体" w:hAnsi="宋体"/>
                <w:szCs w:val="21"/>
              </w:rPr>
              <w:t>3</w:t>
            </w:r>
          </w:p>
        </w:tc>
        <w:tc>
          <w:tcPr>
            <w:tcW w:w="4110" w:type="dxa"/>
            <w:noWrap w:val="0"/>
            <w:vAlign w:val="center"/>
          </w:tcPr>
          <w:p w14:paraId="2110A893">
            <w:pPr>
              <w:jc w:val="center"/>
            </w:pPr>
            <w:r>
              <w:rPr>
                <w:rFonts w:hint="eastAsia"/>
              </w:rPr>
              <w:t>课堂观察的实施</w:t>
            </w:r>
          </w:p>
        </w:tc>
        <w:tc>
          <w:tcPr>
            <w:tcW w:w="1701" w:type="dxa"/>
            <w:noWrap w:val="0"/>
            <w:vAlign w:val="center"/>
          </w:tcPr>
          <w:p w14:paraId="236887D6">
            <w:pPr>
              <w:jc w:val="center"/>
              <w:rPr>
                <w:rFonts w:hint="eastAsia" w:ascii="宋体" w:hAnsi="宋体"/>
                <w:szCs w:val="21"/>
              </w:rPr>
            </w:pPr>
            <w:r>
              <w:rPr>
                <w:rFonts w:hint="eastAsia" w:ascii="宋体" w:hAnsi="宋体"/>
                <w:kern w:val="0"/>
                <w:szCs w:val="21"/>
              </w:rPr>
              <w:t>目标</w:t>
            </w:r>
            <w:r>
              <w:rPr>
                <w:rFonts w:ascii="宋体" w:hAnsi="宋体"/>
                <w:kern w:val="0"/>
                <w:szCs w:val="21"/>
              </w:rPr>
              <w:t>2</w:t>
            </w:r>
            <w:r>
              <w:rPr>
                <w:rFonts w:hint="eastAsia" w:ascii="宋体" w:hAnsi="宋体"/>
                <w:kern w:val="0"/>
                <w:szCs w:val="21"/>
              </w:rPr>
              <w:t>、4</w:t>
            </w:r>
          </w:p>
        </w:tc>
        <w:tc>
          <w:tcPr>
            <w:tcW w:w="1418" w:type="dxa"/>
            <w:noWrap w:val="0"/>
            <w:vAlign w:val="center"/>
          </w:tcPr>
          <w:p w14:paraId="4FB340DE">
            <w:pPr>
              <w:jc w:val="center"/>
              <w:rPr>
                <w:rFonts w:hint="eastAsia" w:ascii="宋体" w:hAnsi="宋体"/>
                <w:kern w:val="0"/>
                <w:szCs w:val="21"/>
              </w:rPr>
            </w:pPr>
            <w:r>
              <w:rPr>
                <w:rFonts w:ascii="宋体" w:hAnsi="宋体"/>
                <w:kern w:val="0"/>
                <w:szCs w:val="21"/>
              </w:rPr>
              <w:t>4-2</w:t>
            </w:r>
            <w:r>
              <w:rPr>
                <w:rFonts w:hint="eastAsia" w:ascii="宋体" w:hAnsi="宋体"/>
                <w:kern w:val="0"/>
                <w:szCs w:val="21"/>
              </w:rPr>
              <w:t>、4-3</w:t>
            </w:r>
          </w:p>
          <w:p w14:paraId="59F5A5A2">
            <w:pPr>
              <w:jc w:val="center"/>
              <w:rPr>
                <w:rFonts w:hint="eastAsia" w:ascii="宋体" w:hAnsi="宋体"/>
                <w:szCs w:val="21"/>
              </w:rPr>
            </w:pPr>
            <w:r>
              <w:rPr>
                <w:rFonts w:hint="eastAsia" w:ascii="宋体" w:hAnsi="宋体"/>
                <w:szCs w:val="21"/>
              </w:rPr>
              <w:t>4-4、8-1</w:t>
            </w:r>
          </w:p>
        </w:tc>
        <w:tc>
          <w:tcPr>
            <w:tcW w:w="708" w:type="dxa"/>
            <w:gridSpan w:val="2"/>
            <w:noWrap w:val="0"/>
            <w:vAlign w:val="center"/>
          </w:tcPr>
          <w:p w14:paraId="1AF55E6B">
            <w:pPr>
              <w:jc w:val="center"/>
              <w:rPr>
                <w:rFonts w:ascii="宋体" w:hAnsi="宋体"/>
                <w:kern w:val="0"/>
                <w:szCs w:val="21"/>
              </w:rPr>
            </w:pPr>
            <w:r>
              <w:rPr>
                <w:rFonts w:ascii="宋体" w:hAnsi="宋体"/>
                <w:kern w:val="0"/>
                <w:szCs w:val="21"/>
              </w:rPr>
              <w:t>4</w:t>
            </w:r>
          </w:p>
        </w:tc>
        <w:tc>
          <w:tcPr>
            <w:tcW w:w="709" w:type="dxa"/>
            <w:noWrap w:val="0"/>
            <w:vAlign w:val="center"/>
          </w:tcPr>
          <w:p w14:paraId="3B47F0B0">
            <w:pPr>
              <w:jc w:val="center"/>
              <w:rPr>
                <w:rFonts w:ascii="宋体" w:hAnsi="宋体"/>
                <w:kern w:val="0"/>
                <w:szCs w:val="21"/>
              </w:rPr>
            </w:pPr>
            <w:r>
              <w:rPr>
                <w:rFonts w:ascii="宋体" w:hAnsi="宋体"/>
                <w:kern w:val="0"/>
                <w:szCs w:val="21"/>
              </w:rPr>
              <w:t>6</w:t>
            </w:r>
          </w:p>
        </w:tc>
      </w:tr>
      <w:tr w14:paraId="1B80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793383A8">
            <w:pPr>
              <w:jc w:val="center"/>
              <w:rPr>
                <w:rFonts w:ascii="宋体" w:hAnsi="宋体"/>
                <w:szCs w:val="21"/>
              </w:rPr>
            </w:pPr>
            <w:r>
              <w:rPr>
                <w:rFonts w:hint="eastAsia" w:ascii="宋体" w:hAnsi="宋体"/>
                <w:szCs w:val="21"/>
              </w:rPr>
              <w:t>4</w:t>
            </w:r>
          </w:p>
        </w:tc>
        <w:tc>
          <w:tcPr>
            <w:tcW w:w="4110" w:type="dxa"/>
            <w:noWrap w:val="0"/>
            <w:vAlign w:val="center"/>
          </w:tcPr>
          <w:p w14:paraId="1F3C46D9">
            <w:pPr>
              <w:jc w:val="center"/>
            </w:pPr>
            <w:r>
              <w:rPr>
                <w:rFonts w:hint="eastAsia"/>
              </w:rPr>
              <w:t>模拟教学的原则</w:t>
            </w:r>
          </w:p>
        </w:tc>
        <w:tc>
          <w:tcPr>
            <w:tcW w:w="1701" w:type="dxa"/>
            <w:noWrap w:val="0"/>
            <w:vAlign w:val="center"/>
          </w:tcPr>
          <w:p w14:paraId="627B5761">
            <w:pPr>
              <w:jc w:val="center"/>
              <w:rPr>
                <w:rFonts w:ascii="宋体" w:hAnsi="宋体"/>
                <w:szCs w:val="21"/>
              </w:rPr>
            </w:pPr>
            <w:r>
              <w:rPr>
                <w:rFonts w:hint="eastAsia" w:ascii="宋体" w:hAnsi="宋体"/>
                <w:kern w:val="0"/>
                <w:szCs w:val="21"/>
              </w:rPr>
              <w:t>目标3、4</w:t>
            </w:r>
          </w:p>
        </w:tc>
        <w:tc>
          <w:tcPr>
            <w:tcW w:w="1418" w:type="dxa"/>
            <w:noWrap w:val="0"/>
            <w:vAlign w:val="center"/>
          </w:tcPr>
          <w:p w14:paraId="17EEFDBE">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326AFEBD">
            <w:pPr>
              <w:jc w:val="center"/>
              <w:rPr>
                <w:rFonts w:ascii="宋体" w:hAnsi="宋体"/>
                <w:szCs w:val="21"/>
              </w:rPr>
            </w:pPr>
            <w:r>
              <w:rPr>
                <w:rFonts w:hint="eastAsia" w:ascii="宋体" w:hAnsi="宋体"/>
                <w:kern w:val="0"/>
                <w:szCs w:val="21"/>
              </w:rPr>
              <w:t>4-3、</w:t>
            </w:r>
            <w:r>
              <w:rPr>
                <w:rFonts w:hint="eastAsia" w:ascii="宋体" w:hAnsi="宋体"/>
                <w:szCs w:val="21"/>
              </w:rPr>
              <w:t>4-4</w:t>
            </w:r>
          </w:p>
          <w:p w14:paraId="276C3503">
            <w:pPr>
              <w:jc w:val="center"/>
              <w:rPr>
                <w:rFonts w:hint="eastAsia" w:ascii="宋体" w:hAnsi="宋体"/>
                <w:szCs w:val="21"/>
              </w:rPr>
            </w:pPr>
            <w:r>
              <w:rPr>
                <w:rFonts w:hint="eastAsia" w:ascii="宋体" w:hAnsi="宋体"/>
                <w:szCs w:val="21"/>
              </w:rPr>
              <w:t>8-1</w:t>
            </w:r>
          </w:p>
        </w:tc>
        <w:tc>
          <w:tcPr>
            <w:tcW w:w="708" w:type="dxa"/>
            <w:gridSpan w:val="2"/>
            <w:noWrap w:val="0"/>
            <w:vAlign w:val="center"/>
          </w:tcPr>
          <w:p w14:paraId="40E3162A">
            <w:pPr>
              <w:jc w:val="center"/>
              <w:rPr>
                <w:rFonts w:ascii="宋体" w:hAnsi="宋体"/>
                <w:kern w:val="0"/>
                <w:szCs w:val="21"/>
              </w:rPr>
            </w:pPr>
            <w:r>
              <w:rPr>
                <w:rFonts w:hint="eastAsia" w:ascii="宋体" w:hAnsi="宋体"/>
                <w:kern w:val="0"/>
                <w:szCs w:val="21"/>
              </w:rPr>
              <w:t>2</w:t>
            </w:r>
          </w:p>
        </w:tc>
        <w:tc>
          <w:tcPr>
            <w:tcW w:w="709" w:type="dxa"/>
            <w:noWrap w:val="0"/>
            <w:vAlign w:val="center"/>
          </w:tcPr>
          <w:p w14:paraId="1FB4F094">
            <w:pPr>
              <w:jc w:val="center"/>
              <w:rPr>
                <w:rFonts w:ascii="宋体" w:hAnsi="宋体"/>
                <w:kern w:val="0"/>
                <w:szCs w:val="21"/>
              </w:rPr>
            </w:pPr>
          </w:p>
        </w:tc>
      </w:tr>
      <w:tr w14:paraId="5570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noWrap w:val="0"/>
            <w:vAlign w:val="center"/>
          </w:tcPr>
          <w:p w14:paraId="3AD5C35F">
            <w:pPr>
              <w:jc w:val="center"/>
              <w:rPr>
                <w:rFonts w:ascii="宋体" w:hAnsi="宋体"/>
                <w:szCs w:val="21"/>
              </w:rPr>
            </w:pPr>
            <w:r>
              <w:rPr>
                <w:rFonts w:hint="eastAsia" w:ascii="宋体" w:hAnsi="宋体"/>
                <w:szCs w:val="21"/>
              </w:rPr>
              <w:t>5</w:t>
            </w:r>
          </w:p>
        </w:tc>
        <w:tc>
          <w:tcPr>
            <w:tcW w:w="4110" w:type="dxa"/>
            <w:noWrap w:val="0"/>
            <w:vAlign w:val="center"/>
          </w:tcPr>
          <w:p w14:paraId="4A746855">
            <w:pPr>
              <w:jc w:val="center"/>
            </w:pPr>
            <w:r>
              <w:rPr>
                <w:rFonts w:hint="eastAsia"/>
              </w:rPr>
              <w:t>模拟教学的流程</w:t>
            </w:r>
          </w:p>
        </w:tc>
        <w:tc>
          <w:tcPr>
            <w:tcW w:w="1701" w:type="dxa"/>
            <w:noWrap w:val="0"/>
            <w:vAlign w:val="center"/>
          </w:tcPr>
          <w:p w14:paraId="1A76311D">
            <w:pPr>
              <w:jc w:val="center"/>
              <w:rPr>
                <w:rFonts w:ascii="宋体" w:hAnsi="宋体"/>
                <w:szCs w:val="21"/>
              </w:rPr>
            </w:pPr>
            <w:r>
              <w:rPr>
                <w:rFonts w:hint="eastAsia" w:ascii="宋体" w:hAnsi="宋体"/>
                <w:kern w:val="0"/>
                <w:szCs w:val="21"/>
              </w:rPr>
              <w:t>目标3、4</w:t>
            </w:r>
          </w:p>
        </w:tc>
        <w:tc>
          <w:tcPr>
            <w:tcW w:w="1418" w:type="dxa"/>
            <w:noWrap w:val="0"/>
            <w:vAlign w:val="center"/>
          </w:tcPr>
          <w:p w14:paraId="7F058223">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6190F06D">
            <w:pPr>
              <w:jc w:val="center"/>
              <w:rPr>
                <w:rFonts w:ascii="宋体" w:hAnsi="宋体"/>
                <w:szCs w:val="21"/>
              </w:rPr>
            </w:pPr>
            <w:r>
              <w:rPr>
                <w:rFonts w:hint="eastAsia" w:ascii="宋体" w:hAnsi="宋体"/>
                <w:kern w:val="0"/>
                <w:szCs w:val="21"/>
              </w:rPr>
              <w:t>4-3、</w:t>
            </w:r>
            <w:r>
              <w:rPr>
                <w:rFonts w:hint="eastAsia" w:ascii="宋体" w:hAnsi="宋体"/>
                <w:szCs w:val="21"/>
              </w:rPr>
              <w:t>4-4</w:t>
            </w:r>
          </w:p>
          <w:p w14:paraId="7AC2D5BC">
            <w:pPr>
              <w:jc w:val="center"/>
              <w:rPr>
                <w:rFonts w:hint="eastAsia" w:ascii="宋体" w:hAnsi="宋体"/>
                <w:szCs w:val="21"/>
              </w:rPr>
            </w:pPr>
            <w:r>
              <w:rPr>
                <w:rFonts w:hint="eastAsia" w:ascii="宋体" w:hAnsi="宋体"/>
                <w:szCs w:val="21"/>
              </w:rPr>
              <w:t>8-1</w:t>
            </w:r>
          </w:p>
        </w:tc>
        <w:tc>
          <w:tcPr>
            <w:tcW w:w="708" w:type="dxa"/>
            <w:gridSpan w:val="2"/>
            <w:noWrap w:val="0"/>
            <w:vAlign w:val="center"/>
          </w:tcPr>
          <w:p w14:paraId="5D20306C">
            <w:pPr>
              <w:jc w:val="center"/>
              <w:rPr>
                <w:rFonts w:ascii="宋体" w:hAnsi="宋体"/>
                <w:kern w:val="0"/>
                <w:szCs w:val="21"/>
              </w:rPr>
            </w:pPr>
            <w:r>
              <w:rPr>
                <w:rFonts w:ascii="宋体" w:hAnsi="宋体"/>
                <w:kern w:val="0"/>
                <w:szCs w:val="21"/>
              </w:rPr>
              <w:t>2</w:t>
            </w:r>
          </w:p>
        </w:tc>
        <w:tc>
          <w:tcPr>
            <w:tcW w:w="709" w:type="dxa"/>
            <w:noWrap w:val="0"/>
            <w:vAlign w:val="center"/>
          </w:tcPr>
          <w:p w14:paraId="562AD1AF">
            <w:pPr>
              <w:jc w:val="center"/>
              <w:rPr>
                <w:rFonts w:ascii="宋体" w:hAnsi="宋体"/>
                <w:kern w:val="0"/>
                <w:szCs w:val="21"/>
              </w:rPr>
            </w:pPr>
          </w:p>
        </w:tc>
      </w:tr>
      <w:tr w14:paraId="1A07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1BF39C3A">
            <w:pPr>
              <w:jc w:val="center"/>
              <w:rPr>
                <w:rFonts w:ascii="宋体" w:hAnsi="宋体"/>
                <w:szCs w:val="21"/>
              </w:rPr>
            </w:pPr>
            <w:r>
              <w:rPr>
                <w:rFonts w:hint="eastAsia" w:ascii="宋体" w:hAnsi="宋体"/>
                <w:szCs w:val="21"/>
              </w:rPr>
              <w:t>6</w:t>
            </w:r>
          </w:p>
        </w:tc>
        <w:tc>
          <w:tcPr>
            <w:tcW w:w="4110" w:type="dxa"/>
            <w:noWrap w:val="0"/>
            <w:vAlign w:val="center"/>
          </w:tcPr>
          <w:p w14:paraId="489E92ED">
            <w:pPr>
              <w:jc w:val="center"/>
            </w:pPr>
            <w:r>
              <w:rPr>
                <w:rFonts w:hint="eastAsia"/>
              </w:rPr>
              <w:t>模拟教学的训练与指导</w:t>
            </w:r>
          </w:p>
        </w:tc>
        <w:tc>
          <w:tcPr>
            <w:tcW w:w="1701" w:type="dxa"/>
            <w:noWrap w:val="0"/>
            <w:vAlign w:val="center"/>
          </w:tcPr>
          <w:p w14:paraId="2D1449B9">
            <w:pPr>
              <w:jc w:val="center"/>
              <w:rPr>
                <w:rFonts w:ascii="宋体" w:hAnsi="宋体"/>
                <w:szCs w:val="21"/>
              </w:rPr>
            </w:pPr>
            <w:r>
              <w:rPr>
                <w:rFonts w:hint="eastAsia" w:ascii="宋体" w:hAnsi="宋体"/>
                <w:kern w:val="0"/>
                <w:szCs w:val="21"/>
              </w:rPr>
              <w:t>目标2、4</w:t>
            </w:r>
          </w:p>
        </w:tc>
        <w:tc>
          <w:tcPr>
            <w:tcW w:w="1418" w:type="dxa"/>
            <w:noWrap w:val="0"/>
            <w:vAlign w:val="center"/>
          </w:tcPr>
          <w:p w14:paraId="1CBE2307">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4F031B52">
            <w:pPr>
              <w:jc w:val="center"/>
              <w:rPr>
                <w:rFonts w:ascii="宋体" w:hAnsi="宋体"/>
                <w:szCs w:val="21"/>
              </w:rPr>
            </w:pPr>
            <w:r>
              <w:rPr>
                <w:rFonts w:hint="eastAsia" w:ascii="宋体" w:hAnsi="宋体"/>
                <w:kern w:val="0"/>
                <w:szCs w:val="21"/>
              </w:rPr>
              <w:t>4-3、</w:t>
            </w:r>
            <w:r>
              <w:rPr>
                <w:rFonts w:hint="eastAsia" w:ascii="宋体" w:hAnsi="宋体"/>
                <w:szCs w:val="21"/>
              </w:rPr>
              <w:t>4-4</w:t>
            </w:r>
          </w:p>
          <w:p w14:paraId="4D602443">
            <w:pPr>
              <w:jc w:val="center"/>
              <w:rPr>
                <w:rFonts w:hint="eastAsia" w:ascii="宋体" w:hAnsi="宋体"/>
                <w:szCs w:val="21"/>
              </w:rPr>
            </w:pPr>
            <w:r>
              <w:rPr>
                <w:rFonts w:hint="eastAsia" w:ascii="宋体" w:hAnsi="宋体"/>
                <w:szCs w:val="21"/>
              </w:rPr>
              <w:t>8-1</w:t>
            </w:r>
          </w:p>
        </w:tc>
        <w:tc>
          <w:tcPr>
            <w:tcW w:w="708" w:type="dxa"/>
            <w:gridSpan w:val="2"/>
            <w:noWrap w:val="0"/>
            <w:vAlign w:val="center"/>
          </w:tcPr>
          <w:p w14:paraId="50523D55">
            <w:pPr>
              <w:jc w:val="center"/>
              <w:rPr>
                <w:rFonts w:ascii="宋体" w:hAnsi="宋体"/>
                <w:kern w:val="0"/>
                <w:szCs w:val="21"/>
              </w:rPr>
            </w:pPr>
            <w:r>
              <w:rPr>
                <w:rFonts w:ascii="宋体" w:hAnsi="宋体"/>
                <w:kern w:val="0"/>
                <w:szCs w:val="21"/>
              </w:rPr>
              <w:t>2</w:t>
            </w:r>
          </w:p>
        </w:tc>
        <w:tc>
          <w:tcPr>
            <w:tcW w:w="709" w:type="dxa"/>
            <w:noWrap w:val="0"/>
            <w:vAlign w:val="center"/>
          </w:tcPr>
          <w:p w14:paraId="17AEDB24">
            <w:pPr>
              <w:jc w:val="center"/>
              <w:rPr>
                <w:rFonts w:ascii="宋体" w:hAnsi="宋体"/>
                <w:kern w:val="0"/>
                <w:szCs w:val="21"/>
              </w:rPr>
            </w:pPr>
            <w:r>
              <w:rPr>
                <w:rFonts w:hint="eastAsia" w:ascii="宋体" w:hAnsi="宋体"/>
                <w:kern w:val="0"/>
                <w:szCs w:val="21"/>
              </w:rPr>
              <w:t>8</w:t>
            </w:r>
          </w:p>
        </w:tc>
      </w:tr>
      <w:tr w14:paraId="4CC2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1BB660DB">
            <w:pPr>
              <w:jc w:val="center"/>
              <w:rPr>
                <w:rFonts w:hint="eastAsia" w:ascii="宋体" w:hAnsi="宋体"/>
                <w:szCs w:val="21"/>
              </w:rPr>
            </w:pPr>
            <w:r>
              <w:rPr>
                <w:rFonts w:hint="eastAsia" w:ascii="宋体" w:hAnsi="宋体"/>
                <w:szCs w:val="21"/>
              </w:rPr>
              <w:t>7</w:t>
            </w:r>
          </w:p>
        </w:tc>
        <w:tc>
          <w:tcPr>
            <w:tcW w:w="4110" w:type="dxa"/>
            <w:noWrap w:val="0"/>
            <w:vAlign w:val="center"/>
          </w:tcPr>
          <w:p w14:paraId="369C77E8">
            <w:pPr>
              <w:jc w:val="center"/>
              <w:rPr>
                <w:rFonts w:hint="eastAsia"/>
              </w:rPr>
            </w:pPr>
            <w:r>
              <w:rPr>
                <w:rFonts w:hint="eastAsia"/>
              </w:rPr>
              <w:t>模拟教学的评价</w:t>
            </w:r>
          </w:p>
        </w:tc>
        <w:tc>
          <w:tcPr>
            <w:tcW w:w="1701" w:type="dxa"/>
            <w:noWrap w:val="0"/>
            <w:vAlign w:val="center"/>
          </w:tcPr>
          <w:p w14:paraId="1CA522DC">
            <w:pPr>
              <w:jc w:val="center"/>
              <w:rPr>
                <w:rFonts w:hint="eastAsia" w:ascii="宋体" w:hAnsi="宋体"/>
                <w:kern w:val="0"/>
                <w:szCs w:val="21"/>
              </w:rPr>
            </w:pPr>
            <w:r>
              <w:rPr>
                <w:rFonts w:hint="eastAsia" w:ascii="宋体" w:hAnsi="宋体"/>
                <w:kern w:val="0"/>
                <w:szCs w:val="21"/>
              </w:rPr>
              <w:t>目标3、4</w:t>
            </w:r>
          </w:p>
        </w:tc>
        <w:tc>
          <w:tcPr>
            <w:tcW w:w="1418" w:type="dxa"/>
            <w:noWrap w:val="0"/>
            <w:vAlign w:val="center"/>
          </w:tcPr>
          <w:p w14:paraId="1A9A04D0">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5B91DAC8">
            <w:pPr>
              <w:jc w:val="center"/>
              <w:rPr>
                <w:rFonts w:ascii="宋体" w:hAnsi="宋体"/>
                <w:szCs w:val="21"/>
              </w:rPr>
            </w:pPr>
            <w:r>
              <w:rPr>
                <w:rFonts w:hint="eastAsia" w:ascii="宋体" w:hAnsi="宋体"/>
                <w:kern w:val="0"/>
                <w:szCs w:val="21"/>
              </w:rPr>
              <w:t>4-3、</w:t>
            </w:r>
            <w:r>
              <w:rPr>
                <w:rFonts w:hint="eastAsia" w:ascii="宋体" w:hAnsi="宋体"/>
                <w:szCs w:val="21"/>
              </w:rPr>
              <w:t>4-4</w:t>
            </w:r>
          </w:p>
          <w:p w14:paraId="6BF26E23">
            <w:pPr>
              <w:jc w:val="center"/>
              <w:rPr>
                <w:rFonts w:hint="eastAsia" w:ascii="宋体" w:hAnsi="宋体"/>
                <w:szCs w:val="21"/>
              </w:rPr>
            </w:pPr>
            <w:r>
              <w:rPr>
                <w:rFonts w:hint="eastAsia" w:ascii="宋体" w:hAnsi="宋体"/>
                <w:szCs w:val="21"/>
              </w:rPr>
              <w:t>8-1</w:t>
            </w:r>
          </w:p>
        </w:tc>
        <w:tc>
          <w:tcPr>
            <w:tcW w:w="708" w:type="dxa"/>
            <w:gridSpan w:val="2"/>
            <w:noWrap w:val="0"/>
            <w:vAlign w:val="center"/>
          </w:tcPr>
          <w:p w14:paraId="7EDE8908">
            <w:pPr>
              <w:jc w:val="center"/>
              <w:rPr>
                <w:rFonts w:ascii="宋体" w:hAnsi="宋体"/>
                <w:kern w:val="0"/>
                <w:szCs w:val="21"/>
              </w:rPr>
            </w:pPr>
            <w:r>
              <w:rPr>
                <w:rFonts w:hint="eastAsia" w:ascii="宋体" w:hAnsi="宋体"/>
                <w:kern w:val="0"/>
                <w:szCs w:val="21"/>
              </w:rPr>
              <w:t>2</w:t>
            </w:r>
          </w:p>
        </w:tc>
        <w:tc>
          <w:tcPr>
            <w:tcW w:w="709" w:type="dxa"/>
            <w:noWrap w:val="0"/>
            <w:vAlign w:val="center"/>
          </w:tcPr>
          <w:p w14:paraId="6562E65A">
            <w:pPr>
              <w:jc w:val="center"/>
              <w:rPr>
                <w:rFonts w:hint="eastAsia" w:ascii="宋体" w:hAnsi="宋体"/>
                <w:kern w:val="0"/>
                <w:szCs w:val="21"/>
              </w:rPr>
            </w:pPr>
          </w:p>
        </w:tc>
      </w:tr>
      <w:tr w14:paraId="2DEE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5D474630">
            <w:pPr>
              <w:jc w:val="center"/>
              <w:rPr>
                <w:rFonts w:ascii="宋体" w:hAnsi="宋体"/>
                <w:szCs w:val="21"/>
              </w:rPr>
            </w:pPr>
            <w:r>
              <w:rPr>
                <w:rFonts w:ascii="宋体" w:hAnsi="宋体"/>
                <w:szCs w:val="21"/>
              </w:rPr>
              <w:t>合计</w:t>
            </w:r>
          </w:p>
        </w:tc>
        <w:tc>
          <w:tcPr>
            <w:tcW w:w="701" w:type="dxa"/>
            <w:noWrap w:val="0"/>
            <w:vAlign w:val="center"/>
          </w:tcPr>
          <w:p w14:paraId="515EAB18">
            <w:pPr>
              <w:jc w:val="center"/>
              <w:rPr>
                <w:rFonts w:ascii="宋体" w:hAnsi="宋体"/>
                <w:kern w:val="0"/>
                <w:szCs w:val="21"/>
              </w:rPr>
            </w:pPr>
            <w:r>
              <w:rPr>
                <w:rFonts w:ascii="宋体" w:hAnsi="宋体"/>
                <w:kern w:val="0"/>
                <w:szCs w:val="21"/>
              </w:rPr>
              <w:t>16</w:t>
            </w:r>
          </w:p>
        </w:tc>
        <w:tc>
          <w:tcPr>
            <w:tcW w:w="709" w:type="dxa"/>
            <w:noWrap w:val="0"/>
            <w:vAlign w:val="center"/>
          </w:tcPr>
          <w:p w14:paraId="0A3AC582">
            <w:pPr>
              <w:jc w:val="center"/>
              <w:rPr>
                <w:rFonts w:ascii="宋体" w:hAnsi="宋体"/>
                <w:kern w:val="0"/>
                <w:szCs w:val="21"/>
              </w:rPr>
            </w:pPr>
            <w:r>
              <w:rPr>
                <w:rFonts w:ascii="宋体" w:hAnsi="宋体"/>
                <w:kern w:val="0"/>
                <w:szCs w:val="21"/>
              </w:rPr>
              <w:t>16</w:t>
            </w:r>
          </w:p>
        </w:tc>
      </w:tr>
    </w:tbl>
    <w:p w14:paraId="7D4ABC0C">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188C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2405BB14">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0833EC58">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523DFD86">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5BB18206">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3230EE60">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593FEE3E">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0E5674B5">
            <w:pPr>
              <w:jc w:val="center"/>
              <w:rPr>
                <w:rFonts w:ascii="宋体" w:hAnsi="宋体"/>
                <w:b/>
                <w:bCs/>
                <w:szCs w:val="21"/>
              </w:rPr>
            </w:pPr>
            <w:r>
              <w:rPr>
                <w:rFonts w:ascii="宋体" w:hAnsi="宋体"/>
                <w:b/>
                <w:bCs/>
                <w:szCs w:val="21"/>
              </w:rPr>
              <w:t>备注</w:t>
            </w:r>
          </w:p>
        </w:tc>
      </w:tr>
      <w:tr w14:paraId="6FDC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4AA3141E">
            <w:pPr>
              <w:jc w:val="center"/>
              <w:rPr>
                <w:rFonts w:ascii="宋体" w:hAnsi="宋体"/>
                <w:bCs/>
                <w:szCs w:val="21"/>
              </w:rPr>
            </w:pPr>
            <w:r>
              <w:rPr>
                <w:rFonts w:ascii="宋体" w:hAnsi="宋体"/>
                <w:bCs/>
                <w:szCs w:val="21"/>
              </w:rPr>
              <w:t>1</w:t>
            </w:r>
          </w:p>
        </w:tc>
        <w:tc>
          <w:tcPr>
            <w:tcW w:w="1755" w:type="dxa"/>
            <w:noWrap w:val="0"/>
            <w:vAlign w:val="center"/>
          </w:tcPr>
          <w:p w14:paraId="743A3E1C">
            <w:pPr>
              <w:rPr>
                <w:rFonts w:hint="eastAsia"/>
                <w:szCs w:val="21"/>
              </w:rPr>
            </w:pPr>
            <w:r>
              <w:rPr>
                <w:rFonts w:hint="eastAsia"/>
                <w:szCs w:val="21"/>
              </w:rPr>
              <w:t>设计课堂</w:t>
            </w:r>
            <w:r>
              <w:rPr>
                <w:szCs w:val="21"/>
              </w:rPr>
              <w:t>观察记录表</w:t>
            </w:r>
          </w:p>
        </w:tc>
        <w:tc>
          <w:tcPr>
            <w:tcW w:w="3510" w:type="dxa"/>
            <w:noWrap w:val="0"/>
            <w:vAlign w:val="center"/>
          </w:tcPr>
          <w:p w14:paraId="72449353">
            <w:pPr>
              <w:rPr>
                <w:rFonts w:hint="eastAsia"/>
              </w:rPr>
            </w:pPr>
            <w:r>
              <w:rPr>
                <w:rFonts w:hint="eastAsia"/>
              </w:rPr>
              <w:t>确定3</w:t>
            </w:r>
            <w:r>
              <w:t>-4</w:t>
            </w:r>
            <w:r>
              <w:rPr>
                <w:rFonts w:hint="eastAsia"/>
              </w:rPr>
              <w:t>个</w:t>
            </w:r>
            <w:r>
              <w:t>课堂观察主题，以小组为单位，设计课堂观察记录表。</w:t>
            </w:r>
          </w:p>
        </w:tc>
        <w:tc>
          <w:tcPr>
            <w:tcW w:w="723" w:type="dxa"/>
            <w:noWrap w:val="0"/>
            <w:vAlign w:val="center"/>
          </w:tcPr>
          <w:p w14:paraId="7FFFC0DC">
            <w:pPr>
              <w:jc w:val="center"/>
              <w:rPr>
                <w:rFonts w:ascii="宋体" w:hAnsi="宋体"/>
                <w:bCs/>
                <w:szCs w:val="21"/>
              </w:rPr>
            </w:pPr>
            <w:r>
              <w:rPr>
                <w:rFonts w:ascii="宋体" w:hAnsi="宋体"/>
                <w:bCs/>
                <w:szCs w:val="21"/>
              </w:rPr>
              <w:t>2</w:t>
            </w:r>
          </w:p>
        </w:tc>
        <w:tc>
          <w:tcPr>
            <w:tcW w:w="1136" w:type="dxa"/>
            <w:noWrap w:val="0"/>
            <w:vAlign w:val="center"/>
          </w:tcPr>
          <w:p w14:paraId="46566662">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09DB424B">
            <w:pPr>
              <w:jc w:val="center"/>
              <w:rPr>
                <w:rFonts w:ascii="宋体" w:hAnsi="宋体"/>
                <w:szCs w:val="21"/>
              </w:rPr>
            </w:pPr>
            <w:r>
              <w:rPr>
                <w:rFonts w:hint="eastAsia" w:ascii="宋体" w:hAnsi="宋体"/>
                <w:kern w:val="0"/>
                <w:szCs w:val="21"/>
              </w:rPr>
              <w:t>4-3、</w:t>
            </w:r>
            <w:r>
              <w:rPr>
                <w:rFonts w:hint="eastAsia" w:ascii="宋体" w:hAnsi="宋体"/>
                <w:szCs w:val="21"/>
              </w:rPr>
              <w:t>4-4</w:t>
            </w:r>
          </w:p>
          <w:p w14:paraId="135D7ECE">
            <w:pPr>
              <w:jc w:val="center"/>
              <w:rPr>
                <w:rFonts w:hint="eastAsia" w:ascii="宋体" w:hAnsi="宋体"/>
                <w:szCs w:val="21"/>
              </w:rPr>
            </w:pPr>
            <w:r>
              <w:rPr>
                <w:rFonts w:hint="eastAsia" w:ascii="宋体" w:hAnsi="宋体"/>
                <w:szCs w:val="21"/>
              </w:rPr>
              <w:t>8-1</w:t>
            </w:r>
          </w:p>
        </w:tc>
        <w:tc>
          <w:tcPr>
            <w:tcW w:w="826" w:type="dxa"/>
            <w:noWrap w:val="0"/>
            <w:tcMar>
              <w:left w:w="28" w:type="dxa"/>
              <w:right w:w="28" w:type="dxa"/>
            </w:tcMar>
            <w:vAlign w:val="center"/>
          </w:tcPr>
          <w:p w14:paraId="2626B94F">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39BFA86D">
            <w:pPr>
              <w:jc w:val="center"/>
              <w:rPr>
                <w:rFonts w:ascii="宋体" w:hAnsi="宋体"/>
                <w:bCs/>
                <w:szCs w:val="21"/>
              </w:rPr>
            </w:pPr>
            <w:r>
              <w:rPr>
                <w:rFonts w:ascii="宋体" w:hAnsi="宋体"/>
                <w:bCs/>
                <w:szCs w:val="21"/>
              </w:rPr>
              <w:t>必做</w:t>
            </w:r>
          </w:p>
        </w:tc>
      </w:tr>
      <w:tr w14:paraId="2861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5B224A6B">
            <w:pPr>
              <w:jc w:val="center"/>
              <w:rPr>
                <w:rFonts w:ascii="宋体" w:hAnsi="宋体"/>
                <w:bCs/>
                <w:szCs w:val="21"/>
              </w:rPr>
            </w:pPr>
            <w:r>
              <w:rPr>
                <w:rFonts w:hint="eastAsia" w:ascii="宋体" w:hAnsi="宋体"/>
                <w:bCs/>
                <w:szCs w:val="21"/>
              </w:rPr>
              <w:t>2</w:t>
            </w:r>
          </w:p>
        </w:tc>
        <w:tc>
          <w:tcPr>
            <w:tcW w:w="1755" w:type="dxa"/>
            <w:noWrap w:val="0"/>
            <w:vAlign w:val="center"/>
          </w:tcPr>
          <w:p w14:paraId="12CD75E9">
            <w:pPr>
              <w:rPr>
                <w:rFonts w:hint="eastAsia"/>
                <w:szCs w:val="21"/>
              </w:rPr>
            </w:pPr>
            <w:r>
              <w:rPr>
                <w:rFonts w:hint="eastAsia"/>
                <w:szCs w:val="21"/>
              </w:rPr>
              <w:t>课堂观察</w:t>
            </w:r>
            <w:r>
              <w:rPr>
                <w:szCs w:val="21"/>
              </w:rPr>
              <w:t>实施</w:t>
            </w:r>
          </w:p>
        </w:tc>
        <w:tc>
          <w:tcPr>
            <w:tcW w:w="3510" w:type="dxa"/>
            <w:noWrap w:val="0"/>
            <w:vAlign w:val="center"/>
          </w:tcPr>
          <w:p w14:paraId="34566993">
            <w:pPr>
              <w:rPr>
                <w:rFonts w:hint="eastAsia"/>
              </w:rPr>
            </w:pPr>
            <w:r>
              <w:rPr>
                <w:rFonts w:hint="eastAsia"/>
              </w:rPr>
              <w:t>在</w:t>
            </w:r>
            <w:r>
              <w:t>充分准备</w:t>
            </w:r>
            <w:r>
              <w:rPr>
                <w:rFonts w:hint="eastAsia"/>
              </w:rPr>
              <w:t>的</w:t>
            </w:r>
            <w:r>
              <w:t>基础上，</w:t>
            </w:r>
            <w:r>
              <w:rPr>
                <w:rFonts w:hint="eastAsia"/>
              </w:rPr>
              <w:t>深入小学</w:t>
            </w:r>
            <w:r>
              <w:t>课堂</w:t>
            </w:r>
            <w:r>
              <w:rPr>
                <w:rFonts w:hint="eastAsia"/>
              </w:rPr>
              <w:t>进行</w:t>
            </w:r>
            <w:r>
              <w:t>课堂观察</w:t>
            </w:r>
            <w:r>
              <w:rPr>
                <w:rFonts w:hint="eastAsia"/>
              </w:rPr>
              <w:t>，做好</w:t>
            </w:r>
            <w:r>
              <w:t>观察记录，并提交</w:t>
            </w:r>
            <w:r>
              <w:rPr>
                <w:rFonts w:hint="eastAsia"/>
              </w:rPr>
              <w:t>3-4个</w:t>
            </w:r>
            <w:r>
              <w:t>相应的课堂观察报告。</w:t>
            </w:r>
          </w:p>
        </w:tc>
        <w:tc>
          <w:tcPr>
            <w:tcW w:w="723" w:type="dxa"/>
            <w:noWrap w:val="0"/>
            <w:vAlign w:val="center"/>
          </w:tcPr>
          <w:p w14:paraId="7CA33CBB">
            <w:pPr>
              <w:jc w:val="center"/>
              <w:rPr>
                <w:rFonts w:ascii="宋体" w:hAnsi="宋体"/>
                <w:bCs/>
                <w:szCs w:val="21"/>
              </w:rPr>
            </w:pPr>
            <w:r>
              <w:rPr>
                <w:rFonts w:ascii="宋体" w:hAnsi="宋体"/>
                <w:bCs/>
                <w:szCs w:val="21"/>
              </w:rPr>
              <w:t>4</w:t>
            </w:r>
          </w:p>
        </w:tc>
        <w:tc>
          <w:tcPr>
            <w:tcW w:w="1136" w:type="dxa"/>
            <w:noWrap w:val="0"/>
            <w:vAlign w:val="center"/>
          </w:tcPr>
          <w:p w14:paraId="25037260">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4619CE18">
            <w:pPr>
              <w:jc w:val="center"/>
              <w:rPr>
                <w:rFonts w:ascii="宋体" w:hAnsi="宋体"/>
                <w:szCs w:val="21"/>
              </w:rPr>
            </w:pPr>
            <w:r>
              <w:rPr>
                <w:rFonts w:hint="eastAsia" w:ascii="宋体" w:hAnsi="宋体"/>
                <w:kern w:val="0"/>
                <w:szCs w:val="21"/>
              </w:rPr>
              <w:t>4-3、</w:t>
            </w:r>
            <w:r>
              <w:rPr>
                <w:rFonts w:hint="eastAsia" w:ascii="宋体" w:hAnsi="宋体"/>
                <w:szCs w:val="21"/>
              </w:rPr>
              <w:t>4-4</w:t>
            </w:r>
          </w:p>
          <w:p w14:paraId="33B78772">
            <w:pPr>
              <w:jc w:val="center"/>
              <w:rPr>
                <w:rFonts w:hint="eastAsia" w:ascii="宋体" w:hAnsi="宋体"/>
                <w:szCs w:val="21"/>
              </w:rPr>
            </w:pPr>
            <w:r>
              <w:rPr>
                <w:rFonts w:hint="eastAsia" w:ascii="宋体" w:hAnsi="宋体"/>
                <w:szCs w:val="21"/>
              </w:rPr>
              <w:t>8-1</w:t>
            </w:r>
          </w:p>
        </w:tc>
        <w:tc>
          <w:tcPr>
            <w:tcW w:w="826" w:type="dxa"/>
            <w:noWrap w:val="0"/>
            <w:tcMar>
              <w:left w:w="28" w:type="dxa"/>
              <w:right w:w="28" w:type="dxa"/>
            </w:tcMar>
            <w:vAlign w:val="center"/>
          </w:tcPr>
          <w:p w14:paraId="215A1CAE">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5C4B55FC">
            <w:pPr>
              <w:jc w:val="center"/>
              <w:rPr>
                <w:rFonts w:ascii="宋体" w:hAnsi="宋体"/>
                <w:bCs/>
                <w:szCs w:val="21"/>
              </w:rPr>
            </w:pPr>
            <w:r>
              <w:rPr>
                <w:rFonts w:ascii="宋体" w:hAnsi="宋体"/>
                <w:bCs/>
                <w:szCs w:val="21"/>
              </w:rPr>
              <w:t>必做</w:t>
            </w:r>
          </w:p>
        </w:tc>
      </w:tr>
      <w:tr w14:paraId="7186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5BA74F60">
            <w:pPr>
              <w:jc w:val="center"/>
              <w:rPr>
                <w:rFonts w:ascii="宋体" w:hAnsi="宋体"/>
                <w:bCs/>
                <w:szCs w:val="21"/>
              </w:rPr>
            </w:pPr>
            <w:r>
              <w:rPr>
                <w:rFonts w:hint="eastAsia" w:ascii="宋体" w:hAnsi="宋体"/>
                <w:bCs/>
                <w:szCs w:val="21"/>
              </w:rPr>
              <w:t>3</w:t>
            </w:r>
          </w:p>
        </w:tc>
        <w:tc>
          <w:tcPr>
            <w:tcW w:w="1755" w:type="dxa"/>
            <w:noWrap w:val="0"/>
            <w:vAlign w:val="center"/>
          </w:tcPr>
          <w:p w14:paraId="71F6DBC0">
            <w:pPr>
              <w:rPr>
                <w:rFonts w:hint="eastAsia"/>
                <w:szCs w:val="21"/>
              </w:rPr>
            </w:pPr>
            <w:r>
              <w:rPr>
                <w:rFonts w:hint="eastAsia"/>
                <w:szCs w:val="21"/>
              </w:rPr>
              <w:t>课堂观察</w:t>
            </w:r>
            <w:r>
              <w:rPr>
                <w:szCs w:val="21"/>
              </w:rPr>
              <w:t>交流</w:t>
            </w:r>
          </w:p>
        </w:tc>
        <w:tc>
          <w:tcPr>
            <w:tcW w:w="3510" w:type="dxa"/>
            <w:noWrap w:val="0"/>
            <w:vAlign w:val="center"/>
          </w:tcPr>
          <w:p w14:paraId="357DE2CB">
            <w:pPr>
              <w:rPr>
                <w:rFonts w:hint="eastAsia"/>
              </w:rPr>
            </w:pPr>
            <w:r>
              <w:rPr>
                <w:rFonts w:hint="eastAsia"/>
              </w:rPr>
              <w:t>围绕课堂</w:t>
            </w:r>
            <w:r>
              <w:t>观察的实际情况进行研讨、交流，分享观察体会，</w:t>
            </w:r>
            <w:r>
              <w:rPr>
                <w:rFonts w:hint="eastAsia"/>
              </w:rPr>
              <w:t>探讨课堂</w:t>
            </w:r>
            <w:r>
              <w:t>教学经验</w:t>
            </w:r>
            <w:r>
              <w:rPr>
                <w:rFonts w:hint="eastAsia"/>
              </w:rPr>
              <w:t>。</w:t>
            </w:r>
          </w:p>
        </w:tc>
        <w:tc>
          <w:tcPr>
            <w:tcW w:w="723" w:type="dxa"/>
            <w:noWrap w:val="0"/>
            <w:vAlign w:val="center"/>
          </w:tcPr>
          <w:p w14:paraId="55CB8B14">
            <w:pPr>
              <w:jc w:val="center"/>
              <w:rPr>
                <w:rFonts w:ascii="宋体" w:hAnsi="宋体"/>
                <w:bCs/>
                <w:szCs w:val="21"/>
              </w:rPr>
            </w:pPr>
            <w:r>
              <w:rPr>
                <w:rFonts w:hint="eastAsia" w:ascii="宋体" w:hAnsi="宋体"/>
                <w:bCs/>
                <w:szCs w:val="21"/>
              </w:rPr>
              <w:t>2</w:t>
            </w:r>
          </w:p>
        </w:tc>
        <w:tc>
          <w:tcPr>
            <w:tcW w:w="1136" w:type="dxa"/>
            <w:noWrap w:val="0"/>
            <w:vAlign w:val="center"/>
          </w:tcPr>
          <w:p w14:paraId="77FA21F4">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0CABB234">
            <w:pPr>
              <w:jc w:val="center"/>
              <w:rPr>
                <w:rFonts w:ascii="宋体" w:hAnsi="宋体"/>
                <w:szCs w:val="21"/>
              </w:rPr>
            </w:pPr>
            <w:r>
              <w:rPr>
                <w:rFonts w:hint="eastAsia" w:ascii="宋体" w:hAnsi="宋体"/>
                <w:kern w:val="0"/>
                <w:szCs w:val="21"/>
              </w:rPr>
              <w:t>4-3、</w:t>
            </w:r>
            <w:r>
              <w:rPr>
                <w:rFonts w:hint="eastAsia" w:ascii="宋体" w:hAnsi="宋体"/>
                <w:szCs w:val="21"/>
              </w:rPr>
              <w:t>4-4</w:t>
            </w:r>
          </w:p>
          <w:p w14:paraId="1DF0DCF4">
            <w:pPr>
              <w:jc w:val="center"/>
              <w:rPr>
                <w:rFonts w:hint="eastAsia" w:ascii="宋体" w:hAnsi="宋体"/>
                <w:szCs w:val="21"/>
              </w:rPr>
            </w:pPr>
            <w:r>
              <w:rPr>
                <w:rFonts w:hint="eastAsia" w:ascii="宋体" w:hAnsi="宋体"/>
                <w:szCs w:val="21"/>
              </w:rPr>
              <w:t>8-1</w:t>
            </w:r>
          </w:p>
        </w:tc>
        <w:tc>
          <w:tcPr>
            <w:tcW w:w="826" w:type="dxa"/>
            <w:noWrap w:val="0"/>
            <w:tcMar>
              <w:left w:w="28" w:type="dxa"/>
              <w:right w:w="28" w:type="dxa"/>
            </w:tcMar>
            <w:vAlign w:val="center"/>
          </w:tcPr>
          <w:p w14:paraId="2F844CF9">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51D92F7C">
            <w:pPr>
              <w:jc w:val="center"/>
              <w:rPr>
                <w:rFonts w:ascii="宋体" w:hAnsi="宋体"/>
                <w:bCs/>
                <w:szCs w:val="21"/>
              </w:rPr>
            </w:pPr>
            <w:r>
              <w:rPr>
                <w:rFonts w:ascii="宋体" w:hAnsi="宋体"/>
                <w:bCs/>
                <w:szCs w:val="21"/>
              </w:rPr>
              <w:t>必做</w:t>
            </w:r>
          </w:p>
        </w:tc>
      </w:tr>
      <w:tr w14:paraId="655E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4D68339F">
            <w:pPr>
              <w:jc w:val="center"/>
              <w:rPr>
                <w:rFonts w:ascii="宋体" w:hAnsi="宋体"/>
                <w:bCs/>
                <w:szCs w:val="21"/>
              </w:rPr>
            </w:pPr>
            <w:r>
              <w:rPr>
                <w:rFonts w:ascii="宋体" w:hAnsi="宋体"/>
                <w:bCs/>
                <w:szCs w:val="21"/>
              </w:rPr>
              <w:t>4</w:t>
            </w:r>
          </w:p>
        </w:tc>
        <w:tc>
          <w:tcPr>
            <w:tcW w:w="1755" w:type="dxa"/>
            <w:noWrap w:val="0"/>
            <w:vAlign w:val="center"/>
          </w:tcPr>
          <w:p w14:paraId="2392E9DB">
            <w:pPr>
              <w:rPr>
                <w:rFonts w:hint="eastAsia"/>
                <w:szCs w:val="21"/>
              </w:rPr>
            </w:pPr>
            <w:r>
              <w:rPr>
                <w:rFonts w:hint="eastAsia"/>
                <w:szCs w:val="21"/>
              </w:rPr>
              <w:t>模拟教学训练</w:t>
            </w:r>
          </w:p>
        </w:tc>
        <w:tc>
          <w:tcPr>
            <w:tcW w:w="3510" w:type="dxa"/>
            <w:noWrap w:val="0"/>
            <w:vAlign w:val="center"/>
          </w:tcPr>
          <w:p w14:paraId="4D144FB5">
            <w:pPr>
              <w:rPr>
                <w:rFonts w:hint="eastAsia"/>
              </w:rPr>
            </w:pPr>
            <w:r>
              <w:rPr>
                <w:rFonts w:hint="eastAsia"/>
              </w:rPr>
              <w:t>选择</w:t>
            </w:r>
            <w:r>
              <w:t>3-5</w:t>
            </w:r>
            <w:r>
              <w:rPr>
                <w:rFonts w:hint="eastAsia"/>
              </w:rPr>
              <w:t>个</w:t>
            </w:r>
            <w:r>
              <w:t>小学教学内容</w:t>
            </w:r>
            <w:r>
              <w:rPr>
                <w:rFonts w:hint="eastAsia"/>
              </w:rPr>
              <w:t>，</w:t>
            </w:r>
            <w:r>
              <w:t>先</w:t>
            </w:r>
            <w:r>
              <w:rPr>
                <w:rFonts w:hint="eastAsia"/>
              </w:rPr>
              <w:t>进行教学设计，然后</w:t>
            </w:r>
            <w:r>
              <w:t>模拟教学</w:t>
            </w:r>
            <w:r>
              <w:rPr>
                <w:rFonts w:hint="eastAsia"/>
              </w:rPr>
              <w:t>。</w:t>
            </w:r>
          </w:p>
        </w:tc>
        <w:tc>
          <w:tcPr>
            <w:tcW w:w="723" w:type="dxa"/>
            <w:noWrap w:val="0"/>
            <w:vAlign w:val="center"/>
          </w:tcPr>
          <w:p w14:paraId="6FD4C2A1">
            <w:pPr>
              <w:jc w:val="center"/>
              <w:rPr>
                <w:rFonts w:ascii="宋体" w:hAnsi="宋体"/>
                <w:bCs/>
                <w:szCs w:val="21"/>
              </w:rPr>
            </w:pPr>
            <w:r>
              <w:rPr>
                <w:rFonts w:ascii="宋体" w:hAnsi="宋体"/>
                <w:bCs/>
                <w:szCs w:val="21"/>
              </w:rPr>
              <w:t>6</w:t>
            </w:r>
          </w:p>
        </w:tc>
        <w:tc>
          <w:tcPr>
            <w:tcW w:w="1136" w:type="dxa"/>
            <w:noWrap w:val="0"/>
            <w:vAlign w:val="center"/>
          </w:tcPr>
          <w:p w14:paraId="1886505A">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21EF600E">
            <w:pPr>
              <w:jc w:val="center"/>
              <w:rPr>
                <w:rFonts w:ascii="宋体" w:hAnsi="宋体"/>
                <w:szCs w:val="21"/>
              </w:rPr>
            </w:pPr>
            <w:r>
              <w:rPr>
                <w:rFonts w:hint="eastAsia" w:ascii="宋体" w:hAnsi="宋体"/>
                <w:kern w:val="0"/>
                <w:szCs w:val="21"/>
              </w:rPr>
              <w:t>4-3、</w:t>
            </w:r>
            <w:r>
              <w:rPr>
                <w:rFonts w:hint="eastAsia" w:ascii="宋体" w:hAnsi="宋体"/>
                <w:szCs w:val="21"/>
              </w:rPr>
              <w:t>4-4</w:t>
            </w:r>
          </w:p>
          <w:p w14:paraId="1EC5FBBD">
            <w:pPr>
              <w:jc w:val="center"/>
              <w:rPr>
                <w:rFonts w:hint="eastAsia" w:ascii="宋体" w:hAnsi="宋体"/>
                <w:szCs w:val="21"/>
              </w:rPr>
            </w:pPr>
            <w:r>
              <w:rPr>
                <w:rFonts w:hint="eastAsia" w:ascii="宋体" w:hAnsi="宋体"/>
                <w:szCs w:val="21"/>
              </w:rPr>
              <w:t>8-1</w:t>
            </w:r>
          </w:p>
        </w:tc>
        <w:tc>
          <w:tcPr>
            <w:tcW w:w="826" w:type="dxa"/>
            <w:noWrap w:val="0"/>
            <w:tcMar>
              <w:left w:w="28" w:type="dxa"/>
              <w:right w:w="28" w:type="dxa"/>
            </w:tcMar>
            <w:vAlign w:val="center"/>
          </w:tcPr>
          <w:p w14:paraId="3D26F15F">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0844EBC">
            <w:pPr>
              <w:jc w:val="center"/>
              <w:rPr>
                <w:rFonts w:ascii="宋体" w:hAnsi="宋体"/>
                <w:bCs/>
                <w:szCs w:val="21"/>
              </w:rPr>
            </w:pPr>
            <w:r>
              <w:rPr>
                <w:rFonts w:ascii="宋体" w:hAnsi="宋体"/>
                <w:bCs/>
                <w:szCs w:val="21"/>
              </w:rPr>
              <w:t>必做</w:t>
            </w:r>
          </w:p>
        </w:tc>
      </w:tr>
      <w:tr w14:paraId="34A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0CC35C89">
            <w:pPr>
              <w:jc w:val="center"/>
              <w:rPr>
                <w:rFonts w:ascii="宋体" w:hAnsi="宋体"/>
                <w:bCs/>
                <w:szCs w:val="21"/>
              </w:rPr>
            </w:pPr>
            <w:r>
              <w:rPr>
                <w:rFonts w:ascii="宋体" w:hAnsi="宋体"/>
                <w:bCs/>
                <w:szCs w:val="21"/>
              </w:rPr>
              <w:t>5</w:t>
            </w:r>
          </w:p>
        </w:tc>
        <w:tc>
          <w:tcPr>
            <w:tcW w:w="1755" w:type="dxa"/>
            <w:noWrap w:val="0"/>
            <w:vAlign w:val="center"/>
          </w:tcPr>
          <w:p w14:paraId="4BE3B8B4">
            <w:pPr>
              <w:rPr>
                <w:rFonts w:hint="eastAsia"/>
                <w:szCs w:val="21"/>
              </w:rPr>
            </w:pPr>
            <w:r>
              <w:rPr>
                <w:rFonts w:hint="eastAsia"/>
                <w:szCs w:val="21"/>
              </w:rPr>
              <w:t>模拟</w:t>
            </w:r>
            <w:r>
              <w:rPr>
                <w:szCs w:val="21"/>
              </w:rPr>
              <w:t>教学交流</w:t>
            </w:r>
          </w:p>
        </w:tc>
        <w:tc>
          <w:tcPr>
            <w:tcW w:w="3510" w:type="dxa"/>
            <w:noWrap w:val="0"/>
            <w:vAlign w:val="center"/>
          </w:tcPr>
          <w:p w14:paraId="0B8634C7">
            <w:pPr>
              <w:rPr>
                <w:rFonts w:hint="eastAsia"/>
              </w:rPr>
            </w:pPr>
            <w:r>
              <w:rPr>
                <w:rFonts w:hint="eastAsia"/>
              </w:rPr>
              <w:t>围绕自己</w:t>
            </w:r>
            <w:r>
              <w:t>和其他同学的模拟教学进行</w:t>
            </w:r>
            <w:r>
              <w:rPr>
                <w:rFonts w:hint="eastAsia"/>
              </w:rPr>
              <w:t>研讨</w:t>
            </w:r>
            <w:r>
              <w:t>、交流，</w:t>
            </w:r>
            <w:r>
              <w:rPr>
                <w:rFonts w:hint="eastAsia"/>
              </w:rPr>
              <w:t>从而</w:t>
            </w:r>
            <w:r>
              <w:t>进一步</w:t>
            </w:r>
            <w:r>
              <w:rPr>
                <w:rFonts w:hint="eastAsia"/>
              </w:rPr>
              <w:t>提高</w:t>
            </w:r>
            <w:r>
              <w:t>教学能力</w:t>
            </w:r>
            <w:r>
              <w:rPr>
                <w:rFonts w:hint="eastAsia"/>
              </w:rPr>
              <w:t>。</w:t>
            </w:r>
          </w:p>
        </w:tc>
        <w:tc>
          <w:tcPr>
            <w:tcW w:w="723" w:type="dxa"/>
            <w:noWrap w:val="0"/>
            <w:vAlign w:val="center"/>
          </w:tcPr>
          <w:p w14:paraId="70B9D792">
            <w:pPr>
              <w:jc w:val="center"/>
              <w:rPr>
                <w:rFonts w:ascii="宋体" w:hAnsi="宋体"/>
                <w:bCs/>
                <w:szCs w:val="21"/>
              </w:rPr>
            </w:pPr>
            <w:r>
              <w:rPr>
                <w:rFonts w:ascii="宋体" w:hAnsi="宋体"/>
                <w:bCs/>
                <w:szCs w:val="21"/>
              </w:rPr>
              <w:t>2</w:t>
            </w:r>
          </w:p>
        </w:tc>
        <w:tc>
          <w:tcPr>
            <w:tcW w:w="1136" w:type="dxa"/>
            <w:noWrap w:val="0"/>
            <w:vAlign w:val="center"/>
          </w:tcPr>
          <w:p w14:paraId="16A787E6">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0DA5BA07">
            <w:pPr>
              <w:jc w:val="center"/>
              <w:rPr>
                <w:rFonts w:ascii="宋体" w:hAnsi="宋体"/>
                <w:szCs w:val="21"/>
              </w:rPr>
            </w:pPr>
            <w:r>
              <w:rPr>
                <w:rFonts w:hint="eastAsia" w:ascii="宋体" w:hAnsi="宋体"/>
                <w:kern w:val="0"/>
                <w:szCs w:val="21"/>
              </w:rPr>
              <w:t>4-3、</w:t>
            </w:r>
            <w:r>
              <w:rPr>
                <w:rFonts w:hint="eastAsia" w:ascii="宋体" w:hAnsi="宋体"/>
                <w:szCs w:val="21"/>
              </w:rPr>
              <w:t>4-4</w:t>
            </w:r>
          </w:p>
          <w:p w14:paraId="13062185">
            <w:pPr>
              <w:jc w:val="center"/>
              <w:rPr>
                <w:rFonts w:hint="eastAsia" w:ascii="宋体" w:hAnsi="宋体"/>
                <w:szCs w:val="21"/>
              </w:rPr>
            </w:pPr>
            <w:r>
              <w:rPr>
                <w:rFonts w:hint="eastAsia" w:ascii="宋体" w:hAnsi="宋体"/>
                <w:szCs w:val="21"/>
              </w:rPr>
              <w:t>8-1</w:t>
            </w:r>
          </w:p>
        </w:tc>
        <w:tc>
          <w:tcPr>
            <w:tcW w:w="826" w:type="dxa"/>
            <w:noWrap w:val="0"/>
            <w:tcMar>
              <w:left w:w="28" w:type="dxa"/>
              <w:right w:w="28" w:type="dxa"/>
            </w:tcMar>
            <w:vAlign w:val="center"/>
          </w:tcPr>
          <w:p w14:paraId="3963C140">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8AFCAC7">
            <w:pPr>
              <w:jc w:val="center"/>
              <w:rPr>
                <w:rFonts w:ascii="宋体" w:hAnsi="宋体"/>
                <w:bCs/>
                <w:szCs w:val="21"/>
              </w:rPr>
            </w:pPr>
            <w:r>
              <w:rPr>
                <w:rFonts w:ascii="宋体" w:hAnsi="宋体"/>
                <w:bCs/>
                <w:szCs w:val="21"/>
              </w:rPr>
              <w:t>必做</w:t>
            </w:r>
          </w:p>
        </w:tc>
      </w:tr>
    </w:tbl>
    <w:p w14:paraId="5D0E4E8B">
      <w:pPr>
        <w:spacing w:line="360" w:lineRule="auto"/>
        <w:outlineLvl w:val="0"/>
        <w:rPr>
          <w:rFonts w:hint="eastAsia" w:ascii="宋体" w:hAnsi="宋体"/>
          <w:b/>
          <w:sz w:val="28"/>
          <w:szCs w:val="28"/>
        </w:rPr>
      </w:pPr>
      <w:r>
        <w:rPr>
          <w:rFonts w:ascii="宋体" w:hAnsi="宋体"/>
          <w:b/>
          <w:sz w:val="28"/>
          <w:szCs w:val="28"/>
        </w:rPr>
        <w:t xml:space="preserve">   </w:t>
      </w:r>
    </w:p>
    <w:p w14:paraId="7B9C6450">
      <w:pPr>
        <w:spacing w:line="360" w:lineRule="auto"/>
        <w:outlineLvl w:val="0"/>
        <w:rPr>
          <w:rFonts w:ascii="宋体" w:hAnsi="宋体"/>
          <w:b/>
          <w:sz w:val="28"/>
          <w:szCs w:val="28"/>
        </w:rPr>
      </w:pPr>
      <w:r>
        <w:rPr>
          <w:rFonts w:hint="eastAsia" w:ascii="宋体" w:hAnsi="宋体"/>
          <w:b/>
          <w:sz w:val="28"/>
          <w:szCs w:val="28"/>
        </w:rPr>
        <w:t xml:space="preserve">    五、课程实施</w:t>
      </w:r>
    </w:p>
    <w:p w14:paraId="5D3098EE">
      <w:pPr>
        <w:spacing w:line="360" w:lineRule="auto"/>
        <w:ind w:firstLine="480" w:firstLineChars="200"/>
        <w:rPr>
          <w:sz w:val="24"/>
        </w:rPr>
      </w:pPr>
      <w:r>
        <w:rPr>
          <w:sz w:val="24"/>
        </w:rPr>
        <w:t>（一）</w:t>
      </w:r>
      <w:r>
        <w:rPr>
          <w:rFonts w:hint="eastAsia"/>
          <w:sz w:val="24"/>
        </w:rPr>
        <w:t>充分利用现代信息技术，深入</w:t>
      </w:r>
      <w:r>
        <w:rPr>
          <w:sz w:val="24"/>
        </w:rPr>
        <w:t>小学课堂教学一线，</w:t>
      </w:r>
      <w:r>
        <w:rPr>
          <w:rFonts w:hint="eastAsia"/>
          <w:sz w:val="24"/>
        </w:rPr>
        <w:t>将理论</w:t>
      </w:r>
      <w:r>
        <w:rPr>
          <w:sz w:val="24"/>
        </w:rPr>
        <w:t>教学与</w:t>
      </w:r>
      <w:r>
        <w:rPr>
          <w:rFonts w:hint="eastAsia"/>
          <w:sz w:val="24"/>
        </w:rPr>
        <w:t>小学</w:t>
      </w:r>
      <w:r>
        <w:rPr>
          <w:sz w:val="24"/>
        </w:rPr>
        <w:t>实践密切联系起来。</w:t>
      </w:r>
    </w:p>
    <w:p w14:paraId="41FE8271">
      <w:pPr>
        <w:spacing w:line="360" w:lineRule="auto"/>
        <w:ind w:firstLine="480" w:firstLineChars="200"/>
        <w:rPr>
          <w:rFonts w:hint="eastAsia"/>
          <w:sz w:val="24"/>
        </w:rPr>
      </w:pPr>
      <w:r>
        <w:rPr>
          <w:sz w:val="24"/>
        </w:rPr>
        <w:t>（二）</w:t>
      </w:r>
      <w:r>
        <w:rPr>
          <w:rFonts w:hint="eastAsia"/>
          <w:sz w:val="24"/>
        </w:rPr>
        <w:t>调动</w:t>
      </w:r>
      <w:r>
        <w:rPr>
          <w:sz w:val="24"/>
        </w:rPr>
        <w:t>师范生学习的主体性，</w:t>
      </w:r>
      <w:r>
        <w:rPr>
          <w:rFonts w:hint="eastAsia"/>
          <w:sz w:val="24"/>
        </w:rPr>
        <w:t>注重小组</w:t>
      </w:r>
      <w:r>
        <w:rPr>
          <w:sz w:val="24"/>
        </w:rPr>
        <w:t>合作与沟通交流，引导师范生共同发展。</w:t>
      </w:r>
    </w:p>
    <w:p w14:paraId="38BC1207">
      <w:pPr>
        <w:spacing w:line="360" w:lineRule="auto"/>
        <w:ind w:firstLine="480" w:firstLineChars="200"/>
        <w:rPr>
          <w:sz w:val="24"/>
        </w:rPr>
      </w:pPr>
      <w:r>
        <w:rPr>
          <w:sz w:val="24"/>
        </w:rPr>
        <w:t>（三）</w:t>
      </w:r>
      <w:r>
        <w:rPr>
          <w:rFonts w:hint="eastAsia"/>
          <w:sz w:val="24"/>
        </w:rPr>
        <w:t>将课堂观察、模拟教学与教师的专业发展联系起来，注重</w:t>
      </w:r>
      <w:r>
        <w:rPr>
          <w:sz w:val="24"/>
        </w:rPr>
        <w:t>课堂教学技能</w:t>
      </w:r>
      <w:r>
        <w:rPr>
          <w:rFonts w:hint="eastAsia"/>
          <w:sz w:val="24"/>
        </w:rPr>
        <w:t>的</w:t>
      </w:r>
      <w:r>
        <w:rPr>
          <w:sz w:val="24"/>
        </w:rPr>
        <w:t>训练，</w:t>
      </w:r>
      <w:r>
        <w:rPr>
          <w:rFonts w:hint="eastAsia"/>
          <w:sz w:val="24"/>
        </w:rPr>
        <w:t>提高师范生</w:t>
      </w:r>
      <w:r>
        <w:rPr>
          <w:sz w:val="24"/>
        </w:rPr>
        <w:t>发现问题、提出问题、</w:t>
      </w:r>
      <w:r>
        <w:rPr>
          <w:rFonts w:hint="eastAsia"/>
          <w:sz w:val="24"/>
        </w:rPr>
        <w:t>分析问题、解决问题的能力。</w:t>
      </w:r>
    </w:p>
    <w:p w14:paraId="26D8F297">
      <w:pPr>
        <w:spacing w:line="360" w:lineRule="auto"/>
        <w:ind w:firstLine="480" w:firstLineChars="200"/>
        <w:rPr>
          <w:sz w:val="24"/>
        </w:rPr>
      </w:pPr>
    </w:p>
    <w:p w14:paraId="5F852253">
      <w:pPr>
        <w:spacing w:line="360" w:lineRule="auto"/>
        <w:ind w:firstLine="480" w:firstLineChars="200"/>
        <w:rPr>
          <w:sz w:val="24"/>
        </w:rPr>
      </w:pPr>
    </w:p>
    <w:p w14:paraId="269FCA0C">
      <w:pPr>
        <w:spacing w:line="360" w:lineRule="auto"/>
        <w:ind w:firstLine="480" w:firstLineChars="200"/>
        <w:rPr>
          <w:sz w:val="24"/>
        </w:rPr>
      </w:pPr>
    </w:p>
    <w:p w14:paraId="409BA997">
      <w:pPr>
        <w:spacing w:line="360" w:lineRule="auto"/>
        <w:ind w:firstLine="480" w:firstLineChars="200"/>
        <w:rPr>
          <w:rFonts w:hint="eastAsia"/>
          <w:sz w:val="24"/>
        </w:rPr>
      </w:pPr>
    </w:p>
    <w:p w14:paraId="2498A2D8">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3745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3EE51559">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0287495A">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0E0A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54FACD90">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02A1A855">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7D80EFBD">
            <w:pPr>
              <w:spacing w:line="276" w:lineRule="auto"/>
              <w:rPr>
                <w:rFonts w:ascii="宋体" w:hAnsi="宋体"/>
                <w:szCs w:val="21"/>
              </w:rPr>
            </w:pPr>
            <w:r>
              <w:rPr>
                <w:rFonts w:ascii="宋体" w:hAnsi="宋体"/>
                <w:szCs w:val="21"/>
              </w:rPr>
              <w:t>（1）掌握课程教学大纲内容，严格按照教学大纲要求进行课程教学内容的组织。</w:t>
            </w:r>
          </w:p>
          <w:p w14:paraId="3A25E7B3">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4A77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241BB479">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1D1B4088">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19560698">
            <w:pPr>
              <w:spacing w:line="276" w:lineRule="auto"/>
              <w:rPr>
                <w:rFonts w:ascii="宋体" w:hAnsi="宋体"/>
              </w:rPr>
            </w:pPr>
            <w:r>
              <w:rPr>
                <w:rFonts w:ascii="宋体" w:hAnsi="宋体"/>
                <w:szCs w:val="21"/>
              </w:rPr>
              <w:t>（1）</w:t>
            </w:r>
            <w:r>
              <w:rPr>
                <w:rFonts w:hint="eastAsia" w:ascii="宋体" w:hAnsi="宋体"/>
              </w:rPr>
              <w:t>教师仪表端庄，情绪情感要饱满；</w:t>
            </w:r>
          </w:p>
          <w:p w14:paraId="7152589D">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022262DA">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111C034A">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1659DC89">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38EA8496">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287DBEE1">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14EBD0DE">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0C50A7C7">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300AFDFC">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06A5B483">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7D960B39">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5291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2687748C">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2CBEAE3C">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21EDE1F5">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7BBD5BB0">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563C7DDC">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5EFCED26">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74D4C96D">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20179C9D">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49819A30">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0EE32DEF">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4E2B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5AA59CCB">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409C0423">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09FDCAE2">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理解和消化所学知识、改进学习方法和思维方式，培养其独立的教学设计能力、教学组织指导能力、教学反思与评价能力，任课教师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6B20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491B5C15">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4587425D">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6F4700A8">
            <w:pPr>
              <w:spacing w:line="276" w:lineRule="auto"/>
              <w:rPr>
                <w:rFonts w:ascii="宋体" w:hAnsi="宋体"/>
                <w:szCs w:val="21"/>
              </w:rPr>
            </w:pPr>
            <w:r>
              <w:rPr>
                <w:rFonts w:hint="eastAsia" w:ascii="宋体" w:hAnsi="宋体"/>
                <w:szCs w:val="21"/>
              </w:rPr>
              <w:t>本课程考核的方式为开卷笔试。监考由学院统一安排。有下列情况之一者，总评成绩为不及格：</w:t>
            </w:r>
          </w:p>
          <w:p w14:paraId="52B23485">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03D6E564">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265A27AC">
      <w:pPr>
        <w:spacing w:line="360" w:lineRule="auto"/>
        <w:ind w:firstLine="562" w:firstLineChars="200"/>
        <w:rPr>
          <w:rFonts w:ascii="宋体" w:hAnsi="宋体"/>
          <w:b/>
          <w:sz w:val="28"/>
          <w:szCs w:val="28"/>
        </w:rPr>
      </w:pPr>
    </w:p>
    <w:p w14:paraId="27C6CFB5">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15C27AE8">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（一）课程考核包括期末考试、平时考核（作业、考勤等）和课内实践考核，期末考试采用开卷笔试+现场</w:t>
      </w:r>
      <w:r>
        <w:rPr>
          <w:rFonts w:ascii="宋体" w:hAnsi="宋体"/>
          <w:sz w:val="24"/>
          <w:szCs w:val="22"/>
        </w:rPr>
        <w:t>考核</w:t>
      </w:r>
      <w:r>
        <w:rPr>
          <w:rFonts w:hint="eastAsia" w:ascii="宋体" w:hAnsi="宋体"/>
          <w:sz w:val="24"/>
          <w:szCs w:val="22"/>
        </w:rPr>
        <w:t>。</w:t>
      </w:r>
    </w:p>
    <w:p w14:paraId="4DFB1B8C">
      <w:pPr>
        <w:spacing w:line="360" w:lineRule="auto"/>
        <w:ind w:firstLine="480" w:firstLineChars="200"/>
        <w:rPr>
          <w:rFonts w:hint="eastAsia" w:ascii="宋体" w:hAnsi="宋体"/>
          <w:sz w:val="24"/>
          <w:szCs w:val="22"/>
        </w:rPr>
      </w:pPr>
      <w:r>
        <w:rPr>
          <w:rFonts w:hint="eastAsia" w:ascii="宋体" w:hAnsi="宋体"/>
          <w:sz w:val="24"/>
          <w:szCs w:val="22"/>
        </w:rPr>
        <w:t>（二）课程成绩=平时成绩×</w:t>
      </w:r>
      <w:r>
        <w:rPr>
          <w:rFonts w:ascii="宋体" w:hAnsi="宋体"/>
          <w:sz w:val="24"/>
          <w:szCs w:val="22"/>
        </w:rPr>
        <w:t>3</w:t>
      </w:r>
      <w:r>
        <w:rPr>
          <w:rFonts w:hint="eastAsia" w:ascii="宋体" w:hAnsi="宋体"/>
          <w:sz w:val="24"/>
          <w:szCs w:val="22"/>
        </w:rPr>
        <w:t>0%+课内实践成绩×</w:t>
      </w:r>
      <w:r>
        <w:rPr>
          <w:rFonts w:ascii="宋体" w:hAnsi="宋体"/>
          <w:sz w:val="24"/>
          <w:szCs w:val="22"/>
        </w:rPr>
        <w:t>2</w:t>
      </w:r>
      <w:r>
        <w:rPr>
          <w:rFonts w:hint="eastAsia" w:ascii="宋体" w:hAnsi="宋体"/>
          <w:sz w:val="24"/>
          <w:szCs w:val="22"/>
        </w:rPr>
        <w:t>0%+期末考试成绩×</w:t>
      </w:r>
      <w:r>
        <w:rPr>
          <w:rFonts w:ascii="宋体" w:hAnsi="宋体"/>
          <w:sz w:val="24"/>
          <w:szCs w:val="22"/>
        </w:rPr>
        <w:t>5</w:t>
      </w:r>
      <w:r>
        <w:rPr>
          <w:rFonts w:hint="eastAsia" w:ascii="宋体" w:hAnsi="宋体"/>
          <w:sz w:val="24"/>
          <w:szCs w:val="22"/>
        </w:rPr>
        <w:t>0%。</w:t>
      </w:r>
    </w:p>
    <w:p w14:paraId="28B85464">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13B1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2A18E86E">
            <w:pPr>
              <w:jc w:val="center"/>
              <w:rPr>
                <w:rFonts w:ascii="宋体" w:hAnsi="宋体"/>
                <w:b/>
              </w:rPr>
            </w:pPr>
            <w:r>
              <w:rPr>
                <w:rFonts w:ascii="宋体" w:hAnsi="宋体"/>
                <w:b/>
              </w:rPr>
              <w:t>成绩组成</w:t>
            </w:r>
          </w:p>
        </w:tc>
        <w:tc>
          <w:tcPr>
            <w:tcW w:w="1134" w:type="dxa"/>
            <w:shd w:val="clear" w:color="auto" w:fill="FFFFFF"/>
            <w:noWrap w:val="0"/>
            <w:vAlign w:val="center"/>
          </w:tcPr>
          <w:p w14:paraId="33DCF865">
            <w:pPr>
              <w:jc w:val="center"/>
              <w:rPr>
                <w:rFonts w:ascii="宋体" w:hAnsi="宋体"/>
                <w:b/>
              </w:rPr>
            </w:pPr>
            <w:r>
              <w:rPr>
                <w:rFonts w:ascii="宋体" w:hAnsi="宋体"/>
                <w:b/>
              </w:rPr>
              <w:t>考核/</w:t>
            </w:r>
          </w:p>
          <w:p w14:paraId="14539C35">
            <w:pPr>
              <w:jc w:val="center"/>
              <w:rPr>
                <w:rFonts w:ascii="宋体" w:hAnsi="宋体"/>
                <w:b/>
              </w:rPr>
            </w:pPr>
            <w:r>
              <w:rPr>
                <w:rFonts w:ascii="宋体" w:hAnsi="宋体"/>
                <w:b/>
              </w:rPr>
              <w:t>评价环节</w:t>
            </w:r>
          </w:p>
        </w:tc>
        <w:tc>
          <w:tcPr>
            <w:tcW w:w="709" w:type="dxa"/>
            <w:shd w:val="clear" w:color="auto" w:fill="FFFFFF"/>
            <w:noWrap w:val="0"/>
            <w:vAlign w:val="center"/>
          </w:tcPr>
          <w:p w14:paraId="76AA44FF">
            <w:pPr>
              <w:jc w:val="center"/>
              <w:rPr>
                <w:rFonts w:ascii="宋体" w:hAnsi="宋体"/>
                <w:b/>
              </w:rPr>
            </w:pPr>
            <w:r>
              <w:rPr>
                <w:rFonts w:hint="eastAsia" w:ascii="宋体" w:hAnsi="宋体"/>
                <w:b/>
              </w:rPr>
              <w:t>权重</w:t>
            </w:r>
          </w:p>
        </w:tc>
        <w:tc>
          <w:tcPr>
            <w:tcW w:w="2693" w:type="dxa"/>
            <w:shd w:val="clear" w:color="auto" w:fill="FFFFFF"/>
            <w:noWrap w:val="0"/>
            <w:vAlign w:val="center"/>
          </w:tcPr>
          <w:p w14:paraId="1CF2D441">
            <w:pPr>
              <w:jc w:val="center"/>
              <w:rPr>
                <w:rFonts w:ascii="宋体" w:hAnsi="宋体"/>
                <w:b/>
              </w:rPr>
            </w:pPr>
            <w:r>
              <w:rPr>
                <w:rFonts w:ascii="宋体" w:hAnsi="宋体"/>
                <w:b/>
              </w:rPr>
              <w:t>考核/评价细则</w:t>
            </w:r>
          </w:p>
        </w:tc>
        <w:tc>
          <w:tcPr>
            <w:tcW w:w="1276" w:type="dxa"/>
            <w:shd w:val="clear" w:color="auto" w:fill="FFFFFF"/>
            <w:noWrap w:val="0"/>
            <w:vAlign w:val="top"/>
          </w:tcPr>
          <w:p w14:paraId="466E0709">
            <w:pPr>
              <w:ind w:firstLine="316" w:firstLineChars="150"/>
              <w:rPr>
                <w:rFonts w:ascii="宋体" w:hAnsi="宋体"/>
                <w:b/>
              </w:rPr>
            </w:pPr>
            <w:r>
              <w:rPr>
                <w:rFonts w:hint="eastAsia" w:ascii="宋体" w:hAnsi="宋体"/>
                <w:b/>
              </w:rPr>
              <w:t>课程</w:t>
            </w:r>
          </w:p>
          <w:p w14:paraId="350F5B4B">
            <w:pPr>
              <w:jc w:val="center"/>
              <w:rPr>
                <w:rFonts w:ascii="宋体" w:hAnsi="宋体"/>
                <w:b/>
              </w:rPr>
            </w:pPr>
            <w:r>
              <w:rPr>
                <w:rFonts w:hint="eastAsia" w:ascii="宋体" w:hAnsi="宋体"/>
                <w:b/>
              </w:rPr>
              <w:t>目标</w:t>
            </w:r>
          </w:p>
        </w:tc>
        <w:tc>
          <w:tcPr>
            <w:tcW w:w="1276" w:type="dxa"/>
            <w:shd w:val="clear" w:color="auto" w:fill="FFFFFF"/>
            <w:noWrap w:val="0"/>
            <w:vAlign w:val="top"/>
          </w:tcPr>
          <w:p w14:paraId="5F5CBF4F">
            <w:pPr>
              <w:ind w:left="-107" w:leftChars="-51"/>
              <w:jc w:val="center"/>
              <w:rPr>
                <w:rFonts w:ascii="宋体" w:hAnsi="宋体"/>
                <w:b/>
              </w:rPr>
            </w:pPr>
            <w:r>
              <w:rPr>
                <w:rFonts w:hint="eastAsia" w:ascii="宋体" w:hAnsi="宋体"/>
                <w:b/>
              </w:rPr>
              <w:t>考核</w:t>
            </w:r>
          </w:p>
          <w:p w14:paraId="58C52131">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53D7370D">
            <w:pPr>
              <w:ind w:left="-107" w:leftChars="-51"/>
              <w:jc w:val="center"/>
              <w:rPr>
                <w:rFonts w:ascii="宋体" w:hAnsi="宋体"/>
                <w:b/>
              </w:rPr>
            </w:pPr>
            <w:r>
              <w:rPr>
                <w:rFonts w:ascii="宋体" w:hAnsi="宋体"/>
                <w:b/>
              </w:rPr>
              <w:t>对应的毕业要求指标点</w:t>
            </w:r>
          </w:p>
        </w:tc>
      </w:tr>
      <w:tr w14:paraId="3AA0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143E797C">
            <w:pPr>
              <w:pStyle w:val="40"/>
              <w:jc w:val="center"/>
              <w:rPr>
                <w:rFonts w:eastAsia="宋体"/>
              </w:rPr>
            </w:pPr>
            <w:r>
              <w:rPr>
                <w:rFonts w:eastAsia="宋体"/>
              </w:rPr>
              <w:t>平时成绩</w:t>
            </w:r>
          </w:p>
        </w:tc>
        <w:tc>
          <w:tcPr>
            <w:tcW w:w="1134" w:type="dxa"/>
            <w:noWrap w:val="0"/>
            <w:vAlign w:val="center"/>
          </w:tcPr>
          <w:p w14:paraId="607E4E41">
            <w:pPr>
              <w:pStyle w:val="40"/>
              <w:jc w:val="center"/>
              <w:rPr>
                <w:rFonts w:eastAsia="宋体"/>
              </w:rPr>
            </w:pPr>
            <w:r>
              <w:rPr>
                <w:rFonts w:hint="eastAsia" w:eastAsia="宋体"/>
              </w:rPr>
              <w:t>作业</w:t>
            </w:r>
          </w:p>
          <w:p w14:paraId="7CD2024F">
            <w:pPr>
              <w:pStyle w:val="40"/>
              <w:jc w:val="center"/>
              <w:rPr>
                <w:rFonts w:eastAsia="宋体"/>
              </w:rPr>
            </w:pPr>
            <w:r>
              <w:rPr>
                <w:rFonts w:hint="eastAsia" w:eastAsia="宋体"/>
              </w:rPr>
              <w:t>+</w:t>
            </w:r>
          </w:p>
          <w:p w14:paraId="239E975C">
            <w:pPr>
              <w:pStyle w:val="40"/>
              <w:jc w:val="center"/>
              <w:rPr>
                <w:rFonts w:eastAsia="宋体"/>
              </w:rPr>
            </w:pPr>
            <w:r>
              <w:rPr>
                <w:rFonts w:hint="eastAsia" w:eastAsia="宋体"/>
              </w:rPr>
              <w:t>考勤</w:t>
            </w:r>
          </w:p>
        </w:tc>
        <w:tc>
          <w:tcPr>
            <w:tcW w:w="709" w:type="dxa"/>
            <w:noWrap w:val="0"/>
            <w:vAlign w:val="center"/>
          </w:tcPr>
          <w:p w14:paraId="221D8D64">
            <w:pPr>
              <w:pStyle w:val="40"/>
              <w:jc w:val="center"/>
              <w:rPr>
                <w:rFonts w:eastAsia="宋体"/>
              </w:rPr>
            </w:pPr>
            <w:r>
              <w:rPr>
                <w:rFonts w:hint="eastAsia" w:eastAsia="宋体"/>
              </w:rPr>
              <w:t>20</w:t>
            </w:r>
            <w:r>
              <w:rPr>
                <w:rFonts w:eastAsia="宋体"/>
              </w:rPr>
              <w:t>%</w:t>
            </w:r>
          </w:p>
        </w:tc>
        <w:tc>
          <w:tcPr>
            <w:tcW w:w="2693" w:type="dxa"/>
            <w:noWrap w:val="0"/>
            <w:vAlign w:val="center"/>
          </w:tcPr>
          <w:p w14:paraId="48B77AA1">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088FADCC">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44B2249D">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3A1CA617">
            <w:pPr>
              <w:jc w:val="center"/>
              <w:rPr>
                <w:rFonts w:hint="eastAsia" w:ascii="宋体" w:hAnsi="宋体" w:cs="宋体"/>
                <w:kern w:val="0"/>
                <w:szCs w:val="21"/>
              </w:rPr>
            </w:pPr>
            <w:r>
              <w:rPr>
                <w:rFonts w:hint="eastAsia" w:ascii="宋体" w:hAnsi="宋体"/>
              </w:rPr>
              <w:t>课堂观察</w:t>
            </w:r>
            <w:r>
              <w:rPr>
                <w:rFonts w:ascii="宋体" w:hAnsi="宋体"/>
              </w:rPr>
              <w:t>与模拟教学的内涵</w:t>
            </w:r>
            <w:r>
              <w:rPr>
                <w:rFonts w:hint="eastAsia" w:ascii="宋体" w:hAnsi="宋体"/>
              </w:rPr>
              <w:t>，</w:t>
            </w:r>
            <w:r>
              <w:rPr>
                <w:rFonts w:ascii="宋体" w:hAnsi="宋体"/>
              </w:rPr>
              <w:t>课堂观察的类型</w:t>
            </w:r>
            <w:r>
              <w:rPr>
                <w:rFonts w:hint="eastAsia" w:ascii="宋体" w:hAnsi="宋体"/>
              </w:rPr>
              <w:t>、</w:t>
            </w:r>
            <w:r>
              <w:rPr>
                <w:rFonts w:ascii="宋体" w:hAnsi="宋体"/>
              </w:rPr>
              <w:t>方法</w:t>
            </w:r>
            <w:r>
              <w:rPr>
                <w:rFonts w:hint="eastAsia" w:ascii="宋体" w:hAnsi="宋体"/>
              </w:rPr>
              <w:t>、</w:t>
            </w:r>
            <w:r>
              <w:rPr>
                <w:rFonts w:ascii="宋体" w:hAnsi="宋体"/>
              </w:rPr>
              <w:t>实施，模拟教学的原则、方法、流程</w:t>
            </w:r>
            <w:r>
              <w:rPr>
                <w:rFonts w:hint="eastAsia" w:ascii="宋体" w:hAnsi="宋体"/>
              </w:rPr>
              <w:t>等</w:t>
            </w:r>
          </w:p>
        </w:tc>
        <w:tc>
          <w:tcPr>
            <w:tcW w:w="1276" w:type="dxa"/>
            <w:noWrap w:val="0"/>
            <w:vAlign w:val="center"/>
          </w:tcPr>
          <w:p w14:paraId="20ADCBDA">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556C59AB">
            <w:pPr>
              <w:jc w:val="center"/>
              <w:rPr>
                <w:rFonts w:hint="eastAsia" w:ascii="宋体" w:hAnsi="宋体"/>
                <w:szCs w:val="21"/>
              </w:rPr>
            </w:pPr>
            <w:r>
              <w:rPr>
                <w:rFonts w:hint="eastAsia" w:ascii="宋体" w:hAnsi="宋体"/>
                <w:kern w:val="0"/>
                <w:szCs w:val="21"/>
              </w:rPr>
              <w:t>4-3、</w:t>
            </w:r>
            <w:r>
              <w:rPr>
                <w:rFonts w:hint="eastAsia" w:ascii="宋体" w:hAnsi="宋体"/>
                <w:szCs w:val="21"/>
              </w:rPr>
              <w:t>4-4</w:t>
            </w:r>
          </w:p>
        </w:tc>
      </w:tr>
      <w:tr w14:paraId="40E8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16A83B16">
            <w:pPr>
              <w:pStyle w:val="40"/>
              <w:jc w:val="center"/>
              <w:rPr>
                <w:rFonts w:eastAsia="宋体"/>
              </w:rPr>
            </w:pPr>
          </w:p>
        </w:tc>
        <w:tc>
          <w:tcPr>
            <w:tcW w:w="1134" w:type="dxa"/>
            <w:noWrap w:val="0"/>
            <w:vAlign w:val="center"/>
          </w:tcPr>
          <w:p w14:paraId="2E4B8CA3">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070AC86F">
            <w:pPr>
              <w:pStyle w:val="40"/>
              <w:jc w:val="center"/>
              <w:rPr>
                <w:rFonts w:hint="eastAsia" w:eastAsia="宋体"/>
              </w:rPr>
            </w:pPr>
            <w:r>
              <w:rPr>
                <w:rFonts w:hint="eastAsia" w:eastAsia="宋体"/>
              </w:rPr>
              <w:t>10%</w:t>
            </w:r>
          </w:p>
        </w:tc>
        <w:tc>
          <w:tcPr>
            <w:tcW w:w="2693" w:type="dxa"/>
            <w:noWrap w:val="0"/>
            <w:vAlign w:val="center"/>
          </w:tcPr>
          <w:p w14:paraId="7D025410">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267A2816">
            <w:pPr>
              <w:jc w:val="center"/>
              <w:rPr>
                <w:rFonts w:hint="eastAsia" w:ascii="宋体" w:hAnsi="宋体"/>
              </w:rPr>
            </w:pPr>
            <w:r>
              <w:rPr>
                <w:rFonts w:hint="eastAsia" w:ascii="宋体" w:hAnsi="宋体"/>
              </w:rPr>
              <w:t>课程目标1课程目标2</w:t>
            </w:r>
          </w:p>
          <w:p w14:paraId="26DB97AB">
            <w:pPr>
              <w:jc w:val="center"/>
              <w:rPr>
                <w:rFonts w:hint="eastAsia" w:ascii="宋体" w:hAnsi="宋体"/>
              </w:rPr>
            </w:pPr>
            <w:r>
              <w:rPr>
                <w:rFonts w:hint="eastAsia" w:ascii="宋体" w:hAnsi="宋体"/>
              </w:rPr>
              <w:t>课程目标3</w:t>
            </w:r>
          </w:p>
          <w:p w14:paraId="412F53CE">
            <w:pPr>
              <w:jc w:val="center"/>
              <w:rPr>
                <w:rFonts w:hint="eastAsia" w:ascii="宋体" w:hAnsi="宋体"/>
              </w:rPr>
            </w:pPr>
            <w:r>
              <w:rPr>
                <w:rFonts w:hint="eastAsia" w:ascii="宋体" w:hAnsi="宋体"/>
              </w:rPr>
              <w:t>课程目标4</w:t>
            </w:r>
          </w:p>
        </w:tc>
        <w:tc>
          <w:tcPr>
            <w:tcW w:w="1276" w:type="dxa"/>
            <w:noWrap w:val="0"/>
            <w:vAlign w:val="center"/>
          </w:tcPr>
          <w:p w14:paraId="7ED1B02C">
            <w:pPr>
              <w:jc w:val="center"/>
              <w:rPr>
                <w:rFonts w:hint="eastAsia" w:ascii="宋体" w:hAnsi="宋体"/>
              </w:rPr>
            </w:pPr>
            <w:r>
              <w:rPr>
                <w:rFonts w:hint="eastAsia" w:ascii="宋体" w:hAnsi="宋体"/>
              </w:rPr>
              <w:t>课堂</w:t>
            </w:r>
            <w:r>
              <w:rPr>
                <w:rFonts w:ascii="宋体" w:hAnsi="宋体"/>
              </w:rPr>
              <w:t>沟通、教学实践</w:t>
            </w:r>
          </w:p>
        </w:tc>
        <w:tc>
          <w:tcPr>
            <w:tcW w:w="1276" w:type="dxa"/>
            <w:noWrap w:val="0"/>
            <w:vAlign w:val="center"/>
          </w:tcPr>
          <w:p w14:paraId="749ACA26">
            <w:pPr>
              <w:jc w:val="center"/>
              <w:rPr>
                <w:rFonts w:hint="eastAsia" w:ascii="宋体" w:hAnsi="宋体"/>
                <w:szCs w:val="21"/>
              </w:rPr>
            </w:pPr>
            <w:r>
              <w:rPr>
                <w:rFonts w:hint="eastAsia" w:ascii="宋体" w:hAnsi="宋体"/>
                <w:szCs w:val="21"/>
              </w:rPr>
              <w:t>4-1、4-2</w:t>
            </w:r>
          </w:p>
          <w:p w14:paraId="3FEC02B4">
            <w:pPr>
              <w:jc w:val="center"/>
              <w:rPr>
                <w:rFonts w:hint="eastAsia" w:ascii="宋体" w:hAnsi="宋体"/>
                <w:szCs w:val="21"/>
              </w:rPr>
            </w:pPr>
            <w:r>
              <w:rPr>
                <w:rFonts w:hint="eastAsia" w:ascii="宋体" w:hAnsi="宋体"/>
                <w:szCs w:val="21"/>
              </w:rPr>
              <w:t>4-3、4-4</w:t>
            </w:r>
          </w:p>
          <w:p w14:paraId="3F126757">
            <w:pPr>
              <w:jc w:val="center"/>
              <w:rPr>
                <w:rFonts w:ascii="宋体" w:hAnsi="宋体"/>
                <w:szCs w:val="21"/>
              </w:rPr>
            </w:pPr>
            <w:r>
              <w:rPr>
                <w:rFonts w:ascii="宋体" w:hAnsi="宋体"/>
                <w:szCs w:val="21"/>
              </w:rPr>
              <w:t>8-1</w:t>
            </w:r>
          </w:p>
        </w:tc>
      </w:tr>
      <w:tr w14:paraId="1DD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4D592BC1">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31F4EF0E">
            <w:pPr>
              <w:pStyle w:val="40"/>
              <w:jc w:val="center"/>
              <w:rPr>
                <w:rFonts w:eastAsia="宋体"/>
              </w:rPr>
            </w:pPr>
            <w:r>
              <w:rPr>
                <w:rFonts w:hint="eastAsia" w:eastAsia="宋体"/>
              </w:rPr>
              <w:t>方案评价+</w:t>
            </w:r>
          </w:p>
          <w:p w14:paraId="63122AFA">
            <w:pPr>
              <w:pStyle w:val="40"/>
              <w:jc w:val="center"/>
              <w:rPr>
                <w:rFonts w:hint="eastAsia" w:eastAsia="宋体"/>
              </w:rPr>
            </w:pPr>
            <w:r>
              <w:rPr>
                <w:rFonts w:hint="eastAsia" w:eastAsia="宋体"/>
              </w:rPr>
              <w:t>现场</w:t>
            </w:r>
            <w:r>
              <w:rPr>
                <w:rFonts w:eastAsia="宋体"/>
              </w:rPr>
              <w:t>考核</w:t>
            </w:r>
          </w:p>
        </w:tc>
        <w:tc>
          <w:tcPr>
            <w:tcW w:w="709" w:type="dxa"/>
            <w:noWrap w:val="0"/>
            <w:vAlign w:val="center"/>
          </w:tcPr>
          <w:p w14:paraId="03E03735">
            <w:pPr>
              <w:pStyle w:val="40"/>
              <w:jc w:val="center"/>
              <w:rPr>
                <w:rFonts w:eastAsia="宋体"/>
              </w:rPr>
            </w:pPr>
            <w:r>
              <w:rPr>
                <w:rFonts w:eastAsia="宋体"/>
              </w:rPr>
              <w:t>2</w:t>
            </w:r>
            <w:r>
              <w:rPr>
                <w:rFonts w:hint="eastAsia" w:eastAsia="宋体"/>
              </w:rPr>
              <w:t>0</w:t>
            </w:r>
            <w:r>
              <w:rPr>
                <w:rFonts w:eastAsia="宋体"/>
              </w:rPr>
              <w:t>%</w:t>
            </w:r>
          </w:p>
        </w:tc>
        <w:tc>
          <w:tcPr>
            <w:tcW w:w="2693" w:type="dxa"/>
            <w:noWrap w:val="0"/>
            <w:vAlign w:val="center"/>
          </w:tcPr>
          <w:p w14:paraId="269309E4">
            <w:pPr>
              <w:pStyle w:val="40"/>
              <w:rPr>
                <w:rFonts w:eastAsia="宋体"/>
                <w:szCs w:val="21"/>
              </w:rPr>
            </w:pPr>
            <w:r>
              <w:rPr>
                <w:rFonts w:hint="eastAsia" w:eastAsia="宋体"/>
                <w:szCs w:val="21"/>
              </w:rPr>
              <w:t>认真完成</w:t>
            </w:r>
            <w:r>
              <w:rPr>
                <w:rFonts w:eastAsia="宋体"/>
                <w:szCs w:val="21"/>
              </w:rPr>
              <w:t>5</w:t>
            </w:r>
            <w:r>
              <w:rPr>
                <w:rFonts w:hint="eastAsia" w:eastAsia="宋体"/>
                <w:szCs w:val="21"/>
              </w:rPr>
              <w:t>个项目的课内实践，提交相应的课堂</w:t>
            </w:r>
            <w:r>
              <w:rPr>
                <w:rFonts w:eastAsia="宋体"/>
                <w:szCs w:val="21"/>
              </w:rPr>
              <w:t>观察报告、</w:t>
            </w:r>
            <w:r>
              <w:rPr>
                <w:rFonts w:hint="eastAsia" w:eastAsia="宋体"/>
                <w:szCs w:val="21"/>
              </w:rPr>
              <w:t>教学设计</w:t>
            </w:r>
            <w:r>
              <w:rPr>
                <w:rFonts w:eastAsia="宋体"/>
                <w:szCs w:val="21"/>
              </w:rPr>
              <w:t>等</w:t>
            </w:r>
            <w:r>
              <w:rPr>
                <w:rFonts w:hint="eastAsia" w:eastAsia="宋体"/>
                <w:szCs w:val="21"/>
              </w:rPr>
              <w:t>，并具体课堂</w:t>
            </w:r>
            <w:r>
              <w:rPr>
                <w:rFonts w:eastAsia="宋体"/>
                <w:szCs w:val="21"/>
              </w:rPr>
              <w:t>观察和模拟教学；</w:t>
            </w:r>
            <w:r>
              <w:rPr>
                <w:rFonts w:hint="eastAsia" w:eastAsia="宋体"/>
                <w:szCs w:val="21"/>
              </w:rPr>
              <w:t>实行组内互评与教师评价相结合的方式。</w:t>
            </w:r>
            <w:r>
              <w:rPr>
                <w:rFonts w:eastAsia="宋体"/>
                <w:szCs w:val="21"/>
              </w:rPr>
              <w:t>5</w:t>
            </w:r>
            <w:r>
              <w:rPr>
                <w:rFonts w:hint="eastAsia" w:eastAsia="宋体"/>
                <w:szCs w:val="21"/>
              </w:rPr>
              <w:t>个项目成绩取平均分作为课内实践分。</w:t>
            </w:r>
          </w:p>
        </w:tc>
        <w:tc>
          <w:tcPr>
            <w:tcW w:w="1276" w:type="dxa"/>
            <w:noWrap w:val="0"/>
            <w:vAlign w:val="center"/>
          </w:tcPr>
          <w:p w14:paraId="07D91C72">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20A577E9">
            <w:pPr>
              <w:jc w:val="center"/>
              <w:rPr>
                <w:rFonts w:ascii="宋体" w:hAnsi="宋体"/>
              </w:rPr>
            </w:pPr>
            <w:r>
              <w:rPr>
                <w:rFonts w:hint="eastAsia" w:ascii="宋体" w:hAnsi="宋体"/>
              </w:rPr>
              <w:t>课程目标</w:t>
            </w:r>
            <w:r>
              <w:rPr>
                <w:rFonts w:ascii="宋体" w:hAnsi="宋体"/>
              </w:rPr>
              <w:t>3</w:t>
            </w:r>
          </w:p>
          <w:p w14:paraId="4702DE60">
            <w:pPr>
              <w:jc w:val="center"/>
              <w:rPr>
                <w:rFonts w:hint="eastAsia" w:ascii="宋体" w:hAnsi="宋体"/>
              </w:rPr>
            </w:pPr>
            <w:r>
              <w:rPr>
                <w:rFonts w:hint="eastAsia" w:ascii="宋体" w:hAnsi="宋体"/>
              </w:rPr>
              <w:t>课程目标4</w:t>
            </w:r>
          </w:p>
        </w:tc>
        <w:tc>
          <w:tcPr>
            <w:tcW w:w="1276" w:type="dxa"/>
            <w:noWrap w:val="0"/>
            <w:vAlign w:val="center"/>
          </w:tcPr>
          <w:p w14:paraId="7BA3AECF">
            <w:pPr>
              <w:jc w:val="center"/>
              <w:rPr>
                <w:rFonts w:hint="eastAsia" w:ascii="宋体" w:hAnsi="宋体" w:cs="宋体"/>
                <w:kern w:val="0"/>
                <w:szCs w:val="21"/>
              </w:rPr>
            </w:pPr>
            <w:r>
              <w:rPr>
                <w:rFonts w:hint="eastAsia" w:ascii="宋体" w:hAnsi="宋体"/>
              </w:rPr>
              <w:t>课堂观察</w:t>
            </w:r>
            <w:r>
              <w:rPr>
                <w:rFonts w:ascii="宋体" w:hAnsi="宋体"/>
              </w:rPr>
              <w:t>与模拟教学的内涵</w:t>
            </w:r>
            <w:r>
              <w:rPr>
                <w:rFonts w:hint="eastAsia" w:ascii="宋体" w:hAnsi="宋体"/>
              </w:rPr>
              <w:t>，</w:t>
            </w:r>
            <w:r>
              <w:rPr>
                <w:rFonts w:ascii="宋体" w:hAnsi="宋体"/>
              </w:rPr>
              <w:t>课堂观察的类型</w:t>
            </w:r>
            <w:r>
              <w:rPr>
                <w:rFonts w:hint="eastAsia" w:ascii="宋体" w:hAnsi="宋体"/>
              </w:rPr>
              <w:t>、</w:t>
            </w:r>
            <w:r>
              <w:rPr>
                <w:rFonts w:ascii="宋体" w:hAnsi="宋体"/>
              </w:rPr>
              <w:t>方法</w:t>
            </w:r>
            <w:r>
              <w:rPr>
                <w:rFonts w:hint="eastAsia" w:ascii="宋体" w:hAnsi="宋体"/>
              </w:rPr>
              <w:t>、</w:t>
            </w:r>
            <w:r>
              <w:rPr>
                <w:rFonts w:ascii="宋体" w:hAnsi="宋体"/>
              </w:rPr>
              <w:t>实施，模拟教学的原则、方法、流程</w:t>
            </w:r>
            <w:r>
              <w:rPr>
                <w:rFonts w:hint="eastAsia" w:ascii="宋体" w:hAnsi="宋体"/>
              </w:rPr>
              <w:t>、</w:t>
            </w:r>
            <w:r>
              <w:rPr>
                <w:rFonts w:ascii="宋体" w:hAnsi="宋体"/>
              </w:rPr>
              <w:t>实施</w:t>
            </w:r>
            <w:r>
              <w:rPr>
                <w:rFonts w:hint="eastAsia" w:ascii="宋体" w:hAnsi="宋体"/>
              </w:rPr>
              <w:t>等</w:t>
            </w:r>
          </w:p>
        </w:tc>
        <w:tc>
          <w:tcPr>
            <w:tcW w:w="1276" w:type="dxa"/>
            <w:noWrap w:val="0"/>
            <w:vAlign w:val="center"/>
          </w:tcPr>
          <w:p w14:paraId="00CE77FE">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5B2C051A">
            <w:pPr>
              <w:jc w:val="center"/>
              <w:rPr>
                <w:rFonts w:ascii="宋体" w:hAnsi="宋体"/>
                <w:szCs w:val="21"/>
              </w:rPr>
            </w:pPr>
            <w:r>
              <w:rPr>
                <w:rFonts w:hint="eastAsia" w:ascii="宋体" w:hAnsi="宋体"/>
                <w:kern w:val="0"/>
                <w:szCs w:val="21"/>
              </w:rPr>
              <w:t>4-3、</w:t>
            </w:r>
            <w:r>
              <w:rPr>
                <w:rFonts w:hint="eastAsia" w:ascii="宋体" w:hAnsi="宋体"/>
                <w:szCs w:val="21"/>
              </w:rPr>
              <w:t>4-4</w:t>
            </w:r>
          </w:p>
          <w:p w14:paraId="2DF307CA">
            <w:pPr>
              <w:jc w:val="center"/>
              <w:rPr>
                <w:rFonts w:hint="eastAsia" w:ascii="宋体" w:hAnsi="宋体"/>
                <w:szCs w:val="21"/>
              </w:rPr>
            </w:pPr>
            <w:r>
              <w:rPr>
                <w:rFonts w:hint="eastAsia" w:ascii="宋体" w:hAnsi="宋体"/>
                <w:szCs w:val="21"/>
              </w:rPr>
              <w:t>8-1</w:t>
            </w:r>
          </w:p>
        </w:tc>
      </w:tr>
      <w:tr w14:paraId="18D3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2D9AD6CB">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5B0E01BA">
            <w:pPr>
              <w:pStyle w:val="40"/>
              <w:jc w:val="center"/>
              <w:rPr>
                <w:rFonts w:eastAsia="宋体"/>
              </w:rPr>
            </w:pPr>
            <w:r>
              <w:rPr>
                <w:rFonts w:hint="eastAsia" w:eastAsia="宋体"/>
              </w:rPr>
              <w:t>开卷笔试</w:t>
            </w:r>
          </w:p>
          <w:p w14:paraId="58A269B8">
            <w:pPr>
              <w:pStyle w:val="40"/>
              <w:jc w:val="center"/>
              <w:rPr>
                <w:rFonts w:eastAsia="宋体"/>
              </w:rPr>
            </w:pPr>
            <w:r>
              <w:rPr>
                <w:rFonts w:hint="eastAsia" w:eastAsia="宋体"/>
              </w:rPr>
              <w:t>+</w:t>
            </w:r>
          </w:p>
          <w:p w14:paraId="1CDA2158">
            <w:pPr>
              <w:pStyle w:val="40"/>
              <w:jc w:val="center"/>
              <w:rPr>
                <w:rFonts w:hint="eastAsia" w:eastAsia="宋体"/>
              </w:rPr>
            </w:pPr>
            <w:r>
              <w:rPr>
                <w:rFonts w:hint="eastAsia" w:eastAsia="宋体"/>
              </w:rPr>
              <w:t>现场</w:t>
            </w:r>
            <w:r>
              <w:rPr>
                <w:rFonts w:eastAsia="宋体"/>
              </w:rPr>
              <w:t>考核</w:t>
            </w:r>
          </w:p>
        </w:tc>
        <w:tc>
          <w:tcPr>
            <w:tcW w:w="709" w:type="dxa"/>
            <w:noWrap w:val="0"/>
            <w:vAlign w:val="center"/>
          </w:tcPr>
          <w:p w14:paraId="3C9F7039">
            <w:pPr>
              <w:pStyle w:val="40"/>
              <w:jc w:val="center"/>
              <w:rPr>
                <w:rFonts w:eastAsia="宋体"/>
              </w:rPr>
            </w:pPr>
            <w:r>
              <w:rPr>
                <w:rFonts w:eastAsia="宋体"/>
              </w:rPr>
              <w:t>20%</w:t>
            </w:r>
          </w:p>
          <w:p w14:paraId="477AFEA7">
            <w:pPr>
              <w:pStyle w:val="40"/>
              <w:jc w:val="center"/>
              <w:rPr>
                <w:rFonts w:eastAsia="宋体"/>
              </w:rPr>
            </w:pPr>
            <w:r>
              <w:rPr>
                <w:rFonts w:hint="eastAsia" w:eastAsia="宋体"/>
              </w:rPr>
              <w:t>+</w:t>
            </w:r>
          </w:p>
          <w:p w14:paraId="11BE56CF">
            <w:pPr>
              <w:pStyle w:val="40"/>
              <w:jc w:val="center"/>
              <w:rPr>
                <w:rFonts w:eastAsia="宋体"/>
              </w:rPr>
            </w:pPr>
            <w:r>
              <w:rPr>
                <w:rFonts w:eastAsia="宋体"/>
              </w:rPr>
              <w:t>3</w:t>
            </w:r>
            <w:r>
              <w:rPr>
                <w:rFonts w:hint="eastAsia" w:eastAsia="宋体"/>
              </w:rPr>
              <w:t xml:space="preserve">0 </w:t>
            </w:r>
            <w:r>
              <w:rPr>
                <w:rFonts w:eastAsia="宋体"/>
              </w:rPr>
              <w:t>%</w:t>
            </w:r>
          </w:p>
        </w:tc>
        <w:tc>
          <w:tcPr>
            <w:tcW w:w="2693" w:type="dxa"/>
            <w:noWrap w:val="0"/>
            <w:vAlign w:val="center"/>
          </w:tcPr>
          <w:p w14:paraId="08F990C7">
            <w:pPr>
              <w:pStyle w:val="40"/>
              <w:rPr>
                <w:rFonts w:eastAsia="宋体"/>
                <w:szCs w:val="21"/>
              </w:rPr>
            </w:pPr>
            <w:r>
              <w:rPr>
                <w:rFonts w:hint="eastAsia" w:eastAsia="宋体"/>
                <w:szCs w:val="21"/>
              </w:rPr>
              <w:t>试卷题型包括简答题、分析题、设计题等题型，重点考核师范生运用理论知识分析问题、解决问题的能力。</w:t>
            </w:r>
          </w:p>
          <w:p w14:paraId="0BAC95CA">
            <w:pPr>
              <w:pStyle w:val="40"/>
              <w:rPr>
                <w:rFonts w:hint="eastAsia" w:eastAsia="宋体"/>
                <w:szCs w:val="21"/>
              </w:rPr>
            </w:pPr>
            <w:r>
              <w:rPr>
                <w:rFonts w:hint="eastAsia" w:eastAsia="宋体"/>
                <w:szCs w:val="21"/>
              </w:rPr>
              <w:t>现场</w:t>
            </w:r>
            <w:r>
              <w:rPr>
                <w:rFonts w:eastAsia="宋体"/>
                <w:szCs w:val="21"/>
              </w:rPr>
              <w:t>考核是</w:t>
            </w:r>
            <w:r>
              <w:rPr>
                <w:rFonts w:hint="eastAsia" w:eastAsia="宋体"/>
                <w:szCs w:val="21"/>
              </w:rPr>
              <w:t>让</w:t>
            </w:r>
            <w:r>
              <w:rPr>
                <w:rFonts w:eastAsia="宋体"/>
                <w:szCs w:val="21"/>
              </w:rPr>
              <w:t>师范生根据给定的内</w:t>
            </w:r>
            <w:r>
              <w:rPr>
                <w:rFonts w:hint="eastAsia" w:eastAsia="宋体"/>
                <w:szCs w:val="21"/>
              </w:rPr>
              <w:t>容进行</w:t>
            </w:r>
            <w:r>
              <w:rPr>
                <w:rFonts w:eastAsia="宋体"/>
                <w:szCs w:val="21"/>
              </w:rPr>
              <w:t>一次模拟教学，</w:t>
            </w:r>
            <w:r>
              <w:rPr>
                <w:rFonts w:hint="eastAsia" w:eastAsia="宋体"/>
                <w:szCs w:val="21"/>
              </w:rPr>
              <w:t>提交</w:t>
            </w:r>
            <w:r>
              <w:rPr>
                <w:rFonts w:eastAsia="宋体"/>
                <w:szCs w:val="21"/>
              </w:rPr>
              <w:t>视频一份。</w:t>
            </w:r>
          </w:p>
        </w:tc>
        <w:tc>
          <w:tcPr>
            <w:tcW w:w="1276" w:type="dxa"/>
            <w:noWrap w:val="0"/>
            <w:vAlign w:val="center"/>
          </w:tcPr>
          <w:p w14:paraId="0F2C7B29">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1F2E9844">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7A966D68">
            <w:pPr>
              <w:jc w:val="center"/>
              <w:rPr>
                <w:rFonts w:hint="eastAsia" w:ascii="宋体" w:hAnsi="宋体" w:cs="宋体"/>
                <w:kern w:val="0"/>
                <w:szCs w:val="21"/>
              </w:rPr>
            </w:pPr>
            <w:r>
              <w:rPr>
                <w:rFonts w:hint="eastAsia" w:ascii="宋体" w:hAnsi="宋体"/>
              </w:rPr>
              <w:t>课堂观察</w:t>
            </w:r>
            <w:r>
              <w:rPr>
                <w:rFonts w:ascii="宋体" w:hAnsi="宋体"/>
              </w:rPr>
              <w:t>与模拟教学的内涵</w:t>
            </w:r>
            <w:r>
              <w:rPr>
                <w:rFonts w:hint="eastAsia" w:ascii="宋体" w:hAnsi="宋体"/>
              </w:rPr>
              <w:t>，</w:t>
            </w:r>
            <w:r>
              <w:rPr>
                <w:rFonts w:ascii="宋体" w:hAnsi="宋体"/>
              </w:rPr>
              <w:t>课堂观察的类型</w:t>
            </w:r>
            <w:r>
              <w:rPr>
                <w:rFonts w:hint="eastAsia" w:ascii="宋体" w:hAnsi="宋体"/>
              </w:rPr>
              <w:t>、</w:t>
            </w:r>
            <w:r>
              <w:rPr>
                <w:rFonts w:ascii="宋体" w:hAnsi="宋体"/>
              </w:rPr>
              <w:t>方法</w:t>
            </w:r>
            <w:r>
              <w:rPr>
                <w:rFonts w:hint="eastAsia" w:ascii="宋体" w:hAnsi="宋体"/>
              </w:rPr>
              <w:t>、</w:t>
            </w:r>
            <w:r>
              <w:rPr>
                <w:rFonts w:ascii="宋体" w:hAnsi="宋体"/>
              </w:rPr>
              <w:t>实施，模拟教学的原则、方法、流程</w:t>
            </w:r>
            <w:r>
              <w:rPr>
                <w:rFonts w:hint="eastAsia" w:ascii="宋体" w:hAnsi="宋体"/>
              </w:rPr>
              <w:t>、</w:t>
            </w:r>
            <w:r>
              <w:rPr>
                <w:rFonts w:ascii="宋体" w:hAnsi="宋体"/>
              </w:rPr>
              <w:t>实施</w:t>
            </w:r>
            <w:r>
              <w:rPr>
                <w:rFonts w:hint="eastAsia" w:ascii="宋体" w:hAnsi="宋体"/>
              </w:rPr>
              <w:t>等</w:t>
            </w:r>
          </w:p>
        </w:tc>
        <w:tc>
          <w:tcPr>
            <w:tcW w:w="1276" w:type="dxa"/>
            <w:noWrap w:val="0"/>
            <w:vAlign w:val="center"/>
          </w:tcPr>
          <w:p w14:paraId="0E016994">
            <w:pPr>
              <w:jc w:val="center"/>
              <w:rPr>
                <w:rFonts w:ascii="宋体" w:hAnsi="宋体"/>
                <w:kern w:val="0"/>
                <w:szCs w:val="21"/>
              </w:rPr>
            </w:pPr>
            <w:r>
              <w:rPr>
                <w:rFonts w:ascii="宋体" w:hAnsi="宋体"/>
                <w:kern w:val="0"/>
                <w:szCs w:val="21"/>
              </w:rPr>
              <w:t>4-1</w:t>
            </w:r>
            <w:r>
              <w:rPr>
                <w:rFonts w:hint="eastAsia" w:ascii="宋体" w:hAnsi="宋体"/>
                <w:kern w:val="0"/>
                <w:szCs w:val="21"/>
              </w:rPr>
              <w:t>、</w:t>
            </w:r>
            <w:r>
              <w:rPr>
                <w:rFonts w:ascii="宋体" w:hAnsi="宋体"/>
                <w:kern w:val="0"/>
                <w:szCs w:val="21"/>
              </w:rPr>
              <w:t>4-2</w:t>
            </w:r>
          </w:p>
          <w:p w14:paraId="29F1D1EC">
            <w:pPr>
              <w:jc w:val="center"/>
              <w:rPr>
                <w:rFonts w:hint="eastAsia" w:ascii="宋体" w:hAnsi="宋体"/>
                <w:szCs w:val="21"/>
              </w:rPr>
            </w:pPr>
            <w:r>
              <w:rPr>
                <w:rFonts w:hint="eastAsia" w:ascii="宋体" w:hAnsi="宋体"/>
                <w:kern w:val="0"/>
                <w:szCs w:val="21"/>
              </w:rPr>
              <w:t>4-3、</w:t>
            </w:r>
            <w:r>
              <w:rPr>
                <w:rFonts w:hint="eastAsia" w:ascii="宋体" w:hAnsi="宋体"/>
                <w:szCs w:val="21"/>
              </w:rPr>
              <w:t>4-4</w:t>
            </w:r>
          </w:p>
        </w:tc>
      </w:tr>
    </w:tbl>
    <w:p w14:paraId="7725A9D2">
      <w:pPr>
        <w:spacing w:line="360" w:lineRule="auto"/>
        <w:rPr>
          <w:rFonts w:ascii="宋体" w:hAnsi="宋体"/>
          <w:sz w:val="24"/>
          <w:szCs w:val="22"/>
        </w:rPr>
      </w:pPr>
    </w:p>
    <w:p w14:paraId="321B7141">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Layout w:type="autofit"/>
        <w:tblCellMar>
          <w:top w:w="0" w:type="dxa"/>
          <w:left w:w="108" w:type="dxa"/>
          <w:bottom w:w="0" w:type="dxa"/>
          <w:right w:w="108" w:type="dxa"/>
        </w:tblCellMar>
      </w:tblPr>
      <w:tblGrid>
        <w:gridCol w:w="2048"/>
        <w:gridCol w:w="1816"/>
        <w:gridCol w:w="2196"/>
        <w:gridCol w:w="1843"/>
        <w:gridCol w:w="1134"/>
      </w:tblGrid>
      <w:tr w14:paraId="0377A3BF">
        <w:tblPrEx>
          <w:tblCellMar>
            <w:top w:w="0" w:type="dxa"/>
            <w:left w:w="108" w:type="dxa"/>
            <w:bottom w:w="0" w:type="dxa"/>
            <w:right w:w="108" w:type="dxa"/>
          </w:tblCellMar>
        </w:tblPrEx>
        <w:trPr>
          <w:trHeight w:val="413" w:hRule="atLeast"/>
        </w:trPr>
        <w:tc>
          <w:tcPr>
            <w:tcW w:w="3864" w:type="dxa"/>
            <w:gridSpan w:val="2"/>
            <w:tcBorders>
              <w:top w:val="single" w:color="auto" w:sz="8" w:space="0"/>
              <w:left w:val="single" w:color="auto" w:sz="8" w:space="0"/>
              <w:bottom w:val="single" w:color="auto" w:sz="8" w:space="0"/>
              <w:right w:val="single" w:color="000000" w:sz="8" w:space="0"/>
            </w:tcBorders>
            <w:shd w:val="clear" w:color="auto" w:fill="auto"/>
            <w:noWrap w:val="0"/>
            <w:vAlign w:val="center"/>
          </w:tcPr>
          <w:p w14:paraId="14AAB8F3">
            <w:pPr>
              <w:widowControl/>
              <w:jc w:val="center"/>
              <w:rPr>
                <w:rFonts w:ascii="宋体" w:hAnsi="宋体"/>
                <w:kern w:val="0"/>
                <w:szCs w:val="21"/>
              </w:rPr>
            </w:pPr>
            <w:r>
              <w:rPr>
                <w:rFonts w:hint="eastAsia" w:ascii="宋体" w:hAnsi="宋体"/>
                <w:kern w:val="0"/>
                <w:szCs w:val="21"/>
              </w:rPr>
              <w:t>课程目标及权重</w:t>
            </w:r>
          </w:p>
        </w:tc>
        <w:tc>
          <w:tcPr>
            <w:tcW w:w="5173" w:type="dxa"/>
            <w:gridSpan w:val="3"/>
            <w:tcBorders>
              <w:top w:val="single" w:color="auto" w:sz="8" w:space="0"/>
              <w:left w:val="nil"/>
              <w:bottom w:val="single" w:color="auto" w:sz="8" w:space="0"/>
              <w:right w:val="single" w:color="000000" w:sz="8" w:space="0"/>
            </w:tcBorders>
            <w:shd w:val="clear" w:color="auto" w:fill="auto"/>
            <w:noWrap w:val="0"/>
            <w:vAlign w:val="center"/>
          </w:tcPr>
          <w:p w14:paraId="201714C8">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39099B9C">
        <w:tblPrEx>
          <w:tblCellMar>
            <w:top w:w="0" w:type="dxa"/>
            <w:left w:w="108" w:type="dxa"/>
            <w:bottom w:w="0" w:type="dxa"/>
            <w:right w:w="108" w:type="dxa"/>
          </w:tblCellMar>
        </w:tblPrEx>
        <w:trPr>
          <w:trHeight w:val="636" w:hRule="atLeast"/>
        </w:trPr>
        <w:tc>
          <w:tcPr>
            <w:tcW w:w="2048" w:type="dxa"/>
            <w:tcBorders>
              <w:top w:val="nil"/>
              <w:left w:val="single" w:color="auto" w:sz="8" w:space="0"/>
              <w:bottom w:val="single" w:color="auto" w:sz="8" w:space="0"/>
              <w:right w:val="single" w:color="auto" w:sz="8" w:space="0"/>
            </w:tcBorders>
            <w:shd w:val="clear" w:color="auto" w:fill="auto"/>
            <w:noWrap w:val="0"/>
            <w:vAlign w:val="center"/>
          </w:tcPr>
          <w:p w14:paraId="26D04A5C">
            <w:pPr>
              <w:widowControl/>
              <w:jc w:val="center"/>
              <w:rPr>
                <w:rFonts w:hint="eastAsia" w:ascii="宋体" w:hAnsi="宋体"/>
                <w:kern w:val="0"/>
                <w:szCs w:val="21"/>
              </w:rPr>
            </w:pPr>
            <w:r>
              <w:rPr>
                <w:rFonts w:hint="eastAsia" w:ascii="宋体" w:hAnsi="宋体"/>
                <w:kern w:val="0"/>
                <w:szCs w:val="21"/>
              </w:rPr>
              <w:t>项目</w:t>
            </w:r>
          </w:p>
        </w:tc>
        <w:tc>
          <w:tcPr>
            <w:tcW w:w="1816" w:type="dxa"/>
            <w:tcBorders>
              <w:top w:val="nil"/>
              <w:left w:val="nil"/>
              <w:bottom w:val="single" w:color="auto" w:sz="8" w:space="0"/>
              <w:right w:val="single" w:color="auto" w:sz="8" w:space="0"/>
            </w:tcBorders>
            <w:shd w:val="clear" w:color="auto" w:fill="auto"/>
            <w:noWrap w:val="0"/>
            <w:vAlign w:val="center"/>
          </w:tcPr>
          <w:p w14:paraId="5D6A569F">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tcBorders>
              <w:top w:val="nil"/>
              <w:left w:val="nil"/>
              <w:bottom w:val="single" w:color="auto" w:sz="8" w:space="0"/>
              <w:right w:val="single" w:color="auto" w:sz="8" w:space="0"/>
            </w:tcBorders>
            <w:shd w:val="clear" w:color="auto" w:fill="auto"/>
            <w:noWrap w:val="0"/>
            <w:vAlign w:val="center"/>
          </w:tcPr>
          <w:p w14:paraId="6485245A">
            <w:pPr>
              <w:widowControl/>
              <w:jc w:val="center"/>
              <w:rPr>
                <w:rFonts w:hint="eastAsia" w:ascii="宋体" w:hAnsi="宋体"/>
                <w:kern w:val="0"/>
                <w:szCs w:val="21"/>
              </w:rPr>
            </w:pPr>
            <w:r>
              <w:rPr>
                <w:rFonts w:hint="eastAsia" w:ascii="宋体" w:hAnsi="宋体"/>
                <w:kern w:val="0"/>
                <w:szCs w:val="21"/>
              </w:rPr>
              <w:t>评价依据</w:t>
            </w:r>
          </w:p>
        </w:tc>
        <w:tc>
          <w:tcPr>
            <w:tcW w:w="1843" w:type="dxa"/>
            <w:tcBorders>
              <w:top w:val="nil"/>
              <w:left w:val="nil"/>
              <w:bottom w:val="single" w:color="auto" w:sz="8" w:space="0"/>
              <w:right w:val="single" w:color="auto" w:sz="8" w:space="0"/>
            </w:tcBorders>
            <w:shd w:val="clear" w:color="auto" w:fill="auto"/>
            <w:noWrap w:val="0"/>
            <w:vAlign w:val="center"/>
          </w:tcPr>
          <w:p w14:paraId="2CAF1C65">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tcBorders>
              <w:top w:val="nil"/>
              <w:left w:val="nil"/>
              <w:bottom w:val="single" w:color="auto" w:sz="8" w:space="0"/>
              <w:right w:val="single" w:color="auto" w:sz="8" w:space="0"/>
            </w:tcBorders>
            <w:noWrap w:val="0"/>
            <w:vAlign w:val="top"/>
          </w:tcPr>
          <w:p w14:paraId="4E5E3B8C">
            <w:pPr>
              <w:widowControl/>
              <w:rPr>
                <w:rFonts w:hint="eastAsia" w:ascii="宋体" w:hAnsi="宋体"/>
                <w:kern w:val="0"/>
                <w:szCs w:val="21"/>
              </w:rPr>
            </w:pPr>
            <w:r>
              <w:rPr>
                <w:rFonts w:hint="eastAsia" w:ascii="宋体" w:hAnsi="宋体"/>
                <w:kern w:val="0"/>
                <w:szCs w:val="21"/>
              </w:rPr>
              <w:t>考核方式权重合计</w:t>
            </w:r>
          </w:p>
        </w:tc>
      </w:tr>
      <w:tr w14:paraId="3532601F">
        <w:tblPrEx>
          <w:tblCellMar>
            <w:top w:w="0" w:type="dxa"/>
            <w:left w:w="108" w:type="dxa"/>
            <w:bottom w:w="0" w:type="dxa"/>
            <w:right w:w="108" w:type="dxa"/>
          </w:tblCellMar>
        </w:tblPrEx>
        <w:trPr>
          <w:trHeight w:val="384" w:hRule="atLeast"/>
        </w:trPr>
        <w:tc>
          <w:tcPr>
            <w:tcW w:w="2048" w:type="dxa"/>
            <w:vMerge w:val="restart"/>
            <w:tcBorders>
              <w:top w:val="nil"/>
              <w:left w:val="single" w:color="auto" w:sz="8" w:space="0"/>
              <w:right w:val="single" w:color="auto" w:sz="8" w:space="0"/>
            </w:tcBorders>
            <w:shd w:val="clear" w:color="auto" w:fill="auto"/>
            <w:noWrap w:val="0"/>
            <w:vAlign w:val="center"/>
          </w:tcPr>
          <w:p w14:paraId="6FD6F8DC">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tcBorders>
              <w:top w:val="nil"/>
              <w:left w:val="single" w:color="auto" w:sz="8" w:space="0"/>
              <w:right w:val="single" w:color="auto" w:sz="8" w:space="0"/>
            </w:tcBorders>
            <w:shd w:val="clear" w:color="auto" w:fill="auto"/>
            <w:noWrap w:val="0"/>
            <w:vAlign w:val="center"/>
          </w:tcPr>
          <w:p w14:paraId="1EDCA944">
            <w:pPr>
              <w:widowControl/>
              <w:jc w:val="center"/>
              <w:rPr>
                <w:rFonts w:hint="eastAsia" w:ascii="宋体" w:hAnsi="宋体"/>
                <w:kern w:val="0"/>
                <w:szCs w:val="21"/>
              </w:rPr>
            </w:pPr>
            <w:r>
              <w:rPr>
                <w:rFonts w:ascii="宋体" w:hAnsi="宋体"/>
                <w:kern w:val="0"/>
                <w:szCs w:val="21"/>
              </w:rPr>
              <w:t>10</w:t>
            </w:r>
            <w:r>
              <w:rPr>
                <w:rFonts w:hint="eastAsia" w:ascii="宋体" w:hAnsi="宋体"/>
                <w:kern w:val="0"/>
                <w:szCs w:val="21"/>
              </w:rPr>
              <w:t>%</w:t>
            </w:r>
          </w:p>
        </w:tc>
        <w:tc>
          <w:tcPr>
            <w:tcW w:w="2196" w:type="dxa"/>
            <w:tcBorders>
              <w:top w:val="nil"/>
              <w:left w:val="nil"/>
              <w:bottom w:val="single" w:color="auto" w:sz="8" w:space="0"/>
              <w:right w:val="single" w:color="auto" w:sz="8" w:space="0"/>
            </w:tcBorders>
            <w:shd w:val="clear" w:color="auto" w:fill="auto"/>
            <w:noWrap w:val="0"/>
            <w:vAlign w:val="center"/>
          </w:tcPr>
          <w:p w14:paraId="3E7F3DDE">
            <w:pPr>
              <w:widowControl/>
              <w:jc w:val="center"/>
              <w:rPr>
                <w:rFonts w:ascii="宋体" w:hAnsi="宋体"/>
                <w:kern w:val="0"/>
                <w:szCs w:val="21"/>
              </w:rPr>
            </w:pPr>
            <w:r>
              <w:rPr>
                <w:rFonts w:hint="eastAsia" w:ascii="宋体" w:hAnsi="宋体"/>
                <w:kern w:val="0"/>
                <w:szCs w:val="21"/>
              </w:rPr>
              <w:t>期末考试</w:t>
            </w:r>
          </w:p>
        </w:tc>
        <w:tc>
          <w:tcPr>
            <w:tcW w:w="1843" w:type="dxa"/>
            <w:tcBorders>
              <w:top w:val="nil"/>
              <w:left w:val="nil"/>
              <w:bottom w:val="single" w:color="auto" w:sz="8" w:space="0"/>
              <w:right w:val="single" w:color="auto" w:sz="8" w:space="0"/>
            </w:tcBorders>
            <w:shd w:val="clear" w:color="auto" w:fill="auto"/>
            <w:noWrap w:val="0"/>
            <w:vAlign w:val="center"/>
          </w:tcPr>
          <w:p w14:paraId="042886EC">
            <w:pPr>
              <w:widowControl/>
              <w:jc w:val="center"/>
              <w:rPr>
                <w:rFonts w:hint="eastAsia" w:ascii="宋体" w:hAnsi="宋体"/>
                <w:kern w:val="0"/>
                <w:szCs w:val="21"/>
              </w:rPr>
            </w:pPr>
            <w:r>
              <w:rPr>
                <w:rFonts w:ascii="宋体" w:hAnsi="宋体"/>
                <w:kern w:val="0"/>
                <w:szCs w:val="21"/>
              </w:rPr>
              <w:t>5</w:t>
            </w:r>
            <w:r>
              <w:rPr>
                <w:rFonts w:hint="eastAsia" w:ascii="宋体" w:hAnsi="宋体"/>
                <w:kern w:val="0"/>
                <w:szCs w:val="21"/>
              </w:rPr>
              <w:t>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4E67D8DE">
            <w:pPr>
              <w:widowControl/>
              <w:jc w:val="center"/>
              <w:rPr>
                <w:rFonts w:hint="eastAsia" w:ascii="宋体" w:hAnsi="宋体"/>
                <w:kern w:val="0"/>
                <w:szCs w:val="21"/>
              </w:rPr>
            </w:pPr>
            <w:r>
              <w:rPr>
                <w:rFonts w:hint="eastAsia" w:ascii="宋体" w:hAnsi="宋体"/>
                <w:kern w:val="0"/>
                <w:szCs w:val="21"/>
              </w:rPr>
              <w:t>100%</w:t>
            </w:r>
          </w:p>
        </w:tc>
      </w:tr>
      <w:tr w14:paraId="47BAD6ED">
        <w:tblPrEx>
          <w:tblCellMar>
            <w:top w:w="0" w:type="dxa"/>
            <w:left w:w="108" w:type="dxa"/>
            <w:bottom w:w="0" w:type="dxa"/>
            <w:right w:w="108" w:type="dxa"/>
          </w:tblCellMar>
        </w:tblPrEx>
        <w:trPr>
          <w:trHeight w:val="384" w:hRule="atLeast"/>
        </w:trPr>
        <w:tc>
          <w:tcPr>
            <w:tcW w:w="2048" w:type="dxa"/>
            <w:vMerge w:val="continue"/>
            <w:tcBorders>
              <w:top w:val="nil"/>
              <w:left w:val="single" w:color="auto" w:sz="8" w:space="0"/>
              <w:right w:val="single" w:color="auto" w:sz="8" w:space="0"/>
            </w:tcBorders>
            <w:shd w:val="clear" w:color="auto" w:fill="auto"/>
            <w:noWrap w:val="0"/>
            <w:vAlign w:val="center"/>
          </w:tcPr>
          <w:p w14:paraId="439757D5">
            <w:pPr>
              <w:widowControl/>
              <w:jc w:val="center"/>
              <w:rPr>
                <w:rFonts w:hint="eastAsia" w:ascii="宋体" w:hAnsi="宋体"/>
                <w:kern w:val="0"/>
                <w:szCs w:val="21"/>
              </w:rPr>
            </w:pPr>
          </w:p>
        </w:tc>
        <w:tc>
          <w:tcPr>
            <w:tcW w:w="1816" w:type="dxa"/>
            <w:vMerge w:val="continue"/>
            <w:tcBorders>
              <w:top w:val="nil"/>
              <w:left w:val="single" w:color="auto" w:sz="8" w:space="0"/>
              <w:right w:val="single" w:color="auto" w:sz="8" w:space="0"/>
            </w:tcBorders>
            <w:shd w:val="clear" w:color="auto" w:fill="auto"/>
            <w:noWrap w:val="0"/>
            <w:vAlign w:val="center"/>
          </w:tcPr>
          <w:p w14:paraId="76544295">
            <w:pPr>
              <w:widowControl/>
              <w:jc w:val="center"/>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24CCA1B8">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tcBorders>
              <w:top w:val="nil"/>
              <w:left w:val="nil"/>
              <w:bottom w:val="single" w:color="auto" w:sz="8" w:space="0"/>
              <w:right w:val="single" w:color="auto" w:sz="8" w:space="0"/>
            </w:tcBorders>
            <w:shd w:val="clear" w:color="auto" w:fill="auto"/>
            <w:noWrap w:val="0"/>
            <w:vAlign w:val="center"/>
          </w:tcPr>
          <w:p w14:paraId="6D7786AF">
            <w:pPr>
              <w:widowControl/>
              <w:jc w:val="center"/>
              <w:rPr>
                <w:rFonts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tcBorders>
              <w:top w:val="nil"/>
              <w:left w:val="nil"/>
              <w:right w:val="single" w:color="auto" w:sz="8" w:space="0"/>
            </w:tcBorders>
            <w:noWrap w:val="0"/>
            <w:vAlign w:val="center"/>
          </w:tcPr>
          <w:p w14:paraId="5B221C23">
            <w:pPr>
              <w:widowControl/>
              <w:jc w:val="center"/>
              <w:rPr>
                <w:rFonts w:hint="eastAsia" w:ascii="宋体" w:hAnsi="宋体"/>
                <w:kern w:val="0"/>
                <w:szCs w:val="21"/>
              </w:rPr>
            </w:pPr>
          </w:p>
        </w:tc>
      </w:tr>
      <w:tr w14:paraId="4D379F14">
        <w:tblPrEx>
          <w:tblCellMar>
            <w:top w:w="0" w:type="dxa"/>
            <w:left w:w="108" w:type="dxa"/>
            <w:bottom w:w="0" w:type="dxa"/>
            <w:right w:w="108" w:type="dxa"/>
          </w:tblCellMar>
        </w:tblPrEx>
        <w:trPr>
          <w:trHeight w:val="340" w:hRule="atLeast"/>
        </w:trPr>
        <w:tc>
          <w:tcPr>
            <w:tcW w:w="2048" w:type="dxa"/>
            <w:vMerge w:val="continue"/>
            <w:tcBorders>
              <w:left w:val="single" w:color="auto" w:sz="8" w:space="0"/>
              <w:bottom w:val="single" w:color="000000" w:sz="8" w:space="0"/>
              <w:right w:val="single" w:color="auto" w:sz="8" w:space="0"/>
            </w:tcBorders>
            <w:shd w:val="clear" w:color="auto" w:fill="auto"/>
            <w:noWrap w:val="0"/>
            <w:vAlign w:val="center"/>
          </w:tcPr>
          <w:p w14:paraId="0127D58A">
            <w:pPr>
              <w:widowControl/>
              <w:jc w:val="left"/>
              <w:rPr>
                <w:rFonts w:ascii="宋体" w:hAnsi="宋体"/>
                <w:kern w:val="0"/>
                <w:szCs w:val="21"/>
              </w:rPr>
            </w:pPr>
          </w:p>
        </w:tc>
        <w:tc>
          <w:tcPr>
            <w:tcW w:w="1816" w:type="dxa"/>
            <w:vMerge w:val="continue"/>
            <w:tcBorders>
              <w:left w:val="single" w:color="auto" w:sz="8" w:space="0"/>
              <w:bottom w:val="single" w:color="000000" w:sz="8" w:space="0"/>
              <w:right w:val="single" w:color="auto" w:sz="8" w:space="0"/>
            </w:tcBorders>
            <w:shd w:val="clear" w:color="auto" w:fill="auto"/>
            <w:noWrap w:val="0"/>
            <w:vAlign w:val="center"/>
          </w:tcPr>
          <w:p w14:paraId="3CA67EEF">
            <w:pPr>
              <w:widowControl/>
              <w:jc w:val="left"/>
              <w:rPr>
                <w:rFonts w:ascii="宋体" w:hAnsi="宋体"/>
                <w:kern w:val="0"/>
                <w:szCs w:val="21"/>
              </w:rPr>
            </w:pPr>
          </w:p>
        </w:tc>
        <w:tc>
          <w:tcPr>
            <w:tcW w:w="2196" w:type="dxa"/>
            <w:tcBorders>
              <w:top w:val="nil"/>
              <w:left w:val="nil"/>
              <w:bottom w:val="single" w:color="auto" w:sz="4" w:space="0"/>
              <w:right w:val="single" w:color="auto" w:sz="8" w:space="0"/>
            </w:tcBorders>
            <w:shd w:val="clear" w:color="auto" w:fill="auto"/>
            <w:noWrap w:val="0"/>
            <w:vAlign w:val="center"/>
          </w:tcPr>
          <w:p w14:paraId="3BAEDA6C">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tcBorders>
              <w:top w:val="nil"/>
              <w:left w:val="nil"/>
              <w:bottom w:val="single" w:color="auto" w:sz="4" w:space="0"/>
              <w:right w:val="single" w:color="auto" w:sz="8" w:space="0"/>
            </w:tcBorders>
            <w:shd w:val="clear" w:color="auto" w:fill="auto"/>
            <w:noWrap w:val="0"/>
            <w:vAlign w:val="center"/>
          </w:tcPr>
          <w:p w14:paraId="57AF8785">
            <w:pPr>
              <w:widowControl/>
              <w:jc w:val="center"/>
              <w:rPr>
                <w:rFonts w:hint="eastAsia" w:ascii="宋体" w:hAnsi="宋体"/>
                <w:kern w:val="0"/>
                <w:szCs w:val="21"/>
              </w:rPr>
            </w:pPr>
            <w:r>
              <w:rPr>
                <w:rFonts w:hint="eastAsia" w:ascii="宋体" w:hAnsi="宋体"/>
                <w:kern w:val="0"/>
                <w:szCs w:val="21"/>
              </w:rPr>
              <w:t>30%</w:t>
            </w:r>
          </w:p>
        </w:tc>
        <w:tc>
          <w:tcPr>
            <w:tcW w:w="1134" w:type="dxa"/>
            <w:vMerge w:val="continue"/>
            <w:tcBorders>
              <w:left w:val="nil"/>
              <w:bottom w:val="single" w:color="auto" w:sz="8" w:space="0"/>
              <w:right w:val="single" w:color="auto" w:sz="8" w:space="0"/>
            </w:tcBorders>
            <w:noWrap w:val="0"/>
            <w:vAlign w:val="center"/>
          </w:tcPr>
          <w:p w14:paraId="2FC332CB">
            <w:pPr>
              <w:widowControl/>
              <w:jc w:val="center"/>
              <w:rPr>
                <w:rFonts w:hint="eastAsia" w:ascii="宋体" w:hAnsi="宋体"/>
                <w:kern w:val="0"/>
                <w:szCs w:val="21"/>
              </w:rPr>
            </w:pPr>
          </w:p>
        </w:tc>
      </w:tr>
      <w:tr w14:paraId="7DB77746">
        <w:tblPrEx>
          <w:tblCellMar>
            <w:top w:w="0" w:type="dxa"/>
            <w:left w:w="108" w:type="dxa"/>
            <w:bottom w:w="0" w:type="dxa"/>
            <w:right w:w="108" w:type="dxa"/>
          </w:tblCellMar>
        </w:tblPrEx>
        <w:trPr>
          <w:trHeight w:val="340" w:hRule="atLeast"/>
        </w:trPr>
        <w:tc>
          <w:tcPr>
            <w:tcW w:w="2048"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799DD34A">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2DD8B1C8">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p>
        </w:tc>
        <w:tc>
          <w:tcPr>
            <w:tcW w:w="2196" w:type="dxa"/>
            <w:tcBorders>
              <w:top w:val="nil"/>
              <w:left w:val="nil"/>
              <w:bottom w:val="single" w:color="auto" w:sz="8" w:space="0"/>
              <w:right w:val="single" w:color="auto" w:sz="8" w:space="0"/>
            </w:tcBorders>
            <w:shd w:val="clear" w:color="auto" w:fill="auto"/>
            <w:noWrap w:val="0"/>
            <w:vAlign w:val="center"/>
          </w:tcPr>
          <w:p w14:paraId="16889C0F">
            <w:pPr>
              <w:widowControl/>
              <w:jc w:val="center"/>
              <w:rPr>
                <w:rFonts w:ascii="宋体" w:hAnsi="宋体"/>
                <w:kern w:val="0"/>
                <w:szCs w:val="21"/>
              </w:rPr>
            </w:pPr>
            <w:r>
              <w:rPr>
                <w:rFonts w:hint="eastAsia" w:ascii="宋体" w:hAnsi="宋体"/>
                <w:kern w:val="0"/>
                <w:szCs w:val="21"/>
              </w:rPr>
              <w:t>期末考试</w:t>
            </w:r>
          </w:p>
        </w:tc>
        <w:tc>
          <w:tcPr>
            <w:tcW w:w="1843" w:type="dxa"/>
            <w:tcBorders>
              <w:top w:val="nil"/>
              <w:left w:val="nil"/>
              <w:bottom w:val="single" w:color="auto" w:sz="8" w:space="0"/>
              <w:right w:val="single" w:color="auto" w:sz="8" w:space="0"/>
            </w:tcBorders>
            <w:shd w:val="clear" w:color="auto" w:fill="auto"/>
            <w:noWrap w:val="0"/>
            <w:vAlign w:val="center"/>
          </w:tcPr>
          <w:p w14:paraId="16A9A9E8">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3CB2AE07">
            <w:pPr>
              <w:widowControl/>
              <w:jc w:val="center"/>
              <w:rPr>
                <w:rFonts w:hint="eastAsia" w:ascii="宋体" w:hAnsi="宋体"/>
                <w:kern w:val="0"/>
                <w:szCs w:val="21"/>
              </w:rPr>
            </w:pPr>
            <w:r>
              <w:rPr>
                <w:rFonts w:hint="eastAsia" w:ascii="宋体" w:hAnsi="宋体"/>
                <w:kern w:val="0"/>
                <w:szCs w:val="21"/>
              </w:rPr>
              <w:t>100%</w:t>
            </w:r>
          </w:p>
        </w:tc>
      </w:tr>
      <w:tr w14:paraId="3388A614">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12CE2879">
            <w:pPr>
              <w:widowControl/>
              <w:jc w:val="center"/>
              <w:rPr>
                <w:rFonts w:hint="eastAsia"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532B2678">
            <w:pPr>
              <w:widowControl/>
              <w:jc w:val="center"/>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56296C4A">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tcBorders>
              <w:top w:val="nil"/>
              <w:left w:val="nil"/>
              <w:bottom w:val="single" w:color="auto" w:sz="8" w:space="0"/>
              <w:right w:val="single" w:color="auto" w:sz="8" w:space="0"/>
            </w:tcBorders>
            <w:shd w:val="clear" w:color="auto" w:fill="auto"/>
            <w:noWrap w:val="0"/>
            <w:vAlign w:val="center"/>
          </w:tcPr>
          <w:p w14:paraId="57541AF7">
            <w:pPr>
              <w:widowControl/>
              <w:jc w:val="center"/>
              <w:rPr>
                <w:rFonts w:ascii="宋体" w:hAnsi="宋体"/>
                <w:kern w:val="0"/>
                <w:szCs w:val="21"/>
              </w:rPr>
            </w:pPr>
            <w:r>
              <w:rPr>
                <w:rFonts w:hint="eastAsia" w:ascii="宋体" w:hAnsi="宋体"/>
                <w:kern w:val="0"/>
                <w:szCs w:val="21"/>
              </w:rPr>
              <w:t>10%</w:t>
            </w:r>
          </w:p>
        </w:tc>
        <w:tc>
          <w:tcPr>
            <w:tcW w:w="1134" w:type="dxa"/>
            <w:vMerge w:val="continue"/>
            <w:tcBorders>
              <w:top w:val="nil"/>
              <w:left w:val="nil"/>
              <w:right w:val="single" w:color="auto" w:sz="8" w:space="0"/>
            </w:tcBorders>
            <w:noWrap w:val="0"/>
            <w:vAlign w:val="center"/>
          </w:tcPr>
          <w:p w14:paraId="1F54E290">
            <w:pPr>
              <w:widowControl/>
              <w:jc w:val="center"/>
              <w:rPr>
                <w:rFonts w:hint="eastAsia" w:ascii="宋体" w:hAnsi="宋体"/>
                <w:kern w:val="0"/>
                <w:szCs w:val="21"/>
              </w:rPr>
            </w:pPr>
          </w:p>
        </w:tc>
      </w:tr>
      <w:tr w14:paraId="717A145C">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0801CAE7">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4B01795D">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57E79045">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2</w:t>
            </w:r>
          </w:p>
        </w:tc>
        <w:tc>
          <w:tcPr>
            <w:tcW w:w="1843" w:type="dxa"/>
            <w:tcBorders>
              <w:top w:val="nil"/>
              <w:left w:val="nil"/>
              <w:bottom w:val="single" w:color="auto" w:sz="8" w:space="0"/>
              <w:right w:val="single" w:color="auto" w:sz="8" w:space="0"/>
            </w:tcBorders>
            <w:shd w:val="clear" w:color="auto" w:fill="auto"/>
            <w:noWrap w:val="0"/>
            <w:vAlign w:val="center"/>
          </w:tcPr>
          <w:p w14:paraId="48284B89">
            <w:pPr>
              <w:widowControl/>
              <w:jc w:val="center"/>
              <w:rPr>
                <w:rFonts w:hint="eastAsia" w:ascii="宋体" w:hAnsi="宋体"/>
                <w:kern w:val="0"/>
                <w:szCs w:val="21"/>
              </w:rPr>
            </w:pPr>
            <w:r>
              <w:rPr>
                <w:rFonts w:hint="eastAsia" w:ascii="宋体" w:hAnsi="宋体"/>
                <w:kern w:val="0"/>
                <w:szCs w:val="21"/>
              </w:rPr>
              <w:t>30%</w:t>
            </w:r>
          </w:p>
        </w:tc>
        <w:tc>
          <w:tcPr>
            <w:tcW w:w="1134" w:type="dxa"/>
            <w:vMerge w:val="continue"/>
            <w:tcBorders>
              <w:left w:val="nil"/>
              <w:right w:val="single" w:color="auto" w:sz="8" w:space="0"/>
            </w:tcBorders>
            <w:noWrap w:val="0"/>
            <w:vAlign w:val="center"/>
          </w:tcPr>
          <w:p w14:paraId="7F79CF28">
            <w:pPr>
              <w:widowControl/>
              <w:jc w:val="center"/>
              <w:rPr>
                <w:rFonts w:hint="eastAsia" w:ascii="宋体" w:hAnsi="宋体"/>
                <w:kern w:val="0"/>
                <w:szCs w:val="21"/>
              </w:rPr>
            </w:pPr>
          </w:p>
        </w:tc>
      </w:tr>
      <w:tr w14:paraId="2D20AF4C">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auto" w:sz="4" w:space="0"/>
              <w:right w:val="single" w:color="auto" w:sz="8" w:space="0"/>
            </w:tcBorders>
            <w:shd w:val="clear" w:color="auto" w:fill="auto"/>
            <w:noWrap w:val="0"/>
            <w:vAlign w:val="center"/>
          </w:tcPr>
          <w:p w14:paraId="73023912">
            <w:pPr>
              <w:widowControl/>
              <w:jc w:val="left"/>
              <w:rPr>
                <w:rFonts w:ascii="宋体" w:hAnsi="宋体"/>
                <w:kern w:val="0"/>
                <w:szCs w:val="21"/>
              </w:rPr>
            </w:pPr>
          </w:p>
        </w:tc>
        <w:tc>
          <w:tcPr>
            <w:tcW w:w="1816" w:type="dxa"/>
            <w:vMerge w:val="continue"/>
            <w:tcBorders>
              <w:top w:val="nil"/>
              <w:left w:val="single" w:color="auto" w:sz="8" w:space="0"/>
              <w:bottom w:val="single" w:color="auto" w:sz="4" w:space="0"/>
              <w:right w:val="single" w:color="auto" w:sz="8" w:space="0"/>
            </w:tcBorders>
            <w:shd w:val="clear" w:color="auto" w:fill="auto"/>
            <w:noWrap w:val="0"/>
            <w:vAlign w:val="center"/>
          </w:tcPr>
          <w:p w14:paraId="1DD7F64D">
            <w:pPr>
              <w:widowControl/>
              <w:jc w:val="left"/>
              <w:rPr>
                <w:rFonts w:ascii="宋体" w:hAnsi="宋体"/>
                <w:kern w:val="0"/>
                <w:szCs w:val="21"/>
              </w:rPr>
            </w:pPr>
          </w:p>
        </w:tc>
        <w:tc>
          <w:tcPr>
            <w:tcW w:w="2196" w:type="dxa"/>
            <w:tcBorders>
              <w:top w:val="nil"/>
              <w:left w:val="nil"/>
              <w:bottom w:val="single" w:color="auto" w:sz="4" w:space="0"/>
              <w:right w:val="single" w:color="auto" w:sz="8" w:space="0"/>
            </w:tcBorders>
            <w:shd w:val="clear" w:color="auto" w:fill="auto"/>
            <w:noWrap w:val="0"/>
            <w:vAlign w:val="center"/>
          </w:tcPr>
          <w:p w14:paraId="590945B0">
            <w:pPr>
              <w:widowControl/>
              <w:jc w:val="center"/>
              <w:rPr>
                <w:rFonts w:hint="eastAsia" w:ascii="宋体" w:hAnsi="宋体"/>
                <w:kern w:val="0"/>
                <w:szCs w:val="21"/>
              </w:rPr>
            </w:pPr>
            <w:r>
              <w:rPr>
                <w:rFonts w:hint="eastAsia" w:ascii="宋体" w:hAnsi="宋体"/>
                <w:kern w:val="0"/>
                <w:szCs w:val="21"/>
              </w:rPr>
              <w:t>课内</w:t>
            </w:r>
            <w:r>
              <w:rPr>
                <w:rFonts w:ascii="宋体" w:hAnsi="宋体"/>
                <w:kern w:val="0"/>
                <w:szCs w:val="21"/>
              </w:rPr>
              <w:t>实践</w:t>
            </w:r>
          </w:p>
        </w:tc>
        <w:tc>
          <w:tcPr>
            <w:tcW w:w="1843" w:type="dxa"/>
            <w:tcBorders>
              <w:top w:val="nil"/>
              <w:left w:val="nil"/>
              <w:bottom w:val="single" w:color="auto" w:sz="4" w:space="0"/>
              <w:right w:val="single" w:color="auto" w:sz="8" w:space="0"/>
            </w:tcBorders>
            <w:shd w:val="clear" w:color="auto" w:fill="auto"/>
            <w:noWrap w:val="0"/>
            <w:vAlign w:val="center"/>
          </w:tcPr>
          <w:p w14:paraId="37433B87">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r>
              <w:rPr>
                <w:rFonts w:ascii="宋体" w:hAnsi="宋体"/>
                <w:kern w:val="0"/>
                <w:szCs w:val="21"/>
              </w:rPr>
              <w:t xml:space="preserve"> </w:t>
            </w:r>
          </w:p>
        </w:tc>
        <w:tc>
          <w:tcPr>
            <w:tcW w:w="1134" w:type="dxa"/>
            <w:vMerge w:val="continue"/>
            <w:tcBorders>
              <w:left w:val="nil"/>
              <w:bottom w:val="single" w:color="auto" w:sz="4" w:space="0"/>
              <w:right w:val="single" w:color="auto" w:sz="8" w:space="0"/>
            </w:tcBorders>
            <w:noWrap w:val="0"/>
            <w:vAlign w:val="center"/>
          </w:tcPr>
          <w:p w14:paraId="3C43F98B">
            <w:pPr>
              <w:widowControl/>
              <w:jc w:val="center"/>
              <w:rPr>
                <w:rFonts w:hint="eastAsia" w:ascii="宋体" w:hAnsi="宋体"/>
                <w:kern w:val="0"/>
                <w:szCs w:val="21"/>
              </w:rPr>
            </w:pPr>
          </w:p>
        </w:tc>
      </w:tr>
      <w:tr w14:paraId="08989CEF">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85B2A4B">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B5E7940">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BF4465">
            <w:pPr>
              <w:widowControl/>
              <w:jc w:val="center"/>
              <w:rPr>
                <w:rFonts w:ascii="宋体" w:hAnsi="宋体"/>
                <w:kern w:val="0"/>
                <w:szCs w:val="21"/>
              </w:rPr>
            </w:pPr>
            <w:r>
              <w:rPr>
                <w:rFonts w:hint="eastAsia" w:ascii="宋体" w:hAnsi="宋体"/>
                <w:kern w:val="0"/>
                <w:szCs w:val="21"/>
              </w:rPr>
              <w:t>期末考试</w:t>
            </w:r>
          </w:p>
        </w:tc>
        <w:tc>
          <w:tcPr>
            <w:tcW w:w="1843" w:type="dxa"/>
            <w:tcBorders>
              <w:top w:val="nil"/>
              <w:left w:val="nil"/>
              <w:bottom w:val="single" w:color="auto" w:sz="8" w:space="0"/>
              <w:right w:val="single" w:color="auto" w:sz="8" w:space="0"/>
            </w:tcBorders>
            <w:shd w:val="clear" w:color="auto" w:fill="auto"/>
            <w:noWrap w:val="0"/>
            <w:vAlign w:val="center"/>
          </w:tcPr>
          <w:p w14:paraId="7DD514E3">
            <w:pPr>
              <w:widowControl/>
              <w:jc w:val="center"/>
              <w:rPr>
                <w:rFonts w:hint="eastAsia" w:ascii="宋体" w:hAnsi="宋体"/>
                <w:kern w:val="0"/>
                <w:szCs w:val="21"/>
              </w:rPr>
            </w:pPr>
            <w:r>
              <w:rPr>
                <w:rFonts w:ascii="宋体" w:hAnsi="宋体"/>
                <w:kern w:val="0"/>
                <w:szCs w:val="21"/>
              </w:rPr>
              <w:t>4</w:t>
            </w:r>
            <w:r>
              <w:rPr>
                <w:rFonts w:hint="eastAsia" w:ascii="宋体" w:hAnsi="宋体"/>
                <w:kern w:val="0"/>
                <w:szCs w:val="21"/>
              </w:rPr>
              <w:t>0%</w:t>
            </w:r>
            <w:r>
              <w:rPr>
                <w:rFonts w:ascii="宋体" w:hAnsi="宋体"/>
                <w:kern w:val="0"/>
                <w:szCs w:val="21"/>
              </w:rPr>
              <w:t xml:space="preserve"> </w:t>
            </w:r>
          </w:p>
        </w:tc>
        <w:tc>
          <w:tcPr>
            <w:tcW w:w="1134" w:type="dxa"/>
            <w:vMerge w:val="restart"/>
            <w:tcBorders>
              <w:top w:val="single" w:color="auto" w:sz="4" w:space="0"/>
              <w:left w:val="single" w:color="auto" w:sz="4" w:space="0"/>
              <w:right w:val="single" w:color="auto" w:sz="4" w:space="0"/>
            </w:tcBorders>
            <w:noWrap w:val="0"/>
            <w:vAlign w:val="center"/>
          </w:tcPr>
          <w:p w14:paraId="5DBD6B3F">
            <w:pPr>
              <w:widowControl/>
              <w:jc w:val="center"/>
              <w:rPr>
                <w:rFonts w:hint="eastAsia" w:ascii="宋体" w:hAnsi="宋体"/>
                <w:kern w:val="0"/>
                <w:szCs w:val="21"/>
              </w:rPr>
            </w:pPr>
            <w:r>
              <w:rPr>
                <w:rFonts w:hint="eastAsia" w:ascii="宋体" w:hAnsi="宋体"/>
                <w:kern w:val="0"/>
                <w:szCs w:val="21"/>
              </w:rPr>
              <w:t>100%</w:t>
            </w:r>
          </w:p>
        </w:tc>
      </w:tr>
      <w:tr w14:paraId="7DDFC02B">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2D05197">
            <w:pPr>
              <w:widowControl/>
              <w:jc w:val="center"/>
              <w:rPr>
                <w:rFonts w:hint="eastAsia"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34F939B">
            <w:pPr>
              <w:widowControl/>
              <w:jc w:val="center"/>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0A8E6619">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tcBorders>
              <w:top w:val="nil"/>
              <w:left w:val="nil"/>
              <w:bottom w:val="single" w:color="auto" w:sz="8" w:space="0"/>
              <w:right w:val="single" w:color="auto" w:sz="8" w:space="0"/>
            </w:tcBorders>
            <w:shd w:val="clear" w:color="auto" w:fill="auto"/>
            <w:noWrap w:val="0"/>
            <w:vAlign w:val="center"/>
          </w:tcPr>
          <w:p w14:paraId="66DF9CBE">
            <w:pPr>
              <w:widowControl/>
              <w:jc w:val="center"/>
              <w:rPr>
                <w:rFonts w:ascii="宋体" w:hAnsi="宋体"/>
                <w:kern w:val="0"/>
                <w:szCs w:val="21"/>
              </w:rPr>
            </w:pPr>
            <w:r>
              <w:rPr>
                <w:rFonts w:hint="eastAsia" w:ascii="宋体" w:hAnsi="宋体"/>
                <w:kern w:val="0"/>
                <w:szCs w:val="21"/>
              </w:rPr>
              <w:t>10%</w:t>
            </w:r>
          </w:p>
        </w:tc>
        <w:tc>
          <w:tcPr>
            <w:tcW w:w="1134" w:type="dxa"/>
            <w:vMerge w:val="continue"/>
            <w:tcBorders>
              <w:top w:val="single" w:color="auto" w:sz="4" w:space="0"/>
              <w:left w:val="single" w:color="auto" w:sz="4" w:space="0"/>
              <w:right w:val="single" w:color="auto" w:sz="4" w:space="0"/>
            </w:tcBorders>
            <w:noWrap w:val="0"/>
            <w:vAlign w:val="center"/>
          </w:tcPr>
          <w:p w14:paraId="1A68C0C6">
            <w:pPr>
              <w:widowControl/>
              <w:jc w:val="center"/>
              <w:rPr>
                <w:rFonts w:hint="eastAsia" w:ascii="宋体" w:hAnsi="宋体"/>
                <w:kern w:val="0"/>
                <w:szCs w:val="21"/>
              </w:rPr>
            </w:pPr>
          </w:p>
        </w:tc>
      </w:tr>
      <w:tr w14:paraId="066C74C0">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498B004">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5401EB3">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574BDE">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3</w:t>
            </w:r>
          </w:p>
        </w:tc>
        <w:tc>
          <w:tcPr>
            <w:tcW w:w="1843" w:type="dxa"/>
            <w:tcBorders>
              <w:top w:val="nil"/>
              <w:left w:val="nil"/>
              <w:bottom w:val="single" w:color="auto" w:sz="8" w:space="0"/>
              <w:right w:val="single" w:color="auto" w:sz="8" w:space="0"/>
            </w:tcBorders>
            <w:shd w:val="clear" w:color="auto" w:fill="auto"/>
            <w:noWrap w:val="0"/>
            <w:vAlign w:val="center"/>
          </w:tcPr>
          <w:p w14:paraId="0793F4AB">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tcBorders>
              <w:left w:val="single" w:color="auto" w:sz="4" w:space="0"/>
              <w:right w:val="single" w:color="auto" w:sz="4" w:space="0"/>
            </w:tcBorders>
            <w:noWrap w:val="0"/>
            <w:vAlign w:val="center"/>
          </w:tcPr>
          <w:p w14:paraId="39E525EF">
            <w:pPr>
              <w:widowControl/>
              <w:jc w:val="center"/>
              <w:rPr>
                <w:rFonts w:hint="eastAsia" w:ascii="宋体" w:hAnsi="宋体"/>
                <w:kern w:val="0"/>
                <w:szCs w:val="21"/>
              </w:rPr>
            </w:pPr>
          </w:p>
        </w:tc>
      </w:tr>
      <w:tr w14:paraId="6557CE20">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750A5FF">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50F6FBF">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AFC8BF">
            <w:pPr>
              <w:widowControl/>
              <w:jc w:val="center"/>
              <w:rPr>
                <w:rFonts w:hint="eastAsia" w:ascii="宋体" w:hAnsi="宋体"/>
                <w:kern w:val="0"/>
                <w:szCs w:val="21"/>
              </w:rPr>
            </w:pPr>
            <w:r>
              <w:rPr>
                <w:rFonts w:hint="eastAsia" w:ascii="宋体" w:hAnsi="宋体"/>
                <w:kern w:val="0"/>
                <w:szCs w:val="21"/>
              </w:rPr>
              <w:t>课</w:t>
            </w:r>
            <w:r>
              <w:rPr>
                <w:rFonts w:ascii="宋体" w:hAnsi="宋体"/>
                <w:kern w:val="0"/>
                <w:szCs w:val="21"/>
              </w:rPr>
              <w:t>内实践</w:t>
            </w:r>
          </w:p>
        </w:tc>
        <w:tc>
          <w:tcPr>
            <w:tcW w:w="1843" w:type="dxa"/>
            <w:tcBorders>
              <w:top w:val="nil"/>
              <w:left w:val="nil"/>
              <w:bottom w:val="single" w:color="auto" w:sz="4" w:space="0"/>
              <w:right w:val="single" w:color="auto" w:sz="8" w:space="0"/>
            </w:tcBorders>
            <w:shd w:val="clear" w:color="auto" w:fill="auto"/>
            <w:noWrap w:val="0"/>
            <w:vAlign w:val="center"/>
          </w:tcPr>
          <w:p w14:paraId="34F89BF3">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continue"/>
            <w:tcBorders>
              <w:left w:val="single" w:color="auto" w:sz="4" w:space="0"/>
              <w:bottom w:val="single" w:color="auto" w:sz="4" w:space="0"/>
              <w:right w:val="single" w:color="auto" w:sz="4" w:space="0"/>
            </w:tcBorders>
            <w:noWrap w:val="0"/>
            <w:vAlign w:val="center"/>
          </w:tcPr>
          <w:p w14:paraId="25B91327">
            <w:pPr>
              <w:widowControl/>
              <w:jc w:val="center"/>
              <w:rPr>
                <w:rFonts w:hint="eastAsia" w:ascii="宋体" w:hAnsi="宋体"/>
                <w:kern w:val="0"/>
                <w:szCs w:val="21"/>
              </w:rPr>
            </w:pPr>
          </w:p>
        </w:tc>
      </w:tr>
      <w:tr w14:paraId="2DF0A516">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8" w:space="0"/>
              <w:bottom w:val="single" w:color="000000" w:sz="8" w:space="0"/>
              <w:right w:val="single" w:color="auto" w:sz="8" w:space="0"/>
            </w:tcBorders>
            <w:shd w:val="clear" w:color="auto" w:fill="auto"/>
            <w:noWrap w:val="0"/>
            <w:vAlign w:val="center"/>
          </w:tcPr>
          <w:p w14:paraId="75996E89">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tcBorders>
              <w:top w:val="single" w:color="auto" w:sz="4" w:space="0"/>
              <w:left w:val="single" w:color="auto" w:sz="8" w:space="0"/>
              <w:bottom w:val="single" w:color="000000" w:sz="8" w:space="0"/>
              <w:right w:val="single" w:color="auto" w:sz="8" w:space="0"/>
            </w:tcBorders>
            <w:shd w:val="clear" w:color="auto" w:fill="auto"/>
            <w:noWrap w:val="0"/>
            <w:vAlign w:val="center"/>
          </w:tcPr>
          <w:p w14:paraId="1BC4FDAC">
            <w:pPr>
              <w:widowControl/>
              <w:jc w:val="center"/>
              <w:rPr>
                <w:rFonts w:hint="eastAsia" w:ascii="宋体" w:hAnsi="宋体"/>
                <w:kern w:val="0"/>
                <w:szCs w:val="21"/>
              </w:rPr>
            </w:pPr>
            <w:r>
              <w:rPr>
                <w:rFonts w:ascii="宋体" w:hAnsi="宋体"/>
                <w:kern w:val="0"/>
                <w:szCs w:val="21"/>
              </w:rPr>
              <w:t>10</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2830CA">
            <w:pPr>
              <w:widowControl/>
              <w:jc w:val="center"/>
              <w:rPr>
                <w:rFonts w:hint="eastAsia" w:ascii="宋体" w:hAnsi="宋体"/>
                <w:kern w:val="0"/>
                <w:szCs w:val="21"/>
              </w:rPr>
            </w:pPr>
            <w:r>
              <w:rPr>
                <w:rFonts w:hint="eastAsia" w:ascii="宋体" w:hAnsi="宋体"/>
                <w:kern w:val="0"/>
                <w:szCs w:val="21"/>
              </w:rPr>
              <w:t>作业</w:t>
            </w:r>
            <w:r>
              <w:rPr>
                <w:rFonts w:ascii="宋体" w:hAnsi="宋体"/>
                <w:kern w:val="0"/>
                <w:szCs w:val="21"/>
              </w:rPr>
              <w:t>2</w:t>
            </w:r>
          </w:p>
        </w:tc>
        <w:tc>
          <w:tcPr>
            <w:tcW w:w="1843" w:type="dxa"/>
            <w:tcBorders>
              <w:top w:val="nil"/>
              <w:left w:val="nil"/>
              <w:bottom w:val="single" w:color="auto" w:sz="8" w:space="0"/>
              <w:right w:val="single" w:color="auto" w:sz="8" w:space="0"/>
            </w:tcBorders>
            <w:shd w:val="clear" w:color="auto" w:fill="auto"/>
            <w:noWrap w:val="0"/>
            <w:vAlign w:val="center"/>
          </w:tcPr>
          <w:p w14:paraId="25197FA0">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restart"/>
            <w:tcBorders>
              <w:top w:val="single" w:color="auto" w:sz="4" w:space="0"/>
              <w:left w:val="nil"/>
              <w:right w:val="single" w:color="auto" w:sz="8" w:space="0"/>
            </w:tcBorders>
            <w:noWrap w:val="0"/>
            <w:vAlign w:val="center"/>
          </w:tcPr>
          <w:p w14:paraId="154683D2">
            <w:pPr>
              <w:widowControl/>
              <w:jc w:val="center"/>
              <w:rPr>
                <w:rFonts w:hint="eastAsia" w:ascii="宋体" w:hAnsi="宋体"/>
                <w:kern w:val="0"/>
                <w:szCs w:val="21"/>
              </w:rPr>
            </w:pPr>
            <w:r>
              <w:rPr>
                <w:rFonts w:hint="eastAsia" w:ascii="宋体" w:hAnsi="宋体"/>
                <w:kern w:val="0"/>
                <w:szCs w:val="21"/>
              </w:rPr>
              <w:t>100%</w:t>
            </w:r>
          </w:p>
        </w:tc>
      </w:tr>
      <w:tr w14:paraId="289DD687">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8" w:space="0"/>
              <w:bottom w:val="single" w:color="000000" w:sz="8" w:space="0"/>
              <w:right w:val="single" w:color="auto" w:sz="8" w:space="0"/>
            </w:tcBorders>
            <w:shd w:val="clear" w:color="auto" w:fill="auto"/>
            <w:noWrap w:val="0"/>
            <w:vAlign w:val="center"/>
          </w:tcPr>
          <w:p w14:paraId="687AEA23">
            <w:pPr>
              <w:widowControl/>
              <w:jc w:val="center"/>
              <w:rPr>
                <w:rFonts w:hint="eastAsia" w:ascii="宋体" w:hAnsi="宋体"/>
                <w:kern w:val="0"/>
                <w:szCs w:val="21"/>
              </w:rPr>
            </w:pPr>
          </w:p>
        </w:tc>
        <w:tc>
          <w:tcPr>
            <w:tcW w:w="1816" w:type="dxa"/>
            <w:vMerge w:val="continue"/>
            <w:tcBorders>
              <w:top w:val="single" w:color="auto" w:sz="4" w:space="0"/>
              <w:left w:val="single" w:color="auto" w:sz="8" w:space="0"/>
              <w:bottom w:val="single" w:color="000000" w:sz="8" w:space="0"/>
              <w:right w:val="single" w:color="auto" w:sz="8" w:space="0"/>
            </w:tcBorders>
            <w:shd w:val="clear" w:color="auto" w:fill="auto"/>
            <w:noWrap w:val="0"/>
            <w:vAlign w:val="center"/>
          </w:tcPr>
          <w:p w14:paraId="58062A92">
            <w:pPr>
              <w:widowControl/>
              <w:jc w:val="center"/>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B4BC0E">
            <w:pPr>
              <w:widowControl/>
              <w:jc w:val="center"/>
              <w:rPr>
                <w:rFonts w:hint="eastAsia" w:ascii="宋体" w:hAnsi="宋体"/>
                <w:kern w:val="0"/>
                <w:szCs w:val="21"/>
              </w:rPr>
            </w:pPr>
            <w:r>
              <w:rPr>
                <w:rFonts w:hint="eastAsia" w:ascii="宋体" w:hAnsi="宋体"/>
                <w:kern w:val="0"/>
                <w:szCs w:val="21"/>
              </w:rPr>
              <w:t>作业</w:t>
            </w:r>
            <w:r>
              <w:rPr>
                <w:rFonts w:ascii="宋体" w:hAnsi="宋体"/>
                <w:kern w:val="0"/>
                <w:szCs w:val="21"/>
              </w:rPr>
              <w:t>3</w:t>
            </w:r>
          </w:p>
        </w:tc>
        <w:tc>
          <w:tcPr>
            <w:tcW w:w="1843" w:type="dxa"/>
            <w:tcBorders>
              <w:top w:val="nil"/>
              <w:left w:val="nil"/>
              <w:bottom w:val="single" w:color="auto" w:sz="8" w:space="0"/>
              <w:right w:val="single" w:color="auto" w:sz="8" w:space="0"/>
            </w:tcBorders>
            <w:shd w:val="clear" w:color="auto" w:fill="auto"/>
            <w:noWrap w:val="0"/>
            <w:vAlign w:val="center"/>
          </w:tcPr>
          <w:p w14:paraId="3BBD5C84">
            <w:pPr>
              <w:widowControl/>
              <w:jc w:val="center"/>
              <w:rPr>
                <w:rFonts w:ascii="宋体" w:hAnsi="宋体"/>
                <w:kern w:val="0"/>
                <w:szCs w:val="21"/>
              </w:rPr>
            </w:pPr>
            <w:r>
              <w:rPr>
                <w:rFonts w:hint="eastAsia" w:ascii="宋体" w:hAnsi="宋体"/>
                <w:kern w:val="0"/>
                <w:szCs w:val="21"/>
              </w:rPr>
              <w:t>2</w:t>
            </w:r>
            <w:r>
              <w:rPr>
                <w:rFonts w:ascii="宋体" w:hAnsi="宋体"/>
                <w:kern w:val="0"/>
                <w:szCs w:val="21"/>
              </w:rPr>
              <w:t>0%</w:t>
            </w:r>
          </w:p>
        </w:tc>
        <w:tc>
          <w:tcPr>
            <w:tcW w:w="1134" w:type="dxa"/>
            <w:vMerge w:val="continue"/>
            <w:tcBorders>
              <w:top w:val="single" w:color="auto" w:sz="4" w:space="0"/>
              <w:left w:val="nil"/>
              <w:right w:val="single" w:color="auto" w:sz="8" w:space="0"/>
            </w:tcBorders>
            <w:noWrap w:val="0"/>
            <w:vAlign w:val="center"/>
          </w:tcPr>
          <w:p w14:paraId="41942892">
            <w:pPr>
              <w:widowControl/>
              <w:jc w:val="center"/>
              <w:rPr>
                <w:rFonts w:hint="eastAsia" w:ascii="宋体" w:hAnsi="宋体"/>
                <w:kern w:val="0"/>
                <w:szCs w:val="21"/>
              </w:rPr>
            </w:pPr>
          </w:p>
        </w:tc>
      </w:tr>
      <w:tr w14:paraId="00D1057B">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8" w:space="0"/>
              <w:bottom w:val="single" w:color="000000" w:sz="8" w:space="0"/>
              <w:right w:val="single" w:color="auto" w:sz="8" w:space="0"/>
            </w:tcBorders>
            <w:shd w:val="clear" w:color="auto" w:fill="auto"/>
            <w:noWrap w:val="0"/>
            <w:vAlign w:val="center"/>
          </w:tcPr>
          <w:p w14:paraId="232DB762">
            <w:pPr>
              <w:widowControl/>
              <w:jc w:val="center"/>
              <w:rPr>
                <w:rFonts w:hint="eastAsia" w:ascii="宋体" w:hAnsi="宋体"/>
                <w:kern w:val="0"/>
                <w:szCs w:val="21"/>
              </w:rPr>
            </w:pPr>
          </w:p>
        </w:tc>
        <w:tc>
          <w:tcPr>
            <w:tcW w:w="1816" w:type="dxa"/>
            <w:vMerge w:val="continue"/>
            <w:tcBorders>
              <w:top w:val="single" w:color="auto" w:sz="4" w:space="0"/>
              <w:left w:val="single" w:color="auto" w:sz="8" w:space="0"/>
              <w:bottom w:val="single" w:color="000000" w:sz="8" w:space="0"/>
              <w:right w:val="single" w:color="auto" w:sz="8" w:space="0"/>
            </w:tcBorders>
            <w:shd w:val="clear" w:color="auto" w:fill="auto"/>
            <w:noWrap w:val="0"/>
            <w:vAlign w:val="center"/>
          </w:tcPr>
          <w:p w14:paraId="79210A7D">
            <w:pPr>
              <w:widowControl/>
              <w:jc w:val="center"/>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6B675989">
            <w:pPr>
              <w:widowControl/>
              <w:jc w:val="center"/>
              <w:rPr>
                <w:rFonts w:hint="eastAsia" w:ascii="宋体" w:hAnsi="宋体"/>
                <w:kern w:val="0"/>
                <w:szCs w:val="21"/>
              </w:rPr>
            </w:pPr>
            <w:r>
              <w:rPr>
                <w:rFonts w:hint="eastAsia" w:ascii="宋体" w:hAnsi="宋体"/>
                <w:kern w:val="0"/>
                <w:szCs w:val="21"/>
              </w:rPr>
              <w:t>课堂</w:t>
            </w:r>
            <w:r>
              <w:rPr>
                <w:rFonts w:ascii="宋体" w:hAnsi="宋体"/>
                <w:kern w:val="0"/>
                <w:szCs w:val="21"/>
              </w:rPr>
              <w:t>互动</w:t>
            </w:r>
          </w:p>
        </w:tc>
        <w:tc>
          <w:tcPr>
            <w:tcW w:w="1843" w:type="dxa"/>
            <w:tcBorders>
              <w:top w:val="nil"/>
              <w:left w:val="nil"/>
              <w:bottom w:val="single" w:color="auto" w:sz="8" w:space="0"/>
              <w:right w:val="single" w:color="auto" w:sz="8" w:space="0"/>
            </w:tcBorders>
            <w:shd w:val="clear" w:color="auto" w:fill="auto"/>
            <w:noWrap w:val="0"/>
            <w:vAlign w:val="center"/>
          </w:tcPr>
          <w:p w14:paraId="5889DA39">
            <w:pPr>
              <w:widowControl/>
              <w:jc w:val="center"/>
              <w:rPr>
                <w:rFonts w:ascii="宋体" w:hAnsi="宋体"/>
                <w:kern w:val="0"/>
                <w:szCs w:val="21"/>
              </w:rPr>
            </w:pPr>
            <w:r>
              <w:rPr>
                <w:rFonts w:hint="eastAsia" w:ascii="宋体" w:hAnsi="宋体"/>
                <w:kern w:val="0"/>
                <w:szCs w:val="21"/>
              </w:rPr>
              <w:t>10%</w:t>
            </w:r>
          </w:p>
        </w:tc>
        <w:tc>
          <w:tcPr>
            <w:tcW w:w="1134" w:type="dxa"/>
            <w:vMerge w:val="continue"/>
            <w:tcBorders>
              <w:top w:val="single" w:color="auto" w:sz="4" w:space="0"/>
              <w:left w:val="nil"/>
              <w:right w:val="single" w:color="auto" w:sz="8" w:space="0"/>
            </w:tcBorders>
            <w:noWrap w:val="0"/>
            <w:vAlign w:val="center"/>
          </w:tcPr>
          <w:p w14:paraId="73E3CFB5">
            <w:pPr>
              <w:widowControl/>
              <w:jc w:val="center"/>
              <w:rPr>
                <w:rFonts w:hint="eastAsia" w:ascii="宋体" w:hAnsi="宋体"/>
                <w:kern w:val="0"/>
                <w:szCs w:val="21"/>
              </w:rPr>
            </w:pPr>
          </w:p>
        </w:tc>
      </w:tr>
      <w:tr w14:paraId="684AAD45">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auto" w:sz="4" w:space="0"/>
              <w:right w:val="single" w:color="auto" w:sz="8" w:space="0"/>
            </w:tcBorders>
            <w:shd w:val="clear" w:color="auto" w:fill="auto"/>
            <w:noWrap w:val="0"/>
            <w:vAlign w:val="center"/>
          </w:tcPr>
          <w:p w14:paraId="1C0D03B0">
            <w:pPr>
              <w:widowControl/>
              <w:jc w:val="left"/>
              <w:rPr>
                <w:rFonts w:ascii="宋体" w:hAnsi="宋体"/>
                <w:kern w:val="0"/>
                <w:szCs w:val="21"/>
              </w:rPr>
            </w:pPr>
          </w:p>
        </w:tc>
        <w:tc>
          <w:tcPr>
            <w:tcW w:w="1816" w:type="dxa"/>
            <w:vMerge w:val="continue"/>
            <w:tcBorders>
              <w:top w:val="nil"/>
              <w:left w:val="single" w:color="auto" w:sz="8" w:space="0"/>
              <w:bottom w:val="single" w:color="auto" w:sz="4" w:space="0"/>
              <w:right w:val="single" w:color="auto" w:sz="8" w:space="0"/>
            </w:tcBorders>
            <w:shd w:val="clear" w:color="auto" w:fill="auto"/>
            <w:noWrap w:val="0"/>
            <w:vAlign w:val="center"/>
          </w:tcPr>
          <w:p w14:paraId="30B15B4C">
            <w:pPr>
              <w:widowControl/>
              <w:jc w:val="left"/>
              <w:rPr>
                <w:rFonts w:ascii="宋体" w:hAnsi="宋体"/>
                <w:kern w:val="0"/>
                <w:szCs w:val="21"/>
              </w:rPr>
            </w:pPr>
          </w:p>
        </w:tc>
        <w:tc>
          <w:tcPr>
            <w:tcW w:w="2196" w:type="dxa"/>
            <w:tcBorders>
              <w:top w:val="nil"/>
              <w:left w:val="nil"/>
              <w:bottom w:val="single" w:color="auto" w:sz="4" w:space="0"/>
              <w:right w:val="single" w:color="auto" w:sz="8" w:space="0"/>
            </w:tcBorders>
            <w:shd w:val="clear" w:color="auto" w:fill="auto"/>
            <w:noWrap w:val="0"/>
            <w:vAlign w:val="center"/>
          </w:tcPr>
          <w:p w14:paraId="523FAF2A">
            <w:pPr>
              <w:widowControl/>
              <w:jc w:val="center"/>
              <w:rPr>
                <w:rFonts w:ascii="宋体" w:hAnsi="宋体"/>
                <w:kern w:val="0"/>
                <w:szCs w:val="21"/>
              </w:rPr>
            </w:pPr>
            <w:r>
              <w:rPr>
                <w:rFonts w:hint="eastAsia" w:ascii="宋体" w:hAnsi="宋体"/>
                <w:kern w:val="0"/>
                <w:szCs w:val="21"/>
              </w:rPr>
              <w:t>课内实践</w:t>
            </w:r>
          </w:p>
        </w:tc>
        <w:tc>
          <w:tcPr>
            <w:tcW w:w="1843" w:type="dxa"/>
            <w:tcBorders>
              <w:top w:val="nil"/>
              <w:left w:val="nil"/>
              <w:bottom w:val="single" w:color="auto" w:sz="4" w:space="0"/>
              <w:right w:val="single" w:color="auto" w:sz="8" w:space="0"/>
            </w:tcBorders>
            <w:shd w:val="clear" w:color="auto" w:fill="auto"/>
            <w:noWrap w:val="0"/>
            <w:vAlign w:val="center"/>
          </w:tcPr>
          <w:p w14:paraId="09DFC872">
            <w:pPr>
              <w:widowControl/>
              <w:jc w:val="center"/>
              <w:rPr>
                <w:rFonts w:hint="eastAsia" w:ascii="宋体" w:hAnsi="宋体"/>
                <w:kern w:val="0"/>
                <w:szCs w:val="21"/>
              </w:rPr>
            </w:pPr>
            <w:r>
              <w:rPr>
                <w:rFonts w:ascii="宋体" w:hAnsi="宋体"/>
                <w:kern w:val="0"/>
                <w:szCs w:val="21"/>
              </w:rPr>
              <w:t>5</w:t>
            </w:r>
            <w:r>
              <w:rPr>
                <w:rFonts w:hint="eastAsia" w:ascii="宋体" w:hAnsi="宋体"/>
                <w:kern w:val="0"/>
                <w:szCs w:val="21"/>
              </w:rPr>
              <w:t>0%</w:t>
            </w:r>
            <w:r>
              <w:rPr>
                <w:rFonts w:ascii="宋体" w:hAnsi="宋体"/>
                <w:kern w:val="0"/>
                <w:szCs w:val="21"/>
              </w:rPr>
              <w:t xml:space="preserve"> </w:t>
            </w:r>
          </w:p>
        </w:tc>
        <w:tc>
          <w:tcPr>
            <w:tcW w:w="1134" w:type="dxa"/>
            <w:vMerge w:val="continue"/>
            <w:tcBorders>
              <w:left w:val="nil"/>
              <w:bottom w:val="single" w:color="auto" w:sz="4" w:space="0"/>
              <w:right w:val="single" w:color="auto" w:sz="8" w:space="0"/>
            </w:tcBorders>
            <w:noWrap w:val="0"/>
            <w:vAlign w:val="top"/>
          </w:tcPr>
          <w:p w14:paraId="75F7A3D1">
            <w:pPr>
              <w:widowControl/>
              <w:jc w:val="center"/>
              <w:rPr>
                <w:rFonts w:hint="eastAsia" w:ascii="宋体" w:hAnsi="宋体"/>
                <w:kern w:val="0"/>
                <w:szCs w:val="21"/>
              </w:rPr>
            </w:pPr>
          </w:p>
        </w:tc>
      </w:tr>
      <w:tr w14:paraId="0C7D0B8B">
        <w:tblPrEx>
          <w:tblCellMar>
            <w:top w:w="0" w:type="dxa"/>
            <w:left w:w="108" w:type="dxa"/>
            <w:bottom w:w="0" w:type="dxa"/>
            <w:right w:w="108" w:type="dxa"/>
          </w:tblCellMar>
        </w:tblPrEx>
        <w:trPr>
          <w:trHeight w:val="549" w:hRule="atLeast"/>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6540EF">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0D3238">
            <w:pPr>
              <w:widowControl/>
              <w:jc w:val="center"/>
              <w:rPr>
                <w:rFonts w:hint="eastAsia" w:ascii="宋体" w:hAnsi="宋体"/>
                <w:kern w:val="0"/>
                <w:szCs w:val="21"/>
              </w:rPr>
            </w:pPr>
            <w:r>
              <w:rPr>
                <w:rFonts w:hint="eastAsia" w:ascii="宋体" w:hAnsi="宋体"/>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ED54FBE">
            <w:pPr>
              <w:widowControl/>
              <w:jc w:val="center"/>
              <w:rPr>
                <w:rFonts w:hint="eastAsia" w:ascii="宋体" w:hAnsi="宋体"/>
                <w:kern w:val="0"/>
                <w:szCs w:val="21"/>
              </w:rPr>
            </w:pPr>
          </w:p>
        </w:tc>
      </w:tr>
    </w:tbl>
    <w:p w14:paraId="2070103C">
      <w:pPr>
        <w:spacing w:line="360" w:lineRule="auto"/>
        <w:ind w:firstLine="480"/>
        <w:rPr>
          <w:rFonts w:ascii="宋体" w:hAnsi="宋体"/>
          <w:sz w:val="24"/>
          <w:szCs w:val="22"/>
        </w:rPr>
      </w:pPr>
    </w:p>
    <w:p w14:paraId="125AA65A">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5D43B764">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7785CFA3">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14C8E576">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46EDBE0F">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27B61A17">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本课程根据学生作业、课堂讨论、实践环节和学生、教学督导等的反馈，及时对教学中的不足之处进行改进，并在下一轮课程教学中整改完善，确保相应毕业要求指标点达成。</w:t>
      </w:r>
    </w:p>
    <w:p w14:paraId="240C433D">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3AE6D631">
      <w:pPr>
        <w:spacing w:line="360" w:lineRule="auto"/>
        <w:ind w:firstLine="480" w:firstLineChars="200"/>
        <w:rPr>
          <w:rFonts w:ascii="宋体" w:hAnsi="宋体"/>
          <w:sz w:val="24"/>
          <w:szCs w:val="22"/>
        </w:rPr>
      </w:pPr>
      <w:r>
        <w:rPr>
          <w:rFonts w:hint="eastAsia" w:ascii="宋体" w:hAnsi="宋体"/>
          <w:sz w:val="24"/>
          <w:szCs w:val="22"/>
        </w:rPr>
        <w:t>1．教材</w:t>
      </w:r>
    </w:p>
    <w:p w14:paraId="32C89C03">
      <w:pPr>
        <w:spacing w:line="360" w:lineRule="auto"/>
        <w:ind w:firstLine="480" w:firstLineChars="200"/>
        <w:outlineLvl w:val="0"/>
        <w:rPr>
          <w:sz w:val="24"/>
          <w:szCs w:val="22"/>
        </w:rPr>
      </w:pPr>
      <w:r>
        <w:rPr>
          <w:rFonts w:hint="eastAsia"/>
          <w:sz w:val="24"/>
          <w:szCs w:val="22"/>
        </w:rPr>
        <w:t>陈瑶.课堂观察指导.北京</w:t>
      </w:r>
      <w:r>
        <w:rPr>
          <w:sz w:val="24"/>
          <w:szCs w:val="22"/>
        </w:rPr>
        <w:t>：</w:t>
      </w:r>
      <w:r>
        <w:rPr>
          <w:rFonts w:hint="eastAsia"/>
          <w:sz w:val="24"/>
          <w:szCs w:val="22"/>
        </w:rPr>
        <w:t>教育科学出版社，最新版.</w:t>
      </w:r>
    </w:p>
    <w:p w14:paraId="08CDD084">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1ACE4763">
      <w:pPr>
        <w:spacing w:line="360" w:lineRule="auto"/>
        <w:ind w:firstLine="480" w:firstLineChars="200"/>
        <w:rPr>
          <w:rFonts w:ascii="宋体" w:hAnsi="宋体"/>
          <w:sz w:val="24"/>
          <w:szCs w:val="22"/>
        </w:rPr>
      </w:pPr>
      <w:r>
        <w:rPr>
          <w:rFonts w:hint="eastAsia" w:ascii="宋体" w:hAnsi="宋体"/>
          <w:sz w:val="24"/>
          <w:szCs w:val="22"/>
        </w:rPr>
        <w:t>[</w:t>
      </w:r>
      <w:r>
        <w:rPr>
          <w:rFonts w:ascii="宋体" w:hAnsi="宋体"/>
          <w:sz w:val="24"/>
          <w:szCs w:val="22"/>
        </w:rPr>
        <w:t>1]</w:t>
      </w:r>
      <w:r>
        <w:rPr>
          <w:rFonts w:hint="eastAsia" w:ascii="宋体" w:hAnsi="宋体"/>
          <w:sz w:val="24"/>
          <w:szCs w:val="22"/>
        </w:rPr>
        <w:t>沈毅</w:t>
      </w:r>
      <w:r>
        <w:rPr>
          <w:rFonts w:ascii="宋体" w:hAnsi="宋体"/>
          <w:sz w:val="24"/>
          <w:szCs w:val="22"/>
        </w:rPr>
        <w:t>，崔允漷</w:t>
      </w:r>
      <w:r>
        <w:rPr>
          <w:rFonts w:hint="eastAsia" w:ascii="宋体" w:hAnsi="宋体"/>
          <w:sz w:val="24"/>
          <w:szCs w:val="22"/>
        </w:rPr>
        <w:t>.课堂观察</w:t>
      </w:r>
      <w:r>
        <w:rPr>
          <w:rFonts w:ascii="宋体" w:hAnsi="宋体"/>
          <w:sz w:val="24"/>
          <w:szCs w:val="22"/>
        </w:rPr>
        <w:t>：走向专业的听评课</w:t>
      </w:r>
      <w:r>
        <w:rPr>
          <w:rFonts w:hint="eastAsia" w:ascii="宋体" w:hAnsi="宋体"/>
          <w:sz w:val="24"/>
          <w:szCs w:val="22"/>
        </w:rPr>
        <w:t>.上海：华东师范</w:t>
      </w:r>
      <w:r>
        <w:rPr>
          <w:rFonts w:ascii="宋体" w:hAnsi="宋体"/>
          <w:sz w:val="24"/>
          <w:szCs w:val="22"/>
        </w:rPr>
        <w:t>大学</w:t>
      </w:r>
      <w:r>
        <w:rPr>
          <w:rFonts w:hint="eastAsia" w:ascii="宋体" w:hAnsi="宋体"/>
          <w:sz w:val="24"/>
          <w:szCs w:val="22"/>
        </w:rPr>
        <w:t>大学出版社.20</w:t>
      </w:r>
      <w:r>
        <w:rPr>
          <w:rFonts w:ascii="宋体" w:hAnsi="宋体"/>
          <w:sz w:val="24"/>
          <w:szCs w:val="22"/>
        </w:rPr>
        <w:t>08</w:t>
      </w:r>
      <w:r>
        <w:rPr>
          <w:rFonts w:hint="eastAsia" w:ascii="宋体" w:hAnsi="宋体"/>
          <w:sz w:val="24"/>
          <w:szCs w:val="22"/>
        </w:rPr>
        <w:t>.</w:t>
      </w:r>
    </w:p>
    <w:p w14:paraId="6F4858A7">
      <w:pPr>
        <w:autoSpaceDE w:val="0"/>
        <w:autoSpaceDN w:val="0"/>
        <w:adjustRightInd w:val="0"/>
        <w:spacing w:line="360" w:lineRule="auto"/>
        <w:ind w:firstLine="480" w:firstLineChars="200"/>
        <w:jc w:val="left"/>
        <w:rPr>
          <w:rFonts w:hint="eastAsia"/>
          <w:kern w:val="0"/>
          <w:sz w:val="24"/>
          <w:szCs w:val="21"/>
        </w:rPr>
      </w:pPr>
      <w:r>
        <w:rPr>
          <w:kern w:val="0"/>
          <w:sz w:val="24"/>
          <w:szCs w:val="21"/>
        </w:rPr>
        <w:t>[2]</w:t>
      </w:r>
      <w:r>
        <w:rPr>
          <w:rFonts w:hint="eastAsia"/>
          <w:kern w:val="0"/>
          <w:sz w:val="24"/>
          <w:szCs w:val="21"/>
        </w:rPr>
        <w:t>[加</w:t>
      </w:r>
      <w:r>
        <w:rPr>
          <w:kern w:val="0"/>
          <w:sz w:val="24"/>
          <w:szCs w:val="21"/>
        </w:rPr>
        <w:t>]F.</w:t>
      </w:r>
      <w:r>
        <w:rPr>
          <w:rFonts w:hint="eastAsia"/>
          <w:kern w:val="0"/>
          <w:sz w:val="24"/>
          <w:szCs w:val="21"/>
        </w:rPr>
        <w:t>迈克尔•</w:t>
      </w:r>
      <w:r>
        <w:rPr>
          <w:kern w:val="0"/>
          <w:sz w:val="24"/>
          <w:szCs w:val="21"/>
        </w:rPr>
        <w:t>康纳利，</w:t>
      </w:r>
      <w:r>
        <w:rPr>
          <w:rFonts w:hint="eastAsia"/>
          <w:kern w:val="0"/>
          <w:sz w:val="24"/>
          <w:szCs w:val="21"/>
        </w:rPr>
        <w:t>D</w:t>
      </w:r>
      <w:r>
        <w:rPr>
          <w:kern w:val="0"/>
          <w:sz w:val="24"/>
          <w:szCs w:val="21"/>
        </w:rPr>
        <w:t>.</w:t>
      </w:r>
      <w:r>
        <w:rPr>
          <w:rFonts w:hint="eastAsia"/>
          <w:kern w:val="0"/>
          <w:sz w:val="24"/>
          <w:szCs w:val="21"/>
        </w:rPr>
        <w:t>琼•克</w:t>
      </w:r>
      <w:r>
        <w:rPr>
          <w:kern w:val="0"/>
          <w:sz w:val="24"/>
          <w:szCs w:val="21"/>
        </w:rPr>
        <w:t>兰迪</w:t>
      </w:r>
      <w:r>
        <w:rPr>
          <w:rFonts w:hint="eastAsia"/>
          <w:kern w:val="0"/>
          <w:sz w:val="24"/>
          <w:szCs w:val="21"/>
        </w:rPr>
        <w:t>宁.教师</w:t>
      </w:r>
      <w:r>
        <w:rPr>
          <w:kern w:val="0"/>
          <w:sz w:val="24"/>
          <w:szCs w:val="21"/>
        </w:rPr>
        <w:t>成为课程研究者</w:t>
      </w:r>
      <w:r>
        <w:rPr>
          <w:rFonts w:hint="eastAsia"/>
          <w:kern w:val="0"/>
          <w:sz w:val="24"/>
          <w:szCs w:val="21"/>
        </w:rPr>
        <w:t>——</w:t>
      </w:r>
      <w:r>
        <w:rPr>
          <w:kern w:val="0"/>
          <w:sz w:val="24"/>
          <w:szCs w:val="21"/>
        </w:rPr>
        <w:t>经验</w:t>
      </w:r>
      <w:r>
        <w:rPr>
          <w:rFonts w:hint="eastAsia"/>
          <w:kern w:val="0"/>
          <w:sz w:val="24"/>
          <w:szCs w:val="21"/>
        </w:rPr>
        <w:t>叙</w:t>
      </w:r>
      <w:r>
        <w:rPr>
          <w:kern w:val="0"/>
          <w:sz w:val="24"/>
          <w:szCs w:val="21"/>
        </w:rPr>
        <w:t>事</w:t>
      </w:r>
      <w:r>
        <w:rPr>
          <w:rFonts w:hint="eastAsia"/>
          <w:kern w:val="0"/>
          <w:sz w:val="24"/>
          <w:szCs w:val="21"/>
        </w:rPr>
        <w:t>.刘</w:t>
      </w:r>
      <w:r>
        <w:rPr>
          <w:kern w:val="0"/>
          <w:sz w:val="24"/>
          <w:szCs w:val="21"/>
        </w:rPr>
        <w:t>良华，等译</w:t>
      </w:r>
      <w:r>
        <w:rPr>
          <w:rFonts w:hint="eastAsia"/>
          <w:kern w:val="0"/>
          <w:sz w:val="24"/>
          <w:szCs w:val="21"/>
        </w:rPr>
        <w:t>.杭州：浙江教育出版社，20</w:t>
      </w:r>
      <w:r>
        <w:rPr>
          <w:kern w:val="0"/>
          <w:sz w:val="24"/>
          <w:szCs w:val="21"/>
        </w:rPr>
        <w:t>04.</w:t>
      </w:r>
    </w:p>
    <w:p w14:paraId="70BB56CA">
      <w:pPr>
        <w:autoSpaceDE w:val="0"/>
        <w:autoSpaceDN w:val="0"/>
        <w:adjustRightInd w:val="0"/>
        <w:spacing w:line="360" w:lineRule="auto"/>
        <w:ind w:firstLine="480" w:firstLineChars="200"/>
        <w:jc w:val="left"/>
        <w:rPr>
          <w:rFonts w:hint="eastAsia"/>
          <w:kern w:val="0"/>
          <w:sz w:val="24"/>
          <w:szCs w:val="21"/>
        </w:rPr>
      </w:pPr>
      <w:r>
        <w:rPr>
          <w:kern w:val="0"/>
          <w:sz w:val="24"/>
          <w:szCs w:val="21"/>
        </w:rPr>
        <w:t>[3]</w:t>
      </w:r>
      <w:r>
        <w:rPr>
          <w:rFonts w:hint="eastAsia"/>
          <w:kern w:val="0"/>
          <w:sz w:val="24"/>
          <w:szCs w:val="21"/>
        </w:rPr>
        <w:t>[美]</w:t>
      </w:r>
      <w:r>
        <w:rPr>
          <w:kern w:val="0"/>
          <w:sz w:val="24"/>
          <w:szCs w:val="21"/>
        </w:rPr>
        <w:t>Renee Campoy.</w:t>
      </w:r>
      <w:r>
        <w:rPr>
          <w:rFonts w:hint="eastAsia"/>
          <w:kern w:val="0"/>
          <w:sz w:val="24"/>
          <w:szCs w:val="21"/>
        </w:rPr>
        <w:t>课堂</w:t>
      </w:r>
      <w:r>
        <w:rPr>
          <w:kern w:val="0"/>
          <w:sz w:val="24"/>
          <w:szCs w:val="21"/>
        </w:rPr>
        <w:t>问题分析与解决——成为反思型教师。赵</w:t>
      </w:r>
      <w:r>
        <w:rPr>
          <w:rFonts w:hint="eastAsia"/>
          <w:kern w:val="0"/>
          <w:sz w:val="24"/>
          <w:szCs w:val="21"/>
        </w:rPr>
        <w:t>清</w:t>
      </w:r>
      <w:r>
        <w:rPr>
          <w:kern w:val="0"/>
          <w:sz w:val="24"/>
          <w:szCs w:val="21"/>
        </w:rPr>
        <w:t>梅，等译</w:t>
      </w:r>
      <w:r>
        <w:rPr>
          <w:rFonts w:hint="eastAsia"/>
          <w:kern w:val="0"/>
          <w:sz w:val="24"/>
          <w:szCs w:val="21"/>
        </w:rPr>
        <w:t>.北京:中国</w:t>
      </w:r>
      <w:r>
        <w:rPr>
          <w:kern w:val="0"/>
          <w:sz w:val="24"/>
          <w:szCs w:val="21"/>
        </w:rPr>
        <w:t>轻工业</w:t>
      </w:r>
      <w:r>
        <w:rPr>
          <w:rFonts w:hint="eastAsia"/>
          <w:kern w:val="0"/>
          <w:sz w:val="24"/>
          <w:szCs w:val="21"/>
        </w:rPr>
        <w:t>出版社,200</w:t>
      </w:r>
      <w:r>
        <w:rPr>
          <w:kern w:val="0"/>
          <w:sz w:val="24"/>
          <w:szCs w:val="21"/>
        </w:rPr>
        <w:t>7</w:t>
      </w:r>
      <w:r>
        <w:rPr>
          <w:rFonts w:hint="eastAsia"/>
          <w:kern w:val="0"/>
          <w:sz w:val="24"/>
          <w:szCs w:val="21"/>
        </w:rPr>
        <w:t>.</w:t>
      </w:r>
    </w:p>
    <w:p w14:paraId="7C4DF780">
      <w:pPr>
        <w:autoSpaceDE w:val="0"/>
        <w:autoSpaceDN w:val="0"/>
        <w:adjustRightInd w:val="0"/>
        <w:spacing w:line="360" w:lineRule="auto"/>
        <w:ind w:firstLine="480" w:firstLineChars="200"/>
        <w:jc w:val="left"/>
        <w:rPr>
          <w:rFonts w:hint="eastAsia"/>
          <w:kern w:val="0"/>
          <w:sz w:val="24"/>
          <w:szCs w:val="21"/>
        </w:rPr>
      </w:pPr>
    </w:p>
    <w:p w14:paraId="648A4315">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4B0FFC0F">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6B963A7F">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张建波</w:t>
      </w:r>
    </w:p>
    <w:p w14:paraId="17FDCC5E">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w:t>
      </w:r>
      <w:r>
        <w:rPr>
          <w:rFonts w:ascii="宋体" w:hAnsi="宋体"/>
          <w:kern w:val="0"/>
          <w:sz w:val="24"/>
          <w:szCs w:val="21"/>
        </w:rPr>
        <w:t>22</w:t>
      </w:r>
      <w:r>
        <w:rPr>
          <w:rFonts w:hint="eastAsia" w:ascii="宋体" w:hAnsi="宋体"/>
          <w:kern w:val="0"/>
          <w:sz w:val="24"/>
          <w:szCs w:val="21"/>
        </w:rPr>
        <w:t>年8月</w:t>
      </w:r>
      <w:r>
        <w:rPr>
          <w:rFonts w:ascii="宋体" w:hAnsi="宋体"/>
          <w:kern w:val="0"/>
          <w:sz w:val="24"/>
          <w:szCs w:val="21"/>
        </w:rPr>
        <w:t>15</w:t>
      </w:r>
      <w:r>
        <w:rPr>
          <w:rFonts w:hint="eastAsia" w:ascii="宋体" w:hAnsi="宋体"/>
          <w:kern w:val="0"/>
          <w:sz w:val="24"/>
          <w:szCs w:val="21"/>
        </w:rPr>
        <w:t>日</w:t>
      </w:r>
    </w:p>
    <w:p w14:paraId="091D1704">
      <w:pPr>
        <w:widowControl/>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7C18F8B3">
      <w:pPr>
        <w:rPr>
          <w:rFonts w:ascii="Calibri" w:hAnsi="Calibri" w:eastAsia="宋体" w:cs="Times New Roman"/>
        </w:rPr>
      </w:pPr>
    </w:p>
    <w:p w14:paraId="27F1FF47">
      <w:pPr>
        <w:jc w:val="center"/>
        <w:outlineLvl w:val="0"/>
        <w:rPr>
          <w:rFonts w:hint="eastAsia" w:ascii="宋体" w:hAnsi="宋体" w:eastAsia="宋体" w:cs="Times New Roman"/>
          <w:b/>
          <w:sz w:val="30"/>
          <w:szCs w:val="30"/>
        </w:rPr>
      </w:pPr>
      <w:bookmarkStart w:id="157" w:name="_Toc2268"/>
      <w:r>
        <w:rPr>
          <w:rFonts w:hint="eastAsia" w:ascii="宋体" w:hAnsi="宋体" w:eastAsia="宋体" w:cs="Times New Roman"/>
          <w:b/>
          <w:sz w:val="30"/>
          <w:szCs w:val="30"/>
        </w:rPr>
        <w:t>校本课程开发课程教学大纲</w:t>
      </w:r>
      <w:bookmarkEnd w:id="157"/>
    </w:p>
    <w:p w14:paraId="6798C553">
      <w:pPr>
        <w:jc w:val="center"/>
        <w:rPr>
          <w:rFonts w:ascii="Times New Roman" w:hAnsi="Times New Roman" w:eastAsia="宋体" w:cs="Times New Roman"/>
          <w:b/>
          <w:bCs/>
          <w:sz w:val="30"/>
          <w:szCs w:val="24"/>
        </w:rPr>
      </w:pPr>
      <w:r>
        <w:rPr>
          <w:rFonts w:hint="eastAsia" w:ascii="Times New Roman" w:hAnsi="Times New Roman" w:eastAsia="宋体" w:cs="Times New Roman"/>
          <w:b/>
          <w:bCs/>
          <w:sz w:val="30"/>
          <w:szCs w:val="24"/>
        </w:rPr>
        <w:t>（Development of School-based Curriculum）</w:t>
      </w:r>
    </w:p>
    <w:p w14:paraId="34353C41">
      <w:pPr>
        <w:jc w:val="center"/>
        <w:rPr>
          <w:rFonts w:ascii="Times New Roman" w:hAnsi="Times New Roman" w:eastAsia="宋体" w:cs="Times New Roman"/>
          <w:b/>
          <w:bCs/>
          <w:sz w:val="30"/>
          <w:szCs w:val="24"/>
        </w:rPr>
      </w:pPr>
    </w:p>
    <w:p w14:paraId="0EF75C66">
      <w:pPr>
        <w:spacing w:line="360" w:lineRule="auto"/>
        <w:ind w:firstLine="562" w:firstLineChars="200"/>
        <w:jc w:val="left"/>
        <w:rPr>
          <w:rFonts w:ascii="Times New Roman" w:hAnsi="Times New Roman" w:eastAsia="宋体" w:cs="Times New Roman"/>
          <w:b/>
          <w:bCs/>
          <w:sz w:val="28"/>
          <w:szCs w:val="28"/>
        </w:rPr>
      </w:pPr>
      <w:bookmarkStart w:id="158" w:name="_Toc23203_WPSOffice_Level1"/>
      <w:bookmarkStart w:id="159" w:name="_Toc5535_WPSOffice_Level1"/>
      <w:r>
        <w:rPr>
          <w:rFonts w:hint="eastAsia" w:ascii="Times New Roman" w:hAnsi="Times New Roman" w:eastAsia="宋体" w:cs="Times New Roman"/>
          <w:b/>
          <w:bCs/>
          <w:sz w:val="28"/>
          <w:szCs w:val="28"/>
        </w:rPr>
        <w:t>一、课程概况</w:t>
      </w:r>
      <w:bookmarkEnd w:id="158"/>
      <w:bookmarkEnd w:id="159"/>
    </w:p>
    <w:p w14:paraId="3B9B4D10">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课程代码：</w:t>
      </w:r>
      <w:r>
        <w:rPr>
          <w:rFonts w:hint="eastAsia" w:ascii="Times New Roman" w:hAnsi="Times New Roman" w:eastAsia="宋体" w:cs="Times New Roman"/>
          <w:bCs/>
          <w:sz w:val="24"/>
          <w:szCs w:val="24"/>
        </w:rPr>
        <w:t>0705057</w:t>
      </w:r>
    </w:p>
    <w:p w14:paraId="0F88738D">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 xml:space="preserve">学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分：</w:t>
      </w:r>
      <w:r>
        <w:rPr>
          <w:rFonts w:hint="eastAsia" w:ascii="Times New Roman" w:hAnsi="Times New Roman" w:eastAsia="宋体" w:cs="Times New Roman"/>
          <w:bCs/>
          <w:sz w:val="24"/>
          <w:szCs w:val="24"/>
        </w:rPr>
        <w:t>2</w:t>
      </w:r>
    </w:p>
    <w:p w14:paraId="0202C85B">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学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时：</w:t>
      </w:r>
      <w:r>
        <w:rPr>
          <w:rFonts w:hint="eastAsia" w:ascii="Times New Roman" w:hAnsi="Times New Roman" w:eastAsia="宋体" w:cs="Times New Roman"/>
          <w:bCs/>
          <w:sz w:val="24"/>
          <w:szCs w:val="24"/>
        </w:rPr>
        <w:t>32</w:t>
      </w:r>
    </w:p>
    <w:p w14:paraId="65BFE23C">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先修课程：</w:t>
      </w:r>
      <w:r>
        <w:rPr>
          <w:rFonts w:hint="eastAsia" w:ascii="Times New Roman" w:hAnsi="Times New Roman" w:eastAsia="宋体" w:cs="Times New Roman"/>
          <w:bCs/>
          <w:sz w:val="24"/>
          <w:szCs w:val="24"/>
        </w:rPr>
        <w:t>教育原理、课程与教学论</w:t>
      </w:r>
    </w:p>
    <w:p w14:paraId="60508CE2">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适用专业：</w:t>
      </w:r>
      <w:r>
        <w:rPr>
          <w:rFonts w:hint="eastAsia" w:ascii="Times New Roman" w:hAnsi="Times New Roman" w:eastAsia="宋体" w:cs="Times New Roman"/>
          <w:bCs/>
          <w:sz w:val="24"/>
          <w:szCs w:val="24"/>
        </w:rPr>
        <w:t>小学教育</w:t>
      </w:r>
    </w:p>
    <w:p w14:paraId="33DB0E27">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建议教材：</w:t>
      </w:r>
      <w:r>
        <w:rPr>
          <w:rFonts w:hint="eastAsia" w:ascii="Times New Roman" w:hAnsi="Times New Roman" w:eastAsia="宋体" w:cs="Times New Roman"/>
          <w:bCs/>
          <w:sz w:val="24"/>
          <w:szCs w:val="24"/>
        </w:rPr>
        <w:t>《小学校本课程开发》，高慎英，高等教育出版社，2017.6</w:t>
      </w:r>
    </w:p>
    <w:p w14:paraId="76D5208D">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课程归口：</w:t>
      </w:r>
      <w:r>
        <w:rPr>
          <w:rFonts w:hint="eastAsia" w:ascii="Times New Roman" w:hAnsi="Times New Roman" w:eastAsia="宋体" w:cs="Times New Roman"/>
          <w:bCs/>
          <w:sz w:val="24"/>
          <w:szCs w:val="24"/>
        </w:rPr>
        <w:t>师范学院</w:t>
      </w:r>
    </w:p>
    <w:p w14:paraId="6C7A9503">
      <w:pPr>
        <w:spacing w:line="360" w:lineRule="auto"/>
        <w:ind w:firstLine="482" w:firstLineChars="200"/>
        <w:jc w:val="left"/>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课程性质与任务：</w:t>
      </w:r>
      <w:r>
        <w:rPr>
          <w:rFonts w:hint="eastAsia" w:ascii="Times New Roman" w:hAnsi="Times New Roman" w:eastAsia="宋体" w:cs="Times New Roman"/>
          <w:bCs/>
          <w:sz w:val="24"/>
          <w:szCs w:val="24"/>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并从校本课程开发中对教师专业发展的要求来寻找自己的不足，从而为在教学实践中能有效地进行校本课程开发打下理论和实践基础。</w:t>
      </w:r>
    </w:p>
    <w:p w14:paraId="635E8D76">
      <w:pPr>
        <w:spacing w:line="360" w:lineRule="auto"/>
        <w:ind w:firstLine="562" w:firstLineChars="200"/>
        <w:jc w:val="left"/>
        <w:rPr>
          <w:rFonts w:ascii="Times New Roman" w:hAnsi="Times New Roman" w:eastAsia="宋体" w:cs="Times New Roman"/>
          <w:b/>
          <w:bCs/>
          <w:sz w:val="28"/>
          <w:szCs w:val="28"/>
        </w:rPr>
      </w:pPr>
      <w:bookmarkStart w:id="160" w:name="_Toc13129_WPSOffice_Level1"/>
      <w:bookmarkStart w:id="161" w:name="_Toc3554_WPSOffice_Level1"/>
      <w:r>
        <w:rPr>
          <w:rFonts w:hint="eastAsia" w:ascii="Times New Roman" w:hAnsi="Times New Roman" w:eastAsia="宋体" w:cs="Times New Roman"/>
          <w:b/>
          <w:bCs/>
          <w:sz w:val="28"/>
          <w:szCs w:val="28"/>
        </w:rPr>
        <w:t>二、课程目标</w:t>
      </w:r>
      <w:bookmarkEnd w:id="160"/>
      <w:bookmarkEnd w:id="161"/>
    </w:p>
    <w:p w14:paraId="03B5A75F">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目标1.</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掌握校本课程开发的理论基础知识，了解校本课程开发的国内外经验，增强本课程学习所需的知识基础。</w:t>
      </w:r>
    </w:p>
    <w:p w14:paraId="7AA040D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目标2.</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学生能够立足实践，领悟校本课程开发所应树立的崭新课程与教育教学理念，掌握科学的校本课程开发方法（研制、开发、实施、管理与评价等），培养和锻炼学生的实践能力和创新能力。</w:t>
      </w:r>
    </w:p>
    <w:p w14:paraId="42230FCD">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目标3.</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让学生亲身感受和体验校本课程开发对我国基础教育的影响，从而培养他们积极地学习态度和学习方法。同时进一步夯实他们的专业思想，是他们热爱小学教师这个职业，对小学教育事业产生深厚的情感，并愿意为教育事业奋斗终身。</w:t>
      </w:r>
    </w:p>
    <w:p w14:paraId="7358114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目标4.</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能明确校本课程管理和评价的一般原理和具体做法，能够在管理和评价中学会反思，运用批判的思维分析和解决问题。</w:t>
      </w:r>
    </w:p>
    <w:p w14:paraId="7C88E74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目标5.</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明确校本课程开发对教师的意义和要求，并能从校本课程开发中对教师专业发展的要求来寻找自己的不足，从而为在教学实践中能有效地进行校本课程开发打下理论和实践基础。</w:t>
      </w:r>
    </w:p>
    <w:p w14:paraId="70CD2FBA">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本课程支撑专业培养计划中毕业要求的。3-1（</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w:t>
      </w:r>
      <w:r>
        <w:rPr>
          <w:rFonts w:hint="eastAsia" w:ascii="Times New Roman" w:hAnsi="Times New Roman" w:eastAsia="宋体" w:cs="Times New Roman"/>
          <w:sz w:val="24"/>
          <w:szCs w:val="24"/>
        </w:rPr>
        <w:t>）、4-2（</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6</w:t>
      </w:r>
      <w:r>
        <w:rPr>
          <w:rFonts w:ascii="Times New Roman" w:hAnsi="Times New Roman" w:eastAsia="宋体" w:cs="Times New Roman"/>
          <w:sz w:val="24"/>
          <w:szCs w:val="24"/>
        </w:rPr>
        <w:t>0%</w:t>
      </w:r>
      <w:r>
        <w:rPr>
          <w:rFonts w:hint="eastAsia" w:ascii="Times New Roman" w:hAnsi="Times New Roman" w:eastAsia="宋体" w:cs="Times New Roman"/>
          <w:sz w:val="24"/>
          <w:szCs w:val="24"/>
        </w:rPr>
        <w:t>）、4-3（</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w:t>
      </w:r>
      <w:r>
        <w:rPr>
          <w:rFonts w:hint="eastAsia" w:ascii="Times New Roman" w:hAnsi="Times New Roman" w:eastAsia="宋体" w:cs="Times New Roman"/>
          <w:sz w:val="24"/>
          <w:szCs w:val="24"/>
        </w:rPr>
        <w:t>）、7-1（</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15</w:t>
      </w:r>
      <w:r>
        <w:rPr>
          <w:rFonts w:ascii="Times New Roman" w:hAnsi="Times New Roman" w:eastAsia="宋体" w:cs="Times New Roman"/>
          <w:sz w:val="24"/>
          <w:szCs w:val="24"/>
        </w:rPr>
        <w:t>%</w:t>
      </w:r>
      <w:r>
        <w:rPr>
          <w:rFonts w:hint="eastAsia" w:ascii="Times New Roman" w:hAnsi="Times New Roman" w:eastAsia="宋体" w:cs="Times New Roman"/>
          <w:sz w:val="24"/>
          <w:szCs w:val="24"/>
        </w:rPr>
        <w:t>）、7-2（</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w:t>
      </w:r>
      <w:r>
        <w:rPr>
          <w:rFonts w:hint="eastAsia" w:ascii="Times New Roman" w:hAnsi="Times New Roman" w:eastAsia="宋体" w:cs="Times New Roman"/>
          <w:sz w:val="24"/>
          <w:szCs w:val="24"/>
        </w:rPr>
        <w:t>）、7-3（</w:t>
      </w:r>
      <w:r>
        <w:rPr>
          <w:rFonts w:ascii="Times New Roman" w:hAnsi="Times New Roman" w:eastAsia="宋体" w:cs="Times New Roman"/>
          <w:sz w:val="24"/>
          <w:szCs w:val="24"/>
        </w:rPr>
        <w:t>占该指标点达成度的</w:t>
      </w:r>
      <w:r>
        <w:rPr>
          <w:rFonts w:hint="eastAsia" w:ascii="Times New Roman" w:hAnsi="Times New Roman" w:eastAsia="宋体" w:cs="Times New Roman"/>
          <w:sz w:val="24"/>
          <w:szCs w:val="24"/>
        </w:rPr>
        <w:t>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），在整个教学过程中都贯穿着学生合作学习体验及团队写作精神的培养，即支撑培养目标的8-1。</w:t>
      </w:r>
    </w:p>
    <w:p w14:paraId="3F1204D3">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对应关系如表所示。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068"/>
        <w:gridCol w:w="1383"/>
        <w:gridCol w:w="1383"/>
        <w:gridCol w:w="1383"/>
        <w:gridCol w:w="1383"/>
      </w:tblGrid>
      <w:tr w14:paraId="061A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shd w:val="clear" w:color="auto" w:fill="auto"/>
            <w:vAlign w:val="center"/>
          </w:tcPr>
          <w:p w14:paraId="26BCAB0D">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w:t>
            </w:r>
          </w:p>
          <w:p w14:paraId="10CE6946">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指标点</w:t>
            </w:r>
          </w:p>
        </w:tc>
        <w:tc>
          <w:tcPr>
            <w:tcW w:w="6600" w:type="dxa"/>
            <w:gridSpan w:val="5"/>
            <w:shd w:val="clear" w:color="auto" w:fill="auto"/>
            <w:vAlign w:val="center"/>
          </w:tcPr>
          <w:p w14:paraId="16E88906">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课程目标</w:t>
            </w:r>
          </w:p>
        </w:tc>
      </w:tr>
      <w:tr w14:paraId="1EBA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shd w:val="clear" w:color="auto" w:fill="auto"/>
            <w:vAlign w:val="center"/>
          </w:tcPr>
          <w:p w14:paraId="545108B1">
            <w:pPr>
              <w:spacing w:line="360" w:lineRule="auto"/>
              <w:jc w:val="center"/>
              <w:rPr>
                <w:rFonts w:ascii="Times New Roman" w:hAnsi="Times New Roman" w:eastAsia="宋体" w:cs="Times New Roman"/>
                <w:sz w:val="24"/>
                <w:szCs w:val="24"/>
              </w:rPr>
            </w:pPr>
          </w:p>
        </w:tc>
        <w:tc>
          <w:tcPr>
            <w:tcW w:w="1068" w:type="dxa"/>
            <w:shd w:val="clear" w:color="auto" w:fill="auto"/>
            <w:vAlign w:val="center"/>
          </w:tcPr>
          <w:p w14:paraId="49CE0C86">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目标1</w:t>
            </w:r>
          </w:p>
        </w:tc>
        <w:tc>
          <w:tcPr>
            <w:tcW w:w="1383" w:type="dxa"/>
            <w:shd w:val="clear" w:color="auto" w:fill="auto"/>
            <w:vAlign w:val="center"/>
          </w:tcPr>
          <w:p w14:paraId="1AC4E25A">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目标2</w:t>
            </w:r>
          </w:p>
        </w:tc>
        <w:tc>
          <w:tcPr>
            <w:tcW w:w="1383" w:type="dxa"/>
            <w:shd w:val="clear" w:color="auto" w:fill="auto"/>
            <w:vAlign w:val="center"/>
          </w:tcPr>
          <w:p w14:paraId="16D8BC2A">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目标3</w:t>
            </w:r>
          </w:p>
        </w:tc>
        <w:tc>
          <w:tcPr>
            <w:tcW w:w="1383" w:type="dxa"/>
            <w:shd w:val="clear" w:color="auto" w:fill="auto"/>
            <w:vAlign w:val="center"/>
          </w:tcPr>
          <w:p w14:paraId="521B2B99">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目标4</w:t>
            </w:r>
          </w:p>
        </w:tc>
        <w:tc>
          <w:tcPr>
            <w:tcW w:w="1383" w:type="dxa"/>
            <w:shd w:val="clear" w:color="auto" w:fill="auto"/>
            <w:vAlign w:val="center"/>
          </w:tcPr>
          <w:p w14:paraId="059D7E07">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目标5</w:t>
            </w:r>
          </w:p>
        </w:tc>
      </w:tr>
      <w:tr w14:paraId="18CC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4025A20F">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毕业要求3-1</w:t>
            </w:r>
          </w:p>
        </w:tc>
        <w:tc>
          <w:tcPr>
            <w:tcW w:w="1068" w:type="dxa"/>
            <w:shd w:val="clear" w:color="auto" w:fill="auto"/>
            <w:vAlign w:val="center"/>
          </w:tcPr>
          <w:p w14:paraId="1285D3BC">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635ABCA0">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1E72A78D">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37980518">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95B5C5E">
            <w:pPr>
              <w:spacing w:line="360" w:lineRule="auto"/>
              <w:jc w:val="center"/>
              <w:rPr>
                <w:rFonts w:ascii="Times New Roman" w:hAnsi="Times New Roman" w:eastAsia="宋体" w:cs="Times New Roman"/>
                <w:sz w:val="24"/>
                <w:szCs w:val="24"/>
              </w:rPr>
            </w:pPr>
          </w:p>
        </w:tc>
      </w:tr>
      <w:tr w14:paraId="79A9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7EBE9ACF">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毕业要求4-2</w:t>
            </w:r>
          </w:p>
        </w:tc>
        <w:tc>
          <w:tcPr>
            <w:tcW w:w="1068" w:type="dxa"/>
            <w:shd w:val="clear" w:color="auto" w:fill="auto"/>
            <w:vAlign w:val="center"/>
          </w:tcPr>
          <w:p w14:paraId="474F3BE4">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99B0861">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1FD66742">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7825B3BE">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09930910">
            <w:pPr>
              <w:spacing w:line="360" w:lineRule="auto"/>
              <w:jc w:val="center"/>
              <w:rPr>
                <w:rFonts w:ascii="Times New Roman" w:hAnsi="Times New Roman" w:eastAsia="宋体" w:cs="Times New Roman"/>
                <w:sz w:val="24"/>
                <w:szCs w:val="24"/>
              </w:rPr>
            </w:pPr>
          </w:p>
        </w:tc>
      </w:tr>
      <w:tr w14:paraId="6264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23456793">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毕业要求4-3</w:t>
            </w:r>
          </w:p>
        </w:tc>
        <w:tc>
          <w:tcPr>
            <w:tcW w:w="1068" w:type="dxa"/>
            <w:shd w:val="clear" w:color="auto" w:fill="auto"/>
            <w:vAlign w:val="center"/>
          </w:tcPr>
          <w:p w14:paraId="6E08C53D">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1C341DC">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739889F0">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630009F1">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0249076">
            <w:pPr>
              <w:spacing w:line="360" w:lineRule="auto"/>
              <w:jc w:val="center"/>
              <w:rPr>
                <w:rFonts w:ascii="Times New Roman" w:hAnsi="Times New Roman" w:eastAsia="宋体" w:cs="Times New Roman"/>
                <w:sz w:val="24"/>
                <w:szCs w:val="24"/>
              </w:rPr>
            </w:pPr>
          </w:p>
        </w:tc>
      </w:tr>
      <w:tr w14:paraId="3C97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6AADE6D3">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毕业要求7-1</w:t>
            </w:r>
          </w:p>
        </w:tc>
        <w:tc>
          <w:tcPr>
            <w:tcW w:w="1068" w:type="dxa"/>
            <w:shd w:val="clear" w:color="auto" w:fill="auto"/>
            <w:vAlign w:val="center"/>
          </w:tcPr>
          <w:p w14:paraId="6D2168DA">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52D21C96">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5C22832B">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3396D6EF">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B740459">
            <w:pPr>
              <w:spacing w:line="360" w:lineRule="auto"/>
              <w:jc w:val="center"/>
              <w:rPr>
                <w:rFonts w:ascii="Times New Roman" w:hAnsi="Times New Roman" w:eastAsia="宋体" w:cs="Times New Roman"/>
                <w:sz w:val="24"/>
                <w:szCs w:val="24"/>
              </w:rPr>
            </w:pPr>
          </w:p>
        </w:tc>
      </w:tr>
      <w:tr w14:paraId="4D58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0C202609">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毕业要求7-2</w:t>
            </w:r>
          </w:p>
        </w:tc>
        <w:tc>
          <w:tcPr>
            <w:tcW w:w="1068" w:type="dxa"/>
            <w:shd w:val="clear" w:color="auto" w:fill="auto"/>
            <w:vAlign w:val="center"/>
          </w:tcPr>
          <w:p w14:paraId="435C6844">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349B934E">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2FEF9AF5">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2C9FB0C9">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1796C596">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r>
      <w:tr w14:paraId="1754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auto"/>
            <w:vAlign w:val="center"/>
          </w:tcPr>
          <w:p w14:paraId="2A644BCD">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毕业要求7-3</w:t>
            </w:r>
          </w:p>
        </w:tc>
        <w:tc>
          <w:tcPr>
            <w:tcW w:w="1068" w:type="dxa"/>
            <w:shd w:val="clear" w:color="auto" w:fill="auto"/>
            <w:vAlign w:val="center"/>
          </w:tcPr>
          <w:p w14:paraId="7ACAD851">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68F880FA">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6F6763B3">
            <w:pPr>
              <w:spacing w:line="360" w:lineRule="auto"/>
              <w:jc w:val="center"/>
              <w:rPr>
                <w:rFonts w:ascii="Times New Roman" w:hAnsi="Times New Roman" w:eastAsia="宋体" w:cs="Times New Roman"/>
                <w:sz w:val="24"/>
                <w:szCs w:val="24"/>
              </w:rPr>
            </w:pPr>
          </w:p>
        </w:tc>
        <w:tc>
          <w:tcPr>
            <w:tcW w:w="1383" w:type="dxa"/>
            <w:shd w:val="clear" w:color="auto" w:fill="auto"/>
            <w:vAlign w:val="center"/>
          </w:tcPr>
          <w:p w14:paraId="26EBC87B">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1383" w:type="dxa"/>
            <w:shd w:val="clear" w:color="auto" w:fill="auto"/>
            <w:vAlign w:val="center"/>
          </w:tcPr>
          <w:p w14:paraId="2FBCE86C">
            <w:pPr>
              <w:spacing w:line="360" w:lineRule="auto"/>
              <w:jc w:val="center"/>
              <w:rPr>
                <w:rFonts w:ascii="Times New Roman" w:hAnsi="Times New Roman" w:eastAsia="宋体" w:cs="Times New Roman"/>
                <w:sz w:val="24"/>
                <w:szCs w:val="24"/>
              </w:rPr>
            </w:pPr>
          </w:p>
        </w:tc>
      </w:tr>
    </w:tbl>
    <w:p w14:paraId="4EC3B512">
      <w:pPr>
        <w:spacing w:line="360" w:lineRule="auto"/>
        <w:ind w:firstLine="562" w:firstLineChars="200"/>
        <w:jc w:val="left"/>
        <w:rPr>
          <w:rFonts w:ascii="Times New Roman" w:hAnsi="Times New Roman" w:eastAsia="宋体" w:cs="Times New Roman"/>
          <w:b/>
          <w:bCs/>
          <w:sz w:val="28"/>
          <w:szCs w:val="28"/>
        </w:rPr>
      </w:pPr>
      <w:bookmarkStart w:id="162" w:name="_Toc9299_WPSOffice_Level1"/>
      <w:bookmarkStart w:id="163" w:name="_Toc5772_WPSOffice_Level1"/>
      <w:r>
        <w:rPr>
          <w:rFonts w:hint="eastAsia" w:ascii="Times New Roman" w:hAnsi="Times New Roman" w:eastAsia="宋体" w:cs="Times New Roman"/>
          <w:b/>
          <w:bCs/>
          <w:sz w:val="28"/>
          <w:szCs w:val="28"/>
        </w:rPr>
        <w:t>三、课程内容及要求</w:t>
      </w:r>
      <w:bookmarkEnd w:id="162"/>
      <w:bookmarkEnd w:id="163"/>
    </w:p>
    <w:p w14:paraId="7912094A">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（一）绪论：校本课程开发概述</w:t>
      </w:r>
    </w:p>
    <w:p w14:paraId="187C93A6">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r>
        <w:rPr>
          <w:rFonts w:ascii="Times New Roman" w:hAnsi="Times New Roman" w:eastAsia="宋体" w:cs="Times New Roman"/>
          <w:bCs/>
          <w:sz w:val="24"/>
          <w:szCs w:val="24"/>
        </w:rPr>
        <w:t>:</w:t>
      </w:r>
    </w:p>
    <w:p w14:paraId="36C6F39A">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（1）校本课程开发的兴起</w:t>
      </w:r>
    </w:p>
    <w:p w14:paraId="00FFB88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（2）校本课程开发的涵义</w:t>
      </w:r>
    </w:p>
    <w:p w14:paraId="7903D79F">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（3）校本课程开发的意义</w:t>
      </w:r>
    </w:p>
    <w:p w14:paraId="26A8868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（4）校本课程开发的现状</w:t>
      </w:r>
    </w:p>
    <w:p w14:paraId="2B46288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7CCBBB4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（1）理解校本课程开发的涵义。</w:t>
      </w:r>
    </w:p>
    <w:p w14:paraId="72F911D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（2）了解校本课程开发的兴起、发展与现状。</w:t>
      </w:r>
    </w:p>
    <w:p w14:paraId="78216F7B">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（3）掌握校本课程开发的意义。</w:t>
      </w:r>
    </w:p>
    <w:p w14:paraId="3F23470A">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（二）课程管理体制的变革</w:t>
      </w:r>
    </w:p>
    <w:p w14:paraId="7D8DB07B">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0426C81D">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（1）外国课程管理体制的经验</w:t>
      </w:r>
    </w:p>
    <w:p w14:paraId="06FFD24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（2）中国课程管理体制的经验</w:t>
      </w:r>
    </w:p>
    <w:p w14:paraId="196E4B0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0506BA72">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（1）了解国外课程管理体制的基本经验。</w:t>
      </w:r>
    </w:p>
    <w:p w14:paraId="46559EC6">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（2）了解中国课程管理体制的经验和弊端。</w:t>
      </w:r>
    </w:p>
    <w:p w14:paraId="5B61B561">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（3）理解三级课程管理体制及其价值。</w:t>
      </w:r>
    </w:p>
    <w:p w14:paraId="2176B248">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（三）校本课程开发的特征</w:t>
      </w:r>
    </w:p>
    <w:p w14:paraId="2FABEA7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5E125E6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（1）校本课程开发的特点</w:t>
      </w:r>
    </w:p>
    <w:p w14:paraId="091C98EF">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（2）校本课程开发的关键要素</w:t>
      </w:r>
    </w:p>
    <w:p w14:paraId="135A10DC">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（3）校本课程开发的独特价值</w:t>
      </w:r>
    </w:p>
    <w:p w14:paraId="5CE3ACAD">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1F97326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（1）理解校本课程开发的特征。</w:t>
      </w:r>
    </w:p>
    <w:p w14:paraId="049778B9">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（2）了解校本课程开发的独特价值。</w:t>
      </w:r>
    </w:p>
    <w:p w14:paraId="611A5715">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（3）掌握校本课程开发的关键要素。</w:t>
      </w:r>
    </w:p>
    <w:p w14:paraId="388F6259">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（四）校本课程开发的模式</w:t>
      </w:r>
    </w:p>
    <w:p w14:paraId="2E4D508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1AA1D49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（1）校本课程开发的可能形态</w:t>
      </w:r>
    </w:p>
    <w:p w14:paraId="4DCB773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（2）校本课程开发的具体方式</w:t>
      </w:r>
    </w:p>
    <w:p w14:paraId="727BC92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51DCC23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（1）了解课程开发的多元分类标准和不同类型。</w:t>
      </w:r>
    </w:p>
    <w:p w14:paraId="1E8A156D">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（2）掌握课程选择、课程整合、课程创编等三种开发活动的实践样式，并能在实践中自由运用。</w:t>
      </w:r>
    </w:p>
    <w:p w14:paraId="0DB35EF0">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（五）校本课程开发的条件</w:t>
      </w:r>
    </w:p>
    <w:p w14:paraId="71C0F7F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28D420D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（1）校本课程开发的影响因素</w:t>
      </w:r>
    </w:p>
    <w:p w14:paraId="244037F7">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（2）校长与学校教育哲学</w:t>
      </w:r>
    </w:p>
    <w:p w14:paraId="135A3A96">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（3）教师与个人教育信念</w:t>
      </w:r>
    </w:p>
    <w:p w14:paraId="59461A0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325E774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（1）理解影响校本课程开发的因素。</w:t>
      </w:r>
    </w:p>
    <w:p w14:paraId="4F8F8FDD">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（2）了解校长在校本课程开发中的重要性。</w:t>
      </w:r>
    </w:p>
    <w:p w14:paraId="68457067">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（4）掌握教师参与校本课程开发的条件。</w:t>
      </w:r>
    </w:p>
    <w:p w14:paraId="2D7B77F5">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（六）校本课程开发的资源</w:t>
      </w:r>
    </w:p>
    <w:p w14:paraId="5EA0A24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0CA67C28">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（1）课程资源的类型与选择</w:t>
      </w:r>
    </w:p>
    <w:p w14:paraId="30F79B9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（2）物质课程资源的开发与利用</w:t>
      </w:r>
    </w:p>
    <w:p w14:paraId="04F669A2">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（3）人力资源的开发与利用</w:t>
      </w:r>
    </w:p>
    <w:p w14:paraId="7B06158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3AC168A5">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（1）了解课程资源的类型以及课程资源选择的原则与路径。</w:t>
      </w:r>
    </w:p>
    <w:p w14:paraId="15F1CF92">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（2）明确校本课程开发中有哪些物质和人力资源可以利用，掌握物质和人力资源开发和利用中应注意的一些问题，并结合案例明确如何在各学科教学课程与教学中选择和使用物质、人力资源。</w:t>
      </w:r>
    </w:p>
    <w:p w14:paraId="1EBF56FB">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（七）开发校本课程的操作策略</w:t>
      </w:r>
    </w:p>
    <w:p w14:paraId="594EF29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753DA8AC">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（1）校本课程开发的流程</w:t>
      </w:r>
    </w:p>
    <w:p w14:paraId="1D1D628B">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（2）校本课程开发的三种取向</w:t>
      </w:r>
    </w:p>
    <w:p w14:paraId="2DDF69F9">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2ABE5166">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（1）掌握校本课程开发的流程，尤其是校本课程方案的制定和设计的基本途径，为未来校本课程开发实践打下基础。</w:t>
      </w:r>
    </w:p>
    <w:p w14:paraId="33911E81">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（2）深刻理解校本课程开发的三种取向，实践中能根据实际情况灵活运用。</w:t>
      </w:r>
    </w:p>
    <w:p w14:paraId="5FBCE357">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（八）校本课程的管理与评价</w:t>
      </w:r>
    </w:p>
    <w:p w14:paraId="65AF838E">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11674E22">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（1）校本课程的管理</w:t>
      </w:r>
    </w:p>
    <w:p w14:paraId="667ECCA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（2）校本课程的评价</w:t>
      </w:r>
    </w:p>
    <w:p w14:paraId="4B003387">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441F45B1">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（1）了解校本课程管理与评价的价值观、主要内容、取向和模式。</w:t>
      </w:r>
    </w:p>
    <w:p w14:paraId="2D711790">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（2）掌握校本课程管理和评价的具体方法、原则，为在实践中有效管理和评价校本课程提供理论和实践指导。</w:t>
      </w:r>
    </w:p>
    <w:p w14:paraId="330E4287">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（九）校本课程开发中的教师专业发展</w:t>
      </w:r>
    </w:p>
    <w:p w14:paraId="45C8A8F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1.教学内容</w:t>
      </w:r>
    </w:p>
    <w:p w14:paraId="5E0468CB">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（1）校本课程开发对教师的意义和对教师的要求</w:t>
      </w:r>
    </w:p>
    <w:p w14:paraId="4B9A0624">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（2）教师参与校本课程开发的影响因素和提高途径</w:t>
      </w:r>
    </w:p>
    <w:p w14:paraId="4E4823DB">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2.基本要求</w:t>
      </w:r>
    </w:p>
    <w:p w14:paraId="5E8E17D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（1）了解校本课程开发对教师的意义和对教师的要求。</w:t>
      </w:r>
    </w:p>
    <w:p w14:paraId="45885A9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（2）掌握影响教师参与校本课程开发的因素。</w:t>
      </w:r>
    </w:p>
    <w:p w14:paraId="0AF61542">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（3）明确要实现有效的校本课程开发，就必须从教师培训、教育教学研究及校本教研入手来促进教师的专业发展。</w:t>
      </w:r>
    </w:p>
    <w:p w14:paraId="3C082BD0">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教学内容与课程目标的对应关系及学时分配表如表所示。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255"/>
        <w:gridCol w:w="1843"/>
        <w:gridCol w:w="1684"/>
        <w:gridCol w:w="735"/>
        <w:gridCol w:w="735"/>
      </w:tblGrid>
      <w:tr w14:paraId="695B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FFFFFF"/>
            <w:vAlign w:val="center"/>
          </w:tcPr>
          <w:p w14:paraId="278A7F10">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3255" w:type="dxa"/>
            <w:shd w:val="clear" w:color="auto" w:fill="FFFFFF"/>
            <w:vAlign w:val="center"/>
          </w:tcPr>
          <w:p w14:paraId="59481DB2">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843" w:type="dxa"/>
            <w:shd w:val="clear" w:color="auto" w:fill="FFFFFF"/>
          </w:tcPr>
          <w:p w14:paraId="688B27BD">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p>
          <w:p w14:paraId="519F2E13">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w:t>
            </w:r>
          </w:p>
        </w:tc>
        <w:tc>
          <w:tcPr>
            <w:tcW w:w="1684" w:type="dxa"/>
            <w:shd w:val="clear" w:color="auto" w:fill="FFFFFF"/>
            <w:vAlign w:val="center"/>
          </w:tcPr>
          <w:p w14:paraId="1F2B6D42">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毕业要求指标点</w:t>
            </w:r>
          </w:p>
        </w:tc>
        <w:tc>
          <w:tcPr>
            <w:tcW w:w="735" w:type="dxa"/>
            <w:shd w:val="clear" w:color="auto" w:fill="FFFFFF"/>
            <w:vAlign w:val="center"/>
          </w:tcPr>
          <w:p w14:paraId="1A80BC20">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w:t>
            </w:r>
            <w:r>
              <w:rPr>
                <w:rFonts w:hint="eastAsia" w:ascii="Times New Roman" w:hAnsi="Times New Roman" w:eastAsia="宋体" w:cs="Times New Roman"/>
                <w:color w:val="000000"/>
                <w:szCs w:val="21"/>
              </w:rPr>
              <w:t>授</w:t>
            </w:r>
            <w:r>
              <w:rPr>
                <w:rFonts w:ascii="Times New Roman" w:hAnsi="Times New Roman" w:eastAsia="宋体" w:cs="Times New Roman"/>
                <w:color w:val="000000"/>
                <w:szCs w:val="21"/>
              </w:rPr>
              <w:t>学时</w:t>
            </w:r>
          </w:p>
        </w:tc>
        <w:tc>
          <w:tcPr>
            <w:tcW w:w="735" w:type="dxa"/>
            <w:shd w:val="clear" w:color="auto" w:fill="FFFFFF"/>
            <w:vAlign w:val="center"/>
          </w:tcPr>
          <w:p w14:paraId="7CDB0ABB">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49AD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C3C66C2">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3255" w:type="dxa"/>
            <w:vAlign w:val="center"/>
          </w:tcPr>
          <w:p w14:paraId="31A762EB">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导论：校本课程开发概述</w:t>
            </w:r>
          </w:p>
        </w:tc>
        <w:tc>
          <w:tcPr>
            <w:tcW w:w="1843" w:type="dxa"/>
            <w:vAlign w:val="center"/>
          </w:tcPr>
          <w:p w14:paraId="15FA0063">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w:t>
            </w:r>
          </w:p>
        </w:tc>
        <w:tc>
          <w:tcPr>
            <w:tcW w:w="1684" w:type="dxa"/>
            <w:vAlign w:val="center"/>
          </w:tcPr>
          <w:p w14:paraId="351A36EE">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w:t>
            </w:r>
          </w:p>
        </w:tc>
        <w:tc>
          <w:tcPr>
            <w:tcW w:w="735" w:type="dxa"/>
            <w:vAlign w:val="center"/>
          </w:tcPr>
          <w:p w14:paraId="1818FE6B">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4DF91FD2">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12B5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D7F583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3255" w:type="dxa"/>
            <w:vAlign w:val="center"/>
          </w:tcPr>
          <w:p w14:paraId="00A717DC">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课程管理体制的变革</w:t>
            </w:r>
          </w:p>
        </w:tc>
        <w:tc>
          <w:tcPr>
            <w:tcW w:w="1843" w:type="dxa"/>
            <w:vAlign w:val="center"/>
          </w:tcPr>
          <w:p w14:paraId="4CF25A4D">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目标1、3</w:t>
            </w:r>
          </w:p>
        </w:tc>
        <w:tc>
          <w:tcPr>
            <w:tcW w:w="1684" w:type="dxa"/>
            <w:vAlign w:val="center"/>
          </w:tcPr>
          <w:p w14:paraId="201391DA">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3-1、7-1、7-2</w:t>
            </w:r>
          </w:p>
        </w:tc>
        <w:tc>
          <w:tcPr>
            <w:tcW w:w="735" w:type="dxa"/>
            <w:vAlign w:val="center"/>
          </w:tcPr>
          <w:p w14:paraId="269F69DA">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735" w:type="dxa"/>
            <w:vAlign w:val="center"/>
          </w:tcPr>
          <w:p w14:paraId="3E046429">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73E7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F8CECF8">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3255" w:type="dxa"/>
            <w:vAlign w:val="center"/>
          </w:tcPr>
          <w:p w14:paraId="5D3436D8">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校本课程开发的特征</w:t>
            </w:r>
          </w:p>
        </w:tc>
        <w:tc>
          <w:tcPr>
            <w:tcW w:w="1843" w:type="dxa"/>
            <w:vAlign w:val="center"/>
          </w:tcPr>
          <w:p w14:paraId="7EA6BFB5">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目标1、2</w:t>
            </w:r>
          </w:p>
        </w:tc>
        <w:tc>
          <w:tcPr>
            <w:tcW w:w="1684" w:type="dxa"/>
            <w:vAlign w:val="center"/>
          </w:tcPr>
          <w:p w14:paraId="68300F18">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3-1、4-2、4-3</w:t>
            </w:r>
          </w:p>
        </w:tc>
        <w:tc>
          <w:tcPr>
            <w:tcW w:w="735" w:type="dxa"/>
            <w:vAlign w:val="center"/>
          </w:tcPr>
          <w:p w14:paraId="0B12E9C3">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166A0A94">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4583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927D894">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3255" w:type="dxa"/>
            <w:vAlign w:val="center"/>
          </w:tcPr>
          <w:p w14:paraId="7D29C6B7">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校本课程开发的模式</w:t>
            </w:r>
          </w:p>
        </w:tc>
        <w:tc>
          <w:tcPr>
            <w:tcW w:w="1843" w:type="dxa"/>
          </w:tcPr>
          <w:p w14:paraId="53997F9A">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目标1、2</w:t>
            </w:r>
          </w:p>
        </w:tc>
        <w:tc>
          <w:tcPr>
            <w:tcW w:w="1684" w:type="dxa"/>
          </w:tcPr>
          <w:p w14:paraId="3E9D50B2">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3-1、4-2、4-3</w:t>
            </w:r>
          </w:p>
        </w:tc>
        <w:tc>
          <w:tcPr>
            <w:tcW w:w="735" w:type="dxa"/>
            <w:vAlign w:val="center"/>
          </w:tcPr>
          <w:p w14:paraId="54D5BB2D">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735" w:type="dxa"/>
            <w:vAlign w:val="center"/>
          </w:tcPr>
          <w:p w14:paraId="6E90EF0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3734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1BC624A0">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3255" w:type="dxa"/>
            <w:vAlign w:val="center"/>
          </w:tcPr>
          <w:p w14:paraId="4ED17BBC">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校本课程开发的条件</w:t>
            </w:r>
          </w:p>
        </w:tc>
        <w:tc>
          <w:tcPr>
            <w:tcW w:w="1843" w:type="dxa"/>
          </w:tcPr>
          <w:p w14:paraId="34E5A61D">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目标1、2</w:t>
            </w:r>
          </w:p>
        </w:tc>
        <w:tc>
          <w:tcPr>
            <w:tcW w:w="1684" w:type="dxa"/>
          </w:tcPr>
          <w:p w14:paraId="642F860A">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3-1、4-2、4-3</w:t>
            </w:r>
          </w:p>
        </w:tc>
        <w:tc>
          <w:tcPr>
            <w:tcW w:w="735" w:type="dxa"/>
            <w:vAlign w:val="center"/>
          </w:tcPr>
          <w:p w14:paraId="3E04B0D8">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3973097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1235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6D73B354">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3255" w:type="dxa"/>
            <w:vAlign w:val="center"/>
          </w:tcPr>
          <w:p w14:paraId="2210D1EB">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校本课程开发的资源</w:t>
            </w:r>
          </w:p>
        </w:tc>
        <w:tc>
          <w:tcPr>
            <w:tcW w:w="1843" w:type="dxa"/>
          </w:tcPr>
          <w:p w14:paraId="6E6F4055">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目标1、2</w:t>
            </w:r>
          </w:p>
        </w:tc>
        <w:tc>
          <w:tcPr>
            <w:tcW w:w="1684" w:type="dxa"/>
          </w:tcPr>
          <w:p w14:paraId="1117C47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3-1、4-2、4-3</w:t>
            </w:r>
          </w:p>
        </w:tc>
        <w:tc>
          <w:tcPr>
            <w:tcW w:w="735" w:type="dxa"/>
            <w:vAlign w:val="center"/>
          </w:tcPr>
          <w:p w14:paraId="61E5D6B2">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35" w:type="dxa"/>
            <w:vAlign w:val="center"/>
          </w:tcPr>
          <w:p w14:paraId="12CCE417">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6D40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630D15B">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3255" w:type="dxa"/>
            <w:vAlign w:val="center"/>
          </w:tcPr>
          <w:p w14:paraId="6701C60B">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开发校本课程的操作策略</w:t>
            </w:r>
          </w:p>
        </w:tc>
        <w:tc>
          <w:tcPr>
            <w:tcW w:w="1843" w:type="dxa"/>
            <w:vAlign w:val="center"/>
          </w:tcPr>
          <w:p w14:paraId="46981612">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目标2</w:t>
            </w:r>
          </w:p>
        </w:tc>
        <w:tc>
          <w:tcPr>
            <w:tcW w:w="1684" w:type="dxa"/>
            <w:vAlign w:val="center"/>
          </w:tcPr>
          <w:p w14:paraId="6D226B9C">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4-2、4-3</w:t>
            </w:r>
          </w:p>
        </w:tc>
        <w:tc>
          <w:tcPr>
            <w:tcW w:w="735" w:type="dxa"/>
            <w:vAlign w:val="center"/>
          </w:tcPr>
          <w:p w14:paraId="77E298A0">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35" w:type="dxa"/>
            <w:vAlign w:val="center"/>
          </w:tcPr>
          <w:p w14:paraId="109E17BA">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5F22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AC1B45E">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3255" w:type="dxa"/>
            <w:vAlign w:val="center"/>
          </w:tcPr>
          <w:p w14:paraId="598C5C4D">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校本课程的管理与评价</w:t>
            </w:r>
          </w:p>
        </w:tc>
        <w:tc>
          <w:tcPr>
            <w:tcW w:w="1843" w:type="dxa"/>
            <w:vAlign w:val="center"/>
          </w:tcPr>
          <w:p w14:paraId="09034705">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目标4</w:t>
            </w:r>
          </w:p>
        </w:tc>
        <w:tc>
          <w:tcPr>
            <w:tcW w:w="1684" w:type="dxa"/>
            <w:vAlign w:val="center"/>
          </w:tcPr>
          <w:p w14:paraId="0A7839C3">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4-2、7-3</w:t>
            </w:r>
          </w:p>
        </w:tc>
        <w:tc>
          <w:tcPr>
            <w:tcW w:w="735" w:type="dxa"/>
            <w:vAlign w:val="center"/>
          </w:tcPr>
          <w:p w14:paraId="7DCEA69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735" w:type="dxa"/>
            <w:vAlign w:val="center"/>
          </w:tcPr>
          <w:p w14:paraId="0E2B41A1">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128D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90F136B">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3255" w:type="dxa"/>
            <w:vAlign w:val="center"/>
          </w:tcPr>
          <w:p w14:paraId="175CCFF6">
            <w:pPr>
              <w:spacing w:line="312"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校本课程开发中的教师专业发展</w:t>
            </w:r>
          </w:p>
        </w:tc>
        <w:tc>
          <w:tcPr>
            <w:tcW w:w="1843" w:type="dxa"/>
            <w:vAlign w:val="center"/>
          </w:tcPr>
          <w:p w14:paraId="6A6FC7CD">
            <w:pPr>
              <w:spacing w:line="312"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目标5</w:t>
            </w:r>
          </w:p>
        </w:tc>
        <w:tc>
          <w:tcPr>
            <w:tcW w:w="1684" w:type="dxa"/>
            <w:vAlign w:val="center"/>
          </w:tcPr>
          <w:p w14:paraId="7F0D8676">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735" w:type="dxa"/>
            <w:vAlign w:val="center"/>
          </w:tcPr>
          <w:p w14:paraId="2C942D1F">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735" w:type="dxa"/>
            <w:vAlign w:val="center"/>
          </w:tcPr>
          <w:p w14:paraId="6E8B50BC">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205E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1" w:type="dxa"/>
            <w:gridSpan w:val="4"/>
            <w:vAlign w:val="center"/>
          </w:tcPr>
          <w:p w14:paraId="22D3BA42">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735" w:type="dxa"/>
            <w:vAlign w:val="center"/>
          </w:tcPr>
          <w:p w14:paraId="2CAA8AE8">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735" w:type="dxa"/>
            <w:vAlign w:val="center"/>
          </w:tcPr>
          <w:p w14:paraId="27E1A5DE">
            <w:pPr>
              <w:spacing w:line="312"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bl>
    <w:p w14:paraId="303E0BDA">
      <w:pPr>
        <w:spacing w:line="360" w:lineRule="auto"/>
        <w:ind w:firstLine="562" w:firstLineChars="200"/>
        <w:jc w:val="left"/>
        <w:rPr>
          <w:rFonts w:ascii="Times New Roman" w:hAnsi="Times New Roman" w:eastAsia="宋体" w:cs="Times New Roman"/>
          <w:b/>
          <w:sz w:val="28"/>
          <w:szCs w:val="28"/>
        </w:rPr>
      </w:pPr>
      <w:bookmarkStart w:id="164" w:name="_Toc22887_WPSOffice_Level1"/>
      <w:bookmarkStart w:id="165" w:name="_Toc10995_WPSOffice_Level1"/>
      <w:r>
        <w:rPr>
          <w:rFonts w:hint="eastAsia" w:ascii="Times New Roman" w:hAnsi="Times New Roman" w:eastAsia="宋体" w:cs="Times New Roman"/>
          <w:b/>
          <w:sz w:val="28"/>
          <w:szCs w:val="28"/>
        </w:rPr>
        <w:t>四、课程实施</w:t>
      </w:r>
      <w:bookmarkEnd w:id="164"/>
      <w:bookmarkEnd w:id="165"/>
    </w:p>
    <w:p w14:paraId="49BFE51A">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（一）</w:t>
      </w:r>
      <w:r>
        <w:rPr>
          <w:rFonts w:ascii="Times New Roman" w:hAnsi="Times New Roman" w:eastAsia="宋体" w:cs="Times New Roman"/>
          <w:bCs/>
          <w:sz w:val="24"/>
          <w:szCs w:val="24"/>
        </w:rPr>
        <w:t>由于本课程的课内学时较少，因此教师要为学生提供课外阅读书目，要求学生在课</w:t>
      </w:r>
      <w:r>
        <w:rPr>
          <w:rFonts w:hint="eastAsia" w:ascii="Times New Roman" w:hAnsi="Times New Roman" w:eastAsia="宋体" w:cs="Times New Roman"/>
          <w:bCs/>
          <w:sz w:val="24"/>
          <w:szCs w:val="24"/>
        </w:rPr>
        <w:t>外阅读有关著作，并完成相关实践性作业。</w:t>
      </w:r>
    </w:p>
    <w:p w14:paraId="1E9059B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（二）</w:t>
      </w:r>
      <w:r>
        <w:rPr>
          <w:rFonts w:ascii="Times New Roman" w:hAnsi="Times New Roman" w:eastAsia="宋体" w:cs="Times New Roman"/>
          <w:bCs/>
          <w:sz w:val="24"/>
          <w:szCs w:val="24"/>
        </w:rPr>
        <w:t>本课程是理论与实践相结合的一门课程。在教学中，教师应密切结合当前校本课程</w:t>
      </w:r>
      <w:r>
        <w:rPr>
          <w:rFonts w:hint="eastAsia" w:ascii="Times New Roman" w:hAnsi="Times New Roman" w:eastAsia="宋体" w:cs="Times New Roman"/>
          <w:bCs/>
          <w:sz w:val="24"/>
          <w:szCs w:val="24"/>
        </w:rPr>
        <w:t>开发的实际，多举案例，避免一味的空洞理论讲授；引导学生结合当前校本课程开发的现状，思考和分析问题，培养学生独立思考、分析问题和解决问题的能力。</w:t>
      </w:r>
    </w:p>
    <w:p w14:paraId="6FCD697A">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（三）</w:t>
      </w:r>
      <w:r>
        <w:rPr>
          <w:rFonts w:ascii="Times New Roman" w:hAnsi="Times New Roman" w:eastAsia="宋体" w:cs="Times New Roman"/>
          <w:bCs/>
          <w:sz w:val="24"/>
          <w:szCs w:val="24"/>
        </w:rPr>
        <w:t>充分利用多媒体手段辅助教学，进一步探索多样化的教学方法，提高本课程的教学</w:t>
      </w:r>
      <w:r>
        <w:rPr>
          <w:rFonts w:hint="eastAsia" w:ascii="Times New Roman" w:hAnsi="Times New Roman" w:eastAsia="宋体" w:cs="Times New Roman"/>
          <w:bCs/>
          <w:sz w:val="24"/>
          <w:szCs w:val="24"/>
        </w:rPr>
        <w:t>效果。</w:t>
      </w:r>
    </w:p>
    <w:p w14:paraId="5F81B587">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（四）主要教学环节的质量要求如表所示。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701"/>
        <w:gridCol w:w="6817"/>
      </w:tblGrid>
      <w:tr w14:paraId="7886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78A37091">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817" w:type="dxa"/>
            <w:tcBorders>
              <w:top w:val="single" w:color="auto" w:sz="8" w:space="0"/>
              <w:left w:val="single" w:color="auto" w:sz="8" w:space="0"/>
              <w:right w:val="single" w:color="auto" w:sz="8" w:space="0"/>
            </w:tcBorders>
            <w:vAlign w:val="center"/>
          </w:tcPr>
          <w:p w14:paraId="3E8B4849">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4DFB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2C515A5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701" w:type="dxa"/>
            <w:tcMar>
              <w:left w:w="28" w:type="dxa"/>
              <w:right w:w="28" w:type="dxa"/>
            </w:tcMar>
            <w:vAlign w:val="center"/>
          </w:tcPr>
          <w:p w14:paraId="3736F61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817" w:type="dxa"/>
            <w:tcBorders>
              <w:right w:val="single" w:color="auto" w:sz="8" w:space="0"/>
            </w:tcBorders>
            <w:vAlign w:val="center"/>
          </w:tcPr>
          <w:p w14:paraId="10017615">
            <w:pPr>
              <w:spacing w:line="276" w:lineRule="auto"/>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（1）掌握本课程教学大纲内容，严格按照教学大纲要求进行课程教学内容的组织。</w:t>
            </w:r>
          </w:p>
          <w:p w14:paraId="46679FE2">
            <w:pPr>
              <w:spacing w:line="276" w:lineRule="auto"/>
              <w:rPr>
                <w:rFonts w:ascii="Times New Roman" w:hAnsi="Times New Roman" w:eastAsia="宋体" w:cs="Times New Roman"/>
                <w:szCs w:val="21"/>
              </w:rPr>
            </w:pPr>
            <w:r>
              <w:rPr>
                <w:rFonts w:ascii="Times New Roman" w:hAnsi="Times New Roman" w:eastAsia="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48994305">
            <w:pPr>
              <w:spacing w:line="276"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各部分</w:t>
            </w:r>
            <w:r>
              <w:rPr>
                <w:rFonts w:hint="eastAsia" w:ascii="Times New Roman" w:hAnsi="Times New Roman" w:eastAsia="宋体" w:cs="Times New Roman"/>
                <w:szCs w:val="21"/>
              </w:rPr>
              <w:t>教学</w:t>
            </w:r>
            <w:r>
              <w:rPr>
                <w:rFonts w:ascii="Times New Roman" w:hAnsi="Times New Roman" w:eastAsia="宋体" w:cs="Times New Roman"/>
                <w:szCs w:val="21"/>
              </w:rPr>
              <w:t>内容</w:t>
            </w:r>
            <w:r>
              <w:rPr>
                <w:rFonts w:hint="eastAsia" w:ascii="Times New Roman" w:hAnsi="Times New Roman" w:eastAsia="宋体" w:cs="Times New Roman"/>
                <w:szCs w:val="21"/>
              </w:rPr>
              <w:t>，</w:t>
            </w:r>
            <w:r>
              <w:rPr>
                <w:rFonts w:ascii="Times New Roman" w:hAnsi="Times New Roman" w:eastAsia="宋体" w:cs="Times New Roman"/>
                <w:szCs w:val="21"/>
              </w:rPr>
              <w:t>构思授课思路、技巧</w:t>
            </w:r>
            <w:r>
              <w:rPr>
                <w:rFonts w:hint="eastAsia" w:ascii="Times New Roman" w:hAnsi="Times New Roman" w:eastAsia="宋体" w:cs="Times New Roman"/>
                <w:szCs w:val="21"/>
              </w:rPr>
              <w:t>，选择合适的</w:t>
            </w:r>
            <w:r>
              <w:rPr>
                <w:rFonts w:ascii="Times New Roman" w:hAnsi="Times New Roman" w:eastAsia="宋体" w:cs="Times New Roman"/>
                <w:szCs w:val="21"/>
              </w:rPr>
              <w:t>教学方法。</w:t>
            </w:r>
          </w:p>
        </w:tc>
      </w:tr>
      <w:tr w14:paraId="40AB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7780808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701" w:type="dxa"/>
            <w:tcMar>
              <w:left w:w="28" w:type="dxa"/>
              <w:right w:w="28" w:type="dxa"/>
            </w:tcMar>
            <w:vAlign w:val="center"/>
          </w:tcPr>
          <w:p w14:paraId="15F9F41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817" w:type="dxa"/>
            <w:tcBorders>
              <w:right w:val="single" w:color="auto" w:sz="8" w:space="0"/>
            </w:tcBorders>
            <w:vAlign w:val="center"/>
          </w:tcPr>
          <w:p w14:paraId="2DBF2BAC">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要点准确</w:t>
            </w:r>
            <w:r>
              <w:rPr>
                <w:rFonts w:hint="eastAsia" w:ascii="Times New Roman" w:hAnsi="Times New Roman" w:eastAsia="宋体" w:cs="Times New Roman"/>
                <w:szCs w:val="21"/>
              </w:rPr>
              <w:t>、</w:t>
            </w:r>
            <w:r>
              <w:rPr>
                <w:rFonts w:ascii="Times New Roman" w:hAnsi="Times New Roman" w:eastAsia="宋体" w:cs="Times New Roman"/>
                <w:szCs w:val="21"/>
              </w:rPr>
              <w:t>推理正确</w:t>
            </w:r>
            <w:r>
              <w:rPr>
                <w:rFonts w:hint="eastAsia" w:ascii="Times New Roman" w:hAnsi="Times New Roman" w:eastAsia="宋体" w:cs="Times New Roman"/>
                <w:szCs w:val="21"/>
              </w:rPr>
              <w:t>、</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能够</w:t>
            </w:r>
            <w:r>
              <w:rPr>
                <w:rFonts w:ascii="Times New Roman" w:hAnsi="Times New Roman" w:eastAsia="宋体" w:cs="Times New Roman"/>
                <w:szCs w:val="21"/>
              </w:rPr>
              <w:t>理论联系实际。</w:t>
            </w:r>
          </w:p>
          <w:p w14:paraId="6884A8EE">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采用多种教学方式（如启发式教学、案例分析教学、讨论式教学、多媒体示范教学</w:t>
            </w:r>
            <w:r>
              <w:rPr>
                <w:rFonts w:hint="eastAsia" w:ascii="Times New Roman" w:hAnsi="Times New Roman" w:eastAsia="宋体" w:cs="Times New Roman"/>
                <w:szCs w:val="21"/>
              </w:rPr>
              <w:t>、合作学习</w:t>
            </w:r>
            <w:r>
              <w:rPr>
                <w:rFonts w:ascii="Times New Roman" w:hAnsi="Times New Roman" w:eastAsia="宋体" w:cs="Times New Roman"/>
                <w:szCs w:val="21"/>
              </w:rPr>
              <w:t>等），注重培养学生发现、分析和解决问题的能力。</w:t>
            </w:r>
          </w:p>
          <w:p w14:paraId="7F301CF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（3）能够采用现代信息技术辅助</w:t>
            </w:r>
            <w:r>
              <w:rPr>
                <w:rFonts w:ascii="Times New Roman" w:hAnsi="Times New Roman" w:eastAsia="宋体" w:cs="Times New Roman"/>
                <w:szCs w:val="21"/>
              </w:rPr>
              <w:t>教学。</w:t>
            </w:r>
          </w:p>
          <w:p w14:paraId="353F1C3F">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表达方式</w:t>
            </w:r>
            <w:r>
              <w:rPr>
                <w:rFonts w:hint="eastAsia" w:ascii="Times New Roman" w:hAnsi="Times New Roman" w:eastAsia="宋体" w:cs="Times New Roman"/>
                <w:szCs w:val="21"/>
              </w:rPr>
              <w:t>应能</w:t>
            </w:r>
            <w:r>
              <w:rPr>
                <w:rFonts w:ascii="Times New Roman" w:hAnsi="Times New Roman" w:eastAsia="宋体" w:cs="Times New Roman"/>
                <w:szCs w:val="21"/>
              </w:rPr>
              <w:t>便于学生理解、接受，力求形象生动，使学生在掌握知识的过程中，保持较为浓厚的</w:t>
            </w:r>
            <w:r>
              <w:rPr>
                <w:rFonts w:hint="eastAsia" w:ascii="Times New Roman" w:hAnsi="Times New Roman" w:eastAsia="宋体" w:cs="Times New Roman"/>
                <w:szCs w:val="21"/>
              </w:rPr>
              <w:t>学习</w:t>
            </w:r>
            <w:r>
              <w:rPr>
                <w:rFonts w:ascii="Times New Roman" w:hAnsi="Times New Roman" w:eastAsia="宋体" w:cs="Times New Roman"/>
                <w:szCs w:val="21"/>
              </w:rPr>
              <w:t>兴趣。</w:t>
            </w:r>
          </w:p>
        </w:tc>
      </w:tr>
      <w:tr w14:paraId="335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vAlign w:val="center"/>
          </w:tcPr>
          <w:p w14:paraId="7E854FF1">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701" w:type="dxa"/>
            <w:tcMar>
              <w:left w:w="28" w:type="dxa"/>
              <w:right w:w="28" w:type="dxa"/>
            </w:tcMar>
            <w:vAlign w:val="center"/>
          </w:tcPr>
          <w:p w14:paraId="0B0B28C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817" w:type="dxa"/>
            <w:tcBorders>
              <w:right w:val="single" w:color="auto" w:sz="8" w:space="0"/>
            </w:tcBorders>
            <w:vAlign w:val="center"/>
          </w:tcPr>
          <w:p w14:paraId="1191AA9B">
            <w:pPr>
              <w:spacing w:line="276" w:lineRule="auto"/>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3AC5C98C">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769204A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（2）书写</w:t>
            </w:r>
            <w:r>
              <w:rPr>
                <w:rFonts w:ascii="Times New Roman" w:hAnsi="Times New Roman" w:eastAsia="宋体" w:cs="Times New Roman"/>
                <w:szCs w:val="21"/>
              </w:rPr>
              <w:t>规范</w:t>
            </w:r>
            <w:r>
              <w:rPr>
                <w:rFonts w:hint="eastAsia" w:ascii="Times New Roman" w:hAnsi="Times New Roman" w:eastAsia="宋体" w:cs="Times New Roman"/>
                <w:szCs w:val="21"/>
              </w:rPr>
              <w:t>、</w:t>
            </w:r>
            <w:r>
              <w:rPr>
                <w:rFonts w:ascii="Times New Roman" w:hAnsi="Times New Roman" w:eastAsia="宋体" w:cs="Times New Roman"/>
                <w:szCs w:val="21"/>
              </w:rPr>
              <w:t>清晰</w:t>
            </w:r>
            <w:r>
              <w:rPr>
                <w:rFonts w:hint="eastAsia" w:ascii="Times New Roman" w:hAnsi="Times New Roman" w:eastAsia="宋体" w:cs="Times New Roman"/>
                <w:szCs w:val="21"/>
              </w:rPr>
              <w:t>。</w:t>
            </w:r>
          </w:p>
          <w:p w14:paraId="47C9AF63">
            <w:pPr>
              <w:spacing w:line="276" w:lineRule="auto"/>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35D4651D">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w:t>
            </w:r>
          </w:p>
          <w:p w14:paraId="490D1F34">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2DF5A613">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作为本课程总评成绩中平时成绩的重要组成部分。</w:t>
            </w:r>
          </w:p>
        </w:tc>
      </w:tr>
      <w:tr w14:paraId="5427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31E1778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701" w:type="dxa"/>
            <w:tcMar>
              <w:left w:w="28" w:type="dxa"/>
              <w:right w:w="28" w:type="dxa"/>
            </w:tcMar>
            <w:vAlign w:val="center"/>
          </w:tcPr>
          <w:p w14:paraId="6A39B2C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817" w:type="dxa"/>
            <w:tcBorders>
              <w:right w:val="single" w:color="auto" w:sz="8" w:space="0"/>
            </w:tcBorders>
            <w:vAlign w:val="center"/>
          </w:tcPr>
          <w:p w14:paraId="05E42F2F">
            <w:pPr>
              <w:spacing w:line="276" w:lineRule="auto"/>
              <w:rPr>
                <w:rFonts w:ascii="Times New Roman" w:hAnsi="Times New Roman" w:eastAsia="宋体" w:cs="Times New Roman"/>
                <w:szCs w:val="21"/>
              </w:rPr>
            </w:pPr>
            <w:r>
              <w:rPr>
                <w:rFonts w:ascii="Times New Roman" w:hAnsi="Times New Roman" w:eastAsia="宋体" w:cs="Times New Roman"/>
                <w:szCs w:val="21"/>
              </w:rPr>
              <w:t>为了解学生的学习情况，帮助学生</w:t>
            </w:r>
            <w:r>
              <w:rPr>
                <w:rFonts w:hint="eastAsia" w:ascii="Times New Roman" w:hAnsi="Times New Roman" w:eastAsia="宋体" w:cs="Times New Roman"/>
                <w:szCs w:val="21"/>
              </w:rPr>
              <w:t>更好地</w:t>
            </w:r>
            <w:r>
              <w:rPr>
                <w:rFonts w:ascii="Times New Roman" w:hAnsi="Times New Roman" w:eastAsia="宋体" w:cs="Times New Roman"/>
                <w:szCs w:val="21"/>
              </w:rPr>
              <w:t>理解和消化所学知识、改进学习方法和思维方式，培养其独立思考问题的能力，任课教师</w:t>
            </w:r>
            <w:r>
              <w:rPr>
                <w:rFonts w:hint="eastAsia" w:ascii="Times New Roman" w:hAnsi="Times New Roman" w:eastAsia="宋体" w:cs="Times New Roman"/>
                <w:szCs w:val="21"/>
              </w:rPr>
              <w:t>需</w:t>
            </w:r>
            <w:r>
              <w:rPr>
                <w:rFonts w:ascii="Times New Roman" w:hAnsi="Times New Roman" w:eastAsia="宋体" w:cs="Times New Roman"/>
                <w:szCs w:val="21"/>
              </w:rPr>
              <w:t>每周安排</w:t>
            </w:r>
            <w:r>
              <w:rPr>
                <w:rFonts w:hint="eastAsia" w:ascii="Times New Roman" w:hAnsi="Times New Roman" w:eastAsia="宋体" w:cs="Times New Roman"/>
                <w:szCs w:val="21"/>
              </w:rPr>
              <w:t>一定</w:t>
            </w:r>
            <w:r>
              <w:rPr>
                <w:rFonts w:ascii="Times New Roman" w:hAnsi="Times New Roman" w:eastAsia="宋体" w:cs="Times New Roman"/>
                <w:szCs w:val="21"/>
              </w:rPr>
              <w:t>时间进行课外答疑与辅导。</w:t>
            </w:r>
          </w:p>
        </w:tc>
      </w:tr>
      <w:tr w14:paraId="2AB4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vAlign w:val="center"/>
          </w:tcPr>
          <w:p w14:paraId="43BD810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1701" w:type="dxa"/>
            <w:tcMar>
              <w:left w:w="28" w:type="dxa"/>
              <w:right w:w="28" w:type="dxa"/>
            </w:tcMar>
            <w:vAlign w:val="center"/>
          </w:tcPr>
          <w:p w14:paraId="325AE2B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817" w:type="dxa"/>
            <w:tcBorders>
              <w:right w:val="single" w:color="auto" w:sz="8" w:space="0"/>
            </w:tcBorders>
            <w:vAlign w:val="center"/>
          </w:tcPr>
          <w:p w14:paraId="62E572CE">
            <w:pPr>
              <w:spacing w:line="276" w:lineRule="auto"/>
              <w:rPr>
                <w:rFonts w:ascii="Times New Roman" w:hAnsi="Times New Roman" w:eastAsia="宋体" w:cs="Times New Roman"/>
                <w:szCs w:val="21"/>
              </w:rPr>
            </w:pPr>
            <w:r>
              <w:rPr>
                <w:rFonts w:ascii="Times New Roman" w:hAnsi="Times New Roman" w:eastAsia="宋体" w:cs="Times New Roman"/>
                <w:szCs w:val="21"/>
              </w:rPr>
              <w:t>本课程考核的方式</w:t>
            </w:r>
            <w:r>
              <w:rPr>
                <w:rFonts w:hint="eastAsia" w:ascii="Times New Roman" w:hAnsi="Times New Roman" w:eastAsia="宋体" w:cs="Times New Roman"/>
                <w:szCs w:val="21"/>
              </w:rPr>
              <w:t>为闭卷笔试</w:t>
            </w:r>
            <w:r>
              <w:rPr>
                <w:rFonts w:ascii="Times New Roman" w:hAnsi="Times New Roman" w:eastAsia="宋体" w:cs="Times New Roman"/>
                <w:szCs w:val="21"/>
              </w:rPr>
              <w:t>。考试采取教考分离，监考</w:t>
            </w:r>
            <w:r>
              <w:rPr>
                <w:rFonts w:hint="eastAsia" w:ascii="Times New Roman" w:hAnsi="Times New Roman" w:eastAsia="宋体" w:cs="Times New Roman"/>
                <w:szCs w:val="21"/>
              </w:rPr>
              <w:t>由学院</w:t>
            </w:r>
            <w:r>
              <w:rPr>
                <w:rFonts w:ascii="Times New Roman" w:hAnsi="Times New Roman" w:eastAsia="宋体" w:cs="Times New Roman"/>
                <w:szCs w:val="21"/>
              </w:rPr>
              <w:t>统一安排。有下列情况之一者，总评成绩为不及格：</w:t>
            </w:r>
          </w:p>
          <w:p w14:paraId="5B37A000">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缺交作业次数达1/3以上者</w:t>
            </w:r>
            <w:r>
              <w:rPr>
                <w:rFonts w:hint="eastAsia" w:ascii="Times New Roman" w:hAnsi="Times New Roman" w:eastAsia="宋体" w:cs="Times New Roman"/>
                <w:szCs w:val="21"/>
              </w:rPr>
              <w:t>。</w:t>
            </w:r>
          </w:p>
          <w:p w14:paraId="09ED383E">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缺课次数达本学期总授课学时的1/3以上者</w:t>
            </w:r>
            <w:r>
              <w:rPr>
                <w:rFonts w:hint="eastAsia" w:ascii="Times New Roman" w:hAnsi="Times New Roman" w:eastAsia="宋体" w:cs="Times New Roman"/>
                <w:szCs w:val="21"/>
              </w:rPr>
              <w:t>。</w:t>
            </w:r>
          </w:p>
        </w:tc>
      </w:tr>
    </w:tbl>
    <w:p w14:paraId="3AF6B3CD">
      <w:pPr>
        <w:spacing w:line="360" w:lineRule="auto"/>
        <w:ind w:firstLine="562" w:firstLineChars="200"/>
        <w:jc w:val="left"/>
        <w:rPr>
          <w:rFonts w:ascii="Times New Roman" w:hAnsi="Times New Roman" w:eastAsia="宋体" w:cs="Times New Roman"/>
          <w:b/>
          <w:sz w:val="28"/>
          <w:szCs w:val="28"/>
        </w:rPr>
      </w:pPr>
      <w:bookmarkStart w:id="166" w:name="_Toc6748_WPSOffice_Level1"/>
      <w:bookmarkStart w:id="167" w:name="_Toc30243_WPSOffice_Level1"/>
      <w:r>
        <w:rPr>
          <w:rFonts w:hint="eastAsia" w:ascii="Times New Roman" w:hAnsi="Times New Roman" w:eastAsia="宋体" w:cs="Times New Roman"/>
          <w:b/>
          <w:sz w:val="28"/>
          <w:szCs w:val="28"/>
        </w:rPr>
        <w:t>五、考核方式</w:t>
      </w:r>
      <w:bookmarkEnd w:id="166"/>
      <w:bookmarkEnd w:id="167"/>
    </w:p>
    <w:p w14:paraId="12FBE3DE">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（一）课程考核包括期末考试、平时及作业情况考核，期末考试采用开卷笔试。</w:t>
      </w:r>
    </w:p>
    <w:p w14:paraId="1B5B4AC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（二）课程成绩=</w:t>
      </w:r>
      <w:r>
        <w:rPr>
          <w:rFonts w:ascii="Times New Roman" w:hAnsi="Times New Roman" w:eastAsia="宋体" w:cs="Times New Roman"/>
          <w:sz w:val="24"/>
          <w:szCs w:val="24"/>
        </w:rPr>
        <w:t>平时成绩×</w:t>
      </w:r>
      <w:r>
        <w:rPr>
          <w:rFonts w:hint="eastAsia" w:ascii="Times New Roman" w:hAnsi="Times New Roman" w:eastAsia="宋体" w:cs="Times New Roman"/>
          <w:sz w:val="24"/>
          <w:szCs w:val="24"/>
        </w:rPr>
        <w:t>4</w:t>
      </w:r>
      <w:r>
        <w:rPr>
          <w:rFonts w:ascii="Times New Roman" w:hAnsi="Times New Roman" w:eastAsia="宋体" w:cs="Times New Roman"/>
          <w:sz w:val="24"/>
          <w:szCs w:val="24"/>
        </w:rPr>
        <w:t>0%期末考试成绩×60%。</w:t>
      </w:r>
      <w:r>
        <w:rPr>
          <w:rFonts w:hint="eastAsia" w:ascii="Times New Roman" w:hAnsi="Times New Roman" w:eastAsia="宋体" w:cs="Times New Roman"/>
          <w:sz w:val="24"/>
          <w:szCs w:val="24"/>
        </w:rPr>
        <w:t>具体内容和比例如表所示。具体内容和比例如表所示。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322F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dxa"/>
            <w:shd w:val="clear" w:color="auto" w:fill="FFFFFF"/>
            <w:tcMar>
              <w:left w:w="57" w:type="dxa"/>
              <w:right w:w="57" w:type="dxa"/>
            </w:tcMar>
            <w:vAlign w:val="center"/>
          </w:tcPr>
          <w:p w14:paraId="227E3D4B">
            <w:pPr>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1565" w:type="dxa"/>
            <w:shd w:val="clear" w:color="auto" w:fill="FFFFFF"/>
            <w:vAlign w:val="center"/>
          </w:tcPr>
          <w:p w14:paraId="3D14704F">
            <w:pPr>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808" w:type="dxa"/>
            <w:shd w:val="clear" w:color="auto" w:fill="FFFFFF"/>
            <w:vAlign w:val="center"/>
          </w:tcPr>
          <w:p w14:paraId="22FF05F7">
            <w:pPr>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4410" w:type="dxa"/>
            <w:shd w:val="clear" w:color="auto" w:fill="FFFFFF"/>
            <w:vAlign w:val="center"/>
          </w:tcPr>
          <w:p w14:paraId="19D20757">
            <w:pPr>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470" w:type="dxa"/>
            <w:shd w:val="clear" w:color="auto" w:fill="FFFFFF"/>
            <w:vAlign w:val="center"/>
          </w:tcPr>
          <w:p w14:paraId="5F2205B2">
            <w:pPr>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r>
      <w:tr w14:paraId="00E6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044" w:type="dxa"/>
            <w:vMerge w:val="restart"/>
            <w:tcMar>
              <w:left w:w="57" w:type="dxa"/>
              <w:right w:w="57" w:type="dxa"/>
            </w:tcMar>
            <w:vAlign w:val="center"/>
          </w:tcPr>
          <w:p w14:paraId="1D5F8AE2">
            <w:pPr>
              <w:jc w:val="center"/>
              <w:rPr>
                <w:rFonts w:ascii="Times New Roman" w:hAnsi="Times New Roman" w:eastAsia="宋体" w:cs="Times New Roman"/>
                <w:szCs w:val="24"/>
              </w:rPr>
            </w:pPr>
            <w:r>
              <w:rPr>
                <w:rFonts w:ascii="Times New Roman" w:hAnsi="Times New Roman" w:eastAsia="宋体" w:cs="Times New Roman"/>
                <w:szCs w:val="24"/>
              </w:rPr>
              <w:t>平时成绩</w:t>
            </w:r>
          </w:p>
        </w:tc>
        <w:tc>
          <w:tcPr>
            <w:tcW w:w="1565" w:type="dxa"/>
            <w:vAlign w:val="center"/>
          </w:tcPr>
          <w:p w14:paraId="282F4B55">
            <w:pPr>
              <w:jc w:val="center"/>
              <w:rPr>
                <w:rFonts w:ascii="Times New Roman" w:hAnsi="Times New Roman" w:eastAsia="宋体" w:cs="Times New Roman"/>
                <w:szCs w:val="24"/>
              </w:rPr>
            </w:pPr>
            <w:r>
              <w:rPr>
                <w:rFonts w:ascii="Times New Roman" w:hAnsi="Times New Roman" w:eastAsia="宋体" w:cs="Times New Roman"/>
                <w:szCs w:val="24"/>
              </w:rPr>
              <w:t>平时作业</w:t>
            </w:r>
          </w:p>
        </w:tc>
        <w:tc>
          <w:tcPr>
            <w:tcW w:w="808" w:type="dxa"/>
            <w:vAlign w:val="center"/>
          </w:tcPr>
          <w:p w14:paraId="0A88EF3C">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c>
          <w:tcPr>
            <w:tcW w:w="4410" w:type="dxa"/>
            <w:vAlign w:val="center"/>
          </w:tcPr>
          <w:p w14:paraId="48BB5097">
            <w:pPr>
              <w:rPr>
                <w:rFonts w:ascii="Times New Roman" w:hAnsi="Times New Roman" w:eastAsia="宋体" w:cs="Times New Roman"/>
                <w:szCs w:val="24"/>
              </w:rPr>
            </w:pPr>
            <w:r>
              <w:rPr>
                <w:rFonts w:hint="eastAsia" w:ascii="Times New Roman" w:hAnsi="Times New Roman" w:eastAsia="宋体" w:cs="Times New Roman"/>
                <w:szCs w:val="24"/>
              </w:rPr>
              <w:t>三次书面作业，主要考察学生对所学知识的理解和应用</w:t>
            </w:r>
            <w:r>
              <w:rPr>
                <w:rFonts w:ascii="Times New Roman" w:hAnsi="Times New Roman" w:eastAsia="宋体" w:cs="Times New Roman"/>
                <w:szCs w:val="24"/>
              </w:rPr>
              <w:t>，计算全部作业的平均成绩再按</w:t>
            </w:r>
            <w:r>
              <w:rPr>
                <w:rFonts w:hint="eastAsia" w:ascii="Times New Roman" w:hAnsi="Times New Roman" w:eastAsia="宋体" w:cs="Times New Roman"/>
                <w:szCs w:val="24"/>
              </w:rPr>
              <w:t>2</w:t>
            </w:r>
            <w:r>
              <w:rPr>
                <w:rFonts w:ascii="Times New Roman" w:hAnsi="Times New Roman" w:eastAsia="宋体" w:cs="Times New Roman"/>
                <w:szCs w:val="24"/>
              </w:rPr>
              <w:t>0%计入总成绩。</w:t>
            </w:r>
          </w:p>
        </w:tc>
        <w:tc>
          <w:tcPr>
            <w:tcW w:w="1470" w:type="dxa"/>
            <w:vAlign w:val="center"/>
          </w:tcPr>
          <w:p w14:paraId="18069752">
            <w:pPr>
              <w:jc w:val="center"/>
              <w:rPr>
                <w:rFonts w:ascii="Times New Roman" w:hAnsi="Times New Roman" w:eastAsia="宋体" w:cs="Times New Roman"/>
                <w:szCs w:val="24"/>
              </w:rPr>
            </w:pPr>
            <w:r>
              <w:rPr>
                <w:rFonts w:hint="eastAsia" w:ascii="Times New Roman" w:hAnsi="Times New Roman" w:eastAsia="宋体" w:cs="Times New Roman"/>
                <w:szCs w:val="24"/>
              </w:rPr>
              <w:t>3-2</w:t>
            </w:r>
          </w:p>
        </w:tc>
      </w:tr>
      <w:tr w14:paraId="5021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044" w:type="dxa"/>
            <w:vMerge w:val="continue"/>
            <w:tcMar>
              <w:left w:w="57" w:type="dxa"/>
              <w:right w:w="57" w:type="dxa"/>
            </w:tcMar>
            <w:vAlign w:val="center"/>
          </w:tcPr>
          <w:p w14:paraId="7722A79F">
            <w:pPr>
              <w:jc w:val="center"/>
              <w:rPr>
                <w:rFonts w:ascii="Times New Roman" w:hAnsi="Times New Roman" w:eastAsia="宋体" w:cs="Times New Roman"/>
                <w:szCs w:val="24"/>
              </w:rPr>
            </w:pPr>
          </w:p>
        </w:tc>
        <w:tc>
          <w:tcPr>
            <w:tcW w:w="1565" w:type="dxa"/>
            <w:vAlign w:val="center"/>
          </w:tcPr>
          <w:p w14:paraId="059B30FE">
            <w:pPr>
              <w:jc w:val="center"/>
              <w:rPr>
                <w:rFonts w:ascii="Times New Roman" w:hAnsi="Times New Roman" w:eastAsia="宋体" w:cs="Times New Roman"/>
                <w:szCs w:val="24"/>
              </w:rPr>
            </w:pPr>
            <w:r>
              <w:rPr>
                <w:rFonts w:hint="eastAsia" w:ascii="Times New Roman" w:hAnsi="Times New Roman" w:eastAsia="宋体" w:cs="Times New Roman"/>
                <w:szCs w:val="24"/>
              </w:rPr>
              <w:t>考勤</w:t>
            </w:r>
            <w:r>
              <w:rPr>
                <w:rFonts w:ascii="Times New Roman" w:hAnsi="Times New Roman" w:eastAsia="宋体" w:cs="Times New Roman"/>
                <w:szCs w:val="24"/>
              </w:rPr>
              <w:t>及</w:t>
            </w:r>
          </w:p>
          <w:p w14:paraId="454C69CE">
            <w:pPr>
              <w:jc w:val="center"/>
              <w:rPr>
                <w:rFonts w:ascii="Times New Roman" w:hAnsi="Times New Roman" w:eastAsia="宋体" w:cs="Times New Roman"/>
                <w:szCs w:val="24"/>
              </w:rPr>
            </w:pPr>
            <w:r>
              <w:rPr>
                <w:rFonts w:ascii="Times New Roman" w:hAnsi="Times New Roman" w:eastAsia="宋体" w:cs="Times New Roman"/>
                <w:szCs w:val="24"/>
              </w:rPr>
              <w:t>课堂练习</w:t>
            </w:r>
          </w:p>
        </w:tc>
        <w:tc>
          <w:tcPr>
            <w:tcW w:w="808" w:type="dxa"/>
            <w:vAlign w:val="center"/>
          </w:tcPr>
          <w:p w14:paraId="20D9D56C">
            <w:pPr>
              <w:jc w:val="center"/>
              <w:rPr>
                <w:rFonts w:ascii="Times New Roman" w:hAnsi="Times New Roman" w:eastAsia="宋体" w:cs="Times New Roman"/>
                <w:szCs w:val="24"/>
              </w:rPr>
            </w:pPr>
            <w:r>
              <w:rPr>
                <w:rFonts w:hint="eastAsia" w:ascii="Times New Roman" w:hAnsi="Times New Roman" w:eastAsia="宋体" w:cs="Times New Roman"/>
                <w:szCs w:val="24"/>
              </w:rPr>
              <w:t>2</w:t>
            </w:r>
            <w:r>
              <w:rPr>
                <w:rFonts w:ascii="Times New Roman" w:hAnsi="Times New Roman" w:eastAsia="宋体" w:cs="Times New Roman"/>
                <w:szCs w:val="24"/>
              </w:rPr>
              <w:t>0%</w:t>
            </w:r>
          </w:p>
        </w:tc>
        <w:tc>
          <w:tcPr>
            <w:tcW w:w="4410" w:type="dxa"/>
            <w:vAlign w:val="center"/>
          </w:tcPr>
          <w:p w14:paraId="64D4FEFE">
            <w:pPr>
              <w:rPr>
                <w:rFonts w:ascii="Times New Roman" w:hAnsi="Times New Roman" w:eastAsia="宋体" w:cs="Times New Roman"/>
                <w:szCs w:val="21"/>
              </w:rPr>
            </w:pPr>
            <w:r>
              <w:rPr>
                <w:rFonts w:hint="eastAsia" w:ascii="Times New Roman" w:hAnsi="Times New Roman" w:eastAsia="宋体" w:cs="Times New Roman"/>
                <w:szCs w:val="21"/>
              </w:rPr>
              <w:t>在教学过程中，提问每位同学，根据回答问题情况给出相应分数，同时课堂组织小组讨论，根据每组同学表现给分，再</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1470" w:type="dxa"/>
            <w:vAlign w:val="center"/>
          </w:tcPr>
          <w:p w14:paraId="01EFA7C2">
            <w:pPr>
              <w:jc w:val="center"/>
              <w:rPr>
                <w:rFonts w:ascii="Times New Roman" w:hAnsi="Times New Roman" w:eastAsia="宋体" w:cs="Times New Roman"/>
                <w:szCs w:val="24"/>
              </w:rPr>
            </w:pPr>
            <w:r>
              <w:rPr>
                <w:rFonts w:hint="eastAsia" w:ascii="Times New Roman" w:hAnsi="Times New Roman" w:eastAsia="宋体" w:cs="Times New Roman"/>
                <w:szCs w:val="24"/>
              </w:rPr>
              <w:t>8-1</w:t>
            </w:r>
          </w:p>
        </w:tc>
      </w:tr>
      <w:tr w14:paraId="4829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44" w:type="dxa"/>
            <w:tcMar>
              <w:left w:w="57" w:type="dxa"/>
              <w:right w:w="57" w:type="dxa"/>
            </w:tcMar>
            <w:vAlign w:val="center"/>
          </w:tcPr>
          <w:p w14:paraId="3A396551">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071EEB35">
            <w:pPr>
              <w:jc w:val="center"/>
              <w:rPr>
                <w:rFonts w:ascii="Times New Roman" w:hAnsi="Times New Roman" w:eastAsia="宋体" w:cs="Times New Roman"/>
                <w:szCs w:val="24"/>
              </w:rPr>
            </w:pPr>
          </w:p>
        </w:tc>
        <w:tc>
          <w:tcPr>
            <w:tcW w:w="1565" w:type="dxa"/>
            <w:vAlign w:val="center"/>
          </w:tcPr>
          <w:p w14:paraId="6B4B8A4B">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5EE660E2">
            <w:pPr>
              <w:jc w:val="center"/>
              <w:rPr>
                <w:rFonts w:ascii="Times New Roman" w:hAnsi="Times New Roman" w:eastAsia="宋体" w:cs="Times New Roman"/>
                <w:szCs w:val="24"/>
              </w:rPr>
            </w:pPr>
            <w:r>
              <w:rPr>
                <w:rFonts w:hint="eastAsia" w:ascii="Times New Roman" w:hAnsi="Times New Roman" w:eastAsia="宋体" w:cs="Times New Roman"/>
                <w:szCs w:val="24"/>
              </w:rPr>
              <w:t>卷面</w:t>
            </w:r>
            <w:r>
              <w:rPr>
                <w:rFonts w:ascii="Times New Roman" w:hAnsi="Times New Roman" w:eastAsia="宋体" w:cs="Times New Roman"/>
                <w:szCs w:val="24"/>
              </w:rPr>
              <w:t>成绩</w:t>
            </w:r>
          </w:p>
        </w:tc>
        <w:tc>
          <w:tcPr>
            <w:tcW w:w="808" w:type="dxa"/>
            <w:vAlign w:val="center"/>
          </w:tcPr>
          <w:p w14:paraId="5DF9F433">
            <w:pPr>
              <w:jc w:val="center"/>
              <w:rPr>
                <w:rFonts w:ascii="Times New Roman" w:hAnsi="Times New Roman" w:eastAsia="宋体" w:cs="Times New Roman"/>
                <w:szCs w:val="24"/>
              </w:rPr>
            </w:pPr>
            <w:r>
              <w:rPr>
                <w:rFonts w:ascii="Times New Roman" w:hAnsi="Times New Roman" w:eastAsia="宋体" w:cs="Times New Roman"/>
                <w:szCs w:val="24"/>
              </w:rPr>
              <w:t>60%</w:t>
            </w:r>
          </w:p>
        </w:tc>
        <w:tc>
          <w:tcPr>
            <w:tcW w:w="4410" w:type="dxa"/>
            <w:vAlign w:val="center"/>
          </w:tcPr>
          <w:p w14:paraId="46CC86F4">
            <w:pPr>
              <w:rPr>
                <w:rFonts w:ascii="Times New Roman" w:hAnsi="Times New Roman" w:eastAsia="宋体" w:cs="Times New Roman"/>
                <w:color w:val="000000"/>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选择题</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等，以卷面成绩的60%计入课程总成绩。</w:t>
            </w:r>
          </w:p>
        </w:tc>
        <w:tc>
          <w:tcPr>
            <w:tcW w:w="1470" w:type="dxa"/>
            <w:vAlign w:val="center"/>
          </w:tcPr>
          <w:p w14:paraId="134C4F88">
            <w:pPr>
              <w:jc w:val="center"/>
              <w:rPr>
                <w:rFonts w:ascii="Times New Roman" w:hAnsi="Times New Roman" w:eastAsia="宋体" w:cs="Times New Roman"/>
                <w:szCs w:val="24"/>
              </w:rPr>
            </w:pPr>
            <w:r>
              <w:rPr>
                <w:rFonts w:hint="eastAsia" w:ascii="Times New Roman" w:hAnsi="Times New Roman" w:eastAsia="宋体" w:cs="Times New Roman"/>
                <w:szCs w:val="24"/>
              </w:rPr>
              <w:t>3-2、4-2、</w:t>
            </w:r>
          </w:p>
          <w:p w14:paraId="36CD6F44">
            <w:pPr>
              <w:jc w:val="center"/>
              <w:rPr>
                <w:rFonts w:ascii="Times New Roman" w:hAnsi="Times New Roman" w:eastAsia="宋体" w:cs="Times New Roman"/>
                <w:szCs w:val="24"/>
              </w:rPr>
            </w:pPr>
            <w:r>
              <w:rPr>
                <w:rFonts w:hint="eastAsia" w:ascii="Times New Roman" w:hAnsi="Times New Roman" w:eastAsia="宋体" w:cs="Times New Roman"/>
                <w:szCs w:val="24"/>
              </w:rPr>
              <w:t>7-3</w:t>
            </w:r>
          </w:p>
        </w:tc>
      </w:tr>
    </w:tbl>
    <w:p w14:paraId="0DD52C3B">
      <w:pPr>
        <w:spacing w:line="360" w:lineRule="auto"/>
        <w:ind w:firstLine="562" w:firstLineChars="200"/>
        <w:rPr>
          <w:rFonts w:ascii="Times New Roman" w:hAnsi="Times New Roman" w:eastAsia="宋体" w:cs="Times New Roman"/>
          <w:b/>
          <w:sz w:val="28"/>
          <w:szCs w:val="28"/>
        </w:rPr>
      </w:pPr>
      <w:bookmarkStart w:id="168" w:name="_Toc20657_WPSOffice_Level1"/>
      <w:bookmarkStart w:id="169" w:name="_Toc15476_WPSOffice_Level1"/>
      <w:r>
        <w:rPr>
          <w:rFonts w:hint="eastAsia" w:ascii="Times New Roman" w:hAnsi="Times New Roman" w:eastAsia="宋体" w:cs="Times New Roman"/>
          <w:b/>
          <w:sz w:val="28"/>
          <w:szCs w:val="28"/>
        </w:rPr>
        <w:t>六</w:t>
      </w:r>
      <w:r>
        <w:rPr>
          <w:rFonts w:ascii="Times New Roman" w:hAnsi="Times New Roman" w:eastAsia="宋体" w:cs="Times New Roman"/>
          <w:b/>
          <w:sz w:val="28"/>
          <w:szCs w:val="28"/>
        </w:rPr>
        <w:t>、</w:t>
      </w:r>
      <w:r>
        <w:rPr>
          <w:rFonts w:hint="eastAsia" w:ascii="Times New Roman" w:hAnsi="Times New Roman" w:eastAsia="宋体" w:cs="Times New Roman"/>
          <w:b/>
          <w:sz w:val="28"/>
          <w:szCs w:val="28"/>
        </w:rPr>
        <w:t>有关说明</w:t>
      </w:r>
      <w:bookmarkEnd w:id="168"/>
      <w:bookmarkEnd w:id="169"/>
    </w:p>
    <w:p w14:paraId="32A37AF8">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6553335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本课程根据学生作业、课堂讨论、平时考核情况和学生、教学督导等</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反馈，及时对教学中</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不足之处进行改进，并在下一轮课程教学中</w:t>
      </w:r>
      <w:r>
        <w:rPr>
          <w:rFonts w:hint="eastAsia" w:ascii="Times New Roman" w:hAnsi="Times New Roman" w:eastAsia="宋体" w:cs="Times New Roman"/>
          <w:sz w:val="24"/>
          <w:szCs w:val="24"/>
        </w:rPr>
        <w:t>整改完善</w:t>
      </w:r>
      <w:r>
        <w:rPr>
          <w:rFonts w:ascii="Times New Roman" w:hAnsi="Times New Roman" w:eastAsia="宋体" w:cs="Times New Roman"/>
          <w:sz w:val="24"/>
          <w:szCs w:val="24"/>
        </w:rPr>
        <w:t>，确保相应毕业要求指标点达成。</w:t>
      </w:r>
    </w:p>
    <w:p w14:paraId="52CF9193">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78911EC1">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1.《校本课程资源开发指南》，中小学校校本课程资源开发研究与实验课题组编著，人民教育出版社，2004</w:t>
      </w:r>
      <w:r>
        <w:rPr>
          <w:rFonts w:ascii="Times New Roman" w:hAnsi="Times New Roman" w:eastAsia="宋体" w:cs="Times New Roman"/>
          <w:bCs/>
          <w:sz w:val="24"/>
          <w:szCs w:val="24"/>
        </w:rPr>
        <w:t> </w:t>
      </w:r>
    </w:p>
    <w:p w14:paraId="5A341063">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2.《校本课程开发：小学案例》，王一军</w:t>
      </w:r>
      <w:r>
        <w:rPr>
          <w:rFonts w:ascii="Times New Roman" w:hAnsi="Times New Roman" w:eastAsia="宋体" w:cs="Times New Roman"/>
          <w:bCs/>
          <w:sz w:val="24"/>
          <w:szCs w:val="24"/>
        </w:rPr>
        <w:t> 吕林海著</w:t>
      </w:r>
      <w:r>
        <w:rPr>
          <w:rFonts w:hint="eastAsia" w:ascii="Times New Roman" w:hAnsi="Times New Roman" w:eastAsia="宋体" w:cs="Times New Roman"/>
          <w:bCs/>
          <w:sz w:val="24"/>
          <w:szCs w:val="24"/>
        </w:rPr>
        <w:t>，华东师范大学出版社，2009</w:t>
      </w:r>
    </w:p>
    <w:p w14:paraId="4E97CACF">
      <w:pPr>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3.</w:t>
      </w:r>
      <w:r>
        <w:rPr>
          <w:rFonts w:ascii="Times New Roman" w:hAnsi="Times New Roman" w:eastAsia="宋体" w:cs="Times New Roman"/>
          <w:bCs/>
          <w:sz w:val="24"/>
          <w:szCs w:val="24"/>
        </w:rPr>
        <w:t>《新课改校本研究与课程新设计</w:t>
      </w:r>
      <w:r>
        <w:rPr>
          <w:rFonts w:hint="eastAsia" w:ascii="Times New Roman" w:hAnsi="Times New Roman" w:eastAsia="宋体" w:cs="Times New Roman"/>
          <w:bCs/>
          <w:sz w:val="24"/>
          <w:szCs w:val="24"/>
        </w:rPr>
        <w:t>：校本课程开发案例</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rPr>
        <w:t>，本书编写组，</w:t>
      </w:r>
      <w:r>
        <w:rPr>
          <w:rFonts w:ascii="Times New Roman" w:hAnsi="Times New Roman" w:eastAsia="宋体" w:cs="Times New Roman"/>
          <w:bCs/>
          <w:sz w:val="24"/>
          <w:szCs w:val="24"/>
        </w:rPr>
        <w:t>人民日报出版社</w:t>
      </w:r>
      <w:r>
        <w:rPr>
          <w:rFonts w:hint="eastAsia" w:ascii="Times New Roman" w:hAnsi="Times New Roman" w:eastAsia="宋体" w:cs="Times New Roman"/>
          <w:bCs/>
          <w:sz w:val="24"/>
          <w:szCs w:val="24"/>
        </w:rPr>
        <w:t>，2004</w:t>
      </w:r>
    </w:p>
    <w:p w14:paraId="408CAC68">
      <w:pPr>
        <w:autoSpaceDE w:val="0"/>
        <w:autoSpaceDN w:val="0"/>
        <w:adjustRightInd w:val="0"/>
        <w:spacing w:line="360" w:lineRule="auto"/>
        <w:ind w:firstLine="6480" w:firstLineChars="27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张志欣</w:t>
      </w:r>
    </w:p>
    <w:p w14:paraId="3228A967">
      <w:pPr>
        <w:autoSpaceDE w:val="0"/>
        <w:autoSpaceDN w:val="0"/>
        <w:adjustRightInd w:val="0"/>
        <w:spacing w:line="360" w:lineRule="auto"/>
        <w:ind w:firstLine="6480" w:firstLineChars="27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：巫文胜</w:t>
      </w:r>
    </w:p>
    <w:p w14:paraId="705A8E16">
      <w:pPr>
        <w:autoSpaceDE w:val="0"/>
        <w:autoSpaceDN w:val="0"/>
        <w:adjustRightInd w:val="0"/>
        <w:spacing w:line="360" w:lineRule="auto"/>
        <w:ind w:firstLine="6480" w:firstLineChars="27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张建波</w:t>
      </w:r>
    </w:p>
    <w:p w14:paraId="0AE8E139">
      <w:pPr>
        <w:autoSpaceDE w:val="0"/>
        <w:autoSpaceDN w:val="0"/>
        <w:adjustRightInd w:val="0"/>
        <w:spacing w:line="360" w:lineRule="auto"/>
        <w:ind w:firstLine="5760" w:firstLineChars="2400"/>
        <w:jc w:val="left"/>
        <w:rPr>
          <w:rFonts w:hint="eastAsia"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w:t>
      </w:r>
      <w:r>
        <w:rPr>
          <w:rFonts w:ascii="Times New Roman" w:hAnsi="Times New Roman" w:eastAsia="宋体" w:cs="Times New Roman"/>
          <w:kern w:val="0"/>
          <w:sz w:val="24"/>
          <w:szCs w:val="21"/>
        </w:rPr>
        <w:t xml:space="preserve"> </w:t>
      </w:r>
      <w:r>
        <w:rPr>
          <w:rFonts w:hint="eastAsia" w:ascii="Times New Roman" w:hAnsi="Times New Roman" w:eastAsia="宋体" w:cs="Times New Roman"/>
          <w:kern w:val="0"/>
          <w:sz w:val="24"/>
          <w:szCs w:val="21"/>
        </w:rPr>
        <w:t>2022年8月30日</w:t>
      </w:r>
    </w:p>
    <w:p w14:paraId="60AC9193">
      <w:pPr>
        <w:autoSpaceDE w:val="0"/>
        <w:autoSpaceDN w:val="0"/>
        <w:adjustRightInd w:val="0"/>
        <w:spacing w:line="360" w:lineRule="auto"/>
        <w:ind w:firstLine="5760" w:firstLineChars="2400"/>
        <w:jc w:val="left"/>
        <w:rPr>
          <w:rFonts w:hint="eastAsia" w:ascii="Times New Roman" w:hAnsi="Times New Roman" w:eastAsia="宋体" w:cs="Times New Roman"/>
          <w:kern w:val="0"/>
          <w:sz w:val="24"/>
          <w:szCs w:val="21"/>
        </w:rPr>
      </w:pPr>
    </w:p>
    <w:p w14:paraId="284933B8">
      <w:pPr>
        <w:autoSpaceDE w:val="0"/>
        <w:autoSpaceDN w:val="0"/>
        <w:adjustRightInd w:val="0"/>
        <w:spacing w:line="360" w:lineRule="auto"/>
        <w:ind w:firstLine="5760" w:firstLineChars="2400"/>
        <w:jc w:val="left"/>
        <w:rPr>
          <w:rFonts w:hint="eastAsia" w:ascii="Times New Roman" w:hAnsi="Times New Roman" w:eastAsia="宋体" w:cs="Times New Roman"/>
          <w:kern w:val="0"/>
          <w:sz w:val="24"/>
          <w:szCs w:val="21"/>
        </w:rPr>
        <w:sectPr>
          <w:pgSz w:w="11906" w:h="16838"/>
          <w:pgMar w:top="1440" w:right="1418" w:bottom="1440" w:left="1418" w:header="851" w:footer="992" w:gutter="0"/>
          <w:cols w:space="720" w:num="1"/>
          <w:docGrid w:type="lines" w:linePitch="312" w:charSpace="0"/>
        </w:sectPr>
      </w:pPr>
    </w:p>
    <w:p w14:paraId="1EA44871">
      <w:pPr>
        <w:spacing w:line="312" w:lineRule="auto"/>
        <w:jc w:val="center"/>
        <w:outlineLvl w:val="0"/>
        <w:rPr>
          <w:rFonts w:ascii="Calibri" w:hAnsi="Calibri" w:eastAsia="宋体" w:cs="Times New Roman"/>
          <w:b/>
          <w:bCs/>
          <w:sz w:val="30"/>
        </w:rPr>
      </w:pPr>
      <w:bookmarkStart w:id="170" w:name="_Toc88340335"/>
      <w:r>
        <w:rPr>
          <w:rFonts w:hint="eastAsia" w:ascii="Calibri" w:hAnsi="Calibri" w:eastAsia="宋体" w:cs="Times New Roman"/>
          <w:b/>
          <w:bCs/>
          <w:sz w:val="30"/>
        </w:rPr>
        <w:t>小学生心理辅导课程教学大纲</w:t>
      </w:r>
      <w:bookmarkEnd w:id="170"/>
    </w:p>
    <w:p w14:paraId="158A1E48">
      <w:pPr>
        <w:spacing w:line="312" w:lineRule="auto"/>
        <w:jc w:val="center"/>
        <w:rPr>
          <w:rFonts w:ascii="Times New Roman" w:hAnsi="Times New Roman" w:eastAsia="宋体" w:cs="Times New Roman"/>
          <w:b/>
          <w:bCs/>
          <w:sz w:val="30"/>
        </w:rPr>
      </w:pPr>
      <w:r>
        <w:rPr>
          <w:rFonts w:ascii="Times New Roman" w:hAnsi="Times New Roman" w:eastAsia="宋体" w:cs="Times New Roman"/>
          <w:b/>
          <w:bCs/>
          <w:sz w:val="30"/>
        </w:rPr>
        <w:t>（Psychological counseling for primary school students）</w:t>
      </w:r>
    </w:p>
    <w:p w14:paraId="6B9B8802">
      <w:pPr>
        <w:spacing w:line="312" w:lineRule="auto"/>
        <w:jc w:val="center"/>
        <w:rPr>
          <w:rFonts w:ascii="Calibri" w:hAnsi="Calibri" w:eastAsia="黑体" w:cs="Times New Roman"/>
          <w:bCs/>
          <w:sz w:val="30"/>
        </w:rPr>
      </w:pPr>
    </w:p>
    <w:p w14:paraId="0C1B92C2">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一、课程概况</w:t>
      </w:r>
    </w:p>
    <w:p w14:paraId="297D5F97">
      <w:pPr>
        <w:spacing w:line="360" w:lineRule="auto"/>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宋体" w:cs="Times New Roman"/>
          <w:bCs/>
          <w:kern w:val="0"/>
          <w:sz w:val="24"/>
        </w:rPr>
        <w:t>2401023</w:t>
      </w:r>
    </w:p>
    <w:p w14:paraId="4482B4EA">
      <w:pPr>
        <w:spacing w:line="360" w:lineRule="auto"/>
        <w:rPr>
          <w:rFonts w:ascii="Times New Roman" w:hAnsi="Times New Roman" w:eastAsia="宋体" w:cs="Times New Roman"/>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kern w:val="0"/>
          <w:sz w:val="24"/>
        </w:rPr>
        <w:t>2</w:t>
      </w:r>
    </w:p>
    <w:p w14:paraId="6A18BBCE">
      <w:pPr>
        <w:spacing w:line="360" w:lineRule="auto"/>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32（其中：讲授学时24，课内实践学时8）</w:t>
      </w:r>
    </w:p>
    <w:p w14:paraId="3CEF19EA">
      <w:pPr>
        <w:spacing w:line="360" w:lineRule="auto"/>
        <w:rPr>
          <w:rFonts w:ascii="Calibri" w:hAnsi="Calibri" w:eastAsia="宋体" w:cs="Times New Roman"/>
          <w:kern w:val="0"/>
          <w:sz w:val="24"/>
        </w:rPr>
      </w:pPr>
      <w:r>
        <w:rPr>
          <w:rFonts w:hint="eastAsia" w:ascii="Calibri" w:hAnsi="Calibri" w:eastAsia="宋体" w:cs="Times New Roman"/>
          <w:b/>
          <w:bCs/>
          <w:kern w:val="0"/>
          <w:sz w:val="24"/>
        </w:rPr>
        <w:t>适用专业</w:t>
      </w:r>
      <w:r>
        <w:rPr>
          <w:rFonts w:hint="eastAsia" w:ascii="Calibri" w:hAnsi="Calibri" w:eastAsia="宋体" w:cs="Times New Roman"/>
          <w:b/>
          <w:kern w:val="0"/>
          <w:sz w:val="24"/>
        </w:rPr>
        <w:t>：</w:t>
      </w:r>
      <w:r>
        <w:rPr>
          <w:rFonts w:hint="eastAsia" w:ascii="Calibri" w:hAnsi="Calibri" w:eastAsia="宋体" w:cs="Times New Roman"/>
          <w:sz w:val="24"/>
        </w:rPr>
        <w:t>小学教育（文）、小学教育（理）</w:t>
      </w:r>
    </w:p>
    <w:p w14:paraId="79C06001">
      <w:pPr>
        <w:spacing w:line="360" w:lineRule="auto"/>
        <w:rPr>
          <w:rFonts w:hint="eastAsia"/>
        </w:rPr>
      </w:pPr>
      <w:r>
        <w:rPr>
          <w:rFonts w:hint="eastAsia" w:ascii="Calibri" w:hAnsi="Calibri" w:eastAsia="宋体" w:cs="Times New Roman"/>
          <w:b/>
          <w:bCs/>
          <w:kern w:val="0"/>
          <w:sz w:val="24"/>
        </w:rPr>
        <w:t>建议教材</w:t>
      </w:r>
      <w:r>
        <w:rPr>
          <w:rFonts w:hint="eastAsia" w:ascii="Calibri" w:hAnsi="Calibri" w:eastAsia="宋体" w:cs="Times New Roman"/>
          <w:b/>
          <w:kern w:val="0"/>
          <w:sz w:val="24"/>
        </w:rPr>
        <w:t>：</w:t>
      </w:r>
      <w:r>
        <w:rPr>
          <w:rFonts w:hint="eastAsia" w:ascii="Times New Roman" w:hAnsi="Times New Roman" w:eastAsia="宋体" w:cs="Times New Roman"/>
          <w:bCs/>
          <w:kern w:val="0"/>
          <w:sz w:val="24"/>
        </w:rPr>
        <w:t>邹萍</w:t>
      </w:r>
      <w:r>
        <w:rPr>
          <w:rFonts w:ascii="Times New Roman" w:hAnsi="Times New Roman" w:eastAsia="宋体" w:cs="Times New Roman"/>
          <w:bCs/>
          <w:kern w:val="0"/>
          <w:sz w:val="24"/>
        </w:rPr>
        <w:t>著，小学生心理辅导，华东师范大学出版社，</w:t>
      </w:r>
      <w:r>
        <w:rPr>
          <w:rFonts w:hint="eastAsia" w:ascii="Times New Roman" w:hAnsi="Times New Roman" w:eastAsia="宋体" w:cs="Times New Roman"/>
          <w:bCs/>
          <w:kern w:val="0"/>
          <w:sz w:val="24"/>
        </w:rPr>
        <w:t>2014.</w:t>
      </w:r>
    </w:p>
    <w:p w14:paraId="18A191DA">
      <w:pPr>
        <w:spacing w:line="360" w:lineRule="auto"/>
        <w:ind w:firstLine="1200" w:firstLineChars="500"/>
        <w:rPr>
          <w:rFonts w:ascii="Calibri" w:hAnsi="Calibri" w:eastAsia="宋体" w:cs="Times New Roman"/>
          <w:b/>
          <w:kern w:val="0"/>
          <w:sz w:val="24"/>
        </w:rPr>
      </w:pPr>
      <w:r>
        <w:rPr>
          <w:rFonts w:hint="eastAsia" w:ascii="Times New Roman" w:hAnsi="Times New Roman" w:eastAsia="宋体" w:cs="Times New Roman"/>
          <w:bCs/>
          <w:kern w:val="0"/>
          <w:sz w:val="24"/>
        </w:rPr>
        <w:t>彭小虎著，小学生心理辅导，华东师范大学出版社，2012</w:t>
      </w:r>
    </w:p>
    <w:p w14:paraId="652006F2">
      <w:pPr>
        <w:spacing w:line="360" w:lineRule="auto"/>
        <w:rPr>
          <w:rFonts w:ascii="Calibri" w:hAnsi="Calibri" w:eastAsia="宋体" w:cs="Times New Roman"/>
          <w:bCs/>
          <w:kern w:val="0"/>
          <w:sz w:val="24"/>
        </w:rPr>
      </w:pPr>
      <w:r>
        <w:rPr>
          <w:rFonts w:hint="eastAsia" w:ascii="Calibri" w:hAnsi="Calibri" w:eastAsia="宋体" w:cs="Times New Roman"/>
          <w:b/>
          <w:bCs/>
          <w:kern w:val="0"/>
          <w:sz w:val="24"/>
        </w:rPr>
        <w:t>课程归口：</w:t>
      </w:r>
      <w:r>
        <w:rPr>
          <w:rFonts w:hint="eastAsia" w:ascii="宋体" w:hAnsi="宋体" w:eastAsia="宋体" w:cs="Times New Roman"/>
          <w:bCs/>
          <w:kern w:val="0"/>
          <w:sz w:val="24"/>
        </w:rPr>
        <w:t>师范</w:t>
      </w:r>
      <w:r>
        <w:rPr>
          <w:rFonts w:hint="eastAsia" w:ascii="Calibri" w:hAnsi="Calibri" w:eastAsia="宋体" w:cs="Times New Roman"/>
          <w:kern w:val="0"/>
          <w:sz w:val="24"/>
        </w:rPr>
        <w:t>学院</w:t>
      </w:r>
    </w:p>
    <w:p w14:paraId="0A5F452D">
      <w:pPr>
        <w:spacing w:line="360" w:lineRule="auto"/>
        <w:rPr>
          <w:rFonts w:ascii="Calibri" w:hAnsi="Calibri" w:eastAsia="宋体" w:cs="Times New Roman"/>
          <w:kern w:val="0"/>
          <w:sz w:val="24"/>
        </w:rPr>
      </w:pPr>
      <w:r>
        <w:rPr>
          <w:rFonts w:hint="eastAsia" w:ascii="Calibri" w:hAnsi="Calibri" w:eastAsia="宋体" w:cs="Times New Roman"/>
          <w:b/>
          <w:bCs/>
          <w:kern w:val="0"/>
          <w:sz w:val="24"/>
        </w:rPr>
        <w:t>课程的性质与任务：</w:t>
      </w:r>
      <w:r>
        <w:rPr>
          <w:rFonts w:hint="eastAsia" w:ascii="Calibri" w:hAnsi="Calibri" w:eastAsia="宋体" w:cs="Times New Roman"/>
          <w:kern w:val="0"/>
          <w:sz w:val="24"/>
        </w:rPr>
        <w:t>小学生心理辅导是小学教育专业的专业选修课程。课程通过对心理辅导技术的学习，结合小学生发展存在问题的研究，提高本专业学生的心理辅导的能力和操作技能。</w:t>
      </w:r>
    </w:p>
    <w:p w14:paraId="26851E2C">
      <w:pPr>
        <w:spacing w:line="360" w:lineRule="auto"/>
        <w:ind w:firstLine="480" w:firstLineChars="200"/>
        <w:rPr>
          <w:rFonts w:ascii="Calibri" w:hAnsi="Calibri" w:eastAsia="宋体" w:cs="Times New Roman"/>
          <w:kern w:val="0"/>
          <w:sz w:val="24"/>
        </w:rPr>
      </w:pPr>
      <w:r>
        <w:rPr>
          <w:rFonts w:hint="eastAsia" w:ascii="Calibri" w:hAnsi="Calibri" w:eastAsia="宋体" w:cs="Times New Roman"/>
          <w:kern w:val="0"/>
          <w:sz w:val="24"/>
        </w:rPr>
        <w:t>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0C5F9BB4">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二、课程目标</w:t>
      </w:r>
    </w:p>
    <w:p w14:paraId="58F0163E">
      <w:pPr>
        <w:spacing w:line="360" w:lineRule="auto"/>
        <w:rPr>
          <w:rFonts w:ascii="Calibri" w:hAnsi="Calibri" w:eastAsia="宋体" w:cs="Times New Roman"/>
          <w:b/>
          <w:sz w:val="24"/>
          <w:szCs w:val="24"/>
        </w:rPr>
      </w:pPr>
      <w:r>
        <w:rPr>
          <w:rFonts w:hint="eastAsia" w:ascii="Calibri" w:hAnsi="Calibri" w:eastAsia="宋体" w:cs="Times New Roman"/>
          <w:b/>
          <w:sz w:val="24"/>
          <w:szCs w:val="24"/>
        </w:rPr>
        <w:t>（一）课程具体目标</w:t>
      </w:r>
    </w:p>
    <w:p w14:paraId="03CB8BAD">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目标1. 阐释小学生心理辅导的目标和价值，形成以儿童发展为中心的辅导理念，分析小学儿童发展心理的规律，思政目标在于强化教师职业理念中的儿童中心思想，提高师范生的职业信念。</w:t>
      </w:r>
    </w:p>
    <w:p w14:paraId="3B237DB8">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目标2.尝试运用小学生心理辅导的理论，结合小学生心理辅导的主要技术，学会在小学生班队管理中设计团体辅导活动，思政目标是强化科学发展观，用学科发展的历史及对学科的流派的梳理培养科学精神。</w:t>
      </w:r>
    </w:p>
    <w:p w14:paraId="40E1B6A6">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目标3.学会分析小学生常见的心理问题，运用个别辅导技术设计辅导方案，在课内实践中验证方案的可行性，思政目标是进一步提升教师职业素养，提高因材施教的能力。</w:t>
      </w:r>
    </w:p>
    <w:p w14:paraId="22C63D52">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目标4. 在课内实践过程中选择相应的小组活动形式，练习心理辅导的技能，获得团队活动体验，习得与学生、同伴和家长沟通的技能，思政目标是强调教育的生态观，师范生在活动中提升人际协调的能力和体验。</w:t>
      </w:r>
    </w:p>
    <w:p w14:paraId="7838B0CB">
      <w:p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（二）课程目标与专业毕业要求的关系</w:t>
      </w:r>
    </w:p>
    <w:tbl>
      <w:tblPr>
        <w:tblStyle w:val="30"/>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2225"/>
        <w:gridCol w:w="4981"/>
      </w:tblGrid>
      <w:tr w14:paraId="53AE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2F0E7D3F">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2223" w:type="dxa"/>
            <w:tcBorders>
              <w:top w:val="single" w:color="auto" w:sz="4" w:space="0"/>
              <w:left w:val="single" w:color="auto" w:sz="4" w:space="0"/>
              <w:bottom w:val="single" w:color="auto" w:sz="4" w:space="0"/>
              <w:right w:val="single" w:color="auto" w:sz="4" w:space="0"/>
            </w:tcBorders>
            <w:vAlign w:val="center"/>
          </w:tcPr>
          <w:p w14:paraId="467284BC">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4977" w:type="dxa"/>
            <w:tcBorders>
              <w:top w:val="single" w:color="auto" w:sz="4" w:space="0"/>
              <w:left w:val="single" w:color="auto" w:sz="4" w:space="0"/>
              <w:bottom w:val="single" w:color="auto" w:sz="4" w:space="0"/>
              <w:right w:val="single" w:color="auto" w:sz="4" w:space="0"/>
            </w:tcBorders>
            <w:vAlign w:val="center"/>
          </w:tcPr>
          <w:p w14:paraId="50CF36B4">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5908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09C4FFB0">
            <w:pPr>
              <w:spacing w:line="276" w:lineRule="auto"/>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课程目标1</w:t>
            </w:r>
          </w:p>
        </w:tc>
        <w:tc>
          <w:tcPr>
            <w:tcW w:w="2223" w:type="dxa"/>
            <w:tcBorders>
              <w:top w:val="single" w:color="auto" w:sz="4" w:space="0"/>
              <w:left w:val="single" w:color="auto" w:sz="4" w:space="0"/>
              <w:bottom w:val="single" w:color="auto" w:sz="4" w:space="0"/>
              <w:right w:val="single" w:color="auto" w:sz="4" w:space="0"/>
            </w:tcBorders>
            <w:vAlign w:val="center"/>
          </w:tcPr>
          <w:p w14:paraId="46AD22A3">
            <w:pPr>
              <w:spacing w:line="276" w:lineRule="auto"/>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毕业要求2.教育情怀</w:t>
            </w:r>
          </w:p>
        </w:tc>
        <w:tc>
          <w:tcPr>
            <w:tcW w:w="4977" w:type="dxa"/>
            <w:tcBorders>
              <w:top w:val="single" w:color="auto" w:sz="4" w:space="0"/>
              <w:left w:val="single" w:color="auto" w:sz="4" w:space="0"/>
              <w:bottom w:val="single" w:color="auto" w:sz="4" w:space="0"/>
              <w:right w:val="single" w:color="auto" w:sz="4" w:space="0"/>
            </w:tcBorders>
            <w:vAlign w:val="center"/>
          </w:tcPr>
          <w:p w14:paraId="555FADBF">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222C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47ADD402">
            <w:pPr>
              <w:widowControl/>
              <w:jc w:val="left"/>
              <w:rPr>
                <w:rFonts w:ascii="Times New Roman" w:hAnsi="Times New Roman" w:eastAsia="宋体" w:cs="Times New Roman"/>
                <w:bCs/>
                <w:color w:val="000000"/>
                <w:szCs w:val="21"/>
              </w:rPr>
            </w:pPr>
          </w:p>
        </w:tc>
        <w:tc>
          <w:tcPr>
            <w:tcW w:w="2223" w:type="dxa"/>
            <w:tcBorders>
              <w:top w:val="single" w:color="auto" w:sz="4" w:space="0"/>
              <w:left w:val="single" w:color="auto" w:sz="4" w:space="0"/>
              <w:bottom w:val="single" w:color="auto" w:sz="4" w:space="0"/>
              <w:right w:val="single" w:color="auto" w:sz="4" w:space="0"/>
            </w:tcBorders>
            <w:vAlign w:val="center"/>
          </w:tcPr>
          <w:p w14:paraId="49D1E341">
            <w:pPr>
              <w:spacing w:line="276" w:lineRule="auto"/>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毕业要求6.综合育人</w:t>
            </w:r>
          </w:p>
        </w:tc>
        <w:tc>
          <w:tcPr>
            <w:tcW w:w="4977" w:type="dxa"/>
            <w:tcBorders>
              <w:top w:val="single" w:color="auto" w:sz="4" w:space="0"/>
              <w:left w:val="single" w:color="auto" w:sz="4" w:space="0"/>
              <w:bottom w:val="single" w:color="auto" w:sz="4" w:space="0"/>
              <w:right w:val="single" w:color="auto" w:sz="4" w:space="0"/>
            </w:tcBorders>
            <w:vAlign w:val="center"/>
          </w:tcPr>
          <w:p w14:paraId="65249F5F">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指标点6-1：【遵循身心规律】了解不同年龄以及有特殊需要的小学生的身心发展特点和规律、不同年龄小学生学习的特点，掌握小学生良好行为习惯养成的知识。</w:t>
            </w:r>
          </w:p>
        </w:tc>
      </w:tr>
      <w:tr w14:paraId="05B9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1F107491">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课程目标2</w:t>
            </w:r>
          </w:p>
        </w:tc>
        <w:tc>
          <w:tcPr>
            <w:tcW w:w="2223" w:type="dxa"/>
            <w:tcBorders>
              <w:top w:val="single" w:color="auto" w:sz="4" w:space="0"/>
              <w:left w:val="single" w:color="auto" w:sz="4" w:space="0"/>
              <w:bottom w:val="single" w:color="auto" w:sz="4" w:space="0"/>
              <w:right w:val="single" w:color="auto" w:sz="4" w:space="0"/>
            </w:tcBorders>
            <w:vAlign w:val="center"/>
          </w:tcPr>
          <w:p w14:paraId="193CC0AF">
            <w:pPr>
              <w:widowControl/>
              <w:spacing w:line="260" w:lineRule="exac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毕业要求2：</w:t>
            </w:r>
            <w:r>
              <w:rPr>
                <w:rFonts w:ascii="Times New Roman" w:hAnsi="Times New Roman" w:eastAsia="宋体" w:cs="Times New Roman"/>
                <w:szCs w:val="23"/>
              </w:rPr>
              <w:t>教育情怀</w:t>
            </w:r>
          </w:p>
        </w:tc>
        <w:tc>
          <w:tcPr>
            <w:tcW w:w="4977" w:type="dxa"/>
            <w:tcBorders>
              <w:top w:val="single" w:color="auto" w:sz="4" w:space="0"/>
              <w:left w:val="single" w:color="auto" w:sz="4" w:space="0"/>
              <w:bottom w:val="single" w:color="auto" w:sz="4" w:space="0"/>
              <w:right w:val="single" w:color="auto" w:sz="4" w:space="0"/>
            </w:tcBorders>
            <w:vAlign w:val="center"/>
          </w:tcPr>
          <w:p w14:paraId="059D0FB3">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77B5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067CF664">
            <w:pPr>
              <w:widowControl/>
              <w:jc w:val="left"/>
              <w:rPr>
                <w:rFonts w:ascii="Times New Roman" w:hAnsi="Times New Roman" w:eastAsia="宋体" w:cs="Times New Roman"/>
                <w:color w:val="000000"/>
                <w:szCs w:val="21"/>
              </w:rPr>
            </w:pPr>
          </w:p>
        </w:tc>
        <w:tc>
          <w:tcPr>
            <w:tcW w:w="2223" w:type="dxa"/>
            <w:tcBorders>
              <w:top w:val="single" w:color="auto" w:sz="4" w:space="0"/>
              <w:left w:val="single" w:color="auto" w:sz="4" w:space="0"/>
              <w:bottom w:val="single" w:color="auto" w:sz="4" w:space="0"/>
              <w:right w:val="single" w:color="auto" w:sz="4" w:space="0"/>
            </w:tcBorders>
            <w:vAlign w:val="center"/>
          </w:tcPr>
          <w:p w14:paraId="378663D6">
            <w:pPr>
              <w:spacing w:line="276" w:lineRule="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Cs w:val="21"/>
              </w:rPr>
              <w:t>毕业要求5：</w:t>
            </w:r>
            <w:r>
              <w:rPr>
                <w:rFonts w:ascii="Times New Roman" w:hAnsi="Times New Roman" w:eastAsia="宋体" w:cs="Times New Roman"/>
                <w:szCs w:val="23"/>
              </w:rPr>
              <w:t>班级管理</w:t>
            </w:r>
          </w:p>
        </w:tc>
        <w:tc>
          <w:tcPr>
            <w:tcW w:w="4977" w:type="dxa"/>
            <w:tcBorders>
              <w:top w:val="single" w:color="auto" w:sz="4" w:space="0"/>
              <w:left w:val="single" w:color="auto" w:sz="4" w:space="0"/>
              <w:bottom w:val="single" w:color="auto" w:sz="4" w:space="0"/>
              <w:right w:val="single" w:color="auto" w:sz="4" w:space="0"/>
            </w:tcBorders>
            <w:vAlign w:val="center"/>
          </w:tcPr>
          <w:p w14:paraId="5A772B5B">
            <w:pPr>
              <w:spacing w:line="276" w:lineRule="auto"/>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指标点5-2：【强化德育地位】获得小学德育工作体验，树立德育为先的理念，熟悉小学德育的基本原理与方法。</w:t>
            </w:r>
          </w:p>
          <w:p w14:paraId="3F03E231">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指标点5-3：【重视心理健康教育】获得小学心理健康教育指导体验，参与组织与指导对小学生心理健康教育的科普宣传及心理辅导，掌握小学心理健康教育的基本方法。</w:t>
            </w:r>
          </w:p>
        </w:tc>
      </w:tr>
      <w:tr w14:paraId="09D5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6BA8B292">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 3</w:t>
            </w:r>
          </w:p>
        </w:tc>
        <w:tc>
          <w:tcPr>
            <w:tcW w:w="2223" w:type="dxa"/>
            <w:tcBorders>
              <w:top w:val="single" w:color="auto" w:sz="4" w:space="0"/>
              <w:left w:val="single" w:color="auto" w:sz="4" w:space="0"/>
              <w:bottom w:val="single" w:color="auto" w:sz="4" w:space="0"/>
              <w:right w:val="single" w:color="auto" w:sz="4" w:space="0"/>
            </w:tcBorders>
            <w:vAlign w:val="center"/>
          </w:tcPr>
          <w:p w14:paraId="53AA17C4">
            <w:pPr>
              <w:spacing w:line="276" w:lineRule="auto"/>
              <w:rPr>
                <w:rFonts w:ascii="Times New Roman" w:hAnsi="Times New Roman" w:eastAsia="宋体" w:cs="Times New Roman"/>
                <w:color w:val="000000"/>
                <w:spacing w:val="2"/>
                <w:kern w:val="0"/>
                <w:szCs w:val="21"/>
              </w:rPr>
            </w:pPr>
            <w:r>
              <w:rPr>
                <w:rFonts w:ascii="Times New Roman" w:hAnsi="Times New Roman" w:eastAsia="宋体" w:cs="Times New Roman"/>
                <w:color w:val="000000"/>
                <w:kern w:val="0"/>
                <w:szCs w:val="21"/>
              </w:rPr>
              <w:t>毕业要求5：</w:t>
            </w:r>
            <w:r>
              <w:rPr>
                <w:rFonts w:ascii="Times New Roman" w:hAnsi="Times New Roman" w:eastAsia="宋体" w:cs="Times New Roman"/>
                <w:szCs w:val="23"/>
              </w:rPr>
              <w:t>班级管理</w:t>
            </w:r>
          </w:p>
        </w:tc>
        <w:tc>
          <w:tcPr>
            <w:tcW w:w="4977" w:type="dxa"/>
            <w:tcBorders>
              <w:top w:val="single" w:color="auto" w:sz="4" w:space="0"/>
              <w:left w:val="single" w:color="auto" w:sz="4" w:space="0"/>
              <w:bottom w:val="single" w:color="auto" w:sz="4" w:space="0"/>
              <w:right w:val="single" w:color="auto" w:sz="4" w:space="0"/>
            </w:tcBorders>
            <w:vAlign w:val="center"/>
          </w:tcPr>
          <w:p w14:paraId="589870E0">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指标点5-2：【强化德育地位】获得小学德育工作体验，树立德育为先的理念，熟悉小学德育的基本原理与方法。</w:t>
            </w:r>
          </w:p>
          <w:p w14:paraId="4509EFE8">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指标点5-3：【重视心理健康教育】获得小学心理健康教育指导体验，参与组织与指导对小学生心理健康教育的科普宣传及心理辅导，掌握小学心理健康教育的基本方法。</w:t>
            </w:r>
          </w:p>
        </w:tc>
      </w:tr>
      <w:tr w14:paraId="0254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1132804F">
            <w:pPr>
              <w:widowControl/>
              <w:jc w:val="left"/>
              <w:rPr>
                <w:rFonts w:ascii="Times New Roman" w:hAnsi="Times New Roman" w:eastAsia="宋体" w:cs="Times New Roman"/>
                <w:color w:val="000000"/>
                <w:szCs w:val="21"/>
              </w:rPr>
            </w:pPr>
          </w:p>
        </w:tc>
        <w:tc>
          <w:tcPr>
            <w:tcW w:w="2223" w:type="dxa"/>
            <w:tcBorders>
              <w:top w:val="single" w:color="auto" w:sz="4" w:space="0"/>
              <w:left w:val="single" w:color="auto" w:sz="4" w:space="0"/>
              <w:bottom w:val="single" w:color="auto" w:sz="4" w:space="0"/>
              <w:right w:val="single" w:color="auto" w:sz="4" w:space="0"/>
            </w:tcBorders>
            <w:vAlign w:val="center"/>
          </w:tcPr>
          <w:p w14:paraId="6776F76C">
            <w:pPr>
              <w:spacing w:line="276" w:lineRule="auto"/>
              <w:rPr>
                <w:rFonts w:ascii="Times New Roman" w:hAnsi="Times New Roman" w:eastAsia="宋体" w:cs="Times New Roman"/>
                <w:color w:val="000000"/>
                <w:spacing w:val="2"/>
                <w:kern w:val="0"/>
                <w:szCs w:val="21"/>
              </w:rPr>
            </w:pPr>
            <w:r>
              <w:rPr>
                <w:rFonts w:ascii="Times New Roman" w:hAnsi="Times New Roman" w:eastAsia="宋体" w:cs="Times New Roman"/>
                <w:color w:val="000000"/>
                <w:spacing w:val="2"/>
                <w:kern w:val="0"/>
                <w:szCs w:val="21"/>
              </w:rPr>
              <w:t>毕业要求6：综合育人</w:t>
            </w:r>
          </w:p>
        </w:tc>
        <w:tc>
          <w:tcPr>
            <w:tcW w:w="4977" w:type="dxa"/>
            <w:tcBorders>
              <w:top w:val="single" w:color="auto" w:sz="4" w:space="0"/>
              <w:left w:val="single" w:color="auto" w:sz="4" w:space="0"/>
              <w:bottom w:val="single" w:color="auto" w:sz="4" w:space="0"/>
              <w:right w:val="single" w:color="auto" w:sz="4" w:space="0"/>
            </w:tcBorders>
            <w:vAlign w:val="center"/>
          </w:tcPr>
          <w:p w14:paraId="16F32504">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指标点6-1：【遵循身心规律】了解不同年龄以及有特殊需要的小学生的身心发展特点和规律、不同年龄小学生学习的特点，掌握小学生良好行为习惯养成的知识。</w:t>
            </w:r>
          </w:p>
        </w:tc>
      </w:tr>
      <w:tr w14:paraId="1049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71D9E803">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课程目标4</w:t>
            </w:r>
          </w:p>
        </w:tc>
        <w:tc>
          <w:tcPr>
            <w:tcW w:w="2223" w:type="dxa"/>
            <w:tcBorders>
              <w:top w:val="single" w:color="auto" w:sz="4" w:space="0"/>
              <w:left w:val="single" w:color="auto" w:sz="4" w:space="0"/>
              <w:bottom w:val="single" w:color="auto" w:sz="4" w:space="0"/>
              <w:right w:val="single" w:color="auto" w:sz="4" w:space="0"/>
            </w:tcBorders>
            <w:vAlign w:val="center"/>
          </w:tcPr>
          <w:p w14:paraId="07EEA9B2">
            <w:pPr>
              <w:rPr>
                <w:rFonts w:hint="eastAsia" w:ascii="宋体" w:hAnsi="宋体" w:eastAsia="宋体" w:cs="Times New Roman"/>
                <w:b/>
                <w:color w:val="000000"/>
                <w:kern w:val="0"/>
                <w:szCs w:val="21"/>
              </w:rPr>
            </w:pPr>
            <w:r>
              <w:rPr>
                <w:rFonts w:hint="eastAsia" w:ascii="宋体" w:hAnsi="宋体" w:eastAsia="宋体" w:cs="Times New Roman"/>
                <w:color w:val="000000"/>
                <w:kern w:val="0"/>
                <w:szCs w:val="21"/>
              </w:rPr>
              <w:t>毕业要求8：</w:t>
            </w:r>
            <w:r>
              <w:rPr>
                <w:rFonts w:hint="eastAsia" w:ascii="Calibri" w:hAnsi="Calibri" w:eastAsia="宋体" w:cs="Times New Roman"/>
                <w:szCs w:val="23"/>
              </w:rPr>
              <w:t>沟通合作</w:t>
            </w:r>
          </w:p>
        </w:tc>
        <w:tc>
          <w:tcPr>
            <w:tcW w:w="4977" w:type="dxa"/>
            <w:tcBorders>
              <w:top w:val="single" w:color="auto" w:sz="4" w:space="0"/>
              <w:left w:val="single" w:color="auto" w:sz="4" w:space="0"/>
              <w:bottom w:val="single" w:color="auto" w:sz="4" w:space="0"/>
              <w:right w:val="single" w:color="auto" w:sz="4" w:space="0"/>
            </w:tcBorders>
            <w:vAlign w:val="center"/>
          </w:tcPr>
          <w:p w14:paraId="6D27D65E">
            <w:pPr>
              <w:shd w:val="clear" w:color="auto" w:fill="FFFFFF"/>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指标点8-1：【善于团队合作】理解学习共同体的本质和价值，掌握团队协作的基本策略，在课堂学习与教育实践中获得合作学习体验，形成团队协作精神。</w:t>
            </w:r>
          </w:p>
          <w:p w14:paraId="22882929">
            <w:pPr>
              <w:shd w:val="clear" w:color="auto" w:fill="FFFFFF"/>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指标点8-2：【学会沟通交流】掌握人际沟通合作技能与方法，能与学生和家长以及同行、同事、专家进行有效沟通与合作，实现共同发展。</w:t>
            </w:r>
          </w:p>
        </w:tc>
      </w:tr>
    </w:tbl>
    <w:p w14:paraId="0AA183A9">
      <w:pPr>
        <w:spacing w:line="360" w:lineRule="auto"/>
        <w:rPr>
          <w:rFonts w:ascii="Calibri" w:hAnsi="Calibri" w:eastAsia="宋体" w:cs="Times New Roman"/>
          <w:b/>
          <w:sz w:val="28"/>
          <w:szCs w:val="28"/>
        </w:rPr>
      </w:pPr>
    </w:p>
    <w:p w14:paraId="0129FF4F">
      <w:pPr>
        <w:spacing w:line="360" w:lineRule="auto"/>
        <w:rPr>
          <w:rFonts w:ascii="Calibri" w:hAnsi="Calibri" w:eastAsia="宋体" w:cs="Times New Roman"/>
          <w:sz w:val="24"/>
        </w:rPr>
      </w:pPr>
      <w:r>
        <w:rPr>
          <w:rFonts w:hint="eastAsia" w:ascii="Calibri" w:hAnsi="Calibri" w:eastAsia="宋体" w:cs="Times New Roman"/>
          <w:b/>
          <w:sz w:val="28"/>
          <w:szCs w:val="28"/>
        </w:rPr>
        <w:t>三、课程内容及要求</w:t>
      </w:r>
    </w:p>
    <w:p w14:paraId="0DADE9CC">
      <w:pPr>
        <w:spacing w:line="360" w:lineRule="auto"/>
        <w:rPr>
          <w:rFonts w:ascii="Calibri" w:hAnsi="Calibri" w:eastAsia="宋体" w:cs="Times New Roman"/>
          <w:b/>
          <w:sz w:val="24"/>
        </w:rPr>
      </w:pPr>
      <w:r>
        <w:rPr>
          <w:rFonts w:hint="eastAsia" w:ascii="Calibri" w:hAnsi="Calibri" w:eastAsia="宋体" w:cs="Times New Roman"/>
          <w:b/>
          <w:sz w:val="24"/>
        </w:rPr>
        <w:t>（一）绪论（本模块各知识点的讲授与学习，可以支撑课程目标</w:t>
      </w:r>
      <w:r>
        <w:rPr>
          <w:rFonts w:ascii="Times New Roman" w:hAnsi="Times New Roman" w:eastAsia="宋体" w:cs="Times New Roman"/>
          <w:b/>
          <w:sz w:val="24"/>
        </w:rPr>
        <w:t>1</w:t>
      </w:r>
      <w:r>
        <w:rPr>
          <w:rFonts w:hint="eastAsia" w:ascii="Calibri" w:hAnsi="Calibri" w:eastAsia="宋体" w:cs="Times New Roman"/>
          <w:b/>
          <w:sz w:val="24"/>
        </w:rPr>
        <w:t>）</w:t>
      </w:r>
    </w:p>
    <w:p w14:paraId="775AE98D">
      <w:pPr>
        <w:spacing w:line="360" w:lineRule="auto"/>
        <w:rPr>
          <w:rFonts w:ascii="Times New Roman" w:hAnsi="Times New Roman" w:eastAsia="宋体" w:cs="Times New Roman"/>
          <w:sz w:val="24"/>
        </w:rPr>
      </w:pPr>
      <w:r>
        <w:rPr>
          <w:rFonts w:ascii="Times New Roman" w:hAnsi="Times New Roman" w:eastAsia="宋体" w:cs="Times New Roman"/>
          <w:b/>
          <w:bCs/>
          <w:sz w:val="24"/>
        </w:rPr>
        <w:t>1.学习内容</w:t>
      </w:r>
      <w:r>
        <w:rPr>
          <w:rFonts w:ascii="Times New Roman" w:hAnsi="Times New Roman" w:eastAsia="宋体" w:cs="Times New Roman"/>
          <w:sz w:val="24"/>
        </w:rPr>
        <w:t>：</w:t>
      </w:r>
    </w:p>
    <w:p w14:paraId="3AE34D2D">
      <w:pPr>
        <w:spacing w:line="360" w:lineRule="auto"/>
        <w:rPr>
          <w:rFonts w:ascii="Times New Roman" w:hAnsi="Times New Roman" w:eastAsia="宋体" w:cs="Times New Roman"/>
          <w:sz w:val="24"/>
        </w:rPr>
      </w:pPr>
      <w:r>
        <w:rPr>
          <w:rFonts w:ascii="Times New Roman" w:hAnsi="Times New Roman" w:eastAsia="宋体" w:cs="Times New Roman"/>
          <w:sz w:val="24"/>
        </w:rPr>
        <w:t>（1）小学生心理辅导的意义</w:t>
      </w:r>
    </w:p>
    <w:p w14:paraId="440078B6">
      <w:pPr>
        <w:spacing w:line="360" w:lineRule="auto"/>
        <w:rPr>
          <w:rFonts w:ascii="Times New Roman" w:hAnsi="Times New Roman" w:eastAsia="宋体" w:cs="Times New Roman"/>
          <w:sz w:val="24"/>
        </w:rPr>
      </w:pPr>
      <w:r>
        <w:rPr>
          <w:rFonts w:ascii="Times New Roman" w:hAnsi="Times New Roman" w:eastAsia="宋体" w:cs="Times New Roman"/>
          <w:sz w:val="24"/>
        </w:rPr>
        <w:t>（2）小学生心理辅导的内涵</w:t>
      </w:r>
    </w:p>
    <w:p w14:paraId="2A460192">
      <w:pPr>
        <w:spacing w:line="360" w:lineRule="auto"/>
        <w:rPr>
          <w:rFonts w:ascii="Times New Roman" w:hAnsi="Times New Roman" w:eastAsia="宋体" w:cs="Times New Roman"/>
          <w:sz w:val="24"/>
        </w:rPr>
      </w:pPr>
      <w:r>
        <w:rPr>
          <w:rFonts w:ascii="Times New Roman" w:hAnsi="Times New Roman" w:eastAsia="宋体" w:cs="Times New Roman"/>
          <w:sz w:val="24"/>
        </w:rPr>
        <w:t>（3）小学生心理辅导的目标</w:t>
      </w:r>
    </w:p>
    <w:p w14:paraId="669EFC1A">
      <w:pPr>
        <w:spacing w:line="360" w:lineRule="auto"/>
        <w:rPr>
          <w:rFonts w:ascii="Times New Roman" w:hAnsi="Times New Roman" w:eastAsia="宋体" w:cs="Times New Roman"/>
          <w:sz w:val="24"/>
        </w:rPr>
      </w:pPr>
      <w:r>
        <w:rPr>
          <w:rFonts w:ascii="Times New Roman" w:hAnsi="Times New Roman" w:eastAsia="宋体" w:cs="Times New Roman"/>
          <w:sz w:val="24"/>
        </w:rPr>
        <w:t>（4）小学生心理辅导的对象与内容</w:t>
      </w:r>
    </w:p>
    <w:p w14:paraId="1856ED8C">
      <w:pPr>
        <w:spacing w:line="360" w:lineRule="auto"/>
        <w:rPr>
          <w:rFonts w:ascii="Times New Roman" w:hAnsi="Times New Roman" w:eastAsia="宋体" w:cs="Times New Roman"/>
          <w:sz w:val="24"/>
        </w:rPr>
      </w:pPr>
      <w:r>
        <w:rPr>
          <w:rFonts w:ascii="Times New Roman" w:hAnsi="Times New Roman" w:eastAsia="宋体" w:cs="Times New Roman"/>
          <w:sz w:val="24"/>
        </w:rPr>
        <w:t>（5）小学生心理辅导的原则</w:t>
      </w:r>
    </w:p>
    <w:p w14:paraId="164A8151">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314321D0">
      <w:pPr>
        <w:spacing w:line="360" w:lineRule="auto"/>
        <w:rPr>
          <w:rFonts w:ascii="Times New Roman" w:hAnsi="Times New Roman" w:eastAsia="宋体" w:cs="Times New Roman"/>
          <w:sz w:val="24"/>
        </w:rPr>
      </w:pPr>
      <w:r>
        <w:rPr>
          <w:rFonts w:ascii="Times New Roman" w:hAnsi="Times New Roman" w:eastAsia="宋体" w:cs="Times New Roman"/>
          <w:sz w:val="24"/>
        </w:rPr>
        <w:t>（1）了解小学生心理辅导的意义，掌握小学生心理辅导的目标与对象</w:t>
      </w:r>
    </w:p>
    <w:p w14:paraId="1DC7A89D">
      <w:pPr>
        <w:spacing w:line="360" w:lineRule="auto"/>
        <w:rPr>
          <w:rFonts w:ascii="Times New Roman" w:hAnsi="Times New Roman" w:eastAsia="宋体" w:cs="Times New Roman"/>
          <w:sz w:val="24"/>
        </w:rPr>
      </w:pPr>
      <w:r>
        <w:rPr>
          <w:rFonts w:ascii="Times New Roman" w:hAnsi="Times New Roman" w:eastAsia="宋体" w:cs="Times New Roman"/>
          <w:sz w:val="24"/>
        </w:rPr>
        <w:t>（2）理解小学生心理辅导的原则和内涵，</w:t>
      </w:r>
      <w:bookmarkStart w:id="171" w:name="_Hlk22499516"/>
      <w:r>
        <w:rPr>
          <w:rFonts w:ascii="Times New Roman" w:hAnsi="Times New Roman" w:eastAsia="宋体" w:cs="Times New Roman"/>
          <w:sz w:val="24"/>
        </w:rPr>
        <w:t>形成正确的小学生心理辅导理念</w:t>
      </w:r>
      <w:bookmarkEnd w:id="171"/>
    </w:p>
    <w:p w14:paraId="08866BA7">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教学重点：</w:t>
      </w:r>
      <w:r>
        <w:rPr>
          <w:rFonts w:ascii="Times New Roman" w:hAnsi="Times New Roman" w:eastAsia="宋体" w:cs="Times New Roman"/>
          <w:sz w:val="24"/>
        </w:rPr>
        <w:t>理解小学生心理辅导的原则和内涵</w:t>
      </w:r>
    </w:p>
    <w:p w14:paraId="45D43507">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教学难点：</w:t>
      </w:r>
      <w:r>
        <w:rPr>
          <w:rFonts w:ascii="Times New Roman" w:hAnsi="Times New Roman" w:eastAsia="宋体" w:cs="Times New Roman"/>
          <w:sz w:val="24"/>
        </w:rPr>
        <w:t>形成正确的小学生心理辅导理念</w:t>
      </w:r>
    </w:p>
    <w:p w14:paraId="0BBA32CF">
      <w:pPr>
        <w:spacing w:line="360" w:lineRule="auto"/>
        <w:rPr>
          <w:rFonts w:ascii="Times New Roman" w:hAnsi="Times New Roman" w:eastAsia="宋体" w:cs="Times New Roman"/>
          <w:b/>
          <w:sz w:val="24"/>
        </w:rPr>
      </w:pPr>
      <w:r>
        <w:rPr>
          <w:rFonts w:ascii="Times New Roman" w:hAnsi="Times New Roman" w:eastAsia="宋体" w:cs="Times New Roman"/>
          <w:b/>
          <w:sz w:val="24"/>
        </w:rPr>
        <w:t>（二）小学生心理辅导的基本理论（本模块各知识点的讲授与学习，可以支撑课程目标2、课程目标3）</w:t>
      </w:r>
    </w:p>
    <w:p w14:paraId="596EE7B1">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6466241C">
      <w:pPr>
        <w:spacing w:line="360" w:lineRule="auto"/>
        <w:rPr>
          <w:rFonts w:ascii="Times New Roman" w:hAnsi="Times New Roman" w:eastAsia="宋体" w:cs="Times New Roman"/>
          <w:sz w:val="24"/>
        </w:rPr>
      </w:pPr>
      <w:r>
        <w:rPr>
          <w:rFonts w:ascii="Times New Roman" w:hAnsi="Times New Roman" w:eastAsia="宋体" w:cs="Times New Roman"/>
          <w:sz w:val="24"/>
        </w:rPr>
        <w:t>（1）精神分析理论</w:t>
      </w:r>
    </w:p>
    <w:p w14:paraId="0EFDC707">
      <w:pPr>
        <w:spacing w:line="360" w:lineRule="auto"/>
        <w:rPr>
          <w:rFonts w:ascii="Times New Roman" w:hAnsi="Times New Roman" w:eastAsia="宋体" w:cs="Times New Roman"/>
          <w:sz w:val="24"/>
        </w:rPr>
      </w:pPr>
      <w:r>
        <w:rPr>
          <w:rFonts w:ascii="Times New Roman" w:hAnsi="Times New Roman" w:eastAsia="宋体" w:cs="Times New Roman"/>
          <w:sz w:val="24"/>
        </w:rPr>
        <w:t>（2）行为主义理论</w:t>
      </w:r>
    </w:p>
    <w:p w14:paraId="7D8779A9">
      <w:pPr>
        <w:spacing w:line="360" w:lineRule="auto"/>
        <w:rPr>
          <w:rFonts w:ascii="Times New Roman" w:hAnsi="Times New Roman" w:eastAsia="宋体" w:cs="Times New Roman"/>
          <w:sz w:val="24"/>
        </w:rPr>
      </w:pPr>
      <w:r>
        <w:rPr>
          <w:rFonts w:ascii="Times New Roman" w:hAnsi="Times New Roman" w:eastAsia="宋体" w:cs="Times New Roman"/>
          <w:sz w:val="24"/>
        </w:rPr>
        <w:t>（3）理性情绪咨询理论</w:t>
      </w:r>
    </w:p>
    <w:p w14:paraId="08BDF3E4">
      <w:pPr>
        <w:spacing w:line="360" w:lineRule="auto"/>
        <w:rPr>
          <w:rFonts w:ascii="Times New Roman" w:hAnsi="Times New Roman" w:eastAsia="宋体" w:cs="Times New Roman"/>
          <w:sz w:val="24"/>
        </w:rPr>
      </w:pPr>
      <w:r>
        <w:rPr>
          <w:rFonts w:ascii="Times New Roman" w:hAnsi="Times New Roman" w:eastAsia="宋体" w:cs="Times New Roman"/>
          <w:sz w:val="24"/>
        </w:rPr>
        <w:t>（4）以人为中心的咨询理论</w:t>
      </w:r>
    </w:p>
    <w:p w14:paraId="3834DD08">
      <w:pPr>
        <w:spacing w:line="360" w:lineRule="auto"/>
        <w:rPr>
          <w:rFonts w:ascii="Times New Roman" w:hAnsi="Times New Roman" w:eastAsia="宋体" w:cs="Times New Roman"/>
          <w:sz w:val="24"/>
        </w:rPr>
      </w:pPr>
      <w:r>
        <w:rPr>
          <w:rFonts w:ascii="Times New Roman" w:hAnsi="Times New Roman" w:eastAsia="宋体" w:cs="Times New Roman"/>
          <w:sz w:val="24"/>
        </w:rPr>
        <w:t>（5）群体动力理论</w:t>
      </w:r>
    </w:p>
    <w:p w14:paraId="0976EA88">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28B5D90A">
      <w:pPr>
        <w:spacing w:line="360" w:lineRule="auto"/>
        <w:rPr>
          <w:rFonts w:ascii="Times New Roman" w:hAnsi="Times New Roman" w:eastAsia="宋体" w:cs="Times New Roman"/>
          <w:sz w:val="24"/>
        </w:rPr>
      </w:pPr>
      <w:r>
        <w:rPr>
          <w:rFonts w:ascii="Times New Roman" w:hAnsi="Times New Roman" w:eastAsia="宋体" w:cs="Times New Roman"/>
          <w:sz w:val="24"/>
        </w:rPr>
        <w:t>（1）了解群体动力理论，理解各理论流派在小学生心理辅导中的适用性</w:t>
      </w:r>
    </w:p>
    <w:p w14:paraId="0355F014">
      <w:pPr>
        <w:spacing w:line="360" w:lineRule="auto"/>
        <w:rPr>
          <w:rFonts w:ascii="Times New Roman" w:hAnsi="Times New Roman" w:eastAsia="宋体" w:cs="Times New Roman"/>
          <w:sz w:val="24"/>
        </w:rPr>
      </w:pPr>
      <w:r>
        <w:rPr>
          <w:rFonts w:ascii="Times New Roman" w:hAnsi="Times New Roman" w:eastAsia="宋体" w:cs="Times New Roman"/>
          <w:sz w:val="24"/>
        </w:rPr>
        <w:t>（2）掌握行为主义理论和理性情绪理论，能</w:t>
      </w:r>
      <w:bookmarkStart w:id="172" w:name="_Hlk22499862"/>
      <w:r>
        <w:rPr>
          <w:rFonts w:ascii="Times New Roman" w:hAnsi="Times New Roman" w:eastAsia="宋体" w:cs="Times New Roman"/>
          <w:sz w:val="24"/>
        </w:rPr>
        <w:t>设计与相关理论相应的小学生心理辅导活动</w:t>
      </w:r>
      <w:bookmarkEnd w:id="172"/>
    </w:p>
    <w:p w14:paraId="661B16CE">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掌握行为主义理论和理性情绪理论</w:t>
      </w:r>
    </w:p>
    <w:p w14:paraId="3524CB6F">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设计与相关理论相应的小学生心理辅导活动</w:t>
      </w:r>
    </w:p>
    <w:p w14:paraId="738CE93A">
      <w:pPr>
        <w:spacing w:line="360" w:lineRule="auto"/>
        <w:rPr>
          <w:rFonts w:ascii="Times New Roman" w:hAnsi="Times New Roman" w:eastAsia="宋体" w:cs="Times New Roman"/>
          <w:b/>
          <w:sz w:val="24"/>
        </w:rPr>
      </w:pPr>
      <w:r>
        <w:rPr>
          <w:rFonts w:ascii="Times New Roman" w:hAnsi="Times New Roman" w:eastAsia="宋体" w:cs="Times New Roman"/>
          <w:b/>
          <w:sz w:val="24"/>
        </w:rPr>
        <w:t>（三）小学生心理辅导的基本技术（本模块各知识点的讲授与学习，可以支撑课程目标3</w:t>
      </w:r>
      <w:r>
        <w:rPr>
          <w:rFonts w:ascii="Times New Roman" w:hAnsi="Times New Roman" w:eastAsia="宋体" w:cs="Times New Roman"/>
          <w:color w:val="000000"/>
          <w:szCs w:val="21"/>
        </w:rPr>
        <w:t>、</w:t>
      </w:r>
      <w:r>
        <w:rPr>
          <w:rFonts w:ascii="Times New Roman" w:hAnsi="Times New Roman" w:eastAsia="宋体" w:cs="Times New Roman"/>
          <w:b/>
          <w:sz w:val="24"/>
        </w:rPr>
        <w:t>课程目标4）</w:t>
      </w:r>
    </w:p>
    <w:p w14:paraId="1934DB08">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6F9295F3">
      <w:pPr>
        <w:spacing w:line="360" w:lineRule="auto"/>
        <w:rPr>
          <w:rFonts w:ascii="Times New Roman" w:hAnsi="Times New Roman" w:eastAsia="宋体" w:cs="Times New Roman"/>
          <w:sz w:val="24"/>
        </w:rPr>
      </w:pPr>
      <w:r>
        <w:rPr>
          <w:rFonts w:ascii="Times New Roman" w:hAnsi="Times New Roman" w:eastAsia="宋体" w:cs="Times New Roman"/>
          <w:sz w:val="24"/>
        </w:rPr>
        <w:t>（1）心理辅导关系建立技术</w:t>
      </w:r>
    </w:p>
    <w:p w14:paraId="2806F2F1">
      <w:pPr>
        <w:spacing w:line="360" w:lineRule="auto"/>
        <w:rPr>
          <w:rFonts w:ascii="Times New Roman" w:hAnsi="Times New Roman" w:eastAsia="宋体" w:cs="Times New Roman"/>
          <w:sz w:val="24"/>
        </w:rPr>
      </w:pPr>
      <w:r>
        <w:rPr>
          <w:rFonts w:ascii="Times New Roman" w:hAnsi="Times New Roman" w:eastAsia="宋体" w:cs="Times New Roman"/>
          <w:sz w:val="24"/>
        </w:rPr>
        <w:t>（2）晤谈技术</w:t>
      </w:r>
    </w:p>
    <w:p w14:paraId="5E41E49D">
      <w:pPr>
        <w:spacing w:line="360" w:lineRule="auto"/>
        <w:rPr>
          <w:rFonts w:ascii="Times New Roman" w:hAnsi="Times New Roman" w:eastAsia="宋体" w:cs="Times New Roman"/>
          <w:sz w:val="24"/>
        </w:rPr>
      </w:pPr>
      <w:r>
        <w:rPr>
          <w:rFonts w:ascii="Times New Roman" w:hAnsi="Times New Roman" w:eastAsia="宋体" w:cs="Times New Roman"/>
          <w:sz w:val="24"/>
        </w:rPr>
        <w:t>（3）心理评估技术</w:t>
      </w:r>
    </w:p>
    <w:p w14:paraId="0B3796E0">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73517589">
      <w:pPr>
        <w:spacing w:line="360" w:lineRule="auto"/>
        <w:rPr>
          <w:rFonts w:ascii="Times New Roman" w:hAnsi="Times New Roman" w:eastAsia="宋体" w:cs="Times New Roman"/>
          <w:sz w:val="24"/>
        </w:rPr>
      </w:pPr>
      <w:r>
        <w:rPr>
          <w:rFonts w:ascii="Times New Roman" w:hAnsi="Times New Roman" w:eastAsia="宋体" w:cs="Times New Roman"/>
          <w:sz w:val="24"/>
        </w:rPr>
        <w:t>（1）了解上小学生心理辅导的基本技术的构成，</w:t>
      </w:r>
      <w:bookmarkStart w:id="173" w:name="_Hlk22500140"/>
      <w:r>
        <w:rPr>
          <w:rFonts w:ascii="Times New Roman" w:hAnsi="Times New Roman" w:eastAsia="宋体" w:cs="Times New Roman"/>
          <w:sz w:val="24"/>
        </w:rPr>
        <w:t>理解心理辅导技术的流程</w:t>
      </w:r>
      <w:bookmarkEnd w:id="173"/>
    </w:p>
    <w:p w14:paraId="7ED333A7">
      <w:pPr>
        <w:spacing w:line="360" w:lineRule="auto"/>
        <w:rPr>
          <w:rFonts w:ascii="Times New Roman" w:hAnsi="Times New Roman" w:eastAsia="宋体" w:cs="Times New Roman"/>
          <w:sz w:val="24"/>
        </w:rPr>
      </w:pPr>
      <w:r>
        <w:rPr>
          <w:rFonts w:ascii="Times New Roman" w:hAnsi="Times New Roman" w:eastAsia="宋体" w:cs="Times New Roman"/>
          <w:sz w:val="24"/>
        </w:rPr>
        <w:t>（2）掌握心理辅导关系的建立、晤谈技术的基本要点，能运用心理评估技术对小学生进行初步的心理评估</w:t>
      </w:r>
    </w:p>
    <w:p w14:paraId="35D726E9">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理解心理辅导技术的流程，掌握心理辅导关系的建立、晤谈技术的基本要点</w:t>
      </w:r>
    </w:p>
    <w:p w14:paraId="3A5E9E00">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掌握心理辅导关系的建立、晤谈技术的基本要点</w:t>
      </w:r>
    </w:p>
    <w:p w14:paraId="54D84F0B">
      <w:pPr>
        <w:spacing w:line="360" w:lineRule="auto"/>
        <w:rPr>
          <w:rFonts w:ascii="Times New Roman" w:hAnsi="Times New Roman" w:eastAsia="宋体" w:cs="Times New Roman"/>
          <w:b/>
          <w:sz w:val="24"/>
        </w:rPr>
      </w:pPr>
      <w:r>
        <w:rPr>
          <w:rFonts w:ascii="Times New Roman" w:hAnsi="Times New Roman" w:eastAsia="宋体" w:cs="Times New Roman"/>
          <w:b/>
          <w:sz w:val="24"/>
        </w:rPr>
        <w:t>（四）小学生常见的心理问题及其辅导（本模块各知识点的讲授与学习，可以支撑课程目标3）</w:t>
      </w:r>
    </w:p>
    <w:p w14:paraId="20F4B01D">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69A5591C">
      <w:pPr>
        <w:spacing w:line="360" w:lineRule="auto"/>
        <w:rPr>
          <w:rFonts w:ascii="Times New Roman" w:hAnsi="Times New Roman" w:eastAsia="宋体" w:cs="Times New Roman"/>
          <w:sz w:val="24"/>
        </w:rPr>
      </w:pPr>
      <w:r>
        <w:rPr>
          <w:rFonts w:ascii="Times New Roman" w:hAnsi="Times New Roman" w:eastAsia="宋体" w:cs="Times New Roman"/>
          <w:sz w:val="24"/>
        </w:rPr>
        <w:t>（1）小学生认知心理问题及其辅导</w:t>
      </w:r>
    </w:p>
    <w:p w14:paraId="3873A417">
      <w:pPr>
        <w:spacing w:line="360" w:lineRule="auto"/>
        <w:rPr>
          <w:rFonts w:ascii="Times New Roman" w:hAnsi="Times New Roman" w:eastAsia="宋体" w:cs="Times New Roman"/>
          <w:sz w:val="24"/>
        </w:rPr>
      </w:pPr>
      <w:r>
        <w:rPr>
          <w:rFonts w:ascii="Times New Roman" w:hAnsi="Times New Roman" w:eastAsia="宋体" w:cs="Times New Roman"/>
          <w:sz w:val="24"/>
        </w:rPr>
        <w:t>（2）小学生学习心理问题及其辅导</w:t>
      </w:r>
    </w:p>
    <w:p w14:paraId="1B9B1A3D">
      <w:pPr>
        <w:spacing w:line="360" w:lineRule="auto"/>
        <w:rPr>
          <w:rFonts w:ascii="Times New Roman" w:hAnsi="Times New Roman" w:eastAsia="宋体" w:cs="Times New Roman"/>
          <w:sz w:val="24"/>
        </w:rPr>
      </w:pPr>
      <w:r>
        <w:rPr>
          <w:rFonts w:ascii="Times New Roman" w:hAnsi="Times New Roman" w:eastAsia="宋体" w:cs="Times New Roman"/>
          <w:sz w:val="24"/>
        </w:rPr>
        <w:t>（3）小学生人际交往心理问题及其辅导</w:t>
      </w:r>
    </w:p>
    <w:p w14:paraId="24D276E0">
      <w:pPr>
        <w:spacing w:line="360" w:lineRule="auto"/>
        <w:rPr>
          <w:rFonts w:ascii="Times New Roman" w:hAnsi="Times New Roman" w:eastAsia="宋体" w:cs="Times New Roman"/>
          <w:sz w:val="24"/>
        </w:rPr>
      </w:pPr>
      <w:r>
        <w:rPr>
          <w:rFonts w:ascii="Times New Roman" w:hAnsi="Times New Roman" w:eastAsia="宋体" w:cs="Times New Roman"/>
          <w:sz w:val="24"/>
        </w:rPr>
        <w:t>（4）小学生情绪、意志心理问题及其辅导</w:t>
      </w:r>
    </w:p>
    <w:p w14:paraId="1B397A15">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399D71EA">
      <w:pPr>
        <w:spacing w:line="360" w:lineRule="auto"/>
        <w:rPr>
          <w:rFonts w:ascii="Times New Roman" w:hAnsi="Times New Roman" w:eastAsia="宋体" w:cs="Times New Roman"/>
          <w:sz w:val="24"/>
        </w:rPr>
      </w:pPr>
      <w:r>
        <w:rPr>
          <w:rFonts w:ascii="Times New Roman" w:hAnsi="Times New Roman" w:eastAsia="宋体" w:cs="Times New Roman"/>
          <w:sz w:val="24"/>
        </w:rPr>
        <w:t>（1）了解小学生常见的各类心理问题的表现，学会分析影响小学生心理问题的各类因素，并能提出辅导建议</w:t>
      </w:r>
    </w:p>
    <w:p w14:paraId="263BCE9E">
      <w:pPr>
        <w:spacing w:line="360" w:lineRule="auto"/>
        <w:rPr>
          <w:rFonts w:ascii="Times New Roman" w:hAnsi="Times New Roman" w:eastAsia="宋体" w:cs="Times New Roman"/>
          <w:sz w:val="24"/>
        </w:rPr>
      </w:pPr>
      <w:r>
        <w:rPr>
          <w:rFonts w:ascii="Times New Roman" w:hAnsi="Times New Roman" w:eastAsia="宋体" w:cs="Times New Roman"/>
          <w:sz w:val="24"/>
        </w:rPr>
        <w:t>（2）掌握小学生各类心理问题的辅导方法，能设计小学生心理问题辅导的方案并能加以实施</w:t>
      </w:r>
    </w:p>
    <w:p w14:paraId="354ED8B6">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分析影响小学生心理问题的各类因素，并能提出辅导建议</w:t>
      </w:r>
    </w:p>
    <w:p w14:paraId="647D78A4">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教学难点：</w:t>
      </w:r>
      <w:r>
        <w:rPr>
          <w:rFonts w:ascii="Times New Roman" w:hAnsi="Times New Roman" w:eastAsia="宋体" w:cs="Times New Roman"/>
          <w:sz w:val="24"/>
        </w:rPr>
        <w:t>设计小学生心理问题辅导的方案并能加以实施</w:t>
      </w:r>
    </w:p>
    <w:p w14:paraId="1B0CC0B4">
      <w:pPr>
        <w:spacing w:line="360" w:lineRule="auto"/>
        <w:rPr>
          <w:rFonts w:ascii="Times New Roman" w:hAnsi="Times New Roman" w:eastAsia="宋体" w:cs="Times New Roman"/>
          <w:b/>
          <w:sz w:val="24"/>
        </w:rPr>
      </w:pPr>
      <w:r>
        <w:rPr>
          <w:rFonts w:ascii="Times New Roman" w:hAnsi="Times New Roman" w:eastAsia="宋体" w:cs="Times New Roman"/>
          <w:b/>
          <w:sz w:val="24"/>
        </w:rPr>
        <w:t>（五）小学生问题行为的甄别与干预（本模块各知识点的讲授与学习，可以支撑课程目标3）</w:t>
      </w:r>
    </w:p>
    <w:p w14:paraId="77878FC1">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2246555C">
      <w:pPr>
        <w:spacing w:line="360" w:lineRule="auto"/>
        <w:rPr>
          <w:rFonts w:ascii="Times New Roman" w:hAnsi="Times New Roman" w:eastAsia="宋体" w:cs="Times New Roman"/>
          <w:sz w:val="24"/>
        </w:rPr>
      </w:pPr>
      <w:r>
        <w:rPr>
          <w:rFonts w:ascii="Times New Roman" w:hAnsi="Times New Roman" w:eastAsia="宋体" w:cs="Times New Roman"/>
          <w:sz w:val="24"/>
        </w:rPr>
        <w:t>（1）问题行为的概述</w:t>
      </w:r>
    </w:p>
    <w:p w14:paraId="6419B19B">
      <w:pPr>
        <w:spacing w:line="360" w:lineRule="auto"/>
        <w:rPr>
          <w:rFonts w:ascii="Times New Roman" w:hAnsi="Times New Roman" w:eastAsia="宋体" w:cs="Times New Roman"/>
          <w:sz w:val="24"/>
        </w:rPr>
      </w:pPr>
      <w:r>
        <w:rPr>
          <w:rFonts w:ascii="Times New Roman" w:hAnsi="Times New Roman" w:eastAsia="宋体" w:cs="Times New Roman"/>
          <w:sz w:val="24"/>
        </w:rPr>
        <w:t>（2）品行问题的甄别与干预</w:t>
      </w:r>
    </w:p>
    <w:p w14:paraId="2AB9546E">
      <w:pPr>
        <w:spacing w:line="360" w:lineRule="auto"/>
        <w:rPr>
          <w:rFonts w:ascii="Times New Roman" w:hAnsi="Times New Roman" w:eastAsia="宋体" w:cs="Times New Roman"/>
          <w:sz w:val="24"/>
        </w:rPr>
      </w:pPr>
      <w:r>
        <w:rPr>
          <w:rFonts w:ascii="Times New Roman" w:hAnsi="Times New Roman" w:eastAsia="宋体" w:cs="Times New Roman"/>
          <w:sz w:val="24"/>
        </w:rPr>
        <w:t>（3）不良行为习惯的甄别与干预</w:t>
      </w:r>
    </w:p>
    <w:p w14:paraId="7A526AFF">
      <w:pPr>
        <w:spacing w:line="360" w:lineRule="auto"/>
        <w:rPr>
          <w:rFonts w:ascii="Times New Roman" w:hAnsi="Times New Roman" w:eastAsia="宋体" w:cs="Times New Roman"/>
          <w:sz w:val="24"/>
        </w:rPr>
      </w:pPr>
      <w:r>
        <w:rPr>
          <w:rFonts w:ascii="Times New Roman" w:hAnsi="Times New Roman" w:eastAsia="宋体" w:cs="Times New Roman"/>
          <w:sz w:val="24"/>
        </w:rPr>
        <w:t>（4）退缩行为的甄别与干预</w:t>
      </w:r>
    </w:p>
    <w:p w14:paraId="3BB805A4">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376C78D5">
      <w:pPr>
        <w:spacing w:line="360" w:lineRule="auto"/>
        <w:rPr>
          <w:rFonts w:ascii="Times New Roman" w:hAnsi="Times New Roman" w:eastAsia="宋体" w:cs="Times New Roman"/>
          <w:sz w:val="24"/>
        </w:rPr>
      </w:pPr>
      <w:r>
        <w:rPr>
          <w:rFonts w:ascii="Times New Roman" w:hAnsi="Times New Roman" w:eastAsia="宋体" w:cs="Times New Roman"/>
          <w:sz w:val="24"/>
        </w:rPr>
        <w:t>（1）</w:t>
      </w:r>
      <w:bookmarkStart w:id="174" w:name="_Hlk22500869"/>
      <w:r>
        <w:rPr>
          <w:rFonts w:ascii="Times New Roman" w:hAnsi="Times New Roman" w:eastAsia="宋体" w:cs="Times New Roman"/>
          <w:sz w:val="24"/>
        </w:rPr>
        <w:t>理解问题行为的涵义和分类，掌握各类问题行为的特征</w:t>
      </w:r>
      <w:bookmarkEnd w:id="174"/>
    </w:p>
    <w:p w14:paraId="525121E7">
      <w:pPr>
        <w:spacing w:line="360" w:lineRule="auto"/>
        <w:rPr>
          <w:rFonts w:ascii="Times New Roman" w:hAnsi="Times New Roman" w:eastAsia="宋体" w:cs="Times New Roman"/>
          <w:sz w:val="24"/>
        </w:rPr>
      </w:pPr>
      <w:r>
        <w:rPr>
          <w:rFonts w:ascii="Times New Roman" w:hAnsi="Times New Roman" w:eastAsia="宋体" w:cs="Times New Roman"/>
          <w:sz w:val="24"/>
        </w:rPr>
        <w:t>（2）了解小学生问题各类问题行为的甄别方法，能针对不同的问题行为提出辅导建议</w:t>
      </w:r>
    </w:p>
    <w:p w14:paraId="66B4E542">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教学重点：</w:t>
      </w:r>
      <w:r>
        <w:rPr>
          <w:rFonts w:ascii="Times New Roman" w:hAnsi="Times New Roman" w:eastAsia="宋体" w:cs="Times New Roman"/>
          <w:sz w:val="24"/>
        </w:rPr>
        <w:t>理解问题行为的涵义和分类，掌握各类问题行为的特征</w:t>
      </w:r>
    </w:p>
    <w:p w14:paraId="6E1D36AE">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教学难点：</w:t>
      </w:r>
      <w:r>
        <w:rPr>
          <w:rFonts w:ascii="Times New Roman" w:hAnsi="Times New Roman" w:eastAsia="宋体" w:cs="Times New Roman"/>
          <w:sz w:val="24"/>
        </w:rPr>
        <w:t>针对不同的问题行为提出辅导建议</w:t>
      </w:r>
    </w:p>
    <w:p w14:paraId="7E4FA413">
      <w:pPr>
        <w:spacing w:line="360" w:lineRule="auto"/>
        <w:rPr>
          <w:rFonts w:ascii="Times New Roman" w:hAnsi="Times New Roman" w:eastAsia="宋体" w:cs="Times New Roman"/>
          <w:b/>
          <w:sz w:val="24"/>
        </w:rPr>
      </w:pPr>
      <w:r>
        <w:rPr>
          <w:rFonts w:ascii="Times New Roman" w:hAnsi="Times New Roman" w:eastAsia="宋体" w:cs="Times New Roman"/>
          <w:b/>
          <w:sz w:val="24"/>
        </w:rPr>
        <w:t>（六）小学生心理障碍的甄别与干预（本模块各知识点的讲授与学习，可以支撑课程目标3）</w:t>
      </w:r>
    </w:p>
    <w:p w14:paraId="14C8160D">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45A25A1A">
      <w:pPr>
        <w:spacing w:line="360" w:lineRule="auto"/>
        <w:rPr>
          <w:rFonts w:ascii="Times New Roman" w:hAnsi="Times New Roman" w:eastAsia="宋体" w:cs="Times New Roman"/>
          <w:sz w:val="24"/>
        </w:rPr>
      </w:pPr>
      <w:r>
        <w:rPr>
          <w:rFonts w:ascii="Times New Roman" w:hAnsi="Times New Roman" w:eastAsia="宋体" w:cs="Times New Roman"/>
          <w:sz w:val="24"/>
        </w:rPr>
        <w:t>（1）注意缺陷多动障碍的甄别与干预</w:t>
      </w:r>
    </w:p>
    <w:p w14:paraId="19678501">
      <w:pPr>
        <w:spacing w:line="360" w:lineRule="auto"/>
        <w:rPr>
          <w:rFonts w:ascii="Times New Roman" w:hAnsi="Times New Roman" w:eastAsia="宋体" w:cs="Times New Roman"/>
          <w:sz w:val="24"/>
        </w:rPr>
      </w:pPr>
      <w:r>
        <w:rPr>
          <w:rFonts w:ascii="Times New Roman" w:hAnsi="Times New Roman" w:eastAsia="宋体" w:cs="Times New Roman"/>
          <w:sz w:val="24"/>
        </w:rPr>
        <w:t>（2）品行障碍的甄别与干预</w:t>
      </w:r>
    </w:p>
    <w:p w14:paraId="448596D5">
      <w:pPr>
        <w:spacing w:line="360" w:lineRule="auto"/>
        <w:rPr>
          <w:rFonts w:ascii="Times New Roman" w:hAnsi="Times New Roman" w:eastAsia="宋体" w:cs="Times New Roman"/>
          <w:sz w:val="24"/>
        </w:rPr>
      </w:pPr>
      <w:r>
        <w:rPr>
          <w:rFonts w:ascii="Times New Roman" w:hAnsi="Times New Roman" w:eastAsia="宋体" w:cs="Times New Roman"/>
          <w:sz w:val="24"/>
        </w:rPr>
        <w:t>（3）小学生情感障碍的甄别与干预</w:t>
      </w:r>
    </w:p>
    <w:p w14:paraId="71F6E279">
      <w:pPr>
        <w:spacing w:line="360" w:lineRule="auto"/>
        <w:rPr>
          <w:rFonts w:ascii="Times New Roman" w:hAnsi="Times New Roman" w:eastAsia="宋体" w:cs="Times New Roman"/>
          <w:sz w:val="24"/>
        </w:rPr>
      </w:pPr>
      <w:r>
        <w:rPr>
          <w:rFonts w:ascii="Times New Roman" w:hAnsi="Times New Roman" w:eastAsia="宋体" w:cs="Times New Roman"/>
          <w:sz w:val="24"/>
        </w:rPr>
        <w:t>（4）学习和交流障碍的甄别与干预</w:t>
      </w:r>
    </w:p>
    <w:p w14:paraId="22847575">
      <w:pPr>
        <w:spacing w:line="360" w:lineRule="auto"/>
        <w:rPr>
          <w:rFonts w:ascii="Times New Roman" w:hAnsi="Times New Roman" w:eastAsia="宋体" w:cs="Times New Roman"/>
          <w:sz w:val="24"/>
        </w:rPr>
      </w:pPr>
      <w:r>
        <w:rPr>
          <w:rFonts w:ascii="Times New Roman" w:hAnsi="Times New Roman" w:eastAsia="宋体" w:cs="Times New Roman"/>
          <w:sz w:val="24"/>
        </w:rPr>
        <w:t>（5）精神发育迟滞的甄别与干预</w:t>
      </w:r>
    </w:p>
    <w:p w14:paraId="7A8E3820">
      <w:pPr>
        <w:spacing w:line="360" w:lineRule="auto"/>
        <w:rPr>
          <w:rFonts w:ascii="Times New Roman" w:hAnsi="Times New Roman" w:eastAsia="宋体" w:cs="Times New Roman"/>
          <w:sz w:val="24"/>
        </w:rPr>
      </w:pPr>
      <w:r>
        <w:rPr>
          <w:rFonts w:ascii="Times New Roman" w:hAnsi="Times New Roman" w:eastAsia="宋体" w:cs="Times New Roman"/>
          <w:sz w:val="24"/>
        </w:rPr>
        <w:t>（6）自闭症的甄别</w:t>
      </w:r>
    </w:p>
    <w:p w14:paraId="77A9BB70">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49891788">
      <w:pPr>
        <w:spacing w:line="360" w:lineRule="auto"/>
        <w:rPr>
          <w:rFonts w:ascii="Times New Roman" w:hAnsi="Times New Roman" w:eastAsia="宋体" w:cs="Times New Roman"/>
          <w:sz w:val="24"/>
        </w:rPr>
      </w:pPr>
      <w:r>
        <w:rPr>
          <w:rFonts w:ascii="Times New Roman" w:hAnsi="Times New Roman" w:eastAsia="宋体" w:cs="Times New Roman"/>
          <w:sz w:val="24"/>
        </w:rPr>
        <w:t>（1）掌握小学生常见的心理障碍分类及基本的甄别方法，并具有简单的干预能力</w:t>
      </w:r>
    </w:p>
    <w:p w14:paraId="5FC2B537">
      <w:pPr>
        <w:spacing w:line="360" w:lineRule="auto"/>
        <w:rPr>
          <w:rFonts w:ascii="Times New Roman" w:hAnsi="Times New Roman" w:eastAsia="宋体" w:cs="Times New Roman"/>
          <w:sz w:val="24"/>
        </w:rPr>
      </w:pPr>
      <w:r>
        <w:rPr>
          <w:rFonts w:ascii="Times New Roman" w:hAnsi="Times New Roman" w:eastAsia="宋体" w:cs="Times New Roman"/>
          <w:sz w:val="24"/>
        </w:rPr>
        <w:t>（2）了解各类心理障碍的表现和影响因素，具备基本的心理干预意识</w:t>
      </w:r>
    </w:p>
    <w:p w14:paraId="6FE66A9C">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掌握小学生常见的心理障碍分类及基本的甄别方法</w:t>
      </w:r>
    </w:p>
    <w:p w14:paraId="430E98EB">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了解各类心理障碍的表现和影响因素，具备基本的心理干预意识</w:t>
      </w:r>
    </w:p>
    <w:p w14:paraId="4A685A66">
      <w:pPr>
        <w:spacing w:line="360" w:lineRule="auto"/>
        <w:rPr>
          <w:rFonts w:ascii="Times New Roman" w:hAnsi="Times New Roman" w:eastAsia="宋体" w:cs="Times New Roman"/>
          <w:b/>
          <w:sz w:val="24"/>
        </w:rPr>
      </w:pPr>
      <w:r>
        <w:rPr>
          <w:rFonts w:ascii="Times New Roman" w:hAnsi="Times New Roman" w:eastAsia="宋体" w:cs="Times New Roman"/>
          <w:b/>
          <w:sz w:val="24"/>
        </w:rPr>
        <w:t>（七）小学生游戏辅导（本模块各知识点的讲授与学习，可以支撑课程目标1、课程目标2、课程目标3）</w:t>
      </w:r>
    </w:p>
    <w:p w14:paraId="29D4256E">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5CD76FA1">
      <w:pPr>
        <w:spacing w:line="360" w:lineRule="auto"/>
        <w:rPr>
          <w:rFonts w:ascii="Times New Roman" w:hAnsi="Times New Roman" w:eastAsia="宋体" w:cs="Times New Roman"/>
          <w:sz w:val="24"/>
        </w:rPr>
      </w:pPr>
      <w:r>
        <w:rPr>
          <w:rFonts w:ascii="Times New Roman" w:hAnsi="Times New Roman" w:eastAsia="宋体" w:cs="Times New Roman"/>
          <w:sz w:val="24"/>
        </w:rPr>
        <w:t>（1）游戏辅导的意义和主要理论</w:t>
      </w:r>
    </w:p>
    <w:p w14:paraId="53986A5D">
      <w:pPr>
        <w:spacing w:line="360" w:lineRule="auto"/>
        <w:rPr>
          <w:rFonts w:ascii="Times New Roman" w:hAnsi="Times New Roman" w:eastAsia="宋体" w:cs="Times New Roman"/>
          <w:sz w:val="24"/>
        </w:rPr>
      </w:pPr>
      <w:r>
        <w:rPr>
          <w:rFonts w:ascii="Times New Roman" w:hAnsi="Times New Roman" w:eastAsia="宋体" w:cs="Times New Roman"/>
          <w:sz w:val="24"/>
        </w:rPr>
        <w:t>（2）游戏辅导实施</w:t>
      </w:r>
    </w:p>
    <w:p w14:paraId="44C8EB9B">
      <w:pPr>
        <w:spacing w:line="360" w:lineRule="auto"/>
        <w:rPr>
          <w:rFonts w:ascii="Times New Roman" w:hAnsi="Times New Roman" w:eastAsia="宋体" w:cs="Times New Roman"/>
          <w:sz w:val="24"/>
        </w:rPr>
      </w:pPr>
      <w:r>
        <w:rPr>
          <w:rFonts w:ascii="Times New Roman" w:hAnsi="Times New Roman" w:eastAsia="宋体" w:cs="Times New Roman"/>
          <w:sz w:val="24"/>
        </w:rPr>
        <w:t>（3）沙盘游戏辅导</w:t>
      </w:r>
    </w:p>
    <w:p w14:paraId="37E5F7F5">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3DA6C037">
      <w:pPr>
        <w:spacing w:line="360" w:lineRule="auto"/>
        <w:rPr>
          <w:rFonts w:ascii="Times New Roman" w:hAnsi="Times New Roman" w:eastAsia="宋体" w:cs="Times New Roman"/>
          <w:sz w:val="24"/>
        </w:rPr>
      </w:pPr>
      <w:r>
        <w:rPr>
          <w:rFonts w:ascii="Times New Roman" w:hAnsi="Times New Roman" w:eastAsia="宋体" w:cs="Times New Roman"/>
          <w:sz w:val="24"/>
        </w:rPr>
        <w:t>（1）了解游戏辅导的意义和主要的游戏辅导理论，掌握游戏辅导的涵义和分类</w:t>
      </w:r>
    </w:p>
    <w:p w14:paraId="0F60D0F1">
      <w:pPr>
        <w:spacing w:line="360" w:lineRule="auto"/>
        <w:rPr>
          <w:rFonts w:ascii="Times New Roman" w:hAnsi="Times New Roman" w:eastAsia="宋体" w:cs="Times New Roman"/>
          <w:sz w:val="24"/>
        </w:rPr>
      </w:pPr>
      <w:r>
        <w:rPr>
          <w:rFonts w:ascii="Times New Roman" w:hAnsi="Times New Roman" w:eastAsia="宋体" w:cs="Times New Roman"/>
          <w:sz w:val="24"/>
        </w:rPr>
        <w:t>（2）</w:t>
      </w:r>
      <w:bookmarkStart w:id="175" w:name="_Hlk22501633"/>
      <w:r>
        <w:rPr>
          <w:rFonts w:ascii="Times New Roman" w:hAnsi="Times New Roman" w:eastAsia="宋体" w:cs="Times New Roman"/>
          <w:sz w:val="24"/>
        </w:rPr>
        <w:t>掌握几种主要的心理游戏辅导活动，能进行游戏设计和实施</w:t>
      </w:r>
    </w:p>
    <w:bookmarkEnd w:id="175"/>
    <w:p w14:paraId="4605D4C7">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掌握几种主要的心理游戏辅导活动，能进行游戏设计和实施</w:t>
      </w:r>
    </w:p>
    <w:p w14:paraId="3F3E3296">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掌握几种主要的心理游戏辅导活动，能进行游戏设计和实施</w:t>
      </w:r>
    </w:p>
    <w:p w14:paraId="2D3D1DEC">
      <w:pPr>
        <w:spacing w:line="360" w:lineRule="auto"/>
        <w:rPr>
          <w:rFonts w:ascii="Times New Roman" w:hAnsi="Times New Roman" w:eastAsia="宋体" w:cs="Times New Roman"/>
          <w:b/>
          <w:sz w:val="24"/>
        </w:rPr>
      </w:pPr>
      <w:r>
        <w:rPr>
          <w:rFonts w:ascii="Times New Roman" w:hAnsi="Times New Roman" w:eastAsia="宋体" w:cs="Times New Roman"/>
          <w:b/>
          <w:sz w:val="24"/>
        </w:rPr>
        <w:t>（八）小学生心理剧辅导（本模块各知识点的讲授与学习，可以支撑课程目标1、课程目标3、课程目标4）</w:t>
      </w:r>
    </w:p>
    <w:p w14:paraId="5FAB13E6">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19423A4E">
      <w:pPr>
        <w:spacing w:line="360" w:lineRule="auto"/>
        <w:rPr>
          <w:rFonts w:ascii="Times New Roman" w:hAnsi="Times New Roman" w:eastAsia="宋体" w:cs="Times New Roman"/>
          <w:sz w:val="24"/>
        </w:rPr>
      </w:pPr>
      <w:r>
        <w:rPr>
          <w:rFonts w:ascii="Times New Roman" w:hAnsi="Times New Roman" w:eastAsia="宋体" w:cs="Times New Roman"/>
          <w:sz w:val="24"/>
        </w:rPr>
        <w:t>（1）心理剧辅导的概述</w:t>
      </w:r>
    </w:p>
    <w:p w14:paraId="65811C45">
      <w:pPr>
        <w:spacing w:line="360" w:lineRule="auto"/>
        <w:rPr>
          <w:rFonts w:ascii="Times New Roman" w:hAnsi="Times New Roman" w:eastAsia="宋体" w:cs="Times New Roman"/>
          <w:sz w:val="24"/>
        </w:rPr>
      </w:pPr>
      <w:r>
        <w:rPr>
          <w:rFonts w:ascii="Times New Roman" w:hAnsi="Times New Roman" w:eastAsia="宋体" w:cs="Times New Roman"/>
          <w:sz w:val="24"/>
        </w:rPr>
        <w:t>（2）小学生心理剧辅导的理论</w:t>
      </w:r>
    </w:p>
    <w:p w14:paraId="74EF5CCE">
      <w:pPr>
        <w:spacing w:line="360" w:lineRule="auto"/>
        <w:rPr>
          <w:rFonts w:ascii="Times New Roman" w:hAnsi="Times New Roman" w:eastAsia="宋体" w:cs="Times New Roman"/>
          <w:sz w:val="24"/>
        </w:rPr>
      </w:pPr>
      <w:r>
        <w:rPr>
          <w:rFonts w:ascii="Times New Roman" w:hAnsi="Times New Roman" w:eastAsia="宋体" w:cs="Times New Roman"/>
          <w:sz w:val="24"/>
        </w:rPr>
        <w:t>（3）小学生心理剧辅导的组织与实施</w:t>
      </w:r>
    </w:p>
    <w:p w14:paraId="7095CB12">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15BCD1D9">
      <w:pPr>
        <w:spacing w:line="360" w:lineRule="auto"/>
        <w:rPr>
          <w:rFonts w:ascii="Times New Roman" w:hAnsi="Times New Roman" w:eastAsia="宋体" w:cs="Times New Roman"/>
          <w:sz w:val="24"/>
        </w:rPr>
      </w:pPr>
      <w:r>
        <w:rPr>
          <w:rFonts w:ascii="Times New Roman" w:hAnsi="Times New Roman" w:eastAsia="宋体" w:cs="Times New Roman"/>
          <w:sz w:val="24"/>
        </w:rPr>
        <w:t>（1）了解小学生心理剧辅导的理论，理解心理剧辅导的涵义和类型</w:t>
      </w:r>
    </w:p>
    <w:p w14:paraId="35B62C15">
      <w:pPr>
        <w:spacing w:line="360" w:lineRule="auto"/>
        <w:rPr>
          <w:rFonts w:ascii="Times New Roman" w:hAnsi="Times New Roman" w:eastAsia="宋体" w:cs="Times New Roman"/>
          <w:sz w:val="24"/>
        </w:rPr>
      </w:pPr>
      <w:r>
        <w:rPr>
          <w:rFonts w:ascii="Times New Roman" w:hAnsi="Times New Roman" w:eastAsia="宋体" w:cs="Times New Roman"/>
          <w:sz w:val="24"/>
        </w:rPr>
        <w:t>（2）掌握小学生心理剧辅导的组织和实施过程，能在团队活动中组织开展心理剧活动</w:t>
      </w:r>
    </w:p>
    <w:p w14:paraId="1A0E895C">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掌握小学生心理剧辅导的组织和实施过程，能在团队活动中组织开展心理剧活动</w:t>
      </w:r>
    </w:p>
    <w:p w14:paraId="2AB8B793">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教学难点：</w:t>
      </w:r>
      <w:r>
        <w:rPr>
          <w:rFonts w:ascii="Times New Roman" w:hAnsi="Times New Roman" w:eastAsia="宋体" w:cs="Times New Roman"/>
          <w:sz w:val="24"/>
        </w:rPr>
        <w:t>在团队活动中组织开展心理剧活动</w:t>
      </w:r>
    </w:p>
    <w:p w14:paraId="701A85C5">
      <w:pPr>
        <w:spacing w:line="360" w:lineRule="auto"/>
        <w:rPr>
          <w:rFonts w:ascii="Times New Roman" w:hAnsi="Times New Roman" w:eastAsia="宋体" w:cs="Times New Roman"/>
          <w:b/>
          <w:sz w:val="24"/>
        </w:rPr>
      </w:pPr>
      <w:r>
        <w:rPr>
          <w:rFonts w:ascii="Times New Roman" w:hAnsi="Times New Roman" w:eastAsia="宋体" w:cs="Times New Roman"/>
          <w:b/>
          <w:sz w:val="24"/>
        </w:rPr>
        <w:t>（九）小学生图文作品辅导（本模块各知识点的讲授与学习，可以支撑课程目标3）</w:t>
      </w:r>
    </w:p>
    <w:p w14:paraId="0F66EEF2">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16BF4432">
      <w:pPr>
        <w:spacing w:line="360" w:lineRule="auto"/>
        <w:rPr>
          <w:rFonts w:ascii="Times New Roman" w:hAnsi="Times New Roman" w:eastAsia="宋体" w:cs="Times New Roman"/>
          <w:sz w:val="24"/>
        </w:rPr>
      </w:pPr>
      <w:r>
        <w:rPr>
          <w:rFonts w:ascii="Times New Roman" w:hAnsi="Times New Roman" w:eastAsia="宋体" w:cs="Times New Roman"/>
          <w:sz w:val="24"/>
        </w:rPr>
        <w:t>（1）图文作品辅导的概述</w:t>
      </w:r>
    </w:p>
    <w:p w14:paraId="3D7BBF39">
      <w:pPr>
        <w:spacing w:line="360" w:lineRule="auto"/>
        <w:rPr>
          <w:rFonts w:ascii="Times New Roman" w:hAnsi="Times New Roman" w:eastAsia="宋体" w:cs="Times New Roman"/>
          <w:sz w:val="24"/>
        </w:rPr>
      </w:pPr>
      <w:r>
        <w:rPr>
          <w:rFonts w:ascii="Times New Roman" w:hAnsi="Times New Roman" w:eastAsia="宋体" w:cs="Times New Roman"/>
          <w:sz w:val="24"/>
        </w:rPr>
        <w:t>（2）小学生绘画心理辅导</w:t>
      </w:r>
    </w:p>
    <w:p w14:paraId="474607EC">
      <w:pPr>
        <w:spacing w:line="360" w:lineRule="auto"/>
        <w:rPr>
          <w:rFonts w:ascii="Times New Roman" w:hAnsi="Times New Roman" w:eastAsia="宋体" w:cs="Times New Roman"/>
          <w:sz w:val="24"/>
        </w:rPr>
      </w:pPr>
      <w:r>
        <w:rPr>
          <w:rFonts w:ascii="Times New Roman" w:hAnsi="Times New Roman" w:eastAsia="宋体" w:cs="Times New Roman"/>
          <w:sz w:val="24"/>
        </w:rPr>
        <w:t>（3）小学生写作心理辅导</w:t>
      </w:r>
    </w:p>
    <w:p w14:paraId="127772DC">
      <w:pPr>
        <w:spacing w:line="360" w:lineRule="auto"/>
        <w:rPr>
          <w:rFonts w:ascii="Times New Roman" w:hAnsi="Times New Roman" w:eastAsia="宋体" w:cs="Times New Roman"/>
          <w:sz w:val="24"/>
        </w:rPr>
      </w:pPr>
      <w:r>
        <w:rPr>
          <w:rFonts w:ascii="Times New Roman" w:hAnsi="Times New Roman" w:eastAsia="宋体" w:cs="Times New Roman"/>
          <w:sz w:val="24"/>
        </w:rPr>
        <w:t>（4）小学生阅读心理辅导</w:t>
      </w:r>
    </w:p>
    <w:p w14:paraId="3C549362">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0092B0F8">
      <w:pPr>
        <w:spacing w:line="360" w:lineRule="auto"/>
        <w:rPr>
          <w:rFonts w:ascii="Times New Roman" w:hAnsi="Times New Roman" w:eastAsia="宋体" w:cs="Times New Roman"/>
          <w:sz w:val="24"/>
        </w:rPr>
      </w:pPr>
      <w:r>
        <w:rPr>
          <w:rFonts w:ascii="Times New Roman" w:hAnsi="Times New Roman" w:eastAsia="宋体" w:cs="Times New Roman"/>
          <w:sz w:val="24"/>
        </w:rPr>
        <w:t>（1）了解小学生图文作品辅导的理论基础，掌握图文作品辅导的范围</w:t>
      </w:r>
    </w:p>
    <w:p w14:paraId="7C0EFF05">
      <w:pPr>
        <w:spacing w:line="360" w:lineRule="auto"/>
        <w:rPr>
          <w:rFonts w:ascii="Times New Roman" w:hAnsi="Times New Roman" w:eastAsia="宋体" w:cs="Times New Roman"/>
          <w:sz w:val="24"/>
        </w:rPr>
      </w:pPr>
      <w:r>
        <w:rPr>
          <w:rFonts w:ascii="Times New Roman" w:hAnsi="Times New Roman" w:eastAsia="宋体" w:cs="Times New Roman"/>
          <w:sz w:val="24"/>
        </w:rPr>
        <w:t>（2）</w:t>
      </w:r>
      <w:bookmarkStart w:id="176" w:name="_Hlk22503556"/>
      <w:r>
        <w:rPr>
          <w:rFonts w:ascii="Times New Roman" w:hAnsi="Times New Roman" w:eastAsia="宋体" w:cs="Times New Roman"/>
          <w:sz w:val="24"/>
        </w:rPr>
        <w:t>能结合小学生的心理特点开展小学生的绘画、写作和阅读心理辅导</w:t>
      </w:r>
    </w:p>
    <w:bookmarkEnd w:id="176"/>
    <w:p w14:paraId="6CF3D860">
      <w:pPr>
        <w:spacing w:line="360" w:lineRule="auto"/>
        <w:rPr>
          <w:rFonts w:ascii="Times New Roman" w:hAnsi="Times New Roman" w:eastAsia="宋体" w:cs="Times New Roman"/>
          <w:sz w:val="24"/>
        </w:rPr>
      </w:pPr>
      <w:r>
        <w:rPr>
          <w:rFonts w:ascii="Times New Roman" w:hAnsi="Times New Roman" w:eastAsia="宋体" w:cs="Times New Roman"/>
          <w:b/>
          <w:bCs/>
          <w:sz w:val="24"/>
        </w:rPr>
        <w:t>教学重点：</w:t>
      </w:r>
      <w:r>
        <w:rPr>
          <w:rFonts w:ascii="Times New Roman" w:hAnsi="Times New Roman" w:eastAsia="宋体" w:cs="Times New Roman"/>
          <w:sz w:val="24"/>
        </w:rPr>
        <w:t>能结合小学生的心理特点开展小学生的绘画、写作和阅读心理辅导</w:t>
      </w:r>
    </w:p>
    <w:p w14:paraId="63437978">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能结合小学生的心理特点开展小学生的绘画、写作和阅读心理辅导</w:t>
      </w:r>
    </w:p>
    <w:p w14:paraId="6964CD13">
      <w:pPr>
        <w:spacing w:line="360" w:lineRule="auto"/>
        <w:rPr>
          <w:rFonts w:ascii="Times New Roman" w:hAnsi="Times New Roman" w:eastAsia="宋体" w:cs="Times New Roman"/>
          <w:b/>
          <w:sz w:val="24"/>
        </w:rPr>
      </w:pPr>
      <w:r>
        <w:rPr>
          <w:rFonts w:ascii="Times New Roman" w:hAnsi="Times New Roman" w:eastAsia="宋体" w:cs="Times New Roman"/>
          <w:b/>
          <w:sz w:val="24"/>
        </w:rPr>
        <w:t>（十）小学班级心理辅导活动课设计（本模块各知识点的讲授与学习，可以支撑课程目标2、课程目标3）</w:t>
      </w:r>
    </w:p>
    <w:p w14:paraId="3193C9AE">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35FDADA0">
      <w:pPr>
        <w:spacing w:line="360" w:lineRule="auto"/>
        <w:rPr>
          <w:rFonts w:ascii="Times New Roman" w:hAnsi="Times New Roman" w:eastAsia="宋体" w:cs="Times New Roman"/>
          <w:sz w:val="24"/>
        </w:rPr>
      </w:pPr>
      <w:r>
        <w:rPr>
          <w:rFonts w:ascii="Times New Roman" w:hAnsi="Times New Roman" w:eastAsia="宋体" w:cs="Times New Roman"/>
          <w:sz w:val="24"/>
        </w:rPr>
        <w:t>（1）小学班级心理辅导活动课概述</w:t>
      </w:r>
    </w:p>
    <w:p w14:paraId="6E22911B">
      <w:pPr>
        <w:spacing w:line="360" w:lineRule="auto"/>
        <w:rPr>
          <w:rFonts w:ascii="Times New Roman" w:hAnsi="Times New Roman" w:eastAsia="宋体" w:cs="Times New Roman"/>
          <w:sz w:val="24"/>
        </w:rPr>
      </w:pPr>
      <w:r>
        <w:rPr>
          <w:rFonts w:ascii="Times New Roman" w:hAnsi="Times New Roman" w:eastAsia="宋体" w:cs="Times New Roman"/>
          <w:sz w:val="24"/>
        </w:rPr>
        <w:t>（2）小学班级心理辅导活动课设计</w:t>
      </w:r>
    </w:p>
    <w:p w14:paraId="6D5C89AF">
      <w:pPr>
        <w:spacing w:line="360" w:lineRule="auto"/>
        <w:rPr>
          <w:rFonts w:ascii="Times New Roman" w:hAnsi="Times New Roman" w:eastAsia="宋体" w:cs="Times New Roman"/>
          <w:sz w:val="24"/>
        </w:rPr>
      </w:pPr>
      <w:r>
        <w:rPr>
          <w:rFonts w:ascii="Times New Roman" w:hAnsi="Times New Roman" w:eastAsia="宋体" w:cs="Times New Roman"/>
          <w:sz w:val="24"/>
        </w:rPr>
        <w:t>（3）小学班级心理辅导活动课的实施与评价</w:t>
      </w:r>
    </w:p>
    <w:p w14:paraId="4509D4D6">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02D9346D">
      <w:pPr>
        <w:spacing w:line="360" w:lineRule="auto"/>
        <w:rPr>
          <w:rFonts w:ascii="Times New Roman" w:hAnsi="Times New Roman" w:eastAsia="宋体" w:cs="Times New Roman"/>
          <w:sz w:val="24"/>
        </w:rPr>
      </w:pPr>
      <w:r>
        <w:rPr>
          <w:rFonts w:ascii="Times New Roman" w:hAnsi="Times New Roman" w:eastAsia="宋体" w:cs="Times New Roman"/>
          <w:sz w:val="24"/>
        </w:rPr>
        <w:t>（1）理解小学生班级心理辅导活动课的适用范围，掌握小学班级心理辅导活动课的开展要素</w:t>
      </w:r>
    </w:p>
    <w:p w14:paraId="1CE35052">
      <w:pPr>
        <w:spacing w:line="360" w:lineRule="auto"/>
        <w:rPr>
          <w:rFonts w:ascii="Times New Roman" w:hAnsi="Times New Roman" w:eastAsia="宋体" w:cs="Times New Roman"/>
          <w:sz w:val="24"/>
        </w:rPr>
      </w:pPr>
      <w:r>
        <w:rPr>
          <w:rFonts w:ascii="Times New Roman" w:hAnsi="Times New Roman" w:eastAsia="宋体" w:cs="Times New Roman"/>
          <w:sz w:val="24"/>
        </w:rPr>
        <w:t>（2）</w:t>
      </w:r>
      <w:bookmarkStart w:id="177" w:name="_Hlk22503899"/>
      <w:r>
        <w:rPr>
          <w:rFonts w:ascii="Times New Roman" w:hAnsi="Times New Roman" w:eastAsia="宋体" w:cs="Times New Roman"/>
          <w:sz w:val="24"/>
        </w:rPr>
        <w:t>会进行小学班级心理活动课的设计，并能开展实施</w:t>
      </w:r>
      <w:bookmarkEnd w:id="177"/>
      <w:r>
        <w:rPr>
          <w:rFonts w:ascii="Times New Roman" w:hAnsi="Times New Roman" w:eastAsia="宋体" w:cs="Times New Roman"/>
          <w:sz w:val="24"/>
        </w:rPr>
        <w:t>，也能对小学班级心理活动课的开展情况进行合理评价</w:t>
      </w:r>
    </w:p>
    <w:p w14:paraId="30B4C480">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教学重点：</w:t>
      </w:r>
      <w:r>
        <w:rPr>
          <w:rFonts w:ascii="Times New Roman" w:hAnsi="Times New Roman" w:eastAsia="宋体" w:cs="Times New Roman"/>
          <w:sz w:val="24"/>
        </w:rPr>
        <w:t>会进行小学班级心理活动课的设计，并能开展实施</w:t>
      </w:r>
    </w:p>
    <w:p w14:paraId="17D470A3">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教学难点：</w:t>
      </w:r>
      <w:r>
        <w:rPr>
          <w:rFonts w:ascii="Times New Roman" w:hAnsi="Times New Roman" w:eastAsia="宋体" w:cs="Times New Roman"/>
          <w:sz w:val="24"/>
        </w:rPr>
        <w:t>会进行小学班级心理活动课的设计，并能开展实施</w:t>
      </w:r>
    </w:p>
    <w:p w14:paraId="68710F0C">
      <w:pPr>
        <w:spacing w:line="360" w:lineRule="auto"/>
        <w:rPr>
          <w:rFonts w:ascii="Times New Roman" w:hAnsi="Times New Roman" w:eastAsia="宋体" w:cs="Times New Roman"/>
          <w:b/>
          <w:sz w:val="24"/>
        </w:rPr>
      </w:pPr>
      <w:r>
        <w:rPr>
          <w:rFonts w:ascii="Times New Roman" w:hAnsi="Times New Roman" w:eastAsia="宋体" w:cs="Times New Roman"/>
          <w:b/>
          <w:sz w:val="24"/>
        </w:rPr>
        <w:t>（十一）小学生心理辅导的工作开展（本模块各知识点的讲授与学习，可以支撑课程目标2、课程目标3、课程目标4）</w:t>
      </w:r>
    </w:p>
    <w:p w14:paraId="5FCE15DB">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1.学习内容：</w:t>
      </w:r>
    </w:p>
    <w:p w14:paraId="28F6876B">
      <w:pPr>
        <w:spacing w:line="360" w:lineRule="auto"/>
        <w:rPr>
          <w:rFonts w:ascii="Times New Roman" w:hAnsi="Times New Roman" w:eastAsia="宋体" w:cs="Times New Roman"/>
          <w:sz w:val="24"/>
        </w:rPr>
      </w:pPr>
      <w:r>
        <w:rPr>
          <w:rFonts w:ascii="Times New Roman" w:hAnsi="Times New Roman" w:eastAsia="宋体" w:cs="Times New Roman"/>
          <w:sz w:val="24"/>
        </w:rPr>
        <w:t>（1）小学生心理辅导的基本格局</w:t>
      </w:r>
    </w:p>
    <w:p w14:paraId="22022EDC">
      <w:pPr>
        <w:spacing w:line="360" w:lineRule="auto"/>
        <w:rPr>
          <w:rFonts w:ascii="Times New Roman" w:hAnsi="Times New Roman" w:eastAsia="宋体" w:cs="Times New Roman"/>
          <w:sz w:val="24"/>
        </w:rPr>
      </w:pPr>
      <w:r>
        <w:rPr>
          <w:rFonts w:ascii="Times New Roman" w:hAnsi="Times New Roman" w:eastAsia="宋体" w:cs="Times New Roman"/>
          <w:sz w:val="24"/>
        </w:rPr>
        <w:t>（2）小学生心理辅导教师的道德素养与专业素养</w:t>
      </w:r>
    </w:p>
    <w:p w14:paraId="3DB7055A">
      <w:pPr>
        <w:spacing w:line="360" w:lineRule="auto"/>
        <w:rPr>
          <w:rFonts w:ascii="Times New Roman" w:hAnsi="Times New Roman" w:eastAsia="宋体" w:cs="Times New Roman"/>
          <w:sz w:val="24"/>
        </w:rPr>
      </w:pPr>
      <w:r>
        <w:rPr>
          <w:rFonts w:ascii="Times New Roman" w:hAnsi="Times New Roman" w:eastAsia="宋体" w:cs="Times New Roman"/>
          <w:sz w:val="24"/>
        </w:rPr>
        <w:t>（3）小学生心理辅导室的创建</w:t>
      </w:r>
    </w:p>
    <w:p w14:paraId="3FEF60DB">
      <w:pPr>
        <w:spacing w:line="360" w:lineRule="auto"/>
        <w:rPr>
          <w:rFonts w:ascii="Times New Roman" w:hAnsi="Times New Roman" w:eastAsia="宋体" w:cs="Times New Roman"/>
          <w:sz w:val="24"/>
        </w:rPr>
      </w:pPr>
      <w:r>
        <w:rPr>
          <w:rFonts w:ascii="Times New Roman" w:hAnsi="Times New Roman" w:eastAsia="宋体" w:cs="Times New Roman"/>
          <w:sz w:val="24"/>
        </w:rPr>
        <w:t>（4）小学生心理辅导档案的管理</w:t>
      </w:r>
    </w:p>
    <w:p w14:paraId="72A356BA">
      <w:pPr>
        <w:spacing w:line="360" w:lineRule="auto"/>
        <w:rPr>
          <w:rFonts w:ascii="Times New Roman" w:hAnsi="Times New Roman" w:eastAsia="宋体" w:cs="Times New Roman"/>
          <w:sz w:val="24"/>
        </w:rPr>
      </w:pPr>
      <w:r>
        <w:rPr>
          <w:rFonts w:ascii="Times New Roman" w:hAnsi="Times New Roman" w:eastAsia="宋体" w:cs="Times New Roman"/>
          <w:sz w:val="24"/>
        </w:rPr>
        <w:t>（5）关于全员参与小学生心理辅导教育的展望</w:t>
      </w:r>
    </w:p>
    <w:p w14:paraId="57E818B3">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2.学习要求：</w:t>
      </w:r>
    </w:p>
    <w:p w14:paraId="5B35BCFF">
      <w:pPr>
        <w:spacing w:line="360" w:lineRule="auto"/>
        <w:rPr>
          <w:rFonts w:ascii="Times New Roman" w:hAnsi="Times New Roman" w:eastAsia="宋体" w:cs="Times New Roman"/>
          <w:sz w:val="24"/>
        </w:rPr>
      </w:pPr>
      <w:r>
        <w:rPr>
          <w:rFonts w:ascii="Times New Roman" w:hAnsi="Times New Roman" w:eastAsia="宋体" w:cs="Times New Roman"/>
          <w:sz w:val="24"/>
        </w:rPr>
        <w:t>（1）了解小学生心理辅导教育的发展前景，知道小学生心理辅导的基本格局，</w:t>
      </w:r>
      <w:bookmarkStart w:id="178" w:name="_Hlk22504396"/>
      <w:r>
        <w:rPr>
          <w:rFonts w:ascii="Times New Roman" w:hAnsi="Times New Roman" w:eastAsia="宋体" w:cs="Times New Roman"/>
          <w:sz w:val="24"/>
        </w:rPr>
        <w:t>掌握小学生心理辅导的教师的专业素养</w:t>
      </w:r>
      <w:bookmarkEnd w:id="178"/>
    </w:p>
    <w:p w14:paraId="5E0C611A">
      <w:pPr>
        <w:spacing w:line="360" w:lineRule="auto"/>
        <w:rPr>
          <w:rFonts w:ascii="Times New Roman" w:hAnsi="Times New Roman" w:eastAsia="宋体" w:cs="Times New Roman"/>
          <w:sz w:val="24"/>
        </w:rPr>
      </w:pPr>
      <w:r>
        <w:rPr>
          <w:rFonts w:ascii="Times New Roman" w:hAnsi="Times New Roman" w:eastAsia="宋体" w:cs="Times New Roman"/>
          <w:sz w:val="24"/>
        </w:rPr>
        <w:t>（2）学会创建小学生心理辅导室，掌握小学生心理辅导档案的建立和管理方法</w:t>
      </w:r>
    </w:p>
    <w:p w14:paraId="7792EE6C">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教学重点：</w:t>
      </w:r>
      <w:r>
        <w:rPr>
          <w:rFonts w:ascii="Times New Roman" w:hAnsi="Times New Roman" w:eastAsia="宋体" w:cs="Times New Roman"/>
          <w:sz w:val="24"/>
        </w:rPr>
        <w:t>掌握小学生心理辅导的教师的专业素养，学会创建小学生心理辅导室</w:t>
      </w:r>
    </w:p>
    <w:p w14:paraId="4C23B46F">
      <w:pPr>
        <w:spacing w:line="360" w:lineRule="auto"/>
        <w:rPr>
          <w:rFonts w:ascii="Times New Roman" w:hAnsi="Times New Roman" w:eastAsia="宋体" w:cs="Times New Roman"/>
          <w:sz w:val="24"/>
        </w:rPr>
      </w:pPr>
      <w:r>
        <w:rPr>
          <w:rFonts w:ascii="Times New Roman" w:hAnsi="Times New Roman" w:eastAsia="宋体" w:cs="Times New Roman"/>
          <w:b/>
          <w:bCs/>
          <w:sz w:val="24"/>
        </w:rPr>
        <w:t>教学难点：</w:t>
      </w:r>
      <w:r>
        <w:rPr>
          <w:rFonts w:ascii="Times New Roman" w:hAnsi="Times New Roman" w:eastAsia="宋体" w:cs="Times New Roman"/>
          <w:sz w:val="24"/>
        </w:rPr>
        <w:t>学会创建小学生心理辅导室</w:t>
      </w:r>
    </w:p>
    <w:p w14:paraId="7AB5EB5E">
      <w:pPr>
        <w:spacing w:line="360" w:lineRule="auto"/>
        <w:rPr>
          <w:rFonts w:ascii="Calibri" w:hAnsi="Calibri" w:eastAsia="宋体" w:cs="Times New Roman"/>
          <w:b/>
          <w:sz w:val="24"/>
        </w:rPr>
      </w:pPr>
    </w:p>
    <w:p w14:paraId="0A259E48">
      <w:pPr>
        <w:spacing w:line="360" w:lineRule="auto"/>
        <w:rPr>
          <w:rFonts w:ascii="Calibri" w:hAnsi="Calibri" w:eastAsia="宋体" w:cs="Times New Roman"/>
          <w:sz w:val="24"/>
        </w:rPr>
      </w:pPr>
      <w:r>
        <w:rPr>
          <w:rFonts w:hint="eastAsia" w:ascii="Calibri" w:hAnsi="Calibri" w:eastAsia="宋体" w:cs="Times New Roman"/>
          <w:sz w:val="24"/>
        </w:rPr>
        <w:t>教学内容与课程目标的对应关系及学时分配如表所示。</w:t>
      </w:r>
    </w:p>
    <w:tbl>
      <w:tblPr>
        <w:tblStyle w:val="30"/>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3515"/>
        <w:gridCol w:w="1276"/>
        <w:gridCol w:w="2136"/>
        <w:gridCol w:w="735"/>
        <w:gridCol w:w="735"/>
      </w:tblGrid>
      <w:tr w14:paraId="6B11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shd w:val="clear" w:color="auto" w:fill="FFFFFF"/>
            <w:vAlign w:val="center"/>
          </w:tcPr>
          <w:p w14:paraId="45F11AB3">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序号</w:t>
            </w:r>
          </w:p>
        </w:tc>
        <w:tc>
          <w:tcPr>
            <w:tcW w:w="3515" w:type="dxa"/>
            <w:tcBorders>
              <w:top w:val="single" w:color="auto" w:sz="4" w:space="0"/>
              <w:left w:val="single" w:color="auto" w:sz="4" w:space="0"/>
              <w:bottom w:val="single" w:color="auto" w:sz="4" w:space="0"/>
              <w:right w:val="single" w:color="auto" w:sz="4" w:space="0"/>
            </w:tcBorders>
            <w:shd w:val="clear" w:color="auto" w:fill="FFFFFF"/>
            <w:vAlign w:val="center"/>
          </w:tcPr>
          <w:p w14:paraId="3526528E">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教学内容</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77D53A3E">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支撑的</w:t>
            </w:r>
          </w:p>
          <w:p w14:paraId="11A75793">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课程目标</w:t>
            </w:r>
          </w:p>
        </w:tc>
        <w:tc>
          <w:tcPr>
            <w:tcW w:w="2136" w:type="dxa"/>
            <w:tcBorders>
              <w:top w:val="single" w:color="auto" w:sz="4" w:space="0"/>
              <w:left w:val="single" w:color="auto" w:sz="4" w:space="0"/>
              <w:bottom w:val="single" w:color="auto" w:sz="4" w:space="0"/>
              <w:right w:val="single" w:color="auto" w:sz="4" w:space="0"/>
            </w:tcBorders>
            <w:shd w:val="clear" w:color="auto" w:fill="FFFFFF"/>
            <w:vAlign w:val="center"/>
          </w:tcPr>
          <w:p w14:paraId="00BF0E31">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支撑的毕业要求指标点</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3504C0C1">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讲授学时</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2B947C5C">
            <w:pPr>
              <w:spacing w:line="312"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t>实践学时</w:t>
            </w:r>
          </w:p>
        </w:tc>
      </w:tr>
      <w:tr w14:paraId="57F7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17CB4722">
            <w:pPr>
              <w:spacing w:line="312" w:lineRule="auto"/>
              <w:jc w:val="center"/>
              <w:rPr>
                <w:rFonts w:ascii="Times New Roman" w:hAnsi="Times New Roman" w:eastAsia="宋体" w:cs="Times New Roman"/>
                <w:sz w:val="24"/>
              </w:rPr>
            </w:pPr>
            <w:r>
              <w:rPr>
                <w:rFonts w:ascii="Times New Roman" w:hAnsi="Times New Roman" w:eastAsia="宋体" w:cs="Times New Roman"/>
                <w:sz w:val="24"/>
              </w:rPr>
              <w:t>1</w:t>
            </w:r>
          </w:p>
        </w:tc>
        <w:tc>
          <w:tcPr>
            <w:tcW w:w="3515" w:type="dxa"/>
            <w:tcBorders>
              <w:top w:val="single" w:color="auto" w:sz="4" w:space="0"/>
              <w:left w:val="single" w:color="auto" w:sz="4" w:space="0"/>
              <w:bottom w:val="single" w:color="auto" w:sz="4" w:space="0"/>
              <w:right w:val="single" w:color="auto" w:sz="4" w:space="0"/>
            </w:tcBorders>
            <w:vAlign w:val="center"/>
          </w:tcPr>
          <w:p w14:paraId="5BB34EC0">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绪论</w:t>
            </w:r>
          </w:p>
        </w:tc>
        <w:tc>
          <w:tcPr>
            <w:tcW w:w="1276" w:type="dxa"/>
            <w:tcBorders>
              <w:top w:val="single" w:color="auto" w:sz="4" w:space="0"/>
              <w:left w:val="single" w:color="auto" w:sz="4" w:space="0"/>
              <w:bottom w:val="single" w:color="auto" w:sz="4" w:space="0"/>
              <w:right w:val="single" w:color="auto" w:sz="4" w:space="0"/>
            </w:tcBorders>
            <w:vAlign w:val="center"/>
          </w:tcPr>
          <w:p w14:paraId="3C1BE922">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2136" w:type="dxa"/>
            <w:tcBorders>
              <w:top w:val="single" w:color="auto" w:sz="4" w:space="0"/>
              <w:left w:val="single" w:color="auto" w:sz="4" w:space="0"/>
              <w:bottom w:val="single" w:color="auto" w:sz="4" w:space="0"/>
              <w:right w:val="single" w:color="auto" w:sz="4" w:space="0"/>
            </w:tcBorders>
            <w:vAlign w:val="center"/>
          </w:tcPr>
          <w:p w14:paraId="3BB839E0">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2-1、6-1</w:t>
            </w:r>
          </w:p>
        </w:tc>
        <w:tc>
          <w:tcPr>
            <w:tcW w:w="735" w:type="dxa"/>
            <w:tcBorders>
              <w:top w:val="single" w:color="auto" w:sz="4" w:space="0"/>
              <w:left w:val="single" w:color="auto" w:sz="4" w:space="0"/>
              <w:bottom w:val="single" w:color="auto" w:sz="4" w:space="0"/>
              <w:right w:val="single" w:color="auto" w:sz="4" w:space="0"/>
            </w:tcBorders>
            <w:vAlign w:val="center"/>
          </w:tcPr>
          <w:p w14:paraId="0DFE0DA3">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7C203D9B">
            <w:pPr>
              <w:spacing w:line="312" w:lineRule="auto"/>
              <w:jc w:val="center"/>
              <w:rPr>
                <w:rFonts w:ascii="Times New Roman" w:hAnsi="Times New Roman" w:eastAsia="宋体" w:cs="Times New Roman"/>
                <w:szCs w:val="21"/>
              </w:rPr>
            </w:pPr>
          </w:p>
        </w:tc>
      </w:tr>
      <w:tr w14:paraId="6731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4538832D">
            <w:pPr>
              <w:spacing w:line="312" w:lineRule="auto"/>
              <w:jc w:val="center"/>
              <w:rPr>
                <w:rFonts w:ascii="Times New Roman" w:hAnsi="Times New Roman" w:eastAsia="宋体" w:cs="Times New Roman"/>
                <w:sz w:val="24"/>
              </w:rPr>
            </w:pPr>
            <w:r>
              <w:rPr>
                <w:rFonts w:ascii="Times New Roman" w:hAnsi="Times New Roman" w:eastAsia="宋体" w:cs="Times New Roman"/>
                <w:sz w:val="24"/>
              </w:rPr>
              <w:t>2</w:t>
            </w:r>
          </w:p>
        </w:tc>
        <w:tc>
          <w:tcPr>
            <w:tcW w:w="3515" w:type="dxa"/>
            <w:tcBorders>
              <w:top w:val="single" w:color="auto" w:sz="4" w:space="0"/>
              <w:left w:val="single" w:color="auto" w:sz="4" w:space="0"/>
              <w:bottom w:val="single" w:color="auto" w:sz="4" w:space="0"/>
              <w:right w:val="single" w:color="auto" w:sz="4" w:space="0"/>
            </w:tcBorders>
            <w:vAlign w:val="center"/>
          </w:tcPr>
          <w:p w14:paraId="1510BC18">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小学生心理辅导的基本理论</w:t>
            </w:r>
          </w:p>
        </w:tc>
        <w:tc>
          <w:tcPr>
            <w:tcW w:w="1276" w:type="dxa"/>
            <w:tcBorders>
              <w:top w:val="single" w:color="auto" w:sz="4" w:space="0"/>
              <w:left w:val="single" w:color="auto" w:sz="4" w:space="0"/>
              <w:bottom w:val="single" w:color="auto" w:sz="4" w:space="0"/>
              <w:right w:val="single" w:color="auto" w:sz="4" w:space="0"/>
            </w:tcBorders>
            <w:vAlign w:val="center"/>
          </w:tcPr>
          <w:p w14:paraId="21D35A0D">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w:t>
            </w:r>
          </w:p>
        </w:tc>
        <w:tc>
          <w:tcPr>
            <w:tcW w:w="2136" w:type="dxa"/>
            <w:tcBorders>
              <w:top w:val="single" w:color="auto" w:sz="4" w:space="0"/>
              <w:left w:val="single" w:color="auto" w:sz="4" w:space="0"/>
              <w:bottom w:val="single" w:color="auto" w:sz="4" w:space="0"/>
              <w:right w:val="single" w:color="auto" w:sz="4" w:space="0"/>
            </w:tcBorders>
            <w:vAlign w:val="center"/>
          </w:tcPr>
          <w:p w14:paraId="5B598A6F">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2-2、5-2、5-3、6-1</w:t>
            </w:r>
          </w:p>
        </w:tc>
        <w:tc>
          <w:tcPr>
            <w:tcW w:w="735" w:type="dxa"/>
            <w:tcBorders>
              <w:top w:val="single" w:color="auto" w:sz="4" w:space="0"/>
              <w:left w:val="single" w:color="auto" w:sz="4" w:space="0"/>
              <w:bottom w:val="single" w:color="auto" w:sz="4" w:space="0"/>
              <w:right w:val="single" w:color="auto" w:sz="4" w:space="0"/>
            </w:tcBorders>
            <w:vAlign w:val="center"/>
          </w:tcPr>
          <w:p w14:paraId="11A80CCD">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tcBorders>
              <w:top w:val="single" w:color="auto" w:sz="4" w:space="0"/>
              <w:left w:val="single" w:color="auto" w:sz="4" w:space="0"/>
              <w:bottom w:val="single" w:color="auto" w:sz="4" w:space="0"/>
              <w:right w:val="single" w:color="auto" w:sz="4" w:space="0"/>
            </w:tcBorders>
            <w:vAlign w:val="center"/>
          </w:tcPr>
          <w:p w14:paraId="3F0F87D9">
            <w:pPr>
              <w:spacing w:line="312" w:lineRule="auto"/>
              <w:jc w:val="center"/>
              <w:rPr>
                <w:rFonts w:ascii="Times New Roman" w:hAnsi="Times New Roman" w:eastAsia="宋体" w:cs="Times New Roman"/>
                <w:szCs w:val="21"/>
              </w:rPr>
            </w:pPr>
          </w:p>
        </w:tc>
      </w:tr>
      <w:tr w14:paraId="720E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1845F793">
            <w:pPr>
              <w:spacing w:line="312" w:lineRule="auto"/>
              <w:jc w:val="center"/>
              <w:rPr>
                <w:rFonts w:ascii="Times New Roman" w:hAnsi="Times New Roman" w:eastAsia="宋体" w:cs="Times New Roman"/>
                <w:sz w:val="24"/>
              </w:rPr>
            </w:pPr>
            <w:r>
              <w:rPr>
                <w:rFonts w:ascii="Times New Roman" w:hAnsi="Times New Roman" w:eastAsia="宋体" w:cs="Times New Roman"/>
                <w:sz w:val="24"/>
              </w:rPr>
              <w:t>3</w:t>
            </w:r>
          </w:p>
        </w:tc>
        <w:tc>
          <w:tcPr>
            <w:tcW w:w="3515" w:type="dxa"/>
            <w:tcBorders>
              <w:top w:val="single" w:color="auto" w:sz="4" w:space="0"/>
              <w:left w:val="single" w:color="auto" w:sz="4" w:space="0"/>
              <w:bottom w:val="single" w:color="auto" w:sz="4" w:space="0"/>
              <w:right w:val="single" w:color="auto" w:sz="4" w:space="0"/>
            </w:tcBorders>
            <w:vAlign w:val="center"/>
          </w:tcPr>
          <w:p w14:paraId="779782B5">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小学生心理辅导的基本技术</w:t>
            </w:r>
          </w:p>
        </w:tc>
        <w:tc>
          <w:tcPr>
            <w:tcW w:w="1276" w:type="dxa"/>
            <w:tcBorders>
              <w:top w:val="single" w:color="auto" w:sz="4" w:space="0"/>
              <w:left w:val="single" w:color="auto" w:sz="4" w:space="0"/>
              <w:bottom w:val="single" w:color="auto" w:sz="4" w:space="0"/>
              <w:right w:val="single" w:color="auto" w:sz="4" w:space="0"/>
            </w:tcBorders>
            <w:vAlign w:val="center"/>
          </w:tcPr>
          <w:p w14:paraId="27C9734A">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3、4</w:t>
            </w:r>
          </w:p>
        </w:tc>
        <w:tc>
          <w:tcPr>
            <w:tcW w:w="2136" w:type="dxa"/>
            <w:tcBorders>
              <w:top w:val="single" w:color="auto" w:sz="4" w:space="0"/>
              <w:left w:val="single" w:color="auto" w:sz="4" w:space="0"/>
              <w:bottom w:val="single" w:color="auto" w:sz="4" w:space="0"/>
              <w:right w:val="single" w:color="auto" w:sz="4" w:space="0"/>
            </w:tcBorders>
            <w:vAlign w:val="center"/>
          </w:tcPr>
          <w:p w14:paraId="7970DA04">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5-2、5-3、6-1、8-1</w:t>
            </w:r>
          </w:p>
        </w:tc>
        <w:tc>
          <w:tcPr>
            <w:tcW w:w="735" w:type="dxa"/>
            <w:tcBorders>
              <w:top w:val="single" w:color="auto" w:sz="4" w:space="0"/>
              <w:left w:val="single" w:color="auto" w:sz="4" w:space="0"/>
              <w:bottom w:val="single" w:color="auto" w:sz="4" w:space="0"/>
              <w:right w:val="single" w:color="auto" w:sz="4" w:space="0"/>
            </w:tcBorders>
            <w:vAlign w:val="center"/>
          </w:tcPr>
          <w:p w14:paraId="38846D8F">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6D924DF9">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14:paraId="5A5B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016EFF21">
            <w:pPr>
              <w:spacing w:line="312" w:lineRule="auto"/>
              <w:jc w:val="center"/>
              <w:rPr>
                <w:rFonts w:ascii="Times New Roman" w:hAnsi="Times New Roman" w:eastAsia="宋体" w:cs="Times New Roman"/>
                <w:sz w:val="24"/>
              </w:rPr>
            </w:pPr>
            <w:r>
              <w:rPr>
                <w:rFonts w:ascii="Times New Roman" w:hAnsi="Times New Roman" w:eastAsia="宋体" w:cs="Times New Roman"/>
                <w:sz w:val="24"/>
              </w:rPr>
              <w:t>4</w:t>
            </w:r>
          </w:p>
        </w:tc>
        <w:tc>
          <w:tcPr>
            <w:tcW w:w="3515" w:type="dxa"/>
            <w:tcBorders>
              <w:top w:val="single" w:color="auto" w:sz="4" w:space="0"/>
              <w:left w:val="single" w:color="auto" w:sz="4" w:space="0"/>
              <w:bottom w:val="single" w:color="auto" w:sz="4" w:space="0"/>
              <w:right w:val="single" w:color="auto" w:sz="4" w:space="0"/>
            </w:tcBorders>
            <w:vAlign w:val="center"/>
          </w:tcPr>
          <w:p w14:paraId="6F68B3D0">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小学生常见的心理问题及其辅导</w:t>
            </w:r>
          </w:p>
        </w:tc>
        <w:tc>
          <w:tcPr>
            <w:tcW w:w="1276" w:type="dxa"/>
            <w:tcBorders>
              <w:top w:val="single" w:color="auto" w:sz="4" w:space="0"/>
              <w:left w:val="single" w:color="auto" w:sz="4" w:space="0"/>
              <w:bottom w:val="single" w:color="auto" w:sz="4" w:space="0"/>
              <w:right w:val="single" w:color="auto" w:sz="4" w:space="0"/>
            </w:tcBorders>
            <w:vAlign w:val="center"/>
          </w:tcPr>
          <w:p w14:paraId="7A46D9A0">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2136" w:type="dxa"/>
            <w:tcBorders>
              <w:top w:val="single" w:color="auto" w:sz="4" w:space="0"/>
              <w:left w:val="single" w:color="auto" w:sz="4" w:space="0"/>
              <w:bottom w:val="single" w:color="auto" w:sz="4" w:space="0"/>
              <w:right w:val="single" w:color="auto" w:sz="4" w:space="0"/>
            </w:tcBorders>
            <w:vAlign w:val="center"/>
          </w:tcPr>
          <w:p w14:paraId="25D19071">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5-2、5-3、6-1</w:t>
            </w:r>
          </w:p>
        </w:tc>
        <w:tc>
          <w:tcPr>
            <w:tcW w:w="735" w:type="dxa"/>
            <w:tcBorders>
              <w:top w:val="single" w:color="auto" w:sz="4" w:space="0"/>
              <w:left w:val="single" w:color="auto" w:sz="4" w:space="0"/>
              <w:bottom w:val="single" w:color="auto" w:sz="4" w:space="0"/>
              <w:right w:val="single" w:color="auto" w:sz="4" w:space="0"/>
            </w:tcBorders>
            <w:vAlign w:val="center"/>
          </w:tcPr>
          <w:p w14:paraId="38B37F4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tcBorders>
              <w:top w:val="single" w:color="auto" w:sz="4" w:space="0"/>
              <w:left w:val="single" w:color="auto" w:sz="4" w:space="0"/>
              <w:bottom w:val="single" w:color="auto" w:sz="4" w:space="0"/>
              <w:right w:val="single" w:color="auto" w:sz="4" w:space="0"/>
            </w:tcBorders>
            <w:vAlign w:val="center"/>
          </w:tcPr>
          <w:p w14:paraId="1D037DB4">
            <w:pPr>
              <w:spacing w:line="312" w:lineRule="auto"/>
              <w:jc w:val="center"/>
              <w:rPr>
                <w:rFonts w:ascii="Times New Roman" w:hAnsi="Times New Roman" w:eastAsia="宋体" w:cs="Times New Roman"/>
                <w:szCs w:val="21"/>
              </w:rPr>
            </w:pPr>
          </w:p>
        </w:tc>
      </w:tr>
      <w:tr w14:paraId="7111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7E78FA1D">
            <w:pPr>
              <w:spacing w:line="312" w:lineRule="auto"/>
              <w:jc w:val="center"/>
              <w:rPr>
                <w:rFonts w:ascii="Times New Roman" w:hAnsi="Times New Roman" w:eastAsia="宋体" w:cs="Times New Roman"/>
                <w:sz w:val="24"/>
              </w:rPr>
            </w:pPr>
            <w:r>
              <w:rPr>
                <w:rFonts w:ascii="Times New Roman" w:hAnsi="Times New Roman" w:eastAsia="宋体" w:cs="Times New Roman"/>
                <w:sz w:val="24"/>
              </w:rPr>
              <w:t>5</w:t>
            </w:r>
          </w:p>
        </w:tc>
        <w:tc>
          <w:tcPr>
            <w:tcW w:w="3515" w:type="dxa"/>
            <w:tcBorders>
              <w:top w:val="single" w:color="auto" w:sz="4" w:space="0"/>
              <w:left w:val="single" w:color="auto" w:sz="4" w:space="0"/>
              <w:bottom w:val="single" w:color="auto" w:sz="4" w:space="0"/>
              <w:right w:val="single" w:color="auto" w:sz="4" w:space="0"/>
            </w:tcBorders>
            <w:vAlign w:val="center"/>
          </w:tcPr>
          <w:p w14:paraId="350B7312">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小学生问题行为的甄别与干预</w:t>
            </w:r>
          </w:p>
        </w:tc>
        <w:tc>
          <w:tcPr>
            <w:tcW w:w="1276" w:type="dxa"/>
            <w:tcBorders>
              <w:top w:val="single" w:color="auto" w:sz="4" w:space="0"/>
              <w:left w:val="single" w:color="auto" w:sz="4" w:space="0"/>
              <w:bottom w:val="single" w:color="auto" w:sz="4" w:space="0"/>
              <w:right w:val="single" w:color="auto" w:sz="4" w:space="0"/>
            </w:tcBorders>
            <w:vAlign w:val="center"/>
          </w:tcPr>
          <w:p w14:paraId="63F82CED">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2136" w:type="dxa"/>
            <w:tcBorders>
              <w:top w:val="single" w:color="auto" w:sz="4" w:space="0"/>
              <w:left w:val="single" w:color="auto" w:sz="4" w:space="0"/>
              <w:bottom w:val="single" w:color="auto" w:sz="4" w:space="0"/>
              <w:right w:val="single" w:color="auto" w:sz="4" w:space="0"/>
            </w:tcBorders>
            <w:vAlign w:val="center"/>
          </w:tcPr>
          <w:p w14:paraId="12A9898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5-2、5-3、6-1</w:t>
            </w:r>
          </w:p>
        </w:tc>
        <w:tc>
          <w:tcPr>
            <w:tcW w:w="735" w:type="dxa"/>
            <w:tcBorders>
              <w:top w:val="single" w:color="auto" w:sz="4" w:space="0"/>
              <w:left w:val="single" w:color="auto" w:sz="4" w:space="0"/>
              <w:bottom w:val="single" w:color="auto" w:sz="4" w:space="0"/>
              <w:right w:val="single" w:color="auto" w:sz="4" w:space="0"/>
            </w:tcBorders>
            <w:vAlign w:val="center"/>
          </w:tcPr>
          <w:p w14:paraId="20994E6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4191298E">
            <w:pPr>
              <w:spacing w:line="312" w:lineRule="auto"/>
              <w:jc w:val="center"/>
              <w:rPr>
                <w:rFonts w:ascii="Times New Roman" w:hAnsi="Times New Roman" w:eastAsia="宋体" w:cs="Times New Roman"/>
                <w:szCs w:val="21"/>
              </w:rPr>
            </w:pPr>
          </w:p>
        </w:tc>
      </w:tr>
      <w:tr w14:paraId="7A77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190630ED">
            <w:pPr>
              <w:spacing w:line="312" w:lineRule="auto"/>
              <w:jc w:val="center"/>
              <w:rPr>
                <w:rFonts w:ascii="Times New Roman" w:hAnsi="Times New Roman" w:eastAsia="宋体" w:cs="Times New Roman"/>
                <w:sz w:val="24"/>
              </w:rPr>
            </w:pPr>
            <w:r>
              <w:rPr>
                <w:rFonts w:ascii="Times New Roman" w:hAnsi="Times New Roman" w:eastAsia="宋体" w:cs="Times New Roman"/>
                <w:sz w:val="24"/>
              </w:rPr>
              <w:t>6</w:t>
            </w:r>
          </w:p>
        </w:tc>
        <w:tc>
          <w:tcPr>
            <w:tcW w:w="3515" w:type="dxa"/>
            <w:tcBorders>
              <w:top w:val="single" w:color="auto" w:sz="4" w:space="0"/>
              <w:left w:val="single" w:color="auto" w:sz="4" w:space="0"/>
              <w:bottom w:val="single" w:color="auto" w:sz="4" w:space="0"/>
              <w:right w:val="single" w:color="auto" w:sz="4" w:space="0"/>
            </w:tcBorders>
            <w:vAlign w:val="center"/>
          </w:tcPr>
          <w:p w14:paraId="7125F9CD">
            <w:pPr>
              <w:spacing w:line="312" w:lineRule="auto"/>
              <w:rPr>
                <w:rFonts w:ascii="Times New Roman" w:hAnsi="Times New Roman" w:eastAsia="宋体" w:cs="Times New Roman"/>
                <w:color w:val="000000"/>
                <w:szCs w:val="21"/>
              </w:rPr>
            </w:pPr>
            <w:r>
              <w:rPr>
                <w:rFonts w:ascii="Times New Roman" w:hAnsi="Times New Roman" w:eastAsia="宋体" w:cs="Times New Roman"/>
                <w:sz w:val="24"/>
              </w:rPr>
              <w:t>小学生心理障碍的甄别与干预</w:t>
            </w:r>
          </w:p>
        </w:tc>
        <w:tc>
          <w:tcPr>
            <w:tcW w:w="1276" w:type="dxa"/>
            <w:tcBorders>
              <w:top w:val="single" w:color="auto" w:sz="4" w:space="0"/>
              <w:left w:val="single" w:color="auto" w:sz="4" w:space="0"/>
              <w:bottom w:val="single" w:color="auto" w:sz="4" w:space="0"/>
              <w:right w:val="single" w:color="auto" w:sz="4" w:space="0"/>
            </w:tcBorders>
            <w:vAlign w:val="center"/>
          </w:tcPr>
          <w:p w14:paraId="5C38801F">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2136" w:type="dxa"/>
            <w:tcBorders>
              <w:top w:val="single" w:color="auto" w:sz="4" w:space="0"/>
              <w:left w:val="single" w:color="auto" w:sz="4" w:space="0"/>
              <w:bottom w:val="single" w:color="auto" w:sz="4" w:space="0"/>
              <w:right w:val="single" w:color="auto" w:sz="4" w:space="0"/>
            </w:tcBorders>
            <w:vAlign w:val="center"/>
          </w:tcPr>
          <w:p w14:paraId="7075664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5-2、5-3、6-1</w:t>
            </w:r>
          </w:p>
        </w:tc>
        <w:tc>
          <w:tcPr>
            <w:tcW w:w="735" w:type="dxa"/>
            <w:tcBorders>
              <w:top w:val="single" w:color="auto" w:sz="4" w:space="0"/>
              <w:left w:val="single" w:color="auto" w:sz="4" w:space="0"/>
              <w:bottom w:val="single" w:color="auto" w:sz="4" w:space="0"/>
              <w:right w:val="single" w:color="auto" w:sz="4" w:space="0"/>
            </w:tcBorders>
            <w:vAlign w:val="center"/>
          </w:tcPr>
          <w:p w14:paraId="6C0F5FEF">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10CA208A">
            <w:pPr>
              <w:spacing w:line="312" w:lineRule="auto"/>
              <w:jc w:val="center"/>
              <w:rPr>
                <w:rFonts w:ascii="Times New Roman" w:hAnsi="Times New Roman" w:eastAsia="宋体" w:cs="Times New Roman"/>
                <w:szCs w:val="21"/>
              </w:rPr>
            </w:pPr>
          </w:p>
        </w:tc>
      </w:tr>
      <w:tr w14:paraId="66AE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17028CD6">
            <w:pPr>
              <w:spacing w:line="312" w:lineRule="auto"/>
              <w:jc w:val="center"/>
              <w:rPr>
                <w:rFonts w:ascii="Times New Roman" w:hAnsi="Times New Roman" w:eastAsia="宋体" w:cs="Times New Roman"/>
                <w:sz w:val="24"/>
              </w:rPr>
            </w:pPr>
            <w:r>
              <w:rPr>
                <w:rFonts w:ascii="Times New Roman" w:hAnsi="Times New Roman" w:eastAsia="宋体" w:cs="Times New Roman"/>
                <w:sz w:val="24"/>
              </w:rPr>
              <w:t>7</w:t>
            </w:r>
          </w:p>
        </w:tc>
        <w:tc>
          <w:tcPr>
            <w:tcW w:w="3515" w:type="dxa"/>
            <w:tcBorders>
              <w:top w:val="single" w:color="auto" w:sz="4" w:space="0"/>
              <w:left w:val="single" w:color="auto" w:sz="4" w:space="0"/>
              <w:bottom w:val="single" w:color="auto" w:sz="4" w:space="0"/>
              <w:right w:val="single" w:color="auto" w:sz="4" w:space="0"/>
            </w:tcBorders>
            <w:vAlign w:val="center"/>
          </w:tcPr>
          <w:p w14:paraId="4589B01C">
            <w:pPr>
              <w:spacing w:line="312" w:lineRule="auto"/>
              <w:rPr>
                <w:rFonts w:ascii="Times New Roman" w:hAnsi="Times New Roman" w:eastAsia="宋体" w:cs="Times New Roman"/>
                <w:szCs w:val="21"/>
              </w:rPr>
            </w:pPr>
            <w:r>
              <w:rPr>
                <w:rFonts w:ascii="Times New Roman" w:hAnsi="Times New Roman" w:eastAsia="宋体" w:cs="Times New Roman"/>
                <w:sz w:val="24"/>
              </w:rPr>
              <w:t>小学生游戏辅导</w:t>
            </w:r>
          </w:p>
        </w:tc>
        <w:tc>
          <w:tcPr>
            <w:tcW w:w="1276" w:type="dxa"/>
            <w:tcBorders>
              <w:top w:val="single" w:color="auto" w:sz="4" w:space="0"/>
              <w:left w:val="single" w:color="auto" w:sz="4" w:space="0"/>
              <w:bottom w:val="single" w:color="auto" w:sz="4" w:space="0"/>
              <w:right w:val="single" w:color="auto" w:sz="4" w:space="0"/>
            </w:tcBorders>
            <w:vAlign w:val="center"/>
          </w:tcPr>
          <w:p w14:paraId="08691B94">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1、2、3</w:t>
            </w:r>
          </w:p>
        </w:tc>
        <w:tc>
          <w:tcPr>
            <w:tcW w:w="2136" w:type="dxa"/>
            <w:tcBorders>
              <w:top w:val="single" w:color="auto" w:sz="4" w:space="0"/>
              <w:left w:val="single" w:color="auto" w:sz="4" w:space="0"/>
              <w:bottom w:val="single" w:color="auto" w:sz="4" w:space="0"/>
              <w:right w:val="single" w:color="auto" w:sz="4" w:space="0"/>
            </w:tcBorders>
            <w:vAlign w:val="center"/>
          </w:tcPr>
          <w:p w14:paraId="2A6925A0">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2-2、5-2、5-3、6-1</w:t>
            </w:r>
          </w:p>
        </w:tc>
        <w:tc>
          <w:tcPr>
            <w:tcW w:w="735" w:type="dxa"/>
            <w:tcBorders>
              <w:top w:val="single" w:color="auto" w:sz="4" w:space="0"/>
              <w:left w:val="single" w:color="auto" w:sz="4" w:space="0"/>
              <w:bottom w:val="single" w:color="auto" w:sz="4" w:space="0"/>
              <w:right w:val="single" w:color="auto" w:sz="4" w:space="0"/>
            </w:tcBorders>
            <w:vAlign w:val="center"/>
          </w:tcPr>
          <w:p w14:paraId="68C7985E">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735" w:type="dxa"/>
            <w:tcBorders>
              <w:top w:val="single" w:color="auto" w:sz="4" w:space="0"/>
              <w:left w:val="single" w:color="auto" w:sz="4" w:space="0"/>
              <w:bottom w:val="single" w:color="auto" w:sz="4" w:space="0"/>
              <w:right w:val="single" w:color="auto" w:sz="4" w:space="0"/>
            </w:tcBorders>
            <w:vAlign w:val="center"/>
          </w:tcPr>
          <w:p w14:paraId="66F6FBAA">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14:paraId="52F1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70A201E5">
            <w:pPr>
              <w:spacing w:line="312" w:lineRule="auto"/>
              <w:jc w:val="center"/>
              <w:rPr>
                <w:rFonts w:ascii="Times New Roman" w:hAnsi="Times New Roman" w:eastAsia="宋体" w:cs="Times New Roman"/>
                <w:sz w:val="24"/>
              </w:rPr>
            </w:pPr>
            <w:r>
              <w:rPr>
                <w:rFonts w:ascii="Times New Roman" w:hAnsi="Times New Roman" w:eastAsia="宋体" w:cs="Times New Roman"/>
                <w:sz w:val="24"/>
              </w:rPr>
              <w:t>8</w:t>
            </w:r>
          </w:p>
        </w:tc>
        <w:tc>
          <w:tcPr>
            <w:tcW w:w="3515" w:type="dxa"/>
            <w:tcBorders>
              <w:top w:val="single" w:color="auto" w:sz="4" w:space="0"/>
              <w:left w:val="single" w:color="auto" w:sz="4" w:space="0"/>
              <w:bottom w:val="single" w:color="auto" w:sz="4" w:space="0"/>
              <w:right w:val="single" w:color="auto" w:sz="4" w:space="0"/>
            </w:tcBorders>
            <w:vAlign w:val="center"/>
          </w:tcPr>
          <w:p w14:paraId="52006F62">
            <w:pPr>
              <w:spacing w:line="312" w:lineRule="auto"/>
              <w:rPr>
                <w:rFonts w:ascii="Times New Roman" w:hAnsi="Times New Roman" w:eastAsia="宋体" w:cs="Times New Roman"/>
                <w:szCs w:val="21"/>
              </w:rPr>
            </w:pPr>
            <w:r>
              <w:rPr>
                <w:rFonts w:ascii="Times New Roman" w:hAnsi="Times New Roman" w:eastAsia="宋体" w:cs="Times New Roman"/>
                <w:sz w:val="24"/>
              </w:rPr>
              <w:t>小学生心理剧辅导</w:t>
            </w:r>
          </w:p>
        </w:tc>
        <w:tc>
          <w:tcPr>
            <w:tcW w:w="1276" w:type="dxa"/>
            <w:tcBorders>
              <w:top w:val="single" w:color="auto" w:sz="4" w:space="0"/>
              <w:left w:val="single" w:color="auto" w:sz="4" w:space="0"/>
              <w:bottom w:val="single" w:color="auto" w:sz="4" w:space="0"/>
              <w:right w:val="single" w:color="auto" w:sz="4" w:space="0"/>
            </w:tcBorders>
            <w:vAlign w:val="center"/>
          </w:tcPr>
          <w:p w14:paraId="2C809522">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1、3、4</w:t>
            </w:r>
          </w:p>
        </w:tc>
        <w:tc>
          <w:tcPr>
            <w:tcW w:w="2136" w:type="dxa"/>
            <w:tcBorders>
              <w:top w:val="single" w:color="auto" w:sz="4" w:space="0"/>
              <w:left w:val="single" w:color="auto" w:sz="4" w:space="0"/>
              <w:bottom w:val="single" w:color="auto" w:sz="4" w:space="0"/>
              <w:right w:val="single" w:color="auto" w:sz="4" w:space="0"/>
            </w:tcBorders>
            <w:vAlign w:val="center"/>
          </w:tcPr>
          <w:p w14:paraId="4ED79708">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2-2、5-2、5-3、6-1、8-1、8-2</w:t>
            </w:r>
          </w:p>
        </w:tc>
        <w:tc>
          <w:tcPr>
            <w:tcW w:w="735" w:type="dxa"/>
            <w:tcBorders>
              <w:top w:val="single" w:color="auto" w:sz="4" w:space="0"/>
              <w:left w:val="single" w:color="auto" w:sz="4" w:space="0"/>
              <w:bottom w:val="single" w:color="auto" w:sz="4" w:space="0"/>
              <w:right w:val="single" w:color="auto" w:sz="4" w:space="0"/>
            </w:tcBorders>
            <w:vAlign w:val="center"/>
          </w:tcPr>
          <w:p w14:paraId="5E17AB41">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5214B988">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14:paraId="6ED4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0A56B938">
            <w:pPr>
              <w:spacing w:line="312" w:lineRule="auto"/>
              <w:jc w:val="center"/>
              <w:rPr>
                <w:rFonts w:ascii="Times New Roman" w:hAnsi="Times New Roman" w:eastAsia="宋体" w:cs="Times New Roman"/>
                <w:sz w:val="24"/>
              </w:rPr>
            </w:pPr>
            <w:r>
              <w:rPr>
                <w:rFonts w:ascii="Times New Roman" w:hAnsi="Times New Roman" w:eastAsia="宋体" w:cs="Times New Roman"/>
                <w:sz w:val="24"/>
              </w:rPr>
              <w:t>9</w:t>
            </w:r>
          </w:p>
        </w:tc>
        <w:tc>
          <w:tcPr>
            <w:tcW w:w="3515" w:type="dxa"/>
            <w:tcBorders>
              <w:top w:val="single" w:color="auto" w:sz="4" w:space="0"/>
              <w:left w:val="single" w:color="auto" w:sz="4" w:space="0"/>
              <w:bottom w:val="single" w:color="auto" w:sz="4" w:space="0"/>
              <w:right w:val="single" w:color="auto" w:sz="4" w:space="0"/>
            </w:tcBorders>
            <w:vAlign w:val="center"/>
          </w:tcPr>
          <w:p w14:paraId="6AA8C331">
            <w:pPr>
              <w:spacing w:line="312" w:lineRule="auto"/>
              <w:rPr>
                <w:rFonts w:ascii="Times New Roman" w:hAnsi="Times New Roman" w:eastAsia="宋体" w:cs="Times New Roman"/>
                <w:szCs w:val="21"/>
              </w:rPr>
            </w:pPr>
            <w:r>
              <w:rPr>
                <w:rFonts w:ascii="Times New Roman" w:hAnsi="Times New Roman" w:eastAsia="宋体" w:cs="Times New Roman"/>
                <w:sz w:val="24"/>
              </w:rPr>
              <w:t>小学生图文作品辅导</w:t>
            </w:r>
          </w:p>
        </w:tc>
        <w:tc>
          <w:tcPr>
            <w:tcW w:w="1276" w:type="dxa"/>
            <w:tcBorders>
              <w:top w:val="single" w:color="auto" w:sz="4" w:space="0"/>
              <w:left w:val="single" w:color="auto" w:sz="4" w:space="0"/>
              <w:bottom w:val="single" w:color="auto" w:sz="4" w:space="0"/>
              <w:right w:val="single" w:color="auto" w:sz="4" w:space="0"/>
            </w:tcBorders>
            <w:vAlign w:val="center"/>
          </w:tcPr>
          <w:p w14:paraId="3CD369C9">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2136" w:type="dxa"/>
            <w:tcBorders>
              <w:top w:val="single" w:color="auto" w:sz="4" w:space="0"/>
              <w:left w:val="single" w:color="auto" w:sz="4" w:space="0"/>
              <w:bottom w:val="single" w:color="auto" w:sz="4" w:space="0"/>
              <w:right w:val="single" w:color="auto" w:sz="4" w:space="0"/>
            </w:tcBorders>
            <w:vAlign w:val="center"/>
          </w:tcPr>
          <w:p w14:paraId="4448C576">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5-2、5-3、6-1</w:t>
            </w:r>
          </w:p>
        </w:tc>
        <w:tc>
          <w:tcPr>
            <w:tcW w:w="735" w:type="dxa"/>
            <w:tcBorders>
              <w:top w:val="single" w:color="auto" w:sz="4" w:space="0"/>
              <w:left w:val="single" w:color="auto" w:sz="4" w:space="0"/>
              <w:bottom w:val="single" w:color="auto" w:sz="4" w:space="0"/>
              <w:right w:val="single" w:color="auto" w:sz="4" w:space="0"/>
            </w:tcBorders>
            <w:vAlign w:val="center"/>
          </w:tcPr>
          <w:p w14:paraId="39DE481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4D61A662">
            <w:pPr>
              <w:spacing w:line="312" w:lineRule="auto"/>
              <w:jc w:val="center"/>
              <w:rPr>
                <w:rFonts w:ascii="Times New Roman" w:hAnsi="Times New Roman" w:eastAsia="宋体" w:cs="Times New Roman"/>
                <w:szCs w:val="21"/>
              </w:rPr>
            </w:pPr>
          </w:p>
        </w:tc>
      </w:tr>
      <w:tr w14:paraId="3B66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104DAEA6">
            <w:pPr>
              <w:spacing w:line="312" w:lineRule="auto"/>
              <w:jc w:val="center"/>
              <w:rPr>
                <w:rFonts w:ascii="Times New Roman" w:hAnsi="Times New Roman" w:eastAsia="宋体" w:cs="Times New Roman"/>
                <w:sz w:val="24"/>
              </w:rPr>
            </w:pPr>
            <w:r>
              <w:rPr>
                <w:rFonts w:ascii="Times New Roman" w:hAnsi="Times New Roman" w:eastAsia="宋体" w:cs="Times New Roman"/>
                <w:sz w:val="24"/>
              </w:rPr>
              <w:t>10</w:t>
            </w:r>
          </w:p>
        </w:tc>
        <w:tc>
          <w:tcPr>
            <w:tcW w:w="3515" w:type="dxa"/>
            <w:tcBorders>
              <w:top w:val="single" w:color="auto" w:sz="4" w:space="0"/>
              <w:left w:val="single" w:color="auto" w:sz="4" w:space="0"/>
              <w:bottom w:val="single" w:color="auto" w:sz="4" w:space="0"/>
              <w:right w:val="single" w:color="auto" w:sz="4" w:space="0"/>
            </w:tcBorders>
            <w:vAlign w:val="center"/>
          </w:tcPr>
          <w:p w14:paraId="69AF7CA3">
            <w:pPr>
              <w:spacing w:line="312" w:lineRule="auto"/>
              <w:rPr>
                <w:rFonts w:ascii="Times New Roman" w:hAnsi="Times New Roman" w:eastAsia="宋体" w:cs="Times New Roman"/>
                <w:szCs w:val="21"/>
              </w:rPr>
            </w:pPr>
            <w:r>
              <w:rPr>
                <w:rFonts w:ascii="Times New Roman" w:hAnsi="Times New Roman" w:eastAsia="宋体" w:cs="Times New Roman"/>
                <w:szCs w:val="21"/>
              </w:rPr>
              <w:t>小学班级心理辅导活动课设计</w:t>
            </w:r>
          </w:p>
        </w:tc>
        <w:tc>
          <w:tcPr>
            <w:tcW w:w="1276" w:type="dxa"/>
            <w:tcBorders>
              <w:top w:val="single" w:color="auto" w:sz="4" w:space="0"/>
              <w:left w:val="single" w:color="auto" w:sz="4" w:space="0"/>
              <w:bottom w:val="single" w:color="auto" w:sz="4" w:space="0"/>
              <w:right w:val="single" w:color="auto" w:sz="4" w:space="0"/>
            </w:tcBorders>
            <w:vAlign w:val="center"/>
          </w:tcPr>
          <w:p w14:paraId="168A6C5C">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w:t>
            </w:r>
          </w:p>
        </w:tc>
        <w:tc>
          <w:tcPr>
            <w:tcW w:w="2136" w:type="dxa"/>
            <w:tcBorders>
              <w:top w:val="single" w:color="auto" w:sz="4" w:space="0"/>
              <w:left w:val="single" w:color="auto" w:sz="4" w:space="0"/>
              <w:bottom w:val="single" w:color="auto" w:sz="4" w:space="0"/>
              <w:right w:val="single" w:color="auto" w:sz="4" w:space="0"/>
            </w:tcBorders>
            <w:vAlign w:val="center"/>
          </w:tcPr>
          <w:p w14:paraId="0A21028E">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2-2、5-2、5-3、6-1</w:t>
            </w:r>
          </w:p>
        </w:tc>
        <w:tc>
          <w:tcPr>
            <w:tcW w:w="735" w:type="dxa"/>
            <w:tcBorders>
              <w:top w:val="single" w:color="auto" w:sz="4" w:space="0"/>
              <w:left w:val="single" w:color="auto" w:sz="4" w:space="0"/>
              <w:bottom w:val="single" w:color="auto" w:sz="4" w:space="0"/>
              <w:right w:val="single" w:color="auto" w:sz="4" w:space="0"/>
            </w:tcBorders>
            <w:vAlign w:val="center"/>
          </w:tcPr>
          <w:p w14:paraId="74768459">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735" w:type="dxa"/>
            <w:tcBorders>
              <w:top w:val="single" w:color="auto" w:sz="4" w:space="0"/>
              <w:left w:val="single" w:color="auto" w:sz="4" w:space="0"/>
              <w:bottom w:val="single" w:color="auto" w:sz="4" w:space="0"/>
              <w:right w:val="single" w:color="auto" w:sz="4" w:space="0"/>
            </w:tcBorders>
            <w:vAlign w:val="center"/>
          </w:tcPr>
          <w:p w14:paraId="428D43D9">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14:paraId="3AF2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tcBorders>
              <w:top w:val="single" w:color="auto" w:sz="4" w:space="0"/>
              <w:left w:val="single" w:color="auto" w:sz="4" w:space="0"/>
              <w:bottom w:val="single" w:color="auto" w:sz="4" w:space="0"/>
              <w:right w:val="single" w:color="auto" w:sz="4" w:space="0"/>
            </w:tcBorders>
            <w:vAlign w:val="center"/>
          </w:tcPr>
          <w:p w14:paraId="4F1097BA">
            <w:pPr>
              <w:spacing w:line="312" w:lineRule="auto"/>
              <w:jc w:val="center"/>
              <w:rPr>
                <w:rFonts w:ascii="Times New Roman" w:hAnsi="Times New Roman" w:eastAsia="宋体" w:cs="Times New Roman"/>
                <w:sz w:val="24"/>
              </w:rPr>
            </w:pPr>
            <w:r>
              <w:rPr>
                <w:rFonts w:ascii="Times New Roman" w:hAnsi="Times New Roman" w:eastAsia="宋体" w:cs="Times New Roman"/>
                <w:sz w:val="24"/>
              </w:rPr>
              <w:t>11</w:t>
            </w:r>
          </w:p>
        </w:tc>
        <w:tc>
          <w:tcPr>
            <w:tcW w:w="3515" w:type="dxa"/>
            <w:tcBorders>
              <w:top w:val="single" w:color="auto" w:sz="4" w:space="0"/>
              <w:left w:val="single" w:color="auto" w:sz="4" w:space="0"/>
              <w:bottom w:val="single" w:color="auto" w:sz="4" w:space="0"/>
              <w:right w:val="single" w:color="auto" w:sz="4" w:space="0"/>
            </w:tcBorders>
            <w:vAlign w:val="center"/>
          </w:tcPr>
          <w:p w14:paraId="01AA3333">
            <w:pPr>
              <w:spacing w:line="312" w:lineRule="auto"/>
              <w:rPr>
                <w:rFonts w:ascii="Times New Roman" w:hAnsi="Times New Roman" w:eastAsia="宋体" w:cs="Times New Roman"/>
                <w:szCs w:val="21"/>
              </w:rPr>
            </w:pPr>
            <w:r>
              <w:rPr>
                <w:rFonts w:ascii="Times New Roman" w:hAnsi="Times New Roman" w:eastAsia="宋体" w:cs="Times New Roman"/>
                <w:sz w:val="24"/>
              </w:rPr>
              <w:t>小学生心理辅导的工作开展</w:t>
            </w:r>
          </w:p>
        </w:tc>
        <w:tc>
          <w:tcPr>
            <w:tcW w:w="1276" w:type="dxa"/>
            <w:tcBorders>
              <w:top w:val="single" w:color="auto" w:sz="4" w:space="0"/>
              <w:left w:val="single" w:color="auto" w:sz="4" w:space="0"/>
              <w:bottom w:val="single" w:color="auto" w:sz="4" w:space="0"/>
              <w:right w:val="single" w:color="auto" w:sz="4" w:space="0"/>
            </w:tcBorders>
            <w:vAlign w:val="center"/>
          </w:tcPr>
          <w:p w14:paraId="76538147">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2、3、4</w:t>
            </w:r>
          </w:p>
        </w:tc>
        <w:tc>
          <w:tcPr>
            <w:tcW w:w="2136" w:type="dxa"/>
            <w:tcBorders>
              <w:top w:val="single" w:color="auto" w:sz="4" w:space="0"/>
              <w:left w:val="single" w:color="auto" w:sz="4" w:space="0"/>
              <w:bottom w:val="single" w:color="auto" w:sz="4" w:space="0"/>
              <w:right w:val="single" w:color="auto" w:sz="4" w:space="0"/>
            </w:tcBorders>
            <w:vAlign w:val="center"/>
          </w:tcPr>
          <w:p w14:paraId="3F45EF6D">
            <w:pPr>
              <w:spacing w:line="312"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2-2、5-2、5-3、6-1、8-1、8-2</w:t>
            </w:r>
          </w:p>
        </w:tc>
        <w:tc>
          <w:tcPr>
            <w:tcW w:w="735" w:type="dxa"/>
            <w:tcBorders>
              <w:top w:val="single" w:color="auto" w:sz="4" w:space="0"/>
              <w:left w:val="single" w:color="auto" w:sz="4" w:space="0"/>
              <w:bottom w:val="single" w:color="auto" w:sz="4" w:space="0"/>
              <w:right w:val="single" w:color="auto" w:sz="4" w:space="0"/>
            </w:tcBorders>
            <w:vAlign w:val="center"/>
          </w:tcPr>
          <w:p w14:paraId="3A62C4B5">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tcBorders>
              <w:top w:val="single" w:color="auto" w:sz="4" w:space="0"/>
              <w:left w:val="single" w:color="auto" w:sz="4" w:space="0"/>
              <w:bottom w:val="single" w:color="auto" w:sz="4" w:space="0"/>
              <w:right w:val="single" w:color="auto" w:sz="4" w:space="0"/>
            </w:tcBorders>
            <w:vAlign w:val="center"/>
          </w:tcPr>
          <w:p w14:paraId="4289D80C">
            <w:pPr>
              <w:spacing w:line="312" w:lineRule="auto"/>
              <w:jc w:val="center"/>
              <w:rPr>
                <w:rFonts w:ascii="Times New Roman" w:hAnsi="Times New Roman" w:eastAsia="宋体" w:cs="Times New Roman"/>
                <w:szCs w:val="21"/>
              </w:rPr>
            </w:pPr>
          </w:p>
        </w:tc>
      </w:tr>
      <w:tr w14:paraId="443C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tcBorders>
              <w:top w:val="single" w:color="auto" w:sz="4" w:space="0"/>
              <w:left w:val="single" w:color="auto" w:sz="4" w:space="0"/>
              <w:bottom w:val="single" w:color="auto" w:sz="4" w:space="0"/>
              <w:right w:val="single" w:color="auto" w:sz="4" w:space="0"/>
            </w:tcBorders>
            <w:vAlign w:val="center"/>
          </w:tcPr>
          <w:p w14:paraId="083ABDD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735" w:type="dxa"/>
            <w:tcBorders>
              <w:top w:val="single" w:color="auto" w:sz="4" w:space="0"/>
              <w:left w:val="single" w:color="auto" w:sz="4" w:space="0"/>
              <w:bottom w:val="single" w:color="auto" w:sz="4" w:space="0"/>
              <w:right w:val="single" w:color="auto" w:sz="4" w:space="0"/>
            </w:tcBorders>
            <w:vAlign w:val="center"/>
          </w:tcPr>
          <w:p w14:paraId="7FE8E101">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24</w:t>
            </w:r>
          </w:p>
        </w:tc>
        <w:tc>
          <w:tcPr>
            <w:tcW w:w="735" w:type="dxa"/>
            <w:tcBorders>
              <w:top w:val="single" w:color="auto" w:sz="4" w:space="0"/>
              <w:left w:val="single" w:color="auto" w:sz="4" w:space="0"/>
              <w:bottom w:val="single" w:color="auto" w:sz="4" w:space="0"/>
              <w:right w:val="single" w:color="auto" w:sz="4" w:space="0"/>
            </w:tcBorders>
            <w:vAlign w:val="center"/>
          </w:tcPr>
          <w:p w14:paraId="3CE2684D">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8</w:t>
            </w:r>
          </w:p>
        </w:tc>
      </w:tr>
    </w:tbl>
    <w:p w14:paraId="529C8949">
      <w:pPr>
        <w:spacing w:line="360" w:lineRule="auto"/>
        <w:rPr>
          <w:rFonts w:ascii="Calibri" w:hAnsi="Calibri" w:eastAsia="宋体" w:cs="Times New Roman"/>
          <w:b/>
          <w:sz w:val="28"/>
          <w:szCs w:val="28"/>
        </w:rPr>
      </w:pPr>
    </w:p>
    <w:p w14:paraId="4D02614D">
      <w:pPr>
        <w:spacing w:line="360" w:lineRule="auto"/>
        <w:rPr>
          <w:rFonts w:ascii="Calibri" w:hAnsi="Calibri" w:eastAsia="宋体" w:cs="Times New Roman"/>
          <w:b/>
          <w:sz w:val="28"/>
          <w:szCs w:val="28"/>
        </w:rPr>
      </w:pPr>
      <w:r>
        <w:rPr>
          <w:rFonts w:hint="eastAsia" w:ascii="Calibri" w:hAnsi="Calibri" w:eastAsia="宋体" w:cs="Times New Roman"/>
          <w:b/>
          <w:sz w:val="28"/>
          <w:szCs w:val="28"/>
        </w:rPr>
        <w:t>四、课内实验（实践）</w:t>
      </w:r>
    </w:p>
    <w:tbl>
      <w:tblPr>
        <w:tblStyle w:val="30"/>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225"/>
        <w:gridCol w:w="3402"/>
        <w:gridCol w:w="851"/>
        <w:gridCol w:w="1447"/>
        <w:gridCol w:w="815"/>
      </w:tblGrid>
      <w:tr w14:paraId="39F8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shd w:val="clear" w:color="auto" w:fill="FFFFFF"/>
            <w:vAlign w:val="center"/>
          </w:tcPr>
          <w:p w14:paraId="62F8DA8C">
            <w:pPr>
              <w:spacing w:line="276" w:lineRule="auto"/>
              <w:jc w:val="center"/>
              <w:rPr>
                <w:rFonts w:ascii="Calibri" w:hAnsi="Calibri" w:eastAsia="宋体" w:cs="Times New Roman"/>
                <w:bCs/>
                <w:spacing w:val="-20"/>
                <w:szCs w:val="21"/>
              </w:rPr>
            </w:pPr>
            <w:r>
              <w:rPr>
                <w:rFonts w:hint="eastAsia" w:ascii="Calibri" w:hAnsi="Calibri" w:eastAsia="宋体" w:cs="Times New Roman"/>
                <w:bCs/>
                <w:spacing w:val="-20"/>
                <w:szCs w:val="21"/>
              </w:rPr>
              <w:t>序号</w:t>
            </w:r>
          </w:p>
        </w:tc>
        <w:tc>
          <w:tcPr>
            <w:tcW w:w="2225" w:type="dxa"/>
            <w:tcBorders>
              <w:top w:val="single" w:color="auto" w:sz="4" w:space="0"/>
              <w:left w:val="single" w:color="auto" w:sz="4" w:space="0"/>
              <w:bottom w:val="single" w:color="auto" w:sz="4" w:space="0"/>
              <w:right w:val="single" w:color="auto" w:sz="4" w:space="0"/>
            </w:tcBorders>
            <w:shd w:val="clear" w:color="auto" w:fill="FFFFFF"/>
            <w:vAlign w:val="center"/>
          </w:tcPr>
          <w:p w14:paraId="2776F25A">
            <w:pPr>
              <w:spacing w:line="276" w:lineRule="auto"/>
              <w:jc w:val="center"/>
              <w:rPr>
                <w:rFonts w:ascii="Calibri" w:hAnsi="Calibri" w:eastAsia="宋体" w:cs="Times New Roman"/>
                <w:bCs/>
                <w:szCs w:val="21"/>
              </w:rPr>
            </w:pPr>
            <w:r>
              <w:rPr>
                <w:rFonts w:hint="eastAsia" w:ascii="Calibri" w:hAnsi="Calibri" w:eastAsia="宋体" w:cs="Times New Roman"/>
                <w:bCs/>
                <w:szCs w:val="21"/>
              </w:rPr>
              <w:t>项目名称</w:t>
            </w:r>
          </w:p>
        </w:tc>
        <w:tc>
          <w:tcPr>
            <w:tcW w:w="3402" w:type="dxa"/>
            <w:tcBorders>
              <w:top w:val="single" w:color="auto" w:sz="4" w:space="0"/>
              <w:left w:val="single" w:color="auto" w:sz="4" w:space="0"/>
              <w:bottom w:val="single" w:color="auto" w:sz="4" w:space="0"/>
              <w:right w:val="single" w:color="auto" w:sz="4" w:space="0"/>
            </w:tcBorders>
            <w:shd w:val="clear" w:color="auto" w:fill="FFFFFF"/>
            <w:vAlign w:val="center"/>
          </w:tcPr>
          <w:p w14:paraId="05FDB005">
            <w:pPr>
              <w:spacing w:line="276" w:lineRule="auto"/>
              <w:jc w:val="center"/>
              <w:rPr>
                <w:rFonts w:ascii="Calibri" w:hAnsi="Calibri" w:eastAsia="宋体" w:cs="Times New Roman"/>
                <w:bCs/>
                <w:szCs w:val="21"/>
              </w:rPr>
            </w:pPr>
            <w:r>
              <w:rPr>
                <w:rFonts w:hint="eastAsia" w:ascii="Calibri" w:hAnsi="Calibri" w:eastAsia="宋体" w:cs="Times New Roman"/>
                <w:bCs/>
                <w:szCs w:val="21"/>
              </w:rPr>
              <w:t>实践内容及要求</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5FEBEA53">
            <w:pPr>
              <w:spacing w:line="276" w:lineRule="auto"/>
              <w:jc w:val="center"/>
              <w:rPr>
                <w:rFonts w:ascii="Calibri" w:hAnsi="Calibri" w:eastAsia="宋体" w:cs="Times New Roman"/>
                <w:bCs/>
                <w:szCs w:val="21"/>
              </w:rPr>
            </w:pPr>
            <w:r>
              <w:rPr>
                <w:rFonts w:hint="eastAsia" w:ascii="Calibri" w:hAnsi="Calibri" w:eastAsia="宋体" w:cs="Times New Roman"/>
                <w:bCs/>
                <w:szCs w:val="21"/>
              </w:rPr>
              <w:t>学时</w:t>
            </w:r>
          </w:p>
        </w:tc>
        <w:tc>
          <w:tcPr>
            <w:tcW w:w="1447" w:type="dxa"/>
            <w:tcBorders>
              <w:top w:val="single" w:color="auto" w:sz="4" w:space="0"/>
              <w:left w:val="single" w:color="auto" w:sz="4" w:space="0"/>
              <w:bottom w:val="single" w:color="auto" w:sz="4" w:space="0"/>
              <w:right w:val="single" w:color="auto" w:sz="4" w:space="0"/>
            </w:tcBorders>
            <w:shd w:val="clear" w:color="auto" w:fill="FFFFFF"/>
            <w:vAlign w:val="center"/>
          </w:tcPr>
          <w:p w14:paraId="78571484">
            <w:pPr>
              <w:spacing w:line="276" w:lineRule="auto"/>
              <w:jc w:val="center"/>
              <w:rPr>
                <w:rFonts w:ascii="Calibri" w:hAnsi="Calibri" w:eastAsia="宋体" w:cs="Times New Roman"/>
                <w:bCs/>
                <w:szCs w:val="21"/>
              </w:rPr>
            </w:pPr>
            <w:r>
              <w:rPr>
                <w:rFonts w:hint="eastAsia" w:ascii="Calibri" w:hAnsi="Calibri" w:eastAsia="宋体" w:cs="Times New Roman"/>
                <w:bCs/>
                <w:szCs w:val="21"/>
              </w:rPr>
              <w:t>对毕业要求的支撑</w:t>
            </w:r>
          </w:p>
        </w:tc>
        <w:tc>
          <w:tcPr>
            <w:tcW w:w="815" w:type="dxa"/>
            <w:tcBorders>
              <w:top w:val="single" w:color="auto" w:sz="4" w:space="0"/>
              <w:left w:val="single" w:color="auto" w:sz="4" w:space="0"/>
              <w:bottom w:val="single" w:color="auto" w:sz="4" w:space="0"/>
              <w:right w:val="single" w:color="auto" w:sz="4" w:space="0"/>
            </w:tcBorders>
            <w:shd w:val="clear" w:color="auto" w:fill="FFFFFF"/>
          </w:tcPr>
          <w:p w14:paraId="3540734D">
            <w:pPr>
              <w:jc w:val="center"/>
              <w:rPr>
                <w:rFonts w:ascii="Calibri" w:hAnsi="Calibri" w:eastAsia="宋体" w:cs="Times New Roman"/>
                <w:bCs/>
                <w:szCs w:val="21"/>
              </w:rPr>
            </w:pPr>
            <w:r>
              <w:rPr>
                <w:rFonts w:hint="eastAsia" w:ascii="Calibri" w:hAnsi="Calibri" w:eastAsia="宋体" w:cs="Times New Roman"/>
                <w:bCs/>
                <w:szCs w:val="21"/>
              </w:rPr>
              <w:t>备注</w:t>
            </w:r>
          </w:p>
        </w:tc>
      </w:tr>
      <w:tr w14:paraId="6253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23C0ADF2">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1</w:t>
            </w:r>
          </w:p>
        </w:tc>
        <w:tc>
          <w:tcPr>
            <w:tcW w:w="2225" w:type="dxa"/>
            <w:tcBorders>
              <w:top w:val="single" w:color="auto" w:sz="4" w:space="0"/>
              <w:left w:val="single" w:color="auto" w:sz="4" w:space="0"/>
              <w:bottom w:val="single" w:color="auto" w:sz="4" w:space="0"/>
              <w:right w:val="single" w:color="auto" w:sz="4" w:space="0"/>
            </w:tcBorders>
            <w:vAlign w:val="center"/>
          </w:tcPr>
          <w:p w14:paraId="100B8BDF">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szCs w:val="21"/>
              </w:rPr>
              <w:t>晤谈技术训练</w:t>
            </w:r>
          </w:p>
        </w:tc>
        <w:tc>
          <w:tcPr>
            <w:tcW w:w="3402" w:type="dxa"/>
            <w:tcBorders>
              <w:top w:val="single" w:color="auto" w:sz="4" w:space="0"/>
              <w:left w:val="single" w:color="auto" w:sz="4" w:space="0"/>
              <w:bottom w:val="single" w:color="auto" w:sz="4" w:space="0"/>
              <w:right w:val="single" w:color="auto" w:sz="4" w:space="0"/>
            </w:tcBorders>
            <w:vAlign w:val="center"/>
          </w:tcPr>
          <w:p w14:paraId="3675D6BB">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实践内容：根据要求设计小学生心理辅导的晤谈过程并进行模拟晤谈</w:t>
            </w:r>
          </w:p>
          <w:p w14:paraId="0FF26321">
            <w:pPr>
              <w:spacing w:line="276" w:lineRule="auto"/>
              <w:rPr>
                <w:rFonts w:hint="eastAsia" w:ascii="新宋体" w:hAnsi="新宋体" w:eastAsia="新宋体" w:cs="Times New Roman"/>
                <w:szCs w:val="21"/>
              </w:rPr>
            </w:pPr>
            <w:r>
              <w:rPr>
                <w:rFonts w:hint="eastAsia" w:ascii="新宋体" w:hAnsi="新宋体" w:eastAsia="新宋体" w:cs="Times New Roman"/>
                <w:szCs w:val="21"/>
              </w:rPr>
              <w:t>实践要求：（1）设计合理的晤谈提纲</w:t>
            </w:r>
          </w:p>
          <w:p w14:paraId="7A67CA47">
            <w:pPr>
              <w:spacing w:line="276" w:lineRule="auto"/>
              <w:rPr>
                <w:rFonts w:hint="eastAsia" w:ascii="新宋体" w:hAnsi="新宋体" w:eastAsia="新宋体" w:cs="Times New Roman"/>
                <w:szCs w:val="21"/>
              </w:rPr>
            </w:pPr>
            <w:r>
              <w:rPr>
                <w:rFonts w:hint="eastAsia" w:ascii="新宋体" w:hAnsi="新宋体" w:eastAsia="新宋体" w:cs="Times New Roman"/>
                <w:szCs w:val="21"/>
              </w:rPr>
              <w:t>（2）与同学合作开展模拟晤谈并录像</w:t>
            </w:r>
          </w:p>
          <w:p w14:paraId="6BDDAB9F">
            <w:pPr>
              <w:spacing w:line="276" w:lineRule="auto"/>
              <w:rPr>
                <w:rFonts w:hint="eastAsia" w:ascii="新宋体" w:hAnsi="新宋体" w:eastAsia="新宋体" w:cs="Times New Roman"/>
                <w:szCs w:val="21"/>
              </w:rPr>
            </w:pPr>
            <w:r>
              <w:rPr>
                <w:rFonts w:hint="eastAsia" w:ascii="新宋体" w:hAnsi="新宋体" w:eastAsia="新宋体" w:cs="Times New Roman"/>
                <w:szCs w:val="21"/>
              </w:rPr>
              <w:t>（3）反复练习晤谈的各个步骤，直到熟练</w:t>
            </w:r>
          </w:p>
        </w:tc>
        <w:tc>
          <w:tcPr>
            <w:tcW w:w="851" w:type="dxa"/>
            <w:tcBorders>
              <w:top w:val="single" w:color="auto" w:sz="4" w:space="0"/>
              <w:left w:val="single" w:color="auto" w:sz="4" w:space="0"/>
              <w:bottom w:val="single" w:color="auto" w:sz="4" w:space="0"/>
              <w:right w:val="single" w:color="auto" w:sz="4" w:space="0"/>
            </w:tcBorders>
            <w:vAlign w:val="center"/>
          </w:tcPr>
          <w:p w14:paraId="61042B9C">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447" w:type="dxa"/>
            <w:tcBorders>
              <w:top w:val="single" w:color="auto" w:sz="4" w:space="0"/>
              <w:left w:val="single" w:color="auto" w:sz="4" w:space="0"/>
              <w:bottom w:val="single" w:color="auto" w:sz="4" w:space="0"/>
              <w:right w:val="single" w:color="auto" w:sz="4" w:space="0"/>
            </w:tcBorders>
            <w:vAlign w:val="center"/>
          </w:tcPr>
          <w:p w14:paraId="47A56296">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5-2、5-3、2-2</w:t>
            </w:r>
          </w:p>
        </w:tc>
        <w:tc>
          <w:tcPr>
            <w:tcW w:w="815" w:type="dxa"/>
            <w:tcBorders>
              <w:top w:val="single" w:color="auto" w:sz="4" w:space="0"/>
              <w:left w:val="single" w:color="auto" w:sz="4" w:space="0"/>
              <w:bottom w:val="single" w:color="auto" w:sz="4" w:space="0"/>
              <w:right w:val="single" w:color="auto" w:sz="4" w:space="0"/>
            </w:tcBorders>
          </w:tcPr>
          <w:p w14:paraId="0A1674AE">
            <w:pPr>
              <w:jc w:val="center"/>
              <w:rPr>
                <w:rFonts w:ascii="Calibri" w:hAnsi="Calibri" w:eastAsia="宋体" w:cs="Times New Roman"/>
                <w:bCs/>
                <w:szCs w:val="21"/>
              </w:rPr>
            </w:pPr>
          </w:p>
        </w:tc>
      </w:tr>
      <w:tr w14:paraId="0748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495C5A26">
            <w:pPr>
              <w:spacing w:line="276" w:lineRule="auto"/>
              <w:jc w:val="center"/>
              <w:rPr>
                <w:rFonts w:hint="eastAsia" w:ascii="新宋体" w:hAnsi="新宋体" w:eastAsia="新宋体" w:cs="Times New Roman"/>
                <w:szCs w:val="21"/>
              </w:rPr>
            </w:pPr>
            <w:r>
              <w:rPr>
                <w:rFonts w:hint="eastAsia" w:ascii="新宋体" w:hAnsi="新宋体" w:eastAsia="新宋体" w:cs="Times New Roman"/>
                <w:szCs w:val="21"/>
              </w:rPr>
              <w:t>2</w:t>
            </w:r>
          </w:p>
        </w:tc>
        <w:tc>
          <w:tcPr>
            <w:tcW w:w="2225" w:type="dxa"/>
            <w:tcBorders>
              <w:top w:val="single" w:color="auto" w:sz="4" w:space="0"/>
              <w:left w:val="single" w:color="auto" w:sz="4" w:space="0"/>
              <w:bottom w:val="single" w:color="auto" w:sz="4" w:space="0"/>
              <w:right w:val="single" w:color="auto" w:sz="4" w:space="0"/>
            </w:tcBorders>
            <w:vAlign w:val="center"/>
          </w:tcPr>
          <w:p w14:paraId="03B6A7E5">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游戏辅导设计</w:t>
            </w:r>
          </w:p>
        </w:tc>
        <w:tc>
          <w:tcPr>
            <w:tcW w:w="3402" w:type="dxa"/>
            <w:tcBorders>
              <w:top w:val="single" w:color="auto" w:sz="4" w:space="0"/>
              <w:left w:val="single" w:color="auto" w:sz="4" w:space="0"/>
              <w:bottom w:val="single" w:color="auto" w:sz="4" w:space="0"/>
              <w:right w:val="single" w:color="auto" w:sz="4" w:space="0"/>
            </w:tcBorders>
            <w:vAlign w:val="center"/>
          </w:tcPr>
          <w:p w14:paraId="70251EFA">
            <w:pPr>
              <w:spacing w:line="276" w:lineRule="auto"/>
              <w:rPr>
                <w:rFonts w:hint="eastAsia" w:ascii="宋体" w:hAnsi="宋体" w:eastAsia="宋体" w:cs="Times New Roman"/>
                <w:szCs w:val="21"/>
              </w:rPr>
            </w:pPr>
            <w:r>
              <w:rPr>
                <w:rFonts w:hint="eastAsia" w:ascii="宋体" w:hAnsi="宋体" w:eastAsia="宋体" w:cs="Times New Roman"/>
                <w:szCs w:val="21"/>
              </w:rPr>
              <w:t>实践内容：设计一个符合小学生心理发展特点并能促进小学生心理发展的游戏，并能在小组内实施</w:t>
            </w:r>
          </w:p>
          <w:p w14:paraId="5F1A7197">
            <w:pPr>
              <w:spacing w:line="276" w:lineRule="auto"/>
              <w:rPr>
                <w:rFonts w:hint="eastAsia" w:ascii="宋体" w:hAnsi="宋体" w:eastAsia="宋体" w:cs="Times New Roman"/>
                <w:szCs w:val="21"/>
              </w:rPr>
            </w:pPr>
            <w:r>
              <w:rPr>
                <w:rFonts w:hint="eastAsia" w:ascii="宋体" w:hAnsi="宋体" w:eastAsia="宋体" w:cs="Times New Roman"/>
                <w:szCs w:val="21"/>
              </w:rPr>
              <w:t>实践要求：（1）游戏设计符合小学生心理特点，能针对性地对小学发展的某个方面进行辅导</w:t>
            </w:r>
          </w:p>
          <w:p w14:paraId="2D1D821C">
            <w:pPr>
              <w:spacing w:line="276" w:lineRule="auto"/>
              <w:rPr>
                <w:rFonts w:hint="eastAsia" w:ascii="宋体" w:hAnsi="宋体" w:eastAsia="宋体" w:cs="Times New Roman"/>
                <w:szCs w:val="21"/>
              </w:rPr>
            </w:pPr>
            <w:r>
              <w:rPr>
                <w:rFonts w:hint="eastAsia" w:ascii="宋体" w:hAnsi="宋体" w:eastAsia="宋体" w:cs="Times New Roman"/>
                <w:szCs w:val="21"/>
              </w:rPr>
              <w:t>（2）游戏安排时间合理，程序清楚，目标明确</w:t>
            </w:r>
          </w:p>
          <w:p w14:paraId="15C7803B">
            <w:pPr>
              <w:spacing w:line="276" w:lineRule="auto"/>
              <w:rPr>
                <w:rFonts w:hint="eastAsia" w:ascii="宋体" w:hAnsi="宋体" w:eastAsia="宋体" w:cs="Times New Roman"/>
                <w:szCs w:val="21"/>
              </w:rPr>
            </w:pPr>
            <w:r>
              <w:rPr>
                <w:rFonts w:hint="eastAsia" w:ascii="宋体" w:hAnsi="宋体" w:eastAsia="宋体" w:cs="Times New Roman"/>
                <w:szCs w:val="21"/>
              </w:rPr>
              <w:t>（3）游戏实施过程清晰，组织安排恰当</w:t>
            </w:r>
          </w:p>
        </w:tc>
        <w:tc>
          <w:tcPr>
            <w:tcW w:w="851" w:type="dxa"/>
            <w:tcBorders>
              <w:top w:val="single" w:color="auto" w:sz="4" w:space="0"/>
              <w:left w:val="single" w:color="auto" w:sz="4" w:space="0"/>
              <w:bottom w:val="single" w:color="auto" w:sz="4" w:space="0"/>
              <w:right w:val="single" w:color="auto" w:sz="4" w:space="0"/>
            </w:tcBorders>
            <w:vAlign w:val="center"/>
          </w:tcPr>
          <w:p w14:paraId="2DD70CC6">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447" w:type="dxa"/>
            <w:tcBorders>
              <w:top w:val="single" w:color="auto" w:sz="4" w:space="0"/>
              <w:left w:val="single" w:color="auto" w:sz="4" w:space="0"/>
              <w:bottom w:val="single" w:color="auto" w:sz="4" w:space="0"/>
              <w:right w:val="single" w:color="auto" w:sz="4" w:space="0"/>
            </w:tcBorders>
            <w:vAlign w:val="center"/>
          </w:tcPr>
          <w:p w14:paraId="3B69DF9E">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2-2，5-2、5-3、8-1、8-2</w:t>
            </w:r>
          </w:p>
        </w:tc>
        <w:tc>
          <w:tcPr>
            <w:tcW w:w="815" w:type="dxa"/>
            <w:tcBorders>
              <w:top w:val="single" w:color="auto" w:sz="4" w:space="0"/>
              <w:left w:val="single" w:color="auto" w:sz="4" w:space="0"/>
              <w:bottom w:val="single" w:color="auto" w:sz="4" w:space="0"/>
              <w:right w:val="single" w:color="auto" w:sz="4" w:space="0"/>
            </w:tcBorders>
          </w:tcPr>
          <w:p w14:paraId="6B250F97">
            <w:pPr>
              <w:jc w:val="center"/>
              <w:rPr>
                <w:rFonts w:ascii="Calibri" w:hAnsi="Calibri" w:eastAsia="宋体" w:cs="Times New Roman"/>
                <w:bCs/>
                <w:szCs w:val="21"/>
              </w:rPr>
            </w:pPr>
          </w:p>
        </w:tc>
      </w:tr>
      <w:tr w14:paraId="250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32D86839">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225" w:type="dxa"/>
            <w:tcBorders>
              <w:top w:val="single" w:color="auto" w:sz="4" w:space="0"/>
              <w:left w:val="single" w:color="auto" w:sz="4" w:space="0"/>
              <w:bottom w:val="single" w:color="auto" w:sz="4" w:space="0"/>
              <w:right w:val="single" w:color="auto" w:sz="4" w:space="0"/>
            </w:tcBorders>
            <w:vAlign w:val="center"/>
          </w:tcPr>
          <w:p w14:paraId="22E42AA3">
            <w:pPr>
              <w:adjustRightInd w:val="0"/>
              <w:spacing w:line="276" w:lineRule="auto"/>
              <w:rPr>
                <w:rFonts w:hint="eastAsia" w:ascii="宋体" w:hAnsi="宋体" w:eastAsia="宋体" w:cs="Times New Roman"/>
                <w:bCs/>
                <w:szCs w:val="21"/>
              </w:rPr>
            </w:pPr>
            <w:r>
              <w:rPr>
                <w:rFonts w:hint="eastAsia" w:ascii="宋体" w:hAnsi="宋体" w:eastAsia="宋体" w:cs="Times New Roman"/>
                <w:szCs w:val="21"/>
              </w:rPr>
              <w:t>心理剧展演</w:t>
            </w:r>
          </w:p>
        </w:tc>
        <w:tc>
          <w:tcPr>
            <w:tcW w:w="3402" w:type="dxa"/>
            <w:tcBorders>
              <w:top w:val="single" w:color="auto" w:sz="4" w:space="0"/>
              <w:left w:val="single" w:color="auto" w:sz="4" w:space="0"/>
              <w:bottom w:val="single" w:color="auto" w:sz="4" w:space="0"/>
              <w:right w:val="single" w:color="auto" w:sz="4" w:space="0"/>
            </w:tcBorders>
            <w:vAlign w:val="center"/>
          </w:tcPr>
          <w:p w14:paraId="5CD60CCB">
            <w:pPr>
              <w:spacing w:line="276" w:lineRule="auto"/>
              <w:rPr>
                <w:rFonts w:hint="eastAsia" w:ascii="宋体" w:hAnsi="宋体" w:eastAsia="宋体" w:cs="Times New Roman"/>
                <w:szCs w:val="21"/>
              </w:rPr>
            </w:pPr>
            <w:r>
              <w:rPr>
                <w:rFonts w:hint="eastAsia" w:ascii="宋体" w:hAnsi="宋体" w:eastAsia="宋体" w:cs="Times New Roman"/>
                <w:szCs w:val="21"/>
              </w:rPr>
              <w:t>实践内容：小组合作创编一个心理剧并在演出</w:t>
            </w:r>
          </w:p>
          <w:p w14:paraId="7A6C1810">
            <w:pPr>
              <w:spacing w:line="276" w:lineRule="auto"/>
              <w:rPr>
                <w:rFonts w:hint="eastAsia" w:ascii="宋体" w:hAnsi="宋体" w:eastAsia="宋体" w:cs="Times New Roman"/>
                <w:szCs w:val="21"/>
              </w:rPr>
            </w:pPr>
            <w:r>
              <w:rPr>
                <w:rFonts w:hint="eastAsia" w:ascii="宋体" w:hAnsi="宋体" w:eastAsia="宋体" w:cs="Times New Roman"/>
                <w:szCs w:val="21"/>
              </w:rPr>
              <w:t>实践要求：（1）心理剧创编由小组合作完成，内容符合小学生特点，形式符合心理剧要求</w:t>
            </w:r>
          </w:p>
          <w:p w14:paraId="65EEFD32">
            <w:pPr>
              <w:spacing w:line="276" w:lineRule="auto"/>
              <w:rPr>
                <w:rFonts w:hint="eastAsia" w:ascii="宋体" w:hAnsi="宋体" w:eastAsia="宋体" w:cs="Times New Roman"/>
                <w:szCs w:val="21"/>
              </w:rPr>
            </w:pPr>
            <w:r>
              <w:rPr>
                <w:rFonts w:hint="eastAsia" w:ascii="宋体" w:hAnsi="宋体" w:eastAsia="宋体" w:cs="Times New Roman"/>
                <w:szCs w:val="21"/>
              </w:rPr>
              <w:t>（2）各成员分工合理，能协同完成活动</w:t>
            </w:r>
          </w:p>
        </w:tc>
        <w:tc>
          <w:tcPr>
            <w:tcW w:w="851" w:type="dxa"/>
            <w:tcBorders>
              <w:top w:val="single" w:color="auto" w:sz="4" w:space="0"/>
              <w:left w:val="single" w:color="auto" w:sz="4" w:space="0"/>
              <w:bottom w:val="single" w:color="auto" w:sz="4" w:space="0"/>
              <w:right w:val="single" w:color="auto" w:sz="4" w:space="0"/>
            </w:tcBorders>
            <w:vAlign w:val="center"/>
          </w:tcPr>
          <w:p w14:paraId="2FE0E0D1">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447" w:type="dxa"/>
            <w:tcBorders>
              <w:top w:val="single" w:color="auto" w:sz="4" w:space="0"/>
              <w:left w:val="single" w:color="auto" w:sz="4" w:space="0"/>
              <w:bottom w:val="single" w:color="auto" w:sz="4" w:space="0"/>
              <w:right w:val="single" w:color="auto" w:sz="4" w:space="0"/>
            </w:tcBorders>
            <w:vAlign w:val="center"/>
          </w:tcPr>
          <w:p w14:paraId="72786208">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2-2，5-2、5-3、8-1、8-2</w:t>
            </w:r>
          </w:p>
        </w:tc>
        <w:tc>
          <w:tcPr>
            <w:tcW w:w="815" w:type="dxa"/>
            <w:tcBorders>
              <w:top w:val="single" w:color="auto" w:sz="4" w:space="0"/>
              <w:left w:val="single" w:color="auto" w:sz="4" w:space="0"/>
              <w:bottom w:val="single" w:color="auto" w:sz="4" w:space="0"/>
              <w:right w:val="single" w:color="auto" w:sz="4" w:space="0"/>
            </w:tcBorders>
          </w:tcPr>
          <w:p w14:paraId="22284C67">
            <w:pPr>
              <w:jc w:val="center"/>
              <w:rPr>
                <w:rFonts w:hint="eastAsia" w:ascii="宋体" w:hAnsi="宋体" w:eastAsia="宋体" w:cs="Times New Roman"/>
                <w:color w:val="000000"/>
                <w:szCs w:val="21"/>
              </w:rPr>
            </w:pPr>
          </w:p>
        </w:tc>
      </w:tr>
      <w:tr w14:paraId="1DA1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left w:val="single" w:color="auto" w:sz="4" w:space="0"/>
              <w:bottom w:val="single" w:color="auto" w:sz="4" w:space="0"/>
              <w:right w:val="single" w:color="auto" w:sz="4" w:space="0"/>
            </w:tcBorders>
            <w:vAlign w:val="center"/>
          </w:tcPr>
          <w:p w14:paraId="222A750A">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225" w:type="dxa"/>
            <w:tcBorders>
              <w:top w:val="single" w:color="auto" w:sz="4" w:space="0"/>
              <w:left w:val="single" w:color="auto" w:sz="4" w:space="0"/>
              <w:bottom w:val="single" w:color="auto" w:sz="4" w:space="0"/>
              <w:right w:val="single" w:color="auto" w:sz="4" w:space="0"/>
            </w:tcBorders>
            <w:vAlign w:val="center"/>
          </w:tcPr>
          <w:p w14:paraId="5638CD39">
            <w:pPr>
              <w:adjustRightInd w:val="0"/>
              <w:spacing w:line="276" w:lineRule="auto"/>
              <w:rPr>
                <w:rFonts w:hint="eastAsia" w:ascii="宋体" w:hAnsi="宋体" w:eastAsia="宋体" w:cs="Times New Roman"/>
                <w:bCs/>
                <w:szCs w:val="21"/>
              </w:rPr>
            </w:pPr>
            <w:r>
              <w:rPr>
                <w:rFonts w:hint="eastAsia" w:ascii="宋体" w:hAnsi="宋体" w:eastAsia="宋体" w:cs="Times New Roman"/>
                <w:bCs/>
                <w:szCs w:val="21"/>
              </w:rPr>
              <w:t>模拟教学</w:t>
            </w:r>
          </w:p>
        </w:tc>
        <w:tc>
          <w:tcPr>
            <w:tcW w:w="3402" w:type="dxa"/>
            <w:tcBorders>
              <w:top w:val="single" w:color="auto" w:sz="4" w:space="0"/>
              <w:left w:val="single" w:color="auto" w:sz="4" w:space="0"/>
              <w:bottom w:val="single" w:color="auto" w:sz="4" w:space="0"/>
              <w:right w:val="single" w:color="auto" w:sz="4" w:space="0"/>
            </w:tcBorders>
            <w:vAlign w:val="center"/>
          </w:tcPr>
          <w:p w14:paraId="0B3A622D">
            <w:pPr>
              <w:spacing w:line="276" w:lineRule="auto"/>
              <w:rPr>
                <w:rFonts w:hint="eastAsia" w:ascii="宋体" w:hAnsi="宋体" w:eastAsia="宋体" w:cs="Times New Roman"/>
                <w:szCs w:val="21"/>
              </w:rPr>
            </w:pPr>
            <w:r>
              <w:rPr>
                <w:rFonts w:hint="eastAsia" w:ascii="宋体" w:hAnsi="宋体" w:eastAsia="宋体" w:cs="Times New Roman"/>
                <w:szCs w:val="21"/>
              </w:rPr>
              <w:t>实践内容：在微格教室完成心理一节心理辅导课的模拟教学</w:t>
            </w:r>
          </w:p>
          <w:p w14:paraId="214B520D">
            <w:pPr>
              <w:spacing w:line="276" w:lineRule="auto"/>
              <w:rPr>
                <w:rFonts w:hint="eastAsia" w:ascii="宋体" w:hAnsi="宋体" w:eastAsia="宋体" w:cs="Times New Roman"/>
                <w:szCs w:val="21"/>
              </w:rPr>
            </w:pPr>
            <w:r>
              <w:rPr>
                <w:rFonts w:hint="eastAsia" w:ascii="宋体" w:hAnsi="宋体" w:eastAsia="宋体" w:cs="Times New Roman"/>
                <w:szCs w:val="21"/>
              </w:rPr>
              <w:t>实践要求：（1）模拟教学目标清楚、内容符合小学心理辅导课的要求</w:t>
            </w:r>
          </w:p>
          <w:p w14:paraId="491BDDDA">
            <w:pPr>
              <w:spacing w:line="276" w:lineRule="auto"/>
              <w:rPr>
                <w:rFonts w:hint="eastAsia" w:ascii="宋体" w:hAnsi="宋体" w:eastAsia="宋体" w:cs="Times New Roman"/>
                <w:szCs w:val="21"/>
              </w:rPr>
            </w:pPr>
            <w:r>
              <w:rPr>
                <w:rFonts w:hint="eastAsia" w:ascii="宋体" w:hAnsi="宋体" w:eastAsia="宋体" w:cs="Times New Roman"/>
                <w:szCs w:val="21"/>
              </w:rPr>
              <w:t>（2）能对模拟教学进行自评和互评</w:t>
            </w:r>
          </w:p>
        </w:tc>
        <w:tc>
          <w:tcPr>
            <w:tcW w:w="851" w:type="dxa"/>
            <w:tcBorders>
              <w:top w:val="single" w:color="auto" w:sz="4" w:space="0"/>
              <w:left w:val="single" w:color="auto" w:sz="4" w:space="0"/>
              <w:bottom w:val="single" w:color="auto" w:sz="4" w:space="0"/>
              <w:right w:val="single" w:color="auto" w:sz="4" w:space="0"/>
            </w:tcBorders>
            <w:vAlign w:val="center"/>
          </w:tcPr>
          <w:p w14:paraId="7C869B05">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447" w:type="dxa"/>
            <w:tcBorders>
              <w:top w:val="single" w:color="auto" w:sz="4" w:space="0"/>
              <w:left w:val="single" w:color="auto" w:sz="4" w:space="0"/>
              <w:bottom w:val="single" w:color="auto" w:sz="4" w:space="0"/>
              <w:right w:val="single" w:color="auto" w:sz="4" w:space="0"/>
            </w:tcBorders>
            <w:vAlign w:val="center"/>
          </w:tcPr>
          <w:p w14:paraId="49F6077C">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2-2，5-2、5-3、8-1、8-2</w:t>
            </w:r>
          </w:p>
        </w:tc>
        <w:tc>
          <w:tcPr>
            <w:tcW w:w="815" w:type="dxa"/>
            <w:tcBorders>
              <w:top w:val="single" w:color="auto" w:sz="4" w:space="0"/>
              <w:left w:val="single" w:color="auto" w:sz="4" w:space="0"/>
              <w:bottom w:val="single" w:color="auto" w:sz="4" w:space="0"/>
              <w:right w:val="single" w:color="auto" w:sz="4" w:space="0"/>
            </w:tcBorders>
          </w:tcPr>
          <w:p w14:paraId="3E379E82">
            <w:pPr>
              <w:jc w:val="center"/>
              <w:rPr>
                <w:rFonts w:hint="eastAsia" w:ascii="宋体" w:hAnsi="宋体" w:eastAsia="宋体" w:cs="Times New Roman"/>
                <w:color w:val="000000"/>
                <w:szCs w:val="21"/>
              </w:rPr>
            </w:pPr>
          </w:p>
        </w:tc>
      </w:tr>
      <w:tr w14:paraId="3500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943" w:type="dxa"/>
            <w:gridSpan w:val="2"/>
            <w:tcBorders>
              <w:top w:val="single" w:color="auto" w:sz="4" w:space="0"/>
              <w:left w:val="single" w:color="auto" w:sz="4" w:space="0"/>
              <w:bottom w:val="single" w:color="auto" w:sz="4" w:space="0"/>
              <w:right w:val="single" w:color="auto" w:sz="4" w:space="0"/>
            </w:tcBorders>
            <w:vAlign w:val="center"/>
          </w:tcPr>
          <w:p w14:paraId="5B905271">
            <w:pPr>
              <w:adjustRightInd w:val="0"/>
              <w:spacing w:line="276" w:lineRule="auto"/>
              <w:rPr>
                <w:rFonts w:hint="eastAsia" w:ascii="新宋体" w:hAnsi="新宋体" w:eastAsia="新宋体" w:cs="Times New Roman"/>
                <w:bCs/>
                <w:szCs w:val="21"/>
              </w:rPr>
            </w:pPr>
            <w:r>
              <w:rPr>
                <w:rFonts w:hint="eastAsia" w:ascii="新宋体" w:hAnsi="新宋体" w:eastAsia="新宋体" w:cs="Times New Roman"/>
                <w:bCs/>
                <w:szCs w:val="21"/>
              </w:rPr>
              <w:t>合计</w:t>
            </w:r>
          </w:p>
        </w:tc>
        <w:tc>
          <w:tcPr>
            <w:tcW w:w="3402" w:type="dxa"/>
            <w:tcBorders>
              <w:top w:val="single" w:color="auto" w:sz="4" w:space="0"/>
              <w:left w:val="single" w:color="auto" w:sz="4" w:space="0"/>
              <w:bottom w:val="single" w:color="auto" w:sz="4" w:space="0"/>
              <w:right w:val="single" w:color="auto" w:sz="4" w:space="0"/>
            </w:tcBorders>
            <w:vAlign w:val="center"/>
          </w:tcPr>
          <w:p w14:paraId="5BD012FB">
            <w:pPr>
              <w:spacing w:line="276" w:lineRule="auto"/>
              <w:rPr>
                <w:rFonts w:hint="eastAsia" w:ascii="新宋体" w:hAnsi="新宋体" w:eastAsia="新宋体" w:cs="Times New Roman"/>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740D9BE3">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8</w:t>
            </w:r>
          </w:p>
        </w:tc>
        <w:tc>
          <w:tcPr>
            <w:tcW w:w="1447" w:type="dxa"/>
            <w:tcBorders>
              <w:top w:val="single" w:color="auto" w:sz="4" w:space="0"/>
              <w:left w:val="single" w:color="auto" w:sz="4" w:space="0"/>
              <w:bottom w:val="single" w:color="auto" w:sz="4" w:space="0"/>
              <w:right w:val="single" w:color="auto" w:sz="4" w:space="0"/>
            </w:tcBorders>
            <w:vAlign w:val="center"/>
          </w:tcPr>
          <w:p w14:paraId="56DD9EA2">
            <w:pPr>
              <w:spacing w:line="276" w:lineRule="auto"/>
              <w:jc w:val="center"/>
              <w:rPr>
                <w:rFonts w:ascii="Times New Roman" w:hAnsi="Times New Roman" w:eastAsia="宋体" w:cs="Times New Roman"/>
                <w:bCs/>
                <w:szCs w:val="21"/>
              </w:rPr>
            </w:pPr>
          </w:p>
        </w:tc>
        <w:tc>
          <w:tcPr>
            <w:tcW w:w="815" w:type="dxa"/>
            <w:tcBorders>
              <w:top w:val="single" w:color="auto" w:sz="4" w:space="0"/>
              <w:left w:val="single" w:color="auto" w:sz="4" w:space="0"/>
              <w:bottom w:val="single" w:color="auto" w:sz="4" w:space="0"/>
              <w:right w:val="single" w:color="auto" w:sz="4" w:space="0"/>
            </w:tcBorders>
          </w:tcPr>
          <w:p w14:paraId="7B5FD07E">
            <w:pPr>
              <w:jc w:val="center"/>
              <w:rPr>
                <w:rFonts w:ascii="Calibri" w:hAnsi="Calibri" w:eastAsia="宋体" w:cs="Times New Roman"/>
                <w:bCs/>
                <w:szCs w:val="21"/>
              </w:rPr>
            </w:pPr>
          </w:p>
        </w:tc>
      </w:tr>
    </w:tbl>
    <w:p w14:paraId="1D97FD96">
      <w:pPr>
        <w:spacing w:line="360" w:lineRule="auto"/>
        <w:rPr>
          <w:rFonts w:ascii="Calibri" w:hAnsi="Calibri" w:eastAsia="宋体" w:cs="Times New Roman"/>
          <w:b/>
          <w:sz w:val="28"/>
          <w:szCs w:val="28"/>
        </w:rPr>
      </w:pPr>
      <w:r>
        <w:rPr>
          <w:rFonts w:hint="eastAsia" w:ascii="Calibri" w:hAnsi="Calibri" w:eastAsia="宋体" w:cs="Times New Roman"/>
          <w:b/>
          <w:sz w:val="28"/>
          <w:szCs w:val="28"/>
        </w:rPr>
        <w:t>五、课程实施</w:t>
      </w:r>
    </w:p>
    <w:p w14:paraId="669F2799">
      <w:pPr>
        <w:spacing w:line="360" w:lineRule="auto"/>
        <w:rPr>
          <w:rFonts w:ascii="Calibri" w:hAnsi="Calibri" w:eastAsia="宋体" w:cs="Times New Roman"/>
          <w:sz w:val="24"/>
        </w:rPr>
      </w:pPr>
      <w:r>
        <w:rPr>
          <w:rFonts w:hint="eastAsia" w:ascii="Calibri" w:hAnsi="Calibri" w:eastAsia="宋体" w:cs="Times New Roman"/>
          <w:sz w:val="24"/>
        </w:rPr>
        <w:t>（一）以学生的自身的心理健康为基础，运用案例教学法和问题教学法，每次课结合案例展开讨论，激发学生主动学习的热情，把理论与实践相结合进行教学。</w:t>
      </w:r>
    </w:p>
    <w:p w14:paraId="47177FC3">
      <w:pPr>
        <w:spacing w:line="360" w:lineRule="auto"/>
        <w:rPr>
          <w:rFonts w:ascii="Calibri" w:hAnsi="Calibri" w:eastAsia="宋体" w:cs="Times New Roman"/>
          <w:sz w:val="24"/>
        </w:rPr>
      </w:pPr>
      <w:r>
        <w:rPr>
          <w:rFonts w:hint="eastAsia" w:ascii="Calibri" w:hAnsi="Calibri" w:eastAsia="宋体" w:cs="Times New Roman"/>
          <w:sz w:val="24"/>
        </w:rPr>
        <w:t>（二）采用多媒体教学手段，充分利用网络课程，加强课内实践活动设计，注意课内外学习的配合，调动学生的合作学习意识，加强学习共同体建设和使用。</w:t>
      </w:r>
    </w:p>
    <w:p w14:paraId="60280ADD">
      <w:pPr>
        <w:spacing w:line="360" w:lineRule="auto"/>
        <w:rPr>
          <w:rFonts w:ascii="Calibri" w:hAnsi="Calibri" w:eastAsia="宋体" w:cs="Times New Roman"/>
          <w:sz w:val="24"/>
        </w:rPr>
      </w:pPr>
      <w:r>
        <w:rPr>
          <w:rFonts w:hint="eastAsia" w:ascii="Calibri" w:hAnsi="Calibri" w:eastAsia="宋体" w:cs="Times New Roman"/>
          <w:sz w:val="24"/>
        </w:rPr>
        <w:t>（三）课堂教学设计采用问题教学模式，以问题为核心，展开教学内容，最后以解决问题为目标。</w:t>
      </w:r>
    </w:p>
    <w:p w14:paraId="3EC6E0D8">
      <w:pPr>
        <w:spacing w:line="360" w:lineRule="auto"/>
        <w:rPr>
          <w:rFonts w:ascii="Calibri" w:hAnsi="Calibri" w:eastAsia="宋体" w:cs="Times New Roman"/>
          <w:b/>
          <w:sz w:val="24"/>
        </w:rPr>
      </w:pPr>
      <w:r>
        <w:rPr>
          <w:rFonts w:hint="eastAsia" w:ascii="Calibri" w:hAnsi="Calibri" w:eastAsia="宋体" w:cs="Times New Roman"/>
          <w:bCs/>
          <w:sz w:val="24"/>
        </w:rPr>
        <w:t>（四）主要教学环节的质量要求如表所示。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5361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bottom w:val="single" w:color="auto" w:sz="4" w:space="0"/>
              <w:right w:val="single" w:color="auto" w:sz="8" w:space="0"/>
            </w:tcBorders>
            <w:tcMar>
              <w:top w:w="0" w:type="dxa"/>
              <w:left w:w="28" w:type="dxa"/>
              <w:bottom w:w="0" w:type="dxa"/>
              <w:right w:w="28" w:type="dxa"/>
            </w:tcMar>
            <w:vAlign w:val="center"/>
          </w:tcPr>
          <w:p w14:paraId="6C8410BB">
            <w:pPr>
              <w:jc w:val="center"/>
              <w:rPr>
                <w:rFonts w:ascii="Calibri" w:hAnsi="Calibri" w:eastAsia="宋体" w:cs="Times New Roman"/>
                <w:szCs w:val="21"/>
              </w:rPr>
            </w:pPr>
            <w:r>
              <w:rPr>
                <w:rFonts w:hint="eastAsia" w:ascii="Calibri" w:hAnsi="Calibri" w:eastAsia="宋体" w:cs="Times New Roman"/>
                <w:bCs/>
                <w:szCs w:val="21"/>
              </w:rPr>
              <w:t>主要教学环节</w:t>
            </w:r>
          </w:p>
        </w:tc>
        <w:tc>
          <w:tcPr>
            <w:tcW w:w="6817" w:type="dxa"/>
            <w:tcBorders>
              <w:top w:val="single" w:color="auto" w:sz="8" w:space="0"/>
              <w:left w:val="single" w:color="auto" w:sz="8" w:space="0"/>
              <w:bottom w:val="single" w:color="auto" w:sz="4" w:space="0"/>
              <w:right w:val="single" w:color="auto" w:sz="8" w:space="0"/>
            </w:tcBorders>
            <w:vAlign w:val="center"/>
          </w:tcPr>
          <w:p w14:paraId="3AC86E18">
            <w:pPr>
              <w:jc w:val="center"/>
              <w:rPr>
                <w:rFonts w:ascii="Calibri" w:hAnsi="Calibri" w:eastAsia="宋体" w:cs="Times New Roman"/>
                <w:szCs w:val="21"/>
              </w:rPr>
            </w:pPr>
            <w:r>
              <w:rPr>
                <w:rFonts w:hint="eastAsia" w:ascii="Calibri" w:hAnsi="Calibri" w:eastAsia="宋体" w:cs="Times New Roman"/>
                <w:bCs/>
                <w:szCs w:val="21"/>
              </w:rPr>
              <w:t>质量要求</w:t>
            </w:r>
          </w:p>
        </w:tc>
      </w:tr>
      <w:tr w14:paraId="3881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top w:val="single" w:color="auto" w:sz="4" w:space="0"/>
              <w:left w:val="single" w:color="auto" w:sz="8" w:space="0"/>
              <w:bottom w:val="single" w:color="auto" w:sz="4" w:space="0"/>
              <w:right w:val="single" w:color="auto" w:sz="4" w:space="0"/>
            </w:tcBorders>
            <w:vAlign w:val="center"/>
          </w:tcPr>
          <w:p w14:paraId="19A036E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70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12D6036">
            <w:pPr>
              <w:jc w:val="center"/>
              <w:rPr>
                <w:rFonts w:ascii="Calibri" w:hAnsi="Calibri" w:eastAsia="宋体" w:cs="Times New Roman"/>
                <w:szCs w:val="21"/>
              </w:rPr>
            </w:pPr>
            <w:r>
              <w:rPr>
                <w:rFonts w:hint="eastAsia" w:ascii="Calibri" w:hAnsi="Calibri" w:eastAsia="宋体" w:cs="Times New Roman"/>
                <w:szCs w:val="21"/>
              </w:rPr>
              <w:t>备课</w:t>
            </w:r>
          </w:p>
        </w:tc>
        <w:tc>
          <w:tcPr>
            <w:tcW w:w="6817" w:type="dxa"/>
            <w:tcBorders>
              <w:top w:val="single" w:color="auto" w:sz="4" w:space="0"/>
              <w:left w:val="single" w:color="auto" w:sz="4" w:space="0"/>
              <w:bottom w:val="single" w:color="auto" w:sz="4" w:space="0"/>
              <w:right w:val="single" w:color="auto" w:sz="8" w:space="0"/>
            </w:tcBorders>
            <w:vAlign w:val="center"/>
          </w:tcPr>
          <w:p w14:paraId="6BEA9A8B">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（1）掌握本课程教学大纲内容，严格按照教学大纲要求进行课程教学内容的组织。</w:t>
            </w:r>
          </w:p>
          <w:p w14:paraId="18603D02">
            <w:pPr>
              <w:rPr>
                <w:rFonts w:ascii="Times New Roman" w:hAnsi="Times New Roman" w:eastAsia="宋体" w:cs="Times New Roman"/>
                <w:szCs w:val="21"/>
              </w:rPr>
            </w:pPr>
            <w:r>
              <w:rPr>
                <w:rFonts w:ascii="Times New Roman" w:hAnsi="Times New Roman" w:eastAsia="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204CE164">
            <w:pPr>
              <w:rPr>
                <w:rFonts w:ascii="Times New Roman" w:hAnsi="Times New Roman" w:eastAsia="宋体" w:cs="Times New Roman"/>
                <w:szCs w:val="21"/>
              </w:rPr>
            </w:pPr>
            <w:r>
              <w:rPr>
                <w:rFonts w:ascii="Times New Roman" w:hAnsi="Times New Roman" w:eastAsia="宋体" w:cs="Times New Roman"/>
                <w:szCs w:val="21"/>
              </w:rPr>
              <w:t>（3）根据各部分教学内容，构思授课思路、技巧，选择合适的教学方法。</w:t>
            </w:r>
          </w:p>
        </w:tc>
      </w:tr>
      <w:tr w14:paraId="0F3F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top w:val="single" w:color="auto" w:sz="4" w:space="0"/>
              <w:left w:val="single" w:color="auto" w:sz="8" w:space="0"/>
              <w:bottom w:val="single" w:color="auto" w:sz="4" w:space="0"/>
              <w:right w:val="single" w:color="auto" w:sz="4" w:space="0"/>
            </w:tcBorders>
            <w:vAlign w:val="center"/>
          </w:tcPr>
          <w:p w14:paraId="2EAC7062">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70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44596C">
            <w:pPr>
              <w:jc w:val="center"/>
              <w:rPr>
                <w:rFonts w:ascii="Calibri" w:hAnsi="Calibri" w:eastAsia="宋体" w:cs="Times New Roman"/>
                <w:szCs w:val="21"/>
              </w:rPr>
            </w:pPr>
            <w:r>
              <w:rPr>
                <w:rFonts w:hint="eastAsia" w:ascii="Calibri" w:hAnsi="Calibri" w:eastAsia="宋体" w:cs="Times New Roman"/>
                <w:szCs w:val="21"/>
              </w:rPr>
              <w:t>讲授</w:t>
            </w:r>
          </w:p>
        </w:tc>
        <w:tc>
          <w:tcPr>
            <w:tcW w:w="6817" w:type="dxa"/>
            <w:tcBorders>
              <w:top w:val="single" w:color="auto" w:sz="4" w:space="0"/>
              <w:left w:val="single" w:color="auto" w:sz="4" w:space="0"/>
              <w:bottom w:val="single" w:color="auto" w:sz="4" w:space="0"/>
              <w:right w:val="single" w:color="auto" w:sz="8" w:space="0"/>
            </w:tcBorders>
            <w:vAlign w:val="center"/>
          </w:tcPr>
          <w:p w14:paraId="02885474">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（1）要点准确、推理正确、条理清晰、重点突出，能够理论联系实际，解答学生的实际问题。</w:t>
            </w:r>
          </w:p>
          <w:p w14:paraId="3FEA2630">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（2）采用多种教学方式（如启发式教学、案例分析教学、讨论式教学、多媒体示范教学等），注重培养学生发现、分析和解决问题的能力。</w:t>
            </w:r>
          </w:p>
          <w:p w14:paraId="7846312F">
            <w:pPr>
              <w:rPr>
                <w:rFonts w:ascii="Times New Roman" w:hAnsi="Times New Roman" w:eastAsia="宋体" w:cs="Times New Roman"/>
                <w:szCs w:val="21"/>
              </w:rPr>
            </w:pPr>
            <w:r>
              <w:rPr>
                <w:rFonts w:ascii="Times New Roman" w:hAnsi="Times New Roman" w:eastAsia="宋体" w:cs="Times New Roman"/>
                <w:szCs w:val="21"/>
              </w:rPr>
              <w:t>（3）能够采用现代信息技术辅助教学。</w:t>
            </w:r>
          </w:p>
          <w:p w14:paraId="283F65BD">
            <w:pPr>
              <w:rPr>
                <w:rFonts w:ascii="Times New Roman" w:hAnsi="Times New Roman" w:eastAsia="宋体" w:cs="Times New Roman"/>
                <w:szCs w:val="21"/>
              </w:rPr>
            </w:pPr>
            <w:r>
              <w:rPr>
                <w:rFonts w:ascii="Times New Roman" w:hAnsi="Times New Roman" w:eastAsia="宋体" w:cs="Times New Roman"/>
                <w:szCs w:val="21"/>
              </w:rPr>
              <w:t>（4）表达方式应能便于学生理解、接受，力求形象生动，使学生在掌握知识的过程中，保持较为浓厚的学习兴趣。</w:t>
            </w:r>
          </w:p>
        </w:tc>
      </w:tr>
      <w:tr w14:paraId="6A24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582" w:type="dxa"/>
            <w:tcBorders>
              <w:top w:val="single" w:color="auto" w:sz="4" w:space="0"/>
              <w:left w:val="single" w:color="auto" w:sz="8" w:space="0"/>
              <w:bottom w:val="single" w:color="auto" w:sz="4" w:space="0"/>
              <w:right w:val="single" w:color="auto" w:sz="4" w:space="0"/>
            </w:tcBorders>
            <w:vAlign w:val="center"/>
          </w:tcPr>
          <w:p w14:paraId="6F750050">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70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924245E">
            <w:pPr>
              <w:jc w:val="center"/>
              <w:rPr>
                <w:rFonts w:ascii="Calibri" w:hAnsi="Calibri" w:eastAsia="宋体" w:cs="Times New Roman"/>
                <w:szCs w:val="21"/>
              </w:rPr>
            </w:pPr>
            <w:r>
              <w:rPr>
                <w:rFonts w:hint="eastAsia" w:ascii="Calibri" w:hAnsi="Calibri" w:eastAsia="宋体" w:cs="Times New Roman"/>
                <w:szCs w:val="21"/>
              </w:rPr>
              <w:t>作业布置与批改</w:t>
            </w:r>
          </w:p>
        </w:tc>
        <w:tc>
          <w:tcPr>
            <w:tcW w:w="6817" w:type="dxa"/>
            <w:tcBorders>
              <w:top w:val="single" w:color="auto" w:sz="4" w:space="0"/>
              <w:left w:val="single" w:color="auto" w:sz="4" w:space="0"/>
              <w:bottom w:val="single" w:color="auto" w:sz="4" w:space="0"/>
              <w:right w:val="single" w:color="auto" w:sz="8" w:space="0"/>
            </w:tcBorders>
            <w:vAlign w:val="center"/>
          </w:tcPr>
          <w:p w14:paraId="1917C0CF">
            <w:pPr>
              <w:rPr>
                <w:rFonts w:ascii="Times New Roman" w:hAnsi="Times New Roman" w:eastAsia="宋体" w:cs="Times New Roman"/>
                <w:szCs w:val="21"/>
              </w:rPr>
            </w:pPr>
            <w:r>
              <w:rPr>
                <w:rFonts w:ascii="Times New Roman" w:hAnsi="Times New Roman" w:eastAsia="宋体" w:cs="Times New Roman"/>
                <w:szCs w:val="21"/>
              </w:rPr>
              <w:t>学生必须完成规定数量的作业，作业必须达到以下基本要求：</w:t>
            </w:r>
          </w:p>
          <w:p w14:paraId="7CC6F07D">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738301BC">
            <w:pPr>
              <w:rPr>
                <w:rFonts w:ascii="Times New Roman" w:hAnsi="Times New Roman" w:eastAsia="宋体" w:cs="Times New Roman"/>
                <w:szCs w:val="21"/>
              </w:rPr>
            </w:pPr>
            <w:r>
              <w:rPr>
                <w:rFonts w:ascii="Times New Roman" w:hAnsi="Times New Roman" w:eastAsia="宋体" w:cs="Times New Roman"/>
                <w:szCs w:val="21"/>
              </w:rPr>
              <w:t>（2）作业有自己的观点。</w:t>
            </w:r>
          </w:p>
          <w:p w14:paraId="4196686D">
            <w:pPr>
              <w:rPr>
                <w:rFonts w:ascii="Times New Roman" w:hAnsi="Times New Roman" w:eastAsia="宋体" w:cs="Times New Roman"/>
                <w:szCs w:val="21"/>
              </w:rPr>
            </w:pPr>
            <w:r>
              <w:rPr>
                <w:rFonts w:ascii="Times New Roman" w:hAnsi="Times New Roman" w:eastAsia="宋体" w:cs="Times New Roman"/>
                <w:szCs w:val="21"/>
              </w:rPr>
              <w:t>教师批改和讲评作业要求如下：</w:t>
            </w:r>
          </w:p>
          <w:p w14:paraId="27FECC7A">
            <w:pPr>
              <w:rPr>
                <w:rFonts w:ascii="Times New Roman" w:hAnsi="Times New Roman" w:eastAsia="宋体" w:cs="Times New Roman"/>
                <w:szCs w:val="21"/>
              </w:rPr>
            </w:pPr>
            <w:r>
              <w:rPr>
                <w:rFonts w:ascii="Times New Roman" w:hAnsi="Times New Roman" w:eastAsia="宋体" w:cs="Times New Roman"/>
                <w:szCs w:val="21"/>
              </w:rPr>
              <w:t>（1）学生的作业要按时全部批改。</w:t>
            </w:r>
          </w:p>
          <w:p w14:paraId="6EE76A08">
            <w:pPr>
              <w:rPr>
                <w:rFonts w:ascii="Times New Roman" w:hAnsi="Times New Roman" w:eastAsia="宋体" w:cs="Times New Roman"/>
                <w:szCs w:val="21"/>
              </w:rPr>
            </w:pPr>
            <w:r>
              <w:rPr>
                <w:rFonts w:ascii="Times New Roman" w:hAnsi="Times New Roman" w:eastAsia="宋体" w:cs="Times New Roman"/>
                <w:szCs w:val="21"/>
              </w:rPr>
              <w:t>（2）教师批改和讲评作业要认真、细致，按百分制评定成绩并写明日期。</w:t>
            </w:r>
          </w:p>
          <w:p w14:paraId="51B1361D">
            <w:pPr>
              <w:rPr>
                <w:rFonts w:ascii="Times New Roman" w:hAnsi="Times New Roman" w:eastAsia="宋体" w:cs="Times New Roman"/>
                <w:szCs w:val="21"/>
              </w:rPr>
            </w:pPr>
            <w:r>
              <w:rPr>
                <w:rFonts w:ascii="Times New Roman" w:hAnsi="Times New Roman" w:eastAsia="宋体" w:cs="Times New Roman"/>
                <w:szCs w:val="21"/>
              </w:rPr>
              <w:t>（3）学生作业的平均成绩应作为本课程总评成绩中平时成绩的重要组成部分。</w:t>
            </w:r>
          </w:p>
        </w:tc>
      </w:tr>
      <w:tr w14:paraId="19DC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582" w:type="dxa"/>
            <w:tcBorders>
              <w:top w:val="single" w:color="auto" w:sz="4" w:space="0"/>
              <w:left w:val="single" w:color="auto" w:sz="8" w:space="0"/>
              <w:bottom w:val="single" w:color="auto" w:sz="4" w:space="0"/>
              <w:right w:val="single" w:color="auto" w:sz="4" w:space="0"/>
            </w:tcBorders>
            <w:vAlign w:val="center"/>
          </w:tcPr>
          <w:p w14:paraId="48CD8C39">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70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450763">
            <w:pPr>
              <w:jc w:val="center"/>
              <w:rPr>
                <w:rFonts w:ascii="Calibri" w:hAnsi="Calibri" w:eastAsia="宋体" w:cs="Times New Roman"/>
                <w:szCs w:val="21"/>
              </w:rPr>
            </w:pPr>
            <w:r>
              <w:rPr>
                <w:rFonts w:hint="eastAsia" w:ascii="Calibri" w:hAnsi="Calibri" w:eastAsia="宋体" w:cs="Times New Roman"/>
                <w:szCs w:val="21"/>
              </w:rPr>
              <w:t>课外答疑</w:t>
            </w:r>
          </w:p>
        </w:tc>
        <w:tc>
          <w:tcPr>
            <w:tcW w:w="6817" w:type="dxa"/>
            <w:tcBorders>
              <w:top w:val="single" w:color="auto" w:sz="4" w:space="0"/>
              <w:left w:val="single" w:color="auto" w:sz="4" w:space="0"/>
              <w:bottom w:val="single" w:color="auto" w:sz="4" w:space="0"/>
              <w:right w:val="single" w:color="auto" w:sz="8" w:space="0"/>
            </w:tcBorders>
            <w:vAlign w:val="center"/>
          </w:tcPr>
          <w:p w14:paraId="1DD3EB64">
            <w:pPr>
              <w:rPr>
                <w:rFonts w:ascii="Times New Roman" w:hAnsi="Times New Roman" w:eastAsia="宋体" w:cs="Times New Roman"/>
                <w:szCs w:val="21"/>
              </w:rPr>
            </w:pPr>
            <w:r>
              <w:rPr>
                <w:rFonts w:ascii="Times New Roman" w:hAnsi="Times New Roman" w:eastAsia="宋体" w:cs="Times New Roman"/>
                <w:szCs w:val="21"/>
              </w:rPr>
              <w:t>充分利用网络课程，补充知识学习的同时，完成答疑工作，任课教师需每周安排一定时间进行课外答疑与辅导。</w:t>
            </w:r>
          </w:p>
        </w:tc>
      </w:tr>
      <w:tr w14:paraId="1049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582" w:type="dxa"/>
            <w:tcBorders>
              <w:top w:val="single" w:color="auto" w:sz="4" w:space="0"/>
              <w:left w:val="single" w:color="auto" w:sz="8" w:space="0"/>
              <w:bottom w:val="single" w:color="auto" w:sz="4" w:space="0"/>
              <w:right w:val="single" w:color="auto" w:sz="4" w:space="0"/>
            </w:tcBorders>
            <w:vAlign w:val="center"/>
          </w:tcPr>
          <w:p w14:paraId="608A0A3D">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70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9AE82ED">
            <w:pPr>
              <w:jc w:val="center"/>
              <w:rPr>
                <w:rFonts w:ascii="Calibri" w:hAnsi="Calibri" w:eastAsia="宋体" w:cs="Times New Roman"/>
                <w:szCs w:val="21"/>
              </w:rPr>
            </w:pPr>
            <w:r>
              <w:rPr>
                <w:rFonts w:hint="eastAsia" w:ascii="Calibri" w:hAnsi="Calibri" w:eastAsia="宋体" w:cs="Times New Roman"/>
                <w:szCs w:val="21"/>
              </w:rPr>
              <w:t>成绩考核</w:t>
            </w:r>
          </w:p>
        </w:tc>
        <w:tc>
          <w:tcPr>
            <w:tcW w:w="6817" w:type="dxa"/>
            <w:tcBorders>
              <w:top w:val="single" w:color="auto" w:sz="4" w:space="0"/>
              <w:left w:val="single" w:color="auto" w:sz="4" w:space="0"/>
              <w:bottom w:val="single" w:color="auto" w:sz="4" w:space="0"/>
              <w:right w:val="single" w:color="auto" w:sz="8" w:space="0"/>
            </w:tcBorders>
            <w:vAlign w:val="center"/>
          </w:tcPr>
          <w:p w14:paraId="3002FD4D">
            <w:pPr>
              <w:rPr>
                <w:rFonts w:ascii="Times New Roman" w:hAnsi="Times New Roman" w:eastAsia="宋体" w:cs="Times New Roman"/>
                <w:szCs w:val="21"/>
              </w:rPr>
            </w:pPr>
            <w:r>
              <w:rPr>
                <w:rFonts w:ascii="Times New Roman" w:hAnsi="Times New Roman" w:eastAsia="宋体" w:cs="Times New Roman"/>
                <w:szCs w:val="21"/>
              </w:rPr>
              <w:t>本课程考核的方式为开卷笔试，考卷由教师组卷。</w:t>
            </w:r>
          </w:p>
          <w:p w14:paraId="4B17A758">
            <w:pPr>
              <w:rPr>
                <w:rFonts w:ascii="Times New Roman" w:hAnsi="Times New Roman" w:eastAsia="宋体" w:cs="Times New Roman"/>
                <w:szCs w:val="21"/>
              </w:rPr>
            </w:pPr>
            <w:r>
              <w:rPr>
                <w:rFonts w:ascii="Times New Roman" w:hAnsi="Times New Roman" w:eastAsia="宋体" w:cs="Times New Roman"/>
                <w:szCs w:val="21"/>
              </w:rPr>
              <w:t>有下列情况之一者，总评成绩为不及格：</w:t>
            </w:r>
          </w:p>
          <w:p w14:paraId="44E7E045">
            <w:pPr>
              <w:rPr>
                <w:rFonts w:ascii="Times New Roman" w:hAnsi="Times New Roman" w:eastAsia="宋体" w:cs="Times New Roman"/>
                <w:szCs w:val="21"/>
              </w:rPr>
            </w:pPr>
            <w:r>
              <w:rPr>
                <w:rFonts w:ascii="Times New Roman" w:hAnsi="Times New Roman" w:eastAsia="宋体" w:cs="Times New Roman"/>
                <w:szCs w:val="21"/>
              </w:rPr>
              <w:t>（1）缺交作业次数达1/3以上者。</w:t>
            </w:r>
          </w:p>
          <w:p w14:paraId="0F91275F">
            <w:pPr>
              <w:rPr>
                <w:rFonts w:ascii="Times New Roman" w:hAnsi="Times New Roman" w:eastAsia="宋体" w:cs="Times New Roman"/>
                <w:szCs w:val="21"/>
              </w:rPr>
            </w:pPr>
            <w:r>
              <w:rPr>
                <w:rFonts w:ascii="Times New Roman" w:hAnsi="Times New Roman" w:eastAsia="宋体" w:cs="Times New Roman"/>
                <w:szCs w:val="21"/>
              </w:rPr>
              <w:t>（2）缺课次数达本学期总授课学时的1/3以上者。</w:t>
            </w:r>
          </w:p>
        </w:tc>
      </w:tr>
    </w:tbl>
    <w:p w14:paraId="62F4A4FD">
      <w:pPr>
        <w:spacing w:line="360" w:lineRule="auto"/>
        <w:rPr>
          <w:rFonts w:ascii="Calibri" w:hAnsi="Calibri" w:eastAsia="宋体" w:cs="Times New Roman"/>
          <w:b/>
          <w:sz w:val="28"/>
          <w:szCs w:val="28"/>
        </w:rPr>
      </w:pPr>
      <w:r>
        <w:rPr>
          <w:rFonts w:hint="eastAsia" w:ascii="Calibri" w:hAnsi="Calibri" w:eastAsia="宋体" w:cs="Times New Roman"/>
          <w:b/>
          <w:sz w:val="28"/>
          <w:szCs w:val="28"/>
        </w:rPr>
        <w:t>六、考核方式</w:t>
      </w:r>
    </w:p>
    <w:p w14:paraId="33655571">
      <w:pPr>
        <w:spacing w:line="360" w:lineRule="auto"/>
        <w:rPr>
          <w:rFonts w:ascii="Calibri" w:hAnsi="Calibri" w:eastAsia="宋体" w:cs="Times New Roman"/>
          <w:sz w:val="24"/>
        </w:rPr>
      </w:pPr>
      <w:r>
        <w:rPr>
          <w:rFonts w:hint="eastAsia" w:ascii="Calibri" w:hAnsi="Calibri" w:eastAsia="宋体" w:cs="Times New Roman"/>
          <w:sz w:val="24"/>
        </w:rPr>
        <w:t>（一）课程考核包括期末考试、平时及作业情况考核和实践考核，期末考试采用开卷笔试。</w:t>
      </w:r>
    </w:p>
    <w:p w14:paraId="4167A1FC">
      <w:pPr>
        <w:spacing w:line="360" w:lineRule="auto"/>
        <w:rPr>
          <w:rFonts w:ascii="Calibri" w:hAnsi="Calibri" w:eastAsia="宋体" w:cs="Times New Roman"/>
          <w:sz w:val="24"/>
        </w:rPr>
      </w:pPr>
      <w:r>
        <w:rPr>
          <w:rFonts w:hint="eastAsia" w:ascii="Calibri" w:hAnsi="Calibri" w:eastAsia="宋体" w:cs="Times New Roman"/>
          <w:sz w:val="24"/>
        </w:rPr>
        <w:t>（二）课程成绩</w:t>
      </w:r>
      <w:r>
        <w:rPr>
          <w:rFonts w:ascii="Times New Roman" w:hAnsi="Times New Roman" w:eastAsia="宋体" w:cs="Times New Roman"/>
          <w:sz w:val="24"/>
        </w:rPr>
        <w:t>=</w:t>
      </w:r>
      <w:r>
        <w:rPr>
          <w:rFonts w:hint="eastAsia" w:ascii="Calibri" w:hAnsi="Calibri" w:eastAsia="宋体" w:cs="Times New Roman"/>
          <w:sz w:val="24"/>
        </w:rPr>
        <w:t>平时成绩</w:t>
      </w:r>
      <w:r>
        <w:rPr>
          <w:rFonts w:ascii="Times New Roman" w:hAnsi="Times New Roman" w:eastAsia="宋体" w:cs="Times New Roman"/>
          <w:sz w:val="24"/>
        </w:rPr>
        <w:t>×30%+实践成绩×20%+期末考试成绩×50%。具体内</w:t>
      </w:r>
      <w:r>
        <w:rPr>
          <w:rFonts w:hint="eastAsia" w:ascii="Calibri" w:hAnsi="Calibri" w:eastAsia="宋体" w:cs="Times New Roman"/>
          <w:sz w:val="24"/>
        </w:rPr>
        <w:t>容和比例如表所示。</w:t>
      </w:r>
    </w:p>
    <w:tbl>
      <w:tblPr>
        <w:tblStyle w:val="30"/>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078"/>
        <w:gridCol w:w="708"/>
        <w:gridCol w:w="2552"/>
        <w:gridCol w:w="1342"/>
        <w:gridCol w:w="1418"/>
        <w:gridCol w:w="993"/>
      </w:tblGrid>
      <w:tr w14:paraId="6C4F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08A1D22C">
            <w:pPr>
              <w:jc w:val="center"/>
              <w:rPr>
                <w:rFonts w:ascii="Calibri" w:hAnsi="Calibri" w:eastAsia="宋体" w:cs="Times New Roman"/>
              </w:rPr>
            </w:pPr>
            <w:r>
              <w:rPr>
                <w:rFonts w:hint="eastAsia" w:ascii="Calibri" w:hAnsi="Calibri" w:eastAsia="宋体" w:cs="Times New Roman"/>
              </w:rPr>
              <w:t>成绩组成</w:t>
            </w:r>
          </w:p>
        </w:tc>
        <w:tc>
          <w:tcPr>
            <w:tcW w:w="1078" w:type="dxa"/>
            <w:tcBorders>
              <w:top w:val="single" w:color="auto" w:sz="4" w:space="0"/>
              <w:left w:val="single" w:color="auto" w:sz="4" w:space="0"/>
              <w:bottom w:val="single" w:color="auto" w:sz="4" w:space="0"/>
              <w:right w:val="single" w:color="auto" w:sz="4" w:space="0"/>
            </w:tcBorders>
            <w:shd w:val="clear" w:color="auto" w:fill="FFFFFF"/>
            <w:vAlign w:val="center"/>
          </w:tcPr>
          <w:p w14:paraId="1A91790B">
            <w:pPr>
              <w:jc w:val="center"/>
              <w:rPr>
                <w:rFonts w:ascii="Calibri" w:hAnsi="Calibri" w:eastAsia="宋体" w:cs="Times New Roman"/>
              </w:rPr>
            </w:pPr>
            <w:r>
              <w:rPr>
                <w:rFonts w:hint="eastAsia" w:ascii="Calibri" w:hAnsi="Calibri" w:eastAsia="宋体" w:cs="Times New Roman"/>
              </w:rPr>
              <w:t>考核</w:t>
            </w:r>
            <w:r>
              <w:rPr>
                <w:rFonts w:ascii="Calibri" w:hAnsi="Calibri" w:eastAsia="宋体" w:cs="Times New Roman"/>
              </w:rPr>
              <w:t>/</w:t>
            </w:r>
            <w:r>
              <w:rPr>
                <w:rFonts w:hint="eastAsia" w:ascii="Calibri" w:hAnsi="Calibri" w:eastAsia="宋体" w:cs="Times New Roman"/>
              </w:rPr>
              <w:t>评价环节</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14:paraId="19C4219A">
            <w:pPr>
              <w:jc w:val="center"/>
              <w:rPr>
                <w:rFonts w:ascii="Calibri" w:hAnsi="Calibri" w:eastAsia="宋体" w:cs="Times New Roman"/>
              </w:rPr>
            </w:pPr>
            <w:r>
              <w:rPr>
                <w:rFonts w:hint="eastAsia" w:ascii="Calibri" w:hAnsi="Calibri" w:eastAsia="宋体" w:cs="Times New Roman"/>
              </w:rPr>
              <w:t>权重</w:t>
            </w:r>
          </w:p>
        </w:tc>
        <w:tc>
          <w:tcPr>
            <w:tcW w:w="2552" w:type="dxa"/>
            <w:tcBorders>
              <w:top w:val="single" w:color="auto" w:sz="4" w:space="0"/>
              <w:left w:val="single" w:color="auto" w:sz="4" w:space="0"/>
              <w:bottom w:val="single" w:color="auto" w:sz="4" w:space="0"/>
              <w:right w:val="single" w:color="auto" w:sz="4" w:space="0"/>
            </w:tcBorders>
            <w:shd w:val="clear" w:color="auto" w:fill="FFFFFF"/>
            <w:vAlign w:val="center"/>
          </w:tcPr>
          <w:p w14:paraId="45815ED9">
            <w:pPr>
              <w:jc w:val="center"/>
              <w:rPr>
                <w:rFonts w:ascii="Calibri" w:hAnsi="Calibri" w:eastAsia="宋体" w:cs="Times New Roman"/>
              </w:rPr>
            </w:pPr>
            <w:r>
              <w:rPr>
                <w:rFonts w:hint="eastAsia" w:ascii="Calibri" w:hAnsi="Calibri" w:eastAsia="宋体" w:cs="Times New Roman"/>
              </w:rPr>
              <w:t>考核</w:t>
            </w:r>
            <w:r>
              <w:rPr>
                <w:rFonts w:ascii="Calibri" w:hAnsi="Calibri" w:eastAsia="宋体" w:cs="Times New Roman"/>
              </w:rPr>
              <w:t>/</w:t>
            </w:r>
            <w:r>
              <w:rPr>
                <w:rFonts w:hint="eastAsia" w:ascii="Calibri" w:hAnsi="Calibri" w:eastAsia="宋体" w:cs="Times New Roman"/>
              </w:rPr>
              <w:t>评价细则</w:t>
            </w:r>
          </w:p>
        </w:tc>
        <w:tc>
          <w:tcPr>
            <w:tcW w:w="1342" w:type="dxa"/>
            <w:tcBorders>
              <w:top w:val="single" w:color="auto" w:sz="4" w:space="0"/>
              <w:left w:val="single" w:color="auto" w:sz="4" w:space="0"/>
              <w:bottom w:val="single" w:color="auto" w:sz="4" w:space="0"/>
              <w:right w:val="single" w:color="auto" w:sz="4" w:space="0"/>
            </w:tcBorders>
            <w:shd w:val="clear" w:color="auto" w:fill="FFFFFF"/>
          </w:tcPr>
          <w:p w14:paraId="231DB797">
            <w:pPr>
              <w:jc w:val="center"/>
              <w:rPr>
                <w:rFonts w:ascii="Calibri" w:hAnsi="Calibri" w:eastAsia="宋体" w:cs="Times New Roman"/>
              </w:rPr>
            </w:pPr>
            <w:r>
              <w:rPr>
                <w:rFonts w:hint="eastAsia" w:ascii="Calibri" w:hAnsi="Calibri" w:eastAsia="宋体" w:cs="Times New Roman"/>
              </w:rPr>
              <w:t>课程目标</w:t>
            </w:r>
          </w:p>
        </w:tc>
        <w:tc>
          <w:tcPr>
            <w:tcW w:w="1418" w:type="dxa"/>
            <w:tcBorders>
              <w:top w:val="single" w:color="auto" w:sz="4" w:space="0"/>
              <w:left w:val="single" w:color="auto" w:sz="4" w:space="0"/>
              <w:bottom w:val="single" w:color="auto" w:sz="4" w:space="0"/>
              <w:right w:val="single" w:color="auto" w:sz="4" w:space="0"/>
            </w:tcBorders>
            <w:shd w:val="clear" w:color="auto" w:fill="FFFFFF"/>
          </w:tcPr>
          <w:p w14:paraId="3FA16EC0">
            <w:pPr>
              <w:jc w:val="center"/>
              <w:rPr>
                <w:rFonts w:ascii="Calibri" w:hAnsi="Calibri" w:eastAsia="宋体" w:cs="Times New Roman"/>
              </w:rPr>
            </w:pPr>
            <w:r>
              <w:rPr>
                <w:rFonts w:hint="eastAsia" w:ascii="Calibri" w:hAnsi="Calibri" w:eastAsia="宋体" w:cs="Times New Roman"/>
              </w:rPr>
              <w:t>考核内容</w:t>
            </w:r>
          </w:p>
        </w:tc>
        <w:tc>
          <w:tcPr>
            <w:tcW w:w="993" w:type="dxa"/>
            <w:tcBorders>
              <w:top w:val="single" w:color="auto" w:sz="4" w:space="0"/>
              <w:left w:val="single" w:color="auto" w:sz="4" w:space="0"/>
              <w:bottom w:val="single" w:color="auto" w:sz="4" w:space="0"/>
              <w:right w:val="single" w:color="auto" w:sz="4" w:space="0"/>
            </w:tcBorders>
            <w:shd w:val="clear" w:color="auto" w:fill="FFFFFF"/>
            <w:vAlign w:val="center"/>
          </w:tcPr>
          <w:p w14:paraId="48D034BB">
            <w:pPr>
              <w:jc w:val="center"/>
              <w:rPr>
                <w:rFonts w:ascii="Calibri" w:hAnsi="Calibri" w:eastAsia="宋体" w:cs="Times New Roman"/>
              </w:rPr>
            </w:pPr>
            <w:r>
              <w:rPr>
                <w:rFonts w:hint="eastAsia" w:ascii="Calibri" w:hAnsi="Calibri" w:eastAsia="宋体" w:cs="Times New Roman"/>
              </w:rPr>
              <w:t>对应的毕业要求指标点</w:t>
            </w:r>
          </w:p>
        </w:tc>
      </w:tr>
      <w:tr w14:paraId="38A1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104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BD2998">
            <w:pPr>
              <w:jc w:val="center"/>
              <w:rPr>
                <w:rFonts w:ascii="Calibri" w:hAnsi="Calibri" w:eastAsia="宋体" w:cs="Times New Roman"/>
              </w:rPr>
            </w:pPr>
            <w:r>
              <w:rPr>
                <w:rFonts w:hint="eastAsia" w:ascii="Calibri" w:hAnsi="Calibri" w:eastAsia="宋体" w:cs="Times New Roman"/>
              </w:rPr>
              <w:t>平时成绩</w:t>
            </w:r>
          </w:p>
        </w:tc>
        <w:tc>
          <w:tcPr>
            <w:tcW w:w="1078" w:type="dxa"/>
            <w:tcBorders>
              <w:top w:val="single" w:color="auto" w:sz="4" w:space="0"/>
              <w:left w:val="single" w:color="auto" w:sz="4" w:space="0"/>
              <w:bottom w:val="single" w:color="auto" w:sz="4" w:space="0"/>
              <w:right w:val="single" w:color="auto" w:sz="4" w:space="0"/>
            </w:tcBorders>
            <w:vAlign w:val="center"/>
          </w:tcPr>
          <w:p w14:paraId="4ADC240C">
            <w:pPr>
              <w:jc w:val="center"/>
              <w:rPr>
                <w:rFonts w:ascii="Calibri" w:hAnsi="Calibri" w:eastAsia="宋体" w:cs="Times New Roman"/>
              </w:rPr>
            </w:pPr>
            <w:r>
              <w:rPr>
                <w:rFonts w:hint="eastAsia" w:ascii="Calibri" w:hAnsi="Calibri" w:eastAsia="宋体" w:cs="Times New Roman"/>
              </w:rPr>
              <w:t>平时作业</w:t>
            </w:r>
          </w:p>
          <w:p w14:paraId="14A956E6">
            <w:pPr>
              <w:jc w:val="center"/>
              <w:rPr>
                <w:rFonts w:ascii="Calibri" w:hAnsi="Calibri" w:eastAsia="宋体" w:cs="Times New Roman"/>
              </w:rPr>
            </w:pPr>
            <w:r>
              <w:rPr>
                <w:rFonts w:hint="eastAsia" w:ascii="Calibri" w:hAnsi="Calibri" w:eastAsia="宋体" w:cs="Times New Roman"/>
              </w:rPr>
              <w:t>考勤及课堂表现</w:t>
            </w:r>
          </w:p>
          <w:p w14:paraId="2FACC23B">
            <w:pPr>
              <w:jc w:val="center"/>
              <w:rPr>
                <w:rFonts w:ascii="Calibri" w:hAnsi="Calibri" w:eastAsia="宋体" w:cs="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28B16856">
            <w:pPr>
              <w:jc w:val="center"/>
              <w:rPr>
                <w:rFonts w:ascii="Times New Roman" w:hAnsi="Times New Roman" w:eastAsia="宋体" w:cs="Times New Roman"/>
              </w:rPr>
            </w:pPr>
            <w:r>
              <w:rPr>
                <w:rFonts w:ascii="Times New Roman" w:hAnsi="Times New Roman" w:eastAsia="宋体" w:cs="Times New Roman"/>
              </w:rPr>
              <w:t>30%</w:t>
            </w:r>
          </w:p>
        </w:tc>
        <w:tc>
          <w:tcPr>
            <w:tcW w:w="2552" w:type="dxa"/>
            <w:tcBorders>
              <w:top w:val="single" w:color="auto" w:sz="4" w:space="0"/>
              <w:left w:val="single" w:color="auto" w:sz="4" w:space="0"/>
              <w:bottom w:val="single" w:color="auto" w:sz="4" w:space="0"/>
              <w:right w:val="single" w:color="auto" w:sz="4" w:space="0"/>
            </w:tcBorders>
            <w:vAlign w:val="center"/>
          </w:tcPr>
          <w:p w14:paraId="0F8135C0">
            <w:pPr>
              <w:rPr>
                <w:rFonts w:ascii="Times New Roman" w:hAnsi="Times New Roman" w:eastAsia="宋体" w:cs="Times New Roman"/>
              </w:rPr>
            </w:pPr>
            <w:r>
              <w:rPr>
                <w:rFonts w:ascii="Times New Roman" w:hAnsi="Times New Roman" w:eastAsia="宋体" w:cs="Times New Roman"/>
              </w:rPr>
              <w:t>课后完成练习题，主要考核学生对每节课知识点的复习、理解和掌握程度，计算全部作业的平均成绩再按20%计入总成绩。</w:t>
            </w:r>
          </w:p>
          <w:p w14:paraId="79EBFCCB">
            <w:pPr>
              <w:rPr>
                <w:rFonts w:ascii="Times New Roman" w:hAnsi="Times New Roman" w:eastAsia="宋体" w:cs="Times New Roman"/>
              </w:rPr>
            </w:pPr>
            <w:r>
              <w:rPr>
                <w:rFonts w:ascii="Times New Roman" w:hAnsi="Times New Roman" w:eastAsia="宋体" w:cs="Times New Roman"/>
                <w:color w:val="000000"/>
                <w:szCs w:val="21"/>
              </w:rPr>
              <w:t>以随机的形式，在课堂上根据教学内容提出思考问题，主要考核学生课堂的听课效果和对所学知识的运用能力</w:t>
            </w:r>
            <w:r>
              <w:rPr>
                <w:rFonts w:ascii="Times New Roman" w:hAnsi="Times New Roman" w:eastAsia="宋体" w:cs="Times New Roman"/>
                <w:szCs w:val="21"/>
              </w:rPr>
              <w:t>，结合平时考勤，最后按10%计入课程总成绩。</w:t>
            </w:r>
          </w:p>
        </w:tc>
        <w:tc>
          <w:tcPr>
            <w:tcW w:w="1342" w:type="dxa"/>
            <w:tcBorders>
              <w:top w:val="single" w:color="auto" w:sz="4" w:space="0"/>
              <w:left w:val="single" w:color="auto" w:sz="4" w:space="0"/>
              <w:bottom w:val="single" w:color="auto" w:sz="4" w:space="0"/>
              <w:right w:val="single" w:color="auto" w:sz="4" w:space="0"/>
            </w:tcBorders>
          </w:tcPr>
          <w:p w14:paraId="06B578E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课程目标1</w:t>
            </w:r>
          </w:p>
          <w:p w14:paraId="21B5E52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课程目标2</w:t>
            </w:r>
          </w:p>
          <w:p w14:paraId="4B8542E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课程目标3</w:t>
            </w:r>
          </w:p>
          <w:p w14:paraId="4754921C">
            <w:pPr>
              <w:jc w:val="center"/>
              <w:rPr>
                <w:rFonts w:ascii="Times New Roman" w:hAnsi="Times New Roman" w:eastAsia="宋体"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tcPr>
          <w:p w14:paraId="424D1C53">
            <w:pPr>
              <w:rPr>
                <w:rFonts w:ascii="Times New Roman" w:hAnsi="Times New Roman" w:eastAsia="宋体" w:cs="Times New Roman"/>
                <w:color w:val="000000"/>
                <w:szCs w:val="21"/>
              </w:rPr>
            </w:pPr>
          </w:p>
          <w:p w14:paraId="16104A1F">
            <w:pPr>
              <w:rPr>
                <w:rFonts w:ascii="Times New Roman" w:hAnsi="Times New Roman" w:eastAsia="宋体" w:cs="Times New Roman"/>
                <w:color w:val="000000"/>
                <w:szCs w:val="21"/>
              </w:rPr>
            </w:pPr>
            <w:r>
              <w:rPr>
                <w:rFonts w:ascii="Times New Roman" w:hAnsi="Times New Roman" w:eastAsia="宋体" w:cs="Times New Roman"/>
                <w:color w:val="000000"/>
                <w:szCs w:val="21"/>
              </w:rPr>
              <w:t>对小学生心理辅导的掌握、小学生行为问题的掌握、课堂设计能力以及儿童观的掌握，能结合学生实际提出相应的建议。</w:t>
            </w:r>
          </w:p>
        </w:tc>
        <w:tc>
          <w:tcPr>
            <w:tcW w:w="993" w:type="dxa"/>
            <w:tcBorders>
              <w:top w:val="single" w:color="auto" w:sz="4" w:space="0"/>
              <w:left w:val="single" w:color="auto" w:sz="4" w:space="0"/>
              <w:bottom w:val="single" w:color="auto" w:sz="4" w:space="0"/>
              <w:right w:val="single" w:color="auto" w:sz="4" w:space="0"/>
            </w:tcBorders>
            <w:vAlign w:val="center"/>
          </w:tcPr>
          <w:p w14:paraId="2E9C2C54">
            <w:pPr>
              <w:jc w:val="center"/>
              <w:rPr>
                <w:rFonts w:ascii="Times New Roman" w:hAnsi="Times New Roman" w:eastAsia="宋体" w:cs="Times New Roman"/>
              </w:rPr>
            </w:pPr>
            <w:r>
              <w:rPr>
                <w:rFonts w:ascii="Times New Roman" w:hAnsi="Times New Roman" w:eastAsia="宋体" w:cs="Times New Roman"/>
                <w:color w:val="000000"/>
                <w:szCs w:val="21"/>
              </w:rPr>
              <w:t>2-2、5-2、5-3、6-1</w:t>
            </w:r>
          </w:p>
        </w:tc>
      </w:tr>
      <w:tr w14:paraId="7C25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04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0EE46B">
            <w:pPr>
              <w:jc w:val="center"/>
              <w:rPr>
                <w:rFonts w:ascii="Calibri" w:hAnsi="Calibri" w:eastAsia="宋体" w:cs="Times New Roman"/>
              </w:rPr>
            </w:pPr>
            <w:r>
              <w:rPr>
                <w:rFonts w:hint="eastAsia" w:ascii="Calibri" w:hAnsi="Calibri" w:eastAsia="宋体" w:cs="Times New Roman"/>
              </w:rPr>
              <w:t>实验成绩</w:t>
            </w:r>
          </w:p>
        </w:tc>
        <w:tc>
          <w:tcPr>
            <w:tcW w:w="1078" w:type="dxa"/>
            <w:tcBorders>
              <w:top w:val="single" w:color="auto" w:sz="4" w:space="0"/>
              <w:left w:val="single" w:color="auto" w:sz="4" w:space="0"/>
              <w:bottom w:val="single" w:color="auto" w:sz="4" w:space="0"/>
              <w:right w:val="single" w:color="auto" w:sz="4" w:space="0"/>
            </w:tcBorders>
            <w:vAlign w:val="center"/>
          </w:tcPr>
          <w:p w14:paraId="24F28376">
            <w:pPr>
              <w:jc w:val="center"/>
              <w:rPr>
                <w:rFonts w:ascii="Calibri" w:hAnsi="Calibri" w:eastAsia="宋体" w:cs="Times New Roman"/>
              </w:rPr>
            </w:pPr>
            <w:r>
              <w:rPr>
                <w:rFonts w:hint="eastAsia" w:ascii="Calibri" w:hAnsi="Calibri" w:eastAsia="宋体" w:cs="Times New Roman"/>
              </w:rPr>
              <w:t>课程实验</w:t>
            </w:r>
          </w:p>
        </w:tc>
        <w:tc>
          <w:tcPr>
            <w:tcW w:w="708" w:type="dxa"/>
            <w:tcBorders>
              <w:top w:val="single" w:color="auto" w:sz="4" w:space="0"/>
              <w:left w:val="single" w:color="auto" w:sz="4" w:space="0"/>
              <w:bottom w:val="single" w:color="auto" w:sz="4" w:space="0"/>
              <w:right w:val="single" w:color="auto" w:sz="4" w:space="0"/>
            </w:tcBorders>
            <w:vAlign w:val="center"/>
          </w:tcPr>
          <w:p w14:paraId="6A138532">
            <w:pPr>
              <w:jc w:val="center"/>
              <w:rPr>
                <w:rFonts w:ascii="Times New Roman" w:hAnsi="Times New Roman" w:eastAsia="宋体" w:cs="Times New Roman"/>
              </w:rPr>
            </w:pPr>
            <w:r>
              <w:rPr>
                <w:rFonts w:ascii="Times New Roman" w:hAnsi="Times New Roman" w:eastAsia="宋体" w:cs="Times New Roman"/>
              </w:rPr>
              <w:t>20%</w:t>
            </w:r>
          </w:p>
        </w:tc>
        <w:tc>
          <w:tcPr>
            <w:tcW w:w="2552" w:type="dxa"/>
            <w:tcBorders>
              <w:top w:val="single" w:color="auto" w:sz="4" w:space="0"/>
              <w:left w:val="single" w:color="auto" w:sz="4" w:space="0"/>
              <w:bottom w:val="single" w:color="auto" w:sz="4" w:space="0"/>
              <w:right w:val="single" w:color="auto" w:sz="4" w:space="0"/>
            </w:tcBorders>
            <w:vAlign w:val="center"/>
          </w:tcPr>
          <w:p w14:paraId="590FAB42">
            <w:pPr>
              <w:rPr>
                <w:rFonts w:ascii="Times New Roman" w:hAnsi="Times New Roman" w:eastAsia="宋体" w:cs="Times New Roman"/>
                <w:color w:val="000000"/>
                <w:szCs w:val="21"/>
              </w:rPr>
            </w:pPr>
            <w:r>
              <w:rPr>
                <w:rFonts w:ascii="Times New Roman" w:hAnsi="Times New Roman" w:eastAsia="宋体" w:cs="Times New Roman"/>
                <w:color w:val="000000"/>
                <w:szCs w:val="21"/>
              </w:rPr>
              <w:t>完成4个课内实践活动，主要是学生对常用心理辅导技术的掌握和学生对合作学习、学习共同体的活动体验的表现，实践成绩平均后得到实践总评成绩，并按20%计入课程总成绩。</w:t>
            </w:r>
          </w:p>
        </w:tc>
        <w:tc>
          <w:tcPr>
            <w:tcW w:w="1342" w:type="dxa"/>
            <w:tcBorders>
              <w:top w:val="single" w:color="auto" w:sz="4" w:space="0"/>
              <w:left w:val="single" w:color="auto" w:sz="4" w:space="0"/>
              <w:bottom w:val="single" w:color="auto" w:sz="4" w:space="0"/>
              <w:right w:val="single" w:color="auto" w:sz="4" w:space="0"/>
            </w:tcBorders>
          </w:tcPr>
          <w:p w14:paraId="224E782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课程目标3</w:t>
            </w:r>
          </w:p>
          <w:p w14:paraId="701402C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课程目标4</w:t>
            </w:r>
          </w:p>
          <w:p w14:paraId="05B02BA5">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课程目标2</w:t>
            </w:r>
          </w:p>
        </w:tc>
        <w:tc>
          <w:tcPr>
            <w:tcW w:w="1418" w:type="dxa"/>
            <w:tcBorders>
              <w:top w:val="single" w:color="auto" w:sz="4" w:space="0"/>
              <w:left w:val="single" w:color="auto" w:sz="4" w:space="0"/>
              <w:bottom w:val="single" w:color="auto" w:sz="4" w:space="0"/>
              <w:right w:val="single" w:color="auto" w:sz="4" w:space="0"/>
            </w:tcBorders>
          </w:tcPr>
          <w:p w14:paraId="503B9CC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心理辅导的基本技术的掌握、心理剧和心理游戏，以及心理辅导课程的设计与实践训练，养成合作的习惯，学会与人沟通。</w:t>
            </w:r>
          </w:p>
        </w:tc>
        <w:tc>
          <w:tcPr>
            <w:tcW w:w="993" w:type="dxa"/>
            <w:tcBorders>
              <w:top w:val="single" w:color="auto" w:sz="4" w:space="0"/>
              <w:left w:val="single" w:color="auto" w:sz="4" w:space="0"/>
              <w:bottom w:val="single" w:color="auto" w:sz="4" w:space="0"/>
              <w:right w:val="single" w:color="auto" w:sz="4" w:space="0"/>
            </w:tcBorders>
            <w:vAlign w:val="center"/>
          </w:tcPr>
          <w:p w14:paraId="029C22F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2-3、6-1、5-2、5-3、8-1、8-2</w:t>
            </w:r>
          </w:p>
        </w:tc>
      </w:tr>
      <w:tr w14:paraId="4CB7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04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E1329FC">
            <w:pPr>
              <w:jc w:val="center"/>
              <w:rPr>
                <w:rFonts w:ascii="Calibri" w:hAnsi="Calibri" w:eastAsia="宋体" w:cs="Times New Roman"/>
              </w:rPr>
            </w:pPr>
            <w:r>
              <w:rPr>
                <w:rFonts w:hint="eastAsia" w:ascii="Calibri" w:hAnsi="Calibri" w:eastAsia="宋体" w:cs="Times New Roman"/>
              </w:rPr>
              <w:t>期末考试</w:t>
            </w:r>
          </w:p>
          <w:p w14:paraId="0E8D740F">
            <w:pPr>
              <w:jc w:val="center"/>
              <w:rPr>
                <w:rFonts w:ascii="Calibri" w:hAnsi="Calibri" w:eastAsia="宋体" w:cs="Times New Roman"/>
              </w:rPr>
            </w:pPr>
          </w:p>
        </w:tc>
        <w:tc>
          <w:tcPr>
            <w:tcW w:w="1078" w:type="dxa"/>
            <w:tcBorders>
              <w:top w:val="single" w:color="auto" w:sz="4" w:space="0"/>
              <w:left w:val="single" w:color="auto" w:sz="4" w:space="0"/>
              <w:bottom w:val="single" w:color="auto" w:sz="4" w:space="0"/>
              <w:right w:val="single" w:color="auto" w:sz="4" w:space="0"/>
            </w:tcBorders>
            <w:vAlign w:val="center"/>
          </w:tcPr>
          <w:p w14:paraId="247A1A19">
            <w:pPr>
              <w:jc w:val="center"/>
              <w:rPr>
                <w:rFonts w:ascii="Calibri" w:hAnsi="Calibri" w:eastAsia="宋体" w:cs="Times New Roman"/>
              </w:rPr>
            </w:pPr>
            <w:r>
              <w:rPr>
                <w:rFonts w:hint="eastAsia" w:ascii="Calibri" w:hAnsi="Calibri" w:eastAsia="宋体" w:cs="Times New Roman"/>
              </w:rPr>
              <w:t>期末考试</w:t>
            </w:r>
          </w:p>
          <w:p w14:paraId="2300AF0F">
            <w:pPr>
              <w:jc w:val="center"/>
              <w:rPr>
                <w:rFonts w:ascii="Calibri" w:hAnsi="Calibri" w:eastAsia="宋体" w:cs="Times New Roman"/>
              </w:rPr>
            </w:pPr>
            <w:r>
              <w:rPr>
                <w:rFonts w:hint="eastAsia" w:ascii="Calibri" w:hAnsi="Calibri" w:eastAsia="宋体" w:cs="Times New Roman"/>
              </w:rPr>
              <w:t>卷面成绩</w:t>
            </w:r>
          </w:p>
        </w:tc>
        <w:tc>
          <w:tcPr>
            <w:tcW w:w="708" w:type="dxa"/>
            <w:tcBorders>
              <w:top w:val="single" w:color="auto" w:sz="4" w:space="0"/>
              <w:left w:val="single" w:color="auto" w:sz="4" w:space="0"/>
              <w:bottom w:val="single" w:color="auto" w:sz="4" w:space="0"/>
              <w:right w:val="single" w:color="auto" w:sz="4" w:space="0"/>
            </w:tcBorders>
            <w:vAlign w:val="center"/>
          </w:tcPr>
          <w:p w14:paraId="785E6FB9">
            <w:pPr>
              <w:jc w:val="center"/>
              <w:rPr>
                <w:rFonts w:ascii="Times New Roman" w:hAnsi="Times New Roman" w:eastAsia="宋体" w:cs="Times New Roman"/>
              </w:rPr>
            </w:pPr>
            <w:r>
              <w:rPr>
                <w:rFonts w:ascii="Times New Roman" w:hAnsi="Times New Roman" w:eastAsia="宋体" w:cs="Times New Roman"/>
              </w:rPr>
              <w:t>50%</w:t>
            </w:r>
          </w:p>
        </w:tc>
        <w:tc>
          <w:tcPr>
            <w:tcW w:w="2552" w:type="dxa"/>
            <w:tcBorders>
              <w:top w:val="single" w:color="auto" w:sz="4" w:space="0"/>
              <w:left w:val="single" w:color="auto" w:sz="4" w:space="0"/>
              <w:bottom w:val="single" w:color="auto" w:sz="4" w:space="0"/>
              <w:right w:val="single" w:color="auto" w:sz="4" w:space="0"/>
            </w:tcBorders>
            <w:vAlign w:val="center"/>
          </w:tcPr>
          <w:p w14:paraId="6DDC4C8B">
            <w:pPr>
              <w:rPr>
                <w:rFonts w:ascii="Times New Roman" w:hAnsi="Times New Roman" w:eastAsia="宋体" w:cs="Times New Roman"/>
                <w:color w:val="000000"/>
                <w:szCs w:val="21"/>
              </w:rPr>
            </w:pPr>
            <w:r>
              <w:rPr>
                <w:rFonts w:ascii="Times New Roman" w:hAnsi="Times New Roman" w:eastAsia="宋体" w:cs="Times New Roman"/>
                <w:color w:val="000000"/>
                <w:szCs w:val="21"/>
              </w:rPr>
              <w:t>试卷题型简答题、案例分析和论述题，以卷面成绩的50%计入课程总成绩。</w:t>
            </w:r>
          </w:p>
        </w:tc>
        <w:tc>
          <w:tcPr>
            <w:tcW w:w="1342" w:type="dxa"/>
            <w:tcBorders>
              <w:top w:val="single" w:color="auto" w:sz="4" w:space="0"/>
              <w:left w:val="single" w:color="auto" w:sz="4" w:space="0"/>
              <w:bottom w:val="single" w:color="auto" w:sz="4" w:space="0"/>
              <w:right w:val="single" w:color="auto" w:sz="4" w:space="0"/>
            </w:tcBorders>
          </w:tcPr>
          <w:p w14:paraId="2A127405">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课程目标1</w:t>
            </w:r>
          </w:p>
          <w:p w14:paraId="5F5EDD7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课程目标2</w:t>
            </w:r>
          </w:p>
          <w:p w14:paraId="1972E00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课程目标3</w:t>
            </w:r>
          </w:p>
          <w:p w14:paraId="096A0560">
            <w:pPr>
              <w:jc w:val="center"/>
              <w:rPr>
                <w:rFonts w:ascii="Times New Roman" w:hAnsi="Times New Roman" w:eastAsia="宋体" w:cs="Times New Roman"/>
                <w:color w:val="000000"/>
                <w:szCs w:val="21"/>
              </w:rPr>
            </w:pPr>
          </w:p>
        </w:tc>
        <w:tc>
          <w:tcPr>
            <w:tcW w:w="1418" w:type="dxa"/>
            <w:tcBorders>
              <w:top w:val="single" w:color="auto" w:sz="4" w:space="0"/>
              <w:left w:val="single" w:color="auto" w:sz="4" w:space="0"/>
              <w:bottom w:val="single" w:color="auto" w:sz="4" w:space="0"/>
              <w:right w:val="single" w:color="auto" w:sz="4" w:space="0"/>
            </w:tcBorders>
          </w:tcPr>
          <w:p w14:paraId="1EAD830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小学生心理辅导的知识、理论与技术，以及小学生心理辅导的活动设计</w:t>
            </w:r>
          </w:p>
        </w:tc>
        <w:tc>
          <w:tcPr>
            <w:tcW w:w="993" w:type="dxa"/>
            <w:tcBorders>
              <w:top w:val="single" w:color="auto" w:sz="4" w:space="0"/>
              <w:left w:val="single" w:color="auto" w:sz="4" w:space="0"/>
              <w:bottom w:val="single" w:color="auto" w:sz="4" w:space="0"/>
              <w:right w:val="single" w:color="auto" w:sz="4" w:space="0"/>
            </w:tcBorders>
            <w:vAlign w:val="center"/>
          </w:tcPr>
          <w:p w14:paraId="17B64605">
            <w:pPr>
              <w:jc w:val="center"/>
              <w:rPr>
                <w:rFonts w:ascii="Times New Roman" w:hAnsi="Times New Roman" w:eastAsia="宋体" w:cs="Times New Roman"/>
              </w:rPr>
            </w:pPr>
            <w:r>
              <w:rPr>
                <w:rFonts w:ascii="Times New Roman" w:hAnsi="Times New Roman" w:eastAsia="宋体" w:cs="Times New Roman"/>
                <w:color w:val="000000"/>
                <w:szCs w:val="21"/>
              </w:rPr>
              <w:t>2-2、5-2、5-3、6-1</w:t>
            </w:r>
          </w:p>
        </w:tc>
      </w:tr>
    </w:tbl>
    <w:p w14:paraId="0FE14C87">
      <w:pPr>
        <w:spacing w:line="360" w:lineRule="auto"/>
        <w:rPr>
          <w:rFonts w:hint="eastAsia" w:ascii="宋体" w:hAnsi="宋体" w:eastAsia="宋体" w:cs="Times New Roman"/>
          <w:color w:val="FF0000"/>
          <w:sz w:val="24"/>
        </w:rPr>
      </w:pPr>
    </w:p>
    <w:p w14:paraId="55240D93">
      <w:pPr>
        <w:spacing w:line="360" w:lineRule="auto"/>
        <w:rPr>
          <w:rFonts w:hint="eastAsia" w:ascii="宋体" w:hAnsi="宋体" w:eastAsia="宋体" w:cs="Times New Roman"/>
          <w:b/>
          <w:bCs/>
          <w:sz w:val="24"/>
        </w:rPr>
      </w:pPr>
      <w:r>
        <w:rPr>
          <w:rFonts w:hint="eastAsia" w:ascii="宋体" w:hAnsi="宋体" w:eastAsia="宋体" w:cs="Times New Roman"/>
          <w:b/>
          <w:bCs/>
          <w:sz w:val="24"/>
        </w:rPr>
        <w:t>（三）课程目标及考核方式权重分配表</w:t>
      </w:r>
    </w:p>
    <w:tbl>
      <w:tblPr>
        <w:tblStyle w:val="30"/>
        <w:tblW w:w="9037" w:type="dxa"/>
        <w:tblInd w:w="0" w:type="dxa"/>
        <w:tblLayout w:type="autofit"/>
        <w:tblCellMar>
          <w:top w:w="0" w:type="dxa"/>
          <w:left w:w="108" w:type="dxa"/>
          <w:bottom w:w="0" w:type="dxa"/>
          <w:right w:w="108" w:type="dxa"/>
        </w:tblCellMar>
      </w:tblPr>
      <w:tblGrid>
        <w:gridCol w:w="2048"/>
        <w:gridCol w:w="1816"/>
        <w:gridCol w:w="2196"/>
        <w:gridCol w:w="1843"/>
        <w:gridCol w:w="1134"/>
      </w:tblGrid>
      <w:tr w14:paraId="68DE2278">
        <w:tblPrEx>
          <w:tblCellMar>
            <w:top w:w="0" w:type="dxa"/>
            <w:left w:w="108" w:type="dxa"/>
            <w:bottom w:w="0" w:type="dxa"/>
            <w:right w:w="108" w:type="dxa"/>
          </w:tblCellMar>
        </w:tblPrEx>
        <w:trPr>
          <w:trHeight w:val="413" w:hRule="atLeast"/>
        </w:trPr>
        <w:tc>
          <w:tcPr>
            <w:tcW w:w="3864" w:type="dxa"/>
            <w:gridSpan w:val="2"/>
            <w:tcBorders>
              <w:top w:val="single" w:color="auto" w:sz="4" w:space="0"/>
              <w:left w:val="single" w:color="auto" w:sz="4" w:space="0"/>
              <w:bottom w:val="single" w:color="auto" w:sz="4" w:space="0"/>
              <w:right w:val="single" w:color="auto" w:sz="4" w:space="0"/>
            </w:tcBorders>
            <w:vAlign w:val="center"/>
          </w:tcPr>
          <w:p w14:paraId="3226D71A">
            <w:pPr>
              <w:widowControl/>
              <w:jc w:val="center"/>
              <w:rPr>
                <w:rFonts w:hint="eastAsia" w:ascii="宋体" w:hAnsi="宋体" w:eastAsia="宋体" w:cs="Times New Roman"/>
                <w:kern w:val="0"/>
                <w:szCs w:val="21"/>
              </w:rPr>
            </w:pPr>
            <w:r>
              <w:rPr>
                <w:rFonts w:hint="eastAsia" w:ascii="宋体" w:hAnsi="宋体" w:eastAsia="宋体" w:cs="Times New Roman"/>
                <w:kern w:val="0"/>
                <w:szCs w:val="21"/>
              </w:rPr>
              <w:t>课程目标及权重</w:t>
            </w:r>
          </w:p>
        </w:tc>
        <w:tc>
          <w:tcPr>
            <w:tcW w:w="5173" w:type="dxa"/>
            <w:gridSpan w:val="3"/>
            <w:tcBorders>
              <w:top w:val="single" w:color="auto" w:sz="4" w:space="0"/>
              <w:left w:val="single" w:color="auto" w:sz="4" w:space="0"/>
              <w:bottom w:val="single" w:color="auto" w:sz="4" w:space="0"/>
              <w:right w:val="single" w:color="auto" w:sz="4" w:space="0"/>
            </w:tcBorders>
            <w:vAlign w:val="center"/>
          </w:tcPr>
          <w:p w14:paraId="244DD5CC">
            <w:pPr>
              <w:widowControl/>
              <w:ind w:right="-391" w:rightChars="-186"/>
              <w:jc w:val="center"/>
              <w:rPr>
                <w:rFonts w:hint="eastAsia" w:ascii="宋体" w:hAnsi="宋体" w:eastAsia="宋体" w:cs="Times New Roman"/>
                <w:kern w:val="0"/>
                <w:szCs w:val="21"/>
              </w:rPr>
            </w:pPr>
            <w:r>
              <w:rPr>
                <w:rFonts w:hint="eastAsia" w:ascii="宋体" w:hAnsi="宋体" w:eastAsia="宋体" w:cs="Times New Roman"/>
                <w:kern w:val="0"/>
                <w:szCs w:val="21"/>
              </w:rPr>
              <w:t>考核方式及权重</w:t>
            </w:r>
          </w:p>
        </w:tc>
      </w:tr>
      <w:tr w14:paraId="49DA3027">
        <w:tblPrEx>
          <w:tblCellMar>
            <w:top w:w="0" w:type="dxa"/>
            <w:left w:w="108" w:type="dxa"/>
            <w:bottom w:w="0" w:type="dxa"/>
            <w:right w:w="108" w:type="dxa"/>
          </w:tblCellMar>
        </w:tblPrEx>
        <w:trPr>
          <w:trHeight w:val="636" w:hRule="atLeast"/>
        </w:trPr>
        <w:tc>
          <w:tcPr>
            <w:tcW w:w="2048" w:type="dxa"/>
            <w:tcBorders>
              <w:top w:val="single" w:color="auto" w:sz="4" w:space="0"/>
              <w:left w:val="single" w:color="auto" w:sz="4" w:space="0"/>
              <w:bottom w:val="single" w:color="auto" w:sz="4" w:space="0"/>
              <w:right w:val="single" w:color="auto" w:sz="4" w:space="0"/>
            </w:tcBorders>
            <w:vAlign w:val="center"/>
          </w:tcPr>
          <w:p w14:paraId="29E47A0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项目</w:t>
            </w:r>
          </w:p>
        </w:tc>
        <w:tc>
          <w:tcPr>
            <w:tcW w:w="1816" w:type="dxa"/>
            <w:tcBorders>
              <w:top w:val="single" w:color="auto" w:sz="4" w:space="0"/>
              <w:left w:val="single" w:color="auto" w:sz="4" w:space="0"/>
              <w:bottom w:val="single" w:color="auto" w:sz="4" w:space="0"/>
              <w:right w:val="single" w:color="auto" w:sz="4" w:space="0"/>
            </w:tcBorders>
            <w:vAlign w:val="center"/>
          </w:tcPr>
          <w:p w14:paraId="6D7AD88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权重（a）</w:t>
            </w:r>
          </w:p>
        </w:tc>
        <w:tc>
          <w:tcPr>
            <w:tcW w:w="2196" w:type="dxa"/>
            <w:tcBorders>
              <w:top w:val="single" w:color="auto" w:sz="4" w:space="0"/>
              <w:left w:val="single" w:color="auto" w:sz="4" w:space="0"/>
              <w:bottom w:val="single" w:color="auto" w:sz="4" w:space="0"/>
              <w:right w:val="single" w:color="auto" w:sz="4" w:space="0"/>
            </w:tcBorders>
            <w:vAlign w:val="center"/>
          </w:tcPr>
          <w:p w14:paraId="2D0199D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评价依据</w:t>
            </w:r>
          </w:p>
        </w:tc>
        <w:tc>
          <w:tcPr>
            <w:tcW w:w="1843" w:type="dxa"/>
            <w:tcBorders>
              <w:top w:val="single" w:color="auto" w:sz="4" w:space="0"/>
              <w:left w:val="single" w:color="auto" w:sz="4" w:space="0"/>
              <w:bottom w:val="single" w:color="auto" w:sz="4" w:space="0"/>
              <w:right w:val="single" w:color="auto" w:sz="4" w:space="0"/>
            </w:tcBorders>
            <w:vAlign w:val="center"/>
          </w:tcPr>
          <w:p w14:paraId="2A3C87C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权重（b）</w:t>
            </w:r>
          </w:p>
        </w:tc>
        <w:tc>
          <w:tcPr>
            <w:tcW w:w="1134" w:type="dxa"/>
            <w:tcBorders>
              <w:top w:val="single" w:color="auto" w:sz="4" w:space="0"/>
              <w:left w:val="single" w:color="auto" w:sz="4" w:space="0"/>
              <w:bottom w:val="single" w:color="auto" w:sz="4" w:space="0"/>
              <w:right w:val="single" w:color="auto" w:sz="4" w:space="0"/>
            </w:tcBorders>
          </w:tcPr>
          <w:p w14:paraId="5BF41AF7">
            <w:pPr>
              <w:widowControl/>
              <w:rPr>
                <w:rFonts w:ascii="Times New Roman" w:hAnsi="Times New Roman" w:eastAsia="宋体" w:cs="Times New Roman"/>
                <w:kern w:val="0"/>
                <w:szCs w:val="21"/>
              </w:rPr>
            </w:pPr>
            <w:r>
              <w:rPr>
                <w:rFonts w:ascii="Times New Roman" w:hAnsi="Times New Roman" w:eastAsia="宋体" w:cs="Times New Roman"/>
                <w:kern w:val="0"/>
                <w:szCs w:val="21"/>
              </w:rPr>
              <w:t>考核方式权重合计</w:t>
            </w:r>
          </w:p>
        </w:tc>
      </w:tr>
      <w:tr w14:paraId="2F095BE3">
        <w:tblPrEx>
          <w:tblCellMar>
            <w:top w:w="0" w:type="dxa"/>
            <w:left w:w="108" w:type="dxa"/>
            <w:bottom w:w="0" w:type="dxa"/>
            <w:right w:w="108" w:type="dxa"/>
          </w:tblCellMar>
        </w:tblPrEx>
        <w:trPr>
          <w:trHeight w:val="384" w:hRule="atLeast"/>
        </w:trPr>
        <w:tc>
          <w:tcPr>
            <w:tcW w:w="2048" w:type="dxa"/>
            <w:vMerge w:val="restart"/>
            <w:tcBorders>
              <w:top w:val="single" w:color="auto" w:sz="4" w:space="0"/>
              <w:left w:val="single" w:color="auto" w:sz="4" w:space="0"/>
              <w:bottom w:val="single" w:color="auto" w:sz="4" w:space="0"/>
              <w:right w:val="single" w:color="auto" w:sz="4" w:space="0"/>
            </w:tcBorders>
            <w:vAlign w:val="center"/>
          </w:tcPr>
          <w:p w14:paraId="09D17B1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课程目标1</w:t>
            </w:r>
          </w:p>
        </w:tc>
        <w:tc>
          <w:tcPr>
            <w:tcW w:w="1816" w:type="dxa"/>
            <w:vMerge w:val="restart"/>
            <w:tcBorders>
              <w:top w:val="single" w:color="auto" w:sz="4" w:space="0"/>
              <w:left w:val="single" w:color="auto" w:sz="4" w:space="0"/>
              <w:bottom w:val="single" w:color="auto" w:sz="4" w:space="0"/>
              <w:right w:val="single" w:color="auto" w:sz="4" w:space="0"/>
            </w:tcBorders>
            <w:vAlign w:val="center"/>
          </w:tcPr>
          <w:p w14:paraId="3BE1DC9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196" w:type="dxa"/>
            <w:tcBorders>
              <w:top w:val="single" w:color="auto" w:sz="4" w:space="0"/>
              <w:left w:val="single" w:color="auto" w:sz="4" w:space="0"/>
              <w:bottom w:val="single" w:color="auto" w:sz="4" w:space="0"/>
              <w:right w:val="single" w:color="auto" w:sz="4" w:space="0"/>
            </w:tcBorders>
            <w:vAlign w:val="center"/>
          </w:tcPr>
          <w:p w14:paraId="22B1DC6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vAlign w:val="center"/>
          </w:tcPr>
          <w:p w14:paraId="5758425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60% </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7CF61AD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14:paraId="7D2660C5">
        <w:tblPrEx>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7D49578">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9F0F97">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vAlign w:val="center"/>
          </w:tcPr>
          <w:p w14:paraId="1183E29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作业1</w:t>
            </w:r>
          </w:p>
        </w:tc>
        <w:tc>
          <w:tcPr>
            <w:tcW w:w="1843" w:type="dxa"/>
            <w:tcBorders>
              <w:top w:val="single" w:color="auto" w:sz="4" w:space="0"/>
              <w:left w:val="single" w:color="auto" w:sz="4" w:space="0"/>
              <w:bottom w:val="single" w:color="auto" w:sz="4" w:space="0"/>
              <w:right w:val="single" w:color="auto" w:sz="4" w:space="0"/>
            </w:tcBorders>
            <w:vAlign w:val="center"/>
          </w:tcPr>
          <w:p w14:paraId="4DFC673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8E98995">
            <w:pPr>
              <w:widowControl/>
              <w:jc w:val="left"/>
              <w:rPr>
                <w:rFonts w:ascii="Times New Roman" w:hAnsi="Times New Roman" w:eastAsia="宋体" w:cs="Times New Roman"/>
                <w:kern w:val="0"/>
                <w:szCs w:val="21"/>
              </w:rPr>
            </w:pPr>
          </w:p>
        </w:tc>
      </w:tr>
      <w:tr w14:paraId="054023A3">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bottom w:val="nil"/>
              <w:right w:val="single" w:color="auto" w:sz="4" w:space="0"/>
            </w:tcBorders>
            <w:vAlign w:val="center"/>
          </w:tcPr>
          <w:p w14:paraId="0D287880">
            <w:pPr>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课程目标2</w:t>
            </w:r>
          </w:p>
        </w:tc>
        <w:tc>
          <w:tcPr>
            <w:tcW w:w="1816" w:type="dxa"/>
            <w:vMerge w:val="restart"/>
            <w:tcBorders>
              <w:top w:val="single" w:color="auto" w:sz="4" w:space="0"/>
              <w:left w:val="single" w:color="auto" w:sz="4" w:space="0"/>
              <w:bottom w:val="nil"/>
              <w:right w:val="single" w:color="auto" w:sz="4" w:space="0"/>
            </w:tcBorders>
            <w:vAlign w:val="center"/>
          </w:tcPr>
          <w:p w14:paraId="77D67837">
            <w:pPr>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196" w:type="dxa"/>
            <w:tcBorders>
              <w:top w:val="single" w:color="auto" w:sz="4" w:space="0"/>
              <w:left w:val="single" w:color="auto" w:sz="4" w:space="0"/>
              <w:bottom w:val="single" w:color="auto" w:sz="4" w:space="0"/>
              <w:right w:val="single" w:color="auto" w:sz="4" w:space="0"/>
            </w:tcBorders>
            <w:vAlign w:val="center"/>
          </w:tcPr>
          <w:p w14:paraId="727CEB1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vAlign w:val="center"/>
          </w:tcPr>
          <w:p w14:paraId="14DDE85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50% </w:t>
            </w:r>
          </w:p>
        </w:tc>
        <w:tc>
          <w:tcPr>
            <w:tcW w:w="1134" w:type="dxa"/>
            <w:vMerge w:val="restart"/>
            <w:tcBorders>
              <w:top w:val="single" w:color="auto" w:sz="4" w:space="0"/>
              <w:left w:val="single" w:color="auto" w:sz="4" w:space="0"/>
              <w:bottom w:val="nil"/>
              <w:right w:val="single" w:color="auto" w:sz="4" w:space="0"/>
            </w:tcBorders>
            <w:vAlign w:val="center"/>
          </w:tcPr>
          <w:p w14:paraId="384B8B60">
            <w:pPr>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14:paraId="365D2033">
        <w:tblPrEx>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nil"/>
              <w:right w:val="single" w:color="auto" w:sz="4" w:space="0"/>
            </w:tcBorders>
            <w:vAlign w:val="center"/>
          </w:tcPr>
          <w:p w14:paraId="26DB8E3A">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nil"/>
              <w:right w:val="single" w:color="auto" w:sz="4" w:space="0"/>
            </w:tcBorders>
            <w:vAlign w:val="center"/>
          </w:tcPr>
          <w:p w14:paraId="1FD4E484">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vAlign w:val="center"/>
          </w:tcPr>
          <w:p w14:paraId="48C0C3E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作业2</w:t>
            </w:r>
          </w:p>
        </w:tc>
        <w:tc>
          <w:tcPr>
            <w:tcW w:w="1843" w:type="dxa"/>
            <w:tcBorders>
              <w:top w:val="single" w:color="auto" w:sz="4" w:space="0"/>
              <w:left w:val="single" w:color="auto" w:sz="4" w:space="0"/>
              <w:bottom w:val="single" w:color="auto" w:sz="4" w:space="0"/>
              <w:right w:val="single" w:color="auto" w:sz="4" w:space="0"/>
            </w:tcBorders>
            <w:vAlign w:val="center"/>
          </w:tcPr>
          <w:p w14:paraId="68CD41E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0" w:type="auto"/>
            <w:vMerge w:val="continue"/>
            <w:tcBorders>
              <w:top w:val="single" w:color="auto" w:sz="4" w:space="0"/>
              <w:left w:val="single" w:color="auto" w:sz="4" w:space="0"/>
              <w:bottom w:val="nil"/>
              <w:right w:val="single" w:color="auto" w:sz="4" w:space="0"/>
            </w:tcBorders>
            <w:vAlign w:val="center"/>
          </w:tcPr>
          <w:p w14:paraId="7D02F514">
            <w:pPr>
              <w:widowControl/>
              <w:jc w:val="left"/>
              <w:rPr>
                <w:rFonts w:ascii="Times New Roman" w:hAnsi="Times New Roman" w:eastAsia="宋体" w:cs="Times New Roman"/>
                <w:kern w:val="0"/>
                <w:szCs w:val="21"/>
              </w:rPr>
            </w:pPr>
          </w:p>
        </w:tc>
      </w:tr>
      <w:tr w14:paraId="0D0F815F">
        <w:tblPrEx>
          <w:tblCellMar>
            <w:top w:w="0" w:type="dxa"/>
            <w:left w:w="108" w:type="dxa"/>
            <w:bottom w:w="0" w:type="dxa"/>
            <w:right w:w="108" w:type="dxa"/>
          </w:tblCellMar>
        </w:tblPrEx>
        <w:trPr>
          <w:trHeight w:val="426" w:hRule="atLeast"/>
        </w:trPr>
        <w:tc>
          <w:tcPr>
            <w:tcW w:w="0" w:type="auto"/>
            <w:vMerge w:val="continue"/>
            <w:tcBorders>
              <w:top w:val="single" w:color="auto" w:sz="4" w:space="0"/>
              <w:left w:val="single" w:color="auto" w:sz="4" w:space="0"/>
              <w:bottom w:val="nil"/>
              <w:right w:val="single" w:color="auto" w:sz="4" w:space="0"/>
            </w:tcBorders>
            <w:vAlign w:val="center"/>
          </w:tcPr>
          <w:p w14:paraId="4584A5B7">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nil"/>
              <w:right w:val="single" w:color="auto" w:sz="4" w:space="0"/>
            </w:tcBorders>
            <w:vAlign w:val="center"/>
          </w:tcPr>
          <w:p w14:paraId="0955097C">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nil"/>
              <w:right w:val="single" w:color="auto" w:sz="4" w:space="0"/>
            </w:tcBorders>
            <w:vAlign w:val="center"/>
          </w:tcPr>
          <w:p w14:paraId="6707A9C7">
            <w:pPr>
              <w:jc w:val="center"/>
              <w:rPr>
                <w:rFonts w:ascii="Times New Roman" w:hAnsi="Times New Roman" w:eastAsia="宋体" w:cs="Times New Roman"/>
                <w:kern w:val="0"/>
                <w:szCs w:val="21"/>
              </w:rPr>
            </w:pPr>
            <w:r>
              <w:rPr>
                <w:rFonts w:ascii="Times New Roman" w:hAnsi="Times New Roman" w:eastAsia="宋体" w:cs="Times New Roman"/>
                <w:kern w:val="0"/>
                <w:szCs w:val="21"/>
              </w:rPr>
              <w:t>课内实践</w:t>
            </w:r>
          </w:p>
        </w:tc>
        <w:tc>
          <w:tcPr>
            <w:tcW w:w="1843" w:type="dxa"/>
            <w:tcBorders>
              <w:top w:val="single" w:color="auto" w:sz="4" w:space="0"/>
              <w:left w:val="single" w:color="auto" w:sz="4" w:space="0"/>
              <w:bottom w:val="nil"/>
              <w:right w:val="single" w:color="auto" w:sz="4" w:space="0"/>
            </w:tcBorders>
            <w:vAlign w:val="center"/>
          </w:tcPr>
          <w:p w14:paraId="64602247">
            <w:pPr>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0" w:type="auto"/>
            <w:vMerge w:val="continue"/>
            <w:tcBorders>
              <w:top w:val="single" w:color="auto" w:sz="4" w:space="0"/>
              <w:left w:val="single" w:color="auto" w:sz="4" w:space="0"/>
              <w:bottom w:val="nil"/>
              <w:right w:val="single" w:color="auto" w:sz="4" w:space="0"/>
            </w:tcBorders>
            <w:vAlign w:val="center"/>
          </w:tcPr>
          <w:p w14:paraId="7EE4ABBE">
            <w:pPr>
              <w:widowControl/>
              <w:jc w:val="left"/>
              <w:rPr>
                <w:rFonts w:ascii="Times New Roman" w:hAnsi="Times New Roman" w:eastAsia="宋体" w:cs="Times New Roman"/>
                <w:kern w:val="0"/>
                <w:szCs w:val="21"/>
              </w:rPr>
            </w:pPr>
          </w:p>
        </w:tc>
      </w:tr>
      <w:tr w14:paraId="2A6BEA22">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bottom w:val="single" w:color="auto" w:sz="4" w:space="0"/>
              <w:right w:val="single" w:color="auto" w:sz="4" w:space="0"/>
            </w:tcBorders>
            <w:vAlign w:val="center"/>
          </w:tcPr>
          <w:p w14:paraId="3C8C2FE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课程目标3</w:t>
            </w:r>
          </w:p>
        </w:tc>
        <w:tc>
          <w:tcPr>
            <w:tcW w:w="1816" w:type="dxa"/>
            <w:vMerge w:val="restart"/>
            <w:tcBorders>
              <w:top w:val="single" w:color="auto" w:sz="4" w:space="0"/>
              <w:left w:val="single" w:color="auto" w:sz="4" w:space="0"/>
              <w:bottom w:val="single" w:color="auto" w:sz="4" w:space="0"/>
              <w:right w:val="single" w:color="auto" w:sz="4" w:space="0"/>
            </w:tcBorders>
            <w:vAlign w:val="center"/>
          </w:tcPr>
          <w:p w14:paraId="6BF232E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2196" w:type="dxa"/>
            <w:tcBorders>
              <w:top w:val="single" w:color="auto" w:sz="4" w:space="0"/>
              <w:left w:val="single" w:color="auto" w:sz="4" w:space="0"/>
              <w:bottom w:val="single" w:color="auto" w:sz="4" w:space="0"/>
              <w:right w:val="single" w:color="auto" w:sz="4" w:space="0"/>
            </w:tcBorders>
            <w:vAlign w:val="center"/>
          </w:tcPr>
          <w:p w14:paraId="638C90D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考试</w:t>
            </w:r>
          </w:p>
        </w:tc>
        <w:tc>
          <w:tcPr>
            <w:tcW w:w="1843" w:type="dxa"/>
            <w:tcBorders>
              <w:top w:val="single" w:color="auto" w:sz="4" w:space="0"/>
              <w:left w:val="single" w:color="auto" w:sz="4" w:space="0"/>
              <w:bottom w:val="single" w:color="auto" w:sz="4" w:space="0"/>
              <w:right w:val="single" w:color="auto" w:sz="4" w:space="0"/>
            </w:tcBorders>
            <w:vAlign w:val="center"/>
          </w:tcPr>
          <w:p w14:paraId="5367534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4B7B52F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14:paraId="3439B3DD">
        <w:tblPrEx>
          <w:tblCellMar>
            <w:top w:w="0" w:type="dxa"/>
            <w:left w:w="108" w:type="dxa"/>
            <w:bottom w:w="0" w:type="dxa"/>
            <w:right w:w="108" w:type="dxa"/>
          </w:tblCellMar>
        </w:tblPrEx>
        <w:trPr>
          <w:trHeight w:val="33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C2F6AAF">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58374A0">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nil"/>
              <w:right w:val="single" w:color="auto" w:sz="4" w:space="0"/>
            </w:tcBorders>
            <w:vAlign w:val="center"/>
          </w:tcPr>
          <w:p w14:paraId="6FE0B8E0">
            <w:pPr>
              <w:jc w:val="center"/>
              <w:rPr>
                <w:rFonts w:ascii="Times New Roman" w:hAnsi="Times New Roman" w:eastAsia="宋体" w:cs="Times New Roman"/>
                <w:kern w:val="0"/>
                <w:szCs w:val="21"/>
              </w:rPr>
            </w:pPr>
            <w:r>
              <w:rPr>
                <w:rFonts w:ascii="Times New Roman" w:hAnsi="Times New Roman" w:eastAsia="宋体" w:cs="Times New Roman"/>
                <w:kern w:val="0"/>
                <w:szCs w:val="21"/>
              </w:rPr>
              <w:t>作业3</w:t>
            </w:r>
          </w:p>
        </w:tc>
        <w:tc>
          <w:tcPr>
            <w:tcW w:w="1843" w:type="dxa"/>
            <w:tcBorders>
              <w:top w:val="single" w:color="auto" w:sz="4" w:space="0"/>
              <w:left w:val="single" w:color="auto" w:sz="4" w:space="0"/>
              <w:bottom w:val="nil"/>
              <w:right w:val="single" w:color="auto" w:sz="4" w:space="0"/>
            </w:tcBorders>
            <w:vAlign w:val="center"/>
          </w:tcPr>
          <w:p w14:paraId="30608D1A">
            <w:pPr>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BF47CF">
            <w:pPr>
              <w:widowControl/>
              <w:jc w:val="left"/>
              <w:rPr>
                <w:rFonts w:ascii="Times New Roman" w:hAnsi="Times New Roman" w:eastAsia="宋体" w:cs="Times New Roman"/>
                <w:kern w:val="0"/>
                <w:szCs w:val="21"/>
              </w:rPr>
            </w:pPr>
          </w:p>
        </w:tc>
      </w:tr>
      <w:tr w14:paraId="16953D11">
        <w:tblPrEx>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688B9C">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286BBE1">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vAlign w:val="center"/>
          </w:tcPr>
          <w:p w14:paraId="72EDA98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课内实验</w:t>
            </w:r>
          </w:p>
        </w:tc>
        <w:tc>
          <w:tcPr>
            <w:tcW w:w="1843" w:type="dxa"/>
            <w:tcBorders>
              <w:top w:val="single" w:color="auto" w:sz="4" w:space="0"/>
              <w:left w:val="single" w:color="auto" w:sz="4" w:space="0"/>
              <w:bottom w:val="single" w:color="auto" w:sz="4" w:space="0"/>
              <w:right w:val="single" w:color="auto" w:sz="4" w:space="0"/>
            </w:tcBorders>
            <w:vAlign w:val="center"/>
          </w:tcPr>
          <w:p w14:paraId="7F963B5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4C6B51">
            <w:pPr>
              <w:widowControl/>
              <w:jc w:val="left"/>
              <w:rPr>
                <w:rFonts w:ascii="Times New Roman" w:hAnsi="Times New Roman" w:eastAsia="宋体" w:cs="Times New Roman"/>
                <w:kern w:val="0"/>
                <w:szCs w:val="21"/>
              </w:rPr>
            </w:pPr>
          </w:p>
        </w:tc>
      </w:tr>
      <w:tr w14:paraId="135C6482">
        <w:tblPrEx>
          <w:tblCellMar>
            <w:top w:w="0" w:type="dxa"/>
            <w:left w:w="108" w:type="dxa"/>
            <w:bottom w:w="0" w:type="dxa"/>
            <w:right w:w="108" w:type="dxa"/>
          </w:tblCellMar>
        </w:tblPrEx>
        <w:trPr>
          <w:trHeight w:val="349" w:hRule="atLeast"/>
        </w:trPr>
        <w:tc>
          <w:tcPr>
            <w:tcW w:w="2048" w:type="dxa"/>
            <w:vMerge w:val="restart"/>
            <w:tcBorders>
              <w:top w:val="single" w:color="auto" w:sz="4" w:space="0"/>
              <w:left w:val="single" w:color="auto" w:sz="4" w:space="0"/>
              <w:bottom w:val="single" w:color="auto" w:sz="4" w:space="0"/>
              <w:right w:val="single" w:color="auto" w:sz="4" w:space="0"/>
            </w:tcBorders>
            <w:vAlign w:val="center"/>
          </w:tcPr>
          <w:p w14:paraId="0773D06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课程目标4</w:t>
            </w:r>
          </w:p>
        </w:tc>
        <w:tc>
          <w:tcPr>
            <w:tcW w:w="1816" w:type="dxa"/>
            <w:vMerge w:val="restart"/>
            <w:tcBorders>
              <w:top w:val="single" w:color="auto" w:sz="4" w:space="0"/>
              <w:left w:val="single" w:color="auto" w:sz="4" w:space="0"/>
              <w:bottom w:val="single" w:color="auto" w:sz="4" w:space="0"/>
              <w:right w:val="single" w:color="auto" w:sz="4" w:space="0"/>
            </w:tcBorders>
            <w:vAlign w:val="center"/>
          </w:tcPr>
          <w:p w14:paraId="60F7C1A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2196" w:type="dxa"/>
            <w:tcBorders>
              <w:top w:val="single" w:color="auto" w:sz="4" w:space="0"/>
              <w:left w:val="single" w:color="auto" w:sz="4" w:space="0"/>
              <w:bottom w:val="nil"/>
              <w:right w:val="single" w:color="auto" w:sz="4" w:space="0"/>
            </w:tcBorders>
            <w:vAlign w:val="center"/>
          </w:tcPr>
          <w:p w14:paraId="7922F953">
            <w:pPr>
              <w:jc w:val="center"/>
              <w:rPr>
                <w:rFonts w:ascii="Times New Roman" w:hAnsi="Times New Roman" w:eastAsia="宋体" w:cs="Times New Roman"/>
                <w:kern w:val="0"/>
                <w:szCs w:val="21"/>
              </w:rPr>
            </w:pPr>
            <w:r>
              <w:rPr>
                <w:rFonts w:ascii="Times New Roman" w:hAnsi="Times New Roman" w:eastAsia="宋体" w:cs="Times New Roman"/>
                <w:kern w:val="0"/>
                <w:szCs w:val="21"/>
              </w:rPr>
              <w:t>作业2</w:t>
            </w:r>
          </w:p>
        </w:tc>
        <w:tc>
          <w:tcPr>
            <w:tcW w:w="1843" w:type="dxa"/>
            <w:tcBorders>
              <w:top w:val="single" w:color="auto" w:sz="4" w:space="0"/>
              <w:left w:val="single" w:color="auto" w:sz="4" w:space="0"/>
              <w:bottom w:val="nil"/>
              <w:right w:val="single" w:color="auto" w:sz="4" w:space="0"/>
            </w:tcBorders>
            <w:vAlign w:val="center"/>
          </w:tcPr>
          <w:p w14:paraId="669B3FB5">
            <w:pPr>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C02648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r>
      <w:tr w14:paraId="6175AE92">
        <w:tblPrEx>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0EAD42">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7DD1DEC">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vAlign w:val="center"/>
          </w:tcPr>
          <w:p w14:paraId="4286108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作业3</w:t>
            </w:r>
          </w:p>
        </w:tc>
        <w:tc>
          <w:tcPr>
            <w:tcW w:w="1843" w:type="dxa"/>
            <w:tcBorders>
              <w:top w:val="single" w:color="auto" w:sz="4" w:space="0"/>
              <w:left w:val="single" w:color="auto" w:sz="4" w:space="0"/>
              <w:bottom w:val="single" w:color="auto" w:sz="4" w:space="0"/>
              <w:right w:val="single" w:color="auto" w:sz="4" w:space="0"/>
            </w:tcBorders>
            <w:vAlign w:val="center"/>
          </w:tcPr>
          <w:p w14:paraId="53F5462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20%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7271C05">
            <w:pPr>
              <w:widowControl/>
              <w:jc w:val="left"/>
              <w:rPr>
                <w:rFonts w:ascii="Times New Roman" w:hAnsi="Times New Roman" w:eastAsia="宋体" w:cs="Times New Roman"/>
                <w:kern w:val="0"/>
                <w:szCs w:val="21"/>
              </w:rPr>
            </w:pPr>
          </w:p>
        </w:tc>
      </w:tr>
      <w:tr w14:paraId="685D5237">
        <w:tblPrEx>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B63D700">
            <w:pPr>
              <w:widowControl/>
              <w:jc w:val="left"/>
              <w:rPr>
                <w:rFonts w:ascii="Times New Roman" w:hAnsi="Times New Roman" w:eastAsia="宋体" w:cs="Times New Roman"/>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E454C9C">
            <w:pPr>
              <w:widowControl/>
              <w:jc w:val="left"/>
              <w:rPr>
                <w:rFonts w:ascii="Times New Roman" w:hAnsi="Times New Roman" w:eastAsia="宋体" w:cs="Times New Roman"/>
                <w:kern w:val="0"/>
                <w:szCs w:val="21"/>
              </w:rPr>
            </w:pPr>
          </w:p>
        </w:tc>
        <w:tc>
          <w:tcPr>
            <w:tcW w:w="2196" w:type="dxa"/>
            <w:tcBorders>
              <w:top w:val="single" w:color="auto" w:sz="4" w:space="0"/>
              <w:left w:val="single" w:color="auto" w:sz="4" w:space="0"/>
              <w:bottom w:val="single" w:color="auto" w:sz="4" w:space="0"/>
              <w:right w:val="single" w:color="auto" w:sz="4" w:space="0"/>
            </w:tcBorders>
            <w:vAlign w:val="center"/>
          </w:tcPr>
          <w:p w14:paraId="4787F1B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课内实践</w:t>
            </w:r>
          </w:p>
        </w:tc>
        <w:tc>
          <w:tcPr>
            <w:tcW w:w="1843" w:type="dxa"/>
            <w:tcBorders>
              <w:top w:val="single" w:color="auto" w:sz="4" w:space="0"/>
              <w:left w:val="single" w:color="auto" w:sz="4" w:space="0"/>
              <w:bottom w:val="single" w:color="auto" w:sz="4" w:space="0"/>
              <w:right w:val="single" w:color="auto" w:sz="4" w:space="0"/>
            </w:tcBorders>
            <w:vAlign w:val="center"/>
          </w:tcPr>
          <w:p w14:paraId="088DA63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8A57D8">
            <w:pPr>
              <w:widowControl/>
              <w:jc w:val="left"/>
              <w:rPr>
                <w:rFonts w:ascii="Times New Roman" w:hAnsi="Times New Roman" w:eastAsia="宋体" w:cs="Times New Roman"/>
                <w:kern w:val="0"/>
                <w:szCs w:val="21"/>
              </w:rPr>
            </w:pPr>
          </w:p>
        </w:tc>
      </w:tr>
      <w:tr w14:paraId="4FD4A64E">
        <w:tblPrEx>
          <w:tblCellMar>
            <w:top w:w="0" w:type="dxa"/>
            <w:left w:w="108" w:type="dxa"/>
            <w:bottom w:w="0" w:type="dxa"/>
            <w:right w:w="108" w:type="dxa"/>
          </w:tblCellMar>
        </w:tblPrEx>
        <w:trPr>
          <w:trHeight w:val="549" w:hRule="atLeast"/>
        </w:trPr>
        <w:tc>
          <w:tcPr>
            <w:tcW w:w="2048" w:type="dxa"/>
            <w:tcBorders>
              <w:top w:val="single" w:color="auto" w:sz="4" w:space="0"/>
              <w:left w:val="single" w:color="auto" w:sz="4" w:space="0"/>
              <w:bottom w:val="single" w:color="auto" w:sz="4" w:space="0"/>
              <w:right w:val="single" w:color="auto" w:sz="4" w:space="0"/>
            </w:tcBorders>
            <w:vAlign w:val="center"/>
          </w:tcPr>
          <w:p w14:paraId="0ADEE74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vAlign w:val="center"/>
          </w:tcPr>
          <w:p w14:paraId="216B18B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vAlign w:val="center"/>
          </w:tcPr>
          <w:p w14:paraId="12A59997">
            <w:pPr>
              <w:widowControl/>
              <w:jc w:val="center"/>
              <w:rPr>
                <w:rFonts w:ascii="Times New Roman" w:hAnsi="Times New Roman" w:eastAsia="宋体" w:cs="Times New Roman"/>
                <w:kern w:val="0"/>
                <w:szCs w:val="21"/>
              </w:rPr>
            </w:pPr>
          </w:p>
        </w:tc>
      </w:tr>
    </w:tbl>
    <w:p w14:paraId="2530F3F3">
      <w:pPr>
        <w:spacing w:line="360" w:lineRule="auto"/>
        <w:rPr>
          <w:rFonts w:hint="eastAsia" w:ascii="宋体" w:hAnsi="宋体" w:eastAsia="宋体" w:cs="Times New Roman"/>
          <w:sz w:val="24"/>
        </w:rPr>
      </w:pPr>
    </w:p>
    <w:p w14:paraId="5800CD66">
      <w:pPr>
        <w:spacing w:line="360" w:lineRule="auto"/>
        <w:rPr>
          <w:rFonts w:hint="eastAsia" w:ascii="宋体" w:hAnsi="宋体" w:eastAsia="宋体" w:cs="Times New Roman"/>
          <w:sz w:val="24"/>
        </w:rPr>
      </w:pPr>
      <w:r>
        <w:rPr>
          <w:rFonts w:hint="eastAsia" w:ascii="宋体" w:hAnsi="宋体" w:eastAsia="宋体" w:cs="Times New Roman"/>
          <w:sz w:val="24"/>
        </w:rPr>
        <w:t>（四）课程目标达成度计算方法</w:t>
      </w:r>
    </w:p>
    <w:p w14:paraId="5D2ACBAA">
      <w:pPr>
        <w:spacing w:line="360" w:lineRule="auto"/>
        <w:rPr>
          <w:rFonts w:hint="eastAsia" w:ascii="宋体" w:hAnsi="宋体" w:eastAsia="宋体" w:cs="Times New Roman"/>
          <w:color w:val="FF0000"/>
          <w:sz w:val="24"/>
        </w:rPr>
      </w:pPr>
      <w:r>
        <w:rPr>
          <w:rFonts w:hint="eastAsia" w:ascii="宋体" w:hAnsi="宋体" w:eastAsia="宋体" w:cs="Times New Roman"/>
          <w:sz w:val="24"/>
        </w:rPr>
        <w:t>所有课程目标均需大于等于0.6，否则总评成绩不及格，需要补考或重修。每门课程目标总体达成度计算方法如下：</w:t>
      </w:r>
    </w:p>
    <w:p w14:paraId="7213622D">
      <w:pPr>
        <w:spacing w:line="360" w:lineRule="auto"/>
        <w:rPr>
          <w:rFonts w:hint="eastAsia" w:ascii="宋体" w:hAnsi="宋体" w:eastAsia="宋体" w:cs="Times New Roman"/>
          <w:sz w:val="24"/>
        </w:rPr>
      </w:pPr>
      <w:r>
        <w:rPr>
          <w:rFonts w:ascii="宋体" w:hAnsi="宋体" w:eastAsia="宋体" w:cs="Times New Roman"/>
          <w:sz w:val="24"/>
        </w:rPr>
        <w:drawing>
          <wp:inline distT="0" distB="0" distL="0" distR="0">
            <wp:extent cx="5274310" cy="337185"/>
            <wp:effectExtent l="0" t="0" r="8890" b="5715"/>
            <wp:docPr id="1511617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1776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51CD1523">
      <w:pPr>
        <w:spacing w:line="360" w:lineRule="auto"/>
        <w:rPr>
          <w:rFonts w:hint="eastAsia" w:ascii="宋体" w:hAnsi="宋体" w:eastAsia="宋体" w:cs="Times New Roman"/>
          <w:b/>
          <w:sz w:val="28"/>
          <w:szCs w:val="28"/>
        </w:rPr>
      </w:pPr>
    </w:p>
    <w:p w14:paraId="340EB55D">
      <w:pPr>
        <w:spacing w:line="360" w:lineRule="auto"/>
        <w:rPr>
          <w:rFonts w:hint="eastAsia" w:ascii="宋体" w:hAnsi="宋体" w:eastAsia="宋体" w:cs="Times New Roman"/>
          <w:b/>
          <w:sz w:val="28"/>
          <w:szCs w:val="28"/>
        </w:rPr>
      </w:pPr>
      <w:r>
        <w:rPr>
          <w:rFonts w:hint="eastAsia" w:ascii="宋体" w:hAnsi="宋体" w:eastAsia="宋体" w:cs="Times New Roman"/>
          <w:b/>
          <w:sz w:val="28"/>
          <w:szCs w:val="28"/>
        </w:rPr>
        <w:t>七、有关说明</w:t>
      </w:r>
    </w:p>
    <w:p w14:paraId="608E1A57">
      <w:pPr>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（一）持续改进</w:t>
      </w:r>
    </w:p>
    <w:p w14:paraId="0578ADC2">
      <w:pPr>
        <w:spacing w:line="360" w:lineRule="auto"/>
        <w:rPr>
          <w:rFonts w:ascii="Calibri" w:hAnsi="Calibri" w:eastAsia="宋体" w:cs="Times New Roman"/>
          <w:sz w:val="24"/>
        </w:rPr>
      </w:pPr>
      <w:r>
        <w:rPr>
          <w:rFonts w:hint="eastAsia" w:ascii="Calibri" w:hAnsi="Calibri" w:eastAsia="宋体" w:cs="Times New Roman"/>
          <w:sz w:val="24"/>
        </w:rPr>
        <w:t>本课程根据学生作业、课堂讨论、实验环节、平时考核情况和学生、教学督导等的反馈，及时对教学中的不足之处进行改进，并在下一轮课程教学中整改完善，确保相应毕业要求指标点达成。</w:t>
      </w:r>
    </w:p>
    <w:p w14:paraId="040EF42A">
      <w:pPr>
        <w:spacing w:line="360" w:lineRule="auto"/>
        <w:rPr>
          <w:rFonts w:ascii="Calibri" w:hAnsi="Calibri" w:eastAsia="宋体" w:cs="Times New Roman"/>
          <w:b/>
          <w:color w:val="000000"/>
          <w:sz w:val="24"/>
        </w:rPr>
      </w:pPr>
      <w:r>
        <w:rPr>
          <w:rFonts w:hint="eastAsia" w:ascii="Calibri" w:hAnsi="Calibri" w:eastAsia="宋体" w:cs="Times New Roman"/>
          <w:b/>
          <w:color w:val="000000"/>
          <w:sz w:val="24"/>
        </w:rPr>
        <w:t>（二）参考书目及学习资料</w:t>
      </w:r>
    </w:p>
    <w:p w14:paraId="7EB21435">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1.彭小虎，小学生心理辅导，华东师范大学出版社，2012</w:t>
      </w:r>
    </w:p>
    <w:p w14:paraId="760EFCC7">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2.吴增强 主编，发展性心理辅导：理论与实务，上海科技教育出版社，2018</w:t>
      </w:r>
    </w:p>
    <w:p w14:paraId="6F234F6A">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3.刘慧贤，郝红英.小学生心理健康与辅导，教育科学出版社，2013</w:t>
      </w:r>
    </w:p>
    <w:p w14:paraId="4746DFDF">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4.陶勑恒,郑洪利．小学生心理辅导（第二版）．高等教育出版社，2018．</w:t>
      </w:r>
    </w:p>
    <w:p w14:paraId="4FBB78F8">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5.殷炳江．小学生心理健康教育．人民教育出版社，2003．</w:t>
      </w:r>
    </w:p>
    <w:p w14:paraId="3450B92D">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6.</w:t>
      </w:r>
      <w:r>
        <w:rPr>
          <w:rFonts w:ascii="Times New Roman" w:hAnsi="Times New Roman" w:eastAsia="宋体" w:cs="Times New Roman"/>
        </w:rPr>
        <w:t xml:space="preserve"> </w:t>
      </w:r>
      <w:r>
        <w:rPr>
          <w:rFonts w:ascii="Times New Roman" w:hAnsi="Times New Roman" w:eastAsia="宋体" w:cs="Times New Roman"/>
          <w:kern w:val="0"/>
          <w:sz w:val="24"/>
          <w:szCs w:val="21"/>
        </w:rPr>
        <w:t xml:space="preserve">张艺馨，小学生心理辅导与咨询 ，北京师范大学出版社，2013 </w:t>
      </w:r>
    </w:p>
    <w:p w14:paraId="4FD9FB33">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 xml:space="preserve">7. 叶一舵著，中小学团体心理辅导活动350例（中小学心理健康教育案例丛书），福建教育出版社，2018 </w:t>
      </w:r>
    </w:p>
    <w:p w14:paraId="4A589962">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8.郭黎岩，小学生心理健康与辅导（第2版），高等教育出版社，2014</w:t>
      </w:r>
    </w:p>
    <w:p w14:paraId="1B728554">
      <w:pPr>
        <w:autoSpaceDE w:val="0"/>
        <w:autoSpaceDN w:val="0"/>
        <w:adjustRightInd w:val="0"/>
        <w:spacing w:line="360" w:lineRule="auto"/>
        <w:rPr>
          <w:rFonts w:ascii="Times New Roman" w:hAnsi="Times New Roman" w:eastAsia="宋体" w:cs="Times New Roman"/>
          <w:kern w:val="0"/>
          <w:sz w:val="24"/>
          <w:szCs w:val="21"/>
        </w:rPr>
      </w:pPr>
      <w:r>
        <w:rPr>
          <w:rFonts w:ascii="Times New Roman" w:hAnsi="Times New Roman" w:eastAsia="宋体" w:cs="Times New Roman"/>
          <w:kern w:val="0"/>
          <w:sz w:val="24"/>
          <w:szCs w:val="21"/>
        </w:rPr>
        <w:t>9.H．T．Prout &amp; D.T.Brown 著、林丹华等译．儿童青少年心理咨询与治疗．中国轻工业出版社，2002．</w:t>
      </w:r>
    </w:p>
    <w:p w14:paraId="2505B499">
      <w:pPr>
        <w:autoSpaceDE w:val="0"/>
        <w:autoSpaceDN w:val="0"/>
        <w:adjustRightInd w:val="0"/>
        <w:spacing w:line="360" w:lineRule="auto"/>
        <w:rPr>
          <w:rFonts w:ascii="Calibri" w:hAnsi="Calibri" w:eastAsia="宋体" w:cs="Times New Roman"/>
          <w:kern w:val="0"/>
          <w:sz w:val="24"/>
          <w:szCs w:val="21"/>
        </w:rPr>
      </w:pPr>
    </w:p>
    <w:p w14:paraId="7A1C1BAC">
      <w:pPr>
        <w:autoSpaceDE w:val="0"/>
        <w:autoSpaceDN w:val="0"/>
        <w:adjustRightInd w:val="0"/>
        <w:spacing w:line="360" w:lineRule="auto"/>
        <w:jc w:val="left"/>
        <w:rPr>
          <w:rFonts w:ascii="Calibri" w:hAnsi="Calibri" w:eastAsia="宋体" w:cs="Times New Roman"/>
          <w:kern w:val="0"/>
          <w:sz w:val="24"/>
          <w:szCs w:val="21"/>
        </w:rPr>
      </w:pPr>
    </w:p>
    <w:p w14:paraId="107A1DDF">
      <w:pPr>
        <w:autoSpaceDE w:val="0"/>
        <w:autoSpaceDN w:val="0"/>
        <w:adjustRightInd w:val="0"/>
        <w:spacing w:line="360" w:lineRule="auto"/>
        <w:ind w:firstLine="6480" w:firstLineChars="2700"/>
        <w:jc w:val="left"/>
        <w:rPr>
          <w:rFonts w:ascii="Calibri" w:hAnsi="Calibri" w:eastAsia="宋体" w:cs="Times New Roman"/>
          <w:kern w:val="0"/>
          <w:sz w:val="24"/>
          <w:szCs w:val="21"/>
        </w:rPr>
      </w:pPr>
      <w:r>
        <w:rPr>
          <w:rFonts w:hint="eastAsia" w:ascii="Calibri" w:hAnsi="Calibri" w:eastAsia="宋体" w:cs="Times New Roman"/>
          <w:kern w:val="0"/>
          <w:sz w:val="24"/>
          <w:szCs w:val="21"/>
        </w:rPr>
        <w:t>执笔人：缪周芬</w:t>
      </w:r>
    </w:p>
    <w:p w14:paraId="453056B1">
      <w:pPr>
        <w:autoSpaceDE w:val="0"/>
        <w:autoSpaceDN w:val="0"/>
        <w:adjustRightInd w:val="0"/>
        <w:spacing w:line="360" w:lineRule="auto"/>
        <w:ind w:firstLine="6480" w:firstLineChars="2700"/>
        <w:jc w:val="left"/>
        <w:rPr>
          <w:rFonts w:ascii="Calibri" w:hAnsi="Calibri" w:eastAsia="宋体" w:cs="Times New Roman"/>
          <w:kern w:val="0"/>
          <w:sz w:val="24"/>
          <w:szCs w:val="21"/>
        </w:rPr>
      </w:pPr>
      <w:r>
        <w:rPr>
          <w:rFonts w:hint="eastAsia" w:ascii="Calibri" w:hAnsi="Calibri" w:eastAsia="宋体" w:cs="Times New Roman"/>
          <w:kern w:val="0"/>
          <w:sz w:val="24"/>
          <w:szCs w:val="21"/>
        </w:rPr>
        <w:t>审定人：张志欣</w:t>
      </w:r>
      <w:r>
        <w:rPr>
          <w:rFonts w:ascii="Calibri" w:hAnsi="Calibri" w:eastAsia="宋体" w:cs="Times New Roman"/>
          <w:kern w:val="0"/>
          <w:sz w:val="24"/>
          <w:szCs w:val="21"/>
        </w:rPr>
        <w:t xml:space="preserve"> </w:t>
      </w:r>
    </w:p>
    <w:p w14:paraId="1CD3D3CE">
      <w:pPr>
        <w:autoSpaceDE w:val="0"/>
        <w:autoSpaceDN w:val="0"/>
        <w:adjustRightInd w:val="0"/>
        <w:spacing w:line="360" w:lineRule="auto"/>
        <w:ind w:firstLine="6480" w:firstLineChars="2700"/>
        <w:jc w:val="left"/>
        <w:rPr>
          <w:rFonts w:ascii="Calibri" w:hAnsi="Calibri" w:eastAsia="宋体" w:cs="Times New Roman"/>
          <w:kern w:val="0"/>
          <w:sz w:val="24"/>
          <w:szCs w:val="21"/>
        </w:rPr>
      </w:pPr>
      <w:r>
        <w:rPr>
          <w:rFonts w:hint="eastAsia" w:ascii="Calibri" w:hAnsi="Calibri" w:eastAsia="宋体" w:cs="Times New Roman"/>
          <w:kern w:val="0"/>
          <w:sz w:val="24"/>
          <w:szCs w:val="21"/>
        </w:rPr>
        <w:t>审批人：张建波</w:t>
      </w:r>
    </w:p>
    <w:p w14:paraId="6533C404">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 2022年8月30日</w:t>
      </w:r>
    </w:p>
    <w:p w14:paraId="3135D589">
      <w:pPr>
        <w:rPr>
          <w:rFonts w:hint="eastAsia"/>
        </w:rPr>
      </w:pPr>
    </w:p>
    <w:p w14:paraId="44D3EA3F">
      <w:pPr>
        <w:widowControl/>
        <w:ind w:firstLine="5040" w:firstLineChars="2100"/>
        <w:jc w:val="both"/>
        <w:rPr>
          <w:rFonts w:ascii="Calibri" w:hAnsi="Calibri" w:eastAsia="宋体" w:cs="Times New Roman"/>
        </w:rPr>
      </w:pPr>
      <w:r>
        <w:rPr>
          <w:rFonts w:ascii="Calibri" w:hAnsi="Calibri" w:eastAsia="宋体" w:cs="Times New Roman"/>
          <w:kern w:val="0"/>
          <w:sz w:val="24"/>
          <w:szCs w:val="21"/>
        </w:rPr>
        <w:br w:type="page"/>
      </w:r>
    </w:p>
    <w:p w14:paraId="5D2C8B39">
      <w:pPr>
        <w:spacing w:line="312" w:lineRule="auto"/>
        <w:jc w:val="center"/>
        <w:rPr>
          <w:rFonts w:hint="eastAsia" w:ascii="宋体" w:hAnsi="宋体"/>
          <w:b/>
          <w:bCs/>
          <w:sz w:val="30"/>
        </w:rPr>
      </w:pPr>
      <w:r>
        <w:rPr>
          <w:rFonts w:hint="eastAsia" w:ascii="宋体" w:hAnsi="宋体"/>
          <w:b/>
          <w:bCs/>
          <w:sz w:val="30"/>
        </w:rPr>
        <w:t>综合实践</w:t>
      </w:r>
      <w:r>
        <w:rPr>
          <w:rFonts w:ascii="宋体" w:hAnsi="宋体"/>
          <w:b/>
          <w:bCs/>
          <w:sz w:val="30"/>
        </w:rPr>
        <w:t>活动设计课程教学大纲</w:t>
      </w:r>
    </w:p>
    <w:p w14:paraId="270880E0">
      <w:pPr>
        <w:spacing w:line="312" w:lineRule="auto"/>
        <w:jc w:val="center"/>
        <w:rPr>
          <w:rFonts w:ascii="宋体" w:hAnsi="宋体"/>
          <w:b/>
          <w:bCs/>
          <w:sz w:val="30"/>
        </w:rPr>
      </w:pPr>
      <w:r>
        <w:rPr>
          <w:rFonts w:ascii="宋体" w:hAnsi="宋体"/>
          <w:b/>
          <w:bCs/>
          <w:sz w:val="30"/>
        </w:rPr>
        <w:t>（Comprehensive Activity Design）</w:t>
      </w:r>
    </w:p>
    <w:p w14:paraId="0A029FD8">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5F180445">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2401024</w:t>
      </w:r>
    </w:p>
    <w:p w14:paraId="666D284C">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0765E8F5">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（其中：讲授学时16</w:t>
      </w:r>
      <w:r>
        <w:rPr>
          <w:rFonts w:hint="eastAsia" w:ascii="宋体" w:hAnsi="宋体"/>
          <w:kern w:val="0"/>
          <w:sz w:val="24"/>
        </w:rPr>
        <w:t>，</w:t>
      </w:r>
      <w:r>
        <w:rPr>
          <w:rFonts w:ascii="宋体" w:hAnsi="宋体"/>
          <w:kern w:val="0"/>
          <w:sz w:val="24"/>
        </w:rPr>
        <w:t xml:space="preserve"> 实践学时16）</w:t>
      </w:r>
    </w:p>
    <w:p w14:paraId="638E664D">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hint="eastAsia" w:ascii="宋体" w:hAnsi="宋体"/>
          <w:sz w:val="24"/>
          <w:szCs w:val="22"/>
          <w:lang w:val="en-US" w:eastAsia="zh-CN"/>
        </w:rPr>
        <w:t>教育</w:t>
      </w:r>
      <w:r>
        <w:rPr>
          <w:rFonts w:ascii="宋体" w:hAnsi="宋体"/>
          <w:sz w:val="24"/>
          <w:szCs w:val="22"/>
          <w:lang w:val="en-US" w:eastAsia="zh-CN"/>
        </w:rPr>
        <w:t>原理、教育心理学、课程与教学论</w:t>
      </w:r>
    </w:p>
    <w:p w14:paraId="548EA5C4">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w:t>
      </w:r>
      <w:r>
        <w:rPr>
          <w:rFonts w:ascii="宋体" w:hAnsi="宋体"/>
          <w:kern w:val="0"/>
          <w:sz w:val="24"/>
        </w:rPr>
        <w:t>文）、</w:t>
      </w:r>
      <w:r>
        <w:rPr>
          <w:rFonts w:hint="eastAsia" w:ascii="宋体" w:hAnsi="宋体"/>
          <w:kern w:val="0"/>
          <w:sz w:val="24"/>
        </w:rPr>
        <w:t>小学</w:t>
      </w:r>
      <w:r>
        <w:rPr>
          <w:rFonts w:ascii="宋体" w:hAnsi="宋体"/>
          <w:kern w:val="0"/>
          <w:sz w:val="24"/>
        </w:rPr>
        <w:t>教育（</w:t>
      </w:r>
      <w:r>
        <w:rPr>
          <w:rFonts w:hint="eastAsia" w:ascii="宋体" w:hAnsi="宋体"/>
          <w:kern w:val="0"/>
          <w:sz w:val="24"/>
        </w:rPr>
        <w:t>理</w:t>
      </w:r>
      <w:r>
        <w:rPr>
          <w:rFonts w:ascii="宋体" w:hAnsi="宋体"/>
          <w:kern w:val="0"/>
          <w:sz w:val="24"/>
        </w:rPr>
        <w:t xml:space="preserve">）                          </w:t>
      </w:r>
    </w:p>
    <w:p w14:paraId="5733F70C">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《小学综合实践活动设计（</w:t>
      </w:r>
      <w:r>
        <w:rPr>
          <w:rFonts w:ascii="宋体" w:hAnsi="宋体"/>
          <w:kern w:val="0"/>
          <w:sz w:val="24"/>
        </w:rPr>
        <w:t>第</w:t>
      </w:r>
      <w:r>
        <w:rPr>
          <w:rFonts w:hint="eastAsia" w:ascii="宋体" w:hAnsi="宋体"/>
          <w:kern w:val="0"/>
          <w:sz w:val="24"/>
        </w:rPr>
        <w:t>3</w:t>
      </w:r>
      <w:r>
        <w:rPr>
          <w:rFonts w:ascii="宋体" w:hAnsi="宋体"/>
          <w:kern w:val="0"/>
          <w:sz w:val="24"/>
        </w:rPr>
        <w:t>版）</w:t>
      </w:r>
      <w:r>
        <w:rPr>
          <w:rFonts w:hint="eastAsia" w:ascii="宋体" w:hAnsi="宋体"/>
          <w:kern w:val="0"/>
          <w:sz w:val="24"/>
        </w:rPr>
        <w:t>》，顾建军，高等教育出版社，2020</w:t>
      </w:r>
      <w:r>
        <w:rPr>
          <w:rFonts w:ascii="宋体" w:hAnsi="宋体"/>
          <w:kern w:val="0"/>
          <w:sz w:val="24"/>
        </w:rPr>
        <w:t>.</w:t>
      </w:r>
    </w:p>
    <w:p w14:paraId="13BA90A6">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7C344B15">
      <w:pPr>
        <w:autoSpaceDE w:val="0"/>
        <w:autoSpaceDN w:val="0"/>
        <w:adjustRightInd w:val="0"/>
        <w:spacing w:line="360" w:lineRule="auto"/>
        <w:ind w:firstLine="482" w:firstLineChars="200"/>
        <w:jc w:val="left"/>
        <w:rPr>
          <w:rFonts w:ascii="宋体" w:hAnsi="宋体"/>
          <w:kern w:val="0"/>
          <w:sz w:val="24"/>
          <w:szCs w:val="22"/>
        </w:rPr>
      </w:pPr>
      <w:r>
        <w:rPr>
          <w:rFonts w:hint="eastAsia" w:ascii="宋体" w:hAnsi="宋体"/>
          <w:b/>
          <w:bCs/>
          <w:kern w:val="0"/>
          <w:sz w:val="24"/>
        </w:rPr>
        <w:t>课程的性质与任务：</w:t>
      </w:r>
      <w:r>
        <w:rPr>
          <w:rFonts w:hint="eastAsia" w:ascii="宋体" w:hAnsi="宋体"/>
          <w:kern w:val="0"/>
          <w:sz w:val="24"/>
        </w:rPr>
        <w:t>本课程是小学教育专业的一门专业基础必修课。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604BF901">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13AB4737">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79EA675B">
      <w:pPr>
        <w:spacing w:line="360" w:lineRule="auto"/>
        <w:ind w:firstLine="480" w:firstLineChars="200"/>
        <w:outlineLvl w:val="0"/>
        <w:rPr>
          <w:rFonts w:ascii="宋体" w:hAnsi="宋体"/>
          <w:kern w:val="0"/>
          <w:sz w:val="24"/>
          <w:szCs w:val="22"/>
        </w:rPr>
      </w:pPr>
      <w:r>
        <w:rPr>
          <w:rFonts w:hint="eastAsia" w:ascii="宋体" w:hAnsi="宋体"/>
          <w:kern w:val="0"/>
          <w:sz w:val="24"/>
          <w:szCs w:val="22"/>
        </w:rPr>
        <w:t>目标</w:t>
      </w:r>
      <w:r>
        <w:rPr>
          <w:rFonts w:ascii="宋体" w:hAnsi="宋体"/>
          <w:kern w:val="0"/>
          <w:sz w:val="24"/>
          <w:szCs w:val="22"/>
        </w:rPr>
        <w:t>1</w:t>
      </w:r>
      <w:r>
        <w:rPr>
          <w:rFonts w:hint="eastAsia" w:ascii="宋体" w:hAnsi="宋体"/>
          <w:kern w:val="0"/>
          <w:sz w:val="24"/>
          <w:szCs w:val="22"/>
        </w:rPr>
        <w:t>.理解综合实践活动课程产生的理论与社会背景，明确综合实践活动课程在基础教育课程体系中的作用，</w:t>
      </w:r>
      <w:r>
        <w:rPr>
          <w:rFonts w:ascii="宋体" w:hAnsi="宋体"/>
          <w:kern w:val="0"/>
          <w:sz w:val="24"/>
          <w:szCs w:val="22"/>
        </w:rPr>
        <w:t>理解综合实践</w:t>
      </w:r>
      <w:r>
        <w:rPr>
          <w:rFonts w:hint="eastAsia" w:ascii="宋体" w:hAnsi="宋体"/>
          <w:kern w:val="0"/>
          <w:sz w:val="24"/>
          <w:szCs w:val="22"/>
        </w:rPr>
        <w:t>活动</w:t>
      </w:r>
      <w:r>
        <w:rPr>
          <w:rFonts w:ascii="宋体" w:hAnsi="宋体"/>
          <w:kern w:val="0"/>
          <w:sz w:val="24"/>
          <w:szCs w:val="22"/>
        </w:rPr>
        <w:t>课程的现实意义</w:t>
      </w:r>
      <w:r>
        <w:rPr>
          <w:rFonts w:hint="eastAsia" w:ascii="宋体" w:hAnsi="宋体"/>
          <w:kern w:val="0"/>
          <w:sz w:val="24"/>
          <w:szCs w:val="22"/>
        </w:rPr>
        <w:t>。</w:t>
      </w:r>
    </w:p>
    <w:p w14:paraId="166D91C9">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目标2.理解</w:t>
      </w:r>
      <w:r>
        <w:rPr>
          <w:rFonts w:ascii="宋体" w:hAnsi="宋体"/>
          <w:kern w:val="0"/>
          <w:sz w:val="24"/>
          <w:szCs w:val="22"/>
        </w:rPr>
        <w:t>综合实践活动课程的</w:t>
      </w:r>
      <w:r>
        <w:rPr>
          <w:rFonts w:hint="eastAsia" w:ascii="宋体" w:hAnsi="宋体"/>
          <w:kern w:val="0"/>
          <w:sz w:val="24"/>
          <w:szCs w:val="22"/>
        </w:rPr>
        <w:t>特征与价值，理解综合实践活动课程的基本理念，</w:t>
      </w:r>
      <w:r>
        <w:rPr>
          <w:rFonts w:ascii="宋体" w:hAnsi="宋体"/>
          <w:kern w:val="0"/>
          <w:sz w:val="24"/>
          <w:szCs w:val="22"/>
        </w:rPr>
        <w:t>明确</w:t>
      </w:r>
      <w:r>
        <w:rPr>
          <w:rFonts w:hint="eastAsia" w:ascii="宋体" w:hAnsi="宋体"/>
          <w:kern w:val="0"/>
          <w:sz w:val="24"/>
          <w:szCs w:val="22"/>
        </w:rPr>
        <w:t>综合实践活动课程的目标，</w:t>
      </w:r>
      <w:r>
        <w:rPr>
          <w:rFonts w:ascii="宋体" w:hAnsi="宋体"/>
          <w:kern w:val="0"/>
          <w:sz w:val="24"/>
          <w:szCs w:val="22"/>
        </w:rPr>
        <w:t>了解</w:t>
      </w:r>
      <w:r>
        <w:rPr>
          <w:rFonts w:hint="eastAsia" w:ascii="宋体" w:hAnsi="宋体"/>
          <w:kern w:val="0"/>
          <w:sz w:val="24"/>
          <w:szCs w:val="22"/>
        </w:rPr>
        <w:t>综合实践活动课程的内容。</w:t>
      </w:r>
    </w:p>
    <w:p w14:paraId="23287A62">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目标3.理解小学综合实践活动设计的基本原则，明确小学综合实践活动设计的基本要求。能够运用</w:t>
      </w:r>
      <w:r>
        <w:rPr>
          <w:rFonts w:ascii="宋体" w:hAnsi="宋体"/>
          <w:kern w:val="0"/>
          <w:sz w:val="24"/>
          <w:szCs w:val="22"/>
        </w:rPr>
        <w:t>所学</w:t>
      </w:r>
      <w:r>
        <w:rPr>
          <w:rFonts w:hint="eastAsia" w:ascii="宋体" w:hAnsi="宋体"/>
          <w:kern w:val="0"/>
          <w:sz w:val="24"/>
          <w:szCs w:val="22"/>
        </w:rPr>
        <w:t>理论独立</w:t>
      </w:r>
      <w:r>
        <w:rPr>
          <w:rFonts w:ascii="宋体" w:hAnsi="宋体"/>
          <w:kern w:val="0"/>
          <w:sz w:val="24"/>
          <w:szCs w:val="22"/>
        </w:rPr>
        <w:t>设计综合实践活动</w:t>
      </w:r>
      <w:r>
        <w:rPr>
          <w:rFonts w:hint="eastAsia" w:ascii="宋体" w:hAnsi="宋体"/>
          <w:kern w:val="0"/>
          <w:sz w:val="24"/>
          <w:szCs w:val="22"/>
        </w:rPr>
        <w:t>方案，</w:t>
      </w:r>
      <w:r>
        <w:rPr>
          <w:rFonts w:ascii="宋体" w:hAnsi="宋体"/>
          <w:kern w:val="0"/>
          <w:sz w:val="24"/>
          <w:szCs w:val="22"/>
        </w:rPr>
        <w:t>能</w:t>
      </w:r>
      <w:r>
        <w:rPr>
          <w:rFonts w:hint="eastAsia" w:ascii="宋体" w:hAnsi="宋体"/>
          <w:kern w:val="0"/>
          <w:sz w:val="24"/>
          <w:szCs w:val="22"/>
        </w:rPr>
        <w:t>够</w:t>
      </w:r>
      <w:r>
        <w:rPr>
          <w:rFonts w:ascii="宋体" w:hAnsi="宋体"/>
          <w:kern w:val="0"/>
          <w:sz w:val="24"/>
          <w:szCs w:val="22"/>
        </w:rPr>
        <w:t>对</w:t>
      </w:r>
      <w:r>
        <w:rPr>
          <w:rFonts w:hint="eastAsia" w:ascii="宋体" w:hAnsi="宋体"/>
          <w:kern w:val="0"/>
          <w:sz w:val="24"/>
          <w:szCs w:val="22"/>
        </w:rPr>
        <w:t>综合</w:t>
      </w:r>
      <w:r>
        <w:rPr>
          <w:rFonts w:ascii="宋体" w:hAnsi="宋体"/>
          <w:kern w:val="0"/>
          <w:sz w:val="24"/>
          <w:szCs w:val="22"/>
        </w:rPr>
        <w:t>实践活动方案进行全面的评价和</w:t>
      </w:r>
      <w:r>
        <w:rPr>
          <w:rFonts w:hint="eastAsia" w:ascii="宋体" w:hAnsi="宋体"/>
          <w:kern w:val="0"/>
          <w:sz w:val="24"/>
          <w:szCs w:val="22"/>
        </w:rPr>
        <w:t>优化</w:t>
      </w:r>
      <w:r>
        <w:rPr>
          <w:rFonts w:ascii="宋体" w:hAnsi="宋体"/>
          <w:kern w:val="0"/>
          <w:sz w:val="24"/>
          <w:szCs w:val="22"/>
        </w:rPr>
        <w:t>。</w:t>
      </w:r>
    </w:p>
    <w:p w14:paraId="415C36A8">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目标4.明确综合实践活动课程实施的特点，明确</w:t>
      </w:r>
      <w:r>
        <w:rPr>
          <w:rFonts w:ascii="宋体" w:hAnsi="宋体"/>
          <w:kern w:val="0"/>
          <w:sz w:val="24"/>
          <w:szCs w:val="22"/>
        </w:rPr>
        <w:t>综合实践活动指导教师的职责，</w:t>
      </w:r>
      <w:r>
        <w:rPr>
          <w:rFonts w:hint="eastAsia" w:ascii="宋体" w:hAnsi="宋体"/>
          <w:kern w:val="0"/>
          <w:sz w:val="24"/>
          <w:szCs w:val="22"/>
        </w:rPr>
        <w:t>能具体指导小学生开展综合实践活动，具备开发和利用综合实践活动课程资源的能力。</w:t>
      </w:r>
    </w:p>
    <w:p w14:paraId="0C26AD79">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目标5.经历</w:t>
      </w:r>
      <w:r>
        <w:rPr>
          <w:rFonts w:ascii="宋体" w:hAnsi="宋体"/>
          <w:kern w:val="0"/>
          <w:sz w:val="24"/>
          <w:szCs w:val="22"/>
        </w:rPr>
        <w:t>具体的综合实践活动过程，具有较强的合作</w:t>
      </w:r>
      <w:r>
        <w:rPr>
          <w:rFonts w:hint="eastAsia" w:ascii="宋体" w:hAnsi="宋体"/>
          <w:kern w:val="0"/>
          <w:sz w:val="24"/>
          <w:szCs w:val="22"/>
        </w:rPr>
        <w:t>与</w:t>
      </w:r>
      <w:r>
        <w:rPr>
          <w:rFonts w:ascii="宋体" w:hAnsi="宋体"/>
          <w:kern w:val="0"/>
          <w:sz w:val="24"/>
          <w:szCs w:val="22"/>
        </w:rPr>
        <w:t>沟通能力</w:t>
      </w:r>
      <w:r>
        <w:rPr>
          <w:rFonts w:hint="eastAsia" w:ascii="宋体" w:hAnsi="宋体"/>
          <w:kern w:val="0"/>
          <w:sz w:val="24"/>
          <w:szCs w:val="22"/>
        </w:rPr>
        <w:t>，</w:t>
      </w:r>
      <w:r>
        <w:rPr>
          <w:rFonts w:ascii="宋体" w:hAnsi="宋体"/>
          <w:kern w:val="0"/>
          <w:sz w:val="24"/>
          <w:szCs w:val="22"/>
        </w:rPr>
        <w:t>具有在活动中育人的意识和能力</w:t>
      </w:r>
      <w:r>
        <w:rPr>
          <w:rFonts w:hint="eastAsia" w:ascii="宋体" w:hAnsi="宋体"/>
          <w:kern w:val="0"/>
          <w:sz w:val="24"/>
          <w:szCs w:val="22"/>
        </w:rPr>
        <w:t>，</w:t>
      </w:r>
      <w:r>
        <w:rPr>
          <w:rFonts w:ascii="宋体" w:hAnsi="宋体"/>
          <w:kern w:val="0"/>
          <w:sz w:val="24"/>
          <w:szCs w:val="22"/>
        </w:rPr>
        <w:t>具有一定的研究与反思能力。</w:t>
      </w:r>
    </w:p>
    <w:p w14:paraId="4037FF75">
      <w:pPr>
        <w:spacing w:line="360" w:lineRule="auto"/>
        <w:ind w:firstLine="480" w:firstLineChars="200"/>
        <w:outlineLvl w:val="0"/>
        <w:rPr>
          <w:rFonts w:hint="eastAsia" w:ascii="宋体" w:hAnsi="宋体"/>
          <w:kern w:val="0"/>
          <w:sz w:val="24"/>
          <w:szCs w:val="22"/>
        </w:rPr>
      </w:pPr>
    </w:p>
    <w:p w14:paraId="3576F21D">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72"/>
        <w:gridCol w:w="4977"/>
      </w:tblGrid>
      <w:tr w14:paraId="3B9C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1D961F65">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72" w:type="dxa"/>
            <w:noWrap w:val="0"/>
            <w:vAlign w:val="center"/>
          </w:tcPr>
          <w:p w14:paraId="23E97A14">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1808EC2F">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2C87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601F9299">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72" w:type="dxa"/>
            <w:noWrap w:val="0"/>
            <w:vAlign w:val="center"/>
          </w:tcPr>
          <w:p w14:paraId="18B247DE">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tc>
        <w:tc>
          <w:tcPr>
            <w:tcW w:w="4977" w:type="dxa"/>
            <w:noWrap w:val="0"/>
            <w:vAlign w:val="center"/>
          </w:tcPr>
          <w:p w14:paraId="40F2680B">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3-</w:t>
            </w:r>
            <w:r>
              <w:rPr>
                <w:rFonts w:ascii="宋体" w:hAnsi="宋体"/>
                <w:kern w:val="0"/>
                <w:szCs w:val="21"/>
              </w:rPr>
              <w:t>4</w:t>
            </w:r>
            <w:r>
              <w:rPr>
                <w:rFonts w:hint="eastAsia" w:ascii="宋体" w:hAnsi="宋体"/>
                <w:kern w:val="0"/>
                <w:szCs w:val="21"/>
              </w:rPr>
              <w:t>：了解基于情境与主题的学科整合的教育意义，了解所教学科与其他学科及与社会实践、小学生生活实践之间的联系。</w:t>
            </w:r>
          </w:p>
        </w:tc>
      </w:tr>
      <w:tr w14:paraId="4A20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noWrap w:val="0"/>
            <w:vAlign w:val="center"/>
          </w:tcPr>
          <w:p w14:paraId="65E781EA">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72" w:type="dxa"/>
            <w:noWrap w:val="0"/>
            <w:vAlign w:val="center"/>
          </w:tcPr>
          <w:p w14:paraId="1EC721E6">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p w14:paraId="6B81634D">
            <w:pPr>
              <w:pStyle w:val="58"/>
              <w:spacing w:line="276" w:lineRule="auto"/>
              <w:ind w:firstLine="0" w:firstLineChars="0"/>
              <w:rPr>
                <w:rFonts w:hint="eastAsia" w:ascii="宋体" w:hAnsi="宋体"/>
                <w:kern w:val="0"/>
                <w:szCs w:val="21"/>
              </w:rPr>
            </w:pPr>
            <w:r>
              <w:rPr>
                <w:rFonts w:hint="eastAsia" w:ascii="宋体" w:hAnsi="宋体"/>
                <w:kern w:val="0"/>
                <w:szCs w:val="21"/>
              </w:rPr>
              <w:t>毕业要求4. 教学能力</w:t>
            </w:r>
          </w:p>
        </w:tc>
        <w:tc>
          <w:tcPr>
            <w:tcW w:w="4977" w:type="dxa"/>
            <w:noWrap w:val="0"/>
            <w:vAlign w:val="center"/>
          </w:tcPr>
          <w:p w14:paraId="60439968">
            <w:pPr>
              <w:pStyle w:val="58"/>
              <w:spacing w:line="276" w:lineRule="auto"/>
              <w:ind w:firstLine="0" w:firstLineChars="0"/>
              <w:jc w:val="left"/>
              <w:rPr>
                <w:rFonts w:ascii="宋体" w:hAnsi="宋体"/>
                <w:szCs w:val="21"/>
              </w:rPr>
            </w:pPr>
            <w:r>
              <w:rPr>
                <w:rFonts w:hint="eastAsia" w:ascii="宋体" w:hAnsi="宋体"/>
                <w:kern w:val="0"/>
                <w:szCs w:val="21"/>
              </w:rPr>
              <w:t>3-</w:t>
            </w:r>
            <w:r>
              <w:rPr>
                <w:rFonts w:ascii="宋体" w:hAnsi="宋体"/>
                <w:kern w:val="0"/>
                <w:szCs w:val="21"/>
              </w:rPr>
              <w:t>4</w:t>
            </w:r>
            <w:r>
              <w:rPr>
                <w:rFonts w:hint="eastAsia" w:ascii="宋体" w:hAnsi="宋体"/>
                <w:kern w:val="0"/>
                <w:szCs w:val="21"/>
              </w:rPr>
              <w:t>：了解基于情境与主题的学科整合的教育意义，了解所教学科与其他学科及与社会实践、小学生生活实践之间的联系。</w:t>
            </w:r>
          </w:p>
          <w:p w14:paraId="6C1F4897">
            <w:pPr>
              <w:pStyle w:val="58"/>
              <w:spacing w:line="276" w:lineRule="auto"/>
              <w:ind w:firstLine="0" w:firstLineChars="0"/>
              <w:jc w:val="left"/>
              <w:rPr>
                <w:rFonts w:hint="eastAsia" w:ascii="宋体" w:hAnsi="宋体"/>
                <w:kern w:val="0"/>
                <w:sz w:val="18"/>
                <w:szCs w:val="18"/>
              </w:rPr>
            </w:pPr>
            <w:r>
              <w:rPr>
                <w:rFonts w:hint="eastAsia" w:ascii="宋体" w:hAnsi="宋体"/>
                <w:szCs w:val="21"/>
              </w:rPr>
              <w:t>4-1：掌握教与学的知识，熟悉所教学科课程标准、教学内容，具有一定的教材解读能力。</w:t>
            </w:r>
          </w:p>
        </w:tc>
      </w:tr>
      <w:tr w14:paraId="462E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noWrap w:val="0"/>
            <w:vAlign w:val="center"/>
          </w:tcPr>
          <w:p w14:paraId="6C14DA47">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72" w:type="dxa"/>
            <w:noWrap w:val="0"/>
            <w:vAlign w:val="center"/>
          </w:tcPr>
          <w:p w14:paraId="3BCA1398">
            <w:pPr>
              <w:pStyle w:val="58"/>
              <w:spacing w:line="276" w:lineRule="auto"/>
              <w:ind w:firstLine="0" w:firstLineChars="0"/>
              <w:rPr>
                <w:rFonts w:hint="eastAsia" w:ascii="宋体" w:hAnsi="宋体"/>
                <w:spacing w:val="2"/>
                <w:kern w:val="0"/>
                <w:szCs w:val="21"/>
              </w:rPr>
            </w:pPr>
            <w:r>
              <w:rPr>
                <w:rFonts w:hint="eastAsia" w:ascii="宋体" w:hAnsi="宋体"/>
                <w:kern w:val="0"/>
                <w:szCs w:val="21"/>
              </w:rPr>
              <w:t>毕业要求</w:t>
            </w:r>
            <w:r>
              <w:rPr>
                <w:rFonts w:ascii="宋体" w:hAnsi="宋体"/>
                <w:kern w:val="0"/>
                <w:szCs w:val="21"/>
              </w:rPr>
              <w:t xml:space="preserve">4. </w:t>
            </w:r>
            <w:r>
              <w:rPr>
                <w:rFonts w:hint="eastAsia" w:ascii="宋体" w:hAnsi="宋体"/>
                <w:kern w:val="0"/>
                <w:szCs w:val="21"/>
              </w:rPr>
              <w:t>教学能力</w:t>
            </w:r>
          </w:p>
        </w:tc>
        <w:tc>
          <w:tcPr>
            <w:tcW w:w="4977" w:type="dxa"/>
            <w:noWrap w:val="0"/>
            <w:vAlign w:val="center"/>
          </w:tcPr>
          <w:p w14:paraId="48F6BCA0">
            <w:pPr>
              <w:pStyle w:val="58"/>
              <w:spacing w:line="276" w:lineRule="auto"/>
              <w:ind w:firstLine="0" w:firstLineChars="0"/>
              <w:jc w:val="left"/>
              <w:rPr>
                <w:rFonts w:ascii="宋体" w:hAnsi="宋体"/>
                <w:kern w:val="0"/>
                <w:szCs w:val="21"/>
              </w:rPr>
            </w:pPr>
            <w:r>
              <w:rPr>
                <w:rFonts w:hint="eastAsia" w:ascii="宋体" w:hAnsi="宋体"/>
                <w:kern w:val="0"/>
                <w:szCs w:val="21"/>
              </w:rPr>
              <w:t>4-1：掌握教与学的知识，熟悉所教学科课程标准、教学内容，具有一定的教材解读能力。</w:t>
            </w:r>
          </w:p>
          <w:p w14:paraId="5003B3A1">
            <w:pPr>
              <w:pStyle w:val="58"/>
              <w:spacing w:line="276" w:lineRule="auto"/>
              <w:ind w:firstLine="0" w:firstLineChars="0"/>
              <w:jc w:val="left"/>
              <w:rPr>
                <w:rFonts w:hint="eastAsia" w:ascii="宋体" w:hAnsi="宋体" w:cs="宋体"/>
                <w:szCs w:val="21"/>
              </w:rPr>
            </w:pPr>
            <w:r>
              <w:rPr>
                <w:rFonts w:hint="eastAsia" w:ascii="宋体" w:hAnsi="宋体" w:cs="宋体"/>
                <w:szCs w:val="21"/>
              </w:rPr>
              <w:t>4-2：获得全面的小学教学体验，掌握学科教学的基本方法与策略，能独立进行教学设计、实施和评价。</w:t>
            </w:r>
          </w:p>
        </w:tc>
      </w:tr>
      <w:tr w14:paraId="4E92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12B6DBA7">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 4</w:t>
            </w:r>
          </w:p>
        </w:tc>
        <w:tc>
          <w:tcPr>
            <w:tcW w:w="2472" w:type="dxa"/>
            <w:noWrap w:val="0"/>
            <w:vAlign w:val="center"/>
          </w:tcPr>
          <w:p w14:paraId="5288EDE3">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毕业要求4. 教学能力</w:t>
            </w:r>
          </w:p>
        </w:tc>
        <w:tc>
          <w:tcPr>
            <w:tcW w:w="4977" w:type="dxa"/>
            <w:noWrap w:val="0"/>
            <w:vAlign w:val="center"/>
          </w:tcPr>
          <w:p w14:paraId="3648FE9D">
            <w:pPr>
              <w:pStyle w:val="58"/>
              <w:shd w:val="clear" w:color="auto" w:fill="FFFFFF"/>
              <w:spacing w:line="276" w:lineRule="auto"/>
              <w:ind w:firstLine="0" w:firstLineChars="0"/>
              <w:jc w:val="left"/>
              <w:rPr>
                <w:rFonts w:ascii="宋体" w:hAnsi="宋体"/>
                <w:szCs w:val="21"/>
              </w:rPr>
            </w:pPr>
            <w:r>
              <w:rPr>
                <w:rFonts w:hint="eastAsia" w:ascii="宋体" w:hAnsi="宋体"/>
                <w:szCs w:val="21"/>
              </w:rPr>
              <w:t>4-1：掌握教与学的知识，熟悉所教学科课程标准、教学内容，具有一定的教材解读能力。</w:t>
            </w:r>
          </w:p>
          <w:p w14:paraId="3B7E8977">
            <w:pPr>
              <w:pStyle w:val="58"/>
              <w:shd w:val="clear" w:color="auto" w:fill="FFFFFF"/>
              <w:spacing w:line="276" w:lineRule="auto"/>
              <w:ind w:firstLine="0" w:firstLineChars="0"/>
              <w:jc w:val="left"/>
              <w:rPr>
                <w:rFonts w:hint="eastAsia" w:ascii="宋体" w:hAnsi="宋体"/>
                <w:spacing w:val="2"/>
                <w:kern w:val="0"/>
                <w:szCs w:val="21"/>
              </w:rPr>
            </w:pPr>
            <w:r>
              <w:rPr>
                <w:rFonts w:hint="eastAsia" w:ascii="宋体" w:hAnsi="宋体"/>
                <w:szCs w:val="21"/>
              </w:rPr>
              <w:t>4-2：获得全面的小学教学体验，掌握学科教学的基本方法与策略，能独立进行教学设计、实施和评价。</w:t>
            </w:r>
          </w:p>
        </w:tc>
      </w:tr>
      <w:tr w14:paraId="6591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0DF41251">
            <w:pPr>
              <w:pStyle w:val="58"/>
              <w:spacing w:line="276" w:lineRule="auto"/>
              <w:ind w:firstLine="0" w:firstLineChars="0"/>
              <w:jc w:val="center"/>
              <w:rPr>
                <w:rFonts w:hint="eastAsia" w:ascii="宋体" w:hAnsi="宋体" w:cs="宋体"/>
                <w:szCs w:val="21"/>
              </w:rPr>
            </w:pPr>
            <w:r>
              <w:rPr>
                <w:rFonts w:hint="eastAsia" w:ascii="宋体" w:hAnsi="宋体" w:cs="宋体"/>
                <w:szCs w:val="21"/>
              </w:rPr>
              <w:t xml:space="preserve">课程目标 </w:t>
            </w:r>
            <w:r>
              <w:rPr>
                <w:rFonts w:ascii="宋体" w:hAnsi="宋体" w:cs="宋体"/>
                <w:szCs w:val="21"/>
              </w:rPr>
              <w:t>5</w:t>
            </w:r>
          </w:p>
        </w:tc>
        <w:tc>
          <w:tcPr>
            <w:tcW w:w="2472" w:type="dxa"/>
            <w:noWrap w:val="0"/>
            <w:vAlign w:val="center"/>
          </w:tcPr>
          <w:p w14:paraId="410266CF">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 xml:space="preserve">4. </w:t>
            </w:r>
            <w:r>
              <w:rPr>
                <w:rFonts w:hint="eastAsia" w:ascii="宋体" w:hAnsi="宋体"/>
                <w:kern w:val="0"/>
                <w:szCs w:val="21"/>
              </w:rPr>
              <w:t>教学能力</w:t>
            </w:r>
          </w:p>
          <w:p w14:paraId="592FFF91">
            <w:pPr>
              <w:pStyle w:val="58"/>
              <w:spacing w:line="276" w:lineRule="auto"/>
              <w:ind w:firstLine="0" w:firstLineChars="0"/>
              <w:rPr>
                <w:rFonts w:hint="eastAsia" w:ascii="宋体" w:hAnsi="宋体"/>
                <w:kern w:val="0"/>
                <w:szCs w:val="21"/>
              </w:rPr>
            </w:pPr>
            <w:r>
              <w:rPr>
                <w:rFonts w:hint="eastAsia" w:ascii="宋体" w:hAnsi="宋体"/>
                <w:kern w:val="0"/>
                <w:szCs w:val="21"/>
              </w:rPr>
              <w:t>毕业</w:t>
            </w:r>
            <w:r>
              <w:rPr>
                <w:rFonts w:ascii="宋体" w:hAnsi="宋体"/>
                <w:kern w:val="0"/>
                <w:szCs w:val="21"/>
              </w:rPr>
              <w:t>要求</w:t>
            </w:r>
            <w:r>
              <w:rPr>
                <w:rFonts w:hint="eastAsia" w:ascii="宋体" w:hAnsi="宋体"/>
                <w:kern w:val="0"/>
                <w:szCs w:val="21"/>
              </w:rPr>
              <w:t>6.</w:t>
            </w:r>
            <w:r>
              <w:rPr>
                <w:rFonts w:ascii="宋体" w:hAnsi="宋体"/>
                <w:kern w:val="0"/>
                <w:szCs w:val="21"/>
              </w:rPr>
              <w:t xml:space="preserve"> </w:t>
            </w:r>
            <w:r>
              <w:rPr>
                <w:rFonts w:hint="eastAsia" w:ascii="宋体" w:hAnsi="宋体"/>
                <w:kern w:val="0"/>
                <w:szCs w:val="21"/>
              </w:rPr>
              <w:t>综合</w:t>
            </w:r>
            <w:r>
              <w:rPr>
                <w:rFonts w:ascii="宋体" w:hAnsi="宋体"/>
                <w:kern w:val="0"/>
                <w:szCs w:val="21"/>
              </w:rPr>
              <w:t>育人</w:t>
            </w:r>
          </w:p>
          <w:p w14:paraId="46F29F3D">
            <w:pPr>
              <w:pStyle w:val="58"/>
              <w:spacing w:line="276" w:lineRule="auto"/>
              <w:ind w:firstLine="0" w:firstLineChars="0"/>
              <w:rPr>
                <w:rFonts w:hint="eastAsia" w:ascii="宋体" w:hAnsi="宋体"/>
                <w:kern w:val="0"/>
                <w:szCs w:val="21"/>
              </w:rPr>
            </w:pPr>
            <w:r>
              <w:rPr>
                <w:rFonts w:hint="eastAsia" w:ascii="宋体" w:hAnsi="宋体"/>
                <w:kern w:val="0"/>
                <w:szCs w:val="21"/>
              </w:rPr>
              <w:t>毕业</w:t>
            </w:r>
            <w:r>
              <w:rPr>
                <w:rFonts w:ascii="宋体" w:hAnsi="宋体"/>
                <w:kern w:val="0"/>
                <w:szCs w:val="21"/>
              </w:rPr>
              <w:t>要求</w:t>
            </w:r>
            <w:r>
              <w:rPr>
                <w:rFonts w:hint="eastAsia" w:ascii="宋体" w:hAnsi="宋体"/>
                <w:kern w:val="0"/>
                <w:szCs w:val="21"/>
              </w:rPr>
              <w:t>8.</w:t>
            </w:r>
            <w:r>
              <w:rPr>
                <w:rFonts w:ascii="宋体" w:hAnsi="宋体"/>
                <w:kern w:val="0"/>
                <w:szCs w:val="21"/>
              </w:rPr>
              <w:t xml:space="preserve"> </w:t>
            </w:r>
            <w:r>
              <w:rPr>
                <w:rFonts w:hint="eastAsia" w:ascii="宋体" w:hAnsi="宋体"/>
                <w:kern w:val="0"/>
                <w:szCs w:val="21"/>
              </w:rPr>
              <w:t>沟通</w:t>
            </w:r>
            <w:r>
              <w:rPr>
                <w:rFonts w:ascii="宋体" w:hAnsi="宋体"/>
                <w:kern w:val="0"/>
                <w:szCs w:val="21"/>
              </w:rPr>
              <w:t>合作</w:t>
            </w:r>
          </w:p>
        </w:tc>
        <w:tc>
          <w:tcPr>
            <w:tcW w:w="4977" w:type="dxa"/>
            <w:noWrap w:val="0"/>
            <w:vAlign w:val="center"/>
          </w:tcPr>
          <w:p w14:paraId="01E183EC">
            <w:pPr>
              <w:pStyle w:val="58"/>
              <w:shd w:val="clear" w:color="auto" w:fill="FFFFFF"/>
              <w:spacing w:line="276" w:lineRule="auto"/>
              <w:ind w:firstLine="0" w:firstLineChars="0"/>
              <w:jc w:val="left"/>
              <w:rPr>
                <w:rFonts w:ascii="宋体" w:hAnsi="宋体"/>
                <w:szCs w:val="21"/>
              </w:rPr>
            </w:pPr>
            <w:r>
              <w:rPr>
                <w:rFonts w:hint="eastAsia" w:ascii="宋体" w:hAnsi="宋体"/>
                <w:szCs w:val="21"/>
              </w:rPr>
              <w:t>4-1：掌握教与学的知识，熟悉所教学科课程标准、教学内容，具有一定的教材解读能力。</w:t>
            </w:r>
          </w:p>
          <w:p w14:paraId="6A0DD25D">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4-2：获得全面的小学教学体验，掌握学科教学的基本方法与策略，能独立进行教学设计、实施和评价。</w:t>
            </w:r>
          </w:p>
          <w:p w14:paraId="5794327B">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6</w:t>
            </w:r>
            <w:r>
              <w:rPr>
                <w:rFonts w:ascii="宋体" w:hAnsi="宋体"/>
                <w:szCs w:val="21"/>
              </w:rPr>
              <w:t>-</w:t>
            </w:r>
            <w:r>
              <w:rPr>
                <w:rFonts w:hint="eastAsia" w:ascii="宋体" w:hAnsi="宋体"/>
                <w:szCs w:val="21"/>
              </w:rPr>
              <w:t>2：具备结合学科教学进行育人的意识与能力。</w:t>
            </w:r>
          </w:p>
          <w:p w14:paraId="51BB8215">
            <w:pPr>
              <w:pStyle w:val="58"/>
              <w:shd w:val="clear" w:color="auto" w:fill="FFFFFF"/>
              <w:spacing w:line="276" w:lineRule="auto"/>
              <w:ind w:firstLine="0" w:firstLineChars="0"/>
              <w:jc w:val="left"/>
              <w:rPr>
                <w:rFonts w:hint="eastAsia" w:ascii="宋体" w:hAnsi="宋体"/>
                <w:szCs w:val="21"/>
              </w:rPr>
            </w:pPr>
            <w:r>
              <w:rPr>
                <w:rFonts w:hint="eastAsia"/>
                <w:szCs w:val="23"/>
              </w:rPr>
              <w:t>8</w:t>
            </w:r>
            <w:r>
              <w:rPr>
                <w:szCs w:val="23"/>
              </w:rPr>
              <w:t>-</w:t>
            </w:r>
            <w:r>
              <w:rPr>
                <w:rFonts w:hint="eastAsia"/>
                <w:szCs w:val="23"/>
              </w:rPr>
              <w:t>1：理解学习共同体的作用，在课堂学习与教育实践中获得合作学习体验，形成团队协作精神。</w:t>
            </w:r>
          </w:p>
        </w:tc>
      </w:tr>
    </w:tbl>
    <w:p w14:paraId="7B93BC5B">
      <w:pPr>
        <w:spacing w:line="360" w:lineRule="auto"/>
        <w:outlineLvl w:val="0"/>
        <w:rPr>
          <w:rFonts w:ascii="宋体" w:hAnsi="宋体"/>
          <w:b/>
          <w:kern w:val="0"/>
          <w:sz w:val="24"/>
          <w:szCs w:val="22"/>
        </w:rPr>
      </w:pPr>
      <w:r>
        <w:rPr>
          <w:rFonts w:hint="eastAsia" w:ascii="宋体" w:hAnsi="宋体"/>
          <w:b/>
          <w:kern w:val="0"/>
          <w:sz w:val="24"/>
          <w:szCs w:val="22"/>
        </w:rPr>
        <w:t xml:space="preserve">    </w:t>
      </w:r>
    </w:p>
    <w:p w14:paraId="249E7AD8">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4DBBEE52">
      <w:pPr>
        <w:spacing w:line="360" w:lineRule="auto"/>
        <w:ind w:firstLine="482" w:firstLineChars="200"/>
        <w:outlineLvl w:val="0"/>
        <w:rPr>
          <w:rFonts w:ascii="宋体" w:hAnsi="宋体"/>
          <w:b/>
          <w:sz w:val="24"/>
          <w:szCs w:val="22"/>
        </w:rPr>
      </w:pPr>
      <w:r>
        <w:rPr>
          <w:rFonts w:hint="eastAsia" w:ascii="宋体" w:hAnsi="宋体"/>
          <w:b/>
          <w:sz w:val="24"/>
          <w:szCs w:val="22"/>
        </w:rPr>
        <w:t>（一）综合实践活动课程概述（本模块各知识点的讲授与学习，可以支撑课程目标1）</w:t>
      </w:r>
    </w:p>
    <w:p w14:paraId="05AA2805">
      <w:pPr>
        <w:spacing w:line="360" w:lineRule="auto"/>
        <w:ind w:firstLine="482" w:firstLineChars="200"/>
        <w:rPr>
          <w:rFonts w:ascii="宋体" w:hAnsi="宋体"/>
          <w:b/>
          <w:sz w:val="24"/>
          <w:szCs w:val="22"/>
        </w:rPr>
      </w:pPr>
      <w:r>
        <w:rPr>
          <w:rFonts w:ascii="宋体" w:hAnsi="宋体"/>
          <w:b/>
          <w:sz w:val="24"/>
          <w:szCs w:val="22"/>
        </w:rPr>
        <w:t>1.教学内容</w:t>
      </w:r>
    </w:p>
    <w:p w14:paraId="66A2C661">
      <w:pPr>
        <w:spacing w:line="360" w:lineRule="auto"/>
        <w:ind w:firstLine="480" w:firstLineChars="200"/>
        <w:rPr>
          <w:rFonts w:hint="eastAsia" w:ascii="宋体" w:hAnsi="宋体"/>
          <w:sz w:val="24"/>
          <w:szCs w:val="22"/>
        </w:rPr>
      </w:pPr>
      <w:r>
        <w:rPr>
          <w:rFonts w:hint="eastAsia" w:ascii="宋体" w:hAnsi="宋体"/>
          <w:sz w:val="24"/>
          <w:szCs w:val="22"/>
        </w:rPr>
        <w:t>（1）综合实践活动课程产生的基础</w:t>
      </w:r>
    </w:p>
    <w:p w14:paraId="0732C13F">
      <w:pPr>
        <w:spacing w:line="360" w:lineRule="auto"/>
        <w:ind w:firstLine="480" w:firstLineChars="200"/>
        <w:rPr>
          <w:rFonts w:hint="eastAsia" w:ascii="宋体" w:hAnsi="宋体"/>
          <w:sz w:val="24"/>
          <w:szCs w:val="22"/>
        </w:rPr>
      </w:pPr>
      <w:r>
        <w:rPr>
          <w:rFonts w:hint="eastAsia" w:ascii="宋体" w:hAnsi="宋体"/>
          <w:sz w:val="24"/>
          <w:szCs w:val="22"/>
        </w:rPr>
        <w:t>（2）综合实践活动课程的产生</w:t>
      </w:r>
    </w:p>
    <w:p w14:paraId="0BD72A03">
      <w:pPr>
        <w:spacing w:line="360" w:lineRule="auto"/>
        <w:ind w:firstLine="480" w:firstLineChars="200"/>
        <w:rPr>
          <w:rFonts w:ascii="宋体" w:hAnsi="宋体"/>
          <w:sz w:val="24"/>
          <w:szCs w:val="22"/>
        </w:rPr>
      </w:pPr>
      <w:r>
        <w:rPr>
          <w:rFonts w:hint="eastAsia" w:ascii="宋体" w:hAnsi="宋体"/>
          <w:sz w:val="24"/>
          <w:szCs w:val="22"/>
        </w:rPr>
        <w:t>（3）国外和我国台湾地区的综合实践活动课程</w:t>
      </w:r>
    </w:p>
    <w:p w14:paraId="6706A1B0">
      <w:pPr>
        <w:spacing w:line="360" w:lineRule="auto"/>
        <w:ind w:firstLine="482" w:firstLineChars="200"/>
        <w:rPr>
          <w:rFonts w:ascii="宋体" w:hAnsi="宋体"/>
          <w:b/>
          <w:sz w:val="24"/>
          <w:szCs w:val="22"/>
        </w:rPr>
      </w:pPr>
      <w:r>
        <w:rPr>
          <w:rFonts w:ascii="宋体" w:hAnsi="宋体"/>
          <w:b/>
          <w:sz w:val="24"/>
          <w:szCs w:val="22"/>
        </w:rPr>
        <w:t>2.基本要求</w:t>
      </w:r>
    </w:p>
    <w:p w14:paraId="3504E9F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理解综合实践活动课程产生的理论和社会背景</w:t>
      </w:r>
    </w:p>
    <w:p w14:paraId="783479F4">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初步熟悉综合实践活动课程的产生过程</w:t>
      </w:r>
    </w:p>
    <w:p w14:paraId="7144DB8F">
      <w:pPr>
        <w:spacing w:line="360" w:lineRule="auto"/>
        <w:ind w:firstLine="480" w:firstLineChars="200"/>
        <w:rPr>
          <w:rFonts w:ascii="宋体" w:hAnsi="宋体"/>
          <w:sz w:val="24"/>
          <w:szCs w:val="22"/>
        </w:rPr>
      </w:pPr>
      <w:r>
        <w:rPr>
          <w:rFonts w:hint="eastAsia" w:ascii="宋体" w:hAnsi="宋体"/>
          <w:sz w:val="24"/>
          <w:szCs w:val="22"/>
        </w:rPr>
        <w:t>（3）了解国内外综合实践活动课程概况</w:t>
      </w:r>
    </w:p>
    <w:p w14:paraId="4AB8F305">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综合实践活动课程产生的基础</w:t>
      </w:r>
    </w:p>
    <w:p w14:paraId="322E1BB5">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综合实践活动课程的产生过程</w:t>
      </w:r>
    </w:p>
    <w:p w14:paraId="2452AEE0">
      <w:pPr>
        <w:spacing w:line="360" w:lineRule="auto"/>
        <w:ind w:firstLine="482" w:firstLineChars="200"/>
        <w:rPr>
          <w:rFonts w:ascii="宋体" w:hAnsi="宋体"/>
          <w:sz w:val="24"/>
          <w:szCs w:val="22"/>
        </w:rPr>
      </w:pPr>
      <w:bookmarkStart w:id="179" w:name="_Hlk183775562"/>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1405C012">
      <w:pPr>
        <w:spacing w:line="360" w:lineRule="auto"/>
        <w:ind w:firstLine="480" w:firstLineChars="200"/>
        <w:rPr>
          <w:rFonts w:ascii="宋体" w:hAnsi="宋体"/>
          <w:sz w:val="24"/>
          <w:szCs w:val="22"/>
        </w:rPr>
      </w:pPr>
      <w:r>
        <w:rPr>
          <w:rFonts w:hint="eastAsia" w:ascii="宋体" w:hAnsi="宋体"/>
          <w:sz w:val="24"/>
          <w:szCs w:val="22"/>
        </w:rPr>
        <w:t>养成严谨治学的态度，掌握科学、严谨的学习方法，注重创新精神和实践能力的提升，增强专业自信心；增强团队合作意识与沟通表达能力。</w:t>
      </w:r>
    </w:p>
    <w:bookmarkEnd w:id="179"/>
    <w:p w14:paraId="77BA4C56">
      <w:pPr>
        <w:spacing w:line="360" w:lineRule="auto"/>
        <w:ind w:firstLine="482" w:firstLineChars="200"/>
        <w:outlineLvl w:val="0"/>
        <w:rPr>
          <w:rFonts w:hint="eastAsia" w:ascii="宋体" w:hAnsi="宋体"/>
          <w:b/>
          <w:sz w:val="24"/>
          <w:szCs w:val="22"/>
        </w:rPr>
      </w:pPr>
      <w:r>
        <w:rPr>
          <w:rFonts w:hint="eastAsia" w:ascii="宋体" w:hAnsi="宋体"/>
          <w:b/>
          <w:sz w:val="24"/>
          <w:szCs w:val="22"/>
        </w:rPr>
        <w:t>（二）综合实践活动课程的特性、价值及理念（本模块各知识点的讲授与学习，可以支撑课程目标2）</w:t>
      </w:r>
    </w:p>
    <w:p w14:paraId="42998482">
      <w:pPr>
        <w:spacing w:line="360" w:lineRule="auto"/>
        <w:ind w:firstLine="482" w:firstLineChars="200"/>
        <w:rPr>
          <w:rFonts w:ascii="宋体" w:hAnsi="宋体"/>
          <w:b/>
          <w:sz w:val="24"/>
          <w:szCs w:val="22"/>
        </w:rPr>
      </w:pPr>
      <w:r>
        <w:rPr>
          <w:rFonts w:ascii="宋体" w:hAnsi="宋体"/>
          <w:b/>
          <w:sz w:val="24"/>
          <w:szCs w:val="22"/>
        </w:rPr>
        <w:t>1.教学内容</w:t>
      </w:r>
    </w:p>
    <w:p w14:paraId="486F5DB3">
      <w:pPr>
        <w:spacing w:line="360" w:lineRule="auto"/>
        <w:ind w:firstLine="480" w:firstLineChars="200"/>
        <w:rPr>
          <w:rFonts w:hint="eastAsia" w:ascii="宋体" w:hAnsi="宋体"/>
          <w:sz w:val="24"/>
          <w:szCs w:val="22"/>
        </w:rPr>
      </w:pPr>
      <w:r>
        <w:rPr>
          <w:rFonts w:ascii="宋体" w:hAnsi="宋体"/>
          <w:sz w:val="24"/>
          <w:szCs w:val="22"/>
        </w:rPr>
        <w:t>（1）</w:t>
      </w:r>
      <w:r>
        <w:rPr>
          <w:rFonts w:hint="eastAsia"/>
          <w:sz w:val="24"/>
        </w:rPr>
        <w:t>综合实践活动课程的特性及价值</w:t>
      </w:r>
    </w:p>
    <w:p w14:paraId="5A0FA1D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sz w:val="24"/>
        </w:rPr>
        <w:t>综合实践活动课程的基本理念</w:t>
      </w:r>
    </w:p>
    <w:p w14:paraId="59484402">
      <w:pPr>
        <w:spacing w:line="360" w:lineRule="auto"/>
        <w:ind w:firstLine="482" w:firstLineChars="200"/>
        <w:rPr>
          <w:rFonts w:ascii="宋体" w:hAnsi="宋体"/>
          <w:b/>
          <w:sz w:val="24"/>
          <w:szCs w:val="22"/>
        </w:rPr>
      </w:pPr>
      <w:r>
        <w:rPr>
          <w:rFonts w:ascii="宋体" w:hAnsi="宋体"/>
          <w:b/>
          <w:sz w:val="24"/>
          <w:szCs w:val="22"/>
        </w:rPr>
        <w:t>2.基本要求</w:t>
      </w:r>
    </w:p>
    <w:p w14:paraId="332CD3B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理解综合实践活动课程的特性和价值</w:t>
      </w:r>
    </w:p>
    <w:p w14:paraId="7424C6C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掌握综合实践活动课程的理念</w:t>
      </w:r>
    </w:p>
    <w:p w14:paraId="4BCFC70A">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综合实践活动课程的特性和和基本</w:t>
      </w:r>
      <w:r>
        <w:rPr>
          <w:rFonts w:ascii="宋体" w:hAnsi="宋体"/>
          <w:sz w:val="24"/>
          <w:szCs w:val="22"/>
        </w:rPr>
        <w:t>理念</w:t>
      </w:r>
    </w:p>
    <w:p w14:paraId="7EF30F9C">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综合实践活动课程的基本理念</w:t>
      </w:r>
    </w:p>
    <w:p w14:paraId="040C9B2D">
      <w:pPr>
        <w:spacing w:line="360" w:lineRule="auto"/>
        <w:ind w:firstLine="482" w:firstLineChars="200"/>
        <w:rPr>
          <w:rFonts w:ascii="宋体" w:hAnsi="宋体"/>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38AE0536">
      <w:pPr>
        <w:spacing w:line="360" w:lineRule="auto"/>
        <w:ind w:firstLine="480" w:firstLineChars="200"/>
        <w:rPr>
          <w:rFonts w:ascii="宋体" w:hAnsi="宋体"/>
          <w:sz w:val="24"/>
          <w:szCs w:val="22"/>
        </w:rPr>
      </w:pPr>
      <w:r>
        <w:rPr>
          <w:rFonts w:hint="eastAsia" w:ascii="宋体" w:hAnsi="宋体"/>
          <w:sz w:val="24"/>
          <w:szCs w:val="22"/>
        </w:rPr>
        <w:t>养成严谨治学的态度，掌握科学、严谨的学习方法，注重创新精神和实践能力的提升，增强专业自信心；增强团队合作意识与沟通表达能力。</w:t>
      </w:r>
    </w:p>
    <w:p w14:paraId="004E559C">
      <w:pPr>
        <w:spacing w:line="360" w:lineRule="auto"/>
        <w:ind w:firstLine="482" w:firstLineChars="200"/>
        <w:outlineLvl w:val="0"/>
        <w:rPr>
          <w:rFonts w:ascii="宋体" w:hAnsi="宋体"/>
          <w:b/>
          <w:sz w:val="24"/>
          <w:szCs w:val="22"/>
        </w:rPr>
      </w:pPr>
      <w:r>
        <w:rPr>
          <w:rFonts w:hint="eastAsia" w:ascii="宋体" w:hAnsi="宋体"/>
          <w:b/>
          <w:sz w:val="24"/>
          <w:szCs w:val="22"/>
        </w:rPr>
        <w:t>（三）小学综合实践活动课程的目标与</w:t>
      </w:r>
      <w:r>
        <w:rPr>
          <w:rFonts w:ascii="宋体" w:hAnsi="宋体"/>
          <w:b/>
          <w:sz w:val="24"/>
          <w:szCs w:val="22"/>
        </w:rPr>
        <w:t>内容</w:t>
      </w:r>
      <w:r>
        <w:rPr>
          <w:rFonts w:hint="eastAsia" w:ascii="宋体" w:hAnsi="宋体"/>
          <w:b/>
          <w:sz w:val="24"/>
          <w:szCs w:val="22"/>
        </w:rPr>
        <w:t>（本模块各知识点的讲授与学习，可以支撑课程目标</w:t>
      </w:r>
      <w:r>
        <w:rPr>
          <w:rFonts w:ascii="宋体" w:hAnsi="宋体"/>
          <w:b/>
          <w:sz w:val="24"/>
          <w:szCs w:val="22"/>
        </w:rPr>
        <w:t>2</w:t>
      </w:r>
      <w:r>
        <w:rPr>
          <w:rFonts w:hint="eastAsia" w:ascii="宋体" w:hAnsi="宋体"/>
          <w:b/>
          <w:sz w:val="24"/>
          <w:szCs w:val="22"/>
        </w:rPr>
        <w:t>）</w:t>
      </w:r>
    </w:p>
    <w:p w14:paraId="799F91EC">
      <w:pPr>
        <w:spacing w:line="360" w:lineRule="auto"/>
        <w:ind w:firstLine="482" w:firstLineChars="200"/>
        <w:rPr>
          <w:rFonts w:ascii="宋体" w:hAnsi="宋体"/>
          <w:b/>
          <w:sz w:val="24"/>
          <w:szCs w:val="22"/>
        </w:rPr>
      </w:pPr>
      <w:r>
        <w:rPr>
          <w:rFonts w:ascii="宋体" w:hAnsi="宋体"/>
          <w:b/>
          <w:sz w:val="24"/>
          <w:szCs w:val="22"/>
        </w:rPr>
        <w:t>1.教学内容</w:t>
      </w:r>
    </w:p>
    <w:p w14:paraId="4AE5AB6E">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课程目标及其分类</w:t>
      </w:r>
    </w:p>
    <w:p w14:paraId="6B0CBCF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小学综合实践活动课程的目标及</w:t>
      </w:r>
      <w:r>
        <w:rPr>
          <w:rFonts w:ascii="宋体" w:hAnsi="宋体"/>
          <w:sz w:val="24"/>
          <w:szCs w:val="22"/>
        </w:rPr>
        <w:t>具体化</w:t>
      </w:r>
    </w:p>
    <w:p w14:paraId="42227B35">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小学综合实践活动课程的内容</w:t>
      </w:r>
    </w:p>
    <w:p w14:paraId="1D65542F">
      <w:pPr>
        <w:spacing w:line="360" w:lineRule="auto"/>
        <w:ind w:firstLine="482" w:firstLineChars="200"/>
        <w:rPr>
          <w:rFonts w:ascii="宋体" w:hAnsi="宋体"/>
          <w:b/>
          <w:sz w:val="24"/>
          <w:szCs w:val="22"/>
        </w:rPr>
      </w:pPr>
      <w:r>
        <w:rPr>
          <w:rFonts w:ascii="宋体" w:hAnsi="宋体"/>
          <w:b/>
          <w:sz w:val="24"/>
          <w:szCs w:val="22"/>
        </w:rPr>
        <w:t>2.基本要求</w:t>
      </w:r>
    </w:p>
    <w:p w14:paraId="31187934">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熟悉综合实践活动课程的总体目标与学段目标的具体要求</w:t>
      </w:r>
    </w:p>
    <w:p w14:paraId="3074E27D">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初步具备设计小学综合实践活动课程具体目标的意识和能力</w:t>
      </w:r>
    </w:p>
    <w:p w14:paraId="01CA4DB1">
      <w:pPr>
        <w:spacing w:line="360" w:lineRule="auto"/>
        <w:ind w:firstLine="480" w:firstLineChars="200"/>
        <w:rPr>
          <w:rFonts w:hint="eastAsia" w:ascii="宋体" w:hAnsi="宋体"/>
          <w:sz w:val="24"/>
          <w:szCs w:val="22"/>
        </w:rPr>
      </w:pPr>
      <w:r>
        <w:rPr>
          <w:rFonts w:hint="eastAsia" w:ascii="宋体" w:hAnsi="宋体"/>
          <w:sz w:val="24"/>
          <w:szCs w:val="22"/>
        </w:rPr>
        <w:t>（</w:t>
      </w:r>
      <w:r>
        <w:rPr>
          <w:rFonts w:ascii="宋体" w:hAnsi="宋体"/>
          <w:sz w:val="24"/>
          <w:szCs w:val="22"/>
        </w:rPr>
        <w:t>3</w:t>
      </w:r>
      <w:r>
        <w:rPr>
          <w:rFonts w:hint="eastAsia" w:ascii="宋体" w:hAnsi="宋体"/>
          <w:sz w:val="24"/>
          <w:szCs w:val="22"/>
        </w:rPr>
        <w:t>）熟悉小学综合实践活动课程各领域的基本内容及其开发</w:t>
      </w:r>
    </w:p>
    <w:p w14:paraId="032B32E7">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综合实践活动课程的目标和</w:t>
      </w:r>
      <w:r>
        <w:rPr>
          <w:rFonts w:ascii="宋体" w:hAnsi="宋体"/>
          <w:sz w:val="24"/>
          <w:szCs w:val="22"/>
        </w:rPr>
        <w:t>具体内容</w:t>
      </w:r>
    </w:p>
    <w:p w14:paraId="5B286A2A">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小学综合实践活动课程内容</w:t>
      </w:r>
      <w:r>
        <w:rPr>
          <w:rFonts w:ascii="宋体" w:hAnsi="宋体"/>
          <w:sz w:val="24"/>
          <w:szCs w:val="22"/>
        </w:rPr>
        <w:t>的开</w:t>
      </w:r>
      <w:r>
        <w:rPr>
          <w:rFonts w:hint="eastAsia" w:ascii="宋体" w:hAnsi="宋体"/>
          <w:sz w:val="24"/>
          <w:szCs w:val="22"/>
        </w:rPr>
        <w:t>发</w:t>
      </w:r>
    </w:p>
    <w:p w14:paraId="555CFB0C">
      <w:pPr>
        <w:spacing w:line="360" w:lineRule="auto"/>
        <w:ind w:firstLine="482" w:firstLineChars="200"/>
        <w:rPr>
          <w:rFonts w:ascii="宋体" w:hAnsi="宋体"/>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344143CD">
      <w:pPr>
        <w:spacing w:line="360" w:lineRule="auto"/>
        <w:ind w:firstLine="480" w:firstLineChars="200"/>
        <w:rPr>
          <w:rFonts w:hint="eastAsia" w:ascii="宋体" w:hAnsi="宋体"/>
          <w:sz w:val="24"/>
          <w:szCs w:val="22"/>
        </w:rPr>
      </w:pPr>
      <w:r>
        <w:rPr>
          <w:rFonts w:hint="eastAsia" w:ascii="宋体" w:hAnsi="宋体"/>
          <w:sz w:val="24"/>
          <w:szCs w:val="22"/>
        </w:rPr>
        <w:t>养成严谨治学的态度，掌握科学、严谨的学习方法，注重创新精神和实践能力的提升，增强专业自信心；增强团队合作意识与沟通表达能力。</w:t>
      </w:r>
    </w:p>
    <w:p w14:paraId="5C894A11">
      <w:pPr>
        <w:spacing w:line="360" w:lineRule="auto"/>
        <w:ind w:firstLine="361" w:firstLineChars="150"/>
        <w:outlineLvl w:val="0"/>
        <w:rPr>
          <w:rFonts w:hint="eastAsia" w:ascii="宋体" w:hAnsi="宋体"/>
          <w:b/>
          <w:sz w:val="24"/>
          <w:szCs w:val="22"/>
        </w:rPr>
      </w:pPr>
      <w:r>
        <w:rPr>
          <w:rFonts w:hint="eastAsia" w:ascii="宋体" w:hAnsi="宋体"/>
          <w:b/>
          <w:sz w:val="24"/>
          <w:szCs w:val="22"/>
        </w:rPr>
        <w:t>（四）小学综合实践活动设计的原则（本模块各知识点的讲授与学习，可以支撑课程目标</w:t>
      </w:r>
      <w:r>
        <w:rPr>
          <w:rFonts w:ascii="宋体" w:hAnsi="宋体"/>
          <w:b/>
          <w:sz w:val="24"/>
          <w:szCs w:val="22"/>
        </w:rPr>
        <w:t>3</w:t>
      </w:r>
      <w:r>
        <w:rPr>
          <w:rFonts w:hint="eastAsia" w:ascii="宋体" w:hAnsi="宋体"/>
          <w:b/>
          <w:sz w:val="24"/>
          <w:szCs w:val="22"/>
        </w:rPr>
        <w:t>、</w:t>
      </w:r>
      <w:r>
        <w:rPr>
          <w:rFonts w:ascii="宋体" w:hAnsi="宋体"/>
          <w:b/>
          <w:sz w:val="24"/>
          <w:szCs w:val="22"/>
        </w:rPr>
        <w:t>课程目标5</w:t>
      </w:r>
      <w:r>
        <w:rPr>
          <w:rFonts w:hint="eastAsia" w:ascii="宋体" w:hAnsi="宋体"/>
          <w:b/>
          <w:sz w:val="24"/>
          <w:szCs w:val="22"/>
        </w:rPr>
        <w:t>）</w:t>
      </w:r>
    </w:p>
    <w:p w14:paraId="53706973">
      <w:pPr>
        <w:spacing w:line="360" w:lineRule="auto"/>
        <w:ind w:firstLine="482" w:firstLineChars="200"/>
        <w:rPr>
          <w:rFonts w:ascii="宋体" w:hAnsi="宋体"/>
          <w:b/>
          <w:sz w:val="24"/>
          <w:szCs w:val="22"/>
        </w:rPr>
      </w:pPr>
      <w:r>
        <w:rPr>
          <w:rFonts w:ascii="宋体" w:hAnsi="宋体"/>
          <w:b/>
          <w:sz w:val="24"/>
          <w:szCs w:val="22"/>
        </w:rPr>
        <w:t>1.教学内容</w:t>
      </w:r>
    </w:p>
    <w:p w14:paraId="45D5A22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影响小学综合实践活动设计的主要因素</w:t>
      </w:r>
    </w:p>
    <w:p w14:paraId="74B4D7E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小学综合实践活动设计的基本要求</w:t>
      </w:r>
    </w:p>
    <w:p w14:paraId="610E81FC">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3）小学综合实践活动设计的一般原则</w:t>
      </w:r>
    </w:p>
    <w:p w14:paraId="0FDC409D">
      <w:pPr>
        <w:spacing w:line="360" w:lineRule="auto"/>
        <w:ind w:firstLine="482" w:firstLineChars="200"/>
        <w:rPr>
          <w:rFonts w:ascii="宋体" w:hAnsi="宋体"/>
          <w:b/>
          <w:sz w:val="24"/>
          <w:szCs w:val="22"/>
        </w:rPr>
      </w:pPr>
      <w:r>
        <w:rPr>
          <w:rFonts w:ascii="宋体" w:hAnsi="宋体"/>
          <w:b/>
          <w:sz w:val="24"/>
          <w:szCs w:val="22"/>
        </w:rPr>
        <w:t>2.基本要求</w:t>
      </w:r>
    </w:p>
    <w:p w14:paraId="17BC10C8">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了解并能结合实例分析影响小学综合实践活动设计的主要因素</w:t>
      </w:r>
    </w:p>
    <w:p w14:paraId="336377BB">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初步掌握小学综合实践活动设计的基本要求及一般原则</w:t>
      </w:r>
    </w:p>
    <w:p w14:paraId="3C60FC35">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小学综合实践活动设计的基本要求和一般原则</w:t>
      </w:r>
    </w:p>
    <w:p w14:paraId="3D45B74D">
      <w:pPr>
        <w:spacing w:line="360" w:lineRule="auto"/>
        <w:ind w:firstLine="482" w:firstLineChars="200"/>
        <w:rPr>
          <w:rFonts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小学综合实践活动设计的一般原则</w:t>
      </w:r>
    </w:p>
    <w:p w14:paraId="68030557">
      <w:pPr>
        <w:spacing w:line="360" w:lineRule="auto"/>
        <w:ind w:firstLine="482" w:firstLineChars="200"/>
        <w:rPr>
          <w:rFonts w:ascii="宋体" w:hAnsi="宋体"/>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260C14AF">
      <w:pPr>
        <w:spacing w:line="360" w:lineRule="auto"/>
        <w:ind w:firstLine="480" w:firstLineChars="200"/>
        <w:outlineLvl w:val="0"/>
        <w:rPr>
          <w:rFonts w:ascii="宋体" w:hAnsi="宋体"/>
          <w:sz w:val="24"/>
          <w:szCs w:val="22"/>
        </w:rPr>
      </w:pPr>
      <w:r>
        <w:rPr>
          <w:rFonts w:hint="eastAsia" w:ascii="宋体" w:hAnsi="宋体"/>
          <w:sz w:val="24"/>
          <w:szCs w:val="22"/>
        </w:rPr>
        <w:t>养成严谨治学的态度，掌握科学、严谨的学习方法，强化学习意识，注重创新精神和实践能力的提升，树立以学生为主体的设计理念，增强团队合作意识与沟通表达能力。</w:t>
      </w:r>
    </w:p>
    <w:p w14:paraId="3FC7F83B">
      <w:pPr>
        <w:spacing w:line="360" w:lineRule="auto"/>
        <w:ind w:firstLine="482" w:firstLineChars="200"/>
        <w:outlineLvl w:val="0"/>
        <w:rPr>
          <w:rFonts w:hint="eastAsia" w:ascii="宋体" w:hAnsi="宋体"/>
          <w:b/>
          <w:sz w:val="24"/>
          <w:szCs w:val="22"/>
        </w:rPr>
      </w:pPr>
      <w:r>
        <w:rPr>
          <w:rFonts w:hint="eastAsia" w:ascii="宋体" w:hAnsi="宋体"/>
          <w:b/>
          <w:sz w:val="24"/>
          <w:szCs w:val="22"/>
        </w:rPr>
        <w:t>（五）小学综合实践活动设计的过程（本模块各知识点的讲授与学习，可以支撑课程目标</w:t>
      </w:r>
      <w:r>
        <w:rPr>
          <w:rFonts w:ascii="宋体" w:hAnsi="宋体"/>
          <w:b/>
          <w:sz w:val="24"/>
          <w:szCs w:val="22"/>
        </w:rPr>
        <w:t>3</w:t>
      </w:r>
      <w:r>
        <w:rPr>
          <w:rFonts w:hint="eastAsia" w:ascii="宋体" w:hAnsi="宋体"/>
          <w:b/>
          <w:sz w:val="24"/>
          <w:szCs w:val="22"/>
        </w:rPr>
        <w:t>、课程目标5）</w:t>
      </w:r>
    </w:p>
    <w:p w14:paraId="78B4F060">
      <w:pPr>
        <w:spacing w:line="360" w:lineRule="auto"/>
        <w:ind w:firstLine="482" w:firstLineChars="200"/>
        <w:rPr>
          <w:rFonts w:ascii="宋体" w:hAnsi="宋体"/>
          <w:b/>
          <w:sz w:val="24"/>
          <w:szCs w:val="22"/>
        </w:rPr>
      </w:pPr>
      <w:r>
        <w:rPr>
          <w:rFonts w:ascii="宋体" w:hAnsi="宋体"/>
          <w:b/>
          <w:sz w:val="24"/>
          <w:szCs w:val="22"/>
        </w:rPr>
        <w:t>1.教学内容</w:t>
      </w:r>
    </w:p>
    <w:p w14:paraId="5CD9ADC4">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小学综合实践活动设计的一般过程</w:t>
      </w:r>
    </w:p>
    <w:p w14:paraId="6F391AE1">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小学综合实践活动方案的生成</w:t>
      </w:r>
    </w:p>
    <w:p w14:paraId="13B7E890">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小学综合实践活动方案的撰写及呈现形式</w:t>
      </w:r>
    </w:p>
    <w:p w14:paraId="4553966B">
      <w:pPr>
        <w:spacing w:line="360" w:lineRule="auto"/>
        <w:ind w:firstLine="482" w:firstLineChars="200"/>
        <w:rPr>
          <w:rFonts w:ascii="宋体" w:hAnsi="宋体"/>
          <w:b/>
          <w:sz w:val="24"/>
          <w:szCs w:val="22"/>
        </w:rPr>
      </w:pPr>
      <w:r>
        <w:rPr>
          <w:rFonts w:ascii="宋体" w:hAnsi="宋体"/>
          <w:b/>
          <w:sz w:val="24"/>
          <w:szCs w:val="22"/>
        </w:rPr>
        <w:t>2.基本要求</w:t>
      </w:r>
    </w:p>
    <w:p w14:paraId="031E219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理解小学综合实践活动设计的一般过程</w:t>
      </w:r>
    </w:p>
    <w:p w14:paraId="57509A0D">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掌握小学综合实践活动设计方案的设计方法</w:t>
      </w:r>
    </w:p>
    <w:p w14:paraId="2F69FCDF">
      <w:pPr>
        <w:spacing w:line="360" w:lineRule="auto"/>
        <w:ind w:firstLine="480" w:firstLineChars="200"/>
        <w:rPr>
          <w:rFonts w:hint="eastAsia" w:ascii="宋体" w:hAnsi="宋体"/>
          <w:sz w:val="24"/>
          <w:szCs w:val="22"/>
        </w:rPr>
      </w:pPr>
      <w:r>
        <w:rPr>
          <w:rFonts w:hint="eastAsia" w:ascii="宋体" w:hAnsi="宋体"/>
          <w:sz w:val="24"/>
          <w:szCs w:val="22"/>
        </w:rPr>
        <w:t>（3）会独立撰写小学综合实践活动设计方案，并能用恰当的方式呈现</w:t>
      </w:r>
    </w:p>
    <w:p w14:paraId="589081C5">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小学综合实践活动设计的一般过程和活动方案的生成</w:t>
      </w:r>
    </w:p>
    <w:p w14:paraId="31CFE4D8">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小学综合实践活动方案的撰写及呈现形式</w:t>
      </w:r>
    </w:p>
    <w:p w14:paraId="61E79DBA">
      <w:pPr>
        <w:spacing w:line="360" w:lineRule="auto"/>
        <w:ind w:firstLine="482" w:firstLineChars="200"/>
        <w:rPr>
          <w:rFonts w:hint="eastAsia" w:ascii="宋体" w:hAnsi="宋体"/>
          <w:b/>
          <w:bCs/>
          <w:sz w:val="24"/>
          <w:szCs w:val="22"/>
        </w:rPr>
      </w:pPr>
      <w:r>
        <w:rPr>
          <w:rFonts w:hint="eastAsia" w:ascii="宋体" w:hAnsi="宋体"/>
          <w:b/>
          <w:bCs/>
          <w:sz w:val="24"/>
          <w:szCs w:val="22"/>
        </w:rPr>
        <w:t>3.思政目标</w:t>
      </w:r>
    </w:p>
    <w:p w14:paraId="0E5A644B">
      <w:pPr>
        <w:spacing w:line="360" w:lineRule="auto"/>
        <w:ind w:firstLine="480" w:firstLineChars="200"/>
        <w:rPr>
          <w:rFonts w:ascii="宋体" w:hAnsi="宋体"/>
          <w:sz w:val="24"/>
          <w:szCs w:val="22"/>
        </w:rPr>
      </w:pPr>
      <w:r>
        <w:rPr>
          <w:rFonts w:hint="eastAsia" w:ascii="宋体" w:hAnsi="宋体"/>
          <w:sz w:val="24"/>
          <w:szCs w:val="22"/>
        </w:rPr>
        <w:t>成严谨治学的态度，掌握科学、严谨的学习方法，强化学习意识，注重创新精神和实践能力的提升，树立以学生为主体的设计理念，增强团队合作意识与沟通表达能力。</w:t>
      </w:r>
    </w:p>
    <w:p w14:paraId="5B614DDB">
      <w:pPr>
        <w:spacing w:line="360" w:lineRule="auto"/>
        <w:ind w:firstLine="482" w:firstLineChars="200"/>
        <w:rPr>
          <w:rFonts w:hint="eastAsia" w:ascii="宋体" w:hAnsi="宋体"/>
          <w:b/>
          <w:sz w:val="24"/>
          <w:szCs w:val="22"/>
        </w:rPr>
      </w:pPr>
      <w:r>
        <w:rPr>
          <w:rFonts w:hint="eastAsia" w:ascii="宋体" w:hAnsi="宋体"/>
          <w:b/>
          <w:sz w:val="24"/>
          <w:szCs w:val="22"/>
        </w:rPr>
        <w:t>（六）小学综合实践活动设计的方法（本模块各知识点的讲授与学习，可以支撑课程目标</w:t>
      </w:r>
      <w:r>
        <w:rPr>
          <w:rFonts w:ascii="宋体" w:hAnsi="宋体"/>
          <w:b/>
          <w:sz w:val="24"/>
          <w:szCs w:val="22"/>
        </w:rPr>
        <w:t>3</w:t>
      </w:r>
      <w:r>
        <w:rPr>
          <w:rFonts w:hint="eastAsia" w:ascii="宋体" w:hAnsi="宋体"/>
          <w:b/>
          <w:sz w:val="24"/>
          <w:szCs w:val="22"/>
        </w:rPr>
        <w:t>、课程目标5）</w:t>
      </w:r>
    </w:p>
    <w:p w14:paraId="66F033D2">
      <w:pPr>
        <w:spacing w:line="360" w:lineRule="auto"/>
        <w:ind w:firstLine="482" w:firstLineChars="200"/>
        <w:rPr>
          <w:rFonts w:ascii="宋体" w:hAnsi="宋体"/>
          <w:b/>
          <w:sz w:val="24"/>
          <w:szCs w:val="22"/>
        </w:rPr>
      </w:pPr>
      <w:r>
        <w:rPr>
          <w:rFonts w:ascii="宋体" w:hAnsi="宋体"/>
          <w:b/>
          <w:sz w:val="24"/>
          <w:szCs w:val="22"/>
        </w:rPr>
        <w:t>1.教学内容</w:t>
      </w:r>
    </w:p>
    <w:p w14:paraId="1126572A">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小学综合实践活动总体规划及其方法</w:t>
      </w:r>
    </w:p>
    <w:p w14:paraId="44CE6D4D">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小学综合实践活动系列主题活动的设计</w:t>
      </w:r>
    </w:p>
    <w:p w14:paraId="73FD5007">
      <w:pPr>
        <w:spacing w:line="360" w:lineRule="auto"/>
        <w:ind w:firstLine="480" w:firstLineChars="200"/>
        <w:rPr>
          <w:rFonts w:hint="eastAsia" w:ascii="宋体" w:hAnsi="宋体"/>
          <w:sz w:val="24"/>
          <w:szCs w:val="22"/>
        </w:rPr>
      </w:pPr>
      <w:r>
        <w:rPr>
          <w:rFonts w:hint="eastAsia" w:ascii="宋体" w:hAnsi="宋体"/>
          <w:sz w:val="24"/>
          <w:szCs w:val="22"/>
        </w:rPr>
        <w:t>（3）小学综合实践活动单一主题活动的设计</w:t>
      </w:r>
    </w:p>
    <w:p w14:paraId="646DA9E8">
      <w:pPr>
        <w:spacing w:line="360" w:lineRule="auto"/>
        <w:ind w:firstLine="482" w:firstLineChars="200"/>
        <w:rPr>
          <w:rFonts w:ascii="宋体" w:hAnsi="宋体"/>
          <w:b/>
          <w:sz w:val="24"/>
          <w:szCs w:val="22"/>
        </w:rPr>
      </w:pPr>
      <w:r>
        <w:rPr>
          <w:rFonts w:ascii="宋体" w:hAnsi="宋体"/>
          <w:b/>
          <w:sz w:val="24"/>
          <w:szCs w:val="22"/>
        </w:rPr>
        <w:t>2.基本要求</w:t>
      </w:r>
    </w:p>
    <w:p w14:paraId="3F8671FD">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理解综合实践活动总体规划的含义、内容及方法</w:t>
      </w:r>
    </w:p>
    <w:p w14:paraId="70D0B237">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学会系列主题活动和单一主题活动方案的设计</w:t>
      </w:r>
    </w:p>
    <w:p w14:paraId="2167535B">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理解综合实践主题活动设计的整合思路和方法</w:t>
      </w:r>
    </w:p>
    <w:p w14:paraId="1DDBA248">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小学综合实践活动总体规划及其方法</w:t>
      </w:r>
    </w:p>
    <w:p w14:paraId="3240830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小学综合实践活动系列主题活动和单一主题活动方案的设计</w:t>
      </w:r>
    </w:p>
    <w:p w14:paraId="595785F4">
      <w:pPr>
        <w:spacing w:line="360" w:lineRule="auto"/>
        <w:ind w:firstLine="482" w:firstLineChars="200"/>
        <w:rPr>
          <w:rFonts w:hint="eastAsia" w:ascii="宋体" w:hAnsi="宋体"/>
          <w:b/>
          <w:bCs/>
          <w:sz w:val="24"/>
          <w:szCs w:val="22"/>
        </w:rPr>
      </w:pPr>
      <w:r>
        <w:rPr>
          <w:rFonts w:hint="eastAsia" w:ascii="宋体" w:hAnsi="宋体"/>
          <w:b/>
          <w:bCs/>
          <w:sz w:val="24"/>
          <w:szCs w:val="22"/>
        </w:rPr>
        <w:t>3.思政目标</w:t>
      </w:r>
    </w:p>
    <w:p w14:paraId="06FEA5D5">
      <w:pPr>
        <w:spacing w:line="360" w:lineRule="auto"/>
        <w:ind w:firstLine="480" w:firstLineChars="200"/>
        <w:outlineLvl w:val="0"/>
        <w:rPr>
          <w:rFonts w:ascii="宋体" w:hAnsi="宋体"/>
          <w:sz w:val="24"/>
          <w:szCs w:val="22"/>
        </w:rPr>
      </w:pPr>
      <w:r>
        <w:rPr>
          <w:rFonts w:hint="eastAsia" w:ascii="宋体" w:hAnsi="宋体"/>
          <w:sz w:val="24"/>
          <w:szCs w:val="22"/>
        </w:rPr>
        <w:t>养成严谨治学的态度，掌握科学、严谨的学习方法，强化学习意识，注重创新精神和实践能力的提升，树立以学生为主体的设计理念，增强团队合作意识与沟通表达能力。</w:t>
      </w:r>
    </w:p>
    <w:p w14:paraId="1909C934">
      <w:pPr>
        <w:spacing w:line="360" w:lineRule="auto"/>
        <w:ind w:firstLine="482" w:firstLineChars="200"/>
        <w:outlineLvl w:val="0"/>
        <w:rPr>
          <w:rFonts w:hint="eastAsia" w:ascii="宋体" w:hAnsi="宋体"/>
          <w:b/>
          <w:sz w:val="24"/>
          <w:szCs w:val="22"/>
        </w:rPr>
      </w:pPr>
      <w:r>
        <w:rPr>
          <w:rFonts w:hint="eastAsia" w:ascii="宋体" w:hAnsi="宋体"/>
          <w:b/>
          <w:sz w:val="24"/>
          <w:szCs w:val="22"/>
        </w:rPr>
        <w:t>（七）小学综合实践活动方案的优化（本模块各知识点的讲授与学习，可以支撑课程目标</w:t>
      </w:r>
      <w:r>
        <w:rPr>
          <w:rFonts w:ascii="宋体" w:hAnsi="宋体"/>
          <w:b/>
          <w:sz w:val="24"/>
          <w:szCs w:val="22"/>
        </w:rPr>
        <w:t>3</w:t>
      </w:r>
      <w:r>
        <w:rPr>
          <w:rFonts w:hint="eastAsia" w:ascii="宋体" w:hAnsi="宋体"/>
          <w:b/>
          <w:sz w:val="24"/>
          <w:szCs w:val="22"/>
        </w:rPr>
        <w:t>、课程目标5）</w:t>
      </w:r>
    </w:p>
    <w:p w14:paraId="7743BBF9">
      <w:pPr>
        <w:spacing w:line="360" w:lineRule="auto"/>
        <w:ind w:firstLine="482" w:firstLineChars="200"/>
        <w:rPr>
          <w:rFonts w:ascii="宋体" w:hAnsi="宋体"/>
          <w:b/>
          <w:sz w:val="24"/>
          <w:szCs w:val="22"/>
        </w:rPr>
      </w:pPr>
      <w:r>
        <w:rPr>
          <w:rFonts w:ascii="宋体" w:hAnsi="宋体"/>
          <w:b/>
          <w:sz w:val="24"/>
          <w:szCs w:val="22"/>
        </w:rPr>
        <w:t>1.教学内容</w:t>
      </w:r>
    </w:p>
    <w:p w14:paraId="63841A40">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小学综合实践活动方案的评价</w:t>
      </w:r>
    </w:p>
    <w:p w14:paraId="756432A9">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小学综合实践活动方案的优化</w:t>
      </w:r>
    </w:p>
    <w:p w14:paraId="047B9C17">
      <w:pPr>
        <w:spacing w:line="360" w:lineRule="auto"/>
        <w:ind w:firstLine="482" w:firstLineChars="200"/>
        <w:rPr>
          <w:rFonts w:ascii="宋体" w:hAnsi="宋体"/>
          <w:b/>
          <w:sz w:val="24"/>
          <w:szCs w:val="22"/>
        </w:rPr>
      </w:pPr>
      <w:r>
        <w:rPr>
          <w:rFonts w:ascii="宋体" w:hAnsi="宋体"/>
          <w:b/>
          <w:sz w:val="24"/>
          <w:szCs w:val="22"/>
        </w:rPr>
        <w:t>2.基本要求</w:t>
      </w:r>
    </w:p>
    <w:p w14:paraId="5EB47438">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理解综合实践活动方案评价的依据、内容及方法</w:t>
      </w:r>
    </w:p>
    <w:p w14:paraId="34483AF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能对综合实践活动方案进行优化处理</w:t>
      </w:r>
    </w:p>
    <w:p w14:paraId="398F379C">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小学综合实践活动方案的评价与优化</w:t>
      </w:r>
    </w:p>
    <w:p w14:paraId="7B1FCDCE">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小学综合实践活动方案的优化</w:t>
      </w:r>
    </w:p>
    <w:p w14:paraId="21426625">
      <w:pPr>
        <w:spacing w:line="360" w:lineRule="auto"/>
        <w:ind w:firstLine="482" w:firstLineChars="200"/>
        <w:rPr>
          <w:rFonts w:hint="eastAsia" w:ascii="宋体" w:hAnsi="宋体"/>
          <w:b/>
          <w:bCs/>
          <w:sz w:val="24"/>
          <w:szCs w:val="22"/>
        </w:rPr>
      </w:pPr>
      <w:r>
        <w:rPr>
          <w:rFonts w:hint="eastAsia" w:ascii="宋体" w:hAnsi="宋体"/>
          <w:b/>
          <w:bCs/>
          <w:sz w:val="24"/>
          <w:szCs w:val="22"/>
        </w:rPr>
        <w:t>3.思政目标</w:t>
      </w:r>
    </w:p>
    <w:p w14:paraId="582BE961">
      <w:pPr>
        <w:spacing w:line="360" w:lineRule="auto"/>
        <w:ind w:firstLine="480" w:firstLineChars="200"/>
        <w:outlineLvl w:val="0"/>
        <w:rPr>
          <w:rFonts w:ascii="宋体" w:hAnsi="宋体"/>
          <w:sz w:val="24"/>
          <w:szCs w:val="22"/>
        </w:rPr>
      </w:pPr>
      <w:r>
        <w:rPr>
          <w:rFonts w:hint="eastAsia" w:ascii="宋体" w:hAnsi="宋体"/>
          <w:sz w:val="24"/>
          <w:szCs w:val="22"/>
        </w:rPr>
        <w:t>养成严谨治学的态度，掌握科学、严谨的学习方法，树立全面的评价理念，增强专业自信心；增强团队合作意识与沟通表达能力。</w:t>
      </w:r>
    </w:p>
    <w:p w14:paraId="272810B7">
      <w:pPr>
        <w:spacing w:line="360" w:lineRule="auto"/>
        <w:ind w:firstLine="482" w:firstLineChars="200"/>
        <w:outlineLvl w:val="0"/>
        <w:rPr>
          <w:rFonts w:hint="eastAsia" w:ascii="宋体" w:hAnsi="宋体"/>
          <w:b/>
          <w:sz w:val="24"/>
          <w:szCs w:val="22"/>
        </w:rPr>
      </w:pPr>
      <w:r>
        <w:rPr>
          <w:rFonts w:hint="eastAsia" w:ascii="宋体" w:hAnsi="宋体"/>
          <w:b/>
          <w:sz w:val="24"/>
          <w:szCs w:val="22"/>
        </w:rPr>
        <w:t>（八）小学综合实践活动课程的实施（本模块各知识点的讲授与学习，可以支撑课程目标4、课程目标5）</w:t>
      </w:r>
    </w:p>
    <w:p w14:paraId="5057AC50">
      <w:pPr>
        <w:spacing w:line="360" w:lineRule="auto"/>
        <w:ind w:firstLine="482" w:firstLineChars="200"/>
        <w:rPr>
          <w:rFonts w:ascii="宋体" w:hAnsi="宋体"/>
          <w:b/>
          <w:sz w:val="24"/>
          <w:szCs w:val="22"/>
        </w:rPr>
      </w:pPr>
      <w:r>
        <w:rPr>
          <w:rFonts w:ascii="宋体" w:hAnsi="宋体"/>
          <w:b/>
          <w:sz w:val="24"/>
          <w:szCs w:val="22"/>
        </w:rPr>
        <w:t>1.教学内容</w:t>
      </w:r>
    </w:p>
    <w:p w14:paraId="3DD70AE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综合实践活动课程实施的特点</w:t>
      </w:r>
    </w:p>
    <w:p w14:paraId="7BBC1A65">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小学综合实践活动课程实施的主体、任务及过程</w:t>
      </w:r>
    </w:p>
    <w:p w14:paraId="37ADC118">
      <w:pPr>
        <w:spacing w:line="360" w:lineRule="auto"/>
        <w:ind w:firstLine="480" w:firstLineChars="200"/>
        <w:rPr>
          <w:rFonts w:hint="eastAsia" w:ascii="宋体" w:hAnsi="宋体"/>
          <w:sz w:val="24"/>
          <w:szCs w:val="22"/>
        </w:rPr>
      </w:pPr>
      <w:r>
        <w:rPr>
          <w:rFonts w:hint="eastAsia" w:ascii="宋体" w:hAnsi="宋体"/>
          <w:sz w:val="24"/>
          <w:szCs w:val="22"/>
        </w:rPr>
        <w:t>（3）小学综合实践活动课程实施中的问题</w:t>
      </w:r>
    </w:p>
    <w:p w14:paraId="7C745E17">
      <w:pPr>
        <w:spacing w:line="360" w:lineRule="auto"/>
        <w:ind w:firstLine="482" w:firstLineChars="200"/>
        <w:rPr>
          <w:rFonts w:ascii="宋体" w:hAnsi="宋体"/>
          <w:b/>
          <w:sz w:val="24"/>
          <w:szCs w:val="22"/>
        </w:rPr>
      </w:pPr>
      <w:r>
        <w:rPr>
          <w:rFonts w:ascii="宋体" w:hAnsi="宋体"/>
          <w:b/>
          <w:sz w:val="24"/>
          <w:szCs w:val="22"/>
        </w:rPr>
        <w:t>2.基本要求</w:t>
      </w:r>
    </w:p>
    <w:p w14:paraId="3269286B">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了解小学综合实践活动课程实施的特点、主体、任务与过程</w:t>
      </w:r>
    </w:p>
    <w:p w14:paraId="38E80949">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正确对待小学综合实践活动课程中的问题</w:t>
      </w:r>
    </w:p>
    <w:p w14:paraId="2CC3B64C">
      <w:pPr>
        <w:spacing w:line="360" w:lineRule="auto"/>
        <w:ind w:firstLine="480" w:firstLineChars="200"/>
        <w:rPr>
          <w:rFonts w:hint="eastAsia" w:ascii="宋体" w:hAnsi="宋体"/>
          <w:sz w:val="24"/>
          <w:szCs w:val="22"/>
        </w:rPr>
      </w:pPr>
      <w:r>
        <w:rPr>
          <w:rFonts w:hint="eastAsia" w:ascii="宋体" w:hAnsi="宋体"/>
          <w:sz w:val="24"/>
          <w:szCs w:val="22"/>
        </w:rPr>
        <w:t>（3）具备初步实施综合实践活动课程的能力</w:t>
      </w:r>
    </w:p>
    <w:p w14:paraId="0242C2FC">
      <w:pPr>
        <w:spacing w:line="360" w:lineRule="auto"/>
        <w:ind w:firstLine="482" w:firstLineChars="200"/>
        <w:rPr>
          <w:rFonts w:ascii="宋体" w:hAnsi="宋体"/>
          <w:sz w:val="24"/>
          <w:szCs w:val="22"/>
        </w:rPr>
      </w:pPr>
      <w:r>
        <w:rPr>
          <w:rFonts w:hint="eastAsia" w:ascii="宋体" w:hAnsi="宋体"/>
          <w:b/>
          <w:sz w:val="24"/>
          <w:szCs w:val="22"/>
        </w:rPr>
        <w:t>教学重点：</w:t>
      </w:r>
      <w:r>
        <w:rPr>
          <w:rFonts w:hint="eastAsia" w:ascii="宋体" w:hAnsi="宋体"/>
          <w:sz w:val="24"/>
          <w:szCs w:val="22"/>
        </w:rPr>
        <w:t>小学综合实践活动课程实施的特点、主体、任务与过程</w:t>
      </w:r>
    </w:p>
    <w:p w14:paraId="2AB1F98B">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小学综合实践活动课程实施的任务、过程和</w:t>
      </w:r>
      <w:r>
        <w:rPr>
          <w:rFonts w:ascii="宋体" w:hAnsi="宋体"/>
          <w:sz w:val="24"/>
          <w:szCs w:val="22"/>
        </w:rPr>
        <w:t>问题</w:t>
      </w:r>
    </w:p>
    <w:p w14:paraId="49BEE4E5">
      <w:pPr>
        <w:spacing w:line="360" w:lineRule="auto"/>
        <w:ind w:firstLine="482" w:firstLineChars="200"/>
        <w:rPr>
          <w:rFonts w:hint="eastAsia" w:ascii="宋体" w:hAnsi="宋体"/>
          <w:b/>
          <w:bCs/>
          <w:sz w:val="24"/>
          <w:szCs w:val="22"/>
        </w:rPr>
      </w:pPr>
      <w:r>
        <w:rPr>
          <w:rFonts w:hint="eastAsia" w:ascii="宋体" w:hAnsi="宋体"/>
          <w:b/>
          <w:bCs/>
          <w:sz w:val="24"/>
          <w:szCs w:val="22"/>
        </w:rPr>
        <w:t>3.思政目标</w:t>
      </w:r>
    </w:p>
    <w:p w14:paraId="7E3EE5F8">
      <w:pPr>
        <w:spacing w:line="360" w:lineRule="auto"/>
        <w:ind w:firstLine="480" w:firstLineChars="200"/>
        <w:outlineLvl w:val="0"/>
        <w:rPr>
          <w:rFonts w:ascii="宋体" w:hAnsi="宋体"/>
          <w:sz w:val="24"/>
          <w:szCs w:val="22"/>
        </w:rPr>
      </w:pPr>
      <w:r>
        <w:rPr>
          <w:rFonts w:hint="eastAsia" w:ascii="宋体" w:hAnsi="宋体"/>
          <w:sz w:val="24"/>
          <w:szCs w:val="22"/>
        </w:rPr>
        <w:t>养成严谨治学的态度，掌握科学、严谨的学习方法，注重创新精神和实践能力的提升，树立全面的评价理念，增强团队合作意识与沟通表达能力。</w:t>
      </w:r>
    </w:p>
    <w:p w14:paraId="2317050C">
      <w:pPr>
        <w:spacing w:line="360" w:lineRule="auto"/>
        <w:ind w:firstLine="482" w:firstLineChars="200"/>
        <w:outlineLvl w:val="0"/>
        <w:rPr>
          <w:rFonts w:hint="eastAsia" w:ascii="宋体" w:hAnsi="宋体"/>
          <w:b/>
          <w:sz w:val="24"/>
          <w:szCs w:val="22"/>
        </w:rPr>
      </w:pPr>
      <w:r>
        <w:rPr>
          <w:rFonts w:hint="eastAsia" w:ascii="宋体" w:hAnsi="宋体"/>
          <w:b/>
          <w:sz w:val="24"/>
          <w:szCs w:val="22"/>
        </w:rPr>
        <w:t>（九）小学综合实践活动课程的管理（本模块各知识点的讲授与学习，可以支撑课程目标4、课程目标5）</w:t>
      </w:r>
    </w:p>
    <w:p w14:paraId="117F4DF6">
      <w:pPr>
        <w:spacing w:line="360" w:lineRule="auto"/>
        <w:ind w:firstLine="482" w:firstLineChars="200"/>
        <w:rPr>
          <w:rFonts w:ascii="宋体" w:hAnsi="宋体"/>
          <w:b/>
          <w:sz w:val="24"/>
          <w:szCs w:val="22"/>
        </w:rPr>
      </w:pPr>
      <w:r>
        <w:rPr>
          <w:rFonts w:ascii="宋体" w:hAnsi="宋体"/>
          <w:b/>
          <w:sz w:val="24"/>
          <w:szCs w:val="22"/>
        </w:rPr>
        <w:t>1.教学内容</w:t>
      </w:r>
    </w:p>
    <w:p w14:paraId="72F3972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综合实践活动管理概述</w:t>
      </w:r>
    </w:p>
    <w:p w14:paraId="3324135B">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综合实践活动课程资源的开发与利用</w:t>
      </w:r>
    </w:p>
    <w:p w14:paraId="6076AF40">
      <w:pPr>
        <w:spacing w:line="360" w:lineRule="auto"/>
        <w:ind w:firstLine="480" w:firstLineChars="200"/>
        <w:rPr>
          <w:rFonts w:ascii="宋体" w:hAnsi="宋体"/>
          <w:sz w:val="24"/>
          <w:szCs w:val="22"/>
        </w:rPr>
      </w:pPr>
      <w:r>
        <w:rPr>
          <w:rFonts w:hint="eastAsia" w:ascii="宋体" w:hAnsi="宋体"/>
          <w:sz w:val="24"/>
          <w:szCs w:val="22"/>
        </w:rPr>
        <w:t>（3）综合实践活动中的指导教师</w:t>
      </w:r>
    </w:p>
    <w:p w14:paraId="28291F34">
      <w:pPr>
        <w:spacing w:line="360" w:lineRule="auto"/>
        <w:ind w:firstLine="480" w:firstLineChars="200"/>
        <w:rPr>
          <w:rFonts w:hint="eastAsia" w:ascii="宋体" w:hAnsi="宋体"/>
          <w:sz w:val="24"/>
          <w:szCs w:val="22"/>
        </w:rPr>
      </w:pPr>
      <w:r>
        <w:rPr>
          <w:rFonts w:hint="eastAsia" w:ascii="宋体" w:hAnsi="宋体"/>
          <w:sz w:val="24"/>
          <w:szCs w:val="22"/>
        </w:rPr>
        <w:t>（4）小学综合实践活动课程的评价</w:t>
      </w:r>
    </w:p>
    <w:p w14:paraId="21FA749E">
      <w:pPr>
        <w:spacing w:line="360" w:lineRule="auto"/>
        <w:ind w:firstLine="482" w:firstLineChars="200"/>
        <w:rPr>
          <w:rFonts w:ascii="宋体" w:hAnsi="宋体"/>
          <w:b/>
          <w:sz w:val="24"/>
          <w:szCs w:val="22"/>
        </w:rPr>
      </w:pPr>
      <w:r>
        <w:rPr>
          <w:rFonts w:ascii="宋体" w:hAnsi="宋体"/>
          <w:b/>
          <w:sz w:val="24"/>
          <w:szCs w:val="22"/>
        </w:rPr>
        <w:t>2.基本要求</w:t>
      </w:r>
    </w:p>
    <w:p w14:paraId="7EFA7637">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明确学校在综合实践活动管理中的作用及管理要求</w:t>
      </w:r>
    </w:p>
    <w:p w14:paraId="4CD80AFC">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知道如何进行综合实践活动课程资源的开发和利用</w:t>
      </w:r>
    </w:p>
    <w:p w14:paraId="41A211E1">
      <w:pPr>
        <w:spacing w:line="360" w:lineRule="auto"/>
        <w:ind w:firstLine="480" w:firstLineChars="200"/>
        <w:rPr>
          <w:rFonts w:ascii="宋体" w:hAnsi="宋体"/>
          <w:sz w:val="24"/>
          <w:szCs w:val="22"/>
        </w:rPr>
      </w:pPr>
      <w:r>
        <w:rPr>
          <w:rFonts w:hint="eastAsia" w:ascii="宋体" w:hAnsi="宋体"/>
          <w:sz w:val="24"/>
          <w:szCs w:val="22"/>
        </w:rPr>
        <w:t>（3）理解指导教师在综合实践活动中的职责和义务</w:t>
      </w:r>
    </w:p>
    <w:p w14:paraId="7EC66DEF">
      <w:pPr>
        <w:spacing w:line="360" w:lineRule="auto"/>
        <w:ind w:firstLine="480" w:firstLineChars="200"/>
        <w:rPr>
          <w:rFonts w:hint="eastAsia" w:ascii="宋体" w:hAnsi="宋体"/>
          <w:sz w:val="24"/>
          <w:szCs w:val="22"/>
        </w:rPr>
      </w:pPr>
      <w:r>
        <w:rPr>
          <w:rFonts w:hint="eastAsia" w:ascii="宋体" w:hAnsi="宋体"/>
          <w:sz w:val="24"/>
          <w:szCs w:val="22"/>
        </w:rPr>
        <w:t>（4）明确担任综合实践活动指导教师的资格条件</w:t>
      </w:r>
    </w:p>
    <w:p w14:paraId="52879643">
      <w:pPr>
        <w:spacing w:line="360" w:lineRule="auto"/>
        <w:ind w:firstLine="482" w:firstLineChars="200"/>
        <w:rPr>
          <w:rFonts w:ascii="宋体" w:hAnsi="宋体"/>
          <w:sz w:val="24"/>
          <w:szCs w:val="22"/>
        </w:rPr>
      </w:pPr>
      <w:r>
        <w:rPr>
          <w:rFonts w:hint="eastAsia" w:ascii="宋体" w:hAnsi="宋体"/>
          <w:b/>
          <w:sz w:val="24"/>
          <w:szCs w:val="22"/>
        </w:rPr>
        <w:t>教学重点：</w:t>
      </w:r>
      <w:r>
        <w:rPr>
          <w:rFonts w:hint="eastAsia" w:ascii="宋体" w:hAnsi="宋体"/>
          <w:sz w:val="24"/>
          <w:szCs w:val="22"/>
        </w:rPr>
        <w:t>综合实践活动课程资源的开发与利用、综合实践活动中的指导教师</w:t>
      </w:r>
    </w:p>
    <w:p w14:paraId="03F15407">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小学综合实践活动课程的评价</w:t>
      </w:r>
    </w:p>
    <w:p w14:paraId="17D57F09">
      <w:pPr>
        <w:spacing w:line="360" w:lineRule="auto"/>
        <w:ind w:firstLine="482" w:firstLineChars="200"/>
        <w:rPr>
          <w:rFonts w:hint="eastAsia" w:ascii="宋体" w:hAnsi="宋体"/>
          <w:b/>
          <w:bCs/>
          <w:sz w:val="24"/>
          <w:szCs w:val="22"/>
        </w:rPr>
      </w:pPr>
      <w:r>
        <w:rPr>
          <w:rFonts w:hint="eastAsia" w:ascii="宋体" w:hAnsi="宋体"/>
          <w:b/>
          <w:bCs/>
          <w:sz w:val="24"/>
          <w:szCs w:val="22"/>
        </w:rPr>
        <w:t>3.思政目标</w:t>
      </w:r>
    </w:p>
    <w:p w14:paraId="28D10A16">
      <w:pPr>
        <w:spacing w:line="360" w:lineRule="auto"/>
        <w:ind w:firstLine="480" w:firstLineChars="200"/>
        <w:rPr>
          <w:rFonts w:hint="eastAsia" w:ascii="宋体" w:hAnsi="宋体"/>
          <w:sz w:val="24"/>
          <w:szCs w:val="22"/>
        </w:rPr>
      </w:pPr>
      <w:r>
        <w:rPr>
          <w:rFonts w:hint="eastAsia" w:ascii="宋体" w:hAnsi="宋体"/>
          <w:sz w:val="24"/>
          <w:szCs w:val="22"/>
        </w:rPr>
        <w:t>养成严谨治学的态度，掌握科学、严谨的学习方法，注重创新精神和实践能力的提升，增强团队合作意识与沟通表达能力。</w:t>
      </w:r>
    </w:p>
    <w:p w14:paraId="396DF9BA">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1DC7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019050C0">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67B8798B">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6FCCC45E">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413886F0">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60A25C86">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31F83362">
            <w:pPr>
              <w:jc w:val="center"/>
              <w:rPr>
                <w:rFonts w:hint="eastAsia" w:ascii="宋体" w:hAnsi="宋体"/>
                <w:b/>
                <w:szCs w:val="21"/>
              </w:rPr>
            </w:pPr>
            <w:r>
              <w:rPr>
                <w:rFonts w:hint="eastAsia" w:ascii="宋体" w:hAnsi="宋体"/>
                <w:b/>
                <w:szCs w:val="21"/>
              </w:rPr>
              <w:t>实践</w:t>
            </w:r>
          </w:p>
          <w:p w14:paraId="797797DD">
            <w:pPr>
              <w:jc w:val="center"/>
              <w:rPr>
                <w:rFonts w:ascii="宋体" w:hAnsi="宋体"/>
                <w:b/>
                <w:szCs w:val="21"/>
              </w:rPr>
            </w:pPr>
            <w:r>
              <w:rPr>
                <w:rFonts w:ascii="宋体" w:hAnsi="宋体"/>
                <w:b/>
                <w:szCs w:val="21"/>
              </w:rPr>
              <w:t>学时</w:t>
            </w:r>
          </w:p>
        </w:tc>
      </w:tr>
      <w:tr w14:paraId="31C8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66FB9867">
            <w:pPr>
              <w:jc w:val="center"/>
              <w:rPr>
                <w:rFonts w:ascii="宋体" w:hAnsi="宋体"/>
                <w:szCs w:val="21"/>
              </w:rPr>
            </w:pPr>
            <w:r>
              <w:rPr>
                <w:rFonts w:hint="eastAsia" w:ascii="宋体" w:hAnsi="宋体"/>
                <w:szCs w:val="21"/>
              </w:rPr>
              <w:t>1</w:t>
            </w:r>
          </w:p>
        </w:tc>
        <w:tc>
          <w:tcPr>
            <w:tcW w:w="4110" w:type="dxa"/>
            <w:shd w:val="clear" w:color="auto" w:fill="FFFFFF"/>
            <w:noWrap w:val="0"/>
            <w:vAlign w:val="center"/>
          </w:tcPr>
          <w:p w14:paraId="6B8F4EAC">
            <w:pPr>
              <w:spacing w:line="360" w:lineRule="auto"/>
              <w:rPr>
                <w:rFonts w:hint="eastAsia" w:ascii="宋体" w:hAnsi="宋体" w:cs="宋体"/>
                <w:kern w:val="0"/>
                <w:szCs w:val="21"/>
              </w:rPr>
            </w:pPr>
            <w:r>
              <w:rPr>
                <w:rFonts w:hint="eastAsia" w:ascii="宋体" w:hAnsi="宋体" w:cs="宋体"/>
                <w:kern w:val="0"/>
                <w:szCs w:val="21"/>
              </w:rPr>
              <w:t>综合实践活动课程概述</w:t>
            </w:r>
          </w:p>
        </w:tc>
        <w:tc>
          <w:tcPr>
            <w:tcW w:w="1701" w:type="dxa"/>
            <w:shd w:val="clear" w:color="auto" w:fill="FFFFFF"/>
            <w:noWrap w:val="0"/>
            <w:vAlign w:val="center"/>
          </w:tcPr>
          <w:p w14:paraId="532783C4">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3F742C30">
            <w:pPr>
              <w:jc w:val="center"/>
              <w:rPr>
                <w:rFonts w:hint="eastAsia" w:ascii="宋体" w:hAnsi="宋体"/>
                <w:szCs w:val="21"/>
              </w:rPr>
            </w:pPr>
            <w:r>
              <w:rPr>
                <w:rFonts w:ascii="宋体" w:hAnsi="宋体"/>
                <w:kern w:val="0"/>
                <w:szCs w:val="21"/>
              </w:rPr>
              <w:t>3-4</w:t>
            </w:r>
          </w:p>
        </w:tc>
        <w:tc>
          <w:tcPr>
            <w:tcW w:w="708" w:type="dxa"/>
            <w:gridSpan w:val="2"/>
            <w:shd w:val="clear" w:color="auto" w:fill="FFFFFF"/>
            <w:noWrap w:val="0"/>
            <w:vAlign w:val="center"/>
          </w:tcPr>
          <w:p w14:paraId="2BE06F7C">
            <w:pPr>
              <w:jc w:val="center"/>
              <w:rPr>
                <w:rFonts w:ascii="宋体" w:hAnsi="宋体"/>
                <w:kern w:val="0"/>
                <w:szCs w:val="21"/>
              </w:rPr>
            </w:pPr>
            <w:r>
              <w:rPr>
                <w:rFonts w:ascii="宋体" w:hAnsi="宋体"/>
                <w:kern w:val="0"/>
                <w:szCs w:val="21"/>
              </w:rPr>
              <w:t>1</w:t>
            </w:r>
          </w:p>
        </w:tc>
        <w:tc>
          <w:tcPr>
            <w:tcW w:w="709" w:type="dxa"/>
            <w:shd w:val="clear" w:color="auto" w:fill="FFFFFF"/>
            <w:noWrap w:val="0"/>
            <w:vAlign w:val="center"/>
          </w:tcPr>
          <w:p w14:paraId="6F2AA66B">
            <w:pPr>
              <w:jc w:val="center"/>
              <w:rPr>
                <w:rFonts w:ascii="宋体" w:hAnsi="宋体"/>
                <w:kern w:val="0"/>
                <w:szCs w:val="21"/>
              </w:rPr>
            </w:pPr>
          </w:p>
        </w:tc>
      </w:tr>
      <w:tr w14:paraId="225A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736F52BB">
            <w:pPr>
              <w:jc w:val="center"/>
              <w:rPr>
                <w:rFonts w:ascii="宋体" w:hAnsi="宋体"/>
                <w:szCs w:val="21"/>
              </w:rPr>
            </w:pPr>
            <w:r>
              <w:rPr>
                <w:rFonts w:hint="eastAsia" w:ascii="宋体" w:hAnsi="宋体"/>
                <w:szCs w:val="21"/>
              </w:rPr>
              <w:t>2</w:t>
            </w:r>
          </w:p>
        </w:tc>
        <w:tc>
          <w:tcPr>
            <w:tcW w:w="4110" w:type="dxa"/>
            <w:noWrap w:val="0"/>
            <w:vAlign w:val="center"/>
          </w:tcPr>
          <w:p w14:paraId="48D4D729">
            <w:pPr>
              <w:spacing w:line="360" w:lineRule="auto"/>
              <w:rPr>
                <w:rFonts w:hint="eastAsia" w:ascii="宋体" w:hAnsi="宋体" w:cs="宋体"/>
                <w:kern w:val="0"/>
                <w:szCs w:val="21"/>
              </w:rPr>
            </w:pPr>
            <w:r>
              <w:rPr>
                <w:rFonts w:hint="eastAsia" w:ascii="宋体" w:hAnsi="宋体" w:cs="宋体"/>
                <w:kern w:val="0"/>
                <w:szCs w:val="21"/>
              </w:rPr>
              <w:t>综合实践活动课程的特性、价值及理念</w:t>
            </w:r>
          </w:p>
        </w:tc>
        <w:tc>
          <w:tcPr>
            <w:tcW w:w="1701" w:type="dxa"/>
            <w:noWrap w:val="0"/>
            <w:vAlign w:val="center"/>
          </w:tcPr>
          <w:p w14:paraId="3407AA50">
            <w:pPr>
              <w:jc w:val="center"/>
              <w:rPr>
                <w:rFonts w:ascii="宋体" w:hAnsi="宋体"/>
                <w:szCs w:val="21"/>
              </w:rPr>
            </w:pPr>
            <w:r>
              <w:rPr>
                <w:rFonts w:hint="eastAsia" w:ascii="宋体" w:hAnsi="宋体"/>
                <w:kern w:val="0"/>
                <w:szCs w:val="21"/>
              </w:rPr>
              <w:t>目标2</w:t>
            </w:r>
          </w:p>
        </w:tc>
        <w:tc>
          <w:tcPr>
            <w:tcW w:w="1418" w:type="dxa"/>
            <w:noWrap w:val="0"/>
            <w:vAlign w:val="center"/>
          </w:tcPr>
          <w:p w14:paraId="2A8133A2">
            <w:pPr>
              <w:jc w:val="center"/>
              <w:rPr>
                <w:rFonts w:ascii="宋体" w:hAnsi="宋体"/>
                <w:szCs w:val="21"/>
              </w:rPr>
            </w:pPr>
            <w:r>
              <w:rPr>
                <w:rFonts w:ascii="宋体" w:hAnsi="宋体"/>
                <w:kern w:val="0"/>
                <w:szCs w:val="21"/>
              </w:rPr>
              <w:t>3-4</w:t>
            </w:r>
            <w:r>
              <w:rPr>
                <w:rFonts w:hint="eastAsia" w:ascii="宋体" w:hAnsi="宋体"/>
                <w:kern w:val="0"/>
                <w:szCs w:val="21"/>
              </w:rPr>
              <w:t>、4-</w:t>
            </w:r>
            <w:r>
              <w:rPr>
                <w:rFonts w:ascii="宋体" w:hAnsi="宋体"/>
                <w:kern w:val="0"/>
                <w:szCs w:val="21"/>
              </w:rPr>
              <w:t>1</w:t>
            </w:r>
          </w:p>
        </w:tc>
        <w:tc>
          <w:tcPr>
            <w:tcW w:w="708" w:type="dxa"/>
            <w:gridSpan w:val="2"/>
            <w:noWrap w:val="0"/>
            <w:vAlign w:val="center"/>
          </w:tcPr>
          <w:p w14:paraId="3DC6F7CD">
            <w:pPr>
              <w:jc w:val="center"/>
              <w:rPr>
                <w:rFonts w:ascii="宋体" w:hAnsi="宋体"/>
                <w:kern w:val="0"/>
                <w:szCs w:val="21"/>
              </w:rPr>
            </w:pPr>
            <w:r>
              <w:rPr>
                <w:rFonts w:ascii="宋体" w:hAnsi="宋体"/>
                <w:kern w:val="0"/>
                <w:szCs w:val="21"/>
              </w:rPr>
              <w:t>1</w:t>
            </w:r>
          </w:p>
        </w:tc>
        <w:tc>
          <w:tcPr>
            <w:tcW w:w="709" w:type="dxa"/>
            <w:noWrap w:val="0"/>
            <w:vAlign w:val="center"/>
          </w:tcPr>
          <w:p w14:paraId="4846F30C">
            <w:pPr>
              <w:jc w:val="center"/>
              <w:rPr>
                <w:rFonts w:ascii="宋体" w:hAnsi="宋体"/>
                <w:kern w:val="0"/>
                <w:szCs w:val="21"/>
              </w:rPr>
            </w:pPr>
            <w:r>
              <w:rPr>
                <w:rFonts w:hint="eastAsia" w:ascii="宋体" w:hAnsi="宋体"/>
                <w:kern w:val="0"/>
                <w:szCs w:val="21"/>
              </w:rPr>
              <w:t>4</w:t>
            </w:r>
          </w:p>
        </w:tc>
      </w:tr>
      <w:tr w14:paraId="42AC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3AE965BD">
            <w:pPr>
              <w:jc w:val="center"/>
              <w:rPr>
                <w:rFonts w:ascii="宋体" w:hAnsi="宋体"/>
                <w:szCs w:val="21"/>
              </w:rPr>
            </w:pPr>
            <w:r>
              <w:rPr>
                <w:rFonts w:hint="eastAsia" w:ascii="宋体" w:hAnsi="宋体"/>
                <w:szCs w:val="21"/>
              </w:rPr>
              <w:t>3</w:t>
            </w:r>
          </w:p>
        </w:tc>
        <w:tc>
          <w:tcPr>
            <w:tcW w:w="4110" w:type="dxa"/>
            <w:noWrap w:val="0"/>
            <w:vAlign w:val="center"/>
          </w:tcPr>
          <w:p w14:paraId="675FDC40">
            <w:pPr>
              <w:spacing w:line="360" w:lineRule="auto"/>
              <w:rPr>
                <w:rFonts w:hint="eastAsia" w:ascii="宋体" w:hAnsi="宋体" w:cs="宋体"/>
                <w:kern w:val="0"/>
                <w:szCs w:val="21"/>
              </w:rPr>
            </w:pPr>
            <w:r>
              <w:rPr>
                <w:rFonts w:hint="eastAsia" w:ascii="宋体" w:hAnsi="宋体" w:cs="宋体"/>
                <w:kern w:val="0"/>
                <w:szCs w:val="21"/>
              </w:rPr>
              <w:t>小学综合实践活动的课程目标与</w:t>
            </w:r>
            <w:r>
              <w:rPr>
                <w:rFonts w:ascii="宋体" w:hAnsi="宋体" w:cs="宋体"/>
                <w:kern w:val="0"/>
                <w:szCs w:val="21"/>
              </w:rPr>
              <w:t>内容</w:t>
            </w:r>
          </w:p>
        </w:tc>
        <w:tc>
          <w:tcPr>
            <w:tcW w:w="1701" w:type="dxa"/>
            <w:noWrap w:val="0"/>
            <w:vAlign w:val="center"/>
          </w:tcPr>
          <w:p w14:paraId="769BD9AE">
            <w:pPr>
              <w:jc w:val="center"/>
              <w:rPr>
                <w:rFonts w:ascii="宋体" w:hAnsi="宋体"/>
                <w:szCs w:val="21"/>
              </w:rPr>
            </w:pPr>
            <w:r>
              <w:rPr>
                <w:rFonts w:hint="eastAsia" w:ascii="宋体" w:hAnsi="宋体"/>
                <w:kern w:val="0"/>
                <w:szCs w:val="21"/>
              </w:rPr>
              <w:t>目标</w:t>
            </w:r>
            <w:r>
              <w:rPr>
                <w:rFonts w:ascii="宋体" w:hAnsi="宋体"/>
                <w:kern w:val="0"/>
                <w:szCs w:val="21"/>
              </w:rPr>
              <w:t>2</w:t>
            </w:r>
          </w:p>
        </w:tc>
        <w:tc>
          <w:tcPr>
            <w:tcW w:w="1418" w:type="dxa"/>
            <w:noWrap w:val="0"/>
            <w:vAlign w:val="center"/>
          </w:tcPr>
          <w:p w14:paraId="6CDFF615">
            <w:pPr>
              <w:jc w:val="center"/>
              <w:rPr>
                <w:rFonts w:ascii="宋体" w:hAnsi="宋体"/>
                <w:szCs w:val="21"/>
              </w:rPr>
            </w:pPr>
            <w:r>
              <w:rPr>
                <w:rFonts w:hint="eastAsia" w:ascii="宋体" w:hAnsi="宋体"/>
                <w:kern w:val="0"/>
                <w:szCs w:val="21"/>
              </w:rPr>
              <w:t>3-</w:t>
            </w:r>
            <w:r>
              <w:rPr>
                <w:rFonts w:ascii="宋体" w:hAnsi="宋体"/>
                <w:kern w:val="0"/>
                <w:szCs w:val="21"/>
              </w:rPr>
              <w:t>4</w:t>
            </w:r>
            <w:r>
              <w:rPr>
                <w:rFonts w:hint="eastAsia" w:ascii="宋体" w:hAnsi="宋体"/>
                <w:kern w:val="0"/>
                <w:szCs w:val="21"/>
              </w:rPr>
              <w:t>、4-1</w:t>
            </w:r>
          </w:p>
        </w:tc>
        <w:tc>
          <w:tcPr>
            <w:tcW w:w="708" w:type="dxa"/>
            <w:gridSpan w:val="2"/>
            <w:noWrap w:val="0"/>
            <w:vAlign w:val="center"/>
          </w:tcPr>
          <w:p w14:paraId="6332DED1">
            <w:pPr>
              <w:jc w:val="center"/>
              <w:rPr>
                <w:rFonts w:ascii="宋体" w:hAnsi="宋体"/>
                <w:kern w:val="0"/>
                <w:szCs w:val="21"/>
              </w:rPr>
            </w:pPr>
            <w:r>
              <w:rPr>
                <w:rFonts w:ascii="宋体" w:hAnsi="宋体"/>
                <w:kern w:val="0"/>
                <w:szCs w:val="21"/>
              </w:rPr>
              <w:t>2</w:t>
            </w:r>
          </w:p>
        </w:tc>
        <w:tc>
          <w:tcPr>
            <w:tcW w:w="709" w:type="dxa"/>
            <w:noWrap w:val="0"/>
            <w:vAlign w:val="center"/>
          </w:tcPr>
          <w:p w14:paraId="3DCD3BDC">
            <w:pPr>
              <w:ind w:firstLine="420" w:firstLineChars="200"/>
              <w:jc w:val="center"/>
              <w:rPr>
                <w:rFonts w:ascii="宋体" w:hAnsi="宋体"/>
                <w:kern w:val="0"/>
                <w:szCs w:val="21"/>
              </w:rPr>
            </w:pPr>
          </w:p>
        </w:tc>
      </w:tr>
      <w:tr w14:paraId="72EB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509F56E5">
            <w:pPr>
              <w:jc w:val="center"/>
              <w:rPr>
                <w:rFonts w:ascii="宋体" w:hAnsi="宋体"/>
                <w:szCs w:val="21"/>
              </w:rPr>
            </w:pPr>
            <w:r>
              <w:rPr>
                <w:rFonts w:hint="eastAsia" w:ascii="宋体" w:hAnsi="宋体"/>
                <w:szCs w:val="21"/>
              </w:rPr>
              <w:t>4</w:t>
            </w:r>
          </w:p>
        </w:tc>
        <w:tc>
          <w:tcPr>
            <w:tcW w:w="4110" w:type="dxa"/>
            <w:noWrap w:val="0"/>
            <w:vAlign w:val="center"/>
          </w:tcPr>
          <w:p w14:paraId="331F3A88">
            <w:pPr>
              <w:spacing w:line="360" w:lineRule="auto"/>
              <w:rPr>
                <w:rFonts w:hint="eastAsia" w:ascii="宋体" w:hAnsi="宋体" w:cs="宋体"/>
                <w:kern w:val="0"/>
                <w:szCs w:val="21"/>
              </w:rPr>
            </w:pPr>
            <w:r>
              <w:rPr>
                <w:rFonts w:hint="eastAsia" w:ascii="宋体" w:hAnsi="宋体" w:cs="宋体"/>
                <w:kern w:val="0"/>
                <w:szCs w:val="21"/>
              </w:rPr>
              <w:t>小学综合实践活动设计的原则</w:t>
            </w:r>
          </w:p>
        </w:tc>
        <w:tc>
          <w:tcPr>
            <w:tcW w:w="1701" w:type="dxa"/>
            <w:noWrap w:val="0"/>
            <w:vAlign w:val="center"/>
          </w:tcPr>
          <w:p w14:paraId="65CEA362">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5</w:t>
            </w:r>
          </w:p>
        </w:tc>
        <w:tc>
          <w:tcPr>
            <w:tcW w:w="1418" w:type="dxa"/>
            <w:noWrap w:val="0"/>
            <w:vAlign w:val="center"/>
          </w:tcPr>
          <w:p w14:paraId="6DF3D681">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0339C72F">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4E6E8D8D">
            <w:pPr>
              <w:jc w:val="center"/>
              <w:rPr>
                <w:rFonts w:ascii="宋体" w:hAnsi="宋体"/>
                <w:kern w:val="0"/>
                <w:szCs w:val="21"/>
              </w:rPr>
            </w:pPr>
            <w:r>
              <w:rPr>
                <w:rFonts w:ascii="宋体" w:hAnsi="宋体"/>
                <w:kern w:val="0"/>
                <w:szCs w:val="21"/>
              </w:rPr>
              <w:t>2</w:t>
            </w:r>
          </w:p>
        </w:tc>
        <w:tc>
          <w:tcPr>
            <w:tcW w:w="709" w:type="dxa"/>
            <w:noWrap w:val="0"/>
            <w:vAlign w:val="center"/>
          </w:tcPr>
          <w:p w14:paraId="1B23D69B">
            <w:pPr>
              <w:jc w:val="center"/>
              <w:rPr>
                <w:rFonts w:ascii="宋体" w:hAnsi="宋体"/>
                <w:kern w:val="0"/>
                <w:szCs w:val="21"/>
              </w:rPr>
            </w:pPr>
          </w:p>
        </w:tc>
      </w:tr>
      <w:tr w14:paraId="62D2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noWrap w:val="0"/>
            <w:vAlign w:val="center"/>
          </w:tcPr>
          <w:p w14:paraId="0B9A959E">
            <w:pPr>
              <w:jc w:val="center"/>
              <w:rPr>
                <w:rFonts w:ascii="宋体" w:hAnsi="宋体"/>
                <w:szCs w:val="21"/>
              </w:rPr>
            </w:pPr>
            <w:r>
              <w:rPr>
                <w:rFonts w:hint="eastAsia" w:ascii="宋体" w:hAnsi="宋体"/>
                <w:szCs w:val="21"/>
              </w:rPr>
              <w:t>5</w:t>
            </w:r>
          </w:p>
        </w:tc>
        <w:tc>
          <w:tcPr>
            <w:tcW w:w="4110" w:type="dxa"/>
            <w:noWrap w:val="0"/>
            <w:vAlign w:val="center"/>
          </w:tcPr>
          <w:p w14:paraId="2F5E7538">
            <w:pPr>
              <w:spacing w:line="360" w:lineRule="auto"/>
              <w:rPr>
                <w:rFonts w:hint="eastAsia" w:ascii="宋体" w:hAnsi="宋体" w:cs="宋体"/>
                <w:kern w:val="0"/>
                <w:szCs w:val="21"/>
              </w:rPr>
            </w:pPr>
            <w:r>
              <w:rPr>
                <w:rFonts w:hint="eastAsia" w:ascii="宋体" w:hAnsi="宋体" w:cs="宋体"/>
                <w:kern w:val="0"/>
                <w:szCs w:val="21"/>
              </w:rPr>
              <w:t>小学综合实践活动设计的过程</w:t>
            </w:r>
          </w:p>
        </w:tc>
        <w:tc>
          <w:tcPr>
            <w:tcW w:w="1701" w:type="dxa"/>
            <w:noWrap w:val="0"/>
            <w:vAlign w:val="center"/>
          </w:tcPr>
          <w:p w14:paraId="3B122E02">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5</w:t>
            </w:r>
          </w:p>
        </w:tc>
        <w:tc>
          <w:tcPr>
            <w:tcW w:w="1418" w:type="dxa"/>
            <w:noWrap w:val="0"/>
            <w:vAlign w:val="center"/>
          </w:tcPr>
          <w:p w14:paraId="6CE6AF77">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4E77C31E">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3489DBF3">
            <w:pPr>
              <w:jc w:val="center"/>
              <w:rPr>
                <w:rFonts w:ascii="宋体" w:hAnsi="宋体"/>
                <w:kern w:val="0"/>
                <w:szCs w:val="21"/>
              </w:rPr>
            </w:pPr>
            <w:r>
              <w:rPr>
                <w:rFonts w:ascii="宋体" w:hAnsi="宋体"/>
                <w:kern w:val="0"/>
                <w:szCs w:val="21"/>
              </w:rPr>
              <w:t>2</w:t>
            </w:r>
          </w:p>
        </w:tc>
        <w:tc>
          <w:tcPr>
            <w:tcW w:w="709" w:type="dxa"/>
            <w:noWrap w:val="0"/>
            <w:vAlign w:val="center"/>
          </w:tcPr>
          <w:p w14:paraId="4C2C7452">
            <w:pPr>
              <w:jc w:val="center"/>
              <w:rPr>
                <w:rFonts w:ascii="宋体" w:hAnsi="宋体"/>
                <w:kern w:val="0"/>
                <w:szCs w:val="21"/>
              </w:rPr>
            </w:pPr>
          </w:p>
        </w:tc>
      </w:tr>
      <w:tr w14:paraId="606A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026408EB">
            <w:pPr>
              <w:jc w:val="center"/>
              <w:rPr>
                <w:rFonts w:ascii="宋体" w:hAnsi="宋体"/>
                <w:szCs w:val="21"/>
              </w:rPr>
            </w:pPr>
            <w:r>
              <w:rPr>
                <w:rFonts w:hint="eastAsia" w:ascii="宋体" w:hAnsi="宋体"/>
                <w:szCs w:val="21"/>
              </w:rPr>
              <w:t>6</w:t>
            </w:r>
          </w:p>
        </w:tc>
        <w:tc>
          <w:tcPr>
            <w:tcW w:w="4110" w:type="dxa"/>
            <w:noWrap w:val="0"/>
            <w:vAlign w:val="center"/>
          </w:tcPr>
          <w:p w14:paraId="27BFBAC2">
            <w:pPr>
              <w:spacing w:line="360" w:lineRule="auto"/>
              <w:rPr>
                <w:rFonts w:hint="eastAsia" w:ascii="宋体" w:hAnsi="宋体" w:cs="宋体"/>
                <w:kern w:val="0"/>
                <w:szCs w:val="21"/>
              </w:rPr>
            </w:pPr>
            <w:r>
              <w:rPr>
                <w:rFonts w:hint="eastAsia" w:ascii="宋体" w:hAnsi="宋体" w:cs="宋体"/>
                <w:kern w:val="0"/>
                <w:szCs w:val="21"/>
              </w:rPr>
              <w:t>小学综合实践活动设计的方法</w:t>
            </w:r>
          </w:p>
        </w:tc>
        <w:tc>
          <w:tcPr>
            <w:tcW w:w="1701" w:type="dxa"/>
            <w:noWrap w:val="0"/>
            <w:vAlign w:val="center"/>
          </w:tcPr>
          <w:p w14:paraId="2E8A54DB">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5</w:t>
            </w:r>
          </w:p>
        </w:tc>
        <w:tc>
          <w:tcPr>
            <w:tcW w:w="1418" w:type="dxa"/>
            <w:noWrap w:val="0"/>
            <w:vAlign w:val="center"/>
          </w:tcPr>
          <w:p w14:paraId="282BFAAC">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2342919B">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4D9B9390">
            <w:pPr>
              <w:jc w:val="center"/>
              <w:rPr>
                <w:rFonts w:ascii="宋体" w:hAnsi="宋体"/>
                <w:kern w:val="0"/>
                <w:szCs w:val="21"/>
              </w:rPr>
            </w:pPr>
            <w:r>
              <w:rPr>
                <w:rFonts w:ascii="宋体" w:hAnsi="宋体"/>
                <w:kern w:val="0"/>
                <w:szCs w:val="21"/>
              </w:rPr>
              <w:t>2</w:t>
            </w:r>
          </w:p>
        </w:tc>
        <w:tc>
          <w:tcPr>
            <w:tcW w:w="709" w:type="dxa"/>
            <w:noWrap w:val="0"/>
            <w:vAlign w:val="center"/>
          </w:tcPr>
          <w:p w14:paraId="2BF154B0">
            <w:pPr>
              <w:jc w:val="center"/>
              <w:rPr>
                <w:rFonts w:ascii="宋体" w:hAnsi="宋体"/>
                <w:kern w:val="0"/>
                <w:szCs w:val="21"/>
              </w:rPr>
            </w:pPr>
          </w:p>
        </w:tc>
      </w:tr>
      <w:tr w14:paraId="05BF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68" w:type="dxa"/>
            <w:noWrap w:val="0"/>
            <w:vAlign w:val="center"/>
          </w:tcPr>
          <w:p w14:paraId="58840088">
            <w:pPr>
              <w:jc w:val="center"/>
              <w:rPr>
                <w:rFonts w:ascii="宋体" w:hAnsi="宋体"/>
                <w:szCs w:val="21"/>
              </w:rPr>
            </w:pPr>
            <w:r>
              <w:rPr>
                <w:rFonts w:hint="eastAsia" w:ascii="宋体" w:hAnsi="宋体"/>
                <w:szCs w:val="21"/>
              </w:rPr>
              <w:t>7</w:t>
            </w:r>
          </w:p>
        </w:tc>
        <w:tc>
          <w:tcPr>
            <w:tcW w:w="4110" w:type="dxa"/>
            <w:noWrap w:val="0"/>
            <w:vAlign w:val="center"/>
          </w:tcPr>
          <w:p w14:paraId="33A9A780">
            <w:pPr>
              <w:spacing w:line="360" w:lineRule="auto"/>
              <w:rPr>
                <w:rFonts w:ascii="宋体" w:hAnsi="宋体" w:cs="宋体"/>
                <w:kern w:val="0"/>
                <w:szCs w:val="21"/>
              </w:rPr>
            </w:pPr>
            <w:r>
              <w:rPr>
                <w:rFonts w:hint="eastAsia" w:ascii="宋体" w:hAnsi="宋体" w:cs="宋体"/>
                <w:kern w:val="0"/>
                <w:szCs w:val="21"/>
              </w:rPr>
              <w:t>小学综合实践活动方案的优化</w:t>
            </w:r>
          </w:p>
        </w:tc>
        <w:tc>
          <w:tcPr>
            <w:tcW w:w="1701" w:type="dxa"/>
            <w:noWrap w:val="0"/>
            <w:vAlign w:val="center"/>
          </w:tcPr>
          <w:p w14:paraId="447C8876">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5</w:t>
            </w:r>
          </w:p>
        </w:tc>
        <w:tc>
          <w:tcPr>
            <w:tcW w:w="1418" w:type="dxa"/>
            <w:noWrap w:val="0"/>
            <w:vAlign w:val="center"/>
          </w:tcPr>
          <w:p w14:paraId="1540E214">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4E35DD8E">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11D31CAB">
            <w:pPr>
              <w:jc w:val="center"/>
              <w:rPr>
                <w:rFonts w:ascii="宋体" w:hAnsi="宋体"/>
                <w:kern w:val="0"/>
                <w:szCs w:val="21"/>
              </w:rPr>
            </w:pPr>
            <w:r>
              <w:rPr>
                <w:rFonts w:ascii="宋体" w:hAnsi="宋体"/>
                <w:kern w:val="0"/>
                <w:szCs w:val="21"/>
              </w:rPr>
              <w:t>2</w:t>
            </w:r>
          </w:p>
        </w:tc>
        <w:tc>
          <w:tcPr>
            <w:tcW w:w="709" w:type="dxa"/>
            <w:noWrap w:val="0"/>
            <w:vAlign w:val="center"/>
          </w:tcPr>
          <w:p w14:paraId="2AB52DD0">
            <w:pPr>
              <w:jc w:val="center"/>
              <w:rPr>
                <w:rFonts w:hint="eastAsia" w:ascii="宋体" w:hAnsi="宋体"/>
                <w:kern w:val="0"/>
                <w:szCs w:val="21"/>
              </w:rPr>
            </w:pPr>
          </w:p>
        </w:tc>
      </w:tr>
      <w:tr w14:paraId="1D79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68" w:type="dxa"/>
            <w:noWrap w:val="0"/>
            <w:vAlign w:val="center"/>
          </w:tcPr>
          <w:p w14:paraId="2336DB84">
            <w:pPr>
              <w:jc w:val="center"/>
              <w:rPr>
                <w:rFonts w:ascii="宋体" w:hAnsi="宋体"/>
                <w:szCs w:val="21"/>
              </w:rPr>
            </w:pPr>
            <w:r>
              <w:rPr>
                <w:rFonts w:hint="eastAsia" w:ascii="宋体" w:hAnsi="宋体"/>
                <w:szCs w:val="21"/>
              </w:rPr>
              <w:t>8</w:t>
            </w:r>
          </w:p>
        </w:tc>
        <w:tc>
          <w:tcPr>
            <w:tcW w:w="4110" w:type="dxa"/>
            <w:noWrap w:val="0"/>
            <w:vAlign w:val="center"/>
          </w:tcPr>
          <w:p w14:paraId="7CA3CBC8">
            <w:pPr>
              <w:spacing w:line="360" w:lineRule="auto"/>
              <w:rPr>
                <w:rFonts w:hint="eastAsia" w:ascii="宋体" w:hAnsi="宋体" w:cs="宋体"/>
                <w:kern w:val="0"/>
                <w:szCs w:val="21"/>
              </w:rPr>
            </w:pPr>
            <w:r>
              <w:rPr>
                <w:rFonts w:hint="eastAsia" w:ascii="宋体" w:hAnsi="宋体" w:cs="宋体"/>
                <w:kern w:val="0"/>
                <w:szCs w:val="21"/>
              </w:rPr>
              <w:t>小学综合实践活动课程的实施</w:t>
            </w:r>
          </w:p>
        </w:tc>
        <w:tc>
          <w:tcPr>
            <w:tcW w:w="1701" w:type="dxa"/>
            <w:noWrap w:val="0"/>
            <w:vAlign w:val="center"/>
          </w:tcPr>
          <w:p w14:paraId="56FF58E9">
            <w:pPr>
              <w:jc w:val="center"/>
            </w:pPr>
            <w:r>
              <w:rPr>
                <w:rFonts w:hint="eastAsia"/>
              </w:rPr>
              <w:t>目标</w:t>
            </w:r>
            <w:r>
              <w:t>4</w:t>
            </w:r>
            <w:r>
              <w:rPr>
                <w:rFonts w:hint="eastAsia"/>
              </w:rPr>
              <w:t>、5</w:t>
            </w:r>
          </w:p>
        </w:tc>
        <w:tc>
          <w:tcPr>
            <w:tcW w:w="1418" w:type="dxa"/>
            <w:noWrap w:val="0"/>
            <w:vAlign w:val="center"/>
          </w:tcPr>
          <w:p w14:paraId="1A4E2366">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3B8E7BFE">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162FA3A1">
            <w:pPr>
              <w:jc w:val="center"/>
              <w:rPr>
                <w:rFonts w:ascii="宋体" w:hAnsi="宋体"/>
                <w:kern w:val="0"/>
                <w:szCs w:val="21"/>
              </w:rPr>
            </w:pPr>
            <w:r>
              <w:rPr>
                <w:rFonts w:hint="eastAsia" w:ascii="宋体" w:hAnsi="宋体"/>
                <w:kern w:val="0"/>
                <w:szCs w:val="21"/>
              </w:rPr>
              <w:t>2</w:t>
            </w:r>
          </w:p>
        </w:tc>
        <w:tc>
          <w:tcPr>
            <w:tcW w:w="709" w:type="dxa"/>
            <w:noWrap w:val="0"/>
            <w:vAlign w:val="center"/>
          </w:tcPr>
          <w:p w14:paraId="27C14E47">
            <w:pPr>
              <w:jc w:val="center"/>
              <w:rPr>
                <w:rFonts w:ascii="宋体" w:hAnsi="宋体"/>
                <w:kern w:val="0"/>
                <w:szCs w:val="21"/>
              </w:rPr>
            </w:pPr>
            <w:r>
              <w:rPr>
                <w:rFonts w:hint="eastAsia" w:ascii="宋体" w:hAnsi="宋体"/>
                <w:kern w:val="0"/>
                <w:szCs w:val="21"/>
              </w:rPr>
              <w:t>12</w:t>
            </w:r>
          </w:p>
        </w:tc>
      </w:tr>
      <w:tr w14:paraId="55C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68" w:type="dxa"/>
            <w:noWrap w:val="0"/>
            <w:vAlign w:val="center"/>
          </w:tcPr>
          <w:p w14:paraId="79426998">
            <w:pPr>
              <w:jc w:val="center"/>
              <w:rPr>
                <w:rFonts w:hint="eastAsia" w:ascii="宋体" w:hAnsi="宋体"/>
                <w:szCs w:val="21"/>
              </w:rPr>
            </w:pPr>
            <w:r>
              <w:rPr>
                <w:rFonts w:hint="eastAsia" w:ascii="宋体" w:hAnsi="宋体"/>
                <w:szCs w:val="21"/>
              </w:rPr>
              <w:t>9</w:t>
            </w:r>
          </w:p>
        </w:tc>
        <w:tc>
          <w:tcPr>
            <w:tcW w:w="4110" w:type="dxa"/>
            <w:noWrap w:val="0"/>
            <w:vAlign w:val="center"/>
          </w:tcPr>
          <w:p w14:paraId="36C608BA">
            <w:pPr>
              <w:spacing w:line="360" w:lineRule="auto"/>
              <w:rPr>
                <w:rFonts w:hint="eastAsia" w:ascii="宋体" w:hAnsi="宋体" w:cs="宋体"/>
                <w:kern w:val="0"/>
                <w:szCs w:val="21"/>
              </w:rPr>
            </w:pPr>
            <w:r>
              <w:rPr>
                <w:rFonts w:hint="eastAsia" w:ascii="宋体" w:hAnsi="宋体" w:cs="宋体"/>
                <w:kern w:val="0"/>
                <w:szCs w:val="21"/>
              </w:rPr>
              <w:t>小学综合实践活动课程的管理</w:t>
            </w:r>
          </w:p>
        </w:tc>
        <w:tc>
          <w:tcPr>
            <w:tcW w:w="1701" w:type="dxa"/>
            <w:noWrap w:val="0"/>
            <w:vAlign w:val="center"/>
          </w:tcPr>
          <w:p w14:paraId="2FA1418F">
            <w:pPr>
              <w:jc w:val="center"/>
            </w:pPr>
            <w:r>
              <w:rPr>
                <w:rFonts w:hint="eastAsia"/>
              </w:rPr>
              <w:t>目标</w:t>
            </w:r>
            <w:r>
              <w:t>4</w:t>
            </w:r>
            <w:r>
              <w:rPr>
                <w:rFonts w:hint="eastAsia"/>
              </w:rPr>
              <w:t>、5</w:t>
            </w:r>
          </w:p>
        </w:tc>
        <w:tc>
          <w:tcPr>
            <w:tcW w:w="1418" w:type="dxa"/>
            <w:noWrap w:val="0"/>
            <w:vAlign w:val="center"/>
          </w:tcPr>
          <w:p w14:paraId="4FE4DFAB">
            <w:pPr>
              <w:jc w:val="center"/>
              <w:rPr>
                <w:rFonts w:ascii="宋体" w:hAnsi="宋体"/>
                <w:kern w:val="0"/>
                <w:szCs w:val="21"/>
              </w:rPr>
            </w:pPr>
            <w:r>
              <w:rPr>
                <w:rFonts w:ascii="宋体" w:hAnsi="宋体"/>
                <w:kern w:val="0"/>
                <w:szCs w:val="21"/>
              </w:rPr>
              <w:t>4-1</w:t>
            </w:r>
            <w:r>
              <w:rPr>
                <w:rFonts w:hint="eastAsia" w:ascii="宋体" w:hAnsi="宋体"/>
                <w:kern w:val="0"/>
                <w:szCs w:val="21"/>
              </w:rPr>
              <w:t>、4-</w:t>
            </w:r>
            <w:r>
              <w:rPr>
                <w:rFonts w:ascii="宋体" w:hAnsi="宋体"/>
                <w:kern w:val="0"/>
                <w:szCs w:val="21"/>
              </w:rPr>
              <w:t>1</w:t>
            </w:r>
          </w:p>
          <w:p w14:paraId="285A5FDB">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5153671E">
            <w:pPr>
              <w:jc w:val="center"/>
              <w:rPr>
                <w:rFonts w:ascii="宋体" w:hAnsi="宋体"/>
                <w:kern w:val="0"/>
                <w:szCs w:val="21"/>
              </w:rPr>
            </w:pPr>
            <w:r>
              <w:rPr>
                <w:rFonts w:hint="eastAsia" w:ascii="宋体" w:hAnsi="宋体"/>
                <w:kern w:val="0"/>
                <w:szCs w:val="21"/>
              </w:rPr>
              <w:t>2</w:t>
            </w:r>
          </w:p>
        </w:tc>
        <w:tc>
          <w:tcPr>
            <w:tcW w:w="709" w:type="dxa"/>
            <w:noWrap w:val="0"/>
            <w:vAlign w:val="center"/>
          </w:tcPr>
          <w:p w14:paraId="7C560027">
            <w:pPr>
              <w:jc w:val="center"/>
              <w:rPr>
                <w:rFonts w:ascii="宋体" w:hAnsi="宋体"/>
                <w:kern w:val="0"/>
                <w:szCs w:val="21"/>
              </w:rPr>
            </w:pPr>
          </w:p>
        </w:tc>
      </w:tr>
      <w:tr w14:paraId="6791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0B00A490">
            <w:pPr>
              <w:jc w:val="center"/>
              <w:rPr>
                <w:rFonts w:ascii="宋体" w:hAnsi="宋体"/>
                <w:szCs w:val="21"/>
              </w:rPr>
            </w:pPr>
            <w:r>
              <w:rPr>
                <w:rFonts w:ascii="宋体" w:hAnsi="宋体"/>
                <w:szCs w:val="21"/>
              </w:rPr>
              <w:t>合计</w:t>
            </w:r>
          </w:p>
        </w:tc>
        <w:tc>
          <w:tcPr>
            <w:tcW w:w="701" w:type="dxa"/>
            <w:noWrap w:val="0"/>
            <w:vAlign w:val="center"/>
          </w:tcPr>
          <w:p w14:paraId="32247800">
            <w:pPr>
              <w:jc w:val="center"/>
              <w:rPr>
                <w:rFonts w:ascii="宋体" w:hAnsi="宋体"/>
                <w:kern w:val="0"/>
                <w:szCs w:val="21"/>
              </w:rPr>
            </w:pPr>
            <w:r>
              <w:rPr>
                <w:rFonts w:ascii="宋体" w:hAnsi="宋体"/>
                <w:kern w:val="0"/>
                <w:szCs w:val="21"/>
              </w:rPr>
              <w:t>16</w:t>
            </w:r>
          </w:p>
        </w:tc>
        <w:tc>
          <w:tcPr>
            <w:tcW w:w="709" w:type="dxa"/>
            <w:noWrap w:val="0"/>
            <w:vAlign w:val="center"/>
          </w:tcPr>
          <w:p w14:paraId="6AF75A64">
            <w:pPr>
              <w:jc w:val="center"/>
              <w:rPr>
                <w:rFonts w:ascii="宋体" w:hAnsi="宋体"/>
                <w:kern w:val="0"/>
                <w:szCs w:val="21"/>
              </w:rPr>
            </w:pPr>
            <w:r>
              <w:rPr>
                <w:rFonts w:ascii="宋体" w:hAnsi="宋体"/>
                <w:kern w:val="0"/>
                <w:szCs w:val="21"/>
              </w:rPr>
              <w:t>16</w:t>
            </w:r>
          </w:p>
        </w:tc>
      </w:tr>
    </w:tbl>
    <w:p w14:paraId="3CD09EA0">
      <w:pPr>
        <w:spacing w:line="360" w:lineRule="auto"/>
        <w:outlineLvl w:val="0"/>
        <w:rPr>
          <w:rFonts w:hint="eastAsia" w:ascii="宋体" w:hAnsi="宋体"/>
          <w:b/>
          <w:sz w:val="28"/>
          <w:szCs w:val="28"/>
        </w:rPr>
      </w:pPr>
    </w:p>
    <w:p w14:paraId="3F4467C9">
      <w:pPr>
        <w:spacing w:line="360" w:lineRule="auto"/>
        <w:outlineLvl w:val="0"/>
        <w:rPr>
          <w:rFonts w:hint="eastAsia" w:ascii="宋体" w:hAnsi="宋体"/>
          <w:b/>
          <w:sz w:val="28"/>
          <w:szCs w:val="28"/>
        </w:rPr>
      </w:pPr>
    </w:p>
    <w:p w14:paraId="3F5BA272">
      <w:pPr>
        <w:spacing w:line="360" w:lineRule="auto"/>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0F52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08A1DA79">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459BEE34">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43D39EA5">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1F18D4E3">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6C09EC98">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79181BF3">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74E9B7C8">
            <w:pPr>
              <w:jc w:val="center"/>
              <w:rPr>
                <w:rFonts w:ascii="宋体" w:hAnsi="宋体"/>
                <w:b/>
                <w:bCs/>
                <w:szCs w:val="21"/>
              </w:rPr>
            </w:pPr>
            <w:r>
              <w:rPr>
                <w:rFonts w:ascii="宋体" w:hAnsi="宋体"/>
                <w:b/>
                <w:bCs/>
                <w:szCs w:val="21"/>
              </w:rPr>
              <w:t>备注</w:t>
            </w:r>
          </w:p>
        </w:tc>
      </w:tr>
      <w:tr w14:paraId="7141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4AF9FA09">
            <w:pPr>
              <w:jc w:val="center"/>
              <w:rPr>
                <w:rFonts w:ascii="宋体" w:hAnsi="宋体"/>
                <w:bCs/>
                <w:szCs w:val="21"/>
              </w:rPr>
            </w:pPr>
            <w:r>
              <w:rPr>
                <w:rFonts w:ascii="宋体" w:hAnsi="宋体"/>
                <w:bCs/>
                <w:szCs w:val="21"/>
              </w:rPr>
              <w:t>1</w:t>
            </w:r>
          </w:p>
        </w:tc>
        <w:tc>
          <w:tcPr>
            <w:tcW w:w="1755" w:type="dxa"/>
            <w:noWrap w:val="0"/>
            <w:vAlign w:val="center"/>
          </w:tcPr>
          <w:p w14:paraId="473A0950">
            <w:pPr>
              <w:rPr>
                <w:rFonts w:hint="eastAsia" w:ascii="宋体" w:hAnsi="宋体"/>
                <w:szCs w:val="21"/>
              </w:rPr>
            </w:pPr>
            <w:r>
              <w:rPr>
                <w:rFonts w:hint="eastAsia" w:ascii="宋体" w:hAnsi="宋体"/>
                <w:szCs w:val="21"/>
              </w:rPr>
              <w:t>《中小学综合实践活动课程指导纲要》研读</w:t>
            </w:r>
          </w:p>
        </w:tc>
        <w:tc>
          <w:tcPr>
            <w:tcW w:w="3510" w:type="dxa"/>
            <w:noWrap w:val="0"/>
            <w:vAlign w:val="center"/>
          </w:tcPr>
          <w:p w14:paraId="6D2DD75F">
            <w:pPr>
              <w:rPr>
                <w:rFonts w:hint="eastAsia"/>
              </w:rPr>
            </w:pPr>
            <w:r>
              <w:rPr>
                <w:rFonts w:hint="eastAsia"/>
              </w:rPr>
              <w:t>认真学习</w:t>
            </w:r>
            <w:r>
              <w:rPr>
                <w:rFonts w:hint="eastAsia" w:ascii="宋体" w:hAnsi="宋体"/>
                <w:szCs w:val="21"/>
              </w:rPr>
              <w:t>《中小学综合实践活动课程指导纲要》，</w:t>
            </w:r>
            <w:r>
              <w:rPr>
                <w:rFonts w:ascii="宋体" w:hAnsi="宋体"/>
                <w:szCs w:val="21"/>
              </w:rPr>
              <w:t>撰写一份</w:t>
            </w:r>
            <w:r>
              <w:rPr>
                <w:rFonts w:hint="eastAsia" w:ascii="宋体" w:hAnsi="宋体"/>
                <w:szCs w:val="21"/>
              </w:rPr>
              <w:t>学习报告</w:t>
            </w:r>
            <w:r>
              <w:rPr>
                <w:rFonts w:ascii="宋体" w:hAnsi="宋体"/>
                <w:szCs w:val="21"/>
              </w:rPr>
              <w:t>，并</w:t>
            </w:r>
            <w:r>
              <w:rPr>
                <w:rFonts w:hint="eastAsia" w:ascii="宋体" w:hAnsi="宋体"/>
                <w:szCs w:val="21"/>
              </w:rPr>
              <w:t>与</w:t>
            </w:r>
            <w:r>
              <w:rPr>
                <w:rFonts w:ascii="宋体" w:hAnsi="宋体"/>
                <w:szCs w:val="21"/>
              </w:rPr>
              <w:t>同学交流</w:t>
            </w:r>
          </w:p>
        </w:tc>
        <w:tc>
          <w:tcPr>
            <w:tcW w:w="723" w:type="dxa"/>
            <w:noWrap w:val="0"/>
            <w:vAlign w:val="center"/>
          </w:tcPr>
          <w:p w14:paraId="5B08B70C">
            <w:pPr>
              <w:jc w:val="center"/>
              <w:rPr>
                <w:rFonts w:ascii="宋体" w:hAnsi="宋体"/>
                <w:bCs/>
                <w:szCs w:val="21"/>
              </w:rPr>
            </w:pPr>
            <w:r>
              <w:rPr>
                <w:rFonts w:ascii="宋体" w:hAnsi="宋体"/>
                <w:bCs/>
                <w:szCs w:val="21"/>
              </w:rPr>
              <w:t>4</w:t>
            </w:r>
          </w:p>
        </w:tc>
        <w:tc>
          <w:tcPr>
            <w:tcW w:w="1136" w:type="dxa"/>
            <w:noWrap w:val="0"/>
            <w:vAlign w:val="center"/>
          </w:tcPr>
          <w:p w14:paraId="0BB9E8B8">
            <w:pPr>
              <w:jc w:val="center"/>
              <w:rPr>
                <w:rFonts w:ascii="宋体" w:hAnsi="宋体"/>
                <w:bCs/>
                <w:szCs w:val="21"/>
              </w:rPr>
            </w:pPr>
            <w:r>
              <w:rPr>
                <w:rFonts w:hint="eastAsia" w:ascii="宋体" w:hAnsi="宋体"/>
                <w:bCs/>
                <w:szCs w:val="21"/>
              </w:rPr>
              <w:t>3-</w:t>
            </w:r>
            <w:r>
              <w:rPr>
                <w:rFonts w:ascii="宋体" w:hAnsi="宋体"/>
                <w:bCs/>
                <w:szCs w:val="21"/>
              </w:rPr>
              <w:t>4</w:t>
            </w:r>
            <w:r>
              <w:rPr>
                <w:rFonts w:hint="eastAsia" w:ascii="宋体" w:hAnsi="宋体"/>
                <w:bCs/>
                <w:szCs w:val="21"/>
              </w:rPr>
              <w:t>、4-1</w:t>
            </w:r>
          </w:p>
        </w:tc>
        <w:tc>
          <w:tcPr>
            <w:tcW w:w="826" w:type="dxa"/>
            <w:noWrap w:val="0"/>
            <w:tcMar>
              <w:left w:w="28" w:type="dxa"/>
              <w:right w:w="28" w:type="dxa"/>
            </w:tcMar>
            <w:vAlign w:val="center"/>
          </w:tcPr>
          <w:p w14:paraId="34BF4094">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9F615B7">
            <w:pPr>
              <w:jc w:val="center"/>
              <w:rPr>
                <w:rFonts w:ascii="宋体" w:hAnsi="宋体"/>
                <w:bCs/>
                <w:szCs w:val="21"/>
              </w:rPr>
            </w:pPr>
            <w:r>
              <w:rPr>
                <w:rFonts w:ascii="宋体" w:hAnsi="宋体"/>
                <w:bCs/>
                <w:szCs w:val="21"/>
              </w:rPr>
              <w:t>必做</w:t>
            </w:r>
          </w:p>
        </w:tc>
      </w:tr>
      <w:tr w14:paraId="751D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7F9370AC">
            <w:pPr>
              <w:jc w:val="center"/>
              <w:rPr>
                <w:rFonts w:ascii="宋体" w:hAnsi="宋体"/>
                <w:bCs/>
                <w:szCs w:val="21"/>
              </w:rPr>
            </w:pPr>
            <w:r>
              <w:rPr>
                <w:rFonts w:hint="eastAsia" w:ascii="宋体" w:hAnsi="宋体"/>
                <w:bCs/>
                <w:szCs w:val="21"/>
              </w:rPr>
              <w:t>2</w:t>
            </w:r>
          </w:p>
        </w:tc>
        <w:tc>
          <w:tcPr>
            <w:tcW w:w="1755" w:type="dxa"/>
            <w:noWrap w:val="0"/>
            <w:vAlign w:val="center"/>
          </w:tcPr>
          <w:p w14:paraId="571D2ECB">
            <w:pPr>
              <w:rPr>
                <w:rFonts w:hint="eastAsia" w:ascii="宋体" w:hAnsi="宋体"/>
                <w:szCs w:val="21"/>
              </w:rPr>
            </w:pPr>
            <w:r>
              <w:rPr>
                <w:rFonts w:hint="eastAsia" w:ascii="宋体" w:hAnsi="宋体"/>
                <w:szCs w:val="21"/>
              </w:rPr>
              <w:t>研究性学习的设计与实施</w:t>
            </w:r>
          </w:p>
        </w:tc>
        <w:tc>
          <w:tcPr>
            <w:tcW w:w="3510" w:type="dxa"/>
            <w:noWrap w:val="0"/>
            <w:vAlign w:val="center"/>
          </w:tcPr>
          <w:p w14:paraId="5EC5C6AC">
            <w:pPr>
              <w:rPr>
                <w:rFonts w:hint="eastAsia" w:ascii="宋体" w:hAnsi="宋体"/>
                <w:szCs w:val="21"/>
              </w:rPr>
            </w:pPr>
            <w:r>
              <w:rPr>
                <w:rFonts w:hint="eastAsia" w:ascii="宋体" w:hAnsi="宋体"/>
                <w:szCs w:val="21"/>
              </w:rPr>
              <w:t>选择</w:t>
            </w:r>
            <w:r>
              <w:rPr>
                <w:rFonts w:ascii="宋体" w:hAnsi="宋体"/>
                <w:szCs w:val="21"/>
              </w:rPr>
              <w:t>一个</w:t>
            </w:r>
            <w:r>
              <w:rPr>
                <w:rFonts w:hint="eastAsia" w:ascii="宋体" w:hAnsi="宋体"/>
                <w:szCs w:val="21"/>
              </w:rPr>
              <w:t>研究</w:t>
            </w:r>
            <w:r>
              <w:rPr>
                <w:rFonts w:ascii="宋体" w:hAnsi="宋体"/>
                <w:szCs w:val="21"/>
              </w:rPr>
              <w:t>性学习课题，</w:t>
            </w:r>
            <w:r>
              <w:rPr>
                <w:rFonts w:hint="eastAsia" w:ascii="宋体" w:hAnsi="宋体"/>
                <w:szCs w:val="21"/>
              </w:rPr>
              <w:t>设计</w:t>
            </w:r>
            <w:r>
              <w:rPr>
                <w:rFonts w:ascii="宋体" w:hAnsi="宋体"/>
                <w:szCs w:val="21"/>
              </w:rPr>
              <w:t>研究性学习方案，并具体开展</w:t>
            </w:r>
            <w:r>
              <w:rPr>
                <w:rFonts w:hint="eastAsia" w:ascii="宋体" w:hAnsi="宋体"/>
                <w:szCs w:val="21"/>
              </w:rPr>
              <w:t>进行一次专题研究</w:t>
            </w:r>
          </w:p>
        </w:tc>
        <w:tc>
          <w:tcPr>
            <w:tcW w:w="723" w:type="dxa"/>
            <w:noWrap w:val="0"/>
            <w:vAlign w:val="center"/>
          </w:tcPr>
          <w:p w14:paraId="563CCD37">
            <w:pPr>
              <w:jc w:val="center"/>
              <w:rPr>
                <w:rFonts w:ascii="宋体" w:hAnsi="宋体"/>
                <w:bCs/>
                <w:szCs w:val="21"/>
              </w:rPr>
            </w:pPr>
            <w:r>
              <w:rPr>
                <w:rFonts w:ascii="宋体" w:hAnsi="宋体"/>
                <w:bCs/>
                <w:szCs w:val="21"/>
              </w:rPr>
              <w:t>4</w:t>
            </w:r>
          </w:p>
        </w:tc>
        <w:tc>
          <w:tcPr>
            <w:tcW w:w="1136" w:type="dxa"/>
            <w:noWrap w:val="0"/>
            <w:vAlign w:val="center"/>
          </w:tcPr>
          <w:p w14:paraId="4B25D1D1">
            <w:pPr>
              <w:jc w:val="center"/>
              <w:rPr>
                <w:rFonts w:ascii="宋体" w:hAnsi="宋体"/>
                <w:bCs/>
                <w:szCs w:val="21"/>
              </w:rPr>
            </w:pPr>
            <w:r>
              <w:rPr>
                <w:rFonts w:hint="eastAsia" w:ascii="宋体" w:hAnsi="宋体"/>
                <w:bCs/>
                <w:szCs w:val="21"/>
              </w:rPr>
              <w:t>4-1、4-2</w:t>
            </w:r>
          </w:p>
          <w:p w14:paraId="710AB9C3">
            <w:pPr>
              <w:jc w:val="center"/>
              <w:rPr>
                <w:rFonts w:hint="eastAsia" w:ascii="宋体" w:hAnsi="宋体"/>
                <w:bCs/>
                <w:szCs w:val="21"/>
              </w:rPr>
            </w:pPr>
            <w:r>
              <w:rPr>
                <w:rFonts w:hint="eastAsia" w:ascii="宋体" w:hAnsi="宋体"/>
                <w:bCs/>
                <w:szCs w:val="21"/>
              </w:rPr>
              <w:t>6-2、8-1</w:t>
            </w:r>
          </w:p>
        </w:tc>
        <w:tc>
          <w:tcPr>
            <w:tcW w:w="826" w:type="dxa"/>
            <w:noWrap w:val="0"/>
            <w:tcMar>
              <w:left w:w="28" w:type="dxa"/>
              <w:right w:w="28" w:type="dxa"/>
            </w:tcMar>
            <w:vAlign w:val="center"/>
          </w:tcPr>
          <w:p w14:paraId="5F0F3AB4">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4B24D082">
            <w:pPr>
              <w:jc w:val="center"/>
              <w:rPr>
                <w:rFonts w:ascii="宋体" w:hAnsi="宋体"/>
                <w:bCs/>
                <w:szCs w:val="21"/>
              </w:rPr>
            </w:pPr>
            <w:r>
              <w:rPr>
                <w:rFonts w:ascii="宋体" w:hAnsi="宋体"/>
                <w:bCs/>
                <w:szCs w:val="21"/>
              </w:rPr>
              <w:t>必做</w:t>
            </w:r>
          </w:p>
        </w:tc>
      </w:tr>
      <w:tr w14:paraId="6A19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5E4D7330">
            <w:pPr>
              <w:jc w:val="center"/>
              <w:rPr>
                <w:rFonts w:ascii="宋体" w:hAnsi="宋体"/>
                <w:bCs/>
                <w:szCs w:val="21"/>
              </w:rPr>
            </w:pPr>
            <w:r>
              <w:rPr>
                <w:rFonts w:hint="eastAsia" w:ascii="宋体" w:hAnsi="宋体"/>
                <w:bCs/>
                <w:szCs w:val="21"/>
              </w:rPr>
              <w:t>3</w:t>
            </w:r>
          </w:p>
        </w:tc>
        <w:tc>
          <w:tcPr>
            <w:tcW w:w="1755" w:type="dxa"/>
            <w:noWrap w:val="0"/>
            <w:vAlign w:val="center"/>
          </w:tcPr>
          <w:p w14:paraId="407D71D8">
            <w:pPr>
              <w:rPr>
                <w:rFonts w:hint="eastAsia" w:ascii="宋体" w:hAnsi="宋体"/>
                <w:szCs w:val="21"/>
              </w:rPr>
            </w:pPr>
            <w:r>
              <w:rPr>
                <w:rFonts w:hint="eastAsia" w:ascii="宋体" w:hAnsi="宋体"/>
                <w:szCs w:val="21"/>
              </w:rPr>
              <w:t>社区服务与社会实践的设计与实施</w:t>
            </w:r>
          </w:p>
        </w:tc>
        <w:tc>
          <w:tcPr>
            <w:tcW w:w="3510" w:type="dxa"/>
            <w:noWrap w:val="0"/>
            <w:vAlign w:val="center"/>
          </w:tcPr>
          <w:p w14:paraId="34188F33">
            <w:pPr>
              <w:rPr>
                <w:rFonts w:hint="eastAsia" w:ascii="宋体" w:hAnsi="宋体"/>
                <w:szCs w:val="21"/>
              </w:rPr>
            </w:pPr>
            <w:r>
              <w:rPr>
                <w:rFonts w:hint="eastAsia" w:ascii="宋体" w:hAnsi="宋体"/>
                <w:szCs w:val="21"/>
              </w:rPr>
              <w:t>选择</w:t>
            </w:r>
            <w:r>
              <w:rPr>
                <w:rFonts w:ascii="宋体" w:hAnsi="宋体"/>
                <w:szCs w:val="21"/>
              </w:rPr>
              <w:t>一个</w:t>
            </w:r>
            <w:r>
              <w:rPr>
                <w:rFonts w:hint="eastAsia" w:ascii="宋体" w:hAnsi="宋体"/>
                <w:szCs w:val="21"/>
              </w:rPr>
              <w:t>社区服务或社会实践活动主题</w:t>
            </w:r>
            <w:r>
              <w:rPr>
                <w:rFonts w:ascii="宋体" w:hAnsi="宋体"/>
                <w:szCs w:val="21"/>
              </w:rPr>
              <w:t>，设计活动方案并具体</w:t>
            </w:r>
            <w:r>
              <w:rPr>
                <w:rFonts w:hint="eastAsia" w:ascii="宋体" w:hAnsi="宋体"/>
                <w:szCs w:val="21"/>
              </w:rPr>
              <w:t>开展</w:t>
            </w:r>
            <w:r>
              <w:rPr>
                <w:rFonts w:ascii="宋体" w:hAnsi="宋体"/>
                <w:szCs w:val="21"/>
              </w:rPr>
              <w:t>活动</w:t>
            </w:r>
          </w:p>
        </w:tc>
        <w:tc>
          <w:tcPr>
            <w:tcW w:w="723" w:type="dxa"/>
            <w:noWrap w:val="0"/>
            <w:vAlign w:val="center"/>
          </w:tcPr>
          <w:p w14:paraId="25FE70EE">
            <w:pPr>
              <w:jc w:val="center"/>
              <w:rPr>
                <w:rFonts w:ascii="宋体" w:hAnsi="宋体"/>
                <w:bCs/>
                <w:szCs w:val="21"/>
              </w:rPr>
            </w:pPr>
            <w:r>
              <w:rPr>
                <w:rFonts w:ascii="宋体" w:hAnsi="宋体"/>
                <w:bCs/>
                <w:szCs w:val="21"/>
              </w:rPr>
              <w:t>4</w:t>
            </w:r>
          </w:p>
        </w:tc>
        <w:tc>
          <w:tcPr>
            <w:tcW w:w="1136" w:type="dxa"/>
            <w:noWrap w:val="0"/>
            <w:vAlign w:val="center"/>
          </w:tcPr>
          <w:p w14:paraId="1EAB891B">
            <w:pPr>
              <w:jc w:val="center"/>
              <w:rPr>
                <w:rFonts w:ascii="宋体" w:hAnsi="宋体"/>
                <w:bCs/>
                <w:szCs w:val="21"/>
              </w:rPr>
            </w:pPr>
            <w:r>
              <w:rPr>
                <w:rFonts w:hint="eastAsia" w:ascii="宋体" w:hAnsi="宋体"/>
                <w:bCs/>
                <w:szCs w:val="21"/>
              </w:rPr>
              <w:t>4-1、4-2</w:t>
            </w:r>
          </w:p>
          <w:p w14:paraId="581F74D4">
            <w:pPr>
              <w:jc w:val="center"/>
              <w:rPr>
                <w:rFonts w:hint="eastAsia" w:ascii="宋体" w:hAnsi="宋体"/>
                <w:bCs/>
                <w:szCs w:val="21"/>
              </w:rPr>
            </w:pPr>
            <w:r>
              <w:rPr>
                <w:rFonts w:hint="eastAsia" w:ascii="宋体" w:hAnsi="宋体"/>
                <w:bCs/>
                <w:szCs w:val="21"/>
              </w:rPr>
              <w:t>6-2、8-1</w:t>
            </w:r>
          </w:p>
        </w:tc>
        <w:tc>
          <w:tcPr>
            <w:tcW w:w="826" w:type="dxa"/>
            <w:noWrap w:val="0"/>
            <w:tcMar>
              <w:left w:w="28" w:type="dxa"/>
              <w:right w:w="28" w:type="dxa"/>
            </w:tcMar>
            <w:vAlign w:val="center"/>
          </w:tcPr>
          <w:p w14:paraId="3678779A">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F3C151D">
            <w:pPr>
              <w:jc w:val="center"/>
              <w:rPr>
                <w:rFonts w:ascii="宋体" w:hAnsi="宋体"/>
                <w:bCs/>
                <w:szCs w:val="21"/>
              </w:rPr>
            </w:pPr>
            <w:r>
              <w:rPr>
                <w:rFonts w:ascii="宋体" w:hAnsi="宋体"/>
                <w:bCs/>
                <w:szCs w:val="21"/>
              </w:rPr>
              <w:t>必做</w:t>
            </w:r>
          </w:p>
        </w:tc>
      </w:tr>
      <w:tr w14:paraId="7647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0E63A6B6">
            <w:pPr>
              <w:jc w:val="center"/>
              <w:rPr>
                <w:rFonts w:hint="eastAsia" w:ascii="宋体" w:hAnsi="宋体"/>
                <w:bCs/>
                <w:szCs w:val="21"/>
              </w:rPr>
            </w:pPr>
            <w:r>
              <w:rPr>
                <w:rFonts w:hint="eastAsia" w:ascii="宋体" w:hAnsi="宋体"/>
                <w:bCs/>
                <w:szCs w:val="21"/>
              </w:rPr>
              <w:t>4</w:t>
            </w:r>
          </w:p>
        </w:tc>
        <w:tc>
          <w:tcPr>
            <w:tcW w:w="1755" w:type="dxa"/>
            <w:noWrap w:val="0"/>
            <w:vAlign w:val="center"/>
          </w:tcPr>
          <w:p w14:paraId="146CF95D">
            <w:pPr>
              <w:rPr>
                <w:rFonts w:hint="eastAsia" w:ascii="宋体" w:hAnsi="宋体"/>
                <w:szCs w:val="21"/>
              </w:rPr>
            </w:pPr>
            <w:r>
              <w:rPr>
                <w:rFonts w:hint="eastAsia" w:ascii="宋体" w:hAnsi="宋体"/>
                <w:szCs w:val="21"/>
              </w:rPr>
              <w:t>劳动与技术教育和信息技术教育的设计与实施</w:t>
            </w:r>
          </w:p>
        </w:tc>
        <w:tc>
          <w:tcPr>
            <w:tcW w:w="3510" w:type="dxa"/>
            <w:noWrap w:val="0"/>
            <w:vAlign w:val="center"/>
          </w:tcPr>
          <w:p w14:paraId="36580E45">
            <w:pPr>
              <w:rPr>
                <w:rFonts w:hint="eastAsia" w:ascii="宋体" w:hAnsi="宋体"/>
                <w:szCs w:val="21"/>
              </w:rPr>
            </w:pPr>
            <w:r>
              <w:rPr>
                <w:rFonts w:hint="eastAsia" w:ascii="宋体" w:hAnsi="宋体"/>
                <w:szCs w:val="21"/>
              </w:rPr>
              <w:t>设计一份劳技制作活动方案并提交劳技</w:t>
            </w:r>
            <w:r>
              <w:rPr>
                <w:rFonts w:ascii="宋体" w:hAnsi="宋体"/>
                <w:szCs w:val="21"/>
              </w:rPr>
              <w:t>作品一件</w:t>
            </w:r>
          </w:p>
        </w:tc>
        <w:tc>
          <w:tcPr>
            <w:tcW w:w="723" w:type="dxa"/>
            <w:noWrap w:val="0"/>
            <w:vAlign w:val="center"/>
          </w:tcPr>
          <w:p w14:paraId="5896F203">
            <w:pPr>
              <w:jc w:val="center"/>
              <w:rPr>
                <w:rFonts w:hint="eastAsia" w:ascii="宋体" w:hAnsi="宋体"/>
                <w:bCs/>
                <w:szCs w:val="21"/>
              </w:rPr>
            </w:pPr>
            <w:r>
              <w:rPr>
                <w:rFonts w:ascii="宋体" w:hAnsi="宋体"/>
                <w:bCs/>
                <w:szCs w:val="21"/>
              </w:rPr>
              <w:t>4</w:t>
            </w:r>
          </w:p>
        </w:tc>
        <w:tc>
          <w:tcPr>
            <w:tcW w:w="1136" w:type="dxa"/>
            <w:noWrap w:val="0"/>
            <w:vAlign w:val="center"/>
          </w:tcPr>
          <w:p w14:paraId="48E0AC47">
            <w:pPr>
              <w:jc w:val="center"/>
              <w:rPr>
                <w:rFonts w:ascii="宋体" w:hAnsi="宋体"/>
                <w:bCs/>
                <w:szCs w:val="21"/>
              </w:rPr>
            </w:pPr>
            <w:r>
              <w:rPr>
                <w:rFonts w:hint="eastAsia" w:ascii="宋体" w:hAnsi="宋体"/>
                <w:bCs/>
                <w:szCs w:val="21"/>
              </w:rPr>
              <w:t>4-1、4-2</w:t>
            </w:r>
          </w:p>
          <w:p w14:paraId="1CFC2940">
            <w:pPr>
              <w:jc w:val="center"/>
              <w:rPr>
                <w:rFonts w:hint="eastAsia" w:ascii="宋体" w:hAnsi="宋体"/>
                <w:bCs/>
                <w:szCs w:val="21"/>
              </w:rPr>
            </w:pPr>
            <w:r>
              <w:rPr>
                <w:rFonts w:hint="eastAsia" w:ascii="宋体" w:hAnsi="宋体"/>
                <w:bCs/>
                <w:szCs w:val="21"/>
              </w:rPr>
              <w:t>6-2、8-1</w:t>
            </w:r>
          </w:p>
        </w:tc>
        <w:tc>
          <w:tcPr>
            <w:tcW w:w="826" w:type="dxa"/>
            <w:noWrap w:val="0"/>
            <w:tcMar>
              <w:left w:w="28" w:type="dxa"/>
              <w:right w:w="28" w:type="dxa"/>
            </w:tcMar>
            <w:vAlign w:val="center"/>
          </w:tcPr>
          <w:p w14:paraId="07D26B18">
            <w:pPr>
              <w:jc w:val="center"/>
              <w:rPr>
                <w:rFonts w:hint="eastAsia" w:ascii="宋体" w:hAnsi="宋体"/>
                <w:bCs/>
                <w:szCs w:val="21"/>
              </w:rPr>
            </w:pPr>
            <w:r>
              <w:rPr>
                <w:rFonts w:hint="eastAsia" w:ascii="宋体" w:hAnsi="宋体"/>
                <w:bCs/>
                <w:szCs w:val="21"/>
              </w:rPr>
              <w:t>综合</w:t>
            </w:r>
            <w:r>
              <w:rPr>
                <w:rFonts w:ascii="宋体" w:hAnsi="宋体"/>
                <w:bCs/>
                <w:szCs w:val="21"/>
              </w:rPr>
              <w:t>性</w:t>
            </w:r>
          </w:p>
        </w:tc>
        <w:tc>
          <w:tcPr>
            <w:tcW w:w="619" w:type="dxa"/>
            <w:noWrap w:val="0"/>
            <w:tcMar>
              <w:left w:w="28" w:type="dxa"/>
              <w:right w:w="28" w:type="dxa"/>
            </w:tcMar>
            <w:vAlign w:val="center"/>
          </w:tcPr>
          <w:p w14:paraId="115DD1BE">
            <w:pPr>
              <w:jc w:val="center"/>
              <w:rPr>
                <w:rFonts w:hint="eastAsia" w:ascii="宋体" w:hAnsi="宋体"/>
                <w:bCs/>
                <w:szCs w:val="21"/>
              </w:rPr>
            </w:pPr>
            <w:r>
              <w:rPr>
                <w:rFonts w:hint="eastAsia" w:ascii="宋体" w:hAnsi="宋体"/>
                <w:bCs/>
                <w:szCs w:val="21"/>
              </w:rPr>
              <w:t>必</w:t>
            </w:r>
            <w:r>
              <w:rPr>
                <w:rFonts w:ascii="宋体" w:hAnsi="宋体"/>
                <w:bCs/>
                <w:szCs w:val="21"/>
              </w:rPr>
              <w:t>做</w:t>
            </w:r>
          </w:p>
        </w:tc>
      </w:tr>
    </w:tbl>
    <w:p w14:paraId="050B8ACE">
      <w:pPr>
        <w:spacing w:line="360" w:lineRule="auto"/>
        <w:outlineLvl w:val="0"/>
        <w:rPr>
          <w:rFonts w:ascii="宋体" w:hAnsi="宋体"/>
          <w:b/>
          <w:sz w:val="28"/>
          <w:szCs w:val="28"/>
        </w:rPr>
      </w:pPr>
      <w:r>
        <w:rPr>
          <w:rFonts w:ascii="宋体" w:hAnsi="宋体"/>
          <w:b/>
          <w:sz w:val="28"/>
          <w:szCs w:val="28"/>
        </w:rPr>
        <w:t xml:space="preserve">   </w:t>
      </w:r>
      <w:r>
        <w:rPr>
          <w:rFonts w:hint="eastAsia" w:ascii="宋体" w:hAnsi="宋体"/>
          <w:b/>
          <w:sz w:val="28"/>
          <w:szCs w:val="28"/>
        </w:rPr>
        <w:t>五、课程实施</w:t>
      </w:r>
    </w:p>
    <w:p w14:paraId="6C65B41D">
      <w:pPr>
        <w:spacing w:line="360" w:lineRule="auto"/>
        <w:ind w:firstLine="480" w:firstLineChars="200"/>
        <w:rPr>
          <w:sz w:val="24"/>
        </w:rPr>
      </w:pPr>
      <w:r>
        <w:rPr>
          <w:sz w:val="24"/>
        </w:rPr>
        <w:t>（一）</w:t>
      </w:r>
      <w:r>
        <w:rPr>
          <w:rFonts w:hint="eastAsia"/>
          <w:sz w:val="24"/>
        </w:rPr>
        <w:t>本课程的教学必须紧密结合小学开设综合实践活动课程的实际情况进行，同时也要在师范生中大力开展综合实践活动，培养师范生的实践能力。</w:t>
      </w:r>
    </w:p>
    <w:p w14:paraId="77734149">
      <w:pPr>
        <w:spacing w:line="360" w:lineRule="auto"/>
        <w:ind w:firstLine="480" w:firstLineChars="200"/>
        <w:rPr>
          <w:sz w:val="24"/>
        </w:rPr>
      </w:pPr>
      <w:r>
        <w:rPr>
          <w:sz w:val="24"/>
        </w:rPr>
        <w:t>（二）</w:t>
      </w:r>
      <w:r>
        <w:rPr>
          <w:rFonts w:hint="eastAsia"/>
          <w:sz w:val="24"/>
        </w:rPr>
        <w:t>利用信息技术，将丰富多彩的综合实践活动案例引入课堂，充分利用视频、QQ群、毕博网络课程等手段辅助教学。</w:t>
      </w:r>
    </w:p>
    <w:p w14:paraId="5B2EE8AB">
      <w:pPr>
        <w:spacing w:line="360" w:lineRule="auto"/>
        <w:ind w:firstLine="480" w:firstLineChars="200"/>
        <w:rPr>
          <w:sz w:val="24"/>
        </w:rPr>
      </w:pPr>
      <w:r>
        <w:rPr>
          <w:sz w:val="24"/>
        </w:rPr>
        <w:t>（三）</w:t>
      </w:r>
      <w:r>
        <w:rPr>
          <w:rFonts w:hint="eastAsia"/>
          <w:sz w:val="24"/>
        </w:rPr>
        <w:t>改革</w:t>
      </w:r>
      <w:r>
        <w:rPr>
          <w:sz w:val="24"/>
        </w:rPr>
        <w:t>教学方法，</w:t>
      </w:r>
      <w:r>
        <w:rPr>
          <w:rFonts w:hint="eastAsia"/>
          <w:sz w:val="24"/>
        </w:rPr>
        <w:t>强化课堂实践，注重师范生综合实践活动设计与实施能力的培养。</w:t>
      </w:r>
    </w:p>
    <w:p w14:paraId="3449F75A">
      <w:pPr>
        <w:spacing w:line="360" w:lineRule="auto"/>
        <w:rPr>
          <w:rFonts w:ascii="宋体" w:hAnsi="宋体"/>
          <w:sz w:val="24"/>
          <w:szCs w:val="22"/>
        </w:rPr>
      </w:pPr>
    </w:p>
    <w:p w14:paraId="597A1880">
      <w:pPr>
        <w:spacing w:line="360" w:lineRule="auto"/>
        <w:rPr>
          <w:rFonts w:ascii="宋体" w:hAnsi="宋体"/>
          <w:sz w:val="24"/>
          <w:szCs w:val="22"/>
        </w:rPr>
      </w:pPr>
    </w:p>
    <w:p w14:paraId="52722EC0">
      <w:pPr>
        <w:spacing w:line="360" w:lineRule="auto"/>
        <w:rPr>
          <w:rFonts w:ascii="宋体" w:hAnsi="宋体"/>
          <w:sz w:val="24"/>
          <w:szCs w:val="22"/>
        </w:rPr>
      </w:pPr>
    </w:p>
    <w:p w14:paraId="559AE430">
      <w:pPr>
        <w:spacing w:line="360" w:lineRule="auto"/>
        <w:rPr>
          <w:rFonts w:ascii="宋体" w:hAnsi="宋体"/>
          <w:sz w:val="24"/>
          <w:szCs w:val="22"/>
        </w:rPr>
      </w:pPr>
    </w:p>
    <w:p w14:paraId="3F9DBBAC">
      <w:pPr>
        <w:spacing w:line="360" w:lineRule="auto"/>
        <w:rPr>
          <w:rFonts w:ascii="宋体" w:hAnsi="宋体"/>
          <w:sz w:val="24"/>
          <w:szCs w:val="22"/>
        </w:rPr>
      </w:pPr>
    </w:p>
    <w:p w14:paraId="533E1BAF">
      <w:pPr>
        <w:spacing w:line="360" w:lineRule="auto"/>
        <w:rPr>
          <w:rFonts w:hint="eastAsia" w:ascii="宋体" w:hAnsi="宋体"/>
          <w:sz w:val="24"/>
          <w:szCs w:val="22"/>
        </w:rPr>
      </w:pPr>
    </w:p>
    <w:p w14:paraId="09CE66BD">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0532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2AF3BB63">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6EE0C193">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6933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68FCD5B0">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015250C2">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4C7C9A75">
            <w:pPr>
              <w:spacing w:line="276" w:lineRule="auto"/>
              <w:rPr>
                <w:rFonts w:ascii="宋体" w:hAnsi="宋体"/>
                <w:szCs w:val="21"/>
              </w:rPr>
            </w:pPr>
            <w:r>
              <w:rPr>
                <w:rFonts w:ascii="宋体" w:hAnsi="宋体"/>
                <w:szCs w:val="21"/>
              </w:rPr>
              <w:t>（1）掌握课程教学大纲内容，严格按照教学大纲要求进行课程教学内容的组织。</w:t>
            </w:r>
          </w:p>
          <w:p w14:paraId="352A67E0">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675E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4B27141F">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775BBFCA">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30867ACD">
            <w:pPr>
              <w:spacing w:line="276" w:lineRule="auto"/>
              <w:rPr>
                <w:rFonts w:ascii="宋体" w:hAnsi="宋体"/>
              </w:rPr>
            </w:pPr>
            <w:r>
              <w:rPr>
                <w:rFonts w:ascii="宋体" w:hAnsi="宋体"/>
                <w:szCs w:val="21"/>
              </w:rPr>
              <w:t>（1）</w:t>
            </w:r>
            <w:r>
              <w:rPr>
                <w:rFonts w:hint="eastAsia" w:ascii="宋体" w:hAnsi="宋体"/>
              </w:rPr>
              <w:t>教师仪表端庄，情绪情感要饱满；</w:t>
            </w:r>
          </w:p>
          <w:p w14:paraId="4328DACD">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79A13F3F">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567E1472">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4088FD4B">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76E7E4F2">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2F7A15F2">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10B9BDB9">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32A0DBFE">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52FAAEDA">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197B175C">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0037BDC5">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7A95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3B8630C3">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4F3373EB">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3220BD0D">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587F159D">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34FEA54D">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68232608">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5CBC4C86">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32E92BC2">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4672A507">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3E40F338">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4B5B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156C36F3">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5F6CADEC">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470A70EF">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w:t>
            </w:r>
            <w:r>
              <w:rPr>
                <w:rFonts w:hint="eastAsia" w:ascii="宋体" w:hAnsi="宋体"/>
                <w:szCs w:val="21"/>
              </w:rPr>
              <w:t>活动</w:t>
            </w:r>
            <w:r>
              <w:rPr>
                <w:rFonts w:ascii="宋体" w:hAnsi="宋体"/>
                <w:szCs w:val="21"/>
              </w:rPr>
              <w:t>设计能力、</w:t>
            </w:r>
            <w:r>
              <w:rPr>
                <w:rFonts w:hint="eastAsia" w:ascii="宋体" w:hAnsi="宋体"/>
                <w:szCs w:val="21"/>
              </w:rPr>
              <w:t>活动</w:t>
            </w:r>
            <w:r>
              <w:rPr>
                <w:rFonts w:ascii="宋体" w:hAnsi="宋体"/>
                <w:szCs w:val="21"/>
              </w:rPr>
              <w:t>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6CBA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76EA57D3">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442B1063">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573135BB">
            <w:pPr>
              <w:spacing w:line="276" w:lineRule="auto"/>
              <w:rPr>
                <w:rFonts w:ascii="宋体" w:hAnsi="宋体"/>
                <w:szCs w:val="21"/>
              </w:rPr>
            </w:pPr>
            <w:r>
              <w:rPr>
                <w:rFonts w:hint="eastAsia" w:ascii="宋体" w:hAnsi="宋体"/>
                <w:szCs w:val="21"/>
              </w:rPr>
              <w:t>本课程考核的方式为开卷笔试。有下列情况之一者，总评成绩为不及格：</w:t>
            </w:r>
          </w:p>
          <w:p w14:paraId="6037CCCC">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0998B523">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72F366FE">
      <w:pPr>
        <w:spacing w:line="360" w:lineRule="auto"/>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4D9D4D0B">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（一）课程考核包括期末考试、平时考核（作业、考勤等）和课内实践考核，期末考试采用开卷笔试。</w:t>
      </w:r>
    </w:p>
    <w:p w14:paraId="14E57CAB">
      <w:pPr>
        <w:spacing w:line="360" w:lineRule="auto"/>
        <w:ind w:firstLine="480" w:firstLineChars="200"/>
        <w:rPr>
          <w:rFonts w:hint="eastAsia" w:ascii="宋体" w:hAnsi="宋体"/>
          <w:sz w:val="24"/>
          <w:szCs w:val="22"/>
        </w:rPr>
      </w:pPr>
      <w:r>
        <w:rPr>
          <w:rFonts w:hint="eastAsia" w:ascii="宋体" w:hAnsi="宋体"/>
          <w:sz w:val="24"/>
          <w:szCs w:val="22"/>
        </w:rPr>
        <w:t>（二）课程成绩=平时成绩×20%+课内实践成绩×20%+期末考试成绩×60%。</w:t>
      </w:r>
    </w:p>
    <w:p w14:paraId="1E81A435">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506D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58D06D1E">
            <w:pPr>
              <w:jc w:val="center"/>
              <w:rPr>
                <w:rFonts w:ascii="宋体" w:hAnsi="宋体"/>
                <w:b/>
              </w:rPr>
            </w:pPr>
            <w:r>
              <w:rPr>
                <w:rFonts w:ascii="宋体" w:hAnsi="宋体"/>
                <w:b/>
              </w:rPr>
              <w:t>成绩组成</w:t>
            </w:r>
          </w:p>
        </w:tc>
        <w:tc>
          <w:tcPr>
            <w:tcW w:w="1134" w:type="dxa"/>
            <w:shd w:val="clear" w:color="auto" w:fill="FFFFFF"/>
            <w:noWrap w:val="0"/>
            <w:vAlign w:val="center"/>
          </w:tcPr>
          <w:p w14:paraId="5EC9869E">
            <w:pPr>
              <w:jc w:val="center"/>
              <w:rPr>
                <w:rFonts w:ascii="宋体" w:hAnsi="宋体"/>
                <w:b/>
              </w:rPr>
            </w:pPr>
            <w:r>
              <w:rPr>
                <w:rFonts w:ascii="宋体" w:hAnsi="宋体"/>
                <w:b/>
              </w:rPr>
              <w:t>考核/</w:t>
            </w:r>
          </w:p>
          <w:p w14:paraId="6D5DC994">
            <w:pPr>
              <w:jc w:val="center"/>
              <w:rPr>
                <w:rFonts w:ascii="宋体" w:hAnsi="宋体"/>
                <w:b/>
              </w:rPr>
            </w:pPr>
            <w:r>
              <w:rPr>
                <w:rFonts w:ascii="宋体" w:hAnsi="宋体"/>
                <w:b/>
              </w:rPr>
              <w:t>评价环节</w:t>
            </w:r>
          </w:p>
        </w:tc>
        <w:tc>
          <w:tcPr>
            <w:tcW w:w="709" w:type="dxa"/>
            <w:shd w:val="clear" w:color="auto" w:fill="FFFFFF"/>
            <w:noWrap w:val="0"/>
            <w:vAlign w:val="center"/>
          </w:tcPr>
          <w:p w14:paraId="2465EBA2">
            <w:pPr>
              <w:jc w:val="center"/>
              <w:rPr>
                <w:rFonts w:ascii="宋体" w:hAnsi="宋体"/>
                <w:b/>
              </w:rPr>
            </w:pPr>
            <w:r>
              <w:rPr>
                <w:rFonts w:hint="eastAsia" w:ascii="宋体" w:hAnsi="宋体"/>
                <w:b/>
              </w:rPr>
              <w:t>权重</w:t>
            </w:r>
          </w:p>
        </w:tc>
        <w:tc>
          <w:tcPr>
            <w:tcW w:w="2693" w:type="dxa"/>
            <w:shd w:val="clear" w:color="auto" w:fill="FFFFFF"/>
            <w:noWrap w:val="0"/>
            <w:vAlign w:val="center"/>
          </w:tcPr>
          <w:p w14:paraId="3E06469D">
            <w:pPr>
              <w:jc w:val="center"/>
              <w:rPr>
                <w:rFonts w:ascii="宋体" w:hAnsi="宋体"/>
                <w:b/>
              </w:rPr>
            </w:pPr>
            <w:r>
              <w:rPr>
                <w:rFonts w:ascii="宋体" w:hAnsi="宋体"/>
                <w:b/>
              </w:rPr>
              <w:t>考核/评价细则</w:t>
            </w:r>
          </w:p>
        </w:tc>
        <w:tc>
          <w:tcPr>
            <w:tcW w:w="1276" w:type="dxa"/>
            <w:shd w:val="clear" w:color="auto" w:fill="FFFFFF"/>
            <w:noWrap w:val="0"/>
            <w:vAlign w:val="top"/>
          </w:tcPr>
          <w:p w14:paraId="77BD574A">
            <w:pPr>
              <w:ind w:firstLine="316" w:firstLineChars="150"/>
              <w:rPr>
                <w:rFonts w:ascii="宋体" w:hAnsi="宋体"/>
                <w:b/>
              </w:rPr>
            </w:pPr>
            <w:r>
              <w:rPr>
                <w:rFonts w:hint="eastAsia" w:ascii="宋体" w:hAnsi="宋体"/>
                <w:b/>
              </w:rPr>
              <w:t>课程</w:t>
            </w:r>
          </w:p>
          <w:p w14:paraId="6F04BDB2">
            <w:pPr>
              <w:jc w:val="center"/>
              <w:rPr>
                <w:rFonts w:ascii="宋体" w:hAnsi="宋体"/>
                <w:b/>
              </w:rPr>
            </w:pPr>
            <w:r>
              <w:rPr>
                <w:rFonts w:hint="eastAsia" w:ascii="宋体" w:hAnsi="宋体"/>
                <w:b/>
              </w:rPr>
              <w:t>目标</w:t>
            </w:r>
          </w:p>
        </w:tc>
        <w:tc>
          <w:tcPr>
            <w:tcW w:w="1276" w:type="dxa"/>
            <w:shd w:val="clear" w:color="auto" w:fill="FFFFFF"/>
            <w:noWrap w:val="0"/>
            <w:vAlign w:val="top"/>
          </w:tcPr>
          <w:p w14:paraId="3EF80CC9">
            <w:pPr>
              <w:ind w:left="-107" w:leftChars="-51"/>
              <w:jc w:val="center"/>
              <w:rPr>
                <w:rFonts w:ascii="宋体" w:hAnsi="宋体"/>
                <w:b/>
              </w:rPr>
            </w:pPr>
            <w:r>
              <w:rPr>
                <w:rFonts w:hint="eastAsia" w:ascii="宋体" w:hAnsi="宋体"/>
                <w:b/>
              </w:rPr>
              <w:t>考核</w:t>
            </w:r>
          </w:p>
          <w:p w14:paraId="7D02CAE6">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0F09E167">
            <w:pPr>
              <w:ind w:left="-107" w:leftChars="-51"/>
              <w:jc w:val="center"/>
              <w:rPr>
                <w:rFonts w:ascii="宋体" w:hAnsi="宋体"/>
                <w:b/>
              </w:rPr>
            </w:pPr>
            <w:r>
              <w:rPr>
                <w:rFonts w:ascii="宋体" w:hAnsi="宋体"/>
                <w:b/>
              </w:rPr>
              <w:t>对应的毕业要求指标点</w:t>
            </w:r>
          </w:p>
        </w:tc>
      </w:tr>
      <w:tr w14:paraId="50E2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noWrap w:val="0"/>
            <w:tcMar>
              <w:left w:w="57" w:type="dxa"/>
              <w:right w:w="57" w:type="dxa"/>
            </w:tcMar>
            <w:vAlign w:val="center"/>
          </w:tcPr>
          <w:p w14:paraId="713A0F1B">
            <w:pPr>
              <w:pStyle w:val="40"/>
              <w:jc w:val="center"/>
              <w:rPr>
                <w:rFonts w:eastAsia="宋体"/>
              </w:rPr>
            </w:pPr>
            <w:r>
              <w:rPr>
                <w:rFonts w:eastAsia="宋体"/>
              </w:rPr>
              <w:t>平时成绩</w:t>
            </w:r>
          </w:p>
        </w:tc>
        <w:tc>
          <w:tcPr>
            <w:tcW w:w="1134" w:type="dxa"/>
            <w:noWrap w:val="0"/>
            <w:vAlign w:val="center"/>
          </w:tcPr>
          <w:p w14:paraId="4B44BD01">
            <w:pPr>
              <w:pStyle w:val="40"/>
              <w:jc w:val="center"/>
              <w:rPr>
                <w:rFonts w:eastAsia="宋体"/>
              </w:rPr>
            </w:pPr>
            <w:r>
              <w:rPr>
                <w:rFonts w:hint="eastAsia" w:eastAsia="宋体"/>
              </w:rPr>
              <w:t>作业+考勤</w:t>
            </w:r>
          </w:p>
        </w:tc>
        <w:tc>
          <w:tcPr>
            <w:tcW w:w="709" w:type="dxa"/>
            <w:noWrap w:val="0"/>
            <w:vAlign w:val="center"/>
          </w:tcPr>
          <w:p w14:paraId="61924CE1">
            <w:pPr>
              <w:pStyle w:val="40"/>
              <w:jc w:val="center"/>
              <w:rPr>
                <w:rFonts w:eastAsia="宋体"/>
              </w:rPr>
            </w:pPr>
            <w:r>
              <w:rPr>
                <w:rFonts w:hint="eastAsia" w:eastAsia="宋体"/>
              </w:rPr>
              <w:t>20</w:t>
            </w:r>
            <w:r>
              <w:rPr>
                <w:rFonts w:eastAsia="宋体"/>
              </w:rPr>
              <w:t>%</w:t>
            </w:r>
          </w:p>
        </w:tc>
        <w:tc>
          <w:tcPr>
            <w:tcW w:w="2693" w:type="dxa"/>
            <w:noWrap w:val="0"/>
            <w:vAlign w:val="center"/>
          </w:tcPr>
          <w:p w14:paraId="1AD18148">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75D7C978">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4D124023">
            <w:pPr>
              <w:jc w:val="center"/>
              <w:rPr>
                <w:rFonts w:ascii="宋体" w:hAnsi="宋体"/>
              </w:rPr>
            </w:pPr>
            <w:r>
              <w:rPr>
                <w:rFonts w:hint="eastAsia" w:ascii="宋体" w:hAnsi="宋体"/>
              </w:rPr>
              <w:t>课程目标</w:t>
            </w:r>
            <w:r>
              <w:rPr>
                <w:rFonts w:ascii="宋体" w:hAnsi="宋体"/>
              </w:rPr>
              <w:t>3</w:t>
            </w:r>
          </w:p>
          <w:p w14:paraId="39464EA7">
            <w:pPr>
              <w:jc w:val="center"/>
              <w:rPr>
                <w:rFonts w:hint="eastAsia" w:ascii="宋体" w:hAnsi="宋体"/>
              </w:rPr>
            </w:pPr>
            <w:r>
              <w:rPr>
                <w:rFonts w:hint="eastAsia" w:ascii="宋体" w:hAnsi="宋体"/>
              </w:rPr>
              <w:t>课程目标</w:t>
            </w:r>
            <w:r>
              <w:rPr>
                <w:rFonts w:ascii="宋体" w:hAnsi="宋体"/>
              </w:rPr>
              <w:t>4</w:t>
            </w:r>
          </w:p>
        </w:tc>
        <w:tc>
          <w:tcPr>
            <w:tcW w:w="1276" w:type="dxa"/>
            <w:noWrap w:val="0"/>
            <w:vAlign w:val="center"/>
          </w:tcPr>
          <w:p w14:paraId="5330A0B4">
            <w:pPr>
              <w:jc w:val="center"/>
              <w:rPr>
                <w:rFonts w:hint="eastAsia" w:ascii="宋体" w:hAnsi="宋体" w:cs="宋体"/>
                <w:kern w:val="0"/>
                <w:szCs w:val="21"/>
              </w:rPr>
            </w:pPr>
            <w:r>
              <w:rPr>
                <w:rFonts w:hint="eastAsia" w:ascii="宋体" w:hAnsi="宋体"/>
              </w:rPr>
              <w:t>综合实践</w:t>
            </w:r>
            <w:r>
              <w:rPr>
                <w:rFonts w:ascii="宋体" w:hAnsi="宋体"/>
              </w:rPr>
              <w:t>活动</w:t>
            </w:r>
            <w:r>
              <w:rPr>
                <w:rFonts w:hint="eastAsia" w:ascii="宋体" w:hAnsi="宋体"/>
              </w:rPr>
              <w:t>课程的理念</w:t>
            </w:r>
            <w:r>
              <w:rPr>
                <w:rFonts w:ascii="宋体" w:hAnsi="宋体"/>
              </w:rPr>
              <w:t>、目标</w:t>
            </w:r>
            <w:r>
              <w:rPr>
                <w:rFonts w:hint="eastAsia" w:ascii="宋体" w:hAnsi="宋体"/>
              </w:rPr>
              <w:t>、内容</w:t>
            </w:r>
            <w:r>
              <w:rPr>
                <w:rFonts w:ascii="宋体" w:hAnsi="宋体"/>
              </w:rPr>
              <w:t>及</w:t>
            </w:r>
            <w:r>
              <w:rPr>
                <w:rFonts w:hint="eastAsia" w:ascii="宋体" w:hAnsi="宋体"/>
              </w:rPr>
              <w:t>活动设计</w:t>
            </w:r>
          </w:p>
        </w:tc>
        <w:tc>
          <w:tcPr>
            <w:tcW w:w="1276" w:type="dxa"/>
            <w:noWrap w:val="0"/>
            <w:vAlign w:val="center"/>
          </w:tcPr>
          <w:p w14:paraId="7BA7E2F2">
            <w:pPr>
              <w:jc w:val="center"/>
              <w:rPr>
                <w:rFonts w:ascii="宋体" w:hAnsi="宋体"/>
                <w:szCs w:val="21"/>
              </w:rPr>
            </w:pPr>
            <w:r>
              <w:rPr>
                <w:rFonts w:ascii="宋体" w:hAnsi="宋体"/>
                <w:szCs w:val="21"/>
              </w:rPr>
              <w:t xml:space="preserve"> </w:t>
            </w:r>
            <w:r>
              <w:rPr>
                <w:rFonts w:hint="eastAsia" w:ascii="宋体" w:hAnsi="宋体"/>
                <w:szCs w:val="21"/>
              </w:rPr>
              <w:t>3</w:t>
            </w:r>
            <w:r>
              <w:rPr>
                <w:rFonts w:ascii="宋体" w:hAnsi="宋体"/>
                <w:szCs w:val="21"/>
              </w:rPr>
              <w:t>-4</w:t>
            </w:r>
            <w:r>
              <w:rPr>
                <w:rFonts w:hint="eastAsia" w:ascii="宋体" w:hAnsi="宋体"/>
                <w:szCs w:val="21"/>
              </w:rPr>
              <w:t>、4-</w:t>
            </w:r>
            <w:r>
              <w:rPr>
                <w:rFonts w:ascii="宋体" w:hAnsi="宋体"/>
                <w:szCs w:val="21"/>
              </w:rPr>
              <w:t>1</w:t>
            </w:r>
          </w:p>
          <w:p w14:paraId="6518A6C0">
            <w:pPr>
              <w:jc w:val="center"/>
              <w:rPr>
                <w:rFonts w:ascii="宋体" w:hAnsi="宋体"/>
              </w:rPr>
            </w:pPr>
            <w:r>
              <w:rPr>
                <w:rFonts w:ascii="宋体" w:hAnsi="宋体"/>
                <w:szCs w:val="21"/>
              </w:rPr>
              <w:t>4-2</w:t>
            </w:r>
          </w:p>
        </w:tc>
      </w:tr>
      <w:tr w14:paraId="61E0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005A27C0">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4A9C493E">
            <w:pPr>
              <w:pStyle w:val="40"/>
              <w:jc w:val="center"/>
              <w:rPr>
                <w:rFonts w:hint="eastAsia" w:eastAsia="宋体"/>
              </w:rPr>
            </w:pPr>
            <w:r>
              <w:rPr>
                <w:rFonts w:hint="eastAsia" w:eastAsia="宋体"/>
              </w:rPr>
              <w:t>方案（</w:t>
            </w:r>
            <w:r>
              <w:rPr>
                <w:rFonts w:eastAsia="宋体"/>
              </w:rPr>
              <w:t>报告）</w:t>
            </w:r>
            <w:r>
              <w:rPr>
                <w:rFonts w:hint="eastAsia" w:eastAsia="宋体"/>
              </w:rPr>
              <w:t>评价+现场</w:t>
            </w:r>
            <w:r>
              <w:rPr>
                <w:rFonts w:eastAsia="宋体"/>
              </w:rPr>
              <w:t>考核</w:t>
            </w:r>
          </w:p>
        </w:tc>
        <w:tc>
          <w:tcPr>
            <w:tcW w:w="709" w:type="dxa"/>
            <w:noWrap w:val="0"/>
            <w:vAlign w:val="center"/>
          </w:tcPr>
          <w:p w14:paraId="1ECD0AF7">
            <w:pPr>
              <w:pStyle w:val="40"/>
              <w:jc w:val="center"/>
              <w:rPr>
                <w:rFonts w:eastAsia="宋体"/>
              </w:rPr>
            </w:pPr>
            <w:r>
              <w:rPr>
                <w:rFonts w:hint="eastAsia" w:eastAsia="宋体"/>
              </w:rPr>
              <w:t>20</w:t>
            </w:r>
            <w:r>
              <w:rPr>
                <w:rFonts w:eastAsia="宋体"/>
              </w:rPr>
              <w:t>%</w:t>
            </w:r>
          </w:p>
        </w:tc>
        <w:tc>
          <w:tcPr>
            <w:tcW w:w="2693" w:type="dxa"/>
            <w:noWrap w:val="0"/>
            <w:vAlign w:val="center"/>
          </w:tcPr>
          <w:p w14:paraId="057A8966">
            <w:pPr>
              <w:pStyle w:val="40"/>
              <w:rPr>
                <w:rFonts w:eastAsia="宋体"/>
                <w:szCs w:val="21"/>
              </w:rPr>
            </w:pPr>
            <w:r>
              <w:rPr>
                <w:rFonts w:hint="eastAsia" w:eastAsia="宋体"/>
                <w:szCs w:val="21"/>
              </w:rPr>
              <w:t>认真完成4个项目的课内实践，提交相应的学习</w:t>
            </w:r>
            <w:r>
              <w:rPr>
                <w:rFonts w:eastAsia="宋体"/>
                <w:szCs w:val="21"/>
              </w:rPr>
              <w:t>心</w:t>
            </w:r>
            <w:r>
              <w:rPr>
                <w:rFonts w:hint="eastAsia" w:eastAsia="宋体"/>
                <w:szCs w:val="21"/>
              </w:rPr>
              <w:t>得</w:t>
            </w:r>
            <w:r>
              <w:rPr>
                <w:rFonts w:eastAsia="宋体"/>
                <w:szCs w:val="21"/>
              </w:rPr>
              <w:t>、</w:t>
            </w:r>
            <w:r>
              <w:rPr>
                <w:rFonts w:hint="eastAsia" w:eastAsia="宋体"/>
                <w:szCs w:val="21"/>
              </w:rPr>
              <w:t>设计</w:t>
            </w:r>
            <w:r>
              <w:rPr>
                <w:rFonts w:eastAsia="宋体"/>
                <w:szCs w:val="21"/>
              </w:rPr>
              <w:t>方案</w:t>
            </w:r>
            <w:r>
              <w:rPr>
                <w:rFonts w:hint="eastAsia" w:eastAsia="宋体"/>
                <w:szCs w:val="21"/>
              </w:rPr>
              <w:t>，并尝试</w:t>
            </w:r>
            <w:r>
              <w:rPr>
                <w:rFonts w:eastAsia="宋体"/>
                <w:szCs w:val="21"/>
              </w:rPr>
              <w:t>将活动方案付诸实施</w:t>
            </w:r>
            <w:r>
              <w:rPr>
                <w:rFonts w:hint="eastAsia" w:eastAsia="宋体"/>
                <w:szCs w:val="21"/>
              </w:rPr>
              <w:t>。4个项目成绩取平均分作为课内实践分。</w:t>
            </w:r>
          </w:p>
        </w:tc>
        <w:tc>
          <w:tcPr>
            <w:tcW w:w="1276" w:type="dxa"/>
            <w:noWrap w:val="0"/>
            <w:vAlign w:val="center"/>
          </w:tcPr>
          <w:p w14:paraId="7D676C19">
            <w:pPr>
              <w:jc w:val="center"/>
              <w:rPr>
                <w:rFonts w:ascii="宋体" w:hAnsi="宋体"/>
              </w:rPr>
            </w:pPr>
            <w:r>
              <w:rPr>
                <w:rFonts w:ascii="宋体" w:hAnsi="宋体"/>
              </w:rPr>
              <w:t>课程目标</w:t>
            </w:r>
            <w:r>
              <w:rPr>
                <w:rFonts w:hint="eastAsia" w:ascii="宋体" w:hAnsi="宋体"/>
              </w:rPr>
              <w:t>2</w:t>
            </w:r>
          </w:p>
          <w:p w14:paraId="4C457AF2">
            <w:pPr>
              <w:jc w:val="center"/>
              <w:rPr>
                <w:rFonts w:ascii="宋体" w:hAnsi="宋体"/>
              </w:rPr>
            </w:pPr>
            <w:r>
              <w:rPr>
                <w:rFonts w:hint="eastAsia" w:ascii="宋体" w:hAnsi="宋体"/>
              </w:rPr>
              <w:t>课程目标</w:t>
            </w:r>
            <w:r>
              <w:rPr>
                <w:rFonts w:ascii="宋体" w:hAnsi="宋体"/>
              </w:rPr>
              <w:t>3课程目标4</w:t>
            </w:r>
          </w:p>
          <w:p w14:paraId="1CD6F7B2">
            <w:pPr>
              <w:jc w:val="center"/>
              <w:rPr>
                <w:rFonts w:hint="eastAsia" w:ascii="宋体" w:hAnsi="宋体"/>
                <w:kern w:val="0"/>
                <w:sz w:val="24"/>
                <w:szCs w:val="22"/>
              </w:rPr>
            </w:pPr>
            <w:r>
              <w:rPr>
                <w:rFonts w:hint="eastAsia" w:ascii="宋体" w:hAnsi="宋体"/>
              </w:rPr>
              <w:t>课程</w:t>
            </w:r>
            <w:r>
              <w:rPr>
                <w:rFonts w:ascii="宋体" w:hAnsi="宋体"/>
              </w:rPr>
              <w:t>目标</w:t>
            </w:r>
            <w:r>
              <w:rPr>
                <w:rFonts w:hint="eastAsia" w:ascii="宋体" w:hAnsi="宋体"/>
              </w:rPr>
              <w:t>5</w:t>
            </w:r>
          </w:p>
        </w:tc>
        <w:tc>
          <w:tcPr>
            <w:tcW w:w="1276" w:type="dxa"/>
            <w:noWrap w:val="0"/>
            <w:vAlign w:val="center"/>
          </w:tcPr>
          <w:p w14:paraId="7D921AEA">
            <w:pPr>
              <w:jc w:val="center"/>
              <w:rPr>
                <w:rFonts w:hint="eastAsia" w:ascii="宋体" w:hAnsi="宋体"/>
                <w:kern w:val="0"/>
                <w:sz w:val="24"/>
                <w:szCs w:val="22"/>
              </w:rPr>
            </w:pPr>
            <w:r>
              <w:rPr>
                <w:rFonts w:hint="eastAsia" w:ascii="宋体" w:hAnsi="宋体"/>
              </w:rPr>
              <w:t>综合</w:t>
            </w:r>
            <w:r>
              <w:rPr>
                <w:rFonts w:ascii="宋体" w:hAnsi="宋体"/>
              </w:rPr>
              <w:t>实践活动课程的理念、</w:t>
            </w:r>
            <w:r>
              <w:rPr>
                <w:rFonts w:hint="eastAsia" w:ascii="宋体" w:hAnsi="宋体"/>
              </w:rPr>
              <w:t>综合实践活动</w:t>
            </w:r>
            <w:r>
              <w:rPr>
                <w:rFonts w:ascii="宋体" w:hAnsi="宋体"/>
              </w:rPr>
              <w:t>方案</w:t>
            </w:r>
            <w:r>
              <w:rPr>
                <w:rFonts w:hint="eastAsia" w:ascii="宋体" w:hAnsi="宋体"/>
              </w:rPr>
              <w:t>设计与</w:t>
            </w:r>
            <w:r>
              <w:rPr>
                <w:rFonts w:ascii="宋体" w:hAnsi="宋体"/>
              </w:rPr>
              <w:t>实施</w:t>
            </w:r>
          </w:p>
        </w:tc>
        <w:tc>
          <w:tcPr>
            <w:tcW w:w="1276" w:type="dxa"/>
            <w:noWrap w:val="0"/>
            <w:vAlign w:val="center"/>
          </w:tcPr>
          <w:p w14:paraId="4476E81C">
            <w:pPr>
              <w:jc w:val="center"/>
              <w:rPr>
                <w:rFonts w:ascii="宋体" w:hAnsi="宋体"/>
                <w:szCs w:val="21"/>
              </w:rPr>
            </w:pPr>
            <w:r>
              <w:rPr>
                <w:rFonts w:hint="eastAsia" w:ascii="宋体" w:hAnsi="宋体"/>
                <w:szCs w:val="21"/>
              </w:rPr>
              <w:t>4-1、4-2</w:t>
            </w:r>
          </w:p>
          <w:p w14:paraId="51608015">
            <w:pPr>
              <w:jc w:val="center"/>
              <w:rPr>
                <w:rFonts w:ascii="宋体" w:hAnsi="宋体"/>
                <w:kern w:val="0"/>
                <w:sz w:val="24"/>
                <w:szCs w:val="22"/>
              </w:rPr>
            </w:pPr>
            <w:r>
              <w:rPr>
                <w:rFonts w:hint="eastAsia" w:ascii="宋体" w:hAnsi="宋体"/>
                <w:szCs w:val="21"/>
              </w:rPr>
              <w:t>6-2、8</w:t>
            </w:r>
            <w:r>
              <w:rPr>
                <w:rFonts w:ascii="宋体" w:hAnsi="宋体"/>
                <w:szCs w:val="21"/>
              </w:rPr>
              <w:t>-1</w:t>
            </w:r>
          </w:p>
        </w:tc>
      </w:tr>
      <w:tr w14:paraId="0EDD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029C1A92">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5FED2C63">
            <w:pPr>
              <w:pStyle w:val="40"/>
              <w:jc w:val="center"/>
              <w:rPr>
                <w:rFonts w:eastAsia="宋体"/>
              </w:rPr>
            </w:pPr>
            <w:r>
              <w:rPr>
                <w:rFonts w:hint="eastAsia" w:eastAsia="宋体"/>
              </w:rPr>
              <w:t>开卷笔试</w:t>
            </w:r>
          </w:p>
        </w:tc>
        <w:tc>
          <w:tcPr>
            <w:tcW w:w="709" w:type="dxa"/>
            <w:noWrap w:val="0"/>
            <w:vAlign w:val="center"/>
          </w:tcPr>
          <w:p w14:paraId="3239F5EC">
            <w:pPr>
              <w:pStyle w:val="40"/>
              <w:jc w:val="center"/>
              <w:rPr>
                <w:rFonts w:eastAsia="宋体"/>
              </w:rPr>
            </w:pPr>
            <w:r>
              <w:rPr>
                <w:rFonts w:hint="eastAsia" w:eastAsia="宋体"/>
              </w:rPr>
              <w:t xml:space="preserve">60 </w:t>
            </w:r>
            <w:r>
              <w:rPr>
                <w:rFonts w:eastAsia="宋体"/>
              </w:rPr>
              <w:t>%</w:t>
            </w:r>
          </w:p>
        </w:tc>
        <w:tc>
          <w:tcPr>
            <w:tcW w:w="2693" w:type="dxa"/>
            <w:noWrap w:val="0"/>
            <w:vAlign w:val="center"/>
          </w:tcPr>
          <w:p w14:paraId="5799B9E8">
            <w:pPr>
              <w:pStyle w:val="40"/>
              <w:rPr>
                <w:rFonts w:eastAsia="宋体"/>
                <w:szCs w:val="21"/>
              </w:rPr>
            </w:pPr>
            <w:r>
              <w:rPr>
                <w:rFonts w:hint="eastAsia" w:eastAsia="宋体"/>
                <w:szCs w:val="21"/>
              </w:rPr>
              <w:t>试卷题型包括简答题、分析题、设计题等题型，一方面考核师范生对综合</w:t>
            </w:r>
            <w:r>
              <w:rPr>
                <w:rFonts w:eastAsia="宋体"/>
                <w:szCs w:val="21"/>
              </w:rPr>
              <w:t>实践活动</w:t>
            </w:r>
            <w:r>
              <w:rPr>
                <w:rFonts w:hint="eastAsia" w:eastAsia="宋体"/>
                <w:szCs w:val="21"/>
              </w:rPr>
              <w:t>理论知识的掌握情况，另一方面考核师范生运用所学理论解决问题的能力。</w:t>
            </w:r>
          </w:p>
        </w:tc>
        <w:tc>
          <w:tcPr>
            <w:tcW w:w="1276" w:type="dxa"/>
            <w:noWrap w:val="0"/>
            <w:vAlign w:val="center"/>
          </w:tcPr>
          <w:p w14:paraId="3FC1635A">
            <w:pPr>
              <w:jc w:val="center"/>
              <w:rPr>
                <w:rFonts w:ascii="宋体" w:hAnsi="宋体"/>
              </w:rPr>
            </w:pPr>
            <w:r>
              <w:rPr>
                <w:rFonts w:ascii="宋体" w:hAnsi="宋体"/>
              </w:rPr>
              <w:t>课程目标</w:t>
            </w:r>
            <w:r>
              <w:rPr>
                <w:rFonts w:hint="eastAsia" w:ascii="宋体" w:hAnsi="宋体"/>
              </w:rPr>
              <w:t>1</w:t>
            </w:r>
          </w:p>
          <w:p w14:paraId="57D500E0">
            <w:pPr>
              <w:jc w:val="center"/>
              <w:rPr>
                <w:rFonts w:ascii="宋体" w:hAnsi="宋体"/>
              </w:rPr>
            </w:pPr>
            <w:r>
              <w:rPr>
                <w:rFonts w:hint="eastAsia" w:ascii="宋体" w:hAnsi="宋体"/>
              </w:rPr>
              <w:t>课程目标</w:t>
            </w:r>
            <w:r>
              <w:rPr>
                <w:rFonts w:ascii="宋体" w:hAnsi="宋体"/>
              </w:rPr>
              <w:t>2课程目标3</w:t>
            </w:r>
          </w:p>
          <w:p w14:paraId="460DE568">
            <w:pPr>
              <w:jc w:val="center"/>
              <w:rPr>
                <w:rFonts w:ascii="宋体" w:hAnsi="宋体"/>
              </w:rPr>
            </w:pPr>
            <w:r>
              <w:rPr>
                <w:rFonts w:hint="eastAsia" w:ascii="宋体" w:hAnsi="宋体"/>
              </w:rPr>
              <w:t>课程目标</w:t>
            </w:r>
            <w:r>
              <w:rPr>
                <w:rFonts w:ascii="宋体" w:hAnsi="宋体"/>
              </w:rPr>
              <w:t>4</w:t>
            </w:r>
          </w:p>
          <w:p w14:paraId="1F414E9F">
            <w:pPr>
              <w:jc w:val="center"/>
              <w:rPr>
                <w:rFonts w:hint="eastAsia" w:ascii="宋体" w:hAnsi="宋体"/>
                <w:szCs w:val="21"/>
              </w:rPr>
            </w:pPr>
            <w:r>
              <w:rPr>
                <w:rFonts w:hint="eastAsia" w:ascii="宋体" w:hAnsi="宋体"/>
                <w:szCs w:val="21"/>
              </w:rPr>
              <w:t>课程目标</w:t>
            </w:r>
            <w:r>
              <w:rPr>
                <w:rFonts w:ascii="宋体" w:hAnsi="宋体"/>
                <w:szCs w:val="21"/>
              </w:rPr>
              <w:t>5</w:t>
            </w:r>
          </w:p>
        </w:tc>
        <w:tc>
          <w:tcPr>
            <w:tcW w:w="1276" w:type="dxa"/>
            <w:noWrap w:val="0"/>
            <w:vAlign w:val="center"/>
          </w:tcPr>
          <w:p w14:paraId="42970B4A">
            <w:pPr>
              <w:jc w:val="center"/>
              <w:rPr>
                <w:rFonts w:hint="eastAsia" w:ascii="宋体" w:hAnsi="宋体"/>
                <w:szCs w:val="21"/>
              </w:rPr>
            </w:pPr>
            <w:r>
              <w:rPr>
                <w:rFonts w:hint="eastAsia" w:ascii="宋体" w:hAnsi="宋体" w:cs="宋体"/>
                <w:kern w:val="0"/>
                <w:szCs w:val="21"/>
              </w:rPr>
              <w:t>综合实践</w:t>
            </w:r>
            <w:r>
              <w:rPr>
                <w:rFonts w:ascii="宋体" w:hAnsi="宋体" w:cs="宋体"/>
                <w:kern w:val="0"/>
                <w:szCs w:val="21"/>
              </w:rPr>
              <w:t>活动课程的基本</w:t>
            </w:r>
            <w:r>
              <w:rPr>
                <w:rFonts w:hint="eastAsia" w:ascii="宋体" w:hAnsi="宋体" w:cs="宋体"/>
                <w:kern w:val="0"/>
                <w:szCs w:val="21"/>
              </w:rPr>
              <w:t>理论、</w:t>
            </w:r>
            <w:r>
              <w:rPr>
                <w:rFonts w:ascii="宋体" w:hAnsi="宋体" w:cs="宋体"/>
                <w:kern w:val="0"/>
                <w:szCs w:val="21"/>
              </w:rPr>
              <w:t>活动方案评价、优化</w:t>
            </w:r>
          </w:p>
        </w:tc>
        <w:tc>
          <w:tcPr>
            <w:tcW w:w="1276" w:type="dxa"/>
            <w:noWrap w:val="0"/>
            <w:vAlign w:val="center"/>
          </w:tcPr>
          <w:p w14:paraId="30F638FD">
            <w:pPr>
              <w:rPr>
                <w:rFonts w:ascii="宋体" w:hAnsi="宋体"/>
                <w:szCs w:val="21"/>
              </w:rPr>
            </w:pPr>
            <w:r>
              <w:rPr>
                <w:rFonts w:ascii="宋体" w:hAnsi="宋体"/>
                <w:szCs w:val="21"/>
              </w:rPr>
              <w:t>3-4</w:t>
            </w:r>
            <w:r>
              <w:rPr>
                <w:rFonts w:hint="eastAsia" w:ascii="宋体" w:hAnsi="宋体"/>
                <w:szCs w:val="21"/>
              </w:rPr>
              <w:t>、4-1、4-2、6-2</w:t>
            </w:r>
          </w:p>
        </w:tc>
      </w:tr>
    </w:tbl>
    <w:p w14:paraId="5A5205B1">
      <w:pPr>
        <w:spacing w:line="360" w:lineRule="auto"/>
        <w:rPr>
          <w:rFonts w:hint="eastAsia" w:ascii="宋体" w:hAnsi="宋体"/>
          <w:sz w:val="24"/>
          <w:szCs w:val="22"/>
        </w:rPr>
      </w:pPr>
      <w:r>
        <w:rPr>
          <w:rFonts w:hint="eastAsia" w:ascii="宋体" w:hAnsi="宋体"/>
          <w:sz w:val="24"/>
          <w:szCs w:val="22"/>
        </w:rPr>
        <w:t xml:space="preserve">   </w:t>
      </w: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Layout w:type="autofit"/>
        <w:tblCellMar>
          <w:top w:w="0" w:type="dxa"/>
          <w:left w:w="108" w:type="dxa"/>
          <w:bottom w:w="0" w:type="dxa"/>
          <w:right w:w="108" w:type="dxa"/>
        </w:tblCellMar>
      </w:tblPr>
      <w:tblGrid>
        <w:gridCol w:w="2048"/>
        <w:gridCol w:w="1816"/>
        <w:gridCol w:w="2196"/>
        <w:gridCol w:w="1843"/>
        <w:gridCol w:w="1134"/>
      </w:tblGrid>
      <w:tr w14:paraId="638654C7">
        <w:trPr>
          <w:trHeight w:val="413" w:hRule="atLeast"/>
        </w:trPr>
        <w:tc>
          <w:tcPr>
            <w:tcW w:w="38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3F4B49E">
            <w:pPr>
              <w:widowControl/>
              <w:jc w:val="center"/>
              <w:rPr>
                <w:rFonts w:ascii="宋体" w:hAnsi="宋体"/>
                <w:kern w:val="0"/>
                <w:szCs w:val="21"/>
              </w:rPr>
            </w:pPr>
            <w:r>
              <w:rPr>
                <w:rFonts w:hint="eastAsia" w:ascii="宋体" w:hAnsi="宋体"/>
                <w:kern w:val="0"/>
                <w:szCs w:val="21"/>
              </w:rPr>
              <w:t>课程目标及权重</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2EC1AB3">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750330E4">
        <w:tblPrEx>
          <w:tblCellMar>
            <w:top w:w="0" w:type="dxa"/>
            <w:left w:w="108" w:type="dxa"/>
            <w:bottom w:w="0" w:type="dxa"/>
            <w:right w:w="108" w:type="dxa"/>
          </w:tblCellMar>
        </w:tblPrEx>
        <w:trPr>
          <w:trHeight w:val="636" w:hRule="atLeast"/>
        </w:trPr>
        <w:tc>
          <w:tcPr>
            <w:tcW w:w="2048" w:type="dxa"/>
            <w:tcBorders>
              <w:top w:val="nil"/>
              <w:left w:val="single" w:color="auto" w:sz="8" w:space="0"/>
              <w:bottom w:val="single" w:color="auto" w:sz="8" w:space="0"/>
              <w:right w:val="single" w:color="auto" w:sz="4" w:space="0"/>
            </w:tcBorders>
            <w:shd w:val="clear" w:color="auto" w:fill="auto"/>
            <w:noWrap w:val="0"/>
            <w:vAlign w:val="center"/>
          </w:tcPr>
          <w:p w14:paraId="3AEDF715">
            <w:pPr>
              <w:widowControl/>
              <w:jc w:val="center"/>
              <w:rPr>
                <w:rFonts w:hint="eastAsia" w:ascii="宋体" w:hAnsi="宋体"/>
                <w:kern w:val="0"/>
                <w:szCs w:val="21"/>
              </w:rPr>
            </w:pPr>
            <w:r>
              <w:rPr>
                <w:rFonts w:hint="eastAsia" w:ascii="宋体" w:hAnsi="宋体"/>
                <w:kern w:val="0"/>
                <w:szCs w:val="21"/>
              </w:rPr>
              <w:t>项目</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A5FD2B">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C182BC">
            <w:pPr>
              <w:widowControl/>
              <w:jc w:val="center"/>
              <w:rPr>
                <w:rFonts w:hint="eastAsia" w:ascii="宋体" w:hAnsi="宋体"/>
                <w:kern w:val="0"/>
                <w:szCs w:val="21"/>
              </w:rPr>
            </w:pPr>
            <w:r>
              <w:rPr>
                <w:rFonts w:hint="eastAsia" w:ascii="宋体" w:hAnsi="宋体"/>
                <w:kern w:val="0"/>
                <w:szCs w:val="21"/>
              </w:rPr>
              <w:t>评价依据</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C6F4C2">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tcBorders>
              <w:top w:val="single" w:color="auto" w:sz="4" w:space="0"/>
              <w:left w:val="single" w:color="auto" w:sz="4" w:space="0"/>
              <w:bottom w:val="single" w:color="auto" w:sz="4" w:space="0"/>
              <w:right w:val="single" w:color="auto" w:sz="4" w:space="0"/>
            </w:tcBorders>
            <w:noWrap w:val="0"/>
            <w:vAlign w:val="top"/>
          </w:tcPr>
          <w:p w14:paraId="6979150C">
            <w:pPr>
              <w:widowControl/>
              <w:rPr>
                <w:rFonts w:hint="eastAsia" w:ascii="宋体" w:hAnsi="宋体"/>
                <w:kern w:val="0"/>
                <w:szCs w:val="21"/>
              </w:rPr>
            </w:pPr>
            <w:r>
              <w:rPr>
                <w:rFonts w:hint="eastAsia" w:ascii="宋体" w:hAnsi="宋体"/>
                <w:kern w:val="0"/>
                <w:szCs w:val="21"/>
              </w:rPr>
              <w:t>考核方式权重合计</w:t>
            </w:r>
          </w:p>
        </w:tc>
      </w:tr>
      <w:tr w14:paraId="25164379">
        <w:tblPrEx>
          <w:tblCellMar>
            <w:top w:w="0" w:type="dxa"/>
            <w:left w:w="108" w:type="dxa"/>
            <w:bottom w:w="0" w:type="dxa"/>
            <w:right w:w="108" w:type="dxa"/>
          </w:tblCellMar>
        </w:tblPrEx>
        <w:trPr>
          <w:trHeight w:val="384" w:hRule="atLeast"/>
        </w:trPr>
        <w:tc>
          <w:tcPr>
            <w:tcW w:w="2048" w:type="dxa"/>
            <w:vMerge w:val="restart"/>
            <w:tcBorders>
              <w:top w:val="nil"/>
              <w:left w:val="single" w:color="auto" w:sz="8" w:space="0"/>
              <w:bottom w:val="single" w:color="000000" w:sz="8" w:space="0"/>
              <w:right w:val="single" w:color="auto" w:sz="4" w:space="0"/>
            </w:tcBorders>
            <w:shd w:val="clear" w:color="auto" w:fill="auto"/>
            <w:noWrap w:val="0"/>
            <w:vAlign w:val="center"/>
          </w:tcPr>
          <w:p w14:paraId="03853B21">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72D11D6">
            <w:pPr>
              <w:widowControl/>
              <w:jc w:val="center"/>
              <w:rPr>
                <w:rFonts w:hint="eastAsia" w:ascii="宋体" w:hAnsi="宋体"/>
                <w:kern w:val="0"/>
                <w:szCs w:val="21"/>
              </w:rPr>
            </w:pPr>
            <w:r>
              <w:rPr>
                <w:rFonts w:ascii="宋体" w:hAnsi="宋体"/>
                <w:kern w:val="0"/>
                <w:szCs w:val="21"/>
              </w:rPr>
              <w:t>10</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5B3792">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0657B8">
            <w:pPr>
              <w:widowControl/>
              <w:jc w:val="center"/>
              <w:rPr>
                <w:rFonts w:hint="eastAsia" w:ascii="宋体" w:hAnsi="宋体"/>
                <w:kern w:val="0"/>
                <w:szCs w:val="21"/>
              </w:rPr>
            </w:pPr>
            <w:r>
              <w:rPr>
                <w:rFonts w:hint="eastAsia" w:ascii="宋体" w:hAnsi="宋体"/>
                <w:kern w:val="0"/>
                <w:szCs w:val="21"/>
              </w:rPr>
              <w:t>70%</w:t>
            </w:r>
            <w:r>
              <w:rPr>
                <w:rFonts w:ascii="宋体" w:hAnsi="宋体"/>
                <w:kern w:val="0"/>
                <w:szCs w:val="21"/>
              </w:rPr>
              <w:t xml:space="preserve"> </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4711EEB5">
            <w:pPr>
              <w:widowControl/>
              <w:jc w:val="center"/>
              <w:rPr>
                <w:rFonts w:hint="eastAsia" w:ascii="宋体" w:hAnsi="宋体"/>
                <w:kern w:val="0"/>
                <w:szCs w:val="21"/>
              </w:rPr>
            </w:pPr>
            <w:r>
              <w:rPr>
                <w:rFonts w:hint="eastAsia" w:ascii="宋体" w:hAnsi="宋体"/>
                <w:kern w:val="0"/>
                <w:szCs w:val="21"/>
              </w:rPr>
              <w:t>100%</w:t>
            </w:r>
          </w:p>
        </w:tc>
      </w:tr>
      <w:tr w14:paraId="45F23BB2">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4" w:space="0"/>
            </w:tcBorders>
            <w:shd w:val="clear" w:color="auto" w:fill="auto"/>
            <w:noWrap w:val="0"/>
            <w:vAlign w:val="center"/>
          </w:tcPr>
          <w:p w14:paraId="67491ADC">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6B642F1">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FF6F74">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967351">
            <w:pPr>
              <w:widowControl/>
              <w:jc w:val="center"/>
              <w:rPr>
                <w:rFonts w:hint="eastAsia" w:ascii="宋体" w:hAnsi="宋体"/>
                <w:kern w:val="0"/>
                <w:szCs w:val="21"/>
              </w:rPr>
            </w:pPr>
            <w:r>
              <w:rPr>
                <w:rFonts w:hint="eastAsia" w:ascii="宋体" w:hAnsi="宋体"/>
                <w:kern w:val="0"/>
                <w:szCs w:val="21"/>
              </w:rPr>
              <w:t>30%</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05795EDE">
            <w:pPr>
              <w:widowControl/>
              <w:jc w:val="center"/>
              <w:rPr>
                <w:rFonts w:hint="eastAsia" w:ascii="宋体" w:hAnsi="宋体"/>
                <w:kern w:val="0"/>
                <w:szCs w:val="21"/>
              </w:rPr>
            </w:pPr>
          </w:p>
        </w:tc>
      </w:tr>
      <w:tr w14:paraId="7184E8B4">
        <w:tblPrEx>
          <w:tblCellMar>
            <w:top w:w="0" w:type="dxa"/>
            <w:left w:w="108" w:type="dxa"/>
            <w:bottom w:w="0" w:type="dxa"/>
            <w:right w:w="108" w:type="dxa"/>
          </w:tblCellMar>
        </w:tblPrEx>
        <w:trPr>
          <w:trHeight w:val="340" w:hRule="atLeast"/>
        </w:trPr>
        <w:tc>
          <w:tcPr>
            <w:tcW w:w="2048" w:type="dxa"/>
            <w:vMerge w:val="restart"/>
            <w:tcBorders>
              <w:top w:val="nil"/>
              <w:left w:val="single" w:color="auto" w:sz="8" w:space="0"/>
              <w:bottom w:val="single" w:color="000000" w:sz="8" w:space="0"/>
              <w:right w:val="single" w:color="auto" w:sz="4" w:space="0"/>
            </w:tcBorders>
            <w:shd w:val="clear" w:color="auto" w:fill="auto"/>
            <w:noWrap w:val="0"/>
            <w:vAlign w:val="center"/>
          </w:tcPr>
          <w:p w14:paraId="38F41DED">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A7B0FAE">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02A537">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DD211D">
            <w:pPr>
              <w:widowControl/>
              <w:jc w:val="center"/>
              <w:rPr>
                <w:rFonts w:hint="eastAsia" w:ascii="宋体" w:hAnsi="宋体"/>
                <w:kern w:val="0"/>
                <w:szCs w:val="21"/>
              </w:rPr>
            </w:pPr>
            <w:r>
              <w:rPr>
                <w:rFonts w:ascii="宋体" w:hAnsi="宋体"/>
                <w:kern w:val="0"/>
                <w:szCs w:val="21"/>
              </w:rPr>
              <w:t>5</w:t>
            </w:r>
            <w:r>
              <w:rPr>
                <w:rFonts w:hint="eastAsia" w:ascii="宋体" w:hAnsi="宋体"/>
                <w:kern w:val="0"/>
                <w:szCs w:val="21"/>
              </w:rPr>
              <w:t>0%</w:t>
            </w:r>
            <w:r>
              <w:rPr>
                <w:rFonts w:ascii="宋体" w:hAnsi="宋体"/>
                <w:kern w:val="0"/>
                <w:szCs w:val="21"/>
              </w:rPr>
              <w:t xml:space="preserve"> </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193DE668">
            <w:pPr>
              <w:widowControl/>
              <w:jc w:val="center"/>
              <w:rPr>
                <w:rFonts w:hint="eastAsia" w:ascii="宋体" w:hAnsi="宋体"/>
                <w:kern w:val="0"/>
                <w:szCs w:val="21"/>
              </w:rPr>
            </w:pPr>
            <w:r>
              <w:rPr>
                <w:rFonts w:hint="eastAsia" w:ascii="宋体" w:hAnsi="宋体"/>
                <w:kern w:val="0"/>
                <w:szCs w:val="21"/>
              </w:rPr>
              <w:t>100%</w:t>
            </w:r>
          </w:p>
        </w:tc>
      </w:tr>
      <w:tr w14:paraId="4DEF602E">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4" w:space="0"/>
            </w:tcBorders>
            <w:shd w:val="clear" w:color="auto" w:fill="auto"/>
            <w:noWrap w:val="0"/>
            <w:vAlign w:val="center"/>
          </w:tcPr>
          <w:p w14:paraId="7E28B62E">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CA11913">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C7BA82">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14FE2E">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6D7F12ED">
            <w:pPr>
              <w:widowControl/>
              <w:jc w:val="center"/>
              <w:rPr>
                <w:rFonts w:hint="eastAsia" w:ascii="宋体" w:hAnsi="宋体"/>
                <w:kern w:val="0"/>
                <w:szCs w:val="21"/>
              </w:rPr>
            </w:pPr>
          </w:p>
        </w:tc>
      </w:tr>
      <w:tr w14:paraId="4BA4E337">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auto" w:sz="4" w:space="0"/>
              <w:right w:val="single" w:color="auto" w:sz="4" w:space="0"/>
            </w:tcBorders>
            <w:shd w:val="clear" w:color="auto" w:fill="auto"/>
            <w:noWrap w:val="0"/>
            <w:vAlign w:val="center"/>
          </w:tcPr>
          <w:p w14:paraId="78433225">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CA5227D">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D55773">
            <w:pPr>
              <w:widowControl/>
              <w:jc w:val="center"/>
              <w:rPr>
                <w:rFonts w:hint="eastAsia" w:ascii="宋体" w:hAnsi="宋体"/>
                <w:kern w:val="0"/>
                <w:szCs w:val="21"/>
              </w:rPr>
            </w:pPr>
            <w:r>
              <w:rPr>
                <w:rFonts w:hint="eastAsia" w:ascii="宋体" w:hAnsi="宋体"/>
                <w:kern w:val="0"/>
                <w:szCs w:val="21"/>
              </w:rPr>
              <w:t>课内</w:t>
            </w:r>
            <w:r>
              <w:rPr>
                <w:rFonts w:ascii="宋体" w:hAnsi="宋体"/>
                <w:kern w:val="0"/>
                <w:szCs w:val="21"/>
              </w:rPr>
              <w:t>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0E12C4">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00EC8C5A">
            <w:pPr>
              <w:widowControl/>
              <w:jc w:val="center"/>
              <w:rPr>
                <w:rFonts w:hint="eastAsia" w:ascii="宋体" w:hAnsi="宋体"/>
                <w:kern w:val="0"/>
                <w:szCs w:val="21"/>
              </w:rPr>
            </w:pPr>
          </w:p>
        </w:tc>
      </w:tr>
      <w:tr w14:paraId="2C0AF932">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54DF927">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450D56C">
            <w:pPr>
              <w:widowControl/>
              <w:jc w:val="center"/>
              <w:rPr>
                <w:rFonts w:hint="eastAsia" w:ascii="宋体" w:hAnsi="宋体"/>
                <w:kern w:val="0"/>
                <w:szCs w:val="21"/>
              </w:rPr>
            </w:pPr>
            <w:r>
              <w:rPr>
                <w:rFonts w:ascii="宋体" w:hAnsi="宋体"/>
                <w:kern w:val="0"/>
                <w:szCs w:val="21"/>
              </w:rPr>
              <w:t>30</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FF7BE9">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8A22E7">
            <w:pPr>
              <w:widowControl/>
              <w:jc w:val="center"/>
              <w:rPr>
                <w:rFonts w:hint="eastAsia" w:ascii="宋体" w:hAnsi="宋体"/>
                <w:kern w:val="0"/>
                <w:szCs w:val="21"/>
              </w:rPr>
            </w:pPr>
            <w:r>
              <w:rPr>
                <w:rFonts w:hint="eastAsia" w:ascii="宋体" w:hAnsi="宋体"/>
                <w:kern w:val="0"/>
                <w:szCs w:val="21"/>
              </w:rPr>
              <w:t>50%</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16F09D1">
            <w:pPr>
              <w:widowControl/>
              <w:jc w:val="center"/>
              <w:rPr>
                <w:rFonts w:hint="eastAsia" w:ascii="宋体" w:hAnsi="宋体"/>
                <w:kern w:val="0"/>
                <w:szCs w:val="21"/>
              </w:rPr>
            </w:pPr>
            <w:r>
              <w:rPr>
                <w:rFonts w:hint="eastAsia" w:ascii="宋体" w:hAnsi="宋体"/>
                <w:kern w:val="0"/>
                <w:szCs w:val="21"/>
              </w:rPr>
              <w:t>100%</w:t>
            </w:r>
          </w:p>
        </w:tc>
      </w:tr>
      <w:tr w14:paraId="1E409A0F">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632BBE0">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93758EB">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758FA">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2</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5D8A05">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4BEF3CD9">
            <w:pPr>
              <w:widowControl/>
              <w:jc w:val="center"/>
              <w:rPr>
                <w:rFonts w:hint="eastAsia" w:ascii="宋体" w:hAnsi="宋体"/>
                <w:kern w:val="0"/>
                <w:szCs w:val="21"/>
              </w:rPr>
            </w:pPr>
          </w:p>
        </w:tc>
      </w:tr>
      <w:tr w14:paraId="67FA4EBE">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BCB1613">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171C4B9">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40C31A">
            <w:pPr>
              <w:widowControl/>
              <w:jc w:val="center"/>
              <w:rPr>
                <w:rFonts w:hint="eastAsia" w:ascii="宋体" w:hAnsi="宋体"/>
                <w:kern w:val="0"/>
                <w:szCs w:val="21"/>
              </w:rPr>
            </w:pPr>
            <w:r>
              <w:rPr>
                <w:rFonts w:hint="eastAsia" w:ascii="宋体" w:hAnsi="宋体"/>
                <w:kern w:val="0"/>
                <w:szCs w:val="21"/>
              </w:rPr>
              <w:t>课</w:t>
            </w:r>
            <w:r>
              <w:rPr>
                <w:rFonts w:ascii="宋体" w:hAnsi="宋体"/>
                <w:kern w:val="0"/>
                <w:szCs w:val="21"/>
              </w:rPr>
              <w:t>内实践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A9D206">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2798CBAC">
            <w:pPr>
              <w:widowControl/>
              <w:jc w:val="center"/>
              <w:rPr>
                <w:rFonts w:hint="eastAsia" w:ascii="宋体" w:hAnsi="宋体"/>
                <w:kern w:val="0"/>
                <w:szCs w:val="21"/>
              </w:rPr>
            </w:pPr>
          </w:p>
        </w:tc>
      </w:tr>
      <w:tr w14:paraId="6CD11677">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8" w:space="0"/>
              <w:bottom w:val="single" w:color="000000" w:sz="8" w:space="0"/>
              <w:right w:val="single" w:color="auto" w:sz="4" w:space="0"/>
            </w:tcBorders>
            <w:shd w:val="clear" w:color="auto" w:fill="auto"/>
            <w:noWrap w:val="0"/>
            <w:vAlign w:val="center"/>
          </w:tcPr>
          <w:p w14:paraId="4DC0A793">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83E2682">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CB6C6E">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417CCD">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1EDCDAE9">
            <w:pPr>
              <w:widowControl/>
              <w:jc w:val="center"/>
              <w:rPr>
                <w:rFonts w:hint="eastAsia" w:ascii="宋体" w:hAnsi="宋体"/>
                <w:kern w:val="0"/>
                <w:szCs w:val="21"/>
              </w:rPr>
            </w:pPr>
            <w:r>
              <w:rPr>
                <w:rFonts w:hint="eastAsia" w:ascii="宋体" w:hAnsi="宋体"/>
                <w:kern w:val="0"/>
                <w:szCs w:val="21"/>
              </w:rPr>
              <w:t>100%</w:t>
            </w:r>
          </w:p>
        </w:tc>
      </w:tr>
      <w:tr w14:paraId="3B5A0751">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000000" w:sz="8" w:space="0"/>
              <w:right w:val="single" w:color="auto" w:sz="4" w:space="0"/>
            </w:tcBorders>
            <w:shd w:val="clear" w:color="auto" w:fill="auto"/>
            <w:noWrap w:val="0"/>
            <w:vAlign w:val="center"/>
          </w:tcPr>
          <w:p w14:paraId="0CE8D66E">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02B62BE">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5AEF7F">
            <w:pPr>
              <w:widowControl/>
              <w:jc w:val="center"/>
              <w:rPr>
                <w:rFonts w:ascii="宋体" w:hAnsi="宋体"/>
                <w:kern w:val="0"/>
                <w:szCs w:val="21"/>
              </w:rPr>
            </w:pPr>
            <w:r>
              <w:rPr>
                <w:rFonts w:hint="eastAsia" w:ascii="宋体" w:hAnsi="宋体"/>
                <w:kern w:val="0"/>
                <w:szCs w:val="21"/>
              </w:rPr>
              <w:t>作业3</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7745BA">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continue"/>
            <w:tcBorders>
              <w:top w:val="single" w:color="auto" w:sz="4" w:space="0"/>
              <w:left w:val="single" w:color="auto" w:sz="4" w:space="0"/>
              <w:bottom w:val="single" w:color="auto" w:sz="4" w:space="0"/>
              <w:right w:val="single" w:color="auto" w:sz="4" w:space="0"/>
            </w:tcBorders>
            <w:noWrap w:val="0"/>
            <w:vAlign w:val="top"/>
          </w:tcPr>
          <w:p w14:paraId="3337943F">
            <w:pPr>
              <w:widowControl/>
              <w:jc w:val="center"/>
              <w:rPr>
                <w:rFonts w:hint="eastAsia" w:ascii="宋体" w:hAnsi="宋体"/>
                <w:kern w:val="0"/>
                <w:szCs w:val="21"/>
              </w:rPr>
            </w:pPr>
          </w:p>
        </w:tc>
      </w:tr>
      <w:tr w14:paraId="285E4787">
        <w:tblPrEx>
          <w:tblCellMar>
            <w:top w:w="0" w:type="dxa"/>
            <w:left w:w="108" w:type="dxa"/>
            <w:bottom w:w="0" w:type="dxa"/>
            <w:right w:w="108" w:type="dxa"/>
          </w:tblCellMar>
        </w:tblPrEx>
        <w:trPr>
          <w:trHeight w:val="340" w:hRule="atLeast"/>
        </w:trPr>
        <w:tc>
          <w:tcPr>
            <w:tcW w:w="2048" w:type="dxa"/>
            <w:vMerge w:val="continue"/>
            <w:tcBorders>
              <w:top w:val="nil"/>
              <w:left w:val="single" w:color="auto" w:sz="8" w:space="0"/>
              <w:bottom w:val="single" w:color="auto" w:sz="4" w:space="0"/>
              <w:right w:val="single" w:color="auto" w:sz="4" w:space="0"/>
            </w:tcBorders>
            <w:shd w:val="clear" w:color="auto" w:fill="auto"/>
            <w:noWrap w:val="0"/>
            <w:vAlign w:val="center"/>
          </w:tcPr>
          <w:p w14:paraId="5067B953">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9680BC1">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9C482">
            <w:pPr>
              <w:widowControl/>
              <w:jc w:val="center"/>
              <w:rPr>
                <w:rFonts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F2BC9F">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r>
              <w:rPr>
                <w:rFonts w:ascii="宋体" w:hAnsi="宋体"/>
                <w:kern w:val="0"/>
                <w:szCs w:val="21"/>
              </w:rPr>
              <w:t xml:space="preserve"> </w:t>
            </w:r>
          </w:p>
        </w:tc>
        <w:tc>
          <w:tcPr>
            <w:tcW w:w="1134" w:type="dxa"/>
            <w:vMerge w:val="continue"/>
            <w:tcBorders>
              <w:top w:val="single" w:color="auto" w:sz="4" w:space="0"/>
              <w:left w:val="single" w:color="auto" w:sz="4" w:space="0"/>
              <w:bottom w:val="single" w:color="auto" w:sz="4" w:space="0"/>
              <w:right w:val="single" w:color="auto" w:sz="4" w:space="0"/>
            </w:tcBorders>
            <w:noWrap w:val="0"/>
            <w:vAlign w:val="top"/>
          </w:tcPr>
          <w:p w14:paraId="79904F45">
            <w:pPr>
              <w:widowControl/>
              <w:jc w:val="center"/>
              <w:rPr>
                <w:rFonts w:hint="eastAsia" w:ascii="宋体" w:hAnsi="宋体"/>
                <w:kern w:val="0"/>
                <w:szCs w:val="21"/>
              </w:rPr>
            </w:pPr>
          </w:p>
        </w:tc>
      </w:tr>
      <w:tr w14:paraId="5CD43326">
        <w:tblPrEx>
          <w:tblCellMar>
            <w:top w:w="0" w:type="dxa"/>
            <w:left w:w="108" w:type="dxa"/>
            <w:bottom w:w="0" w:type="dxa"/>
            <w:right w:w="108" w:type="dxa"/>
          </w:tblCellMar>
        </w:tblPrEx>
        <w:trPr>
          <w:trHeight w:val="340" w:hRule="atLeast"/>
        </w:trPr>
        <w:tc>
          <w:tcPr>
            <w:tcW w:w="2048" w:type="dxa"/>
            <w:vMerge w:val="restart"/>
            <w:tcBorders>
              <w:top w:val="nil"/>
              <w:left w:val="single" w:color="auto" w:sz="8" w:space="0"/>
              <w:right w:val="single" w:color="auto" w:sz="4" w:space="0"/>
            </w:tcBorders>
            <w:shd w:val="clear" w:color="auto" w:fill="auto"/>
            <w:noWrap w:val="0"/>
            <w:vAlign w:val="center"/>
          </w:tcPr>
          <w:p w14:paraId="062B3950">
            <w:pPr>
              <w:widowControl/>
              <w:jc w:val="center"/>
              <w:rPr>
                <w:rFonts w:hint="eastAsia" w:ascii="宋体" w:hAnsi="宋体"/>
                <w:kern w:val="0"/>
                <w:szCs w:val="21"/>
              </w:rPr>
            </w:pPr>
            <w:r>
              <w:rPr>
                <w:rFonts w:hint="eastAsia" w:ascii="宋体" w:hAnsi="宋体"/>
                <w:kern w:val="0"/>
                <w:szCs w:val="21"/>
              </w:rPr>
              <w:t>课程目标5</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260E09BB">
            <w:pPr>
              <w:widowControl/>
              <w:jc w:val="center"/>
              <w:rPr>
                <w:rFonts w:ascii="宋体" w:hAnsi="宋体"/>
                <w:kern w:val="0"/>
                <w:szCs w:val="21"/>
              </w:rPr>
            </w:pPr>
            <w:r>
              <w:rPr>
                <w:rFonts w:ascii="宋体" w:hAnsi="宋体"/>
                <w:kern w:val="0"/>
                <w:szCs w:val="21"/>
              </w:rPr>
              <w:t>1</w:t>
            </w:r>
            <w:r>
              <w:rPr>
                <w:rFonts w:hint="eastAsia" w:ascii="宋体" w:hAnsi="宋体"/>
                <w:kern w:val="0"/>
                <w:szCs w:val="21"/>
              </w:rPr>
              <w:t>0%</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C12D85">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C61F5C">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42940B8">
            <w:pPr>
              <w:widowControl/>
              <w:jc w:val="center"/>
              <w:rPr>
                <w:rFonts w:hint="eastAsia" w:ascii="宋体" w:hAnsi="宋体"/>
                <w:kern w:val="0"/>
                <w:szCs w:val="21"/>
              </w:rPr>
            </w:pPr>
            <w:r>
              <w:rPr>
                <w:rFonts w:hint="eastAsia" w:ascii="宋体" w:hAnsi="宋体"/>
                <w:kern w:val="0"/>
                <w:szCs w:val="21"/>
              </w:rPr>
              <w:t>100%</w:t>
            </w:r>
          </w:p>
        </w:tc>
      </w:tr>
      <w:tr w14:paraId="21F882E9">
        <w:tblPrEx>
          <w:tblCellMar>
            <w:top w:w="0" w:type="dxa"/>
            <w:left w:w="108" w:type="dxa"/>
            <w:bottom w:w="0" w:type="dxa"/>
            <w:right w:w="108" w:type="dxa"/>
          </w:tblCellMar>
        </w:tblPrEx>
        <w:trPr>
          <w:trHeight w:val="340" w:hRule="atLeast"/>
        </w:trPr>
        <w:tc>
          <w:tcPr>
            <w:tcW w:w="2048" w:type="dxa"/>
            <w:vMerge w:val="continue"/>
            <w:tcBorders>
              <w:left w:val="single" w:color="auto" w:sz="8" w:space="0"/>
              <w:bottom w:val="single" w:color="auto" w:sz="4" w:space="0"/>
              <w:right w:val="single" w:color="auto" w:sz="4" w:space="0"/>
            </w:tcBorders>
            <w:shd w:val="clear" w:color="auto" w:fill="auto"/>
            <w:noWrap w:val="0"/>
            <w:vAlign w:val="center"/>
          </w:tcPr>
          <w:p w14:paraId="7A8EC9FD">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881CD1E">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1BF38C">
            <w:pPr>
              <w:widowControl/>
              <w:jc w:val="center"/>
              <w:rPr>
                <w:rFonts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15DED9">
            <w:pPr>
              <w:widowControl/>
              <w:jc w:val="center"/>
              <w:rPr>
                <w:rFonts w:hint="eastAsia" w:ascii="宋体" w:hAnsi="宋体"/>
                <w:kern w:val="0"/>
                <w:szCs w:val="21"/>
              </w:rPr>
            </w:pPr>
            <w:r>
              <w:rPr>
                <w:rFonts w:ascii="宋体" w:hAnsi="宋体"/>
                <w:kern w:val="0"/>
                <w:szCs w:val="21"/>
              </w:rPr>
              <w:t>8</w:t>
            </w:r>
            <w:r>
              <w:rPr>
                <w:rFonts w:hint="eastAsia" w:ascii="宋体" w:hAnsi="宋体"/>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noWrap w:val="0"/>
            <w:vAlign w:val="top"/>
          </w:tcPr>
          <w:p w14:paraId="20A5C8B1">
            <w:pPr>
              <w:widowControl/>
              <w:jc w:val="center"/>
              <w:rPr>
                <w:rFonts w:hint="eastAsia" w:ascii="宋体" w:hAnsi="宋体"/>
                <w:kern w:val="0"/>
                <w:szCs w:val="21"/>
              </w:rPr>
            </w:pPr>
          </w:p>
        </w:tc>
      </w:tr>
      <w:tr w14:paraId="335F146E">
        <w:tblPrEx>
          <w:tblCellMar>
            <w:top w:w="0" w:type="dxa"/>
            <w:left w:w="108" w:type="dxa"/>
            <w:bottom w:w="0" w:type="dxa"/>
            <w:right w:w="108" w:type="dxa"/>
          </w:tblCellMar>
        </w:tblPrEx>
        <w:trPr>
          <w:trHeight w:val="549" w:hRule="atLeast"/>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FE3BD4">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3451ED">
            <w:pPr>
              <w:widowControl/>
              <w:jc w:val="center"/>
              <w:rPr>
                <w:rFonts w:hint="eastAsia" w:ascii="宋体" w:hAnsi="宋体"/>
                <w:kern w:val="0"/>
                <w:szCs w:val="21"/>
              </w:rPr>
            </w:pPr>
            <w:r>
              <w:rPr>
                <w:rFonts w:hint="eastAsia" w:ascii="宋体" w:hAnsi="宋体"/>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4001443">
            <w:pPr>
              <w:widowControl/>
              <w:jc w:val="center"/>
              <w:rPr>
                <w:rFonts w:hint="eastAsia" w:ascii="宋体" w:hAnsi="宋体"/>
                <w:kern w:val="0"/>
                <w:szCs w:val="21"/>
              </w:rPr>
            </w:pPr>
          </w:p>
        </w:tc>
      </w:tr>
    </w:tbl>
    <w:p w14:paraId="651ED704">
      <w:pPr>
        <w:spacing w:line="360" w:lineRule="auto"/>
        <w:ind w:firstLine="480"/>
        <w:rPr>
          <w:rFonts w:ascii="宋体" w:hAnsi="宋体"/>
          <w:sz w:val="24"/>
          <w:szCs w:val="22"/>
        </w:rPr>
      </w:pPr>
    </w:p>
    <w:p w14:paraId="52D6B627">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4ACA5EE0">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59F9E8E3">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0F2DFE2C">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1D3F3988">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35967AB7">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本课程根据学生作业、课堂讨论、实践环节和学生、教学督导等的反馈，及时对教学中的不足之处进行改进，并在下一轮课程教学中整改完善，确保相应毕业要求指标点达成。</w:t>
      </w:r>
    </w:p>
    <w:p w14:paraId="1871CFEA">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639FBE22">
      <w:pPr>
        <w:spacing w:line="360" w:lineRule="auto"/>
        <w:ind w:firstLine="480" w:firstLineChars="200"/>
        <w:rPr>
          <w:rFonts w:ascii="宋体" w:hAnsi="宋体"/>
          <w:sz w:val="24"/>
          <w:szCs w:val="22"/>
        </w:rPr>
      </w:pPr>
      <w:r>
        <w:rPr>
          <w:rFonts w:hint="eastAsia" w:ascii="宋体" w:hAnsi="宋体"/>
          <w:sz w:val="24"/>
          <w:szCs w:val="22"/>
        </w:rPr>
        <w:t>1．教材</w:t>
      </w:r>
    </w:p>
    <w:p w14:paraId="5C6646DE">
      <w:pPr>
        <w:spacing w:line="360" w:lineRule="auto"/>
        <w:ind w:firstLine="480" w:firstLineChars="200"/>
        <w:outlineLvl w:val="0"/>
        <w:rPr>
          <w:rFonts w:ascii="宋体" w:hAnsi="宋体"/>
          <w:sz w:val="24"/>
          <w:szCs w:val="22"/>
        </w:rPr>
      </w:pPr>
      <w:r>
        <w:rPr>
          <w:rFonts w:hint="eastAsia" w:ascii="宋体" w:hAnsi="宋体"/>
          <w:sz w:val="24"/>
          <w:szCs w:val="22"/>
        </w:rPr>
        <w:t>顾建军．小学综合实践活动设计（第3版）．北京</w:t>
      </w:r>
      <w:r>
        <w:rPr>
          <w:rFonts w:ascii="宋体" w:hAnsi="宋体"/>
          <w:sz w:val="24"/>
          <w:szCs w:val="22"/>
        </w:rPr>
        <w:t>：</w:t>
      </w:r>
      <w:r>
        <w:rPr>
          <w:rFonts w:hint="eastAsia" w:ascii="宋体" w:hAnsi="宋体"/>
          <w:sz w:val="24"/>
          <w:szCs w:val="22"/>
        </w:rPr>
        <w:t>高等教育出版社，2020．</w:t>
      </w:r>
    </w:p>
    <w:p w14:paraId="2D587468">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28D63B52">
      <w:pPr>
        <w:spacing w:line="360" w:lineRule="auto"/>
        <w:ind w:firstLine="480" w:firstLineChars="200"/>
        <w:rPr>
          <w:rFonts w:hint="eastAsia"/>
          <w:sz w:val="24"/>
          <w:szCs w:val="22"/>
        </w:rPr>
      </w:pPr>
      <w:r>
        <w:rPr>
          <w:rFonts w:hint="eastAsia"/>
          <w:sz w:val="24"/>
          <w:szCs w:val="22"/>
        </w:rPr>
        <w:t>1.柳夕浪. 《中小学综合实践活动课程指导纲要》解读.石家庄：河北教育出版社，2019.</w:t>
      </w:r>
    </w:p>
    <w:p w14:paraId="33331215">
      <w:pPr>
        <w:spacing w:line="360" w:lineRule="auto"/>
        <w:ind w:firstLine="480" w:firstLineChars="200"/>
        <w:rPr>
          <w:sz w:val="24"/>
          <w:szCs w:val="22"/>
        </w:rPr>
      </w:pPr>
      <w:r>
        <w:rPr>
          <w:rFonts w:hint="eastAsia"/>
          <w:sz w:val="24"/>
          <w:szCs w:val="22"/>
        </w:rPr>
        <w:t>2.刘道溶.中小学综合实践活动教学活动设计案例精选.北京：北京大学出版社，2012.</w:t>
      </w:r>
    </w:p>
    <w:p w14:paraId="062694D9">
      <w:pPr>
        <w:spacing w:line="360" w:lineRule="auto"/>
        <w:ind w:firstLine="480" w:firstLineChars="200"/>
        <w:rPr>
          <w:rFonts w:hint="eastAsia"/>
          <w:sz w:val="24"/>
          <w:szCs w:val="22"/>
        </w:rPr>
      </w:pPr>
      <w:r>
        <w:rPr>
          <w:rFonts w:hint="eastAsia"/>
          <w:sz w:val="24"/>
          <w:szCs w:val="22"/>
        </w:rPr>
        <w:t>3.郭元祥．综合实践活动课程——设计与实施．首都师范大学出版社，2001．</w:t>
      </w:r>
    </w:p>
    <w:p w14:paraId="03F51820">
      <w:pPr>
        <w:spacing w:line="360" w:lineRule="auto"/>
        <w:ind w:firstLine="480" w:firstLineChars="200"/>
        <w:rPr>
          <w:rFonts w:hint="eastAsia"/>
          <w:sz w:val="24"/>
          <w:szCs w:val="22"/>
        </w:rPr>
      </w:pPr>
      <w:r>
        <w:rPr>
          <w:rFonts w:hint="eastAsia"/>
          <w:sz w:val="24"/>
          <w:szCs w:val="22"/>
        </w:rPr>
        <w:t>4.郭元祥．综合实践活动课程的实施．高等教育出版社，2003．</w:t>
      </w:r>
    </w:p>
    <w:p w14:paraId="435298D2">
      <w:pPr>
        <w:spacing w:line="360" w:lineRule="auto"/>
        <w:ind w:firstLine="480" w:firstLineChars="200"/>
        <w:rPr>
          <w:rFonts w:hint="eastAsia"/>
          <w:sz w:val="24"/>
          <w:szCs w:val="22"/>
        </w:rPr>
      </w:pPr>
      <w:r>
        <w:rPr>
          <w:rFonts w:hint="eastAsia"/>
          <w:sz w:val="24"/>
          <w:szCs w:val="22"/>
        </w:rPr>
        <w:t>5.教育部基础教育司．走进新课程——与课程实施者对话．北京师范大学出版社，2002．</w:t>
      </w:r>
    </w:p>
    <w:p w14:paraId="4D745885">
      <w:pPr>
        <w:spacing w:line="360" w:lineRule="auto"/>
        <w:ind w:firstLine="480" w:firstLineChars="200"/>
        <w:rPr>
          <w:rFonts w:hint="eastAsia"/>
          <w:sz w:val="24"/>
          <w:szCs w:val="22"/>
        </w:rPr>
      </w:pPr>
      <w:r>
        <w:rPr>
          <w:rFonts w:hint="eastAsia"/>
          <w:sz w:val="24"/>
          <w:szCs w:val="22"/>
        </w:rPr>
        <w:t>6.钟启泉等．为了中化民族的复兴，为了每位学生的发展——《基础教育课程改革纲要（试行）》解读．华东师范大学出版社，2001．</w:t>
      </w:r>
    </w:p>
    <w:p w14:paraId="54FF5723">
      <w:pPr>
        <w:spacing w:line="360" w:lineRule="auto"/>
        <w:ind w:firstLine="480" w:firstLineChars="200"/>
        <w:rPr>
          <w:rFonts w:hint="eastAsia"/>
          <w:sz w:val="24"/>
          <w:szCs w:val="22"/>
        </w:rPr>
      </w:pPr>
      <w:r>
        <w:rPr>
          <w:rFonts w:hint="eastAsia"/>
          <w:sz w:val="24"/>
          <w:szCs w:val="22"/>
        </w:rPr>
        <w:t>7.姜平．综合实践活动教学设计与特色案例评析．首都师范大学出版社，2003．</w:t>
      </w:r>
    </w:p>
    <w:p w14:paraId="7DE82BAE">
      <w:pPr>
        <w:spacing w:line="360" w:lineRule="auto"/>
        <w:ind w:firstLine="480" w:firstLineChars="200"/>
        <w:rPr>
          <w:sz w:val="24"/>
          <w:szCs w:val="22"/>
        </w:rPr>
      </w:pPr>
      <w:r>
        <w:rPr>
          <w:rFonts w:hint="eastAsia"/>
          <w:sz w:val="24"/>
          <w:szCs w:val="22"/>
        </w:rPr>
        <w:t>8.姜平．综合实践活动课程的整体推进与校本化实施．首都师范大学出版社，2006．</w:t>
      </w:r>
    </w:p>
    <w:p w14:paraId="1625F22D">
      <w:pPr>
        <w:spacing w:line="360" w:lineRule="auto"/>
        <w:ind w:firstLine="480" w:firstLineChars="200"/>
        <w:rPr>
          <w:rFonts w:hint="eastAsia"/>
          <w:sz w:val="24"/>
          <w:szCs w:val="22"/>
        </w:rPr>
      </w:pPr>
    </w:p>
    <w:p w14:paraId="3586E040">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2420733E">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5A249788">
      <w:pPr>
        <w:autoSpaceDE w:val="0"/>
        <w:autoSpaceDN w:val="0"/>
        <w:adjustRightInd w:val="0"/>
        <w:spacing w:line="360" w:lineRule="auto"/>
        <w:ind w:firstLine="5280" w:firstLineChars="2200"/>
        <w:jc w:val="left"/>
        <w:rPr>
          <w:rFonts w:hint="eastAsia"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w:t>
      </w:r>
      <w:r>
        <w:rPr>
          <w:rFonts w:ascii="宋体" w:hAnsi="宋体"/>
          <w:kern w:val="0"/>
          <w:sz w:val="24"/>
          <w:szCs w:val="21"/>
        </w:rPr>
        <w:t>波</w:t>
      </w:r>
    </w:p>
    <w:p w14:paraId="1E2D82FA">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批准时间：2022年8月30日</w:t>
      </w:r>
    </w:p>
    <w:p w14:paraId="1554F4EB">
      <w:pPr>
        <w:widowControl/>
        <w:jc w:val="left"/>
        <w:rPr>
          <w:rFonts w:ascii="Calibri" w:hAnsi="Calibri" w:eastAsia="宋体" w:cs="Times New Roman"/>
          <w:kern w:val="0"/>
          <w:sz w:val="24"/>
          <w:szCs w:val="21"/>
        </w:rPr>
      </w:pPr>
      <w:r>
        <w:rPr>
          <w:rFonts w:ascii="Calibri" w:hAnsi="Calibri" w:eastAsia="宋体" w:cs="Times New Roman"/>
          <w:kern w:val="0"/>
          <w:sz w:val="24"/>
          <w:szCs w:val="21"/>
        </w:rPr>
        <w:br w:type="page"/>
      </w:r>
    </w:p>
    <w:p w14:paraId="4E9E7F17">
      <w:pPr>
        <w:spacing w:line="312" w:lineRule="auto"/>
        <w:jc w:val="center"/>
        <w:rPr>
          <w:rFonts w:ascii="宋体" w:hAnsi="宋体"/>
          <w:b/>
          <w:bCs/>
          <w:sz w:val="30"/>
        </w:rPr>
      </w:pPr>
      <w:bookmarkStart w:id="180" w:name="_Toc166165207"/>
      <w:r>
        <w:rPr>
          <w:rFonts w:hint="eastAsia" w:ascii="宋体" w:hAnsi="宋体"/>
          <w:b/>
          <w:bCs/>
          <w:sz w:val="30"/>
        </w:rPr>
        <w:t>教育论文写作</w:t>
      </w:r>
      <w:r>
        <w:rPr>
          <w:rFonts w:ascii="宋体" w:hAnsi="宋体"/>
          <w:b/>
          <w:bCs/>
          <w:sz w:val="30"/>
        </w:rPr>
        <w:t>课程教学大纲</w:t>
      </w:r>
      <w:r>
        <w:rPr>
          <w:rFonts w:hint="eastAsia" w:ascii="宋体" w:hAnsi="宋体"/>
          <w:b/>
          <w:bCs/>
          <w:sz w:val="30"/>
        </w:rPr>
        <w:t xml:space="preserve"> </w:t>
      </w:r>
    </w:p>
    <w:p w14:paraId="29A9936B">
      <w:pPr>
        <w:spacing w:line="312" w:lineRule="auto"/>
        <w:jc w:val="center"/>
        <w:rPr>
          <w:b/>
          <w:bCs/>
          <w:sz w:val="30"/>
        </w:rPr>
      </w:pPr>
      <w:r>
        <w:rPr>
          <w:b/>
          <w:bCs/>
          <w:sz w:val="30"/>
        </w:rPr>
        <w:t>（</w:t>
      </w:r>
      <w:r>
        <w:rPr>
          <w:rFonts w:hint="eastAsia"/>
          <w:b/>
          <w:bCs/>
          <w:sz w:val="30"/>
        </w:rPr>
        <w:t>Educational Thesis Writing</w:t>
      </w:r>
      <w:r>
        <w:rPr>
          <w:b/>
          <w:bCs/>
          <w:sz w:val="30"/>
        </w:rPr>
        <w:t>）</w:t>
      </w:r>
    </w:p>
    <w:p w14:paraId="34788D4B">
      <w:pPr>
        <w:spacing w:line="360" w:lineRule="auto"/>
        <w:ind w:firstLine="551" w:firstLineChars="196"/>
        <w:outlineLvl w:val="0"/>
        <w:rPr>
          <w:rFonts w:hint="eastAsia" w:ascii="宋体" w:hAnsi="宋体"/>
          <w:b/>
          <w:color w:val="000000"/>
          <w:sz w:val="28"/>
          <w:szCs w:val="28"/>
        </w:rPr>
      </w:pPr>
      <w:r>
        <w:rPr>
          <w:rFonts w:ascii="宋体" w:hAnsi="宋体"/>
          <w:b/>
          <w:color w:val="000000"/>
          <w:sz w:val="28"/>
          <w:szCs w:val="28"/>
        </w:rPr>
        <w:t>一、课程概况</w:t>
      </w:r>
    </w:p>
    <w:p w14:paraId="69EB6B3B">
      <w:pPr>
        <w:spacing w:line="360" w:lineRule="auto"/>
        <w:ind w:firstLine="482" w:firstLineChars="200"/>
        <w:rPr>
          <w:b/>
          <w:sz w:val="28"/>
          <w:szCs w:val="28"/>
        </w:rPr>
      </w:pPr>
      <w:r>
        <w:rPr>
          <w:rFonts w:ascii="宋体" w:hAnsi="宋体"/>
          <w:b/>
          <w:bCs/>
          <w:kern w:val="0"/>
          <w:sz w:val="24"/>
        </w:rPr>
        <w:t>课程代码</w:t>
      </w:r>
      <w:r>
        <w:rPr>
          <w:rFonts w:ascii="宋体" w:hAnsi="宋体"/>
          <w:b/>
          <w:kern w:val="0"/>
          <w:sz w:val="24"/>
        </w:rPr>
        <w:t>：</w:t>
      </w:r>
      <w:r>
        <w:rPr>
          <w:rFonts w:hint="eastAsia" w:ascii="宋体" w:hAnsi="宋体"/>
          <w:kern w:val="0"/>
          <w:sz w:val="24"/>
        </w:rPr>
        <w:t xml:space="preserve">2401025 </w:t>
      </w:r>
    </w:p>
    <w:p w14:paraId="276FE396">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ascii="宋体" w:hAnsi="宋体"/>
          <w:kern w:val="0"/>
          <w:sz w:val="24"/>
        </w:rPr>
        <w:t xml:space="preserve"> </w:t>
      </w:r>
      <w:r>
        <w:rPr>
          <w:rFonts w:hint="eastAsia" w:ascii="宋体" w:hAnsi="宋体"/>
          <w:kern w:val="0"/>
          <w:sz w:val="24"/>
        </w:rPr>
        <w:t>2</w:t>
      </w:r>
    </w:p>
    <w:p w14:paraId="586DE086">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ascii="宋体" w:hAnsi="宋体"/>
          <w:kern w:val="0"/>
          <w:sz w:val="24"/>
        </w:rPr>
        <w:t xml:space="preserve"> </w:t>
      </w:r>
      <w:r>
        <w:rPr>
          <w:rFonts w:hint="eastAsia" w:ascii="宋体" w:hAnsi="宋体"/>
          <w:kern w:val="0"/>
          <w:sz w:val="24"/>
        </w:rPr>
        <w:t>32（其中，讲授学时16，实践学时16）</w:t>
      </w:r>
    </w:p>
    <w:p w14:paraId="548FC70A">
      <w:pPr>
        <w:spacing w:line="360" w:lineRule="auto"/>
        <w:ind w:firstLine="482" w:firstLineChars="200"/>
        <w:rPr>
          <w:rFonts w:ascii="宋体" w:hAnsi="宋体"/>
          <w:kern w:val="0"/>
          <w:sz w:val="24"/>
        </w:rPr>
      </w:pPr>
      <w:r>
        <w:rPr>
          <w:rFonts w:ascii="宋体" w:hAnsi="宋体"/>
          <w:b/>
          <w:bCs/>
          <w:kern w:val="0"/>
          <w:sz w:val="24"/>
        </w:rPr>
        <w:t>先修课程</w:t>
      </w:r>
      <w:r>
        <w:rPr>
          <w:rFonts w:ascii="宋体" w:hAnsi="宋体"/>
          <w:b/>
          <w:kern w:val="0"/>
          <w:sz w:val="24"/>
        </w:rPr>
        <w:t>：</w:t>
      </w:r>
      <w:r>
        <w:rPr>
          <w:rFonts w:hint="eastAsia" w:ascii="宋体" w:hAnsi="宋体"/>
          <w:kern w:val="0"/>
          <w:sz w:val="24"/>
        </w:rPr>
        <w:t>教育原理、教育心理学、教育哲学、中国教育史、中外基础教育改革热点、教育社会学</w:t>
      </w:r>
    </w:p>
    <w:p w14:paraId="12052AE5">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ascii="宋体" w:hAnsi="宋体"/>
          <w:kern w:val="0"/>
          <w:sz w:val="24"/>
        </w:rPr>
        <w:t xml:space="preserve"> </w:t>
      </w:r>
      <w:r>
        <w:rPr>
          <w:rFonts w:hint="eastAsia" w:ascii="宋体" w:hAnsi="宋体"/>
          <w:kern w:val="0"/>
          <w:sz w:val="24"/>
        </w:rPr>
        <w:t>小学教育（理）</w:t>
      </w:r>
      <w:r>
        <w:rPr>
          <w:rFonts w:ascii="宋体" w:hAnsi="宋体"/>
          <w:kern w:val="0"/>
          <w:sz w:val="24"/>
        </w:rPr>
        <w:t xml:space="preserve">                     </w:t>
      </w:r>
    </w:p>
    <w:p w14:paraId="7FE7C49D">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 xml:space="preserve"> 侯杰泰等主编《心理与教育论文写作：方法、规则与实践技巧（第2版》（新编21世纪心理学系列教材），中国人民大学出版社2019年版</w:t>
      </w:r>
    </w:p>
    <w:p w14:paraId="03542111">
      <w:pPr>
        <w:spacing w:line="360" w:lineRule="auto"/>
        <w:ind w:firstLine="482" w:firstLineChars="200"/>
        <w:rPr>
          <w:rFonts w:hint="eastAsia" w:ascii="宋体" w:hAnsi="宋体"/>
          <w:kern w:val="0"/>
          <w:sz w:val="24"/>
        </w:rPr>
      </w:pPr>
      <w:r>
        <w:rPr>
          <w:rFonts w:ascii="宋体" w:hAnsi="宋体"/>
          <w:b/>
          <w:bCs/>
          <w:kern w:val="0"/>
          <w:sz w:val="24"/>
        </w:rPr>
        <w:t>课程归口：</w:t>
      </w:r>
      <w:r>
        <w:rPr>
          <w:rFonts w:hint="eastAsia" w:ascii="宋体" w:hAnsi="宋体"/>
          <w:bCs/>
          <w:kern w:val="0"/>
          <w:sz w:val="24"/>
        </w:rPr>
        <w:t>师范</w:t>
      </w:r>
      <w:r>
        <w:rPr>
          <w:rFonts w:ascii="宋体" w:hAnsi="宋体"/>
          <w:kern w:val="0"/>
          <w:sz w:val="24"/>
        </w:rPr>
        <w:t>学院</w:t>
      </w:r>
      <w:r>
        <w:rPr>
          <w:rFonts w:hint="eastAsia" w:ascii="宋体" w:hAnsi="宋体"/>
          <w:kern w:val="0"/>
          <w:sz w:val="24"/>
        </w:rPr>
        <w:t xml:space="preserve"> </w:t>
      </w:r>
    </w:p>
    <w:p w14:paraId="0D7F3913">
      <w:pPr>
        <w:autoSpaceDE w:val="0"/>
        <w:autoSpaceDN w:val="0"/>
        <w:adjustRightInd w:val="0"/>
        <w:spacing w:line="360" w:lineRule="auto"/>
        <w:ind w:firstLine="482" w:firstLineChars="200"/>
        <w:jc w:val="left"/>
        <w:rPr>
          <w:rFonts w:ascii="宋体" w:hAnsi="宋体"/>
          <w:b/>
          <w:bCs/>
          <w:kern w:val="0"/>
          <w:sz w:val="24"/>
        </w:rPr>
      </w:pPr>
      <w:r>
        <w:rPr>
          <w:rFonts w:hint="eastAsia" w:ascii="宋体" w:hAnsi="宋体"/>
          <w:b/>
          <w:bCs/>
          <w:kern w:val="0"/>
          <w:sz w:val="24"/>
        </w:rPr>
        <w:t>课程的性质与任务：</w:t>
      </w:r>
      <w:r>
        <w:rPr>
          <w:rFonts w:hint="eastAsia"/>
          <w:kern w:val="0"/>
          <w:sz w:val="24"/>
        </w:rPr>
        <w:t>本课程是小学教育专业的一门专业基础选修课程。通过本课程的教学，师范生能够了解教育论文的基本要求与写作过程，初步掌握不同类型教育论文的写作方法，能够撰写符合学术规范和语言规范的教育论文，为后续毕业论文写作奠定基础。</w:t>
      </w:r>
    </w:p>
    <w:p w14:paraId="0CF92EC1">
      <w:pPr>
        <w:spacing w:line="360" w:lineRule="auto"/>
        <w:ind w:firstLine="551" w:firstLineChars="196"/>
        <w:outlineLvl w:val="0"/>
        <w:rPr>
          <w:rFonts w:ascii="宋体" w:hAnsi="宋体"/>
          <w:b/>
          <w:color w:val="000000"/>
          <w:sz w:val="28"/>
          <w:szCs w:val="28"/>
        </w:rPr>
      </w:pPr>
      <w:r>
        <w:rPr>
          <w:rFonts w:hint="eastAsia" w:ascii="宋体" w:hAnsi="宋体"/>
          <w:b/>
          <w:color w:val="000000"/>
          <w:sz w:val="28"/>
          <w:szCs w:val="28"/>
        </w:rPr>
        <w:t>二</w:t>
      </w:r>
      <w:r>
        <w:rPr>
          <w:rFonts w:ascii="宋体" w:hAnsi="宋体"/>
          <w:b/>
          <w:color w:val="000000"/>
          <w:sz w:val="28"/>
          <w:szCs w:val="28"/>
        </w:rPr>
        <w:t>、课程目标</w:t>
      </w:r>
    </w:p>
    <w:p w14:paraId="3613BDA8">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（一）课程具体目标</w:t>
      </w:r>
    </w:p>
    <w:p w14:paraId="4C666BDB">
      <w:pPr>
        <w:spacing w:line="360" w:lineRule="auto"/>
        <w:ind w:firstLine="482"/>
        <w:jc w:val="left"/>
        <w:rPr>
          <w:sz w:val="24"/>
        </w:rPr>
      </w:pPr>
      <w:r>
        <w:rPr>
          <w:rFonts w:hint="eastAsia"/>
          <w:b/>
          <w:sz w:val="24"/>
        </w:rPr>
        <w:t>目标</w:t>
      </w:r>
      <w:r>
        <w:rPr>
          <w:b/>
          <w:sz w:val="24"/>
        </w:rPr>
        <w:t>1.</w:t>
      </w:r>
      <w:r>
        <w:rPr>
          <w:rFonts w:hint="eastAsia"/>
          <w:sz w:val="24"/>
        </w:rPr>
        <w:t xml:space="preserve"> 理解教育论文写作的意义，熟悉教育论文写作的基本步骤。</w:t>
      </w:r>
    </w:p>
    <w:p w14:paraId="5C4DFDEC">
      <w:pPr>
        <w:spacing w:line="360" w:lineRule="auto"/>
        <w:ind w:firstLine="482"/>
        <w:jc w:val="left"/>
        <w:rPr>
          <w:rFonts w:hint="eastAsia"/>
          <w:kern w:val="0"/>
          <w:sz w:val="24"/>
          <w:szCs w:val="21"/>
        </w:rPr>
      </w:pPr>
      <w:r>
        <w:rPr>
          <w:rFonts w:hint="eastAsia"/>
          <w:b/>
          <w:sz w:val="24"/>
        </w:rPr>
        <w:t>目标2</w:t>
      </w:r>
      <w:r>
        <w:rPr>
          <w:b/>
          <w:sz w:val="24"/>
        </w:rPr>
        <w:t>.</w:t>
      </w:r>
      <w:r>
        <w:rPr>
          <w:rFonts w:hint="eastAsia"/>
          <w:kern w:val="0"/>
          <w:sz w:val="24"/>
          <w:szCs w:val="21"/>
        </w:rPr>
        <w:t xml:space="preserve"> 结合具体案例，学会分析学术期刊论文、教育综述论文、教育调查报告、教育实验报告、教育经验总结、教育叙事论文、学位论文等类型教育论文的框架结构，解释教育论文的语言特点。</w:t>
      </w:r>
    </w:p>
    <w:p w14:paraId="37A3B698">
      <w:pPr>
        <w:spacing w:line="360" w:lineRule="auto"/>
        <w:ind w:firstLine="482" w:firstLineChars="200"/>
        <w:jc w:val="left"/>
        <w:rPr>
          <w:rFonts w:hint="eastAsia"/>
          <w:kern w:val="0"/>
          <w:sz w:val="24"/>
          <w:szCs w:val="21"/>
        </w:rPr>
      </w:pPr>
      <w:r>
        <w:rPr>
          <w:rFonts w:hint="eastAsia"/>
          <w:b/>
          <w:sz w:val="24"/>
        </w:rPr>
        <w:t>目标3</w:t>
      </w:r>
      <w:r>
        <w:rPr>
          <w:rFonts w:hint="eastAsia"/>
          <w:b/>
          <w:kern w:val="0"/>
          <w:sz w:val="24"/>
          <w:szCs w:val="21"/>
        </w:rPr>
        <w:t>．</w:t>
      </w:r>
      <w:r>
        <w:rPr>
          <w:rFonts w:hint="eastAsia"/>
          <w:kern w:val="0"/>
          <w:sz w:val="24"/>
          <w:szCs w:val="21"/>
        </w:rPr>
        <w:t>结合教育实践和自身的学习、思考，撰写符合规范的教育论文。</w:t>
      </w:r>
    </w:p>
    <w:p w14:paraId="60B8E638">
      <w:pPr>
        <w:spacing w:line="360" w:lineRule="auto"/>
        <w:jc w:val="left"/>
        <w:rPr>
          <w:rFonts w:hint="eastAsia"/>
          <w:sz w:val="24"/>
        </w:rPr>
      </w:pPr>
      <w:r>
        <w:rPr>
          <w:rFonts w:hint="eastAsia"/>
          <w:b/>
          <w:kern w:val="0"/>
          <w:sz w:val="24"/>
          <w:szCs w:val="21"/>
        </w:rPr>
        <w:t xml:space="preserve">    目标4.</w:t>
      </w:r>
      <w:r>
        <w:rPr>
          <w:rFonts w:hint="eastAsia"/>
          <w:sz w:val="24"/>
        </w:rPr>
        <w:t xml:space="preserve"> 了解教育论文交流、发表的途径与方法，遵守教育论文写作的学术规范，恪守学术道德。</w:t>
      </w:r>
    </w:p>
    <w:p w14:paraId="27E4B3F5">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C60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5ABDFDFC">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223" w:type="dxa"/>
            <w:noWrap w:val="0"/>
            <w:vAlign w:val="center"/>
          </w:tcPr>
          <w:p w14:paraId="5B36D837">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1CBC2114">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68E8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2101828">
            <w:pPr>
              <w:pStyle w:val="58"/>
              <w:spacing w:line="276" w:lineRule="auto"/>
              <w:ind w:firstLine="0" w:firstLineChars="0"/>
              <w:jc w:val="center"/>
              <w:rPr>
                <w:rFonts w:hint="eastAsia" w:ascii="宋体" w:hAnsi="宋体" w:cs="宋体"/>
                <w:bCs/>
                <w:color w:val="000000"/>
                <w:szCs w:val="21"/>
              </w:rPr>
            </w:pPr>
            <w:r>
              <w:rPr>
                <w:rFonts w:hint="eastAsia" w:ascii="宋体" w:hAnsi="宋体" w:cs="宋体"/>
                <w:bCs/>
                <w:color w:val="000000"/>
                <w:szCs w:val="21"/>
              </w:rPr>
              <w:t>课程目标1</w:t>
            </w:r>
          </w:p>
        </w:tc>
        <w:tc>
          <w:tcPr>
            <w:tcW w:w="2223" w:type="dxa"/>
            <w:noWrap w:val="0"/>
            <w:vAlign w:val="center"/>
          </w:tcPr>
          <w:p w14:paraId="3CCAE707">
            <w:pPr>
              <w:pStyle w:val="58"/>
              <w:spacing w:line="276" w:lineRule="auto"/>
              <w:ind w:firstLine="0" w:firstLineChars="0"/>
              <w:rPr>
                <w:rFonts w:ascii="宋体" w:hAnsi="宋体" w:cs="宋体"/>
                <w:color w:val="000000"/>
                <w:szCs w:val="21"/>
              </w:rPr>
            </w:pPr>
            <w:r>
              <w:rPr>
                <w:rFonts w:hint="eastAsia" w:ascii="宋体" w:hAnsi="宋体" w:cs="宋体"/>
                <w:color w:val="000000"/>
                <w:szCs w:val="21"/>
              </w:rPr>
              <w:t>毕业要求1.师德规范</w:t>
            </w:r>
          </w:p>
          <w:p w14:paraId="0E62FC8D">
            <w:pPr>
              <w:pStyle w:val="58"/>
              <w:spacing w:line="276" w:lineRule="auto"/>
              <w:ind w:firstLine="0" w:firstLineChars="0"/>
              <w:rPr>
                <w:rFonts w:hint="eastAsia" w:ascii="宋体" w:hAnsi="宋体"/>
                <w:color w:val="000000"/>
                <w:kern w:val="0"/>
                <w:sz w:val="18"/>
                <w:szCs w:val="18"/>
              </w:rPr>
            </w:pPr>
            <w:r>
              <w:rPr>
                <w:rFonts w:hint="eastAsia" w:ascii="宋体" w:hAnsi="宋体" w:cs="宋体"/>
                <w:color w:val="000000"/>
                <w:szCs w:val="21"/>
              </w:rPr>
              <w:t>毕业要求2.教育情怀</w:t>
            </w:r>
          </w:p>
        </w:tc>
        <w:tc>
          <w:tcPr>
            <w:tcW w:w="4977" w:type="dxa"/>
            <w:noWrap w:val="0"/>
            <w:vAlign w:val="center"/>
          </w:tcPr>
          <w:p w14:paraId="1DA4D910">
            <w:pPr>
              <w:pStyle w:val="58"/>
              <w:spacing w:line="276" w:lineRule="auto"/>
              <w:ind w:firstLine="0" w:firstLineChars="0"/>
              <w:jc w:val="left"/>
              <w:rPr>
                <w:rFonts w:ascii="宋体" w:hAnsi="宋体" w:cs="宋体"/>
                <w:color w:val="000000"/>
                <w:szCs w:val="21"/>
              </w:rPr>
            </w:pPr>
            <w:r>
              <w:rPr>
                <w:szCs w:val="21"/>
              </w:rPr>
              <w:t>1-1：</w:t>
            </w:r>
            <w:r>
              <w:rPr>
                <w:rFonts w:hint="eastAsia"/>
                <w:szCs w:val="21"/>
              </w:rPr>
              <w:t>【理想信念坚定】</w:t>
            </w:r>
            <w:r>
              <w:rPr>
                <w:rFonts w:hint="eastAsia"/>
                <w:szCs w:val="23"/>
              </w:rPr>
              <w:t>认同中国特色社会主义，贯彻党的教育方针，自觉践行社会主义核心价值观，树立职业理想，立志成为有理想信念、有道德情操、有扎实学识、有仁爱之心的好教师。</w:t>
            </w:r>
          </w:p>
          <w:p w14:paraId="56938A47">
            <w:pPr>
              <w:pStyle w:val="58"/>
              <w:spacing w:line="276" w:lineRule="auto"/>
              <w:ind w:firstLine="0" w:firstLineChars="0"/>
              <w:jc w:val="left"/>
              <w:rPr>
                <w:rFonts w:ascii="宋体" w:hAnsi="宋体" w:cs="宋体"/>
                <w:color w:val="000000"/>
                <w:szCs w:val="21"/>
              </w:rPr>
            </w:pPr>
            <w:r>
              <w:rPr>
                <w:rFonts w:hint="eastAsia" w:ascii="宋体" w:hAnsi="宋体" w:cs="宋体"/>
                <w:color w:val="000000"/>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p w14:paraId="3EC0F0E1">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 xml:space="preserve">2-2：【教育情意深厚】关爱学生，用心从教。具有正确的儿童观，理解、尊重、关爱、保护学生，以儿童发展为教育的中心。爱岗敬业，在教育实践中能认真履行教育教学职责与班主任工作职责，富有爱心、责任心、工作细心、耐心。 </w:t>
            </w:r>
          </w:p>
        </w:tc>
      </w:tr>
      <w:tr w14:paraId="2C07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noWrap w:val="0"/>
            <w:vAlign w:val="center"/>
          </w:tcPr>
          <w:p w14:paraId="56A6B198">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课程目标2</w:t>
            </w:r>
          </w:p>
        </w:tc>
        <w:tc>
          <w:tcPr>
            <w:tcW w:w="2223" w:type="dxa"/>
            <w:noWrap w:val="0"/>
            <w:vAlign w:val="center"/>
          </w:tcPr>
          <w:p w14:paraId="4F9A7110">
            <w:pPr>
              <w:pStyle w:val="58"/>
              <w:spacing w:line="276" w:lineRule="auto"/>
              <w:ind w:firstLine="0" w:firstLineChars="0"/>
              <w:rPr>
                <w:rFonts w:ascii="宋体" w:hAnsi="宋体" w:cs="宋体"/>
                <w:color w:val="000000"/>
                <w:szCs w:val="21"/>
              </w:rPr>
            </w:pPr>
            <w:r>
              <w:rPr>
                <w:rFonts w:hint="eastAsia" w:ascii="宋体" w:hAnsi="宋体"/>
                <w:color w:val="000000"/>
                <w:spacing w:val="2"/>
                <w:kern w:val="0"/>
                <w:szCs w:val="21"/>
              </w:rPr>
              <w:t>毕业要求</w:t>
            </w:r>
            <w:r>
              <w:rPr>
                <w:rFonts w:hint="eastAsia" w:ascii="宋体" w:hAnsi="宋体" w:cs="宋体"/>
                <w:color w:val="000000"/>
                <w:szCs w:val="21"/>
              </w:rPr>
              <w:t>3.学科素养</w:t>
            </w:r>
          </w:p>
          <w:p w14:paraId="5A043076">
            <w:pPr>
              <w:pStyle w:val="58"/>
              <w:spacing w:line="276" w:lineRule="auto"/>
              <w:ind w:firstLine="0" w:firstLineChars="0"/>
              <w:rPr>
                <w:rFonts w:hint="eastAsia" w:ascii="宋体" w:hAnsi="宋体" w:cs="宋体"/>
                <w:color w:val="000000"/>
                <w:szCs w:val="21"/>
              </w:rPr>
            </w:pPr>
            <w:r>
              <w:rPr>
                <w:rFonts w:hint="eastAsia" w:ascii="宋体" w:hAnsi="宋体"/>
                <w:color w:val="000000"/>
                <w:spacing w:val="2"/>
                <w:kern w:val="0"/>
                <w:szCs w:val="21"/>
              </w:rPr>
              <w:t>毕业要求7.学会反思</w:t>
            </w:r>
          </w:p>
        </w:tc>
        <w:tc>
          <w:tcPr>
            <w:tcW w:w="4977" w:type="dxa"/>
            <w:noWrap w:val="0"/>
            <w:vAlign w:val="center"/>
          </w:tcPr>
          <w:p w14:paraId="3CC4F4CD">
            <w:pPr>
              <w:pStyle w:val="58"/>
              <w:spacing w:line="276" w:lineRule="auto"/>
              <w:ind w:firstLine="0" w:firstLineChars="0"/>
              <w:jc w:val="left"/>
              <w:rPr>
                <w:rFonts w:ascii="宋体" w:hAnsi="宋体" w:cs="宋体"/>
                <w:color w:val="000000"/>
                <w:szCs w:val="21"/>
              </w:rPr>
            </w:pPr>
            <w:r>
              <w:rPr>
                <w:rFonts w:hint="eastAsia" w:ascii="宋体" w:hAnsi="宋体" w:cs="宋体"/>
                <w:color w:val="000000"/>
                <w:szCs w:val="21"/>
              </w:rPr>
              <w:t>3-1：【教育基础扎实】具有良好的人文底蕴与科学素养，掌握教育理论基本知识，能够结合小学生认知发展特点，运用教育原理和方法，分析和解决教育教学实践中的问题。</w:t>
            </w:r>
          </w:p>
          <w:p w14:paraId="3BDE85D7">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36DD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noWrap w:val="0"/>
            <w:vAlign w:val="center"/>
          </w:tcPr>
          <w:p w14:paraId="5622BCCF">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课程目标3</w:t>
            </w:r>
          </w:p>
        </w:tc>
        <w:tc>
          <w:tcPr>
            <w:tcW w:w="2223" w:type="dxa"/>
            <w:noWrap w:val="0"/>
            <w:vAlign w:val="center"/>
          </w:tcPr>
          <w:p w14:paraId="6BDDA4C9">
            <w:pPr>
              <w:pStyle w:val="58"/>
              <w:spacing w:line="276" w:lineRule="auto"/>
              <w:ind w:firstLine="0" w:firstLineChars="0"/>
              <w:rPr>
                <w:rFonts w:ascii="宋体" w:hAnsi="宋体"/>
                <w:color w:val="000000"/>
                <w:spacing w:val="2"/>
                <w:kern w:val="0"/>
                <w:szCs w:val="21"/>
              </w:rPr>
            </w:pPr>
            <w:r>
              <w:rPr>
                <w:rFonts w:hint="eastAsia" w:ascii="宋体" w:hAnsi="宋体"/>
                <w:color w:val="000000"/>
                <w:spacing w:val="2"/>
                <w:kern w:val="0"/>
                <w:szCs w:val="21"/>
              </w:rPr>
              <w:t>毕业要求4.学会教学</w:t>
            </w:r>
          </w:p>
          <w:p w14:paraId="0F64F07A">
            <w:pPr>
              <w:pStyle w:val="58"/>
              <w:spacing w:line="276" w:lineRule="auto"/>
              <w:ind w:firstLine="0" w:firstLineChars="0"/>
              <w:rPr>
                <w:rFonts w:hint="eastAsia" w:ascii="宋体" w:hAnsi="宋体"/>
                <w:color w:val="000000"/>
                <w:spacing w:val="2"/>
                <w:kern w:val="0"/>
                <w:szCs w:val="21"/>
              </w:rPr>
            </w:pPr>
            <w:r>
              <w:rPr>
                <w:rFonts w:hint="eastAsia" w:ascii="宋体" w:hAnsi="宋体"/>
                <w:color w:val="000000"/>
                <w:spacing w:val="2"/>
                <w:kern w:val="0"/>
                <w:szCs w:val="21"/>
              </w:rPr>
              <w:t>毕业要求7.学会反思</w:t>
            </w:r>
          </w:p>
        </w:tc>
        <w:tc>
          <w:tcPr>
            <w:tcW w:w="4977" w:type="dxa"/>
            <w:noWrap w:val="0"/>
            <w:vAlign w:val="center"/>
          </w:tcPr>
          <w:p w14:paraId="3F52ED10">
            <w:pPr>
              <w:pStyle w:val="58"/>
              <w:spacing w:line="276" w:lineRule="auto"/>
              <w:ind w:firstLine="0" w:firstLineChars="0"/>
              <w:jc w:val="left"/>
              <w:rPr>
                <w:rFonts w:ascii="宋体" w:hAnsi="宋体" w:cs="宋体"/>
                <w:color w:val="000000"/>
                <w:szCs w:val="21"/>
              </w:rPr>
            </w:pPr>
            <w:r>
              <w:rPr>
                <w:rFonts w:hint="eastAsia" w:ascii="宋体" w:hAnsi="宋体" w:cs="宋体"/>
                <w:color w:val="000000"/>
                <w:szCs w:val="21"/>
              </w:rPr>
              <w:t>4-4：【教学研究能力好】掌握教育研究的基本方法，结合小学教育教学实践进行研究，具有一定的教学研究能力。</w:t>
            </w:r>
          </w:p>
          <w:p w14:paraId="67578035">
            <w:pPr>
              <w:pStyle w:val="58"/>
              <w:spacing w:line="276" w:lineRule="auto"/>
              <w:ind w:firstLine="0" w:firstLineChars="0"/>
              <w:jc w:val="left"/>
              <w:rPr>
                <w:rFonts w:hint="eastAsia" w:ascii="宋体" w:hAnsi="宋体" w:cs="宋体"/>
                <w:color w:val="000000"/>
                <w:szCs w:val="21"/>
              </w:rPr>
            </w:pPr>
            <w:r>
              <w:rPr>
                <w:rFonts w:hint="eastAsia" w:ascii="宋体" w:hAnsi="宋体" w:cs="宋体"/>
                <w:color w:val="000000"/>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05E2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noWrap w:val="0"/>
            <w:vAlign w:val="center"/>
          </w:tcPr>
          <w:p w14:paraId="717A6B13">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 4</w:t>
            </w:r>
          </w:p>
        </w:tc>
        <w:tc>
          <w:tcPr>
            <w:tcW w:w="2223" w:type="dxa"/>
            <w:noWrap w:val="0"/>
            <w:vAlign w:val="center"/>
          </w:tcPr>
          <w:p w14:paraId="4E8560D5">
            <w:pPr>
              <w:pStyle w:val="58"/>
              <w:spacing w:line="276" w:lineRule="auto"/>
              <w:ind w:firstLine="0" w:firstLineChars="0"/>
              <w:rPr>
                <w:rFonts w:hint="eastAsia" w:ascii="宋体" w:hAnsi="宋体" w:cs="宋体"/>
                <w:color w:val="000000"/>
                <w:szCs w:val="21"/>
              </w:rPr>
            </w:pPr>
            <w:r>
              <w:rPr>
                <w:rFonts w:hint="eastAsia" w:ascii="宋体" w:hAnsi="宋体"/>
                <w:color w:val="000000"/>
                <w:spacing w:val="2"/>
                <w:kern w:val="0"/>
                <w:szCs w:val="21"/>
              </w:rPr>
              <w:t>毕业要求1.师德规范</w:t>
            </w:r>
            <w:r>
              <w:rPr>
                <w:rFonts w:ascii="宋体" w:hAnsi="宋体"/>
                <w:color w:val="000000"/>
                <w:kern w:val="0"/>
                <w:szCs w:val="21"/>
              </w:rPr>
              <w:t>毕业要求</w:t>
            </w:r>
            <w:r>
              <w:rPr>
                <w:rFonts w:hint="eastAsia" w:ascii="宋体" w:hAnsi="宋体"/>
                <w:color w:val="000000"/>
                <w:spacing w:val="2"/>
                <w:kern w:val="0"/>
                <w:szCs w:val="21"/>
              </w:rPr>
              <w:t>7</w:t>
            </w:r>
            <w:r>
              <w:rPr>
                <w:rFonts w:ascii="宋体" w:hAnsi="宋体"/>
                <w:color w:val="000000"/>
                <w:spacing w:val="2"/>
                <w:kern w:val="0"/>
                <w:szCs w:val="21"/>
              </w:rPr>
              <w:t>.</w:t>
            </w:r>
            <w:r>
              <w:rPr>
                <w:rFonts w:hint="eastAsia" w:ascii="宋体" w:hAnsi="宋体"/>
                <w:color w:val="000000"/>
                <w:spacing w:val="2"/>
                <w:kern w:val="0"/>
                <w:szCs w:val="21"/>
              </w:rPr>
              <w:t>学会反思</w:t>
            </w:r>
          </w:p>
        </w:tc>
        <w:tc>
          <w:tcPr>
            <w:tcW w:w="4977" w:type="dxa"/>
            <w:noWrap w:val="0"/>
            <w:vAlign w:val="center"/>
          </w:tcPr>
          <w:p w14:paraId="53D58658">
            <w:pPr>
              <w:pStyle w:val="58"/>
              <w:spacing w:line="276" w:lineRule="auto"/>
              <w:ind w:firstLine="0" w:firstLineChars="0"/>
              <w:jc w:val="left"/>
              <w:rPr>
                <w:rFonts w:ascii="宋体" w:hAnsi="宋体" w:cs="宋体"/>
                <w:color w:val="000000"/>
                <w:szCs w:val="21"/>
              </w:rPr>
            </w:pPr>
            <w:bookmarkStart w:id="181" w:name="_Hlk23907141"/>
            <w:r>
              <w:rPr>
                <w:rFonts w:hint="eastAsia" w:ascii="宋体" w:hAnsi="宋体" w:cs="宋体"/>
                <w:color w:val="000000"/>
                <w:szCs w:val="21"/>
              </w:rPr>
              <w:t>1-1：</w:t>
            </w:r>
            <w:r>
              <w:rPr>
                <w:rFonts w:hint="eastAsia"/>
                <w:szCs w:val="21"/>
              </w:rPr>
              <w:t>【理想信念坚定】</w:t>
            </w:r>
            <w:r>
              <w:rPr>
                <w:rFonts w:hint="eastAsia"/>
                <w:szCs w:val="23"/>
              </w:rPr>
              <w:t>认同中国特色社会主义，贯彻党的教育方针，自觉践行社会主义核心价值观，树立职业理想，立志成为有理想信念、有道德情操、有扎实学识、有仁爱之心的好教师。</w:t>
            </w:r>
            <w:r>
              <w:rPr>
                <w:rFonts w:ascii="宋体" w:hAnsi="宋体" w:cs="宋体"/>
                <w:color w:val="000000"/>
                <w:szCs w:val="21"/>
              </w:rPr>
              <w:t xml:space="preserve"> </w:t>
            </w:r>
          </w:p>
          <w:bookmarkEnd w:id="181"/>
          <w:p w14:paraId="10F929FF">
            <w:pPr>
              <w:pStyle w:val="58"/>
              <w:spacing w:line="276" w:lineRule="auto"/>
              <w:ind w:firstLine="0" w:firstLineChars="0"/>
              <w:jc w:val="left"/>
              <w:rPr>
                <w:rFonts w:hint="eastAsia" w:ascii="宋体" w:hAnsi="宋体"/>
                <w:color w:val="000000"/>
                <w:kern w:val="0"/>
                <w:szCs w:val="21"/>
              </w:rPr>
            </w:pPr>
            <w:r>
              <w:rPr>
                <w:rFonts w:hint="eastAsia" w:ascii="宋体" w:hAnsi="宋体" w:cs="宋体"/>
                <w:color w:val="000000"/>
                <w:szCs w:val="21"/>
              </w:rPr>
              <w:t>7-1：</w:t>
            </w:r>
            <w:r>
              <w:rPr>
                <w:rFonts w:hint="eastAsia"/>
                <w:szCs w:val="21"/>
              </w:rPr>
              <w:t>【教育视野开阔】</w:t>
            </w:r>
            <w:r>
              <w:rPr>
                <w:szCs w:val="21"/>
              </w:rPr>
              <w:t>积极参加基础教育领域的国内外交流，了解国内外基础教育改革发展的动态，具有宽广的教育视野</w:t>
            </w:r>
            <w:r>
              <w:rPr>
                <w:rFonts w:hint="eastAsia"/>
                <w:szCs w:val="21"/>
              </w:rPr>
              <w:t>，能够主动适应新时代和教育发展需求。</w:t>
            </w:r>
          </w:p>
        </w:tc>
      </w:tr>
    </w:tbl>
    <w:p w14:paraId="0A4B3D43">
      <w:pPr>
        <w:spacing w:line="360" w:lineRule="auto"/>
        <w:outlineLvl w:val="0"/>
        <w:rPr>
          <w:rFonts w:ascii="宋体" w:hAnsi="宋体"/>
          <w:b/>
          <w:color w:val="000000"/>
          <w:sz w:val="28"/>
          <w:szCs w:val="28"/>
        </w:rPr>
      </w:pPr>
      <w:r>
        <w:rPr>
          <w:rFonts w:hint="eastAsia" w:ascii="宋体" w:hAnsi="宋体"/>
          <w:b/>
          <w:color w:val="000000"/>
          <w:sz w:val="28"/>
          <w:szCs w:val="28"/>
        </w:rPr>
        <w:t>三</w:t>
      </w:r>
      <w:r>
        <w:rPr>
          <w:rFonts w:ascii="宋体" w:hAnsi="宋体"/>
          <w:b/>
          <w:color w:val="000000"/>
          <w:sz w:val="28"/>
          <w:szCs w:val="28"/>
        </w:rPr>
        <w:t>、课程内容及要求</w:t>
      </w:r>
    </w:p>
    <w:p w14:paraId="003497F4">
      <w:pPr>
        <w:spacing w:line="360" w:lineRule="auto"/>
        <w:jc w:val="left"/>
        <w:rPr>
          <w:rFonts w:hint="eastAsia"/>
          <w:bCs/>
          <w:kern w:val="0"/>
          <w:sz w:val="24"/>
          <w:szCs w:val="21"/>
        </w:rPr>
      </w:pPr>
      <w:r>
        <w:rPr>
          <w:rFonts w:hint="eastAsia"/>
          <w:b/>
          <w:kern w:val="0"/>
          <w:sz w:val="24"/>
          <w:szCs w:val="21"/>
        </w:rPr>
        <w:t>（一）教育论文写作概述</w:t>
      </w:r>
      <w:r>
        <w:rPr>
          <w:rFonts w:hint="eastAsia"/>
          <w:bCs/>
          <w:kern w:val="0"/>
          <w:sz w:val="24"/>
          <w:szCs w:val="21"/>
        </w:rPr>
        <w:t>（</w:t>
      </w:r>
      <w:bookmarkStart w:id="182" w:name="_Hlk18817917"/>
      <w:r>
        <w:rPr>
          <w:rFonts w:hint="eastAsia"/>
          <w:bCs/>
          <w:kern w:val="0"/>
          <w:sz w:val="24"/>
          <w:szCs w:val="21"/>
        </w:rPr>
        <w:t>本模块各知识点的讲授与学习，可以支撑课程目标1）</w:t>
      </w:r>
    </w:p>
    <w:bookmarkEnd w:id="182"/>
    <w:p w14:paraId="3275B455">
      <w:pPr>
        <w:spacing w:line="360" w:lineRule="auto"/>
        <w:jc w:val="left"/>
        <w:rPr>
          <w:rFonts w:hint="eastAsia"/>
          <w:b/>
          <w:bCs/>
          <w:kern w:val="0"/>
          <w:sz w:val="24"/>
          <w:szCs w:val="21"/>
        </w:rPr>
      </w:pPr>
      <w:r>
        <w:rPr>
          <w:rFonts w:hint="eastAsia"/>
          <w:b/>
          <w:bCs/>
          <w:kern w:val="0"/>
          <w:sz w:val="24"/>
          <w:szCs w:val="21"/>
        </w:rPr>
        <w:t>1．教学内容</w:t>
      </w:r>
    </w:p>
    <w:p w14:paraId="40F21F1A">
      <w:pPr>
        <w:spacing w:line="360" w:lineRule="auto"/>
        <w:jc w:val="left"/>
        <w:rPr>
          <w:rFonts w:hint="eastAsia"/>
          <w:kern w:val="0"/>
          <w:sz w:val="24"/>
          <w:szCs w:val="21"/>
        </w:rPr>
      </w:pPr>
      <w:r>
        <w:rPr>
          <w:rFonts w:hint="eastAsia"/>
          <w:kern w:val="0"/>
          <w:sz w:val="24"/>
          <w:szCs w:val="21"/>
        </w:rPr>
        <w:t>（1）教育论文写作的意义</w:t>
      </w:r>
    </w:p>
    <w:p w14:paraId="22A906FA">
      <w:pPr>
        <w:spacing w:line="360" w:lineRule="auto"/>
        <w:jc w:val="left"/>
        <w:rPr>
          <w:rFonts w:hint="eastAsia"/>
          <w:kern w:val="0"/>
          <w:sz w:val="24"/>
          <w:szCs w:val="21"/>
        </w:rPr>
      </w:pPr>
      <w:r>
        <w:rPr>
          <w:rFonts w:hint="eastAsia"/>
          <w:kern w:val="0"/>
          <w:sz w:val="24"/>
          <w:szCs w:val="21"/>
        </w:rPr>
        <w:t>（2）教育论文写作的一般步骤</w:t>
      </w:r>
    </w:p>
    <w:p w14:paraId="32EA3E1A">
      <w:pPr>
        <w:spacing w:line="360" w:lineRule="auto"/>
        <w:jc w:val="left"/>
        <w:rPr>
          <w:rFonts w:hint="eastAsia"/>
          <w:kern w:val="0"/>
          <w:sz w:val="24"/>
          <w:szCs w:val="21"/>
        </w:rPr>
      </w:pPr>
      <w:r>
        <w:rPr>
          <w:rFonts w:hint="eastAsia"/>
          <w:kern w:val="0"/>
          <w:sz w:val="24"/>
          <w:szCs w:val="21"/>
        </w:rPr>
        <w:t>（3）教育论文写作的学术规范</w:t>
      </w:r>
    </w:p>
    <w:p w14:paraId="696ECCD1">
      <w:pPr>
        <w:spacing w:line="360" w:lineRule="auto"/>
        <w:jc w:val="left"/>
        <w:rPr>
          <w:rFonts w:hint="eastAsia"/>
          <w:b/>
          <w:bCs/>
          <w:kern w:val="0"/>
          <w:sz w:val="24"/>
          <w:szCs w:val="21"/>
        </w:rPr>
      </w:pPr>
      <w:r>
        <w:rPr>
          <w:rFonts w:hint="eastAsia"/>
          <w:b/>
          <w:bCs/>
          <w:kern w:val="0"/>
          <w:sz w:val="24"/>
          <w:szCs w:val="21"/>
        </w:rPr>
        <w:t>2．基本要求</w:t>
      </w:r>
    </w:p>
    <w:p w14:paraId="5AF9478C">
      <w:pPr>
        <w:spacing w:line="360" w:lineRule="auto"/>
        <w:jc w:val="left"/>
        <w:rPr>
          <w:rFonts w:hint="eastAsia"/>
          <w:kern w:val="0"/>
          <w:sz w:val="24"/>
          <w:szCs w:val="21"/>
        </w:rPr>
      </w:pPr>
      <w:bookmarkStart w:id="183" w:name="_Hlk23903878"/>
      <w:r>
        <w:rPr>
          <w:rFonts w:hint="eastAsia"/>
          <w:kern w:val="0"/>
          <w:sz w:val="24"/>
          <w:szCs w:val="21"/>
        </w:rPr>
        <w:t>（1）理解论文写作的意义；</w:t>
      </w:r>
    </w:p>
    <w:p w14:paraId="5E538B45">
      <w:pPr>
        <w:spacing w:line="360" w:lineRule="auto"/>
        <w:jc w:val="left"/>
        <w:rPr>
          <w:rFonts w:hint="eastAsia"/>
          <w:kern w:val="0"/>
          <w:sz w:val="24"/>
          <w:szCs w:val="21"/>
        </w:rPr>
      </w:pPr>
      <w:r>
        <w:rPr>
          <w:rFonts w:hint="eastAsia"/>
          <w:kern w:val="0"/>
          <w:sz w:val="24"/>
          <w:szCs w:val="21"/>
        </w:rPr>
        <w:t>（2）掌握教育论文写作的基本步骤；</w:t>
      </w:r>
    </w:p>
    <w:p w14:paraId="7AC32B1F">
      <w:pPr>
        <w:spacing w:line="360" w:lineRule="auto"/>
        <w:jc w:val="left"/>
        <w:rPr>
          <w:kern w:val="0"/>
          <w:sz w:val="24"/>
          <w:szCs w:val="21"/>
        </w:rPr>
      </w:pPr>
      <w:r>
        <w:rPr>
          <w:rFonts w:hint="eastAsia"/>
          <w:kern w:val="0"/>
          <w:sz w:val="24"/>
          <w:szCs w:val="21"/>
        </w:rPr>
        <w:t>（3）了解教育论文写作的学术规范，恪守学术道德。</w:t>
      </w:r>
    </w:p>
    <w:bookmarkEnd w:id="183"/>
    <w:p w14:paraId="14EFCD40">
      <w:pPr>
        <w:spacing w:line="360" w:lineRule="auto"/>
        <w:rPr>
          <w:rFonts w:hint="eastAsia" w:ascii="宋体" w:hAnsi="宋体"/>
          <w:bCs/>
          <w:color w:val="000000"/>
          <w:sz w:val="24"/>
          <w:szCs w:val="22"/>
        </w:rPr>
      </w:pPr>
      <w:bookmarkStart w:id="184" w:name="_Hlk18817414"/>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：教育论文写作的一般步骤 </w:t>
      </w:r>
    </w:p>
    <w:p w14:paraId="666DA9E4">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教育论文的选题</w:t>
      </w:r>
    </w:p>
    <w:p w14:paraId="585491D5">
      <w:pPr>
        <w:spacing w:line="360" w:lineRule="auto"/>
        <w:jc w:val="left"/>
        <w:rPr>
          <w:rFonts w:hint="eastAsia"/>
          <w:b/>
          <w:color w:val="000000"/>
          <w:kern w:val="0"/>
          <w:sz w:val="24"/>
          <w:szCs w:val="21"/>
        </w:rPr>
      </w:pPr>
      <w:r>
        <w:rPr>
          <w:rFonts w:hint="eastAsia" w:ascii="宋体" w:hAnsi="宋体"/>
          <w:b/>
          <w:color w:val="000000"/>
          <w:sz w:val="24"/>
          <w:szCs w:val="22"/>
        </w:rPr>
        <w:t>5.</w:t>
      </w:r>
      <w:r>
        <w:rPr>
          <w:b/>
          <w:color w:val="000000"/>
          <w:kern w:val="0"/>
          <w:sz w:val="24"/>
          <w:szCs w:val="21"/>
        </w:rPr>
        <w:t xml:space="preserve"> </w:t>
      </w:r>
      <w:r>
        <w:rPr>
          <w:rFonts w:hint="eastAsia"/>
          <w:b/>
          <w:color w:val="000000"/>
          <w:kern w:val="0"/>
          <w:sz w:val="24"/>
          <w:szCs w:val="21"/>
        </w:rPr>
        <w:t>课程思政育人目标</w:t>
      </w:r>
    </w:p>
    <w:p w14:paraId="3B13A355">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bookmarkEnd w:id="184"/>
    <w:p w14:paraId="3489DDE8">
      <w:pPr>
        <w:spacing w:line="360" w:lineRule="auto"/>
        <w:jc w:val="left"/>
        <w:rPr>
          <w:rFonts w:hint="eastAsia"/>
          <w:bCs/>
          <w:kern w:val="0"/>
          <w:sz w:val="24"/>
          <w:szCs w:val="21"/>
        </w:rPr>
      </w:pPr>
      <w:bookmarkStart w:id="185" w:name="_Hlk23880851"/>
      <w:r>
        <w:rPr>
          <w:rFonts w:hint="eastAsia"/>
          <w:b/>
          <w:kern w:val="0"/>
          <w:sz w:val="24"/>
          <w:szCs w:val="21"/>
        </w:rPr>
        <w:t>（二）学术期刊论文的写作</w:t>
      </w:r>
      <w:r>
        <w:rPr>
          <w:rFonts w:hint="eastAsia"/>
          <w:bCs/>
          <w:kern w:val="0"/>
          <w:sz w:val="24"/>
          <w:szCs w:val="21"/>
        </w:rPr>
        <w:t>（</w:t>
      </w:r>
      <w:bookmarkStart w:id="186" w:name="_Hlk23906736"/>
      <w:r>
        <w:rPr>
          <w:rFonts w:hint="eastAsia"/>
          <w:bCs/>
          <w:kern w:val="0"/>
          <w:sz w:val="24"/>
          <w:szCs w:val="21"/>
        </w:rPr>
        <w:t>本模块各知识点的讲授与学习，可以支撑课程目标2和课程目标3</w:t>
      </w:r>
      <w:bookmarkEnd w:id="186"/>
      <w:r>
        <w:rPr>
          <w:rFonts w:hint="eastAsia"/>
          <w:bCs/>
          <w:kern w:val="0"/>
          <w:sz w:val="24"/>
          <w:szCs w:val="21"/>
        </w:rPr>
        <w:t>）</w:t>
      </w:r>
    </w:p>
    <w:p w14:paraId="3025877A">
      <w:pPr>
        <w:spacing w:line="360" w:lineRule="auto"/>
        <w:jc w:val="left"/>
        <w:rPr>
          <w:rFonts w:hint="eastAsia"/>
          <w:b/>
          <w:bCs/>
          <w:kern w:val="0"/>
          <w:sz w:val="24"/>
          <w:szCs w:val="21"/>
        </w:rPr>
      </w:pPr>
      <w:r>
        <w:rPr>
          <w:rFonts w:hint="eastAsia"/>
          <w:b/>
          <w:bCs/>
          <w:kern w:val="0"/>
          <w:sz w:val="24"/>
          <w:szCs w:val="21"/>
        </w:rPr>
        <w:t>1．教学内容</w:t>
      </w:r>
    </w:p>
    <w:p w14:paraId="136CF0EF">
      <w:pPr>
        <w:spacing w:line="360" w:lineRule="auto"/>
        <w:jc w:val="left"/>
        <w:rPr>
          <w:rFonts w:hint="eastAsia"/>
          <w:kern w:val="0"/>
          <w:sz w:val="24"/>
          <w:szCs w:val="21"/>
        </w:rPr>
      </w:pPr>
      <w:r>
        <w:rPr>
          <w:rFonts w:hint="eastAsia"/>
          <w:kern w:val="0"/>
          <w:sz w:val="24"/>
          <w:szCs w:val="21"/>
        </w:rPr>
        <w:t>（1）学术期刊论文标题的拟定</w:t>
      </w:r>
    </w:p>
    <w:p w14:paraId="3FFCD368">
      <w:pPr>
        <w:spacing w:line="360" w:lineRule="auto"/>
        <w:jc w:val="left"/>
        <w:rPr>
          <w:rFonts w:hint="eastAsia"/>
          <w:kern w:val="0"/>
          <w:sz w:val="24"/>
          <w:szCs w:val="21"/>
        </w:rPr>
      </w:pPr>
      <w:r>
        <w:rPr>
          <w:rFonts w:hint="eastAsia"/>
          <w:kern w:val="0"/>
          <w:sz w:val="24"/>
          <w:szCs w:val="21"/>
        </w:rPr>
        <w:t>（2）学术期刊论文摘要的撰写</w:t>
      </w:r>
    </w:p>
    <w:p w14:paraId="6F5BBFE3">
      <w:pPr>
        <w:spacing w:line="360" w:lineRule="auto"/>
        <w:jc w:val="left"/>
        <w:rPr>
          <w:rFonts w:hint="eastAsia"/>
          <w:kern w:val="0"/>
          <w:sz w:val="24"/>
          <w:szCs w:val="21"/>
        </w:rPr>
      </w:pPr>
      <w:r>
        <w:rPr>
          <w:rFonts w:hint="eastAsia"/>
          <w:kern w:val="0"/>
          <w:sz w:val="24"/>
          <w:szCs w:val="21"/>
        </w:rPr>
        <w:t>（3）学术期刊论文引言的撰写</w:t>
      </w:r>
    </w:p>
    <w:p w14:paraId="3823EDC1">
      <w:pPr>
        <w:spacing w:line="360" w:lineRule="auto"/>
        <w:jc w:val="left"/>
        <w:rPr>
          <w:kern w:val="0"/>
          <w:sz w:val="24"/>
          <w:szCs w:val="21"/>
        </w:rPr>
      </w:pPr>
      <w:r>
        <w:rPr>
          <w:rFonts w:hint="eastAsia"/>
          <w:kern w:val="0"/>
          <w:sz w:val="24"/>
          <w:szCs w:val="21"/>
        </w:rPr>
        <w:t>（4）学术期刊论文正文的撰写</w:t>
      </w:r>
    </w:p>
    <w:p w14:paraId="7617096B">
      <w:pPr>
        <w:spacing w:line="360" w:lineRule="auto"/>
        <w:jc w:val="left"/>
        <w:rPr>
          <w:rFonts w:hint="eastAsia"/>
          <w:kern w:val="0"/>
          <w:sz w:val="24"/>
          <w:szCs w:val="21"/>
        </w:rPr>
      </w:pPr>
      <w:r>
        <w:rPr>
          <w:rFonts w:hint="eastAsia"/>
          <w:kern w:val="0"/>
          <w:sz w:val="24"/>
          <w:szCs w:val="21"/>
        </w:rPr>
        <w:t>（5）学术期刊论文结语的撰写</w:t>
      </w:r>
    </w:p>
    <w:bookmarkEnd w:id="185"/>
    <w:p w14:paraId="36D4A0D4">
      <w:pPr>
        <w:spacing w:line="360" w:lineRule="auto"/>
        <w:jc w:val="left"/>
        <w:rPr>
          <w:rFonts w:hint="eastAsia"/>
          <w:kern w:val="0"/>
          <w:sz w:val="24"/>
          <w:szCs w:val="21"/>
        </w:rPr>
      </w:pPr>
      <w:r>
        <w:rPr>
          <w:rFonts w:hint="eastAsia"/>
          <w:kern w:val="0"/>
          <w:sz w:val="24"/>
          <w:szCs w:val="21"/>
        </w:rPr>
        <w:t>（6）学术期刊论文参考文献的标注</w:t>
      </w:r>
    </w:p>
    <w:p w14:paraId="5673F997">
      <w:pPr>
        <w:spacing w:line="360" w:lineRule="auto"/>
        <w:jc w:val="left"/>
        <w:rPr>
          <w:rFonts w:hint="eastAsia"/>
          <w:b/>
          <w:bCs/>
          <w:kern w:val="0"/>
          <w:sz w:val="24"/>
          <w:szCs w:val="21"/>
        </w:rPr>
      </w:pPr>
      <w:bookmarkStart w:id="187" w:name="_Hlk23881311"/>
      <w:r>
        <w:rPr>
          <w:rFonts w:hint="eastAsia"/>
          <w:b/>
          <w:bCs/>
          <w:kern w:val="0"/>
          <w:sz w:val="24"/>
          <w:szCs w:val="21"/>
        </w:rPr>
        <w:t>2．基本要求</w:t>
      </w:r>
    </w:p>
    <w:p w14:paraId="22B505E7">
      <w:pPr>
        <w:spacing w:line="360" w:lineRule="auto"/>
        <w:jc w:val="left"/>
        <w:rPr>
          <w:rFonts w:hint="eastAsia"/>
          <w:kern w:val="0"/>
          <w:sz w:val="24"/>
          <w:szCs w:val="21"/>
        </w:rPr>
      </w:pPr>
      <w:r>
        <w:rPr>
          <w:rFonts w:hint="eastAsia"/>
          <w:kern w:val="0"/>
          <w:sz w:val="24"/>
          <w:szCs w:val="21"/>
        </w:rPr>
        <w:t>（1）</w:t>
      </w:r>
      <w:bookmarkStart w:id="188" w:name="_Hlk23904034"/>
      <w:r>
        <w:rPr>
          <w:rFonts w:hint="eastAsia"/>
          <w:kern w:val="0"/>
          <w:sz w:val="24"/>
          <w:szCs w:val="21"/>
        </w:rPr>
        <w:t>了解教育论文（期刊论文）的基本结构；</w:t>
      </w:r>
    </w:p>
    <w:p w14:paraId="6126C45B">
      <w:pPr>
        <w:spacing w:line="360" w:lineRule="auto"/>
        <w:jc w:val="left"/>
        <w:rPr>
          <w:rFonts w:hint="eastAsia"/>
          <w:kern w:val="0"/>
          <w:sz w:val="24"/>
          <w:szCs w:val="21"/>
        </w:rPr>
      </w:pPr>
      <w:r>
        <w:rPr>
          <w:rFonts w:hint="eastAsia"/>
          <w:kern w:val="0"/>
          <w:sz w:val="24"/>
          <w:szCs w:val="21"/>
        </w:rPr>
        <w:t>（2）掌握教育论文各组成部分的写作方法；</w:t>
      </w:r>
    </w:p>
    <w:p w14:paraId="437AE28B">
      <w:pPr>
        <w:spacing w:line="360" w:lineRule="auto"/>
        <w:jc w:val="left"/>
        <w:rPr>
          <w:kern w:val="0"/>
          <w:sz w:val="24"/>
          <w:szCs w:val="21"/>
        </w:rPr>
      </w:pPr>
      <w:r>
        <w:rPr>
          <w:rFonts w:hint="eastAsia"/>
          <w:kern w:val="0"/>
          <w:sz w:val="24"/>
          <w:szCs w:val="21"/>
        </w:rPr>
        <w:t xml:space="preserve">（3）能够撰写符合规范的小论文。 </w:t>
      </w:r>
    </w:p>
    <w:bookmarkEnd w:id="188"/>
    <w:p w14:paraId="4068BA6C">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教育论文引言、正文、结语的写法</w:t>
      </w:r>
    </w:p>
    <w:p w14:paraId="3E9D054B">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教育论文正文的写作方法</w:t>
      </w:r>
    </w:p>
    <w:p w14:paraId="2568FF4B">
      <w:pPr>
        <w:spacing w:line="360" w:lineRule="auto"/>
        <w:jc w:val="left"/>
        <w:rPr>
          <w:b/>
          <w:color w:val="000000"/>
          <w:kern w:val="0"/>
          <w:sz w:val="24"/>
          <w:szCs w:val="21"/>
        </w:rPr>
      </w:pPr>
      <w:bookmarkStart w:id="189" w:name="_Hlk55763462"/>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课程思政育人目标</w:t>
      </w:r>
    </w:p>
    <w:p w14:paraId="22B81AD0">
      <w:pPr>
        <w:spacing w:line="360" w:lineRule="auto"/>
        <w:jc w:val="left"/>
        <w:rPr>
          <w:rFonts w:hint="eastAsia"/>
          <w:bCs/>
          <w:color w:val="000000"/>
          <w:kern w:val="0"/>
          <w:sz w:val="24"/>
          <w:szCs w:val="21"/>
        </w:rPr>
      </w:pPr>
      <w:r>
        <w:rPr>
          <w:rFonts w:hint="eastAsia"/>
          <w:b/>
          <w:color w:val="000000"/>
          <w:kern w:val="0"/>
          <w:sz w:val="24"/>
          <w:szCs w:val="21"/>
        </w:rPr>
        <w:t xml:space="preserve"> </w:t>
      </w:r>
      <w:r>
        <w:rPr>
          <w:b/>
          <w:color w:val="000000"/>
          <w:kern w:val="0"/>
          <w:sz w:val="24"/>
          <w:szCs w:val="21"/>
        </w:rPr>
        <w:t xml:space="preserve"> </w:t>
      </w:r>
      <w:r>
        <w:rPr>
          <w:bCs/>
          <w:color w:val="000000"/>
          <w:kern w:val="0"/>
          <w:sz w:val="24"/>
          <w:szCs w:val="21"/>
        </w:rPr>
        <w:t xml:space="preserve"> </w:t>
      </w:r>
      <w:r>
        <w:rPr>
          <w:rFonts w:hint="eastAsia"/>
          <w:bCs/>
          <w:color w:val="000000"/>
          <w:kern w:val="0"/>
          <w:sz w:val="24"/>
          <w:szCs w:val="21"/>
        </w:rPr>
        <w:t>正确处理整体和部分的关系，准确把握主要矛盾和次要矛盾；践行社会主义核心价值观，坚持“四个自信”；虚心学习，实事求是，培养和形成朴素、严谨的文风</w:t>
      </w:r>
      <w:bookmarkStart w:id="190" w:name="_Hlk55764118"/>
      <w:r>
        <w:rPr>
          <w:rFonts w:hint="eastAsia"/>
          <w:bCs/>
          <w:color w:val="000000"/>
          <w:kern w:val="0"/>
          <w:sz w:val="24"/>
          <w:szCs w:val="21"/>
        </w:rPr>
        <w:t>；遵守学术规范，恪守学术诚信；学会创新，善于分析和解决人民群众关心的热点问题</w:t>
      </w:r>
      <w:bookmarkEnd w:id="189"/>
      <w:r>
        <w:rPr>
          <w:rFonts w:hint="eastAsia"/>
          <w:bCs/>
          <w:color w:val="000000"/>
          <w:kern w:val="0"/>
          <w:sz w:val="24"/>
          <w:szCs w:val="21"/>
        </w:rPr>
        <w:t>。</w:t>
      </w:r>
    </w:p>
    <w:bookmarkEnd w:id="190"/>
    <w:p w14:paraId="70F25368">
      <w:pPr>
        <w:spacing w:line="360" w:lineRule="auto"/>
        <w:jc w:val="left"/>
        <w:rPr>
          <w:rFonts w:hint="eastAsia"/>
          <w:bCs/>
          <w:kern w:val="0"/>
          <w:sz w:val="24"/>
          <w:szCs w:val="21"/>
        </w:rPr>
      </w:pPr>
      <w:r>
        <w:rPr>
          <w:rFonts w:hint="eastAsia"/>
          <w:b/>
          <w:kern w:val="0"/>
          <w:sz w:val="24"/>
          <w:szCs w:val="21"/>
        </w:rPr>
        <w:t>（三）教育综述论文的写作</w:t>
      </w:r>
      <w:r>
        <w:rPr>
          <w:rFonts w:hint="eastAsia"/>
          <w:bCs/>
          <w:kern w:val="0"/>
          <w:sz w:val="24"/>
          <w:szCs w:val="21"/>
        </w:rPr>
        <w:t>（本模块各知识点的讲授与学习，可以支撑课程目标2和课程目标3）</w:t>
      </w:r>
    </w:p>
    <w:p w14:paraId="1C7018D7">
      <w:pPr>
        <w:spacing w:line="360" w:lineRule="auto"/>
        <w:jc w:val="left"/>
        <w:rPr>
          <w:rFonts w:hint="eastAsia"/>
          <w:b/>
          <w:bCs/>
          <w:kern w:val="0"/>
          <w:sz w:val="24"/>
          <w:szCs w:val="21"/>
        </w:rPr>
      </w:pPr>
      <w:r>
        <w:rPr>
          <w:rFonts w:hint="eastAsia"/>
          <w:b/>
          <w:bCs/>
          <w:kern w:val="0"/>
          <w:sz w:val="24"/>
          <w:szCs w:val="21"/>
        </w:rPr>
        <w:t>1. 教学内容</w:t>
      </w:r>
    </w:p>
    <w:p w14:paraId="1027306B">
      <w:pPr>
        <w:spacing w:line="360" w:lineRule="auto"/>
        <w:jc w:val="left"/>
        <w:rPr>
          <w:kern w:val="0"/>
          <w:sz w:val="24"/>
          <w:szCs w:val="21"/>
        </w:rPr>
      </w:pPr>
      <w:r>
        <w:rPr>
          <w:rFonts w:hint="eastAsia"/>
          <w:kern w:val="0"/>
          <w:sz w:val="24"/>
          <w:szCs w:val="21"/>
        </w:rPr>
        <w:t>（1）教育综述论文的结构特点</w:t>
      </w:r>
    </w:p>
    <w:p w14:paraId="2379FD74">
      <w:pPr>
        <w:spacing w:line="360" w:lineRule="auto"/>
        <w:jc w:val="left"/>
        <w:rPr>
          <w:rFonts w:hint="eastAsia"/>
          <w:kern w:val="0"/>
          <w:sz w:val="24"/>
          <w:szCs w:val="21"/>
        </w:rPr>
      </w:pPr>
      <w:r>
        <w:rPr>
          <w:rFonts w:hint="eastAsia"/>
          <w:kern w:val="0"/>
          <w:sz w:val="24"/>
          <w:szCs w:val="21"/>
        </w:rPr>
        <w:t xml:space="preserve">（2）教育综述论文的语言特点 </w:t>
      </w:r>
    </w:p>
    <w:p w14:paraId="43A8DD95">
      <w:pPr>
        <w:spacing w:line="360" w:lineRule="auto"/>
        <w:jc w:val="left"/>
        <w:rPr>
          <w:rFonts w:hint="eastAsia"/>
          <w:kern w:val="0"/>
          <w:sz w:val="24"/>
          <w:szCs w:val="21"/>
        </w:rPr>
      </w:pPr>
      <w:r>
        <w:rPr>
          <w:rFonts w:hint="eastAsia"/>
          <w:kern w:val="0"/>
          <w:sz w:val="24"/>
          <w:szCs w:val="21"/>
        </w:rPr>
        <w:t>（3）教育综述论文的撰写要点</w:t>
      </w:r>
    </w:p>
    <w:p w14:paraId="5738A9D3">
      <w:pPr>
        <w:spacing w:line="360" w:lineRule="auto"/>
        <w:jc w:val="left"/>
        <w:rPr>
          <w:rFonts w:hint="eastAsia"/>
          <w:b/>
          <w:bCs/>
          <w:kern w:val="0"/>
          <w:sz w:val="24"/>
          <w:szCs w:val="21"/>
        </w:rPr>
      </w:pPr>
      <w:r>
        <w:rPr>
          <w:rFonts w:hint="eastAsia"/>
          <w:b/>
          <w:bCs/>
          <w:kern w:val="0"/>
          <w:sz w:val="24"/>
          <w:szCs w:val="21"/>
        </w:rPr>
        <w:t>2. 基本要求</w:t>
      </w:r>
    </w:p>
    <w:p w14:paraId="326C2E06">
      <w:pPr>
        <w:spacing w:line="360" w:lineRule="auto"/>
        <w:jc w:val="left"/>
        <w:rPr>
          <w:rFonts w:hint="eastAsia"/>
          <w:kern w:val="0"/>
          <w:sz w:val="24"/>
          <w:szCs w:val="21"/>
        </w:rPr>
      </w:pPr>
      <w:r>
        <w:rPr>
          <w:rFonts w:hint="eastAsia"/>
          <w:kern w:val="0"/>
          <w:sz w:val="24"/>
          <w:szCs w:val="21"/>
        </w:rPr>
        <w:t>（1）熟悉教育综述论文的结构特点；</w:t>
      </w:r>
    </w:p>
    <w:p w14:paraId="06B3B68A">
      <w:pPr>
        <w:spacing w:line="360" w:lineRule="auto"/>
        <w:jc w:val="left"/>
        <w:rPr>
          <w:rFonts w:hint="eastAsia"/>
          <w:kern w:val="0"/>
          <w:sz w:val="24"/>
          <w:szCs w:val="21"/>
        </w:rPr>
      </w:pPr>
      <w:r>
        <w:rPr>
          <w:rFonts w:hint="eastAsia"/>
          <w:kern w:val="0"/>
          <w:sz w:val="24"/>
          <w:szCs w:val="21"/>
        </w:rPr>
        <w:t>（2）结合实例，了解教育综述论文的语言特点；</w:t>
      </w:r>
    </w:p>
    <w:p w14:paraId="736B234E">
      <w:pPr>
        <w:spacing w:line="360" w:lineRule="auto"/>
        <w:jc w:val="left"/>
        <w:rPr>
          <w:kern w:val="0"/>
          <w:sz w:val="24"/>
          <w:szCs w:val="21"/>
        </w:rPr>
      </w:pPr>
      <w:r>
        <w:rPr>
          <w:rFonts w:hint="eastAsia"/>
          <w:kern w:val="0"/>
          <w:sz w:val="24"/>
          <w:szCs w:val="21"/>
        </w:rPr>
        <w:t xml:space="preserve">（3）能够结合自身的学习和研究，撰写符合规范的教育综述小论文。 </w:t>
      </w:r>
    </w:p>
    <w:p w14:paraId="5A539C77">
      <w:pPr>
        <w:spacing w:line="360" w:lineRule="auto"/>
        <w:jc w:val="left"/>
        <w:rPr>
          <w:rFonts w:hint="eastAsia"/>
          <w:b/>
          <w:color w:val="000000"/>
          <w:kern w:val="0"/>
          <w:sz w:val="24"/>
          <w:szCs w:val="21"/>
        </w:rPr>
      </w:pPr>
      <w:r>
        <w:rPr>
          <w:rFonts w:hint="eastAsia"/>
          <w:b/>
          <w:color w:val="000000"/>
          <w:kern w:val="0"/>
          <w:sz w:val="24"/>
          <w:szCs w:val="21"/>
        </w:rPr>
        <w:t>3.</w:t>
      </w:r>
      <w:r>
        <w:rPr>
          <w:b/>
          <w:color w:val="000000"/>
          <w:kern w:val="0"/>
          <w:sz w:val="24"/>
          <w:szCs w:val="21"/>
        </w:rPr>
        <w:t xml:space="preserve"> </w:t>
      </w:r>
      <w:r>
        <w:rPr>
          <w:rFonts w:hint="eastAsia"/>
          <w:b/>
          <w:color w:val="000000"/>
          <w:kern w:val="0"/>
          <w:sz w:val="24"/>
          <w:szCs w:val="21"/>
        </w:rPr>
        <w:t>教学重点：</w:t>
      </w:r>
      <w:r>
        <w:rPr>
          <w:rFonts w:hint="eastAsia"/>
          <w:kern w:val="0"/>
          <w:sz w:val="24"/>
          <w:szCs w:val="21"/>
        </w:rPr>
        <w:t>教育综述论文的结构特点</w:t>
      </w:r>
    </w:p>
    <w:p w14:paraId="09524039">
      <w:pPr>
        <w:spacing w:line="360" w:lineRule="auto"/>
        <w:jc w:val="left"/>
        <w:rPr>
          <w:bCs/>
          <w:color w:val="000000"/>
          <w:kern w:val="0"/>
          <w:sz w:val="24"/>
          <w:szCs w:val="21"/>
        </w:rPr>
      </w:pPr>
      <w:r>
        <w:rPr>
          <w:rFonts w:hint="eastAsia"/>
          <w:b/>
          <w:color w:val="000000"/>
          <w:kern w:val="0"/>
          <w:sz w:val="24"/>
          <w:szCs w:val="21"/>
        </w:rPr>
        <w:t>4.</w:t>
      </w:r>
      <w:r>
        <w:rPr>
          <w:b/>
          <w:color w:val="000000"/>
          <w:kern w:val="0"/>
          <w:sz w:val="24"/>
          <w:szCs w:val="21"/>
        </w:rPr>
        <w:t xml:space="preserve"> </w:t>
      </w:r>
      <w:r>
        <w:rPr>
          <w:rFonts w:hint="eastAsia"/>
          <w:b/>
          <w:color w:val="000000"/>
          <w:kern w:val="0"/>
          <w:sz w:val="24"/>
          <w:szCs w:val="21"/>
        </w:rPr>
        <w:t>教学难点：</w:t>
      </w:r>
      <w:r>
        <w:rPr>
          <w:rFonts w:hint="eastAsia"/>
          <w:kern w:val="0"/>
          <w:sz w:val="24"/>
          <w:szCs w:val="21"/>
        </w:rPr>
        <w:t>教育综述论文的撰写</w:t>
      </w:r>
    </w:p>
    <w:p w14:paraId="2443EF99">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bookmarkEnd w:id="187"/>
    <w:p w14:paraId="18C3E172">
      <w:pPr>
        <w:spacing w:line="360" w:lineRule="auto"/>
        <w:jc w:val="left"/>
        <w:rPr>
          <w:rFonts w:hint="eastAsia"/>
          <w:bCs/>
          <w:kern w:val="0"/>
          <w:sz w:val="24"/>
          <w:szCs w:val="21"/>
        </w:rPr>
      </w:pPr>
      <w:bookmarkStart w:id="191" w:name="_Hlk23883770"/>
      <w:r>
        <w:rPr>
          <w:rFonts w:hint="eastAsia"/>
          <w:b/>
          <w:kern w:val="0"/>
          <w:sz w:val="24"/>
          <w:szCs w:val="21"/>
        </w:rPr>
        <w:t>（四）教育经验总结论文的写作</w:t>
      </w:r>
      <w:r>
        <w:rPr>
          <w:rFonts w:hint="eastAsia"/>
          <w:bCs/>
          <w:kern w:val="0"/>
          <w:sz w:val="24"/>
          <w:szCs w:val="21"/>
        </w:rPr>
        <w:t>（本模块各知识点的讲授与学习，可以支撑课程目标2和课程目标3）</w:t>
      </w:r>
    </w:p>
    <w:p w14:paraId="32C79FBE">
      <w:pPr>
        <w:spacing w:line="360" w:lineRule="auto"/>
        <w:jc w:val="left"/>
        <w:rPr>
          <w:rFonts w:hint="eastAsia"/>
          <w:b/>
          <w:bCs/>
          <w:kern w:val="0"/>
          <w:sz w:val="24"/>
          <w:szCs w:val="21"/>
        </w:rPr>
      </w:pPr>
      <w:bookmarkStart w:id="192" w:name="_Hlk23882202"/>
      <w:r>
        <w:rPr>
          <w:rFonts w:hint="eastAsia"/>
          <w:b/>
          <w:bCs/>
          <w:kern w:val="0"/>
          <w:sz w:val="24"/>
          <w:szCs w:val="21"/>
        </w:rPr>
        <w:t>1. 教学内容</w:t>
      </w:r>
    </w:p>
    <w:p w14:paraId="35215AC6">
      <w:pPr>
        <w:spacing w:line="360" w:lineRule="auto"/>
        <w:jc w:val="left"/>
        <w:rPr>
          <w:rFonts w:hint="eastAsia"/>
          <w:kern w:val="0"/>
          <w:sz w:val="24"/>
          <w:szCs w:val="21"/>
        </w:rPr>
      </w:pPr>
      <w:r>
        <w:rPr>
          <w:rFonts w:hint="eastAsia"/>
          <w:kern w:val="0"/>
          <w:sz w:val="24"/>
          <w:szCs w:val="21"/>
        </w:rPr>
        <w:t xml:space="preserve">（1）教育经验总结论文的类别及其结构 </w:t>
      </w:r>
    </w:p>
    <w:p w14:paraId="23EF38BE">
      <w:pPr>
        <w:spacing w:line="360" w:lineRule="auto"/>
        <w:jc w:val="left"/>
        <w:rPr>
          <w:rFonts w:hint="eastAsia"/>
          <w:kern w:val="0"/>
          <w:sz w:val="24"/>
          <w:szCs w:val="21"/>
        </w:rPr>
      </w:pPr>
      <w:r>
        <w:rPr>
          <w:rFonts w:hint="eastAsia"/>
          <w:kern w:val="0"/>
          <w:sz w:val="24"/>
          <w:szCs w:val="21"/>
        </w:rPr>
        <w:t>（2）具体经验总结论文的撰写</w:t>
      </w:r>
    </w:p>
    <w:p w14:paraId="7EB73E65">
      <w:pPr>
        <w:spacing w:line="360" w:lineRule="auto"/>
        <w:jc w:val="left"/>
        <w:rPr>
          <w:kern w:val="0"/>
          <w:sz w:val="24"/>
          <w:szCs w:val="21"/>
        </w:rPr>
      </w:pPr>
      <w:r>
        <w:rPr>
          <w:rFonts w:hint="eastAsia"/>
          <w:kern w:val="0"/>
          <w:sz w:val="24"/>
          <w:szCs w:val="21"/>
        </w:rPr>
        <w:t>（3）一般经验总结论文的撰写</w:t>
      </w:r>
    </w:p>
    <w:p w14:paraId="671B5FE7">
      <w:pPr>
        <w:spacing w:line="360" w:lineRule="auto"/>
        <w:jc w:val="left"/>
        <w:rPr>
          <w:rFonts w:hint="eastAsia"/>
          <w:kern w:val="0"/>
          <w:sz w:val="24"/>
          <w:szCs w:val="21"/>
        </w:rPr>
      </w:pPr>
      <w:r>
        <w:rPr>
          <w:rFonts w:hint="eastAsia"/>
          <w:kern w:val="0"/>
          <w:sz w:val="24"/>
          <w:szCs w:val="21"/>
        </w:rPr>
        <w:t>（4）理论性经验总结论文的撰写</w:t>
      </w:r>
    </w:p>
    <w:p w14:paraId="787483BE">
      <w:pPr>
        <w:spacing w:line="360" w:lineRule="auto"/>
        <w:jc w:val="left"/>
        <w:rPr>
          <w:rFonts w:hint="eastAsia"/>
          <w:b/>
          <w:bCs/>
          <w:kern w:val="0"/>
          <w:sz w:val="24"/>
          <w:szCs w:val="21"/>
        </w:rPr>
      </w:pPr>
      <w:r>
        <w:rPr>
          <w:rFonts w:hint="eastAsia"/>
          <w:b/>
          <w:bCs/>
          <w:kern w:val="0"/>
          <w:sz w:val="24"/>
          <w:szCs w:val="21"/>
        </w:rPr>
        <w:t>2. 基本要求</w:t>
      </w:r>
    </w:p>
    <w:p w14:paraId="74A9782E">
      <w:pPr>
        <w:spacing w:line="360" w:lineRule="auto"/>
        <w:jc w:val="left"/>
        <w:rPr>
          <w:rFonts w:hint="eastAsia"/>
          <w:kern w:val="0"/>
          <w:sz w:val="24"/>
          <w:szCs w:val="21"/>
        </w:rPr>
      </w:pPr>
      <w:r>
        <w:rPr>
          <w:rFonts w:hint="eastAsia"/>
          <w:kern w:val="0"/>
          <w:sz w:val="24"/>
          <w:szCs w:val="21"/>
        </w:rPr>
        <w:t>（1）熟悉教育经验总结类论文的结构特点；</w:t>
      </w:r>
    </w:p>
    <w:p w14:paraId="6C3059BB">
      <w:pPr>
        <w:spacing w:line="360" w:lineRule="auto"/>
        <w:jc w:val="left"/>
        <w:rPr>
          <w:rFonts w:hint="eastAsia"/>
          <w:kern w:val="0"/>
          <w:sz w:val="24"/>
          <w:szCs w:val="21"/>
        </w:rPr>
      </w:pPr>
      <w:r>
        <w:rPr>
          <w:rFonts w:hint="eastAsia"/>
          <w:kern w:val="0"/>
          <w:sz w:val="24"/>
          <w:szCs w:val="21"/>
        </w:rPr>
        <w:t>（2）结合实例，了解教育经验总结类论文的语言特点；</w:t>
      </w:r>
    </w:p>
    <w:p w14:paraId="732DD872">
      <w:pPr>
        <w:spacing w:line="360" w:lineRule="auto"/>
        <w:jc w:val="left"/>
        <w:rPr>
          <w:kern w:val="0"/>
          <w:sz w:val="24"/>
          <w:szCs w:val="21"/>
        </w:rPr>
      </w:pPr>
      <w:r>
        <w:rPr>
          <w:rFonts w:hint="eastAsia"/>
          <w:kern w:val="0"/>
          <w:sz w:val="24"/>
          <w:szCs w:val="21"/>
        </w:rPr>
        <w:t>（3）初步掌握教育经验总结类论文的写作要点；</w:t>
      </w:r>
    </w:p>
    <w:p w14:paraId="2E90F72E">
      <w:pPr>
        <w:spacing w:line="360" w:lineRule="auto"/>
        <w:jc w:val="left"/>
        <w:rPr>
          <w:kern w:val="0"/>
          <w:sz w:val="24"/>
          <w:szCs w:val="21"/>
        </w:rPr>
      </w:pPr>
      <w:r>
        <w:rPr>
          <w:rFonts w:hint="eastAsia"/>
          <w:kern w:val="0"/>
          <w:sz w:val="24"/>
          <w:szCs w:val="21"/>
        </w:rPr>
        <w:t xml:space="preserve">（4）能够结合教育实践，撰写符合规范的具体教育经验总结小论文（教学随笔或教学反思）。 </w:t>
      </w:r>
    </w:p>
    <w:bookmarkEnd w:id="191"/>
    <w:bookmarkEnd w:id="192"/>
    <w:p w14:paraId="1A801073">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具体教育经验总结论文</w:t>
      </w:r>
    </w:p>
    <w:p w14:paraId="6157695A">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理论性教育经验总结论文</w:t>
      </w:r>
    </w:p>
    <w:p w14:paraId="0B6194B8">
      <w:pPr>
        <w:spacing w:line="360" w:lineRule="auto"/>
        <w:jc w:val="left"/>
        <w:rPr>
          <w:rFonts w:hint="eastAsia"/>
          <w:b/>
          <w:color w:val="000000"/>
          <w:kern w:val="0"/>
          <w:sz w:val="24"/>
          <w:szCs w:val="21"/>
        </w:rPr>
      </w:pPr>
      <w:bookmarkStart w:id="193" w:name="_Hlk55764357"/>
      <w:r>
        <w:rPr>
          <w:rFonts w:hint="eastAsia"/>
          <w:b/>
          <w:color w:val="000000"/>
          <w:kern w:val="0"/>
          <w:sz w:val="24"/>
          <w:szCs w:val="21"/>
        </w:rPr>
        <w:t>5. 课程思政育人目标</w:t>
      </w:r>
    </w:p>
    <w:bookmarkEnd w:id="193"/>
    <w:p w14:paraId="7EA57FE5">
      <w:pPr>
        <w:spacing w:line="360" w:lineRule="auto"/>
        <w:jc w:val="left"/>
        <w:rPr>
          <w:rFonts w:hint="eastAsia"/>
          <w:bCs/>
          <w:color w:val="000000"/>
          <w:kern w:val="0"/>
          <w:sz w:val="24"/>
          <w:szCs w:val="21"/>
        </w:rPr>
      </w:pPr>
      <w:r>
        <w:rPr>
          <w:rFonts w:hint="eastAsia"/>
          <w:bCs/>
          <w:color w:val="000000"/>
          <w:kern w:val="0"/>
          <w:sz w:val="24"/>
          <w:szCs w:val="21"/>
        </w:rPr>
        <w:t xml:space="preserve">  理解学校教育工作的价值和意义；把握教育改革和发展的本质规律；尊重科学、尊重事实， 遵循教育规律和儿童身心发展，尊重儿童个性，培养和形成正确的儿童观，热爱儿童、关心儿童的品质；</w:t>
      </w:r>
      <w:bookmarkStart w:id="194" w:name="_Hlk55794280"/>
      <w:r>
        <w:rPr>
          <w:rFonts w:hint="eastAsia"/>
          <w:bCs/>
          <w:color w:val="000000"/>
          <w:kern w:val="0"/>
          <w:sz w:val="24"/>
          <w:szCs w:val="21"/>
        </w:rPr>
        <w:t>遵守学术规范，恪守学术诚信。</w:t>
      </w:r>
      <w:bookmarkEnd w:id="194"/>
    </w:p>
    <w:p w14:paraId="3DDEC626">
      <w:pPr>
        <w:spacing w:line="360" w:lineRule="auto"/>
        <w:jc w:val="left"/>
        <w:rPr>
          <w:rFonts w:hint="eastAsia"/>
          <w:bCs/>
          <w:kern w:val="0"/>
          <w:sz w:val="24"/>
          <w:szCs w:val="21"/>
        </w:rPr>
      </w:pPr>
      <w:r>
        <w:rPr>
          <w:rFonts w:hint="eastAsia"/>
          <w:b/>
          <w:kern w:val="0"/>
          <w:sz w:val="24"/>
          <w:szCs w:val="21"/>
        </w:rPr>
        <w:t>（五）教育调查报告及实验报告的写作</w:t>
      </w:r>
      <w:r>
        <w:rPr>
          <w:rFonts w:hint="eastAsia"/>
          <w:bCs/>
          <w:kern w:val="0"/>
          <w:sz w:val="24"/>
          <w:szCs w:val="21"/>
        </w:rPr>
        <w:t>（本模块各知识点的讲授与学习，可以支撑课程目标2和课程目标3）</w:t>
      </w:r>
    </w:p>
    <w:p w14:paraId="122229A6">
      <w:pPr>
        <w:spacing w:line="360" w:lineRule="auto"/>
        <w:jc w:val="left"/>
        <w:rPr>
          <w:rFonts w:hint="eastAsia"/>
          <w:b/>
          <w:bCs/>
          <w:kern w:val="0"/>
          <w:sz w:val="24"/>
          <w:szCs w:val="21"/>
        </w:rPr>
      </w:pPr>
      <w:r>
        <w:rPr>
          <w:rFonts w:hint="eastAsia"/>
          <w:b/>
          <w:bCs/>
          <w:kern w:val="0"/>
          <w:sz w:val="24"/>
          <w:szCs w:val="21"/>
        </w:rPr>
        <w:t>1. 教学内容</w:t>
      </w:r>
    </w:p>
    <w:p w14:paraId="5085B4B4">
      <w:pPr>
        <w:spacing w:line="360" w:lineRule="auto"/>
        <w:jc w:val="left"/>
        <w:rPr>
          <w:kern w:val="0"/>
          <w:sz w:val="24"/>
          <w:szCs w:val="21"/>
        </w:rPr>
      </w:pPr>
      <w:r>
        <w:rPr>
          <w:rFonts w:hint="eastAsia"/>
          <w:kern w:val="0"/>
          <w:sz w:val="24"/>
          <w:szCs w:val="21"/>
        </w:rPr>
        <w:t>（1）教育调查报告的结构特点及写作要求</w:t>
      </w:r>
    </w:p>
    <w:p w14:paraId="46B86CE2">
      <w:pPr>
        <w:spacing w:line="360" w:lineRule="auto"/>
        <w:jc w:val="left"/>
        <w:rPr>
          <w:rFonts w:hint="eastAsia"/>
          <w:kern w:val="0"/>
          <w:sz w:val="24"/>
          <w:szCs w:val="21"/>
        </w:rPr>
      </w:pPr>
      <w:r>
        <w:rPr>
          <w:rFonts w:hint="eastAsia"/>
          <w:kern w:val="0"/>
          <w:sz w:val="24"/>
          <w:szCs w:val="21"/>
        </w:rPr>
        <w:t xml:space="preserve">（2）教育实验报告的结构特点与写作要求 </w:t>
      </w:r>
    </w:p>
    <w:p w14:paraId="70AE889C">
      <w:pPr>
        <w:spacing w:line="360" w:lineRule="auto"/>
        <w:jc w:val="left"/>
        <w:rPr>
          <w:rFonts w:hint="eastAsia"/>
          <w:b/>
          <w:bCs/>
          <w:kern w:val="0"/>
          <w:sz w:val="24"/>
          <w:szCs w:val="21"/>
        </w:rPr>
      </w:pPr>
      <w:r>
        <w:rPr>
          <w:rFonts w:hint="eastAsia"/>
          <w:b/>
          <w:bCs/>
          <w:kern w:val="0"/>
          <w:sz w:val="24"/>
          <w:szCs w:val="21"/>
        </w:rPr>
        <w:t>2. 基本要求</w:t>
      </w:r>
    </w:p>
    <w:p w14:paraId="3F50E911">
      <w:pPr>
        <w:spacing w:line="360" w:lineRule="auto"/>
        <w:jc w:val="left"/>
        <w:rPr>
          <w:rFonts w:hint="eastAsia"/>
          <w:kern w:val="0"/>
          <w:sz w:val="24"/>
          <w:szCs w:val="21"/>
        </w:rPr>
      </w:pPr>
      <w:r>
        <w:rPr>
          <w:rFonts w:hint="eastAsia"/>
          <w:kern w:val="0"/>
          <w:sz w:val="24"/>
          <w:szCs w:val="21"/>
        </w:rPr>
        <w:t>（1）结合实例，了解教育调查报告、教育实验报告的结构特点；</w:t>
      </w:r>
    </w:p>
    <w:p w14:paraId="613525F6">
      <w:pPr>
        <w:spacing w:line="360" w:lineRule="auto"/>
        <w:jc w:val="left"/>
        <w:rPr>
          <w:kern w:val="0"/>
          <w:sz w:val="24"/>
          <w:szCs w:val="21"/>
        </w:rPr>
      </w:pPr>
      <w:r>
        <w:rPr>
          <w:rFonts w:hint="eastAsia"/>
          <w:kern w:val="0"/>
          <w:sz w:val="24"/>
          <w:szCs w:val="21"/>
        </w:rPr>
        <w:t xml:space="preserve">（2）能够结合教育实践（开展微型教育调查），撰写符合规范的教育调查报告。 </w:t>
      </w:r>
    </w:p>
    <w:p w14:paraId="0701C8BD">
      <w:pPr>
        <w:spacing w:line="360" w:lineRule="auto"/>
        <w:jc w:val="left"/>
        <w:rPr>
          <w:kern w:val="0"/>
          <w:sz w:val="24"/>
          <w:szCs w:val="21"/>
        </w:rPr>
      </w:pPr>
      <w:r>
        <w:rPr>
          <w:rFonts w:hint="eastAsia"/>
          <w:kern w:val="0"/>
          <w:sz w:val="24"/>
          <w:szCs w:val="21"/>
        </w:rPr>
        <w:t>（3）能够结合教育实践，提出教育实验课题，列出教育实验报告的框架。</w:t>
      </w:r>
    </w:p>
    <w:p w14:paraId="5B0C70E7">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kern w:val="0"/>
          <w:sz w:val="24"/>
          <w:szCs w:val="21"/>
        </w:rPr>
        <w:t>教育调查报告的结构特点及写作要求</w:t>
      </w:r>
    </w:p>
    <w:p w14:paraId="51041577">
      <w:pPr>
        <w:spacing w:line="360" w:lineRule="auto"/>
        <w:jc w:val="left"/>
        <w:rPr>
          <w:kern w:val="0"/>
          <w:sz w:val="24"/>
          <w:szCs w:val="21"/>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kern w:val="0"/>
          <w:sz w:val="24"/>
          <w:szCs w:val="21"/>
        </w:rPr>
        <w:t>教育实验报告的结构特点与写作要求</w:t>
      </w:r>
    </w:p>
    <w:p w14:paraId="786C87CA">
      <w:pPr>
        <w:spacing w:line="360" w:lineRule="auto"/>
        <w:jc w:val="left"/>
        <w:rPr>
          <w:b/>
          <w:color w:val="000000"/>
          <w:kern w:val="0"/>
          <w:sz w:val="24"/>
          <w:szCs w:val="21"/>
        </w:rPr>
      </w:pPr>
      <w:r>
        <w:rPr>
          <w:rFonts w:hint="eastAsia"/>
          <w:b/>
          <w:color w:val="000000"/>
          <w:kern w:val="0"/>
          <w:sz w:val="24"/>
          <w:szCs w:val="21"/>
        </w:rPr>
        <w:t xml:space="preserve">5. </w:t>
      </w:r>
      <w:bookmarkStart w:id="195" w:name="_Hlk55764557"/>
      <w:r>
        <w:rPr>
          <w:rFonts w:hint="eastAsia"/>
          <w:b/>
          <w:color w:val="000000"/>
          <w:kern w:val="0"/>
          <w:sz w:val="24"/>
          <w:szCs w:val="21"/>
        </w:rPr>
        <w:t>课程思政育人目标</w:t>
      </w:r>
      <w:bookmarkEnd w:id="195"/>
    </w:p>
    <w:p w14:paraId="54A81448">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了解基础教育改革与发展的本质规律，准确把握事物的主要矛盾和次要矛盾；培养和形成朴素、严谨的文风。</w:t>
      </w:r>
    </w:p>
    <w:p w14:paraId="681035EC">
      <w:pPr>
        <w:spacing w:line="360" w:lineRule="auto"/>
        <w:jc w:val="left"/>
        <w:rPr>
          <w:rFonts w:hint="eastAsia"/>
          <w:b/>
          <w:kern w:val="0"/>
          <w:sz w:val="24"/>
          <w:szCs w:val="21"/>
        </w:rPr>
      </w:pPr>
      <w:r>
        <w:rPr>
          <w:rFonts w:hint="eastAsia"/>
          <w:b/>
          <w:kern w:val="0"/>
          <w:sz w:val="24"/>
          <w:szCs w:val="21"/>
        </w:rPr>
        <w:t>（六）教育叙事论文的写作（</w:t>
      </w:r>
      <w:r>
        <w:rPr>
          <w:rFonts w:hint="eastAsia"/>
          <w:bCs/>
          <w:kern w:val="0"/>
          <w:sz w:val="24"/>
          <w:szCs w:val="21"/>
        </w:rPr>
        <w:t>本模块各知识点的讲授与学习，可以支撑课程目标2和课程目标3</w:t>
      </w:r>
      <w:r>
        <w:rPr>
          <w:rFonts w:hint="eastAsia"/>
          <w:b/>
          <w:kern w:val="0"/>
          <w:sz w:val="24"/>
          <w:szCs w:val="21"/>
        </w:rPr>
        <w:t>）</w:t>
      </w:r>
    </w:p>
    <w:p w14:paraId="3262F1E8">
      <w:pPr>
        <w:spacing w:line="360" w:lineRule="auto"/>
        <w:jc w:val="left"/>
        <w:rPr>
          <w:rFonts w:hint="eastAsia"/>
          <w:b/>
          <w:bCs/>
          <w:kern w:val="0"/>
          <w:sz w:val="24"/>
          <w:szCs w:val="21"/>
        </w:rPr>
      </w:pPr>
      <w:r>
        <w:rPr>
          <w:rFonts w:hint="eastAsia"/>
          <w:b/>
          <w:bCs/>
          <w:kern w:val="0"/>
          <w:sz w:val="24"/>
          <w:szCs w:val="21"/>
        </w:rPr>
        <w:t>1. 教学内容</w:t>
      </w:r>
    </w:p>
    <w:p w14:paraId="23BCED17">
      <w:pPr>
        <w:spacing w:line="360" w:lineRule="auto"/>
        <w:jc w:val="left"/>
        <w:rPr>
          <w:rFonts w:hint="eastAsia"/>
          <w:kern w:val="0"/>
          <w:sz w:val="24"/>
          <w:szCs w:val="21"/>
        </w:rPr>
      </w:pPr>
      <w:r>
        <w:rPr>
          <w:rFonts w:hint="eastAsia"/>
          <w:kern w:val="0"/>
          <w:sz w:val="24"/>
          <w:szCs w:val="21"/>
        </w:rPr>
        <w:t xml:space="preserve">（1）教育叙事论文的结构 </w:t>
      </w:r>
    </w:p>
    <w:p w14:paraId="4B6DD6E3">
      <w:pPr>
        <w:spacing w:line="360" w:lineRule="auto"/>
        <w:jc w:val="left"/>
        <w:rPr>
          <w:rFonts w:hint="eastAsia"/>
          <w:kern w:val="0"/>
          <w:sz w:val="24"/>
          <w:szCs w:val="21"/>
        </w:rPr>
      </w:pPr>
      <w:r>
        <w:rPr>
          <w:rFonts w:hint="eastAsia"/>
          <w:kern w:val="0"/>
          <w:sz w:val="24"/>
          <w:szCs w:val="21"/>
        </w:rPr>
        <w:t>（2）教育叙事论文的写作程序与方法</w:t>
      </w:r>
    </w:p>
    <w:p w14:paraId="69DDC35D">
      <w:pPr>
        <w:spacing w:line="360" w:lineRule="auto"/>
        <w:jc w:val="left"/>
        <w:rPr>
          <w:rFonts w:hint="eastAsia"/>
          <w:b/>
          <w:bCs/>
          <w:kern w:val="0"/>
          <w:sz w:val="24"/>
          <w:szCs w:val="21"/>
        </w:rPr>
      </w:pPr>
      <w:r>
        <w:rPr>
          <w:rFonts w:hint="eastAsia"/>
          <w:b/>
          <w:bCs/>
          <w:kern w:val="0"/>
          <w:sz w:val="24"/>
          <w:szCs w:val="21"/>
        </w:rPr>
        <w:t>2. 基本要求</w:t>
      </w:r>
    </w:p>
    <w:p w14:paraId="6B7CCCF7">
      <w:pPr>
        <w:spacing w:line="360" w:lineRule="auto"/>
        <w:jc w:val="left"/>
        <w:rPr>
          <w:kern w:val="0"/>
          <w:sz w:val="24"/>
          <w:szCs w:val="21"/>
        </w:rPr>
      </w:pPr>
      <w:r>
        <w:rPr>
          <w:rFonts w:hint="eastAsia"/>
          <w:kern w:val="0"/>
          <w:sz w:val="24"/>
          <w:szCs w:val="21"/>
        </w:rPr>
        <w:t>（1）结合实例，学会分析教育叙事论文的结构；</w:t>
      </w:r>
    </w:p>
    <w:p w14:paraId="4468D9EC">
      <w:pPr>
        <w:spacing w:line="360" w:lineRule="auto"/>
        <w:jc w:val="left"/>
        <w:rPr>
          <w:rFonts w:hint="eastAsia"/>
          <w:kern w:val="0"/>
          <w:sz w:val="24"/>
          <w:szCs w:val="21"/>
        </w:rPr>
      </w:pPr>
      <w:r>
        <w:rPr>
          <w:rFonts w:hint="eastAsia"/>
          <w:kern w:val="0"/>
          <w:sz w:val="24"/>
          <w:szCs w:val="21"/>
        </w:rPr>
        <w:t>（2）掌握教育叙事研究的“深度描写”的基本要求；</w:t>
      </w:r>
    </w:p>
    <w:p w14:paraId="164C7BCC">
      <w:pPr>
        <w:spacing w:line="360" w:lineRule="auto"/>
        <w:jc w:val="left"/>
        <w:rPr>
          <w:kern w:val="0"/>
          <w:sz w:val="24"/>
          <w:szCs w:val="21"/>
        </w:rPr>
      </w:pPr>
      <w:r>
        <w:rPr>
          <w:rFonts w:hint="eastAsia"/>
          <w:kern w:val="0"/>
          <w:sz w:val="24"/>
          <w:szCs w:val="21"/>
        </w:rPr>
        <w:t>（3）能够结合教育实践，尝试撰写教育叙事论文。</w:t>
      </w:r>
    </w:p>
    <w:p w14:paraId="2BC82B7D">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kern w:val="0"/>
          <w:sz w:val="24"/>
          <w:szCs w:val="21"/>
        </w:rPr>
        <w:t>教育叙事论文的结构特点与写作方法</w:t>
      </w:r>
    </w:p>
    <w:p w14:paraId="1FFC35BF">
      <w:pPr>
        <w:spacing w:line="360" w:lineRule="auto"/>
        <w:jc w:val="left"/>
        <w:rPr>
          <w:kern w:val="0"/>
          <w:sz w:val="24"/>
          <w:szCs w:val="21"/>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kern w:val="0"/>
          <w:sz w:val="24"/>
          <w:szCs w:val="21"/>
        </w:rPr>
        <w:t>教育叙事研究的写作</w:t>
      </w:r>
    </w:p>
    <w:p w14:paraId="586A512C">
      <w:pPr>
        <w:spacing w:line="360" w:lineRule="auto"/>
        <w:jc w:val="left"/>
        <w:rPr>
          <w:b/>
          <w:color w:val="000000"/>
          <w:kern w:val="0"/>
          <w:sz w:val="24"/>
          <w:szCs w:val="21"/>
        </w:rPr>
      </w:pPr>
      <w:bookmarkStart w:id="196" w:name="_Hlk55793988"/>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课程思政育人目标</w:t>
      </w:r>
    </w:p>
    <w:bookmarkEnd w:id="196"/>
    <w:p w14:paraId="217DAFB9">
      <w:pPr>
        <w:spacing w:line="360" w:lineRule="auto"/>
        <w:ind w:firstLine="480" w:firstLineChars="200"/>
        <w:jc w:val="left"/>
        <w:rPr>
          <w:rFonts w:hint="eastAsia"/>
          <w:bCs/>
          <w:color w:val="000000"/>
          <w:kern w:val="0"/>
          <w:sz w:val="24"/>
          <w:szCs w:val="21"/>
        </w:rPr>
      </w:pPr>
      <w:r>
        <w:rPr>
          <w:rFonts w:hint="eastAsia"/>
          <w:bCs/>
          <w:color w:val="000000"/>
          <w:kern w:val="0"/>
          <w:sz w:val="24"/>
          <w:szCs w:val="21"/>
        </w:rPr>
        <w:t>培养和形成深厚的教育情怀，走进儿童心灵，关心、关爱儿童；形成脚踏实地、实事求是的学习风气和研究态度。</w:t>
      </w:r>
    </w:p>
    <w:p w14:paraId="53CA414B">
      <w:pPr>
        <w:spacing w:line="360" w:lineRule="auto"/>
        <w:jc w:val="left"/>
        <w:rPr>
          <w:rFonts w:hint="eastAsia"/>
          <w:bCs/>
          <w:kern w:val="0"/>
          <w:sz w:val="24"/>
          <w:szCs w:val="21"/>
        </w:rPr>
      </w:pPr>
      <w:r>
        <w:rPr>
          <w:rFonts w:hint="eastAsia"/>
          <w:b/>
          <w:kern w:val="0"/>
          <w:sz w:val="24"/>
          <w:szCs w:val="21"/>
        </w:rPr>
        <w:t>（八）教育学位论文的写作</w:t>
      </w:r>
      <w:r>
        <w:rPr>
          <w:rFonts w:hint="eastAsia"/>
          <w:bCs/>
          <w:kern w:val="0"/>
          <w:sz w:val="24"/>
          <w:szCs w:val="21"/>
        </w:rPr>
        <w:t>（本模块各知识点的讲授与学习，可以支撑课程目标2和课程目标3）</w:t>
      </w:r>
    </w:p>
    <w:p w14:paraId="3F26BB68">
      <w:pPr>
        <w:spacing w:line="360" w:lineRule="auto"/>
        <w:jc w:val="left"/>
        <w:rPr>
          <w:rFonts w:hint="eastAsia"/>
          <w:b/>
          <w:bCs/>
          <w:kern w:val="0"/>
          <w:sz w:val="24"/>
          <w:szCs w:val="21"/>
        </w:rPr>
      </w:pPr>
      <w:r>
        <w:rPr>
          <w:rFonts w:hint="eastAsia"/>
          <w:b/>
          <w:bCs/>
          <w:kern w:val="0"/>
          <w:sz w:val="24"/>
          <w:szCs w:val="21"/>
        </w:rPr>
        <w:t>1. 教学内容</w:t>
      </w:r>
    </w:p>
    <w:p w14:paraId="1A3325DE">
      <w:pPr>
        <w:spacing w:line="360" w:lineRule="auto"/>
        <w:jc w:val="left"/>
        <w:rPr>
          <w:rFonts w:hint="eastAsia"/>
          <w:kern w:val="0"/>
          <w:sz w:val="24"/>
          <w:szCs w:val="21"/>
        </w:rPr>
      </w:pPr>
      <w:r>
        <w:rPr>
          <w:rFonts w:hint="eastAsia"/>
          <w:kern w:val="0"/>
          <w:sz w:val="24"/>
          <w:szCs w:val="21"/>
        </w:rPr>
        <w:t>（1）教育学位论文基本结构</w:t>
      </w:r>
    </w:p>
    <w:p w14:paraId="6910E697">
      <w:pPr>
        <w:spacing w:line="360" w:lineRule="auto"/>
        <w:jc w:val="left"/>
        <w:rPr>
          <w:rFonts w:hint="eastAsia"/>
          <w:kern w:val="0"/>
          <w:sz w:val="24"/>
          <w:szCs w:val="21"/>
        </w:rPr>
      </w:pPr>
      <w:r>
        <w:rPr>
          <w:rFonts w:hint="eastAsia"/>
          <w:kern w:val="0"/>
          <w:sz w:val="24"/>
          <w:szCs w:val="21"/>
        </w:rPr>
        <w:t>（2）教育学论文写作的方法与要求</w:t>
      </w:r>
    </w:p>
    <w:p w14:paraId="61454B47">
      <w:pPr>
        <w:spacing w:line="360" w:lineRule="auto"/>
        <w:jc w:val="left"/>
        <w:rPr>
          <w:rFonts w:hint="eastAsia"/>
          <w:b/>
          <w:bCs/>
          <w:kern w:val="0"/>
          <w:sz w:val="24"/>
          <w:szCs w:val="21"/>
        </w:rPr>
      </w:pPr>
      <w:r>
        <w:rPr>
          <w:rFonts w:hint="eastAsia"/>
          <w:b/>
          <w:bCs/>
          <w:kern w:val="0"/>
          <w:sz w:val="24"/>
          <w:szCs w:val="21"/>
        </w:rPr>
        <w:t xml:space="preserve"> 2. 基本要求</w:t>
      </w:r>
    </w:p>
    <w:p w14:paraId="04BBE07B">
      <w:pPr>
        <w:spacing w:line="360" w:lineRule="auto"/>
        <w:jc w:val="left"/>
        <w:rPr>
          <w:rFonts w:hint="eastAsia"/>
          <w:kern w:val="0"/>
          <w:sz w:val="24"/>
          <w:szCs w:val="21"/>
        </w:rPr>
      </w:pPr>
      <w:r>
        <w:rPr>
          <w:rFonts w:hint="eastAsia"/>
          <w:kern w:val="0"/>
          <w:sz w:val="24"/>
          <w:szCs w:val="21"/>
        </w:rPr>
        <w:t>（1）了解教育学位论文的结构特点；</w:t>
      </w:r>
    </w:p>
    <w:p w14:paraId="54EF4D44">
      <w:pPr>
        <w:spacing w:line="360" w:lineRule="auto"/>
        <w:jc w:val="left"/>
        <w:rPr>
          <w:rFonts w:hint="eastAsia"/>
          <w:kern w:val="0"/>
          <w:sz w:val="24"/>
          <w:szCs w:val="21"/>
        </w:rPr>
      </w:pPr>
      <w:r>
        <w:rPr>
          <w:rFonts w:hint="eastAsia"/>
          <w:kern w:val="0"/>
          <w:sz w:val="24"/>
          <w:szCs w:val="21"/>
        </w:rPr>
        <w:t xml:space="preserve">（2）掌握教育教学论文写作的方法与要求； </w:t>
      </w:r>
    </w:p>
    <w:p w14:paraId="123F905E">
      <w:pPr>
        <w:spacing w:line="360" w:lineRule="auto"/>
        <w:jc w:val="left"/>
        <w:rPr>
          <w:rFonts w:hint="eastAsia"/>
          <w:kern w:val="0"/>
          <w:sz w:val="24"/>
          <w:szCs w:val="21"/>
        </w:rPr>
      </w:pPr>
      <w:r>
        <w:rPr>
          <w:rFonts w:hint="eastAsia"/>
          <w:kern w:val="0"/>
          <w:sz w:val="24"/>
          <w:szCs w:val="21"/>
        </w:rPr>
        <w:t>（3）能够根据毕业论文的选题，初步拟定毕业论文的框架。</w:t>
      </w:r>
    </w:p>
    <w:p w14:paraId="4EAAE852">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教育学位论文的写作方法与要求</w:t>
      </w:r>
    </w:p>
    <w:p w14:paraId="2A7D9C39">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教育学位论文正文部分的撰写</w:t>
      </w:r>
    </w:p>
    <w:p w14:paraId="1B2ABDC6">
      <w:pPr>
        <w:spacing w:line="360" w:lineRule="auto"/>
        <w:jc w:val="left"/>
        <w:rPr>
          <w:b/>
          <w:color w:val="000000"/>
          <w:kern w:val="0"/>
          <w:sz w:val="24"/>
          <w:szCs w:val="21"/>
        </w:rPr>
      </w:pPr>
      <w:bookmarkStart w:id="197" w:name="_Hlk55794218"/>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课程思政育人目标</w:t>
      </w:r>
    </w:p>
    <w:p w14:paraId="49126F94">
      <w:pPr>
        <w:spacing w:line="360" w:lineRule="auto"/>
        <w:ind w:firstLine="240" w:firstLineChars="100"/>
        <w:jc w:val="left"/>
        <w:rPr>
          <w:rFonts w:ascii="宋体" w:hAnsi="宋体"/>
          <w:bCs/>
          <w:color w:val="000000"/>
          <w:sz w:val="24"/>
          <w:szCs w:val="22"/>
        </w:rPr>
      </w:pPr>
      <w:r>
        <w:rPr>
          <w:rFonts w:hint="eastAsia" w:ascii="宋体" w:hAnsi="宋体"/>
          <w:bCs/>
          <w:color w:val="000000"/>
          <w:sz w:val="24"/>
          <w:szCs w:val="22"/>
        </w:rPr>
        <w:t>培养学生学会发现、分析和解决人民关心的教育热点问题的能力；培养创新精神和实践能力。</w:t>
      </w:r>
    </w:p>
    <w:bookmarkEnd w:id="197"/>
    <w:p w14:paraId="65E50507">
      <w:pPr>
        <w:spacing w:line="360" w:lineRule="auto"/>
        <w:jc w:val="left"/>
        <w:rPr>
          <w:rFonts w:hint="eastAsia"/>
          <w:bCs/>
          <w:kern w:val="0"/>
          <w:sz w:val="24"/>
          <w:szCs w:val="21"/>
        </w:rPr>
      </w:pPr>
      <w:r>
        <w:rPr>
          <w:rFonts w:hint="eastAsia"/>
          <w:b/>
          <w:kern w:val="0"/>
          <w:sz w:val="24"/>
          <w:szCs w:val="21"/>
        </w:rPr>
        <w:t>（八）教育论文的交流与发表</w:t>
      </w:r>
      <w:r>
        <w:rPr>
          <w:rFonts w:hint="eastAsia"/>
          <w:bCs/>
          <w:kern w:val="0"/>
          <w:sz w:val="24"/>
          <w:szCs w:val="21"/>
        </w:rPr>
        <w:t>（本模块各知识点的讲授与学习，可以支撑课程目标4）</w:t>
      </w:r>
    </w:p>
    <w:p w14:paraId="3F31AA26">
      <w:pPr>
        <w:spacing w:line="360" w:lineRule="auto"/>
        <w:jc w:val="left"/>
        <w:rPr>
          <w:rFonts w:hint="eastAsia"/>
          <w:b/>
          <w:bCs/>
          <w:kern w:val="0"/>
          <w:sz w:val="24"/>
          <w:szCs w:val="21"/>
        </w:rPr>
      </w:pPr>
      <w:r>
        <w:rPr>
          <w:rFonts w:hint="eastAsia"/>
          <w:b/>
          <w:bCs/>
          <w:kern w:val="0"/>
          <w:sz w:val="24"/>
          <w:szCs w:val="21"/>
        </w:rPr>
        <w:t>1. 教学内容</w:t>
      </w:r>
    </w:p>
    <w:p w14:paraId="1DAE108D">
      <w:pPr>
        <w:spacing w:line="360" w:lineRule="auto"/>
        <w:jc w:val="left"/>
        <w:rPr>
          <w:kern w:val="0"/>
          <w:sz w:val="24"/>
          <w:szCs w:val="21"/>
        </w:rPr>
      </w:pPr>
      <w:r>
        <w:rPr>
          <w:rFonts w:hint="eastAsia"/>
          <w:kern w:val="0"/>
          <w:sz w:val="24"/>
          <w:szCs w:val="21"/>
        </w:rPr>
        <w:t>（1）教育论文的修改</w:t>
      </w:r>
    </w:p>
    <w:p w14:paraId="5759C61E">
      <w:pPr>
        <w:spacing w:line="360" w:lineRule="auto"/>
        <w:jc w:val="left"/>
        <w:rPr>
          <w:rFonts w:hint="eastAsia"/>
          <w:kern w:val="0"/>
          <w:sz w:val="24"/>
          <w:szCs w:val="21"/>
        </w:rPr>
      </w:pPr>
      <w:r>
        <w:rPr>
          <w:rFonts w:hint="eastAsia"/>
          <w:kern w:val="0"/>
          <w:sz w:val="24"/>
          <w:szCs w:val="21"/>
        </w:rPr>
        <w:t>（2）教育论文的交流</w:t>
      </w:r>
    </w:p>
    <w:p w14:paraId="70FAD1B3">
      <w:pPr>
        <w:spacing w:line="360" w:lineRule="auto"/>
        <w:jc w:val="left"/>
        <w:rPr>
          <w:rFonts w:hint="eastAsia"/>
          <w:kern w:val="0"/>
          <w:sz w:val="24"/>
          <w:szCs w:val="21"/>
        </w:rPr>
      </w:pPr>
      <w:r>
        <w:rPr>
          <w:rFonts w:hint="eastAsia"/>
          <w:kern w:val="0"/>
          <w:sz w:val="24"/>
          <w:szCs w:val="21"/>
        </w:rPr>
        <w:t>（2）教育论文的发表</w:t>
      </w:r>
    </w:p>
    <w:p w14:paraId="770A7BC3">
      <w:pPr>
        <w:spacing w:line="360" w:lineRule="auto"/>
        <w:jc w:val="left"/>
        <w:rPr>
          <w:rFonts w:hint="eastAsia"/>
          <w:b/>
          <w:bCs/>
          <w:kern w:val="0"/>
          <w:sz w:val="24"/>
          <w:szCs w:val="21"/>
        </w:rPr>
      </w:pPr>
      <w:r>
        <w:rPr>
          <w:rFonts w:hint="eastAsia"/>
          <w:b/>
          <w:bCs/>
          <w:kern w:val="0"/>
          <w:sz w:val="24"/>
          <w:szCs w:val="21"/>
        </w:rPr>
        <w:t xml:space="preserve"> 2. 基本要求</w:t>
      </w:r>
    </w:p>
    <w:p w14:paraId="45E85E84">
      <w:pPr>
        <w:spacing w:line="360" w:lineRule="auto"/>
        <w:jc w:val="left"/>
        <w:rPr>
          <w:rFonts w:hint="eastAsia"/>
          <w:kern w:val="0"/>
          <w:sz w:val="24"/>
          <w:szCs w:val="21"/>
        </w:rPr>
      </w:pPr>
      <w:r>
        <w:rPr>
          <w:rFonts w:hint="eastAsia"/>
          <w:kern w:val="0"/>
          <w:sz w:val="24"/>
          <w:szCs w:val="21"/>
        </w:rPr>
        <w:t>（1）掌握教育论文修改的基本方法与要求；</w:t>
      </w:r>
    </w:p>
    <w:p w14:paraId="6D36C95B">
      <w:pPr>
        <w:spacing w:line="360" w:lineRule="auto"/>
        <w:jc w:val="left"/>
        <w:rPr>
          <w:rFonts w:hint="eastAsia"/>
          <w:kern w:val="0"/>
          <w:sz w:val="24"/>
          <w:szCs w:val="21"/>
        </w:rPr>
      </w:pPr>
      <w:r>
        <w:rPr>
          <w:rFonts w:hint="eastAsia"/>
          <w:kern w:val="0"/>
          <w:sz w:val="24"/>
          <w:szCs w:val="21"/>
        </w:rPr>
        <w:t xml:space="preserve">（2）了解教育论文交流与发表的途径； </w:t>
      </w:r>
    </w:p>
    <w:p w14:paraId="454DD1EE">
      <w:pPr>
        <w:spacing w:line="360" w:lineRule="auto"/>
        <w:jc w:val="left"/>
        <w:rPr>
          <w:rFonts w:hint="eastAsia"/>
          <w:kern w:val="0"/>
          <w:sz w:val="24"/>
          <w:szCs w:val="21"/>
        </w:rPr>
      </w:pPr>
      <w:r>
        <w:rPr>
          <w:rFonts w:hint="eastAsia"/>
          <w:kern w:val="0"/>
          <w:sz w:val="24"/>
          <w:szCs w:val="21"/>
        </w:rPr>
        <w:t>（3）了解教育论文投稿的规范。</w:t>
      </w:r>
    </w:p>
    <w:p w14:paraId="0C6D96E6">
      <w:pPr>
        <w:spacing w:line="360" w:lineRule="auto"/>
        <w:rPr>
          <w:rFonts w:hint="eastAsia" w:ascii="宋体" w:hAnsi="宋体"/>
          <w:bCs/>
          <w:color w:val="000000"/>
          <w:sz w:val="24"/>
          <w:szCs w:val="22"/>
        </w:rPr>
      </w:pPr>
      <w:r>
        <w:rPr>
          <w:rFonts w:hint="eastAsia" w:ascii="宋体" w:hAnsi="宋体"/>
          <w:b/>
          <w:color w:val="000000"/>
          <w:sz w:val="24"/>
          <w:szCs w:val="22"/>
        </w:rPr>
        <w:t>3.</w:t>
      </w:r>
      <w:r>
        <w:rPr>
          <w:rFonts w:ascii="宋体" w:hAnsi="宋体"/>
          <w:b/>
          <w:color w:val="000000"/>
          <w:sz w:val="24"/>
          <w:szCs w:val="22"/>
        </w:rPr>
        <w:t xml:space="preserve"> </w:t>
      </w:r>
      <w:r>
        <w:rPr>
          <w:rFonts w:hint="eastAsia" w:ascii="宋体" w:hAnsi="宋体"/>
          <w:b/>
          <w:color w:val="000000"/>
          <w:sz w:val="24"/>
          <w:szCs w:val="22"/>
        </w:rPr>
        <w:t>教学重点：</w:t>
      </w:r>
      <w:r>
        <w:rPr>
          <w:rFonts w:hint="eastAsia" w:ascii="宋体" w:hAnsi="宋体"/>
          <w:bCs/>
          <w:color w:val="000000"/>
          <w:sz w:val="24"/>
          <w:szCs w:val="22"/>
        </w:rPr>
        <w:t xml:space="preserve">教育论文投稿的规范 </w:t>
      </w:r>
    </w:p>
    <w:p w14:paraId="68FBEE10">
      <w:pPr>
        <w:spacing w:line="360" w:lineRule="auto"/>
        <w:jc w:val="left"/>
        <w:rPr>
          <w:rFonts w:ascii="宋体" w:hAnsi="宋体"/>
          <w:bCs/>
          <w:color w:val="000000"/>
          <w:sz w:val="24"/>
          <w:szCs w:val="22"/>
        </w:rPr>
      </w:pPr>
      <w:r>
        <w:rPr>
          <w:rFonts w:hint="eastAsia" w:ascii="宋体" w:hAnsi="宋体"/>
          <w:b/>
          <w:color w:val="000000"/>
          <w:sz w:val="24"/>
          <w:szCs w:val="22"/>
        </w:rPr>
        <w:t>4.</w:t>
      </w:r>
      <w:r>
        <w:rPr>
          <w:rFonts w:ascii="宋体" w:hAnsi="宋体"/>
          <w:b/>
          <w:color w:val="000000"/>
          <w:sz w:val="24"/>
          <w:szCs w:val="22"/>
        </w:rPr>
        <w:t xml:space="preserve"> </w:t>
      </w:r>
      <w:r>
        <w:rPr>
          <w:rFonts w:hint="eastAsia" w:ascii="宋体" w:hAnsi="宋体"/>
          <w:b/>
          <w:color w:val="000000"/>
          <w:sz w:val="24"/>
          <w:szCs w:val="22"/>
        </w:rPr>
        <w:t>教学难点：</w:t>
      </w:r>
      <w:r>
        <w:rPr>
          <w:rFonts w:hint="eastAsia" w:ascii="宋体" w:hAnsi="宋体"/>
          <w:bCs/>
          <w:color w:val="000000"/>
          <w:sz w:val="24"/>
          <w:szCs w:val="22"/>
        </w:rPr>
        <w:t>教育论文修改的方法运用</w:t>
      </w:r>
    </w:p>
    <w:p w14:paraId="40C09FE7">
      <w:pPr>
        <w:spacing w:line="360" w:lineRule="auto"/>
        <w:jc w:val="left"/>
        <w:rPr>
          <w:b/>
          <w:color w:val="000000"/>
          <w:kern w:val="0"/>
          <w:sz w:val="24"/>
          <w:szCs w:val="21"/>
        </w:rPr>
      </w:pPr>
      <w:r>
        <w:rPr>
          <w:rFonts w:hint="eastAsia"/>
          <w:b/>
          <w:color w:val="000000"/>
          <w:kern w:val="0"/>
          <w:sz w:val="24"/>
          <w:szCs w:val="21"/>
        </w:rPr>
        <w:t>5.</w:t>
      </w:r>
      <w:r>
        <w:rPr>
          <w:b/>
          <w:color w:val="000000"/>
          <w:kern w:val="0"/>
          <w:sz w:val="24"/>
          <w:szCs w:val="21"/>
        </w:rPr>
        <w:t xml:space="preserve"> </w:t>
      </w:r>
      <w:r>
        <w:rPr>
          <w:rFonts w:hint="eastAsia"/>
          <w:b/>
          <w:color w:val="000000"/>
          <w:kern w:val="0"/>
          <w:sz w:val="24"/>
          <w:szCs w:val="21"/>
        </w:rPr>
        <w:t>课程思政育人目标</w:t>
      </w:r>
    </w:p>
    <w:p w14:paraId="20834A37">
      <w:pPr>
        <w:spacing w:line="360" w:lineRule="auto"/>
        <w:ind w:firstLine="240" w:firstLineChars="100"/>
        <w:jc w:val="left"/>
        <w:rPr>
          <w:rFonts w:hint="eastAsia"/>
          <w:bCs/>
          <w:color w:val="000000"/>
          <w:kern w:val="0"/>
          <w:sz w:val="24"/>
          <w:szCs w:val="21"/>
        </w:rPr>
      </w:pPr>
      <w:r>
        <w:rPr>
          <w:rFonts w:hint="eastAsia" w:ascii="宋体" w:hAnsi="宋体"/>
          <w:bCs/>
          <w:color w:val="000000"/>
          <w:sz w:val="24"/>
          <w:szCs w:val="22"/>
        </w:rPr>
        <w:t>培养学生国际视野，增强“四个自信”；</w:t>
      </w:r>
      <w:r>
        <w:rPr>
          <w:rFonts w:hint="eastAsia"/>
          <w:bCs/>
          <w:color w:val="000000"/>
          <w:kern w:val="0"/>
          <w:sz w:val="24"/>
          <w:szCs w:val="21"/>
        </w:rPr>
        <w:t>遵守学术规范，恪守学术诚信。</w:t>
      </w:r>
      <w:r>
        <w:rPr>
          <w:rFonts w:hint="eastAsia" w:ascii="宋体" w:hAnsi="宋体"/>
          <w:bCs/>
          <w:color w:val="000000"/>
          <w:sz w:val="24"/>
          <w:szCs w:val="22"/>
        </w:rPr>
        <w:t xml:space="preserve"> </w:t>
      </w:r>
    </w:p>
    <w:p w14:paraId="0B7ABC6E">
      <w:pPr>
        <w:spacing w:line="360" w:lineRule="auto"/>
        <w:ind w:firstLine="482" w:firstLineChars="200"/>
        <w:rPr>
          <w:b/>
          <w:bCs/>
          <w:color w:val="000000"/>
          <w:sz w:val="24"/>
        </w:rPr>
      </w:pPr>
      <w:bookmarkStart w:id="198" w:name="_Hlk19797708"/>
      <w:r>
        <w:rPr>
          <w:rFonts w:hint="eastAsia"/>
          <w:b/>
          <w:bCs/>
          <w:color w:val="000000"/>
          <w:sz w:val="24"/>
        </w:rPr>
        <w:t>教学内容与</w:t>
      </w:r>
      <w:r>
        <w:rPr>
          <w:b/>
          <w:bCs/>
          <w:color w:val="000000"/>
          <w:sz w:val="24"/>
        </w:rPr>
        <w:t>课程目标的</w:t>
      </w:r>
      <w:r>
        <w:rPr>
          <w:rFonts w:hint="eastAsia"/>
          <w:b/>
          <w:bCs/>
          <w:color w:val="000000"/>
          <w:sz w:val="24"/>
        </w:rPr>
        <w:t>对应关系及</w:t>
      </w:r>
      <w:r>
        <w:rPr>
          <w:b/>
          <w:bCs/>
          <w:color w:val="000000"/>
          <w:sz w:val="24"/>
        </w:rPr>
        <w:t>学时分配</w:t>
      </w:r>
      <w:r>
        <w:rPr>
          <w:rFonts w:hint="eastAsia"/>
          <w:b/>
          <w:bCs/>
          <w:color w:val="000000"/>
          <w:sz w:val="24"/>
        </w:rPr>
        <w:t>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686"/>
        <w:gridCol w:w="1701"/>
        <w:gridCol w:w="1711"/>
        <w:gridCol w:w="735"/>
        <w:gridCol w:w="735"/>
      </w:tblGrid>
      <w:tr w14:paraId="725B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shd w:val="clear" w:color="auto" w:fill="FFFFFF"/>
            <w:noWrap w:val="0"/>
            <w:vAlign w:val="center"/>
          </w:tcPr>
          <w:p w14:paraId="6E8623C6">
            <w:pPr>
              <w:jc w:val="center"/>
              <w:rPr>
                <w:color w:val="000000"/>
                <w:szCs w:val="21"/>
              </w:rPr>
            </w:pPr>
            <w:r>
              <w:rPr>
                <w:rFonts w:hint="eastAsia"/>
                <w:color w:val="000000"/>
                <w:szCs w:val="21"/>
              </w:rPr>
              <w:t>序号</w:t>
            </w:r>
          </w:p>
        </w:tc>
        <w:tc>
          <w:tcPr>
            <w:tcW w:w="3686" w:type="dxa"/>
            <w:shd w:val="clear" w:color="auto" w:fill="FFFFFF"/>
            <w:noWrap w:val="0"/>
            <w:vAlign w:val="center"/>
          </w:tcPr>
          <w:p w14:paraId="239106D8">
            <w:pPr>
              <w:jc w:val="center"/>
              <w:rPr>
                <w:color w:val="000000"/>
                <w:szCs w:val="21"/>
              </w:rPr>
            </w:pPr>
            <w:r>
              <w:rPr>
                <w:color w:val="000000"/>
                <w:szCs w:val="21"/>
              </w:rPr>
              <w:t>教学内容</w:t>
            </w:r>
          </w:p>
        </w:tc>
        <w:tc>
          <w:tcPr>
            <w:tcW w:w="1701" w:type="dxa"/>
            <w:shd w:val="clear" w:color="auto" w:fill="FFFFFF"/>
            <w:noWrap w:val="0"/>
            <w:vAlign w:val="center"/>
          </w:tcPr>
          <w:p w14:paraId="4355C19C">
            <w:pPr>
              <w:jc w:val="center"/>
              <w:rPr>
                <w:color w:val="000000"/>
                <w:szCs w:val="21"/>
              </w:rPr>
            </w:pPr>
            <w:r>
              <w:rPr>
                <w:color w:val="000000"/>
                <w:szCs w:val="21"/>
              </w:rPr>
              <w:t>支撑</w:t>
            </w:r>
            <w:r>
              <w:rPr>
                <w:rFonts w:hint="eastAsia"/>
                <w:color w:val="000000"/>
                <w:szCs w:val="21"/>
              </w:rPr>
              <w:t>的</w:t>
            </w:r>
            <w:r>
              <w:rPr>
                <w:color w:val="000000"/>
                <w:szCs w:val="21"/>
              </w:rPr>
              <w:t>课程目标</w:t>
            </w:r>
          </w:p>
        </w:tc>
        <w:tc>
          <w:tcPr>
            <w:tcW w:w="1711" w:type="dxa"/>
            <w:shd w:val="clear" w:color="auto" w:fill="FFFFFF"/>
            <w:noWrap w:val="0"/>
            <w:vAlign w:val="center"/>
          </w:tcPr>
          <w:p w14:paraId="4CAF6844">
            <w:pPr>
              <w:jc w:val="center"/>
              <w:rPr>
                <w:rFonts w:hint="eastAsia"/>
                <w:color w:val="000000"/>
                <w:szCs w:val="21"/>
              </w:rPr>
            </w:pPr>
            <w:r>
              <w:rPr>
                <w:color w:val="000000"/>
                <w:szCs w:val="21"/>
              </w:rPr>
              <w:t>支撑</w:t>
            </w:r>
            <w:r>
              <w:rPr>
                <w:rFonts w:hint="eastAsia"/>
                <w:color w:val="000000"/>
                <w:szCs w:val="21"/>
              </w:rPr>
              <w:t>的</w:t>
            </w:r>
            <w:r>
              <w:rPr>
                <w:color w:val="000000"/>
                <w:szCs w:val="21"/>
              </w:rPr>
              <w:t>毕业要求</w:t>
            </w:r>
          </w:p>
          <w:p w14:paraId="1CD98E19">
            <w:pPr>
              <w:jc w:val="center"/>
              <w:rPr>
                <w:color w:val="000000"/>
                <w:szCs w:val="21"/>
              </w:rPr>
            </w:pPr>
            <w:r>
              <w:rPr>
                <w:color w:val="000000"/>
                <w:szCs w:val="21"/>
              </w:rPr>
              <w:t>指标点</w:t>
            </w:r>
          </w:p>
        </w:tc>
        <w:tc>
          <w:tcPr>
            <w:tcW w:w="735" w:type="dxa"/>
            <w:shd w:val="clear" w:color="auto" w:fill="FFFFFF"/>
            <w:noWrap w:val="0"/>
            <w:vAlign w:val="center"/>
          </w:tcPr>
          <w:p w14:paraId="47499A49">
            <w:pPr>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59F2DE4B">
            <w:pPr>
              <w:jc w:val="center"/>
              <w:rPr>
                <w:color w:val="000000"/>
                <w:szCs w:val="21"/>
              </w:rPr>
            </w:pPr>
            <w:r>
              <w:rPr>
                <w:color w:val="000000"/>
                <w:szCs w:val="21"/>
              </w:rPr>
              <w:t>实验学时</w:t>
            </w:r>
          </w:p>
        </w:tc>
      </w:tr>
      <w:tr w14:paraId="129A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52372847">
            <w:pPr>
              <w:jc w:val="center"/>
              <w:rPr>
                <w:szCs w:val="21"/>
              </w:rPr>
            </w:pPr>
            <w:r>
              <w:rPr>
                <w:rFonts w:hint="eastAsia"/>
                <w:szCs w:val="21"/>
              </w:rPr>
              <w:t>1</w:t>
            </w:r>
          </w:p>
        </w:tc>
        <w:tc>
          <w:tcPr>
            <w:tcW w:w="3686" w:type="dxa"/>
            <w:noWrap w:val="0"/>
            <w:vAlign w:val="center"/>
          </w:tcPr>
          <w:p w14:paraId="37FEBE44">
            <w:pPr>
              <w:jc w:val="left"/>
              <w:rPr>
                <w:color w:val="000000"/>
                <w:szCs w:val="21"/>
              </w:rPr>
            </w:pPr>
            <w:r>
              <w:rPr>
                <w:rFonts w:hint="eastAsia"/>
                <w:color w:val="000000"/>
                <w:szCs w:val="21"/>
              </w:rPr>
              <w:t>教育论文写作概述</w:t>
            </w:r>
          </w:p>
        </w:tc>
        <w:tc>
          <w:tcPr>
            <w:tcW w:w="1701" w:type="dxa"/>
            <w:noWrap w:val="0"/>
            <w:vAlign w:val="center"/>
          </w:tcPr>
          <w:p w14:paraId="542A6381">
            <w:pPr>
              <w:jc w:val="center"/>
              <w:rPr>
                <w:color w:val="000000"/>
                <w:szCs w:val="21"/>
              </w:rPr>
            </w:pPr>
            <w:r>
              <w:rPr>
                <w:color w:val="000000"/>
                <w:szCs w:val="21"/>
              </w:rPr>
              <w:t>目标</w:t>
            </w:r>
            <w:r>
              <w:rPr>
                <w:rFonts w:hint="eastAsia"/>
                <w:szCs w:val="21"/>
              </w:rPr>
              <w:t>1</w:t>
            </w:r>
            <w:r>
              <w:rPr>
                <w:rFonts w:hint="eastAsia"/>
                <w:color w:val="000000"/>
                <w:szCs w:val="21"/>
              </w:rPr>
              <w:t xml:space="preserve"> </w:t>
            </w:r>
          </w:p>
        </w:tc>
        <w:tc>
          <w:tcPr>
            <w:tcW w:w="1711" w:type="dxa"/>
            <w:noWrap w:val="0"/>
            <w:vAlign w:val="center"/>
          </w:tcPr>
          <w:p w14:paraId="267D3464">
            <w:pPr>
              <w:jc w:val="center"/>
              <w:rPr>
                <w:szCs w:val="21"/>
              </w:rPr>
            </w:pPr>
            <w:r>
              <w:rPr>
                <w:rFonts w:hint="eastAsia"/>
                <w:szCs w:val="21"/>
              </w:rPr>
              <w:t>毕业要求1,</w:t>
            </w:r>
            <w:r>
              <w:rPr>
                <w:szCs w:val="21"/>
              </w:rPr>
              <w:t xml:space="preserve"> </w:t>
            </w:r>
            <w:r>
              <w:rPr>
                <w:rFonts w:hint="eastAsia"/>
                <w:szCs w:val="21"/>
              </w:rPr>
              <w:t>2</w:t>
            </w:r>
          </w:p>
        </w:tc>
        <w:tc>
          <w:tcPr>
            <w:tcW w:w="735" w:type="dxa"/>
            <w:noWrap w:val="0"/>
            <w:vAlign w:val="center"/>
          </w:tcPr>
          <w:p w14:paraId="16A69B06">
            <w:pPr>
              <w:jc w:val="center"/>
              <w:rPr>
                <w:szCs w:val="21"/>
              </w:rPr>
            </w:pPr>
            <w:r>
              <w:rPr>
                <w:rFonts w:hint="eastAsia"/>
                <w:szCs w:val="21"/>
              </w:rPr>
              <w:t>1</w:t>
            </w:r>
          </w:p>
        </w:tc>
        <w:tc>
          <w:tcPr>
            <w:tcW w:w="735" w:type="dxa"/>
            <w:noWrap w:val="0"/>
            <w:vAlign w:val="center"/>
          </w:tcPr>
          <w:p w14:paraId="2E54E658">
            <w:pPr>
              <w:jc w:val="center"/>
              <w:rPr>
                <w:szCs w:val="21"/>
              </w:rPr>
            </w:pPr>
          </w:p>
        </w:tc>
      </w:tr>
      <w:tr w14:paraId="7E76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266A6613">
            <w:pPr>
              <w:jc w:val="center"/>
              <w:rPr>
                <w:szCs w:val="21"/>
              </w:rPr>
            </w:pPr>
            <w:r>
              <w:rPr>
                <w:rFonts w:hint="eastAsia"/>
                <w:szCs w:val="21"/>
              </w:rPr>
              <w:t>2</w:t>
            </w:r>
          </w:p>
        </w:tc>
        <w:tc>
          <w:tcPr>
            <w:tcW w:w="3686" w:type="dxa"/>
            <w:noWrap w:val="0"/>
            <w:vAlign w:val="center"/>
          </w:tcPr>
          <w:p w14:paraId="4CA21664">
            <w:pPr>
              <w:jc w:val="left"/>
              <w:rPr>
                <w:color w:val="000000"/>
                <w:szCs w:val="21"/>
              </w:rPr>
            </w:pPr>
            <w:r>
              <w:rPr>
                <w:rFonts w:hint="eastAsia"/>
                <w:color w:val="000000"/>
                <w:szCs w:val="21"/>
              </w:rPr>
              <w:t>学术期刊论文的撰写</w:t>
            </w:r>
          </w:p>
        </w:tc>
        <w:tc>
          <w:tcPr>
            <w:tcW w:w="1701" w:type="dxa"/>
            <w:noWrap w:val="0"/>
            <w:vAlign w:val="center"/>
          </w:tcPr>
          <w:p w14:paraId="452BECD7">
            <w:pPr>
              <w:jc w:val="center"/>
              <w:rPr>
                <w:color w:val="000000"/>
                <w:szCs w:val="21"/>
              </w:rPr>
            </w:pPr>
            <w:r>
              <w:rPr>
                <w:color w:val="000000"/>
                <w:szCs w:val="21"/>
              </w:rPr>
              <w:t>目标</w:t>
            </w:r>
            <w:r>
              <w:rPr>
                <w:rFonts w:hint="eastAsia"/>
                <w:szCs w:val="21"/>
              </w:rPr>
              <w:t>2,</w:t>
            </w:r>
            <w:r>
              <w:rPr>
                <w:szCs w:val="21"/>
              </w:rPr>
              <w:t xml:space="preserve"> </w:t>
            </w:r>
            <w:r>
              <w:rPr>
                <w:rFonts w:hint="eastAsia"/>
                <w:szCs w:val="21"/>
              </w:rPr>
              <w:t>3</w:t>
            </w:r>
          </w:p>
        </w:tc>
        <w:tc>
          <w:tcPr>
            <w:tcW w:w="1711" w:type="dxa"/>
            <w:noWrap w:val="0"/>
            <w:vAlign w:val="center"/>
          </w:tcPr>
          <w:p w14:paraId="6329F021">
            <w:pPr>
              <w:jc w:val="center"/>
              <w:rPr>
                <w:szCs w:val="21"/>
              </w:rPr>
            </w:pPr>
            <w:r>
              <w:rPr>
                <w:rFonts w:hint="eastAsia"/>
                <w:szCs w:val="21"/>
              </w:rPr>
              <w:t>毕业要求3,4,7</w:t>
            </w:r>
          </w:p>
        </w:tc>
        <w:tc>
          <w:tcPr>
            <w:tcW w:w="735" w:type="dxa"/>
            <w:noWrap w:val="0"/>
            <w:vAlign w:val="center"/>
          </w:tcPr>
          <w:p w14:paraId="688D929E">
            <w:pPr>
              <w:jc w:val="center"/>
              <w:rPr>
                <w:szCs w:val="21"/>
              </w:rPr>
            </w:pPr>
            <w:r>
              <w:rPr>
                <w:rFonts w:hint="eastAsia"/>
                <w:szCs w:val="21"/>
              </w:rPr>
              <w:t>3</w:t>
            </w:r>
          </w:p>
        </w:tc>
        <w:tc>
          <w:tcPr>
            <w:tcW w:w="735" w:type="dxa"/>
            <w:noWrap w:val="0"/>
            <w:vAlign w:val="center"/>
          </w:tcPr>
          <w:p w14:paraId="301FAFAD">
            <w:pPr>
              <w:jc w:val="center"/>
              <w:rPr>
                <w:szCs w:val="21"/>
              </w:rPr>
            </w:pPr>
            <w:r>
              <w:rPr>
                <w:rFonts w:hint="eastAsia"/>
                <w:szCs w:val="21"/>
              </w:rPr>
              <w:t>3</w:t>
            </w:r>
          </w:p>
        </w:tc>
      </w:tr>
      <w:tr w14:paraId="48C2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3B50425E">
            <w:pPr>
              <w:jc w:val="center"/>
              <w:rPr>
                <w:szCs w:val="21"/>
              </w:rPr>
            </w:pPr>
            <w:r>
              <w:rPr>
                <w:rFonts w:hint="eastAsia"/>
                <w:szCs w:val="21"/>
              </w:rPr>
              <w:t>3</w:t>
            </w:r>
          </w:p>
        </w:tc>
        <w:tc>
          <w:tcPr>
            <w:tcW w:w="3686" w:type="dxa"/>
            <w:noWrap w:val="0"/>
            <w:vAlign w:val="center"/>
          </w:tcPr>
          <w:p w14:paraId="44617072">
            <w:pPr>
              <w:jc w:val="left"/>
              <w:rPr>
                <w:color w:val="000000"/>
                <w:szCs w:val="21"/>
              </w:rPr>
            </w:pPr>
            <w:r>
              <w:rPr>
                <w:rFonts w:hint="eastAsia"/>
                <w:color w:val="000000"/>
                <w:szCs w:val="21"/>
              </w:rPr>
              <w:t>教育综述论文的撰写</w:t>
            </w:r>
          </w:p>
        </w:tc>
        <w:tc>
          <w:tcPr>
            <w:tcW w:w="1701" w:type="dxa"/>
            <w:noWrap w:val="0"/>
            <w:vAlign w:val="center"/>
          </w:tcPr>
          <w:p w14:paraId="405B4F3E">
            <w:pPr>
              <w:jc w:val="center"/>
              <w:rPr>
                <w:color w:val="000000"/>
                <w:szCs w:val="21"/>
              </w:rPr>
            </w:pPr>
            <w:r>
              <w:rPr>
                <w:color w:val="000000"/>
                <w:szCs w:val="21"/>
              </w:rPr>
              <w:t>目标</w:t>
            </w:r>
            <w:r>
              <w:rPr>
                <w:rFonts w:hint="eastAsia"/>
                <w:szCs w:val="21"/>
              </w:rPr>
              <w:t>2</w:t>
            </w:r>
            <w:r>
              <w:rPr>
                <w:szCs w:val="21"/>
              </w:rPr>
              <w:t xml:space="preserve"> </w:t>
            </w:r>
            <w:r>
              <w:rPr>
                <w:rFonts w:hint="eastAsia"/>
                <w:szCs w:val="21"/>
              </w:rPr>
              <w:t>,</w:t>
            </w:r>
            <w:r>
              <w:rPr>
                <w:szCs w:val="21"/>
              </w:rPr>
              <w:t xml:space="preserve"> </w:t>
            </w:r>
            <w:r>
              <w:rPr>
                <w:rFonts w:hint="eastAsia"/>
                <w:szCs w:val="21"/>
              </w:rPr>
              <w:t>3</w:t>
            </w:r>
          </w:p>
        </w:tc>
        <w:tc>
          <w:tcPr>
            <w:tcW w:w="1711" w:type="dxa"/>
            <w:noWrap w:val="0"/>
            <w:vAlign w:val="center"/>
          </w:tcPr>
          <w:p w14:paraId="2D7CE586">
            <w:pPr>
              <w:jc w:val="center"/>
              <w:rPr>
                <w:szCs w:val="21"/>
              </w:rPr>
            </w:pPr>
            <w:r>
              <w:rPr>
                <w:rFonts w:hint="eastAsia"/>
                <w:szCs w:val="21"/>
              </w:rPr>
              <w:t>毕业要求3,4,7</w:t>
            </w:r>
          </w:p>
        </w:tc>
        <w:tc>
          <w:tcPr>
            <w:tcW w:w="735" w:type="dxa"/>
            <w:noWrap w:val="0"/>
            <w:vAlign w:val="center"/>
          </w:tcPr>
          <w:p w14:paraId="45E83F77">
            <w:pPr>
              <w:jc w:val="center"/>
              <w:rPr>
                <w:szCs w:val="21"/>
              </w:rPr>
            </w:pPr>
            <w:r>
              <w:rPr>
                <w:rFonts w:hint="eastAsia"/>
                <w:szCs w:val="21"/>
              </w:rPr>
              <w:t>2</w:t>
            </w:r>
          </w:p>
        </w:tc>
        <w:tc>
          <w:tcPr>
            <w:tcW w:w="735" w:type="dxa"/>
            <w:noWrap w:val="0"/>
            <w:vAlign w:val="center"/>
          </w:tcPr>
          <w:p w14:paraId="33985E41">
            <w:pPr>
              <w:jc w:val="center"/>
              <w:rPr>
                <w:szCs w:val="21"/>
              </w:rPr>
            </w:pPr>
            <w:r>
              <w:rPr>
                <w:rFonts w:hint="eastAsia"/>
                <w:szCs w:val="21"/>
              </w:rPr>
              <w:t>3</w:t>
            </w:r>
          </w:p>
        </w:tc>
      </w:tr>
      <w:tr w14:paraId="7C19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5971429E">
            <w:pPr>
              <w:jc w:val="center"/>
              <w:rPr>
                <w:rFonts w:hint="eastAsia"/>
                <w:szCs w:val="21"/>
              </w:rPr>
            </w:pPr>
            <w:r>
              <w:rPr>
                <w:rFonts w:hint="eastAsia"/>
                <w:szCs w:val="21"/>
              </w:rPr>
              <w:t>4</w:t>
            </w:r>
          </w:p>
        </w:tc>
        <w:tc>
          <w:tcPr>
            <w:tcW w:w="3686" w:type="dxa"/>
            <w:noWrap w:val="0"/>
            <w:vAlign w:val="center"/>
          </w:tcPr>
          <w:p w14:paraId="24D85198">
            <w:pPr>
              <w:jc w:val="left"/>
              <w:rPr>
                <w:rFonts w:hint="eastAsia"/>
                <w:color w:val="000000"/>
                <w:szCs w:val="21"/>
              </w:rPr>
            </w:pPr>
            <w:r>
              <w:rPr>
                <w:rFonts w:hint="eastAsia"/>
                <w:color w:val="000000"/>
                <w:szCs w:val="21"/>
              </w:rPr>
              <w:t>教育经验总结论文的撰写</w:t>
            </w:r>
          </w:p>
        </w:tc>
        <w:tc>
          <w:tcPr>
            <w:tcW w:w="1701" w:type="dxa"/>
            <w:noWrap w:val="0"/>
            <w:vAlign w:val="center"/>
          </w:tcPr>
          <w:p w14:paraId="71DB0BCB">
            <w:pPr>
              <w:jc w:val="center"/>
              <w:rPr>
                <w:color w:val="000000"/>
                <w:szCs w:val="21"/>
              </w:rPr>
            </w:pPr>
            <w:r>
              <w:rPr>
                <w:color w:val="000000"/>
                <w:szCs w:val="21"/>
              </w:rPr>
              <w:t>目标</w:t>
            </w:r>
            <w:r>
              <w:rPr>
                <w:rFonts w:hint="eastAsia"/>
                <w:szCs w:val="21"/>
              </w:rPr>
              <w:t>2</w:t>
            </w:r>
            <w:r>
              <w:rPr>
                <w:szCs w:val="21"/>
              </w:rPr>
              <w:t xml:space="preserve"> </w:t>
            </w:r>
            <w:r>
              <w:rPr>
                <w:rFonts w:hint="eastAsia"/>
                <w:szCs w:val="21"/>
              </w:rPr>
              <w:t>, 3</w:t>
            </w:r>
          </w:p>
        </w:tc>
        <w:tc>
          <w:tcPr>
            <w:tcW w:w="1711" w:type="dxa"/>
            <w:noWrap w:val="0"/>
            <w:vAlign w:val="center"/>
          </w:tcPr>
          <w:p w14:paraId="573027EA">
            <w:pPr>
              <w:jc w:val="center"/>
              <w:rPr>
                <w:szCs w:val="21"/>
              </w:rPr>
            </w:pPr>
            <w:r>
              <w:rPr>
                <w:rFonts w:hint="eastAsia"/>
                <w:szCs w:val="21"/>
              </w:rPr>
              <w:t xml:space="preserve">毕业要求3,4,7 </w:t>
            </w:r>
          </w:p>
        </w:tc>
        <w:tc>
          <w:tcPr>
            <w:tcW w:w="735" w:type="dxa"/>
            <w:noWrap w:val="0"/>
            <w:vAlign w:val="center"/>
          </w:tcPr>
          <w:p w14:paraId="05ADE427">
            <w:pPr>
              <w:jc w:val="center"/>
              <w:rPr>
                <w:rFonts w:hint="eastAsia"/>
                <w:szCs w:val="21"/>
              </w:rPr>
            </w:pPr>
            <w:r>
              <w:rPr>
                <w:rFonts w:hint="eastAsia"/>
                <w:szCs w:val="21"/>
              </w:rPr>
              <w:t>2</w:t>
            </w:r>
          </w:p>
        </w:tc>
        <w:tc>
          <w:tcPr>
            <w:tcW w:w="735" w:type="dxa"/>
            <w:noWrap w:val="0"/>
            <w:vAlign w:val="center"/>
          </w:tcPr>
          <w:p w14:paraId="671BDE1B">
            <w:pPr>
              <w:jc w:val="center"/>
              <w:rPr>
                <w:szCs w:val="21"/>
              </w:rPr>
            </w:pPr>
            <w:r>
              <w:rPr>
                <w:rFonts w:hint="eastAsia"/>
                <w:szCs w:val="21"/>
              </w:rPr>
              <w:t>2</w:t>
            </w:r>
          </w:p>
        </w:tc>
      </w:tr>
      <w:tr w14:paraId="7666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780DEFB8">
            <w:pPr>
              <w:jc w:val="center"/>
              <w:rPr>
                <w:rFonts w:hint="eastAsia"/>
                <w:szCs w:val="21"/>
              </w:rPr>
            </w:pPr>
            <w:r>
              <w:rPr>
                <w:rFonts w:hint="eastAsia"/>
                <w:szCs w:val="21"/>
              </w:rPr>
              <w:t>5</w:t>
            </w:r>
          </w:p>
        </w:tc>
        <w:tc>
          <w:tcPr>
            <w:tcW w:w="3686" w:type="dxa"/>
            <w:noWrap w:val="0"/>
            <w:vAlign w:val="center"/>
          </w:tcPr>
          <w:p w14:paraId="0D36E81A">
            <w:pPr>
              <w:jc w:val="left"/>
              <w:rPr>
                <w:rFonts w:hint="eastAsia"/>
                <w:color w:val="000000"/>
                <w:szCs w:val="21"/>
              </w:rPr>
            </w:pPr>
            <w:r>
              <w:rPr>
                <w:rFonts w:hint="eastAsia"/>
                <w:color w:val="000000"/>
                <w:szCs w:val="21"/>
              </w:rPr>
              <w:t>教育调查报告与教育研究报告的撰写</w:t>
            </w:r>
          </w:p>
        </w:tc>
        <w:tc>
          <w:tcPr>
            <w:tcW w:w="1701" w:type="dxa"/>
            <w:noWrap w:val="0"/>
            <w:vAlign w:val="center"/>
          </w:tcPr>
          <w:p w14:paraId="19A9B763">
            <w:pPr>
              <w:jc w:val="center"/>
              <w:rPr>
                <w:color w:val="000000"/>
                <w:szCs w:val="21"/>
              </w:rPr>
            </w:pPr>
            <w:r>
              <w:rPr>
                <w:color w:val="000000"/>
                <w:szCs w:val="21"/>
              </w:rPr>
              <w:t>目标</w:t>
            </w:r>
            <w:r>
              <w:rPr>
                <w:rFonts w:hint="eastAsia"/>
                <w:szCs w:val="21"/>
              </w:rPr>
              <w:t>2,</w:t>
            </w:r>
            <w:r>
              <w:rPr>
                <w:szCs w:val="21"/>
              </w:rPr>
              <w:t xml:space="preserve"> </w:t>
            </w:r>
            <w:r>
              <w:rPr>
                <w:rFonts w:hint="eastAsia"/>
                <w:szCs w:val="21"/>
              </w:rPr>
              <w:t>3</w:t>
            </w:r>
          </w:p>
        </w:tc>
        <w:tc>
          <w:tcPr>
            <w:tcW w:w="1711" w:type="dxa"/>
            <w:noWrap w:val="0"/>
            <w:vAlign w:val="center"/>
          </w:tcPr>
          <w:p w14:paraId="3FAB3816">
            <w:pPr>
              <w:jc w:val="center"/>
              <w:rPr>
                <w:szCs w:val="21"/>
              </w:rPr>
            </w:pPr>
            <w:r>
              <w:rPr>
                <w:rFonts w:hint="eastAsia"/>
                <w:szCs w:val="21"/>
              </w:rPr>
              <w:t xml:space="preserve">毕业要求3,4,7 </w:t>
            </w:r>
          </w:p>
        </w:tc>
        <w:tc>
          <w:tcPr>
            <w:tcW w:w="735" w:type="dxa"/>
            <w:noWrap w:val="0"/>
            <w:vAlign w:val="center"/>
          </w:tcPr>
          <w:p w14:paraId="46008281">
            <w:pPr>
              <w:jc w:val="center"/>
              <w:rPr>
                <w:rFonts w:hint="eastAsia"/>
                <w:szCs w:val="21"/>
              </w:rPr>
            </w:pPr>
            <w:r>
              <w:rPr>
                <w:rFonts w:hint="eastAsia"/>
                <w:szCs w:val="21"/>
              </w:rPr>
              <w:t>3</w:t>
            </w:r>
          </w:p>
        </w:tc>
        <w:tc>
          <w:tcPr>
            <w:tcW w:w="735" w:type="dxa"/>
            <w:noWrap w:val="0"/>
            <w:vAlign w:val="center"/>
          </w:tcPr>
          <w:p w14:paraId="6C523BF0">
            <w:pPr>
              <w:jc w:val="center"/>
              <w:rPr>
                <w:szCs w:val="21"/>
              </w:rPr>
            </w:pPr>
            <w:r>
              <w:rPr>
                <w:rFonts w:hint="eastAsia"/>
                <w:szCs w:val="21"/>
              </w:rPr>
              <w:t xml:space="preserve">3 </w:t>
            </w:r>
          </w:p>
        </w:tc>
      </w:tr>
      <w:tr w14:paraId="1456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1254269C">
            <w:pPr>
              <w:jc w:val="center"/>
              <w:rPr>
                <w:rFonts w:hint="eastAsia"/>
                <w:szCs w:val="21"/>
              </w:rPr>
            </w:pPr>
            <w:r>
              <w:rPr>
                <w:rFonts w:hint="eastAsia"/>
                <w:szCs w:val="21"/>
              </w:rPr>
              <w:t>6</w:t>
            </w:r>
          </w:p>
        </w:tc>
        <w:tc>
          <w:tcPr>
            <w:tcW w:w="3686" w:type="dxa"/>
            <w:noWrap w:val="0"/>
            <w:vAlign w:val="center"/>
          </w:tcPr>
          <w:p w14:paraId="4366C553">
            <w:pPr>
              <w:jc w:val="left"/>
              <w:rPr>
                <w:rFonts w:hint="eastAsia"/>
                <w:color w:val="000000"/>
                <w:szCs w:val="21"/>
              </w:rPr>
            </w:pPr>
            <w:r>
              <w:rPr>
                <w:rFonts w:hint="eastAsia"/>
                <w:color w:val="000000"/>
                <w:szCs w:val="21"/>
              </w:rPr>
              <w:t>教育叙事论文的撰写</w:t>
            </w:r>
          </w:p>
        </w:tc>
        <w:tc>
          <w:tcPr>
            <w:tcW w:w="1701" w:type="dxa"/>
            <w:noWrap w:val="0"/>
            <w:vAlign w:val="center"/>
          </w:tcPr>
          <w:p w14:paraId="7228AFFB">
            <w:pPr>
              <w:jc w:val="center"/>
              <w:rPr>
                <w:color w:val="000000"/>
                <w:szCs w:val="21"/>
              </w:rPr>
            </w:pPr>
            <w:r>
              <w:rPr>
                <w:color w:val="000000"/>
                <w:szCs w:val="21"/>
              </w:rPr>
              <w:t>目标</w:t>
            </w:r>
            <w:r>
              <w:rPr>
                <w:rFonts w:hint="eastAsia"/>
                <w:szCs w:val="21"/>
              </w:rPr>
              <w:t>2, 3</w:t>
            </w:r>
          </w:p>
        </w:tc>
        <w:tc>
          <w:tcPr>
            <w:tcW w:w="1711" w:type="dxa"/>
            <w:noWrap w:val="0"/>
            <w:vAlign w:val="center"/>
          </w:tcPr>
          <w:p w14:paraId="43AE692E">
            <w:pPr>
              <w:jc w:val="center"/>
              <w:rPr>
                <w:szCs w:val="21"/>
              </w:rPr>
            </w:pPr>
            <w:r>
              <w:rPr>
                <w:rFonts w:hint="eastAsia"/>
                <w:szCs w:val="21"/>
              </w:rPr>
              <w:t xml:space="preserve">毕业要求3,4,7 </w:t>
            </w:r>
          </w:p>
        </w:tc>
        <w:tc>
          <w:tcPr>
            <w:tcW w:w="735" w:type="dxa"/>
            <w:noWrap w:val="0"/>
            <w:vAlign w:val="center"/>
          </w:tcPr>
          <w:p w14:paraId="24E5D1A0">
            <w:pPr>
              <w:jc w:val="center"/>
              <w:rPr>
                <w:rFonts w:hint="eastAsia"/>
                <w:szCs w:val="21"/>
              </w:rPr>
            </w:pPr>
            <w:r>
              <w:rPr>
                <w:rFonts w:hint="eastAsia"/>
                <w:szCs w:val="21"/>
              </w:rPr>
              <w:t>2</w:t>
            </w:r>
          </w:p>
        </w:tc>
        <w:tc>
          <w:tcPr>
            <w:tcW w:w="735" w:type="dxa"/>
            <w:noWrap w:val="0"/>
            <w:vAlign w:val="center"/>
          </w:tcPr>
          <w:p w14:paraId="631055DA">
            <w:pPr>
              <w:jc w:val="center"/>
              <w:rPr>
                <w:szCs w:val="21"/>
              </w:rPr>
            </w:pPr>
            <w:r>
              <w:rPr>
                <w:rFonts w:hint="eastAsia"/>
                <w:szCs w:val="21"/>
              </w:rPr>
              <w:t xml:space="preserve">3 </w:t>
            </w:r>
          </w:p>
        </w:tc>
      </w:tr>
      <w:tr w14:paraId="0851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0C275DAA">
            <w:pPr>
              <w:jc w:val="center"/>
              <w:rPr>
                <w:szCs w:val="21"/>
              </w:rPr>
            </w:pPr>
            <w:r>
              <w:rPr>
                <w:rFonts w:hint="eastAsia"/>
                <w:szCs w:val="21"/>
              </w:rPr>
              <w:t xml:space="preserve">7 </w:t>
            </w:r>
          </w:p>
        </w:tc>
        <w:tc>
          <w:tcPr>
            <w:tcW w:w="3686" w:type="dxa"/>
            <w:noWrap w:val="0"/>
            <w:vAlign w:val="center"/>
          </w:tcPr>
          <w:p w14:paraId="475F49A2">
            <w:pPr>
              <w:jc w:val="left"/>
              <w:rPr>
                <w:color w:val="000000"/>
                <w:szCs w:val="21"/>
              </w:rPr>
            </w:pPr>
            <w:r>
              <w:rPr>
                <w:rFonts w:hint="eastAsia"/>
                <w:color w:val="000000"/>
                <w:szCs w:val="21"/>
              </w:rPr>
              <w:t>教育学位论文的撰写</w:t>
            </w:r>
          </w:p>
        </w:tc>
        <w:tc>
          <w:tcPr>
            <w:tcW w:w="1701" w:type="dxa"/>
            <w:noWrap w:val="0"/>
            <w:vAlign w:val="center"/>
          </w:tcPr>
          <w:p w14:paraId="6AA7B0FD">
            <w:pPr>
              <w:jc w:val="center"/>
              <w:rPr>
                <w:color w:val="000000"/>
                <w:szCs w:val="21"/>
              </w:rPr>
            </w:pPr>
            <w:r>
              <w:rPr>
                <w:color w:val="000000"/>
                <w:szCs w:val="21"/>
              </w:rPr>
              <w:t>目标</w:t>
            </w:r>
            <w:r>
              <w:rPr>
                <w:rFonts w:hint="eastAsia"/>
                <w:szCs w:val="21"/>
              </w:rPr>
              <w:t>2</w:t>
            </w:r>
            <w:r>
              <w:rPr>
                <w:szCs w:val="21"/>
              </w:rPr>
              <w:t xml:space="preserve"> </w:t>
            </w:r>
            <w:r>
              <w:rPr>
                <w:rFonts w:hint="eastAsia"/>
                <w:szCs w:val="21"/>
              </w:rPr>
              <w:t>,3</w:t>
            </w:r>
          </w:p>
        </w:tc>
        <w:tc>
          <w:tcPr>
            <w:tcW w:w="1711" w:type="dxa"/>
            <w:noWrap w:val="0"/>
            <w:vAlign w:val="center"/>
          </w:tcPr>
          <w:p w14:paraId="6DF57842">
            <w:pPr>
              <w:jc w:val="center"/>
              <w:rPr>
                <w:szCs w:val="21"/>
              </w:rPr>
            </w:pPr>
            <w:r>
              <w:rPr>
                <w:rFonts w:hint="eastAsia"/>
                <w:szCs w:val="21"/>
              </w:rPr>
              <w:t xml:space="preserve">毕业要求3,4,7 </w:t>
            </w:r>
          </w:p>
        </w:tc>
        <w:tc>
          <w:tcPr>
            <w:tcW w:w="735" w:type="dxa"/>
            <w:noWrap w:val="0"/>
            <w:vAlign w:val="center"/>
          </w:tcPr>
          <w:p w14:paraId="3304DACF">
            <w:pPr>
              <w:jc w:val="center"/>
              <w:rPr>
                <w:szCs w:val="21"/>
              </w:rPr>
            </w:pPr>
            <w:r>
              <w:rPr>
                <w:rFonts w:hint="eastAsia"/>
                <w:szCs w:val="21"/>
              </w:rPr>
              <w:t>2</w:t>
            </w:r>
          </w:p>
        </w:tc>
        <w:tc>
          <w:tcPr>
            <w:tcW w:w="735" w:type="dxa"/>
            <w:noWrap w:val="0"/>
            <w:vAlign w:val="center"/>
          </w:tcPr>
          <w:p w14:paraId="09B62B2C">
            <w:pPr>
              <w:jc w:val="center"/>
              <w:rPr>
                <w:szCs w:val="21"/>
              </w:rPr>
            </w:pPr>
            <w:r>
              <w:rPr>
                <w:rFonts w:hint="eastAsia"/>
                <w:szCs w:val="21"/>
              </w:rPr>
              <w:t>2</w:t>
            </w:r>
          </w:p>
        </w:tc>
      </w:tr>
      <w:tr w14:paraId="61A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noWrap w:val="0"/>
            <w:vAlign w:val="center"/>
          </w:tcPr>
          <w:p w14:paraId="61D5F9A6">
            <w:pPr>
              <w:jc w:val="center"/>
              <w:rPr>
                <w:rFonts w:hint="eastAsia"/>
                <w:szCs w:val="21"/>
              </w:rPr>
            </w:pPr>
            <w:r>
              <w:rPr>
                <w:rFonts w:hint="eastAsia"/>
                <w:szCs w:val="21"/>
              </w:rPr>
              <w:t>8</w:t>
            </w:r>
          </w:p>
        </w:tc>
        <w:tc>
          <w:tcPr>
            <w:tcW w:w="3686" w:type="dxa"/>
            <w:noWrap w:val="0"/>
            <w:vAlign w:val="center"/>
          </w:tcPr>
          <w:p w14:paraId="448FDEAC">
            <w:pPr>
              <w:jc w:val="left"/>
              <w:rPr>
                <w:rFonts w:hint="eastAsia"/>
                <w:color w:val="000000"/>
                <w:szCs w:val="21"/>
              </w:rPr>
            </w:pPr>
            <w:r>
              <w:rPr>
                <w:rFonts w:hint="eastAsia"/>
                <w:color w:val="000000"/>
                <w:szCs w:val="21"/>
              </w:rPr>
              <w:t>教育论文的交流与发表</w:t>
            </w:r>
          </w:p>
        </w:tc>
        <w:tc>
          <w:tcPr>
            <w:tcW w:w="1701" w:type="dxa"/>
            <w:noWrap w:val="0"/>
            <w:vAlign w:val="center"/>
          </w:tcPr>
          <w:p w14:paraId="436DB22A">
            <w:pPr>
              <w:jc w:val="center"/>
              <w:rPr>
                <w:color w:val="000000"/>
                <w:szCs w:val="21"/>
              </w:rPr>
            </w:pPr>
            <w:r>
              <w:rPr>
                <w:color w:val="000000"/>
                <w:szCs w:val="21"/>
              </w:rPr>
              <w:t>目标</w:t>
            </w:r>
            <w:r>
              <w:rPr>
                <w:rFonts w:hint="eastAsia"/>
                <w:szCs w:val="21"/>
              </w:rPr>
              <w:t>4</w:t>
            </w:r>
          </w:p>
        </w:tc>
        <w:tc>
          <w:tcPr>
            <w:tcW w:w="1711" w:type="dxa"/>
            <w:noWrap w:val="0"/>
            <w:vAlign w:val="center"/>
          </w:tcPr>
          <w:p w14:paraId="4D6526FA">
            <w:pPr>
              <w:jc w:val="center"/>
              <w:rPr>
                <w:rFonts w:hint="eastAsia"/>
                <w:szCs w:val="21"/>
              </w:rPr>
            </w:pPr>
            <w:r>
              <w:rPr>
                <w:rFonts w:hint="eastAsia"/>
                <w:szCs w:val="21"/>
              </w:rPr>
              <w:t>毕业要求</w:t>
            </w:r>
            <w:r>
              <w:rPr>
                <w:szCs w:val="21"/>
              </w:rPr>
              <w:t>1</w:t>
            </w:r>
            <w:r>
              <w:rPr>
                <w:rFonts w:hint="eastAsia"/>
                <w:szCs w:val="21"/>
              </w:rPr>
              <w:t>,</w:t>
            </w:r>
            <w:r>
              <w:rPr>
                <w:szCs w:val="21"/>
              </w:rPr>
              <w:t xml:space="preserve"> 7</w:t>
            </w:r>
          </w:p>
        </w:tc>
        <w:tc>
          <w:tcPr>
            <w:tcW w:w="735" w:type="dxa"/>
            <w:noWrap w:val="0"/>
            <w:vAlign w:val="center"/>
          </w:tcPr>
          <w:p w14:paraId="7E9E9289">
            <w:pPr>
              <w:jc w:val="center"/>
              <w:rPr>
                <w:rFonts w:hint="eastAsia"/>
                <w:szCs w:val="21"/>
              </w:rPr>
            </w:pPr>
            <w:r>
              <w:rPr>
                <w:rFonts w:hint="eastAsia"/>
                <w:szCs w:val="21"/>
              </w:rPr>
              <w:t>1</w:t>
            </w:r>
          </w:p>
        </w:tc>
        <w:tc>
          <w:tcPr>
            <w:tcW w:w="735" w:type="dxa"/>
            <w:noWrap w:val="0"/>
            <w:vAlign w:val="center"/>
          </w:tcPr>
          <w:p w14:paraId="0974BEAB">
            <w:pPr>
              <w:jc w:val="center"/>
              <w:rPr>
                <w:szCs w:val="21"/>
              </w:rPr>
            </w:pPr>
          </w:p>
        </w:tc>
      </w:tr>
      <w:tr w14:paraId="3F3C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2B8AA954">
            <w:pPr>
              <w:jc w:val="center"/>
              <w:rPr>
                <w:szCs w:val="21"/>
              </w:rPr>
            </w:pPr>
            <w:r>
              <w:rPr>
                <w:szCs w:val="21"/>
              </w:rPr>
              <w:t>合计</w:t>
            </w:r>
          </w:p>
        </w:tc>
        <w:tc>
          <w:tcPr>
            <w:tcW w:w="735" w:type="dxa"/>
            <w:noWrap w:val="0"/>
            <w:vAlign w:val="center"/>
          </w:tcPr>
          <w:p w14:paraId="63148544">
            <w:pPr>
              <w:jc w:val="center"/>
              <w:rPr>
                <w:szCs w:val="21"/>
              </w:rPr>
            </w:pPr>
            <w:r>
              <w:rPr>
                <w:rFonts w:hint="eastAsia"/>
                <w:szCs w:val="21"/>
              </w:rPr>
              <w:t>16</w:t>
            </w:r>
          </w:p>
        </w:tc>
        <w:tc>
          <w:tcPr>
            <w:tcW w:w="735" w:type="dxa"/>
            <w:noWrap w:val="0"/>
            <w:vAlign w:val="center"/>
          </w:tcPr>
          <w:p w14:paraId="3CD666DE">
            <w:pPr>
              <w:jc w:val="center"/>
              <w:rPr>
                <w:szCs w:val="21"/>
              </w:rPr>
            </w:pPr>
            <w:r>
              <w:rPr>
                <w:rFonts w:hint="eastAsia"/>
                <w:szCs w:val="21"/>
              </w:rPr>
              <w:t xml:space="preserve">16 </w:t>
            </w:r>
          </w:p>
        </w:tc>
      </w:tr>
    </w:tbl>
    <w:p w14:paraId="60F2F5D6">
      <w:pPr>
        <w:spacing w:line="360" w:lineRule="auto"/>
        <w:outlineLvl w:val="0"/>
        <w:rPr>
          <w:rFonts w:hint="eastAsia" w:ascii="宋体" w:hAnsi="宋体"/>
          <w:b/>
          <w:color w:val="000000"/>
          <w:sz w:val="28"/>
          <w:szCs w:val="28"/>
        </w:rPr>
      </w:pPr>
      <w:bookmarkStart w:id="199" w:name="_Hlk23866790"/>
      <w:r>
        <w:rPr>
          <w:rFonts w:hint="eastAsia" w:ascii="宋体" w:hAnsi="宋体"/>
          <w:b/>
          <w:color w:val="000000"/>
          <w:sz w:val="28"/>
          <w:szCs w:val="28"/>
        </w:rPr>
        <w:t>四、课内实验（实践）</w:t>
      </w:r>
    </w:p>
    <w:tbl>
      <w:tblPr>
        <w:tblStyle w:val="30"/>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5D4F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noWrap w:val="0"/>
            <w:vAlign w:val="center"/>
          </w:tcPr>
          <w:p w14:paraId="0F4A0215">
            <w:pPr>
              <w:jc w:val="center"/>
              <w:rPr>
                <w:color w:val="000000"/>
                <w:szCs w:val="21"/>
              </w:rPr>
            </w:pPr>
            <w:r>
              <w:rPr>
                <w:rFonts w:hint="eastAsia"/>
                <w:color w:val="000000"/>
                <w:szCs w:val="21"/>
              </w:rPr>
              <w:t>序号</w:t>
            </w:r>
          </w:p>
        </w:tc>
        <w:tc>
          <w:tcPr>
            <w:tcW w:w="1610" w:type="dxa"/>
            <w:shd w:val="clear" w:color="auto" w:fill="FFFFFF"/>
            <w:noWrap w:val="0"/>
            <w:vAlign w:val="center"/>
          </w:tcPr>
          <w:p w14:paraId="0CC49B1A">
            <w:pPr>
              <w:jc w:val="center"/>
              <w:rPr>
                <w:color w:val="000000"/>
                <w:szCs w:val="21"/>
              </w:rPr>
            </w:pPr>
            <w:r>
              <w:rPr>
                <w:rFonts w:hint="eastAsia"/>
                <w:color w:val="000000"/>
                <w:szCs w:val="21"/>
              </w:rPr>
              <w:t>实验（实践）</w:t>
            </w:r>
          </w:p>
          <w:p w14:paraId="0FEBAEB2">
            <w:pPr>
              <w:jc w:val="center"/>
              <w:rPr>
                <w:rFonts w:hint="eastAsia"/>
                <w:color w:val="000000"/>
                <w:szCs w:val="21"/>
              </w:rPr>
            </w:pPr>
            <w:r>
              <w:rPr>
                <w:rFonts w:hint="eastAsia"/>
                <w:color w:val="000000"/>
                <w:szCs w:val="21"/>
              </w:rPr>
              <w:t>项目名称</w:t>
            </w:r>
          </w:p>
        </w:tc>
        <w:tc>
          <w:tcPr>
            <w:tcW w:w="3260" w:type="dxa"/>
            <w:shd w:val="clear" w:color="auto" w:fill="FFFFFF"/>
            <w:noWrap w:val="0"/>
            <w:vAlign w:val="center"/>
          </w:tcPr>
          <w:p w14:paraId="4ED245E2">
            <w:pPr>
              <w:jc w:val="center"/>
              <w:rPr>
                <w:color w:val="000000"/>
                <w:szCs w:val="21"/>
              </w:rPr>
            </w:pPr>
            <w:r>
              <w:rPr>
                <w:rFonts w:hint="eastAsia"/>
                <w:color w:val="000000"/>
                <w:szCs w:val="21"/>
              </w:rPr>
              <w:t>实验（实践）项目</w:t>
            </w:r>
          </w:p>
          <w:p w14:paraId="323FA598">
            <w:pPr>
              <w:jc w:val="center"/>
              <w:rPr>
                <w:color w:val="000000"/>
                <w:szCs w:val="21"/>
              </w:rPr>
            </w:pPr>
            <w:r>
              <w:rPr>
                <w:rFonts w:hint="eastAsia"/>
                <w:color w:val="000000"/>
                <w:szCs w:val="21"/>
              </w:rPr>
              <w:t>内容及要求</w:t>
            </w:r>
          </w:p>
        </w:tc>
        <w:tc>
          <w:tcPr>
            <w:tcW w:w="1276" w:type="dxa"/>
            <w:shd w:val="clear" w:color="auto" w:fill="FFFFFF"/>
            <w:noWrap w:val="0"/>
            <w:vAlign w:val="center"/>
          </w:tcPr>
          <w:p w14:paraId="73444CAF">
            <w:pPr>
              <w:jc w:val="center"/>
              <w:rPr>
                <w:color w:val="000000"/>
                <w:szCs w:val="21"/>
              </w:rPr>
            </w:pPr>
            <w:r>
              <w:rPr>
                <w:rFonts w:hint="eastAsia"/>
                <w:color w:val="000000"/>
                <w:szCs w:val="21"/>
              </w:rPr>
              <w:t>对</w:t>
            </w:r>
            <w:r>
              <w:rPr>
                <w:color w:val="000000"/>
                <w:szCs w:val="21"/>
              </w:rPr>
              <w:t>毕业要求</w:t>
            </w:r>
          </w:p>
          <w:p w14:paraId="5AD75D4E">
            <w:pPr>
              <w:jc w:val="center"/>
              <w:rPr>
                <w:rFonts w:hint="eastAsia"/>
                <w:color w:val="000000"/>
                <w:szCs w:val="21"/>
              </w:rPr>
            </w:pPr>
            <w:r>
              <w:rPr>
                <w:rFonts w:hint="eastAsia"/>
                <w:color w:val="000000"/>
                <w:szCs w:val="21"/>
              </w:rPr>
              <w:t>的</w:t>
            </w:r>
            <w:r>
              <w:rPr>
                <w:color w:val="000000"/>
                <w:szCs w:val="21"/>
              </w:rPr>
              <w:t>支撑</w:t>
            </w:r>
          </w:p>
        </w:tc>
        <w:tc>
          <w:tcPr>
            <w:tcW w:w="708" w:type="dxa"/>
            <w:shd w:val="clear" w:color="auto" w:fill="FFFFFF"/>
            <w:noWrap w:val="0"/>
            <w:vAlign w:val="center"/>
          </w:tcPr>
          <w:p w14:paraId="5D0DC7D8">
            <w:pPr>
              <w:rPr>
                <w:color w:val="000000"/>
                <w:szCs w:val="21"/>
              </w:rPr>
            </w:pPr>
            <w:r>
              <w:rPr>
                <w:color w:val="000000"/>
                <w:szCs w:val="21"/>
              </w:rPr>
              <w:t>学时</w:t>
            </w:r>
          </w:p>
        </w:tc>
        <w:tc>
          <w:tcPr>
            <w:tcW w:w="851" w:type="dxa"/>
            <w:shd w:val="clear" w:color="auto" w:fill="FFFFFF"/>
            <w:noWrap w:val="0"/>
            <w:vAlign w:val="center"/>
          </w:tcPr>
          <w:p w14:paraId="544E69C3">
            <w:pPr>
              <w:jc w:val="center"/>
              <w:rPr>
                <w:color w:val="000000"/>
                <w:szCs w:val="21"/>
              </w:rPr>
            </w:pPr>
            <w:r>
              <w:rPr>
                <w:rFonts w:hint="eastAsia"/>
                <w:color w:val="000000"/>
                <w:szCs w:val="21"/>
              </w:rPr>
              <w:t>类型</w:t>
            </w:r>
          </w:p>
        </w:tc>
        <w:tc>
          <w:tcPr>
            <w:tcW w:w="908" w:type="dxa"/>
            <w:shd w:val="clear" w:color="auto" w:fill="FFFFFF"/>
            <w:noWrap w:val="0"/>
            <w:vAlign w:val="center"/>
          </w:tcPr>
          <w:p w14:paraId="62B510A8">
            <w:pPr>
              <w:jc w:val="center"/>
              <w:rPr>
                <w:color w:val="000000"/>
                <w:szCs w:val="21"/>
              </w:rPr>
            </w:pPr>
            <w:r>
              <w:rPr>
                <w:rFonts w:hint="eastAsia"/>
                <w:color w:val="000000"/>
                <w:szCs w:val="21"/>
              </w:rPr>
              <w:t>备注</w:t>
            </w:r>
          </w:p>
        </w:tc>
      </w:tr>
      <w:tr w14:paraId="605C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0C91EB8F">
            <w:pPr>
              <w:jc w:val="center"/>
              <w:rPr>
                <w:rFonts w:hint="eastAsia"/>
                <w:szCs w:val="21"/>
              </w:rPr>
            </w:pPr>
            <w:r>
              <w:rPr>
                <w:rFonts w:hint="eastAsia"/>
                <w:szCs w:val="21"/>
              </w:rPr>
              <w:t>1</w:t>
            </w:r>
          </w:p>
        </w:tc>
        <w:tc>
          <w:tcPr>
            <w:tcW w:w="1610" w:type="dxa"/>
            <w:noWrap w:val="0"/>
            <w:vAlign w:val="center"/>
          </w:tcPr>
          <w:p w14:paraId="29A7177C">
            <w:pPr>
              <w:jc w:val="left"/>
              <w:rPr>
                <w:rFonts w:hint="eastAsia"/>
                <w:color w:val="000000"/>
                <w:szCs w:val="21"/>
              </w:rPr>
            </w:pPr>
            <w:r>
              <w:rPr>
                <w:rFonts w:hint="eastAsia"/>
                <w:color w:val="000000"/>
                <w:szCs w:val="21"/>
              </w:rPr>
              <w:t>学术期刊论文撰写</w:t>
            </w:r>
          </w:p>
        </w:tc>
        <w:tc>
          <w:tcPr>
            <w:tcW w:w="3260" w:type="dxa"/>
            <w:noWrap w:val="0"/>
            <w:vAlign w:val="center"/>
          </w:tcPr>
          <w:p w14:paraId="056B6A19">
            <w:pPr>
              <w:jc w:val="left"/>
              <w:rPr>
                <w:color w:val="000000"/>
                <w:szCs w:val="21"/>
              </w:rPr>
            </w:pPr>
            <w:r>
              <w:rPr>
                <w:rFonts w:hint="eastAsia"/>
                <w:color w:val="000000"/>
                <w:szCs w:val="21"/>
              </w:rPr>
              <w:t>内容：根据学术期刊论文写作规范，结合中小学教育实践，撰写1篇学术论文。</w:t>
            </w:r>
          </w:p>
          <w:p w14:paraId="18B7380C">
            <w:pPr>
              <w:jc w:val="left"/>
              <w:rPr>
                <w:color w:val="000000"/>
                <w:szCs w:val="21"/>
              </w:rPr>
            </w:pPr>
            <w:r>
              <w:rPr>
                <w:rFonts w:hint="eastAsia"/>
                <w:color w:val="000000"/>
                <w:szCs w:val="21"/>
              </w:rPr>
              <w:t>要求：选题合适，层次清晰，结构合理，语句通顺；符合学术规范；字数3000字以上。</w:t>
            </w:r>
          </w:p>
        </w:tc>
        <w:tc>
          <w:tcPr>
            <w:tcW w:w="1276" w:type="dxa"/>
            <w:noWrap w:val="0"/>
            <w:vAlign w:val="center"/>
          </w:tcPr>
          <w:p w14:paraId="26FB1F62">
            <w:pPr>
              <w:jc w:val="center"/>
              <w:rPr>
                <w:szCs w:val="21"/>
              </w:rPr>
            </w:pPr>
            <w:r>
              <w:rPr>
                <w:rFonts w:hint="eastAsia"/>
                <w:szCs w:val="21"/>
              </w:rPr>
              <w:t>1-1，3-1</w:t>
            </w:r>
          </w:p>
          <w:p w14:paraId="397F8F57">
            <w:pPr>
              <w:jc w:val="center"/>
              <w:rPr>
                <w:rFonts w:hint="eastAsia"/>
                <w:szCs w:val="21"/>
              </w:rPr>
            </w:pPr>
            <w:r>
              <w:rPr>
                <w:rFonts w:hint="eastAsia"/>
                <w:szCs w:val="21"/>
              </w:rPr>
              <w:t>4-4，</w:t>
            </w:r>
            <w:r>
              <w:rPr>
                <w:szCs w:val="21"/>
              </w:rPr>
              <w:t>7-3</w:t>
            </w:r>
          </w:p>
        </w:tc>
        <w:tc>
          <w:tcPr>
            <w:tcW w:w="708" w:type="dxa"/>
            <w:noWrap w:val="0"/>
            <w:vAlign w:val="center"/>
          </w:tcPr>
          <w:p w14:paraId="1983E760">
            <w:pPr>
              <w:jc w:val="center"/>
              <w:rPr>
                <w:rFonts w:hint="eastAsia"/>
                <w:szCs w:val="21"/>
              </w:rPr>
            </w:pPr>
            <w:r>
              <w:rPr>
                <w:rFonts w:hint="eastAsia"/>
                <w:szCs w:val="21"/>
              </w:rPr>
              <w:t>3</w:t>
            </w:r>
          </w:p>
        </w:tc>
        <w:tc>
          <w:tcPr>
            <w:tcW w:w="851" w:type="dxa"/>
            <w:noWrap w:val="0"/>
            <w:vAlign w:val="center"/>
          </w:tcPr>
          <w:p w14:paraId="634D3105">
            <w:pPr>
              <w:jc w:val="center"/>
              <w:rPr>
                <w:rFonts w:hint="eastAsia"/>
                <w:szCs w:val="21"/>
              </w:rPr>
            </w:pPr>
            <w:r>
              <w:rPr>
                <w:rFonts w:hint="eastAsia"/>
                <w:szCs w:val="21"/>
              </w:rPr>
              <w:t>设计性</w:t>
            </w:r>
          </w:p>
        </w:tc>
        <w:tc>
          <w:tcPr>
            <w:tcW w:w="908" w:type="dxa"/>
            <w:noWrap w:val="0"/>
            <w:vAlign w:val="center"/>
          </w:tcPr>
          <w:p w14:paraId="5E9AAB2A">
            <w:pPr>
              <w:jc w:val="center"/>
              <w:rPr>
                <w:szCs w:val="21"/>
              </w:rPr>
            </w:pPr>
            <w:r>
              <w:rPr>
                <w:rFonts w:hint="eastAsia"/>
                <w:szCs w:val="21"/>
              </w:rPr>
              <w:t>必做</w:t>
            </w:r>
          </w:p>
        </w:tc>
      </w:tr>
      <w:tr w14:paraId="294C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7B651D8D">
            <w:pPr>
              <w:jc w:val="center"/>
              <w:rPr>
                <w:rFonts w:hint="eastAsia"/>
                <w:szCs w:val="21"/>
              </w:rPr>
            </w:pPr>
            <w:r>
              <w:rPr>
                <w:rFonts w:hint="eastAsia"/>
                <w:szCs w:val="21"/>
              </w:rPr>
              <w:t>2</w:t>
            </w:r>
          </w:p>
        </w:tc>
        <w:tc>
          <w:tcPr>
            <w:tcW w:w="1610" w:type="dxa"/>
            <w:noWrap w:val="0"/>
            <w:vAlign w:val="center"/>
          </w:tcPr>
          <w:p w14:paraId="3C0608D3">
            <w:pPr>
              <w:jc w:val="left"/>
              <w:rPr>
                <w:rFonts w:hint="eastAsia"/>
                <w:color w:val="000000"/>
                <w:szCs w:val="21"/>
              </w:rPr>
            </w:pPr>
            <w:r>
              <w:rPr>
                <w:rFonts w:hint="eastAsia"/>
                <w:color w:val="000000"/>
                <w:szCs w:val="21"/>
              </w:rPr>
              <w:t>教育综述论文写作</w:t>
            </w:r>
          </w:p>
        </w:tc>
        <w:tc>
          <w:tcPr>
            <w:tcW w:w="3260" w:type="dxa"/>
            <w:noWrap w:val="0"/>
            <w:vAlign w:val="center"/>
          </w:tcPr>
          <w:p w14:paraId="23193BA6">
            <w:pPr>
              <w:jc w:val="left"/>
              <w:rPr>
                <w:color w:val="000000"/>
                <w:szCs w:val="21"/>
              </w:rPr>
            </w:pPr>
            <w:r>
              <w:rPr>
                <w:rFonts w:hint="eastAsia"/>
                <w:color w:val="000000"/>
                <w:szCs w:val="21"/>
              </w:rPr>
              <w:t>内容：根据教育综述论文写作规范，结合自身的研究和思考，撰写1篇教育综述论文。</w:t>
            </w:r>
          </w:p>
          <w:p w14:paraId="2D1CAA57">
            <w:pPr>
              <w:jc w:val="left"/>
              <w:rPr>
                <w:rFonts w:hint="eastAsia"/>
                <w:color w:val="000000"/>
                <w:szCs w:val="21"/>
              </w:rPr>
            </w:pPr>
            <w:r>
              <w:rPr>
                <w:rFonts w:hint="eastAsia"/>
                <w:color w:val="000000"/>
                <w:szCs w:val="21"/>
              </w:rPr>
              <w:t>要求：选题合适，层次清晰，结构合理，语句通顺；符合学术规范；字数1000字以上。</w:t>
            </w:r>
          </w:p>
        </w:tc>
        <w:tc>
          <w:tcPr>
            <w:tcW w:w="1276" w:type="dxa"/>
            <w:noWrap w:val="0"/>
            <w:vAlign w:val="center"/>
          </w:tcPr>
          <w:p w14:paraId="0F4B9D25">
            <w:pPr>
              <w:jc w:val="center"/>
              <w:rPr>
                <w:szCs w:val="21"/>
              </w:rPr>
            </w:pPr>
            <w:r>
              <w:rPr>
                <w:rFonts w:hint="eastAsia"/>
                <w:szCs w:val="21"/>
              </w:rPr>
              <w:t>1-1，3-1</w:t>
            </w:r>
          </w:p>
          <w:p w14:paraId="4E51EBDD">
            <w:pPr>
              <w:jc w:val="center"/>
              <w:rPr>
                <w:rFonts w:hint="eastAsia"/>
                <w:szCs w:val="21"/>
              </w:rPr>
            </w:pPr>
            <w:r>
              <w:rPr>
                <w:rFonts w:hint="eastAsia"/>
                <w:szCs w:val="21"/>
              </w:rPr>
              <w:t>4-4，</w:t>
            </w:r>
            <w:r>
              <w:rPr>
                <w:szCs w:val="21"/>
              </w:rPr>
              <w:t xml:space="preserve">7-3 </w:t>
            </w:r>
          </w:p>
        </w:tc>
        <w:tc>
          <w:tcPr>
            <w:tcW w:w="708" w:type="dxa"/>
            <w:noWrap w:val="0"/>
            <w:vAlign w:val="center"/>
          </w:tcPr>
          <w:p w14:paraId="1838BC6E">
            <w:pPr>
              <w:jc w:val="center"/>
              <w:rPr>
                <w:rFonts w:hint="eastAsia"/>
                <w:szCs w:val="21"/>
              </w:rPr>
            </w:pPr>
            <w:r>
              <w:rPr>
                <w:rFonts w:hint="eastAsia"/>
                <w:szCs w:val="21"/>
              </w:rPr>
              <w:t>3</w:t>
            </w:r>
          </w:p>
        </w:tc>
        <w:tc>
          <w:tcPr>
            <w:tcW w:w="851" w:type="dxa"/>
            <w:noWrap w:val="0"/>
            <w:vAlign w:val="center"/>
          </w:tcPr>
          <w:p w14:paraId="45929428">
            <w:pPr>
              <w:jc w:val="center"/>
              <w:rPr>
                <w:rFonts w:hint="eastAsia"/>
                <w:szCs w:val="21"/>
              </w:rPr>
            </w:pPr>
            <w:r>
              <w:rPr>
                <w:rFonts w:hint="eastAsia"/>
                <w:szCs w:val="21"/>
              </w:rPr>
              <w:t>设计性</w:t>
            </w:r>
          </w:p>
        </w:tc>
        <w:tc>
          <w:tcPr>
            <w:tcW w:w="908" w:type="dxa"/>
            <w:noWrap w:val="0"/>
            <w:vAlign w:val="center"/>
          </w:tcPr>
          <w:p w14:paraId="449B43D4">
            <w:pPr>
              <w:jc w:val="center"/>
              <w:rPr>
                <w:szCs w:val="21"/>
              </w:rPr>
            </w:pPr>
            <w:r>
              <w:rPr>
                <w:rFonts w:hint="eastAsia"/>
                <w:szCs w:val="21"/>
              </w:rPr>
              <w:t>必做</w:t>
            </w:r>
          </w:p>
        </w:tc>
      </w:tr>
      <w:tr w14:paraId="7D29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noWrap w:val="0"/>
            <w:vAlign w:val="center"/>
          </w:tcPr>
          <w:p w14:paraId="42E66150">
            <w:pPr>
              <w:jc w:val="center"/>
              <w:rPr>
                <w:szCs w:val="21"/>
              </w:rPr>
            </w:pPr>
            <w:r>
              <w:rPr>
                <w:rFonts w:hint="eastAsia"/>
                <w:szCs w:val="21"/>
              </w:rPr>
              <w:t>3</w:t>
            </w:r>
          </w:p>
        </w:tc>
        <w:tc>
          <w:tcPr>
            <w:tcW w:w="1610" w:type="dxa"/>
            <w:noWrap w:val="0"/>
            <w:vAlign w:val="center"/>
          </w:tcPr>
          <w:p w14:paraId="563BB559">
            <w:pPr>
              <w:jc w:val="left"/>
              <w:rPr>
                <w:color w:val="000000"/>
                <w:szCs w:val="21"/>
              </w:rPr>
            </w:pPr>
            <w:r>
              <w:rPr>
                <w:rFonts w:hint="eastAsia"/>
                <w:color w:val="000000"/>
                <w:szCs w:val="21"/>
              </w:rPr>
              <w:t>教育随笔写作</w:t>
            </w:r>
          </w:p>
        </w:tc>
        <w:tc>
          <w:tcPr>
            <w:tcW w:w="3260" w:type="dxa"/>
            <w:noWrap w:val="0"/>
            <w:vAlign w:val="center"/>
          </w:tcPr>
          <w:p w14:paraId="2575E49A">
            <w:pPr>
              <w:jc w:val="left"/>
              <w:rPr>
                <w:color w:val="000000"/>
                <w:szCs w:val="21"/>
              </w:rPr>
            </w:pPr>
            <w:r>
              <w:rPr>
                <w:rFonts w:hint="eastAsia"/>
                <w:color w:val="000000"/>
                <w:szCs w:val="21"/>
              </w:rPr>
              <w:t>内容：结合教育实践，撰写1篇符合规范的教学随笔论文。</w:t>
            </w:r>
          </w:p>
          <w:p w14:paraId="6EB0F657">
            <w:pPr>
              <w:jc w:val="left"/>
              <w:rPr>
                <w:color w:val="000000"/>
                <w:szCs w:val="21"/>
              </w:rPr>
            </w:pPr>
            <w:r>
              <w:rPr>
                <w:rFonts w:hint="eastAsia"/>
                <w:color w:val="000000"/>
                <w:szCs w:val="21"/>
              </w:rPr>
              <w:t>要求：题目恰当，层次清晰，结构合理，语句通顺；符合学术规范；字数800字以上。</w:t>
            </w:r>
          </w:p>
        </w:tc>
        <w:tc>
          <w:tcPr>
            <w:tcW w:w="1276" w:type="dxa"/>
            <w:noWrap w:val="0"/>
            <w:vAlign w:val="center"/>
          </w:tcPr>
          <w:p w14:paraId="7D5B2714">
            <w:pPr>
              <w:jc w:val="center"/>
              <w:rPr>
                <w:szCs w:val="21"/>
              </w:rPr>
            </w:pPr>
            <w:r>
              <w:rPr>
                <w:szCs w:val="21"/>
              </w:rPr>
              <w:t xml:space="preserve"> </w:t>
            </w:r>
            <w:r>
              <w:rPr>
                <w:rFonts w:hint="eastAsia"/>
                <w:szCs w:val="21"/>
              </w:rPr>
              <w:t>1-1，3-1</w:t>
            </w:r>
          </w:p>
          <w:p w14:paraId="32EDE619">
            <w:pPr>
              <w:jc w:val="center"/>
              <w:rPr>
                <w:szCs w:val="21"/>
              </w:rPr>
            </w:pPr>
            <w:r>
              <w:rPr>
                <w:szCs w:val="21"/>
              </w:rPr>
              <w:t xml:space="preserve"> </w:t>
            </w:r>
            <w:r>
              <w:rPr>
                <w:rFonts w:hint="eastAsia"/>
                <w:szCs w:val="21"/>
              </w:rPr>
              <w:t>4-4，</w:t>
            </w:r>
            <w:r>
              <w:rPr>
                <w:szCs w:val="21"/>
              </w:rPr>
              <w:t>7-3</w:t>
            </w:r>
          </w:p>
        </w:tc>
        <w:tc>
          <w:tcPr>
            <w:tcW w:w="708" w:type="dxa"/>
            <w:noWrap w:val="0"/>
            <w:vAlign w:val="center"/>
          </w:tcPr>
          <w:p w14:paraId="0397765E">
            <w:pPr>
              <w:jc w:val="center"/>
              <w:rPr>
                <w:rFonts w:hint="eastAsia"/>
                <w:szCs w:val="21"/>
              </w:rPr>
            </w:pPr>
            <w:r>
              <w:rPr>
                <w:rFonts w:hint="eastAsia"/>
                <w:szCs w:val="21"/>
              </w:rPr>
              <w:t>2</w:t>
            </w:r>
          </w:p>
        </w:tc>
        <w:tc>
          <w:tcPr>
            <w:tcW w:w="851" w:type="dxa"/>
            <w:noWrap w:val="0"/>
            <w:vAlign w:val="center"/>
          </w:tcPr>
          <w:p w14:paraId="65F5CAD1">
            <w:pPr>
              <w:jc w:val="center"/>
              <w:rPr>
                <w:szCs w:val="21"/>
              </w:rPr>
            </w:pPr>
            <w:r>
              <w:rPr>
                <w:rFonts w:hint="eastAsia"/>
                <w:szCs w:val="21"/>
              </w:rPr>
              <w:t>设计性</w:t>
            </w:r>
          </w:p>
        </w:tc>
        <w:tc>
          <w:tcPr>
            <w:tcW w:w="908" w:type="dxa"/>
            <w:noWrap w:val="0"/>
            <w:vAlign w:val="center"/>
          </w:tcPr>
          <w:p w14:paraId="2887C348">
            <w:pPr>
              <w:jc w:val="center"/>
              <w:rPr>
                <w:rFonts w:hint="eastAsia"/>
                <w:szCs w:val="21"/>
              </w:rPr>
            </w:pPr>
            <w:r>
              <w:rPr>
                <w:rFonts w:hint="eastAsia"/>
                <w:szCs w:val="21"/>
              </w:rPr>
              <w:t>四选二</w:t>
            </w:r>
          </w:p>
        </w:tc>
      </w:tr>
      <w:tr w14:paraId="2862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noWrap w:val="0"/>
            <w:vAlign w:val="center"/>
          </w:tcPr>
          <w:p w14:paraId="5644C87C">
            <w:pPr>
              <w:jc w:val="center"/>
              <w:rPr>
                <w:szCs w:val="21"/>
              </w:rPr>
            </w:pPr>
            <w:r>
              <w:rPr>
                <w:rFonts w:hint="eastAsia"/>
                <w:szCs w:val="21"/>
              </w:rPr>
              <w:t>4</w:t>
            </w:r>
          </w:p>
        </w:tc>
        <w:tc>
          <w:tcPr>
            <w:tcW w:w="1610" w:type="dxa"/>
            <w:noWrap w:val="0"/>
            <w:vAlign w:val="center"/>
          </w:tcPr>
          <w:p w14:paraId="59E7AB19">
            <w:pPr>
              <w:jc w:val="left"/>
              <w:rPr>
                <w:color w:val="000000"/>
                <w:szCs w:val="21"/>
              </w:rPr>
            </w:pPr>
            <w:r>
              <w:rPr>
                <w:rFonts w:hint="eastAsia"/>
                <w:color w:val="000000"/>
                <w:szCs w:val="21"/>
              </w:rPr>
              <w:t xml:space="preserve">教育调查报告撰写 </w:t>
            </w:r>
          </w:p>
        </w:tc>
        <w:tc>
          <w:tcPr>
            <w:tcW w:w="3260" w:type="dxa"/>
            <w:noWrap w:val="0"/>
            <w:vAlign w:val="center"/>
          </w:tcPr>
          <w:p w14:paraId="4F7A5301">
            <w:pPr>
              <w:jc w:val="left"/>
              <w:rPr>
                <w:rFonts w:hint="eastAsia"/>
                <w:color w:val="000000"/>
                <w:szCs w:val="21"/>
              </w:rPr>
            </w:pPr>
            <w:r>
              <w:rPr>
                <w:rFonts w:hint="eastAsia"/>
                <w:color w:val="000000"/>
                <w:szCs w:val="21"/>
              </w:rPr>
              <w:t>内容：开展一项微型教育调查，撰写1份符合规范的教育调查报告。</w:t>
            </w:r>
          </w:p>
          <w:p w14:paraId="387FE4CC">
            <w:pPr>
              <w:jc w:val="left"/>
              <w:rPr>
                <w:color w:val="000000"/>
                <w:szCs w:val="21"/>
              </w:rPr>
            </w:pPr>
            <w:r>
              <w:rPr>
                <w:rFonts w:hint="eastAsia"/>
                <w:color w:val="000000"/>
                <w:szCs w:val="21"/>
              </w:rPr>
              <w:t>要求：选题合适，层次清晰，结构合理，语句通顺；符合学术规范；字数1500字以上。</w:t>
            </w:r>
          </w:p>
        </w:tc>
        <w:tc>
          <w:tcPr>
            <w:tcW w:w="1276" w:type="dxa"/>
            <w:noWrap w:val="0"/>
            <w:vAlign w:val="center"/>
          </w:tcPr>
          <w:p w14:paraId="0B81233A">
            <w:pPr>
              <w:jc w:val="center"/>
              <w:rPr>
                <w:szCs w:val="21"/>
              </w:rPr>
            </w:pPr>
            <w:r>
              <w:rPr>
                <w:rFonts w:hint="eastAsia"/>
                <w:szCs w:val="21"/>
              </w:rPr>
              <w:t>1-1，3-1</w:t>
            </w:r>
          </w:p>
          <w:p w14:paraId="3167C631">
            <w:pPr>
              <w:jc w:val="center"/>
              <w:rPr>
                <w:szCs w:val="21"/>
              </w:rPr>
            </w:pPr>
            <w:r>
              <w:rPr>
                <w:szCs w:val="21"/>
              </w:rPr>
              <w:t xml:space="preserve"> </w:t>
            </w:r>
            <w:r>
              <w:rPr>
                <w:rFonts w:hint="eastAsia"/>
                <w:szCs w:val="21"/>
              </w:rPr>
              <w:t>4-4，</w:t>
            </w:r>
            <w:r>
              <w:rPr>
                <w:szCs w:val="21"/>
              </w:rPr>
              <w:t xml:space="preserve">7-3  </w:t>
            </w:r>
          </w:p>
        </w:tc>
        <w:tc>
          <w:tcPr>
            <w:tcW w:w="708" w:type="dxa"/>
            <w:noWrap w:val="0"/>
            <w:vAlign w:val="center"/>
          </w:tcPr>
          <w:p w14:paraId="169130F9">
            <w:pPr>
              <w:jc w:val="center"/>
              <w:rPr>
                <w:rFonts w:hint="eastAsia"/>
                <w:szCs w:val="21"/>
              </w:rPr>
            </w:pPr>
            <w:r>
              <w:rPr>
                <w:rFonts w:hint="eastAsia"/>
                <w:szCs w:val="21"/>
              </w:rPr>
              <w:t>3</w:t>
            </w:r>
          </w:p>
        </w:tc>
        <w:tc>
          <w:tcPr>
            <w:tcW w:w="851" w:type="dxa"/>
            <w:noWrap w:val="0"/>
            <w:vAlign w:val="center"/>
          </w:tcPr>
          <w:p w14:paraId="58826360">
            <w:pPr>
              <w:jc w:val="center"/>
              <w:rPr>
                <w:szCs w:val="21"/>
              </w:rPr>
            </w:pPr>
            <w:r>
              <w:rPr>
                <w:rFonts w:hint="eastAsia"/>
                <w:szCs w:val="21"/>
              </w:rPr>
              <w:t>设计性</w:t>
            </w:r>
          </w:p>
        </w:tc>
        <w:tc>
          <w:tcPr>
            <w:tcW w:w="908" w:type="dxa"/>
            <w:noWrap w:val="0"/>
            <w:vAlign w:val="center"/>
          </w:tcPr>
          <w:p w14:paraId="0A6B5CA6">
            <w:pPr>
              <w:jc w:val="center"/>
              <w:rPr>
                <w:szCs w:val="21"/>
              </w:rPr>
            </w:pPr>
            <w:r>
              <w:rPr>
                <w:rFonts w:hint="eastAsia"/>
                <w:szCs w:val="21"/>
              </w:rPr>
              <w:t>四选二</w:t>
            </w:r>
          </w:p>
        </w:tc>
      </w:tr>
      <w:tr w14:paraId="3B4D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noWrap w:val="0"/>
            <w:vAlign w:val="center"/>
          </w:tcPr>
          <w:p w14:paraId="24FEE750">
            <w:pPr>
              <w:jc w:val="center"/>
              <w:rPr>
                <w:rFonts w:hint="eastAsia"/>
                <w:szCs w:val="21"/>
              </w:rPr>
            </w:pPr>
            <w:r>
              <w:rPr>
                <w:rFonts w:hint="eastAsia"/>
                <w:szCs w:val="21"/>
              </w:rPr>
              <w:t>5</w:t>
            </w:r>
          </w:p>
        </w:tc>
        <w:tc>
          <w:tcPr>
            <w:tcW w:w="1610" w:type="dxa"/>
            <w:noWrap w:val="0"/>
            <w:vAlign w:val="center"/>
          </w:tcPr>
          <w:p w14:paraId="0C2D9CC7">
            <w:pPr>
              <w:jc w:val="left"/>
              <w:rPr>
                <w:rFonts w:hint="eastAsia"/>
                <w:color w:val="000000"/>
                <w:szCs w:val="21"/>
              </w:rPr>
            </w:pPr>
            <w:r>
              <w:rPr>
                <w:rFonts w:hint="eastAsia"/>
                <w:color w:val="000000"/>
                <w:szCs w:val="21"/>
              </w:rPr>
              <w:t>教育叙事论文撰写</w:t>
            </w:r>
          </w:p>
        </w:tc>
        <w:tc>
          <w:tcPr>
            <w:tcW w:w="3260" w:type="dxa"/>
            <w:noWrap w:val="0"/>
            <w:vAlign w:val="center"/>
          </w:tcPr>
          <w:p w14:paraId="2506288A">
            <w:pPr>
              <w:jc w:val="left"/>
              <w:rPr>
                <w:color w:val="000000"/>
                <w:szCs w:val="21"/>
              </w:rPr>
            </w:pPr>
            <w:r>
              <w:rPr>
                <w:rFonts w:hint="eastAsia"/>
                <w:color w:val="000000"/>
                <w:szCs w:val="21"/>
              </w:rPr>
              <w:t>内容：结合教育实践，撰写1篇教育叙事论文。</w:t>
            </w:r>
          </w:p>
          <w:p w14:paraId="0B7450F4">
            <w:pPr>
              <w:jc w:val="left"/>
              <w:rPr>
                <w:rFonts w:hint="eastAsia"/>
                <w:color w:val="000000"/>
                <w:szCs w:val="21"/>
              </w:rPr>
            </w:pPr>
            <w:r>
              <w:rPr>
                <w:rFonts w:hint="eastAsia"/>
                <w:color w:val="000000"/>
                <w:szCs w:val="21"/>
              </w:rPr>
              <w:t>要求：选题合适，层次清晰，结构合理，语句通顺；符合学术规范；字数1500字以上。</w:t>
            </w:r>
          </w:p>
        </w:tc>
        <w:tc>
          <w:tcPr>
            <w:tcW w:w="1276" w:type="dxa"/>
            <w:noWrap w:val="0"/>
            <w:vAlign w:val="center"/>
          </w:tcPr>
          <w:p w14:paraId="76A60A9D">
            <w:pPr>
              <w:jc w:val="center"/>
              <w:rPr>
                <w:szCs w:val="21"/>
              </w:rPr>
            </w:pPr>
            <w:r>
              <w:rPr>
                <w:rFonts w:hint="eastAsia"/>
                <w:szCs w:val="21"/>
              </w:rPr>
              <w:t>1-1，3-1</w:t>
            </w:r>
          </w:p>
          <w:p w14:paraId="659D8646">
            <w:pPr>
              <w:jc w:val="center"/>
              <w:rPr>
                <w:rFonts w:hint="eastAsia"/>
                <w:szCs w:val="21"/>
              </w:rPr>
            </w:pPr>
            <w:r>
              <w:rPr>
                <w:szCs w:val="21"/>
              </w:rPr>
              <w:t xml:space="preserve"> </w:t>
            </w:r>
            <w:r>
              <w:rPr>
                <w:rFonts w:hint="eastAsia"/>
                <w:szCs w:val="21"/>
              </w:rPr>
              <w:t>4-4，</w:t>
            </w:r>
            <w:r>
              <w:rPr>
                <w:szCs w:val="21"/>
              </w:rPr>
              <w:t xml:space="preserve">7-3  </w:t>
            </w:r>
          </w:p>
        </w:tc>
        <w:tc>
          <w:tcPr>
            <w:tcW w:w="708" w:type="dxa"/>
            <w:noWrap w:val="0"/>
            <w:vAlign w:val="center"/>
          </w:tcPr>
          <w:p w14:paraId="09F460A1">
            <w:pPr>
              <w:jc w:val="center"/>
              <w:rPr>
                <w:rFonts w:hint="eastAsia"/>
                <w:szCs w:val="21"/>
              </w:rPr>
            </w:pPr>
            <w:r>
              <w:rPr>
                <w:rFonts w:hint="eastAsia"/>
                <w:szCs w:val="21"/>
              </w:rPr>
              <w:t>3</w:t>
            </w:r>
          </w:p>
        </w:tc>
        <w:tc>
          <w:tcPr>
            <w:tcW w:w="851" w:type="dxa"/>
            <w:noWrap w:val="0"/>
            <w:vAlign w:val="center"/>
          </w:tcPr>
          <w:p w14:paraId="1A7CA645">
            <w:pPr>
              <w:jc w:val="center"/>
              <w:rPr>
                <w:rFonts w:hint="eastAsia"/>
                <w:szCs w:val="21"/>
              </w:rPr>
            </w:pPr>
            <w:r>
              <w:rPr>
                <w:rFonts w:hint="eastAsia"/>
                <w:szCs w:val="21"/>
              </w:rPr>
              <w:t>设计性</w:t>
            </w:r>
          </w:p>
        </w:tc>
        <w:tc>
          <w:tcPr>
            <w:tcW w:w="908" w:type="dxa"/>
            <w:noWrap w:val="0"/>
            <w:vAlign w:val="center"/>
          </w:tcPr>
          <w:p w14:paraId="5A463794">
            <w:pPr>
              <w:jc w:val="center"/>
              <w:rPr>
                <w:rFonts w:hint="eastAsia"/>
                <w:szCs w:val="21"/>
              </w:rPr>
            </w:pPr>
            <w:r>
              <w:rPr>
                <w:rFonts w:hint="eastAsia"/>
                <w:szCs w:val="21"/>
              </w:rPr>
              <w:t>四选二</w:t>
            </w:r>
          </w:p>
        </w:tc>
      </w:tr>
      <w:tr w14:paraId="6D55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noWrap w:val="0"/>
            <w:vAlign w:val="center"/>
          </w:tcPr>
          <w:p w14:paraId="7023C7BD">
            <w:pPr>
              <w:jc w:val="center"/>
              <w:rPr>
                <w:rFonts w:hint="eastAsia"/>
                <w:szCs w:val="21"/>
              </w:rPr>
            </w:pPr>
            <w:r>
              <w:rPr>
                <w:rFonts w:hint="eastAsia"/>
                <w:szCs w:val="21"/>
              </w:rPr>
              <w:t>6</w:t>
            </w:r>
          </w:p>
        </w:tc>
        <w:tc>
          <w:tcPr>
            <w:tcW w:w="1610" w:type="dxa"/>
            <w:noWrap w:val="0"/>
            <w:vAlign w:val="center"/>
          </w:tcPr>
          <w:p w14:paraId="28F2078F">
            <w:pPr>
              <w:jc w:val="left"/>
              <w:rPr>
                <w:rFonts w:hint="eastAsia"/>
                <w:color w:val="000000"/>
                <w:szCs w:val="21"/>
              </w:rPr>
            </w:pPr>
            <w:r>
              <w:rPr>
                <w:rFonts w:hint="eastAsia"/>
                <w:color w:val="000000"/>
                <w:szCs w:val="21"/>
              </w:rPr>
              <w:t>毕业论文提纲撰写</w:t>
            </w:r>
          </w:p>
        </w:tc>
        <w:tc>
          <w:tcPr>
            <w:tcW w:w="3260" w:type="dxa"/>
            <w:noWrap w:val="0"/>
            <w:vAlign w:val="center"/>
          </w:tcPr>
          <w:p w14:paraId="66D2D095">
            <w:pPr>
              <w:jc w:val="left"/>
              <w:rPr>
                <w:color w:val="000000"/>
                <w:szCs w:val="21"/>
              </w:rPr>
            </w:pPr>
            <w:r>
              <w:rPr>
                <w:rFonts w:hint="eastAsia"/>
                <w:color w:val="000000"/>
                <w:szCs w:val="21"/>
              </w:rPr>
              <w:t>内容：结合毕业论文选题，拟定毕业论文提纲。</w:t>
            </w:r>
          </w:p>
          <w:p w14:paraId="1EAC6359">
            <w:pPr>
              <w:jc w:val="left"/>
              <w:rPr>
                <w:rFonts w:hint="eastAsia"/>
                <w:color w:val="000000"/>
                <w:szCs w:val="21"/>
              </w:rPr>
            </w:pPr>
            <w:r>
              <w:rPr>
                <w:rFonts w:hint="eastAsia"/>
                <w:color w:val="000000"/>
                <w:szCs w:val="21"/>
              </w:rPr>
              <w:t>要求：选题合适，层次清晰，结构合理，列出三级提纲。</w:t>
            </w:r>
          </w:p>
        </w:tc>
        <w:tc>
          <w:tcPr>
            <w:tcW w:w="1276" w:type="dxa"/>
            <w:noWrap w:val="0"/>
            <w:vAlign w:val="center"/>
          </w:tcPr>
          <w:p w14:paraId="53F832B3">
            <w:pPr>
              <w:jc w:val="center"/>
              <w:rPr>
                <w:szCs w:val="21"/>
              </w:rPr>
            </w:pPr>
            <w:r>
              <w:rPr>
                <w:rFonts w:hint="eastAsia"/>
                <w:szCs w:val="21"/>
              </w:rPr>
              <w:t>3-1，</w:t>
            </w:r>
          </w:p>
          <w:p w14:paraId="74969CC9">
            <w:pPr>
              <w:jc w:val="center"/>
              <w:rPr>
                <w:rFonts w:hint="eastAsia"/>
                <w:szCs w:val="21"/>
              </w:rPr>
            </w:pPr>
            <w:r>
              <w:rPr>
                <w:szCs w:val="21"/>
              </w:rPr>
              <w:t xml:space="preserve"> </w:t>
            </w:r>
            <w:r>
              <w:rPr>
                <w:rFonts w:hint="eastAsia"/>
                <w:szCs w:val="21"/>
              </w:rPr>
              <w:t>4-4，</w:t>
            </w:r>
            <w:r>
              <w:rPr>
                <w:szCs w:val="21"/>
              </w:rPr>
              <w:t xml:space="preserve">7-3  </w:t>
            </w:r>
          </w:p>
        </w:tc>
        <w:tc>
          <w:tcPr>
            <w:tcW w:w="708" w:type="dxa"/>
            <w:noWrap w:val="0"/>
            <w:vAlign w:val="center"/>
          </w:tcPr>
          <w:p w14:paraId="788E3D18">
            <w:pPr>
              <w:jc w:val="center"/>
              <w:rPr>
                <w:rFonts w:hint="eastAsia"/>
                <w:szCs w:val="21"/>
              </w:rPr>
            </w:pPr>
            <w:r>
              <w:rPr>
                <w:rFonts w:hint="eastAsia"/>
                <w:szCs w:val="21"/>
              </w:rPr>
              <w:t>2</w:t>
            </w:r>
          </w:p>
        </w:tc>
        <w:tc>
          <w:tcPr>
            <w:tcW w:w="851" w:type="dxa"/>
            <w:noWrap w:val="0"/>
            <w:vAlign w:val="center"/>
          </w:tcPr>
          <w:p w14:paraId="73E3D1F8">
            <w:pPr>
              <w:jc w:val="center"/>
              <w:rPr>
                <w:rFonts w:hint="eastAsia"/>
                <w:szCs w:val="21"/>
              </w:rPr>
            </w:pPr>
            <w:r>
              <w:rPr>
                <w:rFonts w:hint="eastAsia"/>
                <w:szCs w:val="21"/>
              </w:rPr>
              <w:t>设计性</w:t>
            </w:r>
          </w:p>
        </w:tc>
        <w:tc>
          <w:tcPr>
            <w:tcW w:w="908" w:type="dxa"/>
            <w:noWrap w:val="0"/>
            <w:vAlign w:val="center"/>
          </w:tcPr>
          <w:p w14:paraId="1342D63F">
            <w:pPr>
              <w:jc w:val="center"/>
              <w:rPr>
                <w:rFonts w:hint="eastAsia"/>
                <w:szCs w:val="21"/>
              </w:rPr>
            </w:pPr>
            <w:r>
              <w:rPr>
                <w:rFonts w:hint="eastAsia"/>
                <w:szCs w:val="21"/>
              </w:rPr>
              <w:t>四选二</w:t>
            </w:r>
          </w:p>
        </w:tc>
      </w:tr>
      <w:bookmarkEnd w:id="198"/>
      <w:bookmarkEnd w:id="199"/>
    </w:tbl>
    <w:p w14:paraId="28EA45DB">
      <w:pPr>
        <w:spacing w:line="360" w:lineRule="auto"/>
        <w:outlineLvl w:val="0"/>
        <w:rPr>
          <w:rFonts w:hint="eastAsia" w:ascii="宋体" w:hAnsi="宋体"/>
          <w:b/>
          <w:color w:val="000000"/>
          <w:sz w:val="28"/>
          <w:szCs w:val="28"/>
        </w:rPr>
      </w:pPr>
      <w:r>
        <w:rPr>
          <w:rFonts w:hint="eastAsia" w:ascii="宋体" w:hAnsi="宋体"/>
          <w:b/>
          <w:color w:val="000000"/>
          <w:sz w:val="28"/>
          <w:szCs w:val="28"/>
        </w:rPr>
        <w:t>五、课程实施</w:t>
      </w:r>
    </w:p>
    <w:p w14:paraId="3321379A">
      <w:pPr>
        <w:spacing w:line="360" w:lineRule="auto"/>
        <w:ind w:firstLine="482" w:firstLineChars="200"/>
        <w:rPr>
          <w:rFonts w:hint="eastAsia"/>
          <w:b/>
          <w:sz w:val="24"/>
        </w:rPr>
      </w:pPr>
      <w:r>
        <w:rPr>
          <w:rFonts w:hint="eastAsia"/>
          <w:b/>
          <w:sz w:val="24"/>
        </w:rPr>
        <w:t>（一）教学方法与教学手段</w:t>
      </w:r>
    </w:p>
    <w:p w14:paraId="41FE26B2">
      <w:pPr>
        <w:spacing w:line="360" w:lineRule="auto"/>
        <w:ind w:firstLine="480" w:firstLineChars="200"/>
        <w:rPr>
          <w:rFonts w:hint="eastAsia"/>
          <w:sz w:val="24"/>
        </w:rPr>
      </w:pPr>
      <w:r>
        <w:rPr>
          <w:sz w:val="24"/>
        </w:rPr>
        <w:t>1</w:t>
      </w:r>
      <w:r>
        <w:rPr>
          <w:rFonts w:hint="eastAsia"/>
          <w:sz w:val="24"/>
        </w:rPr>
        <w:t>. 理论联系实际。本课程是理一门工具性质的课程。在教学中，教师不仅要告诉学生“是什么”、“为什么”，而且要告诉学生“做什么”、“如何做”，对教育论文写作的基本要求和方法讲精讲透，加强案例引导，加强课内实践的指导，注重对学生具体“如何做”的能力培养。</w:t>
      </w:r>
    </w:p>
    <w:p w14:paraId="739C8328">
      <w:pPr>
        <w:spacing w:line="360" w:lineRule="auto"/>
        <w:ind w:firstLine="480" w:firstLineChars="200"/>
        <w:rPr>
          <w:rFonts w:hint="eastAsia"/>
          <w:sz w:val="24"/>
        </w:rPr>
      </w:pPr>
      <w:r>
        <w:rPr>
          <w:rFonts w:hint="eastAsia"/>
          <w:sz w:val="24"/>
        </w:rPr>
        <w:t>2. 广泛开展小组合作学习。本课程教学建议在智慧教室、微格教室等专用教室进行，课堂上对学生进行分组，多采用小组讨论方式进行学习。</w:t>
      </w:r>
    </w:p>
    <w:p w14:paraId="77295DC1">
      <w:pPr>
        <w:spacing w:line="360" w:lineRule="auto"/>
        <w:ind w:firstLine="480" w:firstLineChars="200"/>
        <w:rPr>
          <w:b/>
          <w:sz w:val="24"/>
        </w:rPr>
      </w:pPr>
      <w:r>
        <w:rPr>
          <w:rFonts w:hint="eastAsia"/>
          <w:sz w:val="24"/>
        </w:rPr>
        <w:t>3. 充分发挥全过程双导师制的优势，培养学生在教育实践中发现教育问题的意识和运用所学知识思考、解决问题的能力。同时，积极鼓励学生参与小学教师的教育教学研究活动，为教育研究论文的写作积累素材。</w:t>
      </w:r>
    </w:p>
    <w:p w14:paraId="5A790160">
      <w:pPr>
        <w:spacing w:line="360" w:lineRule="auto"/>
        <w:ind w:firstLine="482" w:firstLineChars="200"/>
        <w:rPr>
          <w:rFonts w:hint="eastAsia"/>
          <w:b/>
          <w:sz w:val="24"/>
        </w:rPr>
      </w:pPr>
      <w:r>
        <w:rPr>
          <w:rFonts w:hint="eastAsia"/>
          <w:b/>
          <w:sz w:val="24"/>
        </w:rPr>
        <w:t>（二）课程实施与保障</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3C45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3F3A1773">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6D3A7C9B">
            <w:pPr>
              <w:spacing w:line="276" w:lineRule="auto"/>
              <w:jc w:val="center"/>
              <w:rPr>
                <w:szCs w:val="21"/>
              </w:rPr>
            </w:pPr>
            <w:r>
              <w:rPr>
                <w:bCs/>
                <w:szCs w:val="21"/>
              </w:rPr>
              <w:t>质量</w:t>
            </w:r>
            <w:r>
              <w:rPr>
                <w:rFonts w:hint="eastAsia"/>
                <w:bCs/>
                <w:szCs w:val="21"/>
              </w:rPr>
              <w:t>要求</w:t>
            </w:r>
          </w:p>
        </w:tc>
      </w:tr>
      <w:tr w14:paraId="084D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582" w:type="dxa"/>
            <w:tcBorders>
              <w:left w:val="single" w:color="auto" w:sz="8" w:space="0"/>
            </w:tcBorders>
            <w:noWrap w:val="0"/>
            <w:vAlign w:val="center"/>
          </w:tcPr>
          <w:p w14:paraId="790F875F">
            <w:pPr>
              <w:spacing w:line="276" w:lineRule="auto"/>
              <w:jc w:val="center"/>
              <w:rPr>
                <w:szCs w:val="21"/>
              </w:rPr>
            </w:pPr>
            <w:r>
              <w:rPr>
                <w:szCs w:val="21"/>
              </w:rPr>
              <w:t>1</w:t>
            </w:r>
          </w:p>
        </w:tc>
        <w:tc>
          <w:tcPr>
            <w:tcW w:w="1701" w:type="dxa"/>
            <w:noWrap w:val="0"/>
            <w:tcMar>
              <w:left w:w="28" w:type="dxa"/>
              <w:right w:w="28" w:type="dxa"/>
            </w:tcMar>
            <w:vAlign w:val="center"/>
          </w:tcPr>
          <w:p w14:paraId="1F1C9E2A">
            <w:pPr>
              <w:spacing w:line="276" w:lineRule="auto"/>
              <w:jc w:val="center"/>
              <w:rPr>
                <w:szCs w:val="21"/>
              </w:rPr>
            </w:pPr>
            <w:r>
              <w:rPr>
                <w:szCs w:val="21"/>
              </w:rPr>
              <w:t>备课</w:t>
            </w:r>
          </w:p>
        </w:tc>
        <w:tc>
          <w:tcPr>
            <w:tcW w:w="6817" w:type="dxa"/>
            <w:tcBorders>
              <w:right w:val="single" w:color="auto" w:sz="8" w:space="0"/>
            </w:tcBorders>
            <w:noWrap w:val="0"/>
            <w:vAlign w:val="center"/>
          </w:tcPr>
          <w:p w14:paraId="14A17877">
            <w:pPr>
              <w:spacing w:line="276" w:lineRule="auto"/>
              <w:rPr>
                <w:szCs w:val="21"/>
              </w:rPr>
            </w:pPr>
            <w:r>
              <w:rPr>
                <w:rFonts w:hint="eastAsia"/>
                <w:szCs w:val="21"/>
              </w:rPr>
              <w:t>（1）教师</w:t>
            </w:r>
            <w:r>
              <w:rPr>
                <w:szCs w:val="21"/>
              </w:rPr>
              <w:t>掌握本课程教学大纲内容，严格按照教学大纲要求进行课程教学内容的组织。</w:t>
            </w:r>
          </w:p>
          <w:p w14:paraId="22D0068E">
            <w:pPr>
              <w:spacing w:line="276" w:lineRule="auto"/>
              <w:rPr>
                <w:szCs w:val="21"/>
              </w:rPr>
            </w:pPr>
            <w:r>
              <w:rPr>
                <w:szCs w:val="21"/>
              </w:rPr>
              <w:t>（2）</w:t>
            </w:r>
            <w:r>
              <w:rPr>
                <w:rFonts w:hint="eastAsia"/>
                <w:szCs w:val="21"/>
              </w:rPr>
              <w:t>教师查阅相关资料，参考其他高校相关专业的经验，认真编写教案，制作课件</w:t>
            </w:r>
            <w:r>
              <w:rPr>
                <w:szCs w:val="21"/>
              </w:rPr>
              <w:t>。</w:t>
            </w:r>
          </w:p>
          <w:p w14:paraId="4C4FDFDB">
            <w:pPr>
              <w:spacing w:line="276" w:lineRule="auto"/>
              <w:rPr>
                <w:szCs w:val="21"/>
              </w:rPr>
            </w:pPr>
            <w:r>
              <w:rPr>
                <w:szCs w:val="21"/>
              </w:rPr>
              <w:t>（3）</w:t>
            </w:r>
            <w:r>
              <w:rPr>
                <w:rFonts w:hint="eastAsia"/>
                <w:szCs w:val="21"/>
              </w:rPr>
              <w:t>根据</w:t>
            </w:r>
            <w:r>
              <w:rPr>
                <w:szCs w:val="21"/>
              </w:rPr>
              <w:t>各</w:t>
            </w:r>
            <w:r>
              <w:rPr>
                <w:rFonts w:hint="eastAsia"/>
                <w:szCs w:val="21"/>
              </w:rPr>
              <w:t>模块的教学</w:t>
            </w:r>
            <w:r>
              <w:rPr>
                <w:szCs w:val="21"/>
              </w:rPr>
              <w:t>内容</w:t>
            </w:r>
            <w:r>
              <w:rPr>
                <w:rFonts w:hint="eastAsia"/>
                <w:szCs w:val="21"/>
              </w:rPr>
              <w:t>，进行教学设计，选择合适的</w:t>
            </w:r>
            <w:r>
              <w:rPr>
                <w:szCs w:val="21"/>
              </w:rPr>
              <w:t>教学方法。</w:t>
            </w:r>
          </w:p>
        </w:tc>
      </w:tr>
      <w:tr w14:paraId="0828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582" w:type="dxa"/>
            <w:tcBorders>
              <w:left w:val="single" w:color="auto" w:sz="8" w:space="0"/>
            </w:tcBorders>
            <w:noWrap w:val="0"/>
            <w:vAlign w:val="center"/>
          </w:tcPr>
          <w:p w14:paraId="4E02C640">
            <w:pPr>
              <w:spacing w:line="276" w:lineRule="auto"/>
              <w:jc w:val="center"/>
              <w:rPr>
                <w:szCs w:val="21"/>
              </w:rPr>
            </w:pPr>
            <w:r>
              <w:rPr>
                <w:szCs w:val="21"/>
              </w:rPr>
              <w:t>2</w:t>
            </w:r>
          </w:p>
        </w:tc>
        <w:tc>
          <w:tcPr>
            <w:tcW w:w="1701" w:type="dxa"/>
            <w:noWrap w:val="0"/>
            <w:tcMar>
              <w:left w:w="28" w:type="dxa"/>
              <w:right w:w="28" w:type="dxa"/>
            </w:tcMar>
            <w:vAlign w:val="center"/>
          </w:tcPr>
          <w:p w14:paraId="403FBA9B">
            <w:pPr>
              <w:spacing w:line="276" w:lineRule="auto"/>
              <w:jc w:val="center"/>
              <w:rPr>
                <w:szCs w:val="21"/>
              </w:rPr>
            </w:pPr>
            <w:r>
              <w:rPr>
                <w:szCs w:val="21"/>
              </w:rPr>
              <w:t>讲授</w:t>
            </w:r>
          </w:p>
        </w:tc>
        <w:tc>
          <w:tcPr>
            <w:tcW w:w="6817" w:type="dxa"/>
            <w:tcBorders>
              <w:right w:val="single" w:color="auto" w:sz="8" w:space="0"/>
            </w:tcBorders>
            <w:noWrap w:val="0"/>
            <w:vAlign w:val="center"/>
          </w:tcPr>
          <w:p w14:paraId="4CA2C05A">
            <w:pPr>
              <w:spacing w:line="276" w:lineRule="auto"/>
              <w:rPr>
                <w:rFonts w:ascii="宋体" w:hAnsi="宋体"/>
                <w:color w:val="000000"/>
              </w:rPr>
            </w:pPr>
            <w:r>
              <w:rPr>
                <w:rFonts w:hint="eastAsia"/>
                <w:szCs w:val="21"/>
              </w:rPr>
              <w:t>（</w:t>
            </w:r>
            <w:r>
              <w:rPr>
                <w:rFonts w:ascii="宋体" w:hAnsi="宋体"/>
                <w:color w:val="000000"/>
                <w:szCs w:val="21"/>
              </w:rPr>
              <w:t>（1）</w:t>
            </w:r>
            <w:r>
              <w:rPr>
                <w:rFonts w:hint="eastAsia" w:ascii="宋体" w:hAnsi="宋体"/>
                <w:color w:val="000000"/>
              </w:rPr>
              <w:t>教师仪表端庄，情绪情感要饱满；</w:t>
            </w:r>
          </w:p>
          <w:p w14:paraId="66AAB495">
            <w:pPr>
              <w:spacing w:line="276" w:lineRule="auto"/>
              <w:rPr>
                <w:rFonts w:ascii="宋体" w:hAnsi="宋体"/>
                <w:color w:val="000000"/>
                <w:szCs w:val="21"/>
              </w:rPr>
            </w:pPr>
            <w:r>
              <w:rPr>
                <w:rFonts w:ascii="宋体" w:hAnsi="宋体"/>
                <w:color w:val="000000"/>
                <w:szCs w:val="21"/>
              </w:rPr>
              <w:t>（2）</w:t>
            </w:r>
            <w:r>
              <w:rPr>
                <w:rFonts w:hint="eastAsia" w:ascii="宋体" w:hAnsi="宋体"/>
                <w:color w:val="000000"/>
              </w:rPr>
              <w:t>教学准备充分，熟悉教学内容；</w:t>
            </w:r>
          </w:p>
          <w:p w14:paraId="3C52FD34">
            <w:pPr>
              <w:spacing w:line="276" w:lineRule="auto"/>
              <w:rPr>
                <w:rFonts w:ascii="宋体" w:hAnsi="宋体"/>
                <w:color w:val="000000"/>
                <w:szCs w:val="21"/>
              </w:rPr>
            </w:pPr>
            <w:r>
              <w:rPr>
                <w:rFonts w:ascii="宋体" w:hAnsi="宋体"/>
                <w:color w:val="000000"/>
                <w:szCs w:val="21"/>
              </w:rPr>
              <w:t>（3）</w:t>
            </w:r>
            <w:r>
              <w:rPr>
                <w:rFonts w:hint="eastAsia" w:ascii="宋体" w:hAnsi="宋体"/>
                <w:color w:val="000000"/>
              </w:rPr>
              <w:t>教学内容充实，不断充实最新研究成果；</w:t>
            </w:r>
          </w:p>
          <w:p w14:paraId="2169D797">
            <w:pPr>
              <w:spacing w:line="276" w:lineRule="auto"/>
              <w:rPr>
                <w:rFonts w:ascii="宋体" w:hAnsi="宋体"/>
                <w:color w:val="000000"/>
                <w:szCs w:val="21"/>
              </w:rPr>
            </w:pPr>
            <w:r>
              <w:rPr>
                <w:rFonts w:ascii="宋体" w:hAnsi="宋体"/>
                <w:color w:val="000000"/>
                <w:szCs w:val="21"/>
              </w:rPr>
              <w:t>（4）</w:t>
            </w:r>
            <w:r>
              <w:rPr>
                <w:rFonts w:hint="eastAsia" w:ascii="宋体" w:hAnsi="宋体"/>
                <w:color w:val="000000"/>
              </w:rPr>
              <w:t>严格执行计划，教学进度适宜；</w:t>
            </w:r>
          </w:p>
          <w:p w14:paraId="04E8FAAA">
            <w:pPr>
              <w:spacing w:line="276" w:lineRule="auto"/>
              <w:rPr>
                <w:rFonts w:ascii="宋体" w:hAnsi="宋体"/>
                <w:color w:val="000000"/>
                <w:szCs w:val="21"/>
              </w:rPr>
            </w:pPr>
            <w:r>
              <w:rPr>
                <w:rFonts w:ascii="宋体" w:hAnsi="宋体"/>
                <w:color w:val="000000"/>
                <w:szCs w:val="21"/>
              </w:rPr>
              <w:t>（5）</w:t>
            </w:r>
            <w:r>
              <w:rPr>
                <w:rFonts w:hint="eastAsia" w:ascii="宋体" w:hAnsi="宋体"/>
                <w:color w:val="000000"/>
              </w:rPr>
              <w:t>课堂教学信息充分，注重理论联系实际；</w:t>
            </w:r>
          </w:p>
          <w:p w14:paraId="5B9352BB">
            <w:pPr>
              <w:spacing w:line="276" w:lineRule="auto"/>
              <w:rPr>
                <w:rFonts w:ascii="宋体" w:hAnsi="宋体"/>
                <w:color w:val="000000"/>
                <w:szCs w:val="21"/>
              </w:rPr>
            </w:pPr>
            <w:r>
              <w:rPr>
                <w:rFonts w:ascii="宋体" w:hAnsi="宋体"/>
                <w:color w:val="000000"/>
                <w:szCs w:val="21"/>
              </w:rPr>
              <w:t>（6）</w:t>
            </w:r>
            <w:r>
              <w:rPr>
                <w:rFonts w:hint="eastAsia" w:ascii="宋体" w:hAnsi="宋体"/>
                <w:color w:val="000000"/>
              </w:rPr>
              <w:t>注重启发学生思维，培养学生的教学能力；</w:t>
            </w:r>
          </w:p>
          <w:p w14:paraId="66E82DCC">
            <w:pPr>
              <w:spacing w:line="276" w:lineRule="auto"/>
              <w:rPr>
                <w:rFonts w:ascii="宋体" w:hAnsi="宋体"/>
                <w:color w:val="000000"/>
                <w:szCs w:val="21"/>
              </w:rPr>
            </w:pPr>
            <w:r>
              <w:rPr>
                <w:rFonts w:ascii="宋体" w:hAnsi="宋体"/>
                <w:color w:val="000000"/>
                <w:szCs w:val="21"/>
              </w:rPr>
              <w:t>（7）</w:t>
            </w:r>
            <w:r>
              <w:rPr>
                <w:rFonts w:hint="eastAsia" w:ascii="宋体" w:hAnsi="宋体"/>
                <w:color w:val="000000"/>
              </w:rPr>
              <w:t>面向全体基础上因材施教，灵活运用多种教学方法；</w:t>
            </w:r>
          </w:p>
          <w:p w14:paraId="6E15C01B">
            <w:pPr>
              <w:spacing w:line="276" w:lineRule="auto"/>
              <w:rPr>
                <w:rFonts w:ascii="宋体" w:hAnsi="宋体"/>
                <w:color w:val="000000"/>
                <w:szCs w:val="21"/>
              </w:rPr>
            </w:pPr>
            <w:r>
              <w:rPr>
                <w:rFonts w:ascii="宋体" w:hAnsi="宋体"/>
                <w:color w:val="000000"/>
                <w:szCs w:val="21"/>
              </w:rPr>
              <w:t>（8）</w:t>
            </w:r>
            <w:r>
              <w:rPr>
                <w:rFonts w:hint="eastAsia" w:ascii="宋体" w:hAnsi="宋体"/>
                <w:color w:val="000000"/>
              </w:rPr>
              <w:t>教学语言规范，为学生教育教学做好表率；</w:t>
            </w:r>
          </w:p>
          <w:p w14:paraId="54DE5A0F">
            <w:pPr>
              <w:spacing w:line="276" w:lineRule="auto"/>
              <w:rPr>
                <w:rFonts w:ascii="宋体" w:hAnsi="宋体"/>
                <w:color w:val="000000"/>
                <w:szCs w:val="21"/>
              </w:rPr>
            </w:pPr>
            <w:r>
              <w:rPr>
                <w:rFonts w:ascii="宋体" w:hAnsi="宋体"/>
                <w:color w:val="000000"/>
                <w:szCs w:val="21"/>
              </w:rPr>
              <w:t>（9）</w:t>
            </w:r>
            <w:r>
              <w:rPr>
                <w:rFonts w:hint="eastAsia" w:ascii="宋体" w:hAnsi="宋体"/>
                <w:color w:val="000000"/>
              </w:rPr>
              <w:t>教学条理清楚，教学思路逻辑严密；</w:t>
            </w:r>
          </w:p>
          <w:p w14:paraId="5F8BD231">
            <w:pPr>
              <w:spacing w:line="276" w:lineRule="auto"/>
              <w:rPr>
                <w:rFonts w:ascii="宋体" w:hAnsi="宋体"/>
                <w:color w:val="000000"/>
                <w:szCs w:val="21"/>
              </w:rPr>
            </w:pPr>
            <w:r>
              <w:rPr>
                <w:rFonts w:ascii="宋体" w:hAnsi="宋体"/>
                <w:color w:val="000000"/>
                <w:szCs w:val="21"/>
              </w:rPr>
              <w:t>（10）</w:t>
            </w:r>
            <w:r>
              <w:rPr>
                <w:rFonts w:hint="eastAsia" w:ascii="宋体" w:hAnsi="宋体"/>
                <w:color w:val="000000"/>
              </w:rPr>
              <w:t>充分运用现代化教学手段，教学技术熟练；</w:t>
            </w:r>
          </w:p>
          <w:p w14:paraId="0B5941A2">
            <w:pPr>
              <w:spacing w:line="276" w:lineRule="auto"/>
              <w:rPr>
                <w:rFonts w:ascii="宋体" w:hAnsi="宋体"/>
                <w:color w:val="000000"/>
                <w:szCs w:val="21"/>
              </w:rPr>
            </w:pPr>
            <w:r>
              <w:rPr>
                <w:rFonts w:ascii="宋体" w:hAnsi="宋体"/>
                <w:color w:val="000000"/>
                <w:szCs w:val="21"/>
              </w:rPr>
              <w:t>（11）</w:t>
            </w:r>
            <w:r>
              <w:rPr>
                <w:rFonts w:hint="eastAsia" w:ascii="宋体" w:hAnsi="宋体"/>
                <w:color w:val="000000"/>
              </w:rPr>
              <w:t>课堂教学要重点突出，难点突破；</w:t>
            </w:r>
          </w:p>
          <w:p w14:paraId="3DC43416">
            <w:pPr>
              <w:spacing w:line="276" w:lineRule="auto"/>
              <w:rPr>
                <w:szCs w:val="21"/>
              </w:rPr>
            </w:pPr>
            <w:r>
              <w:rPr>
                <w:rFonts w:ascii="宋体" w:hAnsi="宋体"/>
                <w:color w:val="000000"/>
                <w:szCs w:val="21"/>
              </w:rPr>
              <w:t>（12）</w:t>
            </w:r>
            <w:r>
              <w:rPr>
                <w:rFonts w:hint="eastAsia" w:ascii="宋体" w:hAnsi="宋体"/>
                <w:color w:val="000000"/>
              </w:rPr>
              <w:t>注重师生互动，形成良好的课堂氛围。</w:t>
            </w:r>
          </w:p>
        </w:tc>
      </w:tr>
      <w:tr w14:paraId="2F2C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3" w:hRule="atLeast"/>
          <w:jc w:val="center"/>
        </w:trPr>
        <w:tc>
          <w:tcPr>
            <w:tcW w:w="582" w:type="dxa"/>
            <w:tcBorders>
              <w:left w:val="single" w:color="auto" w:sz="8" w:space="0"/>
            </w:tcBorders>
            <w:noWrap w:val="0"/>
            <w:vAlign w:val="center"/>
          </w:tcPr>
          <w:p w14:paraId="1F5371D3">
            <w:pPr>
              <w:spacing w:line="276" w:lineRule="auto"/>
              <w:jc w:val="center"/>
              <w:rPr>
                <w:szCs w:val="21"/>
              </w:rPr>
            </w:pPr>
            <w:r>
              <w:rPr>
                <w:szCs w:val="21"/>
              </w:rPr>
              <w:t>3</w:t>
            </w:r>
          </w:p>
        </w:tc>
        <w:tc>
          <w:tcPr>
            <w:tcW w:w="1701" w:type="dxa"/>
            <w:noWrap w:val="0"/>
            <w:tcMar>
              <w:left w:w="28" w:type="dxa"/>
              <w:right w:w="28" w:type="dxa"/>
            </w:tcMar>
            <w:vAlign w:val="center"/>
          </w:tcPr>
          <w:p w14:paraId="781A23B5">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50495A70">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43CC6D97">
            <w:pPr>
              <w:spacing w:line="276" w:lineRule="auto"/>
              <w:rPr>
                <w:szCs w:val="21"/>
              </w:rPr>
            </w:pPr>
            <w:r>
              <w:rPr>
                <w:rFonts w:hint="eastAsia"/>
                <w:szCs w:val="21"/>
              </w:rPr>
              <w:t>（1）</w:t>
            </w:r>
            <w:r>
              <w:rPr>
                <w:szCs w:val="21"/>
              </w:rPr>
              <w:t>按时按量完成作业，不缺交，不抄袭</w:t>
            </w:r>
            <w:r>
              <w:rPr>
                <w:rFonts w:hint="eastAsia"/>
                <w:szCs w:val="21"/>
              </w:rPr>
              <w:t>。</w:t>
            </w:r>
          </w:p>
          <w:p w14:paraId="312B4851">
            <w:pPr>
              <w:spacing w:line="276" w:lineRule="auto"/>
              <w:rPr>
                <w:szCs w:val="21"/>
              </w:rPr>
            </w:pPr>
            <w:r>
              <w:rPr>
                <w:rFonts w:hint="eastAsia"/>
                <w:szCs w:val="21"/>
              </w:rPr>
              <w:t>（2）书写或打印</w:t>
            </w:r>
            <w:r>
              <w:rPr>
                <w:szCs w:val="21"/>
              </w:rPr>
              <w:t>规范</w:t>
            </w:r>
            <w:r>
              <w:rPr>
                <w:rFonts w:hint="eastAsia"/>
                <w:szCs w:val="21"/>
              </w:rPr>
              <w:t>。</w:t>
            </w:r>
          </w:p>
          <w:p w14:paraId="0A3AA1D6">
            <w:pPr>
              <w:spacing w:line="276" w:lineRule="auto"/>
              <w:rPr>
                <w:szCs w:val="21"/>
              </w:rPr>
            </w:pPr>
            <w:r>
              <w:rPr>
                <w:szCs w:val="21"/>
              </w:rPr>
              <w:t>教师批改</w:t>
            </w:r>
            <w:r>
              <w:rPr>
                <w:rFonts w:hint="eastAsia"/>
                <w:szCs w:val="21"/>
              </w:rPr>
              <w:t>和</w:t>
            </w:r>
            <w:r>
              <w:rPr>
                <w:szCs w:val="21"/>
              </w:rPr>
              <w:t>讲评作业要求如下：</w:t>
            </w:r>
          </w:p>
          <w:p w14:paraId="526869D2">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、反馈。</w:t>
            </w:r>
          </w:p>
          <w:p w14:paraId="234B6444">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48696859">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作为本课程总评成绩的重要组成部分。</w:t>
            </w:r>
          </w:p>
        </w:tc>
      </w:tr>
      <w:tr w14:paraId="1E26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582" w:type="dxa"/>
            <w:tcBorders>
              <w:left w:val="single" w:color="auto" w:sz="8" w:space="0"/>
            </w:tcBorders>
            <w:noWrap w:val="0"/>
            <w:vAlign w:val="center"/>
          </w:tcPr>
          <w:p w14:paraId="0E9E45A0">
            <w:pPr>
              <w:spacing w:line="276" w:lineRule="auto"/>
              <w:jc w:val="center"/>
              <w:rPr>
                <w:szCs w:val="21"/>
              </w:rPr>
            </w:pPr>
            <w:r>
              <w:rPr>
                <w:szCs w:val="21"/>
              </w:rPr>
              <w:t>4</w:t>
            </w:r>
          </w:p>
        </w:tc>
        <w:tc>
          <w:tcPr>
            <w:tcW w:w="1701" w:type="dxa"/>
            <w:noWrap w:val="0"/>
            <w:tcMar>
              <w:left w:w="28" w:type="dxa"/>
              <w:right w:w="28" w:type="dxa"/>
            </w:tcMar>
            <w:vAlign w:val="center"/>
          </w:tcPr>
          <w:p w14:paraId="3AA1320C">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1FD200DD">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w:t>
            </w:r>
            <w:r>
              <w:rPr>
                <w:rFonts w:hint="eastAsia"/>
                <w:szCs w:val="21"/>
              </w:rPr>
              <w:t>均</w:t>
            </w:r>
            <w:r>
              <w:rPr>
                <w:szCs w:val="21"/>
              </w:rPr>
              <w:t>安排时间进行课外答疑与辅导。</w:t>
            </w:r>
          </w:p>
        </w:tc>
      </w:tr>
      <w:tr w14:paraId="09E0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82" w:type="dxa"/>
            <w:tcBorders>
              <w:left w:val="single" w:color="auto" w:sz="8" w:space="0"/>
            </w:tcBorders>
            <w:noWrap w:val="0"/>
            <w:vAlign w:val="center"/>
          </w:tcPr>
          <w:p w14:paraId="4842A943">
            <w:pPr>
              <w:spacing w:line="276" w:lineRule="auto"/>
              <w:jc w:val="center"/>
              <w:rPr>
                <w:szCs w:val="21"/>
              </w:rPr>
            </w:pPr>
            <w:r>
              <w:rPr>
                <w:szCs w:val="21"/>
              </w:rPr>
              <w:t>5</w:t>
            </w:r>
          </w:p>
        </w:tc>
        <w:tc>
          <w:tcPr>
            <w:tcW w:w="1701" w:type="dxa"/>
            <w:noWrap w:val="0"/>
            <w:tcMar>
              <w:left w:w="28" w:type="dxa"/>
              <w:right w:w="28" w:type="dxa"/>
            </w:tcMar>
            <w:vAlign w:val="center"/>
          </w:tcPr>
          <w:p w14:paraId="00C22D1B">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256192A1">
            <w:pPr>
              <w:spacing w:line="276" w:lineRule="auto"/>
              <w:rPr>
                <w:rFonts w:hint="eastAsia"/>
                <w:szCs w:val="21"/>
              </w:rPr>
            </w:pPr>
            <w:r>
              <w:rPr>
                <w:rFonts w:hint="eastAsia"/>
                <w:szCs w:val="21"/>
              </w:rPr>
              <w:t>本课程学期考核采用论文方式进行考核。学生需独立完成1篇符合学术规范的教育论文，字数5000字以上。有下列情况之一者，总评成绩为不及格：</w:t>
            </w:r>
          </w:p>
          <w:p w14:paraId="42D4AF28">
            <w:pPr>
              <w:spacing w:line="276" w:lineRule="auto"/>
              <w:rPr>
                <w:rFonts w:hint="eastAsia"/>
                <w:szCs w:val="21"/>
              </w:rPr>
            </w:pPr>
            <w:r>
              <w:rPr>
                <w:rFonts w:hint="eastAsia"/>
                <w:szCs w:val="21"/>
              </w:rPr>
              <w:t>（1）论文有抄袭行为者。</w:t>
            </w:r>
          </w:p>
          <w:p w14:paraId="3D924705">
            <w:pPr>
              <w:spacing w:line="276" w:lineRule="auto"/>
              <w:rPr>
                <w:rFonts w:hint="eastAsia"/>
                <w:szCs w:val="21"/>
              </w:rPr>
            </w:pPr>
            <w:r>
              <w:rPr>
                <w:rFonts w:hint="eastAsia"/>
                <w:szCs w:val="21"/>
              </w:rPr>
              <w:t>（2）缺交作业（含课内实践项目作业）次数达1/3以上者。</w:t>
            </w:r>
          </w:p>
          <w:p w14:paraId="2C963C3E">
            <w:pPr>
              <w:spacing w:line="276" w:lineRule="auto"/>
              <w:rPr>
                <w:szCs w:val="21"/>
              </w:rPr>
            </w:pPr>
            <w:r>
              <w:rPr>
                <w:rFonts w:hint="eastAsia"/>
                <w:szCs w:val="21"/>
              </w:rPr>
              <w:t>（2）缺课次数达本学期总授课学时的1/3以上者。</w:t>
            </w:r>
          </w:p>
        </w:tc>
      </w:tr>
    </w:tbl>
    <w:p w14:paraId="62FAB99C">
      <w:pPr>
        <w:spacing w:line="360" w:lineRule="auto"/>
        <w:ind w:firstLine="562" w:firstLineChars="200"/>
        <w:outlineLvl w:val="0"/>
        <w:rPr>
          <w:rFonts w:hint="eastAsia" w:ascii="宋体" w:hAnsi="宋体"/>
          <w:b/>
          <w:color w:val="000000"/>
          <w:sz w:val="28"/>
          <w:szCs w:val="28"/>
        </w:rPr>
      </w:pPr>
      <w:r>
        <w:rPr>
          <w:rFonts w:hint="eastAsia" w:ascii="宋体" w:hAnsi="宋体"/>
          <w:b/>
          <w:color w:val="000000"/>
          <w:sz w:val="28"/>
          <w:szCs w:val="28"/>
        </w:rPr>
        <w:t>六、课程</w:t>
      </w:r>
      <w:r>
        <w:rPr>
          <w:rFonts w:ascii="宋体" w:hAnsi="宋体"/>
          <w:b/>
          <w:color w:val="000000"/>
          <w:sz w:val="28"/>
          <w:szCs w:val="28"/>
        </w:rPr>
        <w:t>考核</w:t>
      </w:r>
    </w:p>
    <w:p w14:paraId="52CB89E3">
      <w:pPr>
        <w:spacing w:line="360" w:lineRule="auto"/>
        <w:ind w:firstLine="480" w:firstLineChars="200"/>
        <w:rPr>
          <w:rFonts w:hint="eastAsia"/>
          <w:sz w:val="24"/>
        </w:rPr>
      </w:pPr>
      <w:r>
        <w:rPr>
          <w:rFonts w:hint="eastAsia"/>
          <w:sz w:val="24"/>
        </w:rPr>
        <w:t>（一）</w:t>
      </w:r>
      <w:r>
        <w:rPr>
          <w:sz w:val="24"/>
        </w:rPr>
        <w:t>课程考核</w:t>
      </w:r>
      <w:r>
        <w:rPr>
          <w:rFonts w:hint="eastAsia"/>
          <w:sz w:val="24"/>
        </w:rPr>
        <w:t>项目</w:t>
      </w:r>
      <w:r>
        <w:rPr>
          <w:sz w:val="24"/>
        </w:rPr>
        <w:t>包括</w:t>
      </w:r>
      <w:r>
        <w:rPr>
          <w:rFonts w:hint="eastAsia"/>
          <w:sz w:val="24"/>
        </w:rPr>
        <w:t>：平时成绩（包括考勤、课堂表现、平时作业）、课内实践、学期考核</w:t>
      </w:r>
      <w:r>
        <w:rPr>
          <w:sz w:val="24"/>
        </w:rPr>
        <w:t>。</w:t>
      </w:r>
    </w:p>
    <w:p w14:paraId="4E2BD5F8">
      <w:pPr>
        <w:spacing w:line="360" w:lineRule="auto"/>
        <w:ind w:firstLine="480" w:firstLineChars="200"/>
        <w:rPr>
          <w:sz w:val="24"/>
        </w:rPr>
      </w:pPr>
      <w:bookmarkStart w:id="200" w:name="_Hlk23868567"/>
      <w:r>
        <w:rPr>
          <w:rFonts w:hint="eastAsia"/>
          <w:sz w:val="24"/>
        </w:rPr>
        <w:t>（二）</w:t>
      </w:r>
      <w:r>
        <w:rPr>
          <w:sz w:val="24"/>
        </w:rPr>
        <w:t>课程成绩=</w:t>
      </w:r>
      <w:r>
        <w:rPr>
          <w:rFonts w:hint="eastAsia"/>
          <w:sz w:val="24"/>
        </w:rPr>
        <w:t>平时成绩20</w:t>
      </w:r>
      <w:r>
        <w:rPr>
          <w:sz w:val="24"/>
        </w:rPr>
        <w:t>%</w:t>
      </w:r>
      <w:r>
        <w:rPr>
          <w:rFonts w:hint="eastAsia"/>
          <w:sz w:val="24"/>
        </w:rPr>
        <w:t>（含考勤、课堂表现等）</w:t>
      </w:r>
      <w:r>
        <w:rPr>
          <w:sz w:val="24"/>
        </w:rPr>
        <w:t>+</w:t>
      </w:r>
      <w:r>
        <w:rPr>
          <w:rFonts w:hint="eastAsia"/>
          <w:sz w:val="24"/>
        </w:rPr>
        <w:t>课内实践30%+学期考查5</w:t>
      </w:r>
      <w:r>
        <w:rPr>
          <w:sz w:val="24"/>
        </w:rPr>
        <w:t>0%。</w:t>
      </w:r>
      <w:r>
        <w:rPr>
          <w:rFonts w:hint="eastAsia"/>
          <w:sz w:val="24"/>
        </w:rPr>
        <w:t>具体内容和比例如表所示。</w:t>
      </w:r>
    </w:p>
    <w:tbl>
      <w:tblPr>
        <w:tblStyle w:val="30"/>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98"/>
        <w:gridCol w:w="850"/>
        <w:gridCol w:w="3544"/>
        <w:gridCol w:w="1276"/>
        <w:gridCol w:w="1585"/>
      </w:tblGrid>
      <w:tr w14:paraId="3ECF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67666892">
            <w:pPr>
              <w:pStyle w:val="40"/>
              <w:jc w:val="center"/>
              <w:rPr>
                <w:rFonts w:eastAsia="宋体"/>
              </w:rPr>
            </w:pPr>
            <w:r>
              <w:rPr>
                <w:rFonts w:eastAsia="宋体"/>
              </w:rPr>
              <w:t>成绩组成</w:t>
            </w:r>
          </w:p>
        </w:tc>
        <w:tc>
          <w:tcPr>
            <w:tcW w:w="998" w:type="dxa"/>
            <w:shd w:val="clear" w:color="auto" w:fill="FFFFFF"/>
            <w:noWrap w:val="0"/>
            <w:vAlign w:val="center"/>
          </w:tcPr>
          <w:p w14:paraId="5B1F6BDD">
            <w:pPr>
              <w:pStyle w:val="40"/>
              <w:jc w:val="center"/>
              <w:rPr>
                <w:rFonts w:eastAsia="宋体"/>
              </w:rPr>
            </w:pPr>
            <w:r>
              <w:rPr>
                <w:rFonts w:eastAsia="宋体"/>
              </w:rPr>
              <w:t>考核/评价环节</w:t>
            </w:r>
          </w:p>
        </w:tc>
        <w:tc>
          <w:tcPr>
            <w:tcW w:w="850" w:type="dxa"/>
            <w:shd w:val="clear" w:color="auto" w:fill="FFFFFF"/>
            <w:noWrap w:val="0"/>
            <w:vAlign w:val="center"/>
          </w:tcPr>
          <w:p w14:paraId="4D0D74CB">
            <w:pPr>
              <w:pStyle w:val="40"/>
              <w:jc w:val="center"/>
              <w:rPr>
                <w:rFonts w:eastAsia="宋体"/>
              </w:rPr>
            </w:pPr>
            <w:r>
              <w:rPr>
                <w:rFonts w:hint="eastAsia" w:eastAsia="宋体"/>
              </w:rPr>
              <w:t>权重</w:t>
            </w:r>
          </w:p>
        </w:tc>
        <w:tc>
          <w:tcPr>
            <w:tcW w:w="3544" w:type="dxa"/>
            <w:shd w:val="clear" w:color="auto" w:fill="FFFFFF"/>
            <w:noWrap w:val="0"/>
            <w:vAlign w:val="center"/>
          </w:tcPr>
          <w:p w14:paraId="6C8989D1">
            <w:pPr>
              <w:pStyle w:val="40"/>
              <w:jc w:val="center"/>
              <w:rPr>
                <w:rFonts w:eastAsia="宋体"/>
              </w:rPr>
            </w:pPr>
            <w:r>
              <w:rPr>
                <w:rFonts w:eastAsia="宋体"/>
              </w:rPr>
              <w:t>考核/评价细则</w:t>
            </w:r>
          </w:p>
        </w:tc>
        <w:tc>
          <w:tcPr>
            <w:tcW w:w="1276" w:type="dxa"/>
            <w:shd w:val="clear" w:color="auto" w:fill="FFFFFF"/>
            <w:noWrap w:val="0"/>
            <w:vAlign w:val="center"/>
          </w:tcPr>
          <w:p w14:paraId="0258ADBB">
            <w:pPr>
              <w:pStyle w:val="40"/>
              <w:jc w:val="center"/>
              <w:rPr>
                <w:rFonts w:eastAsia="宋体"/>
              </w:rPr>
            </w:pPr>
            <w:r>
              <w:rPr>
                <w:rFonts w:eastAsia="宋体"/>
              </w:rPr>
              <w:t>对应的毕业要求指标点</w:t>
            </w:r>
          </w:p>
        </w:tc>
        <w:tc>
          <w:tcPr>
            <w:tcW w:w="1585" w:type="dxa"/>
            <w:shd w:val="clear" w:color="auto" w:fill="FFFFFF"/>
            <w:noWrap w:val="0"/>
            <w:vAlign w:val="center"/>
          </w:tcPr>
          <w:p w14:paraId="28BEC802">
            <w:pPr>
              <w:pStyle w:val="40"/>
              <w:jc w:val="center"/>
              <w:rPr>
                <w:rFonts w:eastAsia="宋体"/>
              </w:rPr>
            </w:pPr>
            <w:r>
              <w:rPr>
                <w:rFonts w:hint="eastAsia" w:eastAsia="宋体"/>
              </w:rPr>
              <w:t>对应的毕业要求指标点</w:t>
            </w:r>
          </w:p>
        </w:tc>
      </w:tr>
      <w:tr w14:paraId="4DFA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1044" w:type="dxa"/>
            <w:noWrap w:val="0"/>
            <w:tcMar>
              <w:left w:w="57" w:type="dxa"/>
              <w:right w:w="57" w:type="dxa"/>
            </w:tcMar>
            <w:vAlign w:val="center"/>
          </w:tcPr>
          <w:p w14:paraId="0F24082A">
            <w:pPr>
              <w:pStyle w:val="40"/>
              <w:jc w:val="center"/>
              <w:rPr>
                <w:rFonts w:eastAsia="宋体"/>
              </w:rPr>
            </w:pPr>
            <w:r>
              <w:rPr>
                <w:rFonts w:eastAsia="宋体"/>
              </w:rPr>
              <w:t>平时</w:t>
            </w:r>
            <w:r>
              <w:rPr>
                <w:rFonts w:hint="eastAsia" w:eastAsia="宋体"/>
              </w:rPr>
              <w:t>成绩</w:t>
            </w:r>
          </w:p>
        </w:tc>
        <w:tc>
          <w:tcPr>
            <w:tcW w:w="998" w:type="dxa"/>
            <w:noWrap w:val="0"/>
            <w:vAlign w:val="center"/>
          </w:tcPr>
          <w:p w14:paraId="409B8F0F">
            <w:pPr>
              <w:pStyle w:val="40"/>
              <w:jc w:val="center"/>
              <w:rPr>
                <w:rFonts w:eastAsia="宋体"/>
              </w:rPr>
            </w:pPr>
            <w:r>
              <w:rPr>
                <w:rFonts w:hint="eastAsia" w:eastAsia="宋体"/>
              </w:rPr>
              <w:t>考勤、</w:t>
            </w:r>
          </w:p>
          <w:p w14:paraId="08448B57">
            <w:pPr>
              <w:pStyle w:val="40"/>
              <w:rPr>
                <w:rFonts w:eastAsia="宋体"/>
              </w:rPr>
            </w:pPr>
            <w:r>
              <w:rPr>
                <w:rFonts w:hint="eastAsia" w:eastAsia="宋体"/>
              </w:rPr>
              <w:t>课堂表现及平时作业</w:t>
            </w:r>
          </w:p>
        </w:tc>
        <w:tc>
          <w:tcPr>
            <w:tcW w:w="850" w:type="dxa"/>
            <w:noWrap w:val="0"/>
            <w:vAlign w:val="center"/>
          </w:tcPr>
          <w:p w14:paraId="7275D37C">
            <w:pPr>
              <w:pStyle w:val="40"/>
              <w:jc w:val="center"/>
              <w:rPr>
                <w:rFonts w:eastAsia="宋体"/>
              </w:rPr>
            </w:pPr>
            <w:r>
              <w:rPr>
                <w:rFonts w:hint="eastAsia" w:eastAsia="宋体"/>
              </w:rPr>
              <w:t>20</w:t>
            </w:r>
            <w:r>
              <w:rPr>
                <w:rFonts w:eastAsia="宋体"/>
              </w:rPr>
              <w:t>%</w:t>
            </w:r>
          </w:p>
          <w:p w14:paraId="3659A62A">
            <w:pPr>
              <w:pStyle w:val="40"/>
              <w:jc w:val="center"/>
              <w:rPr>
                <w:rFonts w:eastAsia="宋体"/>
              </w:rPr>
            </w:pPr>
          </w:p>
        </w:tc>
        <w:tc>
          <w:tcPr>
            <w:tcW w:w="3544" w:type="dxa"/>
            <w:noWrap w:val="0"/>
            <w:vAlign w:val="center"/>
          </w:tcPr>
          <w:p w14:paraId="0DA5F05C">
            <w:pPr>
              <w:pStyle w:val="40"/>
              <w:rPr>
                <w:rFonts w:eastAsia="宋体"/>
              </w:rPr>
            </w:pPr>
            <w:r>
              <w:rPr>
                <w:rFonts w:hint="eastAsia" w:eastAsia="宋体"/>
              </w:rPr>
              <w:t>全勤记按15%计入总分。事假1节课扣2分，病假1节课扣1分，迟到、早退1次扣2分；扣完15分为止；无故旷课1次扣5分，无故旷课2次扣15分，旷课3次课程考核直接定为不及格</w:t>
            </w:r>
            <w:r>
              <w:rPr>
                <w:rFonts w:eastAsia="宋体"/>
              </w:rPr>
              <w:t>。</w:t>
            </w:r>
          </w:p>
          <w:p w14:paraId="02780A12">
            <w:pPr>
              <w:pStyle w:val="40"/>
              <w:rPr>
                <w:rFonts w:eastAsia="宋体"/>
                <w:szCs w:val="21"/>
              </w:rPr>
            </w:pPr>
            <w:r>
              <w:rPr>
                <w:rFonts w:hint="eastAsia" w:eastAsia="宋体"/>
                <w:szCs w:val="21"/>
              </w:rPr>
              <w:t>课堂上不玩手机、不做与学习无关的事；勤于思考，积极参加小组活动，主动回答提问。表现优秀按15%。课堂各种违纪情况酌情加减分。</w:t>
            </w:r>
          </w:p>
          <w:p w14:paraId="461FD3D9">
            <w:pPr>
              <w:pStyle w:val="40"/>
              <w:rPr>
                <w:rFonts w:hint="eastAsia" w:eastAsia="宋体"/>
              </w:rPr>
            </w:pPr>
            <w:r>
              <w:rPr>
                <w:rFonts w:hint="eastAsia" w:eastAsia="宋体"/>
              </w:rPr>
              <w:t>平时作业与课内实践作业合并统计，课内实践项目中，2项作业作为平时作业。</w:t>
            </w:r>
          </w:p>
        </w:tc>
        <w:tc>
          <w:tcPr>
            <w:tcW w:w="1276" w:type="dxa"/>
            <w:noWrap w:val="0"/>
            <w:vAlign w:val="center"/>
          </w:tcPr>
          <w:p w14:paraId="00201659">
            <w:pPr>
              <w:pStyle w:val="40"/>
              <w:rPr>
                <w:rFonts w:eastAsia="宋体"/>
              </w:rPr>
            </w:pPr>
            <w:r>
              <w:rPr>
                <w:rFonts w:hint="eastAsia" w:eastAsia="宋体"/>
              </w:rPr>
              <w:t>课程目标1</w:t>
            </w:r>
          </w:p>
          <w:p w14:paraId="63F9AE76">
            <w:pPr>
              <w:pStyle w:val="40"/>
              <w:jc w:val="center"/>
              <w:rPr>
                <w:rFonts w:hint="eastAsia" w:eastAsia="宋体"/>
              </w:rPr>
            </w:pPr>
            <w:r>
              <w:rPr>
                <w:rFonts w:hint="eastAsia" w:eastAsia="宋体"/>
              </w:rPr>
              <w:t>课程目标2</w:t>
            </w:r>
          </w:p>
        </w:tc>
        <w:tc>
          <w:tcPr>
            <w:tcW w:w="1585" w:type="dxa"/>
            <w:noWrap w:val="0"/>
            <w:vAlign w:val="center"/>
          </w:tcPr>
          <w:p w14:paraId="2136CB9F">
            <w:pPr>
              <w:pStyle w:val="40"/>
              <w:jc w:val="center"/>
              <w:rPr>
                <w:rFonts w:eastAsia="宋体"/>
              </w:rPr>
            </w:pPr>
            <w:r>
              <w:rPr>
                <w:szCs w:val="21"/>
              </w:rPr>
              <w:t>1-2</w:t>
            </w:r>
          </w:p>
          <w:p w14:paraId="461AA212">
            <w:pPr>
              <w:pStyle w:val="40"/>
              <w:jc w:val="center"/>
              <w:rPr>
                <w:rFonts w:eastAsia="宋体"/>
              </w:rPr>
            </w:pPr>
          </w:p>
        </w:tc>
      </w:tr>
      <w:tr w14:paraId="6B1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044" w:type="dxa"/>
            <w:noWrap w:val="0"/>
            <w:tcMar>
              <w:left w:w="57" w:type="dxa"/>
              <w:right w:w="57" w:type="dxa"/>
            </w:tcMar>
            <w:vAlign w:val="center"/>
          </w:tcPr>
          <w:p w14:paraId="70B15ADE">
            <w:pPr>
              <w:pStyle w:val="40"/>
              <w:jc w:val="center"/>
              <w:rPr>
                <w:rFonts w:eastAsia="宋体"/>
              </w:rPr>
            </w:pPr>
            <w:r>
              <w:rPr>
                <w:rFonts w:hint="eastAsia" w:eastAsia="宋体"/>
              </w:rPr>
              <w:t>实践成绩</w:t>
            </w:r>
          </w:p>
        </w:tc>
        <w:tc>
          <w:tcPr>
            <w:tcW w:w="998" w:type="dxa"/>
            <w:noWrap w:val="0"/>
            <w:vAlign w:val="center"/>
          </w:tcPr>
          <w:p w14:paraId="4837C5DC">
            <w:pPr>
              <w:pStyle w:val="40"/>
              <w:jc w:val="center"/>
              <w:rPr>
                <w:rFonts w:eastAsia="宋体"/>
              </w:rPr>
            </w:pPr>
            <w:r>
              <w:rPr>
                <w:rFonts w:hint="eastAsia" w:eastAsia="宋体"/>
              </w:rPr>
              <w:t>课内实践</w:t>
            </w:r>
          </w:p>
        </w:tc>
        <w:tc>
          <w:tcPr>
            <w:tcW w:w="850" w:type="dxa"/>
            <w:noWrap w:val="0"/>
            <w:vAlign w:val="center"/>
          </w:tcPr>
          <w:p w14:paraId="58D01CB1">
            <w:pPr>
              <w:pStyle w:val="40"/>
              <w:jc w:val="center"/>
              <w:rPr>
                <w:rFonts w:eastAsia="宋体"/>
              </w:rPr>
            </w:pPr>
            <w:r>
              <w:rPr>
                <w:rFonts w:hint="eastAsia" w:eastAsia="宋体"/>
              </w:rPr>
              <w:t>3</w:t>
            </w:r>
            <w:r>
              <w:rPr>
                <w:rFonts w:eastAsia="宋体"/>
              </w:rPr>
              <w:t>0%</w:t>
            </w:r>
          </w:p>
        </w:tc>
        <w:tc>
          <w:tcPr>
            <w:tcW w:w="3544" w:type="dxa"/>
            <w:noWrap w:val="0"/>
            <w:vAlign w:val="center"/>
          </w:tcPr>
          <w:p w14:paraId="445822D5">
            <w:pPr>
              <w:pStyle w:val="40"/>
              <w:rPr>
                <w:rFonts w:eastAsia="宋体"/>
                <w:color w:val="000000"/>
                <w:szCs w:val="21"/>
              </w:rPr>
            </w:pPr>
            <w:r>
              <w:rPr>
                <w:rFonts w:hint="eastAsia" w:eastAsia="宋体"/>
                <w:color w:val="000000"/>
                <w:szCs w:val="21"/>
              </w:rPr>
              <w:t>学生完成6个课内实践项目中的4个。课内实践项目主要考查学生对各种类型教育论文的结构、语言特点的掌握情况及语言表达能力。</w:t>
            </w:r>
          </w:p>
        </w:tc>
        <w:tc>
          <w:tcPr>
            <w:tcW w:w="1276" w:type="dxa"/>
            <w:noWrap w:val="0"/>
            <w:vAlign w:val="center"/>
          </w:tcPr>
          <w:p w14:paraId="13ED8CF5">
            <w:pPr>
              <w:pStyle w:val="40"/>
              <w:rPr>
                <w:rFonts w:eastAsia="宋体"/>
              </w:rPr>
            </w:pPr>
            <w:r>
              <w:rPr>
                <w:rFonts w:hint="eastAsia" w:eastAsia="宋体"/>
              </w:rPr>
              <w:t>课程目标2</w:t>
            </w:r>
          </w:p>
          <w:p w14:paraId="764F26EB">
            <w:pPr>
              <w:pStyle w:val="40"/>
              <w:rPr>
                <w:rFonts w:eastAsia="宋体"/>
              </w:rPr>
            </w:pPr>
            <w:r>
              <w:rPr>
                <w:rFonts w:hint="eastAsia" w:eastAsia="宋体"/>
              </w:rPr>
              <w:t>课程目标3</w:t>
            </w:r>
          </w:p>
          <w:p w14:paraId="34D969E9">
            <w:pPr>
              <w:pStyle w:val="40"/>
              <w:rPr>
                <w:rFonts w:eastAsia="宋体"/>
                <w:color w:val="000000"/>
                <w:szCs w:val="21"/>
              </w:rPr>
            </w:pPr>
          </w:p>
        </w:tc>
        <w:tc>
          <w:tcPr>
            <w:tcW w:w="1585" w:type="dxa"/>
            <w:noWrap w:val="0"/>
            <w:vAlign w:val="center"/>
          </w:tcPr>
          <w:p w14:paraId="2062F7EE">
            <w:pPr>
              <w:pStyle w:val="40"/>
              <w:jc w:val="center"/>
              <w:rPr>
                <w:rFonts w:hint="eastAsia"/>
                <w:szCs w:val="21"/>
              </w:rPr>
            </w:pPr>
            <w:r>
              <w:rPr>
                <w:rFonts w:hint="eastAsia"/>
                <w:szCs w:val="21"/>
              </w:rPr>
              <w:t>1-2，3-1</w:t>
            </w:r>
          </w:p>
          <w:p w14:paraId="354360B0">
            <w:pPr>
              <w:pStyle w:val="40"/>
              <w:jc w:val="center"/>
              <w:rPr>
                <w:rFonts w:hint="eastAsia" w:eastAsia="宋体"/>
                <w:color w:val="000000"/>
                <w:szCs w:val="21"/>
              </w:rPr>
            </w:pPr>
            <w:r>
              <w:rPr>
                <w:rFonts w:hint="eastAsia"/>
                <w:szCs w:val="21"/>
              </w:rPr>
              <w:t xml:space="preserve"> 4-4，7-3</w:t>
            </w:r>
            <w:r>
              <w:rPr>
                <w:szCs w:val="21"/>
              </w:rPr>
              <w:t xml:space="preserve"> </w:t>
            </w:r>
          </w:p>
        </w:tc>
      </w:tr>
      <w:tr w14:paraId="49FD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044" w:type="dxa"/>
            <w:noWrap w:val="0"/>
            <w:tcMar>
              <w:left w:w="57" w:type="dxa"/>
              <w:right w:w="57" w:type="dxa"/>
            </w:tcMar>
            <w:vAlign w:val="center"/>
          </w:tcPr>
          <w:p w14:paraId="72302C95">
            <w:pPr>
              <w:pStyle w:val="40"/>
              <w:jc w:val="center"/>
              <w:rPr>
                <w:rFonts w:eastAsia="宋体"/>
              </w:rPr>
            </w:pPr>
            <w:r>
              <w:rPr>
                <w:rFonts w:hint="eastAsia" w:eastAsia="宋体"/>
              </w:rPr>
              <w:t>学期考查</w:t>
            </w:r>
          </w:p>
          <w:p w14:paraId="4DE8DABC">
            <w:pPr>
              <w:pStyle w:val="40"/>
              <w:jc w:val="center"/>
              <w:rPr>
                <w:rFonts w:eastAsia="宋体"/>
              </w:rPr>
            </w:pPr>
          </w:p>
        </w:tc>
        <w:tc>
          <w:tcPr>
            <w:tcW w:w="998" w:type="dxa"/>
            <w:noWrap w:val="0"/>
            <w:vAlign w:val="center"/>
          </w:tcPr>
          <w:p w14:paraId="46B0D42D">
            <w:pPr>
              <w:pStyle w:val="40"/>
              <w:jc w:val="center"/>
              <w:rPr>
                <w:rFonts w:eastAsia="宋体"/>
              </w:rPr>
            </w:pPr>
            <w:r>
              <w:rPr>
                <w:rFonts w:eastAsia="宋体"/>
              </w:rPr>
              <w:t>期末</w:t>
            </w:r>
            <w:r>
              <w:rPr>
                <w:rFonts w:hint="eastAsia" w:eastAsia="宋体"/>
              </w:rPr>
              <w:t>考核卷面</w:t>
            </w:r>
            <w:r>
              <w:rPr>
                <w:rFonts w:eastAsia="宋体"/>
              </w:rPr>
              <w:t>成绩</w:t>
            </w:r>
          </w:p>
        </w:tc>
        <w:tc>
          <w:tcPr>
            <w:tcW w:w="850" w:type="dxa"/>
            <w:noWrap w:val="0"/>
            <w:vAlign w:val="center"/>
          </w:tcPr>
          <w:p w14:paraId="256AAC07">
            <w:pPr>
              <w:pStyle w:val="40"/>
              <w:jc w:val="center"/>
              <w:rPr>
                <w:rFonts w:eastAsia="宋体"/>
              </w:rPr>
            </w:pPr>
            <w:r>
              <w:rPr>
                <w:rFonts w:hint="eastAsia" w:eastAsia="宋体"/>
              </w:rPr>
              <w:t>5</w:t>
            </w:r>
            <w:r>
              <w:rPr>
                <w:rFonts w:eastAsia="宋体"/>
              </w:rPr>
              <w:t>0%</w:t>
            </w:r>
          </w:p>
        </w:tc>
        <w:tc>
          <w:tcPr>
            <w:tcW w:w="3544" w:type="dxa"/>
            <w:noWrap w:val="0"/>
            <w:vAlign w:val="center"/>
          </w:tcPr>
          <w:p w14:paraId="47E0C34D">
            <w:pPr>
              <w:pStyle w:val="40"/>
              <w:jc w:val="left"/>
              <w:rPr>
                <w:rFonts w:eastAsia="宋体"/>
                <w:color w:val="000000"/>
                <w:szCs w:val="21"/>
              </w:rPr>
            </w:pPr>
            <w:r>
              <w:rPr>
                <w:rFonts w:hint="eastAsia" w:eastAsia="宋体"/>
              </w:rPr>
              <w:t>学生需独立完成1篇符合学术规范的教育论文，字数5000字以上。论文成绩按50%计入课程总评成绩。</w:t>
            </w:r>
          </w:p>
        </w:tc>
        <w:tc>
          <w:tcPr>
            <w:tcW w:w="1276" w:type="dxa"/>
            <w:noWrap w:val="0"/>
            <w:vAlign w:val="center"/>
          </w:tcPr>
          <w:p w14:paraId="25AD2C90">
            <w:pPr>
              <w:pStyle w:val="40"/>
              <w:rPr>
                <w:rFonts w:eastAsia="宋体"/>
              </w:rPr>
            </w:pPr>
            <w:r>
              <w:rPr>
                <w:rFonts w:hint="eastAsia" w:eastAsia="宋体"/>
              </w:rPr>
              <w:t>课程目标3</w:t>
            </w:r>
          </w:p>
          <w:p w14:paraId="521FBFCB">
            <w:pPr>
              <w:pStyle w:val="40"/>
              <w:rPr>
                <w:rFonts w:eastAsia="宋体"/>
              </w:rPr>
            </w:pPr>
            <w:r>
              <w:rPr>
                <w:rFonts w:hint="eastAsia" w:eastAsia="宋体"/>
              </w:rPr>
              <w:t>课程目标4</w:t>
            </w:r>
          </w:p>
          <w:p w14:paraId="1937B5F4">
            <w:pPr>
              <w:pStyle w:val="40"/>
              <w:jc w:val="center"/>
              <w:rPr>
                <w:rFonts w:eastAsia="宋体"/>
              </w:rPr>
            </w:pPr>
          </w:p>
        </w:tc>
        <w:tc>
          <w:tcPr>
            <w:tcW w:w="1585" w:type="dxa"/>
            <w:noWrap w:val="0"/>
            <w:vAlign w:val="center"/>
          </w:tcPr>
          <w:p w14:paraId="053957E9">
            <w:pPr>
              <w:pStyle w:val="40"/>
              <w:jc w:val="center"/>
              <w:rPr>
                <w:rFonts w:hint="eastAsia"/>
                <w:szCs w:val="21"/>
              </w:rPr>
            </w:pPr>
            <w:r>
              <w:rPr>
                <w:rFonts w:hint="eastAsia"/>
                <w:szCs w:val="21"/>
              </w:rPr>
              <w:t>1-2，3-1</w:t>
            </w:r>
          </w:p>
          <w:p w14:paraId="2CBA5C08">
            <w:pPr>
              <w:pStyle w:val="40"/>
              <w:jc w:val="center"/>
              <w:rPr>
                <w:rFonts w:eastAsia="宋体"/>
              </w:rPr>
            </w:pPr>
            <w:r>
              <w:rPr>
                <w:rFonts w:hint="eastAsia"/>
                <w:szCs w:val="21"/>
              </w:rPr>
              <w:t xml:space="preserve"> 4-4，7-3</w:t>
            </w:r>
            <w:r>
              <w:rPr>
                <w:szCs w:val="21"/>
              </w:rPr>
              <w:t xml:space="preserve">  </w:t>
            </w:r>
          </w:p>
        </w:tc>
      </w:tr>
    </w:tbl>
    <w:p w14:paraId="7FA05193">
      <w:pPr>
        <w:spacing w:line="360" w:lineRule="auto"/>
        <w:rPr>
          <w:rFonts w:ascii="宋体" w:hAnsi="宋体"/>
          <w:b/>
          <w:bCs/>
          <w:color w:val="000000"/>
          <w:sz w:val="24"/>
          <w:szCs w:val="22"/>
        </w:rPr>
      </w:pPr>
    </w:p>
    <w:p w14:paraId="2120B4A3">
      <w:pPr>
        <w:spacing w:line="360" w:lineRule="auto"/>
        <w:rPr>
          <w:rFonts w:hint="eastAsia" w:ascii="宋体" w:hAnsi="宋体"/>
          <w:b/>
          <w:bCs/>
          <w:color w:val="000000"/>
          <w:sz w:val="24"/>
          <w:szCs w:val="22"/>
        </w:rPr>
      </w:pPr>
      <w:r>
        <w:rPr>
          <w:rFonts w:ascii="宋体" w:hAnsi="宋体"/>
          <w:b/>
          <w:bCs/>
          <w:color w:val="000000"/>
          <w:sz w:val="24"/>
          <w:szCs w:val="22"/>
        </w:rPr>
        <w:t>（三）</w:t>
      </w:r>
      <w:r>
        <w:rPr>
          <w:rFonts w:hint="eastAsia" w:ascii="宋体" w:hAnsi="宋体"/>
          <w:b/>
          <w:bCs/>
          <w:color w:val="000000"/>
          <w:sz w:val="24"/>
          <w:szCs w:val="22"/>
        </w:rPr>
        <w:t>课程目标及考核方式权重分配表</w:t>
      </w:r>
    </w:p>
    <w:tbl>
      <w:tblPr>
        <w:tblStyle w:val="30"/>
        <w:tblW w:w="9037" w:type="dxa"/>
        <w:jc w:val="center"/>
        <w:tblLayout w:type="autofit"/>
        <w:tblCellMar>
          <w:top w:w="0" w:type="dxa"/>
          <w:left w:w="108" w:type="dxa"/>
          <w:bottom w:w="0" w:type="dxa"/>
          <w:right w:w="108" w:type="dxa"/>
        </w:tblCellMar>
      </w:tblPr>
      <w:tblGrid>
        <w:gridCol w:w="2048"/>
        <w:gridCol w:w="1816"/>
        <w:gridCol w:w="2196"/>
        <w:gridCol w:w="1843"/>
        <w:gridCol w:w="1134"/>
      </w:tblGrid>
      <w:tr w14:paraId="4DCAC0AB">
        <w:tblPrEx>
          <w:tblCellMar>
            <w:top w:w="0" w:type="dxa"/>
            <w:left w:w="108" w:type="dxa"/>
            <w:bottom w:w="0" w:type="dxa"/>
            <w:right w:w="108" w:type="dxa"/>
          </w:tblCellMar>
        </w:tblPrEx>
        <w:trPr>
          <w:trHeight w:val="413" w:hRule="atLeast"/>
          <w:jc w:val="center"/>
        </w:trPr>
        <w:tc>
          <w:tcPr>
            <w:tcW w:w="3864" w:type="dxa"/>
            <w:gridSpan w:val="2"/>
            <w:tcBorders>
              <w:top w:val="single" w:color="auto" w:sz="8" w:space="0"/>
              <w:left w:val="single" w:color="auto" w:sz="8" w:space="0"/>
              <w:bottom w:val="single" w:color="auto" w:sz="8" w:space="0"/>
              <w:right w:val="single" w:color="000000" w:sz="8" w:space="0"/>
            </w:tcBorders>
            <w:shd w:val="clear" w:color="auto" w:fill="auto"/>
            <w:noWrap w:val="0"/>
            <w:vAlign w:val="center"/>
          </w:tcPr>
          <w:p w14:paraId="07DC32FC">
            <w:pPr>
              <w:widowControl/>
              <w:jc w:val="center"/>
              <w:rPr>
                <w:rFonts w:ascii="宋体" w:hAnsi="宋体"/>
                <w:b/>
                <w:bCs/>
                <w:color w:val="000000"/>
                <w:kern w:val="0"/>
                <w:szCs w:val="21"/>
              </w:rPr>
            </w:pPr>
            <w:r>
              <w:rPr>
                <w:rFonts w:hint="eastAsia" w:ascii="宋体" w:hAnsi="宋体"/>
                <w:b/>
                <w:bCs/>
                <w:color w:val="000000"/>
                <w:kern w:val="0"/>
                <w:szCs w:val="21"/>
              </w:rPr>
              <w:t>课程目标及权重</w:t>
            </w:r>
          </w:p>
        </w:tc>
        <w:tc>
          <w:tcPr>
            <w:tcW w:w="5173" w:type="dxa"/>
            <w:gridSpan w:val="3"/>
            <w:tcBorders>
              <w:top w:val="single" w:color="auto" w:sz="8" w:space="0"/>
              <w:left w:val="nil"/>
              <w:bottom w:val="single" w:color="auto" w:sz="8" w:space="0"/>
              <w:right w:val="single" w:color="000000" w:sz="8" w:space="0"/>
            </w:tcBorders>
            <w:shd w:val="clear" w:color="auto" w:fill="auto"/>
            <w:noWrap w:val="0"/>
            <w:vAlign w:val="center"/>
          </w:tcPr>
          <w:p w14:paraId="72C4E888">
            <w:pPr>
              <w:widowControl/>
              <w:ind w:right="-391" w:rightChars="-186"/>
              <w:jc w:val="center"/>
              <w:rPr>
                <w:rFonts w:hint="eastAsia" w:ascii="宋体" w:hAnsi="宋体"/>
                <w:b/>
                <w:bCs/>
                <w:color w:val="000000"/>
                <w:kern w:val="0"/>
                <w:szCs w:val="21"/>
              </w:rPr>
            </w:pPr>
            <w:r>
              <w:rPr>
                <w:rFonts w:hint="eastAsia" w:ascii="宋体" w:hAnsi="宋体"/>
                <w:b/>
                <w:bCs/>
                <w:color w:val="000000"/>
                <w:kern w:val="0"/>
                <w:szCs w:val="21"/>
              </w:rPr>
              <w:t>考核方式及权重</w:t>
            </w:r>
          </w:p>
        </w:tc>
      </w:tr>
      <w:tr w14:paraId="10DAB1B0">
        <w:tblPrEx>
          <w:tblCellMar>
            <w:top w:w="0" w:type="dxa"/>
            <w:left w:w="108" w:type="dxa"/>
            <w:bottom w:w="0" w:type="dxa"/>
            <w:right w:w="108" w:type="dxa"/>
          </w:tblCellMar>
        </w:tblPrEx>
        <w:trPr>
          <w:trHeight w:val="636" w:hRule="atLeast"/>
          <w:jc w:val="center"/>
        </w:trPr>
        <w:tc>
          <w:tcPr>
            <w:tcW w:w="2048" w:type="dxa"/>
            <w:tcBorders>
              <w:top w:val="nil"/>
              <w:left w:val="single" w:color="auto" w:sz="8" w:space="0"/>
              <w:bottom w:val="single" w:color="auto" w:sz="8" w:space="0"/>
              <w:right w:val="single" w:color="auto" w:sz="8" w:space="0"/>
            </w:tcBorders>
            <w:shd w:val="clear" w:color="auto" w:fill="auto"/>
            <w:noWrap w:val="0"/>
            <w:vAlign w:val="center"/>
          </w:tcPr>
          <w:p w14:paraId="380401C8">
            <w:pPr>
              <w:widowControl/>
              <w:jc w:val="center"/>
              <w:rPr>
                <w:rFonts w:hint="eastAsia" w:ascii="宋体" w:hAnsi="宋体"/>
                <w:b/>
                <w:bCs/>
                <w:color w:val="000000"/>
                <w:kern w:val="0"/>
                <w:szCs w:val="21"/>
              </w:rPr>
            </w:pPr>
            <w:r>
              <w:rPr>
                <w:rFonts w:hint="eastAsia" w:ascii="宋体" w:hAnsi="宋体"/>
                <w:b/>
                <w:bCs/>
                <w:color w:val="000000"/>
                <w:kern w:val="0"/>
                <w:szCs w:val="21"/>
              </w:rPr>
              <w:t>课程目标</w:t>
            </w:r>
          </w:p>
        </w:tc>
        <w:tc>
          <w:tcPr>
            <w:tcW w:w="1816" w:type="dxa"/>
            <w:tcBorders>
              <w:top w:val="nil"/>
              <w:left w:val="nil"/>
              <w:bottom w:val="single" w:color="auto" w:sz="8" w:space="0"/>
              <w:right w:val="single" w:color="auto" w:sz="8" w:space="0"/>
            </w:tcBorders>
            <w:shd w:val="clear" w:color="auto" w:fill="auto"/>
            <w:noWrap w:val="0"/>
            <w:vAlign w:val="center"/>
          </w:tcPr>
          <w:p w14:paraId="27568B6B">
            <w:pPr>
              <w:widowControl/>
              <w:jc w:val="center"/>
              <w:rPr>
                <w:rFonts w:hint="eastAsia" w:ascii="宋体" w:hAnsi="宋体"/>
                <w:b/>
                <w:bCs/>
                <w:color w:val="000000"/>
                <w:kern w:val="0"/>
                <w:szCs w:val="21"/>
              </w:rPr>
            </w:pPr>
            <w:r>
              <w:rPr>
                <w:rFonts w:hint="eastAsia" w:ascii="宋体" w:hAnsi="宋体"/>
                <w:b/>
                <w:bCs/>
                <w:color w:val="000000"/>
                <w:kern w:val="0"/>
                <w:szCs w:val="21"/>
              </w:rPr>
              <w:t>权重（</w:t>
            </w:r>
            <w:r>
              <w:rPr>
                <w:rFonts w:ascii="宋体" w:hAnsi="宋体"/>
                <w:b/>
                <w:bCs/>
                <w:color w:val="000000"/>
                <w:kern w:val="0"/>
                <w:szCs w:val="21"/>
              </w:rPr>
              <w:t>a</w:t>
            </w:r>
            <w:r>
              <w:rPr>
                <w:rFonts w:hint="eastAsia" w:ascii="宋体" w:hAnsi="宋体"/>
                <w:b/>
                <w:bCs/>
                <w:color w:val="000000"/>
                <w:kern w:val="0"/>
                <w:szCs w:val="21"/>
              </w:rPr>
              <w:t>）</w:t>
            </w:r>
          </w:p>
        </w:tc>
        <w:tc>
          <w:tcPr>
            <w:tcW w:w="2196" w:type="dxa"/>
            <w:tcBorders>
              <w:top w:val="nil"/>
              <w:left w:val="nil"/>
              <w:bottom w:val="single" w:color="auto" w:sz="8" w:space="0"/>
              <w:right w:val="single" w:color="auto" w:sz="8" w:space="0"/>
            </w:tcBorders>
            <w:shd w:val="clear" w:color="auto" w:fill="auto"/>
            <w:noWrap w:val="0"/>
            <w:vAlign w:val="center"/>
          </w:tcPr>
          <w:p w14:paraId="37B6A0DC">
            <w:pPr>
              <w:widowControl/>
              <w:jc w:val="center"/>
              <w:rPr>
                <w:rFonts w:hint="eastAsia" w:ascii="宋体" w:hAnsi="宋体"/>
                <w:b/>
                <w:bCs/>
                <w:color w:val="000000"/>
                <w:kern w:val="0"/>
                <w:szCs w:val="21"/>
              </w:rPr>
            </w:pPr>
            <w:r>
              <w:rPr>
                <w:rFonts w:hint="eastAsia" w:ascii="宋体" w:hAnsi="宋体"/>
                <w:b/>
                <w:bCs/>
                <w:color w:val="000000"/>
                <w:kern w:val="0"/>
                <w:szCs w:val="21"/>
              </w:rPr>
              <w:t>评价依据</w:t>
            </w:r>
          </w:p>
        </w:tc>
        <w:tc>
          <w:tcPr>
            <w:tcW w:w="1843" w:type="dxa"/>
            <w:tcBorders>
              <w:top w:val="nil"/>
              <w:left w:val="nil"/>
              <w:bottom w:val="single" w:color="auto" w:sz="8" w:space="0"/>
              <w:right w:val="single" w:color="auto" w:sz="8" w:space="0"/>
            </w:tcBorders>
            <w:shd w:val="clear" w:color="auto" w:fill="auto"/>
            <w:noWrap w:val="0"/>
            <w:vAlign w:val="center"/>
          </w:tcPr>
          <w:p w14:paraId="1294D1CB">
            <w:pPr>
              <w:widowControl/>
              <w:jc w:val="center"/>
              <w:rPr>
                <w:rFonts w:hint="eastAsia" w:ascii="宋体" w:hAnsi="宋体"/>
                <w:b/>
                <w:bCs/>
                <w:color w:val="000000"/>
                <w:kern w:val="0"/>
                <w:szCs w:val="21"/>
              </w:rPr>
            </w:pPr>
            <w:r>
              <w:rPr>
                <w:rFonts w:hint="eastAsia" w:ascii="宋体" w:hAnsi="宋体"/>
                <w:b/>
                <w:bCs/>
                <w:color w:val="000000"/>
                <w:kern w:val="0"/>
                <w:szCs w:val="21"/>
              </w:rPr>
              <w:t>权重（</w:t>
            </w:r>
            <w:r>
              <w:rPr>
                <w:rFonts w:ascii="宋体" w:hAnsi="宋体"/>
                <w:b/>
                <w:bCs/>
                <w:color w:val="000000"/>
                <w:kern w:val="0"/>
                <w:szCs w:val="21"/>
              </w:rPr>
              <w:t>b</w:t>
            </w:r>
            <w:r>
              <w:rPr>
                <w:rFonts w:hint="eastAsia" w:ascii="宋体" w:hAnsi="宋体"/>
                <w:b/>
                <w:bCs/>
                <w:color w:val="000000"/>
                <w:kern w:val="0"/>
                <w:szCs w:val="21"/>
              </w:rPr>
              <w:t>）</w:t>
            </w:r>
          </w:p>
        </w:tc>
        <w:tc>
          <w:tcPr>
            <w:tcW w:w="1134" w:type="dxa"/>
            <w:tcBorders>
              <w:top w:val="nil"/>
              <w:left w:val="nil"/>
              <w:bottom w:val="single" w:color="auto" w:sz="8" w:space="0"/>
              <w:right w:val="single" w:color="auto" w:sz="8" w:space="0"/>
            </w:tcBorders>
            <w:noWrap w:val="0"/>
            <w:vAlign w:val="top"/>
          </w:tcPr>
          <w:p w14:paraId="57B8CA8E">
            <w:pPr>
              <w:widowControl/>
              <w:rPr>
                <w:rFonts w:hint="eastAsia" w:ascii="宋体" w:hAnsi="宋体"/>
                <w:b/>
                <w:bCs/>
                <w:color w:val="000000"/>
                <w:kern w:val="0"/>
                <w:szCs w:val="21"/>
              </w:rPr>
            </w:pPr>
            <w:r>
              <w:rPr>
                <w:rFonts w:hint="eastAsia" w:ascii="宋体" w:hAnsi="宋体"/>
                <w:b/>
                <w:bCs/>
                <w:color w:val="000000"/>
                <w:kern w:val="0"/>
                <w:szCs w:val="21"/>
              </w:rPr>
              <w:t>考核方式权重合计</w:t>
            </w:r>
          </w:p>
        </w:tc>
      </w:tr>
      <w:tr w14:paraId="1CD315BC">
        <w:tblPrEx>
          <w:tblCellMar>
            <w:top w:w="0" w:type="dxa"/>
            <w:left w:w="108" w:type="dxa"/>
            <w:bottom w:w="0" w:type="dxa"/>
            <w:right w:w="108" w:type="dxa"/>
          </w:tblCellMar>
        </w:tblPrEx>
        <w:trPr>
          <w:trHeight w:val="384" w:hRule="atLeast"/>
          <w:jc w:val="center"/>
        </w:trPr>
        <w:tc>
          <w:tcPr>
            <w:tcW w:w="2048"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50020F02">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01E82A3F">
            <w:pPr>
              <w:widowControl/>
              <w:jc w:val="center"/>
              <w:rPr>
                <w:rFonts w:hint="eastAsia" w:ascii="宋体" w:hAnsi="宋体"/>
                <w:kern w:val="0"/>
                <w:szCs w:val="21"/>
              </w:rPr>
            </w:pPr>
            <w:r>
              <w:rPr>
                <w:rFonts w:hint="eastAsia" w:ascii="宋体" w:hAnsi="宋体"/>
                <w:kern w:val="0"/>
                <w:szCs w:val="21"/>
              </w:rPr>
              <w:t>10%</w:t>
            </w:r>
          </w:p>
        </w:tc>
        <w:tc>
          <w:tcPr>
            <w:tcW w:w="2196" w:type="dxa"/>
            <w:tcBorders>
              <w:top w:val="nil"/>
              <w:left w:val="nil"/>
              <w:bottom w:val="single" w:color="auto" w:sz="8" w:space="0"/>
              <w:right w:val="single" w:color="auto" w:sz="8" w:space="0"/>
            </w:tcBorders>
            <w:shd w:val="clear" w:color="auto" w:fill="auto"/>
            <w:noWrap w:val="0"/>
            <w:vAlign w:val="center"/>
          </w:tcPr>
          <w:p w14:paraId="5BA5C663">
            <w:pPr>
              <w:widowControl/>
              <w:jc w:val="center"/>
              <w:rPr>
                <w:rFonts w:hint="eastAsia" w:ascii="宋体" w:hAnsi="宋体"/>
                <w:kern w:val="0"/>
                <w:szCs w:val="21"/>
              </w:rPr>
            </w:pPr>
            <w:r>
              <w:rPr>
                <w:rFonts w:hint="eastAsia" w:ascii="宋体" w:hAnsi="宋体"/>
                <w:kern w:val="0"/>
                <w:szCs w:val="21"/>
              </w:rPr>
              <w:t>考勤</w:t>
            </w:r>
          </w:p>
        </w:tc>
        <w:tc>
          <w:tcPr>
            <w:tcW w:w="1843" w:type="dxa"/>
            <w:tcBorders>
              <w:top w:val="nil"/>
              <w:left w:val="nil"/>
              <w:bottom w:val="single" w:color="auto" w:sz="8" w:space="0"/>
              <w:right w:val="single" w:color="auto" w:sz="8" w:space="0"/>
            </w:tcBorders>
            <w:shd w:val="clear" w:color="auto" w:fill="auto"/>
            <w:noWrap w:val="0"/>
            <w:vAlign w:val="center"/>
          </w:tcPr>
          <w:p w14:paraId="2066688D">
            <w:pPr>
              <w:widowControl/>
              <w:jc w:val="center"/>
              <w:rPr>
                <w:rFonts w:hint="eastAsia" w:ascii="宋体" w:hAnsi="宋体"/>
                <w:kern w:val="0"/>
                <w:szCs w:val="21"/>
              </w:rPr>
            </w:pPr>
            <w:r>
              <w:rPr>
                <w:rFonts w:hint="eastAsia" w:ascii="宋体" w:hAnsi="宋体"/>
                <w:kern w:val="0"/>
                <w:szCs w:val="21"/>
              </w:rPr>
              <w:t>50%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1E48AA7E">
            <w:pPr>
              <w:widowControl/>
              <w:jc w:val="center"/>
              <w:rPr>
                <w:rFonts w:hint="eastAsia" w:ascii="宋体" w:hAnsi="宋体"/>
                <w:kern w:val="0"/>
                <w:szCs w:val="21"/>
              </w:rPr>
            </w:pPr>
            <w:r>
              <w:rPr>
                <w:rFonts w:hint="eastAsia" w:ascii="宋体" w:hAnsi="宋体"/>
                <w:kern w:val="0"/>
                <w:szCs w:val="21"/>
              </w:rPr>
              <w:t>100%</w:t>
            </w:r>
          </w:p>
        </w:tc>
      </w:tr>
      <w:tr w14:paraId="152BC0EC">
        <w:tblPrEx>
          <w:tblCellMar>
            <w:top w:w="0" w:type="dxa"/>
            <w:left w:w="108" w:type="dxa"/>
            <w:bottom w:w="0" w:type="dxa"/>
            <w:right w:w="108" w:type="dxa"/>
          </w:tblCellMar>
        </w:tblPrEx>
        <w:trPr>
          <w:trHeight w:val="340" w:hRule="atLeast"/>
          <w:jc w:val="center"/>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2544855F">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49A24C89">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5ECF099F">
            <w:pPr>
              <w:widowControl/>
              <w:jc w:val="center"/>
              <w:rPr>
                <w:rFonts w:ascii="宋体" w:hAnsi="宋体"/>
                <w:kern w:val="0"/>
                <w:szCs w:val="21"/>
              </w:rPr>
            </w:pPr>
            <w:r>
              <w:rPr>
                <w:rFonts w:hint="eastAsia" w:ascii="宋体" w:hAnsi="宋体"/>
                <w:kern w:val="0"/>
                <w:szCs w:val="21"/>
              </w:rPr>
              <w:t>课堂表现</w:t>
            </w:r>
          </w:p>
        </w:tc>
        <w:tc>
          <w:tcPr>
            <w:tcW w:w="1843" w:type="dxa"/>
            <w:tcBorders>
              <w:top w:val="nil"/>
              <w:left w:val="nil"/>
              <w:bottom w:val="single" w:color="auto" w:sz="8" w:space="0"/>
              <w:right w:val="single" w:color="auto" w:sz="8" w:space="0"/>
            </w:tcBorders>
            <w:shd w:val="clear" w:color="auto" w:fill="auto"/>
            <w:noWrap w:val="0"/>
            <w:vAlign w:val="center"/>
          </w:tcPr>
          <w:p w14:paraId="64C87936">
            <w:pPr>
              <w:widowControl/>
              <w:jc w:val="center"/>
              <w:rPr>
                <w:rFonts w:hint="eastAsia" w:ascii="宋体" w:hAnsi="宋体"/>
                <w:kern w:val="0"/>
                <w:szCs w:val="21"/>
              </w:rPr>
            </w:pPr>
            <w:r>
              <w:rPr>
                <w:rFonts w:hint="eastAsia" w:ascii="宋体" w:hAnsi="宋体"/>
                <w:kern w:val="0"/>
                <w:szCs w:val="21"/>
              </w:rPr>
              <w:t>50%</w:t>
            </w:r>
          </w:p>
        </w:tc>
        <w:tc>
          <w:tcPr>
            <w:tcW w:w="1134" w:type="dxa"/>
            <w:vMerge w:val="continue"/>
            <w:tcBorders>
              <w:left w:val="nil"/>
              <w:bottom w:val="single" w:color="auto" w:sz="8" w:space="0"/>
              <w:right w:val="single" w:color="auto" w:sz="8" w:space="0"/>
            </w:tcBorders>
            <w:noWrap w:val="0"/>
            <w:vAlign w:val="center"/>
          </w:tcPr>
          <w:p w14:paraId="1276A606">
            <w:pPr>
              <w:widowControl/>
              <w:jc w:val="center"/>
              <w:rPr>
                <w:rFonts w:hint="eastAsia" w:ascii="宋体" w:hAnsi="宋体"/>
                <w:kern w:val="0"/>
                <w:szCs w:val="21"/>
              </w:rPr>
            </w:pPr>
          </w:p>
        </w:tc>
      </w:tr>
      <w:tr w14:paraId="2015E85B">
        <w:tblPrEx>
          <w:tblCellMar>
            <w:top w:w="0" w:type="dxa"/>
            <w:left w:w="108" w:type="dxa"/>
            <w:bottom w:w="0" w:type="dxa"/>
            <w:right w:w="108" w:type="dxa"/>
          </w:tblCellMar>
        </w:tblPrEx>
        <w:trPr>
          <w:trHeight w:val="340" w:hRule="atLeast"/>
          <w:jc w:val="center"/>
        </w:trPr>
        <w:tc>
          <w:tcPr>
            <w:tcW w:w="2048"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09B7D321">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tcBorders>
              <w:top w:val="nil"/>
              <w:left w:val="single" w:color="auto" w:sz="8" w:space="0"/>
              <w:bottom w:val="single" w:color="000000" w:sz="8" w:space="0"/>
              <w:right w:val="single" w:color="auto" w:sz="8" w:space="0"/>
            </w:tcBorders>
            <w:shd w:val="clear" w:color="auto" w:fill="auto"/>
            <w:noWrap w:val="0"/>
            <w:vAlign w:val="center"/>
          </w:tcPr>
          <w:p w14:paraId="07A8E1E1">
            <w:pPr>
              <w:widowControl/>
              <w:jc w:val="center"/>
              <w:rPr>
                <w:rFonts w:hint="eastAsia" w:ascii="宋体" w:hAnsi="宋体"/>
                <w:kern w:val="0"/>
                <w:szCs w:val="21"/>
              </w:rPr>
            </w:pPr>
            <w:r>
              <w:rPr>
                <w:rFonts w:hint="eastAsia" w:ascii="宋体" w:hAnsi="宋体"/>
                <w:kern w:val="0"/>
                <w:szCs w:val="21"/>
              </w:rPr>
              <w:t>30%</w:t>
            </w:r>
          </w:p>
        </w:tc>
        <w:tc>
          <w:tcPr>
            <w:tcW w:w="2196" w:type="dxa"/>
            <w:tcBorders>
              <w:top w:val="nil"/>
              <w:left w:val="nil"/>
              <w:bottom w:val="single" w:color="auto" w:sz="8" w:space="0"/>
              <w:right w:val="single" w:color="auto" w:sz="8" w:space="0"/>
            </w:tcBorders>
            <w:shd w:val="clear" w:color="auto" w:fill="auto"/>
            <w:noWrap w:val="0"/>
            <w:vAlign w:val="center"/>
          </w:tcPr>
          <w:p w14:paraId="7B9A94CE">
            <w:pPr>
              <w:widowControl/>
              <w:jc w:val="center"/>
              <w:rPr>
                <w:rFonts w:ascii="宋体" w:hAnsi="宋体"/>
                <w:kern w:val="0"/>
                <w:szCs w:val="21"/>
              </w:rPr>
            </w:pPr>
            <w:r>
              <w:rPr>
                <w:rFonts w:hint="eastAsia" w:ascii="宋体" w:hAnsi="宋体"/>
                <w:kern w:val="0"/>
                <w:szCs w:val="21"/>
              </w:rPr>
              <w:t xml:space="preserve">课内实践 </w:t>
            </w:r>
          </w:p>
        </w:tc>
        <w:tc>
          <w:tcPr>
            <w:tcW w:w="1843" w:type="dxa"/>
            <w:tcBorders>
              <w:top w:val="nil"/>
              <w:left w:val="nil"/>
              <w:bottom w:val="single" w:color="auto" w:sz="8" w:space="0"/>
              <w:right w:val="single" w:color="auto" w:sz="8" w:space="0"/>
            </w:tcBorders>
            <w:shd w:val="clear" w:color="auto" w:fill="auto"/>
            <w:noWrap w:val="0"/>
            <w:vAlign w:val="center"/>
          </w:tcPr>
          <w:p w14:paraId="2CA54766">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restart"/>
            <w:tcBorders>
              <w:top w:val="nil"/>
              <w:left w:val="nil"/>
              <w:right w:val="single" w:color="auto" w:sz="8" w:space="0"/>
            </w:tcBorders>
            <w:noWrap w:val="0"/>
            <w:vAlign w:val="center"/>
          </w:tcPr>
          <w:p w14:paraId="30381029">
            <w:pPr>
              <w:widowControl/>
              <w:jc w:val="center"/>
              <w:rPr>
                <w:rFonts w:hint="eastAsia" w:ascii="宋体" w:hAnsi="宋体"/>
                <w:kern w:val="0"/>
                <w:szCs w:val="21"/>
              </w:rPr>
            </w:pPr>
            <w:r>
              <w:rPr>
                <w:rFonts w:hint="eastAsia" w:ascii="宋体" w:hAnsi="宋体"/>
                <w:kern w:val="0"/>
                <w:szCs w:val="21"/>
              </w:rPr>
              <w:t>100%</w:t>
            </w:r>
          </w:p>
        </w:tc>
      </w:tr>
      <w:tr w14:paraId="346075A2">
        <w:tblPrEx>
          <w:tblCellMar>
            <w:top w:w="0" w:type="dxa"/>
            <w:left w:w="108" w:type="dxa"/>
            <w:bottom w:w="0" w:type="dxa"/>
            <w:right w:w="108" w:type="dxa"/>
          </w:tblCellMar>
        </w:tblPrEx>
        <w:trPr>
          <w:trHeight w:val="340" w:hRule="atLeast"/>
          <w:jc w:val="center"/>
        </w:trPr>
        <w:tc>
          <w:tcPr>
            <w:tcW w:w="2048"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0EF15B8C">
            <w:pPr>
              <w:widowControl/>
              <w:jc w:val="left"/>
              <w:rPr>
                <w:rFonts w:ascii="宋体" w:hAnsi="宋体"/>
                <w:kern w:val="0"/>
                <w:szCs w:val="21"/>
              </w:rPr>
            </w:pPr>
          </w:p>
        </w:tc>
        <w:tc>
          <w:tcPr>
            <w:tcW w:w="1816" w:type="dxa"/>
            <w:vMerge w:val="continue"/>
            <w:tcBorders>
              <w:top w:val="nil"/>
              <w:left w:val="single" w:color="auto" w:sz="8" w:space="0"/>
              <w:bottom w:val="single" w:color="000000" w:sz="8" w:space="0"/>
              <w:right w:val="single" w:color="auto" w:sz="8" w:space="0"/>
            </w:tcBorders>
            <w:shd w:val="clear" w:color="auto" w:fill="auto"/>
            <w:noWrap w:val="0"/>
            <w:vAlign w:val="center"/>
          </w:tcPr>
          <w:p w14:paraId="189995A3">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394495E9">
            <w:pPr>
              <w:widowControl/>
              <w:jc w:val="center"/>
              <w:rPr>
                <w:rFonts w:ascii="宋体" w:hAnsi="宋体"/>
                <w:kern w:val="0"/>
                <w:szCs w:val="21"/>
              </w:rPr>
            </w:pPr>
            <w:r>
              <w:rPr>
                <w:rFonts w:hint="eastAsia" w:ascii="宋体" w:hAnsi="宋体"/>
                <w:kern w:val="0"/>
                <w:szCs w:val="21"/>
              </w:rPr>
              <w:t>期末考核</w:t>
            </w:r>
            <w:r>
              <w:rPr>
                <w:rFonts w:ascii="宋体" w:hAnsi="宋体"/>
                <w:kern w:val="0"/>
                <w:szCs w:val="21"/>
              </w:rPr>
              <w:t xml:space="preserve"> </w:t>
            </w:r>
          </w:p>
        </w:tc>
        <w:tc>
          <w:tcPr>
            <w:tcW w:w="1843" w:type="dxa"/>
            <w:tcBorders>
              <w:top w:val="nil"/>
              <w:left w:val="nil"/>
              <w:bottom w:val="single" w:color="auto" w:sz="8" w:space="0"/>
              <w:right w:val="single" w:color="auto" w:sz="8" w:space="0"/>
            </w:tcBorders>
            <w:shd w:val="clear" w:color="auto" w:fill="auto"/>
            <w:noWrap w:val="0"/>
            <w:vAlign w:val="center"/>
          </w:tcPr>
          <w:p w14:paraId="1ED02C8B">
            <w:pPr>
              <w:widowControl/>
              <w:jc w:val="center"/>
              <w:rPr>
                <w:rFonts w:hint="eastAsia" w:ascii="宋体" w:hAnsi="宋体"/>
                <w:kern w:val="0"/>
                <w:szCs w:val="21"/>
              </w:rPr>
            </w:pPr>
            <w:r>
              <w:rPr>
                <w:rFonts w:hint="eastAsia" w:ascii="宋体" w:hAnsi="宋体"/>
                <w:kern w:val="0"/>
                <w:szCs w:val="21"/>
              </w:rPr>
              <w:t>50%</w:t>
            </w:r>
          </w:p>
        </w:tc>
        <w:tc>
          <w:tcPr>
            <w:tcW w:w="1134" w:type="dxa"/>
            <w:vMerge w:val="continue"/>
            <w:tcBorders>
              <w:left w:val="nil"/>
              <w:right w:val="single" w:color="auto" w:sz="8" w:space="0"/>
            </w:tcBorders>
            <w:noWrap w:val="0"/>
            <w:vAlign w:val="center"/>
          </w:tcPr>
          <w:p w14:paraId="65E5D1DE">
            <w:pPr>
              <w:widowControl/>
              <w:jc w:val="center"/>
              <w:rPr>
                <w:rFonts w:hint="eastAsia" w:ascii="宋体" w:hAnsi="宋体"/>
                <w:kern w:val="0"/>
                <w:szCs w:val="21"/>
              </w:rPr>
            </w:pPr>
          </w:p>
        </w:tc>
      </w:tr>
      <w:tr w14:paraId="4B75EFC7">
        <w:tblPrEx>
          <w:tblCellMar>
            <w:top w:w="0" w:type="dxa"/>
            <w:left w:w="108" w:type="dxa"/>
            <w:bottom w:w="0" w:type="dxa"/>
            <w:right w:w="108" w:type="dxa"/>
          </w:tblCellMar>
        </w:tblPrEx>
        <w:trPr>
          <w:trHeight w:val="340" w:hRule="atLeast"/>
          <w:jc w:val="center"/>
        </w:trPr>
        <w:tc>
          <w:tcPr>
            <w:tcW w:w="2048" w:type="dxa"/>
            <w:vMerge w:val="continue"/>
            <w:tcBorders>
              <w:top w:val="nil"/>
              <w:left w:val="single" w:color="auto" w:sz="8" w:space="0"/>
              <w:bottom w:val="single" w:color="auto" w:sz="4" w:space="0"/>
              <w:right w:val="single" w:color="auto" w:sz="8" w:space="0"/>
            </w:tcBorders>
            <w:shd w:val="clear" w:color="auto" w:fill="auto"/>
            <w:noWrap w:val="0"/>
            <w:vAlign w:val="center"/>
          </w:tcPr>
          <w:p w14:paraId="477A800A">
            <w:pPr>
              <w:widowControl/>
              <w:jc w:val="left"/>
              <w:rPr>
                <w:rFonts w:ascii="宋体" w:hAnsi="宋体"/>
                <w:kern w:val="0"/>
                <w:szCs w:val="21"/>
              </w:rPr>
            </w:pPr>
          </w:p>
        </w:tc>
        <w:tc>
          <w:tcPr>
            <w:tcW w:w="1816" w:type="dxa"/>
            <w:vMerge w:val="continue"/>
            <w:tcBorders>
              <w:top w:val="nil"/>
              <w:left w:val="single" w:color="auto" w:sz="8" w:space="0"/>
              <w:bottom w:val="single" w:color="auto" w:sz="4" w:space="0"/>
              <w:right w:val="single" w:color="auto" w:sz="8" w:space="0"/>
            </w:tcBorders>
            <w:shd w:val="clear" w:color="auto" w:fill="auto"/>
            <w:noWrap w:val="0"/>
            <w:vAlign w:val="center"/>
          </w:tcPr>
          <w:p w14:paraId="48CBED19">
            <w:pPr>
              <w:widowControl/>
              <w:jc w:val="left"/>
              <w:rPr>
                <w:rFonts w:ascii="宋体" w:hAnsi="宋体"/>
                <w:kern w:val="0"/>
                <w:szCs w:val="21"/>
              </w:rPr>
            </w:pPr>
          </w:p>
        </w:tc>
        <w:tc>
          <w:tcPr>
            <w:tcW w:w="2196" w:type="dxa"/>
            <w:tcBorders>
              <w:top w:val="nil"/>
              <w:left w:val="nil"/>
              <w:bottom w:val="single" w:color="auto" w:sz="4" w:space="0"/>
              <w:right w:val="single" w:color="auto" w:sz="8" w:space="0"/>
            </w:tcBorders>
            <w:shd w:val="clear" w:color="auto" w:fill="auto"/>
            <w:noWrap w:val="0"/>
            <w:vAlign w:val="center"/>
          </w:tcPr>
          <w:p w14:paraId="4EE8E4B3">
            <w:pPr>
              <w:widowControl/>
              <w:jc w:val="center"/>
              <w:rPr>
                <w:rFonts w:ascii="宋体" w:hAnsi="宋体"/>
                <w:kern w:val="0"/>
                <w:szCs w:val="21"/>
              </w:rPr>
            </w:pPr>
            <w:r>
              <w:rPr>
                <w:rFonts w:hint="eastAsia" w:ascii="宋体" w:hAnsi="宋体"/>
                <w:kern w:val="0"/>
                <w:szCs w:val="21"/>
              </w:rPr>
              <w:t>平时成绩</w:t>
            </w:r>
          </w:p>
        </w:tc>
        <w:tc>
          <w:tcPr>
            <w:tcW w:w="1843" w:type="dxa"/>
            <w:tcBorders>
              <w:top w:val="nil"/>
              <w:left w:val="nil"/>
              <w:bottom w:val="single" w:color="auto" w:sz="4" w:space="0"/>
              <w:right w:val="single" w:color="auto" w:sz="8" w:space="0"/>
            </w:tcBorders>
            <w:shd w:val="clear" w:color="auto" w:fill="auto"/>
            <w:noWrap w:val="0"/>
            <w:vAlign w:val="center"/>
          </w:tcPr>
          <w:p w14:paraId="0A093D75">
            <w:pPr>
              <w:widowControl/>
              <w:jc w:val="center"/>
              <w:rPr>
                <w:rFonts w:hint="eastAsia" w:ascii="宋体" w:hAnsi="宋体"/>
                <w:kern w:val="0"/>
                <w:szCs w:val="21"/>
              </w:rPr>
            </w:pPr>
            <w:r>
              <w:rPr>
                <w:rFonts w:hint="eastAsia" w:ascii="宋体" w:hAnsi="宋体"/>
                <w:kern w:val="0"/>
                <w:szCs w:val="21"/>
              </w:rPr>
              <w:t>20%</w:t>
            </w:r>
            <w:r>
              <w:rPr>
                <w:rFonts w:ascii="宋体" w:hAnsi="宋体"/>
                <w:kern w:val="0"/>
                <w:szCs w:val="21"/>
              </w:rPr>
              <w:t xml:space="preserve"> </w:t>
            </w:r>
          </w:p>
        </w:tc>
        <w:tc>
          <w:tcPr>
            <w:tcW w:w="1134" w:type="dxa"/>
            <w:vMerge w:val="continue"/>
            <w:tcBorders>
              <w:left w:val="nil"/>
              <w:bottom w:val="single" w:color="auto" w:sz="4" w:space="0"/>
              <w:right w:val="single" w:color="auto" w:sz="8" w:space="0"/>
            </w:tcBorders>
            <w:noWrap w:val="0"/>
            <w:vAlign w:val="center"/>
          </w:tcPr>
          <w:p w14:paraId="48C5D269">
            <w:pPr>
              <w:widowControl/>
              <w:jc w:val="center"/>
              <w:rPr>
                <w:rFonts w:hint="eastAsia" w:ascii="宋体" w:hAnsi="宋体"/>
                <w:kern w:val="0"/>
                <w:szCs w:val="21"/>
              </w:rPr>
            </w:pPr>
          </w:p>
        </w:tc>
      </w:tr>
      <w:tr w14:paraId="02FE1AC6">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3847517">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2897EE0">
            <w:pPr>
              <w:widowControl/>
              <w:jc w:val="center"/>
              <w:rPr>
                <w:rFonts w:hint="eastAsia" w:ascii="宋体" w:hAnsi="宋体"/>
                <w:kern w:val="0"/>
                <w:szCs w:val="21"/>
              </w:rPr>
            </w:pPr>
            <w:r>
              <w:rPr>
                <w:rFonts w:hint="eastAsia" w:ascii="宋体" w:hAnsi="宋体"/>
                <w:kern w:val="0"/>
                <w:szCs w:val="21"/>
              </w:rPr>
              <w:t>50%</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BE5E5B">
            <w:pPr>
              <w:widowControl/>
              <w:jc w:val="center"/>
              <w:rPr>
                <w:rFonts w:ascii="宋体" w:hAnsi="宋体"/>
                <w:kern w:val="0"/>
                <w:szCs w:val="21"/>
              </w:rPr>
            </w:pPr>
            <w:r>
              <w:rPr>
                <w:rFonts w:hint="eastAsia" w:ascii="宋体" w:hAnsi="宋体"/>
                <w:kern w:val="0"/>
                <w:szCs w:val="21"/>
              </w:rPr>
              <w:t xml:space="preserve">课内实践 </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01E777">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restart"/>
            <w:tcBorders>
              <w:top w:val="single" w:color="auto" w:sz="4" w:space="0"/>
              <w:left w:val="single" w:color="auto" w:sz="4" w:space="0"/>
              <w:right w:val="single" w:color="auto" w:sz="4" w:space="0"/>
            </w:tcBorders>
            <w:noWrap w:val="0"/>
            <w:vAlign w:val="center"/>
          </w:tcPr>
          <w:p w14:paraId="56F90672">
            <w:pPr>
              <w:widowControl/>
              <w:jc w:val="center"/>
              <w:rPr>
                <w:rFonts w:hint="eastAsia" w:ascii="宋体" w:hAnsi="宋体"/>
                <w:kern w:val="0"/>
                <w:szCs w:val="21"/>
              </w:rPr>
            </w:pPr>
            <w:r>
              <w:rPr>
                <w:rFonts w:hint="eastAsia" w:ascii="宋体" w:hAnsi="宋体"/>
                <w:kern w:val="0"/>
                <w:szCs w:val="21"/>
              </w:rPr>
              <w:t>100%</w:t>
            </w:r>
          </w:p>
        </w:tc>
      </w:tr>
      <w:tr w14:paraId="3039BD97">
        <w:tblPrEx>
          <w:tblCellMar>
            <w:top w:w="0" w:type="dxa"/>
            <w:left w:w="108" w:type="dxa"/>
            <w:bottom w:w="0" w:type="dxa"/>
            <w:right w:w="108" w:type="dxa"/>
          </w:tblCellMar>
        </w:tblPrEx>
        <w:trPr>
          <w:trHeight w:val="340"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4DD844A">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289136B">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4F2ADE">
            <w:pPr>
              <w:widowControl/>
              <w:jc w:val="center"/>
              <w:rPr>
                <w:rFonts w:ascii="宋体" w:hAnsi="宋体"/>
                <w:kern w:val="0"/>
                <w:szCs w:val="21"/>
              </w:rPr>
            </w:pPr>
            <w:r>
              <w:rPr>
                <w:rFonts w:hint="eastAsia" w:ascii="宋体" w:hAnsi="宋体"/>
                <w:kern w:val="0"/>
                <w:szCs w:val="21"/>
              </w:rPr>
              <w:t>期末考核</w:t>
            </w:r>
            <w:r>
              <w:rPr>
                <w:rFonts w:ascii="宋体" w:hAnsi="宋体"/>
                <w:kern w:val="0"/>
                <w:szCs w:val="21"/>
              </w:rPr>
              <w:t xml:space="preserve"> </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B3D200">
            <w:pPr>
              <w:widowControl/>
              <w:jc w:val="center"/>
              <w:rPr>
                <w:rFonts w:hint="eastAsia" w:ascii="宋体" w:hAnsi="宋体"/>
                <w:kern w:val="0"/>
                <w:szCs w:val="21"/>
              </w:rPr>
            </w:pPr>
            <w:r>
              <w:rPr>
                <w:rFonts w:hint="eastAsia" w:ascii="宋体" w:hAnsi="宋体"/>
                <w:kern w:val="0"/>
                <w:szCs w:val="21"/>
              </w:rPr>
              <w:t>50%</w:t>
            </w:r>
          </w:p>
        </w:tc>
        <w:tc>
          <w:tcPr>
            <w:tcW w:w="1134" w:type="dxa"/>
            <w:vMerge w:val="continue"/>
            <w:tcBorders>
              <w:left w:val="single" w:color="auto" w:sz="4" w:space="0"/>
              <w:right w:val="single" w:color="auto" w:sz="4" w:space="0"/>
            </w:tcBorders>
            <w:noWrap w:val="0"/>
            <w:vAlign w:val="center"/>
          </w:tcPr>
          <w:p w14:paraId="05AB93EC">
            <w:pPr>
              <w:widowControl/>
              <w:jc w:val="center"/>
              <w:rPr>
                <w:rFonts w:hint="eastAsia" w:ascii="宋体" w:hAnsi="宋体"/>
                <w:kern w:val="0"/>
                <w:szCs w:val="21"/>
              </w:rPr>
            </w:pPr>
          </w:p>
        </w:tc>
      </w:tr>
      <w:tr w14:paraId="79822D11">
        <w:tblPrEx>
          <w:tblCellMar>
            <w:top w:w="0" w:type="dxa"/>
            <w:left w:w="108" w:type="dxa"/>
            <w:bottom w:w="0" w:type="dxa"/>
            <w:right w:w="108" w:type="dxa"/>
          </w:tblCellMar>
        </w:tblPrEx>
        <w:trPr>
          <w:trHeight w:val="340" w:hRule="atLeast"/>
          <w:jc w:val="center"/>
        </w:trPr>
        <w:tc>
          <w:tcPr>
            <w:tcW w:w="204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9F5CF37">
            <w:pPr>
              <w:widowControl/>
              <w:jc w:val="left"/>
              <w:rPr>
                <w:rFonts w:ascii="宋体" w:hAnsi="宋体"/>
                <w:kern w:val="0"/>
                <w:szCs w:val="21"/>
              </w:rPr>
            </w:pPr>
          </w:p>
        </w:tc>
        <w:tc>
          <w:tcPr>
            <w:tcW w:w="181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767295">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A998E3">
            <w:pPr>
              <w:widowControl/>
              <w:jc w:val="center"/>
              <w:rPr>
                <w:rFonts w:ascii="宋体" w:hAnsi="宋体"/>
                <w:kern w:val="0"/>
                <w:szCs w:val="21"/>
              </w:rPr>
            </w:pPr>
            <w:r>
              <w:rPr>
                <w:rFonts w:hint="eastAsia" w:ascii="宋体" w:hAnsi="宋体"/>
                <w:kern w:val="0"/>
                <w:szCs w:val="21"/>
              </w:rPr>
              <w:t>平时成绩</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D2B17A">
            <w:pPr>
              <w:widowControl/>
              <w:jc w:val="center"/>
              <w:rPr>
                <w:rFonts w:hint="eastAsia" w:ascii="宋体" w:hAnsi="宋体"/>
                <w:kern w:val="0"/>
                <w:szCs w:val="21"/>
              </w:rPr>
            </w:pPr>
            <w:r>
              <w:rPr>
                <w:rFonts w:hint="eastAsia" w:ascii="宋体" w:hAnsi="宋体"/>
                <w:kern w:val="0"/>
                <w:szCs w:val="21"/>
              </w:rPr>
              <w:t>20%</w:t>
            </w:r>
            <w:r>
              <w:rPr>
                <w:rFonts w:ascii="宋体" w:hAnsi="宋体"/>
                <w:kern w:val="0"/>
                <w:szCs w:val="21"/>
              </w:rPr>
              <w:t xml:space="preserve"> </w:t>
            </w:r>
          </w:p>
        </w:tc>
        <w:tc>
          <w:tcPr>
            <w:tcW w:w="1134" w:type="dxa"/>
            <w:vMerge w:val="continue"/>
            <w:tcBorders>
              <w:left w:val="single" w:color="auto" w:sz="4" w:space="0"/>
              <w:bottom w:val="single" w:color="auto" w:sz="4" w:space="0"/>
              <w:right w:val="single" w:color="auto" w:sz="4" w:space="0"/>
            </w:tcBorders>
            <w:noWrap w:val="0"/>
            <w:vAlign w:val="center"/>
          </w:tcPr>
          <w:p w14:paraId="44E7E049">
            <w:pPr>
              <w:widowControl/>
              <w:jc w:val="center"/>
              <w:rPr>
                <w:rFonts w:hint="eastAsia" w:ascii="宋体" w:hAnsi="宋体"/>
                <w:kern w:val="0"/>
                <w:szCs w:val="21"/>
              </w:rPr>
            </w:pPr>
          </w:p>
        </w:tc>
      </w:tr>
      <w:tr w14:paraId="632E7C55">
        <w:tblPrEx>
          <w:tblCellMar>
            <w:top w:w="0" w:type="dxa"/>
            <w:left w:w="108" w:type="dxa"/>
            <w:bottom w:w="0" w:type="dxa"/>
            <w:right w:w="108" w:type="dxa"/>
          </w:tblCellMar>
        </w:tblPrEx>
        <w:trPr>
          <w:trHeight w:val="340" w:hRule="atLeast"/>
          <w:jc w:val="center"/>
        </w:trPr>
        <w:tc>
          <w:tcPr>
            <w:tcW w:w="2048" w:type="dxa"/>
            <w:vMerge w:val="restart"/>
            <w:tcBorders>
              <w:top w:val="single" w:color="auto" w:sz="4" w:space="0"/>
              <w:left w:val="single" w:color="auto" w:sz="8" w:space="0"/>
              <w:right w:val="single" w:color="auto" w:sz="8" w:space="0"/>
            </w:tcBorders>
            <w:shd w:val="clear" w:color="auto" w:fill="auto"/>
            <w:noWrap w:val="0"/>
            <w:vAlign w:val="center"/>
          </w:tcPr>
          <w:p w14:paraId="4B1DDE9E">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tcBorders>
              <w:top w:val="single" w:color="auto" w:sz="4" w:space="0"/>
              <w:left w:val="single" w:color="auto" w:sz="8" w:space="0"/>
              <w:right w:val="single" w:color="auto" w:sz="8" w:space="0"/>
            </w:tcBorders>
            <w:shd w:val="clear" w:color="auto" w:fill="auto"/>
            <w:noWrap w:val="0"/>
            <w:vAlign w:val="center"/>
          </w:tcPr>
          <w:p w14:paraId="5AAF19F7">
            <w:pPr>
              <w:widowControl/>
              <w:jc w:val="center"/>
              <w:rPr>
                <w:rFonts w:hint="eastAsia" w:ascii="宋体" w:hAnsi="宋体"/>
                <w:kern w:val="0"/>
                <w:szCs w:val="21"/>
              </w:rPr>
            </w:pPr>
            <w:r>
              <w:rPr>
                <w:rFonts w:hint="eastAsia" w:ascii="宋体" w:hAnsi="宋体"/>
                <w:kern w:val="0"/>
                <w:szCs w:val="21"/>
              </w:rPr>
              <w:t>10%</w:t>
            </w:r>
          </w:p>
        </w:tc>
        <w:tc>
          <w:tcPr>
            <w:tcW w:w="2196" w:type="dxa"/>
            <w:tcBorders>
              <w:top w:val="single" w:color="auto" w:sz="4" w:space="0"/>
              <w:left w:val="nil"/>
              <w:bottom w:val="single" w:color="auto" w:sz="8" w:space="0"/>
              <w:right w:val="single" w:color="auto" w:sz="8" w:space="0"/>
            </w:tcBorders>
            <w:shd w:val="clear" w:color="auto" w:fill="auto"/>
            <w:noWrap w:val="0"/>
            <w:vAlign w:val="center"/>
          </w:tcPr>
          <w:p w14:paraId="223E9C76">
            <w:pPr>
              <w:widowControl/>
              <w:jc w:val="center"/>
              <w:rPr>
                <w:rFonts w:ascii="宋体" w:hAnsi="宋体"/>
                <w:kern w:val="0"/>
                <w:szCs w:val="21"/>
              </w:rPr>
            </w:pPr>
            <w:r>
              <w:rPr>
                <w:rFonts w:hint="eastAsia" w:ascii="宋体" w:hAnsi="宋体"/>
                <w:kern w:val="0"/>
                <w:szCs w:val="21"/>
              </w:rPr>
              <w:t xml:space="preserve">课内实践 </w:t>
            </w:r>
          </w:p>
        </w:tc>
        <w:tc>
          <w:tcPr>
            <w:tcW w:w="1843" w:type="dxa"/>
            <w:tcBorders>
              <w:top w:val="single" w:color="auto" w:sz="4" w:space="0"/>
              <w:left w:val="nil"/>
              <w:bottom w:val="single" w:color="auto" w:sz="8" w:space="0"/>
              <w:right w:val="single" w:color="auto" w:sz="8" w:space="0"/>
            </w:tcBorders>
            <w:shd w:val="clear" w:color="auto" w:fill="auto"/>
            <w:noWrap w:val="0"/>
            <w:vAlign w:val="center"/>
          </w:tcPr>
          <w:p w14:paraId="0700E9B1">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restart"/>
            <w:tcBorders>
              <w:top w:val="single" w:color="auto" w:sz="4" w:space="0"/>
              <w:left w:val="nil"/>
              <w:right w:val="single" w:color="auto" w:sz="8" w:space="0"/>
            </w:tcBorders>
            <w:noWrap w:val="0"/>
            <w:vAlign w:val="center"/>
          </w:tcPr>
          <w:p w14:paraId="4EB97D17">
            <w:pPr>
              <w:widowControl/>
              <w:jc w:val="center"/>
              <w:rPr>
                <w:rFonts w:hint="eastAsia" w:ascii="宋体" w:hAnsi="宋体"/>
                <w:kern w:val="0"/>
                <w:szCs w:val="21"/>
              </w:rPr>
            </w:pPr>
            <w:r>
              <w:rPr>
                <w:rFonts w:hint="eastAsia" w:ascii="宋体" w:hAnsi="宋体"/>
                <w:kern w:val="0"/>
                <w:szCs w:val="21"/>
              </w:rPr>
              <w:t>100%</w:t>
            </w:r>
          </w:p>
        </w:tc>
      </w:tr>
      <w:tr w14:paraId="2C083C9E">
        <w:tblPrEx>
          <w:tblCellMar>
            <w:top w:w="0" w:type="dxa"/>
            <w:left w:w="108" w:type="dxa"/>
            <w:bottom w:w="0" w:type="dxa"/>
            <w:right w:w="108" w:type="dxa"/>
          </w:tblCellMar>
        </w:tblPrEx>
        <w:trPr>
          <w:trHeight w:val="340" w:hRule="atLeast"/>
          <w:jc w:val="center"/>
        </w:trPr>
        <w:tc>
          <w:tcPr>
            <w:tcW w:w="2048" w:type="dxa"/>
            <w:vMerge w:val="continue"/>
            <w:tcBorders>
              <w:left w:val="single" w:color="auto" w:sz="8" w:space="0"/>
              <w:right w:val="single" w:color="auto" w:sz="8" w:space="0"/>
            </w:tcBorders>
            <w:shd w:val="clear" w:color="auto" w:fill="auto"/>
            <w:noWrap w:val="0"/>
            <w:vAlign w:val="center"/>
          </w:tcPr>
          <w:p w14:paraId="3A42E93F">
            <w:pPr>
              <w:widowControl/>
              <w:jc w:val="left"/>
              <w:rPr>
                <w:rFonts w:ascii="宋体" w:hAnsi="宋体"/>
                <w:kern w:val="0"/>
                <w:szCs w:val="21"/>
              </w:rPr>
            </w:pPr>
          </w:p>
        </w:tc>
        <w:tc>
          <w:tcPr>
            <w:tcW w:w="1816" w:type="dxa"/>
            <w:vMerge w:val="continue"/>
            <w:tcBorders>
              <w:left w:val="single" w:color="auto" w:sz="8" w:space="0"/>
              <w:right w:val="single" w:color="auto" w:sz="8" w:space="0"/>
            </w:tcBorders>
            <w:shd w:val="clear" w:color="auto" w:fill="auto"/>
            <w:noWrap w:val="0"/>
            <w:vAlign w:val="center"/>
          </w:tcPr>
          <w:p w14:paraId="084B2051">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5C11E71B">
            <w:pPr>
              <w:widowControl/>
              <w:jc w:val="center"/>
              <w:rPr>
                <w:rFonts w:ascii="宋体" w:hAnsi="宋体"/>
                <w:kern w:val="0"/>
                <w:szCs w:val="21"/>
              </w:rPr>
            </w:pPr>
            <w:r>
              <w:rPr>
                <w:rFonts w:hint="eastAsia" w:ascii="宋体" w:hAnsi="宋体"/>
                <w:kern w:val="0"/>
                <w:szCs w:val="21"/>
              </w:rPr>
              <w:t>期末考核</w:t>
            </w:r>
            <w:r>
              <w:rPr>
                <w:rFonts w:ascii="宋体" w:hAnsi="宋体"/>
                <w:kern w:val="0"/>
                <w:szCs w:val="21"/>
              </w:rPr>
              <w:t xml:space="preserve"> </w:t>
            </w:r>
          </w:p>
        </w:tc>
        <w:tc>
          <w:tcPr>
            <w:tcW w:w="1843" w:type="dxa"/>
            <w:tcBorders>
              <w:top w:val="nil"/>
              <w:left w:val="nil"/>
              <w:bottom w:val="single" w:color="auto" w:sz="8" w:space="0"/>
              <w:right w:val="single" w:color="auto" w:sz="8" w:space="0"/>
            </w:tcBorders>
            <w:shd w:val="clear" w:color="auto" w:fill="auto"/>
            <w:noWrap w:val="0"/>
            <w:vAlign w:val="center"/>
          </w:tcPr>
          <w:p w14:paraId="09FCB79A">
            <w:pPr>
              <w:widowControl/>
              <w:jc w:val="center"/>
              <w:rPr>
                <w:rFonts w:hint="eastAsia" w:ascii="宋体" w:hAnsi="宋体"/>
                <w:kern w:val="0"/>
                <w:szCs w:val="21"/>
              </w:rPr>
            </w:pPr>
            <w:r>
              <w:rPr>
                <w:rFonts w:hint="eastAsia" w:ascii="宋体" w:hAnsi="宋体"/>
                <w:kern w:val="0"/>
                <w:szCs w:val="21"/>
              </w:rPr>
              <w:t>50%</w:t>
            </w:r>
          </w:p>
        </w:tc>
        <w:tc>
          <w:tcPr>
            <w:tcW w:w="1134" w:type="dxa"/>
            <w:vMerge w:val="continue"/>
            <w:tcBorders>
              <w:left w:val="nil"/>
              <w:right w:val="single" w:color="auto" w:sz="8" w:space="0"/>
            </w:tcBorders>
            <w:noWrap w:val="0"/>
            <w:vAlign w:val="center"/>
          </w:tcPr>
          <w:p w14:paraId="0C5F978C">
            <w:pPr>
              <w:widowControl/>
              <w:jc w:val="center"/>
              <w:rPr>
                <w:rFonts w:hint="eastAsia" w:ascii="宋体" w:hAnsi="宋体"/>
                <w:kern w:val="0"/>
                <w:szCs w:val="21"/>
              </w:rPr>
            </w:pPr>
          </w:p>
        </w:tc>
      </w:tr>
      <w:tr w14:paraId="72AB52A1">
        <w:tblPrEx>
          <w:tblCellMar>
            <w:top w:w="0" w:type="dxa"/>
            <w:left w:w="108" w:type="dxa"/>
            <w:bottom w:w="0" w:type="dxa"/>
            <w:right w:w="108" w:type="dxa"/>
          </w:tblCellMar>
        </w:tblPrEx>
        <w:trPr>
          <w:trHeight w:val="340" w:hRule="atLeast"/>
          <w:jc w:val="center"/>
        </w:trPr>
        <w:tc>
          <w:tcPr>
            <w:tcW w:w="2048" w:type="dxa"/>
            <w:vMerge w:val="continue"/>
            <w:tcBorders>
              <w:left w:val="single" w:color="auto" w:sz="8" w:space="0"/>
              <w:bottom w:val="single" w:color="000000" w:sz="8" w:space="0"/>
              <w:right w:val="single" w:color="auto" w:sz="8" w:space="0"/>
            </w:tcBorders>
            <w:shd w:val="clear" w:color="auto" w:fill="auto"/>
            <w:noWrap w:val="0"/>
            <w:vAlign w:val="center"/>
          </w:tcPr>
          <w:p w14:paraId="72AAE9CE">
            <w:pPr>
              <w:widowControl/>
              <w:jc w:val="left"/>
              <w:rPr>
                <w:rFonts w:ascii="宋体" w:hAnsi="宋体"/>
                <w:kern w:val="0"/>
                <w:szCs w:val="21"/>
              </w:rPr>
            </w:pPr>
          </w:p>
        </w:tc>
        <w:tc>
          <w:tcPr>
            <w:tcW w:w="1816" w:type="dxa"/>
            <w:vMerge w:val="continue"/>
            <w:tcBorders>
              <w:left w:val="single" w:color="auto" w:sz="8" w:space="0"/>
              <w:bottom w:val="single" w:color="000000" w:sz="8" w:space="0"/>
              <w:right w:val="single" w:color="auto" w:sz="8" w:space="0"/>
            </w:tcBorders>
            <w:shd w:val="clear" w:color="auto" w:fill="auto"/>
            <w:noWrap w:val="0"/>
            <w:vAlign w:val="center"/>
          </w:tcPr>
          <w:p w14:paraId="126CA0CB">
            <w:pPr>
              <w:widowControl/>
              <w:jc w:val="left"/>
              <w:rPr>
                <w:rFonts w:ascii="宋体" w:hAnsi="宋体"/>
                <w:kern w:val="0"/>
                <w:szCs w:val="21"/>
              </w:rPr>
            </w:pPr>
          </w:p>
        </w:tc>
        <w:tc>
          <w:tcPr>
            <w:tcW w:w="2196" w:type="dxa"/>
            <w:tcBorders>
              <w:top w:val="nil"/>
              <w:left w:val="nil"/>
              <w:bottom w:val="single" w:color="auto" w:sz="8" w:space="0"/>
              <w:right w:val="single" w:color="auto" w:sz="8" w:space="0"/>
            </w:tcBorders>
            <w:shd w:val="clear" w:color="auto" w:fill="auto"/>
            <w:noWrap w:val="0"/>
            <w:vAlign w:val="center"/>
          </w:tcPr>
          <w:p w14:paraId="0DDEB8F6">
            <w:pPr>
              <w:widowControl/>
              <w:jc w:val="center"/>
              <w:rPr>
                <w:rFonts w:hint="eastAsia" w:ascii="宋体" w:hAnsi="宋体"/>
                <w:kern w:val="0"/>
                <w:szCs w:val="21"/>
              </w:rPr>
            </w:pPr>
            <w:r>
              <w:rPr>
                <w:rFonts w:hint="eastAsia" w:ascii="宋体" w:hAnsi="宋体"/>
                <w:kern w:val="0"/>
                <w:szCs w:val="21"/>
              </w:rPr>
              <w:t>平时成绩</w:t>
            </w:r>
          </w:p>
        </w:tc>
        <w:tc>
          <w:tcPr>
            <w:tcW w:w="1843" w:type="dxa"/>
            <w:tcBorders>
              <w:top w:val="nil"/>
              <w:left w:val="nil"/>
              <w:bottom w:val="single" w:color="auto" w:sz="8" w:space="0"/>
              <w:right w:val="single" w:color="auto" w:sz="8" w:space="0"/>
            </w:tcBorders>
            <w:shd w:val="clear" w:color="auto" w:fill="auto"/>
            <w:noWrap w:val="0"/>
            <w:vAlign w:val="center"/>
          </w:tcPr>
          <w:p w14:paraId="01F110CC">
            <w:pPr>
              <w:widowControl/>
              <w:jc w:val="center"/>
              <w:rPr>
                <w:rFonts w:hint="eastAsia" w:ascii="宋体" w:hAnsi="宋体"/>
                <w:kern w:val="0"/>
                <w:szCs w:val="21"/>
              </w:rPr>
            </w:pPr>
            <w:r>
              <w:rPr>
                <w:rFonts w:hint="eastAsia" w:ascii="宋体" w:hAnsi="宋体"/>
                <w:kern w:val="0"/>
                <w:szCs w:val="21"/>
              </w:rPr>
              <w:t>20%</w:t>
            </w:r>
            <w:r>
              <w:rPr>
                <w:rFonts w:ascii="宋体" w:hAnsi="宋体"/>
                <w:kern w:val="0"/>
                <w:szCs w:val="21"/>
              </w:rPr>
              <w:t xml:space="preserve"> </w:t>
            </w:r>
          </w:p>
        </w:tc>
        <w:tc>
          <w:tcPr>
            <w:tcW w:w="1134" w:type="dxa"/>
            <w:vMerge w:val="continue"/>
            <w:tcBorders>
              <w:left w:val="nil"/>
              <w:right w:val="single" w:color="auto" w:sz="8" w:space="0"/>
            </w:tcBorders>
            <w:noWrap w:val="0"/>
            <w:vAlign w:val="center"/>
          </w:tcPr>
          <w:p w14:paraId="62A359E2">
            <w:pPr>
              <w:widowControl/>
              <w:jc w:val="center"/>
              <w:rPr>
                <w:rFonts w:hint="eastAsia" w:ascii="宋体" w:hAnsi="宋体"/>
                <w:kern w:val="0"/>
                <w:szCs w:val="21"/>
              </w:rPr>
            </w:pPr>
          </w:p>
        </w:tc>
      </w:tr>
      <w:tr w14:paraId="564D24C9">
        <w:tblPrEx>
          <w:tblCellMar>
            <w:top w:w="0" w:type="dxa"/>
            <w:left w:w="108" w:type="dxa"/>
            <w:bottom w:w="0" w:type="dxa"/>
            <w:right w:w="108" w:type="dxa"/>
          </w:tblCellMar>
        </w:tblPrEx>
        <w:trPr>
          <w:trHeight w:val="549" w:hRule="atLeast"/>
          <w:jc w:val="center"/>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656C06">
            <w:pPr>
              <w:widowControl/>
              <w:jc w:val="center"/>
              <w:rPr>
                <w:rFonts w:hint="eastAsia" w:ascii="宋体" w:hAnsi="宋体"/>
                <w:color w:val="000000"/>
                <w:kern w:val="0"/>
                <w:szCs w:val="21"/>
              </w:rPr>
            </w:pPr>
            <w:r>
              <w:rPr>
                <w:rFonts w:hint="eastAsia" w:ascii="宋体" w:hAnsi="宋体"/>
                <w:color w:val="000000"/>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1A1643">
            <w:pPr>
              <w:widowControl/>
              <w:jc w:val="center"/>
              <w:rPr>
                <w:rFonts w:hint="eastAsia" w:ascii="宋体" w:hAnsi="宋体"/>
                <w:color w:val="000000"/>
                <w:kern w:val="0"/>
                <w:szCs w:val="21"/>
              </w:rPr>
            </w:pPr>
            <w:r>
              <w:rPr>
                <w:rFonts w:hint="eastAsia" w:ascii="宋体" w:hAnsi="宋体"/>
                <w:color w:val="000000"/>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2FBB1FB8">
            <w:pPr>
              <w:widowControl/>
              <w:jc w:val="center"/>
              <w:rPr>
                <w:rFonts w:hint="eastAsia" w:ascii="宋体" w:hAnsi="宋体"/>
                <w:color w:val="000000"/>
                <w:kern w:val="0"/>
                <w:szCs w:val="21"/>
              </w:rPr>
            </w:pPr>
          </w:p>
        </w:tc>
      </w:tr>
    </w:tbl>
    <w:p w14:paraId="093093E7">
      <w:pPr>
        <w:spacing w:line="360" w:lineRule="auto"/>
        <w:rPr>
          <w:rFonts w:hint="eastAsia" w:ascii="宋体" w:hAnsi="宋体"/>
          <w:b/>
          <w:bCs/>
          <w:color w:val="000000"/>
          <w:sz w:val="24"/>
          <w:szCs w:val="22"/>
        </w:rPr>
      </w:pPr>
      <w:r>
        <w:rPr>
          <w:rFonts w:hint="eastAsia" w:ascii="宋体" w:hAnsi="宋体"/>
          <w:b/>
          <w:bCs/>
          <w:color w:val="000000"/>
          <w:sz w:val="24"/>
          <w:szCs w:val="22"/>
        </w:rPr>
        <w:t>（四）</w:t>
      </w:r>
      <w:r>
        <w:rPr>
          <w:rFonts w:ascii="宋体" w:hAnsi="宋体"/>
          <w:b/>
          <w:bCs/>
          <w:color w:val="000000"/>
          <w:sz w:val="24"/>
          <w:szCs w:val="22"/>
        </w:rPr>
        <w:t>课程目标达成度计算方法</w:t>
      </w:r>
    </w:p>
    <w:p w14:paraId="15979A09">
      <w:pPr>
        <w:spacing w:line="360" w:lineRule="auto"/>
        <w:ind w:firstLine="480"/>
        <w:rPr>
          <w:rFonts w:ascii="宋体" w:hAnsi="宋体"/>
          <w:color w:val="000000"/>
          <w:sz w:val="24"/>
          <w:szCs w:val="22"/>
        </w:rPr>
      </w:pPr>
      <w:r>
        <w:rPr>
          <w:rFonts w:ascii="宋体" w:hAnsi="宋体"/>
          <w:color w:val="000000"/>
          <w:sz w:val="24"/>
          <w:szCs w:val="22"/>
        </w:rPr>
        <w:t>所有课程目标均</w:t>
      </w:r>
      <w:r>
        <w:rPr>
          <w:rFonts w:hint="eastAsia" w:ascii="宋体" w:hAnsi="宋体"/>
          <w:color w:val="000000"/>
          <w:sz w:val="24"/>
          <w:szCs w:val="22"/>
        </w:rPr>
        <w:t>需</w:t>
      </w:r>
      <w:r>
        <w:rPr>
          <w:rFonts w:ascii="宋体" w:hAnsi="宋体"/>
          <w:color w:val="000000"/>
          <w:sz w:val="24"/>
          <w:szCs w:val="22"/>
        </w:rPr>
        <w:t>大于等于0.6，否则总评成绩不及格，需要补考或重</w:t>
      </w:r>
      <w:r>
        <w:rPr>
          <w:rFonts w:hint="eastAsia" w:ascii="宋体" w:hAnsi="宋体"/>
          <w:color w:val="000000"/>
          <w:sz w:val="24"/>
          <w:szCs w:val="22"/>
        </w:rPr>
        <w:t>修。</w:t>
      </w:r>
      <w:r>
        <w:rPr>
          <w:rFonts w:ascii="宋体" w:hAnsi="宋体"/>
          <w:color w:val="000000"/>
          <w:sz w:val="24"/>
          <w:szCs w:val="22"/>
        </w:rPr>
        <w:t>每</w:t>
      </w:r>
      <w:r>
        <w:rPr>
          <w:rFonts w:hint="eastAsia" w:ascii="宋体" w:hAnsi="宋体"/>
          <w:color w:val="000000"/>
          <w:sz w:val="24"/>
          <w:szCs w:val="22"/>
        </w:rPr>
        <w:t>门</w:t>
      </w:r>
      <w:r>
        <w:rPr>
          <w:rFonts w:ascii="宋体" w:hAnsi="宋体"/>
          <w:color w:val="000000"/>
          <w:sz w:val="24"/>
          <w:szCs w:val="22"/>
        </w:rPr>
        <w:t>课程目标</w:t>
      </w:r>
      <w:r>
        <w:rPr>
          <w:rFonts w:hint="eastAsia" w:ascii="宋体" w:hAnsi="宋体"/>
          <w:color w:val="000000"/>
          <w:sz w:val="24"/>
          <w:szCs w:val="22"/>
        </w:rPr>
        <w:t>总体</w:t>
      </w:r>
      <w:r>
        <w:rPr>
          <w:rFonts w:ascii="宋体" w:hAnsi="宋体"/>
          <w:color w:val="000000"/>
          <w:sz w:val="24"/>
          <w:szCs w:val="22"/>
        </w:rPr>
        <w:t>达成度计算方法如下：</w:t>
      </w:r>
    </w:p>
    <w:p w14:paraId="590D33FB">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5595E477">
      <w:pPr>
        <w:spacing w:line="360" w:lineRule="auto"/>
        <w:outlineLvl w:val="0"/>
        <w:rPr>
          <w:rFonts w:hint="eastAsia" w:ascii="宋体" w:hAnsi="宋体"/>
          <w:b/>
          <w:color w:val="000000"/>
          <w:sz w:val="28"/>
          <w:szCs w:val="28"/>
        </w:rPr>
      </w:pPr>
      <w:r>
        <w:rPr>
          <w:rFonts w:hint="eastAsia" w:ascii="宋体" w:hAnsi="宋体"/>
          <w:b/>
          <w:color w:val="000000"/>
          <w:sz w:val="28"/>
          <w:szCs w:val="28"/>
        </w:rPr>
        <w:t>七</w:t>
      </w:r>
      <w:r>
        <w:rPr>
          <w:rFonts w:ascii="宋体" w:hAnsi="宋体"/>
          <w:b/>
          <w:color w:val="000000"/>
          <w:sz w:val="28"/>
          <w:szCs w:val="28"/>
        </w:rPr>
        <w:t>、</w:t>
      </w:r>
      <w:r>
        <w:rPr>
          <w:rFonts w:hint="eastAsia" w:ascii="宋体" w:hAnsi="宋体"/>
          <w:b/>
          <w:color w:val="000000"/>
          <w:sz w:val="28"/>
          <w:szCs w:val="28"/>
        </w:rPr>
        <w:t>有关说明</w:t>
      </w:r>
    </w:p>
    <w:p w14:paraId="67C72DB8">
      <w:pPr>
        <w:spacing w:line="360" w:lineRule="auto"/>
        <w:ind w:firstLine="482" w:firstLineChars="200"/>
        <w:outlineLvl w:val="0"/>
        <w:rPr>
          <w:rFonts w:hint="eastAsia"/>
          <w:b/>
          <w:color w:val="000000"/>
          <w:sz w:val="24"/>
        </w:rPr>
      </w:pPr>
      <w:r>
        <w:rPr>
          <w:rFonts w:hint="eastAsia"/>
          <w:b/>
          <w:color w:val="000000"/>
          <w:sz w:val="24"/>
        </w:rPr>
        <w:t>（一）持续改进</w:t>
      </w:r>
    </w:p>
    <w:p w14:paraId="53D9FC2C">
      <w:pPr>
        <w:spacing w:line="360" w:lineRule="auto"/>
        <w:ind w:firstLine="480" w:firstLineChars="200"/>
        <w:rPr>
          <w:rFonts w:hint="eastAsia"/>
          <w:kern w:val="0"/>
          <w:sz w:val="24"/>
          <w:szCs w:val="21"/>
        </w:rPr>
      </w:pPr>
      <w:r>
        <w:rPr>
          <w:rFonts w:hint="eastAsia"/>
          <w:kern w:val="0"/>
          <w:sz w:val="24"/>
          <w:szCs w:val="21"/>
        </w:rPr>
        <w:t>根据学生课堂教学中的反应、课后反馈、作业质量、答卷情况，以及领导、督导、教师等的听课情况，及时发现和改进教学中的不足之处，确保相应毕业要求指标点达成。</w:t>
      </w:r>
    </w:p>
    <w:bookmarkEnd w:id="200"/>
    <w:p w14:paraId="1DB72110">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4AF9D892">
      <w:pPr>
        <w:autoSpaceDE w:val="0"/>
        <w:autoSpaceDN w:val="0"/>
        <w:adjustRightInd w:val="0"/>
        <w:spacing w:line="360" w:lineRule="auto"/>
        <w:ind w:firstLine="480" w:firstLineChars="200"/>
        <w:jc w:val="left"/>
        <w:rPr>
          <w:rFonts w:hint="eastAsia"/>
          <w:kern w:val="0"/>
          <w:sz w:val="24"/>
          <w:szCs w:val="21"/>
        </w:rPr>
      </w:pPr>
      <w:r>
        <w:rPr>
          <w:rFonts w:hint="eastAsia"/>
          <w:kern w:val="0"/>
          <w:sz w:val="24"/>
          <w:szCs w:val="21"/>
        </w:rPr>
        <w:t>1．王雨磊等：学术论文写作与发表指引，中国人民大学出版社，2017年出版。</w:t>
      </w:r>
    </w:p>
    <w:p w14:paraId="0D829AE7">
      <w:pPr>
        <w:autoSpaceDE w:val="0"/>
        <w:autoSpaceDN w:val="0"/>
        <w:adjustRightInd w:val="0"/>
        <w:spacing w:line="360" w:lineRule="auto"/>
        <w:ind w:firstLine="480" w:firstLineChars="200"/>
        <w:jc w:val="left"/>
        <w:rPr>
          <w:kern w:val="0"/>
          <w:sz w:val="24"/>
          <w:szCs w:val="21"/>
        </w:rPr>
      </w:pPr>
      <w:r>
        <w:rPr>
          <w:rFonts w:hint="eastAsia"/>
          <w:kern w:val="0"/>
          <w:sz w:val="24"/>
          <w:szCs w:val="21"/>
        </w:rPr>
        <w:t>2. 周新年：科学研究方法与学术论文写作（第二版），科学出版社，2019年出版。</w:t>
      </w:r>
    </w:p>
    <w:p w14:paraId="6436B5D7">
      <w:pPr>
        <w:autoSpaceDE w:val="0"/>
        <w:autoSpaceDN w:val="0"/>
        <w:adjustRightInd w:val="0"/>
        <w:spacing w:line="360" w:lineRule="auto"/>
        <w:ind w:firstLine="480" w:firstLineChars="200"/>
        <w:jc w:val="left"/>
        <w:rPr>
          <w:kern w:val="0"/>
          <w:sz w:val="24"/>
          <w:szCs w:val="21"/>
        </w:rPr>
      </w:pPr>
      <w:r>
        <w:rPr>
          <w:rFonts w:hint="eastAsia"/>
          <w:kern w:val="0"/>
          <w:sz w:val="24"/>
          <w:szCs w:val="21"/>
        </w:rPr>
        <w:t>3.</w:t>
      </w:r>
      <w:r>
        <w:rPr>
          <w:kern w:val="0"/>
          <w:sz w:val="24"/>
          <w:szCs w:val="21"/>
        </w:rPr>
        <w:t xml:space="preserve"> </w:t>
      </w:r>
      <w:r>
        <w:rPr>
          <w:rFonts w:hint="eastAsia"/>
          <w:kern w:val="0"/>
          <w:sz w:val="24"/>
          <w:szCs w:val="21"/>
        </w:rPr>
        <w:t>王细荣等：文献信息检索与论文写作（第六版），上海交通大学出版社，2017年出版。</w:t>
      </w:r>
    </w:p>
    <w:p w14:paraId="1599F01A">
      <w:pPr>
        <w:autoSpaceDE w:val="0"/>
        <w:autoSpaceDN w:val="0"/>
        <w:adjustRightInd w:val="0"/>
        <w:spacing w:line="360" w:lineRule="auto"/>
        <w:ind w:firstLine="480" w:firstLineChars="200"/>
        <w:jc w:val="left"/>
        <w:rPr>
          <w:rFonts w:hint="eastAsia"/>
          <w:sz w:val="24"/>
        </w:rPr>
      </w:pPr>
      <w:r>
        <w:rPr>
          <w:rFonts w:hint="eastAsia"/>
          <w:kern w:val="0"/>
          <w:sz w:val="24"/>
          <w:szCs w:val="21"/>
        </w:rPr>
        <w:t>4.</w:t>
      </w:r>
      <w:r>
        <w:rPr>
          <w:kern w:val="0"/>
          <w:sz w:val="24"/>
          <w:szCs w:val="21"/>
        </w:rPr>
        <w:t xml:space="preserve"> </w:t>
      </w:r>
      <w:r>
        <w:rPr>
          <w:rFonts w:hint="eastAsia"/>
          <w:kern w:val="0"/>
          <w:sz w:val="24"/>
          <w:szCs w:val="21"/>
        </w:rPr>
        <w:t>李兴仁、王荣党：毕业论文写作指导，科学出版社，2018年出版</w:t>
      </w:r>
      <w:r>
        <w:rPr>
          <w:rFonts w:hint="eastAsia"/>
          <w:kern w:val="0"/>
          <w:sz w:val="24"/>
          <w:szCs w:val="21"/>
          <w:lang w:eastAsia="zh-CN"/>
        </w:rPr>
        <w:t>。</w:t>
      </w:r>
      <w:r>
        <w:rPr>
          <w:rFonts w:hint="eastAsia"/>
          <w:sz w:val="24"/>
        </w:rPr>
        <w:t xml:space="preserve">    </w:t>
      </w:r>
    </w:p>
    <w:p w14:paraId="600B0A49">
      <w:pPr>
        <w:autoSpaceDE w:val="0"/>
        <w:autoSpaceDN w:val="0"/>
        <w:adjustRightInd w:val="0"/>
        <w:spacing w:line="360" w:lineRule="auto"/>
        <w:ind w:firstLine="4800" w:firstLineChars="2000"/>
        <w:jc w:val="left"/>
        <w:rPr>
          <w:kern w:val="0"/>
          <w:sz w:val="24"/>
          <w:szCs w:val="21"/>
        </w:rPr>
      </w:pPr>
      <w:r>
        <w:rPr>
          <w:kern w:val="0"/>
          <w:sz w:val="24"/>
          <w:szCs w:val="21"/>
        </w:rPr>
        <w:t>执笔人：</w:t>
      </w:r>
      <w:r>
        <w:rPr>
          <w:rFonts w:hint="eastAsia"/>
          <w:kern w:val="0"/>
          <w:sz w:val="24"/>
          <w:szCs w:val="21"/>
        </w:rPr>
        <w:t>潘金林</w:t>
      </w:r>
    </w:p>
    <w:p w14:paraId="067D9ED8">
      <w:pPr>
        <w:autoSpaceDE w:val="0"/>
        <w:autoSpaceDN w:val="0"/>
        <w:adjustRightInd w:val="0"/>
        <w:spacing w:line="360" w:lineRule="auto"/>
        <w:ind w:firstLine="4800" w:firstLineChars="2000"/>
        <w:jc w:val="left"/>
        <w:rPr>
          <w:kern w:val="0"/>
          <w:sz w:val="24"/>
          <w:szCs w:val="21"/>
        </w:rPr>
      </w:pPr>
      <w:r>
        <w:rPr>
          <w:kern w:val="0"/>
          <w:sz w:val="24"/>
          <w:szCs w:val="21"/>
        </w:rPr>
        <w:t>审定人：</w:t>
      </w:r>
      <w:r>
        <w:rPr>
          <w:rFonts w:hint="eastAsia"/>
          <w:kern w:val="0"/>
          <w:sz w:val="24"/>
          <w:szCs w:val="21"/>
        </w:rPr>
        <w:t>张志欣</w:t>
      </w:r>
    </w:p>
    <w:p w14:paraId="23689833">
      <w:pPr>
        <w:autoSpaceDE w:val="0"/>
        <w:autoSpaceDN w:val="0"/>
        <w:adjustRightInd w:val="0"/>
        <w:spacing w:line="360" w:lineRule="auto"/>
        <w:ind w:firstLine="4800" w:firstLineChars="200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张建波</w:t>
      </w:r>
    </w:p>
    <w:p w14:paraId="3E2C8C26">
      <w:pPr>
        <w:autoSpaceDE w:val="0"/>
        <w:autoSpaceDN w:val="0"/>
        <w:adjustRightInd w:val="0"/>
        <w:spacing w:line="360" w:lineRule="auto"/>
        <w:ind w:left="0" w:leftChars="0" w:firstLine="4800" w:firstLineChars="2000"/>
        <w:jc w:val="left"/>
        <w:rPr>
          <w:rFonts w:hint="eastAsia"/>
          <w:kern w:val="0"/>
          <w:sz w:val="24"/>
          <w:szCs w:val="21"/>
        </w:rPr>
      </w:pPr>
      <w:r>
        <w:rPr>
          <w:rFonts w:hint="eastAsia"/>
          <w:kern w:val="0"/>
          <w:sz w:val="24"/>
          <w:szCs w:val="21"/>
        </w:rPr>
        <w:t>批准时间：</w:t>
      </w:r>
      <w:r>
        <w:rPr>
          <w:kern w:val="0"/>
          <w:sz w:val="24"/>
          <w:szCs w:val="21"/>
        </w:rPr>
        <w:t xml:space="preserve"> </w:t>
      </w:r>
      <w:r>
        <w:rPr>
          <w:rFonts w:hint="eastAsia"/>
          <w:kern w:val="0"/>
          <w:sz w:val="24"/>
          <w:szCs w:val="21"/>
        </w:rPr>
        <w:t>202</w:t>
      </w:r>
      <w:r>
        <w:rPr>
          <w:rFonts w:hint="eastAsia"/>
          <w:kern w:val="0"/>
          <w:sz w:val="24"/>
          <w:szCs w:val="21"/>
          <w:lang w:val="en-US" w:eastAsia="zh-CN"/>
        </w:rPr>
        <w:t>2</w:t>
      </w:r>
      <w:r>
        <w:rPr>
          <w:rFonts w:hint="eastAsia"/>
          <w:kern w:val="0"/>
          <w:sz w:val="24"/>
          <w:szCs w:val="21"/>
        </w:rPr>
        <w:t>年8月30日</w:t>
      </w:r>
    </w:p>
    <w:p w14:paraId="5F936663">
      <w:pPr>
        <w:spacing w:line="312" w:lineRule="auto"/>
        <w:jc w:val="center"/>
        <w:outlineLvl w:val="0"/>
        <w:rPr>
          <w:rFonts w:ascii="Times New Roman" w:hAnsi="Times New Roman" w:eastAsia="宋体" w:cs="Times New Roman"/>
          <w:b/>
          <w:bCs/>
          <w:sz w:val="30"/>
          <w:szCs w:val="24"/>
        </w:rPr>
      </w:pPr>
    </w:p>
    <w:p w14:paraId="28C1DCD1">
      <w:pPr>
        <w:spacing w:line="312" w:lineRule="auto"/>
        <w:jc w:val="center"/>
        <w:outlineLvl w:val="0"/>
        <w:rPr>
          <w:rFonts w:ascii="Times New Roman" w:hAnsi="Times New Roman" w:eastAsia="宋体" w:cs="Times New Roman"/>
          <w:b/>
          <w:bCs/>
          <w:sz w:val="30"/>
          <w:szCs w:val="24"/>
        </w:rPr>
      </w:pPr>
      <w:r>
        <w:rPr>
          <w:rFonts w:ascii="Times New Roman" w:hAnsi="Times New Roman" w:eastAsia="宋体" w:cs="Times New Roman"/>
          <w:b/>
          <w:bCs/>
          <w:sz w:val="30"/>
          <w:szCs w:val="24"/>
        </w:rPr>
        <w:t>数学分析I课程教学大纲</w:t>
      </w:r>
      <w:bookmarkEnd w:id="180"/>
    </w:p>
    <w:p w14:paraId="1D7214B2">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 xml:space="preserve">（Mathematical Analysis </w:t>
      </w:r>
      <w:r>
        <w:rPr>
          <w:rFonts w:ascii="Times New Roman" w:hAnsi="Times New Roman" w:eastAsia="宋体" w:cs="Times New Roman"/>
          <w:b/>
          <w:bCs/>
          <w:sz w:val="30"/>
          <w:szCs w:val="24"/>
        </w:rPr>
        <w:fldChar w:fldCharType="begin"/>
      </w:r>
      <w:r>
        <w:rPr>
          <w:rFonts w:ascii="Times New Roman" w:hAnsi="Times New Roman" w:eastAsia="宋体" w:cs="Times New Roman"/>
          <w:b/>
          <w:bCs/>
          <w:sz w:val="30"/>
          <w:szCs w:val="24"/>
        </w:rPr>
        <w:instrText xml:space="preserve"> = 1 \* ROMAN \* MERGEFORMAT </w:instrText>
      </w:r>
      <w:r>
        <w:rPr>
          <w:rFonts w:ascii="Times New Roman" w:hAnsi="Times New Roman" w:eastAsia="宋体" w:cs="Times New Roman"/>
          <w:b/>
          <w:bCs/>
          <w:sz w:val="30"/>
          <w:szCs w:val="24"/>
        </w:rPr>
        <w:fldChar w:fldCharType="separate"/>
      </w:r>
      <w:r>
        <w:rPr>
          <w:rFonts w:ascii="Times New Roman" w:hAnsi="Times New Roman" w:eastAsia="宋体" w:cs="Times New Roman"/>
          <w:b/>
          <w:bCs/>
          <w:sz w:val="30"/>
          <w:szCs w:val="24"/>
        </w:rPr>
        <w:t>I</w:t>
      </w:r>
      <w:r>
        <w:rPr>
          <w:rFonts w:ascii="Times New Roman" w:hAnsi="Times New Roman" w:eastAsia="宋体" w:cs="Times New Roman"/>
          <w:b/>
          <w:bCs/>
          <w:sz w:val="30"/>
          <w:szCs w:val="24"/>
        </w:rPr>
        <w:fldChar w:fldCharType="end"/>
      </w:r>
      <w:r>
        <w:rPr>
          <w:rFonts w:ascii="Times New Roman" w:hAnsi="Times New Roman" w:eastAsia="宋体" w:cs="Times New Roman"/>
          <w:b/>
          <w:bCs/>
          <w:sz w:val="30"/>
          <w:szCs w:val="24"/>
        </w:rPr>
        <w:t>）</w:t>
      </w:r>
    </w:p>
    <w:p w14:paraId="1429F9A7">
      <w:pPr>
        <w:spacing w:line="348" w:lineRule="auto"/>
        <w:ind w:firstLine="482" w:firstLineChars="200"/>
        <w:rPr>
          <w:rFonts w:ascii="Calibri" w:hAnsi="Calibri" w:eastAsia="宋体" w:cs="Times New Roman"/>
          <w:b/>
          <w:sz w:val="24"/>
          <w:szCs w:val="24"/>
        </w:rPr>
      </w:pPr>
      <w:bookmarkStart w:id="201" w:name="_Toc19729755"/>
      <w:r>
        <w:rPr>
          <w:rFonts w:ascii="Calibri" w:hAnsi="Calibri" w:eastAsia="宋体" w:cs="Times New Roman"/>
          <w:b/>
          <w:sz w:val="24"/>
          <w:szCs w:val="24"/>
        </w:rPr>
        <w:t>一、课程概况</w:t>
      </w:r>
      <w:bookmarkEnd w:id="201"/>
    </w:p>
    <w:p w14:paraId="48E1DD7A">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仿宋_GB2312" w:cs="Times New Roman"/>
          <w:sz w:val="24"/>
        </w:rPr>
        <w:t>0821008</w:t>
      </w:r>
    </w:p>
    <w:p w14:paraId="4EAE9EAB">
      <w:pPr>
        <w:spacing w:line="348" w:lineRule="auto"/>
        <w:ind w:firstLine="482" w:firstLineChars="200"/>
        <w:rPr>
          <w:rFonts w:ascii="Times New Roman" w:hAnsi="Times New Roman" w:eastAsia="宋体" w:cs="Times New Roman"/>
          <w:b/>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仿宋_GB2312" w:cs="Times New Roman"/>
          <w:sz w:val="24"/>
        </w:rPr>
        <w:t>3</w:t>
      </w:r>
    </w:p>
    <w:p w14:paraId="5A486FC7">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仿宋_GB2312" w:cs="Times New Roman"/>
          <w:sz w:val="24"/>
        </w:rPr>
        <w:t>48</w:t>
      </w:r>
      <w:r>
        <w:rPr>
          <w:rFonts w:ascii="Times New Roman" w:hAnsi="Times New Roman" w:eastAsia="宋体" w:cs="Times New Roman"/>
          <w:kern w:val="0"/>
          <w:sz w:val="24"/>
        </w:rPr>
        <w:t xml:space="preserve"> （其中：讲授学时</w:t>
      </w:r>
      <w:r>
        <w:rPr>
          <w:rFonts w:ascii="Times New Roman" w:hAnsi="Times New Roman" w:eastAsia="仿宋_GB2312" w:cs="Times New Roman"/>
          <w:sz w:val="24"/>
        </w:rPr>
        <w:t>48</w:t>
      </w:r>
      <w:r>
        <w:rPr>
          <w:rFonts w:ascii="Times New Roman" w:hAnsi="Times New Roman" w:eastAsia="宋体" w:cs="Times New Roman"/>
          <w:kern w:val="0"/>
          <w:sz w:val="24"/>
        </w:rPr>
        <w:t>， 实践学时0）</w:t>
      </w:r>
    </w:p>
    <w:p w14:paraId="71C58660">
      <w:pPr>
        <w:spacing w:line="348" w:lineRule="auto"/>
        <w:ind w:firstLine="482" w:firstLineChars="200"/>
        <w:jc w:val="left"/>
        <w:rPr>
          <w:rFonts w:ascii="Times New Roman" w:hAnsi="Times New Roman" w:eastAsia="宋体" w:cs="Times New Roman"/>
          <w:sz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rPr>
        <w:t>初等数学</w:t>
      </w:r>
    </w:p>
    <w:p w14:paraId="1CE302E0">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ascii="Times New Roman" w:hAnsi="Times New Roman" w:eastAsia="宋体" w:cs="Times New Roman"/>
          <w:sz w:val="24"/>
        </w:rPr>
        <w:t xml:space="preserve">小学教育（理） </w:t>
      </w:r>
      <w:r>
        <w:rPr>
          <w:rFonts w:ascii="Times New Roman" w:hAnsi="Times New Roman" w:eastAsia="宋体" w:cs="Times New Roman"/>
          <w:kern w:val="0"/>
          <w:sz w:val="24"/>
        </w:rPr>
        <w:t xml:space="preserve">                         </w:t>
      </w:r>
    </w:p>
    <w:p w14:paraId="04E9758E">
      <w:pPr>
        <w:spacing w:line="348"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建议教材</w:t>
      </w:r>
      <w:r>
        <w:rPr>
          <w:rFonts w:ascii="Times New Roman" w:hAnsi="Times New Roman" w:eastAsia="宋体" w:cs="Times New Roman"/>
          <w:b/>
          <w:kern w:val="0"/>
          <w:sz w:val="24"/>
        </w:rPr>
        <w:t>：</w:t>
      </w:r>
      <w:r>
        <w:rPr>
          <w:rFonts w:ascii="Times New Roman" w:hAnsi="Times New Roman" w:eastAsia="宋体" w:cs="Times New Roman"/>
          <w:kern w:val="0"/>
          <w:sz w:val="24"/>
        </w:rPr>
        <w:t>《数学分析讲义》，刘玉琏，高等教育出版社，2008.</w:t>
      </w:r>
    </w:p>
    <w:p w14:paraId="76517E86">
      <w:pPr>
        <w:spacing w:line="348" w:lineRule="auto"/>
        <w:ind w:firstLine="482" w:firstLineChars="200"/>
        <w:rPr>
          <w:rFonts w:ascii="Times New Roman" w:hAnsi="Times New Roman" w:eastAsia="宋体" w:cs="Times New Roman"/>
          <w:sz w:val="24"/>
        </w:rPr>
      </w:pPr>
      <w:r>
        <w:rPr>
          <w:rFonts w:ascii="Times New Roman" w:hAnsi="Times New Roman" w:eastAsia="宋体" w:cs="Times New Roman"/>
          <w:b/>
          <w:bCs/>
          <w:kern w:val="0"/>
          <w:sz w:val="24"/>
        </w:rPr>
        <w:t>课程归口：</w:t>
      </w:r>
      <w:r>
        <w:rPr>
          <w:rFonts w:ascii="Times New Roman" w:hAnsi="Times New Roman" w:eastAsia="宋体" w:cs="Times New Roman"/>
          <w:sz w:val="24"/>
        </w:rPr>
        <w:t>理学院</w:t>
      </w:r>
    </w:p>
    <w:p w14:paraId="0EFF0D35">
      <w:pPr>
        <w:autoSpaceDE w:val="0"/>
        <w:autoSpaceDN w:val="0"/>
        <w:adjustRightInd w:val="0"/>
        <w:spacing w:line="348" w:lineRule="auto"/>
        <w:ind w:firstLine="482" w:firstLineChars="200"/>
        <w:jc w:val="left"/>
        <w:rPr>
          <w:rFonts w:ascii="Calibri" w:hAnsi="Calibri" w:eastAsia="宋体" w:cs="Times New Roman"/>
          <w:sz w:val="24"/>
        </w:rPr>
      </w:pPr>
      <w:r>
        <w:rPr>
          <w:rFonts w:ascii="Calibri" w:hAnsi="Calibri" w:eastAsia="宋体" w:cs="Times New Roman"/>
          <w:b/>
          <w:bCs/>
          <w:kern w:val="0"/>
          <w:sz w:val="24"/>
        </w:rPr>
        <w:t>课程的性质与任务：</w:t>
      </w:r>
      <w:r>
        <w:rPr>
          <w:rFonts w:ascii="Calibri" w:hAnsi="Calibri" w:eastAsia="宋体" w:cs="Times New Roman"/>
          <w:kern w:val="0"/>
          <w:sz w:val="24"/>
        </w:rPr>
        <w:t>本课程是小学教育（理）专业的一门</w:t>
      </w:r>
      <w:r>
        <w:rPr>
          <w:rFonts w:ascii="Calibri" w:hAnsi="Calibri" w:eastAsia="宋体" w:cs="Times New Roman"/>
          <w:sz w:val="24"/>
        </w:rPr>
        <w:t>重要基础课。</w:t>
      </w:r>
      <w:r>
        <w:rPr>
          <w:rFonts w:ascii="Calibri" w:hAnsi="Calibri" w:eastAsia="宋体" w:cs="Times New Roman"/>
          <w:kern w:val="0"/>
          <w:sz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08D3CF0F">
      <w:pPr>
        <w:spacing w:line="348" w:lineRule="auto"/>
        <w:ind w:firstLine="482" w:firstLineChars="200"/>
        <w:rPr>
          <w:rFonts w:ascii="Calibri" w:hAnsi="Calibri" w:eastAsia="宋体" w:cs="Times New Roman"/>
          <w:b/>
          <w:sz w:val="24"/>
          <w:szCs w:val="24"/>
        </w:rPr>
      </w:pPr>
      <w:bookmarkStart w:id="202" w:name="_Toc19729756"/>
      <w:r>
        <w:rPr>
          <w:rFonts w:ascii="Calibri" w:hAnsi="Calibri" w:eastAsia="宋体" w:cs="Times New Roman"/>
          <w:b/>
          <w:sz w:val="24"/>
          <w:szCs w:val="24"/>
        </w:rPr>
        <w:t>二、课程目标</w:t>
      </w:r>
      <w:bookmarkEnd w:id="202"/>
    </w:p>
    <w:p w14:paraId="04CC6EA4">
      <w:pPr>
        <w:spacing w:line="348" w:lineRule="auto"/>
        <w:ind w:firstLine="482" w:firstLineChars="200"/>
        <w:rPr>
          <w:rFonts w:ascii="Calibri" w:hAnsi="Calibri" w:eastAsia="宋体" w:cs="Times New Roman"/>
          <w:b/>
          <w:sz w:val="24"/>
          <w:szCs w:val="24"/>
        </w:rPr>
      </w:pPr>
      <w:bookmarkStart w:id="203" w:name="_Toc19729757"/>
      <w:r>
        <w:rPr>
          <w:rFonts w:ascii="Calibri" w:hAnsi="Calibri" w:eastAsia="宋体" w:cs="Times New Roman"/>
          <w:b/>
          <w:sz w:val="24"/>
          <w:szCs w:val="24"/>
        </w:rPr>
        <w:t>（一）课程具体目标</w:t>
      </w:r>
      <w:bookmarkEnd w:id="203"/>
    </w:p>
    <w:p w14:paraId="6DF0F489">
      <w:pPr>
        <w:spacing w:line="360" w:lineRule="auto"/>
        <w:ind w:firstLine="480" w:firstLineChars="200"/>
        <w:rPr>
          <w:rFonts w:ascii="宋体" w:hAnsi="宋体" w:eastAsia="宋体" w:cs="Times New Roman"/>
          <w:sz w:val="24"/>
        </w:rPr>
      </w:pPr>
      <w:bookmarkStart w:id="204" w:name="_Toc19729758"/>
      <w:r>
        <w:rPr>
          <w:rFonts w:hint="eastAsia" w:ascii="宋体" w:hAnsi="宋体" w:eastAsia="宋体" w:cs="Times New Roman"/>
          <w:sz w:val="24"/>
        </w:rPr>
        <w:t>目标1：掌握不定积分、定积分、级数、多元函数微分学基本概念，了解基本理论和方法，具有一定</w:t>
      </w:r>
      <w:r>
        <w:rPr>
          <w:rFonts w:ascii="宋体" w:hAnsi="宋体" w:eastAsia="宋体" w:cs="Times New Roman"/>
          <w:sz w:val="24"/>
        </w:rPr>
        <w:t>的抽象概括、逻辑推理能力</w:t>
      </w:r>
      <w:r>
        <w:rPr>
          <w:rFonts w:hint="eastAsia" w:ascii="宋体" w:hAnsi="宋体" w:eastAsia="宋体" w:cs="Times New Roman"/>
          <w:sz w:val="24"/>
        </w:rPr>
        <w:t>；</w:t>
      </w:r>
    </w:p>
    <w:p w14:paraId="4ABAE56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目标2：</w:t>
      </w:r>
      <w:r>
        <w:rPr>
          <w:rFonts w:ascii="宋体" w:hAnsi="宋体" w:eastAsia="宋体" w:cs="Times New Roman"/>
          <w:sz w:val="24"/>
        </w:rPr>
        <w:t>初步掌握处理随机现象的基本思想和方法，具备运用数学分析的思维方法分析和解决实际问题的能力。</w:t>
      </w:r>
    </w:p>
    <w:p w14:paraId="3CCA0A21">
      <w:pPr>
        <w:spacing w:line="360" w:lineRule="auto"/>
        <w:ind w:firstLine="482" w:firstLineChars="200"/>
        <w:rPr>
          <w:rFonts w:ascii="Calibri" w:hAnsi="Calibri" w:eastAsia="宋体" w:cs="Times New Roman"/>
          <w:b/>
          <w:sz w:val="28"/>
          <w:szCs w:val="28"/>
        </w:rPr>
      </w:pPr>
      <w:r>
        <w:rPr>
          <w:rFonts w:ascii="Calibri" w:hAnsi="Calibri" w:eastAsia="宋体" w:cs="Times New Roman"/>
          <w:b/>
          <w:sz w:val="24"/>
          <w:szCs w:val="24"/>
        </w:rPr>
        <w:t>（二）课程目标与专业毕业要求的关系</w:t>
      </w:r>
      <w:bookmarkEnd w:id="204"/>
    </w:p>
    <w:tbl>
      <w:tblPr>
        <w:tblStyle w:val="30"/>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223"/>
        <w:gridCol w:w="4977"/>
      </w:tblGrid>
      <w:tr w14:paraId="794B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07D6871C">
            <w:pPr>
              <w:jc w:val="center"/>
              <w:rPr>
                <w:rFonts w:ascii="宋体" w:hAnsi="宋体" w:eastAsia="宋体" w:cs="Times New Roman"/>
                <w:b/>
                <w:bCs/>
                <w:szCs w:val="21"/>
              </w:rPr>
            </w:pPr>
            <w:r>
              <w:rPr>
                <w:rFonts w:ascii="宋体" w:hAnsi="宋体" w:eastAsia="宋体" w:cs="Times New Roman"/>
                <w:b/>
                <w:bCs/>
                <w:szCs w:val="21"/>
              </w:rPr>
              <w:t>课程目标</w:t>
            </w:r>
          </w:p>
        </w:tc>
        <w:tc>
          <w:tcPr>
            <w:tcW w:w="2223" w:type="dxa"/>
            <w:vAlign w:val="center"/>
          </w:tcPr>
          <w:p w14:paraId="4F94934B">
            <w:pPr>
              <w:jc w:val="center"/>
              <w:rPr>
                <w:rFonts w:ascii="宋体" w:hAnsi="宋体" w:eastAsia="宋体" w:cs="Times New Roman"/>
                <w:b/>
                <w:bCs/>
                <w:szCs w:val="21"/>
              </w:rPr>
            </w:pPr>
            <w:r>
              <w:rPr>
                <w:rFonts w:ascii="宋体" w:hAnsi="宋体" w:eastAsia="宋体" w:cs="Times New Roman"/>
                <w:b/>
                <w:bCs/>
                <w:szCs w:val="21"/>
              </w:rPr>
              <w:t>支撑的毕业要求</w:t>
            </w:r>
          </w:p>
        </w:tc>
        <w:tc>
          <w:tcPr>
            <w:tcW w:w="4977" w:type="dxa"/>
            <w:vAlign w:val="center"/>
          </w:tcPr>
          <w:p w14:paraId="4A8C019B">
            <w:pPr>
              <w:jc w:val="center"/>
              <w:rPr>
                <w:rFonts w:ascii="宋体" w:hAnsi="宋体" w:eastAsia="宋体" w:cs="Times New Roman"/>
                <w:b/>
                <w:bCs/>
                <w:szCs w:val="21"/>
              </w:rPr>
            </w:pPr>
            <w:r>
              <w:rPr>
                <w:rFonts w:ascii="宋体" w:hAnsi="宋体" w:eastAsia="宋体" w:cs="Times New Roman"/>
                <w:b/>
                <w:bCs/>
                <w:szCs w:val="21"/>
              </w:rPr>
              <w:t>支撑的毕业要求指标点</w:t>
            </w:r>
          </w:p>
        </w:tc>
      </w:tr>
      <w:tr w14:paraId="1CF7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5E548C64">
            <w:pPr>
              <w:jc w:val="center"/>
              <w:rPr>
                <w:rFonts w:ascii="宋体" w:hAnsi="宋体" w:eastAsia="宋体" w:cs="Times New Roman"/>
                <w:bCs/>
                <w:szCs w:val="21"/>
              </w:rPr>
            </w:pPr>
            <w:r>
              <w:rPr>
                <w:rFonts w:ascii="宋体" w:hAnsi="宋体" w:eastAsia="宋体" w:cs="Times New Roman"/>
                <w:bCs/>
                <w:szCs w:val="21"/>
              </w:rPr>
              <w:t>课程目标</w:t>
            </w:r>
            <w:r>
              <w:rPr>
                <w:rFonts w:hint="eastAsia" w:ascii="宋体" w:hAnsi="宋体" w:eastAsia="宋体" w:cs="Times New Roman"/>
                <w:bCs/>
                <w:szCs w:val="21"/>
              </w:rPr>
              <w:t>1</w:t>
            </w:r>
          </w:p>
        </w:tc>
        <w:tc>
          <w:tcPr>
            <w:tcW w:w="2223" w:type="dxa"/>
            <w:vAlign w:val="center"/>
          </w:tcPr>
          <w:p w14:paraId="78E370A9">
            <w:pPr>
              <w:rPr>
                <w:rFonts w:ascii="宋体" w:hAnsi="宋体" w:eastAsia="宋体" w:cs="Times New Roman"/>
                <w:kern w:val="0"/>
                <w:szCs w:val="21"/>
              </w:rPr>
            </w:pPr>
            <w:r>
              <w:rPr>
                <w:rFonts w:ascii="宋体" w:hAnsi="宋体" w:eastAsia="宋体" w:cs="Times New Roman"/>
                <w:kern w:val="0"/>
                <w:szCs w:val="21"/>
              </w:rPr>
              <w:t>毕业要求3.综合素养</w:t>
            </w:r>
          </w:p>
        </w:tc>
        <w:tc>
          <w:tcPr>
            <w:tcW w:w="4977" w:type="dxa"/>
            <w:vAlign w:val="center"/>
          </w:tcPr>
          <w:p w14:paraId="373BE16C">
            <w:pPr>
              <w:jc w:val="left"/>
              <w:rPr>
                <w:rFonts w:ascii="宋体" w:hAnsi="宋体" w:eastAsia="宋体" w:cs="Times New Roman"/>
                <w:szCs w:val="23"/>
              </w:rPr>
            </w:pPr>
            <w:r>
              <w:rPr>
                <w:rFonts w:ascii="宋体" w:hAnsi="宋体" w:eastAsia="宋体" w:cs="Times New Roman"/>
                <w:szCs w:val="23"/>
              </w:rPr>
              <w:t>3-1：具有一定的人文素养与科学素养。</w:t>
            </w:r>
          </w:p>
          <w:p w14:paraId="4839FA93">
            <w:pPr>
              <w:jc w:val="left"/>
              <w:rPr>
                <w:rFonts w:ascii="宋体" w:hAnsi="宋体" w:eastAsia="宋体" w:cs="Times New Roman"/>
                <w:szCs w:val="23"/>
              </w:rPr>
            </w:pPr>
            <w:r>
              <w:rPr>
                <w:rFonts w:ascii="宋体" w:hAnsi="宋体" w:eastAsia="宋体" w:cs="Times New Roman"/>
                <w:szCs w:val="23"/>
              </w:rPr>
              <w:t>3-2：掌握主教学科的基本理论和方法，具有良好的学科专业能力。</w:t>
            </w:r>
          </w:p>
          <w:p w14:paraId="45E2CF85">
            <w:pPr>
              <w:jc w:val="left"/>
              <w:rPr>
                <w:rFonts w:ascii="宋体" w:hAnsi="宋体" w:eastAsia="宋体" w:cs="Times New Roman"/>
                <w:kern w:val="0"/>
                <w:sz w:val="18"/>
                <w:szCs w:val="18"/>
              </w:rPr>
            </w:pPr>
            <w:r>
              <w:rPr>
                <w:rFonts w:ascii="宋体" w:hAnsi="宋体" w:eastAsia="宋体" w:cs="Times New Roman"/>
                <w:szCs w:val="23"/>
              </w:rPr>
              <w:t>6-2：具备结合学科教学进行育人的意识与能力。</w:t>
            </w:r>
          </w:p>
        </w:tc>
      </w:tr>
      <w:tr w14:paraId="0AC1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62" w:type="dxa"/>
            <w:vAlign w:val="center"/>
          </w:tcPr>
          <w:p w14:paraId="6DA7DEF9">
            <w:pPr>
              <w:jc w:val="center"/>
              <w:rPr>
                <w:rFonts w:ascii="宋体" w:hAnsi="宋体" w:eastAsia="宋体" w:cs="Times New Roman"/>
                <w:bCs/>
                <w:szCs w:val="21"/>
              </w:rPr>
            </w:pPr>
            <w:r>
              <w:rPr>
                <w:rFonts w:hint="eastAsia" w:ascii="宋体" w:hAnsi="宋体" w:eastAsia="宋体" w:cs="Times New Roman"/>
                <w:bCs/>
                <w:szCs w:val="21"/>
              </w:rPr>
              <w:t>课程目标2</w:t>
            </w:r>
          </w:p>
        </w:tc>
        <w:tc>
          <w:tcPr>
            <w:tcW w:w="2223" w:type="dxa"/>
            <w:vAlign w:val="center"/>
          </w:tcPr>
          <w:p w14:paraId="63674FE3">
            <w:pPr>
              <w:rPr>
                <w:rFonts w:ascii="宋体" w:hAnsi="宋体" w:eastAsia="宋体" w:cs="Times New Roman"/>
                <w:kern w:val="0"/>
                <w:szCs w:val="21"/>
              </w:rPr>
            </w:pPr>
            <w:r>
              <w:rPr>
                <w:rFonts w:ascii="宋体" w:hAnsi="宋体" w:eastAsia="宋体" w:cs="Times New Roman"/>
                <w:kern w:val="0"/>
                <w:szCs w:val="21"/>
              </w:rPr>
              <w:t>毕业要求3.综合素养</w:t>
            </w:r>
          </w:p>
        </w:tc>
        <w:tc>
          <w:tcPr>
            <w:tcW w:w="4977" w:type="dxa"/>
            <w:vAlign w:val="center"/>
          </w:tcPr>
          <w:p w14:paraId="798976DD">
            <w:pPr>
              <w:jc w:val="left"/>
              <w:rPr>
                <w:rFonts w:ascii="宋体" w:hAnsi="宋体" w:eastAsia="宋体" w:cs="Times New Roman"/>
                <w:szCs w:val="23"/>
              </w:rPr>
            </w:pPr>
            <w:r>
              <w:rPr>
                <w:rFonts w:ascii="宋体" w:hAnsi="宋体" w:eastAsia="宋体" w:cs="Times New Roman"/>
                <w:szCs w:val="23"/>
              </w:rPr>
              <w:t>3-1：具有一定的人文素养与科学素养。</w:t>
            </w:r>
          </w:p>
          <w:p w14:paraId="0FA7EBC5">
            <w:pPr>
              <w:jc w:val="left"/>
              <w:rPr>
                <w:rFonts w:ascii="宋体" w:hAnsi="宋体" w:eastAsia="宋体" w:cs="Times New Roman"/>
                <w:szCs w:val="23"/>
              </w:rPr>
            </w:pPr>
            <w:r>
              <w:rPr>
                <w:rFonts w:ascii="宋体" w:hAnsi="宋体" w:eastAsia="宋体" w:cs="Times New Roman"/>
                <w:szCs w:val="23"/>
              </w:rPr>
              <w:t>3-2：掌握主教学科的基本理论和方法，具有良好的学科专业能力。</w:t>
            </w:r>
          </w:p>
          <w:p w14:paraId="06DC49E4">
            <w:pPr>
              <w:jc w:val="left"/>
              <w:rPr>
                <w:rFonts w:ascii="宋体" w:hAnsi="宋体" w:eastAsia="宋体" w:cs="Times New Roman"/>
                <w:szCs w:val="23"/>
              </w:rPr>
            </w:pPr>
            <w:r>
              <w:rPr>
                <w:rFonts w:ascii="宋体" w:hAnsi="宋体" w:eastAsia="宋体" w:cs="Times New Roman"/>
                <w:szCs w:val="23"/>
              </w:rPr>
              <w:t>6-2：具备结合学科教学进行育人的意识与能力。</w:t>
            </w:r>
          </w:p>
        </w:tc>
      </w:tr>
    </w:tbl>
    <w:p w14:paraId="087622AE">
      <w:pPr>
        <w:spacing w:line="360" w:lineRule="auto"/>
        <w:ind w:firstLine="562" w:firstLineChars="200"/>
        <w:rPr>
          <w:rFonts w:ascii="Calibri" w:hAnsi="Calibri" w:eastAsia="宋体" w:cs="Times New Roman"/>
          <w:b/>
          <w:sz w:val="28"/>
          <w:szCs w:val="28"/>
        </w:rPr>
      </w:pPr>
      <w:bookmarkStart w:id="205" w:name="_Toc19729759"/>
      <w:r>
        <w:rPr>
          <w:rFonts w:ascii="Calibri" w:hAnsi="Calibri" w:eastAsia="宋体" w:cs="Times New Roman"/>
          <w:b/>
          <w:sz w:val="28"/>
          <w:szCs w:val="28"/>
        </w:rPr>
        <w:t>三、课程内容及要求</w:t>
      </w:r>
      <w:bookmarkEnd w:id="205"/>
    </w:p>
    <w:p w14:paraId="26102CA2">
      <w:pPr>
        <w:spacing w:line="360" w:lineRule="auto"/>
        <w:ind w:firstLine="482" w:firstLineChars="200"/>
        <w:rPr>
          <w:rFonts w:ascii="Calibri" w:hAnsi="Calibri" w:eastAsia="宋体" w:cs="Times New Roman"/>
          <w:b/>
          <w:sz w:val="24"/>
        </w:rPr>
      </w:pPr>
      <w:r>
        <w:rPr>
          <w:rFonts w:ascii="Calibri" w:hAnsi="Calibri" w:eastAsia="宋体" w:cs="Times New Roman"/>
          <w:b/>
          <w:sz w:val="24"/>
        </w:rPr>
        <w:t>（一）</w:t>
      </w:r>
      <w:r>
        <w:rPr>
          <w:rFonts w:ascii="Calibri" w:hAnsi="Calibri" w:eastAsia="宋体" w:cs="Times New Roman"/>
          <w:b/>
          <w:kern w:val="0"/>
          <w:sz w:val="24"/>
          <w:szCs w:val="21"/>
        </w:rPr>
        <w:t>函数</w:t>
      </w:r>
      <w:r>
        <w:rPr>
          <w:rFonts w:ascii="Calibri" w:hAnsi="Calibri" w:eastAsia="宋体" w:cs="Times New Roman"/>
          <w:b/>
          <w:sz w:val="24"/>
        </w:rPr>
        <w:t>（本模块各知识点的讲授与学习，可以支撑课程目标1）</w:t>
      </w:r>
    </w:p>
    <w:p w14:paraId="0B4F1C95">
      <w:pPr>
        <w:spacing w:line="360" w:lineRule="auto"/>
        <w:ind w:firstLine="482" w:firstLineChars="200"/>
        <w:rPr>
          <w:rFonts w:ascii="Calibri" w:hAnsi="Calibri" w:eastAsia="宋体" w:cs="Times New Roman"/>
          <w:b/>
          <w:sz w:val="24"/>
        </w:rPr>
      </w:pPr>
      <w:r>
        <w:rPr>
          <w:rFonts w:ascii="Calibri" w:hAnsi="Calibri" w:eastAsia="宋体" w:cs="Times New Roman"/>
          <w:b/>
          <w:sz w:val="24"/>
        </w:rPr>
        <w:t>1.教学内容</w:t>
      </w:r>
    </w:p>
    <w:p w14:paraId="5D026178">
      <w:pPr>
        <w:spacing w:line="360" w:lineRule="auto"/>
        <w:ind w:firstLine="480" w:firstLineChars="200"/>
        <w:rPr>
          <w:rFonts w:ascii="Calibri" w:hAnsi="Calibri" w:eastAsia="宋体" w:cs="Times New Roman"/>
          <w:sz w:val="24"/>
          <w:szCs w:val="21"/>
        </w:rPr>
      </w:pPr>
      <w:r>
        <w:rPr>
          <w:rFonts w:ascii="Calibri" w:hAnsi="Calibri" w:eastAsia="宋体" w:cs="Times New Roman"/>
          <w:sz w:val="24"/>
        </w:rPr>
        <w:t>（1）函</w:t>
      </w:r>
      <w:r>
        <w:rPr>
          <w:rFonts w:ascii="Calibri" w:hAnsi="Calibri" w:eastAsia="宋体" w:cs="Times New Roman"/>
          <w:sz w:val="24"/>
          <w:szCs w:val="21"/>
        </w:rPr>
        <w:t>数、初等函数概念</w:t>
      </w:r>
    </w:p>
    <w:p w14:paraId="12166A50">
      <w:pPr>
        <w:spacing w:line="360" w:lineRule="auto"/>
        <w:ind w:firstLine="480" w:firstLineChars="200"/>
        <w:rPr>
          <w:rFonts w:ascii="Calibri" w:hAnsi="Calibri" w:eastAsia="宋体" w:cs="Times New Roman"/>
          <w:sz w:val="24"/>
          <w:szCs w:val="21"/>
        </w:rPr>
      </w:pPr>
      <w:r>
        <w:rPr>
          <w:rFonts w:ascii="Calibri" w:hAnsi="Calibri" w:eastAsia="宋体" w:cs="Times New Roman"/>
          <w:sz w:val="24"/>
          <w:szCs w:val="21"/>
        </w:rPr>
        <w:t>（2）函数几种表示法</w:t>
      </w:r>
    </w:p>
    <w:p w14:paraId="3A65EF8C">
      <w:pPr>
        <w:spacing w:line="360" w:lineRule="auto"/>
        <w:ind w:firstLine="480" w:firstLineChars="200"/>
        <w:rPr>
          <w:rFonts w:ascii="Calibri" w:hAnsi="Calibri" w:eastAsia="宋体" w:cs="Times New Roman"/>
          <w:sz w:val="24"/>
        </w:rPr>
      </w:pPr>
      <w:r>
        <w:rPr>
          <w:rFonts w:ascii="Calibri" w:hAnsi="Calibri" w:eastAsia="宋体" w:cs="Times New Roman"/>
          <w:sz w:val="24"/>
        </w:rPr>
        <w:t>（3）</w:t>
      </w:r>
      <w:r>
        <w:rPr>
          <w:rFonts w:ascii="Calibri" w:hAnsi="Calibri" w:eastAsia="宋体" w:cs="Times New Roman"/>
          <w:sz w:val="24"/>
          <w:szCs w:val="21"/>
        </w:rPr>
        <w:t>四类具有特殊性质的函数</w:t>
      </w:r>
    </w:p>
    <w:p w14:paraId="1D1BCA7A">
      <w:pPr>
        <w:spacing w:line="360" w:lineRule="auto"/>
        <w:ind w:firstLine="480" w:firstLineChars="200"/>
        <w:rPr>
          <w:rFonts w:ascii="Calibri" w:hAnsi="Calibri" w:eastAsia="宋体" w:cs="Times New Roman"/>
          <w:sz w:val="24"/>
        </w:rPr>
      </w:pPr>
      <w:r>
        <w:rPr>
          <w:rFonts w:ascii="Calibri" w:hAnsi="Calibri" w:eastAsia="宋体" w:cs="Times New Roman"/>
          <w:sz w:val="24"/>
        </w:rPr>
        <w:t>（4）</w:t>
      </w:r>
      <w:r>
        <w:rPr>
          <w:rFonts w:ascii="Calibri" w:hAnsi="Calibri" w:eastAsia="宋体" w:cs="Times New Roman"/>
          <w:sz w:val="24"/>
          <w:szCs w:val="21"/>
        </w:rPr>
        <w:t>复合函数与反函数</w:t>
      </w:r>
    </w:p>
    <w:p w14:paraId="3ED69161">
      <w:pPr>
        <w:spacing w:line="360" w:lineRule="auto"/>
        <w:ind w:firstLine="482" w:firstLineChars="200"/>
        <w:rPr>
          <w:rFonts w:ascii="Calibri" w:hAnsi="Calibri" w:eastAsia="宋体" w:cs="Times New Roman"/>
          <w:b/>
          <w:sz w:val="24"/>
        </w:rPr>
      </w:pPr>
      <w:r>
        <w:rPr>
          <w:rFonts w:ascii="Calibri" w:hAnsi="Calibri" w:eastAsia="宋体" w:cs="Times New Roman"/>
          <w:b/>
          <w:sz w:val="24"/>
        </w:rPr>
        <w:t>2.基本要求</w:t>
      </w:r>
    </w:p>
    <w:p w14:paraId="28EBA47D">
      <w:pPr>
        <w:spacing w:line="360" w:lineRule="auto"/>
        <w:ind w:firstLine="480" w:firstLineChars="200"/>
        <w:rPr>
          <w:rFonts w:ascii="Calibri" w:hAnsi="Calibri" w:eastAsia="宋体" w:cs="Times New Roman"/>
          <w:sz w:val="24"/>
        </w:rPr>
      </w:pPr>
      <w:r>
        <w:rPr>
          <w:rFonts w:ascii="Calibri" w:hAnsi="Calibri" w:eastAsia="宋体" w:cs="Times New Roman"/>
          <w:sz w:val="24"/>
        </w:rPr>
        <w:t>（1）理解函数的定义</w:t>
      </w:r>
    </w:p>
    <w:p w14:paraId="416E214D">
      <w:pPr>
        <w:spacing w:line="360" w:lineRule="auto"/>
        <w:ind w:firstLine="480" w:firstLineChars="200"/>
        <w:rPr>
          <w:rFonts w:ascii="Calibri" w:hAnsi="Calibri" w:eastAsia="宋体" w:cs="Times New Roman"/>
          <w:sz w:val="24"/>
          <w:szCs w:val="21"/>
        </w:rPr>
      </w:pPr>
      <w:r>
        <w:rPr>
          <w:rFonts w:ascii="Calibri" w:hAnsi="Calibri" w:eastAsia="宋体" w:cs="Times New Roman"/>
          <w:sz w:val="24"/>
        </w:rPr>
        <w:t>（2）掌握</w:t>
      </w:r>
      <w:r>
        <w:rPr>
          <w:rFonts w:ascii="Calibri" w:hAnsi="Calibri" w:eastAsia="宋体" w:cs="Times New Roman"/>
          <w:sz w:val="24"/>
          <w:szCs w:val="21"/>
        </w:rPr>
        <w:t>复合函数概念</w:t>
      </w:r>
    </w:p>
    <w:p w14:paraId="2DCA0E05">
      <w:pPr>
        <w:spacing w:line="360" w:lineRule="auto"/>
        <w:ind w:firstLine="480" w:firstLineChars="200"/>
        <w:rPr>
          <w:rFonts w:ascii="Calibri" w:hAnsi="Calibri" w:eastAsia="宋体" w:cs="Times New Roman"/>
          <w:sz w:val="24"/>
        </w:rPr>
      </w:pPr>
      <w:r>
        <w:rPr>
          <w:rFonts w:ascii="Calibri" w:hAnsi="Calibri" w:eastAsia="宋体" w:cs="Times New Roman"/>
          <w:sz w:val="24"/>
        </w:rPr>
        <w:t>（3）会</w:t>
      </w:r>
      <w:r>
        <w:rPr>
          <w:rFonts w:ascii="Calibri" w:hAnsi="Calibri" w:eastAsia="宋体" w:cs="Times New Roman"/>
          <w:sz w:val="24"/>
          <w:szCs w:val="21"/>
        </w:rPr>
        <w:t>将复合函数分拆成简单函数</w:t>
      </w:r>
    </w:p>
    <w:p w14:paraId="2EC8CD9E">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教学重点：</w:t>
      </w:r>
      <w:r>
        <w:rPr>
          <w:rFonts w:ascii="Calibri" w:hAnsi="Calibri" w:eastAsia="宋体" w:cs="Times New Roman"/>
          <w:sz w:val="24"/>
          <w:szCs w:val="21"/>
        </w:rPr>
        <w:t>函数概念；复合函数概念，将复合函数分拆成简单函数</w:t>
      </w:r>
    </w:p>
    <w:p w14:paraId="1BF3AC9F">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教学难点：</w:t>
      </w:r>
      <w:r>
        <w:rPr>
          <w:rFonts w:ascii="Calibri" w:hAnsi="Calibri" w:eastAsia="宋体" w:cs="Times New Roman"/>
          <w:sz w:val="24"/>
          <w:szCs w:val="21"/>
        </w:rPr>
        <w:t>将复合函数分拆成简单函数</w:t>
      </w:r>
    </w:p>
    <w:p w14:paraId="1A402420">
      <w:pPr>
        <w:spacing w:line="360" w:lineRule="auto"/>
        <w:ind w:firstLine="482" w:firstLineChars="200"/>
        <w:rPr>
          <w:rFonts w:ascii="Calibri" w:hAnsi="Calibri" w:eastAsia="宋体" w:cs="Times New Roman"/>
          <w:b/>
          <w:sz w:val="24"/>
        </w:rPr>
      </w:pPr>
      <w:bookmarkStart w:id="206" w:name="_Toc19729760"/>
      <w:r>
        <w:rPr>
          <w:rFonts w:ascii="Calibri" w:hAnsi="Calibri" w:eastAsia="宋体" w:cs="Times New Roman"/>
          <w:b/>
          <w:sz w:val="24"/>
        </w:rPr>
        <w:t>（二）极限（本模块各知识点的讲授与学习，可以支撑课程目标1、课程目标2）</w:t>
      </w:r>
      <w:bookmarkEnd w:id="206"/>
    </w:p>
    <w:p w14:paraId="11985FD9">
      <w:pPr>
        <w:spacing w:line="360" w:lineRule="auto"/>
        <w:ind w:firstLine="482" w:firstLineChars="200"/>
        <w:rPr>
          <w:rFonts w:ascii="Calibri" w:hAnsi="Calibri" w:eastAsia="宋体" w:cs="Times New Roman"/>
          <w:b/>
          <w:sz w:val="24"/>
        </w:rPr>
      </w:pPr>
      <w:r>
        <w:rPr>
          <w:rFonts w:ascii="Calibri" w:hAnsi="Calibri" w:eastAsia="宋体" w:cs="Times New Roman"/>
          <w:b/>
          <w:sz w:val="24"/>
        </w:rPr>
        <w:t>1.教学内容</w:t>
      </w:r>
    </w:p>
    <w:p w14:paraId="60556193">
      <w:pPr>
        <w:spacing w:line="360" w:lineRule="auto"/>
        <w:ind w:firstLine="480" w:firstLineChars="200"/>
        <w:rPr>
          <w:rFonts w:ascii="Calibri" w:hAnsi="Calibri" w:eastAsia="宋体" w:cs="Times New Roman"/>
          <w:sz w:val="24"/>
        </w:rPr>
      </w:pPr>
      <w:r>
        <w:rPr>
          <w:rFonts w:ascii="Calibri" w:hAnsi="Calibri" w:eastAsia="宋体" w:cs="Times New Roman"/>
          <w:sz w:val="24"/>
        </w:rPr>
        <w:t>（1）数列的极限思想与定义</w:t>
      </w:r>
    </w:p>
    <w:p w14:paraId="0FDB8B68">
      <w:pPr>
        <w:spacing w:line="360" w:lineRule="auto"/>
        <w:ind w:firstLine="480" w:firstLineChars="200"/>
        <w:rPr>
          <w:rFonts w:ascii="Calibri" w:hAnsi="Calibri" w:eastAsia="宋体" w:cs="Times New Roman"/>
          <w:sz w:val="24"/>
        </w:rPr>
      </w:pPr>
      <w:r>
        <w:rPr>
          <w:rFonts w:ascii="Calibri" w:hAnsi="Calibri" w:eastAsia="宋体" w:cs="Times New Roman"/>
          <w:sz w:val="24"/>
        </w:rPr>
        <w:t>（2）收敛数列的四则运算、性质，数列极限存在准则</w:t>
      </w:r>
    </w:p>
    <w:p w14:paraId="4E52316F">
      <w:pPr>
        <w:spacing w:line="360" w:lineRule="auto"/>
        <w:ind w:firstLine="480" w:firstLineChars="200"/>
        <w:rPr>
          <w:rFonts w:ascii="Calibri" w:hAnsi="Calibri" w:eastAsia="宋体" w:cs="Times New Roman"/>
          <w:sz w:val="24"/>
        </w:rPr>
      </w:pPr>
      <w:r>
        <w:rPr>
          <w:rFonts w:ascii="Calibri" w:hAnsi="Calibri" w:eastAsia="宋体" w:cs="Times New Roman"/>
          <w:sz w:val="24"/>
        </w:rPr>
        <w:t>（3）函数极限定义</w:t>
      </w:r>
    </w:p>
    <w:p w14:paraId="7A85CEF4">
      <w:pPr>
        <w:spacing w:line="360" w:lineRule="auto"/>
        <w:ind w:firstLine="480" w:firstLineChars="200"/>
        <w:rPr>
          <w:rFonts w:ascii="Calibri" w:hAnsi="Calibri" w:eastAsia="宋体" w:cs="Times New Roman"/>
          <w:sz w:val="24"/>
        </w:rPr>
      </w:pPr>
      <w:r>
        <w:rPr>
          <w:rFonts w:ascii="Calibri" w:hAnsi="Calibri" w:eastAsia="宋体" w:cs="Times New Roman"/>
          <w:sz w:val="24"/>
        </w:rPr>
        <w:t>（4）无穷小与无穷大的概念及其相互关系</w:t>
      </w:r>
    </w:p>
    <w:p w14:paraId="4D14932C">
      <w:pPr>
        <w:spacing w:line="360" w:lineRule="auto"/>
        <w:ind w:firstLine="480" w:firstLineChars="200"/>
        <w:rPr>
          <w:rFonts w:ascii="Calibri" w:hAnsi="Calibri" w:eastAsia="宋体" w:cs="Times New Roman"/>
          <w:sz w:val="24"/>
        </w:rPr>
      </w:pPr>
      <w:r>
        <w:rPr>
          <w:rFonts w:ascii="Calibri" w:hAnsi="Calibri" w:eastAsia="宋体" w:cs="Times New Roman"/>
          <w:sz w:val="24"/>
        </w:rPr>
        <w:t>（5）两个重要极限</w:t>
      </w:r>
    </w:p>
    <w:p w14:paraId="682BBA9F">
      <w:pPr>
        <w:spacing w:line="360" w:lineRule="auto"/>
        <w:ind w:firstLine="480" w:firstLineChars="200"/>
        <w:rPr>
          <w:rFonts w:ascii="Calibri" w:hAnsi="Calibri" w:eastAsia="宋体" w:cs="Times New Roman"/>
          <w:sz w:val="24"/>
        </w:rPr>
      </w:pPr>
      <w:r>
        <w:rPr>
          <w:rFonts w:ascii="Calibri" w:hAnsi="Calibri" w:eastAsia="宋体" w:cs="Times New Roman"/>
          <w:sz w:val="24"/>
        </w:rPr>
        <w:t>（6）函数极限的定理</w:t>
      </w:r>
    </w:p>
    <w:p w14:paraId="6A11E960">
      <w:pPr>
        <w:spacing w:line="360" w:lineRule="auto"/>
        <w:ind w:firstLine="482" w:firstLineChars="200"/>
        <w:rPr>
          <w:rFonts w:ascii="Calibri" w:hAnsi="Calibri" w:eastAsia="宋体" w:cs="Times New Roman"/>
          <w:b/>
          <w:sz w:val="24"/>
        </w:rPr>
      </w:pPr>
      <w:r>
        <w:rPr>
          <w:rFonts w:ascii="Calibri" w:hAnsi="Calibri" w:eastAsia="宋体" w:cs="Times New Roman"/>
          <w:b/>
          <w:sz w:val="24"/>
        </w:rPr>
        <w:t>2.基本要求</w:t>
      </w:r>
    </w:p>
    <w:p w14:paraId="42FF394D">
      <w:pPr>
        <w:spacing w:line="360" w:lineRule="auto"/>
        <w:ind w:firstLine="480" w:firstLineChars="200"/>
        <w:rPr>
          <w:rFonts w:ascii="Calibri" w:hAnsi="Calibri" w:eastAsia="宋体" w:cs="Times New Roman"/>
          <w:sz w:val="24"/>
        </w:rPr>
      </w:pPr>
      <w:r>
        <w:rPr>
          <w:rFonts w:ascii="Calibri" w:hAnsi="Calibri" w:eastAsia="宋体" w:cs="Times New Roman"/>
          <w:sz w:val="24"/>
        </w:rPr>
        <w:t>（1）理解极限的概念</w:t>
      </w:r>
    </w:p>
    <w:p w14:paraId="4F657316">
      <w:pPr>
        <w:spacing w:line="360" w:lineRule="auto"/>
        <w:ind w:firstLine="480" w:firstLineChars="200"/>
        <w:rPr>
          <w:rFonts w:ascii="Calibri" w:hAnsi="Calibri" w:eastAsia="宋体" w:cs="Times New Roman"/>
          <w:sz w:val="24"/>
        </w:rPr>
      </w:pPr>
      <w:r>
        <w:rPr>
          <w:rFonts w:ascii="Calibri" w:hAnsi="Calibri" w:eastAsia="宋体" w:cs="Times New Roman"/>
          <w:sz w:val="24"/>
        </w:rPr>
        <w:t>（2）掌握极限的性质</w:t>
      </w:r>
    </w:p>
    <w:p w14:paraId="54A7F917">
      <w:pPr>
        <w:spacing w:line="360" w:lineRule="auto"/>
        <w:ind w:firstLine="480" w:firstLineChars="200"/>
        <w:rPr>
          <w:rFonts w:ascii="Calibri" w:hAnsi="Calibri" w:eastAsia="宋体" w:cs="Times New Roman"/>
          <w:sz w:val="24"/>
        </w:rPr>
      </w:pPr>
      <w:r>
        <w:rPr>
          <w:rFonts w:ascii="Calibri" w:hAnsi="Calibri" w:eastAsia="宋体" w:cs="Times New Roman"/>
          <w:sz w:val="24"/>
        </w:rPr>
        <w:t>（3）应用所学方法和公式计算极限</w:t>
      </w:r>
    </w:p>
    <w:p w14:paraId="5E014CB4">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教学重点：</w:t>
      </w:r>
      <w:r>
        <w:rPr>
          <w:rFonts w:ascii="Calibri" w:hAnsi="Calibri" w:eastAsia="宋体" w:cs="Times New Roman"/>
          <w:sz w:val="24"/>
        </w:rPr>
        <w:t>数列和函数极限的定义以及性质，函数极限存在判别法</w:t>
      </w:r>
    </w:p>
    <w:p w14:paraId="7BB0C4E6">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教学难点：</w:t>
      </w:r>
      <w:r>
        <w:rPr>
          <w:rFonts w:ascii="Calibri" w:hAnsi="Calibri" w:eastAsia="宋体" w:cs="Times New Roman"/>
          <w:sz w:val="24"/>
        </w:rPr>
        <w:t>应用所学方法和公式计算极限</w:t>
      </w:r>
    </w:p>
    <w:p w14:paraId="4F0BE87D">
      <w:pPr>
        <w:spacing w:line="360" w:lineRule="auto"/>
        <w:ind w:firstLine="482" w:firstLineChars="200"/>
        <w:rPr>
          <w:rFonts w:ascii="Calibri" w:hAnsi="Calibri" w:eastAsia="宋体" w:cs="Times New Roman"/>
          <w:b/>
          <w:sz w:val="24"/>
        </w:rPr>
      </w:pPr>
      <w:r>
        <w:rPr>
          <w:rFonts w:ascii="Calibri" w:hAnsi="Calibri" w:eastAsia="宋体" w:cs="Times New Roman"/>
          <w:b/>
          <w:sz w:val="24"/>
        </w:rPr>
        <w:t>（三）连续函数（本模块各知识点的讲授与学习，可以支撑课程目标1、课程目标2）</w:t>
      </w:r>
    </w:p>
    <w:p w14:paraId="411F2732">
      <w:pPr>
        <w:spacing w:line="360" w:lineRule="auto"/>
        <w:ind w:firstLine="482" w:firstLineChars="200"/>
        <w:rPr>
          <w:rFonts w:ascii="Calibri" w:hAnsi="Calibri" w:eastAsia="宋体" w:cs="Times New Roman"/>
          <w:b/>
          <w:sz w:val="24"/>
        </w:rPr>
      </w:pPr>
      <w:r>
        <w:rPr>
          <w:rFonts w:ascii="Calibri" w:hAnsi="Calibri" w:eastAsia="宋体" w:cs="Times New Roman"/>
          <w:b/>
          <w:sz w:val="24"/>
        </w:rPr>
        <w:t>1.教学内容</w:t>
      </w:r>
    </w:p>
    <w:p w14:paraId="52DCFCD3">
      <w:pPr>
        <w:spacing w:line="360" w:lineRule="auto"/>
        <w:ind w:firstLine="480" w:firstLineChars="200"/>
        <w:rPr>
          <w:rFonts w:ascii="Calibri" w:hAnsi="Calibri" w:eastAsia="宋体" w:cs="Times New Roman"/>
          <w:sz w:val="24"/>
        </w:rPr>
      </w:pPr>
      <w:r>
        <w:rPr>
          <w:rFonts w:ascii="Calibri" w:hAnsi="Calibri" w:eastAsia="宋体" w:cs="Times New Roman"/>
          <w:sz w:val="24"/>
        </w:rPr>
        <w:t>（1）连续函数的概念</w:t>
      </w:r>
    </w:p>
    <w:p w14:paraId="3D321C9A">
      <w:pPr>
        <w:spacing w:line="360" w:lineRule="auto"/>
        <w:ind w:firstLine="480" w:firstLineChars="200"/>
        <w:rPr>
          <w:rFonts w:ascii="Calibri" w:hAnsi="Calibri" w:eastAsia="宋体" w:cs="Times New Roman"/>
          <w:sz w:val="24"/>
        </w:rPr>
      </w:pPr>
      <w:r>
        <w:rPr>
          <w:rFonts w:ascii="Calibri" w:hAnsi="Calibri" w:eastAsia="宋体" w:cs="Times New Roman"/>
          <w:sz w:val="24"/>
        </w:rPr>
        <w:t>（2）函数间断点的分类</w:t>
      </w:r>
    </w:p>
    <w:p w14:paraId="3774CB74">
      <w:pPr>
        <w:spacing w:line="360" w:lineRule="auto"/>
        <w:ind w:firstLine="480" w:firstLineChars="200"/>
        <w:rPr>
          <w:rFonts w:ascii="Calibri" w:hAnsi="Calibri" w:eastAsia="宋体" w:cs="Times New Roman"/>
          <w:sz w:val="24"/>
        </w:rPr>
      </w:pPr>
      <w:r>
        <w:rPr>
          <w:rFonts w:ascii="Calibri" w:hAnsi="Calibri" w:eastAsia="宋体" w:cs="Times New Roman"/>
          <w:sz w:val="24"/>
        </w:rPr>
        <w:t>（3）连续函数的性质</w:t>
      </w:r>
    </w:p>
    <w:p w14:paraId="3AA4793E">
      <w:pPr>
        <w:spacing w:line="360" w:lineRule="auto"/>
        <w:ind w:firstLine="482" w:firstLineChars="200"/>
        <w:rPr>
          <w:rFonts w:ascii="Calibri" w:hAnsi="Calibri" w:eastAsia="宋体" w:cs="Times New Roman"/>
          <w:b/>
          <w:sz w:val="24"/>
        </w:rPr>
      </w:pPr>
      <w:r>
        <w:rPr>
          <w:rFonts w:ascii="Calibri" w:hAnsi="Calibri" w:eastAsia="宋体" w:cs="Times New Roman"/>
          <w:b/>
          <w:sz w:val="24"/>
        </w:rPr>
        <w:t>2.基本要求</w:t>
      </w:r>
    </w:p>
    <w:p w14:paraId="7294CA37">
      <w:pPr>
        <w:spacing w:line="360" w:lineRule="auto"/>
        <w:ind w:firstLine="480" w:firstLineChars="200"/>
        <w:rPr>
          <w:rFonts w:ascii="Calibri" w:hAnsi="Calibri" w:eastAsia="宋体" w:cs="Times New Roman"/>
          <w:sz w:val="24"/>
        </w:rPr>
      </w:pPr>
      <w:r>
        <w:rPr>
          <w:rFonts w:ascii="Calibri" w:hAnsi="Calibri" w:eastAsia="宋体" w:cs="Times New Roman"/>
          <w:sz w:val="24"/>
        </w:rPr>
        <w:t>（1）了解连续函数的概念</w:t>
      </w:r>
    </w:p>
    <w:p w14:paraId="228E30F8">
      <w:pPr>
        <w:spacing w:line="360" w:lineRule="auto"/>
        <w:ind w:firstLine="480" w:firstLineChars="200"/>
        <w:rPr>
          <w:rFonts w:ascii="Calibri" w:hAnsi="Calibri" w:eastAsia="宋体" w:cs="Times New Roman"/>
          <w:sz w:val="24"/>
        </w:rPr>
      </w:pPr>
      <w:r>
        <w:rPr>
          <w:rFonts w:ascii="Calibri" w:hAnsi="Calibri" w:eastAsia="宋体" w:cs="Times New Roman"/>
          <w:sz w:val="24"/>
        </w:rPr>
        <w:t>（2）会求函数的连续区间</w:t>
      </w:r>
    </w:p>
    <w:p w14:paraId="0B0D4194">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教学重点：</w:t>
      </w:r>
      <w:r>
        <w:rPr>
          <w:rFonts w:ascii="Calibri" w:hAnsi="Calibri" w:eastAsia="宋体" w:cs="Times New Roman"/>
          <w:sz w:val="24"/>
        </w:rPr>
        <w:t>闭区间上连续函数的性质</w:t>
      </w:r>
    </w:p>
    <w:p w14:paraId="2BD04774">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教学难点：</w:t>
      </w:r>
      <w:r>
        <w:rPr>
          <w:rFonts w:ascii="Calibri" w:hAnsi="Calibri" w:eastAsia="宋体" w:cs="Times New Roman"/>
          <w:sz w:val="24"/>
        </w:rPr>
        <w:t xml:space="preserve">闭区间上连续函数的性质 </w:t>
      </w:r>
    </w:p>
    <w:p w14:paraId="46E5C046">
      <w:pPr>
        <w:spacing w:line="360" w:lineRule="auto"/>
        <w:ind w:firstLine="482" w:firstLineChars="200"/>
        <w:rPr>
          <w:rFonts w:ascii="Calibri" w:hAnsi="Calibri" w:eastAsia="宋体" w:cs="Times New Roman"/>
          <w:b/>
          <w:sz w:val="24"/>
        </w:rPr>
      </w:pPr>
      <w:r>
        <w:rPr>
          <w:rFonts w:ascii="Calibri" w:hAnsi="Calibri" w:eastAsia="宋体" w:cs="Times New Roman"/>
          <w:b/>
          <w:sz w:val="24"/>
        </w:rPr>
        <w:t>（四）导数与微分（本模块各知识点的讲授与学习，可以支撑课程目标1、课程目标2）</w:t>
      </w:r>
    </w:p>
    <w:p w14:paraId="37D8FD1D">
      <w:pPr>
        <w:spacing w:line="360" w:lineRule="auto"/>
        <w:ind w:firstLine="482" w:firstLineChars="200"/>
        <w:rPr>
          <w:rFonts w:ascii="Calibri" w:hAnsi="Calibri" w:eastAsia="宋体" w:cs="Times New Roman"/>
          <w:b/>
          <w:sz w:val="24"/>
        </w:rPr>
      </w:pPr>
      <w:r>
        <w:rPr>
          <w:rFonts w:ascii="Calibri" w:hAnsi="Calibri" w:eastAsia="宋体" w:cs="Times New Roman"/>
          <w:b/>
          <w:sz w:val="24"/>
        </w:rPr>
        <w:t>1.教学内容</w:t>
      </w:r>
    </w:p>
    <w:p w14:paraId="6F20760E">
      <w:pPr>
        <w:spacing w:line="360" w:lineRule="auto"/>
        <w:ind w:firstLine="480" w:firstLineChars="200"/>
        <w:rPr>
          <w:rFonts w:ascii="Calibri" w:hAnsi="Calibri" w:eastAsia="宋体" w:cs="Times New Roman"/>
          <w:sz w:val="24"/>
        </w:rPr>
      </w:pPr>
      <w:r>
        <w:rPr>
          <w:rFonts w:ascii="Calibri" w:hAnsi="Calibri" w:eastAsia="宋体" w:cs="Times New Roman"/>
          <w:sz w:val="24"/>
        </w:rPr>
        <w:t>（1）导数的概念与几何意义</w:t>
      </w:r>
    </w:p>
    <w:p w14:paraId="56878622">
      <w:pPr>
        <w:spacing w:line="360" w:lineRule="auto"/>
        <w:ind w:firstLine="480" w:firstLineChars="200"/>
        <w:rPr>
          <w:rFonts w:ascii="Calibri" w:hAnsi="Calibri" w:eastAsia="宋体" w:cs="Times New Roman"/>
          <w:sz w:val="24"/>
        </w:rPr>
      </w:pPr>
      <w:r>
        <w:rPr>
          <w:rFonts w:ascii="Calibri" w:hAnsi="Calibri" w:eastAsia="宋体" w:cs="Times New Roman"/>
          <w:sz w:val="24"/>
        </w:rPr>
        <w:t>（2）可导性与连续性之间的关系</w:t>
      </w:r>
    </w:p>
    <w:p w14:paraId="685B02F8">
      <w:pPr>
        <w:spacing w:line="360" w:lineRule="auto"/>
        <w:ind w:firstLine="480" w:firstLineChars="200"/>
        <w:rPr>
          <w:rFonts w:ascii="Calibri" w:hAnsi="Calibri" w:eastAsia="宋体" w:cs="Times New Roman"/>
          <w:sz w:val="24"/>
        </w:rPr>
      </w:pPr>
      <w:r>
        <w:rPr>
          <w:rFonts w:ascii="Calibri" w:hAnsi="Calibri" w:eastAsia="宋体" w:cs="Times New Roman"/>
          <w:sz w:val="24"/>
        </w:rPr>
        <w:t>（3）求导法则与导数公式</w:t>
      </w:r>
    </w:p>
    <w:p w14:paraId="05C93054">
      <w:pPr>
        <w:spacing w:line="360" w:lineRule="auto"/>
        <w:ind w:firstLine="480" w:firstLineChars="200"/>
        <w:rPr>
          <w:rFonts w:ascii="Calibri" w:hAnsi="Calibri" w:eastAsia="宋体" w:cs="Times New Roman"/>
          <w:sz w:val="24"/>
        </w:rPr>
      </w:pPr>
      <w:r>
        <w:rPr>
          <w:rFonts w:ascii="Calibri" w:hAnsi="Calibri" w:eastAsia="宋体" w:cs="Times New Roman"/>
          <w:sz w:val="24"/>
        </w:rPr>
        <w:t>（4）微分概念与基本公式</w:t>
      </w:r>
    </w:p>
    <w:p w14:paraId="5C0F9F72">
      <w:pPr>
        <w:tabs>
          <w:tab w:val="left" w:pos="900"/>
        </w:tabs>
        <w:snapToGrid w:val="0"/>
        <w:spacing w:line="300" w:lineRule="auto"/>
        <w:ind w:firstLine="480" w:firstLineChars="200"/>
        <w:rPr>
          <w:rFonts w:ascii="Calibri" w:hAnsi="Calibri" w:eastAsia="宋体" w:cs="Times New Roman"/>
          <w:sz w:val="24"/>
        </w:rPr>
      </w:pPr>
      <w:r>
        <w:rPr>
          <w:rFonts w:ascii="Calibri" w:hAnsi="Calibri" w:eastAsia="宋体" w:cs="Times New Roman"/>
          <w:sz w:val="24"/>
        </w:rPr>
        <w:t>（5）</w:t>
      </w:r>
      <w:r>
        <w:rPr>
          <w:rFonts w:ascii="Calibri" w:hAnsi="Calibri" w:eastAsia="宋体" w:cs="Times New Roman"/>
          <w:kern w:val="10"/>
          <w:sz w:val="24"/>
        </w:rPr>
        <w:t>高阶导数与高阶微分</w:t>
      </w:r>
    </w:p>
    <w:p w14:paraId="5D7482AD">
      <w:pPr>
        <w:spacing w:line="360" w:lineRule="auto"/>
        <w:ind w:firstLine="482" w:firstLineChars="200"/>
        <w:rPr>
          <w:rFonts w:ascii="Calibri" w:hAnsi="Calibri" w:eastAsia="宋体" w:cs="Times New Roman"/>
          <w:b/>
          <w:sz w:val="24"/>
        </w:rPr>
      </w:pPr>
      <w:r>
        <w:rPr>
          <w:rFonts w:ascii="Calibri" w:hAnsi="Calibri" w:eastAsia="宋体" w:cs="Times New Roman"/>
          <w:b/>
          <w:sz w:val="24"/>
        </w:rPr>
        <w:t>2.基本要求</w:t>
      </w:r>
    </w:p>
    <w:p w14:paraId="65317EA7">
      <w:pPr>
        <w:spacing w:line="360" w:lineRule="auto"/>
        <w:ind w:firstLine="480" w:firstLineChars="200"/>
        <w:rPr>
          <w:rFonts w:ascii="Calibri" w:hAnsi="Calibri" w:eastAsia="宋体" w:cs="Times New Roman"/>
          <w:sz w:val="24"/>
        </w:rPr>
      </w:pPr>
      <w:r>
        <w:rPr>
          <w:rFonts w:ascii="Calibri" w:hAnsi="Calibri" w:eastAsia="宋体" w:cs="Times New Roman"/>
          <w:sz w:val="24"/>
        </w:rPr>
        <w:t>（1）掌握函数的求导概念</w:t>
      </w:r>
    </w:p>
    <w:p w14:paraId="26C76CDD">
      <w:pPr>
        <w:spacing w:line="360" w:lineRule="auto"/>
        <w:ind w:firstLine="480" w:firstLineChars="200"/>
        <w:rPr>
          <w:rFonts w:ascii="Calibri" w:hAnsi="Calibri" w:eastAsia="宋体" w:cs="Times New Roman"/>
          <w:sz w:val="24"/>
        </w:rPr>
      </w:pPr>
      <w:r>
        <w:rPr>
          <w:rFonts w:ascii="Calibri" w:hAnsi="Calibri" w:eastAsia="宋体" w:cs="Times New Roman"/>
          <w:sz w:val="24"/>
        </w:rPr>
        <w:t>（2）运用相关公式计算函数的导数</w:t>
      </w:r>
    </w:p>
    <w:p w14:paraId="7EE52AEB">
      <w:pPr>
        <w:spacing w:line="360" w:lineRule="auto"/>
        <w:ind w:firstLine="480" w:firstLineChars="200"/>
        <w:rPr>
          <w:rFonts w:ascii="Calibri" w:hAnsi="Calibri" w:eastAsia="宋体" w:cs="Times New Roman"/>
          <w:sz w:val="24"/>
        </w:rPr>
      </w:pPr>
      <w:r>
        <w:rPr>
          <w:rFonts w:ascii="Calibri" w:hAnsi="Calibri" w:eastAsia="宋体" w:cs="Times New Roman"/>
          <w:sz w:val="24"/>
        </w:rPr>
        <w:t>（</w:t>
      </w:r>
      <w:r>
        <w:rPr>
          <w:rFonts w:hint="eastAsia" w:ascii="Calibri" w:hAnsi="Calibri" w:eastAsia="宋体" w:cs="Times New Roman"/>
          <w:sz w:val="24"/>
        </w:rPr>
        <w:t>3</w:t>
      </w:r>
      <w:r>
        <w:rPr>
          <w:rFonts w:ascii="Calibri" w:hAnsi="Calibri" w:eastAsia="宋体" w:cs="Times New Roman"/>
          <w:sz w:val="24"/>
        </w:rPr>
        <w:t>）运用</w:t>
      </w:r>
      <w:r>
        <w:rPr>
          <w:rFonts w:hint="eastAsia" w:ascii="Calibri" w:hAnsi="Calibri" w:eastAsia="宋体" w:cs="Times New Roman"/>
          <w:sz w:val="24"/>
        </w:rPr>
        <w:t>对数求导法，求隐</w:t>
      </w:r>
      <w:r>
        <w:rPr>
          <w:rFonts w:ascii="Calibri" w:hAnsi="Calibri" w:eastAsia="宋体" w:cs="Times New Roman"/>
          <w:sz w:val="24"/>
        </w:rPr>
        <w:t>函数</w:t>
      </w:r>
      <w:r>
        <w:rPr>
          <w:rFonts w:hint="eastAsia" w:ascii="Calibri" w:hAnsi="Calibri" w:eastAsia="宋体" w:cs="Times New Roman"/>
          <w:sz w:val="24"/>
        </w:rPr>
        <w:t>的导数</w:t>
      </w:r>
    </w:p>
    <w:p w14:paraId="6229BEEC">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教学重点：</w:t>
      </w:r>
      <w:r>
        <w:rPr>
          <w:rFonts w:ascii="Calibri" w:hAnsi="Calibri" w:eastAsia="宋体" w:cs="Times New Roman"/>
          <w:kern w:val="10"/>
          <w:sz w:val="24"/>
        </w:rPr>
        <w:t>导数的概念，导数的四则运算及复合函数求导数法，微分概念</w:t>
      </w:r>
    </w:p>
    <w:p w14:paraId="664C3FA2">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教学难点：</w:t>
      </w:r>
      <w:r>
        <w:rPr>
          <w:rFonts w:ascii="Calibri" w:hAnsi="Calibri" w:eastAsia="宋体" w:cs="Times New Roman"/>
          <w:sz w:val="24"/>
        </w:rPr>
        <w:t xml:space="preserve">运用相关公式计算复合函数的导数 </w:t>
      </w:r>
    </w:p>
    <w:p w14:paraId="73F83B4E">
      <w:pPr>
        <w:spacing w:line="360" w:lineRule="auto"/>
        <w:ind w:firstLine="482" w:firstLineChars="200"/>
        <w:rPr>
          <w:rFonts w:ascii="Calibri" w:hAnsi="Calibri" w:eastAsia="宋体" w:cs="Times New Roman"/>
          <w:b/>
          <w:sz w:val="24"/>
        </w:rPr>
      </w:pPr>
      <w:r>
        <w:rPr>
          <w:rFonts w:ascii="Calibri" w:hAnsi="Calibri" w:eastAsia="宋体" w:cs="Times New Roman"/>
          <w:b/>
          <w:sz w:val="24"/>
        </w:rPr>
        <w:t>（五）微积分基本定理及应用（本模块各知识点的讲授与学习，可以支撑课程目标1、课程目标2）</w:t>
      </w:r>
    </w:p>
    <w:p w14:paraId="7B10FFE5">
      <w:pPr>
        <w:spacing w:line="360" w:lineRule="auto"/>
        <w:ind w:firstLine="482" w:firstLineChars="200"/>
        <w:rPr>
          <w:rFonts w:ascii="Calibri" w:hAnsi="Calibri" w:eastAsia="宋体" w:cs="Times New Roman"/>
          <w:b/>
          <w:sz w:val="24"/>
        </w:rPr>
      </w:pPr>
      <w:r>
        <w:rPr>
          <w:rFonts w:ascii="Calibri" w:hAnsi="Calibri" w:eastAsia="宋体" w:cs="Times New Roman"/>
          <w:b/>
          <w:sz w:val="24"/>
        </w:rPr>
        <w:t>1.教学内容</w:t>
      </w:r>
    </w:p>
    <w:p w14:paraId="35BF8CDE">
      <w:pPr>
        <w:spacing w:line="360" w:lineRule="auto"/>
        <w:ind w:firstLine="480" w:firstLineChars="200"/>
        <w:rPr>
          <w:rFonts w:ascii="Calibri" w:hAnsi="Calibri" w:eastAsia="宋体" w:cs="Times New Roman"/>
          <w:sz w:val="24"/>
        </w:rPr>
      </w:pPr>
      <w:r>
        <w:rPr>
          <w:rFonts w:ascii="Calibri" w:hAnsi="Calibri" w:eastAsia="宋体" w:cs="Times New Roman"/>
          <w:sz w:val="24"/>
        </w:rPr>
        <w:t>（1）三大</w:t>
      </w:r>
      <w:r>
        <w:rPr>
          <w:rFonts w:ascii="Calibri" w:hAnsi="Calibri" w:eastAsia="宋体" w:cs="Times New Roman"/>
          <w:kern w:val="10"/>
          <w:sz w:val="24"/>
        </w:rPr>
        <w:t>中值定理</w:t>
      </w:r>
    </w:p>
    <w:p w14:paraId="0FA5E07A">
      <w:pPr>
        <w:spacing w:line="360" w:lineRule="auto"/>
        <w:ind w:firstLine="480" w:firstLineChars="200"/>
        <w:rPr>
          <w:rFonts w:ascii="Calibri" w:hAnsi="Calibri" w:eastAsia="宋体" w:cs="Times New Roman"/>
          <w:sz w:val="24"/>
        </w:rPr>
      </w:pPr>
      <w:r>
        <w:rPr>
          <w:rFonts w:ascii="Calibri" w:hAnsi="Calibri" w:eastAsia="宋体" w:cs="Times New Roman"/>
          <w:sz w:val="24"/>
        </w:rPr>
        <w:t>（2）</w:t>
      </w:r>
      <w:r>
        <w:rPr>
          <w:rFonts w:ascii="Calibri" w:hAnsi="Calibri" w:eastAsia="宋体" w:cs="Times New Roman"/>
          <w:kern w:val="10"/>
          <w:sz w:val="24"/>
        </w:rPr>
        <w:t>洛必达法则</w:t>
      </w:r>
    </w:p>
    <w:p w14:paraId="1F189370">
      <w:pPr>
        <w:spacing w:line="360" w:lineRule="auto"/>
        <w:ind w:firstLine="480" w:firstLineChars="200"/>
        <w:rPr>
          <w:rFonts w:ascii="Calibri" w:hAnsi="Calibri" w:eastAsia="宋体" w:cs="Times New Roman"/>
          <w:sz w:val="24"/>
        </w:rPr>
      </w:pPr>
      <w:r>
        <w:rPr>
          <w:rFonts w:ascii="Calibri" w:hAnsi="Calibri" w:eastAsia="宋体" w:cs="Times New Roman"/>
          <w:sz w:val="24"/>
        </w:rPr>
        <w:t>（3）</w:t>
      </w:r>
      <w:r>
        <w:rPr>
          <w:rFonts w:ascii="Calibri" w:hAnsi="Calibri" w:eastAsia="宋体" w:cs="Times New Roman"/>
          <w:kern w:val="10"/>
          <w:sz w:val="24"/>
        </w:rPr>
        <w:t>导数</w:t>
      </w:r>
      <w:r>
        <w:rPr>
          <w:rFonts w:hint="eastAsia" w:ascii="Calibri" w:hAnsi="Calibri" w:eastAsia="宋体" w:cs="Times New Roman"/>
          <w:kern w:val="10"/>
          <w:sz w:val="24"/>
        </w:rPr>
        <w:t>与</w:t>
      </w:r>
      <w:r>
        <w:rPr>
          <w:rFonts w:ascii="Calibri" w:hAnsi="Calibri" w:eastAsia="宋体" w:cs="Times New Roman"/>
          <w:kern w:val="10"/>
          <w:sz w:val="24"/>
        </w:rPr>
        <w:t>函数</w:t>
      </w:r>
    </w:p>
    <w:p w14:paraId="7E916FE0">
      <w:pPr>
        <w:spacing w:line="360" w:lineRule="auto"/>
        <w:ind w:firstLine="482" w:firstLineChars="200"/>
        <w:rPr>
          <w:rFonts w:ascii="Calibri" w:hAnsi="Calibri" w:eastAsia="宋体" w:cs="Times New Roman"/>
          <w:b/>
          <w:sz w:val="24"/>
        </w:rPr>
      </w:pPr>
      <w:r>
        <w:rPr>
          <w:rFonts w:ascii="Calibri" w:hAnsi="Calibri" w:eastAsia="宋体" w:cs="Times New Roman"/>
          <w:b/>
          <w:sz w:val="24"/>
        </w:rPr>
        <w:t>2.基本要求</w:t>
      </w:r>
    </w:p>
    <w:p w14:paraId="3B3B7D43">
      <w:pPr>
        <w:spacing w:line="360" w:lineRule="auto"/>
        <w:ind w:firstLine="480" w:firstLineChars="200"/>
        <w:rPr>
          <w:rFonts w:ascii="Calibri" w:hAnsi="Calibri" w:eastAsia="宋体" w:cs="Times New Roman"/>
          <w:sz w:val="24"/>
        </w:rPr>
      </w:pPr>
      <w:r>
        <w:rPr>
          <w:rFonts w:ascii="Calibri" w:hAnsi="Calibri" w:eastAsia="宋体" w:cs="Times New Roman"/>
          <w:sz w:val="24"/>
        </w:rPr>
        <w:t>（1）</w:t>
      </w:r>
      <w:r>
        <w:rPr>
          <w:rFonts w:ascii="Calibri" w:hAnsi="Calibri" w:eastAsia="宋体" w:cs="Times New Roman"/>
          <w:sz w:val="24"/>
          <w:szCs w:val="21"/>
        </w:rPr>
        <w:t>理解</w:t>
      </w:r>
      <w:r>
        <w:rPr>
          <w:rFonts w:ascii="Calibri" w:hAnsi="Calibri" w:eastAsia="宋体" w:cs="Times New Roman"/>
          <w:sz w:val="24"/>
        </w:rPr>
        <w:t>三大</w:t>
      </w:r>
      <w:r>
        <w:rPr>
          <w:rFonts w:ascii="Calibri" w:hAnsi="Calibri" w:eastAsia="宋体" w:cs="Times New Roman"/>
          <w:kern w:val="10"/>
          <w:sz w:val="24"/>
        </w:rPr>
        <w:t>中值定理及其应用</w:t>
      </w:r>
    </w:p>
    <w:p w14:paraId="57AC207A">
      <w:pPr>
        <w:spacing w:line="360" w:lineRule="auto"/>
        <w:ind w:firstLine="480" w:firstLineChars="200"/>
        <w:rPr>
          <w:rFonts w:ascii="Calibri" w:hAnsi="Calibri" w:eastAsia="宋体" w:cs="Times New Roman"/>
          <w:kern w:val="10"/>
          <w:sz w:val="24"/>
        </w:rPr>
      </w:pPr>
      <w:r>
        <w:rPr>
          <w:rFonts w:ascii="Calibri" w:hAnsi="Calibri" w:eastAsia="宋体" w:cs="Times New Roman"/>
          <w:sz w:val="24"/>
        </w:rPr>
        <w:t>（2）掌握</w:t>
      </w:r>
      <w:r>
        <w:rPr>
          <w:rFonts w:ascii="Calibri" w:hAnsi="Calibri" w:eastAsia="宋体" w:cs="Times New Roman"/>
          <w:kern w:val="10"/>
          <w:sz w:val="24"/>
        </w:rPr>
        <w:t>导数研究函数性态的方法</w:t>
      </w:r>
    </w:p>
    <w:p w14:paraId="3339A2D1">
      <w:pPr>
        <w:spacing w:line="360" w:lineRule="auto"/>
        <w:ind w:firstLine="480" w:firstLineChars="200"/>
        <w:rPr>
          <w:rFonts w:ascii="Calibri" w:hAnsi="Calibri" w:eastAsia="宋体" w:cs="Times New Roman"/>
          <w:kern w:val="10"/>
          <w:sz w:val="24"/>
        </w:rPr>
      </w:pPr>
      <w:r>
        <w:rPr>
          <w:rFonts w:hint="eastAsia" w:ascii="Calibri" w:hAnsi="Calibri" w:eastAsia="宋体" w:cs="Times New Roman"/>
          <w:kern w:val="10"/>
          <w:sz w:val="24"/>
        </w:rPr>
        <w:t>（3）利用中值定理，证明不等式或恒等式问题</w:t>
      </w:r>
    </w:p>
    <w:p w14:paraId="70CB2C4F">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教学重点：</w:t>
      </w:r>
      <w:r>
        <w:rPr>
          <w:rFonts w:ascii="Calibri" w:hAnsi="Calibri" w:eastAsia="宋体" w:cs="Times New Roman"/>
          <w:kern w:val="10"/>
          <w:sz w:val="24"/>
        </w:rPr>
        <w:t>拉格朗日定理，洛必达法则，极值的求法</w:t>
      </w:r>
    </w:p>
    <w:p w14:paraId="76D111F2">
      <w:pPr>
        <w:spacing w:line="360" w:lineRule="auto"/>
        <w:ind w:firstLine="482" w:firstLineChars="200"/>
        <w:rPr>
          <w:rFonts w:ascii="Calibri" w:hAnsi="Calibri" w:eastAsia="宋体" w:cs="Times New Roman"/>
          <w:sz w:val="24"/>
        </w:rPr>
      </w:pPr>
      <w:r>
        <w:rPr>
          <w:rFonts w:ascii="Calibri" w:hAnsi="Calibri" w:eastAsia="宋体" w:cs="Times New Roman"/>
          <w:b/>
          <w:sz w:val="24"/>
        </w:rPr>
        <w:t>教学难点：</w:t>
      </w:r>
      <w:r>
        <w:rPr>
          <w:rFonts w:ascii="Calibri" w:hAnsi="Calibri" w:eastAsia="宋体" w:cs="Times New Roman"/>
          <w:sz w:val="24"/>
        </w:rPr>
        <w:t>运用</w:t>
      </w:r>
      <w:r>
        <w:rPr>
          <w:rFonts w:ascii="Calibri" w:hAnsi="Calibri" w:eastAsia="宋体" w:cs="Times New Roman"/>
          <w:kern w:val="10"/>
          <w:sz w:val="24"/>
        </w:rPr>
        <w:t>导数研究函数单调性、凹凸性</w:t>
      </w:r>
    </w:p>
    <w:p w14:paraId="6CBDB8B8">
      <w:pPr>
        <w:spacing w:line="360" w:lineRule="auto"/>
        <w:ind w:firstLine="482" w:firstLineChars="200"/>
        <w:rPr>
          <w:rFonts w:ascii="Calibri" w:hAnsi="Calibri" w:eastAsia="宋体" w:cs="Times New Roman"/>
          <w:b/>
          <w:sz w:val="24"/>
        </w:rPr>
      </w:pPr>
      <w:r>
        <w:rPr>
          <w:rFonts w:ascii="Calibri" w:hAnsi="Calibri" w:eastAsia="宋体" w:cs="Times New Roman"/>
          <w:b/>
          <w:sz w:val="24"/>
        </w:rPr>
        <w:t>教学内容与课程目标的对应关系及学时分配如表所示：</w:t>
      </w:r>
    </w:p>
    <w:tbl>
      <w:tblPr>
        <w:tblStyle w:val="30"/>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03"/>
        <w:gridCol w:w="1775"/>
        <w:gridCol w:w="1722"/>
        <w:gridCol w:w="11"/>
        <w:gridCol w:w="687"/>
        <w:gridCol w:w="696"/>
      </w:tblGrid>
      <w:tr w14:paraId="6002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4" w:type="dxa"/>
            <w:shd w:val="clear" w:color="auto" w:fill="FFFFFF"/>
            <w:vAlign w:val="center"/>
          </w:tcPr>
          <w:p w14:paraId="116FDF67">
            <w:pPr>
              <w:spacing w:line="276" w:lineRule="auto"/>
              <w:jc w:val="center"/>
              <w:rPr>
                <w:rFonts w:ascii="宋体" w:hAnsi="宋体" w:eastAsia="宋体" w:cs="Times New Roman"/>
                <w:b/>
                <w:szCs w:val="21"/>
              </w:rPr>
            </w:pPr>
            <w:r>
              <w:rPr>
                <w:rFonts w:ascii="宋体" w:hAnsi="宋体" w:eastAsia="宋体" w:cs="Times New Roman"/>
                <w:b/>
                <w:szCs w:val="21"/>
              </w:rPr>
              <w:t>序号</w:t>
            </w:r>
          </w:p>
        </w:tc>
        <w:tc>
          <w:tcPr>
            <w:tcW w:w="2703" w:type="dxa"/>
            <w:shd w:val="clear" w:color="auto" w:fill="FFFFFF"/>
            <w:vAlign w:val="center"/>
          </w:tcPr>
          <w:p w14:paraId="71652F15">
            <w:pPr>
              <w:spacing w:line="276" w:lineRule="auto"/>
              <w:jc w:val="center"/>
              <w:rPr>
                <w:rFonts w:ascii="宋体" w:hAnsi="宋体" w:eastAsia="宋体" w:cs="Times New Roman"/>
                <w:b/>
                <w:szCs w:val="21"/>
              </w:rPr>
            </w:pPr>
            <w:r>
              <w:rPr>
                <w:rFonts w:ascii="宋体" w:hAnsi="宋体" w:eastAsia="宋体" w:cs="Times New Roman"/>
                <w:b/>
                <w:szCs w:val="21"/>
              </w:rPr>
              <w:t>教学内容</w:t>
            </w:r>
          </w:p>
        </w:tc>
        <w:tc>
          <w:tcPr>
            <w:tcW w:w="1775" w:type="dxa"/>
            <w:shd w:val="clear" w:color="auto" w:fill="FFFFFF"/>
            <w:vAlign w:val="center"/>
          </w:tcPr>
          <w:p w14:paraId="48BEF1F4">
            <w:pPr>
              <w:spacing w:line="276" w:lineRule="auto"/>
              <w:jc w:val="center"/>
              <w:rPr>
                <w:rFonts w:ascii="宋体" w:hAnsi="宋体" w:eastAsia="宋体" w:cs="Times New Roman"/>
                <w:b/>
                <w:szCs w:val="21"/>
              </w:rPr>
            </w:pPr>
            <w:r>
              <w:rPr>
                <w:rFonts w:ascii="宋体" w:hAnsi="宋体" w:eastAsia="宋体" w:cs="Times New Roman"/>
                <w:b/>
                <w:szCs w:val="21"/>
              </w:rPr>
              <w:t>支撑的课程目标</w:t>
            </w:r>
          </w:p>
        </w:tc>
        <w:tc>
          <w:tcPr>
            <w:tcW w:w="1722" w:type="dxa"/>
            <w:shd w:val="clear" w:color="auto" w:fill="FFFFFF"/>
            <w:vAlign w:val="center"/>
          </w:tcPr>
          <w:p w14:paraId="22D8BCD7">
            <w:pPr>
              <w:spacing w:line="276" w:lineRule="auto"/>
              <w:jc w:val="center"/>
              <w:rPr>
                <w:rFonts w:ascii="宋体" w:hAnsi="宋体" w:eastAsia="宋体" w:cs="Times New Roman"/>
                <w:b/>
                <w:szCs w:val="21"/>
              </w:rPr>
            </w:pPr>
            <w:r>
              <w:rPr>
                <w:rFonts w:ascii="宋体" w:hAnsi="宋体" w:eastAsia="宋体" w:cs="Times New Roman"/>
                <w:b/>
                <w:szCs w:val="21"/>
              </w:rPr>
              <w:t>支撑的毕业要求指标点</w:t>
            </w:r>
          </w:p>
        </w:tc>
        <w:tc>
          <w:tcPr>
            <w:tcW w:w="698" w:type="dxa"/>
            <w:gridSpan w:val="2"/>
            <w:shd w:val="clear" w:color="auto" w:fill="FFFFFF"/>
            <w:vAlign w:val="center"/>
          </w:tcPr>
          <w:p w14:paraId="2421F674">
            <w:pPr>
              <w:spacing w:line="276" w:lineRule="auto"/>
              <w:jc w:val="center"/>
              <w:rPr>
                <w:rFonts w:ascii="宋体" w:hAnsi="宋体" w:eastAsia="宋体" w:cs="Times New Roman"/>
                <w:b/>
                <w:szCs w:val="21"/>
              </w:rPr>
            </w:pPr>
            <w:r>
              <w:rPr>
                <w:rFonts w:ascii="宋体" w:hAnsi="宋体" w:eastAsia="宋体" w:cs="Times New Roman"/>
                <w:b/>
                <w:szCs w:val="21"/>
              </w:rPr>
              <w:t>讲授学时</w:t>
            </w:r>
          </w:p>
        </w:tc>
        <w:tc>
          <w:tcPr>
            <w:tcW w:w="696" w:type="dxa"/>
            <w:shd w:val="clear" w:color="auto" w:fill="FFFFFF"/>
            <w:vAlign w:val="center"/>
          </w:tcPr>
          <w:p w14:paraId="7431044B">
            <w:pPr>
              <w:spacing w:line="276" w:lineRule="auto"/>
              <w:jc w:val="center"/>
              <w:rPr>
                <w:rFonts w:ascii="宋体" w:hAnsi="宋体" w:eastAsia="宋体" w:cs="Times New Roman"/>
                <w:b/>
                <w:szCs w:val="21"/>
              </w:rPr>
            </w:pPr>
            <w:r>
              <w:rPr>
                <w:rFonts w:ascii="宋体" w:hAnsi="宋体" w:eastAsia="宋体" w:cs="Times New Roman"/>
                <w:b/>
                <w:szCs w:val="21"/>
              </w:rPr>
              <w:t>实验</w:t>
            </w:r>
          </w:p>
          <w:p w14:paraId="6B7FA9B2">
            <w:pPr>
              <w:spacing w:line="276" w:lineRule="auto"/>
              <w:jc w:val="center"/>
              <w:rPr>
                <w:rFonts w:ascii="宋体" w:hAnsi="宋体" w:eastAsia="宋体" w:cs="Times New Roman"/>
                <w:b/>
                <w:szCs w:val="21"/>
              </w:rPr>
            </w:pPr>
            <w:r>
              <w:rPr>
                <w:rFonts w:ascii="宋体" w:hAnsi="宋体" w:eastAsia="宋体" w:cs="Times New Roman"/>
                <w:b/>
                <w:szCs w:val="21"/>
              </w:rPr>
              <w:t>学时</w:t>
            </w:r>
          </w:p>
        </w:tc>
      </w:tr>
      <w:tr w14:paraId="602F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64" w:type="dxa"/>
            <w:shd w:val="clear" w:color="auto" w:fill="FFFFFF"/>
            <w:vAlign w:val="center"/>
          </w:tcPr>
          <w:p w14:paraId="6EF99CB0">
            <w:pPr>
              <w:spacing w:line="276" w:lineRule="auto"/>
              <w:jc w:val="center"/>
              <w:rPr>
                <w:rFonts w:ascii="宋体" w:hAnsi="宋体" w:eastAsia="宋体" w:cs="Times New Roman"/>
                <w:szCs w:val="21"/>
              </w:rPr>
            </w:pPr>
            <w:r>
              <w:rPr>
                <w:rFonts w:ascii="宋体" w:hAnsi="宋体" w:eastAsia="宋体" w:cs="Times New Roman"/>
                <w:szCs w:val="21"/>
              </w:rPr>
              <w:t>1</w:t>
            </w:r>
          </w:p>
        </w:tc>
        <w:tc>
          <w:tcPr>
            <w:tcW w:w="2703" w:type="dxa"/>
            <w:shd w:val="clear" w:color="auto" w:fill="FFFFFF"/>
            <w:vAlign w:val="center"/>
          </w:tcPr>
          <w:p w14:paraId="40B27DA4">
            <w:pPr>
              <w:spacing w:line="276" w:lineRule="auto"/>
              <w:jc w:val="center"/>
              <w:rPr>
                <w:rFonts w:ascii="宋体" w:hAnsi="宋体" w:eastAsia="宋体" w:cs="Times New Roman"/>
                <w:kern w:val="0"/>
                <w:szCs w:val="21"/>
              </w:rPr>
            </w:pPr>
            <w:r>
              <w:rPr>
                <w:rFonts w:ascii="宋体" w:hAnsi="宋体" w:eastAsia="宋体" w:cs="Times New Roman"/>
                <w:szCs w:val="21"/>
              </w:rPr>
              <w:t>函数</w:t>
            </w:r>
          </w:p>
        </w:tc>
        <w:tc>
          <w:tcPr>
            <w:tcW w:w="1775" w:type="dxa"/>
            <w:shd w:val="clear" w:color="auto" w:fill="FFFFFF"/>
            <w:vAlign w:val="center"/>
          </w:tcPr>
          <w:p w14:paraId="37A2F227">
            <w:pPr>
              <w:spacing w:line="276" w:lineRule="auto"/>
              <w:jc w:val="center"/>
              <w:rPr>
                <w:rFonts w:ascii="宋体" w:hAnsi="宋体" w:eastAsia="宋体" w:cs="Times New Roman"/>
                <w:szCs w:val="21"/>
              </w:rPr>
            </w:pPr>
            <w:r>
              <w:rPr>
                <w:rFonts w:ascii="宋体" w:hAnsi="宋体" w:eastAsia="宋体" w:cs="Times New Roman"/>
                <w:kern w:val="0"/>
                <w:szCs w:val="21"/>
              </w:rPr>
              <w:t>目标</w:t>
            </w:r>
            <w:r>
              <w:rPr>
                <w:rFonts w:hint="eastAsia" w:ascii="宋体" w:hAnsi="宋体" w:eastAsia="宋体" w:cs="Times New Roman"/>
                <w:kern w:val="0"/>
                <w:szCs w:val="21"/>
              </w:rPr>
              <w:t>1</w:t>
            </w:r>
          </w:p>
        </w:tc>
        <w:tc>
          <w:tcPr>
            <w:tcW w:w="1722" w:type="dxa"/>
            <w:shd w:val="clear" w:color="auto" w:fill="FFFFFF"/>
            <w:vAlign w:val="center"/>
          </w:tcPr>
          <w:p w14:paraId="57E0FFDC">
            <w:pPr>
              <w:spacing w:line="276" w:lineRule="auto"/>
              <w:jc w:val="center"/>
              <w:rPr>
                <w:rFonts w:ascii="宋体" w:hAnsi="宋体" w:eastAsia="宋体" w:cs="Times New Roman"/>
                <w:szCs w:val="21"/>
              </w:rPr>
            </w:pPr>
            <w:r>
              <w:rPr>
                <w:rFonts w:ascii="宋体" w:hAnsi="宋体" w:eastAsia="宋体" w:cs="Times New Roman"/>
                <w:kern w:val="0"/>
                <w:szCs w:val="21"/>
              </w:rPr>
              <w:t>3-1</w:t>
            </w:r>
          </w:p>
        </w:tc>
        <w:tc>
          <w:tcPr>
            <w:tcW w:w="698" w:type="dxa"/>
            <w:gridSpan w:val="2"/>
            <w:shd w:val="clear" w:color="auto" w:fill="FFFFFF"/>
            <w:vAlign w:val="center"/>
          </w:tcPr>
          <w:p w14:paraId="5D971AF4">
            <w:pPr>
              <w:spacing w:line="276" w:lineRule="auto"/>
              <w:jc w:val="center"/>
              <w:rPr>
                <w:rFonts w:ascii="宋体" w:hAnsi="宋体" w:eastAsia="宋体" w:cs="Times New Roman"/>
                <w:szCs w:val="21"/>
              </w:rPr>
            </w:pPr>
            <w:r>
              <w:rPr>
                <w:rFonts w:ascii="宋体" w:hAnsi="宋体" w:eastAsia="宋体" w:cs="Times New Roman"/>
                <w:szCs w:val="21"/>
              </w:rPr>
              <w:t>6</w:t>
            </w:r>
          </w:p>
        </w:tc>
        <w:tc>
          <w:tcPr>
            <w:tcW w:w="696" w:type="dxa"/>
            <w:shd w:val="clear" w:color="auto" w:fill="FFFFFF"/>
            <w:vAlign w:val="center"/>
          </w:tcPr>
          <w:p w14:paraId="465B7481">
            <w:pPr>
              <w:spacing w:line="276" w:lineRule="auto"/>
              <w:jc w:val="center"/>
              <w:rPr>
                <w:rFonts w:ascii="宋体" w:hAnsi="宋体" w:eastAsia="宋体" w:cs="Times New Roman"/>
                <w:kern w:val="0"/>
                <w:szCs w:val="21"/>
              </w:rPr>
            </w:pPr>
          </w:p>
        </w:tc>
      </w:tr>
      <w:tr w14:paraId="528D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64" w:type="dxa"/>
            <w:vAlign w:val="center"/>
          </w:tcPr>
          <w:p w14:paraId="541D29A7">
            <w:pPr>
              <w:spacing w:line="276" w:lineRule="auto"/>
              <w:jc w:val="center"/>
              <w:rPr>
                <w:rFonts w:ascii="宋体" w:hAnsi="宋体" w:eastAsia="宋体" w:cs="Times New Roman"/>
                <w:szCs w:val="21"/>
              </w:rPr>
            </w:pPr>
            <w:r>
              <w:rPr>
                <w:rFonts w:ascii="宋体" w:hAnsi="宋体" w:eastAsia="宋体" w:cs="Times New Roman"/>
                <w:szCs w:val="21"/>
              </w:rPr>
              <w:t>2</w:t>
            </w:r>
          </w:p>
        </w:tc>
        <w:tc>
          <w:tcPr>
            <w:tcW w:w="2703" w:type="dxa"/>
            <w:vAlign w:val="center"/>
          </w:tcPr>
          <w:p w14:paraId="517F3596">
            <w:pPr>
              <w:spacing w:line="276" w:lineRule="auto"/>
              <w:jc w:val="center"/>
              <w:rPr>
                <w:rFonts w:ascii="宋体" w:hAnsi="宋体" w:eastAsia="宋体" w:cs="Times New Roman"/>
                <w:kern w:val="0"/>
                <w:szCs w:val="21"/>
              </w:rPr>
            </w:pPr>
            <w:r>
              <w:rPr>
                <w:rFonts w:ascii="宋体" w:hAnsi="宋体" w:eastAsia="宋体" w:cs="Times New Roman"/>
                <w:szCs w:val="21"/>
              </w:rPr>
              <w:t>极限</w:t>
            </w:r>
          </w:p>
        </w:tc>
        <w:tc>
          <w:tcPr>
            <w:tcW w:w="1775" w:type="dxa"/>
            <w:vAlign w:val="center"/>
          </w:tcPr>
          <w:p w14:paraId="14AC751A">
            <w:pPr>
              <w:spacing w:line="276" w:lineRule="auto"/>
              <w:jc w:val="center"/>
              <w:rPr>
                <w:rFonts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3771874F">
            <w:pPr>
              <w:spacing w:line="276" w:lineRule="auto"/>
              <w:jc w:val="center"/>
              <w:rPr>
                <w:rFonts w:ascii="宋体" w:hAnsi="宋体" w:eastAsia="宋体" w:cs="Times New Roman"/>
                <w:szCs w:val="21"/>
              </w:rPr>
            </w:pPr>
            <w:r>
              <w:rPr>
                <w:rFonts w:ascii="宋体" w:hAnsi="宋体" w:eastAsia="宋体" w:cs="Times New Roman"/>
                <w:kern w:val="0"/>
                <w:szCs w:val="21"/>
              </w:rPr>
              <w:t>3-1、3-2</w:t>
            </w:r>
          </w:p>
        </w:tc>
        <w:tc>
          <w:tcPr>
            <w:tcW w:w="698" w:type="dxa"/>
            <w:gridSpan w:val="2"/>
            <w:vAlign w:val="center"/>
          </w:tcPr>
          <w:p w14:paraId="38B74DE5">
            <w:pPr>
              <w:spacing w:line="276" w:lineRule="auto"/>
              <w:jc w:val="center"/>
              <w:rPr>
                <w:rFonts w:ascii="宋体" w:hAnsi="宋体" w:eastAsia="宋体" w:cs="Times New Roman"/>
                <w:szCs w:val="21"/>
              </w:rPr>
            </w:pPr>
            <w:r>
              <w:rPr>
                <w:rFonts w:ascii="宋体" w:hAnsi="宋体" w:eastAsia="宋体" w:cs="Times New Roman"/>
                <w:szCs w:val="21"/>
              </w:rPr>
              <w:t>12</w:t>
            </w:r>
          </w:p>
        </w:tc>
        <w:tc>
          <w:tcPr>
            <w:tcW w:w="696" w:type="dxa"/>
            <w:vAlign w:val="center"/>
          </w:tcPr>
          <w:p w14:paraId="1BA96607">
            <w:pPr>
              <w:spacing w:line="276" w:lineRule="auto"/>
              <w:jc w:val="center"/>
              <w:rPr>
                <w:rFonts w:ascii="宋体" w:hAnsi="宋体" w:eastAsia="宋体" w:cs="Times New Roman"/>
                <w:kern w:val="0"/>
                <w:szCs w:val="21"/>
              </w:rPr>
            </w:pPr>
          </w:p>
        </w:tc>
      </w:tr>
      <w:tr w14:paraId="3FE9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64" w:type="dxa"/>
            <w:vAlign w:val="center"/>
          </w:tcPr>
          <w:p w14:paraId="06D3E865">
            <w:pPr>
              <w:spacing w:line="276" w:lineRule="auto"/>
              <w:jc w:val="center"/>
              <w:rPr>
                <w:rFonts w:ascii="宋体" w:hAnsi="宋体" w:eastAsia="宋体" w:cs="Times New Roman"/>
                <w:szCs w:val="21"/>
              </w:rPr>
            </w:pPr>
            <w:r>
              <w:rPr>
                <w:rFonts w:ascii="宋体" w:hAnsi="宋体" w:eastAsia="宋体" w:cs="Times New Roman"/>
                <w:szCs w:val="21"/>
              </w:rPr>
              <w:t>3</w:t>
            </w:r>
          </w:p>
        </w:tc>
        <w:tc>
          <w:tcPr>
            <w:tcW w:w="2703" w:type="dxa"/>
            <w:vAlign w:val="center"/>
          </w:tcPr>
          <w:p w14:paraId="1E7B7A3B">
            <w:pPr>
              <w:spacing w:line="276" w:lineRule="auto"/>
              <w:jc w:val="center"/>
              <w:rPr>
                <w:rFonts w:ascii="宋体" w:hAnsi="宋体" w:eastAsia="宋体" w:cs="Times New Roman"/>
                <w:szCs w:val="21"/>
              </w:rPr>
            </w:pPr>
            <w:r>
              <w:rPr>
                <w:rFonts w:ascii="宋体" w:hAnsi="宋体" w:eastAsia="宋体" w:cs="Times New Roman"/>
                <w:szCs w:val="21"/>
              </w:rPr>
              <w:t>连续函数</w:t>
            </w:r>
          </w:p>
        </w:tc>
        <w:tc>
          <w:tcPr>
            <w:tcW w:w="1775" w:type="dxa"/>
            <w:vAlign w:val="center"/>
          </w:tcPr>
          <w:p w14:paraId="6209AC40">
            <w:pPr>
              <w:spacing w:line="276" w:lineRule="auto"/>
              <w:jc w:val="center"/>
              <w:rPr>
                <w:rFonts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6D37C9D8">
            <w:pPr>
              <w:spacing w:line="276" w:lineRule="auto"/>
              <w:jc w:val="center"/>
              <w:rPr>
                <w:rFonts w:ascii="宋体" w:hAnsi="宋体" w:eastAsia="宋体" w:cs="Times New Roman"/>
                <w:szCs w:val="21"/>
              </w:rPr>
            </w:pPr>
            <w:r>
              <w:rPr>
                <w:rFonts w:ascii="宋体" w:hAnsi="宋体" w:eastAsia="宋体" w:cs="Times New Roman"/>
                <w:kern w:val="0"/>
                <w:szCs w:val="21"/>
              </w:rPr>
              <w:t>3-1、3-2</w:t>
            </w:r>
          </w:p>
        </w:tc>
        <w:tc>
          <w:tcPr>
            <w:tcW w:w="698" w:type="dxa"/>
            <w:gridSpan w:val="2"/>
            <w:vAlign w:val="center"/>
          </w:tcPr>
          <w:p w14:paraId="1F0B1E0F">
            <w:pPr>
              <w:spacing w:line="276" w:lineRule="auto"/>
              <w:jc w:val="center"/>
              <w:rPr>
                <w:rFonts w:ascii="宋体" w:hAnsi="宋体" w:eastAsia="宋体" w:cs="Times New Roman"/>
                <w:szCs w:val="21"/>
              </w:rPr>
            </w:pPr>
            <w:r>
              <w:rPr>
                <w:rFonts w:ascii="宋体" w:hAnsi="宋体" w:eastAsia="宋体" w:cs="Times New Roman"/>
                <w:szCs w:val="21"/>
              </w:rPr>
              <w:t>8</w:t>
            </w:r>
          </w:p>
        </w:tc>
        <w:tc>
          <w:tcPr>
            <w:tcW w:w="696" w:type="dxa"/>
            <w:vAlign w:val="center"/>
          </w:tcPr>
          <w:p w14:paraId="4DCAF775">
            <w:pPr>
              <w:spacing w:line="276" w:lineRule="auto"/>
              <w:jc w:val="center"/>
              <w:rPr>
                <w:rFonts w:ascii="宋体" w:hAnsi="宋体" w:eastAsia="宋体" w:cs="Times New Roman"/>
                <w:kern w:val="0"/>
                <w:szCs w:val="21"/>
              </w:rPr>
            </w:pPr>
          </w:p>
        </w:tc>
      </w:tr>
      <w:tr w14:paraId="2E70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64" w:type="dxa"/>
            <w:vAlign w:val="center"/>
          </w:tcPr>
          <w:p w14:paraId="1AB43F23">
            <w:pPr>
              <w:spacing w:line="276" w:lineRule="auto"/>
              <w:jc w:val="center"/>
              <w:rPr>
                <w:rFonts w:ascii="宋体" w:hAnsi="宋体" w:eastAsia="宋体" w:cs="Times New Roman"/>
                <w:szCs w:val="21"/>
              </w:rPr>
            </w:pPr>
            <w:r>
              <w:rPr>
                <w:rFonts w:ascii="宋体" w:hAnsi="宋体" w:eastAsia="宋体" w:cs="Times New Roman"/>
                <w:szCs w:val="21"/>
              </w:rPr>
              <w:t>4</w:t>
            </w:r>
          </w:p>
        </w:tc>
        <w:tc>
          <w:tcPr>
            <w:tcW w:w="2703" w:type="dxa"/>
            <w:vAlign w:val="center"/>
          </w:tcPr>
          <w:p w14:paraId="146EA558">
            <w:pPr>
              <w:spacing w:line="276" w:lineRule="auto"/>
              <w:jc w:val="center"/>
              <w:rPr>
                <w:rFonts w:ascii="宋体" w:hAnsi="宋体" w:eastAsia="宋体" w:cs="Times New Roman"/>
                <w:szCs w:val="21"/>
              </w:rPr>
            </w:pPr>
            <w:r>
              <w:rPr>
                <w:rFonts w:ascii="宋体" w:hAnsi="宋体" w:eastAsia="宋体" w:cs="Times New Roman"/>
                <w:szCs w:val="21"/>
              </w:rPr>
              <w:t>导数与微分</w:t>
            </w:r>
          </w:p>
        </w:tc>
        <w:tc>
          <w:tcPr>
            <w:tcW w:w="1775" w:type="dxa"/>
            <w:vAlign w:val="center"/>
          </w:tcPr>
          <w:p w14:paraId="3573D2E0">
            <w:pPr>
              <w:spacing w:line="276" w:lineRule="auto"/>
              <w:jc w:val="center"/>
              <w:rPr>
                <w:rFonts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4ECCA1ED">
            <w:pPr>
              <w:spacing w:line="276" w:lineRule="auto"/>
              <w:jc w:val="center"/>
              <w:rPr>
                <w:rFonts w:ascii="宋体" w:hAnsi="宋体" w:eastAsia="宋体" w:cs="Times New Roman"/>
                <w:szCs w:val="21"/>
              </w:rPr>
            </w:pPr>
            <w:r>
              <w:rPr>
                <w:rFonts w:ascii="宋体" w:hAnsi="宋体" w:eastAsia="宋体" w:cs="Times New Roman"/>
                <w:kern w:val="0"/>
                <w:szCs w:val="21"/>
              </w:rPr>
              <w:t>3-1、3-2</w:t>
            </w:r>
          </w:p>
        </w:tc>
        <w:tc>
          <w:tcPr>
            <w:tcW w:w="698" w:type="dxa"/>
            <w:gridSpan w:val="2"/>
            <w:vAlign w:val="center"/>
          </w:tcPr>
          <w:p w14:paraId="7CF363B8">
            <w:pPr>
              <w:spacing w:line="276" w:lineRule="auto"/>
              <w:jc w:val="center"/>
              <w:rPr>
                <w:rFonts w:ascii="宋体" w:hAnsi="宋体" w:eastAsia="宋体" w:cs="Times New Roman"/>
                <w:szCs w:val="21"/>
              </w:rPr>
            </w:pPr>
            <w:r>
              <w:rPr>
                <w:rFonts w:ascii="宋体" w:hAnsi="宋体" w:eastAsia="宋体" w:cs="Times New Roman"/>
                <w:szCs w:val="21"/>
              </w:rPr>
              <w:t>14</w:t>
            </w:r>
          </w:p>
        </w:tc>
        <w:tc>
          <w:tcPr>
            <w:tcW w:w="696" w:type="dxa"/>
            <w:vAlign w:val="center"/>
          </w:tcPr>
          <w:p w14:paraId="7AD954F4">
            <w:pPr>
              <w:spacing w:line="276" w:lineRule="auto"/>
              <w:jc w:val="center"/>
              <w:rPr>
                <w:rFonts w:ascii="宋体" w:hAnsi="宋体" w:eastAsia="宋体" w:cs="Times New Roman"/>
                <w:kern w:val="0"/>
                <w:szCs w:val="21"/>
              </w:rPr>
            </w:pPr>
          </w:p>
        </w:tc>
      </w:tr>
      <w:tr w14:paraId="25D7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64" w:type="dxa"/>
            <w:vAlign w:val="center"/>
          </w:tcPr>
          <w:p w14:paraId="2784D059">
            <w:pPr>
              <w:spacing w:line="276" w:lineRule="auto"/>
              <w:jc w:val="center"/>
              <w:rPr>
                <w:rFonts w:ascii="宋体" w:hAnsi="宋体" w:eastAsia="宋体" w:cs="Times New Roman"/>
                <w:szCs w:val="21"/>
              </w:rPr>
            </w:pPr>
            <w:r>
              <w:rPr>
                <w:rFonts w:ascii="宋体" w:hAnsi="宋体" w:eastAsia="宋体" w:cs="Times New Roman"/>
                <w:szCs w:val="21"/>
              </w:rPr>
              <w:t>5</w:t>
            </w:r>
          </w:p>
        </w:tc>
        <w:tc>
          <w:tcPr>
            <w:tcW w:w="2703" w:type="dxa"/>
            <w:vAlign w:val="center"/>
          </w:tcPr>
          <w:p w14:paraId="26BBFC77">
            <w:pPr>
              <w:spacing w:line="276" w:lineRule="auto"/>
              <w:jc w:val="center"/>
              <w:rPr>
                <w:rFonts w:ascii="宋体" w:hAnsi="宋体" w:eastAsia="宋体" w:cs="Times New Roman"/>
                <w:szCs w:val="21"/>
              </w:rPr>
            </w:pPr>
            <w:r>
              <w:rPr>
                <w:rFonts w:ascii="宋体" w:hAnsi="宋体" w:eastAsia="宋体" w:cs="Times New Roman"/>
                <w:szCs w:val="21"/>
              </w:rPr>
              <w:t>微积分基本定理及应用</w:t>
            </w:r>
          </w:p>
        </w:tc>
        <w:tc>
          <w:tcPr>
            <w:tcW w:w="1775" w:type="dxa"/>
            <w:vAlign w:val="center"/>
          </w:tcPr>
          <w:p w14:paraId="3C7D3048">
            <w:pPr>
              <w:spacing w:line="276" w:lineRule="auto"/>
              <w:jc w:val="center"/>
              <w:rPr>
                <w:rFonts w:ascii="宋体" w:hAnsi="宋体" w:eastAsia="宋体" w:cs="Times New Roman"/>
                <w:szCs w:val="21"/>
              </w:rPr>
            </w:pPr>
            <w:r>
              <w:rPr>
                <w:rFonts w:ascii="宋体" w:hAnsi="宋体" w:eastAsia="宋体" w:cs="Times New Roman"/>
                <w:kern w:val="0"/>
                <w:szCs w:val="21"/>
              </w:rPr>
              <w:t>目标1</w:t>
            </w:r>
            <w:r>
              <w:rPr>
                <w:rFonts w:hint="eastAsia" w:ascii="宋体" w:hAnsi="宋体" w:eastAsia="宋体" w:cs="Times New Roman"/>
                <w:kern w:val="0"/>
                <w:szCs w:val="21"/>
              </w:rPr>
              <w:t>、2</w:t>
            </w:r>
          </w:p>
        </w:tc>
        <w:tc>
          <w:tcPr>
            <w:tcW w:w="1722" w:type="dxa"/>
            <w:vAlign w:val="center"/>
          </w:tcPr>
          <w:p w14:paraId="61A71635">
            <w:pPr>
              <w:spacing w:line="276" w:lineRule="auto"/>
              <w:jc w:val="center"/>
              <w:rPr>
                <w:rFonts w:ascii="宋体" w:hAnsi="宋体" w:eastAsia="宋体" w:cs="Times New Roman"/>
                <w:szCs w:val="21"/>
              </w:rPr>
            </w:pPr>
            <w:r>
              <w:rPr>
                <w:rFonts w:ascii="宋体" w:hAnsi="宋体" w:eastAsia="宋体" w:cs="Times New Roman"/>
                <w:kern w:val="0"/>
                <w:szCs w:val="21"/>
              </w:rPr>
              <w:t>3-1、3-2、6-2</w:t>
            </w:r>
          </w:p>
        </w:tc>
        <w:tc>
          <w:tcPr>
            <w:tcW w:w="698" w:type="dxa"/>
            <w:gridSpan w:val="2"/>
            <w:vAlign w:val="center"/>
          </w:tcPr>
          <w:p w14:paraId="38AB2FDE">
            <w:pPr>
              <w:spacing w:line="276" w:lineRule="auto"/>
              <w:jc w:val="center"/>
              <w:rPr>
                <w:rFonts w:ascii="宋体" w:hAnsi="宋体" w:eastAsia="宋体" w:cs="Times New Roman"/>
                <w:szCs w:val="21"/>
              </w:rPr>
            </w:pPr>
            <w:r>
              <w:rPr>
                <w:rFonts w:ascii="宋体" w:hAnsi="宋体" w:eastAsia="宋体" w:cs="Times New Roman"/>
                <w:szCs w:val="21"/>
              </w:rPr>
              <w:t>8</w:t>
            </w:r>
          </w:p>
        </w:tc>
        <w:tc>
          <w:tcPr>
            <w:tcW w:w="696" w:type="dxa"/>
            <w:vAlign w:val="center"/>
          </w:tcPr>
          <w:p w14:paraId="04A0AD80">
            <w:pPr>
              <w:spacing w:line="276" w:lineRule="auto"/>
              <w:jc w:val="center"/>
              <w:rPr>
                <w:rFonts w:ascii="宋体" w:hAnsi="宋体" w:eastAsia="宋体" w:cs="Times New Roman"/>
                <w:kern w:val="0"/>
                <w:szCs w:val="21"/>
              </w:rPr>
            </w:pPr>
          </w:p>
        </w:tc>
      </w:tr>
      <w:tr w14:paraId="142F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975" w:type="dxa"/>
            <w:gridSpan w:val="5"/>
            <w:vAlign w:val="center"/>
          </w:tcPr>
          <w:p w14:paraId="0249BDC2">
            <w:pPr>
              <w:spacing w:line="276" w:lineRule="auto"/>
              <w:jc w:val="center"/>
              <w:rPr>
                <w:rFonts w:ascii="宋体" w:hAnsi="宋体" w:eastAsia="宋体" w:cs="Times New Roman"/>
                <w:szCs w:val="21"/>
              </w:rPr>
            </w:pPr>
            <w:r>
              <w:rPr>
                <w:rFonts w:ascii="宋体" w:hAnsi="宋体" w:eastAsia="宋体" w:cs="Times New Roman"/>
                <w:szCs w:val="21"/>
              </w:rPr>
              <w:t>合计</w:t>
            </w:r>
          </w:p>
        </w:tc>
        <w:tc>
          <w:tcPr>
            <w:tcW w:w="687" w:type="dxa"/>
            <w:vAlign w:val="center"/>
          </w:tcPr>
          <w:p w14:paraId="21198E52">
            <w:pPr>
              <w:spacing w:line="276" w:lineRule="auto"/>
              <w:jc w:val="center"/>
              <w:rPr>
                <w:rFonts w:ascii="宋体" w:hAnsi="宋体" w:eastAsia="宋体" w:cs="Times New Roman"/>
                <w:szCs w:val="21"/>
              </w:rPr>
            </w:pPr>
            <w:r>
              <w:rPr>
                <w:rFonts w:ascii="宋体" w:hAnsi="宋体" w:eastAsia="宋体" w:cs="Times New Roman"/>
                <w:szCs w:val="21"/>
              </w:rPr>
              <w:t>48</w:t>
            </w:r>
          </w:p>
        </w:tc>
        <w:tc>
          <w:tcPr>
            <w:tcW w:w="696" w:type="dxa"/>
            <w:vAlign w:val="center"/>
          </w:tcPr>
          <w:p w14:paraId="296C9F15">
            <w:pPr>
              <w:spacing w:line="276" w:lineRule="auto"/>
              <w:jc w:val="center"/>
              <w:rPr>
                <w:rFonts w:ascii="宋体" w:hAnsi="宋体" w:eastAsia="宋体" w:cs="Times New Roman"/>
                <w:kern w:val="0"/>
                <w:szCs w:val="21"/>
              </w:rPr>
            </w:pPr>
          </w:p>
        </w:tc>
      </w:tr>
    </w:tbl>
    <w:p w14:paraId="5FAE95AF">
      <w:pPr>
        <w:spacing w:line="360" w:lineRule="auto"/>
        <w:ind w:firstLine="482" w:firstLineChars="200"/>
        <w:rPr>
          <w:rFonts w:ascii="Calibri" w:hAnsi="Calibri" w:eastAsia="宋体" w:cs="Times New Roman"/>
          <w:b/>
          <w:sz w:val="24"/>
          <w:szCs w:val="24"/>
        </w:rPr>
      </w:pPr>
      <w:bookmarkStart w:id="207" w:name="_Toc19729761"/>
      <w:r>
        <w:rPr>
          <w:rFonts w:hint="eastAsia" w:ascii="Calibri" w:hAnsi="Calibri" w:eastAsia="宋体" w:cs="Times New Roman"/>
          <w:b/>
          <w:sz w:val="24"/>
          <w:szCs w:val="24"/>
        </w:rPr>
        <w:t>四</w:t>
      </w:r>
      <w:r>
        <w:rPr>
          <w:rFonts w:ascii="Calibri" w:hAnsi="Calibri" w:eastAsia="宋体" w:cs="Times New Roman"/>
          <w:b/>
          <w:sz w:val="24"/>
          <w:szCs w:val="24"/>
        </w:rPr>
        <w:t>、课程实施</w:t>
      </w:r>
      <w:bookmarkEnd w:id="207"/>
    </w:p>
    <w:p w14:paraId="51AC2899">
      <w:pPr>
        <w:spacing w:line="360" w:lineRule="auto"/>
        <w:ind w:firstLine="480" w:firstLineChars="200"/>
        <w:rPr>
          <w:rFonts w:ascii="Calibri" w:hAnsi="Calibri" w:eastAsia="宋体" w:cs="Times New Roman"/>
          <w:sz w:val="24"/>
        </w:rPr>
      </w:pPr>
      <w:r>
        <w:rPr>
          <w:rFonts w:ascii="Calibri" w:hAnsi="Calibri" w:eastAsia="宋体" w:cs="Times New Roman"/>
          <w:sz w:val="24"/>
        </w:rPr>
        <w:t>（一）积极进行课堂教学改革，采用讲授法、讨论法、案例教学法等进行教学，充分利用现代教育手段辅助教学，提高教学的针对性和实效性。</w:t>
      </w:r>
    </w:p>
    <w:p w14:paraId="4BC9026B">
      <w:pPr>
        <w:spacing w:line="360" w:lineRule="auto"/>
        <w:ind w:firstLine="480" w:firstLineChars="200"/>
        <w:rPr>
          <w:rFonts w:ascii="Calibri" w:hAnsi="Calibri" w:eastAsia="宋体" w:cs="Times New Roman"/>
          <w:kern w:val="0"/>
          <w:sz w:val="24"/>
        </w:rPr>
      </w:pPr>
      <w:r>
        <w:rPr>
          <w:rFonts w:ascii="Calibri" w:hAnsi="Calibri" w:eastAsia="宋体" w:cs="Times New Roman"/>
          <w:sz w:val="24"/>
        </w:rPr>
        <w:t>（二）加强课堂习题讲解，加深学生对讲授内容的理解，培养学生理解能力。</w:t>
      </w:r>
    </w:p>
    <w:p w14:paraId="3ED76D99">
      <w:pPr>
        <w:spacing w:line="360" w:lineRule="auto"/>
        <w:ind w:left="479" w:leftChars="228"/>
        <w:rPr>
          <w:rFonts w:ascii="Calibri" w:hAnsi="Calibri" w:eastAsia="宋体" w:cs="Times New Roman"/>
          <w:b/>
          <w:sz w:val="24"/>
        </w:rPr>
      </w:pPr>
      <w:r>
        <w:rPr>
          <w:rFonts w:ascii="Calibri" w:hAnsi="Calibri" w:eastAsia="宋体" w:cs="Times New Roman"/>
          <w:sz w:val="24"/>
        </w:rPr>
        <w:t>（三）紧密结合本课程改革最新研究成果，及时调整和补充学科前沿知识。</w:t>
      </w:r>
      <w:r>
        <w:rPr>
          <w:rFonts w:ascii="Calibri" w:hAnsi="Calibri" w:eastAsia="宋体" w:cs="Times New Roman"/>
          <w:b/>
          <w:bCs/>
          <w:sz w:val="24"/>
        </w:rPr>
        <w:t>主要教学环节的质量要求如表所示：</w:t>
      </w:r>
    </w:p>
    <w:tbl>
      <w:tblPr>
        <w:tblStyle w:val="30"/>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975"/>
        <w:gridCol w:w="6963"/>
        <w:gridCol w:w="111"/>
      </w:tblGrid>
      <w:tr w14:paraId="7673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1" w:type="dxa"/>
          <w:trHeight w:val="308" w:hRule="atLeast"/>
          <w:jc w:val="center"/>
        </w:trPr>
        <w:tc>
          <w:tcPr>
            <w:tcW w:w="1483" w:type="dxa"/>
            <w:gridSpan w:val="2"/>
            <w:tcBorders>
              <w:top w:val="single" w:color="auto" w:sz="8" w:space="0"/>
              <w:left w:val="single" w:color="auto" w:sz="8" w:space="0"/>
              <w:right w:val="single" w:color="auto" w:sz="8" w:space="0"/>
            </w:tcBorders>
            <w:tcMar>
              <w:left w:w="28" w:type="dxa"/>
              <w:right w:w="28" w:type="dxa"/>
            </w:tcMar>
            <w:vAlign w:val="center"/>
          </w:tcPr>
          <w:p w14:paraId="22D8C896">
            <w:pPr>
              <w:jc w:val="center"/>
              <w:rPr>
                <w:rFonts w:ascii="Calibri" w:hAnsi="Calibri" w:eastAsia="宋体" w:cs="Times New Roman"/>
                <w:b/>
                <w:szCs w:val="21"/>
              </w:rPr>
            </w:pPr>
            <w:r>
              <w:rPr>
                <w:rFonts w:ascii="Calibri" w:hAnsi="Calibri" w:eastAsia="宋体" w:cs="Times New Roman"/>
                <w:b/>
                <w:bCs/>
                <w:szCs w:val="21"/>
              </w:rPr>
              <w:t>主要教学环节</w:t>
            </w:r>
          </w:p>
        </w:tc>
        <w:tc>
          <w:tcPr>
            <w:tcW w:w="6963" w:type="dxa"/>
            <w:tcBorders>
              <w:top w:val="single" w:color="auto" w:sz="8" w:space="0"/>
              <w:left w:val="single" w:color="auto" w:sz="8" w:space="0"/>
              <w:right w:val="single" w:color="auto" w:sz="8" w:space="0"/>
            </w:tcBorders>
            <w:vAlign w:val="center"/>
          </w:tcPr>
          <w:p w14:paraId="487EE819">
            <w:pPr>
              <w:jc w:val="center"/>
              <w:rPr>
                <w:rFonts w:ascii="Calibri" w:hAnsi="Calibri" w:eastAsia="宋体" w:cs="Times New Roman"/>
                <w:b/>
                <w:szCs w:val="21"/>
              </w:rPr>
            </w:pPr>
            <w:r>
              <w:rPr>
                <w:rFonts w:ascii="Calibri" w:hAnsi="Calibri" w:eastAsia="宋体" w:cs="Times New Roman"/>
                <w:b/>
                <w:bCs/>
                <w:szCs w:val="21"/>
              </w:rPr>
              <w:t>质量要求</w:t>
            </w:r>
          </w:p>
        </w:tc>
      </w:tr>
      <w:tr w14:paraId="5DDB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1" w:type="dxa"/>
          <w:trHeight w:val="1646" w:hRule="atLeast"/>
          <w:jc w:val="center"/>
        </w:trPr>
        <w:tc>
          <w:tcPr>
            <w:tcW w:w="508" w:type="dxa"/>
            <w:tcBorders>
              <w:left w:val="single" w:color="auto" w:sz="8" w:space="0"/>
            </w:tcBorders>
            <w:vAlign w:val="center"/>
          </w:tcPr>
          <w:p w14:paraId="62F3E952">
            <w:pPr>
              <w:jc w:val="center"/>
              <w:rPr>
                <w:rFonts w:ascii="Calibri" w:hAnsi="Calibri" w:eastAsia="宋体" w:cs="Times New Roman"/>
                <w:szCs w:val="21"/>
              </w:rPr>
            </w:pPr>
            <w:r>
              <w:rPr>
                <w:rFonts w:ascii="Calibri" w:hAnsi="Calibri" w:eastAsia="宋体" w:cs="Times New Roman"/>
                <w:szCs w:val="21"/>
              </w:rPr>
              <w:t>1</w:t>
            </w:r>
          </w:p>
        </w:tc>
        <w:tc>
          <w:tcPr>
            <w:tcW w:w="975" w:type="dxa"/>
            <w:tcMar>
              <w:left w:w="28" w:type="dxa"/>
              <w:right w:w="28" w:type="dxa"/>
            </w:tcMar>
            <w:vAlign w:val="center"/>
          </w:tcPr>
          <w:p w14:paraId="6DBBA1E4">
            <w:pPr>
              <w:jc w:val="center"/>
              <w:rPr>
                <w:rFonts w:ascii="Calibri" w:hAnsi="Calibri" w:eastAsia="宋体" w:cs="Times New Roman"/>
                <w:szCs w:val="21"/>
              </w:rPr>
            </w:pPr>
            <w:r>
              <w:rPr>
                <w:rFonts w:ascii="Calibri" w:hAnsi="Calibri" w:eastAsia="宋体" w:cs="Times New Roman"/>
                <w:szCs w:val="21"/>
              </w:rPr>
              <w:t>备课</w:t>
            </w:r>
          </w:p>
        </w:tc>
        <w:tc>
          <w:tcPr>
            <w:tcW w:w="6963" w:type="dxa"/>
            <w:tcBorders>
              <w:right w:val="single" w:color="auto" w:sz="8" w:space="0"/>
            </w:tcBorders>
            <w:vAlign w:val="center"/>
          </w:tcPr>
          <w:p w14:paraId="5CE6D44E">
            <w:pPr>
              <w:rPr>
                <w:rFonts w:ascii="Calibri" w:hAnsi="Calibri" w:eastAsia="宋体" w:cs="Times New Roman"/>
                <w:szCs w:val="21"/>
              </w:rPr>
            </w:pPr>
            <w:r>
              <w:rPr>
                <w:rFonts w:ascii="Calibri" w:hAnsi="Calibri" w:eastAsia="宋体" w:cs="Times New Roman"/>
                <w:szCs w:val="21"/>
              </w:rPr>
              <w:t>（1）掌握课程教学大纲内容，严格按照教学大纲要求进行课程教学内容的组织。</w:t>
            </w:r>
          </w:p>
          <w:p w14:paraId="30BB501F">
            <w:pPr>
              <w:rPr>
                <w:rFonts w:ascii="Calibri" w:hAnsi="Calibri" w:eastAsia="宋体" w:cs="Times New Roman"/>
                <w:szCs w:val="21"/>
              </w:rPr>
            </w:pPr>
            <w:r>
              <w:rPr>
                <w:rFonts w:ascii="Calibri" w:hAnsi="Calibri" w:eastAsia="宋体" w:cs="Times New Roman"/>
                <w:szCs w:val="21"/>
              </w:rPr>
              <w:t>（2）悉心了解学生的现有水平和最新发展水平，深透钻研教材内容，广泛阅读相关文献资料，精心选择教学方法、组织形式和教学手段，认真编写授课计划。</w:t>
            </w:r>
          </w:p>
          <w:p w14:paraId="3D8D0D0C">
            <w:pPr>
              <w:rPr>
                <w:rFonts w:ascii="Calibri" w:hAnsi="Calibri" w:eastAsia="宋体" w:cs="Times New Roman"/>
                <w:szCs w:val="21"/>
              </w:rPr>
            </w:pPr>
            <w:r>
              <w:rPr>
                <w:rFonts w:ascii="Calibri" w:hAnsi="Calibri" w:eastAsia="宋体" w:cs="Times New Roman"/>
                <w:szCs w:val="21"/>
              </w:rPr>
              <w:t>（3）结合课程特点，适度运用多媒体教学手段讲授部分教学内容</w:t>
            </w:r>
            <w:r>
              <w:rPr>
                <w:rFonts w:hint="eastAsia" w:ascii="Calibri" w:hAnsi="Calibri" w:eastAsia="宋体" w:cs="Times New Roman"/>
                <w:szCs w:val="21"/>
              </w:rPr>
              <w:t>。</w:t>
            </w:r>
            <w:r>
              <w:rPr>
                <w:rFonts w:ascii="Calibri" w:hAnsi="Calibri" w:eastAsia="宋体" w:cs="Times New Roman"/>
                <w:szCs w:val="21"/>
              </w:rPr>
              <w:t xml:space="preserve"> </w:t>
            </w:r>
          </w:p>
          <w:p w14:paraId="26938798">
            <w:pPr>
              <w:rPr>
                <w:rFonts w:ascii="Calibri" w:hAnsi="Calibri" w:eastAsia="宋体" w:cs="Times New Roman"/>
                <w:szCs w:val="21"/>
              </w:rPr>
            </w:pPr>
            <w:r>
              <w:rPr>
                <w:rFonts w:ascii="Calibri" w:hAnsi="Calibri" w:eastAsia="宋体" w:cs="Times New Roman"/>
                <w:szCs w:val="21"/>
              </w:rPr>
              <w:t>（4）确定各章节课程内容的教学方法，构思授课思路、技巧和方法。</w:t>
            </w:r>
          </w:p>
        </w:tc>
      </w:tr>
      <w:tr w14:paraId="6B6B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8" w:hRule="atLeast"/>
          <w:jc w:val="center"/>
        </w:trPr>
        <w:tc>
          <w:tcPr>
            <w:tcW w:w="508" w:type="dxa"/>
            <w:tcBorders>
              <w:left w:val="single" w:color="auto" w:sz="8" w:space="0"/>
            </w:tcBorders>
            <w:vAlign w:val="center"/>
          </w:tcPr>
          <w:p w14:paraId="3104F8A2">
            <w:pPr>
              <w:jc w:val="center"/>
              <w:rPr>
                <w:rFonts w:ascii="Calibri" w:hAnsi="Calibri" w:eastAsia="宋体" w:cs="Times New Roman"/>
                <w:szCs w:val="21"/>
              </w:rPr>
            </w:pPr>
            <w:r>
              <w:rPr>
                <w:rFonts w:ascii="Calibri" w:hAnsi="Calibri" w:eastAsia="宋体" w:cs="Times New Roman"/>
                <w:szCs w:val="21"/>
              </w:rPr>
              <w:t>2</w:t>
            </w:r>
          </w:p>
        </w:tc>
        <w:tc>
          <w:tcPr>
            <w:tcW w:w="975" w:type="dxa"/>
            <w:tcMar>
              <w:left w:w="28" w:type="dxa"/>
              <w:right w:w="28" w:type="dxa"/>
            </w:tcMar>
            <w:vAlign w:val="center"/>
          </w:tcPr>
          <w:p w14:paraId="46E752DB">
            <w:pPr>
              <w:jc w:val="center"/>
              <w:rPr>
                <w:rFonts w:ascii="Calibri" w:hAnsi="Calibri" w:eastAsia="宋体" w:cs="Times New Roman"/>
                <w:szCs w:val="21"/>
              </w:rPr>
            </w:pPr>
            <w:r>
              <w:rPr>
                <w:rFonts w:ascii="Calibri" w:hAnsi="Calibri" w:eastAsia="宋体" w:cs="Times New Roman"/>
                <w:szCs w:val="21"/>
              </w:rPr>
              <w:t>讲授</w:t>
            </w:r>
          </w:p>
        </w:tc>
        <w:tc>
          <w:tcPr>
            <w:tcW w:w="7074" w:type="dxa"/>
            <w:gridSpan w:val="2"/>
            <w:tcBorders>
              <w:right w:val="single" w:color="auto" w:sz="8" w:space="0"/>
            </w:tcBorders>
            <w:vAlign w:val="center"/>
          </w:tcPr>
          <w:p w14:paraId="4D038701">
            <w:pPr>
              <w:rPr>
                <w:rFonts w:ascii="Calibri" w:hAnsi="Calibri" w:eastAsia="宋体" w:cs="Times New Roman"/>
              </w:rPr>
            </w:pPr>
            <w:r>
              <w:rPr>
                <w:rFonts w:ascii="Calibri" w:hAnsi="Calibri" w:eastAsia="宋体" w:cs="Times New Roman"/>
                <w:szCs w:val="21"/>
              </w:rPr>
              <w:t>（1）</w:t>
            </w:r>
            <w:r>
              <w:rPr>
                <w:rFonts w:ascii="Calibri" w:hAnsi="Calibri" w:eastAsia="宋体" w:cs="Times New Roman"/>
              </w:rPr>
              <w:t>教师仪表端庄，情绪情感要饱满；</w:t>
            </w:r>
          </w:p>
          <w:p w14:paraId="1DB716D5">
            <w:pPr>
              <w:rPr>
                <w:rFonts w:ascii="Calibri" w:hAnsi="Calibri" w:eastAsia="宋体" w:cs="Times New Roman"/>
                <w:szCs w:val="21"/>
              </w:rPr>
            </w:pPr>
            <w:r>
              <w:rPr>
                <w:rFonts w:ascii="Calibri" w:hAnsi="Calibri" w:eastAsia="宋体" w:cs="Times New Roman"/>
                <w:szCs w:val="21"/>
              </w:rPr>
              <w:t>（2）</w:t>
            </w:r>
            <w:r>
              <w:rPr>
                <w:rFonts w:ascii="Calibri" w:hAnsi="Calibri" w:eastAsia="宋体" w:cs="Times New Roman"/>
              </w:rPr>
              <w:t>教学准备充分，熟悉教学内容；</w:t>
            </w:r>
          </w:p>
          <w:p w14:paraId="1E674F7E">
            <w:pPr>
              <w:rPr>
                <w:rFonts w:ascii="Calibri" w:hAnsi="Calibri" w:eastAsia="宋体" w:cs="Times New Roman"/>
                <w:szCs w:val="21"/>
              </w:rPr>
            </w:pPr>
            <w:r>
              <w:rPr>
                <w:rFonts w:ascii="Calibri" w:hAnsi="Calibri" w:eastAsia="宋体" w:cs="Times New Roman"/>
                <w:szCs w:val="21"/>
              </w:rPr>
              <w:t>（3）</w:t>
            </w:r>
            <w:r>
              <w:rPr>
                <w:rFonts w:ascii="Calibri" w:hAnsi="Calibri" w:eastAsia="宋体" w:cs="Times New Roman"/>
              </w:rPr>
              <w:t>教学内容充实，不断充实最新研究成果；</w:t>
            </w:r>
          </w:p>
          <w:p w14:paraId="3736A51C">
            <w:pPr>
              <w:rPr>
                <w:rFonts w:ascii="Calibri" w:hAnsi="Calibri" w:eastAsia="宋体" w:cs="Times New Roman"/>
                <w:szCs w:val="21"/>
              </w:rPr>
            </w:pPr>
            <w:r>
              <w:rPr>
                <w:rFonts w:ascii="Calibri" w:hAnsi="Calibri" w:eastAsia="宋体" w:cs="Times New Roman"/>
                <w:szCs w:val="21"/>
              </w:rPr>
              <w:t>（4）</w:t>
            </w:r>
            <w:r>
              <w:rPr>
                <w:rFonts w:ascii="Calibri" w:hAnsi="Calibri" w:eastAsia="宋体" w:cs="Times New Roman"/>
              </w:rPr>
              <w:t>严格执行计划，教学进度适宜；</w:t>
            </w:r>
          </w:p>
          <w:p w14:paraId="493974CA">
            <w:pPr>
              <w:rPr>
                <w:rFonts w:ascii="Calibri" w:hAnsi="Calibri" w:eastAsia="宋体" w:cs="Times New Roman"/>
                <w:szCs w:val="21"/>
              </w:rPr>
            </w:pPr>
            <w:r>
              <w:rPr>
                <w:rFonts w:ascii="Calibri" w:hAnsi="Calibri" w:eastAsia="宋体" w:cs="Times New Roman"/>
                <w:szCs w:val="21"/>
              </w:rPr>
              <w:t>（5）</w:t>
            </w:r>
            <w:r>
              <w:rPr>
                <w:rFonts w:ascii="Calibri" w:hAnsi="Calibri" w:eastAsia="宋体" w:cs="Times New Roman"/>
              </w:rPr>
              <w:t>课堂教学信息充分，注重理论联系实际；</w:t>
            </w:r>
          </w:p>
          <w:p w14:paraId="4374E30B">
            <w:pPr>
              <w:rPr>
                <w:rFonts w:ascii="Calibri" w:hAnsi="Calibri" w:eastAsia="宋体" w:cs="Times New Roman"/>
                <w:szCs w:val="21"/>
              </w:rPr>
            </w:pPr>
            <w:r>
              <w:rPr>
                <w:rFonts w:ascii="Calibri" w:hAnsi="Calibri" w:eastAsia="宋体" w:cs="Times New Roman"/>
                <w:szCs w:val="21"/>
              </w:rPr>
              <w:t>（6）</w:t>
            </w:r>
            <w:r>
              <w:rPr>
                <w:rFonts w:ascii="Calibri" w:hAnsi="Calibri" w:eastAsia="宋体" w:cs="Times New Roman"/>
              </w:rPr>
              <w:t>注重启发学生思维，培养学生的教学能力；</w:t>
            </w:r>
          </w:p>
          <w:p w14:paraId="6D387015">
            <w:pPr>
              <w:rPr>
                <w:rFonts w:ascii="Calibri" w:hAnsi="Calibri" w:eastAsia="宋体" w:cs="Times New Roman"/>
                <w:szCs w:val="21"/>
              </w:rPr>
            </w:pPr>
            <w:r>
              <w:rPr>
                <w:rFonts w:ascii="Calibri" w:hAnsi="Calibri" w:eastAsia="宋体" w:cs="Times New Roman"/>
                <w:szCs w:val="21"/>
              </w:rPr>
              <w:t>（7）</w:t>
            </w:r>
            <w:r>
              <w:rPr>
                <w:rFonts w:ascii="Calibri" w:hAnsi="Calibri" w:eastAsia="宋体" w:cs="Times New Roman"/>
              </w:rPr>
              <w:t>面向全体基础上因材施教，灵活运用多种教学方法；</w:t>
            </w:r>
          </w:p>
          <w:p w14:paraId="1E853BE8">
            <w:pPr>
              <w:rPr>
                <w:rFonts w:ascii="Calibri" w:hAnsi="Calibri" w:eastAsia="宋体" w:cs="Times New Roman"/>
                <w:szCs w:val="21"/>
              </w:rPr>
            </w:pPr>
            <w:r>
              <w:rPr>
                <w:rFonts w:ascii="Calibri" w:hAnsi="Calibri" w:eastAsia="宋体" w:cs="Times New Roman"/>
                <w:szCs w:val="21"/>
              </w:rPr>
              <w:t>（8）</w:t>
            </w:r>
            <w:r>
              <w:rPr>
                <w:rFonts w:ascii="Calibri" w:hAnsi="Calibri" w:eastAsia="宋体" w:cs="Times New Roman"/>
              </w:rPr>
              <w:t>教学语言规范，为学生教育教学做好表率；</w:t>
            </w:r>
          </w:p>
          <w:p w14:paraId="6F7624D3">
            <w:pPr>
              <w:rPr>
                <w:rFonts w:ascii="Calibri" w:hAnsi="Calibri" w:eastAsia="宋体" w:cs="Times New Roman"/>
                <w:szCs w:val="21"/>
              </w:rPr>
            </w:pPr>
            <w:r>
              <w:rPr>
                <w:rFonts w:ascii="Calibri" w:hAnsi="Calibri" w:eastAsia="宋体" w:cs="Times New Roman"/>
                <w:szCs w:val="21"/>
              </w:rPr>
              <w:t>（9）</w:t>
            </w:r>
            <w:r>
              <w:rPr>
                <w:rFonts w:ascii="Calibri" w:hAnsi="Calibri" w:eastAsia="宋体" w:cs="Times New Roman"/>
              </w:rPr>
              <w:t>教学条理清楚，教学思路逻辑严密；</w:t>
            </w:r>
          </w:p>
          <w:p w14:paraId="7702B4FB">
            <w:pPr>
              <w:rPr>
                <w:rFonts w:ascii="Calibri" w:hAnsi="Calibri" w:eastAsia="宋体" w:cs="Times New Roman"/>
                <w:szCs w:val="21"/>
              </w:rPr>
            </w:pPr>
            <w:r>
              <w:rPr>
                <w:rFonts w:ascii="Calibri" w:hAnsi="Calibri" w:eastAsia="宋体" w:cs="Times New Roman"/>
                <w:szCs w:val="21"/>
              </w:rPr>
              <w:t>（10）</w:t>
            </w:r>
            <w:r>
              <w:rPr>
                <w:rFonts w:ascii="Calibri" w:hAnsi="Calibri" w:eastAsia="宋体" w:cs="Times New Roman"/>
              </w:rPr>
              <w:t>充分运用现代化教学手段，教学技术熟练；</w:t>
            </w:r>
          </w:p>
          <w:p w14:paraId="1FBFFF17">
            <w:pPr>
              <w:rPr>
                <w:rFonts w:ascii="Calibri" w:hAnsi="Calibri" w:eastAsia="宋体" w:cs="Times New Roman"/>
                <w:szCs w:val="21"/>
              </w:rPr>
            </w:pPr>
            <w:r>
              <w:rPr>
                <w:rFonts w:ascii="Calibri" w:hAnsi="Calibri" w:eastAsia="宋体" w:cs="Times New Roman"/>
                <w:szCs w:val="21"/>
              </w:rPr>
              <w:t>（11）</w:t>
            </w:r>
            <w:r>
              <w:rPr>
                <w:rFonts w:ascii="Calibri" w:hAnsi="Calibri" w:eastAsia="宋体" w:cs="Times New Roman"/>
              </w:rPr>
              <w:t>课堂教学要重点突出，难点突破；</w:t>
            </w:r>
          </w:p>
          <w:p w14:paraId="1D762506">
            <w:pPr>
              <w:rPr>
                <w:rFonts w:ascii="Calibri" w:hAnsi="Calibri" w:eastAsia="宋体" w:cs="Times New Roman"/>
                <w:szCs w:val="21"/>
              </w:rPr>
            </w:pPr>
            <w:r>
              <w:rPr>
                <w:rFonts w:ascii="Calibri" w:hAnsi="Calibri" w:eastAsia="宋体" w:cs="Times New Roman"/>
                <w:szCs w:val="21"/>
              </w:rPr>
              <w:t>（12）</w:t>
            </w:r>
            <w:r>
              <w:rPr>
                <w:rFonts w:ascii="Calibri" w:hAnsi="Calibri" w:eastAsia="宋体" w:cs="Times New Roman"/>
              </w:rPr>
              <w:t>注重师生互动，形成良好的课堂氛围。</w:t>
            </w:r>
          </w:p>
        </w:tc>
      </w:tr>
      <w:tr w14:paraId="598B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3" w:hRule="atLeast"/>
          <w:jc w:val="center"/>
        </w:trPr>
        <w:tc>
          <w:tcPr>
            <w:tcW w:w="508" w:type="dxa"/>
            <w:tcBorders>
              <w:left w:val="single" w:color="auto" w:sz="8" w:space="0"/>
            </w:tcBorders>
            <w:vAlign w:val="center"/>
          </w:tcPr>
          <w:p w14:paraId="73A74737">
            <w:pPr>
              <w:jc w:val="center"/>
              <w:rPr>
                <w:rFonts w:ascii="Calibri" w:hAnsi="Calibri" w:eastAsia="宋体" w:cs="Times New Roman"/>
                <w:szCs w:val="21"/>
              </w:rPr>
            </w:pPr>
            <w:r>
              <w:rPr>
                <w:rFonts w:ascii="Calibri" w:hAnsi="Calibri" w:eastAsia="宋体" w:cs="Times New Roman"/>
                <w:szCs w:val="21"/>
              </w:rPr>
              <w:t>3</w:t>
            </w:r>
          </w:p>
        </w:tc>
        <w:tc>
          <w:tcPr>
            <w:tcW w:w="975" w:type="dxa"/>
            <w:tcMar>
              <w:left w:w="28" w:type="dxa"/>
              <w:right w:w="28" w:type="dxa"/>
            </w:tcMar>
            <w:vAlign w:val="center"/>
          </w:tcPr>
          <w:p w14:paraId="618CA95C">
            <w:pPr>
              <w:jc w:val="center"/>
              <w:rPr>
                <w:rFonts w:ascii="Calibri" w:hAnsi="Calibri" w:eastAsia="宋体" w:cs="Times New Roman"/>
                <w:szCs w:val="21"/>
              </w:rPr>
            </w:pPr>
            <w:r>
              <w:rPr>
                <w:rFonts w:ascii="Calibri" w:hAnsi="Calibri" w:eastAsia="宋体" w:cs="Times New Roman"/>
                <w:szCs w:val="21"/>
              </w:rPr>
              <w:t>作业布置与批改</w:t>
            </w:r>
          </w:p>
        </w:tc>
        <w:tc>
          <w:tcPr>
            <w:tcW w:w="7074" w:type="dxa"/>
            <w:gridSpan w:val="2"/>
            <w:tcBorders>
              <w:right w:val="single" w:color="auto" w:sz="8" w:space="0"/>
            </w:tcBorders>
            <w:vAlign w:val="center"/>
          </w:tcPr>
          <w:p w14:paraId="6D420142">
            <w:pPr>
              <w:rPr>
                <w:rFonts w:ascii="Calibri" w:hAnsi="Calibri" w:eastAsia="宋体" w:cs="Times New Roman"/>
                <w:szCs w:val="21"/>
              </w:rPr>
            </w:pPr>
            <w:r>
              <w:rPr>
                <w:rFonts w:ascii="Calibri" w:hAnsi="Calibri" w:eastAsia="宋体" w:cs="Times New Roman"/>
                <w:szCs w:val="21"/>
              </w:rPr>
              <w:t>学生必须完成规定数量的作业，作业必须达到以下基本要求：</w:t>
            </w:r>
          </w:p>
          <w:p w14:paraId="048422BF">
            <w:pPr>
              <w:rPr>
                <w:rFonts w:ascii="Calibri" w:hAnsi="Calibri" w:eastAsia="宋体" w:cs="Times New Roman"/>
                <w:szCs w:val="21"/>
              </w:rPr>
            </w:pPr>
            <w:r>
              <w:rPr>
                <w:rFonts w:ascii="Calibri" w:hAnsi="Calibri" w:eastAsia="宋体" w:cs="Times New Roman"/>
                <w:szCs w:val="21"/>
              </w:rPr>
              <w:t>（1）按时按量完成作业，不缺交，不抄袭。</w:t>
            </w:r>
          </w:p>
          <w:p w14:paraId="2047D461">
            <w:pPr>
              <w:rPr>
                <w:rFonts w:ascii="Calibri" w:hAnsi="Calibri" w:eastAsia="宋体" w:cs="Times New Roman"/>
                <w:szCs w:val="21"/>
              </w:rPr>
            </w:pPr>
            <w:r>
              <w:rPr>
                <w:rFonts w:ascii="Calibri" w:hAnsi="Calibri" w:eastAsia="宋体" w:cs="Times New Roman"/>
                <w:szCs w:val="21"/>
              </w:rPr>
              <w:t>（2）作业规范，书写清晰。</w:t>
            </w:r>
          </w:p>
          <w:p w14:paraId="795258D7">
            <w:pPr>
              <w:rPr>
                <w:rFonts w:ascii="Calibri" w:hAnsi="Calibri" w:eastAsia="宋体" w:cs="Times New Roman"/>
                <w:szCs w:val="21"/>
              </w:rPr>
            </w:pPr>
            <w:r>
              <w:rPr>
                <w:rFonts w:ascii="Calibri" w:hAnsi="Calibri" w:eastAsia="宋体" w:cs="Times New Roman"/>
                <w:szCs w:val="21"/>
              </w:rPr>
              <w:t>（3）解题方法和步骤正确。</w:t>
            </w:r>
          </w:p>
          <w:p w14:paraId="6BB87DB5">
            <w:pPr>
              <w:rPr>
                <w:rFonts w:ascii="Calibri" w:hAnsi="Calibri" w:eastAsia="宋体" w:cs="Times New Roman"/>
                <w:szCs w:val="21"/>
              </w:rPr>
            </w:pPr>
            <w:r>
              <w:rPr>
                <w:rFonts w:ascii="Calibri" w:hAnsi="Calibri" w:eastAsia="宋体" w:cs="Times New Roman"/>
                <w:szCs w:val="21"/>
              </w:rPr>
              <w:t>教师批改和讲评作业要求如下：</w:t>
            </w:r>
          </w:p>
          <w:p w14:paraId="38D72824">
            <w:pPr>
              <w:rPr>
                <w:rFonts w:ascii="Calibri" w:hAnsi="Calibri" w:eastAsia="宋体" w:cs="Times New Roman"/>
                <w:szCs w:val="21"/>
              </w:rPr>
            </w:pPr>
            <w:r>
              <w:rPr>
                <w:rFonts w:ascii="Calibri" w:hAnsi="Calibri" w:eastAsia="宋体" w:cs="Times New Roman"/>
                <w:szCs w:val="21"/>
              </w:rPr>
              <w:t>（1）学生的作业要按时批改，并及时进行讲评。</w:t>
            </w:r>
          </w:p>
          <w:p w14:paraId="6E003FAE">
            <w:pPr>
              <w:rPr>
                <w:rFonts w:ascii="Calibri" w:hAnsi="Calibri" w:eastAsia="宋体" w:cs="Times New Roman"/>
                <w:szCs w:val="21"/>
              </w:rPr>
            </w:pPr>
            <w:r>
              <w:rPr>
                <w:rFonts w:ascii="Calibri" w:hAnsi="Calibri" w:eastAsia="宋体" w:cs="Times New Roman"/>
                <w:szCs w:val="21"/>
              </w:rPr>
              <w:t>（2）教师批改和讲评作业要认真、细致，按百分制评定成绩并写明日期。</w:t>
            </w:r>
          </w:p>
          <w:p w14:paraId="47F45EDE">
            <w:pPr>
              <w:rPr>
                <w:rFonts w:ascii="Calibri" w:hAnsi="Calibri" w:eastAsia="宋体" w:cs="Times New Roman"/>
                <w:szCs w:val="21"/>
              </w:rPr>
            </w:pPr>
            <w:r>
              <w:rPr>
                <w:rFonts w:ascii="Calibri" w:hAnsi="Calibri" w:eastAsia="宋体" w:cs="Times New Roman"/>
                <w:szCs w:val="21"/>
              </w:rPr>
              <w:t>（3）学生作业平均成绩应作为本课程总评成绩中平时成绩的重要组成部分。</w:t>
            </w:r>
          </w:p>
        </w:tc>
      </w:tr>
      <w:tr w14:paraId="0CFE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508" w:type="dxa"/>
            <w:tcBorders>
              <w:left w:val="single" w:color="auto" w:sz="8" w:space="0"/>
            </w:tcBorders>
            <w:vAlign w:val="center"/>
          </w:tcPr>
          <w:p w14:paraId="3C7E4396">
            <w:pPr>
              <w:jc w:val="center"/>
              <w:rPr>
                <w:rFonts w:ascii="Calibri" w:hAnsi="Calibri" w:eastAsia="宋体" w:cs="Times New Roman"/>
                <w:szCs w:val="21"/>
              </w:rPr>
            </w:pPr>
            <w:r>
              <w:rPr>
                <w:rFonts w:ascii="Calibri" w:hAnsi="Calibri" w:eastAsia="宋体" w:cs="Times New Roman"/>
                <w:szCs w:val="21"/>
              </w:rPr>
              <w:t>4</w:t>
            </w:r>
          </w:p>
        </w:tc>
        <w:tc>
          <w:tcPr>
            <w:tcW w:w="975" w:type="dxa"/>
            <w:tcMar>
              <w:left w:w="28" w:type="dxa"/>
              <w:right w:w="28" w:type="dxa"/>
            </w:tcMar>
            <w:vAlign w:val="center"/>
          </w:tcPr>
          <w:p w14:paraId="7A98DA70">
            <w:pPr>
              <w:jc w:val="center"/>
              <w:rPr>
                <w:rFonts w:ascii="Calibri" w:hAnsi="Calibri" w:eastAsia="宋体" w:cs="Times New Roman"/>
                <w:szCs w:val="21"/>
              </w:rPr>
            </w:pPr>
            <w:r>
              <w:rPr>
                <w:rFonts w:ascii="Calibri" w:hAnsi="Calibri" w:eastAsia="宋体" w:cs="Times New Roman"/>
                <w:szCs w:val="21"/>
              </w:rPr>
              <w:t>课外答疑</w:t>
            </w:r>
          </w:p>
        </w:tc>
        <w:tc>
          <w:tcPr>
            <w:tcW w:w="7074" w:type="dxa"/>
            <w:gridSpan w:val="2"/>
            <w:tcBorders>
              <w:right w:val="single" w:color="auto" w:sz="8" w:space="0"/>
            </w:tcBorders>
            <w:vAlign w:val="center"/>
          </w:tcPr>
          <w:p w14:paraId="53BD77BD">
            <w:pPr>
              <w:rPr>
                <w:rFonts w:ascii="Calibri" w:hAnsi="Calibri" w:eastAsia="宋体" w:cs="Times New Roman"/>
                <w:szCs w:val="21"/>
              </w:rPr>
            </w:pPr>
            <w:r>
              <w:rPr>
                <w:rFonts w:ascii="Calibri" w:hAnsi="Calibri"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11EB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508" w:type="dxa"/>
            <w:tcBorders>
              <w:left w:val="single" w:color="auto" w:sz="8" w:space="0"/>
            </w:tcBorders>
            <w:vAlign w:val="center"/>
          </w:tcPr>
          <w:p w14:paraId="647FEF79">
            <w:pPr>
              <w:jc w:val="center"/>
              <w:rPr>
                <w:rFonts w:ascii="Calibri" w:hAnsi="Calibri" w:eastAsia="宋体" w:cs="Times New Roman"/>
                <w:szCs w:val="21"/>
              </w:rPr>
            </w:pPr>
            <w:r>
              <w:rPr>
                <w:rFonts w:ascii="Calibri" w:hAnsi="Calibri" w:eastAsia="宋体" w:cs="Times New Roman"/>
                <w:szCs w:val="21"/>
              </w:rPr>
              <w:t>5</w:t>
            </w:r>
          </w:p>
        </w:tc>
        <w:tc>
          <w:tcPr>
            <w:tcW w:w="975" w:type="dxa"/>
            <w:tcMar>
              <w:left w:w="28" w:type="dxa"/>
              <w:right w:w="28" w:type="dxa"/>
            </w:tcMar>
            <w:vAlign w:val="center"/>
          </w:tcPr>
          <w:p w14:paraId="07E0BC6F">
            <w:pPr>
              <w:jc w:val="center"/>
              <w:rPr>
                <w:rFonts w:ascii="Calibri" w:hAnsi="Calibri" w:eastAsia="宋体" w:cs="Times New Roman"/>
                <w:szCs w:val="21"/>
              </w:rPr>
            </w:pPr>
            <w:r>
              <w:rPr>
                <w:rFonts w:ascii="Calibri" w:hAnsi="Calibri" w:eastAsia="宋体" w:cs="Times New Roman"/>
                <w:szCs w:val="21"/>
              </w:rPr>
              <w:t>成绩考核</w:t>
            </w:r>
          </w:p>
        </w:tc>
        <w:tc>
          <w:tcPr>
            <w:tcW w:w="7074" w:type="dxa"/>
            <w:gridSpan w:val="2"/>
            <w:tcBorders>
              <w:right w:val="single" w:color="auto" w:sz="8" w:space="0"/>
            </w:tcBorders>
            <w:vAlign w:val="center"/>
          </w:tcPr>
          <w:p w14:paraId="2E11000D">
            <w:pPr>
              <w:rPr>
                <w:rFonts w:ascii="Calibri" w:hAnsi="Calibri" w:eastAsia="宋体" w:cs="Times New Roman"/>
                <w:szCs w:val="21"/>
              </w:rPr>
            </w:pPr>
            <w:r>
              <w:rPr>
                <w:rFonts w:ascii="Calibri" w:hAnsi="Calibri" w:eastAsia="宋体" w:cs="Times New Roman"/>
                <w:szCs w:val="21"/>
              </w:rPr>
              <w:t>本课程考核的方式为闭卷笔试。监考由学院统一安排。有下列情况之一者，总评成绩为不及格：</w:t>
            </w:r>
          </w:p>
          <w:p w14:paraId="1C87EB0C">
            <w:pPr>
              <w:rPr>
                <w:rFonts w:ascii="Calibri" w:hAnsi="Calibri" w:eastAsia="宋体" w:cs="Times New Roman"/>
                <w:szCs w:val="21"/>
              </w:rPr>
            </w:pPr>
            <w:r>
              <w:rPr>
                <w:rFonts w:ascii="Calibri" w:hAnsi="Calibri" w:eastAsia="宋体" w:cs="Times New Roman"/>
                <w:szCs w:val="21"/>
              </w:rPr>
              <w:t>（1）缺交作业次数达1/3以上者。</w:t>
            </w:r>
          </w:p>
          <w:p w14:paraId="3B716E2A">
            <w:pPr>
              <w:rPr>
                <w:rFonts w:ascii="Calibri" w:hAnsi="Calibri" w:eastAsia="宋体" w:cs="Times New Roman"/>
                <w:szCs w:val="21"/>
              </w:rPr>
            </w:pPr>
            <w:r>
              <w:rPr>
                <w:rFonts w:ascii="Calibri" w:hAnsi="Calibri" w:eastAsia="宋体" w:cs="Times New Roman"/>
                <w:szCs w:val="21"/>
              </w:rPr>
              <w:t>（2）缺课次数达本学期总授课学时的1/3以上者。</w:t>
            </w:r>
          </w:p>
        </w:tc>
      </w:tr>
    </w:tbl>
    <w:p w14:paraId="78EE0D76">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sz w:val="24"/>
          <w:szCs w:val="24"/>
        </w:rPr>
        <w:t>五</w:t>
      </w:r>
      <w:r>
        <w:rPr>
          <w:rFonts w:ascii="Calibri" w:hAnsi="Calibri" w:eastAsia="宋体" w:cs="Times New Roman"/>
          <w:b/>
          <w:sz w:val="24"/>
          <w:szCs w:val="24"/>
        </w:rPr>
        <w:t>、课程考核</w:t>
      </w:r>
    </w:p>
    <w:p w14:paraId="0C014C5D">
      <w:pPr>
        <w:spacing w:line="360" w:lineRule="auto"/>
        <w:ind w:firstLine="480" w:firstLineChars="200"/>
        <w:rPr>
          <w:rFonts w:ascii="Calibri" w:hAnsi="Calibri" w:eastAsia="宋体" w:cs="Times New Roman"/>
          <w:sz w:val="24"/>
        </w:rPr>
      </w:pPr>
      <w:r>
        <w:rPr>
          <w:rFonts w:ascii="Calibri" w:hAnsi="Calibri" w:eastAsia="宋体" w:cs="Times New Roman"/>
          <w:sz w:val="24"/>
        </w:rPr>
        <w:t>（一）课程考核包括期末考试、平时及作业考核等，期末考试采用闭卷考试方式。</w:t>
      </w:r>
    </w:p>
    <w:p w14:paraId="46D186DE">
      <w:pPr>
        <w:spacing w:line="360" w:lineRule="auto"/>
        <w:ind w:firstLine="480" w:firstLineChars="200"/>
        <w:rPr>
          <w:rFonts w:ascii="Calibri" w:hAnsi="Calibri" w:eastAsia="宋体" w:cs="Times New Roman"/>
          <w:sz w:val="24"/>
        </w:rPr>
      </w:pPr>
      <w:r>
        <w:rPr>
          <w:rFonts w:ascii="Calibri" w:hAnsi="Calibri" w:eastAsia="宋体" w:cs="Times New Roman"/>
          <w:sz w:val="24"/>
        </w:rPr>
        <w:t>（二）课程总评成绩=平时成绩×</w:t>
      </w:r>
      <w:r>
        <w:rPr>
          <w:rFonts w:hint="eastAsia" w:ascii="Calibri" w:hAnsi="Calibri" w:eastAsia="宋体" w:cs="Times New Roman"/>
          <w:sz w:val="24"/>
        </w:rPr>
        <w:t>3</w:t>
      </w:r>
      <w:r>
        <w:rPr>
          <w:rFonts w:ascii="Calibri" w:hAnsi="Calibri" w:eastAsia="宋体" w:cs="Times New Roman"/>
          <w:sz w:val="24"/>
        </w:rPr>
        <w:t>0 % +期末考试成绩×</w:t>
      </w:r>
      <w:r>
        <w:rPr>
          <w:rFonts w:hint="eastAsia" w:ascii="Calibri" w:hAnsi="Calibri" w:eastAsia="宋体" w:cs="Times New Roman"/>
          <w:sz w:val="24"/>
        </w:rPr>
        <w:t>7</w:t>
      </w:r>
      <w:r>
        <w:rPr>
          <w:rFonts w:ascii="Calibri" w:hAnsi="Calibri" w:eastAsia="宋体" w:cs="Times New Roman"/>
          <w:sz w:val="24"/>
        </w:rPr>
        <w:t>0 %。</w:t>
      </w:r>
    </w:p>
    <w:p w14:paraId="4CB7DFB2">
      <w:pPr>
        <w:spacing w:line="360" w:lineRule="auto"/>
        <w:ind w:firstLine="482" w:firstLineChars="200"/>
        <w:rPr>
          <w:rFonts w:ascii="Calibri" w:hAnsi="Calibri" w:eastAsia="宋体" w:cs="Times New Roman"/>
          <w:b/>
          <w:sz w:val="24"/>
        </w:rPr>
      </w:pPr>
      <w:r>
        <w:rPr>
          <w:rFonts w:ascii="Calibri" w:hAnsi="Calibri" w:eastAsia="宋体" w:cs="Times New Roman"/>
          <w:b/>
          <w:sz w:val="24"/>
        </w:rPr>
        <w:t>具体内容和比例如表所示：</w:t>
      </w:r>
    </w:p>
    <w:tbl>
      <w:tblPr>
        <w:tblStyle w:val="30"/>
        <w:tblW w:w="8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31"/>
        <w:gridCol w:w="707"/>
        <w:gridCol w:w="2555"/>
        <w:gridCol w:w="1067"/>
        <w:gridCol w:w="1016"/>
        <w:gridCol w:w="1384"/>
      </w:tblGrid>
      <w:tr w14:paraId="58BC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22" w:type="dxa"/>
            <w:shd w:val="clear" w:color="auto" w:fill="FFFFFF"/>
            <w:tcMar>
              <w:left w:w="57" w:type="dxa"/>
              <w:right w:w="57" w:type="dxa"/>
            </w:tcMar>
            <w:vAlign w:val="center"/>
          </w:tcPr>
          <w:p w14:paraId="69268535">
            <w:pPr>
              <w:jc w:val="center"/>
              <w:rPr>
                <w:rFonts w:ascii="Calibri" w:hAnsi="Calibri" w:eastAsia="宋体" w:cs="Times New Roman"/>
                <w:b/>
              </w:rPr>
            </w:pPr>
            <w:r>
              <w:rPr>
                <w:rFonts w:ascii="Calibri" w:hAnsi="Calibri" w:eastAsia="宋体" w:cs="Times New Roman"/>
                <w:b/>
              </w:rPr>
              <w:t>成绩组成</w:t>
            </w:r>
          </w:p>
        </w:tc>
        <w:tc>
          <w:tcPr>
            <w:tcW w:w="1131" w:type="dxa"/>
            <w:shd w:val="clear" w:color="auto" w:fill="FFFFFF"/>
            <w:vAlign w:val="center"/>
          </w:tcPr>
          <w:p w14:paraId="7C8BD341">
            <w:pPr>
              <w:spacing w:line="276" w:lineRule="auto"/>
              <w:jc w:val="center"/>
              <w:rPr>
                <w:rFonts w:ascii="Calibri" w:hAnsi="Calibri" w:eastAsia="宋体" w:cs="Times New Roman"/>
                <w:b/>
              </w:rPr>
            </w:pPr>
            <w:r>
              <w:rPr>
                <w:rFonts w:ascii="Calibri" w:hAnsi="Calibri" w:eastAsia="宋体" w:cs="Times New Roman"/>
                <w:b/>
              </w:rPr>
              <w:t>考核/</w:t>
            </w:r>
          </w:p>
          <w:p w14:paraId="460A686E">
            <w:pPr>
              <w:spacing w:line="276" w:lineRule="auto"/>
              <w:jc w:val="center"/>
              <w:rPr>
                <w:rFonts w:ascii="Calibri" w:hAnsi="Calibri" w:eastAsia="宋体" w:cs="Times New Roman"/>
                <w:b/>
              </w:rPr>
            </w:pPr>
            <w:r>
              <w:rPr>
                <w:rFonts w:ascii="Calibri" w:hAnsi="Calibri" w:eastAsia="宋体" w:cs="Times New Roman"/>
                <w:b/>
              </w:rPr>
              <w:t>评价环节</w:t>
            </w:r>
          </w:p>
        </w:tc>
        <w:tc>
          <w:tcPr>
            <w:tcW w:w="707" w:type="dxa"/>
            <w:shd w:val="clear" w:color="auto" w:fill="FFFFFF"/>
            <w:vAlign w:val="center"/>
          </w:tcPr>
          <w:p w14:paraId="697AE9F9">
            <w:pPr>
              <w:spacing w:line="276" w:lineRule="auto"/>
              <w:jc w:val="center"/>
              <w:rPr>
                <w:rFonts w:ascii="Calibri" w:hAnsi="Calibri" w:eastAsia="宋体" w:cs="Times New Roman"/>
                <w:b/>
              </w:rPr>
            </w:pPr>
            <w:r>
              <w:rPr>
                <w:rFonts w:ascii="Calibri" w:hAnsi="Calibri" w:eastAsia="宋体" w:cs="Times New Roman"/>
                <w:b/>
              </w:rPr>
              <w:t>权重</w:t>
            </w:r>
          </w:p>
        </w:tc>
        <w:tc>
          <w:tcPr>
            <w:tcW w:w="2555" w:type="dxa"/>
            <w:shd w:val="clear" w:color="auto" w:fill="FFFFFF"/>
            <w:vAlign w:val="center"/>
          </w:tcPr>
          <w:p w14:paraId="59D96DAE">
            <w:pPr>
              <w:spacing w:line="276" w:lineRule="auto"/>
              <w:jc w:val="center"/>
              <w:rPr>
                <w:rFonts w:ascii="Calibri" w:hAnsi="Calibri" w:eastAsia="宋体" w:cs="Times New Roman"/>
                <w:b/>
              </w:rPr>
            </w:pPr>
            <w:r>
              <w:rPr>
                <w:rFonts w:ascii="Calibri" w:hAnsi="Calibri" w:eastAsia="宋体" w:cs="Times New Roman"/>
                <w:b/>
              </w:rPr>
              <w:t>考核/评价细则</w:t>
            </w:r>
          </w:p>
        </w:tc>
        <w:tc>
          <w:tcPr>
            <w:tcW w:w="1067" w:type="dxa"/>
            <w:shd w:val="clear" w:color="auto" w:fill="FFFFFF"/>
          </w:tcPr>
          <w:p w14:paraId="63D7F0DD">
            <w:pPr>
              <w:spacing w:line="276" w:lineRule="auto"/>
              <w:jc w:val="center"/>
              <w:rPr>
                <w:rFonts w:ascii="Calibri" w:hAnsi="Calibri" w:eastAsia="宋体" w:cs="Times New Roman"/>
                <w:b/>
              </w:rPr>
            </w:pPr>
            <w:r>
              <w:rPr>
                <w:rFonts w:ascii="Calibri" w:hAnsi="Calibri" w:eastAsia="宋体" w:cs="Times New Roman"/>
                <w:b/>
              </w:rPr>
              <w:t>课程</w:t>
            </w:r>
          </w:p>
          <w:p w14:paraId="15CB2B2E">
            <w:pPr>
              <w:spacing w:line="276" w:lineRule="auto"/>
              <w:jc w:val="center"/>
              <w:rPr>
                <w:rFonts w:ascii="Calibri" w:hAnsi="Calibri" w:eastAsia="宋体" w:cs="Times New Roman"/>
                <w:b/>
              </w:rPr>
            </w:pPr>
            <w:r>
              <w:rPr>
                <w:rFonts w:ascii="Calibri" w:hAnsi="Calibri" w:eastAsia="宋体" w:cs="Times New Roman"/>
                <w:b/>
              </w:rPr>
              <w:t>目标</w:t>
            </w:r>
          </w:p>
        </w:tc>
        <w:tc>
          <w:tcPr>
            <w:tcW w:w="1016" w:type="dxa"/>
            <w:shd w:val="clear" w:color="auto" w:fill="FFFFFF"/>
          </w:tcPr>
          <w:p w14:paraId="3717B150">
            <w:pPr>
              <w:spacing w:line="276" w:lineRule="auto"/>
              <w:jc w:val="center"/>
              <w:rPr>
                <w:rFonts w:ascii="Calibri" w:hAnsi="Calibri" w:eastAsia="宋体" w:cs="Times New Roman"/>
                <w:b/>
              </w:rPr>
            </w:pPr>
            <w:r>
              <w:rPr>
                <w:rFonts w:ascii="Calibri" w:hAnsi="Calibri" w:eastAsia="宋体" w:cs="Times New Roman"/>
                <w:b/>
              </w:rPr>
              <w:t>考核</w:t>
            </w:r>
          </w:p>
          <w:p w14:paraId="267199CC">
            <w:pPr>
              <w:spacing w:line="276" w:lineRule="auto"/>
              <w:jc w:val="center"/>
              <w:rPr>
                <w:rFonts w:ascii="Calibri" w:hAnsi="Calibri" w:eastAsia="宋体" w:cs="Times New Roman"/>
                <w:b/>
              </w:rPr>
            </w:pPr>
            <w:r>
              <w:rPr>
                <w:rFonts w:ascii="Calibri" w:hAnsi="Calibri" w:eastAsia="宋体" w:cs="Times New Roman"/>
                <w:b/>
              </w:rPr>
              <w:t>内容</w:t>
            </w:r>
          </w:p>
        </w:tc>
        <w:tc>
          <w:tcPr>
            <w:tcW w:w="1384" w:type="dxa"/>
            <w:shd w:val="clear" w:color="auto" w:fill="FFFFFF"/>
            <w:vAlign w:val="center"/>
          </w:tcPr>
          <w:p w14:paraId="4E06C214">
            <w:pPr>
              <w:spacing w:line="276" w:lineRule="auto"/>
              <w:jc w:val="center"/>
              <w:rPr>
                <w:rFonts w:ascii="Calibri" w:hAnsi="Calibri" w:eastAsia="宋体" w:cs="Times New Roman"/>
                <w:b/>
              </w:rPr>
            </w:pPr>
            <w:r>
              <w:rPr>
                <w:rFonts w:ascii="Calibri" w:hAnsi="Calibri" w:eastAsia="宋体" w:cs="Times New Roman"/>
                <w:b/>
              </w:rPr>
              <w:t>对应的毕业要求指标点</w:t>
            </w:r>
          </w:p>
        </w:tc>
      </w:tr>
      <w:tr w14:paraId="4922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22" w:type="dxa"/>
            <w:tcMar>
              <w:left w:w="57" w:type="dxa"/>
              <w:right w:w="57" w:type="dxa"/>
            </w:tcMar>
            <w:vAlign w:val="center"/>
          </w:tcPr>
          <w:p w14:paraId="2B9EA0C1">
            <w:pPr>
              <w:jc w:val="center"/>
              <w:rPr>
                <w:rFonts w:ascii="Calibri" w:hAnsi="Calibri" w:eastAsia="宋体" w:cs="Times New Roman"/>
              </w:rPr>
            </w:pPr>
            <w:r>
              <w:rPr>
                <w:rFonts w:ascii="Calibri" w:hAnsi="Calibri" w:eastAsia="宋体" w:cs="Times New Roman"/>
              </w:rPr>
              <w:t>平时成绩</w:t>
            </w:r>
          </w:p>
        </w:tc>
        <w:tc>
          <w:tcPr>
            <w:tcW w:w="1131" w:type="dxa"/>
            <w:vAlign w:val="center"/>
          </w:tcPr>
          <w:p w14:paraId="121B30A4">
            <w:pPr>
              <w:jc w:val="center"/>
              <w:rPr>
                <w:rFonts w:ascii="Calibri" w:hAnsi="Calibri" w:eastAsia="宋体" w:cs="Times New Roman"/>
              </w:rPr>
            </w:pPr>
            <w:r>
              <w:rPr>
                <w:rFonts w:ascii="Calibri" w:hAnsi="Calibri" w:eastAsia="宋体" w:cs="Times New Roman"/>
              </w:rPr>
              <w:t>课堂考勤及平时作业</w:t>
            </w:r>
          </w:p>
        </w:tc>
        <w:tc>
          <w:tcPr>
            <w:tcW w:w="707" w:type="dxa"/>
            <w:vAlign w:val="center"/>
          </w:tcPr>
          <w:p w14:paraId="003E62E4">
            <w:pPr>
              <w:jc w:val="center"/>
              <w:rPr>
                <w:rFonts w:ascii="Calibri" w:hAnsi="Calibri" w:eastAsia="宋体" w:cs="Times New Roman"/>
              </w:rPr>
            </w:pPr>
            <w:r>
              <w:rPr>
                <w:rFonts w:hint="eastAsia" w:ascii="Calibri" w:hAnsi="Calibri" w:eastAsia="宋体" w:cs="Times New Roman"/>
              </w:rPr>
              <w:t>3</w:t>
            </w:r>
            <w:r>
              <w:rPr>
                <w:rFonts w:ascii="Calibri" w:hAnsi="Calibri" w:eastAsia="宋体" w:cs="Times New Roman"/>
              </w:rPr>
              <w:t>0%</w:t>
            </w:r>
          </w:p>
        </w:tc>
        <w:tc>
          <w:tcPr>
            <w:tcW w:w="2555" w:type="dxa"/>
            <w:vAlign w:val="center"/>
          </w:tcPr>
          <w:p w14:paraId="00310578">
            <w:pPr>
              <w:jc w:val="left"/>
              <w:rPr>
                <w:rFonts w:ascii="Calibri" w:hAnsi="Calibri" w:eastAsia="宋体" w:cs="Times New Roman"/>
              </w:rPr>
            </w:pPr>
            <w:r>
              <w:rPr>
                <w:rFonts w:ascii="Calibri" w:hAnsi="Calibri" w:eastAsia="宋体" w:cs="Times New Roman"/>
                <w:szCs w:val="21"/>
              </w:rPr>
              <w:t>课堂考勤：课堂不定期点名，考核能否按时到勤，三次考勤未到平时成绩扣十分。平时作业：考核</w:t>
            </w:r>
            <w:r>
              <w:rPr>
                <w:rFonts w:ascii="Calibri" w:hAnsi="Calibri" w:eastAsia="宋体" w:cs="Times New Roman"/>
              </w:rPr>
              <w:t>学生对所学知识点的复习、理解和掌握度。对每次作业完成情况做记录并百分制打分，计算全部作业的平均成绩。</w:t>
            </w:r>
          </w:p>
        </w:tc>
        <w:tc>
          <w:tcPr>
            <w:tcW w:w="1067" w:type="dxa"/>
          </w:tcPr>
          <w:p w14:paraId="67DCC2C6">
            <w:pPr>
              <w:rPr>
                <w:rFonts w:ascii="Calibri" w:hAnsi="Calibri" w:eastAsia="宋体" w:cs="Times New Roman"/>
              </w:rPr>
            </w:pPr>
          </w:p>
          <w:p w14:paraId="16E04A34">
            <w:pPr>
              <w:rPr>
                <w:rFonts w:ascii="Calibri" w:hAnsi="Calibri" w:eastAsia="宋体" w:cs="Times New Roman"/>
              </w:rPr>
            </w:pPr>
          </w:p>
          <w:p w14:paraId="07D34D38">
            <w:pPr>
              <w:jc w:val="center"/>
              <w:rPr>
                <w:rFonts w:ascii="Calibri" w:hAnsi="Calibri" w:eastAsia="宋体" w:cs="Times New Roman"/>
              </w:rPr>
            </w:pPr>
            <w:r>
              <w:rPr>
                <w:rFonts w:ascii="Calibri" w:hAnsi="Calibri" w:eastAsia="宋体" w:cs="Times New Roman"/>
              </w:rPr>
              <w:t>课程目标</w:t>
            </w:r>
            <w:r>
              <w:rPr>
                <w:rFonts w:hint="eastAsia" w:ascii="Calibri" w:hAnsi="Calibri" w:eastAsia="宋体" w:cs="Times New Roman"/>
              </w:rPr>
              <w:t>1、2</w:t>
            </w:r>
          </w:p>
        </w:tc>
        <w:tc>
          <w:tcPr>
            <w:tcW w:w="1016" w:type="dxa"/>
          </w:tcPr>
          <w:p w14:paraId="577F143B">
            <w:pPr>
              <w:rPr>
                <w:rFonts w:ascii="Calibri" w:hAnsi="Calibri" w:eastAsia="宋体" w:cs="Times New Roman"/>
              </w:rPr>
            </w:pPr>
          </w:p>
          <w:p w14:paraId="47052924">
            <w:pPr>
              <w:rPr>
                <w:rFonts w:ascii="Calibri" w:hAnsi="Calibri" w:eastAsia="宋体" w:cs="Times New Roman"/>
              </w:rPr>
            </w:pPr>
          </w:p>
          <w:p w14:paraId="2409AB18">
            <w:pPr>
              <w:rPr>
                <w:rFonts w:ascii="Calibri" w:hAnsi="Calibri" w:eastAsia="宋体" w:cs="Times New Roman"/>
                <w:kern w:val="0"/>
                <w:szCs w:val="21"/>
              </w:rPr>
            </w:pPr>
            <w:r>
              <w:rPr>
                <w:rFonts w:ascii="Calibri" w:hAnsi="Calibri" w:eastAsia="宋体" w:cs="Times New Roman"/>
              </w:rPr>
              <w:t>函数、极限、连续函数、导数与微分等</w:t>
            </w:r>
          </w:p>
        </w:tc>
        <w:tc>
          <w:tcPr>
            <w:tcW w:w="1384" w:type="dxa"/>
            <w:vAlign w:val="center"/>
          </w:tcPr>
          <w:p w14:paraId="79F2D74A">
            <w:pPr>
              <w:jc w:val="center"/>
              <w:rPr>
                <w:rFonts w:ascii="Times New Roman" w:hAnsi="Times New Roman" w:eastAsia="楷体" w:cs="Times New Roman"/>
                <w:szCs w:val="21"/>
              </w:rPr>
            </w:pPr>
            <w:r>
              <w:rPr>
                <w:rFonts w:ascii="Times New Roman" w:hAnsi="Times New Roman" w:eastAsia="楷体" w:cs="Times New Roman"/>
                <w:szCs w:val="21"/>
              </w:rPr>
              <w:t>3-1、3-2</w:t>
            </w:r>
          </w:p>
          <w:p w14:paraId="6975D4B4">
            <w:pPr>
              <w:jc w:val="center"/>
              <w:rPr>
                <w:rFonts w:ascii="Calibri" w:hAnsi="Calibri" w:eastAsia="宋体" w:cs="Times New Roman"/>
              </w:rPr>
            </w:pPr>
            <w:r>
              <w:rPr>
                <w:rFonts w:ascii="Calibri" w:hAnsi="Calibri" w:eastAsia="宋体" w:cs="Times New Roman"/>
                <w:szCs w:val="21"/>
              </w:rPr>
              <w:t>6-2</w:t>
            </w:r>
          </w:p>
        </w:tc>
      </w:tr>
      <w:tr w14:paraId="04E9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2" w:type="dxa"/>
            <w:tcMar>
              <w:left w:w="57" w:type="dxa"/>
              <w:right w:w="57" w:type="dxa"/>
            </w:tcMar>
            <w:vAlign w:val="center"/>
          </w:tcPr>
          <w:p w14:paraId="217A8974">
            <w:pPr>
              <w:jc w:val="center"/>
              <w:rPr>
                <w:rFonts w:ascii="Calibri" w:hAnsi="Calibri" w:eastAsia="宋体" w:cs="Times New Roman"/>
              </w:rPr>
            </w:pPr>
            <w:r>
              <w:rPr>
                <w:rFonts w:ascii="Calibri" w:hAnsi="Calibri" w:eastAsia="宋体" w:cs="Times New Roman"/>
              </w:rPr>
              <w:t>期末考试</w:t>
            </w:r>
          </w:p>
        </w:tc>
        <w:tc>
          <w:tcPr>
            <w:tcW w:w="1131" w:type="dxa"/>
            <w:vAlign w:val="center"/>
          </w:tcPr>
          <w:p w14:paraId="52AC6802">
            <w:pPr>
              <w:jc w:val="center"/>
              <w:rPr>
                <w:rFonts w:ascii="Calibri" w:hAnsi="Calibri" w:eastAsia="宋体" w:cs="Times New Roman"/>
              </w:rPr>
            </w:pPr>
            <w:r>
              <w:rPr>
                <w:rFonts w:ascii="Calibri" w:hAnsi="Calibri" w:eastAsia="宋体" w:cs="Times New Roman"/>
              </w:rPr>
              <w:t>期末考试</w:t>
            </w:r>
          </w:p>
          <w:p w14:paraId="14148596">
            <w:pPr>
              <w:jc w:val="center"/>
              <w:rPr>
                <w:rFonts w:ascii="Calibri" w:hAnsi="Calibri" w:eastAsia="宋体" w:cs="Times New Roman"/>
              </w:rPr>
            </w:pPr>
            <w:r>
              <w:rPr>
                <w:rFonts w:ascii="Calibri" w:hAnsi="Calibri" w:eastAsia="宋体" w:cs="Times New Roman"/>
              </w:rPr>
              <w:t>卷面成绩</w:t>
            </w:r>
          </w:p>
        </w:tc>
        <w:tc>
          <w:tcPr>
            <w:tcW w:w="707" w:type="dxa"/>
            <w:vAlign w:val="center"/>
          </w:tcPr>
          <w:p w14:paraId="1BA11953">
            <w:pPr>
              <w:jc w:val="center"/>
              <w:rPr>
                <w:rFonts w:ascii="Calibri" w:hAnsi="Calibri" w:eastAsia="宋体" w:cs="Times New Roman"/>
              </w:rPr>
            </w:pPr>
            <w:r>
              <w:rPr>
                <w:rFonts w:hint="eastAsia" w:ascii="Calibri" w:hAnsi="Calibri" w:eastAsia="宋体" w:cs="Times New Roman"/>
              </w:rPr>
              <w:t>7</w:t>
            </w:r>
            <w:r>
              <w:rPr>
                <w:rFonts w:ascii="Calibri" w:hAnsi="Calibri" w:eastAsia="宋体" w:cs="Times New Roman"/>
              </w:rPr>
              <w:t>0%</w:t>
            </w:r>
          </w:p>
        </w:tc>
        <w:tc>
          <w:tcPr>
            <w:tcW w:w="2555" w:type="dxa"/>
            <w:vAlign w:val="center"/>
          </w:tcPr>
          <w:p w14:paraId="762EB16C">
            <w:pPr>
              <w:rPr>
                <w:rFonts w:ascii="Calibri" w:hAnsi="Calibri" w:eastAsia="宋体" w:cs="Times New Roman"/>
                <w:szCs w:val="21"/>
              </w:rPr>
            </w:pPr>
            <w:r>
              <w:rPr>
                <w:rFonts w:ascii="Calibri" w:hAnsi="Calibri" w:eastAsia="宋体" w:cs="Times New Roman"/>
                <w:szCs w:val="21"/>
              </w:rPr>
              <w:t>开卷题型包括填空题、计算题、解答题，以卷面成绩的70%计入课程总成绩。</w:t>
            </w:r>
          </w:p>
        </w:tc>
        <w:tc>
          <w:tcPr>
            <w:tcW w:w="1067" w:type="dxa"/>
          </w:tcPr>
          <w:p w14:paraId="70BF11EB">
            <w:pPr>
              <w:jc w:val="center"/>
              <w:rPr>
                <w:rFonts w:ascii="Calibri" w:hAnsi="Calibri" w:eastAsia="宋体" w:cs="Times New Roman"/>
                <w:szCs w:val="21"/>
              </w:rPr>
            </w:pPr>
            <w:r>
              <w:rPr>
                <w:rFonts w:ascii="Calibri" w:hAnsi="Calibri" w:eastAsia="宋体" w:cs="Times New Roman"/>
              </w:rPr>
              <w:t>课程目标</w:t>
            </w:r>
            <w:r>
              <w:rPr>
                <w:rFonts w:hint="eastAsia" w:ascii="Calibri" w:hAnsi="Calibri" w:eastAsia="宋体" w:cs="Times New Roman"/>
              </w:rPr>
              <w:t>1、2</w:t>
            </w:r>
          </w:p>
        </w:tc>
        <w:tc>
          <w:tcPr>
            <w:tcW w:w="1016" w:type="dxa"/>
            <w:vAlign w:val="center"/>
          </w:tcPr>
          <w:p w14:paraId="27EC89A1">
            <w:pPr>
              <w:jc w:val="center"/>
              <w:rPr>
                <w:rFonts w:ascii="Calibri" w:hAnsi="Calibri" w:eastAsia="宋体" w:cs="Times New Roman"/>
                <w:szCs w:val="21"/>
              </w:rPr>
            </w:pPr>
            <w:r>
              <w:rPr>
                <w:rFonts w:ascii="Calibri" w:hAnsi="Calibri" w:eastAsia="宋体" w:cs="Times New Roman"/>
              </w:rPr>
              <w:t>函数、极限、连续函数、导数与微分等</w:t>
            </w:r>
          </w:p>
        </w:tc>
        <w:tc>
          <w:tcPr>
            <w:tcW w:w="1384" w:type="dxa"/>
            <w:vAlign w:val="center"/>
          </w:tcPr>
          <w:p w14:paraId="2E24DFB7">
            <w:pPr>
              <w:jc w:val="center"/>
              <w:rPr>
                <w:rFonts w:ascii="Times New Roman" w:hAnsi="Times New Roman" w:eastAsia="楷体" w:cs="Times New Roman"/>
                <w:szCs w:val="21"/>
              </w:rPr>
            </w:pPr>
            <w:r>
              <w:rPr>
                <w:rFonts w:ascii="Times New Roman" w:hAnsi="Times New Roman" w:eastAsia="楷体" w:cs="Times New Roman"/>
                <w:szCs w:val="21"/>
              </w:rPr>
              <w:t>3-1、3-2</w:t>
            </w:r>
          </w:p>
          <w:p w14:paraId="2D0484E0">
            <w:pPr>
              <w:rPr>
                <w:rFonts w:ascii="Calibri" w:hAnsi="Calibri" w:eastAsia="宋体" w:cs="Times New Roman"/>
                <w:szCs w:val="21"/>
              </w:rPr>
            </w:pPr>
          </w:p>
        </w:tc>
      </w:tr>
    </w:tbl>
    <w:p w14:paraId="0AFD2011">
      <w:pPr>
        <w:spacing w:line="360" w:lineRule="auto"/>
        <w:ind w:firstLine="480" w:firstLineChars="200"/>
        <w:rPr>
          <w:rFonts w:ascii="Calibri" w:hAnsi="Calibri" w:eastAsia="宋体" w:cs="Times New Roman"/>
          <w:sz w:val="24"/>
        </w:rPr>
      </w:pPr>
      <w:r>
        <w:rPr>
          <w:rFonts w:ascii="Calibri" w:hAnsi="Calibri" w:eastAsia="宋体" w:cs="Times New Roman"/>
          <w:sz w:val="24"/>
        </w:rPr>
        <w:t>（三）课程目标及考核方式权重分配表</w:t>
      </w:r>
    </w:p>
    <w:tbl>
      <w:tblPr>
        <w:tblStyle w:val="30"/>
        <w:tblW w:w="8990" w:type="dxa"/>
        <w:tblInd w:w="0" w:type="dxa"/>
        <w:tblLayout w:type="fixed"/>
        <w:tblCellMar>
          <w:top w:w="0" w:type="dxa"/>
          <w:left w:w="108" w:type="dxa"/>
          <w:bottom w:w="0" w:type="dxa"/>
          <w:right w:w="108" w:type="dxa"/>
        </w:tblCellMar>
      </w:tblPr>
      <w:tblGrid>
        <w:gridCol w:w="2037"/>
        <w:gridCol w:w="1807"/>
        <w:gridCol w:w="1497"/>
        <w:gridCol w:w="1592"/>
        <w:gridCol w:w="2057"/>
      </w:tblGrid>
      <w:tr w14:paraId="5CDFB362">
        <w:tblPrEx>
          <w:tblCellMar>
            <w:top w:w="0" w:type="dxa"/>
            <w:left w:w="108" w:type="dxa"/>
            <w:bottom w:w="0" w:type="dxa"/>
            <w:right w:w="108" w:type="dxa"/>
          </w:tblCellMar>
        </w:tblPrEx>
        <w:trPr>
          <w:trHeight w:val="299" w:hRule="atLeast"/>
        </w:trPr>
        <w:tc>
          <w:tcPr>
            <w:tcW w:w="3844" w:type="dxa"/>
            <w:gridSpan w:val="2"/>
            <w:tcBorders>
              <w:top w:val="single" w:color="auto" w:sz="8" w:space="0"/>
              <w:left w:val="single" w:color="auto" w:sz="8" w:space="0"/>
              <w:bottom w:val="single" w:color="auto" w:sz="8" w:space="0"/>
              <w:right w:val="single" w:color="000000" w:sz="8" w:space="0"/>
            </w:tcBorders>
            <w:vAlign w:val="center"/>
          </w:tcPr>
          <w:p w14:paraId="09963068">
            <w:pPr>
              <w:widowControl/>
              <w:spacing w:line="276" w:lineRule="auto"/>
              <w:jc w:val="center"/>
              <w:rPr>
                <w:rFonts w:ascii="宋体" w:hAnsi="宋体" w:eastAsia="宋体" w:cs="Times New Roman"/>
                <w:b/>
                <w:bCs/>
                <w:kern w:val="0"/>
                <w:szCs w:val="21"/>
              </w:rPr>
            </w:pPr>
            <w:r>
              <w:rPr>
                <w:rFonts w:ascii="宋体" w:hAnsi="宋体" w:eastAsia="宋体" w:cs="Times New Roman"/>
                <w:b/>
                <w:bCs/>
                <w:kern w:val="0"/>
                <w:szCs w:val="21"/>
              </w:rPr>
              <w:t>课程目标及权重</w:t>
            </w:r>
          </w:p>
        </w:tc>
        <w:tc>
          <w:tcPr>
            <w:tcW w:w="5146" w:type="dxa"/>
            <w:gridSpan w:val="3"/>
            <w:tcBorders>
              <w:top w:val="single" w:color="auto" w:sz="8" w:space="0"/>
              <w:left w:val="nil"/>
              <w:bottom w:val="single" w:color="auto" w:sz="8" w:space="0"/>
              <w:right w:val="single" w:color="000000" w:sz="8" w:space="0"/>
            </w:tcBorders>
            <w:vAlign w:val="center"/>
          </w:tcPr>
          <w:p w14:paraId="51C5FFB0">
            <w:pPr>
              <w:widowControl/>
              <w:spacing w:line="276" w:lineRule="auto"/>
              <w:ind w:right="-391" w:rightChars="-186"/>
              <w:jc w:val="center"/>
              <w:rPr>
                <w:rFonts w:ascii="宋体" w:hAnsi="宋体" w:eastAsia="宋体" w:cs="Times New Roman"/>
                <w:b/>
                <w:bCs/>
                <w:kern w:val="0"/>
                <w:szCs w:val="21"/>
              </w:rPr>
            </w:pPr>
            <w:r>
              <w:rPr>
                <w:rFonts w:ascii="宋体" w:hAnsi="宋体" w:eastAsia="宋体" w:cs="Times New Roman"/>
                <w:b/>
                <w:bCs/>
                <w:kern w:val="0"/>
                <w:szCs w:val="21"/>
              </w:rPr>
              <w:t>考核方式及权重</w:t>
            </w:r>
          </w:p>
        </w:tc>
      </w:tr>
      <w:tr w14:paraId="6F3466E6">
        <w:tblPrEx>
          <w:tblCellMar>
            <w:top w:w="0" w:type="dxa"/>
            <w:left w:w="108" w:type="dxa"/>
            <w:bottom w:w="0" w:type="dxa"/>
            <w:right w:w="108" w:type="dxa"/>
          </w:tblCellMar>
        </w:tblPrEx>
        <w:trPr>
          <w:trHeight w:val="461" w:hRule="atLeast"/>
        </w:trPr>
        <w:tc>
          <w:tcPr>
            <w:tcW w:w="2037" w:type="dxa"/>
            <w:tcBorders>
              <w:top w:val="nil"/>
              <w:left w:val="single" w:color="auto" w:sz="8" w:space="0"/>
              <w:bottom w:val="single" w:color="auto" w:sz="8" w:space="0"/>
              <w:right w:val="single" w:color="auto" w:sz="8" w:space="0"/>
            </w:tcBorders>
            <w:vAlign w:val="center"/>
          </w:tcPr>
          <w:p w14:paraId="4CFBA602">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项目</w:t>
            </w:r>
          </w:p>
        </w:tc>
        <w:tc>
          <w:tcPr>
            <w:tcW w:w="1807" w:type="dxa"/>
            <w:tcBorders>
              <w:top w:val="nil"/>
              <w:left w:val="nil"/>
              <w:bottom w:val="single" w:color="auto" w:sz="8" w:space="0"/>
              <w:right w:val="single" w:color="auto" w:sz="8" w:space="0"/>
            </w:tcBorders>
            <w:vAlign w:val="center"/>
          </w:tcPr>
          <w:p w14:paraId="082E63EE">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权重（a）</w:t>
            </w:r>
          </w:p>
        </w:tc>
        <w:tc>
          <w:tcPr>
            <w:tcW w:w="1497" w:type="dxa"/>
            <w:tcBorders>
              <w:top w:val="nil"/>
              <w:left w:val="nil"/>
              <w:bottom w:val="single" w:color="auto" w:sz="8" w:space="0"/>
              <w:right w:val="single" w:color="auto" w:sz="8" w:space="0"/>
            </w:tcBorders>
            <w:vAlign w:val="center"/>
          </w:tcPr>
          <w:p w14:paraId="352D8323">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评价依据</w:t>
            </w:r>
          </w:p>
        </w:tc>
        <w:tc>
          <w:tcPr>
            <w:tcW w:w="1592" w:type="dxa"/>
            <w:tcBorders>
              <w:top w:val="nil"/>
              <w:left w:val="nil"/>
              <w:bottom w:val="single" w:color="auto" w:sz="8" w:space="0"/>
              <w:right w:val="single" w:color="auto" w:sz="8" w:space="0"/>
            </w:tcBorders>
            <w:vAlign w:val="center"/>
          </w:tcPr>
          <w:p w14:paraId="6D99E7B9">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权重（b）</w:t>
            </w:r>
          </w:p>
        </w:tc>
        <w:tc>
          <w:tcPr>
            <w:tcW w:w="2057" w:type="dxa"/>
            <w:tcBorders>
              <w:top w:val="nil"/>
              <w:left w:val="nil"/>
              <w:bottom w:val="single" w:color="auto" w:sz="8" w:space="0"/>
              <w:right w:val="single" w:color="auto" w:sz="8" w:space="0"/>
            </w:tcBorders>
            <w:vAlign w:val="center"/>
          </w:tcPr>
          <w:p w14:paraId="6F1BD5E7">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考核方式权重合计</w:t>
            </w:r>
          </w:p>
        </w:tc>
      </w:tr>
      <w:tr w14:paraId="6D6F8037">
        <w:tblPrEx>
          <w:tblCellMar>
            <w:top w:w="0" w:type="dxa"/>
            <w:left w:w="108" w:type="dxa"/>
            <w:bottom w:w="0" w:type="dxa"/>
            <w:right w:w="108" w:type="dxa"/>
          </w:tblCellMar>
        </w:tblPrEx>
        <w:trPr>
          <w:trHeight w:val="278" w:hRule="atLeast"/>
        </w:trPr>
        <w:tc>
          <w:tcPr>
            <w:tcW w:w="2037" w:type="dxa"/>
            <w:vMerge w:val="restart"/>
            <w:tcBorders>
              <w:top w:val="nil"/>
              <w:left w:val="single" w:color="auto" w:sz="8" w:space="0"/>
              <w:bottom w:val="single" w:color="000000" w:sz="8" w:space="0"/>
              <w:right w:val="single" w:color="auto" w:sz="8" w:space="0"/>
            </w:tcBorders>
            <w:vAlign w:val="center"/>
          </w:tcPr>
          <w:p w14:paraId="4EE2D78A">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课程目标</w:t>
            </w:r>
          </w:p>
        </w:tc>
        <w:tc>
          <w:tcPr>
            <w:tcW w:w="1807" w:type="dxa"/>
            <w:vMerge w:val="restart"/>
            <w:tcBorders>
              <w:top w:val="nil"/>
              <w:left w:val="single" w:color="auto" w:sz="8" w:space="0"/>
              <w:bottom w:val="single" w:color="000000" w:sz="8" w:space="0"/>
              <w:right w:val="single" w:color="auto" w:sz="8" w:space="0"/>
            </w:tcBorders>
            <w:vAlign w:val="center"/>
          </w:tcPr>
          <w:p w14:paraId="4152ED59">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1497" w:type="dxa"/>
            <w:tcBorders>
              <w:top w:val="nil"/>
              <w:left w:val="nil"/>
              <w:bottom w:val="single" w:color="auto" w:sz="8" w:space="0"/>
              <w:right w:val="single" w:color="auto" w:sz="8" w:space="0"/>
            </w:tcBorders>
            <w:vAlign w:val="center"/>
          </w:tcPr>
          <w:p w14:paraId="452E2DC5">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考试</w:t>
            </w:r>
          </w:p>
        </w:tc>
        <w:tc>
          <w:tcPr>
            <w:tcW w:w="1592" w:type="dxa"/>
            <w:tcBorders>
              <w:top w:val="nil"/>
              <w:left w:val="nil"/>
              <w:bottom w:val="single" w:color="auto" w:sz="8" w:space="0"/>
              <w:right w:val="single" w:color="auto" w:sz="8" w:space="0"/>
            </w:tcBorders>
            <w:vAlign w:val="center"/>
          </w:tcPr>
          <w:p w14:paraId="307056F2">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7</w:t>
            </w:r>
            <w:r>
              <w:rPr>
                <w:rFonts w:ascii="宋体" w:hAnsi="宋体" w:eastAsia="宋体" w:cs="Times New Roman"/>
                <w:kern w:val="0"/>
                <w:szCs w:val="21"/>
              </w:rPr>
              <w:t xml:space="preserve">0% </w:t>
            </w:r>
          </w:p>
        </w:tc>
        <w:tc>
          <w:tcPr>
            <w:tcW w:w="2057" w:type="dxa"/>
            <w:vMerge w:val="restart"/>
            <w:tcBorders>
              <w:top w:val="nil"/>
              <w:left w:val="nil"/>
              <w:right w:val="single" w:color="auto" w:sz="8" w:space="0"/>
            </w:tcBorders>
            <w:vAlign w:val="center"/>
          </w:tcPr>
          <w:p w14:paraId="27368CCB">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r>
      <w:tr w14:paraId="22882108">
        <w:tblPrEx>
          <w:tblCellMar>
            <w:top w:w="0" w:type="dxa"/>
            <w:left w:w="108" w:type="dxa"/>
            <w:bottom w:w="0" w:type="dxa"/>
            <w:right w:w="108" w:type="dxa"/>
          </w:tblCellMar>
        </w:tblPrEx>
        <w:trPr>
          <w:trHeight w:val="246" w:hRule="atLeast"/>
        </w:trPr>
        <w:tc>
          <w:tcPr>
            <w:tcW w:w="2037" w:type="dxa"/>
            <w:vMerge w:val="continue"/>
            <w:tcBorders>
              <w:top w:val="nil"/>
              <w:left w:val="single" w:color="auto" w:sz="8" w:space="0"/>
              <w:bottom w:val="single" w:color="000000" w:sz="8" w:space="0"/>
              <w:right w:val="single" w:color="auto" w:sz="8" w:space="0"/>
            </w:tcBorders>
            <w:vAlign w:val="center"/>
          </w:tcPr>
          <w:p w14:paraId="05C75EF7">
            <w:pPr>
              <w:widowControl/>
              <w:spacing w:line="276" w:lineRule="auto"/>
              <w:jc w:val="left"/>
              <w:rPr>
                <w:rFonts w:ascii="宋体" w:hAnsi="宋体" w:eastAsia="宋体" w:cs="Times New Roman"/>
                <w:kern w:val="0"/>
                <w:szCs w:val="21"/>
              </w:rPr>
            </w:pPr>
          </w:p>
        </w:tc>
        <w:tc>
          <w:tcPr>
            <w:tcW w:w="1807" w:type="dxa"/>
            <w:vMerge w:val="continue"/>
            <w:tcBorders>
              <w:top w:val="nil"/>
              <w:left w:val="single" w:color="auto" w:sz="8" w:space="0"/>
              <w:bottom w:val="single" w:color="000000" w:sz="8" w:space="0"/>
              <w:right w:val="single" w:color="auto" w:sz="8" w:space="0"/>
            </w:tcBorders>
            <w:vAlign w:val="center"/>
          </w:tcPr>
          <w:p w14:paraId="76D45943">
            <w:pPr>
              <w:widowControl/>
              <w:spacing w:line="276" w:lineRule="auto"/>
              <w:jc w:val="left"/>
              <w:rPr>
                <w:rFonts w:ascii="宋体" w:hAnsi="宋体" w:eastAsia="宋体" w:cs="Times New Roman"/>
                <w:kern w:val="0"/>
                <w:szCs w:val="21"/>
              </w:rPr>
            </w:pPr>
          </w:p>
        </w:tc>
        <w:tc>
          <w:tcPr>
            <w:tcW w:w="1497" w:type="dxa"/>
            <w:tcBorders>
              <w:top w:val="nil"/>
              <w:left w:val="nil"/>
              <w:bottom w:val="single" w:color="auto" w:sz="8" w:space="0"/>
              <w:right w:val="single" w:color="auto" w:sz="8" w:space="0"/>
            </w:tcBorders>
            <w:vAlign w:val="center"/>
          </w:tcPr>
          <w:p w14:paraId="2530C03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w:t>
            </w:r>
            <w:r>
              <w:rPr>
                <w:rFonts w:ascii="宋体" w:hAnsi="宋体" w:eastAsia="宋体" w:cs="Times New Roman"/>
                <w:kern w:val="0"/>
                <w:szCs w:val="21"/>
              </w:rPr>
              <w:t>1</w:t>
            </w:r>
          </w:p>
        </w:tc>
        <w:tc>
          <w:tcPr>
            <w:tcW w:w="1592" w:type="dxa"/>
            <w:tcBorders>
              <w:top w:val="nil"/>
              <w:left w:val="nil"/>
              <w:bottom w:val="single" w:color="auto" w:sz="8" w:space="0"/>
              <w:right w:val="single" w:color="auto" w:sz="8" w:space="0"/>
            </w:tcBorders>
            <w:vAlign w:val="center"/>
          </w:tcPr>
          <w:p w14:paraId="037780C7">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2057" w:type="dxa"/>
            <w:vMerge w:val="continue"/>
            <w:tcBorders>
              <w:left w:val="nil"/>
              <w:bottom w:val="single" w:color="auto" w:sz="8" w:space="0"/>
              <w:right w:val="single" w:color="auto" w:sz="8" w:space="0"/>
            </w:tcBorders>
            <w:vAlign w:val="center"/>
          </w:tcPr>
          <w:p w14:paraId="2B0F5FDF">
            <w:pPr>
              <w:widowControl/>
              <w:spacing w:line="276" w:lineRule="auto"/>
              <w:jc w:val="center"/>
              <w:rPr>
                <w:rFonts w:ascii="宋体" w:hAnsi="宋体" w:eastAsia="宋体" w:cs="Times New Roman"/>
                <w:kern w:val="0"/>
                <w:szCs w:val="21"/>
              </w:rPr>
            </w:pPr>
          </w:p>
        </w:tc>
      </w:tr>
      <w:tr w14:paraId="39CBDC0E">
        <w:tblPrEx>
          <w:tblCellMar>
            <w:top w:w="0" w:type="dxa"/>
            <w:left w:w="108" w:type="dxa"/>
            <w:bottom w:w="0" w:type="dxa"/>
            <w:right w:w="108" w:type="dxa"/>
          </w:tblCellMar>
        </w:tblPrEx>
        <w:trPr>
          <w:trHeight w:val="246" w:hRule="atLeast"/>
        </w:trPr>
        <w:tc>
          <w:tcPr>
            <w:tcW w:w="2037" w:type="dxa"/>
            <w:vMerge w:val="continue"/>
            <w:tcBorders>
              <w:left w:val="single" w:color="auto" w:sz="8" w:space="0"/>
              <w:right w:val="single" w:color="auto" w:sz="8" w:space="0"/>
            </w:tcBorders>
            <w:vAlign w:val="center"/>
          </w:tcPr>
          <w:p w14:paraId="239F7D7C">
            <w:pPr>
              <w:widowControl/>
              <w:spacing w:line="276" w:lineRule="auto"/>
              <w:jc w:val="left"/>
              <w:rPr>
                <w:rFonts w:ascii="宋体" w:hAnsi="宋体" w:eastAsia="宋体" w:cs="Times New Roman"/>
                <w:kern w:val="0"/>
                <w:szCs w:val="21"/>
              </w:rPr>
            </w:pPr>
          </w:p>
        </w:tc>
        <w:tc>
          <w:tcPr>
            <w:tcW w:w="1807" w:type="dxa"/>
            <w:vMerge w:val="continue"/>
            <w:tcBorders>
              <w:left w:val="single" w:color="auto" w:sz="8" w:space="0"/>
              <w:right w:val="single" w:color="auto" w:sz="8" w:space="0"/>
            </w:tcBorders>
            <w:vAlign w:val="center"/>
          </w:tcPr>
          <w:p w14:paraId="05368BFE">
            <w:pPr>
              <w:widowControl/>
              <w:spacing w:line="276" w:lineRule="auto"/>
              <w:jc w:val="left"/>
              <w:rPr>
                <w:rFonts w:ascii="宋体" w:hAnsi="宋体" w:eastAsia="宋体" w:cs="Times New Roman"/>
                <w:kern w:val="0"/>
                <w:szCs w:val="21"/>
              </w:rPr>
            </w:pPr>
          </w:p>
        </w:tc>
        <w:tc>
          <w:tcPr>
            <w:tcW w:w="1497" w:type="dxa"/>
            <w:tcBorders>
              <w:top w:val="nil"/>
              <w:left w:val="nil"/>
              <w:bottom w:val="single" w:color="auto" w:sz="4" w:space="0"/>
              <w:right w:val="single" w:color="auto" w:sz="8" w:space="0"/>
            </w:tcBorders>
            <w:vAlign w:val="center"/>
          </w:tcPr>
          <w:p w14:paraId="7ED419C3">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平时2</w:t>
            </w:r>
          </w:p>
        </w:tc>
        <w:tc>
          <w:tcPr>
            <w:tcW w:w="1592" w:type="dxa"/>
            <w:tcBorders>
              <w:top w:val="nil"/>
              <w:left w:val="nil"/>
              <w:bottom w:val="single" w:color="auto" w:sz="4" w:space="0"/>
              <w:right w:val="single" w:color="auto" w:sz="8" w:space="0"/>
            </w:tcBorders>
            <w:vAlign w:val="center"/>
          </w:tcPr>
          <w:p w14:paraId="1F78602E">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2057" w:type="dxa"/>
            <w:vMerge w:val="continue"/>
            <w:tcBorders>
              <w:left w:val="nil"/>
              <w:right w:val="single" w:color="auto" w:sz="8" w:space="0"/>
            </w:tcBorders>
            <w:vAlign w:val="center"/>
          </w:tcPr>
          <w:p w14:paraId="2BE720F3">
            <w:pPr>
              <w:widowControl/>
              <w:spacing w:line="276" w:lineRule="auto"/>
              <w:jc w:val="center"/>
              <w:rPr>
                <w:rFonts w:ascii="宋体" w:hAnsi="宋体" w:eastAsia="宋体" w:cs="Times New Roman"/>
                <w:kern w:val="0"/>
                <w:szCs w:val="21"/>
              </w:rPr>
            </w:pPr>
          </w:p>
        </w:tc>
      </w:tr>
      <w:tr w14:paraId="1519559F">
        <w:tblPrEx>
          <w:tblCellMar>
            <w:top w:w="0" w:type="dxa"/>
            <w:left w:w="108" w:type="dxa"/>
            <w:bottom w:w="0" w:type="dxa"/>
            <w:right w:w="108" w:type="dxa"/>
          </w:tblCellMar>
        </w:tblPrEx>
        <w:trPr>
          <w:trHeight w:val="246" w:hRule="atLeast"/>
        </w:trPr>
        <w:tc>
          <w:tcPr>
            <w:tcW w:w="2037" w:type="dxa"/>
            <w:vMerge w:val="continue"/>
            <w:tcBorders>
              <w:left w:val="single" w:color="auto" w:sz="8" w:space="0"/>
              <w:bottom w:val="single" w:color="auto" w:sz="4" w:space="0"/>
              <w:right w:val="single" w:color="auto" w:sz="8" w:space="0"/>
            </w:tcBorders>
            <w:vAlign w:val="center"/>
          </w:tcPr>
          <w:p w14:paraId="37F24EFD">
            <w:pPr>
              <w:widowControl/>
              <w:spacing w:line="276" w:lineRule="auto"/>
              <w:jc w:val="left"/>
              <w:rPr>
                <w:rFonts w:ascii="宋体" w:hAnsi="宋体" w:eastAsia="宋体" w:cs="Times New Roman"/>
                <w:kern w:val="0"/>
                <w:szCs w:val="21"/>
              </w:rPr>
            </w:pPr>
          </w:p>
        </w:tc>
        <w:tc>
          <w:tcPr>
            <w:tcW w:w="1807" w:type="dxa"/>
            <w:vMerge w:val="continue"/>
            <w:tcBorders>
              <w:left w:val="single" w:color="auto" w:sz="8" w:space="0"/>
              <w:bottom w:val="single" w:color="auto" w:sz="4" w:space="0"/>
              <w:right w:val="single" w:color="auto" w:sz="8" w:space="0"/>
            </w:tcBorders>
            <w:vAlign w:val="center"/>
          </w:tcPr>
          <w:p w14:paraId="466CA4A6">
            <w:pPr>
              <w:widowControl/>
              <w:spacing w:line="276" w:lineRule="auto"/>
              <w:jc w:val="left"/>
              <w:rPr>
                <w:rFonts w:ascii="宋体" w:hAnsi="宋体" w:eastAsia="宋体" w:cs="Times New Roman"/>
                <w:kern w:val="0"/>
                <w:szCs w:val="21"/>
              </w:rPr>
            </w:pPr>
          </w:p>
        </w:tc>
        <w:tc>
          <w:tcPr>
            <w:tcW w:w="1497" w:type="dxa"/>
            <w:tcBorders>
              <w:top w:val="nil"/>
              <w:left w:val="nil"/>
              <w:bottom w:val="single" w:color="auto" w:sz="4" w:space="0"/>
              <w:right w:val="single" w:color="auto" w:sz="8" w:space="0"/>
            </w:tcBorders>
            <w:vAlign w:val="center"/>
          </w:tcPr>
          <w:p w14:paraId="04F572A5">
            <w:pPr>
              <w:widowControl/>
              <w:spacing w:line="276" w:lineRule="auto"/>
              <w:jc w:val="center"/>
              <w:rPr>
                <w:rFonts w:ascii="宋体" w:hAnsi="宋体" w:eastAsia="宋体" w:cs="Times New Roman"/>
                <w:kern w:val="0"/>
                <w:szCs w:val="21"/>
              </w:rPr>
            </w:pPr>
            <w:r>
              <w:rPr>
                <w:rFonts w:hint="eastAsia" w:ascii="宋体" w:hAnsi="宋体" w:eastAsia="宋体" w:cs="Times New Roman"/>
                <w:kern w:val="0"/>
                <w:szCs w:val="21"/>
              </w:rPr>
              <w:t>平时3</w:t>
            </w:r>
          </w:p>
        </w:tc>
        <w:tc>
          <w:tcPr>
            <w:tcW w:w="1592" w:type="dxa"/>
            <w:tcBorders>
              <w:top w:val="nil"/>
              <w:left w:val="nil"/>
              <w:bottom w:val="single" w:color="auto" w:sz="4" w:space="0"/>
              <w:right w:val="single" w:color="auto" w:sz="8" w:space="0"/>
            </w:tcBorders>
            <w:vAlign w:val="center"/>
          </w:tcPr>
          <w:p w14:paraId="57A30B86">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 xml:space="preserve">10% </w:t>
            </w:r>
          </w:p>
        </w:tc>
        <w:tc>
          <w:tcPr>
            <w:tcW w:w="2057" w:type="dxa"/>
            <w:vMerge w:val="continue"/>
            <w:tcBorders>
              <w:left w:val="nil"/>
              <w:bottom w:val="single" w:color="auto" w:sz="4" w:space="0"/>
              <w:right w:val="single" w:color="auto" w:sz="8" w:space="0"/>
            </w:tcBorders>
            <w:vAlign w:val="center"/>
          </w:tcPr>
          <w:p w14:paraId="48BE127A">
            <w:pPr>
              <w:widowControl/>
              <w:spacing w:line="276" w:lineRule="auto"/>
              <w:jc w:val="center"/>
              <w:rPr>
                <w:rFonts w:ascii="宋体" w:hAnsi="宋体" w:eastAsia="宋体" w:cs="Times New Roman"/>
                <w:kern w:val="0"/>
                <w:szCs w:val="21"/>
              </w:rPr>
            </w:pPr>
          </w:p>
        </w:tc>
      </w:tr>
      <w:tr w14:paraId="6296B77F">
        <w:tblPrEx>
          <w:tblCellMar>
            <w:top w:w="0" w:type="dxa"/>
            <w:left w:w="108" w:type="dxa"/>
            <w:bottom w:w="0" w:type="dxa"/>
            <w:right w:w="108" w:type="dxa"/>
          </w:tblCellMar>
        </w:tblPrEx>
        <w:trPr>
          <w:trHeight w:val="398" w:hRule="atLeast"/>
        </w:trPr>
        <w:tc>
          <w:tcPr>
            <w:tcW w:w="2037" w:type="dxa"/>
            <w:tcBorders>
              <w:top w:val="single" w:color="auto" w:sz="4" w:space="0"/>
              <w:left w:val="single" w:color="auto" w:sz="4" w:space="0"/>
              <w:bottom w:val="single" w:color="auto" w:sz="4" w:space="0"/>
              <w:right w:val="single" w:color="auto" w:sz="4" w:space="0"/>
            </w:tcBorders>
            <w:vAlign w:val="center"/>
          </w:tcPr>
          <w:p w14:paraId="2C93FF6B">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课程目标权重合计</w:t>
            </w:r>
          </w:p>
        </w:tc>
        <w:tc>
          <w:tcPr>
            <w:tcW w:w="1807" w:type="dxa"/>
            <w:tcBorders>
              <w:top w:val="single" w:color="auto" w:sz="4" w:space="0"/>
              <w:left w:val="single" w:color="auto" w:sz="4" w:space="0"/>
              <w:bottom w:val="single" w:color="auto" w:sz="4" w:space="0"/>
              <w:right w:val="single" w:color="auto" w:sz="4" w:space="0"/>
            </w:tcBorders>
            <w:vAlign w:val="center"/>
          </w:tcPr>
          <w:p w14:paraId="4A4ECF5B">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100%</w:t>
            </w:r>
          </w:p>
        </w:tc>
        <w:tc>
          <w:tcPr>
            <w:tcW w:w="5146" w:type="dxa"/>
            <w:gridSpan w:val="3"/>
            <w:tcBorders>
              <w:top w:val="single" w:color="auto" w:sz="4" w:space="0"/>
              <w:left w:val="single" w:color="auto" w:sz="4" w:space="0"/>
              <w:bottom w:val="single" w:color="auto" w:sz="4" w:space="0"/>
              <w:right w:val="single" w:color="auto" w:sz="4" w:space="0"/>
            </w:tcBorders>
            <w:vAlign w:val="center"/>
          </w:tcPr>
          <w:p w14:paraId="4F8CB7FE">
            <w:pPr>
              <w:widowControl/>
              <w:spacing w:line="276" w:lineRule="auto"/>
              <w:jc w:val="center"/>
              <w:rPr>
                <w:rFonts w:ascii="宋体" w:hAnsi="宋体" w:eastAsia="宋体" w:cs="Times New Roman"/>
                <w:kern w:val="0"/>
                <w:szCs w:val="21"/>
              </w:rPr>
            </w:pPr>
          </w:p>
        </w:tc>
      </w:tr>
    </w:tbl>
    <w:p w14:paraId="2DBA7B90">
      <w:pPr>
        <w:spacing w:line="360" w:lineRule="auto"/>
        <w:rPr>
          <w:rFonts w:ascii="Calibri" w:hAnsi="Calibri" w:eastAsia="宋体" w:cs="Times New Roman"/>
          <w:sz w:val="24"/>
        </w:rPr>
      </w:pPr>
    </w:p>
    <w:p w14:paraId="4B7D4BF6">
      <w:pPr>
        <w:spacing w:line="360" w:lineRule="auto"/>
        <w:ind w:firstLine="480" w:firstLineChars="200"/>
        <w:rPr>
          <w:rFonts w:ascii="Calibri" w:hAnsi="Calibri" w:eastAsia="宋体" w:cs="Times New Roman"/>
          <w:sz w:val="24"/>
        </w:rPr>
      </w:pPr>
      <w:r>
        <w:rPr>
          <w:rFonts w:ascii="Calibri" w:hAnsi="Calibri" w:eastAsia="宋体" w:cs="Times New Roman"/>
          <w:sz w:val="24"/>
        </w:rPr>
        <w:t>（四）课程目标达成度计算方法</w:t>
      </w:r>
    </w:p>
    <w:p w14:paraId="757B729D">
      <w:pPr>
        <w:spacing w:line="360" w:lineRule="auto"/>
        <w:ind w:firstLine="480" w:firstLineChars="200"/>
        <w:rPr>
          <w:rFonts w:ascii="Calibri" w:hAnsi="Calibri" w:eastAsia="宋体" w:cs="Times New Roman"/>
          <w:sz w:val="24"/>
        </w:rPr>
      </w:pPr>
      <w:r>
        <w:rPr>
          <w:rFonts w:ascii="Calibri" w:hAnsi="Calibri" w:eastAsia="宋体" w:cs="Times New Roman"/>
          <w:sz w:val="24"/>
        </w:rPr>
        <w:t>所有课程目标均需大于等于0.6，否则总评成绩不及格，需要补考或重修。每门课程目标总体达成度计算方法如下：</w:t>
      </w:r>
    </w:p>
    <w:p w14:paraId="17775F16">
      <w:pPr>
        <w:spacing w:line="360" w:lineRule="auto"/>
        <w:jc w:val="left"/>
        <w:rPr>
          <w:rFonts w:ascii="Calibri" w:hAnsi="Calibri" w:eastAsia="宋体" w:cs="Times New Roman"/>
          <w:b/>
          <w:sz w:val="24"/>
          <w:szCs w:val="24"/>
        </w:rPr>
      </w:pPr>
      <w:r>
        <w:rPr>
          <w:rFonts w:ascii="Calibri" w:hAnsi="Calibri" w:eastAsia="宋体" w:cs="Times New Roman"/>
          <w:position w:val="-26"/>
          <w:sz w:val="24"/>
        </w:rPr>
        <w:object>
          <v:shape id="_x0000_i1032" o:spt="75" type="#_x0000_t75" style="height:31pt;width:452.95pt;" o:ole="t" filled="f" o:preferrelative="t" stroked="f" coordsize="21600,21600">
            <v:path/>
            <v:fill on="f" focussize="0,0"/>
            <v:stroke on="f" joinstyle="miter"/>
            <v:imagedata r:id="rId7" o:title=""/>
            <o:lock v:ext="edit" aspectratio="t"/>
            <w10:wrap type="none"/>
            <w10:anchorlock/>
          </v:shape>
          <o:OLEObject Type="Embed" ProgID="Equation.3" ShapeID="_x0000_i1032" DrawAspect="Content" ObjectID="_1468075732" r:id="rId14">
            <o:LockedField>false</o:LockedField>
          </o:OLEObject>
        </w:object>
      </w:r>
      <w:r>
        <w:rPr>
          <w:rFonts w:hint="eastAsia" w:ascii="Calibri" w:hAnsi="Calibri" w:eastAsia="宋体" w:cs="Times New Roman"/>
          <w:position w:val="-26"/>
          <w:sz w:val="24"/>
        </w:rPr>
        <w:t xml:space="preserve">  </w:t>
      </w:r>
      <w:r>
        <w:rPr>
          <w:rFonts w:hint="eastAsia" w:ascii="Calibri" w:hAnsi="Calibri" w:eastAsia="宋体" w:cs="Times New Roman"/>
          <w:b/>
          <w:sz w:val="24"/>
          <w:szCs w:val="24"/>
        </w:rPr>
        <w:t>六</w:t>
      </w:r>
      <w:r>
        <w:rPr>
          <w:rFonts w:ascii="Calibri" w:hAnsi="Calibri" w:eastAsia="宋体" w:cs="Times New Roman"/>
          <w:b/>
          <w:sz w:val="24"/>
          <w:szCs w:val="24"/>
        </w:rPr>
        <w:t>、有关说明</w:t>
      </w:r>
      <w:bookmarkStart w:id="208" w:name="_Toc19729762"/>
    </w:p>
    <w:p w14:paraId="1288BDC1">
      <w:pPr>
        <w:spacing w:line="360" w:lineRule="auto"/>
        <w:ind w:firstLine="482" w:firstLineChars="200"/>
        <w:jc w:val="left"/>
        <w:rPr>
          <w:rFonts w:ascii="Calibri" w:hAnsi="Calibri" w:eastAsia="宋体" w:cs="Times New Roman"/>
          <w:b/>
          <w:sz w:val="24"/>
        </w:rPr>
      </w:pPr>
      <w:r>
        <w:rPr>
          <w:rFonts w:ascii="Calibri" w:hAnsi="Calibri" w:eastAsia="宋体" w:cs="Times New Roman"/>
          <w:b/>
          <w:sz w:val="24"/>
        </w:rPr>
        <w:t>（一）持续改进</w:t>
      </w:r>
      <w:bookmarkEnd w:id="208"/>
    </w:p>
    <w:p w14:paraId="488642C9">
      <w:pPr>
        <w:spacing w:line="360" w:lineRule="auto"/>
        <w:ind w:firstLine="480" w:firstLineChars="200"/>
        <w:rPr>
          <w:rFonts w:ascii="Calibri" w:hAnsi="Calibri" w:eastAsia="宋体" w:cs="Times New Roman"/>
          <w:sz w:val="24"/>
        </w:rPr>
      </w:pPr>
      <w:r>
        <w:rPr>
          <w:rFonts w:ascii="Calibri" w:hAnsi="Calibri" w:eastAsia="宋体" w:cs="Times New Roman"/>
          <w:sz w:val="24"/>
        </w:rPr>
        <w:t>1. 提倡改革教学方法，强调应用现代化教学手段，如课件、互联网教学和网络答疑等。</w:t>
      </w:r>
    </w:p>
    <w:p w14:paraId="5E0C3D52">
      <w:pPr>
        <w:spacing w:line="360" w:lineRule="auto"/>
        <w:ind w:firstLine="480" w:firstLineChars="200"/>
        <w:rPr>
          <w:rFonts w:ascii="Calibri" w:hAnsi="Calibri" w:eastAsia="宋体" w:cs="Times New Roman"/>
          <w:sz w:val="24"/>
        </w:rPr>
      </w:pPr>
      <w:r>
        <w:rPr>
          <w:rFonts w:ascii="Calibri" w:hAnsi="Calibri" w:eastAsia="宋体" w:cs="Times New Roman"/>
          <w:sz w:val="24"/>
        </w:rPr>
        <w:t>2.合理安排教学课时，加强课堂提问、课堂小测验等旨在督促学生自主学习的教学环节；引导学生做好课前预习、课后整理笔记并及时完成作业的复习工作；保证学生完成一定数量的作业和习题。</w:t>
      </w:r>
    </w:p>
    <w:p w14:paraId="75E5C4ED">
      <w:pPr>
        <w:spacing w:line="360" w:lineRule="auto"/>
        <w:ind w:firstLine="480" w:firstLineChars="200"/>
        <w:rPr>
          <w:rFonts w:ascii="Calibri" w:hAnsi="Calibri" w:eastAsia="宋体" w:cs="Times New Roman"/>
          <w:sz w:val="24"/>
        </w:rPr>
      </w:pPr>
      <w:r>
        <w:rPr>
          <w:rFonts w:ascii="Calibri" w:hAnsi="Calibri" w:eastAsia="宋体" w:cs="Times New Roman"/>
          <w:sz w:val="24"/>
        </w:rPr>
        <w:t>3．教学用的例题和习题，应适当结合实际。</w:t>
      </w:r>
    </w:p>
    <w:p w14:paraId="4F68A3C3">
      <w:pPr>
        <w:spacing w:line="360" w:lineRule="auto"/>
        <w:ind w:firstLine="482" w:firstLineChars="200"/>
        <w:rPr>
          <w:rFonts w:ascii="Calibri" w:hAnsi="Calibri" w:eastAsia="宋体" w:cs="Times New Roman"/>
          <w:b/>
          <w:sz w:val="24"/>
        </w:rPr>
      </w:pPr>
      <w:bookmarkStart w:id="209" w:name="_Toc19729763"/>
      <w:r>
        <w:rPr>
          <w:rFonts w:ascii="Calibri" w:hAnsi="Calibri" w:eastAsia="宋体" w:cs="Times New Roman"/>
          <w:b/>
          <w:sz w:val="24"/>
        </w:rPr>
        <w:t>（二）参考书目及学习资料</w:t>
      </w:r>
      <w:bookmarkEnd w:id="209"/>
    </w:p>
    <w:p w14:paraId="6244E396">
      <w:pPr>
        <w:spacing w:line="360" w:lineRule="auto"/>
        <w:ind w:firstLine="480" w:firstLineChars="200"/>
        <w:rPr>
          <w:rFonts w:ascii="Calibri" w:hAnsi="Calibri" w:eastAsia="宋体" w:cs="Times New Roman"/>
          <w:sz w:val="24"/>
        </w:rPr>
      </w:pPr>
      <w:r>
        <w:rPr>
          <w:rFonts w:ascii="Calibri" w:hAnsi="Calibri" w:eastAsia="宋体" w:cs="Times New Roman"/>
          <w:sz w:val="24"/>
        </w:rPr>
        <w:t>1．教材</w:t>
      </w:r>
    </w:p>
    <w:p w14:paraId="389E8617">
      <w:pPr>
        <w:spacing w:line="360" w:lineRule="auto"/>
        <w:ind w:firstLine="480" w:firstLineChars="200"/>
        <w:rPr>
          <w:rFonts w:ascii="Calibri" w:hAnsi="Calibri" w:eastAsia="宋体" w:cs="Times New Roman"/>
          <w:sz w:val="24"/>
        </w:rPr>
      </w:pPr>
      <w:r>
        <w:rPr>
          <w:rFonts w:ascii="Calibri" w:hAnsi="Calibri" w:eastAsia="宋体" w:cs="Times New Roman"/>
          <w:kern w:val="0"/>
          <w:sz w:val="24"/>
        </w:rPr>
        <w:t>刘玉琏</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数学分析讲义</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sz w:val="24"/>
        </w:rPr>
        <w:t>北京：</w:t>
      </w:r>
      <w:r>
        <w:rPr>
          <w:rFonts w:ascii="Calibri" w:hAnsi="Calibri" w:eastAsia="宋体" w:cs="Times New Roman"/>
          <w:kern w:val="0"/>
          <w:sz w:val="24"/>
        </w:rPr>
        <w:t>高等教育出版社</w:t>
      </w:r>
      <w:r>
        <w:rPr>
          <w:rFonts w:ascii="Calibri" w:hAnsi="Calibri" w:eastAsia="宋体" w:cs="Times New Roman"/>
          <w:sz w:val="24"/>
        </w:rPr>
        <w:t>.</w:t>
      </w:r>
      <w:r>
        <w:rPr>
          <w:rFonts w:hint="eastAsia" w:ascii="Calibri" w:hAnsi="Calibri" w:eastAsia="宋体" w:cs="Times New Roman"/>
          <w:sz w:val="24"/>
        </w:rPr>
        <w:t xml:space="preserve"> </w:t>
      </w:r>
      <w:r>
        <w:rPr>
          <w:rFonts w:ascii="Calibri" w:hAnsi="Calibri" w:eastAsia="宋体" w:cs="Times New Roman"/>
          <w:kern w:val="0"/>
          <w:sz w:val="24"/>
        </w:rPr>
        <w:t>2008</w:t>
      </w:r>
      <w:r>
        <w:rPr>
          <w:rFonts w:ascii="Calibri" w:hAnsi="Calibri" w:eastAsia="宋体" w:cs="Times New Roman"/>
          <w:sz w:val="24"/>
        </w:rPr>
        <w:t>.</w:t>
      </w:r>
    </w:p>
    <w:p w14:paraId="199D994A">
      <w:pPr>
        <w:spacing w:line="360" w:lineRule="auto"/>
        <w:ind w:firstLine="480" w:firstLineChars="200"/>
        <w:rPr>
          <w:rFonts w:ascii="Calibri" w:hAnsi="Calibri" w:eastAsia="宋体" w:cs="Times New Roman"/>
          <w:sz w:val="24"/>
        </w:rPr>
      </w:pPr>
      <w:bookmarkStart w:id="210" w:name="_Toc19729764"/>
      <w:r>
        <w:rPr>
          <w:rFonts w:ascii="Calibri" w:hAnsi="Calibri" w:eastAsia="宋体" w:cs="Times New Roman"/>
          <w:sz w:val="24"/>
        </w:rPr>
        <w:t>2．教学参考书</w:t>
      </w:r>
      <w:bookmarkEnd w:id="210"/>
    </w:p>
    <w:p w14:paraId="3136E6CB">
      <w:pPr>
        <w:widowControl/>
        <w:spacing w:line="360" w:lineRule="auto"/>
        <w:ind w:firstLine="480" w:firstLineChars="200"/>
        <w:rPr>
          <w:rFonts w:ascii="Calibri" w:hAnsi="Calibri" w:eastAsia="宋体" w:cs="Times New Roman"/>
          <w:kern w:val="0"/>
          <w:sz w:val="24"/>
          <w:szCs w:val="21"/>
        </w:rPr>
      </w:pPr>
      <w:r>
        <w:rPr>
          <w:rFonts w:ascii="Calibri" w:hAnsi="Calibri" w:eastAsia="宋体" w:cs="Times New Roman"/>
          <w:sz w:val="24"/>
        </w:rPr>
        <w:t>华东师范大学数学系. 数学分析. 北京：高等教育出版社</w:t>
      </w:r>
      <w:r>
        <w:rPr>
          <w:rFonts w:hint="eastAsia" w:ascii="Calibri" w:hAnsi="Calibri" w:eastAsia="宋体" w:cs="Times New Roman"/>
          <w:sz w:val="24"/>
        </w:rPr>
        <w:t>.</w:t>
      </w:r>
      <w:r>
        <w:rPr>
          <w:rFonts w:ascii="Calibri" w:hAnsi="Calibri" w:eastAsia="宋体" w:cs="Times New Roman"/>
          <w:sz w:val="24"/>
        </w:rPr>
        <w:t>2010.</w:t>
      </w:r>
    </w:p>
    <w:p w14:paraId="445192E4">
      <w:pPr>
        <w:spacing w:line="312" w:lineRule="auto"/>
        <w:ind w:firstLine="480" w:firstLineChars="200"/>
        <w:rPr>
          <w:rFonts w:ascii="Calibri" w:hAnsi="Calibri" w:eastAsia="宋体" w:cs="Times New Roman"/>
          <w:sz w:val="24"/>
        </w:rPr>
      </w:pPr>
      <w:r>
        <w:rPr>
          <w:rFonts w:ascii="Calibri" w:hAnsi="Calibri" w:eastAsia="宋体" w:cs="Times New Roman"/>
          <w:sz w:val="24"/>
          <w:szCs w:val="21"/>
        </w:rPr>
        <w:t>同济大学数学系</w:t>
      </w:r>
      <w:r>
        <w:rPr>
          <w:rFonts w:ascii="Calibri" w:hAnsi="Calibri" w:eastAsia="宋体" w:cs="Times New Roman"/>
          <w:sz w:val="24"/>
        </w:rPr>
        <w:t xml:space="preserve">. </w:t>
      </w:r>
      <w:r>
        <w:rPr>
          <w:rFonts w:ascii="Calibri" w:hAnsi="Calibri" w:eastAsia="宋体" w:cs="Times New Roman"/>
          <w:sz w:val="24"/>
          <w:szCs w:val="21"/>
        </w:rPr>
        <w:t>高等数学</w:t>
      </w:r>
      <w:r>
        <w:rPr>
          <w:rFonts w:ascii="Calibri" w:hAnsi="Calibri" w:eastAsia="宋体" w:cs="Times New Roman"/>
          <w:sz w:val="24"/>
        </w:rPr>
        <w:t>.</w:t>
      </w:r>
      <w:r>
        <w:rPr>
          <w:rFonts w:ascii="Calibri" w:hAnsi="Calibri" w:eastAsia="宋体" w:cs="Times New Roman"/>
          <w:sz w:val="24"/>
          <w:szCs w:val="21"/>
        </w:rPr>
        <w:t xml:space="preserve"> 北京</w:t>
      </w:r>
      <w:r>
        <w:rPr>
          <w:rFonts w:ascii="Calibri" w:hAnsi="Calibri" w:eastAsia="宋体" w:cs="Times New Roman"/>
          <w:kern w:val="0"/>
          <w:sz w:val="24"/>
          <w:szCs w:val="21"/>
        </w:rPr>
        <w:t>：</w:t>
      </w:r>
      <w:r>
        <w:rPr>
          <w:rFonts w:ascii="Calibri" w:hAnsi="Calibri" w:eastAsia="宋体" w:cs="Times New Roman"/>
          <w:sz w:val="24"/>
          <w:szCs w:val="21"/>
        </w:rPr>
        <w:t>高等教育出版社</w:t>
      </w:r>
      <w:r>
        <w:rPr>
          <w:rFonts w:hint="eastAsia" w:ascii="Calibri" w:hAnsi="Calibri" w:eastAsia="宋体" w:cs="Times New Roman"/>
          <w:sz w:val="24"/>
          <w:szCs w:val="21"/>
        </w:rPr>
        <w:t>.</w:t>
      </w:r>
      <w:r>
        <w:rPr>
          <w:rFonts w:ascii="Calibri" w:hAnsi="Calibri" w:eastAsia="宋体" w:cs="Times New Roman"/>
          <w:sz w:val="24"/>
          <w:szCs w:val="21"/>
        </w:rPr>
        <w:t>2014.</w:t>
      </w:r>
    </w:p>
    <w:p w14:paraId="74F2B07A">
      <w:pPr>
        <w:spacing w:line="312" w:lineRule="auto"/>
        <w:rPr>
          <w:rFonts w:ascii="Calibri" w:hAnsi="Calibri" w:eastAsia="宋体" w:cs="Times New Roman"/>
          <w:sz w:val="24"/>
        </w:rPr>
      </w:pPr>
    </w:p>
    <w:p w14:paraId="3E82CC38">
      <w:pPr>
        <w:spacing w:line="312" w:lineRule="auto"/>
        <w:rPr>
          <w:rFonts w:ascii="Calibri" w:hAnsi="Calibri" w:eastAsia="宋体" w:cs="Times New Roman"/>
          <w:sz w:val="24"/>
        </w:rPr>
      </w:pPr>
    </w:p>
    <w:p w14:paraId="1139A137">
      <w:pPr>
        <w:autoSpaceDE w:val="0"/>
        <w:autoSpaceDN w:val="0"/>
        <w:adjustRightInd w:val="0"/>
        <w:spacing w:line="360" w:lineRule="auto"/>
        <w:ind w:firstLine="1200" w:firstLineChars="500"/>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刘峻辰</w:t>
      </w:r>
    </w:p>
    <w:p w14:paraId="1337F321">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审定人：</w:t>
      </w:r>
      <w:r>
        <w:rPr>
          <w:rFonts w:hint="eastAsia" w:ascii="宋体" w:hAnsi="宋体" w:eastAsia="宋体" w:cs="Times New Roman"/>
          <w:kern w:val="0"/>
          <w:sz w:val="24"/>
          <w:szCs w:val="21"/>
        </w:rPr>
        <w:t xml:space="preserve">王 </w:t>
      </w:r>
      <w:r>
        <w:rPr>
          <w:rFonts w:ascii="宋体" w:hAnsi="宋体" w:eastAsia="宋体" w:cs="Times New Roman"/>
          <w:kern w:val="0"/>
          <w:sz w:val="24"/>
          <w:szCs w:val="21"/>
        </w:rPr>
        <w:t xml:space="preserve"> </w:t>
      </w:r>
      <w:r>
        <w:rPr>
          <w:rFonts w:hint="eastAsia" w:ascii="宋体" w:hAnsi="宋体" w:eastAsia="宋体" w:cs="Times New Roman"/>
          <w:kern w:val="0"/>
          <w:sz w:val="24"/>
          <w:szCs w:val="21"/>
        </w:rPr>
        <w:t>健</w:t>
      </w:r>
      <w:r>
        <w:rPr>
          <w:rFonts w:ascii="宋体" w:hAnsi="宋体" w:eastAsia="宋体" w:cs="Times New Roman"/>
          <w:kern w:val="0"/>
          <w:sz w:val="24"/>
          <w:szCs w:val="21"/>
        </w:rPr>
        <w:t xml:space="preserve"> </w:t>
      </w:r>
    </w:p>
    <w:p w14:paraId="2866717F">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审批人：</w:t>
      </w:r>
      <w:r>
        <w:rPr>
          <w:rFonts w:hint="eastAsia" w:ascii="宋体" w:hAnsi="宋体" w:eastAsia="宋体" w:cs="Times New Roman"/>
          <w:kern w:val="0"/>
          <w:sz w:val="24"/>
          <w:szCs w:val="21"/>
        </w:rPr>
        <w:t>张志欣</w:t>
      </w:r>
    </w:p>
    <w:p w14:paraId="46D99096">
      <w:pPr>
        <w:autoSpaceDE w:val="0"/>
        <w:autoSpaceDN w:val="0"/>
        <w:adjustRightInd w:val="0"/>
        <w:spacing w:line="360" w:lineRule="auto"/>
        <w:jc w:val="right"/>
        <w:rPr>
          <w:rFonts w:ascii="宋体" w:hAnsi="宋体" w:eastAsia="宋体"/>
        </w:rPr>
      </w:pPr>
      <w:r>
        <w:rPr>
          <w:rFonts w:hint="eastAsia" w:ascii="宋体" w:hAnsi="宋体" w:eastAsia="宋体" w:cs="Times New Roman"/>
          <w:kern w:val="0"/>
          <w:sz w:val="24"/>
          <w:szCs w:val="21"/>
        </w:rPr>
        <w:t xml:space="preserve"> </w:t>
      </w:r>
      <w:r>
        <w:rPr>
          <w:rFonts w:hint="eastAsia" w:ascii="宋体" w:hAnsi="宋体" w:eastAsia="宋体" w:cs="Times New Roman"/>
          <w:kern w:val="0"/>
          <w:sz w:val="24"/>
          <w:szCs w:val="21"/>
          <w:lang w:val="en-US" w:eastAsia="zh-CN"/>
        </w:rPr>
        <w:t xml:space="preserve">  </w:t>
      </w:r>
      <w:r>
        <w:rPr>
          <w:rFonts w:hint="eastAsia" w:ascii="宋体" w:hAnsi="宋体" w:eastAsia="宋体" w:cs="Times New Roman"/>
          <w:kern w:val="0"/>
          <w:sz w:val="24"/>
          <w:szCs w:val="21"/>
        </w:rPr>
        <w:t xml:space="preserve"> 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20A67CA2">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764A8E91">
      <w:pPr>
        <w:spacing w:line="312" w:lineRule="auto"/>
        <w:jc w:val="center"/>
        <w:outlineLvl w:val="0"/>
        <w:rPr>
          <w:rFonts w:ascii="Times New Roman" w:hAnsi="Times New Roman" w:eastAsia="宋体" w:cs="Times New Roman"/>
          <w:b/>
          <w:bCs/>
          <w:sz w:val="30"/>
          <w:szCs w:val="24"/>
        </w:rPr>
      </w:pPr>
      <w:bookmarkStart w:id="211" w:name="_Toc166165208"/>
      <w:r>
        <w:rPr>
          <w:rFonts w:ascii="Times New Roman" w:hAnsi="Times New Roman" w:eastAsia="宋体" w:cs="Times New Roman"/>
          <w:b/>
          <w:bCs/>
          <w:sz w:val="30"/>
          <w:szCs w:val="24"/>
        </w:rPr>
        <w:t>数学分析II课程教学大纲</w:t>
      </w:r>
      <w:bookmarkEnd w:id="211"/>
    </w:p>
    <w:p w14:paraId="30BE4E12">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（Mathematical Analysis II）</w:t>
      </w:r>
    </w:p>
    <w:p w14:paraId="2E297DFC">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64329247">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w:t>
      </w:r>
      <w:r>
        <w:rPr>
          <w:rFonts w:hint="eastAsia" w:ascii="Times New Roman" w:hAnsi="Times New Roman" w:eastAsia="宋体" w:cs="Times New Roman"/>
          <w:sz w:val="24"/>
          <w:szCs w:val="24"/>
        </w:rPr>
        <w:t>23</w:t>
      </w:r>
    </w:p>
    <w:p w14:paraId="3B788BAA">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4</w:t>
      </w:r>
    </w:p>
    <w:p w14:paraId="3A343308">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64（其中：讲授学时64 ，实验学时0 ，上机学时0）</w:t>
      </w:r>
    </w:p>
    <w:p w14:paraId="6996AB4D">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color w:val="000000"/>
          <w:sz w:val="24"/>
          <w:szCs w:val="24"/>
        </w:rPr>
        <w:t>初等数学</w:t>
      </w:r>
    </w:p>
    <w:p w14:paraId="14043475">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2CDF2C80">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《数学分析讲义》，刘玉琏，高等教育出版社，2008.5</w:t>
      </w:r>
    </w:p>
    <w:p w14:paraId="7378093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4570A337">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数学分析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6CDE438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02F392F2">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347BB37D">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4C9C9D3B">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4137462E">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1DFA4E02">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0F03C2F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8709" w:type="dxa"/>
        <w:tblInd w:w="93" w:type="dxa"/>
        <w:tblLayout w:type="fixed"/>
        <w:tblCellMar>
          <w:top w:w="0" w:type="dxa"/>
          <w:left w:w="108" w:type="dxa"/>
          <w:bottom w:w="0" w:type="dxa"/>
          <w:right w:w="108" w:type="dxa"/>
        </w:tblCellMar>
      </w:tblPr>
      <w:tblGrid>
        <w:gridCol w:w="1595"/>
        <w:gridCol w:w="888"/>
        <w:gridCol w:w="888"/>
        <w:gridCol w:w="888"/>
        <w:gridCol w:w="888"/>
        <w:gridCol w:w="888"/>
        <w:gridCol w:w="888"/>
        <w:gridCol w:w="888"/>
        <w:gridCol w:w="888"/>
        <w:gridCol w:w="10"/>
      </w:tblGrid>
      <w:tr w14:paraId="6D58D986">
        <w:tblPrEx>
          <w:tblCellMar>
            <w:top w:w="0" w:type="dxa"/>
            <w:left w:w="108" w:type="dxa"/>
            <w:bottom w:w="0" w:type="dxa"/>
            <w:right w:w="108" w:type="dxa"/>
          </w:tblCellMar>
        </w:tblPrEx>
        <w:trPr>
          <w:trHeight w:val="519" w:hRule="atLeast"/>
        </w:trPr>
        <w:tc>
          <w:tcPr>
            <w:tcW w:w="15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7B3509C">
            <w:pPr>
              <w:widowControl/>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60A06B8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114" w:type="dxa"/>
            <w:gridSpan w:val="9"/>
            <w:tcBorders>
              <w:top w:val="single" w:color="auto" w:sz="4" w:space="0"/>
              <w:left w:val="nil"/>
              <w:bottom w:val="single" w:color="auto" w:sz="4" w:space="0"/>
              <w:right w:val="single" w:color="auto" w:sz="4" w:space="0"/>
            </w:tcBorders>
            <w:shd w:val="clear" w:color="auto" w:fill="FFFFFF"/>
            <w:vAlign w:val="center"/>
          </w:tcPr>
          <w:p w14:paraId="18305B1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194A8B83">
        <w:tblPrEx>
          <w:tblCellMar>
            <w:top w:w="0" w:type="dxa"/>
            <w:left w:w="108" w:type="dxa"/>
            <w:bottom w:w="0" w:type="dxa"/>
            <w:right w:w="108" w:type="dxa"/>
          </w:tblCellMar>
        </w:tblPrEx>
        <w:trPr>
          <w:gridAfter w:val="1"/>
          <w:wAfter w:w="10" w:type="dxa"/>
          <w:trHeight w:val="448" w:hRule="atLeast"/>
        </w:trPr>
        <w:tc>
          <w:tcPr>
            <w:tcW w:w="15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2A6932C">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shd w:val="clear" w:color="auto" w:fill="FFFFFF"/>
            <w:vAlign w:val="center"/>
          </w:tcPr>
          <w:p w14:paraId="721AF89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888" w:type="dxa"/>
            <w:tcBorders>
              <w:top w:val="nil"/>
              <w:left w:val="nil"/>
              <w:bottom w:val="single" w:color="auto" w:sz="4" w:space="0"/>
              <w:right w:val="single" w:color="auto" w:sz="4" w:space="0"/>
            </w:tcBorders>
            <w:shd w:val="clear" w:color="auto" w:fill="FFFFFF"/>
            <w:vAlign w:val="center"/>
          </w:tcPr>
          <w:p w14:paraId="15F2C62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888" w:type="dxa"/>
            <w:tcBorders>
              <w:top w:val="nil"/>
              <w:left w:val="nil"/>
              <w:bottom w:val="single" w:color="auto" w:sz="4" w:space="0"/>
              <w:right w:val="single" w:color="auto" w:sz="4" w:space="0"/>
            </w:tcBorders>
            <w:shd w:val="clear" w:color="auto" w:fill="FFFFFF"/>
            <w:vAlign w:val="center"/>
          </w:tcPr>
          <w:p w14:paraId="7B5B143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888" w:type="dxa"/>
            <w:tcBorders>
              <w:top w:val="nil"/>
              <w:left w:val="nil"/>
              <w:bottom w:val="single" w:color="auto" w:sz="4" w:space="0"/>
              <w:right w:val="single" w:color="auto" w:sz="4" w:space="0"/>
            </w:tcBorders>
            <w:shd w:val="clear" w:color="auto" w:fill="FFFFFF"/>
            <w:vAlign w:val="center"/>
          </w:tcPr>
          <w:p w14:paraId="0C035DD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888" w:type="dxa"/>
            <w:tcBorders>
              <w:top w:val="nil"/>
              <w:left w:val="nil"/>
              <w:bottom w:val="single" w:color="auto" w:sz="4" w:space="0"/>
              <w:right w:val="single" w:color="auto" w:sz="4" w:space="0"/>
            </w:tcBorders>
            <w:shd w:val="clear" w:color="auto" w:fill="FFFFFF"/>
            <w:vAlign w:val="center"/>
          </w:tcPr>
          <w:p w14:paraId="725330F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888" w:type="dxa"/>
            <w:tcBorders>
              <w:top w:val="nil"/>
              <w:left w:val="nil"/>
              <w:bottom w:val="single" w:color="auto" w:sz="4" w:space="0"/>
              <w:right w:val="single" w:color="auto" w:sz="4" w:space="0"/>
            </w:tcBorders>
            <w:shd w:val="clear" w:color="auto" w:fill="FFFFFF"/>
            <w:vAlign w:val="center"/>
          </w:tcPr>
          <w:p w14:paraId="75607012">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shd w:val="clear" w:color="auto" w:fill="FFFFFF"/>
            <w:vAlign w:val="center"/>
          </w:tcPr>
          <w:p w14:paraId="72C9506A">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shd w:val="clear" w:color="auto" w:fill="FFFFFF"/>
            <w:vAlign w:val="center"/>
          </w:tcPr>
          <w:p w14:paraId="221E1D99">
            <w:pPr>
              <w:widowControl/>
              <w:jc w:val="center"/>
              <w:rPr>
                <w:rFonts w:ascii="Times New Roman" w:hAnsi="Times New Roman" w:eastAsia="宋体" w:cs="Times New Roman"/>
                <w:kern w:val="0"/>
                <w:szCs w:val="21"/>
              </w:rPr>
            </w:pPr>
          </w:p>
        </w:tc>
      </w:tr>
      <w:tr w14:paraId="2BB7E546">
        <w:tblPrEx>
          <w:tblCellMar>
            <w:top w:w="0" w:type="dxa"/>
            <w:left w:w="108" w:type="dxa"/>
            <w:bottom w:w="0" w:type="dxa"/>
            <w:right w:w="108" w:type="dxa"/>
          </w:tblCellMar>
        </w:tblPrEx>
        <w:trPr>
          <w:gridAfter w:val="1"/>
          <w:wAfter w:w="10" w:type="dxa"/>
          <w:trHeight w:val="297" w:hRule="atLeast"/>
        </w:trPr>
        <w:tc>
          <w:tcPr>
            <w:tcW w:w="1595" w:type="dxa"/>
            <w:tcBorders>
              <w:top w:val="nil"/>
              <w:left w:val="single" w:color="auto" w:sz="4" w:space="0"/>
              <w:bottom w:val="single" w:color="auto" w:sz="4" w:space="0"/>
              <w:right w:val="single" w:color="auto" w:sz="4" w:space="0"/>
            </w:tcBorders>
            <w:vAlign w:val="center"/>
          </w:tcPr>
          <w:p w14:paraId="6962F11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888" w:type="dxa"/>
            <w:tcBorders>
              <w:top w:val="nil"/>
              <w:left w:val="nil"/>
              <w:bottom w:val="single" w:color="auto" w:sz="4" w:space="0"/>
              <w:right w:val="single" w:color="auto" w:sz="4" w:space="0"/>
            </w:tcBorders>
            <w:vAlign w:val="center"/>
          </w:tcPr>
          <w:p w14:paraId="543A3A0E">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49E64928">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306AF98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4FCFF90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73D072E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6CC56DD8">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70DA52E6">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0569928C">
            <w:pPr>
              <w:widowControl/>
              <w:jc w:val="center"/>
              <w:rPr>
                <w:rFonts w:ascii="Times New Roman" w:hAnsi="Times New Roman" w:eastAsia="宋体" w:cs="Times New Roman"/>
                <w:kern w:val="0"/>
                <w:szCs w:val="21"/>
              </w:rPr>
            </w:pPr>
          </w:p>
        </w:tc>
      </w:tr>
      <w:tr w14:paraId="718ABA64">
        <w:tblPrEx>
          <w:tblCellMar>
            <w:top w:w="0" w:type="dxa"/>
            <w:left w:w="108" w:type="dxa"/>
            <w:bottom w:w="0" w:type="dxa"/>
            <w:right w:w="108" w:type="dxa"/>
          </w:tblCellMar>
        </w:tblPrEx>
        <w:trPr>
          <w:gridAfter w:val="1"/>
          <w:wAfter w:w="10" w:type="dxa"/>
          <w:trHeight w:val="145" w:hRule="atLeast"/>
        </w:trPr>
        <w:tc>
          <w:tcPr>
            <w:tcW w:w="1595" w:type="dxa"/>
            <w:tcBorders>
              <w:top w:val="nil"/>
              <w:left w:val="single" w:color="auto" w:sz="4" w:space="0"/>
              <w:bottom w:val="single" w:color="auto" w:sz="4" w:space="0"/>
              <w:right w:val="single" w:color="auto" w:sz="4" w:space="0"/>
            </w:tcBorders>
            <w:vAlign w:val="center"/>
          </w:tcPr>
          <w:p w14:paraId="3229E93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888" w:type="dxa"/>
            <w:tcBorders>
              <w:top w:val="nil"/>
              <w:left w:val="nil"/>
              <w:bottom w:val="single" w:color="auto" w:sz="4" w:space="0"/>
              <w:right w:val="single" w:color="auto" w:sz="4" w:space="0"/>
            </w:tcBorders>
            <w:vAlign w:val="center"/>
          </w:tcPr>
          <w:p w14:paraId="27F4806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36416E8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3AE3948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37825785">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6337CAA7">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21C2A4B1">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2E301963">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0724027A">
            <w:pPr>
              <w:widowControl/>
              <w:jc w:val="center"/>
              <w:rPr>
                <w:rFonts w:ascii="Times New Roman" w:hAnsi="Times New Roman" w:eastAsia="宋体" w:cs="Times New Roman"/>
                <w:kern w:val="0"/>
                <w:szCs w:val="21"/>
              </w:rPr>
            </w:pPr>
          </w:p>
        </w:tc>
      </w:tr>
      <w:tr w14:paraId="54F0FBF2">
        <w:tblPrEx>
          <w:tblCellMar>
            <w:top w:w="0" w:type="dxa"/>
            <w:left w:w="108" w:type="dxa"/>
            <w:bottom w:w="0" w:type="dxa"/>
            <w:right w:w="108" w:type="dxa"/>
          </w:tblCellMar>
        </w:tblPrEx>
        <w:trPr>
          <w:gridAfter w:val="1"/>
          <w:wAfter w:w="10" w:type="dxa"/>
          <w:trHeight w:val="76" w:hRule="atLeast"/>
        </w:trPr>
        <w:tc>
          <w:tcPr>
            <w:tcW w:w="1595" w:type="dxa"/>
            <w:tcBorders>
              <w:top w:val="nil"/>
              <w:left w:val="single" w:color="auto" w:sz="4" w:space="0"/>
              <w:bottom w:val="single" w:color="auto" w:sz="4" w:space="0"/>
              <w:right w:val="single" w:color="auto" w:sz="4" w:space="0"/>
            </w:tcBorders>
            <w:vAlign w:val="center"/>
          </w:tcPr>
          <w:p w14:paraId="3A8F456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888" w:type="dxa"/>
            <w:tcBorders>
              <w:top w:val="nil"/>
              <w:left w:val="nil"/>
              <w:bottom w:val="single" w:color="auto" w:sz="4" w:space="0"/>
              <w:right w:val="single" w:color="auto" w:sz="4" w:space="0"/>
            </w:tcBorders>
            <w:vAlign w:val="center"/>
          </w:tcPr>
          <w:p w14:paraId="79D3DE06">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64578E4C">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2098201A">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17E51B10">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48A6210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88" w:type="dxa"/>
            <w:tcBorders>
              <w:top w:val="nil"/>
              <w:left w:val="nil"/>
              <w:bottom w:val="single" w:color="auto" w:sz="4" w:space="0"/>
              <w:right w:val="single" w:color="auto" w:sz="4" w:space="0"/>
            </w:tcBorders>
            <w:vAlign w:val="center"/>
          </w:tcPr>
          <w:p w14:paraId="20EA7852">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0DD06CA8">
            <w:pPr>
              <w:widowControl/>
              <w:jc w:val="center"/>
              <w:rPr>
                <w:rFonts w:ascii="Times New Roman" w:hAnsi="Times New Roman" w:eastAsia="宋体" w:cs="Times New Roman"/>
                <w:kern w:val="0"/>
                <w:szCs w:val="21"/>
              </w:rPr>
            </w:pPr>
          </w:p>
        </w:tc>
        <w:tc>
          <w:tcPr>
            <w:tcW w:w="888" w:type="dxa"/>
            <w:tcBorders>
              <w:top w:val="nil"/>
              <w:left w:val="nil"/>
              <w:bottom w:val="single" w:color="auto" w:sz="4" w:space="0"/>
              <w:right w:val="single" w:color="auto" w:sz="4" w:space="0"/>
            </w:tcBorders>
            <w:vAlign w:val="center"/>
          </w:tcPr>
          <w:p w14:paraId="1465C03A">
            <w:pPr>
              <w:widowControl/>
              <w:jc w:val="center"/>
              <w:rPr>
                <w:rFonts w:ascii="Times New Roman" w:hAnsi="Times New Roman" w:eastAsia="宋体" w:cs="Times New Roman"/>
                <w:kern w:val="0"/>
                <w:szCs w:val="21"/>
              </w:rPr>
            </w:pPr>
          </w:p>
        </w:tc>
      </w:tr>
    </w:tbl>
    <w:p w14:paraId="042D8CBC">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55A1BAD3">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w:t>
      </w:r>
      <w:r>
        <w:rPr>
          <w:rFonts w:ascii="Times New Roman" w:hAnsi="Times New Roman" w:eastAsia="宋体" w:cs="Times New Roman"/>
          <w:b/>
          <w:kern w:val="0"/>
          <w:sz w:val="24"/>
          <w:szCs w:val="21"/>
        </w:rPr>
        <w:t>不定积分</w:t>
      </w:r>
    </w:p>
    <w:p w14:paraId="7CEB36C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7642399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（1）能够理解积分基本概念与性质</w:t>
      </w:r>
    </w:p>
    <w:p w14:paraId="7ACD48A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（2）能够掌握不定积分基本积分公式</w:t>
      </w:r>
    </w:p>
    <w:p w14:paraId="6DE8845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（3）能够掌握换元积分法与分部积分法</w:t>
      </w:r>
    </w:p>
    <w:p w14:paraId="56CDDDA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（4）能够掌握有理函数的不定积分</w:t>
      </w:r>
    </w:p>
    <w:p w14:paraId="09931DD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（5）能够掌握简单无理函数与三角函数的不定积分</w:t>
      </w:r>
    </w:p>
    <w:p w14:paraId="575F983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095C004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（1）重点与难点：不定积分的概念，换元积分法，分部积分法，基本积分公式。</w:t>
      </w:r>
    </w:p>
    <w:p w14:paraId="3D5ECC6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393BAB8">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2DAF89E7">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45B287BE">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（二）定积分</w:t>
      </w:r>
    </w:p>
    <w:p w14:paraId="12EC72B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7680838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（1）能够理解定积分概念</w:t>
      </w:r>
    </w:p>
    <w:p w14:paraId="1E5367D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（2）能够理解可积准则</w:t>
      </w:r>
    </w:p>
    <w:p w14:paraId="0753CE6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（3）能够理解函数极限定义</w:t>
      </w:r>
    </w:p>
    <w:p w14:paraId="05572A8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（4）能够掌握定积分性质</w:t>
      </w:r>
    </w:p>
    <w:p w14:paraId="57C5EB4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（5）能够掌握牛顿一莱布尼茨公式</w:t>
      </w:r>
    </w:p>
    <w:p w14:paraId="5E1F181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（6）能够掌握定积分换元积分法与分部积分法</w:t>
      </w:r>
    </w:p>
    <w:p w14:paraId="3DA50A2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（7）能够掌握定积分几何应用</w:t>
      </w:r>
    </w:p>
    <w:p w14:paraId="417B149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05D075B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（1）重点与难点：定积分的概念，变上限的函数及其求导原理，牛顿一莱布尼茨公式，定积分的元素法。</w:t>
      </w:r>
    </w:p>
    <w:p w14:paraId="7139330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（2）教学方法：启发式互动讲授结合多媒体辅助；适当课堂练习；及时了解学生的作业状况并对共同的问题作及时解答；安排好课后答疑。</w:t>
      </w:r>
    </w:p>
    <w:p w14:paraId="0EE66A14">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35913836">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3E01229B">
      <w:pPr>
        <w:spacing w:line="360" w:lineRule="auto"/>
        <w:ind w:firstLine="472" w:firstLineChars="196"/>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（三）级数</w:t>
      </w:r>
    </w:p>
    <w:p w14:paraId="1C62107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34E12FD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（1）能够理解数值级数的概念</w:t>
      </w:r>
    </w:p>
    <w:p w14:paraId="003DA02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（2）能够掌握数值级数的概念判别法</w:t>
      </w:r>
    </w:p>
    <w:p w14:paraId="567693F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（3）能够理解函数项级数收敛的概念</w:t>
      </w:r>
    </w:p>
    <w:p w14:paraId="07486A1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（4）能够掌握函数项级数和函数，逐项积分、逐项微分的条件和应用</w:t>
      </w:r>
    </w:p>
    <w:p w14:paraId="5B0AC67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（5）能够掌握幂级数的收敛半径和收敛区间的求法</w:t>
      </w:r>
    </w:p>
    <w:p w14:paraId="7ACA898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（6）能够理解初等函数的幂级数展开</w:t>
      </w:r>
    </w:p>
    <w:p w14:paraId="71F4BB7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426380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（1）重点与难点：正项级数比值审敛法的证明，函数展成幂级数的直接法和余项的估计。</w:t>
      </w:r>
    </w:p>
    <w:p w14:paraId="3A6CB84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（2）教学方法：启发式互动讲授结合多媒体辅助；适当课堂练习；及时了解学生的作业状况并对共同的问题作及时解答；安排好课后答疑。</w:t>
      </w:r>
    </w:p>
    <w:p w14:paraId="17F1271D">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173EEC11">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76EFA020">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（四）多元微积分</w:t>
      </w:r>
    </w:p>
    <w:p w14:paraId="678647A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83AC06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（1）能够理解偏导数的概念与几何意义</w:t>
      </w:r>
    </w:p>
    <w:p w14:paraId="02E51CF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（2）能够掌握求导法则与导数公式</w:t>
      </w:r>
    </w:p>
    <w:p w14:paraId="02283C1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（3）能够理解二重积分概念</w:t>
      </w:r>
    </w:p>
    <w:p w14:paraId="3BC72FA0">
      <w:pPr>
        <w:tabs>
          <w:tab w:val="left" w:pos="900"/>
        </w:tabs>
        <w:snapToGrid w:val="0"/>
        <w:spacing w:line="30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（4）能够掌握二重积分计算</w:t>
      </w:r>
    </w:p>
    <w:p w14:paraId="6D800DE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63D703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（1）重点与难点：偏</w:t>
      </w:r>
      <w:r>
        <w:rPr>
          <w:rFonts w:ascii="Times New Roman" w:hAnsi="Times New Roman" w:eastAsia="宋体" w:cs="Times New Roman"/>
          <w:kern w:val="10"/>
          <w:sz w:val="24"/>
          <w:szCs w:val="24"/>
        </w:rPr>
        <w:t>导数的计算，二重积分计算</w:t>
      </w:r>
      <w:r>
        <w:rPr>
          <w:rFonts w:ascii="Times New Roman" w:hAnsi="Times New Roman" w:eastAsia="宋体" w:cs="Times New Roman"/>
          <w:color w:val="000000"/>
          <w:sz w:val="24"/>
          <w:szCs w:val="24"/>
        </w:rPr>
        <w:t>。</w:t>
      </w:r>
    </w:p>
    <w:p w14:paraId="0C386F0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49DF22F">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5CEB9F95">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3F0DC97D">
      <w:pPr>
        <w:spacing w:line="360" w:lineRule="auto"/>
        <w:ind w:firstLine="480" w:firstLineChars="200"/>
        <w:rPr>
          <w:rFonts w:ascii="Times New Roman" w:hAnsi="Times New Roman" w:eastAsia="宋体" w:cs="Times New Roman"/>
          <w:color w:val="000000"/>
          <w:sz w:val="24"/>
          <w:szCs w:val="24"/>
        </w:rPr>
      </w:pPr>
    </w:p>
    <w:p w14:paraId="296AB7A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5864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7EB51D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0B6380C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262ED94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1DD5C89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39F45AD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122EF35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22928F6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52A5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4A1DB2D">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vAlign w:val="center"/>
          </w:tcPr>
          <w:p w14:paraId="1E9CF72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不定积分</w:t>
            </w:r>
          </w:p>
        </w:tc>
        <w:tc>
          <w:tcPr>
            <w:tcW w:w="1701" w:type="dxa"/>
            <w:vAlign w:val="center"/>
          </w:tcPr>
          <w:p w14:paraId="459BB8F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459EA62B">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vAlign w:val="center"/>
          </w:tcPr>
          <w:p w14:paraId="6705749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14</w:t>
            </w:r>
          </w:p>
        </w:tc>
        <w:tc>
          <w:tcPr>
            <w:tcW w:w="735" w:type="dxa"/>
            <w:vAlign w:val="center"/>
          </w:tcPr>
          <w:p w14:paraId="69550126">
            <w:pPr>
              <w:jc w:val="center"/>
              <w:rPr>
                <w:rFonts w:ascii="Times New Roman" w:hAnsi="Times New Roman" w:eastAsia="宋体" w:cs="Times New Roman"/>
                <w:szCs w:val="21"/>
              </w:rPr>
            </w:pPr>
          </w:p>
        </w:tc>
      </w:tr>
      <w:tr w14:paraId="5D72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6799C0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vAlign w:val="center"/>
          </w:tcPr>
          <w:p w14:paraId="5946347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定积分</w:t>
            </w:r>
          </w:p>
        </w:tc>
        <w:tc>
          <w:tcPr>
            <w:tcW w:w="1701" w:type="dxa"/>
            <w:vAlign w:val="center"/>
          </w:tcPr>
          <w:p w14:paraId="2DD82E7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62B9CACB">
            <w:pPr>
              <w:jc w:val="center"/>
              <w:rPr>
                <w:rFonts w:ascii="Times New Roman" w:hAnsi="Times New Roman" w:eastAsia="宋体" w:cs="Times New Roman"/>
                <w:szCs w:val="21"/>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5E2D123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20</w:t>
            </w:r>
          </w:p>
        </w:tc>
        <w:tc>
          <w:tcPr>
            <w:tcW w:w="735" w:type="dxa"/>
            <w:vAlign w:val="center"/>
          </w:tcPr>
          <w:p w14:paraId="6D41290D">
            <w:pPr>
              <w:jc w:val="center"/>
              <w:rPr>
                <w:rFonts w:ascii="Times New Roman" w:hAnsi="Times New Roman" w:eastAsia="宋体" w:cs="Times New Roman"/>
                <w:szCs w:val="21"/>
              </w:rPr>
            </w:pPr>
          </w:p>
        </w:tc>
      </w:tr>
      <w:tr w14:paraId="7B9F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F05C100">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vAlign w:val="center"/>
          </w:tcPr>
          <w:p w14:paraId="7FA0649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级数</w:t>
            </w:r>
          </w:p>
        </w:tc>
        <w:tc>
          <w:tcPr>
            <w:tcW w:w="1701" w:type="dxa"/>
            <w:vAlign w:val="center"/>
          </w:tcPr>
          <w:p w14:paraId="721D1B2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1011E91D">
            <w:pPr>
              <w:jc w:val="center"/>
              <w:rPr>
                <w:rFonts w:ascii="Times New Roman" w:hAnsi="Times New Roman" w:eastAsia="宋体" w:cs="Times New Roman"/>
                <w:szCs w:val="21"/>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402FA19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14</w:t>
            </w:r>
          </w:p>
        </w:tc>
        <w:tc>
          <w:tcPr>
            <w:tcW w:w="735" w:type="dxa"/>
            <w:vAlign w:val="center"/>
          </w:tcPr>
          <w:p w14:paraId="7D434774">
            <w:pPr>
              <w:jc w:val="center"/>
              <w:rPr>
                <w:rFonts w:ascii="Times New Roman" w:hAnsi="Times New Roman" w:eastAsia="宋体" w:cs="Times New Roman"/>
                <w:szCs w:val="21"/>
              </w:rPr>
            </w:pPr>
          </w:p>
        </w:tc>
      </w:tr>
      <w:tr w14:paraId="41BB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FEE7DD4">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vAlign w:val="center"/>
          </w:tcPr>
          <w:p w14:paraId="12F48E9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多元微积分</w:t>
            </w:r>
          </w:p>
        </w:tc>
        <w:tc>
          <w:tcPr>
            <w:tcW w:w="1701" w:type="dxa"/>
            <w:vAlign w:val="center"/>
          </w:tcPr>
          <w:p w14:paraId="56210F8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tcPr>
          <w:p w14:paraId="13B39C82">
            <w:pPr>
              <w:jc w:val="center"/>
              <w:rPr>
                <w:rFonts w:ascii="Times New Roman" w:hAnsi="Times New Roman" w:eastAsia="宋体" w:cs="Times New Roman"/>
                <w:szCs w:val="21"/>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7657207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16</w:t>
            </w:r>
          </w:p>
        </w:tc>
        <w:tc>
          <w:tcPr>
            <w:tcW w:w="735" w:type="dxa"/>
            <w:vAlign w:val="center"/>
          </w:tcPr>
          <w:p w14:paraId="42BF1528">
            <w:pPr>
              <w:jc w:val="center"/>
              <w:rPr>
                <w:rFonts w:ascii="Times New Roman" w:hAnsi="Times New Roman" w:eastAsia="宋体" w:cs="Times New Roman"/>
                <w:szCs w:val="21"/>
              </w:rPr>
            </w:pPr>
          </w:p>
        </w:tc>
      </w:tr>
      <w:tr w14:paraId="2B24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73D91A2A">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3F241654">
            <w:pPr>
              <w:jc w:val="center"/>
              <w:rPr>
                <w:rFonts w:ascii="Times New Roman" w:hAnsi="Times New Roman" w:eastAsia="宋体" w:cs="Times New Roman"/>
                <w:szCs w:val="21"/>
              </w:rPr>
            </w:pPr>
            <w:r>
              <w:rPr>
                <w:rFonts w:ascii="Times New Roman" w:hAnsi="Times New Roman" w:eastAsia="宋体" w:cs="Times New Roman"/>
                <w:szCs w:val="21"/>
              </w:rPr>
              <w:t>64</w:t>
            </w:r>
          </w:p>
        </w:tc>
        <w:tc>
          <w:tcPr>
            <w:tcW w:w="735" w:type="dxa"/>
            <w:vAlign w:val="center"/>
          </w:tcPr>
          <w:p w14:paraId="0A23DC99">
            <w:pPr>
              <w:jc w:val="center"/>
              <w:rPr>
                <w:rFonts w:ascii="Times New Roman" w:hAnsi="Times New Roman" w:eastAsia="宋体" w:cs="Times New Roman"/>
                <w:szCs w:val="21"/>
              </w:rPr>
            </w:pPr>
          </w:p>
        </w:tc>
      </w:tr>
    </w:tbl>
    <w:p w14:paraId="6BE858EE">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416277A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C0F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13AFFDB3">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0BA0BA74">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7DE1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CC6A901">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120B7889">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4AB997CB">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46FEBDA3">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1F947882">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49E71012">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4B6E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03120C3">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5F298B60">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2B65829A">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67485155">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1095F12D">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7EC3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C44578A">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44ADC089">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5A3CF8C1">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13703ACF">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0B75A4D3">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2EB4A3E5">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7D7F9F4B">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07D7D8B7">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3589CB75">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1605CEDB">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34140A2B">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4867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29B89EC">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59F29E58">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00BC1A95">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606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2143C29">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150488A8">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63FB4FD5">
            <w:pPr>
              <w:rPr>
                <w:rFonts w:ascii="Times New Roman" w:hAnsi="Times New Roman" w:eastAsia="宋体" w:cs="Times New Roman"/>
                <w:szCs w:val="24"/>
              </w:rPr>
            </w:pPr>
            <w:r>
              <w:rPr>
                <w:rFonts w:ascii="Times New Roman" w:hAnsi="Times New Roman" w:eastAsia="宋体" w:cs="Times New Roman"/>
                <w:szCs w:val="24"/>
              </w:rPr>
              <w:t>本课程考核的方式：考试。考试试卷采取抽卷形式，统一安排监考。总评成绩的评定见课程评分方案。有下列情况之一者，总评成绩为不及格：</w:t>
            </w:r>
          </w:p>
          <w:p w14:paraId="3A1BAE9F">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70246AB9">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r>
              <w:rPr>
                <w:rFonts w:hint="eastAsia" w:ascii="Times New Roman" w:hAnsi="Times New Roman" w:eastAsia="宋体" w:cs="Times New Roman"/>
                <w:szCs w:val="24"/>
              </w:rPr>
              <w:t>。</w:t>
            </w:r>
          </w:p>
          <w:p w14:paraId="0E0A3B10">
            <w:pPr>
              <w:rPr>
                <w:rFonts w:ascii="Times New Roman" w:hAnsi="Times New Roman" w:eastAsia="宋体" w:cs="Times New Roman"/>
                <w:szCs w:val="21"/>
              </w:rPr>
            </w:pPr>
          </w:p>
        </w:tc>
      </w:tr>
    </w:tbl>
    <w:p w14:paraId="50EA1EA8">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54EC3A1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162E79A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573"/>
        <w:gridCol w:w="1032"/>
        <w:gridCol w:w="4010"/>
        <w:gridCol w:w="1422"/>
      </w:tblGrid>
      <w:tr w14:paraId="7FBD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11"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0F40131">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73" w:type="dxa"/>
            <w:tcBorders>
              <w:top w:val="single" w:color="auto" w:sz="4" w:space="0"/>
              <w:left w:val="single" w:color="auto" w:sz="4" w:space="0"/>
              <w:bottom w:val="single" w:color="auto" w:sz="4" w:space="0"/>
              <w:right w:val="single" w:color="auto" w:sz="4" w:space="0"/>
            </w:tcBorders>
            <w:shd w:val="clear" w:color="auto" w:fill="FFFFFF"/>
            <w:vAlign w:val="center"/>
          </w:tcPr>
          <w:p w14:paraId="47348CD7">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1032" w:type="dxa"/>
            <w:tcBorders>
              <w:top w:val="single" w:color="auto" w:sz="4" w:space="0"/>
              <w:left w:val="single" w:color="auto" w:sz="4" w:space="0"/>
              <w:bottom w:val="single" w:color="auto" w:sz="4" w:space="0"/>
              <w:right w:val="single" w:color="auto" w:sz="4" w:space="0"/>
            </w:tcBorders>
            <w:shd w:val="clear" w:color="auto" w:fill="FFFFFF"/>
            <w:vAlign w:val="center"/>
          </w:tcPr>
          <w:p w14:paraId="41354FC6">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4010" w:type="dxa"/>
            <w:tcBorders>
              <w:top w:val="single" w:color="auto" w:sz="4" w:space="0"/>
              <w:left w:val="single" w:color="auto" w:sz="4" w:space="0"/>
              <w:bottom w:val="single" w:color="auto" w:sz="4" w:space="0"/>
              <w:right w:val="single" w:color="auto" w:sz="4" w:space="0"/>
            </w:tcBorders>
            <w:shd w:val="clear" w:color="auto" w:fill="FFFFFF"/>
            <w:vAlign w:val="center"/>
          </w:tcPr>
          <w:p w14:paraId="3A2A7334">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22" w:type="dxa"/>
            <w:tcBorders>
              <w:top w:val="single" w:color="auto" w:sz="4" w:space="0"/>
              <w:left w:val="single" w:color="auto" w:sz="4" w:space="0"/>
              <w:bottom w:val="single" w:color="auto" w:sz="4" w:space="0"/>
              <w:right w:val="single" w:color="auto" w:sz="4" w:space="0"/>
            </w:tcBorders>
            <w:shd w:val="clear" w:color="auto" w:fill="FFFFFF"/>
            <w:vAlign w:val="center"/>
          </w:tcPr>
          <w:p w14:paraId="178A32A3">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0E29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111" w:type="dxa"/>
            <w:vMerge w:val="restart"/>
            <w:tcBorders>
              <w:top w:val="single" w:color="auto" w:sz="4" w:space="0"/>
              <w:left w:val="single" w:color="auto" w:sz="4" w:space="0"/>
              <w:right w:val="single" w:color="auto" w:sz="4" w:space="0"/>
            </w:tcBorders>
            <w:tcMar>
              <w:left w:w="57" w:type="dxa"/>
              <w:right w:w="57" w:type="dxa"/>
            </w:tcMar>
            <w:vAlign w:val="center"/>
          </w:tcPr>
          <w:p w14:paraId="265E19E0">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322AB7B7">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73" w:type="dxa"/>
            <w:tcBorders>
              <w:top w:val="single" w:color="auto" w:sz="4" w:space="0"/>
              <w:left w:val="single" w:color="auto" w:sz="4" w:space="0"/>
              <w:bottom w:val="single" w:color="auto" w:sz="4" w:space="0"/>
              <w:right w:val="single" w:color="auto" w:sz="4" w:space="0"/>
            </w:tcBorders>
            <w:vAlign w:val="center"/>
          </w:tcPr>
          <w:p w14:paraId="548C70DD">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1032" w:type="dxa"/>
            <w:tcBorders>
              <w:top w:val="single" w:color="auto" w:sz="4" w:space="0"/>
              <w:left w:val="single" w:color="auto" w:sz="4" w:space="0"/>
              <w:bottom w:val="single" w:color="auto" w:sz="4" w:space="0"/>
              <w:right w:val="single" w:color="auto" w:sz="4" w:space="0"/>
            </w:tcBorders>
            <w:vAlign w:val="center"/>
          </w:tcPr>
          <w:p w14:paraId="503B4D9F">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4010" w:type="dxa"/>
            <w:tcBorders>
              <w:top w:val="single" w:color="auto" w:sz="4" w:space="0"/>
              <w:left w:val="single" w:color="auto" w:sz="4" w:space="0"/>
              <w:bottom w:val="single" w:color="auto" w:sz="4" w:space="0"/>
              <w:right w:val="single" w:color="auto" w:sz="4" w:space="0"/>
            </w:tcBorders>
            <w:vAlign w:val="center"/>
          </w:tcPr>
          <w:p w14:paraId="53DAF6C5">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22" w:type="dxa"/>
            <w:tcBorders>
              <w:top w:val="single" w:color="auto" w:sz="4" w:space="0"/>
              <w:left w:val="single" w:color="auto" w:sz="4" w:space="0"/>
              <w:right w:val="single" w:color="auto" w:sz="4" w:space="0"/>
            </w:tcBorders>
            <w:vAlign w:val="center"/>
          </w:tcPr>
          <w:p w14:paraId="3CF41686">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1B8D7C77">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4726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111" w:type="dxa"/>
            <w:vMerge w:val="continue"/>
            <w:tcBorders>
              <w:left w:val="single" w:color="auto" w:sz="4" w:space="0"/>
              <w:right w:val="single" w:color="auto" w:sz="4" w:space="0"/>
            </w:tcBorders>
            <w:tcMar>
              <w:left w:w="57" w:type="dxa"/>
              <w:right w:w="57" w:type="dxa"/>
            </w:tcMar>
            <w:vAlign w:val="center"/>
          </w:tcPr>
          <w:p w14:paraId="692ED087">
            <w:pPr>
              <w:rPr>
                <w:rFonts w:ascii="Times New Roman" w:hAnsi="Times New Roman" w:eastAsia="宋体" w:cs="Times New Roman"/>
                <w:sz w:val="20"/>
                <w:szCs w:val="20"/>
              </w:rPr>
            </w:pPr>
          </w:p>
        </w:tc>
        <w:tc>
          <w:tcPr>
            <w:tcW w:w="1573" w:type="dxa"/>
            <w:tcBorders>
              <w:top w:val="single" w:color="auto" w:sz="4" w:space="0"/>
              <w:left w:val="single" w:color="auto" w:sz="4" w:space="0"/>
              <w:bottom w:val="single" w:color="auto" w:sz="4" w:space="0"/>
              <w:right w:val="single" w:color="auto" w:sz="4" w:space="0"/>
            </w:tcBorders>
            <w:vAlign w:val="center"/>
          </w:tcPr>
          <w:p w14:paraId="42ED5C23">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1032" w:type="dxa"/>
            <w:tcBorders>
              <w:top w:val="single" w:color="auto" w:sz="4" w:space="0"/>
              <w:left w:val="single" w:color="auto" w:sz="4" w:space="0"/>
              <w:bottom w:val="single" w:color="auto" w:sz="4" w:space="0"/>
              <w:right w:val="single" w:color="auto" w:sz="4" w:space="0"/>
            </w:tcBorders>
            <w:vAlign w:val="center"/>
          </w:tcPr>
          <w:p w14:paraId="1F031890">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4010" w:type="dxa"/>
            <w:tcBorders>
              <w:top w:val="single" w:color="auto" w:sz="4" w:space="0"/>
              <w:left w:val="single" w:color="auto" w:sz="4" w:space="0"/>
              <w:bottom w:val="single" w:color="auto" w:sz="4" w:space="0"/>
              <w:right w:val="single" w:color="auto" w:sz="4" w:space="0"/>
            </w:tcBorders>
            <w:vAlign w:val="center"/>
          </w:tcPr>
          <w:p w14:paraId="6AA0F84B">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22" w:type="dxa"/>
            <w:tcBorders>
              <w:left w:val="single" w:color="auto" w:sz="4" w:space="0"/>
              <w:right w:val="single" w:color="auto" w:sz="4" w:space="0"/>
            </w:tcBorders>
            <w:vAlign w:val="center"/>
          </w:tcPr>
          <w:p w14:paraId="56C9BE89">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6B0D20E2">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4AAF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11" w:type="dxa"/>
            <w:vMerge w:val="continue"/>
            <w:tcBorders>
              <w:left w:val="single" w:color="auto" w:sz="4" w:space="0"/>
              <w:bottom w:val="single" w:color="auto" w:sz="4" w:space="0"/>
              <w:right w:val="single" w:color="auto" w:sz="4" w:space="0"/>
            </w:tcBorders>
            <w:tcMar>
              <w:left w:w="57" w:type="dxa"/>
              <w:right w:w="57" w:type="dxa"/>
            </w:tcMar>
            <w:vAlign w:val="center"/>
          </w:tcPr>
          <w:p w14:paraId="6B0C4A52">
            <w:pPr>
              <w:rPr>
                <w:rFonts w:ascii="Times New Roman" w:hAnsi="Times New Roman" w:eastAsia="宋体" w:cs="Times New Roman"/>
                <w:sz w:val="20"/>
                <w:szCs w:val="20"/>
              </w:rPr>
            </w:pPr>
          </w:p>
        </w:tc>
        <w:tc>
          <w:tcPr>
            <w:tcW w:w="1573" w:type="dxa"/>
            <w:tcBorders>
              <w:top w:val="single" w:color="auto" w:sz="4" w:space="0"/>
              <w:left w:val="single" w:color="auto" w:sz="4" w:space="0"/>
              <w:bottom w:val="single" w:color="auto" w:sz="4" w:space="0"/>
              <w:right w:val="single" w:color="auto" w:sz="4" w:space="0"/>
            </w:tcBorders>
            <w:vAlign w:val="center"/>
          </w:tcPr>
          <w:p w14:paraId="3C3439D8">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1032" w:type="dxa"/>
            <w:tcBorders>
              <w:top w:val="single" w:color="auto" w:sz="4" w:space="0"/>
              <w:left w:val="single" w:color="auto" w:sz="4" w:space="0"/>
              <w:bottom w:val="single" w:color="auto" w:sz="4" w:space="0"/>
              <w:right w:val="single" w:color="auto" w:sz="4" w:space="0"/>
            </w:tcBorders>
            <w:vAlign w:val="center"/>
          </w:tcPr>
          <w:p w14:paraId="53136F82">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4010" w:type="dxa"/>
            <w:tcBorders>
              <w:top w:val="single" w:color="auto" w:sz="4" w:space="0"/>
              <w:left w:val="single" w:color="auto" w:sz="4" w:space="0"/>
              <w:bottom w:val="single" w:color="auto" w:sz="4" w:space="0"/>
              <w:right w:val="single" w:color="auto" w:sz="4" w:space="0"/>
            </w:tcBorders>
            <w:vAlign w:val="center"/>
          </w:tcPr>
          <w:p w14:paraId="7F454A2A">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22" w:type="dxa"/>
            <w:tcBorders>
              <w:left w:val="single" w:color="auto" w:sz="4" w:space="0"/>
              <w:bottom w:val="single" w:color="auto" w:sz="4" w:space="0"/>
              <w:right w:val="single" w:color="auto" w:sz="4" w:space="0"/>
            </w:tcBorders>
            <w:vAlign w:val="center"/>
          </w:tcPr>
          <w:p w14:paraId="5356D0D6">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575501C0">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18BB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11"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D947BAB">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73" w:type="dxa"/>
            <w:tcBorders>
              <w:top w:val="single" w:color="auto" w:sz="4" w:space="0"/>
              <w:left w:val="single" w:color="auto" w:sz="4" w:space="0"/>
              <w:bottom w:val="single" w:color="auto" w:sz="4" w:space="0"/>
              <w:right w:val="single" w:color="auto" w:sz="4" w:space="0"/>
            </w:tcBorders>
            <w:vAlign w:val="center"/>
          </w:tcPr>
          <w:p w14:paraId="00A53DC8">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1032" w:type="dxa"/>
            <w:tcBorders>
              <w:top w:val="single" w:color="auto" w:sz="4" w:space="0"/>
              <w:left w:val="single" w:color="auto" w:sz="4" w:space="0"/>
              <w:bottom w:val="single" w:color="auto" w:sz="4" w:space="0"/>
              <w:right w:val="single" w:color="auto" w:sz="4" w:space="0"/>
            </w:tcBorders>
            <w:vAlign w:val="center"/>
          </w:tcPr>
          <w:p w14:paraId="69F5CEA5">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4010" w:type="dxa"/>
            <w:tcBorders>
              <w:top w:val="single" w:color="auto" w:sz="4" w:space="0"/>
              <w:left w:val="single" w:color="auto" w:sz="4" w:space="0"/>
              <w:bottom w:val="single" w:color="auto" w:sz="4" w:space="0"/>
              <w:right w:val="single" w:color="auto" w:sz="4" w:space="0"/>
            </w:tcBorders>
            <w:vAlign w:val="center"/>
          </w:tcPr>
          <w:p w14:paraId="286B80B7">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w:t>
            </w:r>
            <w:r>
              <w:rPr>
                <w:rFonts w:hint="eastAsia" w:ascii="Times New Roman" w:hAnsi="Times New Roman" w:eastAsia="宋体" w:cs="Times New Roman"/>
                <w:szCs w:val="24"/>
                <w:lang w:bidi="ar"/>
              </w:rPr>
              <w:t>计算</w:t>
            </w:r>
            <w:r>
              <w:rPr>
                <w:rFonts w:ascii="Times New Roman" w:hAnsi="Times New Roman" w:eastAsia="宋体" w:cs="Times New Roman"/>
                <w:szCs w:val="24"/>
                <w:lang w:bidi="ar"/>
              </w:rPr>
              <w:t>题、解答题等。</w:t>
            </w:r>
          </w:p>
        </w:tc>
        <w:tc>
          <w:tcPr>
            <w:tcW w:w="1422" w:type="dxa"/>
            <w:tcBorders>
              <w:top w:val="single" w:color="auto" w:sz="4" w:space="0"/>
              <w:left w:val="single" w:color="auto" w:sz="4" w:space="0"/>
              <w:bottom w:val="single" w:color="auto" w:sz="4" w:space="0"/>
              <w:right w:val="single" w:color="auto" w:sz="4" w:space="0"/>
            </w:tcBorders>
            <w:vAlign w:val="center"/>
          </w:tcPr>
          <w:p w14:paraId="2D2C66BD">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46BBEE23">
      <w:pPr>
        <w:spacing w:line="360" w:lineRule="auto"/>
        <w:ind w:firstLine="562" w:firstLineChars="200"/>
        <w:rPr>
          <w:rFonts w:ascii="Times New Roman" w:hAnsi="Times New Roman" w:eastAsia="宋体" w:cs="Times New Roman"/>
          <w:b/>
          <w:sz w:val="28"/>
          <w:szCs w:val="28"/>
        </w:rPr>
      </w:pPr>
    </w:p>
    <w:p w14:paraId="26AD6977">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1B46003F">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54E487D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w:t>
      </w:r>
      <w:r>
        <w:rPr>
          <w:rFonts w:hint="eastAsia" w:ascii="Times New Roman" w:hAnsi="Times New Roman" w:eastAsia="宋体" w:cs="Times New Roman"/>
          <w:color w:val="000000"/>
          <w:sz w:val="24"/>
          <w:szCs w:val="24"/>
        </w:rPr>
        <w:t>频</w:t>
      </w:r>
      <w:r>
        <w:rPr>
          <w:rFonts w:ascii="Times New Roman" w:hAnsi="Times New Roman" w:eastAsia="宋体" w:cs="Times New Roman"/>
          <w:color w:val="000000"/>
          <w:sz w:val="24"/>
          <w:szCs w:val="24"/>
        </w:rPr>
        <w:t>教学和网络答疑等。</w:t>
      </w:r>
    </w:p>
    <w:p w14:paraId="1D20349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2C2CEEA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5CF8AEAD">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0885BA02">
      <w:pPr>
        <w:widowControl/>
        <w:spacing w:line="360" w:lineRule="auto"/>
        <w:ind w:firstLine="480" w:firstLineChars="200"/>
        <w:rPr>
          <w:rFonts w:ascii="Times New Roman" w:hAnsi="Times New Roman" w:eastAsia="宋体" w:cs="Times New Roman"/>
          <w:color w:val="000000"/>
          <w:kern w:val="0"/>
          <w:sz w:val="24"/>
          <w:szCs w:val="21"/>
        </w:rPr>
      </w:pPr>
      <w:r>
        <w:rPr>
          <w:rFonts w:ascii="Times New Roman" w:hAnsi="Times New Roman" w:eastAsia="宋体" w:cs="Times New Roman"/>
          <w:color w:val="000000"/>
          <w:sz w:val="24"/>
          <w:szCs w:val="24"/>
        </w:rPr>
        <w:t>1.</w:t>
      </w:r>
      <w:r>
        <w:rPr>
          <w:rFonts w:ascii="Times New Roman" w:hAnsi="Times New Roman" w:eastAsia="宋体" w:cs="Times New Roman"/>
          <w:color w:val="000000"/>
          <w:kern w:val="0"/>
          <w:sz w:val="24"/>
          <w:szCs w:val="21"/>
        </w:rPr>
        <w:t xml:space="preserve"> </w:t>
      </w:r>
      <w:r>
        <w:rPr>
          <w:rFonts w:ascii="Times New Roman" w:hAnsi="Times New Roman" w:eastAsia="宋体" w:cs="Times New Roman"/>
          <w:sz w:val="24"/>
          <w:szCs w:val="24"/>
        </w:rPr>
        <w:t>华东师范大学数学系　数学分析　  北京：高等教育出版社</w:t>
      </w:r>
    </w:p>
    <w:p w14:paraId="65C21DA6">
      <w:pPr>
        <w:widowControl/>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color w:val="000000"/>
          <w:kern w:val="0"/>
          <w:sz w:val="24"/>
          <w:szCs w:val="21"/>
        </w:rPr>
        <w:t>2.</w:t>
      </w:r>
      <w:r>
        <w:rPr>
          <w:rFonts w:ascii="Times New Roman" w:hAnsi="Times New Roman" w:eastAsia="宋体" w:cs="Times New Roman"/>
          <w:color w:val="000000"/>
          <w:sz w:val="24"/>
          <w:szCs w:val="21"/>
        </w:rPr>
        <w:t xml:space="preserve"> 同济大学数学系      高等数学    北京</w:t>
      </w:r>
      <w:r>
        <w:rPr>
          <w:rFonts w:ascii="Times New Roman" w:hAnsi="Times New Roman" w:eastAsia="宋体" w:cs="Times New Roman"/>
          <w:color w:val="000000"/>
          <w:kern w:val="0"/>
          <w:sz w:val="24"/>
          <w:szCs w:val="21"/>
        </w:rPr>
        <w:t>：</w:t>
      </w:r>
      <w:r>
        <w:rPr>
          <w:rFonts w:ascii="Times New Roman" w:hAnsi="Times New Roman" w:eastAsia="宋体" w:cs="Times New Roman"/>
          <w:color w:val="000000"/>
          <w:sz w:val="24"/>
          <w:szCs w:val="21"/>
        </w:rPr>
        <w:t>高等教育出版社</w:t>
      </w:r>
    </w:p>
    <w:p w14:paraId="089B1F8A">
      <w:pPr>
        <w:autoSpaceDE w:val="0"/>
        <w:autoSpaceDN w:val="0"/>
        <w:adjustRightInd w:val="0"/>
        <w:spacing w:line="360" w:lineRule="auto"/>
        <w:ind w:firstLine="480" w:firstLineChars="200"/>
        <w:jc w:val="right"/>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p w14:paraId="13D63387">
      <w:pPr>
        <w:autoSpaceDE w:val="0"/>
        <w:autoSpaceDN w:val="0"/>
        <w:adjustRightInd w:val="0"/>
        <w:spacing w:line="360" w:lineRule="auto"/>
        <w:ind w:firstLine="480" w:firstLineChars="200"/>
        <w:jc w:val="center"/>
        <w:rPr>
          <w:rFonts w:ascii="Times New Roman" w:hAnsi="Times New Roman" w:eastAsia="宋体" w:cs="Times New Roman"/>
          <w:kern w:val="0"/>
          <w:sz w:val="24"/>
          <w:szCs w:val="21"/>
        </w:rPr>
      </w:pPr>
      <w:r>
        <w:rPr>
          <w:rFonts w:hint="eastAsia" w:ascii="Times New Roman" w:hAnsi="Times New Roman" w:eastAsia="宋体" w:cs="Times New Roman"/>
          <w:sz w:val="24"/>
          <w:szCs w:val="24"/>
        </w:rPr>
        <w:t xml:space="preserve">                                            </w:t>
      </w:r>
      <w:r>
        <w:rPr>
          <w:rFonts w:ascii="Times New Roman" w:hAnsi="Times New Roman" w:eastAsia="宋体" w:cs="Times New Roman"/>
          <w:kern w:val="0"/>
          <w:sz w:val="24"/>
          <w:szCs w:val="21"/>
        </w:rPr>
        <w:t>执</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笔</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荆  江</w:t>
      </w:r>
    </w:p>
    <w:p w14:paraId="110E59BA">
      <w:pPr>
        <w:autoSpaceDE w:val="0"/>
        <w:autoSpaceDN w:val="0"/>
        <w:adjustRightInd w:val="0"/>
        <w:spacing w:line="360" w:lineRule="auto"/>
        <w:ind w:firstLine="480" w:firstLineChars="200"/>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审</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定</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w:t>
      </w:r>
      <w:r>
        <w:rPr>
          <w:rFonts w:ascii="Times New Roman" w:hAnsi="Times New Roman" w:eastAsia="宋体" w:cs="Times New Roman"/>
          <w:color w:val="000000"/>
          <w:sz w:val="24"/>
          <w:szCs w:val="21"/>
        </w:rPr>
        <w:t>钱  峰</w:t>
      </w:r>
    </w:p>
    <w:p w14:paraId="74FF69C2">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审</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批</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王献东</w:t>
      </w:r>
    </w:p>
    <w:p w14:paraId="6BE5BE02">
      <w:pPr>
        <w:autoSpaceDE w:val="0"/>
        <w:autoSpaceDN w:val="0"/>
        <w:adjustRightInd w:val="0"/>
        <w:spacing w:line="360" w:lineRule="auto"/>
        <w:jc w:val="right"/>
        <w:rPr>
          <w:rFonts w:hint="eastAsia" w:ascii="Times New Roman" w:hAnsi="Times New Roman" w:eastAsia="宋体" w:cs="Times New Roman"/>
          <w:kern w:val="0"/>
          <w:sz w:val="24"/>
          <w:szCs w:val="21"/>
          <w:lang w:val="en-US" w:eastAsia="zh-CN"/>
        </w:rPr>
      </w:pPr>
      <w:r>
        <w:rPr>
          <w:rFonts w:ascii="Times New Roman" w:hAnsi="Times New Roman" w:eastAsia="宋体" w:cs="Times New Roman"/>
          <w:kern w:val="0"/>
          <w:sz w:val="24"/>
          <w:szCs w:val="21"/>
        </w:rPr>
        <w:t>批准时间：20</w:t>
      </w: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w:t>
      </w:r>
      <w:r>
        <w:rPr>
          <w:rFonts w:hint="eastAsia" w:ascii="Times New Roman" w:hAnsi="Times New Roman" w:eastAsia="宋体" w:cs="Times New Roman"/>
          <w:kern w:val="0"/>
          <w:sz w:val="24"/>
          <w:szCs w:val="21"/>
          <w:lang w:val="en-US" w:eastAsia="zh-CN"/>
        </w:rPr>
        <w:t>月</w:t>
      </w:r>
    </w:p>
    <w:p w14:paraId="562DBD04">
      <w:pPr>
        <w:autoSpaceDE w:val="0"/>
        <w:autoSpaceDN w:val="0"/>
        <w:adjustRightInd w:val="0"/>
        <w:spacing w:line="360" w:lineRule="auto"/>
        <w:jc w:val="right"/>
        <w:rPr>
          <w:rFonts w:ascii="Times New Roman" w:hAnsi="Times New Roman" w:eastAsia="宋体" w:cs="Times New Roman"/>
          <w:kern w:val="0"/>
          <w:sz w:val="24"/>
          <w:szCs w:val="21"/>
        </w:rPr>
      </w:pPr>
    </w:p>
    <w:p w14:paraId="7D1DE516">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497DC5C3">
      <w:pPr>
        <w:spacing w:line="312" w:lineRule="auto"/>
        <w:jc w:val="center"/>
        <w:outlineLvl w:val="0"/>
        <w:rPr>
          <w:rFonts w:ascii="Times New Roman" w:hAnsi="Times New Roman" w:eastAsia="宋体" w:cs="Times New Roman"/>
          <w:b/>
          <w:bCs/>
          <w:sz w:val="30"/>
          <w:szCs w:val="24"/>
        </w:rPr>
      </w:pPr>
      <w:bookmarkStart w:id="212" w:name="_Toc166165209"/>
      <w:r>
        <w:rPr>
          <w:rFonts w:ascii="Times New Roman" w:hAnsi="Times New Roman" w:eastAsia="宋体" w:cs="Times New Roman"/>
          <w:b/>
          <w:bCs/>
          <w:sz w:val="30"/>
          <w:szCs w:val="24"/>
        </w:rPr>
        <w:t>空间解析几何课程教学大纲</w:t>
      </w:r>
      <w:bookmarkEnd w:id="212"/>
    </w:p>
    <w:p w14:paraId="2E9C86DE">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（Space Analytic Geometry）</w:t>
      </w:r>
    </w:p>
    <w:p w14:paraId="3670EEBB">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0C97BAB1">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0821010</w:t>
      </w:r>
    </w:p>
    <w:p w14:paraId="26E90DC8">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2</w:t>
      </w:r>
    </w:p>
    <w:p w14:paraId="53AD669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32（其中：讲授学时32  ， 实验学时0  ，上机学时0）</w:t>
      </w:r>
    </w:p>
    <w:p w14:paraId="5D8348AC">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color w:val="000000"/>
          <w:sz w:val="24"/>
          <w:szCs w:val="24"/>
        </w:rPr>
        <w:t>初等数学</w:t>
      </w:r>
    </w:p>
    <w:p w14:paraId="1FD705F9">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69F6C138">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《空间</w:t>
      </w:r>
      <w:r>
        <w:rPr>
          <w:rFonts w:ascii="Times New Roman" w:hAnsi="Times New Roman" w:eastAsia="宋体" w:cs="Times New Roman"/>
          <w:sz w:val="24"/>
          <w:szCs w:val="24"/>
        </w:rPr>
        <w:t>解析几何</w:t>
      </w:r>
      <w:r>
        <w:rPr>
          <w:rFonts w:ascii="Times New Roman" w:hAnsi="Times New Roman" w:eastAsia="宋体" w:cs="Times New Roman"/>
          <w:kern w:val="0"/>
          <w:sz w:val="24"/>
          <w:szCs w:val="24"/>
        </w:rPr>
        <w:t>》，</w:t>
      </w:r>
      <w:r>
        <w:rPr>
          <w:rFonts w:ascii="Times New Roman" w:hAnsi="Times New Roman" w:eastAsia="宋体" w:cs="Times New Roman"/>
          <w:sz w:val="24"/>
          <w:szCs w:val="24"/>
        </w:rPr>
        <w:t>高红铸</w:t>
      </w:r>
      <w:r>
        <w:rPr>
          <w:rFonts w:ascii="Times New Roman" w:hAnsi="Times New Roman" w:eastAsia="宋体" w:cs="Times New Roman"/>
          <w:kern w:val="0"/>
          <w:sz w:val="24"/>
          <w:szCs w:val="24"/>
        </w:rPr>
        <w:t>，北京师范大学出版社，2009.9</w:t>
      </w:r>
    </w:p>
    <w:p w14:paraId="0A9DABF1">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03C1F588">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空间解析几何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465AEE7C">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50A961D3">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0E334692">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3FC3E4F7">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0CFFAA17">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243931DD">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4EA05BA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8783" w:type="dxa"/>
        <w:tblInd w:w="93" w:type="dxa"/>
        <w:tblLayout w:type="fixed"/>
        <w:tblCellMar>
          <w:top w:w="0" w:type="dxa"/>
          <w:left w:w="108" w:type="dxa"/>
          <w:bottom w:w="0" w:type="dxa"/>
          <w:right w:w="108" w:type="dxa"/>
        </w:tblCellMar>
      </w:tblPr>
      <w:tblGrid>
        <w:gridCol w:w="1608"/>
        <w:gridCol w:w="896"/>
        <w:gridCol w:w="896"/>
        <w:gridCol w:w="896"/>
        <w:gridCol w:w="896"/>
        <w:gridCol w:w="896"/>
        <w:gridCol w:w="896"/>
        <w:gridCol w:w="896"/>
        <w:gridCol w:w="896"/>
        <w:gridCol w:w="7"/>
      </w:tblGrid>
      <w:tr w14:paraId="12E804F1">
        <w:tblPrEx>
          <w:tblCellMar>
            <w:top w:w="0" w:type="dxa"/>
            <w:left w:w="108" w:type="dxa"/>
            <w:bottom w:w="0" w:type="dxa"/>
            <w:right w:w="108" w:type="dxa"/>
          </w:tblCellMar>
        </w:tblPrEx>
        <w:trPr>
          <w:trHeight w:val="203" w:hRule="atLeast"/>
        </w:trPr>
        <w:tc>
          <w:tcPr>
            <w:tcW w:w="160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C5348B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32946BC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175" w:type="dxa"/>
            <w:gridSpan w:val="9"/>
            <w:tcBorders>
              <w:top w:val="single" w:color="auto" w:sz="4" w:space="0"/>
              <w:left w:val="nil"/>
              <w:bottom w:val="single" w:color="auto" w:sz="4" w:space="0"/>
              <w:right w:val="single" w:color="auto" w:sz="4" w:space="0"/>
            </w:tcBorders>
            <w:shd w:val="clear" w:color="auto" w:fill="FFFFFF"/>
            <w:vAlign w:val="center"/>
          </w:tcPr>
          <w:p w14:paraId="74C56FC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5CA8DDF0">
        <w:tblPrEx>
          <w:tblCellMar>
            <w:top w:w="0" w:type="dxa"/>
            <w:left w:w="108" w:type="dxa"/>
            <w:bottom w:w="0" w:type="dxa"/>
            <w:right w:w="108" w:type="dxa"/>
          </w:tblCellMar>
        </w:tblPrEx>
        <w:trPr>
          <w:gridAfter w:val="1"/>
          <w:wAfter w:w="7" w:type="dxa"/>
          <w:trHeight w:val="454" w:hRule="atLeast"/>
        </w:trPr>
        <w:tc>
          <w:tcPr>
            <w:tcW w:w="1608"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4154D12">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shd w:val="clear" w:color="auto" w:fill="FFFFFF"/>
            <w:vAlign w:val="center"/>
          </w:tcPr>
          <w:p w14:paraId="542951C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896" w:type="dxa"/>
            <w:tcBorders>
              <w:top w:val="nil"/>
              <w:left w:val="nil"/>
              <w:bottom w:val="single" w:color="auto" w:sz="4" w:space="0"/>
              <w:right w:val="single" w:color="auto" w:sz="4" w:space="0"/>
            </w:tcBorders>
            <w:shd w:val="clear" w:color="auto" w:fill="FFFFFF"/>
            <w:vAlign w:val="center"/>
          </w:tcPr>
          <w:p w14:paraId="38D5799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896" w:type="dxa"/>
            <w:tcBorders>
              <w:top w:val="nil"/>
              <w:left w:val="nil"/>
              <w:bottom w:val="single" w:color="auto" w:sz="4" w:space="0"/>
              <w:right w:val="single" w:color="auto" w:sz="4" w:space="0"/>
            </w:tcBorders>
            <w:shd w:val="clear" w:color="auto" w:fill="FFFFFF"/>
            <w:vAlign w:val="center"/>
          </w:tcPr>
          <w:p w14:paraId="7A21CD1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896" w:type="dxa"/>
            <w:tcBorders>
              <w:top w:val="nil"/>
              <w:left w:val="nil"/>
              <w:bottom w:val="single" w:color="auto" w:sz="4" w:space="0"/>
              <w:right w:val="single" w:color="auto" w:sz="4" w:space="0"/>
            </w:tcBorders>
            <w:shd w:val="clear" w:color="auto" w:fill="FFFFFF"/>
            <w:vAlign w:val="center"/>
          </w:tcPr>
          <w:p w14:paraId="413E379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896" w:type="dxa"/>
            <w:tcBorders>
              <w:top w:val="nil"/>
              <w:left w:val="nil"/>
              <w:bottom w:val="single" w:color="auto" w:sz="4" w:space="0"/>
              <w:right w:val="single" w:color="auto" w:sz="4" w:space="0"/>
            </w:tcBorders>
            <w:shd w:val="clear" w:color="auto" w:fill="FFFFFF"/>
            <w:vAlign w:val="center"/>
          </w:tcPr>
          <w:p w14:paraId="2F3A5BB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896" w:type="dxa"/>
            <w:tcBorders>
              <w:top w:val="nil"/>
              <w:left w:val="nil"/>
              <w:bottom w:val="single" w:color="auto" w:sz="4" w:space="0"/>
              <w:right w:val="single" w:color="auto" w:sz="4" w:space="0"/>
            </w:tcBorders>
            <w:shd w:val="clear" w:color="auto" w:fill="FFFFFF"/>
            <w:vAlign w:val="center"/>
          </w:tcPr>
          <w:p w14:paraId="0E3CB189">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shd w:val="clear" w:color="auto" w:fill="FFFFFF"/>
            <w:vAlign w:val="center"/>
          </w:tcPr>
          <w:p w14:paraId="64B399BA">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shd w:val="clear" w:color="auto" w:fill="FFFFFF"/>
            <w:vAlign w:val="center"/>
          </w:tcPr>
          <w:p w14:paraId="3D4458C8">
            <w:pPr>
              <w:widowControl/>
              <w:jc w:val="center"/>
              <w:rPr>
                <w:rFonts w:ascii="Times New Roman" w:hAnsi="Times New Roman" w:eastAsia="宋体" w:cs="Times New Roman"/>
                <w:kern w:val="0"/>
                <w:szCs w:val="21"/>
              </w:rPr>
            </w:pPr>
          </w:p>
        </w:tc>
      </w:tr>
      <w:tr w14:paraId="048E3E29">
        <w:tblPrEx>
          <w:tblCellMar>
            <w:top w:w="0" w:type="dxa"/>
            <w:left w:w="108" w:type="dxa"/>
            <w:bottom w:w="0" w:type="dxa"/>
            <w:right w:w="108" w:type="dxa"/>
          </w:tblCellMar>
        </w:tblPrEx>
        <w:trPr>
          <w:gridAfter w:val="1"/>
          <w:wAfter w:w="7" w:type="dxa"/>
          <w:trHeight w:val="307" w:hRule="atLeast"/>
        </w:trPr>
        <w:tc>
          <w:tcPr>
            <w:tcW w:w="1608" w:type="dxa"/>
            <w:tcBorders>
              <w:top w:val="nil"/>
              <w:left w:val="single" w:color="auto" w:sz="4" w:space="0"/>
              <w:bottom w:val="single" w:color="auto" w:sz="4" w:space="0"/>
              <w:right w:val="single" w:color="auto" w:sz="4" w:space="0"/>
            </w:tcBorders>
            <w:vAlign w:val="center"/>
          </w:tcPr>
          <w:p w14:paraId="4567321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896" w:type="dxa"/>
            <w:tcBorders>
              <w:top w:val="nil"/>
              <w:left w:val="nil"/>
              <w:bottom w:val="single" w:color="auto" w:sz="4" w:space="0"/>
              <w:right w:val="single" w:color="auto" w:sz="4" w:space="0"/>
            </w:tcBorders>
            <w:vAlign w:val="center"/>
          </w:tcPr>
          <w:p w14:paraId="104A875B">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2317038B">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37524B8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005B77B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7476371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3E6D37E4">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5C9712B3">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2DF15DA9">
            <w:pPr>
              <w:widowControl/>
              <w:jc w:val="center"/>
              <w:rPr>
                <w:rFonts w:ascii="Times New Roman" w:hAnsi="Times New Roman" w:eastAsia="宋体" w:cs="Times New Roman"/>
                <w:kern w:val="0"/>
                <w:szCs w:val="21"/>
              </w:rPr>
            </w:pPr>
          </w:p>
        </w:tc>
      </w:tr>
      <w:tr w14:paraId="3A9FBD32">
        <w:tblPrEx>
          <w:tblCellMar>
            <w:top w:w="0" w:type="dxa"/>
            <w:left w:w="108" w:type="dxa"/>
            <w:bottom w:w="0" w:type="dxa"/>
            <w:right w:w="108" w:type="dxa"/>
          </w:tblCellMar>
        </w:tblPrEx>
        <w:trPr>
          <w:gridAfter w:val="1"/>
          <w:wAfter w:w="7" w:type="dxa"/>
          <w:trHeight w:val="359" w:hRule="atLeast"/>
        </w:trPr>
        <w:tc>
          <w:tcPr>
            <w:tcW w:w="1608" w:type="dxa"/>
            <w:tcBorders>
              <w:top w:val="nil"/>
              <w:left w:val="single" w:color="auto" w:sz="4" w:space="0"/>
              <w:bottom w:val="single" w:color="auto" w:sz="4" w:space="0"/>
              <w:right w:val="single" w:color="auto" w:sz="4" w:space="0"/>
            </w:tcBorders>
            <w:vAlign w:val="center"/>
          </w:tcPr>
          <w:p w14:paraId="4ACFA9F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896" w:type="dxa"/>
            <w:tcBorders>
              <w:top w:val="nil"/>
              <w:left w:val="nil"/>
              <w:bottom w:val="single" w:color="auto" w:sz="4" w:space="0"/>
              <w:right w:val="single" w:color="auto" w:sz="4" w:space="0"/>
            </w:tcBorders>
            <w:vAlign w:val="center"/>
          </w:tcPr>
          <w:p w14:paraId="701266A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2D05DCA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2924C92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4D1FBEB7">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20551289">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323B02C3">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781A891F">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25B12B3F">
            <w:pPr>
              <w:widowControl/>
              <w:jc w:val="center"/>
              <w:rPr>
                <w:rFonts w:ascii="Times New Roman" w:hAnsi="Times New Roman" w:eastAsia="宋体" w:cs="Times New Roman"/>
                <w:kern w:val="0"/>
                <w:szCs w:val="21"/>
              </w:rPr>
            </w:pPr>
          </w:p>
        </w:tc>
      </w:tr>
      <w:tr w14:paraId="40EC9C1B">
        <w:tblPrEx>
          <w:tblCellMar>
            <w:top w:w="0" w:type="dxa"/>
            <w:left w:w="108" w:type="dxa"/>
            <w:bottom w:w="0" w:type="dxa"/>
            <w:right w:w="108" w:type="dxa"/>
          </w:tblCellMar>
        </w:tblPrEx>
        <w:trPr>
          <w:gridAfter w:val="1"/>
          <w:wAfter w:w="7" w:type="dxa"/>
          <w:trHeight w:val="392" w:hRule="atLeast"/>
        </w:trPr>
        <w:tc>
          <w:tcPr>
            <w:tcW w:w="1608" w:type="dxa"/>
            <w:tcBorders>
              <w:top w:val="nil"/>
              <w:left w:val="single" w:color="auto" w:sz="4" w:space="0"/>
              <w:bottom w:val="single" w:color="auto" w:sz="4" w:space="0"/>
              <w:right w:val="single" w:color="auto" w:sz="4" w:space="0"/>
            </w:tcBorders>
            <w:vAlign w:val="center"/>
          </w:tcPr>
          <w:p w14:paraId="59FB15F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896" w:type="dxa"/>
            <w:tcBorders>
              <w:top w:val="nil"/>
              <w:left w:val="nil"/>
              <w:bottom w:val="single" w:color="auto" w:sz="4" w:space="0"/>
              <w:right w:val="single" w:color="auto" w:sz="4" w:space="0"/>
            </w:tcBorders>
            <w:vAlign w:val="center"/>
          </w:tcPr>
          <w:p w14:paraId="01482779">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62C5651B">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5303ED79">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0402714D">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48DE3F2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896" w:type="dxa"/>
            <w:tcBorders>
              <w:top w:val="nil"/>
              <w:left w:val="nil"/>
              <w:bottom w:val="single" w:color="auto" w:sz="4" w:space="0"/>
              <w:right w:val="single" w:color="auto" w:sz="4" w:space="0"/>
            </w:tcBorders>
            <w:vAlign w:val="center"/>
          </w:tcPr>
          <w:p w14:paraId="432D34A8">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30ED27F2">
            <w:pPr>
              <w:widowControl/>
              <w:jc w:val="center"/>
              <w:rPr>
                <w:rFonts w:ascii="Times New Roman" w:hAnsi="Times New Roman" w:eastAsia="宋体" w:cs="Times New Roman"/>
                <w:kern w:val="0"/>
                <w:szCs w:val="21"/>
              </w:rPr>
            </w:pPr>
          </w:p>
        </w:tc>
        <w:tc>
          <w:tcPr>
            <w:tcW w:w="896" w:type="dxa"/>
            <w:tcBorders>
              <w:top w:val="nil"/>
              <w:left w:val="nil"/>
              <w:bottom w:val="single" w:color="auto" w:sz="4" w:space="0"/>
              <w:right w:val="single" w:color="auto" w:sz="4" w:space="0"/>
            </w:tcBorders>
            <w:vAlign w:val="center"/>
          </w:tcPr>
          <w:p w14:paraId="4A7D5ACC">
            <w:pPr>
              <w:widowControl/>
              <w:jc w:val="center"/>
              <w:rPr>
                <w:rFonts w:ascii="Times New Roman" w:hAnsi="Times New Roman" w:eastAsia="宋体" w:cs="Times New Roman"/>
                <w:kern w:val="0"/>
                <w:szCs w:val="21"/>
              </w:rPr>
            </w:pPr>
          </w:p>
        </w:tc>
      </w:tr>
    </w:tbl>
    <w:p w14:paraId="794560B4">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3C06B884">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w:t>
      </w:r>
      <w:r>
        <w:rPr>
          <w:rFonts w:ascii="Times New Roman" w:hAnsi="Times New Roman" w:eastAsia="宋体" w:cs="Times New Roman"/>
          <w:b/>
          <w:kern w:val="0"/>
          <w:sz w:val="24"/>
          <w:szCs w:val="21"/>
        </w:rPr>
        <w:t>向量代数</w:t>
      </w:r>
    </w:p>
    <w:p w14:paraId="7F79FB5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2796A0E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w:t>
      </w:r>
      <w:r>
        <w:rPr>
          <w:rFonts w:ascii="Times New Roman" w:hAnsi="Times New Roman" w:eastAsia="宋体" w:cs="Times New Roman"/>
          <w:sz w:val="24"/>
          <w:szCs w:val="24"/>
        </w:rPr>
        <w:t>向量的概念</w:t>
      </w:r>
    </w:p>
    <w:p w14:paraId="40DC37A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（2）能够掌握</w:t>
      </w:r>
      <w:r>
        <w:rPr>
          <w:rFonts w:ascii="Times New Roman" w:hAnsi="Times New Roman" w:eastAsia="宋体" w:cs="Times New Roman"/>
          <w:sz w:val="24"/>
          <w:szCs w:val="24"/>
        </w:rPr>
        <w:t>向量的加、减法</w:t>
      </w:r>
    </w:p>
    <w:p w14:paraId="12D62B0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（3）能够掌握</w:t>
      </w:r>
      <w:r>
        <w:rPr>
          <w:rFonts w:ascii="Times New Roman" w:hAnsi="Times New Roman" w:eastAsia="宋体" w:cs="Times New Roman"/>
          <w:sz w:val="24"/>
          <w:szCs w:val="24"/>
        </w:rPr>
        <w:t>向量的数乘</w:t>
      </w:r>
    </w:p>
    <w:p w14:paraId="324A8B6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w:t>
      </w:r>
      <w:r>
        <w:rPr>
          <w:rFonts w:ascii="Times New Roman" w:hAnsi="Times New Roman" w:eastAsia="宋体" w:cs="Times New Roman"/>
          <w:sz w:val="24"/>
          <w:szCs w:val="24"/>
        </w:rPr>
        <w:t>向量共线与向量共面</w:t>
      </w:r>
    </w:p>
    <w:p w14:paraId="2C26D85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（5）能够掌握</w:t>
      </w:r>
      <w:r>
        <w:rPr>
          <w:rFonts w:ascii="Times New Roman" w:hAnsi="Times New Roman" w:eastAsia="宋体" w:cs="Times New Roman"/>
          <w:sz w:val="24"/>
          <w:szCs w:val="24"/>
        </w:rPr>
        <w:t>向量的内积、外积、混合积</w:t>
      </w:r>
    </w:p>
    <w:p w14:paraId="6009DC7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（6）能够掌握</w:t>
      </w:r>
      <w:r>
        <w:rPr>
          <w:rFonts w:ascii="Times New Roman" w:hAnsi="Times New Roman" w:eastAsia="宋体" w:cs="Times New Roman"/>
          <w:sz w:val="24"/>
          <w:szCs w:val="24"/>
        </w:rPr>
        <w:t>向量运算的坐标表示</w:t>
      </w:r>
    </w:p>
    <w:p w14:paraId="257A952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023C0E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向量的运算， 向量的内积、外积、混合积，向量运算的坐标表示。</w:t>
      </w:r>
    </w:p>
    <w:p w14:paraId="6C3F22C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09894D92">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068DC40E">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42644168">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（二）平面与直线</w:t>
      </w:r>
    </w:p>
    <w:p w14:paraId="4E11BF9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49BBB8D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w:t>
      </w:r>
      <w:r>
        <w:rPr>
          <w:rFonts w:ascii="Times New Roman" w:hAnsi="Times New Roman" w:eastAsia="宋体" w:cs="Times New Roman"/>
          <w:sz w:val="24"/>
          <w:szCs w:val="24"/>
        </w:rPr>
        <w:t>平面点法式、点位式、截距式、一般式方程</w:t>
      </w:r>
    </w:p>
    <w:p w14:paraId="7227EA9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（2）能够掌握</w:t>
      </w:r>
      <w:r>
        <w:rPr>
          <w:rFonts w:ascii="Times New Roman" w:hAnsi="Times New Roman" w:eastAsia="宋体" w:cs="Times New Roman"/>
          <w:sz w:val="24"/>
          <w:szCs w:val="24"/>
        </w:rPr>
        <w:t>两平面间的位置关系</w:t>
      </w:r>
    </w:p>
    <w:p w14:paraId="7642459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（3）能够掌握</w:t>
      </w:r>
      <w:r>
        <w:rPr>
          <w:rFonts w:ascii="Times New Roman" w:hAnsi="Times New Roman" w:eastAsia="宋体" w:cs="Times New Roman"/>
          <w:sz w:val="24"/>
          <w:szCs w:val="24"/>
        </w:rPr>
        <w:t>直线的参数式、标准式、一般式方程</w:t>
      </w:r>
    </w:p>
    <w:p w14:paraId="13C0E51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（4）能够掌握</w:t>
      </w:r>
      <w:r>
        <w:rPr>
          <w:rFonts w:ascii="Times New Roman" w:hAnsi="Times New Roman" w:eastAsia="宋体" w:cs="Times New Roman"/>
          <w:sz w:val="24"/>
          <w:szCs w:val="24"/>
        </w:rPr>
        <w:t>两条直线的位置关系</w:t>
      </w:r>
    </w:p>
    <w:p w14:paraId="6E089A9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（5）能够掌握</w:t>
      </w:r>
      <w:r>
        <w:rPr>
          <w:rFonts w:ascii="Times New Roman" w:hAnsi="Times New Roman" w:eastAsia="宋体" w:cs="Times New Roman"/>
          <w:sz w:val="24"/>
          <w:szCs w:val="24"/>
        </w:rPr>
        <w:t>直线与平面的位置关系</w:t>
      </w:r>
    </w:p>
    <w:p w14:paraId="2BAAFBC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（6）能够掌握</w:t>
      </w:r>
      <w:r>
        <w:rPr>
          <w:rFonts w:ascii="Times New Roman" w:hAnsi="Times New Roman" w:eastAsia="宋体" w:cs="Times New Roman"/>
          <w:sz w:val="24"/>
          <w:szCs w:val="24"/>
        </w:rPr>
        <w:t>点到平面、直线的距离</w:t>
      </w:r>
    </w:p>
    <w:p w14:paraId="3D427C1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（7）能够掌握</w:t>
      </w:r>
      <w:r>
        <w:rPr>
          <w:rFonts w:ascii="Times New Roman" w:hAnsi="Times New Roman" w:eastAsia="宋体" w:cs="Times New Roman"/>
          <w:sz w:val="24"/>
          <w:szCs w:val="24"/>
        </w:rPr>
        <w:t>异面直线间的距离</w:t>
      </w:r>
    </w:p>
    <w:p w14:paraId="0735286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（8）能够理解</w:t>
      </w:r>
      <w:r>
        <w:rPr>
          <w:rFonts w:ascii="Times New Roman" w:hAnsi="Times New Roman" w:eastAsia="宋体" w:cs="Times New Roman"/>
          <w:sz w:val="24"/>
          <w:szCs w:val="24"/>
        </w:rPr>
        <w:t>平面束的概念与方程</w:t>
      </w:r>
    </w:p>
    <w:p w14:paraId="6C3BFA0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13B219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平面方程的各种形式，直线方程的各种形式，点、平面、直线之间的相关位置、有关距离、夹角的计算</w:t>
      </w:r>
      <w:r>
        <w:rPr>
          <w:rFonts w:ascii="Times New Roman" w:hAnsi="Times New Roman" w:eastAsia="宋体" w:cs="Times New Roman"/>
          <w:color w:val="000000"/>
          <w:sz w:val="24"/>
          <w:szCs w:val="24"/>
        </w:rPr>
        <w:t>。</w:t>
      </w:r>
    </w:p>
    <w:p w14:paraId="739119A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（2）教学方法：启发式互动讲授结合多媒体辅助；适当课堂练习；及时了解学生的作业状况并对共同的问题作及时解答；安排好课后答疑。</w:t>
      </w:r>
    </w:p>
    <w:p w14:paraId="5F457189">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3D91BD77">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09E0CC0B">
      <w:pPr>
        <w:spacing w:line="360" w:lineRule="auto"/>
        <w:ind w:firstLine="472" w:firstLineChars="196"/>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（三）</w:t>
      </w:r>
      <w:r>
        <w:rPr>
          <w:rFonts w:ascii="Times New Roman" w:hAnsi="Times New Roman" w:eastAsia="宋体" w:cs="Times New Roman"/>
          <w:b/>
          <w:sz w:val="24"/>
          <w:szCs w:val="24"/>
        </w:rPr>
        <w:t>特殊曲面</w:t>
      </w:r>
    </w:p>
    <w:p w14:paraId="00B0229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204EEF8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（1）能够理解</w:t>
      </w:r>
      <w:r>
        <w:rPr>
          <w:rFonts w:ascii="Times New Roman" w:hAnsi="Times New Roman" w:eastAsia="宋体" w:cs="Times New Roman"/>
          <w:sz w:val="24"/>
          <w:szCs w:val="24"/>
        </w:rPr>
        <w:t>球面、柱面、锥面、旋转曲面</w:t>
      </w:r>
    </w:p>
    <w:p w14:paraId="2239310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（2）能够理解</w:t>
      </w:r>
      <w:r>
        <w:rPr>
          <w:rFonts w:ascii="Times New Roman" w:hAnsi="Times New Roman" w:eastAsia="宋体" w:cs="Times New Roman"/>
          <w:sz w:val="24"/>
          <w:szCs w:val="24"/>
        </w:rPr>
        <w:t>空间曲线的参数方程</w:t>
      </w:r>
    </w:p>
    <w:p w14:paraId="2FE4739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（3）能够理解</w:t>
      </w:r>
      <w:r>
        <w:rPr>
          <w:rFonts w:ascii="Times New Roman" w:hAnsi="Times New Roman" w:eastAsia="宋体" w:cs="Times New Roman"/>
          <w:sz w:val="24"/>
          <w:szCs w:val="24"/>
        </w:rPr>
        <w:t>空间曲线的一般方程</w:t>
      </w:r>
    </w:p>
    <w:p w14:paraId="57E1C84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94EADF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空间曲面和空间曲线方程的一般形式，球面、柱面、锥面、旋转曲面的形成规律及应用</w:t>
      </w:r>
      <w:r>
        <w:rPr>
          <w:rFonts w:ascii="Times New Roman" w:hAnsi="Times New Roman" w:eastAsia="宋体" w:cs="Times New Roman"/>
          <w:color w:val="000000"/>
          <w:sz w:val="24"/>
          <w:szCs w:val="24"/>
        </w:rPr>
        <w:t>。</w:t>
      </w:r>
    </w:p>
    <w:p w14:paraId="1F0D514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（2）教学方法：启发式互动讲授结合多媒体辅助；适当课堂练习；及时了解学生的作业状况并对共同的问题作及时解答；安排好课后答疑。</w:t>
      </w:r>
    </w:p>
    <w:p w14:paraId="74C06890">
      <w:pPr>
        <w:spacing w:line="360" w:lineRule="auto"/>
        <w:ind w:firstLine="480" w:firstLineChars="200"/>
        <w:rPr>
          <w:rFonts w:ascii="Calibri" w:hAnsi="Calibri" w:eastAsia="宋体" w:cs="Times New Roman"/>
          <w:sz w:val="24"/>
          <w:szCs w:val="24"/>
        </w:rPr>
      </w:pPr>
      <w:r>
        <w:rPr>
          <w:rFonts w:ascii="Times New Roman" w:hAnsi="Times New Roman" w:eastAsia="宋体" w:cs="Times New Roman"/>
          <w:sz w:val="24"/>
          <w:szCs w:val="24"/>
        </w:rPr>
        <w:t>3.</w:t>
      </w:r>
      <w:r>
        <w:rPr>
          <w:rFonts w:hint="eastAsia" w:ascii="Calibri" w:hAnsi="Calibri" w:eastAsia="宋体" w:cs="Times New Roman"/>
          <w:sz w:val="24"/>
          <w:szCs w:val="24"/>
        </w:rPr>
        <w:t>思政内容</w:t>
      </w:r>
    </w:p>
    <w:p w14:paraId="6A8847E1">
      <w:pPr>
        <w:spacing w:line="360" w:lineRule="auto"/>
        <w:ind w:firstLine="480" w:firstLineChars="200"/>
        <w:rPr>
          <w:rFonts w:ascii="Times New Roman" w:hAnsi="Times New Roman" w:eastAsia="宋体" w:cs="Times New Roman"/>
          <w:color w:val="000000"/>
          <w:sz w:val="24"/>
          <w:szCs w:val="24"/>
        </w:rPr>
      </w:pPr>
      <w:r>
        <w:rPr>
          <w:rFonts w:hint="eastAsia" w:ascii="Calibri" w:hAnsi="Calibri" w:eastAsia="宋体" w:cs="Times New Roman"/>
          <w:sz w:val="24"/>
          <w:szCs w:val="24"/>
        </w:rPr>
        <w:t>注重理论联系实际，尊重客观规律，树立社会主义核心价值观，增强专业素养，强调理论对实践的指导意义。</w:t>
      </w:r>
    </w:p>
    <w:p w14:paraId="5E4ADA03">
      <w:pPr>
        <w:spacing w:line="360" w:lineRule="auto"/>
        <w:ind w:firstLine="480" w:firstLineChars="200"/>
        <w:rPr>
          <w:rFonts w:ascii="Times New Roman" w:hAnsi="Times New Roman" w:eastAsia="宋体" w:cs="Times New Roman"/>
          <w:color w:val="000000"/>
          <w:sz w:val="24"/>
          <w:szCs w:val="24"/>
        </w:rPr>
      </w:pPr>
    </w:p>
    <w:p w14:paraId="1EC5863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29A8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6F61FA7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3B92732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036E6B4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65A12A7B">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4E0BB14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3740D21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6A60161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2340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5E93E3">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vAlign w:val="center"/>
          </w:tcPr>
          <w:p w14:paraId="4634C241">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向量代数</w:t>
            </w:r>
          </w:p>
        </w:tc>
        <w:tc>
          <w:tcPr>
            <w:tcW w:w="1701" w:type="dxa"/>
            <w:vAlign w:val="center"/>
          </w:tcPr>
          <w:p w14:paraId="00962DC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377AC685">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vAlign w:val="center"/>
          </w:tcPr>
          <w:p w14:paraId="2BDA5EC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10</w:t>
            </w:r>
          </w:p>
        </w:tc>
        <w:tc>
          <w:tcPr>
            <w:tcW w:w="735" w:type="dxa"/>
            <w:vAlign w:val="center"/>
          </w:tcPr>
          <w:p w14:paraId="14EDB2EA">
            <w:pPr>
              <w:jc w:val="center"/>
              <w:rPr>
                <w:rFonts w:ascii="Times New Roman" w:hAnsi="Times New Roman" w:eastAsia="宋体" w:cs="Times New Roman"/>
                <w:szCs w:val="21"/>
              </w:rPr>
            </w:pPr>
          </w:p>
        </w:tc>
      </w:tr>
      <w:tr w14:paraId="49E2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109B11">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vAlign w:val="center"/>
          </w:tcPr>
          <w:p w14:paraId="7B8E3F8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平面与直线</w:t>
            </w:r>
          </w:p>
        </w:tc>
        <w:tc>
          <w:tcPr>
            <w:tcW w:w="1701" w:type="dxa"/>
            <w:vAlign w:val="center"/>
          </w:tcPr>
          <w:p w14:paraId="20DBD80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753D38E4">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48503CF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12</w:t>
            </w:r>
          </w:p>
        </w:tc>
        <w:tc>
          <w:tcPr>
            <w:tcW w:w="735" w:type="dxa"/>
            <w:vAlign w:val="center"/>
          </w:tcPr>
          <w:p w14:paraId="6FE18572">
            <w:pPr>
              <w:jc w:val="center"/>
              <w:rPr>
                <w:rFonts w:ascii="Times New Roman" w:hAnsi="Times New Roman" w:eastAsia="宋体" w:cs="Times New Roman"/>
                <w:szCs w:val="21"/>
              </w:rPr>
            </w:pPr>
          </w:p>
        </w:tc>
      </w:tr>
      <w:tr w14:paraId="3E82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675A948">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vAlign w:val="center"/>
          </w:tcPr>
          <w:p w14:paraId="729F5A7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特殊曲面</w:t>
            </w:r>
          </w:p>
        </w:tc>
        <w:tc>
          <w:tcPr>
            <w:tcW w:w="1701" w:type="dxa"/>
            <w:vAlign w:val="center"/>
          </w:tcPr>
          <w:p w14:paraId="17750A2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165DF733">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4FFA97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10</w:t>
            </w:r>
          </w:p>
        </w:tc>
        <w:tc>
          <w:tcPr>
            <w:tcW w:w="735" w:type="dxa"/>
            <w:vAlign w:val="center"/>
          </w:tcPr>
          <w:p w14:paraId="16A68FFD">
            <w:pPr>
              <w:jc w:val="center"/>
              <w:rPr>
                <w:rFonts w:ascii="Times New Roman" w:hAnsi="Times New Roman" w:eastAsia="宋体" w:cs="Times New Roman"/>
                <w:szCs w:val="21"/>
              </w:rPr>
            </w:pPr>
          </w:p>
        </w:tc>
      </w:tr>
      <w:tr w14:paraId="3C20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4D521EC3">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496F8AD7">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735" w:type="dxa"/>
            <w:vAlign w:val="center"/>
          </w:tcPr>
          <w:p w14:paraId="158E3A09">
            <w:pPr>
              <w:jc w:val="center"/>
              <w:rPr>
                <w:rFonts w:ascii="Times New Roman" w:hAnsi="Times New Roman" w:eastAsia="宋体" w:cs="Times New Roman"/>
                <w:szCs w:val="21"/>
              </w:rPr>
            </w:pPr>
          </w:p>
        </w:tc>
      </w:tr>
    </w:tbl>
    <w:p w14:paraId="3D169581">
      <w:pPr>
        <w:spacing w:line="360" w:lineRule="auto"/>
        <w:ind w:firstLine="562" w:firstLineChars="200"/>
        <w:rPr>
          <w:rFonts w:ascii="Times New Roman" w:hAnsi="Times New Roman" w:eastAsia="宋体" w:cs="Times New Roman"/>
          <w:b/>
          <w:sz w:val="28"/>
          <w:szCs w:val="28"/>
        </w:rPr>
      </w:pPr>
    </w:p>
    <w:p w14:paraId="5EFCA41E">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4E8ED7C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5140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A8F3E8E">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436ADAB1">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56A5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193D263">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013F399F">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6017118F">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146049BB">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7C2C088">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3AE621CF">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1D4F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67804CE">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48BBE79D">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78811BDB">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4C9786E4">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48ECA5AA">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2B72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C09482E">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6EC30147">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047FA0CD">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3EC2B9A6">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134C4712">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1929B053">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3136B266">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5831BD06">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72C78001">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5E45EDA1">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567E9A02">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0A9A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D744885">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4C57FED0">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5776120B">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6F5A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4BD9B0B">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087AF1C3">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2FC3DEFC">
            <w:pPr>
              <w:rPr>
                <w:rFonts w:ascii="Times New Roman" w:hAnsi="Times New Roman" w:eastAsia="宋体" w:cs="Times New Roman"/>
                <w:szCs w:val="24"/>
              </w:rPr>
            </w:pPr>
            <w:r>
              <w:rPr>
                <w:rFonts w:ascii="Times New Roman" w:hAnsi="Times New Roman" w:eastAsia="宋体" w:cs="Times New Roman"/>
                <w:szCs w:val="24"/>
              </w:rPr>
              <w:t>本课程考核的方式：考查。考试试卷采取抽卷形式，统一安排监考。总评成绩的评定见课程评分方案。有下列情况之一者，总评成绩为不及格：</w:t>
            </w:r>
          </w:p>
          <w:p w14:paraId="5202FA42">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3884DFA3">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r>
              <w:rPr>
                <w:rFonts w:hint="eastAsia" w:ascii="Times New Roman" w:hAnsi="Times New Roman" w:eastAsia="宋体" w:cs="Times New Roman"/>
                <w:szCs w:val="24"/>
              </w:rPr>
              <w:t>。</w:t>
            </w:r>
          </w:p>
          <w:p w14:paraId="7FB20F33">
            <w:pPr>
              <w:rPr>
                <w:rFonts w:ascii="Times New Roman" w:hAnsi="Times New Roman" w:eastAsia="宋体" w:cs="Times New Roman"/>
                <w:szCs w:val="21"/>
              </w:rPr>
            </w:pPr>
          </w:p>
        </w:tc>
      </w:tr>
    </w:tbl>
    <w:p w14:paraId="0BC4333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315C931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076781D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507"/>
        <w:gridCol w:w="988"/>
        <w:gridCol w:w="3843"/>
        <w:gridCol w:w="1362"/>
      </w:tblGrid>
      <w:tr w14:paraId="712D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65"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37B747C1">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07" w:type="dxa"/>
            <w:tcBorders>
              <w:top w:val="single" w:color="auto" w:sz="4" w:space="0"/>
              <w:left w:val="single" w:color="auto" w:sz="4" w:space="0"/>
              <w:bottom w:val="single" w:color="auto" w:sz="4" w:space="0"/>
              <w:right w:val="single" w:color="auto" w:sz="4" w:space="0"/>
            </w:tcBorders>
            <w:shd w:val="clear" w:color="auto" w:fill="FFFFFF"/>
            <w:vAlign w:val="center"/>
          </w:tcPr>
          <w:p w14:paraId="3D507259">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988" w:type="dxa"/>
            <w:tcBorders>
              <w:top w:val="single" w:color="auto" w:sz="4" w:space="0"/>
              <w:left w:val="single" w:color="auto" w:sz="4" w:space="0"/>
              <w:bottom w:val="single" w:color="auto" w:sz="4" w:space="0"/>
              <w:right w:val="single" w:color="auto" w:sz="4" w:space="0"/>
            </w:tcBorders>
            <w:shd w:val="clear" w:color="auto" w:fill="FFFFFF"/>
            <w:vAlign w:val="center"/>
          </w:tcPr>
          <w:p w14:paraId="29158A57">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3843" w:type="dxa"/>
            <w:tcBorders>
              <w:top w:val="single" w:color="auto" w:sz="4" w:space="0"/>
              <w:left w:val="single" w:color="auto" w:sz="4" w:space="0"/>
              <w:bottom w:val="single" w:color="auto" w:sz="4" w:space="0"/>
              <w:right w:val="single" w:color="auto" w:sz="4" w:space="0"/>
            </w:tcBorders>
            <w:shd w:val="clear" w:color="auto" w:fill="FFFFFF"/>
            <w:vAlign w:val="center"/>
          </w:tcPr>
          <w:p w14:paraId="041788A4">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362" w:type="dxa"/>
            <w:tcBorders>
              <w:top w:val="single" w:color="auto" w:sz="4" w:space="0"/>
              <w:left w:val="single" w:color="auto" w:sz="4" w:space="0"/>
              <w:bottom w:val="single" w:color="auto" w:sz="4" w:space="0"/>
              <w:right w:val="single" w:color="auto" w:sz="4" w:space="0"/>
            </w:tcBorders>
            <w:shd w:val="clear" w:color="auto" w:fill="FFFFFF"/>
            <w:vAlign w:val="center"/>
          </w:tcPr>
          <w:p w14:paraId="11DF9A43">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3B25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65" w:type="dxa"/>
            <w:vMerge w:val="restart"/>
            <w:tcBorders>
              <w:top w:val="single" w:color="auto" w:sz="4" w:space="0"/>
              <w:left w:val="single" w:color="auto" w:sz="4" w:space="0"/>
              <w:right w:val="single" w:color="auto" w:sz="4" w:space="0"/>
            </w:tcBorders>
            <w:tcMar>
              <w:left w:w="57" w:type="dxa"/>
              <w:right w:w="57" w:type="dxa"/>
            </w:tcMar>
            <w:vAlign w:val="center"/>
          </w:tcPr>
          <w:p w14:paraId="3073FA52">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6CFBA5BD">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07" w:type="dxa"/>
            <w:tcBorders>
              <w:top w:val="single" w:color="auto" w:sz="4" w:space="0"/>
              <w:left w:val="single" w:color="auto" w:sz="4" w:space="0"/>
              <w:bottom w:val="single" w:color="auto" w:sz="4" w:space="0"/>
              <w:right w:val="single" w:color="auto" w:sz="4" w:space="0"/>
            </w:tcBorders>
            <w:vAlign w:val="center"/>
          </w:tcPr>
          <w:p w14:paraId="64F70A7D">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988" w:type="dxa"/>
            <w:tcBorders>
              <w:top w:val="single" w:color="auto" w:sz="4" w:space="0"/>
              <w:left w:val="single" w:color="auto" w:sz="4" w:space="0"/>
              <w:bottom w:val="single" w:color="auto" w:sz="4" w:space="0"/>
              <w:right w:val="single" w:color="auto" w:sz="4" w:space="0"/>
            </w:tcBorders>
            <w:vAlign w:val="center"/>
          </w:tcPr>
          <w:p w14:paraId="776CCCAD">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3843" w:type="dxa"/>
            <w:tcBorders>
              <w:top w:val="single" w:color="auto" w:sz="4" w:space="0"/>
              <w:left w:val="single" w:color="auto" w:sz="4" w:space="0"/>
              <w:bottom w:val="single" w:color="auto" w:sz="4" w:space="0"/>
              <w:right w:val="single" w:color="auto" w:sz="4" w:space="0"/>
            </w:tcBorders>
            <w:vAlign w:val="center"/>
          </w:tcPr>
          <w:p w14:paraId="20AFAAAC">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362" w:type="dxa"/>
            <w:tcBorders>
              <w:top w:val="single" w:color="auto" w:sz="4" w:space="0"/>
              <w:left w:val="single" w:color="auto" w:sz="4" w:space="0"/>
              <w:right w:val="single" w:color="auto" w:sz="4" w:space="0"/>
            </w:tcBorders>
            <w:vAlign w:val="center"/>
          </w:tcPr>
          <w:p w14:paraId="2BD6EFB5">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49E1B10">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0D6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065" w:type="dxa"/>
            <w:vMerge w:val="continue"/>
            <w:tcBorders>
              <w:left w:val="single" w:color="auto" w:sz="4" w:space="0"/>
              <w:right w:val="single" w:color="auto" w:sz="4" w:space="0"/>
            </w:tcBorders>
            <w:tcMar>
              <w:left w:w="57" w:type="dxa"/>
              <w:right w:w="57" w:type="dxa"/>
            </w:tcMar>
            <w:vAlign w:val="center"/>
          </w:tcPr>
          <w:p w14:paraId="63AC6F13">
            <w:pPr>
              <w:rPr>
                <w:rFonts w:ascii="Times New Roman" w:hAnsi="Times New Roman" w:eastAsia="宋体" w:cs="Times New Roman"/>
                <w:sz w:val="20"/>
                <w:szCs w:val="20"/>
              </w:rPr>
            </w:pPr>
          </w:p>
        </w:tc>
        <w:tc>
          <w:tcPr>
            <w:tcW w:w="1507" w:type="dxa"/>
            <w:tcBorders>
              <w:top w:val="single" w:color="auto" w:sz="4" w:space="0"/>
              <w:left w:val="single" w:color="auto" w:sz="4" w:space="0"/>
              <w:bottom w:val="single" w:color="auto" w:sz="4" w:space="0"/>
              <w:right w:val="single" w:color="auto" w:sz="4" w:space="0"/>
            </w:tcBorders>
            <w:vAlign w:val="center"/>
          </w:tcPr>
          <w:p w14:paraId="18B2D523">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988" w:type="dxa"/>
            <w:tcBorders>
              <w:top w:val="single" w:color="auto" w:sz="4" w:space="0"/>
              <w:left w:val="single" w:color="auto" w:sz="4" w:space="0"/>
              <w:bottom w:val="single" w:color="auto" w:sz="4" w:space="0"/>
              <w:right w:val="single" w:color="auto" w:sz="4" w:space="0"/>
            </w:tcBorders>
            <w:vAlign w:val="center"/>
          </w:tcPr>
          <w:p w14:paraId="500BC6BD">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3843" w:type="dxa"/>
            <w:tcBorders>
              <w:top w:val="single" w:color="auto" w:sz="4" w:space="0"/>
              <w:left w:val="single" w:color="auto" w:sz="4" w:space="0"/>
              <w:bottom w:val="single" w:color="auto" w:sz="4" w:space="0"/>
              <w:right w:val="single" w:color="auto" w:sz="4" w:space="0"/>
            </w:tcBorders>
            <w:vAlign w:val="center"/>
          </w:tcPr>
          <w:p w14:paraId="6936552D">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362" w:type="dxa"/>
            <w:tcBorders>
              <w:left w:val="single" w:color="auto" w:sz="4" w:space="0"/>
              <w:right w:val="single" w:color="auto" w:sz="4" w:space="0"/>
            </w:tcBorders>
            <w:vAlign w:val="center"/>
          </w:tcPr>
          <w:p w14:paraId="516C3116">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61EBB16B">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7E04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65" w:type="dxa"/>
            <w:vMerge w:val="continue"/>
            <w:tcBorders>
              <w:left w:val="single" w:color="auto" w:sz="4" w:space="0"/>
              <w:bottom w:val="single" w:color="auto" w:sz="4" w:space="0"/>
              <w:right w:val="single" w:color="auto" w:sz="4" w:space="0"/>
            </w:tcBorders>
            <w:tcMar>
              <w:left w:w="57" w:type="dxa"/>
              <w:right w:w="57" w:type="dxa"/>
            </w:tcMar>
            <w:vAlign w:val="center"/>
          </w:tcPr>
          <w:p w14:paraId="35FDDC03">
            <w:pPr>
              <w:rPr>
                <w:rFonts w:ascii="Times New Roman" w:hAnsi="Times New Roman" w:eastAsia="宋体" w:cs="Times New Roman"/>
                <w:sz w:val="20"/>
                <w:szCs w:val="20"/>
              </w:rPr>
            </w:pPr>
          </w:p>
        </w:tc>
        <w:tc>
          <w:tcPr>
            <w:tcW w:w="1507" w:type="dxa"/>
            <w:tcBorders>
              <w:top w:val="single" w:color="auto" w:sz="4" w:space="0"/>
              <w:left w:val="single" w:color="auto" w:sz="4" w:space="0"/>
              <w:bottom w:val="single" w:color="auto" w:sz="4" w:space="0"/>
              <w:right w:val="single" w:color="auto" w:sz="4" w:space="0"/>
            </w:tcBorders>
            <w:vAlign w:val="center"/>
          </w:tcPr>
          <w:p w14:paraId="7510F96C">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988" w:type="dxa"/>
            <w:tcBorders>
              <w:top w:val="single" w:color="auto" w:sz="4" w:space="0"/>
              <w:left w:val="single" w:color="auto" w:sz="4" w:space="0"/>
              <w:bottom w:val="single" w:color="auto" w:sz="4" w:space="0"/>
              <w:right w:val="single" w:color="auto" w:sz="4" w:space="0"/>
            </w:tcBorders>
            <w:vAlign w:val="center"/>
          </w:tcPr>
          <w:p w14:paraId="5FAF1CFB">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3843" w:type="dxa"/>
            <w:tcBorders>
              <w:top w:val="single" w:color="auto" w:sz="4" w:space="0"/>
              <w:left w:val="single" w:color="auto" w:sz="4" w:space="0"/>
              <w:bottom w:val="single" w:color="auto" w:sz="4" w:space="0"/>
              <w:right w:val="single" w:color="auto" w:sz="4" w:space="0"/>
            </w:tcBorders>
            <w:vAlign w:val="center"/>
          </w:tcPr>
          <w:p w14:paraId="49F3ADC8">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362" w:type="dxa"/>
            <w:tcBorders>
              <w:left w:val="single" w:color="auto" w:sz="4" w:space="0"/>
              <w:bottom w:val="single" w:color="auto" w:sz="4" w:space="0"/>
              <w:right w:val="single" w:color="auto" w:sz="4" w:space="0"/>
            </w:tcBorders>
            <w:vAlign w:val="center"/>
          </w:tcPr>
          <w:p w14:paraId="46AFCF1C">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E7F08F5">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0B7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6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3C847520">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07" w:type="dxa"/>
            <w:tcBorders>
              <w:top w:val="single" w:color="auto" w:sz="4" w:space="0"/>
              <w:left w:val="single" w:color="auto" w:sz="4" w:space="0"/>
              <w:bottom w:val="single" w:color="auto" w:sz="4" w:space="0"/>
              <w:right w:val="single" w:color="auto" w:sz="4" w:space="0"/>
            </w:tcBorders>
            <w:vAlign w:val="center"/>
          </w:tcPr>
          <w:p w14:paraId="4FB19096">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988" w:type="dxa"/>
            <w:tcBorders>
              <w:top w:val="single" w:color="auto" w:sz="4" w:space="0"/>
              <w:left w:val="single" w:color="auto" w:sz="4" w:space="0"/>
              <w:bottom w:val="single" w:color="auto" w:sz="4" w:space="0"/>
              <w:right w:val="single" w:color="auto" w:sz="4" w:space="0"/>
            </w:tcBorders>
            <w:vAlign w:val="center"/>
          </w:tcPr>
          <w:p w14:paraId="179430A8">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3843" w:type="dxa"/>
            <w:tcBorders>
              <w:top w:val="single" w:color="auto" w:sz="4" w:space="0"/>
              <w:left w:val="single" w:color="auto" w:sz="4" w:space="0"/>
              <w:bottom w:val="single" w:color="auto" w:sz="4" w:space="0"/>
              <w:right w:val="single" w:color="auto" w:sz="4" w:space="0"/>
            </w:tcBorders>
            <w:vAlign w:val="center"/>
          </w:tcPr>
          <w:p w14:paraId="0D0738C8">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w:t>
            </w:r>
            <w:r>
              <w:rPr>
                <w:rFonts w:hint="eastAsia" w:ascii="Times New Roman" w:hAnsi="Times New Roman" w:eastAsia="宋体" w:cs="Times New Roman"/>
                <w:szCs w:val="24"/>
                <w:lang w:bidi="ar"/>
              </w:rPr>
              <w:t>计算</w:t>
            </w:r>
            <w:r>
              <w:rPr>
                <w:rFonts w:ascii="Times New Roman" w:hAnsi="Times New Roman" w:eastAsia="宋体" w:cs="Times New Roman"/>
                <w:szCs w:val="24"/>
                <w:lang w:bidi="ar"/>
              </w:rPr>
              <w:t>题、解答题等。</w:t>
            </w:r>
          </w:p>
        </w:tc>
        <w:tc>
          <w:tcPr>
            <w:tcW w:w="1362" w:type="dxa"/>
            <w:tcBorders>
              <w:top w:val="single" w:color="auto" w:sz="4" w:space="0"/>
              <w:left w:val="single" w:color="auto" w:sz="4" w:space="0"/>
              <w:bottom w:val="single" w:color="auto" w:sz="4" w:space="0"/>
              <w:right w:val="single" w:color="auto" w:sz="4" w:space="0"/>
            </w:tcBorders>
            <w:vAlign w:val="center"/>
          </w:tcPr>
          <w:p w14:paraId="6343BF6D">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6B4FE7E9">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2AD63406">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57336BF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w:t>
      </w:r>
      <w:r>
        <w:rPr>
          <w:rFonts w:hint="eastAsia" w:ascii="Times New Roman" w:hAnsi="Times New Roman" w:eastAsia="宋体" w:cs="Times New Roman"/>
          <w:color w:val="000000"/>
          <w:sz w:val="24"/>
          <w:szCs w:val="24"/>
        </w:rPr>
        <w:t>频</w:t>
      </w:r>
      <w:r>
        <w:rPr>
          <w:rFonts w:ascii="Times New Roman" w:hAnsi="Times New Roman" w:eastAsia="宋体" w:cs="Times New Roman"/>
          <w:color w:val="000000"/>
          <w:sz w:val="24"/>
          <w:szCs w:val="24"/>
        </w:rPr>
        <w:t>教学和网络答疑等。</w:t>
      </w:r>
    </w:p>
    <w:p w14:paraId="58042E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1EF95D1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04B9A26D">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387DC721">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1．吕林根 解析几何（第四版）   北京：高等教育出版社</w:t>
      </w:r>
    </w:p>
    <w:p w14:paraId="02D0B869">
      <w:pPr>
        <w:autoSpaceDE w:val="0"/>
        <w:autoSpaceDN w:val="0"/>
        <w:adjustRightInd w:val="0"/>
        <w:spacing w:line="360" w:lineRule="auto"/>
        <w:ind w:left="7199" w:leftChars="228" w:hanging="6720" w:hangingChars="28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2．朱鼎新等 解析几何（第四版） 北京：北京师范大学出版社 </w:t>
      </w:r>
    </w:p>
    <w:p w14:paraId="6DA75551">
      <w:pPr>
        <w:autoSpaceDE w:val="0"/>
        <w:autoSpaceDN w:val="0"/>
        <w:adjustRightInd w:val="0"/>
        <w:spacing w:line="360" w:lineRule="auto"/>
        <w:ind w:left="7199" w:leftChars="228" w:hanging="6720" w:hangingChars="28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笔</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w:t>
      </w:r>
      <w:r>
        <w:rPr>
          <w:rFonts w:ascii="Times New Roman" w:hAnsi="Times New Roman" w:eastAsia="宋体" w:cs="Times New Roman"/>
          <w:kern w:val="0"/>
          <w:sz w:val="24"/>
          <w:szCs w:val="21"/>
        </w:rPr>
        <w:t>高  枫</w:t>
      </w:r>
    </w:p>
    <w:p w14:paraId="01EDA274">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审</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定</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人：钱  峰</w:t>
      </w:r>
    </w:p>
    <w:p w14:paraId="773EE46F">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审</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批</w:t>
      </w: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王献东</w:t>
      </w:r>
    </w:p>
    <w:p w14:paraId="1AFE4E0D">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批准时间：20</w:t>
      </w: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年9月</w:t>
      </w:r>
    </w:p>
    <w:p w14:paraId="33BB0044">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05C39FCB">
      <w:pPr>
        <w:spacing w:line="312" w:lineRule="auto"/>
        <w:jc w:val="center"/>
        <w:outlineLvl w:val="0"/>
        <w:rPr>
          <w:rFonts w:ascii="Times New Roman" w:hAnsi="Times New Roman" w:eastAsia="宋体" w:cs="Times New Roman"/>
          <w:b/>
          <w:bCs/>
          <w:sz w:val="30"/>
          <w:szCs w:val="24"/>
        </w:rPr>
      </w:pPr>
      <w:bookmarkStart w:id="213" w:name="_Toc166165210"/>
      <w:r>
        <w:rPr>
          <w:rFonts w:ascii="Times New Roman" w:hAnsi="Times New Roman" w:eastAsia="宋体" w:cs="Times New Roman"/>
          <w:b/>
          <w:bCs/>
          <w:sz w:val="30"/>
          <w:szCs w:val="24"/>
        </w:rPr>
        <w:t>高等代数I课程教学大纲</w:t>
      </w:r>
      <w:bookmarkEnd w:id="213"/>
    </w:p>
    <w:p w14:paraId="5284F665">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（Higher Algebra I）</w:t>
      </w:r>
    </w:p>
    <w:p w14:paraId="5ABA5A21">
      <w:pPr>
        <w:spacing w:line="360" w:lineRule="auto"/>
        <w:ind w:firstLine="482" w:firstLineChars="200"/>
        <w:rPr>
          <w:rFonts w:ascii="Calibri" w:hAnsi="Calibri" w:eastAsia="宋体" w:cs="Times New Roman"/>
          <w:b/>
          <w:sz w:val="24"/>
          <w:szCs w:val="24"/>
        </w:rPr>
      </w:pPr>
      <w:bookmarkStart w:id="214" w:name="_Toc19729788"/>
      <w:r>
        <w:rPr>
          <w:rFonts w:ascii="Calibri" w:hAnsi="Calibri" w:eastAsia="宋体" w:cs="Times New Roman"/>
          <w:b/>
          <w:sz w:val="24"/>
          <w:szCs w:val="24"/>
        </w:rPr>
        <w:t>一、课程概况</w:t>
      </w:r>
      <w:bookmarkEnd w:id="214"/>
    </w:p>
    <w:p w14:paraId="73DBB1EB">
      <w:pPr>
        <w:spacing w:line="360" w:lineRule="auto"/>
        <w:ind w:firstLine="482" w:firstLineChars="200"/>
        <w:rPr>
          <w:rFonts w:ascii="Times New Roman" w:hAnsi="Times New Roman" w:eastAsia="宋体" w:cs="Times New Roman"/>
          <w:kern w:val="0"/>
          <w:sz w:val="24"/>
          <w:szCs w:val="24"/>
        </w:rPr>
      </w:pPr>
      <w:r>
        <w:rPr>
          <w:rFonts w:ascii="Calibri" w:hAnsi="Calibri" w:eastAsia="宋体" w:cs="Times New Roman"/>
          <w:b/>
          <w:bCs/>
          <w:kern w:val="0"/>
          <w:sz w:val="24"/>
          <w:szCs w:val="24"/>
        </w:rPr>
        <w:t>课程代码</w:t>
      </w:r>
      <w:r>
        <w:rPr>
          <w:rFonts w:ascii="Calibri" w:hAnsi="Calibri" w:eastAsia="宋体" w:cs="Times New Roman"/>
          <w:b/>
          <w:kern w:val="0"/>
          <w:sz w:val="24"/>
          <w:szCs w:val="24"/>
        </w:rPr>
        <w:t>：</w:t>
      </w:r>
      <w:r>
        <w:rPr>
          <w:rFonts w:ascii="Times New Roman" w:hAnsi="Times New Roman" w:eastAsia="仿宋_GB2312" w:cs="Times New Roman"/>
          <w:sz w:val="24"/>
          <w:szCs w:val="24"/>
        </w:rPr>
        <w:t>0821011</w:t>
      </w:r>
    </w:p>
    <w:p w14:paraId="6EF2D855">
      <w:pPr>
        <w:spacing w:line="360" w:lineRule="auto"/>
        <w:ind w:firstLine="482" w:firstLineChars="200"/>
        <w:rPr>
          <w:rFonts w:ascii="Times New Roman" w:hAnsi="Times New Roman" w:eastAsia="宋体" w:cs="Times New Roman"/>
          <w:b/>
          <w:kern w:val="0"/>
          <w:sz w:val="24"/>
          <w:szCs w:val="24"/>
        </w:rPr>
      </w:pPr>
      <w:r>
        <w:rPr>
          <w:rFonts w:ascii="Calibri" w:hAnsi="Calibri" w:eastAsia="宋体" w:cs="Times New Roman"/>
          <w:b/>
          <w:bCs/>
          <w:kern w:val="0"/>
          <w:sz w:val="24"/>
          <w:szCs w:val="24"/>
        </w:rPr>
        <w:t>学    分</w:t>
      </w:r>
      <w:r>
        <w:rPr>
          <w:rFonts w:ascii="Calibri" w:hAnsi="Calibri" w:eastAsia="宋体" w:cs="Times New Roman"/>
          <w:b/>
          <w:kern w:val="0"/>
          <w:sz w:val="24"/>
          <w:szCs w:val="24"/>
        </w:rPr>
        <w:t>：</w:t>
      </w:r>
      <w:r>
        <w:rPr>
          <w:rFonts w:ascii="Times New Roman" w:hAnsi="Times New Roman" w:eastAsia="仿宋_GB2312" w:cs="Times New Roman"/>
          <w:sz w:val="24"/>
          <w:szCs w:val="24"/>
        </w:rPr>
        <w:t>3</w:t>
      </w:r>
    </w:p>
    <w:p w14:paraId="1EFF8F19">
      <w:pPr>
        <w:spacing w:line="360" w:lineRule="auto"/>
        <w:ind w:firstLine="482" w:firstLineChars="200"/>
        <w:rPr>
          <w:rFonts w:ascii="Calibri" w:hAnsi="Calibri" w:eastAsia="宋体" w:cs="Times New Roman"/>
          <w:kern w:val="0"/>
          <w:sz w:val="24"/>
          <w:szCs w:val="24"/>
        </w:rPr>
      </w:pPr>
      <w:r>
        <w:rPr>
          <w:rFonts w:ascii="Calibri" w:hAnsi="Calibri" w:eastAsia="宋体" w:cs="Times New Roman"/>
          <w:b/>
          <w:bCs/>
          <w:kern w:val="0"/>
          <w:sz w:val="24"/>
          <w:szCs w:val="24"/>
        </w:rPr>
        <w:t>学    时</w:t>
      </w:r>
      <w:r>
        <w:rPr>
          <w:rFonts w:ascii="Calibri" w:hAnsi="Calibri" w:eastAsia="宋体" w:cs="Times New Roman"/>
          <w:b/>
          <w:kern w:val="0"/>
          <w:sz w:val="24"/>
          <w:szCs w:val="24"/>
        </w:rPr>
        <w:t>：</w:t>
      </w:r>
      <w:r>
        <w:rPr>
          <w:rFonts w:ascii="Times New Roman" w:hAnsi="Times New Roman" w:eastAsia="仿宋_GB2312" w:cs="Times New Roman"/>
          <w:sz w:val="24"/>
          <w:szCs w:val="24"/>
        </w:rPr>
        <w:t>48</w:t>
      </w:r>
      <w:r>
        <w:rPr>
          <w:rFonts w:ascii="Calibri" w:hAnsi="Calibri" w:eastAsia="宋体" w:cs="Times New Roman"/>
          <w:kern w:val="0"/>
          <w:sz w:val="24"/>
          <w:szCs w:val="24"/>
        </w:rPr>
        <w:t xml:space="preserve"> （其中：讲授学时</w:t>
      </w:r>
      <w:r>
        <w:rPr>
          <w:rFonts w:ascii="Times New Roman" w:hAnsi="Times New Roman" w:eastAsia="仿宋_GB2312" w:cs="Times New Roman"/>
          <w:sz w:val="24"/>
          <w:szCs w:val="24"/>
        </w:rPr>
        <w:t>48</w:t>
      </w:r>
      <w:r>
        <w:rPr>
          <w:rFonts w:ascii="Calibri" w:hAnsi="Calibri" w:eastAsia="宋体" w:cs="Times New Roman"/>
          <w:kern w:val="0"/>
          <w:sz w:val="24"/>
          <w:szCs w:val="24"/>
        </w:rPr>
        <w:t>， 实践学时</w:t>
      </w:r>
      <w:r>
        <w:rPr>
          <w:rFonts w:ascii="Times New Roman" w:hAnsi="Times New Roman" w:eastAsia="宋体" w:cs="Times New Roman"/>
          <w:kern w:val="0"/>
          <w:sz w:val="24"/>
          <w:szCs w:val="24"/>
        </w:rPr>
        <w:t>0</w:t>
      </w:r>
      <w:r>
        <w:rPr>
          <w:rFonts w:hint="eastAsia" w:ascii="Times New Roman" w:hAnsi="Times New Roman" w:eastAsia="宋体" w:cs="Times New Roman"/>
          <w:kern w:val="0"/>
          <w:sz w:val="24"/>
          <w:szCs w:val="24"/>
        </w:rPr>
        <w:t>，上机学时0</w:t>
      </w:r>
      <w:r>
        <w:rPr>
          <w:rFonts w:ascii="Calibri" w:hAnsi="Calibri" w:eastAsia="宋体" w:cs="Times New Roman"/>
          <w:kern w:val="0"/>
          <w:sz w:val="24"/>
          <w:szCs w:val="24"/>
        </w:rPr>
        <w:t>）</w:t>
      </w:r>
    </w:p>
    <w:p w14:paraId="5AD164DB">
      <w:pPr>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hint="eastAsia" w:ascii="Times New Roman" w:hAnsi="Times New Roman" w:eastAsia="宋体" w:cs="Times New Roman"/>
          <w:sz w:val="24"/>
          <w:szCs w:val="24"/>
        </w:rPr>
        <w:t>数学分析</w:t>
      </w:r>
    </w:p>
    <w:p w14:paraId="769AD006">
      <w:pPr>
        <w:spacing w:line="360" w:lineRule="auto"/>
        <w:ind w:firstLine="482" w:firstLineChars="200"/>
        <w:rPr>
          <w:rFonts w:ascii="Calibri" w:hAnsi="Calibri" w:eastAsia="宋体" w:cs="Times New Roman"/>
          <w:kern w:val="0"/>
          <w:sz w:val="24"/>
          <w:szCs w:val="24"/>
        </w:rPr>
      </w:pPr>
      <w:r>
        <w:rPr>
          <w:rFonts w:ascii="Calibri" w:hAnsi="Calibri" w:eastAsia="宋体" w:cs="Times New Roman"/>
          <w:b/>
          <w:bCs/>
          <w:kern w:val="0"/>
          <w:sz w:val="24"/>
          <w:szCs w:val="24"/>
        </w:rPr>
        <w:t>适用专业</w:t>
      </w:r>
      <w:r>
        <w:rPr>
          <w:rFonts w:ascii="Calibri" w:hAnsi="Calibri" w:eastAsia="宋体" w:cs="Times New Roman"/>
          <w:b/>
          <w:kern w:val="0"/>
          <w:sz w:val="24"/>
          <w:szCs w:val="24"/>
        </w:rPr>
        <w:t>：</w:t>
      </w:r>
      <w:r>
        <w:rPr>
          <w:rFonts w:ascii="Calibri" w:hAnsi="Calibri" w:eastAsia="宋体" w:cs="Times New Roman"/>
          <w:sz w:val="24"/>
          <w:szCs w:val="24"/>
        </w:rPr>
        <w:t>小学教育（理）</w:t>
      </w:r>
      <w:r>
        <w:rPr>
          <w:rFonts w:ascii="Calibri" w:hAnsi="Calibri" w:eastAsia="宋体" w:cs="Times New Roman"/>
          <w:kern w:val="0"/>
          <w:sz w:val="24"/>
          <w:szCs w:val="24"/>
        </w:rPr>
        <w:t xml:space="preserve"> </w:t>
      </w:r>
    </w:p>
    <w:p w14:paraId="0D7C84B8">
      <w:pPr>
        <w:spacing w:line="360" w:lineRule="auto"/>
        <w:ind w:firstLine="482" w:firstLineChars="200"/>
        <w:rPr>
          <w:rFonts w:ascii="Calibri" w:hAnsi="Calibri" w:eastAsia="宋体" w:cs="Times New Roman"/>
          <w:kern w:val="0"/>
          <w:sz w:val="24"/>
          <w:szCs w:val="24"/>
        </w:rPr>
      </w:pPr>
      <w:r>
        <w:rPr>
          <w:rFonts w:ascii="Calibri" w:hAnsi="Calibri" w:eastAsia="宋体" w:cs="Times New Roman"/>
          <w:b/>
          <w:bCs/>
          <w:kern w:val="0"/>
          <w:sz w:val="24"/>
          <w:szCs w:val="24"/>
        </w:rPr>
        <w:t>建议教材</w:t>
      </w:r>
      <w:r>
        <w:rPr>
          <w:rFonts w:ascii="Calibri" w:hAnsi="Calibri" w:eastAsia="宋体" w:cs="Times New Roman"/>
          <w:b/>
          <w:kern w:val="0"/>
          <w:sz w:val="24"/>
          <w:szCs w:val="24"/>
        </w:rPr>
        <w:t>：</w:t>
      </w:r>
      <w:r>
        <w:rPr>
          <w:rFonts w:ascii="Calibri" w:hAnsi="Calibri" w:eastAsia="宋体" w:cs="Times New Roman"/>
          <w:kern w:val="0"/>
          <w:sz w:val="24"/>
          <w:szCs w:val="24"/>
        </w:rPr>
        <w:t>《高等代数》，</w:t>
      </w:r>
      <w:r>
        <w:rPr>
          <w:rFonts w:hint="eastAsia" w:ascii="Calibri" w:hAnsi="Calibri" w:eastAsia="宋体" w:cs="Times New Roman"/>
          <w:bCs/>
          <w:kern w:val="0"/>
          <w:sz w:val="24"/>
          <w:szCs w:val="24"/>
        </w:rPr>
        <w:t>张力宏主编</w:t>
      </w:r>
      <w:r>
        <w:rPr>
          <w:rFonts w:ascii="Calibri" w:hAnsi="Calibri" w:eastAsia="宋体" w:cs="Times New Roman"/>
          <w:kern w:val="0"/>
          <w:sz w:val="24"/>
          <w:szCs w:val="24"/>
        </w:rPr>
        <w:t>，</w:t>
      </w:r>
      <w:r>
        <w:rPr>
          <w:rFonts w:hint="eastAsia" w:ascii="Calibri" w:hAnsi="Calibri" w:eastAsia="宋体" w:cs="Times New Roman"/>
          <w:kern w:val="0"/>
          <w:sz w:val="24"/>
          <w:szCs w:val="24"/>
        </w:rPr>
        <w:t>人民</w:t>
      </w:r>
      <w:r>
        <w:rPr>
          <w:rFonts w:ascii="Calibri" w:hAnsi="Calibri" w:eastAsia="宋体" w:cs="Times New Roman"/>
          <w:kern w:val="0"/>
          <w:sz w:val="24"/>
          <w:szCs w:val="24"/>
        </w:rPr>
        <w:t>教育出版社，</w:t>
      </w:r>
      <w:r>
        <w:rPr>
          <w:rFonts w:ascii="Times New Roman" w:hAnsi="Times New Roman" w:eastAsia="宋体" w:cs="Times New Roman"/>
          <w:kern w:val="0"/>
          <w:sz w:val="24"/>
          <w:szCs w:val="24"/>
        </w:rPr>
        <w:t>2019</w:t>
      </w:r>
      <w:r>
        <w:rPr>
          <w:rFonts w:ascii="Calibri" w:hAnsi="Calibri" w:eastAsia="宋体" w:cs="Times New Roman"/>
          <w:kern w:val="0"/>
          <w:sz w:val="24"/>
          <w:szCs w:val="24"/>
        </w:rPr>
        <w:t>.</w:t>
      </w:r>
    </w:p>
    <w:p w14:paraId="048B1ACF">
      <w:pPr>
        <w:spacing w:line="360" w:lineRule="auto"/>
        <w:ind w:firstLine="482" w:firstLineChars="200"/>
        <w:rPr>
          <w:rFonts w:ascii="Calibri" w:hAnsi="Calibri" w:eastAsia="宋体" w:cs="Times New Roman"/>
          <w:sz w:val="24"/>
          <w:szCs w:val="24"/>
        </w:rPr>
      </w:pPr>
      <w:r>
        <w:rPr>
          <w:rFonts w:ascii="Calibri" w:hAnsi="Calibri" w:eastAsia="宋体" w:cs="Times New Roman"/>
          <w:b/>
          <w:bCs/>
          <w:kern w:val="0"/>
          <w:sz w:val="24"/>
          <w:szCs w:val="24"/>
        </w:rPr>
        <w:t>课程归口：</w:t>
      </w:r>
      <w:r>
        <w:rPr>
          <w:rFonts w:ascii="Calibri" w:hAnsi="Calibri" w:eastAsia="宋体" w:cs="Times New Roman"/>
          <w:sz w:val="24"/>
          <w:szCs w:val="24"/>
        </w:rPr>
        <w:t>理学院</w:t>
      </w:r>
    </w:p>
    <w:p w14:paraId="140ADA07">
      <w:pPr>
        <w:spacing w:line="360" w:lineRule="auto"/>
        <w:ind w:firstLine="482" w:firstLineChars="200"/>
        <w:rPr>
          <w:rFonts w:ascii="Calibri" w:hAnsi="Calibri" w:eastAsia="宋体" w:cs="Times New Roman"/>
          <w:sz w:val="24"/>
          <w:szCs w:val="24"/>
        </w:rPr>
      </w:pPr>
      <w:r>
        <w:rPr>
          <w:b/>
          <w:bCs/>
          <w:kern w:val="0"/>
          <w:sz w:val="24"/>
          <w:szCs w:val="24"/>
        </w:rPr>
        <w:t>课程团队：</w:t>
      </w:r>
      <w:r>
        <w:rPr>
          <w:rFonts w:hint="eastAsia" w:ascii="宋体" w:hAnsi="宋体"/>
          <w:bCs/>
          <w:kern w:val="0"/>
          <w:sz w:val="24"/>
          <w:szCs w:val="24"/>
        </w:rPr>
        <w:t>高等代数课程团队</w:t>
      </w:r>
    </w:p>
    <w:p w14:paraId="36E71494">
      <w:pPr>
        <w:autoSpaceDE w:val="0"/>
        <w:autoSpaceDN w:val="0"/>
        <w:adjustRightInd w:val="0"/>
        <w:spacing w:line="360" w:lineRule="auto"/>
        <w:ind w:firstLine="482" w:firstLineChars="200"/>
        <w:jc w:val="left"/>
        <w:rPr>
          <w:rFonts w:ascii="Calibri" w:hAnsi="Calibri" w:eastAsia="宋体" w:cs="Times New Roman"/>
          <w:sz w:val="24"/>
          <w:szCs w:val="24"/>
        </w:rPr>
      </w:pPr>
      <w:r>
        <w:rPr>
          <w:rFonts w:ascii="Calibri" w:hAnsi="Calibri" w:eastAsia="宋体" w:cs="Times New Roman"/>
          <w:b/>
          <w:bCs/>
          <w:kern w:val="0"/>
          <w:sz w:val="24"/>
          <w:szCs w:val="24"/>
        </w:rPr>
        <w:t>课程的性质与任务：</w:t>
      </w:r>
      <w:r>
        <w:rPr>
          <w:rFonts w:ascii="Calibri" w:hAnsi="Calibri" w:eastAsia="宋体" w:cs="Times New Roman"/>
          <w:kern w:val="0"/>
          <w:sz w:val="24"/>
          <w:szCs w:val="24"/>
        </w:rPr>
        <w:t>本课程是小学教育（理）专业的一门</w:t>
      </w:r>
      <w:r>
        <w:rPr>
          <w:rFonts w:ascii="Calibri" w:hAnsi="Calibri" w:eastAsia="宋体" w:cs="Times New Roman"/>
          <w:sz w:val="24"/>
          <w:szCs w:val="24"/>
        </w:rPr>
        <w:t>重要基础课。</w:t>
      </w:r>
      <w:r>
        <w:rPr>
          <w:rFonts w:ascii="Calibri" w:hAnsi="Calibri" w:eastAsia="宋体" w:cs="Times New Roman"/>
          <w:kern w:val="0"/>
          <w:sz w:val="24"/>
          <w:szCs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7711F78F">
      <w:pPr>
        <w:spacing w:line="360" w:lineRule="auto"/>
        <w:rPr>
          <w:rFonts w:ascii="Calibri" w:hAnsi="Calibri" w:eastAsia="宋体" w:cs="Times New Roman"/>
          <w:b/>
          <w:sz w:val="24"/>
          <w:szCs w:val="24"/>
        </w:rPr>
      </w:pPr>
      <w:bookmarkStart w:id="215" w:name="_Toc19729789"/>
      <w:r>
        <w:rPr>
          <w:rFonts w:ascii="Calibri" w:hAnsi="Calibri" w:eastAsia="宋体" w:cs="Times New Roman"/>
          <w:b/>
          <w:sz w:val="24"/>
          <w:szCs w:val="24"/>
        </w:rPr>
        <w:t>二、课程目标</w:t>
      </w:r>
      <w:bookmarkEnd w:id="215"/>
      <w:r>
        <w:rPr>
          <w:rFonts w:hint="eastAsia" w:ascii="Calibri" w:hAnsi="Calibri" w:eastAsia="宋体" w:cs="Times New Roman"/>
          <w:b/>
          <w:sz w:val="24"/>
          <w:szCs w:val="24"/>
        </w:rPr>
        <w:t>及对毕业要求观测点的支撑</w:t>
      </w:r>
    </w:p>
    <w:tbl>
      <w:tblPr>
        <w:tblStyle w:val="30"/>
        <w:tblW w:w="8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801"/>
        <w:gridCol w:w="2200"/>
        <w:gridCol w:w="3116"/>
      </w:tblGrid>
      <w:tr w14:paraId="0635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75" w:type="dxa"/>
            <w:shd w:val="clear" w:color="auto" w:fill="auto"/>
            <w:noWrap/>
            <w:vAlign w:val="center"/>
          </w:tcPr>
          <w:p w14:paraId="2E9F56F8">
            <w:pPr>
              <w:widowControl/>
              <w:spacing w:line="276" w:lineRule="auto"/>
              <w:jc w:val="center"/>
              <w:rPr>
                <w:rFonts w:ascii="宋体" w:hAnsi="宋体" w:eastAsia="宋体"/>
                <w:b/>
                <w:bCs/>
                <w:kern w:val="0"/>
                <w:szCs w:val="21"/>
              </w:rPr>
            </w:pPr>
            <w:bookmarkStart w:id="216" w:name="_Toc19729790"/>
            <w:r>
              <w:rPr>
                <w:rFonts w:ascii="宋体" w:hAnsi="宋体" w:eastAsia="宋体"/>
                <w:b/>
                <w:bCs/>
                <w:kern w:val="0"/>
                <w:szCs w:val="21"/>
              </w:rPr>
              <w:t>序号</w:t>
            </w:r>
          </w:p>
        </w:tc>
        <w:tc>
          <w:tcPr>
            <w:tcW w:w="2801" w:type="dxa"/>
            <w:shd w:val="clear" w:color="auto" w:fill="auto"/>
            <w:noWrap/>
            <w:vAlign w:val="center"/>
          </w:tcPr>
          <w:p w14:paraId="74C34C94">
            <w:pPr>
              <w:widowControl/>
              <w:spacing w:line="276" w:lineRule="auto"/>
              <w:jc w:val="center"/>
              <w:rPr>
                <w:rFonts w:ascii="宋体" w:hAnsi="宋体" w:eastAsia="宋体"/>
                <w:b/>
                <w:bCs/>
                <w:kern w:val="0"/>
                <w:szCs w:val="21"/>
              </w:rPr>
            </w:pPr>
            <w:r>
              <w:rPr>
                <w:rFonts w:ascii="宋体" w:hAnsi="宋体" w:eastAsia="宋体"/>
                <w:b/>
                <w:bCs/>
                <w:kern w:val="0"/>
                <w:szCs w:val="21"/>
              </w:rPr>
              <w:t>课程目标</w:t>
            </w:r>
          </w:p>
        </w:tc>
        <w:tc>
          <w:tcPr>
            <w:tcW w:w="2200" w:type="dxa"/>
            <w:shd w:val="clear" w:color="auto" w:fill="auto"/>
            <w:noWrap/>
            <w:vAlign w:val="center"/>
          </w:tcPr>
          <w:p w14:paraId="1B83B345">
            <w:pPr>
              <w:widowControl/>
              <w:spacing w:line="276" w:lineRule="auto"/>
              <w:jc w:val="center"/>
              <w:rPr>
                <w:rFonts w:ascii="宋体" w:hAnsi="宋体" w:eastAsia="宋体"/>
                <w:b/>
                <w:bCs/>
                <w:kern w:val="0"/>
                <w:szCs w:val="21"/>
              </w:rPr>
            </w:pPr>
            <w:r>
              <w:rPr>
                <w:rFonts w:hint="eastAsia" w:ascii="宋体" w:hAnsi="宋体" w:eastAsia="宋体"/>
                <w:b/>
                <w:bCs/>
                <w:kern w:val="0"/>
                <w:szCs w:val="21"/>
              </w:rPr>
              <w:t>支撑的</w:t>
            </w:r>
            <w:r>
              <w:rPr>
                <w:rFonts w:ascii="宋体" w:hAnsi="宋体" w:eastAsia="宋体"/>
                <w:b/>
                <w:bCs/>
                <w:kern w:val="0"/>
                <w:szCs w:val="21"/>
              </w:rPr>
              <w:t>毕业要求</w:t>
            </w:r>
          </w:p>
        </w:tc>
        <w:tc>
          <w:tcPr>
            <w:tcW w:w="3116" w:type="dxa"/>
            <w:vAlign w:val="center"/>
          </w:tcPr>
          <w:p w14:paraId="2A3BE47A">
            <w:pPr>
              <w:widowControl/>
              <w:spacing w:line="276" w:lineRule="auto"/>
              <w:jc w:val="center"/>
              <w:rPr>
                <w:rFonts w:ascii="宋体" w:hAnsi="宋体" w:eastAsia="宋体"/>
                <w:b/>
                <w:bCs/>
                <w:kern w:val="0"/>
                <w:szCs w:val="21"/>
              </w:rPr>
            </w:pPr>
            <w:r>
              <w:rPr>
                <w:rFonts w:ascii="宋体" w:hAnsi="宋体" w:eastAsia="宋体"/>
                <w:b/>
                <w:bCs/>
                <w:kern w:val="0"/>
                <w:szCs w:val="21"/>
              </w:rPr>
              <w:t>支撑毕业要求观测点</w:t>
            </w:r>
          </w:p>
        </w:tc>
      </w:tr>
      <w:tr w14:paraId="4354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75" w:type="dxa"/>
            <w:shd w:val="clear" w:color="auto" w:fill="auto"/>
            <w:noWrap/>
            <w:vAlign w:val="center"/>
          </w:tcPr>
          <w:p w14:paraId="02EECB19">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1</w:t>
            </w:r>
          </w:p>
        </w:tc>
        <w:tc>
          <w:tcPr>
            <w:tcW w:w="2801" w:type="dxa"/>
            <w:shd w:val="clear" w:color="auto" w:fill="auto"/>
            <w:noWrap/>
            <w:vAlign w:val="center"/>
          </w:tcPr>
          <w:p w14:paraId="04997EA9">
            <w:pPr>
              <w:spacing w:before="156" w:beforeLines="50" w:after="156" w:afterLines="50" w:line="276" w:lineRule="auto"/>
              <w:rPr>
                <w:rFonts w:ascii="宋体" w:hAnsi="宋体" w:eastAsia="宋体"/>
                <w:kern w:val="0"/>
                <w:szCs w:val="21"/>
              </w:rPr>
            </w:pPr>
            <w:r>
              <w:rPr>
                <w:rFonts w:ascii="宋体" w:hAnsi="宋体" w:eastAsia="宋体"/>
                <w:b/>
                <w:kern w:val="0"/>
                <w:szCs w:val="21"/>
              </w:rPr>
              <w:t>目标</w:t>
            </w:r>
            <w:r>
              <w:rPr>
                <w:rFonts w:ascii="宋体" w:hAnsi="宋体" w:eastAsia="宋体" w:cs="Times New Roman"/>
                <w:b/>
                <w:kern w:val="0"/>
                <w:szCs w:val="21"/>
              </w:rPr>
              <w:t>1</w:t>
            </w:r>
            <w:r>
              <w:rPr>
                <w:rFonts w:hint="eastAsia" w:ascii="宋体" w:hAnsi="宋体" w:eastAsia="宋体" w:cs="Times New Roman"/>
                <w:b/>
                <w:kern w:val="0"/>
                <w:szCs w:val="21"/>
              </w:rPr>
              <w:t>：</w:t>
            </w:r>
            <w:r>
              <w:rPr>
                <w:rFonts w:ascii="宋体" w:hAnsi="宋体" w:eastAsia="宋体" w:cs="Times New Roman"/>
                <w:szCs w:val="21"/>
              </w:rPr>
              <w:t>能够具有一定的抽象概括、逻辑推理和运算能力。</w:t>
            </w:r>
          </w:p>
        </w:tc>
        <w:tc>
          <w:tcPr>
            <w:tcW w:w="2200" w:type="dxa"/>
            <w:shd w:val="clear" w:color="auto" w:fill="auto"/>
            <w:noWrap/>
            <w:vAlign w:val="center"/>
          </w:tcPr>
          <w:p w14:paraId="4E172F86">
            <w:pPr>
              <w:widowControl/>
              <w:spacing w:before="156" w:beforeLines="50" w:after="156" w:afterLines="50" w:line="276" w:lineRule="auto"/>
              <w:rPr>
                <w:rFonts w:ascii="宋体" w:hAnsi="宋体" w:eastAsia="宋体"/>
                <w:kern w:val="0"/>
                <w:szCs w:val="21"/>
              </w:rPr>
            </w:pPr>
            <w:r>
              <w:rPr>
                <w:rFonts w:ascii="宋体" w:hAnsi="宋体" w:eastAsia="宋体"/>
                <w:b/>
                <w:kern w:val="0"/>
                <w:szCs w:val="21"/>
              </w:rPr>
              <w:t>毕业要求</w:t>
            </w:r>
            <w:r>
              <w:rPr>
                <w:rFonts w:ascii="宋体" w:hAnsi="宋体" w:eastAsia="宋体" w:cs="Times New Roman"/>
                <w:b/>
                <w:kern w:val="0"/>
                <w:szCs w:val="21"/>
              </w:rPr>
              <w:t>3</w:t>
            </w:r>
            <w:r>
              <w:rPr>
                <w:rFonts w:hint="eastAsia" w:ascii="宋体" w:hAnsi="宋体" w:eastAsia="宋体" w:cs="Times New Roman"/>
                <w:b/>
                <w:kern w:val="0"/>
                <w:szCs w:val="21"/>
              </w:rPr>
              <w:t>.</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3116" w:type="dxa"/>
            <w:vAlign w:val="center"/>
          </w:tcPr>
          <w:p w14:paraId="77AC1441">
            <w:pPr>
              <w:spacing w:line="276" w:lineRule="auto"/>
              <w:rPr>
                <w:rFonts w:ascii="宋体" w:hAnsi="宋体" w:eastAsia="宋体"/>
                <w:szCs w:val="21"/>
              </w:rPr>
            </w:pPr>
            <w:r>
              <w:rPr>
                <w:rFonts w:ascii="宋体" w:hAnsi="宋体" w:eastAsia="宋体"/>
                <w:b/>
                <w:kern w:val="0"/>
                <w:szCs w:val="21"/>
              </w:rPr>
              <w:t>观测点</w:t>
            </w:r>
            <w:r>
              <w:rPr>
                <w:rFonts w:ascii="宋体" w:hAnsi="宋体" w:eastAsia="宋体" w:cs="Times New Roman"/>
                <w:b/>
                <w:kern w:val="0"/>
                <w:szCs w:val="21"/>
              </w:rPr>
              <w:t>3-1</w:t>
            </w:r>
            <w:r>
              <w:rPr>
                <w:rFonts w:hint="eastAsia" w:ascii="宋体" w:hAnsi="宋体" w:eastAsia="宋体"/>
                <w:szCs w:val="21"/>
              </w:rPr>
              <w:t>具有相应的自然科学和人文社会科学知识素养。</w:t>
            </w:r>
          </w:p>
        </w:tc>
      </w:tr>
      <w:tr w14:paraId="3F96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675" w:type="dxa"/>
            <w:shd w:val="clear" w:color="auto" w:fill="auto"/>
            <w:noWrap/>
            <w:vAlign w:val="center"/>
          </w:tcPr>
          <w:p w14:paraId="52CB587C">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2</w:t>
            </w:r>
          </w:p>
        </w:tc>
        <w:tc>
          <w:tcPr>
            <w:tcW w:w="2801" w:type="dxa"/>
            <w:shd w:val="clear" w:color="auto" w:fill="auto"/>
            <w:noWrap/>
            <w:vAlign w:val="center"/>
          </w:tcPr>
          <w:p w14:paraId="55261EA3">
            <w:pPr>
              <w:spacing w:before="156" w:beforeLines="50" w:after="156" w:afterLines="50" w:line="276" w:lineRule="auto"/>
              <w:rPr>
                <w:rFonts w:ascii="宋体" w:hAnsi="宋体" w:eastAsia="宋体" w:cs="Times New Roman"/>
                <w:szCs w:val="21"/>
              </w:rPr>
            </w:pPr>
            <w:r>
              <w:rPr>
                <w:rFonts w:ascii="宋体" w:hAnsi="宋体" w:eastAsia="宋体"/>
                <w:b/>
                <w:kern w:val="0"/>
                <w:szCs w:val="21"/>
              </w:rPr>
              <w:t>目标</w:t>
            </w:r>
            <w:r>
              <w:rPr>
                <w:rFonts w:ascii="宋体" w:hAnsi="宋体" w:eastAsia="宋体" w:cs="Times New Roman"/>
                <w:b/>
                <w:kern w:val="0"/>
                <w:szCs w:val="21"/>
              </w:rPr>
              <w:t>2</w:t>
            </w:r>
            <w:r>
              <w:rPr>
                <w:rFonts w:hint="eastAsia" w:ascii="宋体" w:hAnsi="宋体" w:eastAsia="宋体"/>
                <w:b/>
                <w:kern w:val="0"/>
                <w:szCs w:val="21"/>
              </w:rPr>
              <w:t>：</w:t>
            </w:r>
            <w:r>
              <w:rPr>
                <w:rFonts w:ascii="宋体" w:hAnsi="宋体" w:eastAsia="宋体" w:cs="Times New Roman"/>
                <w:szCs w:val="21"/>
              </w:rPr>
              <w:t>能够获得课程基本概念与性质，以及本课程要求的计算方法。</w:t>
            </w:r>
          </w:p>
        </w:tc>
        <w:tc>
          <w:tcPr>
            <w:tcW w:w="2200" w:type="dxa"/>
            <w:shd w:val="clear" w:color="auto" w:fill="auto"/>
            <w:noWrap/>
            <w:vAlign w:val="center"/>
          </w:tcPr>
          <w:p w14:paraId="4E0E75F5">
            <w:pPr>
              <w:widowControl/>
              <w:spacing w:before="156" w:beforeLines="50" w:after="156" w:afterLines="50" w:line="276" w:lineRule="auto"/>
              <w:rPr>
                <w:rFonts w:ascii="宋体" w:hAnsi="宋体" w:eastAsia="宋体"/>
                <w:kern w:val="0"/>
                <w:szCs w:val="21"/>
              </w:rPr>
            </w:pPr>
            <w:r>
              <w:rPr>
                <w:rFonts w:ascii="宋体" w:hAnsi="宋体" w:eastAsia="宋体"/>
                <w:b/>
                <w:kern w:val="0"/>
                <w:szCs w:val="21"/>
              </w:rPr>
              <w:t>毕业要求</w:t>
            </w:r>
            <w:r>
              <w:rPr>
                <w:rFonts w:ascii="宋体" w:hAnsi="宋体" w:eastAsia="宋体" w:cs="Times New Roman"/>
                <w:b/>
                <w:kern w:val="0"/>
                <w:szCs w:val="21"/>
              </w:rPr>
              <w:t>3</w:t>
            </w:r>
            <w:r>
              <w:rPr>
                <w:rFonts w:hint="eastAsia" w:ascii="宋体" w:hAnsi="宋体" w:eastAsia="宋体" w:cs="Times New Roman"/>
                <w:b/>
                <w:kern w:val="0"/>
                <w:szCs w:val="21"/>
              </w:rPr>
              <w:t>.</w:t>
            </w:r>
            <w:r>
              <w:rPr>
                <w:rFonts w:hint="eastAsia" w:ascii="宋体" w:hAnsi="宋体" w:eastAsia="宋体" w:cs="Times New Roman"/>
                <w:kern w:val="0"/>
                <w:szCs w:val="21"/>
              </w:rPr>
              <w:t>学科</w:t>
            </w:r>
            <w:r>
              <w:rPr>
                <w:rFonts w:ascii="宋体" w:hAnsi="宋体" w:eastAsia="宋体" w:cs="Times New Roman"/>
                <w:kern w:val="0"/>
                <w:szCs w:val="21"/>
              </w:rPr>
              <w:t>素养</w:t>
            </w:r>
          </w:p>
        </w:tc>
        <w:tc>
          <w:tcPr>
            <w:tcW w:w="3116" w:type="dxa"/>
            <w:vAlign w:val="center"/>
          </w:tcPr>
          <w:p w14:paraId="6F673283">
            <w:pPr>
              <w:spacing w:line="276" w:lineRule="auto"/>
              <w:rPr>
                <w:rFonts w:ascii="宋体" w:hAnsi="宋体" w:eastAsia="宋体"/>
                <w:kern w:val="0"/>
                <w:szCs w:val="21"/>
              </w:rPr>
            </w:pPr>
            <w:r>
              <w:rPr>
                <w:rFonts w:ascii="宋体" w:hAnsi="宋体" w:eastAsia="宋体"/>
                <w:b/>
                <w:kern w:val="0"/>
                <w:szCs w:val="21"/>
              </w:rPr>
              <w:t>观测点</w:t>
            </w:r>
            <w:r>
              <w:rPr>
                <w:rFonts w:ascii="宋体" w:hAnsi="宋体" w:eastAsia="宋体" w:cs="Times New Roman"/>
                <w:b/>
                <w:kern w:val="0"/>
                <w:szCs w:val="21"/>
              </w:rPr>
              <w:t>3-2</w:t>
            </w:r>
            <w:r>
              <w:rPr>
                <w:rFonts w:hint="eastAsia" w:ascii="宋体" w:hAnsi="宋体" w:eastAsia="宋体"/>
                <w:szCs w:val="21"/>
              </w:rPr>
              <w:t>具有学科专业能力，掌握主教学科的基本知识、原理和技能。</w:t>
            </w:r>
          </w:p>
        </w:tc>
      </w:tr>
      <w:tr w14:paraId="5E4C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75" w:type="dxa"/>
            <w:shd w:val="clear" w:color="auto" w:fill="auto"/>
            <w:noWrap/>
            <w:vAlign w:val="center"/>
          </w:tcPr>
          <w:p w14:paraId="70F88D9B">
            <w:pPr>
              <w:widowControl/>
              <w:spacing w:line="276" w:lineRule="auto"/>
              <w:jc w:val="center"/>
              <w:rPr>
                <w:rFonts w:ascii="宋体" w:hAnsi="宋体" w:eastAsia="宋体" w:cs="Times New Roman"/>
                <w:kern w:val="0"/>
                <w:szCs w:val="21"/>
              </w:rPr>
            </w:pPr>
            <w:r>
              <w:rPr>
                <w:rFonts w:ascii="宋体" w:hAnsi="宋体" w:eastAsia="宋体" w:cs="Times New Roman"/>
                <w:kern w:val="0"/>
                <w:szCs w:val="21"/>
              </w:rPr>
              <w:t>3</w:t>
            </w:r>
          </w:p>
        </w:tc>
        <w:tc>
          <w:tcPr>
            <w:tcW w:w="2801" w:type="dxa"/>
            <w:shd w:val="clear" w:color="auto" w:fill="auto"/>
            <w:noWrap/>
            <w:vAlign w:val="center"/>
          </w:tcPr>
          <w:p w14:paraId="46793DD6">
            <w:pPr>
              <w:spacing w:before="156" w:beforeLines="50" w:after="156" w:afterLines="50" w:line="276" w:lineRule="auto"/>
              <w:rPr>
                <w:rFonts w:ascii="宋体" w:hAnsi="宋体" w:eastAsia="宋体"/>
                <w:b/>
                <w:kern w:val="0"/>
                <w:szCs w:val="21"/>
              </w:rPr>
            </w:pPr>
            <w:r>
              <w:rPr>
                <w:rFonts w:ascii="宋体" w:hAnsi="宋体" w:eastAsia="宋体"/>
                <w:b/>
                <w:kern w:val="0"/>
                <w:szCs w:val="21"/>
              </w:rPr>
              <w:t>目标</w:t>
            </w:r>
            <w:r>
              <w:rPr>
                <w:rFonts w:ascii="宋体" w:hAnsi="宋体" w:eastAsia="宋体" w:cs="Times New Roman"/>
                <w:b/>
                <w:kern w:val="0"/>
                <w:szCs w:val="21"/>
              </w:rPr>
              <w:t>3</w:t>
            </w:r>
            <w:r>
              <w:rPr>
                <w:rFonts w:hint="eastAsia" w:ascii="宋体" w:hAnsi="宋体" w:eastAsia="宋体"/>
                <w:b/>
                <w:kern w:val="0"/>
                <w:szCs w:val="21"/>
              </w:rPr>
              <w:t>：</w:t>
            </w:r>
            <w:r>
              <w:rPr>
                <w:rFonts w:ascii="宋体" w:hAnsi="宋体" w:eastAsia="宋体" w:cs="Times New Roman"/>
                <w:szCs w:val="21"/>
              </w:rPr>
              <w:t>能够具有一定的数学思维与分析能力。</w:t>
            </w:r>
            <w:r>
              <w:rPr>
                <w:rFonts w:ascii="宋体" w:hAnsi="宋体" w:eastAsia="宋体"/>
                <w:b/>
                <w:kern w:val="0"/>
                <w:szCs w:val="21"/>
              </w:rPr>
              <w:t xml:space="preserve"> </w:t>
            </w:r>
          </w:p>
        </w:tc>
        <w:tc>
          <w:tcPr>
            <w:tcW w:w="2200" w:type="dxa"/>
            <w:shd w:val="clear" w:color="auto" w:fill="auto"/>
            <w:noWrap/>
            <w:vAlign w:val="center"/>
          </w:tcPr>
          <w:p w14:paraId="3C36C7A3">
            <w:pPr>
              <w:widowControl/>
              <w:spacing w:before="156" w:beforeLines="50" w:after="156" w:afterLines="50" w:line="276" w:lineRule="auto"/>
              <w:rPr>
                <w:rFonts w:ascii="宋体" w:hAnsi="宋体" w:eastAsia="宋体"/>
                <w:b/>
                <w:kern w:val="0"/>
                <w:szCs w:val="21"/>
              </w:rPr>
            </w:pPr>
            <w:r>
              <w:rPr>
                <w:rFonts w:ascii="宋体" w:hAnsi="宋体" w:eastAsia="宋体" w:cs="Times New Roman"/>
                <w:b/>
                <w:spacing w:val="2"/>
                <w:kern w:val="0"/>
                <w:szCs w:val="21"/>
              </w:rPr>
              <w:t>毕业要求6</w:t>
            </w:r>
            <w:r>
              <w:rPr>
                <w:rFonts w:hint="eastAsia" w:ascii="宋体" w:hAnsi="宋体" w:eastAsia="宋体" w:cs="Times New Roman"/>
                <w:b/>
                <w:spacing w:val="2"/>
                <w:kern w:val="0"/>
                <w:szCs w:val="21"/>
              </w:rPr>
              <w:t>.</w:t>
            </w:r>
            <w:r>
              <w:rPr>
                <w:rFonts w:ascii="宋体" w:hAnsi="宋体" w:eastAsia="宋体" w:cs="Times New Roman"/>
                <w:spacing w:val="2"/>
                <w:kern w:val="0"/>
                <w:szCs w:val="21"/>
              </w:rPr>
              <w:t>综合育人</w:t>
            </w:r>
          </w:p>
        </w:tc>
        <w:tc>
          <w:tcPr>
            <w:tcW w:w="3116" w:type="dxa"/>
            <w:vAlign w:val="center"/>
          </w:tcPr>
          <w:p w14:paraId="55771B6D">
            <w:pPr>
              <w:spacing w:line="276" w:lineRule="auto"/>
              <w:rPr>
                <w:rFonts w:ascii="宋体" w:hAnsi="宋体" w:eastAsia="宋体"/>
                <w:b/>
                <w:kern w:val="0"/>
                <w:szCs w:val="21"/>
              </w:rPr>
            </w:pPr>
            <w:r>
              <w:rPr>
                <w:rFonts w:ascii="宋体" w:hAnsi="宋体" w:eastAsia="宋体"/>
                <w:b/>
                <w:kern w:val="0"/>
                <w:szCs w:val="21"/>
              </w:rPr>
              <w:t>观测点</w:t>
            </w:r>
            <w:r>
              <w:rPr>
                <w:rFonts w:ascii="宋体" w:hAnsi="宋体" w:eastAsia="宋体" w:cs="Times New Roman"/>
                <w:b/>
                <w:szCs w:val="21"/>
              </w:rPr>
              <w:t>6-2</w:t>
            </w:r>
            <w:r>
              <w:rPr>
                <w:rFonts w:hint="eastAsia" w:ascii="宋体" w:hAnsi="宋体" w:eastAsia="宋体"/>
                <w:szCs w:val="21"/>
              </w:rPr>
              <w:t>具有教书育人的意识，理解学科核心素养和拟任教学科课程独特的育人功能，具备结合学科教学进行育人的意识与能力，注重学科教学中思想政治教育的渗透。</w:t>
            </w:r>
          </w:p>
        </w:tc>
      </w:tr>
      <w:bookmarkEnd w:id="216"/>
    </w:tbl>
    <w:p w14:paraId="1901B498">
      <w:pPr>
        <w:spacing w:line="360" w:lineRule="auto"/>
        <w:rPr>
          <w:rFonts w:ascii="Calibri" w:hAnsi="Calibri" w:eastAsia="宋体" w:cs="Times New Roman"/>
          <w:b/>
          <w:kern w:val="0"/>
          <w:sz w:val="24"/>
          <w:szCs w:val="24"/>
        </w:rPr>
      </w:pPr>
      <w:r>
        <w:rPr>
          <w:rFonts w:ascii="Calibri" w:hAnsi="Calibri" w:eastAsia="宋体" w:cs="Times New Roman"/>
          <w:b/>
          <w:kern w:val="0"/>
          <w:sz w:val="24"/>
          <w:szCs w:val="24"/>
        </w:rPr>
        <w:t xml:space="preserve">     </w:t>
      </w:r>
      <w:bookmarkStart w:id="217" w:name="_Toc19729792"/>
    </w:p>
    <w:p w14:paraId="5CA69300">
      <w:pPr>
        <w:spacing w:line="360" w:lineRule="auto"/>
        <w:rPr>
          <w:rFonts w:ascii="Calibri" w:hAnsi="Calibri" w:eastAsia="宋体" w:cs="Times New Roman"/>
          <w:b/>
          <w:sz w:val="24"/>
          <w:szCs w:val="24"/>
        </w:rPr>
      </w:pPr>
      <w:r>
        <w:rPr>
          <w:rFonts w:ascii="Calibri" w:hAnsi="Calibri" w:eastAsia="宋体" w:cs="Times New Roman"/>
          <w:b/>
          <w:sz w:val="24"/>
          <w:szCs w:val="24"/>
        </w:rPr>
        <w:t>三、课程内容及要求</w:t>
      </w:r>
      <w:bookmarkEnd w:id="217"/>
    </w:p>
    <w:tbl>
      <w:tblPr>
        <w:tblStyle w:val="30"/>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2552"/>
        <w:gridCol w:w="1984"/>
        <w:gridCol w:w="1559"/>
        <w:gridCol w:w="709"/>
        <w:gridCol w:w="709"/>
        <w:gridCol w:w="954"/>
      </w:tblGrid>
      <w:tr w14:paraId="41BB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dxa"/>
            <w:shd w:val="clear" w:color="auto" w:fill="auto"/>
            <w:vAlign w:val="center"/>
          </w:tcPr>
          <w:p w14:paraId="4443A3DF">
            <w:pPr>
              <w:snapToGrid w:val="0"/>
              <w:jc w:val="center"/>
              <w:rPr>
                <w:rFonts w:ascii="宋体" w:hAnsi="宋体" w:eastAsia="宋体"/>
                <w:b/>
                <w:bCs/>
                <w:szCs w:val="21"/>
              </w:rPr>
            </w:pPr>
            <w:bookmarkStart w:id="218" w:name="_Hlk84690122"/>
            <w:r>
              <w:rPr>
                <w:rFonts w:ascii="宋体" w:hAnsi="宋体" w:eastAsia="宋体"/>
                <w:b/>
                <w:bCs/>
                <w:szCs w:val="21"/>
              </w:rPr>
              <w:t>序号</w:t>
            </w:r>
          </w:p>
        </w:tc>
        <w:tc>
          <w:tcPr>
            <w:tcW w:w="2552" w:type="dxa"/>
            <w:shd w:val="clear" w:color="auto" w:fill="auto"/>
            <w:vAlign w:val="center"/>
          </w:tcPr>
          <w:p w14:paraId="4EC0EA96">
            <w:pPr>
              <w:snapToGrid w:val="0"/>
              <w:jc w:val="center"/>
              <w:rPr>
                <w:rFonts w:ascii="宋体" w:hAnsi="宋体" w:eastAsia="宋体"/>
                <w:b/>
                <w:bCs/>
                <w:szCs w:val="21"/>
              </w:rPr>
            </w:pPr>
            <w:r>
              <w:rPr>
                <w:rFonts w:ascii="宋体" w:hAnsi="宋体" w:eastAsia="宋体"/>
                <w:b/>
                <w:bCs/>
                <w:szCs w:val="21"/>
              </w:rPr>
              <w:t>教学内容</w:t>
            </w:r>
          </w:p>
        </w:tc>
        <w:tc>
          <w:tcPr>
            <w:tcW w:w="1984" w:type="dxa"/>
            <w:shd w:val="clear" w:color="auto" w:fill="auto"/>
            <w:vAlign w:val="center"/>
          </w:tcPr>
          <w:p w14:paraId="17A199C4">
            <w:pPr>
              <w:snapToGrid w:val="0"/>
              <w:jc w:val="center"/>
              <w:rPr>
                <w:rFonts w:ascii="宋体" w:hAnsi="宋体" w:eastAsia="宋体"/>
                <w:b/>
                <w:bCs/>
                <w:szCs w:val="21"/>
              </w:rPr>
            </w:pPr>
            <w:r>
              <w:rPr>
                <w:rFonts w:ascii="宋体" w:hAnsi="宋体" w:eastAsia="宋体"/>
                <w:b/>
                <w:bCs/>
                <w:szCs w:val="21"/>
              </w:rPr>
              <w:t>思政元素</w:t>
            </w:r>
          </w:p>
        </w:tc>
        <w:tc>
          <w:tcPr>
            <w:tcW w:w="1559" w:type="dxa"/>
            <w:shd w:val="clear" w:color="auto" w:fill="auto"/>
            <w:vAlign w:val="center"/>
          </w:tcPr>
          <w:p w14:paraId="019494CA">
            <w:pPr>
              <w:snapToGrid w:val="0"/>
              <w:jc w:val="center"/>
              <w:rPr>
                <w:rFonts w:ascii="宋体" w:hAnsi="宋体" w:eastAsia="宋体"/>
                <w:b/>
                <w:bCs/>
                <w:szCs w:val="21"/>
              </w:rPr>
            </w:pPr>
            <w:r>
              <w:rPr>
                <w:rFonts w:ascii="宋体" w:hAnsi="宋体" w:eastAsia="宋体"/>
                <w:b/>
                <w:bCs/>
                <w:szCs w:val="21"/>
              </w:rPr>
              <w:t>预期学习成果</w:t>
            </w:r>
          </w:p>
        </w:tc>
        <w:tc>
          <w:tcPr>
            <w:tcW w:w="709" w:type="dxa"/>
            <w:shd w:val="clear" w:color="auto" w:fill="auto"/>
            <w:vAlign w:val="center"/>
          </w:tcPr>
          <w:p w14:paraId="3EC3DB08">
            <w:pPr>
              <w:snapToGrid w:val="0"/>
              <w:jc w:val="center"/>
              <w:rPr>
                <w:rFonts w:ascii="宋体" w:hAnsi="宋体" w:eastAsia="宋体"/>
                <w:b/>
                <w:bCs/>
                <w:szCs w:val="21"/>
              </w:rPr>
            </w:pPr>
            <w:r>
              <w:rPr>
                <w:rFonts w:ascii="宋体" w:hAnsi="宋体" w:eastAsia="宋体"/>
                <w:b/>
                <w:bCs/>
                <w:szCs w:val="21"/>
              </w:rPr>
              <w:t>教学学时</w:t>
            </w:r>
          </w:p>
        </w:tc>
        <w:tc>
          <w:tcPr>
            <w:tcW w:w="709" w:type="dxa"/>
            <w:shd w:val="clear" w:color="auto" w:fill="auto"/>
            <w:vAlign w:val="center"/>
          </w:tcPr>
          <w:p w14:paraId="57FFD99B">
            <w:pPr>
              <w:snapToGrid w:val="0"/>
              <w:jc w:val="center"/>
              <w:rPr>
                <w:rFonts w:ascii="宋体" w:hAnsi="宋体" w:eastAsia="宋体"/>
                <w:b/>
                <w:bCs/>
                <w:szCs w:val="21"/>
              </w:rPr>
            </w:pPr>
            <w:r>
              <w:rPr>
                <w:rFonts w:ascii="宋体" w:hAnsi="宋体" w:eastAsia="宋体"/>
                <w:b/>
                <w:bCs/>
                <w:szCs w:val="21"/>
              </w:rPr>
              <w:t>教学方式</w:t>
            </w:r>
          </w:p>
        </w:tc>
        <w:tc>
          <w:tcPr>
            <w:tcW w:w="954" w:type="dxa"/>
            <w:shd w:val="clear" w:color="auto" w:fill="auto"/>
            <w:vAlign w:val="center"/>
          </w:tcPr>
          <w:p w14:paraId="37CEFC4F">
            <w:pPr>
              <w:snapToGrid w:val="0"/>
              <w:jc w:val="center"/>
              <w:rPr>
                <w:rFonts w:ascii="宋体" w:hAnsi="宋体" w:eastAsia="宋体"/>
                <w:b/>
                <w:bCs/>
                <w:szCs w:val="21"/>
              </w:rPr>
            </w:pPr>
            <w:r>
              <w:rPr>
                <w:rFonts w:ascii="宋体" w:hAnsi="宋体" w:eastAsia="宋体"/>
                <w:b/>
                <w:bCs/>
                <w:szCs w:val="21"/>
              </w:rPr>
              <w:t>支撑课程目标</w:t>
            </w:r>
          </w:p>
        </w:tc>
      </w:tr>
      <w:tr w14:paraId="1828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dxa"/>
            <w:shd w:val="clear" w:color="auto" w:fill="auto"/>
            <w:vAlign w:val="center"/>
          </w:tcPr>
          <w:p w14:paraId="2DBBF15B">
            <w:pPr>
              <w:snapToGrid w:val="0"/>
              <w:rPr>
                <w:rFonts w:ascii="宋体" w:hAnsi="宋体" w:eastAsia="宋体" w:cs="Times New Roman"/>
                <w:szCs w:val="21"/>
                <w:highlight w:val="yellow"/>
              </w:rPr>
            </w:pPr>
            <w:r>
              <w:rPr>
                <w:rFonts w:ascii="宋体" w:hAnsi="宋体" w:eastAsia="宋体" w:cs="Times New Roman"/>
                <w:szCs w:val="21"/>
              </w:rPr>
              <w:t>1</w:t>
            </w:r>
          </w:p>
        </w:tc>
        <w:tc>
          <w:tcPr>
            <w:tcW w:w="2552" w:type="dxa"/>
            <w:shd w:val="clear" w:color="auto" w:fill="auto"/>
            <w:vAlign w:val="center"/>
          </w:tcPr>
          <w:p w14:paraId="677B14A7">
            <w:pPr>
              <w:snapToGrid w:val="0"/>
              <w:rPr>
                <w:rFonts w:ascii="宋体" w:hAnsi="宋体" w:eastAsia="宋体"/>
                <w:b/>
                <w:szCs w:val="21"/>
                <w:highlight w:val="yellow"/>
              </w:rPr>
            </w:pPr>
            <w:r>
              <w:rPr>
                <w:rFonts w:ascii="宋体" w:hAnsi="宋体" w:eastAsia="宋体" w:cs="Times New Roman"/>
                <w:b/>
                <w:kern w:val="0"/>
                <w:szCs w:val="21"/>
              </w:rPr>
              <w:t>多项式</w:t>
            </w:r>
            <w:r>
              <w:rPr>
                <w:rFonts w:hint="eastAsia" w:ascii="宋体" w:hAnsi="宋体" w:eastAsia="宋体"/>
                <w:b/>
                <w:szCs w:val="21"/>
              </w:rPr>
              <w:t>：</w:t>
            </w:r>
          </w:p>
          <w:p w14:paraId="5B04225F">
            <w:pPr>
              <w:snapToGrid w:val="0"/>
              <w:rPr>
                <w:rFonts w:ascii="宋体" w:hAnsi="宋体" w:eastAsia="宋体" w:cs="Times New Roman"/>
                <w:szCs w:val="21"/>
              </w:rPr>
            </w:pPr>
            <w:r>
              <w:rPr>
                <w:rFonts w:hint="eastAsia" w:ascii="宋体" w:hAnsi="宋体" w:eastAsia="宋体" w:cs="Times New Roman"/>
                <w:szCs w:val="21"/>
              </w:rPr>
              <w:t>数的基本知识；</w:t>
            </w:r>
            <w:r>
              <w:rPr>
                <w:rFonts w:ascii="宋体" w:hAnsi="宋体" w:eastAsia="宋体" w:cs="Times New Roman"/>
                <w:szCs w:val="21"/>
              </w:rPr>
              <w:t>一元多项式的定义及有关概念</w:t>
            </w:r>
            <w:r>
              <w:rPr>
                <w:rFonts w:hint="eastAsia" w:ascii="宋体" w:hAnsi="宋体" w:eastAsia="宋体" w:cs="Times New Roman"/>
                <w:szCs w:val="21"/>
              </w:rPr>
              <w:t>；</w:t>
            </w:r>
            <w:r>
              <w:rPr>
                <w:rFonts w:ascii="宋体" w:hAnsi="宋体" w:eastAsia="宋体" w:cs="Times New Roman"/>
                <w:szCs w:val="21"/>
              </w:rPr>
              <w:t>多项式的带余除法、整除的定义及基本性质</w:t>
            </w:r>
            <w:r>
              <w:rPr>
                <w:rFonts w:hint="eastAsia" w:ascii="宋体" w:hAnsi="宋体" w:eastAsia="宋体" w:cs="Times New Roman"/>
                <w:szCs w:val="21"/>
              </w:rPr>
              <w:t>；</w:t>
            </w:r>
            <w:r>
              <w:rPr>
                <w:rFonts w:ascii="宋体" w:hAnsi="宋体" w:eastAsia="宋体" w:cs="Times New Roman"/>
                <w:szCs w:val="21"/>
              </w:rPr>
              <w:t>最大公因式</w:t>
            </w:r>
            <w:r>
              <w:rPr>
                <w:rFonts w:hint="eastAsia" w:ascii="宋体" w:hAnsi="宋体" w:eastAsia="宋体" w:cs="Times New Roman"/>
                <w:szCs w:val="21"/>
              </w:rPr>
              <w:t>及其</w:t>
            </w:r>
            <w:r>
              <w:rPr>
                <w:rFonts w:ascii="宋体" w:hAnsi="宋体" w:eastAsia="宋体" w:cs="Times New Roman"/>
                <w:szCs w:val="21"/>
              </w:rPr>
              <w:t>求法</w:t>
            </w:r>
            <w:r>
              <w:rPr>
                <w:rFonts w:hint="eastAsia" w:ascii="宋体" w:hAnsi="宋体" w:eastAsia="宋体" w:cs="Times New Roman"/>
                <w:szCs w:val="21"/>
              </w:rPr>
              <w:t>；</w:t>
            </w:r>
            <w:r>
              <w:rPr>
                <w:rFonts w:ascii="宋体" w:hAnsi="宋体" w:eastAsia="宋体" w:cs="Times New Roman"/>
                <w:szCs w:val="21"/>
              </w:rPr>
              <w:t>不可约多项式的定义及基本性质，多项式因式分解定理</w:t>
            </w:r>
            <w:r>
              <w:rPr>
                <w:rFonts w:hint="eastAsia" w:ascii="宋体" w:hAnsi="宋体" w:eastAsia="宋体" w:cs="Times New Roman"/>
                <w:szCs w:val="21"/>
              </w:rPr>
              <w:t>；</w:t>
            </w:r>
            <w:r>
              <w:rPr>
                <w:rFonts w:ascii="宋体" w:hAnsi="宋体" w:eastAsia="宋体" w:cs="Times New Roman"/>
                <w:szCs w:val="21"/>
              </w:rPr>
              <w:t>多项式</w:t>
            </w:r>
            <w:r>
              <w:rPr>
                <w:rFonts w:hint="eastAsia" w:ascii="宋体" w:hAnsi="宋体" w:eastAsia="宋体" w:cs="Times New Roman"/>
                <w:szCs w:val="21"/>
              </w:rPr>
              <w:t>的</w:t>
            </w:r>
            <w:r>
              <w:rPr>
                <w:rFonts w:ascii="宋体" w:hAnsi="宋体" w:eastAsia="宋体" w:cs="Times New Roman"/>
                <w:szCs w:val="21"/>
              </w:rPr>
              <w:t>重因式及多项式的互质</w:t>
            </w:r>
            <w:r>
              <w:rPr>
                <w:rFonts w:hint="eastAsia" w:ascii="宋体" w:hAnsi="宋体" w:eastAsia="宋体" w:cs="Times New Roman"/>
                <w:szCs w:val="21"/>
              </w:rPr>
              <w:t>；</w:t>
            </w:r>
            <w:r>
              <w:rPr>
                <w:rFonts w:ascii="宋体" w:hAnsi="宋体" w:eastAsia="宋体" w:cs="Times New Roman"/>
                <w:szCs w:val="21"/>
              </w:rPr>
              <w:t>多项式</w:t>
            </w:r>
            <w:r>
              <w:rPr>
                <w:rFonts w:hint="eastAsia" w:ascii="宋体" w:hAnsi="宋体" w:eastAsia="宋体" w:cs="Times New Roman"/>
                <w:szCs w:val="21"/>
              </w:rPr>
              <w:t>的</w:t>
            </w:r>
            <w:r>
              <w:rPr>
                <w:rFonts w:ascii="宋体" w:hAnsi="宋体" w:eastAsia="宋体" w:cs="Times New Roman"/>
                <w:szCs w:val="21"/>
              </w:rPr>
              <w:t>标准分解式</w:t>
            </w:r>
            <w:r>
              <w:rPr>
                <w:rFonts w:hint="eastAsia" w:ascii="宋体" w:hAnsi="宋体" w:eastAsia="宋体" w:cs="Times New Roman"/>
                <w:szCs w:val="21"/>
              </w:rPr>
              <w:t>；特殊域上的</w:t>
            </w:r>
            <w:r>
              <w:rPr>
                <w:rFonts w:ascii="宋体" w:hAnsi="宋体" w:eastAsia="宋体" w:cs="Times New Roman"/>
                <w:szCs w:val="21"/>
              </w:rPr>
              <w:t>多项式</w:t>
            </w:r>
            <w:r>
              <w:rPr>
                <w:rFonts w:hint="eastAsia" w:ascii="宋体" w:hAnsi="宋体" w:eastAsia="宋体" w:cs="Times New Roman"/>
                <w:szCs w:val="21"/>
              </w:rPr>
              <w:t>。</w:t>
            </w:r>
          </w:p>
          <w:p w14:paraId="25078A66">
            <w:pPr>
              <w:snapToGrid w:val="0"/>
              <w:rPr>
                <w:rFonts w:ascii="宋体" w:hAnsi="宋体" w:eastAsia="宋体"/>
                <w:b/>
                <w:szCs w:val="21"/>
              </w:rPr>
            </w:pPr>
            <w:r>
              <w:rPr>
                <w:rFonts w:ascii="宋体" w:hAnsi="宋体" w:eastAsia="宋体"/>
                <w:b/>
                <w:szCs w:val="21"/>
              </w:rPr>
              <w:t>重点难点：</w:t>
            </w:r>
          </w:p>
          <w:p w14:paraId="60673CD1">
            <w:pPr>
              <w:snapToGrid w:val="0"/>
              <w:rPr>
                <w:rFonts w:ascii="宋体" w:hAnsi="宋体" w:eastAsia="宋体"/>
                <w:szCs w:val="21"/>
              </w:rPr>
            </w:pPr>
            <w:r>
              <w:rPr>
                <w:rFonts w:ascii="宋体" w:hAnsi="宋体" w:eastAsia="宋体" w:cs="Times New Roman"/>
                <w:szCs w:val="21"/>
              </w:rPr>
              <w:t>多项式的整除，最大公因式，因式分解定理</w:t>
            </w:r>
            <w:r>
              <w:rPr>
                <w:rFonts w:hint="eastAsia" w:ascii="宋体" w:hAnsi="宋体" w:eastAsia="宋体" w:cs="Times New Roman"/>
                <w:szCs w:val="21"/>
              </w:rPr>
              <w:t>。</w:t>
            </w:r>
          </w:p>
        </w:tc>
        <w:tc>
          <w:tcPr>
            <w:tcW w:w="1984" w:type="dxa"/>
            <w:shd w:val="clear" w:color="auto" w:fill="auto"/>
          </w:tcPr>
          <w:p w14:paraId="0524B0EE">
            <w:pPr>
              <w:snapToGrid w:val="0"/>
              <w:rPr>
                <w:rFonts w:ascii="宋体" w:hAnsi="宋体" w:eastAsia="宋体"/>
                <w:kern w:val="0"/>
                <w:szCs w:val="21"/>
                <w:highlight w:val="cyan"/>
                <w:shd w:val="pct10" w:color="auto" w:fill="FFFFFF"/>
              </w:rPr>
            </w:pPr>
            <w:r>
              <w:rPr>
                <w:rFonts w:ascii="宋体" w:hAnsi="宋体" w:eastAsia="宋体" w:cs="Times New Roman"/>
                <w:szCs w:val="21"/>
              </w:rPr>
              <w:t>(1)</w:t>
            </w:r>
            <w:r>
              <w:rPr>
                <w:rFonts w:hint="eastAsia" w:ascii="宋体" w:hAnsi="宋体" w:eastAsia="宋体"/>
                <w:szCs w:val="21"/>
              </w:rPr>
              <w:t>培养学生科学的历史观，增强学生的自信心和民族自豪感，提升爱国主义情怀。(秦九韶程序算法计算</w:t>
            </w:r>
            <w:r>
              <w:rPr>
                <w:rFonts w:ascii="宋体" w:hAnsi="宋体" w:eastAsia="宋体" w:cs="Times New Roman"/>
                <w:i/>
                <w:szCs w:val="21"/>
              </w:rPr>
              <w:t>x</w:t>
            </w:r>
            <w:r>
              <w:rPr>
                <w:rFonts w:ascii="宋体" w:hAnsi="宋体" w:eastAsia="宋体" w:cs="Times New Roman"/>
                <w:szCs w:val="21"/>
              </w:rPr>
              <w:t></w:t>
            </w:r>
            <w:r>
              <w:rPr>
                <w:rFonts w:ascii="宋体" w:hAnsi="宋体" w:eastAsia="宋体" w:cs="Times New Roman"/>
                <w:i/>
                <w:szCs w:val="21"/>
              </w:rPr>
              <w:t>b</w:t>
            </w:r>
            <w:r>
              <w:rPr>
                <w:rFonts w:hint="eastAsia" w:ascii="宋体" w:hAnsi="宋体" w:eastAsia="宋体"/>
                <w:szCs w:val="21"/>
              </w:rPr>
              <w:t>除</w:t>
            </w:r>
            <w:r>
              <w:rPr>
                <w:rFonts w:ascii="宋体" w:hAnsi="宋体" w:eastAsia="宋体" w:cs="Times New Roman"/>
                <w:i/>
                <w:szCs w:val="21"/>
              </w:rPr>
              <w:t>f</w:t>
            </w:r>
            <w:r>
              <w:rPr>
                <w:rFonts w:ascii="宋体" w:hAnsi="宋体" w:eastAsia="宋体" w:cs="Times New Roman"/>
                <w:szCs w:val="21"/>
              </w:rPr>
              <w:t>(</w:t>
            </w:r>
            <w:r>
              <w:rPr>
                <w:rFonts w:ascii="宋体" w:hAnsi="宋体" w:eastAsia="宋体" w:cs="Times New Roman"/>
                <w:i/>
                <w:szCs w:val="21"/>
              </w:rPr>
              <w:t>x</w:t>
            </w:r>
            <w:r>
              <w:rPr>
                <w:rFonts w:ascii="宋体" w:hAnsi="宋体" w:eastAsia="宋体" w:cs="Times New Roman"/>
                <w:szCs w:val="21"/>
              </w:rPr>
              <w:t>)</w:t>
            </w:r>
            <w:r>
              <w:rPr>
                <w:rFonts w:hint="eastAsia" w:ascii="宋体" w:hAnsi="宋体" w:eastAsia="宋体"/>
                <w:szCs w:val="21"/>
              </w:rPr>
              <w:t>所得余式与商式)；</w:t>
            </w:r>
            <w:r>
              <w:rPr>
                <w:rFonts w:ascii="宋体" w:hAnsi="宋体" w:eastAsia="宋体" w:cs="Times New Roman"/>
                <w:szCs w:val="21"/>
              </w:rPr>
              <w:t>(2)</w:t>
            </w:r>
            <w:r>
              <w:rPr>
                <w:rFonts w:hint="eastAsia" w:ascii="宋体" w:hAnsi="宋体" w:eastAsia="宋体"/>
                <w:color w:val="101111"/>
                <w:spacing w:val="7"/>
                <w:szCs w:val="21"/>
              </w:rPr>
              <w:t xml:space="preserve"> </w:t>
            </w:r>
            <w:r>
              <w:rPr>
                <w:rFonts w:hint="eastAsia" w:ascii="宋体" w:hAnsi="宋体" w:eastAsia="宋体"/>
                <w:szCs w:val="21"/>
              </w:rPr>
              <w:t>通过数学家的故事，培养学生积极进取、百折不挠的艰苦奋斗精神(高斯与代数基本定理</w:t>
            </w:r>
            <w:r>
              <w:rPr>
                <w:rFonts w:ascii="宋体" w:hAnsi="宋体" w:eastAsia="宋体"/>
                <w:szCs w:val="21"/>
              </w:rPr>
              <w:t>)</w:t>
            </w:r>
            <w:r>
              <w:rPr>
                <w:rFonts w:hint="eastAsia" w:ascii="宋体" w:hAnsi="宋体" w:eastAsia="宋体"/>
                <w:szCs w:val="21"/>
              </w:rPr>
              <w:t>。</w:t>
            </w:r>
          </w:p>
        </w:tc>
        <w:tc>
          <w:tcPr>
            <w:tcW w:w="1559" w:type="dxa"/>
            <w:shd w:val="clear" w:color="auto" w:fill="auto"/>
          </w:tcPr>
          <w:p w14:paraId="0AC8C03F">
            <w:pPr>
              <w:snapToGrid w:val="0"/>
              <w:rPr>
                <w:rFonts w:ascii="宋体" w:hAnsi="宋体" w:eastAsia="宋体" w:cs="Times New Roman"/>
                <w:szCs w:val="21"/>
              </w:rPr>
            </w:pPr>
            <w:r>
              <w:rPr>
                <w:rFonts w:ascii="宋体" w:hAnsi="宋体" w:eastAsia="宋体" w:cs="Times New Roman"/>
                <w:szCs w:val="21"/>
              </w:rPr>
              <w:t>（1）理解一元多项式的概念</w:t>
            </w:r>
            <w:r>
              <w:rPr>
                <w:rFonts w:hint="eastAsia" w:ascii="宋体" w:hAnsi="宋体" w:eastAsia="宋体" w:cs="Times New Roman"/>
                <w:szCs w:val="21"/>
              </w:rPr>
              <w:t>；</w:t>
            </w:r>
          </w:p>
          <w:p w14:paraId="2E4673B3">
            <w:pPr>
              <w:snapToGrid w:val="0"/>
              <w:rPr>
                <w:rFonts w:ascii="宋体" w:hAnsi="宋体" w:eastAsia="宋体" w:cs="Times New Roman"/>
                <w:szCs w:val="21"/>
              </w:rPr>
            </w:pPr>
            <w:r>
              <w:rPr>
                <w:rFonts w:ascii="宋体" w:hAnsi="宋体" w:eastAsia="宋体" w:cs="Times New Roman"/>
                <w:szCs w:val="21"/>
              </w:rPr>
              <w:t>（2）掌握多项式的各种运算</w:t>
            </w:r>
            <w:r>
              <w:rPr>
                <w:rFonts w:hint="eastAsia" w:ascii="宋体" w:hAnsi="宋体" w:eastAsia="宋体" w:cs="Times New Roman"/>
                <w:szCs w:val="21"/>
              </w:rPr>
              <w:t>；</w:t>
            </w:r>
          </w:p>
          <w:p w14:paraId="16E405F8">
            <w:pPr>
              <w:snapToGrid w:val="0"/>
              <w:rPr>
                <w:rFonts w:ascii="宋体" w:hAnsi="宋体" w:eastAsia="宋体"/>
                <w:szCs w:val="21"/>
              </w:rPr>
            </w:pPr>
            <w:r>
              <w:rPr>
                <w:rFonts w:ascii="宋体" w:hAnsi="宋体" w:eastAsia="宋体" w:cs="Times New Roman"/>
                <w:szCs w:val="21"/>
              </w:rPr>
              <w:t>（3）会将多项式</w:t>
            </w:r>
            <w:r>
              <w:rPr>
                <w:rFonts w:hint="eastAsia" w:ascii="宋体" w:hAnsi="宋体" w:eastAsia="宋体" w:cs="Times New Roman"/>
                <w:szCs w:val="21"/>
              </w:rPr>
              <w:t>在指定域上</w:t>
            </w:r>
            <w:r>
              <w:rPr>
                <w:rFonts w:ascii="宋体" w:hAnsi="宋体" w:eastAsia="宋体" w:cs="Times New Roman"/>
                <w:szCs w:val="21"/>
              </w:rPr>
              <w:t>进行因式分解</w:t>
            </w:r>
            <w:r>
              <w:rPr>
                <w:rFonts w:hint="eastAsia" w:ascii="宋体" w:hAnsi="宋体" w:eastAsia="宋体" w:cs="Times New Roman"/>
                <w:szCs w:val="21"/>
              </w:rPr>
              <w:t>。</w:t>
            </w:r>
          </w:p>
        </w:tc>
        <w:tc>
          <w:tcPr>
            <w:tcW w:w="709" w:type="dxa"/>
            <w:shd w:val="clear" w:color="auto" w:fill="auto"/>
            <w:vAlign w:val="center"/>
          </w:tcPr>
          <w:p w14:paraId="6482ED80">
            <w:pPr>
              <w:snapToGrid w:val="0"/>
              <w:jc w:val="center"/>
              <w:rPr>
                <w:rFonts w:ascii="宋体" w:hAnsi="宋体" w:eastAsia="宋体" w:cs="Times New Roman"/>
                <w:szCs w:val="21"/>
                <w:highlight w:val="yellow"/>
              </w:rPr>
            </w:pPr>
            <w:r>
              <w:rPr>
                <w:rFonts w:ascii="宋体" w:hAnsi="宋体" w:eastAsia="宋体" w:cs="Times New Roman"/>
                <w:szCs w:val="21"/>
              </w:rPr>
              <w:t>14</w:t>
            </w:r>
          </w:p>
        </w:tc>
        <w:tc>
          <w:tcPr>
            <w:tcW w:w="709" w:type="dxa"/>
            <w:shd w:val="clear" w:color="auto" w:fill="auto"/>
            <w:vAlign w:val="center"/>
          </w:tcPr>
          <w:p w14:paraId="40193B9C">
            <w:pPr>
              <w:snapToGrid w:val="0"/>
              <w:jc w:val="center"/>
              <w:rPr>
                <w:rFonts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3455708A">
            <w:pPr>
              <w:snapToGrid w:val="0"/>
              <w:jc w:val="center"/>
              <w:rPr>
                <w:rFonts w:ascii="宋体" w:hAnsi="宋体" w:eastAsia="宋体" w:cs="Times New Roman"/>
                <w:szCs w:val="21"/>
              </w:rPr>
            </w:pPr>
            <w:r>
              <w:rPr>
                <w:rFonts w:ascii="宋体" w:hAnsi="宋体" w:eastAsia="宋体" w:cs="Times New Roman"/>
                <w:szCs w:val="21"/>
              </w:rPr>
              <w:t>目标1</w:t>
            </w:r>
          </w:p>
          <w:p w14:paraId="1C500E1B">
            <w:pPr>
              <w:snapToGrid w:val="0"/>
              <w:jc w:val="center"/>
              <w:rPr>
                <w:rFonts w:ascii="宋体" w:hAnsi="宋体" w:eastAsia="宋体"/>
                <w:szCs w:val="21"/>
              </w:rPr>
            </w:pPr>
            <w:r>
              <w:rPr>
                <w:rFonts w:ascii="宋体" w:hAnsi="宋体" w:eastAsia="宋体" w:cs="Times New Roman"/>
                <w:szCs w:val="21"/>
              </w:rPr>
              <w:t>目标2</w:t>
            </w:r>
          </w:p>
        </w:tc>
      </w:tr>
      <w:tr w14:paraId="464C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dxa"/>
            <w:shd w:val="clear" w:color="auto" w:fill="auto"/>
            <w:vAlign w:val="center"/>
          </w:tcPr>
          <w:p w14:paraId="2F8AE072">
            <w:pPr>
              <w:snapToGrid w:val="0"/>
              <w:rPr>
                <w:rFonts w:ascii="宋体" w:hAnsi="宋体" w:eastAsia="宋体" w:cs="Times New Roman"/>
                <w:szCs w:val="21"/>
              </w:rPr>
            </w:pPr>
            <w:r>
              <w:rPr>
                <w:rFonts w:hint="eastAsia" w:ascii="宋体" w:hAnsi="宋体" w:eastAsia="宋体" w:cs="Times New Roman"/>
                <w:szCs w:val="21"/>
              </w:rPr>
              <w:t>2</w:t>
            </w:r>
          </w:p>
        </w:tc>
        <w:tc>
          <w:tcPr>
            <w:tcW w:w="2552" w:type="dxa"/>
            <w:shd w:val="clear" w:color="auto" w:fill="auto"/>
            <w:vAlign w:val="center"/>
          </w:tcPr>
          <w:p w14:paraId="452A99ED">
            <w:pPr>
              <w:snapToGrid w:val="0"/>
              <w:rPr>
                <w:rFonts w:ascii="宋体" w:hAnsi="宋体" w:eastAsia="宋体" w:cs="Times New Roman"/>
                <w:b/>
                <w:szCs w:val="21"/>
              </w:rPr>
            </w:pPr>
            <w:r>
              <w:rPr>
                <w:rFonts w:ascii="宋体" w:hAnsi="宋体" w:eastAsia="宋体" w:cs="Times New Roman"/>
                <w:b/>
                <w:szCs w:val="21"/>
              </w:rPr>
              <w:t>行列式</w:t>
            </w:r>
            <w:r>
              <w:rPr>
                <w:rFonts w:hint="eastAsia" w:ascii="宋体" w:hAnsi="宋体" w:eastAsia="宋体" w:cs="Times New Roman"/>
                <w:b/>
                <w:szCs w:val="21"/>
              </w:rPr>
              <w:t>：</w:t>
            </w:r>
          </w:p>
          <w:p w14:paraId="644CD98E">
            <w:pPr>
              <w:snapToGrid w:val="0"/>
              <w:rPr>
                <w:rFonts w:ascii="宋体" w:hAnsi="宋体" w:eastAsia="宋体" w:cs="Times New Roman"/>
                <w:szCs w:val="21"/>
              </w:rPr>
            </w:pPr>
            <w:r>
              <w:rPr>
                <w:rFonts w:ascii="宋体" w:hAnsi="宋体" w:eastAsia="宋体" w:cs="Times New Roman"/>
                <w:szCs w:val="21"/>
              </w:rPr>
              <w:t>排列的定义及有关结论</w:t>
            </w:r>
            <w:r>
              <w:rPr>
                <w:rFonts w:hint="eastAsia" w:ascii="宋体" w:hAnsi="宋体" w:eastAsia="宋体" w:cs="Times New Roman"/>
                <w:szCs w:val="21"/>
              </w:rPr>
              <w:t>；</w:t>
            </w:r>
            <w:r>
              <w:rPr>
                <w:rFonts w:ascii="宋体" w:hAnsi="宋体" w:eastAsia="宋体" w:cs="Times New Roman"/>
                <w:szCs w:val="21"/>
              </w:rPr>
              <w:t>用对角线法则计算2、3阶行列式</w:t>
            </w:r>
            <w:r>
              <w:rPr>
                <w:rFonts w:hint="eastAsia" w:ascii="宋体" w:hAnsi="宋体" w:eastAsia="宋体" w:cs="Times New Roman"/>
                <w:szCs w:val="21"/>
              </w:rPr>
              <w:t>；</w:t>
            </w:r>
            <w:r>
              <w:rPr>
                <w:rFonts w:ascii="宋体" w:hAnsi="宋体" w:eastAsia="宋体" w:cs="Times New Roman"/>
                <w:szCs w:val="21"/>
              </w:rPr>
              <w:t>行列式的定义与性质</w:t>
            </w:r>
            <w:r>
              <w:rPr>
                <w:rFonts w:hint="eastAsia" w:ascii="宋体" w:hAnsi="宋体" w:eastAsia="宋体" w:cs="Times New Roman"/>
                <w:szCs w:val="21"/>
              </w:rPr>
              <w:t>；行列式的按行(列</w:t>
            </w:r>
            <w:r>
              <w:rPr>
                <w:rFonts w:ascii="宋体" w:hAnsi="宋体" w:eastAsia="宋体" w:cs="Times New Roman"/>
                <w:szCs w:val="21"/>
              </w:rPr>
              <w:t>)</w:t>
            </w:r>
            <w:r>
              <w:rPr>
                <w:rFonts w:hint="eastAsia" w:ascii="宋体" w:hAnsi="宋体" w:eastAsia="宋体" w:cs="Times New Roman"/>
                <w:szCs w:val="21"/>
              </w:rPr>
              <w:t>展开；</w:t>
            </w:r>
            <w:r>
              <w:rPr>
                <w:rFonts w:ascii="宋体" w:hAnsi="宋体" w:eastAsia="宋体" w:cs="Times New Roman"/>
                <w:szCs w:val="21"/>
              </w:rPr>
              <w:t>利用行列式的有关性质计算行列式</w:t>
            </w:r>
            <w:r>
              <w:rPr>
                <w:rFonts w:hint="eastAsia" w:ascii="宋体" w:hAnsi="宋体" w:eastAsia="宋体" w:cs="Times New Roman"/>
                <w:szCs w:val="21"/>
              </w:rPr>
              <w:t>；</w:t>
            </w:r>
            <w:r>
              <w:rPr>
                <w:rFonts w:ascii="宋体" w:hAnsi="宋体" w:eastAsia="宋体" w:cs="Times New Roman"/>
                <w:szCs w:val="21"/>
              </w:rPr>
              <w:t>利用克拉默法则解线性方程组</w:t>
            </w:r>
            <w:r>
              <w:rPr>
                <w:rFonts w:hint="eastAsia" w:ascii="宋体" w:hAnsi="宋体" w:eastAsia="宋体" w:cs="Times New Roman"/>
                <w:szCs w:val="21"/>
              </w:rPr>
              <w:t>。</w:t>
            </w:r>
          </w:p>
          <w:p w14:paraId="1C5D76E1">
            <w:pPr>
              <w:snapToGrid w:val="0"/>
              <w:rPr>
                <w:rFonts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7B3791B6">
            <w:pPr>
              <w:snapToGrid w:val="0"/>
              <w:rPr>
                <w:rFonts w:ascii="宋体" w:hAnsi="宋体" w:eastAsia="宋体" w:cs="Times New Roman"/>
                <w:b/>
                <w:kern w:val="0"/>
                <w:szCs w:val="21"/>
              </w:rPr>
            </w:pPr>
            <w:r>
              <w:rPr>
                <w:rFonts w:ascii="宋体" w:hAnsi="宋体" w:eastAsia="宋体" w:cs="Times New Roman"/>
                <w:szCs w:val="21"/>
              </w:rPr>
              <w:t>行列式的定义与计算，利用克拉默法则解线性方程组</w:t>
            </w:r>
            <w:r>
              <w:rPr>
                <w:rFonts w:hint="eastAsia" w:ascii="宋体" w:hAnsi="宋体" w:eastAsia="宋体" w:cs="Times New Roman"/>
                <w:szCs w:val="21"/>
              </w:rPr>
              <w:t>。</w:t>
            </w:r>
          </w:p>
        </w:tc>
        <w:tc>
          <w:tcPr>
            <w:tcW w:w="1984" w:type="dxa"/>
            <w:shd w:val="clear" w:color="auto" w:fill="auto"/>
          </w:tcPr>
          <w:p w14:paraId="127FF95F">
            <w:pPr>
              <w:snapToGrid w:val="0"/>
              <w:rPr>
                <w:rFonts w:ascii="宋体" w:hAnsi="宋体" w:eastAsia="宋体"/>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kern w:val="0"/>
                <w:szCs w:val="21"/>
              </w:rPr>
              <w:t xml:space="preserve"> 培养学生的审美意识，感受数学美是自然美的客观反映，是科学美的核心(</w:t>
            </w:r>
            <w:r>
              <w:rPr>
                <w:rFonts w:ascii="宋体" w:hAnsi="宋体" w:eastAsia="宋体" w:cs="Times New Roman"/>
                <w:i/>
                <w:kern w:val="0"/>
                <w:szCs w:val="21"/>
              </w:rPr>
              <w:t>n</w:t>
            </w:r>
            <w:r>
              <w:rPr>
                <w:rFonts w:hint="eastAsia" w:ascii="宋体" w:hAnsi="宋体" w:eastAsia="宋体"/>
                <w:kern w:val="0"/>
                <w:szCs w:val="21"/>
              </w:rPr>
              <w:t>阶行列式定义中的对称美、高阶行列式计算采用的三角形法、降阶法体现了简洁美等</w:t>
            </w:r>
            <w:r>
              <w:rPr>
                <w:rFonts w:ascii="宋体" w:hAnsi="宋体" w:eastAsia="宋体"/>
                <w:kern w:val="0"/>
                <w:szCs w:val="21"/>
              </w:rPr>
              <w:t>)</w:t>
            </w:r>
            <w:r>
              <w:rPr>
                <w:rFonts w:hint="eastAsia" w:ascii="宋体" w:hAnsi="宋体" w:eastAsia="宋体"/>
                <w:kern w:val="0"/>
                <w:szCs w:val="21"/>
              </w:rPr>
              <w:t>；</w:t>
            </w:r>
            <w:r>
              <w:rPr>
                <w:rFonts w:ascii="宋体" w:hAnsi="宋体" w:eastAsia="宋体" w:cs="Times New Roman"/>
                <w:kern w:val="0"/>
                <w:szCs w:val="21"/>
              </w:rPr>
              <w:t>(2)</w:t>
            </w:r>
            <w:r>
              <w:rPr>
                <w:rFonts w:hint="eastAsia" w:ascii="宋体" w:hAnsi="宋体" w:eastAsia="宋体"/>
                <w:szCs w:val="21"/>
              </w:rPr>
              <w:t>强调理论对实践的指导经验(克拉默法则)。</w:t>
            </w:r>
          </w:p>
        </w:tc>
        <w:tc>
          <w:tcPr>
            <w:tcW w:w="1559" w:type="dxa"/>
            <w:shd w:val="clear" w:color="auto" w:fill="auto"/>
          </w:tcPr>
          <w:p w14:paraId="175B14A6">
            <w:pPr>
              <w:snapToGrid w:val="0"/>
              <w:rPr>
                <w:rFonts w:ascii="宋体" w:hAnsi="宋体" w:eastAsia="宋体" w:cs="Times New Roman"/>
                <w:szCs w:val="21"/>
              </w:rPr>
            </w:pPr>
            <w:r>
              <w:rPr>
                <w:rFonts w:ascii="宋体" w:hAnsi="宋体" w:eastAsia="宋体" w:cs="Times New Roman"/>
                <w:szCs w:val="21"/>
              </w:rPr>
              <w:t>（1）理解行列式的概念</w:t>
            </w:r>
            <w:r>
              <w:rPr>
                <w:rFonts w:hint="eastAsia" w:ascii="宋体" w:hAnsi="宋体" w:eastAsia="宋体" w:cs="Times New Roman"/>
                <w:szCs w:val="21"/>
              </w:rPr>
              <w:t>；</w:t>
            </w:r>
            <w:r>
              <w:rPr>
                <w:rFonts w:ascii="宋体" w:hAnsi="宋体" w:eastAsia="宋体" w:cs="Times New Roman"/>
                <w:szCs w:val="21"/>
              </w:rPr>
              <w:t>（2）掌握行列式的性质和计算方法</w:t>
            </w:r>
            <w:r>
              <w:rPr>
                <w:rFonts w:hint="eastAsia" w:ascii="宋体" w:hAnsi="宋体" w:eastAsia="宋体" w:cs="Times New Roman"/>
                <w:szCs w:val="21"/>
              </w:rPr>
              <w:t>；</w:t>
            </w:r>
            <w:r>
              <w:rPr>
                <w:rFonts w:ascii="宋体" w:hAnsi="宋体" w:eastAsia="宋体" w:cs="Times New Roman"/>
                <w:szCs w:val="21"/>
              </w:rPr>
              <w:t>（3）能应用克拉默法则解线性方程组</w:t>
            </w:r>
            <w:r>
              <w:rPr>
                <w:rFonts w:hint="eastAsia" w:ascii="宋体" w:hAnsi="宋体" w:eastAsia="宋体" w:cs="Times New Roman"/>
                <w:szCs w:val="21"/>
              </w:rPr>
              <w:t>。</w:t>
            </w:r>
          </w:p>
        </w:tc>
        <w:tc>
          <w:tcPr>
            <w:tcW w:w="709" w:type="dxa"/>
            <w:shd w:val="clear" w:color="auto" w:fill="auto"/>
            <w:vAlign w:val="center"/>
          </w:tcPr>
          <w:p w14:paraId="34A596C5">
            <w:pPr>
              <w:snapToGrid w:val="0"/>
              <w:jc w:val="center"/>
              <w:rPr>
                <w:rFonts w:ascii="宋体" w:hAnsi="宋体" w:eastAsia="宋体" w:cs="Times New Roman"/>
                <w:szCs w:val="21"/>
                <w:highlight w:val="yellow"/>
              </w:rPr>
            </w:pPr>
            <w:r>
              <w:rPr>
                <w:rFonts w:ascii="宋体" w:hAnsi="宋体" w:eastAsia="宋体" w:cs="Times New Roman"/>
                <w:szCs w:val="21"/>
              </w:rPr>
              <w:t>10</w:t>
            </w:r>
          </w:p>
        </w:tc>
        <w:tc>
          <w:tcPr>
            <w:tcW w:w="709" w:type="dxa"/>
            <w:shd w:val="clear" w:color="auto" w:fill="auto"/>
            <w:vAlign w:val="center"/>
          </w:tcPr>
          <w:p w14:paraId="32207CFB">
            <w:pPr>
              <w:snapToGrid w:val="0"/>
              <w:jc w:val="center"/>
              <w:rPr>
                <w:rFonts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0DA53A86">
            <w:pPr>
              <w:snapToGrid w:val="0"/>
              <w:jc w:val="center"/>
              <w:rPr>
                <w:rFonts w:ascii="宋体" w:hAnsi="宋体" w:eastAsia="宋体" w:cs="Times New Roman"/>
                <w:szCs w:val="21"/>
              </w:rPr>
            </w:pPr>
            <w:r>
              <w:rPr>
                <w:rFonts w:ascii="宋体" w:hAnsi="宋体" w:eastAsia="宋体" w:cs="Times New Roman"/>
                <w:szCs w:val="21"/>
              </w:rPr>
              <w:t>目标1</w:t>
            </w:r>
          </w:p>
          <w:p w14:paraId="60B6F409">
            <w:pPr>
              <w:snapToGrid w:val="0"/>
              <w:jc w:val="center"/>
              <w:rPr>
                <w:rFonts w:ascii="宋体" w:hAnsi="宋体" w:eastAsia="宋体"/>
                <w:szCs w:val="21"/>
              </w:rPr>
            </w:pPr>
            <w:r>
              <w:rPr>
                <w:rFonts w:ascii="宋体" w:hAnsi="宋体" w:eastAsia="宋体" w:cs="Times New Roman"/>
                <w:szCs w:val="21"/>
              </w:rPr>
              <w:t>目标2</w:t>
            </w:r>
          </w:p>
        </w:tc>
      </w:tr>
      <w:tr w14:paraId="068C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455" w:type="dxa"/>
            <w:shd w:val="clear" w:color="auto" w:fill="auto"/>
            <w:vAlign w:val="center"/>
          </w:tcPr>
          <w:p w14:paraId="468C55BD">
            <w:pPr>
              <w:snapToGrid w:val="0"/>
              <w:rPr>
                <w:rFonts w:ascii="宋体" w:hAnsi="宋体" w:eastAsia="宋体" w:cs="Times New Roman"/>
                <w:szCs w:val="21"/>
              </w:rPr>
            </w:pPr>
            <w:bookmarkStart w:id="219" w:name="_Hlk84669211"/>
            <w:r>
              <w:rPr>
                <w:rFonts w:hint="eastAsia" w:ascii="宋体" w:hAnsi="宋体" w:eastAsia="宋体" w:cs="Times New Roman"/>
                <w:szCs w:val="21"/>
              </w:rPr>
              <w:t>3</w:t>
            </w:r>
          </w:p>
        </w:tc>
        <w:tc>
          <w:tcPr>
            <w:tcW w:w="2552" w:type="dxa"/>
            <w:shd w:val="clear" w:color="auto" w:fill="auto"/>
            <w:vAlign w:val="center"/>
          </w:tcPr>
          <w:p w14:paraId="4EFCFC69">
            <w:pPr>
              <w:snapToGrid w:val="0"/>
              <w:rPr>
                <w:rFonts w:ascii="宋体" w:hAnsi="宋体" w:eastAsia="宋体" w:cs="Times New Roman"/>
                <w:b/>
                <w:szCs w:val="21"/>
              </w:rPr>
            </w:pPr>
            <w:r>
              <w:rPr>
                <w:rFonts w:ascii="宋体" w:hAnsi="宋体" w:eastAsia="宋体" w:cs="Times New Roman"/>
                <w:b/>
                <w:szCs w:val="21"/>
              </w:rPr>
              <w:t>矩阵</w:t>
            </w:r>
            <w:r>
              <w:rPr>
                <w:rFonts w:hint="eastAsia" w:ascii="宋体" w:hAnsi="宋体" w:eastAsia="宋体" w:cs="Times New Roman"/>
                <w:b/>
                <w:szCs w:val="21"/>
              </w:rPr>
              <w:t>：</w:t>
            </w:r>
          </w:p>
          <w:p w14:paraId="40386636">
            <w:pPr>
              <w:snapToGrid w:val="0"/>
              <w:rPr>
                <w:rFonts w:ascii="宋体" w:hAnsi="宋体" w:eastAsia="宋体" w:cs="Times New Roman"/>
                <w:szCs w:val="21"/>
              </w:rPr>
            </w:pPr>
            <w:r>
              <w:rPr>
                <w:rFonts w:ascii="宋体" w:hAnsi="宋体" w:eastAsia="宋体" w:cs="Times New Roman"/>
                <w:szCs w:val="21"/>
              </w:rPr>
              <w:t>矩阵的概念</w:t>
            </w:r>
            <w:r>
              <w:rPr>
                <w:rFonts w:hint="eastAsia" w:ascii="宋体" w:hAnsi="宋体" w:eastAsia="宋体" w:cs="Times New Roman"/>
                <w:szCs w:val="21"/>
              </w:rPr>
              <w:t>；</w:t>
            </w:r>
            <w:r>
              <w:rPr>
                <w:rFonts w:ascii="宋体" w:hAnsi="宋体" w:eastAsia="宋体" w:cs="Times New Roman"/>
                <w:szCs w:val="21"/>
              </w:rPr>
              <w:t>矩阵的各种运算</w:t>
            </w:r>
            <w:r>
              <w:rPr>
                <w:rFonts w:hint="eastAsia" w:ascii="宋体" w:hAnsi="宋体" w:eastAsia="宋体" w:cs="Times New Roman"/>
                <w:szCs w:val="21"/>
              </w:rPr>
              <w:t>；</w:t>
            </w:r>
            <w:r>
              <w:rPr>
                <w:rFonts w:ascii="宋体" w:hAnsi="宋体" w:eastAsia="宋体" w:cs="Times New Roman"/>
                <w:szCs w:val="21"/>
              </w:rPr>
              <w:t>可逆矩阵的定义</w:t>
            </w:r>
            <w:r>
              <w:rPr>
                <w:rFonts w:hint="eastAsia" w:ascii="宋体" w:hAnsi="宋体" w:eastAsia="宋体" w:cs="Times New Roman"/>
                <w:szCs w:val="21"/>
              </w:rPr>
              <w:t>；</w:t>
            </w:r>
            <w:r>
              <w:rPr>
                <w:rFonts w:ascii="宋体" w:hAnsi="宋体" w:eastAsia="宋体" w:cs="Times New Roman"/>
                <w:szCs w:val="21"/>
              </w:rPr>
              <w:t>初等变换与初等矩阵</w:t>
            </w:r>
            <w:r>
              <w:rPr>
                <w:rFonts w:hint="eastAsia" w:ascii="宋体" w:hAnsi="宋体" w:eastAsia="宋体" w:cs="Times New Roman"/>
                <w:szCs w:val="21"/>
              </w:rPr>
              <w:t>；</w:t>
            </w:r>
            <w:r>
              <w:rPr>
                <w:rFonts w:ascii="宋体" w:hAnsi="宋体" w:eastAsia="宋体" w:cs="Times New Roman"/>
                <w:szCs w:val="21"/>
              </w:rPr>
              <w:t>可逆矩阵的逆矩阵</w:t>
            </w:r>
            <w:r>
              <w:rPr>
                <w:rFonts w:hint="eastAsia" w:ascii="宋体" w:hAnsi="宋体" w:eastAsia="宋体" w:cs="Times New Roman"/>
                <w:szCs w:val="21"/>
              </w:rPr>
              <w:t>。</w:t>
            </w:r>
          </w:p>
          <w:p w14:paraId="6F949E6A">
            <w:pPr>
              <w:snapToGrid w:val="0"/>
              <w:rPr>
                <w:rFonts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15401E72">
            <w:pPr>
              <w:snapToGrid w:val="0"/>
              <w:rPr>
                <w:rFonts w:ascii="宋体" w:hAnsi="宋体" w:eastAsia="宋体" w:cs="Times New Roman"/>
                <w:b/>
                <w:szCs w:val="21"/>
              </w:rPr>
            </w:pPr>
            <w:r>
              <w:rPr>
                <w:rFonts w:ascii="宋体" w:hAnsi="宋体" w:eastAsia="宋体" w:cs="Times New Roman"/>
                <w:szCs w:val="21"/>
              </w:rPr>
              <w:t>矩阵的乘法，逆矩阵的求法，矩阵的初等变换</w:t>
            </w:r>
            <w:r>
              <w:rPr>
                <w:rFonts w:hint="eastAsia" w:ascii="宋体" w:hAnsi="宋体" w:eastAsia="宋体" w:cs="Times New Roman"/>
                <w:szCs w:val="21"/>
              </w:rPr>
              <w:t>。</w:t>
            </w:r>
          </w:p>
        </w:tc>
        <w:tc>
          <w:tcPr>
            <w:tcW w:w="1984" w:type="dxa"/>
            <w:shd w:val="clear" w:color="auto" w:fill="auto"/>
          </w:tcPr>
          <w:p w14:paraId="15E94CFC">
            <w:pPr>
              <w:widowControl/>
              <w:snapToGrid w:val="0"/>
              <w:rPr>
                <w:rFonts w:ascii="宋体" w:hAnsi="宋体" w:eastAsia="宋体"/>
                <w:szCs w:val="21"/>
              </w:rPr>
            </w:pPr>
            <w:r>
              <w:rPr>
                <w:rFonts w:hint="eastAsia" w:ascii="宋体" w:hAnsi="宋体" w:eastAsia="宋体" w:cs="宋体"/>
                <w:kern w:val="0"/>
                <w:szCs w:val="21"/>
              </w:rPr>
              <w:t>(</w:t>
            </w:r>
            <w:r>
              <w:rPr>
                <w:rFonts w:ascii="宋体" w:hAnsi="宋体" w:eastAsia="宋体" w:cs="宋体"/>
                <w:kern w:val="0"/>
                <w:szCs w:val="21"/>
              </w:rPr>
              <w:t>1)</w:t>
            </w:r>
            <w:r>
              <w:rPr>
                <w:rFonts w:hint="eastAsia" w:ascii="宋体" w:hAnsi="宋体" w:eastAsia="宋体" w:cs="宋体"/>
                <w:kern w:val="0"/>
                <w:szCs w:val="21"/>
              </w:rPr>
              <w:t>培养学生热爱科学，勤奋学习的责任感和自觉性(逆矩阵与通讯密码</w:t>
            </w:r>
            <w:r>
              <w:rPr>
                <w:rFonts w:ascii="宋体" w:hAnsi="宋体" w:eastAsia="宋体" w:cs="宋体"/>
                <w:kern w:val="0"/>
                <w:szCs w:val="21"/>
              </w:rPr>
              <w:t>)</w:t>
            </w:r>
            <w:r>
              <w:rPr>
                <w:rFonts w:hint="eastAsia" w:ascii="宋体" w:hAnsi="宋体" w:eastAsia="宋体" w:cs="宋体"/>
                <w:kern w:val="0"/>
                <w:szCs w:val="21"/>
              </w:rPr>
              <w:t>；</w:t>
            </w:r>
            <w:r>
              <w:rPr>
                <w:rFonts w:ascii="宋体" w:hAnsi="宋体" w:eastAsia="宋体" w:cs="Times New Roman"/>
                <w:kern w:val="0"/>
                <w:szCs w:val="21"/>
              </w:rPr>
              <w:t>(2)</w:t>
            </w:r>
            <w:r>
              <w:rPr>
                <w:rFonts w:hint="eastAsia" w:ascii="宋体" w:hAnsi="宋体" w:eastAsia="宋体"/>
                <w:szCs w:val="21"/>
              </w:rPr>
              <w:t xml:space="preserve"> 培养学生用唯物辩证法中“事物的联系是普遍的”的观点看问题(矩阵的初等变换</w:t>
            </w:r>
            <w:r>
              <w:rPr>
                <w:rFonts w:ascii="宋体" w:hAnsi="宋体" w:eastAsia="宋体"/>
                <w:szCs w:val="21"/>
              </w:rPr>
              <w:t>)</w:t>
            </w:r>
            <w:r>
              <w:rPr>
                <w:rFonts w:hint="eastAsia" w:ascii="宋体" w:hAnsi="宋体" w:eastAsia="宋体" w:cs="宋体"/>
                <w:kern w:val="0"/>
                <w:szCs w:val="21"/>
              </w:rPr>
              <w:t>。</w:t>
            </w:r>
          </w:p>
        </w:tc>
        <w:tc>
          <w:tcPr>
            <w:tcW w:w="1559" w:type="dxa"/>
            <w:shd w:val="clear" w:color="auto" w:fill="auto"/>
          </w:tcPr>
          <w:p w14:paraId="147660E8">
            <w:pPr>
              <w:snapToGrid w:val="0"/>
              <w:rPr>
                <w:rFonts w:ascii="宋体" w:hAnsi="宋体" w:eastAsia="宋体" w:cs="Times New Roman"/>
                <w:szCs w:val="21"/>
              </w:rPr>
            </w:pPr>
            <w:r>
              <w:rPr>
                <w:rFonts w:ascii="宋体" w:hAnsi="宋体" w:eastAsia="宋体" w:cs="Times New Roman"/>
                <w:szCs w:val="21"/>
              </w:rPr>
              <w:t>（1）了解矩阵的概念</w:t>
            </w:r>
            <w:r>
              <w:rPr>
                <w:rFonts w:hint="eastAsia" w:ascii="宋体" w:hAnsi="宋体" w:eastAsia="宋体" w:cs="Times New Roman"/>
                <w:szCs w:val="21"/>
              </w:rPr>
              <w:t>；</w:t>
            </w:r>
            <w:r>
              <w:rPr>
                <w:rFonts w:ascii="宋体" w:hAnsi="宋体" w:eastAsia="宋体" w:cs="Times New Roman"/>
                <w:szCs w:val="21"/>
              </w:rPr>
              <w:t>（2）会进行矩阵的加法、减法、乘法</w:t>
            </w:r>
            <w:r>
              <w:rPr>
                <w:rFonts w:hint="eastAsia" w:ascii="宋体" w:hAnsi="宋体" w:eastAsia="宋体" w:cs="Times New Roman"/>
                <w:szCs w:val="21"/>
              </w:rPr>
              <w:t>；</w:t>
            </w:r>
            <w:r>
              <w:rPr>
                <w:rFonts w:ascii="宋体" w:hAnsi="宋体" w:eastAsia="宋体" w:cs="Times New Roman"/>
                <w:szCs w:val="21"/>
              </w:rPr>
              <w:t>（3）会判别矩阵的可逆性，并计算逆矩阵</w:t>
            </w:r>
            <w:r>
              <w:rPr>
                <w:rFonts w:hint="eastAsia" w:ascii="宋体" w:hAnsi="宋体" w:eastAsia="宋体" w:cs="Times New Roman"/>
                <w:szCs w:val="21"/>
              </w:rPr>
              <w:t>。</w:t>
            </w:r>
          </w:p>
        </w:tc>
        <w:tc>
          <w:tcPr>
            <w:tcW w:w="709" w:type="dxa"/>
            <w:shd w:val="clear" w:color="auto" w:fill="auto"/>
            <w:vAlign w:val="center"/>
          </w:tcPr>
          <w:p w14:paraId="0276DCD0">
            <w:pPr>
              <w:snapToGrid w:val="0"/>
              <w:jc w:val="center"/>
              <w:rPr>
                <w:rFonts w:ascii="宋体" w:hAnsi="宋体" w:eastAsia="宋体" w:cs="Times New Roman"/>
                <w:szCs w:val="21"/>
                <w:highlight w:val="yellow"/>
              </w:rPr>
            </w:pPr>
            <w:r>
              <w:rPr>
                <w:rFonts w:ascii="宋体" w:hAnsi="宋体" w:eastAsia="宋体" w:cs="Times New Roman"/>
                <w:szCs w:val="21"/>
              </w:rPr>
              <w:t>12</w:t>
            </w:r>
          </w:p>
        </w:tc>
        <w:tc>
          <w:tcPr>
            <w:tcW w:w="709" w:type="dxa"/>
            <w:shd w:val="clear" w:color="auto" w:fill="auto"/>
            <w:vAlign w:val="center"/>
          </w:tcPr>
          <w:p w14:paraId="0C1A1D83">
            <w:pPr>
              <w:snapToGrid w:val="0"/>
              <w:jc w:val="center"/>
              <w:rPr>
                <w:rFonts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0D01F43C">
            <w:pPr>
              <w:snapToGrid w:val="0"/>
              <w:jc w:val="center"/>
              <w:rPr>
                <w:rFonts w:ascii="宋体" w:hAnsi="宋体" w:eastAsia="宋体" w:cs="Times New Roman"/>
                <w:szCs w:val="21"/>
              </w:rPr>
            </w:pPr>
            <w:r>
              <w:rPr>
                <w:rFonts w:ascii="宋体" w:hAnsi="宋体" w:eastAsia="宋体" w:cs="Times New Roman"/>
                <w:szCs w:val="21"/>
              </w:rPr>
              <w:t>目标1</w:t>
            </w:r>
          </w:p>
          <w:p w14:paraId="5F8148B5">
            <w:pPr>
              <w:snapToGrid w:val="0"/>
              <w:jc w:val="center"/>
              <w:rPr>
                <w:rFonts w:ascii="宋体" w:hAnsi="宋体" w:eastAsia="宋体"/>
                <w:szCs w:val="21"/>
              </w:rPr>
            </w:pPr>
            <w:r>
              <w:rPr>
                <w:rFonts w:ascii="宋体" w:hAnsi="宋体" w:eastAsia="宋体" w:cs="Times New Roman"/>
                <w:szCs w:val="21"/>
              </w:rPr>
              <w:t>目标2</w:t>
            </w:r>
          </w:p>
        </w:tc>
      </w:tr>
      <w:bookmarkEnd w:id="219"/>
      <w:tr w14:paraId="47DC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dxa"/>
            <w:shd w:val="clear" w:color="auto" w:fill="auto"/>
            <w:vAlign w:val="center"/>
          </w:tcPr>
          <w:p w14:paraId="62CBE9F3">
            <w:pPr>
              <w:snapToGrid w:val="0"/>
              <w:rPr>
                <w:rFonts w:ascii="宋体" w:hAnsi="宋体" w:eastAsia="宋体" w:cs="Times New Roman"/>
                <w:szCs w:val="21"/>
              </w:rPr>
            </w:pPr>
            <w:r>
              <w:rPr>
                <w:rFonts w:ascii="宋体" w:hAnsi="宋体" w:eastAsia="宋体" w:cs="Times New Roman"/>
                <w:szCs w:val="21"/>
              </w:rPr>
              <w:t>4</w:t>
            </w:r>
          </w:p>
        </w:tc>
        <w:tc>
          <w:tcPr>
            <w:tcW w:w="2552" w:type="dxa"/>
            <w:shd w:val="clear" w:color="auto" w:fill="auto"/>
            <w:vAlign w:val="center"/>
          </w:tcPr>
          <w:p w14:paraId="2E3FECB3">
            <w:pPr>
              <w:snapToGrid w:val="0"/>
              <w:rPr>
                <w:rFonts w:ascii="宋体" w:hAnsi="宋体" w:eastAsia="宋体" w:cs="Times New Roman"/>
                <w:b/>
                <w:szCs w:val="21"/>
              </w:rPr>
            </w:pPr>
            <w:r>
              <w:rPr>
                <w:rFonts w:ascii="宋体" w:hAnsi="宋体" w:eastAsia="宋体" w:cs="Times New Roman"/>
                <w:b/>
                <w:szCs w:val="21"/>
              </w:rPr>
              <w:t>向量空间</w:t>
            </w:r>
            <w:r>
              <w:rPr>
                <w:rFonts w:hint="eastAsia" w:ascii="宋体" w:hAnsi="宋体" w:eastAsia="宋体" w:cs="Times New Roman"/>
                <w:b/>
                <w:szCs w:val="21"/>
              </w:rPr>
              <w:t>：</w:t>
            </w:r>
          </w:p>
          <w:p w14:paraId="5C2DB5C9">
            <w:pPr>
              <w:snapToGrid w:val="0"/>
              <w:rPr>
                <w:rFonts w:ascii="宋体" w:hAnsi="宋体" w:eastAsia="宋体" w:cs="Times New Roman"/>
                <w:b/>
                <w:szCs w:val="21"/>
              </w:rPr>
            </w:pPr>
            <w:r>
              <w:rPr>
                <w:rFonts w:ascii="宋体" w:hAnsi="宋体" w:eastAsia="宋体" w:cs="Times New Roman"/>
                <w:szCs w:val="21"/>
              </w:rPr>
              <w:t>向量空间的定义</w:t>
            </w:r>
            <w:r>
              <w:rPr>
                <w:rFonts w:hint="eastAsia" w:ascii="宋体" w:hAnsi="宋体" w:eastAsia="宋体" w:cs="Times New Roman"/>
                <w:szCs w:val="21"/>
              </w:rPr>
              <w:t>；</w:t>
            </w:r>
            <w:r>
              <w:rPr>
                <w:rFonts w:ascii="宋体" w:hAnsi="宋体" w:eastAsia="宋体" w:cs="Times New Roman"/>
                <w:szCs w:val="21"/>
              </w:rPr>
              <w:t>向量组</w:t>
            </w:r>
            <w:r>
              <w:rPr>
                <w:rFonts w:hint="eastAsia" w:ascii="宋体" w:hAnsi="宋体" w:eastAsia="宋体" w:cs="Times New Roman"/>
                <w:szCs w:val="21"/>
              </w:rPr>
              <w:t>的</w:t>
            </w:r>
            <w:r>
              <w:rPr>
                <w:rFonts w:ascii="宋体" w:hAnsi="宋体" w:eastAsia="宋体" w:cs="Times New Roman"/>
                <w:szCs w:val="21"/>
              </w:rPr>
              <w:t>线性关系</w:t>
            </w:r>
            <w:r>
              <w:rPr>
                <w:rFonts w:hint="eastAsia" w:ascii="宋体" w:hAnsi="宋体" w:eastAsia="宋体" w:cs="Times New Roman"/>
                <w:szCs w:val="21"/>
              </w:rPr>
              <w:t>；</w:t>
            </w:r>
            <w:r>
              <w:rPr>
                <w:rFonts w:ascii="宋体" w:hAnsi="宋体" w:eastAsia="宋体" w:cs="Times New Roman"/>
                <w:szCs w:val="21"/>
              </w:rPr>
              <w:t>向量组的极大线性无关组</w:t>
            </w:r>
            <w:r>
              <w:rPr>
                <w:rFonts w:hint="eastAsia" w:ascii="宋体" w:hAnsi="宋体" w:eastAsia="宋体" w:cs="Times New Roman"/>
                <w:szCs w:val="21"/>
              </w:rPr>
              <w:t>；</w:t>
            </w:r>
            <w:r>
              <w:rPr>
                <w:rFonts w:ascii="宋体" w:hAnsi="宋体" w:eastAsia="宋体" w:cs="Times New Roman"/>
                <w:szCs w:val="21"/>
              </w:rPr>
              <w:t>向量组的秩与矩阵的秩</w:t>
            </w:r>
            <w:r>
              <w:rPr>
                <w:rFonts w:hint="eastAsia" w:ascii="宋体" w:hAnsi="宋体" w:eastAsia="宋体" w:cs="Times New Roman"/>
                <w:szCs w:val="21"/>
              </w:rPr>
              <w:t>；</w:t>
            </w:r>
            <w:r>
              <w:rPr>
                <w:rFonts w:ascii="宋体" w:hAnsi="宋体" w:eastAsia="宋体" w:cs="Times New Roman"/>
                <w:szCs w:val="21"/>
              </w:rPr>
              <w:t>子空间的概念</w:t>
            </w:r>
            <w:r>
              <w:rPr>
                <w:rFonts w:hint="eastAsia" w:ascii="宋体" w:hAnsi="宋体" w:eastAsia="宋体" w:cs="Times New Roman"/>
                <w:szCs w:val="21"/>
              </w:rPr>
              <w:t>；</w:t>
            </w:r>
            <w:r>
              <w:rPr>
                <w:rFonts w:ascii="宋体" w:hAnsi="宋体" w:eastAsia="宋体" w:cs="Times New Roman"/>
                <w:szCs w:val="21"/>
              </w:rPr>
              <w:t>线性空间同构</w:t>
            </w:r>
            <w:r>
              <w:rPr>
                <w:rFonts w:hint="eastAsia" w:ascii="宋体" w:hAnsi="宋体" w:eastAsia="宋体" w:cs="Times New Roman"/>
                <w:szCs w:val="21"/>
              </w:rPr>
              <w:t>。</w:t>
            </w:r>
          </w:p>
          <w:p w14:paraId="55C0C0DE">
            <w:pPr>
              <w:snapToGrid w:val="0"/>
              <w:rPr>
                <w:rFonts w:ascii="宋体" w:hAnsi="宋体" w:eastAsia="宋体" w:cs="Times New Roman"/>
                <w:b/>
                <w:szCs w:val="21"/>
              </w:rPr>
            </w:pPr>
            <w:r>
              <w:rPr>
                <w:rFonts w:ascii="宋体" w:hAnsi="宋体" w:eastAsia="宋体" w:cs="Times New Roman"/>
                <w:b/>
                <w:szCs w:val="21"/>
              </w:rPr>
              <w:t>重点</w:t>
            </w:r>
            <w:r>
              <w:rPr>
                <w:rFonts w:hint="eastAsia" w:ascii="宋体" w:hAnsi="宋体" w:eastAsia="宋体" w:cs="Times New Roman"/>
                <w:b/>
                <w:szCs w:val="21"/>
              </w:rPr>
              <w:t>难点</w:t>
            </w:r>
            <w:r>
              <w:rPr>
                <w:rFonts w:ascii="宋体" w:hAnsi="宋体" w:eastAsia="宋体" w:cs="Times New Roman"/>
                <w:b/>
                <w:szCs w:val="21"/>
              </w:rPr>
              <w:t>：</w:t>
            </w:r>
          </w:p>
          <w:p w14:paraId="352942B7">
            <w:pPr>
              <w:snapToGrid w:val="0"/>
              <w:rPr>
                <w:rFonts w:ascii="宋体" w:hAnsi="宋体" w:eastAsia="宋体" w:cs="Times New Roman"/>
                <w:b/>
                <w:szCs w:val="21"/>
              </w:rPr>
            </w:pPr>
            <w:r>
              <w:rPr>
                <w:rFonts w:ascii="宋体" w:hAnsi="宋体" w:eastAsia="宋体" w:cs="Times New Roman"/>
                <w:szCs w:val="21"/>
              </w:rPr>
              <w:t>极大线性无关组的定义和求法，向量组的秩与矩阵的秩</w:t>
            </w:r>
            <w:r>
              <w:rPr>
                <w:rFonts w:hint="eastAsia" w:ascii="宋体" w:hAnsi="宋体" w:eastAsia="宋体" w:cs="Times New Roman"/>
                <w:szCs w:val="21"/>
              </w:rPr>
              <w:t>的</w:t>
            </w:r>
            <w:r>
              <w:rPr>
                <w:rFonts w:ascii="宋体" w:hAnsi="宋体" w:eastAsia="宋体" w:cs="Times New Roman"/>
                <w:szCs w:val="21"/>
              </w:rPr>
              <w:t>求法</w:t>
            </w:r>
            <w:r>
              <w:rPr>
                <w:rFonts w:hint="eastAsia" w:ascii="宋体" w:hAnsi="宋体" w:eastAsia="宋体" w:cs="Times New Roman"/>
                <w:szCs w:val="21"/>
              </w:rPr>
              <w:t>。</w:t>
            </w:r>
          </w:p>
        </w:tc>
        <w:tc>
          <w:tcPr>
            <w:tcW w:w="1984" w:type="dxa"/>
            <w:shd w:val="clear" w:color="auto" w:fill="auto"/>
          </w:tcPr>
          <w:p w14:paraId="3A5B8664">
            <w:pPr>
              <w:snapToGrid w:val="0"/>
              <w:rPr>
                <w:rFonts w:ascii="宋体" w:hAnsi="宋体" w:eastAsia="宋体"/>
                <w:szCs w:val="21"/>
              </w:rPr>
            </w:pPr>
            <w:r>
              <w:rPr>
                <w:rFonts w:ascii="宋体" w:hAnsi="宋体" w:eastAsia="宋体" w:cs="Times New Roman"/>
                <w:szCs w:val="21"/>
              </w:rPr>
              <w:t>(1)</w:t>
            </w:r>
            <w:r>
              <w:rPr>
                <w:rFonts w:hint="eastAsia" w:ascii="宋体" w:hAnsi="宋体" w:eastAsia="宋体"/>
                <w:szCs w:val="21"/>
              </w:rPr>
              <w:t>培养学生的创新意识（降维思想与极大线性无关组）；</w:t>
            </w:r>
            <w:r>
              <w:rPr>
                <w:rFonts w:ascii="宋体" w:hAnsi="宋体" w:eastAsia="宋体" w:cs="Times New Roman"/>
                <w:szCs w:val="21"/>
              </w:rPr>
              <w:t>(2)帮助学生理解</w:t>
            </w:r>
            <w:r>
              <w:rPr>
                <w:rFonts w:ascii="宋体" w:hAnsi="宋体" w:eastAsia="宋体" w:cs="Times New Roman"/>
                <w:color w:val="333333"/>
                <w:szCs w:val="21"/>
                <w:shd w:val="clear" w:color="auto" w:fill="FFFFFF"/>
              </w:rPr>
              <w:t>和谐</w:t>
            </w:r>
            <w:r>
              <w:rPr>
                <w:rFonts w:hint="eastAsia" w:ascii="宋体" w:hAnsi="宋体" w:eastAsia="宋体" w:cs="Times New Roman"/>
                <w:color w:val="333333"/>
                <w:szCs w:val="21"/>
                <w:shd w:val="clear" w:color="auto" w:fill="FFFFFF"/>
              </w:rPr>
              <w:t>、</w:t>
            </w:r>
            <w:r>
              <w:rPr>
                <w:rFonts w:ascii="宋体" w:hAnsi="宋体" w:eastAsia="宋体" w:cs="Times New Roman"/>
                <w:color w:val="333333"/>
                <w:szCs w:val="21"/>
                <w:shd w:val="clear" w:color="auto" w:fill="FFFFFF"/>
              </w:rPr>
              <w:t>公正，国与家的关系，爱国主义情感</w:t>
            </w:r>
            <w:r>
              <w:rPr>
                <w:rFonts w:hint="eastAsia" w:ascii="宋体" w:hAnsi="宋体" w:eastAsia="宋体" w:cs="Times New Roman"/>
                <w:color w:val="333333"/>
                <w:szCs w:val="21"/>
                <w:shd w:val="clear" w:color="auto" w:fill="FFFFFF"/>
              </w:rPr>
              <w:t>(向量组与极大线性无关组的关系</w:t>
            </w:r>
            <w:r>
              <w:rPr>
                <w:rFonts w:ascii="宋体" w:hAnsi="宋体" w:eastAsia="宋体" w:cs="Times New Roman"/>
                <w:color w:val="333333"/>
                <w:szCs w:val="21"/>
                <w:shd w:val="clear" w:color="auto" w:fill="FFFFFF"/>
              </w:rPr>
              <w:t>)。</w:t>
            </w:r>
          </w:p>
        </w:tc>
        <w:tc>
          <w:tcPr>
            <w:tcW w:w="1559" w:type="dxa"/>
            <w:shd w:val="clear" w:color="auto" w:fill="auto"/>
          </w:tcPr>
          <w:p w14:paraId="6BA2A3B1">
            <w:pPr>
              <w:snapToGrid w:val="0"/>
              <w:rPr>
                <w:rFonts w:ascii="宋体" w:hAnsi="宋体" w:eastAsia="宋体" w:cs="Times New Roman"/>
                <w:szCs w:val="21"/>
              </w:rPr>
            </w:pPr>
            <w:r>
              <w:rPr>
                <w:rFonts w:ascii="宋体" w:hAnsi="宋体" w:eastAsia="宋体" w:cs="Times New Roman"/>
                <w:szCs w:val="21"/>
              </w:rPr>
              <w:t>（1）掌握向量组线性相关、无关概念</w:t>
            </w:r>
            <w:r>
              <w:rPr>
                <w:rFonts w:hint="eastAsia" w:ascii="宋体" w:hAnsi="宋体" w:eastAsia="宋体" w:cs="Times New Roman"/>
                <w:szCs w:val="21"/>
              </w:rPr>
              <w:t>；</w:t>
            </w:r>
            <w:r>
              <w:rPr>
                <w:rFonts w:ascii="宋体" w:hAnsi="宋体" w:eastAsia="宋体" w:cs="Times New Roman"/>
                <w:szCs w:val="21"/>
              </w:rPr>
              <w:t>（2）会求向量组的极大线性无关组</w:t>
            </w:r>
            <w:r>
              <w:rPr>
                <w:rFonts w:hint="eastAsia" w:ascii="宋体" w:hAnsi="宋体" w:eastAsia="宋体" w:cs="Times New Roman"/>
                <w:szCs w:val="21"/>
              </w:rPr>
              <w:t>；</w:t>
            </w:r>
            <w:r>
              <w:rPr>
                <w:rFonts w:ascii="宋体" w:hAnsi="宋体" w:eastAsia="宋体" w:cs="Times New Roman"/>
                <w:szCs w:val="21"/>
              </w:rPr>
              <w:t>（3）能够求出向量组的秩与矩阵的秩</w:t>
            </w:r>
            <w:r>
              <w:rPr>
                <w:rFonts w:hint="eastAsia" w:ascii="宋体" w:hAnsi="宋体" w:eastAsia="宋体" w:cs="Times New Roman"/>
                <w:szCs w:val="21"/>
              </w:rPr>
              <w:t>。</w:t>
            </w:r>
          </w:p>
        </w:tc>
        <w:tc>
          <w:tcPr>
            <w:tcW w:w="709" w:type="dxa"/>
            <w:shd w:val="clear" w:color="auto" w:fill="auto"/>
            <w:vAlign w:val="center"/>
          </w:tcPr>
          <w:p w14:paraId="60A700F8">
            <w:pPr>
              <w:snapToGrid w:val="0"/>
              <w:jc w:val="center"/>
              <w:rPr>
                <w:rFonts w:ascii="宋体" w:hAnsi="宋体" w:eastAsia="宋体" w:cs="Times New Roman"/>
                <w:szCs w:val="21"/>
                <w:highlight w:val="yellow"/>
              </w:rPr>
            </w:pPr>
            <w:r>
              <w:rPr>
                <w:rFonts w:ascii="宋体" w:hAnsi="宋体" w:eastAsia="宋体" w:cs="Times New Roman"/>
                <w:szCs w:val="21"/>
              </w:rPr>
              <w:t>12</w:t>
            </w:r>
          </w:p>
        </w:tc>
        <w:tc>
          <w:tcPr>
            <w:tcW w:w="709" w:type="dxa"/>
            <w:shd w:val="clear" w:color="auto" w:fill="auto"/>
            <w:vAlign w:val="center"/>
          </w:tcPr>
          <w:p w14:paraId="232F3106">
            <w:pPr>
              <w:snapToGrid w:val="0"/>
              <w:jc w:val="center"/>
              <w:rPr>
                <w:rFonts w:ascii="宋体" w:hAnsi="宋体" w:eastAsia="宋体"/>
                <w:szCs w:val="21"/>
              </w:rPr>
            </w:pPr>
            <w:r>
              <w:rPr>
                <w:rFonts w:hint="eastAsia" w:ascii="宋体" w:hAnsi="宋体" w:eastAsia="宋体"/>
                <w:szCs w:val="21"/>
              </w:rPr>
              <w:t>讲授</w:t>
            </w:r>
          </w:p>
        </w:tc>
        <w:tc>
          <w:tcPr>
            <w:tcW w:w="954" w:type="dxa"/>
            <w:shd w:val="clear" w:color="auto" w:fill="auto"/>
            <w:vAlign w:val="center"/>
          </w:tcPr>
          <w:p w14:paraId="79718DAC">
            <w:pPr>
              <w:snapToGrid w:val="0"/>
              <w:jc w:val="center"/>
              <w:rPr>
                <w:rFonts w:ascii="宋体" w:hAnsi="宋体" w:eastAsia="宋体" w:cs="Times New Roman"/>
                <w:szCs w:val="21"/>
              </w:rPr>
            </w:pPr>
            <w:r>
              <w:rPr>
                <w:rFonts w:ascii="宋体" w:hAnsi="宋体" w:eastAsia="宋体" w:cs="Times New Roman"/>
                <w:szCs w:val="21"/>
              </w:rPr>
              <w:t>目标1</w:t>
            </w:r>
          </w:p>
          <w:p w14:paraId="2FB558FD">
            <w:pPr>
              <w:snapToGrid w:val="0"/>
              <w:jc w:val="center"/>
              <w:rPr>
                <w:rFonts w:ascii="宋体" w:hAnsi="宋体" w:eastAsia="宋体"/>
                <w:szCs w:val="21"/>
              </w:rPr>
            </w:pPr>
            <w:r>
              <w:rPr>
                <w:rFonts w:ascii="宋体" w:hAnsi="宋体" w:eastAsia="宋体" w:cs="Times New Roman"/>
                <w:szCs w:val="21"/>
              </w:rPr>
              <w:t>目标2</w:t>
            </w:r>
          </w:p>
        </w:tc>
      </w:tr>
      <w:bookmarkEnd w:id="218"/>
    </w:tbl>
    <w:p w14:paraId="6C3744F9">
      <w:pPr>
        <w:spacing w:line="360" w:lineRule="auto"/>
        <w:ind w:firstLine="482" w:firstLineChars="200"/>
        <w:rPr>
          <w:rFonts w:ascii="宋体" w:hAnsi="宋体" w:eastAsia="宋体" w:cs="Times New Roman"/>
          <w:b/>
          <w:sz w:val="24"/>
          <w:szCs w:val="24"/>
        </w:rPr>
      </w:pPr>
      <w:bookmarkStart w:id="220" w:name="_Toc19729794"/>
      <w:r>
        <w:rPr>
          <w:rFonts w:hint="eastAsia" w:ascii="宋体" w:hAnsi="宋体" w:eastAsia="宋体" w:cs="Times New Roman"/>
          <w:b/>
          <w:sz w:val="24"/>
          <w:szCs w:val="24"/>
        </w:rPr>
        <w:t>四</w:t>
      </w:r>
      <w:r>
        <w:rPr>
          <w:rFonts w:ascii="宋体" w:hAnsi="宋体" w:eastAsia="宋体" w:cs="Times New Roman"/>
          <w:b/>
          <w:sz w:val="24"/>
          <w:szCs w:val="24"/>
        </w:rPr>
        <w:t>、课程实施</w:t>
      </w:r>
      <w:bookmarkEnd w:id="220"/>
    </w:p>
    <w:p w14:paraId="7F0E28E4">
      <w:pPr>
        <w:spacing w:line="360" w:lineRule="auto"/>
        <w:ind w:firstLine="482" w:firstLineChars="200"/>
        <w:rPr>
          <w:rFonts w:ascii="宋体" w:hAnsi="宋体" w:eastAsia="宋体" w:cs="Times New Roman"/>
          <w:b/>
          <w:sz w:val="30"/>
          <w:szCs w:val="30"/>
        </w:rPr>
      </w:pPr>
      <w:r>
        <w:rPr>
          <w:rFonts w:hint="eastAsia" w:ascii="宋体" w:hAnsi="宋体" w:eastAsia="宋体"/>
          <w:b/>
          <w:sz w:val="24"/>
          <w:szCs w:val="24"/>
        </w:rPr>
        <w:t>（一）教学方法与教学手段</w:t>
      </w:r>
    </w:p>
    <w:p w14:paraId="2192A36F">
      <w:pPr>
        <w:spacing w:line="360" w:lineRule="auto"/>
        <w:ind w:firstLine="480" w:firstLineChars="200"/>
        <w:rPr>
          <w:rFonts w:ascii="宋体" w:hAnsi="宋体" w:eastAsia="宋体" w:cs="Times New Roman"/>
          <w:b/>
          <w:sz w:val="30"/>
          <w:szCs w:val="30"/>
        </w:rPr>
      </w:pPr>
      <w:r>
        <w:rPr>
          <w:rFonts w:ascii="宋体" w:hAnsi="宋体" w:eastAsia="宋体" w:cs="Times New Roman"/>
          <w:sz w:val="24"/>
          <w:szCs w:val="24"/>
        </w:rPr>
        <w:t>1.</w:t>
      </w:r>
      <w:r>
        <w:rPr>
          <w:rFonts w:hint="eastAsia" w:ascii="宋体" w:hAnsi="宋体" w:eastAsia="宋体"/>
          <w:sz w:val="24"/>
          <w:szCs w:val="24"/>
        </w:rPr>
        <w:t xml:space="preserve"> 教</w:t>
      </w:r>
      <w:r>
        <w:rPr>
          <w:rFonts w:ascii="宋体" w:hAnsi="宋体" w:eastAsia="宋体"/>
          <w:color w:val="000000"/>
          <w:sz w:val="24"/>
          <w:szCs w:val="24"/>
        </w:rPr>
        <w:t>学方法：启发式互动讲授结合多媒体辅助；适当课堂练习；及时了解学生的作业状况并对共同的问题作及时解答；安排好课后答疑。</w:t>
      </w:r>
    </w:p>
    <w:p w14:paraId="091CAE37">
      <w:pPr>
        <w:spacing w:line="360" w:lineRule="auto"/>
        <w:ind w:firstLine="480" w:firstLineChars="200"/>
        <w:rPr>
          <w:rFonts w:ascii="宋体" w:hAnsi="宋体" w:eastAsia="宋体" w:cs="Times New Roman"/>
          <w:b/>
          <w:sz w:val="30"/>
          <w:szCs w:val="30"/>
        </w:rPr>
      </w:pPr>
      <w:r>
        <w:rPr>
          <w:rFonts w:ascii="宋体" w:hAnsi="宋体" w:eastAsia="宋体" w:cs="Times New Roman"/>
          <w:sz w:val="24"/>
          <w:szCs w:val="24"/>
        </w:rPr>
        <w:t xml:space="preserve">2. </w:t>
      </w:r>
      <w:r>
        <w:rPr>
          <w:rFonts w:ascii="宋体" w:hAnsi="宋体" w:eastAsia="宋体"/>
          <w:color w:val="000000"/>
          <w:sz w:val="24"/>
          <w:szCs w:val="24"/>
        </w:rPr>
        <w:t>教学方法</w:t>
      </w:r>
      <w:r>
        <w:rPr>
          <w:rFonts w:hint="eastAsia" w:ascii="宋体" w:hAnsi="宋体" w:eastAsia="宋体"/>
          <w:color w:val="000000"/>
          <w:sz w:val="24"/>
          <w:szCs w:val="24"/>
        </w:rPr>
        <w:t>：提倡</w:t>
      </w:r>
      <w:r>
        <w:rPr>
          <w:rFonts w:ascii="宋体" w:hAnsi="宋体" w:eastAsia="宋体"/>
          <w:color w:val="000000"/>
          <w:sz w:val="24"/>
          <w:szCs w:val="24"/>
        </w:rPr>
        <w:t>应用现代化教学手段，如课件、互联网</w:t>
      </w:r>
      <w:r>
        <w:rPr>
          <w:rFonts w:hint="eastAsia" w:ascii="宋体" w:hAnsi="宋体" w:eastAsia="宋体"/>
          <w:color w:val="000000"/>
          <w:sz w:val="24"/>
          <w:szCs w:val="24"/>
        </w:rPr>
        <w:t>在线</w:t>
      </w:r>
      <w:r>
        <w:rPr>
          <w:rFonts w:ascii="宋体" w:hAnsi="宋体" w:eastAsia="宋体"/>
          <w:color w:val="000000"/>
          <w:sz w:val="24"/>
          <w:szCs w:val="24"/>
        </w:rPr>
        <w:t>教学和网络答疑等。</w:t>
      </w:r>
    </w:p>
    <w:p w14:paraId="586093CE">
      <w:pPr>
        <w:spacing w:line="360" w:lineRule="auto"/>
        <w:ind w:firstLine="482" w:firstLineChars="200"/>
        <w:rPr>
          <w:rFonts w:ascii="宋体" w:hAnsi="宋体" w:eastAsia="宋体"/>
          <w:b/>
          <w:sz w:val="24"/>
          <w:szCs w:val="24"/>
        </w:rPr>
      </w:pPr>
      <w:r>
        <w:rPr>
          <w:rFonts w:hint="eastAsia" w:ascii="宋体" w:hAnsi="宋体" w:eastAsia="宋体"/>
          <w:b/>
          <w:sz w:val="24"/>
          <w:szCs w:val="24"/>
        </w:rPr>
        <w:t>（二）课程实施与保障</w:t>
      </w:r>
    </w:p>
    <w:tbl>
      <w:tblPr>
        <w:tblStyle w:val="30"/>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31"/>
        <w:gridCol w:w="7525"/>
      </w:tblGrid>
      <w:tr w14:paraId="6D11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3BD45F9D">
            <w:pPr>
              <w:spacing w:line="300" w:lineRule="exact"/>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5CFBE291">
            <w:pPr>
              <w:spacing w:line="300" w:lineRule="exact"/>
              <w:jc w:val="center"/>
              <w:rPr>
                <w:rFonts w:ascii="宋体" w:hAnsi="宋体" w:eastAsia="宋体" w:cs="Times New Roman"/>
                <w:b/>
                <w:szCs w:val="21"/>
              </w:rPr>
            </w:pPr>
            <w:r>
              <w:rPr>
                <w:rFonts w:ascii="宋体" w:hAnsi="宋体" w:eastAsia="宋体" w:cs="Times New Roman"/>
                <w:b/>
                <w:bCs/>
                <w:szCs w:val="21"/>
              </w:rPr>
              <w:t>质量要求</w:t>
            </w:r>
          </w:p>
        </w:tc>
      </w:tr>
      <w:tr w14:paraId="1B78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trPr>
        <w:tc>
          <w:tcPr>
            <w:tcW w:w="644" w:type="dxa"/>
            <w:tcBorders>
              <w:left w:val="single" w:color="auto" w:sz="8" w:space="0"/>
            </w:tcBorders>
            <w:vAlign w:val="center"/>
          </w:tcPr>
          <w:p w14:paraId="538B89D5">
            <w:pPr>
              <w:spacing w:line="300" w:lineRule="exact"/>
              <w:jc w:val="center"/>
              <w:rPr>
                <w:rFonts w:ascii="宋体" w:hAnsi="宋体" w:eastAsia="宋体" w:cs="Times New Roman"/>
                <w:szCs w:val="21"/>
              </w:rPr>
            </w:pPr>
            <w:r>
              <w:rPr>
                <w:rFonts w:ascii="宋体" w:hAnsi="宋体" w:eastAsia="宋体" w:cs="Times New Roman"/>
                <w:szCs w:val="21"/>
              </w:rPr>
              <w:t>1</w:t>
            </w:r>
          </w:p>
        </w:tc>
        <w:tc>
          <w:tcPr>
            <w:tcW w:w="931" w:type="dxa"/>
            <w:tcMar>
              <w:left w:w="28" w:type="dxa"/>
              <w:right w:w="28" w:type="dxa"/>
            </w:tcMar>
            <w:vAlign w:val="center"/>
          </w:tcPr>
          <w:p w14:paraId="2D0E11EF">
            <w:pPr>
              <w:spacing w:line="300" w:lineRule="exact"/>
              <w:jc w:val="center"/>
              <w:rPr>
                <w:rFonts w:ascii="宋体" w:hAnsi="宋体" w:eastAsia="宋体" w:cs="Times New Roman"/>
                <w:szCs w:val="21"/>
              </w:rPr>
            </w:pPr>
            <w:r>
              <w:rPr>
                <w:rFonts w:ascii="宋体" w:hAnsi="宋体" w:eastAsia="宋体" w:cs="Times New Roman"/>
                <w:szCs w:val="21"/>
              </w:rPr>
              <w:t>备课</w:t>
            </w:r>
          </w:p>
        </w:tc>
        <w:tc>
          <w:tcPr>
            <w:tcW w:w="7525" w:type="dxa"/>
            <w:tcBorders>
              <w:right w:val="single" w:color="auto" w:sz="8" w:space="0"/>
            </w:tcBorders>
            <w:vAlign w:val="center"/>
          </w:tcPr>
          <w:p w14:paraId="5B1FE915">
            <w:pPr>
              <w:spacing w:line="300" w:lineRule="exact"/>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310935B3">
            <w:pPr>
              <w:spacing w:line="300" w:lineRule="exact"/>
              <w:rPr>
                <w:rFonts w:ascii="宋体" w:hAnsi="宋体" w:eastAsia="宋体" w:cs="Times New Roman"/>
                <w:szCs w:val="21"/>
              </w:rPr>
            </w:pPr>
            <w:r>
              <w:rPr>
                <w:rFonts w:ascii="宋体" w:hAnsi="宋体" w:eastAsia="宋体" w:cs="Times New Roman"/>
                <w:szCs w:val="21"/>
              </w:rPr>
              <w:t>（2）悉心了解学生的现有水平和最新发展水平，深透钻研教材内容，广泛阅读相关文献资料，精心选择教学方法、组织形式和教学手段，认真编写授课计划。</w:t>
            </w:r>
          </w:p>
          <w:p w14:paraId="54E1EACD">
            <w:pPr>
              <w:spacing w:line="300" w:lineRule="exact"/>
              <w:rPr>
                <w:rFonts w:ascii="宋体" w:hAnsi="宋体" w:eastAsia="宋体" w:cs="Times New Roman"/>
                <w:szCs w:val="21"/>
              </w:rPr>
            </w:pPr>
            <w:r>
              <w:rPr>
                <w:rFonts w:ascii="宋体" w:hAnsi="宋体" w:eastAsia="宋体" w:cs="Times New Roman"/>
                <w:szCs w:val="21"/>
              </w:rPr>
              <w:t>（3）结合课程特点，适度运用多媒体教学手段讲授部分教学内容</w:t>
            </w:r>
            <w:r>
              <w:rPr>
                <w:rFonts w:hint="eastAsia" w:ascii="宋体" w:hAnsi="宋体" w:eastAsia="宋体" w:cs="Times New Roman"/>
                <w:szCs w:val="21"/>
              </w:rPr>
              <w:t>。</w:t>
            </w:r>
          </w:p>
          <w:p w14:paraId="07B8B7E0">
            <w:pPr>
              <w:spacing w:line="300" w:lineRule="exact"/>
              <w:rPr>
                <w:rFonts w:ascii="宋体" w:hAnsi="宋体" w:eastAsia="宋体" w:cs="Times New Roman"/>
                <w:szCs w:val="21"/>
              </w:rPr>
            </w:pPr>
            <w:r>
              <w:rPr>
                <w:rFonts w:ascii="宋体" w:hAnsi="宋体" w:eastAsia="宋体" w:cs="Times New Roman"/>
                <w:szCs w:val="21"/>
              </w:rPr>
              <w:t>（4）确定各章节课程内容的教学方法，构思授课思路、技巧和方法。</w:t>
            </w:r>
          </w:p>
        </w:tc>
      </w:tr>
      <w:tr w14:paraId="427C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644" w:type="dxa"/>
            <w:tcBorders>
              <w:left w:val="single" w:color="auto" w:sz="8" w:space="0"/>
            </w:tcBorders>
            <w:vAlign w:val="center"/>
          </w:tcPr>
          <w:p w14:paraId="6BF21A38">
            <w:pPr>
              <w:spacing w:line="300" w:lineRule="exact"/>
              <w:jc w:val="center"/>
              <w:rPr>
                <w:rFonts w:ascii="宋体" w:hAnsi="宋体" w:eastAsia="宋体" w:cs="Times New Roman"/>
                <w:szCs w:val="21"/>
              </w:rPr>
            </w:pPr>
            <w:r>
              <w:rPr>
                <w:rFonts w:ascii="宋体" w:hAnsi="宋体" w:eastAsia="宋体" w:cs="Times New Roman"/>
                <w:szCs w:val="21"/>
              </w:rPr>
              <w:t>2</w:t>
            </w:r>
          </w:p>
        </w:tc>
        <w:tc>
          <w:tcPr>
            <w:tcW w:w="931" w:type="dxa"/>
            <w:tcMar>
              <w:left w:w="28" w:type="dxa"/>
              <w:right w:w="28" w:type="dxa"/>
            </w:tcMar>
            <w:vAlign w:val="center"/>
          </w:tcPr>
          <w:p w14:paraId="650A714F">
            <w:pPr>
              <w:spacing w:line="300" w:lineRule="exact"/>
              <w:jc w:val="center"/>
              <w:rPr>
                <w:rFonts w:ascii="宋体" w:hAnsi="宋体" w:eastAsia="宋体" w:cs="Times New Roman"/>
                <w:szCs w:val="21"/>
              </w:rPr>
            </w:pPr>
            <w:r>
              <w:rPr>
                <w:rFonts w:ascii="宋体" w:hAnsi="宋体" w:eastAsia="宋体" w:cs="Times New Roman"/>
                <w:szCs w:val="21"/>
              </w:rPr>
              <w:t>讲授</w:t>
            </w:r>
          </w:p>
        </w:tc>
        <w:tc>
          <w:tcPr>
            <w:tcW w:w="7525" w:type="dxa"/>
            <w:tcBorders>
              <w:right w:val="single" w:color="auto" w:sz="8" w:space="0"/>
            </w:tcBorders>
            <w:vAlign w:val="center"/>
          </w:tcPr>
          <w:p w14:paraId="47E2B858">
            <w:pPr>
              <w:spacing w:line="300" w:lineRule="exact"/>
              <w:rPr>
                <w:rFonts w:ascii="宋体" w:hAnsi="宋体" w:eastAsia="宋体" w:cs="Times New Roman"/>
                <w:szCs w:val="24"/>
              </w:rPr>
            </w:pPr>
            <w:r>
              <w:rPr>
                <w:rFonts w:ascii="宋体" w:hAnsi="宋体" w:eastAsia="宋体" w:cs="Times New Roman"/>
                <w:szCs w:val="21"/>
              </w:rPr>
              <w:t>（1）</w:t>
            </w:r>
            <w:r>
              <w:rPr>
                <w:rFonts w:ascii="宋体" w:hAnsi="宋体" w:eastAsia="宋体" w:cs="Times New Roman"/>
                <w:szCs w:val="24"/>
              </w:rPr>
              <w:t>教师仪表端庄，情绪情感要饱满；</w:t>
            </w:r>
          </w:p>
          <w:p w14:paraId="48A00E49">
            <w:pPr>
              <w:spacing w:line="300" w:lineRule="exact"/>
              <w:rPr>
                <w:rFonts w:ascii="宋体" w:hAnsi="宋体" w:eastAsia="宋体" w:cs="Times New Roman"/>
                <w:szCs w:val="21"/>
              </w:rPr>
            </w:pPr>
            <w:r>
              <w:rPr>
                <w:rFonts w:ascii="宋体" w:hAnsi="宋体" w:eastAsia="宋体" w:cs="Times New Roman"/>
                <w:szCs w:val="21"/>
              </w:rPr>
              <w:t>（2）</w:t>
            </w:r>
            <w:r>
              <w:rPr>
                <w:rFonts w:ascii="宋体" w:hAnsi="宋体" w:eastAsia="宋体" w:cs="Times New Roman"/>
                <w:szCs w:val="24"/>
              </w:rPr>
              <w:t>教学准备充分，熟悉教学内容；</w:t>
            </w:r>
          </w:p>
          <w:p w14:paraId="10411451">
            <w:pPr>
              <w:spacing w:line="300" w:lineRule="exact"/>
              <w:rPr>
                <w:rFonts w:ascii="宋体" w:hAnsi="宋体" w:eastAsia="宋体" w:cs="Times New Roman"/>
                <w:szCs w:val="21"/>
              </w:rPr>
            </w:pPr>
            <w:r>
              <w:rPr>
                <w:rFonts w:ascii="宋体" w:hAnsi="宋体" w:eastAsia="宋体" w:cs="Times New Roman"/>
                <w:szCs w:val="21"/>
              </w:rPr>
              <w:t>（3）</w:t>
            </w:r>
            <w:r>
              <w:rPr>
                <w:rFonts w:ascii="宋体" w:hAnsi="宋体" w:eastAsia="宋体" w:cs="Times New Roman"/>
                <w:szCs w:val="24"/>
              </w:rPr>
              <w:t>教学内容充实，不断充实最新研究成果；</w:t>
            </w:r>
          </w:p>
          <w:p w14:paraId="002355D3">
            <w:pPr>
              <w:spacing w:line="300" w:lineRule="exact"/>
              <w:rPr>
                <w:rFonts w:ascii="宋体" w:hAnsi="宋体" w:eastAsia="宋体" w:cs="Times New Roman"/>
                <w:szCs w:val="21"/>
              </w:rPr>
            </w:pPr>
            <w:r>
              <w:rPr>
                <w:rFonts w:ascii="宋体" w:hAnsi="宋体" w:eastAsia="宋体" w:cs="Times New Roman"/>
                <w:szCs w:val="21"/>
              </w:rPr>
              <w:t>（4）</w:t>
            </w:r>
            <w:r>
              <w:rPr>
                <w:rFonts w:ascii="宋体" w:hAnsi="宋体" w:eastAsia="宋体" w:cs="Times New Roman"/>
                <w:szCs w:val="24"/>
              </w:rPr>
              <w:t>严格执行计划，教学进度适宜；</w:t>
            </w:r>
          </w:p>
          <w:p w14:paraId="47636EA6">
            <w:pPr>
              <w:spacing w:line="300" w:lineRule="exact"/>
              <w:rPr>
                <w:rFonts w:ascii="宋体" w:hAnsi="宋体" w:eastAsia="宋体" w:cs="Times New Roman"/>
                <w:szCs w:val="21"/>
              </w:rPr>
            </w:pPr>
            <w:r>
              <w:rPr>
                <w:rFonts w:ascii="宋体" w:hAnsi="宋体" w:eastAsia="宋体" w:cs="Times New Roman"/>
                <w:szCs w:val="21"/>
              </w:rPr>
              <w:t>（5）</w:t>
            </w:r>
            <w:r>
              <w:rPr>
                <w:rFonts w:ascii="宋体" w:hAnsi="宋体" w:eastAsia="宋体" w:cs="Times New Roman"/>
                <w:szCs w:val="24"/>
              </w:rPr>
              <w:t>课堂教学信息充分，注重理论联系实际；</w:t>
            </w:r>
          </w:p>
          <w:p w14:paraId="4B84EE06">
            <w:pPr>
              <w:spacing w:line="300" w:lineRule="exact"/>
              <w:rPr>
                <w:rFonts w:ascii="宋体" w:hAnsi="宋体" w:eastAsia="宋体" w:cs="Times New Roman"/>
                <w:szCs w:val="21"/>
              </w:rPr>
            </w:pPr>
            <w:r>
              <w:rPr>
                <w:rFonts w:ascii="宋体" w:hAnsi="宋体" w:eastAsia="宋体" w:cs="Times New Roman"/>
                <w:szCs w:val="21"/>
              </w:rPr>
              <w:t>（6）</w:t>
            </w:r>
            <w:r>
              <w:rPr>
                <w:rFonts w:ascii="宋体" w:hAnsi="宋体" w:eastAsia="宋体" w:cs="Times New Roman"/>
                <w:szCs w:val="24"/>
              </w:rPr>
              <w:t>注重启发学生思维，培养学生的教学能力；</w:t>
            </w:r>
          </w:p>
          <w:p w14:paraId="263D6B7D">
            <w:pPr>
              <w:spacing w:line="300" w:lineRule="exact"/>
              <w:rPr>
                <w:rFonts w:ascii="宋体" w:hAnsi="宋体" w:eastAsia="宋体" w:cs="Times New Roman"/>
                <w:szCs w:val="21"/>
              </w:rPr>
            </w:pPr>
            <w:r>
              <w:rPr>
                <w:rFonts w:ascii="宋体" w:hAnsi="宋体" w:eastAsia="宋体" w:cs="Times New Roman"/>
                <w:szCs w:val="21"/>
              </w:rPr>
              <w:t>（7）</w:t>
            </w:r>
            <w:r>
              <w:rPr>
                <w:rFonts w:ascii="宋体" w:hAnsi="宋体" w:eastAsia="宋体" w:cs="Times New Roman"/>
                <w:szCs w:val="24"/>
              </w:rPr>
              <w:t>面向全体基础上因材施教，灵活运用多种教学方法；</w:t>
            </w:r>
          </w:p>
          <w:p w14:paraId="164E9CDB">
            <w:pPr>
              <w:spacing w:line="300" w:lineRule="exact"/>
              <w:rPr>
                <w:rFonts w:ascii="宋体" w:hAnsi="宋体" w:eastAsia="宋体" w:cs="Times New Roman"/>
                <w:szCs w:val="21"/>
              </w:rPr>
            </w:pPr>
            <w:r>
              <w:rPr>
                <w:rFonts w:ascii="宋体" w:hAnsi="宋体" w:eastAsia="宋体" w:cs="Times New Roman"/>
                <w:szCs w:val="21"/>
              </w:rPr>
              <w:t>（8）</w:t>
            </w:r>
            <w:r>
              <w:rPr>
                <w:rFonts w:ascii="宋体" w:hAnsi="宋体" w:eastAsia="宋体" w:cs="Times New Roman"/>
                <w:szCs w:val="24"/>
              </w:rPr>
              <w:t>教学语言规范，为学生教育教学做好表率；</w:t>
            </w:r>
          </w:p>
          <w:p w14:paraId="2CE38770">
            <w:pPr>
              <w:spacing w:line="300" w:lineRule="exact"/>
              <w:rPr>
                <w:rFonts w:ascii="宋体" w:hAnsi="宋体" w:eastAsia="宋体" w:cs="Times New Roman"/>
                <w:szCs w:val="21"/>
              </w:rPr>
            </w:pPr>
            <w:r>
              <w:rPr>
                <w:rFonts w:ascii="宋体" w:hAnsi="宋体" w:eastAsia="宋体" w:cs="Times New Roman"/>
                <w:szCs w:val="21"/>
              </w:rPr>
              <w:t>（9）</w:t>
            </w:r>
            <w:r>
              <w:rPr>
                <w:rFonts w:ascii="宋体" w:hAnsi="宋体" w:eastAsia="宋体" w:cs="Times New Roman"/>
                <w:szCs w:val="24"/>
              </w:rPr>
              <w:t>教学条理清楚，教学思路逻辑严密；</w:t>
            </w:r>
          </w:p>
          <w:p w14:paraId="1E762D6E">
            <w:pPr>
              <w:spacing w:line="300" w:lineRule="exact"/>
              <w:rPr>
                <w:rFonts w:ascii="宋体" w:hAnsi="宋体" w:eastAsia="宋体" w:cs="Times New Roman"/>
                <w:szCs w:val="21"/>
              </w:rPr>
            </w:pPr>
            <w:r>
              <w:rPr>
                <w:rFonts w:ascii="宋体" w:hAnsi="宋体" w:eastAsia="宋体" w:cs="Times New Roman"/>
                <w:szCs w:val="21"/>
              </w:rPr>
              <w:t>（10）</w:t>
            </w:r>
            <w:r>
              <w:rPr>
                <w:rFonts w:ascii="宋体" w:hAnsi="宋体" w:eastAsia="宋体" w:cs="Times New Roman"/>
                <w:szCs w:val="24"/>
              </w:rPr>
              <w:t>充分运用现代化教学手段，教学技术熟练；</w:t>
            </w:r>
          </w:p>
          <w:p w14:paraId="44A22B42">
            <w:pPr>
              <w:spacing w:line="300" w:lineRule="exact"/>
              <w:rPr>
                <w:rFonts w:ascii="宋体" w:hAnsi="宋体" w:eastAsia="宋体" w:cs="Times New Roman"/>
                <w:szCs w:val="21"/>
              </w:rPr>
            </w:pPr>
            <w:r>
              <w:rPr>
                <w:rFonts w:ascii="宋体" w:hAnsi="宋体" w:eastAsia="宋体" w:cs="Times New Roman"/>
                <w:szCs w:val="21"/>
              </w:rPr>
              <w:t>（11）</w:t>
            </w:r>
            <w:r>
              <w:rPr>
                <w:rFonts w:ascii="宋体" w:hAnsi="宋体" w:eastAsia="宋体" w:cs="Times New Roman"/>
                <w:szCs w:val="24"/>
              </w:rPr>
              <w:t>课堂教学要重点突出，难点突破；</w:t>
            </w:r>
          </w:p>
          <w:p w14:paraId="59747D10">
            <w:pPr>
              <w:spacing w:line="300" w:lineRule="exact"/>
              <w:rPr>
                <w:rFonts w:ascii="宋体" w:hAnsi="宋体" w:eastAsia="宋体" w:cs="Times New Roman"/>
                <w:szCs w:val="21"/>
              </w:rPr>
            </w:pPr>
            <w:r>
              <w:rPr>
                <w:rFonts w:ascii="宋体" w:hAnsi="宋体" w:eastAsia="宋体" w:cs="Times New Roman"/>
                <w:szCs w:val="21"/>
              </w:rPr>
              <w:t>（12）</w:t>
            </w:r>
            <w:r>
              <w:rPr>
                <w:rFonts w:ascii="宋体" w:hAnsi="宋体" w:eastAsia="宋体" w:cs="Times New Roman"/>
                <w:szCs w:val="24"/>
              </w:rPr>
              <w:t>注重师生互动，形成良好的课堂氛围。</w:t>
            </w:r>
          </w:p>
        </w:tc>
      </w:tr>
      <w:tr w14:paraId="0718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644" w:type="dxa"/>
            <w:tcBorders>
              <w:left w:val="single" w:color="auto" w:sz="8" w:space="0"/>
            </w:tcBorders>
            <w:vAlign w:val="center"/>
          </w:tcPr>
          <w:p w14:paraId="067CFCD5">
            <w:pPr>
              <w:spacing w:line="300" w:lineRule="exact"/>
              <w:jc w:val="center"/>
              <w:rPr>
                <w:rFonts w:ascii="宋体" w:hAnsi="宋体" w:eastAsia="宋体" w:cs="Times New Roman"/>
                <w:szCs w:val="21"/>
              </w:rPr>
            </w:pPr>
            <w:r>
              <w:rPr>
                <w:rFonts w:ascii="宋体" w:hAnsi="宋体" w:eastAsia="宋体" w:cs="Times New Roman"/>
                <w:szCs w:val="21"/>
              </w:rPr>
              <w:t>3</w:t>
            </w:r>
          </w:p>
        </w:tc>
        <w:tc>
          <w:tcPr>
            <w:tcW w:w="931" w:type="dxa"/>
            <w:tcMar>
              <w:left w:w="28" w:type="dxa"/>
              <w:right w:w="28" w:type="dxa"/>
            </w:tcMar>
            <w:vAlign w:val="center"/>
          </w:tcPr>
          <w:p w14:paraId="38691FB5">
            <w:pPr>
              <w:spacing w:line="300" w:lineRule="exact"/>
              <w:jc w:val="center"/>
              <w:rPr>
                <w:rFonts w:ascii="宋体" w:hAnsi="宋体" w:eastAsia="宋体" w:cs="Times New Roman"/>
                <w:szCs w:val="21"/>
              </w:rPr>
            </w:pPr>
            <w:r>
              <w:rPr>
                <w:rFonts w:ascii="宋体" w:hAnsi="宋体" w:eastAsia="宋体" w:cs="Times New Roman"/>
                <w:szCs w:val="21"/>
              </w:rPr>
              <w:t>作业布置与批改</w:t>
            </w:r>
          </w:p>
        </w:tc>
        <w:tc>
          <w:tcPr>
            <w:tcW w:w="7525" w:type="dxa"/>
            <w:tcBorders>
              <w:right w:val="single" w:color="auto" w:sz="8" w:space="0"/>
            </w:tcBorders>
            <w:vAlign w:val="center"/>
          </w:tcPr>
          <w:p w14:paraId="1F284D53">
            <w:pPr>
              <w:spacing w:line="300" w:lineRule="exact"/>
              <w:rPr>
                <w:rFonts w:ascii="宋体" w:hAnsi="宋体" w:eastAsia="宋体" w:cs="Times New Roman"/>
                <w:szCs w:val="21"/>
              </w:rPr>
            </w:pPr>
            <w:r>
              <w:rPr>
                <w:rFonts w:ascii="宋体" w:hAnsi="宋体" w:eastAsia="宋体" w:cs="Times New Roman"/>
                <w:szCs w:val="21"/>
              </w:rPr>
              <w:t>学生必须完成规定数量的作业，作业必须达到以下基本要求：</w:t>
            </w:r>
          </w:p>
          <w:p w14:paraId="4E5AEF33">
            <w:pPr>
              <w:spacing w:line="300" w:lineRule="exact"/>
              <w:rPr>
                <w:rFonts w:ascii="宋体" w:hAnsi="宋体" w:eastAsia="宋体" w:cs="Times New Roman"/>
                <w:szCs w:val="21"/>
              </w:rPr>
            </w:pPr>
            <w:r>
              <w:rPr>
                <w:rFonts w:ascii="宋体" w:hAnsi="宋体" w:eastAsia="宋体" w:cs="Times New Roman"/>
                <w:szCs w:val="21"/>
              </w:rPr>
              <w:t>（1）按时按量完成作业，不缺交，不抄袭。</w:t>
            </w:r>
          </w:p>
          <w:p w14:paraId="35A4AFFC">
            <w:pPr>
              <w:spacing w:line="300" w:lineRule="exact"/>
              <w:rPr>
                <w:rFonts w:ascii="宋体" w:hAnsi="宋体" w:eastAsia="宋体" w:cs="Times New Roman"/>
                <w:szCs w:val="21"/>
              </w:rPr>
            </w:pPr>
            <w:r>
              <w:rPr>
                <w:rFonts w:ascii="宋体" w:hAnsi="宋体" w:eastAsia="宋体" w:cs="Times New Roman"/>
                <w:szCs w:val="21"/>
              </w:rPr>
              <w:t>（2）作业规范，书写清晰。</w:t>
            </w:r>
          </w:p>
          <w:p w14:paraId="3EDE6E50">
            <w:pPr>
              <w:spacing w:line="300" w:lineRule="exact"/>
              <w:rPr>
                <w:rFonts w:ascii="宋体" w:hAnsi="宋体" w:eastAsia="宋体" w:cs="Times New Roman"/>
                <w:szCs w:val="21"/>
              </w:rPr>
            </w:pPr>
            <w:r>
              <w:rPr>
                <w:rFonts w:ascii="宋体" w:hAnsi="宋体" w:eastAsia="宋体" w:cs="Times New Roman"/>
                <w:szCs w:val="21"/>
              </w:rPr>
              <w:t>（3）解题方法和步骤正确。</w:t>
            </w:r>
          </w:p>
          <w:p w14:paraId="441C8B28">
            <w:pPr>
              <w:spacing w:line="300" w:lineRule="exact"/>
              <w:rPr>
                <w:rFonts w:ascii="宋体" w:hAnsi="宋体" w:eastAsia="宋体" w:cs="Times New Roman"/>
                <w:szCs w:val="21"/>
              </w:rPr>
            </w:pPr>
            <w:r>
              <w:rPr>
                <w:rFonts w:ascii="宋体" w:hAnsi="宋体" w:eastAsia="宋体" w:cs="Times New Roman"/>
                <w:szCs w:val="21"/>
              </w:rPr>
              <w:t>教师批改和讲评作业要求如下：</w:t>
            </w:r>
          </w:p>
          <w:p w14:paraId="568E2D22">
            <w:pPr>
              <w:spacing w:line="300" w:lineRule="exact"/>
              <w:rPr>
                <w:rFonts w:ascii="宋体" w:hAnsi="宋体" w:eastAsia="宋体" w:cs="Times New Roman"/>
                <w:szCs w:val="21"/>
              </w:rPr>
            </w:pPr>
            <w:r>
              <w:rPr>
                <w:rFonts w:ascii="宋体" w:hAnsi="宋体" w:eastAsia="宋体" w:cs="Times New Roman"/>
                <w:szCs w:val="21"/>
              </w:rPr>
              <w:t>（1）学生的作业要按时批改，并及时进行讲评。</w:t>
            </w:r>
          </w:p>
          <w:p w14:paraId="6D99720C">
            <w:pPr>
              <w:spacing w:line="300" w:lineRule="exact"/>
              <w:rPr>
                <w:rFonts w:ascii="宋体" w:hAnsi="宋体" w:eastAsia="宋体" w:cs="Times New Roman"/>
                <w:szCs w:val="21"/>
              </w:rPr>
            </w:pPr>
            <w:r>
              <w:rPr>
                <w:rFonts w:ascii="宋体" w:hAnsi="宋体" w:eastAsia="宋体" w:cs="Times New Roman"/>
                <w:szCs w:val="21"/>
              </w:rPr>
              <w:t>（2）教师批改和讲评作业要认真、细致，按百分制评定成绩并写明日期。</w:t>
            </w:r>
          </w:p>
          <w:p w14:paraId="0CE96527">
            <w:pPr>
              <w:spacing w:line="300" w:lineRule="exact"/>
              <w:rPr>
                <w:rFonts w:ascii="宋体" w:hAnsi="宋体" w:eastAsia="宋体" w:cs="Times New Roman"/>
                <w:szCs w:val="21"/>
              </w:rPr>
            </w:pPr>
            <w:r>
              <w:rPr>
                <w:rFonts w:ascii="宋体" w:hAnsi="宋体" w:eastAsia="宋体" w:cs="Times New Roman"/>
                <w:szCs w:val="21"/>
              </w:rPr>
              <w:t>（3）学生作业平均成绩应作为本课程总评成绩中平时成绩的重要组成部分。</w:t>
            </w:r>
          </w:p>
        </w:tc>
      </w:tr>
      <w:tr w14:paraId="38B6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644" w:type="dxa"/>
            <w:tcBorders>
              <w:left w:val="single" w:color="auto" w:sz="8" w:space="0"/>
            </w:tcBorders>
            <w:vAlign w:val="center"/>
          </w:tcPr>
          <w:p w14:paraId="594D884E">
            <w:pPr>
              <w:spacing w:line="300" w:lineRule="exact"/>
              <w:jc w:val="center"/>
              <w:rPr>
                <w:rFonts w:ascii="宋体" w:hAnsi="宋体" w:eastAsia="宋体" w:cs="Times New Roman"/>
                <w:szCs w:val="21"/>
              </w:rPr>
            </w:pPr>
            <w:r>
              <w:rPr>
                <w:rFonts w:ascii="宋体" w:hAnsi="宋体" w:eastAsia="宋体" w:cs="Times New Roman"/>
                <w:szCs w:val="21"/>
              </w:rPr>
              <w:t>4</w:t>
            </w:r>
          </w:p>
        </w:tc>
        <w:tc>
          <w:tcPr>
            <w:tcW w:w="931" w:type="dxa"/>
            <w:tcMar>
              <w:left w:w="28" w:type="dxa"/>
              <w:right w:w="28" w:type="dxa"/>
            </w:tcMar>
            <w:vAlign w:val="center"/>
          </w:tcPr>
          <w:p w14:paraId="7F4BACFA">
            <w:pPr>
              <w:spacing w:line="300" w:lineRule="exact"/>
              <w:jc w:val="center"/>
              <w:rPr>
                <w:rFonts w:ascii="宋体" w:hAnsi="宋体" w:eastAsia="宋体" w:cs="Times New Roman"/>
                <w:szCs w:val="21"/>
              </w:rPr>
            </w:pPr>
            <w:r>
              <w:rPr>
                <w:rFonts w:ascii="宋体" w:hAnsi="宋体" w:eastAsia="宋体" w:cs="Times New Roman"/>
                <w:szCs w:val="21"/>
              </w:rPr>
              <w:t>课外答疑</w:t>
            </w:r>
          </w:p>
        </w:tc>
        <w:tc>
          <w:tcPr>
            <w:tcW w:w="7525" w:type="dxa"/>
            <w:tcBorders>
              <w:right w:val="single" w:color="auto" w:sz="8" w:space="0"/>
            </w:tcBorders>
            <w:vAlign w:val="center"/>
          </w:tcPr>
          <w:p w14:paraId="51D10AF5">
            <w:pPr>
              <w:spacing w:line="300" w:lineRule="exact"/>
              <w:rPr>
                <w:rFonts w:ascii="宋体" w:hAnsi="宋体" w:eastAsia="宋体" w:cs="Times New Roman"/>
                <w:szCs w:val="21"/>
              </w:rPr>
            </w:pPr>
            <w:r>
              <w:rPr>
                <w:rFonts w:ascii="宋体" w:hAnsi="宋体"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190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44" w:type="dxa"/>
            <w:tcBorders>
              <w:left w:val="single" w:color="auto" w:sz="8" w:space="0"/>
            </w:tcBorders>
            <w:vAlign w:val="center"/>
          </w:tcPr>
          <w:p w14:paraId="0619188A">
            <w:pPr>
              <w:spacing w:line="300" w:lineRule="exact"/>
              <w:jc w:val="center"/>
              <w:rPr>
                <w:rFonts w:ascii="宋体" w:hAnsi="宋体" w:eastAsia="宋体" w:cs="Times New Roman"/>
                <w:szCs w:val="21"/>
              </w:rPr>
            </w:pPr>
            <w:r>
              <w:rPr>
                <w:rFonts w:ascii="宋体" w:hAnsi="宋体" w:eastAsia="宋体" w:cs="Times New Roman"/>
                <w:szCs w:val="21"/>
              </w:rPr>
              <w:t>5</w:t>
            </w:r>
          </w:p>
        </w:tc>
        <w:tc>
          <w:tcPr>
            <w:tcW w:w="931" w:type="dxa"/>
            <w:tcMar>
              <w:left w:w="28" w:type="dxa"/>
              <w:right w:w="28" w:type="dxa"/>
            </w:tcMar>
            <w:vAlign w:val="center"/>
          </w:tcPr>
          <w:p w14:paraId="36123C43">
            <w:pPr>
              <w:spacing w:line="300" w:lineRule="exact"/>
              <w:jc w:val="center"/>
              <w:rPr>
                <w:rFonts w:ascii="宋体" w:hAnsi="宋体" w:eastAsia="宋体" w:cs="Times New Roman"/>
                <w:szCs w:val="21"/>
              </w:rPr>
            </w:pPr>
            <w:r>
              <w:rPr>
                <w:rFonts w:ascii="宋体" w:hAnsi="宋体" w:eastAsia="宋体" w:cs="Times New Roman"/>
                <w:szCs w:val="21"/>
              </w:rPr>
              <w:t>成绩考核</w:t>
            </w:r>
          </w:p>
        </w:tc>
        <w:tc>
          <w:tcPr>
            <w:tcW w:w="7525" w:type="dxa"/>
            <w:tcBorders>
              <w:right w:val="single" w:color="auto" w:sz="8" w:space="0"/>
            </w:tcBorders>
            <w:vAlign w:val="center"/>
          </w:tcPr>
          <w:p w14:paraId="6CC37B29">
            <w:pPr>
              <w:spacing w:line="300" w:lineRule="exact"/>
              <w:rPr>
                <w:rFonts w:ascii="宋体" w:hAnsi="宋体" w:eastAsia="宋体" w:cs="Times New Roman"/>
                <w:szCs w:val="21"/>
              </w:rPr>
            </w:pPr>
            <w:r>
              <w:rPr>
                <w:rFonts w:ascii="宋体" w:hAnsi="宋体" w:eastAsia="宋体" w:cs="Times New Roman"/>
                <w:szCs w:val="21"/>
              </w:rPr>
              <w:t>本课程考核的方式为闭卷笔试。监考由学院统一安排。有下列情况之一者，总评成绩为不及格：</w:t>
            </w:r>
          </w:p>
          <w:p w14:paraId="47707EAD">
            <w:pPr>
              <w:spacing w:line="300" w:lineRule="exact"/>
              <w:rPr>
                <w:rFonts w:ascii="宋体" w:hAnsi="宋体" w:eastAsia="宋体" w:cs="Times New Roman"/>
                <w:szCs w:val="21"/>
              </w:rPr>
            </w:pPr>
            <w:r>
              <w:rPr>
                <w:rFonts w:ascii="宋体" w:hAnsi="宋体" w:eastAsia="宋体" w:cs="Times New Roman"/>
                <w:szCs w:val="21"/>
              </w:rPr>
              <w:t>（1）缺交作业次数达1/3以上者。</w:t>
            </w:r>
          </w:p>
          <w:p w14:paraId="226D9898">
            <w:pPr>
              <w:spacing w:line="300" w:lineRule="exact"/>
              <w:rPr>
                <w:rFonts w:ascii="宋体" w:hAnsi="宋体" w:eastAsia="宋体" w:cs="Times New Roman"/>
                <w:szCs w:val="21"/>
              </w:rPr>
            </w:pPr>
            <w:r>
              <w:rPr>
                <w:rFonts w:ascii="宋体" w:hAnsi="宋体" w:eastAsia="宋体" w:cs="Times New Roman"/>
                <w:szCs w:val="21"/>
              </w:rPr>
              <w:t>（2）缺课次数达本学期总授课学时的1/3以上者。</w:t>
            </w:r>
          </w:p>
        </w:tc>
      </w:tr>
    </w:tbl>
    <w:p w14:paraId="17EAAEAE">
      <w:p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、课程考核</w:t>
      </w:r>
    </w:p>
    <w:p w14:paraId="04C2FEB5">
      <w:pPr>
        <w:spacing w:line="336" w:lineRule="auto"/>
        <w:ind w:firstLine="480" w:firstLineChars="200"/>
        <w:rPr>
          <w:rFonts w:ascii="宋体" w:hAnsi="宋体" w:eastAsia="宋体"/>
          <w:bCs/>
          <w:sz w:val="24"/>
          <w:szCs w:val="24"/>
        </w:rPr>
      </w:pPr>
      <w:r>
        <w:rPr>
          <w:rFonts w:ascii="宋体" w:hAnsi="宋体" w:eastAsia="宋体"/>
          <w:bCs/>
          <w:sz w:val="24"/>
          <w:szCs w:val="24"/>
        </w:rPr>
        <w:t>课程考核包括期末考试、平时及作业考核</w:t>
      </w:r>
      <w:r>
        <w:rPr>
          <w:rFonts w:hint="eastAsia" w:ascii="宋体" w:hAnsi="宋体" w:eastAsia="宋体"/>
          <w:bCs/>
          <w:sz w:val="24"/>
          <w:szCs w:val="24"/>
        </w:rPr>
        <w:t>等</w:t>
      </w:r>
      <w:r>
        <w:rPr>
          <w:rFonts w:ascii="宋体" w:hAnsi="宋体" w:eastAsia="宋体"/>
          <w:bCs/>
          <w:sz w:val="24"/>
          <w:szCs w:val="24"/>
        </w:rPr>
        <w:t>，期</w:t>
      </w:r>
      <w:r>
        <w:rPr>
          <w:rFonts w:hint="eastAsia" w:ascii="宋体" w:hAnsi="宋体" w:eastAsia="宋体"/>
          <w:bCs/>
          <w:sz w:val="24"/>
          <w:szCs w:val="24"/>
        </w:rPr>
        <w:t>末</w:t>
      </w:r>
      <w:r>
        <w:rPr>
          <w:rFonts w:ascii="宋体" w:hAnsi="宋体" w:eastAsia="宋体"/>
          <w:bCs/>
          <w:sz w:val="24"/>
          <w:szCs w:val="24"/>
        </w:rPr>
        <w:t>考试采用</w:t>
      </w:r>
      <w:r>
        <w:rPr>
          <w:rFonts w:hint="eastAsia" w:ascii="宋体" w:hAnsi="宋体" w:eastAsia="宋体"/>
          <w:bCs/>
          <w:sz w:val="24"/>
          <w:szCs w:val="24"/>
        </w:rPr>
        <w:t>闭卷考试方式</w:t>
      </w:r>
      <w:r>
        <w:rPr>
          <w:rFonts w:ascii="宋体" w:hAnsi="宋体" w:eastAsia="宋体"/>
          <w:bCs/>
          <w:sz w:val="24"/>
          <w:szCs w:val="24"/>
        </w:rPr>
        <w:t>。</w:t>
      </w:r>
    </w:p>
    <w:p w14:paraId="2D81C1B7">
      <w:pPr>
        <w:spacing w:line="336" w:lineRule="auto"/>
        <w:ind w:firstLine="480" w:firstLineChars="200"/>
        <w:rPr>
          <w:rFonts w:ascii="宋体" w:hAnsi="宋体" w:eastAsia="宋体" w:cs="Times New Roman"/>
          <w:bCs/>
          <w:sz w:val="24"/>
          <w:szCs w:val="24"/>
        </w:rPr>
      </w:pPr>
      <w:r>
        <w:rPr>
          <w:rFonts w:hint="eastAsia" w:ascii="宋体" w:hAnsi="宋体" w:eastAsia="宋体"/>
          <w:bCs/>
          <w:sz w:val="24"/>
          <w:szCs w:val="24"/>
        </w:rPr>
        <w:t>课程总评成绩=出勤情况成绩×</w:t>
      </w:r>
      <w:r>
        <w:rPr>
          <w:rFonts w:ascii="宋体" w:hAnsi="宋体" w:eastAsia="宋体" w:cs="Times New Roman"/>
          <w:bCs/>
          <w:sz w:val="24"/>
          <w:szCs w:val="24"/>
        </w:rPr>
        <w:t>10 %</w:t>
      </w:r>
      <w:r>
        <w:rPr>
          <w:rFonts w:hint="eastAsia" w:ascii="宋体" w:hAnsi="宋体" w:eastAsia="宋体"/>
          <w:bCs/>
          <w:sz w:val="24"/>
          <w:szCs w:val="24"/>
        </w:rPr>
        <w:t xml:space="preserve"> +师生互动成绩×</w:t>
      </w:r>
      <w:r>
        <w:rPr>
          <w:rFonts w:ascii="宋体" w:hAnsi="宋体" w:eastAsia="宋体" w:cs="Times New Roman"/>
          <w:bCs/>
          <w:sz w:val="24"/>
          <w:szCs w:val="24"/>
        </w:rPr>
        <w:t xml:space="preserve">10 % </w:t>
      </w:r>
      <w:r>
        <w:rPr>
          <w:rFonts w:hint="eastAsia" w:ascii="宋体" w:hAnsi="宋体" w:eastAsia="宋体"/>
          <w:bCs/>
          <w:sz w:val="24"/>
          <w:szCs w:val="24"/>
        </w:rPr>
        <w:t>+作业成绩×</w:t>
      </w:r>
      <w:r>
        <w:rPr>
          <w:rFonts w:ascii="宋体" w:hAnsi="宋体" w:eastAsia="宋体" w:cs="Times New Roman"/>
          <w:bCs/>
          <w:sz w:val="24"/>
          <w:szCs w:val="24"/>
        </w:rPr>
        <w:t xml:space="preserve">30 % </w:t>
      </w:r>
      <w:r>
        <w:rPr>
          <w:rFonts w:hint="eastAsia" w:ascii="宋体" w:hAnsi="宋体" w:eastAsia="宋体"/>
          <w:bCs/>
          <w:sz w:val="24"/>
          <w:szCs w:val="24"/>
        </w:rPr>
        <w:t>+</w:t>
      </w:r>
      <w:r>
        <w:rPr>
          <w:rFonts w:ascii="宋体" w:hAnsi="宋体" w:eastAsia="宋体"/>
          <w:bCs/>
          <w:sz w:val="24"/>
          <w:szCs w:val="24"/>
        </w:rPr>
        <w:t xml:space="preserve"> </w:t>
      </w:r>
      <w:r>
        <w:rPr>
          <w:rFonts w:hint="eastAsia" w:ascii="宋体" w:hAnsi="宋体" w:eastAsia="宋体"/>
          <w:bCs/>
          <w:sz w:val="24"/>
          <w:szCs w:val="24"/>
        </w:rPr>
        <w:t>期末考试成绩×</w:t>
      </w:r>
      <w:r>
        <w:rPr>
          <w:rFonts w:ascii="宋体" w:hAnsi="宋体" w:eastAsia="宋体" w:cs="Times New Roman"/>
          <w:bCs/>
          <w:sz w:val="24"/>
          <w:szCs w:val="24"/>
        </w:rPr>
        <w:t>50 %</w:t>
      </w:r>
      <w:r>
        <w:rPr>
          <w:rFonts w:hint="eastAsia" w:ascii="宋体" w:hAnsi="宋体" w:eastAsia="宋体"/>
          <w:bCs/>
          <w:sz w:val="24"/>
          <w:szCs w:val="24"/>
        </w:rPr>
        <w:t>。</w:t>
      </w:r>
    </w:p>
    <w:p w14:paraId="0A97DE68">
      <w:pPr>
        <w:spacing w:line="336" w:lineRule="auto"/>
        <w:ind w:firstLine="480" w:firstLineChars="200"/>
        <w:rPr>
          <w:rFonts w:ascii="宋体" w:hAnsi="宋体" w:eastAsia="宋体" w:cs="Times New Roman"/>
          <w:bCs/>
          <w:sz w:val="24"/>
          <w:szCs w:val="24"/>
        </w:rPr>
      </w:pPr>
      <w:r>
        <w:rPr>
          <w:rFonts w:hint="eastAsia" w:ascii="宋体" w:hAnsi="宋体" w:eastAsia="宋体"/>
          <w:bCs/>
          <w:sz w:val="24"/>
          <w:szCs w:val="24"/>
        </w:rPr>
        <w:t>具体内容和比例如表所示。</w:t>
      </w:r>
    </w:p>
    <w:tbl>
      <w:tblPr>
        <w:tblStyle w:val="30"/>
        <w:tblpPr w:leftFromText="180" w:rightFromText="180" w:vertAnchor="text" w:horzAnchor="margin" w:tblpXSpec="center" w:tblpY="244"/>
        <w:tblW w:w="84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654"/>
        <w:gridCol w:w="947"/>
        <w:gridCol w:w="3361"/>
        <w:gridCol w:w="717"/>
        <w:gridCol w:w="723"/>
        <w:gridCol w:w="718"/>
        <w:gridCol w:w="10"/>
        <w:gridCol w:w="710"/>
      </w:tblGrid>
      <w:tr w14:paraId="3AD3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3" w:type="dxa"/>
            <w:vMerge w:val="restart"/>
            <w:shd w:val="clear" w:color="auto" w:fill="FFFFFF"/>
            <w:tcMar>
              <w:left w:w="57" w:type="dxa"/>
              <w:right w:w="57" w:type="dxa"/>
            </w:tcMar>
            <w:vAlign w:val="center"/>
          </w:tcPr>
          <w:p w14:paraId="5D8B87B8">
            <w:pPr>
              <w:pStyle w:val="40"/>
              <w:jc w:val="center"/>
              <w:rPr>
                <w:rFonts w:ascii="宋体" w:hAnsi="宋体" w:eastAsia="宋体"/>
                <w:b/>
                <w:bCs/>
                <w:szCs w:val="21"/>
              </w:rPr>
            </w:pPr>
            <w:r>
              <w:rPr>
                <w:rFonts w:hint="eastAsia" w:ascii="宋体" w:hAnsi="宋体" w:eastAsia="宋体"/>
                <w:b/>
                <w:bCs/>
                <w:szCs w:val="21"/>
              </w:rPr>
              <w:t>考核环节</w:t>
            </w:r>
          </w:p>
        </w:tc>
        <w:tc>
          <w:tcPr>
            <w:tcW w:w="654" w:type="dxa"/>
            <w:vMerge w:val="restart"/>
            <w:shd w:val="clear" w:color="auto" w:fill="FFFFFF"/>
            <w:vAlign w:val="center"/>
          </w:tcPr>
          <w:p w14:paraId="2507FF94">
            <w:pPr>
              <w:pStyle w:val="40"/>
              <w:jc w:val="center"/>
              <w:rPr>
                <w:rFonts w:ascii="宋体" w:hAnsi="宋体" w:eastAsia="宋体"/>
                <w:b/>
                <w:bCs/>
                <w:szCs w:val="21"/>
              </w:rPr>
            </w:pPr>
            <w:r>
              <w:rPr>
                <w:rFonts w:hint="eastAsia" w:ascii="宋体" w:hAnsi="宋体" w:eastAsia="宋体"/>
                <w:b/>
                <w:bCs/>
                <w:szCs w:val="21"/>
              </w:rPr>
              <w:t>成绩比例</w:t>
            </w:r>
          </w:p>
        </w:tc>
        <w:tc>
          <w:tcPr>
            <w:tcW w:w="4308" w:type="dxa"/>
            <w:gridSpan w:val="2"/>
            <w:vMerge w:val="restart"/>
            <w:shd w:val="clear" w:color="auto" w:fill="FFFFFF"/>
            <w:vAlign w:val="center"/>
          </w:tcPr>
          <w:p w14:paraId="242F919C">
            <w:pPr>
              <w:pStyle w:val="40"/>
              <w:jc w:val="center"/>
              <w:rPr>
                <w:rFonts w:ascii="宋体" w:hAnsi="宋体" w:eastAsia="宋体"/>
                <w:b/>
                <w:bCs/>
                <w:szCs w:val="21"/>
              </w:rPr>
            </w:pPr>
            <w:r>
              <w:rPr>
                <w:rFonts w:ascii="宋体" w:hAnsi="宋体" w:eastAsia="宋体"/>
                <w:b/>
                <w:bCs/>
                <w:szCs w:val="21"/>
              </w:rPr>
              <w:t>考核</w:t>
            </w:r>
            <w:r>
              <w:rPr>
                <w:rFonts w:hint="eastAsia" w:ascii="宋体" w:hAnsi="宋体" w:eastAsia="宋体"/>
                <w:b/>
                <w:bCs/>
                <w:szCs w:val="21"/>
              </w:rPr>
              <w:t>内容与</w:t>
            </w:r>
            <w:r>
              <w:rPr>
                <w:rFonts w:ascii="宋体" w:hAnsi="宋体" w:eastAsia="宋体"/>
                <w:b/>
                <w:bCs/>
                <w:szCs w:val="21"/>
              </w:rPr>
              <w:t>评价细则</w:t>
            </w:r>
          </w:p>
        </w:tc>
        <w:tc>
          <w:tcPr>
            <w:tcW w:w="2878" w:type="dxa"/>
            <w:gridSpan w:val="5"/>
            <w:shd w:val="clear" w:color="auto" w:fill="FFFFFF"/>
            <w:vAlign w:val="center"/>
          </w:tcPr>
          <w:p w14:paraId="0183F452">
            <w:pPr>
              <w:pStyle w:val="40"/>
              <w:jc w:val="center"/>
              <w:rPr>
                <w:rFonts w:ascii="宋体" w:hAnsi="宋体" w:eastAsia="宋体"/>
                <w:b/>
                <w:bCs/>
                <w:szCs w:val="21"/>
              </w:rPr>
            </w:pPr>
            <w:r>
              <w:rPr>
                <w:rFonts w:hint="eastAsia" w:ascii="宋体" w:hAnsi="宋体" w:eastAsia="宋体"/>
                <w:b/>
                <w:bCs/>
                <w:szCs w:val="21"/>
              </w:rPr>
              <w:t>支撑目标</w:t>
            </w:r>
          </w:p>
        </w:tc>
      </w:tr>
      <w:tr w14:paraId="7402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03" w:type="dxa"/>
            <w:vMerge w:val="continue"/>
            <w:shd w:val="clear" w:color="auto" w:fill="FFFFFF"/>
            <w:tcMar>
              <w:left w:w="57" w:type="dxa"/>
              <w:right w:w="57" w:type="dxa"/>
            </w:tcMar>
            <w:vAlign w:val="center"/>
          </w:tcPr>
          <w:p w14:paraId="1AD88093">
            <w:pPr>
              <w:pStyle w:val="40"/>
              <w:jc w:val="center"/>
              <w:rPr>
                <w:rFonts w:ascii="宋体" w:hAnsi="宋体" w:eastAsia="宋体"/>
                <w:b/>
                <w:bCs/>
                <w:szCs w:val="21"/>
              </w:rPr>
            </w:pPr>
          </w:p>
        </w:tc>
        <w:tc>
          <w:tcPr>
            <w:tcW w:w="654" w:type="dxa"/>
            <w:vMerge w:val="continue"/>
            <w:shd w:val="clear" w:color="auto" w:fill="FFFFFF"/>
            <w:vAlign w:val="center"/>
          </w:tcPr>
          <w:p w14:paraId="7F28989A">
            <w:pPr>
              <w:pStyle w:val="40"/>
              <w:jc w:val="center"/>
              <w:rPr>
                <w:rFonts w:ascii="宋体" w:hAnsi="宋体" w:eastAsia="宋体"/>
                <w:b/>
                <w:bCs/>
                <w:szCs w:val="21"/>
              </w:rPr>
            </w:pPr>
          </w:p>
        </w:tc>
        <w:tc>
          <w:tcPr>
            <w:tcW w:w="4308" w:type="dxa"/>
            <w:gridSpan w:val="2"/>
            <w:vMerge w:val="continue"/>
            <w:shd w:val="clear" w:color="auto" w:fill="FFFFFF"/>
            <w:vAlign w:val="center"/>
          </w:tcPr>
          <w:p w14:paraId="0A0B5C23">
            <w:pPr>
              <w:pStyle w:val="40"/>
              <w:jc w:val="center"/>
              <w:rPr>
                <w:rFonts w:ascii="宋体" w:hAnsi="宋体" w:eastAsia="宋体"/>
                <w:b/>
                <w:bCs/>
                <w:szCs w:val="21"/>
              </w:rPr>
            </w:pPr>
          </w:p>
        </w:tc>
        <w:tc>
          <w:tcPr>
            <w:tcW w:w="717" w:type="dxa"/>
            <w:shd w:val="clear" w:color="auto" w:fill="FFFFFF"/>
            <w:vAlign w:val="center"/>
          </w:tcPr>
          <w:p w14:paraId="4EB3C541">
            <w:pPr>
              <w:pStyle w:val="40"/>
              <w:jc w:val="center"/>
              <w:rPr>
                <w:rFonts w:ascii="宋体" w:hAnsi="宋体" w:eastAsia="宋体"/>
                <w:b/>
                <w:bCs/>
                <w:szCs w:val="21"/>
              </w:rPr>
            </w:pPr>
            <w:r>
              <w:rPr>
                <w:rFonts w:hint="eastAsia" w:ascii="宋体" w:hAnsi="宋体" w:eastAsia="宋体"/>
                <w:b/>
                <w:bCs/>
                <w:szCs w:val="21"/>
              </w:rPr>
              <w:t>目标1</w:t>
            </w:r>
          </w:p>
        </w:tc>
        <w:tc>
          <w:tcPr>
            <w:tcW w:w="723" w:type="dxa"/>
            <w:shd w:val="clear" w:color="auto" w:fill="FFFFFF"/>
            <w:vAlign w:val="center"/>
          </w:tcPr>
          <w:p w14:paraId="3ECDDB03">
            <w:pPr>
              <w:pStyle w:val="40"/>
              <w:jc w:val="center"/>
              <w:rPr>
                <w:rFonts w:ascii="宋体" w:hAnsi="宋体" w:eastAsia="宋体"/>
                <w:b/>
                <w:bCs/>
                <w:szCs w:val="21"/>
              </w:rPr>
            </w:pPr>
            <w:r>
              <w:rPr>
                <w:rFonts w:hint="eastAsia" w:ascii="宋体" w:hAnsi="宋体" w:eastAsia="宋体"/>
                <w:b/>
                <w:bCs/>
                <w:szCs w:val="21"/>
              </w:rPr>
              <w:t>目标2</w:t>
            </w:r>
          </w:p>
        </w:tc>
        <w:tc>
          <w:tcPr>
            <w:tcW w:w="718" w:type="dxa"/>
            <w:shd w:val="clear" w:color="auto" w:fill="FFFFFF"/>
            <w:vAlign w:val="center"/>
          </w:tcPr>
          <w:p w14:paraId="4F9047B7">
            <w:pPr>
              <w:pStyle w:val="40"/>
              <w:jc w:val="center"/>
              <w:rPr>
                <w:rFonts w:ascii="宋体" w:hAnsi="宋体" w:eastAsia="宋体"/>
                <w:b/>
                <w:bCs/>
                <w:szCs w:val="21"/>
              </w:rPr>
            </w:pPr>
            <w:r>
              <w:rPr>
                <w:rFonts w:hint="eastAsia" w:ascii="宋体" w:hAnsi="宋体" w:eastAsia="宋体"/>
                <w:b/>
                <w:bCs/>
                <w:szCs w:val="21"/>
              </w:rPr>
              <w:t>目标3</w:t>
            </w:r>
          </w:p>
        </w:tc>
        <w:tc>
          <w:tcPr>
            <w:tcW w:w="720" w:type="dxa"/>
            <w:gridSpan w:val="2"/>
            <w:shd w:val="clear" w:color="auto" w:fill="FFFFFF"/>
            <w:vAlign w:val="center"/>
          </w:tcPr>
          <w:p w14:paraId="77A5F64C">
            <w:pPr>
              <w:pStyle w:val="40"/>
              <w:jc w:val="center"/>
              <w:rPr>
                <w:rFonts w:ascii="宋体" w:hAnsi="宋体" w:eastAsia="宋体"/>
                <w:b/>
                <w:bCs/>
                <w:szCs w:val="21"/>
              </w:rPr>
            </w:pPr>
            <w:r>
              <w:rPr>
                <w:rFonts w:hint="eastAsia" w:ascii="宋体" w:hAnsi="宋体" w:eastAsia="宋体"/>
                <w:b/>
                <w:bCs/>
                <w:szCs w:val="21"/>
              </w:rPr>
              <w:t>目标4</w:t>
            </w:r>
          </w:p>
        </w:tc>
      </w:tr>
      <w:tr w14:paraId="6963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03" w:type="dxa"/>
            <w:shd w:val="clear" w:color="auto" w:fill="FFFFFF"/>
            <w:tcMar>
              <w:left w:w="57" w:type="dxa"/>
              <w:right w:w="57" w:type="dxa"/>
            </w:tcMar>
            <w:vAlign w:val="center"/>
          </w:tcPr>
          <w:p w14:paraId="6B2FF0D6">
            <w:pPr>
              <w:pStyle w:val="40"/>
              <w:jc w:val="center"/>
              <w:rPr>
                <w:rFonts w:ascii="宋体" w:hAnsi="宋体" w:eastAsia="宋体"/>
                <w:szCs w:val="21"/>
              </w:rPr>
            </w:pPr>
            <w:r>
              <w:rPr>
                <w:rFonts w:hint="eastAsia" w:ascii="宋体" w:hAnsi="宋体" w:eastAsia="宋体"/>
                <w:szCs w:val="21"/>
              </w:rPr>
              <w:t>出勤情况</w:t>
            </w:r>
          </w:p>
        </w:tc>
        <w:tc>
          <w:tcPr>
            <w:tcW w:w="654" w:type="dxa"/>
            <w:shd w:val="clear" w:color="auto" w:fill="FFFFFF"/>
            <w:vAlign w:val="center"/>
          </w:tcPr>
          <w:p w14:paraId="23E50FCE">
            <w:pPr>
              <w:pStyle w:val="40"/>
              <w:jc w:val="center"/>
              <w:rPr>
                <w:rFonts w:ascii="宋体" w:hAnsi="宋体" w:eastAsia="宋体"/>
                <w:szCs w:val="21"/>
              </w:rPr>
            </w:pPr>
            <w:r>
              <w:rPr>
                <w:rFonts w:hint="eastAsia" w:ascii="宋体" w:hAnsi="宋体" w:eastAsia="宋体"/>
                <w:szCs w:val="21"/>
              </w:rPr>
              <w:t>10%</w:t>
            </w:r>
          </w:p>
        </w:tc>
        <w:tc>
          <w:tcPr>
            <w:tcW w:w="4308" w:type="dxa"/>
            <w:gridSpan w:val="2"/>
            <w:shd w:val="clear" w:color="auto" w:fill="FFFFFF"/>
            <w:vAlign w:val="center"/>
          </w:tcPr>
          <w:p w14:paraId="36A0897A">
            <w:pPr>
              <w:pStyle w:val="40"/>
              <w:rPr>
                <w:rFonts w:ascii="宋体" w:hAnsi="宋体" w:eastAsia="宋体"/>
                <w:color w:val="000000"/>
                <w:szCs w:val="21"/>
              </w:rPr>
            </w:pPr>
            <w:r>
              <w:rPr>
                <w:rFonts w:hint="eastAsia" w:ascii="宋体" w:hAnsi="宋体" w:eastAsia="宋体"/>
                <w:szCs w:val="21"/>
              </w:rPr>
              <w:t>课堂不定期点名，考核能否按时到勤，其中迟到或缺席1次扣</w:t>
            </w:r>
            <w:r>
              <w:rPr>
                <w:rFonts w:ascii="宋体" w:hAnsi="宋体" w:eastAsia="宋体"/>
                <w:szCs w:val="21"/>
              </w:rPr>
              <w:t>5</w:t>
            </w:r>
            <w:r>
              <w:rPr>
                <w:rFonts w:hint="eastAsia" w:ascii="宋体" w:hAnsi="宋体" w:eastAsia="宋体"/>
                <w:szCs w:val="21"/>
              </w:rPr>
              <w:t>分。</w:t>
            </w:r>
          </w:p>
        </w:tc>
        <w:tc>
          <w:tcPr>
            <w:tcW w:w="717" w:type="dxa"/>
            <w:shd w:val="clear" w:color="auto" w:fill="FFFFFF"/>
            <w:vAlign w:val="center"/>
          </w:tcPr>
          <w:p w14:paraId="6C53D669">
            <w:pPr>
              <w:pStyle w:val="40"/>
              <w:jc w:val="center"/>
              <w:rPr>
                <w:rFonts w:ascii="宋体" w:hAnsi="宋体" w:eastAsia="宋体"/>
                <w:color w:val="00B0F0"/>
                <w:szCs w:val="21"/>
              </w:rPr>
            </w:pPr>
            <w:r>
              <w:rPr>
                <w:rFonts w:ascii="宋体" w:hAnsi="宋体" w:eastAsia="宋体"/>
                <w:szCs w:val="21"/>
              </w:rPr>
              <w:t>5</w:t>
            </w:r>
            <w:r>
              <w:rPr>
                <w:rFonts w:hint="eastAsia" w:ascii="宋体" w:hAnsi="宋体" w:eastAsia="宋体"/>
                <w:szCs w:val="21"/>
              </w:rPr>
              <w:t>%</w:t>
            </w:r>
          </w:p>
        </w:tc>
        <w:tc>
          <w:tcPr>
            <w:tcW w:w="723" w:type="dxa"/>
            <w:shd w:val="clear" w:color="auto" w:fill="FFFFFF"/>
            <w:vAlign w:val="center"/>
          </w:tcPr>
          <w:p w14:paraId="6C1CFDE4">
            <w:pPr>
              <w:pStyle w:val="40"/>
              <w:jc w:val="center"/>
              <w:rPr>
                <w:rFonts w:ascii="宋体" w:hAnsi="宋体" w:eastAsia="宋体"/>
                <w:color w:val="00B0F0"/>
                <w:szCs w:val="21"/>
              </w:rPr>
            </w:pPr>
          </w:p>
        </w:tc>
        <w:tc>
          <w:tcPr>
            <w:tcW w:w="718" w:type="dxa"/>
            <w:shd w:val="clear" w:color="auto" w:fill="FFFFFF"/>
            <w:vAlign w:val="center"/>
          </w:tcPr>
          <w:p w14:paraId="614CB8DD">
            <w:pPr>
              <w:pStyle w:val="40"/>
              <w:jc w:val="center"/>
              <w:rPr>
                <w:rFonts w:ascii="宋体" w:hAnsi="宋体" w:eastAsia="宋体"/>
                <w:color w:val="000000"/>
                <w:szCs w:val="21"/>
              </w:rPr>
            </w:pPr>
            <w:r>
              <w:rPr>
                <w:rFonts w:ascii="宋体" w:hAnsi="宋体" w:eastAsia="宋体"/>
                <w:szCs w:val="21"/>
              </w:rPr>
              <w:t>5</w:t>
            </w:r>
            <w:r>
              <w:rPr>
                <w:rFonts w:hint="eastAsia" w:ascii="宋体" w:hAnsi="宋体" w:eastAsia="宋体"/>
                <w:szCs w:val="21"/>
              </w:rPr>
              <w:t>%</w:t>
            </w:r>
          </w:p>
        </w:tc>
        <w:tc>
          <w:tcPr>
            <w:tcW w:w="720" w:type="dxa"/>
            <w:gridSpan w:val="2"/>
            <w:shd w:val="clear" w:color="auto" w:fill="FFFFFF"/>
            <w:vAlign w:val="center"/>
          </w:tcPr>
          <w:p w14:paraId="4D576DAD">
            <w:pPr>
              <w:pStyle w:val="40"/>
              <w:jc w:val="center"/>
              <w:rPr>
                <w:rFonts w:ascii="宋体" w:hAnsi="宋体" w:eastAsia="宋体"/>
                <w:color w:val="000000"/>
                <w:szCs w:val="21"/>
              </w:rPr>
            </w:pPr>
          </w:p>
        </w:tc>
      </w:tr>
      <w:tr w14:paraId="4048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603" w:type="dxa"/>
            <w:shd w:val="clear" w:color="auto" w:fill="FFFFFF"/>
            <w:tcMar>
              <w:left w:w="57" w:type="dxa"/>
              <w:right w:w="57" w:type="dxa"/>
            </w:tcMar>
            <w:vAlign w:val="center"/>
          </w:tcPr>
          <w:p w14:paraId="7012DCBC">
            <w:pPr>
              <w:pStyle w:val="40"/>
              <w:jc w:val="center"/>
              <w:rPr>
                <w:rFonts w:ascii="宋体" w:hAnsi="宋体" w:eastAsia="宋体"/>
                <w:szCs w:val="21"/>
              </w:rPr>
            </w:pPr>
            <w:r>
              <w:rPr>
                <w:rFonts w:hint="eastAsia" w:ascii="宋体" w:hAnsi="宋体" w:eastAsia="宋体"/>
                <w:szCs w:val="21"/>
              </w:rPr>
              <w:t>师生互动</w:t>
            </w:r>
          </w:p>
        </w:tc>
        <w:tc>
          <w:tcPr>
            <w:tcW w:w="654" w:type="dxa"/>
            <w:shd w:val="clear" w:color="auto" w:fill="FFFFFF"/>
            <w:vAlign w:val="center"/>
          </w:tcPr>
          <w:p w14:paraId="13F8A4F4">
            <w:pPr>
              <w:pStyle w:val="40"/>
              <w:jc w:val="center"/>
              <w:rPr>
                <w:rFonts w:ascii="宋体" w:hAnsi="宋体" w:eastAsia="宋体"/>
                <w:szCs w:val="21"/>
              </w:rPr>
            </w:pPr>
            <w:r>
              <w:rPr>
                <w:rFonts w:hint="eastAsia" w:ascii="宋体" w:hAnsi="宋体" w:eastAsia="宋体"/>
                <w:szCs w:val="21"/>
              </w:rPr>
              <w:t>10%</w:t>
            </w:r>
          </w:p>
        </w:tc>
        <w:tc>
          <w:tcPr>
            <w:tcW w:w="4308" w:type="dxa"/>
            <w:gridSpan w:val="2"/>
            <w:shd w:val="clear" w:color="auto" w:fill="FFFFFF"/>
            <w:vAlign w:val="center"/>
          </w:tcPr>
          <w:p w14:paraId="6C7C2D9E">
            <w:pPr>
              <w:pStyle w:val="40"/>
              <w:rPr>
                <w:rFonts w:ascii="宋体" w:hAnsi="宋体" w:eastAsia="宋体"/>
                <w:color w:val="000000"/>
                <w:szCs w:val="21"/>
              </w:rPr>
            </w:pPr>
            <w:r>
              <w:rPr>
                <w:rFonts w:hint="eastAsia" w:ascii="宋体" w:hAnsi="宋体" w:eastAsia="宋体"/>
                <w:szCs w:val="21"/>
              </w:rPr>
              <w:t>课堂不定期通过提问或小练习实施师生互动，考核学生课堂学习情况，按照互动情况打分。</w:t>
            </w:r>
          </w:p>
        </w:tc>
        <w:tc>
          <w:tcPr>
            <w:tcW w:w="717" w:type="dxa"/>
            <w:shd w:val="clear" w:color="auto" w:fill="FFFFFF"/>
            <w:vAlign w:val="center"/>
          </w:tcPr>
          <w:p w14:paraId="507D4243">
            <w:pPr>
              <w:pStyle w:val="40"/>
              <w:jc w:val="center"/>
              <w:rPr>
                <w:rFonts w:ascii="宋体" w:hAnsi="宋体" w:eastAsia="宋体"/>
                <w:color w:val="00B0F0"/>
                <w:szCs w:val="21"/>
              </w:rPr>
            </w:pPr>
            <w:r>
              <w:rPr>
                <w:rFonts w:ascii="宋体" w:hAnsi="宋体" w:eastAsia="宋体"/>
                <w:szCs w:val="21"/>
              </w:rPr>
              <w:t>5</w:t>
            </w:r>
            <w:r>
              <w:rPr>
                <w:rFonts w:hint="eastAsia" w:ascii="宋体" w:hAnsi="宋体" w:eastAsia="宋体"/>
                <w:szCs w:val="21"/>
              </w:rPr>
              <w:t>%</w:t>
            </w:r>
          </w:p>
        </w:tc>
        <w:tc>
          <w:tcPr>
            <w:tcW w:w="723" w:type="dxa"/>
            <w:shd w:val="clear" w:color="auto" w:fill="FFFFFF"/>
            <w:vAlign w:val="center"/>
          </w:tcPr>
          <w:p w14:paraId="109713C9">
            <w:pPr>
              <w:pStyle w:val="40"/>
              <w:jc w:val="center"/>
              <w:rPr>
                <w:rFonts w:ascii="宋体" w:hAnsi="宋体" w:eastAsia="宋体"/>
                <w:color w:val="00B0F0"/>
                <w:szCs w:val="21"/>
              </w:rPr>
            </w:pPr>
          </w:p>
        </w:tc>
        <w:tc>
          <w:tcPr>
            <w:tcW w:w="718" w:type="dxa"/>
            <w:shd w:val="clear" w:color="auto" w:fill="FFFFFF"/>
            <w:vAlign w:val="center"/>
          </w:tcPr>
          <w:p w14:paraId="3F3CCBF5">
            <w:pPr>
              <w:pStyle w:val="40"/>
              <w:jc w:val="center"/>
              <w:rPr>
                <w:rFonts w:ascii="宋体" w:hAnsi="宋体" w:eastAsia="宋体"/>
                <w:color w:val="000000"/>
                <w:szCs w:val="21"/>
              </w:rPr>
            </w:pPr>
            <w:r>
              <w:rPr>
                <w:rFonts w:ascii="宋体" w:hAnsi="宋体" w:eastAsia="宋体"/>
                <w:szCs w:val="21"/>
              </w:rPr>
              <w:t>5</w:t>
            </w:r>
            <w:r>
              <w:rPr>
                <w:rFonts w:hint="eastAsia" w:ascii="宋体" w:hAnsi="宋体" w:eastAsia="宋体"/>
                <w:szCs w:val="21"/>
              </w:rPr>
              <w:t>%</w:t>
            </w:r>
          </w:p>
        </w:tc>
        <w:tc>
          <w:tcPr>
            <w:tcW w:w="720" w:type="dxa"/>
            <w:gridSpan w:val="2"/>
            <w:shd w:val="clear" w:color="auto" w:fill="FFFFFF"/>
            <w:vAlign w:val="center"/>
          </w:tcPr>
          <w:p w14:paraId="3D36EEB6">
            <w:pPr>
              <w:pStyle w:val="40"/>
              <w:jc w:val="center"/>
              <w:rPr>
                <w:rFonts w:ascii="宋体" w:hAnsi="宋体" w:eastAsia="宋体"/>
                <w:color w:val="000000"/>
                <w:szCs w:val="21"/>
              </w:rPr>
            </w:pPr>
          </w:p>
        </w:tc>
      </w:tr>
      <w:tr w14:paraId="5BCA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603" w:type="dxa"/>
            <w:tcMar>
              <w:left w:w="57" w:type="dxa"/>
              <w:right w:w="57" w:type="dxa"/>
            </w:tcMar>
            <w:vAlign w:val="center"/>
          </w:tcPr>
          <w:p w14:paraId="78385FCB">
            <w:pPr>
              <w:pStyle w:val="40"/>
              <w:jc w:val="center"/>
              <w:rPr>
                <w:rFonts w:ascii="宋体" w:hAnsi="宋体" w:eastAsia="宋体"/>
                <w:szCs w:val="21"/>
              </w:rPr>
            </w:pPr>
            <w:r>
              <w:rPr>
                <w:rFonts w:ascii="宋体" w:hAnsi="宋体" w:eastAsia="宋体"/>
                <w:szCs w:val="21"/>
              </w:rPr>
              <w:t>作</w:t>
            </w:r>
            <w:r>
              <w:rPr>
                <w:rFonts w:hint="eastAsia" w:ascii="宋体" w:hAnsi="宋体" w:eastAsia="宋体"/>
                <w:szCs w:val="21"/>
              </w:rPr>
              <w:t xml:space="preserve">    </w:t>
            </w:r>
            <w:r>
              <w:rPr>
                <w:rFonts w:ascii="宋体" w:hAnsi="宋体" w:eastAsia="宋体"/>
                <w:szCs w:val="21"/>
              </w:rPr>
              <w:t>业</w:t>
            </w:r>
          </w:p>
        </w:tc>
        <w:tc>
          <w:tcPr>
            <w:tcW w:w="654" w:type="dxa"/>
            <w:vAlign w:val="center"/>
          </w:tcPr>
          <w:p w14:paraId="5F83DEE8">
            <w:pPr>
              <w:pStyle w:val="40"/>
              <w:jc w:val="center"/>
              <w:rPr>
                <w:rFonts w:ascii="宋体" w:hAnsi="宋体" w:eastAsia="宋体"/>
                <w:szCs w:val="21"/>
              </w:rPr>
            </w:pPr>
            <w:r>
              <w:rPr>
                <w:rFonts w:hint="eastAsia" w:ascii="宋体" w:hAnsi="宋体" w:eastAsia="宋体"/>
                <w:szCs w:val="21"/>
              </w:rPr>
              <w:t>30</w:t>
            </w:r>
            <w:r>
              <w:rPr>
                <w:rFonts w:ascii="宋体" w:hAnsi="宋体" w:eastAsia="宋体"/>
                <w:szCs w:val="21"/>
              </w:rPr>
              <w:t>%</w:t>
            </w:r>
          </w:p>
        </w:tc>
        <w:tc>
          <w:tcPr>
            <w:tcW w:w="4308" w:type="dxa"/>
            <w:gridSpan w:val="2"/>
            <w:vAlign w:val="center"/>
          </w:tcPr>
          <w:p w14:paraId="755EB473">
            <w:pPr>
              <w:pStyle w:val="40"/>
              <w:rPr>
                <w:rFonts w:ascii="宋体" w:hAnsi="宋体" w:eastAsia="宋体"/>
                <w:szCs w:val="21"/>
              </w:rPr>
            </w:pPr>
            <w:r>
              <w:rPr>
                <w:rFonts w:hint="eastAsia" w:ascii="宋体" w:hAnsi="宋体" w:eastAsia="宋体"/>
                <w:szCs w:val="21"/>
              </w:rPr>
              <w:t>定期布置作业，考核学生对所学知识点的复习、理解和掌握度。对每次作业完成情况做记录并打分，计算全部作业的平均成绩。</w:t>
            </w:r>
          </w:p>
        </w:tc>
        <w:tc>
          <w:tcPr>
            <w:tcW w:w="717" w:type="dxa"/>
            <w:shd w:val="clear" w:color="auto" w:fill="FFFFFF"/>
            <w:vAlign w:val="center"/>
          </w:tcPr>
          <w:p w14:paraId="2FC1E286">
            <w:pPr>
              <w:pStyle w:val="40"/>
              <w:jc w:val="center"/>
              <w:rPr>
                <w:rFonts w:ascii="宋体" w:hAnsi="宋体" w:eastAsia="宋体"/>
                <w:color w:val="00B0F0"/>
                <w:szCs w:val="21"/>
              </w:rPr>
            </w:pPr>
          </w:p>
        </w:tc>
        <w:tc>
          <w:tcPr>
            <w:tcW w:w="723" w:type="dxa"/>
            <w:shd w:val="clear" w:color="auto" w:fill="FFFFFF"/>
            <w:vAlign w:val="center"/>
          </w:tcPr>
          <w:p w14:paraId="2AFB7173">
            <w:pPr>
              <w:pStyle w:val="40"/>
              <w:jc w:val="center"/>
              <w:rPr>
                <w:rFonts w:ascii="宋体" w:hAnsi="宋体" w:eastAsia="宋体"/>
                <w:color w:val="00B0F0"/>
                <w:szCs w:val="21"/>
              </w:rPr>
            </w:pPr>
            <w:r>
              <w:rPr>
                <w:rFonts w:ascii="宋体" w:hAnsi="宋体" w:eastAsia="宋体"/>
                <w:szCs w:val="21"/>
              </w:rPr>
              <w:t>20</w:t>
            </w:r>
            <w:r>
              <w:rPr>
                <w:rFonts w:hint="eastAsia" w:ascii="宋体" w:hAnsi="宋体" w:eastAsia="宋体"/>
                <w:szCs w:val="21"/>
              </w:rPr>
              <w:t>%</w:t>
            </w:r>
          </w:p>
        </w:tc>
        <w:tc>
          <w:tcPr>
            <w:tcW w:w="718" w:type="dxa"/>
            <w:shd w:val="clear" w:color="auto" w:fill="FFFFFF"/>
            <w:vAlign w:val="center"/>
          </w:tcPr>
          <w:p w14:paraId="1FACB22F">
            <w:pPr>
              <w:pStyle w:val="40"/>
              <w:jc w:val="center"/>
              <w:rPr>
                <w:rFonts w:ascii="宋体" w:hAnsi="宋体" w:eastAsia="宋体"/>
                <w:color w:val="000000"/>
                <w:szCs w:val="21"/>
              </w:rPr>
            </w:pPr>
            <w:r>
              <w:rPr>
                <w:rFonts w:ascii="宋体" w:hAnsi="宋体" w:eastAsia="宋体"/>
                <w:szCs w:val="21"/>
              </w:rPr>
              <w:t>10</w:t>
            </w:r>
            <w:r>
              <w:rPr>
                <w:rFonts w:hint="eastAsia" w:ascii="宋体" w:hAnsi="宋体" w:eastAsia="宋体"/>
                <w:szCs w:val="21"/>
              </w:rPr>
              <w:t>%</w:t>
            </w:r>
          </w:p>
        </w:tc>
        <w:tc>
          <w:tcPr>
            <w:tcW w:w="720" w:type="dxa"/>
            <w:gridSpan w:val="2"/>
            <w:shd w:val="clear" w:color="auto" w:fill="FFFFFF"/>
            <w:vAlign w:val="center"/>
          </w:tcPr>
          <w:p w14:paraId="49357F77">
            <w:pPr>
              <w:pStyle w:val="40"/>
              <w:jc w:val="center"/>
              <w:rPr>
                <w:rFonts w:ascii="宋体" w:hAnsi="宋体" w:eastAsia="宋体"/>
                <w:color w:val="000000"/>
                <w:szCs w:val="21"/>
              </w:rPr>
            </w:pPr>
          </w:p>
        </w:tc>
      </w:tr>
      <w:tr w14:paraId="30F7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603" w:type="dxa"/>
            <w:vMerge w:val="restart"/>
            <w:tcMar>
              <w:left w:w="57" w:type="dxa"/>
              <w:right w:w="57" w:type="dxa"/>
            </w:tcMar>
            <w:vAlign w:val="center"/>
          </w:tcPr>
          <w:p w14:paraId="34F2AEE1">
            <w:pPr>
              <w:pStyle w:val="40"/>
              <w:jc w:val="center"/>
              <w:rPr>
                <w:rFonts w:ascii="宋体" w:hAnsi="宋体" w:eastAsia="宋体"/>
                <w:szCs w:val="21"/>
              </w:rPr>
            </w:pPr>
            <w:r>
              <w:rPr>
                <w:rFonts w:ascii="宋体" w:hAnsi="宋体" w:eastAsia="宋体"/>
                <w:szCs w:val="21"/>
              </w:rPr>
              <w:t>期末</w:t>
            </w:r>
            <w:r>
              <w:rPr>
                <w:rFonts w:hint="eastAsia" w:ascii="宋体" w:hAnsi="宋体" w:eastAsia="宋体"/>
                <w:szCs w:val="21"/>
              </w:rPr>
              <w:t>试卷</w:t>
            </w:r>
          </w:p>
        </w:tc>
        <w:tc>
          <w:tcPr>
            <w:tcW w:w="654" w:type="dxa"/>
            <w:vMerge w:val="restart"/>
            <w:vAlign w:val="center"/>
          </w:tcPr>
          <w:p w14:paraId="7828B97C">
            <w:pPr>
              <w:pStyle w:val="40"/>
              <w:jc w:val="center"/>
              <w:rPr>
                <w:rFonts w:ascii="宋体" w:hAnsi="宋体" w:eastAsia="宋体"/>
                <w:szCs w:val="21"/>
              </w:rPr>
            </w:pPr>
            <w:r>
              <w:rPr>
                <w:rFonts w:hint="eastAsia" w:ascii="宋体" w:hAnsi="宋体" w:eastAsia="宋体"/>
                <w:szCs w:val="21"/>
              </w:rPr>
              <w:t>50</w:t>
            </w:r>
            <w:r>
              <w:rPr>
                <w:rFonts w:ascii="宋体" w:hAnsi="宋体" w:eastAsia="宋体"/>
                <w:szCs w:val="21"/>
              </w:rPr>
              <w:t>%</w:t>
            </w:r>
            <w:r>
              <w:rPr>
                <w:rFonts w:hint="eastAsia" w:ascii="宋体" w:hAnsi="宋体" w:eastAsia="宋体"/>
                <w:szCs w:val="21"/>
              </w:rPr>
              <w:t xml:space="preserve"> </w:t>
            </w:r>
          </w:p>
        </w:tc>
        <w:tc>
          <w:tcPr>
            <w:tcW w:w="947" w:type="dxa"/>
            <w:tcBorders>
              <w:left w:val="single" w:color="auto" w:sz="4" w:space="0"/>
            </w:tcBorders>
            <w:vAlign w:val="center"/>
          </w:tcPr>
          <w:p w14:paraId="6022CAB1">
            <w:pPr>
              <w:pStyle w:val="40"/>
              <w:jc w:val="center"/>
              <w:rPr>
                <w:rFonts w:ascii="宋体" w:hAnsi="宋体" w:eastAsia="宋体"/>
                <w:color w:val="000000"/>
                <w:szCs w:val="21"/>
              </w:rPr>
            </w:pPr>
            <w:r>
              <w:rPr>
                <w:rFonts w:hint="eastAsia" w:ascii="宋体" w:hAnsi="宋体" w:eastAsia="宋体"/>
                <w:color w:val="000000"/>
                <w:szCs w:val="21"/>
              </w:rPr>
              <w:t>题型</w:t>
            </w:r>
          </w:p>
        </w:tc>
        <w:tc>
          <w:tcPr>
            <w:tcW w:w="3361" w:type="dxa"/>
            <w:tcBorders>
              <w:left w:val="single" w:color="auto" w:sz="4" w:space="0"/>
            </w:tcBorders>
            <w:vAlign w:val="center"/>
          </w:tcPr>
          <w:p w14:paraId="7989BC90">
            <w:pPr>
              <w:widowControl/>
              <w:jc w:val="center"/>
              <w:rPr>
                <w:rFonts w:ascii="宋体" w:hAnsi="宋体" w:eastAsia="宋体"/>
                <w:szCs w:val="21"/>
              </w:rPr>
            </w:pPr>
            <w:r>
              <w:rPr>
                <w:rFonts w:hint="eastAsia" w:ascii="宋体" w:hAnsi="宋体" w:eastAsia="宋体"/>
                <w:color w:val="000000"/>
                <w:szCs w:val="21"/>
              </w:rPr>
              <w:t>考核内容及相应题目</w:t>
            </w:r>
          </w:p>
        </w:tc>
        <w:tc>
          <w:tcPr>
            <w:tcW w:w="2878" w:type="dxa"/>
            <w:gridSpan w:val="5"/>
            <w:tcBorders>
              <w:tl2br w:val="single" w:color="auto" w:sz="4" w:space="0"/>
            </w:tcBorders>
            <w:shd w:val="clear" w:color="auto" w:fill="FFFFFF"/>
          </w:tcPr>
          <w:p w14:paraId="0EEC048E">
            <w:pPr>
              <w:pStyle w:val="40"/>
              <w:rPr>
                <w:rFonts w:ascii="宋体" w:hAnsi="宋体" w:eastAsia="宋体"/>
                <w:color w:val="00B0F0"/>
                <w:szCs w:val="21"/>
              </w:rPr>
            </w:pPr>
          </w:p>
        </w:tc>
      </w:tr>
      <w:tr w14:paraId="5992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03" w:type="dxa"/>
            <w:vMerge w:val="continue"/>
            <w:tcMar>
              <w:left w:w="57" w:type="dxa"/>
              <w:right w:w="57" w:type="dxa"/>
            </w:tcMar>
            <w:vAlign w:val="center"/>
          </w:tcPr>
          <w:p w14:paraId="767A8FFD">
            <w:pPr>
              <w:pStyle w:val="40"/>
              <w:jc w:val="center"/>
              <w:rPr>
                <w:rFonts w:ascii="宋体" w:hAnsi="宋体" w:eastAsia="宋体"/>
                <w:szCs w:val="21"/>
              </w:rPr>
            </w:pPr>
          </w:p>
        </w:tc>
        <w:tc>
          <w:tcPr>
            <w:tcW w:w="654" w:type="dxa"/>
            <w:vMerge w:val="continue"/>
            <w:vAlign w:val="center"/>
          </w:tcPr>
          <w:p w14:paraId="4ACFF1C7">
            <w:pPr>
              <w:pStyle w:val="40"/>
              <w:jc w:val="center"/>
              <w:rPr>
                <w:rFonts w:ascii="宋体" w:hAnsi="宋体" w:eastAsia="宋体"/>
                <w:szCs w:val="21"/>
              </w:rPr>
            </w:pPr>
          </w:p>
        </w:tc>
        <w:tc>
          <w:tcPr>
            <w:tcW w:w="947" w:type="dxa"/>
            <w:tcBorders>
              <w:left w:val="single" w:color="auto" w:sz="4" w:space="0"/>
            </w:tcBorders>
            <w:vAlign w:val="center"/>
          </w:tcPr>
          <w:p w14:paraId="128FAAC8">
            <w:pPr>
              <w:pStyle w:val="40"/>
              <w:jc w:val="center"/>
              <w:rPr>
                <w:rFonts w:ascii="宋体" w:hAnsi="宋体" w:eastAsia="宋体"/>
                <w:color w:val="000000"/>
                <w:szCs w:val="21"/>
              </w:rPr>
            </w:pPr>
            <w:r>
              <w:rPr>
                <w:rFonts w:hint="eastAsia" w:ascii="宋体" w:hAnsi="宋体" w:eastAsia="宋体"/>
                <w:color w:val="000000"/>
                <w:szCs w:val="21"/>
              </w:rPr>
              <w:t>填空题</w:t>
            </w:r>
          </w:p>
        </w:tc>
        <w:tc>
          <w:tcPr>
            <w:tcW w:w="3361" w:type="dxa"/>
            <w:tcBorders>
              <w:left w:val="single" w:color="auto" w:sz="4" w:space="0"/>
            </w:tcBorders>
            <w:vAlign w:val="center"/>
          </w:tcPr>
          <w:p w14:paraId="41B91398">
            <w:pPr>
              <w:pStyle w:val="40"/>
              <w:jc w:val="left"/>
              <w:rPr>
                <w:rFonts w:ascii="宋体" w:hAnsi="宋体" w:eastAsia="宋体"/>
                <w:szCs w:val="21"/>
              </w:rPr>
            </w:pPr>
            <w:r>
              <w:rPr>
                <w:rFonts w:ascii="宋体" w:hAnsi="宋体" w:eastAsia="宋体"/>
                <w:szCs w:val="21"/>
              </w:rPr>
              <w:t>行列式的性质</w:t>
            </w:r>
            <w:r>
              <w:rPr>
                <w:rFonts w:hint="eastAsia" w:ascii="宋体" w:hAnsi="宋体" w:eastAsia="宋体"/>
                <w:szCs w:val="21"/>
              </w:rPr>
              <w:t>、</w:t>
            </w:r>
            <w:r>
              <w:rPr>
                <w:rFonts w:ascii="宋体" w:hAnsi="宋体" w:eastAsia="宋体"/>
                <w:szCs w:val="21"/>
              </w:rPr>
              <w:t>矩阵的运算</w:t>
            </w:r>
            <w:r>
              <w:rPr>
                <w:rFonts w:hint="eastAsia" w:ascii="宋体" w:hAnsi="宋体" w:eastAsia="宋体"/>
                <w:szCs w:val="21"/>
              </w:rPr>
              <w:t>、</w:t>
            </w:r>
            <w:r>
              <w:rPr>
                <w:rFonts w:ascii="宋体" w:hAnsi="宋体" w:eastAsia="宋体"/>
                <w:szCs w:val="21"/>
              </w:rPr>
              <w:t>矩阵秩的性质</w:t>
            </w:r>
            <w:r>
              <w:rPr>
                <w:rFonts w:hint="eastAsia" w:ascii="宋体" w:hAnsi="宋体" w:eastAsia="宋体"/>
                <w:szCs w:val="21"/>
              </w:rPr>
              <w:t>、</w:t>
            </w:r>
            <w:r>
              <w:rPr>
                <w:rFonts w:ascii="宋体" w:hAnsi="宋体" w:eastAsia="宋体"/>
                <w:szCs w:val="21"/>
              </w:rPr>
              <w:t>线性方程组解的情况判定</w:t>
            </w:r>
            <w:r>
              <w:rPr>
                <w:rFonts w:hint="eastAsia" w:ascii="宋体" w:hAnsi="宋体" w:eastAsia="宋体"/>
                <w:szCs w:val="21"/>
              </w:rPr>
              <w:t>、线性方程组解的结构、</w:t>
            </w:r>
            <w:r>
              <w:rPr>
                <w:rFonts w:ascii="宋体" w:hAnsi="宋体" w:eastAsia="宋体"/>
                <w:szCs w:val="21"/>
              </w:rPr>
              <w:t>向量组线性相关性的判定</w:t>
            </w:r>
            <w:r>
              <w:rPr>
                <w:rFonts w:hint="eastAsia" w:ascii="宋体" w:hAnsi="宋体" w:eastAsia="宋体"/>
                <w:szCs w:val="21"/>
              </w:rPr>
              <w:t>、</w:t>
            </w:r>
            <w:r>
              <w:rPr>
                <w:rFonts w:ascii="宋体" w:hAnsi="宋体" w:eastAsia="宋体"/>
                <w:szCs w:val="21"/>
              </w:rPr>
              <w:t>方阵的特征值与特征向量</w:t>
            </w:r>
            <w:r>
              <w:rPr>
                <w:rFonts w:hint="eastAsia" w:ascii="宋体" w:hAnsi="宋体" w:eastAsia="宋体"/>
                <w:szCs w:val="21"/>
              </w:rPr>
              <w:t>、</w:t>
            </w:r>
            <w:r>
              <w:rPr>
                <w:rFonts w:ascii="宋体" w:hAnsi="宋体" w:eastAsia="宋体"/>
                <w:szCs w:val="21"/>
              </w:rPr>
              <w:t>矩阵相似与正交判定</w:t>
            </w:r>
            <w:r>
              <w:rPr>
                <w:rFonts w:hint="eastAsia" w:ascii="宋体" w:hAnsi="宋体" w:eastAsia="宋体"/>
                <w:szCs w:val="21"/>
              </w:rPr>
              <w:t>以及二次型正定性判定等。</w:t>
            </w:r>
          </w:p>
        </w:tc>
        <w:tc>
          <w:tcPr>
            <w:tcW w:w="717" w:type="dxa"/>
            <w:shd w:val="clear" w:color="auto" w:fill="FFFFFF"/>
            <w:vAlign w:val="center"/>
          </w:tcPr>
          <w:p w14:paraId="059EC7E5">
            <w:pPr>
              <w:widowControl/>
              <w:jc w:val="center"/>
              <w:rPr>
                <w:rFonts w:ascii="宋体" w:hAnsi="宋体" w:eastAsia="宋体"/>
                <w:szCs w:val="21"/>
              </w:rPr>
            </w:pPr>
            <w:r>
              <w:rPr>
                <w:rFonts w:hint="eastAsia" w:ascii="宋体" w:hAnsi="宋体" w:eastAsia="宋体"/>
                <w:szCs w:val="21"/>
              </w:rPr>
              <w:t>7.5%</w:t>
            </w:r>
          </w:p>
        </w:tc>
        <w:tc>
          <w:tcPr>
            <w:tcW w:w="723" w:type="dxa"/>
            <w:shd w:val="clear" w:color="auto" w:fill="FFFFFF"/>
            <w:vAlign w:val="center"/>
          </w:tcPr>
          <w:p w14:paraId="3A6BD435">
            <w:pPr>
              <w:widowControl/>
              <w:jc w:val="center"/>
              <w:rPr>
                <w:rFonts w:ascii="宋体" w:hAnsi="宋体" w:eastAsia="宋体"/>
                <w:szCs w:val="21"/>
              </w:rPr>
            </w:pPr>
          </w:p>
        </w:tc>
        <w:tc>
          <w:tcPr>
            <w:tcW w:w="728" w:type="dxa"/>
            <w:gridSpan w:val="2"/>
            <w:shd w:val="clear" w:color="auto" w:fill="FFFFFF"/>
            <w:vAlign w:val="center"/>
          </w:tcPr>
          <w:p w14:paraId="0D3A2EDC">
            <w:pPr>
              <w:widowControl/>
              <w:jc w:val="center"/>
              <w:rPr>
                <w:rFonts w:ascii="宋体" w:hAnsi="宋体" w:eastAsia="宋体"/>
                <w:szCs w:val="21"/>
              </w:rPr>
            </w:pPr>
          </w:p>
        </w:tc>
        <w:tc>
          <w:tcPr>
            <w:tcW w:w="710" w:type="dxa"/>
            <w:shd w:val="clear" w:color="auto" w:fill="FFFFFF"/>
            <w:vAlign w:val="center"/>
          </w:tcPr>
          <w:p w14:paraId="2D5C7907">
            <w:pPr>
              <w:widowControl/>
              <w:jc w:val="center"/>
              <w:rPr>
                <w:rFonts w:ascii="宋体" w:hAnsi="宋体" w:eastAsia="宋体"/>
                <w:szCs w:val="21"/>
              </w:rPr>
            </w:pPr>
          </w:p>
        </w:tc>
      </w:tr>
      <w:tr w14:paraId="0BDB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03" w:type="dxa"/>
            <w:vMerge w:val="continue"/>
            <w:tcMar>
              <w:left w:w="57" w:type="dxa"/>
              <w:right w:w="57" w:type="dxa"/>
            </w:tcMar>
            <w:vAlign w:val="center"/>
          </w:tcPr>
          <w:p w14:paraId="12DF38CF">
            <w:pPr>
              <w:pStyle w:val="40"/>
              <w:jc w:val="center"/>
              <w:rPr>
                <w:rFonts w:ascii="宋体" w:hAnsi="宋体" w:eastAsia="宋体"/>
                <w:szCs w:val="21"/>
              </w:rPr>
            </w:pPr>
          </w:p>
        </w:tc>
        <w:tc>
          <w:tcPr>
            <w:tcW w:w="654" w:type="dxa"/>
            <w:vMerge w:val="continue"/>
            <w:vAlign w:val="center"/>
          </w:tcPr>
          <w:p w14:paraId="124CBD88">
            <w:pPr>
              <w:pStyle w:val="40"/>
              <w:jc w:val="center"/>
              <w:rPr>
                <w:rFonts w:ascii="宋体" w:hAnsi="宋体" w:eastAsia="宋体"/>
                <w:szCs w:val="21"/>
              </w:rPr>
            </w:pPr>
          </w:p>
        </w:tc>
        <w:tc>
          <w:tcPr>
            <w:tcW w:w="947" w:type="dxa"/>
            <w:tcBorders>
              <w:left w:val="single" w:color="auto" w:sz="4" w:space="0"/>
            </w:tcBorders>
            <w:vAlign w:val="center"/>
          </w:tcPr>
          <w:p w14:paraId="174A562C">
            <w:pPr>
              <w:pStyle w:val="40"/>
              <w:jc w:val="center"/>
              <w:rPr>
                <w:rFonts w:ascii="宋体" w:hAnsi="宋体" w:eastAsia="宋体"/>
                <w:color w:val="000000"/>
                <w:szCs w:val="21"/>
              </w:rPr>
            </w:pPr>
            <w:r>
              <w:rPr>
                <w:rFonts w:hint="eastAsia" w:ascii="宋体" w:hAnsi="宋体" w:eastAsia="宋体"/>
                <w:color w:val="000000"/>
                <w:szCs w:val="21"/>
              </w:rPr>
              <w:t>选择</w:t>
            </w:r>
            <w:r>
              <w:rPr>
                <w:rFonts w:ascii="宋体" w:hAnsi="宋体" w:eastAsia="宋体"/>
                <w:color w:val="000000"/>
                <w:szCs w:val="21"/>
              </w:rPr>
              <w:t>题</w:t>
            </w:r>
          </w:p>
        </w:tc>
        <w:tc>
          <w:tcPr>
            <w:tcW w:w="3361" w:type="dxa"/>
            <w:tcBorders>
              <w:left w:val="single" w:color="auto" w:sz="4" w:space="0"/>
            </w:tcBorders>
            <w:vAlign w:val="center"/>
          </w:tcPr>
          <w:p w14:paraId="2E5F0C7E">
            <w:pPr>
              <w:pStyle w:val="40"/>
              <w:jc w:val="left"/>
              <w:rPr>
                <w:rFonts w:ascii="宋体" w:hAnsi="宋体" w:eastAsia="宋体"/>
                <w:szCs w:val="21"/>
              </w:rPr>
            </w:pPr>
            <w:r>
              <w:rPr>
                <w:rFonts w:ascii="宋体" w:hAnsi="宋体" w:eastAsia="宋体"/>
                <w:szCs w:val="21"/>
              </w:rPr>
              <w:t>行列式的性质</w:t>
            </w:r>
            <w:r>
              <w:rPr>
                <w:rFonts w:hint="eastAsia" w:ascii="宋体" w:hAnsi="宋体" w:eastAsia="宋体"/>
                <w:szCs w:val="21"/>
              </w:rPr>
              <w:t>、</w:t>
            </w:r>
            <w:r>
              <w:rPr>
                <w:rFonts w:ascii="宋体" w:hAnsi="宋体" w:eastAsia="宋体"/>
                <w:szCs w:val="21"/>
              </w:rPr>
              <w:t>矩阵的运算</w:t>
            </w:r>
            <w:r>
              <w:rPr>
                <w:rFonts w:hint="eastAsia" w:ascii="宋体" w:hAnsi="宋体" w:eastAsia="宋体"/>
                <w:szCs w:val="21"/>
              </w:rPr>
              <w:t>、</w:t>
            </w:r>
            <w:r>
              <w:rPr>
                <w:rFonts w:ascii="宋体" w:hAnsi="宋体" w:eastAsia="宋体"/>
                <w:szCs w:val="21"/>
              </w:rPr>
              <w:t>矩阵秩的性质</w:t>
            </w:r>
            <w:r>
              <w:rPr>
                <w:rFonts w:hint="eastAsia" w:ascii="宋体" w:hAnsi="宋体" w:eastAsia="宋体"/>
                <w:szCs w:val="21"/>
              </w:rPr>
              <w:t>、</w:t>
            </w:r>
            <w:r>
              <w:rPr>
                <w:rFonts w:ascii="宋体" w:hAnsi="宋体" w:eastAsia="宋体"/>
                <w:szCs w:val="21"/>
              </w:rPr>
              <w:t>线性方程组解的情况判定</w:t>
            </w:r>
            <w:r>
              <w:rPr>
                <w:rFonts w:hint="eastAsia" w:ascii="宋体" w:hAnsi="宋体" w:eastAsia="宋体"/>
                <w:szCs w:val="21"/>
              </w:rPr>
              <w:t>、线性方程组解的结构、</w:t>
            </w:r>
            <w:r>
              <w:rPr>
                <w:rFonts w:ascii="宋体" w:hAnsi="宋体" w:eastAsia="宋体"/>
                <w:szCs w:val="21"/>
              </w:rPr>
              <w:t>向量组线性相关性的判定</w:t>
            </w:r>
            <w:r>
              <w:rPr>
                <w:rFonts w:hint="eastAsia" w:ascii="宋体" w:hAnsi="宋体" w:eastAsia="宋体"/>
                <w:szCs w:val="21"/>
              </w:rPr>
              <w:t>、</w:t>
            </w:r>
            <w:r>
              <w:rPr>
                <w:rFonts w:ascii="宋体" w:hAnsi="宋体" w:eastAsia="宋体"/>
                <w:szCs w:val="21"/>
              </w:rPr>
              <w:t>方阵的特征值与特征向量</w:t>
            </w:r>
            <w:r>
              <w:rPr>
                <w:rFonts w:hint="eastAsia" w:ascii="宋体" w:hAnsi="宋体" w:eastAsia="宋体"/>
                <w:szCs w:val="21"/>
              </w:rPr>
              <w:t>、</w:t>
            </w:r>
            <w:r>
              <w:rPr>
                <w:rFonts w:ascii="宋体" w:hAnsi="宋体" w:eastAsia="宋体"/>
                <w:szCs w:val="21"/>
              </w:rPr>
              <w:t>矩阵相似与正交判定</w:t>
            </w:r>
            <w:r>
              <w:rPr>
                <w:rFonts w:hint="eastAsia" w:ascii="宋体" w:hAnsi="宋体" w:eastAsia="宋体"/>
                <w:szCs w:val="21"/>
              </w:rPr>
              <w:t>以及二次型正定性判定等。</w:t>
            </w:r>
          </w:p>
        </w:tc>
        <w:tc>
          <w:tcPr>
            <w:tcW w:w="717" w:type="dxa"/>
            <w:shd w:val="clear" w:color="auto" w:fill="FFFFFF"/>
            <w:vAlign w:val="center"/>
          </w:tcPr>
          <w:p w14:paraId="1A550272">
            <w:pPr>
              <w:pStyle w:val="40"/>
              <w:jc w:val="center"/>
              <w:rPr>
                <w:rFonts w:ascii="宋体" w:hAnsi="宋体" w:eastAsia="宋体"/>
                <w:szCs w:val="21"/>
              </w:rPr>
            </w:pPr>
            <w:r>
              <w:rPr>
                <w:rFonts w:hint="eastAsia" w:ascii="宋体" w:hAnsi="宋体" w:eastAsia="宋体"/>
                <w:szCs w:val="21"/>
              </w:rPr>
              <w:t>7.5%</w:t>
            </w:r>
          </w:p>
        </w:tc>
        <w:tc>
          <w:tcPr>
            <w:tcW w:w="723" w:type="dxa"/>
            <w:shd w:val="clear" w:color="auto" w:fill="FFFFFF"/>
            <w:vAlign w:val="center"/>
          </w:tcPr>
          <w:p w14:paraId="528554BB">
            <w:pPr>
              <w:pStyle w:val="40"/>
              <w:jc w:val="center"/>
              <w:rPr>
                <w:rFonts w:ascii="宋体" w:hAnsi="宋体" w:eastAsia="宋体"/>
                <w:szCs w:val="21"/>
              </w:rPr>
            </w:pPr>
          </w:p>
        </w:tc>
        <w:tc>
          <w:tcPr>
            <w:tcW w:w="728" w:type="dxa"/>
            <w:gridSpan w:val="2"/>
            <w:shd w:val="clear" w:color="auto" w:fill="FFFFFF"/>
            <w:vAlign w:val="center"/>
          </w:tcPr>
          <w:p w14:paraId="333758E7">
            <w:pPr>
              <w:pStyle w:val="40"/>
              <w:jc w:val="center"/>
              <w:rPr>
                <w:rFonts w:ascii="宋体" w:hAnsi="宋体" w:eastAsia="宋体"/>
                <w:color w:val="000000"/>
                <w:szCs w:val="21"/>
              </w:rPr>
            </w:pPr>
          </w:p>
        </w:tc>
        <w:tc>
          <w:tcPr>
            <w:tcW w:w="710" w:type="dxa"/>
            <w:shd w:val="clear" w:color="auto" w:fill="FFFFFF"/>
            <w:vAlign w:val="center"/>
          </w:tcPr>
          <w:p w14:paraId="4E8AB495">
            <w:pPr>
              <w:pStyle w:val="40"/>
              <w:jc w:val="center"/>
              <w:rPr>
                <w:rFonts w:ascii="宋体" w:hAnsi="宋体" w:eastAsia="宋体"/>
                <w:color w:val="000000"/>
                <w:szCs w:val="21"/>
              </w:rPr>
            </w:pPr>
          </w:p>
        </w:tc>
      </w:tr>
      <w:tr w14:paraId="009C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03" w:type="dxa"/>
            <w:vMerge w:val="continue"/>
            <w:tcMar>
              <w:left w:w="57" w:type="dxa"/>
              <w:right w:w="57" w:type="dxa"/>
            </w:tcMar>
            <w:vAlign w:val="center"/>
          </w:tcPr>
          <w:p w14:paraId="6A1397C1">
            <w:pPr>
              <w:pStyle w:val="40"/>
              <w:jc w:val="center"/>
              <w:rPr>
                <w:rFonts w:ascii="宋体" w:hAnsi="宋体" w:eastAsia="宋体"/>
                <w:szCs w:val="21"/>
              </w:rPr>
            </w:pPr>
          </w:p>
        </w:tc>
        <w:tc>
          <w:tcPr>
            <w:tcW w:w="654" w:type="dxa"/>
            <w:vMerge w:val="continue"/>
            <w:vAlign w:val="center"/>
          </w:tcPr>
          <w:p w14:paraId="179F9FE1">
            <w:pPr>
              <w:pStyle w:val="40"/>
              <w:jc w:val="center"/>
              <w:rPr>
                <w:rFonts w:ascii="宋体" w:hAnsi="宋体" w:eastAsia="宋体"/>
                <w:szCs w:val="21"/>
              </w:rPr>
            </w:pPr>
          </w:p>
        </w:tc>
        <w:tc>
          <w:tcPr>
            <w:tcW w:w="947" w:type="dxa"/>
            <w:tcBorders>
              <w:left w:val="single" w:color="auto" w:sz="4" w:space="0"/>
            </w:tcBorders>
            <w:vAlign w:val="center"/>
          </w:tcPr>
          <w:p w14:paraId="27A7963B">
            <w:pPr>
              <w:pStyle w:val="40"/>
              <w:jc w:val="center"/>
              <w:rPr>
                <w:rFonts w:ascii="宋体" w:hAnsi="宋体" w:eastAsia="宋体"/>
                <w:color w:val="000000"/>
                <w:szCs w:val="21"/>
              </w:rPr>
            </w:pPr>
            <w:r>
              <w:rPr>
                <w:rFonts w:hint="eastAsia" w:ascii="宋体" w:hAnsi="宋体" w:eastAsia="宋体"/>
                <w:color w:val="000000"/>
                <w:szCs w:val="21"/>
              </w:rPr>
              <w:t>计算题</w:t>
            </w:r>
          </w:p>
        </w:tc>
        <w:tc>
          <w:tcPr>
            <w:tcW w:w="3361" w:type="dxa"/>
            <w:tcBorders>
              <w:left w:val="single" w:color="auto" w:sz="4" w:space="0"/>
            </w:tcBorders>
            <w:vAlign w:val="center"/>
          </w:tcPr>
          <w:p w14:paraId="5490E5E8">
            <w:pPr>
              <w:pStyle w:val="40"/>
              <w:jc w:val="left"/>
              <w:rPr>
                <w:rFonts w:ascii="宋体" w:hAnsi="宋体" w:eastAsia="宋体"/>
                <w:szCs w:val="21"/>
              </w:rPr>
            </w:pPr>
            <w:r>
              <w:rPr>
                <w:rFonts w:ascii="宋体" w:hAnsi="宋体" w:eastAsia="宋体"/>
                <w:color w:val="000000"/>
                <w:szCs w:val="21"/>
              </w:rPr>
              <w:t>行列式的计算</w:t>
            </w:r>
            <w:r>
              <w:rPr>
                <w:rFonts w:hint="eastAsia" w:ascii="宋体" w:hAnsi="宋体" w:eastAsia="宋体"/>
                <w:color w:val="000000"/>
                <w:szCs w:val="21"/>
              </w:rPr>
              <w:t>、</w:t>
            </w:r>
            <w:r>
              <w:rPr>
                <w:rFonts w:ascii="宋体" w:hAnsi="宋体" w:eastAsia="宋体"/>
                <w:color w:val="000000"/>
                <w:szCs w:val="21"/>
              </w:rPr>
              <w:t>解矩阵方程</w:t>
            </w:r>
            <w:r>
              <w:rPr>
                <w:rFonts w:hint="eastAsia" w:ascii="宋体" w:hAnsi="宋体" w:eastAsia="宋体"/>
                <w:color w:val="000000"/>
                <w:szCs w:val="21"/>
              </w:rPr>
              <w:t>、求向量组的秩与一个极大无关组、解线性方程组以及正交变换法化二次型为标准形等。</w:t>
            </w:r>
          </w:p>
        </w:tc>
        <w:tc>
          <w:tcPr>
            <w:tcW w:w="717" w:type="dxa"/>
            <w:shd w:val="clear" w:color="auto" w:fill="FFFFFF"/>
            <w:vAlign w:val="center"/>
          </w:tcPr>
          <w:p w14:paraId="2326F340">
            <w:pPr>
              <w:pStyle w:val="40"/>
              <w:jc w:val="center"/>
              <w:rPr>
                <w:rFonts w:ascii="宋体" w:hAnsi="宋体" w:eastAsia="宋体"/>
                <w:szCs w:val="21"/>
              </w:rPr>
            </w:pPr>
          </w:p>
        </w:tc>
        <w:tc>
          <w:tcPr>
            <w:tcW w:w="723" w:type="dxa"/>
            <w:shd w:val="clear" w:color="auto" w:fill="FFFFFF"/>
            <w:vAlign w:val="center"/>
          </w:tcPr>
          <w:p w14:paraId="10D9C2DE">
            <w:pPr>
              <w:pStyle w:val="40"/>
              <w:jc w:val="center"/>
              <w:rPr>
                <w:rFonts w:ascii="宋体" w:hAnsi="宋体" w:eastAsia="宋体"/>
                <w:szCs w:val="21"/>
              </w:rPr>
            </w:pPr>
            <w:r>
              <w:rPr>
                <w:rFonts w:ascii="宋体" w:hAnsi="宋体" w:eastAsia="宋体"/>
                <w:szCs w:val="21"/>
              </w:rPr>
              <w:t>25</w:t>
            </w:r>
            <w:r>
              <w:rPr>
                <w:rFonts w:hint="eastAsia" w:ascii="宋体" w:hAnsi="宋体" w:eastAsia="宋体"/>
                <w:szCs w:val="21"/>
              </w:rPr>
              <w:t>%</w:t>
            </w:r>
          </w:p>
        </w:tc>
        <w:tc>
          <w:tcPr>
            <w:tcW w:w="728" w:type="dxa"/>
            <w:gridSpan w:val="2"/>
            <w:shd w:val="clear" w:color="auto" w:fill="FFFFFF"/>
            <w:vAlign w:val="center"/>
          </w:tcPr>
          <w:p w14:paraId="7088EDF0">
            <w:pPr>
              <w:pStyle w:val="40"/>
              <w:jc w:val="center"/>
              <w:rPr>
                <w:rFonts w:ascii="宋体" w:hAnsi="宋体" w:eastAsia="宋体"/>
                <w:color w:val="000000"/>
                <w:szCs w:val="21"/>
              </w:rPr>
            </w:pPr>
          </w:p>
        </w:tc>
        <w:tc>
          <w:tcPr>
            <w:tcW w:w="710" w:type="dxa"/>
            <w:shd w:val="clear" w:color="auto" w:fill="FFFFFF"/>
            <w:vAlign w:val="center"/>
          </w:tcPr>
          <w:p w14:paraId="34AA6C3C">
            <w:pPr>
              <w:pStyle w:val="40"/>
              <w:jc w:val="center"/>
              <w:rPr>
                <w:rFonts w:ascii="宋体" w:hAnsi="宋体" w:eastAsia="宋体"/>
                <w:color w:val="000000"/>
                <w:szCs w:val="21"/>
              </w:rPr>
            </w:pPr>
          </w:p>
        </w:tc>
      </w:tr>
      <w:tr w14:paraId="5E0E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03" w:type="dxa"/>
            <w:vMerge w:val="continue"/>
            <w:tcMar>
              <w:left w:w="57" w:type="dxa"/>
              <w:right w:w="57" w:type="dxa"/>
            </w:tcMar>
            <w:vAlign w:val="center"/>
          </w:tcPr>
          <w:p w14:paraId="35017CC6">
            <w:pPr>
              <w:pStyle w:val="40"/>
              <w:jc w:val="center"/>
              <w:rPr>
                <w:rFonts w:ascii="宋体" w:hAnsi="宋体" w:eastAsia="宋体"/>
                <w:szCs w:val="21"/>
              </w:rPr>
            </w:pPr>
          </w:p>
        </w:tc>
        <w:tc>
          <w:tcPr>
            <w:tcW w:w="654" w:type="dxa"/>
            <w:vMerge w:val="continue"/>
            <w:vAlign w:val="center"/>
          </w:tcPr>
          <w:p w14:paraId="09FCC5E8">
            <w:pPr>
              <w:pStyle w:val="40"/>
              <w:jc w:val="center"/>
              <w:rPr>
                <w:rFonts w:ascii="宋体" w:hAnsi="宋体" w:eastAsia="宋体"/>
                <w:szCs w:val="21"/>
              </w:rPr>
            </w:pPr>
          </w:p>
        </w:tc>
        <w:tc>
          <w:tcPr>
            <w:tcW w:w="947" w:type="dxa"/>
            <w:tcBorders>
              <w:left w:val="single" w:color="auto" w:sz="4" w:space="0"/>
            </w:tcBorders>
            <w:vAlign w:val="center"/>
          </w:tcPr>
          <w:p w14:paraId="13FFF51C">
            <w:pPr>
              <w:pStyle w:val="40"/>
              <w:jc w:val="center"/>
              <w:rPr>
                <w:rFonts w:ascii="宋体" w:hAnsi="宋体" w:eastAsia="宋体"/>
                <w:color w:val="000000"/>
                <w:szCs w:val="21"/>
              </w:rPr>
            </w:pPr>
            <w:r>
              <w:rPr>
                <w:rFonts w:ascii="宋体" w:hAnsi="宋体" w:eastAsia="宋体"/>
                <w:color w:val="000000"/>
                <w:szCs w:val="21"/>
              </w:rPr>
              <w:t>证明题</w:t>
            </w:r>
          </w:p>
        </w:tc>
        <w:tc>
          <w:tcPr>
            <w:tcW w:w="3361" w:type="dxa"/>
            <w:tcBorders>
              <w:left w:val="single" w:color="auto" w:sz="4" w:space="0"/>
              <w:bottom w:val="single" w:color="auto" w:sz="4" w:space="0"/>
            </w:tcBorders>
            <w:vAlign w:val="center"/>
          </w:tcPr>
          <w:p w14:paraId="3A1011CD">
            <w:pPr>
              <w:pStyle w:val="40"/>
              <w:jc w:val="left"/>
              <w:rPr>
                <w:rFonts w:ascii="宋体" w:hAnsi="宋体" w:eastAsia="宋体"/>
                <w:szCs w:val="21"/>
              </w:rPr>
            </w:pPr>
            <w:r>
              <w:rPr>
                <w:rFonts w:hint="eastAsia" w:ascii="宋体" w:hAnsi="宋体" w:eastAsia="宋体"/>
                <w:color w:val="000000"/>
                <w:szCs w:val="21"/>
              </w:rPr>
              <w:t>证明向量组的线性无关与向量组的线性相关等。</w:t>
            </w:r>
          </w:p>
        </w:tc>
        <w:tc>
          <w:tcPr>
            <w:tcW w:w="717" w:type="dxa"/>
            <w:shd w:val="clear" w:color="auto" w:fill="FFFFFF"/>
            <w:vAlign w:val="center"/>
          </w:tcPr>
          <w:p w14:paraId="235F6682">
            <w:pPr>
              <w:pStyle w:val="40"/>
              <w:jc w:val="center"/>
              <w:rPr>
                <w:rFonts w:ascii="宋体" w:hAnsi="宋体" w:eastAsia="宋体"/>
                <w:szCs w:val="21"/>
              </w:rPr>
            </w:pPr>
          </w:p>
        </w:tc>
        <w:tc>
          <w:tcPr>
            <w:tcW w:w="723" w:type="dxa"/>
            <w:shd w:val="clear" w:color="auto" w:fill="FFFFFF"/>
            <w:vAlign w:val="center"/>
          </w:tcPr>
          <w:p w14:paraId="0882B4BD">
            <w:pPr>
              <w:pStyle w:val="40"/>
              <w:jc w:val="center"/>
              <w:rPr>
                <w:rFonts w:ascii="宋体" w:hAnsi="宋体" w:eastAsia="宋体"/>
                <w:szCs w:val="21"/>
              </w:rPr>
            </w:pPr>
            <w:r>
              <w:rPr>
                <w:rFonts w:ascii="宋体" w:hAnsi="宋体" w:eastAsia="宋体"/>
                <w:szCs w:val="21"/>
              </w:rPr>
              <w:t>10</w:t>
            </w:r>
            <w:r>
              <w:rPr>
                <w:rFonts w:hint="eastAsia" w:ascii="宋体" w:hAnsi="宋体" w:eastAsia="宋体"/>
                <w:szCs w:val="21"/>
              </w:rPr>
              <w:t>%</w:t>
            </w:r>
          </w:p>
        </w:tc>
        <w:tc>
          <w:tcPr>
            <w:tcW w:w="728" w:type="dxa"/>
            <w:gridSpan w:val="2"/>
            <w:shd w:val="clear" w:color="auto" w:fill="FFFFFF"/>
            <w:vAlign w:val="center"/>
          </w:tcPr>
          <w:p w14:paraId="01093B74">
            <w:pPr>
              <w:pStyle w:val="40"/>
              <w:jc w:val="center"/>
              <w:rPr>
                <w:rFonts w:ascii="宋体" w:hAnsi="宋体" w:eastAsia="宋体"/>
                <w:color w:val="000000"/>
                <w:szCs w:val="21"/>
              </w:rPr>
            </w:pPr>
          </w:p>
        </w:tc>
        <w:tc>
          <w:tcPr>
            <w:tcW w:w="710" w:type="dxa"/>
            <w:shd w:val="clear" w:color="auto" w:fill="FFFFFF"/>
            <w:vAlign w:val="center"/>
          </w:tcPr>
          <w:p w14:paraId="248FFBE2">
            <w:pPr>
              <w:pStyle w:val="40"/>
              <w:jc w:val="center"/>
              <w:rPr>
                <w:rFonts w:ascii="宋体" w:hAnsi="宋体" w:eastAsia="宋体"/>
                <w:color w:val="000000"/>
                <w:szCs w:val="21"/>
              </w:rPr>
            </w:pPr>
          </w:p>
        </w:tc>
      </w:tr>
      <w:tr w14:paraId="5770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03" w:type="dxa"/>
            <w:tcMar>
              <w:left w:w="57" w:type="dxa"/>
              <w:right w:w="57" w:type="dxa"/>
            </w:tcMar>
            <w:vAlign w:val="center"/>
          </w:tcPr>
          <w:p w14:paraId="03DEEF2E">
            <w:pPr>
              <w:pStyle w:val="40"/>
              <w:jc w:val="center"/>
              <w:rPr>
                <w:rFonts w:ascii="宋体" w:hAnsi="宋体" w:eastAsia="宋体"/>
                <w:szCs w:val="21"/>
              </w:rPr>
            </w:pPr>
            <w:r>
              <w:rPr>
                <w:rFonts w:hint="eastAsia" w:ascii="宋体" w:hAnsi="宋体" w:eastAsia="宋体"/>
                <w:szCs w:val="21"/>
              </w:rPr>
              <w:t>合    计</w:t>
            </w:r>
          </w:p>
        </w:tc>
        <w:tc>
          <w:tcPr>
            <w:tcW w:w="654" w:type="dxa"/>
            <w:vAlign w:val="center"/>
          </w:tcPr>
          <w:p w14:paraId="0094AD70">
            <w:pPr>
              <w:pStyle w:val="40"/>
              <w:jc w:val="center"/>
              <w:rPr>
                <w:rFonts w:ascii="宋体" w:hAnsi="宋体" w:eastAsia="宋体"/>
                <w:szCs w:val="21"/>
              </w:rPr>
            </w:pPr>
            <w:r>
              <w:rPr>
                <w:rFonts w:hint="eastAsia" w:ascii="宋体" w:hAnsi="宋体" w:eastAsia="宋体"/>
                <w:szCs w:val="21"/>
              </w:rPr>
              <w:t>100%</w:t>
            </w:r>
          </w:p>
        </w:tc>
        <w:tc>
          <w:tcPr>
            <w:tcW w:w="947" w:type="dxa"/>
            <w:tcBorders>
              <w:left w:val="single" w:color="auto" w:sz="4" w:space="0"/>
            </w:tcBorders>
            <w:vAlign w:val="center"/>
          </w:tcPr>
          <w:p w14:paraId="4A02885C">
            <w:pPr>
              <w:pStyle w:val="40"/>
              <w:jc w:val="center"/>
              <w:rPr>
                <w:rFonts w:ascii="宋体" w:hAnsi="宋体" w:eastAsia="宋体"/>
                <w:color w:val="000000"/>
                <w:szCs w:val="21"/>
              </w:rPr>
            </w:pPr>
          </w:p>
        </w:tc>
        <w:tc>
          <w:tcPr>
            <w:tcW w:w="3361" w:type="dxa"/>
            <w:tcBorders>
              <w:left w:val="single" w:color="auto" w:sz="4" w:space="0"/>
              <w:bottom w:val="single" w:color="auto" w:sz="4" w:space="0"/>
            </w:tcBorders>
            <w:vAlign w:val="center"/>
          </w:tcPr>
          <w:p w14:paraId="1877E9A5">
            <w:pPr>
              <w:pStyle w:val="40"/>
              <w:rPr>
                <w:rFonts w:ascii="宋体" w:hAnsi="宋体" w:eastAsia="宋体"/>
                <w:color w:val="000000"/>
                <w:szCs w:val="21"/>
              </w:rPr>
            </w:pPr>
          </w:p>
        </w:tc>
        <w:tc>
          <w:tcPr>
            <w:tcW w:w="717" w:type="dxa"/>
            <w:shd w:val="clear" w:color="auto" w:fill="FFFFFF"/>
            <w:vAlign w:val="center"/>
          </w:tcPr>
          <w:p w14:paraId="75CAF2B9">
            <w:pPr>
              <w:pStyle w:val="40"/>
              <w:jc w:val="center"/>
              <w:rPr>
                <w:rFonts w:ascii="宋体" w:hAnsi="宋体" w:eastAsia="宋体"/>
                <w:szCs w:val="21"/>
              </w:rPr>
            </w:pPr>
            <w:r>
              <w:rPr>
                <w:rFonts w:ascii="宋体" w:hAnsi="宋体" w:eastAsia="宋体"/>
                <w:szCs w:val="21"/>
              </w:rPr>
              <w:t>2</w:t>
            </w:r>
            <w:r>
              <w:rPr>
                <w:rFonts w:hint="eastAsia" w:ascii="宋体" w:hAnsi="宋体" w:eastAsia="宋体"/>
                <w:szCs w:val="21"/>
              </w:rPr>
              <w:t>5%</w:t>
            </w:r>
          </w:p>
        </w:tc>
        <w:tc>
          <w:tcPr>
            <w:tcW w:w="723" w:type="dxa"/>
            <w:shd w:val="clear" w:color="auto" w:fill="FFFFFF"/>
            <w:vAlign w:val="center"/>
          </w:tcPr>
          <w:p w14:paraId="4F0219C0">
            <w:pPr>
              <w:pStyle w:val="40"/>
              <w:jc w:val="center"/>
              <w:rPr>
                <w:rFonts w:ascii="宋体" w:hAnsi="宋体" w:eastAsia="宋体"/>
                <w:szCs w:val="21"/>
              </w:rPr>
            </w:pPr>
            <w:r>
              <w:rPr>
                <w:rFonts w:ascii="宋体" w:hAnsi="宋体" w:eastAsia="宋体"/>
                <w:szCs w:val="21"/>
              </w:rPr>
              <w:t>5</w:t>
            </w:r>
            <w:r>
              <w:rPr>
                <w:rFonts w:hint="eastAsia" w:ascii="宋体" w:hAnsi="宋体" w:eastAsia="宋体"/>
                <w:szCs w:val="21"/>
              </w:rPr>
              <w:t>5%</w:t>
            </w:r>
          </w:p>
        </w:tc>
        <w:tc>
          <w:tcPr>
            <w:tcW w:w="728" w:type="dxa"/>
            <w:gridSpan w:val="2"/>
            <w:shd w:val="clear" w:color="auto" w:fill="FFFFFF"/>
            <w:vAlign w:val="center"/>
          </w:tcPr>
          <w:p w14:paraId="16842F6D">
            <w:pPr>
              <w:pStyle w:val="40"/>
              <w:jc w:val="center"/>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0%</w:t>
            </w:r>
          </w:p>
        </w:tc>
        <w:tc>
          <w:tcPr>
            <w:tcW w:w="710" w:type="dxa"/>
            <w:shd w:val="clear" w:color="auto" w:fill="FFFFFF"/>
            <w:vAlign w:val="center"/>
          </w:tcPr>
          <w:p w14:paraId="460BEE3C">
            <w:pPr>
              <w:pStyle w:val="40"/>
              <w:jc w:val="center"/>
              <w:rPr>
                <w:rFonts w:ascii="宋体" w:hAnsi="宋体" w:eastAsia="宋体"/>
                <w:color w:val="000000"/>
                <w:szCs w:val="21"/>
              </w:rPr>
            </w:pPr>
          </w:p>
        </w:tc>
      </w:tr>
    </w:tbl>
    <w:p w14:paraId="4DD8ED5E">
      <w:pPr>
        <w:spacing w:before="156" w:beforeLines="50" w:line="360" w:lineRule="auto"/>
        <w:ind w:firstLine="480" w:firstLineChars="200"/>
        <w:rPr>
          <w:rFonts w:ascii="宋体" w:hAnsi="宋体" w:eastAsia="宋体"/>
          <w:sz w:val="24"/>
          <w:szCs w:val="24"/>
        </w:rPr>
      </w:pPr>
      <w:r>
        <w:rPr>
          <w:rFonts w:hint="eastAsia" w:ascii="宋体" w:hAnsi="宋体" w:eastAsia="宋体"/>
          <w:sz w:val="24"/>
          <w:szCs w:val="24"/>
        </w:rPr>
        <w:t>备注：</w:t>
      </w:r>
      <w:r>
        <w:rPr>
          <w:rFonts w:ascii="宋体" w:hAnsi="宋体" w:eastAsia="宋体" w:cs="Times New Roman"/>
          <w:sz w:val="24"/>
          <w:szCs w:val="24"/>
        </w:rPr>
        <w:t>1.</w:t>
      </w:r>
      <w:r>
        <w:rPr>
          <w:rFonts w:ascii="宋体" w:hAnsi="宋体" w:eastAsia="宋体"/>
          <w:sz w:val="24"/>
          <w:szCs w:val="24"/>
        </w:rPr>
        <w:t>课程目标达成度计算方法如下：</w:t>
      </w:r>
    </w:p>
    <w:p w14:paraId="174EC194">
      <w:pPr>
        <w:spacing w:line="360" w:lineRule="auto"/>
        <w:ind w:firstLine="480" w:firstLineChars="200"/>
        <w:jc w:val="center"/>
        <w:rPr>
          <w:rFonts w:ascii="宋体" w:hAnsi="宋体" w:eastAsia="宋体"/>
          <w:sz w:val="24"/>
          <w:szCs w:val="24"/>
        </w:rPr>
      </w:pPr>
      <w:r>
        <w:rPr>
          <w:rFonts w:ascii="宋体" w:hAnsi="宋体" w:eastAsia="宋体"/>
          <w:position w:val="-26"/>
          <w:sz w:val="24"/>
          <w:szCs w:val="24"/>
        </w:rPr>
        <w:object>
          <v:shape id="_x0000_i1033" o:spt="75" type="#_x0000_t75" style="height:31pt;width:339.05pt;" o:ole="t" filled="f" o:preferrelative="t" stroked="f" coordsize="21600,21600">
            <v:path/>
            <v:fill on="f" focussize="0,0"/>
            <v:stroke on="f" joinstyle="miter"/>
            <v:imagedata r:id="rId16" o:title=""/>
            <o:lock v:ext="edit" aspectratio="t"/>
            <w10:wrap type="none"/>
            <w10:anchorlock/>
          </v:shape>
          <o:OLEObject Type="Embed" ProgID="Equation.DSMT4" ShapeID="_x0000_i1033" DrawAspect="Content" ObjectID="_1468075733" r:id="rId15">
            <o:LockedField>false</o:LockedField>
          </o:OLEObject>
        </w:object>
      </w:r>
    </w:p>
    <w:p w14:paraId="242CE063">
      <w:pPr>
        <w:spacing w:line="360" w:lineRule="auto"/>
        <w:ind w:firstLine="480" w:firstLineChars="200"/>
        <w:rPr>
          <w:rFonts w:ascii="宋体" w:hAnsi="宋体" w:eastAsia="宋体"/>
          <w:sz w:val="24"/>
          <w:szCs w:val="24"/>
        </w:rPr>
      </w:pPr>
      <w:r>
        <w:rPr>
          <w:rFonts w:ascii="宋体" w:hAnsi="宋体" w:eastAsia="宋体" w:cs="Times New Roman"/>
          <w:sz w:val="24"/>
          <w:szCs w:val="24"/>
        </w:rPr>
        <w:t>2.</w:t>
      </w:r>
      <w:r>
        <w:rPr>
          <w:rFonts w:hint="eastAsia" w:ascii="宋体" w:hAnsi="宋体" w:eastAsia="宋体"/>
          <w:sz w:val="24"/>
          <w:szCs w:val="24"/>
        </w:rPr>
        <w:t>作业可以采用课后习题、单元测试、网络课堂学习等多种形式。</w:t>
      </w:r>
    </w:p>
    <w:p w14:paraId="395740F2">
      <w:pPr>
        <w:spacing w:line="360" w:lineRule="auto"/>
        <w:ind w:firstLine="482" w:firstLineChars="200"/>
        <w:rPr>
          <w:rFonts w:ascii="宋体" w:hAnsi="宋体" w:eastAsia="宋体"/>
          <w:b/>
          <w:sz w:val="24"/>
          <w:szCs w:val="24"/>
        </w:rPr>
      </w:pPr>
      <w:r>
        <w:rPr>
          <w:rFonts w:ascii="宋体" w:hAnsi="宋体" w:eastAsia="宋体"/>
          <w:b/>
          <w:sz w:val="24"/>
          <w:szCs w:val="24"/>
        </w:rPr>
        <w:t>六、</w:t>
      </w:r>
      <w:r>
        <w:rPr>
          <w:rFonts w:hint="eastAsia" w:ascii="宋体" w:hAnsi="宋体" w:eastAsia="宋体"/>
          <w:b/>
          <w:sz w:val="24"/>
          <w:szCs w:val="24"/>
        </w:rPr>
        <w:t>有关说明</w:t>
      </w:r>
    </w:p>
    <w:p w14:paraId="180971DB">
      <w:pPr>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（一）持续改进</w:t>
      </w:r>
    </w:p>
    <w:p w14:paraId="7C5A2F9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 合理安排教学课时，加强课堂提问、课堂小测验等旨在督促学生自主学习的教学环节；引导学生做好课前预习、课后整理笔记并及时完成作业的复习工作；保证学生完成一定数量的作业和习题。</w:t>
      </w:r>
    </w:p>
    <w:p w14:paraId="1CE226F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2．教学用的例题和习题</w:t>
      </w:r>
      <w:r>
        <w:rPr>
          <w:rFonts w:hint="eastAsia" w:ascii="宋体" w:hAnsi="宋体" w:eastAsia="宋体" w:cs="Times New Roman"/>
          <w:color w:val="000000"/>
          <w:sz w:val="24"/>
          <w:szCs w:val="24"/>
        </w:rPr>
        <w:t>，</w:t>
      </w:r>
      <w:r>
        <w:rPr>
          <w:rFonts w:ascii="宋体" w:hAnsi="宋体" w:eastAsia="宋体" w:cs="Times New Roman"/>
          <w:color w:val="000000"/>
          <w:sz w:val="24"/>
          <w:szCs w:val="24"/>
        </w:rPr>
        <w:t>应</w:t>
      </w:r>
      <w:r>
        <w:rPr>
          <w:rFonts w:hint="eastAsia" w:ascii="宋体" w:hAnsi="宋体" w:eastAsia="宋体" w:cs="Times New Roman"/>
          <w:color w:val="000000"/>
          <w:sz w:val="24"/>
          <w:szCs w:val="24"/>
        </w:rPr>
        <w:t>尽可能</w:t>
      </w:r>
      <w:r>
        <w:rPr>
          <w:rFonts w:ascii="宋体" w:hAnsi="宋体" w:eastAsia="宋体" w:cs="Times New Roman"/>
          <w:color w:val="000000"/>
          <w:sz w:val="24"/>
          <w:szCs w:val="24"/>
        </w:rPr>
        <w:t>结合</w:t>
      </w:r>
      <w:r>
        <w:rPr>
          <w:rFonts w:hint="eastAsia" w:ascii="宋体" w:hAnsi="宋体" w:eastAsia="宋体" w:cs="Times New Roman"/>
          <w:color w:val="000000"/>
          <w:sz w:val="24"/>
          <w:szCs w:val="24"/>
        </w:rPr>
        <w:t>专业特点</w:t>
      </w:r>
      <w:r>
        <w:rPr>
          <w:rFonts w:ascii="宋体" w:hAnsi="宋体" w:eastAsia="宋体" w:cs="Times New Roman"/>
          <w:color w:val="000000"/>
          <w:sz w:val="24"/>
          <w:szCs w:val="24"/>
        </w:rPr>
        <w:t>。</w:t>
      </w:r>
    </w:p>
    <w:p w14:paraId="07445E2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 根据学生、教学督导反馈意见，及时改进教学中的不足。</w:t>
      </w:r>
    </w:p>
    <w:p w14:paraId="681A55F7">
      <w:pPr>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（二）</w:t>
      </w:r>
      <w:r>
        <w:rPr>
          <w:rFonts w:ascii="宋体" w:hAnsi="宋体" w:eastAsia="宋体"/>
          <w:b/>
          <w:color w:val="000000"/>
          <w:sz w:val="24"/>
          <w:szCs w:val="24"/>
        </w:rPr>
        <w:t>参考书目及学习资料</w:t>
      </w:r>
    </w:p>
    <w:p w14:paraId="09AC686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1．教材</w:t>
      </w:r>
    </w:p>
    <w:p w14:paraId="0A8FA856">
      <w:pPr>
        <w:spacing w:line="360" w:lineRule="auto"/>
        <w:ind w:firstLine="480" w:firstLineChars="200"/>
        <w:rPr>
          <w:rFonts w:ascii="宋体" w:hAnsi="宋体" w:eastAsia="宋体" w:cs="Times New Roman"/>
          <w:sz w:val="24"/>
          <w:szCs w:val="24"/>
        </w:rPr>
      </w:pPr>
      <w:r>
        <w:rPr>
          <w:rFonts w:hint="eastAsia" w:ascii="宋体" w:hAnsi="宋体" w:eastAsia="宋体" w:cs="Times New Roman"/>
          <w:bCs/>
          <w:kern w:val="0"/>
          <w:sz w:val="24"/>
          <w:szCs w:val="24"/>
        </w:rPr>
        <w:t>张力宏主编</w:t>
      </w:r>
      <w:r>
        <w:rPr>
          <w:rFonts w:ascii="宋体" w:hAnsi="宋体" w:eastAsia="宋体" w:cs="Times New Roman"/>
          <w:sz w:val="24"/>
          <w:szCs w:val="24"/>
        </w:rPr>
        <w:t xml:space="preserve">. </w:t>
      </w:r>
      <w:r>
        <w:rPr>
          <w:rFonts w:ascii="宋体" w:hAnsi="宋体" w:eastAsia="宋体" w:cs="Times New Roman"/>
          <w:kern w:val="0"/>
          <w:sz w:val="24"/>
          <w:szCs w:val="24"/>
        </w:rPr>
        <w:t>高等代数</w:t>
      </w:r>
      <w:r>
        <w:rPr>
          <w:rFonts w:ascii="宋体" w:hAnsi="宋体" w:eastAsia="宋体" w:cs="Times New Roman"/>
          <w:sz w:val="24"/>
          <w:szCs w:val="24"/>
        </w:rPr>
        <w:t>. 北京：</w:t>
      </w:r>
      <w:r>
        <w:rPr>
          <w:rFonts w:hint="eastAsia" w:ascii="宋体" w:hAnsi="宋体" w:eastAsia="宋体" w:cs="Times New Roman"/>
          <w:kern w:val="0"/>
          <w:sz w:val="24"/>
          <w:szCs w:val="24"/>
        </w:rPr>
        <w:t>人民</w:t>
      </w:r>
      <w:r>
        <w:rPr>
          <w:rFonts w:ascii="宋体" w:hAnsi="宋体" w:eastAsia="宋体" w:cs="Times New Roman"/>
          <w:kern w:val="0"/>
          <w:sz w:val="24"/>
          <w:szCs w:val="24"/>
        </w:rPr>
        <w:t>教育出版社</w:t>
      </w:r>
      <w:r>
        <w:rPr>
          <w:rFonts w:ascii="宋体" w:hAnsi="宋体" w:eastAsia="宋体" w:cs="Times New Roman"/>
          <w:sz w:val="24"/>
          <w:szCs w:val="24"/>
        </w:rPr>
        <w:t>.</w:t>
      </w:r>
      <w:r>
        <w:rPr>
          <w:rFonts w:ascii="宋体" w:hAnsi="宋体" w:eastAsia="宋体" w:cs="Times New Roman"/>
          <w:kern w:val="0"/>
          <w:sz w:val="24"/>
          <w:szCs w:val="24"/>
        </w:rPr>
        <w:t>2019</w:t>
      </w:r>
      <w:r>
        <w:rPr>
          <w:rFonts w:ascii="宋体" w:hAnsi="宋体" w:eastAsia="宋体" w:cs="Times New Roman"/>
          <w:sz w:val="24"/>
          <w:szCs w:val="24"/>
        </w:rPr>
        <w:t>.</w:t>
      </w:r>
    </w:p>
    <w:p w14:paraId="4167B4F1">
      <w:pPr>
        <w:spacing w:line="360" w:lineRule="auto"/>
        <w:ind w:firstLine="480" w:firstLineChars="200"/>
        <w:rPr>
          <w:rFonts w:ascii="宋体" w:hAnsi="宋体" w:eastAsia="宋体" w:cs="Times New Roman"/>
          <w:sz w:val="24"/>
          <w:szCs w:val="24"/>
        </w:rPr>
      </w:pPr>
      <w:bookmarkStart w:id="221" w:name="_Toc19729797"/>
      <w:r>
        <w:rPr>
          <w:rFonts w:ascii="宋体" w:hAnsi="宋体" w:eastAsia="宋体" w:cs="Times New Roman"/>
          <w:sz w:val="24"/>
          <w:szCs w:val="24"/>
        </w:rPr>
        <w:t>2．教学参考书</w:t>
      </w:r>
      <w:bookmarkEnd w:id="221"/>
    </w:p>
    <w:p w14:paraId="24D06FF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王</w:t>
      </w:r>
      <w:r>
        <w:rPr>
          <w:rFonts w:ascii="宋体" w:hAnsi="宋体" w:eastAsia="宋体" w:cs="Times New Roman"/>
          <w:sz w:val="24"/>
          <w:szCs w:val="24"/>
        </w:rPr>
        <w:t>萼芳</w:t>
      </w:r>
      <w:r>
        <w:rPr>
          <w:rFonts w:hint="eastAsia" w:ascii="宋体" w:hAnsi="宋体" w:eastAsia="宋体" w:cs="Times New Roman"/>
          <w:sz w:val="24"/>
          <w:szCs w:val="24"/>
        </w:rPr>
        <w:t>，石生明</w:t>
      </w:r>
      <w:r>
        <w:rPr>
          <w:rFonts w:ascii="宋体" w:hAnsi="宋体" w:eastAsia="宋体" w:cs="Times New Roman"/>
          <w:sz w:val="24"/>
          <w:szCs w:val="24"/>
        </w:rPr>
        <w:t>. 高等代数.北京：</w:t>
      </w:r>
      <w:r>
        <w:rPr>
          <w:rFonts w:hint="eastAsia" w:ascii="宋体" w:hAnsi="宋体" w:eastAsia="宋体" w:cs="Times New Roman"/>
          <w:sz w:val="24"/>
          <w:szCs w:val="24"/>
        </w:rPr>
        <w:t>高等</w:t>
      </w:r>
      <w:r>
        <w:rPr>
          <w:rFonts w:ascii="宋体" w:hAnsi="宋体" w:eastAsia="宋体" w:cs="Times New Roman"/>
          <w:sz w:val="24"/>
          <w:szCs w:val="24"/>
        </w:rPr>
        <w:t>教育出版社</w:t>
      </w:r>
      <w:r>
        <w:rPr>
          <w:rFonts w:hint="eastAsia" w:ascii="宋体" w:hAnsi="宋体" w:eastAsia="宋体" w:cs="Times New Roman"/>
          <w:sz w:val="24"/>
          <w:szCs w:val="24"/>
        </w:rPr>
        <w:t>.第五版.</w:t>
      </w:r>
    </w:p>
    <w:p w14:paraId="4846396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王萼芳.高等代数教程习题集.北京：清华大学出版社</w:t>
      </w:r>
      <w:r>
        <w:rPr>
          <w:rFonts w:hint="eastAsia" w:ascii="宋体" w:hAnsi="宋体" w:eastAsia="宋体" w:cs="Times New Roman"/>
          <w:sz w:val="24"/>
          <w:szCs w:val="24"/>
        </w:rPr>
        <w:t>. 最新版.</w:t>
      </w:r>
    </w:p>
    <w:p w14:paraId="5654C775">
      <w:pPr>
        <w:spacing w:line="360" w:lineRule="auto"/>
        <w:rPr>
          <w:rFonts w:ascii="宋体" w:hAnsi="宋体" w:eastAsia="宋体" w:cs="Times New Roman"/>
          <w:sz w:val="24"/>
          <w:szCs w:val="24"/>
        </w:rPr>
      </w:pPr>
    </w:p>
    <w:p w14:paraId="7B301ECD">
      <w:pPr>
        <w:autoSpaceDE w:val="0"/>
        <w:autoSpaceDN w:val="0"/>
        <w:adjustRightInd w:val="0"/>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执笔人：</w:t>
      </w:r>
      <w:r>
        <w:rPr>
          <w:rFonts w:hint="eastAsia" w:ascii="宋体" w:hAnsi="宋体" w:eastAsia="宋体" w:cs="Times New Roman"/>
          <w:kern w:val="0"/>
          <w:sz w:val="24"/>
          <w:szCs w:val="24"/>
        </w:rPr>
        <w:t xml:space="preserve">傅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蕾</w:t>
      </w:r>
    </w:p>
    <w:p w14:paraId="549A35AB">
      <w:pPr>
        <w:autoSpaceDE w:val="0"/>
        <w:autoSpaceDN w:val="0"/>
        <w:adjustRightInd w:val="0"/>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审定人：</w:t>
      </w:r>
      <w:r>
        <w:rPr>
          <w:rFonts w:hint="eastAsia" w:ascii="宋体" w:hAnsi="宋体" w:eastAsia="宋体" w:cs="Times New Roman"/>
          <w:kern w:val="0"/>
          <w:sz w:val="24"/>
          <w:szCs w:val="24"/>
        </w:rPr>
        <w:t xml:space="preserve">王 </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健</w:t>
      </w:r>
    </w:p>
    <w:p w14:paraId="2DBF8FC8">
      <w:pPr>
        <w:autoSpaceDE w:val="0"/>
        <w:autoSpaceDN w:val="0"/>
        <w:adjustRightInd w:val="0"/>
        <w:spacing w:line="360" w:lineRule="auto"/>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                                </w:t>
      </w:r>
      <w:r>
        <w:rPr>
          <w:rFonts w:ascii="宋体" w:hAnsi="宋体" w:eastAsia="宋体" w:cs="Times New Roman"/>
          <w:kern w:val="0"/>
          <w:sz w:val="24"/>
          <w:szCs w:val="24"/>
        </w:rPr>
        <w:t>审批人：</w:t>
      </w:r>
      <w:r>
        <w:rPr>
          <w:rFonts w:hint="eastAsia" w:ascii="宋体" w:hAnsi="宋体" w:eastAsia="宋体" w:cs="Times New Roman"/>
          <w:kern w:val="0"/>
          <w:sz w:val="24"/>
          <w:szCs w:val="24"/>
        </w:rPr>
        <w:t>张志欣</w:t>
      </w:r>
    </w:p>
    <w:p w14:paraId="64D1A5BA">
      <w:pPr>
        <w:widowControl/>
        <w:jc w:val="center"/>
        <w:rPr>
          <w:rFonts w:ascii="宋体" w:hAnsi="宋体" w:eastAsia="宋体" w:cs="Times New Roman"/>
          <w:kern w:val="0"/>
          <w:sz w:val="24"/>
          <w:szCs w:val="24"/>
        </w:rPr>
      </w:pPr>
      <w:r>
        <w:rPr>
          <w:rFonts w:hint="eastAsia" w:ascii="宋体" w:hAnsi="宋体" w:eastAsia="宋体" w:cs="Times New Roman"/>
          <w:kern w:val="0"/>
          <w:sz w:val="24"/>
          <w:szCs w:val="24"/>
        </w:rPr>
        <w:t xml:space="preserve">                                           审批时间：</w:t>
      </w:r>
      <w:r>
        <w:rPr>
          <w:rFonts w:ascii="宋体" w:hAnsi="宋体" w:eastAsia="宋体" w:cs="Times New Roman"/>
          <w:kern w:val="0"/>
          <w:sz w:val="24"/>
          <w:szCs w:val="24"/>
        </w:rPr>
        <w:t>202</w:t>
      </w:r>
      <w:r>
        <w:rPr>
          <w:rFonts w:hint="eastAsia" w:ascii="宋体" w:hAnsi="宋体" w:eastAsia="宋体" w:cs="Times New Roman"/>
          <w:kern w:val="0"/>
          <w:sz w:val="24"/>
          <w:szCs w:val="24"/>
          <w:lang w:val="en-US" w:eastAsia="zh-CN"/>
        </w:rPr>
        <w:t>2</w:t>
      </w:r>
      <w:r>
        <w:rPr>
          <w:rFonts w:ascii="宋体" w:hAnsi="宋体" w:eastAsia="宋体" w:cs="Times New Roman"/>
          <w:kern w:val="0"/>
          <w:sz w:val="24"/>
          <w:szCs w:val="24"/>
        </w:rPr>
        <w:t>年8月</w:t>
      </w:r>
      <w:r>
        <w:rPr>
          <w:rFonts w:hint="eastAsia" w:ascii="宋体" w:hAnsi="宋体" w:eastAsia="宋体" w:cs="Times New Roman"/>
          <w:kern w:val="0"/>
          <w:sz w:val="24"/>
          <w:szCs w:val="24"/>
        </w:rPr>
        <w:t>30日</w:t>
      </w:r>
    </w:p>
    <w:p w14:paraId="3F027A43">
      <w:pPr>
        <w:autoSpaceDE w:val="0"/>
        <w:autoSpaceDN w:val="0"/>
        <w:adjustRightInd w:val="0"/>
        <w:spacing w:line="360" w:lineRule="auto"/>
        <w:jc w:val="right"/>
        <w:rPr>
          <w:rFonts w:ascii="Times New Roman" w:hAnsi="Times New Roman" w:eastAsia="宋体" w:cs="Times New Roman"/>
          <w:kern w:val="0"/>
          <w:sz w:val="24"/>
          <w:szCs w:val="21"/>
        </w:rPr>
      </w:pPr>
    </w:p>
    <w:p w14:paraId="780C0388">
      <w:pPr>
        <w:autoSpaceDE w:val="0"/>
        <w:autoSpaceDN w:val="0"/>
        <w:adjustRightInd w:val="0"/>
        <w:spacing w:line="360" w:lineRule="auto"/>
        <w:jc w:val="right"/>
        <w:rPr>
          <w:rFonts w:ascii="Times New Roman" w:hAnsi="Times New Roman" w:eastAsia="宋体" w:cs="Times New Roman"/>
          <w:kern w:val="0"/>
          <w:sz w:val="24"/>
          <w:szCs w:val="21"/>
        </w:rPr>
      </w:pPr>
    </w:p>
    <w:p w14:paraId="1DA350EC">
      <w:pPr>
        <w:autoSpaceDE w:val="0"/>
        <w:autoSpaceDN w:val="0"/>
        <w:adjustRightInd w:val="0"/>
        <w:spacing w:line="360" w:lineRule="auto"/>
        <w:jc w:val="right"/>
        <w:rPr>
          <w:rFonts w:ascii="Times New Roman" w:hAnsi="Times New Roman" w:eastAsia="宋体" w:cs="Times New Roman"/>
          <w:kern w:val="0"/>
          <w:sz w:val="24"/>
          <w:szCs w:val="21"/>
        </w:rPr>
      </w:pPr>
    </w:p>
    <w:p w14:paraId="018F4453">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5DA48924">
      <w:pPr>
        <w:spacing w:line="360" w:lineRule="auto"/>
        <w:jc w:val="center"/>
        <w:outlineLvl w:val="0"/>
        <w:rPr>
          <w:rFonts w:ascii="宋体" w:hAnsi="宋体" w:eastAsia="宋体" w:cs="Times New Roman"/>
          <w:b/>
          <w:bCs/>
          <w:sz w:val="30"/>
        </w:rPr>
      </w:pPr>
      <w:bookmarkStart w:id="222" w:name="_Toc166165211"/>
      <w:r>
        <w:rPr>
          <w:rFonts w:ascii="宋体" w:hAnsi="宋体" w:eastAsia="宋体" w:cs="Times New Roman"/>
          <w:b/>
          <w:bCs/>
          <w:sz w:val="30"/>
        </w:rPr>
        <w:t>高等代数II课程教学大纲</w:t>
      </w:r>
      <w:bookmarkEnd w:id="222"/>
    </w:p>
    <w:p w14:paraId="6819404E">
      <w:pPr>
        <w:spacing w:line="360" w:lineRule="auto"/>
        <w:jc w:val="center"/>
        <w:rPr>
          <w:rFonts w:ascii="宋体" w:hAnsi="宋体" w:eastAsia="宋体" w:cs="Times New Roman"/>
          <w:b/>
          <w:bCs/>
          <w:sz w:val="30"/>
        </w:rPr>
      </w:pPr>
      <w:r>
        <w:rPr>
          <w:rFonts w:ascii="宋体" w:hAnsi="宋体" w:eastAsia="宋体" w:cs="Times New Roman"/>
          <w:b/>
          <w:bCs/>
          <w:sz w:val="30"/>
        </w:rPr>
        <w:t>（Higher Algebra II）</w:t>
      </w:r>
    </w:p>
    <w:p w14:paraId="7F8232BA">
      <w:pPr>
        <w:spacing w:line="360" w:lineRule="auto"/>
        <w:ind w:firstLine="551" w:firstLineChars="196"/>
        <w:rPr>
          <w:rFonts w:ascii="宋体" w:hAnsi="宋体" w:eastAsia="宋体" w:cs="Times New Roman"/>
          <w:b/>
          <w:sz w:val="28"/>
          <w:szCs w:val="28"/>
        </w:rPr>
      </w:pPr>
      <w:r>
        <w:rPr>
          <w:rFonts w:ascii="宋体" w:hAnsi="宋体" w:eastAsia="宋体" w:cs="Times New Roman"/>
          <w:b/>
          <w:sz w:val="28"/>
          <w:szCs w:val="28"/>
        </w:rPr>
        <w:t>一、课程概况</w:t>
      </w:r>
    </w:p>
    <w:p w14:paraId="27DB0AC1">
      <w:pPr>
        <w:spacing w:line="360" w:lineRule="auto"/>
        <w:ind w:firstLine="482" w:firstLineChars="200"/>
        <w:rPr>
          <w:rFonts w:ascii="宋体" w:hAnsi="宋体" w:eastAsia="宋体" w:cs="Times New Roman"/>
          <w:b/>
          <w:sz w:val="28"/>
          <w:szCs w:val="28"/>
        </w:rPr>
      </w:pPr>
      <w:r>
        <w:rPr>
          <w:rFonts w:ascii="宋体" w:hAnsi="宋体" w:eastAsia="宋体" w:cs="Times New Roman"/>
          <w:b/>
          <w:bCs/>
          <w:kern w:val="0"/>
          <w:sz w:val="24"/>
        </w:rPr>
        <w:t>课程代码</w:t>
      </w:r>
      <w:r>
        <w:rPr>
          <w:rFonts w:ascii="宋体" w:hAnsi="宋体" w:eastAsia="宋体" w:cs="Times New Roman"/>
          <w:b/>
          <w:kern w:val="0"/>
          <w:sz w:val="24"/>
        </w:rPr>
        <w:t>：</w:t>
      </w:r>
      <w:r>
        <w:rPr>
          <w:rFonts w:ascii="宋体" w:hAnsi="宋体" w:eastAsia="宋体" w:cs="Times New Roman"/>
          <w:sz w:val="24"/>
        </w:rPr>
        <w:t>0821012</w:t>
      </w:r>
    </w:p>
    <w:p w14:paraId="37D92F6C">
      <w:pPr>
        <w:spacing w:line="360" w:lineRule="auto"/>
        <w:ind w:firstLine="482" w:firstLineChars="200"/>
        <w:rPr>
          <w:rFonts w:ascii="宋体" w:hAnsi="宋体" w:eastAsia="宋体" w:cs="Times New Roman"/>
          <w:b/>
          <w:kern w:val="0"/>
          <w:sz w:val="24"/>
        </w:rPr>
      </w:pPr>
      <w:r>
        <w:rPr>
          <w:rFonts w:ascii="宋体" w:hAnsi="宋体" w:eastAsia="宋体" w:cs="Times New Roman"/>
          <w:b/>
          <w:bCs/>
          <w:kern w:val="0"/>
          <w:sz w:val="24"/>
        </w:rPr>
        <w:t>学    分</w:t>
      </w:r>
      <w:r>
        <w:rPr>
          <w:rFonts w:ascii="宋体" w:hAnsi="宋体" w:eastAsia="宋体" w:cs="Times New Roman"/>
          <w:b/>
          <w:kern w:val="0"/>
          <w:sz w:val="24"/>
        </w:rPr>
        <w:t>：</w:t>
      </w:r>
      <w:r>
        <w:rPr>
          <w:rFonts w:ascii="宋体" w:hAnsi="宋体" w:eastAsia="宋体" w:cs="Times New Roman"/>
          <w:kern w:val="0"/>
          <w:sz w:val="24"/>
        </w:rPr>
        <w:t>4</w:t>
      </w:r>
    </w:p>
    <w:p w14:paraId="032B5679">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rPr>
        <w:t>学    时</w:t>
      </w:r>
      <w:r>
        <w:rPr>
          <w:rFonts w:ascii="宋体" w:hAnsi="宋体" w:eastAsia="宋体" w:cs="Times New Roman"/>
          <w:b/>
          <w:kern w:val="0"/>
          <w:sz w:val="24"/>
        </w:rPr>
        <w:t>：</w:t>
      </w:r>
      <w:r>
        <w:rPr>
          <w:rFonts w:ascii="宋体" w:hAnsi="宋体" w:eastAsia="宋体" w:cs="Times New Roman"/>
          <w:kern w:val="0"/>
          <w:sz w:val="24"/>
        </w:rPr>
        <w:t>64（其中：讲授学时64 ， 实验学时0  ，上机学时0）</w:t>
      </w:r>
    </w:p>
    <w:p w14:paraId="46FDDED6">
      <w:pPr>
        <w:spacing w:line="360" w:lineRule="auto"/>
        <w:ind w:firstLine="482" w:firstLineChars="200"/>
        <w:rPr>
          <w:rFonts w:ascii="宋体" w:hAnsi="宋体" w:eastAsia="宋体" w:cs="Times New Roman"/>
          <w:b/>
          <w:bCs/>
          <w:kern w:val="0"/>
          <w:sz w:val="24"/>
        </w:rPr>
      </w:pPr>
      <w:r>
        <w:rPr>
          <w:rFonts w:ascii="宋体" w:hAnsi="宋体" w:eastAsia="宋体" w:cs="Times New Roman"/>
          <w:b/>
          <w:bCs/>
          <w:kern w:val="0"/>
          <w:sz w:val="24"/>
        </w:rPr>
        <w:t>先修课程</w:t>
      </w:r>
      <w:r>
        <w:rPr>
          <w:rFonts w:ascii="宋体" w:hAnsi="宋体" w:eastAsia="宋体" w:cs="Times New Roman"/>
          <w:b/>
          <w:kern w:val="0"/>
          <w:sz w:val="24"/>
        </w:rPr>
        <w:t>：</w:t>
      </w:r>
      <w:r>
        <w:rPr>
          <w:rFonts w:ascii="宋体" w:hAnsi="宋体" w:eastAsia="宋体" w:cs="Times New Roman"/>
          <w:color w:val="000000"/>
          <w:sz w:val="24"/>
        </w:rPr>
        <w:t>初等数学</w:t>
      </w:r>
    </w:p>
    <w:p w14:paraId="7370BB28">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rPr>
        <w:t>适用专业</w:t>
      </w:r>
      <w:r>
        <w:rPr>
          <w:rFonts w:ascii="宋体" w:hAnsi="宋体" w:eastAsia="宋体" w:cs="Times New Roman"/>
          <w:b/>
          <w:kern w:val="0"/>
          <w:sz w:val="24"/>
        </w:rPr>
        <w:t>：</w:t>
      </w:r>
      <w:r>
        <w:rPr>
          <w:rFonts w:ascii="宋体" w:hAnsi="宋体" w:eastAsia="宋体" w:cs="Times New Roman"/>
          <w:kern w:val="0"/>
          <w:sz w:val="24"/>
        </w:rPr>
        <w:t xml:space="preserve"> 小学教育（理）专业                      </w:t>
      </w:r>
    </w:p>
    <w:p w14:paraId="662522B8">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rPr>
        <w:t>建议教材</w:t>
      </w:r>
      <w:r>
        <w:rPr>
          <w:rFonts w:ascii="宋体" w:hAnsi="宋体" w:eastAsia="宋体" w:cs="Times New Roman"/>
          <w:b/>
          <w:kern w:val="0"/>
          <w:sz w:val="24"/>
        </w:rPr>
        <w:t>：</w:t>
      </w:r>
      <w:r>
        <w:rPr>
          <w:rFonts w:ascii="宋体" w:hAnsi="宋体" w:eastAsia="宋体" w:cs="Times New Roman"/>
          <w:kern w:val="0"/>
          <w:sz w:val="24"/>
        </w:rPr>
        <w:t>《高等代数》，</w:t>
      </w:r>
      <w:r>
        <w:rPr>
          <w:rFonts w:ascii="宋体" w:hAnsi="宋体" w:eastAsia="宋体" w:cs="Times New Roman"/>
          <w:bCs/>
          <w:kern w:val="0"/>
          <w:sz w:val="24"/>
        </w:rPr>
        <w:t>北京大学数学系，</w:t>
      </w:r>
      <w:r>
        <w:rPr>
          <w:rFonts w:ascii="宋体" w:hAnsi="宋体" w:eastAsia="宋体" w:cs="Times New Roman"/>
          <w:kern w:val="0"/>
          <w:sz w:val="24"/>
        </w:rPr>
        <w:t>高等教育出版社，2010.5</w:t>
      </w:r>
    </w:p>
    <w:p w14:paraId="54CE7B43">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rPr>
        <w:t>课程归口：</w:t>
      </w:r>
      <w:r>
        <w:rPr>
          <w:rFonts w:ascii="宋体" w:hAnsi="宋体" w:eastAsia="宋体" w:cs="Times New Roman"/>
          <w:bCs/>
          <w:kern w:val="0"/>
          <w:sz w:val="24"/>
        </w:rPr>
        <w:t>理</w:t>
      </w:r>
      <w:r>
        <w:rPr>
          <w:rFonts w:ascii="宋体" w:hAnsi="宋体" w:eastAsia="宋体" w:cs="Times New Roman"/>
          <w:kern w:val="0"/>
          <w:sz w:val="24"/>
        </w:rPr>
        <w:t>学院</w:t>
      </w:r>
    </w:p>
    <w:p w14:paraId="670CFAA4">
      <w:pPr>
        <w:autoSpaceDE w:val="0"/>
        <w:autoSpaceDN w:val="0"/>
        <w:adjustRightInd w:val="0"/>
        <w:spacing w:line="360" w:lineRule="auto"/>
        <w:ind w:firstLine="482" w:firstLineChars="200"/>
        <w:jc w:val="left"/>
        <w:rPr>
          <w:rFonts w:ascii="宋体" w:hAnsi="宋体" w:eastAsia="宋体" w:cs="Times New Roman"/>
          <w:sz w:val="24"/>
        </w:rPr>
      </w:pPr>
      <w:r>
        <w:rPr>
          <w:rFonts w:ascii="宋体" w:hAnsi="宋体" w:eastAsia="宋体" w:cs="Times New Roman"/>
          <w:b/>
          <w:bCs/>
          <w:kern w:val="0"/>
          <w:sz w:val="24"/>
        </w:rPr>
        <w:t>课程的性质与任务：</w:t>
      </w:r>
      <w:r>
        <w:rPr>
          <w:rFonts w:ascii="宋体" w:hAnsi="宋体" w:eastAsia="宋体" w:cs="Times New Roman"/>
          <w:kern w:val="0"/>
          <w:sz w:val="24"/>
        </w:rPr>
        <w:t>本课程是小学教育（理）专业的一门</w:t>
      </w:r>
      <w:r>
        <w:rPr>
          <w:rFonts w:ascii="宋体" w:hAnsi="宋体" w:eastAsia="宋体" w:cs="Times New Roman"/>
          <w:color w:val="000000"/>
          <w:sz w:val="24"/>
        </w:rPr>
        <w:t>重要基础课</w:t>
      </w:r>
      <w:r>
        <w:rPr>
          <w:rFonts w:ascii="宋体" w:hAnsi="宋体" w:eastAsia="宋体" w:cs="Times New Roman"/>
          <w:sz w:val="24"/>
        </w:rPr>
        <w:t>。</w:t>
      </w:r>
      <w:r>
        <w:rPr>
          <w:rFonts w:ascii="宋体" w:hAnsi="宋体" w:eastAsia="宋体" w:cs="Times New Roman"/>
          <w:color w:val="000000"/>
          <w:kern w:val="0"/>
          <w:sz w:val="24"/>
        </w:rPr>
        <w:t>通过本课程的学习，使学生系统地获得高等代数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5B3AA9BD">
      <w:pPr>
        <w:spacing w:line="360" w:lineRule="auto"/>
        <w:ind w:firstLine="562" w:firstLineChars="200"/>
        <w:rPr>
          <w:rFonts w:ascii="宋体" w:hAnsi="宋体" w:eastAsia="宋体" w:cs="Times New Roman"/>
          <w:b/>
          <w:sz w:val="28"/>
          <w:szCs w:val="28"/>
        </w:rPr>
      </w:pPr>
      <w:r>
        <w:rPr>
          <w:rFonts w:ascii="宋体" w:hAnsi="宋体" w:eastAsia="宋体" w:cs="Times New Roman"/>
          <w:b/>
          <w:sz w:val="28"/>
          <w:szCs w:val="28"/>
        </w:rPr>
        <w:t>二、课程目标</w:t>
      </w:r>
    </w:p>
    <w:p w14:paraId="06603D1B">
      <w:pPr>
        <w:spacing w:line="360" w:lineRule="auto"/>
        <w:ind w:firstLine="482"/>
        <w:jc w:val="left"/>
        <w:rPr>
          <w:rFonts w:ascii="宋体" w:hAnsi="宋体" w:eastAsia="宋体" w:cs="Times New Roman"/>
          <w:sz w:val="24"/>
        </w:rPr>
      </w:pPr>
      <w:r>
        <w:rPr>
          <w:rFonts w:ascii="宋体" w:hAnsi="宋体" w:eastAsia="宋体" w:cs="Times New Roman"/>
          <w:sz w:val="24"/>
        </w:rPr>
        <w:t>目标1.</w:t>
      </w:r>
      <w:r>
        <w:rPr>
          <w:rFonts w:ascii="宋体" w:hAnsi="宋体" w:eastAsia="宋体" w:cs="Times New Roman"/>
        </w:rPr>
        <w:t xml:space="preserve"> </w:t>
      </w:r>
      <w:r>
        <w:rPr>
          <w:rFonts w:ascii="宋体" w:hAnsi="宋体" w:eastAsia="宋体" w:cs="Times New Roman"/>
          <w:color w:val="000000"/>
          <w:sz w:val="24"/>
        </w:rPr>
        <w:t>能够获得课程基本概念与性质</w:t>
      </w:r>
      <w:r>
        <w:rPr>
          <w:rFonts w:ascii="宋体" w:hAnsi="宋体" w:eastAsia="宋体" w:cs="Times New Roman"/>
          <w:sz w:val="24"/>
        </w:rPr>
        <w:t>。</w:t>
      </w:r>
    </w:p>
    <w:p w14:paraId="4D373AF7">
      <w:pPr>
        <w:spacing w:line="360" w:lineRule="auto"/>
        <w:ind w:firstLine="482"/>
        <w:jc w:val="left"/>
        <w:rPr>
          <w:rFonts w:ascii="宋体" w:hAnsi="宋体" w:eastAsia="宋体" w:cs="Times New Roman"/>
          <w:sz w:val="24"/>
        </w:rPr>
      </w:pPr>
      <w:r>
        <w:rPr>
          <w:rFonts w:ascii="宋体" w:hAnsi="宋体" w:eastAsia="宋体" w:cs="Times New Roman"/>
          <w:sz w:val="24"/>
        </w:rPr>
        <w:t xml:space="preserve">目标2. </w:t>
      </w:r>
      <w:r>
        <w:rPr>
          <w:rFonts w:ascii="宋体" w:hAnsi="宋体" w:eastAsia="宋体" w:cs="Times New Roman"/>
          <w:color w:val="000000"/>
          <w:sz w:val="24"/>
        </w:rPr>
        <w:t>能够掌握本课程要求的计算方法</w:t>
      </w:r>
      <w:r>
        <w:rPr>
          <w:rFonts w:ascii="宋体" w:hAnsi="宋体" w:eastAsia="宋体" w:cs="Times New Roman"/>
          <w:sz w:val="24"/>
        </w:rPr>
        <w:t>。</w:t>
      </w:r>
    </w:p>
    <w:p w14:paraId="137E523F">
      <w:pPr>
        <w:spacing w:line="360" w:lineRule="auto"/>
        <w:ind w:firstLine="482"/>
        <w:jc w:val="left"/>
        <w:rPr>
          <w:rFonts w:ascii="宋体" w:hAnsi="宋体" w:eastAsia="宋体" w:cs="Times New Roman"/>
          <w:sz w:val="24"/>
        </w:rPr>
      </w:pPr>
      <w:r>
        <w:rPr>
          <w:rFonts w:ascii="宋体" w:hAnsi="宋体" w:eastAsia="宋体" w:cs="Times New Roman"/>
          <w:sz w:val="24"/>
        </w:rPr>
        <w:t xml:space="preserve">目标3. </w:t>
      </w:r>
      <w:r>
        <w:rPr>
          <w:rFonts w:ascii="宋体" w:hAnsi="宋体" w:eastAsia="宋体" w:cs="Times New Roman"/>
          <w:color w:val="000000"/>
          <w:sz w:val="24"/>
        </w:rPr>
        <w:t>能够具有一定的</w:t>
      </w:r>
      <w:r>
        <w:rPr>
          <w:rFonts w:ascii="宋体" w:hAnsi="宋体" w:eastAsia="宋体" w:cs="Times New Roman"/>
          <w:sz w:val="24"/>
        </w:rPr>
        <w:t>抽象概括、逻辑推理等能力。</w:t>
      </w:r>
    </w:p>
    <w:p w14:paraId="67EBE54F">
      <w:pPr>
        <w:spacing w:line="360" w:lineRule="auto"/>
        <w:ind w:firstLine="482"/>
        <w:jc w:val="left"/>
        <w:rPr>
          <w:rFonts w:ascii="宋体" w:hAnsi="宋体" w:eastAsia="宋体" w:cs="Times New Roman"/>
          <w:sz w:val="24"/>
        </w:rPr>
      </w:pPr>
      <w:r>
        <w:rPr>
          <w:rFonts w:ascii="宋体" w:hAnsi="宋体" w:eastAsia="宋体" w:cs="Times New Roman"/>
          <w:sz w:val="24"/>
        </w:rPr>
        <w:t xml:space="preserve">目标4. </w:t>
      </w:r>
      <w:r>
        <w:rPr>
          <w:rFonts w:ascii="宋体" w:hAnsi="宋体" w:eastAsia="宋体" w:cs="Times New Roman"/>
          <w:color w:val="000000"/>
          <w:sz w:val="24"/>
        </w:rPr>
        <w:t>能够</w:t>
      </w:r>
      <w:r>
        <w:rPr>
          <w:rFonts w:ascii="宋体" w:hAnsi="宋体" w:eastAsia="宋体" w:cs="Times New Roman"/>
          <w:sz w:val="24"/>
        </w:rPr>
        <w:t>具有一定的运算能力。</w:t>
      </w:r>
    </w:p>
    <w:p w14:paraId="4219397B">
      <w:pPr>
        <w:spacing w:line="360" w:lineRule="auto"/>
        <w:ind w:firstLine="482"/>
        <w:jc w:val="left"/>
        <w:rPr>
          <w:rFonts w:ascii="宋体" w:hAnsi="宋体" w:eastAsia="宋体" w:cs="Times New Roman"/>
          <w:sz w:val="24"/>
        </w:rPr>
      </w:pPr>
      <w:r>
        <w:rPr>
          <w:rFonts w:ascii="宋体" w:hAnsi="宋体" w:eastAsia="宋体" w:cs="Times New Roman"/>
          <w:sz w:val="24"/>
        </w:rPr>
        <w:t xml:space="preserve">目标5. </w:t>
      </w:r>
      <w:r>
        <w:rPr>
          <w:rFonts w:ascii="宋体" w:hAnsi="宋体" w:eastAsia="宋体" w:cs="Times New Roman"/>
          <w:color w:val="000000"/>
          <w:sz w:val="24"/>
        </w:rPr>
        <w:t>能够具有一定的</w:t>
      </w:r>
      <w:r>
        <w:rPr>
          <w:rFonts w:ascii="宋体" w:hAnsi="宋体" w:eastAsia="宋体" w:cs="Times New Roman"/>
          <w:sz w:val="24"/>
        </w:rPr>
        <w:t>数学思维与分析能力。</w:t>
      </w:r>
    </w:p>
    <w:p w14:paraId="569D7E0A">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本课程支撑专业人才培养方案中毕业要求</w:t>
      </w:r>
      <w:r>
        <w:rPr>
          <w:rFonts w:ascii="宋体" w:hAnsi="宋体" w:eastAsia="宋体" w:cs="Times New Roman"/>
          <w:sz w:val="24"/>
        </w:rPr>
        <w:t>3</w:t>
      </w:r>
      <w:r>
        <w:rPr>
          <w:rFonts w:ascii="宋体" w:hAnsi="宋体" w:eastAsia="宋体" w:cs="Times New Roman"/>
          <w:szCs w:val="21"/>
        </w:rPr>
        <w:t>-1</w:t>
      </w:r>
      <w:r>
        <w:rPr>
          <w:rFonts w:ascii="宋体" w:hAnsi="宋体" w:eastAsia="宋体" w:cs="Times New Roman"/>
          <w:color w:val="000000"/>
          <w:sz w:val="24"/>
        </w:rPr>
        <w:t>、毕业要求</w:t>
      </w:r>
      <w:r>
        <w:rPr>
          <w:rFonts w:ascii="宋体" w:hAnsi="宋体" w:eastAsia="宋体" w:cs="Times New Roman"/>
          <w:sz w:val="24"/>
        </w:rPr>
        <w:t>3</w:t>
      </w:r>
      <w:r>
        <w:rPr>
          <w:rFonts w:ascii="宋体" w:hAnsi="宋体" w:eastAsia="宋体" w:cs="Times New Roman"/>
          <w:szCs w:val="21"/>
        </w:rPr>
        <w:t>-2</w:t>
      </w:r>
      <w:r>
        <w:rPr>
          <w:rFonts w:ascii="宋体" w:hAnsi="宋体" w:eastAsia="宋体" w:cs="Times New Roman"/>
          <w:color w:val="000000"/>
          <w:sz w:val="24"/>
        </w:rPr>
        <w:t>，毕业要求</w:t>
      </w:r>
      <w:r>
        <w:rPr>
          <w:rFonts w:ascii="宋体" w:hAnsi="宋体" w:eastAsia="宋体" w:cs="Times New Roman"/>
          <w:sz w:val="24"/>
        </w:rPr>
        <w:t>6</w:t>
      </w:r>
      <w:r>
        <w:rPr>
          <w:rFonts w:ascii="宋体" w:hAnsi="宋体" w:eastAsia="宋体" w:cs="Times New Roman"/>
          <w:szCs w:val="21"/>
        </w:rPr>
        <w:t>-2</w:t>
      </w:r>
      <w:r>
        <w:rPr>
          <w:rFonts w:ascii="宋体" w:hAnsi="宋体" w:eastAsia="宋体" w:cs="Times New Roman"/>
          <w:color w:val="000000"/>
          <w:sz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3D510A29">
        <w:trPr>
          <w:trHeight w:val="329"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75475B5">
            <w:pPr>
              <w:widowControl/>
              <w:jc w:val="center"/>
              <w:rPr>
                <w:rFonts w:ascii="宋体" w:hAnsi="宋体" w:eastAsia="宋体" w:cs="Times New Roman"/>
                <w:kern w:val="0"/>
                <w:szCs w:val="21"/>
              </w:rPr>
            </w:pPr>
            <w:r>
              <w:rPr>
                <w:rFonts w:ascii="宋体" w:hAnsi="宋体" w:eastAsia="宋体" w:cs="Times New Roman"/>
                <w:kern w:val="0"/>
                <w:szCs w:val="21"/>
              </w:rPr>
              <w:t>毕业要求</w:t>
            </w:r>
          </w:p>
          <w:p w14:paraId="6A1CF2C0">
            <w:pPr>
              <w:widowControl/>
              <w:jc w:val="center"/>
              <w:rPr>
                <w:rFonts w:ascii="宋体" w:hAnsi="宋体" w:eastAsia="宋体" w:cs="Times New Roman"/>
                <w:kern w:val="0"/>
                <w:szCs w:val="21"/>
              </w:rPr>
            </w:pPr>
            <w:r>
              <w:rPr>
                <w:rFonts w:ascii="宋体" w:hAnsi="宋体"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54B83C3E">
            <w:pPr>
              <w:widowControl/>
              <w:jc w:val="center"/>
              <w:rPr>
                <w:rFonts w:ascii="宋体" w:hAnsi="宋体" w:eastAsia="宋体" w:cs="Times New Roman"/>
                <w:kern w:val="0"/>
                <w:szCs w:val="21"/>
              </w:rPr>
            </w:pPr>
            <w:r>
              <w:rPr>
                <w:rFonts w:ascii="宋体" w:hAnsi="宋体" w:eastAsia="宋体" w:cs="Times New Roman"/>
                <w:kern w:val="0"/>
                <w:szCs w:val="21"/>
              </w:rPr>
              <w:t>课程目标</w:t>
            </w:r>
          </w:p>
        </w:tc>
      </w:tr>
      <w:tr w14:paraId="7CEDD485">
        <w:tblPrEx>
          <w:tblCellMar>
            <w:top w:w="0" w:type="dxa"/>
            <w:left w:w="108" w:type="dxa"/>
            <w:bottom w:w="0" w:type="dxa"/>
            <w:right w:w="108" w:type="dxa"/>
          </w:tblCellMar>
        </w:tblPrEx>
        <w:trPr>
          <w:trHeight w:val="407"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2E2F620">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2DFEB5C0">
            <w:pPr>
              <w:widowControl/>
              <w:jc w:val="center"/>
              <w:rPr>
                <w:rFonts w:ascii="宋体" w:hAnsi="宋体" w:eastAsia="宋体" w:cs="Times New Roman"/>
                <w:kern w:val="0"/>
                <w:szCs w:val="21"/>
              </w:rPr>
            </w:pPr>
            <w:r>
              <w:rPr>
                <w:rFonts w:ascii="宋体" w:hAnsi="宋体"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56D4B2A4">
            <w:pPr>
              <w:widowControl/>
              <w:jc w:val="center"/>
              <w:rPr>
                <w:rFonts w:ascii="宋体" w:hAnsi="宋体" w:eastAsia="宋体" w:cs="Times New Roman"/>
                <w:kern w:val="0"/>
                <w:szCs w:val="21"/>
              </w:rPr>
            </w:pPr>
            <w:r>
              <w:rPr>
                <w:rFonts w:ascii="宋体" w:hAnsi="宋体"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449A6593">
            <w:pPr>
              <w:widowControl/>
              <w:jc w:val="center"/>
              <w:rPr>
                <w:rFonts w:ascii="宋体" w:hAnsi="宋体" w:eastAsia="宋体" w:cs="Times New Roman"/>
                <w:kern w:val="0"/>
                <w:szCs w:val="21"/>
              </w:rPr>
            </w:pPr>
            <w:r>
              <w:rPr>
                <w:rFonts w:ascii="宋体" w:hAnsi="宋体"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28392855">
            <w:pPr>
              <w:widowControl/>
              <w:jc w:val="center"/>
              <w:rPr>
                <w:rFonts w:ascii="宋体" w:hAnsi="宋体" w:eastAsia="宋体" w:cs="Times New Roman"/>
                <w:kern w:val="0"/>
                <w:szCs w:val="21"/>
              </w:rPr>
            </w:pPr>
            <w:r>
              <w:rPr>
                <w:rFonts w:ascii="宋体" w:hAnsi="宋体"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00C4201A">
            <w:pPr>
              <w:widowControl/>
              <w:jc w:val="center"/>
              <w:rPr>
                <w:rFonts w:ascii="宋体" w:hAnsi="宋体" w:eastAsia="宋体" w:cs="Times New Roman"/>
                <w:kern w:val="0"/>
                <w:szCs w:val="21"/>
              </w:rPr>
            </w:pPr>
            <w:r>
              <w:rPr>
                <w:rFonts w:ascii="宋体" w:hAnsi="宋体"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21868340">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B951449">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2F8297A">
            <w:pPr>
              <w:widowControl/>
              <w:jc w:val="center"/>
              <w:rPr>
                <w:rFonts w:ascii="宋体" w:hAnsi="宋体" w:eastAsia="宋体" w:cs="Times New Roman"/>
                <w:kern w:val="0"/>
                <w:szCs w:val="21"/>
              </w:rPr>
            </w:pPr>
          </w:p>
        </w:tc>
      </w:tr>
      <w:tr w14:paraId="577D66CA">
        <w:tblPrEx>
          <w:tblCellMar>
            <w:top w:w="0" w:type="dxa"/>
            <w:left w:w="108" w:type="dxa"/>
            <w:bottom w:w="0" w:type="dxa"/>
            <w:right w:w="108" w:type="dxa"/>
          </w:tblCellMar>
        </w:tblPrEx>
        <w:trPr>
          <w:trHeight w:val="74" w:hRule="atLeast"/>
        </w:trPr>
        <w:tc>
          <w:tcPr>
            <w:tcW w:w="1695" w:type="dxa"/>
            <w:tcBorders>
              <w:top w:val="nil"/>
              <w:left w:val="single" w:color="auto" w:sz="4" w:space="0"/>
              <w:bottom w:val="single" w:color="auto" w:sz="4" w:space="0"/>
              <w:right w:val="single" w:color="auto" w:sz="4" w:space="0"/>
            </w:tcBorders>
            <w:vAlign w:val="center"/>
          </w:tcPr>
          <w:p w14:paraId="399B617A">
            <w:pPr>
              <w:widowControl/>
              <w:jc w:val="center"/>
              <w:rPr>
                <w:rFonts w:ascii="宋体" w:hAnsi="宋体" w:eastAsia="宋体" w:cs="Times New Roman"/>
                <w:kern w:val="0"/>
                <w:szCs w:val="21"/>
              </w:rPr>
            </w:pPr>
            <w:r>
              <w:rPr>
                <w:rFonts w:ascii="宋体" w:hAnsi="宋体" w:eastAsia="宋体" w:cs="Times New Roman"/>
                <w:kern w:val="0"/>
                <w:szCs w:val="21"/>
              </w:rPr>
              <w:t>毕业要求</w:t>
            </w:r>
            <w:r>
              <w:rPr>
                <w:rFonts w:ascii="宋体" w:hAnsi="宋体" w:eastAsia="宋体" w:cs="Times New Roman"/>
                <w:szCs w:val="21"/>
              </w:rPr>
              <w:t>3-1</w:t>
            </w:r>
          </w:p>
        </w:tc>
        <w:tc>
          <w:tcPr>
            <w:tcW w:w="945" w:type="dxa"/>
            <w:tcBorders>
              <w:top w:val="nil"/>
              <w:left w:val="nil"/>
              <w:bottom w:val="single" w:color="auto" w:sz="4" w:space="0"/>
              <w:right w:val="single" w:color="auto" w:sz="4" w:space="0"/>
            </w:tcBorders>
            <w:vAlign w:val="center"/>
          </w:tcPr>
          <w:p w14:paraId="0E4C1490">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7132428">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607E668">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046B080">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E7B640D">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17381E6B">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01A8D26">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E389FF9">
            <w:pPr>
              <w:widowControl/>
              <w:jc w:val="center"/>
              <w:rPr>
                <w:rFonts w:ascii="宋体" w:hAnsi="宋体" w:eastAsia="宋体" w:cs="Times New Roman"/>
                <w:kern w:val="0"/>
                <w:szCs w:val="21"/>
              </w:rPr>
            </w:pPr>
          </w:p>
        </w:tc>
      </w:tr>
      <w:tr w14:paraId="7FDC403D">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1ED644C2">
            <w:pPr>
              <w:widowControl/>
              <w:jc w:val="center"/>
              <w:rPr>
                <w:rFonts w:ascii="宋体" w:hAnsi="宋体" w:eastAsia="宋体" w:cs="Times New Roman"/>
                <w:kern w:val="0"/>
                <w:szCs w:val="21"/>
              </w:rPr>
            </w:pPr>
            <w:r>
              <w:rPr>
                <w:rFonts w:ascii="宋体" w:hAnsi="宋体" w:eastAsia="宋体" w:cs="Times New Roman"/>
                <w:kern w:val="0"/>
                <w:szCs w:val="21"/>
              </w:rPr>
              <w:t>毕业要求</w:t>
            </w:r>
            <w:r>
              <w:rPr>
                <w:rFonts w:ascii="宋体" w:hAnsi="宋体" w:eastAsia="宋体" w:cs="Times New Roman"/>
                <w:szCs w:val="21"/>
              </w:rPr>
              <w:t>3-2</w:t>
            </w:r>
          </w:p>
        </w:tc>
        <w:tc>
          <w:tcPr>
            <w:tcW w:w="945" w:type="dxa"/>
            <w:tcBorders>
              <w:top w:val="nil"/>
              <w:left w:val="nil"/>
              <w:bottom w:val="single" w:color="auto" w:sz="4" w:space="0"/>
              <w:right w:val="single" w:color="auto" w:sz="4" w:space="0"/>
            </w:tcBorders>
            <w:vAlign w:val="center"/>
          </w:tcPr>
          <w:p w14:paraId="29C6BAB1">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CB63ED1">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79CD0DD">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7662D2A3">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3288F86">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477434A">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B2595BA">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E108641">
            <w:pPr>
              <w:widowControl/>
              <w:jc w:val="center"/>
              <w:rPr>
                <w:rFonts w:ascii="宋体" w:hAnsi="宋体" w:eastAsia="宋体" w:cs="Times New Roman"/>
                <w:kern w:val="0"/>
                <w:szCs w:val="21"/>
              </w:rPr>
            </w:pPr>
          </w:p>
        </w:tc>
      </w:tr>
      <w:tr w14:paraId="17EC33F5">
        <w:tblPrEx>
          <w:tblCellMar>
            <w:top w:w="0" w:type="dxa"/>
            <w:left w:w="108" w:type="dxa"/>
            <w:bottom w:w="0" w:type="dxa"/>
            <w:right w:w="108" w:type="dxa"/>
          </w:tblCellMar>
        </w:tblPrEx>
        <w:trPr>
          <w:trHeight w:val="69" w:hRule="atLeast"/>
        </w:trPr>
        <w:tc>
          <w:tcPr>
            <w:tcW w:w="1695" w:type="dxa"/>
            <w:tcBorders>
              <w:top w:val="nil"/>
              <w:left w:val="single" w:color="auto" w:sz="4" w:space="0"/>
              <w:bottom w:val="single" w:color="auto" w:sz="4" w:space="0"/>
              <w:right w:val="single" w:color="auto" w:sz="4" w:space="0"/>
            </w:tcBorders>
            <w:vAlign w:val="center"/>
          </w:tcPr>
          <w:p w14:paraId="1E6BD691">
            <w:pPr>
              <w:widowControl/>
              <w:jc w:val="center"/>
              <w:rPr>
                <w:rFonts w:ascii="宋体" w:hAnsi="宋体" w:eastAsia="宋体" w:cs="Times New Roman"/>
                <w:kern w:val="0"/>
                <w:szCs w:val="21"/>
              </w:rPr>
            </w:pPr>
            <w:r>
              <w:rPr>
                <w:rFonts w:ascii="宋体" w:hAnsi="宋体" w:eastAsia="宋体" w:cs="Times New Roman"/>
                <w:kern w:val="0"/>
                <w:szCs w:val="21"/>
              </w:rPr>
              <w:t>毕业要求</w:t>
            </w:r>
            <w:r>
              <w:rPr>
                <w:rFonts w:ascii="宋体" w:hAnsi="宋体" w:eastAsia="宋体" w:cs="Times New Roman"/>
                <w:szCs w:val="21"/>
              </w:rPr>
              <w:t>6-2</w:t>
            </w:r>
          </w:p>
        </w:tc>
        <w:tc>
          <w:tcPr>
            <w:tcW w:w="945" w:type="dxa"/>
            <w:tcBorders>
              <w:top w:val="nil"/>
              <w:left w:val="nil"/>
              <w:bottom w:val="single" w:color="auto" w:sz="4" w:space="0"/>
              <w:right w:val="single" w:color="auto" w:sz="4" w:space="0"/>
            </w:tcBorders>
            <w:vAlign w:val="center"/>
          </w:tcPr>
          <w:p w14:paraId="794E0FF2">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A14DF79">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9D82060">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33D0714">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3ED23F3B">
            <w:pPr>
              <w:widowControl/>
              <w:jc w:val="center"/>
              <w:rPr>
                <w:rFonts w:ascii="宋体" w:hAnsi="宋体" w:eastAsia="宋体" w:cs="Times New Roman"/>
                <w:kern w:val="0"/>
                <w:szCs w:val="21"/>
              </w:rPr>
            </w:pPr>
            <w:r>
              <w:rPr>
                <w:rFonts w:ascii="宋体" w:hAnsi="宋体"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D6A0233">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7AEA643">
            <w:pPr>
              <w:widowControl/>
              <w:jc w:val="center"/>
              <w:rPr>
                <w:rFonts w:ascii="宋体" w:hAnsi="宋体"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BE8DAA9">
            <w:pPr>
              <w:widowControl/>
              <w:jc w:val="center"/>
              <w:rPr>
                <w:rFonts w:ascii="宋体" w:hAnsi="宋体" w:eastAsia="宋体" w:cs="Times New Roman"/>
                <w:kern w:val="0"/>
                <w:szCs w:val="21"/>
              </w:rPr>
            </w:pPr>
          </w:p>
        </w:tc>
      </w:tr>
    </w:tbl>
    <w:p w14:paraId="65ABC138">
      <w:pPr>
        <w:spacing w:line="360" w:lineRule="auto"/>
        <w:ind w:firstLine="562" w:firstLineChars="200"/>
        <w:rPr>
          <w:rFonts w:ascii="宋体" w:hAnsi="宋体" w:eastAsia="宋体" w:cs="Times New Roman"/>
          <w:b/>
          <w:sz w:val="28"/>
          <w:szCs w:val="28"/>
        </w:rPr>
      </w:pPr>
      <w:r>
        <w:rPr>
          <w:rFonts w:ascii="宋体" w:hAnsi="宋体" w:eastAsia="宋体" w:cs="Times New Roman"/>
          <w:b/>
          <w:sz w:val="28"/>
          <w:szCs w:val="28"/>
        </w:rPr>
        <w:t>三、课程内容及要求</w:t>
      </w:r>
    </w:p>
    <w:p w14:paraId="290E711D">
      <w:pPr>
        <w:spacing w:line="360" w:lineRule="auto"/>
        <w:ind w:firstLine="472" w:firstLineChars="196"/>
        <w:rPr>
          <w:rFonts w:ascii="宋体" w:hAnsi="宋体" w:eastAsia="宋体" w:cs="Times New Roman"/>
          <w:b/>
          <w:sz w:val="24"/>
        </w:rPr>
      </w:pPr>
      <w:r>
        <w:rPr>
          <w:rFonts w:ascii="宋体" w:hAnsi="宋体" w:eastAsia="宋体" w:cs="Times New Roman"/>
          <w:b/>
          <w:sz w:val="24"/>
        </w:rPr>
        <w:t>（一）线性方程组</w:t>
      </w:r>
    </w:p>
    <w:p w14:paraId="1F150D23">
      <w:pPr>
        <w:spacing w:line="360" w:lineRule="auto"/>
        <w:ind w:firstLine="480" w:firstLineChars="200"/>
        <w:rPr>
          <w:rFonts w:ascii="宋体" w:hAnsi="宋体" w:eastAsia="宋体" w:cs="Times New Roman"/>
          <w:sz w:val="24"/>
        </w:rPr>
      </w:pPr>
      <w:r>
        <w:rPr>
          <w:rFonts w:ascii="宋体" w:hAnsi="宋体" w:eastAsia="宋体" w:cs="Times New Roman"/>
          <w:sz w:val="24"/>
        </w:rPr>
        <w:t>1.教学内容</w:t>
      </w:r>
    </w:p>
    <w:p w14:paraId="2F27C61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（1）能够理解</w:t>
      </w:r>
      <w:r>
        <w:rPr>
          <w:rFonts w:ascii="宋体" w:hAnsi="宋体" w:eastAsia="宋体" w:cs="Times New Roman"/>
          <w:sz w:val="24"/>
        </w:rPr>
        <w:t>线性方程组与矩阵方程、向量方程的形式转化</w:t>
      </w:r>
    </w:p>
    <w:p w14:paraId="0F859A97">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（2）能够理解</w:t>
      </w:r>
      <w:r>
        <w:rPr>
          <w:rFonts w:ascii="宋体" w:hAnsi="宋体" w:eastAsia="宋体" w:cs="Times New Roman"/>
          <w:sz w:val="24"/>
        </w:rPr>
        <w:t>矩阵的初等行变换不改变线性方程组的解</w:t>
      </w:r>
    </w:p>
    <w:p w14:paraId="41C83AC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（3）能够掌握</w:t>
      </w:r>
      <w:r>
        <w:rPr>
          <w:rFonts w:ascii="宋体" w:hAnsi="宋体" w:eastAsia="宋体" w:cs="Times New Roman"/>
          <w:sz w:val="24"/>
        </w:rPr>
        <w:t>消元法解线性方程组</w:t>
      </w:r>
    </w:p>
    <w:p w14:paraId="5BE6B2B4">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（4）能够掌握</w:t>
      </w:r>
      <w:r>
        <w:rPr>
          <w:rFonts w:ascii="宋体" w:hAnsi="宋体" w:eastAsia="宋体" w:cs="Times New Roman"/>
          <w:sz w:val="24"/>
        </w:rPr>
        <w:t>线性方程组有解的判别，解的个数的判别</w:t>
      </w:r>
    </w:p>
    <w:p w14:paraId="5A33470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（5）能够掌握</w:t>
      </w:r>
      <w:r>
        <w:rPr>
          <w:rFonts w:ascii="宋体" w:hAnsi="宋体" w:eastAsia="宋体" w:cs="Times New Roman"/>
          <w:sz w:val="24"/>
        </w:rPr>
        <w:t>齐次线性方程组解的结构理论，求基础解系及通解</w:t>
      </w:r>
    </w:p>
    <w:p w14:paraId="54E8064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（6）能够掌握</w:t>
      </w:r>
      <w:r>
        <w:rPr>
          <w:rFonts w:ascii="宋体" w:hAnsi="宋体" w:eastAsia="宋体" w:cs="Times New Roman"/>
          <w:sz w:val="24"/>
        </w:rPr>
        <w:t>一般线性方程组解的结构理论，求基础解系及通解</w:t>
      </w:r>
    </w:p>
    <w:p w14:paraId="45AF0EB9">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2.基本要求</w:t>
      </w:r>
    </w:p>
    <w:p w14:paraId="0827899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（1）重点与难点：</w:t>
      </w:r>
      <w:r>
        <w:rPr>
          <w:rFonts w:ascii="宋体" w:hAnsi="宋体" w:eastAsia="宋体" w:cs="Times New Roman"/>
          <w:sz w:val="24"/>
        </w:rPr>
        <w:t>线性方程组有解判别定理。求齐次、非齐次线性方程组的基础解系。</w:t>
      </w:r>
    </w:p>
    <w:p w14:paraId="531257BF">
      <w:pPr>
        <w:spacing w:line="360" w:lineRule="auto"/>
        <w:ind w:firstLine="480" w:firstLineChars="200"/>
        <w:rPr>
          <w:rFonts w:ascii="宋体" w:hAnsi="宋体" w:eastAsia="宋体" w:cs="Times New Roman"/>
          <w:color w:val="000000"/>
          <w:sz w:val="24"/>
        </w:rPr>
      </w:pPr>
      <w:r>
        <w:rPr>
          <w:rFonts w:ascii="宋体" w:hAnsi="宋体" w:eastAsia="宋体" w:cs="Times New Roman"/>
          <w:sz w:val="24"/>
        </w:rPr>
        <w:t>（2）教</w:t>
      </w:r>
      <w:r>
        <w:rPr>
          <w:rFonts w:ascii="宋体" w:hAnsi="宋体" w:eastAsia="宋体" w:cs="Times New Roman"/>
          <w:color w:val="000000"/>
          <w:sz w:val="24"/>
        </w:rPr>
        <w:t>学方法：启发式互动讲授结合多媒体辅助；适当课堂练习；及时了解学生的作业状况并对共同的问题作及时解答；安排好课后答疑。</w:t>
      </w:r>
    </w:p>
    <w:p w14:paraId="18F85E62">
      <w:pPr>
        <w:spacing w:line="360" w:lineRule="auto"/>
        <w:ind w:firstLine="480" w:firstLineChars="200"/>
        <w:rPr>
          <w:rFonts w:ascii="宋体" w:hAnsi="宋体" w:eastAsia="宋体" w:cs="Times New Roman"/>
          <w:sz w:val="24"/>
        </w:rPr>
      </w:pPr>
      <w:r>
        <w:rPr>
          <w:rFonts w:ascii="宋体" w:hAnsi="宋体" w:eastAsia="宋体" w:cs="Times New Roman"/>
          <w:sz w:val="24"/>
        </w:rPr>
        <w:t>3.思政内容</w:t>
      </w:r>
    </w:p>
    <w:p w14:paraId="2626CA62">
      <w:pPr>
        <w:spacing w:line="360" w:lineRule="auto"/>
        <w:ind w:firstLine="480" w:firstLineChars="200"/>
        <w:rPr>
          <w:rFonts w:ascii="宋体" w:hAnsi="宋体" w:eastAsia="宋体" w:cs="Times New Roman"/>
          <w:color w:val="000000"/>
          <w:sz w:val="24"/>
        </w:rPr>
      </w:pPr>
      <w:r>
        <w:rPr>
          <w:rFonts w:ascii="宋体" w:hAnsi="宋体" w:eastAsia="宋体" w:cs="Times New Roman"/>
          <w:sz w:val="24"/>
        </w:rPr>
        <w:t>注重理论联系实际，尊重客观规律，树立社会主义核心价值观，增强专业素养，强调理论对实践的指导意义。</w:t>
      </w:r>
    </w:p>
    <w:p w14:paraId="16B34B1A">
      <w:pPr>
        <w:spacing w:line="360" w:lineRule="auto"/>
        <w:ind w:firstLine="472" w:firstLineChars="196"/>
        <w:rPr>
          <w:rFonts w:ascii="宋体" w:hAnsi="宋体" w:eastAsia="宋体" w:cs="Times New Roman"/>
          <w:b/>
          <w:sz w:val="24"/>
        </w:rPr>
      </w:pPr>
      <w:r>
        <w:rPr>
          <w:rFonts w:ascii="宋体" w:hAnsi="宋体" w:eastAsia="宋体" w:cs="Times New Roman"/>
          <w:b/>
          <w:sz w:val="24"/>
        </w:rPr>
        <w:t>（二）线性变换</w:t>
      </w:r>
    </w:p>
    <w:p w14:paraId="6ED6309F">
      <w:pPr>
        <w:spacing w:line="360" w:lineRule="auto"/>
        <w:ind w:firstLine="480" w:firstLineChars="200"/>
        <w:rPr>
          <w:rFonts w:ascii="宋体" w:hAnsi="宋体" w:eastAsia="宋体" w:cs="Times New Roman"/>
          <w:sz w:val="24"/>
        </w:rPr>
      </w:pPr>
      <w:r>
        <w:rPr>
          <w:rFonts w:ascii="宋体" w:hAnsi="宋体" w:eastAsia="宋体" w:cs="Times New Roman"/>
          <w:sz w:val="24"/>
        </w:rPr>
        <w:t>1.教学内容</w:t>
      </w:r>
    </w:p>
    <w:p w14:paraId="16642A9A">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（1）能够理解</w:t>
      </w:r>
      <w:r>
        <w:rPr>
          <w:rFonts w:ascii="宋体" w:hAnsi="宋体" w:eastAsia="宋体" w:cs="Times New Roman"/>
          <w:sz w:val="24"/>
        </w:rPr>
        <w:t>线性变换的定义、运算及性质</w:t>
      </w:r>
    </w:p>
    <w:p w14:paraId="310691C0">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（2）能够理解</w:t>
      </w:r>
      <w:r>
        <w:rPr>
          <w:rFonts w:ascii="宋体" w:hAnsi="宋体" w:eastAsia="宋体" w:cs="Times New Roman"/>
          <w:sz w:val="24"/>
        </w:rPr>
        <w:t>线性变换取定之后，空间的基底与矩阵的关系</w:t>
      </w:r>
    </w:p>
    <w:p w14:paraId="5D546433">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（3）能够理解</w:t>
      </w:r>
      <w:r>
        <w:rPr>
          <w:rFonts w:ascii="宋体" w:hAnsi="宋体" w:eastAsia="宋体" w:cs="Times New Roman"/>
          <w:sz w:val="24"/>
        </w:rPr>
        <w:t>相似矩阵，相似变换的定义</w:t>
      </w:r>
    </w:p>
    <w:p w14:paraId="7C5918E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（4）能够掌握</w:t>
      </w:r>
      <w:r>
        <w:rPr>
          <w:rFonts w:ascii="宋体" w:hAnsi="宋体" w:eastAsia="宋体" w:cs="Times New Roman"/>
          <w:sz w:val="24"/>
        </w:rPr>
        <w:t>矩阵的特征根、特征向量的定义及求法</w:t>
      </w:r>
    </w:p>
    <w:p w14:paraId="79B29CB7">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（5）能够掌握</w:t>
      </w:r>
      <w:r>
        <w:rPr>
          <w:rFonts w:ascii="宋体" w:hAnsi="宋体" w:eastAsia="宋体" w:cs="Times New Roman"/>
          <w:sz w:val="24"/>
        </w:rPr>
        <w:t>矩阵对角化的条件及有关结论</w:t>
      </w:r>
    </w:p>
    <w:p w14:paraId="15E8805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2.基本要求</w:t>
      </w:r>
    </w:p>
    <w:p w14:paraId="081058BF">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（1）重点与难点：</w:t>
      </w:r>
      <w:r>
        <w:rPr>
          <w:rFonts w:ascii="宋体" w:hAnsi="宋体" w:eastAsia="宋体" w:cs="Times New Roman"/>
          <w:sz w:val="24"/>
        </w:rPr>
        <w:t>矩阵可对角化的充要条件以及矩阵的对角化</w:t>
      </w:r>
      <w:r>
        <w:rPr>
          <w:rFonts w:ascii="宋体" w:hAnsi="宋体" w:eastAsia="宋体" w:cs="Times New Roman"/>
          <w:color w:val="000000"/>
          <w:sz w:val="24"/>
        </w:rPr>
        <w:t>。</w:t>
      </w:r>
    </w:p>
    <w:p w14:paraId="74C39053">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（2）教学方法：启发式互动讲授结合多媒体辅助；适当课堂练习；及时了解学生的作业状况并对共同的问题作及时解答；安排好课后答疑。</w:t>
      </w:r>
    </w:p>
    <w:p w14:paraId="257C2C2B">
      <w:pPr>
        <w:spacing w:line="360" w:lineRule="auto"/>
        <w:ind w:firstLine="480" w:firstLineChars="200"/>
        <w:rPr>
          <w:rFonts w:ascii="宋体" w:hAnsi="宋体" w:eastAsia="宋体" w:cs="Times New Roman"/>
          <w:sz w:val="24"/>
        </w:rPr>
      </w:pPr>
      <w:r>
        <w:rPr>
          <w:rFonts w:ascii="宋体" w:hAnsi="宋体" w:eastAsia="宋体" w:cs="Times New Roman"/>
          <w:sz w:val="24"/>
        </w:rPr>
        <w:t>3.思政内容</w:t>
      </w:r>
    </w:p>
    <w:p w14:paraId="317049BC">
      <w:pPr>
        <w:spacing w:line="360" w:lineRule="auto"/>
        <w:ind w:firstLine="480" w:firstLineChars="200"/>
        <w:rPr>
          <w:rFonts w:ascii="宋体" w:hAnsi="宋体" w:eastAsia="宋体" w:cs="Times New Roman"/>
          <w:color w:val="000000"/>
          <w:sz w:val="24"/>
        </w:rPr>
      </w:pPr>
      <w:r>
        <w:rPr>
          <w:rFonts w:ascii="宋体" w:hAnsi="宋体" w:eastAsia="宋体" w:cs="Times New Roman"/>
          <w:sz w:val="24"/>
        </w:rPr>
        <w:t>注重理论联系实际，尊重客观规律，树立社会主义核心价值观，增强专业素养，强调理论对实践的指导意义。</w:t>
      </w:r>
    </w:p>
    <w:p w14:paraId="0441F4BD">
      <w:pPr>
        <w:spacing w:line="360" w:lineRule="auto"/>
        <w:ind w:firstLine="472" w:firstLineChars="196"/>
        <w:rPr>
          <w:rFonts w:ascii="宋体" w:hAnsi="宋体" w:eastAsia="宋体" w:cs="Times New Roman"/>
          <w:b/>
          <w:color w:val="000000"/>
          <w:sz w:val="24"/>
        </w:rPr>
      </w:pPr>
      <w:r>
        <w:rPr>
          <w:rFonts w:ascii="宋体" w:hAnsi="宋体" w:eastAsia="宋体" w:cs="Times New Roman"/>
          <w:b/>
          <w:color w:val="000000"/>
          <w:sz w:val="24"/>
        </w:rPr>
        <w:t>（三）</w:t>
      </w:r>
      <w:r>
        <w:rPr>
          <w:rFonts w:ascii="宋体" w:hAnsi="宋体" w:eastAsia="宋体" w:cs="Times New Roman"/>
          <w:b/>
          <w:sz w:val="24"/>
        </w:rPr>
        <w:t>欧几里德空间</w:t>
      </w:r>
    </w:p>
    <w:p w14:paraId="61FE157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1.教学内容</w:t>
      </w:r>
    </w:p>
    <w:p w14:paraId="51D59511">
      <w:pPr>
        <w:spacing w:line="360" w:lineRule="auto"/>
        <w:ind w:firstLine="480" w:firstLineChars="200"/>
        <w:rPr>
          <w:rFonts w:ascii="宋体" w:hAnsi="宋体" w:eastAsia="宋体" w:cs="Times New Roman"/>
          <w:sz w:val="24"/>
        </w:rPr>
      </w:pPr>
      <w:r>
        <w:rPr>
          <w:rFonts w:ascii="宋体" w:hAnsi="宋体" w:eastAsia="宋体" w:cs="Times New Roman"/>
          <w:color w:val="000000"/>
          <w:sz w:val="24"/>
        </w:rPr>
        <w:t>（1）能够理解</w:t>
      </w:r>
      <w:r>
        <w:rPr>
          <w:rFonts w:ascii="宋体" w:hAnsi="宋体" w:eastAsia="宋体" w:cs="Times New Roman"/>
          <w:sz w:val="24"/>
        </w:rPr>
        <w:t>内积的定义及性质，向量长度，夹角，距离的定义及计算公式</w:t>
      </w:r>
    </w:p>
    <w:p w14:paraId="6CB0F42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（2）能够理解</w:t>
      </w:r>
      <w:r>
        <w:rPr>
          <w:rFonts w:ascii="宋体" w:hAnsi="宋体" w:eastAsia="宋体" w:cs="Times New Roman"/>
          <w:sz w:val="24"/>
        </w:rPr>
        <w:t>向量正交的定义，单位向量的定义</w:t>
      </w:r>
    </w:p>
    <w:p w14:paraId="4F0CF69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（3）能够理解</w:t>
      </w:r>
      <w:r>
        <w:rPr>
          <w:rFonts w:ascii="宋体" w:hAnsi="宋体" w:eastAsia="宋体" w:cs="Times New Roman"/>
          <w:sz w:val="24"/>
        </w:rPr>
        <w:t>向量单位化的方法</w:t>
      </w:r>
    </w:p>
    <w:p w14:paraId="7F7A3097">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（4）能够理解</w:t>
      </w:r>
      <w:r>
        <w:rPr>
          <w:rFonts w:ascii="宋体" w:hAnsi="宋体" w:eastAsia="宋体" w:cs="Times New Roman"/>
          <w:sz w:val="24"/>
        </w:rPr>
        <w:t>向量组正交与线性无关的关系</w:t>
      </w:r>
    </w:p>
    <w:p w14:paraId="18206E56">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（5）能够理解</w:t>
      </w:r>
      <w:r>
        <w:rPr>
          <w:rFonts w:ascii="宋体" w:hAnsi="宋体" w:eastAsia="宋体" w:cs="Times New Roman"/>
          <w:sz w:val="24"/>
        </w:rPr>
        <w:t>标准正交基的定义及等价命题</w:t>
      </w:r>
    </w:p>
    <w:p w14:paraId="5D6C09AD">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（6）能够掌握</w:t>
      </w:r>
      <w:r>
        <w:rPr>
          <w:rFonts w:ascii="宋体" w:hAnsi="宋体" w:eastAsia="宋体" w:cs="Times New Roman"/>
          <w:sz w:val="24"/>
        </w:rPr>
        <w:t>线性无关向量组正交化，单位化的方法</w:t>
      </w:r>
    </w:p>
    <w:p w14:paraId="0344A5D1">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（7）能够掌握</w:t>
      </w:r>
      <w:r>
        <w:rPr>
          <w:rFonts w:ascii="宋体" w:hAnsi="宋体" w:eastAsia="宋体" w:cs="Times New Roman"/>
          <w:sz w:val="24"/>
        </w:rPr>
        <w:t>子空间正交的定义及子空间的正交补的定义</w:t>
      </w:r>
    </w:p>
    <w:p w14:paraId="6DE5BD7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（8）能够掌握</w:t>
      </w:r>
      <w:r>
        <w:rPr>
          <w:rFonts w:ascii="宋体" w:hAnsi="宋体" w:eastAsia="宋体" w:cs="Times New Roman"/>
          <w:sz w:val="24"/>
        </w:rPr>
        <w:t>把欧氏空间的任一单位正交向量组扩充为空间的标准正交基</w:t>
      </w:r>
    </w:p>
    <w:p w14:paraId="58147109">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（9）能够理解</w:t>
      </w:r>
      <w:r>
        <w:rPr>
          <w:rFonts w:ascii="宋体" w:hAnsi="宋体" w:eastAsia="宋体" w:cs="Times New Roman"/>
          <w:sz w:val="24"/>
        </w:rPr>
        <w:t>正交变换的定义及等价命题</w:t>
      </w:r>
    </w:p>
    <w:p w14:paraId="37860489">
      <w:pPr>
        <w:spacing w:line="360" w:lineRule="auto"/>
        <w:ind w:firstLine="480" w:firstLineChars="200"/>
        <w:rPr>
          <w:rFonts w:ascii="宋体" w:hAnsi="宋体" w:eastAsia="宋体" w:cs="Times New Roman"/>
          <w:sz w:val="24"/>
        </w:rPr>
      </w:pPr>
      <w:r>
        <w:rPr>
          <w:rFonts w:ascii="宋体" w:hAnsi="宋体" w:eastAsia="宋体" w:cs="Times New Roman"/>
          <w:color w:val="000000"/>
          <w:sz w:val="24"/>
        </w:rPr>
        <w:t>（10）能够理解</w:t>
      </w:r>
      <w:r>
        <w:rPr>
          <w:rFonts w:ascii="宋体" w:hAnsi="宋体" w:eastAsia="宋体" w:cs="Times New Roman"/>
          <w:sz w:val="24"/>
        </w:rPr>
        <w:t>对称变换的定义及等价命题</w:t>
      </w:r>
    </w:p>
    <w:p w14:paraId="32B616C3">
      <w:pPr>
        <w:spacing w:line="360" w:lineRule="auto"/>
        <w:ind w:firstLine="480" w:firstLineChars="200"/>
        <w:rPr>
          <w:rFonts w:ascii="宋体" w:hAnsi="宋体" w:eastAsia="宋体" w:cs="Times New Roman"/>
          <w:b/>
          <w:color w:val="000000"/>
          <w:sz w:val="24"/>
        </w:rPr>
      </w:pPr>
      <w:r>
        <w:rPr>
          <w:rFonts w:ascii="宋体" w:hAnsi="宋体" w:eastAsia="宋体" w:cs="Times New Roman"/>
          <w:color w:val="000000"/>
          <w:sz w:val="24"/>
        </w:rPr>
        <w:t>（11）能够掌握</w:t>
      </w:r>
      <w:r>
        <w:rPr>
          <w:rFonts w:ascii="宋体" w:hAnsi="宋体" w:eastAsia="宋体" w:cs="Times New Roman"/>
          <w:sz w:val="24"/>
        </w:rPr>
        <w:t>化实对称阵为对角形矩阵</w:t>
      </w:r>
    </w:p>
    <w:p w14:paraId="3B74C466">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2.基本要求</w:t>
      </w:r>
    </w:p>
    <w:p w14:paraId="4614C258">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（1）重点与难点：</w:t>
      </w:r>
      <w:r>
        <w:rPr>
          <w:rFonts w:ascii="宋体" w:hAnsi="宋体" w:eastAsia="宋体" w:cs="Times New Roman"/>
          <w:sz w:val="24"/>
        </w:rPr>
        <w:t>正交变换与对称变换，化实对称阵为对角形矩阵</w:t>
      </w:r>
      <w:r>
        <w:rPr>
          <w:rFonts w:ascii="宋体" w:hAnsi="宋体" w:eastAsia="宋体" w:cs="Times New Roman"/>
          <w:color w:val="000000"/>
          <w:sz w:val="24"/>
        </w:rPr>
        <w:t>。</w:t>
      </w:r>
    </w:p>
    <w:p w14:paraId="01571F56">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（2）教学方法：启发式互动讲授结合多媒体辅助；适当课堂练习；及时了解学生的作业状况并对共同的问题作及时解答；安排好课后答疑。</w:t>
      </w:r>
    </w:p>
    <w:p w14:paraId="34A21959">
      <w:pPr>
        <w:spacing w:line="360" w:lineRule="auto"/>
        <w:ind w:firstLine="480" w:firstLineChars="200"/>
        <w:rPr>
          <w:rFonts w:ascii="宋体" w:hAnsi="宋体" w:eastAsia="宋体" w:cs="Times New Roman"/>
          <w:sz w:val="24"/>
        </w:rPr>
      </w:pPr>
      <w:r>
        <w:rPr>
          <w:rFonts w:ascii="宋体" w:hAnsi="宋体" w:eastAsia="宋体" w:cs="Times New Roman"/>
          <w:sz w:val="24"/>
        </w:rPr>
        <w:t>3.思政内容</w:t>
      </w:r>
    </w:p>
    <w:p w14:paraId="0B3ECAAA">
      <w:pPr>
        <w:spacing w:line="360" w:lineRule="auto"/>
        <w:ind w:firstLine="480" w:firstLineChars="200"/>
        <w:rPr>
          <w:rFonts w:ascii="宋体" w:hAnsi="宋体" w:eastAsia="宋体" w:cs="Times New Roman"/>
          <w:color w:val="000000"/>
          <w:sz w:val="24"/>
        </w:rPr>
      </w:pPr>
      <w:r>
        <w:rPr>
          <w:rFonts w:ascii="宋体" w:hAnsi="宋体" w:eastAsia="宋体" w:cs="Times New Roman"/>
          <w:sz w:val="24"/>
        </w:rPr>
        <w:t>注重理论联系实际，尊重客观规律，树立社会主义核心价值观，增强专业素养，强调理论对实践的指导意义。</w:t>
      </w:r>
    </w:p>
    <w:p w14:paraId="25E8A153">
      <w:pPr>
        <w:spacing w:line="360" w:lineRule="auto"/>
        <w:ind w:firstLine="472" w:firstLineChars="196"/>
        <w:rPr>
          <w:rFonts w:ascii="宋体" w:hAnsi="宋体" w:eastAsia="宋体" w:cs="Times New Roman"/>
          <w:b/>
          <w:color w:val="000000"/>
          <w:sz w:val="24"/>
        </w:rPr>
      </w:pPr>
      <w:r>
        <w:rPr>
          <w:rFonts w:ascii="宋体" w:hAnsi="宋体" w:eastAsia="宋体" w:cs="Times New Roman"/>
          <w:b/>
          <w:color w:val="000000"/>
          <w:sz w:val="24"/>
        </w:rPr>
        <w:t>（四）</w:t>
      </w:r>
      <w:r>
        <w:rPr>
          <w:rFonts w:ascii="宋体" w:hAnsi="宋体" w:eastAsia="宋体" w:cs="Times New Roman"/>
          <w:b/>
          <w:sz w:val="24"/>
        </w:rPr>
        <w:t>二次型</w:t>
      </w:r>
    </w:p>
    <w:p w14:paraId="76657BB4">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1.教学内容</w:t>
      </w:r>
    </w:p>
    <w:p w14:paraId="3D3EAB75">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（1）能够理解</w:t>
      </w:r>
      <w:r>
        <w:rPr>
          <w:rFonts w:ascii="宋体" w:hAnsi="宋体" w:eastAsia="宋体" w:cs="Times New Roman"/>
          <w:sz w:val="24"/>
        </w:rPr>
        <w:t>二次型的定义及矩阵形式</w:t>
      </w:r>
    </w:p>
    <w:p w14:paraId="3A45CA4E">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（2）能够理解</w:t>
      </w:r>
      <w:r>
        <w:rPr>
          <w:rFonts w:ascii="宋体" w:hAnsi="宋体" w:eastAsia="宋体" w:cs="Times New Roman"/>
          <w:sz w:val="24"/>
        </w:rPr>
        <w:t>非退化线性替换的定义</w:t>
      </w:r>
    </w:p>
    <w:p w14:paraId="37A73959">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（3）能够理解</w:t>
      </w:r>
      <w:r>
        <w:rPr>
          <w:rFonts w:ascii="宋体" w:hAnsi="宋体" w:eastAsia="宋体" w:cs="Times New Roman"/>
          <w:sz w:val="24"/>
        </w:rPr>
        <w:t>矩阵合同的定义</w:t>
      </w:r>
    </w:p>
    <w:p w14:paraId="7C96C8FF">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（4）能够掌握</w:t>
      </w:r>
      <w:r>
        <w:rPr>
          <w:rFonts w:ascii="宋体" w:hAnsi="宋体" w:eastAsia="宋体" w:cs="Times New Roman"/>
          <w:sz w:val="24"/>
        </w:rPr>
        <w:t>化二次型为标准型、规范形</w:t>
      </w:r>
    </w:p>
    <w:p w14:paraId="6F1E6AC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（5）能够掌握</w:t>
      </w:r>
      <w:r>
        <w:rPr>
          <w:rFonts w:ascii="宋体" w:hAnsi="宋体" w:eastAsia="宋体" w:cs="Times New Roman"/>
          <w:sz w:val="24"/>
        </w:rPr>
        <w:t>复二次型、实二次型的规范形的表达式</w:t>
      </w:r>
    </w:p>
    <w:p w14:paraId="514A13C9">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（6）能够理解</w:t>
      </w:r>
      <w:r>
        <w:rPr>
          <w:rFonts w:ascii="宋体" w:hAnsi="宋体" w:eastAsia="宋体" w:cs="Times New Roman"/>
          <w:sz w:val="24"/>
        </w:rPr>
        <w:t>正定二次型（正定阵）的定义及等价命题</w:t>
      </w:r>
    </w:p>
    <w:p w14:paraId="4F3CDEB7">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2.基本要求</w:t>
      </w:r>
    </w:p>
    <w:p w14:paraId="0581D0D4">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（1）重点与难点：</w:t>
      </w:r>
      <w:r>
        <w:rPr>
          <w:rFonts w:ascii="宋体" w:hAnsi="宋体" w:eastAsia="宋体" w:cs="Times New Roman"/>
          <w:sz w:val="24"/>
        </w:rPr>
        <w:t>化二次型为标准形</w:t>
      </w:r>
      <w:r>
        <w:rPr>
          <w:rFonts w:ascii="宋体" w:hAnsi="宋体" w:eastAsia="宋体" w:cs="Times New Roman"/>
          <w:color w:val="000000"/>
          <w:sz w:val="24"/>
        </w:rPr>
        <w:t>。</w:t>
      </w:r>
    </w:p>
    <w:p w14:paraId="160CD7B1">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（2）教学方法：启发式互动讲授结合多媒体辅助；适当课堂练习；及时了解学生的作业状况并对共同的问题作及时解答；安排好课后答疑。</w:t>
      </w:r>
    </w:p>
    <w:p w14:paraId="60A3B309">
      <w:pPr>
        <w:spacing w:line="360" w:lineRule="auto"/>
        <w:ind w:firstLine="480" w:firstLineChars="200"/>
        <w:rPr>
          <w:rFonts w:ascii="宋体" w:hAnsi="宋体" w:eastAsia="宋体" w:cs="Times New Roman"/>
          <w:sz w:val="24"/>
        </w:rPr>
      </w:pPr>
      <w:r>
        <w:rPr>
          <w:rFonts w:ascii="宋体" w:hAnsi="宋体" w:eastAsia="宋体" w:cs="Times New Roman"/>
          <w:sz w:val="24"/>
        </w:rPr>
        <w:t>3.思政内容</w:t>
      </w:r>
    </w:p>
    <w:p w14:paraId="005C4BAA">
      <w:pPr>
        <w:spacing w:line="360" w:lineRule="auto"/>
        <w:ind w:firstLine="480" w:firstLineChars="200"/>
        <w:rPr>
          <w:rFonts w:ascii="宋体" w:hAnsi="宋体" w:eastAsia="宋体" w:cs="Times New Roman"/>
          <w:color w:val="000000"/>
          <w:sz w:val="24"/>
        </w:rPr>
      </w:pPr>
      <w:r>
        <w:rPr>
          <w:rFonts w:ascii="宋体" w:hAnsi="宋体" w:eastAsia="宋体" w:cs="Times New Roman"/>
          <w:sz w:val="24"/>
        </w:rPr>
        <w:t>注重理论联系实际，尊重客观规律，树立社会主义核心价值观，增强专业素养，强调理论对实践的指导意义。</w:t>
      </w:r>
    </w:p>
    <w:p w14:paraId="4DE1042B">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32D5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62AD4748">
            <w:pPr>
              <w:jc w:val="center"/>
              <w:rPr>
                <w:rFonts w:ascii="宋体" w:hAnsi="宋体" w:eastAsia="宋体" w:cs="Times New Roman"/>
                <w:color w:val="000000"/>
                <w:szCs w:val="21"/>
              </w:rPr>
            </w:pPr>
            <w:r>
              <w:rPr>
                <w:rFonts w:ascii="宋体" w:hAnsi="宋体" w:eastAsia="宋体" w:cs="Times New Roman"/>
                <w:color w:val="000000"/>
                <w:szCs w:val="21"/>
              </w:rPr>
              <w:t>序号</w:t>
            </w:r>
          </w:p>
        </w:tc>
        <w:tc>
          <w:tcPr>
            <w:tcW w:w="3476" w:type="dxa"/>
            <w:shd w:val="clear" w:color="auto" w:fill="FFFFFF"/>
            <w:vAlign w:val="center"/>
          </w:tcPr>
          <w:p w14:paraId="1ADB3D01">
            <w:pPr>
              <w:jc w:val="center"/>
              <w:rPr>
                <w:rFonts w:ascii="宋体" w:hAnsi="宋体" w:eastAsia="宋体" w:cs="Times New Roman"/>
                <w:color w:val="000000"/>
                <w:szCs w:val="21"/>
              </w:rPr>
            </w:pPr>
            <w:r>
              <w:rPr>
                <w:rFonts w:ascii="宋体" w:hAnsi="宋体" w:eastAsia="宋体" w:cs="Times New Roman"/>
                <w:color w:val="000000"/>
                <w:szCs w:val="21"/>
              </w:rPr>
              <w:t>教学内容</w:t>
            </w:r>
          </w:p>
        </w:tc>
        <w:tc>
          <w:tcPr>
            <w:tcW w:w="1701" w:type="dxa"/>
            <w:shd w:val="clear" w:color="auto" w:fill="FFFFFF"/>
            <w:vAlign w:val="center"/>
          </w:tcPr>
          <w:p w14:paraId="5984E1DE">
            <w:pPr>
              <w:jc w:val="center"/>
              <w:rPr>
                <w:rFonts w:ascii="宋体" w:hAnsi="宋体" w:eastAsia="宋体" w:cs="Times New Roman"/>
                <w:color w:val="000000"/>
                <w:szCs w:val="21"/>
              </w:rPr>
            </w:pPr>
            <w:r>
              <w:rPr>
                <w:rFonts w:ascii="宋体" w:hAnsi="宋体" w:eastAsia="宋体" w:cs="Times New Roman"/>
                <w:color w:val="000000"/>
                <w:szCs w:val="21"/>
              </w:rPr>
              <w:t>支撑的课程目标</w:t>
            </w:r>
          </w:p>
        </w:tc>
        <w:tc>
          <w:tcPr>
            <w:tcW w:w="1853" w:type="dxa"/>
            <w:shd w:val="clear" w:color="auto" w:fill="FFFFFF"/>
            <w:vAlign w:val="center"/>
          </w:tcPr>
          <w:p w14:paraId="0C94B6C7">
            <w:pPr>
              <w:jc w:val="center"/>
              <w:rPr>
                <w:rFonts w:ascii="宋体" w:hAnsi="宋体" w:eastAsia="宋体" w:cs="Times New Roman"/>
                <w:color w:val="000000"/>
                <w:szCs w:val="21"/>
              </w:rPr>
            </w:pPr>
            <w:r>
              <w:rPr>
                <w:rFonts w:ascii="宋体" w:hAnsi="宋体" w:eastAsia="宋体" w:cs="Times New Roman"/>
                <w:color w:val="000000"/>
                <w:szCs w:val="21"/>
              </w:rPr>
              <w:t>支撑的毕业要求</w:t>
            </w:r>
          </w:p>
          <w:p w14:paraId="31B4F3F3">
            <w:pPr>
              <w:jc w:val="center"/>
              <w:rPr>
                <w:rFonts w:ascii="宋体" w:hAnsi="宋体" w:eastAsia="宋体" w:cs="Times New Roman"/>
                <w:color w:val="000000"/>
                <w:szCs w:val="21"/>
              </w:rPr>
            </w:pPr>
            <w:r>
              <w:rPr>
                <w:rFonts w:ascii="宋体" w:hAnsi="宋体" w:eastAsia="宋体" w:cs="Times New Roman"/>
                <w:color w:val="000000"/>
                <w:szCs w:val="21"/>
              </w:rPr>
              <w:t>指标点</w:t>
            </w:r>
          </w:p>
        </w:tc>
        <w:tc>
          <w:tcPr>
            <w:tcW w:w="735" w:type="dxa"/>
            <w:shd w:val="clear" w:color="auto" w:fill="FFFFFF"/>
            <w:vAlign w:val="center"/>
          </w:tcPr>
          <w:p w14:paraId="717A5856">
            <w:pPr>
              <w:jc w:val="center"/>
              <w:rPr>
                <w:rFonts w:ascii="宋体" w:hAnsi="宋体" w:eastAsia="宋体" w:cs="Times New Roman"/>
                <w:color w:val="000000"/>
                <w:szCs w:val="21"/>
              </w:rPr>
            </w:pPr>
            <w:r>
              <w:rPr>
                <w:rFonts w:ascii="宋体" w:hAnsi="宋体" w:eastAsia="宋体" w:cs="Times New Roman"/>
                <w:color w:val="000000"/>
                <w:szCs w:val="21"/>
              </w:rPr>
              <w:t>讲授学时</w:t>
            </w:r>
          </w:p>
        </w:tc>
        <w:tc>
          <w:tcPr>
            <w:tcW w:w="735" w:type="dxa"/>
            <w:shd w:val="clear" w:color="auto" w:fill="FFFFFF"/>
            <w:vAlign w:val="center"/>
          </w:tcPr>
          <w:p w14:paraId="39FB4BC1">
            <w:pPr>
              <w:jc w:val="center"/>
              <w:rPr>
                <w:rFonts w:ascii="宋体" w:hAnsi="宋体" w:eastAsia="宋体" w:cs="Times New Roman"/>
                <w:color w:val="000000"/>
                <w:szCs w:val="21"/>
              </w:rPr>
            </w:pPr>
            <w:r>
              <w:rPr>
                <w:rFonts w:ascii="宋体" w:hAnsi="宋体" w:eastAsia="宋体" w:cs="Times New Roman"/>
                <w:color w:val="000000"/>
                <w:szCs w:val="21"/>
              </w:rPr>
              <w:t>实验学时</w:t>
            </w:r>
          </w:p>
        </w:tc>
      </w:tr>
      <w:tr w14:paraId="502F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1A8C4AC">
            <w:pPr>
              <w:jc w:val="center"/>
              <w:rPr>
                <w:rFonts w:ascii="宋体" w:hAnsi="宋体" w:eastAsia="宋体" w:cs="Times New Roman"/>
                <w:szCs w:val="21"/>
              </w:rPr>
            </w:pPr>
            <w:r>
              <w:rPr>
                <w:rFonts w:ascii="宋体" w:hAnsi="宋体" w:eastAsia="宋体" w:cs="Times New Roman"/>
                <w:szCs w:val="21"/>
              </w:rPr>
              <w:t>1</w:t>
            </w:r>
          </w:p>
        </w:tc>
        <w:tc>
          <w:tcPr>
            <w:tcW w:w="3476" w:type="dxa"/>
            <w:vAlign w:val="center"/>
          </w:tcPr>
          <w:p w14:paraId="446D3B3D">
            <w:pPr>
              <w:jc w:val="center"/>
              <w:rPr>
                <w:rFonts w:ascii="宋体" w:hAnsi="宋体" w:eastAsia="宋体" w:cs="Times New Roman"/>
                <w:szCs w:val="21"/>
              </w:rPr>
            </w:pPr>
            <w:r>
              <w:rPr>
                <w:rFonts w:ascii="宋体" w:hAnsi="宋体" w:eastAsia="宋体" w:cs="Times New Roman"/>
                <w:szCs w:val="21"/>
              </w:rPr>
              <w:t>线性方程组</w:t>
            </w:r>
          </w:p>
        </w:tc>
        <w:tc>
          <w:tcPr>
            <w:tcW w:w="1701" w:type="dxa"/>
            <w:vAlign w:val="center"/>
          </w:tcPr>
          <w:p w14:paraId="66B8EC33">
            <w:pPr>
              <w:jc w:val="center"/>
              <w:rPr>
                <w:rFonts w:ascii="宋体" w:hAnsi="宋体" w:eastAsia="宋体" w:cs="Times New Roman"/>
                <w:szCs w:val="21"/>
              </w:rPr>
            </w:pPr>
            <w:r>
              <w:rPr>
                <w:rFonts w:ascii="宋体" w:hAnsi="宋体" w:eastAsia="宋体" w:cs="Times New Roman"/>
                <w:szCs w:val="21"/>
              </w:rPr>
              <w:t>课程目标1-3</w:t>
            </w:r>
          </w:p>
        </w:tc>
        <w:tc>
          <w:tcPr>
            <w:tcW w:w="1853" w:type="dxa"/>
            <w:vAlign w:val="center"/>
          </w:tcPr>
          <w:p w14:paraId="42346A89">
            <w:pPr>
              <w:jc w:val="center"/>
              <w:rPr>
                <w:rFonts w:ascii="宋体" w:hAnsi="宋体" w:eastAsia="宋体" w:cs="Times New Roman"/>
                <w:szCs w:val="21"/>
              </w:rPr>
            </w:pPr>
            <w:r>
              <w:rPr>
                <w:rFonts w:ascii="宋体" w:hAnsi="宋体" w:eastAsia="宋体" w:cs="Times New Roman"/>
                <w:szCs w:val="21"/>
              </w:rPr>
              <w:t>6-2</w:t>
            </w:r>
          </w:p>
        </w:tc>
        <w:tc>
          <w:tcPr>
            <w:tcW w:w="735" w:type="dxa"/>
            <w:vAlign w:val="center"/>
          </w:tcPr>
          <w:p w14:paraId="00565E78">
            <w:pPr>
              <w:jc w:val="center"/>
              <w:rPr>
                <w:rFonts w:ascii="宋体" w:hAnsi="宋体" w:eastAsia="宋体" w:cs="Times New Roman"/>
                <w:szCs w:val="21"/>
              </w:rPr>
            </w:pPr>
            <w:r>
              <w:rPr>
                <w:rFonts w:ascii="宋体" w:hAnsi="宋体" w:eastAsia="宋体" w:cs="Times New Roman"/>
                <w:szCs w:val="21"/>
              </w:rPr>
              <w:t>16</w:t>
            </w:r>
          </w:p>
        </w:tc>
        <w:tc>
          <w:tcPr>
            <w:tcW w:w="735" w:type="dxa"/>
            <w:vAlign w:val="center"/>
          </w:tcPr>
          <w:p w14:paraId="44180366">
            <w:pPr>
              <w:jc w:val="center"/>
              <w:rPr>
                <w:rFonts w:ascii="宋体" w:hAnsi="宋体" w:eastAsia="宋体" w:cs="Times New Roman"/>
                <w:szCs w:val="21"/>
              </w:rPr>
            </w:pPr>
          </w:p>
        </w:tc>
      </w:tr>
      <w:tr w14:paraId="6115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383745A">
            <w:pPr>
              <w:jc w:val="center"/>
              <w:rPr>
                <w:rFonts w:ascii="宋体" w:hAnsi="宋体" w:eastAsia="宋体" w:cs="Times New Roman"/>
                <w:szCs w:val="21"/>
              </w:rPr>
            </w:pPr>
            <w:r>
              <w:rPr>
                <w:rFonts w:ascii="宋体" w:hAnsi="宋体" w:eastAsia="宋体" w:cs="Times New Roman"/>
                <w:szCs w:val="21"/>
              </w:rPr>
              <w:t>2</w:t>
            </w:r>
          </w:p>
        </w:tc>
        <w:tc>
          <w:tcPr>
            <w:tcW w:w="3476" w:type="dxa"/>
            <w:vAlign w:val="center"/>
          </w:tcPr>
          <w:p w14:paraId="44C4859B">
            <w:pPr>
              <w:jc w:val="center"/>
              <w:rPr>
                <w:rFonts w:ascii="宋体" w:hAnsi="宋体" w:eastAsia="宋体" w:cs="Times New Roman"/>
                <w:szCs w:val="21"/>
              </w:rPr>
            </w:pPr>
            <w:r>
              <w:rPr>
                <w:rFonts w:ascii="宋体" w:hAnsi="宋体" w:eastAsia="宋体" w:cs="Times New Roman"/>
                <w:szCs w:val="21"/>
              </w:rPr>
              <w:t>线性变换</w:t>
            </w:r>
          </w:p>
        </w:tc>
        <w:tc>
          <w:tcPr>
            <w:tcW w:w="1701" w:type="dxa"/>
            <w:vAlign w:val="center"/>
          </w:tcPr>
          <w:p w14:paraId="3664EF0B">
            <w:pPr>
              <w:jc w:val="center"/>
              <w:rPr>
                <w:rFonts w:ascii="宋体" w:hAnsi="宋体" w:eastAsia="宋体" w:cs="Times New Roman"/>
                <w:szCs w:val="21"/>
              </w:rPr>
            </w:pPr>
            <w:r>
              <w:rPr>
                <w:rFonts w:ascii="宋体" w:hAnsi="宋体" w:eastAsia="宋体" w:cs="Times New Roman"/>
                <w:szCs w:val="21"/>
              </w:rPr>
              <w:t>课程目标1-5</w:t>
            </w:r>
          </w:p>
        </w:tc>
        <w:tc>
          <w:tcPr>
            <w:tcW w:w="1853" w:type="dxa"/>
          </w:tcPr>
          <w:p w14:paraId="70C3E740">
            <w:pPr>
              <w:jc w:val="center"/>
              <w:rPr>
                <w:rFonts w:ascii="宋体" w:hAnsi="宋体" w:eastAsia="宋体" w:cs="Times New Roman"/>
              </w:rPr>
            </w:pPr>
            <w:r>
              <w:rPr>
                <w:rFonts w:ascii="宋体" w:hAnsi="宋体" w:eastAsia="宋体" w:cs="Times New Roman"/>
                <w:szCs w:val="21"/>
              </w:rPr>
              <w:t>3-1</w:t>
            </w:r>
            <w:r>
              <w:rPr>
                <w:rFonts w:ascii="宋体" w:hAnsi="宋体" w:eastAsia="宋体" w:cs="Times New Roman"/>
                <w:color w:val="000000"/>
                <w:szCs w:val="21"/>
              </w:rPr>
              <w:t>、</w:t>
            </w:r>
            <w:r>
              <w:rPr>
                <w:rFonts w:ascii="宋体" w:hAnsi="宋体" w:eastAsia="宋体" w:cs="Times New Roman"/>
                <w:szCs w:val="21"/>
              </w:rPr>
              <w:t>3-2</w:t>
            </w:r>
          </w:p>
        </w:tc>
        <w:tc>
          <w:tcPr>
            <w:tcW w:w="735" w:type="dxa"/>
            <w:vAlign w:val="center"/>
          </w:tcPr>
          <w:p w14:paraId="309E27A7">
            <w:pPr>
              <w:jc w:val="center"/>
              <w:rPr>
                <w:rFonts w:ascii="宋体" w:hAnsi="宋体" w:eastAsia="宋体" w:cs="Times New Roman"/>
                <w:szCs w:val="21"/>
              </w:rPr>
            </w:pPr>
            <w:r>
              <w:rPr>
                <w:rFonts w:ascii="宋体" w:hAnsi="宋体" w:eastAsia="宋体" w:cs="Times New Roman"/>
                <w:szCs w:val="21"/>
              </w:rPr>
              <w:t>16</w:t>
            </w:r>
          </w:p>
        </w:tc>
        <w:tc>
          <w:tcPr>
            <w:tcW w:w="735" w:type="dxa"/>
            <w:vAlign w:val="center"/>
          </w:tcPr>
          <w:p w14:paraId="646AE034">
            <w:pPr>
              <w:jc w:val="center"/>
              <w:rPr>
                <w:rFonts w:ascii="宋体" w:hAnsi="宋体" w:eastAsia="宋体" w:cs="Times New Roman"/>
                <w:szCs w:val="21"/>
              </w:rPr>
            </w:pPr>
          </w:p>
        </w:tc>
      </w:tr>
      <w:tr w14:paraId="773B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4640AA">
            <w:pPr>
              <w:jc w:val="center"/>
              <w:rPr>
                <w:rFonts w:ascii="宋体" w:hAnsi="宋体" w:eastAsia="宋体" w:cs="Times New Roman"/>
                <w:szCs w:val="21"/>
              </w:rPr>
            </w:pPr>
            <w:r>
              <w:rPr>
                <w:rFonts w:ascii="宋体" w:hAnsi="宋体" w:eastAsia="宋体" w:cs="Times New Roman"/>
                <w:szCs w:val="21"/>
              </w:rPr>
              <w:t>3</w:t>
            </w:r>
          </w:p>
        </w:tc>
        <w:tc>
          <w:tcPr>
            <w:tcW w:w="3476" w:type="dxa"/>
            <w:vAlign w:val="center"/>
          </w:tcPr>
          <w:p w14:paraId="5CBD64E9">
            <w:pPr>
              <w:jc w:val="center"/>
              <w:rPr>
                <w:rFonts w:ascii="宋体" w:hAnsi="宋体" w:eastAsia="宋体" w:cs="Times New Roman"/>
                <w:szCs w:val="21"/>
              </w:rPr>
            </w:pPr>
            <w:r>
              <w:rPr>
                <w:rFonts w:ascii="宋体" w:hAnsi="宋体" w:eastAsia="宋体" w:cs="Times New Roman"/>
                <w:szCs w:val="21"/>
              </w:rPr>
              <w:t>欧几里德空间</w:t>
            </w:r>
          </w:p>
        </w:tc>
        <w:tc>
          <w:tcPr>
            <w:tcW w:w="1701" w:type="dxa"/>
            <w:vAlign w:val="center"/>
          </w:tcPr>
          <w:p w14:paraId="68051909">
            <w:pPr>
              <w:jc w:val="center"/>
              <w:rPr>
                <w:rFonts w:ascii="宋体" w:hAnsi="宋体" w:eastAsia="宋体" w:cs="Times New Roman"/>
                <w:szCs w:val="21"/>
              </w:rPr>
            </w:pPr>
            <w:r>
              <w:rPr>
                <w:rFonts w:ascii="宋体" w:hAnsi="宋体" w:eastAsia="宋体" w:cs="Times New Roman"/>
                <w:szCs w:val="21"/>
              </w:rPr>
              <w:t>课程目标1-5</w:t>
            </w:r>
          </w:p>
        </w:tc>
        <w:tc>
          <w:tcPr>
            <w:tcW w:w="1853" w:type="dxa"/>
          </w:tcPr>
          <w:p w14:paraId="21A89923">
            <w:pPr>
              <w:jc w:val="center"/>
              <w:rPr>
                <w:rFonts w:ascii="宋体" w:hAnsi="宋体" w:eastAsia="宋体" w:cs="Times New Roman"/>
              </w:rPr>
            </w:pPr>
            <w:r>
              <w:rPr>
                <w:rFonts w:ascii="宋体" w:hAnsi="宋体" w:eastAsia="宋体" w:cs="Times New Roman"/>
                <w:szCs w:val="21"/>
              </w:rPr>
              <w:t>3-1</w:t>
            </w:r>
            <w:r>
              <w:rPr>
                <w:rFonts w:ascii="宋体" w:hAnsi="宋体" w:eastAsia="宋体" w:cs="Times New Roman"/>
                <w:color w:val="000000"/>
                <w:szCs w:val="21"/>
              </w:rPr>
              <w:t>、</w:t>
            </w:r>
            <w:r>
              <w:rPr>
                <w:rFonts w:ascii="宋体" w:hAnsi="宋体" w:eastAsia="宋体" w:cs="Times New Roman"/>
                <w:szCs w:val="21"/>
              </w:rPr>
              <w:t>3-2</w:t>
            </w:r>
          </w:p>
        </w:tc>
        <w:tc>
          <w:tcPr>
            <w:tcW w:w="735" w:type="dxa"/>
            <w:vAlign w:val="center"/>
          </w:tcPr>
          <w:p w14:paraId="6029810E">
            <w:pPr>
              <w:jc w:val="center"/>
              <w:rPr>
                <w:rFonts w:ascii="宋体" w:hAnsi="宋体" w:eastAsia="宋体" w:cs="Times New Roman"/>
                <w:szCs w:val="21"/>
              </w:rPr>
            </w:pPr>
            <w:r>
              <w:rPr>
                <w:rFonts w:ascii="宋体" w:hAnsi="宋体" w:eastAsia="宋体" w:cs="Times New Roman"/>
                <w:szCs w:val="21"/>
              </w:rPr>
              <w:t>16</w:t>
            </w:r>
          </w:p>
        </w:tc>
        <w:tc>
          <w:tcPr>
            <w:tcW w:w="735" w:type="dxa"/>
            <w:vAlign w:val="center"/>
          </w:tcPr>
          <w:p w14:paraId="6B97E81A">
            <w:pPr>
              <w:jc w:val="center"/>
              <w:rPr>
                <w:rFonts w:ascii="宋体" w:hAnsi="宋体" w:eastAsia="宋体" w:cs="Times New Roman"/>
                <w:szCs w:val="21"/>
              </w:rPr>
            </w:pPr>
          </w:p>
        </w:tc>
      </w:tr>
      <w:tr w14:paraId="339B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640350C">
            <w:pPr>
              <w:jc w:val="center"/>
              <w:rPr>
                <w:rFonts w:ascii="宋体" w:hAnsi="宋体" w:eastAsia="宋体" w:cs="Times New Roman"/>
                <w:szCs w:val="21"/>
              </w:rPr>
            </w:pPr>
            <w:r>
              <w:rPr>
                <w:rFonts w:ascii="宋体" w:hAnsi="宋体" w:eastAsia="宋体" w:cs="Times New Roman"/>
                <w:szCs w:val="21"/>
              </w:rPr>
              <w:t>4</w:t>
            </w:r>
          </w:p>
        </w:tc>
        <w:tc>
          <w:tcPr>
            <w:tcW w:w="3476" w:type="dxa"/>
            <w:vAlign w:val="center"/>
          </w:tcPr>
          <w:p w14:paraId="035E2F30">
            <w:pPr>
              <w:jc w:val="center"/>
              <w:rPr>
                <w:rFonts w:ascii="宋体" w:hAnsi="宋体" w:eastAsia="宋体" w:cs="Times New Roman"/>
                <w:szCs w:val="21"/>
              </w:rPr>
            </w:pPr>
            <w:r>
              <w:rPr>
                <w:rFonts w:ascii="宋体" w:hAnsi="宋体" w:eastAsia="宋体" w:cs="Times New Roman"/>
                <w:szCs w:val="21"/>
              </w:rPr>
              <w:t>二次型</w:t>
            </w:r>
          </w:p>
        </w:tc>
        <w:tc>
          <w:tcPr>
            <w:tcW w:w="1701" w:type="dxa"/>
            <w:vAlign w:val="center"/>
          </w:tcPr>
          <w:p w14:paraId="10C714EB">
            <w:pPr>
              <w:jc w:val="center"/>
              <w:rPr>
                <w:rFonts w:ascii="宋体" w:hAnsi="宋体" w:eastAsia="宋体" w:cs="Times New Roman"/>
                <w:szCs w:val="21"/>
              </w:rPr>
            </w:pPr>
            <w:r>
              <w:rPr>
                <w:rFonts w:ascii="宋体" w:hAnsi="宋体" w:eastAsia="宋体" w:cs="Times New Roman"/>
                <w:szCs w:val="21"/>
              </w:rPr>
              <w:t>课程目标1-5</w:t>
            </w:r>
          </w:p>
        </w:tc>
        <w:tc>
          <w:tcPr>
            <w:tcW w:w="1853" w:type="dxa"/>
          </w:tcPr>
          <w:p w14:paraId="0F08CB57">
            <w:pPr>
              <w:jc w:val="center"/>
              <w:rPr>
                <w:rFonts w:ascii="宋体" w:hAnsi="宋体" w:eastAsia="宋体" w:cs="Times New Roman"/>
                <w:szCs w:val="21"/>
              </w:rPr>
            </w:pPr>
            <w:r>
              <w:rPr>
                <w:rFonts w:ascii="宋体" w:hAnsi="宋体" w:eastAsia="宋体" w:cs="Times New Roman"/>
                <w:szCs w:val="21"/>
              </w:rPr>
              <w:t>3-1</w:t>
            </w:r>
            <w:r>
              <w:rPr>
                <w:rFonts w:ascii="宋体" w:hAnsi="宋体" w:eastAsia="宋体" w:cs="Times New Roman"/>
                <w:color w:val="000000"/>
                <w:szCs w:val="21"/>
              </w:rPr>
              <w:t>、</w:t>
            </w:r>
            <w:r>
              <w:rPr>
                <w:rFonts w:ascii="宋体" w:hAnsi="宋体" w:eastAsia="宋体" w:cs="Times New Roman"/>
                <w:szCs w:val="21"/>
              </w:rPr>
              <w:t>3-2</w:t>
            </w:r>
          </w:p>
        </w:tc>
        <w:tc>
          <w:tcPr>
            <w:tcW w:w="735" w:type="dxa"/>
            <w:vAlign w:val="center"/>
          </w:tcPr>
          <w:p w14:paraId="76A12B1D">
            <w:pPr>
              <w:jc w:val="center"/>
              <w:rPr>
                <w:rFonts w:ascii="宋体" w:hAnsi="宋体" w:eastAsia="宋体" w:cs="Times New Roman"/>
                <w:szCs w:val="21"/>
              </w:rPr>
            </w:pPr>
            <w:r>
              <w:rPr>
                <w:rFonts w:ascii="宋体" w:hAnsi="宋体" w:eastAsia="宋体" w:cs="Times New Roman"/>
                <w:szCs w:val="21"/>
              </w:rPr>
              <w:t>16</w:t>
            </w:r>
          </w:p>
        </w:tc>
        <w:tc>
          <w:tcPr>
            <w:tcW w:w="735" w:type="dxa"/>
            <w:vAlign w:val="center"/>
          </w:tcPr>
          <w:p w14:paraId="30F199E0">
            <w:pPr>
              <w:jc w:val="center"/>
              <w:rPr>
                <w:rFonts w:ascii="宋体" w:hAnsi="宋体" w:eastAsia="宋体" w:cs="Times New Roman"/>
                <w:szCs w:val="21"/>
              </w:rPr>
            </w:pPr>
          </w:p>
        </w:tc>
      </w:tr>
      <w:tr w14:paraId="05AB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1D2F04E">
            <w:pPr>
              <w:jc w:val="center"/>
              <w:rPr>
                <w:rFonts w:ascii="宋体" w:hAnsi="宋体" w:eastAsia="宋体" w:cs="Times New Roman"/>
                <w:szCs w:val="21"/>
              </w:rPr>
            </w:pPr>
            <w:r>
              <w:rPr>
                <w:rFonts w:ascii="宋体" w:hAnsi="宋体" w:eastAsia="宋体" w:cs="Times New Roman"/>
                <w:szCs w:val="21"/>
              </w:rPr>
              <w:t>合计</w:t>
            </w:r>
          </w:p>
        </w:tc>
        <w:tc>
          <w:tcPr>
            <w:tcW w:w="735" w:type="dxa"/>
            <w:vAlign w:val="center"/>
          </w:tcPr>
          <w:p w14:paraId="0B801CBE">
            <w:pPr>
              <w:jc w:val="center"/>
              <w:rPr>
                <w:rFonts w:ascii="宋体" w:hAnsi="宋体" w:eastAsia="宋体" w:cs="Times New Roman"/>
                <w:szCs w:val="21"/>
              </w:rPr>
            </w:pPr>
            <w:r>
              <w:rPr>
                <w:rFonts w:ascii="宋体" w:hAnsi="宋体" w:eastAsia="宋体" w:cs="Times New Roman"/>
                <w:szCs w:val="21"/>
              </w:rPr>
              <w:t>64</w:t>
            </w:r>
          </w:p>
        </w:tc>
        <w:tc>
          <w:tcPr>
            <w:tcW w:w="735" w:type="dxa"/>
            <w:vAlign w:val="center"/>
          </w:tcPr>
          <w:p w14:paraId="16FBF5BE">
            <w:pPr>
              <w:jc w:val="center"/>
              <w:rPr>
                <w:rFonts w:ascii="宋体" w:hAnsi="宋体" w:eastAsia="宋体" w:cs="Times New Roman"/>
                <w:szCs w:val="21"/>
              </w:rPr>
            </w:pPr>
          </w:p>
        </w:tc>
      </w:tr>
    </w:tbl>
    <w:p w14:paraId="026781C3">
      <w:pPr>
        <w:spacing w:line="360" w:lineRule="auto"/>
        <w:ind w:firstLine="562" w:firstLineChars="200"/>
        <w:rPr>
          <w:rFonts w:ascii="宋体" w:hAnsi="宋体" w:eastAsia="宋体" w:cs="Times New Roman"/>
          <w:b/>
          <w:sz w:val="28"/>
          <w:szCs w:val="28"/>
        </w:rPr>
      </w:pPr>
      <w:r>
        <w:rPr>
          <w:rFonts w:ascii="宋体" w:hAnsi="宋体" w:eastAsia="宋体" w:cs="Times New Roman"/>
          <w:b/>
          <w:sz w:val="28"/>
          <w:szCs w:val="28"/>
        </w:rPr>
        <w:t>四、课程实施</w:t>
      </w:r>
    </w:p>
    <w:p w14:paraId="379EC0D1">
      <w:pPr>
        <w:spacing w:line="360" w:lineRule="auto"/>
        <w:ind w:firstLine="480" w:firstLineChars="200"/>
        <w:rPr>
          <w:rFonts w:ascii="宋体" w:hAnsi="宋体" w:eastAsia="宋体" w:cs="Times New Roman"/>
          <w:sz w:val="24"/>
        </w:rPr>
      </w:pPr>
      <w:r>
        <w:rPr>
          <w:rFonts w:ascii="宋体" w:hAnsi="宋体" w:eastAsia="宋体" w:cs="Times New Roman"/>
          <w:sz w:val="24"/>
        </w:rPr>
        <w:t>主要教学环节质量要求如表所示。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4CA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7B044603">
            <w:pPr>
              <w:jc w:val="center"/>
              <w:rPr>
                <w:rFonts w:ascii="宋体" w:hAnsi="宋体" w:eastAsia="宋体" w:cs="Times New Roman"/>
                <w:szCs w:val="21"/>
              </w:rPr>
            </w:pPr>
            <w:r>
              <w:rPr>
                <w:rFonts w:ascii="宋体" w:hAnsi="宋体"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5C6F5F42">
            <w:pPr>
              <w:jc w:val="center"/>
              <w:rPr>
                <w:rFonts w:ascii="宋体" w:hAnsi="宋体" w:eastAsia="宋体" w:cs="Times New Roman"/>
                <w:szCs w:val="21"/>
              </w:rPr>
            </w:pPr>
            <w:r>
              <w:rPr>
                <w:rFonts w:ascii="宋体" w:hAnsi="宋体" w:eastAsia="宋体" w:cs="Times New Roman"/>
                <w:bCs/>
                <w:szCs w:val="21"/>
              </w:rPr>
              <w:t>质量要求</w:t>
            </w:r>
          </w:p>
        </w:tc>
      </w:tr>
      <w:tr w14:paraId="7D30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BD053DB">
            <w:pPr>
              <w:jc w:val="center"/>
              <w:rPr>
                <w:rFonts w:ascii="宋体" w:hAnsi="宋体" w:eastAsia="宋体" w:cs="Times New Roman"/>
                <w:szCs w:val="21"/>
              </w:rPr>
            </w:pPr>
            <w:r>
              <w:rPr>
                <w:rFonts w:ascii="宋体" w:hAnsi="宋体" w:eastAsia="宋体" w:cs="Times New Roman"/>
                <w:szCs w:val="21"/>
              </w:rPr>
              <w:t>1</w:t>
            </w:r>
          </w:p>
        </w:tc>
        <w:tc>
          <w:tcPr>
            <w:tcW w:w="1691" w:type="dxa"/>
            <w:tcMar>
              <w:left w:w="28" w:type="dxa"/>
              <w:right w:w="28" w:type="dxa"/>
            </w:tcMar>
            <w:vAlign w:val="center"/>
          </w:tcPr>
          <w:p w14:paraId="29D320CA">
            <w:pPr>
              <w:jc w:val="center"/>
              <w:rPr>
                <w:rFonts w:ascii="宋体" w:hAnsi="宋体" w:eastAsia="宋体" w:cs="Times New Roman"/>
                <w:szCs w:val="21"/>
              </w:rPr>
            </w:pPr>
            <w:r>
              <w:rPr>
                <w:rFonts w:ascii="宋体" w:hAnsi="宋体" w:eastAsia="宋体" w:cs="Times New Roman"/>
                <w:szCs w:val="21"/>
              </w:rPr>
              <w:t>备课</w:t>
            </w:r>
          </w:p>
        </w:tc>
        <w:tc>
          <w:tcPr>
            <w:tcW w:w="6773" w:type="dxa"/>
            <w:tcBorders>
              <w:right w:val="single" w:color="auto" w:sz="8" w:space="0"/>
            </w:tcBorders>
            <w:vAlign w:val="center"/>
          </w:tcPr>
          <w:p w14:paraId="6FCC3045">
            <w:pPr>
              <w:rPr>
                <w:rFonts w:ascii="宋体" w:hAnsi="宋体" w:eastAsia="宋体" w:cs="Times New Roman"/>
                <w:szCs w:val="21"/>
              </w:rPr>
            </w:pPr>
            <w:r>
              <w:rPr>
                <w:rFonts w:ascii="宋体" w:hAnsi="宋体" w:eastAsia="宋体" w:cs="Times New Roman"/>
                <w:szCs w:val="21"/>
              </w:rPr>
              <w:t>（1）掌握本课程教学大纲内容，严格按照教学大纲要求进行本课程教学内容的组织；</w:t>
            </w:r>
          </w:p>
          <w:p w14:paraId="329644BB">
            <w:pPr>
              <w:rPr>
                <w:rFonts w:ascii="宋体" w:hAnsi="宋体" w:eastAsia="宋体" w:cs="Times New Roman"/>
                <w:szCs w:val="21"/>
              </w:rPr>
            </w:pPr>
            <w:r>
              <w:rPr>
                <w:rFonts w:ascii="宋体" w:hAnsi="宋体"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7B642C5F">
            <w:pPr>
              <w:rPr>
                <w:rFonts w:ascii="宋体" w:hAnsi="宋体" w:eastAsia="宋体" w:cs="Times New Roman"/>
                <w:szCs w:val="21"/>
              </w:rPr>
            </w:pPr>
            <w:r>
              <w:rPr>
                <w:rFonts w:ascii="宋体" w:hAnsi="宋体" w:eastAsia="宋体" w:cs="Times New Roman"/>
                <w:szCs w:val="21"/>
              </w:rPr>
              <w:t xml:space="preserve">（3）结合课程特点，适度运用多媒体教学手段讲授部分教学内容； </w:t>
            </w:r>
          </w:p>
          <w:p w14:paraId="5D701DDA">
            <w:pPr>
              <w:rPr>
                <w:rFonts w:ascii="宋体" w:hAnsi="宋体" w:eastAsia="宋体" w:cs="Times New Roman"/>
                <w:sz w:val="24"/>
              </w:rPr>
            </w:pPr>
            <w:r>
              <w:rPr>
                <w:rFonts w:ascii="宋体" w:hAnsi="宋体" w:eastAsia="宋体" w:cs="Times New Roman"/>
                <w:szCs w:val="21"/>
              </w:rPr>
              <w:t>（4）确定各章节课程内容的教学方法，构思授课思路、技巧和方法。</w:t>
            </w:r>
          </w:p>
        </w:tc>
      </w:tr>
      <w:tr w14:paraId="1D49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9AA6D4B">
            <w:pPr>
              <w:jc w:val="center"/>
              <w:rPr>
                <w:rFonts w:ascii="宋体" w:hAnsi="宋体" w:eastAsia="宋体" w:cs="Times New Roman"/>
                <w:szCs w:val="21"/>
              </w:rPr>
            </w:pPr>
            <w:r>
              <w:rPr>
                <w:rFonts w:ascii="宋体" w:hAnsi="宋体" w:eastAsia="宋体" w:cs="Times New Roman"/>
                <w:szCs w:val="21"/>
              </w:rPr>
              <w:t>2</w:t>
            </w:r>
          </w:p>
        </w:tc>
        <w:tc>
          <w:tcPr>
            <w:tcW w:w="1691" w:type="dxa"/>
            <w:tcMar>
              <w:left w:w="28" w:type="dxa"/>
              <w:right w:w="28" w:type="dxa"/>
            </w:tcMar>
            <w:vAlign w:val="center"/>
          </w:tcPr>
          <w:p w14:paraId="2854DBDD">
            <w:pPr>
              <w:jc w:val="center"/>
              <w:rPr>
                <w:rFonts w:ascii="宋体" w:hAnsi="宋体" w:eastAsia="宋体" w:cs="Times New Roman"/>
                <w:szCs w:val="21"/>
              </w:rPr>
            </w:pPr>
            <w:r>
              <w:rPr>
                <w:rFonts w:ascii="宋体" w:hAnsi="宋体" w:eastAsia="宋体" w:cs="Times New Roman"/>
                <w:szCs w:val="21"/>
              </w:rPr>
              <w:t>讲授</w:t>
            </w:r>
          </w:p>
        </w:tc>
        <w:tc>
          <w:tcPr>
            <w:tcW w:w="6773" w:type="dxa"/>
            <w:tcBorders>
              <w:right w:val="single" w:color="auto" w:sz="8" w:space="0"/>
            </w:tcBorders>
            <w:vAlign w:val="center"/>
          </w:tcPr>
          <w:p w14:paraId="374D315D">
            <w:pPr>
              <w:rPr>
                <w:rFonts w:ascii="宋体" w:hAnsi="宋体" w:eastAsia="宋体" w:cs="Times New Roman"/>
                <w:szCs w:val="21"/>
              </w:rPr>
            </w:pPr>
            <w:r>
              <w:rPr>
                <w:rFonts w:ascii="宋体" w:hAnsi="宋体" w:eastAsia="宋体" w:cs="Times New Roman"/>
                <w:szCs w:val="21"/>
              </w:rPr>
              <w:t>（1）要点准确，推理正确，条理清晰，重点突出，理论联系实际，熟练地解答和讲解例题。</w:t>
            </w:r>
          </w:p>
          <w:p w14:paraId="350D563B">
            <w:pPr>
              <w:rPr>
                <w:rFonts w:ascii="宋体" w:hAnsi="宋体" w:eastAsia="宋体" w:cs="Times New Roman"/>
                <w:szCs w:val="21"/>
              </w:rPr>
            </w:pPr>
            <w:r>
              <w:rPr>
                <w:rFonts w:ascii="宋体" w:hAnsi="宋体"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5282C4F2">
            <w:pPr>
              <w:rPr>
                <w:rFonts w:ascii="宋体" w:hAnsi="宋体" w:eastAsia="宋体" w:cs="Times New Roman"/>
                <w:szCs w:val="21"/>
              </w:rPr>
            </w:pPr>
            <w:r>
              <w:rPr>
                <w:rFonts w:ascii="宋体" w:hAnsi="宋体" w:eastAsia="宋体" w:cs="Times New Roman"/>
                <w:szCs w:val="21"/>
              </w:rPr>
              <w:t>（3）表达方式尽量便于学生理解、接受，力求形象生动，使学生在掌握知识的过程中，保持较为浓厚的兴趣。</w:t>
            </w:r>
          </w:p>
        </w:tc>
      </w:tr>
      <w:tr w14:paraId="6CBA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143188B">
            <w:pPr>
              <w:jc w:val="center"/>
              <w:rPr>
                <w:rFonts w:ascii="宋体" w:hAnsi="宋体" w:eastAsia="宋体" w:cs="Times New Roman"/>
                <w:szCs w:val="21"/>
              </w:rPr>
            </w:pPr>
            <w:r>
              <w:rPr>
                <w:rFonts w:ascii="宋体" w:hAnsi="宋体" w:eastAsia="宋体" w:cs="Times New Roman"/>
                <w:szCs w:val="21"/>
              </w:rPr>
              <w:t>3</w:t>
            </w:r>
          </w:p>
        </w:tc>
        <w:tc>
          <w:tcPr>
            <w:tcW w:w="1691" w:type="dxa"/>
            <w:tcMar>
              <w:left w:w="28" w:type="dxa"/>
              <w:right w:w="28" w:type="dxa"/>
            </w:tcMar>
            <w:vAlign w:val="center"/>
          </w:tcPr>
          <w:p w14:paraId="7194063A">
            <w:pPr>
              <w:jc w:val="center"/>
              <w:rPr>
                <w:rFonts w:ascii="宋体" w:hAnsi="宋体" w:eastAsia="宋体" w:cs="Times New Roman"/>
                <w:szCs w:val="21"/>
              </w:rPr>
            </w:pPr>
            <w:r>
              <w:rPr>
                <w:rFonts w:ascii="宋体" w:hAnsi="宋体" w:eastAsia="宋体" w:cs="Times New Roman"/>
                <w:szCs w:val="21"/>
              </w:rPr>
              <w:t>作业布置与批改</w:t>
            </w:r>
          </w:p>
        </w:tc>
        <w:tc>
          <w:tcPr>
            <w:tcW w:w="6773" w:type="dxa"/>
            <w:tcBorders>
              <w:right w:val="single" w:color="auto" w:sz="8" w:space="0"/>
            </w:tcBorders>
            <w:vAlign w:val="center"/>
          </w:tcPr>
          <w:p w14:paraId="3A725DE0">
            <w:pPr>
              <w:rPr>
                <w:rFonts w:ascii="宋体" w:hAnsi="宋体" w:eastAsia="宋体" w:cs="Times New Roman"/>
                <w:szCs w:val="21"/>
              </w:rPr>
            </w:pPr>
            <w:r>
              <w:rPr>
                <w:rFonts w:ascii="宋体" w:hAnsi="宋体" w:eastAsia="宋体" w:cs="Times New Roman"/>
                <w:szCs w:val="21"/>
              </w:rPr>
              <w:t>学生必须完成一定数量的作业题，是本课程教学的基本要求，是实现人才培养目标的必要手段。</w:t>
            </w:r>
          </w:p>
          <w:p w14:paraId="325729B8">
            <w:pPr>
              <w:rPr>
                <w:rFonts w:ascii="宋体" w:hAnsi="宋体" w:eastAsia="宋体" w:cs="Times New Roman"/>
                <w:szCs w:val="21"/>
              </w:rPr>
            </w:pPr>
            <w:r>
              <w:rPr>
                <w:rFonts w:ascii="宋体" w:hAnsi="宋体" w:eastAsia="宋体" w:cs="Times New Roman"/>
                <w:szCs w:val="21"/>
              </w:rPr>
              <w:t>学生完成的作业必须达到以下基本要求：</w:t>
            </w:r>
          </w:p>
          <w:p w14:paraId="0718BBBB">
            <w:pPr>
              <w:rPr>
                <w:rFonts w:ascii="宋体" w:hAnsi="宋体" w:eastAsia="宋体" w:cs="Times New Roman"/>
                <w:szCs w:val="21"/>
              </w:rPr>
            </w:pPr>
            <w:r>
              <w:rPr>
                <w:rFonts w:ascii="宋体" w:hAnsi="宋体" w:eastAsia="宋体" w:cs="Times New Roman"/>
                <w:szCs w:val="21"/>
              </w:rPr>
              <w:t>（1）按时按量完成作业，不缺交，不抄袭；</w:t>
            </w:r>
          </w:p>
          <w:p w14:paraId="4E2DA735">
            <w:pPr>
              <w:rPr>
                <w:rFonts w:ascii="宋体" w:hAnsi="宋体" w:eastAsia="宋体" w:cs="Times New Roman"/>
                <w:szCs w:val="21"/>
              </w:rPr>
            </w:pPr>
            <w:r>
              <w:rPr>
                <w:rFonts w:ascii="宋体" w:hAnsi="宋体" w:eastAsia="宋体" w:cs="Times New Roman"/>
                <w:szCs w:val="21"/>
              </w:rPr>
              <w:t>（2）作业本规范，书写清晰；</w:t>
            </w:r>
          </w:p>
          <w:p w14:paraId="432A7353">
            <w:pPr>
              <w:rPr>
                <w:rFonts w:ascii="宋体" w:hAnsi="宋体" w:eastAsia="宋体" w:cs="Times New Roman"/>
                <w:szCs w:val="21"/>
              </w:rPr>
            </w:pPr>
            <w:r>
              <w:rPr>
                <w:rFonts w:ascii="宋体" w:hAnsi="宋体" w:eastAsia="宋体" w:cs="Times New Roman"/>
                <w:szCs w:val="21"/>
              </w:rPr>
              <w:t>（3）解题方法和步骤正确。</w:t>
            </w:r>
          </w:p>
          <w:p w14:paraId="1C165228">
            <w:pPr>
              <w:rPr>
                <w:rFonts w:ascii="宋体" w:hAnsi="宋体" w:eastAsia="宋体" w:cs="Times New Roman"/>
                <w:szCs w:val="21"/>
              </w:rPr>
            </w:pPr>
            <w:r>
              <w:rPr>
                <w:rFonts w:ascii="宋体" w:hAnsi="宋体" w:eastAsia="宋体" w:cs="Times New Roman"/>
                <w:szCs w:val="21"/>
              </w:rPr>
              <w:t>教师批改或讲评作业要求如下：</w:t>
            </w:r>
          </w:p>
          <w:p w14:paraId="54C735AC">
            <w:pPr>
              <w:rPr>
                <w:rFonts w:ascii="宋体" w:hAnsi="宋体" w:eastAsia="宋体" w:cs="Times New Roman"/>
                <w:szCs w:val="21"/>
              </w:rPr>
            </w:pPr>
            <w:r>
              <w:rPr>
                <w:rFonts w:ascii="宋体" w:hAnsi="宋体" w:eastAsia="宋体" w:cs="Times New Roman"/>
                <w:szCs w:val="21"/>
              </w:rPr>
              <w:t>（1）学生的作业要全批全改，并按时批改、讲评学生每次交来的作业；</w:t>
            </w:r>
          </w:p>
          <w:p w14:paraId="0D58026E">
            <w:pPr>
              <w:rPr>
                <w:rFonts w:ascii="宋体" w:hAnsi="宋体" w:eastAsia="宋体" w:cs="Times New Roman"/>
                <w:szCs w:val="21"/>
              </w:rPr>
            </w:pPr>
            <w:r>
              <w:rPr>
                <w:rFonts w:ascii="宋体" w:hAnsi="宋体" w:eastAsia="宋体" w:cs="Times New Roman"/>
                <w:szCs w:val="21"/>
              </w:rPr>
              <w:t>（2）教师批改或讲评作业要认真、细致，每次批改或讲评作业后，按百分制评定成绩，并写明日期；</w:t>
            </w:r>
          </w:p>
          <w:p w14:paraId="2BE73E73">
            <w:pPr>
              <w:rPr>
                <w:rFonts w:ascii="宋体" w:hAnsi="宋体" w:eastAsia="宋体" w:cs="Times New Roman"/>
                <w:szCs w:val="21"/>
              </w:rPr>
            </w:pPr>
            <w:r>
              <w:rPr>
                <w:rFonts w:ascii="宋体" w:hAnsi="宋体" w:eastAsia="宋体" w:cs="Times New Roman"/>
                <w:szCs w:val="21"/>
              </w:rPr>
              <w:t>（3）期末按每个学生作业的平均成绩，作为本课程总评成绩中平时成绩的重要组成部分。</w:t>
            </w:r>
          </w:p>
        </w:tc>
      </w:tr>
      <w:tr w14:paraId="316B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3C9280A">
            <w:pPr>
              <w:jc w:val="center"/>
              <w:rPr>
                <w:rFonts w:ascii="宋体" w:hAnsi="宋体" w:eastAsia="宋体" w:cs="Times New Roman"/>
                <w:szCs w:val="21"/>
              </w:rPr>
            </w:pPr>
            <w:r>
              <w:rPr>
                <w:rFonts w:ascii="宋体" w:hAnsi="宋体" w:eastAsia="宋体" w:cs="Times New Roman"/>
                <w:szCs w:val="21"/>
              </w:rPr>
              <w:t>4</w:t>
            </w:r>
          </w:p>
        </w:tc>
        <w:tc>
          <w:tcPr>
            <w:tcW w:w="1691" w:type="dxa"/>
            <w:tcMar>
              <w:left w:w="28" w:type="dxa"/>
              <w:right w:w="28" w:type="dxa"/>
            </w:tcMar>
            <w:vAlign w:val="center"/>
          </w:tcPr>
          <w:p w14:paraId="472E92B5">
            <w:pPr>
              <w:jc w:val="center"/>
              <w:rPr>
                <w:rFonts w:ascii="宋体" w:hAnsi="宋体" w:eastAsia="宋体" w:cs="Times New Roman"/>
                <w:szCs w:val="21"/>
              </w:rPr>
            </w:pPr>
            <w:r>
              <w:rPr>
                <w:rFonts w:ascii="宋体" w:hAnsi="宋体" w:eastAsia="宋体" w:cs="Times New Roman"/>
                <w:szCs w:val="21"/>
              </w:rPr>
              <w:t>课外答疑</w:t>
            </w:r>
          </w:p>
        </w:tc>
        <w:tc>
          <w:tcPr>
            <w:tcW w:w="6773" w:type="dxa"/>
            <w:tcBorders>
              <w:right w:val="single" w:color="auto" w:sz="8" w:space="0"/>
            </w:tcBorders>
            <w:vAlign w:val="center"/>
          </w:tcPr>
          <w:p w14:paraId="1EEE23B7">
            <w:pPr>
              <w:rPr>
                <w:rFonts w:ascii="宋体" w:hAnsi="宋体" w:eastAsia="宋体" w:cs="Times New Roman"/>
                <w:szCs w:val="21"/>
              </w:rPr>
            </w:pPr>
            <w:r>
              <w:rPr>
                <w:rFonts w:ascii="宋体" w:hAnsi="宋体"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6859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1E0A1B2">
            <w:pPr>
              <w:jc w:val="center"/>
              <w:rPr>
                <w:rFonts w:ascii="宋体" w:hAnsi="宋体" w:eastAsia="宋体" w:cs="Times New Roman"/>
                <w:szCs w:val="21"/>
              </w:rPr>
            </w:pPr>
            <w:r>
              <w:rPr>
                <w:rFonts w:ascii="宋体" w:hAnsi="宋体" w:eastAsia="宋体" w:cs="Times New Roman"/>
                <w:szCs w:val="21"/>
              </w:rPr>
              <w:t>5</w:t>
            </w:r>
          </w:p>
        </w:tc>
        <w:tc>
          <w:tcPr>
            <w:tcW w:w="1691" w:type="dxa"/>
            <w:tcMar>
              <w:left w:w="28" w:type="dxa"/>
              <w:right w:w="28" w:type="dxa"/>
            </w:tcMar>
            <w:vAlign w:val="center"/>
          </w:tcPr>
          <w:p w14:paraId="1F9FD60F">
            <w:pPr>
              <w:jc w:val="center"/>
              <w:rPr>
                <w:rFonts w:ascii="宋体" w:hAnsi="宋体" w:eastAsia="宋体" w:cs="Times New Roman"/>
                <w:szCs w:val="21"/>
              </w:rPr>
            </w:pPr>
            <w:r>
              <w:rPr>
                <w:rFonts w:ascii="宋体" w:hAnsi="宋体" w:eastAsia="宋体" w:cs="Times New Roman"/>
                <w:szCs w:val="21"/>
              </w:rPr>
              <w:t>成绩考核</w:t>
            </w:r>
          </w:p>
        </w:tc>
        <w:tc>
          <w:tcPr>
            <w:tcW w:w="6773" w:type="dxa"/>
            <w:tcBorders>
              <w:right w:val="single" w:color="auto" w:sz="8" w:space="0"/>
            </w:tcBorders>
            <w:vAlign w:val="center"/>
          </w:tcPr>
          <w:p w14:paraId="2302C0CE">
            <w:pPr>
              <w:rPr>
                <w:rFonts w:ascii="宋体" w:hAnsi="宋体" w:eastAsia="宋体" w:cs="Times New Roman"/>
              </w:rPr>
            </w:pPr>
            <w:r>
              <w:rPr>
                <w:rFonts w:ascii="宋体" w:hAnsi="宋体" w:eastAsia="宋体" w:cs="Times New Roman"/>
              </w:rPr>
              <w:t>本课程考核的方式：考试。考试试卷采取抽卷形式，统一安排监考。总评成绩的评定见课程评分方案。有下列情况之一者，总评成绩为不及格：</w:t>
            </w:r>
          </w:p>
          <w:p w14:paraId="34889E39">
            <w:pPr>
              <w:rPr>
                <w:rFonts w:ascii="宋体" w:hAnsi="宋体" w:eastAsia="宋体" w:cs="Times New Roman"/>
              </w:rPr>
            </w:pPr>
            <w:r>
              <w:rPr>
                <w:rFonts w:ascii="宋体" w:hAnsi="宋体" w:eastAsia="宋体" w:cs="Times New Roman"/>
                <w:szCs w:val="21"/>
              </w:rPr>
              <w:t>（1）</w:t>
            </w:r>
            <w:r>
              <w:rPr>
                <w:rFonts w:ascii="宋体" w:hAnsi="宋体" w:eastAsia="宋体" w:cs="Times New Roman"/>
              </w:rPr>
              <w:t>缺交作业次数达1/3以上者；</w:t>
            </w:r>
          </w:p>
          <w:p w14:paraId="3192FE28">
            <w:pPr>
              <w:rPr>
                <w:rFonts w:ascii="宋体" w:hAnsi="宋体" w:eastAsia="宋体" w:cs="Times New Roman"/>
              </w:rPr>
            </w:pPr>
            <w:r>
              <w:rPr>
                <w:rFonts w:ascii="宋体" w:hAnsi="宋体" w:eastAsia="宋体" w:cs="Times New Roman"/>
                <w:szCs w:val="21"/>
              </w:rPr>
              <w:t>（2）</w:t>
            </w:r>
            <w:r>
              <w:rPr>
                <w:rFonts w:ascii="宋体" w:hAnsi="宋体" w:eastAsia="宋体" w:cs="Times New Roman"/>
              </w:rPr>
              <w:t>缺课次数达本学期总授课学时的1/3以上者。</w:t>
            </w:r>
          </w:p>
          <w:p w14:paraId="078A56B3">
            <w:pPr>
              <w:rPr>
                <w:rFonts w:ascii="宋体" w:hAnsi="宋体" w:eastAsia="宋体" w:cs="Times New Roman"/>
                <w:szCs w:val="21"/>
              </w:rPr>
            </w:pPr>
          </w:p>
        </w:tc>
      </w:tr>
    </w:tbl>
    <w:p w14:paraId="7C2870B9">
      <w:pPr>
        <w:spacing w:line="360" w:lineRule="auto"/>
        <w:ind w:firstLine="562" w:firstLineChars="200"/>
        <w:rPr>
          <w:rFonts w:ascii="宋体" w:hAnsi="宋体" w:eastAsia="宋体" w:cs="Times New Roman"/>
          <w:b/>
          <w:sz w:val="28"/>
          <w:szCs w:val="28"/>
        </w:rPr>
      </w:pPr>
      <w:r>
        <w:rPr>
          <w:rFonts w:ascii="宋体" w:hAnsi="宋体" w:eastAsia="宋体" w:cs="Times New Roman"/>
          <w:b/>
          <w:sz w:val="28"/>
          <w:szCs w:val="28"/>
        </w:rPr>
        <w:t>五、课程考核</w:t>
      </w:r>
    </w:p>
    <w:p w14:paraId="3AB5E2E2">
      <w:pPr>
        <w:spacing w:line="360" w:lineRule="auto"/>
        <w:ind w:firstLine="480" w:firstLineChars="200"/>
        <w:rPr>
          <w:rFonts w:ascii="宋体" w:hAnsi="宋体" w:eastAsia="宋体" w:cs="Times New Roman"/>
          <w:sz w:val="24"/>
        </w:rPr>
      </w:pPr>
      <w:r>
        <w:rPr>
          <w:rFonts w:ascii="宋体" w:hAnsi="宋体" w:eastAsia="宋体" w:cs="Times New Roman"/>
          <w:sz w:val="24"/>
        </w:rPr>
        <w:t>（一）课程考核包括期末考试、平时及作业考核等，期末考试采用闭卷考试方式。</w:t>
      </w:r>
    </w:p>
    <w:p w14:paraId="0D1DD58D">
      <w:pPr>
        <w:spacing w:line="360" w:lineRule="auto"/>
        <w:ind w:firstLine="480" w:firstLineChars="200"/>
        <w:rPr>
          <w:rFonts w:ascii="宋体" w:hAnsi="宋体" w:eastAsia="宋体" w:cs="Times New Roman"/>
          <w:sz w:val="24"/>
        </w:rPr>
      </w:pPr>
      <w:r>
        <w:rPr>
          <w:rFonts w:ascii="宋体" w:hAnsi="宋体" w:eastAsia="宋体" w:cs="Times New Roman"/>
          <w:sz w:val="24"/>
        </w:rPr>
        <w:t>（二）课程总评成绩=出勤情况成绩×10% +师生互动成绩×10% +作业成绩×30%+期末考试成绩×50%。具体内容和比例如表所示。</w:t>
      </w:r>
    </w:p>
    <w:tbl>
      <w:tblPr>
        <w:tblStyle w:val="30"/>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583"/>
        <w:gridCol w:w="706"/>
        <w:gridCol w:w="4368"/>
        <w:gridCol w:w="1430"/>
      </w:tblGrid>
      <w:tr w14:paraId="4E22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8"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6E3E4E3">
            <w:pPr>
              <w:pStyle w:val="27"/>
              <w:spacing w:before="0" w:beforeAutospacing="0" w:after="0" w:afterAutospacing="0"/>
              <w:jc w:val="center"/>
              <w:rPr>
                <w:rFonts w:cs="Times New Roman"/>
              </w:rPr>
            </w:pPr>
            <w:r>
              <w:rPr>
                <w:rFonts w:cs="Times New Roman"/>
                <w:sz w:val="21"/>
                <w:lang w:bidi="ar"/>
              </w:rPr>
              <w:t>成绩组成</w:t>
            </w:r>
          </w:p>
        </w:tc>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14:paraId="387D7FE1">
            <w:pPr>
              <w:pStyle w:val="27"/>
              <w:spacing w:before="0" w:beforeAutospacing="0" w:after="0" w:afterAutospacing="0"/>
              <w:jc w:val="center"/>
              <w:rPr>
                <w:rFonts w:cs="Times New Roman"/>
              </w:rPr>
            </w:pPr>
            <w:r>
              <w:rPr>
                <w:rFonts w:cs="Times New Roman"/>
                <w:sz w:val="21"/>
                <w:lang w:bidi="ar"/>
              </w:rPr>
              <w:t>考核/评价环节</w:t>
            </w:r>
          </w:p>
        </w:tc>
        <w:tc>
          <w:tcPr>
            <w:tcW w:w="706" w:type="dxa"/>
            <w:tcBorders>
              <w:top w:val="single" w:color="auto" w:sz="4" w:space="0"/>
              <w:left w:val="single" w:color="auto" w:sz="4" w:space="0"/>
              <w:bottom w:val="single" w:color="auto" w:sz="4" w:space="0"/>
              <w:right w:val="single" w:color="auto" w:sz="4" w:space="0"/>
            </w:tcBorders>
            <w:shd w:val="clear" w:color="auto" w:fill="FFFFFF"/>
            <w:vAlign w:val="center"/>
          </w:tcPr>
          <w:p w14:paraId="706042CA">
            <w:pPr>
              <w:pStyle w:val="27"/>
              <w:spacing w:before="0" w:beforeAutospacing="0" w:after="0" w:afterAutospacing="0"/>
              <w:jc w:val="center"/>
              <w:rPr>
                <w:rFonts w:cs="Times New Roman"/>
              </w:rPr>
            </w:pPr>
            <w:r>
              <w:rPr>
                <w:rFonts w:cs="Times New Roman"/>
                <w:sz w:val="21"/>
                <w:lang w:bidi="ar"/>
              </w:rPr>
              <w:t>权重</w:t>
            </w:r>
          </w:p>
        </w:tc>
        <w:tc>
          <w:tcPr>
            <w:tcW w:w="4368" w:type="dxa"/>
            <w:tcBorders>
              <w:top w:val="single" w:color="auto" w:sz="4" w:space="0"/>
              <w:left w:val="single" w:color="auto" w:sz="4" w:space="0"/>
              <w:bottom w:val="single" w:color="auto" w:sz="4" w:space="0"/>
              <w:right w:val="single" w:color="auto" w:sz="4" w:space="0"/>
            </w:tcBorders>
            <w:shd w:val="clear" w:color="auto" w:fill="FFFFFF"/>
            <w:vAlign w:val="center"/>
          </w:tcPr>
          <w:p w14:paraId="1A64277D">
            <w:pPr>
              <w:pStyle w:val="27"/>
              <w:spacing w:before="0" w:beforeAutospacing="0" w:after="0" w:afterAutospacing="0"/>
              <w:jc w:val="center"/>
              <w:rPr>
                <w:rFonts w:cs="Times New Roman"/>
              </w:rPr>
            </w:pPr>
            <w:r>
              <w:rPr>
                <w:rFonts w:cs="Times New Roman"/>
                <w:sz w:val="21"/>
                <w:lang w:bidi="ar"/>
              </w:rPr>
              <w:t>考核/评价细则</w:t>
            </w:r>
          </w:p>
        </w:tc>
        <w:tc>
          <w:tcPr>
            <w:tcW w:w="1430" w:type="dxa"/>
            <w:tcBorders>
              <w:top w:val="single" w:color="auto" w:sz="4" w:space="0"/>
              <w:left w:val="single" w:color="auto" w:sz="4" w:space="0"/>
              <w:bottom w:val="single" w:color="auto" w:sz="4" w:space="0"/>
              <w:right w:val="single" w:color="auto" w:sz="4" w:space="0"/>
            </w:tcBorders>
            <w:shd w:val="clear" w:color="auto" w:fill="FFFFFF"/>
            <w:vAlign w:val="center"/>
          </w:tcPr>
          <w:p w14:paraId="5D119846">
            <w:pPr>
              <w:pStyle w:val="27"/>
              <w:spacing w:before="0" w:beforeAutospacing="0" w:after="0" w:afterAutospacing="0"/>
              <w:jc w:val="center"/>
              <w:rPr>
                <w:rFonts w:cs="Times New Roman"/>
              </w:rPr>
            </w:pPr>
            <w:r>
              <w:rPr>
                <w:rFonts w:cs="Times New Roman"/>
                <w:sz w:val="21"/>
                <w:lang w:bidi="ar"/>
              </w:rPr>
              <w:t>对应的毕业要求指标点</w:t>
            </w:r>
          </w:p>
        </w:tc>
      </w:tr>
      <w:tr w14:paraId="70C5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18" w:type="dxa"/>
            <w:vMerge w:val="restart"/>
            <w:tcBorders>
              <w:top w:val="single" w:color="auto" w:sz="4" w:space="0"/>
              <w:left w:val="single" w:color="auto" w:sz="4" w:space="0"/>
              <w:right w:val="single" w:color="auto" w:sz="4" w:space="0"/>
            </w:tcBorders>
            <w:tcMar>
              <w:left w:w="57" w:type="dxa"/>
              <w:right w:w="57" w:type="dxa"/>
            </w:tcMar>
            <w:vAlign w:val="center"/>
          </w:tcPr>
          <w:p w14:paraId="4A22CA9C">
            <w:pPr>
              <w:pStyle w:val="27"/>
              <w:spacing w:before="0" w:beforeAutospacing="0" w:after="0" w:afterAutospacing="0"/>
              <w:jc w:val="center"/>
              <w:rPr>
                <w:rFonts w:cs="Times New Roman"/>
                <w:sz w:val="21"/>
                <w:lang w:bidi="ar"/>
              </w:rPr>
            </w:pPr>
            <w:r>
              <w:rPr>
                <w:rFonts w:cs="Times New Roman"/>
                <w:sz w:val="21"/>
                <w:lang w:bidi="ar"/>
              </w:rPr>
              <w:t>平时</w:t>
            </w:r>
          </w:p>
          <w:p w14:paraId="276F65F5">
            <w:pPr>
              <w:pStyle w:val="27"/>
              <w:spacing w:before="0" w:beforeAutospacing="0" w:after="0" w:afterAutospacing="0"/>
              <w:jc w:val="center"/>
              <w:rPr>
                <w:rFonts w:cs="Times New Roman"/>
              </w:rPr>
            </w:pPr>
            <w:r>
              <w:rPr>
                <w:rFonts w:cs="Times New Roman"/>
                <w:sz w:val="21"/>
                <w:lang w:bidi="ar"/>
              </w:rPr>
              <w:t>成绩</w:t>
            </w:r>
          </w:p>
        </w:tc>
        <w:tc>
          <w:tcPr>
            <w:tcW w:w="1583" w:type="dxa"/>
            <w:tcBorders>
              <w:top w:val="single" w:color="auto" w:sz="4" w:space="0"/>
              <w:left w:val="single" w:color="auto" w:sz="4" w:space="0"/>
              <w:bottom w:val="single" w:color="auto" w:sz="4" w:space="0"/>
              <w:right w:val="single" w:color="auto" w:sz="4" w:space="0"/>
            </w:tcBorders>
            <w:vAlign w:val="center"/>
          </w:tcPr>
          <w:p w14:paraId="3A7CD617">
            <w:pPr>
              <w:pStyle w:val="27"/>
              <w:spacing w:before="0" w:beforeAutospacing="0" w:after="0" w:afterAutospacing="0"/>
              <w:jc w:val="center"/>
              <w:rPr>
                <w:rFonts w:cs="Times New Roman"/>
              </w:rPr>
            </w:pPr>
            <w:r>
              <w:rPr>
                <w:rFonts w:cs="Times New Roman"/>
                <w:sz w:val="21"/>
                <w:lang w:bidi="ar"/>
              </w:rPr>
              <w:t>出勤情况</w:t>
            </w:r>
          </w:p>
        </w:tc>
        <w:tc>
          <w:tcPr>
            <w:tcW w:w="706" w:type="dxa"/>
            <w:tcBorders>
              <w:top w:val="single" w:color="auto" w:sz="4" w:space="0"/>
              <w:left w:val="single" w:color="auto" w:sz="4" w:space="0"/>
              <w:bottom w:val="single" w:color="auto" w:sz="4" w:space="0"/>
              <w:right w:val="single" w:color="auto" w:sz="4" w:space="0"/>
            </w:tcBorders>
            <w:vAlign w:val="center"/>
          </w:tcPr>
          <w:p w14:paraId="30D6ABBD">
            <w:pPr>
              <w:pStyle w:val="27"/>
              <w:spacing w:before="0" w:beforeAutospacing="0" w:after="0" w:afterAutospacing="0"/>
              <w:jc w:val="center"/>
              <w:rPr>
                <w:rFonts w:cs="Times New Roman"/>
              </w:rPr>
            </w:pPr>
            <w:r>
              <w:rPr>
                <w:rFonts w:cs="Times New Roman"/>
                <w:kern w:val="2"/>
                <w:sz w:val="21"/>
              </w:rPr>
              <w:t>10%</w:t>
            </w:r>
          </w:p>
        </w:tc>
        <w:tc>
          <w:tcPr>
            <w:tcW w:w="4368" w:type="dxa"/>
            <w:tcBorders>
              <w:top w:val="single" w:color="auto" w:sz="4" w:space="0"/>
              <w:left w:val="single" w:color="auto" w:sz="4" w:space="0"/>
              <w:bottom w:val="single" w:color="auto" w:sz="4" w:space="0"/>
              <w:right w:val="single" w:color="auto" w:sz="4" w:space="0"/>
            </w:tcBorders>
            <w:vAlign w:val="center"/>
          </w:tcPr>
          <w:p w14:paraId="7BB1813A">
            <w:pPr>
              <w:jc w:val="left"/>
              <w:rPr>
                <w:rFonts w:ascii="宋体" w:hAnsi="宋体" w:eastAsia="宋体" w:cs="Times New Roman"/>
              </w:rPr>
            </w:pPr>
            <w:r>
              <w:rPr>
                <w:rFonts w:ascii="宋体" w:hAnsi="宋体" w:eastAsia="宋体" w:cs="Times New Roman"/>
                <w:lang w:bidi="ar"/>
              </w:rPr>
              <w:t>课堂不定期点名，考核出勤情况并打分。</w:t>
            </w:r>
          </w:p>
        </w:tc>
        <w:tc>
          <w:tcPr>
            <w:tcW w:w="1430" w:type="dxa"/>
            <w:tcBorders>
              <w:top w:val="single" w:color="auto" w:sz="4" w:space="0"/>
              <w:left w:val="single" w:color="auto" w:sz="4" w:space="0"/>
              <w:right w:val="single" w:color="auto" w:sz="4" w:space="0"/>
            </w:tcBorders>
            <w:vAlign w:val="center"/>
          </w:tcPr>
          <w:p w14:paraId="6A9F9940">
            <w:pPr>
              <w:pStyle w:val="40"/>
              <w:jc w:val="center"/>
              <w:rPr>
                <w:rFonts w:ascii="宋体" w:hAnsi="宋体" w:eastAsia="宋体"/>
                <w:szCs w:val="21"/>
              </w:rPr>
            </w:pPr>
            <w:r>
              <w:rPr>
                <w:rFonts w:ascii="宋体" w:hAnsi="宋体" w:eastAsia="宋体"/>
                <w:color w:val="000000"/>
                <w:szCs w:val="21"/>
              </w:rPr>
              <w:t xml:space="preserve"> </w:t>
            </w:r>
            <w:r>
              <w:rPr>
                <w:rFonts w:ascii="宋体" w:hAnsi="宋体" w:eastAsia="宋体"/>
                <w:szCs w:val="21"/>
              </w:rPr>
              <w:t>3-1</w:t>
            </w:r>
            <w:r>
              <w:rPr>
                <w:rFonts w:ascii="宋体" w:hAnsi="宋体" w:eastAsia="宋体"/>
                <w:color w:val="000000"/>
                <w:szCs w:val="21"/>
              </w:rPr>
              <w:t>、</w:t>
            </w:r>
            <w:r>
              <w:rPr>
                <w:rFonts w:ascii="宋体" w:hAnsi="宋体" w:eastAsia="宋体"/>
                <w:szCs w:val="21"/>
              </w:rPr>
              <w:t>3-2</w:t>
            </w:r>
          </w:p>
          <w:p w14:paraId="56E94431">
            <w:pPr>
              <w:pStyle w:val="27"/>
              <w:spacing w:before="0" w:beforeAutospacing="0" w:after="0" w:afterAutospacing="0"/>
              <w:jc w:val="center"/>
              <w:rPr>
                <w:rFonts w:cs="Times New Roman"/>
                <w:sz w:val="21"/>
                <w:szCs w:val="21"/>
              </w:rPr>
            </w:pPr>
            <w:r>
              <w:rPr>
                <w:rFonts w:cs="Times New Roman"/>
                <w:sz w:val="21"/>
                <w:szCs w:val="21"/>
              </w:rPr>
              <w:t>6-2</w:t>
            </w:r>
          </w:p>
        </w:tc>
      </w:tr>
      <w:tr w14:paraId="2C34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118" w:type="dxa"/>
            <w:vMerge w:val="continue"/>
            <w:tcBorders>
              <w:left w:val="single" w:color="auto" w:sz="4" w:space="0"/>
              <w:right w:val="single" w:color="auto" w:sz="4" w:space="0"/>
            </w:tcBorders>
            <w:tcMar>
              <w:left w:w="57" w:type="dxa"/>
              <w:right w:w="57" w:type="dxa"/>
            </w:tcMar>
            <w:vAlign w:val="center"/>
          </w:tcPr>
          <w:p w14:paraId="369B6127">
            <w:pPr>
              <w:rPr>
                <w:rFonts w:ascii="宋体" w:hAnsi="宋体" w:eastAsia="宋体" w:cs="Times New Roman"/>
                <w:sz w:val="20"/>
                <w:szCs w:val="20"/>
              </w:rPr>
            </w:pPr>
          </w:p>
        </w:tc>
        <w:tc>
          <w:tcPr>
            <w:tcW w:w="1583" w:type="dxa"/>
            <w:tcBorders>
              <w:top w:val="single" w:color="auto" w:sz="4" w:space="0"/>
              <w:left w:val="single" w:color="auto" w:sz="4" w:space="0"/>
              <w:bottom w:val="single" w:color="auto" w:sz="4" w:space="0"/>
              <w:right w:val="single" w:color="auto" w:sz="4" w:space="0"/>
            </w:tcBorders>
            <w:vAlign w:val="center"/>
          </w:tcPr>
          <w:p w14:paraId="6761ACFF">
            <w:pPr>
              <w:pStyle w:val="27"/>
              <w:spacing w:before="0" w:beforeAutospacing="0" w:after="0" w:afterAutospacing="0"/>
              <w:jc w:val="center"/>
              <w:rPr>
                <w:rFonts w:cs="Times New Roman"/>
              </w:rPr>
            </w:pPr>
            <w:r>
              <w:rPr>
                <w:rFonts w:cs="Times New Roman"/>
                <w:sz w:val="21"/>
                <w:lang w:bidi="ar"/>
              </w:rPr>
              <w:t>师生互动</w:t>
            </w:r>
          </w:p>
        </w:tc>
        <w:tc>
          <w:tcPr>
            <w:tcW w:w="706" w:type="dxa"/>
            <w:tcBorders>
              <w:top w:val="single" w:color="auto" w:sz="4" w:space="0"/>
              <w:left w:val="single" w:color="auto" w:sz="4" w:space="0"/>
              <w:bottom w:val="single" w:color="auto" w:sz="4" w:space="0"/>
              <w:right w:val="single" w:color="auto" w:sz="4" w:space="0"/>
            </w:tcBorders>
            <w:vAlign w:val="center"/>
          </w:tcPr>
          <w:p w14:paraId="61DE88B1">
            <w:pPr>
              <w:jc w:val="center"/>
              <w:rPr>
                <w:rFonts w:ascii="宋体" w:hAnsi="宋体" w:eastAsia="宋体" w:cs="Times New Roman"/>
                <w:sz w:val="20"/>
                <w:szCs w:val="20"/>
              </w:rPr>
            </w:pPr>
            <w:r>
              <w:rPr>
                <w:rFonts w:ascii="宋体" w:hAnsi="宋体" w:eastAsia="宋体" w:cs="Times New Roman"/>
              </w:rPr>
              <w:t>10%</w:t>
            </w:r>
          </w:p>
        </w:tc>
        <w:tc>
          <w:tcPr>
            <w:tcW w:w="4368" w:type="dxa"/>
            <w:tcBorders>
              <w:top w:val="single" w:color="auto" w:sz="4" w:space="0"/>
              <w:left w:val="single" w:color="auto" w:sz="4" w:space="0"/>
              <w:bottom w:val="single" w:color="auto" w:sz="4" w:space="0"/>
              <w:right w:val="single" w:color="auto" w:sz="4" w:space="0"/>
            </w:tcBorders>
            <w:vAlign w:val="center"/>
          </w:tcPr>
          <w:p w14:paraId="70285A81">
            <w:pPr>
              <w:jc w:val="left"/>
              <w:rPr>
                <w:rFonts w:ascii="宋体" w:hAnsi="宋体" w:eastAsia="宋体" w:cs="Times New Roman"/>
              </w:rPr>
            </w:pPr>
            <w:r>
              <w:rPr>
                <w:rFonts w:ascii="宋体" w:hAnsi="宋体" w:eastAsia="宋体" w:cs="Times New Roman"/>
              </w:rPr>
              <w:t>课堂不定期通过提问或小练习实施师生互动，考核考核学生课堂学习情况，按照互动情况打分。</w:t>
            </w:r>
          </w:p>
        </w:tc>
        <w:tc>
          <w:tcPr>
            <w:tcW w:w="1430" w:type="dxa"/>
            <w:tcBorders>
              <w:left w:val="single" w:color="auto" w:sz="4" w:space="0"/>
              <w:right w:val="single" w:color="auto" w:sz="4" w:space="0"/>
            </w:tcBorders>
            <w:vAlign w:val="center"/>
          </w:tcPr>
          <w:p w14:paraId="0CAC7845">
            <w:pPr>
              <w:pStyle w:val="40"/>
              <w:jc w:val="center"/>
              <w:rPr>
                <w:rFonts w:ascii="宋体" w:hAnsi="宋体" w:eastAsia="宋体"/>
                <w:szCs w:val="21"/>
              </w:rPr>
            </w:pPr>
            <w:r>
              <w:rPr>
                <w:rFonts w:ascii="宋体" w:hAnsi="宋体" w:eastAsia="宋体"/>
                <w:color w:val="000000"/>
                <w:szCs w:val="21"/>
              </w:rPr>
              <w:t xml:space="preserve"> </w:t>
            </w:r>
            <w:r>
              <w:rPr>
                <w:rFonts w:ascii="宋体" w:hAnsi="宋体" w:eastAsia="宋体"/>
                <w:szCs w:val="21"/>
              </w:rPr>
              <w:t>3-1</w:t>
            </w:r>
            <w:r>
              <w:rPr>
                <w:rFonts w:ascii="宋体" w:hAnsi="宋体" w:eastAsia="宋体"/>
                <w:color w:val="000000"/>
                <w:szCs w:val="21"/>
              </w:rPr>
              <w:t>、</w:t>
            </w:r>
            <w:r>
              <w:rPr>
                <w:rFonts w:ascii="宋体" w:hAnsi="宋体" w:eastAsia="宋体"/>
                <w:szCs w:val="21"/>
              </w:rPr>
              <w:t>3-2</w:t>
            </w:r>
          </w:p>
          <w:p w14:paraId="1E110B81">
            <w:pPr>
              <w:jc w:val="center"/>
              <w:rPr>
                <w:rFonts w:ascii="宋体" w:hAnsi="宋体" w:eastAsia="宋体" w:cs="Times New Roman"/>
                <w:szCs w:val="21"/>
              </w:rPr>
            </w:pPr>
            <w:r>
              <w:rPr>
                <w:rFonts w:ascii="宋体" w:hAnsi="宋体" w:eastAsia="宋体" w:cs="Times New Roman"/>
                <w:szCs w:val="21"/>
              </w:rPr>
              <w:t>6-2</w:t>
            </w:r>
          </w:p>
        </w:tc>
      </w:tr>
      <w:tr w14:paraId="2669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18" w:type="dxa"/>
            <w:vMerge w:val="continue"/>
            <w:tcBorders>
              <w:left w:val="single" w:color="auto" w:sz="4" w:space="0"/>
              <w:bottom w:val="single" w:color="auto" w:sz="4" w:space="0"/>
              <w:right w:val="single" w:color="auto" w:sz="4" w:space="0"/>
            </w:tcBorders>
            <w:tcMar>
              <w:left w:w="57" w:type="dxa"/>
              <w:right w:w="57" w:type="dxa"/>
            </w:tcMar>
            <w:vAlign w:val="center"/>
          </w:tcPr>
          <w:p w14:paraId="16F59E07">
            <w:pPr>
              <w:rPr>
                <w:rFonts w:ascii="宋体" w:hAnsi="宋体" w:eastAsia="宋体" w:cs="Times New Roman"/>
                <w:sz w:val="20"/>
                <w:szCs w:val="20"/>
              </w:rPr>
            </w:pPr>
          </w:p>
        </w:tc>
        <w:tc>
          <w:tcPr>
            <w:tcW w:w="1583" w:type="dxa"/>
            <w:tcBorders>
              <w:top w:val="single" w:color="auto" w:sz="4" w:space="0"/>
              <w:left w:val="single" w:color="auto" w:sz="4" w:space="0"/>
              <w:bottom w:val="single" w:color="auto" w:sz="4" w:space="0"/>
              <w:right w:val="single" w:color="auto" w:sz="4" w:space="0"/>
            </w:tcBorders>
            <w:vAlign w:val="center"/>
          </w:tcPr>
          <w:p w14:paraId="3BD63095">
            <w:pPr>
              <w:pStyle w:val="27"/>
              <w:spacing w:before="0" w:beforeAutospacing="0" w:after="0" w:afterAutospacing="0"/>
              <w:jc w:val="center"/>
              <w:rPr>
                <w:rFonts w:cs="Times New Roman"/>
                <w:sz w:val="21"/>
                <w:lang w:bidi="ar"/>
              </w:rPr>
            </w:pPr>
            <w:r>
              <w:rPr>
                <w:rFonts w:cs="Times New Roman"/>
                <w:sz w:val="21"/>
                <w:lang w:bidi="ar"/>
              </w:rPr>
              <w:t>平时作业</w:t>
            </w:r>
          </w:p>
        </w:tc>
        <w:tc>
          <w:tcPr>
            <w:tcW w:w="706" w:type="dxa"/>
            <w:tcBorders>
              <w:top w:val="single" w:color="auto" w:sz="4" w:space="0"/>
              <w:left w:val="single" w:color="auto" w:sz="4" w:space="0"/>
              <w:bottom w:val="single" w:color="auto" w:sz="4" w:space="0"/>
              <w:right w:val="single" w:color="auto" w:sz="4" w:space="0"/>
            </w:tcBorders>
            <w:vAlign w:val="center"/>
          </w:tcPr>
          <w:p w14:paraId="2595AD94">
            <w:pPr>
              <w:jc w:val="center"/>
              <w:rPr>
                <w:rFonts w:ascii="宋体" w:hAnsi="宋体" w:eastAsia="宋体" w:cs="Times New Roman"/>
                <w:sz w:val="20"/>
                <w:szCs w:val="20"/>
              </w:rPr>
            </w:pPr>
            <w:r>
              <w:rPr>
                <w:rFonts w:ascii="宋体" w:hAnsi="宋体" w:eastAsia="宋体" w:cs="Times New Roman"/>
                <w:sz w:val="20"/>
                <w:szCs w:val="20"/>
              </w:rPr>
              <w:t>30%</w:t>
            </w:r>
          </w:p>
        </w:tc>
        <w:tc>
          <w:tcPr>
            <w:tcW w:w="4368" w:type="dxa"/>
            <w:tcBorders>
              <w:top w:val="single" w:color="auto" w:sz="4" w:space="0"/>
              <w:left w:val="single" w:color="auto" w:sz="4" w:space="0"/>
              <w:bottom w:val="single" w:color="auto" w:sz="4" w:space="0"/>
              <w:right w:val="single" w:color="auto" w:sz="4" w:space="0"/>
            </w:tcBorders>
            <w:vAlign w:val="center"/>
          </w:tcPr>
          <w:p w14:paraId="703FB08D">
            <w:pPr>
              <w:jc w:val="left"/>
              <w:rPr>
                <w:rFonts w:ascii="宋体" w:hAnsi="宋体" w:eastAsia="宋体" w:cs="Times New Roman"/>
                <w:lang w:bidi="ar"/>
              </w:rPr>
            </w:pPr>
            <w:r>
              <w:rPr>
                <w:rFonts w:ascii="宋体" w:hAnsi="宋体" w:eastAsia="宋体" w:cs="Times New Roman"/>
                <w:lang w:bidi="ar"/>
              </w:rPr>
              <w:t>定期布置习题，考核学生对所学知识点的复习、理解和掌握度。对作业完成情况做记录并百分制打分，计算作业的平均成绩。</w:t>
            </w:r>
          </w:p>
        </w:tc>
        <w:tc>
          <w:tcPr>
            <w:tcW w:w="1430" w:type="dxa"/>
            <w:tcBorders>
              <w:left w:val="single" w:color="auto" w:sz="4" w:space="0"/>
              <w:bottom w:val="single" w:color="auto" w:sz="4" w:space="0"/>
              <w:right w:val="single" w:color="auto" w:sz="4" w:space="0"/>
            </w:tcBorders>
            <w:vAlign w:val="center"/>
          </w:tcPr>
          <w:p w14:paraId="0F3D669E">
            <w:pPr>
              <w:pStyle w:val="40"/>
              <w:jc w:val="center"/>
              <w:rPr>
                <w:rFonts w:ascii="宋体" w:hAnsi="宋体" w:eastAsia="宋体"/>
                <w:szCs w:val="21"/>
              </w:rPr>
            </w:pPr>
            <w:r>
              <w:rPr>
                <w:rFonts w:ascii="宋体" w:hAnsi="宋体" w:eastAsia="宋体"/>
                <w:color w:val="000000"/>
                <w:szCs w:val="21"/>
              </w:rPr>
              <w:t xml:space="preserve"> </w:t>
            </w:r>
            <w:r>
              <w:rPr>
                <w:rFonts w:ascii="宋体" w:hAnsi="宋体" w:eastAsia="宋体"/>
                <w:szCs w:val="21"/>
              </w:rPr>
              <w:t>3-1</w:t>
            </w:r>
            <w:r>
              <w:rPr>
                <w:rFonts w:ascii="宋体" w:hAnsi="宋体" w:eastAsia="宋体"/>
                <w:color w:val="000000"/>
                <w:szCs w:val="21"/>
              </w:rPr>
              <w:t>、</w:t>
            </w:r>
            <w:r>
              <w:rPr>
                <w:rFonts w:ascii="宋体" w:hAnsi="宋体" w:eastAsia="宋体"/>
                <w:szCs w:val="21"/>
              </w:rPr>
              <w:t>3-2</w:t>
            </w:r>
          </w:p>
          <w:p w14:paraId="69A9501A">
            <w:pPr>
              <w:jc w:val="center"/>
              <w:rPr>
                <w:rFonts w:ascii="宋体" w:hAnsi="宋体" w:eastAsia="宋体" w:cs="Times New Roman"/>
                <w:szCs w:val="21"/>
              </w:rPr>
            </w:pPr>
            <w:r>
              <w:rPr>
                <w:rFonts w:ascii="宋体" w:hAnsi="宋体" w:eastAsia="宋体" w:cs="Times New Roman"/>
                <w:szCs w:val="21"/>
              </w:rPr>
              <w:t>6-2</w:t>
            </w:r>
          </w:p>
        </w:tc>
      </w:tr>
      <w:tr w14:paraId="38A1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1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25F8DCB">
            <w:pPr>
              <w:pStyle w:val="27"/>
              <w:spacing w:before="0" w:beforeAutospacing="0" w:after="0" w:afterAutospacing="0"/>
              <w:jc w:val="center"/>
              <w:rPr>
                <w:rFonts w:cs="Times New Roman"/>
                <w:color w:val="FF0000"/>
              </w:rPr>
            </w:pPr>
            <w:r>
              <w:rPr>
                <w:rFonts w:cs="Times New Roman"/>
                <w:sz w:val="21"/>
                <w:lang w:bidi="ar"/>
              </w:rPr>
              <w:t>期末考试成绩</w:t>
            </w:r>
          </w:p>
        </w:tc>
        <w:tc>
          <w:tcPr>
            <w:tcW w:w="1583" w:type="dxa"/>
            <w:tcBorders>
              <w:top w:val="single" w:color="auto" w:sz="4" w:space="0"/>
              <w:left w:val="single" w:color="auto" w:sz="4" w:space="0"/>
              <w:bottom w:val="single" w:color="auto" w:sz="4" w:space="0"/>
              <w:right w:val="single" w:color="auto" w:sz="4" w:space="0"/>
            </w:tcBorders>
            <w:vAlign w:val="center"/>
          </w:tcPr>
          <w:p w14:paraId="38B6ACEC">
            <w:pPr>
              <w:pStyle w:val="27"/>
              <w:spacing w:before="0" w:beforeAutospacing="0" w:after="0" w:afterAutospacing="0"/>
              <w:jc w:val="center"/>
              <w:rPr>
                <w:rFonts w:cs="Times New Roman"/>
              </w:rPr>
            </w:pPr>
            <w:r>
              <w:rPr>
                <w:rFonts w:cs="Times New Roman"/>
                <w:sz w:val="21"/>
                <w:lang w:bidi="ar"/>
              </w:rPr>
              <w:t>试卷考试</w:t>
            </w:r>
          </w:p>
        </w:tc>
        <w:tc>
          <w:tcPr>
            <w:tcW w:w="706" w:type="dxa"/>
            <w:tcBorders>
              <w:top w:val="single" w:color="auto" w:sz="4" w:space="0"/>
              <w:left w:val="single" w:color="auto" w:sz="4" w:space="0"/>
              <w:bottom w:val="single" w:color="auto" w:sz="4" w:space="0"/>
              <w:right w:val="single" w:color="auto" w:sz="4" w:space="0"/>
            </w:tcBorders>
            <w:vAlign w:val="center"/>
          </w:tcPr>
          <w:p w14:paraId="198D9B97">
            <w:pPr>
              <w:pStyle w:val="27"/>
              <w:spacing w:before="0" w:beforeAutospacing="0" w:after="0" w:afterAutospacing="0"/>
              <w:jc w:val="center"/>
              <w:rPr>
                <w:rFonts w:cs="Times New Roman"/>
              </w:rPr>
            </w:pPr>
            <w:r>
              <w:rPr>
                <w:rFonts w:cs="Times New Roman"/>
                <w:sz w:val="21"/>
                <w:lang w:bidi="ar"/>
              </w:rPr>
              <w:t>50 %</w:t>
            </w:r>
          </w:p>
        </w:tc>
        <w:tc>
          <w:tcPr>
            <w:tcW w:w="4368" w:type="dxa"/>
            <w:tcBorders>
              <w:top w:val="single" w:color="auto" w:sz="4" w:space="0"/>
              <w:left w:val="single" w:color="auto" w:sz="4" w:space="0"/>
              <w:bottom w:val="single" w:color="auto" w:sz="4" w:space="0"/>
              <w:right w:val="single" w:color="auto" w:sz="4" w:space="0"/>
            </w:tcBorders>
            <w:vAlign w:val="center"/>
          </w:tcPr>
          <w:p w14:paraId="5508B5DD">
            <w:pPr>
              <w:jc w:val="left"/>
              <w:rPr>
                <w:rFonts w:ascii="宋体" w:hAnsi="宋体" w:eastAsia="宋体" w:cs="Times New Roman"/>
              </w:rPr>
            </w:pPr>
            <w:r>
              <w:rPr>
                <w:rFonts w:ascii="宋体" w:hAnsi="宋体" w:eastAsia="宋体" w:cs="Times New Roman"/>
                <w:lang w:bidi="ar"/>
              </w:rPr>
              <w:t>试卷题型包括选择题、计算题、解答题等。</w:t>
            </w:r>
          </w:p>
        </w:tc>
        <w:tc>
          <w:tcPr>
            <w:tcW w:w="1430" w:type="dxa"/>
            <w:tcBorders>
              <w:top w:val="single" w:color="auto" w:sz="4" w:space="0"/>
              <w:left w:val="single" w:color="auto" w:sz="4" w:space="0"/>
              <w:bottom w:val="single" w:color="auto" w:sz="4" w:space="0"/>
              <w:right w:val="single" w:color="auto" w:sz="4" w:space="0"/>
            </w:tcBorders>
            <w:vAlign w:val="center"/>
          </w:tcPr>
          <w:p w14:paraId="73887D5C">
            <w:pPr>
              <w:pStyle w:val="27"/>
              <w:spacing w:before="0" w:beforeAutospacing="0" w:after="0" w:afterAutospacing="0"/>
              <w:jc w:val="center"/>
              <w:rPr>
                <w:rFonts w:cs="Times New Roman"/>
                <w:sz w:val="21"/>
                <w:szCs w:val="21"/>
              </w:rPr>
            </w:pPr>
            <w:r>
              <w:rPr>
                <w:rFonts w:cs="Times New Roman"/>
                <w:kern w:val="2"/>
                <w:sz w:val="21"/>
                <w:szCs w:val="21"/>
              </w:rPr>
              <w:t xml:space="preserve">3-1、3-2 </w:t>
            </w:r>
          </w:p>
        </w:tc>
      </w:tr>
    </w:tbl>
    <w:p w14:paraId="096A23AC">
      <w:pPr>
        <w:spacing w:line="360" w:lineRule="auto"/>
        <w:ind w:firstLine="562" w:firstLineChars="200"/>
        <w:rPr>
          <w:rFonts w:ascii="宋体" w:hAnsi="宋体" w:eastAsia="宋体" w:cs="Times New Roman"/>
          <w:b/>
          <w:sz w:val="28"/>
          <w:szCs w:val="28"/>
        </w:rPr>
      </w:pPr>
      <w:r>
        <w:rPr>
          <w:rFonts w:ascii="宋体" w:hAnsi="宋体" w:eastAsia="宋体" w:cs="Times New Roman"/>
          <w:b/>
          <w:sz w:val="28"/>
          <w:szCs w:val="28"/>
        </w:rPr>
        <w:t>六、有关说明</w:t>
      </w:r>
    </w:p>
    <w:p w14:paraId="6C2EAFFC">
      <w:pPr>
        <w:spacing w:line="360" w:lineRule="auto"/>
        <w:ind w:firstLine="482" w:firstLineChars="200"/>
        <w:rPr>
          <w:rFonts w:ascii="宋体" w:hAnsi="宋体" w:eastAsia="宋体" w:cs="Times New Roman"/>
          <w:b/>
          <w:color w:val="000000"/>
          <w:sz w:val="24"/>
        </w:rPr>
      </w:pPr>
      <w:r>
        <w:rPr>
          <w:rFonts w:ascii="宋体" w:hAnsi="宋体" w:eastAsia="宋体" w:cs="Times New Roman"/>
          <w:b/>
          <w:color w:val="000000"/>
          <w:sz w:val="24"/>
        </w:rPr>
        <w:t>（一）持续改进</w:t>
      </w:r>
    </w:p>
    <w:p w14:paraId="1C0CCFE1">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1. 提倡改革教学方法，强调应用现代化教学手段，如课件、互联网视频教学和网络答疑等。</w:t>
      </w:r>
    </w:p>
    <w:p w14:paraId="604877B1">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2.合理安排教学课时，加强课堂提问、课堂小测验等旨在督促学生自主学习的教学环节；引导学生做好课前预习、课后整理笔记并及时完成作业的复习工作；保证学生完成一定数量的作业和习题。</w:t>
      </w:r>
    </w:p>
    <w:p w14:paraId="5847729C">
      <w:pPr>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t>3．教学用的例题和习题，应适当结合工程实际。</w:t>
      </w:r>
    </w:p>
    <w:p w14:paraId="5FDCF4C4">
      <w:pPr>
        <w:spacing w:line="360" w:lineRule="auto"/>
        <w:ind w:firstLine="482" w:firstLineChars="200"/>
        <w:rPr>
          <w:rFonts w:ascii="宋体" w:hAnsi="宋体" w:eastAsia="宋体" w:cs="Times New Roman"/>
          <w:b/>
          <w:color w:val="000000"/>
          <w:sz w:val="24"/>
        </w:rPr>
      </w:pPr>
      <w:r>
        <w:rPr>
          <w:rFonts w:ascii="宋体" w:hAnsi="宋体" w:eastAsia="宋体" w:cs="Times New Roman"/>
          <w:b/>
          <w:color w:val="000000"/>
          <w:sz w:val="24"/>
        </w:rPr>
        <w:t>（二）参考书目及学习资料</w:t>
      </w:r>
    </w:p>
    <w:p w14:paraId="469894E6">
      <w:pPr>
        <w:numPr>
          <w:ilvl w:val="0"/>
          <w:numId w:val="6"/>
        </w:numPr>
        <w:spacing w:line="360" w:lineRule="auto"/>
        <w:rPr>
          <w:rFonts w:ascii="宋体" w:hAnsi="宋体" w:eastAsia="宋体" w:cs="Times New Roman"/>
          <w:sz w:val="24"/>
        </w:rPr>
      </w:pPr>
      <w:r>
        <w:rPr>
          <w:rFonts w:ascii="宋体" w:hAnsi="宋体" w:eastAsia="宋体" w:cs="Times New Roman"/>
          <w:sz w:val="24"/>
        </w:rPr>
        <w:t>张力宏 高等代数            北京：人民教育出版社</w:t>
      </w:r>
    </w:p>
    <w:p w14:paraId="5C1EB7C6">
      <w:pPr>
        <w:numPr>
          <w:ilvl w:val="0"/>
          <w:numId w:val="6"/>
        </w:numPr>
        <w:spacing w:line="360" w:lineRule="auto"/>
        <w:rPr>
          <w:rFonts w:ascii="宋体" w:hAnsi="宋体" w:eastAsia="宋体" w:cs="Times New Roman"/>
          <w:sz w:val="24"/>
        </w:rPr>
      </w:pPr>
      <w:r>
        <w:rPr>
          <w:rFonts w:ascii="宋体" w:hAnsi="宋体" w:eastAsia="宋体" w:cs="Times New Roman"/>
          <w:sz w:val="24"/>
        </w:rPr>
        <w:t>王萼芳 高等代数教程        北京：清华大学出版社</w:t>
      </w:r>
    </w:p>
    <w:p w14:paraId="189CB9E9">
      <w:pPr>
        <w:numPr>
          <w:ilvl w:val="0"/>
          <w:numId w:val="6"/>
        </w:numPr>
        <w:spacing w:line="360" w:lineRule="auto"/>
        <w:rPr>
          <w:rFonts w:ascii="宋体" w:hAnsi="宋体" w:eastAsia="宋体" w:cs="Times New Roman"/>
          <w:sz w:val="24"/>
        </w:rPr>
      </w:pPr>
      <w:r>
        <w:rPr>
          <w:rFonts w:ascii="宋体" w:hAnsi="宋体" w:eastAsia="宋体" w:cs="Times New Roman"/>
          <w:sz w:val="24"/>
        </w:rPr>
        <w:t>王萼芳 高等代数教程习题集  北京：清华大学出版社</w:t>
      </w:r>
    </w:p>
    <w:p w14:paraId="37F2B725">
      <w:pPr>
        <w:spacing w:line="360" w:lineRule="auto"/>
        <w:ind w:left="480"/>
        <w:rPr>
          <w:rFonts w:ascii="宋体" w:hAnsi="宋体" w:eastAsia="宋体" w:cs="Times New Roman"/>
          <w:sz w:val="24"/>
        </w:rPr>
      </w:pPr>
    </w:p>
    <w:p w14:paraId="792DEB72">
      <w:pPr>
        <w:spacing w:line="360" w:lineRule="auto"/>
        <w:ind w:left="480"/>
        <w:rPr>
          <w:rFonts w:ascii="宋体" w:hAnsi="宋体" w:eastAsia="宋体" w:cs="Times New Roman"/>
          <w:sz w:val="24"/>
        </w:rPr>
      </w:pPr>
    </w:p>
    <w:p w14:paraId="184E0E12">
      <w:pPr>
        <w:autoSpaceDE w:val="0"/>
        <w:autoSpaceDN w:val="0"/>
        <w:adjustRightInd w:val="0"/>
        <w:spacing w:line="360" w:lineRule="auto"/>
        <w:ind w:left="7199" w:leftChars="228" w:hanging="6720" w:hangingChars="2800"/>
        <w:jc w:val="left"/>
        <w:rPr>
          <w:rFonts w:ascii="宋体" w:hAnsi="宋体" w:eastAsia="宋体" w:cs="Times New Roman"/>
          <w:kern w:val="0"/>
          <w:sz w:val="24"/>
          <w:szCs w:val="21"/>
        </w:rPr>
      </w:pPr>
      <w:r>
        <w:rPr>
          <w:rFonts w:ascii="宋体" w:hAnsi="宋体" w:eastAsia="宋体" w:cs="Times New Roman"/>
          <w:sz w:val="24"/>
        </w:rPr>
        <w:t xml:space="preserve">                                              </w:t>
      </w:r>
      <w:r>
        <w:rPr>
          <w:rFonts w:ascii="宋体" w:hAnsi="宋体" w:eastAsia="宋体" w:cs="Times New Roman"/>
          <w:kern w:val="0"/>
          <w:sz w:val="24"/>
          <w:szCs w:val="21"/>
        </w:rPr>
        <w:t>执</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笔</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人：王志芳</w:t>
      </w:r>
    </w:p>
    <w:p w14:paraId="7A004202">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定</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人：钱  峰</w:t>
      </w:r>
    </w:p>
    <w:p w14:paraId="18388FA3">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审</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批</w:t>
      </w: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人：王献东</w:t>
      </w:r>
    </w:p>
    <w:p w14:paraId="7ACE49DB">
      <w:pPr>
        <w:autoSpaceDE w:val="0"/>
        <w:autoSpaceDN w:val="0"/>
        <w:adjustRightInd w:val="0"/>
        <w:spacing w:line="360" w:lineRule="auto"/>
        <w:jc w:val="center"/>
        <w:rPr>
          <w:rFonts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w:t>
      </w:r>
    </w:p>
    <w:p w14:paraId="0895C877">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7B116263">
      <w:pPr>
        <w:spacing w:line="360" w:lineRule="auto"/>
        <w:jc w:val="center"/>
        <w:outlineLvl w:val="0"/>
        <w:rPr>
          <w:rFonts w:ascii="Times New Roman" w:hAnsi="Times New Roman" w:eastAsia="宋体" w:cs="Times New Roman"/>
          <w:b/>
          <w:bCs/>
          <w:sz w:val="30"/>
          <w:szCs w:val="24"/>
        </w:rPr>
      </w:pPr>
      <w:bookmarkStart w:id="223" w:name="_Toc166165212"/>
      <w:r>
        <w:rPr>
          <w:rFonts w:ascii="Times New Roman" w:hAnsi="Times New Roman" w:eastAsia="宋体" w:cs="Times New Roman"/>
          <w:b/>
          <w:bCs/>
          <w:sz w:val="30"/>
          <w:szCs w:val="24"/>
        </w:rPr>
        <w:t>概率与统计课程教学大纲</w:t>
      </w:r>
      <w:bookmarkEnd w:id="223"/>
    </w:p>
    <w:p w14:paraId="6F0B8425">
      <w:pPr>
        <w:spacing w:line="360"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（Probability and Statistics）</w:t>
      </w:r>
    </w:p>
    <w:p w14:paraId="47B3D058">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16BEBAFF">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0821013</w:t>
      </w:r>
    </w:p>
    <w:p w14:paraId="62E5AD79">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4</w:t>
      </w:r>
    </w:p>
    <w:p w14:paraId="77249A7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64（其中：讲授学时64  ， 实验学时0  ，上机学时0）</w:t>
      </w:r>
    </w:p>
    <w:p w14:paraId="07502201">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color w:val="000000"/>
          <w:sz w:val="24"/>
          <w:szCs w:val="24"/>
        </w:rPr>
        <w:t>初等数学</w:t>
      </w:r>
    </w:p>
    <w:p w14:paraId="2FA4F1E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52131DF7">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《概率论与数理统计》，陈荣军，南京大学出版社，2008.5</w:t>
      </w:r>
    </w:p>
    <w:p w14:paraId="59925CBB">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56FCB20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概率论与数理统计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324A12FF">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0B8F53E3">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70FCF5B5">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0E50F10D">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5FA6054B">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60EFE2CE">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2510EFB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3F721D44">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E2040BA">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3D7DB9A0">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782C0C34">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67EAB916">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0277914">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363A47FE">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6B694C17">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04181130">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227539E4">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60212575">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375A35FB">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58531C36">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F6B6FF1">
            <w:pPr>
              <w:widowControl/>
              <w:spacing w:line="360" w:lineRule="auto"/>
              <w:jc w:val="center"/>
              <w:rPr>
                <w:rFonts w:ascii="Times New Roman" w:hAnsi="Times New Roman" w:eastAsia="宋体" w:cs="Times New Roman"/>
                <w:kern w:val="0"/>
                <w:szCs w:val="21"/>
              </w:rPr>
            </w:pPr>
          </w:p>
        </w:tc>
      </w:tr>
      <w:tr w14:paraId="3E15604C">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3F058601">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4C582A65">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75DA790">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E24C2AE">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2B48B1A">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046FCDE">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43EBB63">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ECFEF4E">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60A073B">
            <w:pPr>
              <w:widowControl/>
              <w:spacing w:line="360" w:lineRule="auto"/>
              <w:jc w:val="center"/>
              <w:rPr>
                <w:rFonts w:ascii="Times New Roman" w:hAnsi="Times New Roman" w:eastAsia="宋体" w:cs="Times New Roman"/>
                <w:kern w:val="0"/>
                <w:szCs w:val="21"/>
              </w:rPr>
            </w:pPr>
          </w:p>
        </w:tc>
      </w:tr>
      <w:tr w14:paraId="1F9DBB23">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4F976421">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23E7A0E0">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66A1E47">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3606CEA3">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262BB353">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2A7DA8A">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D4FAA7F">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91E3F2B">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72CDED5">
            <w:pPr>
              <w:widowControl/>
              <w:spacing w:line="360" w:lineRule="auto"/>
              <w:jc w:val="center"/>
              <w:rPr>
                <w:rFonts w:ascii="Times New Roman" w:hAnsi="Times New Roman" w:eastAsia="宋体" w:cs="Times New Roman"/>
                <w:kern w:val="0"/>
                <w:szCs w:val="21"/>
              </w:rPr>
            </w:pPr>
          </w:p>
        </w:tc>
      </w:tr>
      <w:tr w14:paraId="3E8F8847">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421F1E8C">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7E2D18F3">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F29EBBC">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324B7A53">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D869192">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3305785">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0E83D82">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2E22D48">
            <w:pPr>
              <w:widowControl/>
              <w:spacing w:line="360"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9D80E22">
            <w:pPr>
              <w:widowControl/>
              <w:spacing w:line="360" w:lineRule="auto"/>
              <w:jc w:val="center"/>
              <w:rPr>
                <w:rFonts w:ascii="Times New Roman" w:hAnsi="Times New Roman" w:eastAsia="宋体" w:cs="Times New Roman"/>
                <w:kern w:val="0"/>
                <w:szCs w:val="21"/>
              </w:rPr>
            </w:pPr>
          </w:p>
        </w:tc>
      </w:tr>
    </w:tbl>
    <w:p w14:paraId="5CF1247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1B252430">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（一）事件与概率</w:t>
      </w:r>
    </w:p>
    <w:p w14:paraId="6284AA4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1BF9A30E">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w:t>
      </w:r>
      <w:r>
        <w:rPr>
          <w:rFonts w:ascii="Times New Roman" w:hAnsi="Times New Roman" w:eastAsia="宋体" w:cs="Times New Roman"/>
          <w:sz w:val="24"/>
          <w:szCs w:val="21"/>
        </w:rPr>
        <w:t>理解</w:t>
      </w:r>
      <w:r>
        <w:rPr>
          <w:rFonts w:ascii="Times New Roman" w:hAnsi="Times New Roman" w:eastAsia="宋体" w:cs="Times New Roman"/>
          <w:sz w:val="24"/>
          <w:szCs w:val="24"/>
        </w:rPr>
        <w:t>随机事件</w:t>
      </w:r>
    </w:p>
    <w:p w14:paraId="09F7341D">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古典概型</w:t>
      </w:r>
    </w:p>
    <w:p w14:paraId="45CDA3B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w:t>
      </w:r>
      <w:r>
        <w:rPr>
          <w:rFonts w:ascii="Times New Roman" w:hAnsi="Times New Roman" w:eastAsia="宋体" w:cs="Times New Roman"/>
          <w:sz w:val="24"/>
          <w:szCs w:val="21"/>
        </w:rPr>
        <w:t>理解</w:t>
      </w:r>
      <w:r>
        <w:rPr>
          <w:rFonts w:ascii="Times New Roman" w:hAnsi="Times New Roman" w:eastAsia="宋体" w:cs="Times New Roman"/>
          <w:sz w:val="24"/>
          <w:szCs w:val="24"/>
        </w:rPr>
        <w:t>条件概率</w:t>
      </w:r>
    </w:p>
    <w:p w14:paraId="6196DC5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（4）能够</w:t>
      </w:r>
      <w:r>
        <w:rPr>
          <w:rFonts w:ascii="Times New Roman" w:hAnsi="Times New Roman" w:eastAsia="宋体" w:cs="Times New Roman"/>
          <w:sz w:val="24"/>
          <w:szCs w:val="21"/>
        </w:rPr>
        <w:t>掌握</w:t>
      </w:r>
      <w:r>
        <w:rPr>
          <w:rFonts w:ascii="Times New Roman" w:hAnsi="Times New Roman" w:eastAsia="宋体" w:cs="Times New Roman"/>
          <w:sz w:val="24"/>
          <w:szCs w:val="24"/>
        </w:rPr>
        <w:t>独立重复实验</w:t>
      </w:r>
    </w:p>
    <w:p w14:paraId="774DE39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1619EB9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条件概率，全概率公式的应用</w:t>
      </w:r>
      <w:r>
        <w:rPr>
          <w:rFonts w:ascii="Times New Roman" w:hAnsi="Times New Roman" w:eastAsia="宋体" w:cs="Times New Roman"/>
          <w:sz w:val="24"/>
          <w:szCs w:val="21"/>
        </w:rPr>
        <w:t>。</w:t>
      </w:r>
    </w:p>
    <w:p w14:paraId="3070F04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C5BC25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50B1B6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2DD6CAF">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（二）离散型随机变量</w:t>
      </w:r>
    </w:p>
    <w:p w14:paraId="702E890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1D30347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离散型随机变量</w:t>
      </w:r>
    </w:p>
    <w:p w14:paraId="33976D5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随机变量的分布函数</w:t>
      </w:r>
    </w:p>
    <w:p w14:paraId="1286941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常见离散型分布</w:t>
      </w:r>
    </w:p>
    <w:p w14:paraId="02F8AB8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离散型随机变量函数的分布</w:t>
      </w:r>
    </w:p>
    <w:p w14:paraId="72F7B5D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离散型随机向量</w:t>
      </w:r>
    </w:p>
    <w:p w14:paraId="4619750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数学期望与方差</w:t>
      </w:r>
    </w:p>
    <w:p w14:paraId="616A899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129034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随机变量的分布函数，随机变量函数的分布</w:t>
      </w:r>
      <w:r>
        <w:rPr>
          <w:rFonts w:ascii="Times New Roman" w:hAnsi="Times New Roman" w:eastAsia="宋体" w:cs="Times New Roman"/>
          <w:sz w:val="24"/>
          <w:szCs w:val="21"/>
        </w:rPr>
        <w:t>。</w:t>
      </w:r>
    </w:p>
    <w:p w14:paraId="18EDBC9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B03245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11299D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7FD68A1">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（三）连续型随机变量</w:t>
      </w:r>
    </w:p>
    <w:p w14:paraId="2FB5A33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899118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连续型随机变量</w:t>
      </w:r>
    </w:p>
    <w:p w14:paraId="32755C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连续型随机向量</w:t>
      </w:r>
    </w:p>
    <w:p w14:paraId="121C320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连续型随机变（向）量的数字特征</w:t>
      </w:r>
    </w:p>
    <w:p w14:paraId="7610451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EF3093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连续型随机变量，连续型随机向量的边缘分布</w:t>
      </w:r>
      <w:r>
        <w:rPr>
          <w:rFonts w:ascii="Times New Roman" w:hAnsi="Times New Roman" w:eastAsia="宋体" w:cs="Times New Roman"/>
          <w:color w:val="000000"/>
          <w:sz w:val="24"/>
          <w:szCs w:val="24"/>
        </w:rPr>
        <w:t>。</w:t>
      </w:r>
    </w:p>
    <w:p w14:paraId="026FFB4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4EB607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163C238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430773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（四）大数定律与中心极限定理</w:t>
      </w:r>
    </w:p>
    <w:p w14:paraId="2138E1B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30602FD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color w:val="000000"/>
          <w:sz w:val="24"/>
          <w:szCs w:val="24"/>
        </w:rPr>
        <w:t>大数定律</w:t>
      </w:r>
    </w:p>
    <w:p w14:paraId="2A354B4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color w:val="000000"/>
          <w:sz w:val="24"/>
          <w:szCs w:val="24"/>
        </w:rPr>
        <w:t>中心极限定理</w:t>
      </w:r>
    </w:p>
    <w:p w14:paraId="7C6CDC9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4554A5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（1）重点与难点：大数定律</w:t>
      </w:r>
      <w:r>
        <w:rPr>
          <w:rFonts w:ascii="Times New Roman" w:hAnsi="Times New Roman" w:eastAsia="宋体" w:cs="Times New Roman"/>
          <w:kern w:val="10"/>
          <w:sz w:val="24"/>
          <w:szCs w:val="24"/>
        </w:rPr>
        <w:t>，</w:t>
      </w:r>
      <w:r>
        <w:rPr>
          <w:rFonts w:ascii="Times New Roman" w:hAnsi="Times New Roman" w:eastAsia="宋体" w:cs="Times New Roman"/>
          <w:color w:val="000000"/>
          <w:sz w:val="24"/>
          <w:szCs w:val="24"/>
        </w:rPr>
        <w:t>中心极限定理。</w:t>
      </w:r>
    </w:p>
    <w:p w14:paraId="4321B3C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D69C89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45AA74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0C1F747">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（五）抽样分布</w:t>
      </w:r>
    </w:p>
    <w:p w14:paraId="27E2AAF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AE9BAB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总体与样本</w:t>
      </w:r>
    </w:p>
    <w:p w14:paraId="3D82E3C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统计量与子样矩</w:t>
      </w:r>
    </w:p>
    <w:p w14:paraId="42BABDE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常见的统计分布</w:t>
      </w:r>
    </w:p>
    <w:p w14:paraId="263EF0D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正态总体子样分布</w:t>
      </w:r>
    </w:p>
    <w:p w14:paraId="00016FD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D36BD0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常见的统计分布</w:t>
      </w:r>
      <w:r>
        <w:rPr>
          <w:rFonts w:ascii="Times New Roman" w:hAnsi="Times New Roman" w:eastAsia="宋体" w:cs="Times New Roman"/>
          <w:kern w:val="10"/>
          <w:sz w:val="24"/>
          <w:szCs w:val="24"/>
        </w:rPr>
        <w:t>，</w:t>
      </w:r>
      <w:r>
        <w:rPr>
          <w:rFonts w:ascii="Times New Roman" w:hAnsi="Times New Roman" w:eastAsia="宋体" w:cs="Times New Roman"/>
          <w:sz w:val="24"/>
          <w:szCs w:val="24"/>
        </w:rPr>
        <w:t>分位数的概念</w:t>
      </w:r>
      <w:r>
        <w:rPr>
          <w:rFonts w:ascii="Times New Roman" w:hAnsi="Times New Roman" w:eastAsia="宋体" w:cs="Times New Roman"/>
          <w:color w:val="000000"/>
          <w:sz w:val="24"/>
          <w:szCs w:val="24"/>
        </w:rPr>
        <w:t>。</w:t>
      </w:r>
    </w:p>
    <w:p w14:paraId="647EE72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B188B3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B21AFA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539008F">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（六）参数估计</w:t>
      </w:r>
    </w:p>
    <w:p w14:paraId="63ECDF0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A6FA74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参数的矩估计</w:t>
      </w:r>
    </w:p>
    <w:p w14:paraId="6272F47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参数的最大似然估计</w:t>
      </w:r>
    </w:p>
    <w:p w14:paraId="3198B8E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参数的区间估计</w:t>
      </w:r>
    </w:p>
    <w:p w14:paraId="7887B58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931AC5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（1）重点与难点：矩估计</w:t>
      </w:r>
      <w:r>
        <w:rPr>
          <w:rFonts w:ascii="Times New Roman" w:hAnsi="Times New Roman" w:eastAsia="宋体" w:cs="Times New Roman"/>
          <w:kern w:val="10"/>
          <w:sz w:val="24"/>
          <w:szCs w:val="24"/>
        </w:rPr>
        <w:t>，</w:t>
      </w:r>
      <w:r>
        <w:rPr>
          <w:rFonts w:ascii="Times New Roman" w:hAnsi="Times New Roman" w:eastAsia="宋体" w:cs="Times New Roman"/>
          <w:sz w:val="24"/>
          <w:szCs w:val="24"/>
        </w:rPr>
        <w:t>最大似然估计</w:t>
      </w:r>
      <w:r>
        <w:rPr>
          <w:rFonts w:ascii="Times New Roman" w:hAnsi="Times New Roman" w:eastAsia="宋体" w:cs="Times New Roman"/>
          <w:color w:val="000000"/>
          <w:sz w:val="24"/>
          <w:szCs w:val="24"/>
        </w:rPr>
        <w:t>。</w:t>
      </w:r>
    </w:p>
    <w:p w14:paraId="5E066ED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0EB89B2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1B2767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E5A352C">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（七）假设检验</w:t>
      </w:r>
    </w:p>
    <w:p w14:paraId="6199D2E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86BEA7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假设检验的基本概念</w:t>
      </w:r>
    </w:p>
    <w:p w14:paraId="080E73C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参数的假设检验</w:t>
      </w:r>
    </w:p>
    <w:p w14:paraId="79286D2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非参数的假设检验</w:t>
      </w:r>
    </w:p>
    <w:p w14:paraId="7D1FA4E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C73165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参数的假设检验</w:t>
      </w:r>
      <w:r>
        <w:rPr>
          <w:rFonts w:ascii="Times New Roman" w:hAnsi="Times New Roman" w:eastAsia="宋体" w:cs="Times New Roman"/>
          <w:kern w:val="10"/>
          <w:sz w:val="24"/>
          <w:szCs w:val="24"/>
        </w:rPr>
        <w:t>，</w:t>
      </w:r>
      <w:r>
        <w:rPr>
          <w:rFonts w:ascii="Times New Roman" w:hAnsi="Times New Roman" w:eastAsia="宋体" w:cs="Times New Roman"/>
          <w:sz w:val="24"/>
          <w:szCs w:val="24"/>
        </w:rPr>
        <w:t>非参数的假设检验</w:t>
      </w:r>
      <w:r>
        <w:rPr>
          <w:rFonts w:ascii="Times New Roman" w:hAnsi="Times New Roman" w:eastAsia="宋体" w:cs="Times New Roman"/>
          <w:color w:val="000000"/>
          <w:sz w:val="24"/>
          <w:szCs w:val="24"/>
        </w:rPr>
        <w:t>。</w:t>
      </w:r>
    </w:p>
    <w:p w14:paraId="4988CC2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1CF7C2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E8B5FE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BA30433">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（八）方差分析与回归分析</w:t>
      </w:r>
    </w:p>
    <w:p w14:paraId="3F984BE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78568D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方差分析</w:t>
      </w:r>
    </w:p>
    <w:p w14:paraId="44699CA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一元线性回归分析</w:t>
      </w:r>
    </w:p>
    <w:p w14:paraId="00E7CED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一元非线性回归分析</w:t>
      </w:r>
    </w:p>
    <w:p w14:paraId="5AAC575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多元线性回归分析</w:t>
      </w:r>
    </w:p>
    <w:p w14:paraId="5AB5D46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45F88C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一元线性回归分析</w:t>
      </w:r>
      <w:r>
        <w:rPr>
          <w:rFonts w:ascii="Times New Roman" w:hAnsi="Times New Roman" w:eastAsia="宋体" w:cs="Times New Roman"/>
          <w:kern w:val="10"/>
          <w:sz w:val="24"/>
          <w:szCs w:val="24"/>
        </w:rPr>
        <w:t>，</w:t>
      </w:r>
      <w:r>
        <w:rPr>
          <w:rFonts w:ascii="Times New Roman" w:hAnsi="Times New Roman" w:eastAsia="宋体" w:cs="Times New Roman"/>
          <w:sz w:val="24"/>
          <w:szCs w:val="24"/>
        </w:rPr>
        <w:t>一元非线性回归分析</w:t>
      </w:r>
      <w:r>
        <w:rPr>
          <w:rFonts w:ascii="Times New Roman" w:hAnsi="Times New Roman" w:eastAsia="宋体" w:cs="Times New Roman"/>
          <w:color w:val="000000"/>
          <w:sz w:val="24"/>
          <w:szCs w:val="24"/>
        </w:rPr>
        <w:t>。</w:t>
      </w:r>
    </w:p>
    <w:p w14:paraId="3421DC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2D6F8A2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23A352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AEA11AB">
      <w:pPr>
        <w:spacing w:line="360" w:lineRule="auto"/>
        <w:ind w:firstLine="480" w:firstLineChars="200"/>
        <w:rPr>
          <w:rFonts w:ascii="Times New Roman" w:hAnsi="Times New Roman" w:eastAsia="宋体" w:cs="Times New Roman"/>
          <w:color w:val="000000"/>
          <w:sz w:val="24"/>
          <w:szCs w:val="24"/>
        </w:rPr>
      </w:pPr>
    </w:p>
    <w:p w14:paraId="4769B16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2C25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7C2D5C6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388E131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388D83CC">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235E4DB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6250047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5A36FF2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0DD586B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6CB1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2757706">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tcPr>
          <w:p w14:paraId="3BB5AD40">
            <w:pPr>
              <w:jc w:val="center"/>
              <w:rPr>
                <w:rFonts w:ascii="Times New Roman" w:hAnsi="Times New Roman" w:eastAsia="宋体" w:cs="Times New Roman"/>
                <w:szCs w:val="24"/>
              </w:rPr>
            </w:pPr>
            <w:r>
              <w:rPr>
                <w:rFonts w:ascii="Times New Roman" w:hAnsi="Times New Roman" w:eastAsia="宋体" w:cs="Times New Roman"/>
                <w:szCs w:val="24"/>
              </w:rPr>
              <w:t>事件与概率</w:t>
            </w:r>
          </w:p>
        </w:tc>
        <w:tc>
          <w:tcPr>
            <w:tcW w:w="1701" w:type="dxa"/>
            <w:vAlign w:val="center"/>
          </w:tcPr>
          <w:p w14:paraId="613FB7F7">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08FE1B25">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tcPr>
          <w:p w14:paraId="7D6AC313">
            <w:pPr>
              <w:jc w:val="center"/>
              <w:rPr>
                <w:rFonts w:ascii="Times New Roman" w:hAnsi="Times New Roman" w:eastAsia="宋体" w:cs="Times New Roman"/>
                <w:szCs w:val="24"/>
              </w:rPr>
            </w:pPr>
            <w:r>
              <w:rPr>
                <w:rFonts w:ascii="Times New Roman" w:hAnsi="Times New Roman" w:eastAsia="宋体" w:cs="Times New Roman"/>
                <w:szCs w:val="24"/>
              </w:rPr>
              <w:t>8</w:t>
            </w:r>
          </w:p>
        </w:tc>
        <w:tc>
          <w:tcPr>
            <w:tcW w:w="735" w:type="dxa"/>
            <w:vAlign w:val="center"/>
          </w:tcPr>
          <w:p w14:paraId="0097A454">
            <w:pPr>
              <w:jc w:val="center"/>
              <w:rPr>
                <w:rFonts w:ascii="Times New Roman" w:hAnsi="Times New Roman" w:eastAsia="宋体" w:cs="Times New Roman"/>
                <w:szCs w:val="21"/>
              </w:rPr>
            </w:pPr>
          </w:p>
        </w:tc>
      </w:tr>
      <w:tr w14:paraId="4C09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CC788AB">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tcPr>
          <w:p w14:paraId="6BEE2A90">
            <w:pPr>
              <w:jc w:val="center"/>
              <w:rPr>
                <w:rFonts w:ascii="Times New Roman" w:hAnsi="Times New Roman" w:eastAsia="宋体" w:cs="Times New Roman"/>
                <w:szCs w:val="24"/>
              </w:rPr>
            </w:pPr>
            <w:r>
              <w:rPr>
                <w:rFonts w:ascii="Times New Roman" w:hAnsi="Times New Roman" w:eastAsia="宋体" w:cs="Times New Roman"/>
                <w:szCs w:val="24"/>
              </w:rPr>
              <w:t>离散型随机变量</w:t>
            </w:r>
          </w:p>
        </w:tc>
        <w:tc>
          <w:tcPr>
            <w:tcW w:w="1701" w:type="dxa"/>
            <w:vAlign w:val="center"/>
          </w:tcPr>
          <w:p w14:paraId="63CBC79E">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21AEEDF1">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00402649">
            <w:pPr>
              <w:jc w:val="center"/>
              <w:rPr>
                <w:rFonts w:ascii="Times New Roman" w:hAnsi="Times New Roman" w:eastAsia="宋体" w:cs="Times New Roman"/>
                <w:szCs w:val="24"/>
              </w:rPr>
            </w:pPr>
            <w:r>
              <w:rPr>
                <w:rFonts w:ascii="Times New Roman" w:hAnsi="Times New Roman" w:eastAsia="宋体" w:cs="Times New Roman"/>
                <w:szCs w:val="24"/>
              </w:rPr>
              <w:t>8</w:t>
            </w:r>
          </w:p>
        </w:tc>
        <w:tc>
          <w:tcPr>
            <w:tcW w:w="735" w:type="dxa"/>
            <w:vAlign w:val="center"/>
          </w:tcPr>
          <w:p w14:paraId="517EA26C">
            <w:pPr>
              <w:jc w:val="center"/>
              <w:rPr>
                <w:rFonts w:ascii="Times New Roman" w:hAnsi="Times New Roman" w:eastAsia="宋体" w:cs="Times New Roman"/>
                <w:szCs w:val="21"/>
              </w:rPr>
            </w:pPr>
          </w:p>
        </w:tc>
      </w:tr>
      <w:tr w14:paraId="7493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0885ABC">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tcPr>
          <w:p w14:paraId="27AA1089">
            <w:pPr>
              <w:jc w:val="center"/>
              <w:rPr>
                <w:rFonts w:ascii="Times New Roman" w:hAnsi="Times New Roman" w:eastAsia="宋体" w:cs="Times New Roman"/>
                <w:szCs w:val="24"/>
              </w:rPr>
            </w:pPr>
            <w:r>
              <w:rPr>
                <w:rFonts w:ascii="Times New Roman" w:hAnsi="Times New Roman" w:eastAsia="宋体" w:cs="Times New Roman"/>
                <w:szCs w:val="24"/>
              </w:rPr>
              <w:t>连续型随机变量</w:t>
            </w:r>
          </w:p>
        </w:tc>
        <w:tc>
          <w:tcPr>
            <w:tcW w:w="1701" w:type="dxa"/>
            <w:vAlign w:val="center"/>
          </w:tcPr>
          <w:p w14:paraId="0D7670B2">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4BFDD1AB">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10579153">
            <w:pPr>
              <w:jc w:val="center"/>
              <w:rPr>
                <w:rFonts w:ascii="Times New Roman" w:hAnsi="Times New Roman" w:eastAsia="宋体" w:cs="Times New Roman"/>
                <w:szCs w:val="24"/>
              </w:rPr>
            </w:pPr>
            <w:r>
              <w:rPr>
                <w:rFonts w:ascii="Times New Roman" w:hAnsi="Times New Roman" w:eastAsia="宋体" w:cs="Times New Roman"/>
                <w:szCs w:val="24"/>
              </w:rPr>
              <w:t>12</w:t>
            </w:r>
          </w:p>
        </w:tc>
        <w:tc>
          <w:tcPr>
            <w:tcW w:w="735" w:type="dxa"/>
            <w:vAlign w:val="center"/>
          </w:tcPr>
          <w:p w14:paraId="1FDDE435">
            <w:pPr>
              <w:jc w:val="center"/>
              <w:rPr>
                <w:rFonts w:ascii="Times New Roman" w:hAnsi="Times New Roman" w:eastAsia="宋体" w:cs="Times New Roman"/>
                <w:szCs w:val="21"/>
              </w:rPr>
            </w:pPr>
          </w:p>
        </w:tc>
      </w:tr>
      <w:tr w14:paraId="1EED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240C24">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tcPr>
          <w:p w14:paraId="262EF9D4">
            <w:pPr>
              <w:jc w:val="center"/>
              <w:rPr>
                <w:rFonts w:ascii="Times New Roman" w:hAnsi="Times New Roman" w:eastAsia="宋体" w:cs="Times New Roman"/>
                <w:szCs w:val="24"/>
              </w:rPr>
            </w:pPr>
            <w:r>
              <w:rPr>
                <w:rFonts w:ascii="Times New Roman" w:hAnsi="Times New Roman" w:eastAsia="宋体" w:cs="Times New Roman"/>
                <w:szCs w:val="24"/>
              </w:rPr>
              <w:t>大数定理与中心极限定理</w:t>
            </w:r>
          </w:p>
        </w:tc>
        <w:tc>
          <w:tcPr>
            <w:tcW w:w="1701" w:type="dxa"/>
            <w:vAlign w:val="center"/>
          </w:tcPr>
          <w:p w14:paraId="44354435">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tcPr>
          <w:p w14:paraId="0EB44CEC">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5EB34479">
            <w:pPr>
              <w:jc w:val="center"/>
              <w:rPr>
                <w:rFonts w:ascii="Times New Roman" w:hAnsi="Times New Roman" w:eastAsia="宋体" w:cs="Times New Roman"/>
                <w:szCs w:val="24"/>
              </w:rPr>
            </w:pPr>
            <w:r>
              <w:rPr>
                <w:rFonts w:ascii="Times New Roman" w:hAnsi="Times New Roman" w:eastAsia="宋体" w:cs="Times New Roman"/>
                <w:szCs w:val="24"/>
              </w:rPr>
              <w:t>4</w:t>
            </w:r>
          </w:p>
        </w:tc>
        <w:tc>
          <w:tcPr>
            <w:tcW w:w="735" w:type="dxa"/>
            <w:vAlign w:val="center"/>
          </w:tcPr>
          <w:p w14:paraId="34836825">
            <w:pPr>
              <w:jc w:val="center"/>
              <w:rPr>
                <w:rFonts w:ascii="Times New Roman" w:hAnsi="Times New Roman" w:eastAsia="宋体" w:cs="Times New Roman"/>
                <w:szCs w:val="21"/>
              </w:rPr>
            </w:pPr>
          </w:p>
        </w:tc>
      </w:tr>
      <w:tr w14:paraId="6608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9F52296">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tcPr>
          <w:p w14:paraId="35FB03AE">
            <w:pPr>
              <w:jc w:val="center"/>
              <w:rPr>
                <w:rFonts w:ascii="Times New Roman" w:hAnsi="Times New Roman" w:eastAsia="宋体" w:cs="Times New Roman"/>
                <w:szCs w:val="24"/>
              </w:rPr>
            </w:pPr>
            <w:r>
              <w:rPr>
                <w:rFonts w:ascii="Times New Roman" w:hAnsi="Times New Roman" w:eastAsia="宋体" w:cs="Times New Roman"/>
                <w:szCs w:val="24"/>
              </w:rPr>
              <w:t>抽样分布</w:t>
            </w:r>
          </w:p>
        </w:tc>
        <w:tc>
          <w:tcPr>
            <w:tcW w:w="1701" w:type="dxa"/>
            <w:vAlign w:val="center"/>
          </w:tcPr>
          <w:p w14:paraId="5BF10B63">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tcPr>
          <w:p w14:paraId="70A87BC8">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0D9BC52C">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735" w:type="dxa"/>
            <w:vAlign w:val="center"/>
          </w:tcPr>
          <w:p w14:paraId="5272F81D">
            <w:pPr>
              <w:jc w:val="center"/>
              <w:rPr>
                <w:rFonts w:ascii="Times New Roman" w:hAnsi="Times New Roman" w:eastAsia="宋体" w:cs="Times New Roman"/>
                <w:szCs w:val="21"/>
              </w:rPr>
            </w:pPr>
          </w:p>
        </w:tc>
      </w:tr>
      <w:tr w14:paraId="62F4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21251A">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476" w:type="dxa"/>
          </w:tcPr>
          <w:p w14:paraId="4008EBCF">
            <w:pPr>
              <w:jc w:val="center"/>
              <w:rPr>
                <w:rFonts w:ascii="Times New Roman" w:hAnsi="Times New Roman" w:eastAsia="宋体" w:cs="Times New Roman"/>
                <w:szCs w:val="24"/>
              </w:rPr>
            </w:pPr>
            <w:r>
              <w:rPr>
                <w:rFonts w:ascii="Times New Roman" w:hAnsi="Times New Roman" w:eastAsia="宋体" w:cs="Times New Roman"/>
                <w:szCs w:val="24"/>
              </w:rPr>
              <w:t>参数估计</w:t>
            </w:r>
          </w:p>
        </w:tc>
        <w:tc>
          <w:tcPr>
            <w:tcW w:w="1701" w:type="dxa"/>
            <w:vAlign w:val="center"/>
          </w:tcPr>
          <w:p w14:paraId="56242F8D">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5B487825">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079865FF">
            <w:pPr>
              <w:jc w:val="center"/>
              <w:rPr>
                <w:rFonts w:ascii="Times New Roman" w:hAnsi="Times New Roman" w:eastAsia="宋体" w:cs="Times New Roman"/>
                <w:szCs w:val="24"/>
              </w:rPr>
            </w:pPr>
            <w:r>
              <w:rPr>
                <w:rFonts w:ascii="Times New Roman" w:hAnsi="Times New Roman" w:eastAsia="宋体" w:cs="Times New Roman"/>
                <w:szCs w:val="24"/>
              </w:rPr>
              <w:t>8</w:t>
            </w:r>
          </w:p>
        </w:tc>
        <w:tc>
          <w:tcPr>
            <w:tcW w:w="735" w:type="dxa"/>
            <w:vAlign w:val="center"/>
          </w:tcPr>
          <w:p w14:paraId="499D44D9">
            <w:pPr>
              <w:jc w:val="center"/>
              <w:rPr>
                <w:rFonts w:ascii="Times New Roman" w:hAnsi="Times New Roman" w:eastAsia="宋体" w:cs="Times New Roman"/>
                <w:szCs w:val="21"/>
              </w:rPr>
            </w:pPr>
          </w:p>
        </w:tc>
      </w:tr>
      <w:tr w14:paraId="101F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159A1A7">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3476" w:type="dxa"/>
          </w:tcPr>
          <w:p w14:paraId="0D7CC00C">
            <w:pPr>
              <w:jc w:val="center"/>
              <w:rPr>
                <w:rFonts w:ascii="Times New Roman" w:hAnsi="Times New Roman" w:eastAsia="宋体" w:cs="Times New Roman"/>
                <w:szCs w:val="24"/>
              </w:rPr>
            </w:pPr>
            <w:r>
              <w:rPr>
                <w:rFonts w:ascii="Times New Roman" w:hAnsi="Times New Roman" w:eastAsia="宋体" w:cs="Times New Roman"/>
                <w:szCs w:val="24"/>
              </w:rPr>
              <w:t>假设检验</w:t>
            </w:r>
          </w:p>
        </w:tc>
        <w:tc>
          <w:tcPr>
            <w:tcW w:w="1701" w:type="dxa"/>
            <w:vAlign w:val="center"/>
          </w:tcPr>
          <w:p w14:paraId="72728010">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1DF61287">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235D8368">
            <w:pPr>
              <w:jc w:val="center"/>
              <w:rPr>
                <w:rFonts w:ascii="Times New Roman" w:hAnsi="Times New Roman" w:eastAsia="宋体" w:cs="Times New Roman"/>
                <w:szCs w:val="24"/>
              </w:rPr>
            </w:pPr>
            <w:r>
              <w:rPr>
                <w:rFonts w:ascii="Times New Roman" w:hAnsi="Times New Roman" w:eastAsia="宋体" w:cs="Times New Roman"/>
                <w:szCs w:val="24"/>
              </w:rPr>
              <w:t>8</w:t>
            </w:r>
          </w:p>
        </w:tc>
        <w:tc>
          <w:tcPr>
            <w:tcW w:w="735" w:type="dxa"/>
            <w:vAlign w:val="center"/>
          </w:tcPr>
          <w:p w14:paraId="29653C77">
            <w:pPr>
              <w:jc w:val="center"/>
              <w:rPr>
                <w:rFonts w:ascii="Times New Roman" w:hAnsi="Times New Roman" w:eastAsia="宋体" w:cs="Times New Roman"/>
                <w:szCs w:val="21"/>
              </w:rPr>
            </w:pPr>
          </w:p>
        </w:tc>
      </w:tr>
      <w:tr w14:paraId="41D5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A80A86A">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3476" w:type="dxa"/>
          </w:tcPr>
          <w:p w14:paraId="1F11EADA">
            <w:pPr>
              <w:jc w:val="center"/>
              <w:rPr>
                <w:rFonts w:ascii="Times New Roman" w:hAnsi="Times New Roman" w:eastAsia="宋体" w:cs="Times New Roman"/>
                <w:szCs w:val="24"/>
              </w:rPr>
            </w:pPr>
            <w:r>
              <w:rPr>
                <w:rFonts w:ascii="Times New Roman" w:hAnsi="Times New Roman" w:eastAsia="宋体" w:cs="Times New Roman"/>
                <w:szCs w:val="24"/>
              </w:rPr>
              <w:t>方差分析与回归分析</w:t>
            </w:r>
          </w:p>
        </w:tc>
        <w:tc>
          <w:tcPr>
            <w:tcW w:w="1701" w:type="dxa"/>
            <w:vAlign w:val="center"/>
          </w:tcPr>
          <w:p w14:paraId="1E4A68A2">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68B2442D">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1A73BD0C">
            <w:pPr>
              <w:jc w:val="center"/>
              <w:rPr>
                <w:rFonts w:ascii="Times New Roman" w:hAnsi="Times New Roman" w:eastAsia="宋体" w:cs="Times New Roman"/>
                <w:szCs w:val="24"/>
              </w:rPr>
            </w:pPr>
            <w:r>
              <w:rPr>
                <w:rFonts w:ascii="Times New Roman" w:hAnsi="Times New Roman" w:eastAsia="宋体" w:cs="Times New Roman"/>
                <w:szCs w:val="24"/>
              </w:rPr>
              <w:t>10</w:t>
            </w:r>
          </w:p>
        </w:tc>
        <w:tc>
          <w:tcPr>
            <w:tcW w:w="735" w:type="dxa"/>
            <w:vAlign w:val="center"/>
          </w:tcPr>
          <w:p w14:paraId="72383514">
            <w:pPr>
              <w:jc w:val="center"/>
              <w:rPr>
                <w:rFonts w:ascii="Times New Roman" w:hAnsi="Times New Roman" w:eastAsia="宋体" w:cs="Times New Roman"/>
                <w:szCs w:val="21"/>
              </w:rPr>
            </w:pPr>
          </w:p>
        </w:tc>
      </w:tr>
      <w:tr w14:paraId="2F20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D5D8461">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3C29C9B8">
            <w:pPr>
              <w:jc w:val="center"/>
              <w:rPr>
                <w:rFonts w:ascii="Times New Roman" w:hAnsi="Times New Roman" w:eastAsia="宋体" w:cs="Times New Roman"/>
                <w:szCs w:val="21"/>
              </w:rPr>
            </w:pPr>
            <w:r>
              <w:rPr>
                <w:rFonts w:ascii="Times New Roman" w:hAnsi="Times New Roman" w:eastAsia="宋体" w:cs="Times New Roman"/>
                <w:szCs w:val="21"/>
              </w:rPr>
              <w:t>64</w:t>
            </w:r>
          </w:p>
        </w:tc>
        <w:tc>
          <w:tcPr>
            <w:tcW w:w="735" w:type="dxa"/>
            <w:vAlign w:val="center"/>
          </w:tcPr>
          <w:p w14:paraId="05CDAB6B">
            <w:pPr>
              <w:jc w:val="center"/>
              <w:rPr>
                <w:rFonts w:ascii="Times New Roman" w:hAnsi="Times New Roman" w:eastAsia="宋体" w:cs="Times New Roman"/>
                <w:szCs w:val="21"/>
              </w:rPr>
            </w:pPr>
          </w:p>
        </w:tc>
      </w:tr>
    </w:tbl>
    <w:p w14:paraId="0806BA4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6BB35B6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p w14:paraId="43BEBDC8">
      <w:pPr>
        <w:spacing w:line="360" w:lineRule="auto"/>
        <w:ind w:firstLine="480" w:firstLineChars="200"/>
        <w:rPr>
          <w:rFonts w:ascii="Times New Roman" w:hAnsi="Times New Roman" w:eastAsia="宋体" w:cs="Times New Roman"/>
          <w:sz w:val="24"/>
          <w:szCs w:val="24"/>
        </w:rPr>
      </w:pPr>
    </w:p>
    <w:p w14:paraId="5B0DD63F">
      <w:pPr>
        <w:spacing w:line="360" w:lineRule="auto"/>
        <w:ind w:firstLine="480" w:firstLineChars="200"/>
        <w:rPr>
          <w:rFonts w:ascii="Times New Roman" w:hAnsi="Times New Roman" w:eastAsia="宋体" w:cs="Times New Roman"/>
          <w:sz w:val="24"/>
          <w:szCs w:val="24"/>
        </w:rPr>
      </w:pPr>
    </w:p>
    <w:p w14:paraId="77CC2618">
      <w:pPr>
        <w:spacing w:line="360" w:lineRule="auto"/>
        <w:ind w:firstLine="480" w:firstLineChars="200"/>
        <w:rPr>
          <w:rFonts w:ascii="Times New Roman" w:hAnsi="Times New Roman" w:eastAsia="宋体" w:cs="Times New Roman"/>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857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41F17B5F">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10E0042F">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0313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6E8E87B">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49B232AB">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0893D167">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208E6562">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1F2490E1">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30965CDD">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014F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D4AA780">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0470DA81">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0C5870AD">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0898F0F0">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6A73A5FD">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51B3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DF6CC29">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7FE5EFA6">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6944D897">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38822761">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6464C976">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662088B4">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367C9031">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369FD491">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3A0D9838">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4E4F852F">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1B7279F5">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7E59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81E4D4E">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76C68B0D">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346C9E83">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4124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1248F1F">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05711624">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44A8D6FA">
            <w:pPr>
              <w:rPr>
                <w:rFonts w:ascii="Times New Roman" w:hAnsi="Times New Roman" w:eastAsia="宋体" w:cs="Times New Roman"/>
                <w:szCs w:val="24"/>
              </w:rPr>
            </w:pPr>
            <w:r>
              <w:rPr>
                <w:rFonts w:ascii="Times New Roman" w:hAnsi="Times New Roman" w:eastAsia="宋体" w:cs="Times New Roman"/>
                <w:szCs w:val="24"/>
              </w:rPr>
              <w:t>本课程考核的方式：考试。考试试卷采取抽卷形式，统一安排监考。总评成绩的评定见课程评分方案。有下列情况之一者，总评成绩为不及格：</w:t>
            </w:r>
          </w:p>
          <w:p w14:paraId="0F1D0288">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4B509A0B">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2E4BBD01">
            <w:pPr>
              <w:rPr>
                <w:rFonts w:ascii="Times New Roman" w:hAnsi="Times New Roman" w:eastAsia="宋体" w:cs="Times New Roman"/>
                <w:szCs w:val="21"/>
              </w:rPr>
            </w:pPr>
          </w:p>
        </w:tc>
      </w:tr>
    </w:tbl>
    <w:p w14:paraId="4798E7B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4AAD0E6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6A48363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8"/>
        <w:gridCol w:w="1022"/>
        <w:gridCol w:w="3972"/>
        <w:gridCol w:w="1408"/>
      </w:tblGrid>
      <w:tr w14:paraId="4679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0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191CD2D">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58" w:type="dxa"/>
            <w:tcBorders>
              <w:top w:val="single" w:color="auto" w:sz="4" w:space="0"/>
              <w:left w:val="single" w:color="auto" w:sz="4" w:space="0"/>
              <w:bottom w:val="single" w:color="auto" w:sz="4" w:space="0"/>
              <w:right w:val="single" w:color="auto" w:sz="4" w:space="0"/>
            </w:tcBorders>
            <w:shd w:val="clear" w:color="auto" w:fill="FFFFFF"/>
            <w:vAlign w:val="center"/>
          </w:tcPr>
          <w:p w14:paraId="3D78253A">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1022" w:type="dxa"/>
            <w:tcBorders>
              <w:top w:val="single" w:color="auto" w:sz="4" w:space="0"/>
              <w:left w:val="single" w:color="auto" w:sz="4" w:space="0"/>
              <w:bottom w:val="single" w:color="auto" w:sz="4" w:space="0"/>
              <w:right w:val="single" w:color="auto" w:sz="4" w:space="0"/>
            </w:tcBorders>
            <w:shd w:val="clear" w:color="auto" w:fill="FFFFFF"/>
            <w:vAlign w:val="center"/>
          </w:tcPr>
          <w:p w14:paraId="288D1FDF">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3972" w:type="dxa"/>
            <w:tcBorders>
              <w:top w:val="single" w:color="auto" w:sz="4" w:space="0"/>
              <w:left w:val="single" w:color="auto" w:sz="4" w:space="0"/>
              <w:bottom w:val="single" w:color="auto" w:sz="4" w:space="0"/>
              <w:right w:val="single" w:color="auto" w:sz="4" w:space="0"/>
            </w:tcBorders>
            <w:shd w:val="clear" w:color="auto" w:fill="FFFFFF"/>
            <w:vAlign w:val="center"/>
          </w:tcPr>
          <w:p w14:paraId="738722C3">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08" w:type="dxa"/>
            <w:tcBorders>
              <w:top w:val="single" w:color="auto" w:sz="4" w:space="0"/>
              <w:left w:val="single" w:color="auto" w:sz="4" w:space="0"/>
              <w:bottom w:val="single" w:color="auto" w:sz="4" w:space="0"/>
              <w:right w:val="single" w:color="auto" w:sz="4" w:space="0"/>
            </w:tcBorders>
            <w:shd w:val="clear" w:color="auto" w:fill="FFFFFF"/>
            <w:vAlign w:val="center"/>
          </w:tcPr>
          <w:p w14:paraId="2AB7FD9F">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57DE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00" w:type="dxa"/>
            <w:vMerge w:val="restart"/>
            <w:tcBorders>
              <w:top w:val="single" w:color="auto" w:sz="4" w:space="0"/>
              <w:left w:val="single" w:color="auto" w:sz="4" w:space="0"/>
              <w:right w:val="single" w:color="auto" w:sz="4" w:space="0"/>
            </w:tcBorders>
            <w:tcMar>
              <w:left w:w="57" w:type="dxa"/>
              <w:right w:w="57" w:type="dxa"/>
            </w:tcMar>
            <w:vAlign w:val="center"/>
          </w:tcPr>
          <w:p w14:paraId="4D48AAB9">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6C855174">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58" w:type="dxa"/>
            <w:tcBorders>
              <w:top w:val="single" w:color="auto" w:sz="4" w:space="0"/>
              <w:left w:val="single" w:color="auto" w:sz="4" w:space="0"/>
              <w:bottom w:val="single" w:color="auto" w:sz="4" w:space="0"/>
              <w:right w:val="single" w:color="auto" w:sz="4" w:space="0"/>
            </w:tcBorders>
            <w:vAlign w:val="center"/>
          </w:tcPr>
          <w:p w14:paraId="6FB85475">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1022" w:type="dxa"/>
            <w:tcBorders>
              <w:top w:val="single" w:color="auto" w:sz="4" w:space="0"/>
              <w:left w:val="single" w:color="auto" w:sz="4" w:space="0"/>
              <w:bottom w:val="single" w:color="auto" w:sz="4" w:space="0"/>
              <w:right w:val="single" w:color="auto" w:sz="4" w:space="0"/>
            </w:tcBorders>
            <w:vAlign w:val="center"/>
          </w:tcPr>
          <w:p w14:paraId="62744FFB">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3972" w:type="dxa"/>
            <w:tcBorders>
              <w:top w:val="single" w:color="auto" w:sz="4" w:space="0"/>
              <w:left w:val="single" w:color="auto" w:sz="4" w:space="0"/>
              <w:bottom w:val="single" w:color="auto" w:sz="4" w:space="0"/>
              <w:right w:val="single" w:color="auto" w:sz="4" w:space="0"/>
            </w:tcBorders>
            <w:vAlign w:val="center"/>
          </w:tcPr>
          <w:p w14:paraId="3D873747">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08" w:type="dxa"/>
            <w:tcBorders>
              <w:top w:val="single" w:color="auto" w:sz="4" w:space="0"/>
              <w:left w:val="single" w:color="auto" w:sz="4" w:space="0"/>
              <w:right w:val="single" w:color="auto" w:sz="4" w:space="0"/>
            </w:tcBorders>
            <w:vAlign w:val="center"/>
          </w:tcPr>
          <w:p w14:paraId="74E94C89">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2ADC2D4F">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01A2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00" w:type="dxa"/>
            <w:vMerge w:val="continue"/>
            <w:tcBorders>
              <w:left w:val="single" w:color="auto" w:sz="4" w:space="0"/>
              <w:right w:val="single" w:color="auto" w:sz="4" w:space="0"/>
            </w:tcBorders>
            <w:tcMar>
              <w:left w:w="57" w:type="dxa"/>
              <w:right w:w="57" w:type="dxa"/>
            </w:tcMar>
            <w:vAlign w:val="center"/>
          </w:tcPr>
          <w:p w14:paraId="4FC889D6">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7D5A9A6F">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1022" w:type="dxa"/>
            <w:tcBorders>
              <w:top w:val="single" w:color="auto" w:sz="4" w:space="0"/>
              <w:left w:val="single" w:color="auto" w:sz="4" w:space="0"/>
              <w:bottom w:val="single" w:color="auto" w:sz="4" w:space="0"/>
              <w:right w:val="single" w:color="auto" w:sz="4" w:space="0"/>
            </w:tcBorders>
            <w:vAlign w:val="center"/>
          </w:tcPr>
          <w:p w14:paraId="7D953652">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3972" w:type="dxa"/>
            <w:tcBorders>
              <w:top w:val="single" w:color="auto" w:sz="4" w:space="0"/>
              <w:left w:val="single" w:color="auto" w:sz="4" w:space="0"/>
              <w:bottom w:val="single" w:color="auto" w:sz="4" w:space="0"/>
              <w:right w:val="single" w:color="auto" w:sz="4" w:space="0"/>
            </w:tcBorders>
            <w:vAlign w:val="center"/>
          </w:tcPr>
          <w:p w14:paraId="31E81DDC">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08" w:type="dxa"/>
            <w:tcBorders>
              <w:left w:val="single" w:color="auto" w:sz="4" w:space="0"/>
              <w:right w:val="single" w:color="auto" w:sz="4" w:space="0"/>
            </w:tcBorders>
            <w:vAlign w:val="center"/>
          </w:tcPr>
          <w:p w14:paraId="1DA9A1E4">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7B309461">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0B8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0" w:type="dxa"/>
            <w:vMerge w:val="continue"/>
            <w:tcBorders>
              <w:left w:val="single" w:color="auto" w:sz="4" w:space="0"/>
              <w:bottom w:val="single" w:color="auto" w:sz="4" w:space="0"/>
              <w:right w:val="single" w:color="auto" w:sz="4" w:space="0"/>
            </w:tcBorders>
            <w:tcMar>
              <w:left w:w="57" w:type="dxa"/>
              <w:right w:w="57" w:type="dxa"/>
            </w:tcMar>
            <w:vAlign w:val="center"/>
          </w:tcPr>
          <w:p w14:paraId="46BC515F">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0EDEA508">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1022" w:type="dxa"/>
            <w:tcBorders>
              <w:top w:val="single" w:color="auto" w:sz="4" w:space="0"/>
              <w:left w:val="single" w:color="auto" w:sz="4" w:space="0"/>
              <w:bottom w:val="single" w:color="auto" w:sz="4" w:space="0"/>
              <w:right w:val="single" w:color="auto" w:sz="4" w:space="0"/>
            </w:tcBorders>
            <w:vAlign w:val="center"/>
          </w:tcPr>
          <w:p w14:paraId="5F67A1AF">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3972" w:type="dxa"/>
            <w:tcBorders>
              <w:top w:val="single" w:color="auto" w:sz="4" w:space="0"/>
              <w:left w:val="single" w:color="auto" w:sz="4" w:space="0"/>
              <w:bottom w:val="single" w:color="auto" w:sz="4" w:space="0"/>
              <w:right w:val="single" w:color="auto" w:sz="4" w:space="0"/>
            </w:tcBorders>
            <w:vAlign w:val="center"/>
          </w:tcPr>
          <w:p w14:paraId="446585A5">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08" w:type="dxa"/>
            <w:tcBorders>
              <w:left w:val="single" w:color="auto" w:sz="4" w:space="0"/>
              <w:bottom w:val="single" w:color="auto" w:sz="4" w:space="0"/>
              <w:right w:val="single" w:color="auto" w:sz="4" w:space="0"/>
            </w:tcBorders>
            <w:vAlign w:val="center"/>
          </w:tcPr>
          <w:p w14:paraId="54F3696E">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11099483">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CBB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0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59EA3DA">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58" w:type="dxa"/>
            <w:tcBorders>
              <w:top w:val="single" w:color="auto" w:sz="4" w:space="0"/>
              <w:left w:val="single" w:color="auto" w:sz="4" w:space="0"/>
              <w:bottom w:val="single" w:color="auto" w:sz="4" w:space="0"/>
              <w:right w:val="single" w:color="auto" w:sz="4" w:space="0"/>
            </w:tcBorders>
            <w:vAlign w:val="center"/>
          </w:tcPr>
          <w:p w14:paraId="2876E4DE">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1022" w:type="dxa"/>
            <w:tcBorders>
              <w:top w:val="single" w:color="auto" w:sz="4" w:space="0"/>
              <w:left w:val="single" w:color="auto" w:sz="4" w:space="0"/>
              <w:bottom w:val="single" w:color="auto" w:sz="4" w:space="0"/>
              <w:right w:val="single" w:color="auto" w:sz="4" w:space="0"/>
            </w:tcBorders>
            <w:vAlign w:val="center"/>
          </w:tcPr>
          <w:p w14:paraId="00EA071E">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3972" w:type="dxa"/>
            <w:tcBorders>
              <w:top w:val="single" w:color="auto" w:sz="4" w:space="0"/>
              <w:left w:val="single" w:color="auto" w:sz="4" w:space="0"/>
              <w:bottom w:val="single" w:color="auto" w:sz="4" w:space="0"/>
              <w:right w:val="single" w:color="auto" w:sz="4" w:space="0"/>
            </w:tcBorders>
            <w:vAlign w:val="center"/>
          </w:tcPr>
          <w:p w14:paraId="57DEE598">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408" w:type="dxa"/>
            <w:tcBorders>
              <w:top w:val="single" w:color="auto" w:sz="4" w:space="0"/>
              <w:left w:val="single" w:color="auto" w:sz="4" w:space="0"/>
              <w:bottom w:val="single" w:color="auto" w:sz="4" w:space="0"/>
              <w:right w:val="single" w:color="auto" w:sz="4" w:space="0"/>
            </w:tcBorders>
            <w:vAlign w:val="center"/>
          </w:tcPr>
          <w:p w14:paraId="01920BEB">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708D039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0D15F1B4">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63C2BF7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1A29FAC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59B1AF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5B668609">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6D0685D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1.宋立新 概率论与数理统计       北京：人民教育出版社</w:t>
      </w:r>
    </w:p>
    <w:p w14:paraId="4702AF3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2.盛骤等 概率论与数理统计       北京：浙江大学出版社</w:t>
      </w:r>
    </w:p>
    <w:p w14:paraId="48FBF552">
      <w:pPr>
        <w:autoSpaceDE w:val="0"/>
        <w:autoSpaceDN w:val="0"/>
        <w:adjustRightInd w:val="0"/>
        <w:spacing w:line="360" w:lineRule="auto"/>
        <w:ind w:firstLine="5280" w:firstLineChars="2200"/>
        <w:jc w:val="both"/>
        <w:rPr>
          <w:rFonts w:hint="eastAsia" w:ascii="Times New Roman" w:hAnsi="Times New Roman" w:eastAsia="宋体" w:cs="Times New Roman"/>
          <w:kern w:val="0"/>
          <w:sz w:val="24"/>
          <w:szCs w:val="21"/>
          <w:lang w:val="en-US" w:eastAsia="zh-CN"/>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执笔人：胡学</w:t>
      </w:r>
      <w:r>
        <w:rPr>
          <w:rFonts w:hint="eastAsia" w:ascii="Times New Roman" w:hAnsi="Times New Roman" w:eastAsia="宋体" w:cs="Times New Roman"/>
          <w:kern w:val="0"/>
          <w:sz w:val="24"/>
          <w:szCs w:val="21"/>
          <w:lang w:val="en-US" w:eastAsia="zh-CN"/>
        </w:rPr>
        <w:t xml:space="preserve"> </w:t>
      </w:r>
    </w:p>
    <w:p w14:paraId="57626A03">
      <w:pPr>
        <w:autoSpaceDE w:val="0"/>
        <w:autoSpaceDN w:val="0"/>
        <w:adjustRightInd w:val="0"/>
        <w:spacing w:line="360" w:lineRule="auto"/>
        <w:ind w:firstLine="480" w:firstLineChars="200"/>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057A6D03">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审批人：王献东</w:t>
      </w:r>
    </w:p>
    <w:p w14:paraId="45845908">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批准时间：202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w:t>
      </w:r>
    </w:p>
    <w:p w14:paraId="2E42A3C2">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3D7924C7">
      <w:pPr>
        <w:spacing w:line="312" w:lineRule="auto"/>
        <w:jc w:val="center"/>
        <w:outlineLvl w:val="0"/>
        <w:rPr>
          <w:rFonts w:ascii="Times New Roman" w:hAnsi="Times New Roman" w:eastAsia="宋体" w:cs="Times New Roman"/>
          <w:b/>
          <w:bCs/>
          <w:sz w:val="30"/>
          <w:szCs w:val="24"/>
        </w:rPr>
      </w:pPr>
      <w:bookmarkStart w:id="224" w:name="_Toc166165213"/>
      <w:r>
        <w:rPr>
          <w:rFonts w:ascii="Times New Roman" w:hAnsi="Times New Roman" w:eastAsia="宋体" w:cs="Times New Roman"/>
          <w:b/>
          <w:bCs/>
          <w:sz w:val="30"/>
          <w:szCs w:val="24"/>
        </w:rPr>
        <w:t>初等数论课程教学大纲</w:t>
      </w:r>
      <w:bookmarkEnd w:id="224"/>
    </w:p>
    <w:p w14:paraId="0B27D733">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（Elementary Number Theory）</w:t>
      </w:r>
    </w:p>
    <w:p w14:paraId="19B90C86">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154E514D">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0821014</w:t>
      </w:r>
    </w:p>
    <w:p w14:paraId="3D7860A4">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3</w:t>
      </w:r>
    </w:p>
    <w:p w14:paraId="5BFC0AAB">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48（其中：讲授学时48  ， 实验学时0  ，上机学时0）</w:t>
      </w:r>
    </w:p>
    <w:p w14:paraId="77E490C2">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数学分析、空间解析几何等</w:t>
      </w:r>
    </w:p>
    <w:p w14:paraId="32CD22B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62C4638E">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《初等数论》，</w:t>
      </w:r>
      <w:r>
        <w:rPr>
          <w:rFonts w:ascii="Times New Roman" w:hAnsi="Times New Roman" w:eastAsia="宋体" w:cs="Times New Roman"/>
          <w:sz w:val="24"/>
          <w:szCs w:val="24"/>
        </w:rPr>
        <w:t>王进明</w:t>
      </w:r>
      <w:r>
        <w:rPr>
          <w:rFonts w:ascii="Times New Roman" w:hAnsi="Times New Roman" w:eastAsia="宋体" w:cs="Times New Roman"/>
          <w:kern w:val="0"/>
          <w:sz w:val="24"/>
          <w:szCs w:val="24"/>
        </w:rPr>
        <w:t>，人民教育出版社，2008.5</w:t>
      </w:r>
    </w:p>
    <w:p w14:paraId="678791F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0CE50C4E">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初等数论的基本知识、必要的基础理论和常用的运算方法；提高学生的运算能力、随机数学思维能力、逻辑推理能力；并能运用数学知识、理论、方法解决相关的实际应用问题；提高学生的数学素养，为学生学习后续相关课程及终身学习奠定必要的数学基础。</w:t>
      </w:r>
    </w:p>
    <w:p w14:paraId="2DABA97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22BCEF96">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39A5BDA5">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0FA1A363">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09EBE62F">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7B9C19A8">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7E95D95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24" w:type="dxa"/>
        <w:tblInd w:w="93" w:type="dxa"/>
        <w:tblLayout w:type="fixed"/>
        <w:tblCellMar>
          <w:top w:w="0" w:type="dxa"/>
          <w:left w:w="108" w:type="dxa"/>
          <w:bottom w:w="0" w:type="dxa"/>
          <w:right w:w="108" w:type="dxa"/>
        </w:tblCellMar>
      </w:tblPr>
      <w:tblGrid>
        <w:gridCol w:w="1689"/>
        <w:gridCol w:w="941"/>
        <w:gridCol w:w="941"/>
        <w:gridCol w:w="941"/>
        <w:gridCol w:w="941"/>
        <w:gridCol w:w="941"/>
        <w:gridCol w:w="941"/>
        <w:gridCol w:w="941"/>
        <w:gridCol w:w="941"/>
        <w:gridCol w:w="7"/>
      </w:tblGrid>
      <w:tr w14:paraId="551310F8">
        <w:tblPrEx>
          <w:tblCellMar>
            <w:top w:w="0" w:type="dxa"/>
            <w:left w:w="108" w:type="dxa"/>
            <w:bottom w:w="0" w:type="dxa"/>
            <w:right w:w="108" w:type="dxa"/>
          </w:tblCellMar>
        </w:tblPrEx>
        <w:trPr>
          <w:trHeight w:val="411" w:hRule="atLeast"/>
        </w:trPr>
        <w:tc>
          <w:tcPr>
            <w:tcW w:w="168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89A5D6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35DE315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35" w:type="dxa"/>
            <w:gridSpan w:val="9"/>
            <w:tcBorders>
              <w:top w:val="single" w:color="auto" w:sz="4" w:space="0"/>
              <w:left w:val="nil"/>
              <w:bottom w:val="single" w:color="auto" w:sz="4" w:space="0"/>
              <w:right w:val="single" w:color="auto" w:sz="4" w:space="0"/>
            </w:tcBorders>
            <w:shd w:val="clear" w:color="auto" w:fill="FFFFFF"/>
            <w:vAlign w:val="center"/>
          </w:tcPr>
          <w:p w14:paraId="35FBD93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1C3B2F2B">
        <w:tblPrEx>
          <w:tblCellMar>
            <w:top w:w="0" w:type="dxa"/>
            <w:left w:w="108" w:type="dxa"/>
            <w:bottom w:w="0" w:type="dxa"/>
            <w:right w:w="108" w:type="dxa"/>
          </w:tblCellMar>
        </w:tblPrEx>
        <w:trPr>
          <w:gridAfter w:val="1"/>
          <w:wAfter w:w="7" w:type="dxa"/>
          <w:trHeight w:val="392" w:hRule="atLeast"/>
        </w:trPr>
        <w:tc>
          <w:tcPr>
            <w:tcW w:w="168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1E5EC53">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shd w:val="clear" w:color="auto" w:fill="FFFFFF"/>
            <w:vAlign w:val="center"/>
          </w:tcPr>
          <w:p w14:paraId="2A09B5F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1" w:type="dxa"/>
            <w:tcBorders>
              <w:top w:val="nil"/>
              <w:left w:val="nil"/>
              <w:bottom w:val="single" w:color="auto" w:sz="4" w:space="0"/>
              <w:right w:val="single" w:color="auto" w:sz="4" w:space="0"/>
            </w:tcBorders>
            <w:shd w:val="clear" w:color="auto" w:fill="FFFFFF"/>
            <w:vAlign w:val="center"/>
          </w:tcPr>
          <w:p w14:paraId="7A1DF3D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1" w:type="dxa"/>
            <w:tcBorders>
              <w:top w:val="nil"/>
              <w:left w:val="nil"/>
              <w:bottom w:val="single" w:color="auto" w:sz="4" w:space="0"/>
              <w:right w:val="single" w:color="auto" w:sz="4" w:space="0"/>
            </w:tcBorders>
            <w:shd w:val="clear" w:color="auto" w:fill="FFFFFF"/>
            <w:vAlign w:val="center"/>
          </w:tcPr>
          <w:p w14:paraId="7F55D88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1" w:type="dxa"/>
            <w:tcBorders>
              <w:top w:val="nil"/>
              <w:left w:val="nil"/>
              <w:bottom w:val="single" w:color="auto" w:sz="4" w:space="0"/>
              <w:right w:val="single" w:color="auto" w:sz="4" w:space="0"/>
            </w:tcBorders>
            <w:shd w:val="clear" w:color="auto" w:fill="FFFFFF"/>
            <w:vAlign w:val="center"/>
          </w:tcPr>
          <w:p w14:paraId="438DFFC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1" w:type="dxa"/>
            <w:tcBorders>
              <w:top w:val="nil"/>
              <w:left w:val="nil"/>
              <w:bottom w:val="single" w:color="auto" w:sz="4" w:space="0"/>
              <w:right w:val="single" w:color="auto" w:sz="4" w:space="0"/>
            </w:tcBorders>
            <w:shd w:val="clear" w:color="auto" w:fill="FFFFFF"/>
            <w:vAlign w:val="center"/>
          </w:tcPr>
          <w:p w14:paraId="298CB00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1" w:type="dxa"/>
            <w:tcBorders>
              <w:top w:val="nil"/>
              <w:left w:val="nil"/>
              <w:bottom w:val="single" w:color="auto" w:sz="4" w:space="0"/>
              <w:right w:val="single" w:color="auto" w:sz="4" w:space="0"/>
            </w:tcBorders>
            <w:shd w:val="clear" w:color="auto" w:fill="FFFFFF"/>
            <w:vAlign w:val="center"/>
          </w:tcPr>
          <w:p w14:paraId="7C42F742">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shd w:val="clear" w:color="auto" w:fill="FFFFFF"/>
            <w:vAlign w:val="center"/>
          </w:tcPr>
          <w:p w14:paraId="29E1CE30">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shd w:val="clear" w:color="auto" w:fill="FFFFFF"/>
            <w:vAlign w:val="center"/>
          </w:tcPr>
          <w:p w14:paraId="554B7088">
            <w:pPr>
              <w:widowControl/>
              <w:jc w:val="center"/>
              <w:rPr>
                <w:rFonts w:ascii="Times New Roman" w:hAnsi="Times New Roman" w:eastAsia="宋体" w:cs="Times New Roman"/>
                <w:kern w:val="0"/>
                <w:szCs w:val="21"/>
              </w:rPr>
            </w:pPr>
          </w:p>
        </w:tc>
      </w:tr>
      <w:tr w14:paraId="561FF748">
        <w:tblPrEx>
          <w:tblCellMar>
            <w:top w:w="0" w:type="dxa"/>
            <w:left w:w="108" w:type="dxa"/>
            <w:bottom w:w="0" w:type="dxa"/>
            <w:right w:w="108" w:type="dxa"/>
          </w:tblCellMar>
        </w:tblPrEx>
        <w:trPr>
          <w:gridAfter w:val="1"/>
          <w:wAfter w:w="7" w:type="dxa"/>
          <w:trHeight w:val="384" w:hRule="atLeast"/>
        </w:trPr>
        <w:tc>
          <w:tcPr>
            <w:tcW w:w="1689" w:type="dxa"/>
            <w:tcBorders>
              <w:top w:val="nil"/>
              <w:left w:val="single" w:color="auto" w:sz="4" w:space="0"/>
              <w:bottom w:val="single" w:color="auto" w:sz="4" w:space="0"/>
              <w:right w:val="single" w:color="auto" w:sz="4" w:space="0"/>
            </w:tcBorders>
            <w:vAlign w:val="center"/>
          </w:tcPr>
          <w:p w14:paraId="2A7B0F3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1" w:type="dxa"/>
            <w:tcBorders>
              <w:top w:val="nil"/>
              <w:left w:val="nil"/>
              <w:bottom w:val="single" w:color="auto" w:sz="4" w:space="0"/>
              <w:right w:val="single" w:color="auto" w:sz="4" w:space="0"/>
            </w:tcBorders>
            <w:vAlign w:val="center"/>
          </w:tcPr>
          <w:p w14:paraId="1C8F4329">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0E3FEBFC">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6B5D5A2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7227F7A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7E3F133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0123BBFD">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624943D5">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1E3AB1E0">
            <w:pPr>
              <w:widowControl/>
              <w:jc w:val="center"/>
              <w:rPr>
                <w:rFonts w:ascii="Times New Roman" w:hAnsi="Times New Roman" w:eastAsia="宋体" w:cs="Times New Roman"/>
                <w:kern w:val="0"/>
                <w:szCs w:val="21"/>
              </w:rPr>
            </w:pPr>
          </w:p>
        </w:tc>
      </w:tr>
      <w:tr w14:paraId="1E9F9592">
        <w:tblPrEx>
          <w:tblCellMar>
            <w:top w:w="0" w:type="dxa"/>
            <w:left w:w="108" w:type="dxa"/>
            <w:bottom w:w="0" w:type="dxa"/>
            <w:right w:w="108" w:type="dxa"/>
          </w:tblCellMar>
        </w:tblPrEx>
        <w:trPr>
          <w:gridAfter w:val="1"/>
          <w:wAfter w:w="7" w:type="dxa"/>
          <w:trHeight w:val="384" w:hRule="atLeast"/>
        </w:trPr>
        <w:tc>
          <w:tcPr>
            <w:tcW w:w="1689" w:type="dxa"/>
            <w:tcBorders>
              <w:top w:val="nil"/>
              <w:left w:val="single" w:color="auto" w:sz="4" w:space="0"/>
              <w:bottom w:val="single" w:color="auto" w:sz="4" w:space="0"/>
              <w:right w:val="single" w:color="auto" w:sz="4" w:space="0"/>
            </w:tcBorders>
            <w:vAlign w:val="center"/>
          </w:tcPr>
          <w:p w14:paraId="0C86C65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1" w:type="dxa"/>
            <w:tcBorders>
              <w:top w:val="nil"/>
              <w:left w:val="nil"/>
              <w:bottom w:val="single" w:color="auto" w:sz="4" w:space="0"/>
              <w:right w:val="single" w:color="auto" w:sz="4" w:space="0"/>
            </w:tcBorders>
            <w:vAlign w:val="center"/>
          </w:tcPr>
          <w:p w14:paraId="0F8FE7C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1827A64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1454FD7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584C6D6C">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6BCC9CC8">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39F7A6A9">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63C69539">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5439D3F7">
            <w:pPr>
              <w:widowControl/>
              <w:jc w:val="center"/>
              <w:rPr>
                <w:rFonts w:ascii="Times New Roman" w:hAnsi="Times New Roman" w:eastAsia="宋体" w:cs="Times New Roman"/>
                <w:kern w:val="0"/>
                <w:szCs w:val="21"/>
              </w:rPr>
            </w:pPr>
          </w:p>
        </w:tc>
      </w:tr>
      <w:tr w14:paraId="0319F177">
        <w:trPr>
          <w:gridAfter w:val="1"/>
          <w:wAfter w:w="7" w:type="dxa"/>
          <w:trHeight w:val="375" w:hRule="atLeast"/>
        </w:trPr>
        <w:tc>
          <w:tcPr>
            <w:tcW w:w="1689" w:type="dxa"/>
            <w:tcBorders>
              <w:top w:val="nil"/>
              <w:left w:val="single" w:color="auto" w:sz="4" w:space="0"/>
              <w:bottom w:val="single" w:color="auto" w:sz="4" w:space="0"/>
              <w:right w:val="single" w:color="auto" w:sz="4" w:space="0"/>
            </w:tcBorders>
            <w:vAlign w:val="center"/>
          </w:tcPr>
          <w:p w14:paraId="282D68A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1" w:type="dxa"/>
            <w:tcBorders>
              <w:top w:val="nil"/>
              <w:left w:val="nil"/>
              <w:bottom w:val="single" w:color="auto" w:sz="4" w:space="0"/>
              <w:right w:val="single" w:color="auto" w:sz="4" w:space="0"/>
            </w:tcBorders>
            <w:vAlign w:val="center"/>
          </w:tcPr>
          <w:p w14:paraId="1AA8E9CD">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37B0DCA7">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51B05CF7">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3CC72795">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5583DEB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1" w:type="dxa"/>
            <w:tcBorders>
              <w:top w:val="nil"/>
              <w:left w:val="nil"/>
              <w:bottom w:val="single" w:color="auto" w:sz="4" w:space="0"/>
              <w:right w:val="single" w:color="auto" w:sz="4" w:space="0"/>
            </w:tcBorders>
            <w:vAlign w:val="center"/>
          </w:tcPr>
          <w:p w14:paraId="3E26CD66">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3FAA89D3">
            <w:pPr>
              <w:widowControl/>
              <w:jc w:val="center"/>
              <w:rPr>
                <w:rFonts w:ascii="Times New Roman" w:hAnsi="Times New Roman" w:eastAsia="宋体" w:cs="Times New Roman"/>
                <w:kern w:val="0"/>
                <w:szCs w:val="21"/>
              </w:rPr>
            </w:pPr>
          </w:p>
        </w:tc>
        <w:tc>
          <w:tcPr>
            <w:tcW w:w="941" w:type="dxa"/>
            <w:tcBorders>
              <w:top w:val="nil"/>
              <w:left w:val="nil"/>
              <w:bottom w:val="single" w:color="auto" w:sz="4" w:space="0"/>
              <w:right w:val="single" w:color="auto" w:sz="4" w:space="0"/>
            </w:tcBorders>
            <w:vAlign w:val="center"/>
          </w:tcPr>
          <w:p w14:paraId="51897210">
            <w:pPr>
              <w:widowControl/>
              <w:jc w:val="center"/>
              <w:rPr>
                <w:rFonts w:ascii="Times New Roman" w:hAnsi="Times New Roman" w:eastAsia="宋体" w:cs="Times New Roman"/>
                <w:kern w:val="0"/>
                <w:szCs w:val="21"/>
              </w:rPr>
            </w:pPr>
          </w:p>
        </w:tc>
      </w:tr>
    </w:tbl>
    <w:p w14:paraId="22F9F40C">
      <w:pPr>
        <w:spacing w:line="360" w:lineRule="auto"/>
        <w:ind w:firstLine="562" w:firstLineChars="200"/>
        <w:rPr>
          <w:rFonts w:ascii="Times New Roman" w:hAnsi="Times New Roman" w:eastAsia="宋体" w:cs="Times New Roman"/>
          <w:b/>
          <w:sz w:val="28"/>
          <w:szCs w:val="28"/>
        </w:rPr>
      </w:pPr>
    </w:p>
    <w:p w14:paraId="30D3167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657B546D">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（一）整数的整除性</w:t>
      </w:r>
    </w:p>
    <w:p w14:paraId="66FCC2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38D9C770">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w:t>
      </w:r>
      <w:r>
        <w:rPr>
          <w:rFonts w:ascii="Times New Roman" w:hAnsi="Times New Roman" w:eastAsia="宋体" w:cs="Times New Roman"/>
          <w:sz w:val="24"/>
          <w:szCs w:val="21"/>
        </w:rPr>
        <w:t>理解</w:t>
      </w:r>
      <w:r>
        <w:rPr>
          <w:rFonts w:ascii="Times New Roman" w:hAnsi="Times New Roman" w:eastAsia="宋体" w:cs="Times New Roman"/>
          <w:sz w:val="24"/>
          <w:szCs w:val="24"/>
        </w:rPr>
        <w:t>整除的整除理论</w:t>
      </w:r>
    </w:p>
    <w:p w14:paraId="11765299">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质数与合数</w:t>
      </w:r>
    </w:p>
    <w:p w14:paraId="4B46141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w:t>
      </w:r>
      <w:r>
        <w:rPr>
          <w:rFonts w:ascii="Times New Roman" w:hAnsi="Times New Roman" w:eastAsia="宋体" w:cs="Times New Roman"/>
          <w:sz w:val="24"/>
          <w:szCs w:val="21"/>
        </w:rPr>
        <w:t>掌握</w:t>
      </w:r>
      <w:r>
        <w:rPr>
          <w:rFonts w:ascii="Times New Roman" w:hAnsi="Times New Roman" w:eastAsia="宋体" w:cs="Times New Roman"/>
          <w:sz w:val="24"/>
          <w:szCs w:val="24"/>
        </w:rPr>
        <w:t>最大公约数与最小公倍数</w:t>
      </w:r>
    </w:p>
    <w:p w14:paraId="090FECB5">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（4）能够</w:t>
      </w:r>
      <w:r>
        <w:rPr>
          <w:rFonts w:ascii="Times New Roman" w:hAnsi="Times New Roman" w:eastAsia="宋体" w:cs="Times New Roman"/>
          <w:sz w:val="24"/>
          <w:szCs w:val="21"/>
        </w:rPr>
        <w:t>理解</w:t>
      </w:r>
      <w:r>
        <w:rPr>
          <w:rFonts w:ascii="Times New Roman" w:hAnsi="Times New Roman" w:eastAsia="宋体" w:cs="Times New Roman"/>
          <w:sz w:val="24"/>
          <w:szCs w:val="24"/>
        </w:rPr>
        <w:t>算术基本定理</w:t>
      </w:r>
    </w:p>
    <w:p w14:paraId="45376175">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（5）能够</w:t>
      </w:r>
      <w:r>
        <w:rPr>
          <w:rFonts w:ascii="Times New Roman" w:hAnsi="Times New Roman" w:eastAsia="宋体" w:cs="Times New Roman"/>
          <w:sz w:val="24"/>
          <w:szCs w:val="21"/>
        </w:rPr>
        <w:t>掌握</w:t>
      </w:r>
      <w:r>
        <w:rPr>
          <w:rFonts w:ascii="Times New Roman" w:hAnsi="Times New Roman" w:eastAsia="宋体" w:cs="Times New Roman"/>
          <w:sz w:val="24"/>
          <w:szCs w:val="24"/>
        </w:rPr>
        <w:t>数的进位制</w:t>
      </w:r>
    </w:p>
    <w:p w14:paraId="2FF68858">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（6）能够</w:t>
      </w:r>
      <w:r>
        <w:rPr>
          <w:rFonts w:ascii="Times New Roman" w:hAnsi="Times New Roman" w:eastAsia="宋体" w:cs="Times New Roman"/>
          <w:sz w:val="24"/>
          <w:szCs w:val="21"/>
        </w:rPr>
        <w:t>掌握</w:t>
      </w:r>
      <w:r>
        <w:rPr>
          <w:rFonts w:ascii="Times New Roman" w:hAnsi="Times New Roman" w:eastAsia="宋体" w:cs="Times New Roman"/>
          <w:sz w:val="24"/>
          <w:szCs w:val="24"/>
        </w:rPr>
        <w:t>高斯函数</w:t>
      </w:r>
    </w:p>
    <w:p w14:paraId="447336F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4C9BC85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最大公约数和算数基本定理，高斯函数</w:t>
      </w:r>
      <w:r>
        <w:rPr>
          <w:rFonts w:ascii="Times New Roman" w:hAnsi="Times New Roman" w:eastAsia="宋体" w:cs="Times New Roman"/>
          <w:sz w:val="24"/>
          <w:szCs w:val="21"/>
        </w:rPr>
        <w:t>。</w:t>
      </w:r>
    </w:p>
    <w:p w14:paraId="6275684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F4FA70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70BD3CB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69B59E0">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（二）同余与同余方程</w:t>
      </w:r>
    </w:p>
    <w:p w14:paraId="6F1D1E8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4C612D3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同余的概念与性质</w:t>
      </w:r>
    </w:p>
    <w:p w14:paraId="6101068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剩余类与剩余系</w:t>
      </w:r>
    </w:p>
    <w:p w14:paraId="364DFAC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欧拉定理</w:t>
      </w:r>
    </w:p>
    <w:p w14:paraId="1CBA5C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循环小数</w:t>
      </w:r>
    </w:p>
    <w:p w14:paraId="0925CC7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一次同余方程（组）</w:t>
      </w:r>
    </w:p>
    <w:p w14:paraId="0FB6F23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5C9221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同余的性质，同余方程组的解法</w:t>
      </w:r>
      <w:r>
        <w:rPr>
          <w:rFonts w:ascii="Times New Roman" w:hAnsi="Times New Roman" w:eastAsia="宋体" w:cs="Times New Roman"/>
          <w:sz w:val="24"/>
          <w:szCs w:val="21"/>
        </w:rPr>
        <w:t>。</w:t>
      </w:r>
    </w:p>
    <w:p w14:paraId="7AC44CC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43A515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04E290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E30249B">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（三）不定方程</w:t>
      </w:r>
    </w:p>
    <w:p w14:paraId="2A854F5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B63682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二元一次不定方程</w:t>
      </w:r>
    </w:p>
    <w:p w14:paraId="16295A5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多元一次不定方程</w:t>
      </w:r>
    </w:p>
    <w:p w14:paraId="312AF95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一次不定方程组</w:t>
      </w:r>
    </w:p>
    <w:p w14:paraId="5FAF5CF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商高不定方程</w:t>
      </w:r>
    </w:p>
    <w:p w14:paraId="6D49936F">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1"/>
        </w:rPr>
        <w:t>（5）</w:t>
      </w:r>
      <w:r>
        <w:rPr>
          <w:rFonts w:ascii="Times New Roman" w:hAnsi="Times New Roman" w:eastAsia="宋体" w:cs="Times New Roman"/>
          <w:sz w:val="24"/>
          <w:szCs w:val="21"/>
        </w:rPr>
        <w:t>能够了解</w:t>
      </w:r>
      <w:r>
        <w:rPr>
          <w:rFonts w:ascii="Times New Roman" w:hAnsi="Times New Roman" w:eastAsia="宋体" w:cs="Times New Roman"/>
          <w:sz w:val="24"/>
          <w:szCs w:val="24"/>
        </w:rPr>
        <w:t>特殊的高次不定方程</w:t>
      </w:r>
    </w:p>
    <w:p w14:paraId="05296BD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0E3A61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二元一次不定方程，多元一次不定方程</w:t>
      </w:r>
      <w:r>
        <w:rPr>
          <w:rFonts w:ascii="Times New Roman" w:hAnsi="Times New Roman" w:eastAsia="宋体" w:cs="Times New Roman"/>
          <w:color w:val="000000"/>
          <w:sz w:val="24"/>
          <w:szCs w:val="24"/>
        </w:rPr>
        <w:t>。</w:t>
      </w:r>
    </w:p>
    <w:p w14:paraId="3E148A1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FDDC13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825A72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93C7F35">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（四）简单连分数</w:t>
      </w:r>
    </w:p>
    <w:p w14:paraId="7D85C6B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F01ADD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连分数的概念</w:t>
      </w:r>
    </w:p>
    <w:p w14:paraId="565C0FF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有限连分数与有理数</w:t>
      </w:r>
    </w:p>
    <w:p w14:paraId="343E885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渐进分数</w:t>
      </w:r>
    </w:p>
    <w:p w14:paraId="619DA36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无限连分数</w:t>
      </w:r>
    </w:p>
    <w:p w14:paraId="12729BD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循环连分数</w:t>
      </w:r>
    </w:p>
    <w:p w14:paraId="3A03EA7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无理数与无限连分数</w:t>
      </w:r>
    </w:p>
    <w:p w14:paraId="049F8DD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连分数的应用</w:t>
      </w:r>
    </w:p>
    <w:p w14:paraId="0E0153E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FEBD14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循环连分数</w:t>
      </w:r>
      <w:r>
        <w:rPr>
          <w:rFonts w:ascii="Times New Roman" w:hAnsi="Times New Roman" w:eastAsia="宋体" w:cs="Times New Roman"/>
          <w:color w:val="000000"/>
          <w:sz w:val="24"/>
          <w:szCs w:val="24"/>
        </w:rPr>
        <w:t>。</w:t>
      </w:r>
    </w:p>
    <w:p w14:paraId="5DEC0A0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7A7B61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388BA6F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1B049B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920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465"/>
        <w:gridCol w:w="1695"/>
        <w:gridCol w:w="1848"/>
        <w:gridCol w:w="732"/>
        <w:gridCol w:w="732"/>
      </w:tblGrid>
      <w:tr w14:paraId="1513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7" w:type="dxa"/>
            <w:shd w:val="clear" w:color="auto" w:fill="FFFFFF"/>
            <w:vAlign w:val="center"/>
          </w:tcPr>
          <w:p w14:paraId="30AC7D6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65" w:type="dxa"/>
            <w:shd w:val="clear" w:color="auto" w:fill="FFFFFF"/>
            <w:vAlign w:val="center"/>
          </w:tcPr>
          <w:p w14:paraId="71A4486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695" w:type="dxa"/>
            <w:shd w:val="clear" w:color="auto" w:fill="FFFFFF"/>
            <w:vAlign w:val="center"/>
          </w:tcPr>
          <w:p w14:paraId="78E7ABE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47" w:type="dxa"/>
            <w:shd w:val="clear" w:color="auto" w:fill="FFFFFF"/>
            <w:vAlign w:val="center"/>
          </w:tcPr>
          <w:p w14:paraId="02D0618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5F4F3BC0">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2" w:type="dxa"/>
            <w:shd w:val="clear" w:color="auto" w:fill="FFFFFF"/>
            <w:vAlign w:val="center"/>
          </w:tcPr>
          <w:p w14:paraId="2E3BC458">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2" w:type="dxa"/>
            <w:shd w:val="clear" w:color="auto" w:fill="FFFFFF"/>
            <w:vAlign w:val="center"/>
          </w:tcPr>
          <w:p w14:paraId="1E5F4FC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044A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37" w:type="dxa"/>
            <w:vAlign w:val="center"/>
          </w:tcPr>
          <w:p w14:paraId="317540C1">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65" w:type="dxa"/>
          </w:tcPr>
          <w:p w14:paraId="41BB7CF0">
            <w:pPr>
              <w:jc w:val="center"/>
              <w:rPr>
                <w:rFonts w:ascii="Times New Roman" w:hAnsi="Times New Roman" w:eastAsia="宋体" w:cs="Times New Roman"/>
                <w:szCs w:val="24"/>
              </w:rPr>
            </w:pPr>
            <w:r>
              <w:rPr>
                <w:rFonts w:ascii="Times New Roman" w:hAnsi="Times New Roman" w:eastAsia="宋体" w:cs="Times New Roman"/>
                <w:szCs w:val="24"/>
              </w:rPr>
              <w:t>整数的整除性</w:t>
            </w:r>
          </w:p>
        </w:tc>
        <w:tc>
          <w:tcPr>
            <w:tcW w:w="1695" w:type="dxa"/>
            <w:vAlign w:val="center"/>
          </w:tcPr>
          <w:p w14:paraId="246F63B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47" w:type="dxa"/>
            <w:vAlign w:val="center"/>
          </w:tcPr>
          <w:p w14:paraId="2C2CADB8">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2" w:type="dxa"/>
          </w:tcPr>
          <w:p w14:paraId="173FE78D">
            <w:pPr>
              <w:jc w:val="center"/>
              <w:rPr>
                <w:rFonts w:ascii="Times New Roman" w:hAnsi="Times New Roman" w:eastAsia="宋体" w:cs="Times New Roman"/>
                <w:szCs w:val="24"/>
              </w:rPr>
            </w:pPr>
            <w:r>
              <w:rPr>
                <w:rFonts w:ascii="Times New Roman" w:hAnsi="Times New Roman" w:eastAsia="宋体" w:cs="Times New Roman"/>
                <w:szCs w:val="24"/>
              </w:rPr>
              <w:t>18</w:t>
            </w:r>
          </w:p>
        </w:tc>
        <w:tc>
          <w:tcPr>
            <w:tcW w:w="732" w:type="dxa"/>
            <w:vAlign w:val="center"/>
          </w:tcPr>
          <w:p w14:paraId="66FEBEF7">
            <w:pPr>
              <w:jc w:val="center"/>
              <w:rPr>
                <w:rFonts w:ascii="Times New Roman" w:hAnsi="Times New Roman" w:eastAsia="宋体" w:cs="Times New Roman"/>
                <w:szCs w:val="21"/>
              </w:rPr>
            </w:pPr>
          </w:p>
        </w:tc>
      </w:tr>
      <w:tr w14:paraId="33E6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37" w:type="dxa"/>
            <w:vAlign w:val="center"/>
          </w:tcPr>
          <w:p w14:paraId="1E1B1DF7">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65" w:type="dxa"/>
          </w:tcPr>
          <w:p w14:paraId="22B63172">
            <w:pPr>
              <w:jc w:val="center"/>
              <w:rPr>
                <w:rFonts w:ascii="Times New Roman" w:hAnsi="Times New Roman" w:eastAsia="宋体" w:cs="Times New Roman"/>
                <w:szCs w:val="24"/>
              </w:rPr>
            </w:pPr>
            <w:r>
              <w:rPr>
                <w:rFonts w:ascii="Times New Roman" w:hAnsi="Times New Roman" w:eastAsia="宋体" w:cs="Times New Roman"/>
                <w:szCs w:val="24"/>
              </w:rPr>
              <w:t>同余与同余方程</w:t>
            </w:r>
          </w:p>
        </w:tc>
        <w:tc>
          <w:tcPr>
            <w:tcW w:w="1695" w:type="dxa"/>
            <w:vAlign w:val="center"/>
          </w:tcPr>
          <w:p w14:paraId="29CE3E5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47" w:type="dxa"/>
          </w:tcPr>
          <w:p w14:paraId="3F6FC9B6">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2" w:type="dxa"/>
          </w:tcPr>
          <w:p w14:paraId="40DD4F6E">
            <w:pPr>
              <w:jc w:val="center"/>
              <w:rPr>
                <w:rFonts w:ascii="Times New Roman" w:hAnsi="Times New Roman" w:eastAsia="宋体" w:cs="Times New Roman"/>
                <w:szCs w:val="24"/>
              </w:rPr>
            </w:pPr>
            <w:r>
              <w:rPr>
                <w:rFonts w:ascii="Times New Roman" w:hAnsi="Times New Roman" w:eastAsia="宋体" w:cs="Times New Roman"/>
                <w:szCs w:val="24"/>
              </w:rPr>
              <w:t>18</w:t>
            </w:r>
          </w:p>
        </w:tc>
        <w:tc>
          <w:tcPr>
            <w:tcW w:w="732" w:type="dxa"/>
            <w:vAlign w:val="center"/>
          </w:tcPr>
          <w:p w14:paraId="0A4DD295">
            <w:pPr>
              <w:jc w:val="center"/>
              <w:rPr>
                <w:rFonts w:ascii="Times New Roman" w:hAnsi="Times New Roman" w:eastAsia="宋体" w:cs="Times New Roman"/>
                <w:szCs w:val="21"/>
              </w:rPr>
            </w:pPr>
          </w:p>
        </w:tc>
      </w:tr>
      <w:tr w14:paraId="7C28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37" w:type="dxa"/>
            <w:vAlign w:val="center"/>
          </w:tcPr>
          <w:p w14:paraId="5C311FBB">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65" w:type="dxa"/>
          </w:tcPr>
          <w:p w14:paraId="523127D6">
            <w:pPr>
              <w:jc w:val="center"/>
              <w:rPr>
                <w:rFonts w:ascii="Times New Roman" w:hAnsi="Times New Roman" w:eastAsia="宋体" w:cs="Times New Roman"/>
                <w:szCs w:val="24"/>
              </w:rPr>
            </w:pPr>
            <w:r>
              <w:rPr>
                <w:rFonts w:ascii="Times New Roman" w:hAnsi="Times New Roman" w:eastAsia="宋体" w:cs="Times New Roman"/>
                <w:szCs w:val="24"/>
              </w:rPr>
              <w:t>不定方程</w:t>
            </w:r>
          </w:p>
        </w:tc>
        <w:tc>
          <w:tcPr>
            <w:tcW w:w="1695" w:type="dxa"/>
            <w:vAlign w:val="center"/>
          </w:tcPr>
          <w:p w14:paraId="6A2E9BE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47" w:type="dxa"/>
          </w:tcPr>
          <w:p w14:paraId="5DF21114">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2" w:type="dxa"/>
          </w:tcPr>
          <w:p w14:paraId="2DF7E845">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732" w:type="dxa"/>
            <w:vAlign w:val="center"/>
          </w:tcPr>
          <w:p w14:paraId="489C5115">
            <w:pPr>
              <w:jc w:val="center"/>
              <w:rPr>
                <w:rFonts w:ascii="Times New Roman" w:hAnsi="Times New Roman" w:eastAsia="宋体" w:cs="Times New Roman"/>
                <w:szCs w:val="21"/>
              </w:rPr>
            </w:pPr>
          </w:p>
        </w:tc>
      </w:tr>
      <w:tr w14:paraId="3ADD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7" w:type="dxa"/>
            <w:vAlign w:val="center"/>
          </w:tcPr>
          <w:p w14:paraId="666F9388">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65" w:type="dxa"/>
          </w:tcPr>
          <w:p w14:paraId="7099A2E0">
            <w:pPr>
              <w:jc w:val="center"/>
              <w:rPr>
                <w:rFonts w:ascii="Times New Roman" w:hAnsi="Times New Roman" w:eastAsia="宋体" w:cs="Times New Roman"/>
                <w:szCs w:val="24"/>
              </w:rPr>
            </w:pPr>
            <w:r>
              <w:rPr>
                <w:rFonts w:ascii="Times New Roman" w:hAnsi="Times New Roman" w:eastAsia="宋体" w:cs="Times New Roman"/>
                <w:szCs w:val="24"/>
              </w:rPr>
              <w:t>简单连分数</w:t>
            </w:r>
          </w:p>
        </w:tc>
        <w:tc>
          <w:tcPr>
            <w:tcW w:w="1695" w:type="dxa"/>
            <w:vAlign w:val="center"/>
          </w:tcPr>
          <w:p w14:paraId="1BF04FD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47" w:type="dxa"/>
          </w:tcPr>
          <w:p w14:paraId="47227668">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2" w:type="dxa"/>
          </w:tcPr>
          <w:p w14:paraId="04162738">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732" w:type="dxa"/>
            <w:vAlign w:val="center"/>
          </w:tcPr>
          <w:p w14:paraId="54AC78BC">
            <w:pPr>
              <w:jc w:val="center"/>
              <w:rPr>
                <w:rFonts w:ascii="Times New Roman" w:hAnsi="Times New Roman" w:eastAsia="宋体" w:cs="Times New Roman"/>
                <w:szCs w:val="21"/>
              </w:rPr>
            </w:pPr>
          </w:p>
        </w:tc>
      </w:tr>
      <w:tr w14:paraId="3FE0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745" w:type="dxa"/>
            <w:gridSpan w:val="4"/>
            <w:vAlign w:val="center"/>
          </w:tcPr>
          <w:p w14:paraId="1152F413">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2" w:type="dxa"/>
            <w:vAlign w:val="center"/>
          </w:tcPr>
          <w:p w14:paraId="36680B95">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732" w:type="dxa"/>
            <w:vAlign w:val="center"/>
          </w:tcPr>
          <w:p w14:paraId="0BF43162">
            <w:pPr>
              <w:jc w:val="center"/>
              <w:rPr>
                <w:rFonts w:ascii="Times New Roman" w:hAnsi="Times New Roman" w:eastAsia="宋体" w:cs="Times New Roman"/>
                <w:szCs w:val="21"/>
              </w:rPr>
            </w:pPr>
          </w:p>
        </w:tc>
      </w:tr>
    </w:tbl>
    <w:p w14:paraId="0F7B42F7">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707F67E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594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21C50C5A">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215B3637">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33AF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00A015D7">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505D8FAF">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4AC14B76">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0B77C35D">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589145AF">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40350519">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53F9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27758F04">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75790958">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7F21E3E3">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190064C5">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2B995575">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249A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582D1BFD">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696640D9">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25372F75">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5F0B06D6">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30857786">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59D8A8BC">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1D4D66E0">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10581F83">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53021577">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72CBF0FE">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31D52C5B">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61EB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6BC8C94E">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52705CAA">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2B6E39E9">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7F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50C0E3B6">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04012B08">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50DF7C4F">
            <w:pPr>
              <w:rPr>
                <w:rFonts w:ascii="Times New Roman" w:hAnsi="Times New Roman" w:eastAsia="宋体" w:cs="Times New Roman"/>
                <w:szCs w:val="24"/>
              </w:rPr>
            </w:pPr>
            <w:r>
              <w:rPr>
                <w:rFonts w:ascii="Times New Roman" w:hAnsi="Times New Roman" w:eastAsia="宋体" w:cs="Times New Roman"/>
                <w:szCs w:val="24"/>
              </w:rPr>
              <w:t>本课程考核的方式：考试。考试试卷采取抽卷形式，统一安排监考。总评成绩的评定见课程评分方案。有下列情况之一者，总评成绩为不及格：</w:t>
            </w:r>
          </w:p>
          <w:p w14:paraId="7A5FFEE7">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2727F891">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tc>
      </w:tr>
    </w:tbl>
    <w:p w14:paraId="0483D9FE">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441EF3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17BB896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2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592"/>
        <w:gridCol w:w="831"/>
        <w:gridCol w:w="4274"/>
        <w:gridCol w:w="1439"/>
      </w:tblGrid>
      <w:tr w14:paraId="6A07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125"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7DB89C87">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92" w:type="dxa"/>
            <w:tcBorders>
              <w:top w:val="single" w:color="auto" w:sz="4" w:space="0"/>
              <w:left w:val="single" w:color="auto" w:sz="4" w:space="0"/>
              <w:bottom w:val="single" w:color="auto" w:sz="4" w:space="0"/>
              <w:right w:val="single" w:color="auto" w:sz="4" w:space="0"/>
            </w:tcBorders>
            <w:shd w:val="clear" w:color="auto" w:fill="FFFFFF"/>
            <w:vAlign w:val="center"/>
          </w:tcPr>
          <w:p w14:paraId="0FEF6DD4">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831" w:type="dxa"/>
            <w:tcBorders>
              <w:top w:val="single" w:color="auto" w:sz="4" w:space="0"/>
              <w:left w:val="single" w:color="auto" w:sz="4" w:space="0"/>
              <w:bottom w:val="single" w:color="auto" w:sz="4" w:space="0"/>
              <w:right w:val="single" w:color="auto" w:sz="4" w:space="0"/>
            </w:tcBorders>
            <w:shd w:val="clear" w:color="auto" w:fill="FFFFFF"/>
            <w:vAlign w:val="center"/>
          </w:tcPr>
          <w:p w14:paraId="612DA3FB">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4274" w:type="dxa"/>
            <w:tcBorders>
              <w:top w:val="single" w:color="auto" w:sz="4" w:space="0"/>
              <w:left w:val="single" w:color="auto" w:sz="4" w:space="0"/>
              <w:bottom w:val="single" w:color="auto" w:sz="4" w:space="0"/>
              <w:right w:val="single" w:color="auto" w:sz="4" w:space="0"/>
            </w:tcBorders>
            <w:shd w:val="clear" w:color="auto" w:fill="FFFFFF"/>
            <w:vAlign w:val="center"/>
          </w:tcPr>
          <w:p w14:paraId="5226EC33">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39" w:type="dxa"/>
            <w:tcBorders>
              <w:top w:val="single" w:color="auto" w:sz="4" w:space="0"/>
              <w:left w:val="single" w:color="auto" w:sz="4" w:space="0"/>
              <w:bottom w:val="single" w:color="auto" w:sz="4" w:space="0"/>
              <w:right w:val="single" w:color="auto" w:sz="4" w:space="0"/>
            </w:tcBorders>
            <w:shd w:val="clear" w:color="auto" w:fill="FFFFFF"/>
            <w:vAlign w:val="center"/>
          </w:tcPr>
          <w:p w14:paraId="60FB373E">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7875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125" w:type="dxa"/>
            <w:vMerge w:val="restart"/>
            <w:tcBorders>
              <w:top w:val="single" w:color="auto" w:sz="4" w:space="0"/>
              <w:left w:val="single" w:color="auto" w:sz="4" w:space="0"/>
              <w:right w:val="single" w:color="auto" w:sz="4" w:space="0"/>
            </w:tcBorders>
            <w:tcMar>
              <w:left w:w="57" w:type="dxa"/>
              <w:right w:w="57" w:type="dxa"/>
            </w:tcMar>
            <w:vAlign w:val="center"/>
          </w:tcPr>
          <w:p w14:paraId="6AA33695">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089D48C5">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92" w:type="dxa"/>
            <w:tcBorders>
              <w:top w:val="single" w:color="auto" w:sz="4" w:space="0"/>
              <w:left w:val="single" w:color="auto" w:sz="4" w:space="0"/>
              <w:bottom w:val="single" w:color="auto" w:sz="4" w:space="0"/>
              <w:right w:val="single" w:color="auto" w:sz="4" w:space="0"/>
            </w:tcBorders>
            <w:vAlign w:val="center"/>
          </w:tcPr>
          <w:p w14:paraId="52F84F0C">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831" w:type="dxa"/>
            <w:tcBorders>
              <w:top w:val="single" w:color="auto" w:sz="4" w:space="0"/>
              <w:left w:val="single" w:color="auto" w:sz="4" w:space="0"/>
              <w:bottom w:val="single" w:color="auto" w:sz="4" w:space="0"/>
              <w:right w:val="single" w:color="auto" w:sz="4" w:space="0"/>
            </w:tcBorders>
            <w:vAlign w:val="center"/>
          </w:tcPr>
          <w:p w14:paraId="4308E8D3">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4274" w:type="dxa"/>
            <w:tcBorders>
              <w:top w:val="single" w:color="auto" w:sz="4" w:space="0"/>
              <w:left w:val="single" w:color="auto" w:sz="4" w:space="0"/>
              <w:bottom w:val="single" w:color="auto" w:sz="4" w:space="0"/>
              <w:right w:val="single" w:color="auto" w:sz="4" w:space="0"/>
            </w:tcBorders>
            <w:vAlign w:val="center"/>
          </w:tcPr>
          <w:p w14:paraId="127E5562">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39" w:type="dxa"/>
            <w:tcBorders>
              <w:top w:val="single" w:color="auto" w:sz="4" w:space="0"/>
              <w:left w:val="single" w:color="auto" w:sz="4" w:space="0"/>
              <w:right w:val="single" w:color="auto" w:sz="4" w:space="0"/>
            </w:tcBorders>
            <w:vAlign w:val="center"/>
          </w:tcPr>
          <w:p w14:paraId="77A3ECAA">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4CF1F252">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47BE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25" w:type="dxa"/>
            <w:vMerge w:val="continue"/>
            <w:tcBorders>
              <w:left w:val="single" w:color="auto" w:sz="4" w:space="0"/>
              <w:right w:val="single" w:color="auto" w:sz="4" w:space="0"/>
            </w:tcBorders>
            <w:tcMar>
              <w:left w:w="57" w:type="dxa"/>
              <w:right w:w="57" w:type="dxa"/>
            </w:tcMar>
            <w:vAlign w:val="center"/>
          </w:tcPr>
          <w:p w14:paraId="2C284A04">
            <w:pPr>
              <w:rPr>
                <w:rFonts w:ascii="Times New Roman" w:hAnsi="Times New Roman" w:eastAsia="宋体" w:cs="Times New Roman"/>
                <w:sz w:val="20"/>
                <w:szCs w:val="20"/>
              </w:rPr>
            </w:pPr>
          </w:p>
        </w:tc>
        <w:tc>
          <w:tcPr>
            <w:tcW w:w="1592" w:type="dxa"/>
            <w:tcBorders>
              <w:top w:val="single" w:color="auto" w:sz="4" w:space="0"/>
              <w:left w:val="single" w:color="auto" w:sz="4" w:space="0"/>
              <w:bottom w:val="single" w:color="auto" w:sz="4" w:space="0"/>
              <w:right w:val="single" w:color="auto" w:sz="4" w:space="0"/>
            </w:tcBorders>
            <w:vAlign w:val="center"/>
          </w:tcPr>
          <w:p w14:paraId="52510FEA">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831" w:type="dxa"/>
            <w:tcBorders>
              <w:top w:val="single" w:color="auto" w:sz="4" w:space="0"/>
              <w:left w:val="single" w:color="auto" w:sz="4" w:space="0"/>
              <w:bottom w:val="single" w:color="auto" w:sz="4" w:space="0"/>
              <w:right w:val="single" w:color="auto" w:sz="4" w:space="0"/>
            </w:tcBorders>
            <w:vAlign w:val="center"/>
          </w:tcPr>
          <w:p w14:paraId="76BA295E">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4274" w:type="dxa"/>
            <w:tcBorders>
              <w:top w:val="single" w:color="auto" w:sz="4" w:space="0"/>
              <w:left w:val="single" w:color="auto" w:sz="4" w:space="0"/>
              <w:bottom w:val="single" w:color="auto" w:sz="4" w:space="0"/>
              <w:right w:val="single" w:color="auto" w:sz="4" w:space="0"/>
            </w:tcBorders>
            <w:vAlign w:val="center"/>
          </w:tcPr>
          <w:p w14:paraId="5A1F8202">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39" w:type="dxa"/>
            <w:tcBorders>
              <w:left w:val="single" w:color="auto" w:sz="4" w:space="0"/>
              <w:right w:val="single" w:color="auto" w:sz="4" w:space="0"/>
            </w:tcBorders>
            <w:vAlign w:val="center"/>
          </w:tcPr>
          <w:p w14:paraId="7E2BD182">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76D466ED">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0E06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25" w:type="dxa"/>
            <w:vMerge w:val="continue"/>
            <w:tcBorders>
              <w:left w:val="single" w:color="auto" w:sz="4" w:space="0"/>
              <w:bottom w:val="single" w:color="auto" w:sz="4" w:space="0"/>
              <w:right w:val="single" w:color="auto" w:sz="4" w:space="0"/>
            </w:tcBorders>
            <w:tcMar>
              <w:left w:w="57" w:type="dxa"/>
              <w:right w:w="57" w:type="dxa"/>
            </w:tcMar>
            <w:vAlign w:val="center"/>
          </w:tcPr>
          <w:p w14:paraId="4726491A">
            <w:pPr>
              <w:rPr>
                <w:rFonts w:ascii="Times New Roman" w:hAnsi="Times New Roman" w:eastAsia="宋体" w:cs="Times New Roman"/>
                <w:sz w:val="20"/>
                <w:szCs w:val="20"/>
              </w:rPr>
            </w:pPr>
          </w:p>
        </w:tc>
        <w:tc>
          <w:tcPr>
            <w:tcW w:w="1592" w:type="dxa"/>
            <w:tcBorders>
              <w:top w:val="single" w:color="auto" w:sz="4" w:space="0"/>
              <w:left w:val="single" w:color="auto" w:sz="4" w:space="0"/>
              <w:bottom w:val="single" w:color="auto" w:sz="4" w:space="0"/>
              <w:right w:val="single" w:color="auto" w:sz="4" w:space="0"/>
            </w:tcBorders>
            <w:vAlign w:val="center"/>
          </w:tcPr>
          <w:p w14:paraId="163851C1">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831" w:type="dxa"/>
            <w:tcBorders>
              <w:top w:val="single" w:color="auto" w:sz="4" w:space="0"/>
              <w:left w:val="single" w:color="auto" w:sz="4" w:space="0"/>
              <w:bottom w:val="single" w:color="auto" w:sz="4" w:space="0"/>
              <w:right w:val="single" w:color="auto" w:sz="4" w:space="0"/>
            </w:tcBorders>
            <w:vAlign w:val="center"/>
          </w:tcPr>
          <w:p w14:paraId="6EA74AE8">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4274" w:type="dxa"/>
            <w:tcBorders>
              <w:top w:val="single" w:color="auto" w:sz="4" w:space="0"/>
              <w:left w:val="single" w:color="auto" w:sz="4" w:space="0"/>
              <w:bottom w:val="single" w:color="auto" w:sz="4" w:space="0"/>
              <w:right w:val="single" w:color="auto" w:sz="4" w:space="0"/>
            </w:tcBorders>
            <w:vAlign w:val="center"/>
          </w:tcPr>
          <w:p w14:paraId="0F89AAF5">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39" w:type="dxa"/>
            <w:tcBorders>
              <w:left w:val="single" w:color="auto" w:sz="4" w:space="0"/>
              <w:bottom w:val="single" w:color="auto" w:sz="4" w:space="0"/>
              <w:right w:val="single" w:color="auto" w:sz="4" w:space="0"/>
            </w:tcBorders>
            <w:vAlign w:val="center"/>
          </w:tcPr>
          <w:p w14:paraId="7652D938">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51C90F50">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51C1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112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73027A7">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92" w:type="dxa"/>
            <w:tcBorders>
              <w:top w:val="single" w:color="auto" w:sz="4" w:space="0"/>
              <w:left w:val="single" w:color="auto" w:sz="4" w:space="0"/>
              <w:bottom w:val="single" w:color="auto" w:sz="4" w:space="0"/>
              <w:right w:val="single" w:color="auto" w:sz="4" w:space="0"/>
            </w:tcBorders>
            <w:vAlign w:val="center"/>
          </w:tcPr>
          <w:p w14:paraId="1100330C">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831" w:type="dxa"/>
            <w:tcBorders>
              <w:top w:val="single" w:color="auto" w:sz="4" w:space="0"/>
              <w:left w:val="single" w:color="auto" w:sz="4" w:space="0"/>
              <w:bottom w:val="single" w:color="auto" w:sz="4" w:space="0"/>
              <w:right w:val="single" w:color="auto" w:sz="4" w:space="0"/>
            </w:tcBorders>
            <w:vAlign w:val="center"/>
          </w:tcPr>
          <w:p w14:paraId="70D46AC5">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4274" w:type="dxa"/>
            <w:tcBorders>
              <w:top w:val="single" w:color="auto" w:sz="4" w:space="0"/>
              <w:left w:val="single" w:color="auto" w:sz="4" w:space="0"/>
              <w:bottom w:val="single" w:color="auto" w:sz="4" w:space="0"/>
              <w:right w:val="single" w:color="auto" w:sz="4" w:space="0"/>
            </w:tcBorders>
            <w:vAlign w:val="center"/>
          </w:tcPr>
          <w:p w14:paraId="34EFEE06">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439" w:type="dxa"/>
            <w:tcBorders>
              <w:top w:val="single" w:color="auto" w:sz="4" w:space="0"/>
              <w:left w:val="single" w:color="auto" w:sz="4" w:space="0"/>
              <w:bottom w:val="single" w:color="auto" w:sz="4" w:space="0"/>
              <w:right w:val="single" w:color="auto" w:sz="4" w:space="0"/>
            </w:tcBorders>
            <w:vAlign w:val="center"/>
          </w:tcPr>
          <w:p w14:paraId="43AEDC21">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3EB87C97">
      <w:pPr>
        <w:spacing w:line="360" w:lineRule="auto"/>
        <w:ind w:firstLine="562" w:firstLineChars="200"/>
        <w:rPr>
          <w:rFonts w:ascii="Times New Roman" w:hAnsi="Times New Roman" w:eastAsia="宋体" w:cs="Times New Roman"/>
          <w:b/>
          <w:sz w:val="28"/>
          <w:szCs w:val="28"/>
        </w:rPr>
      </w:pPr>
    </w:p>
    <w:p w14:paraId="27302FB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7171C126">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552E944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2D344DB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w:t>
      </w:r>
    </w:p>
    <w:p w14:paraId="450804C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引导学生做好课前预习、课后整理笔记并及时完成作业的复习工作；保证学生完成一定数量的作业和习题。</w:t>
      </w:r>
    </w:p>
    <w:p w14:paraId="1094AB0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3．教学用的例题和习题，应适当结合实际。</w:t>
      </w:r>
    </w:p>
    <w:p w14:paraId="74A83237">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542D18B8">
      <w:pPr>
        <w:spacing w:line="400" w:lineRule="atLeas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王进明   初等数论 北京：人民教育出版社</w:t>
      </w:r>
    </w:p>
    <w:p w14:paraId="54F6BC2E">
      <w:pPr>
        <w:spacing w:line="400" w:lineRule="atLeas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潘承洞等 初等数论 北京：北京大学出版社</w:t>
      </w:r>
    </w:p>
    <w:p w14:paraId="7585E159">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执笔人：胡学荣</w:t>
      </w:r>
    </w:p>
    <w:p w14:paraId="20C32CF3">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457829EA">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审批人：王献东</w:t>
      </w:r>
    </w:p>
    <w:p w14:paraId="469748E5">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w:t>
      </w:r>
      <w:r>
        <w:rPr>
          <w:rFonts w:hint="eastAsia" w:ascii="Times New Roman" w:hAnsi="Times New Roman" w:eastAsia="宋体" w:cs="Times New Roman"/>
          <w:kern w:val="0"/>
          <w:sz w:val="24"/>
          <w:szCs w:val="21"/>
        </w:rPr>
        <w:t>02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w:t>
      </w:r>
    </w:p>
    <w:p w14:paraId="08A0A152">
      <w:pPr>
        <w:widowControl/>
        <w:jc w:val="left"/>
        <w:rPr>
          <w:rFonts w:ascii="宋体" w:hAnsi="宋体" w:eastAsia="宋体" w:cs="Times New Roman"/>
          <w:kern w:val="0"/>
          <w:sz w:val="24"/>
          <w:szCs w:val="21"/>
        </w:rPr>
      </w:pPr>
      <w:r>
        <w:rPr>
          <w:rFonts w:ascii="宋体" w:hAnsi="宋体" w:eastAsia="宋体" w:cs="Times New Roman"/>
          <w:kern w:val="0"/>
          <w:sz w:val="24"/>
          <w:szCs w:val="21"/>
        </w:rPr>
        <w:br w:type="page"/>
      </w:r>
    </w:p>
    <w:p w14:paraId="043D2CA6">
      <w:pPr>
        <w:spacing w:line="312" w:lineRule="auto"/>
        <w:jc w:val="center"/>
        <w:rPr>
          <w:rFonts w:hint="eastAsia" w:ascii="宋体" w:hAnsi="宋体"/>
          <w:b/>
          <w:bCs/>
          <w:sz w:val="30"/>
        </w:rPr>
      </w:pPr>
      <w:bookmarkStart w:id="225" w:name="_Toc166165214"/>
      <w:r>
        <w:rPr>
          <w:rFonts w:hint="eastAsia" w:ascii="宋体" w:hAnsi="宋体"/>
          <w:b/>
          <w:bCs/>
          <w:sz w:val="30"/>
        </w:rPr>
        <w:t>小学数学解题指导</w:t>
      </w:r>
      <w:r>
        <w:rPr>
          <w:rFonts w:ascii="宋体" w:hAnsi="宋体"/>
          <w:b/>
          <w:bCs/>
          <w:sz w:val="30"/>
        </w:rPr>
        <w:t>课程教学大纲</w:t>
      </w:r>
    </w:p>
    <w:p w14:paraId="31B0357B">
      <w:pPr>
        <w:spacing w:line="312" w:lineRule="auto"/>
        <w:jc w:val="center"/>
        <w:rPr>
          <w:rFonts w:ascii="宋体" w:hAnsi="宋体"/>
          <w:b/>
          <w:bCs/>
          <w:sz w:val="30"/>
        </w:rPr>
      </w:pPr>
      <w:r>
        <w:rPr>
          <w:rFonts w:ascii="宋体" w:hAnsi="宋体"/>
          <w:b/>
          <w:bCs/>
          <w:sz w:val="30"/>
        </w:rPr>
        <w:t>（Mathematics Problem Solving Guide in Primary School）</w:t>
      </w:r>
    </w:p>
    <w:p w14:paraId="5AD11A13">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6DA00C61">
      <w:pPr>
        <w:spacing w:line="360" w:lineRule="auto"/>
        <w:ind w:firstLine="482" w:firstLineChars="200"/>
        <w:rPr>
          <w:rFonts w:hint="eastAsia"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w:t>
      </w:r>
      <w:r>
        <w:rPr>
          <w:rFonts w:hint="eastAsia" w:ascii="宋体" w:hAnsi="宋体"/>
          <w:kern w:val="0"/>
          <w:sz w:val="24"/>
          <w:szCs w:val="22"/>
        </w:rPr>
        <w:t>65</w:t>
      </w:r>
    </w:p>
    <w:p w14:paraId="7D92268A">
      <w:pPr>
        <w:spacing w:line="360" w:lineRule="auto"/>
        <w:ind w:firstLine="482" w:firstLineChars="200"/>
        <w:rPr>
          <w:rFonts w:hint="eastAsia"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0D6A4D78">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w:t>
      </w:r>
      <w:r>
        <w:rPr>
          <w:rFonts w:hint="eastAsia" w:ascii="宋体" w:hAnsi="宋体"/>
          <w:kern w:val="0"/>
          <w:sz w:val="24"/>
        </w:rPr>
        <w:t>16，</w:t>
      </w:r>
      <w:r>
        <w:rPr>
          <w:rFonts w:ascii="宋体" w:hAnsi="宋体"/>
          <w:kern w:val="0"/>
          <w:sz w:val="24"/>
        </w:rPr>
        <w:t xml:space="preserve"> 实践学时16）</w:t>
      </w:r>
    </w:p>
    <w:p w14:paraId="1D736EAF">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hint="eastAsia" w:ascii="宋体" w:hAnsi="宋体"/>
          <w:sz w:val="24"/>
          <w:szCs w:val="22"/>
          <w:lang w:val="en-US" w:eastAsia="zh-CN"/>
        </w:rPr>
        <w:t>数学思想方法、初等数论、课程与教学论、小学数学课程标准与教材分析、小学数学教学设计与实施</w:t>
      </w:r>
    </w:p>
    <w:p w14:paraId="0663083F">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w:t>
      </w:r>
      <w:r>
        <w:rPr>
          <w:rFonts w:ascii="宋体" w:hAnsi="宋体"/>
          <w:kern w:val="0"/>
          <w:sz w:val="24"/>
        </w:rPr>
        <w:t xml:space="preserve">理）                          </w:t>
      </w:r>
    </w:p>
    <w:p w14:paraId="7B70C5BB">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周友士．小学数学解题讲义．南京：南京大学出版社，2021．</w:t>
      </w:r>
    </w:p>
    <w:p w14:paraId="2BA17D77">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5F7F2D1A">
      <w:pPr>
        <w:autoSpaceDE w:val="0"/>
        <w:autoSpaceDN w:val="0"/>
        <w:adjustRightInd w:val="0"/>
        <w:spacing w:line="360" w:lineRule="auto"/>
        <w:ind w:firstLine="482" w:firstLineChars="200"/>
        <w:jc w:val="left"/>
        <w:rPr>
          <w:rFonts w:ascii="宋体" w:hAnsi="宋体"/>
          <w:kern w:val="0"/>
          <w:sz w:val="24"/>
        </w:rPr>
      </w:pPr>
      <w:r>
        <w:rPr>
          <w:rFonts w:hint="eastAsia" w:ascii="宋体" w:hAnsi="宋体"/>
          <w:b/>
          <w:bCs/>
          <w:kern w:val="0"/>
          <w:sz w:val="24"/>
        </w:rPr>
        <w:t>课程的性质与任务：</w:t>
      </w:r>
      <w:r>
        <w:rPr>
          <w:rFonts w:hint="eastAsia" w:ascii="宋体" w:hAnsi="宋体"/>
          <w:kern w:val="0"/>
          <w:sz w:val="24"/>
        </w:rPr>
        <w:t>本课程是小学教育（理）专业的一门专业选修课程。通过本课程的学习，系统地获得小学数学解题的基本思路和方法；提高学生的数学视野、数学思维能力、逻辑推理能力和教学指导水平，提高学生的数学素养，为从事小学数学教学工作打下坚实基础。</w:t>
      </w:r>
    </w:p>
    <w:p w14:paraId="7E3BDDE0">
      <w:pPr>
        <w:autoSpaceDE w:val="0"/>
        <w:autoSpaceDN w:val="0"/>
        <w:adjustRightInd w:val="0"/>
        <w:spacing w:line="360" w:lineRule="auto"/>
        <w:ind w:firstLine="562" w:firstLineChars="200"/>
        <w:jc w:val="left"/>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79635256">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017AA2E3">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目标1. 理解小学数学问题的解题思路，掌握小学数学问题的解题方法，提高小学数学解题指导能力。</w:t>
      </w:r>
    </w:p>
    <w:p w14:paraId="196774E3">
      <w:pPr>
        <w:spacing w:line="360" w:lineRule="auto"/>
        <w:ind w:firstLine="480" w:firstLineChars="200"/>
        <w:outlineLvl w:val="0"/>
        <w:rPr>
          <w:rFonts w:hint="eastAsia" w:ascii="宋体" w:hAnsi="宋体"/>
          <w:kern w:val="0"/>
          <w:sz w:val="24"/>
          <w:szCs w:val="22"/>
        </w:rPr>
      </w:pPr>
      <w:r>
        <w:rPr>
          <w:rFonts w:hint="eastAsia" w:ascii="宋体" w:hAnsi="宋体"/>
          <w:kern w:val="0"/>
          <w:sz w:val="24"/>
          <w:szCs w:val="22"/>
        </w:rPr>
        <w:t>目标2. 拓宽数学视野，提高数学思维能力和逻辑推理能力，提高数学素养。</w:t>
      </w:r>
    </w:p>
    <w:p w14:paraId="300AC1AC">
      <w:pPr>
        <w:spacing w:line="360" w:lineRule="auto"/>
        <w:ind w:firstLine="480" w:firstLineChars="200"/>
        <w:outlineLvl w:val="0"/>
        <w:rPr>
          <w:rFonts w:ascii="宋体" w:hAnsi="宋体"/>
          <w:kern w:val="0"/>
          <w:sz w:val="24"/>
          <w:szCs w:val="22"/>
        </w:rPr>
      </w:pPr>
      <w:r>
        <w:rPr>
          <w:rFonts w:hint="eastAsia" w:ascii="宋体" w:hAnsi="宋体"/>
          <w:kern w:val="0"/>
          <w:sz w:val="24"/>
          <w:szCs w:val="22"/>
        </w:rPr>
        <w:t>目标3. 养成严谨的学习态度，掌握科学、严谨的学习方法，注重创新精神和实践能力的提升，树立以学生为主体的教学理念，体会数学文化的魅力，获得积极的小学教学体验。</w:t>
      </w:r>
    </w:p>
    <w:p w14:paraId="3B35A0C3">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72"/>
        <w:gridCol w:w="4977"/>
      </w:tblGrid>
      <w:tr w14:paraId="40B5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248D3534">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72" w:type="dxa"/>
            <w:noWrap w:val="0"/>
            <w:vAlign w:val="center"/>
          </w:tcPr>
          <w:p w14:paraId="43BF1ADC">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721687BF">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04FD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013C5DC3">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72" w:type="dxa"/>
            <w:noWrap w:val="0"/>
            <w:vAlign w:val="center"/>
          </w:tcPr>
          <w:p w14:paraId="15B9503F">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tc>
        <w:tc>
          <w:tcPr>
            <w:tcW w:w="4977" w:type="dxa"/>
            <w:noWrap w:val="0"/>
            <w:vAlign w:val="top"/>
          </w:tcPr>
          <w:p w14:paraId="08CA69C0">
            <w:pPr>
              <w:pStyle w:val="58"/>
              <w:spacing w:line="276" w:lineRule="auto"/>
              <w:ind w:firstLine="0" w:firstLineChars="0"/>
              <w:jc w:val="left"/>
              <w:rPr>
                <w:rFonts w:hint="eastAsia" w:ascii="宋体" w:hAnsi="宋体"/>
                <w:kern w:val="0"/>
                <w:sz w:val="18"/>
                <w:szCs w:val="18"/>
              </w:rPr>
            </w:pPr>
            <w:r>
              <w:rPr>
                <w:rFonts w:hint="eastAsia" w:ascii="Times New Roman" w:hAnsi="Times New Roman"/>
                <w:szCs w:val="21"/>
              </w:rPr>
              <w:t>指标点3-2：【学科知识扎实】具有学科专业能力，掌握小学数学学科的基本知识、原理和技能。熟悉小学科学的知识体系，掌握小学科学的基本知识、原理和技能。</w:t>
            </w:r>
          </w:p>
        </w:tc>
      </w:tr>
      <w:tr w14:paraId="197E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noWrap w:val="0"/>
            <w:vAlign w:val="center"/>
          </w:tcPr>
          <w:p w14:paraId="59918974">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72" w:type="dxa"/>
            <w:noWrap w:val="0"/>
            <w:vAlign w:val="center"/>
          </w:tcPr>
          <w:p w14:paraId="23441CCE">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tc>
        <w:tc>
          <w:tcPr>
            <w:tcW w:w="4977" w:type="dxa"/>
            <w:noWrap w:val="0"/>
            <w:vAlign w:val="top"/>
          </w:tcPr>
          <w:p w14:paraId="58055158">
            <w:pPr>
              <w:pStyle w:val="58"/>
              <w:spacing w:line="276" w:lineRule="auto"/>
              <w:ind w:firstLine="0" w:firstLineChars="0"/>
              <w:jc w:val="left"/>
              <w:rPr>
                <w:rFonts w:hint="eastAsia" w:ascii="宋体" w:hAnsi="宋体"/>
                <w:kern w:val="0"/>
                <w:sz w:val="18"/>
                <w:szCs w:val="18"/>
              </w:rPr>
            </w:pPr>
            <w:r>
              <w:rPr>
                <w:rFonts w:hint="eastAsia" w:ascii="Times New Roman" w:hAnsi="Times New Roman"/>
                <w:szCs w:val="21"/>
              </w:rPr>
              <w:t>指标点3-2：【学科知识扎实】具有学科专业能力，掌握小学数学学科的基本知识、原理和技能。熟悉小学科学的知识体系，掌握小学科学的基本知识、原理和技能。</w:t>
            </w:r>
          </w:p>
        </w:tc>
      </w:tr>
      <w:tr w14:paraId="1F32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noWrap w:val="0"/>
            <w:vAlign w:val="center"/>
          </w:tcPr>
          <w:p w14:paraId="22B3E9FD">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72" w:type="dxa"/>
            <w:noWrap w:val="0"/>
            <w:vAlign w:val="center"/>
          </w:tcPr>
          <w:p w14:paraId="399F3DB5">
            <w:pPr>
              <w:pStyle w:val="58"/>
              <w:spacing w:line="276" w:lineRule="auto"/>
              <w:ind w:firstLine="0" w:firstLineChars="0"/>
              <w:rPr>
                <w:rFonts w:hint="eastAsia" w:ascii="宋体" w:hAnsi="宋体"/>
                <w:kern w:val="0"/>
                <w:szCs w:val="21"/>
              </w:rPr>
            </w:pPr>
            <w:r>
              <w:rPr>
                <w:rFonts w:hint="eastAsia" w:ascii="宋体" w:hAnsi="宋体"/>
                <w:kern w:val="0"/>
                <w:szCs w:val="21"/>
              </w:rPr>
              <w:t>毕业要求4. 教学能力</w:t>
            </w:r>
          </w:p>
        </w:tc>
        <w:tc>
          <w:tcPr>
            <w:tcW w:w="4977" w:type="dxa"/>
            <w:noWrap w:val="0"/>
            <w:vAlign w:val="center"/>
          </w:tcPr>
          <w:p w14:paraId="0E6C0D97">
            <w:pPr>
              <w:pStyle w:val="58"/>
              <w:spacing w:line="276" w:lineRule="auto"/>
              <w:ind w:firstLine="0" w:firstLineChars="0"/>
              <w:jc w:val="left"/>
              <w:rPr>
                <w:rFonts w:hint="eastAsia" w:ascii="宋体" w:hAnsi="宋体" w:cs="宋体"/>
                <w:szCs w:val="21"/>
              </w:rPr>
            </w:pPr>
            <w:r>
              <w:rPr>
                <w:rFonts w:hint="eastAsia" w:ascii="宋体" w:hAnsi="宋体"/>
                <w:szCs w:val="21"/>
              </w:rPr>
              <w:t>指标点4-3：【教学实施与评价科学】掌握小学教师基本功技能，包括书写技能、沟通与表达技能、信息技术运用技能等。获得全面的小学教学体验，掌握学科教学的基本方法与策略，能独立进行教学实施和评价。</w:t>
            </w:r>
          </w:p>
        </w:tc>
      </w:tr>
    </w:tbl>
    <w:p w14:paraId="7A88F12A">
      <w:pPr>
        <w:spacing w:line="360" w:lineRule="auto"/>
        <w:outlineLvl w:val="0"/>
        <w:rPr>
          <w:rFonts w:hint="eastAsia" w:ascii="宋体" w:hAnsi="宋体"/>
          <w:b/>
          <w:kern w:val="0"/>
          <w:sz w:val="24"/>
          <w:szCs w:val="22"/>
        </w:rPr>
      </w:pPr>
      <w:r>
        <w:rPr>
          <w:rFonts w:hint="eastAsia" w:ascii="宋体" w:hAnsi="宋体"/>
          <w:b/>
          <w:kern w:val="0"/>
          <w:sz w:val="24"/>
          <w:szCs w:val="22"/>
        </w:rPr>
        <w:t xml:space="preserve">    </w:t>
      </w:r>
    </w:p>
    <w:p w14:paraId="4B7D6535">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141EC4AF">
      <w:pPr>
        <w:spacing w:line="360" w:lineRule="auto"/>
        <w:ind w:firstLine="482" w:firstLineChars="200"/>
        <w:outlineLvl w:val="0"/>
        <w:rPr>
          <w:rFonts w:ascii="宋体" w:hAnsi="宋体"/>
          <w:b/>
          <w:sz w:val="24"/>
          <w:szCs w:val="22"/>
        </w:rPr>
      </w:pPr>
      <w:r>
        <w:rPr>
          <w:rFonts w:hint="eastAsia" w:ascii="宋体" w:hAnsi="宋体"/>
          <w:b/>
          <w:sz w:val="24"/>
          <w:szCs w:val="22"/>
        </w:rPr>
        <w:t>（一）绪论（本模块各知识点的讲授与学习，可以支撑课程目标1、3）</w:t>
      </w:r>
    </w:p>
    <w:p w14:paraId="380B2C77">
      <w:pPr>
        <w:spacing w:line="360" w:lineRule="auto"/>
        <w:ind w:firstLine="482" w:firstLineChars="200"/>
        <w:rPr>
          <w:rFonts w:ascii="宋体" w:hAnsi="宋体"/>
          <w:b/>
          <w:sz w:val="24"/>
          <w:szCs w:val="22"/>
        </w:rPr>
      </w:pPr>
      <w:r>
        <w:rPr>
          <w:rFonts w:ascii="宋体" w:hAnsi="宋体"/>
          <w:b/>
          <w:sz w:val="24"/>
          <w:szCs w:val="22"/>
        </w:rPr>
        <w:t>1.教学内容</w:t>
      </w:r>
    </w:p>
    <w:p w14:paraId="7F4A91BE">
      <w:pPr>
        <w:spacing w:line="360" w:lineRule="auto"/>
        <w:ind w:firstLine="480" w:firstLineChars="200"/>
        <w:rPr>
          <w:rFonts w:hint="eastAsia" w:ascii="宋体" w:hAnsi="宋体"/>
          <w:sz w:val="24"/>
          <w:szCs w:val="22"/>
        </w:rPr>
      </w:pPr>
      <w:r>
        <w:rPr>
          <w:rFonts w:hint="eastAsia" w:ascii="宋体" w:hAnsi="宋体"/>
          <w:sz w:val="24"/>
          <w:szCs w:val="22"/>
        </w:rPr>
        <w:t>（1）小学数学解题概述</w:t>
      </w:r>
    </w:p>
    <w:p w14:paraId="389CA26C">
      <w:pPr>
        <w:spacing w:line="360" w:lineRule="auto"/>
        <w:ind w:firstLine="480" w:firstLineChars="200"/>
        <w:rPr>
          <w:rFonts w:hint="eastAsia" w:ascii="宋体" w:hAnsi="宋体"/>
          <w:sz w:val="24"/>
          <w:szCs w:val="22"/>
        </w:rPr>
      </w:pPr>
      <w:r>
        <w:rPr>
          <w:rFonts w:hint="eastAsia" w:ascii="宋体" w:hAnsi="宋体"/>
          <w:sz w:val="24"/>
          <w:szCs w:val="22"/>
        </w:rPr>
        <w:t>（2）小学数学解题指导的意义</w:t>
      </w:r>
    </w:p>
    <w:p w14:paraId="34CE0841">
      <w:pPr>
        <w:spacing w:line="360" w:lineRule="auto"/>
        <w:ind w:firstLine="480" w:firstLineChars="200"/>
        <w:rPr>
          <w:rFonts w:ascii="宋体" w:hAnsi="宋体"/>
          <w:sz w:val="24"/>
          <w:szCs w:val="22"/>
        </w:rPr>
      </w:pPr>
      <w:r>
        <w:rPr>
          <w:rFonts w:hint="eastAsia" w:ascii="宋体" w:hAnsi="宋体"/>
          <w:sz w:val="24"/>
          <w:szCs w:val="22"/>
        </w:rPr>
        <w:t>（3）小学数学解题指导方法</w:t>
      </w:r>
    </w:p>
    <w:p w14:paraId="4F9318E5">
      <w:pPr>
        <w:spacing w:line="360" w:lineRule="auto"/>
        <w:ind w:firstLine="482" w:firstLineChars="200"/>
        <w:rPr>
          <w:rFonts w:ascii="宋体" w:hAnsi="宋体"/>
          <w:b/>
          <w:sz w:val="24"/>
          <w:szCs w:val="22"/>
        </w:rPr>
      </w:pPr>
      <w:r>
        <w:rPr>
          <w:rFonts w:ascii="宋体" w:hAnsi="宋体"/>
          <w:b/>
          <w:sz w:val="24"/>
          <w:szCs w:val="22"/>
        </w:rPr>
        <w:t>2.基本要求</w:t>
      </w:r>
    </w:p>
    <w:p w14:paraId="7BF884AE">
      <w:pPr>
        <w:spacing w:line="360" w:lineRule="auto"/>
        <w:ind w:firstLine="480" w:firstLineChars="200"/>
        <w:rPr>
          <w:rFonts w:hint="eastAsia" w:ascii="宋体" w:hAnsi="宋体"/>
          <w:sz w:val="24"/>
          <w:szCs w:val="22"/>
        </w:rPr>
      </w:pPr>
      <w:r>
        <w:rPr>
          <w:rFonts w:hint="eastAsia" w:ascii="宋体" w:hAnsi="宋体"/>
          <w:sz w:val="24"/>
          <w:szCs w:val="22"/>
        </w:rPr>
        <w:t>（1）了解小学数学解题的一般过程。</w:t>
      </w:r>
    </w:p>
    <w:p w14:paraId="36A38901">
      <w:pPr>
        <w:spacing w:line="360" w:lineRule="auto"/>
        <w:ind w:firstLine="480" w:firstLineChars="200"/>
        <w:rPr>
          <w:rFonts w:hint="eastAsia" w:ascii="宋体" w:hAnsi="宋体"/>
          <w:sz w:val="24"/>
          <w:szCs w:val="22"/>
        </w:rPr>
      </w:pPr>
      <w:r>
        <w:rPr>
          <w:rFonts w:hint="eastAsia" w:ascii="宋体" w:hAnsi="宋体"/>
          <w:sz w:val="24"/>
          <w:szCs w:val="22"/>
        </w:rPr>
        <w:t>（2）理解小学数学解题指导的意义。</w:t>
      </w:r>
    </w:p>
    <w:p w14:paraId="33565163">
      <w:pPr>
        <w:spacing w:line="360" w:lineRule="auto"/>
        <w:ind w:firstLine="480" w:firstLineChars="200"/>
        <w:rPr>
          <w:rFonts w:ascii="宋体" w:hAnsi="宋体"/>
          <w:sz w:val="24"/>
          <w:szCs w:val="22"/>
        </w:rPr>
      </w:pPr>
      <w:r>
        <w:rPr>
          <w:rFonts w:hint="eastAsia" w:ascii="宋体" w:hAnsi="宋体"/>
          <w:sz w:val="24"/>
          <w:szCs w:val="22"/>
        </w:rPr>
        <w:t>（3）了解小学数学解题指导的常用方法</w:t>
      </w:r>
    </w:p>
    <w:p w14:paraId="390C77E8">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1AE9F2BF">
      <w:pPr>
        <w:spacing w:line="360" w:lineRule="auto"/>
        <w:ind w:firstLine="480" w:firstLineChars="200"/>
        <w:rPr>
          <w:rFonts w:hint="eastAsia" w:ascii="宋体" w:hAnsi="宋体"/>
          <w:sz w:val="24"/>
          <w:szCs w:val="22"/>
        </w:rPr>
      </w:pPr>
      <w:r>
        <w:rPr>
          <w:rFonts w:hint="eastAsia" w:ascii="宋体" w:hAnsi="宋体"/>
          <w:sz w:val="24"/>
          <w:szCs w:val="22"/>
        </w:rPr>
        <w:t>养成严谨的学习态度，掌握科学、严谨的学习方法，获得积极的小学教学体验。</w:t>
      </w:r>
    </w:p>
    <w:p w14:paraId="6BEC023F">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小学数学解题指导方法</w:t>
      </w:r>
    </w:p>
    <w:p w14:paraId="43F20D9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小学数学解题指导方法</w:t>
      </w:r>
    </w:p>
    <w:p w14:paraId="7E05BF97">
      <w:pPr>
        <w:spacing w:line="360" w:lineRule="auto"/>
        <w:ind w:firstLine="482" w:firstLineChars="200"/>
        <w:outlineLvl w:val="0"/>
        <w:rPr>
          <w:rFonts w:hint="eastAsia" w:ascii="宋体" w:hAnsi="宋体"/>
          <w:b/>
          <w:sz w:val="24"/>
          <w:szCs w:val="22"/>
        </w:rPr>
      </w:pPr>
      <w:r>
        <w:rPr>
          <w:rFonts w:hint="eastAsia" w:ascii="宋体" w:hAnsi="宋体"/>
          <w:b/>
          <w:sz w:val="24"/>
          <w:szCs w:val="22"/>
        </w:rPr>
        <w:t>（二）数与代数解题指导（本模块各知识点的讲授与学习，可以支撑课程目标1、2、3）</w:t>
      </w:r>
    </w:p>
    <w:p w14:paraId="6439A13A">
      <w:pPr>
        <w:spacing w:line="360" w:lineRule="auto"/>
        <w:ind w:firstLine="482" w:firstLineChars="200"/>
        <w:rPr>
          <w:rFonts w:ascii="宋体" w:hAnsi="宋体"/>
          <w:b/>
          <w:sz w:val="24"/>
          <w:szCs w:val="22"/>
        </w:rPr>
      </w:pPr>
      <w:r>
        <w:rPr>
          <w:rFonts w:ascii="宋体" w:hAnsi="宋体"/>
          <w:b/>
          <w:sz w:val="24"/>
          <w:szCs w:val="22"/>
        </w:rPr>
        <w:t>1.教学内容</w:t>
      </w:r>
    </w:p>
    <w:p w14:paraId="15933AE4">
      <w:pPr>
        <w:spacing w:line="360" w:lineRule="auto"/>
        <w:ind w:firstLine="480" w:firstLineChars="200"/>
        <w:rPr>
          <w:rFonts w:hint="eastAsia" w:ascii="宋体" w:hAnsi="宋体"/>
          <w:sz w:val="24"/>
          <w:szCs w:val="22"/>
        </w:rPr>
      </w:pPr>
      <w:r>
        <w:rPr>
          <w:rFonts w:hint="eastAsia" w:ascii="宋体" w:hAnsi="宋体"/>
          <w:sz w:val="24"/>
          <w:szCs w:val="22"/>
        </w:rPr>
        <w:t>（1）简便运算</w:t>
      </w:r>
    </w:p>
    <w:p w14:paraId="7F7D8E98">
      <w:pPr>
        <w:spacing w:line="360" w:lineRule="auto"/>
        <w:ind w:firstLine="480" w:firstLineChars="200"/>
        <w:rPr>
          <w:rFonts w:hint="eastAsia" w:ascii="宋体" w:hAnsi="宋体"/>
          <w:sz w:val="24"/>
          <w:szCs w:val="22"/>
        </w:rPr>
      </w:pPr>
      <w:r>
        <w:rPr>
          <w:rFonts w:hint="eastAsia" w:ascii="宋体" w:hAnsi="宋体"/>
          <w:sz w:val="24"/>
          <w:szCs w:val="22"/>
        </w:rPr>
        <w:t>（2）探索规律</w:t>
      </w:r>
    </w:p>
    <w:p w14:paraId="3AC3363A">
      <w:pPr>
        <w:spacing w:line="360" w:lineRule="auto"/>
        <w:ind w:firstLine="480" w:firstLineChars="200"/>
        <w:rPr>
          <w:rFonts w:hint="eastAsia" w:ascii="宋体" w:hAnsi="宋体"/>
          <w:sz w:val="24"/>
          <w:szCs w:val="22"/>
        </w:rPr>
      </w:pPr>
      <w:r>
        <w:rPr>
          <w:rFonts w:hint="eastAsia" w:ascii="宋体" w:hAnsi="宋体"/>
          <w:sz w:val="24"/>
          <w:szCs w:val="22"/>
        </w:rPr>
        <w:t>（3）数量关系</w:t>
      </w:r>
    </w:p>
    <w:p w14:paraId="171A31A3">
      <w:pPr>
        <w:spacing w:line="360" w:lineRule="auto"/>
        <w:ind w:firstLine="480" w:firstLineChars="200"/>
        <w:rPr>
          <w:rFonts w:ascii="宋体" w:hAnsi="宋体"/>
          <w:sz w:val="24"/>
          <w:szCs w:val="22"/>
        </w:rPr>
      </w:pPr>
      <w:r>
        <w:rPr>
          <w:rFonts w:hint="eastAsia" w:ascii="宋体" w:hAnsi="宋体"/>
          <w:sz w:val="24"/>
          <w:szCs w:val="22"/>
        </w:rPr>
        <w:t>（4）典型问题</w:t>
      </w:r>
    </w:p>
    <w:p w14:paraId="0CBDDC28">
      <w:pPr>
        <w:spacing w:line="360" w:lineRule="auto"/>
        <w:ind w:firstLine="482" w:firstLineChars="200"/>
        <w:rPr>
          <w:rFonts w:ascii="宋体" w:hAnsi="宋体"/>
          <w:b/>
          <w:sz w:val="24"/>
          <w:szCs w:val="22"/>
        </w:rPr>
      </w:pPr>
      <w:r>
        <w:rPr>
          <w:rFonts w:ascii="宋体" w:hAnsi="宋体"/>
          <w:b/>
          <w:sz w:val="24"/>
          <w:szCs w:val="22"/>
        </w:rPr>
        <w:t>2.基本要求</w:t>
      </w:r>
    </w:p>
    <w:p w14:paraId="2BB97730">
      <w:pPr>
        <w:spacing w:line="360" w:lineRule="auto"/>
        <w:ind w:firstLine="480" w:firstLineChars="200"/>
        <w:rPr>
          <w:rFonts w:hint="eastAsia" w:ascii="宋体" w:hAnsi="宋体"/>
          <w:sz w:val="24"/>
          <w:szCs w:val="22"/>
        </w:rPr>
      </w:pPr>
      <w:r>
        <w:rPr>
          <w:rFonts w:hint="eastAsia" w:ascii="宋体" w:hAnsi="宋体"/>
          <w:sz w:val="24"/>
          <w:szCs w:val="22"/>
        </w:rPr>
        <w:t>（1）掌握简便运算的解题技巧。</w:t>
      </w:r>
    </w:p>
    <w:p w14:paraId="316C829F">
      <w:pPr>
        <w:spacing w:line="360" w:lineRule="auto"/>
        <w:ind w:firstLine="480" w:firstLineChars="200"/>
        <w:rPr>
          <w:rFonts w:hint="eastAsia" w:ascii="宋体" w:hAnsi="宋体"/>
          <w:sz w:val="24"/>
          <w:szCs w:val="22"/>
        </w:rPr>
      </w:pPr>
      <w:r>
        <w:rPr>
          <w:rFonts w:hint="eastAsia" w:ascii="宋体" w:hAnsi="宋体"/>
          <w:sz w:val="24"/>
          <w:szCs w:val="22"/>
        </w:rPr>
        <w:t>（2）掌握探索规律问题的解题技巧。</w:t>
      </w:r>
    </w:p>
    <w:p w14:paraId="3BC8C7FE">
      <w:pPr>
        <w:spacing w:line="360" w:lineRule="auto"/>
        <w:ind w:firstLine="480" w:firstLineChars="200"/>
        <w:rPr>
          <w:rFonts w:hint="eastAsia" w:ascii="宋体" w:hAnsi="宋体"/>
          <w:sz w:val="24"/>
          <w:szCs w:val="22"/>
        </w:rPr>
      </w:pPr>
      <w:r>
        <w:rPr>
          <w:rFonts w:hint="eastAsia" w:ascii="宋体" w:hAnsi="宋体"/>
          <w:sz w:val="24"/>
          <w:szCs w:val="22"/>
        </w:rPr>
        <w:t>（3）理解数量关系对于问题解决的意义。</w:t>
      </w:r>
    </w:p>
    <w:p w14:paraId="76CB6B00">
      <w:pPr>
        <w:spacing w:line="360" w:lineRule="auto"/>
        <w:ind w:firstLine="480" w:firstLineChars="200"/>
        <w:rPr>
          <w:rFonts w:ascii="宋体" w:hAnsi="宋体"/>
          <w:sz w:val="24"/>
          <w:szCs w:val="22"/>
        </w:rPr>
      </w:pPr>
      <w:r>
        <w:rPr>
          <w:rFonts w:hint="eastAsia" w:ascii="宋体" w:hAnsi="宋体"/>
          <w:sz w:val="24"/>
          <w:szCs w:val="22"/>
        </w:rPr>
        <w:t>（4）具备典型数与代数问题的解题指导能力。</w:t>
      </w:r>
    </w:p>
    <w:p w14:paraId="0C52A2F9">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3E6C0BF">
      <w:pPr>
        <w:spacing w:line="360" w:lineRule="auto"/>
        <w:ind w:firstLine="480" w:firstLineChars="200"/>
        <w:rPr>
          <w:rFonts w:ascii="宋体" w:hAnsi="宋体"/>
          <w:sz w:val="24"/>
          <w:szCs w:val="22"/>
        </w:rPr>
      </w:pPr>
      <w:r>
        <w:rPr>
          <w:rFonts w:hint="eastAsia" w:ascii="宋体" w:hAnsi="宋体"/>
          <w:sz w:val="24"/>
          <w:szCs w:val="22"/>
        </w:rPr>
        <w:t>养成严谨的学习态度，掌握科学、严谨的学习方法，注重创新精神的培养，树立以学生为主体的教学理念，体会数学文化的魅力，获得积极的小学教学体验。</w:t>
      </w:r>
    </w:p>
    <w:p w14:paraId="26F985C0">
      <w:pPr>
        <w:spacing w:line="360" w:lineRule="auto"/>
        <w:ind w:firstLine="482" w:firstLineChars="200"/>
        <w:rPr>
          <w:rFonts w:hint="eastAsia" w:ascii="宋体" w:hAnsi="宋体"/>
          <w:sz w:val="24"/>
          <w:szCs w:val="22"/>
        </w:rPr>
      </w:pPr>
      <w:r>
        <w:rPr>
          <w:rFonts w:hint="eastAsia" w:ascii="宋体" w:hAnsi="宋体"/>
          <w:b/>
          <w:bCs/>
          <w:sz w:val="24"/>
          <w:szCs w:val="22"/>
        </w:rPr>
        <w:t>教学重点：</w:t>
      </w:r>
      <w:r>
        <w:rPr>
          <w:rFonts w:hint="eastAsia" w:ascii="宋体" w:hAnsi="宋体"/>
          <w:sz w:val="24"/>
          <w:szCs w:val="22"/>
        </w:rPr>
        <w:t>小学数学解题技巧</w:t>
      </w:r>
    </w:p>
    <w:p w14:paraId="35B30090">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理解数量关系对于问题解决的意义</w:t>
      </w:r>
    </w:p>
    <w:p w14:paraId="5915417C">
      <w:pPr>
        <w:spacing w:line="360" w:lineRule="auto"/>
        <w:ind w:firstLine="482" w:firstLineChars="200"/>
        <w:outlineLvl w:val="0"/>
        <w:rPr>
          <w:rFonts w:ascii="宋体" w:hAnsi="宋体"/>
          <w:b/>
          <w:sz w:val="24"/>
          <w:szCs w:val="22"/>
        </w:rPr>
      </w:pPr>
      <w:r>
        <w:rPr>
          <w:rFonts w:hint="eastAsia" w:ascii="宋体" w:hAnsi="宋体"/>
          <w:b/>
          <w:sz w:val="24"/>
          <w:szCs w:val="22"/>
        </w:rPr>
        <w:t>（三）图形与几何解题指导（本模块各知识点的讲授与学习，可以支撑课程目标1、</w:t>
      </w:r>
      <w:r>
        <w:rPr>
          <w:rFonts w:ascii="宋体" w:hAnsi="宋体"/>
          <w:b/>
          <w:sz w:val="24"/>
          <w:szCs w:val="22"/>
        </w:rPr>
        <w:t>2</w:t>
      </w:r>
      <w:r>
        <w:rPr>
          <w:rFonts w:hint="eastAsia" w:ascii="宋体" w:hAnsi="宋体"/>
          <w:b/>
          <w:sz w:val="24"/>
          <w:szCs w:val="22"/>
        </w:rPr>
        <w:t>、3）</w:t>
      </w:r>
    </w:p>
    <w:p w14:paraId="1562E0FB">
      <w:pPr>
        <w:spacing w:line="360" w:lineRule="auto"/>
        <w:ind w:firstLine="482" w:firstLineChars="200"/>
        <w:rPr>
          <w:rFonts w:ascii="宋体" w:hAnsi="宋体"/>
          <w:b/>
          <w:sz w:val="24"/>
          <w:szCs w:val="22"/>
        </w:rPr>
      </w:pPr>
      <w:r>
        <w:rPr>
          <w:rFonts w:ascii="宋体" w:hAnsi="宋体"/>
          <w:b/>
          <w:sz w:val="24"/>
          <w:szCs w:val="22"/>
        </w:rPr>
        <w:t>1.教学内容</w:t>
      </w:r>
    </w:p>
    <w:p w14:paraId="5D56378E">
      <w:pPr>
        <w:spacing w:line="360" w:lineRule="auto"/>
        <w:ind w:firstLine="480" w:firstLineChars="200"/>
        <w:rPr>
          <w:rFonts w:hint="eastAsia" w:ascii="宋体" w:hAnsi="宋体"/>
          <w:sz w:val="24"/>
          <w:szCs w:val="22"/>
        </w:rPr>
      </w:pPr>
      <w:r>
        <w:rPr>
          <w:rFonts w:hint="eastAsia" w:ascii="宋体" w:hAnsi="宋体"/>
          <w:sz w:val="24"/>
          <w:szCs w:val="22"/>
        </w:rPr>
        <w:t>（1）图形的认识问题</w:t>
      </w:r>
    </w:p>
    <w:p w14:paraId="5B69917C">
      <w:pPr>
        <w:spacing w:line="360" w:lineRule="auto"/>
        <w:ind w:firstLine="480" w:firstLineChars="200"/>
        <w:rPr>
          <w:rFonts w:hint="eastAsia" w:ascii="宋体" w:hAnsi="宋体"/>
          <w:sz w:val="24"/>
          <w:szCs w:val="22"/>
        </w:rPr>
      </w:pPr>
      <w:r>
        <w:rPr>
          <w:rFonts w:hint="eastAsia" w:ascii="宋体" w:hAnsi="宋体"/>
          <w:sz w:val="24"/>
          <w:szCs w:val="22"/>
        </w:rPr>
        <w:t>（2）图形的测量问题</w:t>
      </w:r>
    </w:p>
    <w:p w14:paraId="4CB7E778">
      <w:pPr>
        <w:spacing w:line="360" w:lineRule="auto"/>
        <w:ind w:firstLine="480" w:firstLineChars="200"/>
        <w:rPr>
          <w:rFonts w:ascii="宋体" w:hAnsi="宋体"/>
          <w:sz w:val="24"/>
          <w:szCs w:val="22"/>
        </w:rPr>
      </w:pPr>
      <w:r>
        <w:rPr>
          <w:rFonts w:hint="eastAsia" w:ascii="宋体" w:hAnsi="宋体"/>
          <w:sz w:val="24"/>
          <w:szCs w:val="22"/>
        </w:rPr>
        <w:t>（3）图形的运动与变换问题</w:t>
      </w:r>
    </w:p>
    <w:p w14:paraId="31F7D946">
      <w:pPr>
        <w:spacing w:line="360" w:lineRule="auto"/>
        <w:ind w:firstLine="482" w:firstLineChars="200"/>
        <w:rPr>
          <w:rFonts w:ascii="宋体" w:hAnsi="宋体"/>
          <w:b/>
          <w:sz w:val="24"/>
          <w:szCs w:val="22"/>
        </w:rPr>
      </w:pPr>
      <w:r>
        <w:rPr>
          <w:rFonts w:ascii="宋体" w:hAnsi="宋体"/>
          <w:b/>
          <w:sz w:val="24"/>
          <w:szCs w:val="22"/>
        </w:rPr>
        <w:t>2.基本要求</w:t>
      </w:r>
    </w:p>
    <w:p w14:paraId="07D4ABD2">
      <w:pPr>
        <w:spacing w:line="360" w:lineRule="auto"/>
        <w:ind w:firstLine="480" w:firstLineChars="200"/>
        <w:rPr>
          <w:rFonts w:hint="eastAsia" w:ascii="宋体" w:hAnsi="宋体"/>
          <w:sz w:val="24"/>
          <w:szCs w:val="22"/>
        </w:rPr>
      </w:pPr>
      <w:r>
        <w:rPr>
          <w:rFonts w:hint="eastAsia" w:ascii="宋体" w:hAnsi="宋体"/>
          <w:sz w:val="24"/>
          <w:szCs w:val="22"/>
        </w:rPr>
        <w:t>（1）理解图形的认识与测量问题的解题思路。</w:t>
      </w:r>
    </w:p>
    <w:p w14:paraId="46179F85">
      <w:pPr>
        <w:spacing w:line="360" w:lineRule="auto"/>
        <w:ind w:firstLine="480" w:firstLineChars="200"/>
        <w:rPr>
          <w:rFonts w:hint="eastAsia" w:ascii="宋体" w:hAnsi="宋体"/>
          <w:sz w:val="24"/>
          <w:szCs w:val="22"/>
        </w:rPr>
      </w:pPr>
      <w:r>
        <w:rPr>
          <w:rFonts w:hint="eastAsia" w:ascii="宋体" w:hAnsi="宋体"/>
          <w:sz w:val="24"/>
          <w:szCs w:val="22"/>
        </w:rPr>
        <w:t>（2）掌握图形的认识与测量问题的解题技巧。</w:t>
      </w:r>
    </w:p>
    <w:p w14:paraId="197863E2">
      <w:pPr>
        <w:spacing w:line="360" w:lineRule="auto"/>
        <w:ind w:firstLine="480" w:firstLineChars="200"/>
        <w:rPr>
          <w:rFonts w:ascii="宋体" w:hAnsi="宋体"/>
          <w:sz w:val="24"/>
          <w:szCs w:val="22"/>
        </w:rPr>
      </w:pPr>
      <w:r>
        <w:rPr>
          <w:rFonts w:hint="eastAsia" w:ascii="宋体" w:hAnsi="宋体"/>
          <w:sz w:val="24"/>
          <w:szCs w:val="22"/>
        </w:rPr>
        <w:t>（3）掌握图形的运动与变换问题的解题技巧。</w:t>
      </w:r>
    </w:p>
    <w:p w14:paraId="0EFE22B4">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15F594AC">
      <w:pPr>
        <w:spacing w:line="360" w:lineRule="auto"/>
        <w:ind w:firstLine="480" w:firstLineChars="200"/>
        <w:rPr>
          <w:rFonts w:ascii="宋体" w:hAnsi="宋体"/>
          <w:sz w:val="24"/>
          <w:szCs w:val="22"/>
        </w:rPr>
      </w:pPr>
      <w:r>
        <w:rPr>
          <w:rFonts w:hint="eastAsia" w:ascii="宋体" w:hAnsi="宋体"/>
          <w:sz w:val="24"/>
          <w:szCs w:val="22"/>
        </w:rPr>
        <w:t>养成严谨的学习态度，掌握科学、严谨的学习方法，注重创新精神的培养，树立以学生为主体的教学理念，体会数学文化的魅力，获得积极的小学教学体验。</w:t>
      </w:r>
    </w:p>
    <w:p w14:paraId="0C315C03">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掌握图形的认识与测量问题的解题技巧</w:t>
      </w:r>
    </w:p>
    <w:p w14:paraId="17FB2D4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理解图形的认识与测量问题的解题思路</w:t>
      </w:r>
    </w:p>
    <w:p w14:paraId="571ECE76">
      <w:pPr>
        <w:spacing w:line="360" w:lineRule="auto"/>
        <w:ind w:firstLine="482" w:firstLineChars="200"/>
        <w:outlineLvl w:val="0"/>
        <w:rPr>
          <w:rFonts w:hint="eastAsia" w:ascii="宋体" w:hAnsi="宋体"/>
          <w:b/>
          <w:sz w:val="24"/>
          <w:szCs w:val="22"/>
        </w:rPr>
      </w:pPr>
      <w:r>
        <w:rPr>
          <w:rFonts w:hint="eastAsia" w:ascii="宋体" w:hAnsi="宋体"/>
          <w:b/>
          <w:sz w:val="24"/>
          <w:szCs w:val="22"/>
        </w:rPr>
        <w:t>（四）统计与概念解题指导（本模块各知识点的讲授与学习，可以支撑课程目标1、2、</w:t>
      </w:r>
      <w:r>
        <w:rPr>
          <w:rFonts w:ascii="宋体" w:hAnsi="宋体"/>
          <w:b/>
          <w:sz w:val="24"/>
          <w:szCs w:val="22"/>
        </w:rPr>
        <w:t>3</w:t>
      </w:r>
      <w:r>
        <w:rPr>
          <w:rFonts w:hint="eastAsia" w:ascii="宋体" w:hAnsi="宋体"/>
          <w:b/>
          <w:sz w:val="24"/>
          <w:szCs w:val="22"/>
        </w:rPr>
        <w:t>）</w:t>
      </w:r>
    </w:p>
    <w:p w14:paraId="069B1A6E">
      <w:pPr>
        <w:spacing w:line="360" w:lineRule="auto"/>
        <w:ind w:firstLine="482" w:firstLineChars="200"/>
        <w:rPr>
          <w:rFonts w:ascii="宋体" w:hAnsi="宋体"/>
          <w:b/>
          <w:sz w:val="24"/>
          <w:szCs w:val="22"/>
        </w:rPr>
      </w:pPr>
      <w:r>
        <w:rPr>
          <w:rFonts w:ascii="宋体" w:hAnsi="宋体"/>
          <w:b/>
          <w:sz w:val="24"/>
          <w:szCs w:val="22"/>
        </w:rPr>
        <w:t>1.教学内容</w:t>
      </w:r>
    </w:p>
    <w:p w14:paraId="2A9C32BD">
      <w:pPr>
        <w:spacing w:line="360" w:lineRule="auto"/>
        <w:ind w:firstLine="480" w:firstLineChars="200"/>
        <w:rPr>
          <w:rFonts w:hint="eastAsia" w:ascii="宋体" w:hAnsi="宋体"/>
          <w:sz w:val="24"/>
          <w:szCs w:val="22"/>
        </w:rPr>
      </w:pPr>
      <w:r>
        <w:rPr>
          <w:rFonts w:hint="eastAsia" w:ascii="宋体" w:hAnsi="宋体"/>
          <w:sz w:val="24"/>
          <w:szCs w:val="22"/>
        </w:rPr>
        <w:t>（1）数据的收集与整理问题</w:t>
      </w:r>
    </w:p>
    <w:p w14:paraId="79A4C93C">
      <w:pPr>
        <w:spacing w:line="360" w:lineRule="auto"/>
        <w:ind w:firstLine="480" w:firstLineChars="200"/>
        <w:rPr>
          <w:rFonts w:hint="eastAsia" w:ascii="宋体" w:hAnsi="宋体"/>
          <w:sz w:val="24"/>
          <w:szCs w:val="22"/>
        </w:rPr>
      </w:pPr>
      <w:r>
        <w:rPr>
          <w:rFonts w:hint="eastAsia" w:ascii="宋体" w:hAnsi="宋体"/>
          <w:sz w:val="24"/>
          <w:szCs w:val="22"/>
        </w:rPr>
        <w:t>（2）平均问题</w:t>
      </w:r>
    </w:p>
    <w:p w14:paraId="70D71CF0">
      <w:pPr>
        <w:spacing w:line="360" w:lineRule="auto"/>
        <w:ind w:firstLine="480" w:firstLineChars="200"/>
        <w:rPr>
          <w:rFonts w:ascii="宋体" w:hAnsi="宋体"/>
          <w:sz w:val="24"/>
          <w:szCs w:val="22"/>
        </w:rPr>
      </w:pPr>
      <w:r>
        <w:rPr>
          <w:rFonts w:hint="eastAsia" w:ascii="宋体" w:hAnsi="宋体"/>
          <w:sz w:val="24"/>
          <w:szCs w:val="22"/>
        </w:rPr>
        <w:t>（3）可能性问题</w:t>
      </w:r>
    </w:p>
    <w:p w14:paraId="4C1CC50A">
      <w:pPr>
        <w:spacing w:line="360" w:lineRule="auto"/>
        <w:ind w:firstLine="482" w:firstLineChars="200"/>
        <w:rPr>
          <w:rFonts w:ascii="宋体" w:hAnsi="宋体"/>
          <w:b/>
          <w:sz w:val="24"/>
          <w:szCs w:val="22"/>
        </w:rPr>
      </w:pPr>
      <w:r>
        <w:rPr>
          <w:rFonts w:ascii="宋体" w:hAnsi="宋体"/>
          <w:b/>
          <w:sz w:val="24"/>
          <w:szCs w:val="22"/>
        </w:rPr>
        <w:t>2.基本要求</w:t>
      </w:r>
    </w:p>
    <w:p w14:paraId="0805F9E4">
      <w:pPr>
        <w:spacing w:line="360" w:lineRule="auto"/>
        <w:ind w:firstLine="480" w:firstLineChars="200"/>
        <w:rPr>
          <w:rFonts w:hint="eastAsia" w:ascii="宋体" w:hAnsi="宋体"/>
          <w:sz w:val="24"/>
          <w:szCs w:val="22"/>
        </w:rPr>
      </w:pPr>
      <w:r>
        <w:rPr>
          <w:rFonts w:hint="eastAsia" w:ascii="宋体" w:hAnsi="宋体"/>
          <w:sz w:val="24"/>
          <w:szCs w:val="22"/>
        </w:rPr>
        <w:t>（1）掌握数据收集、整理类问题的解题技巧。</w:t>
      </w:r>
    </w:p>
    <w:p w14:paraId="30871DC3">
      <w:pPr>
        <w:spacing w:line="360" w:lineRule="auto"/>
        <w:ind w:firstLine="480" w:firstLineChars="200"/>
        <w:rPr>
          <w:rFonts w:hint="eastAsia" w:ascii="宋体" w:hAnsi="宋体"/>
          <w:sz w:val="24"/>
          <w:szCs w:val="22"/>
        </w:rPr>
      </w:pPr>
      <w:r>
        <w:rPr>
          <w:rFonts w:hint="eastAsia" w:ascii="宋体" w:hAnsi="宋体"/>
          <w:sz w:val="24"/>
          <w:szCs w:val="22"/>
        </w:rPr>
        <w:t>（2）理解平均问题的解题思路。</w:t>
      </w:r>
    </w:p>
    <w:p w14:paraId="14B0F925">
      <w:pPr>
        <w:spacing w:line="360" w:lineRule="auto"/>
        <w:ind w:firstLine="480" w:firstLineChars="200"/>
        <w:rPr>
          <w:rFonts w:hint="eastAsia" w:ascii="宋体" w:hAnsi="宋体"/>
          <w:sz w:val="24"/>
          <w:szCs w:val="22"/>
        </w:rPr>
      </w:pPr>
      <w:r>
        <w:rPr>
          <w:rFonts w:hint="eastAsia" w:ascii="宋体" w:hAnsi="宋体"/>
          <w:sz w:val="24"/>
          <w:szCs w:val="22"/>
        </w:rPr>
        <w:t>（3）掌握可能性问题的解题技巧。</w:t>
      </w:r>
    </w:p>
    <w:p w14:paraId="7CEEFC06">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4E4FD490">
      <w:pPr>
        <w:spacing w:line="360" w:lineRule="auto"/>
        <w:ind w:firstLine="480" w:firstLineChars="200"/>
        <w:rPr>
          <w:rFonts w:hint="eastAsia" w:ascii="宋体" w:hAnsi="宋体"/>
          <w:sz w:val="24"/>
          <w:szCs w:val="22"/>
        </w:rPr>
      </w:pPr>
      <w:r>
        <w:rPr>
          <w:rFonts w:hint="eastAsia" w:ascii="宋体" w:hAnsi="宋体"/>
          <w:sz w:val="24"/>
          <w:szCs w:val="22"/>
        </w:rPr>
        <w:t>养成严谨的学习态度，掌握科学、严谨的学习方法，注重创新精神的培养，树立以学生为主体的教学理念，体会数学文化的魅力，获得积极的小学教学体验。</w:t>
      </w:r>
    </w:p>
    <w:p w14:paraId="71BD087B">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掌握数据收集、整理类问题的解题技巧。</w:t>
      </w:r>
    </w:p>
    <w:p w14:paraId="2381762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掌握可能性问题的解题技巧</w:t>
      </w:r>
    </w:p>
    <w:p w14:paraId="2AB454EA">
      <w:pPr>
        <w:spacing w:line="360" w:lineRule="auto"/>
        <w:ind w:firstLine="482" w:firstLineChars="200"/>
        <w:outlineLvl w:val="0"/>
        <w:rPr>
          <w:rFonts w:hint="eastAsia" w:ascii="宋体" w:hAnsi="宋体"/>
          <w:b/>
          <w:sz w:val="24"/>
          <w:szCs w:val="22"/>
        </w:rPr>
      </w:pPr>
      <w:r>
        <w:rPr>
          <w:rFonts w:hint="eastAsia" w:ascii="宋体" w:hAnsi="宋体"/>
          <w:b/>
          <w:sz w:val="24"/>
          <w:szCs w:val="22"/>
        </w:rPr>
        <w:t>（五）小学数学竞赛题指导（本模块各知识点的讲授与学习，可以支撑课程目标1、2、3）</w:t>
      </w:r>
    </w:p>
    <w:p w14:paraId="1D960E3D">
      <w:pPr>
        <w:spacing w:line="360" w:lineRule="auto"/>
        <w:ind w:firstLine="482" w:firstLineChars="200"/>
        <w:rPr>
          <w:rFonts w:ascii="宋体" w:hAnsi="宋体"/>
          <w:b/>
          <w:sz w:val="24"/>
          <w:szCs w:val="22"/>
        </w:rPr>
      </w:pPr>
      <w:r>
        <w:rPr>
          <w:rFonts w:ascii="宋体" w:hAnsi="宋体"/>
          <w:b/>
          <w:sz w:val="24"/>
          <w:szCs w:val="22"/>
        </w:rPr>
        <w:t>1.教学内容</w:t>
      </w:r>
    </w:p>
    <w:p w14:paraId="4624C81E">
      <w:pPr>
        <w:spacing w:line="360" w:lineRule="auto"/>
        <w:ind w:firstLine="480" w:firstLineChars="200"/>
        <w:rPr>
          <w:rFonts w:hint="eastAsia" w:ascii="宋体" w:hAnsi="宋体"/>
          <w:sz w:val="24"/>
          <w:szCs w:val="22"/>
        </w:rPr>
      </w:pPr>
      <w:r>
        <w:rPr>
          <w:rFonts w:hint="eastAsia" w:ascii="宋体" w:hAnsi="宋体"/>
          <w:sz w:val="24"/>
          <w:szCs w:val="22"/>
        </w:rPr>
        <w:t>（1）小学数学竞赛题的类型</w:t>
      </w:r>
    </w:p>
    <w:p w14:paraId="66711D52">
      <w:pPr>
        <w:spacing w:line="360" w:lineRule="auto"/>
        <w:ind w:firstLine="480" w:firstLineChars="200"/>
        <w:rPr>
          <w:rFonts w:hint="eastAsia" w:ascii="宋体" w:hAnsi="宋体"/>
          <w:sz w:val="24"/>
          <w:szCs w:val="22"/>
        </w:rPr>
      </w:pPr>
      <w:r>
        <w:rPr>
          <w:rFonts w:hint="eastAsia" w:ascii="宋体" w:hAnsi="宋体"/>
          <w:sz w:val="24"/>
          <w:szCs w:val="22"/>
        </w:rPr>
        <w:t>（2）常见的小学数学竞赛题型分析</w:t>
      </w:r>
    </w:p>
    <w:p w14:paraId="14FEDF1D">
      <w:pPr>
        <w:spacing w:line="360" w:lineRule="auto"/>
        <w:ind w:firstLine="480" w:firstLineChars="200"/>
        <w:rPr>
          <w:rFonts w:ascii="宋体" w:hAnsi="宋体"/>
          <w:sz w:val="24"/>
          <w:szCs w:val="22"/>
        </w:rPr>
      </w:pPr>
      <w:r>
        <w:rPr>
          <w:rFonts w:hint="eastAsia" w:ascii="宋体" w:hAnsi="宋体"/>
          <w:sz w:val="24"/>
          <w:szCs w:val="22"/>
        </w:rPr>
        <w:t>（3）小学数学竞赛题的解题技巧</w:t>
      </w:r>
    </w:p>
    <w:p w14:paraId="203388C0">
      <w:pPr>
        <w:spacing w:line="360" w:lineRule="auto"/>
        <w:ind w:firstLine="482" w:firstLineChars="200"/>
        <w:rPr>
          <w:rFonts w:ascii="宋体" w:hAnsi="宋体"/>
          <w:b/>
          <w:sz w:val="24"/>
          <w:szCs w:val="22"/>
        </w:rPr>
      </w:pPr>
      <w:r>
        <w:rPr>
          <w:rFonts w:ascii="宋体" w:hAnsi="宋体"/>
          <w:b/>
          <w:sz w:val="24"/>
          <w:szCs w:val="22"/>
        </w:rPr>
        <w:t>2.基本要求</w:t>
      </w:r>
    </w:p>
    <w:p w14:paraId="34802910">
      <w:pPr>
        <w:spacing w:line="360" w:lineRule="auto"/>
        <w:ind w:firstLine="480" w:firstLineChars="200"/>
        <w:rPr>
          <w:rFonts w:hint="eastAsia" w:ascii="宋体" w:hAnsi="宋体"/>
          <w:sz w:val="24"/>
          <w:szCs w:val="22"/>
        </w:rPr>
      </w:pPr>
      <w:r>
        <w:rPr>
          <w:rFonts w:hint="eastAsia" w:ascii="宋体" w:hAnsi="宋体"/>
          <w:sz w:val="24"/>
          <w:szCs w:val="22"/>
        </w:rPr>
        <w:t>（1）了解小学数学竞赛的类型。</w:t>
      </w:r>
    </w:p>
    <w:p w14:paraId="79E02331">
      <w:pPr>
        <w:spacing w:line="360" w:lineRule="auto"/>
        <w:ind w:firstLine="480" w:firstLineChars="200"/>
        <w:rPr>
          <w:rFonts w:hint="eastAsia" w:ascii="宋体" w:hAnsi="宋体"/>
          <w:sz w:val="24"/>
          <w:szCs w:val="22"/>
        </w:rPr>
      </w:pPr>
      <w:r>
        <w:rPr>
          <w:rFonts w:hint="eastAsia" w:ascii="宋体" w:hAnsi="宋体"/>
          <w:sz w:val="24"/>
          <w:szCs w:val="22"/>
        </w:rPr>
        <w:t>（2）了解小学数学竞赛的常见题型。</w:t>
      </w:r>
    </w:p>
    <w:p w14:paraId="5F52FDAF">
      <w:pPr>
        <w:spacing w:line="360" w:lineRule="auto"/>
        <w:ind w:firstLine="480" w:firstLineChars="200"/>
        <w:rPr>
          <w:rFonts w:ascii="宋体" w:hAnsi="宋体"/>
          <w:sz w:val="24"/>
          <w:szCs w:val="22"/>
        </w:rPr>
      </w:pPr>
      <w:r>
        <w:rPr>
          <w:rFonts w:hint="eastAsia" w:ascii="宋体" w:hAnsi="宋体"/>
          <w:sz w:val="24"/>
          <w:szCs w:val="22"/>
        </w:rPr>
        <w:t>（3）具备初步的小学数学竞赛指导能力。</w:t>
      </w:r>
    </w:p>
    <w:p w14:paraId="56AB0082">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51E671C">
      <w:pPr>
        <w:spacing w:line="360" w:lineRule="auto"/>
        <w:ind w:firstLine="480" w:firstLineChars="200"/>
        <w:rPr>
          <w:rFonts w:hint="eastAsia" w:ascii="宋体" w:hAnsi="宋体"/>
          <w:sz w:val="24"/>
          <w:szCs w:val="22"/>
        </w:rPr>
      </w:pPr>
      <w:r>
        <w:rPr>
          <w:rFonts w:hint="eastAsia" w:ascii="宋体" w:hAnsi="宋体"/>
          <w:sz w:val="24"/>
          <w:szCs w:val="22"/>
        </w:rPr>
        <w:t>养成严谨的学习态度，掌握科学、严谨的学习方法，树立以学生为主体的教学理念，体会数学文化的魅力，获得积极的小学教学体验。</w:t>
      </w:r>
    </w:p>
    <w:p w14:paraId="27D539BB">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掌握小学数学竞赛常见题型的解题方法</w:t>
      </w:r>
    </w:p>
    <w:p w14:paraId="6CD06DA2">
      <w:pPr>
        <w:spacing w:line="360" w:lineRule="auto"/>
        <w:ind w:firstLine="482" w:firstLineChars="200"/>
        <w:rPr>
          <w:rFonts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b/>
          <w:sz w:val="24"/>
          <w:szCs w:val="22"/>
        </w:rPr>
        <w:t>掌握</w:t>
      </w:r>
      <w:r>
        <w:rPr>
          <w:rFonts w:hint="eastAsia" w:ascii="宋体" w:hAnsi="宋体"/>
          <w:sz w:val="24"/>
          <w:szCs w:val="22"/>
        </w:rPr>
        <w:t>小学数学竞赛指导的方法</w:t>
      </w:r>
    </w:p>
    <w:p w14:paraId="73A42C60">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03F4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6987DC35">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4719D03A">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1321279E">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4D719655">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24FD781A">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04D8B7FD">
            <w:pPr>
              <w:jc w:val="center"/>
              <w:rPr>
                <w:rFonts w:hint="eastAsia" w:ascii="宋体" w:hAnsi="宋体"/>
                <w:b/>
                <w:szCs w:val="21"/>
              </w:rPr>
            </w:pPr>
            <w:r>
              <w:rPr>
                <w:rFonts w:hint="eastAsia" w:ascii="宋体" w:hAnsi="宋体"/>
                <w:b/>
                <w:szCs w:val="21"/>
              </w:rPr>
              <w:t>实践</w:t>
            </w:r>
          </w:p>
          <w:p w14:paraId="6B444320">
            <w:pPr>
              <w:jc w:val="center"/>
              <w:rPr>
                <w:rFonts w:ascii="宋体" w:hAnsi="宋体"/>
                <w:b/>
                <w:szCs w:val="21"/>
              </w:rPr>
            </w:pPr>
            <w:r>
              <w:rPr>
                <w:rFonts w:ascii="宋体" w:hAnsi="宋体"/>
                <w:b/>
                <w:szCs w:val="21"/>
              </w:rPr>
              <w:t>学时</w:t>
            </w:r>
          </w:p>
        </w:tc>
      </w:tr>
      <w:tr w14:paraId="04C3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1A8AAD80">
            <w:pPr>
              <w:jc w:val="center"/>
              <w:rPr>
                <w:rFonts w:ascii="宋体" w:hAnsi="宋体"/>
                <w:szCs w:val="21"/>
              </w:rPr>
            </w:pPr>
            <w:r>
              <w:rPr>
                <w:rFonts w:hint="eastAsia" w:ascii="宋体" w:hAnsi="宋体"/>
                <w:szCs w:val="21"/>
              </w:rPr>
              <w:t>1</w:t>
            </w:r>
          </w:p>
        </w:tc>
        <w:tc>
          <w:tcPr>
            <w:tcW w:w="4110" w:type="dxa"/>
            <w:shd w:val="clear" w:color="auto" w:fill="FFFFFF"/>
            <w:noWrap w:val="0"/>
            <w:vAlign w:val="center"/>
          </w:tcPr>
          <w:p w14:paraId="2C261C1A">
            <w:pPr>
              <w:spacing w:line="360" w:lineRule="auto"/>
              <w:jc w:val="center"/>
              <w:rPr>
                <w:rFonts w:hint="eastAsia" w:ascii="宋体" w:hAnsi="宋体" w:cs="宋体"/>
                <w:kern w:val="0"/>
                <w:szCs w:val="21"/>
              </w:rPr>
            </w:pPr>
            <w:r>
              <w:rPr>
                <w:rFonts w:hint="eastAsia" w:ascii="宋体" w:hAnsi="宋体" w:cs="宋体"/>
                <w:kern w:val="0"/>
                <w:szCs w:val="21"/>
              </w:rPr>
              <w:t>绪论</w:t>
            </w:r>
          </w:p>
        </w:tc>
        <w:tc>
          <w:tcPr>
            <w:tcW w:w="1701" w:type="dxa"/>
            <w:shd w:val="clear" w:color="auto" w:fill="FFFFFF"/>
            <w:noWrap w:val="0"/>
            <w:vAlign w:val="center"/>
          </w:tcPr>
          <w:p w14:paraId="274F73FE">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4520CA07">
            <w:pPr>
              <w:jc w:val="center"/>
              <w:rPr>
                <w:rFonts w:hint="eastAsia" w:ascii="宋体" w:hAnsi="宋体"/>
                <w:szCs w:val="21"/>
              </w:rPr>
            </w:pPr>
            <w:r>
              <w:rPr>
                <w:rFonts w:ascii="宋体" w:hAnsi="宋体"/>
                <w:kern w:val="0"/>
                <w:szCs w:val="21"/>
              </w:rPr>
              <w:t>3-2</w:t>
            </w:r>
          </w:p>
        </w:tc>
        <w:tc>
          <w:tcPr>
            <w:tcW w:w="708" w:type="dxa"/>
            <w:gridSpan w:val="2"/>
            <w:shd w:val="clear" w:color="auto" w:fill="FFFFFF"/>
            <w:noWrap w:val="0"/>
            <w:vAlign w:val="center"/>
          </w:tcPr>
          <w:p w14:paraId="644855E6">
            <w:pPr>
              <w:jc w:val="center"/>
              <w:rPr>
                <w:rFonts w:hint="eastAsia" w:ascii="宋体" w:hAnsi="宋体"/>
                <w:kern w:val="0"/>
                <w:szCs w:val="21"/>
              </w:rPr>
            </w:pPr>
            <w:r>
              <w:rPr>
                <w:rFonts w:hint="eastAsia" w:ascii="宋体" w:hAnsi="宋体"/>
                <w:kern w:val="0"/>
                <w:szCs w:val="21"/>
              </w:rPr>
              <w:t>2</w:t>
            </w:r>
          </w:p>
        </w:tc>
        <w:tc>
          <w:tcPr>
            <w:tcW w:w="709" w:type="dxa"/>
            <w:shd w:val="clear" w:color="auto" w:fill="FFFFFF"/>
            <w:noWrap w:val="0"/>
            <w:vAlign w:val="center"/>
          </w:tcPr>
          <w:p w14:paraId="1C8F3C40">
            <w:pPr>
              <w:jc w:val="center"/>
              <w:rPr>
                <w:rFonts w:ascii="宋体" w:hAnsi="宋体"/>
                <w:kern w:val="0"/>
                <w:szCs w:val="21"/>
              </w:rPr>
            </w:pPr>
          </w:p>
        </w:tc>
      </w:tr>
      <w:tr w14:paraId="0D56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2C0DF4FB">
            <w:pPr>
              <w:jc w:val="center"/>
              <w:rPr>
                <w:rFonts w:ascii="宋体" w:hAnsi="宋体"/>
                <w:szCs w:val="21"/>
              </w:rPr>
            </w:pPr>
            <w:r>
              <w:rPr>
                <w:rFonts w:hint="eastAsia" w:ascii="宋体" w:hAnsi="宋体"/>
                <w:szCs w:val="21"/>
              </w:rPr>
              <w:t>2</w:t>
            </w:r>
          </w:p>
        </w:tc>
        <w:tc>
          <w:tcPr>
            <w:tcW w:w="4110" w:type="dxa"/>
            <w:noWrap w:val="0"/>
            <w:vAlign w:val="center"/>
          </w:tcPr>
          <w:p w14:paraId="1E5933F6">
            <w:pPr>
              <w:spacing w:line="360" w:lineRule="auto"/>
              <w:jc w:val="center"/>
              <w:rPr>
                <w:rFonts w:hint="eastAsia" w:ascii="宋体" w:hAnsi="宋体" w:cs="宋体"/>
                <w:kern w:val="0"/>
                <w:szCs w:val="21"/>
              </w:rPr>
            </w:pPr>
            <w:r>
              <w:rPr>
                <w:rFonts w:hint="eastAsia" w:ascii="宋体" w:hAnsi="宋体" w:cs="宋体"/>
                <w:kern w:val="0"/>
                <w:szCs w:val="21"/>
              </w:rPr>
              <w:t>数与代数解题指导</w:t>
            </w:r>
          </w:p>
        </w:tc>
        <w:tc>
          <w:tcPr>
            <w:tcW w:w="1701" w:type="dxa"/>
            <w:noWrap w:val="0"/>
            <w:vAlign w:val="center"/>
          </w:tcPr>
          <w:p w14:paraId="397BB853">
            <w:pPr>
              <w:jc w:val="center"/>
              <w:rPr>
                <w:rFonts w:ascii="宋体" w:hAnsi="宋体"/>
                <w:szCs w:val="21"/>
              </w:rPr>
            </w:pPr>
            <w:r>
              <w:rPr>
                <w:rFonts w:hint="eastAsia" w:ascii="宋体" w:hAnsi="宋体"/>
                <w:kern w:val="0"/>
                <w:szCs w:val="21"/>
              </w:rPr>
              <w:t>目标2</w:t>
            </w:r>
          </w:p>
        </w:tc>
        <w:tc>
          <w:tcPr>
            <w:tcW w:w="1418" w:type="dxa"/>
            <w:noWrap w:val="0"/>
            <w:vAlign w:val="center"/>
          </w:tcPr>
          <w:p w14:paraId="534C9FBF">
            <w:pPr>
              <w:jc w:val="center"/>
              <w:rPr>
                <w:rFonts w:ascii="宋体" w:hAnsi="宋体"/>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tc>
        <w:tc>
          <w:tcPr>
            <w:tcW w:w="708" w:type="dxa"/>
            <w:gridSpan w:val="2"/>
            <w:noWrap w:val="0"/>
            <w:vAlign w:val="center"/>
          </w:tcPr>
          <w:p w14:paraId="236CB8EF">
            <w:pPr>
              <w:jc w:val="center"/>
              <w:rPr>
                <w:rFonts w:hint="eastAsia" w:ascii="宋体" w:hAnsi="宋体"/>
                <w:kern w:val="0"/>
                <w:szCs w:val="21"/>
              </w:rPr>
            </w:pPr>
            <w:r>
              <w:rPr>
                <w:rFonts w:hint="eastAsia" w:ascii="宋体" w:hAnsi="宋体"/>
                <w:kern w:val="0"/>
                <w:szCs w:val="21"/>
              </w:rPr>
              <w:t>4</w:t>
            </w:r>
          </w:p>
        </w:tc>
        <w:tc>
          <w:tcPr>
            <w:tcW w:w="709" w:type="dxa"/>
            <w:noWrap w:val="0"/>
            <w:vAlign w:val="center"/>
          </w:tcPr>
          <w:p w14:paraId="5344C88E">
            <w:pPr>
              <w:jc w:val="center"/>
              <w:rPr>
                <w:rFonts w:ascii="宋体" w:hAnsi="宋体"/>
                <w:kern w:val="0"/>
                <w:szCs w:val="21"/>
              </w:rPr>
            </w:pPr>
            <w:r>
              <w:rPr>
                <w:rFonts w:hint="eastAsia" w:ascii="宋体" w:hAnsi="宋体"/>
                <w:kern w:val="0"/>
                <w:szCs w:val="21"/>
              </w:rPr>
              <w:t>4</w:t>
            </w:r>
          </w:p>
        </w:tc>
      </w:tr>
      <w:tr w14:paraId="10FE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1A20AA26">
            <w:pPr>
              <w:jc w:val="center"/>
              <w:rPr>
                <w:rFonts w:hint="eastAsia" w:ascii="宋体" w:hAnsi="宋体"/>
                <w:szCs w:val="21"/>
              </w:rPr>
            </w:pPr>
            <w:r>
              <w:rPr>
                <w:rFonts w:hint="eastAsia" w:ascii="宋体" w:hAnsi="宋体"/>
                <w:szCs w:val="21"/>
              </w:rPr>
              <w:t>3</w:t>
            </w:r>
          </w:p>
        </w:tc>
        <w:tc>
          <w:tcPr>
            <w:tcW w:w="4110" w:type="dxa"/>
            <w:noWrap w:val="0"/>
            <w:vAlign w:val="center"/>
          </w:tcPr>
          <w:p w14:paraId="5E1F7EEA">
            <w:pPr>
              <w:spacing w:line="360" w:lineRule="auto"/>
              <w:jc w:val="center"/>
              <w:rPr>
                <w:rFonts w:hint="eastAsia" w:ascii="宋体" w:hAnsi="宋体" w:cs="宋体"/>
                <w:kern w:val="0"/>
                <w:szCs w:val="21"/>
              </w:rPr>
            </w:pPr>
            <w:r>
              <w:rPr>
                <w:rFonts w:hint="eastAsia" w:ascii="宋体" w:hAnsi="宋体" w:cs="宋体"/>
                <w:kern w:val="0"/>
                <w:szCs w:val="21"/>
              </w:rPr>
              <w:t>图形与几何解题指导</w:t>
            </w:r>
          </w:p>
        </w:tc>
        <w:tc>
          <w:tcPr>
            <w:tcW w:w="1701" w:type="dxa"/>
            <w:noWrap w:val="0"/>
            <w:vAlign w:val="center"/>
          </w:tcPr>
          <w:p w14:paraId="1C92FAF3">
            <w:pPr>
              <w:jc w:val="center"/>
              <w:rPr>
                <w:rFonts w:hint="eastAsia" w:ascii="宋体" w:hAnsi="宋体"/>
                <w:kern w:val="0"/>
                <w:szCs w:val="21"/>
              </w:rPr>
            </w:pPr>
            <w:r>
              <w:rPr>
                <w:rFonts w:hint="eastAsia" w:ascii="宋体" w:hAnsi="宋体"/>
                <w:kern w:val="0"/>
                <w:szCs w:val="21"/>
              </w:rPr>
              <w:t>目标2</w:t>
            </w:r>
          </w:p>
        </w:tc>
        <w:tc>
          <w:tcPr>
            <w:tcW w:w="1418" w:type="dxa"/>
            <w:noWrap w:val="0"/>
            <w:vAlign w:val="center"/>
          </w:tcPr>
          <w:p w14:paraId="5E1A15EC">
            <w:pPr>
              <w:jc w:val="center"/>
              <w:rPr>
                <w:rFonts w:ascii="宋体" w:hAnsi="宋体"/>
                <w:kern w:val="0"/>
                <w:szCs w:val="21"/>
              </w:rPr>
            </w:pPr>
            <w:r>
              <w:rPr>
                <w:rFonts w:hint="eastAsia" w:ascii="宋体" w:hAnsi="宋体"/>
                <w:kern w:val="0"/>
                <w:szCs w:val="21"/>
              </w:rPr>
              <w:t>3-2、4-1</w:t>
            </w:r>
          </w:p>
        </w:tc>
        <w:tc>
          <w:tcPr>
            <w:tcW w:w="708" w:type="dxa"/>
            <w:gridSpan w:val="2"/>
            <w:noWrap w:val="0"/>
            <w:vAlign w:val="center"/>
          </w:tcPr>
          <w:p w14:paraId="1B07A439">
            <w:pPr>
              <w:jc w:val="center"/>
              <w:rPr>
                <w:rFonts w:hint="eastAsia" w:ascii="宋体" w:hAnsi="宋体"/>
                <w:kern w:val="0"/>
                <w:szCs w:val="21"/>
              </w:rPr>
            </w:pPr>
            <w:r>
              <w:rPr>
                <w:rFonts w:hint="eastAsia" w:ascii="宋体" w:hAnsi="宋体"/>
                <w:kern w:val="0"/>
                <w:szCs w:val="21"/>
              </w:rPr>
              <w:t>4</w:t>
            </w:r>
          </w:p>
        </w:tc>
        <w:tc>
          <w:tcPr>
            <w:tcW w:w="709" w:type="dxa"/>
            <w:noWrap w:val="0"/>
            <w:vAlign w:val="center"/>
          </w:tcPr>
          <w:p w14:paraId="5EEADA37">
            <w:pPr>
              <w:jc w:val="center"/>
              <w:rPr>
                <w:rFonts w:ascii="宋体" w:hAnsi="宋体"/>
                <w:kern w:val="0"/>
                <w:szCs w:val="21"/>
              </w:rPr>
            </w:pPr>
            <w:r>
              <w:rPr>
                <w:rFonts w:hint="eastAsia" w:ascii="宋体" w:hAnsi="宋体"/>
                <w:kern w:val="0"/>
                <w:szCs w:val="21"/>
              </w:rPr>
              <w:t>4</w:t>
            </w:r>
          </w:p>
        </w:tc>
      </w:tr>
      <w:tr w14:paraId="149C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62FFE979">
            <w:pPr>
              <w:jc w:val="center"/>
              <w:rPr>
                <w:rFonts w:ascii="宋体" w:hAnsi="宋体"/>
                <w:szCs w:val="21"/>
              </w:rPr>
            </w:pPr>
            <w:r>
              <w:rPr>
                <w:rFonts w:ascii="宋体" w:hAnsi="宋体"/>
                <w:szCs w:val="21"/>
              </w:rPr>
              <w:t>4</w:t>
            </w:r>
          </w:p>
        </w:tc>
        <w:tc>
          <w:tcPr>
            <w:tcW w:w="4110" w:type="dxa"/>
            <w:noWrap w:val="0"/>
            <w:vAlign w:val="center"/>
          </w:tcPr>
          <w:p w14:paraId="4AA85A7B">
            <w:pPr>
              <w:spacing w:line="360" w:lineRule="auto"/>
              <w:jc w:val="center"/>
              <w:rPr>
                <w:rFonts w:hint="eastAsia" w:ascii="宋体" w:hAnsi="宋体" w:cs="宋体"/>
                <w:kern w:val="0"/>
                <w:szCs w:val="21"/>
              </w:rPr>
            </w:pPr>
            <w:r>
              <w:rPr>
                <w:rFonts w:hint="eastAsia" w:ascii="宋体" w:hAnsi="宋体" w:cs="宋体"/>
                <w:kern w:val="0"/>
                <w:szCs w:val="21"/>
              </w:rPr>
              <w:t>统计与概念解题指导</w:t>
            </w:r>
          </w:p>
        </w:tc>
        <w:tc>
          <w:tcPr>
            <w:tcW w:w="1701" w:type="dxa"/>
            <w:noWrap w:val="0"/>
            <w:vAlign w:val="center"/>
          </w:tcPr>
          <w:p w14:paraId="035DA43F">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04BD656F">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2F60545C">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68458350">
            <w:pPr>
              <w:jc w:val="center"/>
              <w:rPr>
                <w:rFonts w:hint="eastAsia" w:ascii="宋体" w:hAnsi="宋体"/>
                <w:kern w:val="0"/>
                <w:szCs w:val="21"/>
              </w:rPr>
            </w:pPr>
            <w:r>
              <w:rPr>
                <w:rFonts w:hint="eastAsia" w:ascii="宋体" w:hAnsi="宋体"/>
                <w:kern w:val="0"/>
                <w:szCs w:val="21"/>
              </w:rPr>
              <w:t>2</w:t>
            </w:r>
          </w:p>
        </w:tc>
        <w:tc>
          <w:tcPr>
            <w:tcW w:w="709" w:type="dxa"/>
            <w:noWrap w:val="0"/>
            <w:vAlign w:val="center"/>
          </w:tcPr>
          <w:p w14:paraId="2C69F52C">
            <w:pPr>
              <w:jc w:val="center"/>
              <w:rPr>
                <w:rFonts w:ascii="宋体" w:hAnsi="宋体"/>
                <w:kern w:val="0"/>
                <w:szCs w:val="21"/>
              </w:rPr>
            </w:pPr>
            <w:r>
              <w:rPr>
                <w:rFonts w:hint="eastAsia" w:ascii="宋体" w:hAnsi="宋体"/>
                <w:kern w:val="0"/>
                <w:szCs w:val="21"/>
              </w:rPr>
              <w:t>4</w:t>
            </w:r>
          </w:p>
        </w:tc>
      </w:tr>
      <w:tr w14:paraId="54F8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0B7E8D58">
            <w:pPr>
              <w:jc w:val="center"/>
              <w:rPr>
                <w:rFonts w:ascii="宋体" w:hAnsi="宋体"/>
                <w:szCs w:val="21"/>
              </w:rPr>
            </w:pPr>
            <w:r>
              <w:rPr>
                <w:rFonts w:ascii="宋体" w:hAnsi="宋体"/>
                <w:szCs w:val="21"/>
              </w:rPr>
              <w:t>5</w:t>
            </w:r>
          </w:p>
        </w:tc>
        <w:tc>
          <w:tcPr>
            <w:tcW w:w="4110" w:type="dxa"/>
            <w:noWrap w:val="0"/>
            <w:vAlign w:val="center"/>
          </w:tcPr>
          <w:p w14:paraId="6976F724">
            <w:pPr>
              <w:spacing w:line="360" w:lineRule="auto"/>
              <w:jc w:val="center"/>
              <w:rPr>
                <w:rFonts w:hint="eastAsia" w:ascii="宋体" w:hAnsi="宋体" w:cs="宋体"/>
                <w:kern w:val="0"/>
                <w:szCs w:val="21"/>
              </w:rPr>
            </w:pPr>
            <w:r>
              <w:rPr>
                <w:rFonts w:hint="eastAsia" w:ascii="宋体" w:hAnsi="宋体" w:cs="宋体"/>
                <w:kern w:val="0"/>
                <w:szCs w:val="21"/>
              </w:rPr>
              <w:t>小学数学竞赛题指导</w:t>
            </w:r>
          </w:p>
        </w:tc>
        <w:tc>
          <w:tcPr>
            <w:tcW w:w="1701" w:type="dxa"/>
            <w:noWrap w:val="0"/>
            <w:vAlign w:val="center"/>
          </w:tcPr>
          <w:p w14:paraId="02A12B56">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1BAA9E38">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10F8E4A3">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2422AA1F">
            <w:pPr>
              <w:jc w:val="center"/>
              <w:rPr>
                <w:rFonts w:ascii="宋体" w:hAnsi="宋体"/>
                <w:kern w:val="0"/>
                <w:szCs w:val="21"/>
              </w:rPr>
            </w:pPr>
            <w:r>
              <w:rPr>
                <w:rFonts w:ascii="宋体" w:hAnsi="宋体"/>
                <w:kern w:val="0"/>
                <w:szCs w:val="21"/>
              </w:rPr>
              <w:t>4</w:t>
            </w:r>
          </w:p>
        </w:tc>
        <w:tc>
          <w:tcPr>
            <w:tcW w:w="709" w:type="dxa"/>
            <w:noWrap w:val="0"/>
            <w:vAlign w:val="center"/>
          </w:tcPr>
          <w:p w14:paraId="182AA1C0">
            <w:pPr>
              <w:jc w:val="center"/>
              <w:rPr>
                <w:rFonts w:ascii="宋体" w:hAnsi="宋体"/>
                <w:kern w:val="0"/>
                <w:szCs w:val="21"/>
              </w:rPr>
            </w:pPr>
            <w:r>
              <w:rPr>
                <w:rFonts w:hint="eastAsia" w:ascii="宋体" w:hAnsi="宋体"/>
                <w:kern w:val="0"/>
                <w:szCs w:val="21"/>
              </w:rPr>
              <w:t>4</w:t>
            </w:r>
          </w:p>
        </w:tc>
      </w:tr>
      <w:tr w14:paraId="617E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6DEC15AF">
            <w:pPr>
              <w:jc w:val="center"/>
              <w:rPr>
                <w:rFonts w:ascii="宋体" w:hAnsi="宋体"/>
                <w:szCs w:val="21"/>
              </w:rPr>
            </w:pPr>
            <w:r>
              <w:rPr>
                <w:rFonts w:ascii="宋体" w:hAnsi="宋体"/>
                <w:szCs w:val="21"/>
              </w:rPr>
              <w:t>合计</w:t>
            </w:r>
          </w:p>
        </w:tc>
        <w:tc>
          <w:tcPr>
            <w:tcW w:w="701" w:type="dxa"/>
            <w:noWrap w:val="0"/>
            <w:vAlign w:val="center"/>
          </w:tcPr>
          <w:p w14:paraId="5907DB93">
            <w:pPr>
              <w:jc w:val="center"/>
              <w:rPr>
                <w:rFonts w:hint="eastAsia" w:ascii="宋体" w:hAnsi="宋体"/>
                <w:kern w:val="0"/>
                <w:szCs w:val="21"/>
              </w:rPr>
            </w:pPr>
            <w:r>
              <w:rPr>
                <w:rFonts w:hint="eastAsia" w:ascii="宋体" w:hAnsi="宋体"/>
                <w:kern w:val="0"/>
                <w:szCs w:val="21"/>
              </w:rPr>
              <w:t>16</w:t>
            </w:r>
          </w:p>
        </w:tc>
        <w:tc>
          <w:tcPr>
            <w:tcW w:w="709" w:type="dxa"/>
            <w:noWrap w:val="0"/>
            <w:vAlign w:val="center"/>
          </w:tcPr>
          <w:p w14:paraId="29CA36C8">
            <w:pPr>
              <w:jc w:val="center"/>
              <w:rPr>
                <w:rFonts w:ascii="宋体" w:hAnsi="宋体"/>
                <w:kern w:val="0"/>
                <w:szCs w:val="21"/>
              </w:rPr>
            </w:pPr>
            <w:r>
              <w:rPr>
                <w:rFonts w:ascii="宋体" w:hAnsi="宋体"/>
                <w:kern w:val="0"/>
                <w:szCs w:val="21"/>
              </w:rPr>
              <w:t>16</w:t>
            </w:r>
          </w:p>
        </w:tc>
      </w:tr>
    </w:tbl>
    <w:p w14:paraId="2813557D">
      <w:pPr>
        <w:spacing w:line="360" w:lineRule="auto"/>
        <w:rPr>
          <w:rFonts w:hint="eastAsia" w:ascii="宋体" w:hAnsi="宋体"/>
          <w:b/>
          <w:sz w:val="28"/>
          <w:szCs w:val="28"/>
        </w:rPr>
      </w:pPr>
    </w:p>
    <w:p w14:paraId="0123BB71">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3BF3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68684FA4">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6298DF37">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540355C2">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5220D4EE">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2FFA35D8">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33789A18">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49C3EF1E">
            <w:pPr>
              <w:jc w:val="center"/>
              <w:rPr>
                <w:rFonts w:ascii="宋体" w:hAnsi="宋体"/>
                <w:b/>
                <w:bCs/>
                <w:szCs w:val="21"/>
              </w:rPr>
            </w:pPr>
            <w:r>
              <w:rPr>
                <w:rFonts w:ascii="宋体" w:hAnsi="宋体"/>
                <w:b/>
                <w:bCs/>
                <w:szCs w:val="21"/>
              </w:rPr>
              <w:t>备注</w:t>
            </w:r>
          </w:p>
        </w:tc>
      </w:tr>
      <w:tr w14:paraId="4726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4AABA973">
            <w:pPr>
              <w:jc w:val="center"/>
              <w:rPr>
                <w:rFonts w:ascii="宋体" w:hAnsi="宋体"/>
                <w:bCs/>
                <w:szCs w:val="21"/>
              </w:rPr>
            </w:pPr>
            <w:r>
              <w:rPr>
                <w:rFonts w:ascii="宋体" w:hAnsi="宋体"/>
                <w:bCs/>
                <w:szCs w:val="21"/>
              </w:rPr>
              <w:t>1</w:t>
            </w:r>
          </w:p>
        </w:tc>
        <w:tc>
          <w:tcPr>
            <w:tcW w:w="1755" w:type="dxa"/>
            <w:noWrap w:val="0"/>
            <w:vAlign w:val="center"/>
          </w:tcPr>
          <w:p w14:paraId="10DB47AE">
            <w:pPr>
              <w:rPr>
                <w:rFonts w:hint="eastAsia"/>
                <w:szCs w:val="21"/>
              </w:rPr>
            </w:pPr>
            <w:r>
              <w:rPr>
                <w:rFonts w:hint="eastAsia" w:ascii="宋体" w:hAnsi="宋体"/>
                <w:szCs w:val="21"/>
              </w:rPr>
              <w:t>数与代数解题训练与指导</w:t>
            </w:r>
          </w:p>
        </w:tc>
        <w:tc>
          <w:tcPr>
            <w:tcW w:w="3510" w:type="dxa"/>
            <w:noWrap w:val="0"/>
            <w:vAlign w:val="center"/>
          </w:tcPr>
          <w:p w14:paraId="6145A38C">
            <w:pPr>
              <w:rPr>
                <w:rFonts w:hint="eastAsia"/>
              </w:rPr>
            </w:pPr>
            <w:r>
              <w:rPr>
                <w:rFonts w:hint="eastAsia" w:ascii="宋体" w:hAnsi="宋体"/>
                <w:szCs w:val="21"/>
              </w:rPr>
              <w:t>梳理数与代数领域的典型问题，在解题训练的基础上探讨指导策略，提交一份数与代数问题解题指导方案。</w:t>
            </w:r>
          </w:p>
        </w:tc>
        <w:tc>
          <w:tcPr>
            <w:tcW w:w="723" w:type="dxa"/>
            <w:noWrap w:val="0"/>
            <w:vAlign w:val="center"/>
          </w:tcPr>
          <w:p w14:paraId="2741F91C">
            <w:pPr>
              <w:jc w:val="center"/>
              <w:rPr>
                <w:rFonts w:ascii="宋体" w:hAnsi="宋体"/>
                <w:bCs/>
                <w:szCs w:val="21"/>
              </w:rPr>
            </w:pPr>
            <w:r>
              <w:rPr>
                <w:rFonts w:ascii="宋体" w:hAnsi="宋体"/>
                <w:bCs/>
                <w:szCs w:val="21"/>
              </w:rPr>
              <w:t>4</w:t>
            </w:r>
          </w:p>
        </w:tc>
        <w:tc>
          <w:tcPr>
            <w:tcW w:w="1136" w:type="dxa"/>
            <w:noWrap w:val="0"/>
            <w:vAlign w:val="center"/>
          </w:tcPr>
          <w:p w14:paraId="23C4749A">
            <w:pPr>
              <w:jc w:val="center"/>
              <w:rPr>
                <w:rFonts w:hint="eastAsia" w:ascii="宋体" w:hAnsi="宋体"/>
                <w:szCs w:val="21"/>
              </w:rPr>
            </w:pPr>
            <w:r>
              <w:rPr>
                <w:rFonts w:ascii="宋体" w:hAnsi="宋体"/>
                <w:kern w:val="0"/>
                <w:szCs w:val="21"/>
              </w:rPr>
              <w:t>3-2</w:t>
            </w:r>
            <w:r>
              <w:rPr>
                <w:rFonts w:hint="eastAsia" w:ascii="宋体" w:hAnsi="宋体"/>
                <w:kern w:val="0"/>
                <w:szCs w:val="21"/>
              </w:rPr>
              <w:t>、4-3</w:t>
            </w:r>
          </w:p>
        </w:tc>
        <w:tc>
          <w:tcPr>
            <w:tcW w:w="826" w:type="dxa"/>
            <w:noWrap w:val="0"/>
            <w:tcMar>
              <w:left w:w="28" w:type="dxa"/>
              <w:right w:w="28" w:type="dxa"/>
            </w:tcMar>
            <w:vAlign w:val="center"/>
          </w:tcPr>
          <w:p w14:paraId="0CDBA66F">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0315E915">
            <w:pPr>
              <w:jc w:val="center"/>
              <w:rPr>
                <w:rFonts w:ascii="宋体" w:hAnsi="宋体"/>
                <w:bCs/>
                <w:szCs w:val="21"/>
              </w:rPr>
            </w:pPr>
            <w:r>
              <w:rPr>
                <w:rFonts w:ascii="宋体" w:hAnsi="宋体"/>
                <w:bCs/>
                <w:szCs w:val="21"/>
              </w:rPr>
              <w:t>必做</w:t>
            </w:r>
          </w:p>
        </w:tc>
      </w:tr>
      <w:tr w14:paraId="3AEC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757DE040">
            <w:pPr>
              <w:jc w:val="center"/>
              <w:rPr>
                <w:rFonts w:ascii="宋体" w:hAnsi="宋体"/>
                <w:bCs/>
                <w:szCs w:val="21"/>
              </w:rPr>
            </w:pPr>
            <w:r>
              <w:rPr>
                <w:rFonts w:hint="eastAsia" w:ascii="宋体" w:hAnsi="宋体"/>
                <w:bCs/>
                <w:szCs w:val="21"/>
              </w:rPr>
              <w:t>2</w:t>
            </w:r>
          </w:p>
        </w:tc>
        <w:tc>
          <w:tcPr>
            <w:tcW w:w="1755" w:type="dxa"/>
            <w:noWrap w:val="0"/>
            <w:vAlign w:val="center"/>
          </w:tcPr>
          <w:p w14:paraId="09AC0516">
            <w:pPr>
              <w:jc w:val="center"/>
            </w:pPr>
            <w:r>
              <w:rPr>
                <w:rFonts w:hint="eastAsia" w:ascii="宋体" w:hAnsi="宋体"/>
                <w:szCs w:val="21"/>
              </w:rPr>
              <w:t>图形与几何解题训练与指导</w:t>
            </w:r>
          </w:p>
        </w:tc>
        <w:tc>
          <w:tcPr>
            <w:tcW w:w="3510" w:type="dxa"/>
            <w:noWrap w:val="0"/>
            <w:vAlign w:val="center"/>
          </w:tcPr>
          <w:p w14:paraId="0A4BF4C7">
            <w:r>
              <w:rPr>
                <w:rFonts w:hint="eastAsia" w:ascii="宋体" w:hAnsi="宋体"/>
                <w:szCs w:val="21"/>
              </w:rPr>
              <w:t>梳理图形与几何领域的典型问题，在解题训练的基础上探讨指导策略，提交一份图形与几何问题解题指导方案。</w:t>
            </w:r>
          </w:p>
        </w:tc>
        <w:tc>
          <w:tcPr>
            <w:tcW w:w="723" w:type="dxa"/>
            <w:noWrap w:val="0"/>
            <w:vAlign w:val="center"/>
          </w:tcPr>
          <w:p w14:paraId="3C147D1C">
            <w:pPr>
              <w:jc w:val="center"/>
              <w:rPr>
                <w:rFonts w:ascii="宋体" w:hAnsi="宋体"/>
                <w:bCs/>
                <w:szCs w:val="21"/>
              </w:rPr>
            </w:pPr>
            <w:r>
              <w:rPr>
                <w:rFonts w:ascii="宋体" w:hAnsi="宋体"/>
                <w:bCs/>
                <w:szCs w:val="21"/>
              </w:rPr>
              <w:t>4</w:t>
            </w:r>
          </w:p>
        </w:tc>
        <w:tc>
          <w:tcPr>
            <w:tcW w:w="1136" w:type="dxa"/>
            <w:noWrap w:val="0"/>
            <w:vAlign w:val="center"/>
          </w:tcPr>
          <w:p w14:paraId="62A85D78">
            <w:pPr>
              <w:jc w:val="center"/>
              <w:rPr>
                <w:rFonts w:hint="eastAsia" w:ascii="宋体" w:hAnsi="宋体"/>
                <w:kern w:val="0"/>
                <w:szCs w:val="21"/>
              </w:rPr>
            </w:pPr>
            <w:r>
              <w:rPr>
                <w:rFonts w:hint="eastAsia" w:ascii="宋体" w:hAnsi="宋体"/>
                <w:kern w:val="0"/>
                <w:szCs w:val="21"/>
              </w:rPr>
              <w:t>3-2、4-3</w:t>
            </w:r>
          </w:p>
        </w:tc>
        <w:tc>
          <w:tcPr>
            <w:tcW w:w="826" w:type="dxa"/>
            <w:noWrap w:val="0"/>
            <w:tcMar>
              <w:left w:w="28" w:type="dxa"/>
              <w:right w:w="28" w:type="dxa"/>
            </w:tcMar>
            <w:vAlign w:val="center"/>
          </w:tcPr>
          <w:p w14:paraId="57E08BE1">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42B0E53D">
            <w:pPr>
              <w:jc w:val="center"/>
              <w:rPr>
                <w:rFonts w:ascii="宋体" w:hAnsi="宋体"/>
                <w:bCs/>
                <w:szCs w:val="21"/>
              </w:rPr>
            </w:pPr>
            <w:r>
              <w:rPr>
                <w:rFonts w:ascii="宋体" w:hAnsi="宋体"/>
                <w:bCs/>
                <w:szCs w:val="21"/>
              </w:rPr>
              <w:t>必做</w:t>
            </w:r>
          </w:p>
        </w:tc>
      </w:tr>
      <w:tr w14:paraId="0133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0A27403C">
            <w:pPr>
              <w:jc w:val="center"/>
              <w:rPr>
                <w:rFonts w:ascii="宋体" w:hAnsi="宋体"/>
                <w:bCs/>
                <w:szCs w:val="21"/>
              </w:rPr>
            </w:pPr>
            <w:r>
              <w:rPr>
                <w:rFonts w:hint="eastAsia" w:ascii="宋体" w:hAnsi="宋体"/>
                <w:bCs/>
                <w:szCs w:val="21"/>
              </w:rPr>
              <w:t>3</w:t>
            </w:r>
          </w:p>
        </w:tc>
        <w:tc>
          <w:tcPr>
            <w:tcW w:w="1755" w:type="dxa"/>
            <w:noWrap w:val="0"/>
            <w:vAlign w:val="center"/>
          </w:tcPr>
          <w:p w14:paraId="33AFA9A2">
            <w:pPr>
              <w:jc w:val="center"/>
            </w:pPr>
            <w:r>
              <w:rPr>
                <w:rFonts w:hint="eastAsia" w:ascii="宋体" w:hAnsi="宋体"/>
                <w:szCs w:val="21"/>
              </w:rPr>
              <w:t>统计与概率解题训练与指导</w:t>
            </w:r>
          </w:p>
        </w:tc>
        <w:tc>
          <w:tcPr>
            <w:tcW w:w="3510" w:type="dxa"/>
            <w:noWrap w:val="0"/>
            <w:vAlign w:val="center"/>
          </w:tcPr>
          <w:p w14:paraId="06E07BAE">
            <w:r>
              <w:rPr>
                <w:rFonts w:hint="eastAsia" w:ascii="宋体" w:hAnsi="宋体"/>
                <w:szCs w:val="21"/>
              </w:rPr>
              <w:t>梳理统计与概率领域的典型问题，在解题训练的基础上探讨指导策略，提交一份统计与概率问题解题指导方案。</w:t>
            </w:r>
          </w:p>
        </w:tc>
        <w:tc>
          <w:tcPr>
            <w:tcW w:w="723" w:type="dxa"/>
            <w:noWrap w:val="0"/>
            <w:vAlign w:val="center"/>
          </w:tcPr>
          <w:p w14:paraId="743747BC">
            <w:pPr>
              <w:jc w:val="center"/>
              <w:rPr>
                <w:rFonts w:ascii="宋体" w:hAnsi="宋体"/>
                <w:bCs/>
                <w:szCs w:val="21"/>
              </w:rPr>
            </w:pPr>
            <w:r>
              <w:rPr>
                <w:rFonts w:ascii="宋体" w:hAnsi="宋体"/>
                <w:bCs/>
                <w:szCs w:val="21"/>
              </w:rPr>
              <w:t>4</w:t>
            </w:r>
          </w:p>
        </w:tc>
        <w:tc>
          <w:tcPr>
            <w:tcW w:w="1136" w:type="dxa"/>
            <w:noWrap w:val="0"/>
            <w:vAlign w:val="center"/>
          </w:tcPr>
          <w:p w14:paraId="6CC05B57">
            <w:pPr>
              <w:jc w:val="center"/>
              <w:rPr>
                <w:rFonts w:hint="eastAsia" w:ascii="宋体" w:hAnsi="宋体"/>
                <w:kern w:val="0"/>
                <w:szCs w:val="21"/>
              </w:rPr>
            </w:pPr>
            <w:r>
              <w:rPr>
                <w:rFonts w:hint="eastAsia" w:ascii="宋体" w:hAnsi="宋体"/>
                <w:kern w:val="0"/>
                <w:szCs w:val="21"/>
              </w:rPr>
              <w:t>3-2、4-3</w:t>
            </w:r>
          </w:p>
        </w:tc>
        <w:tc>
          <w:tcPr>
            <w:tcW w:w="826" w:type="dxa"/>
            <w:noWrap w:val="0"/>
            <w:tcMar>
              <w:left w:w="28" w:type="dxa"/>
              <w:right w:w="28" w:type="dxa"/>
            </w:tcMar>
            <w:vAlign w:val="center"/>
          </w:tcPr>
          <w:p w14:paraId="56CBDBB4">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05EDA09">
            <w:pPr>
              <w:jc w:val="center"/>
              <w:rPr>
                <w:rFonts w:ascii="宋体" w:hAnsi="宋体"/>
                <w:bCs/>
                <w:szCs w:val="21"/>
              </w:rPr>
            </w:pPr>
            <w:r>
              <w:rPr>
                <w:rFonts w:ascii="宋体" w:hAnsi="宋体"/>
                <w:bCs/>
                <w:szCs w:val="21"/>
              </w:rPr>
              <w:t>必做</w:t>
            </w:r>
          </w:p>
        </w:tc>
      </w:tr>
      <w:tr w14:paraId="5D90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57D98E9E">
            <w:pPr>
              <w:jc w:val="center"/>
              <w:rPr>
                <w:rFonts w:hint="eastAsia" w:ascii="宋体" w:hAnsi="宋体"/>
                <w:bCs/>
                <w:szCs w:val="21"/>
              </w:rPr>
            </w:pPr>
            <w:r>
              <w:rPr>
                <w:rFonts w:hint="eastAsia" w:ascii="宋体" w:hAnsi="宋体"/>
                <w:bCs/>
                <w:szCs w:val="21"/>
              </w:rPr>
              <w:t>4</w:t>
            </w:r>
          </w:p>
        </w:tc>
        <w:tc>
          <w:tcPr>
            <w:tcW w:w="1755" w:type="dxa"/>
            <w:noWrap w:val="0"/>
            <w:vAlign w:val="center"/>
          </w:tcPr>
          <w:p w14:paraId="299BC701">
            <w:pPr>
              <w:jc w:val="center"/>
            </w:pPr>
            <w:r>
              <w:rPr>
                <w:rFonts w:hint="eastAsia" w:ascii="宋体" w:hAnsi="宋体"/>
                <w:szCs w:val="21"/>
              </w:rPr>
              <w:t>小学数学竞赛解题训练与指导</w:t>
            </w:r>
          </w:p>
        </w:tc>
        <w:tc>
          <w:tcPr>
            <w:tcW w:w="3510" w:type="dxa"/>
            <w:noWrap w:val="0"/>
            <w:vAlign w:val="center"/>
          </w:tcPr>
          <w:p w14:paraId="3B9AC2CA">
            <w:r>
              <w:rPr>
                <w:rFonts w:hint="eastAsia" w:ascii="宋体" w:hAnsi="宋体"/>
                <w:szCs w:val="21"/>
              </w:rPr>
              <w:t>梳理小学数学竞赛的典型题型，在解题训练的基础上探讨指导策略，提交一份小学数学竞赛解题指导方案。</w:t>
            </w:r>
          </w:p>
        </w:tc>
        <w:tc>
          <w:tcPr>
            <w:tcW w:w="723" w:type="dxa"/>
            <w:noWrap w:val="0"/>
            <w:vAlign w:val="center"/>
          </w:tcPr>
          <w:p w14:paraId="0FC8DE25">
            <w:pPr>
              <w:jc w:val="center"/>
              <w:rPr>
                <w:rFonts w:hint="eastAsia" w:ascii="宋体" w:hAnsi="宋体"/>
                <w:bCs/>
                <w:szCs w:val="21"/>
              </w:rPr>
            </w:pPr>
            <w:r>
              <w:rPr>
                <w:rFonts w:ascii="宋体" w:hAnsi="宋体"/>
                <w:bCs/>
                <w:szCs w:val="21"/>
              </w:rPr>
              <w:t>4</w:t>
            </w:r>
          </w:p>
        </w:tc>
        <w:tc>
          <w:tcPr>
            <w:tcW w:w="1136" w:type="dxa"/>
            <w:noWrap w:val="0"/>
            <w:vAlign w:val="center"/>
          </w:tcPr>
          <w:p w14:paraId="2F31C6F2">
            <w:pPr>
              <w:jc w:val="center"/>
              <w:rPr>
                <w:rFonts w:hint="eastAsia" w:ascii="宋体" w:hAnsi="宋体"/>
                <w:kern w:val="0"/>
                <w:szCs w:val="21"/>
              </w:rPr>
            </w:pPr>
            <w:r>
              <w:rPr>
                <w:rFonts w:hint="eastAsia" w:ascii="宋体" w:hAnsi="宋体"/>
                <w:kern w:val="0"/>
                <w:szCs w:val="21"/>
              </w:rPr>
              <w:t>3-2、4-3</w:t>
            </w:r>
          </w:p>
        </w:tc>
        <w:tc>
          <w:tcPr>
            <w:tcW w:w="826" w:type="dxa"/>
            <w:noWrap w:val="0"/>
            <w:tcMar>
              <w:left w:w="28" w:type="dxa"/>
              <w:right w:w="28" w:type="dxa"/>
            </w:tcMar>
            <w:vAlign w:val="center"/>
          </w:tcPr>
          <w:p w14:paraId="736BB02F">
            <w:pPr>
              <w:jc w:val="center"/>
              <w:rPr>
                <w:rFonts w:hint="eastAsia" w:ascii="宋体" w:hAnsi="宋体"/>
                <w:bCs/>
                <w:szCs w:val="21"/>
              </w:rPr>
            </w:pPr>
            <w:r>
              <w:rPr>
                <w:rFonts w:hint="eastAsia" w:ascii="宋体" w:hAnsi="宋体"/>
                <w:bCs/>
                <w:szCs w:val="21"/>
              </w:rPr>
              <w:t>综合</w:t>
            </w:r>
            <w:r>
              <w:rPr>
                <w:rFonts w:ascii="宋体" w:hAnsi="宋体"/>
                <w:bCs/>
                <w:szCs w:val="21"/>
              </w:rPr>
              <w:t>性</w:t>
            </w:r>
          </w:p>
        </w:tc>
        <w:tc>
          <w:tcPr>
            <w:tcW w:w="619" w:type="dxa"/>
            <w:noWrap w:val="0"/>
            <w:tcMar>
              <w:left w:w="28" w:type="dxa"/>
              <w:right w:w="28" w:type="dxa"/>
            </w:tcMar>
            <w:vAlign w:val="center"/>
          </w:tcPr>
          <w:p w14:paraId="5785E00F">
            <w:pPr>
              <w:jc w:val="center"/>
              <w:rPr>
                <w:rFonts w:hint="eastAsia" w:ascii="宋体" w:hAnsi="宋体"/>
                <w:bCs/>
                <w:szCs w:val="21"/>
              </w:rPr>
            </w:pPr>
            <w:r>
              <w:rPr>
                <w:rFonts w:hint="eastAsia" w:ascii="宋体" w:hAnsi="宋体"/>
                <w:bCs/>
                <w:szCs w:val="21"/>
              </w:rPr>
              <w:t>必</w:t>
            </w:r>
            <w:r>
              <w:rPr>
                <w:rFonts w:ascii="宋体" w:hAnsi="宋体"/>
                <w:bCs/>
                <w:szCs w:val="21"/>
              </w:rPr>
              <w:t>做</w:t>
            </w:r>
          </w:p>
        </w:tc>
      </w:tr>
    </w:tbl>
    <w:p w14:paraId="5AEDCE35">
      <w:pPr>
        <w:spacing w:line="360" w:lineRule="auto"/>
        <w:outlineLvl w:val="0"/>
        <w:rPr>
          <w:rFonts w:hint="eastAsia" w:ascii="宋体" w:hAnsi="宋体"/>
          <w:b/>
          <w:sz w:val="28"/>
          <w:szCs w:val="28"/>
        </w:rPr>
      </w:pPr>
      <w:r>
        <w:rPr>
          <w:rFonts w:ascii="宋体" w:hAnsi="宋体"/>
          <w:b/>
          <w:sz w:val="28"/>
          <w:szCs w:val="28"/>
        </w:rPr>
        <w:t xml:space="preserve">   </w:t>
      </w:r>
    </w:p>
    <w:p w14:paraId="24C7D573">
      <w:pPr>
        <w:spacing w:line="360" w:lineRule="auto"/>
        <w:outlineLvl w:val="0"/>
        <w:rPr>
          <w:rFonts w:ascii="宋体" w:hAnsi="宋体"/>
          <w:b/>
          <w:sz w:val="28"/>
          <w:szCs w:val="28"/>
        </w:rPr>
      </w:pPr>
      <w:r>
        <w:rPr>
          <w:rFonts w:hint="eastAsia" w:ascii="宋体" w:hAnsi="宋体"/>
          <w:b/>
          <w:sz w:val="28"/>
          <w:szCs w:val="28"/>
        </w:rPr>
        <w:t xml:space="preserve">    五、课程实施</w:t>
      </w:r>
    </w:p>
    <w:p w14:paraId="711CF817">
      <w:pPr>
        <w:spacing w:line="360" w:lineRule="auto"/>
        <w:ind w:firstLine="480" w:firstLineChars="200"/>
        <w:rPr>
          <w:sz w:val="24"/>
        </w:rPr>
      </w:pPr>
      <w:r>
        <w:rPr>
          <w:sz w:val="24"/>
        </w:rPr>
        <w:t>（一）</w:t>
      </w:r>
      <w:r>
        <w:rPr>
          <w:rFonts w:hint="eastAsia"/>
          <w:sz w:val="24"/>
        </w:rPr>
        <w:t>以生为本，引导师范生理解小学数学解题的基本思路，掌握小学数学解题的方法，并</w:t>
      </w:r>
      <w:r>
        <w:rPr>
          <w:sz w:val="24"/>
        </w:rPr>
        <w:t>为师范生提供教学实践的机会</w:t>
      </w:r>
      <w:r>
        <w:rPr>
          <w:rFonts w:hint="eastAsia"/>
          <w:sz w:val="24"/>
        </w:rPr>
        <w:t>。</w:t>
      </w:r>
    </w:p>
    <w:p w14:paraId="49D14165">
      <w:pPr>
        <w:spacing w:line="360" w:lineRule="auto"/>
        <w:ind w:firstLine="480" w:firstLineChars="200"/>
        <w:rPr>
          <w:sz w:val="24"/>
        </w:rPr>
      </w:pPr>
      <w:r>
        <w:rPr>
          <w:sz w:val="24"/>
        </w:rPr>
        <w:t>（二）</w:t>
      </w:r>
      <w:r>
        <w:rPr>
          <w:rFonts w:hint="eastAsia"/>
          <w:sz w:val="24"/>
        </w:rPr>
        <w:t>关注小学数学教学的前沿动态，利用信息技术，将丰富多彩的教学案例引入课堂，</w:t>
      </w:r>
      <w:r>
        <w:rPr>
          <w:rFonts w:hint="eastAsia" w:ascii="宋体" w:hAnsi="宋体"/>
          <w:sz w:val="24"/>
          <w:szCs w:val="22"/>
        </w:rPr>
        <w:t>积极进行课堂教学改革，采用讲授法、案例教学法、现场教学法等进行教学，充分利用视频、QQ群、毕博网络课程、慕课堂等手段辅助教学，</w:t>
      </w:r>
    </w:p>
    <w:p w14:paraId="1E8111D1">
      <w:pPr>
        <w:spacing w:line="360" w:lineRule="auto"/>
        <w:ind w:firstLine="480" w:firstLineChars="200"/>
        <w:rPr>
          <w:sz w:val="24"/>
        </w:rPr>
      </w:pPr>
      <w:r>
        <w:rPr>
          <w:sz w:val="24"/>
        </w:rPr>
        <w:t>（三）</w:t>
      </w:r>
      <w:r>
        <w:rPr>
          <w:rFonts w:hint="eastAsia"/>
          <w:sz w:val="24"/>
        </w:rPr>
        <w:t>改革</w:t>
      </w:r>
      <w:r>
        <w:rPr>
          <w:sz w:val="24"/>
        </w:rPr>
        <w:t>教学方法，</w:t>
      </w:r>
      <w:r>
        <w:rPr>
          <w:rFonts w:hint="eastAsia"/>
          <w:sz w:val="24"/>
        </w:rPr>
        <w:t>注重合作</w:t>
      </w:r>
      <w:r>
        <w:rPr>
          <w:sz w:val="24"/>
        </w:rPr>
        <w:t>与探究</w:t>
      </w:r>
      <w:r>
        <w:rPr>
          <w:rFonts w:hint="eastAsia"/>
          <w:sz w:val="24"/>
        </w:rPr>
        <w:t>，强调团队协作精神的培养；重视课堂实践，注重师范生教学实践能力的培养。</w:t>
      </w:r>
    </w:p>
    <w:p w14:paraId="08D44D89">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4CC1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32129579">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2D00C12E">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0EAA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29D942C4">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121DDBF4">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4A801FFD">
            <w:pPr>
              <w:spacing w:line="276" w:lineRule="auto"/>
              <w:rPr>
                <w:rFonts w:ascii="宋体" w:hAnsi="宋体"/>
                <w:szCs w:val="21"/>
              </w:rPr>
            </w:pPr>
            <w:r>
              <w:rPr>
                <w:rFonts w:ascii="宋体" w:hAnsi="宋体"/>
                <w:szCs w:val="21"/>
              </w:rPr>
              <w:t>（1）掌握课程教学大纲内容，严格按照教学大纲要求进行课程教学内容的组织。</w:t>
            </w:r>
          </w:p>
          <w:p w14:paraId="1CF1440E">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53DD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335D5A5E">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786CC3F2">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3A8746C1">
            <w:pPr>
              <w:spacing w:line="276" w:lineRule="auto"/>
              <w:rPr>
                <w:rFonts w:ascii="宋体" w:hAnsi="宋体"/>
              </w:rPr>
            </w:pPr>
            <w:r>
              <w:rPr>
                <w:rFonts w:ascii="宋体" w:hAnsi="宋体"/>
                <w:szCs w:val="21"/>
              </w:rPr>
              <w:t>（1）</w:t>
            </w:r>
            <w:r>
              <w:rPr>
                <w:rFonts w:hint="eastAsia" w:ascii="宋体" w:hAnsi="宋体"/>
              </w:rPr>
              <w:t>教师仪表端庄，情绪情感要饱满；</w:t>
            </w:r>
          </w:p>
          <w:p w14:paraId="1284244F">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1AA77694">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4FFF60F5">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4EB7181B">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348618CC">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3AF0B1DB">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77A88B8C">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199C4AA7">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5D8B0407">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0FA13CA0">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4516E843">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1B8F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4F31D393">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44B0DB32">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05938A8A">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244EB65C">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40C50270">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36B36313">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507E4B41">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4044AB67">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17169C0C">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01A3F90E">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046C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079D54E4">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543043DA">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4DB509BB">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w:t>
            </w:r>
            <w:r>
              <w:rPr>
                <w:rFonts w:hint="eastAsia" w:ascii="宋体" w:hAnsi="宋体"/>
                <w:szCs w:val="21"/>
              </w:rPr>
              <w:t>解题指导</w:t>
            </w:r>
            <w:r>
              <w:rPr>
                <w:rFonts w:ascii="宋体" w:hAnsi="宋体"/>
                <w:szCs w:val="21"/>
              </w:rPr>
              <w:t>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4A66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0128F398">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37BA08C0">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7E925007">
            <w:pPr>
              <w:spacing w:line="276" w:lineRule="auto"/>
              <w:rPr>
                <w:rFonts w:ascii="宋体" w:hAnsi="宋体"/>
                <w:szCs w:val="21"/>
              </w:rPr>
            </w:pPr>
            <w:r>
              <w:rPr>
                <w:rFonts w:hint="eastAsia" w:ascii="宋体" w:hAnsi="宋体"/>
                <w:szCs w:val="21"/>
              </w:rPr>
              <w:t>本课程考核的方式为开卷笔试。有下列情况之一者，总评成绩为不及格：</w:t>
            </w:r>
          </w:p>
          <w:p w14:paraId="5DF69D7F">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215C50E7">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4FBA6FAD">
      <w:pPr>
        <w:spacing w:line="360" w:lineRule="auto"/>
        <w:ind w:firstLine="562" w:firstLineChars="200"/>
        <w:rPr>
          <w:rFonts w:ascii="宋体" w:hAnsi="宋体"/>
          <w:b/>
          <w:sz w:val="28"/>
          <w:szCs w:val="28"/>
        </w:rPr>
      </w:pPr>
    </w:p>
    <w:p w14:paraId="02C72A5F">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18C48F76">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w:t>
      </w:r>
      <w:r>
        <w:rPr>
          <w:rFonts w:ascii="宋体" w:hAnsi="宋体"/>
          <w:sz w:val="24"/>
          <w:szCs w:val="22"/>
        </w:rPr>
        <w:t>课堂互动</w:t>
      </w:r>
      <w:r>
        <w:rPr>
          <w:rFonts w:hint="eastAsia" w:ascii="宋体" w:hAnsi="宋体"/>
          <w:sz w:val="24"/>
          <w:szCs w:val="22"/>
        </w:rPr>
        <w:t>和课内实践考核，期末考试采用开卷笔试。</w:t>
      </w:r>
    </w:p>
    <w:p w14:paraId="622650A8">
      <w:pPr>
        <w:spacing w:line="360" w:lineRule="auto"/>
        <w:ind w:firstLine="480" w:firstLineChars="200"/>
        <w:rPr>
          <w:rFonts w:hint="eastAsia" w:ascii="宋体" w:hAnsi="宋体"/>
          <w:sz w:val="24"/>
          <w:szCs w:val="22"/>
        </w:rPr>
      </w:pPr>
      <w:r>
        <w:rPr>
          <w:rFonts w:hint="eastAsia" w:ascii="宋体" w:hAnsi="宋体"/>
          <w:sz w:val="24"/>
          <w:szCs w:val="22"/>
        </w:rPr>
        <w:t>（二）课程成绩=平时成绩×</w:t>
      </w:r>
      <w:r>
        <w:rPr>
          <w:rFonts w:ascii="宋体" w:hAnsi="宋体"/>
          <w:sz w:val="24"/>
          <w:szCs w:val="22"/>
        </w:rPr>
        <w:t>3</w:t>
      </w:r>
      <w:r>
        <w:rPr>
          <w:rFonts w:hint="eastAsia" w:ascii="宋体" w:hAnsi="宋体"/>
          <w:sz w:val="24"/>
          <w:szCs w:val="22"/>
        </w:rPr>
        <w:t>0%+课内实践成绩×20%+期末考试成绩×</w:t>
      </w:r>
      <w:r>
        <w:rPr>
          <w:rFonts w:ascii="宋体" w:hAnsi="宋体"/>
          <w:sz w:val="24"/>
          <w:szCs w:val="22"/>
        </w:rPr>
        <w:t>5</w:t>
      </w:r>
      <w:r>
        <w:rPr>
          <w:rFonts w:hint="eastAsia" w:ascii="宋体" w:hAnsi="宋体"/>
          <w:sz w:val="24"/>
          <w:szCs w:val="22"/>
        </w:rPr>
        <w:t>0%。</w:t>
      </w:r>
    </w:p>
    <w:p w14:paraId="588B2FCB">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53D3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401FC00B">
            <w:pPr>
              <w:jc w:val="center"/>
              <w:rPr>
                <w:rFonts w:ascii="宋体" w:hAnsi="宋体"/>
                <w:b/>
              </w:rPr>
            </w:pPr>
            <w:r>
              <w:rPr>
                <w:rFonts w:ascii="宋体" w:hAnsi="宋体"/>
                <w:b/>
              </w:rPr>
              <w:t>成绩组成</w:t>
            </w:r>
          </w:p>
        </w:tc>
        <w:tc>
          <w:tcPr>
            <w:tcW w:w="1134" w:type="dxa"/>
            <w:shd w:val="clear" w:color="auto" w:fill="FFFFFF"/>
            <w:noWrap w:val="0"/>
            <w:vAlign w:val="center"/>
          </w:tcPr>
          <w:p w14:paraId="4C356EC2">
            <w:pPr>
              <w:jc w:val="center"/>
              <w:rPr>
                <w:rFonts w:ascii="宋体" w:hAnsi="宋体"/>
                <w:b/>
              </w:rPr>
            </w:pPr>
            <w:r>
              <w:rPr>
                <w:rFonts w:ascii="宋体" w:hAnsi="宋体"/>
                <w:b/>
              </w:rPr>
              <w:t>考核/</w:t>
            </w:r>
          </w:p>
          <w:p w14:paraId="56F47C68">
            <w:pPr>
              <w:jc w:val="center"/>
              <w:rPr>
                <w:rFonts w:ascii="宋体" w:hAnsi="宋体"/>
                <w:b/>
              </w:rPr>
            </w:pPr>
            <w:r>
              <w:rPr>
                <w:rFonts w:ascii="宋体" w:hAnsi="宋体"/>
                <w:b/>
              </w:rPr>
              <w:t>评价环节</w:t>
            </w:r>
          </w:p>
        </w:tc>
        <w:tc>
          <w:tcPr>
            <w:tcW w:w="709" w:type="dxa"/>
            <w:shd w:val="clear" w:color="auto" w:fill="FFFFFF"/>
            <w:noWrap w:val="0"/>
            <w:vAlign w:val="center"/>
          </w:tcPr>
          <w:p w14:paraId="22225EA9">
            <w:pPr>
              <w:jc w:val="center"/>
              <w:rPr>
                <w:rFonts w:ascii="宋体" w:hAnsi="宋体"/>
                <w:b/>
              </w:rPr>
            </w:pPr>
            <w:r>
              <w:rPr>
                <w:rFonts w:hint="eastAsia" w:ascii="宋体" w:hAnsi="宋体"/>
                <w:b/>
              </w:rPr>
              <w:t>权重</w:t>
            </w:r>
          </w:p>
        </w:tc>
        <w:tc>
          <w:tcPr>
            <w:tcW w:w="2693" w:type="dxa"/>
            <w:shd w:val="clear" w:color="auto" w:fill="FFFFFF"/>
            <w:noWrap w:val="0"/>
            <w:vAlign w:val="center"/>
          </w:tcPr>
          <w:p w14:paraId="506E5A30">
            <w:pPr>
              <w:jc w:val="center"/>
              <w:rPr>
                <w:rFonts w:ascii="宋体" w:hAnsi="宋体"/>
                <w:b/>
              </w:rPr>
            </w:pPr>
            <w:r>
              <w:rPr>
                <w:rFonts w:ascii="宋体" w:hAnsi="宋体"/>
                <w:b/>
              </w:rPr>
              <w:t>考核/评价细则</w:t>
            </w:r>
          </w:p>
        </w:tc>
        <w:tc>
          <w:tcPr>
            <w:tcW w:w="1276" w:type="dxa"/>
            <w:shd w:val="clear" w:color="auto" w:fill="FFFFFF"/>
            <w:noWrap w:val="0"/>
            <w:vAlign w:val="top"/>
          </w:tcPr>
          <w:p w14:paraId="2C18F73D">
            <w:pPr>
              <w:ind w:firstLine="316" w:firstLineChars="150"/>
              <w:rPr>
                <w:rFonts w:ascii="宋体" w:hAnsi="宋体"/>
                <w:b/>
              </w:rPr>
            </w:pPr>
            <w:r>
              <w:rPr>
                <w:rFonts w:hint="eastAsia" w:ascii="宋体" w:hAnsi="宋体"/>
                <w:b/>
              </w:rPr>
              <w:t>课程</w:t>
            </w:r>
          </w:p>
          <w:p w14:paraId="629EFB56">
            <w:pPr>
              <w:jc w:val="center"/>
              <w:rPr>
                <w:rFonts w:ascii="宋体" w:hAnsi="宋体"/>
                <w:b/>
              </w:rPr>
            </w:pPr>
            <w:r>
              <w:rPr>
                <w:rFonts w:hint="eastAsia" w:ascii="宋体" w:hAnsi="宋体"/>
                <w:b/>
              </w:rPr>
              <w:t>目标</w:t>
            </w:r>
          </w:p>
        </w:tc>
        <w:tc>
          <w:tcPr>
            <w:tcW w:w="1276" w:type="dxa"/>
            <w:shd w:val="clear" w:color="auto" w:fill="FFFFFF"/>
            <w:noWrap w:val="0"/>
            <w:vAlign w:val="top"/>
          </w:tcPr>
          <w:p w14:paraId="4AA38B6C">
            <w:pPr>
              <w:ind w:left="-107" w:leftChars="-51"/>
              <w:jc w:val="center"/>
              <w:rPr>
                <w:rFonts w:ascii="宋体" w:hAnsi="宋体"/>
                <w:b/>
              </w:rPr>
            </w:pPr>
            <w:r>
              <w:rPr>
                <w:rFonts w:hint="eastAsia" w:ascii="宋体" w:hAnsi="宋体"/>
                <w:b/>
              </w:rPr>
              <w:t>考核</w:t>
            </w:r>
          </w:p>
          <w:p w14:paraId="4DD44614">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66BE755A">
            <w:pPr>
              <w:ind w:left="-107" w:leftChars="-51"/>
              <w:jc w:val="center"/>
              <w:rPr>
                <w:rFonts w:ascii="宋体" w:hAnsi="宋体"/>
                <w:b/>
              </w:rPr>
            </w:pPr>
            <w:r>
              <w:rPr>
                <w:rFonts w:ascii="宋体" w:hAnsi="宋体"/>
                <w:b/>
              </w:rPr>
              <w:t>对应的毕业要求指标点</w:t>
            </w:r>
          </w:p>
        </w:tc>
      </w:tr>
      <w:tr w14:paraId="0B87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1DB8B25C">
            <w:pPr>
              <w:pStyle w:val="40"/>
              <w:jc w:val="center"/>
              <w:rPr>
                <w:rFonts w:eastAsia="宋体"/>
              </w:rPr>
            </w:pPr>
            <w:r>
              <w:rPr>
                <w:rFonts w:eastAsia="宋体"/>
              </w:rPr>
              <w:t>平时成绩</w:t>
            </w:r>
          </w:p>
        </w:tc>
        <w:tc>
          <w:tcPr>
            <w:tcW w:w="1134" w:type="dxa"/>
            <w:noWrap w:val="0"/>
            <w:vAlign w:val="center"/>
          </w:tcPr>
          <w:p w14:paraId="75EAA4DD">
            <w:pPr>
              <w:pStyle w:val="40"/>
              <w:jc w:val="center"/>
              <w:rPr>
                <w:rFonts w:eastAsia="宋体"/>
              </w:rPr>
            </w:pPr>
            <w:r>
              <w:rPr>
                <w:rFonts w:hint="eastAsia" w:eastAsia="宋体"/>
              </w:rPr>
              <w:t>作业+考勤</w:t>
            </w:r>
          </w:p>
        </w:tc>
        <w:tc>
          <w:tcPr>
            <w:tcW w:w="709" w:type="dxa"/>
            <w:noWrap w:val="0"/>
            <w:vAlign w:val="center"/>
          </w:tcPr>
          <w:p w14:paraId="299EA932">
            <w:pPr>
              <w:pStyle w:val="40"/>
              <w:jc w:val="center"/>
              <w:rPr>
                <w:rFonts w:eastAsia="宋体"/>
              </w:rPr>
            </w:pPr>
            <w:r>
              <w:rPr>
                <w:rFonts w:hint="eastAsia" w:eastAsia="宋体"/>
              </w:rPr>
              <w:t>20</w:t>
            </w:r>
            <w:r>
              <w:rPr>
                <w:rFonts w:eastAsia="宋体"/>
              </w:rPr>
              <w:t>%</w:t>
            </w:r>
          </w:p>
        </w:tc>
        <w:tc>
          <w:tcPr>
            <w:tcW w:w="2693" w:type="dxa"/>
            <w:noWrap w:val="0"/>
            <w:vAlign w:val="center"/>
          </w:tcPr>
          <w:p w14:paraId="0EE67564">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3AB0E369">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39AA420B">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135CD327">
            <w:pPr>
              <w:jc w:val="center"/>
              <w:rPr>
                <w:rFonts w:hint="eastAsia" w:ascii="宋体" w:hAnsi="宋体" w:cs="宋体"/>
                <w:kern w:val="0"/>
                <w:szCs w:val="21"/>
              </w:rPr>
            </w:pPr>
            <w:r>
              <w:rPr>
                <w:rFonts w:hint="eastAsia" w:ascii="宋体" w:hAnsi="宋体"/>
              </w:rPr>
              <w:t>小学</w:t>
            </w:r>
            <w:r>
              <w:rPr>
                <w:rFonts w:ascii="宋体" w:hAnsi="宋体"/>
              </w:rPr>
              <w:t>数学</w:t>
            </w:r>
            <w:r>
              <w:rPr>
                <w:rFonts w:hint="eastAsia" w:ascii="宋体" w:hAnsi="宋体"/>
              </w:rPr>
              <w:t>解题的思路、小学数学解题指导的方法</w:t>
            </w:r>
          </w:p>
        </w:tc>
        <w:tc>
          <w:tcPr>
            <w:tcW w:w="1276" w:type="dxa"/>
            <w:noWrap w:val="0"/>
            <w:vAlign w:val="center"/>
          </w:tcPr>
          <w:p w14:paraId="74CA73FA">
            <w:pPr>
              <w:jc w:val="center"/>
              <w:rPr>
                <w:rFonts w:hint="eastAsia" w:ascii="宋体" w:hAnsi="宋体"/>
              </w:rPr>
            </w:pPr>
            <w:r>
              <w:rPr>
                <w:rFonts w:ascii="宋体" w:hAnsi="宋体"/>
                <w:szCs w:val="21"/>
              </w:rPr>
              <w:t xml:space="preserve"> </w:t>
            </w:r>
            <w:r>
              <w:rPr>
                <w:rFonts w:hint="eastAsia" w:ascii="宋体" w:hAnsi="宋体"/>
                <w:szCs w:val="21"/>
              </w:rPr>
              <w:t>3</w:t>
            </w:r>
            <w:r>
              <w:rPr>
                <w:rFonts w:ascii="宋体" w:hAnsi="宋体"/>
                <w:szCs w:val="21"/>
              </w:rPr>
              <w:t>-2</w:t>
            </w:r>
            <w:r>
              <w:rPr>
                <w:rFonts w:hint="eastAsia" w:ascii="宋体" w:hAnsi="宋体"/>
                <w:szCs w:val="21"/>
              </w:rPr>
              <w:t>、4-3</w:t>
            </w:r>
          </w:p>
        </w:tc>
      </w:tr>
      <w:tr w14:paraId="170D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723694A0">
            <w:pPr>
              <w:pStyle w:val="40"/>
              <w:jc w:val="center"/>
              <w:rPr>
                <w:rFonts w:eastAsia="宋体"/>
              </w:rPr>
            </w:pPr>
          </w:p>
        </w:tc>
        <w:tc>
          <w:tcPr>
            <w:tcW w:w="1134" w:type="dxa"/>
            <w:noWrap w:val="0"/>
            <w:vAlign w:val="center"/>
          </w:tcPr>
          <w:p w14:paraId="6D2192A5">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62F33E17">
            <w:pPr>
              <w:pStyle w:val="40"/>
              <w:jc w:val="center"/>
              <w:rPr>
                <w:rFonts w:hint="eastAsia" w:eastAsia="宋体"/>
              </w:rPr>
            </w:pPr>
            <w:r>
              <w:rPr>
                <w:rFonts w:hint="eastAsia" w:eastAsia="宋体"/>
              </w:rPr>
              <w:t>10%</w:t>
            </w:r>
          </w:p>
        </w:tc>
        <w:tc>
          <w:tcPr>
            <w:tcW w:w="2693" w:type="dxa"/>
            <w:noWrap w:val="0"/>
            <w:vAlign w:val="center"/>
          </w:tcPr>
          <w:p w14:paraId="7553BD19">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0726AF5B">
            <w:pPr>
              <w:jc w:val="center"/>
              <w:rPr>
                <w:rFonts w:hint="eastAsia" w:ascii="宋体" w:hAnsi="宋体"/>
              </w:rPr>
            </w:pPr>
            <w:r>
              <w:rPr>
                <w:rFonts w:hint="eastAsia" w:ascii="宋体" w:hAnsi="宋体"/>
              </w:rPr>
              <w:t>课程目标1课程目标2</w:t>
            </w:r>
          </w:p>
          <w:p w14:paraId="7A5082D9">
            <w:pPr>
              <w:jc w:val="center"/>
              <w:rPr>
                <w:rFonts w:hint="eastAsia" w:ascii="宋体" w:hAnsi="宋体"/>
              </w:rPr>
            </w:pPr>
            <w:r>
              <w:rPr>
                <w:rFonts w:hint="eastAsia" w:ascii="宋体" w:hAnsi="宋体"/>
              </w:rPr>
              <w:t>课程目标3</w:t>
            </w:r>
          </w:p>
        </w:tc>
        <w:tc>
          <w:tcPr>
            <w:tcW w:w="1276" w:type="dxa"/>
            <w:noWrap w:val="0"/>
            <w:vAlign w:val="center"/>
          </w:tcPr>
          <w:p w14:paraId="0A3028A3">
            <w:pPr>
              <w:jc w:val="center"/>
              <w:rPr>
                <w:rFonts w:hint="eastAsia" w:ascii="宋体" w:hAnsi="宋体"/>
              </w:rPr>
            </w:pPr>
            <w:r>
              <w:rPr>
                <w:rFonts w:hint="eastAsia" w:ascii="宋体" w:hAnsi="宋体"/>
              </w:rPr>
              <w:t>课堂</w:t>
            </w:r>
            <w:r>
              <w:rPr>
                <w:rFonts w:ascii="宋体" w:hAnsi="宋体"/>
              </w:rPr>
              <w:t>沟通、教学实践</w:t>
            </w:r>
          </w:p>
        </w:tc>
        <w:tc>
          <w:tcPr>
            <w:tcW w:w="1276" w:type="dxa"/>
            <w:noWrap w:val="0"/>
            <w:vAlign w:val="center"/>
          </w:tcPr>
          <w:p w14:paraId="4215B2C3">
            <w:pPr>
              <w:jc w:val="center"/>
              <w:rPr>
                <w:rFonts w:ascii="宋体" w:hAnsi="宋体"/>
                <w:szCs w:val="21"/>
              </w:rPr>
            </w:pPr>
            <w:r>
              <w:rPr>
                <w:rFonts w:hint="eastAsia" w:ascii="宋体" w:hAnsi="宋体"/>
                <w:szCs w:val="21"/>
              </w:rPr>
              <w:t>3-2、4-3</w:t>
            </w:r>
          </w:p>
        </w:tc>
      </w:tr>
      <w:tr w14:paraId="4874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3071381F">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4FD9BD64">
            <w:pPr>
              <w:pStyle w:val="40"/>
              <w:jc w:val="center"/>
              <w:rPr>
                <w:rFonts w:hint="eastAsia" w:eastAsia="宋体"/>
              </w:rPr>
            </w:pPr>
            <w:r>
              <w:rPr>
                <w:rFonts w:hint="eastAsia" w:eastAsia="宋体"/>
              </w:rPr>
              <w:t>方案评价+现场</w:t>
            </w:r>
            <w:r>
              <w:rPr>
                <w:rFonts w:eastAsia="宋体"/>
              </w:rPr>
              <w:t>考核</w:t>
            </w:r>
          </w:p>
        </w:tc>
        <w:tc>
          <w:tcPr>
            <w:tcW w:w="709" w:type="dxa"/>
            <w:noWrap w:val="0"/>
            <w:vAlign w:val="center"/>
          </w:tcPr>
          <w:p w14:paraId="5D80B135">
            <w:pPr>
              <w:pStyle w:val="40"/>
              <w:jc w:val="center"/>
              <w:rPr>
                <w:rFonts w:eastAsia="宋体"/>
              </w:rPr>
            </w:pPr>
            <w:r>
              <w:rPr>
                <w:rFonts w:hint="eastAsia" w:eastAsia="宋体"/>
              </w:rPr>
              <w:t>20</w:t>
            </w:r>
            <w:r>
              <w:rPr>
                <w:rFonts w:eastAsia="宋体"/>
              </w:rPr>
              <w:t>%</w:t>
            </w:r>
          </w:p>
        </w:tc>
        <w:tc>
          <w:tcPr>
            <w:tcW w:w="2693" w:type="dxa"/>
            <w:noWrap w:val="0"/>
            <w:vAlign w:val="center"/>
          </w:tcPr>
          <w:p w14:paraId="5935193C">
            <w:pPr>
              <w:pStyle w:val="40"/>
              <w:rPr>
                <w:rFonts w:eastAsia="宋体"/>
                <w:szCs w:val="21"/>
              </w:rPr>
            </w:pPr>
            <w:r>
              <w:rPr>
                <w:rFonts w:hint="eastAsia" w:eastAsia="宋体"/>
                <w:szCs w:val="21"/>
              </w:rPr>
              <w:t>认真完成4个项目的课内实践，提交相应的解题指导</w:t>
            </w:r>
            <w:r>
              <w:rPr>
                <w:rFonts w:eastAsia="宋体"/>
                <w:szCs w:val="21"/>
              </w:rPr>
              <w:t>方案；</w:t>
            </w:r>
            <w:r>
              <w:rPr>
                <w:rFonts w:hint="eastAsia" w:eastAsia="宋体"/>
                <w:szCs w:val="21"/>
              </w:rPr>
              <w:t>实行组内互评与教师评价相结合的方式。4个项目成绩取平均分作为课内实践分。</w:t>
            </w:r>
          </w:p>
        </w:tc>
        <w:tc>
          <w:tcPr>
            <w:tcW w:w="1276" w:type="dxa"/>
            <w:noWrap w:val="0"/>
            <w:vAlign w:val="center"/>
          </w:tcPr>
          <w:p w14:paraId="6A8131C2">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62C35B83">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45DEA563">
            <w:pPr>
              <w:jc w:val="center"/>
              <w:rPr>
                <w:rFonts w:hint="eastAsia" w:ascii="宋体" w:hAnsi="宋体" w:cs="宋体"/>
                <w:kern w:val="0"/>
                <w:szCs w:val="21"/>
              </w:rPr>
            </w:pPr>
            <w:r>
              <w:rPr>
                <w:rFonts w:hint="eastAsia" w:ascii="宋体" w:hAnsi="宋体"/>
              </w:rPr>
              <w:t>小学数学解题的思路、小学数学解题指导的方法</w:t>
            </w:r>
          </w:p>
        </w:tc>
        <w:tc>
          <w:tcPr>
            <w:tcW w:w="1276" w:type="dxa"/>
            <w:noWrap w:val="0"/>
            <w:vAlign w:val="center"/>
          </w:tcPr>
          <w:p w14:paraId="62ED468A">
            <w:pPr>
              <w:jc w:val="center"/>
              <w:rPr>
                <w:rFonts w:ascii="宋体" w:hAnsi="宋体"/>
                <w:kern w:val="0"/>
                <w:sz w:val="24"/>
                <w:szCs w:val="22"/>
              </w:rPr>
            </w:pPr>
            <w:r>
              <w:rPr>
                <w:rFonts w:hint="eastAsia" w:ascii="宋体" w:hAnsi="宋体"/>
                <w:szCs w:val="21"/>
              </w:rPr>
              <w:t>3-2、4-3</w:t>
            </w:r>
          </w:p>
        </w:tc>
      </w:tr>
      <w:tr w14:paraId="474D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1964D2B7">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1936E9C6">
            <w:pPr>
              <w:pStyle w:val="40"/>
              <w:jc w:val="center"/>
              <w:rPr>
                <w:rFonts w:eastAsia="宋体"/>
              </w:rPr>
            </w:pPr>
            <w:r>
              <w:rPr>
                <w:rFonts w:hint="eastAsia" w:eastAsia="宋体"/>
              </w:rPr>
              <w:t>开卷笔试</w:t>
            </w:r>
          </w:p>
        </w:tc>
        <w:tc>
          <w:tcPr>
            <w:tcW w:w="709" w:type="dxa"/>
            <w:noWrap w:val="0"/>
            <w:vAlign w:val="center"/>
          </w:tcPr>
          <w:p w14:paraId="70DFD9A8">
            <w:pPr>
              <w:pStyle w:val="40"/>
              <w:jc w:val="center"/>
              <w:rPr>
                <w:rFonts w:eastAsia="宋体"/>
              </w:rPr>
            </w:pPr>
            <w:r>
              <w:rPr>
                <w:rFonts w:eastAsia="宋体"/>
              </w:rPr>
              <w:t>5</w:t>
            </w:r>
            <w:r>
              <w:rPr>
                <w:rFonts w:hint="eastAsia" w:eastAsia="宋体"/>
              </w:rPr>
              <w:t xml:space="preserve">0 </w:t>
            </w:r>
            <w:r>
              <w:rPr>
                <w:rFonts w:eastAsia="宋体"/>
              </w:rPr>
              <w:t>%</w:t>
            </w:r>
          </w:p>
        </w:tc>
        <w:tc>
          <w:tcPr>
            <w:tcW w:w="2693" w:type="dxa"/>
            <w:noWrap w:val="0"/>
            <w:vAlign w:val="center"/>
          </w:tcPr>
          <w:p w14:paraId="247BFDAB">
            <w:pPr>
              <w:pStyle w:val="40"/>
              <w:rPr>
                <w:rFonts w:eastAsia="宋体"/>
                <w:szCs w:val="21"/>
              </w:rPr>
            </w:pPr>
            <w:r>
              <w:rPr>
                <w:rFonts w:hint="eastAsia" w:eastAsia="宋体"/>
                <w:szCs w:val="21"/>
              </w:rPr>
              <w:t>试卷题型包括选择题、简答题、分析题、论述题等题型，一方面考核师范生小学数学教学理论知识的掌握情况，另一方面考核师范生运用所学理论进行解题指导的能力。</w:t>
            </w:r>
          </w:p>
        </w:tc>
        <w:tc>
          <w:tcPr>
            <w:tcW w:w="1276" w:type="dxa"/>
            <w:noWrap w:val="0"/>
            <w:vAlign w:val="center"/>
          </w:tcPr>
          <w:p w14:paraId="6F6BE57F">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73744F93">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62FC8F11">
            <w:pPr>
              <w:jc w:val="center"/>
              <w:rPr>
                <w:rFonts w:hint="eastAsia" w:ascii="宋体" w:hAnsi="宋体" w:cs="宋体"/>
                <w:kern w:val="0"/>
                <w:szCs w:val="21"/>
              </w:rPr>
            </w:pPr>
            <w:r>
              <w:rPr>
                <w:rFonts w:hint="eastAsia" w:ascii="宋体" w:hAnsi="宋体"/>
              </w:rPr>
              <w:t>小学数学解题的思路、小学数学解题指导的方法</w:t>
            </w:r>
          </w:p>
        </w:tc>
        <w:tc>
          <w:tcPr>
            <w:tcW w:w="1276" w:type="dxa"/>
            <w:noWrap w:val="0"/>
            <w:vAlign w:val="center"/>
          </w:tcPr>
          <w:p w14:paraId="7A6A07AA">
            <w:pPr>
              <w:rPr>
                <w:rFonts w:ascii="宋体" w:hAnsi="宋体"/>
                <w:szCs w:val="21"/>
              </w:rPr>
            </w:pPr>
            <w:r>
              <w:rPr>
                <w:rFonts w:hint="eastAsia" w:ascii="宋体" w:hAnsi="宋体"/>
                <w:szCs w:val="21"/>
              </w:rPr>
              <w:t>3-2、4-3</w:t>
            </w:r>
          </w:p>
        </w:tc>
      </w:tr>
    </w:tbl>
    <w:p w14:paraId="2C8413E4">
      <w:pPr>
        <w:spacing w:line="360" w:lineRule="auto"/>
        <w:rPr>
          <w:rFonts w:hint="eastAsia" w:ascii="宋体" w:hAnsi="宋体"/>
          <w:sz w:val="24"/>
          <w:szCs w:val="22"/>
        </w:rPr>
      </w:pPr>
      <w:r>
        <w:rPr>
          <w:rFonts w:hint="eastAsia" w:ascii="宋体" w:hAnsi="宋体"/>
          <w:sz w:val="24"/>
          <w:szCs w:val="22"/>
        </w:rPr>
        <w:t xml:space="preserve">    </w:t>
      </w:r>
    </w:p>
    <w:p w14:paraId="702EE84A">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48"/>
        <w:gridCol w:w="1816"/>
        <w:gridCol w:w="2196"/>
        <w:gridCol w:w="1843"/>
        <w:gridCol w:w="1134"/>
      </w:tblGrid>
      <w:tr w14:paraId="18EDB5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3864" w:type="dxa"/>
            <w:gridSpan w:val="2"/>
            <w:shd w:val="clear" w:color="auto" w:fill="auto"/>
            <w:noWrap w:val="0"/>
            <w:vAlign w:val="center"/>
          </w:tcPr>
          <w:p w14:paraId="52899E77">
            <w:pPr>
              <w:widowControl/>
              <w:jc w:val="center"/>
              <w:rPr>
                <w:rFonts w:ascii="宋体" w:hAnsi="宋体"/>
                <w:kern w:val="0"/>
                <w:szCs w:val="21"/>
              </w:rPr>
            </w:pPr>
            <w:r>
              <w:rPr>
                <w:rFonts w:hint="eastAsia" w:ascii="宋体" w:hAnsi="宋体"/>
                <w:kern w:val="0"/>
                <w:szCs w:val="21"/>
              </w:rPr>
              <w:t>课程目标及权重</w:t>
            </w:r>
          </w:p>
        </w:tc>
        <w:tc>
          <w:tcPr>
            <w:tcW w:w="5173" w:type="dxa"/>
            <w:gridSpan w:val="3"/>
            <w:shd w:val="clear" w:color="auto" w:fill="auto"/>
            <w:noWrap w:val="0"/>
            <w:vAlign w:val="center"/>
          </w:tcPr>
          <w:p w14:paraId="36DD82D8">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567DCC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2048" w:type="dxa"/>
            <w:shd w:val="clear" w:color="auto" w:fill="auto"/>
            <w:noWrap w:val="0"/>
            <w:vAlign w:val="center"/>
          </w:tcPr>
          <w:p w14:paraId="29DD9C4D">
            <w:pPr>
              <w:widowControl/>
              <w:jc w:val="center"/>
              <w:rPr>
                <w:rFonts w:hint="eastAsia" w:ascii="宋体" w:hAnsi="宋体"/>
                <w:kern w:val="0"/>
                <w:szCs w:val="21"/>
              </w:rPr>
            </w:pPr>
            <w:r>
              <w:rPr>
                <w:rFonts w:hint="eastAsia" w:ascii="宋体" w:hAnsi="宋体"/>
                <w:kern w:val="0"/>
                <w:szCs w:val="21"/>
              </w:rPr>
              <w:t>项目</w:t>
            </w:r>
          </w:p>
        </w:tc>
        <w:tc>
          <w:tcPr>
            <w:tcW w:w="1816" w:type="dxa"/>
            <w:shd w:val="clear" w:color="auto" w:fill="auto"/>
            <w:noWrap w:val="0"/>
            <w:vAlign w:val="center"/>
          </w:tcPr>
          <w:p w14:paraId="0FBA39B0">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tcBorders>
              <w:bottom w:val="single" w:color="auto" w:sz="8" w:space="0"/>
            </w:tcBorders>
            <w:shd w:val="clear" w:color="auto" w:fill="auto"/>
            <w:noWrap w:val="0"/>
            <w:vAlign w:val="center"/>
          </w:tcPr>
          <w:p w14:paraId="4EBF4EE8">
            <w:pPr>
              <w:widowControl/>
              <w:jc w:val="center"/>
              <w:rPr>
                <w:rFonts w:hint="eastAsia" w:ascii="宋体" w:hAnsi="宋体"/>
                <w:kern w:val="0"/>
                <w:szCs w:val="21"/>
              </w:rPr>
            </w:pPr>
            <w:r>
              <w:rPr>
                <w:rFonts w:hint="eastAsia" w:ascii="宋体" w:hAnsi="宋体"/>
                <w:kern w:val="0"/>
                <w:szCs w:val="21"/>
              </w:rPr>
              <w:t>评价依据</w:t>
            </w:r>
          </w:p>
        </w:tc>
        <w:tc>
          <w:tcPr>
            <w:tcW w:w="1843" w:type="dxa"/>
            <w:tcBorders>
              <w:bottom w:val="single" w:color="auto" w:sz="8" w:space="0"/>
            </w:tcBorders>
            <w:shd w:val="clear" w:color="auto" w:fill="auto"/>
            <w:noWrap w:val="0"/>
            <w:vAlign w:val="center"/>
          </w:tcPr>
          <w:p w14:paraId="718BE7FB">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noWrap w:val="0"/>
            <w:vAlign w:val="top"/>
          </w:tcPr>
          <w:p w14:paraId="64AC670B">
            <w:pPr>
              <w:widowControl/>
              <w:rPr>
                <w:rFonts w:hint="eastAsia" w:ascii="宋体" w:hAnsi="宋体"/>
                <w:kern w:val="0"/>
                <w:szCs w:val="21"/>
              </w:rPr>
            </w:pPr>
            <w:r>
              <w:rPr>
                <w:rFonts w:hint="eastAsia" w:ascii="宋体" w:hAnsi="宋体"/>
                <w:kern w:val="0"/>
                <w:szCs w:val="21"/>
              </w:rPr>
              <w:t>考核方式权重合计</w:t>
            </w:r>
          </w:p>
        </w:tc>
      </w:tr>
      <w:tr w14:paraId="25DB55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restart"/>
            <w:shd w:val="clear" w:color="auto" w:fill="auto"/>
            <w:noWrap w:val="0"/>
            <w:vAlign w:val="center"/>
          </w:tcPr>
          <w:p w14:paraId="14959FE6">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shd w:val="clear" w:color="auto" w:fill="auto"/>
            <w:noWrap w:val="0"/>
            <w:vAlign w:val="center"/>
          </w:tcPr>
          <w:p w14:paraId="50342CAC">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65D92E7">
            <w:pPr>
              <w:widowControl/>
              <w:spacing w:line="276" w:lineRule="auto"/>
              <w:rPr>
                <w:rFonts w:ascii="宋体" w:hAnsi="宋体" w:cs="宋体"/>
                <w:kern w:val="0"/>
                <w:sz w:val="24"/>
              </w:rPr>
            </w:pPr>
            <w:r>
              <w:rPr>
                <w:rFonts w:hint="eastAsia" w:ascii="宋体" w:hAnsi="宋体" w:cs="宋体"/>
                <w:kern w:val="0"/>
                <w:sz w:val="24"/>
              </w:rPr>
              <w:t>作业1</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E2A8D28">
            <w:pPr>
              <w:widowControl/>
              <w:spacing w:line="276" w:lineRule="auto"/>
              <w:jc w:val="center"/>
              <w:rPr>
                <w:rFonts w:hint="eastAsia"/>
                <w:kern w:val="0"/>
                <w:sz w:val="24"/>
              </w:rPr>
            </w:pPr>
            <w:r>
              <w:rPr>
                <w:kern w:val="0"/>
                <w:sz w:val="24"/>
              </w:rPr>
              <w:t>0.</w:t>
            </w:r>
            <w:r>
              <w:rPr>
                <w:rFonts w:hint="eastAsia"/>
                <w:kern w:val="0"/>
                <w:sz w:val="24"/>
              </w:rPr>
              <w:t>20</w:t>
            </w:r>
            <w:r>
              <w:rPr>
                <w:kern w:val="0"/>
                <w:sz w:val="24"/>
              </w:rPr>
              <w:t xml:space="preserve"> </w:t>
            </w:r>
          </w:p>
        </w:tc>
        <w:tc>
          <w:tcPr>
            <w:tcW w:w="1134" w:type="dxa"/>
            <w:vMerge w:val="restart"/>
            <w:noWrap w:val="0"/>
            <w:vAlign w:val="center"/>
          </w:tcPr>
          <w:p w14:paraId="0A714403">
            <w:pPr>
              <w:widowControl/>
              <w:jc w:val="center"/>
              <w:rPr>
                <w:rFonts w:hint="eastAsia" w:ascii="宋体" w:hAnsi="宋体"/>
                <w:kern w:val="0"/>
                <w:szCs w:val="21"/>
              </w:rPr>
            </w:pPr>
            <w:r>
              <w:rPr>
                <w:rFonts w:hint="eastAsia" w:ascii="宋体" w:hAnsi="宋体"/>
                <w:kern w:val="0"/>
                <w:szCs w:val="21"/>
              </w:rPr>
              <w:t>100%</w:t>
            </w:r>
          </w:p>
        </w:tc>
      </w:tr>
      <w:tr w14:paraId="235A55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continue"/>
            <w:shd w:val="clear" w:color="auto" w:fill="auto"/>
            <w:noWrap w:val="0"/>
            <w:vAlign w:val="center"/>
          </w:tcPr>
          <w:p w14:paraId="42CC5ABE">
            <w:pPr>
              <w:widowControl/>
              <w:jc w:val="center"/>
              <w:rPr>
                <w:rFonts w:hint="eastAsia" w:ascii="宋体" w:hAnsi="宋体"/>
                <w:kern w:val="0"/>
                <w:szCs w:val="21"/>
              </w:rPr>
            </w:pPr>
          </w:p>
        </w:tc>
        <w:tc>
          <w:tcPr>
            <w:tcW w:w="1816" w:type="dxa"/>
            <w:vMerge w:val="continue"/>
            <w:shd w:val="clear" w:color="auto" w:fill="auto"/>
            <w:noWrap w:val="0"/>
            <w:vAlign w:val="center"/>
          </w:tcPr>
          <w:p w14:paraId="482EBB78">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1F744439">
            <w:pPr>
              <w:widowControl/>
              <w:spacing w:line="276" w:lineRule="auto"/>
              <w:rPr>
                <w:rFonts w:hint="eastAsia"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3E1ABB8A">
            <w:pPr>
              <w:widowControl/>
              <w:spacing w:line="276" w:lineRule="auto"/>
              <w:jc w:val="center"/>
              <w:rPr>
                <w:kern w:val="0"/>
                <w:sz w:val="24"/>
              </w:rPr>
            </w:pPr>
            <w:r>
              <w:rPr>
                <w:kern w:val="0"/>
                <w:sz w:val="24"/>
              </w:rPr>
              <w:t xml:space="preserve">0.10 </w:t>
            </w:r>
          </w:p>
        </w:tc>
        <w:tc>
          <w:tcPr>
            <w:tcW w:w="1134" w:type="dxa"/>
            <w:vMerge w:val="continue"/>
            <w:noWrap w:val="0"/>
            <w:vAlign w:val="center"/>
          </w:tcPr>
          <w:p w14:paraId="2F5D00BD">
            <w:pPr>
              <w:widowControl/>
              <w:jc w:val="center"/>
              <w:rPr>
                <w:rFonts w:hint="eastAsia" w:ascii="宋体" w:hAnsi="宋体"/>
                <w:kern w:val="0"/>
                <w:szCs w:val="21"/>
              </w:rPr>
            </w:pPr>
          </w:p>
        </w:tc>
      </w:tr>
      <w:tr w14:paraId="571C6C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continue"/>
            <w:shd w:val="clear" w:color="auto" w:fill="auto"/>
            <w:noWrap w:val="0"/>
            <w:vAlign w:val="center"/>
          </w:tcPr>
          <w:p w14:paraId="54DBF856">
            <w:pPr>
              <w:widowControl/>
              <w:jc w:val="center"/>
              <w:rPr>
                <w:rFonts w:hint="eastAsia" w:ascii="宋体" w:hAnsi="宋体"/>
                <w:kern w:val="0"/>
                <w:szCs w:val="21"/>
              </w:rPr>
            </w:pPr>
          </w:p>
        </w:tc>
        <w:tc>
          <w:tcPr>
            <w:tcW w:w="1816" w:type="dxa"/>
            <w:vMerge w:val="continue"/>
            <w:shd w:val="clear" w:color="auto" w:fill="auto"/>
            <w:noWrap w:val="0"/>
            <w:vAlign w:val="center"/>
          </w:tcPr>
          <w:p w14:paraId="4BD2F8AC">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63D0B351">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16FACA81">
            <w:pPr>
              <w:widowControl/>
              <w:spacing w:line="276" w:lineRule="auto"/>
              <w:jc w:val="center"/>
              <w:rPr>
                <w:rFonts w:hint="eastAsia"/>
                <w:kern w:val="0"/>
                <w:sz w:val="24"/>
              </w:rPr>
            </w:pPr>
            <w:r>
              <w:rPr>
                <w:kern w:val="0"/>
                <w:sz w:val="24"/>
              </w:rPr>
              <w:t xml:space="preserve">0.20 </w:t>
            </w:r>
          </w:p>
        </w:tc>
        <w:tc>
          <w:tcPr>
            <w:tcW w:w="1134" w:type="dxa"/>
            <w:vMerge w:val="continue"/>
            <w:noWrap w:val="0"/>
            <w:vAlign w:val="center"/>
          </w:tcPr>
          <w:p w14:paraId="5D96DEBD">
            <w:pPr>
              <w:widowControl/>
              <w:jc w:val="center"/>
              <w:rPr>
                <w:rFonts w:hint="eastAsia" w:ascii="宋体" w:hAnsi="宋体"/>
                <w:kern w:val="0"/>
                <w:szCs w:val="21"/>
              </w:rPr>
            </w:pPr>
          </w:p>
        </w:tc>
      </w:tr>
      <w:tr w14:paraId="147890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3462D9C5">
            <w:pPr>
              <w:widowControl/>
              <w:jc w:val="left"/>
              <w:rPr>
                <w:rFonts w:ascii="宋体" w:hAnsi="宋体"/>
                <w:kern w:val="0"/>
                <w:szCs w:val="21"/>
              </w:rPr>
            </w:pPr>
          </w:p>
        </w:tc>
        <w:tc>
          <w:tcPr>
            <w:tcW w:w="1816" w:type="dxa"/>
            <w:vMerge w:val="continue"/>
            <w:shd w:val="clear" w:color="auto" w:fill="auto"/>
            <w:noWrap w:val="0"/>
            <w:vAlign w:val="center"/>
          </w:tcPr>
          <w:p w14:paraId="538C4CE3">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073A9CA1">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D50D3D5">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1F3F8F12">
            <w:pPr>
              <w:widowControl/>
              <w:jc w:val="center"/>
              <w:rPr>
                <w:rFonts w:hint="eastAsia" w:ascii="宋体" w:hAnsi="宋体"/>
                <w:kern w:val="0"/>
                <w:szCs w:val="21"/>
              </w:rPr>
            </w:pPr>
          </w:p>
        </w:tc>
      </w:tr>
      <w:tr w14:paraId="4FDA1D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1ED1512F">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shd w:val="clear" w:color="auto" w:fill="auto"/>
            <w:noWrap w:val="0"/>
            <w:vAlign w:val="center"/>
          </w:tcPr>
          <w:p w14:paraId="3BE5A4F8">
            <w:pPr>
              <w:widowControl/>
              <w:jc w:val="center"/>
              <w:rPr>
                <w:rFonts w:hint="eastAsia" w:ascii="宋体" w:hAnsi="宋体"/>
                <w:kern w:val="0"/>
                <w:szCs w:val="21"/>
              </w:rPr>
            </w:pPr>
            <w:r>
              <w:rPr>
                <w:rFonts w:ascii="宋体" w:hAnsi="宋体"/>
                <w:kern w:val="0"/>
                <w:szCs w:val="21"/>
              </w:rPr>
              <w:t>30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DFCB82E">
            <w:pPr>
              <w:widowControl/>
              <w:spacing w:line="276" w:lineRule="auto"/>
              <w:rPr>
                <w:rFonts w:ascii="宋体" w:hAnsi="宋体" w:cs="宋体"/>
                <w:kern w:val="0"/>
                <w:sz w:val="24"/>
              </w:rPr>
            </w:pPr>
            <w:r>
              <w:rPr>
                <w:rFonts w:hint="eastAsia" w:ascii="宋体" w:hAnsi="宋体" w:cs="宋体"/>
                <w:kern w:val="0"/>
                <w:sz w:val="24"/>
              </w:rPr>
              <w:t>作业2</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0D4F9FF">
            <w:pPr>
              <w:widowControl/>
              <w:spacing w:line="276" w:lineRule="auto"/>
              <w:jc w:val="center"/>
              <w:rPr>
                <w:rFonts w:hint="eastAsia"/>
                <w:kern w:val="0"/>
                <w:sz w:val="24"/>
              </w:rPr>
            </w:pPr>
            <w:r>
              <w:rPr>
                <w:kern w:val="0"/>
                <w:sz w:val="24"/>
              </w:rPr>
              <w:t>0.</w:t>
            </w:r>
            <w:r>
              <w:rPr>
                <w:rFonts w:hint="eastAsia"/>
                <w:kern w:val="0"/>
                <w:sz w:val="24"/>
              </w:rPr>
              <w:t>2</w:t>
            </w:r>
            <w:r>
              <w:rPr>
                <w:kern w:val="0"/>
                <w:sz w:val="24"/>
              </w:rPr>
              <w:t xml:space="preserve">0 </w:t>
            </w:r>
          </w:p>
        </w:tc>
        <w:tc>
          <w:tcPr>
            <w:tcW w:w="1134" w:type="dxa"/>
            <w:vMerge w:val="restart"/>
            <w:noWrap w:val="0"/>
            <w:vAlign w:val="center"/>
          </w:tcPr>
          <w:p w14:paraId="0091062C">
            <w:pPr>
              <w:widowControl/>
              <w:jc w:val="center"/>
              <w:rPr>
                <w:rFonts w:hint="eastAsia" w:ascii="宋体" w:hAnsi="宋体"/>
                <w:kern w:val="0"/>
                <w:szCs w:val="21"/>
              </w:rPr>
            </w:pPr>
            <w:r>
              <w:rPr>
                <w:rFonts w:hint="eastAsia" w:ascii="宋体" w:hAnsi="宋体"/>
                <w:kern w:val="0"/>
                <w:szCs w:val="21"/>
              </w:rPr>
              <w:t>100%</w:t>
            </w:r>
          </w:p>
        </w:tc>
      </w:tr>
      <w:tr w14:paraId="39891A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8C86C47">
            <w:pPr>
              <w:widowControl/>
              <w:jc w:val="left"/>
              <w:rPr>
                <w:rFonts w:ascii="宋体" w:hAnsi="宋体"/>
                <w:kern w:val="0"/>
                <w:szCs w:val="21"/>
              </w:rPr>
            </w:pPr>
          </w:p>
        </w:tc>
        <w:tc>
          <w:tcPr>
            <w:tcW w:w="1816" w:type="dxa"/>
            <w:vMerge w:val="continue"/>
            <w:shd w:val="clear" w:color="auto" w:fill="auto"/>
            <w:noWrap w:val="0"/>
            <w:vAlign w:val="center"/>
          </w:tcPr>
          <w:p w14:paraId="5094287C">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7C08569B">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1A7F476C">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00B02250">
            <w:pPr>
              <w:widowControl/>
              <w:jc w:val="center"/>
              <w:rPr>
                <w:rFonts w:hint="eastAsia" w:ascii="宋体" w:hAnsi="宋体"/>
                <w:kern w:val="0"/>
                <w:szCs w:val="21"/>
              </w:rPr>
            </w:pPr>
          </w:p>
        </w:tc>
      </w:tr>
      <w:tr w14:paraId="0640BD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33724837">
            <w:pPr>
              <w:widowControl/>
              <w:jc w:val="left"/>
              <w:rPr>
                <w:rFonts w:ascii="宋体" w:hAnsi="宋体"/>
                <w:kern w:val="0"/>
                <w:szCs w:val="21"/>
              </w:rPr>
            </w:pPr>
          </w:p>
        </w:tc>
        <w:tc>
          <w:tcPr>
            <w:tcW w:w="1816" w:type="dxa"/>
            <w:vMerge w:val="continue"/>
            <w:shd w:val="clear" w:color="auto" w:fill="auto"/>
            <w:noWrap w:val="0"/>
            <w:vAlign w:val="center"/>
          </w:tcPr>
          <w:p w14:paraId="39AF6646">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1770FB15">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186557E">
            <w:pPr>
              <w:widowControl/>
              <w:spacing w:line="276" w:lineRule="auto"/>
              <w:jc w:val="center"/>
              <w:rPr>
                <w:rFonts w:hint="eastAsia"/>
                <w:kern w:val="0"/>
                <w:sz w:val="24"/>
              </w:rPr>
            </w:pPr>
            <w:r>
              <w:rPr>
                <w:kern w:val="0"/>
                <w:sz w:val="24"/>
              </w:rPr>
              <w:t xml:space="preserve">0.20 </w:t>
            </w:r>
          </w:p>
        </w:tc>
        <w:tc>
          <w:tcPr>
            <w:tcW w:w="1134" w:type="dxa"/>
            <w:vMerge w:val="continue"/>
            <w:noWrap w:val="0"/>
            <w:vAlign w:val="center"/>
          </w:tcPr>
          <w:p w14:paraId="16B74FBC">
            <w:pPr>
              <w:widowControl/>
              <w:jc w:val="center"/>
              <w:rPr>
                <w:rFonts w:hint="eastAsia" w:ascii="宋体" w:hAnsi="宋体"/>
                <w:kern w:val="0"/>
                <w:szCs w:val="21"/>
              </w:rPr>
            </w:pPr>
          </w:p>
        </w:tc>
      </w:tr>
      <w:tr w14:paraId="643E8D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182469D">
            <w:pPr>
              <w:widowControl/>
              <w:jc w:val="left"/>
              <w:rPr>
                <w:rFonts w:ascii="宋体" w:hAnsi="宋体"/>
                <w:kern w:val="0"/>
                <w:szCs w:val="21"/>
              </w:rPr>
            </w:pPr>
          </w:p>
        </w:tc>
        <w:tc>
          <w:tcPr>
            <w:tcW w:w="1816" w:type="dxa"/>
            <w:vMerge w:val="continue"/>
            <w:shd w:val="clear" w:color="auto" w:fill="auto"/>
            <w:noWrap w:val="0"/>
            <w:vAlign w:val="center"/>
          </w:tcPr>
          <w:p w14:paraId="6A5501D8">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0087A692">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16FD21A">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6DAF5C15">
            <w:pPr>
              <w:widowControl/>
              <w:jc w:val="center"/>
              <w:rPr>
                <w:rFonts w:hint="eastAsia" w:ascii="宋体" w:hAnsi="宋体"/>
                <w:kern w:val="0"/>
                <w:szCs w:val="21"/>
              </w:rPr>
            </w:pPr>
          </w:p>
        </w:tc>
      </w:tr>
      <w:tr w14:paraId="2E7068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51C464C4">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shd w:val="clear" w:color="auto" w:fill="auto"/>
            <w:noWrap w:val="0"/>
            <w:vAlign w:val="center"/>
          </w:tcPr>
          <w:p w14:paraId="63AE2E49">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4AF31B10">
            <w:pPr>
              <w:widowControl/>
              <w:spacing w:line="276" w:lineRule="auto"/>
              <w:rPr>
                <w:rFonts w:ascii="宋体" w:hAnsi="宋体" w:cs="宋体"/>
                <w:kern w:val="0"/>
                <w:sz w:val="24"/>
              </w:rPr>
            </w:pPr>
            <w:r>
              <w:rPr>
                <w:rFonts w:hint="eastAsia" w:ascii="宋体" w:hAnsi="宋体" w:cs="宋体"/>
                <w:kern w:val="0"/>
                <w:sz w:val="24"/>
              </w:rPr>
              <w:t>作业3</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EAB20D7">
            <w:pPr>
              <w:widowControl/>
              <w:spacing w:line="276" w:lineRule="auto"/>
              <w:jc w:val="center"/>
              <w:rPr>
                <w:rFonts w:hint="eastAsia"/>
                <w:kern w:val="0"/>
                <w:sz w:val="24"/>
              </w:rPr>
            </w:pPr>
            <w:r>
              <w:rPr>
                <w:kern w:val="0"/>
                <w:sz w:val="24"/>
              </w:rPr>
              <w:t>0.</w:t>
            </w:r>
            <w:r>
              <w:rPr>
                <w:rFonts w:hint="eastAsia"/>
                <w:kern w:val="0"/>
                <w:sz w:val="24"/>
              </w:rPr>
              <w:t>2</w:t>
            </w:r>
            <w:r>
              <w:rPr>
                <w:kern w:val="0"/>
                <w:sz w:val="24"/>
              </w:rPr>
              <w:t xml:space="preserve">0 </w:t>
            </w:r>
          </w:p>
        </w:tc>
        <w:tc>
          <w:tcPr>
            <w:tcW w:w="1134" w:type="dxa"/>
            <w:vMerge w:val="restart"/>
            <w:noWrap w:val="0"/>
            <w:vAlign w:val="center"/>
          </w:tcPr>
          <w:p w14:paraId="63420969">
            <w:pPr>
              <w:widowControl/>
              <w:jc w:val="center"/>
              <w:rPr>
                <w:rFonts w:hint="eastAsia" w:ascii="宋体" w:hAnsi="宋体"/>
                <w:kern w:val="0"/>
                <w:szCs w:val="21"/>
              </w:rPr>
            </w:pPr>
            <w:r>
              <w:rPr>
                <w:rFonts w:hint="eastAsia" w:ascii="宋体" w:hAnsi="宋体"/>
                <w:kern w:val="0"/>
                <w:szCs w:val="21"/>
              </w:rPr>
              <w:t>100%</w:t>
            </w:r>
          </w:p>
        </w:tc>
      </w:tr>
      <w:tr w14:paraId="54F661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90025B8">
            <w:pPr>
              <w:widowControl/>
              <w:jc w:val="left"/>
              <w:rPr>
                <w:rFonts w:ascii="宋体" w:hAnsi="宋体"/>
                <w:kern w:val="0"/>
                <w:szCs w:val="21"/>
              </w:rPr>
            </w:pPr>
          </w:p>
        </w:tc>
        <w:tc>
          <w:tcPr>
            <w:tcW w:w="1816" w:type="dxa"/>
            <w:vMerge w:val="continue"/>
            <w:shd w:val="clear" w:color="auto" w:fill="auto"/>
            <w:noWrap w:val="0"/>
            <w:vAlign w:val="center"/>
          </w:tcPr>
          <w:p w14:paraId="4744BE88">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EFC3C3E">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313F04CE">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48F17E9E">
            <w:pPr>
              <w:widowControl/>
              <w:jc w:val="center"/>
              <w:rPr>
                <w:rFonts w:hint="eastAsia" w:ascii="宋体" w:hAnsi="宋体"/>
                <w:kern w:val="0"/>
                <w:szCs w:val="21"/>
              </w:rPr>
            </w:pPr>
          </w:p>
        </w:tc>
      </w:tr>
      <w:tr w14:paraId="02E0ED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2E4B7323">
            <w:pPr>
              <w:widowControl/>
              <w:jc w:val="left"/>
              <w:rPr>
                <w:rFonts w:ascii="宋体" w:hAnsi="宋体"/>
                <w:kern w:val="0"/>
                <w:szCs w:val="21"/>
              </w:rPr>
            </w:pPr>
          </w:p>
        </w:tc>
        <w:tc>
          <w:tcPr>
            <w:tcW w:w="1816" w:type="dxa"/>
            <w:vMerge w:val="continue"/>
            <w:shd w:val="clear" w:color="auto" w:fill="auto"/>
            <w:noWrap w:val="0"/>
            <w:vAlign w:val="center"/>
          </w:tcPr>
          <w:p w14:paraId="11C33CFF">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02534A70">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628DEDB">
            <w:pPr>
              <w:widowControl/>
              <w:spacing w:line="276" w:lineRule="auto"/>
              <w:jc w:val="center"/>
              <w:rPr>
                <w:rFonts w:hint="eastAsia"/>
                <w:kern w:val="0"/>
                <w:sz w:val="24"/>
              </w:rPr>
            </w:pPr>
            <w:r>
              <w:rPr>
                <w:kern w:val="0"/>
                <w:sz w:val="24"/>
              </w:rPr>
              <w:t xml:space="preserve">0.20 </w:t>
            </w:r>
          </w:p>
        </w:tc>
        <w:tc>
          <w:tcPr>
            <w:tcW w:w="1134" w:type="dxa"/>
            <w:vMerge w:val="continue"/>
            <w:noWrap w:val="0"/>
            <w:vAlign w:val="center"/>
          </w:tcPr>
          <w:p w14:paraId="2D0D9599">
            <w:pPr>
              <w:widowControl/>
              <w:jc w:val="center"/>
              <w:rPr>
                <w:rFonts w:hint="eastAsia" w:ascii="宋体" w:hAnsi="宋体"/>
                <w:kern w:val="0"/>
                <w:szCs w:val="21"/>
              </w:rPr>
            </w:pPr>
          </w:p>
        </w:tc>
      </w:tr>
      <w:tr w14:paraId="61DCA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1538E0C">
            <w:pPr>
              <w:widowControl/>
              <w:jc w:val="left"/>
              <w:rPr>
                <w:rFonts w:ascii="宋体" w:hAnsi="宋体"/>
                <w:kern w:val="0"/>
                <w:szCs w:val="21"/>
              </w:rPr>
            </w:pPr>
          </w:p>
        </w:tc>
        <w:tc>
          <w:tcPr>
            <w:tcW w:w="1816" w:type="dxa"/>
            <w:vMerge w:val="continue"/>
            <w:shd w:val="clear" w:color="auto" w:fill="auto"/>
            <w:noWrap w:val="0"/>
            <w:vAlign w:val="center"/>
          </w:tcPr>
          <w:p w14:paraId="474905DC">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173523AF">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31E91769">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08B888AE">
            <w:pPr>
              <w:widowControl/>
              <w:jc w:val="center"/>
              <w:rPr>
                <w:rFonts w:hint="eastAsia" w:ascii="宋体" w:hAnsi="宋体"/>
                <w:kern w:val="0"/>
                <w:szCs w:val="21"/>
              </w:rPr>
            </w:pPr>
          </w:p>
        </w:tc>
      </w:tr>
      <w:tr w14:paraId="4CE4E0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trPr>
        <w:tc>
          <w:tcPr>
            <w:tcW w:w="2048" w:type="dxa"/>
            <w:shd w:val="clear" w:color="auto" w:fill="auto"/>
            <w:noWrap w:val="0"/>
            <w:vAlign w:val="center"/>
          </w:tcPr>
          <w:p w14:paraId="2F19084A">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shd w:val="clear" w:color="auto" w:fill="auto"/>
            <w:noWrap w:val="0"/>
            <w:vAlign w:val="center"/>
          </w:tcPr>
          <w:p w14:paraId="7C612A03">
            <w:pPr>
              <w:widowControl/>
              <w:jc w:val="center"/>
              <w:rPr>
                <w:rFonts w:hint="eastAsia" w:ascii="宋体" w:hAnsi="宋体"/>
                <w:kern w:val="0"/>
                <w:szCs w:val="21"/>
              </w:rPr>
            </w:pPr>
            <w:r>
              <w:rPr>
                <w:rFonts w:hint="eastAsia" w:ascii="宋体" w:hAnsi="宋体"/>
                <w:kern w:val="0"/>
                <w:szCs w:val="21"/>
              </w:rPr>
              <w:t>100%</w:t>
            </w:r>
          </w:p>
        </w:tc>
        <w:tc>
          <w:tcPr>
            <w:tcW w:w="5173" w:type="dxa"/>
            <w:gridSpan w:val="3"/>
            <w:shd w:val="clear" w:color="auto" w:fill="auto"/>
            <w:noWrap w:val="0"/>
            <w:vAlign w:val="center"/>
          </w:tcPr>
          <w:p w14:paraId="45F23E9E">
            <w:pPr>
              <w:widowControl/>
              <w:jc w:val="center"/>
              <w:rPr>
                <w:rFonts w:hint="eastAsia" w:ascii="宋体" w:hAnsi="宋体"/>
                <w:kern w:val="0"/>
                <w:szCs w:val="21"/>
              </w:rPr>
            </w:pPr>
          </w:p>
        </w:tc>
      </w:tr>
    </w:tbl>
    <w:p w14:paraId="71B0F101">
      <w:pPr>
        <w:spacing w:line="360" w:lineRule="auto"/>
        <w:ind w:firstLine="480"/>
        <w:rPr>
          <w:rFonts w:ascii="宋体" w:hAnsi="宋体"/>
          <w:sz w:val="24"/>
          <w:szCs w:val="22"/>
        </w:rPr>
      </w:pPr>
    </w:p>
    <w:p w14:paraId="114EFB51">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0A83BCA8">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7D8C4A24">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2FE69C1B">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28013481">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0FFEA085">
      <w:pPr>
        <w:spacing w:line="360" w:lineRule="auto"/>
        <w:ind w:firstLine="480" w:firstLineChars="200"/>
        <w:outlineLvl w:val="0"/>
        <w:rPr>
          <w:rFonts w:ascii="宋体" w:hAnsi="宋体"/>
          <w:sz w:val="24"/>
          <w:szCs w:val="22"/>
        </w:rPr>
      </w:pPr>
      <w:r>
        <w:rPr>
          <w:rFonts w:hint="eastAsia" w:ascii="宋体" w:hAnsi="宋体"/>
          <w:sz w:val="24"/>
          <w:szCs w:val="22"/>
        </w:rPr>
        <w:t>本教学大纲依据《数学课程标准（2022年版）》的要求对课程教学内容和考核方式进行了调整。本课程将根据学生作业、课堂讨论、实践环节和学生、教学督导等的反馈，及时对教学中的不足之处进行改进，并在下一轮课程教学中整改完善，确保相应毕业要求指标点达成。</w:t>
      </w:r>
    </w:p>
    <w:p w14:paraId="17000E5F">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47102335">
      <w:pPr>
        <w:spacing w:line="360" w:lineRule="auto"/>
        <w:ind w:firstLine="480" w:firstLineChars="200"/>
        <w:rPr>
          <w:rFonts w:ascii="宋体" w:hAnsi="宋体"/>
          <w:sz w:val="24"/>
          <w:szCs w:val="22"/>
        </w:rPr>
      </w:pPr>
      <w:r>
        <w:rPr>
          <w:rFonts w:hint="eastAsia" w:ascii="宋体" w:hAnsi="宋体"/>
          <w:sz w:val="24"/>
          <w:szCs w:val="22"/>
        </w:rPr>
        <w:t>1．教材</w:t>
      </w:r>
    </w:p>
    <w:p w14:paraId="1DCF1972">
      <w:pPr>
        <w:spacing w:line="360" w:lineRule="auto"/>
        <w:ind w:firstLine="480" w:firstLineChars="200"/>
        <w:outlineLvl w:val="0"/>
        <w:rPr>
          <w:rFonts w:ascii="宋体" w:hAnsi="宋体"/>
          <w:sz w:val="24"/>
          <w:szCs w:val="22"/>
        </w:rPr>
      </w:pPr>
      <w:r>
        <w:rPr>
          <w:rFonts w:hint="eastAsia" w:ascii="宋体" w:hAnsi="宋体"/>
          <w:sz w:val="24"/>
          <w:szCs w:val="22"/>
        </w:rPr>
        <w:t>周友士．小学数学解题讲义．南京：南京大学出版社，2021．</w:t>
      </w:r>
    </w:p>
    <w:p w14:paraId="6A91B5FD">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4271E5FB">
      <w:pPr>
        <w:spacing w:line="360" w:lineRule="auto"/>
        <w:ind w:firstLine="480" w:firstLineChars="200"/>
        <w:rPr>
          <w:rFonts w:hint="eastAsia" w:ascii="宋体" w:hAnsi="宋体"/>
          <w:sz w:val="24"/>
          <w:szCs w:val="22"/>
        </w:rPr>
      </w:pPr>
      <w:r>
        <w:rPr>
          <w:rFonts w:hint="eastAsia" w:ascii="宋体" w:hAnsi="宋体"/>
          <w:sz w:val="24"/>
          <w:szCs w:val="22"/>
        </w:rPr>
        <w:t>1.彭林.小学数学解题规律、方法与技巧——巧算.上海：上海社会科学院出版社，2017.</w:t>
      </w:r>
    </w:p>
    <w:p w14:paraId="7B5A08A4">
      <w:pPr>
        <w:spacing w:line="360" w:lineRule="auto"/>
        <w:ind w:firstLine="480" w:firstLineChars="200"/>
        <w:rPr>
          <w:rFonts w:hint="eastAsia" w:ascii="宋体" w:hAnsi="宋体"/>
          <w:sz w:val="24"/>
          <w:szCs w:val="22"/>
        </w:rPr>
      </w:pPr>
      <w:r>
        <w:rPr>
          <w:rFonts w:hint="eastAsia" w:ascii="宋体" w:hAnsi="宋体"/>
          <w:sz w:val="24"/>
          <w:szCs w:val="22"/>
        </w:rPr>
        <w:t xml:space="preserve">2.彭林.小学数学解题规律、方法与技巧——巧解应用题.上海：上海社会科学院出版社，2017. </w:t>
      </w:r>
    </w:p>
    <w:p w14:paraId="7ED119EE">
      <w:pPr>
        <w:spacing w:line="360" w:lineRule="auto"/>
        <w:ind w:firstLine="480" w:firstLineChars="200"/>
        <w:rPr>
          <w:rFonts w:hint="eastAsia" w:ascii="宋体" w:hAnsi="宋体"/>
          <w:sz w:val="24"/>
          <w:szCs w:val="22"/>
        </w:rPr>
      </w:pPr>
      <w:r>
        <w:rPr>
          <w:rFonts w:hint="eastAsia" w:ascii="宋体" w:hAnsi="宋体"/>
          <w:sz w:val="24"/>
          <w:szCs w:val="22"/>
        </w:rPr>
        <w:t xml:space="preserve">3.彭林.小学数学解题规律、方法与技巧——巧妙的解题思路.上海：上海社会科学院出版社，2017. </w:t>
      </w:r>
    </w:p>
    <w:p w14:paraId="0EE5812D">
      <w:pPr>
        <w:spacing w:line="360" w:lineRule="auto"/>
        <w:ind w:firstLine="480" w:firstLineChars="200"/>
        <w:rPr>
          <w:rFonts w:hint="eastAsia" w:ascii="宋体" w:hAnsi="宋体"/>
          <w:sz w:val="24"/>
          <w:szCs w:val="22"/>
        </w:rPr>
      </w:pPr>
      <w:r>
        <w:rPr>
          <w:rFonts w:hint="eastAsia" w:ascii="宋体" w:hAnsi="宋体"/>
          <w:sz w:val="24"/>
          <w:szCs w:val="22"/>
        </w:rPr>
        <w:t>4.展秀婷，展秀芬．小学数学常用解题方法手册．南宁：广西教育出版社，2011．</w:t>
      </w:r>
    </w:p>
    <w:p w14:paraId="45CA3704">
      <w:pPr>
        <w:spacing w:line="360" w:lineRule="auto"/>
        <w:ind w:firstLine="480" w:firstLineChars="200"/>
        <w:rPr>
          <w:rFonts w:ascii="宋体" w:hAnsi="宋体"/>
          <w:sz w:val="24"/>
          <w:szCs w:val="22"/>
        </w:rPr>
      </w:pPr>
      <w:r>
        <w:rPr>
          <w:rFonts w:hint="eastAsia" w:ascii="宋体" w:hAnsi="宋体"/>
          <w:sz w:val="24"/>
          <w:szCs w:val="22"/>
        </w:rPr>
        <w:t>5.苏教版、人教版小学数学教材.</w:t>
      </w:r>
    </w:p>
    <w:p w14:paraId="11979E4F">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0C8DA375">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张志欣</w:t>
      </w:r>
    </w:p>
    <w:p w14:paraId="427FE209">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张建波</w:t>
      </w:r>
      <w:r>
        <w:rPr>
          <w:rFonts w:ascii="宋体" w:hAnsi="宋体"/>
          <w:kern w:val="0"/>
          <w:sz w:val="24"/>
          <w:szCs w:val="21"/>
        </w:rPr>
        <w:t xml:space="preserve"> </w:t>
      </w:r>
    </w:p>
    <w:p w14:paraId="17F253C2">
      <w:pPr>
        <w:spacing w:line="312" w:lineRule="auto"/>
        <w:ind w:firstLine="5280" w:firstLineChars="2200"/>
        <w:jc w:val="both"/>
        <w:outlineLvl w:val="0"/>
        <w:rPr>
          <w:rFonts w:ascii="Times New Roman" w:hAnsi="Times New Roman" w:eastAsia="宋体" w:cs="Times New Roman"/>
          <w:b/>
          <w:bCs/>
          <w:sz w:val="30"/>
          <w:szCs w:val="24"/>
        </w:rPr>
      </w:pPr>
      <w:r>
        <w:rPr>
          <w:rFonts w:hint="eastAsia" w:ascii="宋体" w:hAnsi="宋体"/>
          <w:kern w:val="0"/>
          <w:sz w:val="24"/>
          <w:szCs w:val="21"/>
        </w:rPr>
        <w:t>批准时间：20</w:t>
      </w:r>
      <w:r>
        <w:rPr>
          <w:rFonts w:ascii="宋体" w:hAnsi="宋体"/>
          <w:kern w:val="0"/>
          <w:sz w:val="24"/>
          <w:szCs w:val="21"/>
        </w:rPr>
        <w:t>2</w:t>
      </w:r>
      <w:r>
        <w:rPr>
          <w:rFonts w:hint="eastAsia" w:ascii="宋体" w:hAnsi="宋体"/>
          <w:kern w:val="0"/>
          <w:sz w:val="24"/>
          <w:szCs w:val="21"/>
        </w:rPr>
        <w:t>2年8月</w:t>
      </w:r>
      <w:r>
        <w:rPr>
          <w:rFonts w:ascii="宋体" w:hAnsi="宋体"/>
          <w:kern w:val="0"/>
          <w:sz w:val="24"/>
          <w:szCs w:val="21"/>
        </w:rPr>
        <w:t>30</w:t>
      </w:r>
      <w:r>
        <w:rPr>
          <w:rFonts w:hint="eastAsia" w:ascii="宋体" w:hAnsi="宋体"/>
          <w:kern w:val="0"/>
          <w:sz w:val="24"/>
          <w:szCs w:val="21"/>
        </w:rPr>
        <w:t>日</w:t>
      </w:r>
    </w:p>
    <w:p w14:paraId="02306CC8">
      <w:pPr>
        <w:spacing w:line="312" w:lineRule="auto"/>
        <w:jc w:val="center"/>
        <w:outlineLvl w:val="0"/>
        <w:rPr>
          <w:rFonts w:ascii="Times New Roman" w:hAnsi="Times New Roman" w:eastAsia="宋体" w:cs="Times New Roman"/>
          <w:b/>
          <w:bCs/>
          <w:sz w:val="30"/>
          <w:szCs w:val="24"/>
        </w:rPr>
      </w:pPr>
    </w:p>
    <w:p w14:paraId="5CE3C28C">
      <w:pPr>
        <w:spacing w:line="312" w:lineRule="auto"/>
        <w:jc w:val="center"/>
        <w:outlineLvl w:val="0"/>
        <w:rPr>
          <w:rFonts w:ascii="Times New Roman" w:hAnsi="Times New Roman" w:eastAsia="宋体" w:cs="Times New Roman"/>
          <w:b/>
          <w:bCs/>
          <w:sz w:val="30"/>
          <w:szCs w:val="24"/>
        </w:rPr>
      </w:pPr>
    </w:p>
    <w:p w14:paraId="7E148A69">
      <w:pPr>
        <w:spacing w:line="312" w:lineRule="auto"/>
        <w:jc w:val="center"/>
        <w:outlineLvl w:val="0"/>
        <w:rPr>
          <w:rFonts w:ascii="Times New Roman" w:hAnsi="Times New Roman" w:eastAsia="宋体" w:cs="Times New Roman"/>
          <w:b/>
          <w:bCs/>
          <w:sz w:val="30"/>
          <w:szCs w:val="24"/>
        </w:rPr>
      </w:pPr>
    </w:p>
    <w:p w14:paraId="5ADD75BF">
      <w:pPr>
        <w:spacing w:line="312" w:lineRule="auto"/>
        <w:jc w:val="center"/>
        <w:outlineLvl w:val="0"/>
        <w:rPr>
          <w:rFonts w:ascii="Times New Roman" w:hAnsi="Times New Roman" w:eastAsia="宋体" w:cs="Times New Roman"/>
          <w:b/>
          <w:bCs/>
          <w:sz w:val="30"/>
          <w:szCs w:val="24"/>
        </w:rPr>
      </w:pPr>
    </w:p>
    <w:p w14:paraId="27C5FB3C">
      <w:pPr>
        <w:spacing w:line="312" w:lineRule="auto"/>
        <w:jc w:val="center"/>
        <w:outlineLvl w:val="0"/>
        <w:rPr>
          <w:rFonts w:ascii="Times New Roman" w:hAnsi="Times New Roman" w:eastAsia="宋体" w:cs="Times New Roman"/>
          <w:b/>
          <w:bCs/>
          <w:sz w:val="30"/>
          <w:szCs w:val="24"/>
        </w:rPr>
      </w:pPr>
    </w:p>
    <w:p w14:paraId="0B82FB78">
      <w:pPr>
        <w:spacing w:line="312" w:lineRule="auto"/>
        <w:jc w:val="center"/>
        <w:outlineLvl w:val="0"/>
        <w:rPr>
          <w:rFonts w:ascii="Times New Roman" w:hAnsi="Times New Roman" w:eastAsia="宋体" w:cs="Times New Roman"/>
          <w:b/>
          <w:bCs/>
          <w:sz w:val="30"/>
          <w:szCs w:val="24"/>
        </w:rPr>
      </w:pPr>
    </w:p>
    <w:p w14:paraId="47A90024">
      <w:pPr>
        <w:spacing w:line="312" w:lineRule="auto"/>
        <w:jc w:val="center"/>
        <w:outlineLvl w:val="0"/>
        <w:rPr>
          <w:rFonts w:ascii="Times New Roman" w:hAnsi="Times New Roman" w:eastAsia="宋体" w:cs="Times New Roman"/>
          <w:b/>
          <w:bCs/>
          <w:sz w:val="30"/>
          <w:szCs w:val="24"/>
        </w:rPr>
      </w:pPr>
    </w:p>
    <w:p w14:paraId="3B374A8F">
      <w:pPr>
        <w:spacing w:line="312" w:lineRule="auto"/>
        <w:jc w:val="center"/>
        <w:outlineLvl w:val="0"/>
        <w:rPr>
          <w:rFonts w:ascii="Times New Roman" w:hAnsi="Times New Roman" w:eastAsia="宋体" w:cs="Times New Roman"/>
          <w:b/>
          <w:bCs/>
          <w:sz w:val="30"/>
          <w:szCs w:val="24"/>
        </w:rPr>
      </w:pPr>
    </w:p>
    <w:p w14:paraId="5D42D8C1">
      <w:pPr>
        <w:spacing w:line="312" w:lineRule="auto"/>
        <w:jc w:val="center"/>
        <w:outlineLvl w:val="0"/>
        <w:rPr>
          <w:rFonts w:ascii="Times New Roman" w:hAnsi="Times New Roman" w:eastAsia="宋体" w:cs="Times New Roman"/>
          <w:b/>
          <w:bCs/>
          <w:sz w:val="30"/>
          <w:szCs w:val="24"/>
        </w:rPr>
      </w:pPr>
    </w:p>
    <w:p w14:paraId="4DFADB89">
      <w:pPr>
        <w:spacing w:line="312" w:lineRule="auto"/>
        <w:jc w:val="center"/>
        <w:outlineLvl w:val="0"/>
        <w:rPr>
          <w:rFonts w:ascii="Times New Roman" w:hAnsi="Times New Roman" w:eastAsia="宋体" w:cs="Times New Roman"/>
          <w:b/>
          <w:bCs/>
          <w:sz w:val="30"/>
          <w:szCs w:val="24"/>
        </w:rPr>
      </w:pPr>
    </w:p>
    <w:p w14:paraId="328A7E09">
      <w:pPr>
        <w:spacing w:line="312" w:lineRule="auto"/>
        <w:jc w:val="center"/>
        <w:outlineLvl w:val="0"/>
        <w:rPr>
          <w:rFonts w:ascii="Times New Roman" w:hAnsi="Times New Roman" w:eastAsia="宋体" w:cs="Times New Roman"/>
          <w:b/>
          <w:bCs/>
          <w:sz w:val="30"/>
          <w:szCs w:val="24"/>
        </w:rPr>
      </w:pPr>
    </w:p>
    <w:p w14:paraId="048C48B6">
      <w:pPr>
        <w:spacing w:line="312" w:lineRule="auto"/>
        <w:jc w:val="center"/>
        <w:outlineLvl w:val="0"/>
        <w:rPr>
          <w:rFonts w:ascii="Times New Roman" w:hAnsi="Times New Roman" w:eastAsia="宋体" w:cs="Times New Roman"/>
          <w:b/>
          <w:bCs/>
          <w:sz w:val="30"/>
          <w:szCs w:val="24"/>
        </w:rPr>
      </w:pPr>
    </w:p>
    <w:p w14:paraId="71F2F1AB">
      <w:pPr>
        <w:spacing w:line="312" w:lineRule="auto"/>
        <w:jc w:val="center"/>
        <w:outlineLvl w:val="0"/>
        <w:rPr>
          <w:rFonts w:ascii="Times New Roman" w:hAnsi="Times New Roman" w:eastAsia="宋体" w:cs="Times New Roman"/>
          <w:b/>
          <w:bCs/>
          <w:sz w:val="30"/>
          <w:szCs w:val="24"/>
        </w:rPr>
      </w:pPr>
    </w:p>
    <w:p w14:paraId="050E400E">
      <w:pPr>
        <w:spacing w:line="312" w:lineRule="auto"/>
        <w:jc w:val="center"/>
        <w:outlineLvl w:val="0"/>
        <w:rPr>
          <w:rFonts w:ascii="Times New Roman" w:hAnsi="Times New Roman" w:eastAsia="宋体" w:cs="Times New Roman"/>
          <w:b/>
          <w:bCs/>
          <w:sz w:val="30"/>
          <w:szCs w:val="24"/>
        </w:rPr>
      </w:pPr>
    </w:p>
    <w:p w14:paraId="3C7BACAA">
      <w:pPr>
        <w:spacing w:line="312" w:lineRule="auto"/>
        <w:jc w:val="center"/>
        <w:outlineLvl w:val="0"/>
        <w:rPr>
          <w:rFonts w:ascii="Times New Roman" w:hAnsi="Times New Roman" w:eastAsia="宋体" w:cs="Times New Roman"/>
          <w:b/>
          <w:bCs/>
          <w:sz w:val="30"/>
          <w:szCs w:val="24"/>
        </w:rPr>
      </w:pPr>
    </w:p>
    <w:p w14:paraId="0414D176">
      <w:pPr>
        <w:spacing w:line="312" w:lineRule="auto"/>
        <w:jc w:val="center"/>
        <w:outlineLvl w:val="0"/>
        <w:rPr>
          <w:rFonts w:ascii="Times New Roman" w:hAnsi="Times New Roman" w:eastAsia="宋体" w:cs="Times New Roman"/>
          <w:b/>
          <w:bCs/>
          <w:sz w:val="30"/>
          <w:szCs w:val="24"/>
        </w:rPr>
      </w:pPr>
    </w:p>
    <w:p w14:paraId="5B1EDD9A">
      <w:pPr>
        <w:rPr>
          <w:rFonts w:ascii="Times New Roman" w:hAnsi="Times New Roman" w:eastAsia="宋体" w:cs="Times New Roman"/>
          <w:b/>
          <w:bCs/>
          <w:sz w:val="30"/>
          <w:szCs w:val="24"/>
        </w:rPr>
      </w:pPr>
      <w:r>
        <w:rPr>
          <w:rFonts w:ascii="Times New Roman" w:hAnsi="Times New Roman" w:eastAsia="宋体" w:cs="Times New Roman"/>
          <w:b/>
          <w:bCs/>
          <w:sz w:val="30"/>
          <w:szCs w:val="24"/>
        </w:rPr>
        <w:br w:type="page"/>
      </w:r>
    </w:p>
    <w:p w14:paraId="72E730DF">
      <w:pPr>
        <w:spacing w:line="312" w:lineRule="auto"/>
        <w:jc w:val="center"/>
        <w:outlineLvl w:val="0"/>
        <w:rPr>
          <w:rFonts w:ascii="Times New Roman" w:hAnsi="Times New Roman" w:eastAsia="宋体" w:cs="Times New Roman"/>
          <w:b/>
          <w:bCs/>
          <w:sz w:val="30"/>
          <w:szCs w:val="24"/>
        </w:rPr>
      </w:pPr>
      <w:r>
        <w:rPr>
          <w:rFonts w:ascii="Times New Roman" w:hAnsi="Times New Roman" w:eastAsia="宋体" w:cs="Times New Roman"/>
          <w:b/>
          <w:bCs/>
          <w:sz w:val="30"/>
          <w:szCs w:val="24"/>
        </w:rPr>
        <w:t>数学思想方法课程教学大纲</w:t>
      </w:r>
      <w:bookmarkEnd w:id="225"/>
    </w:p>
    <w:p w14:paraId="37CA81CD">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（Mathematical Thinking and Methods）</w:t>
      </w:r>
    </w:p>
    <w:p w14:paraId="08DEA695">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4E6E6663">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0821024</w:t>
      </w:r>
    </w:p>
    <w:p w14:paraId="483EDA26">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2</w:t>
      </w:r>
    </w:p>
    <w:p w14:paraId="5528E167">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32（其中：讲授学时48， 实验学时0  ，上机学时0）</w:t>
      </w:r>
    </w:p>
    <w:p w14:paraId="5FBFB796">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无</w:t>
      </w:r>
    </w:p>
    <w:p w14:paraId="44C1DDE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57DAD3F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w:t>
      </w:r>
      <w:r>
        <w:rPr>
          <w:rFonts w:ascii="Times New Roman" w:hAnsi="Times New Roman" w:eastAsia="宋体" w:cs="Times New Roman"/>
          <w:sz w:val="24"/>
          <w:szCs w:val="24"/>
        </w:rPr>
        <w:t>小学数学与数学思想方法</w:t>
      </w:r>
      <w:r>
        <w:rPr>
          <w:rFonts w:ascii="Times New Roman" w:hAnsi="Times New Roman" w:eastAsia="宋体" w:cs="Times New Roman"/>
          <w:kern w:val="0"/>
          <w:sz w:val="24"/>
          <w:szCs w:val="24"/>
        </w:rPr>
        <w:t>》，</w:t>
      </w:r>
      <w:r>
        <w:rPr>
          <w:rFonts w:ascii="Times New Roman" w:hAnsi="Times New Roman" w:eastAsia="宋体" w:cs="Times New Roman"/>
          <w:sz w:val="24"/>
          <w:szCs w:val="24"/>
        </w:rPr>
        <w:t>王永春</w:t>
      </w:r>
      <w:r>
        <w:rPr>
          <w:rFonts w:ascii="Times New Roman" w:hAnsi="Times New Roman" w:eastAsia="宋体" w:cs="Times New Roman"/>
          <w:kern w:val="0"/>
          <w:sz w:val="24"/>
          <w:szCs w:val="24"/>
        </w:rPr>
        <w:t>，</w:t>
      </w:r>
      <w:r>
        <w:rPr>
          <w:rFonts w:ascii="Times New Roman" w:hAnsi="Times New Roman" w:eastAsia="宋体" w:cs="Times New Roman"/>
          <w:sz w:val="24"/>
          <w:szCs w:val="24"/>
        </w:rPr>
        <w:t>华东师范大学出版社</w:t>
      </w:r>
      <w:r>
        <w:rPr>
          <w:rFonts w:ascii="Times New Roman" w:hAnsi="Times New Roman" w:eastAsia="宋体" w:cs="Times New Roman"/>
          <w:kern w:val="0"/>
          <w:sz w:val="24"/>
          <w:szCs w:val="24"/>
        </w:rPr>
        <w:t>，2014.7</w:t>
      </w:r>
    </w:p>
    <w:p w14:paraId="45A27C4A">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4D38109F">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数学思想方法的基本知识、必要的基础理论；提高学生的数学视野、数学思维能力、逻辑推理能力；提高学生的数学素养，为学生学习后续相关课程及终身学习奠定必要的数学基础。</w:t>
      </w:r>
    </w:p>
    <w:p w14:paraId="2D2B6061">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08B18962">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2F4D7DCF">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69949296">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6E57C938">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66616706">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2EEBCD2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02403115">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60F751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652A263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1543C9B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62237B7E">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8F5527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1BEF5B6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10035AC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28D1841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38CAB95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16FD4E5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47C2E09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D316B0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02A4D6BB">
            <w:pPr>
              <w:widowControl/>
              <w:jc w:val="center"/>
              <w:rPr>
                <w:rFonts w:ascii="Times New Roman" w:hAnsi="Times New Roman" w:eastAsia="宋体" w:cs="Times New Roman"/>
                <w:kern w:val="0"/>
                <w:szCs w:val="21"/>
              </w:rPr>
            </w:pPr>
          </w:p>
        </w:tc>
      </w:tr>
      <w:tr w14:paraId="05D4C99C">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29E4C73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415E9BDA">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A6147EA">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426F4C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146C08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8A12EC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2EC37E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46132AD">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3C464B36">
            <w:pPr>
              <w:widowControl/>
              <w:jc w:val="center"/>
              <w:rPr>
                <w:rFonts w:ascii="Times New Roman" w:hAnsi="Times New Roman" w:eastAsia="宋体" w:cs="Times New Roman"/>
                <w:kern w:val="0"/>
                <w:szCs w:val="21"/>
              </w:rPr>
            </w:pPr>
          </w:p>
        </w:tc>
      </w:tr>
      <w:tr w14:paraId="5EFF87F0">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662B02C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11F5F48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F62E71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1DB9E86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3D568EC5">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EDC0409">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B9C99D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0A5E530">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A5A9CA8">
            <w:pPr>
              <w:widowControl/>
              <w:jc w:val="center"/>
              <w:rPr>
                <w:rFonts w:ascii="Times New Roman" w:hAnsi="Times New Roman" w:eastAsia="宋体" w:cs="Times New Roman"/>
                <w:kern w:val="0"/>
                <w:szCs w:val="21"/>
              </w:rPr>
            </w:pPr>
          </w:p>
        </w:tc>
      </w:tr>
      <w:tr w14:paraId="33AE1997">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43950EA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281A637E">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5DB297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9194D1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C1F371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ABB2D3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50AB142">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A5BD2CD">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640E1D3">
            <w:pPr>
              <w:widowControl/>
              <w:jc w:val="center"/>
              <w:rPr>
                <w:rFonts w:ascii="Times New Roman" w:hAnsi="Times New Roman" w:eastAsia="宋体" w:cs="Times New Roman"/>
                <w:kern w:val="0"/>
                <w:szCs w:val="21"/>
              </w:rPr>
            </w:pPr>
          </w:p>
        </w:tc>
      </w:tr>
    </w:tbl>
    <w:p w14:paraId="6E50FD4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74EEDBBA">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（一）数学思想方法简介</w:t>
      </w:r>
    </w:p>
    <w:p w14:paraId="3F1340A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30648376">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（1）能够</w:t>
      </w:r>
      <w:r>
        <w:rPr>
          <w:rFonts w:ascii="Times New Roman" w:hAnsi="Times New Roman" w:eastAsia="宋体" w:cs="Times New Roman"/>
          <w:sz w:val="24"/>
          <w:szCs w:val="21"/>
        </w:rPr>
        <w:t>了解</w:t>
      </w:r>
      <w:r>
        <w:rPr>
          <w:rFonts w:ascii="Times New Roman" w:hAnsi="Times New Roman" w:eastAsia="宋体" w:cs="Times New Roman"/>
          <w:sz w:val="24"/>
          <w:szCs w:val="24"/>
        </w:rPr>
        <w:t>对数学思想方法的认识</w:t>
      </w:r>
    </w:p>
    <w:p w14:paraId="23191723">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（2）能够</w:t>
      </w:r>
      <w:r>
        <w:rPr>
          <w:rFonts w:ascii="Times New Roman" w:hAnsi="Times New Roman" w:eastAsia="宋体" w:cs="Times New Roman"/>
          <w:sz w:val="24"/>
          <w:szCs w:val="21"/>
        </w:rPr>
        <w:t>了解</w:t>
      </w:r>
      <w:r>
        <w:rPr>
          <w:rFonts w:ascii="Times New Roman" w:hAnsi="Times New Roman" w:eastAsia="宋体" w:cs="Times New Roman"/>
          <w:sz w:val="24"/>
          <w:szCs w:val="24"/>
        </w:rPr>
        <w:t>数学思想方法的教学</w:t>
      </w:r>
    </w:p>
    <w:p w14:paraId="460093F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D2FFB8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对数学思想方法的认识，数学思想方法的教学</w:t>
      </w:r>
      <w:r>
        <w:rPr>
          <w:rFonts w:ascii="Times New Roman" w:hAnsi="Times New Roman" w:eastAsia="宋体" w:cs="Times New Roman"/>
          <w:sz w:val="24"/>
          <w:szCs w:val="21"/>
        </w:rPr>
        <w:t>。</w:t>
      </w:r>
    </w:p>
    <w:p w14:paraId="1E8219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B97CDF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7FFBA82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AF18DB8">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w:t>
      </w:r>
      <w:r>
        <w:rPr>
          <w:rFonts w:ascii="Times New Roman" w:hAnsi="Times New Roman" w:eastAsia="宋体" w:cs="Times New Roman"/>
          <w:b/>
          <w:bCs/>
          <w:sz w:val="24"/>
          <w:szCs w:val="24"/>
        </w:rPr>
        <w:t>与抽象有关的数学思想</w:t>
      </w:r>
    </w:p>
    <w:p w14:paraId="292DEB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40A27AB9">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抽象思想</w:t>
      </w:r>
    </w:p>
    <w:p w14:paraId="75F3C55D">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符号化思想</w:t>
      </w:r>
    </w:p>
    <w:p w14:paraId="4908D0FA">
      <w:pPr>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分类思想</w:t>
      </w:r>
    </w:p>
    <w:p w14:paraId="3C9AF4A7">
      <w:pPr>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集合思想</w:t>
      </w:r>
    </w:p>
    <w:p w14:paraId="6971611B">
      <w:pPr>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变中有不变思想</w:t>
      </w:r>
    </w:p>
    <w:p w14:paraId="28672465">
      <w:pPr>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sz w:val="24"/>
          <w:szCs w:val="24"/>
        </w:rPr>
        <w:t>有限与无限思想</w:t>
      </w:r>
    </w:p>
    <w:p w14:paraId="37345DC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EAE751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bCs/>
          <w:sz w:val="24"/>
          <w:szCs w:val="24"/>
        </w:rPr>
        <w:t>抽象思想，符号化思想，分类思想，有限与无限思想</w:t>
      </w:r>
      <w:r>
        <w:rPr>
          <w:rFonts w:ascii="Times New Roman" w:hAnsi="Times New Roman" w:eastAsia="宋体" w:cs="Times New Roman"/>
          <w:sz w:val="24"/>
          <w:szCs w:val="21"/>
        </w:rPr>
        <w:t>。</w:t>
      </w:r>
    </w:p>
    <w:p w14:paraId="4958A0F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3BF14E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25C95A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D36277B">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w:t>
      </w:r>
      <w:r>
        <w:rPr>
          <w:rFonts w:ascii="Times New Roman" w:hAnsi="Times New Roman" w:eastAsia="宋体" w:cs="Times New Roman"/>
          <w:b/>
          <w:bCs/>
          <w:sz w:val="24"/>
          <w:szCs w:val="24"/>
        </w:rPr>
        <w:t>与推理有关的数学思想</w:t>
      </w:r>
    </w:p>
    <w:p w14:paraId="67C59C1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35F003C7">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归纳推理</w:t>
      </w:r>
    </w:p>
    <w:p w14:paraId="0A5C932D">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sz w:val="24"/>
          <w:szCs w:val="24"/>
        </w:rPr>
        <w:t>类比推理</w:t>
      </w:r>
    </w:p>
    <w:p w14:paraId="1FE95FE6">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演绎推理</w:t>
      </w:r>
    </w:p>
    <w:p w14:paraId="0544C13E">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sz w:val="24"/>
          <w:szCs w:val="24"/>
        </w:rPr>
        <w:t>转化思想</w:t>
      </w:r>
    </w:p>
    <w:p w14:paraId="7C7D8451">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数形结合思想</w:t>
      </w:r>
    </w:p>
    <w:p w14:paraId="2392D8A4">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几何变换思想</w:t>
      </w:r>
    </w:p>
    <w:p w14:paraId="6F178224">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（7）</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sz w:val="24"/>
          <w:szCs w:val="24"/>
        </w:rPr>
        <w:t>极限思想</w:t>
      </w:r>
    </w:p>
    <w:p w14:paraId="5EEB5056">
      <w:pPr>
        <w:widowControl/>
        <w:spacing w:line="30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sz w:val="24"/>
          <w:szCs w:val="24"/>
        </w:rPr>
        <w:t>代换思想</w:t>
      </w:r>
    </w:p>
    <w:p w14:paraId="6171FA0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9B184B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sz w:val="24"/>
          <w:szCs w:val="24"/>
        </w:rPr>
        <w:t>归纳推理，类比推理，转化思想，数形结合思想，几何变换思想，极限思想</w:t>
      </w:r>
      <w:r>
        <w:rPr>
          <w:rFonts w:ascii="Times New Roman" w:hAnsi="Times New Roman" w:eastAsia="宋体" w:cs="Times New Roman"/>
          <w:color w:val="000000"/>
          <w:sz w:val="24"/>
          <w:szCs w:val="24"/>
        </w:rPr>
        <w:t>。</w:t>
      </w:r>
    </w:p>
    <w:p w14:paraId="2CDC0E2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5F7B846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C4A0AF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CF347BE">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（四）与模型有关的数学思想</w:t>
      </w:r>
    </w:p>
    <w:p w14:paraId="00D7AC6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8F50350">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（1）能够</w:t>
      </w:r>
      <w:r>
        <w:rPr>
          <w:rFonts w:ascii="Times New Roman" w:hAnsi="Times New Roman" w:eastAsia="宋体" w:cs="Times New Roman"/>
          <w:sz w:val="24"/>
          <w:szCs w:val="21"/>
        </w:rPr>
        <w:t>了解</w:t>
      </w:r>
      <w:r>
        <w:rPr>
          <w:rFonts w:ascii="Times New Roman" w:hAnsi="Times New Roman" w:eastAsia="宋体" w:cs="Times New Roman"/>
          <w:sz w:val="24"/>
          <w:szCs w:val="24"/>
        </w:rPr>
        <w:t>模型思想</w:t>
      </w:r>
    </w:p>
    <w:p w14:paraId="4A11BBEE">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（2）能够</w:t>
      </w:r>
      <w:r>
        <w:rPr>
          <w:rFonts w:ascii="Times New Roman" w:hAnsi="Times New Roman" w:eastAsia="宋体" w:cs="Times New Roman"/>
          <w:sz w:val="24"/>
          <w:szCs w:val="21"/>
        </w:rPr>
        <w:t>理解</w:t>
      </w:r>
      <w:r>
        <w:rPr>
          <w:rFonts w:ascii="Times New Roman" w:hAnsi="Times New Roman" w:eastAsia="宋体" w:cs="Times New Roman"/>
          <w:sz w:val="24"/>
          <w:szCs w:val="24"/>
        </w:rPr>
        <w:t>方程思想</w:t>
      </w:r>
    </w:p>
    <w:p w14:paraId="57B915F1">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w:t>
      </w:r>
      <w:r>
        <w:rPr>
          <w:rFonts w:ascii="Times New Roman" w:hAnsi="Times New Roman" w:eastAsia="宋体" w:cs="Times New Roman"/>
          <w:sz w:val="24"/>
          <w:szCs w:val="21"/>
        </w:rPr>
        <w:t>理解</w:t>
      </w:r>
      <w:r>
        <w:rPr>
          <w:rFonts w:ascii="Times New Roman" w:hAnsi="Times New Roman" w:eastAsia="宋体" w:cs="Times New Roman"/>
          <w:sz w:val="24"/>
          <w:szCs w:val="24"/>
        </w:rPr>
        <w:t>函数思想</w:t>
      </w:r>
    </w:p>
    <w:p w14:paraId="2924A14A">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（4）能够</w:t>
      </w:r>
      <w:r>
        <w:rPr>
          <w:rFonts w:ascii="Times New Roman" w:hAnsi="Times New Roman" w:eastAsia="宋体" w:cs="Times New Roman"/>
          <w:sz w:val="24"/>
          <w:szCs w:val="21"/>
        </w:rPr>
        <w:t>理解</w:t>
      </w:r>
      <w:r>
        <w:rPr>
          <w:rFonts w:ascii="Times New Roman" w:hAnsi="Times New Roman" w:eastAsia="宋体" w:cs="Times New Roman"/>
          <w:sz w:val="24"/>
          <w:szCs w:val="24"/>
        </w:rPr>
        <w:t>优化思想</w:t>
      </w:r>
    </w:p>
    <w:p w14:paraId="52381A82">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（5）能够</w:t>
      </w:r>
      <w:r>
        <w:rPr>
          <w:rFonts w:ascii="Times New Roman" w:hAnsi="Times New Roman" w:eastAsia="宋体" w:cs="Times New Roman"/>
          <w:sz w:val="24"/>
          <w:szCs w:val="21"/>
        </w:rPr>
        <w:t>了解</w:t>
      </w:r>
      <w:r>
        <w:rPr>
          <w:rFonts w:ascii="Times New Roman" w:hAnsi="Times New Roman" w:eastAsia="宋体" w:cs="Times New Roman"/>
          <w:sz w:val="24"/>
          <w:szCs w:val="24"/>
        </w:rPr>
        <w:t>统计思想</w:t>
      </w:r>
    </w:p>
    <w:p w14:paraId="2FD839BF">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（6）能够</w:t>
      </w:r>
      <w:r>
        <w:rPr>
          <w:rFonts w:ascii="Times New Roman" w:hAnsi="Times New Roman" w:eastAsia="宋体" w:cs="Times New Roman"/>
          <w:sz w:val="24"/>
          <w:szCs w:val="21"/>
        </w:rPr>
        <w:t>了解</w:t>
      </w:r>
      <w:r>
        <w:rPr>
          <w:rFonts w:ascii="Times New Roman" w:hAnsi="Times New Roman" w:eastAsia="宋体" w:cs="Times New Roman"/>
          <w:sz w:val="24"/>
          <w:szCs w:val="24"/>
        </w:rPr>
        <w:t>随机思想</w:t>
      </w:r>
    </w:p>
    <w:p w14:paraId="7762493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62908E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方程思想，模型思想，函数思想，优化思想，统计思想</w:t>
      </w:r>
      <w:r>
        <w:rPr>
          <w:rFonts w:ascii="Times New Roman" w:hAnsi="Times New Roman" w:eastAsia="宋体" w:cs="Times New Roman"/>
          <w:color w:val="000000"/>
          <w:sz w:val="24"/>
          <w:szCs w:val="24"/>
        </w:rPr>
        <w:t>。</w:t>
      </w:r>
    </w:p>
    <w:p w14:paraId="1AC9735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70A340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BC500D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F2799D5">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（五）</w:t>
      </w:r>
      <w:r>
        <w:rPr>
          <w:rFonts w:ascii="Times New Roman" w:hAnsi="Times New Roman" w:eastAsia="宋体" w:cs="Times New Roman"/>
          <w:b/>
          <w:kern w:val="24"/>
          <w:sz w:val="24"/>
          <w:szCs w:val="24"/>
        </w:rPr>
        <w:t>其他数学思想方法</w:t>
      </w:r>
    </w:p>
    <w:p w14:paraId="525688C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27AD45B9">
      <w:pPr>
        <w:spacing w:line="300" w:lineRule="auto"/>
        <w:ind w:firstLine="480" w:firstLineChars="200"/>
        <w:rPr>
          <w:rFonts w:ascii="Times New Roman" w:hAnsi="Times New Roman" w:eastAsia="宋体" w:cs="Times New Roman"/>
          <w:bCs/>
          <w:kern w:val="24"/>
          <w:sz w:val="24"/>
          <w:szCs w:val="24"/>
        </w:rPr>
      </w:pPr>
      <w:r>
        <w:rPr>
          <w:rFonts w:ascii="Times New Roman" w:hAnsi="Times New Roman" w:eastAsia="宋体" w:cs="Times New Roman"/>
          <w:bCs/>
          <w:kern w:val="24"/>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24"/>
          <w:sz w:val="24"/>
          <w:szCs w:val="24"/>
        </w:rPr>
        <w:t>数学美思想（了解）</w:t>
      </w:r>
    </w:p>
    <w:p w14:paraId="37E943FE">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分析法和综合法（理解）</w:t>
      </w:r>
    </w:p>
    <w:p w14:paraId="6ECBAD85">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szCs w:val="24"/>
        </w:rPr>
        <w:t xml:space="preserve"> 反证法</w:t>
      </w:r>
      <w:r>
        <w:rPr>
          <w:rFonts w:ascii="Times New Roman" w:hAnsi="Times New Roman" w:eastAsia="宋体" w:cs="Times New Roman"/>
          <w:bCs/>
          <w:sz w:val="24"/>
          <w:szCs w:val="24"/>
        </w:rPr>
        <w:t>（掌握）</w:t>
      </w:r>
    </w:p>
    <w:p w14:paraId="5E510660">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szCs w:val="24"/>
        </w:rPr>
        <w:t>假设法</w:t>
      </w:r>
      <w:r>
        <w:rPr>
          <w:rFonts w:ascii="Times New Roman" w:hAnsi="Times New Roman" w:eastAsia="宋体" w:cs="Times New Roman"/>
          <w:bCs/>
          <w:sz w:val="24"/>
          <w:szCs w:val="24"/>
        </w:rPr>
        <w:t>（掌握）</w:t>
      </w:r>
    </w:p>
    <w:p w14:paraId="79A181DD">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穷举法</w:t>
      </w:r>
      <w:r>
        <w:rPr>
          <w:rFonts w:ascii="Times New Roman" w:hAnsi="Times New Roman" w:eastAsia="宋体" w:cs="Times New Roman"/>
          <w:bCs/>
          <w:sz w:val="24"/>
          <w:szCs w:val="24"/>
        </w:rPr>
        <w:t>（了解）</w:t>
      </w:r>
    </w:p>
    <w:p w14:paraId="452AFD14">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数学思想方法的综合应用</w:t>
      </w:r>
      <w:r>
        <w:rPr>
          <w:rFonts w:ascii="Times New Roman" w:hAnsi="Times New Roman" w:eastAsia="宋体" w:cs="Times New Roman"/>
          <w:bCs/>
          <w:sz w:val="24"/>
          <w:szCs w:val="24"/>
        </w:rPr>
        <w:t>（了解）</w:t>
      </w:r>
    </w:p>
    <w:p w14:paraId="07812FA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E57DDD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数学美思想，分析法和综合法，反证法，数学思想方法的综合应用</w:t>
      </w:r>
      <w:r>
        <w:rPr>
          <w:rFonts w:ascii="Times New Roman" w:hAnsi="Times New Roman" w:eastAsia="宋体" w:cs="Times New Roman"/>
          <w:color w:val="000000"/>
          <w:sz w:val="24"/>
          <w:szCs w:val="24"/>
        </w:rPr>
        <w:t>。</w:t>
      </w:r>
    </w:p>
    <w:p w14:paraId="6CCCE43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7F4CD1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7CEE55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1544C99">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（六）</w:t>
      </w:r>
      <w:r>
        <w:rPr>
          <w:rFonts w:ascii="Times New Roman" w:hAnsi="Times New Roman" w:eastAsia="宋体" w:cs="Times New Roman"/>
          <w:b/>
          <w:bCs/>
          <w:kern w:val="11"/>
          <w:sz w:val="24"/>
          <w:szCs w:val="24"/>
        </w:rPr>
        <w:t>分组讨论教学——</w:t>
      </w:r>
      <w:r>
        <w:rPr>
          <w:rFonts w:ascii="Times New Roman" w:hAnsi="Times New Roman" w:eastAsia="宋体" w:cs="Times New Roman"/>
          <w:b/>
          <w:spacing w:val="-14"/>
          <w:sz w:val="24"/>
          <w:szCs w:val="24"/>
        </w:rPr>
        <w:t>小学数学教学</w:t>
      </w:r>
    </w:p>
    <w:p w14:paraId="7DE3BBA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6A6FC9B6">
      <w:pPr>
        <w:spacing w:line="300" w:lineRule="auto"/>
        <w:ind w:firstLine="480" w:firstLineChars="200"/>
        <w:jc w:val="left"/>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szCs w:val="24"/>
        </w:rPr>
        <w:t>结合案例分组讨论教学</w:t>
      </w:r>
    </w:p>
    <w:p w14:paraId="0599C89B">
      <w:pPr>
        <w:spacing w:line="300" w:lineRule="auto"/>
        <w:ind w:firstLine="480" w:firstLineChars="200"/>
        <w:jc w:val="left"/>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bCs/>
          <w:kern w:val="11"/>
          <w:sz w:val="24"/>
          <w:szCs w:val="24"/>
        </w:rPr>
        <w:t>各组派代表上讲台教学</w:t>
      </w:r>
    </w:p>
    <w:p w14:paraId="3CF9743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D0C0E8D">
      <w:pPr>
        <w:spacing w:line="336"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分组讨论教学</w:t>
      </w:r>
      <w:r>
        <w:rPr>
          <w:rFonts w:ascii="Times New Roman" w:hAnsi="Times New Roman" w:eastAsia="宋体" w:cs="Times New Roman"/>
          <w:color w:val="000000"/>
          <w:sz w:val="24"/>
          <w:szCs w:val="24"/>
        </w:rPr>
        <w:t>。</w:t>
      </w:r>
    </w:p>
    <w:p w14:paraId="0ACA6497">
      <w:pPr>
        <w:spacing w:line="336"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3C9603F">
      <w:pPr>
        <w:spacing w:line="336"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A083C3C">
      <w:pPr>
        <w:spacing w:line="336"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4A9D64E">
      <w:pPr>
        <w:spacing w:line="336"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137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78AA170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32EE8BE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6A998AF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12ACE1D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3CC2EB9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09838362">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232D973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39A5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024400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vAlign w:val="center"/>
          </w:tcPr>
          <w:p w14:paraId="53758D4C">
            <w:pPr>
              <w:jc w:val="center"/>
              <w:rPr>
                <w:rFonts w:ascii="Times New Roman" w:hAnsi="Times New Roman" w:eastAsia="宋体" w:cs="Times New Roman"/>
                <w:szCs w:val="21"/>
              </w:rPr>
            </w:pPr>
            <w:r>
              <w:rPr>
                <w:rFonts w:ascii="Times New Roman" w:hAnsi="Times New Roman" w:eastAsia="宋体" w:cs="Times New Roman"/>
                <w:szCs w:val="21"/>
              </w:rPr>
              <w:t>数学思想方法简介</w:t>
            </w:r>
          </w:p>
        </w:tc>
        <w:tc>
          <w:tcPr>
            <w:tcW w:w="1701" w:type="dxa"/>
            <w:vAlign w:val="center"/>
          </w:tcPr>
          <w:p w14:paraId="5C5D9073">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0DC9987C">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vAlign w:val="center"/>
          </w:tcPr>
          <w:p w14:paraId="14431222">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vAlign w:val="center"/>
          </w:tcPr>
          <w:p w14:paraId="32D5E3E3">
            <w:pPr>
              <w:jc w:val="center"/>
              <w:rPr>
                <w:rFonts w:ascii="Times New Roman" w:hAnsi="Times New Roman" w:eastAsia="宋体" w:cs="Times New Roman"/>
                <w:szCs w:val="21"/>
              </w:rPr>
            </w:pPr>
          </w:p>
        </w:tc>
      </w:tr>
      <w:tr w14:paraId="7915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8F8CC6F">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vAlign w:val="center"/>
          </w:tcPr>
          <w:p w14:paraId="02498128">
            <w:pPr>
              <w:jc w:val="center"/>
              <w:rPr>
                <w:rFonts w:ascii="Times New Roman" w:hAnsi="Times New Roman" w:eastAsia="宋体" w:cs="Times New Roman"/>
                <w:szCs w:val="21"/>
              </w:rPr>
            </w:pPr>
            <w:r>
              <w:rPr>
                <w:rFonts w:ascii="Times New Roman" w:hAnsi="Times New Roman" w:eastAsia="宋体" w:cs="Times New Roman"/>
                <w:szCs w:val="21"/>
              </w:rPr>
              <w:t>与抽象有关的数学思想</w:t>
            </w:r>
          </w:p>
        </w:tc>
        <w:tc>
          <w:tcPr>
            <w:tcW w:w="1701" w:type="dxa"/>
            <w:vAlign w:val="center"/>
          </w:tcPr>
          <w:p w14:paraId="74AB1FC5">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6113D193">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3FBA86F3">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735" w:type="dxa"/>
            <w:vAlign w:val="center"/>
          </w:tcPr>
          <w:p w14:paraId="607D0C0E">
            <w:pPr>
              <w:jc w:val="center"/>
              <w:rPr>
                <w:rFonts w:ascii="Times New Roman" w:hAnsi="Times New Roman" w:eastAsia="宋体" w:cs="Times New Roman"/>
                <w:szCs w:val="21"/>
              </w:rPr>
            </w:pPr>
          </w:p>
        </w:tc>
      </w:tr>
      <w:tr w14:paraId="5008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EB2F37E">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vAlign w:val="center"/>
          </w:tcPr>
          <w:p w14:paraId="18990808">
            <w:pPr>
              <w:jc w:val="center"/>
              <w:rPr>
                <w:rFonts w:ascii="Times New Roman" w:hAnsi="Times New Roman" w:eastAsia="宋体" w:cs="Times New Roman"/>
                <w:szCs w:val="21"/>
              </w:rPr>
            </w:pPr>
            <w:r>
              <w:rPr>
                <w:rFonts w:ascii="Times New Roman" w:hAnsi="Times New Roman" w:eastAsia="宋体" w:cs="Times New Roman"/>
                <w:szCs w:val="21"/>
              </w:rPr>
              <w:t>与推理有关的数学思想</w:t>
            </w:r>
          </w:p>
        </w:tc>
        <w:tc>
          <w:tcPr>
            <w:tcW w:w="1701" w:type="dxa"/>
            <w:vAlign w:val="center"/>
          </w:tcPr>
          <w:p w14:paraId="6311A37C">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0DD8FC99">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3DD94010">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735" w:type="dxa"/>
            <w:vAlign w:val="center"/>
          </w:tcPr>
          <w:p w14:paraId="4152196A">
            <w:pPr>
              <w:jc w:val="center"/>
              <w:rPr>
                <w:rFonts w:ascii="Times New Roman" w:hAnsi="Times New Roman" w:eastAsia="宋体" w:cs="Times New Roman"/>
                <w:szCs w:val="21"/>
              </w:rPr>
            </w:pPr>
          </w:p>
        </w:tc>
      </w:tr>
      <w:tr w14:paraId="67F7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4D8A229">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vAlign w:val="center"/>
          </w:tcPr>
          <w:p w14:paraId="41E5F2AB">
            <w:pPr>
              <w:jc w:val="center"/>
              <w:rPr>
                <w:rFonts w:ascii="Times New Roman" w:hAnsi="Times New Roman" w:eastAsia="宋体" w:cs="Times New Roman"/>
                <w:szCs w:val="21"/>
              </w:rPr>
            </w:pPr>
            <w:r>
              <w:rPr>
                <w:rFonts w:ascii="Times New Roman" w:hAnsi="Times New Roman" w:eastAsia="宋体" w:cs="Times New Roman"/>
                <w:szCs w:val="21"/>
              </w:rPr>
              <w:t>与模型有关的数学思想</w:t>
            </w:r>
          </w:p>
        </w:tc>
        <w:tc>
          <w:tcPr>
            <w:tcW w:w="1701" w:type="dxa"/>
            <w:vAlign w:val="center"/>
          </w:tcPr>
          <w:p w14:paraId="162E16C1">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7330B0AF">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71AEA4D">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735" w:type="dxa"/>
            <w:vAlign w:val="center"/>
          </w:tcPr>
          <w:p w14:paraId="79457579">
            <w:pPr>
              <w:jc w:val="center"/>
              <w:rPr>
                <w:rFonts w:ascii="Times New Roman" w:hAnsi="Times New Roman" w:eastAsia="宋体" w:cs="Times New Roman"/>
                <w:szCs w:val="21"/>
              </w:rPr>
            </w:pPr>
          </w:p>
        </w:tc>
      </w:tr>
      <w:tr w14:paraId="50B3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9D5F0B4">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vAlign w:val="center"/>
          </w:tcPr>
          <w:p w14:paraId="217F3B95">
            <w:pPr>
              <w:jc w:val="center"/>
              <w:rPr>
                <w:rFonts w:ascii="Times New Roman" w:hAnsi="Times New Roman" w:eastAsia="宋体" w:cs="Times New Roman"/>
                <w:szCs w:val="21"/>
              </w:rPr>
            </w:pPr>
            <w:r>
              <w:rPr>
                <w:rFonts w:ascii="Times New Roman" w:hAnsi="Times New Roman" w:eastAsia="宋体" w:cs="Times New Roman"/>
                <w:szCs w:val="21"/>
              </w:rPr>
              <w:t>其他数学思想方法</w:t>
            </w:r>
          </w:p>
        </w:tc>
        <w:tc>
          <w:tcPr>
            <w:tcW w:w="1701" w:type="dxa"/>
            <w:vAlign w:val="center"/>
          </w:tcPr>
          <w:p w14:paraId="44FE1CAA">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79FEDAF9">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7A0DF56">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735" w:type="dxa"/>
            <w:vAlign w:val="center"/>
          </w:tcPr>
          <w:p w14:paraId="3BBCBFA9">
            <w:pPr>
              <w:jc w:val="center"/>
              <w:rPr>
                <w:rFonts w:ascii="Times New Roman" w:hAnsi="Times New Roman" w:eastAsia="宋体" w:cs="Times New Roman"/>
                <w:szCs w:val="21"/>
              </w:rPr>
            </w:pPr>
          </w:p>
        </w:tc>
      </w:tr>
      <w:tr w14:paraId="1B72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5968CC">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476" w:type="dxa"/>
            <w:vAlign w:val="center"/>
          </w:tcPr>
          <w:p w14:paraId="26D2775B">
            <w:pPr>
              <w:jc w:val="center"/>
              <w:rPr>
                <w:rFonts w:ascii="Times New Roman" w:hAnsi="Times New Roman" w:eastAsia="宋体" w:cs="Times New Roman"/>
                <w:szCs w:val="21"/>
              </w:rPr>
            </w:pPr>
            <w:r>
              <w:rPr>
                <w:rFonts w:ascii="Times New Roman" w:hAnsi="Times New Roman" w:eastAsia="宋体" w:cs="Times New Roman"/>
                <w:szCs w:val="21"/>
              </w:rPr>
              <w:t>分组讨论教学</w:t>
            </w:r>
          </w:p>
        </w:tc>
        <w:tc>
          <w:tcPr>
            <w:tcW w:w="1701" w:type="dxa"/>
            <w:vAlign w:val="center"/>
          </w:tcPr>
          <w:p w14:paraId="12BD8367">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487FB225">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7708ADFD">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vAlign w:val="center"/>
          </w:tcPr>
          <w:p w14:paraId="6D9A3193">
            <w:pPr>
              <w:jc w:val="center"/>
              <w:rPr>
                <w:rFonts w:ascii="Times New Roman" w:hAnsi="Times New Roman" w:eastAsia="宋体" w:cs="Times New Roman"/>
                <w:szCs w:val="21"/>
              </w:rPr>
            </w:pPr>
          </w:p>
        </w:tc>
      </w:tr>
      <w:tr w14:paraId="6A5F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13039CD">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23928415">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735" w:type="dxa"/>
            <w:vAlign w:val="center"/>
          </w:tcPr>
          <w:p w14:paraId="629EE3FD">
            <w:pPr>
              <w:jc w:val="center"/>
              <w:rPr>
                <w:rFonts w:ascii="Times New Roman" w:hAnsi="Times New Roman" w:eastAsia="宋体" w:cs="Times New Roman"/>
                <w:szCs w:val="21"/>
              </w:rPr>
            </w:pPr>
          </w:p>
        </w:tc>
      </w:tr>
    </w:tbl>
    <w:p w14:paraId="528AA5E3">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19E89D8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6F40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4AA10550">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3DAF5B39">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0E70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6BF6554">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0E175448">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665F13D9">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5A380143">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E0158A6">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2708A9C0">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0017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2DC9800">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296F2638">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56C09D3D">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103E1660">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26C86D21">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210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886A58F">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747B5404">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6BF8CC45">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3EEF0416">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2FA72F94">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6BFF6FD5">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5BA76E2B">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4FADF8BA">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374AAFDA">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1DBC64A2">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6B2420CD">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0140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9B2D204">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5284E0E5">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04464A91">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3A64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38C47E2">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2765CFC2">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7469526C">
            <w:pPr>
              <w:rPr>
                <w:rFonts w:ascii="Times New Roman" w:hAnsi="Times New Roman" w:eastAsia="宋体" w:cs="Times New Roman"/>
                <w:szCs w:val="24"/>
              </w:rPr>
            </w:pPr>
            <w:r>
              <w:rPr>
                <w:rFonts w:ascii="Times New Roman" w:hAnsi="Times New Roman" w:eastAsia="宋体" w:cs="Times New Roman"/>
                <w:szCs w:val="24"/>
              </w:rPr>
              <w:t>本课程考核的方式：考试。考试试卷采取抽卷形式，统一安排监考。总评成绩的评定见课程评分方案。有下列情况之一者，总评成绩为不及格：</w:t>
            </w:r>
          </w:p>
          <w:p w14:paraId="4C9C2259">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69143EA7">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33A2F18E">
            <w:pPr>
              <w:rPr>
                <w:rFonts w:ascii="Times New Roman" w:hAnsi="Times New Roman" w:eastAsia="宋体" w:cs="Times New Roman"/>
                <w:szCs w:val="21"/>
              </w:rPr>
            </w:pPr>
          </w:p>
        </w:tc>
      </w:tr>
    </w:tbl>
    <w:p w14:paraId="6E32E69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六、课程考核</w:t>
      </w:r>
    </w:p>
    <w:p w14:paraId="178008F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1BFE533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8"/>
        <w:gridCol w:w="739"/>
        <w:gridCol w:w="4255"/>
        <w:gridCol w:w="1408"/>
      </w:tblGrid>
      <w:tr w14:paraId="2AF6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0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5866345">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58" w:type="dxa"/>
            <w:tcBorders>
              <w:top w:val="single" w:color="auto" w:sz="4" w:space="0"/>
              <w:left w:val="single" w:color="auto" w:sz="4" w:space="0"/>
              <w:bottom w:val="single" w:color="auto" w:sz="4" w:space="0"/>
              <w:right w:val="single" w:color="auto" w:sz="4" w:space="0"/>
            </w:tcBorders>
            <w:shd w:val="clear" w:color="auto" w:fill="FFFFFF"/>
            <w:vAlign w:val="center"/>
          </w:tcPr>
          <w:p w14:paraId="626BADBC">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739" w:type="dxa"/>
            <w:tcBorders>
              <w:top w:val="single" w:color="auto" w:sz="4" w:space="0"/>
              <w:left w:val="single" w:color="auto" w:sz="4" w:space="0"/>
              <w:bottom w:val="single" w:color="auto" w:sz="4" w:space="0"/>
              <w:right w:val="single" w:color="auto" w:sz="4" w:space="0"/>
            </w:tcBorders>
            <w:shd w:val="clear" w:color="auto" w:fill="FFFFFF"/>
            <w:vAlign w:val="center"/>
          </w:tcPr>
          <w:p w14:paraId="3BDE5DA9">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4255" w:type="dxa"/>
            <w:tcBorders>
              <w:top w:val="single" w:color="auto" w:sz="4" w:space="0"/>
              <w:left w:val="single" w:color="auto" w:sz="4" w:space="0"/>
              <w:bottom w:val="single" w:color="auto" w:sz="4" w:space="0"/>
              <w:right w:val="single" w:color="auto" w:sz="4" w:space="0"/>
            </w:tcBorders>
            <w:shd w:val="clear" w:color="auto" w:fill="FFFFFF"/>
            <w:vAlign w:val="center"/>
          </w:tcPr>
          <w:p w14:paraId="313D7858">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08" w:type="dxa"/>
            <w:tcBorders>
              <w:top w:val="single" w:color="auto" w:sz="4" w:space="0"/>
              <w:left w:val="single" w:color="auto" w:sz="4" w:space="0"/>
              <w:bottom w:val="single" w:color="auto" w:sz="4" w:space="0"/>
              <w:right w:val="single" w:color="auto" w:sz="4" w:space="0"/>
            </w:tcBorders>
            <w:shd w:val="clear" w:color="auto" w:fill="FFFFFF"/>
            <w:vAlign w:val="center"/>
          </w:tcPr>
          <w:p w14:paraId="45D5143B">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1C2D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00" w:type="dxa"/>
            <w:vMerge w:val="restart"/>
            <w:tcBorders>
              <w:top w:val="single" w:color="auto" w:sz="4" w:space="0"/>
              <w:left w:val="single" w:color="auto" w:sz="4" w:space="0"/>
              <w:right w:val="single" w:color="auto" w:sz="4" w:space="0"/>
            </w:tcBorders>
            <w:tcMar>
              <w:left w:w="57" w:type="dxa"/>
              <w:right w:w="57" w:type="dxa"/>
            </w:tcMar>
            <w:vAlign w:val="center"/>
          </w:tcPr>
          <w:p w14:paraId="1B1A17FF">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6C423021">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58" w:type="dxa"/>
            <w:tcBorders>
              <w:top w:val="single" w:color="auto" w:sz="4" w:space="0"/>
              <w:left w:val="single" w:color="auto" w:sz="4" w:space="0"/>
              <w:bottom w:val="single" w:color="auto" w:sz="4" w:space="0"/>
              <w:right w:val="single" w:color="auto" w:sz="4" w:space="0"/>
            </w:tcBorders>
            <w:vAlign w:val="center"/>
          </w:tcPr>
          <w:p w14:paraId="483CCC33">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739" w:type="dxa"/>
            <w:tcBorders>
              <w:top w:val="single" w:color="auto" w:sz="4" w:space="0"/>
              <w:left w:val="single" w:color="auto" w:sz="4" w:space="0"/>
              <w:bottom w:val="single" w:color="auto" w:sz="4" w:space="0"/>
              <w:right w:val="single" w:color="auto" w:sz="4" w:space="0"/>
            </w:tcBorders>
            <w:vAlign w:val="center"/>
          </w:tcPr>
          <w:p w14:paraId="51DD1F6F">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4255" w:type="dxa"/>
            <w:tcBorders>
              <w:top w:val="single" w:color="auto" w:sz="4" w:space="0"/>
              <w:left w:val="single" w:color="auto" w:sz="4" w:space="0"/>
              <w:bottom w:val="single" w:color="auto" w:sz="4" w:space="0"/>
              <w:right w:val="single" w:color="auto" w:sz="4" w:space="0"/>
            </w:tcBorders>
            <w:vAlign w:val="center"/>
          </w:tcPr>
          <w:p w14:paraId="0C33B40C">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08" w:type="dxa"/>
            <w:tcBorders>
              <w:top w:val="single" w:color="auto" w:sz="4" w:space="0"/>
              <w:left w:val="single" w:color="auto" w:sz="4" w:space="0"/>
              <w:right w:val="single" w:color="auto" w:sz="4" w:space="0"/>
            </w:tcBorders>
            <w:vAlign w:val="center"/>
          </w:tcPr>
          <w:p w14:paraId="52EC1AC3">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3DF1FA80">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2C42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00" w:type="dxa"/>
            <w:vMerge w:val="continue"/>
            <w:tcBorders>
              <w:left w:val="single" w:color="auto" w:sz="4" w:space="0"/>
              <w:right w:val="single" w:color="auto" w:sz="4" w:space="0"/>
            </w:tcBorders>
            <w:tcMar>
              <w:left w:w="57" w:type="dxa"/>
              <w:right w:w="57" w:type="dxa"/>
            </w:tcMar>
            <w:vAlign w:val="center"/>
          </w:tcPr>
          <w:p w14:paraId="23B00280">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204B2389">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739" w:type="dxa"/>
            <w:tcBorders>
              <w:top w:val="single" w:color="auto" w:sz="4" w:space="0"/>
              <w:left w:val="single" w:color="auto" w:sz="4" w:space="0"/>
              <w:bottom w:val="single" w:color="auto" w:sz="4" w:space="0"/>
              <w:right w:val="single" w:color="auto" w:sz="4" w:space="0"/>
            </w:tcBorders>
            <w:vAlign w:val="center"/>
          </w:tcPr>
          <w:p w14:paraId="30E794A9">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4255" w:type="dxa"/>
            <w:tcBorders>
              <w:top w:val="single" w:color="auto" w:sz="4" w:space="0"/>
              <w:left w:val="single" w:color="auto" w:sz="4" w:space="0"/>
              <w:bottom w:val="single" w:color="auto" w:sz="4" w:space="0"/>
              <w:right w:val="single" w:color="auto" w:sz="4" w:space="0"/>
            </w:tcBorders>
            <w:vAlign w:val="center"/>
          </w:tcPr>
          <w:p w14:paraId="5FF21B83">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08" w:type="dxa"/>
            <w:tcBorders>
              <w:left w:val="single" w:color="auto" w:sz="4" w:space="0"/>
              <w:right w:val="single" w:color="auto" w:sz="4" w:space="0"/>
            </w:tcBorders>
            <w:vAlign w:val="center"/>
          </w:tcPr>
          <w:p w14:paraId="3ADEAF34">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4A6223EF">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026F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00" w:type="dxa"/>
            <w:vMerge w:val="continue"/>
            <w:tcBorders>
              <w:left w:val="single" w:color="auto" w:sz="4" w:space="0"/>
              <w:bottom w:val="single" w:color="auto" w:sz="4" w:space="0"/>
              <w:right w:val="single" w:color="auto" w:sz="4" w:space="0"/>
            </w:tcBorders>
            <w:tcMar>
              <w:left w:w="57" w:type="dxa"/>
              <w:right w:w="57" w:type="dxa"/>
            </w:tcMar>
            <w:vAlign w:val="center"/>
          </w:tcPr>
          <w:p w14:paraId="1A2A47F5">
            <w:pPr>
              <w:rPr>
                <w:rFonts w:ascii="Times New Roman" w:hAnsi="Times New Roman" w:eastAsia="宋体" w:cs="Times New Roman"/>
                <w:sz w:val="20"/>
                <w:szCs w:val="20"/>
              </w:rPr>
            </w:pPr>
          </w:p>
        </w:tc>
        <w:tc>
          <w:tcPr>
            <w:tcW w:w="1558" w:type="dxa"/>
            <w:tcBorders>
              <w:top w:val="single" w:color="auto" w:sz="4" w:space="0"/>
              <w:left w:val="single" w:color="auto" w:sz="4" w:space="0"/>
              <w:bottom w:val="single" w:color="auto" w:sz="4" w:space="0"/>
              <w:right w:val="single" w:color="auto" w:sz="4" w:space="0"/>
            </w:tcBorders>
            <w:vAlign w:val="center"/>
          </w:tcPr>
          <w:p w14:paraId="48143A72">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739" w:type="dxa"/>
            <w:tcBorders>
              <w:top w:val="single" w:color="auto" w:sz="4" w:space="0"/>
              <w:left w:val="single" w:color="auto" w:sz="4" w:space="0"/>
              <w:bottom w:val="single" w:color="auto" w:sz="4" w:space="0"/>
              <w:right w:val="single" w:color="auto" w:sz="4" w:space="0"/>
            </w:tcBorders>
            <w:vAlign w:val="center"/>
          </w:tcPr>
          <w:p w14:paraId="283888F3">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4255" w:type="dxa"/>
            <w:tcBorders>
              <w:top w:val="single" w:color="auto" w:sz="4" w:space="0"/>
              <w:left w:val="single" w:color="auto" w:sz="4" w:space="0"/>
              <w:bottom w:val="single" w:color="auto" w:sz="4" w:space="0"/>
              <w:right w:val="single" w:color="auto" w:sz="4" w:space="0"/>
            </w:tcBorders>
            <w:vAlign w:val="center"/>
          </w:tcPr>
          <w:p w14:paraId="287928A6">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08" w:type="dxa"/>
            <w:tcBorders>
              <w:left w:val="single" w:color="auto" w:sz="4" w:space="0"/>
              <w:bottom w:val="single" w:color="auto" w:sz="4" w:space="0"/>
              <w:right w:val="single" w:color="auto" w:sz="4" w:space="0"/>
            </w:tcBorders>
            <w:vAlign w:val="center"/>
          </w:tcPr>
          <w:p w14:paraId="7F1B38D0">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2CC5BFDE">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1A6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F41469A">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58" w:type="dxa"/>
            <w:tcBorders>
              <w:top w:val="single" w:color="auto" w:sz="4" w:space="0"/>
              <w:left w:val="single" w:color="auto" w:sz="4" w:space="0"/>
              <w:bottom w:val="single" w:color="auto" w:sz="4" w:space="0"/>
              <w:right w:val="single" w:color="auto" w:sz="4" w:space="0"/>
            </w:tcBorders>
            <w:vAlign w:val="center"/>
          </w:tcPr>
          <w:p w14:paraId="7A5846DB">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739" w:type="dxa"/>
            <w:tcBorders>
              <w:top w:val="single" w:color="auto" w:sz="4" w:space="0"/>
              <w:left w:val="single" w:color="auto" w:sz="4" w:space="0"/>
              <w:bottom w:val="single" w:color="auto" w:sz="4" w:space="0"/>
              <w:right w:val="single" w:color="auto" w:sz="4" w:space="0"/>
            </w:tcBorders>
            <w:vAlign w:val="center"/>
          </w:tcPr>
          <w:p w14:paraId="16A35B95">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4255" w:type="dxa"/>
            <w:tcBorders>
              <w:top w:val="single" w:color="auto" w:sz="4" w:space="0"/>
              <w:left w:val="single" w:color="auto" w:sz="4" w:space="0"/>
              <w:bottom w:val="single" w:color="auto" w:sz="4" w:space="0"/>
              <w:right w:val="single" w:color="auto" w:sz="4" w:space="0"/>
            </w:tcBorders>
            <w:vAlign w:val="center"/>
          </w:tcPr>
          <w:p w14:paraId="69B4358F">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408" w:type="dxa"/>
            <w:tcBorders>
              <w:top w:val="single" w:color="auto" w:sz="4" w:space="0"/>
              <w:left w:val="single" w:color="auto" w:sz="4" w:space="0"/>
              <w:bottom w:val="single" w:color="auto" w:sz="4" w:space="0"/>
              <w:right w:val="single" w:color="auto" w:sz="4" w:space="0"/>
            </w:tcBorders>
            <w:vAlign w:val="center"/>
          </w:tcPr>
          <w:p w14:paraId="0E12BB26">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4036882C">
      <w:pPr>
        <w:spacing w:line="360" w:lineRule="auto"/>
        <w:ind w:firstLine="562" w:firstLineChars="200"/>
        <w:rPr>
          <w:rFonts w:ascii="Times New Roman" w:hAnsi="Times New Roman" w:eastAsia="宋体" w:cs="Times New Roman"/>
          <w:b/>
          <w:sz w:val="28"/>
          <w:szCs w:val="28"/>
        </w:rPr>
      </w:pPr>
    </w:p>
    <w:p w14:paraId="529A68C1">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七、有关说明</w:t>
      </w:r>
    </w:p>
    <w:p w14:paraId="5D2434C0">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163D687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064606D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2EF371A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3．教学用的例题和习题，应适当结合实际。</w:t>
      </w:r>
    </w:p>
    <w:p w14:paraId="23972DB5">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49F7E741">
      <w:pPr>
        <w:spacing w:line="300" w:lineRule="auto"/>
        <w:ind w:firstLine="480" w:firstLineChars="200"/>
        <w:rPr>
          <w:rFonts w:ascii="Times New Roman" w:hAnsi="Times New Roman" w:eastAsia="宋体" w:cs="Times New Roman"/>
          <w:kern w:val="10"/>
          <w:sz w:val="24"/>
          <w:szCs w:val="24"/>
        </w:rPr>
      </w:pPr>
      <w:r>
        <w:rPr>
          <w:rFonts w:ascii="Times New Roman" w:hAnsi="Times New Roman" w:eastAsia="宋体" w:cs="Times New Roman"/>
          <w:sz w:val="24"/>
          <w:szCs w:val="24"/>
        </w:rPr>
        <w:t>1. 徐品方. 数学趣史. 北京：科学出版社，2013.</w:t>
      </w:r>
    </w:p>
    <w:p w14:paraId="3F1A7887">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基础教育教学研究课题组. 小学数学教学指导. 北京：高等教育出版社，2015.</w:t>
      </w:r>
    </w:p>
    <w:p w14:paraId="6F671459">
      <w:pPr>
        <w:spacing w:line="300" w:lineRule="auto"/>
        <w:ind w:firstLine="480" w:firstLineChars="200"/>
        <w:rPr>
          <w:rFonts w:ascii="Times New Roman" w:hAnsi="Times New Roman" w:eastAsia="宋体" w:cs="Times New Roman"/>
          <w:sz w:val="24"/>
          <w:szCs w:val="24"/>
        </w:rPr>
      </w:pPr>
    </w:p>
    <w:p w14:paraId="5ED4068D">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执笔人：王君甫</w:t>
      </w:r>
    </w:p>
    <w:p w14:paraId="06997A7F">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52215841">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审批人：王献东</w:t>
      </w:r>
    </w:p>
    <w:p w14:paraId="738F7C49">
      <w:pPr>
        <w:wordWrap w:val="0"/>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批准时间：20</w:t>
      </w:r>
      <w:r>
        <w:rPr>
          <w:rFonts w:hint="eastAsia" w:ascii="Times New Roman" w:hAnsi="Times New Roman" w:eastAsia="宋体" w:cs="Times New Roman"/>
          <w:kern w:val="0"/>
          <w:sz w:val="24"/>
          <w:szCs w:val="21"/>
        </w:rPr>
        <w:t>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w:t>
      </w:r>
    </w:p>
    <w:p w14:paraId="5B3DDD90">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04AEBEE6">
      <w:pPr>
        <w:spacing w:line="312" w:lineRule="auto"/>
        <w:jc w:val="center"/>
        <w:rPr>
          <w:rFonts w:hint="eastAsia" w:ascii="宋体" w:hAnsi="宋体"/>
          <w:b/>
          <w:bCs/>
          <w:sz w:val="30"/>
        </w:rPr>
      </w:pPr>
      <w:r>
        <w:rPr>
          <w:rFonts w:hint="eastAsia" w:ascii="宋体" w:hAnsi="宋体"/>
          <w:b/>
          <w:bCs/>
          <w:sz w:val="30"/>
        </w:rPr>
        <w:t>小学数学课程标准与教材分析</w:t>
      </w:r>
      <w:r>
        <w:rPr>
          <w:rFonts w:ascii="宋体" w:hAnsi="宋体"/>
          <w:b/>
          <w:bCs/>
          <w:sz w:val="30"/>
        </w:rPr>
        <w:t>课程教学大纲</w:t>
      </w:r>
    </w:p>
    <w:p w14:paraId="3CADCDE2">
      <w:pPr>
        <w:spacing w:line="312" w:lineRule="auto"/>
        <w:jc w:val="center"/>
        <w:rPr>
          <w:rFonts w:ascii="宋体" w:hAnsi="宋体"/>
          <w:b/>
          <w:bCs/>
          <w:sz w:val="30"/>
        </w:rPr>
      </w:pPr>
      <w:r>
        <w:rPr>
          <w:rFonts w:ascii="宋体" w:hAnsi="宋体"/>
          <w:b/>
          <w:bCs/>
          <w:sz w:val="30"/>
        </w:rPr>
        <w:t>（Analysis on Mathematics Curriculum Standard and Textbook in Primary School）</w:t>
      </w:r>
    </w:p>
    <w:p w14:paraId="755C26CD">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718C4ACC">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2401026</w:t>
      </w:r>
    </w:p>
    <w:p w14:paraId="6E13E655">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6FAF225F">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（其中：讲授学时24</w:t>
      </w:r>
      <w:r>
        <w:rPr>
          <w:rFonts w:hint="eastAsia" w:ascii="宋体" w:hAnsi="宋体"/>
          <w:kern w:val="0"/>
          <w:sz w:val="24"/>
        </w:rPr>
        <w:t>，</w:t>
      </w:r>
      <w:r>
        <w:rPr>
          <w:rFonts w:ascii="宋体" w:hAnsi="宋体"/>
          <w:kern w:val="0"/>
          <w:sz w:val="24"/>
        </w:rPr>
        <w:t xml:space="preserve"> 实践学时8）</w:t>
      </w:r>
    </w:p>
    <w:p w14:paraId="1EB09B11">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hint="eastAsia" w:ascii="宋体" w:hAnsi="宋体"/>
          <w:sz w:val="24"/>
          <w:szCs w:val="22"/>
          <w:lang w:val="en-US" w:eastAsia="zh-CN"/>
        </w:rPr>
        <w:t>小学</w:t>
      </w:r>
      <w:r>
        <w:rPr>
          <w:rFonts w:ascii="宋体" w:hAnsi="宋体"/>
          <w:sz w:val="24"/>
          <w:szCs w:val="22"/>
          <w:lang w:val="en-US" w:eastAsia="zh-CN"/>
        </w:rPr>
        <w:t>心理学、</w:t>
      </w:r>
      <w:r>
        <w:rPr>
          <w:rFonts w:hint="eastAsia" w:ascii="宋体" w:hAnsi="宋体"/>
          <w:sz w:val="24"/>
          <w:szCs w:val="22"/>
          <w:lang w:val="en-US" w:eastAsia="zh-CN"/>
        </w:rPr>
        <w:t>教育</w:t>
      </w:r>
      <w:r>
        <w:rPr>
          <w:rFonts w:ascii="宋体" w:hAnsi="宋体"/>
          <w:sz w:val="24"/>
          <w:szCs w:val="22"/>
          <w:lang w:val="en-US" w:eastAsia="zh-CN"/>
        </w:rPr>
        <w:t>原理、教育心理学、课程与教学论、</w:t>
      </w:r>
      <w:r>
        <w:rPr>
          <w:rFonts w:hint="eastAsia" w:ascii="宋体" w:hAnsi="宋体"/>
          <w:sz w:val="24"/>
          <w:szCs w:val="22"/>
          <w:lang w:val="en-US" w:eastAsia="zh-CN"/>
        </w:rPr>
        <w:t>初等</w:t>
      </w:r>
      <w:r>
        <w:rPr>
          <w:rFonts w:ascii="宋体" w:hAnsi="宋体"/>
          <w:sz w:val="24"/>
          <w:szCs w:val="22"/>
          <w:lang w:val="en-US" w:eastAsia="zh-CN"/>
        </w:rPr>
        <w:t>数论</w:t>
      </w:r>
    </w:p>
    <w:p w14:paraId="29BDED11">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w:t>
      </w:r>
      <w:r>
        <w:rPr>
          <w:rFonts w:ascii="宋体" w:hAnsi="宋体"/>
          <w:kern w:val="0"/>
          <w:sz w:val="24"/>
        </w:rPr>
        <w:t xml:space="preserve">理）                          </w:t>
      </w:r>
    </w:p>
    <w:p w14:paraId="1945C3EA">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ascii="宋体" w:hAnsi="宋体"/>
          <w:kern w:val="0"/>
          <w:sz w:val="24"/>
        </w:rPr>
        <w:t>《</w:t>
      </w:r>
      <w:bookmarkStart w:id="226" w:name="OLE_LINK1"/>
      <w:bookmarkStart w:id="227" w:name="OLE_LINK2"/>
      <w:r>
        <w:rPr>
          <w:rFonts w:hint="eastAsia" w:ascii="宋体" w:hAnsi="宋体"/>
          <w:sz w:val="24"/>
          <w:szCs w:val="22"/>
        </w:rPr>
        <w:t>小学数学</w:t>
      </w:r>
      <w:r>
        <w:rPr>
          <w:rFonts w:ascii="宋体" w:hAnsi="宋体"/>
          <w:sz w:val="24"/>
          <w:szCs w:val="22"/>
        </w:rPr>
        <w:t>课程标准与教材研究</w:t>
      </w:r>
      <w:bookmarkEnd w:id="226"/>
      <w:bookmarkEnd w:id="227"/>
      <w:r>
        <w:rPr>
          <w:rFonts w:ascii="宋体" w:hAnsi="宋体"/>
          <w:sz w:val="24"/>
          <w:szCs w:val="22"/>
        </w:rPr>
        <w:t>》，</w:t>
      </w:r>
      <w:r>
        <w:rPr>
          <w:rFonts w:hint="eastAsia" w:ascii="宋体" w:hAnsi="宋体"/>
          <w:sz w:val="24"/>
          <w:szCs w:val="22"/>
        </w:rPr>
        <w:t>马云鹏</w:t>
      </w:r>
      <w:r>
        <w:rPr>
          <w:rFonts w:ascii="宋体" w:hAnsi="宋体"/>
          <w:sz w:val="24"/>
          <w:szCs w:val="22"/>
        </w:rPr>
        <w:t>，</w:t>
      </w:r>
      <w:r>
        <w:rPr>
          <w:rFonts w:hint="eastAsia" w:ascii="宋体" w:hAnsi="宋体"/>
          <w:sz w:val="24"/>
          <w:szCs w:val="22"/>
        </w:rPr>
        <w:t>高等教育</w:t>
      </w:r>
      <w:r>
        <w:rPr>
          <w:rFonts w:ascii="宋体" w:hAnsi="宋体"/>
          <w:sz w:val="24"/>
          <w:szCs w:val="22"/>
        </w:rPr>
        <w:t>出版社，</w:t>
      </w:r>
      <w:r>
        <w:rPr>
          <w:rFonts w:ascii="宋体" w:hAnsi="宋体"/>
          <w:kern w:val="0"/>
          <w:sz w:val="24"/>
        </w:rPr>
        <w:t>2016.</w:t>
      </w:r>
    </w:p>
    <w:p w14:paraId="7A52C6DB">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7FA414D5">
      <w:pPr>
        <w:autoSpaceDE w:val="0"/>
        <w:autoSpaceDN w:val="0"/>
        <w:adjustRightInd w:val="0"/>
        <w:spacing w:line="360" w:lineRule="auto"/>
        <w:ind w:firstLine="482" w:firstLineChars="200"/>
        <w:jc w:val="left"/>
        <w:rPr>
          <w:rFonts w:ascii="宋体" w:hAnsi="宋体"/>
          <w:kern w:val="0"/>
          <w:sz w:val="24"/>
          <w:szCs w:val="22"/>
        </w:rPr>
      </w:pPr>
      <w:r>
        <w:rPr>
          <w:rFonts w:hint="eastAsia" w:ascii="宋体" w:hAnsi="宋体"/>
          <w:b/>
          <w:bCs/>
          <w:kern w:val="0"/>
          <w:sz w:val="24"/>
        </w:rPr>
        <w:t>课程的性质与任务：</w:t>
      </w:r>
      <w:r>
        <w:rPr>
          <w:rFonts w:hint="eastAsia" w:ascii="宋体" w:hAnsi="宋体"/>
          <w:kern w:val="0"/>
          <w:sz w:val="24"/>
        </w:rPr>
        <w:t>本课程</w:t>
      </w:r>
      <w:r>
        <w:rPr>
          <w:rFonts w:ascii="宋体" w:hAnsi="宋体"/>
          <w:kern w:val="0"/>
          <w:sz w:val="24"/>
        </w:rPr>
        <w:t>是</w:t>
      </w:r>
      <w:r>
        <w:rPr>
          <w:rFonts w:hint="eastAsia" w:ascii="宋体" w:hAnsi="宋体"/>
          <w:bCs/>
          <w:kern w:val="0"/>
          <w:sz w:val="24"/>
        </w:rPr>
        <w:t>小学教育</w:t>
      </w:r>
      <w:r>
        <w:rPr>
          <w:rFonts w:ascii="宋体" w:hAnsi="宋体"/>
          <w:kern w:val="0"/>
          <w:sz w:val="24"/>
        </w:rPr>
        <w:t>专业的一门</w:t>
      </w:r>
      <w:r>
        <w:rPr>
          <w:rFonts w:hint="eastAsia" w:ascii="宋体" w:hAnsi="宋体"/>
          <w:kern w:val="0"/>
          <w:sz w:val="24"/>
        </w:rPr>
        <w:t>专业必修</w:t>
      </w:r>
      <w:r>
        <w:rPr>
          <w:rFonts w:ascii="宋体" w:hAnsi="宋体"/>
          <w:kern w:val="0"/>
          <w:sz w:val="24"/>
        </w:rPr>
        <w:t>课程</w:t>
      </w:r>
      <w:r>
        <w:rPr>
          <w:rFonts w:hint="eastAsia" w:ascii="宋体" w:hAnsi="宋体"/>
          <w:kern w:val="0"/>
          <w:sz w:val="24"/>
          <w:szCs w:val="22"/>
        </w:rPr>
        <w:t>。通过本门课程学习，学生能够理解小学</w:t>
      </w:r>
      <w:r>
        <w:rPr>
          <w:rFonts w:ascii="宋体" w:hAnsi="宋体"/>
          <w:kern w:val="0"/>
          <w:sz w:val="24"/>
          <w:szCs w:val="22"/>
        </w:rPr>
        <w:t>数学课程的</w:t>
      </w:r>
      <w:r>
        <w:rPr>
          <w:rFonts w:hint="eastAsia" w:ascii="宋体" w:hAnsi="宋体"/>
          <w:kern w:val="0"/>
          <w:sz w:val="24"/>
          <w:szCs w:val="22"/>
        </w:rPr>
        <w:t>性质</w:t>
      </w:r>
      <w:r>
        <w:rPr>
          <w:rFonts w:ascii="宋体" w:hAnsi="宋体"/>
          <w:kern w:val="0"/>
          <w:sz w:val="24"/>
          <w:szCs w:val="22"/>
        </w:rPr>
        <w:t>和基本理念</w:t>
      </w:r>
      <w:r>
        <w:rPr>
          <w:rFonts w:hint="eastAsia" w:ascii="宋体" w:hAnsi="宋体"/>
          <w:kern w:val="0"/>
          <w:sz w:val="24"/>
          <w:szCs w:val="22"/>
        </w:rPr>
        <w:t>，明确小学</w:t>
      </w:r>
      <w:r>
        <w:rPr>
          <w:rFonts w:ascii="宋体" w:hAnsi="宋体"/>
          <w:kern w:val="0"/>
          <w:sz w:val="24"/>
          <w:szCs w:val="22"/>
        </w:rPr>
        <w:t>数学课程</w:t>
      </w:r>
      <w:r>
        <w:rPr>
          <w:rFonts w:hint="eastAsia" w:ascii="宋体" w:hAnsi="宋体"/>
          <w:kern w:val="0"/>
          <w:sz w:val="24"/>
          <w:szCs w:val="22"/>
        </w:rPr>
        <w:t>目标</w:t>
      </w:r>
      <w:r>
        <w:rPr>
          <w:rFonts w:ascii="宋体" w:hAnsi="宋体"/>
          <w:kern w:val="0"/>
          <w:sz w:val="24"/>
          <w:szCs w:val="22"/>
        </w:rPr>
        <w:t>，熟悉小学</w:t>
      </w:r>
      <w:r>
        <w:rPr>
          <w:rFonts w:hint="eastAsia" w:ascii="宋体" w:hAnsi="宋体"/>
          <w:kern w:val="0"/>
          <w:sz w:val="24"/>
          <w:szCs w:val="22"/>
        </w:rPr>
        <w:t>数学课程的</w:t>
      </w:r>
      <w:r>
        <w:rPr>
          <w:rFonts w:ascii="宋体" w:hAnsi="宋体"/>
          <w:kern w:val="0"/>
          <w:sz w:val="24"/>
          <w:szCs w:val="22"/>
        </w:rPr>
        <w:t>主要内容</w:t>
      </w:r>
      <w:r>
        <w:rPr>
          <w:rFonts w:hint="eastAsia" w:ascii="宋体" w:hAnsi="宋体"/>
          <w:kern w:val="0"/>
          <w:sz w:val="24"/>
          <w:szCs w:val="22"/>
        </w:rPr>
        <w:t>。能依据</w:t>
      </w:r>
      <w:r>
        <w:rPr>
          <w:rFonts w:ascii="宋体" w:hAnsi="宋体"/>
          <w:kern w:val="0"/>
          <w:sz w:val="24"/>
          <w:szCs w:val="22"/>
        </w:rPr>
        <w:t>数学课程标准的理念</w:t>
      </w:r>
      <w:r>
        <w:rPr>
          <w:rFonts w:hint="eastAsia" w:ascii="宋体" w:hAnsi="宋体"/>
          <w:kern w:val="0"/>
          <w:sz w:val="24"/>
          <w:szCs w:val="22"/>
        </w:rPr>
        <w:t>对</w:t>
      </w:r>
      <w:r>
        <w:rPr>
          <w:rFonts w:ascii="宋体" w:hAnsi="宋体"/>
          <w:kern w:val="0"/>
          <w:sz w:val="24"/>
          <w:szCs w:val="22"/>
        </w:rPr>
        <w:t>小学数学教材进行科学的分析，明确“数与代数”、“图形与几何”、“统计与概率”、“综合与实践”等领域教材的</w:t>
      </w:r>
      <w:r>
        <w:rPr>
          <w:rFonts w:hint="eastAsia" w:ascii="宋体" w:hAnsi="宋体"/>
          <w:kern w:val="0"/>
          <w:sz w:val="24"/>
          <w:szCs w:val="22"/>
        </w:rPr>
        <w:t>编写</w:t>
      </w:r>
      <w:r>
        <w:rPr>
          <w:rFonts w:ascii="宋体" w:hAnsi="宋体"/>
          <w:kern w:val="0"/>
          <w:sz w:val="24"/>
          <w:szCs w:val="22"/>
        </w:rPr>
        <w:t>意图、</w:t>
      </w:r>
      <w:r>
        <w:rPr>
          <w:rFonts w:hint="eastAsia" w:ascii="宋体" w:hAnsi="宋体"/>
          <w:kern w:val="0"/>
          <w:sz w:val="24"/>
          <w:szCs w:val="22"/>
        </w:rPr>
        <w:t>逻辑结构与编写特点，</w:t>
      </w:r>
      <w:r>
        <w:rPr>
          <w:rFonts w:ascii="宋体" w:hAnsi="宋体"/>
          <w:kern w:val="0"/>
          <w:sz w:val="24"/>
          <w:szCs w:val="22"/>
        </w:rPr>
        <w:t>能在教材分析的基础上</w:t>
      </w:r>
      <w:r>
        <w:rPr>
          <w:rFonts w:hint="eastAsia" w:ascii="宋体" w:hAnsi="宋体"/>
          <w:kern w:val="0"/>
          <w:sz w:val="24"/>
          <w:szCs w:val="22"/>
        </w:rPr>
        <w:t>尝试</w:t>
      </w:r>
      <w:r>
        <w:rPr>
          <w:rFonts w:ascii="宋体" w:hAnsi="宋体"/>
          <w:kern w:val="0"/>
          <w:sz w:val="24"/>
          <w:szCs w:val="22"/>
        </w:rPr>
        <w:t>进行小学数学教学设计并</w:t>
      </w:r>
      <w:r>
        <w:rPr>
          <w:rFonts w:hint="eastAsia" w:ascii="宋体" w:hAnsi="宋体"/>
          <w:kern w:val="0"/>
          <w:sz w:val="24"/>
          <w:szCs w:val="22"/>
        </w:rPr>
        <w:t>付诸</w:t>
      </w:r>
      <w:r>
        <w:rPr>
          <w:rFonts w:ascii="宋体" w:hAnsi="宋体"/>
          <w:kern w:val="0"/>
          <w:sz w:val="24"/>
          <w:szCs w:val="22"/>
        </w:rPr>
        <w:t>实施</w:t>
      </w:r>
      <w:r>
        <w:rPr>
          <w:rFonts w:hint="eastAsia" w:ascii="宋体" w:hAnsi="宋体"/>
          <w:kern w:val="0"/>
          <w:sz w:val="24"/>
          <w:szCs w:val="22"/>
        </w:rPr>
        <w:t>，不断</w:t>
      </w:r>
      <w:r>
        <w:rPr>
          <w:rFonts w:hint="eastAsia"/>
          <w:kern w:val="0"/>
          <w:sz w:val="24"/>
        </w:rPr>
        <w:t>提高小学数学教学的能力。</w:t>
      </w:r>
    </w:p>
    <w:p w14:paraId="54C8F7DE">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3D1EE534">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0AC1D750">
      <w:pPr>
        <w:spacing w:line="360" w:lineRule="auto"/>
        <w:ind w:firstLine="480" w:firstLineChars="200"/>
        <w:rPr>
          <w:rFonts w:ascii="宋体" w:hAnsi="宋体"/>
          <w:kern w:val="0"/>
          <w:sz w:val="24"/>
          <w:szCs w:val="22"/>
        </w:rPr>
      </w:pPr>
      <w:r>
        <w:rPr>
          <w:rFonts w:hint="eastAsia" w:ascii="宋体" w:hAnsi="宋体"/>
          <w:kern w:val="0"/>
          <w:sz w:val="24"/>
          <w:szCs w:val="22"/>
        </w:rPr>
        <w:t>目标</w:t>
      </w:r>
      <w:r>
        <w:rPr>
          <w:rFonts w:ascii="宋体" w:hAnsi="宋体"/>
          <w:kern w:val="0"/>
          <w:sz w:val="24"/>
          <w:szCs w:val="22"/>
        </w:rPr>
        <w:t>1.</w:t>
      </w:r>
      <w:r>
        <w:rPr>
          <w:rFonts w:hint="eastAsia" w:ascii="宋体" w:hAnsi="宋体"/>
          <w:kern w:val="0"/>
          <w:sz w:val="24"/>
          <w:szCs w:val="22"/>
        </w:rPr>
        <w:t>了解数学课程与</w:t>
      </w:r>
      <w:r>
        <w:rPr>
          <w:rFonts w:ascii="宋体" w:hAnsi="宋体"/>
          <w:kern w:val="0"/>
          <w:sz w:val="24"/>
          <w:szCs w:val="22"/>
        </w:rPr>
        <w:t>教学</w:t>
      </w:r>
      <w:r>
        <w:rPr>
          <w:rFonts w:hint="eastAsia" w:ascii="宋体" w:hAnsi="宋体"/>
          <w:kern w:val="0"/>
          <w:sz w:val="24"/>
          <w:szCs w:val="22"/>
        </w:rPr>
        <w:t>改革的历史、现状</w:t>
      </w:r>
      <w:r>
        <w:rPr>
          <w:rFonts w:ascii="宋体" w:hAnsi="宋体"/>
          <w:kern w:val="0"/>
          <w:sz w:val="24"/>
          <w:szCs w:val="22"/>
        </w:rPr>
        <w:t>与</w:t>
      </w:r>
      <w:r>
        <w:rPr>
          <w:rFonts w:hint="eastAsia" w:ascii="宋体" w:hAnsi="宋体"/>
          <w:kern w:val="0"/>
          <w:sz w:val="24"/>
          <w:szCs w:val="22"/>
        </w:rPr>
        <w:t>趋势，形成参与数学课程改革的愿望和</w:t>
      </w:r>
      <w:r>
        <w:rPr>
          <w:rFonts w:ascii="宋体" w:hAnsi="宋体"/>
          <w:sz w:val="24"/>
        </w:rPr>
        <w:t>热爱数学的</w:t>
      </w:r>
      <w:r>
        <w:rPr>
          <w:rFonts w:hint="eastAsia" w:ascii="宋体" w:hAnsi="宋体"/>
          <w:kern w:val="0"/>
          <w:sz w:val="24"/>
          <w:szCs w:val="22"/>
        </w:rPr>
        <w:t>积极</w:t>
      </w:r>
      <w:r>
        <w:rPr>
          <w:rFonts w:ascii="宋体" w:hAnsi="宋体"/>
          <w:sz w:val="24"/>
        </w:rPr>
        <w:t>情感，</w:t>
      </w:r>
      <w:r>
        <w:rPr>
          <w:rFonts w:hint="eastAsia" w:ascii="宋体" w:hAnsi="宋体"/>
          <w:sz w:val="24"/>
        </w:rPr>
        <w:t>增强从事数学教育事业的信心</w:t>
      </w:r>
      <w:r>
        <w:rPr>
          <w:rFonts w:hint="eastAsia" w:ascii="宋体" w:hAnsi="宋体"/>
          <w:kern w:val="0"/>
          <w:sz w:val="24"/>
          <w:szCs w:val="22"/>
        </w:rPr>
        <w:t>。</w:t>
      </w:r>
    </w:p>
    <w:p w14:paraId="7CC65EED">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2.</w:t>
      </w:r>
      <w:r>
        <w:rPr>
          <w:rFonts w:hint="eastAsia" w:ascii="宋体" w:hAnsi="宋体"/>
          <w:kern w:val="0"/>
          <w:sz w:val="24"/>
          <w:szCs w:val="22"/>
        </w:rPr>
        <w:t>理解小学数学课程的性质、基本理念以及</w:t>
      </w:r>
      <w:r>
        <w:rPr>
          <w:rFonts w:ascii="宋体" w:hAnsi="宋体"/>
          <w:kern w:val="0"/>
          <w:sz w:val="24"/>
          <w:szCs w:val="22"/>
        </w:rPr>
        <w:t>数学素养的</w:t>
      </w:r>
      <w:r>
        <w:rPr>
          <w:rFonts w:hint="eastAsia" w:ascii="宋体" w:hAnsi="宋体"/>
          <w:kern w:val="0"/>
          <w:sz w:val="24"/>
          <w:szCs w:val="22"/>
        </w:rPr>
        <w:t>相关概念</w:t>
      </w:r>
      <w:r>
        <w:rPr>
          <w:rFonts w:ascii="宋体" w:hAnsi="宋体"/>
          <w:kern w:val="0"/>
          <w:sz w:val="24"/>
          <w:szCs w:val="22"/>
        </w:rPr>
        <w:t>。</w:t>
      </w:r>
    </w:p>
    <w:p w14:paraId="5C950A0F">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3.</w:t>
      </w:r>
      <w:r>
        <w:rPr>
          <w:rFonts w:hint="eastAsia" w:ascii="宋体" w:hAnsi="宋体"/>
          <w:kern w:val="0"/>
          <w:sz w:val="24"/>
          <w:szCs w:val="22"/>
        </w:rPr>
        <w:t>理解</w:t>
      </w:r>
      <w:r>
        <w:rPr>
          <w:rFonts w:ascii="宋体" w:hAnsi="宋体"/>
          <w:kern w:val="0"/>
          <w:sz w:val="24"/>
          <w:szCs w:val="22"/>
        </w:rPr>
        <w:t>小学数学课程的</w:t>
      </w:r>
      <w:r>
        <w:rPr>
          <w:rFonts w:hint="eastAsia" w:ascii="宋体" w:hAnsi="宋体"/>
          <w:kern w:val="0"/>
          <w:sz w:val="24"/>
          <w:szCs w:val="22"/>
        </w:rPr>
        <w:t>总体目标，明确“知识</w:t>
      </w:r>
      <w:r>
        <w:rPr>
          <w:rFonts w:ascii="宋体" w:hAnsi="宋体"/>
          <w:kern w:val="0"/>
          <w:sz w:val="24"/>
          <w:szCs w:val="22"/>
        </w:rPr>
        <w:t>技能”、</w:t>
      </w:r>
      <w:r>
        <w:rPr>
          <w:rFonts w:hint="eastAsia" w:ascii="宋体" w:hAnsi="宋体"/>
          <w:kern w:val="0"/>
          <w:sz w:val="24"/>
          <w:szCs w:val="22"/>
        </w:rPr>
        <w:t>“</w:t>
      </w:r>
      <w:r>
        <w:rPr>
          <w:rFonts w:ascii="宋体" w:hAnsi="宋体"/>
          <w:kern w:val="0"/>
          <w:sz w:val="24"/>
          <w:szCs w:val="22"/>
        </w:rPr>
        <w:t>数学思考</w:t>
      </w:r>
      <w:r>
        <w:rPr>
          <w:rFonts w:hint="eastAsia" w:ascii="宋体" w:hAnsi="宋体"/>
          <w:kern w:val="0"/>
          <w:sz w:val="24"/>
          <w:szCs w:val="22"/>
        </w:rPr>
        <w:t>”</w:t>
      </w:r>
      <w:r>
        <w:rPr>
          <w:rFonts w:ascii="宋体" w:hAnsi="宋体"/>
          <w:kern w:val="0"/>
          <w:sz w:val="24"/>
          <w:szCs w:val="22"/>
        </w:rPr>
        <w:t>、</w:t>
      </w:r>
      <w:r>
        <w:rPr>
          <w:rFonts w:hint="eastAsia" w:ascii="宋体" w:hAnsi="宋体"/>
          <w:kern w:val="0"/>
          <w:sz w:val="24"/>
          <w:szCs w:val="22"/>
        </w:rPr>
        <w:t>“</w:t>
      </w:r>
      <w:r>
        <w:rPr>
          <w:rFonts w:ascii="宋体" w:hAnsi="宋体"/>
          <w:kern w:val="0"/>
          <w:sz w:val="24"/>
          <w:szCs w:val="22"/>
        </w:rPr>
        <w:t>问题解决</w:t>
      </w:r>
      <w:r>
        <w:rPr>
          <w:rFonts w:hint="eastAsia" w:ascii="宋体" w:hAnsi="宋体"/>
          <w:kern w:val="0"/>
          <w:sz w:val="24"/>
          <w:szCs w:val="22"/>
        </w:rPr>
        <w:t>”</w:t>
      </w:r>
      <w:r>
        <w:rPr>
          <w:rFonts w:ascii="宋体" w:hAnsi="宋体"/>
          <w:kern w:val="0"/>
          <w:sz w:val="24"/>
          <w:szCs w:val="22"/>
        </w:rPr>
        <w:t>、“情感态度”</w:t>
      </w:r>
      <w:r>
        <w:rPr>
          <w:rFonts w:hint="eastAsia" w:ascii="宋体" w:hAnsi="宋体"/>
          <w:kern w:val="0"/>
          <w:sz w:val="24"/>
          <w:szCs w:val="22"/>
        </w:rPr>
        <w:t>等领域</w:t>
      </w:r>
      <w:r>
        <w:rPr>
          <w:rFonts w:ascii="宋体" w:hAnsi="宋体"/>
          <w:kern w:val="0"/>
          <w:sz w:val="24"/>
          <w:szCs w:val="22"/>
        </w:rPr>
        <w:t>的具体</w:t>
      </w:r>
      <w:r>
        <w:rPr>
          <w:rFonts w:hint="eastAsia" w:ascii="宋体" w:hAnsi="宋体"/>
          <w:kern w:val="0"/>
          <w:sz w:val="24"/>
          <w:szCs w:val="22"/>
        </w:rPr>
        <w:t>目标。</w:t>
      </w:r>
    </w:p>
    <w:p w14:paraId="5ABDCD6E">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4.</w:t>
      </w:r>
      <w:r>
        <w:rPr>
          <w:rFonts w:hint="eastAsia" w:ascii="宋体" w:hAnsi="宋体"/>
          <w:kern w:val="0"/>
          <w:sz w:val="24"/>
          <w:szCs w:val="22"/>
        </w:rPr>
        <w:t>明确小学数学课程内容</w:t>
      </w:r>
      <w:r>
        <w:rPr>
          <w:rFonts w:ascii="宋体" w:hAnsi="宋体"/>
          <w:kern w:val="0"/>
          <w:sz w:val="24"/>
          <w:szCs w:val="22"/>
        </w:rPr>
        <w:t>的</w:t>
      </w:r>
      <w:r>
        <w:rPr>
          <w:rFonts w:hint="eastAsia" w:ascii="宋体" w:hAnsi="宋体"/>
          <w:kern w:val="0"/>
          <w:sz w:val="24"/>
          <w:szCs w:val="22"/>
        </w:rPr>
        <w:t>逻辑</w:t>
      </w:r>
      <w:r>
        <w:rPr>
          <w:rFonts w:ascii="宋体" w:hAnsi="宋体"/>
          <w:kern w:val="0"/>
          <w:sz w:val="24"/>
          <w:szCs w:val="22"/>
        </w:rPr>
        <w:t>结构，</w:t>
      </w:r>
      <w:r>
        <w:rPr>
          <w:rFonts w:hint="eastAsia" w:ascii="宋体" w:hAnsi="宋体"/>
          <w:kern w:val="0"/>
          <w:sz w:val="24"/>
          <w:szCs w:val="22"/>
        </w:rPr>
        <w:t>熟悉“数与代数”、“图形与几何”、“统计与概率”、“综合与实践”等领域的具体内容。</w:t>
      </w:r>
    </w:p>
    <w:p w14:paraId="605FE5A6">
      <w:pPr>
        <w:spacing w:line="360" w:lineRule="auto"/>
        <w:ind w:firstLine="480" w:firstLineChars="200"/>
        <w:rPr>
          <w:rFonts w:ascii="宋体" w:hAnsi="宋体"/>
          <w:kern w:val="0"/>
          <w:sz w:val="24"/>
          <w:szCs w:val="22"/>
        </w:rPr>
      </w:pPr>
      <w:r>
        <w:rPr>
          <w:rFonts w:hint="eastAsia" w:ascii="宋体" w:hAnsi="宋体"/>
          <w:kern w:val="0"/>
          <w:sz w:val="24"/>
          <w:szCs w:val="22"/>
        </w:rPr>
        <w:t>目标</w:t>
      </w:r>
      <w:r>
        <w:rPr>
          <w:rFonts w:ascii="宋体" w:hAnsi="宋体"/>
          <w:kern w:val="0"/>
          <w:sz w:val="24"/>
          <w:szCs w:val="22"/>
        </w:rPr>
        <w:t>5.</w:t>
      </w:r>
      <w:r>
        <w:rPr>
          <w:rFonts w:hint="eastAsia" w:ascii="宋体" w:hAnsi="宋体"/>
          <w:kern w:val="0"/>
          <w:sz w:val="24"/>
          <w:szCs w:val="22"/>
        </w:rPr>
        <w:t>能够依据小学数学课程的基本理念，全面把握小学数学教材的特点与内涵。具有从事小学数学教材研究的意识和基本能力,能够</w:t>
      </w:r>
      <w:r>
        <w:rPr>
          <w:rFonts w:ascii="宋体" w:hAnsi="宋体"/>
          <w:kern w:val="0"/>
          <w:sz w:val="24"/>
          <w:szCs w:val="22"/>
        </w:rPr>
        <w:t>尝试进行小学数学教学设计并付诸实施</w:t>
      </w:r>
      <w:r>
        <w:rPr>
          <w:rFonts w:hint="eastAsia" w:ascii="宋体" w:hAnsi="宋体"/>
          <w:kern w:val="0"/>
          <w:sz w:val="24"/>
          <w:szCs w:val="22"/>
        </w:rPr>
        <w:t>。</w:t>
      </w:r>
    </w:p>
    <w:p w14:paraId="6A726672">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72"/>
        <w:gridCol w:w="4977"/>
      </w:tblGrid>
      <w:tr w14:paraId="7FDD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2E8B324D">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72" w:type="dxa"/>
            <w:noWrap w:val="0"/>
            <w:vAlign w:val="center"/>
          </w:tcPr>
          <w:p w14:paraId="7A062BCE">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1701FA5A">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7071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6AB15E98">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72" w:type="dxa"/>
            <w:noWrap w:val="0"/>
            <w:vAlign w:val="center"/>
          </w:tcPr>
          <w:p w14:paraId="3B7C6D91">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p w14:paraId="713621D5">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spacing w:val="2"/>
                <w:kern w:val="0"/>
                <w:szCs w:val="21"/>
              </w:rPr>
              <w:t>6</w:t>
            </w:r>
            <w:r>
              <w:rPr>
                <w:rFonts w:hint="eastAsia" w:ascii="宋体" w:hAnsi="宋体"/>
                <w:spacing w:val="2"/>
                <w:kern w:val="0"/>
                <w:szCs w:val="21"/>
              </w:rPr>
              <w:t>. 综合</w:t>
            </w:r>
            <w:r>
              <w:rPr>
                <w:rFonts w:ascii="宋体" w:hAnsi="宋体"/>
                <w:spacing w:val="2"/>
                <w:kern w:val="0"/>
                <w:szCs w:val="21"/>
              </w:rPr>
              <w:t>育人</w:t>
            </w:r>
          </w:p>
        </w:tc>
        <w:tc>
          <w:tcPr>
            <w:tcW w:w="4977" w:type="dxa"/>
            <w:noWrap w:val="0"/>
            <w:vAlign w:val="center"/>
          </w:tcPr>
          <w:p w14:paraId="41BF322B">
            <w:pPr>
              <w:pStyle w:val="58"/>
              <w:spacing w:line="276" w:lineRule="auto"/>
              <w:ind w:firstLine="0" w:firstLineChars="0"/>
              <w:jc w:val="left"/>
              <w:rPr>
                <w:rFonts w:ascii="宋体" w:hAnsi="宋体"/>
                <w:kern w:val="0"/>
                <w:szCs w:val="21"/>
              </w:rPr>
            </w:pPr>
            <w:r>
              <w:rPr>
                <w:rFonts w:hint="eastAsia" w:ascii="宋体" w:hAnsi="宋体"/>
                <w:kern w:val="0"/>
                <w:szCs w:val="21"/>
              </w:rPr>
              <w:t>3-2：具有学科专业能力，掌握主教学科的基本知识、原理和技能。</w:t>
            </w:r>
          </w:p>
          <w:p w14:paraId="7834D680">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6-2：具有教书育人的意识，理解学科核心素养和拟任教学科课程独特的育人功能，具备结合学科教学进行育人的意识与能力，注重学科教学中思想政治教育的渗透。</w:t>
            </w:r>
          </w:p>
        </w:tc>
      </w:tr>
      <w:tr w14:paraId="7175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noWrap w:val="0"/>
            <w:vAlign w:val="center"/>
          </w:tcPr>
          <w:p w14:paraId="7F6BBDAC">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72" w:type="dxa"/>
            <w:noWrap w:val="0"/>
            <w:vAlign w:val="center"/>
          </w:tcPr>
          <w:p w14:paraId="206BA949">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p w14:paraId="61D4E8E7">
            <w:pPr>
              <w:pStyle w:val="58"/>
              <w:spacing w:line="276" w:lineRule="auto"/>
              <w:ind w:firstLine="0" w:firstLineChars="0"/>
              <w:rPr>
                <w:rFonts w:hint="eastAsia" w:ascii="宋体" w:hAnsi="宋体"/>
                <w:kern w:val="0"/>
                <w:szCs w:val="21"/>
              </w:rPr>
            </w:pPr>
            <w:r>
              <w:rPr>
                <w:rFonts w:hint="eastAsia" w:ascii="宋体" w:hAnsi="宋体"/>
                <w:kern w:val="0"/>
                <w:szCs w:val="21"/>
              </w:rPr>
              <w:t>毕业要求4. 教学能力</w:t>
            </w:r>
          </w:p>
        </w:tc>
        <w:tc>
          <w:tcPr>
            <w:tcW w:w="4977" w:type="dxa"/>
            <w:noWrap w:val="0"/>
            <w:vAlign w:val="center"/>
          </w:tcPr>
          <w:p w14:paraId="1759B556">
            <w:pPr>
              <w:pStyle w:val="58"/>
              <w:spacing w:line="276" w:lineRule="auto"/>
              <w:ind w:firstLine="0" w:firstLineChars="0"/>
              <w:jc w:val="left"/>
              <w:rPr>
                <w:rFonts w:ascii="宋体" w:hAnsi="宋体"/>
                <w:szCs w:val="21"/>
              </w:rPr>
            </w:pPr>
            <w:r>
              <w:rPr>
                <w:rFonts w:hint="eastAsia" w:ascii="宋体" w:hAnsi="宋体"/>
                <w:szCs w:val="21"/>
              </w:rPr>
              <w:t>3-2：具有学科专业能力，掌握主教学科的基本知识、原理和技能。</w:t>
            </w:r>
          </w:p>
          <w:p w14:paraId="107FE822">
            <w:pPr>
              <w:pStyle w:val="58"/>
              <w:spacing w:line="276" w:lineRule="auto"/>
              <w:ind w:firstLine="0" w:firstLineChars="0"/>
              <w:jc w:val="left"/>
              <w:rPr>
                <w:rFonts w:hint="eastAsia" w:ascii="宋体" w:hAnsi="宋体"/>
                <w:kern w:val="0"/>
                <w:sz w:val="18"/>
                <w:szCs w:val="18"/>
              </w:rPr>
            </w:pPr>
            <w:r>
              <w:rPr>
                <w:rFonts w:hint="eastAsia" w:ascii="宋体" w:hAnsi="宋体"/>
                <w:szCs w:val="21"/>
              </w:rPr>
              <w:t>4-1：掌握教与学的知识，熟悉所教学科课程标准和教材、教学内容，具有一定的教材解读能力，具有依据课标进行教学的意识和习惯。</w:t>
            </w:r>
          </w:p>
        </w:tc>
      </w:tr>
      <w:tr w14:paraId="50CE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noWrap w:val="0"/>
            <w:vAlign w:val="center"/>
          </w:tcPr>
          <w:p w14:paraId="2FCF405C">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72" w:type="dxa"/>
            <w:noWrap w:val="0"/>
            <w:vAlign w:val="center"/>
          </w:tcPr>
          <w:p w14:paraId="7D07C439">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毕业要求3</w:t>
            </w:r>
            <w:r>
              <w:rPr>
                <w:rFonts w:ascii="宋体" w:hAnsi="宋体"/>
                <w:spacing w:val="2"/>
                <w:kern w:val="0"/>
                <w:szCs w:val="21"/>
              </w:rPr>
              <w:t>. 学科素养</w:t>
            </w:r>
          </w:p>
          <w:p w14:paraId="2CBFB510">
            <w:pPr>
              <w:pStyle w:val="58"/>
              <w:spacing w:line="276" w:lineRule="auto"/>
              <w:ind w:firstLine="0" w:firstLineChars="0"/>
              <w:rPr>
                <w:rFonts w:hint="eastAsia" w:ascii="宋体" w:hAnsi="宋体"/>
                <w:spacing w:val="2"/>
                <w:kern w:val="0"/>
                <w:szCs w:val="21"/>
              </w:rPr>
            </w:pPr>
            <w:r>
              <w:rPr>
                <w:rFonts w:hint="eastAsia" w:ascii="宋体" w:hAnsi="宋体"/>
                <w:kern w:val="0"/>
                <w:szCs w:val="21"/>
              </w:rPr>
              <w:t>毕业要求</w:t>
            </w:r>
            <w:r>
              <w:rPr>
                <w:rFonts w:ascii="宋体" w:hAnsi="宋体"/>
                <w:kern w:val="0"/>
                <w:szCs w:val="21"/>
              </w:rPr>
              <w:t xml:space="preserve">4. </w:t>
            </w:r>
            <w:r>
              <w:rPr>
                <w:rFonts w:hint="eastAsia" w:ascii="宋体" w:hAnsi="宋体"/>
                <w:kern w:val="0"/>
                <w:szCs w:val="21"/>
              </w:rPr>
              <w:t>教学能力</w:t>
            </w:r>
          </w:p>
        </w:tc>
        <w:tc>
          <w:tcPr>
            <w:tcW w:w="4977" w:type="dxa"/>
            <w:noWrap w:val="0"/>
            <w:vAlign w:val="center"/>
          </w:tcPr>
          <w:p w14:paraId="3B5279EA">
            <w:pPr>
              <w:pStyle w:val="58"/>
              <w:spacing w:line="276" w:lineRule="auto"/>
              <w:ind w:firstLine="0" w:firstLineChars="0"/>
              <w:jc w:val="left"/>
              <w:rPr>
                <w:rFonts w:ascii="宋体" w:hAnsi="宋体"/>
                <w:kern w:val="0"/>
                <w:szCs w:val="21"/>
              </w:rPr>
            </w:pPr>
            <w:r>
              <w:rPr>
                <w:rFonts w:hint="eastAsia" w:ascii="宋体" w:hAnsi="宋体"/>
                <w:kern w:val="0"/>
                <w:szCs w:val="21"/>
              </w:rPr>
              <w:t>3-2：具有学科专业能力，掌握主教学科的基本知识、原理和技能。</w:t>
            </w:r>
          </w:p>
          <w:p w14:paraId="1556CD1C">
            <w:pPr>
              <w:pStyle w:val="58"/>
              <w:spacing w:line="276" w:lineRule="auto"/>
              <w:ind w:firstLine="0" w:firstLineChars="0"/>
              <w:jc w:val="left"/>
              <w:rPr>
                <w:rFonts w:hint="eastAsia" w:ascii="宋体" w:hAnsi="宋体" w:cs="宋体"/>
                <w:szCs w:val="21"/>
              </w:rPr>
            </w:pPr>
            <w:r>
              <w:rPr>
                <w:rFonts w:hint="eastAsia" w:ascii="宋体" w:hAnsi="宋体"/>
                <w:kern w:val="0"/>
                <w:szCs w:val="21"/>
              </w:rPr>
              <w:t>4-1：掌握教与学的知识，熟悉所教学科课程标准和教材、教学内容，具有一定的教材解读能力，具有依据课标进行教学的意识和习惯。</w:t>
            </w:r>
          </w:p>
        </w:tc>
      </w:tr>
      <w:tr w14:paraId="7472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72C4B85B">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 4</w:t>
            </w:r>
          </w:p>
        </w:tc>
        <w:tc>
          <w:tcPr>
            <w:tcW w:w="2472" w:type="dxa"/>
            <w:noWrap w:val="0"/>
            <w:vAlign w:val="center"/>
          </w:tcPr>
          <w:p w14:paraId="45F55C4D">
            <w:pPr>
              <w:pStyle w:val="58"/>
              <w:spacing w:line="276" w:lineRule="auto"/>
              <w:ind w:firstLine="0" w:firstLineChars="0"/>
              <w:rPr>
                <w:rFonts w:ascii="宋体" w:hAnsi="宋体"/>
                <w:spacing w:val="2"/>
                <w:kern w:val="0"/>
                <w:szCs w:val="21"/>
              </w:rPr>
            </w:pPr>
            <w:r>
              <w:rPr>
                <w:rFonts w:ascii="宋体" w:hAnsi="宋体"/>
                <w:kern w:val="0"/>
                <w:szCs w:val="21"/>
              </w:rPr>
              <w:t>毕业要求</w:t>
            </w:r>
            <w:r>
              <w:rPr>
                <w:rFonts w:ascii="宋体" w:hAnsi="宋体"/>
                <w:spacing w:val="2"/>
                <w:kern w:val="0"/>
                <w:szCs w:val="21"/>
              </w:rPr>
              <w:t xml:space="preserve">3. </w:t>
            </w:r>
            <w:r>
              <w:rPr>
                <w:rFonts w:hint="eastAsia" w:ascii="宋体" w:hAnsi="宋体"/>
                <w:spacing w:val="2"/>
                <w:kern w:val="0"/>
                <w:szCs w:val="21"/>
              </w:rPr>
              <w:t>学科素养</w:t>
            </w:r>
          </w:p>
          <w:p w14:paraId="055642CA">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毕业要求4. 教学能力</w:t>
            </w:r>
          </w:p>
        </w:tc>
        <w:tc>
          <w:tcPr>
            <w:tcW w:w="4977" w:type="dxa"/>
            <w:noWrap w:val="0"/>
            <w:vAlign w:val="center"/>
          </w:tcPr>
          <w:p w14:paraId="1901EEF6">
            <w:pPr>
              <w:pStyle w:val="58"/>
              <w:shd w:val="clear" w:color="auto" w:fill="FFFFFF"/>
              <w:spacing w:line="276" w:lineRule="auto"/>
              <w:ind w:firstLine="0" w:firstLineChars="0"/>
              <w:jc w:val="left"/>
              <w:rPr>
                <w:rFonts w:ascii="宋体" w:hAnsi="宋体"/>
                <w:szCs w:val="21"/>
              </w:rPr>
            </w:pPr>
            <w:r>
              <w:rPr>
                <w:rFonts w:hint="eastAsia" w:ascii="宋体" w:hAnsi="宋体"/>
                <w:szCs w:val="21"/>
              </w:rPr>
              <w:t>3-2：具有学科专业能力，掌握主教学科的基本知识、原理和技能。</w:t>
            </w:r>
          </w:p>
          <w:p w14:paraId="209282F6">
            <w:pPr>
              <w:pStyle w:val="58"/>
              <w:shd w:val="clear" w:color="auto" w:fill="FFFFFF"/>
              <w:spacing w:line="276" w:lineRule="auto"/>
              <w:ind w:firstLine="0" w:firstLineChars="0"/>
              <w:jc w:val="left"/>
              <w:rPr>
                <w:rFonts w:hint="eastAsia" w:ascii="宋体" w:hAnsi="宋体"/>
                <w:spacing w:val="2"/>
                <w:kern w:val="0"/>
                <w:szCs w:val="21"/>
              </w:rPr>
            </w:pPr>
            <w:r>
              <w:rPr>
                <w:rFonts w:hint="eastAsia" w:ascii="宋体" w:hAnsi="宋体"/>
                <w:szCs w:val="21"/>
              </w:rPr>
              <w:t>4-1：掌握教与学的知识，熟悉所教学科课程标准和教材、教学内容，具有一定的教材解读能力，具有依据课标进行教学的意识和习惯。</w:t>
            </w:r>
          </w:p>
        </w:tc>
      </w:tr>
      <w:tr w14:paraId="11EC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6A9AEF30">
            <w:pPr>
              <w:pStyle w:val="58"/>
              <w:spacing w:line="276" w:lineRule="auto"/>
              <w:ind w:firstLine="0" w:firstLineChars="0"/>
              <w:jc w:val="center"/>
              <w:rPr>
                <w:rFonts w:hint="eastAsia" w:ascii="宋体" w:hAnsi="宋体" w:cs="宋体"/>
                <w:szCs w:val="21"/>
              </w:rPr>
            </w:pPr>
            <w:r>
              <w:rPr>
                <w:rFonts w:hint="eastAsia" w:ascii="宋体" w:hAnsi="宋体" w:cs="宋体"/>
                <w:szCs w:val="21"/>
              </w:rPr>
              <w:t xml:space="preserve">课程目标 </w:t>
            </w:r>
            <w:r>
              <w:rPr>
                <w:rFonts w:ascii="宋体" w:hAnsi="宋体" w:cs="宋体"/>
                <w:szCs w:val="21"/>
              </w:rPr>
              <w:t>5</w:t>
            </w:r>
          </w:p>
        </w:tc>
        <w:tc>
          <w:tcPr>
            <w:tcW w:w="2472" w:type="dxa"/>
            <w:noWrap w:val="0"/>
            <w:vAlign w:val="center"/>
          </w:tcPr>
          <w:p w14:paraId="4F7448DF">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 xml:space="preserve">4. </w:t>
            </w:r>
            <w:r>
              <w:rPr>
                <w:rFonts w:hint="eastAsia" w:ascii="宋体" w:hAnsi="宋体"/>
                <w:kern w:val="0"/>
                <w:szCs w:val="21"/>
              </w:rPr>
              <w:t>教学能力</w:t>
            </w:r>
          </w:p>
          <w:p w14:paraId="638878A4">
            <w:pPr>
              <w:pStyle w:val="58"/>
              <w:spacing w:line="276" w:lineRule="auto"/>
              <w:ind w:firstLine="0" w:firstLineChars="0"/>
              <w:rPr>
                <w:rFonts w:hint="eastAsia" w:ascii="宋体" w:hAnsi="宋体"/>
                <w:kern w:val="0"/>
                <w:szCs w:val="21"/>
              </w:rPr>
            </w:pPr>
            <w:r>
              <w:rPr>
                <w:rFonts w:hint="eastAsia" w:ascii="宋体" w:hAnsi="宋体"/>
                <w:kern w:val="0"/>
                <w:szCs w:val="21"/>
              </w:rPr>
              <w:t>毕业</w:t>
            </w:r>
            <w:r>
              <w:rPr>
                <w:rFonts w:ascii="宋体" w:hAnsi="宋体"/>
                <w:kern w:val="0"/>
                <w:szCs w:val="21"/>
              </w:rPr>
              <w:t>要求</w:t>
            </w:r>
            <w:r>
              <w:rPr>
                <w:rFonts w:hint="eastAsia" w:ascii="宋体" w:hAnsi="宋体"/>
                <w:kern w:val="0"/>
                <w:szCs w:val="21"/>
              </w:rPr>
              <w:t>8.</w:t>
            </w:r>
            <w:r>
              <w:rPr>
                <w:rFonts w:ascii="宋体" w:hAnsi="宋体"/>
                <w:kern w:val="0"/>
                <w:szCs w:val="21"/>
              </w:rPr>
              <w:t xml:space="preserve"> </w:t>
            </w:r>
            <w:r>
              <w:rPr>
                <w:rFonts w:hint="eastAsia" w:ascii="宋体" w:hAnsi="宋体"/>
                <w:kern w:val="0"/>
                <w:szCs w:val="21"/>
              </w:rPr>
              <w:t>沟通</w:t>
            </w:r>
            <w:r>
              <w:rPr>
                <w:rFonts w:ascii="宋体" w:hAnsi="宋体"/>
                <w:kern w:val="0"/>
                <w:szCs w:val="21"/>
              </w:rPr>
              <w:t>合作</w:t>
            </w:r>
          </w:p>
        </w:tc>
        <w:tc>
          <w:tcPr>
            <w:tcW w:w="4977" w:type="dxa"/>
            <w:noWrap w:val="0"/>
            <w:vAlign w:val="center"/>
          </w:tcPr>
          <w:p w14:paraId="1AD5A45B">
            <w:pPr>
              <w:pStyle w:val="58"/>
              <w:shd w:val="clear" w:color="auto" w:fill="FFFFFF"/>
              <w:spacing w:line="276" w:lineRule="auto"/>
              <w:ind w:firstLine="0" w:firstLineChars="0"/>
              <w:jc w:val="left"/>
              <w:rPr>
                <w:rFonts w:ascii="宋体" w:hAnsi="宋体"/>
                <w:szCs w:val="21"/>
              </w:rPr>
            </w:pPr>
            <w:r>
              <w:rPr>
                <w:rFonts w:hint="eastAsia" w:ascii="宋体" w:hAnsi="宋体"/>
                <w:szCs w:val="21"/>
              </w:rPr>
              <w:t>4-1：掌握教与学的知识，熟悉所教学科课程标准和教材、教学内容，具有一定的教材解读能力，具有依据课标进行教学的意识和习惯。</w:t>
            </w:r>
          </w:p>
          <w:p w14:paraId="28B4A079">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4-2：获得全面的小学教学体验，掌握学科教学的基本方法与策略，能独立进行教学设计、实施和评价。</w:t>
            </w:r>
          </w:p>
          <w:p w14:paraId="2423FE70">
            <w:pPr>
              <w:pStyle w:val="58"/>
              <w:shd w:val="clear" w:color="auto" w:fill="FFFFFF"/>
              <w:spacing w:line="276" w:lineRule="auto"/>
              <w:ind w:firstLine="0" w:firstLineChars="0"/>
              <w:jc w:val="left"/>
              <w:rPr>
                <w:rFonts w:hint="eastAsia" w:ascii="宋体" w:hAnsi="宋体"/>
                <w:szCs w:val="21"/>
              </w:rPr>
            </w:pPr>
            <w:r>
              <w:rPr>
                <w:rFonts w:hint="eastAsia"/>
                <w:szCs w:val="23"/>
              </w:rPr>
              <w:t>8-1：理解学习共同体的本质和价值，掌握团队协作的基本策略，在课堂学习与教育实践中获得合作学习体验，形成团队协作精神。</w:t>
            </w:r>
          </w:p>
        </w:tc>
      </w:tr>
    </w:tbl>
    <w:p w14:paraId="674B67D0">
      <w:pPr>
        <w:spacing w:line="360" w:lineRule="auto"/>
        <w:outlineLvl w:val="0"/>
        <w:rPr>
          <w:rFonts w:ascii="宋体" w:hAnsi="宋体"/>
          <w:b/>
          <w:kern w:val="0"/>
          <w:sz w:val="24"/>
          <w:szCs w:val="22"/>
        </w:rPr>
      </w:pPr>
      <w:r>
        <w:rPr>
          <w:rFonts w:hint="eastAsia" w:ascii="宋体" w:hAnsi="宋体"/>
          <w:b/>
          <w:kern w:val="0"/>
          <w:sz w:val="24"/>
          <w:szCs w:val="22"/>
        </w:rPr>
        <w:t xml:space="preserve">    </w:t>
      </w:r>
    </w:p>
    <w:p w14:paraId="00A55294">
      <w:pPr>
        <w:spacing w:line="360" w:lineRule="auto"/>
        <w:outlineLvl w:val="0"/>
        <w:rPr>
          <w:rFonts w:ascii="宋体" w:hAnsi="宋体"/>
          <w:b/>
          <w:kern w:val="0"/>
          <w:sz w:val="24"/>
          <w:szCs w:val="22"/>
        </w:rPr>
      </w:pPr>
    </w:p>
    <w:p w14:paraId="3CB79C20">
      <w:pPr>
        <w:spacing w:line="360" w:lineRule="auto"/>
        <w:outlineLvl w:val="0"/>
        <w:rPr>
          <w:rFonts w:hint="eastAsia" w:ascii="宋体" w:hAnsi="宋体"/>
          <w:b/>
          <w:kern w:val="0"/>
          <w:sz w:val="24"/>
          <w:szCs w:val="22"/>
        </w:rPr>
      </w:pPr>
    </w:p>
    <w:p w14:paraId="520C3B74">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326E5F1F">
      <w:pPr>
        <w:spacing w:line="360" w:lineRule="auto"/>
        <w:ind w:firstLine="482" w:firstLineChars="200"/>
        <w:outlineLvl w:val="0"/>
        <w:rPr>
          <w:rFonts w:ascii="宋体" w:hAnsi="宋体"/>
          <w:b/>
          <w:sz w:val="24"/>
          <w:szCs w:val="22"/>
        </w:rPr>
      </w:pPr>
    </w:p>
    <w:p w14:paraId="5157264B">
      <w:pPr>
        <w:spacing w:line="360" w:lineRule="auto"/>
        <w:ind w:firstLine="482" w:firstLineChars="200"/>
        <w:outlineLvl w:val="0"/>
        <w:rPr>
          <w:rFonts w:ascii="宋体" w:hAnsi="宋体"/>
          <w:b/>
          <w:sz w:val="24"/>
          <w:szCs w:val="22"/>
        </w:rPr>
      </w:pPr>
      <w:r>
        <w:rPr>
          <w:rFonts w:hint="eastAsia" w:ascii="宋体" w:hAnsi="宋体"/>
          <w:b/>
          <w:sz w:val="24"/>
          <w:szCs w:val="22"/>
        </w:rPr>
        <w:t>（一）绪论（本模块各知识点的讲授与学习，可以支撑课程目标1）</w:t>
      </w:r>
    </w:p>
    <w:p w14:paraId="3CDFD6F1">
      <w:pPr>
        <w:spacing w:line="360" w:lineRule="auto"/>
        <w:ind w:firstLine="482" w:firstLineChars="200"/>
        <w:rPr>
          <w:rFonts w:ascii="宋体" w:hAnsi="宋体"/>
          <w:b/>
          <w:sz w:val="24"/>
          <w:szCs w:val="22"/>
        </w:rPr>
      </w:pPr>
      <w:r>
        <w:rPr>
          <w:rFonts w:ascii="宋体" w:hAnsi="宋体"/>
          <w:b/>
          <w:sz w:val="24"/>
          <w:szCs w:val="22"/>
        </w:rPr>
        <w:t>1.教学内容</w:t>
      </w:r>
    </w:p>
    <w:p w14:paraId="58EB4F38">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《数学</w:t>
      </w:r>
      <w:r>
        <w:rPr>
          <w:rFonts w:ascii="宋体" w:hAnsi="宋体"/>
          <w:sz w:val="24"/>
          <w:szCs w:val="22"/>
        </w:rPr>
        <w:t>课程标准》</w:t>
      </w:r>
      <w:r>
        <w:rPr>
          <w:rFonts w:hint="eastAsia" w:ascii="宋体" w:hAnsi="宋体"/>
          <w:sz w:val="24"/>
          <w:szCs w:val="22"/>
        </w:rPr>
        <w:t>与</w:t>
      </w:r>
      <w:r>
        <w:rPr>
          <w:rFonts w:ascii="宋体" w:hAnsi="宋体"/>
          <w:sz w:val="24"/>
          <w:szCs w:val="22"/>
        </w:rPr>
        <w:t>教材分析的</w:t>
      </w:r>
      <w:r>
        <w:rPr>
          <w:rFonts w:hint="eastAsia" w:ascii="宋体" w:hAnsi="宋体"/>
          <w:sz w:val="24"/>
          <w:szCs w:val="22"/>
        </w:rPr>
        <w:t>目标</w:t>
      </w:r>
      <w:r>
        <w:rPr>
          <w:rFonts w:ascii="宋体" w:hAnsi="宋体"/>
          <w:sz w:val="24"/>
          <w:szCs w:val="22"/>
        </w:rPr>
        <w:t>与价值</w:t>
      </w:r>
    </w:p>
    <w:p w14:paraId="1A0DF219">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课程</w:t>
      </w:r>
      <w:r>
        <w:rPr>
          <w:rFonts w:ascii="宋体" w:hAnsi="宋体"/>
          <w:sz w:val="24"/>
          <w:szCs w:val="22"/>
        </w:rPr>
        <w:t>标准（教学大纲）的历史回顾</w:t>
      </w:r>
    </w:p>
    <w:p w14:paraId="5194A046">
      <w:pPr>
        <w:spacing w:line="360" w:lineRule="auto"/>
        <w:ind w:firstLine="482" w:firstLineChars="200"/>
        <w:rPr>
          <w:rFonts w:ascii="宋体" w:hAnsi="宋体"/>
          <w:b/>
          <w:sz w:val="24"/>
          <w:szCs w:val="22"/>
        </w:rPr>
      </w:pPr>
      <w:r>
        <w:rPr>
          <w:rFonts w:ascii="宋体" w:hAnsi="宋体"/>
          <w:b/>
          <w:sz w:val="24"/>
          <w:szCs w:val="22"/>
        </w:rPr>
        <w:t>2.基本要求</w:t>
      </w:r>
    </w:p>
    <w:p w14:paraId="19988E8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理解《数学课程标准》与教材分析的目标与价值</w:t>
      </w:r>
    </w:p>
    <w:p w14:paraId="22EFE215">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了解课程</w:t>
      </w:r>
      <w:r>
        <w:rPr>
          <w:rFonts w:ascii="宋体" w:hAnsi="宋体"/>
          <w:sz w:val="24"/>
          <w:szCs w:val="22"/>
        </w:rPr>
        <w:t>标准（教学大纲）的</w:t>
      </w:r>
      <w:r>
        <w:rPr>
          <w:rFonts w:hint="eastAsia" w:ascii="宋体" w:hAnsi="宋体"/>
          <w:sz w:val="24"/>
          <w:szCs w:val="22"/>
        </w:rPr>
        <w:t>发展</w:t>
      </w:r>
      <w:r>
        <w:rPr>
          <w:rFonts w:ascii="宋体" w:hAnsi="宋体"/>
          <w:sz w:val="24"/>
          <w:szCs w:val="22"/>
        </w:rPr>
        <w:t>情况</w:t>
      </w:r>
    </w:p>
    <w:p w14:paraId="3F502F55">
      <w:pPr>
        <w:spacing w:line="360" w:lineRule="auto"/>
        <w:ind w:firstLine="480" w:firstLineChars="200"/>
        <w:rPr>
          <w:rFonts w:ascii="宋体" w:hAnsi="宋体"/>
          <w:sz w:val="24"/>
          <w:szCs w:val="22"/>
        </w:rPr>
      </w:pPr>
      <w:r>
        <w:rPr>
          <w:rFonts w:hint="eastAsia" w:ascii="宋体" w:hAnsi="宋体"/>
          <w:sz w:val="24"/>
          <w:szCs w:val="22"/>
        </w:rPr>
        <w:t>（3）激发参与数学课程改革的愿望，增强热爱数学的积极情感</w:t>
      </w:r>
    </w:p>
    <w:p w14:paraId="67F3535E">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550E8010">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w:t>
      </w:r>
      <w:r>
        <w:rPr>
          <w:rFonts w:ascii="宋体" w:hAnsi="宋体"/>
          <w:sz w:val="24"/>
          <w:szCs w:val="22"/>
        </w:rPr>
        <w:t>中国灿烂</w:t>
      </w:r>
      <w:r>
        <w:rPr>
          <w:rFonts w:hint="eastAsia" w:ascii="宋体" w:hAnsi="宋体"/>
          <w:sz w:val="24"/>
          <w:szCs w:val="22"/>
        </w:rPr>
        <w:t>的</w:t>
      </w:r>
      <w:r>
        <w:rPr>
          <w:rFonts w:ascii="宋体" w:hAnsi="宋体"/>
          <w:sz w:val="24"/>
          <w:szCs w:val="22"/>
        </w:rPr>
        <w:t>数学文化，</w:t>
      </w:r>
      <w:r>
        <w:rPr>
          <w:rFonts w:hint="eastAsia" w:ascii="宋体" w:hAnsi="宋体"/>
          <w:sz w:val="24"/>
          <w:szCs w:val="22"/>
        </w:rPr>
        <w:t>增强文化</w:t>
      </w:r>
      <w:r>
        <w:rPr>
          <w:rFonts w:ascii="宋体" w:hAnsi="宋体"/>
          <w:sz w:val="24"/>
          <w:szCs w:val="22"/>
        </w:rPr>
        <w:t>自信和民族自豪感</w:t>
      </w:r>
      <w:r>
        <w:rPr>
          <w:rFonts w:hint="eastAsia" w:ascii="宋体" w:hAnsi="宋体"/>
          <w:sz w:val="24"/>
          <w:szCs w:val="22"/>
        </w:rPr>
        <w:t>。</w:t>
      </w:r>
    </w:p>
    <w:p w14:paraId="7581DA13">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激发参与数学课程改革的愿望，增强热爱数学的积极情感。</w:t>
      </w:r>
    </w:p>
    <w:p w14:paraId="1664A4E0">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明确《数学课程标准》与教材分析的目标</w:t>
      </w:r>
    </w:p>
    <w:p w14:paraId="2358F5D3">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理解《数学课程标准》与教材分析的价值</w:t>
      </w:r>
    </w:p>
    <w:p w14:paraId="4D0095FC">
      <w:pPr>
        <w:spacing w:line="360" w:lineRule="auto"/>
        <w:ind w:firstLine="482" w:firstLineChars="200"/>
        <w:outlineLvl w:val="0"/>
        <w:rPr>
          <w:rFonts w:hint="eastAsia" w:ascii="宋体" w:hAnsi="宋体"/>
          <w:b/>
          <w:sz w:val="24"/>
          <w:szCs w:val="22"/>
        </w:rPr>
      </w:pPr>
      <w:r>
        <w:rPr>
          <w:rFonts w:hint="eastAsia" w:ascii="宋体" w:hAnsi="宋体"/>
          <w:b/>
          <w:sz w:val="24"/>
          <w:szCs w:val="22"/>
        </w:rPr>
        <w:t>（二）数学课程的性质和基本理念（本模块各知识点的讲授与学习，可以支撑课程目标2）</w:t>
      </w:r>
    </w:p>
    <w:p w14:paraId="6532B0E5">
      <w:pPr>
        <w:spacing w:line="360" w:lineRule="auto"/>
        <w:ind w:firstLine="482" w:firstLineChars="200"/>
        <w:rPr>
          <w:rFonts w:ascii="宋体" w:hAnsi="宋体"/>
          <w:b/>
          <w:sz w:val="24"/>
          <w:szCs w:val="22"/>
        </w:rPr>
      </w:pPr>
      <w:r>
        <w:rPr>
          <w:rFonts w:ascii="宋体" w:hAnsi="宋体"/>
          <w:b/>
          <w:sz w:val="24"/>
          <w:szCs w:val="22"/>
        </w:rPr>
        <w:t>1.教学内容</w:t>
      </w:r>
    </w:p>
    <w:p w14:paraId="430A4F1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数学课程</w:t>
      </w:r>
      <w:r>
        <w:rPr>
          <w:rFonts w:ascii="宋体" w:hAnsi="宋体"/>
          <w:sz w:val="24"/>
          <w:szCs w:val="22"/>
        </w:rPr>
        <w:t>的</w:t>
      </w:r>
      <w:r>
        <w:rPr>
          <w:rFonts w:hint="eastAsia" w:ascii="宋体" w:hAnsi="宋体"/>
          <w:sz w:val="24"/>
          <w:szCs w:val="22"/>
        </w:rPr>
        <w:t>基本</w:t>
      </w:r>
      <w:r>
        <w:rPr>
          <w:rFonts w:ascii="宋体" w:hAnsi="宋体"/>
          <w:sz w:val="24"/>
          <w:szCs w:val="22"/>
        </w:rPr>
        <w:t>性质</w:t>
      </w:r>
    </w:p>
    <w:p w14:paraId="5C8905D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数学课程</w:t>
      </w:r>
      <w:r>
        <w:rPr>
          <w:rFonts w:ascii="宋体" w:hAnsi="宋体"/>
          <w:sz w:val="24"/>
          <w:szCs w:val="22"/>
        </w:rPr>
        <w:t>的基本理念</w:t>
      </w:r>
    </w:p>
    <w:p w14:paraId="5CD0FDF3">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数学核心素养解析</w:t>
      </w:r>
    </w:p>
    <w:p w14:paraId="62201ACB">
      <w:pPr>
        <w:spacing w:line="360" w:lineRule="auto"/>
        <w:ind w:firstLine="482" w:firstLineChars="200"/>
        <w:rPr>
          <w:rFonts w:ascii="宋体" w:hAnsi="宋体"/>
          <w:b/>
          <w:sz w:val="24"/>
          <w:szCs w:val="22"/>
        </w:rPr>
      </w:pPr>
      <w:r>
        <w:rPr>
          <w:rFonts w:ascii="宋体" w:hAnsi="宋体"/>
          <w:b/>
          <w:sz w:val="24"/>
          <w:szCs w:val="22"/>
        </w:rPr>
        <w:t>2.基本要求</w:t>
      </w:r>
    </w:p>
    <w:p w14:paraId="7005BB37">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理解数学</w:t>
      </w:r>
      <w:r>
        <w:rPr>
          <w:rFonts w:ascii="宋体" w:hAnsi="宋体"/>
          <w:sz w:val="24"/>
          <w:szCs w:val="22"/>
        </w:rPr>
        <w:t>的</w:t>
      </w:r>
      <w:r>
        <w:rPr>
          <w:rFonts w:hint="eastAsia" w:ascii="宋体" w:hAnsi="宋体"/>
          <w:sz w:val="24"/>
          <w:szCs w:val="22"/>
        </w:rPr>
        <w:t>本质</w:t>
      </w:r>
      <w:r>
        <w:rPr>
          <w:rFonts w:ascii="宋体" w:hAnsi="宋体"/>
          <w:sz w:val="24"/>
          <w:szCs w:val="22"/>
        </w:rPr>
        <w:t>，明确数学课程的基本性质</w:t>
      </w:r>
    </w:p>
    <w:p w14:paraId="6165A837">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掌握数学</w:t>
      </w:r>
      <w:r>
        <w:rPr>
          <w:rFonts w:ascii="宋体" w:hAnsi="宋体"/>
          <w:sz w:val="24"/>
          <w:szCs w:val="22"/>
        </w:rPr>
        <w:t>课程的基本理念</w:t>
      </w:r>
    </w:p>
    <w:p w14:paraId="37DB0D4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能够初步运用</w:t>
      </w:r>
      <w:r>
        <w:rPr>
          <w:rFonts w:ascii="宋体" w:hAnsi="宋体"/>
          <w:sz w:val="24"/>
          <w:szCs w:val="22"/>
        </w:rPr>
        <w:t>数学</w:t>
      </w:r>
      <w:r>
        <w:rPr>
          <w:rFonts w:hint="eastAsia" w:ascii="宋体" w:hAnsi="宋体"/>
          <w:sz w:val="24"/>
          <w:szCs w:val="22"/>
        </w:rPr>
        <w:t>课程</w:t>
      </w:r>
      <w:r>
        <w:rPr>
          <w:rFonts w:ascii="宋体" w:hAnsi="宋体"/>
          <w:sz w:val="24"/>
          <w:szCs w:val="22"/>
        </w:rPr>
        <w:t>的基本理念</w:t>
      </w:r>
      <w:r>
        <w:rPr>
          <w:rFonts w:hint="eastAsia" w:ascii="宋体" w:hAnsi="宋体"/>
          <w:sz w:val="24"/>
          <w:szCs w:val="22"/>
        </w:rPr>
        <w:t>分析和</w:t>
      </w:r>
      <w:r>
        <w:rPr>
          <w:rFonts w:ascii="宋体" w:hAnsi="宋体"/>
          <w:sz w:val="24"/>
          <w:szCs w:val="22"/>
        </w:rPr>
        <w:t>解决</w:t>
      </w:r>
      <w:r>
        <w:rPr>
          <w:rFonts w:hint="eastAsia" w:ascii="宋体" w:hAnsi="宋体"/>
          <w:sz w:val="24"/>
          <w:szCs w:val="22"/>
        </w:rPr>
        <w:t>实际</w:t>
      </w:r>
      <w:r>
        <w:rPr>
          <w:rFonts w:ascii="宋体" w:hAnsi="宋体"/>
          <w:sz w:val="24"/>
          <w:szCs w:val="22"/>
        </w:rPr>
        <w:t>问题</w:t>
      </w:r>
    </w:p>
    <w:p w14:paraId="1A9E73F8">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52398A37">
      <w:pPr>
        <w:spacing w:line="360" w:lineRule="auto"/>
        <w:ind w:firstLine="480" w:firstLineChars="200"/>
        <w:rPr>
          <w:rFonts w:hint="eastAsia" w:ascii="宋体" w:hAnsi="宋体"/>
          <w:sz w:val="24"/>
          <w:szCs w:val="22"/>
        </w:rPr>
      </w:pPr>
      <w:r>
        <w:rPr>
          <w:rFonts w:hint="eastAsia" w:ascii="宋体" w:hAnsi="宋体"/>
          <w:sz w:val="24"/>
          <w:szCs w:val="22"/>
        </w:rPr>
        <w:t>（1）坚持数学</w:t>
      </w:r>
      <w:r>
        <w:rPr>
          <w:rFonts w:ascii="宋体" w:hAnsi="宋体"/>
          <w:sz w:val="24"/>
          <w:szCs w:val="22"/>
        </w:rPr>
        <w:t>课程为</w:t>
      </w:r>
      <w:r>
        <w:rPr>
          <w:rFonts w:hint="eastAsia" w:ascii="宋体" w:hAnsi="宋体"/>
          <w:sz w:val="24"/>
          <w:szCs w:val="22"/>
        </w:rPr>
        <w:t>社会主</w:t>
      </w:r>
      <w:r>
        <w:rPr>
          <w:rFonts w:ascii="宋体" w:hAnsi="宋体"/>
          <w:sz w:val="24"/>
          <w:szCs w:val="22"/>
        </w:rPr>
        <w:t>义现代化建设服务的思想</w:t>
      </w:r>
      <w:r>
        <w:rPr>
          <w:rFonts w:hint="eastAsia" w:ascii="宋体" w:hAnsi="宋体"/>
          <w:sz w:val="24"/>
          <w:szCs w:val="22"/>
        </w:rPr>
        <w:t>。</w:t>
      </w:r>
    </w:p>
    <w:p w14:paraId="7AF13D34">
      <w:pPr>
        <w:spacing w:line="360" w:lineRule="auto"/>
        <w:ind w:firstLine="480" w:firstLineChars="200"/>
        <w:rPr>
          <w:rFonts w:hint="eastAsia" w:ascii="宋体" w:hAnsi="宋体"/>
          <w:sz w:val="24"/>
          <w:szCs w:val="22"/>
        </w:rPr>
      </w:pPr>
      <w:r>
        <w:rPr>
          <w:rFonts w:hint="eastAsia" w:ascii="宋体" w:hAnsi="宋体"/>
          <w:sz w:val="24"/>
          <w:szCs w:val="22"/>
        </w:rPr>
        <w:t>（2）践行</w:t>
      </w:r>
      <w:r>
        <w:rPr>
          <w:rFonts w:ascii="宋体" w:hAnsi="宋体"/>
          <w:sz w:val="24"/>
          <w:szCs w:val="22"/>
        </w:rPr>
        <w:t>社会主义核心价值观，</w:t>
      </w:r>
      <w:r>
        <w:rPr>
          <w:rFonts w:hint="eastAsia" w:ascii="宋体" w:hAnsi="宋体"/>
          <w:sz w:val="24"/>
          <w:szCs w:val="22"/>
        </w:rPr>
        <w:t>树立</w:t>
      </w:r>
      <w:r>
        <w:rPr>
          <w:rFonts w:ascii="宋体" w:hAnsi="宋体"/>
          <w:sz w:val="24"/>
          <w:szCs w:val="22"/>
        </w:rPr>
        <w:t>全面的数学素养观。</w:t>
      </w:r>
    </w:p>
    <w:p w14:paraId="6D15C13F">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掌握数学课程的基本理念</w:t>
      </w:r>
    </w:p>
    <w:p w14:paraId="4A2CEA25">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 xml:space="preserve">运用数学课程的基本理念分析和解决实际问题 </w:t>
      </w:r>
    </w:p>
    <w:p w14:paraId="3C0343B0">
      <w:pPr>
        <w:spacing w:line="360" w:lineRule="auto"/>
        <w:ind w:firstLine="482" w:firstLineChars="200"/>
        <w:outlineLvl w:val="0"/>
        <w:rPr>
          <w:rFonts w:ascii="宋体" w:hAnsi="宋体"/>
          <w:b/>
          <w:sz w:val="24"/>
          <w:szCs w:val="22"/>
        </w:rPr>
      </w:pPr>
      <w:r>
        <w:rPr>
          <w:rFonts w:hint="eastAsia" w:ascii="宋体" w:hAnsi="宋体"/>
          <w:b/>
          <w:sz w:val="24"/>
          <w:szCs w:val="22"/>
        </w:rPr>
        <w:t>（三）数学课程目标与内容（本模块各知识点的讲授与学习，可以支撑课程目标</w:t>
      </w:r>
      <w:r>
        <w:rPr>
          <w:rFonts w:ascii="宋体" w:hAnsi="宋体"/>
          <w:b/>
          <w:sz w:val="24"/>
          <w:szCs w:val="22"/>
        </w:rPr>
        <w:t>3</w:t>
      </w:r>
      <w:r>
        <w:rPr>
          <w:rFonts w:hint="eastAsia" w:ascii="宋体" w:hAnsi="宋体"/>
          <w:b/>
          <w:sz w:val="24"/>
          <w:szCs w:val="22"/>
        </w:rPr>
        <w:t>、</w:t>
      </w:r>
      <w:r>
        <w:rPr>
          <w:rFonts w:ascii="宋体" w:hAnsi="宋体"/>
          <w:b/>
          <w:sz w:val="24"/>
          <w:szCs w:val="22"/>
        </w:rPr>
        <w:t>课程目标</w:t>
      </w:r>
      <w:r>
        <w:rPr>
          <w:rFonts w:hint="eastAsia" w:ascii="宋体" w:hAnsi="宋体"/>
          <w:b/>
          <w:sz w:val="24"/>
          <w:szCs w:val="22"/>
        </w:rPr>
        <w:t>4）</w:t>
      </w:r>
    </w:p>
    <w:p w14:paraId="5D2A3D76">
      <w:pPr>
        <w:spacing w:line="360" w:lineRule="auto"/>
        <w:ind w:firstLine="482" w:firstLineChars="200"/>
        <w:rPr>
          <w:rFonts w:ascii="宋体" w:hAnsi="宋体"/>
          <w:b/>
          <w:sz w:val="24"/>
          <w:szCs w:val="22"/>
        </w:rPr>
      </w:pPr>
      <w:r>
        <w:rPr>
          <w:rFonts w:ascii="宋体" w:hAnsi="宋体"/>
          <w:b/>
          <w:sz w:val="24"/>
          <w:szCs w:val="22"/>
        </w:rPr>
        <w:t>1.教学内容</w:t>
      </w:r>
    </w:p>
    <w:p w14:paraId="170EAC8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数学课程</w:t>
      </w:r>
      <w:r>
        <w:rPr>
          <w:rFonts w:ascii="宋体" w:hAnsi="宋体"/>
          <w:sz w:val="24"/>
          <w:szCs w:val="22"/>
        </w:rPr>
        <w:t>的总体</w:t>
      </w:r>
      <w:r>
        <w:rPr>
          <w:rFonts w:hint="eastAsia" w:ascii="宋体" w:hAnsi="宋体"/>
          <w:sz w:val="24"/>
          <w:szCs w:val="22"/>
        </w:rPr>
        <w:t>目标分析</w:t>
      </w:r>
    </w:p>
    <w:p w14:paraId="639F9DC1">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数学课程</w:t>
      </w:r>
      <w:r>
        <w:rPr>
          <w:rFonts w:ascii="宋体" w:hAnsi="宋体"/>
          <w:sz w:val="24"/>
          <w:szCs w:val="22"/>
        </w:rPr>
        <w:t>的具体目标</w:t>
      </w:r>
      <w:r>
        <w:rPr>
          <w:rFonts w:hint="eastAsia" w:ascii="宋体" w:hAnsi="宋体"/>
          <w:sz w:val="24"/>
          <w:szCs w:val="22"/>
        </w:rPr>
        <w:t>分析</w:t>
      </w:r>
    </w:p>
    <w:p w14:paraId="6536DD21">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数学课程</w:t>
      </w:r>
      <w:r>
        <w:rPr>
          <w:rFonts w:ascii="宋体" w:hAnsi="宋体"/>
          <w:sz w:val="24"/>
          <w:szCs w:val="22"/>
        </w:rPr>
        <w:t>的内容结构分析</w:t>
      </w:r>
    </w:p>
    <w:p w14:paraId="0C429608">
      <w:pPr>
        <w:spacing w:line="360" w:lineRule="auto"/>
        <w:ind w:firstLine="482" w:firstLineChars="200"/>
        <w:rPr>
          <w:rFonts w:ascii="宋体" w:hAnsi="宋体"/>
          <w:b/>
          <w:sz w:val="24"/>
          <w:szCs w:val="22"/>
        </w:rPr>
      </w:pPr>
      <w:r>
        <w:rPr>
          <w:rFonts w:ascii="宋体" w:hAnsi="宋体"/>
          <w:b/>
          <w:sz w:val="24"/>
          <w:szCs w:val="22"/>
        </w:rPr>
        <w:t>2.基本要求</w:t>
      </w:r>
    </w:p>
    <w:p w14:paraId="667A258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理解数学</w:t>
      </w:r>
      <w:r>
        <w:rPr>
          <w:rFonts w:ascii="宋体" w:hAnsi="宋体"/>
          <w:sz w:val="24"/>
          <w:szCs w:val="22"/>
        </w:rPr>
        <w:t>课程的总体目标</w:t>
      </w:r>
    </w:p>
    <w:p w14:paraId="3F292C1F">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明确“知识技能”、“数学思考”、“问题解决”、“情感态度”等领域的具体目标</w:t>
      </w:r>
    </w:p>
    <w:p w14:paraId="3EFFDE22">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了解“数与代数”、“空间与图形”、“概率与统计”、“综合与实践”四部分内容的知识结构</w:t>
      </w:r>
    </w:p>
    <w:p w14:paraId="28C7999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4</w:t>
      </w:r>
      <w:r>
        <w:rPr>
          <w:rFonts w:ascii="宋体" w:hAnsi="宋体"/>
          <w:sz w:val="24"/>
          <w:szCs w:val="22"/>
        </w:rPr>
        <w:t>）</w:t>
      </w:r>
      <w:r>
        <w:rPr>
          <w:rFonts w:hint="eastAsia" w:ascii="宋体" w:hAnsi="宋体"/>
          <w:sz w:val="24"/>
          <w:szCs w:val="22"/>
        </w:rPr>
        <w:t>了解</w:t>
      </w:r>
      <w:r>
        <w:rPr>
          <w:rFonts w:ascii="宋体" w:hAnsi="宋体"/>
          <w:sz w:val="24"/>
          <w:szCs w:val="22"/>
        </w:rPr>
        <w:t>小</w:t>
      </w:r>
      <w:r>
        <w:rPr>
          <w:rFonts w:hint="eastAsia" w:ascii="宋体" w:hAnsi="宋体"/>
          <w:sz w:val="24"/>
          <w:szCs w:val="22"/>
        </w:rPr>
        <w:t>学</w:t>
      </w:r>
      <w:r>
        <w:rPr>
          <w:rFonts w:ascii="宋体" w:hAnsi="宋体"/>
          <w:sz w:val="24"/>
          <w:szCs w:val="22"/>
        </w:rPr>
        <w:t>数学</w:t>
      </w:r>
      <w:r>
        <w:rPr>
          <w:rFonts w:hint="eastAsia" w:ascii="宋体" w:hAnsi="宋体"/>
          <w:sz w:val="24"/>
          <w:szCs w:val="22"/>
        </w:rPr>
        <w:t>课程</w:t>
      </w:r>
      <w:r>
        <w:rPr>
          <w:rFonts w:ascii="宋体" w:hAnsi="宋体"/>
          <w:sz w:val="24"/>
          <w:szCs w:val="22"/>
        </w:rPr>
        <w:t>的内容</w:t>
      </w:r>
      <w:r>
        <w:rPr>
          <w:rFonts w:hint="eastAsia" w:ascii="宋体" w:hAnsi="宋体"/>
          <w:sz w:val="24"/>
          <w:szCs w:val="22"/>
        </w:rPr>
        <w:t>构成与</w:t>
      </w:r>
      <w:r>
        <w:rPr>
          <w:rFonts w:ascii="宋体" w:hAnsi="宋体"/>
          <w:sz w:val="24"/>
          <w:szCs w:val="22"/>
        </w:rPr>
        <w:t>具体安排</w:t>
      </w:r>
    </w:p>
    <w:p w14:paraId="73781B63">
      <w:pPr>
        <w:spacing w:line="360" w:lineRule="auto"/>
        <w:ind w:firstLine="480" w:firstLineChars="200"/>
        <w:rPr>
          <w:rFonts w:ascii="宋体" w:hAnsi="宋体"/>
          <w:sz w:val="24"/>
          <w:szCs w:val="22"/>
        </w:rPr>
      </w:pPr>
      <w:r>
        <w:rPr>
          <w:rFonts w:hint="eastAsia" w:ascii="宋体" w:hAnsi="宋体"/>
          <w:sz w:val="24"/>
          <w:szCs w:val="22"/>
        </w:rPr>
        <w:t>（5）能够依据数学</w:t>
      </w:r>
      <w:r>
        <w:rPr>
          <w:rFonts w:ascii="宋体" w:hAnsi="宋体"/>
          <w:sz w:val="24"/>
          <w:szCs w:val="22"/>
        </w:rPr>
        <w:t>课程目标</w:t>
      </w:r>
      <w:r>
        <w:rPr>
          <w:rFonts w:hint="eastAsia" w:ascii="宋体" w:hAnsi="宋体"/>
          <w:sz w:val="24"/>
          <w:szCs w:val="22"/>
        </w:rPr>
        <w:t>进行</w:t>
      </w:r>
      <w:r>
        <w:rPr>
          <w:rFonts w:ascii="宋体" w:hAnsi="宋体"/>
          <w:sz w:val="24"/>
          <w:szCs w:val="22"/>
        </w:rPr>
        <w:t>初步的教学</w:t>
      </w:r>
      <w:r>
        <w:rPr>
          <w:rFonts w:hint="eastAsia" w:ascii="宋体" w:hAnsi="宋体"/>
          <w:sz w:val="24"/>
          <w:szCs w:val="22"/>
        </w:rPr>
        <w:t>内容</w:t>
      </w:r>
      <w:r>
        <w:rPr>
          <w:rFonts w:ascii="宋体" w:hAnsi="宋体"/>
          <w:sz w:val="24"/>
          <w:szCs w:val="22"/>
        </w:rPr>
        <w:t>分析和目标设计</w:t>
      </w:r>
    </w:p>
    <w:p w14:paraId="762ECFC4">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3CAC527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坚持</w:t>
      </w:r>
      <w:r>
        <w:rPr>
          <w:rFonts w:ascii="宋体" w:hAnsi="宋体"/>
          <w:sz w:val="24"/>
          <w:szCs w:val="22"/>
        </w:rPr>
        <w:t>马克思主义的全面发展观，</w:t>
      </w:r>
      <w:r>
        <w:rPr>
          <w:rFonts w:hint="eastAsia" w:ascii="宋体" w:hAnsi="宋体"/>
          <w:sz w:val="24"/>
          <w:szCs w:val="22"/>
        </w:rPr>
        <w:t>树立“</w:t>
      </w:r>
      <w:r>
        <w:rPr>
          <w:rFonts w:ascii="宋体" w:hAnsi="宋体"/>
          <w:sz w:val="24"/>
          <w:szCs w:val="22"/>
        </w:rPr>
        <w:t>德育为先”的教学理念</w:t>
      </w:r>
      <w:r>
        <w:rPr>
          <w:rFonts w:hint="eastAsia" w:ascii="宋体" w:hAnsi="宋体"/>
          <w:sz w:val="24"/>
          <w:szCs w:val="22"/>
        </w:rPr>
        <w:t>。</w:t>
      </w:r>
    </w:p>
    <w:p w14:paraId="72167575">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重视创新</w:t>
      </w:r>
      <w:r>
        <w:rPr>
          <w:rFonts w:ascii="宋体" w:hAnsi="宋体"/>
          <w:sz w:val="24"/>
          <w:szCs w:val="22"/>
        </w:rPr>
        <w:t>精神和</w:t>
      </w:r>
      <w:r>
        <w:rPr>
          <w:rFonts w:hint="eastAsia" w:ascii="宋体" w:hAnsi="宋体"/>
          <w:sz w:val="24"/>
          <w:szCs w:val="22"/>
        </w:rPr>
        <w:t>实践</w:t>
      </w:r>
      <w:r>
        <w:rPr>
          <w:rFonts w:ascii="宋体" w:hAnsi="宋体"/>
          <w:sz w:val="24"/>
          <w:szCs w:val="22"/>
        </w:rPr>
        <w:t>能力</w:t>
      </w:r>
      <w:r>
        <w:rPr>
          <w:rFonts w:hint="eastAsia" w:ascii="宋体" w:hAnsi="宋体"/>
          <w:sz w:val="24"/>
          <w:szCs w:val="22"/>
        </w:rPr>
        <w:t>的</w:t>
      </w:r>
      <w:r>
        <w:rPr>
          <w:rFonts w:ascii="宋体" w:hAnsi="宋体"/>
          <w:sz w:val="24"/>
          <w:szCs w:val="22"/>
        </w:rPr>
        <w:t>提高</w:t>
      </w:r>
      <w:r>
        <w:rPr>
          <w:rFonts w:hint="eastAsia" w:ascii="宋体" w:hAnsi="宋体"/>
          <w:sz w:val="24"/>
          <w:szCs w:val="22"/>
        </w:rPr>
        <w:t>，</w:t>
      </w:r>
      <w:r>
        <w:rPr>
          <w:rFonts w:ascii="宋体" w:hAnsi="宋体"/>
          <w:sz w:val="24"/>
          <w:szCs w:val="22"/>
        </w:rPr>
        <w:t>做一个担当的小学数学教师。</w:t>
      </w:r>
    </w:p>
    <w:p w14:paraId="5A2292EB">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树立</w:t>
      </w:r>
      <w:r>
        <w:rPr>
          <w:rFonts w:hint="eastAsia" w:ascii="宋体" w:hAnsi="宋体"/>
          <w:sz w:val="24"/>
          <w:szCs w:val="22"/>
        </w:rPr>
        <w:t>全面</w:t>
      </w:r>
      <w:r>
        <w:rPr>
          <w:rFonts w:ascii="宋体" w:hAnsi="宋体"/>
          <w:sz w:val="24"/>
          <w:szCs w:val="22"/>
        </w:rPr>
        <w:t>育人的思想。</w:t>
      </w:r>
    </w:p>
    <w:p w14:paraId="7F634B43">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理解数学</w:t>
      </w:r>
      <w:r>
        <w:rPr>
          <w:rFonts w:ascii="宋体" w:hAnsi="宋体"/>
          <w:sz w:val="24"/>
          <w:szCs w:val="22"/>
        </w:rPr>
        <w:t>课程的总体目标和具体目标</w:t>
      </w:r>
    </w:p>
    <w:p w14:paraId="244C64B8">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能够进行初步的教学内容分析和目标设计</w:t>
      </w:r>
    </w:p>
    <w:p w14:paraId="2C03680D">
      <w:pPr>
        <w:spacing w:line="360" w:lineRule="auto"/>
        <w:ind w:firstLine="482" w:firstLineChars="200"/>
        <w:outlineLvl w:val="0"/>
        <w:rPr>
          <w:rFonts w:hint="eastAsia" w:ascii="宋体" w:hAnsi="宋体"/>
          <w:b/>
          <w:sz w:val="24"/>
          <w:szCs w:val="22"/>
        </w:rPr>
      </w:pPr>
      <w:r>
        <w:rPr>
          <w:rFonts w:hint="eastAsia" w:ascii="宋体" w:hAnsi="宋体"/>
          <w:b/>
          <w:sz w:val="24"/>
          <w:szCs w:val="22"/>
        </w:rPr>
        <w:t>（四）小学数学教材简介（本模块各知识点的讲授与学习，可以支撑课程目标</w:t>
      </w:r>
      <w:r>
        <w:rPr>
          <w:rFonts w:ascii="宋体" w:hAnsi="宋体"/>
          <w:b/>
          <w:sz w:val="24"/>
          <w:szCs w:val="22"/>
        </w:rPr>
        <w:t>4</w:t>
      </w:r>
      <w:r>
        <w:rPr>
          <w:rFonts w:hint="eastAsia" w:ascii="宋体" w:hAnsi="宋体"/>
          <w:b/>
          <w:sz w:val="24"/>
          <w:szCs w:val="22"/>
        </w:rPr>
        <w:t>、</w:t>
      </w:r>
      <w:r>
        <w:rPr>
          <w:rFonts w:ascii="宋体" w:hAnsi="宋体"/>
          <w:b/>
          <w:sz w:val="24"/>
          <w:szCs w:val="22"/>
        </w:rPr>
        <w:t>课程目标5</w:t>
      </w:r>
      <w:r>
        <w:rPr>
          <w:rFonts w:hint="eastAsia" w:ascii="宋体" w:hAnsi="宋体"/>
          <w:b/>
          <w:sz w:val="24"/>
          <w:szCs w:val="22"/>
        </w:rPr>
        <w:t>）</w:t>
      </w:r>
    </w:p>
    <w:p w14:paraId="19959573">
      <w:pPr>
        <w:spacing w:line="360" w:lineRule="auto"/>
        <w:ind w:firstLine="482" w:firstLineChars="200"/>
        <w:rPr>
          <w:rFonts w:ascii="宋体" w:hAnsi="宋体"/>
          <w:b/>
          <w:sz w:val="24"/>
          <w:szCs w:val="22"/>
        </w:rPr>
      </w:pPr>
      <w:r>
        <w:rPr>
          <w:rFonts w:ascii="宋体" w:hAnsi="宋体"/>
          <w:b/>
          <w:sz w:val="24"/>
          <w:szCs w:val="22"/>
        </w:rPr>
        <w:t>1.教学内容</w:t>
      </w:r>
    </w:p>
    <w:p w14:paraId="04DE8553">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小学数学</w:t>
      </w:r>
      <w:r>
        <w:rPr>
          <w:rFonts w:ascii="宋体" w:hAnsi="宋体"/>
          <w:sz w:val="24"/>
          <w:szCs w:val="22"/>
        </w:rPr>
        <w:t>教材概述</w:t>
      </w:r>
    </w:p>
    <w:p w14:paraId="16D77E34">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人教</w:t>
      </w:r>
      <w:r>
        <w:rPr>
          <w:rFonts w:ascii="宋体" w:hAnsi="宋体"/>
          <w:sz w:val="24"/>
          <w:szCs w:val="22"/>
        </w:rPr>
        <w:t>版教材介绍</w:t>
      </w:r>
    </w:p>
    <w:p w14:paraId="5EE0D2DC">
      <w:pPr>
        <w:spacing w:line="360" w:lineRule="auto"/>
        <w:ind w:firstLine="480" w:firstLineChars="200"/>
        <w:rPr>
          <w:rFonts w:hint="eastAsia" w:ascii="宋体" w:hAnsi="宋体"/>
          <w:sz w:val="24"/>
          <w:szCs w:val="22"/>
        </w:rPr>
      </w:pPr>
      <w:r>
        <w:rPr>
          <w:rFonts w:hint="eastAsia" w:ascii="宋体" w:hAnsi="宋体"/>
          <w:sz w:val="24"/>
          <w:szCs w:val="22"/>
        </w:rPr>
        <w:t>（3）苏</w:t>
      </w:r>
      <w:r>
        <w:rPr>
          <w:rFonts w:ascii="宋体" w:hAnsi="宋体"/>
          <w:sz w:val="24"/>
          <w:szCs w:val="22"/>
        </w:rPr>
        <w:t>教版教材介绍</w:t>
      </w:r>
    </w:p>
    <w:p w14:paraId="4EC108DB">
      <w:pPr>
        <w:spacing w:line="360" w:lineRule="auto"/>
        <w:ind w:firstLine="480" w:firstLineChars="200"/>
        <w:rPr>
          <w:rFonts w:hint="eastAsia" w:ascii="宋体" w:hAnsi="宋体"/>
          <w:sz w:val="24"/>
          <w:szCs w:val="22"/>
        </w:rPr>
      </w:pPr>
      <w:r>
        <w:rPr>
          <w:rFonts w:hint="eastAsia" w:ascii="宋体" w:hAnsi="宋体"/>
          <w:sz w:val="24"/>
          <w:szCs w:val="22"/>
        </w:rPr>
        <w:t>（4</w:t>
      </w:r>
      <w:r>
        <w:rPr>
          <w:rFonts w:ascii="宋体" w:hAnsi="宋体"/>
          <w:sz w:val="24"/>
          <w:szCs w:val="22"/>
        </w:rPr>
        <w:t>）</w:t>
      </w:r>
      <w:r>
        <w:rPr>
          <w:rFonts w:hint="eastAsia" w:ascii="宋体" w:hAnsi="宋体"/>
          <w:sz w:val="24"/>
          <w:szCs w:val="22"/>
        </w:rPr>
        <w:t>北</w:t>
      </w:r>
      <w:r>
        <w:rPr>
          <w:rFonts w:ascii="宋体" w:hAnsi="宋体"/>
          <w:sz w:val="24"/>
          <w:szCs w:val="22"/>
        </w:rPr>
        <w:t>师大版教材介绍</w:t>
      </w:r>
    </w:p>
    <w:p w14:paraId="577C7EB9">
      <w:pPr>
        <w:spacing w:line="360" w:lineRule="auto"/>
        <w:ind w:firstLine="482" w:firstLineChars="200"/>
        <w:rPr>
          <w:rFonts w:ascii="宋体" w:hAnsi="宋体"/>
          <w:b/>
          <w:sz w:val="24"/>
          <w:szCs w:val="22"/>
        </w:rPr>
      </w:pPr>
      <w:r>
        <w:rPr>
          <w:rFonts w:ascii="宋体" w:hAnsi="宋体"/>
          <w:b/>
          <w:sz w:val="24"/>
          <w:szCs w:val="22"/>
        </w:rPr>
        <w:t>2.基本要求</w:t>
      </w:r>
    </w:p>
    <w:p w14:paraId="29F33846">
      <w:pPr>
        <w:spacing w:line="360" w:lineRule="auto"/>
        <w:ind w:left="105" w:leftChars="50" w:firstLine="360" w:firstLineChars="150"/>
        <w:rPr>
          <w:rFonts w:hint="eastAsia" w:ascii="宋体" w:hAnsi="宋体"/>
          <w:sz w:val="24"/>
          <w:szCs w:val="22"/>
        </w:rPr>
      </w:pPr>
      <w:r>
        <w:rPr>
          <w:rFonts w:ascii="宋体" w:hAnsi="宋体"/>
          <w:sz w:val="24"/>
          <w:szCs w:val="22"/>
        </w:rPr>
        <w:t>（1）</w:t>
      </w:r>
      <w:r>
        <w:rPr>
          <w:rFonts w:hint="eastAsia" w:ascii="宋体" w:hAnsi="宋体"/>
          <w:sz w:val="24"/>
          <w:szCs w:val="22"/>
        </w:rPr>
        <w:t>了解教材</w:t>
      </w:r>
      <w:r>
        <w:rPr>
          <w:rFonts w:ascii="宋体" w:hAnsi="宋体"/>
          <w:sz w:val="24"/>
          <w:szCs w:val="22"/>
        </w:rPr>
        <w:t>与教科书的区别，了解教材研制与开发的基本过程</w:t>
      </w:r>
      <w:r>
        <w:rPr>
          <w:rFonts w:hint="eastAsia" w:ascii="宋体" w:hAnsi="宋体"/>
          <w:sz w:val="24"/>
          <w:szCs w:val="22"/>
        </w:rPr>
        <w:t>，了解当今数学教材的使用现状</w:t>
      </w:r>
    </w:p>
    <w:p w14:paraId="74C4D531">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了解各版本</w:t>
      </w:r>
      <w:r>
        <w:rPr>
          <w:rFonts w:ascii="宋体" w:hAnsi="宋体"/>
          <w:sz w:val="24"/>
          <w:szCs w:val="22"/>
        </w:rPr>
        <w:t>教材的</w:t>
      </w:r>
      <w:r>
        <w:rPr>
          <w:rFonts w:hint="eastAsia" w:ascii="宋体" w:hAnsi="宋体"/>
          <w:sz w:val="24"/>
          <w:szCs w:val="22"/>
        </w:rPr>
        <w:t>内容构成</w:t>
      </w:r>
    </w:p>
    <w:p w14:paraId="6023C769">
      <w:pPr>
        <w:spacing w:line="360" w:lineRule="auto"/>
        <w:ind w:firstLine="480" w:firstLineChars="200"/>
        <w:rPr>
          <w:rFonts w:ascii="宋体" w:hAnsi="宋体"/>
          <w:sz w:val="24"/>
          <w:szCs w:val="22"/>
        </w:rPr>
      </w:pPr>
      <w:r>
        <w:rPr>
          <w:rFonts w:hint="eastAsia" w:ascii="宋体" w:hAnsi="宋体"/>
          <w:sz w:val="24"/>
          <w:szCs w:val="22"/>
        </w:rPr>
        <w:t>（3）掌握各</w:t>
      </w:r>
      <w:r>
        <w:rPr>
          <w:rFonts w:ascii="宋体" w:hAnsi="宋体"/>
          <w:sz w:val="24"/>
          <w:szCs w:val="22"/>
        </w:rPr>
        <w:t>版本教材的编写特色</w:t>
      </w:r>
    </w:p>
    <w:p w14:paraId="69BB7DAD">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6947282F">
      <w:pPr>
        <w:spacing w:line="360" w:lineRule="auto"/>
        <w:ind w:firstLine="480" w:firstLineChars="200"/>
        <w:rPr>
          <w:rFonts w:hint="eastAsia" w:ascii="宋体" w:hAnsi="宋体"/>
          <w:sz w:val="24"/>
          <w:szCs w:val="22"/>
        </w:rPr>
      </w:pPr>
      <w:r>
        <w:rPr>
          <w:rFonts w:hint="eastAsia" w:ascii="宋体" w:hAnsi="宋体"/>
          <w:sz w:val="24"/>
          <w:szCs w:val="22"/>
        </w:rPr>
        <w:t>（1）了解中国灿烂的数学教材文化，数学文化</w:t>
      </w:r>
      <w:r>
        <w:rPr>
          <w:rFonts w:ascii="宋体" w:hAnsi="宋体"/>
          <w:sz w:val="24"/>
          <w:szCs w:val="22"/>
        </w:rPr>
        <w:t>自信和民族自豪</w:t>
      </w:r>
      <w:r>
        <w:rPr>
          <w:rFonts w:hint="eastAsia" w:ascii="宋体" w:hAnsi="宋体"/>
          <w:sz w:val="24"/>
          <w:szCs w:val="22"/>
        </w:rPr>
        <w:t>感。</w:t>
      </w:r>
    </w:p>
    <w:p w14:paraId="15F25F81">
      <w:pPr>
        <w:spacing w:line="360" w:lineRule="auto"/>
        <w:ind w:firstLine="480" w:firstLineChars="200"/>
        <w:rPr>
          <w:rFonts w:hint="eastAsia" w:ascii="宋体" w:hAnsi="宋体"/>
          <w:sz w:val="24"/>
          <w:szCs w:val="22"/>
        </w:rPr>
      </w:pPr>
      <w:r>
        <w:rPr>
          <w:rFonts w:hint="eastAsia" w:ascii="宋体" w:hAnsi="宋体"/>
          <w:sz w:val="24"/>
          <w:szCs w:val="22"/>
        </w:rPr>
        <w:t>（2）树立着眼于</w:t>
      </w:r>
      <w:r>
        <w:rPr>
          <w:rFonts w:ascii="宋体" w:hAnsi="宋体"/>
          <w:sz w:val="24"/>
          <w:szCs w:val="22"/>
        </w:rPr>
        <w:t>“立德树人”的</w:t>
      </w:r>
      <w:r>
        <w:rPr>
          <w:rFonts w:hint="eastAsia" w:ascii="宋体" w:hAnsi="宋体"/>
          <w:sz w:val="24"/>
          <w:szCs w:val="22"/>
        </w:rPr>
        <w:t>教材开发</w:t>
      </w:r>
      <w:r>
        <w:rPr>
          <w:rFonts w:ascii="宋体" w:hAnsi="宋体"/>
          <w:sz w:val="24"/>
          <w:szCs w:val="22"/>
        </w:rPr>
        <w:t>和利用意识。</w:t>
      </w:r>
    </w:p>
    <w:p w14:paraId="38C51F8F">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了解各</w:t>
      </w:r>
      <w:r>
        <w:rPr>
          <w:rFonts w:ascii="宋体" w:hAnsi="宋体"/>
          <w:sz w:val="24"/>
          <w:szCs w:val="22"/>
        </w:rPr>
        <w:t>版本教材内容</w:t>
      </w:r>
      <w:r>
        <w:rPr>
          <w:rFonts w:hint="eastAsia" w:ascii="宋体" w:hAnsi="宋体"/>
          <w:sz w:val="24"/>
          <w:szCs w:val="22"/>
        </w:rPr>
        <w:t>的逻辑</w:t>
      </w:r>
      <w:r>
        <w:rPr>
          <w:rFonts w:ascii="宋体" w:hAnsi="宋体"/>
          <w:sz w:val="24"/>
          <w:szCs w:val="22"/>
        </w:rPr>
        <w:t>结构</w:t>
      </w:r>
    </w:p>
    <w:p w14:paraId="532BE878">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掌握各</w:t>
      </w:r>
      <w:r>
        <w:rPr>
          <w:rFonts w:ascii="宋体" w:hAnsi="宋体"/>
          <w:sz w:val="24"/>
          <w:szCs w:val="22"/>
        </w:rPr>
        <w:t>版本教材的特色</w:t>
      </w:r>
    </w:p>
    <w:p w14:paraId="59D6CBA6">
      <w:pPr>
        <w:spacing w:line="360" w:lineRule="auto"/>
        <w:ind w:firstLine="361" w:firstLineChars="150"/>
        <w:outlineLvl w:val="0"/>
        <w:rPr>
          <w:rFonts w:hint="eastAsia" w:ascii="宋体" w:hAnsi="宋体"/>
          <w:b/>
          <w:sz w:val="24"/>
          <w:szCs w:val="22"/>
        </w:rPr>
      </w:pPr>
      <w:r>
        <w:rPr>
          <w:rFonts w:hint="eastAsia" w:ascii="宋体" w:hAnsi="宋体"/>
          <w:b/>
          <w:sz w:val="24"/>
          <w:szCs w:val="22"/>
        </w:rPr>
        <w:t>（五）“数与代数”内容与教材分析（本模块各知识点的讲授与学习，可以支撑课程目标</w:t>
      </w:r>
      <w:r>
        <w:rPr>
          <w:rFonts w:ascii="宋体" w:hAnsi="宋体"/>
          <w:b/>
          <w:sz w:val="24"/>
          <w:szCs w:val="22"/>
        </w:rPr>
        <w:t>4</w:t>
      </w:r>
      <w:r>
        <w:rPr>
          <w:rFonts w:hint="eastAsia" w:ascii="宋体" w:hAnsi="宋体"/>
          <w:b/>
          <w:sz w:val="24"/>
          <w:szCs w:val="22"/>
        </w:rPr>
        <w:t>、</w:t>
      </w:r>
      <w:r>
        <w:rPr>
          <w:rFonts w:ascii="宋体" w:hAnsi="宋体"/>
          <w:b/>
          <w:sz w:val="24"/>
          <w:szCs w:val="22"/>
        </w:rPr>
        <w:t>课程目标5</w:t>
      </w:r>
      <w:r>
        <w:rPr>
          <w:rFonts w:hint="eastAsia" w:ascii="宋体" w:hAnsi="宋体"/>
          <w:b/>
          <w:sz w:val="24"/>
          <w:szCs w:val="22"/>
        </w:rPr>
        <w:t>）</w:t>
      </w:r>
    </w:p>
    <w:p w14:paraId="47D6C004">
      <w:pPr>
        <w:spacing w:line="360" w:lineRule="auto"/>
        <w:ind w:firstLine="482" w:firstLineChars="200"/>
        <w:rPr>
          <w:rFonts w:ascii="宋体" w:hAnsi="宋体"/>
          <w:b/>
          <w:sz w:val="24"/>
          <w:szCs w:val="22"/>
        </w:rPr>
      </w:pPr>
      <w:r>
        <w:rPr>
          <w:rFonts w:ascii="宋体" w:hAnsi="宋体"/>
          <w:b/>
          <w:sz w:val="24"/>
          <w:szCs w:val="22"/>
        </w:rPr>
        <w:t>1.教学内容</w:t>
      </w:r>
    </w:p>
    <w:p w14:paraId="26731CC9">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“整数</w:t>
      </w:r>
      <w:r>
        <w:rPr>
          <w:rFonts w:ascii="宋体" w:hAnsi="宋体"/>
          <w:sz w:val="24"/>
          <w:szCs w:val="22"/>
        </w:rPr>
        <w:t>的认识与运算</w:t>
      </w:r>
      <w:r>
        <w:rPr>
          <w:rFonts w:hint="eastAsia" w:ascii="宋体" w:hAnsi="宋体"/>
          <w:sz w:val="24"/>
          <w:szCs w:val="22"/>
        </w:rPr>
        <w:t>”</w:t>
      </w:r>
      <w:r>
        <w:rPr>
          <w:rFonts w:ascii="宋体" w:hAnsi="宋体"/>
          <w:sz w:val="24"/>
          <w:szCs w:val="22"/>
        </w:rPr>
        <w:t>内容与教材分析</w:t>
      </w:r>
    </w:p>
    <w:p w14:paraId="178FFCF8">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“小数的</w:t>
      </w:r>
      <w:r>
        <w:rPr>
          <w:rFonts w:ascii="宋体" w:hAnsi="宋体"/>
          <w:sz w:val="24"/>
          <w:szCs w:val="22"/>
        </w:rPr>
        <w:t>认识与运算</w:t>
      </w:r>
      <w:r>
        <w:rPr>
          <w:rFonts w:hint="eastAsia" w:ascii="宋体" w:hAnsi="宋体"/>
          <w:sz w:val="24"/>
          <w:szCs w:val="22"/>
        </w:rPr>
        <w:t>”内容与教材</w:t>
      </w:r>
      <w:r>
        <w:rPr>
          <w:rFonts w:ascii="宋体" w:hAnsi="宋体"/>
          <w:sz w:val="24"/>
          <w:szCs w:val="22"/>
        </w:rPr>
        <w:t>分析</w:t>
      </w:r>
    </w:p>
    <w:p w14:paraId="73A6C2C3">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3“分数</w:t>
      </w:r>
      <w:r>
        <w:rPr>
          <w:rFonts w:ascii="宋体" w:hAnsi="宋体"/>
          <w:sz w:val="24"/>
          <w:szCs w:val="22"/>
        </w:rPr>
        <w:t>的认识与运算</w:t>
      </w:r>
      <w:r>
        <w:rPr>
          <w:rFonts w:hint="eastAsia" w:ascii="宋体" w:hAnsi="宋体"/>
          <w:sz w:val="24"/>
          <w:szCs w:val="22"/>
        </w:rPr>
        <w:t>”</w:t>
      </w:r>
      <w:r>
        <w:rPr>
          <w:rFonts w:ascii="宋体" w:hAnsi="宋体"/>
          <w:sz w:val="24"/>
          <w:szCs w:val="22"/>
        </w:rPr>
        <w:t>内容与教材分析</w:t>
      </w:r>
    </w:p>
    <w:p w14:paraId="0563C6AE">
      <w:pPr>
        <w:spacing w:line="360" w:lineRule="auto"/>
        <w:ind w:firstLine="480" w:firstLineChars="200"/>
        <w:rPr>
          <w:rFonts w:ascii="宋体" w:hAnsi="宋体"/>
          <w:sz w:val="24"/>
          <w:szCs w:val="22"/>
        </w:rPr>
      </w:pPr>
      <w:r>
        <w:rPr>
          <w:rFonts w:hint="eastAsia" w:ascii="宋体" w:hAnsi="宋体"/>
          <w:sz w:val="24"/>
          <w:szCs w:val="22"/>
        </w:rPr>
        <w:t>（4）“式</w:t>
      </w:r>
      <w:r>
        <w:rPr>
          <w:rFonts w:ascii="宋体" w:hAnsi="宋体"/>
          <w:sz w:val="24"/>
          <w:szCs w:val="22"/>
        </w:rPr>
        <w:t>与议程</w:t>
      </w:r>
      <w:r>
        <w:rPr>
          <w:rFonts w:hint="eastAsia" w:ascii="宋体" w:hAnsi="宋体"/>
          <w:sz w:val="24"/>
          <w:szCs w:val="22"/>
        </w:rPr>
        <w:t>、</w:t>
      </w:r>
      <w:r>
        <w:rPr>
          <w:rFonts w:ascii="宋体" w:hAnsi="宋体"/>
          <w:sz w:val="24"/>
          <w:szCs w:val="22"/>
        </w:rPr>
        <w:t>正反比例</w:t>
      </w:r>
      <w:r>
        <w:rPr>
          <w:rFonts w:hint="eastAsia" w:ascii="宋体" w:hAnsi="宋体"/>
          <w:sz w:val="24"/>
          <w:szCs w:val="22"/>
        </w:rPr>
        <w:t>”</w:t>
      </w:r>
      <w:r>
        <w:rPr>
          <w:rFonts w:ascii="宋体" w:hAnsi="宋体"/>
          <w:sz w:val="24"/>
          <w:szCs w:val="22"/>
        </w:rPr>
        <w:t>内容与教材分析</w:t>
      </w:r>
    </w:p>
    <w:p w14:paraId="1B73906B">
      <w:pPr>
        <w:spacing w:line="360" w:lineRule="auto"/>
        <w:ind w:firstLine="480" w:firstLineChars="200"/>
        <w:rPr>
          <w:rFonts w:hint="eastAsia" w:ascii="宋体" w:hAnsi="宋体"/>
          <w:sz w:val="24"/>
          <w:szCs w:val="22"/>
        </w:rPr>
      </w:pPr>
      <w:r>
        <w:rPr>
          <w:rFonts w:hint="eastAsia" w:ascii="宋体" w:hAnsi="宋体"/>
          <w:sz w:val="24"/>
          <w:szCs w:val="22"/>
        </w:rPr>
        <w:t>（5）“常见</w:t>
      </w:r>
      <w:r>
        <w:rPr>
          <w:rFonts w:ascii="宋体" w:hAnsi="宋体"/>
          <w:sz w:val="24"/>
          <w:szCs w:val="22"/>
        </w:rPr>
        <w:t>的量与探索规律</w:t>
      </w:r>
      <w:r>
        <w:rPr>
          <w:rFonts w:hint="eastAsia" w:ascii="宋体" w:hAnsi="宋体"/>
          <w:sz w:val="24"/>
          <w:szCs w:val="22"/>
        </w:rPr>
        <w:t>”</w:t>
      </w:r>
      <w:r>
        <w:rPr>
          <w:rFonts w:ascii="宋体" w:hAnsi="宋体"/>
          <w:sz w:val="24"/>
          <w:szCs w:val="22"/>
        </w:rPr>
        <w:t>内容与教材分析</w:t>
      </w:r>
    </w:p>
    <w:p w14:paraId="5F84BC1A">
      <w:pPr>
        <w:spacing w:line="360" w:lineRule="auto"/>
        <w:ind w:firstLine="482" w:firstLineChars="200"/>
        <w:rPr>
          <w:rFonts w:ascii="宋体" w:hAnsi="宋体"/>
          <w:b/>
          <w:sz w:val="24"/>
          <w:szCs w:val="22"/>
        </w:rPr>
      </w:pPr>
      <w:r>
        <w:rPr>
          <w:rFonts w:ascii="宋体" w:hAnsi="宋体"/>
          <w:b/>
          <w:sz w:val="24"/>
          <w:szCs w:val="22"/>
        </w:rPr>
        <w:t>2.基本要求</w:t>
      </w:r>
    </w:p>
    <w:p w14:paraId="260C790F">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w:t>
      </w:r>
      <w:r>
        <w:rPr>
          <w:rFonts w:ascii="宋体" w:hAnsi="宋体"/>
          <w:sz w:val="24"/>
          <w:szCs w:val="22"/>
        </w:rPr>
        <w:t>整数、小</w:t>
      </w:r>
      <w:r>
        <w:rPr>
          <w:rFonts w:hint="eastAsia" w:ascii="宋体" w:hAnsi="宋体"/>
          <w:sz w:val="24"/>
          <w:szCs w:val="22"/>
        </w:rPr>
        <w:t>数</w:t>
      </w:r>
      <w:r>
        <w:rPr>
          <w:rFonts w:ascii="宋体" w:hAnsi="宋体"/>
          <w:sz w:val="24"/>
          <w:szCs w:val="22"/>
        </w:rPr>
        <w:t>、分数</w:t>
      </w:r>
      <w:r>
        <w:rPr>
          <w:rFonts w:hint="eastAsia" w:ascii="宋体" w:hAnsi="宋体"/>
          <w:sz w:val="24"/>
          <w:szCs w:val="22"/>
        </w:rPr>
        <w:t>的</w:t>
      </w:r>
      <w:r>
        <w:rPr>
          <w:rFonts w:ascii="宋体" w:hAnsi="宋体"/>
          <w:sz w:val="24"/>
          <w:szCs w:val="22"/>
        </w:rPr>
        <w:t>内容安排，</w:t>
      </w:r>
      <w:r>
        <w:rPr>
          <w:rFonts w:hint="eastAsia" w:ascii="宋体" w:hAnsi="宋体"/>
          <w:sz w:val="24"/>
          <w:szCs w:val="22"/>
        </w:rPr>
        <w:t>理解</w:t>
      </w:r>
      <w:r>
        <w:rPr>
          <w:rFonts w:ascii="宋体" w:hAnsi="宋体"/>
          <w:sz w:val="24"/>
          <w:szCs w:val="22"/>
        </w:rPr>
        <w:t>整数、小</w:t>
      </w:r>
      <w:r>
        <w:rPr>
          <w:rFonts w:hint="eastAsia" w:ascii="宋体" w:hAnsi="宋体"/>
          <w:sz w:val="24"/>
          <w:szCs w:val="22"/>
        </w:rPr>
        <w:t>数</w:t>
      </w:r>
      <w:r>
        <w:rPr>
          <w:rFonts w:ascii="宋体" w:hAnsi="宋体"/>
          <w:sz w:val="24"/>
          <w:szCs w:val="22"/>
        </w:rPr>
        <w:t>、分数的意义</w:t>
      </w:r>
      <w:r>
        <w:rPr>
          <w:rFonts w:hint="eastAsia" w:ascii="宋体" w:hAnsi="宋体"/>
          <w:sz w:val="24"/>
          <w:szCs w:val="22"/>
        </w:rPr>
        <w:t>，掌握</w:t>
      </w:r>
      <w:r>
        <w:rPr>
          <w:rFonts w:ascii="宋体" w:hAnsi="宋体"/>
          <w:sz w:val="24"/>
          <w:szCs w:val="22"/>
        </w:rPr>
        <w:t>整数、小</w:t>
      </w:r>
      <w:r>
        <w:rPr>
          <w:rFonts w:hint="eastAsia" w:ascii="宋体" w:hAnsi="宋体"/>
          <w:sz w:val="24"/>
          <w:szCs w:val="22"/>
        </w:rPr>
        <w:t>数</w:t>
      </w:r>
      <w:r>
        <w:rPr>
          <w:rFonts w:ascii="宋体" w:hAnsi="宋体"/>
          <w:sz w:val="24"/>
          <w:szCs w:val="22"/>
        </w:rPr>
        <w:t>、分数</w:t>
      </w:r>
      <w:r>
        <w:rPr>
          <w:rFonts w:hint="eastAsia" w:ascii="宋体" w:hAnsi="宋体"/>
          <w:sz w:val="24"/>
          <w:szCs w:val="22"/>
        </w:rPr>
        <w:t>运算的算</w:t>
      </w:r>
      <w:r>
        <w:rPr>
          <w:rFonts w:ascii="宋体" w:hAnsi="宋体"/>
          <w:sz w:val="24"/>
          <w:szCs w:val="22"/>
        </w:rPr>
        <w:t>理</w:t>
      </w:r>
    </w:p>
    <w:p w14:paraId="2D260015">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了解式与议程、正反比例、常见</w:t>
      </w:r>
      <w:r>
        <w:rPr>
          <w:rFonts w:ascii="宋体" w:hAnsi="宋体"/>
          <w:sz w:val="24"/>
          <w:szCs w:val="22"/>
        </w:rPr>
        <w:t>的量与探索规律</w:t>
      </w:r>
      <w:r>
        <w:rPr>
          <w:rFonts w:hint="eastAsia" w:ascii="宋体" w:hAnsi="宋体"/>
          <w:sz w:val="24"/>
          <w:szCs w:val="22"/>
        </w:rPr>
        <w:t>的</w:t>
      </w:r>
      <w:r>
        <w:rPr>
          <w:rFonts w:ascii="宋体" w:hAnsi="宋体"/>
          <w:sz w:val="24"/>
          <w:szCs w:val="22"/>
        </w:rPr>
        <w:t>内容安排，</w:t>
      </w:r>
      <w:r>
        <w:rPr>
          <w:rFonts w:hint="eastAsia" w:ascii="宋体" w:hAnsi="宋体"/>
          <w:sz w:val="24"/>
          <w:szCs w:val="22"/>
        </w:rPr>
        <w:t>理解式与议程、正反比例、常见</w:t>
      </w:r>
      <w:r>
        <w:rPr>
          <w:rFonts w:ascii="宋体" w:hAnsi="宋体"/>
          <w:sz w:val="24"/>
          <w:szCs w:val="22"/>
        </w:rPr>
        <w:t>的量</w:t>
      </w:r>
      <w:r>
        <w:rPr>
          <w:rFonts w:hint="eastAsia" w:ascii="宋体" w:hAnsi="宋体"/>
          <w:sz w:val="24"/>
          <w:szCs w:val="22"/>
        </w:rPr>
        <w:t>与、</w:t>
      </w:r>
      <w:r>
        <w:rPr>
          <w:rFonts w:ascii="宋体" w:hAnsi="宋体"/>
          <w:sz w:val="24"/>
          <w:szCs w:val="22"/>
        </w:rPr>
        <w:t>探索规律</w:t>
      </w:r>
      <w:r>
        <w:rPr>
          <w:rFonts w:hint="eastAsia" w:ascii="宋体" w:hAnsi="宋体"/>
          <w:sz w:val="24"/>
          <w:szCs w:val="22"/>
        </w:rPr>
        <w:t>的意义</w:t>
      </w:r>
    </w:p>
    <w:p w14:paraId="66570DA4">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w:t>
      </w:r>
      <w:r>
        <w:rPr>
          <w:rFonts w:ascii="宋体" w:hAnsi="宋体"/>
          <w:sz w:val="24"/>
          <w:szCs w:val="22"/>
        </w:rPr>
        <w:t>进行教学内容分析并进行教学设计</w:t>
      </w:r>
    </w:p>
    <w:p w14:paraId="0EF1521F">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1F122EEE">
      <w:pPr>
        <w:spacing w:line="360" w:lineRule="auto"/>
        <w:ind w:firstLine="480" w:firstLineChars="200"/>
        <w:rPr>
          <w:rFonts w:hint="eastAsia" w:ascii="宋体" w:hAnsi="宋体"/>
          <w:sz w:val="24"/>
          <w:szCs w:val="22"/>
        </w:rPr>
      </w:pPr>
      <w:r>
        <w:rPr>
          <w:rFonts w:hint="eastAsia" w:ascii="宋体" w:hAnsi="宋体"/>
          <w:sz w:val="24"/>
          <w:szCs w:val="22"/>
        </w:rPr>
        <w:t>（1）了解“数与</w:t>
      </w:r>
      <w:r>
        <w:rPr>
          <w:rFonts w:ascii="宋体" w:hAnsi="宋体"/>
          <w:sz w:val="24"/>
          <w:szCs w:val="22"/>
        </w:rPr>
        <w:t>代数”教学内容</w:t>
      </w:r>
      <w:r>
        <w:rPr>
          <w:rFonts w:hint="eastAsia" w:ascii="宋体" w:hAnsi="宋体"/>
          <w:sz w:val="24"/>
          <w:szCs w:val="22"/>
        </w:rPr>
        <w:t>中</w:t>
      </w:r>
      <w:r>
        <w:rPr>
          <w:rFonts w:ascii="宋体" w:hAnsi="宋体"/>
          <w:sz w:val="24"/>
          <w:szCs w:val="22"/>
        </w:rPr>
        <w:t>蕴含的数学思想与文化</w:t>
      </w:r>
      <w:r>
        <w:rPr>
          <w:rFonts w:hint="eastAsia" w:ascii="宋体" w:hAnsi="宋体"/>
          <w:sz w:val="24"/>
          <w:szCs w:val="22"/>
        </w:rPr>
        <w:t>，增强文化自信。</w:t>
      </w:r>
    </w:p>
    <w:p w14:paraId="2839BAB5">
      <w:pPr>
        <w:spacing w:line="360" w:lineRule="auto"/>
        <w:ind w:firstLine="480" w:firstLineChars="200"/>
        <w:rPr>
          <w:rFonts w:ascii="宋体" w:hAnsi="宋体"/>
          <w:sz w:val="24"/>
          <w:szCs w:val="22"/>
        </w:rPr>
      </w:pPr>
      <w:r>
        <w:rPr>
          <w:rFonts w:hint="eastAsia" w:ascii="宋体" w:hAnsi="宋体"/>
          <w:sz w:val="24"/>
          <w:szCs w:val="22"/>
        </w:rPr>
        <w:t>（2）激发参与数学教学改革的热情，增强社会现任</w:t>
      </w:r>
      <w:r>
        <w:rPr>
          <w:rFonts w:ascii="宋体" w:hAnsi="宋体"/>
          <w:sz w:val="24"/>
          <w:szCs w:val="22"/>
        </w:rPr>
        <w:t>感</w:t>
      </w:r>
      <w:r>
        <w:rPr>
          <w:rFonts w:hint="eastAsia" w:ascii="宋体" w:hAnsi="宋体"/>
          <w:sz w:val="24"/>
          <w:szCs w:val="22"/>
        </w:rPr>
        <w:t>。</w:t>
      </w:r>
    </w:p>
    <w:p w14:paraId="6C0A42DE">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理解小学数学教材中“数</w:t>
      </w:r>
      <w:r>
        <w:rPr>
          <w:rFonts w:ascii="宋体" w:hAnsi="宋体"/>
          <w:sz w:val="24"/>
          <w:szCs w:val="22"/>
        </w:rPr>
        <w:t>与代数”</w:t>
      </w:r>
      <w:r>
        <w:rPr>
          <w:rFonts w:hint="eastAsia" w:ascii="宋体" w:hAnsi="宋体"/>
          <w:sz w:val="24"/>
          <w:szCs w:val="22"/>
        </w:rPr>
        <w:t>相关</w:t>
      </w:r>
      <w:r>
        <w:rPr>
          <w:rFonts w:ascii="宋体" w:hAnsi="宋体"/>
          <w:sz w:val="24"/>
          <w:szCs w:val="22"/>
        </w:rPr>
        <w:t>内容</w:t>
      </w:r>
      <w:r>
        <w:rPr>
          <w:rFonts w:hint="eastAsia" w:ascii="宋体" w:hAnsi="宋体"/>
          <w:sz w:val="24"/>
          <w:szCs w:val="22"/>
        </w:rPr>
        <w:t>安排</w:t>
      </w:r>
      <w:r>
        <w:rPr>
          <w:rFonts w:ascii="宋体" w:hAnsi="宋体"/>
          <w:sz w:val="24"/>
          <w:szCs w:val="22"/>
        </w:rPr>
        <w:t>及意义</w:t>
      </w:r>
    </w:p>
    <w:p w14:paraId="6D0ED510">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能够独立进行“</w:t>
      </w:r>
      <w:r>
        <w:rPr>
          <w:rFonts w:ascii="宋体" w:hAnsi="宋体"/>
          <w:sz w:val="24"/>
          <w:szCs w:val="22"/>
        </w:rPr>
        <w:t>数与代数</w:t>
      </w:r>
      <w:r>
        <w:rPr>
          <w:rFonts w:hint="eastAsia" w:ascii="宋体" w:hAnsi="宋体"/>
          <w:sz w:val="24"/>
          <w:szCs w:val="22"/>
        </w:rPr>
        <w:t>”教学内容分析并进行教学设计</w:t>
      </w:r>
    </w:p>
    <w:p w14:paraId="5BD4AEF7">
      <w:pPr>
        <w:spacing w:line="360" w:lineRule="auto"/>
        <w:ind w:firstLine="482" w:firstLineChars="200"/>
        <w:outlineLvl w:val="0"/>
        <w:rPr>
          <w:rFonts w:hint="eastAsia" w:ascii="宋体" w:hAnsi="宋体"/>
          <w:b/>
          <w:sz w:val="24"/>
          <w:szCs w:val="22"/>
        </w:rPr>
      </w:pPr>
      <w:r>
        <w:rPr>
          <w:rFonts w:hint="eastAsia" w:ascii="宋体" w:hAnsi="宋体"/>
          <w:b/>
          <w:sz w:val="24"/>
          <w:szCs w:val="22"/>
        </w:rPr>
        <w:t>（六）“图形与几何”内容与教材分析（本模块各知识点的讲授与学习，可以支撑课程目标4、课程目标5）</w:t>
      </w:r>
    </w:p>
    <w:p w14:paraId="109312EC">
      <w:pPr>
        <w:spacing w:line="360" w:lineRule="auto"/>
        <w:ind w:firstLine="482" w:firstLineChars="200"/>
        <w:rPr>
          <w:rFonts w:ascii="宋体" w:hAnsi="宋体"/>
          <w:b/>
          <w:sz w:val="24"/>
          <w:szCs w:val="22"/>
        </w:rPr>
      </w:pPr>
      <w:r>
        <w:rPr>
          <w:rFonts w:ascii="宋体" w:hAnsi="宋体"/>
          <w:b/>
          <w:sz w:val="24"/>
          <w:szCs w:val="22"/>
        </w:rPr>
        <w:t>1.教学内容</w:t>
      </w:r>
    </w:p>
    <w:p w14:paraId="589ECEF5">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“图形</w:t>
      </w:r>
      <w:r>
        <w:rPr>
          <w:rFonts w:ascii="宋体" w:hAnsi="宋体"/>
          <w:sz w:val="24"/>
          <w:szCs w:val="22"/>
        </w:rPr>
        <w:t>的认识</w:t>
      </w:r>
      <w:r>
        <w:rPr>
          <w:rFonts w:hint="eastAsia" w:ascii="宋体" w:hAnsi="宋体"/>
          <w:sz w:val="24"/>
          <w:szCs w:val="22"/>
        </w:rPr>
        <w:t>”</w:t>
      </w:r>
      <w:r>
        <w:rPr>
          <w:rFonts w:ascii="宋体" w:hAnsi="宋体"/>
          <w:sz w:val="24"/>
          <w:szCs w:val="22"/>
        </w:rPr>
        <w:t>内容与教材分析</w:t>
      </w:r>
    </w:p>
    <w:p w14:paraId="38EF54FA">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“测量”</w:t>
      </w:r>
      <w:r>
        <w:rPr>
          <w:rFonts w:ascii="宋体" w:hAnsi="宋体"/>
          <w:sz w:val="24"/>
          <w:szCs w:val="22"/>
        </w:rPr>
        <w:t>内容与教材分析</w:t>
      </w:r>
    </w:p>
    <w:p w14:paraId="2B4D78A8">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“图形</w:t>
      </w:r>
      <w:r>
        <w:rPr>
          <w:rFonts w:ascii="宋体" w:hAnsi="宋体"/>
          <w:sz w:val="24"/>
          <w:szCs w:val="22"/>
        </w:rPr>
        <w:t>的运动</w:t>
      </w:r>
      <w:r>
        <w:rPr>
          <w:rFonts w:hint="eastAsia" w:ascii="宋体" w:hAnsi="宋体"/>
          <w:sz w:val="24"/>
          <w:szCs w:val="22"/>
        </w:rPr>
        <w:t>”</w:t>
      </w:r>
      <w:r>
        <w:rPr>
          <w:rFonts w:ascii="宋体" w:hAnsi="宋体"/>
          <w:sz w:val="24"/>
          <w:szCs w:val="22"/>
        </w:rPr>
        <w:t>内容与教材分析</w:t>
      </w:r>
    </w:p>
    <w:p w14:paraId="339D006D">
      <w:pPr>
        <w:spacing w:line="360" w:lineRule="auto"/>
        <w:ind w:firstLine="480" w:firstLineChars="200"/>
        <w:rPr>
          <w:rFonts w:hint="eastAsia" w:ascii="宋体" w:hAnsi="宋体"/>
          <w:sz w:val="24"/>
          <w:szCs w:val="22"/>
        </w:rPr>
      </w:pPr>
      <w:r>
        <w:rPr>
          <w:rFonts w:hint="eastAsia" w:ascii="宋体" w:hAnsi="宋体"/>
          <w:sz w:val="24"/>
          <w:szCs w:val="22"/>
        </w:rPr>
        <w:t>（4）“图形</w:t>
      </w:r>
      <w:r>
        <w:rPr>
          <w:rFonts w:ascii="宋体" w:hAnsi="宋体"/>
          <w:sz w:val="24"/>
          <w:szCs w:val="22"/>
        </w:rPr>
        <w:t>与位置</w:t>
      </w:r>
      <w:r>
        <w:rPr>
          <w:rFonts w:hint="eastAsia" w:ascii="宋体" w:hAnsi="宋体"/>
          <w:sz w:val="24"/>
          <w:szCs w:val="22"/>
        </w:rPr>
        <w:t>”</w:t>
      </w:r>
      <w:r>
        <w:rPr>
          <w:rFonts w:ascii="宋体" w:hAnsi="宋体"/>
          <w:sz w:val="24"/>
          <w:szCs w:val="22"/>
        </w:rPr>
        <w:t>内容与教材分析</w:t>
      </w:r>
    </w:p>
    <w:p w14:paraId="66708EB6">
      <w:pPr>
        <w:spacing w:line="360" w:lineRule="auto"/>
        <w:ind w:firstLine="482" w:firstLineChars="200"/>
        <w:rPr>
          <w:rFonts w:ascii="宋体" w:hAnsi="宋体"/>
          <w:b/>
          <w:sz w:val="24"/>
          <w:szCs w:val="22"/>
        </w:rPr>
      </w:pPr>
      <w:r>
        <w:rPr>
          <w:rFonts w:ascii="宋体" w:hAnsi="宋体"/>
          <w:b/>
          <w:sz w:val="24"/>
          <w:szCs w:val="22"/>
        </w:rPr>
        <w:t>2.基本要求</w:t>
      </w:r>
    </w:p>
    <w:p w14:paraId="39A57414">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理解《数学</w:t>
      </w:r>
      <w:r>
        <w:rPr>
          <w:rFonts w:ascii="宋体" w:hAnsi="宋体"/>
          <w:sz w:val="24"/>
          <w:szCs w:val="22"/>
        </w:rPr>
        <w:t>课程标准》</w:t>
      </w:r>
      <w:r>
        <w:rPr>
          <w:rFonts w:hint="eastAsia" w:ascii="宋体" w:hAnsi="宋体"/>
          <w:sz w:val="24"/>
          <w:szCs w:val="22"/>
        </w:rPr>
        <w:t>中关于“图形</w:t>
      </w:r>
      <w:r>
        <w:rPr>
          <w:rFonts w:ascii="宋体" w:hAnsi="宋体"/>
          <w:sz w:val="24"/>
          <w:szCs w:val="22"/>
        </w:rPr>
        <w:t>的认识</w:t>
      </w:r>
      <w:r>
        <w:rPr>
          <w:rFonts w:hint="eastAsia" w:ascii="宋体" w:hAnsi="宋体"/>
          <w:sz w:val="24"/>
          <w:szCs w:val="22"/>
        </w:rPr>
        <w:t>”、“测量”、“图形</w:t>
      </w:r>
      <w:r>
        <w:rPr>
          <w:rFonts w:ascii="宋体" w:hAnsi="宋体"/>
          <w:sz w:val="24"/>
          <w:szCs w:val="22"/>
        </w:rPr>
        <w:t>的运动</w:t>
      </w:r>
      <w:r>
        <w:rPr>
          <w:rFonts w:hint="eastAsia" w:ascii="宋体" w:hAnsi="宋体"/>
          <w:sz w:val="24"/>
          <w:szCs w:val="22"/>
        </w:rPr>
        <w:t>”、“图形</w:t>
      </w:r>
      <w:r>
        <w:rPr>
          <w:rFonts w:ascii="宋体" w:hAnsi="宋体"/>
          <w:sz w:val="24"/>
          <w:szCs w:val="22"/>
        </w:rPr>
        <w:t>与位置</w:t>
      </w:r>
      <w:r>
        <w:rPr>
          <w:rFonts w:hint="eastAsia" w:ascii="宋体" w:hAnsi="宋体"/>
          <w:sz w:val="24"/>
          <w:szCs w:val="22"/>
        </w:rPr>
        <w:t>”等</w:t>
      </w:r>
      <w:r>
        <w:rPr>
          <w:rFonts w:ascii="宋体" w:hAnsi="宋体"/>
          <w:sz w:val="24"/>
          <w:szCs w:val="22"/>
        </w:rPr>
        <w:t>内容</w:t>
      </w:r>
      <w:r>
        <w:rPr>
          <w:rFonts w:hint="eastAsia" w:ascii="宋体" w:hAnsi="宋体"/>
          <w:sz w:val="24"/>
          <w:szCs w:val="22"/>
        </w:rPr>
        <w:t>的</w:t>
      </w:r>
      <w:r>
        <w:rPr>
          <w:rFonts w:ascii="宋体" w:hAnsi="宋体"/>
          <w:sz w:val="24"/>
          <w:szCs w:val="22"/>
        </w:rPr>
        <w:t>要求</w:t>
      </w:r>
    </w:p>
    <w:p w14:paraId="6255881F">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理解小学数学教材中“图形的认识”、“测量”、“图形的运动”、“图形与位置”等内容的编排及意义</w:t>
      </w:r>
    </w:p>
    <w:p w14:paraId="6D40C11D">
      <w:pPr>
        <w:spacing w:line="360" w:lineRule="auto"/>
        <w:ind w:firstLine="480" w:firstLineChars="200"/>
        <w:rPr>
          <w:rFonts w:hint="eastAsia" w:ascii="宋体" w:hAnsi="宋体"/>
          <w:sz w:val="24"/>
          <w:szCs w:val="22"/>
        </w:rPr>
      </w:pPr>
      <w:r>
        <w:rPr>
          <w:rFonts w:hint="eastAsia" w:ascii="宋体" w:hAnsi="宋体"/>
          <w:sz w:val="24"/>
          <w:szCs w:val="22"/>
        </w:rPr>
        <w:t>（3）能够独立进行“图形与几何”教学内容分析并进行教学设计</w:t>
      </w:r>
    </w:p>
    <w:p w14:paraId="54B1502D">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46767F51">
      <w:pPr>
        <w:spacing w:line="360" w:lineRule="auto"/>
        <w:ind w:firstLine="480" w:firstLineChars="200"/>
        <w:rPr>
          <w:rFonts w:hint="eastAsia" w:ascii="宋体" w:hAnsi="宋体"/>
          <w:sz w:val="24"/>
          <w:szCs w:val="22"/>
        </w:rPr>
      </w:pPr>
      <w:r>
        <w:rPr>
          <w:rFonts w:hint="eastAsia" w:ascii="宋体" w:hAnsi="宋体"/>
          <w:sz w:val="24"/>
          <w:szCs w:val="22"/>
        </w:rPr>
        <w:t>（1）了解“图形与几何</w:t>
      </w:r>
      <w:r>
        <w:rPr>
          <w:rFonts w:ascii="宋体" w:hAnsi="宋体"/>
          <w:sz w:val="24"/>
          <w:szCs w:val="22"/>
        </w:rPr>
        <w:t>”教学内容</w:t>
      </w:r>
      <w:r>
        <w:rPr>
          <w:rFonts w:hint="eastAsia" w:ascii="宋体" w:hAnsi="宋体"/>
          <w:sz w:val="24"/>
          <w:szCs w:val="22"/>
        </w:rPr>
        <w:t>中</w:t>
      </w:r>
      <w:r>
        <w:rPr>
          <w:rFonts w:ascii="宋体" w:hAnsi="宋体"/>
          <w:sz w:val="24"/>
          <w:szCs w:val="22"/>
        </w:rPr>
        <w:t>蕴含的数学思想与文化</w:t>
      </w:r>
      <w:r>
        <w:rPr>
          <w:rFonts w:hint="eastAsia" w:ascii="宋体" w:hAnsi="宋体"/>
          <w:sz w:val="24"/>
          <w:szCs w:val="22"/>
        </w:rPr>
        <w:t>，增强文化自信。</w:t>
      </w:r>
    </w:p>
    <w:p w14:paraId="6807F6AE">
      <w:pPr>
        <w:spacing w:line="360" w:lineRule="auto"/>
        <w:ind w:firstLine="480" w:firstLineChars="200"/>
        <w:rPr>
          <w:rFonts w:ascii="宋体" w:hAnsi="宋体"/>
          <w:sz w:val="24"/>
          <w:szCs w:val="22"/>
        </w:rPr>
      </w:pPr>
      <w:r>
        <w:rPr>
          <w:rFonts w:hint="eastAsia" w:ascii="宋体" w:hAnsi="宋体"/>
          <w:sz w:val="24"/>
          <w:szCs w:val="22"/>
        </w:rPr>
        <w:t>（2）激发参与数学教学改革的热情，增强社会现任</w:t>
      </w:r>
      <w:r>
        <w:rPr>
          <w:rFonts w:ascii="宋体" w:hAnsi="宋体"/>
          <w:sz w:val="24"/>
          <w:szCs w:val="22"/>
        </w:rPr>
        <w:t>感</w:t>
      </w:r>
      <w:r>
        <w:rPr>
          <w:rFonts w:hint="eastAsia" w:ascii="宋体" w:hAnsi="宋体"/>
          <w:sz w:val="24"/>
          <w:szCs w:val="22"/>
        </w:rPr>
        <w:t>。</w:t>
      </w:r>
    </w:p>
    <w:p w14:paraId="0661B423">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理解小学数学教材中“图形与几何”相关内容安排及意义</w:t>
      </w:r>
    </w:p>
    <w:p w14:paraId="22F8D743">
      <w:pPr>
        <w:spacing w:line="360" w:lineRule="auto"/>
        <w:ind w:firstLine="482" w:firstLineChars="200"/>
        <w:rPr>
          <w:rFonts w:ascii="宋体" w:hAnsi="宋体"/>
          <w:sz w:val="24"/>
          <w:szCs w:val="22"/>
        </w:rPr>
      </w:pPr>
      <w:r>
        <w:rPr>
          <w:rFonts w:hint="eastAsia" w:ascii="宋体" w:hAnsi="宋体"/>
          <w:b/>
          <w:sz w:val="24"/>
          <w:szCs w:val="22"/>
        </w:rPr>
        <w:t>教学难点：</w:t>
      </w:r>
      <w:r>
        <w:rPr>
          <w:rFonts w:hint="eastAsia" w:ascii="宋体" w:hAnsi="宋体"/>
          <w:sz w:val="24"/>
          <w:szCs w:val="22"/>
        </w:rPr>
        <w:t>能够独立进行“图形与几何”教学内容分析并进行教学设计</w:t>
      </w:r>
    </w:p>
    <w:p w14:paraId="495E0438">
      <w:pPr>
        <w:spacing w:line="360" w:lineRule="auto"/>
        <w:ind w:firstLine="482" w:firstLineChars="200"/>
        <w:rPr>
          <w:rFonts w:hint="eastAsia" w:ascii="宋体" w:hAnsi="宋体"/>
          <w:b/>
          <w:sz w:val="24"/>
          <w:szCs w:val="22"/>
        </w:rPr>
      </w:pPr>
      <w:r>
        <w:rPr>
          <w:rFonts w:hint="eastAsia" w:ascii="宋体" w:hAnsi="宋体"/>
          <w:b/>
          <w:sz w:val="24"/>
          <w:szCs w:val="22"/>
        </w:rPr>
        <w:t>（七）“统计与概率”内容与教材分析（本模块各知识点的讲授与学习，可以支撑课程目标4、课程目标5）</w:t>
      </w:r>
    </w:p>
    <w:p w14:paraId="1657ACBB">
      <w:pPr>
        <w:spacing w:line="360" w:lineRule="auto"/>
        <w:ind w:firstLine="482" w:firstLineChars="200"/>
        <w:rPr>
          <w:rFonts w:ascii="宋体" w:hAnsi="宋体"/>
          <w:b/>
          <w:sz w:val="24"/>
          <w:szCs w:val="22"/>
        </w:rPr>
      </w:pPr>
      <w:r>
        <w:rPr>
          <w:rFonts w:ascii="宋体" w:hAnsi="宋体"/>
          <w:b/>
          <w:sz w:val="24"/>
          <w:szCs w:val="22"/>
        </w:rPr>
        <w:t>1.教学内容</w:t>
      </w:r>
    </w:p>
    <w:p w14:paraId="2159D784">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“简单</w:t>
      </w:r>
      <w:r>
        <w:rPr>
          <w:rFonts w:ascii="宋体" w:hAnsi="宋体"/>
          <w:sz w:val="24"/>
          <w:szCs w:val="22"/>
        </w:rPr>
        <w:t>数据</w:t>
      </w:r>
      <w:r>
        <w:rPr>
          <w:rFonts w:hint="eastAsia" w:ascii="宋体" w:hAnsi="宋体"/>
          <w:sz w:val="24"/>
          <w:szCs w:val="22"/>
        </w:rPr>
        <w:t>统计过程”</w:t>
      </w:r>
      <w:r>
        <w:rPr>
          <w:rFonts w:ascii="宋体" w:hAnsi="宋体"/>
          <w:sz w:val="24"/>
          <w:szCs w:val="22"/>
        </w:rPr>
        <w:t>内容与教材分析</w:t>
      </w:r>
    </w:p>
    <w:p w14:paraId="25ED26AD">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“平均数”</w:t>
      </w:r>
      <w:r>
        <w:rPr>
          <w:rFonts w:ascii="宋体" w:hAnsi="宋体"/>
          <w:sz w:val="24"/>
          <w:szCs w:val="22"/>
        </w:rPr>
        <w:t>内容与教材分析</w:t>
      </w:r>
    </w:p>
    <w:p w14:paraId="79D7D646">
      <w:pPr>
        <w:spacing w:line="360" w:lineRule="auto"/>
        <w:ind w:firstLine="480" w:firstLineChars="200"/>
        <w:rPr>
          <w:rFonts w:hint="eastAsia" w:ascii="宋体" w:hAnsi="宋体"/>
          <w:sz w:val="24"/>
          <w:szCs w:val="22"/>
        </w:rPr>
      </w:pPr>
      <w:r>
        <w:rPr>
          <w:rFonts w:hint="eastAsia" w:ascii="宋体" w:hAnsi="宋体"/>
          <w:sz w:val="24"/>
          <w:szCs w:val="22"/>
        </w:rPr>
        <w:t>（3）“随机现象</w:t>
      </w:r>
      <w:r>
        <w:rPr>
          <w:rFonts w:ascii="宋体" w:hAnsi="宋体"/>
          <w:sz w:val="24"/>
          <w:szCs w:val="22"/>
        </w:rPr>
        <w:t>及其发生可能性</w:t>
      </w:r>
      <w:r>
        <w:rPr>
          <w:rFonts w:hint="eastAsia" w:ascii="宋体" w:hAnsi="宋体"/>
          <w:sz w:val="24"/>
          <w:szCs w:val="22"/>
        </w:rPr>
        <w:t>”</w:t>
      </w:r>
      <w:r>
        <w:rPr>
          <w:rFonts w:ascii="宋体" w:hAnsi="宋体"/>
          <w:sz w:val="24"/>
          <w:szCs w:val="22"/>
        </w:rPr>
        <w:t>内容与教材分析</w:t>
      </w:r>
    </w:p>
    <w:p w14:paraId="5CD49B6B">
      <w:pPr>
        <w:spacing w:line="360" w:lineRule="auto"/>
        <w:ind w:firstLine="482" w:firstLineChars="200"/>
        <w:rPr>
          <w:rFonts w:ascii="宋体" w:hAnsi="宋体"/>
          <w:b/>
          <w:sz w:val="24"/>
          <w:szCs w:val="22"/>
        </w:rPr>
      </w:pPr>
      <w:r>
        <w:rPr>
          <w:rFonts w:ascii="宋体" w:hAnsi="宋体"/>
          <w:b/>
          <w:sz w:val="24"/>
          <w:szCs w:val="22"/>
        </w:rPr>
        <w:t>2.基本要求</w:t>
      </w:r>
    </w:p>
    <w:p w14:paraId="6A6F1892">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理解《数学课程标准》中关于“简单数据统计过程”、“平均数”、“随机现象及其发生可能性”等内容的要求</w:t>
      </w:r>
    </w:p>
    <w:p w14:paraId="5DFE053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理解小学数学</w:t>
      </w:r>
      <w:r>
        <w:rPr>
          <w:rFonts w:ascii="宋体" w:hAnsi="宋体"/>
          <w:sz w:val="24"/>
          <w:szCs w:val="22"/>
        </w:rPr>
        <w:t>教材中</w:t>
      </w:r>
      <w:r>
        <w:rPr>
          <w:rFonts w:hint="eastAsia" w:ascii="宋体" w:hAnsi="宋体"/>
          <w:sz w:val="24"/>
          <w:szCs w:val="22"/>
        </w:rPr>
        <w:t>“简单数据统计过程”、“平均数”、“随机现象及其发生可能性”等内容的编排及意义</w:t>
      </w:r>
    </w:p>
    <w:p w14:paraId="716933F1">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能够独立进行“统计与</w:t>
      </w:r>
      <w:r>
        <w:rPr>
          <w:rFonts w:ascii="宋体" w:hAnsi="宋体"/>
          <w:sz w:val="24"/>
          <w:szCs w:val="22"/>
        </w:rPr>
        <w:t>概率</w:t>
      </w:r>
      <w:r>
        <w:rPr>
          <w:rFonts w:hint="eastAsia" w:ascii="宋体" w:hAnsi="宋体"/>
          <w:sz w:val="24"/>
          <w:szCs w:val="22"/>
        </w:rPr>
        <w:t>”教学内容分析并进行教学设计</w:t>
      </w:r>
    </w:p>
    <w:p w14:paraId="5BD72CE4">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1B18B02A">
      <w:pPr>
        <w:spacing w:line="360" w:lineRule="auto"/>
        <w:ind w:firstLine="480" w:firstLineChars="200"/>
        <w:rPr>
          <w:rFonts w:hint="eastAsia" w:ascii="宋体" w:hAnsi="宋体"/>
          <w:sz w:val="24"/>
          <w:szCs w:val="22"/>
        </w:rPr>
      </w:pPr>
      <w:r>
        <w:rPr>
          <w:rFonts w:hint="eastAsia" w:ascii="宋体" w:hAnsi="宋体"/>
          <w:sz w:val="24"/>
          <w:szCs w:val="22"/>
        </w:rPr>
        <w:t>（1）了解“统计与概率</w:t>
      </w:r>
      <w:r>
        <w:rPr>
          <w:rFonts w:ascii="宋体" w:hAnsi="宋体"/>
          <w:sz w:val="24"/>
          <w:szCs w:val="22"/>
        </w:rPr>
        <w:t>”教学内容</w:t>
      </w:r>
      <w:r>
        <w:rPr>
          <w:rFonts w:hint="eastAsia" w:ascii="宋体" w:hAnsi="宋体"/>
          <w:sz w:val="24"/>
          <w:szCs w:val="22"/>
        </w:rPr>
        <w:t>中</w:t>
      </w:r>
      <w:r>
        <w:rPr>
          <w:rFonts w:ascii="宋体" w:hAnsi="宋体"/>
          <w:sz w:val="24"/>
          <w:szCs w:val="22"/>
        </w:rPr>
        <w:t>蕴含的数学思想与文化</w:t>
      </w:r>
      <w:r>
        <w:rPr>
          <w:rFonts w:hint="eastAsia" w:ascii="宋体" w:hAnsi="宋体"/>
          <w:sz w:val="24"/>
          <w:szCs w:val="22"/>
        </w:rPr>
        <w:t>，增强文化自信。</w:t>
      </w:r>
    </w:p>
    <w:p w14:paraId="2525E1F9">
      <w:pPr>
        <w:spacing w:line="360" w:lineRule="auto"/>
        <w:ind w:firstLine="480" w:firstLineChars="200"/>
        <w:rPr>
          <w:rFonts w:ascii="宋体" w:hAnsi="宋体"/>
          <w:sz w:val="24"/>
          <w:szCs w:val="22"/>
        </w:rPr>
      </w:pPr>
      <w:r>
        <w:rPr>
          <w:rFonts w:hint="eastAsia" w:ascii="宋体" w:hAnsi="宋体"/>
          <w:sz w:val="24"/>
          <w:szCs w:val="22"/>
        </w:rPr>
        <w:t>（2）激发参与数学教学改革的热情，增强社会现任</w:t>
      </w:r>
      <w:r>
        <w:rPr>
          <w:rFonts w:ascii="宋体" w:hAnsi="宋体"/>
          <w:sz w:val="24"/>
          <w:szCs w:val="22"/>
        </w:rPr>
        <w:t>感</w:t>
      </w:r>
      <w:r>
        <w:rPr>
          <w:rFonts w:hint="eastAsia" w:ascii="宋体" w:hAnsi="宋体"/>
          <w:sz w:val="24"/>
          <w:szCs w:val="22"/>
        </w:rPr>
        <w:t>。</w:t>
      </w:r>
    </w:p>
    <w:p w14:paraId="565DCA57">
      <w:pPr>
        <w:spacing w:line="360" w:lineRule="auto"/>
        <w:ind w:firstLine="482" w:firstLineChars="200"/>
        <w:rPr>
          <w:rFonts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理解“统计与概率”相关内容安排及意义</w:t>
      </w:r>
    </w:p>
    <w:p w14:paraId="4EBD609C">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能够独立进行“统计与概率”教学内容分析并进行教学设计</w:t>
      </w:r>
    </w:p>
    <w:p w14:paraId="6BB6B9F5">
      <w:pPr>
        <w:spacing w:line="360" w:lineRule="auto"/>
        <w:ind w:firstLine="482" w:firstLineChars="200"/>
        <w:outlineLvl w:val="0"/>
        <w:rPr>
          <w:rFonts w:hint="eastAsia" w:ascii="宋体" w:hAnsi="宋体"/>
          <w:b/>
          <w:sz w:val="24"/>
          <w:szCs w:val="22"/>
        </w:rPr>
      </w:pPr>
      <w:r>
        <w:rPr>
          <w:rFonts w:hint="eastAsia" w:ascii="宋体" w:hAnsi="宋体"/>
          <w:b/>
          <w:sz w:val="24"/>
          <w:szCs w:val="22"/>
        </w:rPr>
        <w:t>（八）“综合与实践”内容与教材分析（本模块各知识点的讲授与学习，可以支撑课程目标4、课程目标5）</w:t>
      </w:r>
    </w:p>
    <w:p w14:paraId="204D2451">
      <w:pPr>
        <w:spacing w:line="360" w:lineRule="auto"/>
        <w:ind w:firstLine="482" w:firstLineChars="200"/>
        <w:rPr>
          <w:rFonts w:ascii="宋体" w:hAnsi="宋体"/>
          <w:b/>
          <w:sz w:val="24"/>
          <w:szCs w:val="22"/>
        </w:rPr>
      </w:pPr>
      <w:r>
        <w:rPr>
          <w:rFonts w:ascii="宋体" w:hAnsi="宋体"/>
          <w:b/>
          <w:sz w:val="24"/>
          <w:szCs w:val="22"/>
        </w:rPr>
        <w:t>1.教学内容</w:t>
      </w:r>
    </w:p>
    <w:p w14:paraId="63BD204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w:t>
      </w:r>
      <w:r>
        <w:rPr>
          <w:rFonts w:ascii="宋体" w:hAnsi="宋体"/>
          <w:sz w:val="24"/>
          <w:szCs w:val="22"/>
        </w:rPr>
        <w:t>综合与实践”的总体要求</w:t>
      </w:r>
    </w:p>
    <w:p w14:paraId="7BBED895">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“综合</w:t>
      </w:r>
      <w:r>
        <w:rPr>
          <w:rFonts w:ascii="宋体" w:hAnsi="宋体"/>
          <w:sz w:val="24"/>
          <w:szCs w:val="22"/>
        </w:rPr>
        <w:t>与实践</w:t>
      </w:r>
      <w:r>
        <w:rPr>
          <w:rFonts w:hint="eastAsia" w:ascii="宋体" w:hAnsi="宋体"/>
          <w:sz w:val="24"/>
          <w:szCs w:val="22"/>
        </w:rPr>
        <w:t>”</w:t>
      </w:r>
      <w:r>
        <w:rPr>
          <w:rFonts w:ascii="宋体" w:hAnsi="宋体"/>
          <w:sz w:val="24"/>
          <w:szCs w:val="22"/>
        </w:rPr>
        <w:t>内容与教材分析</w:t>
      </w:r>
    </w:p>
    <w:p w14:paraId="2E97F806">
      <w:pPr>
        <w:spacing w:line="360" w:lineRule="auto"/>
        <w:ind w:firstLine="482" w:firstLineChars="200"/>
        <w:rPr>
          <w:rFonts w:ascii="宋体" w:hAnsi="宋体"/>
          <w:b/>
          <w:sz w:val="24"/>
          <w:szCs w:val="22"/>
        </w:rPr>
      </w:pPr>
      <w:r>
        <w:rPr>
          <w:rFonts w:ascii="宋体" w:hAnsi="宋体"/>
          <w:b/>
          <w:sz w:val="24"/>
          <w:szCs w:val="22"/>
        </w:rPr>
        <w:t>2.基本要求</w:t>
      </w:r>
    </w:p>
    <w:p w14:paraId="4FBD1EE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了解“综合与实践”的</w:t>
      </w:r>
      <w:r>
        <w:rPr>
          <w:rFonts w:ascii="宋体" w:hAnsi="宋体"/>
          <w:sz w:val="24"/>
          <w:szCs w:val="22"/>
        </w:rPr>
        <w:t>总体要求以及不同学</w:t>
      </w:r>
      <w:r>
        <w:rPr>
          <w:rFonts w:hint="eastAsia" w:ascii="宋体" w:hAnsi="宋体"/>
          <w:sz w:val="24"/>
          <w:szCs w:val="22"/>
        </w:rPr>
        <w:t>段</w:t>
      </w:r>
      <w:r>
        <w:rPr>
          <w:rFonts w:ascii="宋体" w:hAnsi="宋体"/>
          <w:sz w:val="24"/>
          <w:szCs w:val="22"/>
        </w:rPr>
        <w:t>的具体要求</w:t>
      </w:r>
    </w:p>
    <w:p w14:paraId="44206B34">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理解小学数学教材中“综合与实践”的</w:t>
      </w:r>
      <w:r>
        <w:rPr>
          <w:rFonts w:ascii="宋体" w:hAnsi="宋体"/>
          <w:sz w:val="24"/>
          <w:szCs w:val="22"/>
        </w:rPr>
        <w:t>内容编排及意义</w:t>
      </w:r>
    </w:p>
    <w:p w14:paraId="766C8B65">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能够依据《数学</w:t>
      </w:r>
      <w:r>
        <w:rPr>
          <w:rFonts w:ascii="宋体" w:hAnsi="宋体"/>
          <w:sz w:val="24"/>
          <w:szCs w:val="22"/>
        </w:rPr>
        <w:t>课程标准》</w:t>
      </w:r>
      <w:r>
        <w:rPr>
          <w:rFonts w:hint="eastAsia" w:ascii="宋体" w:hAnsi="宋体"/>
          <w:sz w:val="24"/>
          <w:szCs w:val="22"/>
        </w:rPr>
        <w:t>的</w:t>
      </w:r>
      <w:r>
        <w:rPr>
          <w:rFonts w:ascii="宋体" w:hAnsi="宋体"/>
          <w:sz w:val="24"/>
          <w:szCs w:val="22"/>
        </w:rPr>
        <w:t>要求及学生特点</w:t>
      </w:r>
      <w:r>
        <w:rPr>
          <w:rFonts w:hint="eastAsia" w:ascii="宋体" w:hAnsi="宋体"/>
          <w:sz w:val="24"/>
          <w:szCs w:val="22"/>
        </w:rPr>
        <w:t>，</w:t>
      </w:r>
      <w:r>
        <w:rPr>
          <w:rFonts w:ascii="宋体" w:hAnsi="宋体"/>
          <w:sz w:val="24"/>
          <w:szCs w:val="22"/>
        </w:rPr>
        <w:t>选取</w:t>
      </w:r>
      <w:r>
        <w:rPr>
          <w:rFonts w:hint="eastAsia" w:ascii="宋体" w:hAnsi="宋体"/>
          <w:sz w:val="24"/>
          <w:szCs w:val="22"/>
        </w:rPr>
        <w:t>“</w:t>
      </w:r>
      <w:r>
        <w:rPr>
          <w:rFonts w:ascii="宋体" w:hAnsi="宋体"/>
          <w:sz w:val="24"/>
          <w:szCs w:val="22"/>
        </w:rPr>
        <w:t>综</w:t>
      </w:r>
      <w:r>
        <w:rPr>
          <w:rFonts w:hint="eastAsia" w:ascii="宋体" w:hAnsi="宋体"/>
          <w:sz w:val="24"/>
          <w:szCs w:val="22"/>
        </w:rPr>
        <w:t>与</w:t>
      </w:r>
      <w:r>
        <w:rPr>
          <w:rFonts w:ascii="宋体" w:hAnsi="宋体"/>
          <w:sz w:val="24"/>
          <w:szCs w:val="22"/>
        </w:rPr>
        <w:t>实践</w:t>
      </w:r>
      <w:r>
        <w:rPr>
          <w:rFonts w:hint="eastAsia" w:ascii="宋体" w:hAnsi="宋体"/>
          <w:sz w:val="24"/>
          <w:szCs w:val="22"/>
        </w:rPr>
        <w:t>”内容</w:t>
      </w:r>
      <w:r>
        <w:rPr>
          <w:rFonts w:ascii="宋体" w:hAnsi="宋体"/>
          <w:sz w:val="24"/>
          <w:szCs w:val="22"/>
        </w:rPr>
        <w:t>进行教材分析</w:t>
      </w:r>
      <w:r>
        <w:rPr>
          <w:rFonts w:hint="eastAsia" w:ascii="宋体" w:hAnsi="宋体"/>
          <w:sz w:val="24"/>
          <w:szCs w:val="22"/>
        </w:rPr>
        <w:t>并</w:t>
      </w:r>
      <w:r>
        <w:rPr>
          <w:rFonts w:ascii="宋体" w:hAnsi="宋体"/>
          <w:sz w:val="24"/>
          <w:szCs w:val="22"/>
        </w:rPr>
        <w:t>进行教学设计</w:t>
      </w:r>
    </w:p>
    <w:p w14:paraId="2827C0D9">
      <w:pPr>
        <w:spacing w:line="360" w:lineRule="auto"/>
        <w:ind w:firstLine="482" w:firstLineChars="200"/>
        <w:rPr>
          <w:rFonts w:hint="eastAsia" w:ascii="宋体" w:hAnsi="宋体"/>
          <w:b/>
          <w:sz w:val="24"/>
          <w:szCs w:val="22"/>
        </w:rPr>
      </w:pPr>
      <w:r>
        <w:rPr>
          <w:rFonts w:hint="eastAsia" w:ascii="宋体" w:hAnsi="宋体"/>
          <w:b/>
          <w:sz w:val="24"/>
          <w:szCs w:val="22"/>
        </w:rPr>
        <w:t>3.思政目标</w:t>
      </w:r>
    </w:p>
    <w:p w14:paraId="1E3B0CB9">
      <w:pPr>
        <w:spacing w:line="360" w:lineRule="auto"/>
        <w:ind w:firstLine="480" w:firstLineChars="200"/>
        <w:rPr>
          <w:rFonts w:hint="eastAsia" w:ascii="宋体" w:hAnsi="宋体"/>
          <w:sz w:val="24"/>
          <w:szCs w:val="22"/>
        </w:rPr>
      </w:pPr>
      <w:r>
        <w:rPr>
          <w:rFonts w:hint="eastAsia" w:ascii="宋体" w:hAnsi="宋体"/>
          <w:sz w:val="24"/>
          <w:szCs w:val="22"/>
        </w:rPr>
        <w:t>（1）了解“综合与实践</w:t>
      </w:r>
      <w:r>
        <w:rPr>
          <w:rFonts w:ascii="宋体" w:hAnsi="宋体"/>
          <w:sz w:val="24"/>
          <w:szCs w:val="22"/>
        </w:rPr>
        <w:t>”教学内容</w:t>
      </w:r>
      <w:r>
        <w:rPr>
          <w:rFonts w:hint="eastAsia" w:ascii="宋体" w:hAnsi="宋体"/>
          <w:sz w:val="24"/>
          <w:szCs w:val="22"/>
        </w:rPr>
        <w:t>中</w:t>
      </w:r>
      <w:r>
        <w:rPr>
          <w:rFonts w:ascii="宋体" w:hAnsi="宋体"/>
          <w:sz w:val="24"/>
          <w:szCs w:val="22"/>
        </w:rPr>
        <w:t>蕴含的数学思想与文化</w:t>
      </w:r>
      <w:r>
        <w:rPr>
          <w:rFonts w:hint="eastAsia" w:ascii="宋体" w:hAnsi="宋体"/>
          <w:sz w:val="24"/>
          <w:szCs w:val="22"/>
        </w:rPr>
        <w:t>，增强文化自信。</w:t>
      </w:r>
    </w:p>
    <w:p w14:paraId="0BB53B0D">
      <w:pPr>
        <w:spacing w:line="360" w:lineRule="auto"/>
        <w:ind w:firstLine="480" w:firstLineChars="200"/>
        <w:rPr>
          <w:rFonts w:ascii="宋体" w:hAnsi="宋体"/>
          <w:sz w:val="24"/>
          <w:szCs w:val="22"/>
        </w:rPr>
      </w:pPr>
      <w:r>
        <w:rPr>
          <w:rFonts w:hint="eastAsia" w:ascii="宋体" w:hAnsi="宋体"/>
          <w:sz w:val="24"/>
          <w:szCs w:val="22"/>
        </w:rPr>
        <w:t>（2）激发参与数学教学改革的热情，增强社会现任</w:t>
      </w:r>
      <w:r>
        <w:rPr>
          <w:rFonts w:ascii="宋体" w:hAnsi="宋体"/>
          <w:sz w:val="24"/>
          <w:szCs w:val="22"/>
        </w:rPr>
        <w:t>感</w:t>
      </w:r>
      <w:r>
        <w:rPr>
          <w:rFonts w:hint="eastAsia" w:ascii="宋体" w:hAnsi="宋体"/>
          <w:sz w:val="24"/>
          <w:szCs w:val="22"/>
        </w:rPr>
        <w:t>。</w:t>
      </w:r>
    </w:p>
    <w:p w14:paraId="77E1660B">
      <w:pPr>
        <w:spacing w:line="360" w:lineRule="auto"/>
        <w:ind w:firstLine="482" w:firstLineChars="200"/>
        <w:rPr>
          <w:rFonts w:ascii="宋体" w:hAnsi="宋体"/>
          <w:sz w:val="24"/>
          <w:szCs w:val="22"/>
        </w:rPr>
      </w:pPr>
      <w:r>
        <w:rPr>
          <w:rFonts w:hint="eastAsia" w:ascii="宋体" w:hAnsi="宋体"/>
          <w:b/>
          <w:sz w:val="24"/>
          <w:szCs w:val="22"/>
        </w:rPr>
        <w:t>教学重点：</w:t>
      </w:r>
      <w:r>
        <w:rPr>
          <w:rFonts w:hint="eastAsia" w:ascii="宋体" w:hAnsi="宋体"/>
          <w:sz w:val="24"/>
          <w:szCs w:val="22"/>
        </w:rPr>
        <w:t>能够依据《数学课程标准》的要求及学生特点，选取“综与实践”内容进行教材分析并进行教学设计</w:t>
      </w:r>
    </w:p>
    <w:p w14:paraId="559A6645">
      <w:pPr>
        <w:spacing w:line="360" w:lineRule="auto"/>
        <w:ind w:firstLine="482" w:firstLineChars="200"/>
        <w:rPr>
          <w:rFonts w:ascii="宋体" w:hAnsi="宋体"/>
          <w:b/>
          <w:sz w:val="24"/>
          <w:szCs w:val="22"/>
        </w:rPr>
      </w:pPr>
      <w:r>
        <w:rPr>
          <w:rFonts w:hint="eastAsia" w:ascii="宋体" w:hAnsi="宋体"/>
          <w:b/>
          <w:sz w:val="24"/>
          <w:szCs w:val="22"/>
        </w:rPr>
        <w:t>教学难点：</w:t>
      </w:r>
      <w:r>
        <w:rPr>
          <w:rFonts w:hint="eastAsia" w:ascii="宋体" w:hAnsi="宋体"/>
          <w:sz w:val="24"/>
          <w:szCs w:val="22"/>
        </w:rPr>
        <w:t>能够独立进行“综合与实践”教学内容分析并进行教学设计</w:t>
      </w:r>
    </w:p>
    <w:p w14:paraId="5F6CCF7A">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57C7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21B26857">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6013590E">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7A23FEB6">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72C0B95D">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6B51FA2D">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748EDFEF">
            <w:pPr>
              <w:jc w:val="center"/>
              <w:rPr>
                <w:rFonts w:hint="eastAsia" w:ascii="宋体" w:hAnsi="宋体"/>
                <w:b/>
                <w:szCs w:val="21"/>
              </w:rPr>
            </w:pPr>
            <w:r>
              <w:rPr>
                <w:rFonts w:hint="eastAsia" w:ascii="宋体" w:hAnsi="宋体"/>
                <w:b/>
                <w:szCs w:val="21"/>
              </w:rPr>
              <w:t>实践</w:t>
            </w:r>
          </w:p>
          <w:p w14:paraId="1F4C0E2B">
            <w:pPr>
              <w:jc w:val="center"/>
              <w:rPr>
                <w:rFonts w:ascii="宋体" w:hAnsi="宋体"/>
                <w:b/>
                <w:szCs w:val="21"/>
              </w:rPr>
            </w:pPr>
            <w:r>
              <w:rPr>
                <w:rFonts w:ascii="宋体" w:hAnsi="宋体"/>
                <w:b/>
                <w:szCs w:val="21"/>
              </w:rPr>
              <w:t>学时</w:t>
            </w:r>
          </w:p>
        </w:tc>
      </w:tr>
      <w:tr w14:paraId="5494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63D478F7">
            <w:pPr>
              <w:jc w:val="center"/>
              <w:rPr>
                <w:rFonts w:ascii="宋体" w:hAnsi="宋体"/>
                <w:szCs w:val="21"/>
              </w:rPr>
            </w:pPr>
            <w:r>
              <w:rPr>
                <w:rFonts w:hint="eastAsia" w:ascii="宋体" w:hAnsi="宋体"/>
                <w:szCs w:val="21"/>
              </w:rPr>
              <w:t>1</w:t>
            </w:r>
          </w:p>
        </w:tc>
        <w:tc>
          <w:tcPr>
            <w:tcW w:w="4110" w:type="dxa"/>
            <w:shd w:val="clear" w:color="auto" w:fill="FFFFFF"/>
            <w:noWrap w:val="0"/>
            <w:vAlign w:val="top"/>
          </w:tcPr>
          <w:p w14:paraId="5157562A">
            <w:pPr>
              <w:spacing w:line="360" w:lineRule="auto"/>
              <w:jc w:val="left"/>
              <w:rPr>
                <w:rFonts w:hint="eastAsia" w:ascii="宋体" w:hAnsi="宋体" w:cs="宋体"/>
                <w:kern w:val="0"/>
                <w:szCs w:val="21"/>
              </w:rPr>
            </w:pPr>
            <w:r>
              <w:rPr>
                <w:rFonts w:hint="eastAsia" w:ascii="宋体" w:hAnsi="宋体" w:cs="宋体"/>
                <w:kern w:val="0"/>
                <w:szCs w:val="21"/>
              </w:rPr>
              <w:t>绪论</w:t>
            </w:r>
          </w:p>
        </w:tc>
        <w:tc>
          <w:tcPr>
            <w:tcW w:w="1701" w:type="dxa"/>
            <w:shd w:val="clear" w:color="auto" w:fill="FFFFFF"/>
            <w:noWrap w:val="0"/>
            <w:vAlign w:val="center"/>
          </w:tcPr>
          <w:p w14:paraId="0DA348E9">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3E153135">
            <w:pPr>
              <w:jc w:val="center"/>
              <w:rPr>
                <w:rFonts w:hint="eastAsia" w:ascii="宋体" w:hAnsi="宋体"/>
                <w:szCs w:val="21"/>
              </w:rPr>
            </w:pPr>
            <w:r>
              <w:rPr>
                <w:rFonts w:ascii="宋体" w:hAnsi="宋体"/>
                <w:kern w:val="0"/>
                <w:szCs w:val="21"/>
              </w:rPr>
              <w:t>3-2</w:t>
            </w:r>
            <w:r>
              <w:rPr>
                <w:rFonts w:hint="eastAsia" w:ascii="宋体" w:hAnsi="宋体"/>
                <w:kern w:val="0"/>
                <w:szCs w:val="21"/>
              </w:rPr>
              <w:t>、6-2</w:t>
            </w:r>
          </w:p>
        </w:tc>
        <w:tc>
          <w:tcPr>
            <w:tcW w:w="708" w:type="dxa"/>
            <w:gridSpan w:val="2"/>
            <w:shd w:val="clear" w:color="auto" w:fill="FFFFFF"/>
            <w:noWrap w:val="0"/>
            <w:vAlign w:val="center"/>
          </w:tcPr>
          <w:p w14:paraId="607875E7">
            <w:pPr>
              <w:jc w:val="center"/>
              <w:rPr>
                <w:rFonts w:ascii="宋体" w:hAnsi="宋体"/>
                <w:kern w:val="0"/>
                <w:szCs w:val="21"/>
              </w:rPr>
            </w:pPr>
            <w:r>
              <w:rPr>
                <w:rFonts w:hint="eastAsia" w:ascii="宋体" w:hAnsi="宋体"/>
                <w:kern w:val="0"/>
                <w:szCs w:val="21"/>
              </w:rPr>
              <w:t>2</w:t>
            </w:r>
          </w:p>
        </w:tc>
        <w:tc>
          <w:tcPr>
            <w:tcW w:w="709" w:type="dxa"/>
            <w:shd w:val="clear" w:color="auto" w:fill="FFFFFF"/>
            <w:noWrap w:val="0"/>
            <w:vAlign w:val="center"/>
          </w:tcPr>
          <w:p w14:paraId="62950F80">
            <w:pPr>
              <w:jc w:val="center"/>
              <w:rPr>
                <w:rFonts w:ascii="宋体" w:hAnsi="宋体"/>
                <w:kern w:val="0"/>
                <w:szCs w:val="21"/>
              </w:rPr>
            </w:pPr>
          </w:p>
        </w:tc>
      </w:tr>
      <w:tr w14:paraId="1B34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780B601D">
            <w:pPr>
              <w:jc w:val="center"/>
              <w:rPr>
                <w:rFonts w:ascii="宋体" w:hAnsi="宋体"/>
                <w:szCs w:val="21"/>
              </w:rPr>
            </w:pPr>
            <w:r>
              <w:rPr>
                <w:rFonts w:hint="eastAsia" w:ascii="宋体" w:hAnsi="宋体"/>
                <w:szCs w:val="21"/>
              </w:rPr>
              <w:t>2</w:t>
            </w:r>
          </w:p>
        </w:tc>
        <w:tc>
          <w:tcPr>
            <w:tcW w:w="4110" w:type="dxa"/>
            <w:noWrap w:val="0"/>
            <w:vAlign w:val="top"/>
          </w:tcPr>
          <w:p w14:paraId="0F68CCBA">
            <w:pPr>
              <w:spacing w:line="360" w:lineRule="auto"/>
              <w:jc w:val="left"/>
              <w:rPr>
                <w:rFonts w:hint="eastAsia" w:ascii="宋体" w:hAnsi="宋体" w:cs="宋体"/>
                <w:kern w:val="0"/>
                <w:szCs w:val="21"/>
              </w:rPr>
            </w:pPr>
            <w:r>
              <w:rPr>
                <w:rFonts w:hint="eastAsia" w:ascii="宋体" w:hAnsi="宋体" w:cs="宋体"/>
                <w:kern w:val="0"/>
                <w:szCs w:val="21"/>
              </w:rPr>
              <w:t>数学课程的性质和基本理念</w:t>
            </w:r>
          </w:p>
        </w:tc>
        <w:tc>
          <w:tcPr>
            <w:tcW w:w="1701" w:type="dxa"/>
            <w:noWrap w:val="0"/>
            <w:vAlign w:val="center"/>
          </w:tcPr>
          <w:p w14:paraId="5B63565A">
            <w:pPr>
              <w:jc w:val="center"/>
              <w:rPr>
                <w:rFonts w:ascii="宋体" w:hAnsi="宋体"/>
                <w:szCs w:val="21"/>
              </w:rPr>
            </w:pPr>
            <w:r>
              <w:rPr>
                <w:rFonts w:hint="eastAsia" w:ascii="宋体" w:hAnsi="宋体"/>
                <w:kern w:val="0"/>
                <w:szCs w:val="21"/>
              </w:rPr>
              <w:t>目标2</w:t>
            </w:r>
          </w:p>
        </w:tc>
        <w:tc>
          <w:tcPr>
            <w:tcW w:w="1418" w:type="dxa"/>
            <w:noWrap w:val="0"/>
            <w:vAlign w:val="center"/>
          </w:tcPr>
          <w:p w14:paraId="123856DC">
            <w:pPr>
              <w:jc w:val="center"/>
              <w:rPr>
                <w:rFonts w:ascii="宋体" w:hAnsi="宋体"/>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tc>
        <w:tc>
          <w:tcPr>
            <w:tcW w:w="708" w:type="dxa"/>
            <w:gridSpan w:val="2"/>
            <w:noWrap w:val="0"/>
            <w:vAlign w:val="center"/>
          </w:tcPr>
          <w:p w14:paraId="5960C1F9">
            <w:pPr>
              <w:jc w:val="center"/>
              <w:rPr>
                <w:rFonts w:ascii="宋体" w:hAnsi="宋体"/>
                <w:kern w:val="0"/>
                <w:szCs w:val="21"/>
              </w:rPr>
            </w:pPr>
            <w:r>
              <w:rPr>
                <w:rFonts w:ascii="宋体" w:hAnsi="宋体"/>
                <w:kern w:val="0"/>
                <w:szCs w:val="21"/>
              </w:rPr>
              <w:t>4</w:t>
            </w:r>
          </w:p>
        </w:tc>
        <w:tc>
          <w:tcPr>
            <w:tcW w:w="709" w:type="dxa"/>
            <w:noWrap w:val="0"/>
            <w:vAlign w:val="center"/>
          </w:tcPr>
          <w:p w14:paraId="664D3BCC">
            <w:pPr>
              <w:ind w:firstLine="420" w:firstLineChars="200"/>
              <w:jc w:val="center"/>
              <w:rPr>
                <w:rFonts w:ascii="宋体" w:hAnsi="宋体"/>
                <w:kern w:val="0"/>
                <w:szCs w:val="21"/>
              </w:rPr>
            </w:pPr>
          </w:p>
        </w:tc>
      </w:tr>
      <w:tr w14:paraId="7831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01985715">
            <w:pPr>
              <w:jc w:val="center"/>
              <w:rPr>
                <w:rFonts w:ascii="宋体" w:hAnsi="宋体"/>
                <w:szCs w:val="21"/>
              </w:rPr>
            </w:pPr>
            <w:r>
              <w:rPr>
                <w:rFonts w:hint="eastAsia" w:ascii="宋体" w:hAnsi="宋体"/>
                <w:szCs w:val="21"/>
              </w:rPr>
              <w:t>3</w:t>
            </w:r>
          </w:p>
        </w:tc>
        <w:tc>
          <w:tcPr>
            <w:tcW w:w="4110" w:type="dxa"/>
            <w:noWrap w:val="0"/>
            <w:vAlign w:val="top"/>
          </w:tcPr>
          <w:p w14:paraId="49617C9F">
            <w:pPr>
              <w:spacing w:line="360" w:lineRule="auto"/>
              <w:jc w:val="left"/>
              <w:rPr>
                <w:rFonts w:hint="eastAsia" w:ascii="宋体" w:hAnsi="宋体" w:cs="宋体"/>
                <w:kern w:val="0"/>
                <w:szCs w:val="21"/>
              </w:rPr>
            </w:pPr>
            <w:r>
              <w:rPr>
                <w:rFonts w:hint="eastAsia" w:ascii="宋体" w:hAnsi="宋体" w:cs="宋体"/>
                <w:kern w:val="0"/>
                <w:szCs w:val="21"/>
              </w:rPr>
              <w:t>数学课程目标与</w:t>
            </w:r>
            <w:r>
              <w:rPr>
                <w:rFonts w:ascii="宋体" w:hAnsi="宋体" w:cs="宋体"/>
                <w:kern w:val="0"/>
                <w:szCs w:val="21"/>
              </w:rPr>
              <w:t>内容</w:t>
            </w:r>
          </w:p>
        </w:tc>
        <w:tc>
          <w:tcPr>
            <w:tcW w:w="1701" w:type="dxa"/>
            <w:noWrap w:val="0"/>
            <w:vAlign w:val="center"/>
          </w:tcPr>
          <w:p w14:paraId="28E0B132">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26E78480">
            <w:pPr>
              <w:jc w:val="center"/>
              <w:rPr>
                <w:rFonts w:ascii="宋体" w:hAnsi="宋体"/>
                <w:szCs w:val="21"/>
              </w:rPr>
            </w:pPr>
            <w:r>
              <w:rPr>
                <w:rFonts w:hint="eastAsia" w:ascii="宋体" w:hAnsi="宋体"/>
                <w:kern w:val="0"/>
                <w:szCs w:val="21"/>
              </w:rPr>
              <w:t>3-2、4-1</w:t>
            </w:r>
          </w:p>
        </w:tc>
        <w:tc>
          <w:tcPr>
            <w:tcW w:w="708" w:type="dxa"/>
            <w:gridSpan w:val="2"/>
            <w:noWrap w:val="0"/>
            <w:vAlign w:val="center"/>
          </w:tcPr>
          <w:p w14:paraId="636CD578">
            <w:pPr>
              <w:jc w:val="center"/>
              <w:rPr>
                <w:rFonts w:ascii="宋体" w:hAnsi="宋体"/>
                <w:kern w:val="0"/>
                <w:szCs w:val="21"/>
              </w:rPr>
            </w:pPr>
            <w:r>
              <w:rPr>
                <w:rFonts w:ascii="宋体" w:hAnsi="宋体"/>
                <w:kern w:val="0"/>
                <w:szCs w:val="21"/>
              </w:rPr>
              <w:t>4</w:t>
            </w:r>
          </w:p>
        </w:tc>
        <w:tc>
          <w:tcPr>
            <w:tcW w:w="709" w:type="dxa"/>
            <w:noWrap w:val="0"/>
            <w:vAlign w:val="center"/>
          </w:tcPr>
          <w:p w14:paraId="308C3B95">
            <w:pPr>
              <w:ind w:firstLine="420" w:firstLineChars="200"/>
              <w:jc w:val="center"/>
              <w:rPr>
                <w:rFonts w:ascii="宋体" w:hAnsi="宋体"/>
                <w:kern w:val="0"/>
                <w:szCs w:val="21"/>
              </w:rPr>
            </w:pPr>
          </w:p>
        </w:tc>
      </w:tr>
      <w:tr w14:paraId="42B1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0A28ADD7">
            <w:pPr>
              <w:jc w:val="center"/>
              <w:rPr>
                <w:rFonts w:ascii="宋体" w:hAnsi="宋体"/>
                <w:szCs w:val="21"/>
              </w:rPr>
            </w:pPr>
            <w:r>
              <w:rPr>
                <w:rFonts w:hint="eastAsia" w:ascii="宋体" w:hAnsi="宋体"/>
                <w:szCs w:val="21"/>
              </w:rPr>
              <w:t>4</w:t>
            </w:r>
          </w:p>
        </w:tc>
        <w:tc>
          <w:tcPr>
            <w:tcW w:w="4110" w:type="dxa"/>
            <w:noWrap w:val="0"/>
            <w:vAlign w:val="top"/>
          </w:tcPr>
          <w:p w14:paraId="619E26F9">
            <w:pPr>
              <w:spacing w:line="360" w:lineRule="auto"/>
              <w:jc w:val="left"/>
              <w:rPr>
                <w:rFonts w:hint="eastAsia" w:ascii="宋体" w:hAnsi="宋体" w:cs="宋体"/>
                <w:kern w:val="0"/>
                <w:szCs w:val="21"/>
              </w:rPr>
            </w:pPr>
            <w:r>
              <w:rPr>
                <w:rFonts w:hint="eastAsia" w:ascii="宋体" w:hAnsi="宋体" w:cs="宋体"/>
                <w:kern w:val="0"/>
                <w:szCs w:val="21"/>
              </w:rPr>
              <w:t>小学数学教材简介</w:t>
            </w:r>
          </w:p>
        </w:tc>
        <w:tc>
          <w:tcPr>
            <w:tcW w:w="1701" w:type="dxa"/>
            <w:noWrap w:val="0"/>
            <w:vAlign w:val="center"/>
          </w:tcPr>
          <w:p w14:paraId="615D5E57">
            <w:pPr>
              <w:jc w:val="center"/>
              <w:rPr>
                <w:rFonts w:ascii="宋体" w:hAnsi="宋体"/>
                <w:szCs w:val="21"/>
              </w:rPr>
            </w:pPr>
            <w:r>
              <w:rPr>
                <w:rFonts w:hint="eastAsia" w:ascii="宋体" w:hAnsi="宋体"/>
                <w:kern w:val="0"/>
                <w:szCs w:val="21"/>
              </w:rPr>
              <w:t>目标</w:t>
            </w:r>
            <w:r>
              <w:rPr>
                <w:rFonts w:ascii="宋体" w:hAnsi="宋体"/>
                <w:kern w:val="0"/>
                <w:szCs w:val="21"/>
              </w:rPr>
              <w:t>4</w:t>
            </w:r>
            <w:r>
              <w:rPr>
                <w:rFonts w:hint="eastAsia" w:ascii="宋体" w:hAnsi="宋体"/>
                <w:kern w:val="0"/>
                <w:szCs w:val="21"/>
              </w:rPr>
              <w:t>、</w:t>
            </w:r>
            <w:r>
              <w:rPr>
                <w:rFonts w:ascii="宋体" w:hAnsi="宋体"/>
                <w:kern w:val="0"/>
                <w:szCs w:val="21"/>
              </w:rPr>
              <w:t>5</w:t>
            </w:r>
          </w:p>
        </w:tc>
        <w:tc>
          <w:tcPr>
            <w:tcW w:w="1418" w:type="dxa"/>
            <w:noWrap w:val="0"/>
            <w:vAlign w:val="center"/>
          </w:tcPr>
          <w:p w14:paraId="3410F195">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2D6DF9A7">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0D2F1F31">
            <w:pPr>
              <w:jc w:val="center"/>
              <w:rPr>
                <w:rFonts w:ascii="宋体" w:hAnsi="宋体"/>
                <w:kern w:val="0"/>
                <w:szCs w:val="21"/>
              </w:rPr>
            </w:pPr>
            <w:r>
              <w:rPr>
                <w:rFonts w:hint="eastAsia" w:ascii="宋体" w:hAnsi="宋体"/>
                <w:kern w:val="0"/>
                <w:szCs w:val="21"/>
              </w:rPr>
              <w:t>2</w:t>
            </w:r>
          </w:p>
        </w:tc>
        <w:tc>
          <w:tcPr>
            <w:tcW w:w="709" w:type="dxa"/>
            <w:noWrap w:val="0"/>
            <w:vAlign w:val="center"/>
          </w:tcPr>
          <w:p w14:paraId="0E2BCD0C">
            <w:pPr>
              <w:ind w:firstLine="420" w:firstLineChars="200"/>
              <w:jc w:val="center"/>
              <w:rPr>
                <w:rFonts w:ascii="宋体" w:hAnsi="宋体"/>
                <w:kern w:val="0"/>
                <w:szCs w:val="21"/>
              </w:rPr>
            </w:pPr>
          </w:p>
        </w:tc>
      </w:tr>
      <w:tr w14:paraId="0078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noWrap w:val="0"/>
            <w:vAlign w:val="center"/>
          </w:tcPr>
          <w:p w14:paraId="4CE3A1FE">
            <w:pPr>
              <w:jc w:val="center"/>
              <w:rPr>
                <w:rFonts w:ascii="宋体" w:hAnsi="宋体"/>
                <w:szCs w:val="21"/>
              </w:rPr>
            </w:pPr>
            <w:r>
              <w:rPr>
                <w:rFonts w:hint="eastAsia" w:ascii="宋体" w:hAnsi="宋体"/>
                <w:szCs w:val="21"/>
              </w:rPr>
              <w:t>5</w:t>
            </w:r>
          </w:p>
        </w:tc>
        <w:tc>
          <w:tcPr>
            <w:tcW w:w="4110" w:type="dxa"/>
            <w:noWrap w:val="0"/>
            <w:vAlign w:val="top"/>
          </w:tcPr>
          <w:p w14:paraId="3651C06D">
            <w:pPr>
              <w:spacing w:line="360" w:lineRule="auto"/>
              <w:jc w:val="left"/>
              <w:rPr>
                <w:rFonts w:hint="eastAsia" w:ascii="宋体" w:hAnsi="宋体" w:cs="宋体"/>
                <w:kern w:val="0"/>
                <w:szCs w:val="21"/>
              </w:rPr>
            </w:pPr>
            <w:r>
              <w:rPr>
                <w:rFonts w:hint="eastAsia" w:ascii="宋体" w:hAnsi="宋体" w:cs="宋体"/>
                <w:kern w:val="0"/>
                <w:szCs w:val="21"/>
              </w:rPr>
              <w:t>“数与代数”内容与教材分析</w:t>
            </w:r>
          </w:p>
        </w:tc>
        <w:tc>
          <w:tcPr>
            <w:tcW w:w="1701" w:type="dxa"/>
            <w:noWrap w:val="0"/>
            <w:vAlign w:val="center"/>
          </w:tcPr>
          <w:p w14:paraId="4D0DB0FB">
            <w:pPr>
              <w:jc w:val="center"/>
              <w:rPr>
                <w:rFonts w:ascii="宋体" w:hAnsi="宋体"/>
                <w:szCs w:val="21"/>
              </w:rPr>
            </w:pPr>
            <w:r>
              <w:rPr>
                <w:rFonts w:hint="eastAsia" w:ascii="宋体" w:hAnsi="宋体"/>
                <w:kern w:val="0"/>
                <w:szCs w:val="21"/>
              </w:rPr>
              <w:t>目标</w:t>
            </w:r>
            <w:r>
              <w:rPr>
                <w:rFonts w:ascii="宋体" w:hAnsi="宋体"/>
                <w:kern w:val="0"/>
                <w:szCs w:val="21"/>
              </w:rPr>
              <w:t>4</w:t>
            </w:r>
            <w:r>
              <w:rPr>
                <w:rFonts w:hint="eastAsia" w:ascii="宋体" w:hAnsi="宋体"/>
                <w:kern w:val="0"/>
                <w:szCs w:val="21"/>
              </w:rPr>
              <w:t>、</w:t>
            </w:r>
            <w:r>
              <w:rPr>
                <w:rFonts w:ascii="宋体" w:hAnsi="宋体"/>
                <w:kern w:val="0"/>
                <w:szCs w:val="21"/>
              </w:rPr>
              <w:t>5</w:t>
            </w:r>
          </w:p>
        </w:tc>
        <w:tc>
          <w:tcPr>
            <w:tcW w:w="1418" w:type="dxa"/>
            <w:noWrap w:val="0"/>
            <w:vAlign w:val="center"/>
          </w:tcPr>
          <w:p w14:paraId="7B634FCA">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1A051C46">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2A89A1DC">
            <w:pPr>
              <w:jc w:val="center"/>
              <w:rPr>
                <w:rFonts w:ascii="宋体" w:hAnsi="宋体"/>
                <w:kern w:val="0"/>
                <w:szCs w:val="21"/>
              </w:rPr>
            </w:pPr>
            <w:r>
              <w:rPr>
                <w:rFonts w:ascii="宋体" w:hAnsi="宋体"/>
                <w:kern w:val="0"/>
                <w:szCs w:val="21"/>
              </w:rPr>
              <w:t>4</w:t>
            </w:r>
          </w:p>
        </w:tc>
        <w:tc>
          <w:tcPr>
            <w:tcW w:w="709" w:type="dxa"/>
            <w:noWrap w:val="0"/>
            <w:vAlign w:val="center"/>
          </w:tcPr>
          <w:p w14:paraId="5FEDA3F5">
            <w:pPr>
              <w:jc w:val="center"/>
              <w:rPr>
                <w:rFonts w:ascii="宋体" w:hAnsi="宋体"/>
                <w:kern w:val="0"/>
                <w:szCs w:val="21"/>
              </w:rPr>
            </w:pPr>
            <w:r>
              <w:rPr>
                <w:rFonts w:ascii="宋体" w:hAnsi="宋体"/>
                <w:kern w:val="0"/>
                <w:szCs w:val="21"/>
              </w:rPr>
              <w:t>2</w:t>
            </w:r>
          </w:p>
        </w:tc>
      </w:tr>
      <w:tr w14:paraId="0294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44F21466">
            <w:pPr>
              <w:jc w:val="center"/>
              <w:rPr>
                <w:rFonts w:ascii="宋体" w:hAnsi="宋体"/>
                <w:szCs w:val="21"/>
              </w:rPr>
            </w:pPr>
            <w:r>
              <w:rPr>
                <w:rFonts w:hint="eastAsia" w:ascii="宋体" w:hAnsi="宋体"/>
                <w:szCs w:val="21"/>
              </w:rPr>
              <w:t>6</w:t>
            </w:r>
          </w:p>
        </w:tc>
        <w:tc>
          <w:tcPr>
            <w:tcW w:w="4110" w:type="dxa"/>
            <w:noWrap w:val="0"/>
            <w:vAlign w:val="top"/>
          </w:tcPr>
          <w:p w14:paraId="4852D5E5">
            <w:pPr>
              <w:spacing w:line="360" w:lineRule="auto"/>
              <w:jc w:val="left"/>
              <w:rPr>
                <w:rFonts w:hint="eastAsia" w:ascii="宋体" w:hAnsi="宋体" w:cs="宋体"/>
                <w:kern w:val="0"/>
                <w:szCs w:val="21"/>
              </w:rPr>
            </w:pPr>
            <w:r>
              <w:rPr>
                <w:rFonts w:hint="eastAsia" w:ascii="宋体" w:hAnsi="宋体" w:cs="宋体"/>
                <w:kern w:val="0"/>
                <w:szCs w:val="21"/>
              </w:rPr>
              <w:t>“图形与几何”内容</w:t>
            </w:r>
            <w:r>
              <w:rPr>
                <w:rFonts w:ascii="宋体" w:hAnsi="宋体" w:cs="宋体"/>
                <w:kern w:val="0"/>
                <w:szCs w:val="21"/>
              </w:rPr>
              <w:t>与</w:t>
            </w:r>
            <w:r>
              <w:rPr>
                <w:rFonts w:hint="eastAsia" w:ascii="宋体" w:hAnsi="宋体" w:cs="宋体"/>
                <w:kern w:val="0"/>
                <w:szCs w:val="21"/>
              </w:rPr>
              <w:t>教材分析</w:t>
            </w:r>
          </w:p>
        </w:tc>
        <w:tc>
          <w:tcPr>
            <w:tcW w:w="1701" w:type="dxa"/>
            <w:noWrap w:val="0"/>
            <w:vAlign w:val="center"/>
          </w:tcPr>
          <w:p w14:paraId="66FE02B6">
            <w:pPr>
              <w:jc w:val="center"/>
              <w:rPr>
                <w:rFonts w:ascii="宋体" w:hAnsi="宋体"/>
                <w:szCs w:val="21"/>
              </w:rPr>
            </w:pPr>
            <w:r>
              <w:rPr>
                <w:rFonts w:hint="eastAsia" w:ascii="宋体" w:hAnsi="宋体"/>
                <w:kern w:val="0"/>
                <w:szCs w:val="21"/>
              </w:rPr>
              <w:t>目标</w:t>
            </w:r>
            <w:r>
              <w:rPr>
                <w:rFonts w:ascii="宋体" w:hAnsi="宋体"/>
                <w:kern w:val="0"/>
                <w:szCs w:val="21"/>
              </w:rPr>
              <w:t>4</w:t>
            </w:r>
            <w:r>
              <w:rPr>
                <w:rFonts w:hint="eastAsia" w:ascii="宋体" w:hAnsi="宋体"/>
                <w:kern w:val="0"/>
                <w:szCs w:val="21"/>
              </w:rPr>
              <w:t>、</w:t>
            </w:r>
            <w:r>
              <w:rPr>
                <w:rFonts w:ascii="宋体" w:hAnsi="宋体"/>
                <w:kern w:val="0"/>
                <w:szCs w:val="21"/>
              </w:rPr>
              <w:t>5</w:t>
            </w:r>
          </w:p>
        </w:tc>
        <w:tc>
          <w:tcPr>
            <w:tcW w:w="1418" w:type="dxa"/>
            <w:noWrap w:val="0"/>
            <w:vAlign w:val="center"/>
          </w:tcPr>
          <w:p w14:paraId="468E6CE6">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3463BF24">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49751D52">
            <w:pPr>
              <w:jc w:val="center"/>
              <w:rPr>
                <w:rFonts w:ascii="宋体" w:hAnsi="宋体"/>
                <w:kern w:val="0"/>
                <w:szCs w:val="21"/>
              </w:rPr>
            </w:pPr>
            <w:r>
              <w:rPr>
                <w:rFonts w:ascii="宋体" w:hAnsi="宋体"/>
                <w:kern w:val="0"/>
                <w:szCs w:val="21"/>
              </w:rPr>
              <w:t>4</w:t>
            </w:r>
          </w:p>
        </w:tc>
        <w:tc>
          <w:tcPr>
            <w:tcW w:w="709" w:type="dxa"/>
            <w:noWrap w:val="0"/>
            <w:vAlign w:val="center"/>
          </w:tcPr>
          <w:p w14:paraId="792EABB3">
            <w:pPr>
              <w:jc w:val="center"/>
              <w:rPr>
                <w:rFonts w:ascii="宋体" w:hAnsi="宋体"/>
                <w:kern w:val="0"/>
                <w:szCs w:val="21"/>
              </w:rPr>
            </w:pPr>
            <w:r>
              <w:rPr>
                <w:rFonts w:hint="eastAsia" w:ascii="宋体" w:hAnsi="宋体"/>
                <w:kern w:val="0"/>
                <w:szCs w:val="21"/>
              </w:rPr>
              <w:t>2</w:t>
            </w:r>
          </w:p>
        </w:tc>
      </w:tr>
      <w:tr w14:paraId="5A72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68" w:type="dxa"/>
            <w:noWrap w:val="0"/>
            <w:vAlign w:val="center"/>
          </w:tcPr>
          <w:p w14:paraId="0F69F2A2">
            <w:pPr>
              <w:jc w:val="center"/>
              <w:rPr>
                <w:rFonts w:ascii="宋体" w:hAnsi="宋体"/>
                <w:szCs w:val="21"/>
              </w:rPr>
            </w:pPr>
            <w:r>
              <w:rPr>
                <w:rFonts w:hint="eastAsia" w:ascii="宋体" w:hAnsi="宋体"/>
                <w:szCs w:val="21"/>
              </w:rPr>
              <w:t>7</w:t>
            </w:r>
          </w:p>
        </w:tc>
        <w:tc>
          <w:tcPr>
            <w:tcW w:w="4110" w:type="dxa"/>
            <w:noWrap w:val="0"/>
            <w:vAlign w:val="top"/>
          </w:tcPr>
          <w:p w14:paraId="4AE8D046">
            <w:pPr>
              <w:spacing w:line="360" w:lineRule="auto"/>
              <w:jc w:val="left"/>
              <w:rPr>
                <w:rFonts w:hint="eastAsia" w:ascii="宋体" w:hAnsi="宋体" w:cs="宋体"/>
                <w:kern w:val="0"/>
                <w:szCs w:val="21"/>
              </w:rPr>
            </w:pPr>
            <w:r>
              <w:rPr>
                <w:rFonts w:hint="eastAsia" w:ascii="宋体" w:hAnsi="宋体" w:cs="宋体"/>
                <w:kern w:val="0"/>
                <w:szCs w:val="21"/>
              </w:rPr>
              <w:t>“统计与概率”内容与教材分析</w:t>
            </w:r>
          </w:p>
        </w:tc>
        <w:tc>
          <w:tcPr>
            <w:tcW w:w="1701" w:type="dxa"/>
            <w:noWrap w:val="0"/>
            <w:vAlign w:val="center"/>
          </w:tcPr>
          <w:p w14:paraId="47B79EAB">
            <w:pPr>
              <w:jc w:val="center"/>
              <w:rPr>
                <w:rFonts w:ascii="宋体" w:hAnsi="宋体"/>
                <w:szCs w:val="21"/>
              </w:rPr>
            </w:pPr>
            <w:r>
              <w:rPr>
                <w:rFonts w:hint="eastAsia" w:ascii="宋体" w:hAnsi="宋体"/>
                <w:kern w:val="0"/>
                <w:szCs w:val="21"/>
              </w:rPr>
              <w:t>目标</w:t>
            </w:r>
            <w:r>
              <w:rPr>
                <w:rFonts w:ascii="宋体" w:hAnsi="宋体"/>
                <w:kern w:val="0"/>
                <w:szCs w:val="21"/>
              </w:rPr>
              <w:t>4</w:t>
            </w:r>
            <w:r>
              <w:rPr>
                <w:rFonts w:hint="eastAsia" w:ascii="宋体" w:hAnsi="宋体"/>
                <w:kern w:val="0"/>
                <w:szCs w:val="21"/>
              </w:rPr>
              <w:t>、</w:t>
            </w:r>
            <w:r>
              <w:rPr>
                <w:rFonts w:ascii="宋体" w:hAnsi="宋体"/>
                <w:kern w:val="0"/>
                <w:szCs w:val="21"/>
              </w:rPr>
              <w:t>5</w:t>
            </w:r>
          </w:p>
        </w:tc>
        <w:tc>
          <w:tcPr>
            <w:tcW w:w="1418" w:type="dxa"/>
            <w:noWrap w:val="0"/>
            <w:vAlign w:val="center"/>
          </w:tcPr>
          <w:p w14:paraId="78923B54">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4B1C8467">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2D2CDBD0">
            <w:pPr>
              <w:jc w:val="center"/>
              <w:rPr>
                <w:rFonts w:ascii="宋体" w:hAnsi="宋体"/>
                <w:kern w:val="0"/>
                <w:szCs w:val="21"/>
              </w:rPr>
            </w:pPr>
            <w:r>
              <w:rPr>
                <w:rFonts w:ascii="宋体" w:hAnsi="宋体"/>
                <w:kern w:val="0"/>
                <w:szCs w:val="21"/>
              </w:rPr>
              <w:t>2</w:t>
            </w:r>
          </w:p>
        </w:tc>
        <w:tc>
          <w:tcPr>
            <w:tcW w:w="709" w:type="dxa"/>
            <w:noWrap w:val="0"/>
            <w:vAlign w:val="center"/>
          </w:tcPr>
          <w:p w14:paraId="364A4C34">
            <w:pPr>
              <w:jc w:val="center"/>
              <w:rPr>
                <w:rFonts w:ascii="宋体" w:hAnsi="宋体"/>
                <w:kern w:val="0"/>
                <w:szCs w:val="21"/>
              </w:rPr>
            </w:pPr>
            <w:r>
              <w:rPr>
                <w:rFonts w:ascii="宋体" w:hAnsi="宋体"/>
                <w:kern w:val="0"/>
                <w:szCs w:val="21"/>
              </w:rPr>
              <w:t>2</w:t>
            </w:r>
          </w:p>
        </w:tc>
      </w:tr>
      <w:tr w14:paraId="616A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68" w:type="dxa"/>
            <w:noWrap w:val="0"/>
            <w:vAlign w:val="center"/>
          </w:tcPr>
          <w:p w14:paraId="6AA29184">
            <w:pPr>
              <w:jc w:val="center"/>
              <w:rPr>
                <w:rFonts w:ascii="宋体" w:hAnsi="宋体"/>
                <w:szCs w:val="21"/>
              </w:rPr>
            </w:pPr>
            <w:r>
              <w:rPr>
                <w:rFonts w:hint="eastAsia" w:ascii="宋体" w:hAnsi="宋体"/>
                <w:szCs w:val="21"/>
              </w:rPr>
              <w:t>8</w:t>
            </w:r>
          </w:p>
        </w:tc>
        <w:tc>
          <w:tcPr>
            <w:tcW w:w="4110" w:type="dxa"/>
            <w:noWrap w:val="0"/>
            <w:vAlign w:val="top"/>
          </w:tcPr>
          <w:p w14:paraId="67A0CAD7">
            <w:pPr>
              <w:spacing w:line="360" w:lineRule="auto"/>
              <w:jc w:val="left"/>
              <w:rPr>
                <w:rFonts w:ascii="宋体" w:hAnsi="宋体" w:cs="宋体"/>
                <w:kern w:val="0"/>
                <w:szCs w:val="21"/>
              </w:rPr>
            </w:pPr>
            <w:r>
              <w:rPr>
                <w:rFonts w:hint="eastAsia" w:ascii="宋体" w:hAnsi="宋体" w:cs="宋体"/>
                <w:kern w:val="0"/>
                <w:szCs w:val="21"/>
              </w:rPr>
              <w:t>“综合与实践”内容与教材分析</w:t>
            </w:r>
          </w:p>
        </w:tc>
        <w:tc>
          <w:tcPr>
            <w:tcW w:w="1701" w:type="dxa"/>
            <w:noWrap w:val="0"/>
            <w:vAlign w:val="center"/>
          </w:tcPr>
          <w:p w14:paraId="43C5F693">
            <w:pPr>
              <w:jc w:val="center"/>
              <w:rPr>
                <w:rFonts w:ascii="宋体" w:hAnsi="宋体"/>
                <w:szCs w:val="21"/>
              </w:rPr>
            </w:pPr>
            <w:r>
              <w:rPr>
                <w:rFonts w:hint="eastAsia" w:ascii="宋体" w:hAnsi="宋体"/>
                <w:kern w:val="0"/>
                <w:szCs w:val="21"/>
              </w:rPr>
              <w:t>目标</w:t>
            </w:r>
            <w:r>
              <w:rPr>
                <w:rFonts w:ascii="宋体" w:hAnsi="宋体"/>
                <w:kern w:val="0"/>
                <w:szCs w:val="21"/>
              </w:rPr>
              <w:t>4</w:t>
            </w:r>
            <w:r>
              <w:rPr>
                <w:rFonts w:hint="eastAsia" w:ascii="宋体" w:hAnsi="宋体"/>
                <w:kern w:val="0"/>
                <w:szCs w:val="21"/>
              </w:rPr>
              <w:t>、</w:t>
            </w:r>
            <w:r>
              <w:rPr>
                <w:rFonts w:ascii="宋体" w:hAnsi="宋体"/>
                <w:kern w:val="0"/>
                <w:szCs w:val="21"/>
              </w:rPr>
              <w:t>5</w:t>
            </w:r>
          </w:p>
        </w:tc>
        <w:tc>
          <w:tcPr>
            <w:tcW w:w="1418" w:type="dxa"/>
            <w:noWrap w:val="0"/>
            <w:vAlign w:val="center"/>
          </w:tcPr>
          <w:p w14:paraId="22F62036">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5F921C10">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0762639B">
            <w:pPr>
              <w:jc w:val="center"/>
              <w:rPr>
                <w:rFonts w:ascii="宋体" w:hAnsi="宋体"/>
                <w:kern w:val="0"/>
                <w:szCs w:val="21"/>
              </w:rPr>
            </w:pPr>
            <w:r>
              <w:rPr>
                <w:rFonts w:ascii="宋体" w:hAnsi="宋体"/>
                <w:kern w:val="0"/>
                <w:szCs w:val="21"/>
              </w:rPr>
              <w:t>2</w:t>
            </w:r>
          </w:p>
        </w:tc>
        <w:tc>
          <w:tcPr>
            <w:tcW w:w="709" w:type="dxa"/>
            <w:noWrap w:val="0"/>
            <w:vAlign w:val="center"/>
          </w:tcPr>
          <w:p w14:paraId="6D8484E8">
            <w:pPr>
              <w:jc w:val="center"/>
              <w:rPr>
                <w:rFonts w:hint="eastAsia" w:ascii="宋体" w:hAnsi="宋体"/>
                <w:kern w:val="0"/>
                <w:szCs w:val="21"/>
              </w:rPr>
            </w:pPr>
            <w:r>
              <w:rPr>
                <w:rFonts w:ascii="宋体" w:hAnsi="宋体"/>
                <w:kern w:val="0"/>
                <w:szCs w:val="21"/>
              </w:rPr>
              <w:t>2</w:t>
            </w:r>
          </w:p>
        </w:tc>
      </w:tr>
      <w:tr w14:paraId="35D1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0538D63F">
            <w:pPr>
              <w:jc w:val="center"/>
              <w:rPr>
                <w:rFonts w:ascii="宋体" w:hAnsi="宋体"/>
                <w:szCs w:val="21"/>
              </w:rPr>
            </w:pPr>
            <w:r>
              <w:rPr>
                <w:rFonts w:ascii="宋体" w:hAnsi="宋体"/>
                <w:szCs w:val="21"/>
              </w:rPr>
              <w:t>合计</w:t>
            </w:r>
          </w:p>
        </w:tc>
        <w:tc>
          <w:tcPr>
            <w:tcW w:w="701" w:type="dxa"/>
            <w:noWrap w:val="0"/>
            <w:vAlign w:val="center"/>
          </w:tcPr>
          <w:p w14:paraId="09ADC06E">
            <w:pPr>
              <w:jc w:val="center"/>
              <w:rPr>
                <w:rFonts w:ascii="宋体" w:hAnsi="宋体"/>
                <w:kern w:val="0"/>
                <w:szCs w:val="21"/>
              </w:rPr>
            </w:pPr>
            <w:r>
              <w:rPr>
                <w:rFonts w:ascii="宋体" w:hAnsi="宋体"/>
                <w:kern w:val="0"/>
                <w:szCs w:val="21"/>
              </w:rPr>
              <w:t>24</w:t>
            </w:r>
          </w:p>
        </w:tc>
        <w:tc>
          <w:tcPr>
            <w:tcW w:w="709" w:type="dxa"/>
            <w:noWrap w:val="0"/>
            <w:vAlign w:val="center"/>
          </w:tcPr>
          <w:p w14:paraId="6551CA40">
            <w:pPr>
              <w:jc w:val="center"/>
              <w:rPr>
                <w:rFonts w:ascii="宋体" w:hAnsi="宋体"/>
                <w:kern w:val="0"/>
                <w:szCs w:val="21"/>
              </w:rPr>
            </w:pPr>
            <w:r>
              <w:rPr>
                <w:rFonts w:ascii="宋体" w:hAnsi="宋体"/>
                <w:kern w:val="0"/>
                <w:szCs w:val="21"/>
              </w:rPr>
              <w:t>8</w:t>
            </w:r>
          </w:p>
        </w:tc>
      </w:tr>
    </w:tbl>
    <w:p w14:paraId="1117115F">
      <w:pPr>
        <w:spacing w:line="360" w:lineRule="auto"/>
        <w:rPr>
          <w:rFonts w:hint="eastAsia" w:ascii="宋体" w:hAnsi="宋体"/>
          <w:b/>
          <w:sz w:val="28"/>
          <w:szCs w:val="28"/>
        </w:rPr>
      </w:pPr>
    </w:p>
    <w:p w14:paraId="597CE30D">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3419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7A2DF0A5">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013E50C4">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5C7C3709">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032A562C">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1D3D5CB6">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503917EE">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60A6BF09">
            <w:pPr>
              <w:jc w:val="center"/>
              <w:rPr>
                <w:rFonts w:ascii="宋体" w:hAnsi="宋体"/>
                <w:b/>
                <w:bCs/>
                <w:szCs w:val="21"/>
              </w:rPr>
            </w:pPr>
            <w:r>
              <w:rPr>
                <w:rFonts w:ascii="宋体" w:hAnsi="宋体"/>
                <w:b/>
                <w:bCs/>
                <w:szCs w:val="21"/>
              </w:rPr>
              <w:t>备注</w:t>
            </w:r>
          </w:p>
        </w:tc>
      </w:tr>
      <w:tr w14:paraId="492C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1254550C">
            <w:pPr>
              <w:jc w:val="center"/>
              <w:rPr>
                <w:rFonts w:ascii="宋体" w:hAnsi="宋体"/>
                <w:bCs/>
                <w:szCs w:val="21"/>
              </w:rPr>
            </w:pPr>
            <w:r>
              <w:rPr>
                <w:rFonts w:ascii="宋体" w:hAnsi="宋体"/>
                <w:bCs/>
                <w:szCs w:val="21"/>
              </w:rPr>
              <w:t>1</w:t>
            </w:r>
          </w:p>
        </w:tc>
        <w:tc>
          <w:tcPr>
            <w:tcW w:w="1755" w:type="dxa"/>
            <w:noWrap w:val="0"/>
            <w:vAlign w:val="center"/>
          </w:tcPr>
          <w:p w14:paraId="62F75684">
            <w:pPr>
              <w:rPr>
                <w:rFonts w:hint="eastAsia"/>
                <w:szCs w:val="21"/>
              </w:rPr>
            </w:pPr>
            <w:r>
              <w:rPr>
                <w:rFonts w:hint="eastAsia"/>
                <w:szCs w:val="21"/>
              </w:rPr>
              <w:t>“</w:t>
            </w:r>
            <w:r>
              <w:rPr>
                <w:szCs w:val="21"/>
              </w:rPr>
              <w:t>数与代数</w:t>
            </w:r>
            <w:r>
              <w:rPr>
                <w:rFonts w:hint="eastAsia"/>
                <w:szCs w:val="21"/>
              </w:rPr>
              <w:t>”教材分析与</w:t>
            </w:r>
            <w:r>
              <w:rPr>
                <w:szCs w:val="21"/>
              </w:rPr>
              <w:t>教学设计</w:t>
            </w:r>
          </w:p>
        </w:tc>
        <w:tc>
          <w:tcPr>
            <w:tcW w:w="3510" w:type="dxa"/>
            <w:noWrap w:val="0"/>
            <w:vAlign w:val="center"/>
          </w:tcPr>
          <w:p w14:paraId="3CD01A91">
            <w:pPr>
              <w:rPr>
                <w:rFonts w:hint="eastAsia"/>
              </w:rPr>
            </w:pPr>
            <w:r>
              <w:rPr>
                <w:rFonts w:hint="eastAsia"/>
              </w:rPr>
              <w:t>选择一个“数与代数”领域的内容，深入钻研教材，撰写</w:t>
            </w:r>
            <w:r>
              <w:t>一份教材分析</w:t>
            </w:r>
            <w:r>
              <w:rPr>
                <w:rFonts w:hint="eastAsia"/>
              </w:rPr>
              <w:t>报告</w:t>
            </w:r>
            <w:r>
              <w:t>，并设计一</w:t>
            </w:r>
            <w:r>
              <w:rPr>
                <w:rFonts w:hint="eastAsia"/>
              </w:rPr>
              <w:t>份</w:t>
            </w:r>
            <w:r>
              <w:t>教学方案。</w:t>
            </w:r>
          </w:p>
        </w:tc>
        <w:tc>
          <w:tcPr>
            <w:tcW w:w="723" w:type="dxa"/>
            <w:noWrap w:val="0"/>
            <w:vAlign w:val="center"/>
          </w:tcPr>
          <w:p w14:paraId="763B0EFF">
            <w:pPr>
              <w:jc w:val="center"/>
              <w:rPr>
                <w:rFonts w:ascii="宋体" w:hAnsi="宋体"/>
                <w:bCs/>
                <w:szCs w:val="21"/>
              </w:rPr>
            </w:pPr>
            <w:r>
              <w:rPr>
                <w:rFonts w:ascii="宋体" w:hAnsi="宋体"/>
                <w:bCs/>
                <w:szCs w:val="21"/>
              </w:rPr>
              <w:t>2</w:t>
            </w:r>
          </w:p>
        </w:tc>
        <w:tc>
          <w:tcPr>
            <w:tcW w:w="1136" w:type="dxa"/>
            <w:noWrap w:val="0"/>
            <w:vAlign w:val="center"/>
          </w:tcPr>
          <w:p w14:paraId="21987535">
            <w:pPr>
              <w:jc w:val="center"/>
              <w:rPr>
                <w:rFonts w:hint="eastAsia" w:ascii="宋体" w:hAnsi="宋体"/>
                <w:bCs/>
                <w:szCs w:val="21"/>
              </w:rPr>
            </w:pPr>
            <w:r>
              <w:rPr>
                <w:rFonts w:hint="eastAsia" w:ascii="宋体" w:hAnsi="宋体"/>
                <w:bCs/>
                <w:szCs w:val="21"/>
              </w:rPr>
              <w:t>3-2、4-1</w:t>
            </w:r>
          </w:p>
          <w:p w14:paraId="27348CFF">
            <w:pPr>
              <w:jc w:val="center"/>
              <w:rPr>
                <w:rFonts w:ascii="宋体" w:hAnsi="宋体"/>
                <w:bCs/>
                <w:szCs w:val="21"/>
              </w:rPr>
            </w:pPr>
            <w:r>
              <w:rPr>
                <w:rFonts w:hint="eastAsia" w:ascii="宋体" w:hAnsi="宋体"/>
                <w:bCs/>
                <w:szCs w:val="21"/>
              </w:rPr>
              <w:t>4-2、8-1</w:t>
            </w:r>
          </w:p>
        </w:tc>
        <w:tc>
          <w:tcPr>
            <w:tcW w:w="826" w:type="dxa"/>
            <w:noWrap w:val="0"/>
            <w:tcMar>
              <w:left w:w="28" w:type="dxa"/>
              <w:right w:w="28" w:type="dxa"/>
            </w:tcMar>
            <w:vAlign w:val="center"/>
          </w:tcPr>
          <w:p w14:paraId="486DBD1A">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67F76915">
            <w:pPr>
              <w:jc w:val="center"/>
              <w:rPr>
                <w:rFonts w:ascii="宋体" w:hAnsi="宋体"/>
                <w:bCs/>
                <w:szCs w:val="21"/>
              </w:rPr>
            </w:pPr>
            <w:r>
              <w:rPr>
                <w:rFonts w:ascii="宋体" w:hAnsi="宋体"/>
                <w:bCs/>
                <w:szCs w:val="21"/>
              </w:rPr>
              <w:t>必做</w:t>
            </w:r>
          </w:p>
        </w:tc>
      </w:tr>
      <w:tr w14:paraId="2C3B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60991F5C">
            <w:pPr>
              <w:jc w:val="center"/>
              <w:rPr>
                <w:rFonts w:ascii="宋体" w:hAnsi="宋体"/>
                <w:bCs/>
                <w:szCs w:val="21"/>
              </w:rPr>
            </w:pPr>
            <w:r>
              <w:rPr>
                <w:rFonts w:hint="eastAsia" w:ascii="宋体" w:hAnsi="宋体"/>
                <w:bCs/>
                <w:szCs w:val="21"/>
              </w:rPr>
              <w:t>2</w:t>
            </w:r>
          </w:p>
        </w:tc>
        <w:tc>
          <w:tcPr>
            <w:tcW w:w="1755" w:type="dxa"/>
            <w:noWrap w:val="0"/>
            <w:vAlign w:val="center"/>
          </w:tcPr>
          <w:p w14:paraId="681D4D6A">
            <w:pPr>
              <w:rPr>
                <w:rFonts w:hint="eastAsia"/>
                <w:szCs w:val="21"/>
              </w:rPr>
            </w:pPr>
            <w:r>
              <w:rPr>
                <w:rFonts w:hint="eastAsia"/>
                <w:szCs w:val="21"/>
              </w:rPr>
              <w:t>“</w:t>
            </w:r>
            <w:r>
              <w:rPr>
                <w:szCs w:val="21"/>
              </w:rPr>
              <w:t>图形</w:t>
            </w:r>
            <w:r>
              <w:rPr>
                <w:rFonts w:hint="eastAsia"/>
                <w:szCs w:val="21"/>
              </w:rPr>
              <w:t>与几何”教材分析与</w:t>
            </w:r>
            <w:r>
              <w:rPr>
                <w:szCs w:val="21"/>
              </w:rPr>
              <w:t>教学设计</w:t>
            </w:r>
          </w:p>
        </w:tc>
        <w:tc>
          <w:tcPr>
            <w:tcW w:w="3510" w:type="dxa"/>
            <w:noWrap w:val="0"/>
            <w:vAlign w:val="center"/>
          </w:tcPr>
          <w:p w14:paraId="7F298F7B">
            <w:r>
              <w:rPr>
                <w:rFonts w:hint="eastAsia"/>
              </w:rPr>
              <w:t>选择一个“图形与几何”领域的内容，深入钻研教材，撰写</w:t>
            </w:r>
            <w:r>
              <w:t>一份教材分析</w:t>
            </w:r>
            <w:r>
              <w:rPr>
                <w:rFonts w:hint="eastAsia"/>
              </w:rPr>
              <w:t>报告</w:t>
            </w:r>
            <w:r>
              <w:t>，并设计一</w:t>
            </w:r>
            <w:r>
              <w:rPr>
                <w:rFonts w:hint="eastAsia"/>
              </w:rPr>
              <w:t>份</w:t>
            </w:r>
            <w:r>
              <w:t>教学方案。</w:t>
            </w:r>
          </w:p>
        </w:tc>
        <w:tc>
          <w:tcPr>
            <w:tcW w:w="723" w:type="dxa"/>
            <w:noWrap w:val="0"/>
            <w:vAlign w:val="center"/>
          </w:tcPr>
          <w:p w14:paraId="3C0CD670">
            <w:pPr>
              <w:jc w:val="center"/>
              <w:rPr>
                <w:rFonts w:ascii="宋体" w:hAnsi="宋体"/>
                <w:bCs/>
                <w:szCs w:val="21"/>
              </w:rPr>
            </w:pPr>
            <w:r>
              <w:rPr>
                <w:rFonts w:hint="eastAsia" w:ascii="宋体" w:hAnsi="宋体"/>
                <w:bCs/>
                <w:szCs w:val="21"/>
              </w:rPr>
              <w:t>2</w:t>
            </w:r>
          </w:p>
        </w:tc>
        <w:tc>
          <w:tcPr>
            <w:tcW w:w="1136" w:type="dxa"/>
            <w:noWrap w:val="0"/>
            <w:vAlign w:val="center"/>
          </w:tcPr>
          <w:p w14:paraId="6C18289E">
            <w:pPr>
              <w:jc w:val="center"/>
              <w:rPr>
                <w:rFonts w:hint="eastAsia" w:ascii="宋体" w:hAnsi="宋体"/>
                <w:bCs/>
                <w:szCs w:val="21"/>
              </w:rPr>
            </w:pPr>
            <w:r>
              <w:rPr>
                <w:rFonts w:hint="eastAsia" w:ascii="宋体" w:hAnsi="宋体"/>
                <w:bCs/>
                <w:szCs w:val="21"/>
              </w:rPr>
              <w:t>3-2、4-1</w:t>
            </w:r>
          </w:p>
          <w:p w14:paraId="599AF193">
            <w:pPr>
              <w:jc w:val="center"/>
              <w:rPr>
                <w:rFonts w:hint="eastAsia" w:ascii="宋体" w:hAnsi="宋体"/>
                <w:bCs/>
                <w:szCs w:val="21"/>
              </w:rPr>
            </w:pPr>
            <w:r>
              <w:rPr>
                <w:rFonts w:hint="eastAsia" w:ascii="宋体" w:hAnsi="宋体"/>
                <w:bCs/>
                <w:szCs w:val="21"/>
              </w:rPr>
              <w:t>4-2、8-1</w:t>
            </w:r>
          </w:p>
        </w:tc>
        <w:tc>
          <w:tcPr>
            <w:tcW w:w="826" w:type="dxa"/>
            <w:noWrap w:val="0"/>
            <w:tcMar>
              <w:left w:w="28" w:type="dxa"/>
              <w:right w:w="28" w:type="dxa"/>
            </w:tcMar>
            <w:vAlign w:val="center"/>
          </w:tcPr>
          <w:p w14:paraId="0B0090C2">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09EB37B7">
            <w:pPr>
              <w:jc w:val="center"/>
              <w:rPr>
                <w:rFonts w:ascii="宋体" w:hAnsi="宋体"/>
                <w:bCs/>
                <w:szCs w:val="21"/>
              </w:rPr>
            </w:pPr>
            <w:r>
              <w:rPr>
                <w:rFonts w:ascii="宋体" w:hAnsi="宋体"/>
                <w:bCs/>
                <w:szCs w:val="21"/>
              </w:rPr>
              <w:t>必做</w:t>
            </w:r>
          </w:p>
        </w:tc>
      </w:tr>
      <w:tr w14:paraId="621D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2E03D4A1">
            <w:pPr>
              <w:jc w:val="center"/>
              <w:rPr>
                <w:rFonts w:ascii="宋体" w:hAnsi="宋体"/>
                <w:bCs/>
                <w:szCs w:val="21"/>
              </w:rPr>
            </w:pPr>
            <w:r>
              <w:rPr>
                <w:rFonts w:hint="eastAsia" w:ascii="宋体" w:hAnsi="宋体"/>
                <w:bCs/>
                <w:szCs w:val="21"/>
              </w:rPr>
              <w:t>3</w:t>
            </w:r>
          </w:p>
        </w:tc>
        <w:tc>
          <w:tcPr>
            <w:tcW w:w="1755" w:type="dxa"/>
            <w:noWrap w:val="0"/>
            <w:vAlign w:val="center"/>
          </w:tcPr>
          <w:p w14:paraId="539B644D">
            <w:pPr>
              <w:rPr>
                <w:rFonts w:hint="eastAsia"/>
                <w:szCs w:val="21"/>
              </w:rPr>
            </w:pPr>
            <w:r>
              <w:rPr>
                <w:rFonts w:hint="eastAsia"/>
                <w:szCs w:val="21"/>
              </w:rPr>
              <w:t>“</w:t>
            </w:r>
            <w:r>
              <w:rPr>
                <w:szCs w:val="21"/>
              </w:rPr>
              <w:t>统计与概率</w:t>
            </w:r>
            <w:r>
              <w:rPr>
                <w:rFonts w:hint="eastAsia"/>
                <w:szCs w:val="21"/>
              </w:rPr>
              <w:t>”教材分析与</w:t>
            </w:r>
            <w:r>
              <w:rPr>
                <w:szCs w:val="21"/>
              </w:rPr>
              <w:t>教学设计</w:t>
            </w:r>
          </w:p>
        </w:tc>
        <w:tc>
          <w:tcPr>
            <w:tcW w:w="3510" w:type="dxa"/>
            <w:noWrap w:val="0"/>
            <w:vAlign w:val="center"/>
          </w:tcPr>
          <w:p w14:paraId="5E9AD199">
            <w:r>
              <w:rPr>
                <w:rFonts w:hint="eastAsia"/>
              </w:rPr>
              <w:t>选择一个“统计与概率”领域的内容，深入钻研教材，撰写</w:t>
            </w:r>
            <w:r>
              <w:t>一份教材分析</w:t>
            </w:r>
            <w:r>
              <w:rPr>
                <w:rFonts w:hint="eastAsia"/>
              </w:rPr>
              <w:t>报告</w:t>
            </w:r>
            <w:r>
              <w:t>，并设计一</w:t>
            </w:r>
            <w:r>
              <w:rPr>
                <w:rFonts w:hint="eastAsia"/>
              </w:rPr>
              <w:t>份</w:t>
            </w:r>
            <w:r>
              <w:t>教学方案。</w:t>
            </w:r>
          </w:p>
        </w:tc>
        <w:tc>
          <w:tcPr>
            <w:tcW w:w="723" w:type="dxa"/>
            <w:noWrap w:val="0"/>
            <w:vAlign w:val="center"/>
          </w:tcPr>
          <w:p w14:paraId="7804769B">
            <w:pPr>
              <w:jc w:val="center"/>
              <w:rPr>
                <w:rFonts w:ascii="宋体" w:hAnsi="宋体"/>
                <w:bCs/>
                <w:szCs w:val="21"/>
              </w:rPr>
            </w:pPr>
            <w:r>
              <w:rPr>
                <w:rFonts w:hint="eastAsia" w:ascii="宋体" w:hAnsi="宋体"/>
                <w:bCs/>
                <w:szCs w:val="21"/>
              </w:rPr>
              <w:t>2</w:t>
            </w:r>
          </w:p>
        </w:tc>
        <w:tc>
          <w:tcPr>
            <w:tcW w:w="1136" w:type="dxa"/>
            <w:noWrap w:val="0"/>
            <w:vAlign w:val="center"/>
          </w:tcPr>
          <w:p w14:paraId="573268A7">
            <w:pPr>
              <w:jc w:val="center"/>
              <w:rPr>
                <w:rFonts w:hint="eastAsia" w:ascii="宋体" w:hAnsi="宋体"/>
                <w:bCs/>
                <w:szCs w:val="21"/>
              </w:rPr>
            </w:pPr>
            <w:r>
              <w:rPr>
                <w:rFonts w:hint="eastAsia" w:ascii="宋体" w:hAnsi="宋体"/>
                <w:bCs/>
                <w:szCs w:val="21"/>
              </w:rPr>
              <w:t>3-2、4-1</w:t>
            </w:r>
          </w:p>
          <w:p w14:paraId="15B8107B">
            <w:pPr>
              <w:jc w:val="center"/>
              <w:rPr>
                <w:rFonts w:ascii="宋体" w:hAnsi="宋体"/>
                <w:bCs/>
                <w:szCs w:val="21"/>
              </w:rPr>
            </w:pPr>
            <w:r>
              <w:rPr>
                <w:rFonts w:hint="eastAsia" w:ascii="宋体" w:hAnsi="宋体"/>
                <w:bCs/>
                <w:szCs w:val="21"/>
              </w:rPr>
              <w:t>4-2、8-1</w:t>
            </w:r>
          </w:p>
        </w:tc>
        <w:tc>
          <w:tcPr>
            <w:tcW w:w="826" w:type="dxa"/>
            <w:noWrap w:val="0"/>
            <w:tcMar>
              <w:left w:w="28" w:type="dxa"/>
              <w:right w:w="28" w:type="dxa"/>
            </w:tcMar>
            <w:vAlign w:val="center"/>
          </w:tcPr>
          <w:p w14:paraId="6FE92713">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32336CD3">
            <w:pPr>
              <w:jc w:val="center"/>
              <w:rPr>
                <w:rFonts w:ascii="宋体" w:hAnsi="宋体"/>
                <w:bCs/>
                <w:szCs w:val="21"/>
              </w:rPr>
            </w:pPr>
            <w:r>
              <w:rPr>
                <w:rFonts w:ascii="宋体" w:hAnsi="宋体"/>
                <w:bCs/>
                <w:szCs w:val="21"/>
              </w:rPr>
              <w:t>必做</w:t>
            </w:r>
          </w:p>
        </w:tc>
      </w:tr>
      <w:tr w14:paraId="4D0B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2620F7EC">
            <w:pPr>
              <w:jc w:val="center"/>
              <w:rPr>
                <w:rFonts w:hint="eastAsia" w:ascii="宋体" w:hAnsi="宋体"/>
                <w:bCs/>
                <w:szCs w:val="21"/>
              </w:rPr>
            </w:pPr>
            <w:r>
              <w:rPr>
                <w:rFonts w:hint="eastAsia" w:ascii="宋体" w:hAnsi="宋体"/>
                <w:bCs/>
                <w:szCs w:val="21"/>
              </w:rPr>
              <w:t>4</w:t>
            </w:r>
          </w:p>
        </w:tc>
        <w:tc>
          <w:tcPr>
            <w:tcW w:w="1755" w:type="dxa"/>
            <w:noWrap w:val="0"/>
            <w:vAlign w:val="center"/>
          </w:tcPr>
          <w:p w14:paraId="61EA9358">
            <w:pPr>
              <w:rPr>
                <w:rFonts w:hint="eastAsia"/>
                <w:szCs w:val="21"/>
              </w:rPr>
            </w:pPr>
            <w:r>
              <w:rPr>
                <w:rFonts w:hint="eastAsia"/>
                <w:szCs w:val="21"/>
              </w:rPr>
              <w:t>“</w:t>
            </w:r>
            <w:r>
              <w:rPr>
                <w:szCs w:val="21"/>
              </w:rPr>
              <w:t>综合</w:t>
            </w:r>
            <w:r>
              <w:rPr>
                <w:rFonts w:hint="eastAsia"/>
                <w:szCs w:val="21"/>
              </w:rPr>
              <w:t>与实践”教材分析与</w:t>
            </w:r>
            <w:r>
              <w:rPr>
                <w:szCs w:val="21"/>
              </w:rPr>
              <w:t>教学</w:t>
            </w:r>
            <w:r>
              <w:rPr>
                <w:rFonts w:hint="eastAsia"/>
                <w:szCs w:val="21"/>
              </w:rPr>
              <w:t>设计</w:t>
            </w:r>
          </w:p>
        </w:tc>
        <w:tc>
          <w:tcPr>
            <w:tcW w:w="3510" w:type="dxa"/>
            <w:noWrap w:val="0"/>
            <w:vAlign w:val="center"/>
          </w:tcPr>
          <w:p w14:paraId="07B6BAD0">
            <w:r>
              <w:rPr>
                <w:rFonts w:hint="eastAsia"/>
              </w:rPr>
              <w:t>选择一个“综合与实践”领域的内容，深入钻研教材，撰写</w:t>
            </w:r>
            <w:r>
              <w:t>一份教材分析</w:t>
            </w:r>
            <w:r>
              <w:rPr>
                <w:rFonts w:hint="eastAsia"/>
              </w:rPr>
              <w:t>报告</w:t>
            </w:r>
            <w:r>
              <w:t>，并设计一</w:t>
            </w:r>
            <w:r>
              <w:rPr>
                <w:rFonts w:hint="eastAsia"/>
              </w:rPr>
              <w:t>份</w:t>
            </w:r>
            <w:r>
              <w:t>教学方案。</w:t>
            </w:r>
          </w:p>
        </w:tc>
        <w:tc>
          <w:tcPr>
            <w:tcW w:w="723" w:type="dxa"/>
            <w:noWrap w:val="0"/>
            <w:vAlign w:val="center"/>
          </w:tcPr>
          <w:p w14:paraId="21F8F076">
            <w:pPr>
              <w:jc w:val="center"/>
              <w:rPr>
                <w:rFonts w:hint="eastAsia" w:ascii="宋体" w:hAnsi="宋体"/>
                <w:bCs/>
                <w:szCs w:val="21"/>
              </w:rPr>
            </w:pPr>
            <w:r>
              <w:rPr>
                <w:rFonts w:ascii="宋体" w:hAnsi="宋体"/>
                <w:bCs/>
                <w:szCs w:val="21"/>
              </w:rPr>
              <w:t>2</w:t>
            </w:r>
          </w:p>
        </w:tc>
        <w:tc>
          <w:tcPr>
            <w:tcW w:w="1136" w:type="dxa"/>
            <w:noWrap w:val="0"/>
            <w:vAlign w:val="center"/>
          </w:tcPr>
          <w:p w14:paraId="6995AD74">
            <w:pPr>
              <w:jc w:val="center"/>
              <w:rPr>
                <w:rFonts w:hint="eastAsia" w:ascii="宋体" w:hAnsi="宋体"/>
                <w:bCs/>
                <w:szCs w:val="21"/>
              </w:rPr>
            </w:pPr>
            <w:r>
              <w:rPr>
                <w:rFonts w:hint="eastAsia" w:ascii="宋体" w:hAnsi="宋体"/>
                <w:bCs/>
                <w:szCs w:val="21"/>
              </w:rPr>
              <w:t>3-2、4-1</w:t>
            </w:r>
          </w:p>
          <w:p w14:paraId="770F3C98">
            <w:pPr>
              <w:jc w:val="center"/>
              <w:rPr>
                <w:rFonts w:hint="eastAsia" w:ascii="宋体" w:hAnsi="宋体"/>
                <w:bCs/>
                <w:szCs w:val="21"/>
              </w:rPr>
            </w:pPr>
            <w:r>
              <w:rPr>
                <w:rFonts w:hint="eastAsia" w:ascii="宋体" w:hAnsi="宋体"/>
                <w:bCs/>
                <w:szCs w:val="21"/>
              </w:rPr>
              <w:t>4-2、8-1</w:t>
            </w:r>
          </w:p>
        </w:tc>
        <w:tc>
          <w:tcPr>
            <w:tcW w:w="826" w:type="dxa"/>
            <w:noWrap w:val="0"/>
            <w:tcMar>
              <w:left w:w="28" w:type="dxa"/>
              <w:right w:w="28" w:type="dxa"/>
            </w:tcMar>
            <w:vAlign w:val="center"/>
          </w:tcPr>
          <w:p w14:paraId="494EDBAB">
            <w:pPr>
              <w:jc w:val="center"/>
              <w:rPr>
                <w:rFonts w:hint="eastAsia" w:ascii="宋体" w:hAnsi="宋体"/>
                <w:bCs/>
                <w:szCs w:val="21"/>
              </w:rPr>
            </w:pPr>
            <w:r>
              <w:rPr>
                <w:rFonts w:hint="eastAsia" w:ascii="宋体" w:hAnsi="宋体"/>
                <w:bCs/>
                <w:szCs w:val="21"/>
              </w:rPr>
              <w:t>综合</w:t>
            </w:r>
            <w:r>
              <w:rPr>
                <w:rFonts w:ascii="宋体" w:hAnsi="宋体"/>
                <w:bCs/>
                <w:szCs w:val="21"/>
              </w:rPr>
              <w:t>性</w:t>
            </w:r>
          </w:p>
        </w:tc>
        <w:tc>
          <w:tcPr>
            <w:tcW w:w="619" w:type="dxa"/>
            <w:noWrap w:val="0"/>
            <w:tcMar>
              <w:left w:w="28" w:type="dxa"/>
              <w:right w:w="28" w:type="dxa"/>
            </w:tcMar>
            <w:vAlign w:val="center"/>
          </w:tcPr>
          <w:p w14:paraId="708EA149">
            <w:pPr>
              <w:jc w:val="center"/>
              <w:rPr>
                <w:rFonts w:hint="eastAsia" w:ascii="宋体" w:hAnsi="宋体"/>
                <w:bCs/>
                <w:szCs w:val="21"/>
              </w:rPr>
            </w:pPr>
            <w:r>
              <w:rPr>
                <w:rFonts w:hint="eastAsia" w:ascii="宋体" w:hAnsi="宋体"/>
                <w:bCs/>
                <w:szCs w:val="21"/>
              </w:rPr>
              <w:t>必</w:t>
            </w:r>
            <w:r>
              <w:rPr>
                <w:rFonts w:ascii="宋体" w:hAnsi="宋体"/>
                <w:bCs/>
                <w:szCs w:val="21"/>
              </w:rPr>
              <w:t>做</w:t>
            </w:r>
          </w:p>
        </w:tc>
      </w:tr>
    </w:tbl>
    <w:p w14:paraId="68774B49">
      <w:pPr>
        <w:spacing w:line="360" w:lineRule="auto"/>
        <w:outlineLvl w:val="0"/>
        <w:rPr>
          <w:rFonts w:hint="eastAsia" w:ascii="宋体" w:hAnsi="宋体"/>
          <w:b/>
          <w:sz w:val="28"/>
          <w:szCs w:val="28"/>
        </w:rPr>
      </w:pPr>
      <w:r>
        <w:rPr>
          <w:rFonts w:ascii="宋体" w:hAnsi="宋体"/>
          <w:b/>
          <w:sz w:val="28"/>
          <w:szCs w:val="28"/>
        </w:rPr>
        <w:t xml:space="preserve">   </w:t>
      </w:r>
    </w:p>
    <w:p w14:paraId="10465248">
      <w:pPr>
        <w:spacing w:line="360" w:lineRule="auto"/>
        <w:outlineLvl w:val="0"/>
        <w:rPr>
          <w:rFonts w:ascii="宋体" w:hAnsi="宋体"/>
          <w:b/>
          <w:sz w:val="28"/>
          <w:szCs w:val="28"/>
        </w:rPr>
      </w:pPr>
      <w:r>
        <w:rPr>
          <w:rFonts w:hint="eastAsia" w:ascii="宋体" w:hAnsi="宋体"/>
          <w:b/>
          <w:sz w:val="28"/>
          <w:szCs w:val="28"/>
        </w:rPr>
        <w:t xml:space="preserve">    五、课程实施</w:t>
      </w:r>
    </w:p>
    <w:p w14:paraId="3412064F">
      <w:pPr>
        <w:spacing w:line="360" w:lineRule="auto"/>
        <w:ind w:firstLine="480" w:firstLineChars="200"/>
        <w:rPr>
          <w:sz w:val="24"/>
        </w:rPr>
      </w:pPr>
      <w:r>
        <w:rPr>
          <w:sz w:val="24"/>
        </w:rPr>
        <w:t>（一）</w:t>
      </w:r>
      <w:r>
        <w:rPr>
          <w:rFonts w:hint="eastAsia"/>
          <w:sz w:val="24"/>
        </w:rPr>
        <w:t>以生为本，引导师范生理解小学数学教学的基本理念，掌握小学数学教材分析的一般流程，注重课堂教学的研究性。</w:t>
      </w:r>
    </w:p>
    <w:p w14:paraId="4CDCD9A1">
      <w:pPr>
        <w:spacing w:line="360" w:lineRule="auto"/>
        <w:ind w:firstLine="480" w:firstLineChars="200"/>
        <w:rPr>
          <w:sz w:val="24"/>
        </w:rPr>
      </w:pPr>
      <w:r>
        <w:rPr>
          <w:sz w:val="24"/>
        </w:rPr>
        <w:t>（二）</w:t>
      </w:r>
      <w:r>
        <w:rPr>
          <w:rFonts w:hint="eastAsia"/>
          <w:sz w:val="24"/>
        </w:rPr>
        <w:t>关注小学数学教学的前沿动态，利用信息技术，将丰富多彩的教学案例引入课堂，</w:t>
      </w:r>
      <w:r>
        <w:rPr>
          <w:rFonts w:hint="eastAsia" w:ascii="宋体" w:hAnsi="宋体"/>
          <w:sz w:val="24"/>
          <w:szCs w:val="22"/>
        </w:rPr>
        <w:t>积极进行课堂教学改革，采用讲授法、案例教学法、现场教学法等进行教学，充分利用视频、QQ群、毕博网络课程等手段辅助教学。</w:t>
      </w:r>
    </w:p>
    <w:p w14:paraId="6A47E749">
      <w:pPr>
        <w:spacing w:line="360" w:lineRule="auto"/>
        <w:ind w:firstLine="480" w:firstLineChars="200"/>
        <w:rPr>
          <w:sz w:val="24"/>
        </w:rPr>
      </w:pPr>
      <w:r>
        <w:rPr>
          <w:sz w:val="24"/>
        </w:rPr>
        <w:t>（三）</w:t>
      </w:r>
      <w:r>
        <w:rPr>
          <w:rFonts w:hint="eastAsia"/>
          <w:sz w:val="24"/>
        </w:rPr>
        <w:t>改革</w:t>
      </w:r>
      <w:r>
        <w:rPr>
          <w:sz w:val="24"/>
        </w:rPr>
        <w:t>教学方法，</w:t>
      </w:r>
      <w:r>
        <w:rPr>
          <w:rFonts w:hint="eastAsia"/>
          <w:sz w:val="24"/>
        </w:rPr>
        <w:t>注重合作</w:t>
      </w:r>
      <w:r>
        <w:rPr>
          <w:sz w:val="24"/>
        </w:rPr>
        <w:t>与探究</w:t>
      </w:r>
      <w:r>
        <w:rPr>
          <w:rFonts w:hint="eastAsia"/>
          <w:sz w:val="24"/>
        </w:rPr>
        <w:t>，强调团队协作精神的培养；重视课堂实践，注重师范生教学实践能力的培养。</w:t>
      </w:r>
    </w:p>
    <w:p w14:paraId="264B448B">
      <w:pPr>
        <w:spacing w:line="360" w:lineRule="auto"/>
        <w:rPr>
          <w:rFonts w:ascii="宋体" w:hAnsi="宋体"/>
          <w:sz w:val="24"/>
          <w:szCs w:val="22"/>
        </w:rPr>
      </w:pPr>
    </w:p>
    <w:p w14:paraId="117965CF">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674E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6F79E81E">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46B511BF">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D7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657E6928">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2FADDA0E">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5BDF2811">
            <w:pPr>
              <w:spacing w:line="276" w:lineRule="auto"/>
              <w:rPr>
                <w:rFonts w:ascii="宋体" w:hAnsi="宋体"/>
                <w:szCs w:val="21"/>
              </w:rPr>
            </w:pPr>
            <w:r>
              <w:rPr>
                <w:rFonts w:ascii="宋体" w:hAnsi="宋体"/>
                <w:szCs w:val="21"/>
              </w:rPr>
              <w:t>（1）掌握课程教学大纲内容，严格按照教学大纲要求进行课程教学内容的组织。</w:t>
            </w:r>
          </w:p>
          <w:p w14:paraId="63E48749">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41AE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290993E0">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48F2B8BE">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6C93459E">
            <w:pPr>
              <w:spacing w:line="276" w:lineRule="auto"/>
              <w:rPr>
                <w:rFonts w:ascii="宋体" w:hAnsi="宋体"/>
              </w:rPr>
            </w:pPr>
            <w:r>
              <w:rPr>
                <w:rFonts w:ascii="宋体" w:hAnsi="宋体"/>
                <w:szCs w:val="21"/>
              </w:rPr>
              <w:t>（1）</w:t>
            </w:r>
            <w:r>
              <w:rPr>
                <w:rFonts w:hint="eastAsia" w:ascii="宋体" w:hAnsi="宋体"/>
              </w:rPr>
              <w:t>教师仪表端庄，情绪情感要饱满；</w:t>
            </w:r>
          </w:p>
          <w:p w14:paraId="01AB3BDF">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3D6E9813">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425AFF97">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6447379E">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71B3C245">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46B10775">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44E7CEDD">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50485826">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5182A069">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383C6650">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0BF76557">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1DEA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4533F817">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066623D7">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790F0413">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15B55B75">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2AF2D99C">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23A84757">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3D25674E">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113A380C">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68CC21A8">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2BB2B203">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5D05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146EA9A0">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51CBD962">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43080BF2">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理解和消化所学知识、改进学习方法和思维方式，培养其独立的教学设计能力、教学组织指导能力、教学反思与评价能力，任课教师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3A1C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003C1773">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4900F83E">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6911E2E8">
            <w:pPr>
              <w:spacing w:line="276" w:lineRule="auto"/>
              <w:rPr>
                <w:rFonts w:ascii="宋体" w:hAnsi="宋体"/>
                <w:szCs w:val="21"/>
              </w:rPr>
            </w:pPr>
            <w:r>
              <w:rPr>
                <w:rFonts w:hint="eastAsia" w:ascii="宋体" w:hAnsi="宋体"/>
                <w:szCs w:val="21"/>
              </w:rPr>
              <w:t>本课程考核的方式为闭卷笔试。监考由学院统一安排。有下列情况之一者，总评成绩为不及格：</w:t>
            </w:r>
          </w:p>
          <w:p w14:paraId="48257FFD">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1B54D5AE">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69938749">
      <w:pPr>
        <w:spacing w:line="360" w:lineRule="auto"/>
        <w:ind w:firstLine="562" w:firstLineChars="200"/>
        <w:rPr>
          <w:rFonts w:ascii="宋体" w:hAnsi="宋体"/>
          <w:b/>
          <w:sz w:val="28"/>
          <w:szCs w:val="28"/>
        </w:rPr>
      </w:pPr>
    </w:p>
    <w:p w14:paraId="7503BEC6">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0F11D944">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w:t>
      </w:r>
      <w:r>
        <w:rPr>
          <w:rFonts w:ascii="宋体" w:hAnsi="宋体"/>
          <w:sz w:val="24"/>
          <w:szCs w:val="22"/>
        </w:rPr>
        <w:t>课堂互动</w:t>
      </w:r>
      <w:r>
        <w:rPr>
          <w:rFonts w:hint="eastAsia" w:ascii="宋体" w:hAnsi="宋体"/>
          <w:sz w:val="24"/>
          <w:szCs w:val="22"/>
        </w:rPr>
        <w:t>和课内实践考核，期末考试采用闭卷笔试。</w:t>
      </w:r>
    </w:p>
    <w:p w14:paraId="606BD96A">
      <w:pPr>
        <w:spacing w:line="360" w:lineRule="auto"/>
        <w:ind w:firstLine="480" w:firstLineChars="200"/>
        <w:rPr>
          <w:rFonts w:hint="eastAsia" w:ascii="宋体" w:hAnsi="宋体"/>
          <w:sz w:val="24"/>
          <w:szCs w:val="22"/>
        </w:rPr>
      </w:pPr>
      <w:r>
        <w:rPr>
          <w:rFonts w:hint="eastAsia" w:ascii="宋体" w:hAnsi="宋体"/>
          <w:sz w:val="24"/>
          <w:szCs w:val="22"/>
        </w:rPr>
        <w:t>（二）课程成绩=平时成绩×</w:t>
      </w:r>
      <w:r>
        <w:rPr>
          <w:rFonts w:ascii="宋体" w:hAnsi="宋体"/>
          <w:sz w:val="24"/>
          <w:szCs w:val="22"/>
        </w:rPr>
        <w:t>3</w:t>
      </w:r>
      <w:r>
        <w:rPr>
          <w:rFonts w:hint="eastAsia" w:ascii="宋体" w:hAnsi="宋体"/>
          <w:sz w:val="24"/>
          <w:szCs w:val="22"/>
        </w:rPr>
        <w:t>0%+课内实践成绩×20%+期末考试成绩×</w:t>
      </w:r>
      <w:r>
        <w:rPr>
          <w:rFonts w:ascii="宋体" w:hAnsi="宋体"/>
          <w:sz w:val="24"/>
          <w:szCs w:val="22"/>
        </w:rPr>
        <w:t>5</w:t>
      </w:r>
      <w:r>
        <w:rPr>
          <w:rFonts w:hint="eastAsia" w:ascii="宋体" w:hAnsi="宋体"/>
          <w:sz w:val="24"/>
          <w:szCs w:val="22"/>
        </w:rPr>
        <w:t>0%。</w:t>
      </w:r>
    </w:p>
    <w:p w14:paraId="11C24CFB">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128D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006BCD52">
            <w:pPr>
              <w:jc w:val="center"/>
              <w:rPr>
                <w:rFonts w:ascii="宋体" w:hAnsi="宋体"/>
                <w:b/>
              </w:rPr>
            </w:pPr>
            <w:r>
              <w:rPr>
                <w:rFonts w:ascii="宋体" w:hAnsi="宋体"/>
                <w:b/>
              </w:rPr>
              <w:t>成绩组成</w:t>
            </w:r>
          </w:p>
        </w:tc>
        <w:tc>
          <w:tcPr>
            <w:tcW w:w="1134" w:type="dxa"/>
            <w:shd w:val="clear" w:color="auto" w:fill="FFFFFF"/>
            <w:noWrap w:val="0"/>
            <w:vAlign w:val="center"/>
          </w:tcPr>
          <w:p w14:paraId="2554637E">
            <w:pPr>
              <w:jc w:val="center"/>
              <w:rPr>
                <w:rFonts w:ascii="宋体" w:hAnsi="宋体"/>
                <w:b/>
              </w:rPr>
            </w:pPr>
            <w:r>
              <w:rPr>
                <w:rFonts w:ascii="宋体" w:hAnsi="宋体"/>
                <w:b/>
              </w:rPr>
              <w:t>考核/</w:t>
            </w:r>
          </w:p>
          <w:p w14:paraId="39244C4D">
            <w:pPr>
              <w:jc w:val="center"/>
              <w:rPr>
                <w:rFonts w:ascii="宋体" w:hAnsi="宋体"/>
                <w:b/>
              </w:rPr>
            </w:pPr>
            <w:r>
              <w:rPr>
                <w:rFonts w:ascii="宋体" w:hAnsi="宋体"/>
                <w:b/>
              </w:rPr>
              <w:t>评价环节</w:t>
            </w:r>
          </w:p>
        </w:tc>
        <w:tc>
          <w:tcPr>
            <w:tcW w:w="709" w:type="dxa"/>
            <w:shd w:val="clear" w:color="auto" w:fill="FFFFFF"/>
            <w:noWrap w:val="0"/>
            <w:vAlign w:val="center"/>
          </w:tcPr>
          <w:p w14:paraId="59AE5230">
            <w:pPr>
              <w:jc w:val="center"/>
              <w:rPr>
                <w:rFonts w:ascii="宋体" w:hAnsi="宋体"/>
                <w:b/>
              </w:rPr>
            </w:pPr>
            <w:r>
              <w:rPr>
                <w:rFonts w:hint="eastAsia" w:ascii="宋体" w:hAnsi="宋体"/>
                <w:b/>
              </w:rPr>
              <w:t>权重</w:t>
            </w:r>
          </w:p>
        </w:tc>
        <w:tc>
          <w:tcPr>
            <w:tcW w:w="2693" w:type="dxa"/>
            <w:shd w:val="clear" w:color="auto" w:fill="FFFFFF"/>
            <w:noWrap w:val="0"/>
            <w:vAlign w:val="center"/>
          </w:tcPr>
          <w:p w14:paraId="6410353B">
            <w:pPr>
              <w:jc w:val="center"/>
              <w:rPr>
                <w:rFonts w:ascii="宋体" w:hAnsi="宋体"/>
                <w:b/>
              </w:rPr>
            </w:pPr>
            <w:r>
              <w:rPr>
                <w:rFonts w:ascii="宋体" w:hAnsi="宋体"/>
                <w:b/>
              </w:rPr>
              <w:t>考核/评价细则</w:t>
            </w:r>
          </w:p>
        </w:tc>
        <w:tc>
          <w:tcPr>
            <w:tcW w:w="1276" w:type="dxa"/>
            <w:shd w:val="clear" w:color="auto" w:fill="FFFFFF"/>
            <w:noWrap w:val="0"/>
            <w:vAlign w:val="top"/>
          </w:tcPr>
          <w:p w14:paraId="397D6030">
            <w:pPr>
              <w:ind w:firstLine="316" w:firstLineChars="150"/>
              <w:rPr>
                <w:rFonts w:ascii="宋体" w:hAnsi="宋体"/>
                <w:b/>
              </w:rPr>
            </w:pPr>
            <w:r>
              <w:rPr>
                <w:rFonts w:hint="eastAsia" w:ascii="宋体" w:hAnsi="宋体"/>
                <w:b/>
              </w:rPr>
              <w:t>课程</w:t>
            </w:r>
          </w:p>
          <w:p w14:paraId="020966EC">
            <w:pPr>
              <w:jc w:val="center"/>
              <w:rPr>
                <w:rFonts w:ascii="宋体" w:hAnsi="宋体"/>
                <w:b/>
              </w:rPr>
            </w:pPr>
            <w:r>
              <w:rPr>
                <w:rFonts w:hint="eastAsia" w:ascii="宋体" w:hAnsi="宋体"/>
                <w:b/>
              </w:rPr>
              <w:t>目标</w:t>
            </w:r>
          </w:p>
        </w:tc>
        <w:tc>
          <w:tcPr>
            <w:tcW w:w="1276" w:type="dxa"/>
            <w:shd w:val="clear" w:color="auto" w:fill="FFFFFF"/>
            <w:noWrap w:val="0"/>
            <w:vAlign w:val="top"/>
          </w:tcPr>
          <w:p w14:paraId="01BD3CEA">
            <w:pPr>
              <w:ind w:left="-107" w:leftChars="-51"/>
              <w:jc w:val="center"/>
              <w:rPr>
                <w:rFonts w:ascii="宋体" w:hAnsi="宋体"/>
                <w:b/>
              </w:rPr>
            </w:pPr>
            <w:r>
              <w:rPr>
                <w:rFonts w:hint="eastAsia" w:ascii="宋体" w:hAnsi="宋体"/>
                <w:b/>
              </w:rPr>
              <w:t>考核</w:t>
            </w:r>
          </w:p>
          <w:p w14:paraId="7EBF4797">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733C3831">
            <w:pPr>
              <w:ind w:left="-107" w:leftChars="-51"/>
              <w:jc w:val="center"/>
              <w:rPr>
                <w:rFonts w:ascii="宋体" w:hAnsi="宋体"/>
                <w:b/>
              </w:rPr>
            </w:pPr>
            <w:r>
              <w:rPr>
                <w:rFonts w:ascii="宋体" w:hAnsi="宋体"/>
                <w:b/>
              </w:rPr>
              <w:t>对应的毕业要求指标点</w:t>
            </w:r>
          </w:p>
        </w:tc>
      </w:tr>
      <w:tr w14:paraId="0891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06CCAFC4">
            <w:pPr>
              <w:pStyle w:val="40"/>
              <w:jc w:val="center"/>
              <w:rPr>
                <w:rFonts w:eastAsia="宋体"/>
              </w:rPr>
            </w:pPr>
            <w:r>
              <w:rPr>
                <w:rFonts w:eastAsia="宋体"/>
              </w:rPr>
              <w:t>平时成绩</w:t>
            </w:r>
          </w:p>
        </w:tc>
        <w:tc>
          <w:tcPr>
            <w:tcW w:w="1134" w:type="dxa"/>
            <w:noWrap w:val="0"/>
            <w:vAlign w:val="center"/>
          </w:tcPr>
          <w:p w14:paraId="4D35B40C">
            <w:pPr>
              <w:pStyle w:val="40"/>
              <w:jc w:val="center"/>
              <w:rPr>
                <w:rFonts w:eastAsia="宋体"/>
              </w:rPr>
            </w:pPr>
            <w:r>
              <w:rPr>
                <w:rFonts w:hint="eastAsia" w:eastAsia="宋体"/>
              </w:rPr>
              <w:t>作业+考勤</w:t>
            </w:r>
          </w:p>
        </w:tc>
        <w:tc>
          <w:tcPr>
            <w:tcW w:w="709" w:type="dxa"/>
            <w:noWrap w:val="0"/>
            <w:vAlign w:val="center"/>
          </w:tcPr>
          <w:p w14:paraId="66DC361D">
            <w:pPr>
              <w:pStyle w:val="40"/>
              <w:jc w:val="center"/>
              <w:rPr>
                <w:rFonts w:eastAsia="宋体"/>
              </w:rPr>
            </w:pPr>
            <w:r>
              <w:rPr>
                <w:rFonts w:hint="eastAsia" w:eastAsia="宋体"/>
              </w:rPr>
              <w:t>20</w:t>
            </w:r>
            <w:r>
              <w:rPr>
                <w:rFonts w:eastAsia="宋体"/>
              </w:rPr>
              <w:t>%</w:t>
            </w:r>
          </w:p>
        </w:tc>
        <w:tc>
          <w:tcPr>
            <w:tcW w:w="2693" w:type="dxa"/>
            <w:noWrap w:val="0"/>
            <w:vAlign w:val="center"/>
          </w:tcPr>
          <w:p w14:paraId="328347CB">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62448137">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3508ED36">
            <w:pPr>
              <w:jc w:val="center"/>
              <w:rPr>
                <w:rFonts w:ascii="宋体" w:hAnsi="宋体"/>
              </w:rPr>
            </w:pPr>
            <w:r>
              <w:rPr>
                <w:rFonts w:hint="eastAsia" w:ascii="宋体" w:hAnsi="宋体"/>
              </w:rPr>
              <w:t>课程目标</w:t>
            </w:r>
            <w:r>
              <w:rPr>
                <w:rFonts w:ascii="宋体" w:hAnsi="宋体"/>
              </w:rPr>
              <w:t>3</w:t>
            </w:r>
          </w:p>
          <w:p w14:paraId="0B26A6F9">
            <w:pPr>
              <w:jc w:val="center"/>
              <w:rPr>
                <w:rFonts w:hint="eastAsia" w:ascii="宋体" w:hAnsi="宋体"/>
              </w:rPr>
            </w:pPr>
            <w:r>
              <w:rPr>
                <w:rFonts w:hint="eastAsia" w:ascii="宋体" w:hAnsi="宋体"/>
              </w:rPr>
              <w:t>课程目标</w:t>
            </w:r>
            <w:r>
              <w:rPr>
                <w:rFonts w:ascii="宋体" w:hAnsi="宋体"/>
              </w:rPr>
              <w:t>4</w:t>
            </w:r>
          </w:p>
        </w:tc>
        <w:tc>
          <w:tcPr>
            <w:tcW w:w="1276" w:type="dxa"/>
            <w:noWrap w:val="0"/>
            <w:vAlign w:val="center"/>
          </w:tcPr>
          <w:p w14:paraId="7B0F4B7B">
            <w:pPr>
              <w:jc w:val="center"/>
              <w:rPr>
                <w:rFonts w:hint="eastAsia" w:ascii="宋体" w:hAnsi="宋体" w:cs="宋体"/>
                <w:kern w:val="0"/>
                <w:szCs w:val="21"/>
              </w:rPr>
            </w:pPr>
            <w:r>
              <w:rPr>
                <w:rFonts w:hint="eastAsia" w:ascii="宋体" w:hAnsi="宋体"/>
              </w:rPr>
              <w:t>数学课程的理念</w:t>
            </w:r>
            <w:r>
              <w:rPr>
                <w:rFonts w:ascii="宋体" w:hAnsi="宋体"/>
              </w:rPr>
              <w:t>、目标与</w:t>
            </w:r>
            <w:r>
              <w:rPr>
                <w:rFonts w:hint="eastAsia" w:ascii="宋体" w:hAnsi="宋体"/>
              </w:rPr>
              <w:t>小学</w:t>
            </w:r>
            <w:r>
              <w:rPr>
                <w:rFonts w:ascii="宋体" w:hAnsi="宋体"/>
              </w:rPr>
              <w:t>数学</w:t>
            </w:r>
            <w:r>
              <w:rPr>
                <w:rFonts w:hint="eastAsia" w:ascii="宋体" w:hAnsi="宋体"/>
              </w:rPr>
              <w:t>教材</w:t>
            </w:r>
            <w:r>
              <w:rPr>
                <w:rFonts w:ascii="宋体" w:hAnsi="宋体"/>
              </w:rPr>
              <w:t>分析</w:t>
            </w:r>
          </w:p>
        </w:tc>
        <w:tc>
          <w:tcPr>
            <w:tcW w:w="1276" w:type="dxa"/>
            <w:noWrap w:val="0"/>
            <w:vAlign w:val="center"/>
          </w:tcPr>
          <w:p w14:paraId="53B0029F">
            <w:pPr>
              <w:jc w:val="center"/>
              <w:rPr>
                <w:rFonts w:ascii="宋体" w:hAnsi="宋体"/>
                <w:szCs w:val="21"/>
              </w:rPr>
            </w:pPr>
            <w:r>
              <w:rPr>
                <w:rFonts w:ascii="宋体" w:hAnsi="宋体"/>
                <w:szCs w:val="21"/>
              </w:rPr>
              <w:t xml:space="preserve"> </w:t>
            </w:r>
            <w:r>
              <w:rPr>
                <w:rFonts w:hint="eastAsia" w:ascii="宋体" w:hAnsi="宋体"/>
                <w:szCs w:val="21"/>
              </w:rPr>
              <w:t>3</w:t>
            </w:r>
            <w:r>
              <w:rPr>
                <w:rFonts w:ascii="宋体" w:hAnsi="宋体"/>
                <w:szCs w:val="21"/>
              </w:rPr>
              <w:t>-2</w:t>
            </w:r>
            <w:r>
              <w:rPr>
                <w:rFonts w:hint="eastAsia" w:ascii="宋体" w:hAnsi="宋体"/>
                <w:szCs w:val="21"/>
              </w:rPr>
              <w:t>、4-</w:t>
            </w:r>
            <w:r>
              <w:rPr>
                <w:rFonts w:ascii="宋体" w:hAnsi="宋体"/>
                <w:szCs w:val="21"/>
              </w:rPr>
              <w:t>1</w:t>
            </w:r>
            <w:r>
              <w:rPr>
                <w:rFonts w:hint="eastAsia" w:ascii="宋体" w:hAnsi="宋体"/>
                <w:szCs w:val="21"/>
              </w:rPr>
              <w:t>、</w:t>
            </w:r>
          </w:p>
          <w:p w14:paraId="38B923DA">
            <w:pPr>
              <w:jc w:val="center"/>
              <w:rPr>
                <w:rFonts w:ascii="宋体" w:hAnsi="宋体"/>
              </w:rPr>
            </w:pPr>
            <w:r>
              <w:rPr>
                <w:rFonts w:ascii="宋体" w:hAnsi="宋体"/>
                <w:szCs w:val="21"/>
              </w:rPr>
              <w:t>4-2</w:t>
            </w:r>
            <w:r>
              <w:rPr>
                <w:rFonts w:hint="eastAsia" w:ascii="宋体" w:hAnsi="宋体"/>
                <w:szCs w:val="21"/>
              </w:rPr>
              <w:t>、</w:t>
            </w:r>
            <w:r>
              <w:rPr>
                <w:rFonts w:ascii="宋体" w:hAnsi="宋体"/>
                <w:szCs w:val="21"/>
              </w:rPr>
              <w:t>6</w:t>
            </w:r>
            <w:r>
              <w:rPr>
                <w:rFonts w:hint="eastAsia" w:ascii="宋体" w:hAnsi="宋体"/>
                <w:szCs w:val="21"/>
              </w:rPr>
              <w:t>-</w:t>
            </w:r>
            <w:r>
              <w:rPr>
                <w:rFonts w:ascii="宋体" w:hAnsi="宋体"/>
                <w:szCs w:val="21"/>
              </w:rPr>
              <w:t>2</w:t>
            </w:r>
          </w:p>
        </w:tc>
      </w:tr>
      <w:tr w14:paraId="056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3BFB6FAC">
            <w:pPr>
              <w:pStyle w:val="40"/>
              <w:jc w:val="center"/>
              <w:rPr>
                <w:rFonts w:eastAsia="宋体"/>
              </w:rPr>
            </w:pPr>
          </w:p>
        </w:tc>
        <w:tc>
          <w:tcPr>
            <w:tcW w:w="1134" w:type="dxa"/>
            <w:noWrap w:val="0"/>
            <w:vAlign w:val="center"/>
          </w:tcPr>
          <w:p w14:paraId="30F4BA1C">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0A66BE77">
            <w:pPr>
              <w:pStyle w:val="40"/>
              <w:jc w:val="center"/>
              <w:rPr>
                <w:rFonts w:hint="eastAsia" w:eastAsia="宋体"/>
              </w:rPr>
            </w:pPr>
            <w:r>
              <w:rPr>
                <w:rFonts w:hint="eastAsia" w:eastAsia="宋体"/>
              </w:rPr>
              <w:t>10%</w:t>
            </w:r>
          </w:p>
        </w:tc>
        <w:tc>
          <w:tcPr>
            <w:tcW w:w="2693" w:type="dxa"/>
            <w:noWrap w:val="0"/>
            <w:vAlign w:val="center"/>
          </w:tcPr>
          <w:p w14:paraId="78569EA2">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7B0DA4F3">
            <w:pPr>
              <w:jc w:val="center"/>
              <w:rPr>
                <w:rFonts w:hint="eastAsia" w:ascii="宋体" w:hAnsi="宋体"/>
              </w:rPr>
            </w:pPr>
            <w:r>
              <w:rPr>
                <w:rFonts w:hint="eastAsia" w:ascii="宋体" w:hAnsi="宋体"/>
              </w:rPr>
              <w:t>课程目标1课程目标2</w:t>
            </w:r>
          </w:p>
          <w:p w14:paraId="0F5279F2">
            <w:pPr>
              <w:jc w:val="center"/>
              <w:rPr>
                <w:rFonts w:hint="eastAsia" w:ascii="宋体" w:hAnsi="宋体"/>
              </w:rPr>
            </w:pPr>
            <w:r>
              <w:rPr>
                <w:rFonts w:hint="eastAsia" w:ascii="宋体" w:hAnsi="宋体"/>
              </w:rPr>
              <w:t>课程目标3</w:t>
            </w:r>
          </w:p>
          <w:p w14:paraId="32F46AAF">
            <w:pPr>
              <w:jc w:val="center"/>
              <w:rPr>
                <w:rFonts w:ascii="宋体" w:hAnsi="宋体"/>
              </w:rPr>
            </w:pPr>
            <w:r>
              <w:rPr>
                <w:rFonts w:hint="eastAsia" w:ascii="宋体" w:hAnsi="宋体"/>
              </w:rPr>
              <w:t>课程目标4</w:t>
            </w:r>
          </w:p>
          <w:p w14:paraId="6BC42841">
            <w:pPr>
              <w:jc w:val="center"/>
              <w:rPr>
                <w:rFonts w:hint="eastAsia" w:ascii="宋体" w:hAnsi="宋体"/>
              </w:rPr>
            </w:pPr>
            <w:r>
              <w:rPr>
                <w:rFonts w:hint="eastAsia" w:ascii="宋体" w:hAnsi="宋体"/>
              </w:rPr>
              <w:t>课程目标5</w:t>
            </w:r>
          </w:p>
        </w:tc>
        <w:tc>
          <w:tcPr>
            <w:tcW w:w="1276" w:type="dxa"/>
            <w:noWrap w:val="0"/>
            <w:vAlign w:val="center"/>
          </w:tcPr>
          <w:p w14:paraId="50371125">
            <w:pPr>
              <w:jc w:val="center"/>
              <w:rPr>
                <w:rFonts w:hint="eastAsia" w:ascii="宋体" w:hAnsi="宋体"/>
              </w:rPr>
            </w:pPr>
            <w:r>
              <w:rPr>
                <w:rFonts w:hint="eastAsia" w:ascii="宋体" w:hAnsi="宋体"/>
              </w:rPr>
              <w:t>课堂</w:t>
            </w:r>
            <w:r>
              <w:rPr>
                <w:rFonts w:ascii="宋体" w:hAnsi="宋体"/>
              </w:rPr>
              <w:t>沟通、教学实践</w:t>
            </w:r>
          </w:p>
        </w:tc>
        <w:tc>
          <w:tcPr>
            <w:tcW w:w="1276" w:type="dxa"/>
            <w:noWrap w:val="0"/>
            <w:vAlign w:val="center"/>
          </w:tcPr>
          <w:p w14:paraId="6184C792">
            <w:pPr>
              <w:jc w:val="center"/>
              <w:rPr>
                <w:rFonts w:hint="eastAsia" w:ascii="宋体" w:hAnsi="宋体"/>
                <w:szCs w:val="21"/>
              </w:rPr>
            </w:pPr>
            <w:r>
              <w:rPr>
                <w:rFonts w:hint="eastAsia" w:ascii="宋体" w:hAnsi="宋体"/>
                <w:szCs w:val="21"/>
              </w:rPr>
              <w:t>3-2、4-1、</w:t>
            </w:r>
          </w:p>
          <w:p w14:paraId="22BA1E12">
            <w:pPr>
              <w:jc w:val="center"/>
              <w:rPr>
                <w:rFonts w:ascii="宋体" w:hAnsi="宋体"/>
                <w:szCs w:val="21"/>
              </w:rPr>
            </w:pPr>
            <w:r>
              <w:rPr>
                <w:rFonts w:hint="eastAsia" w:ascii="宋体" w:hAnsi="宋体"/>
                <w:szCs w:val="21"/>
              </w:rPr>
              <w:t>4-2、6-2、</w:t>
            </w:r>
            <w:r>
              <w:rPr>
                <w:rFonts w:ascii="宋体" w:hAnsi="宋体"/>
                <w:szCs w:val="21"/>
              </w:rPr>
              <w:t>8</w:t>
            </w:r>
            <w:r>
              <w:rPr>
                <w:rFonts w:hint="eastAsia" w:ascii="宋体" w:hAnsi="宋体"/>
                <w:szCs w:val="21"/>
              </w:rPr>
              <w:t>-1</w:t>
            </w:r>
          </w:p>
        </w:tc>
      </w:tr>
      <w:tr w14:paraId="645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4D33F179">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31EE9F6B">
            <w:pPr>
              <w:pStyle w:val="40"/>
              <w:jc w:val="center"/>
              <w:rPr>
                <w:rFonts w:hint="eastAsia" w:eastAsia="宋体"/>
              </w:rPr>
            </w:pPr>
            <w:r>
              <w:rPr>
                <w:rFonts w:hint="eastAsia" w:eastAsia="宋体"/>
              </w:rPr>
              <w:t>方案评价+现场</w:t>
            </w:r>
            <w:r>
              <w:rPr>
                <w:rFonts w:eastAsia="宋体"/>
              </w:rPr>
              <w:t>考核</w:t>
            </w:r>
          </w:p>
        </w:tc>
        <w:tc>
          <w:tcPr>
            <w:tcW w:w="709" w:type="dxa"/>
            <w:noWrap w:val="0"/>
            <w:vAlign w:val="center"/>
          </w:tcPr>
          <w:p w14:paraId="6FB9822F">
            <w:pPr>
              <w:pStyle w:val="40"/>
              <w:jc w:val="center"/>
              <w:rPr>
                <w:rFonts w:eastAsia="宋体"/>
              </w:rPr>
            </w:pPr>
            <w:r>
              <w:rPr>
                <w:rFonts w:hint="eastAsia" w:eastAsia="宋体"/>
              </w:rPr>
              <w:t>20</w:t>
            </w:r>
            <w:r>
              <w:rPr>
                <w:rFonts w:eastAsia="宋体"/>
              </w:rPr>
              <w:t>%</w:t>
            </w:r>
          </w:p>
        </w:tc>
        <w:tc>
          <w:tcPr>
            <w:tcW w:w="2693" w:type="dxa"/>
            <w:noWrap w:val="0"/>
            <w:vAlign w:val="center"/>
          </w:tcPr>
          <w:p w14:paraId="2DDE5A2B">
            <w:pPr>
              <w:pStyle w:val="40"/>
              <w:rPr>
                <w:rFonts w:eastAsia="宋体"/>
                <w:szCs w:val="21"/>
              </w:rPr>
            </w:pPr>
            <w:r>
              <w:rPr>
                <w:rFonts w:hint="eastAsia" w:eastAsia="宋体"/>
                <w:szCs w:val="21"/>
              </w:rPr>
              <w:t>认真完成4个项目的课内实践，提交相应的教材分析</w:t>
            </w:r>
            <w:r>
              <w:rPr>
                <w:rFonts w:eastAsia="宋体"/>
                <w:szCs w:val="21"/>
              </w:rPr>
              <w:t>报告和教学方案</w:t>
            </w:r>
            <w:r>
              <w:rPr>
                <w:rFonts w:hint="eastAsia" w:eastAsia="宋体"/>
                <w:szCs w:val="21"/>
              </w:rPr>
              <w:t>，并</w:t>
            </w:r>
            <w:r>
              <w:rPr>
                <w:rFonts w:eastAsia="宋体"/>
                <w:szCs w:val="21"/>
              </w:rPr>
              <w:t>尝试进行模拟教学；</w:t>
            </w:r>
            <w:r>
              <w:rPr>
                <w:rFonts w:hint="eastAsia" w:eastAsia="宋体"/>
                <w:szCs w:val="21"/>
              </w:rPr>
              <w:t>实行组内互评与教师评价相结合的方式。4个项目成绩取平均分作为课内实践分。</w:t>
            </w:r>
          </w:p>
        </w:tc>
        <w:tc>
          <w:tcPr>
            <w:tcW w:w="1276" w:type="dxa"/>
            <w:noWrap w:val="0"/>
            <w:vAlign w:val="center"/>
          </w:tcPr>
          <w:p w14:paraId="4EA0469A">
            <w:pPr>
              <w:jc w:val="center"/>
              <w:rPr>
                <w:rFonts w:ascii="宋体" w:hAnsi="宋体"/>
              </w:rPr>
            </w:pPr>
            <w:r>
              <w:rPr>
                <w:rFonts w:ascii="宋体" w:hAnsi="宋体"/>
              </w:rPr>
              <w:t>课程目标</w:t>
            </w:r>
            <w:r>
              <w:rPr>
                <w:rFonts w:hint="eastAsia" w:ascii="宋体" w:hAnsi="宋体"/>
              </w:rPr>
              <w:t>2</w:t>
            </w:r>
          </w:p>
          <w:p w14:paraId="763FC07A">
            <w:pPr>
              <w:jc w:val="center"/>
              <w:rPr>
                <w:rFonts w:ascii="宋体" w:hAnsi="宋体"/>
              </w:rPr>
            </w:pPr>
            <w:r>
              <w:rPr>
                <w:rFonts w:hint="eastAsia" w:ascii="宋体" w:hAnsi="宋体"/>
              </w:rPr>
              <w:t>课程目标</w:t>
            </w:r>
            <w:r>
              <w:rPr>
                <w:rFonts w:ascii="宋体" w:hAnsi="宋体"/>
              </w:rPr>
              <w:t>3课程目标4</w:t>
            </w:r>
          </w:p>
          <w:p w14:paraId="3F8DAB89">
            <w:pPr>
              <w:jc w:val="center"/>
              <w:rPr>
                <w:rFonts w:hint="eastAsia" w:ascii="宋体" w:hAnsi="宋体"/>
                <w:kern w:val="0"/>
                <w:sz w:val="24"/>
                <w:szCs w:val="22"/>
              </w:rPr>
            </w:pPr>
            <w:r>
              <w:rPr>
                <w:rFonts w:hint="eastAsia" w:ascii="宋体" w:hAnsi="宋体"/>
              </w:rPr>
              <w:t>课程</w:t>
            </w:r>
            <w:r>
              <w:rPr>
                <w:rFonts w:ascii="宋体" w:hAnsi="宋体"/>
              </w:rPr>
              <w:t>目标</w:t>
            </w:r>
            <w:r>
              <w:rPr>
                <w:rFonts w:hint="eastAsia" w:ascii="宋体" w:hAnsi="宋体"/>
              </w:rPr>
              <w:t>5</w:t>
            </w:r>
          </w:p>
        </w:tc>
        <w:tc>
          <w:tcPr>
            <w:tcW w:w="1276" w:type="dxa"/>
            <w:noWrap w:val="0"/>
            <w:vAlign w:val="center"/>
          </w:tcPr>
          <w:p w14:paraId="473D538C">
            <w:pPr>
              <w:jc w:val="center"/>
              <w:rPr>
                <w:rFonts w:hint="eastAsia" w:ascii="宋体" w:hAnsi="宋体"/>
                <w:kern w:val="0"/>
                <w:sz w:val="24"/>
                <w:szCs w:val="22"/>
              </w:rPr>
            </w:pPr>
            <w:r>
              <w:rPr>
                <w:rFonts w:hint="eastAsia" w:ascii="宋体" w:hAnsi="宋体"/>
              </w:rPr>
              <w:t>数学课程的理念</w:t>
            </w:r>
            <w:r>
              <w:rPr>
                <w:rFonts w:ascii="宋体" w:hAnsi="宋体"/>
              </w:rPr>
              <w:t>、目标</w:t>
            </w:r>
            <w:r>
              <w:rPr>
                <w:rFonts w:hint="eastAsia" w:ascii="宋体" w:hAnsi="宋体"/>
              </w:rPr>
              <w:t>、小学</w:t>
            </w:r>
            <w:r>
              <w:rPr>
                <w:rFonts w:ascii="宋体" w:hAnsi="宋体"/>
              </w:rPr>
              <w:t>数学</w:t>
            </w:r>
            <w:r>
              <w:rPr>
                <w:rFonts w:hint="eastAsia" w:ascii="宋体" w:hAnsi="宋体"/>
              </w:rPr>
              <w:t>教材</w:t>
            </w:r>
            <w:r>
              <w:rPr>
                <w:rFonts w:ascii="宋体" w:hAnsi="宋体"/>
              </w:rPr>
              <w:t>分析</w:t>
            </w:r>
            <w:r>
              <w:rPr>
                <w:rFonts w:hint="eastAsia" w:ascii="宋体" w:hAnsi="宋体"/>
              </w:rPr>
              <w:t>、教学</w:t>
            </w:r>
            <w:r>
              <w:rPr>
                <w:rFonts w:ascii="宋体" w:hAnsi="宋体"/>
              </w:rPr>
              <w:t>方案</w:t>
            </w:r>
            <w:r>
              <w:rPr>
                <w:rFonts w:hint="eastAsia" w:ascii="宋体" w:hAnsi="宋体"/>
              </w:rPr>
              <w:t>设计与</w:t>
            </w:r>
            <w:r>
              <w:rPr>
                <w:rFonts w:ascii="宋体" w:hAnsi="宋体"/>
              </w:rPr>
              <w:t>实施</w:t>
            </w:r>
          </w:p>
        </w:tc>
        <w:tc>
          <w:tcPr>
            <w:tcW w:w="1276" w:type="dxa"/>
            <w:noWrap w:val="0"/>
            <w:vAlign w:val="center"/>
          </w:tcPr>
          <w:p w14:paraId="0452EF5F">
            <w:pPr>
              <w:jc w:val="center"/>
              <w:rPr>
                <w:rFonts w:hint="eastAsia" w:ascii="宋体" w:hAnsi="宋体"/>
                <w:szCs w:val="21"/>
              </w:rPr>
            </w:pPr>
            <w:r>
              <w:rPr>
                <w:rFonts w:hint="eastAsia" w:ascii="宋体" w:hAnsi="宋体"/>
                <w:szCs w:val="21"/>
              </w:rPr>
              <w:t>3-2、4-1、</w:t>
            </w:r>
          </w:p>
          <w:p w14:paraId="3235C086">
            <w:pPr>
              <w:jc w:val="center"/>
              <w:rPr>
                <w:rFonts w:ascii="宋体" w:hAnsi="宋体"/>
                <w:kern w:val="0"/>
                <w:sz w:val="24"/>
                <w:szCs w:val="22"/>
              </w:rPr>
            </w:pPr>
            <w:r>
              <w:rPr>
                <w:rFonts w:hint="eastAsia" w:ascii="宋体" w:hAnsi="宋体"/>
                <w:szCs w:val="21"/>
              </w:rPr>
              <w:t>4-2、8</w:t>
            </w:r>
            <w:r>
              <w:rPr>
                <w:rFonts w:ascii="宋体" w:hAnsi="宋体"/>
                <w:szCs w:val="21"/>
              </w:rPr>
              <w:t>-1</w:t>
            </w:r>
          </w:p>
        </w:tc>
      </w:tr>
      <w:tr w14:paraId="3563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7F03EEE3">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2547D1E7">
            <w:pPr>
              <w:pStyle w:val="40"/>
              <w:jc w:val="center"/>
              <w:rPr>
                <w:rFonts w:eastAsia="宋体"/>
              </w:rPr>
            </w:pPr>
            <w:r>
              <w:rPr>
                <w:rFonts w:hint="eastAsia" w:eastAsia="宋体"/>
              </w:rPr>
              <w:t>闭卷笔试</w:t>
            </w:r>
          </w:p>
        </w:tc>
        <w:tc>
          <w:tcPr>
            <w:tcW w:w="709" w:type="dxa"/>
            <w:noWrap w:val="0"/>
            <w:vAlign w:val="center"/>
          </w:tcPr>
          <w:p w14:paraId="2998F56D">
            <w:pPr>
              <w:pStyle w:val="40"/>
              <w:jc w:val="center"/>
              <w:rPr>
                <w:rFonts w:eastAsia="宋体"/>
              </w:rPr>
            </w:pPr>
            <w:r>
              <w:rPr>
                <w:rFonts w:eastAsia="宋体"/>
              </w:rPr>
              <w:t>5</w:t>
            </w:r>
            <w:r>
              <w:rPr>
                <w:rFonts w:hint="eastAsia" w:eastAsia="宋体"/>
              </w:rPr>
              <w:t xml:space="preserve">0 </w:t>
            </w:r>
            <w:r>
              <w:rPr>
                <w:rFonts w:eastAsia="宋体"/>
              </w:rPr>
              <w:t>%</w:t>
            </w:r>
          </w:p>
        </w:tc>
        <w:tc>
          <w:tcPr>
            <w:tcW w:w="2693" w:type="dxa"/>
            <w:noWrap w:val="0"/>
            <w:vAlign w:val="center"/>
          </w:tcPr>
          <w:p w14:paraId="520E0E87">
            <w:pPr>
              <w:pStyle w:val="40"/>
              <w:rPr>
                <w:rFonts w:eastAsia="宋体"/>
                <w:szCs w:val="21"/>
              </w:rPr>
            </w:pPr>
            <w:r>
              <w:rPr>
                <w:rFonts w:hint="eastAsia" w:eastAsia="宋体"/>
                <w:szCs w:val="21"/>
              </w:rPr>
              <w:t>试卷题型包括填空题、选择题、简答题、分析题、设计题等题型，一方面考核师范生小学数学教学理论知识的掌握情况，另一方面考核师范生运用所学理论解决问题的能力。</w:t>
            </w:r>
          </w:p>
        </w:tc>
        <w:tc>
          <w:tcPr>
            <w:tcW w:w="1276" w:type="dxa"/>
            <w:noWrap w:val="0"/>
            <w:vAlign w:val="center"/>
          </w:tcPr>
          <w:p w14:paraId="73227C8B">
            <w:pPr>
              <w:jc w:val="center"/>
              <w:rPr>
                <w:rFonts w:ascii="宋体" w:hAnsi="宋体"/>
              </w:rPr>
            </w:pPr>
            <w:r>
              <w:rPr>
                <w:rFonts w:ascii="宋体" w:hAnsi="宋体"/>
              </w:rPr>
              <w:t>课程目标</w:t>
            </w:r>
            <w:r>
              <w:rPr>
                <w:rFonts w:hint="eastAsia" w:ascii="宋体" w:hAnsi="宋体"/>
              </w:rPr>
              <w:t>1</w:t>
            </w:r>
          </w:p>
          <w:p w14:paraId="54F4BBED">
            <w:pPr>
              <w:jc w:val="center"/>
              <w:rPr>
                <w:rFonts w:ascii="宋体" w:hAnsi="宋体"/>
              </w:rPr>
            </w:pPr>
            <w:r>
              <w:rPr>
                <w:rFonts w:hint="eastAsia" w:ascii="宋体" w:hAnsi="宋体"/>
              </w:rPr>
              <w:t>课程目标</w:t>
            </w:r>
            <w:r>
              <w:rPr>
                <w:rFonts w:ascii="宋体" w:hAnsi="宋体"/>
              </w:rPr>
              <w:t>2课程目标3</w:t>
            </w:r>
          </w:p>
          <w:p w14:paraId="7EA413A8">
            <w:pPr>
              <w:jc w:val="center"/>
              <w:rPr>
                <w:rFonts w:ascii="宋体" w:hAnsi="宋体"/>
              </w:rPr>
            </w:pPr>
            <w:r>
              <w:rPr>
                <w:rFonts w:hint="eastAsia" w:ascii="宋体" w:hAnsi="宋体"/>
              </w:rPr>
              <w:t>课程目标</w:t>
            </w:r>
            <w:r>
              <w:rPr>
                <w:rFonts w:ascii="宋体" w:hAnsi="宋体"/>
              </w:rPr>
              <w:t>4</w:t>
            </w:r>
          </w:p>
          <w:p w14:paraId="776436AA">
            <w:pPr>
              <w:jc w:val="center"/>
              <w:rPr>
                <w:rFonts w:hint="eastAsia" w:ascii="宋体" w:hAnsi="宋体"/>
                <w:szCs w:val="21"/>
              </w:rPr>
            </w:pPr>
            <w:r>
              <w:rPr>
                <w:rFonts w:hint="eastAsia" w:ascii="宋体" w:hAnsi="宋体"/>
                <w:szCs w:val="21"/>
              </w:rPr>
              <w:t>课程目标</w:t>
            </w:r>
            <w:r>
              <w:rPr>
                <w:rFonts w:ascii="宋体" w:hAnsi="宋体"/>
                <w:szCs w:val="21"/>
              </w:rPr>
              <w:t>5</w:t>
            </w:r>
          </w:p>
        </w:tc>
        <w:tc>
          <w:tcPr>
            <w:tcW w:w="1276" w:type="dxa"/>
            <w:noWrap w:val="0"/>
            <w:vAlign w:val="center"/>
          </w:tcPr>
          <w:p w14:paraId="54574761">
            <w:pPr>
              <w:jc w:val="center"/>
              <w:rPr>
                <w:rFonts w:hint="eastAsia" w:ascii="宋体" w:hAnsi="宋体"/>
                <w:szCs w:val="21"/>
              </w:rPr>
            </w:pPr>
            <w:r>
              <w:rPr>
                <w:rFonts w:hint="eastAsia" w:ascii="宋体" w:hAnsi="宋体" w:cs="宋体"/>
                <w:kern w:val="0"/>
                <w:szCs w:val="21"/>
              </w:rPr>
              <w:t>数学课程的理念、目标、小学数学教材分析、教学方案设计</w:t>
            </w:r>
            <w:r>
              <w:rPr>
                <w:rFonts w:ascii="宋体" w:hAnsi="宋体" w:cs="宋体"/>
                <w:kern w:val="0"/>
                <w:szCs w:val="21"/>
              </w:rPr>
              <w:t>与实施</w:t>
            </w:r>
          </w:p>
        </w:tc>
        <w:tc>
          <w:tcPr>
            <w:tcW w:w="1276" w:type="dxa"/>
            <w:noWrap w:val="0"/>
            <w:vAlign w:val="center"/>
          </w:tcPr>
          <w:p w14:paraId="1BEF3C1D">
            <w:pPr>
              <w:rPr>
                <w:rFonts w:hint="eastAsia" w:ascii="宋体" w:hAnsi="宋体"/>
                <w:szCs w:val="21"/>
              </w:rPr>
            </w:pPr>
            <w:r>
              <w:rPr>
                <w:rFonts w:hint="eastAsia" w:ascii="宋体" w:hAnsi="宋体"/>
                <w:szCs w:val="21"/>
              </w:rPr>
              <w:t>3-2、4-1、</w:t>
            </w:r>
          </w:p>
          <w:p w14:paraId="3DA85183">
            <w:pPr>
              <w:rPr>
                <w:rFonts w:ascii="宋体" w:hAnsi="宋体"/>
                <w:szCs w:val="21"/>
              </w:rPr>
            </w:pPr>
            <w:r>
              <w:rPr>
                <w:rFonts w:hint="eastAsia" w:ascii="宋体" w:hAnsi="宋体"/>
                <w:szCs w:val="21"/>
              </w:rPr>
              <w:t>4-2、</w:t>
            </w:r>
            <w:r>
              <w:rPr>
                <w:rFonts w:ascii="宋体" w:hAnsi="宋体"/>
                <w:szCs w:val="21"/>
              </w:rPr>
              <w:t>6-2</w:t>
            </w:r>
            <w:r>
              <w:rPr>
                <w:rFonts w:hint="eastAsia" w:ascii="宋体" w:hAnsi="宋体"/>
                <w:szCs w:val="21"/>
              </w:rPr>
              <w:t>、8-1</w:t>
            </w:r>
          </w:p>
        </w:tc>
      </w:tr>
    </w:tbl>
    <w:p w14:paraId="62B6ECDE">
      <w:pPr>
        <w:spacing w:line="360" w:lineRule="auto"/>
        <w:rPr>
          <w:rFonts w:ascii="宋体" w:hAnsi="宋体"/>
          <w:sz w:val="24"/>
          <w:szCs w:val="22"/>
        </w:rPr>
      </w:pPr>
    </w:p>
    <w:p w14:paraId="51DC3364">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48"/>
        <w:gridCol w:w="1816"/>
        <w:gridCol w:w="2196"/>
        <w:gridCol w:w="1843"/>
        <w:gridCol w:w="1134"/>
      </w:tblGrid>
      <w:tr w14:paraId="7502AE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3864" w:type="dxa"/>
            <w:gridSpan w:val="2"/>
            <w:shd w:val="clear" w:color="auto" w:fill="auto"/>
            <w:noWrap w:val="0"/>
            <w:vAlign w:val="center"/>
          </w:tcPr>
          <w:p w14:paraId="55FFE550">
            <w:pPr>
              <w:widowControl/>
              <w:jc w:val="center"/>
              <w:rPr>
                <w:rFonts w:ascii="宋体" w:hAnsi="宋体"/>
                <w:kern w:val="0"/>
                <w:szCs w:val="21"/>
              </w:rPr>
            </w:pPr>
            <w:r>
              <w:rPr>
                <w:rFonts w:hint="eastAsia" w:ascii="宋体" w:hAnsi="宋体"/>
                <w:kern w:val="0"/>
                <w:szCs w:val="21"/>
              </w:rPr>
              <w:t>课程目标及权重</w:t>
            </w:r>
          </w:p>
        </w:tc>
        <w:tc>
          <w:tcPr>
            <w:tcW w:w="5173" w:type="dxa"/>
            <w:gridSpan w:val="3"/>
            <w:shd w:val="clear" w:color="auto" w:fill="auto"/>
            <w:noWrap w:val="0"/>
            <w:vAlign w:val="center"/>
          </w:tcPr>
          <w:p w14:paraId="56034380">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0AD0FC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2048" w:type="dxa"/>
            <w:shd w:val="clear" w:color="auto" w:fill="auto"/>
            <w:noWrap w:val="0"/>
            <w:vAlign w:val="center"/>
          </w:tcPr>
          <w:p w14:paraId="5CB85A93">
            <w:pPr>
              <w:widowControl/>
              <w:jc w:val="center"/>
              <w:rPr>
                <w:rFonts w:hint="eastAsia" w:ascii="宋体" w:hAnsi="宋体"/>
                <w:kern w:val="0"/>
                <w:szCs w:val="21"/>
              </w:rPr>
            </w:pPr>
            <w:r>
              <w:rPr>
                <w:rFonts w:hint="eastAsia" w:ascii="宋体" w:hAnsi="宋体"/>
                <w:kern w:val="0"/>
                <w:szCs w:val="21"/>
              </w:rPr>
              <w:t>项目</w:t>
            </w:r>
          </w:p>
        </w:tc>
        <w:tc>
          <w:tcPr>
            <w:tcW w:w="1816" w:type="dxa"/>
            <w:shd w:val="clear" w:color="auto" w:fill="auto"/>
            <w:noWrap w:val="0"/>
            <w:vAlign w:val="center"/>
          </w:tcPr>
          <w:p w14:paraId="286130A2">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shd w:val="clear" w:color="auto" w:fill="auto"/>
            <w:noWrap w:val="0"/>
            <w:vAlign w:val="center"/>
          </w:tcPr>
          <w:p w14:paraId="2D9608B5">
            <w:pPr>
              <w:widowControl/>
              <w:jc w:val="center"/>
              <w:rPr>
                <w:rFonts w:hint="eastAsia" w:ascii="宋体" w:hAnsi="宋体"/>
                <w:kern w:val="0"/>
                <w:szCs w:val="21"/>
              </w:rPr>
            </w:pPr>
            <w:r>
              <w:rPr>
                <w:rFonts w:hint="eastAsia" w:ascii="宋体" w:hAnsi="宋体"/>
                <w:kern w:val="0"/>
                <w:szCs w:val="21"/>
              </w:rPr>
              <w:t>评价依据</w:t>
            </w:r>
          </w:p>
        </w:tc>
        <w:tc>
          <w:tcPr>
            <w:tcW w:w="1843" w:type="dxa"/>
            <w:shd w:val="clear" w:color="auto" w:fill="auto"/>
            <w:noWrap w:val="0"/>
            <w:vAlign w:val="center"/>
          </w:tcPr>
          <w:p w14:paraId="6FB69DD7">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noWrap w:val="0"/>
            <w:vAlign w:val="top"/>
          </w:tcPr>
          <w:p w14:paraId="6AA4A847">
            <w:pPr>
              <w:widowControl/>
              <w:rPr>
                <w:rFonts w:hint="eastAsia" w:ascii="宋体" w:hAnsi="宋体"/>
                <w:kern w:val="0"/>
                <w:szCs w:val="21"/>
              </w:rPr>
            </w:pPr>
            <w:r>
              <w:rPr>
                <w:rFonts w:hint="eastAsia" w:ascii="宋体" w:hAnsi="宋体"/>
                <w:kern w:val="0"/>
                <w:szCs w:val="21"/>
              </w:rPr>
              <w:t>考核方式权重合计</w:t>
            </w:r>
          </w:p>
        </w:tc>
      </w:tr>
      <w:tr w14:paraId="738249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restart"/>
            <w:shd w:val="clear" w:color="auto" w:fill="auto"/>
            <w:noWrap w:val="0"/>
            <w:vAlign w:val="center"/>
          </w:tcPr>
          <w:p w14:paraId="59FC4F29">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shd w:val="clear" w:color="auto" w:fill="auto"/>
            <w:noWrap w:val="0"/>
            <w:vAlign w:val="center"/>
          </w:tcPr>
          <w:p w14:paraId="5A49E2EF">
            <w:pPr>
              <w:widowControl/>
              <w:jc w:val="center"/>
              <w:rPr>
                <w:rFonts w:hint="eastAsia" w:ascii="宋体" w:hAnsi="宋体"/>
                <w:kern w:val="0"/>
                <w:szCs w:val="21"/>
              </w:rPr>
            </w:pPr>
            <w:r>
              <w:rPr>
                <w:rFonts w:ascii="宋体" w:hAnsi="宋体"/>
                <w:kern w:val="0"/>
                <w:szCs w:val="21"/>
              </w:rPr>
              <w:t>10</w:t>
            </w:r>
            <w:r>
              <w:rPr>
                <w:rFonts w:hint="eastAsia" w:ascii="宋体" w:hAnsi="宋体"/>
                <w:kern w:val="0"/>
                <w:szCs w:val="21"/>
              </w:rPr>
              <w:t>%</w:t>
            </w:r>
          </w:p>
        </w:tc>
        <w:tc>
          <w:tcPr>
            <w:tcW w:w="2196" w:type="dxa"/>
            <w:shd w:val="clear" w:color="auto" w:fill="auto"/>
            <w:noWrap w:val="0"/>
            <w:vAlign w:val="center"/>
          </w:tcPr>
          <w:p w14:paraId="10F391DD">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24B3EBF2">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467627BB">
            <w:pPr>
              <w:widowControl/>
              <w:jc w:val="center"/>
              <w:rPr>
                <w:rFonts w:hint="eastAsia" w:ascii="宋体" w:hAnsi="宋体"/>
                <w:kern w:val="0"/>
                <w:szCs w:val="21"/>
              </w:rPr>
            </w:pPr>
            <w:r>
              <w:rPr>
                <w:rFonts w:hint="eastAsia" w:ascii="宋体" w:hAnsi="宋体"/>
                <w:kern w:val="0"/>
                <w:szCs w:val="21"/>
              </w:rPr>
              <w:t>100%</w:t>
            </w:r>
          </w:p>
        </w:tc>
      </w:tr>
      <w:tr w14:paraId="68CA32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FAFE497">
            <w:pPr>
              <w:widowControl/>
              <w:jc w:val="left"/>
              <w:rPr>
                <w:rFonts w:ascii="宋体" w:hAnsi="宋体"/>
                <w:kern w:val="0"/>
                <w:szCs w:val="21"/>
              </w:rPr>
            </w:pPr>
          </w:p>
        </w:tc>
        <w:tc>
          <w:tcPr>
            <w:tcW w:w="1816" w:type="dxa"/>
            <w:vMerge w:val="continue"/>
            <w:shd w:val="clear" w:color="auto" w:fill="auto"/>
            <w:noWrap w:val="0"/>
            <w:vAlign w:val="center"/>
          </w:tcPr>
          <w:p w14:paraId="2FACB929">
            <w:pPr>
              <w:widowControl/>
              <w:jc w:val="left"/>
              <w:rPr>
                <w:rFonts w:ascii="宋体" w:hAnsi="宋体"/>
                <w:kern w:val="0"/>
                <w:szCs w:val="21"/>
              </w:rPr>
            </w:pPr>
          </w:p>
        </w:tc>
        <w:tc>
          <w:tcPr>
            <w:tcW w:w="2196" w:type="dxa"/>
            <w:shd w:val="clear" w:color="auto" w:fill="auto"/>
            <w:noWrap w:val="0"/>
            <w:vAlign w:val="center"/>
          </w:tcPr>
          <w:p w14:paraId="58798D7B">
            <w:pPr>
              <w:widowControl/>
              <w:jc w:val="center"/>
              <w:rPr>
                <w:rFonts w:hint="eastAsia"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shd w:val="clear" w:color="auto" w:fill="auto"/>
            <w:noWrap w:val="0"/>
            <w:vAlign w:val="center"/>
          </w:tcPr>
          <w:p w14:paraId="6DC1D48F">
            <w:pPr>
              <w:widowControl/>
              <w:jc w:val="center"/>
              <w:rPr>
                <w:rFonts w:hint="eastAsia" w:ascii="宋体" w:hAnsi="宋体"/>
                <w:kern w:val="0"/>
                <w:szCs w:val="21"/>
              </w:rPr>
            </w:pPr>
            <w:r>
              <w:rPr>
                <w:rFonts w:hint="eastAsia" w:ascii="宋体" w:hAnsi="宋体"/>
                <w:kern w:val="0"/>
                <w:szCs w:val="21"/>
              </w:rPr>
              <w:t>30%</w:t>
            </w:r>
          </w:p>
        </w:tc>
        <w:tc>
          <w:tcPr>
            <w:tcW w:w="1134" w:type="dxa"/>
            <w:vMerge w:val="continue"/>
            <w:noWrap w:val="0"/>
            <w:vAlign w:val="center"/>
          </w:tcPr>
          <w:p w14:paraId="3A7E299D">
            <w:pPr>
              <w:widowControl/>
              <w:jc w:val="center"/>
              <w:rPr>
                <w:rFonts w:hint="eastAsia" w:ascii="宋体" w:hAnsi="宋体"/>
                <w:kern w:val="0"/>
                <w:szCs w:val="21"/>
              </w:rPr>
            </w:pPr>
          </w:p>
        </w:tc>
      </w:tr>
      <w:tr w14:paraId="63D570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38962B2">
            <w:pPr>
              <w:widowControl/>
              <w:jc w:val="left"/>
              <w:rPr>
                <w:rFonts w:ascii="宋体" w:hAnsi="宋体"/>
                <w:kern w:val="0"/>
                <w:szCs w:val="21"/>
              </w:rPr>
            </w:pPr>
          </w:p>
        </w:tc>
        <w:tc>
          <w:tcPr>
            <w:tcW w:w="1816" w:type="dxa"/>
            <w:vMerge w:val="continue"/>
            <w:shd w:val="clear" w:color="auto" w:fill="auto"/>
            <w:noWrap w:val="0"/>
            <w:vAlign w:val="center"/>
          </w:tcPr>
          <w:p w14:paraId="01AC3E60">
            <w:pPr>
              <w:widowControl/>
              <w:jc w:val="left"/>
              <w:rPr>
                <w:rFonts w:ascii="宋体" w:hAnsi="宋体"/>
                <w:kern w:val="0"/>
                <w:szCs w:val="21"/>
              </w:rPr>
            </w:pPr>
          </w:p>
        </w:tc>
        <w:tc>
          <w:tcPr>
            <w:tcW w:w="2196" w:type="dxa"/>
            <w:shd w:val="clear" w:color="auto" w:fill="auto"/>
            <w:noWrap w:val="0"/>
            <w:vAlign w:val="center"/>
          </w:tcPr>
          <w:p w14:paraId="59579CEA">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11ABA0C8">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51381838">
            <w:pPr>
              <w:widowControl/>
              <w:jc w:val="center"/>
              <w:rPr>
                <w:rFonts w:hint="eastAsia" w:ascii="宋体" w:hAnsi="宋体"/>
                <w:kern w:val="0"/>
                <w:szCs w:val="21"/>
              </w:rPr>
            </w:pPr>
          </w:p>
        </w:tc>
      </w:tr>
      <w:tr w14:paraId="53C7D1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6184CFCF">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shd w:val="clear" w:color="auto" w:fill="auto"/>
            <w:noWrap w:val="0"/>
            <w:vAlign w:val="center"/>
          </w:tcPr>
          <w:p w14:paraId="791410CC">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shd w:val="clear" w:color="auto" w:fill="auto"/>
            <w:noWrap w:val="0"/>
            <w:vAlign w:val="center"/>
          </w:tcPr>
          <w:p w14:paraId="738AE017">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5D9B207D">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noWrap w:val="0"/>
            <w:vAlign w:val="center"/>
          </w:tcPr>
          <w:p w14:paraId="503FBBBC">
            <w:pPr>
              <w:widowControl/>
              <w:jc w:val="center"/>
              <w:rPr>
                <w:rFonts w:hint="eastAsia" w:ascii="宋体" w:hAnsi="宋体"/>
                <w:kern w:val="0"/>
                <w:szCs w:val="21"/>
              </w:rPr>
            </w:pPr>
            <w:r>
              <w:rPr>
                <w:rFonts w:hint="eastAsia" w:ascii="宋体" w:hAnsi="宋体"/>
                <w:kern w:val="0"/>
                <w:szCs w:val="21"/>
              </w:rPr>
              <w:t>100%</w:t>
            </w:r>
          </w:p>
        </w:tc>
      </w:tr>
      <w:tr w14:paraId="27D150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7B54DA8">
            <w:pPr>
              <w:widowControl/>
              <w:jc w:val="left"/>
              <w:rPr>
                <w:rFonts w:ascii="宋体" w:hAnsi="宋体"/>
                <w:kern w:val="0"/>
                <w:szCs w:val="21"/>
              </w:rPr>
            </w:pPr>
          </w:p>
        </w:tc>
        <w:tc>
          <w:tcPr>
            <w:tcW w:w="1816" w:type="dxa"/>
            <w:vMerge w:val="continue"/>
            <w:shd w:val="clear" w:color="auto" w:fill="auto"/>
            <w:noWrap w:val="0"/>
            <w:vAlign w:val="center"/>
          </w:tcPr>
          <w:p w14:paraId="631BEA38">
            <w:pPr>
              <w:widowControl/>
              <w:jc w:val="left"/>
              <w:rPr>
                <w:rFonts w:ascii="宋体" w:hAnsi="宋体"/>
                <w:kern w:val="0"/>
                <w:szCs w:val="21"/>
              </w:rPr>
            </w:pPr>
          </w:p>
        </w:tc>
        <w:tc>
          <w:tcPr>
            <w:tcW w:w="2196" w:type="dxa"/>
            <w:shd w:val="clear" w:color="auto" w:fill="auto"/>
            <w:noWrap w:val="0"/>
            <w:vAlign w:val="center"/>
          </w:tcPr>
          <w:p w14:paraId="035BA07A">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shd w:val="clear" w:color="auto" w:fill="auto"/>
            <w:noWrap w:val="0"/>
            <w:vAlign w:val="center"/>
          </w:tcPr>
          <w:p w14:paraId="5B1A5784">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noWrap w:val="0"/>
            <w:vAlign w:val="center"/>
          </w:tcPr>
          <w:p w14:paraId="0A620B86">
            <w:pPr>
              <w:widowControl/>
              <w:jc w:val="center"/>
              <w:rPr>
                <w:rFonts w:hint="eastAsia" w:ascii="宋体" w:hAnsi="宋体"/>
                <w:kern w:val="0"/>
                <w:szCs w:val="21"/>
              </w:rPr>
            </w:pPr>
          </w:p>
        </w:tc>
      </w:tr>
      <w:tr w14:paraId="50E68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3D07CBC">
            <w:pPr>
              <w:widowControl/>
              <w:jc w:val="left"/>
              <w:rPr>
                <w:rFonts w:ascii="宋体" w:hAnsi="宋体"/>
                <w:kern w:val="0"/>
                <w:szCs w:val="21"/>
              </w:rPr>
            </w:pPr>
          </w:p>
        </w:tc>
        <w:tc>
          <w:tcPr>
            <w:tcW w:w="1816" w:type="dxa"/>
            <w:vMerge w:val="continue"/>
            <w:shd w:val="clear" w:color="auto" w:fill="auto"/>
            <w:noWrap w:val="0"/>
            <w:vAlign w:val="center"/>
          </w:tcPr>
          <w:p w14:paraId="0582ECEC">
            <w:pPr>
              <w:widowControl/>
              <w:jc w:val="left"/>
              <w:rPr>
                <w:rFonts w:ascii="宋体" w:hAnsi="宋体"/>
                <w:kern w:val="0"/>
                <w:szCs w:val="21"/>
              </w:rPr>
            </w:pPr>
          </w:p>
        </w:tc>
        <w:tc>
          <w:tcPr>
            <w:tcW w:w="2196" w:type="dxa"/>
            <w:shd w:val="clear" w:color="auto" w:fill="auto"/>
            <w:noWrap w:val="0"/>
            <w:vAlign w:val="center"/>
          </w:tcPr>
          <w:p w14:paraId="33BC327E">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59213C8B">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28737168">
            <w:pPr>
              <w:widowControl/>
              <w:jc w:val="center"/>
              <w:rPr>
                <w:rFonts w:hint="eastAsia" w:ascii="宋体" w:hAnsi="宋体"/>
                <w:kern w:val="0"/>
                <w:szCs w:val="21"/>
              </w:rPr>
            </w:pPr>
          </w:p>
        </w:tc>
      </w:tr>
      <w:tr w14:paraId="4BEA4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F50368E">
            <w:pPr>
              <w:widowControl/>
              <w:jc w:val="left"/>
              <w:rPr>
                <w:rFonts w:ascii="宋体" w:hAnsi="宋体"/>
                <w:kern w:val="0"/>
                <w:szCs w:val="21"/>
              </w:rPr>
            </w:pPr>
          </w:p>
        </w:tc>
        <w:tc>
          <w:tcPr>
            <w:tcW w:w="1816" w:type="dxa"/>
            <w:vMerge w:val="continue"/>
            <w:shd w:val="clear" w:color="auto" w:fill="auto"/>
            <w:noWrap w:val="0"/>
            <w:vAlign w:val="center"/>
          </w:tcPr>
          <w:p w14:paraId="2E936716">
            <w:pPr>
              <w:widowControl/>
              <w:jc w:val="left"/>
              <w:rPr>
                <w:rFonts w:ascii="宋体" w:hAnsi="宋体"/>
                <w:kern w:val="0"/>
                <w:szCs w:val="21"/>
              </w:rPr>
            </w:pPr>
          </w:p>
        </w:tc>
        <w:tc>
          <w:tcPr>
            <w:tcW w:w="2196" w:type="dxa"/>
            <w:shd w:val="clear" w:color="auto" w:fill="auto"/>
            <w:noWrap w:val="0"/>
            <w:vAlign w:val="center"/>
          </w:tcPr>
          <w:p w14:paraId="2ECE6D60">
            <w:pPr>
              <w:widowControl/>
              <w:jc w:val="center"/>
              <w:rPr>
                <w:rFonts w:hint="eastAsia" w:ascii="宋体" w:hAnsi="宋体"/>
                <w:kern w:val="0"/>
                <w:szCs w:val="21"/>
              </w:rPr>
            </w:pPr>
            <w:r>
              <w:rPr>
                <w:rFonts w:hint="eastAsia" w:ascii="宋体" w:hAnsi="宋体"/>
                <w:kern w:val="0"/>
                <w:szCs w:val="21"/>
              </w:rPr>
              <w:t>课内</w:t>
            </w:r>
            <w:r>
              <w:rPr>
                <w:rFonts w:ascii="宋体" w:hAnsi="宋体"/>
                <w:kern w:val="0"/>
                <w:szCs w:val="21"/>
              </w:rPr>
              <w:t>实践</w:t>
            </w:r>
          </w:p>
        </w:tc>
        <w:tc>
          <w:tcPr>
            <w:tcW w:w="1843" w:type="dxa"/>
            <w:shd w:val="clear" w:color="auto" w:fill="auto"/>
            <w:noWrap w:val="0"/>
            <w:vAlign w:val="center"/>
          </w:tcPr>
          <w:p w14:paraId="564F21A8">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continue"/>
            <w:noWrap w:val="0"/>
            <w:vAlign w:val="center"/>
          </w:tcPr>
          <w:p w14:paraId="56139584">
            <w:pPr>
              <w:widowControl/>
              <w:jc w:val="center"/>
              <w:rPr>
                <w:rFonts w:hint="eastAsia" w:ascii="宋体" w:hAnsi="宋体"/>
                <w:kern w:val="0"/>
                <w:szCs w:val="21"/>
              </w:rPr>
            </w:pPr>
          </w:p>
        </w:tc>
      </w:tr>
      <w:tr w14:paraId="7835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143BABAE">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shd w:val="clear" w:color="auto" w:fill="auto"/>
            <w:noWrap w:val="0"/>
            <w:vAlign w:val="center"/>
          </w:tcPr>
          <w:p w14:paraId="59676D79">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shd w:val="clear" w:color="auto" w:fill="auto"/>
            <w:noWrap w:val="0"/>
            <w:vAlign w:val="center"/>
          </w:tcPr>
          <w:p w14:paraId="4F7AECF5">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12B05841">
            <w:pPr>
              <w:widowControl/>
              <w:jc w:val="center"/>
              <w:rPr>
                <w:rFonts w:hint="eastAsia" w:ascii="宋体" w:hAnsi="宋体"/>
                <w:kern w:val="0"/>
                <w:szCs w:val="21"/>
              </w:rPr>
            </w:pPr>
            <w:r>
              <w:rPr>
                <w:rFonts w:ascii="宋体" w:hAnsi="宋体"/>
                <w:kern w:val="0"/>
                <w:szCs w:val="21"/>
              </w:rPr>
              <w:t>4</w:t>
            </w:r>
            <w:r>
              <w:rPr>
                <w:rFonts w:hint="eastAsia" w:ascii="宋体" w:hAnsi="宋体"/>
                <w:kern w:val="0"/>
                <w:szCs w:val="21"/>
              </w:rPr>
              <w:t>0%</w:t>
            </w:r>
          </w:p>
        </w:tc>
        <w:tc>
          <w:tcPr>
            <w:tcW w:w="1134" w:type="dxa"/>
            <w:vMerge w:val="restart"/>
            <w:noWrap w:val="0"/>
            <w:vAlign w:val="center"/>
          </w:tcPr>
          <w:p w14:paraId="07D3BE2B">
            <w:pPr>
              <w:widowControl/>
              <w:jc w:val="center"/>
              <w:rPr>
                <w:rFonts w:hint="eastAsia" w:ascii="宋体" w:hAnsi="宋体"/>
                <w:kern w:val="0"/>
                <w:szCs w:val="21"/>
              </w:rPr>
            </w:pPr>
            <w:r>
              <w:rPr>
                <w:rFonts w:hint="eastAsia" w:ascii="宋体" w:hAnsi="宋体"/>
                <w:kern w:val="0"/>
                <w:szCs w:val="21"/>
              </w:rPr>
              <w:t>100%</w:t>
            </w:r>
          </w:p>
        </w:tc>
      </w:tr>
      <w:tr w14:paraId="2374B2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A19B22B">
            <w:pPr>
              <w:widowControl/>
              <w:jc w:val="left"/>
              <w:rPr>
                <w:rFonts w:ascii="宋体" w:hAnsi="宋体"/>
                <w:kern w:val="0"/>
                <w:szCs w:val="21"/>
              </w:rPr>
            </w:pPr>
          </w:p>
        </w:tc>
        <w:tc>
          <w:tcPr>
            <w:tcW w:w="1816" w:type="dxa"/>
            <w:vMerge w:val="continue"/>
            <w:shd w:val="clear" w:color="auto" w:fill="auto"/>
            <w:noWrap w:val="0"/>
            <w:vAlign w:val="center"/>
          </w:tcPr>
          <w:p w14:paraId="122CB80A">
            <w:pPr>
              <w:widowControl/>
              <w:jc w:val="left"/>
              <w:rPr>
                <w:rFonts w:ascii="宋体" w:hAnsi="宋体"/>
                <w:kern w:val="0"/>
                <w:szCs w:val="21"/>
              </w:rPr>
            </w:pPr>
          </w:p>
        </w:tc>
        <w:tc>
          <w:tcPr>
            <w:tcW w:w="2196" w:type="dxa"/>
            <w:shd w:val="clear" w:color="auto" w:fill="auto"/>
            <w:noWrap w:val="0"/>
            <w:vAlign w:val="center"/>
          </w:tcPr>
          <w:p w14:paraId="4A5D88D4">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2</w:t>
            </w:r>
          </w:p>
        </w:tc>
        <w:tc>
          <w:tcPr>
            <w:tcW w:w="1843" w:type="dxa"/>
            <w:shd w:val="clear" w:color="auto" w:fill="auto"/>
            <w:noWrap w:val="0"/>
            <w:vAlign w:val="center"/>
          </w:tcPr>
          <w:p w14:paraId="6A47B090">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1134" w:type="dxa"/>
            <w:vMerge w:val="continue"/>
            <w:noWrap w:val="0"/>
            <w:vAlign w:val="center"/>
          </w:tcPr>
          <w:p w14:paraId="0E5F98C5">
            <w:pPr>
              <w:widowControl/>
              <w:jc w:val="center"/>
              <w:rPr>
                <w:rFonts w:hint="eastAsia" w:ascii="宋体" w:hAnsi="宋体"/>
                <w:kern w:val="0"/>
                <w:szCs w:val="21"/>
              </w:rPr>
            </w:pPr>
          </w:p>
        </w:tc>
      </w:tr>
      <w:tr w14:paraId="026286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5752F31">
            <w:pPr>
              <w:widowControl/>
              <w:jc w:val="left"/>
              <w:rPr>
                <w:rFonts w:ascii="宋体" w:hAnsi="宋体"/>
                <w:kern w:val="0"/>
                <w:szCs w:val="21"/>
              </w:rPr>
            </w:pPr>
          </w:p>
        </w:tc>
        <w:tc>
          <w:tcPr>
            <w:tcW w:w="1816" w:type="dxa"/>
            <w:vMerge w:val="continue"/>
            <w:shd w:val="clear" w:color="auto" w:fill="auto"/>
            <w:noWrap w:val="0"/>
            <w:vAlign w:val="center"/>
          </w:tcPr>
          <w:p w14:paraId="6EF1ABA6">
            <w:pPr>
              <w:widowControl/>
              <w:jc w:val="left"/>
              <w:rPr>
                <w:rFonts w:ascii="宋体" w:hAnsi="宋体"/>
                <w:kern w:val="0"/>
                <w:szCs w:val="21"/>
              </w:rPr>
            </w:pPr>
          </w:p>
        </w:tc>
        <w:tc>
          <w:tcPr>
            <w:tcW w:w="2196" w:type="dxa"/>
            <w:shd w:val="clear" w:color="auto" w:fill="auto"/>
            <w:noWrap w:val="0"/>
            <w:vAlign w:val="center"/>
          </w:tcPr>
          <w:p w14:paraId="791C7DA1">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6D8B885B">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28315EC9">
            <w:pPr>
              <w:widowControl/>
              <w:jc w:val="center"/>
              <w:rPr>
                <w:rFonts w:hint="eastAsia" w:ascii="宋体" w:hAnsi="宋体"/>
                <w:kern w:val="0"/>
                <w:szCs w:val="21"/>
              </w:rPr>
            </w:pPr>
          </w:p>
        </w:tc>
      </w:tr>
      <w:tr w14:paraId="6434EE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51B7E34">
            <w:pPr>
              <w:widowControl/>
              <w:jc w:val="left"/>
              <w:rPr>
                <w:rFonts w:ascii="宋体" w:hAnsi="宋体"/>
                <w:kern w:val="0"/>
                <w:szCs w:val="21"/>
              </w:rPr>
            </w:pPr>
          </w:p>
        </w:tc>
        <w:tc>
          <w:tcPr>
            <w:tcW w:w="1816" w:type="dxa"/>
            <w:vMerge w:val="continue"/>
            <w:shd w:val="clear" w:color="auto" w:fill="auto"/>
            <w:noWrap w:val="0"/>
            <w:vAlign w:val="center"/>
          </w:tcPr>
          <w:p w14:paraId="7603B898">
            <w:pPr>
              <w:widowControl/>
              <w:jc w:val="left"/>
              <w:rPr>
                <w:rFonts w:ascii="宋体" w:hAnsi="宋体"/>
                <w:kern w:val="0"/>
                <w:szCs w:val="21"/>
              </w:rPr>
            </w:pPr>
          </w:p>
        </w:tc>
        <w:tc>
          <w:tcPr>
            <w:tcW w:w="2196" w:type="dxa"/>
            <w:shd w:val="clear" w:color="auto" w:fill="auto"/>
            <w:noWrap w:val="0"/>
            <w:vAlign w:val="center"/>
          </w:tcPr>
          <w:p w14:paraId="5DFF4908">
            <w:pPr>
              <w:widowControl/>
              <w:jc w:val="center"/>
              <w:rPr>
                <w:rFonts w:hint="eastAsia" w:ascii="宋体" w:hAnsi="宋体"/>
                <w:kern w:val="0"/>
                <w:szCs w:val="21"/>
              </w:rPr>
            </w:pPr>
            <w:r>
              <w:rPr>
                <w:rFonts w:hint="eastAsia" w:ascii="宋体" w:hAnsi="宋体"/>
                <w:kern w:val="0"/>
                <w:szCs w:val="21"/>
              </w:rPr>
              <w:t>课</w:t>
            </w:r>
            <w:r>
              <w:rPr>
                <w:rFonts w:ascii="宋体" w:hAnsi="宋体"/>
                <w:kern w:val="0"/>
                <w:szCs w:val="21"/>
              </w:rPr>
              <w:t>内实践</w:t>
            </w:r>
          </w:p>
        </w:tc>
        <w:tc>
          <w:tcPr>
            <w:tcW w:w="1843" w:type="dxa"/>
            <w:shd w:val="clear" w:color="auto" w:fill="auto"/>
            <w:noWrap w:val="0"/>
            <w:vAlign w:val="center"/>
          </w:tcPr>
          <w:p w14:paraId="378120DE">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noWrap w:val="0"/>
            <w:vAlign w:val="center"/>
          </w:tcPr>
          <w:p w14:paraId="3DC9E75E">
            <w:pPr>
              <w:widowControl/>
              <w:jc w:val="center"/>
              <w:rPr>
                <w:rFonts w:hint="eastAsia" w:ascii="宋体" w:hAnsi="宋体"/>
                <w:kern w:val="0"/>
                <w:szCs w:val="21"/>
              </w:rPr>
            </w:pPr>
          </w:p>
        </w:tc>
      </w:tr>
      <w:tr w14:paraId="7111A4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7D41EC7A">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shd w:val="clear" w:color="auto" w:fill="auto"/>
            <w:noWrap w:val="0"/>
            <w:vAlign w:val="center"/>
          </w:tcPr>
          <w:p w14:paraId="64C00204">
            <w:pPr>
              <w:widowControl/>
              <w:jc w:val="center"/>
              <w:rPr>
                <w:rFonts w:hint="eastAsia" w:ascii="宋体" w:hAnsi="宋体"/>
                <w:kern w:val="0"/>
                <w:szCs w:val="21"/>
              </w:rPr>
            </w:pPr>
            <w:r>
              <w:rPr>
                <w:rFonts w:hint="eastAsia" w:ascii="宋体" w:hAnsi="宋体"/>
                <w:kern w:val="0"/>
                <w:szCs w:val="21"/>
              </w:rPr>
              <w:t>20%</w:t>
            </w:r>
          </w:p>
        </w:tc>
        <w:tc>
          <w:tcPr>
            <w:tcW w:w="2196" w:type="dxa"/>
            <w:shd w:val="clear" w:color="auto" w:fill="auto"/>
            <w:noWrap w:val="0"/>
            <w:vAlign w:val="center"/>
          </w:tcPr>
          <w:p w14:paraId="3DD9E4E1">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0F8E1374">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1134" w:type="dxa"/>
            <w:vMerge w:val="restart"/>
            <w:noWrap w:val="0"/>
            <w:vAlign w:val="center"/>
          </w:tcPr>
          <w:p w14:paraId="3EC558E5">
            <w:pPr>
              <w:widowControl/>
              <w:jc w:val="center"/>
              <w:rPr>
                <w:rFonts w:hint="eastAsia" w:ascii="宋体" w:hAnsi="宋体"/>
                <w:kern w:val="0"/>
                <w:szCs w:val="21"/>
              </w:rPr>
            </w:pPr>
            <w:r>
              <w:rPr>
                <w:rFonts w:hint="eastAsia" w:ascii="宋体" w:hAnsi="宋体"/>
                <w:kern w:val="0"/>
                <w:szCs w:val="21"/>
              </w:rPr>
              <w:t>100%</w:t>
            </w:r>
          </w:p>
        </w:tc>
      </w:tr>
      <w:tr w14:paraId="2DCA2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E239398">
            <w:pPr>
              <w:widowControl/>
              <w:jc w:val="left"/>
              <w:rPr>
                <w:rFonts w:ascii="宋体" w:hAnsi="宋体"/>
                <w:kern w:val="0"/>
                <w:szCs w:val="21"/>
              </w:rPr>
            </w:pPr>
          </w:p>
        </w:tc>
        <w:tc>
          <w:tcPr>
            <w:tcW w:w="1816" w:type="dxa"/>
            <w:vMerge w:val="continue"/>
            <w:shd w:val="clear" w:color="auto" w:fill="auto"/>
            <w:noWrap w:val="0"/>
            <w:vAlign w:val="center"/>
          </w:tcPr>
          <w:p w14:paraId="42D3AD13">
            <w:pPr>
              <w:widowControl/>
              <w:jc w:val="left"/>
              <w:rPr>
                <w:rFonts w:ascii="宋体" w:hAnsi="宋体"/>
                <w:kern w:val="0"/>
                <w:szCs w:val="21"/>
              </w:rPr>
            </w:pPr>
          </w:p>
        </w:tc>
        <w:tc>
          <w:tcPr>
            <w:tcW w:w="2196" w:type="dxa"/>
            <w:shd w:val="clear" w:color="auto" w:fill="auto"/>
            <w:noWrap w:val="0"/>
            <w:vAlign w:val="center"/>
          </w:tcPr>
          <w:p w14:paraId="53DC0312">
            <w:pPr>
              <w:widowControl/>
              <w:jc w:val="center"/>
              <w:rPr>
                <w:rFonts w:ascii="宋体" w:hAnsi="宋体"/>
                <w:kern w:val="0"/>
                <w:szCs w:val="21"/>
              </w:rPr>
            </w:pPr>
            <w:r>
              <w:rPr>
                <w:rFonts w:hint="eastAsia" w:ascii="宋体" w:hAnsi="宋体"/>
                <w:kern w:val="0"/>
                <w:szCs w:val="21"/>
              </w:rPr>
              <w:t>作业3</w:t>
            </w:r>
          </w:p>
        </w:tc>
        <w:tc>
          <w:tcPr>
            <w:tcW w:w="1843" w:type="dxa"/>
            <w:shd w:val="clear" w:color="auto" w:fill="auto"/>
            <w:noWrap w:val="0"/>
            <w:vAlign w:val="center"/>
          </w:tcPr>
          <w:p w14:paraId="4ADF9EE8">
            <w:pPr>
              <w:widowControl/>
              <w:jc w:val="center"/>
              <w:rPr>
                <w:rFonts w:hint="eastAsia" w:ascii="宋体" w:hAnsi="宋体"/>
                <w:kern w:val="0"/>
                <w:szCs w:val="21"/>
              </w:rPr>
            </w:pPr>
            <w:r>
              <w:rPr>
                <w:rFonts w:ascii="宋体" w:hAnsi="宋体"/>
                <w:kern w:val="0"/>
                <w:szCs w:val="21"/>
              </w:rPr>
              <w:t>4</w:t>
            </w:r>
            <w:r>
              <w:rPr>
                <w:rFonts w:hint="eastAsia" w:ascii="宋体" w:hAnsi="宋体"/>
                <w:kern w:val="0"/>
                <w:szCs w:val="21"/>
              </w:rPr>
              <w:t>0%</w:t>
            </w:r>
            <w:r>
              <w:rPr>
                <w:rFonts w:ascii="宋体" w:hAnsi="宋体"/>
                <w:kern w:val="0"/>
                <w:szCs w:val="21"/>
              </w:rPr>
              <w:t xml:space="preserve"> </w:t>
            </w:r>
          </w:p>
        </w:tc>
        <w:tc>
          <w:tcPr>
            <w:tcW w:w="1134" w:type="dxa"/>
            <w:vMerge w:val="continue"/>
            <w:noWrap w:val="0"/>
            <w:vAlign w:val="top"/>
          </w:tcPr>
          <w:p w14:paraId="0ED36CE4">
            <w:pPr>
              <w:widowControl/>
              <w:jc w:val="center"/>
              <w:rPr>
                <w:rFonts w:hint="eastAsia" w:ascii="宋体" w:hAnsi="宋体"/>
                <w:kern w:val="0"/>
                <w:szCs w:val="21"/>
              </w:rPr>
            </w:pPr>
          </w:p>
        </w:tc>
      </w:tr>
      <w:tr w14:paraId="4FB2DA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30C28B58">
            <w:pPr>
              <w:widowControl/>
              <w:jc w:val="left"/>
              <w:rPr>
                <w:rFonts w:ascii="宋体" w:hAnsi="宋体"/>
                <w:kern w:val="0"/>
                <w:szCs w:val="21"/>
              </w:rPr>
            </w:pPr>
          </w:p>
        </w:tc>
        <w:tc>
          <w:tcPr>
            <w:tcW w:w="1816" w:type="dxa"/>
            <w:vMerge w:val="continue"/>
            <w:shd w:val="clear" w:color="auto" w:fill="auto"/>
            <w:noWrap w:val="0"/>
            <w:vAlign w:val="center"/>
          </w:tcPr>
          <w:p w14:paraId="6C067381">
            <w:pPr>
              <w:widowControl/>
              <w:jc w:val="left"/>
              <w:rPr>
                <w:rFonts w:ascii="宋体" w:hAnsi="宋体"/>
                <w:kern w:val="0"/>
                <w:szCs w:val="21"/>
              </w:rPr>
            </w:pPr>
          </w:p>
        </w:tc>
        <w:tc>
          <w:tcPr>
            <w:tcW w:w="2196" w:type="dxa"/>
            <w:shd w:val="clear" w:color="auto" w:fill="auto"/>
            <w:noWrap w:val="0"/>
            <w:vAlign w:val="center"/>
          </w:tcPr>
          <w:p w14:paraId="69FA009A">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479918EC">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top"/>
          </w:tcPr>
          <w:p w14:paraId="59434DF3">
            <w:pPr>
              <w:widowControl/>
              <w:jc w:val="center"/>
              <w:rPr>
                <w:rFonts w:hint="eastAsia" w:ascii="宋体" w:hAnsi="宋体"/>
                <w:kern w:val="0"/>
                <w:szCs w:val="21"/>
              </w:rPr>
            </w:pPr>
          </w:p>
        </w:tc>
      </w:tr>
      <w:tr w14:paraId="31C4A8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3EAE132">
            <w:pPr>
              <w:widowControl/>
              <w:jc w:val="left"/>
              <w:rPr>
                <w:rFonts w:ascii="宋体" w:hAnsi="宋体"/>
                <w:kern w:val="0"/>
                <w:szCs w:val="21"/>
              </w:rPr>
            </w:pPr>
          </w:p>
        </w:tc>
        <w:tc>
          <w:tcPr>
            <w:tcW w:w="1816" w:type="dxa"/>
            <w:vMerge w:val="continue"/>
            <w:shd w:val="clear" w:color="auto" w:fill="auto"/>
            <w:noWrap w:val="0"/>
            <w:vAlign w:val="center"/>
          </w:tcPr>
          <w:p w14:paraId="14D2ADE4">
            <w:pPr>
              <w:widowControl/>
              <w:jc w:val="left"/>
              <w:rPr>
                <w:rFonts w:ascii="宋体" w:hAnsi="宋体"/>
                <w:kern w:val="0"/>
                <w:szCs w:val="21"/>
              </w:rPr>
            </w:pPr>
          </w:p>
        </w:tc>
        <w:tc>
          <w:tcPr>
            <w:tcW w:w="2196" w:type="dxa"/>
            <w:shd w:val="clear" w:color="auto" w:fill="auto"/>
            <w:noWrap w:val="0"/>
            <w:vAlign w:val="center"/>
          </w:tcPr>
          <w:p w14:paraId="209A66BF">
            <w:pPr>
              <w:widowControl/>
              <w:jc w:val="center"/>
              <w:rPr>
                <w:rFonts w:ascii="宋体" w:hAnsi="宋体"/>
                <w:kern w:val="0"/>
                <w:szCs w:val="21"/>
              </w:rPr>
            </w:pPr>
            <w:r>
              <w:rPr>
                <w:rFonts w:hint="eastAsia" w:ascii="宋体" w:hAnsi="宋体"/>
                <w:kern w:val="0"/>
                <w:szCs w:val="21"/>
              </w:rPr>
              <w:t>课内实践</w:t>
            </w:r>
          </w:p>
        </w:tc>
        <w:tc>
          <w:tcPr>
            <w:tcW w:w="1843" w:type="dxa"/>
            <w:shd w:val="clear" w:color="auto" w:fill="auto"/>
            <w:noWrap w:val="0"/>
            <w:vAlign w:val="center"/>
          </w:tcPr>
          <w:p w14:paraId="0A25AD82">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continue"/>
            <w:noWrap w:val="0"/>
            <w:vAlign w:val="top"/>
          </w:tcPr>
          <w:p w14:paraId="2DBEE4DF">
            <w:pPr>
              <w:widowControl/>
              <w:jc w:val="center"/>
              <w:rPr>
                <w:rFonts w:hint="eastAsia" w:ascii="宋体" w:hAnsi="宋体"/>
                <w:kern w:val="0"/>
                <w:szCs w:val="21"/>
              </w:rPr>
            </w:pPr>
          </w:p>
        </w:tc>
      </w:tr>
      <w:tr w14:paraId="42FE3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667CB496">
            <w:pPr>
              <w:widowControl/>
              <w:jc w:val="center"/>
              <w:rPr>
                <w:rFonts w:hint="eastAsia" w:ascii="宋体" w:hAnsi="宋体"/>
                <w:kern w:val="0"/>
                <w:szCs w:val="21"/>
              </w:rPr>
            </w:pPr>
            <w:r>
              <w:rPr>
                <w:rFonts w:hint="eastAsia" w:ascii="宋体" w:hAnsi="宋体"/>
                <w:kern w:val="0"/>
                <w:szCs w:val="21"/>
              </w:rPr>
              <w:t>课程目标5</w:t>
            </w:r>
          </w:p>
        </w:tc>
        <w:tc>
          <w:tcPr>
            <w:tcW w:w="1816" w:type="dxa"/>
            <w:vMerge w:val="restart"/>
            <w:shd w:val="clear" w:color="auto" w:fill="auto"/>
            <w:noWrap w:val="0"/>
            <w:vAlign w:val="center"/>
          </w:tcPr>
          <w:p w14:paraId="672EDDC1">
            <w:pPr>
              <w:widowControl/>
              <w:jc w:val="center"/>
              <w:rPr>
                <w:rFonts w:ascii="宋体" w:hAnsi="宋体"/>
                <w:kern w:val="0"/>
                <w:szCs w:val="21"/>
              </w:rPr>
            </w:pPr>
            <w:r>
              <w:rPr>
                <w:rFonts w:hint="eastAsia" w:ascii="宋体" w:hAnsi="宋体"/>
                <w:kern w:val="0"/>
                <w:szCs w:val="21"/>
              </w:rPr>
              <w:t>30%</w:t>
            </w:r>
          </w:p>
        </w:tc>
        <w:tc>
          <w:tcPr>
            <w:tcW w:w="2196" w:type="dxa"/>
            <w:shd w:val="clear" w:color="auto" w:fill="auto"/>
            <w:noWrap w:val="0"/>
            <w:vAlign w:val="center"/>
          </w:tcPr>
          <w:p w14:paraId="081CFF37">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0668A375">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p>
        </w:tc>
        <w:tc>
          <w:tcPr>
            <w:tcW w:w="1134" w:type="dxa"/>
            <w:vMerge w:val="restart"/>
            <w:noWrap w:val="0"/>
            <w:vAlign w:val="center"/>
          </w:tcPr>
          <w:p w14:paraId="2F1D9DA6">
            <w:pPr>
              <w:widowControl/>
              <w:jc w:val="center"/>
              <w:rPr>
                <w:rFonts w:hint="eastAsia" w:ascii="宋体" w:hAnsi="宋体"/>
                <w:kern w:val="0"/>
                <w:szCs w:val="21"/>
              </w:rPr>
            </w:pPr>
            <w:r>
              <w:rPr>
                <w:rFonts w:hint="eastAsia" w:ascii="宋体" w:hAnsi="宋体"/>
                <w:kern w:val="0"/>
                <w:szCs w:val="21"/>
              </w:rPr>
              <w:t>100%</w:t>
            </w:r>
          </w:p>
        </w:tc>
      </w:tr>
      <w:tr w14:paraId="6698EA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6161E35">
            <w:pPr>
              <w:widowControl/>
              <w:jc w:val="center"/>
              <w:rPr>
                <w:rFonts w:hint="eastAsia" w:ascii="宋体" w:hAnsi="宋体"/>
                <w:kern w:val="0"/>
                <w:szCs w:val="21"/>
              </w:rPr>
            </w:pPr>
          </w:p>
        </w:tc>
        <w:tc>
          <w:tcPr>
            <w:tcW w:w="1816" w:type="dxa"/>
            <w:vMerge w:val="continue"/>
            <w:shd w:val="clear" w:color="auto" w:fill="auto"/>
            <w:noWrap w:val="0"/>
            <w:vAlign w:val="center"/>
          </w:tcPr>
          <w:p w14:paraId="421669AA">
            <w:pPr>
              <w:widowControl/>
              <w:jc w:val="center"/>
              <w:rPr>
                <w:rFonts w:hint="eastAsia" w:ascii="宋体" w:hAnsi="宋体"/>
                <w:kern w:val="0"/>
                <w:szCs w:val="21"/>
              </w:rPr>
            </w:pPr>
          </w:p>
        </w:tc>
        <w:tc>
          <w:tcPr>
            <w:tcW w:w="2196" w:type="dxa"/>
            <w:shd w:val="clear" w:color="auto" w:fill="auto"/>
            <w:noWrap w:val="0"/>
            <w:vAlign w:val="center"/>
          </w:tcPr>
          <w:p w14:paraId="72542876">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4E00BB35">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2A178075">
            <w:pPr>
              <w:widowControl/>
              <w:jc w:val="center"/>
              <w:rPr>
                <w:rFonts w:hint="eastAsia" w:ascii="宋体" w:hAnsi="宋体"/>
                <w:kern w:val="0"/>
                <w:szCs w:val="21"/>
              </w:rPr>
            </w:pPr>
          </w:p>
        </w:tc>
      </w:tr>
      <w:tr w14:paraId="7556AD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7FC8088">
            <w:pPr>
              <w:widowControl/>
              <w:jc w:val="left"/>
              <w:rPr>
                <w:rFonts w:ascii="宋体" w:hAnsi="宋体"/>
                <w:kern w:val="0"/>
                <w:szCs w:val="21"/>
              </w:rPr>
            </w:pPr>
          </w:p>
        </w:tc>
        <w:tc>
          <w:tcPr>
            <w:tcW w:w="1816" w:type="dxa"/>
            <w:vMerge w:val="continue"/>
            <w:shd w:val="clear" w:color="auto" w:fill="auto"/>
            <w:noWrap w:val="0"/>
            <w:vAlign w:val="center"/>
          </w:tcPr>
          <w:p w14:paraId="208E88EE">
            <w:pPr>
              <w:widowControl/>
              <w:jc w:val="left"/>
              <w:rPr>
                <w:rFonts w:ascii="宋体" w:hAnsi="宋体"/>
                <w:kern w:val="0"/>
                <w:szCs w:val="21"/>
              </w:rPr>
            </w:pPr>
          </w:p>
        </w:tc>
        <w:tc>
          <w:tcPr>
            <w:tcW w:w="2196" w:type="dxa"/>
            <w:shd w:val="clear" w:color="auto" w:fill="auto"/>
            <w:noWrap w:val="0"/>
            <w:vAlign w:val="center"/>
          </w:tcPr>
          <w:p w14:paraId="38E72066">
            <w:pPr>
              <w:widowControl/>
              <w:jc w:val="center"/>
              <w:rPr>
                <w:rFonts w:ascii="宋体" w:hAnsi="宋体"/>
                <w:kern w:val="0"/>
                <w:szCs w:val="21"/>
              </w:rPr>
            </w:pPr>
            <w:r>
              <w:rPr>
                <w:rFonts w:hint="eastAsia" w:ascii="宋体" w:hAnsi="宋体"/>
                <w:kern w:val="0"/>
                <w:szCs w:val="21"/>
              </w:rPr>
              <w:t>课内实践</w:t>
            </w:r>
          </w:p>
        </w:tc>
        <w:tc>
          <w:tcPr>
            <w:tcW w:w="1843" w:type="dxa"/>
            <w:shd w:val="clear" w:color="auto" w:fill="auto"/>
            <w:noWrap w:val="0"/>
            <w:vAlign w:val="center"/>
          </w:tcPr>
          <w:p w14:paraId="1E1B9016">
            <w:pPr>
              <w:widowControl/>
              <w:jc w:val="center"/>
              <w:rPr>
                <w:rFonts w:hint="eastAsia" w:ascii="宋体" w:hAnsi="宋体"/>
                <w:kern w:val="0"/>
                <w:szCs w:val="21"/>
              </w:rPr>
            </w:pPr>
            <w:r>
              <w:rPr>
                <w:rFonts w:ascii="宋体" w:hAnsi="宋体"/>
                <w:kern w:val="0"/>
                <w:szCs w:val="21"/>
              </w:rPr>
              <w:t>3</w:t>
            </w:r>
            <w:r>
              <w:rPr>
                <w:rFonts w:hint="eastAsia" w:ascii="宋体" w:hAnsi="宋体"/>
                <w:kern w:val="0"/>
                <w:szCs w:val="21"/>
              </w:rPr>
              <w:t>0%</w:t>
            </w:r>
          </w:p>
        </w:tc>
        <w:tc>
          <w:tcPr>
            <w:tcW w:w="1134" w:type="dxa"/>
            <w:vMerge w:val="continue"/>
            <w:noWrap w:val="0"/>
            <w:vAlign w:val="top"/>
          </w:tcPr>
          <w:p w14:paraId="251B0E07">
            <w:pPr>
              <w:widowControl/>
              <w:jc w:val="center"/>
              <w:rPr>
                <w:rFonts w:hint="eastAsia" w:ascii="宋体" w:hAnsi="宋体"/>
                <w:kern w:val="0"/>
                <w:szCs w:val="21"/>
              </w:rPr>
            </w:pPr>
          </w:p>
        </w:tc>
      </w:tr>
      <w:tr w14:paraId="5098C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trPr>
        <w:tc>
          <w:tcPr>
            <w:tcW w:w="2048" w:type="dxa"/>
            <w:shd w:val="clear" w:color="auto" w:fill="auto"/>
            <w:noWrap w:val="0"/>
            <w:vAlign w:val="center"/>
          </w:tcPr>
          <w:p w14:paraId="6E3A9C02">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shd w:val="clear" w:color="auto" w:fill="auto"/>
            <w:noWrap w:val="0"/>
            <w:vAlign w:val="center"/>
          </w:tcPr>
          <w:p w14:paraId="303B59D2">
            <w:pPr>
              <w:widowControl/>
              <w:jc w:val="center"/>
              <w:rPr>
                <w:rFonts w:hint="eastAsia" w:ascii="宋体" w:hAnsi="宋体"/>
                <w:kern w:val="0"/>
                <w:szCs w:val="21"/>
              </w:rPr>
            </w:pPr>
            <w:r>
              <w:rPr>
                <w:rFonts w:hint="eastAsia" w:ascii="宋体" w:hAnsi="宋体"/>
                <w:kern w:val="0"/>
                <w:szCs w:val="21"/>
              </w:rPr>
              <w:t>100%</w:t>
            </w:r>
          </w:p>
        </w:tc>
        <w:tc>
          <w:tcPr>
            <w:tcW w:w="5173" w:type="dxa"/>
            <w:gridSpan w:val="3"/>
            <w:shd w:val="clear" w:color="auto" w:fill="auto"/>
            <w:noWrap w:val="0"/>
            <w:vAlign w:val="center"/>
          </w:tcPr>
          <w:p w14:paraId="4EBB7369">
            <w:pPr>
              <w:widowControl/>
              <w:jc w:val="center"/>
              <w:rPr>
                <w:rFonts w:hint="eastAsia" w:ascii="宋体" w:hAnsi="宋体"/>
                <w:kern w:val="0"/>
                <w:szCs w:val="21"/>
              </w:rPr>
            </w:pPr>
          </w:p>
        </w:tc>
      </w:tr>
    </w:tbl>
    <w:p w14:paraId="6CC023E4">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4C52A5C3">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402CB1E8">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4EDB3348">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46FA08AD">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388D1AA9">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本课程根据学生作业、课堂讨论、实践环节和学生、教学督导等的反馈，及时对教学中的不足之处进行改进，并在下一轮课程教学中整改完善，确保相应毕业要求指标点达成。</w:t>
      </w:r>
    </w:p>
    <w:p w14:paraId="0CB2DAF8">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2271FD3A">
      <w:pPr>
        <w:spacing w:line="360" w:lineRule="auto"/>
        <w:ind w:firstLine="480" w:firstLineChars="200"/>
        <w:rPr>
          <w:rFonts w:ascii="宋体" w:hAnsi="宋体"/>
          <w:sz w:val="24"/>
          <w:szCs w:val="22"/>
        </w:rPr>
      </w:pPr>
      <w:r>
        <w:rPr>
          <w:rFonts w:hint="eastAsia" w:ascii="宋体" w:hAnsi="宋体"/>
          <w:sz w:val="24"/>
          <w:szCs w:val="22"/>
        </w:rPr>
        <w:t>1．教材</w:t>
      </w:r>
    </w:p>
    <w:p w14:paraId="38E39626">
      <w:pPr>
        <w:spacing w:line="360" w:lineRule="auto"/>
        <w:ind w:firstLine="480" w:firstLineChars="200"/>
        <w:outlineLvl w:val="0"/>
        <w:rPr>
          <w:rFonts w:ascii="宋体" w:hAnsi="宋体"/>
          <w:sz w:val="24"/>
          <w:szCs w:val="22"/>
        </w:rPr>
      </w:pPr>
      <w:r>
        <w:rPr>
          <w:rFonts w:hint="eastAsia" w:ascii="宋体" w:hAnsi="宋体"/>
          <w:sz w:val="24"/>
          <w:szCs w:val="22"/>
        </w:rPr>
        <w:t>马云鹏.小学数学课程标准与教材研究.北京</w:t>
      </w:r>
      <w:r>
        <w:rPr>
          <w:rFonts w:ascii="宋体" w:hAnsi="宋体"/>
          <w:sz w:val="24"/>
          <w:szCs w:val="22"/>
        </w:rPr>
        <w:t>：</w:t>
      </w:r>
      <w:r>
        <w:rPr>
          <w:rFonts w:hint="eastAsia" w:ascii="宋体" w:hAnsi="宋体"/>
          <w:sz w:val="24"/>
          <w:szCs w:val="22"/>
        </w:rPr>
        <w:t>高等教育出版社，2016.</w:t>
      </w:r>
    </w:p>
    <w:p w14:paraId="1AA4BD6D">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401BA5A2">
      <w:pPr>
        <w:spacing w:line="360" w:lineRule="auto"/>
        <w:ind w:firstLine="480" w:firstLineChars="200"/>
        <w:rPr>
          <w:rFonts w:ascii="宋体" w:hAnsi="宋体"/>
          <w:sz w:val="24"/>
          <w:szCs w:val="22"/>
        </w:rPr>
      </w:pPr>
      <w:r>
        <w:rPr>
          <w:rFonts w:hint="eastAsia" w:ascii="宋体" w:hAnsi="宋体"/>
          <w:sz w:val="24"/>
          <w:szCs w:val="22"/>
        </w:rPr>
        <w:t>[</w:t>
      </w:r>
      <w:r>
        <w:rPr>
          <w:rFonts w:ascii="宋体" w:hAnsi="宋体"/>
          <w:sz w:val="24"/>
          <w:szCs w:val="22"/>
        </w:rPr>
        <w:t>1]</w:t>
      </w:r>
      <w:r>
        <w:rPr>
          <w:rFonts w:hint="eastAsia" w:ascii="宋体" w:hAnsi="宋体"/>
          <w:sz w:val="24"/>
          <w:szCs w:val="22"/>
        </w:rPr>
        <w:t>教育部.义务教育</w:t>
      </w:r>
      <w:r>
        <w:rPr>
          <w:rFonts w:ascii="宋体" w:hAnsi="宋体"/>
          <w:sz w:val="24"/>
          <w:szCs w:val="22"/>
        </w:rPr>
        <w:t>数学课程标准</w:t>
      </w:r>
      <w:r>
        <w:rPr>
          <w:rFonts w:hint="eastAsia" w:ascii="宋体" w:hAnsi="宋体"/>
          <w:sz w:val="24"/>
          <w:szCs w:val="22"/>
        </w:rPr>
        <w:t>（2011年</w:t>
      </w:r>
      <w:r>
        <w:rPr>
          <w:rFonts w:ascii="宋体" w:hAnsi="宋体"/>
          <w:sz w:val="24"/>
          <w:szCs w:val="22"/>
        </w:rPr>
        <w:t>版）</w:t>
      </w:r>
      <w:r>
        <w:rPr>
          <w:rFonts w:hint="eastAsia" w:ascii="宋体" w:hAnsi="宋体"/>
          <w:sz w:val="24"/>
          <w:szCs w:val="22"/>
        </w:rPr>
        <w:t>.北京：北京师范</w:t>
      </w:r>
      <w:r>
        <w:rPr>
          <w:rFonts w:ascii="宋体" w:hAnsi="宋体"/>
          <w:sz w:val="24"/>
          <w:szCs w:val="22"/>
        </w:rPr>
        <w:t>大学</w:t>
      </w:r>
      <w:r>
        <w:rPr>
          <w:rFonts w:hint="eastAsia" w:ascii="宋体" w:hAnsi="宋体"/>
          <w:sz w:val="24"/>
          <w:szCs w:val="22"/>
        </w:rPr>
        <w:t>大学出版社.201</w:t>
      </w:r>
      <w:r>
        <w:rPr>
          <w:rFonts w:ascii="宋体" w:hAnsi="宋体"/>
          <w:sz w:val="24"/>
          <w:szCs w:val="22"/>
        </w:rPr>
        <w:t>2</w:t>
      </w:r>
      <w:r>
        <w:rPr>
          <w:rFonts w:hint="eastAsia" w:ascii="宋体" w:hAnsi="宋体"/>
          <w:sz w:val="24"/>
          <w:szCs w:val="22"/>
        </w:rPr>
        <w:t>.</w:t>
      </w:r>
    </w:p>
    <w:p w14:paraId="70B70A0B">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欧阳新</w:t>
      </w:r>
      <w:r>
        <w:rPr>
          <w:rFonts w:ascii="宋体" w:hAnsi="宋体"/>
          <w:sz w:val="24"/>
          <w:szCs w:val="22"/>
        </w:rPr>
        <w:t>龙</w:t>
      </w:r>
      <w:r>
        <w:rPr>
          <w:rFonts w:hint="eastAsia" w:ascii="宋体" w:hAnsi="宋体"/>
          <w:sz w:val="24"/>
          <w:szCs w:val="22"/>
        </w:rPr>
        <w:t>.</w:t>
      </w:r>
      <w:r>
        <w:rPr>
          <w:rFonts w:hint="eastAsia"/>
        </w:rPr>
        <w:t xml:space="preserve"> </w:t>
      </w:r>
      <w:r>
        <w:rPr>
          <w:rFonts w:hint="eastAsia" w:ascii="宋体" w:hAnsi="宋体"/>
          <w:sz w:val="24"/>
          <w:szCs w:val="22"/>
        </w:rPr>
        <w:t>义务教育数学课程标准（2011年</w:t>
      </w:r>
      <w:r>
        <w:rPr>
          <w:rFonts w:ascii="宋体" w:hAnsi="宋体"/>
          <w:sz w:val="24"/>
          <w:szCs w:val="22"/>
        </w:rPr>
        <w:t>版）解读</w:t>
      </w:r>
      <w:r>
        <w:rPr>
          <w:rFonts w:hint="eastAsia" w:ascii="宋体" w:hAnsi="宋体"/>
          <w:sz w:val="24"/>
          <w:szCs w:val="22"/>
        </w:rPr>
        <w:t>.武汉：湖北教育出版社.201</w:t>
      </w:r>
      <w:r>
        <w:rPr>
          <w:rFonts w:ascii="宋体" w:hAnsi="宋体"/>
          <w:sz w:val="24"/>
          <w:szCs w:val="22"/>
        </w:rPr>
        <w:t>2</w:t>
      </w:r>
      <w:r>
        <w:rPr>
          <w:rFonts w:hint="eastAsia" w:ascii="宋体" w:hAnsi="宋体"/>
          <w:sz w:val="24"/>
          <w:szCs w:val="22"/>
        </w:rPr>
        <w:t>.</w:t>
      </w:r>
    </w:p>
    <w:p w14:paraId="776FB9CA">
      <w:pPr>
        <w:spacing w:line="360" w:lineRule="auto"/>
        <w:ind w:firstLine="480" w:firstLineChars="200"/>
        <w:rPr>
          <w:rFonts w:hint="eastAsia" w:ascii="宋体" w:hAnsi="宋体"/>
          <w:sz w:val="24"/>
          <w:szCs w:val="22"/>
        </w:rPr>
      </w:pPr>
      <w:r>
        <w:rPr>
          <w:rFonts w:ascii="宋体" w:hAnsi="宋体"/>
          <w:sz w:val="24"/>
          <w:szCs w:val="22"/>
        </w:rPr>
        <w:t>[3]</w:t>
      </w:r>
      <w:r>
        <w:rPr>
          <w:rFonts w:hint="eastAsia" w:ascii="宋体" w:hAnsi="宋体"/>
          <w:sz w:val="24"/>
          <w:szCs w:val="22"/>
        </w:rPr>
        <w:t>马云鹏.小学数学教学论（第四版）.北京：人民教育出版社，2013.</w:t>
      </w:r>
    </w:p>
    <w:p w14:paraId="453AFEFD">
      <w:pPr>
        <w:spacing w:line="360" w:lineRule="auto"/>
        <w:ind w:firstLine="480" w:firstLineChars="200"/>
        <w:rPr>
          <w:rFonts w:ascii="宋体" w:hAnsi="宋体"/>
          <w:sz w:val="24"/>
          <w:szCs w:val="22"/>
        </w:rPr>
      </w:pPr>
      <w:r>
        <w:rPr>
          <w:rFonts w:ascii="宋体" w:hAnsi="宋体"/>
          <w:sz w:val="24"/>
          <w:szCs w:val="22"/>
        </w:rPr>
        <w:t>[4]</w:t>
      </w:r>
      <w:r>
        <w:rPr>
          <w:rFonts w:hint="eastAsia" w:ascii="宋体" w:hAnsi="宋体"/>
          <w:sz w:val="24"/>
          <w:szCs w:val="22"/>
        </w:rPr>
        <w:t>周淑红.小学数学课程与教学.北京：教育科学出版社，2013.</w:t>
      </w:r>
    </w:p>
    <w:p w14:paraId="3FF03AED">
      <w:pPr>
        <w:spacing w:line="360" w:lineRule="auto"/>
        <w:ind w:firstLine="480" w:firstLineChars="200"/>
        <w:rPr>
          <w:rFonts w:ascii="宋体" w:hAnsi="宋体"/>
          <w:sz w:val="24"/>
          <w:szCs w:val="22"/>
        </w:rPr>
      </w:pPr>
    </w:p>
    <w:p w14:paraId="1B606D6E">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5F62515B">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7060E2E8">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张建波</w:t>
      </w:r>
    </w:p>
    <w:p w14:paraId="5CF03E14">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w:t>
      </w:r>
      <w:r>
        <w:rPr>
          <w:rFonts w:ascii="宋体" w:hAnsi="宋体"/>
          <w:kern w:val="0"/>
          <w:sz w:val="24"/>
          <w:szCs w:val="21"/>
        </w:rPr>
        <w:t>2</w:t>
      </w:r>
      <w:r>
        <w:rPr>
          <w:rFonts w:hint="eastAsia" w:ascii="宋体" w:hAnsi="宋体"/>
          <w:kern w:val="0"/>
          <w:sz w:val="24"/>
          <w:szCs w:val="21"/>
          <w:lang w:val="en-US" w:eastAsia="zh-CN"/>
        </w:rPr>
        <w:t>2</w:t>
      </w:r>
      <w:r>
        <w:rPr>
          <w:rFonts w:hint="eastAsia" w:ascii="宋体" w:hAnsi="宋体"/>
          <w:kern w:val="0"/>
          <w:sz w:val="24"/>
          <w:szCs w:val="21"/>
        </w:rPr>
        <w:t>年8月</w:t>
      </w:r>
      <w:r>
        <w:rPr>
          <w:rFonts w:ascii="宋体" w:hAnsi="宋体"/>
          <w:kern w:val="0"/>
          <w:sz w:val="24"/>
          <w:szCs w:val="21"/>
        </w:rPr>
        <w:t>30</w:t>
      </w:r>
      <w:r>
        <w:rPr>
          <w:rFonts w:hint="eastAsia" w:ascii="宋体" w:hAnsi="宋体"/>
          <w:kern w:val="0"/>
          <w:sz w:val="24"/>
          <w:szCs w:val="21"/>
        </w:rPr>
        <w:t>日</w:t>
      </w:r>
    </w:p>
    <w:p w14:paraId="564D3D2C">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0CABB756">
      <w:pPr>
        <w:spacing w:line="312" w:lineRule="auto"/>
        <w:jc w:val="center"/>
        <w:rPr>
          <w:rFonts w:hint="eastAsia" w:ascii="宋体" w:hAnsi="宋体"/>
          <w:b/>
          <w:bCs/>
          <w:sz w:val="30"/>
        </w:rPr>
      </w:pPr>
      <w:bookmarkStart w:id="228" w:name="_Toc57017198"/>
      <w:bookmarkStart w:id="229" w:name="_Toc166165217"/>
      <w:r>
        <w:rPr>
          <w:rFonts w:hint="eastAsia" w:ascii="宋体" w:hAnsi="宋体"/>
          <w:b/>
          <w:bCs/>
          <w:sz w:val="30"/>
        </w:rPr>
        <w:t>小学数学教学设计与实施</w:t>
      </w:r>
      <w:r>
        <w:rPr>
          <w:rFonts w:ascii="宋体" w:hAnsi="宋体"/>
          <w:b/>
          <w:bCs/>
          <w:sz w:val="30"/>
        </w:rPr>
        <w:t>课程教学大纲</w:t>
      </w:r>
    </w:p>
    <w:p w14:paraId="03AB725E">
      <w:pPr>
        <w:spacing w:line="312" w:lineRule="auto"/>
        <w:jc w:val="center"/>
        <w:rPr>
          <w:rFonts w:ascii="宋体" w:hAnsi="宋体"/>
          <w:b/>
          <w:bCs/>
          <w:sz w:val="30"/>
        </w:rPr>
      </w:pPr>
      <w:r>
        <w:rPr>
          <w:rFonts w:ascii="宋体" w:hAnsi="宋体"/>
          <w:b/>
          <w:bCs/>
          <w:sz w:val="30"/>
        </w:rPr>
        <w:t>（Design and Implementation of Mathematics teaching in Primary School）</w:t>
      </w:r>
    </w:p>
    <w:p w14:paraId="7225F3CC">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05282D1F">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2401027</w:t>
      </w:r>
    </w:p>
    <w:p w14:paraId="5FA04909">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ascii="宋体" w:hAnsi="宋体"/>
          <w:kern w:val="0"/>
          <w:sz w:val="24"/>
          <w:szCs w:val="22"/>
        </w:rPr>
        <w:t>3</w:t>
      </w:r>
    </w:p>
    <w:p w14:paraId="6BB52ED4">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ascii="宋体" w:hAnsi="宋体"/>
          <w:kern w:val="0"/>
          <w:sz w:val="24"/>
        </w:rPr>
        <w:t>48 （其中：讲授学时32</w:t>
      </w:r>
      <w:r>
        <w:rPr>
          <w:rFonts w:hint="eastAsia" w:ascii="宋体" w:hAnsi="宋体"/>
          <w:kern w:val="0"/>
          <w:sz w:val="24"/>
        </w:rPr>
        <w:t>，</w:t>
      </w:r>
      <w:r>
        <w:rPr>
          <w:rFonts w:ascii="宋体" w:hAnsi="宋体"/>
          <w:kern w:val="0"/>
          <w:sz w:val="24"/>
        </w:rPr>
        <w:t xml:space="preserve"> 实践学时16）</w:t>
      </w:r>
    </w:p>
    <w:p w14:paraId="18C1973F">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hint="eastAsia" w:ascii="宋体" w:hAnsi="宋体"/>
          <w:sz w:val="24"/>
          <w:szCs w:val="22"/>
          <w:lang w:val="en-US" w:eastAsia="zh-CN"/>
        </w:rPr>
        <w:t>小学</w:t>
      </w:r>
      <w:r>
        <w:rPr>
          <w:rFonts w:ascii="宋体" w:hAnsi="宋体"/>
          <w:sz w:val="24"/>
          <w:szCs w:val="22"/>
          <w:lang w:val="en-US" w:eastAsia="zh-CN"/>
        </w:rPr>
        <w:t>心理学、</w:t>
      </w:r>
      <w:r>
        <w:rPr>
          <w:rFonts w:hint="eastAsia" w:ascii="宋体" w:hAnsi="宋体"/>
          <w:sz w:val="24"/>
          <w:szCs w:val="22"/>
          <w:lang w:val="en-US" w:eastAsia="zh-CN"/>
        </w:rPr>
        <w:t>教育</w:t>
      </w:r>
      <w:r>
        <w:rPr>
          <w:rFonts w:ascii="宋体" w:hAnsi="宋体"/>
          <w:sz w:val="24"/>
          <w:szCs w:val="22"/>
          <w:lang w:val="en-US" w:eastAsia="zh-CN"/>
        </w:rPr>
        <w:t>原理、教育心理学、课程与教学论、</w:t>
      </w:r>
      <w:r>
        <w:rPr>
          <w:rFonts w:hint="eastAsia" w:ascii="宋体" w:hAnsi="宋体"/>
          <w:sz w:val="24"/>
          <w:szCs w:val="22"/>
          <w:lang w:val="en-US" w:eastAsia="zh-CN"/>
        </w:rPr>
        <w:t>初等</w:t>
      </w:r>
      <w:r>
        <w:rPr>
          <w:rFonts w:ascii="宋体" w:hAnsi="宋体"/>
          <w:sz w:val="24"/>
          <w:szCs w:val="22"/>
          <w:lang w:val="en-US" w:eastAsia="zh-CN"/>
        </w:rPr>
        <w:t>数论</w:t>
      </w:r>
      <w:r>
        <w:rPr>
          <w:rFonts w:hint="eastAsia" w:ascii="宋体" w:hAnsi="宋体"/>
          <w:sz w:val="24"/>
          <w:szCs w:val="22"/>
          <w:lang w:val="en-US" w:eastAsia="zh-CN"/>
        </w:rPr>
        <w:t>、小学数学课程标准与教材分析</w:t>
      </w:r>
    </w:p>
    <w:p w14:paraId="74A959B6">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w:t>
      </w:r>
      <w:r>
        <w:rPr>
          <w:rFonts w:ascii="宋体" w:hAnsi="宋体"/>
          <w:kern w:val="0"/>
          <w:sz w:val="24"/>
        </w:rPr>
        <w:t xml:space="preserve">理）                          </w:t>
      </w:r>
    </w:p>
    <w:p w14:paraId="22B70015">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sz w:val="24"/>
          <w:szCs w:val="22"/>
        </w:rPr>
        <w:t>马云鹏.小学数学教学论.北京：人民教育出版社</w:t>
      </w:r>
      <w:r>
        <w:rPr>
          <w:rFonts w:ascii="宋体" w:hAnsi="宋体"/>
          <w:sz w:val="24"/>
          <w:szCs w:val="22"/>
        </w:rPr>
        <w:t>，</w:t>
      </w:r>
      <w:r>
        <w:rPr>
          <w:rFonts w:ascii="宋体" w:hAnsi="宋体"/>
          <w:kern w:val="0"/>
          <w:sz w:val="24"/>
        </w:rPr>
        <w:t>2013.</w:t>
      </w:r>
    </w:p>
    <w:p w14:paraId="2A1E2573">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16F553E1">
      <w:pPr>
        <w:autoSpaceDE w:val="0"/>
        <w:autoSpaceDN w:val="0"/>
        <w:adjustRightInd w:val="0"/>
        <w:spacing w:line="360" w:lineRule="auto"/>
        <w:ind w:firstLine="482" w:firstLineChars="200"/>
        <w:jc w:val="left"/>
        <w:rPr>
          <w:rFonts w:ascii="宋体" w:hAnsi="宋体"/>
          <w:kern w:val="0"/>
          <w:sz w:val="24"/>
          <w:szCs w:val="22"/>
        </w:rPr>
      </w:pPr>
      <w:r>
        <w:rPr>
          <w:rFonts w:hint="eastAsia" w:ascii="宋体" w:hAnsi="宋体"/>
          <w:b/>
          <w:bCs/>
          <w:kern w:val="0"/>
          <w:sz w:val="24"/>
        </w:rPr>
        <w:t>课程的性质与任务：</w:t>
      </w:r>
      <w:r>
        <w:rPr>
          <w:rFonts w:hint="eastAsia" w:ascii="宋体" w:hAnsi="宋体"/>
          <w:kern w:val="0"/>
          <w:sz w:val="24"/>
        </w:rPr>
        <w:t>本课程</w:t>
      </w:r>
      <w:r>
        <w:rPr>
          <w:rFonts w:ascii="宋体" w:hAnsi="宋体"/>
          <w:kern w:val="0"/>
          <w:sz w:val="24"/>
        </w:rPr>
        <w:t>是</w:t>
      </w:r>
      <w:r>
        <w:rPr>
          <w:rFonts w:hint="eastAsia" w:ascii="宋体" w:hAnsi="宋体"/>
          <w:bCs/>
          <w:kern w:val="0"/>
          <w:sz w:val="24"/>
        </w:rPr>
        <w:t>小学教育</w:t>
      </w:r>
      <w:r>
        <w:rPr>
          <w:rFonts w:ascii="宋体" w:hAnsi="宋体"/>
          <w:kern w:val="0"/>
          <w:sz w:val="24"/>
        </w:rPr>
        <w:t>专业的一门</w:t>
      </w:r>
      <w:r>
        <w:rPr>
          <w:rFonts w:hint="eastAsia" w:ascii="宋体" w:hAnsi="宋体"/>
          <w:kern w:val="0"/>
          <w:sz w:val="24"/>
        </w:rPr>
        <w:t>专业必修</w:t>
      </w:r>
      <w:r>
        <w:rPr>
          <w:rFonts w:ascii="宋体" w:hAnsi="宋体"/>
          <w:kern w:val="0"/>
          <w:sz w:val="24"/>
        </w:rPr>
        <w:t>课程</w:t>
      </w:r>
      <w:r>
        <w:rPr>
          <w:rFonts w:hint="eastAsia" w:ascii="宋体" w:hAnsi="宋体"/>
          <w:kern w:val="0"/>
          <w:sz w:val="24"/>
          <w:szCs w:val="22"/>
        </w:rPr>
        <w:t>。通过本门课程学习，学生能够理解</w:t>
      </w:r>
      <w:r>
        <w:rPr>
          <w:rFonts w:ascii="宋体" w:hAnsi="宋体"/>
          <w:kern w:val="0"/>
          <w:sz w:val="24"/>
          <w:szCs w:val="22"/>
        </w:rPr>
        <w:t>小学</w:t>
      </w:r>
      <w:r>
        <w:rPr>
          <w:rFonts w:hint="eastAsia" w:ascii="宋体" w:hAnsi="宋体"/>
          <w:kern w:val="0"/>
          <w:sz w:val="24"/>
          <w:szCs w:val="22"/>
        </w:rPr>
        <w:t>数学</w:t>
      </w:r>
      <w:r>
        <w:rPr>
          <w:rFonts w:ascii="宋体" w:hAnsi="宋体"/>
          <w:kern w:val="0"/>
          <w:sz w:val="24"/>
          <w:szCs w:val="22"/>
        </w:rPr>
        <w:t>教学设计</w:t>
      </w:r>
      <w:r>
        <w:rPr>
          <w:rFonts w:hint="eastAsia" w:ascii="宋体" w:hAnsi="宋体"/>
          <w:kern w:val="0"/>
          <w:sz w:val="24"/>
          <w:szCs w:val="22"/>
        </w:rPr>
        <w:t>的基本</w:t>
      </w:r>
      <w:r>
        <w:rPr>
          <w:rFonts w:ascii="宋体" w:hAnsi="宋体"/>
          <w:kern w:val="0"/>
          <w:sz w:val="24"/>
          <w:szCs w:val="22"/>
        </w:rPr>
        <w:t>理论，</w:t>
      </w:r>
      <w:r>
        <w:rPr>
          <w:rFonts w:hint="eastAsia" w:ascii="宋体" w:hAnsi="宋体"/>
          <w:kern w:val="0"/>
          <w:sz w:val="24"/>
          <w:szCs w:val="22"/>
        </w:rPr>
        <w:t>掌握</w:t>
      </w:r>
      <w:r>
        <w:rPr>
          <w:rFonts w:ascii="宋体" w:hAnsi="宋体"/>
          <w:kern w:val="0"/>
          <w:sz w:val="24"/>
          <w:szCs w:val="22"/>
        </w:rPr>
        <w:t>小学数学教学</w:t>
      </w:r>
      <w:r>
        <w:rPr>
          <w:rFonts w:hint="eastAsia" w:ascii="宋体" w:hAnsi="宋体"/>
          <w:kern w:val="0"/>
          <w:sz w:val="24"/>
          <w:szCs w:val="22"/>
        </w:rPr>
        <w:t>设计</w:t>
      </w:r>
      <w:r>
        <w:rPr>
          <w:rFonts w:ascii="宋体" w:hAnsi="宋体"/>
          <w:kern w:val="0"/>
          <w:sz w:val="24"/>
          <w:szCs w:val="22"/>
        </w:rPr>
        <w:t>的一般流程</w:t>
      </w:r>
      <w:r>
        <w:rPr>
          <w:rFonts w:hint="eastAsia" w:ascii="宋体" w:hAnsi="宋体"/>
          <w:kern w:val="0"/>
          <w:sz w:val="24"/>
          <w:szCs w:val="22"/>
        </w:rPr>
        <w:t>，</w:t>
      </w:r>
      <w:r>
        <w:rPr>
          <w:rFonts w:ascii="宋体" w:hAnsi="宋体"/>
          <w:kern w:val="0"/>
          <w:sz w:val="24"/>
          <w:szCs w:val="22"/>
        </w:rPr>
        <w:t>能够</w:t>
      </w:r>
      <w:r>
        <w:rPr>
          <w:rFonts w:hint="eastAsia" w:ascii="宋体" w:hAnsi="宋体"/>
          <w:kern w:val="0"/>
          <w:sz w:val="24"/>
          <w:szCs w:val="22"/>
        </w:rPr>
        <w:t>依据小学</w:t>
      </w:r>
      <w:r>
        <w:rPr>
          <w:rFonts w:ascii="宋体" w:hAnsi="宋体"/>
          <w:kern w:val="0"/>
          <w:sz w:val="24"/>
          <w:szCs w:val="22"/>
        </w:rPr>
        <w:t>数学课程</w:t>
      </w:r>
      <w:r>
        <w:rPr>
          <w:rFonts w:hint="eastAsia" w:ascii="宋体" w:hAnsi="宋体"/>
          <w:kern w:val="0"/>
          <w:sz w:val="24"/>
          <w:szCs w:val="22"/>
        </w:rPr>
        <w:t>的</w:t>
      </w:r>
      <w:r>
        <w:rPr>
          <w:rFonts w:ascii="宋体" w:hAnsi="宋体"/>
          <w:kern w:val="0"/>
          <w:sz w:val="24"/>
          <w:szCs w:val="22"/>
        </w:rPr>
        <w:t>基本理念独立开展小学数学教学设计</w:t>
      </w:r>
      <w:r>
        <w:rPr>
          <w:rFonts w:hint="eastAsia" w:ascii="宋体" w:hAnsi="宋体"/>
          <w:kern w:val="0"/>
          <w:sz w:val="24"/>
          <w:szCs w:val="22"/>
        </w:rPr>
        <w:t>，并</w:t>
      </w:r>
      <w:r>
        <w:rPr>
          <w:rFonts w:ascii="宋体" w:hAnsi="宋体"/>
          <w:kern w:val="0"/>
          <w:sz w:val="24"/>
          <w:szCs w:val="22"/>
        </w:rPr>
        <w:t>能</w:t>
      </w:r>
      <w:r>
        <w:rPr>
          <w:rFonts w:hint="eastAsia" w:ascii="宋体" w:hAnsi="宋体"/>
          <w:kern w:val="0"/>
          <w:sz w:val="24"/>
          <w:szCs w:val="22"/>
        </w:rPr>
        <w:t>将</w:t>
      </w:r>
      <w:r>
        <w:rPr>
          <w:rFonts w:ascii="宋体" w:hAnsi="宋体"/>
          <w:kern w:val="0"/>
          <w:sz w:val="24"/>
          <w:szCs w:val="22"/>
        </w:rPr>
        <w:t>教学方案付诸实施</w:t>
      </w:r>
      <w:r>
        <w:rPr>
          <w:rFonts w:hint="eastAsia" w:ascii="宋体" w:hAnsi="宋体"/>
          <w:kern w:val="0"/>
          <w:sz w:val="24"/>
          <w:szCs w:val="22"/>
        </w:rPr>
        <w:t>，能根据</w:t>
      </w:r>
      <w:r>
        <w:rPr>
          <w:rFonts w:ascii="宋体" w:hAnsi="宋体"/>
          <w:kern w:val="0"/>
          <w:sz w:val="24"/>
          <w:szCs w:val="22"/>
        </w:rPr>
        <w:t>实际</w:t>
      </w:r>
      <w:r>
        <w:rPr>
          <w:rFonts w:hint="eastAsia" w:ascii="宋体" w:hAnsi="宋体"/>
          <w:kern w:val="0"/>
          <w:sz w:val="24"/>
          <w:szCs w:val="22"/>
        </w:rPr>
        <w:t>教学</w:t>
      </w:r>
      <w:r>
        <w:rPr>
          <w:rFonts w:ascii="宋体" w:hAnsi="宋体"/>
          <w:kern w:val="0"/>
          <w:sz w:val="24"/>
          <w:szCs w:val="22"/>
        </w:rPr>
        <w:t>情况不断调整教学</w:t>
      </w:r>
      <w:r>
        <w:rPr>
          <w:rFonts w:hint="eastAsia" w:ascii="宋体" w:hAnsi="宋体"/>
          <w:kern w:val="0"/>
          <w:sz w:val="24"/>
          <w:szCs w:val="22"/>
        </w:rPr>
        <w:t>方案，</w:t>
      </w:r>
      <w:r>
        <w:rPr>
          <w:rFonts w:ascii="宋体" w:hAnsi="宋体"/>
          <w:kern w:val="0"/>
          <w:sz w:val="24"/>
          <w:szCs w:val="22"/>
        </w:rPr>
        <w:t>具有较强</w:t>
      </w:r>
      <w:r>
        <w:rPr>
          <w:rFonts w:hint="eastAsia" w:ascii="宋体" w:hAnsi="宋体"/>
          <w:kern w:val="0"/>
          <w:sz w:val="24"/>
          <w:szCs w:val="22"/>
        </w:rPr>
        <w:t>的</w:t>
      </w:r>
      <w:r>
        <w:rPr>
          <w:rFonts w:ascii="宋体" w:hAnsi="宋体"/>
          <w:kern w:val="0"/>
          <w:sz w:val="24"/>
          <w:szCs w:val="22"/>
        </w:rPr>
        <w:t>研究与反思能力</w:t>
      </w:r>
      <w:r>
        <w:rPr>
          <w:rFonts w:hint="eastAsia" w:ascii="宋体" w:hAnsi="宋体"/>
          <w:kern w:val="0"/>
          <w:sz w:val="24"/>
          <w:szCs w:val="22"/>
        </w:rPr>
        <w:t>，能</w:t>
      </w:r>
      <w:r>
        <w:rPr>
          <w:rFonts w:ascii="宋体" w:hAnsi="宋体"/>
          <w:kern w:val="0"/>
          <w:sz w:val="24"/>
          <w:szCs w:val="22"/>
        </w:rPr>
        <w:t>在实践中不断提升自己的教学实践能力。</w:t>
      </w:r>
    </w:p>
    <w:p w14:paraId="787871F0">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53287568">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1B4748DB">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1.</w:t>
      </w:r>
      <w:r>
        <w:rPr>
          <w:rFonts w:hint="eastAsia" w:ascii="宋体" w:hAnsi="宋体"/>
          <w:kern w:val="0"/>
          <w:sz w:val="24"/>
          <w:szCs w:val="22"/>
        </w:rPr>
        <w:t>理解</w:t>
      </w:r>
      <w:r>
        <w:rPr>
          <w:rFonts w:ascii="宋体" w:hAnsi="宋体"/>
          <w:kern w:val="0"/>
          <w:sz w:val="24"/>
          <w:szCs w:val="22"/>
        </w:rPr>
        <w:t>小学数学教学设计的</w:t>
      </w:r>
      <w:r>
        <w:rPr>
          <w:rFonts w:hint="eastAsia" w:ascii="宋体" w:hAnsi="宋体"/>
          <w:kern w:val="0"/>
          <w:sz w:val="24"/>
          <w:szCs w:val="22"/>
        </w:rPr>
        <w:t>概念</w:t>
      </w:r>
      <w:r>
        <w:rPr>
          <w:rFonts w:ascii="宋体" w:hAnsi="宋体"/>
          <w:kern w:val="0"/>
          <w:sz w:val="24"/>
          <w:szCs w:val="22"/>
        </w:rPr>
        <w:t>和核心理念，能够进行小学生</w:t>
      </w:r>
      <w:r>
        <w:rPr>
          <w:rFonts w:hint="eastAsia" w:ascii="宋体" w:hAnsi="宋体"/>
          <w:kern w:val="0"/>
          <w:sz w:val="24"/>
          <w:szCs w:val="22"/>
        </w:rPr>
        <w:t>学习</w:t>
      </w:r>
      <w:r>
        <w:rPr>
          <w:rFonts w:ascii="宋体" w:hAnsi="宋体"/>
          <w:kern w:val="0"/>
          <w:sz w:val="24"/>
          <w:szCs w:val="22"/>
        </w:rPr>
        <w:t>数学的心理分析</w:t>
      </w:r>
      <w:r>
        <w:rPr>
          <w:rFonts w:hint="eastAsia" w:ascii="宋体" w:hAnsi="宋体"/>
          <w:kern w:val="0"/>
          <w:sz w:val="24"/>
          <w:szCs w:val="22"/>
        </w:rPr>
        <w:t>。</w:t>
      </w:r>
    </w:p>
    <w:p w14:paraId="276DEC85">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2.</w:t>
      </w:r>
      <w:r>
        <w:rPr>
          <w:rFonts w:hint="eastAsia" w:ascii="宋体" w:hAnsi="宋体"/>
          <w:kern w:val="0"/>
          <w:sz w:val="24"/>
          <w:szCs w:val="22"/>
        </w:rPr>
        <w:t>了解小学</w:t>
      </w:r>
      <w:r>
        <w:rPr>
          <w:rFonts w:ascii="宋体" w:hAnsi="宋体"/>
          <w:kern w:val="0"/>
          <w:sz w:val="24"/>
          <w:szCs w:val="22"/>
        </w:rPr>
        <w:t>数学教学设计的</w:t>
      </w:r>
      <w:r>
        <w:rPr>
          <w:rFonts w:hint="eastAsia" w:ascii="宋体" w:hAnsi="宋体"/>
          <w:kern w:val="0"/>
          <w:sz w:val="24"/>
          <w:szCs w:val="22"/>
        </w:rPr>
        <w:t>基本</w:t>
      </w:r>
      <w:r>
        <w:rPr>
          <w:rFonts w:ascii="宋体" w:hAnsi="宋体"/>
          <w:kern w:val="0"/>
          <w:sz w:val="24"/>
          <w:szCs w:val="22"/>
        </w:rPr>
        <w:t>流程，知道</w:t>
      </w:r>
      <w:r>
        <w:rPr>
          <w:rFonts w:hint="eastAsia" w:ascii="宋体" w:hAnsi="宋体"/>
          <w:kern w:val="0"/>
          <w:sz w:val="24"/>
          <w:szCs w:val="22"/>
        </w:rPr>
        <w:t>进行</w:t>
      </w:r>
      <w:r>
        <w:rPr>
          <w:rFonts w:ascii="宋体" w:hAnsi="宋体"/>
          <w:kern w:val="0"/>
          <w:sz w:val="24"/>
          <w:szCs w:val="22"/>
        </w:rPr>
        <w:t>小学数学教学设计应做好哪些准备</w:t>
      </w:r>
      <w:r>
        <w:rPr>
          <w:rFonts w:hint="eastAsia" w:ascii="宋体" w:hAnsi="宋体"/>
          <w:kern w:val="0"/>
          <w:sz w:val="24"/>
          <w:szCs w:val="22"/>
        </w:rPr>
        <w:t>，</w:t>
      </w:r>
      <w:r>
        <w:rPr>
          <w:rFonts w:ascii="宋体" w:hAnsi="宋体"/>
          <w:kern w:val="0"/>
          <w:sz w:val="24"/>
          <w:szCs w:val="22"/>
        </w:rPr>
        <w:t>了解小学数学</w:t>
      </w:r>
      <w:r>
        <w:rPr>
          <w:rFonts w:hint="eastAsia" w:ascii="宋体" w:hAnsi="宋体"/>
          <w:kern w:val="0"/>
          <w:sz w:val="24"/>
          <w:szCs w:val="22"/>
        </w:rPr>
        <w:t>教学</w:t>
      </w:r>
      <w:r>
        <w:rPr>
          <w:rFonts w:ascii="宋体" w:hAnsi="宋体"/>
          <w:kern w:val="0"/>
          <w:sz w:val="24"/>
          <w:szCs w:val="22"/>
        </w:rPr>
        <w:t>的结构</w:t>
      </w:r>
      <w:r>
        <w:rPr>
          <w:rFonts w:hint="eastAsia" w:ascii="宋体" w:hAnsi="宋体"/>
          <w:kern w:val="0"/>
          <w:sz w:val="24"/>
          <w:szCs w:val="22"/>
        </w:rPr>
        <w:t>、</w:t>
      </w:r>
      <w:r>
        <w:rPr>
          <w:rFonts w:ascii="宋体" w:hAnsi="宋体"/>
          <w:kern w:val="0"/>
          <w:sz w:val="24"/>
          <w:szCs w:val="22"/>
        </w:rPr>
        <w:t>类型</w:t>
      </w:r>
      <w:r>
        <w:rPr>
          <w:rFonts w:hint="eastAsia" w:ascii="宋体" w:hAnsi="宋体"/>
          <w:kern w:val="0"/>
          <w:sz w:val="24"/>
          <w:szCs w:val="22"/>
        </w:rPr>
        <w:t>，</w:t>
      </w:r>
      <w:r>
        <w:rPr>
          <w:rFonts w:ascii="宋体" w:hAnsi="宋体"/>
          <w:kern w:val="0"/>
          <w:sz w:val="24"/>
          <w:szCs w:val="22"/>
        </w:rPr>
        <w:t>熟悉小学数学教学的常用方法，</w:t>
      </w:r>
      <w:r>
        <w:rPr>
          <w:rFonts w:hint="eastAsia" w:ascii="宋体" w:hAnsi="宋体"/>
          <w:kern w:val="0"/>
          <w:sz w:val="24"/>
          <w:szCs w:val="22"/>
        </w:rPr>
        <w:t>明确</w:t>
      </w:r>
      <w:r>
        <w:rPr>
          <w:rFonts w:ascii="宋体" w:hAnsi="宋体"/>
          <w:kern w:val="0"/>
          <w:sz w:val="24"/>
          <w:szCs w:val="22"/>
        </w:rPr>
        <w:t>课</w:t>
      </w:r>
      <w:r>
        <w:rPr>
          <w:rFonts w:hint="eastAsia" w:ascii="宋体" w:hAnsi="宋体"/>
          <w:kern w:val="0"/>
          <w:sz w:val="24"/>
          <w:szCs w:val="22"/>
        </w:rPr>
        <w:t>堂</w:t>
      </w:r>
      <w:r>
        <w:rPr>
          <w:rFonts w:ascii="宋体" w:hAnsi="宋体"/>
          <w:kern w:val="0"/>
          <w:sz w:val="24"/>
          <w:szCs w:val="22"/>
        </w:rPr>
        <w:t>教学活动</w:t>
      </w:r>
      <w:r>
        <w:rPr>
          <w:rFonts w:hint="eastAsia" w:ascii="宋体" w:hAnsi="宋体"/>
          <w:kern w:val="0"/>
          <w:sz w:val="24"/>
          <w:szCs w:val="22"/>
        </w:rPr>
        <w:t>的</w:t>
      </w:r>
      <w:r>
        <w:rPr>
          <w:rFonts w:ascii="宋体" w:hAnsi="宋体"/>
          <w:kern w:val="0"/>
          <w:sz w:val="24"/>
          <w:szCs w:val="22"/>
        </w:rPr>
        <w:t>基本要求，知道如何</w:t>
      </w:r>
      <w:r>
        <w:rPr>
          <w:rFonts w:hint="eastAsia" w:ascii="宋体" w:hAnsi="宋体"/>
          <w:kern w:val="0"/>
          <w:sz w:val="24"/>
          <w:szCs w:val="22"/>
        </w:rPr>
        <w:t>进行</w:t>
      </w:r>
      <w:r>
        <w:rPr>
          <w:rFonts w:ascii="宋体" w:hAnsi="宋体"/>
          <w:kern w:val="0"/>
          <w:sz w:val="24"/>
          <w:szCs w:val="22"/>
        </w:rPr>
        <w:t>课堂教学评价</w:t>
      </w:r>
      <w:r>
        <w:rPr>
          <w:rFonts w:hint="eastAsia" w:ascii="宋体" w:hAnsi="宋体"/>
          <w:kern w:val="0"/>
          <w:sz w:val="24"/>
          <w:szCs w:val="22"/>
        </w:rPr>
        <w:t>。</w:t>
      </w:r>
    </w:p>
    <w:p w14:paraId="2095DE39">
      <w:pPr>
        <w:spacing w:line="360" w:lineRule="auto"/>
        <w:ind w:firstLine="480" w:firstLineChars="200"/>
        <w:rPr>
          <w:rFonts w:hint="eastAsia" w:ascii="宋体" w:hAnsi="宋体"/>
          <w:kern w:val="0"/>
          <w:sz w:val="24"/>
          <w:szCs w:val="22"/>
        </w:rPr>
      </w:pPr>
      <w:r>
        <w:rPr>
          <w:rFonts w:hint="eastAsia" w:ascii="宋体" w:hAnsi="宋体"/>
          <w:kern w:val="0"/>
          <w:sz w:val="24"/>
          <w:szCs w:val="22"/>
        </w:rPr>
        <w:t>目标</w:t>
      </w:r>
      <w:r>
        <w:rPr>
          <w:rFonts w:ascii="宋体" w:hAnsi="宋体"/>
          <w:kern w:val="0"/>
          <w:sz w:val="24"/>
          <w:szCs w:val="22"/>
        </w:rPr>
        <w:t>3.</w:t>
      </w:r>
      <w:r>
        <w:rPr>
          <w:rFonts w:hint="eastAsia" w:ascii="宋体" w:hAnsi="宋体"/>
          <w:kern w:val="0"/>
          <w:sz w:val="24"/>
          <w:szCs w:val="22"/>
        </w:rPr>
        <w:t>了解“数与代数”、“空间与图形”、“概率与统计”、“综合与实践”等内容</w:t>
      </w:r>
      <w:r>
        <w:rPr>
          <w:rFonts w:ascii="宋体" w:hAnsi="宋体"/>
          <w:kern w:val="0"/>
          <w:sz w:val="24"/>
          <w:szCs w:val="22"/>
        </w:rPr>
        <w:t>领域的教学设计</w:t>
      </w:r>
      <w:r>
        <w:rPr>
          <w:rFonts w:hint="eastAsia" w:ascii="宋体" w:hAnsi="宋体"/>
          <w:kern w:val="0"/>
          <w:sz w:val="24"/>
          <w:szCs w:val="22"/>
        </w:rPr>
        <w:t>要</w:t>
      </w:r>
      <w:r>
        <w:rPr>
          <w:rFonts w:ascii="宋体" w:hAnsi="宋体"/>
          <w:kern w:val="0"/>
          <w:sz w:val="24"/>
          <w:szCs w:val="22"/>
        </w:rPr>
        <w:t>点</w:t>
      </w:r>
      <w:r>
        <w:rPr>
          <w:rFonts w:hint="eastAsia" w:ascii="宋体" w:hAnsi="宋体"/>
          <w:kern w:val="0"/>
          <w:sz w:val="24"/>
          <w:szCs w:val="22"/>
        </w:rPr>
        <w:t>，</w:t>
      </w:r>
      <w:r>
        <w:rPr>
          <w:rFonts w:ascii="宋体" w:hAnsi="宋体"/>
          <w:kern w:val="0"/>
          <w:sz w:val="24"/>
          <w:szCs w:val="22"/>
        </w:rPr>
        <w:t>能独立</w:t>
      </w:r>
      <w:r>
        <w:rPr>
          <w:rFonts w:hint="eastAsia" w:ascii="宋体" w:hAnsi="宋体"/>
          <w:kern w:val="0"/>
          <w:sz w:val="24"/>
          <w:szCs w:val="22"/>
        </w:rPr>
        <w:t>进行</w:t>
      </w:r>
      <w:r>
        <w:rPr>
          <w:rFonts w:ascii="宋体" w:hAnsi="宋体"/>
          <w:kern w:val="0"/>
          <w:sz w:val="24"/>
          <w:szCs w:val="22"/>
        </w:rPr>
        <w:t>相应内容的教学设计，</w:t>
      </w:r>
      <w:r>
        <w:rPr>
          <w:rFonts w:hint="eastAsia" w:ascii="宋体" w:hAnsi="宋体"/>
          <w:kern w:val="0"/>
          <w:sz w:val="24"/>
          <w:szCs w:val="22"/>
        </w:rPr>
        <w:t>能够</w:t>
      </w:r>
      <w:r>
        <w:rPr>
          <w:rFonts w:ascii="宋体" w:hAnsi="宋体"/>
          <w:kern w:val="0"/>
          <w:sz w:val="24"/>
          <w:szCs w:val="22"/>
        </w:rPr>
        <w:t>选择运用多种教学方法</w:t>
      </w:r>
      <w:r>
        <w:rPr>
          <w:rFonts w:hint="eastAsia" w:ascii="宋体" w:hAnsi="宋体"/>
          <w:kern w:val="0"/>
          <w:sz w:val="24"/>
          <w:szCs w:val="22"/>
        </w:rPr>
        <w:t>进行课堂</w:t>
      </w:r>
      <w:r>
        <w:rPr>
          <w:rFonts w:ascii="宋体" w:hAnsi="宋体"/>
          <w:kern w:val="0"/>
          <w:sz w:val="24"/>
          <w:szCs w:val="22"/>
        </w:rPr>
        <w:t>教学</w:t>
      </w:r>
      <w:r>
        <w:rPr>
          <w:rFonts w:hint="eastAsia" w:ascii="宋体" w:hAnsi="宋体"/>
          <w:kern w:val="0"/>
          <w:sz w:val="24"/>
          <w:szCs w:val="22"/>
        </w:rPr>
        <w:t>，</w:t>
      </w:r>
      <w:r>
        <w:rPr>
          <w:rFonts w:ascii="宋体" w:hAnsi="宋体"/>
          <w:kern w:val="0"/>
          <w:sz w:val="24"/>
          <w:szCs w:val="22"/>
        </w:rPr>
        <w:t>能够及时对自己的教学进行总结反思，具有较强的</w:t>
      </w:r>
      <w:r>
        <w:rPr>
          <w:rFonts w:hint="eastAsia" w:ascii="宋体" w:hAnsi="宋体"/>
          <w:kern w:val="0"/>
          <w:sz w:val="24"/>
          <w:szCs w:val="22"/>
        </w:rPr>
        <w:t>“</w:t>
      </w:r>
      <w:r>
        <w:rPr>
          <w:rFonts w:ascii="宋体" w:hAnsi="宋体"/>
          <w:kern w:val="0"/>
          <w:sz w:val="24"/>
          <w:szCs w:val="22"/>
        </w:rPr>
        <w:t>数与代数”内容的教学设计与实施能力</w:t>
      </w:r>
      <w:r>
        <w:rPr>
          <w:rFonts w:hint="eastAsia" w:ascii="宋体" w:hAnsi="宋体"/>
          <w:kern w:val="0"/>
          <w:sz w:val="24"/>
          <w:szCs w:val="22"/>
        </w:rPr>
        <w:t>。</w:t>
      </w:r>
    </w:p>
    <w:p w14:paraId="1AD7DBF9">
      <w:pPr>
        <w:spacing w:line="360" w:lineRule="auto"/>
        <w:ind w:firstLine="480" w:firstLineChars="200"/>
        <w:rPr>
          <w:rFonts w:hint="eastAsia" w:ascii="宋体" w:hAnsi="宋体"/>
          <w:kern w:val="0"/>
          <w:sz w:val="24"/>
          <w:szCs w:val="22"/>
        </w:rPr>
      </w:pPr>
      <w:r>
        <w:rPr>
          <w:rFonts w:hint="eastAsia" w:ascii="宋体" w:hAnsi="宋体"/>
          <w:kern w:val="0"/>
          <w:sz w:val="24"/>
          <w:szCs w:val="22"/>
        </w:rPr>
        <w:t>课程</w:t>
      </w:r>
      <w:r>
        <w:rPr>
          <w:rFonts w:ascii="宋体" w:hAnsi="宋体"/>
          <w:kern w:val="0"/>
          <w:sz w:val="24"/>
          <w:szCs w:val="22"/>
        </w:rPr>
        <w:t>目标</w:t>
      </w:r>
      <w:r>
        <w:rPr>
          <w:rFonts w:hint="eastAsia" w:ascii="宋体" w:hAnsi="宋体"/>
          <w:kern w:val="0"/>
          <w:sz w:val="24"/>
          <w:szCs w:val="22"/>
        </w:rPr>
        <w:t>4.能够依据</w:t>
      </w:r>
      <w:r>
        <w:rPr>
          <w:rFonts w:ascii="宋体" w:hAnsi="宋体"/>
          <w:kern w:val="0"/>
          <w:sz w:val="24"/>
          <w:szCs w:val="22"/>
        </w:rPr>
        <w:t>学生的心理特点和已有知识基础进行课堂教学，</w:t>
      </w:r>
      <w:r>
        <w:rPr>
          <w:rFonts w:hint="eastAsia" w:ascii="宋体" w:hAnsi="宋体"/>
          <w:kern w:val="0"/>
          <w:sz w:val="24"/>
          <w:szCs w:val="22"/>
        </w:rPr>
        <w:t>注重</w:t>
      </w:r>
      <w:r>
        <w:rPr>
          <w:rFonts w:ascii="宋体" w:hAnsi="宋体"/>
          <w:kern w:val="0"/>
          <w:sz w:val="24"/>
          <w:szCs w:val="22"/>
        </w:rPr>
        <w:t>教学中的师生合作，</w:t>
      </w:r>
      <w:r>
        <w:rPr>
          <w:rFonts w:hint="eastAsia" w:ascii="宋体" w:hAnsi="宋体"/>
          <w:kern w:val="0"/>
          <w:sz w:val="24"/>
          <w:szCs w:val="22"/>
        </w:rPr>
        <w:t>具有较强</w:t>
      </w:r>
      <w:r>
        <w:rPr>
          <w:rFonts w:ascii="宋体" w:hAnsi="宋体"/>
          <w:kern w:val="0"/>
          <w:sz w:val="24"/>
          <w:szCs w:val="22"/>
        </w:rPr>
        <w:t>的学科育人的意识</w:t>
      </w:r>
      <w:r>
        <w:rPr>
          <w:rFonts w:hint="eastAsia" w:ascii="宋体" w:hAnsi="宋体"/>
          <w:kern w:val="0"/>
          <w:sz w:val="24"/>
          <w:szCs w:val="22"/>
        </w:rPr>
        <w:t>与</w:t>
      </w:r>
      <w:r>
        <w:rPr>
          <w:rFonts w:ascii="宋体" w:hAnsi="宋体"/>
          <w:kern w:val="0"/>
          <w:sz w:val="24"/>
          <w:szCs w:val="22"/>
        </w:rPr>
        <w:t>能力。</w:t>
      </w:r>
    </w:p>
    <w:p w14:paraId="32DA541F">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72"/>
        <w:gridCol w:w="4977"/>
      </w:tblGrid>
      <w:tr w14:paraId="7BA3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7B156A94">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72" w:type="dxa"/>
            <w:noWrap w:val="0"/>
            <w:vAlign w:val="center"/>
          </w:tcPr>
          <w:p w14:paraId="73884940">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4D19F3B3">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0DAE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5E2050F7">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72" w:type="dxa"/>
            <w:noWrap w:val="0"/>
            <w:vAlign w:val="center"/>
          </w:tcPr>
          <w:p w14:paraId="7501C17C">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tc>
        <w:tc>
          <w:tcPr>
            <w:tcW w:w="4977" w:type="dxa"/>
            <w:noWrap w:val="0"/>
            <w:vAlign w:val="center"/>
          </w:tcPr>
          <w:p w14:paraId="7CDBAE8A">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3-2：具有学科专业能力，掌握主教学科的基本知识、原理和技能。</w:t>
            </w:r>
          </w:p>
        </w:tc>
      </w:tr>
      <w:tr w14:paraId="1E9C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noWrap w:val="0"/>
            <w:vAlign w:val="center"/>
          </w:tcPr>
          <w:p w14:paraId="1995F9B9">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72" w:type="dxa"/>
            <w:noWrap w:val="0"/>
            <w:vAlign w:val="center"/>
          </w:tcPr>
          <w:p w14:paraId="7E5C6534">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p w14:paraId="72691487">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4</w:t>
            </w:r>
            <w:r>
              <w:rPr>
                <w:rFonts w:hint="eastAsia" w:ascii="宋体" w:hAnsi="宋体"/>
                <w:kern w:val="0"/>
                <w:szCs w:val="21"/>
              </w:rPr>
              <w:t>. 教学能力</w:t>
            </w:r>
          </w:p>
        </w:tc>
        <w:tc>
          <w:tcPr>
            <w:tcW w:w="4977" w:type="dxa"/>
            <w:noWrap w:val="0"/>
            <w:vAlign w:val="center"/>
          </w:tcPr>
          <w:p w14:paraId="6B5DA6DB">
            <w:pPr>
              <w:pStyle w:val="58"/>
              <w:spacing w:line="276" w:lineRule="auto"/>
              <w:ind w:firstLine="0" w:firstLineChars="0"/>
              <w:jc w:val="left"/>
              <w:rPr>
                <w:rFonts w:hint="eastAsia" w:ascii="宋体" w:hAnsi="宋体"/>
                <w:szCs w:val="21"/>
              </w:rPr>
            </w:pPr>
            <w:r>
              <w:rPr>
                <w:rFonts w:hint="eastAsia" w:ascii="宋体" w:hAnsi="宋体"/>
                <w:szCs w:val="21"/>
              </w:rPr>
              <w:t>3-2：具有学科专业能力，掌握主教学科的基本知识、原理和技能。</w:t>
            </w:r>
          </w:p>
          <w:p w14:paraId="3E4E5962">
            <w:pPr>
              <w:pStyle w:val="58"/>
              <w:spacing w:line="276" w:lineRule="auto"/>
              <w:ind w:firstLine="0" w:firstLineChars="0"/>
              <w:jc w:val="left"/>
              <w:rPr>
                <w:rFonts w:hint="eastAsia" w:ascii="宋体" w:hAnsi="宋体"/>
                <w:kern w:val="0"/>
                <w:sz w:val="18"/>
                <w:szCs w:val="18"/>
              </w:rPr>
            </w:pPr>
            <w:r>
              <w:rPr>
                <w:rFonts w:hint="eastAsia" w:ascii="宋体" w:hAnsi="宋体"/>
                <w:szCs w:val="21"/>
              </w:rPr>
              <w:t>4-1：掌握教与学的知识，熟悉所教学科课程标准和教材、教学内容，具有一定的教材解读能力，具有依据课标进行教学的意识和习惯。</w:t>
            </w:r>
          </w:p>
        </w:tc>
      </w:tr>
      <w:tr w14:paraId="5356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noWrap w:val="0"/>
            <w:vAlign w:val="center"/>
          </w:tcPr>
          <w:p w14:paraId="03A52295">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72" w:type="dxa"/>
            <w:noWrap w:val="0"/>
            <w:vAlign w:val="center"/>
          </w:tcPr>
          <w:p w14:paraId="5572BDE7">
            <w:pPr>
              <w:pStyle w:val="58"/>
              <w:spacing w:line="276" w:lineRule="auto"/>
              <w:ind w:firstLine="0" w:firstLineChars="0"/>
              <w:rPr>
                <w:rFonts w:ascii="宋体" w:hAnsi="宋体"/>
                <w:kern w:val="0"/>
                <w:szCs w:val="21"/>
              </w:rPr>
            </w:pPr>
            <w:r>
              <w:rPr>
                <w:rFonts w:hint="eastAsia" w:ascii="宋体" w:hAnsi="宋体"/>
                <w:kern w:val="0"/>
                <w:szCs w:val="21"/>
              </w:rPr>
              <w:t>毕业要求3. 学科素养</w:t>
            </w:r>
          </w:p>
          <w:p w14:paraId="6EB5E60F">
            <w:pPr>
              <w:pStyle w:val="58"/>
              <w:spacing w:line="276" w:lineRule="auto"/>
              <w:ind w:firstLine="0" w:firstLineChars="0"/>
              <w:rPr>
                <w:rFonts w:hint="eastAsia" w:ascii="宋体" w:hAnsi="宋体"/>
                <w:kern w:val="0"/>
                <w:szCs w:val="21"/>
              </w:rPr>
            </w:pPr>
            <w:r>
              <w:rPr>
                <w:rFonts w:hint="eastAsia" w:ascii="宋体" w:hAnsi="宋体"/>
                <w:kern w:val="0"/>
                <w:szCs w:val="21"/>
              </w:rPr>
              <w:t>毕业要求4. 教学能力</w:t>
            </w:r>
          </w:p>
        </w:tc>
        <w:tc>
          <w:tcPr>
            <w:tcW w:w="4977" w:type="dxa"/>
            <w:noWrap w:val="0"/>
            <w:vAlign w:val="center"/>
          </w:tcPr>
          <w:p w14:paraId="160DA394">
            <w:pPr>
              <w:pStyle w:val="58"/>
              <w:spacing w:line="276" w:lineRule="auto"/>
              <w:ind w:firstLine="0" w:firstLineChars="0"/>
              <w:jc w:val="left"/>
              <w:rPr>
                <w:rFonts w:hint="eastAsia" w:ascii="宋体" w:hAnsi="宋体"/>
                <w:szCs w:val="21"/>
              </w:rPr>
            </w:pPr>
            <w:r>
              <w:rPr>
                <w:rFonts w:hint="eastAsia" w:ascii="宋体" w:hAnsi="宋体"/>
                <w:szCs w:val="21"/>
              </w:rPr>
              <w:t>3-2：具有学科专业能力，掌握主教学科的基本知识、原理和技能。</w:t>
            </w:r>
          </w:p>
          <w:p w14:paraId="4CC108C2">
            <w:pPr>
              <w:pStyle w:val="58"/>
              <w:spacing w:line="276" w:lineRule="auto"/>
              <w:ind w:firstLine="0" w:firstLineChars="0"/>
              <w:jc w:val="left"/>
              <w:rPr>
                <w:rFonts w:hint="eastAsia" w:ascii="宋体" w:hAnsi="宋体" w:cs="宋体"/>
                <w:szCs w:val="21"/>
              </w:rPr>
            </w:pPr>
            <w:r>
              <w:rPr>
                <w:rFonts w:hint="eastAsia" w:ascii="宋体" w:hAnsi="宋体"/>
                <w:szCs w:val="21"/>
              </w:rPr>
              <w:t>4-1：掌握教与学的知识，熟悉所教学科课程标准和教材、教学内容，具有一定的教材解读能力，具有依据课标进行教学的意识和习惯。</w:t>
            </w:r>
          </w:p>
        </w:tc>
      </w:tr>
      <w:tr w14:paraId="4364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079367A2">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 4</w:t>
            </w:r>
          </w:p>
        </w:tc>
        <w:tc>
          <w:tcPr>
            <w:tcW w:w="2472" w:type="dxa"/>
            <w:noWrap w:val="0"/>
            <w:vAlign w:val="center"/>
          </w:tcPr>
          <w:p w14:paraId="5AAC9083">
            <w:pPr>
              <w:pStyle w:val="58"/>
              <w:spacing w:line="276" w:lineRule="auto"/>
              <w:ind w:firstLine="0" w:firstLineChars="0"/>
              <w:rPr>
                <w:rFonts w:ascii="宋体" w:hAnsi="宋体"/>
                <w:spacing w:val="2"/>
                <w:kern w:val="0"/>
                <w:szCs w:val="21"/>
              </w:rPr>
            </w:pPr>
            <w:r>
              <w:rPr>
                <w:rFonts w:ascii="宋体" w:hAnsi="宋体"/>
                <w:kern w:val="0"/>
                <w:szCs w:val="21"/>
              </w:rPr>
              <w:t>毕业要求</w:t>
            </w:r>
            <w:r>
              <w:rPr>
                <w:rFonts w:ascii="宋体" w:hAnsi="宋体"/>
                <w:spacing w:val="2"/>
                <w:kern w:val="0"/>
                <w:szCs w:val="21"/>
              </w:rPr>
              <w:t xml:space="preserve">3. </w:t>
            </w:r>
            <w:r>
              <w:rPr>
                <w:rFonts w:hint="eastAsia" w:ascii="宋体" w:hAnsi="宋体"/>
                <w:spacing w:val="2"/>
                <w:kern w:val="0"/>
                <w:szCs w:val="21"/>
              </w:rPr>
              <w:t>学科素养</w:t>
            </w:r>
          </w:p>
          <w:p w14:paraId="47A712D6">
            <w:pPr>
              <w:pStyle w:val="58"/>
              <w:spacing w:line="276" w:lineRule="auto"/>
              <w:ind w:firstLine="0" w:firstLineChars="0"/>
              <w:rPr>
                <w:rFonts w:ascii="宋体" w:hAnsi="宋体"/>
                <w:kern w:val="0"/>
                <w:szCs w:val="21"/>
              </w:rPr>
            </w:pPr>
            <w:r>
              <w:rPr>
                <w:rFonts w:hint="eastAsia" w:ascii="宋体" w:hAnsi="宋体"/>
                <w:kern w:val="0"/>
                <w:szCs w:val="21"/>
              </w:rPr>
              <w:t>毕业要求4. 教学能力</w:t>
            </w:r>
          </w:p>
          <w:p w14:paraId="53518CA4">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毕业要求6. 综合育人</w:t>
            </w:r>
          </w:p>
          <w:p w14:paraId="11ECDB4E">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毕业要求8. 沟通合作</w:t>
            </w:r>
          </w:p>
        </w:tc>
        <w:tc>
          <w:tcPr>
            <w:tcW w:w="4977" w:type="dxa"/>
            <w:noWrap w:val="0"/>
            <w:vAlign w:val="center"/>
          </w:tcPr>
          <w:p w14:paraId="4FCF3624">
            <w:pPr>
              <w:pStyle w:val="58"/>
              <w:spacing w:line="276" w:lineRule="auto"/>
              <w:ind w:firstLine="0" w:firstLineChars="0"/>
              <w:jc w:val="left"/>
              <w:rPr>
                <w:rFonts w:hint="eastAsia" w:ascii="宋体" w:hAnsi="宋体"/>
                <w:szCs w:val="21"/>
              </w:rPr>
            </w:pPr>
            <w:r>
              <w:rPr>
                <w:rFonts w:hint="eastAsia" w:ascii="宋体" w:hAnsi="宋体"/>
                <w:szCs w:val="21"/>
              </w:rPr>
              <w:t>3-2：具有学科专业能力，掌握主教学科的基本知识、原理和技能。</w:t>
            </w:r>
          </w:p>
          <w:p w14:paraId="76F280B4">
            <w:pPr>
              <w:pStyle w:val="58"/>
              <w:shd w:val="clear" w:color="auto" w:fill="FFFFFF"/>
              <w:spacing w:line="276" w:lineRule="auto"/>
              <w:ind w:firstLine="0" w:firstLineChars="0"/>
              <w:jc w:val="left"/>
              <w:rPr>
                <w:rFonts w:ascii="宋体" w:hAnsi="宋体"/>
                <w:szCs w:val="21"/>
              </w:rPr>
            </w:pPr>
            <w:r>
              <w:rPr>
                <w:rFonts w:hint="eastAsia" w:ascii="宋体" w:hAnsi="宋体"/>
                <w:szCs w:val="21"/>
              </w:rPr>
              <w:t>4-1：掌握教与学的知识，熟悉所教学科课程标准和教材、教学内容，具有一定的教材解读能力，具有依据课标进行教学的意识和习惯。</w:t>
            </w:r>
          </w:p>
          <w:p w14:paraId="7EAF0000">
            <w:pPr>
              <w:pStyle w:val="58"/>
              <w:shd w:val="clear" w:color="auto" w:fill="FFFFFF"/>
              <w:spacing w:line="276" w:lineRule="auto"/>
              <w:ind w:firstLine="0" w:firstLineChars="0"/>
              <w:jc w:val="left"/>
              <w:rPr>
                <w:rFonts w:ascii="宋体" w:hAnsi="宋体"/>
                <w:spacing w:val="2"/>
                <w:kern w:val="0"/>
                <w:szCs w:val="21"/>
              </w:rPr>
            </w:pPr>
            <w:r>
              <w:rPr>
                <w:rFonts w:hint="eastAsia" w:ascii="宋体" w:hAnsi="宋体"/>
                <w:spacing w:val="2"/>
                <w:kern w:val="0"/>
                <w:szCs w:val="21"/>
              </w:rPr>
              <w:t>6-2：具有教书育人的意识，理解学科核心素养和拟任教学科课程独特的育人功能，具备结合学科教学进行育人的意识与能力，注重学科教学中思想政治教育的渗透。</w:t>
            </w:r>
          </w:p>
          <w:p w14:paraId="1BA6D12B">
            <w:pPr>
              <w:pStyle w:val="58"/>
              <w:shd w:val="clear" w:color="auto" w:fill="FFFFFF"/>
              <w:spacing w:line="276" w:lineRule="auto"/>
              <w:ind w:firstLine="0" w:firstLineChars="0"/>
              <w:jc w:val="left"/>
              <w:rPr>
                <w:rFonts w:hint="eastAsia" w:ascii="宋体" w:hAnsi="宋体"/>
                <w:spacing w:val="2"/>
                <w:kern w:val="0"/>
                <w:szCs w:val="21"/>
              </w:rPr>
            </w:pPr>
            <w:r>
              <w:rPr>
                <w:rFonts w:hint="eastAsia" w:ascii="宋体" w:hAnsi="宋体"/>
                <w:spacing w:val="2"/>
                <w:kern w:val="0"/>
                <w:szCs w:val="21"/>
              </w:rPr>
              <w:t>8-1：理解学习共同体的本质和价值，掌握团队协作的基本策略，在课堂学习与教育实践中获得合作学习体验，形成团队协作精神。</w:t>
            </w:r>
          </w:p>
        </w:tc>
      </w:tr>
    </w:tbl>
    <w:p w14:paraId="51183669">
      <w:pPr>
        <w:spacing w:line="360" w:lineRule="auto"/>
        <w:outlineLvl w:val="0"/>
        <w:rPr>
          <w:rFonts w:hint="eastAsia" w:ascii="宋体" w:hAnsi="宋体"/>
          <w:b/>
          <w:kern w:val="0"/>
          <w:sz w:val="24"/>
          <w:szCs w:val="22"/>
        </w:rPr>
      </w:pPr>
      <w:r>
        <w:rPr>
          <w:rFonts w:hint="eastAsia" w:ascii="宋体" w:hAnsi="宋体"/>
          <w:b/>
          <w:kern w:val="0"/>
          <w:sz w:val="24"/>
          <w:szCs w:val="22"/>
        </w:rPr>
        <w:t xml:space="preserve">    </w:t>
      </w:r>
    </w:p>
    <w:p w14:paraId="49B1B8C8">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4E117619">
      <w:pPr>
        <w:spacing w:line="360" w:lineRule="auto"/>
        <w:ind w:firstLine="482" w:firstLineChars="200"/>
        <w:outlineLvl w:val="0"/>
        <w:rPr>
          <w:rFonts w:ascii="宋体" w:hAnsi="宋体"/>
          <w:b/>
          <w:sz w:val="24"/>
          <w:szCs w:val="22"/>
        </w:rPr>
      </w:pPr>
      <w:r>
        <w:rPr>
          <w:rFonts w:hint="eastAsia" w:ascii="宋体" w:hAnsi="宋体"/>
          <w:b/>
          <w:sz w:val="24"/>
          <w:szCs w:val="22"/>
        </w:rPr>
        <w:t>（一）小学数学教学设计的基本理论（本模块各知识点的讲授与学习，可以支撑课程目标1）</w:t>
      </w:r>
    </w:p>
    <w:p w14:paraId="748277F6">
      <w:pPr>
        <w:spacing w:line="360" w:lineRule="auto"/>
        <w:ind w:firstLine="482" w:firstLineChars="200"/>
        <w:rPr>
          <w:rFonts w:ascii="宋体" w:hAnsi="宋体"/>
          <w:b/>
          <w:sz w:val="24"/>
          <w:szCs w:val="22"/>
        </w:rPr>
      </w:pPr>
      <w:r>
        <w:rPr>
          <w:rFonts w:ascii="宋体" w:hAnsi="宋体"/>
          <w:b/>
          <w:sz w:val="24"/>
          <w:szCs w:val="22"/>
        </w:rPr>
        <w:t>1.教学内容</w:t>
      </w:r>
    </w:p>
    <w:p w14:paraId="06EAF567">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小学数学</w:t>
      </w:r>
      <w:r>
        <w:rPr>
          <w:rFonts w:ascii="宋体" w:hAnsi="宋体"/>
          <w:sz w:val="24"/>
          <w:szCs w:val="22"/>
        </w:rPr>
        <w:t>教学设计的内涵</w:t>
      </w:r>
    </w:p>
    <w:p w14:paraId="1CF9DE05">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小学数学</w:t>
      </w:r>
      <w:r>
        <w:rPr>
          <w:rFonts w:ascii="宋体" w:hAnsi="宋体"/>
          <w:sz w:val="24"/>
          <w:szCs w:val="22"/>
        </w:rPr>
        <w:t>教学设计的核心理念</w:t>
      </w:r>
    </w:p>
    <w:p w14:paraId="284E4EFA">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w:t>
      </w:r>
      <w:r>
        <w:rPr>
          <w:rFonts w:hint="eastAsia" w:ascii="宋体" w:hAnsi="宋体"/>
          <w:sz w:val="24"/>
          <w:szCs w:val="22"/>
        </w:rPr>
        <w:t>小学</w:t>
      </w:r>
      <w:r>
        <w:rPr>
          <w:rFonts w:ascii="宋体" w:hAnsi="宋体"/>
          <w:sz w:val="24"/>
          <w:szCs w:val="22"/>
        </w:rPr>
        <w:t>生数学学习的心理分析</w:t>
      </w:r>
    </w:p>
    <w:p w14:paraId="38E033BC">
      <w:pPr>
        <w:spacing w:line="360" w:lineRule="auto"/>
        <w:ind w:firstLine="482" w:firstLineChars="200"/>
        <w:rPr>
          <w:rFonts w:ascii="宋体" w:hAnsi="宋体"/>
          <w:b/>
          <w:sz w:val="24"/>
          <w:szCs w:val="22"/>
        </w:rPr>
      </w:pPr>
      <w:r>
        <w:rPr>
          <w:rFonts w:ascii="宋体" w:hAnsi="宋体"/>
          <w:b/>
          <w:sz w:val="24"/>
          <w:szCs w:val="22"/>
        </w:rPr>
        <w:t>2.基本要求</w:t>
      </w:r>
    </w:p>
    <w:p w14:paraId="394DF973">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理解小学数学</w:t>
      </w:r>
      <w:r>
        <w:rPr>
          <w:rFonts w:ascii="宋体" w:hAnsi="宋体"/>
          <w:sz w:val="24"/>
          <w:szCs w:val="22"/>
        </w:rPr>
        <w:t>教学设计的内涵</w:t>
      </w:r>
    </w:p>
    <w:p w14:paraId="35175E7D">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理解小学</w:t>
      </w:r>
      <w:r>
        <w:rPr>
          <w:rFonts w:ascii="宋体" w:hAnsi="宋体"/>
          <w:sz w:val="24"/>
          <w:szCs w:val="22"/>
        </w:rPr>
        <w:t>数学教学设计的核心</w:t>
      </w:r>
      <w:r>
        <w:rPr>
          <w:rFonts w:hint="eastAsia" w:ascii="宋体" w:hAnsi="宋体"/>
          <w:sz w:val="24"/>
          <w:szCs w:val="22"/>
        </w:rPr>
        <w:t>理念，</w:t>
      </w:r>
      <w:r>
        <w:rPr>
          <w:rFonts w:ascii="宋体" w:hAnsi="宋体"/>
          <w:sz w:val="24"/>
          <w:szCs w:val="22"/>
        </w:rPr>
        <w:t>明确小学数学教学设计应关注哪些问题</w:t>
      </w:r>
    </w:p>
    <w:p w14:paraId="3EE38BBE">
      <w:pPr>
        <w:spacing w:line="360" w:lineRule="auto"/>
        <w:ind w:firstLine="480" w:firstLineChars="200"/>
        <w:rPr>
          <w:rFonts w:ascii="宋体" w:hAnsi="宋体"/>
          <w:sz w:val="24"/>
          <w:szCs w:val="22"/>
        </w:rPr>
      </w:pPr>
      <w:r>
        <w:rPr>
          <w:rFonts w:hint="eastAsia" w:ascii="宋体" w:hAnsi="宋体"/>
          <w:sz w:val="24"/>
          <w:szCs w:val="22"/>
        </w:rPr>
        <w:t>（3）了解小学</w:t>
      </w:r>
      <w:r>
        <w:rPr>
          <w:rFonts w:ascii="宋体" w:hAnsi="宋体"/>
          <w:sz w:val="24"/>
          <w:szCs w:val="22"/>
        </w:rPr>
        <w:t>生数学学习的</w:t>
      </w:r>
      <w:r>
        <w:rPr>
          <w:rFonts w:hint="eastAsia" w:ascii="宋体" w:hAnsi="宋体"/>
          <w:sz w:val="24"/>
          <w:szCs w:val="22"/>
        </w:rPr>
        <w:t>心理</w:t>
      </w:r>
      <w:r>
        <w:rPr>
          <w:rFonts w:ascii="宋体" w:hAnsi="宋体"/>
          <w:sz w:val="24"/>
          <w:szCs w:val="22"/>
        </w:rPr>
        <w:t>特点和</w:t>
      </w:r>
      <w:r>
        <w:rPr>
          <w:rFonts w:hint="eastAsia" w:ascii="宋体" w:hAnsi="宋体"/>
          <w:sz w:val="24"/>
          <w:szCs w:val="22"/>
        </w:rPr>
        <w:t>心理需求</w:t>
      </w:r>
    </w:p>
    <w:p w14:paraId="6F864A9C">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353FCB3E">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践</w:t>
      </w:r>
      <w:r>
        <w:rPr>
          <w:rFonts w:ascii="宋体" w:hAnsi="宋体"/>
          <w:sz w:val="24"/>
          <w:szCs w:val="22"/>
        </w:rPr>
        <w:t>行社会主义核心价值观，</w:t>
      </w:r>
      <w:r>
        <w:rPr>
          <w:rFonts w:hint="eastAsia" w:ascii="宋体" w:hAnsi="宋体"/>
          <w:sz w:val="24"/>
          <w:szCs w:val="22"/>
        </w:rPr>
        <w:t>树立全面育</w:t>
      </w:r>
      <w:r>
        <w:rPr>
          <w:rFonts w:ascii="宋体" w:hAnsi="宋体"/>
          <w:sz w:val="24"/>
          <w:szCs w:val="22"/>
        </w:rPr>
        <w:t>人的思想。</w:t>
      </w:r>
    </w:p>
    <w:p w14:paraId="7E0D656B">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养成科学</w:t>
      </w:r>
      <w:r>
        <w:rPr>
          <w:rFonts w:ascii="宋体" w:hAnsi="宋体"/>
          <w:sz w:val="24"/>
          <w:szCs w:val="22"/>
        </w:rPr>
        <w:t>、严谨</w:t>
      </w:r>
      <w:r>
        <w:rPr>
          <w:rFonts w:hint="eastAsia" w:ascii="宋体" w:hAnsi="宋体"/>
          <w:sz w:val="24"/>
          <w:szCs w:val="22"/>
        </w:rPr>
        <w:t>的教学</w:t>
      </w:r>
      <w:r>
        <w:rPr>
          <w:rFonts w:ascii="宋体" w:hAnsi="宋体"/>
          <w:sz w:val="24"/>
          <w:szCs w:val="22"/>
        </w:rPr>
        <w:t>设计习惯。</w:t>
      </w:r>
    </w:p>
    <w:p w14:paraId="1A2A178E">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理解小学数学教学设计的核心理念</w:t>
      </w:r>
    </w:p>
    <w:p w14:paraId="2E5D9968">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了解小学生数学学习的心理特点和心理需求</w:t>
      </w:r>
    </w:p>
    <w:p w14:paraId="23CF2AB9">
      <w:pPr>
        <w:spacing w:line="360" w:lineRule="auto"/>
        <w:ind w:firstLine="482" w:firstLineChars="200"/>
        <w:outlineLvl w:val="0"/>
        <w:rPr>
          <w:rFonts w:hint="eastAsia" w:ascii="宋体" w:hAnsi="宋体"/>
          <w:b/>
          <w:sz w:val="24"/>
          <w:szCs w:val="22"/>
        </w:rPr>
      </w:pPr>
      <w:r>
        <w:rPr>
          <w:rFonts w:hint="eastAsia" w:ascii="宋体" w:hAnsi="宋体"/>
          <w:b/>
          <w:sz w:val="24"/>
          <w:szCs w:val="22"/>
        </w:rPr>
        <w:t>（二）小学数学教学设计的一般流程（本模块各知识点的讲授与学习，可以支撑课程目标2）</w:t>
      </w:r>
    </w:p>
    <w:p w14:paraId="1BE54DB8">
      <w:pPr>
        <w:spacing w:line="360" w:lineRule="auto"/>
        <w:ind w:firstLine="482" w:firstLineChars="200"/>
        <w:rPr>
          <w:rFonts w:ascii="宋体" w:hAnsi="宋体"/>
          <w:b/>
          <w:sz w:val="24"/>
          <w:szCs w:val="22"/>
        </w:rPr>
      </w:pPr>
      <w:r>
        <w:rPr>
          <w:rFonts w:ascii="宋体" w:hAnsi="宋体"/>
          <w:b/>
          <w:sz w:val="24"/>
          <w:szCs w:val="22"/>
        </w:rPr>
        <w:t>1.教学内容</w:t>
      </w:r>
    </w:p>
    <w:p w14:paraId="72BE714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小学数学</w:t>
      </w:r>
      <w:r>
        <w:rPr>
          <w:rFonts w:ascii="宋体" w:hAnsi="宋体"/>
          <w:sz w:val="24"/>
          <w:szCs w:val="22"/>
        </w:rPr>
        <w:t>教学设计的前期准备</w:t>
      </w:r>
    </w:p>
    <w:p w14:paraId="5927F0D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小学数学</w:t>
      </w:r>
      <w:r>
        <w:rPr>
          <w:rFonts w:ascii="宋体" w:hAnsi="宋体"/>
          <w:sz w:val="24"/>
          <w:szCs w:val="22"/>
        </w:rPr>
        <w:t>教学设计</w:t>
      </w:r>
      <w:r>
        <w:rPr>
          <w:rFonts w:hint="eastAsia" w:ascii="宋体" w:hAnsi="宋体"/>
          <w:sz w:val="24"/>
          <w:szCs w:val="22"/>
        </w:rPr>
        <w:t>的基本</w:t>
      </w:r>
      <w:r>
        <w:rPr>
          <w:rFonts w:ascii="宋体" w:hAnsi="宋体"/>
          <w:sz w:val="24"/>
          <w:szCs w:val="22"/>
        </w:rPr>
        <w:t>流程</w:t>
      </w:r>
    </w:p>
    <w:p w14:paraId="230F7CA4">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小学数学</w:t>
      </w:r>
      <w:r>
        <w:rPr>
          <w:rFonts w:ascii="宋体" w:hAnsi="宋体"/>
          <w:sz w:val="24"/>
          <w:szCs w:val="22"/>
        </w:rPr>
        <w:t>教学设计</w:t>
      </w:r>
      <w:r>
        <w:rPr>
          <w:rFonts w:hint="eastAsia" w:ascii="宋体" w:hAnsi="宋体"/>
          <w:sz w:val="24"/>
          <w:szCs w:val="22"/>
        </w:rPr>
        <w:t>方案</w:t>
      </w:r>
      <w:r>
        <w:rPr>
          <w:rFonts w:ascii="宋体" w:hAnsi="宋体"/>
          <w:sz w:val="24"/>
          <w:szCs w:val="22"/>
        </w:rPr>
        <w:t>的撰写</w:t>
      </w:r>
    </w:p>
    <w:p w14:paraId="33E8203D">
      <w:pPr>
        <w:spacing w:line="360" w:lineRule="auto"/>
        <w:ind w:firstLine="482" w:firstLineChars="200"/>
        <w:rPr>
          <w:rFonts w:ascii="宋体" w:hAnsi="宋体"/>
          <w:b/>
          <w:sz w:val="24"/>
          <w:szCs w:val="22"/>
        </w:rPr>
      </w:pPr>
      <w:r>
        <w:rPr>
          <w:rFonts w:ascii="宋体" w:hAnsi="宋体"/>
          <w:b/>
          <w:sz w:val="24"/>
          <w:szCs w:val="22"/>
        </w:rPr>
        <w:t>2.基本要求</w:t>
      </w:r>
    </w:p>
    <w:p w14:paraId="235B959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明确小学数学</w:t>
      </w:r>
      <w:r>
        <w:rPr>
          <w:rFonts w:ascii="宋体" w:hAnsi="宋体"/>
          <w:sz w:val="24"/>
          <w:szCs w:val="22"/>
        </w:rPr>
        <w:t>教学</w:t>
      </w:r>
      <w:r>
        <w:rPr>
          <w:rFonts w:hint="eastAsia" w:ascii="宋体" w:hAnsi="宋体"/>
          <w:sz w:val="24"/>
          <w:szCs w:val="22"/>
        </w:rPr>
        <w:t>设计要</w:t>
      </w:r>
      <w:r>
        <w:rPr>
          <w:rFonts w:ascii="宋体" w:hAnsi="宋体"/>
          <w:sz w:val="24"/>
          <w:szCs w:val="22"/>
        </w:rPr>
        <w:t>做好哪些前期准备</w:t>
      </w:r>
    </w:p>
    <w:p w14:paraId="09A2B1A1">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知道小学</w:t>
      </w:r>
      <w:r>
        <w:rPr>
          <w:rFonts w:ascii="宋体" w:hAnsi="宋体"/>
          <w:sz w:val="24"/>
          <w:szCs w:val="22"/>
        </w:rPr>
        <w:t>数学教学设计的基本流程</w:t>
      </w:r>
    </w:p>
    <w:p w14:paraId="582ECF2F">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能够独立撰写</w:t>
      </w:r>
      <w:r>
        <w:rPr>
          <w:rFonts w:ascii="宋体" w:hAnsi="宋体"/>
          <w:sz w:val="24"/>
          <w:szCs w:val="22"/>
        </w:rPr>
        <w:t>小学数学教学方案</w:t>
      </w:r>
    </w:p>
    <w:p w14:paraId="05C1D1DB">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258A5D7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树立</w:t>
      </w:r>
      <w:r>
        <w:rPr>
          <w:rFonts w:ascii="宋体" w:hAnsi="宋体"/>
          <w:sz w:val="24"/>
          <w:szCs w:val="22"/>
        </w:rPr>
        <w:t>全方位育人的思想。</w:t>
      </w:r>
    </w:p>
    <w:p w14:paraId="7A148A20">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注重</w:t>
      </w:r>
      <w:r>
        <w:rPr>
          <w:rFonts w:ascii="宋体" w:hAnsi="宋体"/>
          <w:sz w:val="24"/>
          <w:szCs w:val="22"/>
        </w:rPr>
        <w:t>教学设计的</w:t>
      </w:r>
      <w:r>
        <w:rPr>
          <w:rFonts w:hint="eastAsia" w:ascii="宋体" w:hAnsi="宋体"/>
          <w:sz w:val="24"/>
          <w:szCs w:val="22"/>
        </w:rPr>
        <w:t>严谨</w:t>
      </w:r>
      <w:r>
        <w:rPr>
          <w:rFonts w:ascii="宋体" w:hAnsi="宋体"/>
          <w:sz w:val="24"/>
          <w:szCs w:val="22"/>
        </w:rPr>
        <w:t>性。</w:t>
      </w:r>
    </w:p>
    <w:p w14:paraId="3E17259E">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掌握数学课程的基本理念</w:t>
      </w:r>
    </w:p>
    <w:p w14:paraId="70C54D1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 xml:space="preserve">运用数学课程的基本理念分析和解决实际问题 </w:t>
      </w:r>
    </w:p>
    <w:p w14:paraId="7B141905">
      <w:pPr>
        <w:spacing w:line="360" w:lineRule="auto"/>
        <w:ind w:firstLine="482" w:firstLineChars="200"/>
        <w:outlineLvl w:val="0"/>
        <w:rPr>
          <w:rFonts w:ascii="宋体" w:hAnsi="宋体"/>
          <w:b/>
          <w:sz w:val="24"/>
          <w:szCs w:val="22"/>
        </w:rPr>
      </w:pPr>
      <w:r>
        <w:rPr>
          <w:rFonts w:hint="eastAsia" w:ascii="宋体" w:hAnsi="宋体"/>
          <w:b/>
          <w:sz w:val="24"/>
          <w:szCs w:val="22"/>
        </w:rPr>
        <w:t>（三）小学数学教学的实施（本模块各知识点的讲授与学习，可以支撑课程目标</w:t>
      </w:r>
      <w:r>
        <w:rPr>
          <w:rFonts w:ascii="宋体" w:hAnsi="宋体"/>
          <w:b/>
          <w:sz w:val="24"/>
          <w:szCs w:val="22"/>
        </w:rPr>
        <w:t>2</w:t>
      </w:r>
      <w:r>
        <w:rPr>
          <w:rFonts w:hint="eastAsia" w:ascii="宋体" w:hAnsi="宋体"/>
          <w:b/>
          <w:sz w:val="24"/>
          <w:szCs w:val="22"/>
        </w:rPr>
        <w:t>、</w:t>
      </w:r>
      <w:r>
        <w:rPr>
          <w:rFonts w:ascii="宋体" w:hAnsi="宋体"/>
          <w:b/>
          <w:sz w:val="24"/>
          <w:szCs w:val="22"/>
        </w:rPr>
        <w:t>课程目标</w:t>
      </w:r>
      <w:r>
        <w:rPr>
          <w:rFonts w:hint="eastAsia" w:ascii="宋体" w:hAnsi="宋体"/>
          <w:b/>
          <w:sz w:val="24"/>
          <w:szCs w:val="22"/>
        </w:rPr>
        <w:t>4）</w:t>
      </w:r>
    </w:p>
    <w:p w14:paraId="15EC5287">
      <w:pPr>
        <w:spacing w:line="360" w:lineRule="auto"/>
        <w:ind w:firstLine="482" w:firstLineChars="200"/>
        <w:rPr>
          <w:rFonts w:ascii="宋体" w:hAnsi="宋体"/>
          <w:b/>
          <w:sz w:val="24"/>
          <w:szCs w:val="22"/>
        </w:rPr>
      </w:pPr>
      <w:r>
        <w:rPr>
          <w:rFonts w:ascii="宋体" w:hAnsi="宋体"/>
          <w:b/>
          <w:sz w:val="24"/>
          <w:szCs w:val="22"/>
        </w:rPr>
        <w:t>1.教学内容</w:t>
      </w:r>
    </w:p>
    <w:p w14:paraId="138C4953">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小学数学</w:t>
      </w:r>
      <w:r>
        <w:rPr>
          <w:rFonts w:ascii="宋体" w:hAnsi="宋体"/>
          <w:sz w:val="24"/>
          <w:szCs w:val="22"/>
        </w:rPr>
        <w:t>教学的</w:t>
      </w:r>
      <w:r>
        <w:rPr>
          <w:rFonts w:hint="eastAsia" w:ascii="宋体" w:hAnsi="宋体"/>
          <w:sz w:val="24"/>
          <w:szCs w:val="22"/>
        </w:rPr>
        <w:t>结构</w:t>
      </w:r>
      <w:r>
        <w:rPr>
          <w:rFonts w:ascii="宋体" w:hAnsi="宋体"/>
          <w:sz w:val="24"/>
          <w:szCs w:val="22"/>
        </w:rPr>
        <w:t>与类型</w:t>
      </w:r>
    </w:p>
    <w:p w14:paraId="156E0D5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小学数学</w:t>
      </w:r>
      <w:r>
        <w:rPr>
          <w:rFonts w:ascii="宋体" w:hAnsi="宋体"/>
          <w:sz w:val="24"/>
          <w:szCs w:val="22"/>
        </w:rPr>
        <w:t>教学方法的选择</w:t>
      </w:r>
    </w:p>
    <w:p w14:paraId="0240C18F">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小学数学</w:t>
      </w:r>
      <w:r>
        <w:rPr>
          <w:rFonts w:ascii="宋体" w:hAnsi="宋体"/>
          <w:sz w:val="24"/>
          <w:szCs w:val="22"/>
        </w:rPr>
        <w:t>教学</w:t>
      </w:r>
      <w:r>
        <w:rPr>
          <w:rFonts w:hint="eastAsia" w:ascii="宋体" w:hAnsi="宋体"/>
          <w:sz w:val="24"/>
          <w:szCs w:val="22"/>
        </w:rPr>
        <w:t>的</w:t>
      </w:r>
      <w:r>
        <w:rPr>
          <w:rFonts w:ascii="宋体" w:hAnsi="宋体"/>
          <w:sz w:val="24"/>
          <w:szCs w:val="22"/>
        </w:rPr>
        <w:t>具体</w:t>
      </w:r>
      <w:r>
        <w:rPr>
          <w:rFonts w:hint="eastAsia" w:ascii="宋体" w:hAnsi="宋体"/>
          <w:sz w:val="24"/>
          <w:szCs w:val="22"/>
        </w:rPr>
        <w:t>实施</w:t>
      </w:r>
    </w:p>
    <w:p w14:paraId="7E136DE1">
      <w:pPr>
        <w:spacing w:line="360" w:lineRule="auto"/>
        <w:ind w:firstLine="480" w:firstLineChars="200"/>
        <w:rPr>
          <w:rFonts w:hint="eastAsia" w:ascii="宋体" w:hAnsi="宋体"/>
          <w:sz w:val="24"/>
          <w:szCs w:val="22"/>
        </w:rPr>
      </w:pPr>
      <w:r>
        <w:rPr>
          <w:rFonts w:hint="eastAsia" w:ascii="宋体" w:hAnsi="宋体"/>
          <w:sz w:val="24"/>
          <w:szCs w:val="22"/>
        </w:rPr>
        <w:t>（4</w:t>
      </w:r>
      <w:r>
        <w:rPr>
          <w:rFonts w:ascii="宋体" w:hAnsi="宋体"/>
          <w:sz w:val="24"/>
          <w:szCs w:val="22"/>
        </w:rPr>
        <w:t>）</w:t>
      </w:r>
      <w:r>
        <w:rPr>
          <w:rFonts w:hint="eastAsia" w:ascii="宋体" w:hAnsi="宋体"/>
          <w:sz w:val="24"/>
          <w:szCs w:val="22"/>
        </w:rPr>
        <w:t>小学</w:t>
      </w:r>
      <w:r>
        <w:rPr>
          <w:rFonts w:ascii="宋体" w:hAnsi="宋体"/>
          <w:sz w:val="24"/>
          <w:szCs w:val="22"/>
        </w:rPr>
        <w:t>数学教学评价</w:t>
      </w:r>
    </w:p>
    <w:p w14:paraId="7FAC17CE">
      <w:pPr>
        <w:spacing w:line="360" w:lineRule="auto"/>
        <w:ind w:firstLine="482" w:firstLineChars="200"/>
        <w:rPr>
          <w:rFonts w:ascii="宋体" w:hAnsi="宋体"/>
          <w:b/>
          <w:sz w:val="24"/>
          <w:szCs w:val="22"/>
        </w:rPr>
      </w:pPr>
      <w:r>
        <w:rPr>
          <w:rFonts w:ascii="宋体" w:hAnsi="宋体"/>
          <w:b/>
          <w:sz w:val="24"/>
          <w:szCs w:val="22"/>
        </w:rPr>
        <w:t>2.基本要求</w:t>
      </w:r>
    </w:p>
    <w:p w14:paraId="43FA370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了解小学</w:t>
      </w:r>
      <w:r>
        <w:rPr>
          <w:rFonts w:ascii="宋体" w:hAnsi="宋体"/>
          <w:sz w:val="24"/>
          <w:szCs w:val="22"/>
        </w:rPr>
        <w:t>数学教学的</w:t>
      </w:r>
      <w:r>
        <w:rPr>
          <w:rFonts w:hint="eastAsia" w:ascii="宋体" w:hAnsi="宋体"/>
          <w:sz w:val="24"/>
          <w:szCs w:val="22"/>
        </w:rPr>
        <w:t>一般结构</w:t>
      </w:r>
      <w:r>
        <w:rPr>
          <w:rFonts w:ascii="宋体" w:hAnsi="宋体"/>
          <w:sz w:val="24"/>
          <w:szCs w:val="22"/>
        </w:rPr>
        <w:t>和常见类型</w:t>
      </w:r>
    </w:p>
    <w:p w14:paraId="5CBE22B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了解常用</w:t>
      </w:r>
      <w:r>
        <w:rPr>
          <w:rFonts w:ascii="宋体" w:hAnsi="宋体"/>
          <w:sz w:val="24"/>
          <w:szCs w:val="22"/>
        </w:rPr>
        <w:t>的数学教学方法，能够根据</w:t>
      </w:r>
      <w:r>
        <w:rPr>
          <w:rFonts w:hint="eastAsia" w:ascii="宋体" w:hAnsi="宋体"/>
          <w:sz w:val="24"/>
          <w:szCs w:val="22"/>
        </w:rPr>
        <w:t>课程</w:t>
      </w:r>
      <w:r>
        <w:rPr>
          <w:rFonts w:ascii="宋体" w:hAnsi="宋体"/>
          <w:sz w:val="24"/>
          <w:szCs w:val="22"/>
        </w:rPr>
        <w:t>目标、</w:t>
      </w:r>
      <w:r>
        <w:rPr>
          <w:rFonts w:hint="eastAsia" w:ascii="宋体" w:hAnsi="宋体"/>
          <w:sz w:val="24"/>
          <w:szCs w:val="22"/>
        </w:rPr>
        <w:t>教学</w:t>
      </w:r>
      <w:r>
        <w:rPr>
          <w:rFonts w:ascii="宋体" w:hAnsi="宋体"/>
          <w:sz w:val="24"/>
          <w:szCs w:val="22"/>
        </w:rPr>
        <w:t>内容、</w:t>
      </w:r>
      <w:r>
        <w:rPr>
          <w:rFonts w:hint="eastAsia" w:ascii="宋体" w:hAnsi="宋体"/>
          <w:sz w:val="24"/>
          <w:szCs w:val="22"/>
        </w:rPr>
        <w:t>学生</w:t>
      </w:r>
      <w:r>
        <w:rPr>
          <w:rFonts w:ascii="宋体" w:hAnsi="宋体"/>
          <w:sz w:val="24"/>
          <w:szCs w:val="22"/>
        </w:rPr>
        <w:t>特点等选择最</w:t>
      </w:r>
      <w:r>
        <w:rPr>
          <w:rFonts w:hint="eastAsia" w:ascii="宋体" w:hAnsi="宋体"/>
          <w:sz w:val="24"/>
          <w:szCs w:val="22"/>
        </w:rPr>
        <w:t>适合</w:t>
      </w:r>
      <w:r>
        <w:rPr>
          <w:rFonts w:ascii="宋体" w:hAnsi="宋体"/>
          <w:sz w:val="24"/>
          <w:szCs w:val="22"/>
        </w:rPr>
        <w:t>的教学方法</w:t>
      </w:r>
    </w:p>
    <w:p w14:paraId="024AA99A">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能够在</w:t>
      </w:r>
      <w:r>
        <w:rPr>
          <w:rFonts w:ascii="宋体" w:hAnsi="宋体"/>
          <w:sz w:val="24"/>
          <w:szCs w:val="22"/>
        </w:rPr>
        <w:t>理论的指导下</w:t>
      </w:r>
      <w:r>
        <w:rPr>
          <w:rFonts w:hint="eastAsia" w:ascii="宋体" w:hAnsi="宋体"/>
          <w:sz w:val="24"/>
          <w:szCs w:val="22"/>
        </w:rPr>
        <w:t>有效</w:t>
      </w:r>
      <w:r>
        <w:rPr>
          <w:rFonts w:ascii="宋体" w:hAnsi="宋体"/>
          <w:sz w:val="24"/>
          <w:szCs w:val="22"/>
        </w:rPr>
        <w:t>地进行具体的小学数学教学，并能</w:t>
      </w:r>
      <w:r>
        <w:rPr>
          <w:rFonts w:hint="eastAsia" w:ascii="宋体" w:hAnsi="宋体"/>
          <w:sz w:val="24"/>
          <w:szCs w:val="22"/>
        </w:rPr>
        <w:t>进行</w:t>
      </w:r>
      <w:r>
        <w:rPr>
          <w:rFonts w:ascii="宋体" w:hAnsi="宋体"/>
          <w:sz w:val="24"/>
          <w:szCs w:val="22"/>
        </w:rPr>
        <w:t>及时的评价与调整。</w:t>
      </w:r>
    </w:p>
    <w:p w14:paraId="55494BE1">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46E82ED7">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注重</w:t>
      </w:r>
      <w:r>
        <w:rPr>
          <w:rFonts w:ascii="宋体" w:hAnsi="宋体"/>
          <w:sz w:val="24"/>
          <w:szCs w:val="22"/>
        </w:rPr>
        <w:t>教学过程中情感、态度</w:t>
      </w:r>
      <w:r>
        <w:rPr>
          <w:rFonts w:hint="eastAsia" w:ascii="宋体" w:hAnsi="宋体"/>
          <w:sz w:val="24"/>
          <w:szCs w:val="22"/>
        </w:rPr>
        <w:t>与</w:t>
      </w:r>
      <w:r>
        <w:rPr>
          <w:rFonts w:ascii="宋体" w:hAnsi="宋体"/>
          <w:sz w:val="24"/>
          <w:szCs w:val="22"/>
        </w:rPr>
        <w:t>价值观目标的实现。</w:t>
      </w:r>
    </w:p>
    <w:p w14:paraId="6C10ED4A">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养成</w:t>
      </w:r>
      <w:r>
        <w:rPr>
          <w:rFonts w:ascii="宋体" w:hAnsi="宋体"/>
          <w:sz w:val="24"/>
          <w:szCs w:val="22"/>
        </w:rPr>
        <w:t>科学、严谨的教学习惯。</w:t>
      </w:r>
    </w:p>
    <w:p w14:paraId="11171B7D">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能够有效地进行具体的小学数学教学</w:t>
      </w:r>
    </w:p>
    <w:p w14:paraId="1CCAE8DA">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如何提升数学</w:t>
      </w:r>
      <w:r>
        <w:rPr>
          <w:rFonts w:ascii="宋体" w:hAnsi="宋体"/>
          <w:sz w:val="24"/>
          <w:szCs w:val="22"/>
        </w:rPr>
        <w:t>课堂教学的有效性</w:t>
      </w:r>
    </w:p>
    <w:p w14:paraId="45EEBA97">
      <w:pPr>
        <w:spacing w:line="360" w:lineRule="auto"/>
        <w:ind w:firstLine="482" w:firstLineChars="200"/>
        <w:outlineLvl w:val="0"/>
        <w:rPr>
          <w:rFonts w:hint="eastAsia" w:ascii="宋体" w:hAnsi="宋体"/>
          <w:b/>
          <w:sz w:val="24"/>
          <w:szCs w:val="22"/>
        </w:rPr>
      </w:pPr>
      <w:r>
        <w:rPr>
          <w:rFonts w:hint="eastAsia" w:ascii="宋体" w:hAnsi="宋体"/>
          <w:b/>
          <w:sz w:val="24"/>
          <w:szCs w:val="22"/>
        </w:rPr>
        <w:t>（四）“数与代数”教学设计与实施（本模块各知识点的讲授与学习，可以支撑课程目标</w:t>
      </w:r>
      <w:r>
        <w:rPr>
          <w:rFonts w:ascii="宋体" w:hAnsi="宋体"/>
          <w:b/>
          <w:sz w:val="24"/>
          <w:szCs w:val="22"/>
        </w:rPr>
        <w:t>3</w:t>
      </w:r>
      <w:r>
        <w:rPr>
          <w:rFonts w:hint="eastAsia" w:ascii="宋体" w:hAnsi="宋体"/>
          <w:b/>
          <w:sz w:val="24"/>
          <w:szCs w:val="22"/>
        </w:rPr>
        <w:t>、</w:t>
      </w:r>
      <w:r>
        <w:rPr>
          <w:rFonts w:ascii="宋体" w:hAnsi="宋体"/>
          <w:b/>
          <w:sz w:val="24"/>
          <w:szCs w:val="22"/>
        </w:rPr>
        <w:t>课程目标4</w:t>
      </w:r>
      <w:r>
        <w:rPr>
          <w:rFonts w:hint="eastAsia" w:ascii="宋体" w:hAnsi="宋体"/>
          <w:b/>
          <w:sz w:val="24"/>
          <w:szCs w:val="22"/>
        </w:rPr>
        <w:t>）</w:t>
      </w:r>
    </w:p>
    <w:p w14:paraId="7C2EDB98">
      <w:pPr>
        <w:spacing w:line="360" w:lineRule="auto"/>
        <w:ind w:firstLine="482" w:firstLineChars="200"/>
        <w:rPr>
          <w:rFonts w:ascii="宋体" w:hAnsi="宋体"/>
          <w:b/>
          <w:sz w:val="24"/>
          <w:szCs w:val="22"/>
        </w:rPr>
      </w:pPr>
      <w:r>
        <w:rPr>
          <w:rFonts w:ascii="宋体" w:hAnsi="宋体"/>
          <w:b/>
          <w:sz w:val="24"/>
          <w:szCs w:val="22"/>
        </w:rPr>
        <w:t>1.教学内容</w:t>
      </w:r>
    </w:p>
    <w:p w14:paraId="2840629E">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“数与代数</w:t>
      </w:r>
      <w:r>
        <w:rPr>
          <w:rFonts w:ascii="宋体" w:hAnsi="宋体"/>
          <w:sz w:val="24"/>
          <w:szCs w:val="22"/>
        </w:rPr>
        <w:t>”</w:t>
      </w:r>
      <w:r>
        <w:rPr>
          <w:rFonts w:hint="eastAsia" w:ascii="宋体" w:hAnsi="宋体"/>
          <w:sz w:val="24"/>
          <w:szCs w:val="22"/>
        </w:rPr>
        <w:t>教学</w:t>
      </w:r>
      <w:r>
        <w:rPr>
          <w:rFonts w:ascii="宋体" w:hAnsi="宋体"/>
          <w:sz w:val="24"/>
          <w:szCs w:val="22"/>
        </w:rPr>
        <w:t>设计的</w:t>
      </w:r>
      <w:r>
        <w:rPr>
          <w:rFonts w:hint="eastAsia" w:ascii="宋体" w:hAnsi="宋体"/>
          <w:sz w:val="24"/>
          <w:szCs w:val="22"/>
        </w:rPr>
        <w:t>基本要求</w:t>
      </w:r>
    </w:p>
    <w:p w14:paraId="3C9B3C8B">
      <w:pPr>
        <w:spacing w:line="360" w:lineRule="auto"/>
        <w:ind w:firstLine="480" w:firstLineChars="200"/>
        <w:rPr>
          <w:rFonts w:hint="eastAsia" w:ascii="宋体" w:hAnsi="宋体"/>
          <w:sz w:val="24"/>
          <w:szCs w:val="22"/>
        </w:rPr>
      </w:pPr>
      <w:r>
        <w:rPr>
          <w:rFonts w:hint="eastAsia" w:ascii="宋体" w:hAnsi="宋体"/>
          <w:sz w:val="24"/>
          <w:szCs w:val="22"/>
        </w:rPr>
        <w:t>（2）“数与代数”教学</w:t>
      </w:r>
      <w:r>
        <w:rPr>
          <w:rFonts w:ascii="宋体" w:hAnsi="宋体"/>
          <w:sz w:val="24"/>
          <w:szCs w:val="22"/>
        </w:rPr>
        <w:t>设计要点与案例分析</w:t>
      </w:r>
    </w:p>
    <w:p w14:paraId="64C29DB5">
      <w:pPr>
        <w:spacing w:line="360" w:lineRule="auto"/>
        <w:ind w:firstLine="480" w:firstLineChars="200"/>
        <w:rPr>
          <w:rFonts w:ascii="宋体" w:hAnsi="宋体"/>
          <w:sz w:val="24"/>
          <w:szCs w:val="22"/>
        </w:rPr>
      </w:pPr>
      <w:r>
        <w:rPr>
          <w:rFonts w:ascii="宋体" w:hAnsi="宋体"/>
          <w:sz w:val="24"/>
          <w:szCs w:val="22"/>
        </w:rPr>
        <w:t>（3）</w:t>
      </w:r>
      <w:r>
        <w:rPr>
          <w:rFonts w:hint="eastAsia" w:ascii="宋体" w:hAnsi="宋体"/>
          <w:sz w:val="24"/>
          <w:szCs w:val="22"/>
        </w:rPr>
        <w:t>“数与代数”教学的具体实施</w:t>
      </w:r>
    </w:p>
    <w:p w14:paraId="159517CE">
      <w:pPr>
        <w:spacing w:line="360" w:lineRule="auto"/>
        <w:ind w:firstLine="482" w:firstLineChars="200"/>
        <w:rPr>
          <w:rFonts w:ascii="宋体" w:hAnsi="宋体"/>
          <w:b/>
          <w:sz w:val="24"/>
          <w:szCs w:val="22"/>
        </w:rPr>
      </w:pPr>
      <w:r>
        <w:rPr>
          <w:rFonts w:ascii="宋体" w:hAnsi="宋体"/>
          <w:b/>
          <w:sz w:val="24"/>
          <w:szCs w:val="22"/>
        </w:rPr>
        <w:t>2.基本要求</w:t>
      </w:r>
    </w:p>
    <w:p w14:paraId="206DF9A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理解“数与代数”教学设计</w:t>
      </w:r>
      <w:r>
        <w:rPr>
          <w:rFonts w:ascii="宋体" w:hAnsi="宋体"/>
          <w:sz w:val="24"/>
          <w:szCs w:val="22"/>
        </w:rPr>
        <w:t>的基本要求</w:t>
      </w:r>
    </w:p>
    <w:p w14:paraId="5322F7B2">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了解“数与代数”教学设计的要点，能够</w:t>
      </w:r>
      <w:r>
        <w:rPr>
          <w:rFonts w:ascii="宋体" w:hAnsi="宋体"/>
          <w:sz w:val="24"/>
          <w:szCs w:val="22"/>
        </w:rPr>
        <w:t>依据相关教学理论对</w:t>
      </w:r>
      <w:r>
        <w:rPr>
          <w:rFonts w:hint="eastAsia" w:ascii="宋体" w:hAnsi="宋体"/>
          <w:sz w:val="24"/>
          <w:szCs w:val="22"/>
        </w:rPr>
        <w:t>有关</w:t>
      </w:r>
      <w:r>
        <w:rPr>
          <w:rFonts w:ascii="宋体" w:hAnsi="宋体"/>
          <w:sz w:val="24"/>
          <w:szCs w:val="22"/>
        </w:rPr>
        <w:t>教学设计案例进行全面分析</w:t>
      </w:r>
      <w:r>
        <w:rPr>
          <w:rFonts w:hint="eastAsia" w:ascii="宋体" w:hAnsi="宋体"/>
          <w:sz w:val="24"/>
          <w:szCs w:val="22"/>
        </w:rPr>
        <w:t>与</w:t>
      </w:r>
      <w:r>
        <w:rPr>
          <w:rFonts w:ascii="宋体" w:hAnsi="宋体"/>
          <w:sz w:val="24"/>
          <w:szCs w:val="22"/>
        </w:rPr>
        <w:t>评价</w:t>
      </w:r>
    </w:p>
    <w:p w14:paraId="5FFE464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能够独立进行“数与代数”教学设计并付诸实施</w:t>
      </w:r>
    </w:p>
    <w:p w14:paraId="4DF23CED">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891C82A">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w:t>
      </w:r>
      <w:r>
        <w:rPr>
          <w:rFonts w:ascii="宋体" w:hAnsi="宋体"/>
          <w:sz w:val="24"/>
          <w:szCs w:val="22"/>
        </w:rPr>
        <w:t>根据全面育人的思想进行具体的</w:t>
      </w:r>
      <w:r>
        <w:rPr>
          <w:rFonts w:hint="eastAsia" w:ascii="宋体" w:hAnsi="宋体"/>
          <w:sz w:val="24"/>
          <w:szCs w:val="22"/>
        </w:rPr>
        <w:t>“数与代数”教学设计</w:t>
      </w:r>
      <w:r>
        <w:rPr>
          <w:rFonts w:ascii="宋体" w:hAnsi="宋体"/>
          <w:sz w:val="24"/>
          <w:szCs w:val="22"/>
        </w:rPr>
        <w:t>。</w:t>
      </w:r>
    </w:p>
    <w:p w14:paraId="09EF525C">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能</w:t>
      </w:r>
      <w:r>
        <w:rPr>
          <w:rFonts w:ascii="宋体" w:hAnsi="宋体"/>
          <w:sz w:val="24"/>
          <w:szCs w:val="22"/>
        </w:rPr>
        <w:t>在学习他人</w:t>
      </w:r>
      <w:r>
        <w:rPr>
          <w:rFonts w:hint="eastAsia" w:ascii="宋体" w:hAnsi="宋体"/>
          <w:sz w:val="24"/>
          <w:szCs w:val="22"/>
        </w:rPr>
        <w:t>教学</w:t>
      </w:r>
      <w:r>
        <w:rPr>
          <w:rFonts w:ascii="宋体" w:hAnsi="宋体"/>
          <w:sz w:val="24"/>
          <w:szCs w:val="22"/>
        </w:rPr>
        <w:t>经验</w:t>
      </w:r>
      <w:r>
        <w:rPr>
          <w:rFonts w:hint="eastAsia" w:ascii="宋体" w:hAnsi="宋体"/>
          <w:sz w:val="24"/>
          <w:szCs w:val="22"/>
        </w:rPr>
        <w:t>的</w:t>
      </w:r>
      <w:r>
        <w:rPr>
          <w:rFonts w:ascii="宋体" w:hAnsi="宋体"/>
          <w:sz w:val="24"/>
          <w:szCs w:val="22"/>
        </w:rPr>
        <w:t>基础上增强</w:t>
      </w:r>
      <w:r>
        <w:rPr>
          <w:rFonts w:hint="eastAsia" w:ascii="宋体" w:hAnsi="宋体"/>
          <w:sz w:val="24"/>
          <w:szCs w:val="22"/>
        </w:rPr>
        <w:t>教学</w:t>
      </w:r>
      <w:r>
        <w:rPr>
          <w:rFonts w:ascii="宋体" w:hAnsi="宋体"/>
          <w:sz w:val="24"/>
          <w:szCs w:val="22"/>
        </w:rPr>
        <w:t>自信</w:t>
      </w:r>
      <w:r>
        <w:rPr>
          <w:rFonts w:hint="eastAsia" w:ascii="宋体" w:hAnsi="宋体"/>
          <w:sz w:val="24"/>
          <w:szCs w:val="22"/>
        </w:rPr>
        <w:t>心</w:t>
      </w:r>
      <w:r>
        <w:rPr>
          <w:rFonts w:ascii="宋体" w:hAnsi="宋体"/>
          <w:sz w:val="24"/>
          <w:szCs w:val="22"/>
        </w:rPr>
        <w:t>。</w:t>
      </w:r>
    </w:p>
    <w:p w14:paraId="188CDAFD">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能够按</w:t>
      </w:r>
      <w:r>
        <w:rPr>
          <w:rFonts w:ascii="宋体" w:hAnsi="宋体"/>
          <w:sz w:val="24"/>
          <w:szCs w:val="22"/>
        </w:rPr>
        <w:t>要求进行</w:t>
      </w:r>
      <w:r>
        <w:rPr>
          <w:rFonts w:hint="eastAsia" w:ascii="宋体" w:hAnsi="宋体"/>
          <w:sz w:val="24"/>
          <w:szCs w:val="22"/>
        </w:rPr>
        <w:t>“数与代数”教学设计并付诸实施</w:t>
      </w:r>
    </w:p>
    <w:p w14:paraId="3B744EE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如何设计</w:t>
      </w:r>
      <w:r>
        <w:rPr>
          <w:rFonts w:ascii="宋体" w:hAnsi="宋体"/>
          <w:sz w:val="24"/>
          <w:szCs w:val="22"/>
        </w:rPr>
        <w:t>有效的</w:t>
      </w:r>
      <w:r>
        <w:rPr>
          <w:rFonts w:hint="eastAsia" w:ascii="宋体" w:hAnsi="宋体"/>
          <w:sz w:val="24"/>
          <w:szCs w:val="22"/>
        </w:rPr>
        <w:t>“数与代数”</w:t>
      </w:r>
      <w:r>
        <w:rPr>
          <w:rFonts w:ascii="宋体" w:hAnsi="宋体"/>
          <w:sz w:val="24"/>
          <w:szCs w:val="22"/>
        </w:rPr>
        <w:t>教学方案</w:t>
      </w:r>
    </w:p>
    <w:p w14:paraId="26BEB819">
      <w:pPr>
        <w:spacing w:line="360" w:lineRule="auto"/>
        <w:ind w:firstLine="482" w:firstLineChars="200"/>
        <w:outlineLvl w:val="0"/>
        <w:rPr>
          <w:rFonts w:hint="eastAsia" w:ascii="宋体" w:hAnsi="宋体"/>
          <w:b/>
          <w:sz w:val="24"/>
          <w:szCs w:val="22"/>
        </w:rPr>
      </w:pPr>
      <w:r>
        <w:rPr>
          <w:rFonts w:hint="eastAsia" w:ascii="宋体" w:hAnsi="宋体"/>
          <w:b/>
          <w:sz w:val="24"/>
          <w:szCs w:val="22"/>
        </w:rPr>
        <w:t>（五）“图形与几何”教学设计与实施（本模块各知识点的讲授与学习，可以支撑课程目标3、课程目标4）</w:t>
      </w:r>
    </w:p>
    <w:p w14:paraId="52C16902">
      <w:pPr>
        <w:spacing w:line="360" w:lineRule="auto"/>
        <w:ind w:firstLine="482" w:firstLineChars="200"/>
        <w:rPr>
          <w:rFonts w:ascii="宋体" w:hAnsi="宋体"/>
          <w:b/>
          <w:sz w:val="24"/>
          <w:szCs w:val="22"/>
        </w:rPr>
      </w:pPr>
      <w:r>
        <w:rPr>
          <w:rFonts w:ascii="宋体" w:hAnsi="宋体"/>
          <w:b/>
          <w:sz w:val="24"/>
          <w:szCs w:val="22"/>
        </w:rPr>
        <w:t>1.教学内容</w:t>
      </w:r>
    </w:p>
    <w:p w14:paraId="40D95F58">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“图形与几何</w:t>
      </w:r>
      <w:r>
        <w:rPr>
          <w:rFonts w:ascii="宋体" w:hAnsi="宋体"/>
          <w:sz w:val="24"/>
          <w:szCs w:val="22"/>
        </w:rPr>
        <w:t>”</w:t>
      </w:r>
      <w:r>
        <w:rPr>
          <w:rFonts w:hint="eastAsia" w:ascii="宋体" w:hAnsi="宋体"/>
          <w:sz w:val="24"/>
          <w:szCs w:val="22"/>
        </w:rPr>
        <w:t>教学</w:t>
      </w:r>
      <w:r>
        <w:rPr>
          <w:rFonts w:ascii="宋体" w:hAnsi="宋体"/>
          <w:sz w:val="24"/>
          <w:szCs w:val="22"/>
        </w:rPr>
        <w:t>设计的</w:t>
      </w:r>
      <w:r>
        <w:rPr>
          <w:rFonts w:hint="eastAsia" w:ascii="宋体" w:hAnsi="宋体"/>
          <w:sz w:val="24"/>
          <w:szCs w:val="22"/>
        </w:rPr>
        <w:t>基本要求</w:t>
      </w:r>
    </w:p>
    <w:p w14:paraId="32ED0BE2">
      <w:pPr>
        <w:spacing w:line="360" w:lineRule="auto"/>
        <w:ind w:firstLine="480" w:firstLineChars="200"/>
        <w:rPr>
          <w:rFonts w:hint="eastAsia" w:ascii="宋体" w:hAnsi="宋体"/>
          <w:sz w:val="24"/>
          <w:szCs w:val="22"/>
        </w:rPr>
      </w:pPr>
      <w:r>
        <w:rPr>
          <w:rFonts w:hint="eastAsia" w:ascii="宋体" w:hAnsi="宋体"/>
          <w:sz w:val="24"/>
          <w:szCs w:val="22"/>
        </w:rPr>
        <w:t>（2）“图形与几何”教学</w:t>
      </w:r>
      <w:r>
        <w:rPr>
          <w:rFonts w:ascii="宋体" w:hAnsi="宋体"/>
          <w:sz w:val="24"/>
          <w:szCs w:val="22"/>
        </w:rPr>
        <w:t>设计要点与案例分析</w:t>
      </w:r>
    </w:p>
    <w:p w14:paraId="413A6F5F">
      <w:pPr>
        <w:spacing w:line="360" w:lineRule="auto"/>
        <w:ind w:firstLine="480" w:firstLineChars="200"/>
        <w:rPr>
          <w:rFonts w:ascii="宋体" w:hAnsi="宋体"/>
          <w:sz w:val="24"/>
          <w:szCs w:val="22"/>
        </w:rPr>
      </w:pPr>
      <w:r>
        <w:rPr>
          <w:rFonts w:ascii="宋体" w:hAnsi="宋体"/>
          <w:sz w:val="24"/>
          <w:szCs w:val="22"/>
        </w:rPr>
        <w:t>（3）</w:t>
      </w:r>
      <w:r>
        <w:rPr>
          <w:rFonts w:hint="eastAsia" w:ascii="宋体" w:hAnsi="宋体"/>
          <w:sz w:val="24"/>
          <w:szCs w:val="22"/>
        </w:rPr>
        <w:t>“图形与几何”教学的具体实施</w:t>
      </w:r>
    </w:p>
    <w:p w14:paraId="02F575E9">
      <w:pPr>
        <w:spacing w:line="360" w:lineRule="auto"/>
        <w:ind w:firstLine="482" w:firstLineChars="200"/>
        <w:rPr>
          <w:rFonts w:ascii="宋体" w:hAnsi="宋体"/>
          <w:b/>
          <w:sz w:val="24"/>
          <w:szCs w:val="22"/>
        </w:rPr>
      </w:pPr>
      <w:r>
        <w:rPr>
          <w:rFonts w:ascii="宋体" w:hAnsi="宋体"/>
          <w:b/>
          <w:sz w:val="24"/>
          <w:szCs w:val="22"/>
        </w:rPr>
        <w:t>2.基本要求</w:t>
      </w:r>
    </w:p>
    <w:p w14:paraId="01A2769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理解“图形与几何”教学设计</w:t>
      </w:r>
      <w:r>
        <w:rPr>
          <w:rFonts w:ascii="宋体" w:hAnsi="宋体"/>
          <w:sz w:val="24"/>
          <w:szCs w:val="22"/>
        </w:rPr>
        <w:t>的基本要求</w:t>
      </w:r>
    </w:p>
    <w:p w14:paraId="18B0080F">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了解“图形与几何”教学设计的要点，能够</w:t>
      </w:r>
      <w:r>
        <w:rPr>
          <w:rFonts w:ascii="宋体" w:hAnsi="宋体"/>
          <w:sz w:val="24"/>
          <w:szCs w:val="22"/>
        </w:rPr>
        <w:t>依据相关教学理论对</w:t>
      </w:r>
      <w:r>
        <w:rPr>
          <w:rFonts w:hint="eastAsia" w:ascii="宋体" w:hAnsi="宋体"/>
          <w:sz w:val="24"/>
          <w:szCs w:val="22"/>
        </w:rPr>
        <w:t>有关</w:t>
      </w:r>
      <w:r>
        <w:rPr>
          <w:rFonts w:ascii="宋体" w:hAnsi="宋体"/>
          <w:sz w:val="24"/>
          <w:szCs w:val="22"/>
        </w:rPr>
        <w:t>教学设计案例进行全面分析</w:t>
      </w:r>
      <w:r>
        <w:rPr>
          <w:rFonts w:hint="eastAsia" w:ascii="宋体" w:hAnsi="宋体"/>
          <w:sz w:val="24"/>
          <w:szCs w:val="22"/>
        </w:rPr>
        <w:t>与</w:t>
      </w:r>
      <w:r>
        <w:rPr>
          <w:rFonts w:ascii="宋体" w:hAnsi="宋体"/>
          <w:sz w:val="24"/>
          <w:szCs w:val="22"/>
        </w:rPr>
        <w:t>评价</w:t>
      </w:r>
    </w:p>
    <w:p w14:paraId="66B48052">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能够独立进行“图形与几何”教学设计并付诸实施</w:t>
      </w:r>
    </w:p>
    <w:p w14:paraId="7F7A2741">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4151AA5">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w:t>
      </w:r>
      <w:r>
        <w:rPr>
          <w:rFonts w:ascii="宋体" w:hAnsi="宋体"/>
          <w:sz w:val="24"/>
          <w:szCs w:val="22"/>
        </w:rPr>
        <w:t>根据全面育人的思想进行具体的</w:t>
      </w:r>
      <w:r>
        <w:rPr>
          <w:rFonts w:hint="eastAsia" w:ascii="宋体" w:hAnsi="宋体"/>
          <w:sz w:val="24"/>
          <w:szCs w:val="22"/>
        </w:rPr>
        <w:t>“图形与几何”教学设计</w:t>
      </w:r>
      <w:r>
        <w:rPr>
          <w:rFonts w:ascii="宋体" w:hAnsi="宋体"/>
          <w:sz w:val="24"/>
          <w:szCs w:val="22"/>
        </w:rPr>
        <w:t>。</w:t>
      </w:r>
    </w:p>
    <w:p w14:paraId="2AAD8A22">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能</w:t>
      </w:r>
      <w:r>
        <w:rPr>
          <w:rFonts w:ascii="宋体" w:hAnsi="宋体"/>
          <w:sz w:val="24"/>
          <w:szCs w:val="22"/>
        </w:rPr>
        <w:t>在学习他人</w:t>
      </w:r>
      <w:r>
        <w:rPr>
          <w:rFonts w:hint="eastAsia" w:ascii="宋体" w:hAnsi="宋体"/>
          <w:sz w:val="24"/>
          <w:szCs w:val="22"/>
        </w:rPr>
        <w:t>教学</w:t>
      </w:r>
      <w:r>
        <w:rPr>
          <w:rFonts w:ascii="宋体" w:hAnsi="宋体"/>
          <w:sz w:val="24"/>
          <w:szCs w:val="22"/>
        </w:rPr>
        <w:t>经验</w:t>
      </w:r>
      <w:r>
        <w:rPr>
          <w:rFonts w:hint="eastAsia" w:ascii="宋体" w:hAnsi="宋体"/>
          <w:sz w:val="24"/>
          <w:szCs w:val="22"/>
        </w:rPr>
        <w:t>的</w:t>
      </w:r>
      <w:r>
        <w:rPr>
          <w:rFonts w:ascii="宋体" w:hAnsi="宋体"/>
          <w:sz w:val="24"/>
          <w:szCs w:val="22"/>
        </w:rPr>
        <w:t>基础上增强</w:t>
      </w:r>
      <w:r>
        <w:rPr>
          <w:rFonts w:hint="eastAsia" w:ascii="宋体" w:hAnsi="宋体"/>
          <w:sz w:val="24"/>
          <w:szCs w:val="22"/>
        </w:rPr>
        <w:t>教学</w:t>
      </w:r>
      <w:r>
        <w:rPr>
          <w:rFonts w:ascii="宋体" w:hAnsi="宋体"/>
          <w:sz w:val="24"/>
          <w:szCs w:val="22"/>
        </w:rPr>
        <w:t>自信</w:t>
      </w:r>
      <w:r>
        <w:rPr>
          <w:rFonts w:hint="eastAsia" w:ascii="宋体" w:hAnsi="宋体"/>
          <w:sz w:val="24"/>
          <w:szCs w:val="22"/>
        </w:rPr>
        <w:t>心</w:t>
      </w:r>
      <w:r>
        <w:rPr>
          <w:rFonts w:ascii="宋体" w:hAnsi="宋体"/>
          <w:sz w:val="24"/>
          <w:szCs w:val="22"/>
        </w:rPr>
        <w:t>。</w:t>
      </w:r>
    </w:p>
    <w:p w14:paraId="598F76B2">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能够按</w:t>
      </w:r>
      <w:r>
        <w:rPr>
          <w:rFonts w:ascii="宋体" w:hAnsi="宋体"/>
          <w:sz w:val="24"/>
          <w:szCs w:val="22"/>
        </w:rPr>
        <w:t>要求进行</w:t>
      </w:r>
      <w:r>
        <w:rPr>
          <w:rFonts w:hint="eastAsia" w:ascii="宋体" w:hAnsi="宋体"/>
          <w:sz w:val="24"/>
          <w:szCs w:val="22"/>
        </w:rPr>
        <w:t>“图形与几何”教学设计并付诸实施</w:t>
      </w:r>
    </w:p>
    <w:p w14:paraId="10A580C4">
      <w:pPr>
        <w:spacing w:line="360" w:lineRule="auto"/>
        <w:ind w:firstLine="482" w:firstLineChars="200"/>
        <w:rPr>
          <w:rFonts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如何设计</w:t>
      </w:r>
      <w:r>
        <w:rPr>
          <w:rFonts w:ascii="宋体" w:hAnsi="宋体"/>
          <w:sz w:val="24"/>
          <w:szCs w:val="22"/>
        </w:rPr>
        <w:t>有效的</w:t>
      </w:r>
      <w:r>
        <w:rPr>
          <w:rFonts w:hint="eastAsia" w:ascii="宋体" w:hAnsi="宋体"/>
          <w:sz w:val="24"/>
          <w:szCs w:val="22"/>
        </w:rPr>
        <w:t>“图形与几何”</w:t>
      </w:r>
      <w:r>
        <w:rPr>
          <w:rFonts w:ascii="宋体" w:hAnsi="宋体"/>
          <w:sz w:val="24"/>
          <w:szCs w:val="22"/>
        </w:rPr>
        <w:t>教学方案</w:t>
      </w:r>
    </w:p>
    <w:p w14:paraId="72B88440">
      <w:pPr>
        <w:spacing w:line="360" w:lineRule="auto"/>
        <w:ind w:firstLine="482" w:firstLineChars="200"/>
        <w:rPr>
          <w:rFonts w:hint="eastAsia" w:ascii="宋体" w:hAnsi="宋体"/>
          <w:b/>
          <w:sz w:val="24"/>
          <w:szCs w:val="22"/>
        </w:rPr>
      </w:pPr>
      <w:r>
        <w:rPr>
          <w:rFonts w:hint="eastAsia" w:ascii="宋体" w:hAnsi="宋体"/>
          <w:b/>
          <w:sz w:val="24"/>
          <w:szCs w:val="22"/>
        </w:rPr>
        <w:t>（六）“统计与概率”教学设计与实施（本模块各知识点的讲授与学习，可以支撑课程目标</w:t>
      </w:r>
      <w:r>
        <w:rPr>
          <w:rFonts w:ascii="宋体" w:hAnsi="宋体"/>
          <w:b/>
          <w:sz w:val="24"/>
          <w:szCs w:val="22"/>
        </w:rPr>
        <w:t>3</w:t>
      </w:r>
      <w:r>
        <w:rPr>
          <w:rFonts w:hint="eastAsia" w:ascii="宋体" w:hAnsi="宋体"/>
          <w:b/>
          <w:sz w:val="24"/>
          <w:szCs w:val="22"/>
        </w:rPr>
        <w:t>、课程目标</w:t>
      </w:r>
      <w:r>
        <w:rPr>
          <w:rFonts w:ascii="宋体" w:hAnsi="宋体"/>
          <w:b/>
          <w:sz w:val="24"/>
          <w:szCs w:val="22"/>
        </w:rPr>
        <w:t>4</w:t>
      </w:r>
      <w:r>
        <w:rPr>
          <w:rFonts w:hint="eastAsia" w:ascii="宋体" w:hAnsi="宋体"/>
          <w:b/>
          <w:sz w:val="24"/>
          <w:szCs w:val="22"/>
        </w:rPr>
        <w:t>）</w:t>
      </w:r>
    </w:p>
    <w:p w14:paraId="290C10C9">
      <w:pPr>
        <w:spacing w:line="360" w:lineRule="auto"/>
        <w:ind w:firstLine="482" w:firstLineChars="200"/>
        <w:rPr>
          <w:rFonts w:ascii="宋体" w:hAnsi="宋体"/>
          <w:b/>
          <w:sz w:val="24"/>
          <w:szCs w:val="22"/>
        </w:rPr>
      </w:pPr>
      <w:r>
        <w:rPr>
          <w:rFonts w:ascii="宋体" w:hAnsi="宋体"/>
          <w:b/>
          <w:sz w:val="24"/>
          <w:szCs w:val="22"/>
        </w:rPr>
        <w:t>1.教学内容</w:t>
      </w:r>
    </w:p>
    <w:p w14:paraId="418BA1E1">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“统计与概率</w:t>
      </w:r>
      <w:r>
        <w:rPr>
          <w:rFonts w:ascii="宋体" w:hAnsi="宋体"/>
          <w:sz w:val="24"/>
          <w:szCs w:val="22"/>
        </w:rPr>
        <w:t>”</w:t>
      </w:r>
      <w:r>
        <w:rPr>
          <w:rFonts w:hint="eastAsia" w:ascii="宋体" w:hAnsi="宋体"/>
          <w:sz w:val="24"/>
          <w:szCs w:val="22"/>
        </w:rPr>
        <w:t>教学</w:t>
      </w:r>
      <w:r>
        <w:rPr>
          <w:rFonts w:ascii="宋体" w:hAnsi="宋体"/>
          <w:sz w:val="24"/>
          <w:szCs w:val="22"/>
        </w:rPr>
        <w:t>设计的</w:t>
      </w:r>
      <w:r>
        <w:rPr>
          <w:rFonts w:hint="eastAsia" w:ascii="宋体" w:hAnsi="宋体"/>
          <w:sz w:val="24"/>
          <w:szCs w:val="22"/>
        </w:rPr>
        <w:t>基本要求</w:t>
      </w:r>
    </w:p>
    <w:p w14:paraId="4A416FEA">
      <w:pPr>
        <w:spacing w:line="360" w:lineRule="auto"/>
        <w:ind w:firstLine="480" w:firstLineChars="200"/>
        <w:rPr>
          <w:rFonts w:hint="eastAsia" w:ascii="宋体" w:hAnsi="宋体"/>
          <w:sz w:val="24"/>
          <w:szCs w:val="22"/>
        </w:rPr>
      </w:pPr>
      <w:r>
        <w:rPr>
          <w:rFonts w:hint="eastAsia" w:ascii="宋体" w:hAnsi="宋体"/>
          <w:sz w:val="24"/>
          <w:szCs w:val="22"/>
        </w:rPr>
        <w:t>（2）“统计与概率”教学</w:t>
      </w:r>
      <w:r>
        <w:rPr>
          <w:rFonts w:ascii="宋体" w:hAnsi="宋体"/>
          <w:sz w:val="24"/>
          <w:szCs w:val="22"/>
        </w:rPr>
        <w:t>设计要点与案例分析</w:t>
      </w:r>
    </w:p>
    <w:p w14:paraId="7A0BA4D9">
      <w:pPr>
        <w:spacing w:line="360" w:lineRule="auto"/>
        <w:ind w:firstLine="480" w:firstLineChars="200"/>
        <w:rPr>
          <w:rFonts w:ascii="宋体" w:hAnsi="宋体"/>
          <w:sz w:val="24"/>
          <w:szCs w:val="22"/>
        </w:rPr>
      </w:pPr>
      <w:r>
        <w:rPr>
          <w:rFonts w:ascii="宋体" w:hAnsi="宋体"/>
          <w:sz w:val="24"/>
          <w:szCs w:val="22"/>
        </w:rPr>
        <w:t>（3）</w:t>
      </w:r>
      <w:r>
        <w:rPr>
          <w:rFonts w:hint="eastAsia" w:ascii="宋体" w:hAnsi="宋体"/>
          <w:sz w:val="24"/>
          <w:szCs w:val="22"/>
        </w:rPr>
        <w:t>“统计与概率”教学的具体实施</w:t>
      </w:r>
    </w:p>
    <w:p w14:paraId="0F091268">
      <w:pPr>
        <w:spacing w:line="360" w:lineRule="auto"/>
        <w:ind w:firstLine="482" w:firstLineChars="200"/>
        <w:rPr>
          <w:rFonts w:ascii="宋体" w:hAnsi="宋体"/>
          <w:b/>
          <w:sz w:val="24"/>
          <w:szCs w:val="22"/>
        </w:rPr>
      </w:pPr>
      <w:r>
        <w:rPr>
          <w:rFonts w:ascii="宋体" w:hAnsi="宋体"/>
          <w:b/>
          <w:sz w:val="24"/>
          <w:szCs w:val="22"/>
        </w:rPr>
        <w:t>2.基本要求</w:t>
      </w:r>
    </w:p>
    <w:p w14:paraId="2A884C40">
      <w:pPr>
        <w:spacing w:line="360" w:lineRule="auto"/>
        <w:ind w:firstLine="480" w:firstLineChars="200"/>
        <w:rPr>
          <w:rFonts w:hint="eastAsia" w:ascii="宋体" w:hAnsi="宋体"/>
          <w:sz w:val="24"/>
          <w:szCs w:val="22"/>
        </w:rPr>
      </w:pPr>
      <w:r>
        <w:rPr>
          <w:rFonts w:hint="eastAsia" w:ascii="宋体" w:hAnsi="宋体"/>
          <w:sz w:val="24"/>
          <w:szCs w:val="22"/>
        </w:rPr>
        <w:t>（1）理解“统计与概率”教学设计的基本要求</w:t>
      </w:r>
    </w:p>
    <w:p w14:paraId="7FF012D3">
      <w:pPr>
        <w:spacing w:line="360" w:lineRule="auto"/>
        <w:ind w:firstLine="480" w:firstLineChars="200"/>
        <w:rPr>
          <w:rFonts w:hint="eastAsia" w:ascii="宋体" w:hAnsi="宋体"/>
          <w:sz w:val="24"/>
          <w:szCs w:val="22"/>
        </w:rPr>
      </w:pPr>
      <w:r>
        <w:rPr>
          <w:rFonts w:hint="eastAsia" w:ascii="宋体" w:hAnsi="宋体"/>
          <w:sz w:val="24"/>
          <w:szCs w:val="22"/>
        </w:rPr>
        <w:t>（2）了解“统计与概率”教学设计的要点，能够依据相关教学理论对有关教学设计案例进行全面分析与评价</w:t>
      </w:r>
    </w:p>
    <w:p w14:paraId="78E0B296">
      <w:pPr>
        <w:spacing w:line="360" w:lineRule="auto"/>
        <w:ind w:firstLine="480" w:firstLineChars="200"/>
        <w:rPr>
          <w:rFonts w:ascii="宋体" w:hAnsi="宋体"/>
          <w:sz w:val="24"/>
          <w:szCs w:val="22"/>
        </w:rPr>
      </w:pPr>
      <w:r>
        <w:rPr>
          <w:rFonts w:hint="eastAsia" w:ascii="宋体" w:hAnsi="宋体"/>
          <w:sz w:val="24"/>
          <w:szCs w:val="22"/>
        </w:rPr>
        <w:t>（3）能够独立进行“统计与概率”教学设计并付诸实施</w:t>
      </w:r>
    </w:p>
    <w:p w14:paraId="7C720D6D">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155490B0">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w:t>
      </w:r>
      <w:r>
        <w:rPr>
          <w:rFonts w:ascii="宋体" w:hAnsi="宋体"/>
          <w:sz w:val="24"/>
          <w:szCs w:val="22"/>
        </w:rPr>
        <w:t>根据全面育人的思想进行具体的</w:t>
      </w:r>
      <w:r>
        <w:rPr>
          <w:rFonts w:hint="eastAsia" w:ascii="宋体" w:hAnsi="宋体"/>
          <w:sz w:val="24"/>
          <w:szCs w:val="22"/>
        </w:rPr>
        <w:t>“统计与概率”教学设计</w:t>
      </w:r>
      <w:r>
        <w:rPr>
          <w:rFonts w:ascii="宋体" w:hAnsi="宋体"/>
          <w:sz w:val="24"/>
          <w:szCs w:val="22"/>
        </w:rPr>
        <w:t>。</w:t>
      </w:r>
    </w:p>
    <w:p w14:paraId="78388725">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能</w:t>
      </w:r>
      <w:r>
        <w:rPr>
          <w:rFonts w:ascii="宋体" w:hAnsi="宋体"/>
          <w:sz w:val="24"/>
          <w:szCs w:val="22"/>
        </w:rPr>
        <w:t>在学习他人</w:t>
      </w:r>
      <w:r>
        <w:rPr>
          <w:rFonts w:hint="eastAsia" w:ascii="宋体" w:hAnsi="宋体"/>
          <w:sz w:val="24"/>
          <w:szCs w:val="22"/>
        </w:rPr>
        <w:t>教学</w:t>
      </w:r>
      <w:r>
        <w:rPr>
          <w:rFonts w:ascii="宋体" w:hAnsi="宋体"/>
          <w:sz w:val="24"/>
          <w:szCs w:val="22"/>
        </w:rPr>
        <w:t>经验</w:t>
      </w:r>
      <w:r>
        <w:rPr>
          <w:rFonts w:hint="eastAsia" w:ascii="宋体" w:hAnsi="宋体"/>
          <w:sz w:val="24"/>
          <w:szCs w:val="22"/>
        </w:rPr>
        <w:t>的</w:t>
      </w:r>
      <w:r>
        <w:rPr>
          <w:rFonts w:ascii="宋体" w:hAnsi="宋体"/>
          <w:sz w:val="24"/>
          <w:szCs w:val="22"/>
        </w:rPr>
        <w:t>基础上增强</w:t>
      </w:r>
      <w:r>
        <w:rPr>
          <w:rFonts w:hint="eastAsia" w:ascii="宋体" w:hAnsi="宋体"/>
          <w:sz w:val="24"/>
          <w:szCs w:val="22"/>
        </w:rPr>
        <w:t>教学</w:t>
      </w:r>
      <w:r>
        <w:rPr>
          <w:rFonts w:ascii="宋体" w:hAnsi="宋体"/>
          <w:sz w:val="24"/>
          <w:szCs w:val="22"/>
        </w:rPr>
        <w:t>自信</w:t>
      </w:r>
      <w:r>
        <w:rPr>
          <w:rFonts w:hint="eastAsia" w:ascii="宋体" w:hAnsi="宋体"/>
          <w:sz w:val="24"/>
          <w:szCs w:val="22"/>
        </w:rPr>
        <w:t>心</w:t>
      </w:r>
      <w:r>
        <w:rPr>
          <w:rFonts w:ascii="宋体" w:hAnsi="宋体"/>
          <w:sz w:val="24"/>
          <w:szCs w:val="22"/>
        </w:rPr>
        <w:t>。</w:t>
      </w:r>
    </w:p>
    <w:p w14:paraId="034E5B93">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能够按</w:t>
      </w:r>
      <w:r>
        <w:rPr>
          <w:rFonts w:ascii="宋体" w:hAnsi="宋体"/>
          <w:sz w:val="24"/>
          <w:szCs w:val="22"/>
        </w:rPr>
        <w:t>要求进行</w:t>
      </w:r>
      <w:r>
        <w:rPr>
          <w:rFonts w:hint="eastAsia" w:ascii="宋体" w:hAnsi="宋体"/>
          <w:sz w:val="24"/>
          <w:szCs w:val="22"/>
        </w:rPr>
        <w:t>“统计与概率”教学设计并付诸实施</w:t>
      </w:r>
    </w:p>
    <w:p w14:paraId="3B369373">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如何设计</w:t>
      </w:r>
      <w:r>
        <w:rPr>
          <w:rFonts w:ascii="宋体" w:hAnsi="宋体"/>
          <w:sz w:val="24"/>
          <w:szCs w:val="22"/>
        </w:rPr>
        <w:t>有效的</w:t>
      </w:r>
      <w:r>
        <w:rPr>
          <w:rFonts w:hint="eastAsia" w:ascii="宋体" w:hAnsi="宋体"/>
          <w:sz w:val="24"/>
          <w:szCs w:val="22"/>
        </w:rPr>
        <w:t>“统计与概率”</w:t>
      </w:r>
      <w:r>
        <w:rPr>
          <w:rFonts w:ascii="宋体" w:hAnsi="宋体"/>
          <w:sz w:val="24"/>
          <w:szCs w:val="22"/>
        </w:rPr>
        <w:t>教学方案</w:t>
      </w:r>
    </w:p>
    <w:p w14:paraId="1D095085">
      <w:pPr>
        <w:spacing w:line="360" w:lineRule="auto"/>
        <w:ind w:firstLine="482" w:firstLineChars="200"/>
        <w:outlineLvl w:val="0"/>
        <w:rPr>
          <w:rFonts w:hint="eastAsia" w:ascii="宋体" w:hAnsi="宋体"/>
          <w:b/>
          <w:sz w:val="24"/>
          <w:szCs w:val="22"/>
        </w:rPr>
      </w:pPr>
      <w:r>
        <w:rPr>
          <w:rFonts w:hint="eastAsia" w:ascii="宋体" w:hAnsi="宋体"/>
          <w:b/>
          <w:sz w:val="24"/>
          <w:szCs w:val="22"/>
        </w:rPr>
        <w:t>（七）“综合与实践”教学设计与实施（本模块各知识点的讲授与学习，可以支撑课程目标</w:t>
      </w:r>
      <w:r>
        <w:rPr>
          <w:rFonts w:ascii="宋体" w:hAnsi="宋体"/>
          <w:b/>
          <w:sz w:val="24"/>
          <w:szCs w:val="22"/>
        </w:rPr>
        <w:t>3</w:t>
      </w:r>
      <w:r>
        <w:rPr>
          <w:rFonts w:hint="eastAsia" w:ascii="宋体" w:hAnsi="宋体"/>
          <w:b/>
          <w:sz w:val="24"/>
          <w:szCs w:val="22"/>
        </w:rPr>
        <w:t>、课程目标</w:t>
      </w:r>
      <w:r>
        <w:rPr>
          <w:rFonts w:ascii="宋体" w:hAnsi="宋体"/>
          <w:b/>
          <w:sz w:val="24"/>
          <w:szCs w:val="22"/>
        </w:rPr>
        <w:t>4</w:t>
      </w:r>
      <w:r>
        <w:rPr>
          <w:rFonts w:hint="eastAsia" w:ascii="宋体" w:hAnsi="宋体"/>
          <w:b/>
          <w:sz w:val="24"/>
          <w:szCs w:val="22"/>
        </w:rPr>
        <w:t>）</w:t>
      </w:r>
    </w:p>
    <w:p w14:paraId="667D33C1">
      <w:pPr>
        <w:spacing w:line="360" w:lineRule="auto"/>
        <w:ind w:firstLine="482" w:firstLineChars="200"/>
        <w:rPr>
          <w:rFonts w:ascii="宋体" w:hAnsi="宋体"/>
          <w:b/>
          <w:sz w:val="24"/>
          <w:szCs w:val="22"/>
        </w:rPr>
      </w:pPr>
      <w:r>
        <w:rPr>
          <w:rFonts w:ascii="宋体" w:hAnsi="宋体"/>
          <w:b/>
          <w:sz w:val="24"/>
          <w:szCs w:val="22"/>
        </w:rPr>
        <w:t>1.教学内容</w:t>
      </w:r>
    </w:p>
    <w:p w14:paraId="36012E54">
      <w:pPr>
        <w:spacing w:line="360" w:lineRule="auto"/>
        <w:ind w:firstLine="480" w:firstLineChars="200"/>
        <w:rPr>
          <w:rFonts w:ascii="宋体" w:hAnsi="宋体"/>
          <w:sz w:val="24"/>
          <w:szCs w:val="22"/>
        </w:rPr>
      </w:pPr>
      <w:r>
        <w:rPr>
          <w:rFonts w:ascii="宋体" w:hAnsi="宋体"/>
          <w:sz w:val="24"/>
          <w:szCs w:val="22"/>
        </w:rPr>
        <w:t>（1）</w:t>
      </w:r>
      <w:r>
        <w:rPr>
          <w:rFonts w:hint="eastAsia" w:ascii="宋体" w:hAnsi="宋体"/>
          <w:sz w:val="24"/>
          <w:szCs w:val="22"/>
        </w:rPr>
        <w:t>“</w:t>
      </w:r>
      <w:r>
        <w:rPr>
          <w:rFonts w:ascii="宋体" w:hAnsi="宋体"/>
          <w:sz w:val="24"/>
          <w:szCs w:val="22"/>
        </w:rPr>
        <w:t>综合与实践”</w:t>
      </w:r>
      <w:r>
        <w:rPr>
          <w:rFonts w:hint="eastAsia" w:ascii="宋体" w:hAnsi="宋体"/>
          <w:sz w:val="24"/>
          <w:szCs w:val="22"/>
        </w:rPr>
        <w:t>教学</w:t>
      </w:r>
      <w:r>
        <w:rPr>
          <w:rFonts w:ascii="宋体" w:hAnsi="宋体"/>
          <w:sz w:val="24"/>
          <w:szCs w:val="22"/>
        </w:rPr>
        <w:t>设计的</w:t>
      </w:r>
      <w:r>
        <w:rPr>
          <w:rFonts w:hint="eastAsia" w:ascii="宋体" w:hAnsi="宋体"/>
          <w:sz w:val="24"/>
          <w:szCs w:val="22"/>
        </w:rPr>
        <w:t>基本要求</w:t>
      </w:r>
    </w:p>
    <w:p w14:paraId="49A12851">
      <w:pPr>
        <w:spacing w:line="360" w:lineRule="auto"/>
        <w:ind w:firstLine="480" w:firstLineChars="200"/>
        <w:rPr>
          <w:rFonts w:hint="eastAsia" w:ascii="宋体" w:hAnsi="宋体"/>
          <w:sz w:val="24"/>
          <w:szCs w:val="22"/>
        </w:rPr>
      </w:pPr>
      <w:r>
        <w:rPr>
          <w:rFonts w:hint="eastAsia" w:ascii="宋体" w:hAnsi="宋体"/>
          <w:sz w:val="24"/>
          <w:szCs w:val="22"/>
        </w:rPr>
        <w:t>（2）“综合与实践”教学</w:t>
      </w:r>
      <w:r>
        <w:rPr>
          <w:rFonts w:ascii="宋体" w:hAnsi="宋体"/>
          <w:sz w:val="24"/>
          <w:szCs w:val="22"/>
        </w:rPr>
        <w:t>设计要点与案例分析</w:t>
      </w:r>
    </w:p>
    <w:p w14:paraId="0070706B">
      <w:pPr>
        <w:spacing w:line="360" w:lineRule="auto"/>
        <w:ind w:firstLine="480" w:firstLineChars="200"/>
        <w:rPr>
          <w:rFonts w:ascii="宋体" w:hAnsi="宋体"/>
          <w:sz w:val="24"/>
          <w:szCs w:val="22"/>
        </w:rPr>
      </w:pPr>
      <w:r>
        <w:rPr>
          <w:rFonts w:ascii="宋体" w:hAnsi="宋体"/>
          <w:sz w:val="24"/>
          <w:szCs w:val="22"/>
        </w:rPr>
        <w:t>（3）</w:t>
      </w:r>
      <w:r>
        <w:rPr>
          <w:rFonts w:hint="eastAsia" w:ascii="宋体" w:hAnsi="宋体"/>
          <w:sz w:val="24"/>
          <w:szCs w:val="22"/>
        </w:rPr>
        <w:t>“综合</w:t>
      </w:r>
      <w:r>
        <w:rPr>
          <w:rFonts w:ascii="宋体" w:hAnsi="宋体"/>
          <w:sz w:val="24"/>
          <w:szCs w:val="22"/>
        </w:rPr>
        <w:t>与实践</w:t>
      </w:r>
      <w:r>
        <w:rPr>
          <w:rFonts w:hint="eastAsia" w:ascii="宋体" w:hAnsi="宋体"/>
          <w:sz w:val="24"/>
          <w:szCs w:val="22"/>
        </w:rPr>
        <w:t>”教学的具体实施</w:t>
      </w:r>
    </w:p>
    <w:p w14:paraId="4B351E9B">
      <w:pPr>
        <w:spacing w:line="360" w:lineRule="auto"/>
        <w:ind w:firstLine="482" w:firstLineChars="200"/>
        <w:rPr>
          <w:rFonts w:ascii="宋体" w:hAnsi="宋体"/>
          <w:b/>
          <w:sz w:val="24"/>
          <w:szCs w:val="22"/>
        </w:rPr>
      </w:pPr>
      <w:r>
        <w:rPr>
          <w:rFonts w:ascii="宋体" w:hAnsi="宋体"/>
          <w:b/>
          <w:sz w:val="24"/>
          <w:szCs w:val="22"/>
        </w:rPr>
        <w:t>2.基本要求</w:t>
      </w:r>
    </w:p>
    <w:p w14:paraId="3C9419B1">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理解“综合与实践”教学设计</w:t>
      </w:r>
      <w:r>
        <w:rPr>
          <w:rFonts w:ascii="宋体" w:hAnsi="宋体"/>
          <w:sz w:val="24"/>
          <w:szCs w:val="22"/>
        </w:rPr>
        <w:t>的基本要求</w:t>
      </w:r>
    </w:p>
    <w:p w14:paraId="0F984CA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了解“综合与实践”教学设计的要点，能够</w:t>
      </w:r>
      <w:r>
        <w:rPr>
          <w:rFonts w:ascii="宋体" w:hAnsi="宋体"/>
          <w:sz w:val="24"/>
          <w:szCs w:val="22"/>
        </w:rPr>
        <w:t>依据相关教学理论对</w:t>
      </w:r>
      <w:r>
        <w:rPr>
          <w:rFonts w:hint="eastAsia" w:ascii="宋体" w:hAnsi="宋体"/>
          <w:sz w:val="24"/>
          <w:szCs w:val="22"/>
        </w:rPr>
        <w:t>有关</w:t>
      </w:r>
      <w:r>
        <w:rPr>
          <w:rFonts w:ascii="宋体" w:hAnsi="宋体"/>
          <w:sz w:val="24"/>
          <w:szCs w:val="22"/>
        </w:rPr>
        <w:t>教学设计案例进行全面分析</w:t>
      </w:r>
      <w:r>
        <w:rPr>
          <w:rFonts w:hint="eastAsia" w:ascii="宋体" w:hAnsi="宋体"/>
          <w:sz w:val="24"/>
          <w:szCs w:val="22"/>
        </w:rPr>
        <w:t>与</w:t>
      </w:r>
      <w:r>
        <w:rPr>
          <w:rFonts w:ascii="宋体" w:hAnsi="宋体"/>
          <w:sz w:val="24"/>
          <w:szCs w:val="22"/>
        </w:rPr>
        <w:t>评价</w:t>
      </w:r>
    </w:p>
    <w:p w14:paraId="342D1E63">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能够独立进行“综合与实践”教学设计并付诸实施</w:t>
      </w:r>
    </w:p>
    <w:p w14:paraId="7037D5BD">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05A1FF48">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w:t>
      </w:r>
      <w:r>
        <w:rPr>
          <w:rFonts w:ascii="宋体" w:hAnsi="宋体"/>
          <w:sz w:val="24"/>
          <w:szCs w:val="22"/>
        </w:rPr>
        <w:t>根据全面育人的思想进行具体的</w:t>
      </w:r>
      <w:r>
        <w:rPr>
          <w:rFonts w:hint="eastAsia" w:ascii="宋体" w:hAnsi="宋体"/>
          <w:sz w:val="24"/>
          <w:szCs w:val="22"/>
        </w:rPr>
        <w:t>“综合与实践”教学设计</w:t>
      </w:r>
      <w:r>
        <w:rPr>
          <w:rFonts w:ascii="宋体" w:hAnsi="宋体"/>
          <w:sz w:val="24"/>
          <w:szCs w:val="22"/>
        </w:rPr>
        <w:t>。</w:t>
      </w:r>
    </w:p>
    <w:p w14:paraId="5E72ADC4">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能</w:t>
      </w:r>
      <w:r>
        <w:rPr>
          <w:rFonts w:ascii="宋体" w:hAnsi="宋体"/>
          <w:sz w:val="24"/>
          <w:szCs w:val="22"/>
        </w:rPr>
        <w:t>在学习他人</w:t>
      </w:r>
      <w:r>
        <w:rPr>
          <w:rFonts w:hint="eastAsia" w:ascii="宋体" w:hAnsi="宋体"/>
          <w:sz w:val="24"/>
          <w:szCs w:val="22"/>
        </w:rPr>
        <w:t>教学</w:t>
      </w:r>
      <w:r>
        <w:rPr>
          <w:rFonts w:ascii="宋体" w:hAnsi="宋体"/>
          <w:sz w:val="24"/>
          <w:szCs w:val="22"/>
        </w:rPr>
        <w:t>经验</w:t>
      </w:r>
      <w:r>
        <w:rPr>
          <w:rFonts w:hint="eastAsia" w:ascii="宋体" w:hAnsi="宋体"/>
          <w:sz w:val="24"/>
          <w:szCs w:val="22"/>
        </w:rPr>
        <w:t>的</w:t>
      </w:r>
      <w:r>
        <w:rPr>
          <w:rFonts w:ascii="宋体" w:hAnsi="宋体"/>
          <w:sz w:val="24"/>
          <w:szCs w:val="22"/>
        </w:rPr>
        <w:t>基础上增强</w:t>
      </w:r>
      <w:r>
        <w:rPr>
          <w:rFonts w:hint="eastAsia" w:ascii="宋体" w:hAnsi="宋体"/>
          <w:sz w:val="24"/>
          <w:szCs w:val="22"/>
        </w:rPr>
        <w:t>教学</w:t>
      </w:r>
      <w:r>
        <w:rPr>
          <w:rFonts w:ascii="宋体" w:hAnsi="宋体"/>
          <w:sz w:val="24"/>
          <w:szCs w:val="22"/>
        </w:rPr>
        <w:t>自信</w:t>
      </w:r>
      <w:r>
        <w:rPr>
          <w:rFonts w:hint="eastAsia" w:ascii="宋体" w:hAnsi="宋体"/>
          <w:sz w:val="24"/>
          <w:szCs w:val="22"/>
        </w:rPr>
        <w:t>心</w:t>
      </w:r>
      <w:r>
        <w:rPr>
          <w:rFonts w:ascii="宋体" w:hAnsi="宋体"/>
          <w:sz w:val="24"/>
          <w:szCs w:val="22"/>
        </w:rPr>
        <w:t>。</w:t>
      </w:r>
    </w:p>
    <w:p w14:paraId="0268821C">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能够按</w:t>
      </w:r>
      <w:r>
        <w:rPr>
          <w:rFonts w:ascii="宋体" w:hAnsi="宋体"/>
          <w:sz w:val="24"/>
          <w:szCs w:val="22"/>
        </w:rPr>
        <w:t>要求进行</w:t>
      </w:r>
      <w:r>
        <w:rPr>
          <w:rFonts w:hint="eastAsia" w:ascii="宋体" w:hAnsi="宋体"/>
          <w:sz w:val="24"/>
          <w:szCs w:val="22"/>
        </w:rPr>
        <w:t>“综合与实践”教学设计并付诸实施</w:t>
      </w:r>
    </w:p>
    <w:p w14:paraId="7C6EFF7E">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ascii="宋体" w:hAnsi="宋体"/>
          <w:b/>
          <w:sz w:val="24"/>
          <w:szCs w:val="22"/>
        </w:rPr>
        <w:t>：</w:t>
      </w:r>
      <w:r>
        <w:rPr>
          <w:rFonts w:hint="eastAsia" w:ascii="宋体" w:hAnsi="宋体"/>
          <w:sz w:val="24"/>
          <w:szCs w:val="22"/>
        </w:rPr>
        <w:t>如何设计</w:t>
      </w:r>
      <w:r>
        <w:rPr>
          <w:rFonts w:ascii="宋体" w:hAnsi="宋体"/>
          <w:sz w:val="24"/>
          <w:szCs w:val="22"/>
        </w:rPr>
        <w:t>有效的</w:t>
      </w:r>
      <w:r>
        <w:rPr>
          <w:rFonts w:hint="eastAsia" w:ascii="宋体" w:hAnsi="宋体"/>
          <w:sz w:val="24"/>
          <w:szCs w:val="22"/>
        </w:rPr>
        <w:t>“综合与实践”</w:t>
      </w:r>
      <w:r>
        <w:rPr>
          <w:rFonts w:ascii="宋体" w:hAnsi="宋体"/>
          <w:sz w:val="24"/>
          <w:szCs w:val="22"/>
        </w:rPr>
        <w:t>教学方案</w:t>
      </w:r>
    </w:p>
    <w:p w14:paraId="6920D92E">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4185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6D07C658">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3750DF61">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6F09A97E">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666135FB">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2E06A819">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77061FF1">
            <w:pPr>
              <w:jc w:val="center"/>
              <w:rPr>
                <w:rFonts w:hint="eastAsia" w:ascii="宋体" w:hAnsi="宋体"/>
                <w:b/>
                <w:szCs w:val="21"/>
              </w:rPr>
            </w:pPr>
            <w:r>
              <w:rPr>
                <w:rFonts w:hint="eastAsia" w:ascii="宋体" w:hAnsi="宋体"/>
                <w:b/>
                <w:szCs w:val="21"/>
              </w:rPr>
              <w:t>实践</w:t>
            </w:r>
          </w:p>
          <w:p w14:paraId="49EA4C39">
            <w:pPr>
              <w:jc w:val="center"/>
              <w:rPr>
                <w:rFonts w:ascii="宋体" w:hAnsi="宋体"/>
                <w:b/>
                <w:szCs w:val="21"/>
              </w:rPr>
            </w:pPr>
            <w:r>
              <w:rPr>
                <w:rFonts w:ascii="宋体" w:hAnsi="宋体"/>
                <w:b/>
                <w:szCs w:val="21"/>
              </w:rPr>
              <w:t>学时</w:t>
            </w:r>
          </w:p>
        </w:tc>
      </w:tr>
      <w:tr w14:paraId="671D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20D631A5">
            <w:pPr>
              <w:jc w:val="center"/>
              <w:rPr>
                <w:rFonts w:ascii="宋体" w:hAnsi="宋体"/>
                <w:szCs w:val="21"/>
              </w:rPr>
            </w:pPr>
            <w:r>
              <w:rPr>
                <w:rFonts w:hint="eastAsia" w:ascii="宋体" w:hAnsi="宋体"/>
                <w:szCs w:val="21"/>
              </w:rPr>
              <w:t>1</w:t>
            </w:r>
          </w:p>
        </w:tc>
        <w:tc>
          <w:tcPr>
            <w:tcW w:w="4110" w:type="dxa"/>
            <w:shd w:val="clear" w:color="auto" w:fill="FFFFFF"/>
            <w:noWrap w:val="0"/>
            <w:vAlign w:val="center"/>
          </w:tcPr>
          <w:p w14:paraId="791E671C">
            <w:pPr>
              <w:spacing w:line="360" w:lineRule="auto"/>
              <w:jc w:val="center"/>
              <w:rPr>
                <w:rFonts w:hint="eastAsia" w:ascii="宋体" w:hAnsi="宋体" w:cs="宋体"/>
                <w:kern w:val="0"/>
                <w:szCs w:val="21"/>
              </w:rPr>
            </w:pPr>
            <w:r>
              <w:rPr>
                <w:rFonts w:hint="eastAsia" w:ascii="宋体" w:hAnsi="宋体" w:cs="宋体"/>
                <w:kern w:val="0"/>
                <w:szCs w:val="21"/>
              </w:rPr>
              <w:t>小学数学</w:t>
            </w:r>
            <w:r>
              <w:rPr>
                <w:rFonts w:ascii="宋体" w:hAnsi="宋体" w:cs="宋体"/>
                <w:kern w:val="0"/>
                <w:szCs w:val="21"/>
              </w:rPr>
              <w:t>教学设计的基本理</w:t>
            </w:r>
            <w:r>
              <w:rPr>
                <w:rFonts w:hint="eastAsia" w:ascii="宋体" w:hAnsi="宋体" w:cs="宋体"/>
                <w:kern w:val="0"/>
                <w:szCs w:val="21"/>
              </w:rPr>
              <w:t>论</w:t>
            </w:r>
          </w:p>
        </w:tc>
        <w:tc>
          <w:tcPr>
            <w:tcW w:w="1701" w:type="dxa"/>
            <w:shd w:val="clear" w:color="auto" w:fill="FFFFFF"/>
            <w:noWrap w:val="0"/>
            <w:vAlign w:val="center"/>
          </w:tcPr>
          <w:p w14:paraId="64F20EFA">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67D9DE75">
            <w:pPr>
              <w:jc w:val="center"/>
              <w:rPr>
                <w:rFonts w:hint="eastAsia" w:ascii="宋体" w:hAnsi="宋体"/>
                <w:szCs w:val="21"/>
              </w:rPr>
            </w:pPr>
            <w:r>
              <w:rPr>
                <w:rFonts w:ascii="宋体" w:hAnsi="宋体"/>
                <w:kern w:val="0"/>
                <w:szCs w:val="21"/>
              </w:rPr>
              <w:t>3-2</w:t>
            </w:r>
          </w:p>
        </w:tc>
        <w:tc>
          <w:tcPr>
            <w:tcW w:w="708" w:type="dxa"/>
            <w:gridSpan w:val="2"/>
            <w:shd w:val="clear" w:color="auto" w:fill="FFFFFF"/>
            <w:noWrap w:val="0"/>
            <w:vAlign w:val="center"/>
          </w:tcPr>
          <w:p w14:paraId="4A3FB4BA">
            <w:pPr>
              <w:jc w:val="center"/>
              <w:rPr>
                <w:rFonts w:ascii="宋体" w:hAnsi="宋体"/>
                <w:kern w:val="0"/>
                <w:szCs w:val="21"/>
              </w:rPr>
            </w:pPr>
            <w:r>
              <w:rPr>
                <w:rFonts w:ascii="宋体" w:hAnsi="宋体"/>
                <w:kern w:val="0"/>
                <w:szCs w:val="21"/>
              </w:rPr>
              <w:t>6</w:t>
            </w:r>
          </w:p>
        </w:tc>
        <w:tc>
          <w:tcPr>
            <w:tcW w:w="709" w:type="dxa"/>
            <w:shd w:val="clear" w:color="auto" w:fill="FFFFFF"/>
            <w:noWrap w:val="0"/>
            <w:vAlign w:val="center"/>
          </w:tcPr>
          <w:p w14:paraId="1DAD6C3B">
            <w:pPr>
              <w:jc w:val="center"/>
              <w:rPr>
                <w:rFonts w:ascii="宋体" w:hAnsi="宋体"/>
                <w:kern w:val="0"/>
                <w:szCs w:val="21"/>
              </w:rPr>
            </w:pPr>
          </w:p>
        </w:tc>
      </w:tr>
      <w:tr w14:paraId="4D1B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788B158C">
            <w:pPr>
              <w:jc w:val="center"/>
              <w:rPr>
                <w:rFonts w:ascii="宋体" w:hAnsi="宋体"/>
                <w:szCs w:val="21"/>
              </w:rPr>
            </w:pPr>
            <w:r>
              <w:rPr>
                <w:rFonts w:hint="eastAsia" w:ascii="宋体" w:hAnsi="宋体"/>
                <w:szCs w:val="21"/>
              </w:rPr>
              <w:t>2</w:t>
            </w:r>
          </w:p>
        </w:tc>
        <w:tc>
          <w:tcPr>
            <w:tcW w:w="4110" w:type="dxa"/>
            <w:noWrap w:val="0"/>
            <w:vAlign w:val="center"/>
          </w:tcPr>
          <w:p w14:paraId="3CE02D5B">
            <w:pPr>
              <w:spacing w:line="360" w:lineRule="auto"/>
              <w:jc w:val="center"/>
              <w:rPr>
                <w:rFonts w:hint="eastAsia" w:ascii="宋体" w:hAnsi="宋体" w:cs="宋体"/>
                <w:kern w:val="0"/>
                <w:szCs w:val="21"/>
              </w:rPr>
            </w:pPr>
            <w:r>
              <w:rPr>
                <w:rFonts w:hint="eastAsia" w:ascii="宋体" w:hAnsi="宋体" w:cs="宋体"/>
                <w:kern w:val="0"/>
                <w:szCs w:val="21"/>
              </w:rPr>
              <w:t>小学数学教学</w:t>
            </w:r>
            <w:r>
              <w:rPr>
                <w:rFonts w:ascii="宋体" w:hAnsi="宋体" w:cs="宋体"/>
                <w:kern w:val="0"/>
                <w:szCs w:val="21"/>
              </w:rPr>
              <w:t>设计</w:t>
            </w:r>
            <w:r>
              <w:rPr>
                <w:rFonts w:hint="eastAsia" w:ascii="宋体" w:hAnsi="宋体" w:cs="宋体"/>
                <w:kern w:val="0"/>
                <w:szCs w:val="21"/>
              </w:rPr>
              <w:t>的</w:t>
            </w:r>
            <w:r>
              <w:rPr>
                <w:rFonts w:ascii="宋体" w:hAnsi="宋体" w:cs="宋体"/>
                <w:kern w:val="0"/>
                <w:szCs w:val="21"/>
              </w:rPr>
              <w:t>一般流程</w:t>
            </w:r>
          </w:p>
        </w:tc>
        <w:tc>
          <w:tcPr>
            <w:tcW w:w="1701" w:type="dxa"/>
            <w:noWrap w:val="0"/>
            <w:vAlign w:val="center"/>
          </w:tcPr>
          <w:p w14:paraId="4F76F7A2">
            <w:pPr>
              <w:jc w:val="center"/>
              <w:rPr>
                <w:rFonts w:ascii="宋体" w:hAnsi="宋体"/>
                <w:szCs w:val="21"/>
              </w:rPr>
            </w:pPr>
            <w:r>
              <w:rPr>
                <w:rFonts w:hint="eastAsia" w:ascii="宋体" w:hAnsi="宋体"/>
                <w:kern w:val="0"/>
                <w:szCs w:val="21"/>
              </w:rPr>
              <w:t>目标2</w:t>
            </w:r>
          </w:p>
        </w:tc>
        <w:tc>
          <w:tcPr>
            <w:tcW w:w="1418" w:type="dxa"/>
            <w:noWrap w:val="0"/>
            <w:vAlign w:val="center"/>
          </w:tcPr>
          <w:p w14:paraId="56B019B1">
            <w:pPr>
              <w:jc w:val="center"/>
              <w:rPr>
                <w:rFonts w:ascii="宋体" w:hAnsi="宋体"/>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tc>
        <w:tc>
          <w:tcPr>
            <w:tcW w:w="708" w:type="dxa"/>
            <w:gridSpan w:val="2"/>
            <w:noWrap w:val="0"/>
            <w:vAlign w:val="center"/>
          </w:tcPr>
          <w:p w14:paraId="3D820D53">
            <w:pPr>
              <w:jc w:val="center"/>
              <w:rPr>
                <w:rFonts w:ascii="宋体" w:hAnsi="宋体"/>
                <w:kern w:val="0"/>
                <w:szCs w:val="21"/>
              </w:rPr>
            </w:pPr>
            <w:r>
              <w:rPr>
                <w:rFonts w:ascii="宋体" w:hAnsi="宋体"/>
                <w:kern w:val="0"/>
                <w:szCs w:val="21"/>
              </w:rPr>
              <w:t>6</w:t>
            </w:r>
          </w:p>
        </w:tc>
        <w:tc>
          <w:tcPr>
            <w:tcW w:w="709" w:type="dxa"/>
            <w:noWrap w:val="0"/>
            <w:vAlign w:val="center"/>
          </w:tcPr>
          <w:p w14:paraId="7589F26E">
            <w:pPr>
              <w:jc w:val="center"/>
              <w:rPr>
                <w:rFonts w:ascii="宋体" w:hAnsi="宋体"/>
                <w:kern w:val="0"/>
                <w:szCs w:val="21"/>
              </w:rPr>
            </w:pPr>
          </w:p>
        </w:tc>
      </w:tr>
      <w:tr w14:paraId="430E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61BAF78A">
            <w:pPr>
              <w:jc w:val="center"/>
              <w:rPr>
                <w:rFonts w:hint="eastAsia" w:ascii="宋体" w:hAnsi="宋体"/>
                <w:szCs w:val="21"/>
              </w:rPr>
            </w:pPr>
            <w:r>
              <w:rPr>
                <w:rFonts w:hint="eastAsia" w:ascii="宋体" w:hAnsi="宋体"/>
                <w:szCs w:val="21"/>
              </w:rPr>
              <w:t>3</w:t>
            </w:r>
          </w:p>
        </w:tc>
        <w:tc>
          <w:tcPr>
            <w:tcW w:w="4110" w:type="dxa"/>
            <w:noWrap w:val="0"/>
            <w:vAlign w:val="center"/>
          </w:tcPr>
          <w:p w14:paraId="23F09110">
            <w:pPr>
              <w:spacing w:line="360" w:lineRule="auto"/>
              <w:jc w:val="center"/>
              <w:rPr>
                <w:rFonts w:hint="eastAsia" w:ascii="宋体" w:hAnsi="宋体" w:cs="宋体"/>
                <w:kern w:val="0"/>
                <w:szCs w:val="21"/>
              </w:rPr>
            </w:pPr>
            <w:r>
              <w:rPr>
                <w:rFonts w:hint="eastAsia" w:ascii="宋体" w:hAnsi="宋体" w:cs="宋体"/>
                <w:kern w:val="0"/>
                <w:szCs w:val="21"/>
              </w:rPr>
              <w:t>小学</w:t>
            </w:r>
            <w:r>
              <w:rPr>
                <w:rFonts w:ascii="宋体" w:hAnsi="宋体" w:cs="宋体"/>
                <w:kern w:val="0"/>
                <w:szCs w:val="21"/>
              </w:rPr>
              <w:t>数学教学的实施</w:t>
            </w:r>
          </w:p>
        </w:tc>
        <w:tc>
          <w:tcPr>
            <w:tcW w:w="1701" w:type="dxa"/>
            <w:noWrap w:val="0"/>
            <w:vAlign w:val="center"/>
          </w:tcPr>
          <w:p w14:paraId="4982260F">
            <w:pPr>
              <w:jc w:val="center"/>
              <w:rPr>
                <w:rFonts w:hint="eastAsia" w:ascii="宋体" w:hAnsi="宋体"/>
                <w:kern w:val="0"/>
                <w:szCs w:val="21"/>
              </w:rPr>
            </w:pPr>
            <w:r>
              <w:rPr>
                <w:rFonts w:hint="eastAsia" w:ascii="宋体" w:hAnsi="宋体"/>
                <w:kern w:val="0"/>
                <w:szCs w:val="21"/>
              </w:rPr>
              <w:t>目标2</w:t>
            </w:r>
          </w:p>
        </w:tc>
        <w:tc>
          <w:tcPr>
            <w:tcW w:w="1418" w:type="dxa"/>
            <w:noWrap w:val="0"/>
            <w:vAlign w:val="center"/>
          </w:tcPr>
          <w:p w14:paraId="578B62E5">
            <w:pPr>
              <w:jc w:val="center"/>
              <w:rPr>
                <w:rFonts w:ascii="宋体" w:hAnsi="宋体"/>
                <w:kern w:val="0"/>
                <w:szCs w:val="21"/>
              </w:rPr>
            </w:pPr>
            <w:r>
              <w:rPr>
                <w:rFonts w:hint="eastAsia" w:ascii="宋体" w:hAnsi="宋体"/>
                <w:kern w:val="0"/>
                <w:szCs w:val="21"/>
              </w:rPr>
              <w:t>3-2、4-1</w:t>
            </w:r>
          </w:p>
        </w:tc>
        <w:tc>
          <w:tcPr>
            <w:tcW w:w="708" w:type="dxa"/>
            <w:gridSpan w:val="2"/>
            <w:noWrap w:val="0"/>
            <w:vAlign w:val="center"/>
          </w:tcPr>
          <w:p w14:paraId="37977FB2">
            <w:pPr>
              <w:jc w:val="center"/>
              <w:rPr>
                <w:rFonts w:ascii="宋体" w:hAnsi="宋体"/>
                <w:kern w:val="0"/>
                <w:szCs w:val="21"/>
              </w:rPr>
            </w:pPr>
            <w:r>
              <w:rPr>
                <w:rFonts w:ascii="宋体" w:hAnsi="宋体"/>
                <w:kern w:val="0"/>
                <w:szCs w:val="21"/>
              </w:rPr>
              <w:t>6</w:t>
            </w:r>
          </w:p>
        </w:tc>
        <w:tc>
          <w:tcPr>
            <w:tcW w:w="709" w:type="dxa"/>
            <w:noWrap w:val="0"/>
            <w:vAlign w:val="center"/>
          </w:tcPr>
          <w:p w14:paraId="7922960B">
            <w:pPr>
              <w:jc w:val="center"/>
              <w:rPr>
                <w:rFonts w:ascii="宋体" w:hAnsi="宋体"/>
                <w:kern w:val="0"/>
                <w:szCs w:val="21"/>
              </w:rPr>
            </w:pPr>
          </w:p>
        </w:tc>
      </w:tr>
      <w:tr w14:paraId="7457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0D5D0F34">
            <w:pPr>
              <w:jc w:val="center"/>
              <w:rPr>
                <w:rFonts w:ascii="宋体" w:hAnsi="宋体"/>
                <w:szCs w:val="21"/>
              </w:rPr>
            </w:pPr>
            <w:r>
              <w:rPr>
                <w:rFonts w:ascii="宋体" w:hAnsi="宋体"/>
                <w:szCs w:val="21"/>
              </w:rPr>
              <w:t>4</w:t>
            </w:r>
          </w:p>
        </w:tc>
        <w:tc>
          <w:tcPr>
            <w:tcW w:w="4110" w:type="dxa"/>
            <w:noWrap w:val="0"/>
            <w:vAlign w:val="center"/>
          </w:tcPr>
          <w:p w14:paraId="56E51F84">
            <w:pPr>
              <w:spacing w:line="360" w:lineRule="auto"/>
              <w:jc w:val="center"/>
              <w:rPr>
                <w:rFonts w:hint="eastAsia" w:ascii="宋体" w:hAnsi="宋体" w:cs="宋体"/>
                <w:kern w:val="0"/>
                <w:szCs w:val="21"/>
              </w:rPr>
            </w:pPr>
            <w:r>
              <w:rPr>
                <w:rFonts w:hint="eastAsia" w:ascii="宋体" w:hAnsi="宋体" w:cs="宋体"/>
                <w:kern w:val="0"/>
                <w:szCs w:val="21"/>
              </w:rPr>
              <w:t>“数</w:t>
            </w:r>
            <w:r>
              <w:rPr>
                <w:rFonts w:ascii="宋体" w:hAnsi="宋体" w:cs="宋体"/>
                <w:kern w:val="0"/>
                <w:szCs w:val="21"/>
              </w:rPr>
              <w:t>与代数</w:t>
            </w:r>
            <w:r>
              <w:rPr>
                <w:rFonts w:hint="eastAsia" w:ascii="宋体" w:hAnsi="宋体" w:cs="宋体"/>
                <w:kern w:val="0"/>
                <w:szCs w:val="21"/>
              </w:rPr>
              <w:t>”教学</w:t>
            </w:r>
            <w:r>
              <w:rPr>
                <w:rFonts w:ascii="宋体" w:hAnsi="宋体" w:cs="宋体"/>
                <w:kern w:val="0"/>
                <w:szCs w:val="21"/>
              </w:rPr>
              <w:t>设计与实施</w:t>
            </w:r>
          </w:p>
        </w:tc>
        <w:tc>
          <w:tcPr>
            <w:tcW w:w="1701" w:type="dxa"/>
            <w:noWrap w:val="0"/>
            <w:vAlign w:val="center"/>
          </w:tcPr>
          <w:p w14:paraId="40099E98">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12E91BE6">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4BFFC460">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4688C523">
            <w:pPr>
              <w:jc w:val="center"/>
              <w:rPr>
                <w:rFonts w:ascii="宋体" w:hAnsi="宋体"/>
                <w:kern w:val="0"/>
                <w:szCs w:val="21"/>
              </w:rPr>
            </w:pPr>
            <w:r>
              <w:rPr>
                <w:rFonts w:ascii="宋体" w:hAnsi="宋体"/>
                <w:kern w:val="0"/>
                <w:szCs w:val="21"/>
              </w:rPr>
              <w:t>4</w:t>
            </w:r>
          </w:p>
        </w:tc>
        <w:tc>
          <w:tcPr>
            <w:tcW w:w="709" w:type="dxa"/>
            <w:noWrap w:val="0"/>
            <w:vAlign w:val="center"/>
          </w:tcPr>
          <w:p w14:paraId="375BCB05">
            <w:pPr>
              <w:jc w:val="center"/>
              <w:rPr>
                <w:rFonts w:ascii="宋体" w:hAnsi="宋体"/>
                <w:kern w:val="0"/>
                <w:szCs w:val="21"/>
              </w:rPr>
            </w:pPr>
            <w:r>
              <w:rPr>
                <w:rFonts w:hint="eastAsia" w:ascii="宋体" w:hAnsi="宋体"/>
                <w:kern w:val="0"/>
                <w:szCs w:val="21"/>
              </w:rPr>
              <w:t>4</w:t>
            </w:r>
          </w:p>
        </w:tc>
      </w:tr>
      <w:tr w14:paraId="08A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79400009">
            <w:pPr>
              <w:jc w:val="center"/>
              <w:rPr>
                <w:rFonts w:ascii="宋体" w:hAnsi="宋体"/>
                <w:szCs w:val="21"/>
              </w:rPr>
            </w:pPr>
            <w:r>
              <w:rPr>
                <w:rFonts w:ascii="宋体" w:hAnsi="宋体"/>
                <w:szCs w:val="21"/>
              </w:rPr>
              <w:t>5</w:t>
            </w:r>
          </w:p>
        </w:tc>
        <w:tc>
          <w:tcPr>
            <w:tcW w:w="4110" w:type="dxa"/>
            <w:noWrap w:val="0"/>
            <w:vAlign w:val="center"/>
          </w:tcPr>
          <w:p w14:paraId="00091FBD">
            <w:pPr>
              <w:spacing w:line="360" w:lineRule="auto"/>
              <w:jc w:val="center"/>
              <w:rPr>
                <w:rFonts w:hint="eastAsia" w:ascii="宋体" w:hAnsi="宋体" w:cs="宋体"/>
                <w:kern w:val="0"/>
                <w:szCs w:val="21"/>
              </w:rPr>
            </w:pPr>
            <w:r>
              <w:rPr>
                <w:rFonts w:hint="eastAsia" w:ascii="宋体" w:hAnsi="宋体" w:cs="宋体"/>
                <w:kern w:val="0"/>
                <w:szCs w:val="21"/>
              </w:rPr>
              <w:t>“图形</w:t>
            </w:r>
            <w:r>
              <w:rPr>
                <w:rFonts w:ascii="宋体" w:hAnsi="宋体" w:cs="宋体"/>
                <w:kern w:val="0"/>
                <w:szCs w:val="21"/>
              </w:rPr>
              <w:t>与几何”教学设计与</w:t>
            </w:r>
            <w:r>
              <w:rPr>
                <w:rFonts w:hint="eastAsia" w:ascii="宋体" w:hAnsi="宋体" w:cs="宋体"/>
                <w:kern w:val="0"/>
                <w:szCs w:val="21"/>
              </w:rPr>
              <w:t>实施</w:t>
            </w:r>
          </w:p>
        </w:tc>
        <w:tc>
          <w:tcPr>
            <w:tcW w:w="1701" w:type="dxa"/>
            <w:noWrap w:val="0"/>
            <w:vAlign w:val="center"/>
          </w:tcPr>
          <w:p w14:paraId="28EBEA01">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3FADDA6E">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642C6620">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375088BF">
            <w:pPr>
              <w:jc w:val="center"/>
              <w:rPr>
                <w:rFonts w:ascii="宋体" w:hAnsi="宋体"/>
                <w:kern w:val="0"/>
                <w:szCs w:val="21"/>
              </w:rPr>
            </w:pPr>
            <w:r>
              <w:rPr>
                <w:rFonts w:ascii="宋体" w:hAnsi="宋体"/>
                <w:kern w:val="0"/>
                <w:szCs w:val="21"/>
              </w:rPr>
              <w:t>4</w:t>
            </w:r>
          </w:p>
        </w:tc>
        <w:tc>
          <w:tcPr>
            <w:tcW w:w="709" w:type="dxa"/>
            <w:noWrap w:val="0"/>
            <w:vAlign w:val="center"/>
          </w:tcPr>
          <w:p w14:paraId="0BF14017">
            <w:pPr>
              <w:jc w:val="center"/>
              <w:rPr>
                <w:rFonts w:ascii="宋体" w:hAnsi="宋体"/>
                <w:kern w:val="0"/>
                <w:szCs w:val="21"/>
              </w:rPr>
            </w:pPr>
            <w:r>
              <w:rPr>
                <w:rFonts w:hint="eastAsia" w:ascii="宋体" w:hAnsi="宋体"/>
                <w:kern w:val="0"/>
                <w:szCs w:val="21"/>
              </w:rPr>
              <w:t>4</w:t>
            </w:r>
          </w:p>
        </w:tc>
      </w:tr>
      <w:tr w14:paraId="287D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noWrap w:val="0"/>
            <w:vAlign w:val="center"/>
          </w:tcPr>
          <w:p w14:paraId="598D3088">
            <w:pPr>
              <w:jc w:val="center"/>
              <w:rPr>
                <w:rFonts w:ascii="宋体" w:hAnsi="宋体"/>
                <w:szCs w:val="21"/>
              </w:rPr>
            </w:pPr>
            <w:r>
              <w:rPr>
                <w:rFonts w:ascii="宋体" w:hAnsi="宋体"/>
                <w:szCs w:val="21"/>
              </w:rPr>
              <w:t>6</w:t>
            </w:r>
          </w:p>
        </w:tc>
        <w:tc>
          <w:tcPr>
            <w:tcW w:w="4110" w:type="dxa"/>
            <w:noWrap w:val="0"/>
            <w:vAlign w:val="center"/>
          </w:tcPr>
          <w:p w14:paraId="2A74F690">
            <w:pPr>
              <w:spacing w:line="360" w:lineRule="auto"/>
              <w:jc w:val="center"/>
              <w:rPr>
                <w:rFonts w:hint="eastAsia" w:ascii="宋体" w:hAnsi="宋体" w:cs="宋体"/>
                <w:kern w:val="0"/>
                <w:szCs w:val="21"/>
              </w:rPr>
            </w:pPr>
            <w:r>
              <w:rPr>
                <w:rFonts w:hint="eastAsia" w:ascii="宋体" w:hAnsi="宋体" w:cs="宋体"/>
                <w:kern w:val="0"/>
                <w:szCs w:val="21"/>
              </w:rPr>
              <w:t>“统计与</w:t>
            </w:r>
            <w:r>
              <w:rPr>
                <w:rFonts w:ascii="宋体" w:hAnsi="宋体" w:cs="宋体"/>
                <w:kern w:val="0"/>
                <w:szCs w:val="21"/>
              </w:rPr>
              <w:t>概率</w:t>
            </w:r>
            <w:r>
              <w:rPr>
                <w:rFonts w:hint="eastAsia" w:ascii="宋体" w:hAnsi="宋体" w:cs="宋体"/>
                <w:kern w:val="0"/>
                <w:szCs w:val="21"/>
              </w:rPr>
              <w:t>”教学设计</w:t>
            </w:r>
            <w:r>
              <w:rPr>
                <w:rFonts w:ascii="宋体" w:hAnsi="宋体" w:cs="宋体"/>
                <w:kern w:val="0"/>
                <w:szCs w:val="21"/>
              </w:rPr>
              <w:t>与实施</w:t>
            </w:r>
          </w:p>
        </w:tc>
        <w:tc>
          <w:tcPr>
            <w:tcW w:w="1701" w:type="dxa"/>
            <w:noWrap w:val="0"/>
            <w:vAlign w:val="center"/>
          </w:tcPr>
          <w:p w14:paraId="7846A851">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6B036C9E">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3A039EA3">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7C5B1EE1">
            <w:pPr>
              <w:jc w:val="center"/>
              <w:rPr>
                <w:rFonts w:ascii="宋体" w:hAnsi="宋体"/>
                <w:kern w:val="0"/>
                <w:szCs w:val="21"/>
              </w:rPr>
            </w:pPr>
            <w:r>
              <w:rPr>
                <w:rFonts w:ascii="宋体" w:hAnsi="宋体"/>
                <w:kern w:val="0"/>
                <w:szCs w:val="21"/>
              </w:rPr>
              <w:t>4</w:t>
            </w:r>
          </w:p>
        </w:tc>
        <w:tc>
          <w:tcPr>
            <w:tcW w:w="709" w:type="dxa"/>
            <w:noWrap w:val="0"/>
            <w:vAlign w:val="center"/>
          </w:tcPr>
          <w:p w14:paraId="507D10F4">
            <w:pPr>
              <w:jc w:val="center"/>
              <w:rPr>
                <w:rFonts w:ascii="宋体" w:hAnsi="宋体"/>
                <w:kern w:val="0"/>
                <w:szCs w:val="21"/>
              </w:rPr>
            </w:pPr>
            <w:r>
              <w:rPr>
                <w:rFonts w:ascii="宋体" w:hAnsi="宋体"/>
                <w:kern w:val="0"/>
                <w:szCs w:val="21"/>
              </w:rPr>
              <w:t>4</w:t>
            </w:r>
          </w:p>
        </w:tc>
      </w:tr>
      <w:tr w14:paraId="3D3D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21AE64E9">
            <w:pPr>
              <w:jc w:val="center"/>
              <w:rPr>
                <w:rFonts w:ascii="宋体" w:hAnsi="宋体"/>
                <w:szCs w:val="21"/>
              </w:rPr>
            </w:pPr>
            <w:r>
              <w:rPr>
                <w:rFonts w:ascii="宋体" w:hAnsi="宋体"/>
                <w:szCs w:val="21"/>
              </w:rPr>
              <w:t>7</w:t>
            </w:r>
          </w:p>
        </w:tc>
        <w:tc>
          <w:tcPr>
            <w:tcW w:w="4110" w:type="dxa"/>
            <w:noWrap w:val="0"/>
            <w:vAlign w:val="center"/>
          </w:tcPr>
          <w:p w14:paraId="343AE6EA">
            <w:pPr>
              <w:spacing w:line="360" w:lineRule="auto"/>
              <w:jc w:val="center"/>
              <w:rPr>
                <w:rFonts w:hint="eastAsia" w:ascii="宋体" w:hAnsi="宋体" w:cs="宋体"/>
                <w:kern w:val="0"/>
                <w:szCs w:val="21"/>
              </w:rPr>
            </w:pPr>
            <w:r>
              <w:rPr>
                <w:rFonts w:hint="eastAsia" w:ascii="宋体" w:hAnsi="宋体" w:cs="宋体"/>
                <w:kern w:val="0"/>
                <w:szCs w:val="21"/>
              </w:rPr>
              <w:t>“综合与实践”教学设计与</w:t>
            </w:r>
            <w:r>
              <w:rPr>
                <w:rFonts w:ascii="宋体" w:hAnsi="宋体" w:cs="宋体"/>
                <w:kern w:val="0"/>
                <w:szCs w:val="21"/>
              </w:rPr>
              <w:t>实施</w:t>
            </w:r>
          </w:p>
        </w:tc>
        <w:tc>
          <w:tcPr>
            <w:tcW w:w="1701" w:type="dxa"/>
            <w:noWrap w:val="0"/>
            <w:vAlign w:val="center"/>
          </w:tcPr>
          <w:p w14:paraId="4AA25D3E">
            <w:pPr>
              <w:jc w:val="center"/>
              <w:rPr>
                <w:rFonts w:ascii="宋体" w:hAnsi="宋体"/>
                <w:szCs w:val="21"/>
              </w:rPr>
            </w:pPr>
            <w:r>
              <w:rPr>
                <w:rFonts w:hint="eastAsia" w:ascii="宋体" w:hAnsi="宋体"/>
                <w:kern w:val="0"/>
                <w:szCs w:val="21"/>
              </w:rPr>
              <w:t>目标</w:t>
            </w:r>
            <w:r>
              <w:rPr>
                <w:rFonts w:ascii="宋体" w:hAnsi="宋体"/>
                <w:kern w:val="0"/>
                <w:szCs w:val="21"/>
              </w:rPr>
              <w:t>3</w:t>
            </w:r>
            <w:r>
              <w:rPr>
                <w:rFonts w:hint="eastAsia" w:ascii="宋体" w:hAnsi="宋体"/>
                <w:kern w:val="0"/>
                <w:szCs w:val="21"/>
              </w:rPr>
              <w:t>、</w:t>
            </w:r>
            <w:r>
              <w:rPr>
                <w:rFonts w:ascii="宋体" w:hAnsi="宋体"/>
                <w:kern w:val="0"/>
                <w:szCs w:val="21"/>
              </w:rPr>
              <w:t>4</w:t>
            </w:r>
          </w:p>
        </w:tc>
        <w:tc>
          <w:tcPr>
            <w:tcW w:w="1418" w:type="dxa"/>
            <w:noWrap w:val="0"/>
            <w:vAlign w:val="center"/>
          </w:tcPr>
          <w:p w14:paraId="0AB4E511">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47679120">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708" w:type="dxa"/>
            <w:gridSpan w:val="2"/>
            <w:noWrap w:val="0"/>
            <w:vAlign w:val="center"/>
          </w:tcPr>
          <w:p w14:paraId="205B9C9E">
            <w:pPr>
              <w:jc w:val="center"/>
              <w:rPr>
                <w:rFonts w:ascii="宋体" w:hAnsi="宋体"/>
                <w:kern w:val="0"/>
                <w:szCs w:val="21"/>
              </w:rPr>
            </w:pPr>
            <w:r>
              <w:rPr>
                <w:rFonts w:ascii="宋体" w:hAnsi="宋体"/>
                <w:kern w:val="0"/>
                <w:szCs w:val="21"/>
              </w:rPr>
              <w:t>2</w:t>
            </w:r>
          </w:p>
        </w:tc>
        <w:tc>
          <w:tcPr>
            <w:tcW w:w="709" w:type="dxa"/>
            <w:noWrap w:val="0"/>
            <w:vAlign w:val="center"/>
          </w:tcPr>
          <w:p w14:paraId="5F9C635A">
            <w:pPr>
              <w:jc w:val="center"/>
              <w:rPr>
                <w:rFonts w:ascii="宋体" w:hAnsi="宋体"/>
                <w:kern w:val="0"/>
                <w:szCs w:val="21"/>
              </w:rPr>
            </w:pPr>
            <w:r>
              <w:rPr>
                <w:rFonts w:ascii="宋体" w:hAnsi="宋体"/>
                <w:kern w:val="0"/>
                <w:szCs w:val="21"/>
              </w:rPr>
              <w:t>4</w:t>
            </w:r>
          </w:p>
        </w:tc>
      </w:tr>
      <w:tr w14:paraId="3597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2714EBC5">
            <w:pPr>
              <w:jc w:val="center"/>
              <w:rPr>
                <w:rFonts w:ascii="宋体" w:hAnsi="宋体"/>
                <w:szCs w:val="21"/>
              </w:rPr>
            </w:pPr>
            <w:r>
              <w:rPr>
                <w:rFonts w:ascii="宋体" w:hAnsi="宋体"/>
                <w:szCs w:val="21"/>
              </w:rPr>
              <w:t>合计</w:t>
            </w:r>
          </w:p>
        </w:tc>
        <w:tc>
          <w:tcPr>
            <w:tcW w:w="701" w:type="dxa"/>
            <w:noWrap w:val="0"/>
            <w:vAlign w:val="center"/>
          </w:tcPr>
          <w:p w14:paraId="16118E29">
            <w:pPr>
              <w:jc w:val="center"/>
              <w:rPr>
                <w:rFonts w:ascii="宋体" w:hAnsi="宋体"/>
                <w:kern w:val="0"/>
                <w:szCs w:val="21"/>
              </w:rPr>
            </w:pPr>
            <w:r>
              <w:rPr>
                <w:rFonts w:ascii="宋体" w:hAnsi="宋体"/>
                <w:kern w:val="0"/>
                <w:szCs w:val="21"/>
              </w:rPr>
              <w:t>32</w:t>
            </w:r>
          </w:p>
        </w:tc>
        <w:tc>
          <w:tcPr>
            <w:tcW w:w="709" w:type="dxa"/>
            <w:noWrap w:val="0"/>
            <w:vAlign w:val="center"/>
          </w:tcPr>
          <w:p w14:paraId="3B481188">
            <w:pPr>
              <w:jc w:val="center"/>
              <w:rPr>
                <w:rFonts w:ascii="宋体" w:hAnsi="宋体"/>
                <w:kern w:val="0"/>
                <w:szCs w:val="21"/>
              </w:rPr>
            </w:pPr>
            <w:r>
              <w:rPr>
                <w:rFonts w:ascii="宋体" w:hAnsi="宋体"/>
                <w:kern w:val="0"/>
                <w:szCs w:val="21"/>
              </w:rPr>
              <w:t>16</w:t>
            </w:r>
          </w:p>
        </w:tc>
      </w:tr>
    </w:tbl>
    <w:p w14:paraId="374D5534">
      <w:pPr>
        <w:spacing w:line="360" w:lineRule="auto"/>
        <w:rPr>
          <w:rFonts w:hint="eastAsia" w:ascii="宋体" w:hAnsi="宋体"/>
          <w:b/>
          <w:sz w:val="28"/>
          <w:szCs w:val="28"/>
        </w:rPr>
      </w:pPr>
    </w:p>
    <w:p w14:paraId="1F77B247">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57AA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342AD66D">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67A3C495">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0E43FF43">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46A66895">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7FE6CE2F">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070542A3">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717EEB4B">
            <w:pPr>
              <w:jc w:val="center"/>
              <w:rPr>
                <w:rFonts w:ascii="宋体" w:hAnsi="宋体"/>
                <w:b/>
                <w:bCs/>
                <w:szCs w:val="21"/>
              </w:rPr>
            </w:pPr>
            <w:r>
              <w:rPr>
                <w:rFonts w:ascii="宋体" w:hAnsi="宋体"/>
                <w:b/>
                <w:bCs/>
                <w:szCs w:val="21"/>
              </w:rPr>
              <w:t>备注</w:t>
            </w:r>
          </w:p>
        </w:tc>
      </w:tr>
      <w:tr w14:paraId="4F72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1EE6E78C">
            <w:pPr>
              <w:jc w:val="center"/>
              <w:rPr>
                <w:rFonts w:ascii="宋体" w:hAnsi="宋体"/>
                <w:bCs/>
                <w:szCs w:val="21"/>
              </w:rPr>
            </w:pPr>
            <w:r>
              <w:rPr>
                <w:rFonts w:ascii="宋体" w:hAnsi="宋体"/>
                <w:bCs/>
                <w:szCs w:val="21"/>
              </w:rPr>
              <w:t>1</w:t>
            </w:r>
          </w:p>
        </w:tc>
        <w:tc>
          <w:tcPr>
            <w:tcW w:w="1755" w:type="dxa"/>
            <w:noWrap w:val="0"/>
            <w:vAlign w:val="center"/>
          </w:tcPr>
          <w:p w14:paraId="4B422DAB">
            <w:pPr>
              <w:rPr>
                <w:rFonts w:hint="eastAsia"/>
                <w:szCs w:val="21"/>
              </w:rPr>
            </w:pPr>
            <w:r>
              <w:rPr>
                <w:rFonts w:hint="eastAsia"/>
                <w:szCs w:val="21"/>
              </w:rPr>
              <w:t>“</w:t>
            </w:r>
            <w:r>
              <w:rPr>
                <w:szCs w:val="21"/>
              </w:rPr>
              <w:t>数与代数</w:t>
            </w:r>
            <w:r>
              <w:rPr>
                <w:rFonts w:hint="eastAsia"/>
                <w:szCs w:val="21"/>
              </w:rPr>
              <w:t>”教材</w:t>
            </w:r>
            <w:r>
              <w:rPr>
                <w:szCs w:val="21"/>
              </w:rPr>
              <w:t>教学设计</w:t>
            </w:r>
            <w:r>
              <w:rPr>
                <w:rFonts w:hint="eastAsia"/>
                <w:szCs w:val="21"/>
              </w:rPr>
              <w:t>与</w:t>
            </w:r>
            <w:r>
              <w:rPr>
                <w:szCs w:val="21"/>
              </w:rPr>
              <w:t>（模拟）教学</w:t>
            </w:r>
          </w:p>
        </w:tc>
        <w:tc>
          <w:tcPr>
            <w:tcW w:w="3510" w:type="dxa"/>
            <w:noWrap w:val="0"/>
            <w:vAlign w:val="center"/>
          </w:tcPr>
          <w:p w14:paraId="2A5661AE">
            <w:pPr>
              <w:rPr>
                <w:rFonts w:hint="eastAsia"/>
              </w:rPr>
            </w:pPr>
            <w:r>
              <w:rPr>
                <w:rFonts w:hint="eastAsia"/>
              </w:rPr>
              <w:t>选择一个“数与代数”领域的内容，深入钻研教材，撰写</w:t>
            </w:r>
            <w:r>
              <w:t>一</w:t>
            </w:r>
            <w:r>
              <w:rPr>
                <w:rFonts w:hint="eastAsia"/>
              </w:rPr>
              <w:t>份</w:t>
            </w:r>
            <w:r>
              <w:t>教学方案</w:t>
            </w:r>
            <w:r>
              <w:rPr>
                <w:rFonts w:hint="eastAsia"/>
              </w:rPr>
              <w:t>，</w:t>
            </w:r>
            <w:r>
              <w:t>并进行</w:t>
            </w:r>
            <w:r>
              <w:rPr>
                <w:szCs w:val="21"/>
              </w:rPr>
              <w:t>（模拟）教学</w:t>
            </w:r>
            <w:r>
              <w:t>。</w:t>
            </w:r>
          </w:p>
        </w:tc>
        <w:tc>
          <w:tcPr>
            <w:tcW w:w="723" w:type="dxa"/>
            <w:noWrap w:val="0"/>
            <w:vAlign w:val="center"/>
          </w:tcPr>
          <w:p w14:paraId="3542D9CA">
            <w:pPr>
              <w:jc w:val="center"/>
              <w:rPr>
                <w:rFonts w:ascii="宋体" w:hAnsi="宋体"/>
                <w:bCs/>
                <w:szCs w:val="21"/>
              </w:rPr>
            </w:pPr>
            <w:r>
              <w:rPr>
                <w:rFonts w:ascii="宋体" w:hAnsi="宋体"/>
                <w:bCs/>
                <w:szCs w:val="21"/>
              </w:rPr>
              <w:t>4</w:t>
            </w:r>
          </w:p>
        </w:tc>
        <w:tc>
          <w:tcPr>
            <w:tcW w:w="1136" w:type="dxa"/>
            <w:noWrap w:val="0"/>
            <w:vAlign w:val="center"/>
          </w:tcPr>
          <w:p w14:paraId="78C496B2">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4ED76B23">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826" w:type="dxa"/>
            <w:noWrap w:val="0"/>
            <w:tcMar>
              <w:left w:w="28" w:type="dxa"/>
              <w:right w:w="28" w:type="dxa"/>
            </w:tcMar>
            <w:vAlign w:val="center"/>
          </w:tcPr>
          <w:p w14:paraId="6BAD1A64">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623067EC">
            <w:pPr>
              <w:jc w:val="center"/>
              <w:rPr>
                <w:rFonts w:ascii="宋体" w:hAnsi="宋体"/>
                <w:bCs/>
                <w:szCs w:val="21"/>
              </w:rPr>
            </w:pPr>
            <w:r>
              <w:rPr>
                <w:rFonts w:ascii="宋体" w:hAnsi="宋体"/>
                <w:bCs/>
                <w:szCs w:val="21"/>
              </w:rPr>
              <w:t>必做</w:t>
            </w:r>
          </w:p>
        </w:tc>
      </w:tr>
      <w:tr w14:paraId="3EA3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7BBB53C3">
            <w:pPr>
              <w:jc w:val="center"/>
              <w:rPr>
                <w:rFonts w:ascii="宋体" w:hAnsi="宋体"/>
                <w:bCs/>
                <w:szCs w:val="21"/>
              </w:rPr>
            </w:pPr>
            <w:r>
              <w:rPr>
                <w:rFonts w:hint="eastAsia" w:ascii="宋体" w:hAnsi="宋体"/>
                <w:bCs/>
                <w:szCs w:val="21"/>
              </w:rPr>
              <w:t>2</w:t>
            </w:r>
          </w:p>
        </w:tc>
        <w:tc>
          <w:tcPr>
            <w:tcW w:w="1755" w:type="dxa"/>
            <w:noWrap w:val="0"/>
            <w:vAlign w:val="center"/>
          </w:tcPr>
          <w:p w14:paraId="0509688D">
            <w:pPr>
              <w:jc w:val="center"/>
            </w:pPr>
            <w:r>
              <w:rPr>
                <w:rFonts w:hint="eastAsia"/>
              </w:rPr>
              <w:t>“图形与几何”教材教学设计与（模拟）教学</w:t>
            </w:r>
          </w:p>
        </w:tc>
        <w:tc>
          <w:tcPr>
            <w:tcW w:w="3510" w:type="dxa"/>
            <w:noWrap w:val="0"/>
            <w:vAlign w:val="center"/>
          </w:tcPr>
          <w:p w14:paraId="350480F5">
            <w:r>
              <w:rPr>
                <w:rFonts w:hint="eastAsia"/>
              </w:rPr>
              <w:t>选择一个“图形与几何”领域的内容，深入钻研教材，撰写一份教学方案，并进行（模拟）教学。</w:t>
            </w:r>
          </w:p>
        </w:tc>
        <w:tc>
          <w:tcPr>
            <w:tcW w:w="723" w:type="dxa"/>
            <w:noWrap w:val="0"/>
            <w:vAlign w:val="center"/>
          </w:tcPr>
          <w:p w14:paraId="5773A55B">
            <w:pPr>
              <w:jc w:val="center"/>
              <w:rPr>
                <w:rFonts w:ascii="宋体" w:hAnsi="宋体"/>
                <w:bCs/>
                <w:szCs w:val="21"/>
              </w:rPr>
            </w:pPr>
            <w:r>
              <w:rPr>
                <w:rFonts w:ascii="宋体" w:hAnsi="宋体"/>
                <w:bCs/>
                <w:szCs w:val="21"/>
              </w:rPr>
              <w:t>4</w:t>
            </w:r>
          </w:p>
        </w:tc>
        <w:tc>
          <w:tcPr>
            <w:tcW w:w="1136" w:type="dxa"/>
            <w:noWrap w:val="0"/>
            <w:vAlign w:val="center"/>
          </w:tcPr>
          <w:p w14:paraId="4C3A4D02">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07DBED6E">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826" w:type="dxa"/>
            <w:noWrap w:val="0"/>
            <w:tcMar>
              <w:left w:w="28" w:type="dxa"/>
              <w:right w:w="28" w:type="dxa"/>
            </w:tcMar>
            <w:vAlign w:val="center"/>
          </w:tcPr>
          <w:p w14:paraId="0C110868">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45EF799">
            <w:pPr>
              <w:jc w:val="center"/>
              <w:rPr>
                <w:rFonts w:ascii="宋体" w:hAnsi="宋体"/>
                <w:bCs/>
                <w:szCs w:val="21"/>
              </w:rPr>
            </w:pPr>
            <w:r>
              <w:rPr>
                <w:rFonts w:ascii="宋体" w:hAnsi="宋体"/>
                <w:bCs/>
                <w:szCs w:val="21"/>
              </w:rPr>
              <w:t>必做</w:t>
            </w:r>
          </w:p>
        </w:tc>
      </w:tr>
      <w:tr w14:paraId="4CA9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1812EDC7">
            <w:pPr>
              <w:jc w:val="center"/>
              <w:rPr>
                <w:rFonts w:ascii="宋体" w:hAnsi="宋体"/>
                <w:bCs/>
                <w:szCs w:val="21"/>
              </w:rPr>
            </w:pPr>
            <w:r>
              <w:rPr>
                <w:rFonts w:hint="eastAsia" w:ascii="宋体" w:hAnsi="宋体"/>
                <w:bCs/>
                <w:szCs w:val="21"/>
              </w:rPr>
              <w:t>3</w:t>
            </w:r>
          </w:p>
        </w:tc>
        <w:tc>
          <w:tcPr>
            <w:tcW w:w="1755" w:type="dxa"/>
            <w:noWrap w:val="0"/>
            <w:vAlign w:val="center"/>
          </w:tcPr>
          <w:p w14:paraId="64FD3D99">
            <w:pPr>
              <w:jc w:val="center"/>
            </w:pPr>
            <w:r>
              <w:rPr>
                <w:rFonts w:hint="eastAsia"/>
              </w:rPr>
              <w:t>“统计与概率”教材教学设计与（模拟）教学</w:t>
            </w:r>
          </w:p>
        </w:tc>
        <w:tc>
          <w:tcPr>
            <w:tcW w:w="3510" w:type="dxa"/>
            <w:noWrap w:val="0"/>
            <w:vAlign w:val="center"/>
          </w:tcPr>
          <w:p w14:paraId="663F5E6E">
            <w:r>
              <w:rPr>
                <w:rFonts w:hint="eastAsia"/>
              </w:rPr>
              <w:t>选择一个“统计与概率”领域的内容，深入钻研教材，撰写一份教学方案，并进行（模拟）教学。</w:t>
            </w:r>
          </w:p>
        </w:tc>
        <w:tc>
          <w:tcPr>
            <w:tcW w:w="723" w:type="dxa"/>
            <w:noWrap w:val="0"/>
            <w:vAlign w:val="center"/>
          </w:tcPr>
          <w:p w14:paraId="42BB7D7D">
            <w:pPr>
              <w:jc w:val="center"/>
              <w:rPr>
                <w:rFonts w:ascii="宋体" w:hAnsi="宋体"/>
                <w:bCs/>
                <w:szCs w:val="21"/>
              </w:rPr>
            </w:pPr>
            <w:r>
              <w:rPr>
                <w:rFonts w:ascii="宋体" w:hAnsi="宋体"/>
                <w:bCs/>
                <w:szCs w:val="21"/>
              </w:rPr>
              <w:t>4</w:t>
            </w:r>
          </w:p>
        </w:tc>
        <w:tc>
          <w:tcPr>
            <w:tcW w:w="1136" w:type="dxa"/>
            <w:noWrap w:val="0"/>
            <w:vAlign w:val="center"/>
          </w:tcPr>
          <w:p w14:paraId="6725539B">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5A7A1567">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826" w:type="dxa"/>
            <w:noWrap w:val="0"/>
            <w:tcMar>
              <w:left w:w="28" w:type="dxa"/>
              <w:right w:w="28" w:type="dxa"/>
            </w:tcMar>
            <w:vAlign w:val="center"/>
          </w:tcPr>
          <w:p w14:paraId="2D228EA0">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2D506527">
            <w:pPr>
              <w:jc w:val="center"/>
              <w:rPr>
                <w:rFonts w:ascii="宋体" w:hAnsi="宋体"/>
                <w:bCs/>
                <w:szCs w:val="21"/>
              </w:rPr>
            </w:pPr>
            <w:r>
              <w:rPr>
                <w:rFonts w:ascii="宋体" w:hAnsi="宋体"/>
                <w:bCs/>
                <w:szCs w:val="21"/>
              </w:rPr>
              <w:t>必做</w:t>
            </w:r>
          </w:p>
        </w:tc>
      </w:tr>
      <w:tr w14:paraId="7634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31735973">
            <w:pPr>
              <w:jc w:val="center"/>
              <w:rPr>
                <w:rFonts w:hint="eastAsia" w:ascii="宋体" w:hAnsi="宋体"/>
                <w:bCs/>
                <w:szCs w:val="21"/>
              </w:rPr>
            </w:pPr>
            <w:r>
              <w:rPr>
                <w:rFonts w:hint="eastAsia" w:ascii="宋体" w:hAnsi="宋体"/>
                <w:bCs/>
                <w:szCs w:val="21"/>
              </w:rPr>
              <w:t>4</w:t>
            </w:r>
          </w:p>
        </w:tc>
        <w:tc>
          <w:tcPr>
            <w:tcW w:w="1755" w:type="dxa"/>
            <w:noWrap w:val="0"/>
            <w:vAlign w:val="center"/>
          </w:tcPr>
          <w:p w14:paraId="29A464AA">
            <w:pPr>
              <w:jc w:val="center"/>
            </w:pPr>
            <w:r>
              <w:rPr>
                <w:rFonts w:hint="eastAsia"/>
              </w:rPr>
              <w:t>“综合与实践”教材教学设计与（模拟）教学</w:t>
            </w:r>
          </w:p>
        </w:tc>
        <w:tc>
          <w:tcPr>
            <w:tcW w:w="3510" w:type="dxa"/>
            <w:noWrap w:val="0"/>
            <w:vAlign w:val="center"/>
          </w:tcPr>
          <w:p w14:paraId="68981C56">
            <w:r>
              <w:rPr>
                <w:rFonts w:hint="eastAsia"/>
              </w:rPr>
              <w:t>选择一个“综合与实践”领域的内容，深入钻研教材，撰写一份教学方案，并进行（模拟）教学。</w:t>
            </w:r>
          </w:p>
        </w:tc>
        <w:tc>
          <w:tcPr>
            <w:tcW w:w="723" w:type="dxa"/>
            <w:noWrap w:val="0"/>
            <w:vAlign w:val="center"/>
          </w:tcPr>
          <w:p w14:paraId="529854E3">
            <w:pPr>
              <w:jc w:val="center"/>
              <w:rPr>
                <w:rFonts w:hint="eastAsia" w:ascii="宋体" w:hAnsi="宋体"/>
                <w:bCs/>
                <w:szCs w:val="21"/>
              </w:rPr>
            </w:pPr>
            <w:r>
              <w:rPr>
                <w:rFonts w:ascii="宋体" w:hAnsi="宋体"/>
                <w:bCs/>
                <w:szCs w:val="21"/>
              </w:rPr>
              <w:t>4</w:t>
            </w:r>
          </w:p>
        </w:tc>
        <w:tc>
          <w:tcPr>
            <w:tcW w:w="1136" w:type="dxa"/>
            <w:noWrap w:val="0"/>
            <w:vAlign w:val="center"/>
          </w:tcPr>
          <w:p w14:paraId="2106F95E">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630F0289">
            <w:pPr>
              <w:jc w:val="center"/>
              <w:rPr>
                <w:rFonts w:hint="eastAsia" w:ascii="宋体" w:hAnsi="宋体"/>
                <w:szCs w:val="21"/>
              </w:rPr>
            </w:pPr>
            <w:r>
              <w:rPr>
                <w:rFonts w:ascii="宋体" w:hAnsi="宋体"/>
                <w:kern w:val="0"/>
                <w:szCs w:val="21"/>
              </w:rPr>
              <w:t>6-2</w:t>
            </w:r>
            <w:r>
              <w:rPr>
                <w:rFonts w:hint="eastAsia" w:ascii="宋体" w:hAnsi="宋体"/>
                <w:kern w:val="0"/>
                <w:szCs w:val="21"/>
              </w:rPr>
              <w:t>、8-1</w:t>
            </w:r>
          </w:p>
        </w:tc>
        <w:tc>
          <w:tcPr>
            <w:tcW w:w="826" w:type="dxa"/>
            <w:noWrap w:val="0"/>
            <w:tcMar>
              <w:left w:w="28" w:type="dxa"/>
              <w:right w:w="28" w:type="dxa"/>
            </w:tcMar>
            <w:vAlign w:val="center"/>
          </w:tcPr>
          <w:p w14:paraId="0421C378">
            <w:pPr>
              <w:jc w:val="center"/>
              <w:rPr>
                <w:rFonts w:hint="eastAsia" w:ascii="宋体" w:hAnsi="宋体"/>
                <w:bCs/>
                <w:szCs w:val="21"/>
              </w:rPr>
            </w:pPr>
            <w:r>
              <w:rPr>
                <w:rFonts w:hint="eastAsia" w:ascii="宋体" w:hAnsi="宋体"/>
                <w:bCs/>
                <w:szCs w:val="21"/>
              </w:rPr>
              <w:t>综合</w:t>
            </w:r>
            <w:r>
              <w:rPr>
                <w:rFonts w:ascii="宋体" w:hAnsi="宋体"/>
                <w:bCs/>
                <w:szCs w:val="21"/>
              </w:rPr>
              <w:t>性</w:t>
            </w:r>
          </w:p>
        </w:tc>
        <w:tc>
          <w:tcPr>
            <w:tcW w:w="619" w:type="dxa"/>
            <w:noWrap w:val="0"/>
            <w:tcMar>
              <w:left w:w="28" w:type="dxa"/>
              <w:right w:w="28" w:type="dxa"/>
            </w:tcMar>
            <w:vAlign w:val="center"/>
          </w:tcPr>
          <w:p w14:paraId="2397294D">
            <w:pPr>
              <w:jc w:val="center"/>
              <w:rPr>
                <w:rFonts w:hint="eastAsia" w:ascii="宋体" w:hAnsi="宋体"/>
                <w:bCs/>
                <w:szCs w:val="21"/>
              </w:rPr>
            </w:pPr>
            <w:r>
              <w:rPr>
                <w:rFonts w:hint="eastAsia" w:ascii="宋体" w:hAnsi="宋体"/>
                <w:bCs/>
                <w:szCs w:val="21"/>
              </w:rPr>
              <w:t>必</w:t>
            </w:r>
            <w:r>
              <w:rPr>
                <w:rFonts w:ascii="宋体" w:hAnsi="宋体"/>
                <w:bCs/>
                <w:szCs w:val="21"/>
              </w:rPr>
              <w:t>做</w:t>
            </w:r>
          </w:p>
        </w:tc>
      </w:tr>
    </w:tbl>
    <w:p w14:paraId="1B67BC50">
      <w:pPr>
        <w:spacing w:line="360" w:lineRule="auto"/>
        <w:outlineLvl w:val="0"/>
        <w:rPr>
          <w:rFonts w:hint="eastAsia" w:ascii="宋体" w:hAnsi="宋体"/>
          <w:b/>
          <w:sz w:val="28"/>
          <w:szCs w:val="28"/>
        </w:rPr>
      </w:pPr>
      <w:r>
        <w:rPr>
          <w:rFonts w:ascii="宋体" w:hAnsi="宋体"/>
          <w:b/>
          <w:sz w:val="28"/>
          <w:szCs w:val="28"/>
        </w:rPr>
        <w:t xml:space="preserve">   </w:t>
      </w:r>
    </w:p>
    <w:p w14:paraId="39D3CA25">
      <w:pPr>
        <w:spacing w:line="360" w:lineRule="auto"/>
        <w:outlineLvl w:val="0"/>
        <w:rPr>
          <w:rFonts w:ascii="宋体" w:hAnsi="宋体"/>
          <w:b/>
          <w:sz w:val="28"/>
          <w:szCs w:val="28"/>
        </w:rPr>
      </w:pPr>
      <w:r>
        <w:rPr>
          <w:rFonts w:hint="eastAsia" w:ascii="宋体" w:hAnsi="宋体"/>
          <w:b/>
          <w:sz w:val="28"/>
          <w:szCs w:val="28"/>
        </w:rPr>
        <w:t xml:space="preserve">    五、课程实施</w:t>
      </w:r>
    </w:p>
    <w:p w14:paraId="3BFA67A5">
      <w:pPr>
        <w:spacing w:line="360" w:lineRule="auto"/>
        <w:ind w:firstLine="480" w:firstLineChars="200"/>
        <w:rPr>
          <w:sz w:val="24"/>
        </w:rPr>
      </w:pPr>
      <w:r>
        <w:rPr>
          <w:sz w:val="24"/>
        </w:rPr>
        <w:t>（一）</w:t>
      </w:r>
      <w:r>
        <w:rPr>
          <w:rFonts w:hint="eastAsia"/>
          <w:sz w:val="24"/>
        </w:rPr>
        <w:t>以生为本，引导师范生理解小学数学教学设计</w:t>
      </w:r>
      <w:r>
        <w:rPr>
          <w:sz w:val="24"/>
        </w:rPr>
        <w:t>与实施</w:t>
      </w:r>
      <w:r>
        <w:rPr>
          <w:rFonts w:hint="eastAsia"/>
          <w:sz w:val="24"/>
        </w:rPr>
        <w:t>的基本理论，掌握小学数学设计的一般流程，并</w:t>
      </w:r>
      <w:r>
        <w:rPr>
          <w:sz w:val="24"/>
        </w:rPr>
        <w:t>为师范生提供教学实践的机会</w:t>
      </w:r>
      <w:r>
        <w:rPr>
          <w:rFonts w:hint="eastAsia"/>
          <w:sz w:val="24"/>
        </w:rPr>
        <w:t>。</w:t>
      </w:r>
    </w:p>
    <w:p w14:paraId="3D832363">
      <w:pPr>
        <w:spacing w:line="360" w:lineRule="auto"/>
        <w:ind w:firstLine="480" w:firstLineChars="200"/>
        <w:rPr>
          <w:sz w:val="24"/>
        </w:rPr>
      </w:pPr>
      <w:r>
        <w:rPr>
          <w:sz w:val="24"/>
        </w:rPr>
        <w:t>（二）</w:t>
      </w:r>
      <w:r>
        <w:rPr>
          <w:rFonts w:hint="eastAsia"/>
          <w:sz w:val="24"/>
        </w:rPr>
        <w:t>关注小学数学教学的前沿动态，利用信息技术，将丰富多彩的教学案例引入课堂，</w:t>
      </w:r>
      <w:r>
        <w:rPr>
          <w:rFonts w:hint="eastAsia" w:ascii="宋体" w:hAnsi="宋体"/>
          <w:sz w:val="24"/>
          <w:szCs w:val="22"/>
        </w:rPr>
        <w:t>积极进行课堂教学改革，采用讲授法、案例教学法、现场教学法等进行教学，充分利用视频、QQ群、毕博网络课程等手段辅助教学，</w:t>
      </w:r>
    </w:p>
    <w:p w14:paraId="2D12BD9D">
      <w:pPr>
        <w:spacing w:line="360" w:lineRule="auto"/>
        <w:ind w:firstLine="480" w:firstLineChars="200"/>
        <w:rPr>
          <w:sz w:val="24"/>
        </w:rPr>
      </w:pPr>
      <w:r>
        <w:rPr>
          <w:sz w:val="24"/>
        </w:rPr>
        <w:t>（三）</w:t>
      </w:r>
      <w:r>
        <w:rPr>
          <w:rFonts w:hint="eastAsia"/>
          <w:sz w:val="24"/>
        </w:rPr>
        <w:t>改革</w:t>
      </w:r>
      <w:r>
        <w:rPr>
          <w:sz w:val="24"/>
        </w:rPr>
        <w:t>教学方法，</w:t>
      </w:r>
      <w:r>
        <w:rPr>
          <w:rFonts w:hint="eastAsia"/>
          <w:sz w:val="24"/>
        </w:rPr>
        <w:t>注重合作</w:t>
      </w:r>
      <w:r>
        <w:rPr>
          <w:sz w:val="24"/>
        </w:rPr>
        <w:t>与探究</w:t>
      </w:r>
      <w:r>
        <w:rPr>
          <w:rFonts w:hint="eastAsia"/>
          <w:sz w:val="24"/>
        </w:rPr>
        <w:t>，强调团队协作精神的培养；重视课堂实践，注重师范生教学实践能力的培养。</w:t>
      </w:r>
    </w:p>
    <w:p w14:paraId="33AA851D">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4C94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01FF2074">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7A7D393A">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37F4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04FEF7AA">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21DA8448">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5762A34B">
            <w:pPr>
              <w:spacing w:line="276" w:lineRule="auto"/>
              <w:rPr>
                <w:rFonts w:ascii="宋体" w:hAnsi="宋体"/>
                <w:szCs w:val="21"/>
              </w:rPr>
            </w:pPr>
            <w:r>
              <w:rPr>
                <w:rFonts w:ascii="宋体" w:hAnsi="宋体"/>
                <w:szCs w:val="21"/>
              </w:rPr>
              <w:t>（1）掌握课程教学大纲内容，严格按照教学大纲要求进行课程教学内容的组织。</w:t>
            </w:r>
          </w:p>
          <w:p w14:paraId="52EDE61D">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7E11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59BBB764">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25927928">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577C1F3C">
            <w:pPr>
              <w:spacing w:line="276" w:lineRule="auto"/>
              <w:rPr>
                <w:rFonts w:ascii="宋体" w:hAnsi="宋体"/>
              </w:rPr>
            </w:pPr>
            <w:r>
              <w:rPr>
                <w:rFonts w:ascii="宋体" w:hAnsi="宋体"/>
                <w:szCs w:val="21"/>
              </w:rPr>
              <w:t>（1）</w:t>
            </w:r>
            <w:r>
              <w:rPr>
                <w:rFonts w:hint="eastAsia" w:ascii="宋体" w:hAnsi="宋体"/>
              </w:rPr>
              <w:t>教师仪表端庄，情绪情感要饱满；</w:t>
            </w:r>
          </w:p>
          <w:p w14:paraId="34A0DC23">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0F40B781">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7F19E7AB">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175169F6">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519066A3">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5E2DD895">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151944E9">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54ADC3A0">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4141CA02">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19BC9D33">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1D53BBE7">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31E7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31786148">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308CE501">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7A7A338C">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47D0A4B1">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3EBA8708">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7DF59251">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6077F692">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7E49E390">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3837ABA1">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71B63CD9">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207B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39283C35">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30FA5387">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26237650">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理解和消化所学知识、改进学习方法和思维方式，培养其独立的教学设计能力、教学组织指导能力、教学反思与评价能力，任课教师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503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48666CFB">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5F18EEA2">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0A8283BB">
            <w:pPr>
              <w:spacing w:line="276" w:lineRule="auto"/>
              <w:rPr>
                <w:rFonts w:ascii="宋体" w:hAnsi="宋体"/>
                <w:szCs w:val="21"/>
              </w:rPr>
            </w:pPr>
            <w:r>
              <w:rPr>
                <w:rFonts w:hint="eastAsia" w:ascii="宋体" w:hAnsi="宋体"/>
                <w:szCs w:val="21"/>
              </w:rPr>
              <w:t>本课程考核的方式为开卷笔试。有下列情况之一者，总评成绩为不及格：</w:t>
            </w:r>
          </w:p>
          <w:p w14:paraId="52087EA0">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4E103F92">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683771C1">
      <w:pPr>
        <w:spacing w:line="360" w:lineRule="auto"/>
        <w:ind w:firstLine="562" w:firstLineChars="200"/>
        <w:rPr>
          <w:rFonts w:ascii="宋体" w:hAnsi="宋体"/>
          <w:b/>
          <w:sz w:val="28"/>
          <w:szCs w:val="28"/>
        </w:rPr>
      </w:pPr>
    </w:p>
    <w:p w14:paraId="1BAC3818">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53198DEB">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（一）课程考核包括期末考试、平时考核（作业、考勤等）、</w:t>
      </w:r>
      <w:r>
        <w:rPr>
          <w:rFonts w:ascii="宋体" w:hAnsi="宋体"/>
          <w:sz w:val="24"/>
          <w:szCs w:val="22"/>
        </w:rPr>
        <w:t>课堂互动</w:t>
      </w:r>
      <w:r>
        <w:rPr>
          <w:rFonts w:hint="eastAsia" w:ascii="宋体" w:hAnsi="宋体"/>
          <w:sz w:val="24"/>
          <w:szCs w:val="22"/>
        </w:rPr>
        <w:t>和课内实践考核，期末考试采用开卷笔试。</w:t>
      </w:r>
    </w:p>
    <w:p w14:paraId="49D6A5F2">
      <w:pPr>
        <w:spacing w:line="360" w:lineRule="auto"/>
        <w:ind w:firstLine="480" w:firstLineChars="200"/>
        <w:rPr>
          <w:rFonts w:hint="eastAsia" w:ascii="宋体" w:hAnsi="宋体"/>
          <w:sz w:val="24"/>
          <w:szCs w:val="22"/>
        </w:rPr>
      </w:pPr>
      <w:r>
        <w:rPr>
          <w:rFonts w:hint="eastAsia" w:ascii="宋体" w:hAnsi="宋体"/>
          <w:sz w:val="24"/>
          <w:szCs w:val="22"/>
        </w:rPr>
        <w:t>（二）课程成绩=平时成绩×</w:t>
      </w:r>
      <w:r>
        <w:rPr>
          <w:rFonts w:ascii="宋体" w:hAnsi="宋体"/>
          <w:sz w:val="24"/>
          <w:szCs w:val="22"/>
        </w:rPr>
        <w:t>3</w:t>
      </w:r>
      <w:r>
        <w:rPr>
          <w:rFonts w:hint="eastAsia" w:ascii="宋体" w:hAnsi="宋体"/>
          <w:sz w:val="24"/>
          <w:szCs w:val="22"/>
        </w:rPr>
        <w:t>0%+课内实践成绩×20%+期末考试成绩×</w:t>
      </w:r>
      <w:r>
        <w:rPr>
          <w:rFonts w:ascii="宋体" w:hAnsi="宋体"/>
          <w:sz w:val="24"/>
          <w:szCs w:val="22"/>
        </w:rPr>
        <w:t>5</w:t>
      </w:r>
      <w:r>
        <w:rPr>
          <w:rFonts w:hint="eastAsia" w:ascii="宋体" w:hAnsi="宋体"/>
          <w:sz w:val="24"/>
          <w:szCs w:val="22"/>
        </w:rPr>
        <w:t>0%。</w:t>
      </w:r>
    </w:p>
    <w:p w14:paraId="32BEF99F">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391D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5C596C4B">
            <w:pPr>
              <w:jc w:val="center"/>
              <w:rPr>
                <w:rFonts w:ascii="宋体" w:hAnsi="宋体"/>
                <w:b/>
              </w:rPr>
            </w:pPr>
            <w:r>
              <w:rPr>
                <w:rFonts w:ascii="宋体" w:hAnsi="宋体"/>
                <w:b/>
              </w:rPr>
              <w:t>成绩组成</w:t>
            </w:r>
          </w:p>
        </w:tc>
        <w:tc>
          <w:tcPr>
            <w:tcW w:w="1134" w:type="dxa"/>
            <w:shd w:val="clear" w:color="auto" w:fill="FFFFFF"/>
            <w:noWrap w:val="0"/>
            <w:vAlign w:val="center"/>
          </w:tcPr>
          <w:p w14:paraId="07212777">
            <w:pPr>
              <w:jc w:val="center"/>
              <w:rPr>
                <w:rFonts w:ascii="宋体" w:hAnsi="宋体"/>
                <w:b/>
              </w:rPr>
            </w:pPr>
            <w:r>
              <w:rPr>
                <w:rFonts w:ascii="宋体" w:hAnsi="宋体"/>
                <w:b/>
              </w:rPr>
              <w:t>考核/</w:t>
            </w:r>
          </w:p>
          <w:p w14:paraId="259BDBAE">
            <w:pPr>
              <w:jc w:val="center"/>
              <w:rPr>
                <w:rFonts w:ascii="宋体" w:hAnsi="宋体"/>
                <w:b/>
              </w:rPr>
            </w:pPr>
            <w:r>
              <w:rPr>
                <w:rFonts w:ascii="宋体" w:hAnsi="宋体"/>
                <w:b/>
              </w:rPr>
              <w:t>评价环节</w:t>
            </w:r>
          </w:p>
        </w:tc>
        <w:tc>
          <w:tcPr>
            <w:tcW w:w="709" w:type="dxa"/>
            <w:shd w:val="clear" w:color="auto" w:fill="FFFFFF"/>
            <w:noWrap w:val="0"/>
            <w:vAlign w:val="center"/>
          </w:tcPr>
          <w:p w14:paraId="4AE87761">
            <w:pPr>
              <w:jc w:val="center"/>
              <w:rPr>
                <w:rFonts w:ascii="宋体" w:hAnsi="宋体"/>
                <w:b/>
              </w:rPr>
            </w:pPr>
            <w:r>
              <w:rPr>
                <w:rFonts w:hint="eastAsia" w:ascii="宋体" w:hAnsi="宋体"/>
                <w:b/>
              </w:rPr>
              <w:t>权重</w:t>
            </w:r>
          </w:p>
        </w:tc>
        <w:tc>
          <w:tcPr>
            <w:tcW w:w="2693" w:type="dxa"/>
            <w:shd w:val="clear" w:color="auto" w:fill="FFFFFF"/>
            <w:noWrap w:val="0"/>
            <w:vAlign w:val="center"/>
          </w:tcPr>
          <w:p w14:paraId="2678E16C">
            <w:pPr>
              <w:jc w:val="center"/>
              <w:rPr>
                <w:rFonts w:ascii="宋体" w:hAnsi="宋体"/>
                <w:b/>
              </w:rPr>
            </w:pPr>
            <w:r>
              <w:rPr>
                <w:rFonts w:ascii="宋体" w:hAnsi="宋体"/>
                <w:b/>
              </w:rPr>
              <w:t>考核/评价细则</w:t>
            </w:r>
          </w:p>
        </w:tc>
        <w:tc>
          <w:tcPr>
            <w:tcW w:w="1276" w:type="dxa"/>
            <w:shd w:val="clear" w:color="auto" w:fill="FFFFFF"/>
            <w:noWrap w:val="0"/>
            <w:vAlign w:val="top"/>
          </w:tcPr>
          <w:p w14:paraId="218D7D0B">
            <w:pPr>
              <w:ind w:firstLine="316" w:firstLineChars="150"/>
              <w:rPr>
                <w:rFonts w:ascii="宋体" w:hAnsi="宋体"/>
                <w:b/>
              </w:rPr>
            </w:pPr>
            <w:r>
              <w:rPr>
                <w:rFonts w:hint="eastAsia" w:ascii="宋体" w:hAnsi="宋体"/>
                <w:b/>
              </w:rPr>
              <w:t>课程</w:t>
            </w:r>
          </w:p>
          <w:p w14:paraId="4A979037">
            <w:pPr>
              <w:jc w:val="center"/>
              <w:rPr>
                <w:rFonts w:ascii="宋体" w:hAnsi="宋体"/>
                <w:b/>
              </w:rPr>
            </w:pPr>
            <w:r>
              <w:rPr>
                <w:rFonts w:hint="eastAsia" w:ascii="宋体" w:hAnsi="宋体"/>
                <w:b/>
              </w:rPr>
              <w:t>目标</w:t>
            </w:r>
          </w:p>
        </w:tc>
        <w:tc>
          <w:tcPr>
            <w:tcW w:w="1276" w:type="dxa"/>
            <w:shd w:val="clear" w:color="auto" w:fill="FFFFFF"/>
            <w:noWrap w:val="0"/>
            <w:vAlign w:val="top"/>
          </w:tcPr>
          <w:p w14:paraId="458C40D1">
            <w:pPr>
              <w:ind w:left="-107" w:leftChars="-51"/>
              <w:jc w:val="center"/>
              <w:rPr>
                <w:rFonts w:ascii="宋体" w:hAnsi="宋体"/>
                <w:b/>
              </w:rPr>
            </w:pPr>
            <w:r>
              <w:rPr>
                <w:rFonts w:hint="eastAsia" w:ascii="宋体" w:hAnsi="宋体"/>
                <w:b/>
              </w:rPr>
              <w:t>考核</w:t>
            </w:r>
          </w:p>
          <w:p w14:paraId="108ACE1F">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47942D66">
            <w:pPr>
              <w:ind w:left="-107" w:leftChars="-51"/>
              <w:jc w:val="center"/>
              <w:rPr>
                <w:rFonts w:ascii="宋体" w:hAnsi="宋体"/>
                <w:b/>
              </w:rPr>
            </w:pPr>
            <w:r>
              <w:rPr>
                <w:rFonts w:ascii="宋体" w:hAnsi="宋体"/>
                <w:b/>
              </w:rPr>
              <w:t>对应的毕业要求指标点</w:t>
            </w:r>
          </w:p>
        </w:tc>
      </w:tr>
      <w:tr w14:paraId="7634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1A64A059">
            <w:pPr>
              <w:pStyle w:val="40"/>
              <w:jc w:val="center"/>
              <w:rPr>
                <w:rFonts w:eastAsia="宋体"/>
              </w:rPr>
            </w:pPr>
            <w:r>
              <w:rPr>
                <w:rFonts w:eastAsia="宋体"/>
              </w:rPr>
              <w:t>平时成绩</w:t>
            </w:r>
          </w:p>
        </w:tc>
        <w:tc>
          <w:tcPr>
            <w:tcW w:w="1134" w:type="dxa"/>
            <w:noWrap w:val="0"/>
            <w:vAlign w:val="center"/>
          </w:tcPr>
          <w:p w14:paraId="6E48E5F6">
            <w:pPr>
              <w:pStyle w:val="40"/>
              <w:jc w:val="center"/>
              <w:rPr>
                <w:rFonts w:eastAsia="宋体"/>
              </w:rPr>
            </w:pPr>
            <w:r>
              <w:rPr>
                <w:rFonts w:hint="eastAsia" w:eastAsia="宋体"/>
              </w:rPr>
              <w:t>作业+考勤</w:t>
            </w:r>
          </w:p>
        </w:tc>
        <w:tc>
          <w:tcPr>
            <w:tcW w:w="709" w:type="dxa"/>
            <w:noWrap w:val="0"/>
            <w:vAlign w:val="center"/>
          </w:tcPr>
          <w:p w14:paraId="719D4061">
            <w:pPr>
              <w:pStyle w:val="40"/>
              <w:jc w:val="center"/>
              <w:rPr>
                <w:rFonts w:eastAsia="宋体"/>
              </w:rPr>
            </w:pPr>
            <w:r>
              <w:rPr>
                <w:rFonts w:hint="eastAsia" w:eastAsia="宋体"/>
              </w:rPr>
              <w:t>20</w:t>
            </w:r>
            <w:r>
              <w:rPr>
                <w:rFonts w:eastAsia="宋体"/>
              </w:rPr>
              <w:t>%</w:t>
            </w:r>
          </w:p>
        </w:tc>
        <w:tc>
          <w:tcPr>
            <w:tcW w:w="2693" w:type="dxa"/>
            <w:noWrap w:val="0"/>
            <w:vAlign w:val="center"/>
          </w:tcPr>
          <w:p w14:paraId="4ACEB0E5">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46FCD091">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02548379">
            <w:pPr>
              <w:jc w:val="center"/>
              <w:rPr>
                <w:rFonts w:ascii="宋体" w:hAnsi="宋体"/>
              </w:rPr>
            </w:pPr>
            <w:r>
              <w:rPr>
                <w:rFonts w:hint="eastAsia" w:ascii="宋体" w:hAnsi="宋体"/>
              </w:rPr>
              <w:t>课程目标</w:t>
            </w:r>
            <w:r>
              <w:rPr>
                <w:rFonts w:ascii="宋体" w:hAnsi="宋体"/>
              </w:rPr>
              <w:t>3</w:t>
            </w:r>
          </w:p>
          <w:p w14:paraId="0B10B3F1">
            <w:pPr>
              <w:jc w:val="center"/>
              <w:rPr>
                <w:rFonts w:hint="eastAsia" w:ascii="宋体" w:hAnsi="宋体"/>
              </w:rPr>
            </w:pPr>
            <w:r>
              <w:rPr>
                <w:rFonts w:hint="eastAsia" w:ascii="宋体" w:hAnsi="宋体"/>
              </w:rPr>
              <w:t>课程目标</w:t>
            </w:r>
            <w:r>
              <w:rPr>
                <w:rFonts w:ascii="宋体" w:hAnsi="宋体"/>
              </w:rPr>
              <w:t>4</w:t>
            </w:r>
          </w:p>
        </w:tc>
        <w:tc>
          <w:tcPr>
            <w:tcW w:w="1276" w:type="dxa"/>
            <w:noWrap w:val="0"/>
            <w:vAlign w:val="center"/>
          </w:tcPr>
          <w:p w14:paraId="5CE1A0A7">
            <w:pPr>
              <w:jc w:val="center"/>
              <w:rPr>
                <w:rFonts w:hint="eastAsia" w:ascii="宋体" w:hAnsi="宋体" w:cs="宋体"/>
                <w:kern w:val="0"/>
                <w:szCs w:val="21"/>
              </w:rPr>
            </w:pPr>
            <w:r>
              <w:rPr>
                <w:rFonts w:hint="eastAsia" w:ascii="宋体" w:hAnsi="宋体"/>
              </w:rPr>
              <w:t>小学</w:t>
            </w:r>
            <w:r>
              <w:rPr>
                <w:rFonts w:ascii="宋体" w:hAnsi="宋体"/>
              </w:rPr>
              <w:t>数学教学设计的基本理论、</w:t>
            </w:r>
            <w:r>
              <w:rPr>
                <w:rFonts w:hint="eastAsia" w:ascii="宋体" w:hAnsi="宋体"/>
              </w:rPr>
              <w:t>小学数学教学</w:t>
            </w:r>
            <w:r>
              <w:rPr>
                <w:rFonts w:ascii="宋体" w:hAnsi="宋体"/>
              </w:rPr>
              <w:t>设计的基本流程、</w:t>
            </w:r>
            <w:r>
              <w:rPr>
                <w:rFonts w:hint="eastAsia" w:ascii="宋体" w:hAnsi="宋体"/>
              </w:rPr>
              <w:t>小学</w:t>
            </w:r>
            <w:r>
              <w:rPr>
                <w:rFonts w:ascii="宋体" w:hAnsi="宋体"/>
              </w:rPr>
              <w:t>数学教学的</w:t>
            </w:r>
            <w:r>
              <w:rPr>
                <w:rFonts w:hint="eastAsia" w:ascii="宋体" w:hAnsi="宋体"/>
              </w:rPr>
              <w:t>设计</w:t>
            </w:r>
            <w:r>
              <w:rPr>
                <w:rFonts w:ascii="宋体" w:hAnsi="宋体"/>
              </w:rPr>
              <w:t>与实施</w:t>
            </w:r>
          </w:p>
        </w:tc>
        <w:tc>
          <w:tcPr>
            <w:tcW w:w="1276" w:type="dxa"/>
            <w:noWrap w:val="0"/>
            <w:vAlign w:val="center"/>
          </w:tcPr>
          <w:p w14:paraId="52AFA2FE">
            <w:pPr>
              <w:jc w:val="center"/>
              <w:rPr>
                <w:rFonts w:ascii="宋体" w:hAnsi="宋体"/>
                <w:szCs w:val="21"/>
              </w:rPr>
            </w:pPr>
            <w:r>
              <w:rPr>
                <w:rFonts w:ascii="宋体" w:hAnsi="宋体"/>
                <w:szCs w:val="21"/>
              </w:rPr>
              <w:t xml:space="preserve"> </w:t>
            </w:r>
            <w:r>
              <w:rPr>
                <w:rFonts w:hint="eastAsia" w:ascii="宋体" w:hAnsi="宋体"/>
                <w:szCs w:val="21"/>
              </w:rPr>
              <w:t>3</w:t>
            </w:r>
            <w:r>
              <w:rPr>
                <w:rFonts w:ascii="宋体" w:hAnsi="宋体"/>
                <w:szCs w:val="21"/>
              </w:rPr>
              <w:t>-2</w:t>
            </w:r>
            <w:r>
              <w:rPr>
                <w:rFonts w:hint="eastAsia" w:ascii="宋体" w:hAnsi="宋体"/>
                <w:szCs w:val="21"/>
              </w:rPr>
              <w:t>、4-</w:t>
            </w:r>
            <w:r>
              <w:rPr>
                <w:rFonts w:ascii="宋体" w:hAnsi="宋体"/>
                <w:szCs w:val="21"/>
              </w:rPr>
              <w:t>1</w:t>
            </w:r>
            <w:r>
              <w:rPr>
                <w:rFonts w:hint="eastAsia" w:ascii="宋体" w:hAnsi="宋体"/>
                <w:szCs w:val="21"/>
              </w:rPr>
              <w:t>、</w:t>
            </w:r>
          </w:p>
          <w:p w14:paraId="09CA936D">
            <w:pPr>
              <w:jc w:val="center"/>
              <w:rPr>
                <w:rFonts w:ascii="宋体" w:hAnsi="宋体"/>
              </w:rPr>
            </w:pPr>
            <w:r>
              <w:rPr>
                <w:rFonts w:ascii="宋体" w:hAnsi="宋体"/>
                <w:szCs w:val="21"/>
              </w:rPr>
              <w:t>6-2</w:t>
            </w:r>
            <w:r>
              <w:rPr>
                <w:rFonts w:hint="eastAsia" w:ascii="宋体" w:hAnsi="宋体"/>
                <w:szCs w:val="21"/>
              </w:rPr>
              <w:t>、</w:t>
            </w:r>
            <w:r>
              <w:rPr>
                <w:rFonts w:ascii="宋体" w:hAnsi="宋体"/>
                <w:szCs w:val="21"/>
              </w:rPr>
              <w:t>6</w:t>
            </w:r>
            <w:r>
              <w:rPr>
                <w:rFonts w:hint="eastAsia" w:ascii="宋体" w:hAnsi="宋体"/>
                <w:szCs w:val="21"/>
              </w:rPr>
              <w:t>-</w:t>
            </w:r>
            <w:r>
              <w:rPr>
                <w:rFonts w:ascii="宋体" w:hAnsi="宋体"/>
                <w:szCs w:val="21"/>
              </w:rPr>
              <w:t>2</w:t>
            </w:r>
          </w:p>
        </w:tc>
      </w:tr>
      <w:tr w14:paraId="35ED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3C41E048">
            <w:pPr>
              <w:pStyle w:val="40"/>
              <w:jc w:val="center"/>
              <w:rPr>
                <w:rFonts w:eastAsia="宋体"/>
              </w:rPr>
            </w:pPr>
          </w:p>
        </w:tc>
        <w:tc>
          <w:tcPr>
            <w:tcW w:w="1134" w:type="dxa"/>
            <w:noWrap w:val="0"/>
            <w:vAlign w:val="center"/>
          </w:tcPr>
          <w:p w14:paraId="00EE19D2">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08EA374C">
            <w:pPr>
              <w:pStyle w:val="40"/>
              <w:jc w:val="center"/>
              <w:rPr>
                <w:rFonts w:hint="eastAsia" w:eastAsia="宋体"/>
              </w:rPr>
            </w:pPr>
            <w:r>
              <w:rPr>
                <w:rFonts w:hint="eastAsia" w:eastAsia="宋体"/>
              </w:rPr>
              <w:t>10%</w:t>
            </w:r>
          </w:p>
        </w:tc>
        <w:tc>
          <w:tcPr>
            <w:tcW w:w="2693" w:type="dxa"/>
            <w:noWrap w:val="0"/>
            <w:vAlign w:val="center"/>
          </w:tcPr>
          <w:p w14:paraId="547E1858">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54D827B0">
            <w:pPr>
              <w:jc w:val="center"/>
              <w:rPr>
                <w:rFonts w:hint="eastAsia" w:ascii="宋体" w:hAnsi="宋体"/>
              </w:rPr>
            </w:pPr>
            <w:r>
              <w:rPr>
                <w:rFonts w:hint="eastAsia" w:ascii="宋体" w:hAnsi="宋体"/>
              </w:rPr>
              <w:t>课程目标1课程目标2</w:t>
            </w:r>
          </w:p>
          <w:p w14:paraId="7CF592B7">
            <w:pPr>
              <w:jc w:val="center"/>
              <w:rPr>
                <w:rFonts w:hint="eastAsia" w:ascii="宋体" w:hAnsi="宋体"/>
              </w:rPr>
            </w:pPr>
            <w:r>
              <w:rPr>
                <w:rFonts w:hint="eastAsia" w:ascii="宋体" w:hAnsi="宋体"/>
              </w:rPr>
              <w:t>课程目标3</w:t>
            </w:r>
          </w:p>
          <w:p w14:paraId="67A37EE4">
            <w:pPr>
              <w:jc w:val="center"/>
              <w:rPr>
                <w:rFonts w:hint="eastAsia" w:ascii="宋体" w:hAnsi="宋体"/>
              </w:rPr>
            </w:pPr>
            <w:r>
              <w:rPr>
                <w:rFonts w:hint="eastAsia" w:ascii="宋体" w:hAnsi="宋体"/>
              </w:rPr>
              <w:t>课程目标4</w:t>
            </w:r>
          </w:p>
        </w:tc>
        <w:tc>
          <w:tcPr>
            <w:tcW w:w="1276" w:type="dxa"/>
            <w:noWrap w:val="0"/>
            <w:vAlign w:val="center"/>
          </w:tcPr>
          <w:p w14:paraId="52CC1E81">
            <w:pPr>
              <w:jc w:val="center"/>
              <w:rPr>
                <w:rFonts w:hint="eastAsia" w:ascii="宋体" w:hAnsi="宋体"/>
              </w:rPr>
            </w:pPr>
            <w:r>
              <w:rPr>
                <w:rFonts w:hint="eastAsia" w:ascii="宋体" w:hAnsi="宋体"/>
              </w:rPr>
              <w:t>课堂</w:t>
            </w:r>
            <w:r>
              <w:rPr>
                <w:rFonts w:ascii="宋体" w:hAnsi="宋体"/>
              </w:rPr>
              <w:t>沟通、教学实践</w:t>
            </w:r>
          </w:p>
        </w:tc>
        <w:tc>
          <w:tcPr>
            <w:tcW w:w="1276" w:type="dxa"/>
            <w:noWrap w:val="0"/>
            <w:vAlign w:val="center"/>
          </w:tcPr>
          <w:p w14:paraId="2389DE07">
            <w:pPr>
              <w:jc w:val="center"/>
              <w:rPr>
                <w:rFonts w:hint="eastAsia" w:ascii="宋体" w:hAnsi="宋体"/>
                <w:szCs w:val="21"/>
              </w:rPr>
            </w:pPr>
            <w:r>
              <w:rPr>
                <w:rFonts w:hint="eastAsia" w:ascii="宋体" w:hAnsi="宋体"/>
                <w:szCs w:val="21"/>
              </w:rPr>
              <w:t>3-2、4-1、</w:t>
            </w:r>
          </w:p>
          <w:p w14:paraId="1F8A21B8">
            <w:pPr>
              <w:jc w:val="center"/>
              <w:rPr>
                <w:rFonts w:ascii="宋体" w:hAnsi="宋体"/>
                <w:szCs w:val="21"/>
              </w:rPr>
            </w:pPr>
            <w:r>
              <w:rPr>
                <w:rFonts w:hint="eastAsia" w:ascii="宋体" w:hAnsi="宋体"/>
                <w:szCs w:val="21"/>
              </w:rPr>
              <w:t>6-2、</w:t>
            </w:r>
            <w:r>
              <w:rPr>
                <w:rFonts w:ascii="宋体" w:hAnsi="宋体"/>
                <w:szCs w:val="21"/>
              </w:rPr>
              <w:t>8</w:t>
            </w:r>
            <w:r>
              <w:rPr>
                <w:rFonts w:hint="eastAsia" w:ascii="宋体" w:hAnsi="宋体"/>
                <w:szCs w:val="21"/>
              </w:rPr>
              <w:t>-1</w:t>
            </w:r>
          </w:p>
        </w:tc>
      </w:tr>
      <w:tr w14:paraId="4664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695ED4D8">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69D51B0C">
            <w:pPr>
              <w:pStyle w:val="40"/>
              <w:jc w:val="center"/>
              <w:rPr>
                <w:rFonts w:hint="eastAsia" w:eastAsia="宋体"/>
              </w:rPr>
            </w:pPr>
            <w:r>
              <w:rPr>
                <w:rFonts w:hint="eastAsia" w:eastAsia="宋体"/>
              </w:rPr>
              <w:t>方案评价+现场</w:t>
            </w:r>
            <w:r>
              <w:rPr>
                <w:rFonts w:eastAsia="宋体"/>
              </w:rPr>
              <w:t>考核</w:t>
            </w:r>
          </w:p>
        </w:tc>
        <w:tc>
          <w:tcPr>
            <w:tcW w:w="709" w:type="dxa"/>
            <w:noWrap w:val="0"/>
            <w:vAlign w:val="center"/>
          </w:tcPr>
          <w:p w14:paraId="09CA270B">
            <w:pPr>
              <w:pStyle w:val="40"/>
              <w:jc w:val="center"/>
              <w:rPr>
                <w:rFonts w:eastAsia="宋体"/>
              </w:rPr>
            </w:pPr>
            <w:r>
              <w:rPr>
                <w:rFonts w:hint="eastAsia" w:eastAsia="宋体"/>
              </w:rPr>
              <w:t>20</w:t>
            </w:r>
            <w:r>
              <w:rPr>
                <w:rFonts w:eastAsia="宋体"/>
              </w:rPr>
              <w:t>%</w:t>
            </w:r>
          </w:p>
        </w:tc>
        <w:tc>
          <w:tcPr>
            <w:tcW w:w="2693" w:type="dxa"/>
            <w:noWrap w:val="0"/>
            <w:vAlign w:val="center"/>
          </w:tcPr>
          <w:p w14:paraId="43B34498">
            <w:pPr>
              <w:pStyle w:val="40"/>
              <w:rPr>
                <w:rFonts w:eastAsia="宋体"/>
                <w:szCs w:val="21"/>
              </w:rPr>
            </w:pPr>
            <w:r>
              <w:rPr>
                <w:rFonts w:hint="eastAsia" w:eastAsia="宋体"/>
                <w:szCs w:val="21"/>
              </w:rPr>
              <w:t>认真完成4个项目的课内实践，提交相应的教材分析</w:t>
            </w:r>
            <w:r>
              <w:rPr>
                <w:rFonts w:eastAsia="宋体"/>
                <w:szCs w:val="21"/>
              </w:rPr>
              <w:t>报告和教学方案</w:t>
            </w:r>
            <w:r>
              <w:rPr>
                <w:rFonts w:hint="eastAsia" w:eastAsia="宋体"/>
                <w:szCs w:val="21"/>
              </w:rPr>
              <w:t>，并</w:t>
            </w:r>
            <w:r>
              <w:rPr>
                <w:rFonts w:eastAsia="宋体"/>
                <w:szCs w:val="21"/>
              </w:rPr>
              <w:t>尝试进行模拟教学；</w:t>
            </w:r>
            <w:r>
              <w:rPr>
                <w:rFonts w:hint="eastAsia" w:eastAsia="宋体"/>
                <w:szCs w:val="21"/>
              </w:rPr>
              <w:t>实行组内互评与教师评价相结合的方式。4个项目成绩取平均分作为课内实践分。</w:t>
            </w:r>
          </w:p>
        </w:tc>
        <w:tc>
          <w:tcPr>
            <w:tcW w:w="1276" w:type="dxa"/>
            <w:noWrap w:val="0"/>
            <w:vAlign w:val="center"/>
          </w:tcPr>
          <w:p w14:paraId="399921EC">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6A3BD7E9">
            <w:pPr>
              <w:jc w:val="center"/>
              <w:rPr>
                <w:rFonts w:ascii="宋体" w:hAnsi="宋体"/>
              </w:rPr>
            </w:pPr>
            <w:r>
              <w:rPr>
                <w:rFonts w:hint="eastAsia" w:ascii="宋体" w:hAnsi="宋体"/>
              </w:rPr>
              <w:t>课程目标</w:t>
            </w:r>
            <w:r>
              <w:rPr>
                <w:rFonts w:ascii="宋体" w:hAnsi="宋体"/>
              </w:rPr>
              <w:t>3</w:t>
            </w:r>
          </w:p>
          <w:p w14:paraId="2F9DB6ED">
            <w:pPr>
              <w:jc w:val="center"/>
              <w:rPr>
                <w:rFonts w:hint="eastAsia" w:ascii="宋体" w:hAnsi="宋体"/>
              </w:rPr>
            </w:pPr>
            <w:r>
              <w:rPr>
                <w:rFonts w:hint="eastAsia" w:ascii="宋体" w:hAnsi="宋体"/>
              </w:rPr>
              <w:t>课程目标</w:t>
            </w:r>
            <w:r>
              <w:rPr>
                <w:rFonts w:ascii="宋体" w:hAnsi="宋体"/>
              </w:rPr>
              <w:t>4</w:t>
            </w:r>
          </w:p>
        </w:tc>
        <w:tc>
          <w:tcPr>
            <w:tcW w:w="1276" w:type="dxa"/>
            <w:noWrap w:val="0"/>
            <w:vAlign w:val="center"/>
          </w:tcPr>
          <w:p w14:paraId="2755D3E7">
            <w:pPr>
              <w:jc w:val="center"/>
              <w:rPr>
                <w:rFonts w:hint="eastAsia" w:ascii="宋体" w:hAnsi="宋体" w:cs="宋体"/>
                <w:kern w:val="0"/>
                <w:szCs w:val="21"/>
              </w:rPr>
            </w:pPr>
            <w:r>
              <w:rPr>
                <w:rFonts w:hint="eastAsia" w:ascii="宋体" w:hAnsi="宋体"/>
              </w:rPr>
              <w:t>小学</w:t>
            </w:r>
            <w:r>
              <w:rPr>
                <w:rFonts w:ascii="宋体" w:hAnsi="宋体"/>
              </w:rPr>
              <w:t>数学教学设计的基本理论、</w:t>
            </w:r>
            <w:r>
              <w:rPr>
                <w:rFonts w:hint="eastAsia" w:ascii="宋体" w:hAnsi="宋体"/>
              </w:rPr>
              <w:t>小学数学教学</w:t>
            </w:r>
            <w:r>
              <w:rPr>
                <w:rFonts w:ascii="宋体" w:hAnsi="宋体"/>
              </w:rPr>
              <w:t>设计的基本流程、</w:t>
            </w:r>
            <w:r>
              <w:rPr>
                <w:rFonts w:hint="eastAsia" w:ascii="宋体" w:hAnsi="宋体"/>
              </w:rPr>
              <w:t>小学</w:t>
            </w:r>
            <w:r>
              <w:rPr>
                <w:rFonts w:ascii="宋体" w:hAnsi="宋体"/>
              </w:rPr>
              <w:t>数学教学的</w:t>
            </w:r>
            <w:r>
              <w:rPr>
                <w:rFonts w:hint="eastAsia" w:ascii="宋体" w:hAnsi="宋体"/>
              </w:rPr>
              <w:t>设计</w:t>
            </w:r>
            <w:r>
              <w:rPr>
                <w:rFonts w:ascii="宋体" w:hAnsi="宋体"/>
              </w:rPr>
              <w:t>与实施</w:t>
            </w:r>
          </w:p>
        </w:tc>
        <w:tc>
          <w:tcPr>
            <w:tcW w:w="1276" w:type="dxa"/>
            <w:noWrap w:val="0"/>
            <w:vAlign w:val="center"/>
          </w:tcPr>
          <w:p w14:paraId="7A8599DB">
            <w:pPr>
              <w:jc w:val="center"/>
              <w:rPr>
                <w:rFonts w:hint="eastAsia" w:ascii="宋体" w:hAnsi="宋体"/>
                <w:szCs w:val="21"/>
              </w:rPr>
            </w:pPr>
            <w:r>
              <w:rPr>
                <w:rFonts w:hint="eastAsia" w:ascii="宋体" w:hAnsi="宋体"/>
                <w:szCs w:val="21"/>
              </w:rPr>
              <w:t>3-2、4-1、</w:t>
            </w:r>
          </w:p>
          <w:p w14:paraId="48BA7999">
            <w:pPr>
              <w:jc w:val="center"/>
              <w:rPr>
                <w:rFonts w:ascii="宋体" w:hAnsi="宋体"/>
                <w:kern w:val="0"/>
                <w:sz w:val="24"/>
                <w:szCs w:val="22"/>
              </w:rPr>
            </w:pPr>
            <w:r>
              <w:rPr>
                <w:rFonts w:ascii="宋体" w:hAnsi="宋体"/>
                <w:szCs w:val="21"/>
              </w:rPr>
              <w:t>6</w:t>
            </w:r>
            <w:r>
              <w:rPr>
                <w:rFonts w:hint="eastAsia" w:ascii="宋体" w:hAnsi="宋体"/>
                <w:szCs w:val="21"/>
              </w:rPr>
              <w:t>-2、8</w:t>
            </w:r>
            <w:r>
              <w:rPr>
                <w:rFonts w:ascii="宋体" w:hAnsi="宋体"/>
                <w:szCs w:val="21"/>
              </w:rPr>
              <w:t>-1</w:t>
            </w:r>
          </w:p>
        </w:tc>
      </w:tr>
      <w:tr w14:paraId="671A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61F3F576">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75F9D982">
            <w:pPr>
              <w:pStyle w:val="40"/>
              <w:jc w:val="center"/>
              <w:rPr>
                <w:rFonts w:eastAsia="宋体"/>
              </w:rPr>
            </w:pPr>
            <w:r>
              <w:rPr>
                <w:rFonts w:hint="eastAsia" w:eastAsia="宋体"/>
              </w:rPr>
              <w:t>闭卷笔试</w:t>
            </w:r>
          </w:p>
        </w:tc>
        <w:tc>
          <w:tcPr>
            <w:tcW w:w="709" w:type="dxa"/>
            <w:noWrap w:val="0"/>
            <w:vAlign w:val="center"/>
          </w:tcPr>
          <w:p w14:paraId="1A8ECB6D">
            <w:pPr>
              <w:pStyle w:val="40"/>
              <w:jc w:val="center"/>
              <w:rPr>
                <w:rFonts w:eastAsia="宋体"/>
              </w:rPr>
            </w:pPr>
            <w:r>
              <w:rPr>
                <w:rFonts w:eastAsia="宋体"/>
              </w:rPr>
              <w:t>5</w:t>
            </w:r>
            <w:r>
              <w:rPr>
                <w:rFonts w:hint="eastAsia" w:eastAsia="宋体"/>
              </w:rPr>
              <w:t xml:space="preserve">0 </w:t>
            </w:r>
            <w:r>
              <w:rPr>
                <w:rFonts w:eastAsia="宋体"/>
              </w:rPr>
              <w:t>%</w:t>
            </w:r>
          </w:p>
        </w:tc>
        <w:tc>
          <w:tcPr>
            <w:tcW w:w="2693" w:type="dxa"/>
            <w:noWrap w:val="0"/>
            <w:vAlign w:val="center"/>
          </w:tcPr>
          <w:p w14:paraId="3D97F2BB">
            <w:pPr>
              <w:pStyle w:val="40"/>
              <w:rPr>
                <w:rFonts w:eastAsia="宋体"/>
                <w:szCs w:val="21"/>
              </w:rPr>
            </w:pPr>
            <w:r>
              <w:rPr>
                <w:rFonts w:hint="eastAsia" w:eastAsia="宋体"/>
                <w:szCs w:val="21"/>
              </w:rPr>
              <w:t>试卷题型包括填空题、选择题、简答题、分析题、设计题等题型，一方面考核师范生小学数学教学理论知识的掌握情况，另一方面考核师范生运用所学理论解决问题的能力。</w:t>
            </w:r>
          </w:p>
        </w:tc>
        <w:tc>
          <w:tcPr>
            <w:tcW w:w="1276" w:type="dxa"/>
            <w:noWrap w:val="0"/>
            <w:vAlign w:val="center"/>
          </w:tcPr>
          <w:p w14:paraId="0CEA6B1E">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489522C5">
            <w:pPr>
              <w:jc w:val="center"/>
              <w:rPr>
                <w:rFonts w:ascii="宋体" w:hAnsi="宋体"/>
              </w:rPr>
            </w:pPr>
            <w:r>
              <w:rPr>
                <w:rFonts w:hint="eastAsia" w:ascii="宋体" w:hAnsi="宋体"/>
              </w:rPr>
              <w:t>课程目标</w:t>
            </w:r>
            <w:r>
              <w:rPr>
                <w:rFonts w:ascii="宋体" w:hAnsi="宋体"/>
              </w:rPr>
              <w:t>3</w:t>
            </w:r>
          </w:p>
          <w:p w14:paraId="455140FC">
            <w:pPr>
              <w:jc w:val="center"/>
              <w:rPr>
                <w:rFonts w:hint="eastAsia" w:ascii="宋体" w:hAnsi="宋体"/>
              </w:rPr>
            </w:pPr>
            <w:r>
              <w:rPr>
                <w:rFonts w:hint="eastAsia" w:ascii="宋体" w:hAnsi="宋体"/>
              </w:rPr>
              <w:t>课程目标</w:t>
            </w:r>
            <w:r>
              <w:rPr>
                <w:rFonts w:ascii="宋体" w:hAnsi="宋体"/>
              </w:rPr>
              <w:t>4</w:t>
            </w:r>
          </w:p>
        </w:tc>
        <w:tc>
          <w:tcPr>
            <w:tcW w:w="1276" w:type="dxa"/>
            <w:noWrap w:val="0"/>
            <w:vAlign w:val="center"/>
          </w:tcPr>
          <w:p w14:paraId="0AB85498">
            <w:pPr>
              <w:jc w:val="center"/>
              <w:rPr>
                <w:rFonts w:hint="eastAsia" w:ascii="宋体" w:hAnsi="宋体" w:cs="宋体"/>
                <w:kern w:val="0"/>
                <w:szCs w:val="21"/>
              </w:rPr>
            </w:pPr>
            <w:r>
              <w:rPr>
                <w:rFonts w:hint="eastAsia" w:ascii="宋体" w:hAnsi="宋体"/>
              </w:rPr>
              <w:t>小学</w:t>
            </w:r>
            <w:r>
              <w:rPr>
                <w:rFonts w:ascii="宋体" w:hAnsi="宋体"/>
              </w:rPr>
              <w:t>数学教学设计的基本理论、</w:t>
            </w:r>
            <w:r>
              <w:rPr>
                <w:rFonts w:hint="eastAsia" w:ascii="宋体" w:hAnsi="宋体"/>
              </w:rPr>
              <w:t>小学数学教学</w:t>
            </w:r>
            <w:r>
              <w:rPr>
                <w:rFonts w:ascii="宋体" w:hAnsi="宋体"/>
              </w:rPr>
              <w:t>设计的基本流程、</w:t>
            </w:r>
            <w:r>
              <w:rPr>
                <w:rFonts w:hint="eastAsia" w:ascii="宋体" w:hAnsi="宋体"/>
              </w:rPr>
              <w:t>小学</w:t>
            </w:r>
            <w:r>
              <w:rPr>
                <w:rFonts w:ascii="宋体" w:hAnsi="宋体"/>
              </w:rPr>
              <w:t>数学教学的</w:t>
            </w:r>
            <w:r>
              <w:rPr>
                <w:rFonts w:hint="eastAsia" w:ascii="宋体" w:hAnsi="宋体"/>
              </w:rPr>
              <w:t>设计</w:t>
            </w:r>
            <w:r>
              <w:rPr>
                <w:rFonts w:ascii="宋体" w:hAnsi="宋体"/>
              </w:rPr>
              <w:t>与实施</w:t>
            </w:r>
          </w:p>
        </w:tc>
        <w:tc>
          <w:tcPr>
            <w:tcW w:w="1276" w:type="dxa"/>
            <w:noWrap w:val="0"/>
            <w:vAlign w:val="center"/>
          </w:tcPr>
          <w:p w14:paraId="6C73B024">
            <w:pPr>
              <w:rPr>
                <w:rFonts w:hint="eastAsia" w:ascii="宋体" w:hAnsi="宋体"/>
                <w:szCs w:val="21"/>
              </w:rPr>
            </w:pPr>
            <w:r>
              <w:rPr>
                <w:rFonts w:hint="eastAsia" w:ascii="宋体" w:hAnsi="宋体"/>
                <w:szCs w:val="21"/>
              </w:rPr>
              <w:t>3-2、4-1、</w:t>
            </w:r>
          </w:p>
          <w:p w14:paraId="6840CFF0">
            <w:pPr>
              <w:rPr>
                <w:rFonts w:ascii="宋体" w:hAnsi="宋体"/>
                <w:szCs w:val="21"/>
              </w:rPr>
            </w:pPr>
            <w:r>
              <w:rPr>
                <w:rFonts w:ascii="宋体" w:hAnsi="宋体"/>
                <w:szCs w:val="21"/>
              </w:rPr>
              <w:t>6-2</w:t>
            </w:r>
            <w:r>
              <w:rPr>
                <w:rFonts w:hint="eastAsia" w:ascii="宋体" w:hAnsi="宋体"/>
                <w:szCs w:val="21"/>
              </w:rPr>
              <w:t>、8-1</w:t>
            </w:r>
          </w:p>
        </w:tc>
      </w:tr>
    </w:tbl>
    <w:p w14:paraId="60EB2F98">
      <w:pPr>
        <w:spacing w:line="360" w:lineRule="auto"/>
        <w:rPr>
          <w:rFonts w:hint="eastAsia" w:ascii="宋体" w:hAnsi="宋体"/>
          <w:sz w:val="24"/>
          <w:szCs w:val="22"/>
        </w:rPr>
      </w:pPr>
      <w:r>
        <w:rPr>
          <w:rFonts w:hint="eastAsia" w:ascii="宋体" w:hAnsi="宋体"/>
          <w:sz w:val="24"/>
          <w:szCs w:val="22"/>
        </w:rPr>
        <w:t xml:space="preserve">    </w:t>
      </w:r>
    </w:p>
    <w:p w14:paraId="3027E5B2">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48"/>
        <w:gridCol w:w="1816"/>
        <w:gridCol w:w="2196"/>
        <w:gridCol w:w="1843"/>
        <w:gridCol w:w="1134"/>
      </w:tblGrid>
      <w:tr w14:paraId="64F750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3864" w:type="dxa"/>
            <w:gridSpan w:val="2"/>
            <w:shd w:val="clear" w:color="auto" w:fill="auto"/>
            <w:noWrap w:val="0"/>
            <w:vAlign w:val="center"/>
          </w:tcPr>
          <w:p w14:paraId="7718D8AD">
            <w:pPr>
              <w:widowControl/>
              <w:jc w:val="center"/>
              <w:rPr>
                <w:rFonts w:ascii="宋体" w:hAnsi="宋体"/>
                <w:kern w:val="0"/>
                <w:szCs w:val="21"/>
              </w:rPr>
            </w:pPr>
            <w:r>
              <w:rPr>
                <w:rFonts w:hint="eastAsia" w:ascii="宋体" w:hAnsi="宋体"/>
                <w:kern w:val="0"/>
                <w:szCs w:val="21"/>
              </w:rPr>
              <w:t>课程目标及权重</w:t>
            </w:r>
          </w:p>
        </w:tc>
        <w:tc>
          <w:tcPr>
            <w:tcW w:w="5173" w:type="dxa"/>
            <w:gridSpan w:val="3"/>
            <w:shd w:val="clear" w:color="auto" w:fill="auto"/>
            <w:noWrap w:val="0"/>
            <w:vAlign w:val="center"/>
          </w:tcPr>
          <w:p w14:paraId="176170AF">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71938A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2048" w:type="dxa"/>
            <w:shd w:val="clear" w:color="auto" w:fill="auto"/>
            <w:noWrap w:val="0"/>
            <w:vAlign w:val="center"/>
          </w:tcPr>
          <w:p w14:paraId="67B530F9">
            <w:pPr>
              <w:widowControl/>
              <w:jc w:val="center"/>
              <w:rPr>
                <w:rFonts w:hint="eastAsia" w:ascii="宋体" w:hAnsi="宋体"/>
                <w:kern w:val="0"/>
                <w:szCs w:val="21"/>
              </w:rPr>
            </w:pPr>
            <w:r>
              <w:rPr>
                <w:rFonts w:hint="eastAsia" w:ascii="宋体" w:hAnsi="宋体"/>
                <w:kern w:val="0"/>
                <w:szCs w:val="21"/>
              </w:rPr>
              <w:t>项目</w:t>
            </w:r>
          </w:p>
        </w:tc>
        <w:tc>
          <w:tcPr>
            <w:tcW w:w="1816" w:type="dxa"/>
            <w:shd w:val="clear" w:color="auto" w:fill="auto"/>
            <w:noWrap w:val="0"/>
            <w:vAlign w:val="center"/>
          </w:tcPr>
          <w:p w14:paraId="76D4DC38">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tcBorders>
              <w:bottom w:val="single" w:color="auto" w:sz="8" w:space="0"/>
            </w:tcBorders>
            <w:shd w:val="clear" w:color="auto" w:fill="auto"/>
            <w:noWrap w:val="0"/>
            <w:vAlign w:val="center"/>
          </w:tcPr>
          <w:p w14:paraId="271F59AD">
            <w:pPr>
              <w:widowControl/>
              <w:jc w:val="center"/>
              <w:rPr>
                <w:rFonts w:hint="eastAsia" w:ascii="宋体" w:hAnsi="宋体"/>
                <w:kern w:val="0"/>
                <w:szCs w:val="21"/>
              </w:rPr>
            </w:pPr>
            <w:r>
              <w:rPr>
                <w:rFonts w:hint="eastAsia" w:ascii="宋体" w:hAnsi="宋体"/>
                <w:kern w:val="0"/>
                <w:szCs w:val="21"/>
              </w:rPr>
              <w:t>评价依据</w:t>
            </w:r>
          </w:p>
        </w:tc>
        <w:tc>
          <w:tcPr>
            <w:tcW w:w="1843" w:type="dxa"/>
            <w:tcBorders>
              <w:bottom w:val="single" w:color="auto" w:sz="8" w:space="0"/>
            </w:tcBorders>
            <w:shd w:val="clear" w:color="auto" w:fill="auto"/>
            <w:noWrap w:val="0"/>
            <w:vAlign w:val="center"/>
          </w:tcPr>
          <w:p w14:paraId="50759E51">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noWrap w:val="0"/>
            <w:vAlign w:val="top"/>
          </w:tcPr>
          <w:p w14:paraId="0D9621E1">
            <w:pPr>
              <w:widowControl/>
              <w:rPr>
                <w:rFonts w:hint="eastAsia" w:ascii="宋体" w:hAnsi="宋体"/>
                <w:kern w:val="0"/>
                <w:szCs w:val="21"/>
              </w:rPr>
            </w:pPr>
            <w:r>
              <w:rPr>
                <w:rFonts w:hint="eastAsia" w:ascii="宋体" w:hAnsi="宋体"/>
                <w:kern w:val="0"/>
                <w:szCs w:val="21"/>
              </w:rPr>
              <w:t>考核方式权重合计</w:t>
            </w:r>
          </w:p>
        </w:tc>
      </w:tr>
      <w:tr w14:paraId="2920AA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restart"/>
            <w:shd w:val="clear" w:color="auto" w:fill="auto"/>
            <w:noWrap w:val="0"/>
            <w:vAlign w:val="center"/>
          </w:tcPr>
          <w:p w14:paraId="26ADB958">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shd w:val="clear" w:color="auto" w:fill="auto"/>
            <w:noWrap w:val="0"/>
            <w:vAlign w:val="center"/>
          </w:tcPr>
          <w:p w14:paraId="457770C2">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1D97C49B">
            <w:pPr>
              <w:widowControl/>
              <w:spacing w:line="276" w:lineRule="auto"/>
              <w:rPr>
                <w:rFonts w:ascii="宋体" w:hAnsi="宋体" w:cs="宋体"/>
                <w:kern w:val="0"/>
                <w:sz w:val="24"/>
              </w:rPr>
            </w:pPr>
            <w:r>
              <w:rPr>
                <w:rFonts w:hint="eastAsia" w:ascii="宋体" w:hAnsi="宋体" w:cs="宋体"/>
                <w:kern w:val="0"/>
                <w:sz w:val="24"/>
              </w:rPr>
              <w:t>作业1</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7B1CAD79">
            <w:pPr>
              <w:widowControl/>
              <w:spacing w:line="276" w:lineRule="auto"/>
              <w:jc w:val="center"/>
              <w:rPr>
                <w:rFonts w:hint="eastAsia"/>
                <w:kern w:val="0"/>
                <w:sz w:val="24"/>
              </w:rPr>
            </w:pPr>
            <w:r>
              <w:rPr>
                <w:kern w:val="0"/>
                <w:sz w:val="24"/>
              </w:rPr>
              <w:t xml:space="preserve">0.15 </w:t>
            </w:r>
          </w:p>
        </w:tc>
        <w:tc>
          <w:tcPr>
            <w:tcW w:w="1134" w:type="dxa"/>
            <w:vMerge w:val="restart"/>
            <w:noWrap w:val="0"/>
            <w:vAlign w:val="center"/>
          </w:tcPr>
          <w:p w14:paraId="290E4494">
            <w:pPr>
              <w:widowControl/>
              <w:jc w:val="center"/>
              <w:rPr>
                <w:rFonts w:hint="eastAsia" w:ascii="宋体" w:hAnsi="宋体"/>
                <w:kern w:val="0"/>
                <w:szCs w:val="21"/>
              </w:rPr>
            </w:pPr>
            <w:r>
              <w:rPr>
                <w:rFonts w:hint="eastAsia" w:ascii="宋体" w:hAnsi="宋体"/>
                <w:kern w:val="0"/>
                <w:szCs w:val="21"/>
              </w:rPr>
              <w:t>100%</w:t>
            </w:r>
          </w:p>
        </w:tc>
      </w:tr>
      <w:tr w14:paraId="038556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continue"/>
            <w:shd w:val="clear" w:color="auto" w:fill="auto"/>
            <w:noWrap w:val="0"/>
            <w:vAlign w:val="center"/>
          </w:tcPr>
          <w:p w14:paraId="4C5EA9A2">
            <w:pPr>
              <w:widowControl/>
              <w:jc w:val="center"/>
              <w:rPr>
                <w:rFonts w:hint="eastAsia" w:ascii="宋体" w:hAnsi="宋体"/>
                <w:kern w:val="0"/>
                <w:szCs w:val="21"/>
              </w:rPr>
            </w:pPr>
          </w:p>
        </w:tc>
        <w:tc>
          <w:tcPr>
            <w:tcW w:w="1816" w:type="dxa"/>
            <w:vMerge w:val="continue"/>
            <w:shd w:val="clear" w:color="auto" w:fill="auto"/>
            <w:noWrap w:val="0"/>
            <w:vAlign w:val="center"/>
          </w:tcPr>
          <w:p w14:paraId="25BB6724">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27BB4AA">
            <w:pPr>
              <w:widowControl/>
              <w:spacing w:line="276" w:lineRule="auto"/>
              <w:rPr>
                <w:rFonts w:ascii="宋体" w:hAnsi="宋体" w:cs="宋体"/>
                <w:kern w:val="0"/>
                <w:sz w:val="24"/>
              </w:rPr>
            </w:pPr>
            <w:r>
              <w:rPr>
                <w:rFonts w:hint="eastAsia" w:ascii="宋体" w:hAnsi="宋体" w:cs="宋体"/>
                <w:kern w:val="0"/>
                <w:sz w:val="24"/>
              </w:rPr>
              <w:t>作业2</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38EC9808">
            <w:pPr>
              <w:widowControl/>
              <w:spacing w:line="276" w:lineRule="auto"/>
              <w:jc w:val="center"/>
              <w:rPr>
                <w:rFonts w:hint="eastAsia"/>
                <w:kern w:val="0"/>
                <w:sz w:val="24"/>
              </w:rPr>
            </w:pPr>
            <w:r>
              <w:rPr>
                <w:kern w:val="0"/>
                <w:sz w:val="24"/>
              </w:rPr>
              <w:t xml:space="preserve">0.25 </w:t>
            </w:r>
          </w:p>
        </w:tc>
        <w:tc>
          <w:tcPr>
            <w:tcW w:w="1134" w:type="dxa"/>
            <w:vMerge w:val="continue"/>
            <w:noWrap w:val="0"/>
            <w:vAlign w:val="center"/>
          </w:tcPr>
          <w:p w14:paraId="2C066E2C">
            <w:pPr>
              <w:widowControl/>
              <w:jc w:val="center"/>
              <w:rPr>
                <w:rFonts w:hint="eastAsia" w:ascii="宋体" w:hAnsi="宋体"/>
                <w:kern w:val="0"/>
                <w:szCs w:val="21"/>
              </w:rPr>
            </w:pPr>
          </w:p>
        </w:tc>
      </w:tr>
      <w:tr w14:paraId="3C7925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continue"/>
            <w:shd w:val="clear" w:color="auto" w:fill="auto"/>
            <w:noWrap w:val="0"/>
            <w:vAlign w:val="center"/>
          </w:tcPr>
          <w:p w14:paraId="4F5D9253">
            <w:pPr>
              <w:widowControl/>
              <w:jc w:val="center"/>
              <w:rPr>
                <w:rFonts w:hint="eastAsia" w:ascii="宋体" w:hAnsi="宋体"/>
                <w:kern w:val="0"/>
                <w:szCs w:val="21"/>
              </w:rPr>
            </w:pPr>
          </w:p>
        </w:tc>
        <w:tc>
          <w:tcPr>
            <w:tcW w:w="1816" w:type="dxa"/>
            <w:vMerge w:val="continue"/>
            <w:shd w:val="clear" w:color="auto" w:fill="auto"/>
            <w:noWrap w:val="0"/>
            <w:vAlign w:val="center"/>
          </w:tcPr>
          <w:p w14:paraId="4CF6470B">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6FBD72FE">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1616119E">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131F3DC5">
            <w:pPr>
              <w:widowControl/>
              <w:jc w:val="center"/>
              <w:rPr>
                <w:rFonts w:hint="eastAsia" w:ascii="宋体" w:hAnsi="宋体"/>
                <w:kern w:val="0"/>
                <w:szCs w:val="21"/>
              </w:rPr>
            </w:pPr>
          </w:p>
        </w:tc>
      </w:tr>
      <w:tr w14:paraId="429F7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700EA3B">
            <w:pPr>
              <w:widowControl/>
              <w:jc w:val="left"/>
              <w:rPr>
                <w:rFonts w:ascii="宋体" w:hAnsi="宋体"/>
                <w:kern w:val="0"/>
                <w:szCs w:val="21"/>
              </w:rPr>
            </w:pPr>
          </w:p>
        </w:tc>
        <w:tc>
          <w:tcPr>
            <w:tcW w:w="1816" w:type="dxa"/>
            <w:vMerge w:val="continue"/>
            <w:shd w:val="clear" w:color="auto" w:fill="auto"/>
            <w:noWrap w:val="0"/>
            <w:vAlign w:val="center"/>
          </w:tcPr>
          <w:p w14:paraId="71138CAF">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7D568A1">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7D4F0B3">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07D0A9A0">
            <w:pPr>
              <w:widowControl/>
              <w:jc w:val="center"/>
              <w:rPr>
                <w:rFonts w:hint="eastAsia" w:ascii="宋体" w:hAnsi="宋体"/>
                <w:kern w:val="0"/>
                <w:szCs w:val="21"/>
              </w:rPr>
            </w:pPr>
          </w:p>
        </w:tc>
      </w:tr>
      <w:tr w14:paraId="47BEBF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17EC6F46">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shd w:val="clear" w:color="auto" w:fill="auto"/>
            <w:noWrap w:val="0"/>
            <w:vAlign w:val="center"/>
          </w:tcPr>
          <w:p w14:paraId="0FF77060">
            <w:pPr>
              <w:widowControl/>
              <w:jc w:val="center"/>
              <w:rPr>
                <w:rFonts w:hint="eastAsia" w:ascii="宋体" w:hAnsi="宋体"/>
                <w:kern w:val="0"/>
                <w:szCs w:val="21"/>
              </w:rPr>
            </w:pPr>
            <w:r>
              <w:rPr>
                <w:rFonts w:ascii="宋体" w:hAnsi="宋体"/>
                <w:kern w:val="0"/>
                <w:szCs w:val="21"/>
              </w:rPr>
              <w:t>30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571AE723">
            <w:pPr>
              <w:widowControl/>
              <w:spacing w:line="276" w:lineRule="auto"/>
              <w:rPr>
                <w:rFonts w:ascii="宋体" w:hAnsi="宋体" w:cs="宋体"/>
                <w:kern w:val="0"/>
                <w:sz w:val="24"/>
              </w:rPr>
            </w:pPr>
            <w:r>
              <w:rPr>
                <w:rFonts w:hint="eastAsia" w:ascii="宋体" w:hAnsi="宋体" w:cs="宋体"/>
                <w:kern w:val="0"/>
                <w:sz w:val="24"/>
              </w:rPr>
              <w:t>作业1</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053E6925">
            <w:pPr>
              <w:widowControl/>
              <w:spacing w:line="276" w:lineRule="auto"/>
              <w:jc w:val="center"/>
              <w:rPr>
                <w:rFonts w:hint="eastAsia"/>
                <w:kern w:val="0"/>
                <w:sz w:val="24"/>
              </w:rPr>
            </w:pPr>
            <w:r>
              <w:rPr>
                <w:kern w:val="0"/>
                <w:sz w:val="24"/>
              </w:rPr>
              <w:t xml:space="preserve">0.10 </w:t>
            </w:r>
          </w:p>
        </w:tc>
        <w:tc>
          <w:tcPr>
            <w:tcW w:w="1134" w:type="dxa"/>
            <w:vMerge w:val="restart"/>
            <w:noWrap w:val="0"/>
            <w:vAlign w:val="center"/>
          </w:tcPr>
          <w:p w14:paraId="4D30884B">
            <w:pPr>
              <w:widowControl/>
              <w:jc w:val="center"/>
              <w:rPr>
                <w:rFonts w:hint="eastAsia" w:ascii="宋体" w:hAnsi="宋体"/>
                <w:kern w:val="0"/>
                <w:szCs w:val="21"/>
              </w:rPr>
            </w:pPr>
            <w:r>
              <w:rPr>
                <w:rFonts w:hint="eastAsia" w:ascii="宋体" w:hAnsi="宋体"/>
                <w:kern w:val="0"/>
                <w:szCs w:val="21"/>
              </w:rPr>
              <w:t>100%</w:t>
            </w:r>
          </w:p>
        </w:tc>
      </w:tr>
      <w:tr w14:paraId="299434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5561707">
            <w:pPr>
              <w:widowControl/>
              <w:jc w:val="left"/>
              <w:rPr>
                <w:rFonts w:ascii="宋体" w:hAnsi="宋体"/>
                <w:kern w:val="0"/>
                <w:szCs w:val="21"/>
              </w:rPr>
            </w:pPr>
          </w:p>
        </w:tc>
        <w:tc>
          <w:tcPr>
            <w:tcW w:w="1816" w:type="dxa"/>
            <w:vMerge w:val="continue"/>
            <w:shd w:val="clear" w:color="auto" w:fill="auto"/>
            <w:noWrap w:val="0"/>
            <w:vAlign w:val="center"/>
          </w:tcPr>
          <w:p w14:paraId="55CDCDF1">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C1E7B84">
            <w:pPr>
              <w:widowControl/>
              <w:spacing w:line="276" w:lineRule="auto"/>
              <w:rPr>
                <w:rFonts w:ascii="宋体" w:hAnsi="宋体" w:cs="宋体"/>
                <w:kern w:val="0"/>
                <w:sz w:val="24"/>
              </w:rPr>
            </w:pPr>
            <w:r>
              <w:rPr>
                <w:rFonts w:hint="eastAsia" w:ascii="宋体" w:hAnsi="宋体" w:cs="宋体"/>
                <w:kern w:val="0"/>
                <w:sz w:val="24"/>
              </w:rPr>
              <w:t>作业3</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54FC188C">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3DD6F49C">
            <w:pPr>
              <w:widowControl/>
              <w:jc w:val="center"/>
              <w:rPr>
                <w:rFonts w:hint="eastAsia" w:ascii="宋体" w:hAnsi="宋体"/>
                <w:kern w:val="0"/>
                <w:szCs w:val="21"/>
              </w:rPr>
            </w:pPr>
          </w:p>
        </w:tc>
      </w:tr>
      <w:tr w14:paraId="5765F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1F90451">
            <w:pPr>
              <w:widowControl/>
              <w:jc w:val="left"/>
              <w:rPr>
                <w:rFonts w:ascii="宋体" w:hAnsi="宋体"/>
                <w:kern w:val="0"/>
                <w:szCs w:val="21"/>
              </w:rPr>
            </w:pPr>
          </w:p>
        </w:tc>
        <w:tc>
          <w:tcPr>
            <w:tcW w:w="1816" w:type="dxa"/>
            <w:vMerge w:val="continue"/>
            <w:shd w:val="clear" w:color="auto" w:fill="auto"/>
            <w:noWrap w:val="0"/>
            <w:vAlign w:val="center"/>
          </w:tcPr>
          <w:p w14:paraId="410A6B46">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AC2002F">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5EE67783">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08CC0FD2">
            <w:pPr>
              <w:widowControl/>
              <w:jc w:val="center"/>
              <w:rPr>
                <w:rFonts w:hint="eastAsia" w:ascii="宋体" w:hAnsi="宋体"/>
                <w:kern w:val="0"/>
                <w:szCs w:val="21"/>
              </w:rPr>
            </w:pPr>
          </w:p>
        </w:tc>
      </w:tr>
      <w:tr w14:paraId="19EA8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F420167">
            <w:pPr>
              <w:widowControl/>
              <w:jc w:val="left"/>
              <w:rPr>
                <w:rFonts w:ascii="宋体" w:hAnsi="宋体"/>
                <w:kern w:val="0"/>
                <w:szCs w:val="21"/>
              </w:rPr>
            </w:pPr>
          </w:p>
        </w:tc>
        <w:tc>
          <w:tcPr>
            <w:tcW w:w="1816" w:type="dxa"/>
            <w:vMerge w:val="continue"/>
            <w:shd w:val="clear" w:color="auto" w:fill="auto"/>
            <w:noWrap w:val="0"/>
            <w:vAlign w:val="center"/>
          </w:tcPr>
          <w:p w14:paraId="3BAAEA54">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41EB427">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4014C343">
            <w:pPr>
              <w:widowControl/>
              <w:spacing w:line="276" w:lineRule="auto"/>
              <w:jc w:val="center"/>
              <w:rPr>
                <w:rFonts w:hint="eastAsia"/>
                <w:kern w:val="0"/>
                <w:sz w:val="24"/>
              </w:rPr>
            </w:pPr>
            <w:r>
              <w:rPr>
                <w:kern w:val="0"/>
                <w:sz w:val="24"/>
              </w:rPr>
              <w:t xml:space="preserve">0.20 </w:t>
            </w:r>
          </w:p>
        </w:tc>
        <w:tc>
          <w:tcPr>
            <w:tcW w:w="1134" w:type="dxa"/>
            <w:vMerge w:val="continue"/>
            <w:noWrap w:val="0"/>
            <w:vAlign w:val="center"/>
          </w:tcPr>
          <w:p w14:paraId="015D6446">
            <w:pPr>
              <w:widowControl/>
              <w:jc w:val="center"/>
              <w:rPr>
                <w:rFonts w:hint="eastAsia" w:ascii="宋体" w:hAnsi="宋体"/>
                <w:kern w:val="0"/>
                <w:szCs w:val="21"/>
              </w:rPr>
            </w:pPr>
          </w:p>
        </w:tc>
      </w:tr>
      <w:tr w14:paraId="463CAF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2486564A">
            <w:pPr>
              <w:widowControl/>
              <w:jc w:val="left"/>
              <w:rPr>
                <w:rFonts w:ascii="宋体" w:hAnsi="宋体"/>
                <w:kern w:val="0"/>
                <w:szCs w:val="21"/>
              </w:rPr>
            </w:pPr>
          </w:p>
        </w:tc>
        <w:tc>
          <w:tcPr>
            <w:tcW w:w="1816" w:type="dxa"/>
            <w:vMerge w:val="continue"/>
            <w:shd w:val="clear" w:color="auto" w:fill="auto"/>
            <w:noWrap w:val="0"/>
            <w:vAlign w:val="center"/>
          </w:tcPr>
          <w:p w14:paraId="6EDAF299">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109B187E">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80DAE0F">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7F6AEEE1">
            <w:pPr>
              <w:widowControl/>
              <w:jc w:val="center"/>
              <w:rPr>
                <w:rFonts w:hint="eastAsia" w:ascii="宋体" w:hAnsi="宋体"/>
                <w:kern w:val="0"/>
                <w:szCs w:val="21"/>
              </w:rPr>
            </w:pPr>
          </w:p>
        </w:tc>
      </w:tr>
      <w:tr w14:paraId="122AA5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3F93FC0E">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shd w:val="clear" w:color="auto" w:fill="auto"/>
            <w:noWrap w:val="0"/>
            <w:vAlign w:val="center"/>
          </w:tcPr>
          <w:p w14:paraId="693BD221">
            <w:pPr>
              <w:widowControl/>
              <w:jc w:val="center"/>
              <w:rPr>
                <w:rFonts w:hint="eastAsia" w:ascii="宋体" w:hAnsi="宋体"/>
                <w:kern w:val="0"/>
                <w:szCs w:val="21"/>
              </w:rPr>
            </w:pPr>
            <w:r>
              <w:rPr>
                <w:rFonts w:ascii="宋体" w:hAnsi="宋体"/>
                <w:kern w:val="0"/>
                <w:szCs w:val="21"/>
              </w:rPr>
              <w:t>40</w:t>
            </w:r>
            <w:r>
              <w:rPr>
                <w:rFonts w:hint="eastAsia" w:ascii="宋体" w:hAnsi="宋体"/>
                <w:kern w:val="0"/>
                <w:szCs w:val="21"/>
              </w:rPr>
              <w:t>%</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6391F050">
            <w:pPr>
              <w:widowControl/>
              <w:spacing w:line="276" w:lineRule="auto"/>
              <w:rPr>
                <w:rFonts w:ascii="宋体" w:hAnsi="宋体" w:cs="宋体"/>
                <w:kern w:val="0"/>
                <w:sz w:val="24"/>
              </w:rPr>
            </w:pPr>
            <w:r>
              <w:rPr>
                <w:rFonts w:hint="eastAsia" w:ascii="宋体" w:hAnsi="宋体" w:cs="宋体"/>
                <w:kern w:val="0"/>
                <w:sz w:val="24"/>
              </w:rPr>
              <w:t>作业4</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134DC59A">
            <w:pPr>
              <w:widowControl/>
              <w:spacing w:line="276" w:lineRule="auto"/>
              <w:jc w:val="center"/>
              <w:rPr>
                <w:rFonts w:hint="eastAsia"/>
                <w:kern w:val="0"/>
                <w:sz w:val="24"/>
              </w:rPr>
            </w:pPr>
            <w:r>
              <w:rPr>
                <w:kern w:val="0"/>
                <w:sz w:val="24"/>
              </w:rPr>
              <w:t xml:space="preserve">0.10 </w:t>
            </w:r>
          </w:p>
        </w:tc>
        <w:tc>
          <w:tcPr>
            <w:tcW w:w="1134" w:type="dxa"/>
            <w:vMerge w:val="restart"/>
            <w:noWrap w:val="0"/>
            <w:vAlign w:val="center"/>
          </w:tcPr>
          <w:p w14:paraId="31518F3B">
            <w:pPr>
              <w:widowControl/>
              <w:jc w:val="center"/>
              <w:rPr>
                <w:rFonts w:hint="eastAsia" w:ascii="宋体" w:hAnsi="宋体"/>
                <w:kern w:val="0"/>
                <w:szCs w:val="21"/>
              </w:rPr>
            </w:pPr>
            <w:r>
              <w:rPr>
                <w:rFonts w:hint="eastAsia" w:ascii="宋体" w:hAnsi="宋体"/>
                <w:kern w:val="0"/>
                <w:szCs w:val="21"/>
              </w:rPr>
              <w:t>100%</w:t>
            </w:r>
          </w:p>
        </w:tc>
      </w:tr>
      <w:tr w14:paraId="56318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4D40FBD">
            <w:pPr>
              <w:widowControl/>
              <w:jc w:val="left"/>
              <w:rPr>
                <w:rFonts w:ascii="宋体" w:hAnsi="宋体"/>
                <w:kern w:val="0"/>
                <w:szCs w:val="21"/>
              </w:rPr>
            </w:pPr>
          </w:p>
        </w:tc>
        <w:tc>
          <w:tcPr>
            <w:tcW w:w="1816" w:type="dxa"/>
            <w:vMerge w:val="continue"/>
            <w:shd w:val="clear" w:color="auto" w:fill="auto"/>
            <w:noWrap w:val="0"/>
            <w:vAlign w:val="center"/>
          </w:tcPr>
          <w:p w14:paraId="17AD87D4">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47B9929A">
            <w:pPr>
              <w:widowControl/>
              <w:spacing w:line="276" w:lineRule="auto"/>
              <w:rPr>
                <w:rFonts w:ascii="宋体" w:hAnsi="宋体" w:cs="宋体"/>
                <w:kern w:val="0"/>
                <w:sz w:val="24"/>
              </w:rPr>
            </w:pPr>
            <w:r>
              <w:rPr>
                <w:rFonts w:hint="eastAsia" w:ascii="宋体" w:hAnsi="宋体" w:cs="宋体"/>
                <w:kern w:val="0"/>
                <w:sz w:val="24"/>
              </w:rPr>
              <w:t>作业5</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30EF359">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105DA990">
            <w:pPr>
              <w:widowControl/>
              <w:jc w:val="center"/>
              <w:rPr>
                <w:rFonts w:hint="eastAsia" w:ascii="宋体" w:hAnsi="宋体"/>
                <w:kern w:val="0"/>
                <w:szCs w:val="21"/>
              </w:rPr>
            </w:pPr>
          </w:p>
        </w:tc>
      </w:tr>
      <w:tr w14:paraId="71ED0C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72F5E54">
            <w:pPr>
              <w:widowControl/>
              <w:jc w:val="left"/>
              <w:rPr>
                <w:rFonts w:ascii="宋体" w:hAnsi="宋体"/>
                <w:kern w:val="0"/>
                <w:szCs w:val="21"/>
              </w:rPr>
            </w:pPr>
          </w:p>
        </w:tc>
        <w:tc>
          <w:tcPr>
            <w:tcW w:w="1816" w:type="dxa"/>
            <w:vMerge w:val="continue"/>
            <w:shd w:val="clear" w:color="auto" w:fill="auto"/>
            <w:noWrap w:val="0"/>
            <w:vAlign w:val="center"/>
          </w:tcPr>
          <w:p w14:paraId="038B2617">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E919BF3">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6F6736D">
            <w:pPr>
              <w:widowControl/>
              <w:spacing w:line="276" w:lineRule="auto"/>
              <w:jc w:val="center"/>
              <w:rPr>
                <w:rFonts w:hint="eastAsia"/>
                <w:kern w:val="0"/>
                <w:sz w:val="24"/>
              </w:rPr>
            </w:pPr>
            <w:r>
              <w:rPr>
                <w:kern w:val="0"/>
                <w:sz w:val="24"/>
              </w:rPr>
              <w:t xml:space="preserve">0.10 </w:t>
            </w:r>
          </w:p>
        </w:tc>
        <w:tc>
          <w:tcPr>
            <w:tcW w:w="1134" w:type="dxa"/>
            <w:vMerge w:val="continue"/>
            <w:noWrap w:val="0"/>
            <w:vAlign w:val="center"/>
          </w:tcPr>
          <w:p w14:paraId="268A515C">
            <w:pPr>
              <w:widowControl/>
              <w:jc w:val="center"/>
              <w:rPr>
                <w:rFonts w:hint="eastAsia" w:ascii="宋体" w:hAnsi="宋体"/>
                <w:kern w:val="0"/>
                <w:szCs w:val="21"/>
              </w:rPr>
            </w:pPr>
          </w:p>
        </w:tc>
      </w:tr>
      <w:tr w14:paraId="123ABA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3A274FBC">
            <w:pPr>
              <w:widowControl/>
              <w:jc w:val="left"/>
              <w:rPr>
                <w:rFonts w:ascii="宋体" w:hAnsi="宋体"/>
                <w:kern w:val="0"/>
                <w:szCs w:val="21"/>
              </w:rPr>
            </w:pPr>
          </w:p>
        </w:tc>
        <w:tc>
          <w:tcPr>
            <w:tcW w:w="1816" w:type="dxa"/>
            <w:vMerge w:val="continue"/>
            <w:shd w:val="clear" w:color="auto" w:fill="auto"/>
            <w:noWrap w:val="0"/>
            <w:vAlign w:val="center"/>
          </w:tcPr>
          <w:p w14:paraId="14C245B4">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D558EB9">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37F1B9E">
            <w:pPr>
              <w:widowControl/>
              <w:spacing w:line="276" w:lineRule="auto"/>
              <w:jc w:val="center"/>
              <w:rPr>
                <w:rFonts w:hint="eastAsia"/>
                <w:kern w:val="0"/>
                <w:sz w:val="24"/>
              </w:rPr>
            </w:pPr>
            <w:r>
              <w:rPr>
                <w:kern w:val="0"/>
                <w:sz w:val="24"/>
              </w:rPr>
              <w:t xml:space="preserve">0.20 </w:t>
            </w:r>
          </w:p>
        </w:tc>
        <w:tc>
          <w:tcPr>
            <w:tcW w:w="1134" w:type="dxa"/>
            <w:vMerge w:val="continue"/>
            <w:noWrap w:val="0"/>
            <w:vAlign w:val="center"/>
          </w:tcPr>
          <w:p w14:paraId="0A1353A2">
            <w:pPr>
              <w:widowControl/>
              <w:jc w:val="center"/>
              <w:rPr>
                <w:rFonts w:hint="eastAsia" w:ascii="宋体" w:hAnsi="宋体"/>
                <w:kern w:val="0"/>
                <w:szCs w:val="21"/>
              </w:rPr>
            </w:pPr>
          </w:p>
        </w:tc>
      </w:tr>
      <w:tr w14:paraId="169345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855B3C7">
            <w:pPr>
              <w:widowControl/>
              <w:jc w:val="left"/>
              <w:rPr>
                <w:rFonts w:ascii="宋体" w:hAnsi="宋体"/>
                <w:kern w:val="0"/>
                <w:szCs w:val="21"/>
              </w:rPr>
            </w:pPr>
          </w:p>
        </w:tc>
        <w:tc>
          <w:tcPr>
            <w:tcW w:w="1816" w:type="dxa"/>
            <w:vMerge w:val="continue"/>
            <w:shd w:val="clear" w:color="auto" w:fill="auto"/>
            <w:noWrap w:val="0"/>
            <w:vAlign w:val="center"/>
          </w:tcPr>
          <w:p w14:paraId="0650A76F">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5F04B6B5">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7CB0DD7E">
            <w:pPr>
              <w:widowControl/>
              <w:spacing w:line="276" w:lineRule="auto"/>
              <w:jc w:val="center"/>
              <w:rPr>
                <w:rFonts w:hint="eastAsia"/>
                <w:kern w:val="0"/>
                <w:sz w:val="24"/>
              </w:rPr>
            </w:pPr>
            <w:r>
              <w:rPr>
                <w:kern w:val="0"/>
                <w:sz w:val="24"/>
              </w:rPr>
              <w:t xml:space="preserve">0.50 </w:t>
            </w:r>
          </w:p>
        </w:tc>
        <w:tc>
          <w:tcPr>
            <w:tcW w:w="1134" w:type="dxa"/>
            <w:vMerge w:val="continue"/>
            <w:noWrap w:val="0"/>
            <w:vAlign w:val="center"/>
          </w:tcPr>
          <w:p w14:paraId="465078E2">
            <w:pPr>
              <w:widowControl/>
              <w:jc w:val="center"/>
              <w:rPr>
                <w:rFonts w:hint="eastAsia" w:ascii="宋体" w:hAnsi="宋体"/>
                <w:kern w:val="0"/>
                <w:szCs w:val="21"/>
              </w:rPr>
            </w:pPr>
          </w:p>
        </w:tc>
      </w:tr>
      <w:tr w14:paraId="099F5A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522AE770">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shd w:val="clear" w:color="auto" w:fill="auto"/>
            <w:noWrap w:val="0"/>
            <w:vAlign w:val="center"/>
          </w:tcPr>
          <w:p w14:paraId="07DB4EEB">
            <w:pPr>
              <w:widowControl/>
              <w:jc w:val="center"/>
              <w:rPr>
                <w:rFonts w:hint="eastAsia" w:ascii="宋体" w:hAnsi="宋体"/>
                <w:kern w:val="0"/>
                <w:szCs w:val="21"/>
              </w:rPr>
            </w:pPr>
            <w:r>
              <w:rPr>
                <w:rFonts w:ascii="宋体" w:hAnsi="宋体"/>
                <w:kern w:val="0"/>
                <w:szCs w:val="21"/>
              </w:rPr>
              <w:t>1</w:t>
            </w:r>
            <w:r>
              <w:rPr>
                <w:rFonts w:hint="eastAsia" w:ascii="宋体" w:hAnsi="宋体"/>
                <w:kern w:val="0"/>
                <w:szCs w:val="21"/>
              </w:rPr>
              <w:t>0%</w:t>
            </w: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7504DE0D">
            <w:pPr>
              <w:widowControl/>
              <w:spacing w:line="276" w:lineRule="auto"/>
              <w:rPr>
                <w:rFonts w:ascii="宋体" w:hAnsi="宋体" w:cs="宋体"/>
                <w:kern w:val="0"/>
                <w:sz w:val="24"/>
              </w:rPr>
            </w:pPr>
            <w:r>
              <w:rPr>
                <w:rFonts w:hint="eastAsia" w:ascii="宋体" w:hAnsi="宋体" w:cs="宋体"/>
                <w:kern w:val="0"/>
                <w:sz w:val="24"/>
              </w:rPr>
              <w:t>作业5</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68884215">
            <w:pPr>
              <w:widowControl/>
              <w:spacing w:line="276" w:lineRule="auto"/>
              <w:jc w:val="center"/>
              <w:rPr>
                <w:rFonts w:hint="eastAsia"/>
                <w:kern w:val="0"/>
                <w:sz w:val="24"/>
              </w:rPr>
            </w:pPr>
            <w:r>
              <w:rPr>
                <w:kern w:val="0"/>
                <w:sz w:val="24"/>
              </w:rPr>
              <w:t xml:space="preserve">0.15 </w:t>
            </w:r>
          </w:p>
        </w:tc>
        <w:tc>
          <w:tcPr>
            <w:tcW w:w="1134" w:type="dxa"/>
            <w:vMerge w:val="restart"/>
            <w:noWrap w:val="0"/>
            <w:vAlign w:val="center"/>
          </w:tcPr>
          <w:p w14:paraId="434F4FE0">
            <w:pPr>
              <w:widowControl/>
              <w:jc w:val="center"/>
              <w:rPr>
                <w:rFonts w:hint="eastAsia" w:ascii="宋体" w:hAnsi="宋体"/>
                <w:kern w:val="0"/>
                <w:szCs w:val="21"/>
              </w:rPr>
            </w:pPr>
            <w:r>
              <w:rPr>
                <w:rFonts w:hint="eastAsia" w:ascii="宋体" w:hAnsi="宋体"/>
                <w:kern w:val="0"/>
                <w:szCs w:val="21"/>
              </w:rPr>
              <w:t>100%</w:t>
            </w:r>
          </w:p>
        </w:tc>
      </w:tr>
      <w:tr w14:paraId="36E158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F660427">
            <w:pPr>
              <w:widowControl/>
              <w:jc w:val="center"/>
              <w:rPr>
                <w:rFonts w:hint="eastAsia" w:ascii="宋体" w:hAnsi="宋体"/>
                <w:kern w:val="0"/>
                <w:szCs w:val="21"/>
              </w:rPr>
            </w:pPr>
          </w:p>
        </w:tc>
        <w:tc>
          <w:tcPr>
            <w:tcW w:w="1816" w:type="dxa"/>
            <w:vMerge w:val="continue"/>
            <w:shd w:val="clear" w:color="auto" w:fill="auto"/>
            <w:noWrap w:val="0"/>
            <w:vAlign w:val="center"/>
          </w:tcPr>
          <w:p w14:paraId="4C046D73">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30782B79">
            <w:pPr>
              <w:widowControl/>
              <w:spacing w:line="276" w:lineRule="auto"/>
              <w:rPr>
                <w:rFonts w:ascii="宋体" w:hAnsi="宋体" w:cs="宋体"/>
                <w:kern w:val="0"/>
                <w:sz w:val="24"/>
              </w:rPr>
            </w:pPr>
            <w:r>
              <w:rPr>
                <w:rFonts w:hint="eastAsia" w:ascii="宋体" w:hAnsi="宋体" w:cs="宋体"/>
                <w:kern w:val="0"/>
                <w:sz w:val="24"/>
              </w:rPr>
              <w:t>课堂互动</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28F4DE7D">
            <w:pPr>
              <w:widowControl/>
              <w:spacing w:line="276" w:lineRule="auto"/>
              <w:jc w:val="center"/>
              <w:rPr>
                <w:rFonts w:hint="eastAsia"/>
                <w:kern w:val="0"/>
                <w:sz w:val="24"/>
              </w:rPr>
            </w:pPr>
            <w:r>
              <w:rPr>
                <w:kern w:val="0"/>
                <w:sz w:val="24"/>
              </w:rPr>
              <w:t xml:space="preserve">0.15 </w:t>
            </w:r>
          </w:p>
        </w:tc>
        <w:tc>
          <w:tcPr>
            <w:tcW w:w="1134" w:type="dxa"/>
            <w:vMerge w:val="continue"/>
            <w:noWrap w:val="0"/>
            <w:vAlign w:val="center"/>
          </w:tcPr>
          <w:p w14:paraId="65FA4BFE">
            <w:pPr>
              <w:widowControl/>
              <w:jc w:val="center"/>
              <w:rPr>
                <w:rFonts w:hint="eastAsia" w:ascii="宋体" w:hAnsi="宋体"/>
                <w:kern w:val="0"/>
                <w:szCs w:val="21"/>
              </w:rPr>
            </w:pPr>
          </w:p>
        </w:tc>
      </w:tr>
      <w:tr w14:paraId="6F150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CA2A8AC">
            <w:pPr>
              <w:widowControl/>
              <w:jc w:val="center"/>
              <w:rPr>
                <w:rFonts w:hint="eastAsia" w:ascii="宋体" w:hAnsi="宋体"/>
                <w:kern w:val="0"/>
                <w:szCs w:val="21"/>
              </w:rPr>
            </w:pPr>
          </w:p>
        </w:tc>
        <w:tc>
          <w:tcPr>
            <w:tcW w:w="1816" w:type="dxa"/>
            <w:vMerge w:val="continue"/>
            <w:shd w:val="clear" w:color="auto" w:fill="auto"/>
            <w:noWrap w:val="0"/>
            <w:vAlign w:val="center"/>
          </w:tcPr>
          <w:p w14:paraId="4EB872A4">
            <w:pPr>
              <w:widowControl/>
              <w:jc w:val="center"/>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612416BB">
            <w:pPr>
              <w:widowControl/>
              <w:spacing w:line="276" w:lineRule="auto"/>
              <w:rPr>
                <w:rFonts w:ascii="宋体" w:hAnsi="宋体" w:cs="宋体"/>
                <w:kern w:val="0"/>
                <w:sz w:val="24"/>
              </w:rPr>
            </w:pPr>
            <w:r>
              <w:rPr>
                <w:rFonts w:hint="eastAsia" w:ascii="宋体" w:hAnsi="宋体" w:cs="宋体"/>
                <w:kern w:val="0"/>
                <w:sz w:val="24"/>
              </w:rPr>
              <w:t>课内实践</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7268649C">
            <w:pPr>
              <w:widowControl/>
              <w:spacing w:line="276" w:lineRule="auto"/>
              <w:jc w:val="center"/>
              <w:rPr>
                <w:rFonts w:hint="eastAsia"/>
                <w:kern w:val="0"/>
                <w:sz w:val="24"/>
              </w:rPr>
            </w:pPr>
            <w:r>
              <w:rPr>
                <w:kern w:val="0"/>
                <w:sz w:val="24"/>
              </w:rPr>
              <w:t xml:space="preserve">0.30 </w:t>
            </w:r>
          </w:p>
        </w:tc>
        <w:tc>
          <w:tcPr>
            <w:tcW w:w="1134" w:type="dxa"/>
            <w:vMerge w:val="continue"/>
            <w:noWrap w:val="0"/>
            <w:vAlign w:val="center"/>
          </w:tcPr>
          <w:p w14:paraId="03A38E99">
            <w:pPr>
              <w:widowControl/>
              <w:jc w:val="center"/>
              <w:rPr>
                <w:rFonts w:hint="eastAsia" w:ascii="宋体" w:hAnsi="宋体"/>
                <w:kern w:val="0"/>
                <w:szCs w:val="21"/>
              </w:rPr>
            </w:pPr>
          </w:p>
        </w:tc>
      </w:tr>
      <w:tr w14:paraId="272F51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5C12186">
            <w:pPr>
              <w:widowControl/>
              <w:jc w:val="left"/>
              <w:rPr>
                <w:rFonts w:ascii="宋体" w:hAnsi="宋体"/>
                <w:kern w:val="0"/>
                <w:szCs w:val="21"/>
              </w:rPr>
            </w:pPr>
          </w:p>
        </w:tc>
        <w:tc>
          <w:tcPr>
            <w:tcW w:w="1816" w:type="dxa"/>
            <w:vMerge w:val="continue"/>
            <w:shd w:val="clear" w:color="auto" w:fill="auto"/>
            <w:noWrap w:val="0"/>
            <w:vAlign w:val="center"/>
          </w:tcPr>
          <w:p w14:paraId="683C34D7">
            <w:pPr>
              <w:widowControl/>
              <w:jc w:val="left"/>
              <w:rPr>
                <w:rFonts w:ascii="宋体" w:hAnsi="宋体"/>
                <w:kern w:val="0"/>
                <w:szCs w:val="21"/>
              </w:rPr>
            </w:pPr>
          </w:p>
        </w:tc>
        <w:tc>
          <w:tcPr>
            <w:tcW w:w="2196" w:type="dxa"/>
            <w:tcBorders>
              <w:top w:val="single" w:color="auto" w:sz="8" w:space="0"/>
              <w:left w:val="nil"/>
              <w:bottom w:val="single" w:color="auto" w:sz="8" w:space="0"/>
              <w:right w:val="single" w:color="auto" w:sz="8" w:space="0"/>
            </w:tcBorders>
            <w:shd w:val="clear" w:color="auto" w:fill="FFFFFF"/>
            <w:noWrap w:val="0"/>
            <w:vAlign w:val="center"/>
          </w:tcPr>
          <w:p w14:paraId="2FC48F2C">
            <w:pPr>
              <w:widowControl/>
              <w:spacing w:line="276" w:lineRule="auto"/>
              <w:rPr>
                <w:rFonts w:ascii="宋体" w:hAnsi="宋体" w:cs="宋体"/>
                <w:kern w:val="0"/>
                <w:sz w:val="24"/>
              </w:rPr>
            </w:pPr>
            <w:r>
              <w:rPr>
                <w:rFonts w:hint="eastAsia" w:ascii="宋体" w:hAnsi="宋体" w:cs="宋体"/>
                <w:kern w:val="0"/>
                <w:sz w:val="24"/>
              </w:rPr>
              <w:t>期末考试</w:t>
            </w:r>
          </w:p>
        </w:tc>
        <w:tc>
          <w:tcPr>
            <w:tcW w:w="1843" w:type="dxa"/>
            <w:tcBorders>
              <w:top w:val="single" w:color="auto" w:sz="8" w:space="0"/>
              <w:left w:val="nil"/>
              <w:bottom w:val="single" w:color="auto" w:sz="8" w:space="0"/>
              <w:right w:val="single" w:color="auto" w:sz="8" w:space="0"/>
            </w:tcBorders>
            <w:shd w:val="clear" w:color="auto" w:fill="FFFFFF"/>
            <w:noWrap w:val="0"/>
            <w:vAlign w:val="center"/>
          </w:tcPr>
          <w:p w14:paraId="561360F8">
            <w:pPr>
              <w:widowControl/>
              <w:spacing w:line="276" w:lineRule="auto"/>
              <w:jc w:val="center"/>
              <w:rPr>
                <w:rFonts w:hint="eastAsia"/>
                <w:kern w:val="0"/>
                <w:sz w:val="24"/>
              </w:rPr>
            </w:pPr>
            <w:r>
              <w:rPr>
                <w:kern w:val="0"/>
                <w:sz w:val="24"/>
              </w:rPr>
              <w:t xml:space="preserve">0.40 </w:t>
            </w:r>
          </w:p>
        </w:tc>
        <w:tc>
          <w:tcPr>
            <w:tcW w:w="1134" w:type="dxa"/>
            <w:vMerge w:val="continue"/>
            <w:noWrap w:val="0"/>
            <w:vAlign w:val="top"/>
          </w:tcPr>
          <w:p w14:paraId="0D7ED94F">
            <w:pPr>
              <w:widowControl/>
              <w:jc w:val="center"/>
              <w:rPr>
                <w:rFonts w:hint="eastAsia" w:ascii="宋体" w:hAnsi="宋体"/>
                <w:kern w:val="0"/>
                <w:szCs w:val="21"/>
              </w:rPr>
            </w:pPr>
          </w:p>
        </w:tc>
      </w:tr>
      <w:tr w14:paraId="59C90C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trPr>
        <w:tc>
          <w:tcPr>
            <w:tcW w:w="2048" w:type="dxa"/>
            <w:shd w:val="clear" w:color="auto" w:fill="auto"/>
            <w:noWrap w:val="0"/>
            <w:vAlign w:val="center"/>
          </w:tcPr>
          <w:p w14:paraId="71DCDE42">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shd w:val="clear" w:color="auto" w:fill="auto"/>
            <w:noWrap w:val="0"/>
            <w:vAlign w:val="center"/>
          </w:tcPr>
          <w:p w14:paraId="1A3DC150">
            <w:pPr>
              <w:widowControl/>
              <w:jc w:val="center"/>
              <w:rPr>
                <w:rFonts w:hint="eastAsia" w:ascii="宋体" w:hAnsi="宋体"/>
                <w:kern w:val="0"/>
                <w:szCs w:val="21"/>
              </w:rPr>
            </w:pPr>
            <w:r>
              <w:rPr>
                <w:rFonts w:hint="eastAsia" w:ascii="宋体" w:hAnsi="宋体"/>
                <w:kern w:val="0"/>
                <w:szCs w:val="21"/>
              </w:rPr>
              <w:t>100%</w:t>
            </w:r>
          </w:p>
        </w:tc>
        <w:tc>
          <w:tcPr>
            <w:tcW w:w="5173" w:type="dxa"/>
            <w:gridSpan w:val="3"/>
            <w:shd w:val="clear" w:color="auto" w:fill="auto"/>
            <w:noWrap w:val="0"/>
            <w:vAlign w:val="center"/>
          </w:tcPr>
          <w:p w14:paraId="6F1146E5">
            <w:pPr>
              <w:widowControl/>
              <w:jc w:val="center"/>
              <w:rPr>
                <w:rFonts w:hint="eastAsia" w:ascii="宋体" w:hAnsi="宋体"/>
                <w:kern w:val="0"/>
                <w:szCs w:val="21"/>
              </w:rPr>
            </w:pPr>
          </w:p>
        </w:tc>
      </w:tr>
    </w:tbl>
    <w:p w14:paraId="28D7493C">
      <w:pPr>
        <w:spacing w:line="360" w:lineRule="auto"/>
        <w:ind w:firstLine="480"/>
        <w:rPr>
          <w:rFonts w:ascii="宋体" w:hAnsi="宋体"/>
          <w:sz w:val="24"/>
          <w:szCs w:val="22"/>
        </w:rPr>
      </w:pPr>
    </w:p>
    <w:p w14:paraId="1691CF6C">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6E8BC598">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7AC82775">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116E6C92">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27DFD06F">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26955249">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本课程根据学生作业、课堂讨论、实践环节和学生、教学督导等的反馈，及时对教学中的不足之处进行改进，并在下一轮课程教学中整改完善，确保相应毕业要求指标点达成。</w:t>
      </w:r>
    </w:p>
    <w:p w14:paraId="1EED8B0D">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3484450F">
      <w:pPr>
        <w:spacing w:line="360" w:lineRule="auto"/>
        <w:ind w:firstLine="480" w:firstLineChars="200"/>
        <w:rPr>
          <w:rFonts w:ascii="宋体" w:hAnsi="宋体"/>
          <w:sz w:val="24"/>
          <w:szCs w:val="22"/>
        </w:rPr>
      </w:pPr>
      <w:r>
        <w:rPr>
          <w:rFonts w:hint="eastAsia" w:ascii="宋体" w:hAnsi="宋体"/>
          <w:sz w:val="24"/>
          <w:szCs w:val="22"/>
        </w:rPr>
        <w:t>1．教材</w:t>
      </w:r>
    </w:p>
    <w:p w14:paraId="1806F39C">
      <w:pPr>
        <w:spacing w:line="360" w:lineRule="auto"/>
        <w:ind w:firstLine="480" w:firstLineChars="200"/>
        <w:rPr>
          <w:rFonts w:hint="eastAsia" w:ascii="宋体" w:hAnsi="宋体"/>
          <w:sz w:val="24"/>
          <w:szCs w:val="22"/>
        </w:rPr>
      </w:pPr>
      <w:r>
        <w:rPr>
          <w:rFonts w:hint="eastAsia" w:ascii="宋体" w:hAnsi="宋体"/>
          <w:sz w:val="24"/>
          <w:szCs w:val="22"/>
        </w:rPr>
        <w:t>马云鹏.小学数学教学论（第四版）.北京：人民教育出版社，2013.</w:t>
      </w:r>
    </w:p>
    <w:p w14:paraId="3B6EB01D">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2E39030F">
      <w:pPr>
        <w:spacing w:line="360" w:lineRule="auto"/>
        <w:ind w:firstLine="480" w:firstLineChars="200"/>
        <w:rPr>
          <w:rFonts w:ascii="宋体" w:hAnsi="宋体"/>
          <w:sz w:val="24"/>
          <w:szCs w:val="22"/>
        </w:rPr>
      </w:pPr>
      <w:r>
        <w:rPr>
          <w:rFonts w:hint="eastAsia" w:ascii="宋体" w:hAnsi="宋体"/>
          <w:sz w:val="24"/>
          <w:szCs w:val="22"/>
        </w:rPr>
        <w:t>[</w:t>
      </w:r>
      <w:r>
        <w:rPr>
          <w:rFonts w:ascii="宋体" w:hAnsi="宋体"/>
          <w:sz w:val="24"/>
          <w:szCs w:val="22"/>
        </w:rPr>
        <w:t>1]</w:t>
      </w:r>
      <w:r>
        <w:rPr>
          <w:rFonts w:hint="eastAsia" w:ascii="宋体" w:hAnsi="宋体"/>
          <w:sz w:val="24"/>
          <w:szCs w:val="22"/>
        </w:rPr>
        <w:t>教育部.义务教育</w:t>
      </w:r>
      <w:r>
        <w:rPr>
          <w:rFonts w:ascii="宋体" w:hAnsi="宋体"/>
          <w:sz w:val="24"/>
          <w:szCs w:val="22"/>
        </w:rPr>
        <w:t>数学课程标准</w:t>
      </w:r>
      <w:r>
        <w:rPr>
          <w:rFonts w:hint="eastAsia" w:ascii="宋体" w:hAnsi="宋体"/>
          <w:sz w:val="24"/>
          <w:szCs w:val="22"/>
        </w:rPr>
        <w:t>（2011年</w:t>
      </w:r>
      <w:r>
        <w:rPr>
          <w:rFonts w:ascii="宋体" w:hAnsi="宋体"/>
          <w:sz w:val="24"/>
          <w:szCs w:val="22"/>
        </w:rPr>
        <w:t>版）</w:t>
      </w:r>
      <w:r>
        <w:rPr>
          <w:rFonts w:hint="eastAsia" w:ascii="宋体" w:hAnsi="宋体"/>
          <w:sz w:val="24"/>
          <w:szCs w:val="22"/>
        </w:rPr>
        <w:t>.北京：北京师范</w:t>
      </w:r>
      <w:r>
        <w:rPr>
          <w:rFonts w:ascii="宋体" w:hAnsi="宋体"/>
          <w:sz w:val="24"/>
          <w:szCs w:val="22"/>
        </w:rPr>
        <w:t>大学</w:t>
      </w:r>
      <w:r>
        <w:rPr>
          <w:rFonts w:hint="eastAsia" w:ascii="宋体" w:hAnsi="宋体"/>
          <w:sz w:val="24"/>
          <w:szCs w:val="22"/>
        </w:rPr>
        <w:t>大学出版社.201</w:t>
      </w:r>
      <w:r>
        <w:rPr>
          <w:rFonts w:ascii="宋体" w:hAnsi="宋体"/>
          <w:sz w:val="24"/>
          <w:szCs w:val="22"/>
        </w:rPr>
        <w:t>2</w:t>
      </w:r>
      <w:r>
        <w:rPr>
          <w:rFonts w:hint="eastAsia" w:ascii="宋体" w:hAnsi="宋体"/>
          <w:sz w:val="24"/>
          <w:szCs w:val="22"/>
        </w:rPr>
        <w:t>.</w:t>
      </w:r>
    </w:p>
    <w:p w14:paraId="7EC694CE">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张奠宙，宋乃庆，金成梁.小学数学教学案例研究.北京:高等教育出版社，2010.</w:t>
      </w:r>
    </w:p>
    <w:p w14:paraId="7FB2E52F">
      <w:pPr>
        <w:spacing w:line="360" w:lineRule="auto"/>
        <w:ind w:firstLine="480" w:firstLineChars="200"/>
        <w:rPr>
          <w:rFonts w:ascii="宋体" w:hAnsi="宋体"/>
          <w:sz w:val="24"/>
          <w:szCs w:val="22"/>
        </w:rPr>
      </w:pPr>
      <w:r>
        <w:rPr>
          <w:rFonts w:ascii="宋体" w:hAnsi="宋体"/>
          <w:sz w:val="24"/>
          <w:szCs w:val="22"/>
        </w:rPr>
        <w:t>[3]</w:t>
      </w:r>
      <w:r>
        <w:rPr>
          <w:rFonts w:hint="eastAsia" w:ascii="宋体" w:hAnsi="宋体"/>
          <w:sz w:val="24"/>
          <w:szCs w:val="22"/>
        </w:rPr>
        <w:t>吕彬.小学数学课程教学与示例导引.北京：教育科学出版社，2014.</w:t>
      </w:r>
    </w:p>
    <w:p w14:paraId="0014439B">
      <w:pPr>
        <w:spacing w:line="360" w:lineRule="auto"/>
        <w:ind w:firstLine="480" w:firstLineChars="200"/>
        <w:rPr>
          <w:rFonts w:ascii="宋体" w:hAnsi="宋体"/>
          <w:sz w:val="24"/>
          <w:szCs w:val="22"/>
        </w:rPr>
      </w:pPr>
      <w:r>
        <w:rPr>
          <w:rFonts w:ascii="宋体" w:hAnsi="宋体"/>
          <w:sz w:val="24"/>
          <w:szCs w:val="22"/>
        </w:rPr>
        <w:t>[4]</w:t>
      </w:r>
      <w:r>
        <w:rPr>
          <w:rFonts w:hint="eastAsia" w:ascii="宋体" w:hAnsi="宋体"/>
          <w:sz w:val="24"/>
          <w:szCs w:val="22"/>
        </w:rPr>
        <w:t>沈丹丹.小学数学教学设计与案例分析.北京：中国人民大学出版社，2016.</w:t>
      </w:r>
    </w:p>
    <w:p w14:paraId="51BDF13A">
      <w:pPr>
        <w:spacing w:line="360" w:lineRule="auto"/>
        <w:ind w:firstLine="480" w:firstLineChars="200"/>
        <w:rPr>
          <w:rFonts w:ascii="宋体" w:hAnsi="宋体"/>
          <w:sz w:val="24"/>
          <w:szCs w:val="22"/>
        </w:rPr>
      </w:pPr>
      <w:r>
        <w:rPr>
          <w:rFonts w:ascii="宋体" w:hAnsi="宋体"/>
          <w:sz w:val="24"/>
          <w:szCs w:val="22"/>
        </w:rPr>
        <w:t>[5]</w:t>
      </w:r>
      <w:r>
        <w:rPr>
          <w:rFonts w:hint="eastAsia" w:ascii="宋体" w:hAnsi="宋体"/>
          <w:sz w:val="24"/>
          <w:szCs w:val="22"/>
        </w:rPr>
        <w:t>周淑红.小学数学课程与教学.北京：教育科学出版社，2013.</w:t>
      </w:r>
    </w:p>
    <w:p w14:paraId="0B0BAD62">
      <w:pPr>
        <w:spacing w:line="360" w:lineRule="auto"/>
        <w:ind w:firstLine="480" w:firstLineChars="200"/>
        <w:rPr>
          <w:rFonts w:ascii="宋体" w:hAnsi="宋体"/>
          <w:sz w:val="24"/>
          <w:szCs w:val="22"/>
        </w:rPr>
      </w:pPr>
      <w:r>
        <w:rPr>
          <w:rFonts w:ascii="宋体" w:hAnsi="宋体"/>
          <w:sz w:val="24"/>
          <w:szCs w:val="22"/>
        </w:rPr>
        <w:t>[6]</w:t>
      </w:r>
      <w:r>
        <w:rPr>
          <w:rFonts w:hint="eastAsia" w:ascii="宋体" w:hAnsi="宋体"/>
          <w:sz w:val="24"/>
          <w:szCs w:val="22"/>
        </w:rPr>
        <w:t>课程教材研究所,数学课程教材研究开发中心.小学数学教学与研究.北京:人民教育出版社，2003.</w:t>
      </w:r>
    </w:p>
    <w:p w14:paraId="5C048529">
      <w:pPr>
        <w:spacing w:line="360" w:lineRule="auto"/>
        <w:ind w:firstLine="480" w:firstLineChars="200"/>
        <w:rPr>
          <w:rFonts w:ascii="宋体" w:hAnsi="宋体"/>
          <w:sz w:val="24"/>
          <w:szCs w:val="22"/>
        </w:rPr>
      </w:pPr>
    </w:p>
    <w:p w14:paraId="19124960">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468E1A32">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3620730C">
      <w:pPr>
        <w:autoSpaceDE w:val="0"/>
        <w:autoSpaceDN w:val="0"/>
        <w:adjustRightInd w:val="0"/>
        <w:spacing w:line="360" w:lineRule="auto"/>
        <w:ind w:firstLine="5280" w:firstLineChars="2200"/>
        <w:jc w:val="left"/>
        <w:rPr>
          <w:rFonts w:hint="eastAsia"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w:t>
      </w:r>
      <w:r>
        <w:rPr>
          <w:rFonts w:ascii="宋体" w:hAnsi="宋体"/>
          <w:kern w:val="0"/>
          <w:sz w:val="24"/>
          <w:szCs w:val="21"/>
        </w:rPr>
        <w:t>建</w:t>
      </w:r>
      <w:r>
        <w:rPr>
          <w:rFonts w:hint="eastAsia" w:ascii="宋体" w:hAnsi="宋体"/>
          <w:kern w:val="0"/>
          <w:sz w:val="24"/>
          <w:szCs w:val="21"/>
        </w:rPr>
        <w:t>波</w:t>
      </w:r>
    </w:p>
    <w:p w14:paraId="78FE7C47">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w:t>
      </w:r>
      <w:r>
        <w:rPr>
          <w:rFonts w:ascii="宋体" w:hAnsi="宋体"/>
          <w:kern w:val="0"/>
          <w:sz w:val="24"/>
          <w:szCs w:val="21"/>
        </w:rPr>
        <w:t>22</w:t>
      </w:r>
      <w:r>
        <w:rPr>
          <w:rFonts w:hint="eastAsia" w:ascii="宋体" w:hAnsi="宋体"/>
          <w:kern w:val="0"/>
          <w:sz w:val="24"/>
          <w:szCs w:val="21"/>
        </w:rPr>
        <w:t>年8月</w:t>
      </w:r>
      <w:r>
        <w:rPr>
          <w:rFonts w:ascii="宋体" w:hAnsi="宋体"/>
          <w:kern w:val="0"/>
          <w:sz w:val="24"/>
          <w:szCs w:val="21"/>
        </w:rPr>
        <w:t>30</w:t>
      </w:r>
      <w:r>
        <w:rPr>
          <w:rFonts w:hint="eastAsia" w:ascii="宋体" w:hAnsi="宋体"/>
          <w:kern w:val="0"/>
          <w:sz w:val="24"/>
          <w:szCs w:val="21"/>
        </w:rPr>
        <w:t>日</w:t>
      </w:r>
    </w:p>
    <w:p w14:paraId="78B56E08">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p>
    <w:p w14:paraId="258A9734">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p>
    <w:p w14:paraId="65A4B73E">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p>
    <w:p w14:paraId="1C0EA320">
      <w:pPr>
        <w:autoSpaceDE w:val="0"/>
        <w:autoSpaceDN w:val="0"/>
        <w:adjustRightInd w:val="0"/>
        <w:spacing w:line="360" w:lineRule="auto"/>
        <w:ind w:firstLine="5280" w:firstLineChars="2200"/>
        <w:jc w:val="left"/>
        <w:rPr>
          <w:rFonts w:hint="eastAsia" w:ascii="宋体" w:hAnsi="宋体" w:eastAsia="宋体" w:cs="Times New Roman"/>
          <w:kern w:val="0"/>
          <w:sz w:val="24"/>
          <w:szCs w:val="21"/>
        </w:rPr>
      </w:pPr>
    </w:p>
    <w:p w14:paraId="622DE66A">
      <w:pPr>
        <w:autoSpaceDE w:val="0"/>
        <w:autoSpaceDN w:val="0"/>
        <w:adjustRightInd w:val="0"/>
        <w:spacing w:line="360" w:lineRule="auto"/>
        <w:jc w:val="left"/>
        <w:rPr>
          <w:rFonts w:hint="eastAsia" w:ascii="宋体" w:hAnsi="宋体" w:eastAsia="宋体" w:cs="Times New Roman"/>
          <w:kern w:val="0"/>
          <w:sz w:val="24"/>
          <w:szCs w:val="21"/>
        </w:rPr>
      </w:pPr>
    </w:p>
    <w:p w14:paraId="3D7EF9D3">
      <w:pPr>
        <w:autoSpaceDE w:val="0"/>
        <w:autoSpaceDN w:val="0"/>
        <w:adjustRightInd w:val="0"/>
        <w:spacing w:line="360" w:lineRule="auto"/>
        <w:jc w:val="left"/>
        <w:rPr>
          <w:rFonts w:hint="eastAsia" w:ascii="宋体" w:hAnsi="宋体" w:eastAsia="宋体" w:cs="Times New Roman"/>
          <w:kern w:val="0"/>
          <w:sz w:val="24"/>
          <w:szCs w:val="21"/>
        </w:rPr>
      </w:pPr>
    </w:p>
    <w:p w14:paraId="2C1C70A1">
      <w:pPr>
        <w:autoSpaceDE w:val="0"/>
        <w:autoSpaceDN w:val="0"/>
        <w:adjustRightInd w:val="0"/>
        <w:spacing w:line="360" w:lineRule="auto"/>
        <w:jc w:val="left"/>
        <w:rPr>
          <w:rFonts w:hint="eastAsia" w:ascii="宋体" w:hAnsi="宋体" w:eastAsia="宋体" w:cs="Times New Roman"/>
          <w:kern w:val="0"/>
          <w:sz w:val="24"/>
          <w:szCs w:val="21"/>
        </w:rPr>
      </w:pPr>
    </w:p>
    <w:p w14:paraId="74BA8CC6">
      <w:pPr>
        <w:autoSpaceDE w:val="0"/>
        <w:autoSpaceDN w:val="0"/>
        <w:adjustRightInd w:val="0"/>
        <w:spacing w:line="360" w:lineRule="auto"/>
        <w:jc w:val="left"/>
        <w:rPr>
          <w:rFonts w:hint="eastAsia" w:ascii="宋体" w:hAnsi="宋体" w:eastAsia="宋体" w:cs="Times New Roman"/>
          <w:kern w:val="0"/>
          <w:sz w:val="24"/>
          <w:szCs w:val="21"/>
        </w:rPr>
      </w:pPr>
    </w:p>
    <w:p w14:paraId="305F43C9">
      <w:pPr>
        <w:autoSpaceDE w:val="0"/>
        <w:autoSpaceDN w:val="0"/>
        <w:adjustRightInd w:val="0"/>
        <w:spacing w:line="360" w:lineRule="auto"/>
        <w:jc w:val="left"/>
        <w:rPr>
          <w:rFonts w:hint="eastAsia" w:ascii="宋体" w:hAnsi="宋体" w:eastAsia="宋体" w:cs="Times New Roman"/>
          <w:kern w:val="0"/>
          <w:sz w:val="24"/>
          <w:szCs w:val="21"/>
        </w:rPr>
      </w:pPr>
    </w:p>
    <w:p w14:paraId="04C506E2">
      <w:pPr>
        <w:autoSpaceDE w:val="0"/>
        <w:autoSpaceDN w:val="0"/>
        <w:adjustRightInd w:val="0"/>
        <w:spacing w:line="360" w:lineRule="auto"/>
        <w:jc w:val="left"/>
        <w:rPr>
          <w:rFonts w:hint="eastAsia" w:ascii="宋体" w:hAnsi="宋体" w:eastAsia="宋体" w:cs="Times New Roman"/>
          <w:kern w:val="0"/>
          <w:sz w:val="24"/>
          <w:szCs w:val="21"/>
        </w:rPr>
      </w:pPr>
    </w:p>
    <w:p w14:paraId="641F8400">
      <w:pPr>
        <w:autoSpaceDE w:val="0"/>
        <w:autoSpaceDN w:val="0"/>
        <w:adjustRightInd w:val="0"/>
        <w:spacing w:line="360" w:lineRule="auto"/>
        <w:jc w:val="left"/>
        <w:rPr>
          <w:rFonts w:hint="eastAsia" w:ascii="宋体" w:hAnsi="宋体" w:eastAsia="宋体" w:cs="Times New Roman"/>
          <w:kern w:val="0"/>
          <w:sz w:val="24"/>
          <w:szCs w:val="21"/>
        </w:rPr>
      </w:pPr>
    </w:p>
    <w:p w14:paraId="4DBB8B5B">
      <w:pPr>
        <w:autoSpaceDE w:val="0"/>
        <w:autoSpaceDN w:val="0"/>
        <w:adjustRightInd w:val="0"/>
        <w:spacing w:line="360" w:lineRule="auto"/>
        <w:jc w:val="left"/>
        <w:rPr>
          <w:rFonts w:hint="eastAsia" w:ascii="宋体" w:hAnsi="宋体" w:eastAsia="宋体" w:cs="Times New Roman"/>
          <w:kern w:val="0"/>
          <w:sz w:val="24"/>
          <w:szCs w:val="21"/>
        </w:rPr>
      </w:pPr>
    </w:p>
    <w:p w14:paraId="30C1351A">
      <w:pPr>
        <w:spacing w:line="360" w:lineRule="auto"/>
        <w:jc w:val="center"/>
        <w:outlineLvl w:val="0"/>
        <w:rPr>
          <w:rFonts w:ascii="宋体" w:hAnsi="宋体" w:eastAsia="宋体" w:cs="Times New Roman"/>
          <w:b/>
          <w:bCs/>
          <w:sz w:val="30"/>
          <w:szCs w:val="24"/>
        </w:rPr>
      </w:pPr>
      <w:r>
        <w:rPr>
          <w:rFonts w:hint="eastAsia" w:ascii="宋体" w:hAnsi="宋体" w:eastAsia="宋体" w:cs="Times New Roman"/>
          <w:b/>
          <w:bCs/>
          <w:sz w:val="30"/>
          <w:szCs w:val="24"/>
        </w:rPr>
        <w:t>社会统计软件课程教学大纲</w:t>
      </w:r>
      <w:bookmarkEnd w:id="228"/>
      <w:bookmarkEnd w:id="229"/>
    </w:p>
    <w:p w14:paraId="0648A048">
      <w:pPr>
        <w:spacing w:line="360" w:lineRule="auto"/>
        <w:jc w:val="center"/>
        <w:rPr>
          <w:rFonts w:ascii="宋体" w:hAnsi="宋体" w:eastAsia="宋体" w:cs="Times New Roman"/>
          <w:b/>
          <w:bCs/>
          <w:sz w:val="30"/>
          <w:szCs w:val="24"/>
        </w:rPr>
      </w:pPr>
      <w:r>
        <w:rPr>
          <w:rFonts w:ascii="宋体" w:hAnsi="宋体" w:eastAsia="宋体" w:cs="Times New Roman"/>
          <w:b/>
          <w:bCs/>
          <w:sz w:val="30"/>
          <w:szCs w:val="24"/>
        </w:rPr>
        <w:t>（</w:t>
      </w:r>
      <w:r>
        <w:rPr>
          <w:rFonts w:hint="eastAsia" w:ascii="宋体" w:hAnsi="宋体" w:eastAsia="宋体" w:cs="Times New Roman"/>
          <w:b/>
          <w:bCs/>
          <w:sz w:val="30"/>
          <w:szCs w:val="24"/>
        </w:rPr>
        <w:t>Social Science Statistics Software</w:t>
      </w:r>
      <w:r>
        <w:rPr>
          <w:rFonts w:ascii="宋体" w:hAnsi="宋体" w:eastAsia="宋体" w:cs="Times New Roman"/>
          <w:b/>
          <w:bCs/>
          <w:sz w:val="30"/>
          <w:szCs w:val="24"/>
        </w:rPr>
        <w:t>）</w:t>
      </w:r>
    </w:p>
    <w:p w14:paraId="3BCB782F">
      <w:pPr>
        <w:spacing w:line="360" w:lineRule="auto"/>
        <w:jc w:val="left"/>
        <w:rPr>
          <w:rFonts w:ascii="宋体" w:hAnsi="宋体" w:eastAsia="宋体" w:cs="Times New Roman"/>
          <w:b/>
          <w:bCs/>
          <w:sz w:val="30"/>
          <w:szCs w:val="24"/>
        </w:rPr>
      </w:pPr>
      <w:r>
        <w:rPr>
          <w:rFonts w:ascii="宋体" w:hAnsi="宋体" w:eastAsia="宋体" w:cs="Times New Roman"/>
          <w:b/>
          <w:sz w:val="28"/>
          <w:szCs w:val="28"/>
        </w:rPr>
        <w:t>一、课程概况</w:t>
      </w:r>
    </w:p>
    <w:p w14:paraId="43E4BD53">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hint="eastAsia" w:ascii="宋体" w:hAnsi="宋体" w:eastAsia="宋体" w:cs="Times New Roman"/>
          <w:kern w:val="0"/>
          <w:sz w:val="24"/>
        </w:rPr>
        <w:t>2401030</w:t>
      </w:r>
    </w:p>
    <w:p w14:paraId="6D7BC677">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w:t>
      </w:r>
      <w:r>
        <w:rPr>
          <w:rFonts w:hint="eastAsia" w:ascii="宋体" w:hAnsi="宋体" w:eastAsia="宋体" w:cs="Times New Roman"/>
          <w:kern w:val="0"/>
          <w:sz w:val="24"/>
        </w:rPr>
        <w:t>3</w:t>
      </w:r>
    </w:p>
    <w:p w14:paraId="6BE5CCA1">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hint="eastAsia" w:ascii="宋体" w:hAnsi="宋体" w:eastAsia="宋体" w:cs="Times New Roman"/>
          <w:kern w:val="0"/>
          <w:sz w:val="24"/>
          <w:szCs w:val="24"/>
        </w:rPr>
        <w:t>48</w:t>
      </w:r>
      <w:r>
        <w:rPr>
          <w:rFonts w:ascii="宋体" w:hAnsi="宋体" w:eastAsia="宋体" w:cs="Times New Roman"/>
          <w:kern w:val="0"/>
          <w:sz w:val="24"/>
          <w:szCs w:val="24"/>
        </w:rPr>
        <w:t xml:space="preserve"> </w:t>
      </w:r>
    </w:p>
    <w:p w14:paraId="2E6D433D">
      <w:pPr>
        <w:spacing w:line="360" w:lineRule="auto"/>
        <w:ind w:firstLine="482" w:firstLineChars="200"/>
        <w:jc w:val="left"/>
        <w:rPr>
          <w:rFonts w:ascii="宋体" w:hAnsi="宋体" w:eastAsia="宋体" w:cs="Times New Roman"/>
          <w:sz w:val="24"/>
        </w:rPr>
      </w:pPr>
      <w:r>
        <w:rPr>
          <w:rFonts w:ascii="宋体" w:hAnsi="宋体" w:eastAsia="宋体" w:cs="Times New Roman"/>
          <w:b/>
          <w:bCs/>
          <w:kern w:val="0"/>
          <w:sz w:val="24"/>
          <w:szCs w:val="24"/>
        </w:rPr>
        <w:t>先修课程</w:t>
      </w:r>
      <w:r>
        <w:rPr>
          <w:rFonts w:ascii="宋体" w:hAnsi="宋体" w:eastAsia="宋体" w:cs="Times New Roman"/>
          <w:b/>
          <w:kern w:val="0"/>
          <w:sz w:val="24"/>
          <w:szCs w:val="24"/>
        </w:rPr>
        <w:t>：</w:t>
      </w:r>
    </w:p>
    <w:p w14:paraId="1F5AB19C">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hint="eastAsia" w:ascii="宋体" w:hAnsi="宋体" w:eastAsia="宋体" w:cs="Times New Roman"/>
          <w:kern w:val="0"/>
          <w:sz w:val="24"/>
          <w:szCs w:val="24"/>
        </w:rPr>
        <w:t>小学教育（理）</w:t>
      </w:r>
      <w:r>
        <w:rPr>
          <w:rFonts w:ascii="宋体" w:hAnsi="宋体" w:eastAsia="宋体" w:cs="Times New Roman"/>
          <w:kern w:val="0"/>
          <w:sz w:val="24"/>
          <w:szCs w:val="24"/>
        </w:rPr>
        <w:t xml:space="preserve">                         </w:t>
      </w:r>
    </w:p>
    <w:p w14:paraId="5A12ACF6">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ascii="宋体" w:hAnsi="宋体" w:eastAsia="宋体" w:cs="Times New Roman"/>
          <w:kern w:val="0"/>
          <w:sz w:val="24"/>
          <w:szCs w:val="24"/>
        </w:rPr>
        <w:t>《</w:t>
      </w:r>
      <w:r>
        <w:rPr>
          <w:rFonts w:hint="eastAsia" w:ascii="宋体" w:hAnsi="宋体" w:eastAsia="宋体" w:cs="Times New Roman"/>
          <w:kern w:val="0"/>
          <w:sz w:val="24"/>
          <w:szCs w:val="24"/>
        </w:rPr>
        <w:t>教育研究中定量数据的统计与分析：基于SPSS的应用案例解析</w:t>
      </w:r>
      <w:r>
        <w:rPr>
          <w:rFonts w:ascii="宋体" w:hAnsi="宋体" w:eastAsia="宋体" w:cs="Times New Roman"/>
          <w:sz w:val="24"/>
        </w:rPr>
        <w:t>》</w:t>
      </w:r>
      <w:r>
        <w:rPr>
          <w:rFonts w:hint="eastAsia" w:ascii="宋体" w:hAnsi="宋体" w:eastAsia="宋体" w:cs="Times New Roman"/>
          <w:sz w:val="24"/>
        </w:rPr>
        <w:t>.张屹，周平红 .北京大学出版社，</w:t>
      </w:r>
      <w:r>
        <w:rPr>
          <w:rFonts w:ascii="宋体" w:hAnsi="宋体" w:eastAsia="宋体" w:cs="Times New Roman"/>
          <w:kern w:val="0"/>
          <w:sz w:val="24"/>
          <w:szCs w:val="24"/>
        </w:rPr>
        <w:t>201</w:t>
      </w:r>
      <w:r>
        <w:rPr>
          <w:rFonts w:hint="eastAsia" w:ascii="宋体" w:hAnsi="宋体" w:eastAsia="宋体" w:cs="Times New Roman"/>
          <w:kern w:val="0"/>
          <w:sz w:val="24"/>
          <w:szCs w:val="24"/>
        </w:rPr>
        <w:t>5.</w:t>
      </w:r>
    </w:p>
    <w:p w14:paraId="6BF20772">
      <w:pPr>
        <w:spacing w:line="360" w:lineRule="auto"/>
        <w:ind w:firstLine="482" w:firstLineChars="200"/>
        <w:rPr>
          <w:rFonts w:ascii="宋体" w:hAnsi="宋体" w:eastAsia="宋体" w:cs="Times New Roman"/>
          <w:sz w:val="24"/>
        </w:rPr>
      </w:pPr>
      <w:r>
        <w:rPr>
          <w:rFonts w:ascii="宋体" w:hAnsi="宋体" w:eastAsia="宋体" w:cs="Times New Roman"/>
          <w:b/>
          <w:bCs/>
          <w:kern w:val="0"/>
          <w:sz w:val="24"/>
          <w:szCs w:val="24"/>
        </w:rPr>
        <w:t>课程归口：</w:t>
      </w:r>
      <w:r>
        <w:rPr>
          <w:rFonts w:hint="eastAsia" w:ascii="宋体" w:hAnsi="宋体" w:eastAsia="宋体" w:cs="Times New Roman"/>
          <w:sz w:val="24"/>
        </w:rPr>
        <w:t>师范</w:t>
      </w:r>
      <w:r>
        <w:rPr>
          <w:rFonts w:ascii="宋体" w:hAnsi="宋体" w:eastAsia="宋体" w:cs="Times New Roman"/>
          <w:sz w:val="24"/>
        </w:rPr>
        <w:t>学院</w:t>
      </w:r>
    </w:p>
    <w:p w14:paraId="3FEDC6CA">
      <w:pPr>
        <w:autoSpaceDE w:val="0"/>
        <w:autoSpaceDN w:val="0"/>
        <w:adjustRightInd w:val="0"/>
        <w:spacing w:line="360" w:lineRule="auto"/>
        <w:ind w:firstLine="482" w:firstLineChars="200"/>
        <w:jc w:val="left"/>
        <w:rPr>
          <w:rFonts w:ascii="Times New Roman" w:hAnsi="Times New Roman" w:eastAsia="宋体" w:cs="Times New Roman"/>
          <w:bCs/>
          <w:sz w:val="24"/>
          <w:szCs w:val="24"/>
        </w:rPr>
      </w:pPr>
      <w:r>
        <w:rPr>
          <w:rFonts w:hint="eastAsia" w:ascii="宋体" w:hAnsi="宋体" w:eastAsia="宋体" w:cs="Times New Roman"/>
          <w:b/>
          <w:bCs/>
          <w:kern w:val="0"/>
          <w:sz w:val="24"/>
          <w:szCs w:val="24"/>
        </w:rPr>
        <w:t>课程的性质与任务：</w:t>
      </w:r>
      <w:r>
        <w:rPr>
          <w:rFonts w:hint="eastAsia" w:ascii="Times New Roman" w:hAnsi="Times New Roman" w:eastAsia="宋体" w:cs="Times New Roman"/>
          <w:bCs/>
          <w:sz w:val="24"/>
          <w:szCs w:val="24"/>
        </w:rPr>
        <w:t>本课程是小学教育（理）专业的专业必修课。通过本课程的学习，加强学生对教育统计理论的认识；培养学生解决各种教育统计问题的能力，掌握各种统计分析方法在SPSS软件中的实现，并且能够正确解释SPSS软件的运行结果；提高学生教育科研的基本能力；培养学生创新精神和实践能力，为后续《教育科学研究方法》等课程和毕业论文等实践</w:t>
      </w:r>
      <w:r>
        <w:rPr>
          <w:rFonts w:ascii="宋体" w:hAnsi="宋体" w:eastAsia="宋体" w:cs="Times New Roman"/>
          <w:kern w:val="0"/>
          <w:sz w:val="24"/>
        </w:rPr>
        <w:t>环节</w:t>
      </w:r>
      <w:r>
        <w:rPr>
          <w:rFonts w:hint="eastAsia" w:ascii="宋体" w:hAnsi="宋体" w:eastAsia="宋体" w:cs="Times New Roman"/>
          <w:kern w:val="0"/>
          <w:sz w:val="24"/>
        </w:rPr>
        <w:t>以及</w:t>
      </w:r>
      <w:r>
        <w:rPr>
          <w:rFonts w:hint="eastAsia" w:ascii="Times New Roman" w:hAnsi="Times New Roman" w:eastAsia="宋体" w:cs="Times New Roman"/>
          <w:bCs/>
          <w:sz w:val="24"/>
          <w:szCs w:val="24"/>
        </w:rPr>
        <w:t>未来分析与解决教育实际问题奠定基础。</w:t>
      </w:r>
    </w:p>
    <w:p w14:paraId="063F221B">
      <w:pPr>
        <w:autoSpaceDE w:val="0"/>
        <w:autoSpaceDN w:val="0"/>
        <w:adjustRightInd w:val="0"/>
        <w:spacing w:line="360" w:lineRule="auto"/>
        <w:ind w:firstLine="562" w:firstLineChars="200"/>
        <w:jc w:val="left"/>
        <w:rPr>
          <w:rFonts w:ascii="Times New Roman" w:hAnsi="Times New Roman" w:eastAsia="宋体" w:cs="Times New Roman"/>
          <w:bCs/>
          <w:sz w:val="24"/>
          <w:szCs w:val="24"/>
        </w:rPr>
      </w:pPr>
      <w:r>
        <w:rPr>
          <w:rFonts w:hint="eastAsia" w:ascii="宋体" w:hAnsi="宋体" w:eastAsia="宋体" w:cs="Times New Roman"/>
          <w:b/>
          <w:sz w:val="28"/>
          <w:szCs w:val="28"/>
        </w:rPr>
        <w:t>二</w:t>
      </w:r>
      <w:r>
        <w:rPr>
          <w:rFonts w:ascii="宋体" w:hAnsi="宋体" w:eastAsia="宋体" w:cs="Times New Roman"/>
          <w:b/>
          <w:sz w:val="28"/>
          <w:szCs w:val="28"/>
        </w:rPr>
        <w:t>、课程目标</w:t>
      </w:r>
    </w:p>
    <w:p w14:paraId="7FD3A34E">
      <w:pPr>
        <w:autoSpaceDE w:val="0"/>
        <w:autoSpaceDN w:val="0"/>
        <w:adjustRightInd w:val="0"/>
        <w:spacing w:line="360" w:lineRule="auto"/>
        <w:ind w:firstLine="562" w:firstLineChars="200"/>
        <w:jc w:val="left"/>
        <w:rPr>
          <w:rFonts w:ascii="Times New Roman" w:hAnsi="Times New Roman" w:eastAsia="宋体" w:cs="Times New Roman"/>
          <w:bCs/>
          <w:sz w:val="24"/>
          <w:szCs w:val="24"/>
        </w:rPr>
      </w:pPr>
      <w:r>
        <w:rPr>
          <w:rFonts w:hint="eastAsia" w:ascii="宋体" w:hAnsi="宋体" w:eastAsia="宋体" w:cs="Times New Roman"/>
          <w:b/>
          <w:sz w:val="28"/>
          <w:szCs w:val="28"/>
        </w:rPr>
        <w:t>（一）课程具体目标</w:t>
      </w:r>
    </w:p>
    <w:p w14:paraId="6AC7DC6A">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目标1：掌握数据的录入、整理、分析与可视化处理方法，应用教育统计与测量的原理，分析和解决小学教育实践中的问题，形成一定的教学研究能力；</w:t>
      </w:r>
    </w:p>
    <w:p w14:paraId="6002813C">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目标2：能运用社会统计软件进行教育测量的质量分析及开展教学评价，发展反思意识，掌握一定的批判性思维能力。</w:t>
      </w:r>
    </w:p>
    <w:p w14:paraId="69348FFC">
      <w:pPr>
        <w:spacing w:line="360" w:lineRule="auto"/>
        <w:ind w:firstLine="562" w:firstLineChars="200"/>
        <w:rPr>
          <w:rFonts w:ascii="宋体" w:hAnsi="宋体" w:eastAsia="宋体" w:cs="Times New Roman"/>
          <w:kern w:val="0"/>
          <w:sz w:val="24"/>
        </w:rPr>
      </w:pPr>
      <w:r>
        <w:rPr>
          <w:rFonts w:hint="eastAsia" w:ascii="宋体" w:hAnsi="宋体" w:eastAsia="宋体" w:cs="Times New Roman"/>
          <w:b/>
          <w:sz w:val="28"/>
          <w:szCs w:val="28"/>
        </w:rPr>
        <w:t>（二）课程目标与专业毕业要求的关系</w:t>
      </w:r>
    </w:p>
    <w:tbl>
      <w:tblPr>
        <w:tblStyle w:val="3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E70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C7641A9">
            <w:pPr>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1BFFDD04">
            <w:pPr>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45EFB246">
            <w:pPr>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5E90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6CB316E">
            <w:pPr>
              <w:jc w:val="center"/>
              <w:rPr>
                <w:rFonts w:ascii="宋体" w:hAnsi="宋体" w:eastAsia="宋体" w:cs="宋体"/>
                <w:bCs/>
                <w:szCs w:val="21"/>
              </w:rPr>
            </w:pPr>
            <w:r>
              <w:rPr>
                <w:rFonts w:hint="eastAsia" w:ascii="宋体" w:hAnsi="宋体" w:eastAsia="宋体" w:cs="宋体"/>
                <w:bCs/>
                <w:szCs w:val="21"/>
              </w:rPr>
              <w:t>课程目标1</w:t>
            </w:r>
          </w:p>
        </w:tc>
        <w:tc>
          <w:tcPr>
            <w:tcW w:w="2223" w:type="dxa"/>
            <w:vAlign w:val="center"/>
          </w:tcPr>
          <w:p w14:paraId="49A743ED">
            <w:pPr>
              <w:rPr>
                <w:rFonts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r>
              <w:rPr>
                <w:rFonts w:hint="eastAsia" w:ascii="宋体" w:hAnsi="宋体" w:eastAsia="宋体" w:cs="Times New Roman"/>
                <w:kern w:val="0"/>
                <w:szCs w:val="21"/>
              </w:rPr>
              <w:t>教学能力</w:t>
            </w:r>
          </w:p>
        </w:tc>
        <w:tc>
          <w:tcPr>
            <w:tcW w:w="4977" w:type="dxa"/>
            <w:vAlign w:val="center"/>
          </w:tcPr>
          <w:p w14:paraId="4B2F3B84">
            <w:pPr>
              <w:jc w:val="left"/>
              <w:rPr>
                <w:rFonts w:ascii="宋体" w:hAnsi="宋体" w:eastAsia="宋体" w:cs="Times New Roman"/>
                <w:kern w:val="0"/>
                <w:sz w:val="18"/>
                <w:szCs w:val="18"/>
              </w:rPr>
            </w:pPr>
            <w:r>
              <w:rPr>
                <w:rFonts w:hint="eastAsia" w:ascii="宋体" w:hAnsi="宋体" w:eastAsia="宋体" w:cs="Times New Roman"/>
                <w:kern w:val="0"/>
                <w:szCs w:val="21"/>
              </w:rPr>
              <w:t>指标点4-4：【教学研究能力好】掌握教育研究的基本方法，结合小学教育教学实践进行研究，具有一定的教学研究能力。</w:t>
            </w:r>
          </w:p>
        </w:tc>
      </w:tr>
      <w:tr w14:paraId="7D77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444E42F4">
            <w:pPr>
              <w:jc w:val="center"/>
              <w:rPr>
                <w:rFonts w:ascii="宋体" w:hAnsi="宋体" w:eastAsia="宋体" w:cs="宋体"/>
                <w:szCs w:val="21"/>
              </w:rPr>
            </w:pPr>
            <w:r>
              <w:rPr>
                <w:rFonts w:hint="eastAsia" w:ascii="宋体" w:hAnsi="宋体" w:eastAsia="宋体" w:cs="宋体"/>
                <w:szCs w:val="21"/>
              </w:rPr>
              <w:t>课程目标2</w:t>
            </w:r>
          </w:p>
        </w:tc>
        <w:tc>
          <w:tcPr>
            <w:tcW w:w="2223" w:type="dxa"/>
            <w:vAlign w:val="center"/>
          </w:tcPr>
          <w:p w14:paraId="49AA31D2">
            <w:pPr>
              <w:rPr>
                <w:rFonts w:ascii="宋体" w:hAnsi="宋体" w:eastAsia="宋体" w:cs="Times New Roman"/>
                <w:kern w:val="0"/>
                <w:sz w:val="18"/>
                <w:szCs w:val="18"/>
              </w:rPr>
            </w:pPr>
            <w:r>
              <w:rPr>
                <w:rFonts w:hint="eastAsia" w:ascii="宋体" w:hAnsi="宋体" w:eastAsia="宋体" w:cs="Times New Roman"/>
                <w:kern w:val="0"/>
                <w:szCs w:val="21"/>
              </w:rPr>
              <w:t>毕业要求7</w:t>
            </w:r>
            <w:r>
              <w:rPr>
                <w:rFonts w:ascii="宋体" w:hAnsi="宋体" w:eastAsia="宋体" w:cs="Times New Roman"/>
                <w:kern w:val="0"/>
                <w:szCs w:val="21"/>
              </w:rPr>
              <w:t>.</w:t>
            </w:r>
            <w:r>
              <w:rPr>
                <w:rFonts w:hint="eastAsia" w:ascii="宋体" w:hAnsi="宋体" w:eastAsia="宋体" w:cs="Times New Roman"/>
                <w:kern w:val="0"/>
                <w:szCs w:val="21"/>
              </w:rPr>
              <w:t>学会反思</w:t>
            </w:r>
          </w:p>
        </w:tc>
        <w:tc>
          <w:tcPr>
            <w:tcW w:w="4977" w:type="dxa"/>
            <w:vAlign w:val="center"/>
          </w:tcPr>
          <w:p w14:paraId="57FA7DF3">
            <w:pPr>
              <w:jc w:val="left"/>
              <w:rPr>
                <w:rFonts w:ascii="宋体" w:hAnsi="宋体" w:eastAsia="宋体" w:cs="Times New Roman"/>
                <w:kern w:val="0"/>
                <w:sz w:val="18"/>
                <w:szCs w:val="18"/>
              </w:rPr>
            </w:pPr>
            <w:r>
              <w:rPr>
                <w:rFonts w:hint="eastAsia" w:ascii="宋体" w:hAnsi="宋体" w:eastAsia="宋体" w:cs="Times New Roman"/>
                <w:szCs w:val="21"/>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4C9EBC89">
      <w:pPr>
        <w:spacing w:line="360" w:lineRule="auto"/>
        <w:ind w:firstLine="562" w:firstLineChars="200"/>
        <w:rPr>
          <w:rFonts w:ascii="宋体" w:hAnsi="宋体" w:eastAsia="宋体" w:cs="Times New Roman"/>
          <w:b/>
          <w:sz w:val="28"/>
          <w:szCs w:val="28"/>
        </w:rPr>
      </w:pPr>
    </w:p>
    <w:p w14:paraId="36043755">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三</w:t>
      </w:r>
      <w:r>
        <w:rPr>
          <w:rFonts w:ascii="宋体" w:hAnsi="宋体" w:eastAsia="宋体" w:cs="Times New Roman"/>
          <w:b/>
          <w:sz w:val="28"/>
          <w:szCs w:val="28"/>
        </w:rPr>
        <w:t>、课程内容及要求</w:t>
      </w:r>
    </w:p>
    <w:p w14:paraId="7A05CAF1">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（一）教育研究数据文件的建立（本模块各知识点的讲授与学习，可以支撑课程目标1）</w:t>
      </w:r>
    </w:p>
    <w:p w14:paraId="38A30CC4">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1.学习内容</w:t>
      </w:r>
    </w:p>
    <w:p w14:paraId="6D4560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（1）SPSS数据的结构与定义</w:t>
      </w:r>
    </w:p>
    <w:p w14:paraId="4856CD43">
      <w:pPr>
        <w:tabs>
          <w:tab w:val="left" w:pos="451"/>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（2）教育研究中单项选择题的录入</w:t>
      </w:r>
    </w:p>
    <w:p w14:paraId="337FC5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（3）教育研究中多项选择题的录入</w:t>
      </w:r>
    </w:p>
    <w:p w14:paraId="72C614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（4）教育研究中非选择题的录入</w:t>
      </w:r>
    </w:p>
    <w:p w14:paraId="364D1F88">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2.学习要求</w:t>
      </w:r>
    </w:p>
    <w:p w14:paraId="020DF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（1）了解SPSS数据的结构</w:t>
      </w:r>
    </w:p>
    <w:p w14:paraId="1EC953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（2）熟练录入各类教育数据</w:t>
      </w:r>
    </w:p>
    <w:p w14:paraId="6B8D408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各类教育研究数据录入。</w:t>
      </w:r>
    </w:p>
    <w:p w14:paraId="25B6245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SPSS数据的结构与类型。</w:t>
      </w:r>
    </w:p>
    <w:p w14:paraId="4D0958DE">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0A2911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（1）了解科学软件对数据知识的处理能力。</w:t>
      </w:r>
    </w:p>
    <w:p w14:paraId="597876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（2）尊重科学技术，形成初步的技术应用思想。</w:t>
      </w:r>
    </w:p>
    <w:p w14:paraId="71CA8942">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（二） 教育研究数据文件的预处理</w:t>
      </w:r>
      <w:r>
        <w:rPr>
          <w:rFonts w:hint="eastAsia" w:ascii="宋体" w:hAnsi="宋体" w:eastAsia="宋体" w:cs="Times New Roman"/>
          <w:b/>
          <w:sz w:val="24"/>
        </w:rPr>
        <w:t>（本模块各知识点的讲授与学习，可以支撑课程目标1、2）</w:t>
      </w:r>
    </w:p>
    <w:p w14:paraId="6BD78A5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B3B95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（1）插补数据文件中的缺失数据--数据的缺失值处理</w:t>
      </w:r>
    </w:p>
    <w:p w14:paraId="31691B7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（2）按照一定的规则选择所需数据--数据的选取</w:t>
      </w:r>
    </w:p>
    <w:p w14:paraId="78392B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（3）重新排列变量数据的顺序--数据的排序</w:t>
      </w:r>
    </w:p>
    <w:p w14:paraId="3D7113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（4）重新划分数据的组别--数据的分组</w:t>
      </w:r>
    </w:p>
    <w:p w14:paraId="67E86B0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EEA55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（1）掌握数据的缺失值处理方式</w:t>
      </w:r>
    </w:p>
    <w:p w14:paraId="7F73EE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（2）掌握数据选取的方法</w:t>
      </w:r>
    </w:p>
    <w:p w14:paraId="1D00E7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（3）掌握数据排序的方法</w:t>
      </w:r>
    </w:p>
    <w:p w14:paraId="591D4C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（4）掌握数据分组的方法</w:t>
      </w:r>
    </w:p>
    <w:p w14:paraId="06FE87C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各类教育研究数据的预处理方式。</w:t>
      </w:r>
    </w:p>
    <w:p w14:paraId="6811988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各类教育研究数据录入。</w:t>
      </w:r>
    </w:p>
    <w:p w14:paraId="432BF19F">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467BE8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（1）认识到包括数据在内的万事万物都有其不足之处。</w:t>
      </w:r>
    </w:p>
    <w:p w14:paraId="7946DD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（2）认识到人类可以通过不断地改进处理方法来完善对数据的应用。</w:t>
      </w:r>
    </w:p>
    <w:p w14:paraId="27E092EB">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（三）教育研究数据的统计图表</w:t>
      </w:r>
      <w:r>
        <w:rPr>
          <w:rFonts w:hint="eastAsia" w:ascii="宋体" w:hAnsi="宋体" w:eastAsia="宋体" w:cs="Times New Roman"/>
          <w:b/>
          <w:sz w:val="24"/>
        </w:rPr>
        <w:t>（本模块各知识点的讲授与学习，可以支撑课程目标1、2）</w:t>
      </w:r>
    </w:p>
    <w:p w14:paraId="58A870C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32DDCE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（1）绘制变量的分布比例--饼图</w:t>
      </w:r>
    </w:p>
    <w:p w14:paraId="4B45F9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（2）绘制多变量的分布情况--条形图</w:t>
      </w:r>
    </w:p>
    <w:p w14:paraId="774033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（3）绘制变量的正态分布情况--直方图</w:t>
      </w:r>
    </w:p>
    <w:p w14:paraId="43D974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（4）绘制变量的发展趋势--线图</w:t>
      </w:r>
    </w:p>
    <w:p w14:paraId="3A7C47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（5）绘制变量间的相关情况--散点图</w:t>
      </w:r>
    </w:p>
    <w:p w14:paraId="5D021AE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02C23F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（1）掌握使用SPSS绘制各类变量分布图的方法；</w:t>
      </w:r>
    </w:p>
    <w:p w14:paraId="568D65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（2）掌握使用SPSS绘制变量趋势与相关情况图的方法。</w:t>
      </w:r>
    </w:p>
    <w:p w14:paraId="761B9D5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运用SPSS绘制教育数据的统计图。</w:t>
      </w:r>
    </w:p>
    <w:p w14:paraId="630D6B8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运用SPSS绘制教育数据的统计图。</w:t>
      </w:r>
    </w:p>
    <w:p w14:paraId="764B326B">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6B4418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（1）认识到图形的表现力要比单纯的数据呈现更有效。</w:t>
      </w:r>
    </w:p>
    <w:p w14:paraId="6A7B09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（2）在充分尊重人类对图片知觉的基础上学习对数据的处理。</w:t>
      </w:r>
    </w:p>
    <w:p w14:paraId="5018D654">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（四）教育研究数据的描述统计分析</w:t>
      </w:r>
      <w:r>
        <w:rPr>
          <w:rFonts w:hint="eastAsia" w:ascii="宋体" w:hAnsi="宋体" w:eastAsia="宋体" w:cs="Times New Roman"/>
          <w:b/>
          <w:sz w:val="24"/>
        </w:rPr>
        <w:t>（本模块各知识点的讲授与学习，可以支撑课程目标1、2）</w:t>
      </w:r>
    </w:p>
    <w:p w14:paraId="57DAC6B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C9008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（1）测算单变量的数据分布比例--频数分析</w:t>
      </w:r>
    </w:p>
    <w:p w14:paraId="05A0A6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（2）分析多变量的联合分布情况--交叉分组下的频数分析</w:t>
      </w:r>
    </w:p>
    <w:p w14:paraId="06FF0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（3）测算多变量的数据分布比例--多选项分析</w:t>
      </w:r>
    </w:p>
    <w:p w14:paraId="67338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（4）测算变量数据的中心发展趋势--集中趋势分析</w:t>
      </w:r>
    </w:p>
    <w:p w14:paraId="7B9EF1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（5）测算变量数据的分散程度--离散趋势分析</w:t>
      </w:r>
    </w:p>
    <w:p w14:paraId="0ACEA7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（6）测算变量数据的分布情况--分布形态</w:t>
      </w:r>
    </w:p>
    <w:p w14:paraId="24FCAD2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9AA6F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（1）能运用SPSS对单变量与多变量数据的分布比例进行分析；</w:t>
      </w:r>
    </w:p>
    <w:p w14:paraId="26BA00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（2）能运用SPSS对数据的集中趋势与离散趋势进行分析；</w:t>
      </w:r>
    </w:p>
    <w:p w14:paraId="3AF364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（3）能运用SPSS对数据的分布形态进行分析。</w:t>
      </w:r>
    </w:p>
    <w:p w14:paraId="010E6993">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运用SPSS对各种数据进行描述性统计分析。</w:t>
      </w:r>
    </w:p>
    <w:p w14:paraId="4B7691B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运用SPSS对各种数据进行描述性统计分析。</w:t>
      </w:r>
    </w:p>
    <w:p w14:paraId="0717C547">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2C2D62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（1）认识到人类社会中的不同类型的数据有不同的分布特点。</w:t>
      </w:r>
    </w:p>
    <w:p w14:paraId="0C06F6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（2）掌握大千世界中一些看似杂乱的数据背后的规律。</w:t>
      </w:r>
    </w:p>
    <w:p w14:paraId="237227C7">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（五）教育研究数据的相关分析</w:t>
      </w:r>
      <w:r>
        <w:rPr>
          <w:rFonts w:hint="eastAsia" w:ascii="宋体" w:hAnsi="宋体" w:eastAsia="宋体" w:cs="Times New Roman"/>
          <w:b/>
          <w:sz w:val="24"/>
        </w:rPr>
        <w:t>（本模块各知识点的讲授与学习，可以支撑课程目标1、2）</w:t>
      </w:r>
    </w:p>
    <w:p w14:paraId="073AFC5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C9FDF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（1）皮尔逊积差相关分析及效应量计算</w:t>
      </w:r>
    </w:p>
    <w:p w14:paraId="75BE3E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（2）斯皮尔曼等级相关分析</w:t>
      </w:r>
    </w:p>
    <w:p w14:paraId="16B948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（3）肯德尔和谐系数相关分析</w:t>
      </w:r>
    </w:p>
    <w:p w14:paraId="427A94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C1DF4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（1）能运用SPSS进行皮尔逊积差相关分析，形成图表并报告之；</w:t>
      </w:r>
    </w:p>
    <w:p w14:paraId="5480F1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（2）能运用SPSS进行斯皮尔曼积差相关分析，形成图表并报告之；</w:t>
      </w:r>
    </w:p>
    <w:p w14:paraId="4E7E1A1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（3）能运用SPSS进行肯德尔和谐系数相关分析，形成图表并报告之。</w:t>
      </w:r>
    </w:p>
    <w:p w14:paraId="09F0876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运用SPSS对数据进行各类相关分析，形成图表并报告之。</w:t>
      </w:r>
    </w:p>
    <w:p w14:paraId="0EE3D1B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运用SPSS对数据进行各类相关分析，形成图表并报告之。</w:t>
      </w:r>
    </w:p>
    <w:p w14:paraId="1ED4B32D">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638ED7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（1）了解并学习历史上的统计学家对认识世界的那种孜孜以求的精神。</w:t>
      </w:r>
    </w:p>
    <w:p w14:paraId="60B7C5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（2）掌握主要的相关分析手段背后所反映的社会现象之间的关系。</w:t>
      </w:r>
    </w:p>
    <w:p w14:paraId="7285F58F">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（六）教育研究数据的参数检验</w:t>
      </w:r>
      <w:r>
        <w:rPr>
          <w:rFonts w:hint="eastAsia" w:ascii="宋体" w:hAnsi="宋体" w:eastAsia="宋体" w:cs="Times New Roman"/>
          <w:b/>
          <w:sz w:val="24"/>
        </w:rPr>
        <w:t>（本模块各知识点的讲授与学习，可以支撑课程目标1、2）</w:t>
      </w:r>
    </w:p>
    <w:p w14:paraId="6191516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0723D9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（1）推断样本来自的总体的均值是否与指定的检验值之间存在显著差异</w:t>
      </w:r>
    </w:p>
    <w:p w14:paraId="1707B6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--单样本T检验</w:t>
      </w:r>
    </w:p>
    <w:p w14:paraId="220E66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（2）推断两个独立样本总体的均值是否存在显著差异--两独立样本T检验</w:t>
      </w:r>
    </w:p>
    <w:p w14:paraId="64F380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 推断两个配对样本总体的均值是否存在显著差异--两配对样本T检验</w:t>
      </w:r>
    </w:p>
    <w:p w14:paraId="2DB67E2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4F2BA8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（1）运用SPSS进行单样本T检验，将结果绘制成相应的表格，并进行分析；</w:t>
      </w:r>
    </w:p>
    <w:p w14:paraId="0CE4056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（2）运用SPSS进行独立样本T检验，将结果绘制成相应的表格，并进行分析；</w:t>
      </w:r>
    </w:p>
    <w:p w14:paraId="7B276A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（3）运用SPSS进行配对样本T检验，将结果绘制成相应的表格，并进行分析。</w:t>
      </w:r>
    </w:p>
    <w:p w14:paraId="013E380C">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单样本与双样本的T检验操作、表格制定与结果分析。</w:t>
      </w:r>
    </w:p>
    <w:p w14:paraId="394B3A8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单样本与双样本的T检验操作、表格制定与结果分析。</w:t>
      </w:r>
    </w:p>
    <w:p w14:paraId="18C06812">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1DC660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（1）了解人类社会同一群体所简化为数据背后的内在关联。</w:t>
      </w:r>
    </w:p>
    <w:p w14:paraId="0CDF34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（2）学会用科学的检验方法去认识教育现象与社会现象。</w:t>
      </w:r>
    </w:p>
    <w:p w14:paraId="1F85D0C7">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（七）教育研究数据的非参数检验</w:t>
      </w:r>
      <w:r>
        <w:rPr>
          <w:rFonts w:hint="eastAsia" w:ascii="宋体" w:hAnsi="宋体" w:eastAsia="宋体" w:cs="Times New Roman"/>
          <w:b/>
          <w:sz w:val="24"/>
        </w:rPr>
        <w:t>（本模块各知识点的讲授与学习，可以支撑课程目标1、2）</w:t>
      </w:r>
    </w:p>
    <w:p w14:paraId="2C310F8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063CDF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（1）推断样本来自的总体的分布是否与已知的理论分布相吻合--单样本非参数检验</w:t>
      </w:r>
    </w:p>
    <w:p w14:paraId="0306FF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（2）推断两独立样本来自的两个总体的分布是否存在显著差异--两独立样本非参数检验</w:t>
      </w:r>
    </w:p>
    <w:p w14:paraId="386E15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（3）推断两配对样本来自的两个总体的分布是否存在显著差异--两配对样本非参数检验</w:t>
      </w:r>
    </w:p>
    <w:p w14:paraId="3810400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3295A8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（1）运用SPSS进行单样本非参数检验；</w:t>
      </w:r>
    </w:p>
    <w:p w14:paraId="6D88A3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（2）运用SPSS进行两独立样本非参数检验；</w:t>
      </w:r>
    </w:p>
    <w:p w14:paraId="326432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（3）运用SPSS进行两配对样本非参数检验。</w:t>
      </w:r>
    </w:p>
    <w:p w14:paraId="6B3430F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各种相关系数的计算方法及适用条件。</w:t>
      </w:r>
    </w:p>
    <w:p w14:paraId="2E9B89D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各种相关系数的适用条件及其灵活运用。</w:t>
      </w:r>
    </w:p>
    <w:p w14:paraId="1FD92943">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63EE2F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（1）了解社会现象和教育现象背后的数据的不同特征。</w:t>
      </w:r>
    </w:p>
    <w:p w14:paraId="20FAD3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（2）学会用另一种分析思维去解释教育教学中的数据。</w:t>
      </w:r>
    </w:p>
    <w:p w14:paraId="3715BB48">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（八）教育研究数据的方差分析</w:t>
      </w:r>
      <w:r>
        <w:rPr>
          <w:rFonts w:hint="eastAsia" w:ascii="宋体" w:hAnsi="宋体" w:eastAsia="宋体" w:cs="Times New Roman"/>
          <w:b/>
          <w:sz w:val="24"/>
        </w:rPr>
        <w:t>（本模块各知识点的讲授与学习，可以支撑课程目标1、2）</w:t>
      </w:r>
    </w:p>
    <w:p w14:paraId="6594D72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0EA8B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（1）单个因素对观测变量的影响--单因素方差分析</w:t>
      </w:r>
    </w:p>
    <w:p w14:paraId="1C1684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（2）多个因素对观测变量的影响--多因素方差分析</w:t>
      </w:r>
    </w:p>
    <w:p w14:paraId="136DAB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（3）调节协变量对因变量的影响效应--协方差分析</w:t>
      </w:r>
    </w:p>
    <w:p w14:paraId="18408B6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630E28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（1）掌握通过SPSS进行单因素方差分析的方法，将结果绘制成图表并报告之；</w:t>
      </w:r>
    </w:p>
    <w:p w14:paraId="010B2A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（2）掌握通过SPSS进行多因素方差分析的方法，将结果绘制成图表并报告之；</w:t>
      </w:r>
    </w:p>
    <w:p w14:paraId="7F20D5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（3）掌握通过SPSS进行协方差分析的方法，并报告之。</w:t>
      </w:r>
    </w:p>
    <w:p w14:paraId="7C4C251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运用SPSS进行单因素、多因素及协方差分析。</w:t>
      </w:r>
    </w:p>
    <w:p w14:paraId="40A7BAD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运用SPSS进行单因素、多因素及协方差分析。</w:t>
      </w:r>
    </w:p>
    <w:p w14:paraId="02A87930">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7699A5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（1）认识到任何一种教育结果的发生之前，有众多不同的因素的影响。</w:t>
      </w:r>
    </w:p>
    <w:p w14:paraId="714CC5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（2）能用统计学的语言描述教育现象。</w:t>
      </w:r>
    </w:p>
    <w:p w14:paraId="6781FBC4">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（九）教育研究数据的回归分析</w:t>
      </w:r>
      <w:r>
        <w:rPr>
          <w:rFonts w:hint="eastAsia" w:ascii="宋体" w:hAnsi="宋体" w:eastAsia="宋体" w:cs="Times New Roman"/>
          <w:b/>
          <w:sz w:val="24"/>
        </w:rPr>
        <w:t>（本模块各知识点的讲授与学习，可以支撑课程目标1、2）</w:t>
      </w:r>
    </w:p>
    <w:p w14:paraId="206EB4B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70BCA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（1）分析单个解释变量对被解释变量的影响--一元线性回归分析</w:t>
      </w:r>
    </w:p>
    <w:p w14:paraId="0F581C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（2）分析多个解释变量对被解释变量的影响--多元线性回归分析</w:t>
      </w:r>
    </w:p>
    <w:p w14:paraId="19BA5F5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51878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（1）能运用SPSS对变量进行一元回归分析，并形成报告；</w:t>
      </w:r>
    </w:p>
    <w:p w14:paraId="503692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（2）能运用SPSS对变量进行多元回归分析，并形成报告。</w:t>
      </w:r>
    </w:p>
    <w:p w14:paraId="3F0C1399">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运用SPSS对变量进行一元回归分析与多元回归分析，并形成报告。</w:t>
      </w:r>
    </w:p>
    <w:p w14:paraId="68830177">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运用SPSS对变量进行一元回归分析与多元回归分析，并形成报告。</w:t>
      </w:r>
    </w:p>
    <w:p w14:paraId="735E6472">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22F805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（1）认识到教育和社会中的现象之间联系的复杂性。</w:t>
      </w:r>
    </w:p>
    <w:p w14:paraId="55CD4F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（2）学会科学思维中的可操作性思想在统计学中的应用。</w:t>
      </w:r>
    </w:p>
    <w:p w14:paraId="2D811BC4">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（十）基于结构方程模型的教育研究数据分析</w:t>
      </w:r>
      <w:r>
        <w:rPr>
          <w:rFonts w:hint="eastAsia" w:ascii="宋体" w:hAnsi="宋体" w:eastAsia="宋体" w:cs="Times New Roman"/>
          <w:b/>
          <w:sz w:val="24"/>
        </w:rPr>
        <w:t>（本模块各知识点的讲授与学习，可以支撑课程目标1、2）</w:t>
      </w:r>
    </w:p>
    <w:p w14:paraId="48C5BB3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2698E8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（1）对变量间作用机制的分析：中介效应分析</w:t>
      </w:r>
    </w:p>
    <w:p w14:paraId="412F77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（2）对变量间作用机制的分析：调节效应分析</w:t>
      </w:r>
    </w:p>
    <w:p w14:paraId="65037D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（3）对变量间作用机制的分析：多重路径分析</w:t>
      </w:r>
    </w:p>
    <w:p w14:paraId="5E614D0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76FF14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（1）能运用SPSS进行变量中介效应分析；</w:t>
      </w:r>
    </w:p>
    <w:p w14:paraId="6A0B3D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（2）能运用SPSS进行变量调节效应分析；</w:t>
      </w:r>
    </w:p>
    <w:p w14:paraId="3B9DD9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（3）能运用SPSS进行变量多重路径分析。</w:t>
      </w:r>
    </w:p>
    <w:p w14:paraId="65599A2D">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对变量进行中介效应、调节效应及多重路径分析。</w:t>
      </w:r>
    </w:p>
    <w:p w14:paraId="2837F884">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对变量进行中介效应、调节效应及多重路径分析。</w:t>
      </w:r>
    </w:p>
    <w:p w14:paraId="65A3B6D5">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2E279E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（1）认识到单个社会或教育因素都会因人们处理它们的方式不同而产生的的影响也不同。</w:t>
      </w:r>
    </w:p>
    <w:p w14:paraId="6E1312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（2）学会更加科学客观地认识人类社会和教育现象。</w:t>
      </w:r>
    </w:p>
    <w:p w14:paraId="413F2715">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（十一）教育测量工具的质量分析</w:t>
      </w:r>
      <w:r>
        <w:rPr>
          <w:rFonts w:hint="eastAsia" w:ascii="宋体" w:hAnsi="宋体" w:eastAsia="宋体" w:cs="Times New Roman"/>
          <w:b/>
          <w:sz w:val="24"/>
        </w:rPr>
        <w:t>（本模块各知识点的讲授与学习，可以支撑课程目标1、2）</w:t>
      </w:r>
    </w:p>
    <w:p w14:paraId="49B7F01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5C6F8D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（1）测度工具的稳定性和可靠性：教育测量的信度分析</w:t>
      </w:r>
    </w:p>
    <w:p w14:paraId="46A778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（2）测量工具能测出其所要测量特质的程度：教育测量的效度分析</w:t>
      </w:r>
    </w:p>
    <w:p w14:paraId="05D2943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4EF6B5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（1）能运用SPSS进行教育测量的信度分析；</w:t>
      </w:r>
    </w:p>
    <w:p w14:paraId="54F5E58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（2）能运用SPSS进行教育测量的效度分析。</w:t>
      </w:r>
    </w:p>
    <w:p w14:paraId="5E86618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运用SPSS进行教育测量信度、效度分析并报告之。</w:t>
      </w:r>
    </w:p>
    <w:p w14:paraId="2CF1AE48">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运用SPSS进行教育测量信度、效度分析并报告之。</w:t>
      </w:r>
    </w:p>
    <w:p w14:paraId="5889EAF0">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682DA5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（1）认识到了解世界的测量工具也需要经过严格的检验才能实施。</w:t>
      </w:r>
    </w:p>
    <w:p w14:paraId="259D88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（2）学会严谨和慎重地把知识应用到社会工作中去。</w:t>
      </w:r>
    </w:p>
    <w:p w14:paraId="0F201AF4">
      <w:pPr>
        <w:spacing w:line="360" w:lineRule="auto"/>
        <w:ind w:firstLine="482" w:firstLineChars="200"/>
        <w:rPr>
          <w:rFonts w:ascii="宋体" w:hAnsi="宋体" w:eastAsia="宋体" w:cs="Times New Roman"/>
          <w:b/>
          <w:sz w:val="24"/>
        </w:rPr>
      </w:pPr>
      <w:r>
        <w:rPr>
          <w:rFonts w:hint="eastAsia" w:ascii="宋体" w:hAnsi="宋体" w:eastAsia="宋体" w:cs="宋体"/>
          <w:b/>
          <w:bCs/>
          <w:sz w:val="24"/>
          <w:szCs w:val="24"/>
        </w:rPr>
        <w:t>（十二）教育测量项目的质量分析</w:t>
      </w:r>
      <w:r>
        <w:rPr>
          <w:rFonts w:hint="eastAsia" w:ascii="宋体" w:hAnsi="宋体" w:eastAsia="宋体" w:cs="Times New Roman"/>
          <w:b/>
          <w:sz w:val="24"/>
        </w:rPr>
        <w:t>（本模块各知识点的讲授与学习，可以支撑课程目标1、2）</w:t>
      </w:r>
    </w:p>
    <w:p w14:paraId="09F861E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1.学习内容：</w:t>
      </w:r>
    </w:p>
    <w:p w14:paraId="480173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（1）测算测验项目的难度系数--难度分析</w:t>
      </w:r>
    </w:p>
    <w:p w14:paraId="6F1B78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（2）测算测验项目的区分度--区分度分析</w:t>
      </w:r>
    </w:p>
    <w:p w14:paraId="1B14E9A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2.学习要求</w:t>
      </w:r>
    </w:p>
    <w:p w14:paraId="1864A4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（1）运用SPSS进行项目的难度分析；</w:t>
      </w:r>
    </w:p>
    <w:p w14:paraId="7B924EE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（2）运用SPSS进行项目的区分度分析。</w:t>
      </w:r>
    </w:p>
    <w:p w14:paraId="7514D93A">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教学重点：</w:t>
      </w:r>
      <w:r>
        <w:rPr>
          <w:rFonts w:hint="eastAsia" w:ascii="宋体" w:hAnsi="宋体" w:eastAsia="宋体" w:cs="宋体"/>
          <w:sz w:val="24"/>
          <w:szCs w:val="24"/>
        </w:rPr>
        <w:t>运用SPSS进行项目分析并报告之。</w:t>
      </w:r>
    </w:p>
    <w:p w14:paraId="32C61751">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教学难点：</w:t>
      </w:r>
      <w:r>
        <w:rPr>
          <w:rFonts w:hint="eastAsia" w:ascii="宋体" w:hAnsi="宋体" w:eastAsia="宋体" w:cs="宋体"/>
          <w:sz w:val="24"/>
          <w:szCs w:val="24"/>
        </w:rPr>
        <w:t>运用SPSS进行项目分析并报告之。</w:t>
      </w:r>
    </w:p>
    <w:p w14:paraId="76306493">
      <w:pPr>
        <w:spacing w:line="360" w:lineRule="auto"/>
        <w:ind w:firstLine="482" w:firstLineChars="200"/>
        <w:rPr>
          <w:rFonts w:ascii="宋体" w:hAnsi="宋体" w:eastAsia="宋体" w:cs="宋体"/>
          <w:sz w:val="24"/>
          <w:szCs w:val="24"/>
        </w:rPr>
      </w:pPr>
      <w:r>
        <w:rPr>
          <w:rFonts w:hint="eastAsia" w:ascii="宋体" w:hAnsi="宋体" w:eastAsia="宋体" w:cs="Times New Roman"/>
          <w:b/>
          <w:sz w:val="24"/>
        </w:rPr>
        <w:t>3.课程思政目标</w:t>
      </w:r>
    </w:p>
    <w:p w14:paraId="6F111B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（1）认识到社会的运转也需要进行科学有效地评估。</w:t>
      </w:r>
    </w:p>
    <w:p w14:paraId="5D1F13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（2）学会用科学理性思维来分析一项测验工作的有效性。</w:t>
      </w:r>
    </w:p>
    <w:p w14:paraId="23DA82E2">
      <w:pPr>
        <w:adjustRightInd w:val="0"/>
        <w:snapToGrid w:val="0"/>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tbl>
      <w:tblPr>
        <w:tblStyle w:val="30"/>
        <w:tblpPr w:leftFromText="180" w:rightFromText="180" w:vertAnchor="text" w:horzAnchor="page" w:tblpX="1765" w:tblpY="454"/>
        <w:tblOverlap w:val="never"/>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018"/>
        <w:gridCol w:w="1353"/>
        <w:gridCol w:w="2514"/>
        <w:gridCol w:w="1011"/>
      </w:tblGrid>
      <w:tr w14:paraId="6DD0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90" w:type="dxa"/>
            <w:shd w:val="clear" w:color="auto" w:fill="FFFFFF"/>
            <w:vAlign w:val="center"/>
          </w:tcPr>
          <w:p w14:paraId="22297C0E">
            <w:pPr>
              <w:jc w:val="center"/>
              <w:rPr>
                <w:rFonts w:ascii="宋体" w:hAnsi="宋体" w:eastAsia="宋体" w:cs="Times New Roman"/>
                <w:b/>
                <w:szCs w:val="21"/>
              </w:rPr>
            </w:pPr>
            <w:r>
              <w:rPr>
                <w:rFonts w:hint="eastAsia" w:ascii="宋体" w:hAnsi="宋体" w:eastAsia="宋体" w:cs="Times New Roman"/>
                <w:b/>
                <w:szCs w:val="21"/>
              </w:rPr>
              <w:t>序号</w:t>
            </w:r>
          </w:p>
        </w:tc>
        <w:tc>
          <w:tcPr>
            <w:tcW w:w="3018" w:type="dxa"/>
            <w:shd w:val="clear" w:color="auto" w:fill="FFFFFF"/>
            <w:vAlign w:val="center"/>
          </w:tcPr>
          <w:p w14:paraId="708F71BC">
            <w:pPr>
              <w:jc w:val="center"/>
              <w:rPr>
                <w:rFonts w:ascii="宋体" w:hAnsi="宋体" w:eastAsia="宋体" w:cs="Times New Roman"/>
                <w:b/>
                <w:szCs w:val="21"/>
              </w:rPr>
            </w:pPr>
            <w:r>
              <w:rPr>
                <w:rFonts w:ascii="宋体" w:hAnsi="宋体" w:eastAsia="宋体" w:cs="Times New Roman"/>
                <w:b/>
                <w:szCs w:val="21"/>
              </w:rPr>
              <w:t>教学内容</w:t>
            </w:r>
          </w:p>
        </w:tc>
        <w:tc>
          <w:tcPr>
            <w:tcW w:w="1353" w:type="dxa"/>
            <w:shd w:val="clear" w:color="auto" w:fill="FFFFFF"/>
            <w:vAlign w:val="center"/>
          </w:tcPr>
          <w:p w14:paraId="358FA56C">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p>
          <w:p w14:paraId="2976FF48">
            <w:pPr>
              <w:jc w:val="center"/>
              <w:rPr>
                <w:rFonts w:ascii="宋体" w:hAnsi="宋体" w:eastAsia="宋体" w:cs="Times New Roman"/>
                <w:b/>
                <w:szCs w:val="21"/>
              </w:rPr>
            </w:pPr>
            <w:r>
              <w:rPr>
                <w:rFonts w:ascii="宋体" w:hAnsi="宋体" w:eastAsia="宋体" w:cs="Times New Roman"/>
                <w:b/>
                <w:szCs w:val="21"/>
              </w:rPr>
              <w:t>课程目标</w:t>
            </w:r>
          </w:p>
        </w:tc>
        <w:tc>
          <w:tcPr>
            <w:tcW w:w="2513" w:type="dxa"/>
            <w:shd w:val="clear" w:color="auto" w:fill="FFFFFF"/>
            <w:vAlign w:val="center"/>
          </w:tcPr>
          <w:p w14:paraId="51B8902C">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1011" w:type="dxa"/>
            <w:shd w:val="clear" w:color="auto" w:fill="FFFFFF"/>
            <w:vAlign w:val="center"/>
          </w:tcPr>
          <w:p w14:paraId="307D6C2A">
            <w:pPr>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p>
          <w:p w14:paraId="11E41BF4">
            <w:pPr>
              <w:jc w:val="center"/>
              <w:rPr>
                <w:rFonts w:ascii="宋体" w:hAnsi="宋体" w:eastAsia="宋体" w:cs="Times New Roman"/>
                <w:b/>
                <w:szCs w:val="21"/>
              </w:rPr>
            </w:pPr>
            <w:r>
              <w:rPr>
                <w:rFonts w:ascii="宋体" w:hAnsi="宋体" w:eastAsia="宋体" w:cs="Times New Roman"/>
                <w:b/>
                <w:szCs w:val="21"/>
              </w:rPr>
              <w:t>学时</w:t>
            </w:r>
          </w:p>
        </w:tc>
      </w:tr>
      <w:tr w14:paraId="2485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90" w:type="dxa"/>
            <w:shd w:val="clear" w:color="auto" w:fill="FFFFFF"/>
            <w:vAlign w:val="center"/>
          </w:tcPr>
          <w:p w14:paraId="29019AE6">
            <w:pPr>
              <w:jc w:val="center"/>
              <w:rPr>
                <w:rFonts w:ascii="宋体" w:hAnsi="宋体" w:eastAsia="宋体" w:cs="Times New Roman"/>
                <w:szCs w:val="21"/>
              </w:rPr>
            </w:pPr>
            <w:r>
              <w:rPr>
                <w:rFonts w:hint="eastAsia" w:ascii="宋体" w:hAnsi="宋体" w:eastAsia="宋体" w:cs="Times New Roman"/>
                <w:szCs w:val="21"/>
              </w:rPr>
              <w:t>1</w:t>
            </w:r>
          </w:p>
        </w:tc>
        <w:tc>
          <w:tcPr>
            <w:tcW w:w="3018" w:type="dxa"/>
            <w:shd w:val="clear" w:color="auto" w:fill="FFFFFF"/>
          </w:tcPr>
          <w:p w14:paraId="134BAC47">
            <w:pPr>
              <w:rPr>
                <w:rFonts w:ascii="Times New Roman" w:hAnsi="Times New Roman" w:eastAsia="宋体" w:cs="Times New Roman"/>
                <w:szCs w:val="21"/>
              </w:rPr>
            </w:pPr>
            <w:r>
              <w:rPr>
                <w:rFonts w:hint="eastAsia" w:ascii="Times New Roman" w:hAnsi="Times New Roman" w:eastAsia="宋体" w:cs="Times New Roman"/>
                <w:bCs/>
                <w:szCs w:val="21"/>
              </w:rPr>
              <w:t>教育研究数据文件的建立</w:t>
            </w:r>
          </w:p>
        </w:tc>
        <w:tc>
          <w:tcPr>
            <w:tcW w:w="1353" w:type="dxa"/>
            <w:shd w:val="clear" w:color="auto" w:fill="FFFFFF"/>
            <w:vAlign w:val="center"/>
          </w:tcPr>
          <w:p w14:paraId="63941619">
            <w:pPr>
              <w:jc w:val="center"/>
              <w:rPr>
                <w:rFonts w:ascii="Times New Roman" w:hAnsi="Times New Roman" w:eastAsia="宋体" w:cs="Times New Roman"/>
                <w:szCs w:val="21"/>
              </w:rPr>
            </w:pPr>
            <w:r>
              <w:rPr>
                <w:rFonts w:hint="eastAsia" w:ascii="宋体" w:hAnsi="宋体" w:eastAsia="宋体" w:cs="Times New Roman"/>
                <w:kern w:val="0"/>
                <w:szCs w:val="21"/>
              </w:rPr>
              <w:t>目标1</w:t>
            </w:r>
          </w:p>
        </w:tc>
        <w:tc>
          <w:tcPr>
            <w:tcW w:w="2513" w:type="dxa"/>
            <w:shd w:val="clear" w:color="auto" w:fill="FFFFFF"/>
            <w:vAlign w:val="center"/>
          </w:tcPr>
          <w:p w14:paraId="3F25928F">
            <w:pPr>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1011" w:type="dxa"/>
            <w:shd w:val="clear" w:color="auto" w:fill="FFFFFF"/>
            <w:vAlign w:val="center"/>
          </w:tcPr>
          <w:p w14:paraId="6D370C47">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1F13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0" w:type="dxa"/>
            <w:vAlign w:val="center"/>
          </w:tcPr>
          <w:p w14:paraId="7FCBAD11">
            <w:pPr>
              <w:jc w:val="center"/>
              <w:rPr>
                <w:rFonts w:ascii="宋体" w:hAnsi="宋体" w:eastAsia="宋体" w:cs="Times New Roman"/>
                <w:szCs w:val="21"/>
              </w:rPr>
            </w:pPr>
            <w:r>
              <w:rPr>
                <w:rFonts w:hint="eastAsia" w:ascii="宋体" w:hAnsi="宋体" w:eastAsia="宋体" w:cs="Times New Roman"/>
                <w:szCs w:val="21"/>
              </w:rPr>
              <w:t>2</w:t>
            </w:r>
          </w:p>
        </w:tc>
        <w:tc>
          <w:tcPr>
            <w:tcW w:w="3018" w:type="dxa"/>
          </w:tcPr>
          <w:p w14:paraId="053763F9">
            <w:pPr>
              <w:rPr>
                <w:rFonts w:ascii="Times New Roman" w:hAnsi="Times New Roman" w:eastAsia="宋体" w:cs="Times New Roman"/>
                <w:szCs w:val="21"/>
              </w:rPr>
            </w:pPr>
            <w:r>
              <w:rPr>
                <w:rFonts w:hint="eastAsia" w:ascii="Times New Roman" w:hAnsi="Times New Roman" w:eastAsia="宋体" w:cs="Times New Roman"/>
                <w:bCs/>
                <w:szCs w:val="21"/>
              </w:rPr>
              <w:t>教育研究数据文件的预处理</w:t>
            </w:r>
          </w:p>
        </w:tc>
        <w:tc>
          <w:tcPr>
            <w:tcW w:w="1353" w:type="dxa"/>
            <w:vAlign w:val="center"/>
          </w:tcPr>
          <w:p w14:paraId="42733D68">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0B670155">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4335AB29">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3B76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90" w:type="dxa"/>
            <w:vAlign w:val="center"/>
          </w:tcPr>
          <w:p w14:paraId="633BBA14">
            <w:pPr>
              <w:jc w:val="center"/>
              <w:rPr>
                <w:rFonts w:ascii="宋体" w:hAnsi="宋体" w:eastAsia="宋体" w:cs="Times New Roman"/>
                <w:szCs w:val="21"/>
              </w:rPr>
            </w:pPr>
            <w:r>
              <w:rPr>
                <w:rFonts w:hint="eastAsia" w:ascii="宋体" w:hAnsi="宋体" w:eastAsia="宋体" w:cs="Times New Roman"/>
                <w:szCs w:val="21"/>
              </w:rPr>
              <w:t>3</w:t>
            </w:r>
          </w:p>
        </w:tc>
        <w:tc>
          <w:tcPr>
            <w:tcW w:w="3018" w:type="dxa"/>
          </w:tcPr>
          <w:p w14:paraId="715B5B15">
            <w:pPr>
              <w:rPr>
                <w:rFonts w:ascii="Times New Roman" w:hAnsi="Times New Roman" w:eastAsia="宋体" w:cs="Times New Roman"/>
                <w:bCs/>
                <w:szCs w:val="21"/>
              </w:rPr>
            </w:pPr>
            <w:r>
              <w:rPr>
                <w:rFonts w:ascii="Times New Roman" w:hAnsi="Times New Roman" w:eastAsia="宋体" w:cs="Times New Roman"/>
                <w:bCs/>
                <w:szCs w:val="21"/>
              </w:rPr>
              <w:t>教育研究数据的统计图表</w:t>
            </w:r>
          </w:p>
        </w:tc>
        <w:tc>
          <w:tcPr>
            <w:tcW w:w="1353" w:type="dxa"/>
            <w:vAlign w:val="center"/>
          </w:tcPr>
          <w:p w14:paraId="479E6438">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76C48444">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7DD4E5B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0696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90" w:type="dxa"/>
            <w:vAlign w:val="center"/>
          </w:tcPr>
          <w:p w14:paraId="6145D330">
            <w:pPr>
              <w:jc w:val="center"/>
              <w:rPr>
                <w:rFonts w:ascii="宋体" w:hAnsi="宋体" w:eastAsia="宋体" w:cs="Times New Roman"/>
                <w:szCs w:val="21"/>
              </w:rPr>
            </w:pPr>
            <w:r>
              <w:rPr>
                <w:rFonts w:hint="eastAsia" w:ascii="宋体" w:hAnsi="宋体" w:eastAsia="宋体" w:cs="Times New Roman"/>
                <w:szCs w:val="21"/>
              </w:rPr>
              <w:t>4</w:t>
            </w:r>
          </w:p>
        </w:tc>
        <w:tc>
          <w:tcPr>
            <w:tcW w:w="3018" w:type="dxa"/>
          </w:tcPr>
          <w:p w14:paraId="27CBD84F">
            <w:pPr>
              <w:rPr>
                <w:rFonts w:ascii="Times New Roman" w:hAnsi="Times New Roman" w:eastAsia="宋体" w:cs="Times New Roman"/>
                <w:bCs/>
                <w:szCs w:val="21"/>
              </w:rPr>
            </w:pPr>
            <w:r>
              <w:rPr>
                <w:rFonts w:hint="eastAsia" w:ascii="Times New Roman" w:hAnsi="Times New Roman" w:eastAsia="宋体" w:cs="Times New Roman"/>
                <w:bCs/>
                <w:szCs w:val="21"/>
              </w:rPr>
              <w:t>教育研究数据的描述统计分析</w:t>
            </w:r>
          </w:p>
        </w:tc>
        <w:tc>
          <w:tcPr>
            <w:tcW w:w="1353" w:type="dxa"/>
            <w:vAlign w:val="center"/>
          </w:tcPr>
          <w:p w14:paraId="0466AE3E">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3E3930DD">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347E4680">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5522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90" w:type="dxa"/>
            <w:vAlign w:val="center"/>
          </w:tcPr>
          <w:p w14:paraId="1085903F">
            <w:pPr>
              <w:jc w:val="center"/>
              <w:rPr>
                <w:rFonts w:ascii="宋体" w:hAnsi="宋体" w:eastAsia="宋体" w:cs="Times New Roman"/>
                <w:szCs w:val="21"/>
              </w:rPr>
            </w:pPr>
            <w:r>
              <w:rPr>
                <w:rFonts w:hint="eastAsia" w:ascii="宋体" w:hAnsi="宋体" w:eastAsia="宋体" w:cs="Times New Roman"/>
                <w:szCs w:val="21"/>
              </w:rPr>
              <w:t>5</w:t>
            </w:r>
          </w:p>
        </w:tc>
        <w:tc>
          <w:tcPr>
            <w:tcW w:w="3018" w:type="dxa"/>
          </w:tcPr>
          <w:p w14:paraId="56B41DF6">
            <w:pPr>
              <w:rPr>
                <w:rFonts w:ascii="Times New Roman" w:hAnsi="Times New Roman" w:eastAsia="宋体" w:cs="Times New Roman"/>
                <w:szCs w:val="21"/>
              </w:rPr>
            </w:pPr>
            <w:r>
              <w:rPr>
                <w:rFonts w:hint="eastAsia" w:ascii="Times New Roman" w:hAnsi="Times New Roman" w:eastAsia="宋体" w:cs="Times New Roman"/>
                <w:bCs/>
                <w:szCs w:val="21"/>
              </w:rPr>
              <w:t>教育研究数据的相关分析</w:t>
            </w:r>
          </w:p>
        </w:tc>
        <w:tc>
          <w:tcPr>
            <w:tcW w:w="1353" w:type="dxa"/>
            <w:vAlign w:val="center"/>
          </w:tcPr>
          <w:p w14:paraId="4E2EE438">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04952C19">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190074B2">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14:paraId="08F6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90" w:type="dxa"/>
            <w:vAlign w:val="center"/>
          </w:tcPr>
          <w:p w14:paraId="49989BA2">
            <w:pPr>
              <w:jc w:val="center"/>
              <w:rPr>
                <w:rFonts w:ascii="宋体" w:hAnsi="宋体" w:eastAsia="宋体" w:cs="Times New Roman"/>
                <w:szCs w:val="21"/>
              </w:rPr>
            </w:pPr>
            <w:r>
              <w:rPr>
                <w:rFonts w:hint="eastAsia" w:ascii="宋体" w:hAnsi="宋体" w:eastAsia="宋体" w:cs="Times New Roman"/>
                <w:szCs w:val="21"/>
              </w:rPr>
              <w:t>6</w:t>
            </w:r>
          </w:p>
        </w:tc>
        <w:tc>
          <w:tcPr>
            <w:tcW w:w="3018" w:type="dxa"/>
          </w:tcPr>
          <w:p w14:paraId="38F26775">
            <w:pPr>
              <w:rPr>
                <w:rFonts w:ascii="Times New Roman" w:hAnsi="Times New Roman" w:eastAsia="宋体" w:cs="Times New Roman"/>
                <w:szCs w:val="21"/>
              </w:rPr>
            </w:pPr>
            <w:r>
              <w:rPr>
                <w:rFonts w:hint="eastAsia" w:ascii="Times New Roman" w:hAnsi="Times New Roman" w:eastAsia="宋体" w:cs="Times New Roman"/>
                <w:bCs/>
                <w:szCs w:val="21"/>
              </w:rPr>
              <w:t>教育研究数据的参数检验</w:t>
            </w:r>
          </w:p>
        </w:tc>
        <w:tc>
          <w:tcPr>
            <w:tcW w:w="1353" w:type="dxa"/>
            <w:vAlign w:val="center"/>
          </w:tcPr>
          <w:p w14:paraId="07234499">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7C27B97D">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226F35F1">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14:paraId="0FA8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Align w:val="center"/>
          </w:tcPr>
          <w:p w14:paraId="1E418A24">
            <w:pPr>
              <w:jc w:val="center"/>
              <w:rPr>
                <w:rFonts w:ascii="宋体" w:hAnsi="宋体" w:eastAsia="宋体" w:cs="Times New Roman"/>
                <w:szCs w:val="21"/>
              </w:rPr>
            </w:pPr>
            <w:r>
              <w:rPr>
                <w:rFonts w:hint="eastAsia" w:ascii="宋体" w:hAnsi="宋体" w:eastAsia="宋体" w:cs="Times New Roman"/>
                <w:szCs w:val="21"/>
              </w:rPr>
              <w:t>7</w:t>
            </w:r>
          </w:p>
        </w:tc>
        <w:tc>
          <w:tcPr>
            <w:tcW w:w="3018" w:type="dxa"/>
          </w:tcPr>
          <w:p w14:paraId="7069330E">
            <w:pPr>
              <w:rPr>
                <w:rFonts w:ascii="Times New Roman" w:hAnsi="Times New Roman" w:eastAsia="宋体" w:cs="Times New Roman"/>
                <w:szCs w:val="21"/>
              </w:rPr>
            </w:pPr>
            <w:r>
              <w:rPr>
                <w:rFonts w:hint="eastAsia" w:ascii="Times New Roman" w:hAnsi="Times New Roman" w:eastAsia="宋体" w:cs="Times New Roman"/>
                <w:bCs/>
                <w:szCs w:val="21"/>
              </w:rPr>
              <w:t>教育研究数据的非参数检验</w:t>
            </w:r>
          </w:p>
        </w:tc>
        <w:tc>
          <w:tcPr>
            <w:tcW w:w="1353" w:type="dxa"/>
            <w:vAlign w:val="center"/>
          </w:tcPr>
          <w:p w14:paraId="60F08870">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5CC6E6E1">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0509277E">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758B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0" w:type="dxa"/>
            <w:vAlign w:val="center"/>
          </w:tcPr>
          <w:p w14:paraId="45C7ABE3">
            <w:pPr>
              <w:jc w:val="center"/>
              <w:rPr>
                <w:rFonts w:ascii="宋体" w:hAnsi="宋体" w:eastAsia="宋体" w:cs="Times New Roman"/>
                <w:szCs w:val="21"/>
              </w:rPr>
            </w:pPr>
            <w:r>
              <w:rPr>
                <w:rFonts w:hint="eastAsia" w:ascii="宋体" w:hAnsi="宋体" w:eastAsia="宋体" w:cs="Times New Roman"/>
                <w:szCs w:val="21"/>
              </w:rPr>
              <w:t>8</w:t>
            </w:r>
          </w:p>
        </w:tc>
        <w:tc>
          <w:tcPr>
            <w:tcW w:w="3018" w:type="dxa"/>
          </w:tcPr>
          <w:p w14:paraId="6A884F8C">
            <w:pPr>
              <w:rPr>
                <w:rFonts w:ascii="Times New Roman" w:hAnsi="Times New Roman" w:eastAsia="宋体" w:cs="Times New Roman"/>
                <w:szCs w:val="21"/>
              </w:rPr>
            </w:pPr>
            <w:r>
              <w:rPr>
                <w:rFonts w:hint="eastAsia" w:ascii="Times New Roman" w:hAnsi="Times New Roman" w:eastAsia="宋体" w:cs="Times New Roman"/>
                <w:bCs/>
                <w:szCs w:val="21"/>
              </w:rPr>
              <w:t>教育研究数据的</w:t>
            </w:r>
            <w:r>
              <w:rPr>
                <w:rFonts w:hint="eastAsia" w:ascii="Times New Roman" w:hAnsi="Times New Roman" w:eastAsia="宋体" w:cs="Times New Roman"/>
                <w:szCs w:val="21"/>
              </w:rPr>
              <w:t>方差分析</w:t>
            </w:r>
          </w:p>
        </w:tc>
        <w:tc>
          <w:tcPr>
            <w:tcW w:w="1353" w:type="dxa"/>
            <w:vAlign w:val="center"/>
          </w:tcPr>
          <w:p w14:paraId="19E21246">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67FB4560">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553F9E28">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14:paraId="2488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90" w:type="dxa"/>
            <w:vAlign w:val="center"/>
          </w:tcPr>
          <w:p w14:paraId="322F75B9">
            <w:pPr>
              <w:jc w:val="center"/>
              <w:rPr>
                <w:rFonts w:ascii="宋体" w:hAnsi="宋体" w:eastAsia="宋体" w:cs="Times New Roman"/>
                <w:szCs w:val="21"/>
              </w:rPr>
            </w:pPr>
            <w:r>
              <w:rPr>
                <w:rFonts w:hint="eastAsia" w:ascii="宋体" w:hAnsi="宋体" w:eastAsia="宋体" w:cs="Times New Roman"/>
                <w:szCs w:val="21"/>
              </w:rPr>
              <w:t>9</w:t>
            </w:r>
          </w:p>
        </w:tc>
        <w:tc>
          <w:tcPr>
            <w:tcW w:w="3018" w:type="dxa"/>
          </w:tcPr>
          <w:p w14:paraId="6C11996B">
            <w:pPr>
              <w:rPr>
                <w:rFonts w:ascii="Times New Roman" w:hAnsi="Times New Roman" w:eastAsia="宋体" w:cs="Times New Roman"/>
                <w:szCs w:val="21"/>
              </w:rPr>
            </w:pPr>
            <w:r>
              <w:rPr>
                <w:rFonts w:hint="eastAsia" w:ascii="Times New Roman" w:hAnsi="Times New Roman" w:eastAsia="宋体" w:cs="Times New Roman"/>
                <w:bCs/>
                <w:szCs w:val="21"/>
              </w:rPr>
              <w:t>教育研究数据的回归分析</w:t>
            </w:r>
          </w:p>
        </w:tc>
        <w:tc>
          <w:tcPr>
            <w:tcW w:w="1353" w:type="dxa"/>
            <w:vAlign w:val="center"/>
          </w:tcPr>
          <w:p w14:paraId="74C1EC41">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269833DA">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435EFFFE">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4CF4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90" w:type="dxa"/>
            <w:vAlign w:val="center"/>
          </w:tcPr>
          <w:p w14:paraId="499C0BAB">
            <w:pPr>
              <w:jc w:val="center"/>
              <w:rPr>
                <w:rFonts w:ascii="宋体" w:hAnsi="宋体" w:eastAsia="宋体" w:cs="Times New Roman"/>
                <w:szCs w:val="21"/>
              </w:rPr>
            </w:pPr>
            <w:r>
              <w:rPr>
                <w:rFonts w:hint="eastAsia" w:ascii="宋体" w:hAnsi="宋体" w:eastAsia="宋体" w:cs="Times New Roman"/>
                <w:szCs w:val="21"/>
              </w:rPr>
              <w:t>10</w:t>
            </w:r>
          </w:p>
        </w:tc>
        <w:tc>
          <w:tcPr>
            <w:tcW w:w="3018" w:type="dxa"/>
          </w:tcPr>
          <w:p w14:paraId="051ACC4B">
            <w:pPr>
              <w:rPr>
                <w:rFonts w:ascii="Times New Roman" w:hAnsi="Times New Roman" w:eastAsia="宋体" w:cs="Times New Roman"/>
                <w:bCs/>
                <w:szCs w:val="21"/>
              </w:rPr>
            </w:pPr>
            <w:r>
              <w:rPr>
                <w:rFonts w:hint="eastAsia" w:ascii="Times New Roman" w:hAnsi="Times New Roman" w:eastAsia="宋体" w:cs="Times New Roman"/>
                <w:bCs/>
                <w:szCs w:val="21"/>
              </w:rPr>
              <w:t>基于结构方程模型的教育研究数据分析</w:t>
            </w:r>
          </w:p>
        </w:tc>
        <w:tc>
          <w:tcPr>
            <w:tcW w:w="1353" w:type="dxa"/>
            <w:vAlign w:val="center"/>
          </w:tcPr>
          <w:p w14:paraId="1E2D5F93">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5A023319">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2D266A6C">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r>
      <w:tr w14:paraId="14A6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90" w:type="dxa"/>
            <w:vAlign w:val="center"/>
          </w:tcPr>
          <w:p w14:paraId="22185C02">
            <w:pPr>
              <w:jc w:val="center"/>
              <w:rPr>
                <w:rFonts w:ascii="宋体" w:hAnsi="宋体" w:eastAsia="宋体" w:cs="Times New Roman"/>
                <w:szCs w:val="21"/>
              </w:rPr>
            </w:pPr>
            <w:r>
              <w:rPr>
                <w:rFonts w:hint="eastAsia" w:ascii="宋体" w:hAnsi="宋体" w:eastAsia="宋体" w:cs="Times New Roman"/>
                <w:szCs w:val="21"/>
              </w:rPr>
              <w:t>11</w:t>
            </w:r>
          </w:p>
        </w:tc>
        <w:tc>
          <w:tcPr>
            <w:tcW w:w="3018" w:type="dxa"/>
          </w:tcPr>
          <w:p w14:paraId="4032A2D7">
            <w:pPr>
              <w:rPr>
                <w:rFonts w:ascii="Times New Roman" w:hAnsi="Times New Roman" w:eastAsia="宋体" w:cs="Times New Roman"/>
                <w:szCs w:val="21"/>
              </w:rPr>
            </w:pPr>
            <w:r>
              <w:rPr>
                <w:rFonts w:hint="eastAsia" w:ascii="Times New Roman" w:hAnsi="Times New Roman" w:eastAsia="宋体" w:cs="Times New Roman"/>
                <w:bCs/>
                <w:szCs w:val="21"/>
              </w:rPr>
              <w:t>教育测验工具的质量分析</w:t>
            </w:r>
          </w:p>
        </w:tc>
        <w:tc>
          <w:tcPr>
            <w:tcW w:w="1353" w:type="dxa"/>
            <w:vAlign w:val="center"/>
          </w:tcPr>
          <w:p w14:paraId="61CD63B7">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4B5F404C">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7C73914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12B6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dxa"/>
            <w:vAlign w:val="center"/>
          </w:tcPr>
          <w:p w14:paraId="0E461AB5">
            <w:pPr>
              <w:jc w:val="center"/>
              <w:rPr>
                <w:rFonts w:ascii="宋体" w:hAnsi="宋体" w:eastAsia="宋体" w:cs="Times New Roman"/>
                <w:szCs w:val="21"/>
              </w:rPr>
            </w:pPr>
            <w:r>
              <w:rPr>
                <w:rFonts w:hint="eastAsia" w:ascii="宋体" w:hAnsi="宋体" w:eastAsia="宋体" w:cs="Times New Roman"/>
                <w:szCs w:val="21"/>
              </w:rPr>
              <w:t>12</w:t>
            </w:r>
          </w:p>
        </w:tc>
        <w:tc>
          <w:tcPr>
            <w:tcW w:w="3018" w:type="dxa"/>
          </w:tcPr>
          <w:p w14:paraId="57770173">
            <w:pPr>
              <w:rPr>
                <w:rFonts w:ascii="Times New Roman" w:hAnsi="Times New Roman" w:eastAsia="宋体" w:cs="Times New Roman"/>
                <w:szCs w:val="21"/>
              </w:rPr>
            </w:pPr>
            <w:r>
              <w:rPr>
                <w:rFonts w:hint="eastAsia" w:ascii="Times New Roman" w:hAnsi="Times New Roman" w:eastAsia="宋体" w:cs="Times New Roman"/>
                <w:bCs/>
                <w:szCs w:val="21"/>
              </w:rPr>
              <w:t>教育测量项目的质量分析</w:t>
            </w:r>
          </w:p>
        </w:tc>
        <w:tc>
          <w:tcPr>
            <w:tcW w:w="1353" w:type="dxa"/>
            <w:vAlign w:val="center"/>
          </w:tcPr>
          <w:p w14:paraId="20B55D6A">
            <w:pPr>
              <w:jc w:val="center"/>
              <w:rPr>
                <w:rFonts w:ascii="Times New Roman" w:hAnsi="Times New Roman" w:eastAsia="宋体" w:cs="Times New Roman"/>
                <w:szCs w:val="21"/>
              </w:rPr>
            </w:pPr>
            <w:r>
              <w:rPr>
                <w:rFonts w:hint="eastAsia" w:ascii="宋体" w:hAnsi="宋体" w:eastAsia="宋体" w:cs="Times New Roman"/>
                <w:kern w:val="0"/>
                <w:szCs w:val="21"/>
              </w:rPr>
              <w:t>目标1、2</w:t>
            </w:r>
          </w:p>
        </w:tc>
        <w:tc>
          <w:tcPr>
            <w:tcW w:w="2513" w:type="dxa"/>
            <w:vAlign w:val="center"/>
          </w:tcPr>
          <w:p w14:paraId="7B12ECD3">
            <w:pPr>
              <w:jc w:val="center"/>
              <w:rPr>
                <w:rFonts w:ascii="Times New Roman" w:hAnsi="Times New Roman" w:eastAsia="宋体" w:cs="Times New Roman"/>
                <w:szCs w:val="21"/>
              </w:rPr>
            </w:pPr>
            <w:r>
              <w:rPr>
                <w:rFonts w:hint="eastAsia" w:ascii="Times New Roman" w:hAnsi="Times New Roman" w:eastAsia="宋体" w:cs="Times New Roman"/>
                <w:szCs w:val="21"/>
              </w:rPr>
              <w:t>4-4、7-3</w:t>
            </w:r>
          </w:p>
        </w:tc>
        <w:tc>
          <w:tcPr>
            <w:tcW w:w="1011" w:type="dxa"/>
            <w:vAlign w:val="center"/>
          </w:tcPr>
          <w:p w14:paraId="47C0326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r>
      <w:tr w14:paraId="1225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75" w:type="dxa"/>
            <w:gridSpan w:val="4"/>
            <w:vAlign w:val="center"/>
          </w:tcPr>
          <w:p w14:paraId="72F9FDEB">
            <w:pPr>
              <w:jc w:val="center"/>
              <w:rPr>
                <w:rFonts w:ascii="宋体" w:hAnsi="宋体" w:eastAsia="宋体" w:cs="Times New Roman"/>
                <w:szCs w:val="21"/>
              </w:rPr>
            </w:pPr>
            <w:r>
              <w:rPr>
                <w:rFonts w:ascii="宋体" w:hAnsi="宋体" w:eastAsia="宋体" w:cs="Times New Roman"/>
                <w:szCs w:val="21"/>
              </w:rPr>
              <w:t>合计</w:t>
            </w:r>
          </w:p>
        </w:tc>
        <w:tc>
          <w:tcPr>
            <w:tcW w:w="1011" w:type="dxa"/>
            <w:vAlign w:val="center"/>
          </w:tcPr>
          <w:p w14:paraId="61A48385">
            <w:pPr>
              <w:jc w:val="center"/>
              <w:rPr>
                <w:rFonts w:ascii="宋体" w:hAnsi="宋体" w:eastAsia="宋体" w:cs="Times New Roman"/>
                <w:kern w:val="0"/>
                <w:szCs w:val="21"/>
              </w:rPr>
            </w:pPr>
            <w:r>
              <w:rPr>
                <w:rFonts w:hint="eastAsia" w:ascii="宋体" w:hAnsi="宋体" w:eastAsia="宋体" w:cs="Times New Roman"/>
                <w:kern w:val="0"/>
                <w:szCs w:val="21"/>
              </w:rPr>
              <w:t>48</w:t>
            </w:r>
          </w:p>
        </w:tc>
      </w:tr>
    </w:tbl>
    <w:p w14:paraId="2A103DA7">
      <w:pPr>
        <w:spacing w:line="360" w:lineRule="auto"/>
        <w:rPr>
          <w:rFonts w:ascii="Times New Roman" w:hAnsi="Times New Roman" w:eastAsia="宋体" w:cs="Times New Roman"/>
          <w:b/>
          <w:sz w:val="24"/>
          <w:szCs w:val="24"/>
        </w:rPr>
      </w:pPr>
    </w:p>
    <w:p w14:paraId="2CF06EE5">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五、课程实施</w:t>
      </w:r>
    </w:p>
    <w:p w14:paraId="510DC4CF">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（一）教学方法与教学手段</w:t>
      </w:r>
    </w:p>
    <w:p w14:paraId="76E71B9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 注重以情境为中心的案例教学。本课程由于涉及数学原理多，过于抽象，学生不容易理解，学习动机不强。为此，对这部分内容的教学需要借助于基于教育情境的案例来进行。一方面，通过丰富而形象的情境化案例，可以帮助学生更好地建构对各种统计原理与概念的理解；另一方面，基于情景化案例的教学，也有利于帮助学生将理论与实践相联系，促进其更好地进行知识迁移，进而利于其未来的教育实践；此外，基于情景化案例的教学，也有利于学生学习动机的提高，而且这类学习不容易疲劳，有利于保持其学习的注意力。</w:t>
      </w:r>
    </w:p>
    <w:p w14:paraId="1D49F32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 注重“从做中学”的方法。本课程将学生的操作训练与统计原理结合。一方面，这有利于帮助学生深入理解和运用各类统计与测量原理与方法；另一方面，这有利于学生批判性思维意识与能力的发展，有利于其创新性的发展。</w:t>
      </w:r>
    </w:p>
    <w:p w14:paraId="67A3318D">
      <w:pPr>
        <w:spacing w:line="360" w:lineRule="auto"/>
        <w:ind w:firstLine="480" w:firstLineChars="200"/>
        <w:rPr>
          <w:rFonts w:ascii="宋体" w:hAnsi="宋体" w:eastAsia="宋体" w:cs="Times New Roman"/>
          <w:sz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 xml:space="preserve"> </w:t>
      </w:r>
      <w:r>
        <w:rPr>
          <w:rFonts w:hint="eastAsia" w:ascii="宋体" w:hAnsi="宋体" w:eastAsia="宋体" w:cs="Times New Roman"/>
          <w:sz w:val="24"/>
        </w:rPr>
        <w:t>紧密结合教育统计与测量最新研究成果，及时调整和补充学科前沿知识。</w:t>
      </w:r>
    </w:p>
    <w:p w14:paraId="4703F47E">
      <w:pPr>
        <w:spacing w:line="360" w:lineRule="auto"/>
        <w:ind w:firstLine="482" w:firstLineChars="200"/>
        <w:rPr>
          <w:rFonts w:ascii="宋体" w:hAnsi="宋体" w:eastAsia="宋体" w:cs="Times New Roman"/>
          <w:b/>
          <w:bCs/>
          <w:sz w:val="24"/>
        </w:rPr>
      </w:pPr>
      <w:r>
        <w:rPr>
          <w:rFonts w:hint="eastAsia" w:ascii="Times New Roman" w:hAnsi="Times New Roman" w:eastAsia="宋体" w:cs="Times New Roman"/>
          <w:b/>
          <w:sz w:val="24"/>
          <w:szCs w:val="24"/>
        </w:rPr>
        <w:t>（二）课程实施与保障</w:t>
      </w:r>
    </w:p>
    <w:p w14:paraId="14ACC777">
      <w:pPr>
        <w:spacing w:line="360" w:lineRule="auto"/>
        <w:ind w:firstLine="482" w:firstLineChars="200"/>
        <w:rPr>
          <w:rFonts w:ascii="宋体" w:hAnsi="宋体" w:eastAsia="宋体" w:cs="Times New Roman"/>
          <w:b/>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30"/>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844"/>
        <w:gridCol w:w="7970"/>
      </w:tblGrid>
      <w:tr w14:paraId="4D76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439" w:type="dxa"/>
            <w:gridSpan w:val="2"/>
            <w:tcBorders>
              <w:top w:val="single" w:color="auto" w:sz="8" w:space="0"/>
              <w:left w:val="single" w:color="auto" w:sz="8" w:space="0"/>
              <w:right w:val="single" w:color="auto" w:sz="8" w:space="0"/>
            </w:tcBorders>
            <w:tcMar>
              <w:left w:w="28" w:type="dxa"/>
              <w:right w:w="28" w:type="dxa"/>
            </w:tcMar>
            <w:vAlign w:val="center"/>
          </w:tcPr>
          <w:p w14:paraId="680339E7">
            <w:pPr>
              <w:jc w:val="center"/>
              <w:rPr>
                <w:rFonts w:ascii="宋体" w:hAnsi="宋体" w:eastAsia="宋体" w:cs="Times New Roman"/>
                <w:b/>
                <w:szCs w:val="21"/>
              </w:rPr>
            </w:pPr>
            <w:r>
              <w:rPr>
                <w:rFonts w:ascii="宋体" w:hAnsi="宋体" w:eastAsia="宋体" w:cs="Times New Roman"/>
                <w:b/>
                <w:bCs/>
                <w:szCs w:val="21"/>
              </w:rPr>
              <w:t>主要教学环节</w:t>
            </w:r>
          </w:p>
        </w:tc>
        <w:tc>
          <w:tcPr>
            <w:tcW w:w="7970" w:type="dxa"/>
            <w:tcBorders>
              <w:top w:val="single" w:color="auto" w:sz="8" w:space="0"/>
              <w:left w:val="single" w:color="auto" w:sz="8" w:space="0"/>
              <w:right w:val="single" w:color="auto" w:sz="8" w:space="0"/>
            </w:tcBorders>
            <w:vAlign w:val="center"/>
          </w:tcPr>
          <w:p w14:paraId="7E994EC0">
            <w:pPr>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7D38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5" w:type="dxa"/>
            <w:tcBorders>
              <w:left w:val="single" w:color="auto" w:sz="8" w:space="0"/>
            </w:tcBorders>
            <w:vAlign w:val="center"/>
          </w:tcPr>
          <w:p w14:paraId="6FA170B4">
            <w:pPr>
              <w:jc w:val="center"/>
              <w:rPr>
                <w:rFonts w:ascii="宋体" w:hAnsi="宋体" w:eastAsia="宋体" w:cs="Times New Roman"/>
                <w:szCs w:val="21"/>
              </w:rPr>
            </w:pPr>
            <w:r>
              <w:rPr>
                <w:rFonts w:ascii="宋体" w:hAnsi="宋体" w:eastAsia="宋体" w:cs="Times New Roman"/>
                <w:szCs w:val="21"/>
              </w:rPr>
              <w:t>1</w:t>
            </w:r>
          </w:p>
        </w:tc>
        <w:tc>
          <w:tcPr>
            <w:tcW w:w="844" w:type="dxa"/>
            <w:tcMar>
              <w:left w:w="28" w:type="dxa"/>
              <w:right w:w="28" w:type="dxa"/>
            </w:tcMar>
            <w:vAlign w:val="center"/>
          </w:tcPr>
          <w:p w14:paraId="37482F38">
            <w:pPr>
              <w:jc w:val="center"/>
              <w:rPr>
                <w:rFonts w:ascii="宋体" w:hAnsi="宋体" w:eastAsia="宋体" w:cs="Times New Roman"/>
                <w:szCs w:val="21"/>
              </w:rPr>
            </w:pPr>
            <w:r>
              <w:rPr>
                <w:rFonts w:ascii="宋体" w:hAnsi="宋体" w:eastAsia="宋体" w:cs="Times New Roman"/>
                <w:szCs w:val="21"/>
              </w:rPr>
              <w:t>备课</w:t>
            </w:r>
          </w:p>
        </w:tc>
        <w:tc>
          <w:tcPr>
            <w:tcW w:w="7970" w:type="dxa"/>
            <w:tcBorders>
              <w:right w:val="single" w:color="auto" w:sz="8" w:space="0"/>
            </w:tcBorders>
            <w:vAlign w:val="center"/>
          </w:tcPr>
          <w:p w14:paraId="2B23AA48">
            <w:pPr>
              <w:rPr>
                <w:rFonts w:ascii="Times New Roman" w:hAnsi="Times New Roman" w:eastAsia="宋体" w:cs="Times New Roman"/>
                <w:szCs w:val="21"/>
              </w:rPr>
            </w:pPr>
            <w:r>
              <w:rPr>
                <w:rFonts w:hint="eastAsia" w:ascii="Times New Roman" w:hAnsi="Times New Roman" w:eastAsia="宋体" w:cs="Times New Roman"/>
                <w:szCs w:val="21"/>
              </w:rPr>
              <w:t>（1）教师</w:t>
            </w:r>
            <w:r>
              <w:rPr>
                <w:rFonts w:ascii="Times New Roman" w:hAnsi="Times New Roman" w:eastAsia="宋体" w:cs="Times New Roman"/>
                <w:szCs w:val="21"/>
              </w:rPr>
              <w:t>掌握本课程教学大纲内容，严格按照教学大纲要求进行课程教学内容的组织。</w:t>
            </w:r>
          </w:p>
          <w:p w14:paraId="2DAE9237">
            <w:pP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教师查阅相关资料，参考其他高校相关专业的经验，认真编写教案，制作课件</w:t>
            </w:r>
            <w:r>
              <w:rPr>
                <w:rFonts w:ascii="Times New Roman" w:hAnsi="Times New Roman" w:eastAsia="宋体" w:cs="Times New Roman"/>
                <w:szCs w:val="21"/>
              </w:rPr>
              <w:t>。</w:t>
            </w:r>
          </w:p>
          <w:p w14:paraId="40B9EEB3">
            <w:pPr>
              <w:rPr>
                <w:rFonts w:ascii="宋体" w:hAnsi="宋体"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w:t>
            </w:r>
            <w:r>
              <w:rPr>
                <w:rFonts w:hint="eastAsia" w:ascii="Times New Roman" w:hAnsi="Times New Roman" w:eastAsia="宋体" w:cs="Times New Roman"/>
                <w:szCs w:val="21"/>
              </w:rPr>
              <w:t>主题的教学</w:t>
            </w:r>
            <w:r>
              <w:rPr>
                <w:rFonts w:ascii="Times New Roman" w:hAnsi="Times New Roman" w:eastAsia="宋体" w:cs="Times New Roman"/>
                <w:szCs w:val="21"/>
              </w:rPr>
              <w:t>内容</w:t>
            </w:r>
            <w:r>
              <w:rPr>
                <w:rFonts w:hint="eastAsia" w:ascii="Times New Roman" w:hAnsi="Times New Roman" w:eastAsia="宋体" w:cs="Times New Roman"/>
                <w:szCs w:val="21"/>
              </w:rPr>
              <w:t>，根据学生最近发展区与个性特征，进行教学设计</w:t>
            </w:r>
            <w:r>
              <w:rPr>
                <w:rFonts w:ascii="Times New Roman" w:hAnsi="Times New Roman" w:eastAsia="宋体" w:cs="Times New Roman"/>
                <w:szCs w:val="21"/>
              </w:rPr>
              <w:t>。</w:t>
            </w:r>
          </w:p>
        </w:tc>
      </w:tr>
      <w:tr w14:paraId="5C9F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95" w:type="dxa"/>
            <w:tcBorders>
              <w:left w:val="single" w:color="auto" w:sz="8" w:space="0"/>
            </w:tcBorders>
            <w:vAlign w:val="center"/>
          </w:tcPr>
          <w:p w14:paraId="0A9094F4">
            <w:pPr>
              <w:jc w:val="center"/>
              <w:rPr>
                <w:rFonts w:ascii="宋体" w:hAnsi="宋体" w:eastAsia="宋体" w:cs="Times New Roman"/>
                <w:szCs w:val="21"/>
              </w:rPr>
            </w:pPr>
            <w:r>
              <w:rPr>
                <w:rFonts w:ascii="宋体" w:hAnsi="宋体" w:eastAsia="宋体" w:cs="Times New Roman"/>
                <w:szCs w:val="21"/>
              </w:rPr>
              <w:t>2</w:t>
            </w:r>
          </w:p>
        </w:tc>
        <w:tc>
          <w:tcPr>
            <w:tcW w:w="844" w:type="dxa"/>
            <w:tcMar>
              <w:left w:w="28" w:type="dxa"/>
              <w:right w:w="28" w:type="dxa"/>
            </w:tcMar>
            <w:vAlign w:val="center"/>
          </w:tcPr>
          <w:p w14:paraId="4885A4AD">
            <w:pPr>
              <w:jc w:val="center"/>
              <w:rPr>
                <w:rFonts w:ascii="宋体" w:hAnsi="宋体" w:eastAsia="宋体" w:cs="Times New Roman"/>
                <w:szCs w:val="21"/>
              </w:rPr>
            </w:pPr>
            <w:r>
              <w:rPr>
                <w:rFonts w:ascii="宋体" w:hAnsi="宋体" w:eastAsia="宋体" w:cs="Times New Roman"/>
                <w:szCs w:val="21"/>
              </w:rPr>
              <w:t>讲授</w:t>
            </w:r>
          </w:p>
        </w:tc>
        <w:tc>
          <w:tcPr>
            <w:tcW w:w="7970" w:type="dxa"/>
            <w:tcBorders>
              <w:right w:val="single" w:color="auto" w:sz="8" w:space="0"/>
            </w:tcBorders>
            <w:vAlign w:val="center"/>
          </w:tcPr>
          <w:p w14:paraId="1519C019">
            <w:pPr>
              <w:rPr>
                <w:rFonts w:ascii="Times New Roman" w:hAnsi="Times New Roman" w:eastAsia="宋体" w:cs="Times New Roman"/>
                <w:szCs w:val="21"/>
              </w:rPr>
            </w:pPr>
            <w:r>
              <w:rPr>
                <w:rFonts w:hint="eastAsia" w:ascii="Times New Roman" w:hAnsi="Times New Roman" w:eastAsia="宋体" w:cs="Times New Roman"/>
                <w:szCs w:val="21"/>
              </w:rPr>
              <w:t>（1）教师严格按照常州工学院课堂教学规范组织教学。</w:t>
            </w:r>
          </w:p>
          <w:p w14:paraId="7D1FB73C">
            <w:pPr>
              <w:rPr>
                <w:rFonts w:ascii="Times New Roman" w:hAnsi="Times New Roman" w:eastAsia="宋体" w:cs="Times New Roman"/>
                <w:szCs w:val="21"/>
              </w:rPr>
            </w:pPr>
            <w:r>
              <w:rPr>
                <w:rFonts w:hint="eastAsia" w:ascii="Times New Roman" w:hAnsi="Times New Roman" w:eastAsia="宋体" w:cs="Times New Roman"/>
                <w:szCs w:val="21"/>
              </w:rPr>
              <w:t>（2）教师讲授时应注意</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；力求做到能够</w:t>
            </w:r>
            <w:r>
              <w:rPr>
                <w:rFonts w:ascii="Times New Roman" w:hAnsi="Times New Roman" w:eastAsia="宋体" w:cs="Times New Roman"/>
                <w:szCs w:val="21"/>
              </w:rPr>
              <w:t>理论联系实际</w:t>
            </w:r>
            <w:r>
              <w:rPr>
                <w:rFonts w:hint="eastAsia" w:ascii="Times New Roman" w:hAnsi="Times New Roman" w:eastAsia="宋体" w:cs="Times New Roman"/>
                <w:szCs w:val="21"/>
              </w:rPr>
              <w:t>，深入浅出</w:t>
            </w:r>
            <w:r>
              <w:rPr>
                <w:rFonts w:ascii="Times New Roman" w:hAnsi="Times New Roman" w:eastAsia="宋体" w:cs="Times New Roman"/>
                <w:szCs w:val="21"/>
              </w:rPr>
              <w:t>。</w:t>
            </w:r>
          </w:p>
          <w:p w14:paraId="7A7CC3FC">
            <w:pPr>
              <w:rPr>
                <w:rFonts w:ascii="宋体" w:hAnsi="宋体" w:eastAsia="宋体" w:cs="Times New Roman"/>
                <w:szCs w:val="21"/>
              </w:rPr>
            </w:pPr>
            <w:r>
              <w:rPr>
                <w:rFonts w:hint="eastAsia" w:ascii="Times New Roman" w:hAnsi="Times New Roman" w:eastAsia="宋体" w:cs="Times New Roman"/>
                <w:szCs w:val="21"/>
              </w:rPr>
              <w:t>（3）教师讲授时应</w:t>
            </w:r>
            <w:r>
              <w:rPr>
                <w:rFonts w:ascii="Times New Roman" w:hAnsi="Times New Roman" w:eastAsia="宋体" w:cs="Times New Roman"/>
                <w:szCs w:val="21"/>
              </w:rPr>
              <w:t>采用多种教学方式</w:t>
            </w:r>
            <w:r>
              <w:rPr>
                <w:rFonts w:hint="eastAsia" w:ascii="Times New Roman" w:hAnsi="Times New Roman" w:eastAsia="宋体" w:cs="Times New Roman"/>
                <w:szCs w:val="21"/>
              </w:rPr>
              <w:t>，</w:t>
            </w:r>
            <w:r>
              <w:rPr>
                <w:rFonts w:ascii="Times New Roman" w:hAnsi="Times New Roman" w:eastAsia="宋体" w:cs="Times New Roman"/>
                <w:szCs w:val="21"/>
              </w:rPr>
              <w:t>如案例分析</w:t>
            </w:r>
            <w:r>
              <w:rPr>
                <w:rFonts w:hint="eastAsia" w:ascii="Times New Roman" w:hAnsi="Times New Roman" w:eastAsia="宋体" w:cs="Times New Roman"/>
                <w:szCs w:val="21"/>
              </w:rPr>
              <w:t>式</w:t>
            </w:r>
            <w:r>
              <w:rPr>
                <w:rFonts w:ascii="Times New Roman" w:hAnsi="Times New Roman" w:eastAsia="宋体" w:cs="Times New Roman"/>
                <w:szCs w:val="21"/>
              </w:rPr>
              <w:t>、</w:t>
            </w:r>
            <w:r>
              <w:rPr>
                <w:rFonts w:hint="eastAsia" w:ascii="Times New Roman" w:hAnsi="Times New Roman" w:eastAsia="宋体" w:cs="Times New Roman"/>
                <w:szCs w:val="21"/>
              </w:rPr>
              <w:t>示范</w:t>
            </w:r>
            <w:r>
              <w:rPr>
                <w:rFonts w:ascii="Times New Roman" w:hAnsi="Times New Roman" w:eastAsia="宋体" w:cs="Times New Roman"/>
                <w:szCs w:val="21"/>
              </w:rPr>
              <w:t>式</w:t>
            </w:r>
            <w:r>
              <w:rPr>
                <w:rFonts w:hint="eastAsia" w:ascii="Times New Roman" w:hAnsi="Times New Roman" w:eastAsia="宋体" w:cs="Times New Roman"/>
                <w:szCs w:val="21"/>
              </w:rPr>
              <w:t>等</w:t>
            </w:r>
            <w:r>
              <w:rPr>
                <w:rFonts w:ascii="Times New Roman" w:hAnsi="Times New Roman" w:eastAsia="宋体" w:cs="Times New Roman"/>
                <w:szCs w:val="21"/>
              </w:rPr>
              <w:t>，</w:t>
            </w:r>
            <w:r>
              <w:rPr>
                <w:rFonts w:hint="eastAsia" w:ascii="Times New Roman" w:hAnsi="Times New Roman" w:eastAsia="宋体" w:cs="Times New Roman"/>
                <w:szCs w:val="21"/>
              </w:rPr>
              <w:t>充分调动学生参与课堂学习，培养学生对本专业的兴趣</w:t>
            </w:r>
            <w:r>
              <w:rPr>
                <w:rFonts w:ascii="Times New Roman" w:hAnsi="Times New Roman" w:eastAsia="宋体" w:cs="Times New Roman"/>
                <w:szCs w:val="21"/>
              </w:rPr>
              <w:t>。</w:t>
            </w:r>
          </w:p>
        </w:tc>
      </w:tr>
      <w:tr w14:paraId="5740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atLeast"/>
          <w:jc w:val="center"/>
        </w:trPr>
        <w:tc>
          <w:tcPr>
            <w:tcW w:w="595" w:type="dxa"/>
            <w:tcBorders>
              <w:left w:val="single" w:color="auto" w:sz="8" w:space="0"/>
            </w:tcBorders>
            <w:vAlign w:val="center"/>
          </w:tcPr>
          <w:p w14:paraId="034A800B">
            <w:pPr>
              <w:jc w:val="center"/>
              <w:rPr>
                <w:rFonts w:ascii="宋体" w:hAnsi="宋体" w:eastAsia="宋体" w:cs="Times New Roman"/>
                <w:szCs w:val="21"/>
              </w:rPr>
            </w:pPr>
            <w:r>
              <w:rPr>
                <w:rFonts w:ascii="宋体" w:hAnsi="宋体" w:eastAsia="宋体" w:cs="Times New Roman"/>
                <w:szCs w:val="21"/>
              </w:rPr>
              <w:t>3</w:t>
            </w:r>
          </w:p>
        </w:tc>
        <w:tc>
          <w:tcPr>
            <w:tcW w:w="844" w:type="dxa"/>
            <w:tcMar>
              <w:left w:w="28" w:type="dxa"/>
              <w:right w:w="28" w:type="dxa"/>
            </w:tcMar>
            <w:vAlign w:val="center"/>
          </w:tcPr>
          <w:p w14:paraId="1F4DBA24">
            <w:pPr>
              <w:jc w:val="center"/>
              <w:rPr>
                <w:rFonts w:ascii="宋体" w:hAnsi="宋体" w:eastAsia="宋体" w:cs="Times New Roman"/>
                <w:szCs w:val="21"/>
              </w:rPr>
            </w:pPr>
            <w:r>
              <w:rPr>
                <w:rFonts w:ascii="宋体" w:hAnsi="宋体" w:eastAsia="宋体" w:cs="Times New Roman"/>
                <w:szCs w:val="21"/>
              </w:rPr>
              <w:t>作业布置与批改</w:t>
            </w:r>
          </w:p>
        </w:tc>
        <w:tc>
          <w:tcPr>
            <w:tcW w:w="7970" w:type="dxa"/>
            <w:tcBorders>
              <w:right w:val="single" w:color="auto" w:sz="8" w:space="0"/>
            </w:tcBorders>
            <w:vAlign w:val="center"/>
          </w:tcPr>
          <w:p w14:paraId="4EC923AC">
            <w:pPr>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753B3ADA">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7B065803">
            <w:pPr>
              <w:rPr>
                <w:rFonts w:ascii="Times New Roman" w:hAnsi="Times New Roman" w:eastAsia="宋体" w:cs="Times New Roman"/>
                <w:szCs w:val="21"/>
              </w:rPr>
            </w:pPr>
            <w:r>
              <w:rPr>
                <w:rFonts w:hint="eastAsia" w:ascii="Times New Roman" w:hAnsi="Times New Roman" w:eastAsia="宋体" w:cs="Times New Roman"/>
                <w:szCs w:val="21"/>
              </w:rPr>
              <w:t>（2）书写或打印</w:t>
            </w:r>
            <w:r>
              <w:rPr>
                <w:rFonts w:ascii="Times New Roman" w:hAnsi="Times New Roman" w:eastAsia="宋体" w:cs="Times New Roman"/>
                <w:szCs w:val="21"/>
              </w:rPr>
              <w:t>规范</w:t>
            </w:r>
            <w:r>
              <w:rPr>
                <w:rFonts w:hint="eastAsia" w:ascii="Times New Roman" w:hAnsi="Times New Roman" w:eastAsia="宋体" w:cs="Times New Roman"/>
                <w:szCs w:val="21"/>
              </w:rPr>
              <w:t>。</w:t>
            </w:r>
          </w:p>
          <w:p w14:paraId="1B0CE78C">
            <w:pPr>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3A0E5C8A">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批改，并</w:t>
            </w:r>
            <w:r>
              <w:rPr>
                <w:rFonts w:hint="eastAsia" w:ascii="Times New Roman" w:hAnsi="Times New Roman" w:eastAsia="宋体" w:cs="Times New Roman"/>
                <w:szCs w:val="21"/>
              </w:rPr>
              <w:t>及时进行</w:t>
            </w:r>
            <w:r>
              <w:rPr>
                <w:rFonts w:ascii="Times New Roman" w:hAnsi="Times New Roman" w:eastAsia="宋体" w:cs="Times New Roman"/>
                <w:szCs w:val="21"/>
              </w:rPr>
              <w:t>讲评</w:t>
            </w:r>
            <w:r>
              <w:rPr>
                <w:rFonts w:hint="eastAsia" w:ascii="Times New Roman" w:hAnsi="Times New Roman" w:eastAsia="宋体" w:cs="Times New Roman"/>
                <w:szCs w:val="21"/>
              </w:rPr>
              <w:t>、反馈。</w:t>
            </w:r>
          </w:p>
          <w:p w14:paraId="615F9E68">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1323848D">
            <w:pPr>
              <w:rPr>
                <w:rFonts w:ascii="宋体" w:hAnsi="宋体"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作为本课程总评成绩的重要组成部分。</w:t>
            </w:r>
          </w:p>
        </w:tc>
      </w:tr>
      <w:tr w14:paraId="0FB2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595" w:type="dxa"/>
            <w:tcBorders>
              <w:left w:val="single" w:color="auto" w:sz="8" w:space="0"/>
            </w:tcBorders>
            <w:vAlign w:val="center"/>
          </w:tcPr>
          <w:p w14:paraId="6FCA8AFB">
            <w:pPr>
              <w:jc w:val="center"/>
              <w:rPr>
                <w:rFonts w:ascii="宋体" w:hAnsi="宋体" w:eastAsia="宋体" w:cs="Times New Roman"/>
                <w:szCs w:val="21"/>
              </w:rPr>
            </w:pPr>
            <w:r>
              <w:rPr>
                <w:rFonts w:ascii="宋体" w:hAnsi="宋体" w:eastAsia="宋体" w:cs="Times New Roman"/>
                <w:szCs w:val="21"/>
              </w:rPr>
              <w:t>4</w:t>
            </w:r>
          </w:p>
        </w:tc>
        <w:tc>
          <w:tcPr>
            <w:tcW w:w="844" w:type="dxa"/>
            <w:tcMar>
              <w:left w:w="28" w:type="dxa"/>
              <w:right w:w="28" w:type="dxa"/>
            </w:tcMar>
            <w:vAlign w:val="center"/>
          </w:tcPr>
          <w:p w14:paraId="7951A61D">
            <w:pPr>
              <w:jc w:val="center"/>
              <w:rPr>
                <w:rFonts w:ascii="宋体" w:hAnsi="宋体" w:eastAsia="宋体" w:cs="Times New Roman"/>
                <w:szCs w:val="21"/>
              </w:rPr>
            </w:pPr>
            <w:r>
              <w:rPr>
                <w:rFonts w:ascii="宋体" w:hAnsi="宋体" w:eastAsia="宋体" w:cs="Times New Roman"/>
                <w:szCs w:val="21"/>
              </w:rPr>
              <w:t>课外答疑</w:t>
            </w:r>
          </w:p>
        </w:tc>
        <w:tc>
          <w:tcPr>
            <w:tcW w:w="7970" w:type="dxa"/>
            <w:tcBorders>
              <w:right w:val="single" w:color="auto" w:sz="8" w:space="0"/>
            </w:tcBorders>
            <w:vAlign w:val="center"/>
          </w:tcPr>
          <w:p w14:paraId="1B3B2C55">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4302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595" w:type="dxa"/>
            <w:tcBorders>
              <w:left w:val="single" w:color="auto" w:sz="8" w:space="0"/>
            </w:tcBorders>
            <w:vAlign w:val="center"/>
          </w:tcPr>
          <w:p w14:paraId="1F0BBF11">
            <w:pPr>
              <w:jc w:val="center"/>
              <w:rPr>
                <w:rFonts w:ascii="宋体" w:hAnsi="宋体" w:eastAsia="宋体" w:cs="Times New Roman"/>
                <w:szCs w:val="21"/>
              </w:rPr>
            </w:pPr>
            <w:r>
              <w:rPr>
                <w:rFonts w:ascii="宋体" w:hAnsi="宋体" w:eastAsia="宋体" w:cs="Times New Roman"/>
                <w:szCs w:val="21"/>
              </w:rPr>
              <w:t>5</w:t>
            </w:r>
          </w:p>
        </w:tc>
        <w:tc>
          <w:tcPr>
            <w:tcW w:w="844" w:type="dxa"/>
            <w:tcMar>
              <w:left w:w="28" w:type="dxa"/>
              <w:right w:w="28" w:type="dxa"/>
            </w:tcMar>
            <w:vAlign w:val="center"/>
          </w:tcPr>
          <w:p w14:paraId="2025F9C1">
            <w:pPr>
              <w:jc w:val="center"/>
              <w:rPr>
                <w:rFonts w:ascii="宋体" w:hAnsi="宋体" w:eastAsia="宋体" w:cs="Times New Roman"/>
                <w:szCs w:val="21"/>
              </w:rPr>
            </w:pPr>
            <w:r>
              <w:rPr>
                <w:rFonts w:ascii="宋体" w:hAnsi="宋体" w:eastAsia="宋体" w:cs="Times New Roman"/>
                <w:szCs w:val="21"/>
              </w:rPr>
              <w:t>成绩考核</w:t>
            </w:r>
          </w:p>
        </w:tc>
        <w:tc>
          <w:tcPr>
            <w:tcW w:w="7970" w:type="dxa"/>
            <w:tcBorders>
              <w:right w:val="single" w:color="auto" w:sz="8" w:space="0"/>
            </w:tcBorders>
            <w:vAlign w:val="center"/>
          </w:tcPr>
          <w:p w14:paraId="74A28915">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为闭卷笔试</w:t>
            </w:r>
            <w:r>
              <w:rPr>
                <w:rFonts w:ascii="宋体" w:hAnsi="宋体" w:eastAsia="宋体" w:cs="Times New Roman"/>
                <w:szCs w:val="21"/>
              </w:rPr>
              <w:t>。考试采取教考分离，监考</w:t>
            </w:r>
            <w:r>
              <w:rPr>
                <w:rFonts w:hint="eastAsia" w:ascii="宋体" w:hAnsi="宋体" w:eastAsia="宋体" w:cs="Times New Roman"/>
                <w:szCs w:val="21"/>
              </w:rPr>
              <w:t>由学院</w:t>
            </w:r>
            <w:r>
              <w:rPr>
                <w:rFonts w:ascii="宋体" w:hAnsi="宋体" w:eastAsia="宋体" w:cs="Times New Roman"/>
                <w:szCs w:val="21"/>
              </w:rPr>
              <w:t>统一安排。有下列情况之一者，总评成绩为不及格：</w:t>
            </w:r>
          </w:p>
          <w:p w14:paraId="75CB625C">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5438D6AD">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62F8BCAE">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05F539F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闭卷考试方式</w:t>
      </w:r>
      <w:r>
        <w:rPr>
          <w:rFonts w:ascii="宋体" w:hAnsi="宋体" w:eastAsia="宋体" w:cs="Times New Roman"/>
          <w:sz w:val="24"/>
        </w:rPr>
        <w:t>。</w:t>
      </w:r>
    </w:p>
    <w:p w14:paraId="178CD41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30</w:t>
      </w:r>
      <w:r>
        <w:rPr>
          <w:rFonts w:ascii="宋体" w:hAnsi="宋体" w:eastAsia="宋体" w:cs="Times New Roman"/>
          <w:sz w:val="24"/>
        </w:rPr>
        <w:t>% +期末考试成绩×</w:t>
      </w:r>
      <w:r>
        <w:rPr>
          <w:rFonts w:hint="eastAsia" w:ascii="宋体" w:hAnsi="宋体" w:eastAsia="宋体" w:cs="Times New Roman"/>
          <w:sz w:val="24"/>
        </w:rPr>
        <w:t>70</w:t>
      </w:r>
      <w:r>
        <w:rPr>
          <w:rFonts w:ascii="宋体" w:hAnsi="宋体" w:eastAsia="宋体" w:cs="Times New Roman"/>
          <w:sz w:val="24"/>
        </w:rPr>
        <w:t>%。</w:t>
      </w:r>
    </w:p>
    <w:p w14:paraId="0E04BF8B">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56"/>
        <w:gridCol w:w="722"/>
        <w:gridCol w:w="2746"/>
        <w:gridCol w:w="1301"/>
        <w:gridCol w:w="1301"/>
        <w:gridCol w:w="1301"/>
      </w:tblGrid>
      <w:tr w14:paraId="645C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636" w:type="dxa"/>
            <w:shd w:val="clear" w:color="auto" w:fill="FFFFFF"/>
            <w:tcMar>
              <w:left w:w="57" w:type="dxa"/>
              <w:right w:w="57" w:type="dxa"/>
            </w:tcMar>
            <w:vAlign w:val="center"/>
          </w:tcPr>
          <w:p w14:paraId="5DB65110">
            <w:pPr>
              <w:jc w:val="center"/>
              <w:rPr>
                <w:rFonts w:ascii="宋体" w:hAnsi="宋体" w:eastAsia="宋体" w:cs="Times New Roman"/>
                <w:b/>
                <w:szCs w:val="24"/>
              </w:rPr>
            </w:pPr>
            <w:r>
              <w:rPr>
                <w:rFonts w:ascii="宋体" w:hAnsi="宋体" w:eastAsia="宋体" w:cs="Times New Roman"/>
                <w:b/>
                <w:szCs w:val="24"/>
              </w:rPr>
              <w:t>成绩组成</w:t>
            </w:r>
          </w:p>
        </w:tc>
        <w:tc>
          <w:tcPr>
            <w:tcW w:w="1156" w:type="dxa"/>
            <w:shd w:val="clear" w:color="auto" w:fill="FFFFFF"/>
            <w:vAlign w:val="center"/>
          </w:tcPr>
          <w:p w14:paraId="66736283">
            <w:pPr>
              <w:jc w:val="center"/>
              <w:rPr>
                <w:rFonts w:ascii="宋体" w:hAnsi="宋体" w:eastAsia="宋体" w:cs="Times New Roman"/>
                <w:b/>
                <w:szCs w:val="24"/>
              </w:rPr>
            </w:pPr>
            <w:r>
              <w:rPr>
                <w:rFonts w:ascii="宋体" w:hAnsi="宋体" w:eastAsia="宋体" w:cs="Times New Roman"/>
                <w:b/>
                <w:szCs w:val="24"/>
              </w:rPr>
              <w:t>考核/</w:t>
            </w:r>
          </w:p>
          <w:p w14:paraId="338FA241">
            <w:pPr>
              <w:jc w:val="center"/>
              <w:rPr>
                <w:rFonts w:ascii="宋体" w:hAnsi="宋体" w:eastAsia="宋体" w:cs="Times New Roman"/>
                <w:b/>
                <w:szCs w:val="24"/>
              </w:rPr>
            </w:pPr>
            <w:r>
              <w:rPr>
                <w:rFonts w:ascii="宋体" w:hAnsi="宋体" w:eastAsia="宋体" w:cs="Times New Roman"/>
                <w:b/>
                <w:szCs w:val="24"/>
              </w:rPr>
              <w:t>评价环节</w:t>
            </w:r>
          </w:p>
        </w:tc>
        <w:tc>
          <w:tcPr>
            <w:tcW w:w="722" w:type="dxa"/>
            <w:shd w:val="clear" w:color="auto" w:fill="FFFFFF"/>
            <w:vAlign w:val="center"/>
          </w:tcPr>
          <w:p w14:paraId="174D0E99">
            <w:pPr>
              <w:jc w:val="center"/>
              <w:rPr>
                <w:rFonts w:ascii="宋体" w:hAnsi="宋体" w:eastAsia="宋体" w:cs="Times New Roman"/>
                <w:b/>
                <w:szCs w:val="24"/>
              </w:rPr>
            </w:pPr>
            <w:r>
              <w:rPr>
                <w:rFonts w:hint="eastAsia" w:ascii="宋体" w:hAnsi="宋体" w:eastAsia="宋体" w:cs="Times New Roman"/>
                <w:b/>
                <w:szCs w:val="24"/>
              </w:rPr>
              <w:t>权重</w:t>
            </w:r>
          </w:p>
        </w:tc>
        <w:tc>
          <w:tcPr>
            <w:tcW w:w="2746" w:type="dxa"/>
            <w:shd w:val="clear" w:color="auto" w:fill="FFFFFF"/>
            <w:vAlign w:val="center"/>
          </w:tcPr>
          <w:p w14:paraId="581D196B">
            <w:pPr>
              <w:jc w:val="center"/>
              <w:rPr>
                <w:rFonts w:ascii="宋体" w:hAnsi="宋体" w:eastAsia="宋体" w:cs="Times New Roman"/>
                <w:b/>
                <w:szCs w:val="24"/>
              </w:rPr>
            </w:pPr>
            <w:r>
              <w:rPr>
                <w:rFonts w:ascii="宋体" w:hAnsi="宋体" w:eastAsia="宋体" w:cs="Times New Roman"/>
                <w:b/>
                <w:szCs w:val="24"/>
              </w:rPr>
              <w:t>考核/评价细则</w:t>
            </w:r>
          </w:p>
        </w:tc>
        <w:tc>
          <w:tcPr>
            <w:tcW w:w="1301" w:type="dxa"/>
            <w:shd w:val="clear" w:color="auto" w:fill="FFFFFF"/>
          </w:tcPr>
          <w:p w14:paraId="07461833">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7E12393A">
            <w:pPr>
              <w:jc w:val="center"/>
              <w:rPr>
                <w:rFonts w:ascii="宋体" w:hAnsi="宋体" w:eastAsia="宋体" w:cs="Times New Roman"/>
                <w:b/>
                <w:szCs w:val="24"/>
              </w:rPr>
            </w:pPr>
            <w:r>
              <w:rPr>
                <w:rFonts w:hint="eastAsia" w:ascii="宋体" w:hAnsi="宋体" w:eastAsia="宋体" w:cs="Times New Roman"/>
                <w:b/>
                <w:szCs w:val="24"/>
              </w:rPr>
              <w:t>目标</w:t>
            </w:r>
          </w:p>
        </w:tc>
        <w:tc>
          <w:tcPr>
            <w:tcW w:w="1301" w:type="dxa"/>
            <w:shd w:val="clear" w:color="auto" w:fill="FFFFFF"/>
          </w:tcPr>
          <w:p w14:paraId="0A535414">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64BDD15C">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301" w:type="dxa"/>
            <w:shd w:val="clear" w:color="auto" w:fill="FFFFFF"/>
            <w:vAlign w:val="center"/>
          </w:tcPr>
          <w:p w14:paraId="258DB0CC">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2192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36" w:type="dxa"/>
            <w:tcMar>
              <w:left w:w="57" w:type="dxa"/>
              <w:right w:w="57" w:type="dxa"/>
            </w:tcMar>
            <w:vAlign w:val="center"/>
          </w:tcPr>
          <w:p w14:paraId="06B07890">
            <w:pPr>
              <w:jc w:val="center"/>
              <w:rPr>
                <w:rFonts w:ascii="宋体" w:hAnsi="宋体" w:eastAsia="宋体" w:cs="Times New Roman"/>
                <w:szCs w:val="24"/>
              </w:rPr>
            </w:pPr>
            <w:r>
              <w:rPr>
                <w:rFonts w:ascii="宋体" w:hAnsi="宋体" w:eastAsia="宋体" w:cs="Times New Roman"/>
                <w:szCs w:val="24"/>
              </w:rPr>
              <w:t>平时成绩</w:t>
            </w:r>
          </w:p>
        </w:tc>
        <w:tc>
          <w:tcPr>
            <w:tcW w:w="1156" w:type="dxa"/>
            <w:vAlign w:val="center"/>
          </w:tcPr>
          <w:p w14:paraId="75E6D7A1">
            <w:pPr>
              <w:rPr>
                <w:rFonts w:ascii="宋体" w:hAnsi="宋体" w:eastAsia="宋体" w:cs="Times New Roman"/>
                <w:szCs w:val="24"/>
              </w:rPr>
            </w:pPr>
            <w:r>
              <w:rPr>
                <w:rFonts w:hint="eastAsia" w:ascii="宋体" w:hAnsi="宋体" w:eastAsia="宋体" w:cs="Times New Roman"/>
                <w:szCs w:val="24"/>
              </w:rPr>
              <w:t>课堂表现、考勤及</w:t>
            </w:r>
            <w:r>
              <w:rPr>
                <w:rFonts w:ascii="宋体" w:hAnsi="宋体" w:eastAsia="宋体" w:cs="Times New Roman"/>
                <w:szCs w:val="24"/>
              </w:rPr>
              <w:t>平时作业</w:t>
            </w:r>
          </w:p>
        </w:tc>
        <w:tc>
          <w:tcPr>
            <w:tcW w:w="722" w:type="dxa"/>
            <w:vAlign w:val="center"/>
          </w:tcPr>
          <w:p w14:paraId="7EB89AAE">
            <w:pPr>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0%</w:t>
            </w:r>
          </w:p>
        </w:tc>
        <w:tc>
          <w:tcPr>
            <w:tcW w:w="2746" w:type="dxa"/>
            <w:vAlign w:val="center"/>
          </w:tcPr>
          <w:p w14:paraId="420219D4">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其中课堂考勤及课堂表现占30%，平时作业占70%。</w:t>
            </w:r>
          </w:p>
          <w:p w14:paraId="0300F585">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课堂考勤：病假和事假一次扣5分，无故缺席一次扣10分，无故缺席累积达5次以上（不含5次）取消课程成绩。</w:t>
            </w:r>
          </w:p>
          <w:p w14:paraId="4EE91898">
            <w:pPr>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课堂表现：勤于思考，积极参加小组活动，主动回答提问。表现优秀按满分计算。具体根据表现积极情况酌情加减分。</w:t>
            </w:r>
          </w:p>
          <w:p w14:paraId="1F44C7DF">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平时作业：课后完成3次作业，主要考核学生对每节课知识点的复习、理解和掌握程度，计算全部作业的平均成绩。</w:t>
            </w:r>
          </w:p>
        </w:tc>
        <w:tc>
          <w:tcPr>
            <w:tcW w:w="1301" w:type="dxa"/>
          </w:tcPr>
          <w:p w14:paraId="3EEB884F">
            <w:pPr>
              <w:rPr>
                <w:rFonts w:ascii="宋体" w:hAnsi="宋体" w:eastAsia="宋体" w:cs="Times New Roman"/>
                <w:szCs w:val="24"/>
              </w:rPr>
            </w:pPr>
          </w:p>
          <w:p w14:paraId="485A3B1C">
            <w:pPr>
              <w:jc w:val="center"/>
              <w:rPr>
                <w:rFonts w:ascii="宋体" w:hAnsi="宋体" w:eastAsia="宋体" w:cs="Times New Roman"/>
                <w:szCs w:val="24"/>
              </w:rPr>
            </w:pPr>
          </w:p>
          <w:p w14:paraId="313FCA90">
            <w:pPr>
              <w:jc w:val="center"/>
              <w:rPr>
                <w:rFonts w:ascii="宋体" w:hAnsi="宋体" w:eastAsia="宋体" w:cs="Times New Roman"/>
                <w:szCs w:val="24"/>
              </w:rPr>
            </w:pPr>
          </w:p>
          <w:p w14:paraId="0AB6D35E">
            <w:pPr>
              <w:jc w:val="center"/>
              <w:rPr>
                <w:rFonts w:ascii="宋体" w:hAnsi="宋体" w:eastAsia="宋体" w:cs="Times New Roman"/>
                <w:szCs w:val="24"/>
              </w:rPr>
            </w:pPr>
          </w:p>
          <w:p w14:paraId="0FCDB057">
            <w:pPr>
              <w:jc w:val="center"/>
              <w:rPr>
                <w:rFonts w:ascii="宋体" w:hAnsi="宋体" w:eastAsia="宋体" w:cs="Times New Roman"/>
                <w:szCs w:val="24"/>
              </w:rPr>
            </w:pPr>
          </w:p>
          <w:p w14:paraId="450DCD3A">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tc>
        <w:tc>
          <w:tcPr>
            <w:tcW w:w="1301" w:type="dxa"/>
          </w:tcPr>
          <w:p w14:paraId="322D9FD7">
            <w:pPr>
              <w:rPr>
                <w:rFonts w:ascii="宋体" w:hAnsi="宋体" w:eastAsia="宋体" w:cs="Times New Roman"/>
                <w:szCs w:val="24"/>
              </w:rPr>
            </w:pPr>
          </w:p>
          <w:p w14:paraId="1023DBF6">
            <w:pPr>
              <w:rPr>
                <w:rFonts w:ascii="宋体" w:hAnsi="宋体" w:eastAsia="宋体" w:cs="Times New Roman"/>
                <w:szCs w:val="24"/>
              </w:rPr>
            </w:pPr>
          </w:p>
          <w:p w14:paraId="04C2DE30">
            <w:pPr>
              <w:rPr>
                <w:rFonts w:ascii="宋体" w:hAnsi="宋体" w:eastAsia="宋体" w:cs="Times New Roman"/>
                <w:szCs w:val="24"/>
              </w:rPr>
            </w:pPr>
          </w:p>
          <w:p w14:paraId="5F8022E0">
            <w:pPr>
              <w:rPr>
                <w:rFonts w:ascii="宋体" w:hAnsi="宋体" w:eastAsia="宋体" w:cs="Times New Roman"/>
                <w:szCs w:val="24"/>
              </w:rPr>
            </w:pPr>
          </w:p>
          <w:p w14:paraId="02A192A3">
            <w:pPr>
              <w:rPr>
                <w:rFonts w:ascii="宋体" w:hAnsi="宋体" w:eastAsia="宋体" w:cs="宋体"/>
                <w:kern w:val="0"/>
                <w:szCs w:val="21"/>
              </w:rPr>
            </w:pPr>
          </w:p>
        </w:tc>
        <w:tc>
          <w:tcPr>
            <w:tcW w:w="1301" w:type="dxa"/>
            <w:vAlign w:val="center"/>
          </w:tcPr>
          <w:p w14:paraId="439DF799">
            <w:pPr>
              <w:jc w:val="left"/>
              <w:rPr>
                <w:rFonts w:ascii="宋体" w:hAnsi="宋体" w:eastAsia="宋体" w:cs="Times New Roman"/>
                <w:szCs w:val="24"/>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4、7-3</w:t>
            </w:r>
          </w:p>
        </w:tc>
      </w:tr>
      <w:tr w14:paraId="1266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636" w:type="dxa"/>
            <w:tcMar>
              <w:left w:w="57" w:type="dxa"/>
              <w:right w:w="57" w:type="dxa"/>
            </w:tcMar>
            <w:vAlign w:val="center"/>
          </w:tcPr>
          <w:p w14:paraId="0168534D">
            <w:pPr>
              <w:jc w:val="center"/>
              <w:rPr>
                <w:rFonts w:ascii="宋体" w:hAnsi="宋体" w:eastAsia="宋体" w:cs="Times New Roman"/>
                <w:szCs w:val="24"/>
              </w:rPr>
            </w:pPr>
            <w:r>
              <w:rPr>
                <w:rFonts w:ascii="宋体" w:hAnsi="宋体" w:eastAsia="宋体" w:cs="Times New Roman"/>
                <w:szCs w:val="24"/>
              </w:rPr>
              <w:t>期末考试</w:t>
            </w:r>
          </w:p>
        </w:tc>
        <w:tc>
          <w:tcPr>
            <w:tcW w:w="1156" w:type="dxa"/>
            <w:vAlign w:val="center"/>
          </w:tcPr>
          <w:p w14:paraId="7D3AE99B">
            <w:pPr>
              <w:jc w:val="center"/>
              <w:rPr>
                <w:rFonts w:ascii="宋体" w:hAnsi="宋体" w:eastAsia="宋体" w:cs="Times New Roman"/>
                <w:szCs w:val="24"/>
              </w:rPr>
            </w:pPr>
            <w:r>
              <w:rPr>
                <w:rFonts w:ascii="宋体" w:hAnsi="宋体" w:eastAsia="宋体" w:cs="Times New Roman"/>
                <w:szCs w:val="24"/>
              </w:rPr>
              <w:t>期末考试</w:t>
            </w:r>
          </w:p>
          <w:p w14:paraId="049617EE">
            <w:pPr>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22" w:type="dxa"/>
            <w:vAlign w:val="center"/>
          </w:tcPr>
          <w:p w14:paraId="4EDE6535">
            <w:pPr>
              <w:jc w:val="center"/>
              <w:rPr>
                <w:rFonts w:ascii="宋体" w:hAnsi="宋体" w:eastAsia="宋体" w:cs="Times New Roman"/>
                <w:szCs w:val="24"/>
              </w:rPr>
            </w:pPr>
            <w:r>
              <w:rPr>
                <w:rFonts w:hint="eastAsia" w:ascii="宋体" w:hAnsi="宋体" w:eastAsia="宋体" w:cs="Times New Roman"/>
                <w:szCs w:val="24"/>
              </w:rPr>
              <w:t>7</w:t>
            </w:r>
            <w:r>
              <w:rPr>
                <w:rFonts w:ascii="宋体" w:hAnsi="宋体" w:eastAsia="宋体" w:cs="Times New Roman"/>
                <w:szCs w:val="24"/>
              </w:rPr>
              <w:t>0%</w:t>
            </w:r>
          </w:p>
        </w:tc>
        <w:tc>
          <w:tcPr>
            <w:tcW w:w="2746" w:type="dxa"/>
            <w:vAlign w:val="center"/>
          </w:tcPr>
          <w:p w14:paraId="66F212E2">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试卷题型包括选择题和应用题，以卷面成绩的70%计入课程总成绩。其中考核教育统计与测量的基本理论型题目占20%，考核学生应用基本理论知识分析和解决实际问题的题目占80%。</w:t>
            </w:r>
          </w:p>
        </w:tc>
        <w:tc>
          <w:tcPr>
            <w:tcW w:w="1301" w:type="dxa"/>
          </w:tcPr>
          <w:p w14:paraId="6F1E6E58">
            <w:pPr>
              <w:jc w:val="center"/>
              <w:rPr>
                <w:rFonts w:ascii="宋体" w:hAnsi="宋体" w:eastAsia="宋体" w:cs="Times New Roman"/>
                <w:szCs w:val="24"/>
              </w:rPr>
            </w:pPr>
          </w:p>
          <w:p w14:paraId="0F95FBC8">
            <w:pPr>
              <w:jc w:val="center"/>
              <w:rPr>
                <w:rFonts w:ascii="宋体" w:hAnsi="宋体" w:eastAsia="宋体" w:cs="Times New Roman"/>
                <w:szCs w:val="24"/>
              </w:rPr>
            </w:pPr>
          </w:p>
          <w:p w14:paraId="798E1E58">
            <w:pPr>
              <w:jc w:val="center"/>
              <w:rPr>
                <w:rFonts w:ascii="宋体" w:hAnsi="宋体" w:eastAsia="宋体" w:cs="Times New Roman"/>
                <w:szCs w:val="24"/>
              </w:rPr>
            </w:pPr>
          </w:p>
          <w:p w14:paraId="38A16766">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1</w:t>
            </w:r>
          </w:p>
          <w:p w14:paraId="1CC54A2D">
            <w:pPr>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w:t>
            </w:r>
          </w:p>
        </w:tc>
        <w:tc>
          <w:tcPr>
            <w:tcW w:w="1301" w:type="dxa"/>
          </w:tcPr>
          <w:p w14:paraId="3261464E">
            <w:pPr>
              <w:rPr>
                <w:rFonts w:ascii="宋体" w:hAnsi="宋体" w:eastAsia="宋体" w:cs="宋体"/>
                <w:kern w:val="0"/>
                <w:szCs w:val="21"/>
              </w:rPr>
            </w:pPr>
          </w:p>
          <w:p w14:paraId="53695D19">
            <w:pPr>
              <w:rPr>
                <w:rFonts w:ascii="宋体" w:hAnsi="宋体" w:eastAsia="宋体" w:cs="Times New Roman"/>
                <w:szCs w:val="21"/>
              </w:rPr>
            </w:pPr>
          </w:p>
        </w:tc>
        <w:tc>
          <w:tcPr>
            <w:tcW w:w="1301" w:type="dxa"/>
            <w:vAlign w:val="center"/>
          </w:tcPr>
          <w:p w14:paraId="79A2034F">
            <w:pPr>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4、7-3</w:t>
            </w:r>
          </w:p>
        </w:tc>
      </w:tr>
    </w:tbl>
    <w:p w14:paraId="422D7D8E">
      <w:pPr>
        <w:spacing w:line="360" w:lineRule="auto"/>
        <w:rPr>
          <w:rFonts w:ascii="宋体" w:hAnsi="宋体" w:eastAsia="宋体" w:cs="Times New Roman"/>
          <w:sz w:val="24"/>
        </w:rPr>
      </w:pPr>
      <w:r>
        <w:rPr>
          <w:rFonts w:hint="eastAsia" w:ascii="宋体" w:hAnsi="宋体" w:eastAsia="宋体" w:cs="Times New Roman"/>
          <w:sz w:val="24"/>
        </w:rPr>
        <w:t xml:space="preserve">    </w:t>
      </w:r>
    </w:p>
    <w:p w14:paraId="1088FE05">
      <w:pPr>
        <w:spacing w:line="360" w:lineRule="auto"/>
        <w:rPr>
          <w:rFonts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9065" w:type="dxa"/>
        <w:tblInd w:w="0" w:type="dxa"/>
        <w:tblLayout w:type="fixed"/>
        <w:tblCellMar>
          <w:top w:w="0" w:type="dxa"/>
          <w:left w:w="108" w:type="dxa"/>
          <w:bottom w:w="0" w:type="dxa"/>
          <w:right w:w="108" w:type="dxa"/>
        </w:tblCellMar>
      </w:tblPr>
      <w:tblGrid>
        <w:gridCol w:w="2054"/>
        <w:gridCol w:w="1822"/>
        <w:gridCol w:w="2203"/>
        <w:gridCol w:w="1848"/>
        <w:gridCol w:w="1138"/>
      </w:tblGrid>
      <w:tr w14:paraId="6242C510">
        <w:tblPrEx>
          <w:tblCellMar>
            <w:top w:w="0" w:type="dxa"/>
            <w:left w:w="108" w:type="dxa"/>
            <w:bottom w:w="0" w:type="dxa"/>
            <w:right w:w="108" w:type="dxa"/>
          </w:tblCellMar>
        </w:tblPrEx>
        <w:trPr>
          <w:trHeight w:val="326" w:hRule="atLeast"/>
        </w:trPr>
        <w:tc>
          <w:tcPr>
            <w:tcW w:w="3876" w:type="dxa"/>
            <w:gridSpan w:val="2"/>
            <w:tcBorders>
              <w:top w:val="single" w:color="auto" w:sz="8" w:space="0"/>
              <w:left w:val="single" w:color="auto" w:sz="8" w:space="0"/>
              <w:bottom w:val="single" w:color="auto" w:sz="8" w:space="0"/>
              <w:right w:val="single" w:color="000000" w:sz="8" w:space="0"/>
            </w:tcBorders>
            <w:vAlign w:val="center"/>
          </w:tcPr>
          <w:p w14:paraId="35F4B030">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189" w:type="dxa"/>
            <w:gridSpan w:val="3"/>
            <w:tcBorders>
              <w:top w:val="single" w:color="auto" w:sz="8" w:space="0"/>
              <w:left w:val="nil"/>
              <w:bottom w:val="single" w:color="auto" w:sz="8" w:space="0"/>
              <w:right w:val="single" w:color="000000" w:sz="8" w:space="0"/>
            </w:tcBorders>
            <w:vAlign w:val="center"/>
          </w:tcPr>
          <w:p w14:paraId="34B63CAB">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082EC910">
        <w:tblPrEx>
          <w:tblCellMar>
            <w:top w:w="0" w:type="dxa"/>
            <w:left w:w="108" w:type="dxa"/>
            <w:bottom w:w="0" w:type="dxa"/>
            <w:right w:w="108" w:type="dxa"/>
          </w:tblCellMar>
        </w:tblPrEx>
        <w:trPr>
          <w:trHeight w:val="503" w:hRule="atLeast"/>
        </w:trPr>
        <w:tc>
          <w:tcPr>
            <w:tcW w:w="2054" w:type="dxa"/>
            <w:tcBorders>
              <w:top w:val="nil"/>
              <w:left w:val="single" w:color="auto" w:sz="8" w:space="0"/>
              <w:bottom w:val="single" w:color="auto" w:sz="8" w:space="0"/>
              <w:right w:val="single" w:color="auto" w:sz="8" w:space="0"/>
            </w:tcBorders>
            <w:vAlign w:val="center"/>
          </w:tcPr>
          <w:p w14:paraId="083CBB85">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821" w:type="dxa"/>
            <w:tcBorders>
              <w:top w:val="nil"/>
              <w:left w:val="nil"/>
              <w:bottom w:val="single" w:color="auto" w:sz="8" w:space="0"/>
              <w:right w:val="single" w:color="auto" w:sz="8" w:space="0"/>
            </w:tcBorders>
            <w:vAlign w:val="center"/>
          </w:tcPr>
          <w:p w14:paraId="6A5B2F01">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203" w:type="dxa"/>
            <w:tcBorders>
              <w:top w:val="nil"/>
              <w:left w:val="nil"/>
              <w:bottom w:val="single" w:color="auto" w:sz="8" w:space="0"/>
              <w:right w:val="single" w:color="auto" w:sz="8" w:space="0"/>
            </w:tcBorders>
            <w:vAlign w:val="center"/>
          </w:tcPr>
          <w:p w14:paraId="32370570">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848" w:type="dxa"/>
            <w:tcBorders>
              <w:top w:val="nil"/>
              <w:left w:val="nil"/>
              <w:bottom w:val="single" w:color="auto" w:sz="8" w:space="0"/>
              <w:right w:val="single" w:color="auto" w:sz="8" w:space="0"/>
            </w:tcBorders>
            <w:vAlign w:val="center"/>
          </w:tcPr>
          <w:p w14:paraId="1CA64BF2">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137" w:type="dxa"/>
            <w:tcBorders>
              <w:top w:val="nil"/>
              <w:left w:val="nil"/>
              <w:bottom w:val="single" w:color="auto" w:sz="8" w:space="0"/>
              <w:right w:val="single" w:color="auto" w:sz="8" w:space="0"/>
            </w:tcBorders>
          </w:tcPr>
          <w:p w14:paraId="36E50520">
            <w:pPr>
              <w:widowControl/>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028C4EB5">
        <w:tblPrEx>
          <w:tblCellMar>
            <w:top w:w="0" w:type="dxa"/>
            <w:left w:w="108" w:type="dxa"/>
            <w:bottom w:w="0" w:type="dxa"/>
            <w:right w:w="108" w:type="dxa"/>
          </w:tblCellMar>
        </w:tblPrEx>
        <w:trPr>
          <w:trHeight w:val="303" w:hRule="atLeast"/>
        </w:trPr>
        <w:tc>
          <w:tcPr>
            <w:tcW w:w="2054" w:type="dxa"/>
            <w:vMerge w:val="restart"/>
            <w:tcBorders>
              <w:top w:val="nil"/>
              <w:left w:val="single" w:color="auto" w:sz="8" w:space="0"/>
              <w:bottom w:val="single" w:color="000000" w:sz="8" w:space="0"/>
              <w:right w:val="single" w:color="auto" w:sz="8" w:space="0"/>
            </w:tcBorders>
            <w:vAlign w:val="center"/>
          </w:tcPr>
          <w:p w14:paraId="28F7E930">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821" w:type="dxa"/>
            <w:vMerge w:val="restart"/>
            <w:tcBorders>
              <w:top w:val="nil"/>
              <w:left w:val="single" w:color="auto" w:sz="8" w:space="0"/>
              <w:bottom w:val="single" w:color="000000" w:sz="8" w:space="0"/>
              <w:right w:val="single" w:color="auto" w:sz="8" w:space="0"/>
            </w:tcBorders>
            <w:vAlign w:val="center"/>
          </w:tcPr>
          <w:p w14:paraId="4EFAE288">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2203" w:type="dxa"/>
            <w:tcBorders>
              <w:top w:val="nil"/>
              <w:left w:val="nil"/>
              <w:bottom w:val="single" w:color="auto" w:sz="8" w:space="0"/>
              <w:right w:val="single" w:color="auto" w:sz="8" w:space="0"/>
            </w:tcBorders>
            <w:vAlign w:val="center"/>
          </w:tcPr>
          <w:p w14:paraId="33E508C0">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48" w:type="dxa"/>
            <w:tcBorders>
              <w:top w:val="nil"/>
              <w:left w:val="nil"/>
              <w:bottom w:val="single" w:color="auto" w:sz="8" w:space="0"/>
              <w:right w:val="single" w:color="auto" w:sz="8" w:space="0"/>
            </w:tcBorders>
            <w:vAlign w:val="center"/>
          </w:tcPr>
          <w:p w14:paraId="01128FD9">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7" w:type="dxa"/>
            <w:vMerge w:val="restart"/>
            <w:tcBorders>
              <w:top w:val="nil"/>
              <w:left w:val="nil"/>
              <w:right w:val="single" w:color="auto" w:sz="8" w:space="0"/>
            </w:tcBorders>
            <w:vAlign w:val="center"/>
          </w:tcPr>
          <w:p w14:paraId="118861E8">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1495D288">
        <w:tblPrEx>
          <w:tblCellMar>
            <w:top w:w="0" w:type="dxa"/>
            <w:left w:w="108" w:type="dxa"/>
            <w:bottom w:w="0" w:type="dxa"/>
            <w:right w:w="108" w:type="dxa"/>
          </w:tblCellMar>
        </w:tblPrEx>
        <w:trPr>
          <w:trHeight w:val="103" w:hRule="atLeast"/>
        </w:trPr>
        <w:tc>
          <w:tcPr>
            <w:tcW w:w="2054" w:type="dxa"/>
            <w:vMerge w:val="continue"/>
            <w:tcBorders>
              <w:top w:val="nil"/>
              <w:left w:val="single" w:color="auto" w:sz="8" w:space="0"/>
              <w:bottom w:val="single" w:color="000000" w:sz="8" w:space="0"/>
              <w:right w:val="single" w:color="auto" w:sz="8" w:space="0"/>
            </w:tcBorders>
            <w:vAlign w:val="center"/>
          </w:tcPr>
          <w:p w14:paraId="6D07BC47">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5554A9C3">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7A3D66A8">
            <w:pPr>
              <w:widowControl/>
              <w:jc w:val="center"/>
              <w:rPr>
                <w:rFonts w:ascii="宋体" w:hAnsi="宋体" w:eastAsia="宋体" w:cs="Times New Roman"/>
                <w:kern w:val="0"/>
                <w:szCs w:val="21"/>
              </w:rPr>
            </w:pPr>
            <w:r>
              <w:rPr>
                <w:rFonts w:hint="eastAsia" w:ascii="宋体" w:hAnsi="宋体" w:eastAsia="宋体" w:cs="Times New Roman"/>
                <w:kern w:val="0"/>
                <w:szCs w:val="21"/>
              </w:rPr>
              <w:t>作业1</w:t>
            </w:r>
          </w:p>
        </w:tc>
        <w:tc>
          <w:tcPr>
            <w:tcW w:w="1848" w:type="dxa"/>
            <w:tcBorders>
              <w:top w:val="nil"/>
              <w:left w:val="nil"/>
              <w:bottom w:val="single" w:color="auto" w:sz="8" w:space="0"/>
              <w:right w:val="single" w:color="auto" w:sz="8" w:space="0"/>
            </w:tcBorders>
            <w:vAlign w:val="center"/>
          </w:tcPr>
          <w:p w14:paraId="13E807ED">
            <w:pPr>
              <w:widowControl/>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7" w:type="dxa"/>
            <w:vMerge w:val="continue"/>
            <w:tcBorders>
              <w:left w:val="nil"/>
              <w:bottom w:val="single" w:color="auto" w:sz="8" w:space="0"/>
              <w:right w:val="single" w:color="auto" w:sz="8" w:space="0"/>
            </w:tcBorders>
            <w:vAlign w:val="center"/>
          </w:tcPr>
          <w:p w14:paraId="56244EDA">
            <w:pPr>
              <w:widowControl/>
              <w:jc w:val="center"/>
              <w:rPr>
                <w:rFonts w:ascii="宋体" w:hAnsi="宋体" w:eastAsia="宋体" w:cs="Times New Roman"/>
                <w:kern w:val="0"/>
                <w:szCs w:val="21"/>
              </w:rPr>
            </w:pPr>
          </w:p>
        </w:tc>
      </w:tr>
      <w:tr w14:paraId="4527EABD">
        <w:tblPrEx>
          <w:tblCellMar>
            <w:top w:w="0" w:type="dxa"/>
            <w:left w:w="108" w:type="dxa"/>
            <w:bottom w:w="0" w:type="dxa"/>
            <w:right w:w="108" w:type="dxa"/>
          </w:tblCellMar>
        </w:tblPrEx>
        <w:trPr>
          <w:trHeight w:val="103" w:hRule="atLeast"/>
        </w:trPr>
        <w:tc>
          <w:tcPr>
            <w:tcW w:w="2054" w:type="dxa"/>
            <w:vMerge w:val="continue"/>
            <w:tcBorders>
              <w:top w:val="nil"/>
              <w:left w:val="single" w:color="auto" w:sz="8" w:space="0"/>
              <w:bottom w:val="single" w:color="000000" w:sz="8" w:space="0"/>
              <w:right w:val="single" w:color="auto" w:sz="8" w:space="0"/>
            </w:tcBorders>
            <w:vAlign w:val="center"/>
          </w:tcPr>
          <w:p w14:paraId="1F5D877B">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429C3F5C">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1286CC1F">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48" w:type="dxa"/>
            <w:tcBorders>
              <w:top w:val="nil"/>
              <w:left w:val="nil"/>
              <w:bottom w:val="single" w:color="auto" w:sz="8" w:space="0"/>
              <w:right w:val="single" w:color="auto" w:sz="8" w:space="0"/>
            </w:tcBorders>
            <w:vAlign w:val="center"/>
          </w:tcPr>
          <w:p w14:paraId="154E0286">
            <w:pPr>
              <w:widowControl/>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7" w:type="dxa"/>
            <w:vMerge w:val="continue"/>
            <w:tcBorders>
              <w:left w:val="nil"/>
              <w:bottom w:val="single" w:color="auto" w:sz="8" w:space="0"/>
              <w:right w:val="single" w:color="auto" w:sz="8" w:space="0"/>
            </w:tcBorders>
            <w:vAlign w:val="center"/>
          </w:tcPr>
          <w:p w14:paraId="40C5F036">
            <w:pPr>
              <w:widowControl/>
              <w:jc w:val="center"/>
              <w:rPr>
                <w:rFonts w:ascii="宋体" w:hAnsi="宋体" w:eastAsia="宋体" w:cs="Times New Roman"/>
                <w:kern w:val="0"/>
                <w:szCs w:val="21"/>
              </w:rPr>
            </w:pPr>
          </w:p>
        </w:tc>
      </w:tr>
      <w:tr w14:paraId="009CABF6">
        <w:tblPrEx>
          <w:tblCellMar>
            <w:top w:w="0" w:type="dxa"/>
            <w:left w:w="108" w:type="dxa"/>
            <w:bottom w:w="0" w:type="dxa"/>
            <w:right w:w="108" w:type="dxa"/>
          </w:tblCellMar>
        </w:tblPrEx>
        <w:trPr>
          <w:trHeight w:val="103" w:hRule="atLeast"/>
        </w:trPr>
        <w:tc>
          <w:tcPr>
            <w:tcW w:w="2054" w:type="dxa"/>
            <w:vMerge w:val="continue"/>
            <w:tcBorders>
              <w:top w:val="nil"/>
              <w:left w:val="single" w:color="auto" w:sz="8" w:space="0"/>
              <w:bottom w:val="single" w:color="000000" w:sz="8" w:space="0"/>
              <w:right w:val="single" w:color="auto" w:sz="8" w:space="0"/>
            </w:tcBorders>
            <w:vAlign w:val="center"/>
          </w:tcPr>
          <w:p w14:paraId="2BFC459D">
            <w:pPr>
              <w:widowControl/>
              <w:jc w:val="center"/>
              <w:rPr>
                <w:rFonts w:ascii="Times New Roman" w:hAnsi="Times New Roman" w:eastAsia="宋体" w:cs="Times New Roman"/>
                <w:szCs w:val="24"/>
              </w:rPr>
            </w:pPr>
          </w:p>
        </w:tc>
        <w:tc>
          <w:tcPr>
            <w:tcW w:w="1821" w:type="dxa"/>
            <w:vMerge w:val="continue"/>
            <w:tcBorders>
              <w:top w:val="nil"/>
              <w:left w:val="single" w:color="auto" w:sz="8" w:space="0"/>
              <w:bottom w:val="single" w:color="000000" w:sz="8" w:space="0"/>
              <w:right w:val="single" w:color="auto" w:sz="8" w:space="0"/>
            </w:tcBorders>
            <w:vAlign w:val="center"/>
          </w:tcPr>
          <w:p w14:paraId="2F0C19A0">
            <w:pPr>
              <w:widowControl/>
              <w:jc w:val="center"/>
              <w:rPr>
                <w:rFonts w:ascii="Times New Roman" w:hAnsi="Times New Roman" w:eastAsia="宋体" w:cs="Times New Roman"/>
                <w:szCs w:val="24"/>
              </w:rPr>
            </w:pPr>
          </w:p>
        </w:tc>
        <w:tc>
          <w:tcPr>
            <w:tcW w:w="2203" w:type="dxa"/>
            <w:tcBorders>
              <w:top w:val="nil"/>
              <w:left w:val="nil"/>
              <w:bottom w:val="single" w:color="auto" w:sz="8" w:space="0"/>
              <w:right w:val="single" w:color="auto" w:sz="8" w:space="0"/>
            </w:tcBorders>
            <w:vAlign w:val="center"/>
          </w:tcPr>
          <w:p w14:paraId="25948FC2">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48" w:type="dxa"/>
            <w:tcBorders>
              <w:top w:val="nil"/>
              <w:left w:val="nil"/>
              <w:bottom w:val="single" w:color="auto" w:sz="8" w:space="0"/>
              <w:right w:val="single" w:color="auto" w:sz="8" w:space="0"/>
            </w:tcBorders>
            <w:vAlign w:val="center"/>
          </w:tcPr>
          <w:p w14:paraId="799FD596">
            <w:pPr>
              <w:widowControl/>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7" w:type="dxa"/>
            <w:vMerge w:val="continue"/>
            <w:tcBorders>
              <w:left w:val="nil"/>
              <w:bottom w:val="single" w:color="auto" w:sz="8" w:space="0"/>
              <w:right w:val="single" w:color="auto" w:sz="8" w:space="0"/>
            </w:tcBorders>
            <w:vAlign w:val="center"/>
          </w:tcPr>
          <w:p w14:paraId="38688F2A">
            <w:pPr>
              <w:widowControl/>
              <w:jc w:val="center"/>
              <w:rPr>
                <w:rFonts w:ascii="宋体" w:hAnsi="宋体" w:eastAsia="宋体" w:cs="Times New Roman"/>
                <w:kern w:val="0"/>
                <w:szCs w:val="21"/>
              </w:rPr>
            </w:pPr>
          </w:p>
        </w:tc>
      </w:tr>
      <w:tr w14:paraId="75A77E53">
        <w:tblPrEx>
          <w:tblCellMar>
            <w:top w:w="0" w:type="dxa"/>
            <w:left w:w="108" w:type="dxa"/>
            <w:bottom w:w="0" w:type="dxa"/>
            <w:right w:w="108" w:type="dxa"/>
          </w:tblCellMar>
        </w:tblPrEx>
        <w:trPr>
          <w:trHeight w:val="103" w:hRule="atLeast"/>
        </w:trPr>
        <w:tc>
          <w:tcPr>
            <w:tcW w:w="2054" w:type="dxa"/>
            <w:vMerge w:val="continue"/>
            <w:tcBorders>
              <w:top w:val="nil"/>
              <w:left w:val="single" w:color="auto" w:sz="8" w:space="0"/>
              <w:bottom w:val="single" w:color="000000" w:sz="8" w:space="0"/>
              <w:right w:val="single" w:color="auto" w:sz="8" w:space="0"/>
            </w:tcBorders>
            <w:vAlign w:val="center"/>
          </w:tcPr>
          <w:p w14:paraId="6ADB1D04">
            <w:pPr>
              <w:widowControl/>
              <w:jc w:val="center"/>
              <w:rPr>
                <w:rFonts w:ascii="Times New Roman" w:hAnsi="Times New Roman" w:eastAsia="宋体" w:cs="Times New Roman"/>
                <w:szCs w:val="24"/>
              </w:rPr>
            </w:pPr>
          </w:p>
        </w:tc>
        <w:tc>
          <w:tcPr>
            <w:tcW w:w="1821" w:type="dxa"/>
            <w:vMerge w:val="continue"/>
            <w:tcBorders>
              <w:top w:val="nil"/>
              <w:left w:val="single" w:color="auto" w:sz="8" w:space="0"/>
              <w:bottom w:val="single" w:color="000000" w:sz="8" w:space="0"/>
              <w:right w:val="single" w:color="auto" w:sz="8" w:space="0"/>
            </w:tcBorders>
            <w:vAlign w:val="center"/>
          </w:tcPr>
          <w:p w14:paraId="1914CB49">
            <w:pPr>
              <w:widowControl/>
              <w:jc w:val="center"/>
              <w:rPr>
                <w:rFonts w:ascii="Times New Roman" w:hAnsi="Times New Roman" w:eastAsia="宋体" w:cs="Times New Roman"/>
                <w:szCs w:val="24"/>
              </w:rPr>
            </w:pPr>
          </w:p>
        </w:tc>
        <w:tc>
          <w:tcPr>
            <w:tcW w:w="2203" w:type="dxa"/>
            <w:tcBorders>
              <w:top w:val="nil"/>
              <w:left w:val="nil"/>
              <w:bottom w:val="single" w:color="auto" w:sz="8" w:space="0"/>
              <w:right w:val="single" w:color="auto" w:sz="8" w:space="0"/>
            </w:tcBorders>
            <w:vAlign w:val="center"/>
          </w:tcPr>
          <w:p w14:paraId="6A03BDA1">
            <w:pPr>
              <w:widowControl/>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848" w:type="dxa"/>
            <w:tcBorders>
              <w:top w:val="nil"/>
              <w:left w:val="nil"/>
              <w:bottom w:val="single" w:color="auto" w:sz="8" w:space="0"/>
              <w:right w:val="single" w:color="auto" w:sz="8" w:space="0"/>
            </w:tcBorders>
            <w:vAlign w:val="center"/>
          </w:tcPr>
          <w:p w14:paraId="4CD831EA">
            <w:pPr>
              <w:widowControl/>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7" w:type="dxa"/>
            <w:vMerge w:val="continue"/>
            <w:tcBorders>
              <w:left w:val="nil"/>
              <w:bottom w:val="single" w:color="auto" w:sz="8" w:space="0"/>
              <w:right w:val="single" w:color="auto" w:sz="8" w:space="0"/>
            </w:tcBorders>
            <w:vAlign w:val="center"/>
          </w:tcPr>
          <w:p w14:paraId="68A28106">
            <w:pPr>
              <w:widowControl/>
              <w:jc w:val="center"/>
              <w:rPr>
                <w:rFonts w:ascii="宋体" w:hAnsi="宋体" w:eastAsia="宋体" w:cs="Times New Roman"/>
                <w:kern w:val="0"/>
                <w:szCs w:val="21"/>
              </w:rPr>
            </w:pPr>
          </w:p>
        </w:tc>
      </w:tr>
      <w:tr w14:paraId="08194CDD">
        <w:tblPrEx>
          <w:tblCellMar>
            <w:top w:w="0" w:type="dxa"/>
            <w:left w:w="108" w:type="dxa"/>
            <w:bottom w:w="0" w:type="dxa"/>
            <w:right w:w="108" w:type="dxa"/>
          </w:tblCellMar>
        </w:tblPrEx>
        <w:trPr>
          <w:trHeight w:val="103" w:hRule="atLeast"/>
        </w:trPr>
        <w:tc>
          <w:tcPr>
            <w:tcW w:w="2054" w:type="dxa"/>
            <w:vMerge w:val="continue"/>
            <w:tcBorders>
              <w:top w:val="nil"/>
              <w:left w:val="single" w:color="auto" w:sz="8" w:space="0"/>
              <w:bottom w:val="single" w:color="000000" w:sz="8" w:space="0"/>
              <w:right w:val="single" w:color="auto" w:sz="8" w:space="0"/>
            </w:tcBorders>
            <w:vAlign w:val="center"/>
          </w:tcPr>
          <w:p w14:paraId="253B8BD7">
            <w:pPr>
              <w:widowControl/>
              <w:jc w:val="center"/>
              <w:rPr>
                <w:rFonts w:ascii="Times New Roman" w:hAnsi="Times New Roman" w:eastAsia="宋体" w:cs="Times New Roman"/>
                <w:szCs w:val="24"/>
              </w:rPr>
            </w:pPr>
          </w:p>
        </w:tc>
        <w:tc>
          <w:tcPr>
            <w:tcW w:w="1821" w:type="dxa"/>
            <w:vMerge w:val="continue"/>
            <w:tcBorders>
              <w:top w:val="nil"/>
              <w:left w:val="single" w:color="auto" w:sz="8" w:space="0"/>
              <w:bottom w:val="single" w:color="000000" w:sz="8" w:space="0"/>
              <w:right w:val="single" w:color="auto" w:sz="8" w:space="0"/>
            </w:tcBorders>
            <w:vAlign w:val="center"/>
          </w:tcPr>
          <w:p w14:paraId="75A350BE">
            <w:pPr>
              <w:widowControl/>
              <w:jc w:val="center"/>
              <w:rPr>
                <w:rFonts w:ascii="Times New Roman" w:hAnsi="Times New Roman" w:eastAsia="宋体" w:cs="Times New Roman"/>
                <w:szCs w:val="24"/>
              </w:rPr>
            </w:pPr>
          </w:p>
        </w:tc>
        <w:tc>
          <w:tcPr>
            <w:tcW w:w="2203" w:type="dxa"/>
            <w:tcBorders>
              <w:top w:val="nil"/>
              <w:left w:val="nil"/>
              <w:bottom w:val="single" w:color="auto" w:sz="8" w:space="0"/>
              <w:right w:val="single" w:color="auto" w:sz="8" w:space="0"/>
            </w:tcBorders>
            <w:vAlign w:val="center"/>
          </w:tcPr>
          <w:p w14:paraId="3D66A442">
            <w:pPr>
              <w:widowControl/>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48" w:type="dxa"/>
            <w:tcBorders>
              <w:top w:val="nil"/>
              <w:left w:val="nil"/>
              <w:bottom w:val="single" w:color="auto" w:sz="8" w:space="0"/>
              <w:right w:val="single" w:color="auto" w:sz="8" w:space="0"/>
            </w:tcBorders>
            <w:vAlign w:val="center"/>
          </w:tcPr>
          <w:p w14:paraId="21538C15">
            <w:pPr>
              <w:widowControl/>
              <w:jc w:val="center"/>
              <w:rPr>
                <w:rFonts w:ascii="宋体" w:hAnsi="宋体" w:eastAsia="宋体" w:cs="Times New Roman"/>
                <w:kern w:val="0"/>
                <w:szCs w:val="21"/>
              </w:rPr>
            </w:pPr>
            <w:r>
              <w:rPr>
                <w:rFonts w:hint="eastAsia" w:ascii="宋体" w:hAnsi="宋体" w:eastAsia="宋体" w:cs="Times New Roman"/>
                <w:kern w:val="0"/>
                <w:szCs w:val="21"/>
              </w:rPr>
              <w:t>4.2%</w:t>
            </w:r>
          </w:p>
        </w:tc>
        <w:tc>
          <w:tcPr>
            <w:tcW w:w="1137" w:type="dxa"/>
            <w:vMerge w:val="continue"/>
            <w:tcBorders>
              <w:left w:val="nil"/>
              <w:bottom w:val="single" w:color="auto" w:sz="8" w:space="0"/>
              <w:right w:val="single" w:color="auto" w:sz="8" w:space="0"/>
            </w:tcBorders>
            <w:vAlign w:val="center"/>
          </w:tcPr>
          <w:p w14:paraId="2C9615AE">
            <w:pPr>
              <w:widowControl/>
              <w:jc w:val="center"/>
              <w:rPr>
                <w:rFonts w:ascii="宋体" w:hAnsi="宋体" w:eastAsia="宋体" w:cs="Times New Roman"/>
                <w:kern w:val="0"/>
                <w:szCs w:val="21"/>
              </w:rPr>
            </w:pPr>
          </w:p>
        </w:tc>
      </w:tr>
      <w:tr w14:paraId="532FFF56">
        <w:tblPrEx>
          <w:tblCellMar>
            <w:top w:w="0" w:type="dxa"/>
            <w:left w:w="108" w:type="dxa"/>
            <w:bottom w:w="0" w:type="dxa"/>
            <w:right w:w="108" w:type="dxa"/>
          </w:tblCellMar>
        </w:tblPrEx>
        <w:trPr>
          <w:trHeight w:val="103" w:hRule="atLeast"/>
        </w:trPr>
        <w:tc>
          <w:tcPr>
            <w:tcW w:w="2054" w:type="dxa"/>
            <w:vMerge w:val="continue"/>
            <w:tcBorders>
              <w:left w:val="single" w:color="auto" w:sz="8" w:space="0"/>
              <w:bottom w:val="single" w:color="000000" w:sz="8" w:space="0"/>
              <w:right w:val="single" w:color="auto" w:sz="8" w:space="0"/>
            </w:tcBorders>
            <w:vAlign w:val="center"/>
          </w:tcPr>
          <w:p w14:paraId="028508DA">
            <w:pPr>
              <w:widowControl/>
              <w:jc w:val="center"/>
              <w:rPr>
                <w:rFonts w:ascii="宋体" w:hAnsi="宋体" w:eastAsia="宋体" w:cs="Times New Roman"/>
                <w:kern w:val="0"/>
                <w:szCs w:val="21"/>
              </w:rPr>
            </w:pPr>
          </w:p>
        </w:tc>
        <w:tc>
          <w:tcPr>
            <w:tcW w:w="1821" w:type="dxa"/>
            <w:vMerge w:val="continue"/>
            <w:tcBorders>
              <w:left w:val="single" w:color="auto" w:sz="8" w:space="0"/>
              <w:bottom w:val="single" w:color="000000" w:sz="8" w:space="0"/>
              <w:right w:val="single" w:color="auto" w:sz="8" w:space="0"/>
            </w:tcBorders>
            <w:vAlign w:val="center"/>
          </w:tcPr>
          <w:p w14:paraId="252BA407">
            <w:pPr>
              <w:widowControl/>
              <w:jc w:val="center"/>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488D190C">
            <w:pPr>
              <w:widowControl/>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48" w:type="dxa"/>
            <w:tcBorders>
              <w:top w:val="nil"/>
              <w:left w:val="nil"/>
              <w:bottom w:val="single" w:color="auto" w:sz="8" w:space="0"/>
              <w:right w:val="single" w:color="auto" w:sz="8" w:space="0"/>
            </w:tcBorders>
            <w:vAlign w:val="center"/>
          </w:tcPr>
          <w:p w14:paraId="703C3CAD">
            <w:pPr>
              <w:widowControl/>
              <w:jc w:val="center"/>
              <w:rPr>
                <w:rFonts w:ascii="宋体" w:hAnsi="宋体" w:eastAsia="宋体" w:cs="Times New Roman"/>
                <w:kern w:val="0"/>
                <w:szCs w:val="21"/>
              </w:rPr>
            </w:pPr>
            <w:r>
              <w:rPr>
                <w:rFonts w:hint="eastAsia" w:ascii="宋体" w:hAnsi="宋体" w:eastAsia="宋体" w:cs="Times New Roman"/>
                <w:kern w:val="0"/>
                <w:szCs w:val="21"/>
              </w:rPr>
              <w:t>9%</w:t>
            </w:r>
          </w:p>
        </w:tc>
        <w:tc>
          <w:tcPr>
            <w:tcW w:w="1137" w:type="dxa"/>
            <w:vMerge w:val="continue"/>
            <w:tcBorders>
              <w:left w:val="nil"/>
              <w:bottom w:val="single" w:color="auto" w:sz="8" w:space="0"/>
              <w:right w:val="single" w:color="auto" w:sz="8" w:space="0"/>
            </w:tcBorders>
            <w:vAlign w:val="center"/>
          </w:tcPr>
          <w:p w14:paraId="47C262BB">
            <w:pPr>
              <w:widowControl/>
              <w:jc w:val="center"/>
              <w:rPr>
                <w:rFonts w:ascii="宋体" w:hAnsi="宋体" w:eastAsia="宋体" w:cs="Times New Roman"/>
                <w:kern w:val="0"/>
                <w:szCs w:val="21"/>
              </w:rPr>
            </w:pPr>
          </w:p>
        </w:tc>
      </w:tr>
      <w:tr w14:paraId="6371C6CF">
        <w:tblPrEx>
          <w:tblCellMar>
            <w:top w:w="0" w:type="dxa"/>
            <w:left w:w="108" w:type="dxa"/>
            <w:bottom w:w="0" w:type="dxa"/>
            <w:right w:w="108" w:type="dxa"/>
          </w:tblCellMar>
        </w:tblPrEx>
        <w:trPr>
          <w:trHeight w:val="269" w:hRule="atLeast"/>
        </w:trPr>
        <w:tc>
          <w:tcPr>
            <w:tcW w:w="2054" w:type="dxa"/>
            <w:vMerge w:val="restart"/>
            <w:tcBorders>
              <w:top w:val="nil"/>
              <w:left w:val="single" w:color="auto" w:sz="8" w:space="0"/>
              <w:bottom w:val="single" w:color="000000" w:sz="8" w:space="0"/>
              <w:right w:val="single" w:color="auto" w:sz="8" w:space="0"/>
            </w:tcBorders>
            <w:vAlign w:val="center"/>
          </w:tcPr>
          <w:p w14:paraId="74CCF9BB">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821" w:type="dxa"/>
            <w:vMerge w:val="restart"/>
            <w:tcBorders>
              <w:top w:val="nil"/>
              <w:left w:val="single" w:color="auto" w:sz="8" w:space="0"/>
              <w:bottom w:val="single" w:color="000000" w:sz="8" w:space="0"/>
              <w:right w:val="single" w:color="auto" w:sz="8" w:space="0"/>
            </w:tcBorders>
            <w:vAlign w:val="center"/>
          </w:tcPr>
          <w:p w14:paraId="7B81123E">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2203" w:type="dxa"/>
            <w:tcBorders>
              <w:top w:val="nil"/>
              <w:left w:val="nil"/>
              <w:bottom w:val="single" w:color="auto" w:sz="8" w:space="0"/>
              <w:right w:val="single" w:color="auto" w:sz="8" w:space="0"/>
            </w:tcBorders>
            <w:vAlign w:val="center"/>
          </w:tcPr>
          <w:p w14:paraId="51065B6F">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48" w:type="dxa"/>
            <w:tcBorders>
              <w:top w:val="nil"/>
              <w:left w:val="nil"/>
              <w:bottom w:val="single" w:color="auto" w:sz="8" w:space="0"/>
              <w:right w:val="single" w:color="auto" w:sz="8" w:space="0"/>
            </w:tcBorders>
            <w:vAlign w:val="center"/>
          </w:tcPr>
          <w:p w14:paraId="4AC14CA4">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37" w:type="dxa"/>
            <w:vMerge w:val="restart"/>
            <w:tcBorders>
              <w:top w:val="nil"/>
              <w:left w:val="nil"/>
              <w:right w:val="single" w:color="auto" w:sz="8" w:space="0"/>
            </w:tcBorders>
            <w:vAlign w:val="center"/>
          </w:tcPr>
          <w:p w14:paraId="5636F429">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0861CE8">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000000" w:sz="8" w:space="0"/>
              <w:right w:val="single" w:color="auto" w:sz="8" w:space="0"/>
            </w:tcBorders>
            <w:vAlign w:val="center"/>
          </w:tcPr>
          <w:p w14:paraId="3BE9140C">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1CF0FAA2">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47547333">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48" w:type="dxa"/>
            <w:tcBorders>
              <w:top w:val="nil"/>
              <w:left w:val="nil"/>
              <w:bottom w:val="single" w:color="auto" w:sz="8" w:space="0"/>
              <w:right w:val="single" w:color="auto" w:sz="8" w:space="0"/>
            </w:tcBorders>
            <w:vAlign w:val="center"/>
          </w:tcPr>
          <w:p w14:paraId="6DF8F972">
            <w:pPr>
              <w:widowControl/>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7" w:type="dxa"/>
            <w:vMerge w:val="continue"/>
            <w:tcBorders>
              <w:left w:val="nil"/>
              <w:right w:val="single" w:color="auto" w:sz="8" w:space="0"/>
            </w:tcBorders>
            <w:vAlign w:val="center"/>
          </w:tcPr>
          <w:p w14:paraId="03108BE0">
            <w:pPr>
              <w:widowControl/>
              <w:jc w:val="center"/>
              <w:rPr>
                <w:rFonts w:ascii="宋体" w:hAnsi="宋体" w:eastAsia="宋体" w:cs="Times New Roman"/>
                <w:kern w:val="0"/>
                <w:szCs w:val="21"/>
              </w:rPr>
            </w:pPr>
          </w:p>
        </w:tc>
      </w:tr>
      <w:tr w14:paraId="5D0140E1">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000000" w:sz="8" w:space="0"/>
              <w:right w:val="single" w:color="auto" w:sz="8" w:space="0"/>
            </w:tcBorders>
            <w:vAlign w:val="center"/>
          </w:tcPr>
          <w:p w14:paraId="11E53593">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4F2B7495">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295BF04F">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48" w:type="dxa"/>
            <w:tcBorders>
              <w:top w:val="nil"/>
              <w:left w:val="nil"/>
              <w:bottom w:val="single" w:color="auto" w:sz="8" w:space="0"/>
              <w:right w:val="single" w:color="auto" w:sz="8" w:space="0"/>
            </w:tcBorders>
            <w:vAlign w:val="center"/>
          </w:tcPr>
          <w:p w14:paraId="25ADA8EA">
            <w:pPr>
              <w:widowControl/>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7" w:type="dxa"/>
            <w:vMerge w:val="continue"/>
            <w:tcBorders>
              <w:left w:val="nil"/>
              <w:right w:val="single" w:color="auto" w:sz="8" w:space="0"/>
            </w:tcBorders>
            <w:vAlign w:val="center"/>
          </w:tcPr>
          <w:p w14:paraId="6F04270D">
            <w:pPr>
              <w:widowControl/>
              <w:jc w:val="center"/>
              <w:rPr>
                <w:rFonts w:ascii="宋体" w:hAnsi="宋体" w:eastAsia="宋体" w:cs="Times New Roman"/>
                <w:kern w:val="0"/>
                <w:szCs w:val="21"/>
              </w:rPr>
            </w:pPr>
          </w:p>
        </w:tc>
      </w:tr>
      <w:tr w14:paraId="633A0F6C">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000000" w:sz="8" w:space="0"/>
              <w:right w:val="single" w:color="auto" w:sz="8" w:space="0"/>
            </w:tcBorders>
            <w:vAlign w:val="center"/>
          </w:tcPr>
          <w:p w14:paraId="20ACDE0B">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787A6AB7">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2CD16D9C">
            <w:pPr>
              <w:widowControl/>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848" w:type="dxa"/>
            <w:tcBorders>
              <w:top w:val="nil"/>
              <w:left w:val="nil"/>
              <w:bottom w:val="single" w:color="auto" w:sz="8" w:space="0"/>
              <w:right w:val="single" w:color="auto" w:sz="8" w:space="0"/>
            </w:tcBorders>
            <w:vAlign w:val="center"/>
          </w:tcPr>
          <w:p w14:paraId="02A330E3">
            <w:pPr>
              <w:widowControl/>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7" w:type="dxa"/>
            <w:vMerge w:val="continue"/>
            <w:tcBorders>
              <w:left w:val="nil"/>
              <w:right w:val="single" w:color="auto" w:sz="8" w:space="0"/>
            </w:tcBorders>
            <w:vAlign w:val="center"/>
          </w:tcPr>
          <w:p w14:paraId="7BE26C44">
            <w:pPr>
              <w:widowControl/>
              <w:jc w:val="center"/>
              <w:rPr>
                <w:rFonts w:ascii="宋体" w:hAnsi="宋体" w:eastAsia="宋体" w:cs="Times New Roman"/>
                <w:kern w:val="0"/>
                <w:szCs w:val="21"/>
              </w:rPr>
            </w:pPr>
          </w:p>
        </w:tc>
      </w:tr>
      <w:tr w14:paraId="6F64CBD5">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000000" w:sz="8" w:space="0"/>
              <w:right w:val="single" w:color="auto" w:sz="8" w:space="0"/>
            </w:tcBorders>
            <w:vAlign w:val="center"/>
          </w:tcPr>
          <w:p w14:paraId="44332A05">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3C632697">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375A6920">
            <w:pPr>
              <w:widowControl/>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48" w:type="dxa"/>
            <w:tcBorders>
              <w:top w:val="nil"/>
              <w:left w:val="nil"/>
              <w:bottom w:val="single" w:color="auto" w:sz="8" w:space="0"/>
              <w:right w:val="single" w:color="auto" w:sz="8" w:space="0"/>
            </w:tcBorders>
            <w:vAlign w:val="center"/>
          </w:tcPr>
          <w:p w14:paraId="37BDDCD3">
            <w:pPr>
              <w:widowControl/>
              <w:jc w:val="center"/>
              <w:rPr>
                <w:rFonts w:ascii="宋体" w:hAnsi="宋体" w:eastAsia="宋体" w:cs="Times New Roman"/>
                <w:kern w:val="0"/>
                <w:szCs w:val="21"/>
              </w:rPr>
            </w:pPr>
            <w:r>
              <w:rPr>
                <w:rFonts w:hint="eastAsia" w:ascii="宋体" w:hAnsi="宋体" w:eastAsia="宋体" w:cs="Times New Roman"/>
                <w:kern w:val="0"/>
                <w:szCs w:val="21"/>
              </w:rPr>
              <w:t>5.25%</w:t>
            </w:r>
          </w:p>
        </w:tc>
        <w:tc>
          <w:tcPr>
            <w:tcW w:w="1137" w:type="dxa"/>
            <w:vMerge w:val="continue"/>
            <w:tcBorders>
              <w:left w:val="nil"/>
              <w:right w:val="single" w:color="auto" w:sz="8" w:space="0"/>
            </w:tcBorders>
            <w:vAlign w:val="center"/>
          </w:tcPr>
          <w:p w14:paraId="5E16CF22">
            <w:pPr>
              <w:widowControl/>
              <w:jc w:val="center"/>
              <w:rPr>
                <w:rFonts w:ascii="宋体" w:hAnsi="宋体" w:eastAsia="宋体" w:cs="Times New Roman"/>
                <w:kern w:val="0"/>
                <w:szCs w:val="21"/>
              </w:rPr>
            </w:pPr>
          </w:p>
        </w:tc>
      </w:tr>
      <w:tr w14:paraId="55FDD73F">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auto" w:sz="4" w:space="0"/>
              <w:right w:val="single" w:color="auto" w:sz="8" w:space="0"/>
            </w:tcBorders>
            <w:vAlign w:val="center"/>
          </w:tcPr>
          <w:p w14:paraId="39175929">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auto" w:sz="4" w:space="0"/>
              <w:right w:val="single" w:color="auto" w:sz="8" w:space="0"/>
            </w:tcBorders>
            <w:vAlign w:val="center"/>
          </w:tcPr>
          <w:p w14:paraId="4D64B123">
            <w:pPr>
              <w:widowControl/>
              <w:jc w:val="left"/>
              <w:rPr>
                <w:rFonts w:ascii="宋体" w:hAnsi="宋体" w:eastAsia="宋体" w:cs="Times New Roman"/>
                <w:kern w:val="0"/>
                <w:szCs w:val="21"/>
              </w:rPr>
            </w:pPr>
          </w:p>
        </w:tc>
        <w:tc>
          <w:tcPr>
            <w:tcW w:w="2203" w:type="dxa"/>
            <w:tcBorders>
              <w:top w:val="nil"/>
              <w:left w:val="nil"/>
              <w:bottom w:val="single" w:color="auto" w:sz="4" w:space="0"/>
              <w:right w:val="single" w:color="auto" w:sz="8" w:space="0"/>
            </w:tcBorders>
            <w:vAlign w:val="center"/>
          </w:tcPr>
          <w:p w14:paraId="39732B9A">
            <w:pPr>
              <w:widowControl/>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48" w:type="dxa"/>
            <w:tcBorders>
              <w:top w:val="nil"/>
              <w:left w:val="nil"/>
              <w:bottom w:val="single" w:color="auto" w:sz="4" w:space="0"/>
              <w:right w:val="single" w:color="auto" w:sz="8" w:space="0"/>
            </w:tcBorders>
            <w:vAlign w:val="center"/>
          </w:tcPr>
          <w:p w14:paraId="2B8DCBB8">
            <w:pPr>
              <w:widowControl/>
              <w:jc w:val="center"/>
              <w:rPr>
                <w:rFonts w:ascii="宋体" w:hAnsi="宋体" w:eastAsia="宋体" w:cs="Times New Roman"/>
                <w:kern w:val="0"/>
                <w:szCs w:val="21"/>
              </w:rPr>
            </w:pPr>
            <w:r>
              <w:rPr>
                <w:rFonts w:hint="eastAsia" w:ascii="宋体" w:hAnsi="宋体" w:eastAsia="宋体" w:cs="Times New Roman"/>
                <w:kern w:val="0"/>
                <w:szCs w:val="21"/>
              </w:rPr>
              <w:t>9%</w:t>
            </w:r>
          </w:p>
        </w:tc>
        <w:tc>
          <w:tcPr>
            <w:tcW w:w="1137" w:type="dxa"/>
            <w:vMerge w:val="continue"/>
            <w:tcBorders>
              <w:left w:val="nil"/>
              <w:bottom w:val="single" w:color="auto" w:sz="4" w:space="0"/>
              <w:right w:val="single" w:color="auto" w:sz="8" w:space="0"/>
            </w:tcBorders>
            <w:vAlign w:val="center"/>
          </w:tcPr>
          <w:p w14:paraId="634392B9">
            <w:pPr>
              <w:widowControl/>
              <w:jc w:val="center"/>
              <w:rPr>
                <w:rFonts w:ascii="宋体" w:hAnsi="宋体" w:eastAsia="宋体" w:cs="Times New Roman"/>
                <w:kern w:val="0"/>
                <w:szCs w:val="21"/>
              </w:rPr>
            </w:pPr>
          </w:p>
        </w:tc>
      </w:tr>
      <w:tr w14:paraId="7C570D2E">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000000" w:sz="8" w:space="0"/>
              <w:right w:val="single" w:color="auto" w:sz="8" w:space="0"/>
            </w:tcBorders>
            <w:vAlign w:val="center"/>
          </w:tcPr>
          <w:p w14:paraId="02211A0E">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000000" w:sz="8" w:space="0"/>
              <w:right w:val="single" w:color="auto" w:sz="8" w:space="0"/>
            </w:tcBorders>
            <w:vAlign w:val="center"/>
          </w:tcPr>
          <w:p w14:paraId="5CFCB995">
            <w:pPr>
              <w:widowControl/>
              <w:jc w:val="left"/>
              <w:rPr>
                <w:rFonts w:ascii="宋体" w:hAnsi="宋体" w:eastAsia="宋体" w:cs="Times New Roman"/>
                <w:kern w:val="0"/>
                <w:szCs w:val="21"/>
              </w:rPr>
            </w:pPr>
          </w:p>
        </w:tc>
        <w:tc>
          <w:tcPr>
            <w:tcW w:w="2203" w:type="dxa"/>
            <w:tcBorders>
              <w:top w:val="nil"/>
              <w:left w:val="nil"/>
              <w:bottom w:val="single" w:color="auto" w:sz="8" w:space="0"/>
              <w:right w:val="single" w:color="auto" w:sz="8" w:space="0"/>
            </w:tcBorders>
            <w:vAlign w:val="center"/>
          </w:tcPr>
          <w:p w14:paraId="69B4C735">
            <w:pPr>
              <w:widowControl/>
              <w:jc w:val="center"/>
              <w:rPr>
                <w:rFonts w:ascii="宋体" w:hAnsi="宋体" w:eastAsia="宋体" w:cs="Times New Roman"/>
                <w:kern w:val="0"/>
                <w:szCs w:val="21"/>
              </w:rPr>
            </w:pPr>
            <w:r>
              <w:rPr>
                <w:rFonts w:hint="eastAsia" w:ascii="宋体" w:hAnsi="宋体" w:eastAsia="宋体" w:cs="Times New Roman"/>
                <w:kern w:val="0"/>
                <w:szCs w:val="21"/>
              </w:rPr>
              <w:t>作业1</w:t>
            </w:r>
          </w:p>
        </w:tc>
        <w:tc>
          <w:tcPr>
            <w:tcW w:w="1848" w:type="dxa"/>
            <w:tcBorders>
              <w:top w:val="nil"/>
              <w:left w:val="nil"/>
              <w:bottom w:val="single" w:color="auto" w:sz="8" w:space="0"/>
              <w:right w:val="single" w:color="auto" w:sz="8" w:space="0"/>
            </w:tcBorders>
            <w:vAlign w:val="center"/>
          </w:tcPr>
          <w:p w14:paraId="35F286DC">
            <w:pPr>
              <w:widowControl/>
              <w:jc w:val="center"/>
              <w:rPr>
                <w:rFonts w:ascii="宋体" w:hAnsi="宋体" w:eastAsia="宋体" w:cs="Times New Roman"/>
                <w:kern w:val="0"/>
                <w:szCs w:val="21"/>
              </w:rPr>
            </w:pPr>
            <w:r>
              <w:rPr>
                <w:rFonts w:hint="eastAsia" w:ascii="宋体" w:hAnsi="宋体" w:eastAsia="宋体" w:cs="Times New Roman"/>
                <w:kern w:val="0"/>
                <w:szCs w:val="21"/>
              </w:rPr>
              <w:t>21%</w:t>
            </w:r>
            <w:r>
              <w:rPr>
                <w:rFonts w:ascii="宋体" w:hAnsi="宋体" w:eastAsia="宋体" w:cs="Times New Roman"/>
                <w:kern w:val="0"/>
                <w:szCs w:val="21"/>
              </w:rPr>
              <w:t xml:space="preserve"> </w:t>
            </w:r>
          </w:p>
        </w:tc>
        <w:tc>
          <w:tcPr>
            <w:tcW w:w="1137" w:type="dxa"/>
            <w:vMerge w:val="continue"/>
            <w:tcBorders>
              <w:left w:val="nil"/>
              <w:right w:val="single" w:color="auto" w:sz="8" w:space="0"/>
            </w:tcBorders>
          </w:tcPr>
          <w:p w14:paraId="70CC4228">
            <w:pPr>
              <w:widowControl/>
              <w:jc w:val="center"/>
              <w:rPr>
                <w:rFonts w:ascii="宋体" w:hAnsi="宋体" w:eastAsia="宋体" w:cs="Times New Roman"/>
                <w:kern w:val="0"/>
                <w:szCs w:val="21"/>
              </w:rPr>
            </w:pPr>
          </w:p>
        </w:tc>
      </w:tr>
      <w:tr w14:paraId="4A065798">
        <w:tblPrEx>
          <w:tblCellMar>
            <w:top w:w="0" w:type="dxa"/>
            <w:left w:w="108" w:type="dxa"/>
            <w:bottom w:w="0" w:type="dxa"/>
            <w:right w:w="108" w:type="dxa"/>
          </w:tblCellMar>
        </w:tblPrEx>
        <w:trPr>
          <w:trHeight w:val="269" w:hRule="atLeast"/>
        </w:trPr>
        <w:tc>
          <w:tcPr>
            <w:tcW w:w="2054" w:type="dxa"/>
            <w:vMerge w:val="continue"/>
            <w:tcBorders>
              <w:top w:val="nil"/>
              <w:left w:val="single" w:color="auto" w:sz="8" w:space="0"/>
              <w:bottom w:val="single" w:color="auto" w:sz="4" w:space="0"/>
              <w:right w:val="single" w:color="auto" w:sz="8" w:space="0"/>
            </w:tcBorders>
            <w:vAlign w:val="center"/>
          </w:tcPr>
          <w:p w14:paraId="52F0C359">
            <w:pPr>
              <w:widowControl/>
              <w:jc w:val="left"/>
              <w:rPr>
                <w:rFonts w:ascii="宋体" w:hAnsi="宋体" w:eastAsia="宋体" w:cs="Times New Roman"/>
                <w:kern w:val="0"/>
                <w:szCs w:val="21"/>
              </w:rPr>
            </w:pPr>
          </w:p>
        </w:tc>
        <w:tc>
          <w:tcPr>
            <w:tcW w:w="1821" w:type="dxa"/>
            <w:vMerge w:val="continue"/>
            <w:tcBorders>
              <w:top w:val="nil"/>
              <w:left w:val="single" w:color="auto" w:sz="8" w:space="0"/>
              <w:bottom w:val="single" w:color="auto" w:sz="4" w:space="0"/>
              <w:right w:val="single" w:color="auto" w:sz="8" w:space="0"/>
            </w:tcBorders>
            <w:vAlign w:val="center"/>
          </w:tcPr>
          <w:p w14:paraId="4B2FCFC9">
            <w:pPr>
              <w:widowControl/>
              <w:jc w:val="left"/>
              <w:rPr>
                <w:rFonts w:ascii="宋体" w:hAnsi="宋体" w:eastAsia="宋体" w:cs="Times New Roman"/>
                <w:kern w:val="0"/>
                <w:szCs w:val="21"/>
              </w:rPr>
            </w:pPr>
          </w:p>
        </w:tc>
        <w:tc>
          <w:tcPr>
            <w:tcW w:w="2203" w:type="dxa"/>
            <w:tcBorders>
              <w:top w:val="nil"/>
              <w:left w:val="nil"/>
              <w:bottom w:val="single" w:color="auto" w:sz="4" w:space="0"/>
              <w:right w:val="single" w:color="auto" w:sz="8" w:space="0"/>
            </w:tcBorders>
            <w:vAlign w:val="center"/>
          </w:tcPr>
          <w:p w14:paraId="19187F13">
            <w:pPr>
              <w:widowControl/>
              <w:jc w:val="center"/>
              <w:rPr>
                <w:rFonts w:ascii="宋体" w:hAnsi="宋体" w:eastAsia="宋体" w:cs="Times New Roman"/>
                <w:kern w:val="0"/>
                <w:szCs w:val="21"/>
              </w:rPr>
            </w:pPr>
            <w:r>
              <w:rPr>
                <w:rFonts w:hint="eastAsia" w:ascii="Times New Roman" w:hAnsi="Times New Roman" w:eastAsia="宋体" w:cs="Times New Roman"/>
                <w:szCs w:val="24"/>
              </w:rPr>
              <w:t>课堂表现与考勤</w:t>
            </w:r>
          </w:p>
        </w:tc>
        <w:tc>
          <w:tcPr>
            <w:tcW w:w="1848" w:type="dxa"/>
            <w:tcBorders>
              <w:top w:val="nil"/>
              <w:left w:val="nil"/>
              <w:bottom w:val="single" w:color="auto" w:sz="4" w:space="0"/>
              <w:right w:val="single" w:color="auto" w:sz="8" w:space="0"/>
            </w:tcBorders>
            <w:vAlign w:val="center"/>
          </w:tcPr>
          <w:p w14:paraId="70732F5A">
            <w:pPr>
              <w:widowControl/>
              <w:jc w:val="center"/>
              <w:rPr>
                <w:rFonts w:ascii="宋体" w:hAnsi="宋体" w:eastAsia="宋体" w:cs="Times New Roman"/>
                <w:kern w:val="0"/>
                <w:szCs w:val="21"/>
              </w:rPr>
            </w:pPr>
            <w:r>
              <w:rPr>
                <w:rFonts w:hint="eastAsia" w:ascii="宋体" w:hAnsi="宋体" w:eastAsia="宋体" w:cs="Times New Roman"/>
                <w:kern w:val="0"/>
                <w:szCs w:val="21"/>
              </w:rPr>
              <w:t>9%</w:t>
            </w:r>
            <w:r>
              <w:rPr>
                <w:rFonts w:ascii="宋体" w:hAnsi="宋体" w:eastAsia="宋体" w:cs="Times New Roman"/>
                <w:kern w:val="0"/>
                <w:szCs w:val="21"/>
              </w:rPr>
              <w:t xml:space="preserve"> </w:t>
            </w:r>
          </w:p>
        </w:tc>
        <w:tc>
          <w:tcPr>
            <w:tcW w:w="1137" w:type="dxa"/>
            <w:vMerge w:val="continue"/>
            <w:tcBorders>
              <w:left w:val="nil"/>
              <w:bottom w:val="single" w:color="auto" w:sz="4" w:space="0"/>
              <w:right w:val="single" w:color="auto" w:sz="8" w:space="0"/>
            </w:tcBorders>
          </w:tcPr>
          <w:p w14:paraId="7C43494B">
            <w:pPr>
              <w:widowControl/>
              <w:jc w:val="center"/>
              <w:rPr>
                <w:rFonts w:ascii="宋体" w:hAnsi="宋体" w:eastAsia="宋体" w:cs="Times New Roman"/>
                <w:kern w:val="0"/>
                <w:szCs w:val="21"/>
              </w:rPr>
            </w:pPr>
          </w:p>
        </w:tc>
      </w:tr>
      <w:tr w14:paraId="3AA50AAB">
        <w:tblPrEx>
          <w:tblCellMar>
            <w:top w:w="0" w:type="dxa"/>
            <w:left w:w="108" w:type="dxa"/>
            <w:bottom w:w="0" w:type="dxa"/>
            <w:right w:w="108" w:type="dxa"/>
          </w:tblCellMar>
        </w:tblPrEx>
        <w:trPr>
          <w:trHeight w:val="141" w:hRule="atLeast"/>
        </w:trPr>
        <w:tc>
          <w:tcPr>
            <w:tcW w:w="2054" w:type="dxa"/>
            <w:vMerge w:val="continue"/>
            <w:tcBorders>
              <w:left w:val="single" w:color="auto" w:sz="4" w:space="0"/>
              <w:right w:val="single" w:color="auto" w:sz="4" w:space="0"/>
            </w:tcBorders>
            <w:vAlign w:val="center"/>
          </w:tcPr>
          <w:p w14:paraId="186860D3">
            <w:pPr>
              <w:widowControl/>
              <w:jc w:val="center"/>
              <w:rPr>
                <w:rFonts w:ascii="Times New Roman" w:hAnsi="Times New Roman" w:eastAsia="宋体" w:cs="Times New Roman"/>
                <w:szCs w:val="24"/>
              </w:rPr>
            </w:pPr>
          </w:p>
        </w:tc>
        <w:tc>
          <w:tcPr>
            <w:tcW w:w="1821" w:type="dxa"/>
            <w:vMerge w:val="continue"/>
            <w:tcBorders>
              <w:left w:val="single" w:color="auto" w:sz="4" w:space="0"/>
              <w:right w:val="single" w:color="auto" w:sz="4" w:space="0"/>
            </w:tcBorders>
            <w:vAlign w:val="center"/>
          </w:tcPr>
          <w:p w14:paraId="2D6EB5E3">
            <w:pPr>
              <w:widowControl/>
              <w:jc w:val="center"/>
              <w:rPr>
                <w:rFonts w:ascii="Times New Roman" w:hAnsi="Times New Roman" w:eastAsia="宋体" w:cs="Times New Roman"/>
                <w:szCs w:val="24"/>
              </w:rPr>
            </w:pPr>
          </w:p>
        </w:tc>
        <w:tc>
          <w:tcPr>
            <w:tcW w:w="2203" w:type="dxa"/>
            <w:tcBorders>
              <w:top w:val="single" w:color="auto" w:sz="4" w:space="0"/>
              <w:left w:val="single" w:color="auto" w:sz="4" w:space="0"/>
              <w:bottom w:val="single" w:color="auto" w:sz="4" w:space="0"/>
              <w:right w:val="single" w:color="auto" w:sz="4" w:space="0"/>
            </w:tcBorders>
            <w:vAlign w:val="center"/>
          </w:tcPr>
          <w:p w14:paraId="717DB570">
            <w:pPr>
              <w:widowControl/>
              <w:jc w:val="center"/>
              <w:rPr>
                <w:rFonts w:ascii="Times New Roman" w:hAnsi="Times New Roman" w:eastAsia="宋体" w:cs="Times New Roman"/>
                <w:szCs w:val="24"/>
              </w:rPr>
            </w:pPr>
            <w:r>
              <w:rPr>
                <w:rFonts w:hint="eastAsia" w:ascii="宋体" w:hAnsi="宋体" w:eastAsia="宋体" w:cs="Times New Roman"/>
                <w:kern w:val="0"/>
                <w:szCs w:val="21"/>
              </w:rPr>
              <w:t>作业1</w:t>
            </w:r>
          </w:p>
        </w:tc>
        <w:tc>
          <w:tcPr>
            <w:tcW w:w="1848" w:type="dxa"/>
            <w:tcBorders>
              <w:top w:val="single" w:color="auto" w:sz="4" w:space="0"/>
              <w:left w:val="single" w:color="auto" w:sz="4" w:space="0"/>
              <w:bottom w:val="single" w:color="auto" w:sz="4" w:space="0"/>
              <w:right w:val="single" w:color="auto" w:sz="4" w:space="0"/>
            </w:tcBorders>
            <w:vAlign w:val="center"/>
          </w:tcPr>
          <w:p w14:paraId="1DFDCA15">
            <w:pPr>
              <w:widowControl/>
              <w:jc w:val="center"/>
              <w:rPr>
                <w:rFonts w:ascii="Times New Roman" w:hAnsi="Times New Roman" w:eastAsia="宋体" w:cs="Times New Roman"/>
                <w:szCs w:val="24"/>
              </w:rPr>
            </w:pPr>
            <w:r>
              <w:rPr>
                <w:rFonts w:hint="eastAsia" w:ascii="宋体" w:hAnsi="宋体" w:eastAsia="宋体" w:cs="Times New Roman"/>
                <w:kern w:val="0"/>
                <w:szCs w:val="21"/>
              </w:rPr>
              <w:t>21%</w:t>
            </w:r>
            <w:r>
              <w:rPr>
                <w:rFonts w:ascii="宋体" w:hAnsi="宋体" w:eastAsia="宋体" w:cs="Times New Roman"/>
                <w:kern w:val="0"/>
                <w:szCs w:val="21"/>
              </w:rPr>
              <w:t xml:space="preserve"> </w:t>
            </w:r>
          </w:p>
        </w:tc>
        <w:tc>
          <w:tcPr>
            <w:tcW w:w="1137" w:type="dxa"/>
            <w:vMerge w:val="continue"/>
            <w:tcBorders>
              <w:left w:val="single" w:color="auto" w:sz="4" w:space="0"/>
              <w:right w:val="single" w:color="auto" w:sz="4" w:space="0"/>
            </w:tcBorders>
            <w:vAlign w:val="center"/>
          </w:tcPr>
          <w:p w14:paraId="3BD95890">
            <w:pPr>
              <w:widowControl/>
              <w:jc w:val="center"/>
              <w:rPr>
                <w:rFonts w:ascii="Times New Roman" w:hAnsi="Times New Roman" w:eastAsia="宋体" w:cs="Times New Roman"/>
                <w:szCs w:val="24"/>
              </w:rPr>
            </w:pPr>
          </w:p>
        </w:tc>
      </w:tr>
      <w:tr w14:paraId="70CF32B5">
        <w:tblPrEx>
          <w:tblCellMar>
            <w:top w:w="0" w:type="dxa"/>
            <w:left w:w="108" w:type="dxa"/>
            <w:bottom w:w="0" w:type="dxa"/>
            <w:right w:w="108" w:type="dxa"/>
          </w:tblCellMar>
        </w:tblPrEx>
        <w:trPr>
          <w:trHeight w:val="141" w:hRule="atLeast"/>
        </w:trPr>
        <w:tc>
          <w:tcPr>
            <w:tcW w:w="2054" w:type="dxa"/>
            <w:vMerge w:val="continue"/>
            <w:tcBorders>
              <w:left w:val="single" w:color="auto" w:sz="4" w:space="0"/>
              <w:bottom w:val="single" w:color="auto" w:sz="4" w:space="0"/>
              <w:right w:val="single" w:color="auto" w:sz="4" w:space="0"/>
            </w:tcBorders>
            <w:vAlign w:val="center"/>
          </w:tcPr>
          <w:p w14:paraId="4846C0A5">
            <w:pPr>
              <w:widowControl/>
              <w:jc w:val="center"/>
              <w:rPr>
                <w:rFonts w:ascii="Times New Roman" w:hAnsi="Times New Roman" w:eastAsia="宋体" w:cs="Times New Roman"/>
                <w:szCs w:val="24"/>
              </w:rPr>
            </w:pPr>
          </w:p>
        </w:tc>
        <w:tc>
          <w:tcPr>
            <w:tcW w:w="1821" w:type="dxa"/>
            <w:vMerge w:val="continue"/>
            <w:tcBorders>
              <w:left w:val="single" w:color="auto" w:sz="4" w:space="0"/>
              <w:bottom w:val="single" w:color="auto" w:sz="4" w:space="0"/>
              <w:right w:val="single" w:color="auto" w:sz="4" w:space="0"/>
            </w:tcBorders>
            <w:vAlign w:val="center"/>
          </w:tcPr>
          <w:p w14:paraId="066FF16D">
            <w:pPr>
              <w:widowControl/>
              <w:jc w:val="center"/>
              <w:rPr>
                <w:rFonts w:ascii="Times New Roman" w:hAnsi="Times New Roman" w:eastAsia="宋体" w:cs="Times New Roman"/>
                <w:szCs w:val="24"/>
              </w:rPr>
            </w:pPr>
          </w:p>
        </w:tc>
        <w:tc>
          <w:tcPr>
            <w:tcW w:w="2203" w:type="dxa"/>
            <w:tcBorders>
              <w:top w:val="single" w:color="auto" w:sz="4" w:space="0"/>
              <w:left w:val="single" w:color="auto" w:sz="4" w:space="0"/>
              <w:bottom w:val="single" w:color="auto" w:sz="4" w:space="0"/>
              <w:right w:val="single" w:color="auto" w:sz="4" w:space="0"/>
            </w:tcBorders>
            <w:vAlign w:val="center"/>
          </w:tcPr>
          <w:p w14:paraId="50982B38">
            <w:pPr>
              <w:widowControl/>
              <w:jc w:val="center"/>
              <w:rPr>
                <w:rFonts w:ascii="Times New Roman" w:hAnsi="Times New Roman" w:eastAsia="宋体" w:cs="Times New Roman"/>
                <w:szCs w:val="24"/>
              </w:rPr>
            </w:pPr>
            <w:r>
              <w:rPr>
                <w:rFonts w:hint="eastAsia" w:ascii="Times New Roman" w:hAnsi="Times New Roman" w:eastAsia="宋体" w:cs="Times New Roman"/>
                <w:szCs w:val="24"/>
              </w:rPr>
              <w:t>课堂表现与考勤</w:t>
            </w:r>
          </w:p>
        </w:tc>
        <w:tc>
          <w:tcPr>
            <w:tcW w:w="1848" w:type="dxa"/>
            <w:tcBorders>
              <w:top w:val="single" w:color="auto" w:sz="4" w:space="0"/>
              <w:left w:val="single" w:color="auto" w:sz="4" w:space="0"/>
              <w:bottom w:val="single" w:color="auto" w:sz="4" w:space="0"/>
              <w:right w:val="single" w:color="auto" w:sz="4" w:space="0"/>
            </w:tcBorders>
            <w:vAlign w:val="center"/>
          </w:tcPr>
          <w:p w14:paraId="25C58972">
            <w:pPr>
              <w:widowControl/>
              <w:jc w:val="center"/>
              <w:rPr>
                <w:rFonts w:ascii="Times New Roman" w:hAnsi="Times New Roman" w:eastAsia="宋体" w:cs="Times New Roman"/>
                <w:szCs w:val="24"/>
              </w:rPr>
            </w:pPr>
            <w:r>
              <w:rPr>
                <w:rFonts w:hint="eastAsia" w:ascii="宋体" w:hAnsi="宋体" w:eastAsia="宋体" w:cs="Times New Roman"/>
                <w:kern w:val="0"/>
                <w:szCs w:val="21"/>
              </w:rPr>
              <w:t>9%</w:t>
            </w:r>
            <w:r>
              <w:rPr>
                <w:rFonts w:ascii="宋体" w:hAnsi="宋体" w:eastAsia="宋体" w:cs="Times New Roman"/>
                <w:kern w:val="0"/>
                <w:szCs w:val="21"/>
              </w:rPr>
              <w:t xml:space="preserve"> </w:t>
            </w:r>
          </w:p>
        </w:tc>
        <w:tc>
          <w:tcPr>
            <w:tcW w:w="1137" w:type="dxa"/>
            <w:vMerge w:val="continue"/>
            <w:tcBorders>
              <w:left w:val="single" w:color="auto" w:sz="4" w:space="0"/>
              <w:bottom w:val="single" w:color="auto" w:sz="4" w:space="0"/>
              <w:right w:val="single" w:color="auto" w:sz="4" w:space="0"/>
            </w:tcBorders>
            <w:vAlign w:val="center"/>
          </w:tcPr>
          <w:p w14:paraId="13BE5504">
            <w:pPr>
              <w:widowControl/>
              <w:jc w:val="center"/>
              <w:rPr>
                <w:rFonts w:ascii="Times New Roman" w:hAnsi="Times New Roman" w:eastAsia="宋体" w:cs="Times New Roman"/>
                <w:szCs w:val="24"/>
              </w:rPr>
            </w:pPr>
          </w:p>
        </w:tc>
      </w:tr>
      <w:tr w14:paraId="300238CC">
        <w:tblPrEx>
          <w:tblCellMar>
            <w:top w:w="0" w:type="dxa"/>
            <w:left w:w="108" w:type="dxa"/>
            <w:bottom w:w="0" w:type="dxa"/>
            <w:right w:w="108" w:type="dxa"/>
          </w:tblCellMar>
        </w:tblPrEx>
        <w:trPr>
          <w:trHeight w:val="434" w:hRule="atLeast"/>
        </w:trPr>
        <w:tc>
          <w:tcPr>
            <w:tcW w:w="2054" w:type="dxa"/>
            <w:tcBorders>
              <w:top w:val="single" w:color="auto" w:sz="4" w:space="0"/>
              <w:left w:val="single" w:color="auto" w:sz="4" w:space="0"/>
              <w:bottom w:val="single" w:color="auto" w:sz="4" w:space="0"/>
              <w:right w:val="single" w:color="auto" w:sz="4" w:space="0"/>
            </w:tcBorders>
            <w:vAlign w:val="center"/>
          </w:tcPr>
          <w:p w14:paraId="6E729227">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821" w:type="dxa"/>
            <w:tcBorders>
              <w:top w:val="single" w:color="auto" w:sz="4" w:space="0"/>
              <w:left w:val="single" w:color="auto" w:sz="4" w:space="0"/>
              <w:bottom w:val="single" w:color="auto" w:sz="4" w:space="0"/>
              <w:right w:val="single" w:color="auto" w:sz="4" w:space="0"/>
            </w:tcBorders>
            <w:vAlign w:val="center"/>
          </w:tcPr>
          <w:p w14:paraId="166C8C5F">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2DCCF41B">
            <w:pPr>
              <w:widowControl/>
              <w:jc w:val="center"/>
              <w:rPr>
                <w:rFonts w:ascii="宋体" w:hAnsi="宋体" w:eastAsia="宋体" w:cs="Times New Roman"/>
                <w:kern w:val="0"/>
                <w:szCs w:val="21"/>
              </w:rPr>
            </w:pPr>
          </w:p>
        </w:tc>
      </w:tr>
    </w:tbl>
    <w:p w14:paraId="206A6775">
      <w:pPr>
        <w:spacing w:line="360" w:lineRule="auto"/>
        <w:ind w:firstLine="480"/>
        <w:rPr>
          <w:rFonts w:ascii="宋体" w:hAnsi="宋体" w:eastAsia="宋体" w:cs="Times New Roman"/>
          <w:sz w:val="24"/>
        </w:rPr>
      </w:pPr>
    </w:p>
    <w:p w14:paraId="7DDCB831">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6835520C">
      <w:pPr>
        <w:spacing w:line="360" w:lineRule="auto"/>
        <w:ind w:firstLine="480"/>
        <w:rPr>
          <w:rFonts w:ascii="宋体" w:hAnsi="宋体" w:eastAsia="宋体" w:cs="Times New Roman"/>
          <w:sz w:val="24"/>
        </w:rPr>
      </w:pPr>
      <w:r>
        <w:rPr>
          <w:rFonts w:ascii="宋体" w:hAnsi="宋体" w:eastAsia="宋体" w:cs="Times New Roman"/>
          <w:sz w:val="24"/>
        </w:rPr>
        <w:t>所有课程目标</w:t>
      </w:r>
      <w:r>
        <w:rPr>
          <w:rFonts w:hint="eastAsia" w:ascii="宋体" w:hAnsi="宋体" w:eastAsia="宋体" w:cs="Times New Roman"/>
          <w:sz w:val="24"/>
        </w:rPr>
        <w:t>达成度</w:t>
      </w:r>
      <w:r>
        <w:rPr>
          <w:rFonts w:ascii="宋体" w:hAnsi="宋体" w:eastAsia="宋体" w:cs="Times New Roman"/>
          <w:sz w:val="24"/>
        </w:rPr>
        <w:t>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5BABA3CC">
      <w:pPr>
        <w:spacing w:line="360" w:lineRule="auto"/>
        <w:rPr>
          <w:rFonts w:ascii="宋体" w:hAnsi="宋体" w:eastAsia="宋体" w:cs="Times New Roman"/>
          <w:sz w:val="24"/>
        </w:rPr>
      </w:pPr>
      <w:r>
        <w:rPr>
          <w:rFonts w:ascii="宋体" w:hAnsi="宋体" w:eastAsia="宋体" w:cs="Times New Roman"/>
          <w:sz w:val="24"/>
        </w:rPr>
        <w:drawing>
          <wp:inline distT="0" distB="0" distL="114300" distR="114300">
            <wp:extent cx="5760720" cy="365760"/>
            <wp:effectExtent l="0" t="0" r="5080" b="254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5E4A8B08">
      <w:pPr>
        <w:spacing w:line="360" w:lineRule="auto"/>
        <w:ind w:firstLine="562" w:firstLineChars="200"/>
        <w:rPr>
          <w:rFonts w:ascii="宋体" w:hAnsi="宋体" w:eastAsia="宋体" w:cs="Times New Roman"/>
          <w:b/>
          <w:sz w:val="28"/>
          <w:szCs w:val="28"/>
        </w:rPr>
      </w:pPr>
    </w:p>
    <w:p w14:paraId="1270B777">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7646F5EF">
      <w:pPr>
        <w:spacing w:line="360" w:lineRule="auto"/>
        <w:ind w:firstLine="482" w:firstLineChars="200"/>
        <w:rPr>
          <w:rFonts w:ascii="宋体" w:hAnsi="宋体" w:eastAsia="宋体" w:cs="Times New Roman"/>
          <w:b/>
          <w:sz w:val="28"/>
          <w:szCs w:val="28"/>
        </w:rPr>
      </w:pPr>
      <w:r>
        <w:rPr>
          <w:rFonts w:hint="eastAsia" w:ascii="宋体" w:hAnsi="宋体" w:eastAsia="宋体" w:cs="Times New Roman"/>
          <w:b/>
          <w:sz w:val="24"/>
        </w:rPr>
        <w:t>（一）持续改进</w:t>
      </w:r>
    </w:p>
    <w:p w14:paraId="79A6C397">
      <w:pPr>
        <w:spacing w:line="360" w:lineRule="auto"/>
        <w:ind w:firstLine="480" w:firstLineChars="200"/>
        <w:rPr>
          <w:rFonts w:ascii="宋体" w:hAnsi="宋体" w:eastAsia="宋体" w:cs="Times New Roman"/>
          <w:sz w:val="24"/>
        </w:rPr>
      </w:pPr>
      <w:r>
        <w:rPr>
          <w:rFonts w:ascii="宋体" w:hAnsi="宋体" w:eastAsia="宋体" w:cs="Times New Roman"/>
          <w:sz w:val="24"/>
        </w:rPr>
        <w:t>本课程根据学生作业、课堂讨论、平时考核情况和学生、教学督导等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bookmarkStart w:id="230" w:name="_Toc56983153"/>
    </w:p>
    <w:p w14:paraId="4E593D94">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（二）</w:t>
      </w:r>
      <w:r>
        <w:rPr>
          <w:rFonts w:ascii="宋体" w:hAnsi="宋体" w:eastAsia="宋体" w:cs="Times New Roman"/>
          <w:b/>
          <w:sz w:val="24"/>
        </w:rPr>
        <w:t>参考书目及学习资料</w:t>
      </w:r>
      <w:bookmarkEnd w:id="230"/>
    </w:p>
    <w:p w14:paraId="34F1E1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1.教材：</w:t>
      </w:r>
    </w:p>
    <w:p w14:paraId="168055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《教育研究中定量数据的统计与分析：基于SPSS的应用案例解析》.张屹，周平红 .北京大学出版社，2015.</w:t>
      </w:r>
    </w:p>
    <w:p w14:paraId="23A08B1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2.教学参考书：</w:t>
      </w:r>
    </w:p>
    <w:p w14:paraId="54FCE8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张厚粲、徐建平主编.现代心理与教育统计学（第5版）.北京：北京师范大学出版社，2020</w:t>
      </w:r>
    </w:p>
    <w:p w14:paraId="2AE497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戴海琦，张峰主编.心理与教育测量（第4版）.广州：暨南大学出版社，2018</w:t>
      </w:r>
    </w:p>
    <w:p w14:paraId="64AD48ED">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605BB289">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3248671B">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巫文胜</w:t>
      </w:r>
    </w:p>
    <w:p w14:paraId="77653774">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审定人：王  健</w:t>
      </w:r>
      <w:r>
        <w:rPr>
          <w:rFonts w:ascii="宋体" w:hAnsi="宋体" w:eastAsia="宋体" w:cs="Times New Roman"/>
          <w:kern w:val="0"/>
          <w:sz w:val="24"/>
          <w:szCs w:val="21"/>
        </w:rPr>
        <w:t xml:space="preserve"> </w:t>
      </w:r>
    </w:p>
    <w:p w14:paraId="30A64A1A">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35785108">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批准时间：20</w:t>
      </w:r>
      <w:r>
        <w:rPr>
          <w:rFonts w:ascii="宋体" w:hAnsi="宋体" w:eastAsia="宋体" w:cs="Times New Roman"/>
          <w:kern w:val="0"/>
          <w:sz w:val="24"/>
          <w:szCs w:val="21"/>
        </w:rPr>
        <w:t>2</w:t>
      </w:r>
      <w:r>
        <w:rPr>
          <w:rFonts w:hint="eastAsia" w:ascii="宋体" w:hAnsi="宋体" w:eastAsia="宋体" w:cs="Times New Roman"/>
          <w:kern w:val="0"/>
          <w:sz w:val="24"/>
          <w:szCs w:val="21"/>
        </w:rPr>
        <w:t>3年8月30日</w:t>
      </w:r>
    </w:p>
    <w:p w14:paraId="4ACA9A77">
      <w:pPr>
        <w:spacing w:line="360" w:lineRule="auto"/>
        <w:jc w:val="center"/>
        <w:outlineLvl w:val="0"/>
        <w:rPr>
          <w:rFonts w:ascii="Times New Roman" w:hAnsi="Times New Roman" w:eastAsia="宋体" w:cs="Times New Roman"/>
          <w:b/>
          <w:bCs/>
          <w:sz w:val="30"/>
          <w:szCs w:val="24"/>
        </w:rPr>
      </w:pPr>
      <w:r>
        <w:rPr>
          <w:rFonts w:ascii="Times New Roman" w:hAnsi="Times New Roman" w:eastAsia="宋体" w:cs="Times New Roman"/>
          <w:sz w:val="24"/>
          <w:szCs w:val="24"/>
        </w:rPr>
        <w:br w:type="page"/>
      </w:r>
      <w:bookmarkStart w:id="231" w:name="_Toc57017195"/>
      <w:r>
        <w:rPr>
          <w:rFonts w:hint="eastAsia" w:ascii="Times New Roman" w:hAnsi="Times New Roman" w:eastAsia="宋体" w:cs="Times New Roman"/>
          <w:b/>
          <w:bCs/>
          <w:sz w:val="30"/>
          <w:szCs w:val="24"/>
        </w:rPr>
        <w:t>科学概论课程教学大纲</w:t>
      </w:r>
      <w:bookmarkEnd w:id="231"/>
    </w:p>
    <w:p w14:paraId="0BAA022F">
      <w:pPr>
        <w:spacing w:line="360" w:lineRule="auto"/>
        <w:jc w:val="center"/>
        <w:rPr>
          <w:rFonts w:ascii="Times New Roman" w:hAnsi="Times New Roman" w:eastAsia="宋体" w:cs="Times New Roman"/>
          <w:b/>
          <w:bCs/>
          <w:sz w:val="28"/>
          <w:szCs w:val="24"/>
        </w:rPr>
      </w:pPr>
      <w:r>
        <w:rPr>
          <w:rFonts w:ascii="Times New Roman" w:hAnsi="Times New Roman" w:eastAsia="宋体" w:cs="Times New Roman"/>
          <w:b/>
          <w:bCs/>
          <w:sz w:val="28"/>
          <w:szCs w:val="24"/>
        </w:rPr>
        <w:t>（</w:t>
      </w:r>
      <w:r>
        <w:rPr>
          <w:rFonts w:hint="eastAsia" w:ascii="Times New Roman" w:hAnsi="Times New Roman" w:eastAsia="宋体" w:cs="Times New Roman"/>
          <w:b/>
          <w:bCs/>
          <w:sz w:val="28"/>
          <w:szCs w:val="24"/>
        </w:rPr>
        <w:t>I</w:t>
      </w:r>
      <w:r>
        <w:rPr>
          <w:rFonts w:ascii="Times New Roman" w:hAnsi="Times New Roman" w:eastAsia="宋体" w:cs="Times New Roman"/>
          <w:b/>
          <w:bCs/>
          <w:sz w:val="28"/>
          <w:szCs w:val="24"/>
        </w:rPr>
        <w:t>ntroduction of Science）</w:t>
      </w:r>
    </w:p>
    <w:p w14:paraId="45CFADC2">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270474EF">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hint="eastAsia" w:ascii="宋体" w:hAnsi="宋体" w:eastAsia="宋体" w:cs="Times New Roman"/>
          <w:bCs/>
          <w:kern w:val="0"/>
          <w:sz w:val="24"/>
          <w:szCs w:val="24"/>
        </w:rPr>
        <w:t>2401</w:t>
      </w:r>
      <w:r>
        <w:rPr>
          <w:rFonts w:ascii="宋体" w:hAnsi="宋体" w:eastAsia="宋体" w:cs="Times New Roman"/>
          <w:bCs/>
          <w:kern w:val="0"/>
          <w:sz w:val="24"/>
          <w:szCs w:val="24"/>
        </w:rPr>
        <w:t>031</w:t>
      </w:r>
    </w:p>
    <w:p w14:paraId="65230646">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w:t>
      </w:r>
    </w:p>
    <w:p w14:paraId="1E393E65">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48（其中：讲授学时48）</w:t>
      </w:r>
    </w:p>
    <w:p w14:paraId="34C978F7">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hint="eastAsia" w:ascii="Times New Roman" w:hAnsi="Times New Roman" w:eastAsia="宋体" w:cs="Times New Roman"/>
          <w:sz w:val="24"/>
          <w:szCs w:val="24"/>
        </w:rPr>
        <w:t>小学教育（文）小学教育（理）</w:t>
      </w:r>
      <w:r>
        <w:rPr>
          <w:rFonts w:ascii="Times New Roman" w:hAnsi="Times New Roman" w:eastAsia="宋体" w:cs="Times New Roman"/>
          <w:kern w:val="0"/>
          <w:sz w:val="24"/>
          <w:szCs w:val="24"/>
        </w:rPr>
        <w:t xml:space="preserve"> </w:t>
      </w:r>
    </w:p>
    <w:p w14:paraId="690BA192">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kern w:val="0"/>
          <w:sz w:val="24"/>
          <w:szCs w:val="24"/>
        </w:rPr>
        <w:t>建议</w:t>
      </w:r>
      <w:r>
        <w:rPr>
          <w:rFonts w:ascii="Times New Roman" w:hAnsi="Times New Roman" w:eastAsia="宋体" w:cs="Times New Roman"/>
          <w:b/>
          <w:bCs/>
          <w:kern w:val="0"/>
          <w:sz w:val="24"/>
          <w:szCs w:val="24"/>
        </w:rPr>
        <w:t>教材</w:t>
      </w:r>
      <w:r>
        <w:rPr>
          <w:rFonts w:ascii="Times New Roman" w:hAnsi="Times New Roman" w:eastAsia="宋体" w:cs="Times New Roman"/>
          <w:b/>
          <w:kern w:val="0"/>
          <w:sz w:val="24"/>
          <w:szCs w:val="24"/>
        </w:rPr>
        <w:t>：</w:t>
      </w:r>
      <w:r>
        <w:rPr>
          <w:rFonts w:hint="eastAsia" w:ascii="Times New Roman" w:hAnsi="Times New Roman" w:eastAsia="宋体" w:cs="Times New Roman"/>
          <w:kern w:val="0"/>
          <w:sz w:val="24"/>
          <w:szCs w:val="24"/>
        </w:rPr>
        <w:t>《</w:t>
      </w:r>
      <w:r>
        <w:rPr>
          <w:rFonts w:hint="eastAsia" w:ascii="Times New Roman" w:hAnsi="Times New Roman" w:eastAsia="宋体" w:cs="Times New Roman"/>
          <w:sz w:val="24"/>
          <w:szCs w:val="21"/>
        </w:rPr>
        <w:t>现代科学技术概论》，刘金寿主编，高等教育出版社，2</w:t>
      </w:r>
      <w:r>
        <w:rPr>
          <w:rFonts w:ascii="Times New Roman" w:hAnsi="Times New Roman" w:eastAsia="宋体" w:cs="Times New Roman"/>
          <w:sz w:val="24"/>
          <w:szCs w:val="21"/>
        </w:rPr>
        <w:t>0</w:t>
      </w:r>
      <w:r>
        <w:rPr>
          <w:rFonts w:hint="eastAsia" w:ascii="Times New Roman" w:hAnsi="Times New Roman" w:eastAsia="宋体" w:cs="Times New Roman"/>
          <w:sz w:val="24"/>
          <w:szCs w:val="21"/>
        </w:rPr>
        <w:t>21</w:t>
      </w:r>
    </w:p>
    <w:p w14:paraId="7DCD7657">
      <w:pPr>
        <w:spacing w:line="360" w:lineRule="auto"/>
        <w:ind w:firstLine="482" w:firstLineChars="200"/>
        <w:rPr>
          <w:rFonts w:ascii="Times New Roman" w:hAnsi="Times New Roman" w:eastAsia="宋体" w:cs="Times New Roman"/>
          <w:bCs/>
          <w:kern w:val="0"/>
          <w:sz w:val="24"/>
          <w:szCs w:val="24"/>
        </w:rPr>
      </w:pPr>
      <w:r>
        <w:rPr>
          <w:rFonts w:ascii="Times New Roman" w:hAnsi="Times New Roman" w:eastAsia="宋体" w:cs="Times New Roman"/>
          <w:b/>
          <w:bCs/>
          <w:kern w:val="0"/>
          <w:sz w:val="24"/>
          <w:szCs w:val="24"/>
        </w:rPr>
        <w:t>课程归口：</w:t>
      </w:r>
      <w:r>
        <w:rPr>
          <w:rFonts w:hint="eastAsia" w:ascii="宋体" w:hAnsi="宋体" w:eastAsia="宋体" w:cs="Times New Roman"/>
          <w:bCs/>
          <w:kern w:val="0"/>
          <w:sz w:val="24"/>
          <w:szCs w:val="24"/>
        </w:rPr>
        <w:t>师范</w:t>
      </w:r>
      <w:r>
        <w:rPr>
          <w:rFonts w:ascii="Times New Roman" w:hAnsi="Times New Roman" w:eastAsia="宋体" w:cs="Times New Roman"/>
          <w:kern w:val="0"/>
          <w:sz w:val="24"/>
          <w:szCs w:val="24"/>
        </w:rPr>
        <w:t>学院</w:t>
      </w:r>
    </w:p>
    <w:p w14:paraId="537E2F6F">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课程的性质与任务</w:t>
      </w:r>
      <w:r>
        <w:rPr>
          <w:rFonts w:hint="eastAsia" w:ascii="Times New Roman" w:hAnsi="Times New Roman" w:eastAsia="宋体" w:cs="Times New Roman"/>
          <w:b/>
          <w:bCs/>
          <w:kern w:val="0"/>
          <w:sz w:val="24"/>
          <w:szCs w:val="24"/>
        </w:rPr>
        <w:t>：</w:t>
      </w:r>
      <w:r>
        <w:rPr>
          <w:rFonts w:hint="eastAsia" w:ascii="Times New Roman" w:hAnsi="Times New Roman" w:eastAsia="宋体" w:cs="Times New Roman"/>
          <w:kern w:val="0"/>
          <w:sz w:val="24"/>
          <w:szCs w:val="24"/>
        </w:rPr>
        <w:t>本课程</w:t>
      </w:r>
      <w:r>
        <w:rPr>
          <w:rFonts w:ascii="Times New Roman" w:hAnsi="Times New Roman" w:eastAsia="宋体" w:cs="Times New Roman"/>
          <w:kern w:val="0"/>
          <w:sz w:val="24"/>
          <w:szCs w:val="24"/>
        </w:rPr>
        <w:t>是</w:t>
      </w:r>
      <w:r>
        <w:rPr>
          <w:rFonts w:hint="eastAsia" w:ascii="Times New Roman" w:hAnsi="Times New Roman" w:eastAsia="宋体" w:cs="Times New Roman"/>
          <w:kern w:val="0"/>
          <w:sz w:val="24"/>
          <w:szCs w:val="24"/>
        </w:rPr>
        <w:t>小学教育的</w:t>
      </w:r>
      <w:r>
        <w:rPr>
          <w:rFonts w:ascii="Times New Roman" w:hAnsi="Times New Roman" w:eastAsia="宋体" w:cs="Times New Roman"/>
          <w:kern w:val="0"/>
          <w:sz w:val="24"/>
          <w:szCs w:val="24"/>
        </w:rPr>
        <w:t>专业基础必修课</w:t>
      </w:r>
      <w:r>
        <w:rPr>
          <w:rFonts w:hint="eastAsia" w:ascii="Times New Roman" w:hAnsi="Times New Roman" w:eastAsia="宋体" w:cs="Times New Roman"/>
          <w:kern w:val="0"/>
          <w:sz w:val="24"/>
          <w:szCs w:val="24"/>
        </w:rPr>
        <w:t>，本课程以自然科学的基础知识、基本概念、基本原理、基本方法为基础，以人与自然的关系协调为主线，以学生发展为核心，紧密联系小学科学教育教学实际，是一门培养具有一定科学素养的合格小学教师的课程。</w:t>
      </w:r>
    </w:p>
    <w:p w14:paraId="30DCF938">
      <w:pPr>
        <w:spacing w:line="360" w:lineRule="auto"/>
        <w:ind w:firstLine="480" w:firstLineChars="200"/>
        <w:rPr>
          <w:rFonts w:ascii="Times New Roman" w:hAnsi="Times New Roman" w:eastAsia="宋体" w:cs="Times New Roman"/>
          <w:bCs/>
          <w:kern w:val="0"/>
          <w:sz w:val="24"/>
          <w:szCs w:val="24"/>
        </w:rPr>
      </w:pPr>
      <w:r>
        <w:rPr>
          <w:rFonts w:hint="eastAsia" w:ascii="Times New Roman" w:hAnsi="Times New Roman" w:eastAsia="宋体" w:cs="Times New Roman"/>
          <w:sz w:val="24"/>
          <w:szCs w:val="24"/>
        </w:rPr>
        <w:t>本课程的任务在于使学生具有一些自然科学基础知识，学习自然科学的基本思想和方法，提高分析问题和解决问题的能力，开阔眼界，完善知识结合，培养科学态度，提高科学素养，以适应小学教师教育教学的需要</w:t>
      </w:r>
      <w:r>
        <w:rPr>
          <w:rFonts w:hint="eastAsia" w:ascii="Times New Roman" w:hAnsi="Times New Roman" w:eastAsia="宋体" w:cs="Times New Roman"/>
          <w:kern w:val="0"/>
          <w:sz w:val="24"/>
          <w:szCs w:val="24"/>
        </w:rPr>
        <w:t>。</w:t>
      </w:r>
    </w:p>
    <w:p w14:paraId="6DE61DAF">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p>
    <w:p w14:paraId="3529E447">
      <w:pPr>
        <w:spacing w:line="360" w:lineRule="auto"/>
        <w:ind w:firstLine="482" w:firstLineChars="200"/>
        <w:rPr>
          <w:rFonts w:ascii="Times New Roman" w:hAnsi="Times New Roman" w:eastAsia="宋体" w:cs="Times New Roman"/>
          <w:b/>
          <w:sz w:val="24"/>
          <w:szCs w:val="28"/>
        </w:rPr>
      </w:pPr>
      <w:r>
        <w:rPr>
          <w:rFonts w:hint="eastAsia" w:ascii="Times New Roman" w:hAnsi="Times New Roman" w:eastAsia="宋体" w:cs="Times New Roman"/>
          <w:b/>
          <w:sz w:val="24"/>
          <w:szCs w:val="28"/>
        </w:rPr>
        <w:t>（一）课程具体目标</w:t>
      </w:r>
    </w:p>
    <w:p w14:paraId="0F26712D">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目标1. 掌握和了解科学的结构及科学史，形成基本和科学架构概念，具有基本的科学精神。思政目标和学科目标都是培养学生基本的科学精神。</w:t>
      </w:r>
    </w:p>
    <w:p w14:paraId="6153CF0A">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目标2.掌握基本的自然科学基础知识、基本概念、基本原理和基本方法，具有科学的态度和分析问题、解决问题的科学素养。</w:t>
      </w:r>
    </w:p>
    <w:p w14:paraId="3D655073">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既能掌握经典科学知识，又能把握现代科学发展的新技术和新成果，具备科学学习的潜能。思政目标是形成学生正确的科学观，并能在以后的工作中指导小学生的学习。</w:t>
      </w:r>
    </w:p>
    <w:p w14:paraId="63535181">
      <w:pPr>
        <w:spacing w:line="360"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目标4. 综合运用和理解科学知识，并具备把这些科学知识教给小学生的理念和能力。思政目标是具备科学教学能力，传播正确的科学观。</w:t>
      </w:r>
    </w:p>
    <w:p w14:paraId="4387C0BD">
      <w:pPr>
        <w:spacing w:line="360" w:lineRule="auto"/>
        <w:ind w:firstLine="482" w:firstLineChars="200"/>
        <w:rPr>
          <w:rFonts w:hint="eastAsia" w:ascii="宋体" w:hAnsi="宋体" w:eastAsia="宋体" w:cs="Times New Roman"/>
          <w:b/>
          <w:color w:val="000000"/>
          <w:sz w:val="24"/>
          <w:szCs w:val="28"/>
        </w:rPr>
      </w:pPr>
      <w:bookmarkStart w:id="232" w:name="_Toc27847410"/>
      <w:r>
        <w:rPr>
          <w:rFonts w:hint="eastAsia" w:ascii="宋体" w:hAnsi="宋体" w:eastAsia="宋体" w:cs="Times New Roman"/>
          <w:b/>
          <w:color w:val="000000"/>
          <w:sz w:val="24"/>
          <w:szCs w:val="28"/>
        </w:rPr>
        <w:t>（二）课程目标与专业毕业要求的关系</w:t>
      </w:r>
      <w:bookmarkEnd w:id="232"/>
    </w:p>
    <w:p w14:paraId="0F8EB22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本课程支撑专业培养计划中</w:t>
      </w:r>
      <w:r>
        <w:rPr>
          <w:rFonts w:hint="eastAsia" w:ascii="Times New Roman" w:hAnsi="Times New Roman" w:eastAsia="宋体" w:cs="Times New Roman"/>
          <w:color w:val="000000"/>
          <w:sz w:val="24"/>
          <w:szCs w:val="24"/>
        </w:rPr>
        <w:t>毕业要求2-3、毕业要求</w:t>
      </w: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rPr>
        <w:t>-1、毕业要求</w:t>
      </w:r>
      <w:r>
        <w:rPr>
          <w:rFonts w:ascii="Times New Roman" w:hAnsi="Times New Roman" w:eastAsia="宋体" w:cs="Times New Roman"/>
          <w:color w:val="000000"/>
          <w:sz w:val="24"/>
          <w:szCs w:val="24"/>
        </w:rPr>
        <w:t>3-3</w:t>
      </w:r>
      <w:r>
        <w:rPr>
          <w:rFonts w:hint="eastAsia" w:ascii="Times New Roman" w:hAnsi="Times New Roman" w:eastAsia="宋体" w:cs="Times New Roman"/>
          <w:color w:val="000000"/>
          <w:sz w:val="24"/>
          <w:szCs w:val="24"/>
        </w:rPr>
        <w:t>、毕业要求</w:t>
      </w:r>
      <w:r>
        <w:rPr>
          <w:rFonts w:ascii="Times New Roman" w:hAnsi="Times New Roman" w:eastAsia="宋体" w:cs="Times New Roman"/>
          <w:color w:val="000000"/>
          <w:sz w:val="24"/>
          <w:szCs w:val="24"/>
        </w:rPr>
        <w:t>6-2</w:t>
      </w:r>
      <w:r>
        <w:rPr>
          <w:rFonts w:hint="eastAsia" w:ascii="Times New Roman" w:hAnsi="Times New Roman" w:eastAsia="宋体" w:cs="Times New Roman"/>
          <w:color w:val="000000"/>
          <w:sz w:val="24"/>
          <w:szCs w:val="24"/>
        </w:rPr>
        <w:t>，对应关系如表所示。</w:t>
      </w:r>
      <w:r>
        <w:rPr>
          <w:rFonts w:hint="eastAsia" w:ascii="Times New Roman" w:hAnsi="Times New Roman" w:eastAsia="宋体" w:cs="Times New Roman"/>
          <w:color w:val="000000"/>
          <w:sz w:val="24"/>
          <w:szCs w:val="24"/>
        </w:rPr>
        <w:tab/>
      </w:r>
    </w:p>
    <w:tbl>
      <w:tblPr>
        <w:tblStyle w:val="30"/>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215"/>
        <w:gridCol w:w="4960"/>
      </w:tblGrid>
      <w:tr w14:paraId="6E03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42" w:type="dxa"/>
            <w:vAlign w:val="center"/>
          </w:tcPr>
          <w:p w14:paraId="03A83775">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2215" w:type="dxa"/>
            <w:vAlign w:val="center"/>
          </w:tcPr>
          <w:p w14:paraId="3D48C480">
            <w:pPr>
              <w:spacing w:line="276" w:lineRule="auto"/>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4960" w:type="dxa"/>
            <w:vAlign w:val="center"/>
          </w:tcPr>
          <w:p w14:paraId="2FEF9C0A">
            <w:pPr>
              <w:spacing w:line="276" w:lineRule="auto"/>
              <w:ind w:firstLine="422" w:firstLineChars="200"/>
              <w:jc w:val="center"/>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6EB7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42" w:type="dxa"/>
            <w:vMerge w:val="restart"/>
            <w:vAlign w:val="center"/>
          </w:tcPr>
          <w:p w14:paraId="1A3B6897">
            <w:pPr>
              <w:spacing w:line="276" w:lineRule="auto"/>
              <w:jc w:val="center"/>
              <w:rPr>
                <w:rFonts w:hint="eastAsia" w:ascii="宋体" w:hAnsi="宋体" w:eastAsia="宋体" w:cs="宋体"/>
                <w:bCs/>
                <w:color w:val="000000"/>
                <w:szCs w:val="21"/>
              </w:rPr>
            </w:pPr>
            <w:r>
              <w:rPr>
                <w:rFonts w:hint="eastAsia" w:ascii="宋体" w:hAnsi="宋体" w:eastAsia="宋体" w:cs="宋体"/>
                <w:bCs/>
                <w:color w:val="000000"/>
                <w:szCs w:val="21"/>
              </w:rPr>
              <w:t>课程目标1</w:t>
            </w:r>
          </w:p>
        </w:tc>
        <w:tc>
          <w:tcPr>
            <w:tcW w:w="2215" w:type="dxa"/>
            <w:vAlign w:val="center"/>
          </w:tcPr>
          <w:p w14:paraId="3367595C">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r>
              <w:rPr>
                <w:rFonts w:hint="eastAsia" w:ascii="宋体" w:hAnsi="宋体" w:eastAsia="宋体" w:cs="Times New Roman"/>
                <w:color w:val="000000"/>
                <w:kern w:val="0"/>
                <w:szCs w:val="21"/>
              </w:rPr>
              <w:t xml:space="preserve">：学科素养  </w:t>
            </w:r>
          </w:p>
        </w:tc>
        <w:tc>
          <w:tcPr>
            <w:tcW w:w="4960" w:type="dxa"/>
            <w:vAlign w:val="center"/>
          </w:tcPr>
          <w:p w14:paraId="6BE01D9F">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 3-1：具有一定的人文社会与科学素养</w:t>
            </w:r>
          </w:p>
        </w:tc>
      </w:tr>
      <w:tr w14:paraId="796A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42" w:type="dxa"/>
            <w:vMerge w:val="continue"/>
            <w:vAlign w:val="center"/>
          </w:tcPr>
          <w:p w14:paraId="1902EC18">
            <w:pPr>
              <w:spacing w:line="276" w:lineRule="auto"/>
              <w:jc w:val="center"/>
              <w:rPr>
                <w:rFonts w:hint="eastAsia" w:ascii="宋体" w:hAnsi="宋体" w:eastAsia="宋体" w:cs="宋体"/>
                <w:bCs/>
                <w:color w:val="000000"/>
                <w:szCs w:val="21"/>
              </w:rPr>
            </w:pPr>
          </w:p>
        </w:tc>
        <w:tc>
          <w:tcPr>
            <w:tcW w:w="2215" w:type="dxa"/>
            <w:vAlign w:val="center"/>
          </w:tcPr>
          <w:p w14:paraId="7A5CC2EB">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 xml:space="preserve">毕业要求2.教育情怀  </w:t>
            </w:r>
          </w:p>
        </w:tc>
        <w:tc>
          <w:tcPr>
            <w:tcW w:w="4960" w:type="dxa"/>
            <w:vAlign w:val="center"/>
          </w:tcPr>
          <w:p w14:paraId="0A7FAFBB">
            <w:pPr>
              <w:shd w:val="clear" w:color="auto" w:fill="FFFFFF"/>
              <w:spacing w:line="276" w:lineRule="auto"/>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 2-3：具有较好的人文底蕴和科学精神，人格健全，心理健康，情感丰富，为人师表。</w:t>
            </w:r>
          </w:p>
        </w:tc>
      </w:tr>
      <w:tr w14:paraId="1BEB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742" w:type="dxa"/>
            <w:vAlign w:val="center"/>
          </w:tcPr>
          <w:p w14:paraId="586CA630">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课程目标2</w:t>
            </w:r>
          </w:p>
        </w:tc>
        <w:tc>
          <w:tcPr>
            <w:tcW w:w="2215" w:type="dxa"/>
            <w:vAlign w:val="center"/>
          </w:tcPr>
          <w:p w14:paraId="767B6209">
            <w:pPr>
              <w:widowControl/>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毕业要求3：学科素养</w:t>
            </w:r>
          </w:p>
        </w:tc>
        <w:tc>
          <w:tcPr>
            <w:tcW w:w="4960" w:type="dxa"/>
            <w:vAlign w:val="center"/>
          </w:tcPr>
          <w:p w14:paraId="0F037C70">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 3-3：掌握兼教学科的基本知识、原理和技能，理解兼教学科的知识体系。</w:t>
            </w:r>
          </w:p>
        </w:tc>
      </w:tr>
      <w:tr w14:paraId="65B6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742" w:type="dxa"/>
            <w:vAlign w:val="center"/>
          </w:tcPr>
          <w:p w14:paraId="3B699321">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课程目标3</w:t>
            </w:r>
          </w:p>
        </w:tc>
        <w:tc>
          <w:tcPr>
            <w:tcW w:w="2215" w:type="dxa"/>
            <w:vAlign w:val="center"/>
          </w:tcPr>
          <w:p w14:paraId="75334F5E">
            <w:pPr>
              <w:widowControl/>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毕业要求3：学科素养</w:t>
            </w:r>
          </w:p>
        </w:tc>
        <w:tc>
          <w:tcPr>
            <w:tcW w:w="4960" w:type="dxa"/>
            <w:vAlign w:val="center"/>
          </w:tcPr>
          <w:p w14:paraId="62380649">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 3-3：掌握兼教学科的基本知识、原理和技能，理解兼教学科的知识体系。</w:t>
            </w:r>
          </w:p>
        </w:tc>
      </w:tr>
      <w:tr w14:paraId="2DD2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42" w:type="dxa"/>
            <w:vMerge w:val="restart"/>
            <w:vAlign w:val="center"/>
          </w:tcPr>
          <w:p w14:paraId="2AE3EDBB">
            <w:pPr>
              <w:spacing w:line="276" w:lineRule="auto"/>
              <w:jc w:val="center"/>
              <w:rPr>
                <w:rFonts w:hint="eastAsia" w:ascii="宋体" w:hAnsi="宋体" w:eastAsia="宋体" w:cs="宋体"/>
                <w:color w:val="000000"/>
                <w:szCs w:val="21"/>
              </w:rPr>
            </w:pPr>
            <w:r>
              <w:rPr>
                <w:rFonts w:hint="eastAsia" w:ascii="宋体" w:hAnsi="宋体" w:eastAsia="宋体" w:cs="宋体"/>
                <w:color w:val="000000"/>
                <w:szCs w:val="21"/>
              </w:rPr>
              <w:t>课程目标 4</w:t>
            </w:r>
          </w:p>
        </w:tc>
        <w:tc>
          <w:tcPr>
            <w:tcW w:w="2215" w:type="dxa"/>
            <w:vAlign w:val="center"/>
          </w:tcPr>
          <w:p w14:paraId="6267B5A7">
            <w:pPr>
              <w:spacing w:line="276" w:lineRule="auto"/>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r>
              <w:rPr>
                <w:rFonts w:hint="eastAsia" w:ascii="宋体" w:hAnsi="宋体" w:eastAsia="宋体" w:cs="Times New Roman"/>
                <w:color w:val="000000"/>
                <w:kern w:val="0"/>
                <w:szCs w:val="21"/>
              </w:rPr>
              <w:t xml:space="preserve">：学科素养  </w:t>
            </w:r>
          </w:p>
        </w:tc>
        <w:tc>
          <w:tcPr>
            <w:tcW w:w="4960" w:type="dxa"/>
            <w:vAlign w:val="center"/>
          </w:tcPr>
          <w:p w14:paraId="39207DA2">
            <w:pPr>
              <w:spacing w:line="276" w:lineRule="auto"/>
              <w:jc w:val="left"/>
              <w:rPr>
                <w:rFonts w:hint="eastAsia" w:ascii="宋体" w:hAnsi="宋体" w:eastAsia="宋体" w:cs="Times New Roman"/>
                <w:color w:val="000000"/>
                <w:kern w:val="0"/>
                <w:sz w:val="18"/>
                <w:szCs w:val="18"/>
              </w:rPr>
            </w:pPr>
            <w:r>
              <w:rPr>
                <w:rFonts w:hint="eastAsia" w:ascii="宋体" w:hAnsi="宋体" w:eastAsia="宋体" w:cs="Times New Roman"/>
                <w:color w:val="000000"/>
                <w:kern w:val="0"/>
                <w:szCs w:val="21"/>
              </w:rPr>
              <w:t>指标点 3-1：具有一定的人文社会与科学素养</w:t>
            </w:r>
          </w:p>
        </w:tc>
      </w:tr>
      <w:tr w14:paraId="32ED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42" w:type="dxa"/>
            <w:vMerge w:val="continue"/>
            <w:vAlign w:val="center"/>
          </w:tcPr>
          <w:p w14:paraId="621819FC">
            <w:pPr>
              <w:spacing w:line="276" w:lineRule="auto"/>
              <w:jc w:val="center"/>
              <w:rPr>
                <w:rFonts w:hint="eastAsia" w:ascii="宋体" w:hAnsi="宋体" w:eastAsia="宋体" w:cs="宋体"/>
                <w:color w:val="000000"/>
                <w:szCs w:val="21"/>
              </w:rPr>
            </w:pPr>
          </w:p>
        </w:tc>
        <w:tc>
          <w:tcPr>
            <w:tcW w:w="2215" w:type="dxa"/>
            <w:vAlign w:val="center"/>
          </w:tcPr>
          <w:p w14:paraId="1A68139F">
            <w:pPr>
              <w:spacing w:line="276" w:lineRule="auto"/>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毕业要求6：综合育人</w:t>
            </w:r>
          </w:p>
        </w:tc>
        <w:tc>
          <w:tcPr>
            <w:tcW w:w="4960" w:type="dxa"/>
            <w:vAlign w:val="center"/>
          </w:tcPr>
          <w:p w14:paraId="3EE0FC27">
            <w:pPr>
              <w:spacing w:line="276" w:lineRule="auto"/>
              <w:jc w:val="left"/>
              <w:rPr>
                <w:rFonts w:hint="eastAsia" w:ascii="宋体" w:hAnsi="宋体" w:eastAsia="宋体" w:cs="宋体"/>
                <w:color w:val="000000"/>
                <w:szCs w:val="21"/>
              </w:rPr>
            </w:pPr>
            <w:r>
              <w:rPr>
                <w:rFonts w:hint="eastAsia" w:ascii="宋体" w:hAnsi="宋体" w:eastAsia="宋体" w:cs="宋体"/>
                <w:color w:val="000000"/>
                <w:szCs w:val="21"/>
              </w:rPr>
              <w:t>指标点 6-2：具备结合学科教学进行育人的意识与能力。</w:t>
            </w:r>
          </w:p>
        </w:tc>
      </w:tr>
    </w:tbl>
    <w:p w14:paraId="5C1A6D11">
      <w:pPr>
        <w:spacing w:line="360" w:lineRule="auto"/>
        <w:ind w:firstLine="562" w:firstLineChars="200"/>
        <w:rPr>
          <w:rFonts w:ascii="Times New Roman" w:hAnsi="Times New Roman" w:eastAsia="宋体" w:cs="Times New Roman"/>
          <w:sz w:val="24"/>
          <w:szCs w:val="24"/>
        </w:rPr>
      </w:pPr>
      <w:r>
        <w:rPr>
          <w:rFonts w:hint="eastAsia" w:ascii="Times New Roman" w:hAnsi="Times New Roman" w:eastAsia="宋体" w:cs="Times New Roman"/>
          <w:b/>
          <w:sz w:val="28"/>
          <w:szCs w:val="28"/>
        </w:rPr>
        <w:t>三</w:t>
      </w:r>
      <w:r>
        <w:rPr>
          <w:rFonts w:ascii="Times New Roman" w:hAnsi="Times New Roman" w:eastAsia="宋体" w:cs="Times New Roman"/>
          <w:b/>
          <w:sz w:val="28"/>
          <w:szCs w:val="28"/>
        </w:rPr>
        <w:t>、课程内容及要求</w:t>
      </w:r>
    </w:p>
    <w:p w14:paraId="60E26FD6">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（一）绪论（本模块各知识点的讲授与学习，可以支撑课程目标1、课程目标2）</w:t>
      </w:r>
    </w:p>
    <w:p w14:paraId="4D722954">
      <w:pPr>
        <w:spacing w:line="360" w:lineRule="auto"/>
        <w:ind w:firstLine="472" w:firstLineChars="196"/>
        <w:rPr>
          <w:rFonts w:ascii="Times New Roman" w:hAnsi="Times New Roman" w:eastAsia="宋体" w:cs="Times New Roman"/>
          <w:sz w:val="24"/>
          <w:szCs w:val="24"/>
        </w:rPr>
      </w:pPr>
      <w:r>
        <w:rPr>
          <w:rFonts w:hint="eastAsia" w:ascii="Times New Roman" w:hAnsi="Times New Roman" w:eastAsia="宋体" w:cs="Times New Roman"/>
          <w:b/>
          <w:bCs/>
          <w:sz w:val="24"/>
          <w:szCs w:val="24"/>
        </w:rPr>
        <w:t>1.学习内容</w:t>
      </w:r>
      <w:r>
        <w:rPr>
          <w:rFonts w:hint="eastAsia" w:ascii="Times New Roman" w:hAnsi="Times New Roman" w:eastAsia="宋体" w:cs="Times New Roman"/>
          <w:sz w:val="24"/>
          <w:szCs w:val="24"/>
        </w:rPr>
        <w:t>：</w:t>
      </w:r>
    </w:p>
    <w:p w14:paraId="35C3A961">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（1）自然科学概述</w:t>
      </w:r>
    </w:p>
    <w:p w14:paraId="7B5305A9">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（2）自然科学研究方法</w:t>
      </w:r>
    </w:p>
    <w:p w14:paraId="497DCD29">
      <w:pPr>
        <w:spacing w:line="360" w:lineRule="auto"/>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（3）义务教育科学教育课程标准和国际科学教育课程标准介绍</w:t>
      </w:r>
    </w:p>
    <w:p w14:paraId="7380E7BA">
      <w:pPr>
        <w:spacing w:line="360" w:lineRule="auto"/>
        <w:ind w:firstLine="472" w:firstLineChars="196"/>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456F1D6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）了解自然科学的研究领域及相互关系、历史和趋势，理解自然科学的基本方法及特点</w:t>
      </w:r>
      <w:r>
        <w:rPr>
          <w:rFonts w:ascii="Times New Roman" w:hAnsi="Times New Roman" w:eastAsia="宋体" w:cs="Times New Roman"/>
          <w:sz w:val="24"/>
          <w:szCs w:val="24"/>
        </w:rPr>
        <w:t xml:space="preserve"> </w:t>
      </w:r>
    </w:p>
    <w:p w14:paraId="75A83C3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（2）掌握自然科学的基本概念，领会自然科学研究的任务</w:t>
      </w:r>
    </w:p>
    <w:p w14:paraId="3167000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（3）了解科学教育课程标准要求。</w:t>
      </w:r>
    </w:p>
    <w:p w14:paraId="6BDE16A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掌握自然科学的基本概念，领会自然科学研究的任务</w:t>
      </w:r>
    </w:p>
    <w:p w14:paraId="2FEB7EE0">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理解自然科学的基本方法及特点</w:t>
      </w:r>
    </w:p>
    <w:p w14:paraId="1077DC5E">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（二）地球和宇宙（本模块各知识点的讲授与学习，可以支撑课程目标</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p>
    <w:p w14:paraId="50A3830B">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6C92002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（1）地球</w:t>
      </w:r>
    </w:p>
    <w:p w14:paraId="55A8712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（2）太阳系</w:t>
      </w:r>
    </w:p>
    <w:p w14:paraId="0270FE8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（3）恒星的诞生与演化</w:t>
      </w:r>
    </w:p>
    <w:p w14:paraId="5930171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（4）黑洞</w:t>
      </w:r>
    </w:p>
    <w:p w14:paraId="01EEDC8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（5）宇宙的起源与演化</w:t>
      </w:r>
    </w:p>
    <w:p w14:paraId="1C1C25F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3368B0B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古代人类对地球形状的认识，地球圈层结构的特点、各组成部分的相互作用，天体的基本概念和主要的天体系统，太阳的能量来源、结构特点和活动情况，月球的主要特征。初步掌握恒星的诞生与演化过程，黑洞的形成，宇宙的诞生与演化过程。</w:t>
      </w:r>
    </w:p>
    <w:p w14:paraId="7AAF681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）掌握</w:t>
      </w:r>
      <w:bookmarkStart w:id="233" w:name="_Hlk22543484"/>
      <w:r>
        <w:rPr>
          <w:rFonts w:hint="eastAsia" w:ascii="Times New Roman" w:hAnsi="Times New Roman" w:eastAsia="宋体" w:cs="Times New Roman"/>
          <w:sz w:val="24"/>
          <w:szCs w:val="24"/>
        </w:rPr>
        <w:t>地球的质量等重要参数，用纬度和经度确定一物在地球上的位置，三大类岩石的成因和特点，掌握风化作用的侵蚀作用的概念，块体运动、风和冰川作用是如何改变地地貌特征的，气压等主要天气因素、气候的主要成因</w:t>
      </w:r>
      <w:bookmarkEnd w:id="233"/>
    </w:p>
    <w:p w14:paraId="6AA7D2A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（3）能够正确描述地球的形状，解释土壤中的有机成分和无机成分之间的关系，初步学会辨认常见的恒星、星座及银河。</w:t>
      </w:r>
    </w:p>
    <w:p w14:paraId="4DA1F7CA">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地球的质量等重要参数，用纬度和经度确定一物在地球上的位置，三大类岩石的成因和特点，掌握风化作用的侵蚀作用的概念，块体运动、风和冰川作用是如何改变地地貌特征的，气压等主要天气因素、气候的主要成因</w:t>
      </w:r>
    </w:p>
    <w:p w14:paraId="24902D7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能够正确描述地球的形状，初步学会辨认常见的恒星、星座及银河。初步掌握恒星的诞生与演化过程，宇宙的诞生与演化过程。</w:t>
      </w:r>
    </w:p>
    <w:p w14:paraId="28B6C76A">
      <w:pPr>
        <w:spacing w:line="360" w:lineRule="auto"/>
        <w:ind w:firstLine="480" w:firstLineChars="200"/>
        <w:rPr>
          <w:rFonts w:ascii="Times New Roman" w:hAnsi="Times New Roman" w:eastAsia="宋体" w:cs="Times New Roman"/>
          <w:sz w:val="24"/>
          <w:szCs w:val="24"/>
        </w:rPr>
      </w:pPr>
    </w:p>
    <w:p w14:paraId="72A8DCE5">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（三）奇妙的生命世界（本模块各知识点的讲授与学习，可以支撑课程目标</w:t>
      </w:r>
      <w:r>
        <w:rPr>
          <w:rFonts w:ascii="Times New Roman" w:hAnsi="Times New Roman" w:eastAsia="宋体" w:cs="Times New Roman"/>
          <w:b/>
          <w:sz w:val="24"/>
          <w:szCs w:val="24"/>
        </w:rPr>
        <w:t>2</w:t>
      </w:r>
      <w:r>
        <w:rPr>
          <w:rFonts w:hint="eastAsia" w:ascii="Times New Roman" w:hAnsi="Times New Roman" w:eastAsia="宋体" w:cs="Times New Roman"/>
          <w:color w:val="000000"/>
          <w:szCs w:val="21"/>
        </w:rPr>
        <w:t>、</w:t>
      </w:r>
      <w:r>
        <w:rPr>
          <w:rFonts w:hint="eastAsia" w:ascii="Times New Roman" w:hAnsi="Times New Roman" w:eastAsia="宋体" w:cs="Times New Roman"/>
          <w:b/>
          <w:sz w:val="24"/>
          <w:szCs w:val="24"/>
        </w:rPr>
        <w:t>课程目标</w:t>
      </w: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w:t>
      </w:r>
    </w:p>
    <w:p w14:paraId="3D8DFD41">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787ACB7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（1）生物概述</w:t>
      </w:r>
    </w:p>
    <w:p w14:paraId="5A556F5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（2）生物的起源与进化</w:t>
      </w:r>
    </w:p>
    <w:p w14:paraId="17C34C8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（3）生命系统的层次结构</w:t>
      </w:r>
    </w:p>
    <w:p w14:paraId="2B2F716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（4）生物的多样性</w:t>
      </w:r>
    </w:p>
    <w:p w14:paraId="3F0D44C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（5）植物的器官</w:t>
      </w:r>
    </w:p>
    <w:p w14:paraId="12A3906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（6）动物组织器官系统</w:t>
      </w:r>
    </w:p>
    <w:p w14:paraId="1CD821C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（7）生物体的稳态和调节</w:t>
      </w:r>
    </w:p>
    <w:p w14:paraId="5504B4B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7A01636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各生物类群的主要特征，生物多样性的面临威胁的原因和保护措施，光合作用，被子植物六大器官的形态、结构和生理功能，人体主要器官的结构和功能，人体各系统的组成和功能，生物起源化学进化的大致过程。</w:t>
      </w:r>
    </w:p>
    <w:p w14:paraId="54BCBD0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234" w:name="_Hlk22542461"/>
      <w:r>
        <w:rPr>
          <w:rFonts w:hint="eastAsia" w:ascii="Times New Roman" w:hAnsi="Times New Roman" w:eastAsia="宋体" w:cs="Times New Roman"/>
          <w:sz w:val="24"/>
          <w:szCs w:val="24"/>
        </w:rPr>
        <w:t>掌握生命的定义，生物多样性的概念，</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生物的分类知识，达尔文自然选择学说的要点，会运用现代综合理论，说明物种形成的机制</w:t>
      </w:r>
      <w:bookmarkEnd w:id="234"/>
      <w:r>
        <w:rPr>
          <w:rFonts w:hint="eastAsia" w:ascii="Times New Roman" w:hAnsi="Times New Roman" w:eastAsia="宋体" w:cs="Times New Roman"/>
          <w:sz w:val="24"/>
          <w:szCs w:val="24"/>
        </w:rPr>
        <w:t>。</w:t>
      </w:r>
    </w:p>
    <w:p w14:paraId="1383486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（3）理解生命的共性，提高认识世界和改造世界的能力，人体各器官的结构与功能相适应，关注自身健康，树立辩证唯物主义的生命观。</w:t>
      </w:r>
    </w:p>
    <w:p w14:paraId="0E454664">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掌握生命的定义，生物多样性的概念，</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生物的分类知识，达尔文自然选择学说的要点，会运用现代综合理论，说明物种形成的机制</w:t>
      </w:r>
      <w:r>
        <w:rPr>
          <w:rFonts w:ascii="Times New Roman" w:hAnsi="Times New Roman" w:eastAsia="宋体" w:cs="Times New Roman"/>
          <w:b/>
          <w:bCs/>
          <w:sz w:val="24"/>
          <w:szCs w:val="24"/>
        </w:rPr>
        <w:t xml:space="preserve"> </w:t>
      </w:r>
    </w:p>
    <w:p w14:paraId="5BD146CE">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理解生命的共性，提高认识世界和改造世界的能力，人体各器官的结构与功能相适应，关注自身健康，树立辩证唯物主义的生命观</w:t>
      </w:r>
      <w:r>
        <w:rPr>
          <w:rFonts w:hint="eastAsia" w:ascii="Times New Roman" w:hAnsi="Times New Roman" w:eastAsia="宋体" w:cs="Times New Roman"/>
          <w:b/>
          <w:bCs/>
          <w:sz w:val="24"/>
          <w:szCs w:val="24"/>
        </w:rPr>
        <w:t xml:space="preserve"> </w:t>
      </w:r>
    </w:p>
    <w:p w14:paraId="0903D830">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（四）环境与我们（本模块各知识点的讲授与学习，可以支撑课程目标</w:t>
      </w:r>
      <w:r>
        <w:rPr>
          <w:rFonts w:ascii="Times New Roman" w:hAnsi="Times New Roman" w:eastAsia="宋体" w:cs="Times New Roman"/>
          <w:b/>
          <w:sz w:val="24"/>
          <w:szCs w:val="24"/>
        </w:rPr>
        <w:t>3</w:t>
      </w:r>
      <w:r>
        <w:rPr>
          <w:rFonts w:hint="eastAsia" w:ascii="Times New Roman" w:hAnsi="Times New Roman" w:eastAsia="宋体" w:cs="Times New Roman"/>
          <w:b/>
          <w:sz w:val="24"/>
          <w:szCs w:val="24"/>
        </w:rPr>
        <w:t>、课程目标4）</w:t>
      </w:r>
    </w:p>
    <w:p w14:paraId="0040C3B2">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3582997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（1）人类生存的环境</w:t>
      </w:r>
    </w:p>
    <w:p w14:paraId="63A8225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（2）环境保护</w:t>
      </w:r>
    </w:p>
    <w:p w14:paraId="16C71BD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6F30DAE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（1）知道环境的概念，全球性环境问题的现状及潜在的环境问题，了解环境的分类，生态平衡的概念及特征，环境问题的概念和发展过程</w:t>
      </w:r>
    </w:p>
    <w:p w14:paraId="18D57D4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235" w:name="_Hlk22543939"/>
      <w:r>
        <w:rPr>
          <w:rFonts w:hint="eastAsia" w:ascii="Times New Roman" w:hAnsi="Times New Roman" w:eastAsia="宋体" w:cs="Times New Roman"/>
          <w:sz w:val="24"/>
          <w:szCs w:val="24"/>
        </w:rPr>
        <w:t>理解生态因子的概念和作用，非生物因子对生物的作用，生态系统的概念，环境保护的主要内容</w:t>
      </w:r>
      <w:bookmarkEnd w:id="235"/>
    </w:p>
    <w:p w14:paraId="0F422D8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）掌握生态系统的组成与功能，通过分析、讨论，渗透生态系统的整体观点，增强热爱自然、珍惜生命的意识</w:t>
      </w:r>
    </w:p>
    <w:p w14:paraId="0F85E513">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理解生态因子的概念和作用，非生物因子对生物的作用，生态系统的概念，环境保护的主要内容</w:t>
      </w:r>
    </w:p>
    <w:p w14:paraId="25F2B729">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掌握生态系统的组成与功能，通过分析、讨论，渗透生态系统的整体观点</w:t>
      </w:r>
    </w:p>
    <w:p w14:paraId="7BCBA70C">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（五）多姿多彩的物质世界（本模块各知识点的讲授与学习，可以支撑课程目标2、课程目标3）</w:t>
      </w:r>
    </w:p>
    <w:p w14:paraId="358EF5CC">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099D42B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（1）物质结构</w:t>
      </w:r>
    </w:p>
    <w:p w14:paraId="22A7B76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（2）物体的运动</w:t>
      </w:r>
    </w:p>
    <w:p w14:paraId="6F5095C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（3）能量及其转化</w:t>
      </w:r>
    </w:p>
    <w:p w14:paraId="3DA89AEA">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b/>
          <w:bCs/>
          <w:sz w:val="24"/>
          <w:szCs w:val="24"/>
        </w:rPr>
        <w:t>2.学习要求：</w:t>
      </w:r>
    </w:p>
    <w:p w14:paraId="1490BCC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（1）了解原子模型的形成、作用和各模型的特点，物体运动与力的关系，声音的产生、传播形式，耳、眼的构造；理解功的概念和机械原理；知道热能的概念，电与磁的关系</w:t>
      </w:r>
    </w:p>
    <w:p w14:paraId="31D39A9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236" w:name="_Hlk22514157"/>
      <w:r>
        <w:rPr>
          <w:rFonts w:hint="eastAsia" w:ascii="Times New Roman" w:hAnsi="Times New Roman" w:eastAsia="宋体" w:cs="Times New Roman"/>
          <w:sz w:val="24"/>
          <w:szCs w:val="24"/>
        </w:rPr>
        <w:t>掌握元素周期表的结构、知道浮力的产生原因、理解听觉、视觉产生的原理，理解物体沉浮的条件； 掌握功的计算公式并能正确运算</w:t>
      </w:r>
      <w:bookmarkEnd w:id="236"/>
      <w:r>
        <w:rPr>
          <w:rFonts w:hint="eastAsia" w:ascii="Times New Roman" w:hAnsi="Times New Roman" w:eastAsia="宋体" w:cs="Times New Roman"/>
          <w:sz w:val="24"/>
          <w:szCs w:val="24"/>
        </w:rPr>
        <w:t>；</w:t>
      </w:r>
    </w:p>
    <w:p w14:paraId="357415B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（3）能够描述化学反应，学会控制化学反应，解释生活中的运动现象， 解释生活中有关声音的现象和问题，掌握热力第一定律；会分析动能和势能，能解释电与磁的关系。</w:t>
      </w:r>
    </w:p>
    <w:p w14:paraId="2CFE2FCA">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掌握元素周期表的结构、知道浮力的产生原因、理解听觉、视觉产生的原理，理解物体沉浮的条件； 掌握功的计算公式并能正确运算</w:t>
      </w:r>
    </w:p>
    <w:p w14:paraId="390ABF0B">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解释生活中的运动现象，有关声音的现象和问题，掌握热力第一定律；会分析动能和势能，能解释电与磁的关系。</w:t>
      </w:r>
    </w:p>
    <w:p w14:paraId="76863CD1">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（六）科学技术与人类（本模块各知识点的讲授与学习，可以支撑课程目标3、课程目标</w:t>
      </w:r>
      <w:r>
        <w:rPr>
          <w:rFonts w:ascii="Times New Roman" w:hAnsi="Times New Roman" w:eastAsia="宋体" w:cs="Times New Roman"/>
          <w:b/>
          <w:sz w:val="24"/>
          <w:szCs w:val="24"/>
        </w:rPr>
        <w:t>4</w:t>
      </w:r>
      <w:r>
        <w:rPr>
          <w:rFonts w:hint="eastAsia" w:ascii="Times New Roman" w:hAnsi="Times New Roman" w:eastAsia="宋体" w:cs="Times New Roman"/>
          <w:b/>
          <w:sz w:val="24"/>
          <w:szCs w:val="24"/>
        </w:rPr>
        <w:t>）</w:t>
      </w:r>
    </w:p>
    <w:p w14:paraId="0CC73FC8">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1.学习内容：</w:t>
      </w:r>
    </w:p>
    <w:p w14:paraId="6CC1CF3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（1）科技改变生活</w:t>
      </w:r>
    </w:p>
    <w:p w14:paraId="4E1FC36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（2）科学技术是把双刃剑</w:t>
      </w:r>
    </w:p>
    <w:p w14:paraId="4C103809">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2.学习要求：</w:t>
      </w:r>
    </w:p>
    <w:p w14:paraId="1461C1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了解世界粮食问题，现代科学技术在粮食生产上的应用，认识计算机网络的组成、分类和发展，激光的四大特性及其在各领域的应用，材料的种类，知道生活必需材料的主要性能，认识机器人的分类和应用，核能利用的负面影响，转基因工程的概念和基本步骤，转基因生物的安全性问题，可利用的太空资源开发，塑料的分类及主要性能</w:t>
      </w:r>
    </w:p>
    <w:p w14:paraId="73D69C2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bookmarkStart w:id="237" w:name="_Hlk22544986"/>
      <w:r>
        <w:rPr>
          <w:rFonts w:hint="eastAsia" w:ascii="Times New Roman" w:hAnsi="Times New Roman" w:eastAsia="宋体" w:cs="Times New Roman"/>
          <w:sz w:val="24"/>
          <w:szCs w:val="24"/>
        </w:rPr>
        <w:t>正确理解科学、技术、社会之间的关系，激发对现代科学技术学习的兴趣，认识到科学技术是把双刃剑的含义，养成保护环境的习惯</w:t>
      </w:r>
      <w:bookmarkEnd w:id="237"/>
    </w:p>
    <w:p w14:paraId="79AE07DF">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正确理解科学、技术、社会之间的关系，激发对现代科学技术学习的兴趣，认识到科学技术是把双刃剑的含义，养成保护环境的习惯</w:t>
      </w:r>
      <w:r>
        <w:rPr>
          <w:rFonts w:ascii="Times New Roman" w:hAnsi="Times New Roman" w:eastAsia="宋体" w:cs="Times New Roman"/>
          <w:b/>
          <w:bCs/>
          <w:sz w:val="24"/>
          <w:szCs w:val="24"/>
        </w:rPr>
        <w:t xml:space="preserve"> </w:t>
      </w:r>
    </w:p>
    <w:p w14:paraId="203C6865">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正确理解科学、技术、社会之间的关系，激发对现代科学技术学习的兴趣，认识到科学技术是把双刃剑的含义，养成保护环境的习惯</w:t>
      </w:r>
      <w:r>
        <w:rPr>
          <w:rFonts w:hint="eastAsia" w:ascii="Times New Roman" w:hAnsi="Times New Roman" w:eastAsia="宋体" w:cs="Times New Roman"/>
          <w:b/>
          <w:bCs/>
          <w:sz w:val="24"/>
          <w:szCs w:val="24"/>
        </w:rPr>
        <w:t xml:space="preserve"> </w:t>
      </w:r>
    </w:p>
    <w:p w14:paraId="3DF4F634">
      <w:pPr>
        <w:spacing w:line="360" w:lineRule="auto"/>
        <w:ind w:firstLine="482" w:firstLineChars="200"/>
        <w:rPr>
          <w:rFonts w:ascii="Times New Roman" w:hAnsi="Times New Roman" w:eastAsia="宋体" w:cs="Times New Roman"/>
          <w:b/>
          <w:sz w:val="24"/>
          <w:szCs w:val="24"/>
        </w:rPr>
      </w:pPr>
    </w:p>
    <w:p w14:paraId="45A533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教学内容与</w:t>
      </w:r>
      <w:r>
        <w:rPr>
          <w:rFonts w:ascii="Times New Roman" w:hAnsi="Times New Roman" w:eastAsia="宋体" w:cs="Times New Roman"/>
          <w:sz w:val="24"/>
          <w:szCs w:val="24"/>
        </w:rPr>
        <w:t>课程目标的</w:t>
      </w:r>
      <w:r>
        <w:rPr>
          <w:rFonts w:hint="eastAsia" w:ascii="Times New Roman" w:hAnsi="Times New Roman" w:eastAsia="宋体" w:cs="Times New Roman"/>
          <w:sz w:val="24"/>
          <w:szCs w:val="24"/>
        </w:rPr>
        <w:t>对应关系及</w:t>
      </w:r>
      <w:r>
        <w:rPr>
          <w:rFonts w:ascii="Times New Roman" w:hAnsi="Times New Roman" w:eastAsia="宋体" w:cs="Times New Roman"/>
          <w:sz w:val="24"/>
          <w:szCs w:val="24"/>
        </w:rPr>
        <w:t>学时分配</w:t>
      </w:r>
      <w:r>
        <w:rPr>
          <w:rFonts w:hint="eastAsia" w:ascii="Times New Roman" w:hAnsi="Times New Roman" w:eastAsia="宋体" w:cs="Times New Roman"/>
          <w:sz w:val="24"/>
          <w:szCs w:val="24"/>
        </w:rPr>
        <w:t>如表所示。</w:t>
      </w:r>
    </w:p>
    <w:tbl>
      <w:tblPr>
        <w:tblStyle w:val="30"/>
        <w:tblW w:w="9154"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444"/>
        <w:gridCol w:w="1404"/>
        <w:gridCol w:w="2117"/>
        <w:gridCol w:w="728"/>
        <w:gridCol w:w="728"/>
      </w:tblGrid>
      <w:tr w14:paraId="1AE6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33" w:type="dxa"/>
            <w:shd w:val="clear" w:color="auto" w:fill="FFFFFF"/>
            <w:vAlign w:val="center"/>
          </w:tcPr>
          <w:p w14:paraId="4FE661CD">
            <w:pPr>
              <w:spacing w:line="276" w:lineRule="auto"/>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序号</w:t>
            </w:r>
          </w:p>
        </w:tc>
        <w:tc>
          <w:tcPr>
            <w:tcW w:w="3444" w:type="dxa"/>
            <w:shd w:val="clear" w:color="auto" w:fill="FFFFFF"/>
            <w:vAlign w:val="center"/>
          </w:tcPr>
          <w:p w14:paraId="1ED24702">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w:t>
            </w:r>
          </w:p>
        </w:tc>
        <w:tc>
          <w:tcPr>
            <w:tcW w:w="1404" w:type="dxa"/>
            <w:shd w:val="clear" w:color="auto" w:fill="FFFFFF"/>
          </w:tcPr>
          <w:p w14:paraId="01D338F9">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支撑</w:t>
            </w:r>
            <w:r>
              <w:rPr>
                <w:rFonts w:hint="eastAsia" w:ascii="Times New Roman" w:hAnsi="Times New Roman" w:eastAsia="宋体" w:cs="Times New Roman"/>
                <w:color w:val="000000"/>
                <w:sz w:val="24"/>
                <w:szCs w:val="24"/>
              </w:rPr>
              <w:t>的</w:t>
            </w:r>
          </w:p>
          <w:p w14:paraId="16D9D232">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课程目标</w:t>
            </w:r>
          </w:p>
        </w:tc>
        <w:tc>
          <w:tcPr>
            <w:tcW w:w="2117" w:type="dxa"/>
            <w:shd w:val="clear" w:color="auto" w:fill="FFFFFF"/>
            <w:vAlign w:val="center"/>
          </w:tcPr>
          <w:p w14:paraId="2987AF32">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支撑</w:t>
            </w:r>
            <w:r>
              <w:rPr>
                <w:rFonts w:hint="eastAsia" w:ascii="Times New Roman" w:hAnsi="Times New Roman" w:eastAsia="宋体" w:cs="Times New Roman"/>
                <w:color w:val="000000"/>
                <w:sz w:val="24"/>
                <w:szCs w:val="24"/>
              </w:rPr>
              <w:t>的</w:t>
            </w:r>
            <w:r>
              <w:rPr>
                <w:rFonts w:ascii="Times New Roman" w:hAnsi="Times New Roman" w:eastAsia="宋体" w:cs="Times New Roman"/>
                <w:color w:val="000000"/>
                <w:sz w:val="24"/>
                <w:szCs w:val="24"/>
              </w:rPr>
              <w:t>毕业要求指标点</w:t>
            </w:r>
          </w:p>
        </w:tc>
        <w:tc>
          <w:tcPr>
            <w:tcW w:w="728" w:type="dxa"/>
            <w:shd w:val="clear" w:color="auto" w:fill="FFFFFF"/>
            <w:vAlign w:val="center"/>
          </w:tcPr>
          <w:p w14:paraId="0ECFFCFB">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讲</w:t>
            </w:r>
            <w:r>
              <w:rPr>
                <w:rFonts w:hint="eastAsia" w:ascii="Times New Roman" w:hAnsi="Times New Roman" w:eastAsia="宋体" w:cs="Times New Roman"/>
                <w:color w:val="000000"/>
                <w:sz w:val="24"/>
                <w:szCs w:val="24"/>
              </w:rPr>
              <w:t>授</w:t>
            </w:r>
            <w:r>
              <w:rPr>
                <w:rFonts w:ascii="Times New Roman" w:hAnsi="Times New Roman" w:eastAsia="宋体" w:cs="Times New Roman"/>
                <w:color w:val="000000"/>
                <w:sz w:val="24"/>
                <w:szCs w:val="24"/>
              </w:rPr>
              <w:t>学时</w:t>
            </w:r>
          </w:p>
        </w:tc>
        <w:tc>
          <w:tcPr>
            <w:tcW w:w="728" w:type="dxa"/>
            <w:shd w:val="clear" w:color="auto" w:fill="FFFFFF"/>
            <w:vAlign w:val="center"/>
          </w:tcPr>
          <w:p w14:paraId="4BC1775B">
            <w:pPr>
              <w:spacing w:line="276"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实验学时</w:t>
            </w:r>
          </w:p>
        </w:tc>
      </w:tr>
      <w:tr w14:paraId="4EA3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3" w:type="dxa"/>
            <w:vAlign w:val="center"/>
          </w:tcPr>
          <w:p w14:paraId="55B212F2">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1</w:t>
            </w:r>
          </w:p>
        </w:tc>
        <w:tc>
          <w:tcPr>
            <w:tcW w:w="3444" w:type="dxa"/>
            <w:vAlign w:val="center"/>
          </w:tcPr>
          <w:p w14:paraId="4D7C0950">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sz w:val="24"/>
                <w:szCs w:val="24"/>
              </w:rPr>
              <w:t>绪论</w:t>
            </w:r>
          </w:p>
        </w:tc>
        <w:tc>
          <w:tcPr>
            <w:tcW w:w="1404" w:type="dxa"/>
            <w:vAlign w:val="center"/>
          </w:tcPr>
          <w:p w14:paraId="2C67AF66">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w:t>
            </w:r>
          </w:p>
        </w:tc>
        <w:tc>
          <w:tcPr>
            <w:tcW w:w="2117" w:type="dxa"/>
            <w:vAlign w:val="center"/>
          </w:tcPr>
          <w:p w14:paraId="5618C45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、3</w:t>
            </w:r>
            <w:r>
              <w:rPr>
                <w:rFonts w:ascii="Times New Roman" w:hAnsi="Times New Roman" w:eastAsia="宋体" w:cs="Times New Roman"/>
                <w:szCs w:val="21"/>
              </w:rPr>
              <w:t>-1</w:t>
            </w:r>
            <w:r>
              <w:rPr>
                <w:rFonts w:hint="eastAsia" w:ascii="Times New Roman" w:hAnsi="Times New Roman" w:eastAsia="宋体" w:cs="Times New Roman"/>
                <w:szCs w:val="21"/>
              </w:rPr>
              <w:t>、3</w:t>
            </w:r>
            <w:r>
              <w:rPr>
                <w:rFonts w:ascii="Times New Roman" w:hAnsi="Times New Roman" w:eastAsia="宋体" w:cs="Times New Roman"/>
                <w:szCs w:val="21"/>
              </w:rPr>
              <w:t>-3</w:t>
            </w:r>
          </w:p>
        </w:tc>
        <w:tc>
          <w:tcPr>
            <w:tcW w:w="728" w:type="dxa"/>
            <w:vAlign w:val="center"/>
          </w:tcPr>
          <w:p w14:paraId="27FDD58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728" w:type="dxa"/>
            <w:vAlign w:val="center"/>
          </w:tcPr>
          <w:p w14:paraId="4F678D8E">
            <w:pPr>
              <w:spacing w:line="276" w:lineRule="auto"/>
              <w:jc w:val="center"/>
              <w:rPr>
                <w:rFonts w:ascii="Times New Roman" w:hAnsi="Times New Roman" w:eastAsia="宋体" w:cs="Times New Roman"/>
                <w:szCs w:val="21"/>
              </w:rPr>
            </w:pPr>
          </w:p>
        </w:tc>
      </w:tr>
      <w:tr w14:paraId="0B2F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3" w:type="dxa"/>
            <w:vAlign w:val="center"/>
          </w:tcPr>
          <w:p w14:paraId="1C74C614">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2</w:t>
            </w:r>
          </w:p>
        </w:tc>
        <w:tc>
          <w:tcPr>
            <w:tcW w:w="3444" w:type="dxa"/>
            <w:vAlign w:val="center"/>
          </w:tcPr>
          <w:p w14:paraId="09CCAFD0">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地球与宇宙</w:t>
            </w:r>
          </w:p>
        </w:tc>
        <w:tc>
          <w:tcPr>
            <w:tcW w:w="1404" w:type="dxa"/>
            <w:vAlign w:val="center"/>
          </w:tcPr>
          <w:p w14:paraId="503611B6">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2117" w:type="dxa"/>
            <w:vAlign w:val="center"/>
          </w:tcPr>
          <w:p w14:paraId="327EC62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-3</w:t>
            </w:r>
          </w:p>
        </w:tc>
        <w:tc>
          <w:tcPr>
            <w:tcW w:w="728" w:type="dxa"/>
            <w:vAlign w:val="center"/>
          </w:tcPr>
          <w:p w14:paraId="48D5D0D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728" w:type="dxa"/>
            <w:vAlign w:val="center"/>
          </w:tcPr>
          <w:p w14:paraId="6A136556">
            <w:pPr>
              <w:spacing w:line="276" w:lineRule="auto"/>
              <w:jc w:val="center"/>
              <w:rPr>
                <w:rFonts w:ascii="Times New Roman" w:hAnsi="Times New Roman" w:eastAsia="宋体" w:cs="Times New Roman"/>
                <w:szCs w:val="21"/>
              </w:rPr>
            </w:pPr>
          </w:p>
        </w:tc>
      </w:tr>
      <w:tr w14:paraId="336E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3" w:type="dxa"/>
            <w:vAlign w:val="center"/>
          </w:tcPr>
          <w:p w14:paraId="029C9CF6">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3</w:t>
            </w:r>
          </w:p>
        </w:tc>
        <w:tc>
          <w:tcPr>
            <w:tcW w:w="3444" w:type="dxa"/>
            <w:vAlign w:val="center"/>
          </w:tcPr>
          <w:p w14:paraId="4DCCB7A8">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奇妙的生命世界</w:t>
            </w:r>
          </w:p>
        </w:tc>
        <w:tc>
          <w:tcPr>
            <w:tcW w:w="1404" w:type="dxa"/>
            <w:vAlign w:val="center"/>
          </w:tcPr>
          <w:p w14:paraId="13BD042F">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2、3</w:t>
            </w:r>
          </w:p>
        </w:tc>
        <w:tc>
          <w:tcPr>
            <w:tcW w:w="2117" w:type="dxa"/>
            <w:vAlign w:val="center"/>
          </w:tcPr>
          <w:p w14:paraId="1F6F3FE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-3</w:t>
            </w:r>
          </w:p>
        </w:tc>
        <w:tc>
          <w:tcPr>
            <w:tcW w:w="728" w:type="dxa"/>
            <w:vAlign w:val="center"/>
          </w:tcPr>
          <w:p w14:paraId="526A5EB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9</w:t>
            </w:r>
          </w:p>
        </w:tc>
        <w:tc>
          <w:tcPr>
            <w:tcW w:w="728" w:type="dxa"/>
            <w:vAlign w:val="center"/>
          </w:tcPr>
          <w:p w14:paraId="26B8D493">
            <w:pPr>
              <w:spacing w:line="276" w:lineRule="auto"/>
              <w:jc w:val="center"/>
              <w:rPr>
                <w:rFonts w:ascii="Times New Roman" w:hAnsi="Times New Roman" w:eastAsia="宋体" w:cs="Times New Roman"/>
                <w:szCs w:val="21"/>
              </w:rPr>
            </w:pPr>
          </w:p>
        </w:tc>
      </w:tr>
      <w:tr w14:paraId="5145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3" w:type="dxa"/>
            <w:vAlign w:val="center"/>
          </w:tcPr>
          <w:p w14:paraId="194D26C7">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4</w:t>
            </w:r>
          </w:p>
        </w:tc>
        <w:tc>
          <w:tcPr>
            <w:tcW w:w="3444" w:type="dxa"/>
            <w:vAlign w:val="center"/>
          </w:tcPr>
          <w:p w14:paraId="5CA8ECD8">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环境与我们</w:t>
            </w:r>
          </w:p>
        </w:tc>
        <w:tc>
          <w:tcPr>
            <w:tcW w:w="1404" w:type="dxa"/>
            <w:vAlign w:val="center"/>
          </w:tcPr>
          <w:p w14:paraId="71BA3726">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3、4</w:t>
            </w:r>
          </w:p>
        </w:tc>
        <w:tc>
          <w:tcPr>
            <w:tcW w:w="2117" w:type="dxa"/>
            <w:vAlign w:val="center"/>
          </w:tcPr>
          <w:p w14:paraId="5501FAD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Times New Roman" w:hAnsi="Times New Roman" w:eastAsia="宋体" w:cs="Times New Roman"/>
                <w:szCs w:val="21"/>
              </w:rPr>
              <w:t>、6</w:t>
            </w:r>
            <w:r>
              <w:rPr>
                <w:rFonts w:ascii="Times New Roman" w:hAnsi="Times New Roman" w:eastAsia="宋体" w:cs="Times New Roman"/>
                <w:szCs w:val="21"/>
              </w:rPr>
              <w:t>-2</w:t>
            </w:r>
          </w:p>
        </w:tc>
        <w:tc>
          <w:tcPr>
            <w:tcW w:w="728" w:type="dxa"/>
            <w:vAlign w:val="center"/>
          </w:tcPr>
          <w:p w14:paraId="4F030E2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728" w:type="dxa"/>
            <w:vAlign w:val="center"/>
          </w:tcPr>
          <w:p w14:paraId="21BB3361">
            <w:pPr>
              <w:spacing w:line="276" w:lineRule="auto"/>
              <w:jc w:val="center"/>
              <w:rPr>
                <w:rFonts w:ascii="Times New Roman" w:hAnsi="Times New Roman" w:eastAsia="宋体" w:cs="Times New Roman"/>
                <w:szCs w:val="21"/>
              </w:rPr>
            </w:pPr>
          </w:p>
        </w:tc>
      </w:tr>
      <w:tr w14:paraId="7615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3" w:type="dxa"/>
            <w:vAlign w:val="center"/>
          </w:tcPr>
          <w:p w14:paraId="111EE341">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5</w:t>
            </w:r>
          </w:p>
        </w:tc>
        <w:tc>
          <w:tcPr>
            <w:tcW w:w="3444" w:type="dxa"/>
            <w:vAlign w:val="center"/>
          </w:tcPr>
          <w:p w14:paraId="630C602F">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多姿多彩的物质世界</w:t>
            </w:r>
          </w:p>
        </w:tc>
        <w:tc>
          <w:tcPr>
            <w:tcW w:w="1404" w:type="dxa"/>
            <w:vAlign w:val="center"/>
          </w:tcPr>
          <w:p w14:paraId="7EE46909">
            <w:pPr>
              <w:spacing w:line="276"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、3</w:t>
            </w:r>
          </w:p>
        </w:tc>
        <w:tc>
          <w:tcPr>
            <w:tcW w:w="2117" w:type="dxa"/>
            <w:vAlign w:val="center"/>
          </w:tcPr>
          <w:p w14:paraId="1F99D2B9">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-3</w:t>
            </w:r>
          </w:p>
        </w:tc>
        <w:tc>
          <w:tcPr>
            <w:tcW w:w="728" w:type="dxa"/>
            <w:vAlign w:val="center"/>
          </w:tcPr>
          <w:p w14:paraId="0222062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728" w:type="dxa"/>
            <w:vAlign w:val="center"/>
          </w:tcPr>
          <w:p w14:paraId="673B49D0">
            <w:pPr>
              <w:spacing w:line="276" w:lineRule="auto"/>
              <w:jc w:val="center"/>
              <w:rPr>
                <w:rFonts w:ascii="Times New Roman" w:hAnsi="Times New Roman" w:eastAsia="宋体" w:cs="Times New Roman"/>
                <w:szCs w:val="21"/>
              </w:rPr>
            </w:pPr>
          </w:p>
        </w:tc>
      </w:tr>
      <w:tr w14:paraId="0525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3" w:type="dxa"/>
            <w:vAlign w:val="center"/>
          </w:tcPr>
          <w:p w14:paraId="10A7B9A9">
            <w:pPr>
              <w:spacing w:line="276"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6</w:t>
            </w:r>
          </w:p>
        </w:tc>
        <w:tc>
          <w:tcPr>
            <w:tcW w:w="3444" w:type="dxa"/>
            <w:vAlign w:val="center"/>
          </w:tcPr>
          <w:p w14:paraId="410D98F9">
            <w:pPr>
              <w:spacing w:line="276"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科学技术与人类</w:t>
            </w:r>
          </w:p>
        </w:tc>
        <w:tc>
          <w:tcPr>
            <w:tcW w:w="1404" w:type="dxa"/>
            <w:vAlign w:val="center"/>
          </w:tcPr>
          <w:p w14:paraId="41AC6C8B">
            <w:pPr>
              <w:spacing w:line="276"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4</w:t>
            </w:r>
          </w:p>
        </w:tc>
        <w:tc>
          <w:tcPr>
            <w:tcW w:w="2117" w:type="dxa"/>
            <w:vAlign w:val="center"/>
          </w:tcPr>
          <w:p w14:paraId="74A05FC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、3</w:t>
            </w:r>
            <w:r>
              <w:rPr>
                <w:rFonts w:ascii="Times New Roman" w:hAnsi="Times New Roman" w:eastAsia="宋体" w:cs="Times New Roman"/>
                <w:szCs w:val="21"/>
              </w:rPr>
              <w:t>-3</w:t>
            </w:r>
            <w:r>
              <w:rPr>
                <w:rFonts w:hint="eastAsia" w:ascii="Times New Roman" w:hAnsi="Times New Roman" w:eastAsia="宋体" w:cs="Times New Roman"/>
                <w:szCs w:val="21"/>
              </w:rPr>
              <w:t>、6</w:t>
            </w:r>
            <w:r>
              <w:rPr>
                <w:rFonts w:ascii="Times New Roman" w:hAnsi="Times New Roman" w:eastAsia="宋体" w:cs="Times New Roman"/>
                <w:szCs w:val="21"/>
              </w:rPr>
              <w:t>-2</w:t>
            </w:r>
          </w:p>
        </w:tc>
        <w:tc>
          <w:tcPr>
            <w:tcW w:w="728" w:type="dxa"/>
            <w:vAlign w:val="center"/>
          </w:tcPr>
          <w:p w14:paraId="5129584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728" w:type="dxa"/>
            <w:vAlign w:val="center"/>
          </w:tcPr>
          <w:p w14:paraId="1D62E654">
            <w:pPr>
              <w:spacing w:line="276" w:lineRule="auto"/>
              <w:jc w:val="center"/>
              <w:rPr>
                <w:rFonts w:ascii="Times New Roman" w:hAnsi="Times New Roman" w:eastAsia="宋体" w:cs="Times New Roman"/>
                <w:szCs w:val="21"/>
              </w:rPr>
            </w:pPr>
          </w:p>
        </w:tc>
      </w:tr>
      <w:tr w14:paraId="17D2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698" w:type="dxa"/>
            <w:gridSpan w:val="4"/>
            <w:vAlign w:val="center"/>
          </w:tcPr>
          <w:p w14:paraId="72C767A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728" w:type="dxa"/>
            <w:vAlign w:val="center"/>
          </w:tcPr>
          <w:p w14:paraId="30C1B32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48</w:t>
            </w:r>
          </w:p>
        </w:tc>
        <w:tc>
          <w:tcPr>
            <w:tcW w:w="728" w:type="dxa"/>
            <w:vAlign w:val="center"/>
          </w:tcPr>
          <w:p w14:paraId="38A0E39F">
            <w:pPr>
              <w:spacing w:line="276" w:lineRule="auto"/>
              <w:jc w:val="center"/>
              <w:rPr>
                <w:rFonts w:ascii="Times New Roman" w:hAnsi="Times New Roman" w:eastAsia="宋体" w:cs="Times New Roman"/>
                <w:szCs w:val="21"/>
              </w:rPr>
            </w:pPr>
          </w:p>
        </w:tc>
      </w:tr>
    </w:tbl>
    <w:p w14:paraId="2E07A161">
      <w:pPr>
        <w:spacing w:line="360" w:lineRule="auto"/>
        <w:ind w:firstLine="562" w:firstLineChars="200"/>
        <w:rPr>
          <w:rFonts w:ascii="Times New Roman" w:hAnsi="Times New Roman" w:eastAsia="宋体" w:cs="Times New Roman"/>
          <w:b/>
          <w:sz w:val="28"/>
          <w:szCs w:val="28"/>
        </w:rPr>
      </w:pPr>
    </w:p>
    <w:p w14:paraId="5CF422C5">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五、课程实施</w:t>
      </w:r>
    </w:p>
    <w:p w14:paraId="4D70866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w:t>
      </w:r>
      <w:r>
        <w:rPr>
          <w:rFonts w:hint="eastAsia" w:ascii="Times New Roman" w:hAnsi="Times New Roman" w:eastAsia="宋体" w:cs="Times New Roman"/>
          <w:sz w:val="24"/>
          <w:szCs w:val="24"/>
        </w:rPr>
        <w:t>课程打破了各自然科学的学科界限，不追求物理、化学、生物、地理学科知识的系统性和完备性，但也具有相对和独立性，可以拓展学生的思维。</w:t>
      </w:r>
    </w:p>
    <w:p w14:paraId="563A6EA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w:t>
      </w:r>
      <w:r>
        <w:rPr>
          <w:rFonts w:hint="eastAsia" w:ascii="Times New Roman" w:hAnsi="Times New Roman" w:eastAsia="宋体" w:cs="Times New Roman"/>
          <w:sz w:val="24"/>
          <w:szCs w:val="24"/>
        </w:rPr>
        <w:t>选用了与小学科学教育有关的小制作和实验等内容，每部分内容都以从问题入手，介绍相关知识，鼓励学生运用知识解决相关问题，促进学生学习的积极性和主动性的同时，为学生构建了了一个重基础、有层次、实践性强的综合理科课程结构</w:t>
      </w:r>
      <w:r>
        <w:rPr>
          <w:rFonts w:ascii="Times New Roman" w:hAnsi="Times New Roman" w:eastAsia="宋体" w:cs="Times New Roman"/>
          <w:sz w:val="24"/>
          <w:szCs w:val="24"/>
        </w:rPr>
        <w:t>。</w:t>
      </w:r>
    </w:p>
    <w:p w14:paraId="6E4A0F0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w:t>
      </w:r>
      <w:r>
        <w:rPr>
          <w:rFonts w:hint="eastAsia" w:ascii="Times New Roman" w:hAnsi="Times New Roman" w:eastAsia="宋体" w:cs="Times New Roman"/>
          <w:sz w:val="24"/>
          <w:szCs w:val="24"/>
        </w:rPr>
        <w:t>课堂教学设计</w:t>
      </w:r>
      <w:r>
        <w:rPr>
          <w:rFonts w:ascii="Times New Roman" w:hAnsi="Times New Roman" w:eastAsia="宋体" w:cs="Times New Roman"/>
          <w:sz w:val="24"/>
          <w:szCs w:val="24"/>
        </w:rPr>
        <w:t>采用</w:t>
      </w:r>
      <w:r>
        <w:rPr>
          <w:rFonts w:hint="eastAsia" w:ascii="Times New Roman" w:hAnsi="Times New Roman" w:eastAsia="宋体" w:cs="Times New Roman"/>
          <w:sz w:val="24"/>
          <w:szCs w:val="24"/>
        </w:rPr>
        <w:t>问题</w:t>
      </w:r>
      <w:r>
        <w:rPr>
          <w:rFonts w:ascii="Times New Roman" w:hAnsi="Times New Roman" w:eastAsia="宋体" w:cs="Times New Roman"/>
          <w:sz w:val="24"/>
          <w:szCs w:val="24"/>
        </w:rPr>
        <w:t>教学</w:t>
      </w:r>
      <w:r>
        <w:rPr>
          <w:rFonts w:hint="eastAsia" w:ascii="Times New Roman" w:hAnsi="Times New Roman" w:eastAsia="宋体" w:cs="Times New Roman"/>
          <w:sz w:val="24"/>
          <w:szCs w:val="24"/>
        </w:rPr>
        <w:t>模式</w:t>
      </w:r>
      <w:r>
        <w:rPr>
          <w:rFonts w:ascii="Times New Roman" w:hAnsi="Times New Roman" w:eastAsia="宋体" w:cs="Times New Roman"/>
          <w:sz w:val="24"/>
          <w:szCs w:val="24"/>
        </w:rPr>
        <w:t>，</w:t>
      </w:r>
      <w:r>
        <w:rPr>
          <w:rFonts w:hint="eastAsia" w:ascii="Times New Roman" w:hAnsi="Times New Roman" w:eastAsia="宋体" w:cs="Times New Roman"/>
          <w:sz w:val="24"/>
          <w:szCs w:val="24"/>
        </w:rPr>
        <w:t>以问题为核心，展开教学内容，最后以解决问题，提升学生的思维能力为目标</w:t>
      </w:r>
      <w:r>
        <w:rPr>
          <w:rFonts w:ascii="Times New Roman" w:hAnsi="Times New Roman" w:eastAsia="宋体" w:cs="Times New Roman"/>
          <w:sz w:val="24"/>
          <w:szCs w:val="24"/>
        </w:rPr>
        <w:t>。</w:t>
      </w:r>
    </w:p>
    <w:p w14:paraId="79FFCA3E">
      <w:pPr>
        <w:spacing w:line="360" w:lineRule="auto"/>
        <w:ind w:firstLine="480" w:firstLineChars="200"/>
        <w:rPr>
          <w:rFonts w:ascii="Times New Roman" w:hAnsi="Times New Roman" w:eastAsia="宋体" w:cs="Times New Roman"/>
          <w:sz w:val="24"/>
          <w:szCs w:val="24"/>
        </w:rPr>
      </w:pPr>
    </w:p>
    <w:p w14:paraId="697F900B">
      <w:pPr>
        <w:spacing w:line="360" w:lineRule="auto"/>
        <w:ind w:firstLine="480" w:firstLineChars="200"/>
        <w:rPr>
          <w:rFonts w:ascii="Times New Roman" w:hAnsi="Times New Roman" w:eastAsia="宋体" w:cs="Times New Roman"/>
          <w:sz w:val="24"/>
          <w:szCs w:val="24"/>
        </w:rPr>
      </w:pPr>
    </w:p>
    <w:p w14:paraId="6250B7D7">
      <w:pPr>
        <w:spacing w:line="360" w:lineRule="auto"/>
        <w:ind w:firstLine="480" w:firstLineChars="200"/>
        <w:rPr>
          <w:rFonts w:ascii="Times New Roman" w:hAnsi="Times New Roman" w:eastAsia="宋体" w:cs="Times New Roman"/>
          <w:sz w:val="24"/>
          <w:szCs w:val="24"/>
        </w:rPr>
      </w:pPr>
    </w:p>
    <w:p w14:paraId="3778DDF8">
      <w:pPr>
        <w:spacing w:line="360" w:lineRule="auto"/>
        <w:ind w:firstLine="480" w:firstLineChars="200"/>
        <w:rPr>
          <w:rFonts w:ascii="Times New Roman" w:hAnsi="Times New Roman" w:eastAsia="宋体" w:cs="Times New Roman"/>
          <w:sz w:val="24"/>
          <w:szCs w:val="24"/>
        </w:rPr>
      </w:pPr>
    </w:p>
    <w:p w14:paraId="3C5B05E4">
      <w:pPr>
        <w:spacing w:line="360" w:lineRule="auto"/>
        <w:ind w:firstLine="480" w:firstLineChars="200"/>
        <w:rPr>
          <w:rFonts w:ascii="Times New Roman" w:hAnsi="Times New Roman" w:eastAsia="宋体" w:cs="Times New Roman"/>
          <w:b/>
          <w:sz w:val="24"/>
          <w:szCs w:val="24"/>
        </w:rPr>
      </w:pPr>
      <w:r>
        <w:rPr>
          <w:rFonts w:ascii="Times New Roman" w:hAnsi="Times New Roman" w:eastAsia="宋体" w:cs="Times New Roman"/>
          <w:bCs/>
          <w:sz w:val="24"/>
          <w:szCs w:val="24"/>
        </w:rPr>
        <w:t>（四）主要教学环节的质量要求如表所示。</w:t>
      </w:r>
    </w:p>
    <w:tbl>
      <w:tblPr>
        <w:tblStyle w:val="30"/>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712"/>
        <w:gridCol w:w="6859"/>
      </w:tblGrid>
      <w:tr w14:paraId="7CDA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97" w:type="dxa"/>
            <w:gridSpan w:val="2"/>
            <w:tcBorders>
              <w:top w:val="single" w:color="auto" w:sz="8" w:space="0"/>
              <w:left w:val="single" w:color="auto" w:sz="8" w:space="0"/>
              <w:right w:val="single" w:color="auto" w:sz="8" w:space="0"/>
            </w:tcBorders>
            <w:tcMar>
              <w:left w:w="28" w:type="dxa"/>
              <w:right w:w="28" w:type="dxa"/>
            </w:tcMar>
            <w:vAlign w:val="center"/>
          </w:tcPr>
          <w:p w14:paraId="0AC55388">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859" w:type="dxa"/>
            <w:tcBorders>
              <w:top w:val="single" w:color="auto" w:sz="8" w:space="0"/>
              <w:left w:val="single" w:color="auto" w:sz="8" w:space="0"/>
              <w:right w:val="single" w:color="auto" w:sz="8" w:space="0"/>
            </w:tcBorders>
            <w:vAlign w:val="center"/>
          </w:tcPr>
          <w:p w14:paraId="6EFC32DD">
            <w:pPr>
              <w:jc w:val="center"/>
              <w:rPr>
                <w:rFonts w:ascii="Times New Roman" w:hAnsi="Times New Roman" w:eastAsia="宋体" w:cs="Times New Roman"/>
                <w:szCs w:val="21"/>
              </w:rPr>
            </w:pPr>
            <w:r>
              <w:rPr>
                <w:rFonts w:ascii="Times New Roman" w:hAnsi="Times New Roman" w:eastAsia="宋体" w:cs="Times New Roman"/>
                <w:bCs/>
                <w:szCs w:val="21"/>
              </w:rPr>
              <w:t>质量</w:t>
            </w:r>
            <w:r>
              <w:rPr>
                <w:rFonts w:hint="eastAsia" w:ascii="Times New Roman" w:hAnsi="Times New Roman" w:eastAsia="宋体" w:cs="Times New Roman"/>
                <w:bCs/>
                <w:szCs w:val="21"/>
              </w:rPr>
              <w:t>要求</w:t>
            </w:r>
          </w:p>
        </w:tc>
      </w:tr>
      <w:tr w14:paraId="5C70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585" w:type="dxa"/>
            <w:tcBorders>
              <w:left w:val="single" w:color="auto" w:sz="8" w:space="0"/>
            </w:tcBorders>
            <w:vAlign w:val="center"/>
          </w:tcPr>
          <w:p w14:paraId="5E34B936">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711" w:type="dxa"/>
            <w:tcMar>
              <w:left w:w="28" w:type="dxa"/>
              <w:right w:w="28" w:type="dxa"/>
            </w:tcMar>
            <w:vAlign w:val="center"/>
          </w:tcPr>
          <w:p w14:paraId="3C4418CC">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859" w:type="dxa"/>
            <w:tcBorders>
              <w:right w:val="single" w:color="auto" w:sz="8" w:space="0"/>
            </w:tcBorders>
            <w:vAlign w:val="center"/>
          </w:tcPr>
          <w:p w14:paraId="6E343399">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（1）掌握本课程教学大纲内容，严格按照教学大纲要求进行课程教学内容的组织。</w:t>
            </w:r>
          </w:p>
          <w:p w14:paraId="3E24F2AD">
            <w:pPr>
              <w:rPr>
                <w:rFonts w:ascii="Times New Roman" w:hAnsi="Times New Roman" w:eastAsia="宋体" w:cs="Times New Roman"/>
                <w:szCs w:val="21"/>
              </w:rPr>
            </w:pPr>
            <w:r>
              <w:rPr>
                <w:rFonts w:ascii="Times New Roman" w:hAnsi="Times New Roman" w:eastAsia="宋体" w:cs="Times New Roman"/>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55F37332">
            <w:pP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根据</w:t>
            </w:r>
            <w:r>
              <w:rPr>
                <w:rFonts w:ascii="Times New Roman" w:hAnsi="Times New Roman" w:eastAsia="宋体" w:cs="Times New Roman"/>
                <w:szCs w:val="21"/>
              </w:rPr>
              <w:t>各部分</w:t>
            </w:r>
            <w:r>
              <w:rPr>
                <w:rFonts w:hint="eastAsia" w:ascii="Times New Roman" w:hAnsi="Times New Roman" w:eastAsia="宋体" w:cs="Times New Roman"/>
                <w:szCs w:val="21"/>
              </w:rPr>
              <w:t>教学</w:t>
            </w:r>
            <w:r>
              <w:rPr>
                <w:rFonts w:ascii="Times New Roman" w:hAnsi="Times New Roman" w:eastAsia="宋体" w:cs="Times New Roman"/>
                <w:szCs w:val="21"/>
              </w:rPr>
              <w:t>内容</w:t>
            </w:r>
            <w:r>
              <w:rPr>
                <w:rFonts w:hint="eastAsia" w:ascii="Times New Roman" w:hAnsi="Times New Roman" w:eastAsia="宋体" w:cs="Times New Roman"/>
                <w:szCs w:val="21"/>
              </w:rPr>
              <w:t>，</w:t>
            </w:r>
            <w:r>
              <w:rPr>
                <w:rFonts w:ascii="Times New Roman" w:hAnsi="Times New Roman" w:eastAsia="宋体" w:cs="Times New Roman"/>
                <w:szCs w:val="21"/>
              </w:rPr>
              <w:t>构思授课思路、技巧</w:t>
            </w:r>
            <w:r>
              <w:rPr>
                <w:rFonts w:hint="eastAsia" w:ascii="Times New Roman" w:hAnsi="Times New Roman" w:eastAsia="宋体" w:cs="Times New Roman"/>
                <w:szCs w:val="21"/>
              </w:rPr>
              <w:t>，选择合适的</w:t>
            </w:r>
            <w:r>
              <w:rPr>
                <w:rFonts w:ascii="Times New Roman" w:hAnsi="Times New Roman" w:eastAsia="宋体" w:cs="Times New Roman"/>
                <w:szCs w:val="21"/>
              </w:rPr>
              <w:t>教学方法。</w:t>
            </w:r>
          </w:p>
        </w:tc>
      </w:tr>
      <w:tr w14:paraId="7C8F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585" w:type="dxa"/>
            <w:tcBorders>
              <w:left w:val="single" w:color="auto" w:sz="8" w:space="0"/>
            </w:tcBorders>
            <w:vAlign w:val="center"/>
          </w:tcPr>
          <w:p w14:paraId="64AFBC9F">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711" w:type="dxa"/>
            <w:tcMar>
              <w:left w:w="28" w:type="dxa"/>
              <w:right w:w="28" w:type="dxa"/>
            </w:tcMar>
            <w:vAlign w:val="center"/>
          </w:tcPr>
          <w:p w14:paraId="28016BCE">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859" w:type="dxa"/>
            <w:tcBorders>
              <w:right w:val="single" w:color="auto" w:sz="8" w:space="0"/>
            </w:tcBorders>
            <w:vAlign w:val="center"/>
          </w:tcPr>
          <w:p w14:paraId="3B84FC78">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要点准确</w:t>
            </w:r>
            <w:r>
              <w:rPr>
                <w:rFonts w:hint="eastAsia" w:ascii="Times New Roman" w:hAnsi="Times New Roman" w:eastAsia="宋体" w:cs="Times New Roman"/>
                <w:szCs w:val="21"/>
              </w:rPr>
              <w:t>、</w:t>
            </w:r>
            <w:r>
              <w:rPr>
                <w:rFonts w:ascii="Times New Roman" w:hAnsi="Times New Roman" w:eastAsia="宋体" w:cs="Times New Roman"/>
                <w:szCs w:val="21"/>
              </w:rPr>
              <w:t>推理正确</w:t>
            </w:r>
            <w:r>
              <w:rPr>
                <w:rFonts w:hint="eastAsia" w:ascii="Times New Roman" w:hAnsi="Times New Roman" w:eastAsia="宋体" w:cs="Times New Roman"/>
                <w:szCs w:val="21"/>
              </w:rPr>
              <w:t>、</w:t>
            </w:r>
            <w:r>
              <w:rPr>
                <w:rFonts w:ascii="Times New Roman" w:hAnsi="Times New Roman" w:eastAsia="宋体" w:cs="Times New Roman"/>
                <w:szCs w:val="21"/>
              </w:rPr>
              <w:t>条理清晰</w:t>
            </w:r>
            <w:r>
              <w:rPr>
                <w:rFonts w:hint="eastAsia" w:ascii="Times New Roman" w:hAnsi="Times New Roman" w:eastAsia="宋体" w:cs="Times New Roman"/>
                <w:szCs w:val="21"/>
              </w:rPr>
              <w:t>、</w:t>
            </w:r>
            <w:r>
              <w:rPr>
                <w:rFonts w:ascii="Times New Roman" w:hAnsi="Times New Roman" w:eastAsia="宋体" w:cs="Times New Roman"/>
                <w:szCs w:val="21"/>
              </w:rPr>
              <w:t>重点突出，</w:t>
            </w:r>
            <w:r>
              <w:rPr>
                <w:rFonts w:hint="eastAsia" w:ascii="Times New Roman" w:hAnsi="Times New Roman" w:eastAsia="宋体" w:cs="Times New Roman"/>
                <w:szCs w:val="21"/>
              </w:rPr>
              <w:t>能够</w:t>
            </w:r>
            <w:r>
              <w:rPr>
                <w:rFonts w:ascii="Times New Roman" w:hAnsi="Times New Roman" w:eastAsia="宋体" w:cs="Times New Roman"/>
                <w:szCs w:val="21"/>
              </w:rPr>
              <w:t>理论联系实际，</w:t>
            </w:r>
            <w:r>
              <w:rPr>
                <w:rFonts w:hint="eastAsia" w:ascii="Times New Roman" w:hAnsi="Times New Roman" w:eastAsia="宋体" w:cs="Times New Roman"/>
                <w:szCs w:val="21"/>
              </w:rPr>
              <w:t>解答学生的实际问题</w:t>
            </w:r>
            <w:r>
              <w:rPr>
                <w:rFonts w:ascii="Times New Roman" w:hAnsi="Times New Roman" w:eastAsia="宋体" w:cs="Times New Roman"/>
                <w:szCs w:val="21"/>
              </w:rPr>
              <w:t>。</w:t>
            </w:r>
          </w:p>
          <w:p w14:paraId="1294B87D">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采用多种教学方式（如启发式教学、案例分析教学、讨论式教学、多媒体示范教学等），注重培养学生发现、分析和解决问题的能力。</w:t>
            </w:r>
          </w:p>
          <w:p w14:paraId="3988112A">
            <w:pPr>
              <w:rPr>
                <w:rFonts w:ascii="Times New Roman" w:hAnsi="Times New Roman" w:eastAsia="宋体" w:cs="Times New Roman"/>
                <w:szCs w:val="21"/>
              </w:rPr>
            </w:pPr>
            <w:r>
              <w:rPr>
                <w:rFonts w:hint="eastAsia" w:ascii="Times New Roman" w:hAnsi="Times New Roman" w:eastAsia="宋体" w:cs="Times New Roman"/>
                <w:szCs w:val="21"/>
              </w:rPr>
              <w:t>（3）能够采用现代信息技术辅助</w:t>
            </w:r>
            <w:r>
              <w:rPr>
                <w:rFonts w:ascii="Times New Roman" w:hAnsi="Times New Roman" w:eastAsia="宋体" w:cs="Times New Roman"/>
                <w:szCs w:val="21"/>
              </w:rPr>
              <w:t>教学。</w:t>
            </w:r>
          </w:p>
          <w:p w14:paraId="79FAF65C">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表达方式</w:t>
            </w:r>
            <w:r>
              <w:rPr>
                <w:rFonts w:hint="eastAsia" w:ascii="Times New Roman" w:hAnsi="Times New Roman" w:eastAsia="宋体" w:cs="Times New Roman"/>
                <w:szCs w:val="21"/>
              </w:rPr>
              <w:t>应能</w:t>
            </w:r>
            <w:r>
              <w:rPr>
                <w:rFonts w:ascii="Times New Roman" w:hAnsi="Times New Roman" w:eastAsia="宋体" w:cs="Times New Roman"/>
                <w:szCs w:val="21"/>
              </w:rPr>
              <w:t>便于学生理解、接受，力求形象生动，使学生在掌握知识的过程中，保持较为浓厚的</w:t>
            </w:r>
            <w:r>
              <w:rPr>
                <w:rFonts w:hint="eastAsia" w:ascii="Times New Roman" w:hAnsi="Times New Roman" w:eastAsia="宋体" w:cs="Times New Roman"/>
                <w:szCs w:val="21"/>
              </w:rPr>
              <w:t>学习</w:t>
            </w:r>
            <w:r>
              <w:rPr>
                <w:rFonts w:ascii="Times New Roman" w:hAnsi="Times New Roman" w:eastAsia="宋体" w:cs="Times New Roman"/>
                <w:szCs w:val="21"/>
              </w:rPr>
              <w:t>兴趣。</w:t>
            </w:r>
          </w:p>
        </w:tc>
      </w:tr>
      <w:tr w14:paraId="32FA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585" w:type="dxa"/>
            <w:tcBorders>
              <w:left w:val="single" w:color="auto" w:sz="8" w:space="0"/>
            </w:tcBorders>
            <w:vAlign w:val="center"/>
          </w:tcPr>
          <w:p w14:paraId="37F39541">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711" w:type="dxa"/>
            <w:tcMar>
              <w:left w:w="28" w:type="dxa"/>
              <w:right w:w="28" w:type="dxa"/>
            </w:tcMar>
            <w:vAlign w:val="center"/>
          </w:tcPr>
          <w:p w14:paraId="79BDC01B">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859" w:type="dxa"/>
            <w:tcBorders>
              <w:right w:val="single" w:color="auto" w:sz="8" w:space="0"/>
            </w:tcBorders>
            <w:vAlign w:val="center"/>
          </w:tcPr>
          <w:p w14:paraId="7AE11CDA">
            <w:pPr>
              <w:rPr>
                <w:rFonts w:ascii="Times New Roman" w:hAnsi="Times New Roman" w:eastAsia="宋体" w:cs="Times New Roman"/>
                <w:szCs w:val="21"/>
              </w:rPr>
            </w:pPr>
            <w:r>
              <w:rPr>
                <w:rFonts w:ascii="Times New Roman" w:hAnsi="Times New Roman" w:eastAsia="宋体" w:cs="Times New Roman"/>
                <w:szCs w:val="21"/>
              </w:rPr>
              <w:t>学生必须完成</w:t>
            </w:r>
            <w:r>
              <w:rPr>
                <w:rFonts w:hint="eastAsia" w:ascii="Times New Roman" w:hAnsi="Times New Roman" w:eastAsia="宋体" w:cs="Times New Roman"/>
                <w:szCs w:val="21"/>
              </w:rPr>
              <w:t>规定</w:t>
            </w:r>
            <w:r>
              <w:rPr>
                <w:rFonts w:ascii="Times New Roman" w:hAnsi="Times New Roman" w:eastAsia="宋体" w:cs="Times New Roman"/>
                <w:szCs w:val="21"/>
              </w:rPr>
              <w:t>数量的作业</w:t>
            </w:r>
            <w:r>
              <w:rPr>
                <w:rFonts w:hint="eastAsia" w:ascii="Times New Roman" w:hAnsi="Times New Roman" w:eastAsia="宋体" w:cs="Times New Roman"/>
                <w:szCs w:val="21"/>
              </w:rPr>
              <w:t>，</w:t>
            </w:r>
            <w:r>
              <w:rPr>
                <w:rFonts w:ascii="Times New Roman" w:hAnsi="Times New Roman" w:eastAsia="宋体" w:cs="Times New Roman"/>
                <w:szCs w:val="21"/>
              </w:rPr>
              <w:t>作业必须达到以下基本要求：</w:t>
            </w:r>
          </w:p>
          <w:p w14:paraId="18CE71BE">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按时按量完成作业，不缺交，不抄袭</w:t>
            </w:r>
            <w:r>
              <w:rPr>
                <w:rFonts w:hint="eastAsia" w:ascii="Times New Roman" w:hAnsi="Times New Roman" w:eastAsia="宋体" w:cs="Times New Roman"/>
                <w:szCs w:val="21"/>
              </w:rPr>
              <w:t>。</w:t>
            </w:r>
          </w:p>
          <w:p w14:paraId="518C8CF0">
            <w:pPr>
              <w:rPr>
                <w:rFonts w:ascii="Times New Roman" w:hAnsi="Times New Roman" w:eastAsia="宋体" w:cs="Times New Roman"/>
                <w:szCs w:val="21"/>
              </w:rPr>
            </w:pPr>
            <w:r>
              <w:rPr>
                <w:rFonts w:hint="eastAsia" w:ascii="Times New Roman" w:hAnsi="Times New Roman" w:eastAsia="宋体" w:cs="Times New Roman"/>
                <w:szCs w:val="21"/>
              </w:rPr>
              <w:t>（2）作业有自己的观点</w:t>
            </w:r>
            <w:r>
              <w:rPr>
                <w:rFonts w:ascii="Times New Roman" w:hAnsi="Times New Roman" w:eastAsia="宋体" w:cs="Times New Roman"/>
                <w:szCs w:val="21"/>
              </w:rPr>
              <w:t>。</w:t>
            </w:r>
          </w:p>
          <w:p w14:paraId="259FCC03">
            <w:pPr>
              <w:rPr>
                <w:rFonts w:ascii="Times New Roman" w:hAnsi="Times New Roman" w:eastAsia="宋体" w:cs="Times New Roman"/>
                <w:szCs w:val="21"/>
              </w:rPr>
            </w:pP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讲评作业要求如下：</w:t>
            </w:r>
          </w:p>
          <w:p w14:paraId="4ECA77C7">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学生的作业要</w:t>
            </w:r>
            <w:r>
              <w:rPr>
                <w:rFonts w:hint="eastAsia" w:ascii="Times New Roman" w:hAnsi="Times New Roman" w:eastAsia="宋体" w:cs="Times New Roman"/>
                <w:szCs w:val="21"/>
              </w:rPr>
              <w:t>按时</w:t>
            </w:r>
            <w:r>
              <w:rPr>
                <w:rFonts w:ascii="Times New Roman" w:hAnsi="Times New Roman" w:eastAsia="宋体" w:cs="Times New Roman"/>
                <w:szCs w:val="21"/>
              </w:rPr>
              <w:t>全</w:t>
            </w:r>
            <w:r>
              <w:rPr>
                <w:rFonts w:hint="eastAsia" w:ascii="Times New Roman" w:hAnsi="Times New Roman" w:eastAsia="宋体" w:cs="Times New Roman"/>
                <w:szCs w:val="21"/>
              </w:rPr>
              <w:t>部</w:t>
            </w:r>
            <w:r>
              <w:rPr>
                <w:rFonts w:ascii="Times New Roman" w:hAnsi="Times New Roman" w:eastAsia="宋体" w:cs="Times New Roman"/>
                <w:szCs w:val="21"/>
              </w:rPr>
              <w:t>批改</w:t>
            </w:r>
            <w:r>
              <w:rPr>
                <w:rFonts w:hint="eastAsia" w:ascii="Times New Roman" w:hAnsi="Times New Roman" w:eastAsia="宋体" w:cs="Times New Roman"/>
                <w:szCs w:val="21"/>
              </w:rPr>
              <w:t>。</w:t>
            </w:r>
          </w:p>
          <w:p w14:paraId="13619955">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教师批改</w:t>
            </w:r>
            <w:r>
              <w:rPr>
                <w:rFonts w:hint="eastAsia" w:ascii="Times New Roman" w:hAnsi="Times New Roman" w:eastAsia="宋体" w:cs="Times New Roman"/>
                <w:szCs w:val="21"/>
              </w:rPr>
              <w:t>和</w:t>
            </w:r>
            <w:r>
              <w:rPr>
                <w:rFonts w:ascii="Times New Roman" w:hAnsi="Times New Roman" w:eastAsia="宋体" w:cs="Times New Roman"/>
                <w:szCs w:val="21"/>
              </w:rPr>
              <w:t>讲评作业要认真、细致，按百分制评定成绩并写明日期</w:t>
            </w:r>
            <w:r>
              <w:rPr>
                <w:rFonts w:hint="eastAsia" w:ascii="Times New Roman" w:hAnsi="Times New Roman" w:eastAsia="宋体" w:cs="Times New Roman"/>
                <w:szCs w:val="21"/>
              </w:rPr>
              <w:t>。</w:t>
            </w:r>
          </w:p>
          <w:p w14:paraId="100BA613">
            <w:pP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学生作业的平均成绩</w:t>
            </w:r>
            <w:r>
              <w:rPr>
                <w:rFonts w:hint="eastAsia" w:ascii="Times New Roman" w:hAnsi="Times New Roman" w:eastAsia="宋体" w:cs="Times New Roman"/>
                <w:szCs w:val="21"/>
              </w:rPr>
              <w:t>应</w:t>
            </w:r>
            <w:r>
              <w:rPr>
                <w:rFonts w:ascii="Times New Roman" w:hAnsi="Times New Roman" w:eastAsia="宋体" w:cs="Times New Roman"/>
                <w:szCs w:val="21"/>
              </w:rPr>
              <w:t>作为本课程总评成绩中平时成绩的重要组成部分。</w:t>
            </w:r>
          </w:p>
        </w:tc>
      </w:tr>
      <w:tr w14:paraId="7D8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585" w:type="dxa"/>
            <w:tcBorders>
              <w:left w:val="single" w:color="auto" w:sz="8" w:space="0"/>
            </w:tcBorders>
            <w:vAlign w:val="center"/>
          </w:tcPr>
          <w:p w14:paraId="371D05B1">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711" w:type="dxa"/>
            <w:tcMar>
              <w:left w:w="28" w:type="dxa"/>
              <w:right w:w="28" w:type="dxa"/>
            </w:tcMar>
            <w:vAlign w:val="center"/>
          </w:tcPr>
          <w:p w14:paraId="2F0B7C8B">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859" w:type="dxa"/>
            <w:tcBorders>
              <w:right w:val="single" w:color="auto" w:sz="8" w:space="0"/>
            </w:tcBorders>
            <w:vAlign w:val="center"/>
          </w:tcPr>
          <w:p w14:paraId="7CDA0082">
            <w:pPr>
              <w:rPr>
                <w:rFonts w:ascii="Times New Roman" w:hAnsi="Times New Roman" w:eastAsia="宋体" w:cs="Times New Roman"/>
                <w:szCs w:val="21"/>
              </w:rPr>
            </w:pPr>
            <w:r>
              <w:rPr>
                <w:rFonts w:hint="eastAsia" w:ascii="Times New Roman" w:hAnsi="Times New Roman" w:eastAsia="宋体" w:cs="Times New Roman"/>
                <w:szCs w:val="21"/>
              </w:rPr>
              <w:t>充分利用网络课程，补充知识学习的同时，完成答疑工作，</w:t>
            </w:r>
            <w:r>
              <w:rPr>
                <w:rFonts w:ascii="Times New Roman" w:hAnsi="Times New Roman" w:eastAsia="宋体" w:cs="Times New Roman"/>
                <w:szCs w:val="21"/>
              </w:rPr>
              <w:t>任课教师</w:t>
            </w:r>
            <w:r>
              <w:rPr>
                <w:rFonts w:hint="eastAsia" w:ascii="Times New Roman" w:hAnsi="Times New Roman" w:eastAsia="宋体" w:cs="Times New Roman"/>
                <w:szCs w:val="21"/>
              </w:rPr>
              <w:t>需</w:t>
            </w:r>
            <w:r>
              <w:rPr>
                <w:rFonts w:ascii="Times New Roman" w:hAnsi="Times New Roman" w:eastAsia="宋体" w:cs="Times New Roman"/>
                <w:szCs w:val="21"/>
              </w:rPr>
              <w:t>每周安排</w:t>
            </w:r>
            <w:r>
              <w:rPr>
                <w:rFonts w:hint="eastAsia" w:ascii="Times New Roman" w:hAnsi="Times New Roman" w:eastAsia="宋体" w:cs="Times New Roman"/>
                <w:szCs w:val="21"/>
              </w:rPr>
              <w:t>一定</w:t>
            </w:r>
            <w:r>
              <w:rPr>
                <w:rFonts w:ascii="Times New Roman" w:hAnsi="Times New Roman" w:eastAsia="宋体" w:cs="Times New Roman"/>
                <w:szCs w:val="21"/>
              </w:rPr>
              <w:t>时间进行课外答疑与辅导。</w:t>
            </w:r>
          </w:p>
        </w:tc>
      </w:tr>
      <w:tr w14:paraId="6CC7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85" w:type="dxa"/>
            <w:tcBorders>
              <w:left w:val="single" w:color="auto" w:sz="8" w:space="0"/>
            </w:tcBorders>
            <w:vAlign w:val="center"/>
          </w:tcPr>
          <w:p w14:paraId="3805D76B">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711" w:type="dxa"/>
            <w:tcMar>
              <w:left w:w="28" w:type="dxa"/>
              <w:right w:w="28" w:type="dxa"/>
            </w:tcMar>
            <w:vAlign w:val="center"/>
          </w:tcPr>
          <w:p w14:paraId="3C03608A">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859" w:type="dxa"/>
            <w:tcBorders>
              <w:right w:val="single" w:color="auto" w:sz="8" w:space="0"/>
            </w:tcBorders>
            <w:vAlign w:val="center"/>
          </w:tcPr>
          <w:p w14:paraId="01E68365">
            <w:pPr>
              <w:rPr>
                <w:rFonts w:ascii="Times New Roman" w:hAnsi="Times New Roman" w:eastAsia="宋体" w:cs="Times New Roman"/>
                <w:szCs w:val="21"/>
              </w:rPr>
            </w:pPr>
            <w:r>
              <w:rPr>
                <w:rFonts w:ascii="Times New Roman" w:hAnsi="Times New Roman" w:eastAsia="宋体" w:cs="Times New Roman"/>
                <w:szCs w:val="21"/>
              </w:rPr>
              <w:t>本课程考核的方式</w:t>
            </w:r>
            <w:r>
              <w:rPr>
                <w:rFonts w:hint="eastAsia" w:ascii="Times New Roman" w:hAnsi="Times New Roman" w:eastAsia="宋体" w:cs="Times New Roman"/>
                <w:szCs w:val="21"/>
              </w:rPr>
              <w:t>为开卷笔试</w:t>
            </w:r>
            <w:r>
              <w:rPr>
                <w:rFonts w:ascii="Times New Roman" w:hAnsi="Times New Roman" w:eastAsia="宋体" w:cs="Times New Roman"/>
                <w:szCs w:val="21"/>
              </w:rPr>
              <w:t>。考试</w:t>
            </w:r>
            <w:r>
              <w:rPr>
                <w:rFonts w:hint="eastAsia" w:ascii="Times New Roman" w:hAnsi="Times New Roman" w:eastAsia="宋体" w:cs="Times New Roman"/>
                <w:szCs w:val="21"/>
              </w:rPr>
              <w:t>由任课教师根据课程大纲要求出题</w:t>
            </w:r>
            <w:r>
              <w:rPr>
                <w:rFonts w:ascii="Times New Roman" w:hAnsi="Times New Roman" w:eastAsia="宋体" w:cs="Times New Roman"/>
                <w:szCs w:val="21"/>
              </w:rPr>
              <w:t>。</w:t>
            </w:r>
          </w:p>
          <w:p w14:paraId="12A78636">
            <w:pPr>
              <w:rPr>
                <w:rFonts w:ascii="Times New Roman" w:hAnsi="Times New Roman" w:eastAsia="宋体" w:cs="Times New Roman"/>
                <w:szCs w:val="21"/>
              </w:rPr>
            </w:pPr>
            <w:r>
              <w:rPr>
                <w:rFonts w:ascii="Times New Roman" w:hAnsi="Times New Roman" w:eastAsia="宋体" w:cs="Times New Roman"/>
                <w:szCs w:val="21"/>
              </w:rPr>
              <w:t>有下列情况之一者，总评成绩为不及格：</w:t>
            </w:r>
          </w:p>
          <w:p w14:paraId="4B7BFAA6">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缺交作业次数达1/3以上者</w:t>
            </w:r>
            <w:r>
              <w:rPr>
                <w:rFonts w:hint="eastAsia" w:ascii="Times New Roman" w:hAnsi="Times New Roman" w:eastAsia="宋体" w:cs="Times New Roman"/>
                <w:szCs w:val="21"/>
              </w:rPr>
              <w:t>。</w:t>
            </w:r>
          </w:p>
          <w:p w14:paraId="5FEDE69D">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缺课次数达本学期总授课学时的1/3以上者</w:t>
            </w:r>
            <w:r>
              <w:rPr>
                <w:rFonts w:hint="eastAsia" w:ascii="Times New Roman" w:hAnsi="Times New Roman" w:eastAsia="宋体" w:cs="Times New Roman"/>
                <w:szCs w:val="21"/>
              </w:rPr>
              <w:t>。</w:t>
            </w:r>
          </w:p>
        </w:tc>
      </w:tr>
    </w:tbl>
    <w:p w14:paraId="1948B99B">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六、考核方式</w:t>
      </w:r>
    </w:p>
    <w:p w14:paraId="7760495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w:t>
      </w:r>
      <w:r>
        <w:rPr>
          <w:rFonts w:ascii="Times New Roman" w:hAnsi="Times New Roman" w:eastAsia="宋体" w:cs="Times New Roman"/>
          <w:sz w:val="24"/>
          <w:szCs w:val="24"/>
        </w:rPr>
        <w:t>课程考核包括期末考试、平时及</w:t>
      </w:r>
      <w:r>
        <w:rPr>
          <w:rFonts w:hint="eastAsia" w:ascii="Times New Roman" w:hAnsi="Times New Roman" w:eastAsia="宋体" w:cs="Times New Roman"/>
          <w:sz w:val="24"/>
          <w:szCs w:val="24"/>
        </w:rPr>
        <w:t>小组汇报</w:t>
      </w:r>
      <w:r>
        <w:rPr>
          <w:rFonts w:ascii="Times New Roman" w:hAnsi="Times New Roman" w:eastAsia="宋体" w:cs="Times New Roman"/>
          <w:sz w:val="24"/>
          <w:szCs w:val="24"/>
        </w:rPr>
        <w:t>考核，期末考试采用</w:t>
      </w:r>
      <w:r>
        <w:rPr>
          <w:rFonts w:hint="eastAsia" w:ascii="Times New Roman" w:hAnsi="Times New Roman" w:eastAsia="宋体" w:cs="Times New Roman"/>
          <w:sz w:val="24"/>
          <w:szCs w:val="24"/>
        </w:rPr>
        <w:t>开</w:t>
      </w:r>
      <w:r>
        <w:rPr>
          <w:rFonts w:ascii="Times New Roman" w:hAnsi="Times New Roman" w:eastAsia="宋体" w:cs="Times New Roman"/>
          <w:sz w:val="24"/>
          <w:szCs w:val="24"/>
        </w:rPr>
        <w:t>卷笔试。</w:t>
      </w:r>
    </w:p>
    <w:p w14:paraId="23BEF37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w:t>
      </w:r>
      <w:r>
        <w:rPr>
          <w:rFonts w:ascii="Times New Roman" w:hAnsi="Times New Roman" w:eastAsia="宋体" w:cs="Times New Roman"/>
          <w:sz w:val="24"/>
          <w:szCs w:val="24"/>
        </w:rPr>
        <w:t>课程成绩=平时成绩×</w:t>
      </w:r>
      <w:r>
        <w:rPr>
          <w:rFonts w:hint="eastAsia" w:ascii="Times New Roman" w:hAnsi="Times New Roman" w:eastAsia="宋体" w:cs="Times New Roman"/>
          <w:sz w:val="24"/>
          <w:szCs w:val="24"/>
        </w:rPr>
        <w:t>50%+</w:t>
      </w:r>
      <w:r>
        <w:rPr>
          <w:rFonts w:ascii="Times New Roman" w:hAnsi="Times New Roman" w:eastAsia="宋体" w:cs="Times New Roman"/>
          <w:sz w:val="24"/>
          <w:szCs w:val="24"/>
        </w:rPr>
        <w:t>期末考试成绩×</w:t>
      </w:r>
      <w:r>
        <w:rPr>
          <w:rFonts w:hint="eastAsia" w:ascii="Times New Roman" w:hAnsi="Times New Roman" w:eastAsia="宋体" w:cs="Times New Roman"/>
          <w:sz w:val="24"/>
          <w:szCs w:val="24"/>
        </w:rPr>
        <w:t>5</w:t>
      </w:r>
      <w:r>
        <w:rPr>
          <w:rFonts w:ascii="Times New Roman" w:hAnsi="Times New Roman" w:eastAsia="宋体" w:cs="Times New Roman"/>
          <w:sz w:val="24"/>
          <w:szCs w:val="24"/>
        </w:rPr>
        <w:t>0%。</w:t>
      </w:r>
    </w:p>
    <w:p w14:paraId="65B898E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tbl>
      <w:tblPr>
        <w:tblStyle w:val="30"/>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84"/>
        <w:gridCol w:w="675"/>
        <w:gridCol w:w="2693"/>
        <w:gridCol w:w="1248"/>
        <w:gridCol w:w="1398"/>
        <w:gridCol w:w="978"/>
      </w:tblGrid>
      <w:tr w14:paraId="537C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30" w:type="dxa"/>
            <w:shd w:val="clear" w:color="auto" w:fill="FFFFFF"/>
            <w:tcMar>
              <w:left w:w="57" w:type="dxa"/>
              <w:right w:w="57" w:type="dxa"/>
            </w:tcMar>
            <w:vAlign w:val="center"/>
          </w:tcPr>
          <w:p w14:paraId="36D9D3E7">
            <w:pPr>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984" w:type="dxa"/>
            <w:shd w:val="clear" w:color="auto" w:fill="FFFFFF"/>
            <w:vAlign w:val="center"/>
          </w:tcPr>
          <w:p w14:paraId="7001B6E8">
            <w:pPr>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675" w:type="dxa"/>
            <w:shd w:val="clear" w:color="auto" w:fill="FFFFFF"/>
            <w:vAlign w:val="center"/>
          </w:tcPr>
          <w:p w14:paraId="4C78B4A3">
            <w:pPr>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2693" w:type="dxa"/>
            <w:shd w:val="clear" w:color="auto" w:fill="FFFFFF"/>
            <w:vAlign w:val="center"/>
          </w:tcPr>
          <w:p w14:paraId="74C76590">
            <w:pPr>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248" w:type="dxa"/>
            <w:shd w:val="clear" w:color="auto" w:fill="FFFFFF"/>
          </w:tcPr>
          <w:p w14:paraId="7FC76BF8">
            <w:pPr>
              <w:jc w:val="center"/>
              <w:rPr>
                <w:rFonts w:ascii="Times New Roman" w:hAnsi="Times New Roman" w:eastAsia="宋体" w:cs="Times New Roman"/>
                <w:szCs w:val="24"/>
              </w:rPr>
            </w:pPr>
            <w:r>
              <w:rPr>
                <w:rFonts w:hint="eastAsia" w:ascii="Times New Roman" w:hAnsi="Times New Roman" w:eastAsia="宋体" w:cs="Times New Roman"/>
                <w:szCs w:val="24"/>
              </w:rPr>
              <w:t>课程目标</w:t>
            </w:r>
          </w:p>
        </w:tc>
        <w:tc>
          <w:tcPr>
            <w:tcW w:w="1398" w:type="dxa"/>
            <w:shd w:val="clear" w:color="auto" w:fill="FFFFFF"/>
          </w:tcPr>
          <w:p w14:paraId="50B6E439">
            <w:pPr>
              <w:jc w:val="center"/>
              <w:rPr>
                <w:rFonts w:ascii="Times New Roman" w:hAnsi="Times New Roman" w:eastAsia="宋体" w:cs="Times New Roman"/>
                <w:szCs w:val="24"/>
              </w:rPr>
            </w:pPr>
            <w:r>
              <w:rPr>
                <w:rFonts w:hint="eastAsia" w:ascii="Times New Roman" w:hAnsi="Times New Roman" w:eastAsia="宋体" w:cs="Times New Roman"/>
                <w:szCs w:val="24"/>
              </w:rPr>
              <w:t>考核内容</w:t>
            </w:r>
          </w:p>
        </w:tc>
        <w:tc>
          <w:tcPr>
            <w:tcW w:w="978" w:type="dxa"/>
            <w:shd w:val="clear" w:color="auto" w:fill="FFFFFF"/>
            <w:vAlign w:val="center"/>
          </w:tcPr>
          <w:p w14:paraId="036ED8AE">
            <w:pPr>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r>
      <w:tr w14:paraId="029F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1030" w:type="dxa"/>
            <w:tcMar>
              <w:left w:w="57" w:type="dxa"/>
              <w:right w:w="57" w:type="dxa"/>
            </w:tcMar>
            <w:vAlign w:val="center"/>
          </w:tcPr>
          <w:p w14:paraId="4D0AE986">
            <w:pPr>
              <w:jc w:val="center"/>
              <w:rPr>
                <w:rFonts w:ascii="Times New Roman" w:hAnsi="Times New Roman" w:eastAsia="宋体" w:cs="Times New Roman"/>
                <w:szCs w:val="24"/>
              </w:rPr>
            </w:pPr>
            <w:r>
              <w:rPr>
                <w:rFonts w:ascii="Times New Roman" w:hAnsi="Times New Roman" w:eastAsia="宋体" w:cs="Times New Roman"/>
                <w:szCs w:val="24"/>
              </w:rPr>
              <w:t>平时成绩</w:t>
            </w:r>
          </w:p>
        </w:tc>
        <w:tc>
          <w:tcPr>
            <w:tcW w:w="984" w:type="dxa"/>
            <w:vAlign w:val="center"/>
          </w:tcPr>
          <w:p w14:paraId="4F52B4EC">
            <w:pPr>
              <w:jc w:val="center"/>
              <w:rPr>
                <w:rFonts w:ascii="Times New Roman" w:hAnsi="Times New Roman" w:eastAsia="宋体" w:cs="Times New Roman"/>
                <w:szCs w:val="24"/>
              </w:rPr>
            </w:pPr>
            <w:r>
              <w:rPr>
                <w:rFonts w:ascii="Times New Roman" w:hAnsi="Times New Roman" w:eastAsia="宋体" w:cs="Times New Roman"/>
                <w:szCs w:val="24"/>
              </w:rPr>
              <w:t>平时作业</w:t>
            </w:r>
          </w:p>
          <w:p w14:paraId="1AB17ADE">
            <w:pPr>
              <w:jc w:val="center"/>
              <w:rPr>
                <w:rFonts w:ascii="Times New Roman" w:hAnsi="Times New Roman" w:eastAsia="宋体" w:cs="Times New Roman"/>
                <w:szCs w:val="24"/>
              </w:rPr>
            </w:pPr>
            <w:r>
              <w:rPr>
                <w:rFonts w:hint="eastAsia" w:ascii="Times New Roman" w:hAnsi="Times New Roman" w:eastAsia="宋体" w:cs="Times New Roman"/>
                <w:szCs w:val="24"/>
              </w:rPr>
              <w:t>考勤及课堂表现</w:t>
            </w:r>
          </w:p>
          <w:p w14:paraId="6B7A317A">
            <w:pPr>
              <w:jc w:val="center"/>
              <w:rPr>
                <w:rFonts w:ascii="Times New Roman" w:hAnsi="Times New Roman" w:eastAsia="宋体" w:cs="Times New Roman"/>
                <w:szCs w:val="24"/>
              </w:rPr>
            </w:pPr>
          </w:p>
        </w:tc>
        <w:tc>
          <w:tcPr>
            <w:tcW w:w="675" w:type="dxa"/>
            <w:vAlign w:val="center"/>
          </w:tcPr>
          <w:p w14:paraId="11995915">
            <w:pPr>
              <w:jc w:val="center"/>
              <w:rPr>
                <w:rFonts w:ascii="Times New Roman" w:hAnsi="Times New Roman" w:eastAsia="宋体" w:cs="Times New Roman"/>
                <w:szCs w:val="24"/>
              </w:rPr>
            </w:pPr>
            <w:r>
              <w:rPr>
                <w:rFonts w:hint="eastAsia" w:ascii="Times New Roman" w:hAnsi="Times New Roman" w:eastAsia="宋体" w:cs="Times New Roman"/>
                <w:szCs w:val="24"/>
              </w:rPr>
              <w:t>50</w:t>
            </w:r>
            <w:r>
              <w:rPr>
                <w:rFonts w:ascii="Times New Roman" w:hAnsi="Times New Roman" w:eastAsia="宋体" w:cs="Times New Roman"/>
                <w:szCs w:val="24"/>
              </w:rPr>
              <w:t>%</w:t>
            </w:r>
          </w:p>
        </w:tc>
        <w:tc>
          <w:tcPr>
            <w:tcW w:w="2693" w:type="dxa"/>
            <w:vAlign w:val="center"/>
          </w:tcPr>
          <w:p w14:paraId="5C01E00E">
            <w:pPr>
              <w:rPr>
                <w:rFonts w:ascii="Times New Roman" w:hAnsi="Times New Roman" w:eastAsia="宋体" w:cs="Times New Roman"/>
                <w:szCs w:val="24"/>
              </w:rPr>
            </w:pPr>
            <w:r>
              <w:rPr>
                <w:rFonts w:hint="eastAsia" w:ascii="Times New Roman" w:hAnsi="Times New Roman" w:eastAsia="宋体" w:cs="Times New Roman"/>
                <w:szCs w:val="24"/>
              </w:rPr>
              <w:t>平时作业形式如随堂作业、课后作业、读书报告、小组活动等不同形式呈现，</w:t>
            </w:r>
            <w:r>
              <w:rPr>
                <w:rFonts w:ascii="Times New Roman" w:hAnsi="Times New Roman" w:eastAsia="宋体" w:cs="Times New Roman"/>
                <w:szCs w:val="24"/>
              </w:rPr>
              <w:t>主要考核学生</w:t>
            </w:r>
            <w:r>
              <w:rPr>
                <w:rFonts w:hint="eastAsia" w:ascii="Times New Roman" w:hAnsi="Times New Roman" w:eastAsia="宋体" w:cs="Times New Roman"/>
                <w:szCs w:val="24"/>
              </w:rPr>
              <w:t>对科学技术的了解</w:t>
            </w:r>
            <w:r>
              <w:rPr>
                <w:rFonts w:ascii="Times New Roman" w:hAnsi="Times New Roman" w:eastAsia="宋体" w:cs="Times New Roman"/>
                <w:szCs w:val="24"/>
              </w:rPr>
              <w:t>、理解和掌握程度，</w:t>
            </w:r>
            <w:r>
              <w:rPr>
                <w:rFonts w:hint="eastAsia" w:ascii="Times New Roman" w:hAnsi="Times New Roman" w:eastAsia="宋体" w:cs="Times New Roman"/>
                <w:szCs w:val="24"/>
              </w:rPr>
              <w:t>40</w:t>
            </w:r>
            <w:r>
              <w:rPr>
                <w:rFonts w:ascii="Times New Roman" w:hAnsi="Times New Roman" w:eastAsia="宋体" w:cs="Times New Roman"/>
                <w:szCs w:val="24"/>
              </w:rPr>
              <w:t>%计入总成绩。</w:t>
            </w:r>
          </w:p>
          <w:p w14:paraId="29674132">
            <w:pPr>
              <w:rPr>
                <w:rFonts w:ascii="Times New Roman" w:hAnsi="Times New Roman" w:eastAsia="宋体" w:cs="Times New Roman"/>
                <w:szCs w:val="24"/>
              </w:rPr>
            </w:pPr>
          </w:p>
          <w:p w14:paraId="35B56CAC">
            <w:pPr>
              <w:rPr>
                <w:rFonts w:ascii="Times New Roman" w:hAnsi="Times New Roman" w:eastAsia="宋体" w:cs="Times New Roman"/>
                <w:szCs w:val="24"/>
              </w:rPr>
            </w:pPr>
            <w:r>
              <w:rPr>
                <w:rFonts w:hint="eastAsia" w:ascii="Times New Roman" w:hAnsi="Times New Roman" w:eastAsia="宋体" w:cs="Times New Roman"/>
                <w:color w:val="000000"/>
                <w:szCs w:val="21"/>
              </w:rPr>
              <w:t>根据教学内容提出思考问题，</w:t>
            </w:r>
            <w:r>
              <w:rPr>
                <w:rFonts w:ascii="Times New Roman" w:hAnsi="Times New Roman" w:eastAsia="宋体" w:cs="Times New Roman"/>
                <w:color w:val="000000"/>
                <w:szCs w:val="21"/>
              </w:rPr>
              <w:t>考核学生课堂的听课效果和</w:t>
            </w:r>
            <w:r>
              <w:rPr>
                <w:rFonts w:hint="eastAsia" w:ascii="Times New Roman" w:hAnsi="Times New Roman" w:eastAsia="宋体" w:cs="Times New Roman"/>
                <w:color w:val="000000"/>
                <w:szCs w:val="21"/>
              </w:rPr>
              <w:t>对所学</w:t>
            </w:r>
            <w:r>
              <w:rPr>
                <w:rFonts w:ascii="Times New Roman" w:hAnsi="Times New Roman" w:eastAsia="宋体" w:cs="Times New Roman"/>
                <w:color w:val="000000"/>
                <w:szCs w:val="21"/>
              </w:rPr>
              <w:t>知识的</w:t>
            </w:r>
            <w:r>
              <w:rPr>
                <w:rFonts w:hint="eastAsia" w:ascii="Times New Roman" w:hAnsi="Times New Roman" w:eastAsia="宋体" w:cs="Times New Roman"/>
                <w:color w:val="000000"/>
                <w:szCs w:val="21"/>
              </w:rPr>
              <w:t>运用</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，最后按10%计入课程总成绩。</w:t>
            </w:r>
          </w:p>
        </w:tc>
        <w:tc>
          <w:tcPr>
            <w:tcW w:w="1248" w:type="dxa"/>
          </w:tcPr>
          <w:p w14:paraId="4C3B4ED5">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454C68F7">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5A16DCD4">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74581B6D">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课程目标4</w:t>
            </w:r>
          </w:p>
        </w:tc>
        <w:tc>
          <w:tcPr>
            <w:tcW w:w="1398" w:type="dxa"/>
          </w:tcPr>
          <w:p w14:paraId="6B79E05D">
            <w:pPr>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对自然科学基本知识、基本原理和基本方法的掌握和理解，具有科学精神和科学素养，能具有学科教育教学能力</w:t>
            </w:r>
          </w:p>
        </w:tc>
        <w:tc>
          <w:tcPr>
            <w:tcW w:w="978" w:type="dxa"/>
            <w:vAlign w:val="center"/>
          </w:tcPr>
          <w:p w14:paraId="3BFC0DFA">
            <w:pPr>
              <w:jc w:val="center"/>
              <w:rPr>
                <w:rFonts w:ascii="Times New Roman" w:hAnsi="Times New Roman" w:eastAsia="宋体" w:cs="Times New Roman"/>
                <w:szCs w:val="24"/>
              </w:rPr>
            </w:pPr>
            <w:r>
              <w:rPr>
                <w:rFonts w:ascii="Times New Roman" w:hAnsi="Times New Roman" w:eastAsia="宋体" w:cs="Times New Roman"/>
                <w:color w:val="000000"/>
                <w:szCs w:val="21"/>
              </w:rPr>
              <w:t>2-3</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、6</w:t>
            </w:r>
            <w:r>
              <w:rPr>
                <w:rFonts w:ascii="Times New Roman" w:hAnsi="Times New Roman" w:eastAsia="宋体" w:cs="Times New Roman"/>
                <w:color w:val="000000"/>
                <w:szCs w:val="21"/>
              </w:rPr>
              <w:t>-2</w:t>
            </w:r>
          </w:p>
        </w:tc>
      </w:tr>
      <w:tr w14:paraId="1A6F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030" w:type="dxa"/>
            <w:tcMar>
              <w:left w:w="57" w:type="dxa"/>
              <w:right w:w="57" w:type="dxa"/>
            </w:tcMar>
            <w:vAlign w:val="center"/>
          </w:tcPr>
          <w:p w14:paraId="2CCEE7C2">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5456A58B">
            <w:pPr>
              <w:jc w:val="center"/>
              <w:rPr>
                <w:rFonts w:ascii="Times New Roman" w:hAnsi="Times New Roman" w:eastAsia="宋体" w:cs="Times New Roman"/>
                <w:szCs w:val="24"/>
              </w:rPr>
            </w:pPr>
          </w:p>
        </w:tc>
        <w:tc>
          <w:tcPr>
            <w:tcW w:w="984" w:type="dxa"/>
            <w:vAlign w:val="center"/>
          </w:tcPr>
          <w:p w14:paraId="205336F9">
            <w:pPr>
              <w:jc w:val="center"/>
              <w:rPr>
                <w:rFonts w:ascii="Times New Roman" w:hAnsi="Times New Roman" w:eastAsia="宋体" w:cs="Times New Roman"/>
                <w:szCs w:val="24"/>
              </w:rPr>
            </w:pPr>
            <w:r>
              <w:rPr>
                <w:rFonts w:ascii="Times New Roman" w:hAnsi="Times New Roman" w:eastAsia="宋体" w:cs="Times New Roman"/>
                <w:szCs w:val="24"/>
              </w:rPr>
              <w:t>期末考试</w:t>
            </w:r>
          </w:p>
          <w:p w14:paraId="48D8956F">
            <w:pPr>
              <w:jc w:val="center"/>
              <w:rPr>
                <w:rFonts w:ascii="Times New Roman" w:hAnsi="Times New Roman" w:eastAsia="宋体" w:cs="Times New Roman"/>
                <w:szCs w:val="24"/>
              </w:rPr>
            </w:pPr>
            <w:r>
              <w:rPr>
                <w:rFonts w:hint="eastAsia" w:ascii="Times New Roman" w:hAnsi="Times New Roman" w:eastAsia="宋体" w:cs="Times New Roman"/>
                <w:szCs w:val="24"/>
              </w:rPr>
              <w:t>卷面</w:t>
            </w:r>
            <w:r>
              <w:rPr>
                <w:rFonts w:ascii="Times New Roman" w:hAnsi="Times New Roman" w:eastAsia="宋体" w:cs="Times New Roman"/>
                <w:szCs w:val="24"/>
              </w:rPr>
              <w:t>成绩</w:t>
            </w:r>
          </w:p>
        </w:tc>
        <w:tc>
          <w:tcPr>
            <w:tcW w:w="675" w:type="dxa"/>
            <w:vAlign w:val="center"/>
          </w:tcPr>
          <w:p w14:paraId="01839B04">
            <w:pPr>
              <w:jc w:val="center"/>
              <w:rPr>
                <w:rFonts w:ascii="Times New Roman" w:hAnsi="Times New Roman" w:eastAsia="宋体" w:cs="Times New Roman"/>
                <w:szCs w:val="24"/>
              </w:rPr>
            </w:pPr>
            <w:r>
              <w:rPr>
                <w:rFonts w:hint="eastAsia" w:ascii="Times New Roman" w:hAnsi="Times New Roman" w:eastAsia="宋体" w:cs="Times New Roman"/>
                <w:szCs w:val="24"/>
              </w:rPr>
              <w:t>50</w:t>
            </w:r>
            <w:r>
              <w:rPr>
                <w:rFonts w:ascii="Times New Roman" w:hAnsi="Times New Roman" w:eastAsia="宋体" w:cs="Times New Roman"/>
                <w:szCs w:val="24"/>
              </w:rPr>
              <w:t>%</w:t>
            </w:r>
          </w:p>
        </w:tc>
        <w:tc>
          <w:tcPr>
            <w:tcW w:w="2693" w:type="dxa"/>
            <w:vAlign w:val="center"/>
          </w:tcPr>
          <w:p w14:paraId="0736052E">
            <w:pPr>
              <w:rPr>
                <w:rFonts w:ascii="Times New Roman" w:hAnsi="Times New Roman" w:eastAsia="宋体" w:cs="Times New Roman"/>
                <w:color w:val="000000"/>
                <w:szCs w:val="21"/>
              </w:rPr>
            </w:pPr>
            <w:r>
              <w:rPr>
                <w:rFonts w:ascii="Times New Roman" w:hAnsi="Times New Roman" w:eastAsia="宋体" w:cs="Times New Roman"/>
                <w:color w:val="000000"/>
                <w:szCs w:val="21"/>
              </w:rPr>
              <w:t>试卷题型</w:t>
            </w:r>
            <w:r>
              <w:rPr>
                <w:rFonts w:hint="eastAsia" w:ascii="Times New Roman" w:hAnsi="Times New Roman" w:eastAsia="宋体" w:cs="Times New Roman"/>
                <w:color w:val="000000"/>
                <w:szCs w:val="21"/>
              </w:rPr>
              <w:t>是论述题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50</w:t>
            </w:r>
            <w:r>
              <w:rPr>
                <w:rFonts w:ascii="Times New Roman" w:hAnsi="Times New Roman" w:eastAsia="宋体" w:cs="Times New Roman"/>
                <w:color w:val="000000"/>
                <w:szCs w:val="21"/>
              </w:rPr>
              <w:t>%计入课程总成绩。</w:t>
            </w:r>
          </w:p>
        </w:tc>
        <w:tc>
          <w:tcPr>
            <w:tcW w:w="1248" w:type="dxa"/>
          </w:tcPr>
          <w:p w14:paraId="5CEA0DC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课程目标1</w:t>
            </w:r>
          </w:p>
          <w:p w14:paraId="4F6CC3DA">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课程目标2</w:t>
            </w:r>
          </w:p>
          <w:p w14:paraId="072361E2">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课程目标3</w:t>
            </w:r>
          </w:p>
          <w:p w14:paraId="53A680F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课程目标4</w:t>
            </w:r>
          </w:p>
        </w:tc>
        <w:tc>
          <w:tcPr>
            <w:tcW w:w="1398" w:type="dxa"/>
          </w:tcPr>
          <w:p w14:paraId="5DF50E48">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对科学的知识、原理和方法的综合运用能力，运用科学方法解决问题并具备学科育人能力 </w:t>
            </w:r>
            <w:r>
              <w:rPr>
                <w:rFonts w:ascii="Times New Roman" w:hAnsi="Times New Roman" w:eastAsia="宋体" w:cs="Times New Roman"/>
                <w:color w:val="000000"/>
                <w:szCs w:val="21"/>
              </w:rPr>
              <w:t xml:space="preserve"> </w:t>
            </w:r>
          </w:p>
        </w:tc>
        <w:tc>
          <w:tcPr>
            <w:tcW w:w="978" w:type="dxa"/>
            <w:vAlign w:val="center"/>
          </w:tcPr>
          <w:p w14:paraId="5909873F">
            <w:pPr>
              <w:jc w:val="center"/>
              <w:rPr>
                <w:rFonts w:ascii="Times New Roman" w:hAnsi="Times New Roman" w:eastAsia="宋体" w:cs="Times New Roman"/>
                <w:szCs w:val="24"/>
              </w:rPr>
            </w:pPr>
            <w:r>
              <w:rPr>
                <w:rFonts w:hint="eastAsia" w:ascii="Times New Roman" w:hAnsi="Times New Roman" w:eastAsia="宋体" w:cs="Times New Roman"/>
                <w:color w:val="000000"/>
                <w:szCs w:val="21"/>
              </w:rPr>
              <w:t>2-3、3-1、3-3、6-2</w:t>
            </w:r>
          </w:p>
        </w:tc>
      </w:tr>
    </w:tbl>
    <w:p w14:paraId="4ABF7659">
      <w:pPr>
        <w:spacing w:line="360" w:lineRule="auto"/>
        <w:rPr>
          <w:rFonts w:hint="eastAsia" w:ascii="宋体" w:hAnsi="宋体" w:eastAsia="宋体" w:cs="Times New Roman"/>
          <w:color w:val="FF0000"/>
          <w:sz w:val="24"/>
        </w:rPr>
      </w:pPr>
    </w:p>
    <w:p w14:paraId="43351481">
      <w:pPr>
        <w:spacing w:line="360" w:lineRule="auto"/>
        <w:rPr>
          <w:rFonts w:hint="eastAsia"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p w14:paraId="33598381">
      <w:pPr>
        <w:spacing w:line="360" w:lineRule="auto"/>
        <w:rPr>
          <w:rFonts w:hint="eastAsia" w:ascii="宋体" w:hAnsi="宋体" w:eastAsia="宋体" w:cs="Times New Roman"/>
          <w:sz w:val="24"/>
        </w:rPr>
      </w:pPr>
    </w:p>
    <w:tbl>
      <w:tblPr>
        <w:tblStyle w:val="30"/>
        <w:tblW w:w="6673" w:type="dxa"/>
        <w:jc w:val="center"/>
        <w:tblLayout w:type="autofit"/>
        <w:tblCellMar>
          <w:top w:w="0" w:type="dxa"/>
          <w:left w:w="108" w:type="dxa"/>
          <w:bottom w:w="0" w:type="dxa"/>
          <w:right w:w="108" w:type="dxa"/>
        </w:tblCellMar>
      </w:tblPr>
      <w:tblGrid>
        <w:gridCol w:w="1112"/>
        <w:gridCol w:w="1112"/>
        <w:gridCol w:w="1315"/>
        <w:gridCol w:w="987"/>
        <w:gridCol w:w="2147"/>
      </w:tblGrid>
      <w:tr w14:paraId="692A9D4B">
        <w:tblPrEx>
          <w:tblCellMar>
            <w:top w:w="0" w:type="dxa"/>
            <w:left w:w="108" w:type="dxa"/>
            <w:bottom w:w="0" w:type="dxa"/>
            <w:right w:w="108" w:type="dxa"/>
          </w:tblCellMar>
        </w:tblPrEx>
        <w:trPr>
          <w:trHeight w:val="276" w:hRule="atLeast"/>
          <w:jc w:val="center"/>
        </w:trPr>
        <w:tc>
          <w:tcPr>
            <w:tcW w:w="22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56BDD3">
            <w:pPr>
              <w:widowControl/>
              <w:jc w:val="center"/>
              <w:rPr>
                <w:rFonts w:hint="eastAsia" w:ascii="宋体" w:hAnsi="宋体" w:cs="宋体"/>
                <w:color w:val="000000"/>
                <w:kern w:val="0"/>
                <w:szCs w:val="21"/>
              </w:rPr>
            </w:pPr>
            <w:r>
              <w:rPr>
                <w:rFonts w:hint="eastAsia" w:ascii="宋体" w:hAnsi="宋体" w:cs="宋体"/>
                <w:color w:val="000000"/>
                <w:kern w:val="0"/>
                <w:szCs w:val="21"/>
              </w:rPr>
              <w:t>课程目标及权重</w:t>
            </w:r>
          </w:p>
        </w:tc>
        <w:tc>
          <w:tcPr>
            <w:tcW w:w="4449" w:type="dxa"/>
            <w:gridSpan w:val="3"/>
            <w:tcBorders>
              <w:top w:val="single" w:color="auto" w:sz="4" w:space="0"/>
              <w:left w:val="nil"/>
              <w:bottom w:val="single" w:color="auto" w:sz="4" w:space="0"/>
              <w:right w:val="single" w:color="auto" w:sz="4" w:space="0"/>
            </w:tcBorders>
            <w:shd w:val="clear" w:color="auto" w:fill="auto"/>
            <w:vAlign w:val="center"/>
          </w:tcPr>
          <w:p w14:paraId="7BD594C4">
            <w:pPr>
              <w:widowControl/>
              <w:jc w:val="center"/>
              <w:rPr>
                <w:rFonts w:hint="eastAsia" w:ascii="宋体" w:hAnsi="宋体" w:cs="宋体"/>
                <w:color w:val="000000"/>
                <w:kern w:val="0"/>
                <w:szCs w:val="21"/>
              </w:rPr>
            </w:pPr>
            <w:r>
              <w:rPr>
                <w:rFonts w:hint="eastAsia" w:ascii="宋体" w:hAnsi="宋体" w:cs="宋体"/>
                <w:color w:val="000000"/>
                <w:kern w:val="0"/>
                <w:szCs w:val="21"/>
              </w:rPr>
              <w:t>考核方式及权重</w:t>
            </w:r>
          </w:p>
        </w:tc>
      </w:tr>
      <w:tr w14:paraId="0EA779C5">
        <w:tblPrEx>
          <w:tblCellMar>
            <w:top w:w="0" w:type="dxa"/>
            <w:left w:w="108" w:type="dxa"/>
            <w:bottom w:w="0" w:type="dxa"/>
            <w:right w:w="108" w:type="dxa"/>
          </w:tblCellMar>
        </w:tblPrEx>
        <w:trPr>
          <w:trHeight w:val="524"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14:paraId="114E4305">
            <w:pPr>
              <w:widowControl/>
              <w:jc w:val="center"/>
              <w:rPr>
                <w:rFonts w:hint="eastAsia" w:ascii="宋体" w:hAnsi="宋体" w:cs="宋体"/>
                <w:color w:val="000000"/>
                <w:kern w:val="0"/>
                <w:szCs w:val="21"/>
              </w:rPr>
            </w:pPr>
            <w:r>
              <w:rPr>
                <w:rFonts w:hint="eastAsia" w:ascii="宋体" w:hAnsi="宋体" w:cs="宋体"/>
                <w:color w:val="000000"/>
                <w:kern w:val="0"/>
                <w:szCs w:val="21"/>
              </w:rPr>
              <w:t>项目</w:t>
            </w:r>
          </w:p>
        </w:tc>
        <w:tc>
          <w:tcPr>
            <w:tcW w:w="1112" w:type="dxa"/>
            <w:tcBorders>
              <w:top w:val="nil"/>
              <w:left w:val="nil"/>
              <w:bottom w:val="single" w:color="auto" w:sz="4" w:space="0"/>
              <w:right w:val="single" w:color="auto" w:sz="4" w:space="0"/>
            </w:tcBorders>
            <w:shd w:val="clear" w:color="auto" w:fill="auto"/>
            <w:vAlign w:val="center"/>
          </w:tcPr>
          <w:p w14:paraId="0AED42D7">
            <w:pPr>
              <w:widowControl/>
              <w:jc w:val="center"/>
              <w:rPr>
                <w:rFonts w:hint="eastAsia" w:ascii="宋体" w:hAnsi="宋体" w:cs="宋体"/>
                <w:color w:val="000000"/>
                <w:kern w:val="0"/>
                <w:szCs w:val="21"/>
              </w:rPr>
            </w:pPr>
            <w:r>
              <w:rPr>
                <w:rFonts w:hint="eastAsia" w:ascii="宋体" w:hAnsi="宋体" w:cs="宋体"/>
                <w:color w:val="000000"/>
                <w:kern w:val="0"/>
                <w:szCs w:val="21"/>
              </w:rPr>
              <w:t>权重（a）</w:t>
            </w:r>
          </w:p>
        </w:tc>
        <w:tc>
          <w:tcPr>
            <w:tcW w:w="1315" w:type="dxa"/>
            <w:tcBorders>
              <w:top w:val="nil"/>
              <w:left w:val="nil"/>
              <w:bottom w:val="single" w:color="auto" w:sz="4" w:space="0"/>
              <w:right w:val="single" w:color="auto" w:sz="4" w:space="0"/>
            </w:tcBorders>
            <w:shd w:val="clear" w:color="auto" w:fill="auto"/>
            <w:vAlign w:val="center"/>
          </w:tcPr>
          <w:p w14:paraId="35CBB545">
            <w:pPr>
              <w:widowControl/>
              <w:jc w:val="center"/>
              <w:rPr>
                <w:rFonts w:hint="eastAsia" w:ascii="宋体" w:hAnsi="宋体" w:cs="宋体"/>
                <w:color w:val="000000"/>
                <w:kern w:val="0"/>
                <w:szCs w:val="21"/>
              </w:rPr>
            </w:pPr>
            <w:r>
              <w:rPr>
                <w:rFonts w:hint="eastAsia" w:ascii="宋体" w:hAnsi="宋体" w:cs="宋体"/>
                <w:color w:val="000000"/>
                <w:kern w:val="0"/>
                <w:szCs w:val="21"/>
              </w:rPr>
              <w:t>评价依据</w:t>
            </w:r>
          </w:p>
        </w:tc>
        <w:tc>
          <w:tcPr>
            <w:tcW w:w="987" w:type="dxa"/>
            <w:tcBorders>
              <w:top w:val="nil"/>
              <w:left w:val="nil"/>
              <w:bottom w:val="single" w:color="auto" w:sz="4" w:space="0"/>
              <w:right w:val="single" w:color="auto" w:sz="4" w:space="0"/>
            </w:tcBorders>
            <w:shd w:val="clear" w:color="auto" w:fill="auto"/>
            <w:vAlign w:val="center"/>
          </w:tcPr>
          <w:p w14:paraId="3EB3EEF5">
            <w:pPr>
              <w:widowControl/>
              <w:jc w:val="center"/>
              <w:rPr>
                <w:rFonts w:hint="eastAsia" w:ascii="宋体" w:hAnsi="宋体" w:cs="宋体"/>
                <w:color w:val="000000"/>
                <w:kern w:val="0"/>
                <w:szCs w:val="21"/>
              </w:rPr>
            </w:pPr>
            <w:r>
              <w:rPr>
                <w:rFonts w:hint="eastAsia" w:ascii="宋体" w:hAnsi="宋体" w:cs="宋体"/>
                <w:color w:val="000000"/>
                <w:kern w:val="0"/>
                <w:szCs w:val="21"/>
              </w:rPr>
              <w:t>权重（b）</w:t>
            </w:r>
          </w:p>
        </w:tc>
        <w:tc>
          <w:tcPr>
            <w:tcW w:w="2147" w:type="dxa"/>
            <w:tcBorders>
              <w:top w:val="nil"/>
              <w:left w:val="nil"/>
              <w:bottom w:val="single" w:color="auto" w:sz="4" w:space="0"/>
              <w:right w:val="single" w:color="auto" w:sz="4" w:space="0"/>
            </w:tcBorders>
            <w:shd w:val="clear" w:color="auto" w:fill="auto"/>
            <w:vAlign w:val="center"/>
          </w:tcPr>
          <w:p w14:paraId="7CFF485B">
            <w:pPr>
              <w:widowControl/>
              <w:rPr>
                <w:rFonts w:hint="eastAsia" w:ascii="宋体" w:hAnsi="宋体" w:cs="宋体"/>
                <w:color w:val="000000"/>
                <w:kern w:val="0"/>
                <w:szCs w:val="21"/>
              </w:rPr>
            </w:pPr>
            <w:r>
              <w:rPr>
                <w:rFonts w:hint="eastAsia" w:ascii="宋体" w:hAnsi="宋体" w:cs="宋体"/>
                <w:color w:val="000000"/>
                <w:kern w:val="0"/>
                <w:szCs w:val="21"/>
              </w:rPr>
              <w:t>考核方式权重合计</w:t>
            </w:r>
          </w:p>
        </w:tc>
      </w:tr>
      <w:tr w14:paraId="440C5354">
        <w:tblPrEx>
          <w:tblCellMar>
            <w:top w:w="0" w:type="dxa"/>
            <w:left w:w="108" w:type="dxa"/>
            <w:bottom w:w="0" w:type="dxa"/>
            <w:right w:w="108" w:type="dxa"/>
          </w:tblCellMar>
        </w:tblPrEx>
        <w:trPr>
          <w:trHeight w:val="276" w:hRule="atLeast"/>
          <w:jc w:val="center"/>
        </w:trPr>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3022C4A6">
            <w:pPr>
              <w:widowControl/>
              <w:jc w:val="center"/>
              <w:rPr>
                <w:rFonts w:hint="eastAsia" w:ascii="宋体" w:hAnsi="宋体" w:cs="宋体"/>
                <w:color w:val="000000"/>
                <w:kern w:val="0"/>
                <w:szCs w:val="21"/>
              </w:rPr>
            </w:pPr>
            <w:r>
              <w:rPr>
                <w:rFonts w:hint="eastAsia" w:ascii="宋体" w:hAnsi="宋体" w:cs="宋体"/>
                <w:color w:val="000000"/>
                <w:kern w:val="0"/>
                <w:szCs w:val="21"/>
              </w:rPr>
              <w:t>课程目标1</w:t>
            </w:r>
          </w:p>
        </w:tc>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4C586C09">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20% </w:t>
            </w:r>
          </w:p>
        </w:tc>
        <w:tc>
          <w:tcPr>
            <w:tcW w:w="1315" w:type="dxa"/>
            <w:tcBorders>
              <w:top w:val="nil"/>
              <w:left w:val="nil"/>
              <w:bottom w:val="single" w:color="auto" w:sz="4" w:space="0"/>
              <w:right w:val="single" w:color="auto" w:sz="4" w:space="0"/>
            </w:tcBorders>
            <w:shd w:val="clear" w:color="auto" w:fill="auto"/>
            <w:vAlign w:val="center"/>
          </w:tcPr>
          <w:p w14:paraId="52184D06">
            <w:pPr>
              <w:widowControl/>
              <w:jc w:val="center"/>
              <w:rPr>
                <w:rFonts w:hint="eastAsia" w:ascii="宋体" w:hAnsi="宋体" w:cs="宋体"/>
                <w:color w:val="000000"/>
                <w:kern w:val="0"/>
                <w:szCs w:val="21"/>
              </w:rPr>
            </w:pPr>
            <w:r>
              <w:rPr>
                <w:rFonts w:hint="eastAsia" w:ascii="宋体" w:hAnsi="宋体" w:cs="宋体"/>
                <w:color w:val="000000"/>
                <w:kern w:val="0"/>
                <w:szCs w:val="21"/>
              </w:rPr>
              <w:t>考试</w:t>
            </w:r>
          </w:p>
        </w:tc>
        <w:tc>
          <w:tcPr>
            <w:tcW w:w="987" w:type="dxa"/>
            <w:tcBorders>
              <w:top w:val="nil"/>
              <w:left w:val="nil"/>
              <w:bottom w:val="single" w:color="auto" w:sz="4" w:space="0"/>
              <w:right w:val="single" w:color="auto" w:sz="4" w:space="0"/>
            </w:tcBorders>
            <w:shd w:val="clear" w:color="auto" w:fill="auto"/>
            <w:vAlign w:val="center"/>
          </w:tcPr>
          <w:p w14:paraId="0CE025BF">
            <w:pPr>
              <w:widowControl/>
              <w:jc w:val="center"/>
              <w:rPr>
                <w:rFonts w:hint="eastAsia" w:ascii="宋体" w:hAnsi="宋体" w:cs="宋体"/>
                <w:color w:val="000000"/>
                <w:kern w:val="0"/>
                <w:szCs w:val="21"/>
              </w:rPr>
            </w:pPr>
            <w:r>
              <w:rPr>
                <w:rFonts w:hint="eastAsia" w:ascii="宋体" w:hAnsi="宋体" w:cs="宋体"/>
                <w:color w:val="000000"/>
                <w:kern w:val="0"/>
                <w:szCs w:val="21"/>
              </w:rPr>
              <w:t>60%</w:t>
            </w:r>
          </w:p>
        </w:tc>
        <w:tc>
          <w:tcPr>
            <w:tcW w:w="2147" w:type="dxa"/>
            <w:vMerge w:val="restart"/>
            <w:tcBorders>
              <w:top w:val="nil"/>
              <w:left w:val="single" w:color="auto" w:sz="4" w:space="0"/>
              <w:bottom w:val="single" w:color="auto" w:sz="4" w:space="0"/>
              <w:right w:val="single" w:color="auto" w:sz="4" w:space="0"/>
            </w:tcBorders>
            <w:shd w:val="clear" w:color="auto" w:fill="auto"/>
            <w:vAlign w:val="center"/>
          </w:tcPr>
          <w:p w14:paraId="0D2E6C54">
            <w:pPr>
              <w:widowControl/>
              <w:jc w:val="center"/>
              <w:rPr>
                <w:rFonts w:hint="eastAsia" w:ascii="宋体" w:hAnsi="宋体" w:cs="宋体"/>
                <w:color w:val="000000"/>
                <w:kern w:val="0"/>
                <w:szCs w:val="21"/>
              </w:rPr>
            </w:pPr>
            <w:r>
              <w:rPr>
                <w:rFonts w:hint="eastAsia" w:ascii="宋体" w:hAnsi="宋体" w:cs="宋体"/>
                <w:color w:val="000000"/>
                <w:kern w:val="0"/>
                <w:szCs w:val="21"/>
              </w:rPr>
              <w:t>100%</w:t>
            </w:r>
          </w:p>
        </w:tc>
      </w:tr>
      <w:tr w14:paraId="7FDFC50F">
        <w:tblPrEx>
          <w:tblCellMar>
            <w:top w:w="0" w:type="dxa"/>
            <w:left w:w="108" w:type="dxa"/>
            <w:bottom w:w="0" w:type="dxa"/>
            <w:right w:w="108" w:type="dxa"/>
          </w:tblCellMar>
        </w:tblPrEx>
        <w:trPr>
          <w:trHeight w:val="276" w:hRule="atLeast"/>
          <w:jc w:val="center"/>
        </w:trPr>
        <w:tc>
          <w:tcPr>
            <w:tcW w:w="1112" w:type="dxa"/>
            <w:vMerge w:val="continue"/>
            <w:tcBorders>
              <w:top w:val="nil"/>
              <w:left w:val="single" w:color="auto" w:sz="4" w:space="0"/>
              <w:bottom w:val="single" w:color="auto" w:sz="4" w:space="0"/>
              <w:right w:val="single" w:color="auto" w:sz="4" w:space="0"/>
            </w:tcBorders>
            <w:vAlign w:val="center"/>
          </w:tcPr>
          <w:p w14:paraId="5F263F36">
            <w:pPr>
              <w:widowControl/>
              <w:jc w:val="left"/>
              <w:rPr>
                <w:rFonts w:hint="eastAsia" w:ascii="宋体" w:hAnsi="宋体" w:cs="宋体"/>
                <w:color w:val="000000"/>
                <w:kern w:val="0"/>
                <w:szCs w:val="21"/>
              </w:rPr>
            </w:pPr>
          </w:p>
        </w:tc>
        <w:tc>
          <w:tcPr>
            <w:tcW w:w="1112" w:type="dxa"/>
            <w:vMerge w:val="continue"/>
            <w:tcBorders>
              <w:top w:val="nil"/>
              <w:left w:val="single" w:color="auto" w:sz="4" w:space="0"/>
              <w:bottom w:val="single" w:color="auto" w:sz="4" w:space="0"/>
              <w:right w:val="single" w:color="auto" w:sz="4" w:space="0"/>
            </w:tcBorders>
            <w:vAlign w:val="center"/>
          </w:tcPr>
          <w:p w14:paraId="4960AB78">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11D12873">
            <w:pPr>
              <w:widowControl/>
              <w:jc w:val="center"/>
              <w:rPr>
                <w:rFonts w:hint="eastAsia" w:ascii="宋体" w:hAnsi="宋体" w:cs="宋体"/>
                <w:color w:val="000000"/>
                <w:kern w:val="0"/>
                <w:szCs w:val="21"/>
              </w:rPr>
            </w:pPr>
            <w:r>
              <w:rPr>
                <w:rFonts w:hint="eastAsia" w:ascii="宋体" w:hAnsi="宋体" w:cs="宋体"/>
                <w:color w:val="000000"/>
                <w:kern w:val="0"/>
                <w:szCs w:val="21"/>
              </w:rPr>
              <w:t>作业1</w:t>
            </w:r>
          </w:p>
        </w:tc>
        <w:tc>
          <w:tcPr>
            <w:tcW w:w="987" w:type="dxa"/>
            <w:tcBorders>
              <w:top w:val="nil"/>
              <w:left w:val="nil"/>
              <w:bottom w:val="single" w:color="auto" w:sz="4" w:space="0"/>
              <w:right w:val="single" w:color="auto" w:sz="4" w:space="0"/>
            </w:tcBorders>
            <w:shd w:val="clear" w:color="auto" w:fill="auto"/>
            <w:vAlign w:val="center"/>
          </w:tcPr>
          <w:p w14:paraId="260B50B1">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2147" w:type="dxa"/>
            <w:vMerge w:val="continue"/>
            <w:tcBorders>
              <w:top w:val="nil"/>
              <w:left w:val="single" w:color="auto" w:sz="4" w:space="0"/>
              <w:bottom w:val="single" w:color="auto" w:sz="4" w:space="0"/>
              <w:right w:val="single" w:color="auto" w:sz="4" w:space="0"/>
            </w:tcBorders>
            <w:vAlign w:val="center"/>
          </w:tcPr>
          <w:p w14:paraId="24FAA868">
            <w:pPr>
              <w:widowControl/>
              <w:jc w:val="left"/>
              <w:rPr>
                <w:rFonts w:hint="eastAsia" w:ascii="宋体" w:hAnsi="宋体" w:cs="宋体"/>
                <w:color w:val="000000"/>
                <w:kern w:val="0"/>
                <w:szCs w:val="21"/>
              </w:rPr>
            </w:pPr>
          </w:p>
        </w:tc>
      </w:tr>
      <w:tr w14:paraId="7BE310B3">
        <w:tblPrEx>
          <w:tblCellMar>
            <w:top w:w="0" w:type="dxa"/>
            <w:left w:w="108" w:type="dxa"/>
            <w:bottom w:w="0" w:type="dxa"/>
            <w:right w:w="108" w:type="dxa"/>
          </w:tblCellMar>
        </w:tblPrEx>
        <w:trPr>
          <w:trHeight w:val="276" w:hRule="atLeast"/>
          <w:jc w:val="center"/>
        </w:trPr>
        <w:tc>
          <w:tcPr>
            <w:tcW w:w="1112" w:type="dxa"/>
            <w:vMerge w:val="continue"/>
            <w:tcBorders>
              <w:top w:val="nil"/>
              <w:left w:val="single" w:color="auto" w:sz="4" w:space="0"/>
              <w:bottom w:val="single" w:color="auto" w:sz="4" w:space="0"/>
              <w:right w:val="single" w:color="auto" w:sz="4" w:space="0"/>
            </w:tcBorders>
            <w:vAlign w:val="center"/>
          </w:tcPr>
          <w:p w14:paraId="65E7DC1A">
            <w:pPr>
              <w:widowControl/>
              <w:jc w:val="left"/>
              <w:rPr>
                <w:rFonts w:hint="eastAsia" w:ascii="宋体" w:hAnsi="宋体" w:cs="宋体"/>
                <w:color w:val="000000"/>
                <w:kern w:val="0"/>
                <w:szCs w:val="21"/>
              </w:rPr>
            </w:pPr>
          </w:p>
        </w:tc>
        <w:tc>
          <w:tcPr>
            <w:tcW w:w="1112" w:type="dxa"/>
            <w:vMerge w:val="continue"/>
            <w:tcBorders>
              <w:top w:val="nil"/>
              <w:left w:val="single" w:color="auto" w:sz="4" w:space="0"/>
              <w:bottom w:val="single" w:color="auto" w:sz="4" w:space="0"/>
              <w:right w:val="single" w:color="auto" w:sz="4" w:space="0"/>
            </w:tcBorders>
            <w:vAlign w:val="center"/>
          </w:tcPr>
          <w:p w14:paraId="49B5E5B0">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6164FFAC">
            <w:pPr>
              <w:widowControl/>
              <w:jc w:val="center"/>
              <w:rPr>
                <w:rFonts w:hint="eastAsia" w:ascii="宋体" w:hAnsi="宋体" w:cs="宋体"/>
                <w:color w:val="000000"/>
                <w:kern w:val="0"/>
                <w:szCs w:val="21"/>
              </w:rPr>
            </w:pPr>
            <w:r>
              <w:rPr>
                <w:rFonts w:hint="eastAsia" w:ascii="宋体" w:hAnsi="宋体" w:cs="宋体"/>
                <w:color w:val="000000"/>
                <w:kern w:val="0"/>
                <w:szCs w:val="21"/>
              </w:rPr>
              <w:t>小组作业2</w:t>
            </w:r>
          </w:p>
        </w:tc>
        <w:tc>
          <w:tcPr>
            <w:tcW w:w="987" w:type="dxa"/>
            <w:tcBorders>
              <w:top w:val="nil"/>
              <w:left w:val="nil"/>
              <w:bottom w:val="single" w:color="auto" w:sz="4" w:space="0"/>
              <w:right w:val="single" w:color="auto" w:sz="4" w:space="0"/>
            </w:tcBorders>
            <w:shd w:val="clear" w:color="auto" w:fill="auto"/>
            <w:vAlign w:val="center"/>
          </w:tcPr>
          <w:p w14:paraId="31FB3BB8">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2147" w:type="dxa"/>
            <w:vMerge w:val="continue"/>
            <w:tcBorders>
              <w:top w:val="nil"/>
              <w:left w:val="single" w:color="auto" w:sz="4" w:space="0"/>
              <w:bottom w:val="single" w:color="auto" w:sz="4" w:space="0"/>
              <w:right w:val="single" w:color="auto" w:sz="4" w:space="0"/>
            </w:tcBorders>
            <w:vAlign w:val="center"/>
          </w:tcPr>
          <w:p w14:paraId="5FB79EAA">
            <w:pPr>
              <w:widowControl/>
              <w:jc w:val="left"/>
              <w:rPr>
                <w:rFonts w:hint="eastAsia" w:ascii="宋体" w:hAnsi="宋体" w:cs="宋体"/>
                <w:color w:val="000000"/>
                <w:kern w:val="0"/>
                <w:szCs w:val="21"/>
              </w:rPr>
            </w:pPr>
          </w:p>
        </w:tc>
      </w:tr>
      <w:tr w14:paraId="5B570452">
        <w:tblPrEx>
          <w:tblCellMar>
            <w:top w:w="0" w:type="dxa"/>
            <w:left w:w="108" w:type="dxa"/>
            <w:bottom w:w="0" w:type="dxa"/>
            <w:right w:w="108" w:type="dxa"/>
          </w:tblCellMar>
        </w:tblPrEx>
        <w:trPr>
          <w:trHeight w:val="276" w:hRule="atLeast"/>
          <w:jc w:val="center"/>
        </w:trPr>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62273D4E">
            <w:pPr>
              <w:widowControl/>
              <w:jc w:val="center"/>
              <w:rPr>
                <w:rFonts w:hint="eastAsia" w:ascii="宋体" w:hAnsi="宋体" w:cs="宋体"/>
                <w:color w:val="000000"/>
                <w:kern w:val="0"/>
                <w:szCs w:val="21"/>
              </w:rPr>
            </w:pPr>
            <w:r>
              <w:rPr>
                <w:rFonts w:hint="eastAsia" w:ascii="宋体" w:hAnsi="宋体" w:cs="宋体"/>
                <w:color w:val="000000"/>
                <w:kern w:val="0"/>
                <w:szCs w:val="21"/>
              </w:rPr>
              <w:t>课程目标2</w:t>
            </w:r>
          </w:p>
        </w:tc>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20435F06">
            <w:pPr>
              <w:widowControl/>
              <w:jc w:val="center"/>
              <w:rPr>
                <w:rFonts w:hint="eastAsia" w:ascii="宋体" w:hAnsi="宋体" w:cs="宋体"/>
                <w:color w:val="000000"/>
                <w:kern w:val="0"/>
                <w:szCs w:val="21"/>
              </w:rPr>
            </w:pPr>
            <w:r>
              <w:rPr>
                <w:rFonts w:hint="eastAsia" w:ascii="宋体" w:hAnsi="宋体" w:cs="宋体"/>
                <w:color w:val="000000"/>
                <w:kern w:val="0"/>
                <w:szCs w:val="21"/>
              </w:rPr>
              <w:t>30%</w:t>
            </w:r>
          </w:p>
        </w:tc>
        <w:tc>
          <w:tcPr>
            <w:tcW w:w="1315" w:type="dxa"/>
            <w:tcBorders>
              <w:top w:val="nil"/>
              <w:left w:val="nil"/>
              <w:bottom w:val="single" w:color="auto" w:sz="4" w:space="0"/>
              <w:right w:val="single" w:color="auto" w:sz="4" w:space="0"/>
            </w:tcBorders>
            <w:shd w:val="clear" w:color="auto" w:fill="auto"/>
            <w:vAlign w:val="center"/>
          </w:tcPr>
          <w:p w14:paraId="5E35F215">
            <w:pPr>
              <w:widowControl/>
              <w:jc w:val="center"/>
              <w:rPr>
                <w:rFonts w:hint="eastAsia" w:ascii="宋体" w:hAnsi="宋体" w:cs="宋体"/>
                <w:color w:val="000000"/>
                <w:kern w:val="0"/>
                <w:szCs w:val="21"/>
              </w:rPr>
            </w:pPr>
            <w:r>
              <w:rPr>
                <w:rFonts w:hint="eastAsia" w:ascii="宋体" w:hAnsi="宋体" w:cs="宋体"/>
                <w:color w:val="000000"/>
                <w:kern w:val="0"/>
                <w:szCs w:val="21"/>
              </w:rPr>
              <w:t>考试</w:t>
            </w:r>
          </w:p>
        </w:tc>
        <w:tc>
          <w:tcPr>
            <w:tcW w:w="987" w:type="dxa"/>
            <w:tcBorders>
              <w:top w:val="nil"/>
              <w:left w:val="nil"/>
              <w:bottom w:val="single" w:color="auto" w:sz="4" w:space="0"/>
              <w:right w:val="single" w:color="auto" w:sz="4" w:space="0"/>
            </w:tcBorders>
            <w:shd w:val="clear" w:color="auto" w:fill="auto"/>
            <w:vAlign w:val="center"/>
          </w:tcPr>
          <w:p w14:paraId="5F80062A">
            <w:pPr>
              <w:widowControl/>
              <w:jc w:val="center"/>
              <w:rPr>
                <w:rFonts w:hint="eastAsia" w:ascii="宋体" w:hAnsi="宋体" w:cs="宋体"/>
                <w:color w:val="000000"/>
                <w:kern w:val="0"/>
                <w:szCs w:val="21"/>
              </w:rPr>
            </w:pPr>
            <w:r>
              <w:rPr>
                <w:rFonts w:ascii="宋体" w:hAnsi="宋体" w:cs="宋体"/>
                <w:color w:val="000000"/>
                <w:kern w:val="0"/>
                <w:szCs w:val="21"/>
              </w:rPr>
              <w:t>6</w:t>
            </w:r>
            <w:r>
              <w:rPr>
                <w:rFonts w:hint="eastAsia" w:ascii="宋体" w:hAnsi="宋体" w:cs="宋体"/>
                <w:color w:val="000000"/>
                <w:kern w:val="0"/>
                <w:szCs w:val="21"/>
              </w:rPr>
              <w:t>0%</w:t>
            </w:r>
          </w:p>
        </w:tc>
        <w:tc>
          <w:tcPr>
            <w:tcW w:w="2147" w:type="dxa"/>
            <w:vMerge w:val="restart"/>
            <w:tcBorders>
              <w:top w:val="nil"/>
              <w:left w:val="single" w:color="auto" w:sz="4" w:space="0"/>
              <w:bottom w:val="single" w:color="auto" w:sz="4" w:space="0"/>
              <w:right w:val="single" w:color="auto" w:sz="4" w:space="0"/>
            </w:tcBorders>
            <w:shd w:val="clear" w:color="auto" w:fill="auto"/>
            <w:vAlign w:val="center"/>
          </w:tcPr>
          <w:p w14:paraId="16AE8400">
            <w:pPr>
              <w:widowControl/>
              <w:jc w:val="center"/>
              <w:rPr>
                <w:rFonts w:hint="eastAsia" w:ascii="宋体" w:hAnsi="宋体" w:cs="宋体"/>
                <w:color w:val="000000"/>
                <w:kern w:val="0"/>
                <w:szCs w:val="21"/>
              </w:rPr>
            </w:pPr>
            <w:r>
              <w:rPr>
                <w:rFonts w:hint="eastAsia" w:ascii="宋体" w:hAnsi="宋体" w:cs="宋体"/>
                <w:color w:val="000000"/>
                <w:kern w:val="0"/>
                <w:szCs w:val="21"/>
              </w:rPr>
              <w:t>100%</w:t>
            </w:r>
          </w:p>
        </w:tc>
      </w:tr>
      <w:tr w14:paraId="1C36B237">
        <w:tblPrEx>
          <w:tblCellMar>
            <w:top w:w="0" w:type="dxa"/>
            <w:left w:w="108" w:type="dxa"/>
            <w:bottom w:w="0" w:type="dxa"/>
            <w:right w:w="108" w:type="dxa"/>
          </w:tblCellMar>
        </w:tblPrEx>
        <w:trPr>
          <w:trHeight w:val="276" w:hRule="atLeast"/>
          <w:jc w:val="center"/>
        </w:trPr>
        <w:tc>
          <w:tcPr>
            <w:tcW w:w="1112" w:type="dxa"/>
            <w:vMerge w:val="continue"/>
            <w:tcBorders>
              <w:top w:val="nil"/>
              <w:left w:val="single" w:color="auto" w:sz="4" w:space="0"/>
              <w:bottom w:val="single" w:color="auto" w:sz="4" w:space="0"/>
              <w:right w:val="single" w:color="auto" w:sz="4" w:space="0"/>
            </w:tcBorders>
            <w:vAlign w:val="center"/>
          </w:tcPr>
          <w:p w14:paraId="087B750C">
            <w:pPr>
              <w:widowControl/>
              <w:jc w:val="left"/>
              <w:rPr>
                <w:rFonts w:hint="eastAsia" w:ascii="宋体" w:hAnsi="宋体" w:cs="宋体"/>
                <w:color w:val="000000"/>
                <w:kern w:val="0"/>
                <w:szCs w:val="21"/>
              </w:rPr>
            </w:pPr>
          </w:p>
        </w:tc>
        <w:tc>
          <w:tcPr>
            <w:tcW w:w="1112" w:type="dxa"/>
            <w:vMerge w:val="continue"/>
            <w:tcBorders>
              <w:top w:val="nil"/>
              <w:left w:val="single" w:color="auto" w:sz="4" w:space="0"/>
              <w:bottom w:val="single" w:color="auto" w:sz="4" w:space="0"/>
              <w:right w:val="single" w:color="auto" w:sz="4" w:space="0"/>
            </w:tcBorders>
            <w:vAlign w:val="center"/>
          </w:tcPr>
          <w:p w14:paraId="558EB024">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5C53B116">
            <w:pPr>
              <w:widowControl/>
              <w:jc w:val="center"/>
              <w:rPr>
                <w:rFonts w:hint="eastAsia" w:ascii="宋体" w:hAnsi="宋体" w:cs="宋体"/>
                <w:color w:val="000000"/>
                <w:kern w:val="0"/>
                <w:szCs w:val="21"/>
              </w:rPr>
            </w:pPr>
            <w:r>
              <w:rPr>
                <w:rFonts w:hint="eastAsia" w:ascii="宋体" w:hAnsi="宋体" w:cs="宋体"/>
                <w:color w:val="000000"/>
                <w:kern w:val="0"/>
                <w:szCs w:val="21"/>
              </w:rPr>
              <w:t>作业2</w:t>
            </w:r>
          </w:p>
        </w:tc>
        <w:tc>
          <w:tcPr>
            <w:tcW w:w="987" w:type="dxa"/>
            <w:tcBorders>
              <w:top w:val="nil"/>
              <w:left w:val="nil"/>
              <w:bottom w:val="single" w:color="auto" w:sz="4" w:space="0"/>
              <w:right w:val="single" w:color="auto" w:sz="4" w:space="0"/>
            </w:tcBorders>
            <w:shd w:val="clear" w:color="auto" w:fill="auto"/>
            <w:vAlign w:val="center"/>
          </w:tcPr>
          <w:p w14:paraId="29277C3D">
            <w:pPr>
              <w:widowControl/>
              <w:jc w:val="center"/>
              <w:rPr>
                <w:rFonts w:hint="eastAsia"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0%</w:t>
            </w:r>
          </w:p>
        </w:tc>
        <w:tc>
          <w:tcPr>
            <w:tcW w:w="2147" w:type="dxa"/>
            <w:vMerge w:val="continue"/>
            <w:tcBorders>
              <w:top w:val="nil"/>
              <w:left w:val="single" w:color="auto" w:sz="4" w:space="0"/>
              <w:bottom w:val="single" w:color="auto" w:sz="4" w:space="0"/>
              <w:right w:val="single" w:color="auto" w:sz="4" w:space="0"/>
            </w:tcBorders>
            <w:vAlign w:val="center"/>
          </w:tcPr>
          <w:p w14:paraId="590AC28A">
            <w:pPr>
              <w:widowControl/>
              <w:jc w:val="left"/>
              <w:rPr>
                <w:rFonts w:hint="eastAsia" w:ascii="宋体" w:hAnsi="宋体" w:cs="宋体"/>
                <w:color w:val="000000"/>
                <w:kern w:val="0"/>
                <w:szCs w:val="21"/>
              </w:rPr>
            </w:pPr>
          </w:p>
        </w:tc>
      </w:tr>
      <w:tr w14:paraId="7DBB2946">
        <w:tblPrEx>
          <w:tblCellMar>
            <w:top w:w="0" w:type="dxa"/>
            <w:left w:w="108" w:type="dxa"/>
            <w:bottom w:w="0" w:type="dxa"/>
            <w:right w:w="108" w:type="dxa"/>
          </w:tblCellMar>
        </w:tblPrEx>
        <w:trPr>
          <w:trHeight w:val="276" w:hRule="atLeast"/>
          <w:jc w:val="center"/>
        </w:trPr>
        <w:tc>
          <w:tcPr>
            <w:tcW w:w="1112" w:type="dxa"/>
            <w:vMerge w:val="continue"/>
            <w:tcBorders>
              <w:top w:val="nil"/>
              <w:left w:val="single" w:color="auto" w:sz="4" w:space="0"/>
              <w:bottom w:val="single" w:color="auto" w:sz="4" w:space="0"/>
              <w:right w:val="single" w:color="auto" w:sz="4" w:space="0"/>
            </w:tcBorders>
            <w:vAlign w:val="center"/>
          </w:tcPr>
          <w:p w14:paraId="1B999351">
            <w:pPr>
              <w:widowControl/>
              <w:jc w:val="left"/>
              <w:rPr>
                <w:rFonts w:hint="eastAsia" w:ascii="宋体" w:hAnsi="宋体" w:cs="宋体"/>
                <w:color w:val="000000"/>
                <w:kern w:val="0"/>
                <w:szCs w:val="21"/>
              </w:rPr>
            </w:pPr>
          </w:p>
        </w:tc>
        <w:tc>
          <w:tcPr>
            <w:tcW w:w="1112" w:type="dxa"/>
            <w:vMerge w:val="continue"/>
            <w:tcBorders>
              <w:top w:val="nil"/>
              <w:left w:val="single" w:color="auto" w:sz="4" w:space="0"/>
              <w:bottom w:val="single" w:color="auto" w:sz="4" w:space="0"/>
              <w:right w:val="single" w:color="auto" w:sz="4" w:space="0"/>
            </w:tcBorders>
            <w:vAlign w:val="center"/>
          </w:tcPr>
          <w:p w14:paraId="4F765141">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3244340A">
            <w:pPr>
              <w:widowControl/>
              <w:jc w:val="center"/>
              <w:rPr>
                <w:rFonts w:hint="eastAsia" w:ascii="宋体" w:hAnsi="宋体" w:cs="宋体"/>
                <w:color w:val="000000"/>
                <w:kern w:val="0"/>
                <w:szCs w:val="21"/>
              </w:rPr>
            </w:pPr>
            <w:r>
              <w:rPr>
                <w:rFonts w:hint="eastAsia" w:ascii="宋体" w:hAnsi="宋体" w:cs="宋体"/>
                <w:color w:val="000000"/>
                <w:kern w:val="0"/>
                <w:szCs w:val="21"/>
              </w:rPr>
              <w:t>小组作业1</w:t>
            </w:r>
          </w:p>
        </w:tc>
        <w:tc>
          <w:tcPr>
            <w:tcW w:w="987" w:type="dxa"/>
            <w:tcBorders>
              <w:top w:val="nil"/>
              <w:left w:val="nil"/>
              <w:bottom w:val="single" w:color="auto" w:sz="4" w:space="0"/>
              <w:right w:val="single" w:color="auto" w:sz="4" w:space="0"/>
            </w:tcBorders>
            <w:shd w:val="clear" w:color="auto" w:fill="auto"/>
            <w:vAlign w:val="center"/>
          </w:tcPr>
          <w:p w14:paraId="0D28EC21">
            <w:pPr>
              <w:widowControl/>
              <w:jc w:val="center"/>
              <w:rPr>
                <w:rFonts w:hint="eastAsia"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0%</w:t>
            </w:r>
          </w:p>
        </w:tc>
        <w:tc>
          <w:tcPr>
            <w:tcW w:w="2147" w:type="dxa"/>
            <w:vMerge w:val="continue"/>
            <w:tcBorders>
              <w:top w:val="nil"/>
              <w:left w:val="single" w:color="auto" w:sz="4" w:space="0"/>
              <w:bottom w:val="single" w:color="auto" w:sz="4" w:space="0"/>
              <w:right w:val="single" w:color="auto" w:sz="4" w:space="0"/>
            </w:tcBorders>
            <w:vAlign w:val="center"/>
          </w:tcPr>
          <w:p w14:paraId="3E433658">
            <w:pPr>
              <w:widowControl/>
              <w:jc w:val="left"/>
              <w:rPr>
                <w:rFonts w:hint="eastAsia" w:ascii="宋体" w:hAnsi="宋体" w:cs="宋体"/>
                <w:color w:val="000000"/>
                <w:kern w:val="0"/>
                <w:szCs w:val="21"/>
              </w:rPr>
            </w:pPr>
          </w:p>
        </w:tc>
      </w:tr>
      <w:tr w14:paraId="0D519602">
        <w:tblPrEx>
          <w:tblCellMar>
            <w:top w:w="0" w:type="dxa"/>
            <w:left w:w="108" w:type="dxa"/>
            <w:bottom w:w="0" w:type="dxa"/>
            <w:right w:w="108" w:type="dxa"/>
          </w:tblCellMar>
        </w:tblPrEx>
        <w:trPr>
          <w:trHeight w:val="276" w:hRule="atLeast"/>
          <w:jc w:val="center"/>
        </w:trPr>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622EDA9C">
            <w:pPr>
              <w:widowControl/>
              <w:jc w:val="center"/>
              <w:rPr>
                <w:rFonts w:hint="eastAsia" w:ascii="宋体" w:hAnsi="宋体" w:cs="宋体"/>
                <w:color w:val="000000"/>
                <w:kern w:val="0"/>
                <w:szCs w:val="21"/>
              </w:rPr>
            </w:pPr>
            <w:r>
              <w:rPr>
                <w:rFonts w:hint="eastAsia" w:ascii="宋体" w:hAnsi="宋体" w:cs="宋体"/>
                <w:color w:val="000000"/>
                <w:kern w:val="0"/>
                <w:szCs w:val="21"/>
              </w:rPr>
              <w:t>课程目标3</w:t>
            </w:r>
          </w:p>
        </w:tc>
        <w:tc>
          <w:tcPr>
            <w:tcW w:w="1112" w:type="dxa"/>
            <w:vMerge w:val="restart"/>
            <w:tcBorders>
              <w:top w:val="nil"/>
              <w:left w:val="single" w:color="auto" w:sz="4" w:space="0"/>
              <w:bottom w:val="single" w:color="auto" w:sz="4" w:space="0"/>
              <w:right w:val="single" w:color="auto" w:sz="4" w:space="0"/>
            </w:tcBorders>
            <w:shd w:val="clear" w:color="auto" w:fill="auto"/>
            <w:vAlign w:val="center"/>
          </w:tcPr>
          <w:p w14:paraId="389F644A">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30% </w:t>
            </w:r>
          </w:p>
        </w:tc>
        <w:tc>
          <w:tcPr>
            <w:tcW w:w="1315" w:type="dxa"/>
            <w:tcBorders>
              <w:top w:val="nil"/>
              <w:left w:val="nil"/>
              <w:bottom w:val="single" w:color="auto" w:sz="4" w:space="0"/>
              <w:right w:val="single" w:color="auto" w:sz="4" w:space="0"/>
            </w:tcBorders>
            <w:shd w:val="clear" w:color="auto" w:fill="auto"/>
            <w:vAlign w:val="center"/>
          </w:tcPr>
          <w:p w14:paraId="73AA20C5">
            <w:pPr>
              <w:widowControl/>
              <w:jc w:val="center"/>
              <w:rPr>
                <w:rFonts w:hint="eastAsia" w:ascii="宋体" w:hAnsi="宋体" w:cs="宋体"/>
                <w:color w:val="000000"/>
                <w:kern w:val="0"/>
                <w:szCs w:val="21"/>
              </w:rPr>
            </w:pPr>
            <w:r>
              <w:rPr>
                <w:rFonts w:hint="eastAsia" w:ascii="宋体" w:hAnsi="宋体" w:cs="宋体"/>
                <w:color w:val="000000"/>
                <w:kern w:val="0"/>
                <w:szCs w:val="21"/>
              </w:rPr>
              <w:t>考试</w:t>
            </w:r>
          </w:p>
        </w:tc>
        <w:tc>
          <w:tcPr>
            <w:tcW w:w="987" w:type="dxa"/>
            <w:tcBorders>
              <w:top w:val="nil"/>
              <w:left w:val="nil"/>
              <w:bottom w:val="single" w:color="auto" w:sz="4" w:space="0"/>
              <w:right w:val="single" w:color="auto" w:sz="4" w:space="0"/>
            </w:tcBorders>
            <w:shd w:val="clear" w:color="auto" w:fill="auto"/>
            <w:vAlign w:val="center"/>
          </w:tcPr>
          <w:p w14:paraId="1C22FFCC">
            <w:pPr>
              <w:widowControl/>
              <w:jc w:val="center"/>
              <w:rPr>
                <w:rFonts w:hint="eastAsia" w:ascii="宋体" w:hAnsi="宋体" w:cs="宋体"/>
                <w:color w:val="000000"/>
                <w:kern w:val="0"/>
                <w:szCs w:val="21"/>
              </w:rPr>
            </w:pPr>
            <w:r>
              <w:rPr>
                <w:rFonts w:hint="eastAsia" w:ascii="宋体" w:hAnsi="宋体" w:cs="宋体"/>
                <w:color w:val="000000"/>
                <w:kern w:val="0"/>
                <w:szCs w:val="21"/>
              </w:rPr>
              <w:t>50%</w:t>
            </w:r>
          </w:p>
        </w:tc>
        <w:tc>
          <w:tcPr>
            <w:tcW w:w="2147" w:type="dxa"/>
            <w:vMerge w:val="restart"/>
            <w:tcBorders>
              <w:top w:val="nil"/>
              <w:left w:val="single" w:color="auto" w:sz="4" w:space="0"/>
              <w:bottom w:val="single" w:color="auto" w:sz="4" w:space="0"/>
              <w:right w:val="single" w:color="auto" w:sz="4" w:space="0"/>
            </w:tcBorders>
            <w:shd w:val="clear" w:color="auto" w:fill="auto"/>
            <w:vAlign w:val="center"/>
          </w:tcPr>
          <w:p w14:paraId="4E465819">
            <w:pPr>
              <w:widowControl/>
              <w:jc w:val="center"/>
              <w:rPr>
                <w:rFonts w:hint="eastAsia" w:ascii="宋体" w:hAnsi="宋体" w:cs="宋体"/>
                <w:color w:val="000000"/>
                <w:kern w:val="0"/>
                <w:szCs w:val="21"/>
              </w:rPr>
            </w:pPr>
            <w:r>
              <w:rPr>
                <w:rFonts w:hint="eastAsia" w:ascii="宋体" w:hAnsi="宋体" w:cs="宋体"/>
                <w:color w:val="000000"/>
                <w:kern w:val="0"/>
                <w:szCs w:val="21"/>
              </w:rPr>
              <w:t>100%</w:t>
            </w:r>
          </w:p>
        </w:tc>
      </w:tr>
      <w:tr w14:paraId="6ECF5E6C">
        <w:tblPrEx>
          <w:tblCellMar>
            <w:top w:w="0" w:type="dxa"/>
            <w:left w:w="108" w:type="dxa"/>
            <w:bottom w:w="0" w:type="dxa"/>
            <w:right w:w="108" w:type="dxa"/>
          </w:tblCellMar>
        </w:tblPrEx>
        <w:trPr>
          <w:trHeight w:val="276" w:hRule="atLeast"/>
          <w:jc w:val="center"/>
        </w:trPr>
        <w:tc>
          <w:tcPr>
            <w:tcW w:w="1112" w:type="dxa"/>
            <w:vMerge w:val="continue"/>
            <w:tcBorders>
              <w:top w:val="nil"/>
              <w:left w:val="single" w:color="auto" w:sz="4" w:space="0"/>
              <w:bottom w:val="single" w:color="auto" w:sz="4" w:space="0"/>
              <w:right w:val="single" w:color="auto" w:sz="4" w:space="0"/>
            </w:tcBorders>
            <w:vAlign w:val="center"/>
          </w:tcPr>
          <w:p w14:paraId="4CED2145">
            <w:pPr>
              <w:widowControl/>
              <w:jc w:val="left"/>
              <w:rPr>
                <w:rFonts w:hint="eastAsia" w:ascii="宋体" w:hAnsi="宋体" w:cs="宋体"/>
                <w:color w:val="000000"/>
                <w:kern w:val="0"/>
                <w:szCs w:val="21"/>
              </w:rPr>
            </w:pPr>
          </w:p>
        </w:tc>
        <w:tc>
          <w:tcPr>
            <w:tcW w:w="1112" w:type="dxa"/>
            <w:vMerge w:val="continue"/>
            <w:tcBorders>
              <w:top w:val="nil"/>
              <w:left w:val="single" w:color="auto" w:sz="4" w:space="0"/>
              <w:bottom w:val="single" w:color="auto" w:sz="4" w:space="0"/>
              <w:right w:val="single" w:color="auto" w:sz="4" w:space="0"/>
            </w:tcBorders>
            <w:vAlign w:val="center"/>
          </w:tcPr>
          <w:p w14:paraId="5843F468">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20B50F03">
            <w:pPr>
              <w:widowControl/>
              <w:jc w:val="center"/>
              <w:rPr>
                <w:rFonts w:hint="eastAsia" w:ascii="宋体" w:hAnsi="宋体" w:cs="宋体"/>
                <w:color w:val="000000"/>
                <w:kern w:val="0"/>
                <w:szCs w:val="21"/>
              </w:rPr>
            </w:pPr>
            <w:r>
              <w:rPr>
                <w:rFonts w:hint="eastAsia" w:ascii="宋体" w:hAnsi="宋体" w:cs="宋体"/>
                <w:color w:val="000000"/>
                <w:kern w:val="0"/>
                <w:szCs w:val="21"/>
              </w:rPr>
              <w:t>小组作业3</w:t>
            </w:r>
          </w:p>
        </w:tc>
        <w:tc>
          <w:tcPr>
            <w:tcW w:w="987" w:type="dxa"/>
            <w:tcBorders>
              <w:top w:val="nil"/>
              <w:left w:val="nil"/>
              <w:bottom w:val="single" w:color="auto" w:sz="4" w:space="0"/>
              <w:right w:val="single" w:color="auto" w:sz="4" w:space="0"/>
            </w:tcBorders>
            <w:shd w:val="clear" w:color="auto" w:fill="auto"/>
            <w:vAlign w:val="center"/>
          </w:tcPr>
          <w:p w14:paraId="6391796E">
            <w:pPr>
              <w:widowControl/>
              <w:jc w:val="center"/>
              <w:rPr>
                <w:rFonts w:hint="eastAsia" w:ascii="宋体" w:hAnsi="宋体" w:cs="宋体"/>
                <w:color w:val="000000"/>
                <w:kern w:val="0"/>
                <w:szCs w:val="21"/>
              </w:rPr>
            </w:pPr>
            <w:r>
              <w:rPr>
                <w:rFonts w:hint="eastAsia" w:ascii="宋体" w:hAnsi="宋体" w:cs="宋体"/>
                <w:color w:val="000000"/>
                <w:kern w:val="0"/>
                <w:szCs w:val="21"/>
              </w:rPr>
              <w:t>50%</w:t>
            </w:r>
          </w:p>
        </w:tc>
        <w:tc>
          <w:tcPr>
            <w:tcW w:w="2147" w:type="dxa"/>
            <w:vMerge w:val="continue"/>
            <w:tcBorders>
              <w:top w:val="nil"/>
              <w:left w:val="single" w:color="auto" w:sz="4" w:space="0"/>
              <w:bottom w:val="single" w:color="auto" w:sz="4" w:space="0"/>
              <w:right w:val="single" w:color="auto" w:sz="4" w:space="0"/>
            </w:tcBorders>
            <w:vAlign w:val="center"/>
          </w:tcPr>
          <w:p w14:paraId="056992AF">
            <w:pPr>
              <w:widowControl/>
              <w:jc w:val="left"/>
              <w:rPr>
                <w:rFonts w:hint="eastAsia" w:ascii="宋体" w:hAnsi="宋体" w:cs="宋体"/>
                <w:color w:val="000000"/>
                <w:kern w:val="0"/>
                <w:szCs w:val="21"/>
              </w:rPr>
            </w:pPr>
          </w:p>
        </w:tc>
      </w:tr>
      <w:tr w14:paraId="1D289FDA">
        <w:tblPrEx>
          <w:tblCellMar>
            <w:top w:w="0" w:type="dxa"/>
            <w:left w:w="108" w:type="dxa"/>
            <w:bottom w:w="0" w:type="dxa"/>
            <w:right w:w="108" w:type="dxa"/>
          </w:tblCellMar>
        </w:tblPrEx>
        <w:trPr>
          <w:trHeight w:val="276" w:hRule="atLeast"/>
          <w:jc w:val="center"/>
        </w:trPr>
        <w:tc>
          <w:tcPr>
            <w:tcW w:w="1112" w:type="dxa"/>
            <w:vMerge w:val="restart"/>
            <w:tcBorders>
              <w:top w:val="nil"/>
              <w:left w:val="single" w:color="auto" w:sz="4" w:space="0"/>
              <w:right w:val="single" w:color="auto" w:sz="4" w:space="0"/>
            </w:tcBorders>
            <w:shd w:val="clear" w:color="auto" w:fill="auto"/>
            <w:vAlign w:val="center"/>
          </w:tcPr>
          <w:p w14:paraId="0B1FC30A">
            <w:pPr>
              <w:widowControl/>
              <w:jc w:val="center"/>
              <w:rPr>
                <w:rFonts w:hint="eastAsia" w:ascii="宋体" w:hAnsi="宋体" w:cs="宋体"/>
                <w:color w:val="000000"/>
                <w:kern w:val="0"/>
                <w:szCs w:val="21"/>
              </w:rPr>
            </w:pPr>
            <w:r>
              <w:rPr>
                <w:rFonts w:hint="eastAsia" w:ascii="宋体" w:hAnsi="宋体" w:cs="宋体"/>
                <w:color w:val="000000"/>
                <w:kern w:val="0"/>
                <w:szCs w:val="21"/>
              </w:rPr>
              <w:t>课程目标4</w:t>
            </w:r>
          </w:p>
        </w:tc>
        <w:tc>
          <w:tcPr>
            <w:tcW w:w="1112" w:type="dxa"/>
            <w:vMerge w:val="restart"/>
            <w:tcBorders>
              <w:top w:val="nil"/>
              <w:left w:val="single" w:color="auto" w:sz="4" w:space="0"/>
              <w:right w:val="single" w:color="auto" w:sz="4" w:space="0"/>
            </w:tcBorders>
            <w:shd w:val="clear" w:color="auto" w:fill="auto"/>
            <w:vAlign w:val="center"/>
          </w:tcPr>
          <w:p w14:paraId="2DB5C725">
            <w:pPr>
              <w:widowControl/>
              <w:jc w:val="center"/>
              <w:rPr>
                <w:rFonts w:hint="eastAsia" w:ascii="宋体" w:hAnsi="宋体" w:cs="宋体"/>
                <w:color w:val="000000"/>
                <w:kern w:val="0"/>
                <w:szCs w:val="21"/>
              </w:rPr>
            </w:pPr>
            <w:r>
              <w:rPr>
                <w:rFonts w:hint="eastAsia" w:ascii="宋体" w:hAnsi="宋体" w:cs="宋体"/>
                <w:color w:val="000000"/>
                <w:kern w:val="0"/>
                <w:szCs w:val="21"/>
              </w:rPr>
              <w:t>20%</w:t>
            </w:r>
          </w:p>
        </w:tc>
        <w:tc>
          <w:tcPr>
            <w:tcW w:w="1315" w:type="dxa"/>
            <w:tcBorders>
              <w:top w:val="nil"/>
              <w:left w:val="nil"/>
              <w:bottom w:val="single" w:color="auto" w:sz="4" w:space="0"/>
              <w:right w:val="single" w:color="auto" w:sz="4" w:space="0"/>
            </w:tcBorders>
            <w:shd w:val="clear" w:color="auto" w:fill="auto"/>
            <w:vAlign w:val="center"/>
          </w:tcPr>
          <w:p w14:paraId="0D9106B0">
            <w:pPr>
              <w:widowControl/>
              <w:jc w:val="center"/>
              <w:rPr>
                <w:rFonts w:hint="eastAsia" w:ascii="宋体" w:hAnsi="宋体" w:cs="宋体"/>
                <w:color w:val="000000"/>
                <w:kern w:val="0"/>
                <w:szCs w:val="21"/>
              </w:rPr>
            </w:pPr>
            <w:r>
              <w:rPr>
                <w:rFonts w:hint="eastAsia" w:ascii="宋体" w:hAnsi="宋体" w:cs="宋体"/>
                <w:color w:val="000000"/>
                <w:kern w:val="0"/>
                <w:szCs w:val="21"/>
              </w:rPr>
              <w:t>考试</w:t>
            </w:r>
          </w:p>
        </w:tc>
        <w:tc>
          <w:tcPr>
            <w:tcW w:w="987" w:type="dxa"/>
            <w:tcBorders>
              <w:top w:val="nil"/>
              <w:left w:val="nil"/>
              <w:bottom w:val="single" w:color="auto" w:sz="4" w:space="0"/>
              <w:right w:val="single" w:color="auto" w:sz="4" w:space="0"/>
            </w:tcBorders>
            <w:shd w:val="clear" w:color="auto" w:fill="auto"/>
            <w:vAlign w:val="center"/>
          </w:tcPr>
          <w:p w14:paraId="2BD4ADFC">
            <w:pPr>
              <w:widowControl/>
              <w:jc w:val="center"/>
              <w:rPr>
                <w:rFonts w:hint="eastAsia" w:ascii="宋体" w:hAns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0%</w:t>
            </w:r>
          </w:p>
        </w:tc>
        <w:tc>
          <w:tcPr>
            <w:tcW w:w="2147" w:type="dxa"/>
            <w:vMerge w:val="restart"/>
            <w:tcBorders>
              <w:top w:val="nil"/>
              <w:left w:val="single" w:color="auto" w:sz="4" w:space="0"/>
              <w:right w:val="single" w:color="auto" w:sz="4" w:space="0"/>
            </w:tcBorders>
            <w:shd w:val="clear" w:color="auto" w:fill="auto"/>
            <w:vAlign w:val="center"/>
          </w:tcPr>
          <w:p w14:paraId="662B770C">
            <w:pPr>
              <w:widowControl/>
              <w:jc w:val="center"/>
              <w:rPr>
                <w:rFonts w:hint="eastAsia" w:ascii="宋体" w:hAnsi="宋体" w:cs="宋体"/>
                <w:color w:val="000000"/>
                <w:kern w:val="0"/>
                <w:szCs w:val="21"/>
              </w:rPr>
            </w:pPr>
            <w:r>
              <w:rPr>
                <w:rFonts w:hint="eastAsia" w:ascii="宋体" w:hAnsi="宋体" w:cs="宋体"/>
                <w:color w:val="000000"/>
                <w:kern w:val="0"/>
                <w:szCs w:val="21"/>
              </w:rPr>
              <w:t>100%</w:t>
            </w:r>
          </w:p>
        </w:tc>
      </w:tr>
      <w:tr w14:paraId="5B673B0A">
        <w:tblPrEx>
          <w:tblCellMar>
            <w:top w:w="0" w:type="dxa"/>
            <w:left w:w="108" w:type="dxa"/>
            <w:bottom w:w="0" w:type="dxa"/>
            <w:right w:w="108" w:type="dxa"/>
          </w:tblCellMar>
        </w:tblPrEx>
        <w:trPr>
          <w:trHeight w:val="276" w:hRule="atLeast"/>
          <w:jc w:val="center"/>
        </w:trPr>
        <w:tc>
          <w:tcPr>
            <w:tcW w:w="1112" w:type="dxa"/>
            <w:vMerge w:val="continue"/>
            <w:tcBorders>
              <w:left w:val="single" w:color="auto" w:sz="4" w:space="0"/>
              <w:right w:val="single" w:color="auto" w:sz="4" w:space="0"/>
            </w:tcBorders>
            <w:vAlign w:val="center"/>
          </w:tcPr>
          <w:p w14:paraId="025C578C">
            <w:pPr>
              <w:widowControl/>
              <w:jc w:val="left"/>
              <w:rPr>
                <w:rFonts w:hint="eastAsia" w:ascii="宋体" w:hAnsi="宋体" w:cs="宋体"/>
                <w:color w:val="000000"/>
                <w:kern w:val="0"/>
                <w:szCs w:val="21"/>
              </w:rPr>
            </w:pPr>
          </w:p>
        </w:tc>
        <w:tc>
          <w:tcPr>
            <w:tcW w:w="1112" w:type="dxa"/>
            <w:vMerge w:val="continue"/>
            <w:tcBorders>
              <w:left w:val="single" w:color="auto" w:sz="4" w:space="0"/>
              <w:right w:val="single" w:color="auto" w:sz="4" w:space="0"/>
            </w:tcBorders>
            <w:vAlign w:val="center"/>
          </w:tcPr>
          <w:p w14:paraId="7844906D">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6E3E890F">
            <w:pPr>
              <w:widowControl/>
              <w:jc w:val="center"/>
              <w:rPr>
                <w:rFonts w:hint="eastAsia" w:ascii="宋体" w:hAnsi="宋体" w:cs="宋体"/>
                <w:color w:val="000000"/>
                <w:kern w:val="0"/>
                <w:szCs w:val="21"/>
              </w:rPr>
            </w:pPr>
            <w:r>
              <w:rPr>
                <w:rFonts w:hint="eastAsia" w:ascii="宋体" w:hAnsi="宋体" w:cs="宋体"/>
                <w:color w:val="000000"/>
                <w:kern w:val="0"/>
                <w:szCs w:val="21"/>
              </w:rPr>
              <w:t>小组作业1</w:t>
            </w:r>
          </w:p>
        </w:tc>
        <w:tc>
          <w:tcPr>
            <w:tcW w:w="987" w:type="dxa"/>
            <w:tcBorders>
              <w:top w:val="nil"/>
              <w:left w:val="nil"/>
              <w:bottom w:val="single" w:color="auto" w:sz="4" w:space="0"/>
              <w:right w:val="single" w:color="auto" w:sz="4" w:space="0"/>
            </w:tcBorders>
            <w:shd w:val="clear" w:color="auto" w:fill="auto"/>
            <w:vAlign w:val="center"/>
          </w:tcPr>
          <w:p w14:paraId="3FE4D2FB">
            <w:pPr>
              <w:widowControl/>
              <w:jc w:val="center"/>
              <w:rPr>
                <w:rFonts w:hint="eastAsia"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0%</w:t>
            </w:r>
          </w:p>
        </w:tc>
        <w:tc>
          <w:tcPr>
            <w:tcW w:w="2147" w:type="dxa"/>
            <w:vMerge w:val="continue"/>
            <w:tcBorders>
              <w:left w:val="single" w:color="auto" w:sz="4" w:space="0"/>
              <w:right w:val="single" w:color="auto" w:sz="4" w:space="0"/>
            </w:tcBorders>
            <w:vAlign w:val="center"/>
          </w:tcPr>
          <w:p w14:paraId="368B1923">
            <w:pPr>
              <w:widowControl/>
              <w:jc w:val="left"/>
              <w:rPr>
                <w:rFonts w:hint="eastAsia" w:ascii="宋体" w:hAnsi="宋体" w:cs="宋体"/>
                <w:color w:val="000000"/>
                <w:kern w:val="0"/>
                <w:szCs w:val="21"/>
              </w:rPr>
            </w:pPr>
          </w:p>
        </w:tc>
      </w:tr>
      <w:tr w14:paraId="13387FFD">
        <w:tblPrEx>
          <w:tblCellMar>
            <w:top w:w="0" w:type="dxa"/>
            <w:left w:w="108" w:type="dxa"/>
            <w:bottom w:w="0" w:type="dxa"/>
            <w:right w:w="108" w:type="dxa"/>
          </w:tblCellMar>
        </w:tblPrEx>
        <w:trPr>
          <w:trHeight w:val="276" w:hRule="atLeast"/>
          <w:jc w:val="center"/>
        </w:trPr>
        <w:tc>
          <w:tcPr>
            <w:tcW w:w="1112" w:type="dxa"/>
            <w:vMerge w:val="continue"/>
            <w:tcBorders>
              <w:left w:val="single" w:color="auto" w:sz="4" w:space="0"/>
              <w:right w:val="single" w:color="auto" w:sz="4" w:space="0"/>
            </w:tcBorders>
            <w:vAlign w:val="center"/>
          </w:tcPr>
          <w:p w14:paraId="46D3618D">
            <w:pPr>
              <w:widowControl/>
              <w:jc w:val="left"/>
              <w:rPr>
                <w:rFonts w:hint="eastAsia" w:ascii="宋体" w:hAnsi="宋体" w:cs="宋体"/>
                <w:color w:val="000000"/>
                <w:kern w:val="0"/>
                <w:szCs w:val="21"/>
              </w:rPr>
            </w:pPr>
          </w:p>
        </w:tc>
        <w:tc>
          <w:tcPr>
            <w:tcW w:w="1112" w:type="dxa"/>
            <w:vMerge w:val="continue"/>
            <w:tcBorders>
              <w:left w:val="single" w:color="auto" w:sz="4" w:space="0"/>
              <w:right w:val="single" w:color="auto" w:sz="4" w:space="0"/>
            </w:tcBorders>
            <w:vAlign w:val="center"/>
          </w:tcPr>
          <w:p w14:paraId="41A546AD">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62A0012C">
            <w:pPr>
              <w:widowControl/>
              <w:jc w:val="center"/>
              <w:rPr>
                <w:rFonts w:hint="eastAsia" w:ascii="宋体" w:hAnsi="宋体" w:cs="宋体"/>
                <w:color w:val="000000"/>
                <w:kern w:val="0"/>
                <w:szCs w:val="21"/>
              </w:rPr>
            </w:pPr>
            <w:r>
              <w:rPr>
                <w:rFonts w:hint="eastAsia" w:ascii="宋体" w:hAnsi="宋体" w:cs="宋体"/>
                <w:color w:val="000000"/>
                <w:kern w:val="0"/>
                <w:szCs w:val="21"/>
              </w:rPr>
              <w:t>小组作业2</w:t>
            </w:r>
          </w:p>
        </w:tc>
        <w:tc>
          <w:tcPr>
            <w:tcW w:w="987" w:type="dxa"/>
            <w:tcBorders>
              <w:top w:val="nil"/>
              <w:left w:val="nil"/>
              <w:bottom w:val="single" w:color="auto" w:sz="4" w:space="0"/>
              <w:right w:val="single" w:color="auto" w:sz="4" w:space="0"/>
            </w:tcBorders>
            <w:shd w:val="clear" w:color="auto" w:fill="auto"/>
            <w:vAlign w:val="center"/>
          </w:tcPr>
          <w:p w14:paraId="76EC4286">
            <w:pPr>
              <w:widowControl/>
              <w:jc w:val="center"/>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w:t>
            </w:r>
          </w:p>
        </w:tc>
        <w:tc>
          <w:tcPr>
            <w:tcW w:w="2147" w:type="dxa"/>
            <w:vMerge w:val="continue"/>
            <w:tcBorders>
              <w:left w:val="single" w:color="auto" w:sz="4" w:space="0"/>
              <w:right w:val="single" w:color="auto" w:sz="4" w:space="0"/>
            </w:tcBorders>
            <w:vAlign w:val="center"/>
          </w:tcPr>
          <w:p w14:paraId="2E0934B8">
            <w:pPr>
              <w:widowControl/>
              <w:jc w:val="left"/>
              <w:rPr>
                <w:rFonts w:hint="eastAsia" w:ascii="宋体" w:hAnsi="宋体" w:cs="宋体"/>
                <w:color w:val="000000"/>
                <w:kern w:val="0"/>
                <w:szCs w:val="21"/>
              </w:rPr>
            </w:pPr>
          </w:p>
        </w:tc>
      </w:tr>
      <w:tr w14:paraId="5C7F4F46">
        <w:tblPrEx>
          <w:tblCellMar>
            <w:top w:w="0" w:type="dxa"/>
            <w:left w:w="108" w:type="dxa"/>
            <w:bottom w:w="0" w:type="dxa"/>
            <w:right w:w="108" w:type="dxa"/>
          </w:tblCellMar>
        </w:tblPrEx>
        <w:trPr>
          <w:trHeight w:val="276" w:hRule="atLeast"/>
          <w:jc w:val="center"/>
        </w:trPr>
        <w:tc>
          <w:tcPr>
            <w:tcW w:w="1112" w:type="dxa"/>
            <w:vMerge w:val="continue"/>
            <w:tcBorders>
              <w:left w:val="single" w:color="auto" w:sz="4" w:space="0"/>
              <w:bottom w:val="single" w:color="auto" w:sz="4" w:space="0"/>
              <w:right w:val="single" w:color="auto" w:sz="4" w:space="0"/>
            </w:tcBorders>
            <w:vAlign w:val="center"/>
          </w:tcPr>
          <w:p w14:paraId="1575156D">
            <w:pPr>
              <w:widowControl/>
              <w:jc w:val="left"/>
              <w:rPr>
                <w:rFonts w:hint="eastAsia" w:ascii="宋体" w:hAnsi="宋体" w:cs="宋体"/>
                <w:color w:val="000000"/>
                <w:kern w:val="0"/>
                <w:szCs w:val="21"/>
              </w:rPr>
            </w:pPr>
          </w:p>
        </w:tc>
        <w:tc>
          <w:tcPr>
            <w:tcW w:w="1112" w:type="dxa"/>
            <w:vMerge w:val="continue"/>
            <w:tcBorders>
              <w:left w:val="single" w:color="auto" w:sz="4" w:space="0"/>
              <w:bottom w:val="single" w:color="auto" w:sz="4" w:space="0"/>
              <w:right w:val="single" w:color="auto" w:sz="4" w:space="0"/>
            </w:tcBorders>
            <w:vAlign w:val="center"/>
          </w:tcPr>
          <w:p w14:paraId="6F7E61EE">
            <w:pPr>
              <w:widowControl/>
              <w:jc w:val="left"/>
              <w:rPr>
                <w:rFonts w:hint="eastAsia" w:ascii="宋体" w:hAnsi="宋体" w:cs="宋体"/>
                <w:color w:val="000000"/>
                <w:kern w:val="0"/>
                <w:szCs w:val="21"/>
              </w:rPr>
            </w:pPr>
          </w:p>
        </w:tc>
        <w:tc>
          <w:tcPr>
            <w:tcW w:w="1315" w:type="dxa"/>
            <w:tcBorders>
              <w:top w:val="nil"/>
              <w:left w:val="nil"/>
              <w:bottom w:val="single" w:color="auto" w:sz="4" w:space="0"/>
              <w:right w:val="single" w:color="auto" w:sz="4" w:space="0"/>
            </w:tcBorders>
            <w:shd w:val="clear" w:color="auto" w:fill="auto"/>
            <w:vAlign w:val="center"/>
          </w:tcPr>
          <w:p w14:paraId="149D62A4">
            <w:pPr>
              <w:widowControl/>
              <w:jc w:val="center"/>
              <w:rPr>
                <w:rFonts w:hint="eastAsia" w:ascii="宋体" w:hAnsi="宋体" w:cs="宋体"/>
                <w:color w:val="000000"/>
                <w:kern w:val="0"/>
                <w:szCs w:val="21"/>
              </w:rPr>
            </w:pPr>
            <w:r>
              <w:rPr>
                <w:rFonts w:hint="eastAsia" w:ascii="宋体" w:hAnsi="宋体" w:cs="宋体"/>
                <w:color w:val="000000"/>
                <w:kern w:val="0"/>
                <w:szCs w:val="21"/>
              </w:rPr>
              <w:t>小组作业3</w:t>
            </w:r>
          </w:p>
        </w:tc>
        <w:tc>
          <w:tcPr>
            <w:tcW w:w="987" w:type="dxa"/>
            <w:tcBorders>
              <w:top w:val="nil"/>
              <w:left w:val="nil"/>
              <w:bottom w:val="single" w:color="auto" w:sz="4" w:space="0"/>
              <w:right w:val="single" w:color="auto" w:sz="4" w:space="0"/>
            </w:tcBorders>
            <w:shd w:val="clear" w:color="auto" w:fill="auto"/>
            <w:vAlign w:val="center"/>
          </w:tcPr>
          <w:p w14:paraId="77FD17B5">
            <w:pPr>
              <w:widowControl/>
              <w:jc w:val="center"/>
              <w:rPr>
                <w:rFonts w:hint="eastAsia"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w:t>
            </w:r>
          </w:p>
        </w:tc>
        <w:tc>
          <w:tcPr>
            <w:tcW w:w="2147" w:type="dxa"/>
            <w:vMerge w:val="continue"/>
            <w:tcBorders>
              <w:left w:val="single" w:color="auto" w:sz="4" w:space="0"/>
              <w:bottom w:val="single" w:color="auto" w:sz="4" w:space="0"/>
              <w:right w:val="single" w:color="auto" w:sz="4" w:space="0"/>
            </w:tcBorders>
            <w:vAlign w:val="center"/>
          </w:tcPr>
          <w:p w14:paraId="012D2DD9">
            <w:pPr>
              <w:widowControl/>
              <w:jc w:val="left"/>
              <w:rPr>
                <w:rFonts w:hint="eastAsia" w:ascii="宋体" w:hAnsi="宋体" w:cs="宋体"/>
                <w:color w:val="000000"/>
                <w:kern w:val="0"/>
                <w:szCs w:val="21"/>
              </w:rPr>
            </w:pPr>
          </w:p>
        </w:tc>
      </w:tr>
      <w:tr w14:paraId="1347B4CC">
        <w:tblPrEx>
          <w:tblCellMar>
            <w:top w:w="0" w:type="dxa"/>
            <w:left w:w="108" w:type="dxa"/>
            <w:bottom w:w="0" w:type="dxa"/>
            <w:right w:w="108" w:type="dxa"/>
          </w:tblCellMar>
        </w:tblPrEx>
        <w:trPr>
          <w:trHeight w:val="524"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14:paraId="09B2CDB0">
            <w:pPr>
              <w:widowControl/>
              <w:jc w:val="center"/>
              <w:rPr>
                <w:rFonts w:hint="eastAsia" w:ascii="宋体" w:hAnsi="宋体" w:cs="宋体"/>
                <w:color w:val="000000"/>
                <w:kern w:val="0"/>
                <w:szCs w:val="21"/>
              </w:rPr>
            </w:pPr>
            <w:r>
              <w:rPr>
                <w:rFonts w:hint="eastAsia" w:ascii="宋体" w:hAnsi="宋体" w:cs="宋体"/>
                <w:color w:val="000000"/>
                <w:kern w:val="0"/>
                <w:szCs w:val="21"/>
              </w:rPr>
              <w:t>课程目标权重合计</w:t>
            </w:r>
          </w:p>
        </w:tc>
        <w:tc>
          <w:tcPr>
            <w:tcW w:w="1112" w:type="dxa"/>
            <w:tcBorders>
              <w:top w:val="nil"/>
              <w:left w:val="nil"/>
              <w:bottom w:val="single" w:color="auto" w:sz="4" w:space="0"/>
              <w:right w:val="single" w:color="auto" w:sz="4" w:space="0"/>
            </w:tcBorders>
            <w:shd w:val="clear" w:color="auto" w:fill="auto"/>
            <w:vAlign w:val="center"/>
          </w:tcPr>
          <w:p w14:paraId="6A113A6B">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100% </w:t>
            </w:r>
          </w:p>
        </w:tc>
        <w:tc>
          <w:tcPr>
            <w:tcW w:w="4449" w:type="dxa"/>
            <w:gridSpan w:val="3"/>
            <w:tcBorders>
              <w:top w:val="single" w:color="auto" w:sz="4" w:space="0"/>
              <w:left w:val="nil"/>
              <w:bottom w:val="single" w:color="auto" w:sz="4" w:space="0"/>
              <w:right w:val="single" w:color="auto" w:sz="4" w:space="0"/>
            </w:tcBorders>
            <w:shd w:val="clear" w:color="auto" w:fill="auto"/>
            <w:vAlign w:val="center"/>
          </w:tcPr>
          <w:p w14:paraId="010D779D">
            <w:pPr>
              <w:widowControl/>
              <w:jc w:val="center"/>
              <w:rPr>
                <w:rFonts w:hint="eastAsia" w:ascii="宋体" w:hAnsi="宋体" w:cs="宋体"/>
                <w:color w:val="000000"/>
                <w:kern w:val="0"/>
                <w:szCs w:val="21"/>
              </w:rPr>
            </w:pPr>
          </w:p>
        </w:tc>
      </w:tr>
    </w:tbl>
    <w:p w14:paraId="172A4F4B">
      <w:pPr>
        <w:spacing w:line="360" w:lineRule="auto"/>
        <w:rPr>
          <w:rFonts w:hint="eastAsia" w:ascii="宋体" w:hAnsi="宋体" w:eastAsia="宋体" w:cs="Times New Roman"/>
          <w:sz w:val="24"/>
        </w:rPr>
      </w:pPr>
    </w:p>
    <w:p w14:paraId="237B8C11">
      <w:pPr>
        <w:spacing w:line="360" w:lineRule="auto"/>
        <w:ind w:firstLine="480"/>
        <w:rPr>
          <w:rFonts w:hint="eastAsia"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2C477209">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64553377">
      <w:pPr>
        <w:spacing w:line="360" w:lineRule="auto"/>
        <w:rPr>
          <w:rFonts w:hint="eastAsia" w:ascii="宋体" w:hAnsi="宋体" w:eastAsia="宋体" w:cs="Times New Roman"/>
          <w:sz w:val="24"/>
        </w:rPr>
      </w:pPr>
      <w:r>
        <w:rPr>
          <w:rFonts w:ascii="宋体" w:hAnsi="宋体" w:eastAsia="宋体" w:cs="Times New Roman"/>
          <w:sz w:val="24"/>
        </w:rPr>
        <w:drawing>
          <wp:inline distT="0" distB="0" distL="0" distR="0">
            <wp:extent cx="5274310" cy="337185"/>
            <wp:effectExtent l="0" t="0" r="889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0E6978C4">
      <w:pPr>
        <w:spacing w:line="360" w:lineRule="auto"/>
        <w:ind w:firstLine="562" w:firstLineChars="200"/>
        <w:rPr>
          <w:rFonts w:hint="eastAsia"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1B470F81">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029F1912">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本课程根据学生作业、课堂讨论、平时考核情况和学生、教学督导等</w:t>
      </w:r>
      <w:r>
        <w:rPr>
          <w:rFonts w:hint="eastAsia" w:ascii="Times New Roman" w:hAnsi="Times New Roman" w:eastAsia="宋体" w:cs="Times New Roman"/>
          <w:sz w:val="24"/>
        </w:rPr>
        <w:t>的</w:t>
      </w:r>
      <w:r>
        <w:rPr>
          <w:rFonts w:ascii="Times New Roman" w:hAnsi="Times New Roman" w:eastAsia="宋体" w:cs="Times New Roman"/>
          <w:sz w:val="24"/>
        </w:rPr>
        <w:t>反馈，及时对教学中</w:t>
      </w:r>
      <w:r>
        <w:rPr>
          <w:rFonts w:hint="eastAsia" w:ascii="Times New Roman" w:hAnsi="Times New Roman" w:eastAsia="宋体" w:cs="Times New Roman"/>
          <w:sz w:val="24"/>
        </w:rPr>
        <w:t>的</w:t>
      </w:r>
      <w:r>
        <w:rPr>
          <w:rFonts w:ascii="Times New Roman" w:hAnsi="Times New Roman" w:eastAsia="宋体" w:cs="Times New Roman"/>
          <w:sz w:val="24"/>
        </w:rPr>
        <w:t>不足之处进行改进，并在下一轮课程教学中</w:t>
      </w:r>
      <w:r>
        <w:rPr>
          <w:rFonts w:hint="eastAsia" w:ascii="Times New Roman" w:hAnsi="Times New Roman" w:eastAsia="宋体" w:cs="Times New Roman"/>
          <w:sz w:val="24"/>
        </w:rPr>
        <w:t>整改完善</w:t>
      </w:r>
      <w:r>
        <w:rPr>
          <w:rFonts w:ascii="Times New Roman" w:hAnsi="Times New Roman" w:eastAsia="宋体" w:cs="Times New Roman"/>
          <w:sz w:val="24"/>
        </w:rPr>
        <w:t>，确保相应毕业要求指标点达成。</w:t>
      </w:r>
    </w:p>
    <w:p w14:paraId="2FCDB186">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11996E1B">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w:t>
      </w:r>
      <w:r>
        <w:rPr>
          <w:rFonts w:hint="eastAsia" w:ascii="Times New Roman" w:hAnsi="Times New Roman" w:eastAsia="宋体" w:cs="Times New Roman"/>
          <w:szCs w:val="24"/>
        </w:rPr>
        <w:t xml:space="preserve"> </w:t>
      </w:r>
      <w:r>
        <w:rPr>
          <w:rFonts w:hint="eastAsia" w:ascii="Times New Roman" w:hAnsi="Times New Roman" w:eastAsia="宋体" w:cs="Times New Roman"/>
          <w:kern w:val="0"/>
          <w:sz w:val="24"/>
          <w:szCs w:val="21"/>
        </w:rPr>
        <w:t>张二庆，乔建生.小学科学课程与教学论.北京：被京师范大学出版社，2016</w:t>
      </w:r>
    </w:p>
    <w:p w14:paraId="68D00AFF">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2.尹显明，王银铃.科学技术概论.北京：科学出版社，2018</w:t>
      </w:r>
    </w:p>
    <w:p w14:paraId="2EA8D0D0">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3.</w:t>
      </w:r>
      <w:r>
        <w:rPr>
          <w:rFonts w:hint="eastAsia" w:ascii="Times New Roman" w:hAnsi="Times New Roman" w:eastAsia="宋体" w:cs="Times New Roman"/>
          <w:kern w:val="0"/>
          <w:sz w:val="24"/>
          <w:szCs w:val="21"/>
        </w:rPr>
        <w:t xml:space="preserve"> 吴国盛.科学的历程（修订第4版）， 湖南科技出版社，2018  </w:t>
      </w:r>
    </w:p>
    <w:p w14:paraId="5619E773">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4.毕毓俊.自然科学基础知识.北京：高等教育出版社，2</w:t>
      </w:r>
      <w:r>
        <w:rPr>
          <w:rFonts w:ascii="Times New Roman" w:hAnsi="Times New Roman" w:eastAsia="宋体" w:cs="Times New Roman"/>
          <w:kern w:val="0"/>
          <w:sz w:val="24"/>
          <w:szCs w:val="21"/>
        </w:rPr>
        <w:t>008</w:t>
      </w:r>
    </w:p>
    <w:p w14:paraId="5B361B4B">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5.叶勤.人类与自然.北京：高等教育出版社，2</w:t>
      </w:r>
      <w:r>
        <w:rPr>
          <w:rFonts w:ascii="Times New Roman" w:hAnsi="Times New Roman" w:eastAsia="宋体" w:cs="Times New Roman"/>
          <w:kern w:val="0"/>
          <w:sz w:val="24"/>
          <w:szCs w:val="21"/>
        </w:rPr>
        <w:t>009</w:t>
      </w:r>
    </w:p>
    <w:p w14:paraId="7599C6CB">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2D44CE69">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5772E765">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rPr>
        <w:t>巫文胜</w:t>
      </w:r>
      <w:r>
        <w:rPr>
          <w:rFonts w:ascii="Times New Roman" w:hAnsi="Times New Roman" w:eastAsia="宋体" w:cs="Times New Roman"/>
          <w:kern w:val="0"/>
          <w:sz w:val="24"/>
          <w:szCs w:val="21"/>
        </w:rPr>
        <w:t xml:space="preserve"> </w:t>
      </w:r>
    </w:p>
    <w:p w14:paraId="3171A16E">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rPr>
        <w:t>张志欣</w:t>
      </w:r>
    </w:p>
    <w:p w14:paraId="519D8F22">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张建波</w:t>
      </w:r>
    </w:p>
    <w:p w14:paraId="17389E76">
      <w:pPr>
        <w:autoSpaceDE w:val="0"/>
        <w:autoSpaceDN w:val="0"/>
        <w:adjustRightInd w:val="0"/>
        <w:spacing w:line="360" w:lineRule="auto"/>
        <w:ind w:firstLine="5280" w:firstLineChars="22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批准时间：2022年8月30日</w:t>
      </w:r>
    </w:p>
    <w:p w14:paraId="3DD79DD1">
      <w:pPr>
        <w:widowControl/>
        <w:jc w:val="left"/>
        <w:rPr>
          <w:rFonts w:ascii="Times New Roman" w:hAnsi="Times New Roman" w:eastAsia="宋体" w:cs="Times New Roman"/>
          <w:kern w:val="0"/>
          <w:sz w:val="24"/>
          <w:szCs w:val="21"/>
        </w:rPr>
      </w:pPr>
    </w:p>
    <w:p w14:paraId="4BF6964C">
      <w:pPr>
        <w:spacing w:line="312" w:lineRule="auto"/>
        <w:jc w:val="center"/>
        <w:rPr>
          <w:rFonts w:hint="eastAsia"/>
          <w:b/>
          <w:bCs/>
          <w:sz w:val="30"/>
        </w:rPr>
      </w:pPr>
    </w:p>
    <w:p w14:paraId="65D9EE93">
      <w:pPr>
        <w:spacing w:line="312" w:lineRule="auto"/>
        <w:jc w:val="center"/>
        <w:rPr>
          <w:rFonts w:hint="eastAsia"/>
          <w:b/>
          <w:bCs/>
          <w:sz w:val="30"/>
        </w:rPr>
      </w:pPr>
    </w:p>
    <w:p w14:paraId="3FBBCEB2">
      <w:pPr>
        <w:spacing w:line="312" w:lineRule="auto"/>
        <w:jc w:val="center"/>
        <w:rPr>
          <w:rFonts w:hint="eastAsia"/>
          <w:b/>
          <w:bCs/>
          <w:sz w:val="30"/>
        </w:rPr>
      </w:pPr>
    </w:p>
    <w:p w14:paraId="58F50026">
      <w:pPr>
        <w:spacing w:line="312" w:lineRule="auto"/>
        <w:jc w:val="center"/>
        <w:rPr>
          <w:rFonts w:hint="eastAsia"/>
          <w:b/>
          <w:bCs/>
          <w:sz w:val="30"/>
        </w:rPr>
      </w:pPr>
    </w:p>
    <w:p w14:paraId="51D69369">
      <w:pPr>
        <w:spacing w:line="312" w:lineRule="auto"/>
        <w:jc w:val="center"/>
        <w:rPr>
          <w:rFonts w:hint="eastAsia"/>
          <w:b/>
          <w:bCs/>
          <w:sz w:val="30"/>
        </w:rPr>
      </w:pPr>
    </w:p>
    <w:p w14:paraId="3A3DE100">
      <w:pPr>
        <w:spacing w:line="312" w:lineRule="auto"/>
        <w:jc w:val="center"/>
        <w:rPr>
          <w:rFonts w:hint="eastAsia"/>
          <w:b/>
          <w:bCs/>
          <w:sz w:val="30"/>
        </w:rPr>
      </w:pPr>
    </w:p>
    <w:p w14:paraId="03380C22">
      <w:pPr>
        <w:spacing w:line="312" w:lineRule="auto"/>
        <w:ind w:firstLine="3012" w:firstLineChars="1000"/>
        <w:jc w:val="both"/>
        <w:rPr>
          <w:b/>
          <w:bCs/>
          <w:sz w:val="30"/>
        </w:rPr>
      </w:pPr>
      <w:r>
        <w:rPr>
          <w:rFonts w:hint="eastAsia"/>
          <w:b/>
          <w:bCs/>
          <w:sz w:val="30"/>
        </w:rPr>
        <w:t>逻辑学课程教学大纲</w:t>
      </w:r>
    </w:p>
    <w:p w14:paraId="7B261221">
      <w:pPr>
        <w:spacing w:line="312" w:lineRule="auto"/>
        <w:jc w:val="center"/>
        <w:rPr>
          <w:b/>
          <w:bCs/>
          <w:sz w:val="30"/>
        </w:rPr>
      </w:pPr>
      <w:r>
        <w:rPr>
          <w:b/>
          <w:bCs/>
          <w:sz w:val="30"/>
        </w:rPr>
        <w:t>（Logic）</w:t>
      </w:r>
    </w:p>
    <w:p w14:paraId="6B238E17">
      <w:pPr>
        <w:spacing w:line="312" w:lineRule="auto"/>
        <w:jc w:val="center"/>
        <w:rPr>
          <w:rFonts w:eastAsia="黑体"/>
          <w:bCs/>
          <w:sz w:val="30"/>
        </w:rPr>
      </w:pPr>
    </w:p>
    <w:p w14:paraId="47CF1AE8">
      <w:pPr>
        <w:spacing w:line="360" w:lineRule="auto"/>
        <w:ind w:firstLine="551" w:firstLineChars="196"/>
        <w:rPr>
          <w:rFonts w:hint="eastAsia"/>
          <w:b/>
          <w:sz w:val="28"/>
          <w:szCs w:val="28"/>
        </w:rPr>
      </w:pPr>
      <w:r>
        <w:rPr>
          <w:b/>
          <w:sz w:val="28"/>
          <w:szCs w:val="28"/>
        </w:rPr>
        <w:t>一、课程概况</w:t>
      </w:r>
    </w:p>
    <w:p w14:paraId="07BD83C5">
      <w:pPr>
        <w:spacing w:line="360" w:lineRule="auto"/>
        <w:ind w:firstLine="482" w:firstLineChars="200"/>
        <w:rPr>
          <w:b/>
          <w:sz w:val="28"/>
          <w:szCs w:val="28"/>
        </w:rPr>
      </w:pPr>
      <w:r>
        <w:rPr>
          <w:b/>
          <w:bCs/>
          <w:kern w:val="0"/>
          <w:sz w:val="24"/>
        </w:rPr>
        <w:t>课程代码</w:t>
      </w:r>
      <w:r>
        <w:rPr>
          <w:b/>
          <w:kern w:val="0"/>
          <w:sz w:val="24"/>
        </w:rPr>
        <w:t>：</w:t>
      </w:r>
      <w:r>
        <w:rPr>
          <w:rFonts w:hint="eastAsia" w:ascii="宋体" w:hAnsi="宋体"/>
          <w:bCs/>
          <w:kern w:val="0"/>
          <w:sz w:val="24"/>
        </w:rPr>
        <w:t>2401033</w:t>
      </w:r>
    </w:p>
    <w:p w14:paraId="456FF253">
      <w:pPr>
        <w:spacing w:line="360" w:lineRule="auto"/>
        <w:ind w:firstLine="482" w:firstLineChars="200"/>
        <w:rPr>
          <w:kern w:val="0"/>
          <w:sz w:val="24"/>
        </w:rPr>
      </w:pPr>
      <w:r>
        <w:rPr>
          <w:b/>
          <w:bCs/>
          <w:kern w:val="0"/>
          <w:sz w:val="24"/>
        </w:rPr>
        <w:t>学    分</w:t>
      </w:r>
      <w:r>
        <w:rPr>
          <w:b/>
          <w:kern w:val="0"/>
          <w:sz w:val="24"/>
        </w:rPr>
        <w:t>：</w:t>
      </w:r>
      <w:r>
        <w:rPr>
          <w:kern w:val="0"/>
          <w:sz w:val="24"/>
        </w:rPr>
        <w:t>2</w:t>
      </w:r>
    </w:p>
    <w:p w14:paraId="220BBE15">
      <w:pPr>
        <w:spacing w:line="360" w:lineRule="auto"/>
        <w:ind w:firstLine="482" w:firstLineChars="200"/>
        <w:rPr>
          <w:kern w:val="0"/>
          <w:sz w:val="24"/>
        </w:rPr>
      </w:pPr>
      <w:r>
        <w:rPr>
          <w:b/>
          <w:bCs/>
          <w:kern w:val="0"/>
          <w:sz w:val="24"/>
        </w:rPr>
        <w:t>学    时</w:t>
      </w:r>
      <w:r>
        <w:rPr>
          <w:b/>
          <w:kern w:val="0"/>
          <w:sz w:val="24"/>
        </w:rPr>
        <w:t>：</w:t>
      </w:r>
      <w:r>
        <w:rPr>
          <w:kern w:val="0"/>
          <w:sz w:val="24"/>
        </w:rPr>
        <w:t>32（其中：讲授学时</w:t>
      </w:r>
      <w:r>
        <w:rPr>
          <w:rFonts w:hint="eastAsia"/>
          <w:kern w:val="0"/>
          <w:sz w:val="24"/>
        </w:rPr>
        <w:t>2</w:t>
      </w:r>
      <w:r>
        <w:rPr>
          <w:kern w:val="0"/>
          <w:sz w:val="24"/>
        </w:rPr>
        <w:t>2</w:t>
      </w:r>
      <w:r>
        <w:rPr>
          <w:rFonts w:hint="eastAsia"/>
          <w:kern w:val="0"/>
          <w:sz w:val="24"/>
        </w:rPr>
        <w:t>，课内实践学时10</w:t>
      </w:r>
      <w:r>
        <w:rPr>
          <w:kern w:val="0"/>
          <w:sz w:val="24"/>
        </w:rPr>
        <w:t>）</w:t>
      </w:r>
    </w:p>
    <w:p w14:paraId="6DEFBDA7">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无</w:t>
      </w:r>
    </w:p>
    <w:p w14:paraId="7781C78D">
      <w:pPr>
        <w:spacing w:line="360" w:lineRule="auto"/>
        <w:ind w:firstLine="482" w:firstLineChars="200"/>
        <w:rPr>
          <w:kern w:val="0"/>
          <w:sz w:val="24"/>
        </w:rPr>
      </w:pPr>
      <w:r>
        <w:rPr>
          <w:b/>
          <w:bCs/>
          <w:kern w:val="0"/>
          <w:sz w:val="24"/>
        </w:rPr>
        <w:t>适用专业</w:t>
      </w:r>
      <w:r>
        <w:rPr>
          <w:b/>
          <w:kern w:val="0"/>
          <w:sz w:val="24"/>
        </w:rPr>
        <w:t>：</w:t>
      </w:r>
      <w:r>
        <w:rPr>
          <w:rFonts w:hint="eastAsia"/>
          <w:sz w:val="24"/>
        </w:rPr>
        <w:t>小学教育（文）、小学教育（理）</w:t>
      </w:r>
      <w:r>
        <w:rPr>
          <w:rFonts w:eastAsia="黑体"/>
          <w:sz w:val="24"/>
        </w:rPr>
        <w:t xml:space="preserve"> </w:t>
      </w:r>
      <w:r>
        <w:rPr>
          <w:kern w:val="0"/>
          <w:sz w:val="24"/>
        </w:rPr>
        <w:t xml:space="preserve">                          </w:t>
      </w:r>
    </w:p>
    <w:p w14:paraId="05CD4E22">
      <w:pPr>
        <w:spacing w:line="360" w:lineRule="auto"/>
        <w:ind w:firstLine="482" w:firstLineChars="200"/>
        <w:rPr>
          <w:rFonts w:hint="eastAsia"/>
          <w:b/>
          <w:kern w:val="0"/>
          <w:sz w:val="24"/>
        </w:rPr>
      </w:pPr>
      <w:r>
        <w:rPr>
          <w:rFonts w:hint="eastAsia"/>
          <w:b/>
          <w:bCs/>
          <w:kern w:val="0"/>
          <w:sz w:val="24"/>
        </w:rPr>
        <w:t>建议</w:t>
      </w:r>
      <w:r>
        <w:rPr>
          <w:b/>
          <w:bCs/>
          <w:kern w:val="0"/>
          <w:sz w:val="24"/>
        </w:rPr>
        <w:t>教材</w:t>
      </w:r>
      <w:r>
        <w:rPr>
          <w:b/>
          <w:kern w:val="0"/>
          <w:sz w:val="24"/>
        </w:rPr>
        <w:t>：</w:t>
      </w:r>
      <w:r>
        <w:rPr>
          <w:rFonts w:hint="eastAsia"/>
          <w:bCs/>
          <w:kern w:val="0"/>
          <w:sz w:val="24"/>
        </w:rPr>
        <w:t>何向东主编，《逻辑学》，高等教育出版社，2019</w:t>
      </w:r>
    </w:p>
    <w:p w14:paraId="38643935">
      <w:pPr>
        <w:spacing w:line="360" w:lineRule="auto"/>
        <w:ind w:firstLine="1680" w:firstLineChars="700"/>
        <w:rPr>
          <w:sz w:val="24"/>
        </w:rPr>
      </w:pPr>
      <w:r>
        <w:rPr>
          <w:rFonts w:hint="eastAsia"/>
          <w:kern w:val="0"/>
          <w:sz w:val="24"/>
        </w:rPr>
        <w:t>华东师范大学哲学系逻辑学教研室，《形式逻辑》（第五版），华东师范大学出版社，2</w:t>
      </w:r>
      <w:r>
        <w:rPr>
          <w:kern w:val="0"/>
          <w:sz w:val="24"/>
        </w:rPr>
        <w:t>016</w:t>
      </w:r>
    </w:p>
    <w:p w14:paraId="07C3D2D9">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53810F06">
      <w:pPr>
        <w:spacing w:line="360" w:lineRule="auto"/>
        <w:ind w:firstLine="482" w:firstLineChars="200"/>
        <w:rPr>
          <w:rFonts w:hint="eastAsia"/>
          <w:bCs/>
          <w:kern w:val="0"/>
          <w:sz w:val="24"/>
        </w:rPr>
      </w:pPr>
      <w:r>
        <w:rPr>
          <w:b/>
          <w:bCs/>
          <w:kern w:val="0"/>
          <w:sz w:val="24"/>
        </w:rPr>
        <w:t>课程的性质与任务</w:t>
      </w:r>
      <w:r>
        <w:rPr>
          <w:rFonts w:hint="eastAsia"/>
          <w:b/>
          <w:bCs/>
          <w:kern w:val="0"/>
          <w:sz w:val="24"/>
        </w:rPr>
        <w:t>：</w:t>
      </w:r>
      <w:r>
        <w:rPr>
          <w:rFonts w:hint="eastAsia"/>
          <w:kern w:val="0"/>
          <w:sz w:val="24"/>
        </w:rPr>
        <w:t>逻</w:t>
      </w:r>
      <w:r>
        <w:rPr>
          <w:rFonts w:hint="eastAsia"/>
          <w:bCs/>
          <w:kern w:val="0"/>
          <w:sz w:val="24"/>
        </w:rPr>
        <w:t>辑学是以思维形式及其规律和某些简单的逻辑方法为研究对象的一门工具性学科，是高等院校文科专业学生必修的基础课程。本课程重点讲授概念、命题及推理等基本思维形式的过程，以及形式逻辑的基本规律，并对定义、划分、限制、概括、论证等等基本逻辑方法进行介绍，并能简单运用。</w:t>
      </w:r>
    </w:p>
    <w:p w14:paraId="3C476ADB">
      <w:pPr>
        <w:spacing w:line="360" w:lineRule="auto"/>
        <w:ind w:firstLine="480" w:firstLineChars="200"/>
        <w:rPr>
          <w:bCs/>
          <w:kern w:val="0"/>
          <w:sz w:val="24"/>
        </w:rPr>
      </w:pPr>
      <w:r>
        <w:rPr>
          <w:bCs/>
          <w:kern w:val="0"/>
          <w:sz w:val="24"/>
        </w:rPr>
        <w:t xml:space="preserve"> </w:t>
      </w:r>
    </w:p>
    <w:p w14:paraId="5A8A018B">
      <w:pPr>
        <w:spacing w:line="360" w:lineRule="auto"/>
        <w:ind w:firstLine="562" w:firstLineChars="200"/>
        <w:rPr>
          <w:b/>
          <w:sz w:val="28"/>
          <w:szCs w:val="28"/>
        </w:rPr>
      </w:pPr>
      <w:r>
        <w:rPr>
          <w:rFonts w:hint="eastAsia"/>
          <w:b/>
          <w:sz w:val="28"/>
          <w:szCs w:val="28"/>
        </w:rPr>
        <w:t>二</w:t>
      </w:r>
      <w:r>
        <w:rPr>
          <w:b/>
          <w:sz w:val="28"/>
          <w:szCs w:val="28"/>
        </w:rPr>
        <w:t>、课程目标</w:t>
      </w:r>
    </w:p>
    <w:p w14:paraId="6A97805F">
      <w:pPr>
        <w:spacing w:line="360" w:lineRule="auto"/>
        <w:ind w:firstLine="562" w:firstLineChars="200"/>
        <w:rPr>
          <w:rFonts w:hint="eastAsia"/>
          <w:b/>
          <w:sz w:val="28"/>
          <w:szCs w:val="28"/>
        </w:rPr>
      </w:pPr>
      <w:r>
        <w:rPr>
          <w:rFonts w:hint="eastAsia"/>
          <w:b/>
          <w:sz w:val="28"/>
          <w:szCs w:val="28"/>
        </w:rPr>
        <w:t>（一）课程具体目标</w:t>
      </w:r>
    </w:p>
    <w:p w14:paraId="5C75700C">
      <w:pPr>
        <w:spacing w:line="360" w:lineRule="auto"/>
        <w:ind w:firstLine="482"/>
        <w:jc w:val="left"/>
        <w:rPr>
          <w:rFonts w:hint="eastAsia"/>
          <w:sz w:val="24"/>
        </w:rPr>
      </w:pPr>
      <w:r>
        <w:rPr>
          <w:rFonts w:hint="eastAsia"/>
          <w:sz w:val="24"/>
        </w:rPr>
        <w:t>目标1.了解逻辑学的学科特点，知道逻辑学与其他学科的关系，掌握逻辑学的研究对象及研究方法，思政目标是养成科学思维的意识，对我国传统的逻辑学感兴趣。</w:t>
      </w:r>
    </w:p>
    <w:p w14:paraId="2962166B">
      <w:pPr>
        <w:spacing w:line="360" w:lineRule="auto"/>
        <w:ind w:firstLine="482"/>
        <w:jc w:val="left"/>
        <w:rPr>
          <w:rFonts w:hint="eastAsia"/>
          <w:sz w:val="24"/>
        </w:rPr>
      </w:pPr>
      <w:r>
        <w:rPr>
          <w:rFonts w:hint="eastAsia"/>
          <w:sz w:val="24"/>
        </w:rPr>
        <w:t>目标2.</w:t>
      </w:r>
      <w:r>
        <w:rPr>
          <w:rFonts w:hint="eastAsia"/>
        </w:rPr>
        <w:t xml:space="preserve"> </w:t>
      </w:r>
      <w:r>
        <w:rPr>
          <w:rFonts w:hint="eastAsia"/>
          <w:sz w:val="24"/>
        </w:rPr>
        <w:t>了解判断、推理的逻辑特征和类型；理解概念的特征、种类、概念间的关系，三段论推理的规则，定义、划分的方法与规则；能正确地对概念进行概括与限制；会用欧拉图解表示概念间的关系、分析三段论的构成；</w:t>
      </w:r>
      <w:bookmarkStart w:id="238" w:name="_Hlk51103020"/>
      <w:r>
        <w:rPr>
          <w:rFonts w:hint="eastAsia"/>
          <w:sz w:val="24"/>
        </w:rPr>
        <w:t>思政目标是通过例证渗透爱国主义思想，分析不当言论的逻辑错误，提高学生的判断能力</w:t>
      </w:r>
      <w:bookmarkEnd w:id="238"/>
      <w:r>
        <w:rPr>
          <w:rFonts w:hint="eastAsia"/>
          <w:sz w:val="24"/>
        </w:rPr>
        <w:t>。</w:t>
      </w:r>
    </w:p>
    <w:p w14:paraId="3CAF431B">
      <w:pPr>
        <w:spacing w:line="360" w:lineRule="auto"/>
        <w:ind w:firstLine="482"/>
        <w:jc w:val="left"/>
        <w:rPr>
          <w:rFonts w:hint="eastAsia"/>
          <w:sz w:val="24"/>
        </w:rPr>
      </w:pPr>
      <w:r>
        <w:rPr>
          <w:rFonts w:hint="eastAsia"/>
          <w:sz w:val="24"/>
        </w:rPr>
        <w:t>目标3. 掌握三种复合判断的逻辑特征、逻辑结构式及其逻辑简式、真值表、归纳推理与演绎推理，能在生活中的运用二难推理，会用三种推理解决问题；思政目标是通过例证渗透社会主义核心价值观，分析不当言论的逻辑错误，提高学生的解决问题的能力。</w:t>
      </w:r>
    </w:p>
    <w:p w14:paraId="1939680A">
      <w:pPr>
        <w:spacing w:line="360" w:lineRule="auto"/>
        <w:ind w:firstLine="482"/>
        <w:jc w:val="left"/>
        <w:rPr>
          <w:rFonts w:hint="eastAsia"/>
          <w:sz w:val="24"/>
        </w:rPr>
      </w:pPr>
      <w:r>
        <w:rPr>
          <w:rFonts w:hint="eastAsia"/>
          <w:sz w:val="24"/>
        </w:rPr>
        <w:t>目标4. 熟练掌握形式逻辑基本规律和论证的主要方法；能正确运用这些规律和方法解决现实问题；思政目标是通过辩论等实践活动渗透社会主义核心价值观，提高学生的解决问题的能力。</w:t>
      </w:r>
    </w:p>
    <w:p w14:paraId="2BD27FF4">
      <w:pPr>
        <w:spacing w:line="360" w:lineRule="auto"/>
        <w:ind w:firstLine="482"/>
        <w:jc w:val="left"/>
        <w:rPr>
          <w:rFonts w:hint="eastAsia"/>
          <w:sz w:val="24"/>
        </w:rPr>
      </w:pPr>
      <w:r>
        <w:rPr>
          <w:rFonts w:hint="eastAsia" w:ascii="宋体" w:hAnsi="宋体"/>
          <w:b/>
          <w:color w:val="000000"/>
          <w:sz w:val="28"/>
          <w:szCs w:val="28"/>
        </w:rPr>
        <w:t>（二）课程目标与专业毕业要求的关系</w:t>
      </w:r>
    </w:p>
    <w:p w14:paraId="4CE7DE8B">
      <w:pPr>
        <w:spacing w:line="360" w:lineRule="auto"/>
        <w:ind w:firstLine="480" w:firstLineChars="200"/>
        <w:rPr>
          <w:color w:val="000000"/>
          <w:sz w:val="24"/>
        </w:rPr>
      </w:pPr>
      <w:r>
        <w:rPr>
          <w:color w:val="000000"/>
          <w:sz w:val="24"/>
        </w:rPr>
        <w:t>本课程支撑专业培养计划中毕业要求</w:t>
      </w:r>
      <w:r>
        <w:rPr>
          <w:rFonts w:hint="eastAsia"/>
          <w:color w:val="000000"/>
          <w:sz w:val="24"/>
        </w:rPr>
        <w:t>2-3</w:t>
      </w:r>
      <w:r>
        <w:rPr>
          <w:color w:val="000000"/>
          <w:sz w:val="24"/>
        </w:rPr>
        <w:t>、毕业要求</w:t>
      </w:r>
      <w:r>
        <w:rPr>
          <w:rFonts w:hint="eastAsia"/>
          <w:color w:val="000000"/>
          <w:sz w:val="24"/>
        </w:rPr>
        <w:t>3-1，对应关系如表所示。</w:t>
      </w:r>
      <w:r>
        <w:rPr>
          <w:rFonts w:hint="eastAsia"/>
          <w:color w:val="000000"/>
          <w:sz w:val="24"/>
        </w:rPr>
        <w:tab/>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2189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D322CAF">
            <w:pPr>
              <w:pStyle w:val="58"/>
              <w:spacing w:line="276" w:lineRule="auto"/>
              <w:ind w:firstLine="0" w:firstLineChars="0"/>
              <w:jc w:val="center"/>
              <w:rPr>
                <w:rFonts w:hint="eastAsia" w:ascii="宋体" w:hAnsi="宋体"/>
                <w:b/>
                <w:bCs/>
                <w:color w:val="000000"/>
                <w:szCs w:val="21"/>
              </w:rPr>
            </w:pPr>
            <w:r>
              <w:rPr>
                <w:rFonts w:hint="eastAsia" w:ascii="宋体" w:hAnsi="宋体"/>
                <w:b/>
                <w:bCs/>
                <w:color w:val="000000"/>
                <w:szCs w:val="21"/>
              </w:rPr>
              <w:t>课程目标</w:t>
            </w:r>
          </w:p>
        </w:tc>
        <w:tc>
          <w:tcPr>
            <w:tcW w:w="2223" w:type="dxa"/>
            <w:noWrap w:val="0"/>
            <w:vAlign w:val="center"/>
          </w:tcPr>
          <w:p w14:paraId="4466C986">
            <w:pPr>
              <w:pStyle w:val="58"/>
              <w:spacing w:line="276" w:lineRule="auto"/>
              <w:ind w:firstLine="0" w:firstLineChars="0"/>
              <w:jc w:val="center"/>
              <w:rPr>
                <w:rFonts w:hint="eastAsia" w:ascii="宋体" w:hAnsi="宋体"/>
                <w:b/>
                <w:bCs/>
                <w:color w:val="000000"/>
                <w:szCs w:val="21"/>
              </w:rPr>
            </w:pPr>
            <w:r>
              <w:rPr>
                <w:rFonts w:hint="eastAsia" w:ascii="宋体" w:hAnsi="宋体"/>
                <w:b/>
                <w:bCs/>
                <w:color w:val="000000"/>
                <w:szCs w:val="21"/>
              </w:rPr>
              <w:t>支撑的毕业要求</w:t>
            </w:r>
          </w:p>
        </w:tc>
        <w:tc>
          <w:tcPr>
            <w:tcW w:w="4977" w:type="dxa"/>
            <w:noWrap w:val="0"/>
            <w:vAlign w:val="center"/>
          </w:tcPr>
          <w:p w14:paraId="501FA90C">
            <w:pPr>
              <w:pStyle w:val="58"/>
              <w:spacing w:line="276" w:lineRule="auto"/>
              <w:ind w:firstLine="422"/>
              <w:jc w:val="center"/>
              <w:rPr>
                <w:rFonts w:hint="eastAsia" w:ascii="宋体" w:hAnsi="宋体"/>
                <w:b/>
                <w:bCs/>
                <w:color w:val="000000"/>
                <w:szCs w:val="21"/>
              </w:rPr>
            </w:pPr>
            <w:r>
              <w:rPr>
                <w:rFonts w:hint="eastAsia" w:ascii="宋体" w:hAnsi="宋体"/>
                <w:b/>
                <w:bCs/>
                <w:color w:val="000000"/>
                <w:szCs w:val="21"/>
              </w:rPr>
              <w:t>支撑的毕业要求指标点</w:t>
            </w:r>
          </w:p>
        </w:tc>
      </w:tr>
      <w:tr w14:paraId="3C16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748" w:type="dxa"/>
            <w:noWrap w:val="0"/>
            <w:vAlign w:val="center"/>
          </w:tcPr>
          <w:p w14:paraId="1AC8EC16">
            <w:pPr>
              <w:pStyle w:val="58"/>
              <w:spacing w:line="276" w:lineRule="auto"/>
              <w:ind w:firstLine="0" w:firstLineChars="0"/>
              <w:jc w:val="center"/>
              <w:rPr>
                <w:rFonts w:hint="eastAsia" w:ascii="宋体" w:hAnsi="宋体" w:cs="宋体"/>
                <w:bCs/>
                <w:color w:val="000000"/>
                <w:szCs w:val="21"/>
              </w:rPr>
            </w:pPr>
            <w:r>
              <w:rPr>
                <w:rFonts w:hint="eastAsia" w:ascii="宋体" w:hAnsi="宋体" w:cs="宋体"/>
                <w:bCs/>
                <w:color w:val="000000"/>
                <w:szCs w:val="21"/>
              </w:rPr>
              <w:t>课程目标1</w:t>
            </w:r>
          </w:p>
        </w:tc>
        <w:tc>
          <w:tcPr>
            <w:tcW w:w="2223" w:type="dxa"/>
            <w:noWrap w:val="0"/>
            <w:vAlign w:val="center"/>
          </w:tcPr>
          <w:p w14:paraId="1B4FA0CC">
            <w:pPr>
              <w:pStyle w:val="58"/>
              <w:spacing w:line="276" w:lineRule="auto"/>
              <w:ind w:firstLine="0" w:firstLineChars="0"/>
              <w:rPr>
                <w:rFonts w:hint="eastAsia" w:ascii="宋体" w:hAnsi="宋体"/>
                <w:color w:val="000000"/>
                <w:kern w:val="0"/>
                <w:szCs w:val="21"/>
              </w:rPr>
            </w:pPr>
            <w:r>
              <w:rPr>
                <w:rFonts w:hint="eastAsia" w:ascii="宋体" w:hAnsi="宋体"/>
                <w:color w:val="000000"/>
                <w:kern w:val="0"/>
                <w:szCs w:val="21"/>
              </w:rPr>
              <w:t>毕业要求2</w:t>
            </w:r>
            <w:r>
              <w:rPr>
                <w:rFonts w:ascii="宋体" w:hAnsi="宋体"/>
                <w:color w:val="000000"/>
                <w:kern w:val="0"/>
                <w:szCs w:val="21"/>
              </w:rPr>
              <w:t>.</w:t>
            </w:r>
            <w:r>
              <w:rPr>
                <w:rFonts w:hint="eastAsia" w:ascii="宋体" w:hAnsi="宋体"/>
                <w:color w:val="000000"/>
                <w:kern w:val="0"/>
                <w:szCs w:val="21"/>
              </w:rPr>
              <w:t>教育情怀</w:t>
            </w:r>
          </w:p>
        </w:tc>
        <w:tc>
          <w:tcPr>
            <w:tcW w:w="4977" w:type="dxa"/>
            <w:noWrap w:val="0"/>
            <w:vAlign w:val="center"/>
          </w:tcPr>
          <w:p w14:paraId="519BE01E">
            <w:pPr>
              <w:pStyle w:val="58"/>
              <w:spacing w:line="276" w:lineRule="auto"/>
              <w:ind w:firstLine="0" w:firstLineChars="0"/>
              <w:jc w:val="left"/>
              <w:rPr>
                <w:rFonts w:hint="eastAsia" w:ascii="宋体" w:hAnsi="宋体"/>
                <w:color w:val="000000"/>
                <w:kern w:val="0"/>
                <w:sz w:val="18"/>
                <w:szCs w:val="18"/>
              </w:rPr>
            </w:pPr>
            <w:r>
              <w:rPr>
                <w:rFonts w:hint="eastAsia" w:ascii="宋体" w:hAnsi="宋体"/>
                <w:color w:val="000000"/>
                <w:kern w:val="0"/>
                <w:szCs w:val="21"/>
              </w:rPr>
              <w:t>指标点2-3：具有较好的人文素养与艺术底蕴，人格健全，心理健康，情感丰富，为人师表。</w:t>
            </w:r>
          </w:p>
        </w:tc>
      </w:tr>
      <w:tr w14:paraId="132A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48" w:type="dxa"/>
            <w:noWrap w:val="0"/>
            <w:vAlign w:val="center"/>
          </w:tcPr>
          <w:p w14:paraId="4CA6D0B2">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课程目标2</w:t>
            </w:r>
          </w:p>
        </w:tc>
        <w:tc>
          <w:tcPr>
            <w:tcW w:w="2223" w:type="dxa"/>
            <w:noWrap w:val="0"/>
            <w:vAlign w:val="center"/>
          </w:tcPr>
          <w:p w14:paraId="5F4DEB44">
            <w:pPr>
              <w:pStyle w:val="58"/>
              <w:spacing w:line="276" w:lineRule="auto"/>
              <w:ind w:firstLine="0" w:firstLineChars="0"/>
              <w:rPr>
                <w:rFonts w:hint="eastAsia" w:ascii="宋体" w:hAnsi="宋体"/>
                <w:color w:val="000000"/>
                <w:kern w:val="0"/>
                <w:szCs w:val="21"/>
              </w:rPr>
            </w:pPr>
            <w:r>
              <w:rPr>
                <w:rFonts w:hint="eastAsia" w:ascii="宋体" w:hAnsi="宋体"/>
                <w:color w:val="000000"/>
                <w:kern w:val="0"/>
                <w:szCs w:val="21"/>
              </w:rPr>
              <w:t>毕业要求3：</w:t>
            </w:r>
            <w:r>
              <w:rPr>
                <w:rFonts w:hint="eastAsia"/>
                <w:szCs w:val="23"/>
              </w:rPr>
              <w:t>学科素养</w:t>
            </w:r>
          </w:p>
        </w:tc>
        <w:tc>
          <w:tcPr>
            <w:tcW w:w="4977" w:type="dxa"/>
            <w:noWrap w:val="0"/>
            <w:vAlign w:val="center"/>
          </w:tcPr>
          <w:p w14:paraId="62F317AE">
            <w:pPr>
              <w:pStyle w:val="58"/>
              <w:spacing w:line="276" w:lineRule="auto"/>
              <w:ind w:firstLine="0" w:firstLineChars="0"/>
              <w:jc w:val="left"/>
              <w:rPr>
                <w:rFonts w:hint="eastAsia" w:ascii="宋体" w:hAnsi="宋体"/>
                <w:color w:val="000000"/>
                <w:kern w:val="0"/>
                <w:sz w:val="18"/>
                <w:szCs w:val="18"/>
              </w:rPr>
            </w:pPr>
            <w:r>
              <w:rPr>
                <w:rFonts w:hint="eastAsia" w:ascii="宋体" w:hAnsi="宋体"/>
                <w:color w:val="000000"/>
                <w:kern w:val="0"/>
                <w:szCs w:val="21"/>
              </w:rPr>
              <w:t>指标点3-1：具有一定的人文社会与科学素养</w:t>
            </w:r>
          </w:p>
        </w:tc>
      </w:tr>
      <w:tr w14:paraId="4C96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748" w:type="dxa"/>
            <w:noWrap w:val="0"/>
            <w:vAlign w:val="center"/>
          </w:tcPr>
          <w:p w14:paraId="29A51489">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课程目标3</w:t>
            </w:r>
          </w:p>
        </w:tc>
        <w:tc>
          <w:tcPr>
            <w:tcW w:w="2223" w:type="dxa"/>
            <w:noWrap w:val="0"/>
            <w:vAlign w:val="center"/>
          </w:tcPr>
          <w:p w14:paraId="5F817118">
            <w:pPr>
              <w:pStyle w:val="58"/>
              <w:spacing w:line="276" w:lineRule="auto"/>
              <w:ind w:firstLine="0" w:firstLineChars="0"/>
              <w:rPr>
                <w:rFonts w:hint="eastAsia" w:ascii="宋体" w:hAnsi="宋体"/>
                <w:color w:val="000000"/>
                <w:spacing w:val="2"/>
                <w:kern w:val="0"/>
                <w:szCs w:val="21"/>
              </w:rPr>
            </w:pPr>
            <w:r>
              <w:rPr>
                <w:rFonts w:hint="eastAsia" w:ascii="宋体" w:hAnsi="宋体"/>
                <w:color w:val="000000"/>
                <w:kern w:val="0"/>
                <w:szCs w:val="21"/>
              </w:rPr>
              <w:t>毕业要求3：</w:t>
            </w:r>
            <w:r>
              <w:rPr>
                <w:rFonts w:hint="eastAsia"/>
                <w:szCs w:val="23"/>
              </w:rPr>
              <w:t>学科素养</w:t>
            </w:r>
          </w:p>
        </w:tc>
        <w:tc>
          <w:tcPr>
            <w:tcW w:w="4977" w:type="dxa"/>
            <w:noWrap w:val="0"/>
            <w:vAlign w:val="center"/>
          </w:tcPr>
          <w:p w14:paraId="0C49BA86">
            <w:pPr>
              <w:pStyle w:val="58"/>
              <w:spacing w:line="276" w:lineRule="auto"/>
              <w:ind w:firstLine="0" w:firstLineChars="0"/>
              <w:jc w:val="left"/>
              <w:rPr>
                <w:rFonts w:hint="eastAsia" w:ascii="宋体" w:hAnsi="宋体" w:cs="宋体"/>
                <w:color w:val="000000"/>
                <w:szCs w:val="21"/>
              </w:rPr>
            </w:pPr>
            <w:r>
              <w:rPr>
                <w:rFonts w:hint="eastAsia" w:ascii="宋体" w:hAnsi="宋体"/>
                <w:color w:val="000000"/>
                <w:kern w:val="0"/>
                <w:szCs w:val="21"/>
              </w:rPr>
              <w:t>指标点3-1：具有一定的人文社会与科学素养</w:t>
            </w:r>
            <w:r>
              <w:rPr>
                <w:rFonts w:ascii="宋体" w:hAnsi="宋体"/>
                <w:color w:val="000000"/>
                <w:kern w:val="0"/>
                <w:sz w:val="18"/>
                <w:szCs w:val="18"/>
              </w:rPr>
              <w:t xml:space="preserve"> </w:t>
            </w:r>
          </w:p>
        </w:tc>
      </w:tr>
      <w:tr w14:paraId="71CB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Merge w:val="restart"/>
            <w:noWrap w:val="0"/>
            <w:vAlign w:val="center"/>
          </w:tcPr>
          <w:p w14:paraId="5FDCAC57">
            <w:pPr>
              <w:pStyle w:val="58"/>
              <w:spacing w:line="276" w:lineRule="auto"/>
              <w:ind w:firstLine="0" w:firstLineChars="0"/>
              <w:jc w:val="center"/>
              <w:rPr>
                <w:rFonts w:hint="eastAsia" w:ascii="宋体" w:hAnsi="宋体" w:cs="宋体"/>
                <w:color w:val="000000"/>
                <w:szCs w:val="21"/>
              </w:rPr>
            </w:pPr>
            <w:r>
              <w:rPr>
                <w:rFonts w:hint="eastAsia" w:ascii="宋体" w:hAnsi="宋体" w:cs="宋体"/>
                <w:color w:val="000000"/>
                <w:szCs w:val="21"/>
              </w:rPr>
              <w:t>课程目标4</w:t>
            </w:r>
          </w:p>
        </w:tc>
        <w:tc>
          <w:tcPr>
            <w:tcW w:w="2223" w:type="dxa"/>
            <w:noWrap w:val="0"/>
            <w:vAlign w:val="center"/>
          </w:tcPr>
          <w:p w14:paraId="0AECF688">
            <w:pPr>
              <w:pStyle w:val="58"/>
              <w:spacing w:line="276" w:lineRule="auto"/>
              <w:ind w:firstLine="0" w:firstLineChars="0"/>
              <w:rPr>
                <w:rFonts w:hint="eastAsia" w:ascii="宋体" w:hAnsi="宋体"/>
                <w:color w:val="000000"/>
                <w:kern w:val="0"/>
                <w:szCs w:val="21"/>
              </w:rPr>
            </w:pPr>
            <w:r>
              <w:rPr>
                <w:rFonts w:hint="eastAsia" w:ascii="宋体" w:hAnsi="宋体"/>
                <w:color w:val="000000"/>
                <w:kern w:val="0"/>
                <w:szCs w:val="21"/>
              </w:rPr>
              <w:t>毕业要求2</w:t>
            </w:r>
            <w:r>
              <w:rPr>
                <w:rFonts w:ascii="宋体" w:hAnsi="宋体"/>
                <w:color w:val="000000"/>
                <w:kern w:val="0"/>
                <w:szCs w:val="21"/>
              </w:rPr>
              <w:t>.</w:t>
            </w:r>
            <w:r>
              <w:rPr>
                <w:rFonts w:hint="eastAsia" w:ascii="宋体" w:hAnsi="宋体"/>
                <w:color w:val="000000"/>
                <w:kern w:val="0"/>
                <w:szCs w:val="21"/>
              </w:rPr>
              <w:t>教育情怀</w:t>
            </w:r>
          </w:p>
        </w:tc>
        <w:tc>
          <w:tcPr>
            <w:tcW w:w="4977" w:type="dxa"/>
            <w:noWrap w:val="0"/>
            <w:vAlign w:val="center"/>
          </w:tcPr>
          <w:p w14:paraId="06092F54">
            <w:pPr>
              <w:pStyle w:val="58"/>
              <w:spacing w:line="276" w:lineRule="auto"/>
              <w:ind w:firstLine="0" w:firstLineChars="0"/>
              <w:jc w:val="left"/>
              <w:rPr>
                <w:rFonts w:hint="eastAsia" w:ascii="宋体" w:hAnsi="宋体"/>
                <w:color w:val="000000"/>
                <w:kern w:val="0"/>
                <w:sz w:val="18"/>
                <w:szCs w:val="18"/>
              </w:rPr>
            </w:pPr>
            <w:r>
              <w:rPr>
                <w:rFonts w:hint="eastAsia" w:ascii="宋体" w:hAnsi="宋体"/>
                <w:color w:val="000000"/>
                <w:kern w:val="0"/>
                <w:szCs w:val="21"/>
              </w:rPr>
              <w:t>指标点2-3：具有较好的人文素养与艺术底蕴，人格健全，心理健康，情感丰富，为人师表。</w:t>
            </w:r>
          </w:p>
        </w:tc>
      </w:tr>
      <w:tr w14:paraId="757F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Merge w:val="continue"/>
            <w:noWrap w:val="0"/>
            <w:vAlign w:val="center"/>
          </w:tcPr>
          <w:p w14:paraId="6E31777D">
            <w:pPr>
              <w:pStyle w:val="58"/>
              <w:spacing w:line="276" w:lineRule="auto"/>
              <w:ind w:firstLine="0" w:firstLineChars="0"/>
              <w:jc w:val="center"/>
              <w:rPr>
                <w:rFonts w:hint="eastAsia" w:ascii="宋体" w:hAnsi="宋体" w:cs="宋体"/>
                <w:color w:val="000000"/>
                <w:szCs w:val="21"/>
              </w:rPr>
            </w:pPr>
          </w:p>
        </w:tc>
        <w:tc>
          <w:tcPr>
            <w:tcW w:w="2223" w:type="dxa"/>
            <w:noWrap w:val="0"/>
            <w:vAlign w:val="center"/>
          </w:tcPr>
          <w:p w14:paraId="75556CA9">
            <w:pPr>
              <w:pStyle w:val="58"/>
              <w:spacing w:line="276" w:lineRule="auto"/>
              <w:ind w:firstLine="0" w:firstLineChars="0"/>
              <w:rPr>
                <w:rFonts w:hint="eastAsia" w:ascii="宋体" w:hAnsi="宋体"/>
                <w:color w:val="000000"/>
                <w:spacing w:val="2"/>
                <w:kern w:val="0"/>
                <w:szCs w:val="21"/>
              </w:rPr>
            </w:pPr>
            <w:r>
              <w:rPr>
                <w:rFonts w:hint="eastAsia" w:ascii="宋体" w:hAnsi="宋体"/>
                <w:color w:val="000000"/>
                <w:kern w:val="0"/>
                <w:szCs w:val="21"/>
              </w:rPr>
              <w:t>毕业要求3：</w:t>
            </w:r>
            <w:r>
              <w:rPr>
                <w:rFonts w:hint="eastAsia"/>
                <w:szCs w:val="23"/>
              </w:rPr>
              <w:t>学科素养</w:t>
            </w:r>
          </w:p>
        </w:tc>
        <w:tc>
          <w:tcPr>
            <w:tcW w:w="4977" w:type="dxa"/>
            <w:noWrap w:val="0"/>
            <w:vAlign w:val="center"/>
          </w:tcPr>
          <w:p w14:paraId="26A4C21D">
            <w:pPr>
              <w:pStyle w:val="58"/>
              <w:spacing w:line="276" w:lineRule="auto"/>
              <w:ind w:firstLine="0" w:firstLineChars="0"/>
              <w:jc w:val="left"/>
              <w:rPr>
                <w:rFonts w:hint="eastAsia" w:ascii="宋体" w:hAnsi="宋体" w:cs="宋体"/>
                <w:color w:val="000000"/>
                <w:szCs w:val="21"/>
              </w:rPr>
            </w:pPr>
            <w:r>
              <w:rPr>
                <w:rFonts w:hint="eastAsia" w:ascii="宋体" w:hAnsi="宋体"/>
                <w:color w:val="000000"/>
                <w:kern w:val="0"/>
                <w:szCs w:val="21"/>
              </w:rPr>
              <w:t>指标点3-1：具有一定的人文社会与科学素养</w:t>
            </w:r>
            <w:r>
              <w:rPr>
                <w:rFonts w:ascii="宋体" w:hAnsi="宋体"/>
                <w:color w:val="000000"/>
                <w:kern w:val="0"/>
                <w:sz w:val="18"/>
                <w:szCs w:val="18"/>
              </w:rPr>
              <w:t xml:space="preserve"> </w:t>
            </w:r>
          </w:p>
        </w:tc>
      </w:tr>
    </w:tbl>
    <w:p w14:paraId="08BF012B">
      <w:pPr>
        <w:spacing w:line="360" w:lineRule="auto"/>
        <w:ind w:firstLine="562" w:firstLineChars="200"/>
        <w:rPr>
          <w:b/>
          <w:sz w:val="28"/>
          <w:szCs w:val="28"/>
        </w:rPr>
      </w:pPr>
    </w:p>
    <w:p w14:paraId="0E944B3E">
      <w:pPr>
        <w:spacing w:line="360" w:lineRule="auto"/>
        <w:ind w:firstLine="562" w:firstLineChars="200"/>
        <w:rPr>
          <w:sz w:val="24"/>
        </w:rPr>
      </w:pPr>
      <w:r>
        <w:rPr>
          <w:rFonts w:hint="eastAsia"/>
          <w:b/>
          <w:sz w:val="28"/>
          <w:szCs w:val="28"/>
        </w:rPr>
        <w:t>三</w:t>
      </w:r>
      <w:r>
        <w:rPr>
          <w:b/>
          <w:sz w:val="28"/>
          <w:szCs w:val="28"/>
        </w:rPr>
        <w:t>、课程内容及要求</w:t>
      </w:r>
    </w:p>
    <w:p w14:paraId="1AF71CA5">
      <w:pPr>
        <w:spacing w:line="360" w:lineRule="auto"/>
        <w:ind w:firstLine="482" w:firstLineChars="200"/>
        <w:rPr>
          <w:rFonts w:hint="eastAsia"/>
          <w:b/>
          <w:sz w:val="24"/>
        </w:rPr>
      </w:pPr>
      <w:r>
        <w:rPr>
          <w:rFonts w:hint="eastAsia"/>
          <w:b/>
          <w:sz w:val="24"/>
        </w:rPr>
        <w:t>（一）绪论</w:t>
      </w:r>
      <w:bookmarkStart w:id="239" w:name="_Hlk21982891"/>
      <w:r>
        <w:rPr>
          <w:rFonts w:hint="eastAsia"/>
          <w:b/>
          <w:sz w:val="24"/>
        </w:rPr>
        <w:t>（本模块各知识点的讲授与学习，可以支撑课程目标1）</w:t>
      </w:r>
      <w:bookmarkEnd w:id="239"/>
    </w:p>
    <w:p w14:paraId="799E4FD0">
      <w:pPr>
        <w:spacing w:line="360" w:lineRule="auto"/>
        <w:ind w:firstLine="482" w:firstLineChars="200"/>
        <w:rPr>
          <w:sz w:val="24"/>
        </w:rPr>
      </w:pPr>
      <w:r>
        <w:rPr>
          <w:rFonts w:hint="eastAsia"/>
          <w:b/>
          <w:bCs/>
          <w:sz w:val="24"/>
        </w:rPr>
        <w:t>1.学习内容</w:t>
      </w:r>
      <w:r>
        <w:rPr>
          <w:rFonts w:hint="eastAsia"/>
          <w:sz w:val="24"/>
        </w:rPr>
        <w:t>：</w:t>
      </w:r>
    </w:p>
    <w:p w14:paraId="7DAF54F7">
      <w:pPr>
        <w:spacing w:line="360" w:lineRule="auto"/>
        <w:ind w:firstLine="480" w:firstLineChars="200"/>
        <w:rPr>
          <w:rFonts w:hint="eastAsia"/>
          <w:sz w:val="24"/>
        </w:rPr>
      </w:pPr>
      <w:r>
        <w:rPr>
          <w:rFonts w:hint="eastAsia"/>
          <w:sz w:val="24"/>
        </w:rPr>
        <w:t>（1）形式逻辑的研究对象、性质和作用</w:t>
      </w:r>
    </w:p>
    <w:p w14:paraId="7F484AD8">
      <w:pPr>
        <w:spacing w:line="360" w:lineRule="auto"/>
        <w:ind w:firstLine="480" w:firstLineChars="200"/>
        <w:rPr>
          <w:rFonts w:hint="eastAsia"/>
          <w:sz w:val="24"/>
        </w:rPr>
      </w:pPr>
      <w:r>
        <w:rPr>
          <w:rFonts w:hint="eastAsia"/>
          <w:sz w:val="24"/>
        </w:rPr>
        <w:t>（2）形式逻辑、数理逻辑和辩证逻辑三者间的关系</w:t>
      </w:r>
    </w:p>
    <w:p w14:paraId="2C5CA64F">
      <w:pPr>
        <w:spacing w:line="360" w:lineRule="auto"/>
        <w:ind w:firstLine="472" w:firstLineChars="196"/>
        <w:rPr>
          <w:b/>
          <w:bCs/>
          <w:sz w:val="24"/>
        </w:rPr>
      </w:pPr>
      <w:r>
        <w:rPr>
          <w:rFonts w:hint="eastAsia"/>
          <w:b/>
          <w:bCs/>
          <w:sz w:val="24"/>
        </w:rPr>
        <w:t>2.学习要求：</w:t>
      </w:r>
    </w:p>
    <w:p w14:paraId="7187191D">
      <w:pPr>
        <w:spacing w:line="360" w:lineRule="auto"/>
        <w:ind w:firstLine="480" w:firstLineChars="200"/>
        <w:rPr>
          <w:rFonts w:hint="eastAsia"/>
          <w:b/>
          <w:bCs/>
          <w:sz w:val="24"/>
        </w:rPr>
      </w:pPr>
      <w:r>
        <w:rPr>
          <w:rFonts w:hint="eastAsia"/>
          <w:sz w:val="24"/>
        </w:rPr>
        <w:t>掌握形式逻辑的研究对象；了解形式逻辑的性质、作用及其和数理逻辑、辩证逻辑的关系。</w:t>
      </w:r>
    </w:p>
    <w:p w14:paraId="3F0171FF">
      <w:pPr>
        <w:spacing w:line="360" w:lineRule="auto"/>
        <w:ind w:firstLine="482" w:firstLineChars="200"/>
        <w:rPr>
          <w:b/>
          <w:bCs/>
          <w:sz w:val="24"/>
        </w:rPr>
      </w:pPr>
      <w:r>
        <w:rPr>
          <w:rFonts w:hint="eastAsia"/>
          <w:b/>
          <w:bCs/>
          <w:sz w:val="24"/>
        </w:rPr>
        <w:t>教学重点：</w:t>
      </w:r>
      <w:r>
        <w:rPr>
          <w:rFonts w:hint="eastAsia"/>
          <w:sz w:val="24"/>
        </w:rPr>
        <w:t>掌握形式逻辑的研究对象</w:t>
      </w:r>
    </w:p>
    <w:p w14:paraId="0ED09DEE">
      <w:pPr>
        <w:spacing w:line="360" w:lineRule="auto"/>
        <w:ind w:firstLine="482" w:firstLineChars="200"/>
        <w:rPr>
          <w:rFonts w:hint="eastAsia"/>
          <w:b/>
          <w:bCs/>
          <w:sz w:val="24"/>
        </w:rPr>
      </w:pPr>
      <w:r>
        <w:rPr>
          <w:rFonts w:hint="eastAsia"/>
          <w:b/>
          <w:bCs/>
          <w:sz w:val="24"/>
        </w:rPr>
        <w:t>教学难点：</w:t>
      </w:r>
      <w:r>
        <w:rPr>
          <w:rFonts w:hint="eastAsia"/>
          <w:sz w:val="24"/>
        </w:rPr>
        <w:t>掌握形式逻辑的研究对象</w:t>
      </w:r>
      <w:r>
        <w:rPr>
          <w:rFonts w:hint="eastAsia"/>
          <w:b/>
          <w:bCs/>
          <w:sz w:val="24"/>
        </w:rPr>
        <w:t xml:space="preserve"> </w:t>
      </w:r>
    </w:p>
    <w:p w14:paraId="369795B0">
      <w:pPr>
        <w:spacing w:line="360" w:lineRule="auto"/>
        <w:ind w:firstLine="482" w:firstLineChars="200"/>
        <w:rPr>
          <w:rFonts w:hint="eastAsia"/>
          <w:b/>
          <w:sz w:val="24"/>
        </w:rPr>
      </w:pPr>
      <w:r>
        <w:rPr>
          <w:rFonts w:hint="eastAsia"/>
          <w:b/>
          <w:sz w:val="24"/>
        </w:rPr>
        <w:t>（二）概念（本模块各知识点的讲授与学习，可以支撑课程目标2）</w:t>
      </w:r>
    </w:p>
    <w:p w14:paraId="093F3E34">
      <w:pPr>
        <w:spacing w:line="360" w:lineRule="auto"/>
        <w:ind w:firstLine="482" w:firstLineChars="200"/>
        <w:rPr>
          <w:sz w:val="24"/>
        </w:rPr>
      </w:pPr>
      <w:r>
        <w:rPr>
          <w:rFonts w:hint="eastAsia"/>
          <w:b/>
          <w:bCs/>
          <w:sz w:val="24"/>
        </w:rPr>
        <w:t>1.学习内容</w:t>
      </w:r>
      <w:r>
        <w:rPr>
          <w:rFonts w:hint="eastAsia"/>
          <w:sz w:val="24"/>
        </w:rPr>
        <w:t>：</w:t>
      </w:r>
    </w:p>
    <w:p w14:paraId="624351DC">
      <w:pPr>
        <w:spacing w:line="360" w:lineRule="auto"/>
        <w:ind w:firstLine="480" w:firstLineChars="200"/>
        <w:rPr>
          <w:rFonts w:hint="eastAsia"/>
          <w:sz w:val="24"/>
        </w:rPr>
      </w:pPr>
      <w:r>
        <w:rPr>
          <w:rFonts w:hint="eastAsia"/>
          <w:sz w:val="24"/>
        </w:rPr>
        <w:t>（1）概念的内涵与外延</w:t>
      </w:r>
    </w:p>
    <w:p w14:paraId="32272055">
      <w:pPr>
        <w:spacing w:line="360" w:lineRule="auto"/>
        <w:ind w:firstLine="480" w:firstLineChars="200"/>
        <w:rPr>
          <w:rFonts w:hint="eastAsia"/>
          <w:sz w:val="24"/>
        </w:rPr>
      </w:pPr>
      <w:r>
        <w:rPr>
          <w:rFonts w:hint="eastAsia"/>
          <w:sz w:val="24"/>
        </w:rPr>
        <w:t>（2）概念的种类</w:t>
      </w:r>
    </w:p>
    <w:p w14:paraId="48F311AD">
      <w:pPr>
        <w:spacing w:line="360" w:lineRule="auto"/>
        <w:ind w:firstLine="480" w:firstLineChars="200"/>
        <w:rPr>
          <w:rFonts w:hint="eastAsia"/>
          <w:sz w:val="24"/>
        </w:rPr>
      </w:pPr>
      <w:r>
        <w:rPr>
          <w:rFonts w:hint="eastAsia"/>
          <w:sz w:val="24"/>
        </w:rPr>
        <w:t>（</w:t>
      </w:r>
      <w:r>
        <w:rPr>
          <w:sz w:val="24"/>
        </w:rPr>
        <w:t>3</w:t>
      </w:r>
      <w:r>
        <w:rPr>
          <w:rFonts w:hint="eastAsia"/>
          <w:sz w:val="24"/>
        </w:rPr>
        <w:t>）概念间的关系</w:t>
      </w:r>
    </w:p>
    <w:p w14:paraId="41F4AE2A">
      <w:pPr>
        <w:spacing w:line="360" w:lineRule="auto"/>
        <w:ind w:firstLine="480" w:firstLineChars="200"/>
        <w:rPr>
          <w:rFonts w:hint="eastAsia"/>
          <w:sz w:val="24"/>
        </w:rPr>
      </w:pPr>
      <w:r>
        <w:rPr>
          <w:rFonts w:hint="eastAsia"/>
          <w:sz w:val="24"/>
        </w:rPr>
        <w:t>（4）定义</w:t>
      </w:r>
    </w:p>
    <w:p w14:paraId="08B742A5">
      <w:pPr>
        <w:spacing w:line="360" w:lineRule="auto"/>
        <w:ind w:firstLine="480" w:firstLineChars="200"/>
        <w:rPr>
          <w:rFonts w:hint="eastAsia"/>
          <w:sz w:val="24"/>
        </w:rPr>
      </w:pPr>
      <w:r>
        <w:rPr>
          <w:rFonts w:hint="eastAsia"/>
          <w:sz w:val="24"/>
        </w:rPr>
        <w:t>（5）划分</w:t>
      </w:r>
    </w:p>
    <w:p w14:paraId="7645E861">
      <w:pPr>
        <w:spacing w:line="360" w:lineRule="auto"/>
        <w:ind w:firstLine="480" w:firstLineChars="200"/>
        <w:rPr>
          <w:rFonts w:hint="eastAsia"/>
          <w:sz w:val="24"/>
        </w:rPr>
      </w:pPr>
      <w:r>
        <w:rPr>
          <w:rFonts w:hint="eastAsia"/>
          <w:sz w:val="24"/>
        </w:rPr>
        <w:t>（6）概括与限制</w:t>
      </w:r>
    </w:p>
    <w:p w14:paraId="34F26E81">
      <w:pPr>
        <w:spacing w:line="360" w:lineRule="auto"/>
        <w:ind w:firstLine="472" w:firstLineChars="196"/>
        <w:rPr>
          <w:b/>
          <w:bCs/>
          <w:sz w:val="24"/>
        </w:rPr>
      </w:pPr>
      <w:r>
        <w:rPr>
          <w:rFonts w:hint="eastAsia"/>
          <w:b/>
          <w:bCs/>
          <w:sz w:val="24"/>
        </w:rPr>
        <w:t>2.学习要求：</w:t>
      </w:r>
    </w:p>
    <w:p w14:paraId="3F061D63">
      <w:pPr>
        <w:spacing w:line="360" w:lineRule="auto"/>
        <w:ind w:firstLine="480" w:firstLineChars="200"/>
        <w:rPr>
          <w:sz w:val="24"/>
        </w:rPr>
      </w:pPr>
      <w:r>
        <w:rPr>
          <w:rFonts w:hint="eastAsia"/>
          <w:sz w:val="24"/>
        </w:rPr>
        <w:t>（1）理解概念的特征、种类、概念间的关系；</w:t>
      </w:r>
    </w:p>
    <w:p w14:paraId="5C1F6066">
      <w:pPr>
        <w:spacing w:line="360" w:lineRule="auto"/>
        <w:ind w:firstLine="480" w:firstLineChars="200"/>
        <w:rPr>
          <w:sz w:val="24"/>
        </w:rPr>
      </w:pPr>
      <w:r>
        <w:rPr>
          <w:rFonts w:hint="eastAsia"/>
          <w:sz w:val="24"/>
        </w:rPr>
        <w:t>（</w:t>
      </w:r>
      <w:r>
        <w:rPr>
          <w:sz w:val="24"/>
        </w:rPr>
        <w:t>2</w:t>
      </w:r>
      <w:r>
        <w:rPr>
          <w:rFonts w:hint="eastAsia"/>
          <w:sz w:val="24"/>
        </w:rPr>
        <w:t>）掌握定义、划分的方法与规则；</w:t>
      </w:r>
    </w:p>
    <w:p w14:paraId="41C46335">
      <w:pPr>
        <w:spacing w:line="360" w:lineRule="auto"/>
        <w:ind w:firstLine="480" w:firstLineChars="200"/>
        <w:rPr>
          <w:rFonts w:hint="eastAsia"/>
          <w:sz w:val="24"/>
        </w:rPr>
      </w:pPr>
      <w:r>
        <w:rPr>
          <w:rFonts w:hint="eastAsia"/>
          <w:sz w:val="24"/>
        </w:rPr>
        <w:t>（3）能正确地对概念进行概括与限制；会用欧拉图解表示概念间的关系。</w:t>
      </w:r>
    </w:p>
    <w:p w14:paraId="2535A812">
      <w:pPr>
        <w:spacing w:line="360" w:lineRule="auto"/>
        <w:ind w:firstLine="482" w:firstLineChars="200"/>
        <w:rPr>
          <w:b/>
          <w:bCs/>
          <w:sz w:val="24"/>
        </w:rPr>
      </w:pPr>
      <w:r>
        <w:rPr>
          <w:rFonts w:hint="eastAsia"/>
          <w:b/>
          <w:bCs/>
          <w:sz w:val="24"/>
        </w:rPr>
        <w:t>教学重点：</w:t>
      </w:r>
      <w:r>
        <w:rPr>
          <w:rFonts w:hint="eastAsia"/>
          <w:sz w:val="24"/>
        </w:rPr>
        <w:t>理解概念的特征、种类、概念间的关系</w:t>
      </w:r>
    </w:p>
    <w:p w14:paraId="6DFCC787">
      <w:pPr>
        <w:spacing w:line="360" w:lineRule="auto"/>
        <w:ind w:firstLine="482" w:firstLineChars="200"/>
        <w:rPr>
          <w:rFonts w:hint="eastAsia"/>
          <w:b/>
          <w:bCs/>
          <w:sz w:val="24"/>
        </w:rPr>
      </w:pPr>
      <w:r>
        <w:rPr>
          <w:rFonts w:hint="eastAsia"/>
          <w:b/>
          <w:bCs/>
          <w:sz w:val="24"/>
        </w:rPr>
        <w:t>教学难点：</w:t>
      </w:r>
      <w:r>
        <w:rPr>
          <w:rFonts w:hint="eastAsia"/>
          <w:sz w:val="24"/>
        </w:rPr>
        <w:t>掌握定义、划分的方法与规则</w:t>
      </w:r>
    </w:p>
    <w:p w14:paraId="39E3173D">
      <w:pPr>
        <w:spacing w:line="360" w:lineRule="auto"/>
        <w:ind w:firstLine="482" w:firstLineChars="200"/>
        <w:rPr>
          <w:rFonts w:hint="eastAsia"/>
          <w:sz w:val="24"/>
        </w:rPr>
      </w:pPr>
      <w:r>
        <w:rPr>
          <w:rFonts w:hint="eastAsia"/>
          <w:b/>
          <w:sz w:val="24"/>
        </w:rPr>
        <w:t>（三）简单判断及其推理（本模块各知识点的讲授与学习，可以支撑课程目标2）</w:t>
      </w:r>
    </w:p>
    <w:p w14:paraId="684E2583">
      <w:pPr>
        <w:spacing w:line="360" w:lineRule="auto"/>
        <w:ind w:firstLine="482" w:firstLineChars="200"/>
        <w:rPr>
          <w:sz w:val="24"/>
        </w:rPr>
      </w:pPr>
      <w:r>
        <w:rPr>
          <w:rFonts w:hint="eastAsia"/>
          <w:b/>
          <w:bCs/>
          <w:sz w:val="24"/>
        </w:rPr>
        <w:t>1.学习内容</w:t>
      </w:r>
      <w:r>
        <w:rPr>
          <w:rFonts w:hint="eastAsia"/>
          <w:sz w:val="24"/>
        </w:rPr>
        <w:t>：</w:t>
      </w:r>
    </w:p>
    <w:p w14:paraId="3CB39004">
      <w:pPr>
        <w:spacing w:line="360" w:lineRule="auto"/>
        <w:ind w:firstLine="480" w:firstLineChars="200"/>
        <w:rPr>
          <w:rFonts w:hint="eastAsia"/>
          <w:sz w:val="24"/>
        </w:rPr>
      </w:pPr>
      <w:r>
        <w:rPr>
          <w:rFonts w:hint="eastAsia"/>
          <w:sz w:val="24"/>
        </w:rPr>
        <w:t>（1）判断的定义、表达与种类</w:t>
      </w:r>
    </w:p>
    <w:p w14:paraId="326BC15D">
      <w:pPr>
        <w:spacing w:line="360" w:lineRule="auto"/>
        <w:ind w:firstLine="480" w:firstLineChars="200"/>
        <w:rPr>
          <w:rFonts w:hint="eastAsia"/>
          <w:sz w:val="24"/>
        </w:rPr>
      </w:pPr>
      <w:r>
        <w:rPr>
          <w:rFonts w:hint="eastAsia"/>
          <w:sz w:val="24"/>
        </w:rPr>
        <w:t>（2）性质判断</w:t>
      </w:r>
    </w:p>
    <w:p w14:paraId="283BEB2B">
      <w:pPr>
        <w:spacing w:line="360" w:lineRule="auto"/>
        <w:ind w:firstLine="480" w:firstLineChars="200"/>
        <w:rPr>
          <w:rFonts w:hint="eastAsia"/>
          <w:sz w:val="24"/>
        </w:rPr>
      </w:pPr>
      <w:r>
        <w:rPr>
          <w:rFonts w:hint="eastAsia"/>
          <w:sz w:val="24"/>
        </w:rPr>
        <w:t xml:space="preserve">（3）推理的定义、表达与种类 </w:t>
      </w:r>
    </w:p>
    <w:p w14:paraId="3CE31E70">
      <w:pPr>
        <w:spacing w:line="360" w:lineRule="auto"/>
        <w:ind w:firstLine="480" w:firstLineChars="200"/>
        <w:rPr>
          <w:sz w:val="24"/>
        </w:rPr>
      </w:pPr>
      <w:r>
        <w:rPr>
          <w:rFonts w:hint="eastAsia"/>
          <w:sz w:val="24"/>
        </w:rPr>
        <w:t>（4）性质判断直接推理</w:t>
      </w:r>
    </w:p>
    <w:p w14:paraId="0438726E">
      <w:pPr>
        <w:spacing w:line="360" w:lineRule="auto"/>
        <w:ind w:firstLine="480" w:firstLineChars="200"/>
        <w:rPr>
          <w:rFonts w:hint="eastAsia"/>
          <w:sz w:val="24"/>
        </w:rPr>
      </w:pPr>
      <w:r>
        <w:rPr>
          <w:rFonts w:hint="eastAsia"/>
          <w:sz w:val="24"/>
        </w:rPr>
        <w:t>（5）三段论</w:t>
      </w:r>
    </w:p>
    <w:p w14:paraId="5A22EF26">
      <w:pPr>
        <w:spacing w:line="360" w:lineRule="auto"/>
        <w:ind w:firstLine="480" w:firstLineChars="200"/>
        <w:rPr>
          <w:rFonts w:hint="eastAsia"/>
          <w:sz w:val="24"/>
        </w:rPr>
      </w:pPr>
      <w:r>
        <w:rPr>
          <w:rFonts w:hint="eastAsia"/>
          <w:sz w:val="24"/>
        </w:rPr>
        <w:t>（6）关系判断及其推理</w:t>
      </w:r>
    </w:p>
    <w:p w14:paraId="3949CAB7">
      <w:pPr>
        <w:spacing w:line="360" w:lineRule="auto"/>
        <w:ind w:firstLine="472" w:firstLineChars="196"/>
        <w:rPr>
          <w:b/>
          <w:bCs/>
          <w:sz w:val="24"/>
        </w:rPr>
      </w:pPr>
      <w:r>
        <w:rPr>
          <w:rFonts w:hint="eastAsia"/>
          <w:b/>
          <w:bCs/>
          <w:sz w:val="24"/>
        </w:rPr>
        <w:t>2.学习要求：</w:t>
      </w:r>
    </w:p>
    <w:p w14:paraId="3AB51F32">
      <w:pPr>
        <w:spacing w:line="360" w:lineRule="auto"/>
        <w:ind w:firstLine="480" w:firstLineChars="200"/>
        <w:rPr>
          <w:sz w:val="24"/>
        </w:rPr>
      </w:pPr>
      <w:r>
        <w:rPr>
          <w:rFonts w:hint="eastAsia"/>
          <w:sz w:val="24"/>
        </w:rPr>
        <w:t>（1</w:t>
      </w:r>
      <w:bookmarkStart w:id="240" w:name="_Hlk526665405"/>
      <w:r>
        <w:rPr>
          <w:rFonts w:hint="eastAsia"/>
          <w:sz w:val="24"/>
        </w:rPr>
        <w:t>）了解判断、推理的逻辑特征和类型，常见关系判断及其推理；</w:t>
      </w:r>
      <w:bookmarkEnd w:id="240"/>
    </w:p>
    <w:p w14:paraId="36A61A26">
      <w:pPr>
        <w:spacing w:line="360" w:lineRule="auto"/>
        <w:ind w:firstLine="480" w:firstLineChars="200"/>
        <w:rPr>
          <w:rFonts w:hint="eastAsia"/>
          <w:sz w:val="24"/>
        </w:rPr>
      </w:pPr>
      <w:r>
        <w:rPr>
          <w:rFonts w:hint="eastAsia"/>
          <w:sz w:val="24"/>
        </w:rPr>
        <w:t>（</w:t>
      </w:r>
      <w:r>
        <w:rPr>
          <w:sz w:val="24"/>
        </w:rPr>
        <w:t>2</w:t>
      </w:r>
      <w:r>
        <w:rPr>
          <w:rFonts w:hint="eastAsia"/>
          <w:sz w:val="24"/>
        </w:rPr>
        <w:t>）掌握性质判断的种类，性质相同的A、E、I、O四种性质判断间的对当关系，性质判断构成的直接推理。</w:t>
      </w:r>
    </w:p>
    <w:p w14:paraId="4D5400B1">
      <w:pPr>
        <w:spacing w:line="360" w:lineRule="auto"/>
        <w:ind w:firstLine="480" w:firstLineChars="200"/>
        <w:rPr>
          <w:rFonts w:hint="eastAsia"/>
          <w:sz w:val="24"/>
        </w:rPr>
      </w:pPr>
      <w:r>
        <w:rPr>
          <w:rFonts w:hint="eastAsia"/>
          <w:sz w:val="24"/>
        </w:rPr>
        <w:t>（</w:t>
      </w:r>
      <w:r>
        <w:rPr>
          <w:sz w:val="24"/>
        </w:rPr>
        <w:t>3</w:t>
      </w:r>
      <w:r>
        <w:rPr>
          <w:rFonts w:hint="eastAsia"/>
          <w:sz w:val="24"/>
        </w:rPr>
        <w:t>）掌握三段论推理的规则及省略三段论的补充；会分析三段论的构成。</w:t>
      </w:r>
    </w:p>
    <w:p w14:paraId="22FBC981">
      <w:pPr>
        <w:spacing w:line="360" w:lineRule="auto"/>
        <w:ind w:firstLine="482" w:firstLineChars="200"/>
        <w:rPr>
          <w:b/>
          <w:bCs/>
          <w:sz w:val="24"/>
        </w:rPr>
      </w:pPr>
      <w:r>
        <w:rPr>
          <w:rFonts w:hint="eastAsia"/>
          <w:b/>
          <w:bCs/>
          <w:sz w:val="24"/>
        </w:rPr>
        <w:t>教学重点：</w:t>
      </w:r>
      <w:r>
        <w:rPr>
          <w:rFonts w:hint="eastAsia"/>
          <w:sz w:val="24"/>
        </w:rPr>
        <w:t>掌握三段论推理的规则和三段论的构成</w:t>
      </w:r>
      <w:r>
        <w:rPr>
          <w:b/>
          <w:bCs/>
          <w:sz w:val="24"/>
        </w:rPr>
        <w:t xml:space="preserve"> </w:t>
      </w:r>
    </w:p>
    <w:p w14:paraId="0478DEBB">
      <w:pPr>
        <w:spacing w:line="360" w:lineRule="auto"/>
        <w:ind w:firstLine="482" w:firstLineChars="200"/>
        <w:rPr>
          <w:rFonts w:hint="eastAsia"/>
          <w:b/>
          <w:bCs/>
          <w:sz w:val="24"/>
        </w:rPr>
      </w:pPr>
      <w:r>
        <w:rPr>
          <w:rFonts w:hint="eastAsia"/>
          <w:b/>
          <w:bCs/>
          <w:sz w:val="24"/>
        </w:rPr>
        <w:t>教学难点：</w:t>
      </w:r>
      <w:r>
        <w:rPr>
          <w:rFonts w:hint="eastAsia"/>
          <w:sz w:val="24"/>
        </w:rPr>
        <w:t>掌握性质相同的四种判断间的对当关系，性质判断构成的直接推理</w:t>
      </w:r>
      <w:r>
        <w:rPr>
          <w:rFonts w:hint="eastAsia"/>
          <w:b/>
          <w:bCs/>
          <w:sz w:val="24"/>
        </w:rPr>
        <w:t xml:space="preserve"> </w:t>
      </w:r>
    </w:p>
    <w:p w14:paraId="14A769FE">
      <w:pPr>
        <w:spacing w:line="360" w:lineRule="auto"/>
        <w:ind w:firstLine="482" w:firstLineChars="200"/>
        <w:rPr>
          <w:rFonts w:hint="eastAsia"/>
          <w:b/>
          <w:sz w:val="24"/>
        </w:rPr>
      </w:pPr>
      <w:r>
        <w:rPr>
          <w:rFonts w:hint="eastAsia"/>
          <w:b/>
          <w:sz w:val="24"/>
        </w:rPr>
        <w:t>（四）复合判断及其推理（本模块各知识点的讲授与学习，可以支撑课程目标3）</w:t>
      </w:r>
    </w:p>
    <w:p w14:paraId="1296DAB6">
      <w:pPr>
        <w:spacing w:line="360" w:lineRule="auto"/>
        <w:ind w:firstLine="482" w:firstLineChars="200"/>
        <w:rPr>
          <w:sz w:val="24"/>
        </w:rPr>
      </w:pPr>
      <w:r>
        <w:rPr>
          <w:rFonts w:hint="eastAsia"/>
          <w:b/>
          <w:bCs/>
          <w:sz w:val="24"/>
        </w:rPr>
        <w:t>1.学习内容</w:t>
      </w:r>
      <w:r>
        <w:rPr>
          <w:rFonts w:hint="eastAsia"/>
          <w:sz w:val="24"/>
        </w:rPr>
        <w:t>：</w:t>
      </w:r>
    </w:p>
    <w:p w14:paraId="249EB643">
      <w:pPr>
        <w:spacing w:line="360" w:lineRule="auto"/>
        <w:ind w:firstLine="480" w:firstLineChars="200"/>
        <w:rPr>
          <w:rFonts w:hint="eastAsia"/>
          <w:sz w:val="24"/>
        </w:rPr>
      </w:pPr>
      <w:r>
        <w:rPr>
          <w:rFonts w:hint="eastAsia"/>
          <w:sz w:val="24"/>
        </w:rPr>
        <w:t>（1）联言判断及其推理</w:t>
      </w:r>
    </w:p>
    <w:p w14:paraId="4CC073BB">
      <w:pPr>
        <w:spacing w:line="360" w:lineRule="auto"/>
        <w:ind w:firstLine="480" w:firstLineChars="200"/>
        <w:rPr>
          <w:rFonts w:hint="eastAsia"/>
          <w:sz w:val="24"/>
        </w:rPr>
      </w:pPr>
      <w:r>
        <w:rPr>
          <w:rFonts w:hint="eastAsia"/>
          <w:sz w:val="24"/>
        </w:rPr>
        <w:t>（2）选言判断及其推理</w:t>
      </w:r>
    </w:p>
    <w:p w14:paraId="676EF54A">
      <w:pPr>
        <w:spacing w:line="360" w:lineRule="auto"/>
        <w:ind w:firstLine="480" w:firstLineChars="200"/>
        <w:rPr>
          <w:sz w:val="24"/>
        </w:rPr>
      </w:pPr>
      <w:r>
        <w:rPr>
          <w:rFonts w:hint="eastAsia"/>
          <w:sz w:val="24"/>
        </w:rPr>
        <w:t>（3）假言判断及其推理</w:t>
      </w:r>
    </w:p>
    <w:p w14:paraId="0A193C29">
      <w:pPr>
        <w:spacing w:line="360" w:lineRule="auto"/>
        <w:ind w:firstLine="480" w:firstLineChars="200"/>
        <w:rPr>
          <w:rFonts w:hint="eastAsia"/>
          <w:sz w:val="24"/>
        </w:rPr>
      </w:pPr>
      <w:r>
        <w:rPr>
          <w:rFonts w:hint="eastAsia"/>
          <w:sz w:val="24"/>
        </w:rPr>
        <w:t>（4）负判断及其推理</w:t>
      </w:r>
    </w:p>
    <w:p w14:paraId="4596C640">
      <w:pPr>
        <w:spacing w:line="360" w:lineRule="auto"/>
        <w:ind w:firstLine="480" w:firstLineChars="200"/>
        <w:rPr>
          <w:rFonts w:hint="eastAsia"/>
          <w:sz w:val="24"/>
        </w:rPr>
      </w:pPr>
      <w:r>
        <w:rPr>
          <w:rFonts w:hint="eastAsia"/>
          <w:sz w:val="24"/>
        </w:rPr>
        <w:t>（5）真值表的判定作用</w:t>
      </w:r>
    </w:p>
    <w:p w14:paraId="347B2B8F">
      <w:pPr>
        <w:spacing w:line="360" w:lineRule="auto"/>
        <w:ind w:firstLine="480" w:firstLineChars="200"/>
        <w:rPr>
          <w:rFonts w:hint="eastAsia"/>
          <w:sz w:val="24"/>
        </w:rPr>
      </w:pPr>
      <w:r>
        <w:rPr>
          <w:rFonts w:hint="eastAsia"/>
          <w:sz w:val="24"/>
        </w:rPr>
        <w:t>（6）二难推理</w:t>
      </w:r>
    </w:p>
    <w:p w14:paraId="4F4B473B">
      <w:pPr>
        <w:spacing w:line="360" w:lineRule="auto"/>
        <w:ind w:firstLine="472" w:firstLineChars="196"/>
        <w:rPr>
          <w:b/>
          <w:bCs/>
          <w:sz w:val="24"/>
        </w:rPr>
      </w:pPr>
      <w:r>
        <w:rPr>
          <w:rFonts w:hint="eastAsia"/>
          <w:b/>
          <w:bCs/>
          <w:sz w:val="24"/>
        </w:rPr>
        <w:t>2.学习要求：</w:t>
      </w:r>
    </w:p>
    <w:p w14:paraId="4C852AFB">
      <w:pPr>
        <w:spacing w:line="360" w:lineRule="auto"/>
        <w:ind w:firstLine="480" w:firstLineChars="200"/>
        <w:rPr>
          <w:sz w:val="24"/>
        </w:rPr>
      </w:pPr>
      <w:r>
        <w:rPr>
          <w:rFonts w:hint="eastAsia"/>
          <w:sz w:val="24"/>
        </w:rPr>
        <w:t>（1）了解负判断及其等值判断；</w:t>
      </w:r>
      <w:bookmarkStart w:id="241" w:name="_Hlk21983773"/>
      <w:r>
        <w:rPr>
          <w:rFonts w:hint="eastAsia"/>
          <w:sz w:val="24"/>
        </w:rPr>
        <w:t>掌握三种复合判断的逻辑特征、逻辑结构式及其逻辑简式、真值表</w:t>
      </w:r>
      <w:bookmarkEnd w:id="241"/>
      <w:r>
        <w:rPr>
          <w:rFonts w:hint="eastAsia"/>
          <w:sz w:val="24"/>
        </w:rPr>
        <w:t>。</w:t>
      </w:r>
    </w:p>
    <w:p w14:paraId="77E480A5">
      <w:pPr>
        <w:spacing w:line="360" w:lineRule="auto"/>
        <w:ind w:firstLine="480" w:firstLineChars="200"/>
        <w:rPr>
          <w:rFonts w:hint="eastAsia"/>
          <w:sz w:val="24"/>
        </w:rPr>
      </w:pPr>
      <w:r>
        <w:rPr>
          <w:rFonts w:hint="eastAsia"/>
          <w:sz w:val="24"/>
        </w:rPr>
        <w:t>（</w:t>
      </w:r>
      <w:r>
        <w:rPr>
          <w:sz w:val="24"/>
        </w:rPr>
        <w:t>2</w:t>
      </w:r>
      <w:r>
        <w:rPr>
          <w:rFonts w:hint="eastAsia"/>
          <w:sz w:val="24"/>
        </w:rPr>
        <w:t>）学会运用三种复合推理的方法。</w:t>
      </w:r>
    </w:p>
    <w:p w14:paraId="4B6FF276">
      <w:pPr>
        <w:spacing w:line="360" w:lineRule="auto"/>
        <w:ind w:firstLine="480" w:firstLineChars="200"/>
        <w:rPr>
          <w:rFonts w:hint="eastAsia"/>
          <w:sz w:val="24"/>
        </w:rPr>
      </w:pPr>
      <w:r>
        <w:rPr>
          <w:rFonts w:hint="eastAsia"/>
          <w:sz w:val="24"/>
        </w:rPr>
        <w:t>（3）把握真值表的两种判定作用；</w:t>
      </w:r>
      <w:bookmarkStart w:id="242" w:name="_Hlk526665486"/>
      <w:r>
        <w:rPr>
          <w:rFonts w:hint="eastAsia"/>
          <w:sz w:val="24"/>
        </w:rPr>
        <w:t>能在生活中的运用二难推理</w:t>
      </w:r>
      <w:bookmarkEnd w:id="242"/>
      <w:r>
        <w:rPr>
          <w:rFonts w:hint="eastAsia"/>
          <w:sz w:val="24"/>
        </w:rPr>
        <w:t>。</w:t>
      </w:r>
    </w:p>
    <w:p w14:paraId="3EDD43FD">
      <w:pPr>
        <w:spacing w:line="360" w:lineRule="auto"/>
        <w:ind w:firstLine="482" w:firstLineChars="200"/>
        <w:rPr>
          <w:b/>
          <w:bCs/>
          <w:sz w:val="24"/>
        </w:rPr>
      </w:pPr>
      <w:r>
        <w:rPr>
          <w:rFonts w:hint="eastAsia"/>
          <w:b/>
          <w:bCs/>
          <w:sz w:val="24"/>
        </w:rPr>
        <w:t>教学重点：</w:t>
      </w:r>
      <w:r>
        <w:rPr>
          <w:rFonts w:hint="eastAsia"/>
          <w:sz w:val="24"/>
        </w:rPr>
        <w:t>掌握三种复合判断的逻辑特征、逻辑结构式及其逻辑简式、真值表</w:t>
      </w:r>
    </w:p>
    <w:p w14:paraId="6419DDF0">
      <w:pPr>
        <w:spacing w:line="360" w:lineRule="auto"/>
        <w:ind w:firstLine="482" w:firstLineChars="200"/>
        <w:rPr>
          <w:rFonts w:hint="eastAsia"/>
          <w:b/>
          <w:bCs/>
          <w:sz w:val="24"/>
        </w:rPr>
      </w:pPr>
      <w:r>
        <w:rPr>
          <w:rFonts w:hint="eastAsia"/>
          <w:b/>
          <w:bCs/>
          <w:sz w:val="24"/>
        </w:rPr>
        <w:t xml:space="preserve">教学难点： </w:t>
      </w:r>
      <w:r>
        <w:rPr>
          <w:rFonts w:hint="eastAsia"/>
          <w:sz w:val="24"/>
        </w:rPr>
        <w:t>能在生活中的运用二难推理</w:t>
      </w:r>
    </w:p>
    <w:p w14:paraId="724C6377">
      <w:pPr>
        <w:spacing w:line="360" w:lineRule="auto"/>
        <w:ind w:firstLine="482" w:firstLineChars="200"/>
        <w:rPr>
          <w:rFonts w:hint="eastAsia"/>
          <w:b/>
          <w:sz w:val="24"/>
        </w:rPr>
      </w:pPr>
      <w:r>
        <w:rPr>
          <w:rFonts w:hint="eastAsia"/>
          <w:b/>
          <w:sz w:val="24"/>
        </w:rPr>
        <w:t>（五）模态判断及其推理（本模块各知识点的讲授与学习，可以支撑课程目标3）</w:t>
      </w:r>
    </w:p>
    <w:p w14:paraId="794BF4DF">
      <w:pPr>
        <w:spacing w:line="360" w:lineRule="auto"/>
        <w:ind w:firstLine="482" w:firstLineChars="200"/>
        <w:rPr>
          <w:sz w:val="24"/>
        </w:rPr>
      </w:pPr>
      <w:r>
        <w:rPr>
          <w:rFonts w:hint="eastAsia"/>
          <w:b/>
          <w:bCs/>
          <w:sz w:val="24"/>
        </w:rPr>
        <w:t>1.学习内容</w:t>
      </w:r>
      <w:r>
        <w:rPr>
          <w:rFonts w:hint="eastAsia"/>
          <w:sz w:val="24"/>
        </w:rPr>
        <w:t>：</w:t>
      </w:r>
    </w:p>
    <w:p w14:paraId="18C4396E">
      <w:pPr>
        <w:spacing w:line="360" w:lineRule="auto"/>
        <w:ind w:firstLine="480" w:firstLineChars="200"/>
        <w:rPr>
          <w:rFonts w:hint="eastAsia"/>
          <w:sz w:val="24"/>
        </w:rPr>
      </w:pPr>
      <w:r>
        <w:rPr>
          <w:rFonts w:hint="eastAsia"/>
          <w:sz w:val="24"/>
        </w:rPr>
        <w:t>（1）模态判断</w:t>
      </w:r>
    </w:p>
    <w:p w14:paraId="14547506">
      <w:pPr>
        <w:spacing w:line="360" w:lineRule="auto"/>
        <w:ind w:firstLine="480" w:firstLineChars="200"/>
        <w:rPr>
          <w:rFonts w:hint="eastAsia"/>
          <w:sz w:val="24"/>
        </w:rPr>
      </w:pPr>
      <w:r>
        <w:rPr>
          <w:rFonts w:hint="eastAsia"/>
          <w:sz w:val="24"/>
        </w:rPr>
        <w:t>（2）模态推理</w:t>
      </w:r>
    </w:p>
    <w:p w14:paraId="5D05B0CC">
      <w:pPr>
        <w:spacing w:line="360" w:lineRule="auto"/>
        <w:ind w:firstLine="472" w:firstLineChars="196"/>
        <w:rPr>
          <w:b/>
          <w:bCs/>
          <w:sz w:val="24"/>
        </w:rPr>
      </w:pPr>
      <w:r>
        <w:rPr>
          <w:rFonts w:hint="eastAsia"/>
          <w:b/>
          <w:bCs/>
          <w:sz w:val="24"/>
        </w:rPr>
        <w:t>2.学习要求：</w:t>
      </w:r>
    </w:p>
    <w:p w14:paraId="44C08AA8">
      <w:pPr>
        <w:spacing w:line="360" w:lineRule="auto"/>
        <w:ind w:firstLine="480" w:firstLineChars="200"/>
        <w:rPr>
          <w:b/>
          <w:bCs/>
          <w:sz w:val="24"/>
        </w:rPr>
      </w:pPr>
      <w:r>
        <w:rPr>
          <w:rFonts w:hint="eastAsia"/>
          <w:sz w:val="24"/>
        </w:rPr>
        <w:t>了解常见模态判断、模态推理的种类与方法，</w:t>
      </w:r>
      <w:bookmarkStart w:id="243" w:name="_Hlk21983834"/>
      <w:r>
        <w:rPr>
          <w:rFonts w:hint="eastAsia"/>
          <w:sz w:val="24"/>
        </w:rPr>
        <w:t>能简单运用模态推理</w:t>
      </w:r>
      <w:bookmarkEnd w:id="243"/>
      <w:r>
        <w:rPr>
          <w:rFonts w:hint="eastAsia"/>
          <w:sz w:val="24"/>
        </w:rPr>
        <w:t>。</w:t>
      </w:r>
    </w:p>
    <w:p w14:paraId="42F9E604">
      <w:pPr>
        <w:spacing w:line="360" w:lineRule="auto"/>
        <w:ind w:firstLine="482" w:firstLineChars="200"/>
        <w:rPr>
          <w:b/>
          <w:bCs/>
          <w:sz w:val="24"/>
        </w:rPr>
      </w:pPr>
      <w:r>
        <w:rPr>
          <w:rFonts w:hint="eastAsia"/>
          <w:b/>
          <w:bCs/>
          <w:sz w:val="24"/>
        </w:rPr>
        <w:t>教学重点：</w:t>
      </w:r>
      <w:r>
        <w:rPr>
          <w:rFonts w:hint="eastAsia"/>
          <w:sz w:val="24"/>
        </w:rPr>
        <w:t>常见模态判断、模态推理的种类与方法</w:t>
      </w:r>
    </w:p>
    <w:p w14:paraId="1ED393B1">
      <w:pPr>
        <w:spacing w:line="360" w:lineRule="auto"/>
        <w:ind w:firstLine="482" w:firstLineChars="200"/>
        <w:rPr>
          <w:rFonts w:hint="eastAsia"/>
          <w:b/>
          <w:bCs/>
          <w:sz w:val="24"/>
        </w:rPr>
      </w:pPr>
      <w:r>
        <w:rPr>
          <w:rFonts w:hint="eastAsia"/>
          <w:b/>
          <w:bCs/>
          <w:sz w:val="24"/>
        </w:rPr>
        <w:t>教学难点：</w:t>
      </w:r>
      <w:r>
        <w:rPr>
          <w:rFonts w:hint="eastAsia"/>
          <w:sz w:val="24"/>
        </w:rPr>
        <w:t>能简单运用模态推理</w:t>
      </w:r>
      <w:r>
        <w:rPr>
          <w:rFonts w:hint="eastAsia"/>
          <w:b/>
          <w:bCs/>
          <w:sz w:val="24"/>
        </w:rPr>
        <w:t xml:space="preserve"> </w:t>
      </w:r>
    </w:p>
    <w:p w14:paraId="78FF9359">
      <w:pPr>
        <w:spacing w:line="360" w:lineRule="auto"/>
        <w:ind w:firstLine="482" w:firstLineChars="200"/>
        <w:rPr>
          <w:rFonts w:hint="eastAsia"/>
          <w:b/>
          <w:sz w:val="24"/>
        </w:rPr>
      </w:pPr>
      <w:r>
        <w:rPr>
          <w:rFonts w:hint="eastAsia"/>
          <w:b/>
          <w:sz w:val="24"/>
        </w:rPr>
        <w:t>（六）归纳推理（本模块各知识点的讲授与学习，可以支撑课程目标3）</w:t>
      </w:r>
    </w:p>
    <w:p w14:paraId="403BCD61">
      <w:pPr>
        <w:spacing w:line="360" w:lineRule="auto"/>
        <w:ind w:firstLine="482" w:firstLineChars="200"/>
        <w:rPr>
          <w:sz w:val="24"/>
        </w:rPr>
      </w:pPr>
      <w:r>
        <w:rPr>
          <w:rFonts w:hint="eastAsia"/>
          <w:b/>
          <w:bCs/>
          <w:sz w:val="24"/>
        </w:rPr>
        <w:t>1.学习内容</w:t>
      </w:r>
      <w:r>
        <w:rPr>
          <w:rFonts w:hint="eastAsia"/>
          <w:sz w:val="24"/>
        </w:rPr>
        <w:t>：</w:t>
      </w:r>
    </w:p>
    <w:p w14:paraId="0DA311D2">
      <w:pPr>
        <w:spacing w:line="360" w:lineRule="auto"/>
        <w:ind w:firstLine="480" w:firstLineChars="200"/>
        <w:rPr>
          <w:rFonts w:hint="eastAsia"/>
          <w:sz w:val="24"/>
        </w:rPr>
      </w:pPr>
      <w:r>
        <w:rPr>
          <w:rFonts w:hint="eastAsia"/>
          <w:sz w:val="24"/>
        </w:rPr>
        <w:t>（1）完全归纳推理</w:t>
      </w:r>
    </w:p>
    <w:p w14:paraId="3B939B42">
      <w:pPr>
        <w:spacing w:line="360" w:lineRule="auto"/>
        <w:ind w:firstLine="480" w:firstLineChars="200"/>
        <w:rPr>
          <w:rFonts w:hint="eastAsia"/>
          <w:sz w:val="24"/>
        </w:rPr>
      </w:pPr>
      <w:r>
        <w:rPr>
          <w:rFonts w:hint="eastAsia"/>
          <w:sz w:val="24"/>
        </w:rPr>
        <w:t>（2）简单枚举归纳推理</w:t>
      </w:r>
    </w:p>
    <w:p w14:paraId="61998EF9">
      <w:pPr>
        <w:spacing w:line="360" w:lineRule="auto"/>
        <w:ind w:firstLine="480" w:firstLineChars="200"/>
        <w:rPr>
          <w:rFonts w:hint="eastAsia"/>
          <w:sz w:val="24"/>
        </w:rPr>
      </w:pPr>
      <w:r>
        <w:rPr>
          <w:rFonts w:hint="eastAsia"/>
          <w:sz w:val="24"/>
        </w:rPr>
        <w:t>（3）科学归纳推理</w:t>
      </w:r>
    </w:p>
    <w:p w14:paraId="3942B247">
      <w:pPr>
        <w:spacing w:line="360" w:lineRule="auto"/>
        <w:ind w:firstLine="480" w:firstLineChars="200"/>
        <w:rPr>
          <w:rFonts w:hint="eastAsia"/>
          <w:sz w:val="24"/>
        </w:rPr>
      </w:pPr>
      <w:r>
        <w:rPr>
          <w:rFonts w:hint="eastAsia"/>
          <w:sz w:val="24"/>
        </w:rPr>
        <w:t>（4）归纳推理与演绎推理的异同</w:t>
      </w:r>
    </w:p>
    <w:p w14:paraId="22986206">
      <w:pPr>
        <w:spacing w:line="360" w:lineRule="auto"/>
        <w:ind w:firstLine="480" w:firstLineChars="200"/>
        <w:rPr>
          <w:rFonts w:hint="eastAsia"/>
          <w:sz w:val="24"/>
        </w:rPr>
      </w:pPr>
      <w:r>
        <w:rPr>
          <w:rFonts w:hint="eastAsia"/>
          <w:sz w:val="24"/>
        </w:rPr>
        <w:t>（5）探求现象间因果联系的方法</w:t>
      </w:r>
    </w:p>
    <w:p w14:paraId="58D1784B">
      <w:pPr>
        <w:spacing w:line="360" w:lineRule="auto"/>
        <w:ind w:firstLine="472" w:firstLineChars="196"/>
        <w:rPr>
          <w:b/>
          <w:bCs/>
          <w:sz w:val="24"/>
        </w:rPr>
      </w:pPr>
      <w:r>
        <w:rPr>
          <w:rFonts w:hint="eastAsia"/>
          <w:b/>
          <w:bCs/>
          <w:sz w:val="24"/>
        </w:rPr>
        <w:t>2.学习要求：</w:t>
      </w:r>
    </w:p>
    <w:p w14:paraId="49F1CE48">
      <w:pPr>
        <w:spacing w:line="360" w:lineRule="auto"/>
        <w:ind w:firstLine="480" w:firstLineChars="200"/>
        <w:rPr>
          <w:sz w:val="24"/>
        </w:rPr>
      </w:pPr>
      <w:r>
        <w:rPr>
          <w:rFonts w:hint="eastAsia"/>
          <w:sz w:val="24"/>
        </w:rPr>
        <w:t>（1）了解归纳推理的三种方法的概念；掌握归纳推理与演绎推理的异同</w:t>
      </w:r>
    </w:p>
    <w:p w14:paraId="793F8736">
      <w:pPr>
        <w:spacing w:line="360" w:lineRule="auto"/>
        <w:ind w:firstLine="480" w:firstLineChars="200"/>
        <w:rPr>
          <w:rFonts w:hint="eastAsia"/>
          <w:sz w:val="24"/>
        </w:rPr>
      </w:pPr>
      <w:r>
        <w:rPr>
          <w:rFonts w:hint="eastAsia"/>
          <w:sz w:val="24"/>
        </w:rPr>
        <w:t>（2）学会探求现象间因果联系的方法，</w:t>
      </w:r>
      <w:bookmarkStart w:id="244" w:name="_Hlk21983893"/>
      <w:r>
        <w:rPr>
          <w:rFonts w:hint="eastAsia"/>
          <w:sz w:val="24"/>
        </w:rPr>
        <w:t>能找出生活中的三种推理的事例</w:t>
      </w:r>
    </w:p>
    <w:bookmarkEnd w:id="244"/>
    <w:p w14:paraId="109C87D2">
      <w:pPr>
        <w:spacing w:line="360" w:lineRule="auto"/>
        <w:ind w:firstLine="482" w:firstLineChars="200"/>
        <w:rPr>
          <w:b/>
          <w:bCs/>
          <w:sz w:val="24"/>
        </w:rPr>
      </w:pPr>
      <w:r>
        <w:rPr>
          <w:rFonts w:hint="eastAsia"/>
          <w:b/>
          <w:bCs/>
          <w:sz w:val="24"/>
        </w:rPr>
        <w:t>教学重点：</w:t>
      </w:r>
      <w:r>
        <w:rPr>
          <w:rFonts w:hint="eastAsia"/>
          <w:sz w:val="24"/>
        </w:rPr>
        <w:t>掌握归纳推理与演绎推理的异同</w:t>
      </w:r>
    </w:p>
    <w:p w14:paraId="7FF7969E">
      <w:pPr>
        <w:spacing w:line="360" w:lineRule="auto"/>
        <w:ind w:firstLine="482" w:firstLineChars="200"/>
        <w:rPr>
          <w:rFonts w:hint="eastAsia"/>
          <w:sz w:val="24"/>
        </w:rPr>
      </w:pPr>
      <w:r>
        <w:rPr>
          <w:rFonts w:hint="eastAsia"/>
          <w:b/>
          <w:bCs/>
          <w:sz w:val="24"/>
        </w:rPr>
        <w:t xml:space="preserve">教学难点： </w:t>
      </w:r>
      <w:r>
        <w:rPr>
          <w:rFonts w:hint="eastAsia"/>
          <w:sz w:val="24"/>
        </w:rPr>
        <w:t>能找出生活中的三种推理的事例</w:t>
      </w:r>
    </w:p>
    <w:p w14:paraId="0934E06D">
      <w:pPr>
        <w:spacing w:line="360" w:lineRule="auto"/>
        <w:ind w:firstLine="482" w:firstLineChars="200"/>
        <w:rPr>
          <w:rFonts w:hint="eastAsia"/>
          <w:b/>
          <w:sz w:val="24"/>
        </w:rPr>
      </w:pPr>
      <w:r>
        <w:rPr>
          <w:rFonts w:hint="eastAsia"/>
          <w:b/>
          <w:sz w:val="24"/>
        </w:rPr>
        <w:t>（七）类比推理与假说（本模块各知识点的讲授与学习，可以支撑课程目标3）</w:t>
      </w:r>
    </w:p>
    <w:p w14:paraId="664A63AA">
      <w:pPr>
        <w:spacing w:line="360" w:lineRule="auto"/>
        <w:ind w:firstLine="482" w:firstLineChars="200"/>
        <w:rPr>
          <w:sz w:val="24"/>
        </w:rPr>
      </w:pPr>
      <w:r>
        <w:rPr>
          <w:rFonts w:hint="eastAsia"/>
          <w:b/>
          <w:bCs/>
          <w:sz w:val="24"/>
        </w:rPr>
        <w:t>1.学习内容</w:t>
      </w:r>
      <w:r>
        <w:rPr>
          <w:rFonts w:hint="eastAsia"/>
          <w:sz w:val="24"/>
        </w:rPr>
        <w:t>：</w:t>
      </w:r>
    </w:p>
    <w:p w14:paraId="16B6CA5F">
      <w:pPr>
        <w:spacing w:line="360" w:lineRule="auto"/>
        <w:ind w:firstLine="480" w:firstLineChars="200"/>
        <w:rPr>
          <w:rFonts w:hint="eastAsia"/>
          <w:sz w:val="24"/>
        </w:rPr>
      </w:pPr>
      <w:r>
        <w:rPr>
          <w:rFonts w:hint="eastAsia"/>
          <w:sz w:val="24"/>
        </w:rPr>
        <w:t>（1）类比推理</w:t>
      </w:r>
    </w:p>
    <w:p w14:paraId="7C320827">
      <w:pPr>
        <w:spacing w:line="360" w:lineRule="auto"/>
        <w:ind w:firstLine="480" w:firstLineChars="200"/>
        <w:rPr>
          <w:sz w:val="24"/>
        </w:rPr>
      </w:pPr>
      <w:r>
        <w:rPr>
          <w:rFonts w:hint="eastAsia"/>
          <w:sz w:val="24"/>
        </w:rPr>
        <w:t>（2）假说</w:t>
      </w:r>
    </w:p>
    <w:p w14:paraId="5880BE4B">
      <w:pPr>
        <w:spacing w:line="360" w:lineRule="auto"/>
        <w:ind w:firstLine="472" w:firstLineChars="196"/>
        <w:rPr>
          <w:b/>
          <w:bCs/>
          <w:sz w:val="24"/>
        </w:rPr>
      </w:pPr>
      <w:r>
        <w:rPr>
          <w:rFonts w:hint="eastAsia"/>
          <w:b/>
          <w:bCs/>
          <w:sz w:val="24"/>
        </w:rPr>
        <w:t>2.学习要求：</w:t>
      </w:r>
    </w:p>
    <w:p w14:paraId="243BAE2E">
      <w:pPr>
        <w:spacing w:line="360" w:lineRule="auto"/>
        <w:ind w:firstLine="480" w:firstLineChars="200"/>
        <w:rPr>
          <w:rFonts w:hint="eastAsia"/>
          <w:b/>
          <w:bCs/>
          <w:sz w:val="24"/>
        </w:rPr>
      </w:pPr>
      <w:bookmarkStart w:id="245" w:name="_Hlk21983925"/>
      <w:r>
        <w:rPr>
          <w:rFonts w:hint="eastAsia"/>
          <w:sz w:val="24"/>
        </w:rPr>
        <w:t>把握类比推理与归纳推理、演绎推理的区别</w:t>
      </w:r>
      <w:bookmarkEnd w:id="245"/>
      <w:r>
        <w:rPr>
          <w:rFonts w:hint="eastAsia"/>
          <w:sz w:val="24"/>
        </w:rPr>
        <w:t>；了解假说的构成与步骤</w:t>
      </w:r>
    </w:p>
    <w:p w14:paraId="18A9FF3C">
      <w:pPr>
        <w:spacing w:line="360" w:lineRule="auto"/>
        <w:ind w:firstLine="482" w:firstLineChars="200"/>
        <w:rPr>
          <w:b/>
          <w:bCs/>
          <w:sz w:val="24"/>
        </w:rPr>
      </w:pPr>
      <w:r>
        <w:rPr>
          <w:rFonts w:hint="eastAsia"/>
          <w:b/>
          <w:bCs/>
          <w:sz w:val="24"/>
        </w:rPr>
        <w:t>教学重点：</w:t>
      </w:r>
      <w:r>
        <w:rPr>
          <w:rFonts w:hint="eastAsia"/>
          <w:sz w:val="24"/>
        </w:rPr>
        <w:t>把握类比推理与归纳推理、演绎推理的区别</w:t>
      </w:r>
    </w:p>
    <w:p w14:paraId="5820EC53">
      <w:pPr>
        <w:spacing w:line="360" w:lineRule="auto"/>
        <w:ind w:firstLine="482" w:firstLineChars="200"/>
        <w:rPr>
          <w:rFonts w:hint="eastAsia"/>
          <w:b/>
          <w:bCs/>
          <w:sz w:val="24"/>
        </w:rPr>
      </w:pPr>
      <w:r>
        <w:rPr>
          <w:rFonts w:hint="eastAsia"/>
          <w:b/>
          <w:bCs/>
          <w:sz w:val="24"/>
        </w:rPr>
        <w:t>教学难点：</w:t>
      </w:r>
      <w:r>
        <w:rPr>
          <w:rFonts w:hint="eastAsia"/>
          <w:sz w:val="24"/>
        </w:rPr>
        <w:t>把握类比推理与归纳推理、演绎推理的区别</w:t>
      </w:r>
      <w:r>
        <w:rPr>
          <w:rFonts w:hint="eastAsia"/>
          <w:b/>
          <w:bCs/>
          <w:sz w:val="24"/>
        </w:rPr>
        <w:t xml:space="preserve"> </w:t>
      </w:r>
    </w:p>
    <w:p w14:paraId="6E692EBA">
      <w:pPr>
        <w:spacing w:line="360" w:lineRule="auto"/>
        <w:ind w:firstLine="482" w:firstLineChars="200"/>
        <w:rPr>
          <w:rFonts w:hint="eastAsia"/>
          <w:b/>
          <w:sz w:val="24"/>
        </w:rPr>
      </w:pPr>
      <w:r>
        <w:rPr>
          <w:rFonts w:hint="eastAsia"/>
          <w:b/>
          <w:sz w:val="24"/>
        </w:rPr>
        <w:t>（八）普通逻辑的基本规律（本模块各知识点的讲授与学习，可以支撑课程目标1、4）</w:t>
      </w:r>
    </w:p>
    <w:p w14:paraId="217A495B">
      <w:pPr>
        <w:spacing w:line="360" w:lineRule="auto"/>
        <w:ind w:firstLine="482" w:firstLineChars="200"/>
        <w:rPr>
          <w:sz w:val="24"/>
        </w:rPr>
      </w:pPr>
      <w:r>
        <w:rPr>
          <w:rFonts w:hint="eastAsia"/>
          <w:b/>
          <w:bCs/>
          <w:sz w:val="24"/>
        </w:rPr>
        <w:t>1.学习内容</w:t>
      </w:r>
      <w:r>
        <w:rPr>
          <w:rFonts w:hint="eastAsia"/>
          <w:sz w:val="24"/>
        </w:rPr>
        <w:t>：</w:t>
      </w:r>
    </w:p>
    <w:p w14:paraId="05C89DF0">
      <w:pPr>
        <w:spacing w:line="360" w:lineRule="auto"/>
        <w:ind w:firstLine="480" w:firstLineChars="200"/>
        <w:rPr>
          <w:rFonts w:hint="eastAsia"/>
          <w:sz w:val="24"/>
        </w:rPr>
      </w:pPr>
      <w:r>
        <w:rPr>
          <w:rFonts w:hint="eastAsia"/>
          <w:sz w:val="24"/>
        </w:rPr>
        <w:t>（1）同一律</w:t>
      </w:r>
    </w:p>
    <w:p w14:paraId="25AA19FF">
      <w:pPr>
        <w:spacing w:line="360" w:lineRule="auto"/>
        <w:ind w:firstLine="480" w:firstLineChars="200"/>
        <w:rPr>
          <w:rFonts w:hint="eastAsia"/>
          <w:sz w:val="24"/>
        </w:rPr>
      </w:pPr>
      <w:r>
        <w:rPr>
          <w:rFonts w:hint="eastAsia"/>
          <w:sz w:val="24"/>
        </w:rPr>
        <w:t>（2）矛盾律</w:t>
      </w:r>
    </w:p>
    <w:p w14:paraId="339CCC74">
      <w:pPr>
        <w:spacing w:line="360" w:lineRule="auto"/>
        <w:ind w:firstLine="480" w:firstLineChars="200"/>
        <w:rPr>
          <w:rFonts w:hint="eastAsia"/>
          <w:sz w:val="24"/>
        </w:rPr>
      </w:pPr>
      <w:r>
        <w:rPr>
          <w:rFonts w:hint="eastAsia"/>
          <w:sz w:val="24"/>
        </w:rPr>
        <w:t>（3）排中律</w:t>
      </w:r>
    </w:p>
    <w:p w14:paraId="3082F945">
      <w:pPr>
        <w:spacing w:line="360" w:lineRule="auto"/>
        <w:ind w:firstLine="480" w:firstLineChars="200"/>
        <w:rPr>
          <w:rFonts w:hint="eastAsia"/>
          <w:sz w:val="24"/>
        </w:rPr>
      </w:pPr>
      <w:r>
        <w:rPr>
          <w:rFonts w:hint="eastAsia"/>
          <w:sz w:val="24"/>
        </w:rPr>
        <w:t>（4）充足理由律</w:t>
      </w:r>
    </w:p>
    <w:p w14:paraId="032BDA06">
      <w:pPr>
        <w:spacing w:line="360" w:lineRule="auto"/>
        <w:ind w:firstLine="472" w:firstLineChars="196"/>
        <w:rPr>
          <w:b/>
          <w:bCs/>
          <w:sz w:val="24"/>
        </w:rPr>
      </w:pPr>
      <w:r>
        <w:rPr>
          <w:rFonts w:hint="eastAsia"/>
          <w:b/>
          <w:bCs/>
          <w:sz w:val="24"/>
        </w:rPr>
        <w:t>2.学习要求：</w:t>
      </w:r>
    </w:p>
    <w:p w14:paraId="2FEEC342">
      <w:pPr>
        <w:spacing w:line="360" w:lineRule="auto"/>
        <w:ind w:firstLine="480" w:firstLineChars="200"/>
        <w:rPr>
          <w:sz w:val="24"/>
        </w:rPr>
      </w:pPr>
      <w:r>
        <w:rPr>
          <w:rFonts w:hint="eastAsia"/>
          <w:sz w:val="24"/>
        </w:rPr>
        <w:t>（1</w:t>
      </w:r>
      <w:bookmarkStart w:id="246" w:name="_Hlk526665627"/>
      <w:r>
        <w:rPr>
          <w:rFonts w:hint="eastAsia"/>
          <w:sz w:val="24"/>
        </w:rPr>
        <w:t>）熟练掌握各条基本规律的基本内容、基本要求、作用以及违反该条规律所犯的逻辑错误；</w:t>
      </w:r>
    </w:p>
    <w:p w14:paraId="5205A8C1">
      <w:pPr>
        <w:spacing w:line="360" w:lineRule="auto"/>
        <w:ind w:firstLine="480" w:firstLineChars="200"/>
        <w:rPr>
          <w:rFonts w:hint="eastAsia"/>
          <w:b/>
          <w:bCs/>
          <w:sz w:val="24"/>
        </w:rPr>
      </w:pPr>
      <w:r>
        <w:rPr>
          <w:rFonts w:hint="eastAsia"/>
          <w:sz w:val="24"/>
        </w:rPr>
        <w:t>（</w:t>
      </w:r>
      <w:r>
        <w:rPr>
          <w:sz w:val="24"/>
        </w:rPr>
        <w:t>2</w:t>
      </w:r>
      <w:r>
        <w:rPr>
          <w:rFonts w:hint="eastAsia"/>
          <w:sz w:val="24"/>
        </w:rPr>
        <w:t>）能正确运用这些规律分析现实中遇到的问题</w:t>
      </w:r>
      <w:bookmarkEnd w:id="246"/>
      <w:r>
        <w:rPr>
          <w:rFonts w:hint="eastAsia"/>
          <w:sz w:val="24"/>
        </w:rPr>
        <w:t>。掌握普通逻辑的研究对象；了解普通逻辑的性质、作用及其和数理逻辑、辩证逻辑的关系。</w:t>
      </w:r>
    </w:p>
    <w:p w14:paraId="0BA9FC39">
      <w:pPr>
        <w:spacing w:line="360" w:lineRule="auto"/>
        <w:ind w:firstLine="482" w:firstLineChars="200"/>
        <w:rPr>
          <w:b/>
          <w:bCs/>
          <w:sz w:val="24"/>
        </w:rPr>
      </w:pPr>
      <w:r>
        <w:rPr>
          <w:rFonts w:hint="eastAsia"/>
          <w:b/>
          <w:bCs/>
          <w:sz w:val="24"/>
        </w:rPr>
        <w:t>教学重点：</w:t>
      </w:r>
      <w:r>
        <w:rPr>
          <w:rFonts w:hint="eastAsia"/>
          <w:sz w:val="24"/>
        </w:rPr>
        <w:t>熟练掌握各条基本规律的基本内容、基本要求、作用以及违反该条规律所犯的逻辑错误</w:t>
      </w:r>
    </w:p>
    <w:p w14:paraId="3D25EDD9">
      <w:pPr>
        <w:spacing w:line="360" w:lineRule="auto"/>
        <w:ind w:firstLine="482" w:firstLineChars="200"/>
        <w:rPr>
          <w:rFonts w:hint="eastAsia"/>
          <w:sz w:val="24"/>
        </w:rPr>
      </w:pPr>
      <w:r>
        <w:rPr>
          <w:rFonts w:hint="eastAsia"/>
          <w:b/>
          <w:bCs/>
          <w:sz w:val="24"/>
        </w:rPr>
        <w:t>教学难点：</w:t>
      </w:r>
      <w:r>
        <w:rPr>
          <w:rFonts w:hint="eastAsia"/>
          <w:sz w:val="24"/>
        </w:rPr>
        <w:t>能正确运用这些规律分析现实中遇到的问题</w:t>
      </w:r>
      <w:r>
        <w:rPr>
          <w:rFonts w:hint="eastAsia"/>
          <w:b/>
          <w:bCs/>
          <w:sz w:val="24"/>
        </w:rPr>
        <w:t xml:space="preserve"> </w:t>
      </w:r>
    </w:p>
    <w:p w14:paraId="48A750CB">
      <w:pPr>
        <w:spacing w:line="360" w:lineRule="auto"/>
        <w:ind w:firstLine="482" w:firstLineChars="200"/>
        <w:rPr>
          <w:rFonts w:hint="eastAsia"/>
          <w:b/>
          <w:sz w:val="24"/>
        </w:rPr>
      </w:pPr>
      <w:r>
        <w:rPr>
          <w:rFonts w:hint="eastAsia"/>
          <w:b/>
          <w:sz w:val="24"/>
        </w:rPr>
        <w:t>（九）论证（本模块各知识点的讲授与学习，可以支撑课程目标1、4）</w:t>
      </w:r>
    </w:p>
    <w:p w14:paraId="7F398FED">
      <w:pPr>
        <w:spacing w:line="360" w:lineRule="auto"/>
        <w:ind w:firstLine="482" w:firstLineChars="200"/>
        <w:rPr>
          <w:sz w:val="24"/>
        </w:rPr>
      </w:pPr>
      <w:r>
        <w:rPr>
          <w:rFonts w:hint="eastAsia"/>
          <w:b/>
          <w:bCs/>
          <w:sz w:val="24"/>
        </w:rPr>
        <w:t>1.学习内容</w:t>
      </w:r>
      <w:r>
        <w:rPr>
          <w:rFonts w:hint="eastAsia"/>
          <w:sz w:val="24"/>
        </w:rPr>
        <w:t>：</w:t>
      </w:r>
    </w:p>
    <w:p w14:paraId="20D1D595">
      <w:pPr>
        <w:spacing w:line="360" w:lineRule="auto"/>
        <w:ind w:firstLine="480" w:firstLineChars="200"/>
        <w:rPr>
          <w:rFonts w:hint="eastAsia"/>
          <w:sz w:val="24"/>
        </w:rPr>
      </w:pPr>
      <w:r>
        <w:rPr>
          <w:rFonts w:hint="eastAsia"/>
          <w:sz w:val="24"/>
        </w:rPr>
        <w:t>（1）证明的种类与规则</w:t>
      </w:r>
    </w:p>
    <w:p w14:paraId="75C0D9A9">
      <w:pPr>
        <w:spacing w:line="360" w:lineRule="auto"/>
        <w:ind w:firstLine="480" w:firstLineChars="200"/>
        <w:rPr>
          <w:rFonts w:hint="eastAsia"/>
          <w:sz w:val="24"/>
        </w:rPr>
      </w:pPr>
      <w:r>
        <w:rPr>
          <w:rFonts w:hint="eastAsia"/>
          <w:sz w:val="24"/>
        </w:rPr>
        <w:t>（2）反驳的种类与规则</w:t>
      </w:r>
    </w:p>
    <w:p w14:paraId="595229CD">
      <w:pPr>
        <w:spacing w:line="360" w:lineRule="auto"/>
        <w:ind w:firstLine="472" w:firstLineChars="196"/>
        <w:rPr>
          <w:b/>
          <w:bCs/>
          <w:sz w:val="24"/>
        </w:rPr>
      </w:pPr>
      <w:r>
        <w:rPr>
          <w:rFonts w:hint="eastAsia"/>
          <w:b/>
          <w:bCs/>
          <w:sz w:val="24"/>
        </w:rPr>
        <w:t>2.学习要求：</w:t>
      </w:r>
    </w:p>
    <w:p w14:paraId="0C8508E1">
      <w:pPr>
        <w:spacing w:line="360" w:lineRule="auto"/>
        <w:ind w:firstLine="480" w:firstLineChars="200"/>
        <w:rPr>
          <w:sz w:val="24"/>
        </w:rPr>
      </w:pPr>
      <w:r>
        <w:rPr>
          <w:rFonts w:hint="eastAsia"/>
          <w:sz w:val="24"/>
        </w:rPr>
        <w:t>掌握论证的主要方法，</w:t>
      </w:r>
      <w:bookmarkStart w:id="247" w:name="_Hlk21984052"/>
      <w:r>
        <w:rPr>
          <w:rFonts w:hint="eastAsia"/>
          <w:sz w:val="24"/>
        </w:rPr>
        <w:t>能运用论证的方法解决一些基本的现实问题</w:t>
      </w:r>
      <w:bookmarkEnd w:id="247"/>
      <w:r>
        <w:rPr>
          <w:rFonts w:hint="eastAsia"/>
          <w:sz w:val="24"/>
        </w:rPr>
        <w:t>。</w:t>
      </w:r>
    </w:p>
    <w:p w14:paraId="61BD12CF">
      <w:pPr>
        <w:spacing w:line="360" w:lineRule="auto"/>
        <w:ind w:firstLine="482" w:firstLineChars="200"/>
        <w:rPr>
          <w:b/>
          <w:bCs/>
          <w:sz w:val="24"/>
        </w:rPr>
      </w:pPr>
      <w:r>
        <w:rPr>
          <w:rFonts w:hint="eastAsia"/>
          <w:b/>
          <w:bCs/>
          <w:sz w:val="24"/>
        </w:rPr>
        <w:t>教学重点：</w:t>
      </w:r>
      <w:r>
        <w:rPr>
          <w:rFonts w:hint="eastAsia"/>
          <w:sz w:val="24"/>
        </w:rPr>
        <w:t>掌握论证的主要方法</w:t>
      </w:r>
    </w:p>
    <w:p w14:paraId="1970D03E">
      <w:pPr>
        <w:spacing w:line="360" w:lineRule="auto"/>
        <w:ind w:firstLine="482" w:firstLineChars="200"/>
        <w:rPr>
          <w:rFonts w:hint="eastAsia"/>
          <w:b/>
          <w:bCs/>
          <w:sz w:val="24"/>
        </w:rPr>
      </w:pPr>
      <w:r>
        <w:rPr>
          <w:rFonts w:hint="eastAsia"/>
          <w:b/>
          <w:bCs/>
          <w:sz w:val="24"/>
        </w:rPr>
        <w:t>教学难点：</w:t>
      </w:r>
      <w:r>
        <w:rPr>
          <w:rFonts w:hint="eastAsia"/>
          <w:sz w:val="24"/>
        </w:rPr>
        <w:t>能运用论证的方法解决一些基本的现实问题</w:t>
      </w:r>
      <w:r>
        <w:rPr>
          <w:rFonts w:hint="eastAsia"/>
          <w:b/>
          <w:bCs/>
          <w:sz w:val="24"/>
        </w:rPr>
        <w:t xml:space="preserve"> </w:t>
      </w:r>
    </w:p>
    <w:p w14:paraId="18FEBCBA">
      <w:pPr>
        <w:spacing w:line="360" w:lineRule="auto"/>
        <w:ind w:firstLine="480" w:firstLineChars="200"/>
        <w:rPr>
          <w:rFonts w:hint="eastAsia"/>
          <w:sz w:val="24"/>
        </w:rPr>
      </w:pPr>
    </w:p>
    <w:p w14:paraId="17378CCF">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30"/>
        <w:tblW w:w="8894"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988"/>
        <w:gridCol w:w="1984"/>
        <w:gridCol w:w="1701"/>
        <w:gridCol w:w="709"/>
        <w:gridCol w:w="709"/>
      </w:tblGrid>
      <w:tr w14:paraId="01AB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03" w:type="dxa"/>
            <w:shd w:val="clear" w:color="auto" w:fill="FFFFFF"/>
            <w:noWrap w:val="0"/>
            <w:vAlign w:val="center"/>
          </w:tcPr>
          <w:p w14:paraId="450CBC5A">
            <w:pPr>
              <w:spacing w:line="312" w:lineRule="auto"/>
              <w:jc w:val="center"/>
              <w:rPr>
                <w:color w:val="000000"/>
                <w:szCs w:val="21"/>
              </w:rPr>
            </w:pPr>
            <w:r>
              <w:rPr>
                <w:rFonts w:hint="eastAsia"/>
                <w:color w:val="000000"/>
                <w:szCs w:val="21"/>
              </w:rPr>
              <w:t>序号</w:t>
            </w:r>
          </w:p>
        </w:tc>
        <w:tc>
          <w:tcPr>
            <w:tcW w:w="2988" w:type="dxa"/>
            <w:shd w:val="clear" w:color="auto" w:fill="FFFFFF"/>
            <w:noWrap w:val="0"/>
            <w:vAlign w:val="center"/>
          </w:tcPr>
          <w:p w14:paraId="3070BE9A">
            <w:pPr>
              <w:spacing w:line="312" w:lineRule="auto"/>
              <w:jc w:val="center"/>
              <w:rPr>
                <w:color w:val="000000"/>
                <w:szCs w:val="21"/>
              </w:rPr>
            </w:pPr>
            <w:r>
              <w:rPr>
                <w:color w:val="000000"/>
                <w:szCs w:val="21"/>
              </w:rPr>
              <w:t>教学内容</w:t>
            </w:r>
          </w:p>
        </w:tc>
        <w:tc>
          <w:tcPr>
            <w:tcW w:w="1984" w:type="dxa"/>
            <w:shd w:val="clear" w:color="auto" w:fill="FFFFFF"/>
            <w:noWrap w:val="0"/>
            <w:vAlign w:val="top"/>
          </w:tcPr>
          <w:p w14:paraId="5134FABF">
            <w:pPr>
              <w:spacing w:line="312" w:lineRule="auto"/>
              <w:jc w:val="center"/>
              <w:rPr>
                <w:rFonts w:hint="eastAsia"/>
                <w:color w:val="000000"/>
                <w:szCs w:val="21"/>
              </w:rPr>
            </w:pPr>
            <w:r>
              <w:rPr>
                <w:color w:val="000000"/>
                <w:szCs w:val="21"/>
              </w:rPr>
              <w:t>支撑</w:t>
            </w:r>
            <w:r>
              <w:rPr>
                <w:rFonts w:hint="eastAsia"/>
                <w:color w:val="000000"/>
                <w:szCs w:val="21"/>
              </w:rPr>
              <w:t>的</w:t>
            </w:r>
          </w:p>
          <w:p w14:paraId="684BE903">
            <w:pPr>
              <w:spacing w:line="312" w:lineRule="auto"/>
              <w:jc w:val="center"/>
              <w:rPr>
                <w:color w:val="000000"/>
                <w:szCs w:val="21"/>
              </w:rPr>
            </w:pPr>
            <w:r>
              <w:rPr>
                <w:color w:val="000000"/>
                <w:szCs w:val="21"/>
              </w:rPr>
              <w:t>课程目标</w:t>
            </w:r>
          </w:p>
        </w:tc>
        <w:tc>
          <w:tcPr>
            <w:tcW w:w="1701" w:type="dxa"/>
            <w:shd w:val="clear" w:color="auto" w:fill="FFFFFF"/>
            <w:noWrap w:val="0"/>
            <w:vAlign w:val="center"/>
          </w:tcPr>
          <w:p w14:paraId="543E2FE0">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09" w:type="dxa"/>
            <w:shd w:val="clear" w:color="auto" w:fill="FFFFFF"/>
            <w:noWrap w:val="0"/>
            <w:vAlign w:val="center"/>
          </w:tcPr>
          <w:p w14:paraId="6080AC22">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09" w:type="dxa"/>
            <w:shd w:val="clear" w:color="auto" w:fill="FFFFFF"/>
            <w:noWrap w:val="0"/>
            <w:vAlign w:val="top"/>
          </w:tcPr>
          <w:p w14:paraId="0DAD6265">
            <w:pPr>
              <w:spacing w:line="312" w:lineRule="auto"/>
              <w:jc w:val="center"/>
              <w:rPr>
                <w:rFonts w:hint="eastAsia"/>
                <w:color w:val="000000"/>
                <w:szCs w:val="21"/>
              </w:rPr>
            </w:pPr>
            <w:r>
              <w:rPr>
                <w:rFonts w:hint="eastAsia"/>
                <w:color w:val="000000"/>
                <w:szCs w:val="21"/>
              </w:rPr>
              <w:t>实践学时</w:t>
            </w:r>
          </w:p>
        </w:tc>
      </w:tr>
      <w:tr w14:paraId="7BDF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03" w:type="dxa"/>
            <w:noWrap w:val="0"/>
            <w:vAlign w:val="center"/>
          </w:tcPr>
          <w:p w14:paraId="5F95FC7C">
            <w:pPr>
              <w:spacing w:line="312" w:lineRule="auto"/>
              <w:jc w:val="center"/>
              <w:rPr>
                <w:szCs w:val="21"/>
              </w:rPr>
            </w:pPr>
            <w:r>
              <w:rPr>
                <w:rFonts w:hint="eastAsia"/>
                <w:szCs w:val="21"/>
              </w:rPr>
              <w:t>1</w:t>
            </w:r>
          </w:p>
        </w:tc>
        <w:tc>
          <w:tcPr>
            <w:tcW w:w="2988" w:type="dxa"/>
            <w:noWrap w:val="0"/>
            <w:vAlign w:val="center"/>
          </w:tcPr>
          <w:p w14:paraId="171EA4BC">
            <w:pPr>
              <w:spacing w:line="312" w:lineRule="auto"/>
              <w:rPr>
                <w:color w:val="000000"/>
                <w:szCs w:val="21"/>
              </w:rPr>
            </w:pPr>
            <w:r>
              <w:rPr>
                <w:rFonts w:hint="eastAsia"/>
                <w:sz w:val="24"/>
              </w:rPr>
              <w:t>绪论</w:t>
            </w:r>
          </w:p>
        </w:tc>
        <w:tc>
          <w:tcPr>
            <w:tcW w:w="1984" w:type="dxa"/>
            <w:noWrap w:val="0"/>
            <w:vAlign w:val="center"/>
          </w:tcPr>
          <w:p w14:paraId="57E8F679">
            <w:pPr>
              <w:spacing w:line="312" w:lineRule="auto"/>
              <w:jc w:val="center"/>
              <w:rPr>
                <w:color w:val="000000"/>
                <w:szCs w:val="21"/>
              </w:rPr>
            </w:pPr>
            <w:r>
              <w:rPr>
                <w:rFonts w:hint="eastAsia"/>
                <w:color w:val="000000"/>
                <w:szCs w:val="21"/>
              </w:rPr>
              <w:t>1</w:t>
            </w:r>
          </w:p>
        </w:tc>
        <w:tc>
          <w:tcPr>
            <w:tcW w:w="1701" w:type="dxa"/>
            <w:noWrap w:val="0"/>
            <w:vAlign w:val="center"/>
          </w:tcPr>
          <w:p w14:paraId="71BA631C">
            <w:pPr>
              <w:spacing w:line="312" w:lineRule="auto"/>
              <w:jc w:val="center"/>
              <w:rPr>
                <w:rFonts w:hint="eastAsia"/>
                <w:szCs w:val="21"/>
              </w:rPr>
            </w:pPr>
            <w:r>
              <w:rPr>
                <w:rFonts w:hint="eastAsia"/>
                <w:szCs w:val="21"/>
              </w:rPr>
              <w:t>2-3</w:t>
            </w:r>
          </w:p>
        </w:tc>
        <w:tc>
          <w:tcPr>
            <w:tcW w:w="709" w:type="dxa"/>
            <w:noWrap w:val="0"/>
            <w:vAlign w:val="center"/>
          </w:tcPr>
          <w:p w14:paraId="072DF671">
            <w:pPr>
              <w:spacing w:line="312" w:lineRule="auto"/>
              <w:jc w:val="center"/>
              <w:rPr>
                <w:szCs w:val="21"/>
              </w:rPr>
            </w:pPr>
            <w:r>
              <w:rPr>
                <w:rFonts w:hint="eastAsia"/>
                <w:szCs w:val="21"/>
              </w:rPr>
              <w:t>2</w:t>
            </w:r>
          </w:p>
        </w:tc>
        <w:tc>
          <w:tcPr>
            <w:tcW w:w="709" w:type="dxa"/>
            <w:noWrap w:val="0"/>
            <w:vAlign w:val="top"/>
          </w:tcPr>
          <w:p w14:paraId="5025A45C">
            <w:pPr>
              <w:spacing w:line="312" w:lineRule="auto"/>
              <w:jc w:val="center"/>
              <w:rPr>
                <w:szCs w:val="21"/>
              </w:rPr>
            </w:pPr>
            <w:r>
              <w:rPr>
                <w:rFonts w:hint="eastAsia"/>
                <w:szCs w:val="21"/>
              </w:rPr>
              <w:t>2</w:t>
            </w:r>
          </w:p>
        </w:tc>
      </w:tr>
      <w:tr w14:paraId="0726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74A20689">
            <w:pPr>
              <w:spacing w:line="312" w:lineRule="auto"/>
              <w:jc w:val="center"/>
              <w:rPr>
                <w:szCs w:val="21"/>
              </w:rPr>
            </w:pPr>
            <w:r>
              <w:rPr>
                <w:rFonts w:hint="eastAsia"/>
                <w:szCs w:val="21"/>
              </w:rPr>
              <w:t>2</w:t>
            </w:r>
          </w:p>
        </w:tc>
        <w:tc>
          <w:tcPr>
            <w:tcW w:w="2988" w:type="dxa"/>
            <w:noWrap w:val="0"/>
            <w:vAlign w:val="center"/>
          </w:tcPr>
          <w:p w14:paraId="3D58677C">
            <w:pPr>
              <w:spacing w:line="312" w:lineRule="auto"/>
              <w:rPr>
                <w:color w:val="000000"/>
                <w:szCs w:val="21"/>
              </w:rPr>
            </w:pPr>
            <w:r>
              <w:rPr>
                <w:rFonts w:hint="eastAsia"/>
                <w:sz w:val="24"/>
              </w:rPr>
              <w:t>概念</w:t>
            </w:r>
          </w:p>
        </w:tc>
        <w:tc>
          <w:tcPr>
            <w:tcW w:w="1984" w:type="dxa"/>
            <w:noWrap w:val="0"/>
            <w:vAlign w:val="center"/>
          </w:tcPr>
          <w:p w14:paraId="7DF9AF8F">
            <w:pPr>
              <w:spacing w:line="312" w:lineRule="auto"/>
              <w:jc w:val="center"/>
              <w:rPr>
                <w:color w:val="000000"/>
                <w:szCs w:val="21"/>
              </w:rPr>
            </w:pPr>
            <w:r>
              <w:rPr>
                <w:rFonts w:hint="eastAsia"/>
                <w:color w:val="000000"/>
                <w:szCs w:val="21"/>
              </w:rPr>
              <w:t>2</w:t>
            </w:r>
          </w:p>
        </w:tc>
        <w:tc>
          <w:tcPr>
            <w:tcW w:w="1701" w:type="dxa"/>
            <w:noWrap w:val="0"/>
            <w:vAlign w:val="center"/>
          </w:tcPr>
          <w:p w14:paraId="36091590">
            <w:pPr>
              <w:spacing w:line="312" w:lineRule="auto"/>
              <w:jc w:val="center"/>
              <w:rPr>
                <w:szCs w:val="21"/>
              </w:rPr>
            </w:pPr>
            <w:r>
              <w:rPr>
                <w:rFonts w:hint="eastAsia"/>
                <w:szCs w:val="21"/>
              </w:rPr>
              <w:t>3-1</w:t>
            </w:r>
          </w:p>
        </w:tc>
        <w:tc>
          <w:tcPr>
            <w:tcW w:w="709" w:type="dxa"/>
            <w:noWrap w:val="0"/>
            <w:vAlign w:val="center"/>
          </w:tcPr>
          <w:p w14:paraId="248F99CD">
            <w:pPr>
              <w:spacing w:line="312" w:lineRule="auto"/>
              <w:jc w:val="center"/>
              <w:rPr>
                <w:szCs w:val="21"/>
              </w:rPr>
            </w:pPr>
            <w:r>
              <w:rPr>
                <w:rFonts w:hint="eastAsia"/>
                <w:szCs w:val="21"/>
              </w:rPr>
              <w:t>4</w:t>
            </w:r>
          </w:p>
        </w:tc>
        <w:tc>
          <w:tcPr>
            <w:tcW w:w="709" w:type="dxa"/>
            <w:noWrap w:val="0"/>
            <w:vAlign w:val="top"/>
          </w:tcPr>
          <w:p w14:paraId="4CA7B8C2">
            <w:pPr>
              <w:spacing w:line="312" w:lineRule="auto"/>
              <w:jc w:val="center"/>
              <w:rPr>
                <w:rFonts w:hint="eastAsia"/>
                <w:szCs w:val="21"/>
              </w:rPr>
            </w:pPr>
          </w:p>
        </w:tc>
      </w:tr>
      <w:tr w14:paraId="58F3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03" w:type="dxa"/>
            <w:noWrap w:val="0"/>
            <w:vAlign w:val="center"/>
          </w:tcPr>
          <w:p w14:paraId="5091D9A5">
            <w:pPr>
              <w:spacing w:line="312" w:lineRule="auto"/>
              <w:jc w:val="center"/>
              <w:rPr>
                <w:szCs w:val="21"/>
              </w:rPr>
            </w:pPr>
            <w:r>
              <w:rPr>
                <w:rFonts w:hint="eastAsia"/>
                <w:szCs w:val="21"/>
              </w:rPr>
              <w:t>3</w:t>
            </w:r>
          </w:p>
        </w:tc>
        <w:tc>
          <w:tcPr>
            <w:tcW w:w="2988" w:type="dxa"/>
            <w:noWrap w:val="0"/>
            <w:vAlign w:val="center"/>
          </w:tcPr>
          <w:p w14:paraId="15089D50">
            <w:pPr>
              <w:spacing w:line="312" w:lineRule="auto"/>
              <w:rPr>
                <w:color w:val="000000"/>
                <w:szCs w:val="21"/>
              </w:rPr>
            </w:pPr>
            <w:r>
              <w:rPr>
                <w:rFonts w:hint="eastAsia"/>
                <w:sz w:val="24"/>
              </w:rPr>
              <w:t>简单判断及其推理</w:t>
            </w:r>
          </w:p>
        </w:tc>
        <w:tc>
          <w:tcPr>
            <w:tcW w:w="1984" w:type="dxa"/>
            <w:noWrap w:val="0"/>
            <w:vAlign w:val="center"/>
          </w:tcPr>
          <w:p w14:paraId="03F439F3">
            <w:pPr>
              <w:spacing w:line="312" w:lineRule="auto"/>
              <w:jc w:val="center"/>
              <w:rPr>
                <w:color w:val="000000"/>
                <w:szCs w:val="21"/>
              </w:rPr>
            </w:pPr>
            <w:r>
              <w:rPr>
                <w:rFonts w:hint="eastAsia"/>
                <w:color w:val="000000"/>
                <w:szCs w:val="21"/>
              </w:rPr>
              <w:t>2</w:t>
            </w:r>
          </w:p>
        </w:tc>
        <w:tc>
          <w:tcPr>
            <w:tcW w:w="1701" w:type="dxa"/>
            <w:noWrap w:val="0"/>
            <w:vAlign w:val="center"/>
          </w:tcPr>
          <w:p w14:paraId="6C7CB1D6">
            <w:pPr>
              <w:spacing w:line="312" w:lineRule="auto"/>
              <w:jc w:val="center"/>
              <w:rPr>
                <w:szCs w:val="21"/>
              </w:rPr>
            </w:pPr>
            <w:r>
              <w:rPr>
                <w:rFonts w:hint="eastAsia"/>
                <w:szCs w:val="21"/>
              </w:rPr>
              <w:t>3-1</w:t>
            </w:r>
          </w:p>
        </w:tc>
        <w:tc>
          <w:tcPr>
            <w:tcW w:w="709" w:type="dxa"/>
            <w:noWrap w:val="0"/>
            <w:vAlign w:val="center"/>
          </w:tcPr>
          <w:p w14:paraId="272EA7BB">
            <w:pPr>
              <w:spacing w:line="312" w:lineRule="auto"/>
              <w:jc w:val="center"/>
              <w:rPr>
                <w:szCs w:val="21"/>
              </w:rPr>
            </w:pPr>
            <w:r>
              <w:rPr>
                <w:rFonts w:hint="eastAsia"/>
                <w:szCs w:val="21"/>
              </w:rPr>
              <w:t>2</w:t>
            </w:r>
          </w:p>
        </w:tc>
        <w:tc>
          <w:tcPr>
            <w:tcW w:w="709" w:type="dxa"/>
            <w:noWrap w:val="0"/>
            <w:vAlign w:val="top"/>
          </w:tcPr>
          <w:p w14:paraId="1C20A004">
            <w:pPr>
              <w:spacing w:line="312" w:lineRule="auto"/>
              <w:jc w:val="center"/>
              <w:rPr>
                <w:rFonts w:hint="eastAsia"/>
                <w:szCs w:val="21"/>
              </w:rPr>
            </w:pPr>
            <w:r>
              <w:rPr>
                <w:rFonts w:hint="eastAsia"/>
                <w:szCs w:val="21"/>
              </w:rPr>
              <w:t>2</w:t>
            </w:r>
          </w:p>
        </w:tc>
      </w:tr>
      <w:tr w14:paraId="7E91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4FFFCA11">
            <w:pPr>
              <w:spacing w:line="312" w:lineRule="auto"/>
              <w:jc w:val="center"/>
              <w:rPr>
                <w:szCs w:val="21"/>
              </w:rPr>
            </w:pPr>
            <w:r>
              <w:rPr>
                <w:rFonts w:hint="eastAsia"/>
                <w:szCs w:val="21"/>
              </w:rPr>
              <w:t>4</w:t>
            </w:r>
          </w:p>
        </w:tc>
        <w:tc>
          <w:tcPr>
            <w:tcW w:w="2988" w:type="dxa"/>
            <w:noWrap w:val="0"/>
            <w:vAlign w:val="center"/>
          </w:tcPr>
          <w:p w14:paraId="54C79E1A">
            <w:pPr>
              <w:spacing w:line="312" w:lineRule="auto"/>
              <w:rPr>
                <w:color w:val="000000"/>
                <w:szCs w:val="21"/>
              </w:rPr>
            </w:pPr>
            <w:r>
              <w:rPr>
                <w:rFonts w:hint="eastAsia"/>
                <w:sz w:val="24"/>
              </w:rPr>
              <w:t>复合判断及其推理</w:t>
            </w:r>
          </w:p>
        </w:tc>
        <w:tc>
          <w:tcPr>
            <w:tcW w:w="1984" w:type="dxa"/>
            <w:noWrap w:val="0"/>
            <w:vAlign w:val="center"/>
          </w:tcPr>
          <w:p w14:paraId="4A5B8A24">
            <w:pPr>
              <w:spacing w:line="312" w:lineRule="auto"/>
              <w:jc w:val="center"/>
              <w:rPr>
                <w:color w:val="000000"/>
                <w:szCs w:val="21"/>
              </w:rPr>
            </w:pPr>
            <w:r>
              <w:rPr>
                <w:rFonts w:hint="eastAsia"/>
                <w:color w:val="000000"/>
                <w:szCs w:val="21"/>
              </w:rPr>
              <w:t>2</w:t>
            </w:r>
          </w:p>
        </w:tc>
        <w:tc>
          <w:tcPr>
            <w:tcW w:w="1701" w:type="dxa"/>
            <w:noWrap w:val="0"/>
            <w:vAlign w:val="center"/>
          </w:tcPr>
          <w:p w14:paraId="779257F6">
            <w:pPr>
              <w:spacing w:line="312" w:lineRule="auto"/>
              <w:jc w:val="center"/>
              <w:rPr>
                <w:szCs w:val="21"/>
              </w:rPr>
            </w:pPr>
            <w:r>
              <w:rPr>
                <w:rFonts w:hint="eastAsia"/>
                <w:szCs w:val="21"/>
              </w:rPr>
              <w:t>3-1</w:t>
            </w:r>
          </w:p>
        </w:tc>
        <w:tc>
          <w:tcPr>
            <w:tcW w:w="709" w:type="dxa"/>
            <w:noWrap w:val="0"/>
            <w:vAlign w:val="center"/>
          </w:tcPr>
          <w:p w14:paraId="2C96276C">
            <w:pPr>
              <w:spacing w:line="312" w:lineRule="auto"/>
              <w:jc w:val="center"/>
              <w:rPr>
                <w:szCs w:val="21"/>
              </w:rPr>
            </w:pPr>
            <w:r>
              <w:rPr>
                <w:rFonts w:hint="eastAsia"/>
                <w:szCs w:val="21"/>
              </w:rPr>
              <w:t>2</w:t>
            </w:r>
          </w:p>
        </w:tc>
        <w:tc>
          <w:tcPr>
            <w:tcW w:w="709" w:type="dxa"/>
            <w:noWrap w:val="0"/>
            <w:vAlign w:val="top"/>
          </w:tcPr>
          <w:p w14:paraId="11DAC13D">
            <w:pPr>
              <w:spacing w:line="312" w:lineRule="auto"/>
              <w:jc w:val="center"/>
              <w:rPr>
                <w:rFonts w:hint="eastAsia"/>
                <w:szCs w:val="21"/>
              </w:rPr>
            </w:pPr>
            <w:r>
              <w:rPr>
                <w:rFonts w:hint="eastAsia"/>
                <w:szCs w:val="21"/>
              </w:rPr>
              <w:t>2</w:t>
            </w:r>
          </w:p>
        </w:tc>
      </w:tr>
      <w:tr w14:paraId="0EEF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03" w:type="dxa"/>
            <w:noWrap w:val="0"/>
            <w:vAlign w:val="center"/>
          </w:tcPr>
          <w:p w14:paraId="7C7C601F">
            <w:pPr>
              <w:spacing w:line="312" w:lineRule="auto"/>
              <w:jc w:val="center"/>
              <w:rPr>
                <w:szCs w:val="21"/>
              </w:rPr>
            </w:pPr>
            <w:r>
              <w:rPr>
                <w:rFonts w:hint="eastAsia"/>
                <w:szCs w:val="21"/>
              </w:rPr>
              <w:t>5</w:t>
            </w:r>
          </w:p>
        </w:tc>
        <w:tc>
          <w:tcPr>
            <w:tcW w:w="2988" w:type="dxa"/>
            <w:noWrap w:val="0"/>
            <w:vAlign w:val="center"/>
          </w:tcPr>
          <w:p w14:paraId="6CDA3FB0">
            <w:pPr>
              <w:spacing w:line="312" w:lineRule="auto"/>
              <w:rPr>
                <w:color w:val="000000"/>
                <w:szCs w:val="21"/>
              </w:rPr>
            </w:pPr>
            <w:r>
              <w:rPr>
                <w:rFonts w:hint="eastAsia"/>
                <w:sz w:val="24"/>
              </w:rPr>
              <w:t>模态判断及其推理</w:t>
            </w:r>
          </w:p>
        </w:tc>
        <w:tc>
          <w:tcPr>
            <w:tcW w:w="1984" w:type="dxa"/>
            <w:noWrap w:val="0"/>
            <w:vAlign w:val="center"/>
          </w:tcPr>
          <w:p w14:paraId="4E64DB3E">
            <w:pPr>
              <w:spacing w:line="312" w:lineRule="auto"/>
              <w:jc w:val="center"/>
              <w:rPr>
                <w:color w:val="000000"/>
                <w:szCs w:val="21"/>
              </w:rPr>
            </w:pPr>
            <w:r>
              <w:rPr>
                <w:rFonts w:hint="eastAsia"/>
                <w:color w:val="000000"/>
                <w:szCs w:val="21"/>
              </w:rPr>
              <w:t>2</w:t>
            </w:r>
          </w:p>
        </w:tc>
        <w:tc>
          <w:tcPr>
            <w:tcW w:w="1701" w:type="dxa"/>
            <w:noWrap w:val="0"/>
            <w:vAlign w:val="center"/>
          </w:tcPr>
          <w:p w14:paraId="7BD54389">
            <w:pPr>
              <w:spacing w:line="312" w:lineRule="auto"/>
              <w:jc w:val="center"/>
              <w:rPr>
                <w:szCs w:val="21"/>
              </w:rPr>
            </w:pPr>
            <w:r>
              <w:rPr>
                <w:rFonts w:hint="eastAsia"/>
                <w:szCs w:val="21"/>
              </w:rPr>
              <w:t>3-1</w:t>
            </w:r>
          </w:p>
        </w:tc>
        <w:tc>
          <w:tcPr>
            <w:tcW w:w="709" w:type="dxa"/>
            <w:noWrap w:val="0"/>
            <w:vAlign w:val="center"/>
          </w:tcPr>
          <w:p w14:paraId="44CD1849">
            <w:pPr>
              <w:spacing w:line="312" w:lineRule="auto"/>
              <w:jc w:val="center"/>
              <w:rPr>
                <w:szCs w:val="21"/>
              </w:rPr>
            </w:pPr>
            <w:r>
              <w:rPr>
                <w:rFonts w:hint="eastAsia"/>
                <w:szCs w:val="21"/>
              </w:rPr>
              <w:t>2</w:t>
            </w:r>
          </w:p>
        </w:tc>
        <w:tc>
          <w:tcPr>
            <w:tcW w:w="709" w:type="dxa"/>
            <w:noWrap w:val="0"/>
            <w:vAlign w:val="top"/>
          </w:tcPr>
          <w:p w14:paraId="2FD4CA94">
            <w:pPr>
              <w:spacing w:line="312" w:lineRule="auto"/>
              <w:jc w:val="center"/>
              <w:rPr>
                <w:rFonts w:hint="eastAsia"/>
                <w:szCs w:val="21"/>
              </w:rPr>
            </w:pPr>
          </w:p>
        </w:tc>
      </w:tr>
      <w:tr w14:paraId="4647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69D5C32E">
            <w:pPr>
              <w:spacing w:line="312" w:lineRule="auto"/>
              <w:jc w:val="center"/>
              <w:rPr>
                <w:szCs w:val="21"/>
              </w:rPr>
            </w:pPr>
            <w:r>
              <w:rPr>
                <w:rFonts w:hint="eastAsia"/>
                <w:szCs w:val="21"/>
              </w:rPr>
              <w:t>6</w:t>
            </w:r>
          </w:p>
        </w:tc>
        <w:tc>
          <w:tcPr>
            <w:tcW w:w="2988" w:type="dxa"/>
            <w:noWrap w:val="0"/>
            <w:vAlign w:val="center"/>
          </w:tcPr>
          <w:p w14:paraId="3D408E43">
            <w:pPr>
              <w:spacing w:line="312" w:lineRule="auto"/>
              <w:rPr>
                <w:color w:val="000000"/>
                <w:szCs w:val="21"/>
              </w:rPr>
            </w:pPr>
            <w:r>
              <w:rPr>
                <w:rFonts w:hint="eastAsia"/>
                <w:sz w:val="24"/>
              </w:rPr>
              <w:t>归纳推理</w:t>
            </w:r>
          </w:p>
        </w:tc>
        <w:tc>
          <w:tcPr>
            <w:tcW w:w="1984" w:type="dxa"/>
            <w:noWrap w:val="0"/>
            <w:vAlign w:val="center"/>
          </w:tcPr>
          <w:p w14:paraId="1BA598D1">
            <w:pPr>
              <w:spacing w:line="312" w:lineRule="auto"/>
              <w:jc w:val="center"/>
              <w:rPr>
                <w:color w:val="000000"/>
                <w:szCs w:val="21"/>
              </w:rPr>
            </w:pPr>
            <w:r>
              <w:rPr>
                <w:rFonts w:hint="eastAsia"/>
                <w:color w:val="000000"/>
                <w:szCs w:val="21"/>
              </w:rPr>
              <w:t>3</w:t>
            </w:r>
          </w:p>
        </w:tc>
        <w:tc>
          <w:tcPr>
            <w:tcW w:w="1701" w:type="dxa"/>
            <w:noWrap w:val="0"/>
            <w:vAlign w:val="center"/>
          </w:tcPr>
          <w:p w14:paraId="5F0F01CC">
            <w:pPr>
              <w:spacing w:line="312" w:lineRule="auto"/>
              <w:jc w:val="center"/>
              <w:rPr>
                <w:szCs w:val="21"/>
              </w:rPr>
            </w:pPr>
            <w:r>
              <w:rPr>
                <w:rFonts w:hint="eastAsia"/>
                <w:szCs w:val="21"/>
              </w:rPr>
              <w:t>3-1</w:t>
            </w:r>
          </w:p>
        </w:tc>
        <w:tc>
          <w:tcPr>
            <w:tcW w:w="709" w:type="dxa"/>
            <w:noWrap w:val="0"/>
            <w:vAlign w:val="center"/>
          </w:tcPr>
          <w:p w14:paraId="446A8A08">
            <w:pPr>
              <w:spacing w:line="312" w:lineRule="auto"/>
              <w:jc w:val="center"/>
              <w:rPr>
                <w:szCs w:val="21"/>
              </w:rPr>
            </w:pPr>
            <w:r>
              <w:rPr>
                <w:rFonts w:hint="eastAsia"/>
                <w:szCs w:val="21"/>
              </w:rPr>
              <w:t>2</w:t>
            </w:r>
          </w:p>
        </w:tc>
        <w:tc>
          <w:tcPr>
            <w:tcW w:w="709" w:type="dxa"/>
            <w:noWrap w:val="0"/>
            <w:vAlign w:val="top"/>
          </w:tcPr>
          <w:p w14:paraId="3AC9833D">
            <w:pPr>
              <w:spacing w:line="312" w:lineRule="auto"/>
              <w:jc w:val="center"/>
              <w:rPr>
                <w:rFonts w:hint="eastAsia"/>
                <w:szCs w:val="21"/>
              </w:rPr>
            </w:pPr>
            <w:r>
              <w:rPr>
                <w:rFonts w:hint="eastAsia"/>
                <w:szCs w:val="21"/>
              </w:rPr>
              <w:t>2</w:t>
            </w:r>
          </w:p>
        </w:tc>
      </w:tr>
      <w:tr w14:paraId="034C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31DAEF00">
            <w:pPr>
              <w:spacing w:line="312" w:lineRule="auto"/>
              <w:jc w:val="center"/>
              <w:rPr>
                <w:rFonts w:hint="eastAsia"/>
                <w:szCs w:val="21"/>
              </w:rPr>
            </w:pPr>
            <w:r>
              <w:rPr>
                <w:rFonts w:hint="eastAsia"/>
                <w:szCs w:val="21"/>
              </w:rPr>
              <w:t>7</w:t>
            </w:r>
          </w:p>
        </w:tc>
        <w:tc>
          <w:tcPr>
            <w:tcW w:w="2988" w:type="dxa"/>
            <w:noWrap w:val="0"/>
            <w:vAlign w:val="center"/>
          </w:tcPr>
          <w:p w14:paraId="01E4F350">
            <w:pPr>
              <w:spacing w:line="312" w:lineRule="auto"/>
              <w:rPr>
                <w:szCs w:val="21"/>
              </w:rPr>
            </w:pPr>
            <w:r>
              <w:rPr>
                <w:rFonts w:hint="eastAsia"/>
                <w:sz w:val="24"/>
              </w:rPr>
              <w:t>类比推理与假说</w:t>
            </w:r>
          </w:p>
        </w:tc>
        <w:tc>
          <w:tcPr>
            <w:tcW w:w="1984" w:type="dxa"/>
            <w:noWrap w:val="0"/>
            <w:vAlign w:val="center"/>
          </w:tcPr>
          <w:p w14:paraId="2A52D92D">
            <w:pPr>
              <w:spacing w:line="312" w:lineRule="auto"/>
              <w:jc w:val="center"/>
              <w:rPr>
                <w:color w:val="000000"/>
                <w:szCs w:val="21"/>
              </w:rPr>
            </w:pPr>
            <w:r>
              <w:rPr>
                <w:rFonts w:hint="eastAsia"/>
                <w:color w:val="000000"/>
                <w:szCs w:val="21"/>
              </w:rPr>
              <w:t>3</w:t>
            </w:r>
          </w:p>
        </w:tc>
        <w:tc>
          <w:tcPr>
            <w:tcW w:w="1701" w:type="dxa"/>
            <w:noWrap w:val="0"/>
            <w:vAlign w:val="center"/>
          </w:tcPr>
          <w:p w14:paraId="3A90E0B1">
            <w:pPr>
              <w:spacing w:line="312" w:lineRule="auto"/>
              <w:jc w:val="center"/>
              <w:rPr>
                <w:color w:val="000000"/>
                <w:szCs w:val="21"/>
              </w:rPr>
            </w:pPr>
            <w:r>
              <w:rPr>
                <w:rFonts w:hint="eastAsia"/>
                <w:szCs w:val="21"/>
              </w:rPr>
              <w:t>3-1</w:t>
            </w:r>
          </w:p>
        </w:tc>
        <w:tc>
          <w:tcPr>
            <w:tcW w:w="709" w:type="dxa"/>
            <w:noWrap w:val="0"/>
            <w:vAlign w:val="center"/>
          </w:tcPr>
          <w:p w14:paraId="571F66EC">
            <w:pPr>
              <w:spacing w:line="312" w:lineRule="auto"/>
              <w:jc w:val="center"/>
              <w:rPr>
                <w:rFonts w:hint="eastAsia"/>
                <w:szCs w:val="21"/>
              </w:rPr>
            </w:pPr>
            <w:r>
              <w:rPr>
                <w:rFonts w:hint="eastAsia"/>
                <w:szCs w:val="21"/>
              </w:rPr>
              <w:t>2</w:t>
            </w:r>
          </w:p>
        </w:tc>
        <w:tc>
          <w:tcPr>
            <w:tcW w:w="709" w:type="dxa"/>
            <w:noWrap w:val="0"/>
            <w:vAlign w:val="top"/>
          </w:tcPr>
          <w:p w14:paraId="2D576201">
            <w:pPr>
              <w:spacing w:line="312" w:lineRule="auto"/>
              <w:jc w:val="center"/>
              <w:rPr>
                <w:rFonts w:hint="eastAsia"/>
                <w:szCs w:val="21"/>
              </w:rPr>
            </w:pPr>
          </w:p>
        </w:tc>
      </w:tr>
      <w:tr w14:paraId="79B3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45F777C6">
            <w:pPr>
              <w:spacing w:line="312" w:lineRule="auto"/>
              <w:jc w:val="center"/>
              <w:rPr>
                <w:rFonts w:hint="eastAsia"/>
                <w:szCs w:val="21"/>
              </w:rPr>
            </w:pPr>
            <w:r>
              <w:rPr>
                <w:rFonts w:hint="eastAsia"/>
                <w:szCs w:val="21"/>
              </w:rPr>
              <w:t>8</w:t>
            </w:r>
          </w:p>
        </w:tc>
        <w:tc>
          <w:tcPr>
            <w:tcW w:w="2988" w:type="dxa"/>
            <w:noWrap w:val="0"/>
            <w:vAlign w:val="center"/>
          </w:tcPr>
          <w:p w14:paraId="431835C4">
            <w:pPr>
              <w:spacing w:line="312" w:lineRule="auto"/>
              <w:rPr>
                <w:szCs w:val="21"/>
              </w:rPr>
            </w:pPr>
            <w:r>
              <w:rPr>
                <w:rFonts w:hint="eastAsia"/>
                <w:sz w:val="24"/>
              </w:rPr>
              <w:t>普通逻辑的基本规律</w:t>
            </w:r>
          </w:p>
        </w:tc>
        <w:tc>
          <w:tcPr>
            <w:tcW w:w="1984" w:type="dxa"/>
            <w:noWrap w:val="0"/>
            <w:vAlign w:val="center"/>
          </w:tcPr>
          <w:p w14:paraId="694D5791">
            <w:pPr>
              <w:spacing w:line="312" w:lineRule="auto"/>
              <w:jc w:val="center"/>
              <w:rPr>
                <w:color w:val="000000"/>
                <w:szCs w:val="21"/>
              </w:rPr>
            </w:pPr>
            <w:r>
              <w:rPr>
                <w:rFonts w:hint="eastAsia"/>
                <w:color w:val="000000"/>
                <w:szCs w:val="21"/>
              </w:rPr>
              <w:t>1、4</w:t>
            </w:r>
          </w:p>
        </w:tc>
        <w:tc>
          <w:tcPr>
            <w:tcW w:w="1701" w:type="dxa"/>
            <w:noWrap w:val="0"/>
            <w:vAlign w:val="center"/>
          </w:tcPr>
          <w:p w14:paraId="5126E76F">
            <w:pPr>
              <w:spacing w:line="312" w:lineRule="auto"/>
              <w:jc w:val="center"/>
              <w:rPr>
                <w:color w:val="000000"/>
                <w:szCs w:val="21"/>
              </w:rPr>
            </w:pPr>
            <w:r>
              <w:rPr>
                <w:rFonts w:hint="eastAsia"/>
                <w:szCs w:val="21"/>
              </w:rPr>
              <w:t>2-3、3-1</w:t>
            </w:r>
          </w:p>
        </w:tc>
        <w:tc>
          <w:tcPr>
            <w:tcW w:w="709" w:type="dxa"/>
            <w:noWrap w:val="0"/>
            <w:vAlign w:val="center"/>
          </w:tcPr>
          <w:p w14:paraId="03D12374">
            <w:pPr>
              <w:spacing w:line="312" w:lineRule="auto"/>
              <w:jc w:val="center"/>
              <w:rPr>
                <w:rFonts w:hint="eastAsia"/>
                <w:szCs w:val="21"/>
              </w:rPr>
            </w:pPr>
            <w:r>
              <w:rPr>
                <w:rFonts w:hint="eastAsia"/>
                <w:szCs w:val="21"/>
              </w:rPr>
              <w:t>2</w:t>
            </w:r>
          </w:p>
        </w:tc>
        <w:tc>
          <w:tcPr>
            <w:tcW w:w="709" w:type="dxa"/>
            <w:noWrap w:val="0"/>
            <w:vAlign w:val="top"/>
          </w:tcPr>
          <w:p w14:paraId="6CCA9AEA">
            <w:pPr>
              <w:spacing w:line="312" w:lineRule="auto"/>
              <w:jc w:val="center"/>
              <w:rPr>
                <w:rFonts w:hint="eastAsia"/>
                <w:szCs w:val="21"/>
              </w:rPr>
            </w:pPr>
            <w:r>
              <w:rPr>
                <w:rFonts w:hint="eastAsia"/>
                <w:szCs w:val="21"/>
              </w:rPr>
              <w:t>2</w:t>
            </w:r>
          </w:p>
        </w:tc>
      </w:tr>
      <w:tr w14:paraId="6035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03" w:type="dxa"/>
            <w:noWrap w:val="0"/>
            <w:vAlign w:val="center"/>
          </w:tcPr>
          <w:p w14:paraId="535417D0">
            <w:pPr>
              <w:spacing w:line="312" w:lineRule="auto"/>
              <w:jc w:val="center"/>
              <w:rPr>
                <w:rFonts w:hint="eastAsia"/>
                <w:szCs w:val="21"/>
              </w:rPr>
            </w:pPr>
            <w:r>
              <w:rPr>
                <w:rFonts w:hint="eastAsia"/>
                <w:szCs w:val="21"/>
              </w:rPr>
              <w:t>9</w:t>
            </w:r>
          </w:p>
        </w:tc>
        <w:tc>
          <w:tcPr>
            <w:tcW w:w="2988" w:type="dxa"/>
            <w:noWrap w:val="0"/>
            <w:vAlign w:val="center"/>
          </w:tcPr>
          <w:p w14:paraId="13121475">
            <w:pPr>
              <w:spacing w:line="312" w:lineRule="auto"/>
              <w:rPr>
                <w:szCs w:val="21"/>
              </w:rPr>
            </w:pPr>
            <w:r>
              <w:rPr>
                <w:rFonts w:hint="eastAsia"/>
                <w:sz w:val="24"/>
              </w:rPr>
              <w:t>论证</w:t>
            </w:r>
          </w:p>
        </w:tc>
        <w:tc>
          <w:tcPr>
            <w:tcW w:w="1984" w:type="dxa"/>
            <w:noWrap w:val="0"/>
            <w:vAlign w:val="center"/>
          </w:tcPr>
          <w:p w14:paraId="258A3BC3">
            <w:pPr>
              <w:spacing w:line="312" w:lineRule="auto"/>
              <w:jc w:val="center"/>
              <w:rPr>
                <w:color w:val="000000"/>
                <w:szCs w:val="21"/>
              </w:rPr>
            </w:pPr>
            <w:r>
              <w:rPr>
                <w:rFonts w:hint="eastAsia"/>
                <w:color w:val="000000"/>
                <w:szCs w:val="21"/>
              </w:rPr>
              <w:t>1、4</w:t>
            </w:r>
          </w:p>
        </w:tc>
        <w:tc>
          <w:tcPr>
            <w:tcW w:w="1701" w:type="dxa"/>
            <w:noWrap w:val="0"/>
            <w:vAlign w:val="center"/>
          </w:tcPr>
          <w:p w14:paraId="6A1DEBB8">
            <w:pPr>
              <w:spacing w:line="312" w:lineRule="auto"/>
              <w:jc w:val="center"/>
              <w:rPr>
                <w:color w:val="000000"/>
                <w:szCs w:val="21"/>
              </w:rPr>
            </w:pPr>
            <w:r>
              <w:rPr>
                <w:rFonts w:hint="eastAsia"/>
                <w:szCs w:val="21"/>
              </w:rPr>
              <w:t>2-3、3-1</w:t>
            </w:r>
          </w:p>
        </w:tc>
        <w:tc>
          <w:tcPr>
            <w:tcW w:w="709" w:type="dxa"/>
            <w:noWrap w:val="0"/>
            <w:vAlign w:val="center"/>
          </w:tcPr>
          <w:p w14:paraId="52B0F89B">
            <w:pPr>
              <w:spacing w:line="312" w:lineRule="auto"/>
              <w:jc w:val="center"/>
              <w:rPr>
                <w:rFonts w:hint="eastAsia"/>
                <w:szCs w:val="21"/>
              </w:rPr>
            </w:pPr>
            <w:r>
              <w:rPr>
                <w:rFonts w:hint="eastAsia"/>
                <w:szCs w:val="21"/>
              </w:rPr>
              <w:t>2</w:t>
            </w:r>
          </w:p>
        </w:tc>
        <w:tc>
          <w:tcPr>
            <w:tcW w:w="709" w:type="dxa"/>
            <w:noWrap w:val="0"/>
            <w:vAlign w:val="top"/>
          </w:tcPr>
          <w:p w14:paraId="4B1717F8">
            <w:pPr>
              <w:spacing w:line="312" w:lineRule="auto"/>
              <w:jc w:val="center"/>
              <w:rPr>
                <w:rFonts w:hint="eastAsia"/>
                <w:szCs w:val="21"/>
              </w:rPr>
            </w:pPr>
          </w:p>
        </w:tc>
      </w:tr>
      <w:tr w14:paraId="6F52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476" w:type="dxa"/>
            <w:gridSpan w:val="4"/>
            <w:noWrap w:val="0"/>
            <w:vAlign w:val="center"/>
          </w:tcPr>
          <w:p w14:paraId="73E36A8F">
            <w:pPr>
              <w:spacing w:line="312" w:lineRule="auto"/>
              <w:jc w:val="center"/>
              <w:rPr>
                <w:szCs w:val="21"/>
              </w:rPr>
            </w:pPr>
            <w:r>
              <w:rPr>
                <w:szCs w:val="21"/>
              </w:rPr>
              <w:t>合 计</w:t>
            </w:r>
          </w:p>
        </w:tc>
        <w:tc>
          <w:tcPr>
            <w:tcW w:w="709" w:type="dxa"/>
            <w:noWrap w:val="0"/>
            <w:vAlign w:val="center"/>
          </w:tcPr>
          <w:p w14:paraId="058A759A">
            <w:pPr>
              <w:spacing w:line="312" w:lineRule="auto"/>
              <w:jc w:val="center"/>
              <w:rPr>
                <w:szCs w:val="21"/>
              </w:rPr>
            </w:pPr>
            <w:r>
              <w:rPr>
                <w:rFonts w:hint="eastAsia"/>
                <w:szCs w:val="21"/>
              </w:rPr>
              <w:t>22</w:t>
            </w:r>
          </w:p>
        </w:tc>
        <w:tc>
          <w:tcPr>
            <w:tcW w:w="709" w:type="dxa"/>
            <w:noWrap w:val="0"/>
            <w:vAlign w:val="top"/>
          </w:tcPr>
          <w:p w14:paraId="1B127E22">
            <w:pPr>
              <w:spacing w:line="312" w:lineRule="auto"/>
              <w:jc w:val="center"/>
              <w:rPr>
                <w:szCs w:val="21"/>
              </w:rPr>
            </w:pPr>
            <w:r>
              <w:rPr>
                <w:rFonts w:hint="eastAsia"/>
                <w:szCs w:val="21"/>
              </w:rPr>
              <w:t>10</w:t>
            </w:r>
          </w:p>
        </w:tc>
      </w:tr>
    </w:tbl>
    <w:p w14:paraId="58D4A30C">
      <w:pPr>
        <w:spacing w:line="360" w:lineRule="auto"/>
        <w:ind w:firstLine="562" w:firstLineChars="200"/>
        <w:rPr>
          <w:rFonts w:hint="eastAsia"/>
          <w:b/>
          <w:sz w:val="28"/>
          <w:szCs w:val="28"/>
        </w:rPr>
      </w:pPr>
      <w:r>
        <w:rPr>
          <w:rFonts w:hint="eastAsia"/>
          <w:b/>
          <w:sz w:val="28"/>
          <w:szCs w:val="28"/>
        </w:rPr>
        <w:t>四</w:t>
      </w:r>
      <w:r>
        <w:rPr>
          <w:b/>
          <w:sz w:val="28"/>
          <w:szCs w:val="28"/>
        </w:rPr>
        <w:t>、</w:t>
      </w:r>
      <w:r>
        <w:rPr>
          <w:rFonts w:hint="eastAsia"/>
          <w:b/>
          <w:sz w:val="28"/>
          <w:szCs w:val="28"/>
        </w:rPr>
        <w:t>课内实验（实践）</w:t>
      </w:r>
    </w:p>
    <w:tbl>
      <w:tblPr>
        <w:tblStyle w:val="30"/>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225"/>
        <w:gridCol w:w="3402"/>
        <w:gridCol w:w="851"/>
        <w:gridCol w:w="1447"/>
        <w:gridCol w:w="815"/>
      </w:tblGrid>
      <w:tr w14:paraId="20E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shd w:val="clear" w:color="auto" w:fill="FFFFFF"/>
            <w:noWrap w:val="0"/>
            <w:vAlign w:val="center"/>
          </w:tcPr>
          <w:p w14:paraId="79951825">
            <w:pPr>
              <w:jc w:val="center"/>
              <w:rPr>
                <w:bCs/>
                <w:spacing w:val="-20"/>
                <w:szCs w:val="21"/>
              </w:rPr>
            </w:pPr>
            <w:r>
              <w:rPr>
                <w:bCs/>
                <w:spacing w:val="-20"/>
                <w:szCs w:val="21"/>
              </w:rPr>
              <w:t>序号</w:t>
            </w:r>
          </w:p>
        </w:tc>
        <w:tc>
          <w:tcPr>
            <w:tcW w:w="2225" w:type="dxa"/>
            <w:shd w:val="clear" w:color="auto" w:fill="FFFFFF"/>
            <w:noWrap w:val="0"/>
            <w:vAlign w:val="center"/>
          </w:tcPr>
          <w:p w14:paraId="18C5639C">
            <w:pPr>
              <w:jc w:val="center"/>
              <w:rPr>
                <w:bCs/>
                <w:szCs w:val="21"/>
              </w:rPr>
            </w:pPr>
            <w:r>
              <w:rPr>
                <w:bCs/>
                <w:szCs w:val="21"/>
              </w:rPr>
              <w:t>项目名称</w:t>
            </w:r>
          </w:p>
        </w:tc>
        <w:tc>
          <w:tcPr>
            <w:tcW w:w="3402" w:type="dxa"/>
            <w:shd w:val="clear" w:color="auto" w:fill="FFFFFF"/>
            <w:noWrap w:val="0"/>
            <w:vAlign w:val="center"/>
          </w:tcPr>
          <w:p w14:paraId="07BBAE55">
            <w:pPr>
              <w:jc w:val="center"/>
              <w:rPr>
                <w:bCs/>
                <w:szCs w:val="21"/>
              </w:rPr>
            </w:pPr>
            <w:r>
              <w:rPr>
                <w:rFonts w:hint="eastAsia"/>
                <w:bCs/>
                <w:szCs w:val="21"/>
              </w:rPr>
              <w:t>实践</w:t>
            </w:r>
            <w:r>
              <w:rPr>
                <w:bCs/>
                <w:szCs w:val="21"/>
              </w:rPr>
              <w:t>内容及要求</w:t>
            </w:r>
          </w:p>
        </w:tc>
        <w:tc>
          <w:tcPr>
            <w:tcW w:w="851" w:type="dxa"/>
            <w:shd w:val="clear" w:color="auto" w:fill="FFFFFF"/>
            <w:noWrap w:val="0"/>
            <w:vAlign w:val="center"/>
          </w:tcPr>
          <w:p w14:paraId="699AB28A">
            <w:pPr>
              <w:jc w:val="center"/>
              <w:rPr>
                <w:bCs/>
                <w:szCs w:val="21"/>
              </w:rPr>
            </w:pPr>
            <w:r>
              <w:rPr>
                <w:bCs/>
                <w:szCs w:val="21"/>
              </w:rPr>
              <w:t>学时</w:t>
            </w:r>
          </w:p>
        </w:tc>
        <w:tc>
          <w:tcPr>
            <w:tcW w:w="1447" w:type="dxa"/>
            <w:shd w:val="clear" w:color="auto" w:fill="FFFFFF"/>
            <w:noWrap w:val="0"/>
            <w:vAlign w:val="center"/>
          </w:tcPr>
          <w:p w14:paraId="74A305CA">
            <w:pPr>
              <w:jc w:val="center"/>
              <w:rPr>
                <w:bCs/>
                <w:szCs w:val="21"/>
              </w:rPr>
            </w:pPr>
            <w:r>
              <w:rPr>
                <w:bCs/>
                <w:szCs w:val="21"/>
              </w:rPr>
              <w:t>对毕业要求的支撑</w:t>
            </w:r>
          </w:p>
        </w:tc>
        <w:tc>
          <w:tcPr>
            <w:tcW w:w="815" w:type="dxa"/>
            <w:shd w:val="clear" w:color="auto" w:fill="FFFFFF"/>
            <w:noWrap w:val="0"/>
            <w:vAlign w:val="top"/>
          </w:tcPr>
          <w:p w14:paraId="1E378F44">
            <w:pPr>
              <w:jc w:val="center"/>
              <w:rPr>
                <w:bCs/>
                <w:szCs w:val="21"/>
              </w:rPr>
            </w:pPr>
            <w:r>
              <w:rPr>
                <w:rFonts w:hint="eastAsia"/>
                <w:bCs/>
                <w:szCs w:val="21"/>
              </w:rPr>
              <w:t>备注</w:t>
            </w:r>
          </w:p>
        </w:tc>
      </w:tr>
      <w:tr w14:paraId="3062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bottom w:val="single" w:color="auto" w:sz="4" w:space="0"/>
              <w:right w:val="single" w:color="auto" w:sz="4" w:space="0"/>
            </w:tcBorders>
            <w:noWrap w:val="0"/>
            <w:vAlign w:val="center"/>
          </w:tcPr>
          <w:p w14:paraId="50317ABC">
            <w:pPr>
              <w:ind w:firstLine="200"/>
              <w:jc w:val="center"/>
              <w:rPr>
                <w:rFonts w:ascii="新宋体" w:hAnsi="新宋体" w:eastAsia="新宋体"/>
                <w:szCs w:val="21"/>
              </w:rPr>
            </w:pPr>
            <w:r>
              <w:rPr>
                <w:rFonts w:hint="eastAsia" w:ascii="新宋体" w:hAnsi="新宋体" w:eastAsia="新宋体"/>
                <w:szCs w:val="21"/>
              </w:rPr>
              <w:t>1</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47033FD7">
            <w:pPr>
              <w:adjustRightInd w:val="0"/>
              <w:ind w:firstLine="198"/>
              <w:rPr>
                <w:rFonts w:ascii="新宋体" w:hAnsi="新宋体" w:eastAsia="新宋体"/>
                <w:bCs/>
                <w:szCs w:val="21"/>
              </w:rPr>
            </w:pPr>
            <w:r>
              <w:rPr>
                <w:rFonts w:hint="eastAsia" w:ascii="新宋体" w:hAnsi="新宋体" w:eastAsia="新宋体"/>
                <w:szCs w:val="21"/>
              </w:rPr>
              <w:t>观摩辩论赛</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4EE9DAF8">
            <w:pPr>
              <w:ind w:firstLine="200"/>
              <w:rPr>
                <w:rFonts w:ascii="新宋体" w:hAnsi="新宋体" w:eastAsia="新宋体"/>
                <w:szCs w:val="21"/>
              </w:rPr>
            </w:pPr>
            <w:r>
              <w:rPr>
                <w:rFonts w:hint="eastAsia" w:ascii="新宋体" w:hAnsi="新宋体" w:eastAsia="新宋体"/>
                <w:szCs w:val="21"/>
              </w:rPr>
              <w:t>实践内容：观看世界大学生辩论赛的一场比赛录像</w:t>
            </w:r>
          </w:p>
          <w:p w14:paraId="30A41C94">
            <w:pPr>
              <w:ind w:firstLine="200"/>
              <w:rPr>
                <w:rFonts w:ascii="新宋体" w:hAnsi="新宋体" w:eastAsia="新宋体"/>
                <w:szCs w:val="21"/>
              </w:rPr>
            </w:pPr>
            <w:r>
              <w:rPr>
                <w:rFonts w:hint="eastAsia" w:ascii="新宋体" w:hAnsi="新宋体" w:eastAsia="新宋体"/>
                <w:szCs w:val="21"/>
              </w:rPr>
              <w:t>实践要求：（1）知道辩论赛流程</w:t>
            </w:r>
          </w:p>
          <w:p w14:paraId="61A75EFF">
            <w:pPr>
              <w:ind w:firstLine="200"/>
              <w:rPr>
                <w:rFonts w:ascii="新宋体" w:hAnsi="新宋体" w:eastAsia="新宋体"/>
                <w:szCs w:val="21"/>
              </w:rPr>
            </w:pPr>
            <w:r>
              <w:rPr>
                <w:rFonts w:hint="eastAsia" w:ascii="新宋体" w:hAnsi="新宋体" w:eastAsia="新宋体"/>
                <w:szCs w:val="21"/>
              </w:rPr>
              <w:t>（2）讨论辩论赛中双方的论点和论据，并能做出相应的评论</w:t>
            </w:r>
          </w:p>
          <w:p w14:paraId="2E38593D">
            <w:pPr>
              <w:ind w:firstLine="200"/>
              <w:rPr>
                <w:rFonts w:hint="eastAsia" w:ascii="新宋体" w:hAnsi="新宋体" w:eastAsia="新宋体"/>
                <w:szCs w:val="21"/>
              </w:rPr>
            </w:pPr>
            <w:r>
              <w:rPr>
                <w:rFonts w:hint="eastAsia" w:ascii="新宋体" w:hAnsi="新宋体" w:eastAsia="新宋体"/>
                <w:szCs w:val="21"/>
              </w:rPr>
              <w:t>（3）选一个辩手角色模拟练习</w:t>
            </w:r>
          </w:p>
        </w:tc>
        <w:tc>
          <w:tcPr>
            <w:tcW w:w="851" w:type="dxa"/>
            <w:noWrap w:val="0"/>
            <w:vAlign w:val="center"/>
          </w:tcPr>
          <w:p w14:paraId="7562E8EF">
            <w:pPr>
              <w:jc w:val="center"/>
              <w:rPr>
                <w:bCs/>
                <w:szCs w:val="21"/>
              </w:rPr>
            </w:pPr>
            <w:r>
              <w:rPr>
                <w:bCs/>
                <w:szCs w:val="21"/>
              </w:rPr>
              <w:t>2</w:t>
            </w:r>
          </w:p>
        </w:tc>
        <w:tc>
          <w:tcPr>
            <w:tcW w:w="1447" w:type="dxa"/>
            <w:noWrap w:val="0"/>
            <w:vAlign w:val="center"/>
          </w:tcPr>
          <w:p w14:paraId="630FA634">
            <w:pPr>
              <w:jc w:val="center"/>
              <w:rPr>
                <w:rFonts w:hint="eastAsia"/>
                <w:bCs/>
                <w:szCs w:val="21"/>
              </w:rPr>
            </w:pPr>
            <w:r>
              <w:rPr>
                <w:rFonts w:hint="eastAsia"/>
                <w:bCs/>
                <w:szCs w:val="21"/>
              </w:rPr>
              <w:t>2-3、3-1</w:t>
            </w:r>
          </w:p>
        </w:tc>
        <w:tc>
          <w:tcPr>
            <w:tcW w:w="815" w:type="dxa"/>
            <w:noWrap w:val="0"/>
            <w:vAlign w:val="top"/>
          </w:tcPr>
          <w:p w14:paraId="1FFD65A6">
            <w:pPr>
              <w:jc w:val="center"/>
              <w:rPr>
                <w:rFonts w:hint="eastAsia"/>
                <w:bCs/>
                <w:szCs w:val="21"/>
              </w:rPr>
            </w:pPr>
          </w:p>
        </w:tc>
      </w:tr>
      <w:tr w14:paraId="4E3A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bottom w:val="single" w:color="auto" w:sz="4" w:space="0"/>
              <w:right w:val="single" w:color="auto" w:sz="4" w:space="0"/>
            </w:tcBorders>
            <w:noWrap w:val="0"/>
            <w:vAlign w:val="center"/>
          </w:tcPr>
          <w:p w14:paraId="2B8443D4">
            <w:pPr>
              <w:ind w:firstLine="200"/>
              <w:jc w:val="center"/>
              <w:rPr>
                <w:rFonts w:ascii="新宋体" w:hAnsi="新宋体" w:eastAsia="新宋体"/>
                <w:szCs w:val="21"/>
              </w:rPr>
            </w:pPr>
            <w:r>
              <w:rPr>
                <w:rFonts w:hint="eastAsia" w:ascii="新宋体" w:hAnsi="新宋体" w:eastAsia="新宋体"/>
                <w:szCs w:val="21"/>
              </w:rPr>
              <w:t>2</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7C79B9E0">
            <w:pPr>
              <w:adjustRightInd w:val="0"/>
              <w:ind w:firstLine="198"/>
              <w:rPr>
                <w:rFonts w:ascii="宋体" w:hAnsi="宋体"/>
                <w:bCs/>
                <w:szCs w:val="21"/>
              </w:rPr>
            </w:pPr>
            <w:r>
              <w:rPr>
                <w:rFonts w:hint="eastAsia" w:ascii="宋体" w:hAnsi="宋体"/>
                <w:bCs/>
                <w:szCs w:val="21"/>
              </w:rPr>
              <w:t>辩题设计</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778A8C82">
            <w:pPr>
              <w:ind w:firstLine="200"/>
              <w:rPr>
                <w:rFonts w:ascii="宋体" w:hAnsi="宋体"/>
                <w:szCs w:val="21"/>
              </w:rPr>
            </w:pPr>
            <w:r>
              <w:rPr>
                <w:rFonts w:hint="eastAsia" w:ascii="宋体" w:hAnsi="宋体"/>
                <w:szCs w:val="21"/>
              </w:rPr>
              <w:t>实践内容：分小组查找相关资料，结合专业特点，提出两个以上的辩题，并对正反双方的辩题进行讨论</w:t>
            </w:r>
          </w:p>
          <w:p w14:paraId="262E93A4">
            <w:pPr>
              <w:ind w:firstLine="200"/>
              <w:rPr>
                <w:rFonts w:ascii="宋体" w:hAnsi="宋体"/>
                <w:szCs w:val="21"/>
              </w:rPr>
            </w:pPr>
            <w:r>
              <w:rPr>
                <w:rFonts w:hint="eastAsia" w:ascii="宋体" w:hAnsi="宋体"/>
                <w:szCs w:val="21"/>
              </w:rPr>
              <w:t>实践要求：（1）辩题结合专业特点，无方向性错误</w:t>
            </w:r>
          </w:p>
          <w:p w14:paraId="57A33FE9">
            <w:pPr>
              <w:ind w:firstLine="200"/>
              <w:rPr>
                <w:rFonts w:ascii="宋体" w:hAnsi="宋体"/>
                <w:szCs w:val="21"/>
              </w:rPr>
            </w:pPr>
            <w:r>
              <w:rPr>
                <w:rFonts w:hint="eastAsia" w:ascii="宋体" w:hAnsi="宋体"/>
                <w:szCs w:val="21"/>
              </w:rPr>
              <w:t>（2）小组合作分工合理</w:t>
            </w:r>
          </w:p>
          <w:p w14:paraId="77FDF208">
            <w:pPr>
              <w:ind w:firstLine="200"/>
              <w:rPr>
                <w:rFonts w:hint="eastAsia" w:ascii="宋体" w:hAnsi="宋体"/>
                <w:szCs w:val="21"/>
              </w:rPr>
            </w:pPr>
            <w:r>
              <w:rPr>
                <w:rFonts w:hint="eastAsia" w:ascii="宋体" w:hAnsi="宋体"/>
                <w:szCs w:val="21"/>
              </w:rPr>
              <w:t>（3）辩题具有逻辑性</w:t>
            </w:r>
          </w:p>
        </w:tc>
        <w:tc>
          <w:tcPr>
            <w:tcW w:w="851" w:type="dxa"/>
            <w:noWrap w:val="0"/>
            <w:vAlign w:val="center"/>
          </w:tcPr>
          <w:p w14:paraId="5959072F">
            <w:pPr>
              <w:jc w:val="center"/>
              <w:rPr>
                <w:bCs/>
                <w:szCs w:val="21"/>
              </w:rPr>
            </w:pPr>
            <w:r>
              <w:rPr>
                <w:bCs/>
                <w:szCs w:val="21"/>
              </w:rPr>
              <w:t>2</w:t>
            </w:r>
          </w:p>
        </w:tc>
        <w:tc>
          <w:tcPr>
            <w:tcW w:w="1447" w:type="dxa"/>
            <w:noWrap w:val="0"/>
            <w:vAlign w:val="center"/>
          </w:tcPr>
          <w:p w14:paraId="006E5167">
            <w:pPr>
              <w:jc w:val="center"/>
              <w:rPr>
                <w:rFonts w:hint="eastAsia"/>
                <w:bCs/>
                <w:szCs w:val="21"/>
              </w:rPr>
            </w:pPr>
            <w:r>
              <w:rPr>
                <w:rFonts w:hint="eastAsia"/>
                <w:bCs/>
                <w:szCs w:val="21"/>
              </w:rPr>
              <w:t>2-3、3-1</w:t>
            </w:r>
          </w:p>
        </w:tc>
        <w:tc>
          <w:tcPr>
            <w:tcW w:w="815" w:type="dxa"/>
            <w:noWrap w:val="0"/>
            <w:vAlign w:val="top"/>
          </w:tcPr>
          <w:p w14:paraId="7014FD0A">
            <w:pPr>
              <w:jc w:val="center"/>
              <w:rPr>
                <w:rFonts w:hint="eastAsia"/>
                <w:bCs/>
                <w:szCs w:val="21"/>
              </w:rPr>
            </w:pPr>
          </w:p>
        </w:tc>
      </w:tr>
      <w:tr w14:paraId="3B68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bottom w:val="single" w:color="auto" w:sz="4" w:space="0"/>
              <w:right w:val="single" w:color="auto" w:sz="4" w:space="0"/>
            </w:tcBorders>
            <w:noWrap w:val="0"/>
            <w:vAlign w:val="center"/>
          </w:tcPr>
          <w:p w14:paraId="55C09E9E">
            <w:pPr>
              <w:ind w:firstLine="200"/>
              <w:jc w:val="center"/>
              <w:rPr>
                <w:rFonts w:ascii="宋体" w:hAnsi="宋体"/>
                <w:szCs w:val="21"/>
              </w:rPr>
            </w:pPr>
            <w:r>
              <w:rPr>
                <w:rFonts w:hint="eastAsia" w:ascii="宋体" w:hAnsi="宋体"/>
                <w:szCs w:val="21"/>
              </w:rPr>
              <w:t>3</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691FB00E">
            <w:pPr>
              <w:adjustRightInd w:val="0"/>
              <w:ind w:firstLine="198"/>
              <w:rPr>
                <w:rFonts w:ascii="宋体" w:hAnsi="宋体"/>
                <w:bCs/>
                <w:szCs w:val="21"/>
              </w:rPr>
            </w:pPr>
            <w:r>
              <w:rPr>
                <w:rFonts w:hint="eastAsia" w:ascii="宋体" w:hAnsi="宋体"/>
                <w:szCs w:val="21"/>
              </w:rPr>
              <w:t>辩论词辨析</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76DD6B">
            <w:pPr>
              <w:ind w:firstLine="200"/>
              <w:rPr>
                <w:rFonts w:ascii="宋体" w:hAnsi="宋体"/>
                <w:szCs w:val="21"/>
              </w:rPr>
            </w:pPr>
            <w:r>
              <w:rPr>
                <w:rFonts w:hint="eastAsia" w:ascii="宋体" w:hAnsi="宋体"/>
                <w:szCs w:val="21"/>
              </w:rPr>
              <w:t>实践内容：根据给出的辩题，在小组内进行分工讨论，写出一辩陈词</w:t>
            </w:r>
          </w:p>
          <w:p w14:paraId="7E8E6904">
            <w:pPr>
              <w:ind w:firstLine="200"/>
              <w:rPr>
                <w:rFonts w:ascii="宋体" w:hAnsi="宋体"/>
                <w:szCs w:val="21"/>
              </w:rPr>
            </w:pPr>
            <w:r>
              <w:rPr>
                <w:rFonts w:hint="eastAsia" w:ascii="宋体" w:hAnsi="宋体"/>
                <w:szCs w:val="21"/>
              </w:rPr>
              <w:t>实践要求：（1）字数合理，条理清楚，观点明确，论据充分，逻辑清晰</w:t>
            </w:r>
          </w:p>
          <w:p w14:paraId="37D169BB">
            <w:pPr>
              <w:ind w:firstLine="200"/>
              <w:rPr>
                <w:rFonts w:hint="eastAsia" w:ascii="宋体" w:hAnsi="宋体"/>
                <w:szCs w:val="21"/>
              </w:rPr>
            </w:pPr>
            <w:r>
              <w:rPr>
                <w:rFonts w:hint="eastAsia" w:ascii="宋体" w:hAnsi="宋体"/>
                <w:szCs w:val="21"/>
              </w:rPr>
              <w:t>（2）各成员分工合理，能协同完成活动</w:t>
            </w:r>
          </w:p>
        </w:tc>
        <w:tc>
          <w:tcPr>
            <w:tcW w:w="851" w:type="dxa"/>
            <w:noWrap w:val="0"/>
            <w:vAlign w:val="center"/>
          </w:tcPr>
          <w:p w14:paraId="0DE035DB">
            <w:pPr>
              <w:jc w:val="center"/>
              <w:rPr>
                <w:rFonts w:ascii="宋体" w:hAnsi="宋体"/>
                <w:bCs/>
                <w:szCs w:val="21"/>
              </w:rPr>
            </w:pPr>
            <w:r>
              <w:rPr>
                <w:rFonts w:ascii="宋体" w:hAnsi="宋体"/>
                <w:bCs/>
                <w:szCs w:val="21"/>
              </w:rPr>
              <w:t>2</w:t>
            </w:r>
          </w:p>
        </w:tc>
        <w:tc>
          <w:tcPr>
            <w:tcW w:w="1447" w:type="dxa"/>
            <w:noWrap w:val="0"/>
            <w:vAlign w:val="center"/>
          </w:tcPr>
          <w:p w14:paraId="676575BA">
            <w:pPr>
              <w:jc w:val="center"/>
              <w:rPr>
                <w:rFonts w:hint="eastAsia" w:ascii="宋体" w:hAnsi="宋体"/>
                <w:color w:val="000000"/>
                <w:szCs w:val="21"/>
              </w:rPr>
            </w:pPr>
            <w:r>
              <w:rPr>
                <w:rFonts w:hint="eastAsia" w:ascii="宋体" w:hAnsi="宋体"/>
                <w:color w:val="000000"/>
                <w:szCs w:val="21"/>
              </w:rPr>
              <w:t>2-3、3-1</w:t>
            </w:r>
          </w:p>
        </w:tc>
        <w:tc>
          <w:tcPr>
            <w:tcW w:w="815" w:type="dxa"/>
            <w:noWrap w:val="0"/>
            <w:vAlign w:val="top"/>
          </w:tcPr>
          <w:p w14:paraId="782E526D">
            <w:pPr>
              <w:jc w:val="center"/>
              <w:rPr>
                <w:rFonts w:hint="eastAsia" w:ascii="宋体" w:hAnsi="宋体"/>
                <w:color w:val="000000"/>
                <w:szCs w:val="21"/>
              </w:rPr>
            </w:pPr>
          </w:p>
        </w:tc>
      </w:tr>
      <w:tr w14:paraId="1F70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18" w:type="dxa"/>
            <w:tcBorders>
              <w:top w:val="single" w:color="auto" w:sz="4" w:space="0"/>
              <w:bottom w:val="single" w:color="auto" w:sz="4" w:space="0"/>
              <w:right w:val="single" w:color="auto" w:sz="4" w:space="0"/>
            </w:tcBorders>
            <w:noWrap w:val="0"/>
            <w:vAlign w:val="center"/>
          </w:tcPr>
          <w:p w14:paraId="59E0BBEF">
            <w:pPr>
              <w:ind w:firstLine="200"/>
              <w:jc w:val="center"/>
              <w:rPr>
                <w:rFonts w:ascii="宋体" w:hAnsi="宋体"/>
                <w:szCs w:val="21"/>
              </w:rPr>
            </w:pPr>
            <w:r>
              <w:rPr>
                <w:rFonts w:hint="eastAsia" w:ascii="宋体" w:hAnsi="宋体"/>
                <w:szCs w:val="21"/>
              </w:rPr>
              <w:t>4</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53476E03">
            <w:pPr>
              <w:adjustRightInd w:val="0"/>
              <w:ind w:firstLine="198"/>
              <w:rPr>
                <w:rFonts w:hint="eastAsia" w:ascii="宋体" w:hAnsi="宋体"/>
                <w:bCs/>
                <w:szCs w:val="21"/>
              </w:rPr>
            </w:pPr>
            <w:r>
              <w:rPr>
                <w:rFonts w:hint="eastAsia" w:ascii="宋体" w:hAnsi="宋体"/>
                <w:bCs/>
                <w:szCs w:val="21"/>
              </w:rPr>
              <w:t>辩论赛</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291F1258">
            <w:pPr>
              <w:ind w:firstLine="200"/>
              <w:rPr>
                <w:rFonts w:ascii="宋体" w:hAnsi="宋体"/>
                <w:szCs w:val="21"/>
              </w:rPr>
            </w:pPr>
            <w:r>
              <w:rPr>
                <w:rFonts w:hint="eastAsia" w:ascii="宋体" w:hAnsi="宋体"/>
                <w:szCs w:val="21"/>
              </w:rPr>
              <w:t>实践内容：以小组为单位，在班内开展辩论赛活动</w:t>
            </w:r>
          </w:p>
          <w:p w14:paraId="7F43CD21">
            <w:pPr>
              <w:ind w:firstLine="200"/>
              <w:rPr>
                <w:rFonts w:hint="eastAsia" w:ascii="宋体" w:hAnsi="宋体"/>
                <w:szCs w:val="21"/>
              </w:rPr>
            </w:pPr>
            <w:r>
              <w:rPr>
                <w:rFonts w:hint="eastAsia" w:ascii="宋体" w:hAnsi="宋体"/>
                <w:szCs w:val="21"/>
              </w:rPr>
              <w:t>实践要求：（1）活动安排组织流程清楚，能顺利进行比赛</w:t>
            </w:r>
          </w:p>
          <w:p w14:paraId="07519955">
            <w:pPr>
              <w:ind w:firstLine="200"/>
              <w:rPr>
                <w:rFonts w:hint="eastAsia" w:ascii="宋体" w:hAnsi="宋体"/>
                <w:szCs w:val="21"/>
              </w:rPr>
            </w:pPr>
            <w:r>
              <w:rPr>
                <w:rFonts w:hint="eastAsia" w:ascii="宋体" w:hAnsi="宋体"/>
                <w:szCs w:val="21"/>
              </w:rPr>
              <w:t>（2）比赛准备充分，学生参与度高</w:t>
            </w:r>
          </w:p>
        </w:tc>
        <w:tc>
          <w:tcPr>
            <w:tcW w:w="851" w:type="dxa"/>
            <w:noWrap w:val="0"/>
            <w:vAlign w:val="center"/>
          </w:tcPr>
          <w:p w14:paraId="3E664889">
            <w:pPr>
              <w:jc w:val="center"/>
              <w:rPr>
                <w:rFonts w:ascii="宋体" w:hAnsi="宋体"/>
                <w:bCs/>
                <w:szCs w:val="21"/>
              </w:rPr>
            </w:pPr>
            <w:r>
              <w:rPr>
                <w:rFonts w:hint="eastAsia" w:ascii="宋体" w:hAnsi="宋体"/>
                <w:bCs/>
                <w:szCs w:val="21"/>
              </w:rPr>
              <w:t>4</w:t>
            </w:r>
          </w:p>
        </w:tc>
        <w:tc>
          <w:tcPr>
            <w:tcW w:w="1447" w:type="dxa"/>
            <w:noWrap w:val="0"/>
            <w:vAlign w:val="center"/>
          </w:tcPr>
          <w:p w14:paraId="0E389B15">
            <w:pPr>
              <w:jc w:val="center"/>
              <w:rPr>
                <w:rFonts w:ascii="宋体" w:hAnsi="宋体"/>
                <w:color w:val="000000"/>
                <w:szCs w:val="21"/>
              </w:rPr>
            </w:pPr>
            <w:r>
              <w:rPr>
                <w:rFonts w:hint="eastAsia" w:ascii="宋体" w:hAnsi="宋体"/>
                <w:color w:val="000000"/>
                <w:szCs w:val="21"/>
              </w:rPr>
              <w:t>2-3、3-1</w:t>
            </w:r>
          </w:p>
        </w:tc>
        <w:tc>
          <w:tcPr>
            <w:tcW w:w="815" w:type="dxa"/>
            <w:noWrap w:val="0"/>
            <w:vAlign w:val="top"/>
          </w:tcPr>
          <w:p w14:paraId="581348BA">
            <w:pPr>
              <w:jc w:val="center"/>
              <w:rPr>
                <w:rFonts w:ascii="宋体" w:hAnsi="宋体"/>
                <w:color w:val="000000"/>
                <w:szCs w:val="21"/>
              </w:rPr>
            </w:pPr>
          </w:p>
        </w:tc>
      </w:tr>
      <w:tr w14:paraId="0044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943" w:type="dxa"/>
            <w:gridSpan w:val="2"/>
            <w:tcBorders>
              <w:top w:val="single" w:color="auto" w:sz="4" w:space="0"/>
              <w:bottom w:val="single" w:color="auto" w:sz="4" w:space="0"/>
              <w:right w:val="single" w:color="auto" w:sz="4" w:space="0"/>
            </w:tcBorders>
            <w:noWrap w:val="0"/>
            <w:vAlign w:val="center"/>
          </w:tcPr>
          <w:p w14:paraId="2D0DBA04">
            <w:pPr>
              <w:adjustRightInd w:val="0"/>
              <w:ind w:firstLine="198"/>
              <w:rPr>
                <w:rFonts w:ascii="新宋体" w:hAnsi="新宋体" w:eastAsia="新宋体"/>
                <w:bCs/>
                <w:szCs w:val="21"/>
              </w:rPr>
            </w:pPr>
            <w:r>
              <w:rPr>
                <w:rFonts w:hint="eastAsia" w:ascii="新宋体" w:hAnsi="新宋体" w:eastAsia="新宋体"/>
                <w:bCs/>
                <w:szCs w:val="21"/>
              </w:rPr>
              <w:t>合计</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335020B2">
            <w:pPr>
              <w:ind w:firstLine="200"/>
              <w:rPr>
                <w:rFonts w:ascii="新宋体" w:hAnsi="新宋体" w:eastAsia="新宋体"/>
                <w:szCs w:val="21"/>
              </w:rPr>
            </w:pPr>
          </w:p>
        </w:tc>
        <w:tc>
          <w:tcPr>
            <w:tcW w:w="851" w:type="dxa"/>
            <w:noWrap w:val="0"/>
            <w:vAlign w:val="center"/>
          </w:tcPr>
          <w:p w14:paraId="158087DF">
            <w:pPr>
              <w:jc w:val="center"/>
              <w:rPr>
                <w:bCs/>
                <w:szCs w:val="21"/>
              </w:rPr>
            </w:pPr>
            <w:r>
              <w:rPr>
                <w:rFonts w:hint="eastAsia"/>
                <w:bCs/>
                <w:szCs w:val="21"/>
              </w:rPr>
              <w:t>10</w:t>
            </w:r>
          </w:p>
        </w:tc>
        <w:tc>
          <w:tcPr>
            <w:tcW w:w="1447" w:type="dxa"/>
            <w:noWrap w:val="0"/>
            <w:vAlign w:val="center"/>
          </w:tcPr>
          <w:p w14:paraId="3B4AC3AF">
            <w:pPr>
              <w:jc w:val="center"/>
              <w:rPr>
                <w:bCs/>
                <w:szCs w:val="21"/>
              </w:rPr>
            </w:pPr>
          </w:p>
        </w:tc>
        <w:tc>
          <w:tcPr>
            <w:tcW w:w="815" w:type="dxa"/>
            <w:noWrap w:val="0"/>
            <w:vAlign w:val="top"/>
          </w:tcPr>
          <w:p w14:paraId="7E690868">
            <w:pPr>
              <w:jc w:val="center"/>
              <w:rPr>
                <w:bCs/>
                <w:szCs w:val="21"/>
              </w:rPr>
            </w:pPr>
          </w:p>
        </w:tc>
      </w:tr>
    </w:tbl>
    <w:p w14:paraId="58AC9CE3">
      <w:pPr>
        <w:spacing w:line="360" w:lineRule="auto"/>
        <w:ind w:firstLine="562" w:firstLineChars="200"/>
        <w:rPr>
          <w:b/>
          <w:sz w:val="28"/>
          <w:szCs w:val="28"/>
        </w:rPr>
      </w:pPr>
    </w:p>
    <w:p w14:paraId="4DE2BEA6">
      <w:pPr>
        <w:spacing w:line="360" w:lineRule="auto"/>
        <w:ind w:firstLine="562" w:firstLineChars="200"/>
        <w:rPr>
          <w:rFonts w:hint="eastAsia"/>
          <w:b/>
          <w:sz w:val="28"/>
          <w:szCs w:val="28"/>
        </w:rPr>
      </w:pPr>
      <w:r>
        <w:rPr>
          <w:rFonts w:hint="eastAsia"/>
          <w:b/>
          <w:sz w:val="28"/>
          <w:szCs w:val="28"/>
        </w:rPr>
        <w:t>五、课程实施</w:t>
      </w:r>
    </w:p>
    <w:p w14:paraId="54258A12">
      <w:pPr>
        <w:spacing w:line="360" w:lineRule="auto"/>
        <w:ind w:firstLine="480" w:firstLineChars="200"/>
        <w:rPr>
          <w:sz w:val="24"/>
        </w:rPr>
      </w:pPr>
      <w:r>
        <w:rPr>
          <w:sz w:val="24"/>
        </w:rPr>
        <w:t>（一）</w:t>
      </w:r>
      <w:r>
        <w:rPr>
          <w:rFonts w:hint="eastAsia"/>
          <w:sz w:val="24"/>
        </w:rPr>
        <w:t>根据课程特点，本课程以讨论式教学为主，结合实例进行讲授，促进学生的思维发展，培养学生对逻辑的认识和应用</w:t>
      </w:r>
      <w:r>
        <w:rPr>
          <w:sz w:val="24"/>
        </w:rPr>
        <w:t>。</w:t>
      </w:r>
    </w:p>
    <w:p w14:paraId="351B0B71">
      <w:pPr>
        <w:spacing w:line="360" w:lineRule="auto"/>
        <w:ind w:firstLine="480" w:firstLineChars="200"/>
        <w:rPr>
          <w:sz w:val="24"/>
        </w:rPr>
      </w:pPr>
      <w:r>
        <w:rPr>
          <w:sz w:val="24"/>
        </w:rPr>
        <w:t>（二）采用多媒体教学手段，</w:t>
      </w:r>
      <w:r>
        <w:rPr>
          <w:rFonts w:hint="eastAsia"/>
          <w:sz w:val="24"/>
        </w:rPr>
        <w:t>结合生活中的逻辑</w:t>
      </w:r>
      <w:r>
        <w:rPr>
          <w:sz w:val="24"/>
        </w:rPr>
        <w:t>思考题，保证讲课进度的同时，注意学生的掌握程度和课堂的气氛。</w:t>
      </w:r>
    </w:p>
    <w:p w14:paraId="3581D74F">
      <w:pPr>
        <w:spacing w:line="360" w:lineRule="auto"/>
        <w:ind w:firstLine="480" w:firstLineChars="200"/>
        <w:rPr>
          <w:rFonts w:hint="eastAsia"/>
          <w:sz w:val="24"/>
        </w:rPr>
      </w:pPr>
      <w:r>
        <w:rPr>
          <w:rFonts w:hint="eastAsia"/>
          <w:sz w:val="24"/>
        </w:rPr>
        <w:t>（三）课堂采用辩论的方式促进学生的逻辑思维能力，主题由学生和教师共同确立，旨在提高学生的课堂学习积极性和主动参与的热情。</w:t>
      </w:r>
    </w:p>
    <w:p w14:paraId="4AFAF55E">
      <w:pPr>
        <w:spacing w:line="360" w:lineRule="auto"/>
        <w:ind w:firstLine="480" w:firstLineChars="200"/>
        <w:rPr>
          <w:b/>
          <w:sz w:val="24"/>
        </w:rPr>
      </w:pPr>
      <w:r>
        <w:rPr>
          <w:bCs/>
          <w:sz w:val="24"/>
        </w:rPr>
        <w:t>（</w:t>
      </w:r>
      <w:r>
        <w:rPr>
          <w:rFonts w:hint="eastAsia"/>
          <w:bCs/>
          <w:sz w:val="24"/>
        </w:rPr>
        <w:t>四</w:t>
      </w:r>
      <w:r>
        <w:rPr>
          <w:bCs/>
          <w:sz w:val="24"/>
        </w:rPr>
        <w:t>）主要教学环节的质量要求如表所示。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7944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606C88E8">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008C2685">
            <w:pPr>
              <w:spacing w:line="276" w:lineRule="auto"/>
              <w:jc w:val="center"/>
              <w:rPr>
                <w:szCs w:val="21"/>
              </w:rPr>
            </w:pPr>
            <w:r>
              <w:rPr>
                <w:bCs/>
                <w:szCs w:val="21"/>
              </w:rPr>
              <w:t>质量</w:t>
            </w:r>
            <w:r>
              <w:rPr>
                <w:rFonts w:hint="eastAsia"/>
                <w:bCs/>
                <w:szCs w:val="21"/>
              </w:rPr>
              <w:t>要求</w:t>
            </w:r>
          </w:p>
        </w:tc>
      </w:tr>
      <w:tr w14:paraId="3A88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0831B3F0">
            <w:pPr>
              <w:spacing w:line="276" w:lineRule="auto"/>
              <w:jc w:val="center"/>
              <w:rPr>
                <w:szCs w:val="21"/>
              </w:rPr>
            </w:pPr>
            <w:r>
              <w:rPr>
                <w:szCs w:val="21"/>
              </w:rPr>
              <w:t>1</w:t>
            </w:r>
          </w:p>
        </w:tc>
        <w:tc>
          <w:tcPr>
            <w:tcW w:w="1701" w:type="dxa"/>
            <w:noWrap w:val="0"/>
            <w:tcMar>
              <w:left w:w="28" w:type="dxa"/>
              <w:right w:w="28" w:type="dxa"/>
            </w:tcMar>
            <w:vAlign w:val="center"/>
          </w:tcPr>
          <w:p w14:paraId="6AB960B4">
            <w:pPr>
              <w:spacing w:line="276" w:lineRule="auto"/>
              <w:jc w:val="center"/>
              <w:rPr>
                <w:szCs w:val="21"/>
              </w:rPr>
            </w:pPr>
            <w:r>
              <w:rPr>
                <w:szCs w:val="21"/>
              </w:rPr>
              <w:t>备课</w:t>
            </w:r>
          </w:p>
        </w:tc>
        <w:tc>
          <w:tcPr>
            <w:tcW w:w="6817" w:type="dxa"/>
            <w:tcBorders>
              <w:right w:val="single" w:color="auto" w:sz="8" w:space="0"/>
            </w:tcBorders>
            <w:noWrap w:val="0"/>
            <w:vAlign w:val="center"/>
          </w:tcPr>
          <w:p w14:paraId="1E0194E4">
            <w:pPr>
              <w:spacing w:line="276" w:lineRule="auto"/>
              <w:rPr>
                <w:szCs w:val="21"/>
              </w:rPr>
            </w:pPr>
            <w:r>
              <w:rPr>
                <w:szCs w:val="21"/>
              </w:rPr>
              <w:t>（1）掌握本课程教学大纲内容，严格按照教学大纲要求进行课程教学内容的组织。</w:t>
            </w:r>
          </w:p>
          <w:p w14:paraId="3F0A9F1D">
            <w:pPr>
              <w:spacing w:line="276" w:lineRule="auto"/>
              <w:rPr>
                <w:szCs w:val="21"/>
              </w:rPr>
            </w:pPr>
            <w:r>
              <w:rPr>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283461DE">
            <w:pPr>
              <w:spacing w:line="276" w:lineRule="auto"/>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11F5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693876D6">
            <w:pPr>
              <w:spacing w:line="276" w:lineRule="auto"/>
              <w:jc w:val="center"/>
              <w:rPr>
                <w:szCs w:val="21"/>
              </w:rPr>
            </w:pPr>
            <w:r>
              <w:rPr>
                <w:szCs w:val="21"/>
              </w:rPr>
              <w:t>2</w:t>
            </w:r>
          </w:p>
        </w:tc>
        <w:tc>
          <w:tcPr>
            <w:tcW w:w="1701" w:type="dxa"/>
            <w:noWrap w:val="0"/>
            <w:tcMar>
              <w:left w:w="28" w:type="dxa"/>
              <w:right w:w="28" w:type="dxa"/>
            </w:tcMar>
            <w:vAlign w:val="center"/>
          </w:tcPr>
          <w:p w14:paraId="0F55433A">
            <w:pPr>
              <w:spacing w:line="276" w:lineRule="auto"/>
              <w:jc w:val="center"/>
              <w:rPr>
                <w:szCs w:val="21"/>
              </w:rPr>
            </w:pPr>
            <w:r>
              <w:rPr>
                <w:szCs w:val="21"/>
              </w:rPr>
              <w:t>讲授</w:t>
            </w:r>
          </w:p>
        </w:tc>
        <w:tc>
          <w:tcPr>
            <w:tcW w:w="6817" w:type="dxa"/>
            <w:tcBorders>
              <w:right w:val="single" w:color="auto" w:sz="8" w:space="0"/>
            </w:tcBorders>
            <w:noWrap w:val="0"/>
            <w:vAlign w:val="center"/>
          </w:tcPr>
          <w:p w14:paraId="7FD2FC45">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14:paraId="79FC228D">
            <w:pPr>
              <w:spacing w:line="276" w:lineRule="auto"/>
              <w:rPr>
                <w:szCs w:val="21"/>
              </w:rPr>
            </w:pPr>
            <w:r>
              <w:rPr>
                <w:rFonts w:hint="eastAsia"/>
                <w:szCs w:val="21"/>
              </w:rPr>
              <w:t>（2）</w:t>
            </w:r>
            <w:r>
              <w:rPr>
                <w:szCs w:val="21"/>
              </w:rPr>
              <w:t>采用多种教学方式（如启发式教学、案例分析教学、讨论式教学、多媒体示范教学等），注重培养学生发现、分析和解决问题的能力。</w:t>
            </w:r>
          </w:p>
          <w:p w14:paraId="6C63CDFA">
            <w:pPr>
              <w:spacing w:line="276" w:lineRule="auto"/>
              <w:rPr>
                <w:szCs w:val="21"/>
              </w:rPr>
            </w:pPr>
            <w:r>
              <w:rPr>
                <w:rFonts w:hint="eastAsia"/>
                <w:szCs w:val="21"/>
              </w:rPr>
              <w:t>（3）能够采用现代信息技术辅助</w:t>
            </w:r>
            <w:r>
              <w:rPr>
                <w:szCs w:val="21"/>
              </w:rPr>
              <w:t>教学。</w:t>
            </w:r>
          </w:p>
          <w:p w14:paraId="587812B1">
            <w:pPr>
              <w:spacing w:line="276" w:lineRule="auto"/>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14:paraId="4BBA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645AC8BE">
            <w:pPr>
              <w:spacing w:line="276" w:lineRule="auto"/>
              <w:jc w:val="center"/>
              <w:rPr>
                <w:szCs w:val="21"/>
              </w:rPr>
            </w:pPr>
            <w:r>
              <w:rPr>
                <w:szCs w:val="21"/>
              </w:rPr>
              <w:t>3</w:t>
            </w:r>
          </w:p>
        </w:tc>
        <w:tc>
          <w:tcPr>
            <w:tcW w:w="1701" w:type="dxa"/>
            <w:noWrap w:val="0"/>
            <w:tcMar>
              <w:left w:w="28" w:type="dxa"/>
              <w:right w:w="28" w:type="dxa"/>
            </w:tcMar>
            <w:vAlign w:val="center"/>
          </w:tcPr>
          <w:p w14:paraId="69D5E854">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11F536EA">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17D94FBE">
            <w:pPr>
              <w:spacing w:line="276" w:lineRule="auto"/>
              <w:rPr>
                <w:szCs w:val="21"/>
              </w:rPr>
            </w:pPr>
            <w:r>
              <w:rPr>
                <w:rFonts w:hint="eastAsia"/>
                <w:szCs w:val="21"/>
              </w:rPr>
              <w:t>（1）</w:t>
            </w:r>
            <w:r>
              <w:rPr>
                <w:szCs w:val="21"/>
              </w:rPr>
              <w:t>按时按量完成作业，不缺交，不抄袭</w:t>
            </w:r>
            <w:r>
              <w:rPr>
                <w:rFonts w:hint="eastAsia"/>
                <w:szCs w:val="21"/>
              </w:rPr>
              <w:t>。</w:t>
            </w:r>
          </w:p>
          <w:p w14:paraId="0A0C4274">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37C3A23C">
            <w:pPr>
              <w:spacing w:line="276" w:lineRule="auto"/>
              <w:rPr>
                <w:szCs w:val="21"/>
              </w:rPr>
            </w:pPr>
            <w:r>
              <w:rPr>
                <w:rFonts w:hint="eastAsia"/>
                <w:szCs w:val="21"/>
              </w:rPr>
              <w:t>（3）</w:t>
            </w:r>
            <w:r>
              <w:rPr>
                <w:szCs w:val="21"/>
              </w:rPr>
              <w:t>解题方法和步骤正确。</w:t>
            </w:r>
          </w:p>
          <w:p w14:paraId="73D3A5A6">
            <w:pPr>
              <w:spacing w:line="276" w:lineRule="auto"/>
              <w:rPr>
                <w:szCs w:val="21"/>
              </w:rPr>
            </w:pPr>
            <w:r>
              <w:rPr>
                <w:szCs w:val="21"/>
              </w:rPr>
              <w:t>教师批改</w:t>
            </w:r>
            <w:r>
              <w:rPr>
                <w:rFonts w:hint="eastAsia"/>
                <w:szCs w:val="21"/>
              </w:rPr>
              <w:t>和</w:t>
            </w:r>
            <w:r>
              <w:rPr>
                <w:szCs w:val="21"/>
              </w:rPr>
              <w:t>讲评作业要求如下：</w:t>
            </w:r>
          </w:p>
          <w:p w14:paraId="7FEAAA47">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23334D1D">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1EDEC1FF">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作为本课程总评成绩中平时成绩的重要组成部分。</w:t>
            </w:r>
          </w:p>
        </w:tc>
      </w:tr>
      <w:tr w14:paraId="40DB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noWrap w:val="0"/>
            <w:vAlign w:val="center"/>
          </w:tcPr>
          <w:p w14:paraId="2A009EB6">
            <w:pPr>
              <w:spacing w:line="276" w:lineRule="auto"/>
              <w:jc w:val="center"/>
              <w:rPr>
                <w:szCs w:val="21"/>
              </w:rPr>
            </w:pPr>
            <w:r>
              <w:rPr>
                <w:szCs w:val="21"/>
              </w:rPr>
              <w:t>4</w:t>
            </w:r>
          </w:p>
        </w:tc>
        <w:tc>
          <w:tcPr>
            <w:tcW w:w="1701" w:type="dxa"/>
            <w:noWrap w:val="0"/>
            <w:tcMar>
              <w:left w:w="28" w:type="dxa"/>
              <w:right w:w="28" w:type="dxa"/>
            </w:tcMar>
            <w:vAlign w:val="center"/>
          </w:tcPr>
          <w:p w14:paraId="0AA762BD">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755689E0">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2AD0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4C5BA6F4">
            <w:pPr>
              <w:spacing w:line="276" w:lineRule="auto"/>
              <w:jc w:val="center"/>
              <w:rPr>
                <w:szCs w:val="21"/>
              </w:rPr>
            </w:pPr>
            <w:r>
              <w:rPr>
                <w:szCs w:val="21"/>
              </w:rPr>
              <w:t>5</w:t>
            </w:r>
          </w:p>
        </w:tc>
        <w:tc>
          <w:tcPr>
            <w:tcW w:w="1701" w:type="dxa"/>
            <w:noWrap w:val="0"/>
            <w:tcMar>
              <w:left w:w="28" w:type="dxa"/>
              <w:right w:w="28" w:type="dxa"/>
            </w:tcMar>
            <w:vAlign w:val="center"/>
          </w:tcPr>
          <w:p w14:paraId="55B24F87">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335283A6">
            <w:pPr>
              <w:spacing w:line="276" w:lineRule="auto"/>
              <w:rPr>
                <w:szCs w:val="21"/>
              </w:rPr>
            </w:pPr>
            <w:r>
              <w:rPr>
                <w:szCs w:val="21"/>
              </w:rPr>
              <w:t>本课程考核的方式</w:t>
            </w:r>
            <w:r>
              <w:rPr>
                <w:rFonts w:hint="eastAsia"/>
                <w:szCs w:val="21"/>
              </w:rPr>
              <w:t>为开卷笔试</w:t>
            </w:r>
            <w:r>
              <w:rPr>
                <w:szCs w:val="21"/>
              </w:rPr>
              <w:t>。有下列情况之一者，总评成绩为不及格：</w:t>
            </w:r>
          </w:p>
          <w:p w14:paraId="05018D9D">
            <w:pPr>
              <w:spacing w:line="276" w:lineRule="auto"/>
              <w:rPr>
                <w:szCs w:val="21"/>
              </w:rPr>
            </w:pPr>
            <w:r>
              <w:rPr>
                <w:rFonts w:hint="eastAsia"/>
                <w:szCs w:val="21"/>
              </w:rPr>
              <w:t>（1）</w:t>
            </w:r>
            <w:r>
              <w:rPr>
                <w:szCs w:val="21"/>
              </w:rPr>
              <w:t>缺交作业次数达1/3以上者</w:t>
            </w:r>
            <w:r>
              <w:rPr>
                <w:rFonts w:hint="eastAsia"/>
                <w:szCs w:val="21"/>
              </w:rPr>
              <w:t>。</w:t>
            </w:r>
          </w:p>
          <w:p w14:paraId="68FD2B74">
            <w:pPr>
              <w:spacing w:line="276" w:lineRule="auto"/>
              <w:rPr>
                <w:szCs w:val="21"/>
              </w:rPr>
            </w:pPr>
            <w:r>
              <w:rPr>
                <w:rFonts w:hint="eastAsia"/>
                <w:szCs w:val="21"/>
              </w:rPr>
              <w:t>（2）</w:t>
            </w:r>
            <w:r>
              <w:rPr>
                <w:szCs w:val="21"/>
              </w:rPr>
              <w:t>缺课次数达本学期总授课学时的1/3以上者</w:t>
            </w:r>
            <w:r>
              <w:rPr>
                <w:rFonts w:hint="eastAsia"/>
                <w:szCs w:val="21"/>
              </w:rPr>
              <w:t>。</w:t>
            </w:r>
          </w:p>
        </w:tc>
      </w:tr>
    </w:tbl>
    <w:p w14:paraId="6191F17D">
      <w:pPr>
        <w:spacing w:line="360" w:lineRule="auto"/>
        <w:ind w:firstLine="562" w:firstLineChars="200"/>
        <w:rPr>
          <w:rFonts w:hint="eastAsia"/>
          <w:b/>
          <w:sz w:val="28"/>
          <w:szCs w:val="28"/>
        </w:rPr>
      </w:pPr>
      <w:r>
        <w:rPr>
          <w:rFonts w:hint="eastAsia"/>
          <w:b/>
          <w:sz w:val="28"/>
          <w:szCs w:val="28"/>
        </w:rPr>
        <w:t>六、考核方式</w:t>
      </w:r>
    </w:p>
    <w:p w14:paraId="11E5A0CA">
      <w:pPr>
        <w:spacing w:line="360" w:lineRule="auto"/>
        <w:ind w:firstLine="480" w:firstLineChars="200"/>
        <w:rPr>
          <w:sz w:val="24"/>
        </w:rPr>
      </w:pPr>
      <w:r>
        <w:rPr>
          <w:rFonts w:hint="eastAsia"/>
          <w:sz w:val="24"/>
        </w:rPr>
        <w:t>（一）</w:t>
      </w:r>
      <w:r>
        <w:rPr>
          <w:sz w:val="24"/>
        </w:rPr>
        <w:t>课程考核包括期末考试、平时及作业情况考核，期末考试采用</w:t>
      </w:r>
      <w:r>
        <w:rPr>
          <w:rFonts w:hint="eastAsia"/>
          <w:sz w:val="24"/>
        </w:rPr>
        <w:t>开</w:t>
      </w:r>
      <w:r>
        <w:rPr>
          <w:sz w:val="24"/>
        </w:rPr>
        <w:t>卷笔试。</w:t>
      </w:r>
    </w:p>
    <w:p w14:paraId="423474A3">
      <w:pPr>
        <w:spacing w:line="360" w:lineRule="auto"/>
        <w:ind w:firstLine="480" w:firstLineChars="200"/>
        <w:rPr>
          <w:rFonts w:hint="eastAsia"/>
          <w:sz w:val="24"/>
        </w:rPr>
      </w:pPr>
      <w:r>
        <w:rPr>
          <w:rFonts w:hint="eastAsia"/>
          <w:sz w:val="24"/>
        </w:rPr>
        <w:t>（二）</w:t>
      </w:r>
      <w:r>
        <w:rPr>
          <w:sz w:val="24"/>
        </w:rPr>
        <w:t>课程成绩=平时成绩×30%+</w:t>
      </w:r>
      <w:r>
        <w:rPr>
          <w:rFonts w:hint="eastAsia"/>
          <w:sz w:val="24"/>
        </w:rPr>
        <w:t>课内实践</w:t>
      </w:r>
      <w:r>
        <w:rPr>
          <w:sz w:val="24"/>
        </w:rPr>
        <w:t>×20%+期末考试成绩×50%。</w:t>
      </w:r>
      <w:r>
        <w:rPr>
          <w:rFonts w:hint="eastAsia"/>
          <w:sz w:val="24"/>
        </w:rPr>
        <w:t>具体内容和比例如表所示。</w:t>
      </w:r>
    </w:p>
    <w:tbl>
      <w:tblPr>
        <w:tblStyle w:val="30"/>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135"/>
        <w:gridCol w:w="708"/>
        <w:gridCol w:w="3970"/>
        <w:gridCol w:w="709"/>
        <w:gridCol w:w="1559"/>
      </w:tblGrid>
      <w:tr w14:paraId="3DEA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shd w:val="clear" w:color="auto" w:fill="FFFFFF"/>
            <w:noWrap w:val="0"/>
            <w:tcMar>
              <w:left w:w="57" w:type="dxa"/>
              <w:right w:w="57" w:type="dxa"/>
            </w:tcMar>
            <w:vAlign w:val="center"/>
          </w:tcPr>
          <w:p w14:paraId="5AD1D63F">
            <w:pPr>
              <w:pStyle w:val="40"/>
              <w:jc w:val="center"/>
              <w:rPr>
                <w:rFonts w:eastAsia="宋体"/>
              </w:rPr>
            </w:pPr>
            <w:r>
              <w:rPr>
                <w:rFonts w:eastAsia="宋体"/>
              </w:rPr>
              <w:t>成绩组成</w:t>
            </w:r>
          </w:p>
        </w:tc>
        <w:tc>
          <w:tcPr>
            <w:tcW w:w="1135" w:type="dxa"/>
            <w:shd w:val="clear" w:color="auto" w:fill="FFFFFF"/>
            <w:noWrap w:val="0"/>
            <w:vAlign w:val="center"/>
          </w:tcPr>
          <w:p w14:paraId="75C52AA5">
            <w:pPr>
              <w:pStyle w:val="40"/>
              <w:jc w:val="center"/>
              <w:rPr>
                <w:rFonts w:eastAsia="宋体"/>
              </w:rPr>
            </w:pPr>
            <w:r>
              <w:rPr>
                <w:rFonts w:eastAsia="宋体"/>
              </w:rPr>
              <w:t>考核/评价环节</w:t>
            </w:r>
          </w:p>
        </w:tc>
        <w:tc>
          <w:tcPr>
            <w:tcW w:w="708" w:type="dxa"/>
            <w:shd w:val="clear" w:color="auto" w:fill="FFFFFF"/>
            <w:noWrap w:val="0"/>
            <w:vAlign w:val="center"/>
          </w:tcPr>
          <w:p w14:paraId="7FE11A93">
            <w:pPr>
              <w:pStyle w:val="40"/>
              <w:jc w:val="center"/>
              <w:rPr>
                <w:rFonts w:eastAsia="宋体"/>
              </w:rPr>
            </w:pPr>
            <w:r>
              <w:rPr>
                <w:rFonts w:hint="eastAsia" w:eastAsia="宋体"/>
              </w:rPr>
              <w:t>权重</w:t>
            </w:r>
          </w:p>
        </w:tc>
        <w:tc>
          <w:tcPr>
            <w:tcW w:w="3970" w:type="dxa"/>
            <w:shd w:val="clear" w:color="auto" w:fill="FFFFFF"/>
            <w:noWrap w:val="0"/>
            <w:vAlign w:val="center"/>
          </w:tcPr>
          <w:p w14:paraId="51FBB943">
            <w:pPr>
              <w:pStyle w:val="40"/>
              <w:jc w:val="center"/>
              <w:rPr>
                <w:rFonts w:eastAsia="宋体"/>
              </w:rPr>
            </w:pPr>
            <w:r>
              <w:rPr>
                <w:rFonts w:eastAsia="宋体"/>
              </w:rPr>
              <w:t>考核/评价细则</w:t>
            </w:r>
          </w:p>
        </w:tc>
        <w:tc>
          <w:tcPr>
            <w:tcW w:w="709" w:type="dxa"/>
            <w:shd w:val="clear" w:color="auto" w:fill="FFFFFF"/>
            <w:noWrap w:val="0"/>
            <w:vAlign w:val="top"/>
          </w:tcPr>
          <w:p w14:paraId="6F369344">
            <w:pPr>
              <w:pStyle w:val="40"/>
              <w:jc w:val="center"/>
              <w:rPr>
                <w:rFonts w:eastAsia="宋体"/>
              </w:rPr>
            </w:pPr>
            <w:r>
              <w:rPr>
                <w:rFonts w:hint="eastAsia" w:eastAsia="宋体"/>
              </w:rPr>
              <w:t>课程目标</w:t>
            </w:r>
          </w:p>
        </w:tc>
        <w:tc>
          <w:tcPr>
            <w:tcW w:w="1559" w:type="dxa"/>
            <w:shd w:val="clear" w:color="auto" w:fill="FFFFFF"/>
            <w:noWrap w:val="0"/>
            <w:vAlign w:val="center"/>
          </w:tcPr>
          <w:p w14:paraId="7CAE118D">
            <w:pPr>
              <w:pStyle w:val="40"/>
              <w:jc w:val="center"/>
              <w:rPr>
                <w:rFonts w:eastAsia="宋体"/>
              </w:rPr>
            </w:pPr>
            <w:r>
              <w:rPr>
                <w:rFonts w:eastAsia="宋体"/>
              </w:rPr>
              <w:t>对应的毕业要求指标点</w:t>
            </w:r>
          </w:p>
        </w:tc>
      </w:tr>
      <w:tr w14:paraId="65CD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765" w:type="dxa"/>
            <w:vMerge w:val="restart"/>
            <w:noWrap w:val="0"/>
            <w:tcMar>
              <w:left w:w="57" w:type="dxa"/>
              <w:right w:w="57" w:type="dxa"/>
            </w:tcMar>
            <w:vAlign w:val="center"/>
          </w:tcPr>
          <w:p w14:paraId="7BE24409">
            <w:pPr>
              <w:pStyle w:val="40"/>
              <w:jc w:val="center"/>
              <w:rPr>
                <w:rFonts w:eastAsia="宋体"/>
              </w:rPr>
            </w:pPr>
            <w:r>
              <w:rPr>
                <w:rFonts w:eastAsia="宋体"/>
              </w:rPr>
              <w:t>平时成绩</w:t>
            </w:r>
          </w:p>
        </w:tc>
        <w:tc>
          <w:tcPr>
            <w:tcW w:w="1135" w:type="dxa"/>
            <w:noWrap w:val="0"/>
            <w:vAlign w:val="center"/>
          </w:tcPr>
          <w:p w14:paraId="6E2C0DE4">
            <w:pPr>
              <w:pStyle w:val="40"/>
              <w:jc w:val="center"/>
              <w:rPr>
                <w:rFonts w:eastAsia="宋体"/>
              </w:rPr>
            </w:pPr>
            <w:r>
              <w:rPr>
                <w:rFonts w:eastAsia="宋体"/>
              </w:rPr>
              <w:t>平时作业</w:t>
            </w:r>
          </w:p>
        </w:tc>
        <w:tc>
          <w:tcPr>
            <w:tcW w:w="708" w:type="dxa"/>
            <w:noWrap w:val="0"/>
            <w:vAlign w:val="center"/>
          </w:tcPr>
          <w:p w14:paraId="3BF7A2AB">
            <w:pPr>
              <w:pStyle w:val="40"/>
              <w:jc w:val="center"/>
              <w:rPr>
                <w:rFonts w:eastAsia="宋体"/>
              </w:rPr>
            </w:pPr>
            <w:r>
              <w:rPr>
                <w:rFonts w:eastAsia="宋体"/>
              </w:rPr>
              <w:t>10%</w:t>
            </w:r>
          </w:p>
        </w:tc>
        <w:tc>
          <w:tcPr>
            <w:tcW w:w="3970" w:type="dxa"/>
            <w:noWrap w:val="0"/>
            <w:vAlign w:val="center"/>
          </w:tcPr>
          <w:p w14:paraId="448BFFE0">
            <w:pPr>
              <w:pStyle w:val="40"/>
              <w:rPr>
                <w:rFonts w:eastAsia="宋体"/>
              </w:rPr>
            </w:pPr>
            <w:r>
              <w:rPr>
                <w:rFonts w:eastAsia="宋体"/>
              </w:rPr>
              <w:t>课后完成</w:t>
            </w:r>
            <w:r>
              <w:rPr>
                <w:rFonts w:hint="eastAsia" w:eastAsia="宋体"/>
              </w:rPr>
              <w:t>练习</w:t>
            </w:r>
            <w:r>
              <w:rPr>
                <w:rFonts w:eastAsia="宋体"/>
              </w:rPr>
              <w:t>题，主要考核学生对每节课知识点的复习、理解和掌握程度，计算全部作业的平均成绩再按10%计入总成绩。</w:t>
            </w:r>
          </w:p>
        </w:tc>
        <w:tc>
          <w:tcPr>
            <w:tcW w:w="709" w:type="dxa"/>
            <w:noWrap w:val="0"/>
            <w:vAlign w:val="top"/>
          </w:tcPr>
          <w:p w14:paraId="62F8ED6C">
            <w:pPr>
              <w:pStyle w:val="40"/>
              <w:jc w:val="center"/>
              <w:rPr>
                <w:rFonts w:hint="eastAsia" w:eastAsia="宋体"/>
                <w:color w:val="000000"/>
                <w:szCs w:val="21"/>
              </w:rPr>
            </w:pPr>
            <w:r>
              <w:rPr>
                <w:rFonts w:hint="eastAsia" w:eastAsia="宋体"/>
                <w:color w:val="000000"/>
                <w:szCs w:val="21"/>
              </w:rPr>
              <w:t>1、2、3、4</w:t>
            </w:r>
          </w:p>
        </w:tc>
        <w:tc>
          <w:tcPr>
            <w:tcW w:w="1559" w:type="dxa"/>
            <w:noWrap w:val="0"/>
            <w:vAlign w:val="center"/>
          </w:tcPr>
          <w:p w14:paraId="7E5BA8B9">
            <w:pPr>
              <w:pStyle w:val="40"/>
              <w:jc w:val="center"/>
              <w:rPr>
                <w:rFonts w:eastAsia="宋体"/>
              </w:rPr>
            </w:pPr>
            <w:r>
              <w:rPr>
                <w:rFonts w:hint="eastAsia" w:eastAsia="宋体"/>
                <w:color w:val="000000"/>
                <w:szCs w:val="21"/>
              </w:rPr>
              <w:t>2-3、3-1</w:t>
            </w:r>
          </w:p>
        </w:tc>
      </w:tr>
      <w:tr w14:paraId="2789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765" w:type="dxa"/>
            <w:vMerge w:val="continue"/>
            <w:noWrap w:val="0"/>
            <w:tcMar>
              <w:left w:w="57" w:type="dxa"/>
              <w:right w:w="57" w:type="dxa"/>
            </w:tcMar>
            <w:vAlign w:val="center"/>
          </w:tcPr>
          <w:p w14:paraId="5236342F">
            <w:pPr>
              <w:pStyle w:val="40"/>
              <w:jc w:val="center"/>
              <w:rPr>
                <w:rFonts w:eastAsia="宋体"/>
              </w:rPr>
            </w:pPr>
          </w:p>
        </w:tc>
        <w:tc>
          <w:tcPr>
            <w:tcW w:w="1135" w:type="dxa"/>
            <w:noWrap w:val="0"/>
            <w:vAlign w:val="center"/>
          </w:tcPr>
          <w:p w14:paraId="4E7CDAA7">
            <w:pPr>
              <w:pStyle w:val="40"/>
              <w:jc w:val="center"/>
              <w:rPr>
                <w:rFonts w:hint="eastAsia" w:eastAsia="宋体"/>
              </w:rPr>
            </w:pPr>
            <w:r>
              <w:rPr>
                <w:rFonts w:hint="eastAsia" w:eastAsia="宋体"/>
              </w:rPr>
              <w:t>考勤</w:t>
            </w:r>
            <w:r>
              <w:rPr>
                <w:rFonts w:eastAsia="宋体"/>
              </w:rPr>
              <w:t>及</w:t>
            </w:r>
          </w:p>
          <w:p w14:paraId="604C3321">
            <w:pPr>
              <w:pStyle w:val="40"/>
              <w:jc w:val="center"/>
              <w:rPr>
                <w:rFonts w:eastAsia="宋体"/>
              </w:rPr>
            </w:pPr>
            <w:r>
              <w:rPr>
                <w:rFonts w:eastAsia="宋体"/>
              </w:rPr>
              <w:t>课堂练习</w:t>
            </w:r>
          </w:p>
        </w:tc>
        <w:tc>
          <w:tcPr>
            <w:tcW w:w="708" w:type="dxa"/>
            <w:noWrap w:val="0"/>
            <w:vAlign w:val="center"/>
          </w:tcPr>
          <w:p w14:paraId="41235967">
            <w:pPr>
              <w:pStyle w:val="40"/>
              <w:jc w:val="center"/>
              <w:rPr>
                <w:rFonts w:eastAsia="宋体"/>
              </w:rPr>
            </w:pPr>
            <w:r>
              <w:rPr>
                <w:rFonts w:eastAsia="宋体"/>
              </w:rPr>
              <w:t>20%</w:t>
            </w:r>
          </w:p>
        </w:tc>
        <w:tc>
          <w:tcPr>
            <w:tcW w:w="3970" w:type="dxa"/>
            <w:noWrap w:val="0"/>
            <w:vAlign w:val="center"/>
          </w:tcPr>
          <w:p w14:paraId="01E3D9A4">
            <w:pPr>
              <w:pStyle w:val="40"/>
              <w:rPr>
                <w:rFonts w:eastAsia="宋体"/>
                <w:szCs w:val="21"/>
              </w:rPr>
            </w:pPr>
            <w:r>
              <w:rPr>
                <w:rFonts w:eastAsia="宋体"/>
                <w:color w:val="000000"/>
                <w:szCs w:val="21"/>
              </w:rPr>
              <w:t>以随机的形式，在</w:t>
            </w:r>
            <w:r>
              <w:rPr>
                <w:rFonts w:hint="eastAsia" w:eastAsia="宋体"/>
                <w:color w:val="000000"/>
                <w:szCs w:val="21"/>
              </w:rPr>
              <w:t>课堂上根据讨论的参与度，问题回答的表现</w:t>
            </w:r>
            <w:r>
              <w:rPr>
                <w:rFonts w:eastAsia="宋体"/>
                <w:color w:val="000000"/>
                <w:szCs w:val="21"/>
              </w:rPr>
              <w:t>，主要考核学生课堂的听课效果和课后及时复习</w:t>
            </w:r>
            <w:r>
              <w:rPr>
                <w:rFonts w:hint="eastAsia" w:eastAsia="宋体"/>
                <w:color w:val="000000"/>
                <w:szCs w:val="21"/>
              </w:rPr>
              <w:t>情况</w:t>
            </w:r>
            <w:r>
              <w:rPr>
                <w:rFonts w:eastAsia="宋体"/>
                <w:szCs w:val="21"/>
              </w:rPr>
              <w:t>，结合平时</w:t>
            </w:r>
            <w:r>
              <w:rPr>
                <w:rFonts w:hint="eastAsia" w:eastAsia="宋体"/>
                <w:szCs w:val="21"/>
              </w:rPr>
              <w:t>考勤</w:t>
            </w:r>
            <w:r>
              <w:rPr>
                <w:rFonts w:eastAsia="宋体"/>
                <w:szCs w:val="21"/>
              </w:rPr>
              <w:t>，最后按</w:t>
            </w:r>
            <w:r>
              <w:rPr>
                <w:rFonts w:hint="eastAsia" w:eastAsia="宋体"/>
                <w:szCs w:val="21"/>
              </w:rPr>
              <w:t>2</w:t>
            </w:r>
            <w:r>
              <w:rPr>
                <w:rFonts w:eastAsia="宋体"/>
                <w:szCs w:val="21"/>
              </w:rPr>
              <w:t>0%计入课程总成绩。</w:t>
            </w:r>
          </w:p>
        </w:tc>
        <w:tc>
          <w:tcPr>
            <w:tcW w:w="709" w:type="dxa"/>
            <w:noWrap w:val="0"/>
            <w:vAlign w:val="top"/>
          </w:tcPr>
          <w:p w14:paraId="6DCB6C54">
            <w:pPr>
              <w:pStyle w:val="40"/>
              <w:jc w:val="center"/>
              <w:rPr>
                <w:rFonts w:eastAsia="宋体"/>
                <w:color w:val="000000"/>
                <w:szCs w:val="21"/>
              </w:rPr>
            </w:pPr>
            <w:r>
              <w:rPr>
                <w:rFonts w:hint="eastAsia" w:eastAsia="宋体"/>
                <w:color w:val="000000"/>
                <w:szCs w:val="21"/>
              </w:rPr>
              <w:t>1、2、3、4</w:t>
            </w:r>
          </w:p>
        </w:tc>
        <w:tc>
          <w:tcPr>
            <w:tcW w:w="1559" w:type="dxa"/>
            <w:noWrap w:val="0"/>
            <w:vAlign w:val="center"/>
          </w:tcPr>
          <w:p w14:paraId="3A6F9622">
            <w:pPr>
              <w:pStyle w:val="40"/>
              <w:jc w:val="center"/>
              <w:rPr>
                <w:rFonts w:hint="eastAsia" w:eastAsia="宋体"/>
              </w:rPr>
            </w:pPr>
            <w:r>
              <w:rPr>
                <w:rFonts w:hint="eastAsia" w:eastAsia="宋体"/>
                <w:color w:val="000000"/>
                <w:szCs w:val="21"/>
              </w:rPr>
              <w:t>2-3、</w:t>
            </w:r>
            <w:r>
              <w:rPr>
                <w:rFonts w:eastAsia="宋体"/>
                <w:color w:val="000000"/>
                <w:szCs w:val="21"/>
              </w:rPr>
              <w:t>3-1</w:t>
            </w:r>
          </w:p>
        </w:tc>
      </w:tr>
      <w:tr w14:paraId="146F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765" w:type="dxa"/>
            <w:noWrap w:val="0"/>
            <w:tcMar>
              <w:left w:w="57" w:type="dxa"/>
              <w:right w:w="57" w:type="dxa"/>
            </w:tcMar>
            <w:vAlign w:val="center"/>
          </w:tcPr>
          <w:p w14:paraId="057CD27C">
            <w:pPr>
              <w:pStyle w:val="40"/>
              <w:jc w:val="center"/>
              <w:rPr>
                <w:rFonts w:eastAsia="宋体"/>
              </w:rPr>
            </w:pPr>
            <w:r>
              <w:rPr>
                <w:rFonts w:hint="eastAsia" w:eastAsia="宋体"/>
              </w:rPr>
              <w:t>课内实践</w:t>
            </w:r>
          </w:p>
        </w:tc>
        <w:tc>
          <w:tcPr>
            <w:tcW w:w="1135" w:type="dxa"/>
            <w:noWrap w:val="0"/>
            <w:vAlign w:val="center"/>
          </w:tcPr>
          <w:p w14:paraId="2505DF6B">
            <w:pPr>
              <w:pStyle w:val="40"/>
              <w:jc w:val="center"/>
              <w:rPr>
                <w:rFonts w:hint="eastAsia" w:eastAsia="宋体"/>
              </w:rPr>
            </w:pPr>
            <w:r>
              <w:rPr>
                <w:rFonts w:hint="eastAsia" w:eastAsia="宋体"/>
              </w:rPr>
              <w:t>课内实践</w:t>
            </w:r>
          </w:p>
        </w:tc>
        <w:tc>
          <w:tcPr>
            <w:tcW w:w="708" w:type="dxa"/>
            <w:noWrap w:val="0"/>
            <w:vAlign w:val="center"/>
          </w:tcPr>
          <w:p w14:paraId="68F6420D">
            <w:pPr>
              <w:pStyle w:val="40"/>
              <w:jc w:val="center"/>
              <w:rPr>
                <w:rFonts w:eastAsia="宋体"/>
              </w:rPr>
            </w:pPr>
            <w:r>
              <w:rPr>
                <w:rFonts w:hint="eastAsia" w:eastAsia="宋体"/>
              </w:rPr>
              <w:t>2</w:t>
            </w:r>
            <w:r>
              <w:rPr>
                <w:rFonts w:eastAsia="宋体"/>
              </w:rPr>
              <w:t>0%</w:t>
            </w:r>
          </w:p>
        </w:tc>
        <w:tc>
          <w:tcPr>
            <w:tcW w:w="3970" w:type="dxa"/>
            <w:noWrap w:val="0"/>
            <w:vAlign w:val="center"/>
          </w:tcPr>
          <w:p w14:paraId="20320901">
            <w:pPr>
              <w:pStyle w:val="40"/>
              <w:rPr>
                <w:rFonts w:hint="eastAsia" w:eastAsia="宋体"/>
                <w:color w:val="000000"/>
                <w:szCs w:val="21"/>
              </w:rPr>
            </w:pPr>
            <w:r>
              <w:rPr>
                <w:rFonts w:hint="eastAsia" w:eastAsia="宋体"/>
                <w:color w:val="000000"/>
                <w:szCs w:val="21"/>
              </w:rPr>
              <w:t>根据小组的课堂表现及提交的辩论材料，考核学生的逻辑运用能力及语言表达能力，按表现成绩的2</w:t>
            </w:r>
            <w:r>
              <w:rPr>
                <w:rFonts w:eastAsia="宋体"/>
                <w:color w:val="000000"/>
                <w:szCs w:val="21"/>
              </w:rPr>
              <w:t>0%</w:t>
            </w:r>
            <w:r>
              <w:rPr>
                <w:rFonts w:hint="eastAsia" w:eastAsia="宋体"/>
                <w:color w:val="000000"/>
                <w:szCs w:val="21"/>
              </w:rPr>
              <w:t>计入课程总成绩。</w:t>
            </w:r>
          </w:p>
        </w:tc>
        <w:tc>
          <w:tcPr>
            <w:tcW w:w="709" w:type="dxa"/>
            <w:noWrap w:val="0"/>
            <w:vAlign w:val="top"/>
          </w:tcPr>
          <w:p w14:paraId="1FA5872D">
            <w:pPr>
              <w:pStyle w:val="40"/>
              <w:jc w:val="center"/>
              <w:rPr>
                <w:rFonts w:hint="eastAsia" w:eastAsia="宋体"/>
                <w:color w:val="000000"/>
                <w:szCs w:val="21"/>
              </w:rPr>
            </w:pPr>
            <w:r>
              <w:rPr>
                <w:rFonts w:hint="eastAsia" w:eastAsia="宋体"/>
                <w:color w:val="000000"/>
                <w:szCs w:val="21"/>
              </w:rPr>
              <w:t>1、2、3、4</w:t>
            </w:r>
          </w:p>
        </w:tc>
        <w:tc>
          <w:tcPr>
            <w:tcW w:w="1559" w:type="dxa"/>
            <w:noWrap w:val="0"/>
            <w:vAlign w:val="center"/>
          </w:tcPr>
          <w:p w14:paraId="7C2D4797">
            <w:pPr>
              <w:pStyle w:val="40"/>
              <w:jc w:val="center"/>
              <w:rPr>
                <w:rFonts w:hint="eastAsia" w:eastAsia="宋体"/>
                <w:color w:val="000000"/>
                <w:szCs w:val="21"/>
              </w:rPr>
            </w:pPr>
            <w:r>
              <w:rPr>
                <w:rFonts w:hint="eastAsia" w:eastAsia="宋体"/>
                <w:color w:val="000000"/>
                <w:szCs w:val="21"/>
              </w:rPr>
              <w:t>2-3、</w:t>
            </w:r>
            <w:r>
              <w:rPr>
                <w:rFonts w:eastAsia="宋体"/>
                <w:color w:val="000000"/>
                <w:szCs w:val="21"/>
              </w:rPr>
              <w:t>3-1</w:t>
            </w:r>
          </w:p>
        </w:tc>
      </w:tr>
      <w:tr w14:paraId="5D92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765" w:type="dxa"/>
            <w:noWrap w:val="0"/>
            <w:tcMar>
              <w:left w:w="57" w:type="dxa"/>
              <w:right w:w="57" w:type="dxa"/>
            </w:tcMar>
            <w:vAlign w:val="center"/>
          </w:tcPr>
          <w:p w14:paraId="01C871F3">
            <w:pPr>
              <w:pStyle w:val="40"/>
              <w:jc w:val="center"/>
              <w:rPr>
                <w:rFonts w:eastAsia="宋体"/>
              </w:rPr>
            </w:pPr>
            <w:r>
              <w:rPr>
                <w:rFonts w:eastAsia="宋体"/>
              </w:rPr>
              <w:t>期末考试</w:t>
            </w:r>
          </w:p>
          <w:p w14:paraId="7F0B5C76">
            <w:pPr>
              <w:pStyle w:val="40"/>
              <w:jc w:val="center"/>
              <w:rPr>
                <w:rFonts w:eastAsia="宋体"/>
              </w:rPr>
            </w:pPr>
          </w:p>
        </w:tc>
        <w:tc>
          <w:tcPr>
            <w:tcW w:w="1135" w:type="dxa"/>
            <w:noWrap w:val="0"/>
            <w:vAlign w:val="center"/>
          </w:tcPr>
          <w:p w14:paraId="0C898119">
            <w:pPr>
              <w:pStyle w:val="40"/>
              <w:jc w:val="center"/>
              <w:rPr>
                <w:rFonts w:hint="eastAsia" w:eastAsia="宋体"/>
              </w:rPr>
            </w:pPr>
            <w:r>
              <w:rPr>
                <w:rFonts w:eastAsia="宋体"/>
              </w:rPr>
              <w:t>期末考试</w:t>
            </w:r>
          </w:p>
          <w:p w14:paraId="49704ED0">
            <w:pPr>
              <w:pStyle w:val="40"/>
              <w:jc w:val="center"/>
              <w:rPr>
                <w:rFonts w:eastAsia="宋体"/>
              </w:rPr>
            </w:pPr>
            <w:r>
              <w:rPr>
                <w:rFonts w:hint="eastAsia" w:eastAsia="宋体"/>
              </w:rPr>
              <w:t>卷面</w:t>
            </w:r>
            <w:r>
              <w:rPr>
                <w:rFonts w:eastAsia="宋体"/>
              </w:rPr>
              <w:t>成绩</w:t>
            </w:r>
          </w:p>
        </w:tc>
        <w:tc>
          <w:tcPr>
            <w:tcW w:w="708" w:type="dxa"/>
            <w:noWrap w:val="0"/>
            <w:vAlign w:val="center"/>
          </w:tcPr>
          <w:p w14:paraId="2730B3D8">
            <w:pPr>
              <w:pStyle w:val="40"/>
              <w:jc w:val="center"/>
              <w:rPr>
                <w:rFonts w:eastAsia="宋体"/>
              </w:rPr>
            </w:pPr>
            <w:r>
              <w:rPr>
                <w:rFonts w:hint="eastAsia" w:eastAsia="宋体"/>
              </w:rPr>
              <w:t>5</w:t>
            </w:r>
            <w:r>
              <w:rPr>
                <w:rFonts w:eastAsia="宋体"/>
              </w:rPr>
              <w:t>0%</w:t>
            </w:r>
          </w:p>
        </w:tc>
        <w:tc>
          <w:tcPr>
            <w:tcW w:w="3970" w:type="dxa"/>
            <w:noWrap w:val="0"/>
            <w:vAlign w:val="center"/>
          </w:tcPr>
          <w:p w14:paraId="76E0AE1B">
            <w:pPr>
              <w:pStyle w:val="40"/>
              <w:rPr>
                <w:rFonts w:eastAsia="宋体"/>
                <w:color w:val="000000"/>
                <w:szCs w:val="21"/>
              </w:rPr>
            </w:pPr>
            <w:r>
              <w:rPr>
                <w:rFonts w:eastAsia="宋体"/>
                <w:color w:val="000000"/>
                <w:szCs w:val="21"/>
              </w:rPr>
              <w:t>试卷题型包括</w:t>
            </w:r>
            <w:r>
              <w:rPr>
                <w:rFonts w:hint="eastAsia" w:eastAsia="宋体"/>
                <w:color w:val="000000"/>
                <w:szCs w:val="21"/>
              </w:rPr>
              <w:t>选择</w:t>
            </w:r>
            <w:r>
              <w:rPr>
                <w:rFonts w:eastAsia="宋体"/>
                <w:color w:val="000000"/>
                <w:szCs w:val="21"/>
              </w:rPr>
              <w:t>题、简答题、综合应用题等，以卷面成绩的50%计入课程总成绩。</w:t>
            </w:r>
          </w:p>
        </w:tc>
        <w:tc>
          <w:tcPr>
            <w:tcW w:w="709" w:type="dxa"/>
            <w:noWrap w:val="0"/>
            <w:vAlign w:val="top"/>
          </w:tcPr>
          <w:p w14:paraId="3835A9DD">
            <w:pPr>
              <w:pStyle w:val="40"/>
              <w:jc w:val="center"/>
              <w:rPr>
                <w:rFonts w:eastAsia="宋体"/>
                <w:color w:val="000000"/>
                <w:szCs w:val="21"/>
              </w:rPr>
            </w:pPr>
            <w:r>
              <w:rPr>
                <w:rFonts w:hint="eastAsia" w:eastAsia="宋体"/>
                <w:color w:val="000000"/>
                <w:szCs w:val="21"/>
              </w:rPr>
              <w:t>1、2、3、4</w:t>
            </w:r>
          </w:p>
        </w:tc>
        <w:tc>
          <w:tcPr>
            <w:tcW w:w="1559" w:type="dxa"/>
            <w:noWrap w:val="0"/>
            <w:vAlign w:val="center"/>
          </w:tcPr>
          <w:p w14:paraId="23E5CCF1">
            <w:pPr>
              <w:pStyle w:val="40"/>
              <w:jc w:val="center"/>
              <w:rPr>
                <w:rFonts w:hint="eastAsia" w:eastAsia="宋体"/>
              </w:rPr>
            </w:pPr>
            <w:r>
              <w:rPr>
                <w:rFonts w:hint="eastAsia" w:eastAsia="宋体"/>
                <w:color w:val="000000"/>
                <w:szCs w:val="21"/>
              </w:rPr>
              <w:t>2-3、</w:t>
            </w:r>
            <w:r>
              <w:rPr>
                <w:rFonts w:eastAsia="宋体"/>
                <w:color w:val="000000"/>
                <w:szCs w:val="21"/>
              </w:rPr>
              <w:t>3-1</w:t>
            </w:r>
          </w:p>
        </w:tc>
      </w:tr>
    </w:tbl>
    <w:p w14:paraId="5AA0B5F9">
      <w:pPr>
        <w:spacing w:line="360" w:lineRule="auto"/>
        <w:rPr>
          <w:rFonts w:ascii="宋体" w:hAnsi="宋体"/>
          <w:color w:val="FF0000"/>
          <w:sz w:val="24"/>
          <w:szCs w:val="22"/>
        </w:rPr>
      </w:pPr>
    </w:p>
    <w:p w14:paraId="6245A97D">
      <w:pPr>
        <w:spacing w:line="360" w:lineRule="auto"/>
        <w:rPr>
          <w:rFonts w:ascii="宋体" w:hAnsi="宋体"/>
          <w:color w:val="FF0000"/>
          <w:sz w:val="24"/>
          <w:szCs w:val="22"/>
        </w:rPr>
      </w:pPr>
    </w:p>
    <w:p w14:paraId="68131FD1">
      <w:pPr>
        <w:spacing w:line="360" w:lineRule="auto"/>
        <w:rPr>
          <w:rFonts w:ascii="宋体" w:hAnsi="宋体"/>
          <w:color w:val="FF0000"/>
          <w:sz w:val="24"/>
          <w:szCs w:val="22"/>
        </w:rPr>
      </w:pPr>
    </w:p>
    <w:p w14:paraId="4BED6443">
      <w:pPr>
        <w:spacing w:line="360" w:lineRule="auto"/>
        <w:rPr>
          <w:rFonts w:ascii="宋体" w:hAnsi="宋体"/>
          <w:color w:val="FF0000"/>
          <w:sz w:val="24"/>
          <w:szCs w:val="22"/>
        </w:rPr>
      </w:pPr>
    </w:p>
    <w:p w14:paraId="219048CF">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Layout w:type="autofit"/>
        <w:tblCellMar>
          <w:top w:w="0" w:type="dxa"/>
          <w:left w:w="108" w:type="dxa"/>
          <w:bottom w:w="0" w:type="dxa"/>
          <w:right w:w="108" w:type="dxa"/>
        </w:tblCellMar>
      </w:tblPr>
      <w:tblGrid>
        <w:gridCol w:w="2048"/>
        <w:gridCol w:w="1816"/>
        <w:gridCol w:w="2196"/>
        <w:gridCol w:w="1843"/>
        <w:gridCol w:w="1134"/>
      </w:tblGrid>
      <w:tr w14:paraId="214A430B">
        <w:tblPrEx>
          <w:tblCellMar>
            <w:top w:w="0" w:type="dxa"/>
            <w:left w:w="108" w:type="dxa"/>
            <w:bottom w:w="0" w:type="dxa"/>
            <w:right w:w="108" w:type="dxa"/>
          </w:tblCellMar>
        </w:tblPrEx>
        <w:trPr>
          <w:trHeight w:val="413" w:hRule="atLeast"/>
        </w:trPr>
        <w:tc>
          <w:tcPr>
            <w:tcW w:w="38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10C4119">
            <w:pPr>
              <w:widowControl/>
              <w:jc w:val="center"/>
              <w:rPr>
                <w:rFonts w:ascii="宋体" w:hAnsi="宋体"/>
                <w:kern w:val="0"/>
                <w:szCs w:val="21"/>
              </w:rPr>
            </w:pPr>
            <w:r>
              <w:rPr>
                <w:rFonts w:hint="eastAsia" w:ascii="宋体" w:hAnsi="宋体"/>
                <w:kern w:val="0"/>
                <w:szCs w:val="21"/>
              </w:rPr>
              <w:t>课程目标及权重</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D93960E">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68A54665">
        <w:tblPrEx>
          <w:tblCellMar>
            <w:top w:w="0" w:type="dxa"/>
            <w:left w:w="108" w:type="dxa"/>
            <w:bottom w:w="0" w:type="dxa"/>
            <w:right w:w="108" w:type="dxa"/>
          </w:tblCellMar>
        </w:tblPrEx>
        <w:trPr>
          <w:trHeight w:val="636" w:hRule="atLeast"/>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EBF163">
            <w:pPr>
              <w:widowControl/>
              <w:jc w:val="center"/>
              <w:rPr>
                <w:rFonts w:hint="eastAsia" w:ascii="宋体" w:hAnsi="宋体"/>
                <w:kern w:val="0"/>
                <w:szCs w:val="21"/>
              </w:rPr>
            </w:pPr>
            <w:r>
              <w:rPr>
                <w:rFonts w:hint="eastAsia" w:ascii="宋体" w:hAnsi="宋体"/>
                <w:kern w:val="0"/>
                <w:szCs w:val="21"/>
              </w:rPr>
              <w:t>项目</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359783">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C97FEA">
            <w:pPr>
              <w:widowControl/>
              <w:jc w:val="center"/>
              <w:rPr>
                <w:rFonts w:hint="eastAsia" w:ascii="宋体" w:hAnsi="宋体"/>
                <w:kern w:val="0"/>
                <w:szCs w:val="21"/>
              </w:rPr>
            </w:pPr>
            <w:r>
              <w:rPr>
                <w:rFonts w:hint="eastAsia" w:ascii="宋体" w:hAnsi="宋体"/>
                <w:kern w:val="0"/>
                <w:szCs w:val="21"/>
              </w:rPr>
              <w:t>评价依据</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47E170">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tcBorders>
              <w:top w:val="single" w:color="auto" w:sz="4" w:space="0"/>
              <w:left w:val="single" w:color="auto" w:sz="4" w:space="0"/>
              <w:bottom w:val="single" w:color="auto" w:sz="4" w:space="0"/>
              <w:right w:val="single" w:color="auto" w:sz="4" w:space="0"/>
            </w:tcBorders>
            <w:noWrap w:val="0"/>
            <w:vAlign w:val="top"/>
          </w:tcPr>
          <w:p w14:paraId="49972C24">
            <w:pPr>
              <w:widowControl/>
              <w:rPr>
                <w:rFonts w:hint="eastAsia" w:ascii="宋体" w:hAnsi="宋体"/>
                <w:kern w:val="0"/>
                <w:szCs w:val="21"/>
              </w:rPr>
            </w:pPr>
            <w:r>
              <w:rPr>
                <w:rFonts w:hint="eastAsia" w:ascii="宋体" w:hAnsi="宋体"/>
                <w:kern w:val="0"/>
                <w:szCs w:val="21"/>
              </w:rPr>
              <w:t>考核方式权重合计</w:t>
            </w:r>
          </w:p>
        </w:tc>
      </w:tr>
      <w:tr w14:paraId="334EABC5">
        <w:tblPrEx>
          <w:tblCellMar>
            <w:top w:w="0" w:type="dxa"/>
            <w:left w:w="108" w:type="dxa"/>
            <w:bottom w:w="0" w:type="dxa"/>
            <w:right w:w="108" w:type="dxa"/>
          </w:tblCellMar>
        </w:tblPrEx>
        <w:trPr>
          <w:trHeight w:val="384" w:hRule="atLeast"/>
        </w:trPr>
        <w:tc>
          <w:tcPr>
            <w:tcW w:w="2048" w:type="dxa"/>
            <w:vMerge w:val="restart"/>
            <w:tcBorders>
              <w:top w:val="single" w:color="auto" w:sz="4" w:space="0"/>
              <w:left w:val="single" w:color="auto" w:sz="4" w:space="0"/>
              <w:right w:val="single" w:color="auto" w:sz="4" w:space="0"/>
            </w:tcBorders>
            <w:shd w:val="clear" w:color="auto" w:fill="auto"/>
            <w:noWrap w:val="0"/>
            <w:vAlign w:val="center"/>
          </w:tcPr>
          <w:p w14:paraId="0ED6CA36">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tcBorders>
              <w:top w:val="single" w:color="auto" w:sz="4" w:space="0"/>
              <w:left w:val="single" w:color="auto" w:sz="4" w:space="0"/>
              <w:right w:val="single" w:color="auto" w:sz="4" w:space="0"/>
            </w:tcBorders>
            <w:shd w:val="clear" w:color="auto" w:fill="auto"/>
            <w:noWrap w:val="0"/>
            <w:vAlign w:val="center"/>
          </w:tcPr>
          <w:p w14:paraId="22B68C1E">
            <w:pPr>
              <w:widowControl/>
              <w:jc w:val="center"/>
              <w:rPr>
                <w:rFonts w:hint="eastAsia" w:ascii="宋体" w:hAnsi="宋体"/>
                <w:kern w:val="0"/>
                <w:szCs w:val="21"/>
              </w:rPr>
            </w:pPr>
            <w:r>
              <w:rPr>
                <w:rFonts w:hint="eastAsia" w:ascii="宋体" w:hAnsi="宋体"/>
                <w:kern w:val="0"/>
                <w:szCs w:val="21"/>
              </w:rPr>
              <w:t>20%</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F55615">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F156ED">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tcBorders>
              <w:top w:val="single" w:color="auto" w:sz="4" w:space="0"/>
              <w:left w:val="single" w:color="auto" w:sz="4" w:space="0"/>
              <w:right w:val="single" w:color="auto" w:sz="4" w:space="0"/>
            </w:tcBorders>
            <w:noWrap w:val="0"/>
            <w:vAlign w:val="center"/>
          </w:tcPr>
          <w:p w14:paraId="0CA12EBD">
            <w:pPr>
              <w:widowControl/>
              <w:jc w:val="center"/>
              <w:rPr>
                <w:rFonts w:hint="eastAsia" w:ascii="宋体" w:hAnsi="宋体"/>
                <w:kern w:val="0"/>
                <w:szCs w:val="21"/>
              </w:rPr>
            </w:pPr>
            <w:r>
              <w:rPr>
                <w:rFonts w:hint="eastAsia" w:ascii="宋体" w:hAnsi="宋体"/>
                <w:kern w:val="0"/>
                <w:szCs w:val="21"/>
              </w:rPr>
              <w:t>100%</w:t>
            </w:r>
          </w:p>
        </w:tc>
      </w:tr>
      <w:tr w14:paraId="52FD5796">
        <w:tblPrEx>
          <w:tblCellMar>
            <w:top w:w="0" w:type="dxa"/>
            <w:left w:w="108" w:type="dxa"/>
            <w:bottom w:w="0" w:type="dxa"/>
            <w:right w:w="108" w:type="dxa"/>
          </w:tblCellMar>
        </w:tblPrEx>
        <w:trPr>
          <w:trHeight w:val="384" w:hRule="atLeast"/>
        </w:trPr>
        <w:tc>
          <w:tcPr>
            <w:tcW w:w="2048" w:type="dxa"/>
            <w:vMerge w:val="continue"/>
            <w:tcBorders>
              <w:left w:val="single" w:color="auto" w:sz="4" w:space="0"/>
              <w:right w:val="single" w:color="auto" w:sz="4" w:space="0"/>
            </w:tcBorders>
            <w:shd w:val="clear" w:color="auto" w:fill="auto"/>
            <w:noWrap w:val="0"/>
            <w:vAlign w:val="center"/>
          </w:tcPr>
          <w:p w14:paraId="5CBF76A5">
            <w:pPr>
              <w:widowControl/>
              <w:jc w:val="center"/>
              <w:rPr>
                <w:rFonts w:hint="eastAsia"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542899EA">
            <w:pPr>
              <w:widowControl/>
              <w:jc w:val="center"/>
              <w:rPr>
                <w:rFonts w:hint="eastAsia"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C6E86D">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84EDD9">
            <w:pPr>
              <w:widowControl/>
              <w:jc w:val="center"/>
              <w:rPr>
                <w:rFonts w:hint="eastAsia" w:ascii="宋体" w:hAnsi="宋体"/>
                <w:kern w:val="0"/>
                <w:szCs w:val="21"/>
              </w:rPr>
            </w:pPr>
            <w:r>
              <w:rPr>
                <w:rFonts w:hint="eastAsia" w:ascii="宋体" w:hAnsi="宋体"/>
                <w:kern w:val="0"/>
                <w:szCs w:val="21"/>
              </w:rPr>
              <w:t>10%</w:t>
            </w:r>
          </w:p>
        </w:tc>
        <w:tc>
          <w:tcPr>
            <w:tcW w:w="1134" w:type="dxa"/>
            <w:vMerge w:val="continue"/>
            <w:tcBorders>
              <w:left w:val="single" w:color="auto" w:sz="4" w:space="0"/>
              <w:right w:val="single" w:color="auto" w:sz="4" w:space="0"/>
            </w:tcBorders>
            <w:noWrap w:val="0"/>
            <w:vAlign w:val="center"/>
          </w:tcPr>
          <w:p w14:paraId="0CA4540E">
            <w:pPr>
              <w:widowControl/>
              <w:jc w:val="center"/>
              <w:rPr>
                <w:rFonts w:hint="eastAsia" w:ascii="宋体" w:hAnsi="宋体"/>
                <w:kern w:val="0"/>
                <w:szCs w:val="21"/>
              </w:rPr>
            </w:pPr>
          </w:p>
        </w:tc>
      </w:tr>
      <w:tr w14:paraId="4F4F634D">
        <w:tblPrEx>
          <w:tblCellMar>
            <w:top w:w="0" w:type="dxa"/>
            <w:left w:w="108" w:type="dxa"/>
            <w:bottom w:w="0" w:type="dxa"/>
            <w:right w:w="108" w:type="dxa"/>
          </w:tblCellMar>
        </w:tblPrEx>
        <w:trPr>
          <w:trHeight w:val="384" w:hRule="atLeast"/>
        </w:trPr>
        <w:tc>
          <w:tcPr>
            <w:tcW w:w="2048" w:type="dxa"/>
            <w:vMerge w:val="continue"/>
            <w:tcBorders>
              <w:left w:val="single" w:color="auto" w:sz="4" w:space="0"/>
              <w:right w:val="single" w:color="auto" w:sz="4" w:space="0"/>
            </w:tcBorders>
            <w:shd w:val="clear" w:color="auto" w:fill="auto"/>
            <w:noWrap w:val="0"/>
            <w:vAlign w:val="center"/>
          </w:tcPr>
          <w:p w14:paraId="3E18A7AC">
            <w:pPr>
              <w:widowControl/>
              <w:jc w:val="center"/>
              <w:rPr>
                <w:rFonts w:hint="eastAsia"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5A96EC24">
            <w:pPr>
              <w:widowControl/>
              <w:jc w:val="center"/>
              <w:rPr>
                <w:rFonts w:hint="eastAsia"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68DFE5">
            <w:pPr>
              <w:widowControl/>
              <w:jc w:val="center"/>
              <w:rPr>
                <w:rFonts w:hint="eastAsia" w:ascii="宋体" w:hAnsi="宋体"/>
                <w:kern w:val="0"/>
                <w:szCs w:val="21"/>
              </w:rPr>
            </w:pPr>
            <w:r>
              <w:rPr>
                <w:rFonts w:hint="eastAsia" w:ascii="宋体" w:hAnsi="宋体"/>
                <w:kern w:val="0"/>
                <w:szCs w:val="21"/>
              </w:rPr>
              <w:t>作业2</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521F71">
            <w:pPr>
              <w:widowControl/>
              <w:jc w:val="center"/>
              <w:rPr>
                <w:rFonts w:hint="eastAsia" w:ascii="宋体" w:hAnsi="宋体"/>
                <w:kern w:val="0"/>
                <w:szCs w:val="21"/>
              </w:rPr>
            </w:pPr>
            <w:r>
              <w:rPr>
                <w:rFonts w:hint="eastAsia" w:ascii="宋体" w:hAnsi="宋体"/>
                <w:kern w:val="0"/>
                <w:szCs w:val="21"/>
              </w:rPr>
              <w:t>10%</w:t>
            </w:r>
          </w:p>
        </w:tc>
        <w:tc>
          <w:tcPr>
            <w:tcW w:w="1134" w:type="dxa"/>
            <w:vMerge w:val="continue"/>
            <w:tcBorders>
              <w:left w:val="single" w:color="auto" w:sz="4" w:space="0"/>
              <w:right w:val="single" w:color="auto" w:sz="4" w:space="0"/>
            </w:tcBorders>
            <w:noWrap w:val="0"/>
            <w:vAlign w:val="center"/>
          </w:tcPr>
          <w:p w14:paraId="0594B090">
            <w:pPr>
              <w:widowControl/>
              <w:jc w:val="center"/>
              <w:rPr>
                <w:rFonts w:hint="eastAsia" w:ascii="宋体" w:hAnsi="宋体"/>
                <w:kern w:val="0"/>
                <w:szCs w:val="21"/>
              </w:rPr>
            </w:pPr>
          </w:p>
        </w:tc>
      </w:tr>
      <w:tr w14:paraId="4C0A6C51">
        <w:tblPrEx>
          <w:tblCellMar>
            <w:top w:w="0" w:type="dxa"/>
            <w:left w:w="108" w:type="dxa"/>
            <w:bottom w:w="0" w:type="dxa"/>
            <w:right w:w="108" w:type="dxa"/>
          </w:tblCellMar>
        </w:tblPrEx>
        <w:trPr>
          <w:trHeight w:val="340" w:hRule="atLeast"/>
        </w:trPr>
        <w:tc>
          <w:tcPr>
            <w:tcW w:w="2048" w:type="dxa"/>
            <w:vMerge w:val="continue"/>
            <w:tcBorders>
              <w:left w:val="single" w:color="auto" w:sz="4" w:space="0"/>
              <w:right w:val="single" w:color="auto" w:sz="4" w:space="0"/>
            </w:tcBorders>
            <w:shd w:val="clear" w:color="auto" w:fill="auto"/>
            <w:noWrap w:val="0"/>
            <w:vAlign w:val="center"/>
          </w:tcPr>
          <w:p w14:paraId="1D9E06E3">
            <w:pPr>
              <w:widowControl/>
              <w:jc w:val="left"/>
              <w:rPr>
                <w:rFonts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0798537D">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1094D2">
            <w:pPr>
              <w:widowControl/>
              <w:jc w:val="center"/>
              <w:rPr>
                <w:rFonts w:ascii="宋体" w:hAnsi="宋体"/>
                <w:kern w:val="0"/>
                <w:szCs w:val="21"/>
              </w:rPr>
            </w:pPr>
            <w:r>
              <w:rPr>
                <w:rFonts w:hint="eastAsia" w:ascii="宋体" w:hAnsi="宋体"/>
                <w:kern w:val="0"/>
                <w:szCs w:val="21"/>
              </w:rPr>
              <w:t>作业3</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D0DB71">
            <w:pPr>
              <w:widowControl/>
              <w:jc w:val="center"/>
              <w:rPr>
                <w:rFonts w:hint="eastAsia" w:ascii="宋体" w:hAnsi="宋体"/>
                <w:kern w:val="0"/>
                <w:szCs w:val="21"/>
              </w:rPr>
            </w:pPr>
            <w:r>
              <w:rPr>
                <w:rFonts w:hint="eastAsia" w:ascii="宋体" w:hAnsi="宋体"/>
                <w:kern w:val="0"/>
                <w:szCs w:val="21"/>
              </w:rPr>
              <w:t>10%</w:t>
            </w:r>
          </w:p>
        </w:tc>
        <w:tc>
          <w:tcPr>
            <w:tcW w:w="1134" w:type="dxa"/>
            <w:vMerge w:val="continue"/>
            <w:tcBorders>
              <w:left w:val="single" w:color="auto" w:sz="4" w:space="0"/>
              <w:right w:val="single" w:color="auto" w:sz="4" w:space="0"/>
            </w:tcBorders>
            <w:noWrap w:val="0"/>
            <w:vAlign w:val="center"/>
          </w:tcPr>
          <w:p w14:paraId="717A82A6">
            <w:pPr>
              <w:widowControl/>
              <w:jc w:val="center"/>
              <w:rPr>
                <w:rFonts w:hint="eastAsia" w:ascii="宋体" w:hAnsi="宋体"/>
                <w:kern w:val="0"/>
                <w:szCs w:val="21"/>
              </w:rPr>
            </w:pPr>
          </w:p>
        </w:tc>
      </w:tr>
      <w:tr w14:paraId="758D6CEF">
        <w:tblPrEx>
          <w:tblCellMar>
            <w:top w:w="0" w:type="dxa"/>
            <w:left w:w="108" w:type="dxa"/>
            <w:bottom w:w="0" w:type="dxa"/>
            <w:right w:w="108" w:type="dxa"/>
          </w:tblCellMar>
        </w:tblPrEx>
        <w:trPr>
          <w:trHeight w:val="340" w:hRule="atLeast"/>
        </w:trPr>
        <w:tc>
          <w:tcPr>
            <w:tcW w:w="2048" w:type="dxa"/>
            <w:vMerge w:val="continue"/>
            <w:tcBorders>
              <w:left w:val="single" w:color="auto" w:sz="4" w:space="0"/>
              <w:bottom w:val="single" w:color="auto" w:sz="4" w:space="0"/>
              <w:right w:val="single" w:color="auto" w:sz="4" w:space="0"/>
            </w:tcBorders>
            <w:shd w:val="clear" w:color="auto" w:fill="auto"/>
            <w:noWrap w:val="0"/>
            <w:vAlign w:val="center"/>
          </w:tcPr>
          <w:p w14:paraId="2F6432AB">
            <w:pPr>
              <w:widowControl/>
              <w:jc w:val="left"/>
              <w:rPr>
                <w:rFonts w:ascii="宋体" w:hAnsi="宋体"/>
                <w:kern w:val="0"/>
                <w:szCs w:val="21"/>
              </w:rPr>
            </w:pPr>
          </w:p>
        </w:tc>
        <w:tc>
          <w:tcPr>
            <w:tcW w:w="1816" w:type="dxa"/>
            <w:vMerge w:val="continue"/>
            <w:tcBorders>
              <w:left w:val="single" w:color="auto" w:sz="4" w:space="0"/>
              <w:bottom w:val="single" w:color="auto" w:sz="4" w:space="0"/>
              <w:right w:val="single" w:color="auto" w:sz="4" w:space="0"/>
            </w:tcBorders>
            <w:shd w:val="clear" w:color="auto" w:fill="auto"/>
            <w:noWrap w:val="0"/>
            <w:vAlign w:val="center"/>
          </w:tcPr>
          <w:p w14:paraId="77EE48AE">
            <w:pPr>
              <w:widowControl/>
              <w:jc w:val="left"/>
              <w:rPr>
                <w:rFonts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194034">
            <w:pPr>
              <w:widowControl/>
              <w:jc w:val="center"/>
              <w:rPr>
                <w:rFonts w:hint="eastAsia"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4683F6">
            <w:pPr>
              <w:widowControl/>
              <w:jc w:val="center"/>
              <w:rPr>
                <w:rFonts w:hint="eastAsia" w:ascii="宋体" w:hAnsi="宋体"/>
                <w:kern w:val="0"/>
                <w:szCs w:val="21"/>
              </w:rPr>
            </w:pPr>
            <w:r>
              <w:rPr>
                <w:rFonts w:hint="eastAsia" w:ascii="宋体" w:hAnsi="宋体"/>
                <w:kern w:val="0"/>
                <w:szCs w:val="21"/>
              </w:rPr>
              <w:t>30%</w:t>
            </w:r>
          </w:p>
        </w:tc>
        <w:tc>
          <w:tcPr>
            <w:tcW w:w="1134" w:type="dxa"/>
            <w:vMerge w:val="continue"/>
            <w:tcBorders>
              <w:left w:val="single" w:color="auto" w:sz="4" w:space="0"/>
              <w:bottom w:val="single" w:color="auto" w:sz="4" w:space="0"/>
              <w:right w:val="single" w:color="auto" w:sz="4" w:space="0"/>
            </w:tcBorders>
            <w:noWrap w:val="0"/>
            <w:vAlign w:val="center"/>
          </w:tcPr>
          <w:p w14:paraId="67EEC2E4">
            <w:pPr>
              <w:widowControl/>
              <w:jc w:val="center"/>
              <w:rPr>
                <w:rFonts w:hint="eastAsia" w:ascii="宋体" w:hAnsi="宋体"/>
                <w:kern w:val="0"/>
                <w:szCs w:val="21"/>
              </w:rPr>
            </w:pPr>
          </w:p>
        </w:tc>
      </w:tr>
      <w:tr w14:paraId="0984807C">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right w:val="single" w:color="auto" w:sz="4" w:space="0"/>
            </w:tcBorders>
            <w:shd w:val="clear" w:color="auto" w:fill="auto"/>
            <w:noWrap w:val="0"/>
            <w:vAlign w:val="center"/>
          </w:tcPr>
          <w:p w14:paraId="049A667B">
            <w:pPr>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tcBorders>
              <w:top w:val="single" w:color="auto" w:sz="4" w:space="0"/>
              <w:left w:val="single" w:color="auto" w:sz="4" w:space="0"/>
              <w:right w:val="single" w:color="auto" w:sz="4" w:space="0"/>
            </w:tcBorders>
            <w:shd w:val="clear" w:color="auto" w:fill="auto"/>
            <w:noWrap w:val="0"/>
            <w:vAlign w:val="center"/>
          </w:tcPr>
          <w:p w14:paraId="36F18247">
            <w:pPr>
              <w:jc w:val="center"/>
              <w:rPr>
                <w:rFonts w:ascii="宋体" w:hAnsi="宋体"/>
                <w:kern w:val="0"/>
                <w:szCs w:val="21"/>
              </w:rPr>
            </w:pPr>
            <w:r>
              <w:rPr>
                <w:rFonts w:hint="eastAsia" w:ascii="宋体" w:hAnsi="宋体"/>
                <w:kern w:val="0"/>
                <w:szCs w:val="21"/>
              </w:rPr>
              <w:t>25%</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43341B">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C570AB">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tcBorders>
              <w:top w:val="single" w:color="auto" w:sz="4" w:space="0"/>
              <w:left w:val="single" w:color="auto" w:sz="4" w:space="0"/>
              <w:right w:val="single" w:color="auto" w:sz="4" w:space="0"/>
            </w:tcBorders>
            <w:noWrap w:val="0"/>
            <w:vAlign w:val="center"/>
          </w:tcPr>
          <w:p w14:paraId="655F8A70">
            <w:pPr>
              <w:jc w:val="center"/>
              <w:rPr>
                <w:rFonts w:hint="eastAsia" w:ascii="宋体" w:hAnsi="宋体"/>
                <w:kern w:val="0"/>
                <w:szCs w:val="21"/>
              </w:rPr>
            </w:pPr>
            <w:r>
              <w:rPr>
                <w:rFonts w:hint="eastAsia" w:ascii="宋体" w:hAnsi="宋体"/>
                <w:kern w:val="0"/>
                <w:szCs w:val="21"/>
              </w:rPr>
              <w:t>100%</w:t>
            </w:r>
          </w:p>
        </w:tc>
      </w:tr>
      <w:tr w14:paraId="7EE0C9FF">
        <w:tblPrEx>
          <w:tblCellMar>
            <w:top w:w="0" w:type="dxa"/>
            <w:left w:w="108" w:type="dxa"/>
            <w:bottom w:w="0" w:type="dxa"/>
            <w:right w:w="108" w:type="dxa"/>
          </w:tblCellMar>
        </w:tblPrEx>
        <w:trPr>
          <w:trHeight w:val="340" w:hRule="atLeast"/>
        </w:trPr>
        <w:tc>
          <w:tcPr>
            <w:tcW w:w="2048" w:type="dxa"/>
            <w:vMerge w:val="continue"/>
            <w:tcBorders>
              <w:top w:val="single" w:color="auto" w:sz="4" w:space="0"/>
              <w:left w:val="single" w:color="auto" w:sz="4" w:space="0"/>
              <w:right w:val="single" w:color="auto" w:sz="4" w:space="0"/>
            </w:tcBorders>
            <w:shd w:val="clear" w:color="auto" w:fill="auto"/>
            <w:noWrap w:val="0"/>
            <w:vAlign w:val="center"/>
          </w:tcPr>
          <w:p w14:paraId="4518BA4D">
            <w:pPr>
              <w:jc w:val="center"/>
              <w:rPr>
                <w:rFonts w:hint="eastAsia" w:ascii="宋体" w:hAnsi="宋体"/>
                <w:kern w:val="0"/>
                <w:szCs w:val="21"/>
              </w:rPr>
            </w:pPr>
          </w:p>
        </w:tc>
        <w:tc>
          <w:tcPr>
            <w:tcW w:w="1816" w:type="dxa"/>
            <w:vMerge w:val="continue"/>
            <w:tcBorders>
              <w:top w:val="single" w:color="auto" w:sz="4" w:space="0"/>
              <w:left w:val="single" w:color="auto" w:sz="4" w:space="0"/>
              <w:right w:val="single" w:color="auto" w:sz="4" w:space="0"/>
            </w:tcBorders>
            <w:shd w:val="clear" w:color="auto" w:fill="auto"/>
            <w:noWrap w:val="0"/>
            <w:vAlign w:val="center"/>
          </w:tcPr>
          <w:p w14:paraId="6C461146">
            <w:pPr>
              <w:jc w:val="center"/>
              <w:rPr>
                <w:rFonts w:hint="eastAsia" w:ascii="宋体" w:hAnsi="宋体"/>
                <w:kern w:val="0"/>
                <w:szCs w:val="21"/>
              </w:rPr>
            </w:pP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015B55">
            <w:pPr>
              <w:widowControl/>
              <w:jc w:val="center"/>
              <w:rPr>
                <w:rFonts w:ascii="宋体" w:hAnsi="宋体"/>
                <w:kern w:val="0"/>
                <w:szCs w:val="21"/>
              </w:rPr>
            </w:pPr>
            <w:r>
              <w:rPr>
                <w:rFonts w:hint="eastAsia" w:ascii="宋体" w:hAnsi="宋体"/>
                <w:kern w:val="0"/>
                <w:szCs w:val="21"/>
              </w:rPr>
              <w:t>作业2</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80CEA9">
            <w:pPr>
              <w:widowControl/>
              <w:jc w:val="center"/>
              <w:rPr>
                <w:rFonts w:hint="eastAsia" w:ascii="宋体" w:hAnsi="宋体"/>
                <w:kern w:val="0"/>
                <w:szCs w:val="21"/>
              </w:rPr>
            </w:pPr>
            <w:r>
              <w:rPr>
                <w:rFonts w:hint="eastAsia" w:ascii="宋体" w:hAnsi="宋体"/>
                <w:kern w:val="0"/>
                <w:szCs w:val="21"/>
              </w:rPr>
              <w:t>20%</w:t>
            </w:r>
          </w:p>
        </w:tc>
        <w:tc>
          <w:tcPr>
            <w:tcW w:w="1134" w:type="dxa"/>
            <w:vMerge w:val="continue"/>
            <w:tcBorders>
              <w:top w:val="single" w:color="auto" w:sz="4" w:space="0"/>
              <w:left w:val="single" w:color="auto" w:sz="4" w:space="0"/>
              <w:right w:val="single" w:color="auto" w:sz="4" w:space="0"/>
            </w:tcBorders>
            <w:noWrap w:val="0"/>
            <w:vAlign w:val="center"/>
          </w:tcPr>
          <w:p w14:paraId="47549E80">
            <w:pPr>
              <w:jc w:val="center"/>
              <w:rPr>
                <w:rFonts w:hint="eastAsia" w:ascii="宋体" w:hAnsi="宋体"/>
                <w:kern w:val="0"/>
                <w:szCs w:val="21"/>
              </w:rPr>
            </w:pPr>
          </w:p>
        </w:tc>
      </w:tr>
      <w:tr w14:paraId="0F335522">
        <w:tblPrEx>
          <w:tblCellMar>
            <w:top w:w="0" w:type="dxa"/>
            <w:left w:w="108" w:type="dxa"/>
            <w:bottom w:w="0" w:type="dxa"/>
            <w:right w:w="108" w:type="dxa"/>
          </w:tblCellMar>
        </w:tblPrEx>
        <w:trPr>
          <w:trHeight w:val="251" w:hRule="atLeast"/>
        </w:trPr>
        <w:tc>
          <w:tcPr>
            <w:tcW w:w="2048" w:type="dxa"/>
            <w:vMerge w:val="continue"/>
            <w:tcBorders>
              <w:left w:val="single" w:color="auto" w:sz="4" w:space="0"/>
              <w:right w:val="single" w:color="auto" w:sz="4" w:space="0"/>
            </w:tcBorders>
            <w:shd w:val="clear" w:color="auto" w:fill="auto"/>
            <w:noWrap w:val="0"/>
            <w:vAlign w:val="center"/>
          </w:tcPr>
          <w:p w14:paraId="30B5F3F9">
            <w:pPr>
              <w:widowControl/>
              <w:jc w:val="center"/>
              <w:rPr>
                <w:rFonts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0F64E81A">
            <w:pPr>
              <w:widowControl/>
              <w:jc w:val="center"/>
              <w:rPr>
                <w:rFonts w:hint="eastAsia" w:ascii="宋体" w:hAnsi="宋体"/>
                <w:kern w:val="0"/>
                <w:szCs w:val="21"/>
              </w:rPr>
            </w:pPr>
          </w:p>
        </w:tc>
        <w:tc>
          <w:tcPr>
            <w:tcW w:w="2196" w:type="dxa"/>
            <w:tcBorders>
              <w:top w:val="single" w:color="auto" w:sz="4" w:space="0"/>
              <w:left w:val="single" w:color="auto" w:sz="4" w:space="0"/>
              <w:right w:val="single" w:color="auto" w:sz="4" w:space="0"/>
            </w:tcBorders>
            <w:shd w:val="clear" w:color="auto" w:fill="auto"/>
            <w:noWrap w:val="0"/>
            <w:vAlign w:val="center"/>
          </w:tcPr>
          <w:p w14:paraId="0B1C7280">
            <w:pPr>
              <w:widowControl/>
              <w:jc w:val="center"/>
              <w:rPr>
                <w:rFonts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right w:val="single" w:color="auto" w:sz="4" w:space="0"/>
            </w:tcBorders>
            <w:shd w:val="clear" w:color="auto" w:fill="auto"/>
            <w:noWrap w:val="0"/>
            <w:vAlign w:val="center"/>
          </w:tcPr>
          <w:p w14:paraId="005B0A1F">
            <w:pPr>
              <w:widowControl/>
              <w:jc w:val="center"/>
              <w:rPr>
                <w:rFonts w:hint="eastAsia" w:ascii="宋体" w:hAnsi="宋体"/>
                <w:kern w:val="0"/>
                <w:szCs w:val="21"/>
              </w:rPr>
            </w:pPr>
            <w:r>
              <w:rPr>
                <w:rFonts w:hint="eastAsia" w:ascii="宋体" w:hAnsi="宋体"/>
                <w:kern w:val="0"/>
                <w:szCs w:val="21"/>
              </w:rPr>
              <w:t>40%</w:t>
            </w:r>
          </w:p>
        </w:tc>
        <w:tc>
          <w:tcPr>
            <w:tcW w:w="1134" w:type="dxa"/>
            <w:vMerge w:val="continue"/>
            <w:tcBorders>
              <w:left w:val="single" w:color="auto" w:sz="4" w:space="0"/>
              <w:right w:val="single" w:color="auto" w:sz="4" w:space="0"/>
            </w:tcBorders>
            <w:noWrap w:val="0"/>
            <w:vAlign w:val="center"/>
          </w:tcPr>
          <w:p w14:paraId="740FD42D">
            <w:pPr>
              <w:widowControl/>
              <w:jc w:val="center"/>
              <w:rPr>
                <w:rFonts w:hint="eastAsia" w:ascii="宋体" w:hAnsi="宋体"/>
                <w:kern w:val="0"/>
                <w:szCs w:val="21"/>
              </w:rPr>
            </w:pPr>
          </w:p>
        </w:tc>
      </w:tr>
      <w:tr w14:paraId="2C2B54FC">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right w:val="single" w:color="auto" w:sz="4" w:space="0"/>
            </w:tcBorders>
            <w:shd w:val="clear" w:color="auto" w:fill="auto"/>
            <w:noWrap w:val="0"/>
            <w:vAlign w:val="center"/>
          </w:tcPr>
          <w:p w14:paraId="160094F5">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tcBorders>
              <w:top w:val="single" w:color="auto" w:sz="4" w:space="0"/>
              <w:left w:val="single" w:color="auto" w:sz="4" w:space="0"/>
              <w:right w:val="single" w:color="auto" w:sz="4" w:space="0"/>
            </w:tcBorders>
            <w:shd w:val="clear" w:color="auto" w:fill="auto"/>
            <w:noWrap w:val="0"/>
            <w:vAlign w:val="center"/>
          </w:tcPr>
          <w:p w14:paraId="7E8083F2">
            <w:pPr>
              <w:widowControl/>
              <w:jc w:val="center"/>
              <w:rPr>
                <w:rFonts w:hint="eastAsia" w:ascii="宋体" w:hAnsi="宋体"/>
                <w:kern w:val="0"/>
                <w:szCs w:val="21"/>
              </w:rPr>
            </w:pPr>
            <w:r>
              <w:rPr>
                <w:rFonts w:hint="eastAsia" w:ascii="宋体" w:hAnsi="宋体"/>
                <w:kern w:val="0"/>
                <w:szCs w:val="21"/>
              </w:rPr>
              <w:t>30%</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00DF9">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4319E4">
            <w:pPr>
              <w:widowControl/>
              <w:jc w:val="center"/>
              <w:rPr>
                <w:rFonts w:hint="eastAsia" w:ascii="宋体" w:hAnsi="宋体"/>
                <w:kern w:val="0"/>
                <w:szCs w:val="21"/>
              </w:rPr>
            </w:pPr>
            <w:r>
              <w:rPr>
                <w:rFonts w:hint="eastAsia" w:ascii="宋体" w:hAnsi="宋体"/>
                <w:kern w:val="0"/>
                <w:szCs w:val="21"/>
              </w:rPr>
              <w:t>50%</w:t>
            </w:r>
          </w:p>
        </w:tc>
        <w:tc>
          <w:tcPr>
            <w:tcW w:w="1134" w:type="dxa"/>
            <w:vMerge w:val="restart"/>
            <w:tcBorders>
              <w:top w:val="single" w:color="auto" w:sz="4" w:space="0"/>
              <w:left w:val="single" w:color="auto" w:sz="4" w:space="0"/>
              <w:right w:val="single" w:color="auto" w:sz="4" w:space="0"/>
            </w:tcBorders>
            <w:noWrap w:val="0"/>
            <w:vAlign w:val="center"/>
          </w:tcPr>
          <w:p w14:paraId="2E7BC366">
            <w:pPr>
              <w:widowControl/>
              <w:jc w:val="center"/>
              <w:rPr>
                <w:rFonts w:ascii="宋体" w:hAnsi="宋体"/>
                <w:kern w:val="0"/>
                <w:szCs w:val="21"/>
              </w:rPr>
            </w:pPr>
          </w:p>
          <w:p w14:paraId="4068B0B6">
            <w:pPr>
              <w:widowControl/>
              <w:jc w:val="center"/>
              <w:rPr>
                <w:rFonts w:hint="eastAsia" w:ascii="宋体" w:hAnsi="宋体"/>
                <w:kern w:val="0"/>
                <w:szCs w:val="21"/>
              </w:rPr>
            </w:pPr>
            <w:r>
              <w:rPr>
                <w:rFonts w:hint="eastAsia" w:ascii="宋体" w:hAnsi="宋体"/>
                <w:kern w:val="0"/>
                <w:szCs w:val="21"/>
              </w:rPr>
              <w:t>100%</w:t>
            </w:r>
          </w:p>
        </w:tc>
      </w:tr>
      <w:tr w14:paraId="3256E374">
        <w:tblPrEx>
          <w:tblCellMar>
            <w:top w:w="0" w:type="dxa"/>
            <w:left w:w="108" w:type="dxa"/>
            <w:bottom w:w="0" w:type="dxa"/>
            <w:right w:w="108" w:type="dxa"/>
          </w:tblCellMar>
        </w:tblPrEx>
        <w:trPr>
          <w:trHeight w:val="431" w:hRule="atLeast"/>
        </w:trPr>
        <w:tc>
          <w:tcPr>
            <w:tcW w:w="2048" w:type="dxa"/>
            <w:vMerge w:val="continue"/>
            <w:tcBorders>
              <w:left w:val="single" w:color="auto" w:sz="4" w:space="0"/>
              <w:right w:val="single" w:color="auto" w:sz="4" w:space="0"/>
            </w:tcBorders>
            <w:shd w:val="clear" w:color="auto" w:fill="auto"/>
            <w:noWrap w:val="0"/>
            <w:vAlign w:val="center"/>
          </w:tcPr>
          <w:p w14:paraId="1698F652">
            <w:pPr>
              <w:widowControl/>
              <w:jc w:val="left"/>
              <w:rPr>
                <w:rFonts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66DAD76F">
            <w:pPr>
              <w:widowControl/>
              <w:jc w:val="left"/>
              <w:rPr>
                <w:rFonts w:ascii="宋体" w:hAnsi="宋体"/>
                <w:kern w:val="0"/>
                <w:szCs w:val="21"/>
              </w:rPr>
            </w:pPr>
          </w:p>
        </w:tc>
        <w:tc>
          <w:tcPr>
            <w:tcW w:w="2196" w:type="dxa"/>
            <w:tcBorders>
              <w:top w:val="single" w:color="auto" w:sz="4" w:space="0"/>
              <w:left w:val="single" w:color="auto" w:sz="4" w:space="0"/>
              <w:right w:val="single" w:color="auto" w:sz="4" w:space="0"/>
            </w:tcBorders>
            <w:shd w:val="clear" w:color="auto" w:fill="auto"/>
            <w:noWrap w:val="0"/>
            <w:vAlign w:val="center"/>
          </w:tcPr>
          <w:p w14:paraId="4222054F">
            <w:pPr>
              <w:jc w:val="center"/>
              <w:rPr>
                <w:rFonts w:ascii="宋体" w:hAnsi="宋体"/>
                <w:kern w:val="0"/>
                <w:szCs w:val="21"/>
              </w:rPr>
            </w:pPr>
            <w:r>
              <w:rPr>
                <w:rFonts w:hint="eastAsia" w:ascii="宋体" w:hAnsi="宋体"/>
                <w:kern w:val="0"/>
                <w:szCs w:val="21"/>
              </w:rPr>
              <w:t>作业2</w:t>
            </w:r>
          </w:p>
        </w:tc>
        <w:tc>
          <w:tcPr>
            <w:tcW w:w="1843" w:type="dxa"/>
            <w:tcBorders>
              <w:top w:val="single" w:color="auto" w:sz="4" w:space="0"/>
              <w:left w:val="single" w:color="auto" w:sz="4" w:space="0"/>
              <w:right w:val="single" w:color="auto" w:sz="4" w:space="0"/>
            </w:tcBorders>
            <w:shd w:val="clear" w:color="auto" w:fill="auto"/>
            <w:noWrap w:val="0"/>
            <w:vAlign w:val="center"/>
          </w:tcPr>
          <w:p w14:paraId="75F11BAC">
            <w:pPr>
              <w:jc w:val="center"/>
              <w:rPr>
                <w:rFonts w:hint="eastAsia" w:ascii="宋体" w:hAnsi="宋体"/>
                <w:kern w:val="0"/>
                <w:szCs w:val="21"/>
              </w:rPr>
            </w:pPr>
            <w:r>
              <w:rPr>
                <w:rFonts w:hint="eastAsia" w:ascii="宋体" w:hAnsi="宋体"/>
                <w:kern w:val="0"/>
                <w:szCs w:val="21"/>
              </w:rPr>
              <w:t>30%</w:t>
            </w:r>
          </w:p>
        </w:tc>
        <w:tc>
          <w:tcPr>
            <w:tcW w:w="1134" w:type="dxa"/>
            <w:vMerge w:val="continue"/>
            <w:tcBorders>
              <w:left w:val="single" w:color="auto" w:sz="4" w:space="0"/>
              <w:right w:val="single" w:color="auto" w:sz="4" w:space="0"/>
            </w:tcBorders>
            <w:noWrap w:val="0"/>
            <w:vAlign w:val="center"/>
          </w:tcPr>
          <w:p w14:paraId="452802DC">
            <w:pPr>
              <w:widowControl/>
              <w:jc w:val="center"/>
              <w:rPr>
                <w:rFonts w:hint="eastAsia" w:ascii="宋体" w:hAnsi="宋体"/>
                <w:kern w:val="0"/>
                <w:szCs w:val="21"/>
              </w:rPr>
            </w:pPr>
          </w:p>
        </w:tc>
      </w:tr>
      <w:tr w14:paraId="2CA54D33">
        <w:tblPrEx>
          <w:tblCellMar>
            <w:top w:w="0" w:type="dxa"/>
            <w:left w:w="108" w:type="dxa"/>
            <w:bottom w:w="0" w:type="dxa"/>
            <w:right w:w="108" w:type="dxa"/>
          </w:tblCellMar>
        </w:tblPrEx>
        <w:trPr>
          <w:trHeight w:val="431" w:hRule="atLeast"/>
        </w:trPr>
        <w:tc>
          <w:tcPr>
            <w:tcW w:w="2048" w:type="dxa"/>
            <w:vMerge w:val="continue"/>
            <w:tcBorders>
              <w:left w:val="single" w:color="auto" w:sz="4" w:space="0"/>
              <w:bottom w:val="single" w:color="auto" w:sz="4" w:space="0"/>
              <w:right w:val="single" w:color="auto" w:sz="4" w:space="0"/>
            </w:tcBorders>
            <w:shd w:val="clear" w:color="auto" w:fill="auto"/>
            <w:noWrap w:val="0"/>
            <w:vAlign w:val="center"/>
          </w:tcPr>
          <w:p w14:paraId="69509C4D">
            <w:pPr>
              <w:widowControl/>
              <w:jc w:val="left"/>
              <w:rPr>
                <w:rFonts w:ascii="宋体" w:hAnsi="宋体"/>
                <w:kern w:val="0"/>
                <w:szCs w:val="21"/>
              </w:rPr>
            </w:pPr>
          </w:p>
        </w:tc>
        <w:tc>
          <w:tcPr>
            <w:tcW w:w="1816" w:type="dxa"/>
            <w:vMerge w:val="continue"/>
            <w:tcBorders>
              <w:left w:val="single" w:color="auto" w:sz="4" w:space="0"/>
              <w:bottom w:val="single" w:color="auto" w:sz="4" w:space="0"/>
              <w:right w:val="single" w:color="auto" w:sz="4" w:space="0"/>
            </w:tcBorders>
            <w:shd w:val="clear" w:color="auto" w:fill="auto"/>
            <w:noWrap w:val="0"/>
            <w:vAlign w:val="center"/>
          </w:tcPr>
          <w:p w14:paraId="24BA193E">
            <w:pPr>
              <w:widowControl/>
              <w:jc w:val="left"/>
              <w:rPr>
                <w:rFonts w:ascii="宋体" w:hAnsi="宋体"/>
                <w:kern w:val="0"/>
                <w:szCs w:val="21"/>
              </w:rPr>
            </w:pPr>
          </w:p>
        </w:tc>
        <w:tc>
          <w:tcPr>
            <w:tcW w:w="2196" w:type="dxa"/>
            <w:tcBorders>
              <w:top w:val="single" w:color="auto" w:sz="4" w:space="0"/>
              <w:left w:val="single" w:color="auto" w:sz="4" w:space="0"/>
              <w:right w:val="single" w:color="auto" w:sz="4" w:space="0"/>
            </w:tcBorders>
            <w:shd w:val="clear" w:color="auto" w:fill="auto"/>
            <w:noWrap w:val="0"/>
            <w:vAlign w:val="center"/>
          </w:tcPr>
          <w:p w14:paraId="521976A4">
            <w:pPr>
              <w:jc w:val="center"/>
              <w:rPr>
                <w:rFonts w:hint="eastAsia"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right w:val="single" w:color="auto" w:sz="4" w:space="0"/>
            </w:tcBorders>
            <w:shd w:val="clear" w:color="auto" w:fill="auto"/>
            <w:noWrap w:val="0"/>
            <w:vAlign w:val="center"/>
          </w:tcPr>
          <w:p w14:paraId="36BA36F1">
            <w:pPr>
              <w:jc w:val="center"/>
              <w:rPr>
                <w:rFonts w:hint="eastAsia" w:ascii="宋体" w:hAnsi="宋体"/>
                <w:kern w:val="0"/>
                <w:szCs w:val="21"/>
              </w:rPr>
            </w:pPr>
            <w:r>
              <w:rPr>
                <w:rFonts w:hint="eastAsia" w:ascii="宋体" w:hAnsi="宋体"/>
                <w:kern w:val="0"/>
                <w:szCs w:val="21"/>
              </w:rPr>
              <w:t>20%</w:t>
            </w:r>
          </w:p>
        </w:tc>
        <w:tc>
          <w:tcPr>
            <w:tcW w:w="1134" w:type="dxa"/>
            <w:vMerge w:val="continue"/>
            <w:tcBorders>
              <w:left w:val="single" w:color="auto" w:sz="4" w:space="0"/>
              <w:bottom w:val="single" w:color="auto" w:sz="4" w:space="0"/>
              <w:right w:val="single" w:color="auto" w:sz="4" w:space="0"/>
            </w:tcBorders>
            <w:noWrap w:val="0"/>
            <w:vAlign w:val="center"/>
          </w:tcPr>
          <w:p w14:paraId="0FA4B7FF">
            <w:pPr>
              <w:widowControl/>
              <w:jc w:val="center"/>
              <w:rPr>
                <w:rFonts w:hint="eastAsia" w:ascii="宋体" w:hAnsi="宋体"/>
                <w:kern w:val="0"/>
                <w:szCs w:val="21"/>
              </w:rPr>
            </w:pPr>
          </w:p>
        </w:tc>
      </w:tr>
      <w:tr w14:paraId="4A0F8465">
        <w:tblPrEx>
          <w:tblCellMar>
            <w:top w:w="0" w:type="dxa"/>
            <w:left w:w="108" w:type="dxa"/>
            <w:bottom w:w="0" w:type="dxa"/>
            <w:right w:w="108" w:type="dxa"/>
          </w:tblCellMar>
        </w:tblPrEx>
        <w:trPr>
          <w:trHeight w:val="340" w:hRule="atLeast"/>
        </w:trPr>
        <w:tc>
          <w:tcPr>
            <w:tcW w:w="2048" w:type="dxa"/>
            <w:vMerge w:val="restart"/>
            <w:tcBorders>
              <w:top w:val="single" w:color="auto" w:sz="4" w:space="0"/>
              <w:left w:val="single" w:color="auto" w:sz="4" w:space="0"/>
              <w:right w:val="single" w:color="auto" w:sz="4" w:space="0"/>
            </w:tcBorders>
            <w:shd w:val="clear" w:color="auto" w:fill="auto"/>
            <w:noWrap w:val="0"/>
            <w:vAlign w:val="center"/>
          </w:tcPr>
          <w:p w14:paraId="3E8FD3C7">
            <w:pPr>
              <w:widowControl/>
              <w:jc w:val="center"/>
              <w:rPr>
                <w:rFonts w:hint="eastAsia" w:ascii="宋体" w:hAnsi="宋体"/>
                <w:kern w:val="0"/>
                <w:szCs w:val="21"/>
              </w:rPr>
            </w:pPr>
            <w:r>
              <w:rPr>
                <w:rFonts w:hint="eastAsia" w:ascii="宋体" w:hAnsi="宋体"/>
                <w:kern w:val="0"/>
                <w:szCs w:val="21"/>
              </w:rPr>
              <w:t>课程目标4</w:t>
            </w:r>
          </w:p>
        </w:tc>
        <w:tc>
          <w:tcPr>
            <w:tcW w:w="1816" w:type="dxa"/>
            <w:vMerge w:val="restart"/>
            <w:tcBorders>
              <w:top w:val="single" w:color="auto" w:sz="4" w:space="0"/>
              <w:left w:val="single" w:color="auto" w:sz="4" w:space="0"/>
              <w:right w:val="single" w:color="auto" w:sz="4" w:space="0"/>
            </w:tcBorders>
            <w:shd w:val="clear" w:color="auto" w:fill="auto"/>
            <w:noWrap w:val="0"/>
            <w:vAlign w:val="center"/>
          </w:tcPr>
          <w:p w14:paraId="15725092">
            <w:pPr>
              <w:widowControl/>
              <w:jc w:val="center"/>
              <w:rPr>
                <w:rFonts w:hint="eastAsia" w:ascii="宋体" w:hAnsi="宋体"/>
                <w:kern w:val="0"/>
                <w:szCs w:val="21"/>
              </w:rPr>
            </w:pPr>
            <w:r>
              <w:rPr>
                <w:rFonts w:hint="eastAsia" w:ascii="宋体" w:hAnsi="宋体"/>
                <w:kern w:val="0"/>
                <w:szCs w:val="21"/>
              </w:rPr>
              <w:t>25%</w:t>
            </w:r>
          </w:p>
        </w:tc>
        <w:tc>
          <w:tcPr>
            <w:tcW w:w="2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34F34F">
            <w:pPr>
              <w:widowControl/>
              <w:jc w:val="center"/>
              <w:rPr>
                <w:rFonts w:ascii="宋体" w:hAnsi="宋体"/>
                <w:kern w:val="0"/>
                <w:szCs w:val="21"/>
              </w:rPr>
            </w:pPr>
            <w:r>
              <w:rPr>
                <w:rFonts w:hint="eastAsia" w:ascii="宋体" w:hAnsi="宋体"/>
                <w:kern w:val="0"/>
                <w:szCs w:val="21"/>
              </w:rPr>
              <w:t>考试</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49331">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tcBorders>
              <w:top w:val="single" w:color="auto" w:sz="4" w:space="0"/>
              <w:left w:val="single" w:color="auto" w:sz="4" w:space="0"/>
              <w:right w:val="single" w:color="auto" w:sz="4" w:space="0"/>
            </w:tcBorders>
            <w:noWrap w:val="0"/>
            <w:vAlign w:val="center"/>
          </w:tcPr>
          <w:p w14:paraId="3BA22C35">
            <w:pPr>
              <w:widowControl/>
              <w:jc w:val="center"/>
              <w:rPr>
                <w:rFonts w:hint="eastAsia" w:ascii="宋体" w:hAnsi="宋体"/>
                <w:kern w:val="0"/>
                <w:szCs w:val="21"/>
              </w:rPr>
            </w:pPr>
            <w:r>
              <w:rPr>
                <w:rFonts w:hint="eastAsia" w:ascii="宋体" w:hAnsi="宋体"/>
                <w:kern w:val="0"/>
                <w:szCs w:val="21"/>
              </w:rPr>
              <w:t>100%</w:t>
            </w:r>
          </w:p>
        </w:tc>
      </w:tr>
      <w:tr w14:paraId="64FE8315">
        <w:tblPrEx>
          <w:tblCellMar>
            <w:top w:w="0" w:type="dxa"/>
            <w:left w:w="108" w:type="dxa"/>
            <w:bottom w:w="0" w:type="dxa"/>
            <w:right w:w="108" w:type="dxa"/>
          </w:tblCellMar>
        </w:tblPrEx>
        <w:trPr>
          <w:trHeight w:val="357" w:hRule="atLeast"/>
        </w:trPr>
        <w:tc>
          <w:tcPr>
            <w:tcW w:w="2048" w:type="dxa"/>
            <w:vMerge w:val="continue"/>
            <w:tcBorders>
              <w:left w:val="single" w:color="auto" w:sz="4" w:space="0"/>
              <w:right w:val="single" w:color="auto" w:sz="4" w:space="0"/>
            </w:tcBorders>
            <w:shd w:val="clear" w:color="auto" w:fill="auto"/>
            <w:noWrap w:val="0"/>
            <w:vAlign w:val="center"/>
          </w:tcPr>
          <w:p w14:paraId="6C930A49">
            <w:pPr>
              <w:widowControl/>
              <w:jc w:val="center"/>
              <w:rPr>
                <w:rFonts w:hint="eastAsia"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2847C398">
            <w:pPr>
              <w:widowControl/>
              <w:jc w:val="center"/>
              <w:rPr>
                <w:rFonts w:hint="eastAsia" w:ascii="宋体" w:hAnsi="宋体"/>
                <w:kern w:val="0"/>
                <w:szCs w:val="21"/>
              </w:rPr>
            </w:pPr>
          </w:p>
        </w:tc>
        <w:tc>
          <w:tcPr>
            <w:tcW w:w="2196" w:type="dxa"/>
            <w:tcBorders>
              <w:top w:val="single" w:color="auto" w:sz="4" w:space="0"/>
              <w:left w:val="single" w:color="auto" w:sz="4" w:space="0"/>
              <w:right w:val="single" w:color="auto" w:sz="4" w:space="0"/>
            </w:tcBorders>
            <w:shd w:val="clear" w:color="auto" w:fill="auto"/>
            <w:noWrap w:val="0"/>
            <w:vAlign w:val="center"/>
          </w:tcPr>
          <w:p w14:paraId="66D7AF02">
            <w:pPr>
              <w:widowControl/>
              <w:jc w:val="center"/>
              <w:rPr>
                <w:rFonts w:ascii="宋体" w:hAnsi="宋体"/>
                <w:kern w:val="0"/>
                <w:szCs w:val="21"/>
              </w:rPr>
            </w:pPr>
            <w:r>
              <w:rPr>
                <w:rFonts w:hint="eastAsia" w:ascii="宋体" w:hAnsi="宋体"/>
                <w:kern w:val="0"/>
                <w:szCs w:val="21"/>
              </w:rPr>
              <w:t>作业3</w:t>
            </w:r>
          </w:p>
        </w:tc>
        <w:tc>
          <w:tcPr>
            <w:tcW w:w="1843" w:type="dxa"/>
            <w:tcBorders>
              <w:top w:val="single" w:color="auto" w:sz="4" w:space="0"/>
              <w:left w:val="single" w:color="auto" w:sz="4" w:space="0"/>
              <w:right w:val="single" w:color="auto" w:sz="4" w:space="0"/>
            </w:tcBorders>
            <w:shd w:val="clear" w:color="auto" w:fill="auto"/>
            <w:noWrap w:val="0"/>
            <w:vAlign w:val="center"/>
          </w:tcPr>
          <w:p w14:paraId="6F12C387">
            <w:pPr>
              <w:widowControl/>
              <w:jc w:val="center"/>
              <w:rPr>
                <w:rFonts w:hint="eastAsia" w:ascii="宋体" w:hAnsi="宋体"/>
                <w:kern w:val="0"/>
                <w:szCs w:val="21"/>
              </w:rPr>
            </w:pPr>
            <w:r>
              <w:rPr>
                <w:rFonts w:hint="eastAsia" w:ascii="宋体" w:hAnsi="宋体"/>
                <w:kern w:val="0"/>
                <w:szCs w:val="21"/>
              </w:rPr>
              <w:t>20%</w:t>
            </w:r>
          </w:p>
        </w:tc>
        <w:tc>
          <w:tcPr>
            <w:tcW w:w="1134" w:type="dxa"/>
            <w:vMerge w:val="continue"/>
            <w:tcBorders>
              <w:left w:val="single" w:color="auto" w:sz="4" w:space="0"/>
              <w:right w:val="single" w:color="auto" w:sz="4" w:space="0"/>
            </w:tcBorders>
            <w:noWrap w:val="0"/>
            <w:vAlign w:val="center"/>
          </w:tcPr>
          <w:p w14:paraId="42D7EA82">
            <w:pPr>
              <w:widowControl/>
              <w:jc w:val="center"/>
              <w:rPr>
                <w:rFonts w:hint="eastAsia" w:ascii="宋体" w:hAnsi="宋体"/>
                <w:kern w:val="0"/>
                <w:szCs w:val="21"/>
              </w:rPr>
            </w:pPr>
          </w:p>
        </w:tc>
      </w:tr>
      <w:tr w14:paraId="7D52921A">
        <w:tblPrEx>
          <w:tblCellMar>
            <w:top w:w="0" w:type="dxa"/>
            <w:left w:w="108" w:type="dxa"/>
            <w:bottom w:w="0" w:type="dxa"/>
            <w:right w:w="108" w:type="dxa"/>
          </w:tblCellMar>
        </w:tblPrEx>
        <w:trPr>
          <w:trHeight w:val="357" w:hRule="atLeast"/>
        </w:trPr>
        <w:tc>
          <w:tcPr>
            <w:tcW w:w="2048" w:type="dxa"/>
            <w:vMerge w:val="continue"/>
            <w:tcBorders>
              <w:left w:val="single" w:color="auto" w:sz="4" w:space="0"/>
              <w:right w:val="single" w:color="auto" w:sz="4" w:space="0"/>
            </w:tcBorders>
            <w:shd w:val="clear" w:color="auto" w:fill="auto"/>
            <w:noWrap w:val="0"/>
            <w:vAlign w:val="center"/>
          </w:tcPr>
          <w:p w14:paraId="712E754F">
            <w:pPr>
              <w:widowControl/>
              <w:jc w:val="center"/>
              <w:rPr>
                <w:rFonts w:hint="eastAsia" w:ascii="宋体" w:hAnsi="宋体"/>
                <w:kern w:val="0"/>
                <w:szCs w:val="21"/>
              </w:rPr>
            </w:pPr>
          </w:p>
        </w:tc>
        <w:tc>
          <w:tcPr>
            <w:tcW w:w="1816" w:type="dxa"/>
            <w:vMerge w:val="continue"/>
            <w:tcBorders>
              <w:left w:val="single" w:color="auto" w:sz="4" w:space="0"/>
              <w:right w:val="single" w:color="auto" w:sz="4" w:space="0"/>
            </w:tcBorders>
            <w:shd w:val="clear" w:color="auto" w:fill="auto"/>
            <w:noWrap w:val="0"/>
            <w:vAlign w:val="center"/>
          </w:tcPr>
          <w:p w14:paraId="22FDF237">
            <w:pPr>
              <w:widowControl/>
              <w:jc w:val="center"/>
              <w:rPr>
                <w:rFonts w:hint="eastAsia" w:ascii="宋体" w:hAnsi="宋体"/>
                <w:kern w:val="0"/>
                <w:szCs w:val="21"/>
              </w:rPr>
            </w:pPr>
          </w:p>
        </w:tc>
        <w:tc>
          <w:tcPr>
            <w:tcW w:w="2196" w:type="dxa"/>
            <w:tcBorders>
              <w:top w:val="single" w:color="auto" w:sz="4" w:space="0"/>
              <w:left w:val="single" w:color="auto" w:sz="4" w:space="0"/>
              <w:right w:val="single" w:color="auto" w:sz="4" w:space="0"/>
            </w:tcBorders>
            <w:shd w:val="clear" w:color="auto" w:fill="auto"/>
            <w:noWrap w:val="0"/>
            <w:vAlign w:val="center"/>
          </w:tcPr>
          <w:p w14:paraId="71E239F7">
            <w:pPr>
              <w:widowControl/>
              <w:jc w:val="center"/>
              <w:rPr>
                <w:rFonts w:hint="eastAsia" w:ascii="宋体" w:hAnsi="宋体"/>
                <w:kern w:val="0"/>
                <w:szCs w:val="21"/>
              </w:rPr>
            </w:pPr>
            <w:r>
              <w:rPr>
                <w:rFonts w:hint="eastAsia" w:ascii="宋体" w:hAnsi="宋体"/>
                <w:kern w:val="0"/>
                <w:szCs w:val="21"/>
              </w:rPr>
              <w:t>课内实践</w:t>
            </w:r>
          </w:p>
        </w:tc>
        <w:tc>
          <w:tcPr>
            <w:tcW w:w="1843" w:type="dxa"/>
            <w:tcBorders>
              <w:top w:val="single" w:color="auto" w:sz="4" w:space="0"/>
              <w:left w:val="single" w:color="auto" w:sz="4" w:space="0"/>
              <w:right w:val="single" w:color="auto" w:sz="4" w:space="0"/>
            </w:tcBorders>
            <w:shd w:val="clear" w:color="auto" w:fill="auto"/>
            <w:noWrap w:val="0"/>
            <w:vAlign w:val="center"/>
          </w:tcPr>
          <w:p w14:paraId="2C583ECB">
            <w:pPr>
              <w:widowControl/>
              <w:jc w:val="center"/>
              <w:rPr>
                <w:rFonts w:hint="eastAsia" w:ascii="宋体" w:hAnsi="宋体"/>
                <w:kern w:val="0"/>
                <w:szCs w:val="21"/>
              </w:rPr>
            </w:pPr>
            <w:r>
              <w:rPr>
                <w:rFonts w:hint="eastAsia" w:ascii="宋体" w:hAnsi="宋体"/>
                <w:kern w:val="0"/>
                <w:szCs w:val="21"/>
              </w:rPr>
              <w:t>40%</w:t>
            </w:r>
          </w:p>
        </w:tc>
        <w:tc>
          <w:tcPr>
            <w:tcW w:w="1134" w:type="dxa"/>
            <w:vMerge w:val="continue"/>
            <w:tcBorders>
              <w:left w:val="single" w:color="auto" w:sz="4" w:space="0"/>
              <w:right w:val="single" w:color="auto" w:sz="4" w:space="0"/>
            </w:tcBorders>
            <w:noWrap w:val="0"/>
            <w:vAlign w:val="center"/>
          </w:tcPr>
          <w:p w14:paraId="121E0863">
            <w:pPr>
              <w:widowControl/>
              <w:jc w:val="center"/>
              <w:rPr>
                <w:rFonts w:hint="eastAsia" w:ascii="宋体" w:hAnsi="宋体"/>
                <w:kern w:val="0"/>
                <w:szCs w:val="21"/>
              </w:rPr>
            </w:pPr>
          </w:p>
        </w:tc>
      </w:tr>
      <w:tr w14:paraId="4594C863">
        <w:tblPrEx>
          <w:tblCellMar>
            <w:top w:w="0" w:type="dxa"/>
            <w:left w:w="108" w:type="dxa"/>
            <w:bottom w:w="0" w:type="dxa"/>
            <w:right w:w="108" w:type="dxa"/>
          </w:tblCellMar>
        </w:tblPrEx>
        <w:trPr>
          <w:trHeight w:val="549" w:hRule="atLeast"/>
        </w:trPr>
        <w:tc>
          <w:tcPr>
            <w:tcW w:w="20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E23FDD">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B5912F">
            <w:pPr>
              <w:widowControl/>
              <w:jc w:val="center"/>
              <w:rPr>
                <w:rFonts w:hint="eastAsia" w:ascii="宋体" w:hAnsi="宋体"/>
                <w:kern w:val="0"/>
                <w:szCs w:val="21"/>
              </w:rPr>
            </w:pPr>
            <w:r>
              <w:rPr>
                <w:rFonts w:hint="eastAsia" w:ascii="宋体" w:hAnsi="宋体"/>
                <w:kern w:val="0"/>
                <w:szCs w:val="21"/>
              </w:rPr>
              <w:t>100%</w:t>
            </w:r>
          </w:p>
        </w:tc>
        <w:tc>
          <w:tcPr>
            <w:tcW w:w="5173"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46861CCB">
            <w:pPr>
              <w:widowControl/>
              <w:jc w:val="center"/>
              <w:rPr>
                <w:rFonts w:hint="eastAsia" w:ascii="宋体" w:hAnsi="宋体"/>
                <w:kern w:val="0"/>
                <w:szCs w:val="21"/>
              </w:rPr>
            </w:pPr>
          </w:p>
        </w:tc>
      </w:tr>
    </w:tbl>
    <w:p w14:paraId="23A53B59">
      <w:pPr>
        <w:spacing w:line="360" w:lineRule="auto"/>
        <w:ind w:firstLine="480"/>
        <w:rPr>
          <w:rFonts w:ascii="宋体" w:hAnsi="宋体"/>
          <w:color w:val="FF0000"/>
          <w:sz w:val="24"/>
          <w:szCs w:val="22"/>
        </w:rPr>
      </w:pPr>
    </w:p>
    <w:p w14:paraId="7831B9F0">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2939C7BE">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0DEFA138">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68DA0EAF">
      <w:pPr>
        <w:spacing w:line="360" w:lineRule="auto"/>
        <w:rPr>
          <w:rFonts w:hint="eastAsia" w:ascii="宋体" w:hAnsi="宋体"/>
          <w:b/>
          <w:sz w:val="28"/>
          <w:szCs w:val="28"/>
        </w:rPr>
      </w:pPr>
    </w:p>
    <w:p w14:paraId="78F85B68">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2C748B5">
      <w:pPr>
        <w:spacing w:line="360" w:lineRule="auto"/>
        <w:ind w:firstLine="482" w:firstLineChars="200"/>
        <w:rPr>
          <w:rFonts w:hint="eastAsia"/>
          <w:b/>
          <w:color w:val="000000"/>
          <w:sz w:val="24"/>
        </w:rPr>
      </w:pPr>
      <w:r>
        <w:rPr>
          <w:rFonts w:hint="eastAsia"/>
          <w:b/>
          <w:color w:val="000000"/>
          <w:sz w:val="24"/>
        </w:rPr>
        <w:t>（一）持续改进</w:t>
      </w:r>
    </w:p>
    <w:p w14:paraId="30A35196">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3D0B7165">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1956C667">
      <w:pPr>
        <w:autoSpaceDE w:val="0"/>
        <w:autoSpaceDN w:val="0"/>
        <w:adjustRightInd w:val="0"/>
        <w:spacing w:line="360" w:lineRule="auto"/>
        <w:ind w:firstLine="480" w:firstLineChars="200"/>
        <w:jc w:val="left"/>
        <w:rPr>
          <w:kern w:val="0"/>
          <w:sz w:val="24"/>
          <w:szCs w:val="21"/>
        </w:rPr>
      </w:pPr>
      <w:r>
        <w:rPr>
          <w:rFonts w:hint="eastAsia"/>
          <w:kern w:val="0"/>
          <w:sz w:val="24"/>
          <w:szCs w:val="21"/>
        </w:rPr>
        <w:t>1．蔡贤浩，宋荣主编，形式逻辑，华中师范大学出版社，2015</w:t>
      </w:r>
    </w:p>
    <w:p w14:paraId="55D040A6">
      <w:pPr>
        <w:autoSpaceDE w:val="0"/>
        <w:autoSpaceDN w:val="0"/>
        <w:adjustRightInd w:val="0"/>
        <w:spacing w:line="360" w:lineRule="auto"/>
        <w:ind w:firstLine="480" w:firstLineChars="200"/>
        <w:jc w:val="left"/>
        <w:rPr>
          <w:kern w:val="0"/>
          <w:sz w:val="24"/>
          <w:szCs w:val="21"/>
        </w:rPr>
      </w:pPr>
      <w:r>
        <w:rPr>
          <w:kern w:val="0"/>
          <w:sz w:val="24"/>
          <w:szCs w:val="21"/>
        </w:rPr>
        <w:t>2</w:t>
      </w:r>
      <w:r>
        <w:rPr>
          <w:rFonts w:hint="eastAsia"/>
          <w:kern w:val="0"/>
          <w:sz w:val="24"/>
          <w:szCs w:val="21"/>
        </w:rPr>
        <w:t>．[美]欧文·M·柯匹 卡尔·科恩，逻辑学导论（第13版），中国人民大学出版社 ，20</w:t>
      </w:r>
      <w:r>
        <w:rPr>
          <w:kern w:val="0"/>
          <w:sz w:val="24"/>
          <w:szCs w:val="21"/>
        </w:rPr>
        <w:t>21</w:t>
      </w:r>
    </w:p>
    <w:p w14:paraId="22F6AE06">
      <w:pPr>
        <w:autoSpaceDE w:val="0"/>
        <w:autoSpaceDN w:val="0"/>
        <w:adjustRightInd w:val="0"/>
        <w:spacing w:line="360" w:lineRule="auto"/>
        <w:ind w:firstLine="480" w:firstLineChars="200"/>
        <w:jc w:val="left"/>
        <w:rPr>
          <w:kern w:val="0"/>
          <w:sz w:val="24"/>
          <w:szCs w:val="21"/>
        </w:rPr>
      </w:pPr>
      <w:r>
        <w:rPr>
          <w:kern w:val="0"/>
          <w:sz w:val="24"/>
          <w:szCs w:val="21"/>
        </w:rPr>
        <w:t>3</w:t>
      </w:r>
      <w:r>
        <w:rPr>
          <w:rFonts w:hint="eastAsia"/>
          <w:kern w:val="0"/>
          <w:sz w:val="24"/>
          <w:szCs w:val="21"/>
        </w:rPr>
        <w:t>．陈波著，逻辑学十五讲（第二版），北京大学出版社，2016</w:t>
      </w:r>
    </w:p>
    <w:p w14:paraId="2B6F65D9">
      <w:pPr>
        <w:autoSpaceDE w:val="0"/>
        <w:autoSpaceDN w:val="0"/>
        <w:adjustRightInd w:val="0"/>
        <w:spacing w:line="360" w:lineRule="auto"/>
        <w:ind w:firstLine="480" w:firstLineChars="200"/>
        <w:jc w:val="left"/>
        <w:rPr>
          <w:kern w:val="0"/>
          <w:sz w:val="24"/>
          <w:szCs w:val="21"/>
        </w:rPr>
      </w:pPr>
      <w:r>
        <w:rPr>
          <w:kern w:val="0"/>
          <w:sz w:val="24"/>
          <w:szCs w:val="21"/>
        </w:rPr>
        <w:t>4</w:t>
      </w:r>
      <w:r>
        <w:rPr>
          <w:rFonts w:hint="eastAsia"/>
          <w:kern w:val="0"/>
          <w:sz w:val="24"/>
          <w:szCs w:val="21"/>
        </w:rPr>
        <w:t>．丁毓峰编著，逻辑学原来如此有趣，化学工业出版社，2015</w:t>
      </w:r>
      <w:r>
        <w:rPr>
          <w:kern w:val="0"/>
          <w:sz w:val="24"/>
          <w:szCs w:val="21"/>
        </w:rPr>
        <w:t xml:space="preserve"> </w:t>
      </w:r>
    </w:p>
    <w:p w14:paraId="59489802">
      <w:pPr>
        <w:autoSpaceDE w:val="0"/>
        <w:autoSpaceDN w:val="0"/>
        <w:adjustRightInd w:val="0"/>
        <w:spacing w:line="360" w:lineRule="auto"/>
        <w:ind w:firstLine="480" w:firstLineChars="200"/>
        <w:jc w:val="left"/>
        <w:rPr>
          <w:kern w:val="0"/>
          <w:sz w:val="24"/>
          <w:szCs w:val="21"/>
        </w:rPr>
      </w:pPr>
      <w:r>
        <w:rPr>
          <w:kern w:val="0"/>
          <w:sz w:val="24"/>
          <w:szCs w:val="21"/>
        </w:rPr>
        <w:t>5</w:t>
      </w:r>
      <w:r>
        <w:rPr>
          <w:rFonts w:hint="eastAsia"/>
          <w:kern w:val="0"/>
          <w:sz w:val="24"/>
          <w:szCs w:val="21"/>
        </w:rPr>
        <w:t>．董桂萍著，逻辑学原来这么有趣，化学工业出版社，2016</w:t>
      </w:r>
    </w:p>
    <w:p w14:paraId="13EB46BC">
      <w:pPr>
        <w:autoSpaceDE w:val="0"/>
        <w:autoSpaceDN w:val="0"/>
        <w:adjustRightInd w:val="0"/>
        <w:spacing w:line="360" w:lineRule="auto"/>
        <w:ind w:firstLine="480" w:firstLineChars="200"/>
        <w:jc w:val="left"/>
        <w:rPr>
          <w:kern w:val="0"/>
          <w:sz w:val="24"/>
          <w:szCs w:val="21"/>
        </w:rPr>
      </w:pPr>
      <w:r>
        <w:rPr>
          <w:kern w:val="0"/>
          <w:sz w:val="24"/>
          <w:szCs w:val="21"/>
        </w:rPr>
        <w:t>6</w:t>
      </w:r>
      <w:r>
        <w:rPr>
          <w:rFonts w:hint="eastAsia"/>
          <w:kern w:val="0"/>
          <w:sz w:val="24"/>
          <w:szCs w:val="21"/>
        </w:rPr>
        <w:t>．兰晓华著，逻辑学入门很简单，人民邮电出版社，2017</w:t>
      </w:r>
      <w:r>
        <w:rPr>
          <w:kern w:val="0"/>
          <w:sz w:val="24"/>
          <w:szCs w:val="21"/>
        </w:rPr>
        <w:t xml:space="preserve"> </w:t>
      </w:r>
    </w:p>
    <w:p w14:paraId="01654F60">
      <w:pPr>
        <w:autoSpaceDE w:val="0"/>
        <w:autoSpaceDN w:val="0"/>
        <w:adjustRightInd w:val="0"/>
        <w:spacing w:line="360" w:lineRule="auto"/>
        <w:ind w:firstLine="5280" w:firstLineChars="2200"/>
        <w:jc w:val="both"/>
        <w:rPr>
          <w:rFonts w:hint="eastAsia"/>
          <w:kern w:val="0"/>
          <w:sz w:val="24"/>
          <w:szCs w:val="21"/>
        </w:rPr>
      </w:pPr>
      <w:r>
        <w:rPr>
          <w:kern w:val="0"/>
          <w:sz w:val="24"/>
          <w:szCs w:val="21"/>
        </w:rPr>
        <w:t xml:space="preserve">执笔人： </w:t>
      </w:r>
      <w:r>
        <w:rPr>
          <w:rFonts w:hint="eastAsia"/>
          <w:kern w:val="0"/>
          <w:sz w:val="24"/>
          <w:szCs w:val="21"/>
        </w:rPr>
        <w:t>缪周芬</w:t>
      </w:r>
    </w:p>
    <w:p w14:paraId="38B86684">
      <w:pPr>
        <w:autoSpaceDE w:val="0"/>
        <w:autoSpaceDN w:val="0"/>
        <w:adjustRightInd w:val="0"/>
        <w:spacing w:line="360" w:lineRule="auto"/>
        <w:ind w:firstLine="5280" w:firstLineChars="2200"/>
        <w:jc w:val="both"/>
        <w:rPr>
          <w:kern w:val="0"/>
          <w:sz w:val="24"/>
          <w:szCs w:val="21"/>
        </w:rPr>
      </w:pPr>
      <w:r>
        <w:rPr>
          <w:kern w:val="0"/>
          <w:sz w:val="24"/>
          <w:szCs w:val="21"/>
        </w:rPr>
        <w:t>审定人：</w:t>
      </w:r>
      <w:r>
        <w:rPr>
          <w:rFonts w:hint="eastAsia"/>
          <w:kern w:val="0"/>
          <w:sz w:val="24"/>
          <w:szCs w:val="21"/>
        </w:rPr>
        <w:t>张志欣</w:t>
      </w:r>
    </w:p>
    <w:p w14:paraId="40C7452E">
      <w:pPr>
        <w:autoSpaceDE w:val="0"/>
        <w:autoSpaceDN w:val="0"/>
        <w:adjustRightInd w:val="0"/>
        <w:spacing w:line="360" w:lineRule="auto"/>
        <w:ind w:firstLine="5520" w:firstLineChars="2300"/>
        <w:jc w:val="both"/>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张建波</w:t>
      </w:r>
    </w:p>
    <w:p w14:paraId="6FD833CB">
      <w:pPr>
        <w:autoSpaceDE w:val="0"/>
        <w:autoSpaceDN w:val="0"/>
        <w:adjustRightInd w:val="0"/>
        <w:spacing w:line="360" w:lineRule="auto"/>
        <w:jc w:val="right"/>
        <w:rPr>
          <w:rFonts w:hint="eastAsia"/>
          <w:kern w:val="0"/>
          <w:sz w:val="24"/>
          <w:szCs w:val="21"/>
        </w:rPr>
      </w:pPr>
      <w:r>
        <w:rPr>
          <w:rFonts w:hint="eastAsia"/>
          <w:kern w:val="0"/>
          <w:sz w:val="24"/>
          <w:szCs w:val="21"/>
          <w:lang w:val="en-US" w:eastAsia="zh-CN"/>
        </w:rPr>
        <w:t xml:space="preserve">  </w:t>
      </w:r>
      <w:r>
        <w:rPr>
          <w:rFonts w:hint="eastAsia"/>
          <w:kern w:val="0"/>
          <w:sz w:val="24"/>
          <w:szCs w:val="21"/>
        </w:rPr>
        <w:t>批准时间：2022年8月30日</w:t>
      </w:r>
    </w:p>
    <w:p w14:paraId="0C2EA39C">
      <w:pPr>
        <w:widowControl/>
        <w:jc w:val="right"/>
        <w:rPr>
          <w:rFonts w:ascii="Calibri" w:hAnsi="Calibri" w:eastAsia="宋体" w:cs="Times New Roman"/>
          <w:kern w:val="0"/>
          <w:sz w:val="24"/>
          <w:szCs w:val="21"/>
        </w:rPr>
      </w:pPr>
      <w:r>
        <w:rPr>
          <w:rFonts w:ascii="Calibri" w:hAnsi="Calibri" w:eastAsia="宋体" w:cs="Times New Roman"/>
          <w:kern w:val="0"/>
          <w:sz w:val="24"/>
          <w:szCs w:val="21"/>
        </w:rPr>
        <w:br w:type="page"/>
      </w:r>
    </w:p>
    <w:p w14:paraId="00BDDA36">
      <w:pPr>
        <w:spacing w:line="312" w:lineRule="auto"/>
        <w:jc w:val="center"/>
        <w:outlineLvl w:val="0"/>
        <w:rPr>
          <w:rFonts w:ascii="Times New Roman" w:hAnsi="Times New Roman" w:eastAsia="宋体" w:cs="Times New Roman"/>
          <w:b/>
          <w:bCs/>
          <w:sz w:val="30"/>
          <w:szCs w:val="24"/>
        </w:rPr>
      </w:pPr>
      <w:bookmarkStart w:id="248" w:name="_Toc166165220"/>
      <w:r>
        <w:rPr>
          <w:rFonts w:ascii="Times New Roman" w:hAnsi="Times New Roman" w:eastAsia="宋体" w:cs="Times New Roman"/>
          <w:b/>
          <w:bCs/>
          <w:sz w:val="30"/>
          <w:szCs w:val="24"/>
        </w:rPr>
        <w:t>数学史课程教学大纲</w:t>
      </w:r>
      <w:bookmarkEnd w:id="248"/>
    </w:p>
    <w:p w14:paraId="1B8C139B">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（Mathematical History）</w:t>
      </w:r>
    </w:p>
    <w:p w14:paraId="4F7F7F7A">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6015A4A1">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0821020</w:t>
      </w:r>
    </w:p>
    <w:p w14:paraId="2A19254F">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2</w:t>
      </w:r>
    </w:p>
    <w:p w14:paraId="275031FC">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32（其中：讲授学时32  ， 实验学时0  ，上机学时0）</w:t>
      </w:r>
    </w:p>
    <w:p w14:paraId="335CFFA1">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数学分析，高等代数，空间解析几何</w:t>
      </w:r>
    </w:p>
    <w:p w14:paraId="2F10A2F0">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1B52F678">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w:t>
      </w:r>
      <w:r>
        <w:rPr>
          <w:rFonts w:ascii="Times New Roman" w:hAnsi="Times New Roman" w:eastAsia="宋体" w:cs="Times New Roman"/>
          <w:sz w:val="24"/>
          <w:szCs w:val="24"/>
        </w:rPr>
        <w:t>数学史</w:t>
      </w:r>
      <w:r>
        <w:rPr>
          <w:rFonts w:ascii="Times New Roman" w:hAnsi="Times New Roman" w:eastAsia="宋体" w:cs="Times New Roman"/>
          <w:kern w:val="0"/>
          <w:sz w:val="24"/>
          <w:szCs w:val="24"/>
        </w:rPr>
        <w:t>》，</w:t>
      </w:r>
      <w:r>
        <w:rPr>
          <w:rFonts w:ascii="Times New Roman" w:hAnsi="Times New Roman" w:eastAsia="宋体" w:cs="Times New Roman"/>
          <w:sz w:val="24"/>
          <w:szCs w:val="24"/>
        </w:rPr>
        <w:t>朱家生</w:t>
      </w:r>
      <w:r>
        <w:rPr>
          <w:rFonts w:ascii="Times New Roman" w:hAnsi="Times New Roman" w:eastAsia="宋体" w:cs="Times New Roman"/>
          <w:kern w:val="0"/>
          <w:sz w:val="24"/>
          <w:szCs w:val="24"/>
        </w:rPr>
        <w:t>，</w:t>
      </w:r>
      <w:r>
        <w:rPr>
          <w:rFonts w:ascii="Times New Roman" w:hAnsi="Times New Roman" w:eastAsia="宋体" w:cs="Times New Roman"/>
          <w:sz w:val="24"/>
          <w:szCs w:val="24"/>
        </w:rPr>
        <w:t>高等教育出版社</w:t>
      </w:r>
      <w:r>
        <w:rPr>
          <w:rFonts w:ascii="Times New Roman" w:hAnsi="Times New Roman" w:eastAsia="宋体" w:cs="Times New Roman"/>
          <w:kern w:val="0"/>
          <w:sz w:val="24"/>
          <w:szCs w:val="24"/>
        </w:rPr>
        <w:t>，2011.5</w:t>
      </w:r>
    </w:p>
    <w:p w14:paraId="3C516E24">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1A9847C1">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w:t>
      </w:r>
      <w:r>
        <w:rPr>
          <w:rFonts w:hint="eastAsia" w:ascii="Times New Roman" w:hAnsi="Times New Roman" w:eastAsia="宋体" w:cs="Times New Roman"/>
          <w:color w:val="000000"/>
          <w:sz w:val="24"/>
          <w:szCs w:val="24"/>
        </w:rPr>
        <w:t>选修</w:t>
      </w:r>
      <w:r>
        <w:rPr>
          <w:rFonts w:ascii="Times New Roman" w:hAnsi="Times New Roman" w:eastAsia="宋体" w:cs="Times New Roman"/>
          <w:color w:val="000000"/>
          <w:sz w:val="24"/>
          <w:szCs w:val="24"/>
        </w:rPr>
        <w:t>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数学史的基本知识、必要的基础理论；提高学生的数学视野、数学思维能力、逻辑推理能力；提高学生的数学素养，为学生学习后续相关课程及终身学习奠定必要的数学基础。</w:t>
      </w:r>
    </w:p>
    <w:p w14:paraId="1341A1CE">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6444F7C4">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628624F9">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62D227BE">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4EFE998B">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23F9A1E6">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366012B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1F66CB93">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7EB6F9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6E0D154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2E6699C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592476A3">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B28632E">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1A38FB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4486AA4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1E4C171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35D0BAD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501E307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010B8299">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5CFFB190">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AAE7CCE">
            <w:pPr>
              <w:widowControl/>
              <w:jc w:val="center"/>
              <w:rPr>
                <w:rFonts w:ascii="Times New Roman" w:hAnsi="Times New Roman" w:eastAsia="宋体" w:cs="Times New Roman"/>
                <w:kern w:val="0"/>
                <w:szCs w:val="21"/>
              </w:rPr>
            </w:pPr>
          </w:p>
        </w:tc>
      </w:tr>
      <w:tr w14:paraId="30FB9223">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51C1DCC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421BBE3F">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A4C0017">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3BF671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C8FFDD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961BDF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308DC354">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BB026D7">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811F294">
            <w:pPr>
              <w:widowControl/>
              <w:jc w:val="center"/>
              <w:rPr>
                <w:rFonts w:ascii="Times New Roman" w:hAnsi="Times New Roman" w:eastAsia="宋体" w:cs="Times New Roman"/>
                <w:kern w:val="0"/>
                <w:szCs w:val="21"/>
              </w:rPr>
            </w:pPr>
          </w:p>
        </w:tc>
      </w:tr>
      <w:tr w14:paraId="4A21D0E0">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57FF88D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29F6888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A7B43C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3770DF36">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FEDF5B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44086A75">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B88AB55">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7EC79CD">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F1AB688">
            <w:pPr>
              <w:widowControl/>
              <w:jc w:val="center"/>
              <w:rPr>
                <w:rFonts w:ascii="Times New Roman" w:hAnsi="Times New Roman" w:eastAsia="宋体" w:cs="Times New Roman"/>
                <w:kern w:val="0"/>
                <w:szCs w:val="21"/>
              </w:rPr>
            </w:pPr>
          </w:p>
        </w:tc>
      </w:tr>
      <w:tr w14:paraId="19D5802D">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4F501FF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7F17B41E">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70A4D15">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4B858B28">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B72AE0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B952E7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7A9E5E94">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F1F104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0A3FE54">
            <w:pPr>
              <w:widowControl/>
              <w:jc w:val="center"/>
              <w:rPr>
                <w:rFonts w:ascii="Times New Roman" w:hAnsi="Times New Roman" w:eastAsia="宋体" w:cs="Times New Roman"/>
                <w:kern w:val="0"/>
                <w:szCs w:val="21"/>
              </w:rPr>
            </w:pPr>
          </w:p>
        </w:tc>
      </w:tr>
    </w:tbl>
    <w:p w14:paraId="0A85DCCC">
      <w:pPr>
        <w:spacing w:line="360" w:lineRule="auto"/>
        <w:ind w:firstLine="562" w:firstLineChars="200"/>
        <w:rPr>
          <w:rFonts w:ascii="Times New Roman" w:hAnsi="Times New Roman" w:eastAsia="宋体" w:cs="Times New Roman"/>
          <w:b/>
          <w:sz w:val="28"/>
          <w:szCs w:val="28"/>
        </w:rPr>
      </w:pPr>
    </w:p>
    <w:p w14:paraId="7A55FB6C">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46B8EEA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（一）数学的萌芽</w:t>
      </w:r>
    </w:p>
    <w:p w14:paraId="5F1D727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11CB7D00">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w:t>
      </w:r>
      <w:r>
        <w:rPr>
          <w:rFonts w:ascii="Times New Roman" w:hAnsi="Times New Roman" w:eastAsia="宋体" w:cs="Times New Roman"/>
          <w:sz w:val="24"/>
          <w:szCs w:val="21"/>
        </w:rPr>
        <w:t>了解古埃及的数学</w:t>
      </w:r>
    </w:p>
    <w:p w14:paraId="2903945F">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古巴比伦的数学</w:t>
      </w:r>
    </w:p>
    <w:p w14:paraId="19C8D62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12371AB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古埃及的数学</w:t>
      </w:r>
      <w:r>
        <w:rPr>
          <w:rFonts w:ascii="Times New Roman" w:hAnsi="Times New Roman" w:eastAsia="宋体" w:cs="Times New Roman"/>
          <w:sz w:val="24"/>
          <w:szCs w:val="21"/>
        </w:rPr>
        <w:t>。</w:t>
      </w:r>
    </w:p>
    <w:p w14:paraId="5D2A5CA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B4D5B9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B59875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0A54898">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w:t>
      </w:r>
      <w:r>
        <w:rPr>
          <w:rFonts w:ascii="Times New Roman" w:hAnsi="Times New Roman" w:eastAsia="宋体" w:cs="Times New Roman"/>
          <w:b/>
          <w:bCs/>
          <w:sz w:val="24"/>
          <w:szCs w:val="24"/>
        </w:rPr>
        <w:t>希腊的数学</w:t>
      </w:r>
    </w:p>
    <w:p w14:paraId="7E4F860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75723C9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sz w:val="24"/>
          <w:szCs w:val="24"/>
        </w:rPr>
        <w:t>希腊数学学派与演绎数学的产生</w:t>
      </w:r>
    </w:p>
    <w:p w14:paraId="39E1728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希腊数学的黄金时期</w:t>
      </w:r>
    </w:p>
    <w:p w14:paraId="0CA79A3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sz w:val="24"/>
          <w:szCs w:val="24"/>
        </w:rPr>
        <w:t>希腊数学的衰落</w:t>
      </w:r>
    </w:p>
    <w:p w14:paraId="67522B4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428361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bCs/>
          <w:sz w:val="24"/>
          <w:szCs w:val="24"/>
        </w:rPr>
        <w:t>希腊数学的黄金时期</w:t>
      </w:r>
      <w:r>
        <w:rPr>
          <w:rFonts w:ascii="Times New Roman" w:hAnsi="Times New Roman" w:eastAsia="宋体" w:cs="Times New Roman"/>
          <w:sz w:val="24"/>
          <w:szCs w:val="24"/>
        </w:rPr>
        <w:t>，</w:t>
      </w:r>
      <w:r>
        <w:rPr>
          <w:rFonts w:ascii="Times New Roman" w:hAnsi="Times New Roman" w:eastAsia="宋体" w:cs="Times New Roman"/>
          <w:bCs/>
          <w:sz w:val="24"/>
          <w:szCs w:val="24"/>
        </w:rPr>
        <w:t>希腊数学学派与演绎数学的产生</w:t>
      </w:r>
      <w:r>
        <w:rPr>
          <w:rFonts w:ascii="Times New Roman" w:hAnsi="Times New Roman" w:eastAsia="宋体" w:cs="Times New Roman"/>
          <w:sz w:val="24"/>
          <w:szCs w:val="21"/>
        </w:rPr>
        <w:t>。</w:t>
      </w:r>
    </w:p>
    <w:p w14:paraId="7914E94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902ABE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39911C1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A85B46F">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w:t>
      </w:r>
      <w:r>
        <w:rPr>
          <w:rFonts w:ascii="Times New Roman" w:hAnsi="Times New Roman" w:eastAsia="宋体" w:cs="Times New Roman"/>
          <w:b/>
          <w:bCs/>
          <w:sz w:val="24"/>
          <w:szCs w:val="24"/>
        </w:rPr>
        <w:t>印度与阿拉伯的数学</w:t>
      </w:r>
    </w:p>
    <w:p w14:paraId="5DB9D0E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71E84A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印度的数学</w:t>
      </w:r>
    </w:p>
    <w:p w14:paraId="0087473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sz w:val="24"/>
          <w:szCs w:val="24"/>
        </w:rPr>
        <w:t>阿拉伯的数学</w:t>
      </w:r>
    </w:p>
    <w:p w14:paraId="566AD82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F1BAD8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sz w:val="24"/>
          <w:szCs w:val="24"/>
        </w:rPr>
        <w:t>印度的数学</w:t>
      </w:r>
      <w:r>
        <w:rPr>
          <w:rFonts w:ascii="Times New Roman" w:hAnsi="Times New Roman" w:eastAsia="宋体" w:cs="Times New Roman"/>
          <w:sz w:val="24"/>
          <w:szCs w:val="24"/>
        </w:rPr>
        <w:t>，</w:t>
      </w:r>
      <w:r>
        <w:rPr>
          <w:rFonts w:ascii="Times New Roman" w:hAnsi="Times New Roman" w:eastAsia="宋体" w:cs="Times New Roman"/>
          <w:bCs/>
          <w:sz w:val="24"/>
          <w:szCs w:val="24"/>
        </w:rPr>
        <w:t>阿拉伯的数学</w:t>
      </w:r>
      <w:r>
        <w:rPr>
          <w:rFonts w:ascii="Times New Roman" w:hAnsi="Times New Roman" w:eastAsia="宋体" w:cs="Times New Roman"/>
          <w:color w:val="000000"/>
          <w:sz w:val="24"/>
          <w:szCs w:val="24"/>
        </w:rPr>
        <w:t>。</w:t>
      </w:r>
    </w:p>
    <w:p w14:paraId="511C262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764BBC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75EE0B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0B96FFF">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（四）中国古代数学</w:t>
      </w:r>
    </w:p>
    <w:p w14:paraId="6E5C75A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2057CD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先秦时期——中国古代数学的萌芽</w:t>
      </w:r>
    </w:p>
    <w:p w14:paraId="72A7889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汉唐时期——中国传统数学体系的形成</w:t>
      </w:r>
    </w:p>
    <w:p w14:paraId="0CE61D2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宋元时期——中国传统数学的兴盛</w:t>
      </w:r>
    </w:p>
    <w:p w14:paraId="51624AB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明清时期——中国传统数学的衰落与复苏</w:t>
      </w:r>
    </w:p>
    <w:p w14:paraId="2D8001D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sz w:val="24"/>
          <w:szCs w:val="24"/>
        </w:rPr>
        <w:t>中国传统数学的特点</w:t>
      </w:r>
    </w:p>
    <w:p w14:paraId="1230E0E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8E9FFE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宋元时期——中国传统数学的兴盛</w:t>
      </w:r>
      <w:r>
        <w:rPr>
          <w:rFonts w:ascii="Times New Roman" w:hAnsi="Times New Roman" w:eastAsia="宋体" w:cs="Times New Roman"/>
          <w:color w:val="000000"/>
          <w:sz w:val="24"/>
          <w:szCs w:val="24"/>
        </w:rPr>
        <w:t>。</w:t>
      </w:r>
    </w:p>
    <w:p w14:paraId="28334E5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2882FB8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4F4641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513C6FC">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（五）</w:t>
      </w:r>
      <w:r>
        <w:rPr>
          <w:rFonts w:ascii="Times New Roman" w:hAnsi="Times New Roman" w:eastAsia="宋体" w:cs="Times New Roman"/>
          <w:b/>
          <w:kern w:val="24"/>
          <w:sz w:val="24"/>
          <w:szCs w:val="24"/>
        </w:rPr>
        <w:t>欧洲文艺复兴时期的数学</w:t>
      </w:r>
    </w:p>
    <w:p w14:paraId="395CED8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364968B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24"/>
          <w:sz w:val="24"/>
          <w:szCs w:val="24"/>
        </w:rPr>
        <w:t>欧洲中世纪的回顾</w:t>
      </w:r>
    </w:p>
    <w:p w14:paraId="521A04F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欧洲文艺复兴时期的数学</w:t>
      </w:r>
    </w:p>
    <w:p w14:paraId="07CB980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4E390C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欧洲文艺复兴时期的数学</w:t>
      </w:r>
      <w:r>
        <w:rPr>
          <w:rFonts w:ascii="Times New Roman" w:hAnsi="Times New Roman" w:eastAsia="宋体" w:cs="Times New Roman"/>
          <w:color w:val="000000"/>
          <w:sz w:val="24"/>
          <w:szCs w:val="24"/>
        </w:rPr>
        <w:t>。</w:t>
      </w:r>
    </w:p>
    <w:p w14:paraId="05B62A9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B21CE5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6FBE64D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BAB00E5">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（六）</w:t>
      </w:r>
      <w:r>
        <w:rPr>
          <w:rFonts w:ascii="Times New Roman" w:hAnsi="Times New Roman" w:eastAsia="宋体" w:cs="Times New Roman"/>
          <w:b/>
          <w:spacing w:val="-14"/>
          <w:sz w:val="24"/>
          <w:szCs w:val="24"/>
        </w:rPr>
        <w:t>解析几何的产生</w:t>
      </w:r>
    </w:p>
    <w:p w14:paraId="44533DC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1CC88B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解析几何产生的背景</w:t>
      </w:r>
    </w:p>
    <w:p w14:paraId="2053732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笛卡尔与他的几何学</w:t>
      </w:r>
    </w:p>
    <w:p w14:paraId="244A748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费马与他的几何学</w:t>
      </w:r>
    </w:p>
    <w:p w14:paraId="26D7855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解析几何的进一步完善</w:t>
      </w:r>
      <w:r>
        <w:rPr>
          <w:rFonts w:ascii="Times New Roman" w:hAnsi="Times New Roman" w:eastAsia="宋体" w:cs="Times New Roman"/>
          <w:sz w:val="24"/>
          <w:szCs w:val="24"/>
        </w:rPr>
        <w:t>和发展</w:t>
      </w:r>
    </w:p>
    <w:p w14:paraId="0ABC034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7EB0204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笛卡尔与他的几何学，费马与他的几何学，解析几何产生的背景</w:t>
      </w:r>
      <w:r>
        <w:rPr>
          <w:rFonts w:ascii="Times New Roman" w:hAnsi="Times New Roman" w:eastAsia="宋体" w:cs="Times New Roman"/>
          <w:color w:val="000000"/>
          <w:sz w:val="24"/>
          <w:szCs w:val="24"/>
        </w:rPr>
        <w:t>。</w:t>
      </w:r>
    </w:p>
    <w:p w14:paraId="175DB77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181FFA3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846C97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D8EA3FB">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（七）</w:t>
      </w:r>
      <w:r>
        <w:rPr>
          <w:rFonts w:ascii="Times New Roman" w:hAnsi="Times New Roman" w:eastAsia="宋体" w:cs="Times New Roman"/>
          <w:b/>
          <w:bCs/>
          <w:sz w:val="24"/>
          <w:szCs w:val="24"/>
        </w:rPr>
        <w:t>微积分的创立</w:t>
      </w:r>
    </w:p>
    <w:p w14:paraId="0ADD79B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C862E8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微积分产生的背景</w:t>
      </w:r>
    </w:p>
    <w:p w14:paraId="16AC1E8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先驱们的探索</w:t>
      </w:r>
    </w:p>
    <w:p w14:paraId="4049EED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牛顿的流数术</w:t>
      </w:r>
    </w:p>
    <w:p w14:paraId="77210F4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莱布尼茨的微积分</w:t>
      </w:r>
    </w:p>
    <w:p w14:paraId="4A9C335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348E28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牛顿的流数术，莱布尼茨的微积分</w:t>
      </w:r>
      <w:r>
        <w:rPr>
          <w:rFonts w:ascii="Times New Roman" w:hAnsi="Times New Roman" w:eastAsia="宋体" w:cs="Times New Roman"/>
          <w:color w:val="000000"/>
          <w:sz w:val="24"/>
          <w:szCs w:val="24"/>
        </w:rPr>
        <w:t>。</w:t>
      </w:r>
    </w:p>
    <w:p w14:paraId="6900362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E64A93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1922859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4E1A9C83">
      <w:pPr>
        <w:spacing w:line="360" w:lineRule="auto"/>
        <w:ind w:firstLine="480" w:firstLineChars="200"/>
        <w:rPr>
          <w:rFonts w:ascii="Times New Roman" w:hAnsi="Times New Roman" w:eastAsia="宋体" w:cs="Times New Roman"/>
          <w:color w:val="000000"/>
          <w:sz w:val="24"/>
          <w:szCs w:val="24"/>
        </w:rPr>
      </w:pPr>
    </w:p>
    <w:p w14:paraId="6624141C">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（八）概率论的产生与发展</w:t>
      </w:r>
    </w:p>
    <w:p w14:paraId="57583E3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A5B271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概率论的产生</w:t>
      </w:r>
    </w:p>
    <w:p w14:paraId="3C57110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推动概率论发展的因素</w:t>
      </w:r>
    </w:p>
    <w:p w14:paraId="162485D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概率论的发展和完善</w:t>
      </w:r>
    </w:p>
    <w:p w14:paraId="336FA05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概率论的应用</w:t>
      </w:r>
    </w:p>
    <w:p w14:paraId="0F98447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2CF512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概率论的发展和完善</w:t>
      </w:r>
      <w:r>
        <w:rPr>
          <w:rFonts w:ascii="Times New Roman" w:hAnsi="Times New Roman" w:eastAsia="宋体" w:cs="Times New Roman"/>
          <w:color w:val="000000"/>
          <w:sz w:val="24"/>
          <w:szCs w:val="24"/>
        </w:rPr>
        <w:t>。</w:t>
      </w:r>
    </w:p>
    <w:p w14:paraId="060FDB2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458EF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12A9A2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E0FB91D">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（九）微积分的进一步发展</w:t>
      </w:r>
    </w:p>
    <w:p w14:paraId="28B317F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030EA42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微分方程</w:t>
      </w:r>
    </w:p>
    <w:p w14:paraId="64274DD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变分法</w:t>
      </w:r>
    </w:p>
    <w:p w14:paraId="69A041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bCs/>
          <w:kern w:val="11"/>
          <w:sz w:val="24"/>
          <w:szCs w:val="24"/>
        </w:rPr>
        <w:t>分析基础的严密化</w:t>
      </w:r>
    </w:p>
    <w:p w14:paraId="1149B5C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302526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分析基础的严密化，变分法</w:t>
      </w:r>
      <w:r>
        <w:rPr>
          <w:rFonts w:ascii="Times New Roman" w:hAnsi="Times New Roman" w:eastAsia="宋体" w:cs="Times New Roman"/>
          <w:color w:val="000000"/>
          <w:sz w:val="24"/>
          <w:szCs w:val="24"/>
        </w:rPr>
        <w:t>。</w:t>
      </w:r>
    </w:p>
    <w:p w14:paraId="5A24F3D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D82FBB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7F5B488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0D416EB5">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（十）几何学的革命</w:t>
      </w:r>
    </w:p>
    <w:p w14:paraId="7AD789A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3FEB40F">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第五公设的思考</w:t>
      </w:r>
    </w:p>
    <w:p w14:paraId="346EF2A8">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高斯、波约尔和罗巴切夫斯基的突破性工作</w:t>
      </w:r>
    </w:p>
    <w:p w14:paraId="533E2DC5">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非欧几何学</w:t>
      </w:r>
    </w:p>
    <w:p w14:paraId="48D34829">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黎曼对非欧几何的贡献</w:t>
      </w:r>
    </w:p>
    <w:p w14:paraId="3924943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76F638B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高斯、波约尔和罗巴切夫斯基的突破性工作，第五公设的思考</w:t>
      </w:r>
      <w:r>
        <w:rPr>
          <w:rFonts w:ascii="Times New Roman" w:hAnsi="Times New Roman" w:eastAsia="宋体" w:cs="Times New Roman"/>
          <w:color w:val="000000"/>
          <w:sz w:val="24"/>
          <w:szCs w:val="24"/>
        </w:rPr>
        <w:t>。</w:t>
      </w:r>
    </w:p>
    <w:p w14:paraId="1199B22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C09F3D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6132A3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7387667">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（十一）代数学的革命</w:t>
      </w:r>
    </w:p>
    <w:p w14:paraId="0342F9A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F25AF21">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从代数方程的解法到群论</w:t>
      </w:r>
    </w:p>
    <w:p w14:paraId="335D97EF">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代数学的扩张</w:t>
      </w:r>
    </w:p>
    <w:p w14:paraId="18AD388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3F0B11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从代数方程的解法到群论，代数学的扩张</w:t>
      </w:r>
      <w:r>
        <w:rPr>
          <w:rFonts w:ascii="Times New Roman" w:hAnsi="Times New Roman" w:eastAsia="宋体" w:cs="Times New Roman"/>
          <w:color w:val="000000"/>
          <w:sz w:val="24"/>
          <w:szCs w:val="24"/>
        </w:rPr>
        <w:t>。</w:t>
      </w:r>
    </w:p>
    <w:p w14:paraId="72A8109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9A1F49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7C38692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1E8A407">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（十二）现代数学选论</w:t>
      </w:r>
    </w:p>
    <w:p w14:paraId="227B6B7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67220139">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泛函分析的诞生</w:t>
      </w:r>
    </w:p>
    <w:p w14:paraId="21422C74">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抽象代数的确立</w:t>
      </w:r>
    </w:p>
    <w:p w14:paraId="0F676C75">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知道</w:t>
      </w:r>
      <w:r>
        <w:rPr>
          <w:rFonts w:ascii="Times New Roman" w:hAnsi="Times New Roman" w:eastAsia="宋体" w:cs="Times New Roman"/>
          <w:bCs/>
          <w:kern w:val="11"/>
          <w:sz w:val="24"/>
          <w:szCs w:val="24"/>
        </w:rPr>
        <w:t>拓朴学的起源与发展</w:t>
      </w:r>
    </w:p>
    <w:p w14:paraId="25523C19">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应用数学的崛起</w:t>
      </w:r>
    </w:p>
    <w:p w14:paraId="361FDEFE">
      <w:pPr>
        <w:spacing w:line="300" w:lineRule="auto"/>
        <w:ind w:firstLine="480" w:firstLineChars="200"/>
        <w:rPr>
          <w:rFonts w:ascii="Times New Roman" w:hAnsi="Times New Roman" w:eastAsia="宋体" w:cs="Times New Roman"/>
          <w:bCs/>
          <w:kern w:val="11"/>
          <w:sz w:val="24"/>
          <w:szCs w:val="24"/>
        </w:rPr>
      </w:pPr>
      <w:r>
        <w:rPr>
          <w:rFonts w:ascii="Times New Roman" w:hAnsi="Times New Roman" w:eastAsia="宋体" w:cs="Times New Roman"/>
          <w:bCs/>
          <w:kern w:val="11"/>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bCs/>
          <w:kern w:val="11"/>
          <w:sz w:val="24"/>
          <w:szCs w:val="24"/>
        </w:rPr>
        <w:t>计算机与计算数学</w:t>
      </w:r>
    </w:p>
    <w:p w14:paraId="0BA0DBA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45AA5E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bCs/>
          <w:kern w:val="11"/>
          <w:sz w:val="24"/>
          <w:szCs w:val="24"/>
        </w:rPr>
        <w:t>应用数学的崛起，泛函分析的诞生，抽象代数的确立</w:t>
      </w:r>
      <w:r>
        <w:rPr>
          <w:rFonts w:ascii="Times New Roman" w:hAnsi="Times New Roman" w:eastAsia="宋体" w:cs="Times New Roman"/>
          <w:color w:val="000000"/>
          <w:sz w:val="24"/>
          <w:szCs w:val="24"/>
        </w:rPr>
        <w:t>。</w:t>
      </w:r>
    </w:p>
    <w:p w14:paraId="55D5268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52B6B8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43FD22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8BB674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844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177"/>
        <w:gridCol w:w="1554"/>
        <w:gridCol w:w="1696"/>
        <w:gridCol w:w="671"/>
        <w:gridCol w:w="671"/>
      </w:tblGrid>
      <w:tr w14:paraId="0492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76" w:type="dxa"/>
            <w:shd w:val="clear" w:color="auto" w:fill="FFFFFF"/>
            <w:vAlign w:val="center"/>
          </w:tcPr>
          <w:p w14:paraId="67BE5995">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177" w:type="dxa"/>
            <w:shd w:val="clear" w:color="auto" w:fill="FFFFFF"/>
            <w:vAlign w:val="center"/>
          </w:tcPr>
          <w:p w14:paraId="7024CB9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554" w:type="dxa"/>
            <w:shd w:val="clear" w:color="auto" w:fill="FFFFFF"/>
            <w:vAlign w:val="center"/>
          </w:tcPr>
          <w:p w14:paraId="3F5F546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693" w:type="dxa"/>
            <w:shd w:val="clear" w:color="auto" w:fill="FFFFFF"/>
            <w:vAlign w:val="center"/>
          </w:tcPr>
          <w:p w14:paraId="281E366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615E19CA">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671" w:type="dxa"/>
            <w:shd w:val="clear" w:color="auto" w:fill="FFFFFF"/>
            <w:vAlign w:val="center"/>
          </w:tcPr>
          <w:p w14:paraId="1EA929F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671" w:type="dxa"/>
            <w:shd w:val="clear" w:color="auto" w:fill="FFFFFF"/>
            <w:vAlign w:val="center"/>
          </w:tcPr>
          <w:p w14:paraId="2DFE2C9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7DF9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7A48FC4A">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177" w:type="dxa"/>
            <w:vAlign w:val="center"/>
          </w:tcPr>
          <w:p w14:paraId="7CC1C324">
            <w:pPr>
              <w:jc w:val="center"/>
              <w:rPr>
                <w:rFonts w:ascii="Times New Roman" w:hAnsi="Times New Roman" w:eastAsia="宋体" w:cs="Times New Roman"/>
                <w:szCs w:val="21"/>
              </w:rPr>
            </w:pPr>
            <w:r>
              <w:rPr>
                <w:rFonts w:ascii="Times New Roman" w:hAnsi="Times New Roman" w:eastAsia="宋体" w:cs="Times New Roman"/>
                <w:szCs w:val="21"/>
              </w:rPr>
              <w:t>数学的萌芽</w:t>
            </w:r>
          </w:p>
        </w:tc>
        <w:tc>
          <w:tcPr>
            <w:tcW w:w="1554" w:type="dxa"/>
            <w:vAlign w:val="center"/>
          </w:tcPr>
          <w:p w14:paraId="0190F648">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19BB132A">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671" w:type="dxa"/>
            <w:vAlign w:val="center"/>
          </w:tcPr>
          <w:p w14:paraId="3BC20DD1">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75EAF955">
            <w:pPr>
              <w:jc w:val="center"/>
              <w:rPr>
                <w:rFonts w:ascii="Times New Roman" w:hAnsi="Times New Roman" w:eastAsia="宋体" w:cs="Times New Roman"/>
                <w:szCs w:val="21"/>
              </w:rPr>
            </w:pPr>
          </w:p>
        </w:tc>
      </w:tr>
      <w:tr w14:paraId="004A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00B303AD">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177" w:type="dxa"/>
            <w:vAlign w:val="center"/>
          </w:tcPr>
          <w:p w14:paraId="7314218F">
            <w:pPr>
              <w:jc w:val="center"/>
              <w:rPr>
                <w:rFonts w:ascii="Times New Roman" w:hAnsi="Times New Roman" w:eastAsia="宋体" w:cs="Times New Roman"/>
                <w:szCs w:val="21"/>
              </w:rPr>
            </w:pPr>
            <w:r>
              <w:rPr>
                <w:rFonts w:ascii="Times New Roman" w:hAnsi="Times New Roman" w:eastAsia="宋体" w:cs="Times New Roman"/>
                <w:szCs w:val="21"/>
              </w:rPr>
              <w:t>希腊的数学</w:t>
            </w:r>
          </w:p>
        </w:tc>
        <w:tc>
          <w:tcPr>
            <w:tcW w:w="1554" w:type="dxa"/>
            <w:vAlign w:val="center"/>
          </w:tcPr>
          <w:p w14:paraId="0877334B">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7117E5A1">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227AF23A">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2230D203">
            <w:pPr>
              <w:jc w:val="center"/>
              <w:rPr>
                <w:rFonts w:ascii="Times New Roman" w:hAnsi="Times New Roman" w:eastAsia="宋体" w:cs="Times New Roman"/>
                <w:szCs w:val="21"/>
              </w:rPr>
            </w:pPr>
          </w:p>
        </w:tc>
      </w:tr>
      <w:tr w14:paraId="5CFB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339F455C">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177" w:type="dxa"/>
            <w:vAlign w:val="center"/>
          </w:tcPr>
          <w:p w14:paraId="0C679564">
            <w:pPr>
              <w:jc w:val="center"/>
              <w:rPr>
                <w:rFonts w:ascii="Times New Roman" w:hAnsi="Times New Roman" w:eastAsia="宋体" w:cs="Times New Roman"/>
                <w:szCs w:val="21"/>
              </w:rPr>
            </w:pPr>
            <w:r>
              <w:rPr>
                <w:rFonts w:ascii="Times New Roman" w:hAnsi="Times New Roman" w:eastAsia="宋体" w:cs="Times New Roman"/>
                <w:szCs w:val="21"/>
              </w:rPr>
              <w:t>印度与阿拉伯的数学</w:t>
            </w:r>
          </w:p>
        </w:tc>
        <w:tc>
          <w:tcPr>
            <w:tcW w:w="1554" w:type="dxa"/>
            <w:vAlign w:val="center"/>
          </w:tcPr>
          <w:p w14:paraId="43970794">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2F6C3A2B">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2E4A7E3D">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4F26BB59">
            <w:pPr>
              <w:jc w:val="center"/>
              <w:rPr>
                <w:rFonts w:ascii="Times New Roman" w:hAnsi="Times New Roman" w:eastAsia="宋体" w:cs="Times New Roman"/>
                <w:szCs w:val="21"/>
              </w:rPr>
            </w:pPr>
          </w:p>
        </w:tc>
      </w:tr>
      <w:tr w14:paraId="0A83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1CA6E9C2">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177" w:type="dxa"/>
            <w:vAlign w:val="center"/>
          </w:tcPr>
          <w:p w14:paraId="17DBDE9B">
            <w:pPr>
              <w:jc w:val="center"/>
              <w:rPr>
                <w:rFonts w:ascii="Times New Roman" w:hAnsi="Times New Roman" w:eastAsia="宋体" w:cs="Times New Roman"/>
                <w:szCs w:val="21"/>
              </w:rPr>
            </w:pPr>
            <w:r>
              <w:rPr>
                <w:rFonts w:ascii="Times New Roman" w:hAnsi="Times New Roman" w:eastAsia="宋体" w:cs="Times New Roman"/>
                <w:szCs w:val="21"/>
              </w:rPr>
              <w:t>中国古代数学</w:t>
            </w:r>
          </w:p>
        </w:tc>
        <w:tc>
          <w:tcPr>
            <w:tcW w:w="1554" w:type="dxa"/>
            <w:vAlign w:val="center"/>
          </w:tcPr>
          <w:p w14:paraId="5899BF45">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22701C86">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623F7EAE">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671" w:type="dxa"/>
            <w:vAlign w:val="center"/>
          </w:tcPr>
          <w:p w14:paraId="7A45B3D6">
            <w:pPr>
              <w:jc w:val="center"/>
              <w:rPr>
                <w:rFonts w:ascii="Times New Roman" w:hAnsi="Times New Roman" w:eastAsia="宋体" w:cs="Times New Roman"/>
                <w:szCs w:val="21"/>
              </w:rPr>
            </w:pPr>
          </w:p>
        </w:tc>
      </w:tr>
      <w:tr w14:paraId="4DF0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7024E80A">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177" w:type="dxa"/>
            <w:vAlign w:val="center"/>
          </w:tcPr>
          <w:p w14:paraId="4648FC3A">
            <w:pPr>
              <w:jc w:val="center"/>
              <w:rPr>
                <w:rFonts w:ascii="Times New Roman" w:hAnsi="Times New Roman" w:eastAsia="宋体" w:cs="Times New Roman"/>
                <w:szCs w:val="21"/>
              </w:rPr>
            </w:pPr>
            <w:r>
              <w:rPr>
                <w:rFonts w:ascii="Times New Roman" w:hAnsi="Times New Roman" w:eastAsia="宋体" w:cs="Times New Roman"/>
                <w:szCs w:val="21"/>
              </w:rPr>
              <w:t>欧洲文艺复兴时期的数学</w:t>
            </w:r>
          </w:p>
        </w:tc>
        <w:tc>
          <w:tcPr>
            <w:tcW w:w="1554" w:type="dxa"/>
            <w:vAlign w:val="center"/>
          </w:tcPr>
          <w:p w14:paraId="23050FC6">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0CBF6C23">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3E8A745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2F264A70">
            <w:pPr>
              <w:jc w:val="center"/>
              <w:rPr>
                <w:rFonts w:ascii="Times New Roman" w:hAnsi="Times New Roman" w:eastAsia="宋体" w:cs="Times New Roman"/>
                <w:szCs w:val="21"/>
              </w:rPr>
            </w:pPr>
          </w:p>
        </w:tc>
      </w:tr>
      <w:tr w14:paraId="6D00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76" w:type="dxa"/>
            <w:vAlign w:val="center"/>
          </w:tcPr>
          <w:p w14:paraId="0F026E4A">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177" w:type="dxa"/>
            <w:vAlign w:val="center"/>
          </w:tcPr>
          <w:p w14:paraId="5C4AD560">
            <w:pPr>
              <w:jc w:val="center"/>
              <w:rPr>
                <w:rFonts w:ascii="Times New Roman" w:hAnsi="Times New Roman" w:eastAsia="宋体" w:cs="Times New Roman"/>
                <w:szCs w:val="21"/>
              </w:rPr>
            </w:pPr>
            <w:r>
              <w:rPr>
                <w:rFonts w:ascii="Times New Roman" w:hAnsi="Times New Roman" w:eastAsia="宋体" w:cs="Times New Roman"/>
                <w:szCs w:val="21"/>
              </w:rPr>
              <w:t>解析几何的产生</w:t>
            </w:r>
          </w:p>
        </w:tc>
        <w:tc>
          <w:tcPr>
            <w:tcW w:w="1554" w:type="dxa"/>
            <w:vAlign w:val="center"/>
          </w:tcPr>
          <w:p w14:paraId="491C6B67">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46DF0498">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1A69E3B7">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671" w:type="dxa"/>
            <w:vAlign w:val="center"/>
          </w:tcPr>
          <w:p w14:paraId="6F324A57">
            <w:pPr>
              <w:jc w:val="center"/>
              <w:rPr>
                <w:rFonts w:ascii="Times New Roman" w:hAnsi="Times New Roman" w:eastAsia="宋体" w:cs="Times New Roman"/>
                <w:szCs w:val="21"/>
              </w:rPr>
            </w:pPr>
          </w:p>
        </w:tc>
      </w:tr>
      <w:tr w14:paraId="5FBA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19904617">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3177" w:type="dxa"/>
            <w:vAlign w:val="center"/>
          </w:tcPr>
          <w:p w14:paraId="5CD84D84">
            <w:pPr>
              <w:jc w:val="center"/>
              <w:rPr>
                <w:rFonts w:ascii="Times New Roman" w:hAnsi="Times New Roman" w:eastAsia="宋体" w:cs="Times New Roman"/>
                <w:szCs w:val="21"/>
              </w:rPr>
            </w:pPr>
            <w:r>
              <w:rPr>
                <w:rFonts w:ascii="Times New Roman" w:hAnsi="Times New Roman" w:eastAsia="宋体" w:cs="Times New Roman"/>
                <w:szCs w:val="21"/>
              </w:rPr>
              <w:t>微积分的创立</w:t>
            </w:r>
          </w:p>
        </w:tc>
        <w:tc>
          <w:tcPr>
            <w:tcW w:w="1554" w:type="dxa"/>
            <w:vAlign w:val="center"/>
          </w:tcPr>
          <w:p w14:paraId="2C8923BE">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2DD55C81">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1CA3226A">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671" w:type="dxa"/>
            <w:vAlign w:val="center"/>
          </w:tcPr>
          <w:p w14:paraId="4A2A3138">
            <w:pPr>
              <w:jc w:val="center"/>
              <w:rPr>
                <w:rFonts w:ascii="Times New Roman" w:hAnsi="Times New Roman" w:eastAsia="宋体" w:cs="Times New Roman"/>
                <w:szCs w:val="21"/>
              </w:rPr>
            </w:pPr>
          </w:p>
        </w:tc>
      </w:tr>
      <w:tr w14:paraId="1403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5AAD13AC">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3177" w:type="dxa"/>
            <w:vAlign w:val="center"/>
          </w:tcPr>
          <w:p w14:paraId="7B41C475">
            <w:pPr>
              <w:jc w:val="center"/>
              <w:rPr>
                <w:rFonts w:ascii="Times New Roman" w:hAnsi="Times New Roman" w:eastAsia="宋体" w:cs="Times New Roman"/>
                <w:szCs w:val="21"/>
              </w:rPr>
            </w:pPr>
            <w:r>
              <w:rPr>
                <w:rFonts w:ascii="Times New Roman" w:hAnsi="Times New Roman" w:eastAsia="宋体" w:cs="Times New Roman"/>
                <w:szCs w:val="21"/>
              </w:rPr>
              <w:t>概率论的产生与发展</w:t>
            </w:r>
          </w:p>
        </w:tc>
        <w:tc>
          <w:tcPr>
            <w:tcW w:w="1554" w:type="dxa"/>
            <w:vAlign w:val="center"/>
          </w:tcPr>
          <w:p w14:paraId="6C3FF3D7">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019ADDD6">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6EF7564E">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14248DC6">
            <w:pPr>
              <w:jc w:val="center"/>
              <w:rPr>
                <w:rFonts w:ascii="Times New Roman" w:hAnsi="Times New Roman" w:eastAsia="宋体" w:cs="Times New Roman"/>
                <w:szCs w:val="21"/>
              </w:rPr>
            </w:pPr>
          </w:p>
        </w:tc>
      </w:tr>
      <w:tr w14:paraId="0392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708CADB5">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3177" w:type="dxa"/>
            <w:vAlign w:val="center"/>
          </w:tcPr>
          <w:p w14:paraId="4587DB77">
            <w:pPr>
              <w:jc w:val="center"/>
              <w:rPr>
                <w:rFonts w:ascii="Times New Roman" w:hAnsi="Times New Roman" w:eastAsia="宋体" w:cs="Times New Roman"/>
                <w:szCs w:val="21"/>
              </w:rPr>
            </w:pPr>
            <w:r>
              <w:rPr>
                <w:rFonts w:ascii="Times New Roman" w:hAnsi="Times New Roman" w:eastAsia="宋体" w:cs="Times New Roman"/>
                <w:szCs w:val="21"/>
              </w:rPr>
              <w:t>微积分的进一步发展</w:t>
            </w:r>
          </w:p>
        </w:tc>
        <w:tc>
          <w:tcPr>
            <w:tcW w:w="1554" w:type="dxa"/>
            <w:vAlign w:val="center"/>
          </w:tcPr>
          <w:p w14:paraId="095EDB2A">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41EAC4CA">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1110306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1ED106E4">
            <w:pPr>
              <w:jc w:val="center"/>
              <w:rPr>
                <w:rFonts w:ascii="Times New Roman" w:hAnsi="Times New Roman" w:eastAsia="宋体" w:cs="Times New Roman"/>
                <w:szCs w:val="21"/>
              </w:rPr>
            </w:pPr>
          </w:p>
        </w:tc>
      </w:tr>
      <w:tr w14:paraId="7794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460AA9E5">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3177" w:type="dxa"/>
            <w:vAlign w:val="center"/>
          </w:tcPr>
          <w:p w14:paraId="4B51E2AC">
            <w:pPr>
              <w:jc w:val="center"/>
              <w:rPr>
                <w:rFonts w:ascii="Times New Roman" w:hAnsi="Times New Roman" w:eastAsia="宋体" w:cs="Times New Roman"/>
                <w:szCs w:val="21"/>
              </w:rPr>
            </w:pPr>
            <w:r>
              <w:rPr>
                <w:rFonts w:ascii="Times New Roman" w:hAnsi="Times New Roman" w:eastAsia="宋体" w:cs="Times New Roman"/>
                <w:szCs w:val="21"/>
              </w:rPr>
              <w:t>几何学的革命</w:t>
            </w:r>
          </w:p>
        </w:tc>
        <w:tc>
          <w:tcPr>
            <w:tcW w:w="1554" w:type="dxa"/>
            <w:vAlign w:val="center"/>
          </w:tcPr>
          <w:p w14:paraId="41747F6C">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1B21245E">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6AFB2B99">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4C4FF967">
            <w:pPr>
              <w:jc w:val="center"/>
              <w:rPr>
                <w:rFonts w:ascii="Times New Roman" w:hAnsi="Times New Roman" w:eastAsia="宋体" w:cs="Times New Roman"/>
                <w:szCs w:val="21"/>
              </w:rPr>
            </w:pPr>
          </w:p>
        </w:tc>
      </w:tr>
      <w:tr w14:paraId="0DD6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45941BD1">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3177" w:type="dxa"/>
            <w:vAlign w:val="center"/>
          </w:tcPr>
          <w:p w14:paraId="3C3E445D">
            <w:pPr>
              <w:jc w:val="center"/>
              <w:rPr>
                <w:rFonts w:ascii="Times New Roman" w:hAnsi="Times New Roman" w:eastAsia="宋体" w:cs="Times New Roman"/>
                <w:szCs w:val="21"/>
              </w:rPr>
            </w:pPr>
            <w:r>
              <w:rPr>
                <w:rFonts w:ascii="Times New Roman" w:hAnsi="Times New Roman" w:eastAsia="宋体" w:cs="Times New Roman"/>
                <w:szCs w:val="21"/>
              </w:rPr>
              <w:t>代数学的解放</w:t>
            </w:r>
          </w:p>
        </w:tc>
        <w:tc>
          <w:tcPr>
            <w:tcW w:w="1554" w:type="dxa"/>
            <w:vAlign w:val="center"/>
          </w:tcPr>
          <w:p w14:paraId="3414D391">
            <w:pPr>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693" w:type="dxa"/>
            <w:vAlign w:val="center"/>
          </w:tcPr>
          <w:p w14:paraId="217157A2">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073335D7">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671" w:type="dxa"/>
            <w:vAlign w:val="center"/>
          </w:tcPr>
          <w:p w14:paraId="574E55A0">
            <w:pPr>
              <w:jc w:val="center"/>
              <w:rPr>
                <w:rFonts w:ascii="Times New Roman" w:hAnsi="Times New Roman" w:eastAsia="宋体" w:cs="Times New Roman"/>
                <w:szCs w:val="21"/>
              </w:rPr>
            </w:pPr>
          </w:p>
        </w:tc>
      </w:tr>
      <w:tr w14:paraId="2766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76" w:type="dxa"/>
            <w:vAlign w:val="center"/>
          </w:tcPr>
          <w:p w14:paraId="5C5E50FF">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3177" w:type="dxa"/>
            <w:vAlign w:val="center"/>
          </w:tcPr>
          <w:p w14:paraId="27D1E1CD">
            <w:pPr>
              <w:jc w:val="center"/>
              <w:rPr>
                <w:rFonts w:ascii="Times New Roman" w:hAnsi="Times New Roman" w:eastAsia="宋体" w:cs="Times New Roman"/>
                <w:szCs w:val="21"/>
              </w:rPr>
            </w:pPr>
            <w:r>
              <w:rPr>
                <w:rFonts w:ascii="Times New Roman" w:hAnsi="Times New Roman" w:eastAsia="宋体" w:cs="Times New Roman"/>
                <w:szCs w:val="21"/>
              </w:rPr>
              <w:t>现代数论选讲</w:t>
            </w:r>
          </w:p>
        </w:tc>
        <w:tc>
          <w:tcPr>
            <w:tcW w:w="1554" w:type="dxa"/>
            <w:vAlign w:val="center"/>
          </w:tcPr>
          <w:p w14:paraId="54958239">
            <w:pPr>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693" w:type="dxa"/>
            <w:vAlign w:val="center"/>
          </w:tcPr>
          <w:p w14:paraId="01545934">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671" w:type="dxa"/>
            <w:vAlign w:val="center"/>
          </w:tcPr>
          <w:p w14:paraId="30CC8C92">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671" w:type="dxa"/>
            <w:vAlign w:val="center"/>
          </w:tcPr>
          <w:p w14:paraId="7850C9D0">
            <w:pPr>
              <w:jc w:val="center"/>
              <w:rPr>
                <w:rFonts w:ascii="Times New Roman" w:hAnsi="Times New Roman" w:eastAsia="宋体" w:cs="Times New Roman"/>
                <w:szCs w:val="21"/>
              </w:rPr>
            </w:pPr>
          </w:p>
        </w:tc>
      </w:tr>
      <w:tr w14:paraId="3DCE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103" w:type="dxa"/>
            <w:gridSpan w:val="4"/>
            <w:vAlign w:val="center"/>
          </w:tcPr>
          <w:p w14:paraId="7FD3FC23">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671" w:type="dxa"/>
            <w:vAlign w:val="center"/>
          </w:tcPr>
          <w:p w14:paraId="349AA1D2">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671" w:type="dxa"/>
            <w:vAlign w:val="center"/>
          </w:tcPr>
          <w:p w14:paraId="3034E834">
            <w:pPr>
              <w:jc w:val="center"/>
              <w:rPr>
                <w:rFonts w:ascii="Times New Roman" w:hAnsi="Times New Roman" w:eastAsia="宋体" w:cs="Times New Roman"/>
                <w:szCs w:val="21"/>
              </w:rPr>
            </w:pPr>
          </w:p>
        </w:tc>
      </w:tr>
    </w:tbl>
    <w:p w14:paraId="7AABAD72">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31691A3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p w14:paraId="19CDA244">
      <w:pPr>
        <w:spacing w:line="360" w:lineRule="auto"/>
        <w:ind w:firstLine="480" w:firstLineChars="200"/>
        <w:rPr>
          <w:rFonts w:ascii="Times New Roman" w:hAnsi="Times New Roman" w:eastAsia="宋体" w:cs="Times New Roman"/>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C69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3A39C38">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624B251C">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6F49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595454A">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71D5B847">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2502F9DD">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2E9339E0">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535E3C36">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23CF09BE">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4D44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AED942B">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5B11C4C1">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4C47EE41">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69A879C4">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3D62E17B">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3E9B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9022B51">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731384FE">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70DCC92C">
            <w:pPr>
              <w:rPr>
                <w:rFonts w:ascii="Times New Roman" w:hAnsi="Times New Roman" w:eastAsia="宋体" w:cs="Times New Roman"/>
                <w:szCs w:val="21"/>
              </w:rPr>
            </w:pPr>
            <w:r>
              <w:rPr>
                <w:rFonts w:ascii="Times New Roman" w:hAnsi="Times New Roman" w:eastAsia="宋体" w:cs="Times New Roman"/>
                <w:szCs w:val="21"/>
              </w:rPr>
              <w:t>学生必须完成一定数量的作业题，是本课程教学的基本要求，是实现人才培养目标的必要手段。</w:t>
            </w:r>
          </w:p>
          <w:p w14:paraId="565276EF">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092DAA43">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14BA529D">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758BAFD2">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5B8263B3">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42FD12D2">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1752CCAF">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5C2C43DE">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07A9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A05E720">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335987AF">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15D12945">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5409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43EAA0">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32F2A721">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4F63204B">
            <w:pPr>
              <w:rPr>
                <w:rFonts w:ascii="Times New Roman" w:hAnsi="Times New Roman" w:eastAsia="宋体" w:cs="Times New Roman"/>
                <w:szCs w:val="24"/>
              </w:rPr>
            </w:pPr>
            <w:r>
              <w:rPr>
                <w:rFonts w:ascii="Times New Roman" w:hAnsi="Times New Roman" w:eastAsia="宋体" w:cs="Times New Roman"/>
                <w:szCs w:val="24"/>
              </w:rPr>
              <w:t>本课程考核的方式：考查。考试试卷采取抽卷形式，统一安排监考。总评成绩的评定见课程评分方案。有下列情况之一者，总评成绩为不及格：</w:t>
            </w:r>
          </w:p>
          <w:p w14:paraId="083C9DC4">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2689DE44">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1D32B034">
            <w:pPr>
              <w:rPr>
                <w:rFonts w:ascii="Times New Roman" w:hAnsi="Times New Roman" w:eastAsia="宋体" w:cs="Times New Roman"/>
                <w:szCs w:val="21"/>
              </w:rPr>
            </w:pPr>
          </w:p>
        </w:tc>
      </w:tr>
    </w:tbl>
    <w:p w14:paraId="2D2DAF05">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25B4D59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00180E7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522"/>
        <w:gridCol w:w="998"/>
        <w:gridCol w:w="3881"/>
        <w:gridCol w:w="1376"/>
      </w:tblGrid>
      <w:tr w14:paraId="0820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075"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4327D893">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22" w:type="dxa"/>
            <w:tcBorders>
              <w:top w:val="single" w:color="auto" w:sz="4" w:space="0"/>
              <w:left w:val="single" w:color="auto" w:sz="4" w:space="0"/>
              <w:bottom w:val="single" w:color="auto" w:sz="4" w:space="0"/>
              <w:right w:val="single" w:color="auto" w:sz="4" w:space="0"/>
            </w:tcBorders>
            <w:shd w:val="clear" w:color="auto" w:fill="FFFFFF"/>
            <w:vAlign w:val="center"/>
          </w:tcPr>
          <w:p w14:paraId="3F0B3A25">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998" w:type="dxa"/>
            <w:tcBorders>
              <w:top w:val="single" w:color="auto" w:sz="4" w:space="0"/>
              <w:left w:val="single" w:color="auto" w:sz="4" w:space="0"/>
              <w:bottom w:val="single" w:color="auto" w:sz="4" w:space="0"/>
              <w:right w:val="single" w:color="auto" w:sz="4" w:space="0"/>
            </w:tcBorders>
            <w:shd w:val="clear" w:color="auto" w:fill="FFFFFF"/>
            <w:vAlign w:val="center"/>
          </w:tcPr>
          <w:p w14:paraId="1A29039D">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3881" w:type="dxa"/>
            <w:tcBorders>
              <w:top w:val="single" w:color="auto" w:sz="4" w:space="0"/>
              <w:left w:val="single" w:color="auto" w:sz="4" w:space="0"/>
              <w:bottom w:val="single" w:color="auto" w:sz="4" w:space="0"/>
              <w:right w:val="single" w:color="auto" w:sz="4" w:space="0"/>
            </w:tcBorders>
            <w:shd w:val="clear" w:color="auto" w:fill="FFFFFF"/>
            <w:vAlign w:val="center"/>
          </w:tcPr>
          <w:p w14:paraId="3CD6365E">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376" w:type="dxa"/>
            <w:tcBorders>
              <w:top w:val="single" w:color="auto" w:sz="4" w:space="0"/>
              <w:left w:val="single" w:color="auto" w:sz="4" w:space="0"/>
              <w:bottom w:val="single" w:color="auto" w:sz="4" w:space="0"/>
              <w:right w:val="single" w:color="auto" w:sz="4" w:space="0"/>
            </w:tcBorders>
            <w:shd w:val="clear" w:color="auto" w:fill="FFFFFF"/>
            <w:vAlign w:val="center"/>
          </w:tcPr>
          <w:p w14:paraId="72A21910">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68FC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75" w:type="dxa"/>
            <w:vMerge w:val="restart"/>
            <w:tcBorders>
              <w:top w:val="single" w:color="auto" w:sz="4" w:space="0"/>
              <w:left w:val="single" w:color="auto" w:sz="4" w:space="0"/>
              <w:right w:val="single" w:color="auto" w:sz="4" w:space="0"/>
            </w:tcBorders>
            <w:tcMar>
              <w:left w:w="57" w:type="dxa"/>
              <w:right w:w="57" w:type="dxa"/>
            </w:tcMar>
            <w:vAlign w:val="center"/>
          </w:tcPr>
          <w:p w14:paraId="3B954396">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1DBFF3B1">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22" w:type="dxa"/>
            <w:tcBorders>
              <w:top w:val="single" w:color="auto" w:sz="4" w:space="0"/>
              <w:left w:val="single" w:color="auto" w:sz="4" w:space="0"/>
              <w:bottom w:val="single" w:color="auto" w:sz="4" w:space="0"/>
              <w:right w:val="single" w:color="auto" w:sz="4" w:space="0"/>
            </w:tcBorders>
            <w:vAlign w:val="center"/>
          </w:tcPr>
          <w:p w14:paraId="335B24E6">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998" w:type="dxa"/>
            <w:tcBorders>
              <w:top w:val="single" w:color="auto" w:sz="4" w:space="0"/>
              <w:left w:val="single" w:color="auto" w:sz="4" w:space="0"/>
              <w:bottom w:val="single" w:color="auto" w:sz="4" w:space="0"/>
              <w:right w:val="single" w:color="auto" w:sz="4" w:space="0"/>
            </w:tcBorders>
            <w:vAlign w:val="center"/>
          </w:tcPr>
          <w:p w14:paraId="33543EE3">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3881" w:type="dxa"/>
            <w:tcBorders>
              <w:top w:val="single" w:color="auto" w:sz="4" w:space="0"/>
              <w:left w:val="single" w:color="auto" w:sz="4" w:space="0"/>
              <w:bottom w:val="single" w:color="auto" w:sz="4" w:space="0"/>
              <w:right w:val="single" w:color="auto" w:sz="4" w:space="0"/>
            </w:tcBorders>
            <w:vAlign w:val="center"/>
          </w:tcPr>
          <w:p w14:paraId="5DA98E0A">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376" w:type="dxa"/>
            <w:tcBorders>
              <w:top w:val="single" w:color="auto" w:sz="4" w:space="0"/>
              <w:left w:val="single" w:color="auto" w:sz="4" w:space="0"/>
              <w:right w:val="single" w:color="auto" w:sz="4" w:space="0"/>
            </w:tcBorders>
            <w:vAlign w:val="center"/>
          </w:tcPr>
          <w:p w14:paraId="2BFAA7FE">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2B2FA2EC">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7966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075" w:type="dxa"/>
            <w:vMerge w:val="continue"/>
            <w:tcBorders>
              <w:left w:val="single" w:color="auto" w:sz="4" w:space="0"/>
              <w:right w:val="single" w:color="auto" w:sz="4" w:space="0"/>
            </w:tcBorders>
            <w:tcMar>
              <w:left w:w="57" w:type="dxa"/>
              <w:right w:w="57" w:type="dxa"/>
            </w:tcMar>
            <w:vAlign w:val="center"/>
          </w:tcPr>
          <w:p w14:paraId="77D78BEF">
            <w:pPr>
              <w:rPr>
                <w:rFonts w:ascii="Times New Roman" w:hAnsi="Times New Roman" w:eastAsia="宋体"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vAlign w:val="center"/>
          </w:tcPr>
          <w:p w14:paraId="3642D9EC">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998" w:type="dxa"/>
            <w:tcBorders>
              <w:top w:val="single" w:color="auto" w:sz="4" w:space="0"/>
              <w:left w:val="single" w:color="auto" w:sz="4" w:space="0"/>
              <w:bottom w:val="single" w:color="auto" w:sz="4" w:space="0"/>
              <w:right w:val="single" w:color="auto" w:sz="4" w:space="0"/>
            </w:tcBorders>
            <w:vAlign w:val="center"/>
          </w:tcPr>
          <w:p w14:paraId="73B5DC52">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3881" w:type="dxa"/>
            <w:tcBorders>
              <w:top w:val="single" w:color="auto" w:sz="4" w:space="0"/>
              <w:left w:val="single" w:color="auto" w:sz="4" w:space="0"/>
              <w:bottom w:val="single" w:color="auto" w:sz="4" w:space="0"/>
              <w:right w:val="single" w:color="auto" w:sz="4" w:space="0"/>
            </w:tcBorders>
            <w:vAlign w:val="center"/>
          </w:tcPr>
          <w:p w14:paraId="4D2589E6">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376" w:type="dxa"/>
            <w:tcBorders>
              <w:left w:val="single" w:color="auto" w:sz="4" w:space="0"/>
              <w:right w:val="single" w:color="auto" w:sz="4" w:space="0"/>
            </w:tcBorders>
            <w:vAlign w:val="center"/>
          </w:tcPr>
          <w:p w14:paraId="26282F3E">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25A849E8">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790E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075" w:type="dxa"/>
            <w:vMerge w:val="continue"/>
            <w:tcBorders>
              <w:left w:val="single" w:color="auto" w:sz="4" w:space="0"/>
              <w:bottom w:val="single" w:color="auto" w:sz="4" w:space="0"/>
              <w:right w:val="single" w:color="auto" w:sz="4" w:space="0"/>
            </w:tcBorders>
            <w:tcMar>
              <w:left w:w="57" w:type="dxa"/>
              <w:right w:w="57" w:type="dxa"/>
            </w:tcMar>
            <w:vAlign w:val="center"/>
          </w:tcPr>
          <w:p w14:paraId="2F6F3EC2">
            <w:pPr>
              <w:rPr>
                <w:rFonts w:ascii="Times New Roman" w:hAnsi="Times New Roman" w:eastAsia="宋体" w:cs="Times New Roman"/>
                <w:sz w:val="20"/>
                <w:szCs w:val="20"/>
              </w:rPr>
            </w:pPr>
          </w:p>
        </w:tc>
        <w:tc>
          <w:tcPr>
            <w:tcW w:w="1522" w:type="dxa"/>
            <w:tcBorders>
              <w:top w:val="single" w:color="auto" w:sz="4" w:space="0"/>
              <w:left w:val="single" w:color="auto" w:sz="4" w:space="0"/>
              <w:bottom w:val="single" w:color="auto" w:sz="4" w:space="0"/>
              <w:right w:val="single" w:color="auto" w:sz="4" w:space="0"/>
            </w:tcBorders>
            <w:vAlign w:val="center"/>
          </w:tcPr>
          <w:p w14:paraId="4D8D49AB">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998" w:type="dxa"/>
            <w:tcBorders>
              <w:top w:val="single" w:color="auto" w:sz="4" w:space="0"/>
              <w:left w:val="single" w:color="auto" w:sz="4" w:space="0"/>
              <w:bottom w:val="single" w:color="auto" w:sz="4" w:space="0"/>
              <w:right w:val="single" w:color="auto" w:sz="4" w:space="0"/>
            </w:tcBorders>
            <w:vAlign w:val="center"/>
          </w:tcPr>
          <w:p w14:paraId="79832688">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3881" w:type="dxa"/>
            <w:tcBorders>
              <w:top w:val="single" w:color="auto" w:sz="4" w:space="0"/>
              <w:left w:val="single" w:color="auto" w:sz="4" w:space="0"/>
              <w:bottom w:val="single" w:color="auto" w:sz="4" w:space="0"/>
              <w:right w:val="single" w:color="auto" w:sz="4" w:space="0"/>
            </w:tcBorders>
            <w:vAlign w:val="center"/>
          </w:tcPr>
          <w:p w14:paraId="791E618D">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376" w:type="dxa"/>
            <w:tcBorders>
              <w:left w:val="single" w:color="auto" w:sz="4" w:space="0"/>
              <w:bottom w:val="single" w:color="auto" w:sz="4" w:space="0"/>
              <w:right w:val="single" w:color="auto" w:sz="4" w:space="0"/>
            </w:tcBorders>
            <w:vAlign w:val="center"/>
          </w:tcPr>
          <w:p w14:paraId="15594BE2">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C7E8D15">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170F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075"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5538545B">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22" w:type="dxa"/>
            <w:tcBorders>
              <w:top w:val="single" w:color="auto" w:sz="4" w:space="0"/>
              <w:left w:val="single" w:color="auto" w:sz="4" w:space="0"/>
              <w:bottom w:val="single" w:color="auto" w:sz="4" w:space="0"/>
              <w:right w:val="single" w:color="auto" w:sz="4" w:space="0"/>
            </w:tcBorders>
            <w:vAlign w:val="center"/>
          </w:tcPr>
          <w:p w14:paraId="34D5D024">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998" w:type="dxa"/>
            <w:tcBorders>
              <w:top w:val="single" w:color="auto" w:sz="4" w:space="0"/>
              <w:left w:val="single" w:color="auto" w:sz="4" w:space="0"/>
              <w:bottom w:val="single" w:color="auto" w:sz="4" w:space="0"/>
              <w:right w:val="single" w:color="auto" w:sz="4" w:space="0"/>
            </w:tcBorders>
            <w:vAlign w:val="center"/>
          </w:tcPr>
          <w:p w14:paraId="0E443530">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3881" w:type="dxa"/>
            <w:tcBorders>
              <w:top w:val="single" w:color="auto" w:sz="4" w:space="0"/>
              <w:left w:val="single" w:color="auto" w:sz="4" w:space="0"/>
              <w:bottom w:val="single" w:color="auto" w:sz="4" w:space="0"/>
              <w:right w:val="single" w:color="auto" w:sz="4" w:space="0"/>
            </w:tcBorders>
            <w:vAlign w:val="center"/>
          </w:tcPr>
          <w:p w14:paraId="3795C621">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376" w:type="dxa"/>
            <w:tcBorders>
              <w:top w:val="single" w:color="auto" w:sz="4" w:space="0"/>
              <w:left w:val="single" w:color="auto" w:sz="4" w:space="0"/>
              <w:bottom w:val="single" w:color="auto" w:sz="4" w:space="0"/>
              <w:right w:val="single" w:color="auto" w:sz="4" w:space="0"/>
            </w:tcBorders>
            <w:vAlign w:val="center"/>
          </w:tcPr>
          <w:p w14:paraId="3D614AEA">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77BA69F9">
      <w:pPr>
        <w:spacing w:line="360" w:lineRule="auto"/>
        <w:ind w:firstLine="562" w:firstLineChars="200"/>
        <w:rPr>
          <w:rFonts w:ascii="Times New Roman" w:hAnsi="Times New Roman" w:eastAsia="宋体" w:cs="Times New Roman"/>
          <w:b/>
          <w:sz w:val="28"/>
          <w:szCs w:val="28"/>
        </w:rPr>
      </w:pPr>
    </w:p>
    <w:p w14:paraId="5EBF6E9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5BACF783">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21D48C0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716CBAE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11DC55F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2BC63730">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4446B903">
      <w:pPr>
        <w:spacing w:line="300" w:lineRule="auto"/>
        <w:ind w:firstLine="480" w:firstLineChars="200"/>
        <w:rPr>
          <w:rFonts w:ascii="Times New Roman" w:hAnsi="Times New Roman" w:eastAsia="宋体" w:cs="Times New Roman"/>
          <w:kern w:val="10"/>
          <w:sz w:val="24"/>
          <w:szCs w:val="24"/>
        </w:rPr>
      </w:pPr>
      <w:r>
        <w:rPr>
          <w:rFonts w:ascii="Times New Roman" w:hAnsi="Times New Roman" w:eastAsia="宋体" w:cs="Times New Roman"/>
          <w:sz w:val="24"/>
          <w:szCs w:val="24"/>
        </w:rPr>
        <w:t>1．朱家生 数学史（第2版）北京：高等教育出版社，2011.</w:t>
      </w:r>
    </w:p>
    <w:p w14:paraId="759B747B">
      <w:pPr>
        <w:spacing w:line="30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李文林 数学史概论      北京：高等教育出版社，2000.</w:t>
      </w:r>
    </w:p>
    <w:p w14:paraId="462C440D">
      <w:pPr>
        <w:spacing w:line="300" w:lineRule="auto"/>
        <w:ind w:firstLine="480" w:firstLineChars="200"/>
        <w:rPr>
          <w:rFonts w:ascii="Times New Roman" w:hAnsi="Times New Roman" w:eastAsia="宋体" w:cs="Times New Roman"/>
          <w:sz w:val="24"/>
          <w:szCs w:val="24"/>
        </w:rPr>
      </w:pPr>
    </w:p>
    <w:p w14:paraId="4A9A6C05">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执笔人：王志芳</w:t>
      </w:r>
    </w:p>
    <w:p w14:paraId="036C9170">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683398F8">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审批人：王献东</w:t>
      </w:r>
    </w:p>
    <w:p w14:paraId="54DB82FE">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批准时间：202</w:t>
      </w:r>
      <w:r>
        <w:rPr>
          <w:rFonts w:hint="eastAsia" w:ascii="Times New Roman" w:hAnsi="Times New Roman" w:eastAsia="宋体" w:cs="Times New Roman"/>
          <w:kern w:val="0"/>
          <w:sz w:val="24"/>
          <w:szCs w:val="21"/>
          <w:lang w:val="en-US" w:eastAsia="zh-CN"/>
        </w:rPr>
        <w:t>2</w:t>
      </w:r>
      <w:r>
        <w:rPr>
          <w:rFonts w:ascii="Times New Roman" w:hAnsi="Times New Roman" w:eastAsia="宋体" w:cs="Times New Roman"/>
          <w:kern w:val="0"/>
          <w:sz w:val="24"/>
          <w:szCs w:val="21"/>
        </w:rPr>
        <w:t>.</w:t>
      </w:r>
      <w:r>
        <w:rPr>
          <w:rFonts w:hint="eastAsia" w:ascii="Times New Roman" w:hAnsi="Times New Roman" w:eastAsia="宋体" w:cs="Times New Roman"/>
          <w:kern w:val="0"/>
          <w:sz w:val="24"/>
          <w:szCs w:val="21"/>
        </w:rPr>
        <w:t>8</w:t>
      </w:r>
    </w:p>
    <w:p w14:paraId="54F2CA48">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0F4F2654">
      <w:pPr>
        <w:spacing w:line="312" w:lineRule="auto"/>
        <w:jc w:val="center"/>
        <w:outlineLvl w:val="0"/>
        <w:rPr>
          <w:rFonts w:ascii="Times New Roman" w:hAnsi="Times New Roman" w:eastAsia="宋体" w:cs="Times New Roman"/>
          <w:b/>
          <w:bCs/>
          <w:sz w:val="30"/>
          <w:szCs w:val="24"/>
        </w:rPr>
      </w:pPr>
      <w:bookmarkStart w:id="249" w:name="_Toc166165221"/>
      <w:r>
        <w:rPr>
          <w:rFonts w:ascii="Times New Roman" w:hAnsi="Times New Roman" w:eastAsia="宋体" w:cs="Times New Roman"/>
          <w:b/>
          <w:bCs/>
          <w:sz w:val="30"/>
          <w:szCs w:val="24"/>
        </w:rPr>
        <w:t>计算方法课程教学大纲</w:t>
      </w:r>
      <w:bookmarkEnd w:id="249"/>
    </w:p>
    <w:p w14:paraId="267550F2">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（Calculation Method）</w:t>
      </w:r>
    </w:p>
    <w:p w14:paraId="2AF5798A">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414BB74E">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0821018</w:t>
      </w:r>
    </w:p>
    <w:p w14:paraId="462FC4C1">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3</w:t>
      </w:r>
    </w:p>
    <w:p w14:paraId="67C378E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48（其中：讲授学时32  ， 实验学时16  ，上机学时0）</w:t>
      </w:r>
    </w:p>
    <w:p w14:paraId="22E6E94F">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数学分析，高等代数等</w:t>
      </w:r>
    </w:p>
    <w:p w14:paraId="4952678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440B02CD">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w:t>
      </w:r>
      <w:r>
        <w:rPr>
          <w:rFonts w:ascii="Times New Roman" w:hAnsi="Times New Roman" w:eastAsia="宋体" w:cs="Times New Roman"/>
          <w:sz w:val="24"/>
          <w:szCs w:val="24"/>
        </w:rPr>
        <w:t>计算方法</w:t>
      </w:r>
      <w:r>
        <w:rPr>
          <w:rFonts w:ascii="Times New Roman" w:hAnsi="Times New Roman" w:eastAsia="宋体" w:cs="Times New Roman"/>
          <w:kern w:val="0"/>
          <w:sz w:val="24"/>
          <w:szCs w:val="24"/>
        </w:rPr>
        <w:t>》，易大义，浙江大学出版社， 2017.5</w:t>
      </w:r>
    </w:p>
    <w:p w14:paraId="12619860">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709BC822">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计算方法的基本知识、必要的基础理论；提高学生的数学视野、数学思维能力、逻辑推理能力；提高学生的数学素养，为学生学习后续相关课程及终身学习奠定必要的数学基础。</w:t>
      </w:r>
    </w:p>
    <w:p w14:paraId="798CB2C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173502F4">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6A7ECA85">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52C2B65B">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3BF118A9">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2FCB96E9">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6903810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2926AB46">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42348D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7050319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586D049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440FDD1A">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E4A869A">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78E0AC5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64B88FDE">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2C923D5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27E4DD1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29E11FB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4432CB2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38F0EC6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1335F5DF">
            <w:pPr>
              <w:widowControl/>
              <w:jc w:val="center"/>
              <w:rPr>
                <w:rFonts w:ascii="Times New Roman" w:hAnsi="Times New Roman" w:eastAsia="宋体" w:cs="Times New Roman"/>
                <w:kern w:val="0"/>
                <w:szCs w:val="21"/>
              </w:rPr>
            </w:pPr>
          </w:p>
        </w:tc>
      </w:tr>
      <w:tr w14:paraId="2A9520C4">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03E41DE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2281CAE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9991664">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F27B86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14E667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7FA70D4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13EE8735">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326AF78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CC45EC2">
            <w:pPr>
              <w:widowControl/>
              <w:jc w:val="center"/>
              <w:rPr>
                <w:rFonts w:ascii="Times New Roman" w:hAnsi="Times New Roman" w:eastAsia="宋体" w:cs="Times New Roman"/>
                <w:kern w:val="0"/>
                <w:szCs w:val="21"/>
              </w:rPr>
            </w:pPr>
          </w:p>
        </w:tc>
      </w:tr>
      <w:tr w14:paraId="735EEA54">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663F52C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043AE76D">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74865A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27E41E0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2E5069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37C314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7DFE849">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2421637">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68020E4">
            <w:pPr>
              <w:widowControl/>
              <w:jc w:val="center"/>
              <w:rPr>
                <w:rFonts w:ascii="Times New Roman" w:hAnsi="Times New Roman" w:eastAsia="宋体" w:cs="Times New Roman"/>
                <w:kern w:val="0"/>
                <w:szCs w:val="21"/>
              </w:rPr>
            </w:pPr>
          </w:p>
        </w:tc>
      </w:tr>
      <w:tr w14:paraId="0242C582">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705A223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194E0F1E">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FAB05E2">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C20211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3E3C7CA">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405CF339">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72FD4F5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6062F9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074F7C4">
            <w:pPr>
              <w:widowControl/>
              <w:jc w:val="center"/>
              <w:rPr>
                <w:rFonts w:ascii="Times New Roman" w:hAnsi="Times New Roman" w:eastAsia="宋体" w:cs="Times New Roman"/>
                <w:kern w:val="0"/>
                <w:szCs w:val="21"/>
              </w:rPr>
            </w:pPr>
          </w:p>
        </w:tc>
      </w:tr>
    </w:tbl>
    <w:p w14:paraId="44B44578">
      <w:pPr>
        <w:spacing w:line="360" w:lineRule="auto"/>
        <w:ind w:firstLine="562" w:firstLineChars="200"/>
        <w:rPr>
          <w:rFonts w:ascii="Times New Roman" w:hAnsi="Times New Roman" w:eastAsia="宋体" w:cs="Times New Roman"/>
          <w:b/>
          <w:sz w:val="28"/>
          <w:szCs w:val="28"/>
        </w:rPr>
      </w:pPr>
    </w:p>
    <w:p w14:paraId="4B466E67">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12897B8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（一）数值计算的基本概念</w:t>
      </w:r>
    </w:p>
    <w:p w14:paraId="0B334F0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0E8876DB">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w:t>
      </w:r>
      <w:r>
        <w:rPr>
          <w:rFonts w:ascii="Times New Roman" w:hAnsi="Times New Roman" w:eastAsia="宋体" w:cs="Times New Roman"/>
          <w:sz w:val="24"/>
          <w:szCs w:val="21"/>
        </w:rPr>
        <w:t>了解</w:t>
      </w:r>
      <w:r>
        <w:rPr>
          <w:rFonts w:ascii="Times New Roman" w:hAnsi="Times New Roman" w:eastAsia="宋体" w:cs="Times New Roman"/>
          <w:sz w:val="24"/>
          <w:szCs w:val="24"/>
        </w:rPr>
        <w:t>数值计算的研究对象和内容</w:t>
      </w:r>
    </w:p>
    <w:p w14:paraId="73268DCD">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数值算法的基本概念</w:t>
      </w:r>
    </w:p>
    <w:p w14:paraId="329985F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w:t>
      </w:r>
      <w:r>
        <w:rPr>
          <w:rFonts w:ascii="Times New Roman" w:hAnsi="Times New Roman" w:eastAsia="宋体" w:cs="Times New Roman"/>
          <w:sz w:val="24"/>
          <w:szCs w:val="21"/>
        </w:rPr>
        <w:t>了解</w:t>
      </w:r>
      <w:r>
        <w:rPr>
          <w:rFonts w:ascii="Times New Roman" w:hAnsi="Times New Roman" w:eastAsia="宋体" w:cs="Times New Roman"/>
          <w:sz w:val="24"/>
          <w:szCs w:val="24"/>
        </w:rPr>
        <w:t>误差的基本理论</w:t>
      </w:r>
    </w:p>
    <w:p w14:paraId="10D2DF2E">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（4）能够</w:t>
      </w:r>
      <w:r>
        <w:rPr>
          <w:rFonts w:ascii="Times New Roman" w:hAnsi="Times New Roman" w:eastAsia="宋体" w:cs="Times New Roman"/>
          <w:sz w:val="24"/>
          <w:szCs w:val="21"/>
        </w:rPr>
        <w:t>了解</w:t>
      </w:r>
      <w:r>
        <w:rPr>
          <w:rFonts w:ascii="Times New Roman" w:hAnsi="Times New Roman" w:eastAsia="宋体" w:cs="Times New Roman"/>
          <w:sz w:val="24"/>
          <w:szCs w:val="24"/>
        </w:rPr>
        <w:t>数值算法设计的若干原则</w:t>
      </w:r>
    </w:p>
    <w:p w14:paraId="6B2560A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428D69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误差的计算</w:t>
      </w:r>
      <w:r>
        <w:rPr>
          <w:rFonts w:ascii="Times New Roman" w:hAnsi="Times New Roman" w:eastAsia="宋体" w:cs="Times New Roman"/>
          <w:sz w:val="24"/>
          <w:szCs w:val="21"/>
        </w:rPr>
        <w:t>。</w:t>
      </w:r>
    </w:p>
    <w:p w14:paraId="1D97193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04CB017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5E2CA4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665418E">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（二）非线性方程的迭代法</w:t>
      </w:r>
    </w:p>
    <w:p w14:paraId="6C0B586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3D7BCAF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二分法</w:t>
      </w:r>
    </w:p>
    <w:p w14:paraId="4A42A20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Picard迭代法</w:t>
      </w:r>
    </w:p>
    <w:p w14:paraId="66AF40C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牛顿型迭代法</w:t>
      </w:r>
    </w:p>
    <w:p w14:paraId="24AADB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0AFF0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Picard迭代法、牛顿型迭代法及其实现</w:t>
      </w:r>
      <w:r>
        <w:rPr>
          <w:rFonts w:ascii="Times New Roman" w:hAnsi="Times New Roman" w:eastAsia="宋体" w:cs="Times New Roman"/>
          <w:sz w:val="24"/>
          <w:szCs w:val="21"/>
        </w:rPr>
        <w:t>。</w:t>
      </w:r>
    </w:p>
    <w:p w14:paraId="5802D53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5B0F9FD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BE02CF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4DA927E">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（三）线性方程组直接法</w:t>
      </w:r>
    </w:p>
    <w:p w14:paraId="5739B16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FA2BBF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顺序Gauss消元法</w:t>
      </w:r>
    </w:p>
    <w:p w14:paraId="27E6154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列主元Gauss消元法</w:t>
      </w:r>
    </w:p>
    <w:p w14:paraId="48A8401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追赶法</w:t>
      </w:r>
    </w:p>
    <w:p w14:paraId="39B3663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LU分解法</w:t>
      </w:r>
    </w:p>
    <w:p w14:paraId="293031F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Cholesky分解法</w:t>
      </w:r>
    </w:p>
    <w:p w14:paraId="092C665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0FD8D3A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消去法和分解法理论基础，LU分解法和Cholesky分解法</w:t>
      </w:r>
      <w:r>
        <w:rPr>
          <w:rFonts w:ascii="Times New Roman" w:hAnsi="Times New Roman" w:eastAsia="宋体" w:cs="Times New Roman"/>
          <w:color w:val="000000"/>
          <w:sz w:val="24"/>
          <w:szCs w:val="24"/>
        </w:rPr>
        <w:t>。</w:t>
      </w:r>
    </w:p>
    <w:p w14:paraId="5183AC3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9B8756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F743AC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EF6691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（四）线性方程组的迭代方法</w:t>
      </w:r>
    </w:p>
    <w:p w14:paraId="63DC7C1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73CA3E6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迭代法的一般理论</w:t>
      </w:r>
    </w:p>
    <w:p w14:paraId="2FCA5CF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雅可比迭代法</w:t>
      </w:r>
    </w:p>
    <w:p w14:paraId="3133A40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高斯—赛德尔迭代法</w:t>
      </w:r>
    </w:p>
    <w:p w14:paraId="79311BA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逐次超松弛迭代法</w:t>
      </w:r>
    </w:p>
    <w:p w14:paraId="06419E9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7DFBDE5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雅可比迭代法、高斯-赛德尔迭代法、逐次超松弛迭代法</w:t>
      </w:r>
      <w:r>
        <w:rPr>
          <w:rFonts w:ascii="Times New Roman" w:hAnsi="Times New Roman" w:eastAsia="宋体" w:cs="Times New Roman"/>
          <w:color w:val="000000"/>
          <w:sz w:val="24"/>
          <w:szCs w:val="24"/>
        </w:rPr>
        <w:t>。</w:t>
      </w:r>
    </w:p>
    <w:p w14:paraId="0AD8AC7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16E64F7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1217DD9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047FFAA">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（五）插值和最小二乘逼近</w:t>
      </w:r>
    </w:p>
    <w:p w14:paraId="23D06AD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6C80921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多项式插值</w:t>
      </w:r>
    </w:p>
    <w:p w14:paraId="57BF627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牛顿插值法</w:t>
      </w:r>
    </w:p>
    <w:p w14:paraId="2899BF0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样条插值法</w:t>
      </w:r>
    </w:p>
    <w:p w14:paraId="578F5B4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最小二乘拟合</w:t>
      </w:r>
    </w:p>
    <w:p w14:paraId="0476A48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163484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多项式插值和最小二乘拟合</w:t>
      </w:r>
      <w:r>
        <w:rPr>
          <w:rFonts w:ascii="Times New Roman" w:hAnsi="Times New Roman" w:eastAsia="宋体" w:cs="Times New Roman"/>
          <w:color w:val="000000"/>
          <w:sz w:val="24"/>
          <w:szCs w:val="24"/>
        </w:rPr>
        <w:t>。</w:t>
      </w:r>
    </w:p>
    <w:p w14:paraId="51B8531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F04376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912284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5F291716">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（六）数值积分</w:t>
      </w:r>
    </w:p>
    <w:p w14:paraId="01E6B26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B031C7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插值型求积公式</w:t>
      </w:r>
    </w:p>
    <w:p w14:paraId="6DC2041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复化求积公式</w:t>
      </w:r>
    </w:p>
    <w:p w14:paraId="4334527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龙贝格求积公式</w:t>
      </w:r>
    </w:p>
    <w:p w14:paraId="4AF16AD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Gauss求积公式</w:t>
      </w:r>
    </w:p>
    <w:p w14:paraId="1966194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1453F35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插值型求积公式、复化求积公式、Gauss求积公式</w:t>
      </w:r>
      <w:r>
        <w:rPr>
          <w:rFonts w:ascii="Times New Roman" w:hAnsi="Times New Roman" w:eastAsia="宋体" w:cs="Times New Roman"/>
          <w:color w:val="000000"/>
          <w:sz w:val="24"/>
          <w:szCs w:val="24"/>
        </w:rPr>
        <w:t>。</w:t>
      </w:r>
    </w:p>
    <w:p w14:paraId="47840AB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1A8AA44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65C5E59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440C7A9">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（七）常微分方程的数值解法</w:t>
      </w:r>
    </w:p>
    <w:p w14:paraId="1DF2AE5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3D2104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欧拉法</w:t>
      </w:r>
    </w:p>
    <w:p w14:paraId="3EB31D5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sz w:val="24"/>
          <w:szCs w:val="24"/>
        </w:rPr>
        <w:t>龙格—库塔法</w:t>
      </w:r>
    </w:p>
    <w:p w14:paraId="7B7898C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Adams格式</w:t>
      </w:r>
    </w:p>
    <w:p w14:paraId="7358615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414C889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欧拉法、龙格—库塔法基本理论及其实现</w:t>
      </w:r>
      <w:r>
        <w:rPr>
          <w:rFonts w:ascii="Times New Roman" w:hAnsi="Times New Roman" w:eastAsia="宋体" w:cs="Times New Roman"/>
          <w:color w:val="000000"/>
          <w:sz w:val="24"/>
          <w:szCs w:val="24"/>
        </w:rPr>
        <w:t>。</w:t>
      </w:r>
    </w:p>
    <w:p w14:paraId="141C27C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008D2C9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1FAF28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E9CCB4B">
      <w:pPr>
        <w:spacing w:line="360" w:lineRule="auto"/>
        <w:ind w:firstLine="480" w:firstLineChars="200"/>
        <w:rPr>
          <w:rFonts w:ascii="Times New Roman" w:hAnsi="Times New Roman" w:eastAsia="宋体" w:cs="Times New Roman"/>
          <w:color w:val="000000"/>
          <w:sz w:val="24"/>
          <w:szCs w:val="24"/>
        </w:rPr>
      </w:pPr>
    </w:p>
    <w:p w14:paraId="476D0CE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2229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D6ED19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4135897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36E8786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23F60A8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548508F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7A6BEF9D">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6A6D40C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1565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9D5C93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tcPr>
          <w:p w14:paraId="20C3BD02">
            <w:pPr>
              <w:spacing w:line="400" w:lineRule="exact"/>
              <w:rPr>
                <w:rFonts w:ascii="Times New Roman" w:hAnsi="Times New Roman" w:eastAsia="宋体" w:cs="Times New Roman"/>
                <w:szCs w:val="21"/>
              </w:rPr>
            </w:pPr>
            <w:r>
              <w:rPr>
                <w:rFonts w:ascii="Times New Roman" w:hAnsi="Times New Roman" w:eastAsia="宋体" w:cs="Times New Roman"/>
                <w:szCs w:val="21"/>
              </w:rPr>
              <w:t>数值计算的基本概念</w:t>
            </w:r>
          </w:p>
        </w:tc>
        <w:tc>
          <w:tcPr>
            <w:tcW w:w="1701" w:type="dxa"/>
            <w:vAlign w:val="center"/>
          </w:tcPr>
          <w:p w14:paraId="1FDFD46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1B60114F">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vAlign w:val="center"/>
          </w:tcPr>
          <w:p w14:paraId="4534AF59">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w:t>
            </w:r>
          </w:p>
        </w:tc>
        <w:tc>
          <w:tcPr>
            <w:tcW w:w="735" w:type="dxa"/>
            <w:vAlign w:val="center"/>
          </w:tcPr>
          <w:p w14:paraId="756F14F2">
            <w:pPr>
              <w:jc w:val="center"/>
              <w:rPr>
                <w:rFonts w:ascii="Times New Roman" w:hAnsi="Times New Roman" w:eastAsia="宋体" w:cs="Times New Roman"/>
                <w:szCs w:val="21"/>
              </w:rPr>
            </w:pPr>
          </w:p>
        </w:tc>
      </w:tr>
      <w:tr w14:paraId="386C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B4FD8E7">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tcPr>
          <w:p w14:paraId="40309E72">
            <w:pPr>
              <w:spacing w:line="400" w:lineRule="exact"/>
              <w:rPr>
                <w:rFonts w:ascii="Times New Roman" w:hAnsi="Times New Roman" w:eastAsia="宋体" w:cs="Times New Roman"/>
                <w:szCs w:val="21"/>
              </w:rPr>
            </w:pPr>
            <w:r>
              <w:rPr>
                <w:rFonts w:ascii="Times New Roman" w:hAnsi="Times New Roman" w:eastAsia="宋体" w:cs="Times New Roman"/>
                <w:szCs w:val="21"/>
              </w:rPr>
              <w:t>非线性方程的迭代法</w:t>
            </w:r>
          </w:p>
        </w:tc>
        <w:tc>
          <w:tcPr>
            <w:tcW w:w="1701" w:type="dxa"/>
            <w:vAlign w:val="center"/>
          </w:tcPr>
          <w:p w14:paraId="02F1E05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29375537">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1399D73F">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246E477F">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1505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80A9B38">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tcPr>
          <w:p w14:paraId="5823E293">
            <w:pPr>
              <w:spacing w:line="400" w:lineRule="exact"/>
              <w:rPr>
                <w:rFonts w:ascii="Times New Roman" w:hAnsi="Times New Roman" w:eastAsia="宋体" w:cs="Times New Roman"/>
                <w:szCs w:val="21"/>
              </w:rPr>
            </w:pPr>
            <w:r>
              <w:rPr>
                <w:rFonts w:ascii="Times New Roman" w:hAnsi="Times New Roman" w:eastAsia="宋体" w:cs="Times New Roman"/>
                <w:szCs w:val="21"/>
              </w:rPr>
              <w:t>线性方程组直接法</w:t>
            </w:r>
          </w:p>
        </w:tc>
        <w:tc>
          <w:tcPr>
            <w:tcW w:w="1701" w:type="dxa"/>
            <w:vAlign w:val="center"/>
          </w:tcPr>
          <w:p w14:paraId="14E23A8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3EC6609B">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460C4FD1">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w:t>
            </w:r>
          </w:p>
        </w:tc>
        <w:tc>
          <w:tcPr>
            <w:tcW w:w="735" w:type="dxa"/>
            <w:vAlign w:val="center"/>
          </w:tcPr>
          <w:p w14:paraId="1FDC0F28">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7C23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285B55B">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tcPr>
          <w:p w14:paraId="13D3CAD8">
            <w:pPr>
              <w:spacing w:line="400" w:lineRule="exact"/>
              <w:rPr>
                <w:rFonts w:ascii="Times New Roman" w:hAnsi="Times New Roman" w:eastAsia="宋体" w:cs="Times New Roman"/>
                <w:szCs w:val="21"/>
              </w:rPr>
            </w:pPr>
            <w:r>
              <w:rPr>
                <w:rFonts w:ascii="Times New Roman" w:hAnsi="Times New Roman" w:eastAsia="宋体" w:cs="Times New Roman"/>
                <w:szCs w:val="21"/>
              </w:rPr>
              <w:t>线性方程组的迭代方法</w:t>
            </w:r>
          </w:p>
        </w:tc>
        <w:tc>
          <w:tcPr>
            <w:tcW w:w="1701" w:type="dxa"/>
            <w:vAlign w:val="center"/>
          </w:tcPr>
          <w:p w14:paraId="60083A5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5057AD8C">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07BB93C">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735" w:type="dxa"/>
            <w:vAlign w:val="center"/>
          </w:tcPr>
          <w:p w14:paraId="0C5B8165">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1107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7A10D99">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tcPr>
          <w:p w14:paraId="16FA4D38">
            <w:pPr>
              <w:spacing w:line="400" w:lineRule="exact"/>
              <w:rPr>
                <w:rFonts w:ascii="Times New Roman" w:hAnsi="Times New Roman" w:eastAsia="宋体" w:cs="Times New Roman"/>
                <w:szCs w:val="21"/>
              </w:rPr>
            </w:pPr>
            <w:r>
              <w:rPr>
                <w:rFonts w:ascii="Times New Roman" w:hAnsi="Times New Roman" w:eastAsia="宋体" w:cs="Times New Roman"/>
                <w:szCs w:val="21"/>
              </w:rPr>
              <w:t>插值和最小二乘逼近</w:t>
            </w:r>
          </w:p>
        </w:tc>
        <w:tc>
          <w:tcPr>
            <w:tcW w:w="1701" w:type="dxa"/>
            <w:vAlign w:val="center"/>
          </w:tcPr>
          <w:p w14:paraId="6402D4D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05572733">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93AD2C5">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7</w:t>
            </w:r>
          </w:p>
        </w:tc>
        <w:tc>
          <w:tcPr>
            <w:tcW w:w="735" w:type="dxa"/>
            <w:vAlign w:val="center"/>
          </w:tcPr>
          <w:p w14:paraId="03ABBA5F">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0B93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CD188D7">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476" w:type="dxa"/>
          </w:tcPr>
          <w:p w14:paraId="3E06B78D">
            <w:pPr>
              <w:spacing w:line="400" w:lineRule="exact"/>
              <w:rPr>
                <w:rFonts w:ascii="Times New Roman" w:hAnsi="Times New Roman" w:eastAsia="宋体" w:cs="Times New Roman"/>
                <w:szCs w:val="21"/>
              </w:rPr>
            </w:pPr>
            <w:r>
              <w:rPr>
                <w:rFonts w:ascii="Times New Roman" w:hAnsi="Times New Roman" w:eastAsia="宋体" w:cs="Times New Roman"/>
                <w:szCs w:val="21"/>
              </w:rPr>
              <w:t>数值积分和数值微分</w:t>
            </w:r>
          </w:p>
        </w:tc>
        <w:tc>
          <w:tcPr>
            <w:tcW w:w="1701" w:type="dxa"/>
            <w:vAlign w:val="center"/>
          </w:tcPr>
          <w:p w14:paraId="56684FD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24361B7D">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5AF96B38">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7</w:t>
            </w:r>
          </w:p>
        </w:tc>
        <w:tc>
          <w:tcPr>
            <w:tcW w:w="735" w:type="dxa"/>
            <w:vAlign w:val="center"/>
          </w:tcPr>
          <w:p w14:paraId="3B94C3CF">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29CC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8F27891">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3476" w:type="dxa"/>
          </w:tcPr>
          <w:p w14:paraId="0A770965">
            <w:pPr>
              <w:spacing w:line="400" w:lineRule="exact"/>
              <w:rPr>
                <w:rFonts w:ascii="Times New Roman" w:hAnsi="Times New Roman" w:eastAsia="宋体" w:cs="Times New Roman"/>
                <w:szCs w:val="21"/>
              </w:rPr>
            </w:pPr>
            <w:r>
              <w:rPr>
                <w:rFonts w:ascii="Times New Roman" w:hAnsi="Times New Roman" w:eastAsia="宋体" w:cs="Times New Roman"/>
                <w:szCs w:val="21"/>
              </w:rPr>
              <w:t>常微分方程的数值解法</w:t>
            </w:r>
          </w:p>
        </w:tc>
        <w:tc>
          <w:tcPr>
            <w:tcW w:w="1701" w:type="dxa"/>
            <w:vAlign w:val="center"/>
          </w:tcPr>
          <w:p w14:paraId="7AE5C7E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16FAE605">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vAlign w:val="center"/>
          </w:tcPr>
          <w:p w14:paraId="61E9F684">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3</w:t>
            </w:r>
          </w:p>
        </w:tc>
        <w:tc>
          <w:tcPr>
            <w:tcW w:w="735" w:type="dxa"/>
            <w:vAlign w:val="center"/>
          </w:tcPr>
          <w:p w14:paraId="617A086F">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4921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7AC04331">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19A8FAAA">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735" w:type="dxa"/>
            <w:vAlign w:val="center"/>
          </w:tcPr>
          <w:p w14:paraId="4EFF075C">
            <w:pPr>
              <w:jc w:val="center"/>
              <w:rPr>
                <w:rFonts w:ascii="Times New Roman" w:hAnsi="Times New Roman" w:eastAsia="宋体" w:cs="Times New Roman"/>
                <w:szCs w:val="21"/>
              </w:rPr>
            </w:pPr>
            <w:r>
              <w:rPr>
                <w:rFonts w:ascii="Times New Roman" w:hAnsi="Times New Roman" w:eastAsia="宋体" w:cs="Times New Roman"/>
                <w:szCs w:val="21"/>
              </w:rPr>
              <w:t>16</w:t>
            </w:r>
          </w:p>
        </w:tc>
      </w:tr>
    </w:tbl>
    <w:p w14:paraId="105E2737">
      <w:pPr>
        <w:spacing w:line="360" w:lineRule="auto"/>
        <w:ind w:firstLine="281" w:firstLineChars="100"/>
        <w:rPr>
          <w:rFonts w:ascii="Times New Roman" w:hAnsi="Times New Roman" w:eastAsia="宋体" w:cs="Times New Roman"/>
          <w:b/>
          <w:sz w:val="28"/>
          <w:szCs w:val="28"/>
        </w:rPr>
      </w:pPr>
      <w:r>
        <w:rPr>
          <w:rFonts w:ascii="Times New Roman" w:hAnsi="Times New Roman" w:eastAsia="宋体" w:cs="Times New Roman"/>
          <w:b/>
          <w:sz w:val="28"/>
          <w:szCs w:val="28"/>
        </w:rPr>
        <w:t>四、课内实验（实践）</w:t>
      </w:r>
    </w:p>
    <w:tbl>
      <w:tblPr>
        <w:tblStyle w:val="30"/>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792"/>
        <w:gridCol w:w="3585"/>
        <w:gridCol w:w="738"/>
        <w:gridCol w:w="1160"/>
        <w:gridCol w:w="844"/>
        <w:gridCol w:w="633"/>
      </w:tblGrid>
      <w:tr w14:paraId="4094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39" w:type="dxa"/>
            <w:shd w:val="clear" w:color="auto" w:fill="FFFFFF"/>
            <w:vAlign w:val="center"/>
          </w:tcPr>
          <w:p w14:paraId="24C9E972">
            <w:pPr>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序号</w:t>
            </w:r>
          </w:p>
        </w:tc>
        <w:tc>
          <w:tcPr>
            <w:tcW w:w="1792" w:type="dxa"/>
            <w:shd w:val="clear" w:color="auto" w:fill="FFFFFF"/>
            <w:vAlign w:val="center"/>
          </w:tcPr>
          <w:p w14:paraId="3EA5B049">
            <w:pPr>
              <w:jc w:val="center"/>
              <w:rPr>
                <w:rFonts w:ascii="Times New Roman" w:hAnsi="Times New Roman" w:eastAsia="宋体" w:cs="Times New Roman"/>
                <w:bCs/>
                <w:szCs w:val="21"/>
              </w:rPr>
            </w:pPr>
            <w:r>
              <w:rPr>
                <w:rFonts w:ascii="Times New Roman" w:hAnsi="Times New Roman" w:eastAsia="宋体" w:cs="Times New Roman"/>
                <w:bCs/>
                <w:szCs w:val="21"/>
              </w:rPr>
              <w:t>实验项目名称</w:t>
            </w:r>
          </w:p>
        </w:tc>
        <w:tc>
          <w:tcPr>
            <w:tcW w:w="3585" w:type="dxa"/>
            <w:shd w:val="clear" w:color="auto" w:fill="FFFFFF"/>
            <w:vAlign w:val="center"/>
          </w:tcPr>
          <w:p w14:paraId="28C5D7DA">
            <w:pPr>
              <w:jc w:val="center"/>
              <w:rPr>
                <w:rFonts w:ascii="Times New Roman" w:hAnsi="Times New Roman" w:eastAsia="宋体" w:cs="Times New Roman"/>
                <w:bCs/>
                <w:szCs w:val="21"/>
              </w:rPr>
            </w:pPr>
            <w:r>
              <w:rPr>
                <w:rFonts w:ascii="Times New Roman" w:hAnsi="Times New Roman" w:eastAsia="宋体" w:cs="Times New Roman"/>
                <w:bCs/>
                <w:szCs w:val="21"/>
              </w:rPr>
              <w:t>实验内容及要求</w:t>
            </w:r>
          </w:p>
        </w:tc>
        <w:tc>
          <w:tcPr>
            <w:tcW w:w="738" w:type="dxa"/>
            <w:shd w:val="clear" w:color="auto" w:fill="FFFFFF"/>
            <w:vAlign w:val="center"/>
          </w:tcPr>
          <w:p w14:paraId="4FF9D08A">
            <w:pPr>
              <w:jc w:val="center"/>
              <w:rPr>
                <w:rFonts w:ascii="Times New Roman" w:hAnsi="Times New Roman" w:eastAsia="宋体" w:cs="Times New Roman"/>
                <w:bCs/>
                <w:szCs w:val="21"/>
              </w:rPr>
            </w:pPr>
            <w:r>
              <w:rPr>
                <w:rFonts w:ascii="Times New Roman" w:hAnsi="Times New Roman" w:eastAsia="宋体" w:cs="Times New Roman"/>
                <w:bCs/>
                <w:szCs w:val="21"/>
              </w:rPr>
              <w:t>学时</w:t>
            </w:r>
          </w:p>
        </w:tc>
        <w:tc>
          <w:tcPr>
            <w:tcW w:w="1160" w:type="dxa"/>
            <w:shd w:val="clear" w:color="auto" w:fill="FFFFFF"/>
            <w:vAlign w:val="center"/>
          </w:tcPr>
          <w:p w14:paraId="26566C73">
            <w:pPr>
              <w:jc w:val="center"/>
              <w:rPr>
                <w:rFonts w:ascii="Times New Roman" w:hAnsi="Times New Roman" w:eastAsia="宋体" w:cs="Times New Roman"/>
                <w:bCs/>
                <w:szCs w:val="21"/>
              </w:rPr>
            </w:pPr>
            <w:r>
              <w:rPr>
                <w:rFonts w:ascii="Times New Roman" w:hAnsi="Times New Roman" w:eastAsia="宋体" w:cs="Times New Roman"/>
                <w:bCs/>
                <w:szCs w:val="21"/>
              </w:rPr>
              <w:t>对毕业要求的支撑</w:t>
            </w:r>
          </w:p>
        </w:tc>
        <w:tc>
          <w:tcPr>
            <w:tcW w:w="844" w:type="dxa"/>
            <w:shd w:val="clear" w:color="auto" w:fill="FFFFFF"/>
            <w:tcMar>
              <w:left w:w="28" w:type="dxa"/>
              <w:right w:w="28" w:type="dxa"/>
            </w:tcMar>
            <w:vAlign w:val="center"/>
          </w:tcPr>
          <w:p w14:paraId="6DE046D1">
            <w:pPr>
              <w:jc w:val="center"/>
              <w:rPr>
                <w:rFonts w:ascii="Times New Roman" w:hAnsi="Times New Roman" w:eastAsia="宋体" w:cs="Times New Roman"/>
                <w:bCs/>
                <w:szCs w:val="21"/>
              </w:rPr>
            </w:pPr>
            <w:r>
              <w:rPr>
                <w:rFonts w:ascii="Times New Roman" w:hAnsi="Times New Roman" w:eastAsia="宋体" w:cs="Times New Roman"/>
                <w:bCs/>
                <w:szCs w:val="21"/>
              </w:rPr>
              <w:t>类型</w:t>
            </w:r>
          </w:p>
        </w:tc>
        <w:tc>
          <w:tcPr>
            <w:tcW w:w="633" w:type="dxa"/>
            <w:shd w:val="clear" w:color="auto" w:fill="FFFFFF"/>
            <w:tcMar>
              <w:left w:w="28" w:type="dxa"/>
              <w:right w:w="28" w:type="dxa"/>
            </w:tcMar>
            <w:vAlign w:val="center"/>
          </w:tcPr>
          <w:p w14:paraId="35CCAFC1">
            <w:pPr>
              <w:jc w:val="center"/>
              <w:rPr>
                <w:rFonts w:ascii="Times New Roman" w:hAnsi="Times New Roman" w:eastAsia="宋体" w:cs="Times New Roman"/>
                <w:bCs/>
                <w:szCs w:val="21"/>
              </w:rPr>
            </w:pPr>
            <w:r>
              <w:rPr>
                <w:rFonts w:ascii="Times New Roman" w:hAnsi="Times New Roman" w:eastAsia="宋体" w:cs="Times New Roman"/>
                <w:bCs/>
                <w:szCs w:val="21"/>
              </w:rPr>
              <w:t>备注</w:t>
            </w:r>
          </w:p>
        </w:tc>
      </w:tr>
      <w:tr w14:paraId="186E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639" w:type="dxa"/>
            <w:vAlign w:val="center"/>
          </w:tcPr>
          <w:p w14:paraId="10766670">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1792" w:type="dxa"/>
            <w:vAlign w:val="center"/>
          </w:tcPr>
          <w:p w14:paraId="14D35F8D">
            <w:pPr>
              <w:jc w:val="center"/>
              <w:rPr>
                <w:rFonts w:ascii="Times New Roman" w:hAnsi="Times New Roman" w:eastAsia="宋体" w:cs="Times New Roman"/>
                <w:bCs/>
                <w:szCs w:val="21"/>
              </w:rPr>
            </w:pPr>
            <w:r>
              <w:rPr>
                <w:rFonts w:ascii="Times New Roman" w:hAnsi="Times New Roman" w:eastAsia="宋体" w:cs="Times New Roman"/>
                <w:bCs/>
                <w:szCs w:val="21"/>
              </w:rPr>
              <w:t>Matlab数值实验</w:t>
            </w:r>
          </w:p>
        </w:tc>
        <w:tc>
          <w:tcPr>
            <w:tcW w:w="3585" w:type="dxa"/>
            <w:vAlign w:val="center"/>
          </w:tcPr>
          <w:p w14:paraId="53813709">
            <w:pPr>
              <w:jc w:val="center"/>
              <w:rPr>
                <w:rFonts w:ascii="Times New Roman" w:hAnsi="Times New Roman" w:eastAsia="宋体" w:cs="Times New Roman"/>
                <w:bCs/>
                <w:szCs w:val="21"/>
              </w:rPr>
            </w:pPr>
            <w:r>
              <w:rPr>
                <w:rFonts w:ascii="Times New Roman" w:hAnsi="Times New Roman" w:eastAsia="宋体" w:cs="Times New Roman"/>
                <w:bCs/>
                <w:szCs w:val="21"/>
              </w:rPr>
              <w:t>书第2章到第4章，数值方法Matlab编程实现</w:t>
            </w:r>
          </w:p>
        </w:tc>
        <w:tc>
          <w:tcPr>
            <w:tcW w:w="738" w:type="dxa"/>
            <w:vAlign w:val="center"/>
          </w:tcPr>
          <w:p w14:paraId="719CEA54">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160" w:type="dxa"/>
            <w:vAlign w:val="center"/>
          </w:tcPr>
          <w:p w14:paraId="3D1D58FD">
            <w:pPr>
              <w:jc w:val="center"/>
              <w:rPr>
                <w:rFonts w:ascii="Times New Roman" w:hAnsi="Times New Roman" w:eastAsia="宋体" w:cs="Times New Roman"/>
                <w:szCs w:val="21"/>
              </w:rPr>
            </w:pPr>
            <w:r>
              <w:rPr>
                <w:rFonts w:ascii="Times New Roman" w:hAnsi="Times New Roman" w:eastAsia="宋体" w:cs="Times New Roman"/>
                <w:szCs w:val="21"/>
              </w:rPr>
              <w:t>6-2</w:t>
            </w:r>
          </w:p>
          <w:p w14:paraId="0B211ABB">
            <w:pPr>
              <w:jc w:val="center"/>
              <w:rPr>
                <w:rFonts w:ascii="Times New Roman" w:hAnsi="Times New Roman" w:eastAsia="宋体" w:cs="Times New Roman"/>
                <w:color w:val="000000"/>
                <w:szCs w:val="21"/>
              </w:rPr>
            </w:pPr>
            <w:r>
              <w:rPr>
                <w:rFonts w:ascii="Times New Roman" w:hAnsi="Times New Roman" w:eastAsia="宋体" w:cs="Times New Roman"/>
                <w:szCs w:val="21"/>
              </w:rPr>
              <w:t>3-1</w:t>
            </w:r>
          </w:p>
          <w:p w14:paraId="428E8B76">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844" w:type="dxa"/>
            <w:tcMar>
              <w:left w:w="28" w:type="dxa"/>
              <w:right w:w="28" w:type="dxa"/>
            </w:tcMar>
            <w:vAlign w:val="center"/>
          </w:tcPr>
          <w:p w14:paraId="032EB50F">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3" w:type="dxa"/>
            <w:tcMar>
              <w:left w:w="28" w:type="dxa"/>
              <w:right w:w="28" w:type="dxa"/>
            </w:tcMar>
            <w:vAlign w:val="center"/>
          </w:tcPr>
          <w:p w14:paraId="67CE8E48">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r w14:paraId="2A0E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39" w:type="dxa"/>
            <w:vAlign w:val="center"/>
          </w:tcPr>
          <w:p w14:paraId="4F1E6B65">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792" w:type="dxa"/>
            <w:vAlign w:val="center"/>
          </w:tcPr>
          <w:p w14:paraId="04E8590E">
            <w:pPr>
              <w:jc w:val="center"/>
              <w:rPr>
                <w:rFonts w:ascii="Times New Roman" w:hAnsi="Times New Roman" w:eastAsia="宋体" w:cs="Times New Roman"/>
                <w:bCs/>
                <w:szCs w:val="21"/>
              </w:rPr>
            </w:pPr>
            <w:r>
              <w:rPr>
                <w:rFonts w:ascii="Times New Roman" w:hAnsi="Times New Roman" w:eastAsia="宋体" w:cs="Times New Roman"/>
                <w:bCs/>
                <w:szCs w:val="21"/>
              </w:rPr>
              <w:t>Matlab数值实验</w:t>
            </w:r>
          </w:p>
        </w:tc>
        <w:tc>
          <w:tcPr>
            <w:tcW w:w="3585" w:type="dxa"/>
            <w:vAlign w:val="center"/>
          </w:tcPr>
          <w:p w14:paraId="5FE9F803">
            <w:pPr>
              <w:jc w:val="center"/>
              <w:rPr>
                <w:rFonts w:ascii="Times New Roman" w:hAnsi="Times New Roman" w:eastAsia="宋体" w:cs="Times New Roman"/>
                <w:bCs/>
                <w:szCs w:val="21"/>
              </w:rPr>
            </w:pPr>
            <w:r>
              <w:rPr>
                <w:rFonts w:ascii="Times New Roman" w:hAnsi="Times New Roman" w:eastAsia="宋体" w:cs="Times New Roman"/>
                <w:bCs/>
                <w:szCs w:val="21"/>
              </w:rPr>
              <w:t>书第5章到第7章，数值方法Matlab编程实现</w:t>
            </w:r>
          </w:p>
        </w:tc>
        <w:tc>
          <w:tcPr>
            <w:tcW w:w="738" w:type="dxa"/>
            <w:vAlign w:val="center"/>
          </w:tcPr>
          <w:p w14:paraId="223294DC">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160" w:type="dxa"/>
            <w:vAlign w:val="center"/>
          </w:tcPr>
          <w:p w14:paraId="6D6D7CFA">
            <w:pPr>
              <w:jc w:val="center"/>
              <w:rPr>
                <w:rFonts w:ascii="Times New Roman" w:hAnsi="Times New Roman" w:eastAsia="宋体" w:cs="Times New Roman"/>
                <w:szCs w:val="21"/>
              </w:rPr>
            </w:pPr>
            <w:r>
              <w:rPr>
                <w:rFonts w:ascii="Times New Roman" w:hAnsi="Times New Roman" w:eastAsia="宋体" w:cs="Times New Roman"/>
                <w:szCs w:val="21"/>
              </w:rPr>
              <w:t>6-2</w:t>
            </w:r>
          </w:p>
          <w:p w14:paraId="41DCAD3C">
            <w:pPr>
              <w:jc w:val="center"/>
              <w:rPr>
                <w:rFonts w:ascii="Times New Roman" w:hAnsi="Times New Roman" w:eastAsia="宋体" w:cs="Times New Roman"/>
                <w:color w:val="000000"/>
                <w:szCs w:val="21"/>
              </w:rPr>
            </w:pPr>
            <w:r>
              <w:rPr>
                <w:rFonts w:ascii="Times New Roman" w:hAnsi="Times New Roman" w:eastAsia="宋体" w:cs="Times New Roman"/>
                <w:szCs w:val="21"/>
              </w:rPr>
              <w:t>3-1</w:t>
            </w:r>
          </w:p>
          <w:p w14:paraId="737C95C3">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844" w:type="dxa"/>
            <w:tcMar>
              <w:left w:w="28" w:type="dxa"/>
              <w:right w:w="28" w:type="dxa"/>
            </w:tcMar>
            <w:vAlign w:val="center"/>
          </w:tcPr>
          <w:p w14:paraId="5EE4FE8D">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3" w:type="dxa"/>
            <w:tcMar>
              <w:left w:w="28" w:type="dxa"/>
              <w:right w:w="28" w:type="dxa"/>
            </w:tcMar>
            <w:vAlign w:val="center"/>
          </w:tcPr>
          <w:p w14:paraId="6214419F">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bl>
    <w:p w14:paraId="3433A8E5">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五、课程实施</w:t>
      </w:r>
    </w:p>
    <w:p w14:paraId="28B4CB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FC8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20B0887F">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04F652E3">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792F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47EEE0E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6160638C">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0AE41C95">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647CE7BD">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18786923">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284D950D">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4B45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059614F7">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61950921">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0F99CB65">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02E0B7CB">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38DA2A11">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637C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5EC27738">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4E8D7827">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058CFB94">
            <w:pPr>
              <w:rPr>
                <w:rFonts w:ascii="Times New Roman" w:hAnsi="Times New Roman" w:eastAsia="宋体" w:cs="Times New Roman"/>
                <w:szCs w:val="21"/>
              </w:rPr>
            </w:pPr>
            <w:r>
              <w:rPr>
                <w:rFonts w:ascii="Times New Roman" w:hAnsi="Times New Roman" w:eastAsia="宋体" w:cs="Times New Roman"/>
                <w:szCs w:val="21"/>
              </w:rPr>
              <w:t>学生必须完成一定数量的作业题（笔头作业和实验报告），是本课程教学的基本要求，是实现人才培养目标的必要手段。</w:t>
            </w:r>
          </w:p>
          <w:p w14:paraId="1AC2C3D8">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4CE43934">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1FA6DFA6">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64696DEB">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53DC1A99">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417342F0">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48A595B3">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7A808E4C">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38A8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0AA56E63">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1F85634F">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06E2A1D7">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172B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51CE2F8B">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79401931">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6BDF01B6">
            <w:pPr>
              <w:rPr>
                <w:rFonts w:ascii="Times New Roman" w:hAnsi="Times New Roman" w:eastAsia="宋体" w:cs="Times New Roman"/>
                <w:szCs w:val="24"/>
              </w:rPr>
            </w:pPr>
            <w:r>
              <w:rPr>
                <w:rFonts w:ascii="Times New Roman" w:hAnsi="Times New Roman" w:eastAsia="宋体" w:cs="Times New Roman"/>
                <w:szCs w:val="24"/>
              </w:rPr>
              <w:t>本课程考核的方式：考查。考试试卷采取抽卷形式。总评成绩的评定见课程评分方案。有下列情况之一者，总评成绩为不及格：</w:t>
            </w:r>
          </w:p>
          <w:p w14:paraId="21F7F111">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2022B95B">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325265C0">
            <w:pPr>
              <w:rPr>
                <w:rFonts w:ascii="Times New Roman" w:hAnsi="Times New Roman" w:eastAsia="宋体" w:cs="Times New Roman"/>
                <w:szCs w:val="21"/>
              </w:rPr>
            </w:pPr>
          </w:p>
        </w:tc>
      </w:tr>
    </w:tbl>
    <w:p w14:paraId="7280C8D1">
      <w:pPr>
        <w:spacing w:line="360" w:lineRule="auto"/>
        <w:ind w:firstLine="562" w:firstLineChars="200"/>
        <w:rPr>
          <w:rFonts w:ascii="Times New Roman" w:hAnsi="Times New Roman" w:eastAsia="宋体" w:cs="Times New Roman"/>
          <w:b/>
          <w:sz w:val="28"/>
          <w:szCs w:val="28"/>
        </w:rPr>
      </w:pPr>
    </w:p>
    <w:p w14:paraId="0CC906BB">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六、课程考核</w:t>
      </w:r>
    </w:p>
    <w:p w14:paraId="646E4DF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（一）课程考核包括期末考试、平时及作业考核等，期末考试采用开卷考试方式。</w:t>
      </w:r>
    </w:p>
    <w:p w14:paraId="6DE81AA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540"/>
        <w:gridCol w:w="1010"/>
        <w:gridCol w:w="3929"/>
        <w:gridCol w:w="1393"/>
      </w:tblGrid>
      <w:tr w14:paraId="7ED1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88"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159BC3BE">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40" w:type="dxa"/>
            <w:tcBorders>
              <w:top w:val="single" w:color="auto" w:sz="4" w:space="0"/>
              <w:left w:val="single" w:color="auto" w:sz="4" w:space="0"/>
              <w:bottom w:val="single" w:color="auto" w:sz="4" w:space="0"/>
              <w:right w:val="single" w:color="auto" w:sz="4" w:space="0"/>
            </w:tcBorders>
            <w:shd w:val="clear" w:color="auto" w:fill="FFFFFF"/>
            <w:vAlign w:val="center"/>
          </w:tcPr>
          <w:p w14:paraId="00A952AF">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1010" w:type="dxa"/>
            <w:tcBorders>
              <w:top w:val="single" w:color="auto" w:sz="4" w:space="0"/>
              <w:left w:val="single" w:color="auto" w:sz="4" w:space="0"/>
              <w:bottom w:val="single" w:color="auto" w:sz="4" w:space="0"/>
              <w:right w:val="single" w:color="auto" w:sz="4" w:space="0"/>
            </w:tcBorders>
            <w:shd w:val="clear" w:color="auto" w:fill="FFFFFF"/>
            <w:vAlign w:val="center"/>
          </w:tcPr>
          <w:p w14:paraId="33AF446B">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3929" w:type="dxa"/>
            <w:tcBorders>
              <w:top w:val="single" w:color="auto" w:sz="4" w:space="0"/>
              <w:left w:val="single" w:color="auto" w:sz="4" w:space="0"/>
              <w:bottom w:val="single" w:color="auto" w:sz="4" w:space="0"/>
              <w:right w:val="single" w:color="auto" w:sz="4" w:space="0"/>
            </w:tcBorders>
            <w:shd w:val="clear" w:color="auto" w:fill="FFFFFF"/>
            <w:vAlign w:val="center"/>
          </w:tcPr>
          <w:p w14:paraId="26BE1A86">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393" w:type="dxa"/>
            <w:tcBorders>
              <w:top w:val="single" w:color="auto" w:sz="4" w:space="0"/>
              <w:left w:val="single" w:color="auto" w:sz="4" w:space="0"/>
              <w:bottom w:val="single" w:color="auto" w:sz="4" w:space="0"/>
              <w:right w:val="single" w:color="auto" w:sz="4" w:space="0"/>
            </w:tcBorders>
            <w:shd w:val="clear" w:color="auto" w:fill="FFFFFF"/>
            <w:vAlign w:val="center"/>
          </w:tcPr>
          <w:p w14:paraId="39DB55CC">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43F1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8" w:type="dxa"/>
            <w:vMerge w:val="restart"/>
            <w:tcBorders>
              <w:top w:val="single" w:color="auto" w:sz="4" w:space="0"/>
              <w:left w:val="single" w:color="auto" w:sz="4" w:space="0"/>
              <w:right w:val="single" w:color="auto" w:sz="4" w:space="0"/>
            </w:tcBorders>
            <w:tcMar>
              <w:left w:w="57" w:type="dxa"/>
              <w:right w:w="57" w:type="dxa"/>
            </w:tcMar>
            <w:vAlign w:val="center"/>
          </w:tcPr>
          <w:p w14:paraId="2E3FEAC8">
            <w:pPr>
              <w:spacing w:line="276" w:lineRule="auto"/>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0D6FDEAD">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40" w:type="dxa"/>
            <w:tcBorders>
              <w:top w:val="single" w:color="auto" w:sz="4" w:space="0"/>
              <w:left w:val="single" w:color="auto" w:sz="4" w:space="0"/>
              <w:bottom w:val="single" w:color="auto" w:sz="4" w:space="0"/>
              <w:right w:val="single" w:color="auto" w:sz="4" w:space="0"/>
            </w:tcBorders>
            <w:vAlign w:val="center"/>
          </w:tcPr>
          <w:p w14:paraId="69B360BC">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1010" w:type="dxa"/>
            <w:tcBorders>
              <w:top w:val="single" w:color="auto" w:sz="4" w:space="0"/>
              <w:left w:val="single" w:color="auto" w:sz="4" w:space="0"/>
              <w:bottom w:val="single" w:color="auto" w:sz="4" w:space="0"/>
              <w:right w:val="single" w:color="auto" w:sz="4" w:space="0"/>
            </w:tcBorders>
            <w:vAlign w:val="center"/>
          </w:tcPr>
          <w:p w14:paraId="417108EB">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3929" w:type="dxa"/>
            <w:tcBorders>
              <w:top w:val="single" w:color="auto" w:sz="4" w:space="0"/>
              <w:left w:val="single" w:color="auto" w:sz="4" w:space="0"/>
              <w:bottom w:val="single" w:color="auto" w:sz="4" w:space="0"/>
              <w:right w:val="single" w:color="auto" w:sz="4" w:space="0"/>
            </w:tcBorders>
            <w:vAlign w:val="center"/>
          </w:tcPr>
          <w:p w14:paraId="51845A5D">
            <w:pPr>
              <w:spacing w:line="276" w:lineRule="auto"/>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393" w:type="dxa"/>
            <w:tcBorders>
              <w:top w:val="single" w:color="auto" w:sz="4" w:space="0"/>
              <w:left w:val="single" w:color="auto" w:sz="4" w:space="0"/>
              <w:right w:val="single" w:color="auto" w:sz="4" w:space="0"/>
            </w:tcBorders>
            <w:vAlign w:val="center"/>
          </w:tcPr>
          <w:p w14:paraId="312C4CEE">
            <w:pPr>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53D3EDE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56DE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088" w:type="dxa"/>
            <w:vMerge w:val="continue"/>
            <w:tcBorders>
              <w:left w:val="single" w:color="auto" w:sz="4" w:space="0"/>
              <w:right w:val="single" w:color="auto" w:sz="4" w:space="0"/>
            </w:tcBorders>
            <w:tcMar>
              <w:left w:w="57" w:type="dxa"/>
              <w:right w:w="57" w:type="dxa"/>
            </w:tcMar>
            <w:vAlign w:val="center"/>
          </w:tcPr>
          <w:p w14:paraId="3E128319">
            <w:pPr>
              <w:spacing w:line="276" w:lineRule="auto"/>
              <w:rPr>
                <w:rFonts w:ascii="Times New Roman" w:hAnsi="Times New Roman" w:eastAsia="宋体" w:cs="Times New Roman"/>
                <w:sz w:val="20"/>
                <w:szCs w:val="20"/>
              </w:rPr>
            </w:pPr>
          </w:p>
        </w:tc>
        <w:tc>
          <w:tcPr>
            <w:tcW w:w="1540" w:type="dxa"/>
            <w:tcBorders>
              <w:top w:val="single" w:color="auto" w:sz="4" w:space="0"/>
              <w:left w:val="single" w:color="auto" w:sz="4" w:space="0"/>
              <w:bottom w:val="single" w:color="auto" w:sz="4" w:space="0"/>
              <w:right w:val="single" w:color="auto" w:sz="4" w:space="0"/>
            </w:tcBorders>
            <w:vAlign w:val="center"/>
          </w:tcPr>
          <w:p w14:paraId="3523FF45">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1010" w:type="dxa"/>
            <w:tcBorders>
              <w:top w:val="single" w:color="auto" w:sz="4" w:space="0"/>
              <w:left w:val="single" w:color="auto" w:sz="4" w:space="0"/>
              <w:bottom w:val="single" w:color="auto" w:sz="4" w:space="0"/>
              <w:right w:val="single" w:color="auto" w:sz="4" w:space="0"/>
            </w:tcBorders>
            <w:vAlign w:val="center"/>
          </w:tcPr>
          <w:p w14:paraId="1D714010">
            <w:pPr>
              <w:spacing w:line="276" w:lineRule="auto"/>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3929" w:type="dxa"/>
            <w:tcBorders>
              <w:top w:val="single" w:color="auto" w:sz="4" w:space="0"/>
              <w:left w:val="single" w:color="auto" w:sz="4" w:space="0"/>
              <w:bottom w:val="single" w:color="auto" w:sz="4" w:space="0"/>
              <w:right w:val="single" w:color="auto" w:sz="4" w:space="0"/>
            </w:tcBorders>
            <w:vAlign w:val="center"/>
          </w:tcPr>
          <w:p w14:paraId="31CD8F72">
            <w:pPr>
              <w:spacing w:line="276" w:lineRule="auto"/>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393" w:type="dxa"/>
            <w:tcBorders>
              <w:left w:val="single" w:color="auto" w:sz="4" w:space="0"/>
              <w:right w:val="single" w:color="auto" w:sz="4" w:space="0"/>
            </w:tcBorders>
            <w:vAlign w:val="center"/>
          </w:tcPr>
          <w:p w14:paraId="36243CDD">
            <w:pPr>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1BB0961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3F87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88" w:type="dxa"/>
            <w:vMerge w:val="continue"/>
            <w:tcBorders>
              <w:left w:val="single" w:color="auto" w:sz="4" w:space="0"/>
              <w:bottom w:val="single" w:color="auto" w:sz="4" w:space="0"/>
              <w:right w:val="single" w:color="auto" w:sz="4" w:space="0"/>
            </w:tcBorders>
            <w:tcMar>
              <w:left w:w="57" w:type="dxa"/>
              <w:right w:w="57" w:type="dxa"/>
            </w:tcMar>
            <w:vAlign w:val="center"/>
          </w:tcPr>
          <w:p w14:paraId="7F46CFF0">
            <w:pPr>
              <w:spacing w:line="276" w:lineRule="auto"/>
              <w:rPr>
                <w:rFonts w:ascii="Times New Roman" w:hAnsi="Times New Roman" w:eastAsia="宋体" w:cs="Times New Roman"/>
                <w:sz w:val="20"/>
                <w:szCs w:val="20"/>
              </w:rPr>
            </w:pPr>
          </w:p>
        </w:tc>
        <w:tc>
          <w:tcPr>
            <w:tcW w:w="1540" w:type="dxa"/>
            <w:tcBorders>
              <w:top w:val="single" w:color="auto" w:sz="4" w:space="0"/>
              <w:left w:val="single" w:color="auto" w:sz="4" w:space="0"/>
              <w:bottom w:val="single" w:color="auto" w:sz="4" w:space="0"/>
              <w:right w:val="single" w:color="auto" w:sz="4" w:space="0"/>
            </w:tcBorders>
            <w:vAlign w:val="center"/>
          </w:tcPr>
          <w:p w14:paraId="13FDBF90">
            <w:pPr>
              <w:spacing w:line="276" w:lineRule="auto"/>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1010" w:type="dxa"/>
            <w:tcBorders>
              <w:top w:val="single" w:color="auto" w:sz="4" w:space="0"/>
              <w:left w:val="single" w:color="auto" w:sz="4" w:space="0"/>
              <w:bottom w:val="single" w:color="auto" w:sz="4" w:space="0"/>
              <w:right w:val="single" w:color="auto" w:sz="4" w:space="0"/>
            </w:tcBorders>
            <w:vAlign w:val="center"/>
          </w:tcPr>
          <w:p w14:paraId="7E35D299">
            <w:pPr>
              <w:spacing w:line="276" w:lineRule="auto"/>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3929" w:type="dxa"/>
            <w:tcBorders>
              <w:top w:val="single" w:color="auto" w:sz="4" w:space="0"/>
              <w:left w:val="single" w:color="auto" w:sz="4" w:space="0"/>
              <w:bottom w:val="single" w:color="auto" w:sz="4" w:space="0"/>
              <w:right w:val="single" w:color="auto" w:sz="4" w:space="0"/>
            </w:tcBorders>
            <w:vAlign w:val="center"/>
          </w:tcPr>
          <w:p w14:paraId="01037BFD">
            <w:pPr>
              <w:spacing w:line="276" w:lineRule="auto"/>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393" w:type="dxa"/>
            <w:tcBorders>
              <w:left w:val="single" w:color="auto" w:sz="4" w:space="0"/>
              <w:bottom w:val="single" w:color="auto" w:sz="4" w:space="0"/>
              <w:right w:val="single" w:color="auto" w:sz="4" w:space="0"/>
            </w:tcBorders>
            <w:vAlign w:val="center"/>
          </w:tcPr>
          <w:p w14:paraId="4F15A181">
            <w:pPr>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72B866D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6758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08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73BB706F">
            <w:pPr>
              <w:spacing w:line="276" w:lineRule="auto"/>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40" w:type="dxa"/>
            <w:tcBorders>
              <w:top w:val="single" w:color="auto" w:sz="4" w:space="0"/>
              <w:left w:val="single" w:color="auto" w:sz="4" w:space="0"/>
              <w:bottom w:val="single" w:color="auto" w:sz="4" w:space="0"/>
              <w:right w:val="single" w:color="auto" w:sz="4" w:space="0"/>
            </w:tcBorders>
            <w:vAlign w:val="center"/>
          </w:tcPr>
          <w:p w14:paraId="1D19462E">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1010" w:type="dxa"/>
            <w:tcBorders>
              <w:top w:val="single" w:color="auto" w:sz="4" w:space="0"/>
              <w:left w:val="single" w:color="auto" w:sz="4" w:space="0"/>
              <w:bottom w:val="single" w:color="auto" w:sz="4" w:space="0"/>
              <w:right w:val="single" w:color="auto" w:sz="4" w:space="0"/>
            </w:tcBorders>
            <w:vAlign w:val="center"/>
          </w:tcPr>
          <w:p w14:paraId="09549AD4">
            <w:pPr>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3929" w:type="dxa"/>
            <w:tcBorders>
              <w:top w:val="single" w:color="auto" w:sz="4" w:space="0"/>
              <w:left w:val="single" w:color="auto" w:sz="4" w:space="0"/>
              <w:bottom w:val="single" w:color="auto" w:sz="4" w:space="0"/>
              <w:right w:val="single" w:color="auto" w:sz="4" w:space="0"/>
            </w:tcBorders>
            <w:vAlign w:val="center"/>
          </w:tcPr>
          <w:p w14:paraId="48EE5DA3">
            <w:pPr>
              <w:spacing w:line="276" w:lineRule="auto"/>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393" w:type="dxa"/>
            <w:tcBorders>
              <w:top w:val="single" w:color="auto" w:sz="4" w:space="0"/>
              <w:left w:val="single" w:color="auto" w:sz="4" w:space="0"/>
              <w:bottom w:val="single" w:color="auto" w:sz="4" w:space="0"/>
              <w:right w:val="single" w:color="auto" w:sz="4" w:space="0"/>
            </w:tcBorders>
            <w:vAlign w:val="center"/>
          </w:tcPr>
          <w:p w14:paraId="4A39445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116572F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七、有关说明</w:t>
      </w:r>
    </w:p>
    <w:p w14:paraId="0FF087AA">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28B4F5A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2611156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305F448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54BE37FF">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25CE943A">
      <w:pPr>
        <w:numPr>
          <w:ilvl w:val="0"/>
          <w:numId w:val="7"/>
        </w:numPr>
        <w:spacing w:line="300" w:lineRule="auto"/>
        <w:rPr>
          <w:rFonts w:ascii="Times New Roman" w:hAnsi="Times New Roman" w:eastAsia="宋体" w:cs="Times New Roman"/>
          <w:sz w:val="24"/>
          <w:szCs w:val="24"/>
        </w:rPr>
      </w:pPr>
      <w:r>
        <w:rPr>
          <w:rFonts w:ascii="Times New Roman" w:hAnsi="Times New Roman" w:eastAsia="宋体" w:cs="Times New Roman"/>
          <w:kern w:val="0"/>
          <w:sz w:val="24"/>
          <w:szCs w:val="24"/>
        </w:rPr>
        <w:t>《</w:t>
      </w:r>
      <w:r>
        <w:rPr>
          <w:rFonts w:ascii="Times New Roman" w:hAnsi="Times New Roman" w:eastAsia="宋体" w:cs="Times New Roman"/>
          <w:sz w:val="24"/>
          <w:szCs w:val="24"/>
        </w:rPr>
        <w:t>计算方法</w:t>
      </w:r>
      <w:r>
        <w:rPr>
          <w:rFonts w:ascii="Times New Roman" w:hAnsi="Times New Roman" w:eastAsia="宋体" w:cs="Times New Roman"/>
          <w:kern w:val="0"/>
          <w:sz w:val="24"/>
          <w:szCs w:val="24"/>
        </w:rPr>
        <w:t>》，易大义，浙江大学出版社， 2017.5</w:t>
      </w:r>
    </w:p>
    <w:p w14:paraId="0A7C1FA8">
      <w:pPr>
        <w:spacing w:line="300" w:lineRule="auto"/>
        <w:rPr>
          <w:rFonts w:ascii="Times New Roman" w:hAnsi="Times New Roman" w:eastAsia="宋体" w:cs="Times New Roman"/>
          <w:sz w:val="24"/>
          <w:szCs w:val="24"/>
        </w:rPr>
      </w:pPr>
    </w:p>
    <w:p w14:paraId="70F2AA08">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执笔人：李  森</w:t>
      </w:r>
    </w:p>
    <w:p w14:paraId="2AEE092B">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2DEAA051">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审批人：王献东</w:t>
      </w:r>
    </w:p>
    <w:p w14:paraId="3D651CC2">
      <w:pPr>
        <w:autoSpaceDE w:val="0"/>
        <w:autoSpaceDN w:val="0"/>
        <w:adjustRightInd w:val="0"/>
        <w:spacing w:line="360" w:lineRule="auto"/>
        <w:jc w:val="righ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 xml:space="preserve"> </w:t>
      </w:r>
      <w:r>
        <w:rPr>
          <w:rFonts w:ascii="Times New Roman" w:hAnsi="Times New Roman" w:eastAsia="宋体" w:cs="Times New Roman"/>
          <w:kern w:val="0"/>
          <w:sz w:val="24"/>
          <w:szCs w:val="21"/>
        </w:rPr>
        <w:t>批准时间：202</w:t>
      </w:r>
      <w:r>
        <w:rPr>
          <w:rFonts w:hint="eastAsia" w:ascii="Times New Roman" w:hAnsi="Times New Roman" w:eastAsia="宋体" w:cs="Times New Roman"/>
          <w:kern w:val="0"/>
          <w:sz w:val="24"/>
          <w:szCs w:val="21"/>
          <w:lang w:val="en-US" w:eastAsia="zh-CN"/>
        </w:rPr>
        <w:t>2</w:t>
      </w:r>
      <w:r>
        <w:rPr>
          <w:rFonts w:ascii="Times New Roman" w:hAnsi="Times New Roman" w:eastAsia="宋体" w:cs="Times New Roman"/>
          <w:kern w:val="0"/>
          <w:sz w:val="24"/>
          <w:szCs w:val="21"/>
        </w:rPr>
        <w:t>.</w:t>
      </w:r>
      <w:r>
        <w:rPr>
          <w:rFonts w:hint="eastAsia" w:ascii="Times New Roman" w:hAnsi="Times New Roman" w:eastAsia="宋体" w:cs="Times New Roman"/>
          <w:kern w:val="0"/>
          <w:sz w:val="24"/>
          <w:szCs w:val="21"/>
        </w:rPr>
        <w:t>8</w:t>
      </w:r>
    </w:p>
    <w:p w14:paraId="2B75FAB4">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7C65B91B">
      <w:pPr>
        <w:spacing w:line="312" w:lineRule="auto"/>
        <w:jc w:val="center"/>
        <w:outlineLvl w:val="0"/>
        <w:rPr>
          <w:rFonts w:ascii="Times New Roman" w:hAnsi="Times New Roman" w:eastAsia="宋体" w:cs="Times New Roman"/>
          <w:b/>
          <w:bCs/>
          <w:sz w:val="30"/>
          <w:szCs w:val="24"/>
        </w:rPr>
      </w:pPr>
      <w:bookmarkStart w:id="250" w:name="_Toc166165222"/>
      <w:r>
        <w:rPr>
          <w:rFonts w:ascii="Times New Roman" w:hAnsi="Times New Roman" w:eastAsia="宋体" w:cs="Times New Roman"/>
          <w:b/>
          <w:bCs/>
          <w:sz w:val="30"/>
          <w:szCs w:val="24"/>
        </w:rPr>
        <w:t>数学建模课程教学大纲</w:t>
      </w:r>
      <w:bookmarkEnd w:id="250"/>
    </w:p>
    <w:p w14:paraId="3175996C">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（Mathematical Modeling）</w:t>
      </w:r>
    </w:p>
    <w:p w14:paraId="6F10EFFF">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4F0BD676">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0821019</w:t>
      </w:r>
    </w:p>
    <w:p w14:paraId="3E1FA4AB">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3</w:t>
      </w:r>
    </w:p>
    <w:p w14:paraId="542367A8">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48（其中：讲授学时32  ， 实验学时16  ，上机学时0）</w:t>
      </w:r>
    </w:p>
    <w:p w14:paraId="1781AD6E">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数学分析、高等代数、概率与统计</w:t>
      </w:r>
    </w:p>
    <w:p w14:paraId="3028ACCC">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3FE0FD43">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w:t>
      </w:r>
      <w:r>
        <w:rPr>
          <w:rFonts w:ascii="Times New Roman" w:hAnsi="Times New Roman" w:eastAsia="宋体" w:cs="Times New Roman"/>
          <w:sz w:val="24"/>
          <w:szCs w:val="24"/>
        </w:rPr>
        <w:t>数学模型</w:t>
      </w:r>
      <w:r>
        <w:rPr>
          <w:rFonts w:ascii="Times New Roman" w:hAnsi="Times New Roman" w:eastAsia="宋体" w:cs="Times New Roman"/>
          <w:kern w:val="0"/>
          <w:sz w:val="24"/>
          <w:szCs w:val="24"/>
        </w:rPr>
        <w:t>》，姜启源，高等教育出版社，2018.5</w:t>
      </w:r>
    </w:p>
    <w:p w14:paraId="0F6B7AC8">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5EF5528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w:t>
      </w:r>
      <w:r>
        <w:rPr>
          <w:rFonts w:hint="eastAsia" w:ascii="Times New Roman" w:hAnsi="Times New Roman" w:eastAsia="宋体" w:cs="Times New Roman"/>
          <w:color w:val="000000"/>
          <w:sz w:val="24"/>
          <w:szCs w:val="24"/>
        </w:rPr>
        <w:t>选修</w:t>
      </w:r>
      <w:r>
        <w:rPr>
          <w:rFonts w:ascii="Times New Roman" w:hAnsi="Times New Roman" w:eastAsia="宋体" w:cs="Times New Roman"/>
          <w:color w:val="000000"/>
          <w:sz w:val="24"/>
          <w:szCs w:val="24"/>
        </w:rPr>
        <w:t>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w:t>
      </w:r>
      <w:r>
        <w:rPr>
          <w:rFonts w:ascii="Times New Roman" w:hAnsi="Times New Roman" w:eastAsia="宋体" w:cs="Times New Roman"/>
          <w:sz w:val="24"/>
          <w:szCs w:val="24"/>
        </w:rPr>
        <w:t>数学建模</w:t>
      </w:r>
      <w:r>
        <w:rPr>
          <w:rFonts w:ascii="Times New Roman" w:hAnsi="Times New Roman" w:eastAsia="宋体" w:cs="Times New Roman"/>
          <w:color w:val="000000"/>
          <w:kern w:val="0"/>
          <w:sz w:val="24"/>
          <w:szCs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61316E46">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030D8D74">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20989CF4">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2E243759">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4DC1181F">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4C4B07A1">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6466FA1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54A8332E">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B2A590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6AA4769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54EF21B0">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042AF993">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C1C102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403E1803">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00C7C64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65340CA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1DA289EF">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6794354C">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7A3A620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0AA2B1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7C53BF85">
            <w:pPr>
              <w:widowControl/>
              <w:jc w:val="center"/>
              <w:rPr>
                <w:rFonts w:ascii="Times New Roman" w:hAnsi="Times New Roman" w:eastAsia="宋体" w:cs="Times New Roman"/>
                <w:kern w:val="0"/>
                <w:szCs w:val="21"/>
              </w:rPr>
            </w:pPr>
          </w:p>
        </w:tc>
      </w:tr>
      <w:tr w14:paraId="0E5E0BA0">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70F40DC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67EC4EA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8ABDF98">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43A73F2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E16B76A">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3F4281F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21DBAB9E">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CA8BFB7">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FD4D9F5">
            <w:pPr>
              <w:widowControl/>
              <w:jc w:val="center"/>
              <w:rPr>
                <w:rFonts w:ascii="Times New Roman" w:hAnsi="Times New Roman" w:eastAsia="宋体" w:cs="Times New Roman"/>
                <w:kern w:val="0"/>
                <w:szCs w:val="21"/>
              </w:rPr>
            </w:pPr>
          </w:p>
        </w:tc>
      </w:tr>
      <w:tr w14:paraId="6076D55F">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4668B024">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1E82BE9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46D9068">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E82939B">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42CB8284">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3F93E71">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AF745BC">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EF54A2A">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2924EBB">
            <w:pPr>
              <w:widowControl/>
              <w:jc w:val="center"/>
              <w:rPr>
                <w:rFonts w:ascii="Times New Roman" w:hAnsi="Times New Roman" w:eastAsia="宋体" w:cs="Times New Roman"/>
                <w:kern w:val="0"/>
                <w:szCs w:val="21"/>
              </w:rPr>
            </w:pPr>
          </w:p>
        </w:tc>
      </w:tr>
      <w:tr w14:paraId="59E641D7">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5343AF9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66EFF7B9">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4DA4CDA6">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953D79B">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AD687D8">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FFC9ED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52DF9B4">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868F9A3">
            <w:pPr>
              <w:widowControl/>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1A7DB49">
            <w:pPr>
              <w:widowControl/>
              <w:jc w:val="center"/>
              <w:rPr>
                <w:rFonts w:ascii="Times New Roman" w:hAnsi="Times New Roman" w:eastAsia="宋体" w:cs="Times New Roman"/>
                <w:kern w:val="0"/>
                <w:szCs w:val="21"/>
              </w:rPr>
            </w:pPr>
          </w:p>
        </w:tc>
      </w:tr>
    </w:tbl>
    <w:p w14:paraId="1E1A782F">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3CB0F2ED">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w:t>
      </w:r>
      <w:r>
        <w:rPr>
          <w:rFonts w:ascii="Times New Roman" w:hAnsi="Times New Roman" w:eastAsia="宋体" w:cs="Times New Roman"/>
          <w:b/>
          <w:bCs/>
          <w:sz w:val="24"/>
          <w:szCs w:val="24"/>
        </w:rPr>
        <w:t>数学建模概论</w:t>
      </w:r>
    </w:p>
    <w:p w14:paraId="3992950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3F4B211D">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（1）能够了解数学建模内容和方法</w:t>
      </w:r>
    </w:p>
    <w:p w14:paraId="12AE6828">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能够理解数学建模基本步骤</w:t>
      </w:r>
    </w:p>
    <w:p w14:paraId="710191E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（3）能够了解数学建模分类</w:t>
      </w:r>
    </w:p>
    <w:p w14:paraId="1C416494">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（4）能够理解数学建模基本算法</w:t>
      </w:r>
    </w:p>
    <w:p w14:paraId="4599609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26BD27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数学建模步骤，算法</w:t>
      </w:r>
      <w:r>
        <w:rPr>
          <w:rFonts w:ascii="Times New Roman" w:hAnsi="Times New Roman" w:eastAsia="宋体" w:cs="Times New Roman"/>
          <w:sz w:val="24"/>
          <w:szCs w:val="21"/>
        </w:rPr>
        <w:t>。</w:t>
      </w:r>
    </w:p>
    <w:p w14:paraId="3F0A787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28896AA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229412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03CF4C8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（二）初等模型</w:t>
      </w:r>
    </w:p>
    <w:p w14:paraId="6389808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5109CA0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能够理解初等模型的建模</w:t>
      </w:r>
    </w:p>
    <w:p w14:paraId="7D0584A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能够理解</w:t>
      </w:r>
      <w:r>
        <w:rPr>
          <w:rFonts w:ascii="Times New Roman" w:hAnsi="Times New Roman" w:eastAsia="宋体" w:cs="Times New Roman"/>
          <w:kern w:val="0"/>
          <w:sz w:val="24"/>
          <w:szCs w:val="24"/>
        </w:rPr>
        <w:t>初等模型的构造和求解方法</w:t>
      </w:r>
    </w:p>
    <w:p w14:paraId="08DDCA9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能够理解常见几种初等模型</w:t>
      </w:r>
    </w:p>
    <w:p w14:paraId="4C4B859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7DE6077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初等模型建模，</w:t>
      </w:r>
      <w:r>
        <w:rPr>
          <w:rFonts w:ascii="Times New Roman" w:hAnsi="Times New Roman" w:eastAsia="宋体" w:cs="Times New Roman"/>
          <w:kern w:val="0"/>
          <w:sz w:val="24"/>
          <w:szCs w:val="24"/>
        </w:rPr>
        <w:t>初等模型求解方法</w:t>
      </w:r>
      <w:r>
        <w:rPr>
          <w:rFonts w:ascii="Times New Roman" w:hAnsi="Times New Roman" w:eastAsia="宋体" w:cs="Times New Roman"/>
          <w:sz w:val="24"/>
          <w:szCs w:val="21"/>
        </w:rPr>
        <w:t>。</w:t>
      </w:r>
    </w:p>
    <w:p w14:paraId="2F0B891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554F8E2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6E8DAC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0AF9811">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w:t>
      </w:r>
      <w:r>
        <w:rPr>
          <w:rFonts w:ascii="Times New Roman" w:hAnsi="Times New Roman" w:eastAsia="宋体" w:cs="Times New Roman"/>
          <w:b/>
          <w:color w:val="000000"/>
          <w:sz w:val="24"/>
          <w:szCs w:val="24"/>
        </w:rPr>
        <w:t>微分方程模型</w:t>
      </w:r>
    </w:p>
    <w:p w14:paraId="3F52119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58154F3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能够了解</w:t>
      </w:r>
      <w:r>
        <w:rPr>
          <w:rFonts w:ascii="Times New Roman" w:hAnsi="Times New Roman" w:eastAsia="宋体" w:cs="Times New Roman"/>
          <w:color w:val="000000"/>
          <w:sz w:val="24"/>
          <w:szCs w:val="24"/>
        </w:rPr>
        <w:t>微分方程模型</w:t>
      </w:r>
      <w:r>
        <w:rPr>
          <w:rFonts w:ascii="Times New Roman" w:hAnsi="Times New Roman" w:eastAsia="宋体" w:cs="Times New Roman"/>
          <w:sz w:val="24"/>
          <w:szCs w:val="24"/>
        </w:rPr>
        <w:t>建模法</w:t>
      </w:r>
    </w:p>
    <w:p w14:paraId="250184B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能够了解常见几种微分方程模型</w:t>
      </w:r>
    </w:p>
    <w:p w14:paraId="083A8C1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F26C33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微分方程建模与</w:t>
      </w:r>
      <w:r>
        <w:rPr>
          <w:rFonts w:ascii="Times New Roman" w:hAnsi="Times New Roman" w:eastAsia="宋体" w:cs="Times New Roman"/>
          <w:kern w:val="0"/>
          <w:sz w:val="24"/>
          <w:szCs w:val="24"/>
        </w:rPr>
        <w:t>模型求解方法</w:t>
      </w:r>
      <w:r>
        <w:rPr>
          <w:rFonts w:ascii="Times New Roman" w:hAnsi="Times New Roman" w:eastAsia="宋体" w:cs="Times New Roman"/>
          <w:color w:val="000000"/>
          <w:sz w:val="24"/>
          <w:szCs w:val="24"/>
        </w:rPr>
        <w:t>。</w:t>
      </w:r>
    </w:p>
    <w:p w14:paraId="1D65BA6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087B90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2DB2B14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5F8F6D8">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（四）随机模型</w:t>
      </w:r>
    </w:p>
    <w:p w14:paraId="2E951ED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AC8E80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能够理解随机模型的建模方法</w:t>
      </w:r>
    </w:p>
    <w:p w14:paraId="15BC287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能够理解常见几种随机模型</w:t>
      </w:r>
    </w:p>
    <w:p w14:paraId="37A4C8B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E60C8C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随机</w:t>
      </w:r>
      <w:r>
        <w:rPr>
          <w:rFonts w:ascii="Times New Roman" w:hAnsi="Times New Roman" w:eastAsia="宋体" w:cs="Times New Roman"/>
          <w:kern w:val="0"/>
          <w:sz w:val="24"/>
          <w:szCs w:val="24"/>
        </w:rPr>
        <w:t>模型求解方法</w:t>
      </w:r>
      <w:r>
        <w:rPr>
          <w:rFonts w:ascii="Times New Roman" w:hAnsi="Times New Roman" w:eastAsia="宋体" w:cs="Times New Roman"/>
          <w:color w:val="000000"/>
          <w:sz w:val="24"/>
          <w:szCs w:val="24"/>
        </w:rPr>
        <w:t>。</w:t>
      </w:r>
    </w:p>
    <w:p w14:paraId="4F8F9DF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92793A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7BCE4A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11972579">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（五）运筹学模型</w:t>
      </w:r>
    </w:p>
    <w:p w14:paraId="38F55E9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2886321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能够理解运筹学模型的建模方法</w:t>
      </w:r>
    </w:p>
    <w:p w14:paraId="3E29616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能够理解常见几种运筹学模型</w:t>
      </w:r>
    </w:p>
    <w:p w14:paraId="35BC180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247626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随机</w:t>
      </w:r>
      <w:r>
        <w:rPr>
          <w:rFonts w:ascii="Times New Roman" w:hAnsi="Times New Roman" w:eastAsia="宋体" w:cs="Times New Roman"/>
          <w:kern w:val="0"/>
          <w:sz w:val="24"/>
          <w:szCs w:val="24"/>
        </w:rPr>
        <w:t>模型求解方法</w:t>
      </w:r>
      <w:r>
        <w:rPr>
          <w:rFonts w:ascii="Times New Roman" w:hAnsi="Times New Roman" w:eastAsia="宋体" w:cs="Times New Roman"/>
          <w:color w:val="000000"/>
          <w:sz w:val="24"/>
          <w:szCs w:val="24"/>
        </w:rPr>
        <w:t>。</w:t>
      </w:r>
    </w:p>
    <w:p w14:paraId="5FED3CC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272AE6E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9C2D08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574BA43">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（六）管理类模型</w:t>
      </w:r>
    </w:p>
    <w:p w14:paraId="6030C0D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4A970A7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能够理解管理类模型的建模方法</w:t>
      </w:r>
    </w:p>
    <w:p w14:paraId="4CD32EF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能够理解常见几种管理类模型</w:t>
      </w:r>
    </w:p>
    <w:p w14:paraId="1576045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6ABCC7F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管理类</w:t>
      </w:r>
      <w:r>
        <w:rPr>
          <w:rFonts w:ascii="Times New Roman" w:hAnsi="Times New Roman" w:eastAsia="宋体" w:cs="Times New Roman"/>
          <w:kern w:val="0"/>
          <w:sz w:val="24"/>
          <w:szCs w:val="24"/>
        </w:rPr>
        <w:t>模型求解方法</w:t>
      </w:r>
      <w:r>
        <w:rPr>
          <w:rFonts w:ascii="Times New Roman" w:hAnsi="Times New Roman" w:eastAsia="宋体" w:cs="Times New Roman"/>
          <w:color w:val="000000"/>
          <w:sz w:val="24"/>
          <w:szCs w:val="24"/>
        </w:rPr>
        <w:t>。</w:t>
      </w:r>
    </w:p>
    <w:p w14:paraId="5138104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7A7548F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792ADA1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03DDBF28">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（七）统计类模型</w:t>
      </w:r>
    </w:p>
    <w:p w14:paraId="2F75BC9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72C0486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能够理解统计类模型的建模方法</w:t>
      </w:r>
    </w:p>
    <w:p w14:paraId="3E3AD2A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能够理解常见几种统计类模型</w:t>
      </w:r>
    </w:p>
    <w:p w14:paraId="470305B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4B9014A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随机</w:t>
      </w:r>
      <w:r>
        <w:rPr>
          <w:rFonts w:ascii="Times New Roman" w:hAnsi="Times New Roman" w:eastAsia="宋体" w:cs="Times New Roman"/>
          <w:kern w:val="0"/>
          <w:sz w:val="24"/>
          <w:szCs w:val="24"/>
        </w:rPr>
        <w:t>模型求解方法</w:t>
      </w:r>
      <w:r>
        <w:rPr>
          <w:rFonts w:ascii="Times New Roman" w:hAnsi="Times New Roman" w:eastAsia="宋体" w:cs="Times New Roman"/>
          <w:color w:val="000000"/>
          <w:sz w:val="24"/>
          <w:szCs w:val="24"/>
        </w:rPr>
        <w:t>。</w:t>
      </w:r>
    </w:p>
    <w:p w14:paraId="2E2463A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6D7DC23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6875F29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3B024B54">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（八）数学建模软件</w:t>
      </w:r>
    </w:p>
    <w:p w14:paraId="3D64835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784FDE7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能够简单使用Lingo</w:t>
      </w:r>
    </w:p>
    <w:p w14:paraId="3C18090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能够简单使用</w:t>
      </w:r>
      <w:r>
        <w:rPr>
          <w:rFonts w:ascii="Times New Roman" w:hAnsi="Times New Roman" w:eastAsia="宋体" w:cs="Times New Roman"/>
          <w:color w:val="000000"/>
          <w:sz w:val="24"/>
          <w:szCs w:val="24"/>
        </w:rPr>
        <w:t>Mathematica</w:t>
      </w:r>
    </w:p>
    <w:p w14:paraId="5107EEF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能够简单使用Matlab</w:t>
      </w:r>
    </w:p>
    <w:p w14:paraId="16980F1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27831B3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各种数学软件使用</w:t>
      </w:r>
      <w:r>
        <w:rPr>
          <w:rFonts w:ascii="Times New Roman" w:hAnsi="Times New Roman" w:eastAsia="宋体" w:cs="Times New Roman"/>
          <w:kern w:val="0"/>
          <w:sz w:val="24"/>
          <w:szCs w:val="24"/>
        </w:rPr>
        <w:t>方法</w:t>
      </w:r>
      <w:r>
        <w:rPr>
          <w:rFonts w:ascii="Times New Roman" w:hAnsi="Times New Roman" w:eastAsia="宋体" w:cs="Times New Roman"/>
          <w:color w:val="000000"/>
          <w:sz w:val="24"/>
          <w:szCs w:val="24"/>
        </w:rPr>
        <w:t>。</w:t>
      </w:r>
    </w:p>
    <w:p w14:paraId="11529D8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46467C8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4FE39D4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6DAB599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06B5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5244EA3B">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047F8EF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5794331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469877B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3D3972C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3744A951">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0F53EA44">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4B60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3308EE4">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tcPr>
          <w:p w14:paraId="3CD54BEE">
            <w:pPr>
              <w:spacing w:line="400" w:lineRule="exact"/>
              <w:rPr>
                <w:rFonts w:ascii="Times New Roman" w:hAnsi="Times New Roman" w:eastAsia="宋体" w:cs="Times New Roman"/>
                <w:szCs w:val="21"/>
              </w:rPr>
            </w:pPr>
            <w:r>
              <w:rPr>
                <w:rFonts w:ascii="Times New Roman" w:hAnsi="Times New Roman" w:eastAsia="宋体" w:cs="Times New Roman"/>
                <w:bCs/>
                <w:szCs w:val="21"/>
              </w:rPr>
              <w:t>数学建模概论</w:t>
            </w:r>
          </w:p>
        </w:tc>
        <w:tc>
          <w:tcPr>
            <w:tcW w:w="1701" w:type="dxa"/>
            <w:vAlign w:val="center"/>
          </w:tcPr>
          <w:p w14:paraId="72AD65E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2D26634F">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tcPr>
          <w:p w14:paraId="5897A4D7">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735" w:type="dxa"/>
            <w:vAlign w:val="center"/>
          </w:tcPr>
          <w:p w14:paraId="48E1B068">
            <w:pPr>
              <w:jc w:val="center"/>
              <w:rPr>
                <w:rFonts w:ascii="Times New Roman" w:hAnsi="Times New Roman" w:eastAsia="宋体" w:cs="Times New Roman"/>
                <w:szCs w:val="21"/>
              </w:rPr>
            </w:pPr>
          </w:p>
        </w:tc>
      </w:tr>
      <w:tr w14:paraId="2ECC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290A4A6">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tcPr>
          <w:p w14:paraId="6F0AF150">
            <w:pPr>
              <w:spacing w:line="400" w:lineRule="exact"/>
              <w:rPr>
                <w:rFonts w:ascii="Times New Roman" w:hAnsi="Times New Roman" w:eastAsia="宋体" w:cs="Times New Roman"/>
                <w:szCs w:val="21"/>
              </w:rPr>
            </w:pPr>
            <w:r>
              <w:rPr>
                <w:rFonts w:ascii="Times New Roman" w:hAnsi="Times New Roman" w:eastAsia="宋体" w:cs="Times New Roman"/>
                <w:szCs w:val="21"/>
              </w:rPr>
              <w:t>初等模型</w:t>
            </w:r>
          </w:p>
        </w:tc>
        <w:tc>
          <w:tcPr>
            <w:tcW w:w="1701" w:type="dxa"/>
            <w:vAlign w:val="center"/>
          </w:tcPr>
          <w:p w14:paraId="25B4720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19EC7C3F">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068AD943">
            <w:pPr>
              <w:jc w:val="center"/>
              <w:rPr>
                <w:rFonts w:ascii="Times New Roman" w:hAnsi="Times New Roman" w:eastAsia="宋体" w:cs="Times New Roman"/>
                <w:szCs w:val="24"/>
              </w:rPr>
            </w:pPr>
            <w:r>
              <w:rPr>
                <w:rFonts w:ascii="Times New Roman" w:hAnsi="Times New Roman" w:eastAsia="宋体" w:cs="Times New Roman"/>
                <w:szCs w:val="24"/>
              </w:rPr>
              <w:t>8</w:t>
            </w:r>
          </w:p>
        </w:tc>
        <w:tc>
          <w:tcPr>
            <w:tcW w:w="735" w:type="dxa"/>
            <w:vAlign w:val="center"/>
          </w:tcPr>
          <w:p w14:paraId="1D99EACA">
            <w:pPr>
              <w:jc w:val="center"/>
              <w:rPr>
                <w:rFonts w:ascii="Times New Roman" w:hAnsi="Times New Roman" w:eastAsia="宋体" w:cs="Times New Roman"/>
                <w:szCs w:val="21"/>
              </w:rPr>
            </w:pPr>
          </w:p>
        </w:tc>
      </w:tr>
      <w:tr w14:paraId="0162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F62463">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tcPr>
          <w:p w14:paraId="14D94222">
            <w:pPr>
              <w:spacing w:line="400" w:lineRule="exact"/>
              <w:rPr>
                <w:rFonts w:ascii="Times New Roman" w:hAnsi="Times New Roman" w:eastAsia="宋体" w:cs="Times New Roman"/>
                <w:szCs w:val="21"/>
              </w:rPr>
            </w:pPr>
            <w:r>
              <w:rPr>
                <w:rFonts w:ascii="Times New Roman" w:hAnsi="Times New Roman" w:eastAsia="宋体" w:cs="Times New Roman"/>
                <w:color w:val="000000"/>
                <w:szCs w:val="21"/>
              </w:rPr>
              <w:t>微分方程模型</w:t>
            </w:r>
          </w:p>
        </w:tc>
        <w:tc>
          <w:tcPr>
            <w:tcW w:w="1701" w:type="dxa"/>
            <w:vAlign w:val="center"/>
          </w:tcPr>
          <w:p w14:paraId="529B2FD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4C1FAF58">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401ABD75">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735" w:type="dxa"/>
            <w:vAlign w:val="center"/>
          </w:tcPr>
          <w:p w14:paraId="6FF52E82">
            <w:pPr>
              <w:jc w:val="center"/>
              <w:rPr>
                <w:rFonts w:ascii="Times New Roman" w:hAnsi="Times New Roman" w:eastAsia="宋体" w:cs="Times New Roman"/>
                <w:szCs w:val="21"/>
              </w:rPr>
            </w:pPr>
          </w:p>
        </w:tc>
      </w:tr>
      <w:tr w14:paraId="1FB6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B1ECE">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3476" w:type="dxa"/>
          </w:tcPr>
          <w:p w14:paraId="44E0E40B">
            <w:pPr>
              <w:spacing w:line="400" w:lineRule="exact"/>
              <w:rPr>
                <w:rFonts w:ascii="Times New Roman" w:hAnsi="Times New Roman" w:eastAsia="宋体" w:cs="Times New Roman"/>
                <w:szCs w:val="21"/>
              </w:rPr>
            </w:pPr>
            <w:r>
              <w:rPr>
                <w:rFonts w:ascii="Times New Roman" w:hAnsi="Times New Roman" w:eastAsia="宋体" w:cs="Times New Roman"/>
                <w:szCs w:val="21"/>
              </w:rPr>
              <w:t>随机模型</w:t>
            </w:r>
          </w:p>
        </w:tc>
        <w:tc>
          <w:tcPr>
            <w:tcW w:w="1701" w:type="dxa"/>
            <w:vAlign w:val="center"/>
          </w:tcPr>
          <w:p w14:paraId="334F82D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525EAA4E">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465E1806">
            <w:pPr>
              <w:jc w:val="center"/>
              <w:rPr>
                <w:rFonts w:ascii="Times New Roman" w:hAnsi="Times New Roman" w:eastAsia="宋体" w:cs="Times New Roman"/>
                <w:b/>
                <w:szCs w:val="24"/>
              </w:rPr>
            </w:pPr>
            <w:r>
              <w:rPr>
                <w:rFonts w:ascii="Times New Roman" w:hAnsi="Times New Roman" w:eastAsia="宋体" w:cs="Times New Roman"/>
                <w:szCs w:val="24"/>
              </w:rPr>
              <w:t>6</w:t>
            </w:r>
          </w:p>
        </w:tc>
        <w:tc>
          <w:tcPr>
            <w:tcW w:w="735" w:type="dxa"/>
            <w:vAlign w:val="center"/>
          </w:tcPr>
          <w:p w14:paraId="0B624976">
            <w:pPr>
              <w:jc w:val="center"/>
              <w:rPr>
                <w:rFonts w:ascii="Times New Roman" w:hAnsi="Times New Roman" w:eastAsia="宋体" w:cs="Times New Roman"/>
                <w:szCs w:val="21"/>
              </w:rPr>
            </w:pPr>
          </w:p>
        </w:tc>
      </w:tr>
      <w:tr w14:paraId="1059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023C6E">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3476" w:type="dxa"/>
          </w:tcPr>
          <w:p w14:paraId="1FC19D56">
            <w:pPr>
              <w:spacing w:line="400" w:lineRule="exact"/>
              <w:rPr>
                <w:rFonts w:ascii="Times New Roman" w:hAnsi="Times New Roman" w:eastAsia="宋体" w:cs="Times New Roman"/>
                <w:szCs w:val="21"/>
              </w:rPr>
            </w:pPr>
            <w:r>
              <w:rPr>
                <w:rFonts w:ascii="Times New Roman" w:hAnsi="Times New Roman" w:eastAsia="宋体" w:cs="Times New Roman"/>
                <w:szCs w:val="21"/>
              </w:rPr>
              <w:t>运筹学模型</w:t>
            </w:r>
          </w:p>
        </w:tc>
        <w:tc>
          <w:tcPr>
            <w:tcW w:w="1701" w:type="dxa"/>
            <w:vAlign w:val="center"/>
          </w:tcPr>
          <w:p w14:paraId="4469FA8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5C8F669F">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2E5192F7">
            <w:pPr>
              <w:jc w:val="center"/>
              <w:rPr>
                <w:rFonts w:ascii="Times New Roman" w:hAnsi="Times New Roman" w:eastAsia="宋体" w:cs="Times New Roman"/>
                <w:szCs w:val="24"/>
              </w:rPr>
            </w:pPr>
            <w:r>
              <w:rPr>
                <w:rFonts w:ascii="Times New Roman" w:hAnsi="Times New Roman" w:eastAsia="宋体" w:cs="Times New Roman"/>
                <w:szCs w:val="24"/>
              </w:rPr>
              <w:t>4</w:t>
            </w:r>
          </w:p>
        </w:tc>
        <w:tc>
          <w:tcPr>
            <w:tcW w:w="735" w:type="dxa"/>
            <w:vAlign w:val="center"/>
          </w:tcPr>
          <w:p w14:paraId="3C3F6F8E">
            <w:pPr>
              <w:jc w:val="center"/>
              <w:rPr>
                <w:rFonts w:ascii="Times New Roman" w:hAnsi="Times New Roman" w:eastAsia="宋体" w:cs="Times New Roman"/>
                <w:szCs w:val="21"/>
              </w:rPr>
            </w:pPr>
          </w:p>
        </w:tc>
      </w:tr>
      <w:tr w14:paraId="6855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19EF5F3">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3476" w:type="dxa"/>
          </w:tcPr>
          <w:p w14:paraId="426262CC">
            <w:pPr>
              <w:spacing w:line="400" w:lineRule="exact"/>
              <w:rPr>
                <w:rFonts w:ascii="Times New Roman" w:hAnsi="Times New Roman" w:eastAsia="宋体" w:cs="Times New Roman"/>
                <w:szCs w:val="21"/>
              </w:rPr>
            </w:pPr>
            <w:r>
              <w:rPr>
                <w:rFonts w:ascii="Times New Roman" w:hAnsi="Times New Roman" w:eastAsia="宋体" w:cs="Times New Roman"/>
                <w:szCs w:val="21"/>
              </w:rPr>
              <w:t>管理类模型</w:t>
            </w:r>
          </w:p>
        </w:tc>
        <w:tc>
          <w:tcPr>
            <w:tcW w:w="1701" w:type="dxa"/>
            <w:vAlign w:val="center"/>
          </w:tcPr>
          <w:p w14:paraId="46F7169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230F2946">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69F9287B">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735" w:type="dxa"/>
            <w:vAlign w:val="center"/>
          </w:tcPr>
          <w:p w14:paraId="63B1BC49">
            <w:pPr>
              <w:jc w:val="center"/>
              <w:rPr>
                <w:rFonts w:ascii="Times New Roman" w:hAnsi="Times New Roman" w:eastAsia="宋体" w:cs="Times New Roman"/>
                <w:szCs w:val="21"/>
              </w:rPr>
            </w:pPr>
          </w:p>
        </w:tc>
      </w:tr>
      <w:tr w14:paraId="3717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D75630F">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3476" w:type="dxa"/>
          </w:tcPr>
          <w:p w14:paraId="0F1123D6">
            <w:pPr>
              <w:spacing w:line="400" w:lineRule="exact"/>
              <w:rPr>
                <w:rFonts w:ascii="Times New Roman" w:hAnsi="Times New Roman" w:eastAsia="宋体" w:cs="Times New Roman"/>
                <w:szCs w:val="21"/>
              </w:rPr>
            </w:pPr>
            <w:r>
              <w:rPr>
                <w:rFonts w:ascii="Times New Roman" w:hAnsi="Times New Roman" w:eastAsia="宋体" w:cs="Times New Roman"/>
                <w:szCs w:val="21"/>
              </w:rPr>
              <w:t>统计类模型</w:t>
            </w:r>
          </w:p>
        </w:tc>
        <w:tc>
          <w:tcPr>
            <w:tcW w:w="1701" w:type="dxa"/>
            <w:vAlign w:val="center"/>
          </w:tcPr>
          <w:p w14:paraId="1BE4474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00C37A05">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2C6AF888">
            <w:pPr>
              <w:jc w:val="center"/>
              <w:rPr>
                <w:rFonts w:ascii="Times New Roman" w:hAnsi="Times New Roman" w:eastAsia="宋体" w:cs="Times New Roman"/>
                <w:szCs w:val="24"/>
              </w:rPr>
            </w:pPr>
            <w:r>
              <w:rPr>
                <w:rFonts w:ascii="Times New Roman" w:hAnsi="Times New Roman" w:eastAsia="宋体" w:cs="Times New Roman"/>
                <w:szCs w:val="24"/>
              </w:rPr>
              <w:t>4</w:t>
            </w:r>
          </w:p>
        </w:tc>
        <w:tc>
          <w:tcPr>
            <w:tcW w:w="735" w:type="dxa"/>
            <w:vAlign w:val="center"/>
          </w:tcPr>
          <w:p w14:paraId="2A0B2155">
            <w:pPr>
              <w:jc w:val="center"/>
              <w:rPr>
                <w:rFonts w:ascii="Times New Roman" w:hAnsi="Times New Roman" w:eastAsia="宋体" w:cs="Times New Roman"/>
                <w:szCs w:val="21"/>
              </w:rPr>
            </w:pPr>
          </w:p>
        </w:tc>
      </w:tr>
      <w:tr w14:paraId="56CD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9DB1D3A">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3476" w:type="dxa"/>
          </w:tcPr>
          <w:p w14:paraId="700D3D40">
            <w:pPr>
              <w:spacing w:line="400" w:lineRule="exact"/>
              <w:rPr>
                <w:rFonts w:ascii="Times New Roman" w:hAnsi="Times New Roman" w:eastAsia="宋体" w:cs="Times New Roman"/>
                <w:szCs w:val="21"/>
              </w:rPr>
            </w:pPr>
            <w:r>
              <w:rPr>
                <w:rFonts w:ascii="Times New Roman" w:hAnsi="Times New Roman" w:eastAsia="宋体" w:cs="Times New Roman"/>
                <w:szCs w:val="21"/>
              </w:rPr>
              <w:t>数学建模软件</w:t>
            </w:r>
          </w:p>
        </w:tc>
        <w:tc>
          <w:tcPr>
            <w:tcW w:w="1701" w:type="dxa"/>
            <w:vAlign w:val="center"/>
          </w:tcPr>
          <w:p w14:paraId="677459F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vAlign w:val="center"/>
          </w:tcPr>
          <w:p w14:paraId="186B8EA8">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7D4D7408">
            <w:pPr>
              <w:jc w:val="center"/>
              <w:rPr>
                <w:rFonts w:ascii="Times New Roman" w:hAnsi="Times New Roman" w:eastAsia="宋体" w:cs="Times New Roman"/>
                <w:szCs w:val="24"/>
              </w:rPr>
            </w:pPr>
          </w:p>
        </w:tc>
        <w:tc>
          <w:tcPr>
            <w:tcW w:w="735" w:type="dxa"/>
            <w:vAlign w:val="center"/>
          </w:tcPr>
          <w:p w14:paraId="60EA93E2">
            <w:pPr>
              <w:jc w:val="center"/>
              <w:rPr>
                <w:rFonts w:ascii="Times New Roman" w:hAnsi="Times New Roman" w:eastAsia="宋体" w:cs="Times New Roman"/>
                <w:szCs w:val="21"/>
              </w:rPr>
            </w:pPr>
            <w:r>
              <w:rPr>
                <w:rFonts w:ascii="Times New Roman" w:hAnsi="Times New Roman" w:eastAsia="宋体" w:cs="Times New Roman"/>
                <w:szCs w:val="21"/>
              </w:rPr>
              <w:t>16</w:t>
            </w:r>
          </w:p>
        </w:tc>
      </w:tr>
      <w:tr w14:paraId="0D95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563FF296">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0BD757B7">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735" w:type="dxa"/>
            <w:vAlign w:val="center"/>
          </w:tcPr>
          <w:p w14:paraId="77B12115">
            <w:pPr>
              <w:jc w:val="center"/>
              <w:rPr>
                <w:rFonts w:ascii="Times New Roman" w:hAnsi="Times New Roman" w:eastAsia="宋体" w:cs="Times New Roman"/>
                <w:szCs w:val="21"/>
              </w:rPr>
            </w:pPr>
            <w:r>
              <w:rPr>
                <w:rFonts w:ascii="Times New Roman" w:hAnsi="Times New Roman" w:eastAsia="宋体" w:cs="Times New Roman"/>
                <w:szCs w:val="21"/>
              </w:rPr>
              <w:t>16</w:t>
            </w:r>
          </w:p>
        </w:tc>
      </w:tr>
    </w:tbl>
    <w:p w14:paraId="72DB9FB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四、课内实验（实践）</w:t>
      </w:r>
    </w:p>
    <w:tbl>
      <w:tblPr>
        <w:tblStyle w:val="30"/>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784"/>
        <w:gridCol w:w="3568"/>
        <w:gridCol w:w="735"/>
        <w:gridCol w:w="1155"/>
        <w:gridCol w:w="840"/>
        <w:gridCol w:w="630"/>
      </w:tblGrid>
      <w:tr w14:paraId="7957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4F81138B">
            <w:pPr>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序号</w:t>
            </w:r>
          </w:p>
        </w:tc>
        <w:tc>
          <w:tcPr>
            <w:tcW w:w="1784" w:type="dxa"/>
            <w:shd w:val="clear" w:color="auto" w:fill="FFFFFF"/>
            <w:vAlign w:val="center"/>
          </w:tcPr>
          <w:p w14:paraId="25A2C1D1">
            <w:pPr>
              <w:jc w:val="center"/>
              <w:rPr>
                <w:rFonts w:ascii="Times New Roman" w:hAnsi="Times New Roman" w:eastAsia="宋体" w:cs="Times New Roman"/>
                <w:bCs/>
                <w:szCs w:val="21"/>
              </w:rPr>
            </w:pPr>
            <w:r>
              <w:rPr>
                <w:rFonts w:ascii="Times New Roman" w:hAnsi="Times New Roman" w:eastAsia="宋体" w:cs="Times New Roman"/>
                <w:bCs/>
                <w:szCs w:val="21"/>
              </w:rPr>
              <w:t>实验项目名称</w:t>
            </w:r>
          </w:p>
        </w:tc>
        <w:tc>
          <w:tcPr>
            <w:tcW w:w="3568" w:type="dxa"/>
            <w:shd w:val="clear" w:color="auto" w:fill="FFFFFF"/>
            <w:vAlign w:val="center"/>
          </w:tcPr>
          <w:p w14:paraId="3979ADFB">
            <w:pPr>
              <w:jc w:val="center"/>
              <w:rPr>
                <w:rFonts w:ascii="Times New Roman" w:hAnsi="Times New Roman" w:eastAsia="宋体" w:cs="Times New Roman"/>
                <w:bCs/>
                <w:szCs w:val="21"/>
              </w:rPr>
            </w:pPr>
            <w:r>
              <w:rPr>
                <w:rFonts w:ascii="Times New Roman" w:hAnsi="Times New Roman" w:eastAsia="宋体" w:cs="Times New Roman"/>
                <w:bCs/>
                <w:szCs w:val="21"/>
              </w:rPr>
              <w:t>实验内容及要求</w:t>
            </w:r>
          </w:p>
        </w:tc>
        <w:tc>
          <w:tcPr>
            <w:tcW w:w="735" w:type="dxa"/>
            <w:shd w:val="clear" w:color="auto" w:fill="FFFFFF"/>
            <w:vAlign w:val="center"/>
          </w:tcPr>
          <w:p w14:paraId="770A7FE4">
            <w:pPr>
              <w:jc w:val="center"/>
              <w:rPr>
                <w:rFonts w:ascii="Times New Roman" w:hAnsi="Times New Roman" w:eastAsia="宋体" w:cs="Times New Roman"/>
                <w:bCs/>
                <w:szCs w:val="21"/>
              </w:rPr>
            </w:pPr>
            <w:r>
              <w:rPr>
                <w:rFonts w:ascii="Times New Roman" w:hAnsi="Times New Roman" w:eastAsia="宋体" w:cs="Times New Roman"/>
                <w:bCs/>
                <w:szCs w:val="21"/>
              </w:rPr>
              <w:t>学时</w:t>
            </w:r>
          </w:p>
        </w:tc>
        <w:tc>
          <w:tcPr>
            <w:tcW w:w="1155" w:type="dxa"/>
            <w:shd w:val="clear" w:color="auto" w:fill="FFFFFF"/>
            <w:vAlign w:val="center"/>
          </w:tcPr>
          <w:p w14:paraId="5FBB0E6A">
            <w:pPr>
              <w:jc w:val="center"/>
              <w:rPr>
                <w:rFonts w:ascii="Times New Roman" w:hAnsi="Times New Roman" w:eastAsia="宋体" w:cs="Times New Roman"/>
                <w:bCs/>
                <w:szCs w:val="21"/>
              </w:rPr>
            </w:pPr>
            <w:r>
              <w:rPr>
                <w:rFonts w:ascii="Times New Roman" w:hAnsi="Times New Roman" w:eastAsia="宋体" w:cs="Times New Roman"/>
                <w:bCs/>
                <w:szCs w:val="21"/>
              </w:rPr>
              <w:t>对毕业要求的支撑</w:t>
            </w:r>
          </w:p>
        </w:tc>
        <w:tc>
          <w:tcPr>
            <w:tcW w:w="840" w:type="dxa"/>
            <w:shd w:val="clear" w:color="auto" w:fill="FFFFFF"/>
            <w:tcMar>
              <w:left w:w="28" w:type="dxa"/>
              <w:right w:w="28" w:type="dxa"/>
            </w:tcMar>
            <w:vAlign w:val="center"/>
          </w:tcPr>
          <w:p w14:paraId="77F66E41">
            <w:pPr>
              <w:jc w:val="center"/>
              <w:rPr>
                <w:rFonts w:ascii="Times New Roman" w:hAnsi="Times New Roman" w:eastAsia="宋体" w:cs="Times New Roman"/>
                <w:bCs/>
                <w:szCs w:val="21"/>
              </w:rPr>
            </w:pPr>
            <w:r>
              <w:rPr>
                <w:rFonts w:ascii="Times New Roman" w:hAnsi="Times New Roman" w:eastAsia="宋体" w:cs="Times New Roman"/>
                <w:bCs/>
                <w:szCs w:val="21"/>
              </w:rPr>
              <w:t>类型</w:t>
            </w:r>
          </w:p>
        </w:tc>
        <w:tc>
          <w:tcPr>
            <w:tcW w:w="630" w:type="dxa"/>
            <w:shd w:val="clear" w:color="auto" w:fill="FFFFFF"/>
            <w:tcMar>
              <w:left w:w="28" w:type="dxa"/>
              <w:right w:w="28" w:type="dxa"/>
            </w:tcMar>
            <w:vAlign w:val="center"/>
          </w:tcPr>
          <w:p w14:paraId="2674A7B2">
            <w:pPr>
              <w:jc w:val="center"/>
              <w:rPr>
                <w:rFonts w:ascii="Times New Roman" w:hAnsi="Times New Roman" w:eastAsia="宋体" w:cs="Times New Roman"/>
                <w:bCs/>
                <w:szCs w:val="21"/>
              </w:rPr>
            </w:pPr>
            <w:r>
              <w:rPr>
                <w:rFonts w:ascii="Times New Roman" w:hAnsi="Times New Roman" w:eastAsia="宋体" w:cs="Times New Roman"/>
                <w:bCs/>
                <w:szCs w:val="21"/>
              </w:rPr>
              <w:t>备注</w:t>
            </w:r>
          </w:p>
        </w:tc>
      </w:tr>
      <w:tr w14:paraId="3B3D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36" w:type="dxa"/>
            <w:vAlign w:val="center"/>
          </w:tcPr>
          <w:p w14:paraId="1589E8C6">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1784" w:type="dxa"/>
            <w:vAlign w:val="center"/>
          </w:tcPr>
          <w:p w14:paraId="5E2421DD">
            <w:pPr>
              <w:jc w:val="center"/>
              <w:rPr>
                <w:rFonts w:ascii="Times New Roman" w:hAnsi="Times New Roman" w:eastAsia="宋体" w:cs="Times New Roman"/>
                <w:bCs/>
                <w:szCs w:val="21"/>
              </w:rPr>
            </w:pPr>
            <w:r>
              <w:rPr>
                <w:rFonts w:ascii="Times New Roman" w:hAnsi="Times New Roman" w:eastAsia="宋体" w:cs="Times New Roman"/>
                <w:bCs/>
                <w:szCs w:val="21"/>
              </w:rPr>
              <w:t>LINGO操作</w:t>
            </w:r>
          </w:p>
        </w:tc>
        <w:tc>
          <w:tcPr>
            <w:tcW w:w="3568" w:type="dxa"/>
            <w:vAlign w:val="center"/>
          </w:tcPr>
          <w:p w14:paraId="5AB1109A">
            <w:pPr>
              <w:jc w:val="center"/>
              <w:rPr>
                <w:rFonts w:ascii="Times New Roman" w:hAnsi="Times New Roman" w:eastAsia="宋体" w:cs="Times New Roman"/>
                <w:bCs/>
                <w:szCs w:val="21"/>
              </w:rPr>
            </w:pPr>
            <w:r>
              <w:rPr>
                <w:rFonts w:ascii="Times New Roman" w:hAnsi="Times New Roman" w:eastAsia="宋体" w:cs="Times New Roman"/>
                <w:bCs/>
                <w:szCs w:val="21"/>
              </w:rPr>
              <w:t>利用LINGO软件对数学规划模型求解并进行相关的灵敏度分析。</w:t>
            </w:r>
          </w:p>
        </w:tc>
        <w:tc>
          <w:tcPr>
            <w:tcW w:w="735" w:type="dxa"/>
            <w:vAlign w:val="center"/>
          </w:tcPr>
          <w:p w14:paraId="33420DEA">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155" w:type="dxa"/>
            <w:vAlign w:val="center"/>
          </w:tcPr>
          <w:p w14:paraId="4BDCAE72">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6-2</w:t>
            </w:r>
          </w:p>
          <w:p w14:paraId="528DD29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3-1、3-2</w:t>
            </w:r>
          </w:p>
        </w:tc>
        <w:tc>
          <w:tcPr>
            <w:tcW w:w="840" w:type="dxa"/>
            <w:tcMar>
              <w:left w:w="28" w:type="dxa"/>
              <w:right w:w="28" w:type="dxa"/>
            </w:tcMar>
            <w:vAlign w:val="center"/>
          </w:tcPr>
          <w:p w14:paraId="179FBD45">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0" w:type="dxa"/>
            <w:tcMar>
              <w:left w:w="28" w:type="dxa"/>
              <w:right w:w="28" w:type="dxa"/>
            </w:tcMar>
            <w:vAlign w:val="center"/>
          </w:tcPr>
          <w:p w14:paraId="4D6CFE9E">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r w14:paraId="523E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636" w:type="dxa"/>
            <w:vAlign w:val="center"/>
          </w:tcPr>
          <w:p w14:paraId="1187DFA2">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1784" w:type="dxa"/>
            <w:vAlign w:val="center"/>
          </w:tcPr>
          <w:p w14:paraId="4E6E02E6">
            <w:pPr>
              <w:jc w:val="center"/>
              <w:rPr>
                <w:rFonts w:ascii="Times New Roman" w:hAnsi="Times New Roman" w:eastAsia="宋体" w:cs="Times New Roman"/>
                <w:bCs/>
                <w:szCs w:val="21"/>
              </w:rPr>
            </w:pPr>
            <w:r>
              <w:rPr>
                <w:rFonts w:ascii="Times New Roman" w:hAnsi="Times New Roman" w:eastAsia="宋体" w:cs="Times New Roman"/>
                <w:bCs/>
                <w:szCs w:val="21"/>
              </w:rPr>
              <w:t>MATLAB操作</w:t>
            </w:r>
          </w:p>
        </w:tc>
        <w:tc>
          <w:tcPr>
            <w:tcW w:w="3568" w:type="dxa"/>
            <w:vAlign w:val="center"/>
          </w:tcPr>
          <w:p w14:paraId="3B5BD2DA">
            <w:pPr>
              <w:jc w:val="center"/>
              <w:rPr>
                <w:rFonts w:ascii="Times New Roman" w:hAnsi="Times New Roman" w:eastAsia="宋体" w:cs="Times New Roman"/>
                <w:bCs/>
                <w:szCs w:val="21"/>
              </w:rPr>
            </w:pPr>
            <w:r>
              <w:rPr>
                <w:rFonts w:ascii="Times New Roman" w:hAnsi="Times New Roman" w:eastAsia="宋体" w:cs="Times New Roman"/>
                <w:bCs/>
                <w:szCs w:val="21"/>
              </w:rPr>
              <w:t>利用Matlab软件对微分方程的参数进行估计、模拟求解并给出相应的表格和图像；利用Matlab软件对微分方程数值解进行模拟。</w:t>
            </w:r>
          </w:p>
        </w:tc>
        <w:tc>
          <w:tcPr>
            <w:tcW w:w="735" w:type="dxa"/>
            <w:vAlign w:val="center"/>
          </w:tcPr>
          <w:p w14:paraId="13D880AC">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155" w:type="dxa"/>
            <w:vAlign w:val="center"/>
          </w:tcPr>
          <w:p w14:paraId="0A5C461F">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6-2</w:t>
            </w:r>
          </w:p>
          <w:p w14:paraId="28B89F0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3-1、3-2</w:t>
            </w:r>
          </w:p>
        </w:tc>
        <w:tc>
          <w:tcPr>
            <w:tcW w:w="840" w:type="dxa"/>
            <w:tcMar>
              <w:left w:w="28" w:type="dxa"/>
              <w:right w:w="28" w:type="dxa"/>
            </w:tcMar>
            <w:vAlign w:val="center"/>
          </w:tcPr>
          <w:p w14:paraId="42305DA4">
            <w:pPr>
              <w:jc w:val="center"/>
              <w:rPr>
                <w:rFonts w:ascii="Times New Roman" w:hAnsi="Times New Roman" w:eastAsia="宋体" w:cs="Times New Roman"/>
                <w:szCs w:val="21"/>
              </w:rPr>
            </w:pPr>
            <w:r>
              <w:rPr>
                <w:rFonts w:ascii="Times New Roman" w:hAnsi="Times New Roman" w:eastAsia="宋体" w:cs="Times New Roman"/>
                <w:bCs/>
                <w:szCs w:val="21"/>
              </w:rPr>
              <w:t>综合性</w:t>
            </w:r>
          </w:p>
        </w:tc>
        <w:tc>
          <w:tcPr>
            <w:tcW w:w="630" w:type="dxa"/>
            <w:tcMar>
              <w:left w:w="28" w:type="dxa"/>
              <w:right w:w="28" w:type="dxa"/>
            </w:tcMar>
            <w:vAlign w:val="center"/>
          </w:tcPr>
          <w:p w14:paraId="5C1BBD1C">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r w14:paraId="6522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64B2EB88">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1784" w:type="dxa"/>
            <w:vAlign w:val="center"/>
          </w:tcPr>
          <w:p w14:paraId="25B4B3B9">
            <w:pPr>
              <w:jc w:val="center"/>
              <w:rPr>
                <w:rFonts w:ascii="Times New Roman" w:hAnsi="Times New Roman" w:eastAsia="宋体" w:cs="Times New Roman"/>
                <w:bCs/>
                <w:szCs w:val="21"/>
              </w:rPr>
            </w:pPr>
            <w:r>
              <w:rPr>
                <w:rFonts w:ascii="Times New Roman" w:hAnsi="Times New Roman" w:eastAsia="宋体" w:cs="Times New Roman"/>
                <w:bCs/>
                <w:szCs w:val="21"/>
              </w:rPr>
              <w:t>MATLAB操作</w:t>
            </w:r>
          </w:p>
        </w:tc>
        <w:tc>
          <w:tcPr>
            <w:tcW w:w="3568" w:type="dxa"/>
            <w:vAlign w:val="center"/>
          </w:tcPr>
          <w:p w14:paraId="42614EFB">
            <w:pPr>
              <w:jc w:val="center"/>
              <w:rPr>
                <w:rFonts w:ascii="Times New Roman" w:hAnsi="Times New Roman" w:eastAsia="宋体" w:cs="Times New Roman"/>
                <w:bCs/>
                <w:szCs w:val="21"/>
              </w:rPr>
            </w:pPr>
            <w:r>
              <w:rPr>
                <w:rFonts w:ascii="Times New Roman" w:hAnsi="Times New Roman" w:eastAsia="宋体" w:cs="Times New Roman"/>
                <w:bCs/>
                <w:szCs w:val="21"/>
              </w:rPr>
              <w:t>利用Matlab软件对差分方程和代数方程的进行模拟并作出图像。</w:t>
            </w:r>
          </w:p>
        </w:tc>
        <w:tc>
          <w:tcPr>
            <w:tcW w:w="735" w:type="dxa"/>
            <w:vAlign w:val="center"/>
          </w:tcPr>
          <w:p w14:paraId="1214D214">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155" w:type="dxa"/>
            <w:vAlign w:val="center"/>
          </w:tcPr>
          <w:p w14:paraId="22D30664">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6-2</w:t>
            </w:r>
          </w:p>
          <w:p w14:paraId="5C033D8C">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3-1、3-2</w:t>
            </w:r>
          </w:p>
        </w:tc>
        <w:tc>
          <w:tcPr>
            <w:tcW w:w="840" w:type="dxa"/>
            <w:tcMar>
              <w:left w:w="28" w:type="dxa"/>
              <w:right w:w="28" w:type="dxa"/>
            </w:tcMar>
            <w:vAlign w:val="center"/>
          </w:tcPr>
          <w:p w14:paraId="14233540">
            <w:pPr>
              <w:jc w:val="center"/>
              <w:rPr>
                <w:rFonts w:ascii="Times New Roman" w:hAnsi="Times New Roman" w:eastAsia="宋体" w:cs="Times New Roman"/>
                <w:szCs w:val="21"/>
              </w:rPr>
            </w:pPr>
            <w:r>
              <w:rPr>
                <w:rFonts w:ascii="Times New Roman" w:hAnsi="Times New Roman" w:eastAsia="宋体" w:cs="Times New Roman"/>
                <w:bCs/>
                <w:szCs w:val="21"/>
              </w:rPr>
              <w:t>设计性</w:t>
            </w:r>
          </w:p>
        </w:tc>
        <w:tc>
          <w:tcPr>
            <w:tcW w:w="630" w:type="dxa"/>
            <w:tcMar>
              <w:left w:w="28" w:type="dxa"/>
              <w:right w:w="28" w:type="dxa"/>
            </w:tcMar>
            <w:vAlign w:val="center"/>
          </w:tcPr>
          <w:p w14:paraId="46792494">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r w14:paraId="2649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3F39CEB2">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1784" w:type="dxa"/>
            <w:vAlign w:val="center"/>
          </w:tcPr>
          <w:p w14:paraId="70CFFB6B">
            <w:pPr>
              <w:jc w:val="center"/>
              <w:rPr>
                <w:rFonts w:ascii="Times New Roman" w:hAnsi="Times New Roman" w:eastAsia="宋体" w:cs="Times New Roman"/>
                <w:bCs/>
                <w:szCs w:val="21"/>
              </w:rPr>
            </w:pPr>
            <w:r>
              <w:rPr>
                <w:rFonts w:ascii="Times New Roman" w:hAnsi="Times New Roman" w:eastAsia="宋体" w:cs="Times New Roman"/>
                <w:bCs/>
                <w:szCs w:val="21"/>
              </w:rPr>
              <w:t>MATLAB操作</w:t>
            </w:r>
          </w:p>
        </w:tc>
        <w:tc>
          <w:tcPr>
            <w:tcW w:w="3568" w:type="dxa"/>
            <w:vAlign w:val="center"/>
          </w:tcPr>
          <w:p w14:paraId="497CBFD1">
            <w:pPr>
              <w:jc w:val="center"/>
              <w:rPr>
                <w:rFonts w:ascii="Times New Roman" w:hAnsi="Times New Roman" w:eastAsia="宋体" w:cs="Times New Roman"/>
                <w:bCs/>
                <w:szCs w:val="21"/>
              </w:rPr>
            </w:pPr>
            <w:r>
              <w:rPr>
                <w:rFonts w:ascii="Times New Roman" w:hAnsi="Times New Roman" w:eastAsia="宋体" w:cs="Times New Roman"/>
                <w:bCs/>
                <w:szCs w:val="21"/>
              </w:rPr>
              <w:t>基于多属性决策和层次分析法，利用Matlab软件对实际问题进行决策，并给出相应的最优方案。</w:t>
            </w:r>
          </w:p>
        </w:tc>
        <w:tc>
          <w:tcPr>
            <w:tcW w:w="735" w:type="dxa"/>
            <w:vAlign w:val="center"/>
          </w:tcPr>
          <w:p w14:paraId="0D26BEE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155" w:type="dxa"/>
            <w:vAlign w:val="center"/>
          </w:tcPr>
          <w:p w14:paraId="02C1F80B">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6-2</w:t>
            </w:r>
          </w:p>
          <w:p w14:paraId="0671704C">
            <w:pPr>
              <w:spacing w:line="312" w:lineRule="auto"/>
              <w:jc w:val="center"/>
              <w:rPr>
                <w:rFonts w:ascii="Times New Roman" w:hAnsi="Times New Roman" w:eastAsia="宋体" w:cs="Times New Roman"/>
                <w:szCs w:val="21"/>
              </w:rPr>
            </w:pPr>
            <w:r>
              <w:rPr>
                <w:rFonts w:ascii="Times New Roman" w:hAnsi="Times New Roman" w:eastAsia="宋体" w:cs="Times New Roman"/>
                <w:szCs w:val="21"/>
              </w:rPr>
              <w:t>3-1、3-2</w:t>
            </w:r>
          </w:p>
        </w:tc>
        <w:tc>
          <w:tcPr>
            <w:tcW w:w="840" w:type="dxa"/>
            <w:tcMar>
              <w:left w:w="28" w:type="dxa"/>
              <w:right w:w="28" w:type="dxa"/>
            </w:tcMar>
            <w:vAlign w:val="center"/>
          </w:tcPr>
          <w:p w14:paraId="45150922">
            <w:pPr>
              <w:jc w:val="center"/>
              <w:rPr>
                <w:rFonts w:ascii="Times New Roman" w:hAnsi="Times New Roman" w:eastAsia="宋体" w:cs="Times New Roman"/>
                <w:bCs/>
                <w:szCs w:val="21"/>
              </w:rPr>
            </w:pPr>
            <w:r>
              <w:rPr>
                <w:rFonts w:ascii="Times New Roman" w:hAnsi="Times New Roman" w:eastAsia="宋体" w:cs="Times New Roman"/>
                <w:bCs/>
                <w:szCs w:val="21"/>
              </w:rPr>
              <w:t>设计性</w:t>
            </w:r>
          </w:p>
        </w:tc>
        <w:tc>
          <w:tcPr>
            <w:tcW w:w="630" w:type="dxa"/>
            <w:tcMar>
              <w:left w:w="28" w:type="dxa"/>
              <w:right w:w="28" w:type="dxa"/>
            </w:tcMar>
            <w:vAlign w:val="center"/>
          </w:tcPr>
          <w:p w14:paraId="2011DDEF">
            <w:pPr>
              <w:jc w:val="center"/>
              <w:rPr>
                <w:rFonts w:ascii="Times New Roman" w:hAnsi="Times New Roman" w:eastAsia="宋体" w:cs="Times New Roman"/>
                <w:bCs/>
                <w:szCs w:val="21"/>
              </w:rPr>
            </w:pPr>
            <w:r>
              <w:rPr>
                <w:rFonts w:ascii="Times New Roman" w:hAnsi="Times New Roman" w:eastAsia="宋体" w:cs="Times New Roman"/>
                <w:bCs/>
                <w:szCs w:val="21"/>
              </w:rPr>
              <w:t>必做</w:t>
            </w:r>
          </w:p>
        </w:tc>
      </w:tr>
    </w:tbl>
    <w:p w14:paraId="0C365DD0">
      <w:pPr>
        <w:spacing w:line="360" w:lineRule="auto"/>
        <w:rPr>
          <w:rFonts w:ascii="Times New Roman" w:hAnsi="Times New Roman" w:eastAsia="宋体" w:cs="Times New Roman"/>
          <w:b/>
          <w:sz w:val="28"/>
          <w:szCs w:val="28"/>
        </w:rPr>
      </w:pPr>
    </w:p>
    <w:p w14:paraId="10F1FFFB">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五、课程实施</w:t>
      </w:r>
    </w:p>
    <w:p w14:paraId="4CD5283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EDB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A0BD417">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185B9983">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279C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1DFC6DE">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2A78E53B">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1EADACBD">
            <w:pPr>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507511CA">
            <w:pPr>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0257526">
            <w:pPr>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60FE3616">
            <w:pPr>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197C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78C7D8">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2194E2B5">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5C8F705F">
            <w:pPr>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2592CAEC">
            <w:pPr>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4FF86004">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2E93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0D1F5FD">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6BD91653">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69D8E91D">
            <w:pPr>
              <w:rPr>
                <w:rFonts w:ascii="Times New Roman" w:hAnsi="Times New Roman" w:eastAsia="宋体" w:cs="Times New Roman"/>
                <w:szCs w:val="21"/>
              </w:rPr>
            </w:pPr>
            <w:r>
              <w:rPr>
                <w:rFonts w:ascii="Times New Roman" w:hAnsi="Times New Roman" w:eastAsia="宋体" w:cs="Times New Roman"/>
                <w:szCs w:val="21"/>
              </w:rPr>
              <w:t>学生必须完成一定数量的作业题（笔头作业和实验报告），是本课程教学的基本要求，是实现人才培养目标的必要手段。</w:t>
            </w:r>
          </w:p>
          <w:p w14:paraId="0F1A1BFF">
            <w:pPr>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1D77159E">
            <w:pPr>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46106A3F">
            <w:pPr>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2216EF5A">
            <w:pPr>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5CB70AA2">
            <w:pPr>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3A96F2C3">
            <w:pPr>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2A52A9DA">
            <w:pPr>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416FABE9">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5E93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0BC6161">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0A7432EC">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5E781A5A">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59FD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7DC5F3A">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56B077C6">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4CB16414">
            <w:pPr>
              <w:rPr>
                <w:rFonts w:ascii="Times New Roman" w:hAnsi="Times New Roman" w:eastAsia="宋体" w:cs="Times New Roman"/>
                <w:szCs w:val="24"/>
              </w:rPr>
            </w:pPr>
            <w:r>
              <w:rPr>
                <w:rFonts w:ascii="Times New Roman" w:hAnsi="Times New Roman" w:eastAsia="宋体" w:cs="Times New Roman"/>
                <w:szCs w:val="24"/>
              </w:rPr>
              <w:t>本课程考核的方式：考查。考试试卷采取抽卷形式。总评成绩的评定见课程评分方案。有下列情况之一者，总评成绩为不及格：</w:t>
            </w:r>
          </w:p>
          <w:p w14:paraId="55B5AC84">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5DA98F19">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47D43669">
            <w:pPr>
              <w:rPr>
                <w:rFonts w:ascii="Times New Roman" w:hAnsi="Times New Roman" w:eastAsia="宋体" w:cs="Times New Roman"/>
                <w:szCs w:val="21"/>
              </w:rPr>
            </w:pPr>
          </w:p>
        </w:tc>
      </w:tr>
    </w:tbl>
    <w:p w14:paraId="6F79C1A0">
      <w:pPr>
        <w:spacing w:line="360" w:lineRule="auto"/>
        <w:ind w:firstLine="562" w:firstLineChars="200"/>
        <w:rPr>
          <w:rFonts w:ascii="Times New Roman" w:hAnsi="Times New Roman" w:eastAsia="宋体" w:cs="Times New Roman"/>
          <w:b/>
          <w:sz w:val="28"/>
          <w:szCs w:val="28"/>
        </w:rPr>
      </w:pPr>
    </w:p>
    <w:p w14:paraId="756CA33C">
      <w:pPr>
        <w:spacing w:line="360" w:lineRule="auto"/>
        <w:ind w:firstLine="562" w:firstLineChars="200"/>
        <w:rPr>
          <w:rFonts w:ascii="Times New Roman" w:hAnsi="Times New Roman" w:eastAsia="宋体" w:cs="Times New Roman"/>
          <w:b/>
          <w:sz w:val="28"/>
          <w:szCs w:val="28"/>
        </w:rPr>
      </w:pPr>
    </w:p>
    <w:p w14:paraId="59E433A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六、课程考核</w:t>
      </w:r>
    </w:p>
    <w:p w14:paraId="66FB7A1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（一）课程考核包括期末考试、平时及作业考核等，期末考试采用开卷考试方式。</w:t>
      </w:r>
    </w:p>
    <w:p w14:paraId="7DEE02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594"/>
        <w:gridCol w:w="819"/>
        <w:gridCol w:w="4289"/>
        <w:gridCol w:w="1440"/>
      </w:tblGrid>
      <w:tr w14:paraId="7033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126"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358F8592">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center"/>
          </w:tcPr>
          <w:p w14:paraId="1F9AE2F4">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819" w:type="dxa"/>
            <w:tcBorders>
              <w:top w:val="single" w:color="auto" w:sz="4" w:space="0"/>
              <w:left w:val="single" w:color="auto" w:sz="4" w:space="0"/>
              <w:bottom w:val="single" w:color="auto" w:sz="4" w:space="0"/>
              <w:right w:val="single" w:color="auto" w:sz="4" w:space="0"/>
            </w:tcBorders>
            <w:shd w:val="clear" w:color="auto" w:fill="FFFFFF"/>
            <w:vAlign w:val="center"/>
          </w:tcPr>
          <w:p w14:paraId="4035B39D">
            <w:pPr>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03BCF0B2">
            <w:pPr>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40" w:type="dxa"/>
            <w:tcBorders>
              <w:top w:val="single" w:color="auto" w:sz="4" w:space="0"/>
              <w:left w:val="single" w:color="auto" w:sz="4" w:space="0"/>
              <w:bottom w:val="single" w:color="auto" w:sz="4" w:space="0"/>
              <w:right w:val="single" w:color="auto" w:sz="4" w:space="0"/>
            </w:tcBorders>
            <w:shd w:val="clear" w:color="auto" w:fill="FFFFFF"/>
            <w:vAlign w:val="center"/>
          </w:tcPr>
          <w:p w14:paraId="0240E5A8">
            <w:pPr>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561E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26" w:type="dxa"/>
            <w:vMerge w:val="restart"/>
            <w:tcBorders>
              <w:top w:val="single" w:color="auto" w:sz="4" w:space="0"/>
              <w:left w:val="single" w:color="auto" w:sz="4" w:space="0"/>
              <w:right w:val="single" w:color="auto" w:sz="4" w:space="0"/>
            </w:tcBorders>
            <w:tcMar>
              <w:left w:w="57" w:type="dxa"/>
              <w:right w:w="57" w:type="dxa"/>
            </w:tcMar>
            <w:vAlign w:val="center"/>
          </w:tcPr>
          <w:p w14:paraId="7D3DC729">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1A37A004">
            <w:pPr>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94" w:type="dxa"/>
            <w:tcBorders>
              <w:top w:val="single" w:color="auto" w:sz="4" w:space="0"/>
              <w:left w:val="single" w:color="auto" w:sz="4" w:space="0"/>
              <w:bottom w:val="single" w:color="auto" w:sz="4" w:space="0"/>
              <w:right w:val="single" w:color="auto" w:sz="4" w:space="0"/>
            </w:tcBorders>
            <w:vAlign w:val="center"/>
          </w:tcPr>
          <w:p w14:paraId="4D38215A">
            <w:pPr>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819" w:type="dxa"/>
            <w:tcBorders>
              <w:top w:val="single" w:color="auto" w:sz="4" w:space="0"/>
              <w:left w:val="single" w:color="auto" w:sz="4" w:space="0"/>
              <w:bottom w:val="single" w:color="auto" w:sz="4" w:space="0"/>
              <w:right w:val="single" w:color="auto" w:sz="4" w:space="0"/>
            </w:tcBorders>
            <w:vAlign w:val="center"/>
          </w:tcPr>
          <w:p w14:paraId="01FF1719">
            <w:pPr>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4289" w:type="dxa"/>
            <w:tcBorders>
              <w:top w:val="single" w:color="auto" w:sz="4" w:space="0"/>
              <w:left w:val="single" w:color="auto" w:sz="4" w:space="0"/>
              <w:bottom w:val="single" w:color="auto" w:sz="4" w:space="0"/>
              <w:right w:val="single" w:color="auto" w:sz="4" w:space="0"/>
            </w:tcBorders>
            <w:vAlign w:val="center"/>
          </w:tcPr>
          <w:p w14:paraId="7330801C">
            <w:pPr>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40" w:type="dxa"/>
            <w:tcBorders>
              <w:top w:val="single" w:color="auto" w:sz="4" w:space="0"/>
              <w:left w:val="single" w:color="auto" w:sz="4" w:space="0"/>
              <w:right w:val="single" w:color="auto" w:sz="4" w:space="0"/>
            </w:tcBorders>
            <w:vAlign w:val="center"/>
          </w:tcPr>
          <w:p w14:paraId="6968A8DA">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1D643A8F">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3229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26" w:type="dxa"/>
            <w:vMerge w:val="continue"/>
            <w:tcBorders>
              <w:left w:val="single" w:color="auto" w:sz="4" w:space="0"/>
              <w:right w:val="single" w:color="auto" w:sz="4" w:space="0"/>
            </w:tcBorders>
            <w:tcMar>
              <w:left w:w="57" w:type="dxa"/>
              <w:right w:w="57" w:type="dxa"/>
            </w:tcMar>
            <w:vAlign w:val="center"/>
          </w:tcPr>
          <w:p w14:paraId="0699C811">
            <w:pPr>
              <w:rPr>
                <w:rFonts w:ascii="Times New Roman" w:hAnsi="Times New Roman" w:eastAsia="宋体" w:cs="Times New Roman"/>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23A80A00">
            <w:pPr>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819" w:type="dxa"/>
            <w:tcBorders>
              <w:top w:val="single" w:color="auto" w:sz="4" w:space="0"/>
              <w:left w:val="single" w:color="auto" w:sz="4" w:space="0"/>
              <w:bottom w:val="single" w:color="auto" w:sz="4" w:space="0"/>
              <w:right w:val="single" w:color="auto" w:sz="4" w:space="0"/>
            </w:tcBorders>
            <w:vAlign w:val="center"/>
          </w:tcPr>
          <w:p w14:paraId="2DD85B0A">
            <w:pPr>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4289" w:type="dxa"/>
            <w:tcBorders>
              <w:top w:val="single" w:color="auto" w:sz="4" w:space="0"/>
              <w:left w:val="single" w:color="auto" w:sz="4" w:space="0"/>
              <w:bottom w:val="single" w:color="auto" w:sz="4" w:space="0"/>
              <w:right w:val="single" w:color="auto" w:sz="4" w:space="0"/>
            </w:tcBorders>
            <w:vAlign w:val="center"/>
          </w:tcPr>
          <w:p w14:paraId="003A317C">
            <w:pPr>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40" w:type="dxa"/>
            <w:tcBorders>
              <w:left w:val="single" w:color="auto" w:sz="4" w:space="0"/>
              <w:right w:val="single" w:color="auto" w:sz="4" w:space="0"/>
            </w:tcBorders>
            <w:vAlign w:val="center"/>
          </w:tcPr>
          <w:p w14:paraId="208DF8DB">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3A4B21A0">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6240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126" w:type="dxa"/>
            <w:vMerge w:val="continue"/>
            <w:tcBorders>
              <w:left w:val="single" w:color="auto" w:sz="4" w:space="0"/>
              <w:bottom w:val="single" w:color="auto" w:sz="4" w:space="0"/>
              <w:right w:val="single" w:color="auto" w:sz="4" w:space="0"/>
            </w:tcBorders>
            <w:tcMar>
              <w:left w:w="57" w:type="dxa"/>
              <w:right w:w="57" w:type="dxa"/>
            </w:tcMar>
            <w:vAlign w:val="center"/>
          </w:tcPr>
          <w:p w14:paraId="6F522A11">
            <w:pPr>
              <w:rPr>
                <w:rFonts w:ascii="Times New Roman" w:hAnsi="Times New Roman" w:eastAsia="宋体" w:cs="Times New Roman"/>
                <w:sz w:val="20"/>
                <w:szCs w:val="20"/>
              </w:rPr>
            </w:pPr>
          </w:p>
        </w:tc>
        <w:tc>
          <w:tcPr>
            <w:tcW w:w="1594" w:type="dxa"/>
            <w:tcBorders>
              <w:top w:val="single" w:color="auto" w:sz="4" w:space="0"/>
              <w:left w:val="single" w:color="auto" w:sz="4" w:space="0"/>
              <w:bottom w:val="single" w:color="auto" w:sz="4" w:space="0"/>
              <w:right w:val="single" w:color="auto" w:sz="4" w:space="0"/>
            </w:tcBorders>
            <w:vAlign w:val="center"/>
          </w:tcPr>
          <w:p w14:paraId="35A38030">
            <w:pPr>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819" w:type="dxa"/>
            <w:tcBorders>
              <w:top w:val="single" w:color="auto" w:sz="4" w:space="0"/>
              <w:left w:val="single" w:color="auto" w:sz="4" w:space="0"/>
              <w:bottom w:val="single" w:color="auto" w:sz="4" w:space="0"/>
              <w:right w:val="single" w:color="auto" w:sz="4" w:space="0"/>
            </w:tcBorders>
            <w:vAlign w:val="center"/>
          </w:tcPr>
          <w:p w14:paraId="307B7039">
            <w:pPr>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4289" w:type="dxa"/>
            <w:tcBorders>
              <w:top w:val="single" w:color="auto" w:sz="4" w:space="0"/>
              <w:left w:val="single" w:color="auto" w:sz="4" w:space="0"/>
              <w:bottom w:val="single" w:color="auto" w:sz="4" w:space="0"/>
              <w:right w:val="single" w:color="auto" w:sz="4" w:space="0"/>
            </w:tcBorders>
            <w:vAlign w:val="center"/>
          </w:tcPr>
          <w:p w14:paraId="317CA375">
            <w:pPr>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40" w:type="dxa"/>
            <w:tcBorders>
              <w:left w:val="single" w:color="auto" w:sz="4" w:space="0"/>
              <w:bottom w:val="single" w:color="auto" w:sz="4" w:space="0"/>
              <w:right w:val="single" w:color="auto" w:sz="4" w:space="0"/>
            </w:tcBorders>
            <w:vAlign w:val="center"/>
          </w:tcPr>
          <w:p w14:paraId="2490FCC5">
            <w:pPr>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9724721">
            <w:pPr>
              <w:jc w:val="center"/>
              <w:rPr>
                <w:rFonts w:ascii="Times New Roman" w:hAnsi="Times New Roman" w:eastAsia="宋体" w:cs="Times New Roman"/>
                <w:szCs w:val="21"/>
              </w:rPr>
            </w:pPr>
            <w:r>
              <w:rPr>
                <w:rFonts w:ascii="Times New Roman" w:hAnsi="Times New Roman" w:eastAsia="宋体" w:cs="Times New Roman"/>
                <w:szCs w:val="21"/>
              </w:rPr>
              <w:t>6-2</w:t>
            </w:r>
          </w:p>
        </w:tc>
      </w:tr>
      <w:tr w14:paraId="25C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26"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03BCF519">
            <w:pPr>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94" w:type="dxa"/>
            <w:tcBorders>
              <w:top w:val="single" w:color="auto" w:sz="4" w:space="0"/>
              <w:left w:val="single" w:color="auto" w:sz="4" w:space="0"/>
              <w:bottom w:val="single" w:color="auto" w:sz="4" w:space="0"/>
              <w:right w:val="single" w:color="auto" w:sz="4" w:space="0"/>
            </w:tcBorders>
            <w:vAlign w:val="center"/>
          </w:tcPr>
          <w:p w14:paraId="6E090966">
            <w:pPr>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819" w:type="dxa"/>
            <w:tcBorders>
              <w:top w:val="single" w:color="auto" w:sz="4" w:space="0"/>
              <w:left w:val="single" w:color="auto" w:sz="4" w:space="0"/>
              <w:bottom w:val="single" w:color="auto" w:sz="4" w:space="0"/>
              <w:right w:val="single" w:color="auto" w:sz="4" w:space="0"/>
            </w:tcBorders>
            <w:vAlign w:val="center"/>
          </w:tcPr>
          <w:p w14:paraId="6E6A0DC1">
            <w:pPr>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4289" w:type="dxa"/>
            <w:tcBorders>
              <w:top w:val="single" w:color="auto" w:sz="4" w:space="0"/>
              <w:left w:val="single" w:color="auto" w:sz="4" w:space="0"/>
              <w:bottom w:val="single" w:color="auto" w:sz="4" w:space="0"/>
              <w:right w:val="single" w:color="auto" w:sz="4" w:space="0"/>
            </w:tcBorders>
            <w:vAlign w:val="center"/>
          </w:tcPr>
          <w:p w14:paraId="7E3349D3">
            <w:pPr>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440" w:type="dxa"/>
            <w:tcBorders>
              <w:top w:val="single" w:color="auto" w:sz="4" w:space="0"/>
              <w:left w:val="single" w:color="auto" w:sz="4" w:space="0"/>
              <w:bottom w:val="single" w:color="auto" w:sz="4" w:space="0"/>
              <w:right w:val="single" w:color="auto" w:sz="4" w:space="0"/>
            </w:tcBorders>
            <w:vAlign w:val="center"/>
          </w:tcPr>
          <w:p w14:paraId="4C0B73F5">
            <w:pPr>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2AFCB7BA">
      <w:pPr>
        <w:spacing w:line="360" w:lineRule="auto"/>
        <w:ind w:firstLine="562" w:firstLineChars="200"/>
        <w:rPr>
          <w:rFonts w:ascii="Times New Roman" w:hAnsi="Times New Roman" w:eastAsia="宋体" w:cs="Times New Roman"/>
          <w:b/>
          <w:sz w:val="28"/>
          <w:szCs w:val="28"/>
        </w:rPr>
      </w:pPr>
    </w:p>
    <w:p w14:paraId="5565831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七、有关说明</w:t>
      </w:r>
    </w:p>
    <w:p w14:paraId="2CB4CC98">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349AD0C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5A21A95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0672E27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3．教学用的例题和习题，应适当结合工程实际。</w:t>
      </w:r>
    </w:p>
    <w:p w14:paraId="7CB3C71D">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532673F6">
      <w:pPr>
        <w:spacing w:line="400" w:lineRule="atLeas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《数学模型》，姜启源，高等教育出版社，2018.5</w:t>
      </w:r>
    </w:p>
    <w:p w14:paraId="2AC78C73">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r>
        <w:rPr>
          <w:rFonts w:ascii="Times New Roman" w:hAnsi="Times New Roman" w:eastAsia="宋体" w:cs="Times New Roman"/>
          <w:sz w:val="24"/>
          <w:szCs w:val="24"/>
        </w:rPr>
        <w:t xml:space="preserve">                                          </w:t>
      </w:r>
      <w:r>
        <w:rPr>
          <w:rFonts w:ascii="Times New Roman" w:hAnsi="Times New Roman" w:eastAsia="宋体" w:cs="Times New Roman"/>
          <w:kern w:val="0"/>
          <w:sz w:val="24"/>
          <w:szCs w:val="21"/>
        </w:rPr>
        <w:t>执笔人：李 森</w:t>
      </w:r>
    </w:p>
    <w:p w14:paraId="4E2D4C4B">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105D7A89">
      <w:pPr>
        <w:autoSpaceDE w:val="0"/>
        <w:autoSpaceDN w:val="0"/>
        <w:adjustRightInd w:val="0"/>
        <w:spacing w:line="360" w:lineRule="auto"/>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审批人：王献东</w:t>
      </w:r>
    </w:p>
    <w:p w14:paraId="2EBD062D">
      <w:pPr>
        <w:autoSpaceDE w:val="0"/>
        <w:autoSpaceDN w:val="0"/>
        <w:adjustRightInd w:val="0"/>
        <w:spacing w:line="360" w:lineRule="auto"/>
        <w:jc w:val="righ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批准时间：202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年8月30日</w:t>
      </w:r>
    </w:p>
    <w:p w14:paraId="6065413D">
      <w:pPr>
        <w:autoSpaceDE w:val="0"/>
        <w:autoSpaceDN w:val="0"/>
        <w:adjustRightInd w:val="0"/>
        <w:spacing w:line="360" w:lineRule="auto"/>
        <w:jc w:val="left"/>
        <w:rPr>
          <w:rFonts w:ascii="Times New Roman" w:hAnsi="Times New Roman" w:eastAsia="宋体" w:cs="Times New Roman"/>
          <w:kern w:val="0"/>
          <w:sz w:val="24"/>
          <w:szCs w:val="21"/>
        </w:rPr>
      </w:pPr>
    </w:p>
    <w:p w14:paraId="63525282">
      <w:pPr>
        <w:spacing w:line="312" w:lineRule="auto"/>
        <w:jc w:val="center"/>
        <w:outlineLvl w:val="0"/>
        <w:rPr>
          <w:rFonts w:ascii="Times New Roman" w:hAnsi="Times New Roman" w:eastAsia="宋体" w:cs="Times New Roman"/>
          <w:b/>
          <w:bCs/>
          <w:sz w:val="30"/>
          <w:szCs w:val="24"/>
        </w:rPr>
      </w:pPr>
      <w:bookmarkStart w:id="251" w:name="_Toc166165223"/>
      <w:r>
        <w:rPr>
          <w:rFonts w:ascii="Times New Roman" w:hAnsi="Times New Roman" w:eastAsia="宋体" w:cs="Times New Roman"/>
          <w:b/>
          <w:bCs/>
          <w:sz w:val="30"/>
          <w:szCs w:val="24"/>
        </w:rPr>
        <w:t>小学数学思维训练课程教学大纲</w:t>
      </w:r>
      <w:bookmarkEnd w:id="251"/>
    </w:p>
    <w:p w14:paraId="1F0BA808">
      <w:pPr>
        <w:spacing w:line="312" w:lineRule="auto"/>
        <w:jc w:val="center"/>
        <w:rPr>
          <w:rFonts w:ascii="Times New Roman" w:hAnsi="Times New Roman" w:eastAsia="宋体" w:cs="Times New Roman"/>
          <w:b/>
          <w:bCs/>
          <w:sz w:val="30"/>
          <w:szCs w:val="24"/>
        </w:rPr>
      </w:pPr>
      <w:r>
        <w:rPr>
          <w:rFonts w:ascii="Times New Roman" w:hAnsi="Times New Roman" w:eastAsia="宋体" w:cs="Times New Roman"/>
          <w:b/>
          <w:bCs/>
          <w:sz w:val="30"/>
          <w:szCs w:val="24"/>
        </w:rPr>
        <w:t>（Training of Math thinking）</w:t>
      </w:r>
    </w:p>
    <w:p w14:paraId="239D6FED">
      <w:pPr>
        <w:spacing w:line="360"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6C1E3C99">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szCs w:val="24"/>
        </w:rPr>
        <w:t>课程代码</w:t>
      </w:r>
      <w:r>
        <w:rPr>
          <w:rFonts w:ascii="Times New Roman" w:hAnsi="Times New Roman" w:eastAsia="宋体" w:cs="Times New Roman"/>
          <w:b/>
          <w:kern w:val="0"/>
          <w:sz w:val="24"/>
          <w:szCs w:val="24"/>
        </w:rPr>
        <w:t>：</w:t>
      </w:r>
      <w:r>
        <w:rPr>
          <w:rFonts w:ascii="Times New Roman" w:hAnsi="Times New Roman" w:eastAsia="宋体" w:cs="Times New Roman"/>
          <w:sz w:val="24"/>
          <w:szCs w:val="24"/>
        </w:rPr>
        <w:t>0821015</w:t>
      </w:r>
    </w:p>
    <w:p w14:paraId="429F089F">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bCs/>
          <w:kern w:val="0"/>
          <w:sz w:val="24"/>
          <w:szCs w:val="24"/>
        </w:rPr>
        <w:t>学    分</w:t>
      </w:r>
      <w:r>
        <w:rPr>
          <w:rFonts w:ascii="Times New Roman" w:hAnsi="Times New Roman" w:eastAsia="宋体" w:cs="Times New Roman"/>
          <w:b/>
          <w:kern w:val="0"/>
          <w:sz w:val="24"/>
          <w:szCs w:val="24"/>
        </w:rPr>
        <w:t xml:space="preserve">： </w:t>
      </w:r>
      <w:r>
        <w:rPr>
          <w:rFonts w:ascii="Times New Roman" w:hAnsi="Times New Roman" w:eastAsia="宋体" w:cs="Times New Roman"/>
          <w:kern w:val="0"/>
          <w:sz w:val="24"/>
          <w:szCs w:val="24"/>
        </w:rPr>
        <w:t>3</w:t>
      </w:r>
    </w:p>
    <w:p w14:paraId="4DD65686">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学    时</w:t>
      </w:r>
      <w:r>
        <w:rPr>
          <w:rFonts w:ascii="Times New Roman" w:hAnsi="Times New Roman" w:eastAsia="宋体" w:cs="Times New Roman"/>
          <w:b/>
          <w:kern w:val="0"/>
          <w:sz w:val="24"/>
          <w:szCs w:val="24"/>
        </w:rPr>
        <w:t>：</w:t>
      </w:r>
      <w:r>
        <w:rPr>
          <w:rFonts w:hint="eastAsia" w:ascii="Times New Roman" w:hAnsi="Times New Roman" w:eastAsia="宋体" w:cs="Times New Roman"/>
          <w:b/>
          <w:kern w:val="0"/>
          <w:sz w:val="24"/>
          <w:szCs w:val="24"/>
        </w:rPr>
        <w:t>32</w:t>
      </w:r>
      <w:r>
        <w:rPr>
          <w:rFonts w:ascii="Times New Roman" w:hAnsi="Times New Roman" w:eastAsia="宋体" w:cs="Times New Roman"/>
          <w:kern w:val="0"/>
          <w:sz w:val="24"/>
          <w:szCs w:val="24"/>
        </w:rPr>
        <w:t>（其中：讲授学时32  ， 实验学时</w:t>
      </w:r>
      <w:r>
        <w:rPr>
          <w:rFonts w:hint="eastAsia" w:ascii="Times New Roman" w:hAnsi="Times New Roman" w:eastAsia="宋体" w:cs="Times New Roman"/>
          <w:kern w:val="0"/>
          <w:sz w:val="24"/>
          <w:szCs w:val="24"/>
        </w:rPr>
        <w:t>0</w:t>
      </w:r>
      <w:r>
        <w:rPr>
          <w:rFonts w:ascii="Times New Roman" w:hAnsi="Times New Roman" w:eastAsia="宋体" w:cs="Times New Roman"/>
          <w:kern w:val="0"/>
          <w:sz w:val="24"/>
          <w:szCs w:val="24"/>
        </w:rPr>
        <w:t xml:space="preserve">  ，上机学时0）</w:t>
      </w:r>
    </w:p>
    <w:p w14:paraId="1C1F08E2">
      <w:pPr>
        <w:spacing w:line="360" w:lineRule="auto"/>
        <w:ind w:firstLine="482" w:firstLineChars="200"/>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先修课程</w:t>
      </w:r>
      <w:r>
        <w:rPr>
          <w:rFonts w:ascii="Times New Roman" w:hAnsi="Times New Roman" w:eastAsia="宋体" w:cs="Times New Roman"/>
          <w:b/>
          <w:kern w:val="0"/>
          <w:sz w:val="24"/>
          <w:szCs w:val="24"/>
        </w:rPr>
        <w:t>：</w:t>
      </w:r>
      <w:r>
        <w:rPr>
          <w:rFonts w:ascii="Times New Roman" w:hAnsi="Times New Roman" w:eastAsia="宋体" w:cs="Times New Roman"/>
          <w:sz w:val="24"/>
          <w:szCs w:val="24"/>
        </w:rPr>
        <w:t>初等数论、概率统计</w:t>
      </w:r>
    </w:p>
    <w:p w14:paraId="415557B0">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适用专业</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 xml:space="preserve"> 小学教育（理）专业                      </w:t>
      </w:r>
    </w:p>
    <w:p w14:paraId="702166DC">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建议教材</w:t>
      </w:r>
      <w:r>
        <w:rPr>
          <w:rFonts w:ascii="Times New Roman" w:hAnsi="Times New Roman" w:eastAsia="宋体" w:cs="Times New Roman"/>
          <w:b/>
          <w:kern w:val="0"/>
          <w:sz w:val="24"/>
          <w:szCs w:val="24"/>
        </w:rPr>
        <w:t>：</w:t>
      </w:r>
      <w:r>
        <w:rPr>
          <w:rFonts w:ascii="Times New Roman" w:hAnsi="Times New Roman" w:eastAsia="宋体" w:cs="Times New Roman"/>
          <w:kern w:val="0"/>
          <w:sz w:val="24"/>
          <w:szCs w:val="24"/>
        </w:rPr>
        <w:t>《</w:t>
      </w:r>
      <w:r>
        <w:rPr>
          <w:rFonts w:ascii="Times New Roman" w:hAnsi="Times New Roman" w:eastAsia="宋体" w:cs="Times New Roman"/>
          <w:sz w:val="24"/>
          <w:szCs w:val="24"/>
        </w:rPr>
        <w:t>小学数学竞赛指导</w:t>
      </w:r>
      <w:r>
        <w:rPr>
          <w:rFonts w:ascii="Times New Roman" w:hAnsi="Times New Roman" w:eastAsia="宋体" w:cs="Times New Roman"/>
          <w:kern w:val="0"/>
          <w:sz w:val="24"/>
          <w:szCs w:val="24"/>
        </w:rPr>
        <w:t>》，</w:t>
      </w:r>
      <w:r>
        <w:rPr>
          <w:rFonts w:ascii="Times New Roman" w:hAnsi="Times New Roman" w:eastAsia="宋体" w:cs="Times New Roman"/>
          <w:sz w:val="24"/>
          <w:szCs w:val="24"/>
        </w:rPr>
        <w:t>课程教材研究所</w:t>
      </w:r>
      <w:r>
        <w:rPr>
          <w:rFonts w:ascii="Times New Roman" w:hAnsi="Times New Roman" w:eastAsia="宋体" w:cs="Times New Roman"/>
          <w:kern w:val="0"/>
          <w:sz w:val="24"/>
          <w:szCs w:val="24"/>
        </w:rPr>
        <w:t>，</w:t>
      </w:r>
      <w:r>
        <w:rPr>
          <w:rFonts w:ascii="Times New Roman" w:hAnsi="Times New Roman" w:eastAsia="宋体" w:cs="Times New Roman"/>
          <w:sz w:val="24"/>
          <w:szCs w:val="24"/>
        </w:rPr>
        <w:t>人民教育出版社</w:t>
      </w:r>
      <w:r>
        <w:rPr>
          <w:rFonts w:ascii="Times New Roman" w:hAnsi="Times New Roman" w:eastAsia="宋体" w:cs="Times New Roman"/>
          <w:kern w:val="0"/>
          <w:sz w:val="24"/>
          <w:szCs w:val="24"/>
        </w:rPr>
        <w:t>，2008.5</w:t>
      </w:r>
    </w:p>
    <w:p w14:paraId="3743E2A6">
      <w:pPr>
        <w:spacing w:line="360" w:lineRule="auto"/>
        <w:ind w:firstLine="482" w:firstLineChars="200"/>
        <w:rPr>
          <w:rFonts w:ascii="Times New Roman" w:hAnsi="Times New Roman" w:eastAsia="宋体" w:cs="Times New Roman"/>
          <w:kern w:val="0"/>
          <w:sz w:val="24"/>
          <w:szCs w:val="24"/>
        </w:rPr>
      </w:pPr>
      <w:r>
        <w:rPr>
          <w:rFonts w:ascii="Times New Roman" w:hAnsi="Times New Roman" w:eastAsia="宋体" w:cs="Times New Roman"/>
          <w:b/>
          <w:bCs/>
          <w:kern w:val="0"/>
          <w:sz w:val="24"/>
          <w:szCs w:val="24"/>
        </w:rPr>
        <w:t>课程归口：</w:t>
      </w:r>
      <w:r>
        <w:rPr>
          <w:rFonts w:ascii="Times New Roman" w:hAnsi="Times New Roman" w:eastAsia="宋体" w:cs="Times New Roman"/>
          <w:bCs/>
          <w:kern w:val="0"/>
          <w:sz w:val="24"/>
          <w:szCs w:val="24"/>
        </w:rPr>
        <w:t>理</w:t>
      </w:r>
      <w:r>
        <w:rPr>
          <w:rFonts w:ascii="Times New Roman" w:hAnsi="Times New Roman" w:eastAsia="宋体" w:cs="Times New Roman"/>
          <w:kern w:val="0"/>
          <w:sz w:val="24"/>
          <w:szCs w:val="24"/>
        </w:rPr>
        <w:t>学院</w:t>
      </w:r>
    </w:p>
    <w:p w14:paraId="0868757C">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Times New Roman" w:hAnsi="Times New Roman" w:eastAsia="宋体" w:cs="Times New Roman"/>
          <w:b/>
          <w:bCs/>
          <w:kern w:val="0"/>
          <w:sz w:val="24"/>
          <w:szCs w:val="24"/>
        </w:rPr>
        <w:t>课程的性质与任务：</w:t>
      </w:r>
      <w:r>
        <w:rPr>
          <w:rFonts w:ascii="Times New Roman" w:hAnsi="Times New Roman" w:eastAsia="宋体" w:cs="Times New Roman"/>
          <w:kern w:val="0"/>
          <w:sz w:val="24"/>
          <w:szCs w:val="24"/>
        </w:rPr>
        <w:t>本课程是小学教育（理）专业的一门</w:t>
      </w:r>
      <w:r>
        <w:rPr>
          <w:rFonts w:ascii="Times New Roman" w:hAnsi="Times New Roman" w:eastAsia="宋体" w:cs="Times New Roman"/>
          <w:color w:val="000000"/>
          <w:sz w:val="24"/>
          <w:szCs w:val="24"/>
        </w:rPr>
        <w:t>重要基础课</w:t>
      </w:r>
      <w:r>
        <w:rPr>
          <w:rFonts w:ascii="Times New Roman" w:hAnsi="Times New Roman" w:eastAsia="宋体" w:cs="Times New Roman"/>
          <w:sz w:val="24"/>
          <w:szCs w:val="24"/>
        </w:rPr>
        <w:t>。</w:t>
      </w:r>
      <w:r>
        <w:rPr>
          <w:rFonts w:ascii="Times New Roman" w:hAnsi="Times New Roman" w:eastAsia="宋体" w:cs="Times New Roman"/>
          <w:color w:val="000000"/>
          <w:kern w:val="0"/>
          <w:sz w:val="24"/>
          <w:szCs w:val="24"/>
        </w:rPr>
        <w:t>通过本课程的学习，使学生系统地获得</w:t>
      </w:r>
      <w:r>
        <w:rPr>
          <w:rFonts w:ascii="Times New Roman" w:hAnsi="Times New Roman" w:eastAsia="宋体" w:cs="Times New Roman"/>
          <w:sz w:val="24"/>
          <w:szCs w:val="24"/>
        </w:rPr>
        <w:t>小学数学竞赛</w:t>
      </w:r>
      <w:r>
        <w:rPr>
          <w:rFonts w:ascii="Times New Roman" w:hAnsi="Times New Roman" w:eastAsia="宋体" w:cs="Times New Roman"/>
          <w:color w:val="000000"/>
          <w:kern w:val="0"/>
          <w:sz w:val="24"/>
          <w:szCs w:val="24"/>
        </w:rPr>
        <w:t>的基本知识、必要的基础理论和常用的运算方法；提高学生的运算能力、数学思维能力、逻辑推理能力；并能运用数学知识、理论、方法解决相关的实际应用问题；提高学生的数学素养，为学生学习后续相关课程及终身学习奠定必要的数学基础。</w:t>
      </w:r>
    </w:p>
    <w:p w14:paraId="6F89CA78">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二、课程目标</w:t>
      </w:r>
    </w:p>
    <w:p w14:paraId="7451B38E">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目标1.</w:t>
      </w:r>
      <w:r>
        <w:rPr>
          <w:rFonts w:ascii="Times New Roman" w:hAnsi="Times New Roman" w:eastAsia="宋体" w:cs="Times New Roman"/>
          <w:szCs w:val="24"/>
        </w:rPr>
        <w:t xml:space="preserve"> </w:t>
      </w:r>
      <w:r>
        <w:rPr>
          <w:rFonts w:ascii="Times New Roman" w:hAnsi="Times New Roman" w:eastAsia="宋体" w:cs="Times New Roman"/>
          <w:color w:val="000000"/>
          <w:sz w:val="24"/>
          <w:szCs w:val="24"/>
        </w:rPr>
        <w:t>能够获得课程基本概念与性质</w:t>
      </w:r>
      <w:r>
        <w:rPr>
          <w:rFonts w:ascii="Times New Roman" w:hAnsi="Times New Roman" w:eastAsia="宋体" w:cs="Times New Roman"/>
          <w:sz w:val="24"/>
          <w:szCs w:val="24"/>
        </w:rPr>
        <w:t>。</w:t>
      </w:r>
    </w:p>
    <w:p w14:paraId="730C6AA1">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目标2. </w:t>
      </w:r>
      <w:r>
        <w:rPr>
          <w:rFonts w:ascii="Times New Roman" w:hAnsi="Times New Roman" w:eastAsia="宋体" w:cs="Times New Roman"/>
          <w:color w:val="000000"/>
          <w:sz w:val="24"/>
          <w:szCs w:val="24"/>
        </w:rPr>
        <w:t>能够掌握本课程要求的计算方法</w:t>
      </w:r>
      <w:r>
        <w:rPr>
          <w:rFonts w:ascii="Times New Roman" w:hAnsi="Times New Roman" w:eastAsia="宋体" w:cs="Times New Roman"/>
          <w:sz w:val="24"/>
          <w:szCs w:val="24"/>
        </w:rPr>
        <w:t>。</w:t>
      </w:r>
    </w:p>
    <w:p w14:paraId="08850695">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目标3.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抽象概括、逻辑推理等能力。</w:t>
      </w:r>
    </w:p>
    <w:p w14:paraId="7B149495">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目标4. </w:t>
      </w:r>
      <w:r>
        <w:rPr>
          <w:rFonts w:ascii="Times New Roman" w:hAnsi="Times New Roman" w:eastAsia="宋体" w:cs="Times New Roman"/>
          <w:color w:val="000000"/>
          <w:sz w:val="24"/>
          <w:szCs w:val="24"/>
        </w:rPr>
        <w:t>能够</w:t>
      </w:r>
      <w:r>
        <w:rPr>
          <w:rFonts w:ascii="Times New Roman" w:hAnsi="Times New Roman" w:eastAsia="宋体" w:cs="Times New Roman"/>
          <w:sz w:val="24"/>
          <w:szCs w:val="24"/>
        </w:rPr>
        <w:t>具有一定的运算能力。</w:t>
      </w:r>
    </w:p>
    <w:p w14:paraId="4B3C9F5B">
      <w:pPr>
        <w:spacing w:line="360" w:lineRule="auto"/>
        <w:ind w:firstLine="482"/>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目标5. </w:t>
      </w:r>
      <w:r>
        <w:rPr>
          <w:rFonts w:ascii="Times New Roman" w:hAnsi="Times New Roman" w:eastAsia="宋体" w:cs="Times New Roman"/>
          <w:color w:val="000000"/>
          <w:sz w:val="24"/>
          <w:szCs w:val="24"/>
        </w:rPr>
        <w:t>能够具有一定的</w:t>
      </w:r>
      <w:r>
        <w:rPr>
          <w:rFonts w:ascii="Times New Roman" w:hAnsi="Times New Roman" w:eastAsia="宋体" w:cs="Times New Roman"/>
          <w:sz w:val="24"/>
          <w:szCs w:val="24"/>
        </w:rPr>
        <w:t>数学思维与分析能力。</w:t>
      </w:r>
    </w:p>
    <w:p w14:paraId="22D3A52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本课程支撑专业人才培养方案中毕业要求</w:t>
      </w:r>
      <w:r>
        <w:rPr>
          <w:rFonts w:ascii="Times New Roman" w:hAnsi="Times New Roman" w:eastAsia="宋体" w:cs="Times New Roman"/>
          <w:sz w:val="24"/>
          <w:szCs w:val="24"/>
        </w:rPr>
        <w:t>3</w:t>
      </w:r>
      <w:r>
        <w:rPr>
          <w:rFonts w:ascii="Times New Roman" w:hAnsi="Times New Roman" w:eastAsia="宋体" w:cs="Times New Roman"/>
          <w:szCs w:val="21"/>
        </w:rPr>
        <w:t>-1</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3</w:t>
      </w:r>
      <w:r>
        <w:rPr>
          <w:rFonts w:ascii="Times New Roman" w:hAnsi="Times New Roman" w:eastAsia="宋体" w:cs="Times New Roman"/>
          <w:szCs w:val="21"/>
        </w:rPr>
        <w:t>-2</w:t>
      </w:r>
      <w:r>
        <w:rPr>
          <w:rFonts w:ascii="Times New Roman" w:hAnsi="Times New Roman" w:eastAsia="宋体" w:cs="Times New Roman"/>
          <w:color w:val="000000"/>
          <w:sz w:val="24"/>
          <w:szCs w:val="24"/>
        </w:rPr>
        <w:t>，毕业要求</w:t>
      </w:r>
      <w:r>
        <w:rPr>
          <w:rFonts w:ascii="Times New Roman" w:hAnsi="Times New Roman" w:eastAsia="宋体" w:cs="Times New Roman"/>
          <w:sz w:val="24"/>
          <w:szCs w:val="24"/>
        </w:rPr>
        <w:t>6</w:t>
      </w:r>
      <w:r>
        <w:rPr>
          <w:rFonts w:ascii="Times New Roman" w:hAnsi="Times New Roman" w:eastAsia="宋体" w:cs="Times New Roman"/>
          <w:szCs w:val="21"/>
        </w:rPr>
        <w:t>-2</w:t>
      </w:r>
      <w:r>
        <w:rPr>
          <w:rFonts w:ascii="Times New Roman" w:hAnsi="Times New Roman" w:eastAsia="宋体" w:cs="Times New Roman"/>
          <w:color w:val="000000"/>
          <w:sz w:val="24"/>
          <w:szCs w:val="24"/>
        </w:rPr>
        <w:t>对应关系如表所示。</w:t>
      </w:r>
    </w:p>
    <w:tbl>
      <w:tblPr>
        <w:tblStyle w:val="30"/>
        <w:tblW w:w="9255" w:type="dxa"/>
        <w:tblInd w:w="93" w:type="dxa"/>
        <w:tblLayout w:type="fixed"/>
        <w:tblCellMar>
          <w:top w:w="0" w:type="dxa"/>
          <w:left w:w="108" w:type="dxa"/>
          <w:bottom w:w="0" w:type="dxa"/>
          <w:right w:w="108" w:type="dxa"/>
        </w:tblCellMar>
      </w:tblPr>
      <w:tblGrid>
        <w:gridCol w:w="1695"/>
        <w:gridCol w:w="945"/>
        <w:gridCol w:w="945"/>
        <w:gridCol w:w="945"/>
        <w:gridCol w:w="945"/>
        <w:gridCol w:w="945"/>
        <w:gridCol w:w="945"/>
        <w:gridCol w:w="945"/>
        <w:gridCol w:w="945"/>
      </w:tblGrid>
      <w:tr w14:paraId="1472CE0B">
        <w:tblPrEx>
          <w:tblCellMar>
            <w:top w:w="0" w:type="dxa"/>
            <w:left w:w="108" w:type="dxa"/>
            <w:bottom w:w="0" w:type="dxa"/>
            <w:right w:w="108" w:type="dxa"/>
          </w:tblCellMar>
        </w:tblPrEx>
        <w:trPr>
          <w:trHeight w:val="514" w:hRule="atLeast"/>
        </w:trPr>
        <w:tc>
          <w:tcPr>
            <w:tcW w:w="169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D330B38">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p>
          <w:p w14:paraId="1CC411BB">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指标点</w:t>
            </w:r>
          </w:p>
        </w:tc>
        <w:tc>
          <w:tcPr>
            <w:tcW w:w="7560" w:type="dxa"/>
            <w:gridSpan w:val="8"/>
            <w:tcBorders>
              <w:top w:val="single" w:color="auto" w:sz="4" w:space="0"/>
              <w:left w:val="nil"/>
              <w:bottom w:val="single" w:color="auto" w:sz="4" w:space="0"/>
              <w:right w:val="single" w:color="auto" w:sz="4" w:space="0"/>
            </w:tcBorders>
            <w:shd w:val="clear" w:color="auto" w:fill="FFFFFF"/>
            <w:vAlign w:val="center"/>
          </w:tcPr>
          <w:p w14:paraId="603689EB">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课程目标</w:t>
            </w:r>
          </w:p>
        </w:tc>
      </w:tr>
      <w:tr w14:paraId="2BA7B995">
        <w:tblPrEx>
          <w:tblCellMar>
            <w:top w:w="0" w:type="dxa"/>
            <w:left w:w="108" w:type="dxa"/>
            <w:bottom w:w="0" w:type="dxa"/>
            <w:right w:w="108" w:type="dxa"/>
          </w:tblCellMar>
        </w:tblPrEx>
        <w:trPr>
          <w:trHeight w:val="491" w:hRule="atLeast"/>
        </w:trPr>
        <w:tc>
          <w:tcPr>
            <w:tcW w:w="169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0A08083">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18C36C82">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目标1</w:t>
            </w:r>
          </w:p>
        </w:tc>
        <w:tc>
          <w:tcPr>
            <w:tcW w:w="945" w:type="dxa"/>
            <w:tcBorders>
              <w:top w:val="nil"/>
              <w:left w:val="nil"/>
              <w:bottom w:val="single" w:color="auto" w:sz="4" w:space="0"/>
              <w:right w:val="single" w:color="auto" w:sz="4" w:space="0"/>
            </w:tcBorders>
            <w:shd w:val="clear" w:color="auto" w:fill="FFFFFF"/>
            <w:vAlign w:val="center"/>
          </w:tcPr>
          <w:p w14:paraId="3B08510A">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目标2</w:t>
            </w:r>
          </w:p>
        </w:tc>
        <w:tc>
          <w:tcPr>
            <w:tcW w:w="945" w:type="dxa"/>
            <w:tcBorders>
              <w:top w:val="nil"/>
              <w:left w:val="nil"/>
              <w:bottom w:val="single" w:color="auto" w:sz="4" w:space="0"/>
              <w:right w:val="single" w:color="auto" w:sz="4" w:space="0"/>
            </w:tcBorders>
            <w:shd w:val="clear" w:color="auto" w:fill="FFFFFF"/>
            <w:vAlign w:val="center"/>
          </w:tcPr>
          <w:p w14:paraId="666C07FB">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目标3</w:t>
            </w:r>
          </w:p>
        </w:tc>
        <w:tc>
          <w:tcPr>
            <w:tcW w:w="945" w:type="dxa"/>
            <w:tcBorders>
              <w:top w:val="nil"/>
              <w:left w:val="nil"/>
              <w:bottom w:val="single" w:color="auto" w:sz="4" w:space="0"/>
              <w:right w:val="single" w:color="auto" w:sz="4" w:space="0"/>
            </w:tcBorders>
            <w:shd w:val="clear" w:color="auto" w:fill="FFFFFF"/>
            <w:vAlign w:val="center"/>
          </w:tcPr>
          <w:p w14:paraId="5BBA9776">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目标4</w:t>
            </w:r>
          </w:p>
        </w:tc>
        <w:tc>
          <w:tcPr>
            <w:tcW w:w="945" w:type="dxa"/>
            <w:tcBorders>
              <w:top w:val="nil"/>
              <w:left w:val="nil"/>
              <w:bottom w:val="single" w:color="auto" w:sz="4" w:space="0"/>
              <w:right w:val="single" w:color="auto" w:sz="4" w:space="0"/>
            </w:tcBorders>
            <w:shd w:val="clear" w:color="auto" w:fill="FFFFFF"/>
            <w:vAlign w:val="center"/>
          </w:tcPr>
          <w:p w14:paraId="6AE20C70">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目标5</w:t>
            </w:r>
          </w:p>
        </w:tc>
        <w:tc>
          <w:tcPr>
            <w:tcW w:w="945" w:type="dxa"/>
            <w:tcBorders>
              <w:top w:val="nil"/>
              <w:left w:val="nil"/>
              <w:bottom w:val="single" w:color="auto" w:sz="4" w:space="0"/>
              <w:right w:val="single" w:color="auto" w:sz="4" w:space="0"/>
            </w:tcBorders>
            <w:shd w:val="clear" w:color="auto" w:fill="FFFFFF"/>
            <w:vAlign w:val="center"/>
          </w:tcPr>
          <w:p w14:paraId="7304BD6C">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66CE0DC2">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shd w:val="clear" w:color="auto" w:fill="FFFFFF"/>
            <w:vAlign w:val="center"/>
          </w:tcPr>
          <w:p w14:paraId="1D2FD476">
            <w:pPr>
              <w:widowControl/>
              <w:spacing w:line="276" w:lineRule="auto"/>
              <w:jc w:val="center"/>
              <w:rPr>
                <w:rFonts w:ascii="Times New Roman" w:hAnsi="Times New Roman" w:eastAsia="宋体" w:cs="Times New Roman"/>
                <w:kern w:val="0"/>
                <w:szCs w:val="21"/>
              </w:rPr>
            </w:pPr>
          </w:p>
        </w:tc>
      </w:tr>
      <w:tr w14:paraId="114B3F59">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562A29C4">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3-1</w:t>
            </w:r>
          </w:p>
        </w:tc>
        <w:tc>
          <w:tcPr>
            <w:tcW w:w="945" w:type="dxa"/>
            <w:tcBorders>
              <w:top w:val="nil"/>
              <w:left w:val="nil"/>
              <w:bottom w:val="single" w:color="auto" w:sz="4" w:space="0"/>
              <w:right w:val="single" w:color="auto" w:sz="4" w:space="0"/>
            </w:tcBorders>
            <w:vAlign w:val="center"/>
          </w:tcPr>
          <w:p w14:paraId="671BAAFC">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FB7B7BC">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D8C4BEC">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05D9417A">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7102F14B">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25BB39F9">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A3D2690">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E983358">
            <w:pPr>
              <w:widowControl/>
              <w:spacing w:line="276" w:lineRule="auto"/>
              <w:jc w:val="center"/>
              <w:rPr>
                <w:rFonts w:ascii="Times New Roman" w:hAnsi="Times New Roman" w:eastAsia="宋体" w:cs="Times New Roman"/>
                <w:kern w:val="0"/>
                <w:szCs w:val="21"/>
              </w:rPr>
            </w:pPr>
          </w:p>
        </w:tc>
      </w:tr>
      <w:tr w14:paraId="6B5BA9EB">
        <w:tblPrEx>
          <w:tblCellMar>
            <w:top w:w="0" w:type="dxa"/>
            <w:left w:w="108" w:type="dxa"/>
            <w:bottom w:w="0" w:type="dxa"/>
            <w:right w:w="108" w:type="dxa"/>
          </w:tblCellMar>
        </w:tblPrEx>
        <w:trPr>
          <w:trHeight w:val="481" w:hRule="atLeast"/>
        </w:trPr>
        <w:tc>
          <w:tcPr>
            <w:tcW w:w="1695" w:type="dxa"/>
            <w:tcBorders>
              <w:top w:val="nil"/>
              <w:left w:val="single" w:color="auto" w:sz="4" w:space="0"/>
              <w:bottom w:val="single" w:color="auto" w:sz="4" w:space="0"/>
              <w:right w:val="single" w:color="auto" w:sz="4" w:space="0"/>
            </w:tcBorders>
            <w:vAlign w:val="center"/>
          </w:tcPr>
          <w:p w14:paraId="2E17A210">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3-2</w:t>
            </w:r>
          </w:p>
        </w:tc>
        <w:tc>
          <w:tcPr>
            <w:tcW w:w="945" w:type="dxa"/>
            <w:tcBorders>
              <w:top w:val="nil"/>
              <w:left w:val="nil"/>
              <w:bottom w:val="single" w:color="auto" w:sz="4" w:space="0"/>
              <w:right w:val="single" w:color="auto" w:sz="4" w:space="0"/>
            </w:tcBorders>
            <w:vAlign w:val="center"/>
          </w:tcPr>
          <w:p w14:paraId="59977D3C">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DDE493B">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166B1E60">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5903C705">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5C8EA291">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0B698A61">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2C8F0E32">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7FA09C3">
            <w:pPr>
              <w:widowControl/>
              <w:spacing w:line="276" w:lineRule="auto"/>
              <w:jc w:val="center"/>
              <w:rPr>
                <w:rFonts w:ascii="Times New Roman" w:hAnsi="Times New Roman" w:eastAsia="宋体" w:cs="Times New Roman"/>
                <w:kern w:val="0"/>
                <w:szCs w:val="21"/>
              </w:rPr>
            </w:pPr>
          </w:p>
        </w:tc>
      </w:tr>
      <w:tr w14:paraId="5321D494">
        <w:tblPrEx>
          <w:tblCellMar>
            <w:top w:w="0" w:type="dxa"/>
            <w:left w:w="108" w:type="dxa"/>
            <w:bottom w:w="0" w:type="dxa"/>
            <w:right w:w="108" w:type="dxa"/>
          </w:tblCellMar>
        </w:tblPrEx>
        <w:trPr>
          <w:trHeight w:val="470" w:hRule="atLeast"/>
        </w:trPr>
        <w:tc>
          <w:tcPr>
            <w:tcW w:w="1695" w:type="dxa"/>
            <w:tcBorders>
              <w:top w:val="nil"/>
              <w:left w:val="single" w:color="auto" w:sz="4" w:space="0"/>
              <w:bottom w:val="single" w:color="auto" w:sz="4" w:space="0"/>
              <w:right w:val="single" w:color="auto" w:sz="4" w:space="0"/>
            </w:tcBorders>
            <w:vAlign w:val="center"/>
          </w:tcPr>
          <w:p w14:paraId="768DE899">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毕业要求</w:t>
            </w:r>
            <w:r>
              <w:rPr>
                <w:rFonts w:ascii="Times New Roman" w:hAnsi="Times New Roman" w:eastAsia="宋体" w:cs="Times New Roman"/>
                <w:szCs w:val="21"/>
              </w:rPr>
              <w:t>6-2</w:t>
            </w:r>
          </w:p>
        </w:tc>
        <w:tc>
          <w:tcPr>
            <w:tcW w:w="945" w:type="dxa"/>
            <w:tcBorders>
              <w:top w:val="nil"/>
              <w:left w:val="nil"/>
              <w:bottom w:val="single" w:color="auto" w:sz="4" w:space="0"/>
              <w:right w:val="single" w:color="auto" w:sz="4" w:space="0"/>
            </w:tcBorders>
            <w:vAlign w:val="center"/>
          </w:tcPr>
          <w:p w14:paraId="5A3F1819">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F9021D5">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30092666">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1E520990">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6B1D3FBD">
            <w:pPr>
              <w:widowControl/>
              <w:spacing w:line="276"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945" w:type="dxa"/>
            <w:tcBorders>
              <w:top w:val="nil"/>
              <w:left w:val="nil"/>
              <w:bottom w:val="single" w:color="auto" w:sz="4" w:space="0"/>
              <w:right w:val="single" w:color="auto" w:sz="4" w:space="0"/>
            </w:tcBorders>
            <w:vAlign w:val="center"/>
          </w:tcPr>
          <w:p w14:paraId="64638A52">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9E9C963">
            <w:pPr>
              <w:widowControl/>
              <w:spacing w:line="276" w:lineRule="auto"/>
              <w:jc w:val="center"/>
              <w:rPr>
                <w:rFonts w:ascii="Times New Roman" w:hAnsi="Times New Roman" w:eastAsia="宋体" w:cs="Times New Roman"/>
                <w:kern w:val="0"/>
                <w:szCs w:val="21"/>
              </w:rPr>
            </w:pPr>
          </w:p>
        </w:tc>
        <w:tc>
          <w:tcPr>
            <w:tcW w:w="945" w:type="dxa"/>
            <w:tcBorders>
              <w:top w:val="nil"/>
              <w:left w:val="nil"/>
              <w:bottom w:val="single" w:color="auto" w:sz="4" w:space="0"/>
              <w:right w:val="single" w:color="auto" w:sz="4" w:space="0"/>
            </w:tcBorders>
            <w:vAlign w:val="center"/>
          </w:tcPr>
          <w:p w14:paraId="7B4D6034">
            <w:pPr>
              <w:widowControl/>
              <w:spacing w:line="276" w:lineRule="auto"/>
              <w:jc w:val="center"/>
              <w:rPr>
                <w:rFonts w:ascii="Times New Roman" w:hAnsi="Times New Roman" w:eastAsia="宋体" w:cs="Times New Roman"/>
                <w:kern w:val="0"/>
                <w:szCs w:val="21"/>
              </w:rPr>
            </w:pPr>
          </w:p>
        </w:tc>
      </w:tr>
    </w:tbl>
    <w:p w14:paraId="7A0D17C4">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三、课程内容及要求</w:t>
      </w:r>
    </w:p>
    <w:p w14:paraId="7A8B4D34">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（一）数学竞赛概述</w:t>
      </w:r>
    </w:p>
    <w:p w14:paraId="7A04ADC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4A6E1E61">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（1）能够</w:t>
      </w:r>
      <w:r>
        <w:rPr>
          <w:rFonts w:ascii="Times New Roman" w:hAnsi="Times New Roman" w:eastAsia="宋体" w:cs="Times New Roman"/>
          <w:sz w:val="24"/>
          <w:szCs w:val="21"/>
        </w:rPr>
        <w:t>了解</w:t>
      </w:r>
      <w:r>
        <w:rPr>
          <w:rFonts w:ascii="Times New Roman" w:hAnsi="Times New Roman" w:eastAsia="宋体" w:cs="Times New Roman"/>
          <w:sz w:val="24"/>
          <w:szCs w:val="24"/>
        </w:rPr>
        <w:t>数学竞赛的教育价值</w:t>
      </w:r>
    </w:p>
    <w:p w14:paraId="39F3229D">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（2）</w:t>
      </w:r>
      <w:r>
        <w:rPr>
          <w:rFonts w:ascii="Times New Roman" w:hAnsi="Times New Roman" w:eastAsia="宋体" w:cs="Times New Roman"/>
          <w:sz w:val="24"/>
          <w:szCs w:val="24"/>
        </w:rPr>
        <w:t>能够</w:t>
      </w:r>
      <w:r>
        <w:rPr>
          <w:rFonts w:ascii="Times New Roman" w:hAnsi="Times New Roman" w:eastAsia="宋体" w:cs="Times New Roman"/>
          <w:sz w:val="24"/>
          <w:szCs w:val="21"/>
        </w:rPr>
        <w:t>了解</w:t>
      </w:r>
      <w:r>
        <w:rPr>
          <w:rFonts w:ascii="Times New Roman" w:hAnsi="Times New Roman" w:eastAsia="宋体" w:cs="Times New Roman"/>
          <w:sz w:val="24"/>
          <w:szCs w:val="24"/>
        </w:rPr>
        <w:t>小学数学竞赛的组织</w:t>
      </w:r>
    </w:p>
    <w:p w14:paraId="57F4FC7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（3）能够</w:t>
      </w:r>
      <w:r>
        <w:rPr>
          <w:rFonts w:ascii="Times New Roman" w:hAnsi="Times New Roman" w:eastAsia="宋体" w:cs="Times New Roman"/>
          <w:sz w:val="24"/>
          <w:szCs w:val="21"/>
        </w:rPr>
        <w:t>了解</w:t>
      </w:r>
      <w:r>
        <w:rPr>
          <w:rFonts w:ascii="Times New Roman" w:hAnsi="Times New Roman" w:eastAsia="宋体" w:cs="Times New Roman"/>
          <w:sz w:val="24"/>
          <w:szCs w:val="24"/>
        </w:rPr>
        <w:t>竞赛选手的选拔和培训</w:t>
      </w:r>
    </w:p>
    <w:p w14:paraId="115A8CCC">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4"/>
        </w:rPr>
        <w:t>（4）能够</w:t>
      </w:r>
      <w:r>
        <w:rPr>
          <w:rFonts w:ascii="Times New Roman" w:hAnsi="Times New Roman" w:eastAsia="宋体" w:cs="Times New Roman"/>
          <w:sz w:val="24"/>
          <w:szCs w:val="21"/>
        </w:rPr>
        <w:t>了解</w:t>
      </w:r>
      <w:r>
        <w:rPr>
          <w:rFonts w:ascii="Times New Roman" w:hAnsi="Times New Roman" w:eastAsia="宋体" w:cs="Times New Roman"/>
          <w:sz w:val="24"/>
          <w:szCs w:val="24"/>
        </w:rPr>
        <w:t>小学数学竞赛试题的特点和命题原则</w:t>
      </w:r>
    </w:p>
    <w:p w14:paraId="7B1DFF9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3BDA20C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数学竞赛的教育价值</w:t>
      </w:r>
      <w:r>
        <w:rPr>
          <w:rFonts w:ascii="Times New Roman" w:hAnsi="Times New Roman" w:eastAsia="宋体" w:cs="Times New Roman"/>
          <w:sz w:val="24"/>
          <w:szCs w:val="21"/>
        </w:rPr>
        <w:t>。</w:t>
      </w:r>
    </w:p>
    <w:p w14:paraId="4B62F02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19B07FC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5535AA8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4B1CA71">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（二）竞赛题解题方法</w:t>
      </w:r>
    </w:p>
    <w:p w14:paraId="30C4124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1.教学内容</w:t>
      </w:r>
    </w:p>
    <w:p w14:paraId="456D508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分析法与综合法</w:t>
      </w:r>
    </w:p>
    <w:p w14:paraId="5887AE9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演绎法</w:t>
      </w:r>
    </w:p>
    <w:p w14:paraId="62D9412D">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归纳法与类比法</w:t>
      </w:r>
    </w:p>
    <w:p w14:paraId="07E4E13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假设法与逆推法</w:t>
      </w:r>
    </w:p>
    <w:p w14:paraId="2D39F7D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化归法与递推法</w:t>
      </w:r>
    </w:p>
    <w:p w14:paraId="59A0963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试验法与列举筛选法</w:t>
      </w:r>
    </w:p>
    <w:p w14:paraId="5F7A370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（7）</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代数法</w:t>
      </w:r>
    </w:p>
    <w:p w14:paraId="5F82197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（8）</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几何法</w:t>
      </w:r>
    </w:p>
    <w:p w14:paraId="28907B1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（9）</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集合论方法</w:t>
      </w:r>
    </w:p>
    <w:p w14:paraId="53CF11B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color w:val="000000"/>
          <w:sz w:val="24"/>
          <w:szCs w:val="24"/>
        </w:rPr>
        <w:t>（10）</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组合论方法</w:t>
      </w:r>
    </w:p>
    <w:p w14:paraId="2C7AAA8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（11）</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概率论方法</w:t>
      </w:r>
    </w:p>
    <w:p w14:paraId="06DE58D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（12）</w:t>
      </w:r>
      <w:r>
        <w:rPr>
          <w:rFonts w:ascii="Times New Roman" w:hAnsi="Times New Roman" w:eastAsia="宋体" w:cs="Times New Roman"/>
          <w:sz w:val="24"/>
          <w:szCs w:val="24"/>
        </w:rPr>
        <w:t>能够</w:t>
      </w:r>
      <w:r>
        <w:rPr>
          <w:rFonts w:ascii="Times New Roman" w:hAnsi="Times New Roman" w:eastAsia="宋体" w:cs="Times New Roman"/>
          <w:sz w:val="24"/>
          <w:szCs w:val="21"/>
        </w:rPr>
        <w:t>理解</w:t>
      </w:r>
      <w:r>
        <w:rPr>
          <w:rFonts w:ascii="Times New Roman" w:hAnsi="Times New Roman" w:eastAsia="宋体" w:cs="Times New Roman"/>
          <w:sz w:val="24"/>
          <w:szCs w:val="24"/>
        </w:rPr>
        <w:t>构造法</w:t>
      </w:r>
    </w:p>
    <w:p w14:paraId="7316A9C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575594D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（1）重点与</w:t>
      </w:r>
      <w:r>
        <w:rPr>
          <w:rFonts w:ascii="Times New Roman" w:hAnsi="Times New Roman" w:eastAsia="宋体" w:cs="Times New Roman"/>
          <w:color w:val="000000"/>
          <w:sz w:val="24"/>
          <w:szCs w:val="24"/>
        </w:rPr>
        <w:t>难点：</w:t>
      </w:r>
      <w:r>
        <w:rPr>
          <w:rFonts w:ascii="Times New Roman" w:hAnsi="Times New Roman" w:eastAsia="宋体" w:cs="Times New Roman"/>
          <w:sz w:val="24"/>
          <w:szCs w:val="24"/>
        </w:rPr>
        <w:t>小学数学竞赛问题的各种方法和原理，理解各种方法的本质</w:t>
      </w:r>
      <w:r>
        <w:rPr>
          <w:rFonts w:ascii="Times New Roman" w:hAnsi="Times New Roman" w:eastAsia="宋体" w:cs="Times New Roman"/>
          <w:sz w:val="24"/>
          <w:szCs w:val="21"/>
        </w:rPr>
        <w:t>。</w:t>
      </w:r>
    </w:p>
    <w:p w14:paraId="1F35764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07834F8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3F4937D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299EE96C">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（三）小学数学竞赛题分类研究</w:t>
      </w:r>
    </w:p>
    <w:p w14:paraId="7D1C9E7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1.教学内容</w:t>
      </w:r>
    </w:p>
    <w:p w14:paraId="1BEA851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巧算与估算</w:t>
      </w:r>
    </w:p>
    <w:p w14:paraId="0A9452B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数列、数阵与幻方</w:t>
      </w:r>
    </w:p>
    <w:p w14:paraId="2F35D2F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周期问题</w:t>
      </w:r>
    </w:p>
    <w:p w14:paraId="0F5AB21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进位制问题</w:t>
      </w:r>
    </w:p>
    <w:p w14:paraId="6AEF90B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四则计算应用题</w:t>
      </w:r>
    </w:p>
    <w:p w14:paraId="2BB50962">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长度和角度</w:t>
      </w:r>
    </w:p>
    <w:p w14:paraId="2B7D432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面积和体积</w:t>
      </w:r>
    </w:p>
    <w:p w14:paraId="67F339D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（8）</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截面、展开图和三视图</w:t>
      </w:r>
    </w:p>
    <w:p w14:paraId="1D9AB3C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（9）</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图形、游戏和操作</w:t>
      </w:r>
    </w:p>
    <w:p w14:paraId="270B67E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（10）</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整除问题</w:t>
      </w:r>
    </w:p>
    <w:p w14:paraId="298B1FA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同余问题</w:t>
      </w:r>
    </w:p>
    <w:p w14:paraId="4E02ADF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（12）</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约数与倍数</w:t>
      </w:r>
    </w:p>
    <w:p w14:paraId="22859E6E">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（13）</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奇偶性问题</w:t>
      </w:r>
    </w:p>
    <w:p w14:paraId="692F290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（14）</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质数、合数与质因数分解</w:t>
      </w:r>
    </w:p>
    <w:p w14:paraId="1CDC9B4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（15）</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不定方程问题</w:t>
      </w:r>
    </w:p>
    <w:p w14:paraId="0DDBE30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（16）</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最大与最小</w:t>
      </w:r>
    </w:p>
    <w:p w14:paraId="5363942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（17）</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统筹与规划</w:t>
      </w:r>
    </w:p>
    <w:p w14:paraId="055F4BE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（18）</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邮路问题和推销员问题</w:t>
      </w:r>
    </w:p>
    <w:p w14:paraId="7576E9B6">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（19）</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染色问题和覆盖问题</w:t>
      </w:r>
    </w:p>
    <w:p w14:paraId="7CE8A7A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（20）</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概率问题</w:t>
      </w:r>
    </w:p>
    <w:p w14:paraId="243B53CF">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（21）</w:t>
      </w:r>
      <w:r>
        <w:rPr>
          <w:rFonts w:ascii="Times New Roman" w:hAnsi="Times New Roman" w:eastAsia="宋体" w:cs="Times New Roman"/>
          <w:sz w:val="24"/>
          <w:szCs w:val="24"/>
        </w:rPr>
        <w:t>能够</w:t>
      </w:r>
      <w:r>
        <w:rPr>
          <w:rFonts w:ascii="Times New Roman" w:hAnsi="Times New Roman" w:eastAsia="宋体" w:cs="Times New Roman"/>
          <w:sz w:val="24"/>
          <w:szCs w:val="21"/>
        </w:rPr>
        <w:t>掌握</w:t>
      </w:r>
      <w:r>
        <w:rPr>
          <w:rFonts w:ascii="Times New Roman" w:hAnsi="Times New Roman" w:eastAsia="宋体" w:cs="Times New Roman"/>
          <w:color w:val="000000"/>
          <w:sz w:val="24"/>
          <w:szCs w:val="24"/>
        </w:rPr>
        <w:t>逻辑推理题和反驳诡辩题</w:t>
      </w:r>
    </w:p>
    <w:p w14:paraId="2547890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2.基本要求</w:t>
      </w:r>
    </w:p>
    <w:p w14:paraId="41FAF9A3">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（1）重点与难点：</w:t>
      </w:r>
      <w:r>
        <w:rPr>
          <w:rFonts w:ascii="Times New Roman" w:hAnsi="Times New Roman" w:eastAsia="宋体" w:cs="Times New Roman"/>
          <w:sz w:val="24"/>
          <w:szCs w:val="24"/>
        </w:rPr>
        <w:t>各种方法的特征和适用范围、注意事项，数学思维</w:t>
      </w:r>
      <w:r>
        <w:rPr>
          <w:rFonts w:ascii="Times New Roman" w:hAnsi="Times New Roman" w:eastAsia="宋体" w:cs="Times New Roman"/>
          <w:color w:val="000000"/>
          <w:sz w:val="24"/>
          <w:szCs w:val="24"/>
        </w:rPr>
        <w:t>。</w:t>
      </w:r>
    </w:p>
    <w:p w14:paraId="60947118">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（2）教</w:t>
      </w:r>
      <w:r>
        <w:rPr>
          <w:rFonts w:ascii="Times New Roman" w:hAnsi="Times New Roman" w:eastAsia="宋体" w:cs="Times New Roman"/>
          <w:color w:val="000000"/>
          <w:sz w:val="24"/>
          <w:szCs w:val="24"/>
        </w:rPr>
        <w:t>学方法：启发式互动讲授结合多媒体辅助；适当课堂练习；及时了解学生的作业状况并对共同的问题作及时解答；安排好课后答疑。</w:t>
      </w:r>
    </w:p>
    <w:p w14:paraId="3B139C4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3.思政内容</w:t>
      </w:r>
    </w:p>
    <w:p w14:paraId="01F485D7">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注重理论联系实际，尊重客观规律，树立社会主义核心价值观，增强专业素养，强调理论对实践的指导意义。</w:t>
      </w:r>
    </w:p>
    <w:p w14:paraId="73807C5C">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教学内容与课程目标的对应关系及学时分配如表所示。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82D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1CAE393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序号</w:t>
            </w:r>
          </w:p>
        </w:tc>
        <w:tc>
          <w:tcPr>
            <w:tcW w:w="3476" w:type="dxa"/>
            <w:shd w:val="clear" w:color="auto" w:fill="FFFFFF"/>
            <w:vAlign w:val="center"/>
          </w:tcPr>
          <w:p w14:paraId="689EF6F6">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教学内容</w:t>
            </w:r>
          </w:p>
        </w:tc>
        <w:tc>
          <w:tcPr>
            <w:tcW w:w="1701" w:type="dxa"/>
            <w:shd w:val="clear" w:color="auto" w:fill="FFFFFF"/>
            <w:vAlign w:val="center"/>
          </w:tcPr>
          <w:p w14:paraId="7D94A8BF">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支撑的课程目标</w:t>
            </w:r>
          </w:p>
        </w:tc>
        <w:tc>
          <w:tcPr>
            <w:tcW w:w="1853" w:type="dxa"/>
            <w:shd w:val="clear" w:color="auto" w:fill="FFFFFF"/>
            <w:vAlign w:val="center"/>
          </w:tcPr>
          <w:p w14:paraId="66EAB4FE">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支撑的毕业要求</w:t>
            </w:r>
          </w:p>
          <w:p w14:paraId="592BE8A3">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指标点</w:t>
            </w:r>
          </w:p>
        </w:tc>
        <w:tc>
          <w:tcPr>
            <w:tcW w:w="735" w:type="dxa"/>
            <w:shd w:val="clear" w:color="auto" w:fill="FFFFFF"/>
            <w:vAlign w:val="center"/>
          </w:tcPr>
          <w:p w14:paraId="38EF2817">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讲授学时</w:t>
            </w:r>
          </w:p>
        </w:tc>
        <w:tc>
          <w:tcPr>
            <w:tcW w:w="735" w:type="dxa"/>
            <w:shd w:val="clear" w:color="auto" w:fill="FFFFFF"/>
            <w:vAlign w:val="center"/>
          </w:tcPr>
          <w:p w14:paraId="278BD579">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实验学时</w:t>
            </w:r>
          </w:p>
        </w:tc>
      </w:tr>
      <w:tr w14:paraId="68BC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FA15F65">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3476" w:type="dxa"/>
          </w:tcPr>
          <w:p w14:paraId="79E25225">
            <w:pPr>
              <w:jc w:val="center"/>
              <w:rPr>
                <w:rFonts w:ascii="Times New Roman" w:hAnsi="Times New Roman" w:eastAsia="宋体" w:cs="Times New Roman"/>
                <w:szCs w:val="24"/>
              </w:rPr>
            </w:pPr>
            <w:r>
              <w:rPr>
                <w:rFonts w:ascii="Times New Roman" w:hAnsi="Times New Roman" w:eastAsia="宋体" w:cs="Times New Roman"/>
                <w:szCs w:val="24"/>
              </w:rPr>
              <w:t>数学竞赛概述</w:t>
            </w:r>
          </w:p>
        </w:tc>
        <w:tc>
          <w:tcPr>
            <w:tcW w:w="1701" w:type="dxa"/>
            <w:vAlign w:val="center"/>
          </w:tcPr>
          <w:p w14:paraId="2651095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课程目标1-3</w:t>
            </w:r>
          </w:p>
        </w:tc>
        <w:tc>
          <w:tcPr>
            <w:tcW w:w="1853" w:type="dxa"/>
            <w:vAlign w:val="center"/>
          </w:tcPr>
          <w:p w14:paraId="6B52B7B4">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735" w:type="dxa"/>
          </w:tcPr>
          <w:p w14:paraId="12BAE015">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735" w:type="dxa"/>
            <w:vAlign w:val="center"/>
          </w:tcPr>
          <w:p w14:paraId="23DCAD04">
            <w:pPr>
              <w:jc w:val="center"/>
              <w:rPr>
                <w:rFonts w:ascii="Times New Roman" w:hAnsi="Times New Roman" w:eastAsia="宋体" w:cs="Times New Roman"/>
                <w:szCs w:val="21"/>
              </w:rPr>
            </w:pPr>
          </w:p>
        </w:tc>
      </w:tr>
      <w:tr w14:paraId="7AF4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AE8263E">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3476" w:type="dxa"/>
          </w:tcPr>
          <w:p w14:paraId="0DD27C5F">
            <w:pPr>
              <w:jc w:val="center"/>
              <w:rPr>
                <w:rFonts w:ascii="Times New Roman" w:hAnsi="Times New Roman" w:eastAsia="宋体" w:cs="Times New Roman"/>
                <w:szCs w:val="24"/>
              </w:rPr>
            </w:pPr>
            <w:r>
              <w:rPr>
                <w:rFonts w:ascii="Times New Roman" w:hAnsi="Times New Roman" w:eastAsia="宋体" w:cs="Times New Roman"/>
                <w:szCs w:val="24"/>
              </w:rPr>
              <w:t>竞赛题解题方法</w:t>
            </w:r>
          </w:p>
        </w:tc>
        <w:tc>
          <w:tcPr>
            <w:tcW w:w="1701" w:type="dxa"/>
            <w:vAlign w:val="center"/>
          </w:tcPr>
          <w:p w14:paraId="0EA035C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3D00C60E">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3F647A33">
            <w:pPr>
              <w:jc w:val="center"/>
              <w:rPr>
                <w:rFonts w:ascii="Times New Roman" w:hAnsi="Times New Roman" w:eastAsia="宋体" w:cs="Times New Roman"/>
                <w:szCs w:val="24"/>
              </w:rPr>
            </w:pPr>
            <w:r>
              <w:rPr>
                <w:rFonts w:ascii="Times New Roman" w:hAnsi="Times New Roman" w:eastAsia="宋体" w:cs="Times New Roman"/>
                <w:szCs w:val="24"/>
              </w:rPr>
              <w:t>10</w:t>
            </w:r>
          </w:p>
        </w:tc>
        <w:tc>
          <w:tcPr>
            <w:tcW w:w="735" w:type="dxa"/>
            <w:vAlign w:val="center"/>
          </w:tcPr>
          <w:p w14:paraId="0AC0C723">
            <w:pPr>
              <w:jc w:val="center"/>
              <w:rPr>
                <w:rFonts w:ascii="Times New Roman" w:hAnsi="Times New Roman" w:eastAsia="宋体" w:cs="Times New Roman"/>
                <w:szCs w:val="21"/>
              </w:rPr>
            </w:pPr>
          </w:p>
        </w:tc>
      </w:tr>
      <w:tr w14:paraId="40B2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6AB0EC3">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3476" w:type="dxa"/>
          </w:tcPr>
          <w:p w14:paraId="70500EEF">
            <w:pPr>
              <w:jc w:val="center"/>
              <w:rPr>
                <w:rFonts w:ascii="Times New Roman" w:hAnsi="Times New Roman" w:eastAsia="宋体" w:cs="Times New Roman"/>
                <w:szCs w:val="24"/>
              </w:rPr>
            </w:pPr>
            <w:r>
              <w:rPr>
                <w:rFonts w:ascii="Times New Roman" w:hAnsi="Times New Roman" w:eastAsia="宋体" w:cs="Times New Roman"/>
                <w:szCs w:val="24"/>
              </w:rPr>
              <w:t>小学数学竞赛题分类研究</w:t>
            </w:r>
          </w:p>
        </w:tc>
        <w:tc>
          <w:tcPr>
            <w:tcW w:w="1701" w:type="dxa"/>
            <w:vAlign w:val="center"/>
          </w:tcPr>
          <w:p w14:paraId="45A605F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课程目标1-5</w:t>
            </w:r>
          </w:p>
        </w:tc>
        <w:tc>
          <w:tcPr>
            <w:tcW w:w="1853" w:type="dxa"/>
          </w:tcPr>
          <w:p w14:paraId="3A2C1931">
            <w:pPr>
              <w:jc w:val="center"/>
              <w:rPr>
                <w:rFonts w:ascii="Times New Roman" w:hAnsi="Times New Roman" w:eastAsia="宋体" w:cs="Times New Roman"/>
                <w:szCs w:val="24"/>
              </w:rPr>
            </w:pPr>
            <w:r>
              <w:rPr>
                <w:rFonts w:ascii="Times New Roman" w:hAnsi="Times New Roman" w:eastAsia="宋体" w:cs="Times New Roman"/>
                <w:szCs w:val="21"/>
              </w:rPr>
              <w:t>3-1</w:t>
            </w:r>
            <w:r>
              <w:rPr>
                <w:rFonts w:ascii="Times New Roman" w:hAnsi="Times New Roman" w:eastAsia="宋体" w:cs="Times New Roman"/>
                <w:color w:val="000000"/>
                <w:szCs w:val="21"/>
              </w:rPr>
              <w:t>、</w:t>
            </w:r>
            <w:r>
              <w:rPr>
                <w:rFonts w:ascii="Times New Roman" w:hAnsi="Times New Roman" w:eastAsia="宋体" w:cs="Times New Roman"/>
                <w:szCs w:val="21"/>
              </w:rPr>
              <w:t>3-2</w:t>
            </w:r>
          </w:p>
        </w:tc>
        <w:tc>
          <w:tcPr>
            <w:tcW w:w="735" w:type="dxa"/>
          </w:tcPr>
          <w:p w14:paraId="3E48EFC9">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735" w:type="dxa"/>
            <w:vAlign w:val="center"/>
          </w:tcPr>
          <w:p w14:paraId="1F2B04D3">
            <w:pPr>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14:paraId="4BE8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6C7672A6">
            <w:pPr>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35" w:type="dxa"/>
            <w:vAlign w:val="center"/>
          </w:tcPr>
          <w:p w14:paraId="1A3479E3">
            <w:pPr>
              <w:jc w:val="center"/>
              <w:rPr>
                <w:rFonts w:ascii="Times New Roman" w:hAnsi="Times New Roman" w:eastAsia="宋体" w:cs="Times New Roman"/>
                <w:szCs w:val="21"/>
              </w:rPr>
            </w:pPr>
            <w:r>
              <w:rPr>
                <w:rFonts w:hint="eastAsia" w:ascii="Times New Roman" w:hAnsi="Times New Roman" w:eastAsia="宋体" w:cs="Times New Roman"/>
                <w:szCs w:val="21"/>
              </w:rPr>
              <w:t>32</w:t>
            </w:r>
          </w:p>
        </w:tc>
        <w:tc>
          <w:tcPr>
            <w:tcW w:w="735" w:type="dxa"/>
            <w:vAlign w:val="center"/>
          </w:tcPr>
          <w:p w14:paraId="67B69366">
            <w:pPr>
              <w:jc w:val="center"/>
              <w:rPr>
                <w:rFonts w:ascii="Times New Roman" w:hAnsi="Times New Roman" w:eastAsia="宋体" w:cs="Times New Roman"/>
                <w:szCs w:val="21"/>
              </w:rPr>
            </w:pPr>
          </w:p>
        </w:tc>
      </w:tr>
    </w:tbl>
    <w:p w14:paraId="0B2ABD68">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四、课程实施</w:t>
      </w:r>
    </w:p>
    <w:p w14:paraId="4EA0F4C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主要教学环节质量要求如表所示。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BFD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240EECFA">
            <w:pPr>
              <w:jc w:val="center"/>
              <w:rPr>
                <w:rFonts w:ascii="Times New Roman" w:hAnsi="Times New Roman" w:eastAsia="宋体" w:cs="Times New Roman"/>
                <w:szCs w:val="21"/>
              </w:rPr>
            </w:pPr>
            <w:r>
              <w:rPr>
                <w:rFonts w:ascii="Times New Roman" w:hAnsi="Times New Roman" w:eastAsia="宋体" w:cs="Times New Roman"/>
                <w:bCs/>
                <w:szCs w:val="21"/>
              </w:rPr>
              <w:t>主要教学环节</w:t>
            </w:r>
          </w:p>
        </w:tc>
        <w:tc>
          <w:tcPr>
            <w:tcW w:w="6773" w:type="dxa"/>
            <w:tcBorders>
              <w:top w:val="single" w:color="auto" w:sz="8" w:space="0"/>
              <w:left w:val="single" w:color="auto" w:sz="8" w:space="0"/>
              <w:right w:val="single" w:color="auto" w:sz="8" w:space="0"/>
            </w:tcBorders>
            <w:vAlign w:val="center"/>
          </w:tcPr>
          <w:p w14:paraId="281198E5">
            <w:pPr>
              <w:jc w:val="center"/>
              <w:rPr>
                <w:rFonts w:ascii="Times New Roman" w:hAnsi="Times New Roman" w:eastAsia="宋体" w:cs="Times New Roman"/>
                <w:szCs w:val="21"/>
              </w:rPr>
            </w:pPr>
            <w:r>
              <w:rPr>
                <w:rFonts w:ascii="Times New Roman" w:hAnsi="Times New Roman" w:eastAsia="宋体" w:cs="Times New Roman"/>
                <w:bCs/>
                <w:szCs w:val="21"/>
              </w:rPr>
              <w:t>质量要求</w:t>
            </w:r>
          </w:p>
        </w:tc>
      </w:tr>
      <w:tr w14:paraId="4632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4E77CF4B">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91" w:type="dxa"/>
            <w:tcMar>
              <w:left w:w="28" w:type="dxa"/>
              <w:right w:w="28" w:type="dxa"/>
            </w:tcMar>
            <w:vAlign w:val="center"/>
          </w:tcPr>
          <w:p w14:paraId="3DECB446">
            <w:pPr>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773" w:type="dxa"/>
            <w:tcBorders>
              <w:right w:val="single" w:color="auto" w:sz="8" w:space="0"/>
            </w:tcBorders>
            <w:vAlign w:val="center"/>
          </w:tcPr>
          <w:p w14:paraId="37E5DE5A">
            <w:pPr>
              <w:spacing w:line="276" w:lineRule="auto"/>
              <w:rPr>
                <w:rFonts w:ascii="Times New Roman" w:hAnsi="Times New Roman" w:eastAsia="宋体" w:cs="Times New Roman"/>
                <w:szCs w:val="21"/>
              </w:rPr>
            </w:pPr>
            <w:r>
              <w:rPr>
                <w:rFonts w:ascii="Times New Roman" w:hAnsi="Times New Roman" w:eastAsia="宋体" w:cs="Times New Roman"/>
                <w:szCs w:val="21"/>
              </w:rPr>
              <w:t>（1）掌握本课程教学大纲内容，严格按照教学大纲要求进行本课程教学内容的组织；</w:t>
            </w:r>
          </w:p>
          <w:p w14:paraId="696AD45C">
            <w:pPr>
              <w:spacing w:line="276" w:lineRule="auto"/>
              <w:rPr>
                <w:rFonts w:ascii="Times New Roman" w:hAnsi="Times New Roman" w:eastAsia="宋体" w:cs="Times New Roman"/>
                <w:szCs w:val="21"/>
              </w:rPr>
            </w:pPr>
            <w:r>
              <w:rPr>
                <w:rFonts w:ascii="Times New Roman" w:hAnsi="Times New Roman" w:eastAsia="宋体" w:cs="Times New Roman"/>
                <w:szCs w:val="21"/>
              </w:rPr>
              <w:t>（2）熟悉教材各章节，借助相关专业书籍资料，并依据教学大纲编写授课计划，编写每次授课的教案。教案内容包括章节标题、教学目的、教法设计、课堂类型、时间分配、授课内容、课后作业、教学效果分析等方面；</w:t>
            </w:r>
          </w:p>
          <w:p w14:paraId="44998237">
            <w:pPr>
              <w:spacing w:line="276" w:lineRule="auto"/>
              <w:rPr>
                <w:rFonts w:ascii="Times New Roman" w:hAnsi="Times New Roman" w:eastAsia="宋体" w:cs="Times New Roman"/>
                <w:szCs w:val="21"/>
              </w:rPr>
            </w:pPr>
            <w:r>
              <w:rPr>
                <w:rFonts w:ascii="Times New Roman" w:hAnsi="Times New Roman" w:eastAsia="宋体" w:cs="Times New Roman"/>
                <w:szCs w:val="21"/>
              </w:rPr>
              <w:t xml:space="preserve">（3）结合课程特点，适度运用多媒体教学手段讲授部分教学内容； </w:t>
            </w:r>
          </w:p>
          <w:p w14:paraId="23BADD53">
            <w:pPr>
              <w:spacing w:line="276" w:lineRule="auto"/>
              <w:rPr>
                <w:rFonts w:ascii="Times New Roman" w:hAnsi="Times New Roman" w:eastAsia="宋体" w:cs="Times New Roman"/>
                <w:sz w:val="24"/>
                <w:szCs w:val="24"/>
              </w:rPr>
            </w:pPr>
            <w:r>
              <w:rPr>
                <w:rFonts w:ascii="Times New Roman" w:hAnsi="Times New Roman" w:eastAsia="宋体" w:cs="Times New Roman"/>
                <w:szCs w:val="21"/>
              </w:rPr>
              <w:t>（4）确定各章节课程内容的教学方法，构思授课思路、技巧和方法。</w:t>
            </w:r>
          </w:p>
        </w:tc>
      </w:tr>
      <w:tr w14:paraId="56E7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78BAE9EF">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691" w:type="dxa"/>
            <w:tcMar>
              <w:left w:w="28" w:type="dxa"/>
              <w:right w:w="28" w:type="dxa"/>
            </w:tcMar>
            <w:vAlign w:val="center"/>
          </w:tcPr>
          <w:p w14:paraId="58295D47">
            <w:pPr>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773" w:type="dxa"/>
            <w:tcBorders>
              <w:right w:val="single" w:color="auto" w:sz="8" w:space="0"/>
            </w:tcBorders>
            <w:vAlign w:val="center"/>
          </w:tcPr>
          <w:p w14:paraId="0933699F">
            <w:pPr>
              <w:spacing w:line="276" w:lineRule="auto"/>
              <w:rPr>
                <w:rFonts w:ascii="Times New Roman" w:hAnsi="Times New Roman" w:eastAsia="宋体" w:cs="Times New Roman"/>
                <w:szCs w:val="21"/>
              </w:rPr>
            </w:pPr>
            <w:r>
              <w:rPr>
                <w:rFonts w:ascii="Times New Roman" w:hAnsi="Times New Roman" w:eastAsia="宋体" w:cs="Times New Roman"/>
                <w:szCs w:val="21"/>
              </w:rPr>
              <w:t>（1）要点准确，推理正确，条理清晰，重点突出，理论联系实际，熟练地解答和讲解例题。</w:t>
            </w:r>
          </w:p>
          <w:p w14:paraId="3314EC53">
            <w:pPr>
              <w:spacing w:line="276" w:lineRule="auto"/>
              <w:rPr>
                <w:rFonts w:ascii="Times New Roman" w:hAnsi="Times New Roman" w:eastAsia="宋体" w:cs="Times New Roman"/>
                <w:szCs w:val="21"/>
              </w:rPr>
            </w:pPr>
            <w:r>
              <w:rPr>
                <w:rFonts w:ascii="Times New Roman" w:hAnsi="Times New Roman" w:eastAsia="宋体" w:cs="Times New Roman"/>
                <w:szCs w:val="21"/>
              </w:rPr>
              <w:t>（2）采用多种教学方式（如启发式教学、案例分析教学、讨论式教学、多媒体示范教学等），注重培养学生的专业素质，提高学生发现、分析和解决问题的能力，以便让学生能体会和领略学科研究的思路和方法。</w:t>
            </w:r>
          </w:p>
          <w:p w14:paraId="1EBC7157">
            <w:pPr>
              <w:rPr>
                <w:rFonts w:ascii="Times New Roman" w:hAnsi="Times New Roman" w:eastAsia="宋体" w:cs="Times New Roman"/>
                <w:szCs w:val="21"/>
              </w:rPr>
            </w:pPr>
            <w:r>
              <w:rPr>
                <w:rFonts w:ascii="Times New Roman" w:hAnsi="Times New Roman" w:eastAsia="宋体" w:cs="Times New Roman"/>
                <w:szCs w:val="21"/>
              </w:rPr>
              <w:t>（3）表达方式尽量便于学生理解、接受，力求形象生动，使学生在掌握知识的过程中，保持较为浓厚的兴趣。</w:t>
            </w:r>
          </w:p>
        </w:tc>
      </w:tr>
      <w:tr w14:paraId="5095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233BCB50">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691" w:type="dxa"/>
            <w:tcMar>
              <w:left w:w="28" w:type="dxa"/>
              <w:right w:w="28" w:type="dxa"/>
            </w:tcMar>
            <w:vAlign w:val="center"/>
          </w:tcPr>
          <w:p w14:paraId="4D04B03D">
            <w:pPr>
              <w:jc w:val="center"/>
              <w:rPr>
                <w:rFonts w:ascii="Times New Roman" w:hAnsi="Times New Roman" w:eastAsia="宋体" w:cs="Times New Roman"/>
                <w:szCs w:val="21"/>
              </w:rPr>
            </w:pPr>
            <w:r>
              <w:rPr>
                <w:rFonts w:ascii="Times New Roman" w:hAnsi="Times New Roman" w:eastAsia="宋体" w:cs="Times New Roman"/>
                <w:szCs w:val="21"/>
              </w:rPr>
              <w:t>作业布置与批改</w:t>
            </w:r>
          </w:p>
        </w:tc>
        <w:tc>
          <w:tcPr>
            <w:tcW w:w="6773" w:type="dxa"/>
            <w:tcBorders>
              <w:right w:val="single" w:color="auto" w:sz="8" w:space="0"/>
            </w:tcBorders>
            <w:vAlign w:val="center"/>
          </w:tcPr>
          <w:p w14:paraId="1448D136">
            <w:pPr>
              <w:spacing w:line="276" w:lineRule="auto"/>
              <w:rPr>
                <w:rFonts w:ascii="Times New Roman" w:hAnsi="Times New Roman" w:eastAsia="宋体" w:cs="Times New Roman"/>
                <w:szCs w:val="21"/>
              </w:rPr>
            </w:pPr>
            <w:r>
              <w:rPr>
                <w:rFonts w:ascii="Times New Roman" w:hAnsi="Times New Roman" w:eastAsia="宋体" w:cs="Times New Roman"/>
                <w:szCs w:val="21"/>
              </w:rPr>
              <w:t>学生必须完成一定数量的作业题（笔头作业+实验报告），是本课程教学的基本要求，是实现人才培养目标的必要手段。</w:t>
            </w:r>
          </w:p>
          <w:p w14:paraId="266A3457">
            <w:pPr>
              <w:spacing w:line="276" w:lineRule="auto"/>
              <w:rPr>
                <w:rFonts w:ascii="Times New Roman" w:hAnsi="Times New Roman" w:eastAsia="宋体" w:cs="Times New Roman"/>
                <w:szCs w:val="21"/>
              </w:rPr>
            </w:pPr>
            <w:r>
              <w:rPr>
                <w:rFonts w:ascii="Times New Roman" w:hAnsi="Times New Roman" w:eastAsia="宋体" w:cs="Times New Roman"/>
                <w:szCs w:val="21"/>
              </w:rPr>
              <w:t>学生完成的作业必须达到以下基本要求：</w:t>
            </w:r>
          </w:p>
          <w:p w14:paraId="52314698">
            <w:pPr>
              <w:spacing w:line="276" w:lineRule="auto"/>
              <w:rPr>
                <w:rFonts w:ascii="Times New Roman" w:hAnsi="Times New Roman" w:eastAsia="宋体" w:cs="Times New Roman"/>
                <w:szCs w:val="21"/>
              </w:rPr>
            </w:pPr>
            <w:r>
              <w:rPr>
                <w:rFonts w:ascii="Times New Roman" w:hAnsi="Times New Roman" w:eastAsia="宋体" w:cs="Times New Roman"/>
                <w:szCs w:val="21"/>
              </w:rPr>
              <w:t>（1）按时按量完成作业，不缺交，不抄袭；</w:t>
            </w:r>
          </w:p>
          <w:p w14:paraId="7FA8AC6B">
            <w:pPr>
              <w:spacing w:line="276" w:lineRule="auto"/>
              <w:rPr>
                <w:rFonts w:ascii="Times New Roman" w:hAnsi="Times New Roman" w:eastAsia="宋体" w:cs="Times New Roman"/>
                <w:szCs w:val="21"/>
              </w:rPr>
            </w:pPr>
            <w:r>
              <w:rPr>
                <w:rFonts w:ascii="Times New Roman" w:hAnsi="Times New Roman" w:eastAsia="宋体" w:cs="Times New Roman"/>
                <w:szCs w:val="21"/>
              </w:rPr>
              <w:t>（2）作业本规范，书写清晰；</w:t>
            </w:r>
          </w:p>
          <w:p w14:paraId="42DACC77">
            <w:pPr>
              <w:spacing w:line="276" w:lineRule="auto"/>
              <w:rPr>
                <w:rFonts w:ascii="Times New Roman" w:hAnsi="Times New Roman" w:eastAsia="宋体" w:cs="Times New Roman"/>
                <w:szCs w:val="21"/>
              </w:rPr>
            </w:pPr>
            <w:r>
              <w:rPr>
                <w:rFonts w:ascii="Times New Roman" w:hAnsi="Times New Roman" w:eastAsia="宋体" w:cs="Times New Roman"/>
                <w:szCs w:val="21"/>
              </w:rPr>
              <w:t>（3）解题方法和步骤正确。</w:t>
            </w:r>
          </w:p>
          <w:p w14:paraId="759B4B48">
            <w:pPr>
              <w:spacing w:line="276" w:lineRule="auto"/>
              <w:rPr>
                <w:rFonts w:ascii="Times New Roman" w:hAnsi="Times New Roman" w:eastAsia="宋体" w:cs="Times New Roman"/>
                <w:szCs w:val="21"/>
              </w:rPr>
            </w:pPr>
            <w:r>
              <w:rPr>
                <w:rFonts w:ascii="Times New Roman" w:hAnsi="Times New Roman" w:eastAsia="宋体" w:cs="Times New Roman"/>
                <w:szCs w:val="21"/>
              </w:rPr>
              <w:t>教师批改或讲评作业要求如下：</w:t>
            </w:r>
          </w:p>
          <w:p w14:paraId="4ABCB823">
            <w:pPr>
              <w:spacing w:line="276" w:lineRule="auto"/>
              <w:rPr>
                <w:rFonts w:ascii="Times New Roman" w:hAnsi="Times New Roman" w:eastAsia="宋体" w:cs="Times New Roman"/>
                <w:szCs w:val="21"/>
              </w:rPr>
            </w:pPr>
            <w:r>
              <w:rPr>
                <w:rFonts w:ascii="Times New Roman" w:hAnsi="Times New Roman" w:eastAsia="宋体" w:cs="Times New Roman"/>
                <w:szCs w:val="21"/>
              </w:rPr>
              <w:t>（1）学生的作业要全批全改，并按时批改、讲评学生每次交来的作业；</w:t>
            </w:r>
          </w:p>
          <w:p w14:paraId="40BEE468">
            <w:pPr>
              <w:spacing w:line="276" w:lineRule="auto"/>
              <w:rPr>
                <w:rFonts w:ascii="Times New Roman" w:hAnsi="Times New Roman" w:eastAsia="宋体" w:cs="Times New Roman"/>
                <w:szCs w:val="21"/>
              </w:rPr>
            </w:pPr>
            <w:r>
              <w:rPr>
                <w:rFonts w:ascii="Times New Roman" w:hAnsi="Times New Roman" w:eastAsia="宋体" w:cs="Times New Roman"/>
                <w:szCs w:val="21"/>
              </w:rPr>
              <w:t>（2）教师批改或讲评作业要认真、细致，每次批改或讲评作业后，按百分制评定成绩，并写明日期；</w:t>
            </w:r>
          </w:p>
          <w:p w14:paraId="1D47D80F">
            <w:pPr>
              <w:rPr>
                <w:rFonts w:ascii="Times New Roman" w:hAnsi="Times New Roman" w:eastAsia="宋体" w:cs="Times New Roman"/>
                <w:szCs w:val="21"/>
              </w:rPr>
            </w:pPr>
            <w:r>
              <w:rPr>
                <w:rFonts w:ascii="Times New Roman" w:hAnsi="Times New Roman" w:eastAsia="宋体" w:cs="Times New Roman"/>
                <w:szCs w:val="21"/>
              </w:rPr>
              <w:t>（3）期末按每个学生作业的平均成绩，作为本课程总评成绩中平时成绩的重要组成部分。</w:t>
            </w:r>
          </w:p>
        </w:tc>
      </w:tr>
      <w:tr w14:paraId="044B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199C4FB4">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691" w:type="dxa"/>
            <w:tcMar>
              <w:left w:w="28" w:type="dxa"/>
              <w:right w:w="28" w:type="dxa"/>
            </w:tcMar>
            <w:vAlign w:val="center"/>
          </w:tcPr>
          <w:p w14:paraId="39C03BC4">
            <w:pPr>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773" w:type="dxa"/>
            <w:tcBorders>
              <w:right w:val="single" w:color="auto" w:sz="8" w:space="0"/>
            </w:tcBorders>
            <w:vAlign w:val="center"/>
          </w:tcPr>
          <w:p w14:paraId="74C604F4">
            <w:pPr>
              <w:rPr>
                <w:rFonts w:ascii="Times New Roman" w:hAnsi="Times New Roman" w:eastAsia="宋体" w:cs="Times New Roman"/>
                <w:szCs w:val="21"/>
              </w:rPr>
            </w:pPr>
            <w:r>
              <w:rPr>
                <w:rFonts w:ascii="Times New Roman" w:hAnsi="Times New Roman" w:eastAsia="宋体" w:cs="Times New Roman"/>
                <w:szCs w:val="21"/>
              </w:rPr>
              <w:t>为直接了解学生的学习情况，帮助学生进一步理解和消化课堂上所学知识、改进学习方法和思维方式，培养其独立思考问题的能力，建议任课教师安排时间进行课外答疑与辅导工作</w:t>
            </w:r>
          </w:p>
        </w:tc>
      </w:tr>
      <w:tr w14:paraId="094F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left w:val="single" w:color="auto" w:sz="8" w:space="0"/>
            </w:tcBorders>
            <w:vAlign w:val="center"/>
          </w:tcPr>
          <w:p w14:paraId="7ABA0389">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691" w:type="dxa"/>
            <w:tcMar>
              <w:left w:w="28" w:type="dxa"/>
              <w:right w:w="28" w:type="dxa"/>
            </w:tcMar>
            <w:vAlign w:val="center"/>
          </w:tcPr>
          <w:p w14:paraId="3609556E">
            <w:pPr>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773" w:type="dxa"/>
            <w:tcBorders>
              <w:right w:val="single" w:color="auto" w:sz="8" w:space="0"/>
            </w:tcBorders>
            <w:vAlign w:val="center"/>
          </w:tcPr>
          <w:p w14:paraId="4165C8E9">
            <w:pPr>
              <w:rPr>
                <w:rFonts w:ascii="Times New Roman" w:hAnsi="Times New Roman" w:eastAsia="宋体" w:cs="Times New Roman"/>
                <w:szCs w:val="24"/>
              </w:rPr>
            </w:pPr>
            <w:r>
              <w:rPr>
                <w:rFonts w:ascii="Times New Roman" w:hAnsi="Times New Roman" w:eastAsia="宋体" w:cs="Times New Roman"/>
                <w:szCs w:val="24"/>
              </w:rPr>
              <w:t>本课程考核的方式：考查。考试试卷采取抽卷形式，统一安排监考。总评成绩的评定见课程评分方案。有下列情况之一者，总评成绩为不及格：</w:t>
            </w:r>
          </w:p>
          <w:p w14:paraId="0DB18315">
            <w:pPr>
              <w:rPr>
                <w:rFonts w:ascii="Times New Roman" w:hAnsi="Times New Roman" w:eastAsia="宋体" w:cs="Times New Roman"/>
                <w:szCs w:val="24"/>
              </w:rPr>
            </w:pPr>
            <w:r>
              <w:rPr>
                <w:rFonts w:ascii="Times New Roman" w:hAnsi="Times New Roman" w:eastAsia="宋体" w:cs="Times New Roman"/>
                <w:szCs w:val="21"/>
              </w:rPr>
              <w:t>（1）</w:t>
            </w:r>
            <w:r>
              <w:rPr>
                <w:rFonts w:ascii="Times New Roman" w:hAnsi="Times New Roman" w:eastAsia="宋体" w:cs="Times New Roman"/>
                <w:szCs w:val="24"/>
              </w:rPr>
              <w:t>缺交作业次数达1/3以上者；</w:t>
            </w:r>
          </w:p>
          <w:p w14:paraId="79BC4256">
            <w:pPr>
              <w:rPr>
                <w:rFonts w:ascii="Times New Roman" w:hAnsi="Times New Roman" w:eastAsia="宋体" w:cs="Times New Roman"/>
                <w:szCs w:val="24"/>
              </w:rPr>
            </w:pPr>
            <w:r>
              <w:rPr>
                <w:rFonts w:ascii="Times New Roman" w:hAnsi="Times New Roman" w:eastAsia="宋体" w:cs="Times New Roman"/>
                <w:szCs w:val="21"/>
              </w:rPr>
              <w:t>（2）</w:t>
            </w:r>
            <w:r>
              <w:rPr>
                <w:rFonts w:ascii="Times New Roman" w:hAnsi="Times New Roman" w:eastAsia="宋体" w:cs="Times New Roman"/>
                <w:szCs w:val="24"/>
              </w:rPr>
              <w:t>缺课次数达本学期总授课学时的1/3以上者。</w:t>
            </w:r>
          </w:p>
          <w:p w14:paraId="231AF319">
            <w:pPr>
              <w:rPr>
                <w:rFonts w:ascii="Times New Roman" w:hAnsi="Times New Roman" w:eastAsia="宋体" w:cs="Times New Roman"/>
                <w:szCs w:val="21"/>
              </w:rPr>
            </w:pPr>
          </w:p>
        </w:tc>
      </w:tr>
    </w:tbl>
    <w:p w14:paraId="23448B70">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五、课程考核</w:t>
      </w:r>
    </w:p>
    <w:p w14:paraId="6A9E3F9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（一）课程考核包括期末考试、平时及作业考核等，期末考试采用闭卷考试方式。</w:t>
      </w:r>
    </w:p>
    <w:p w14:paraId="5969EB8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（二）课程总评成绩=出勤情况成绩×10% +师生互动成绩×10% +作业成绩×30%+期末考试成绩×50%。具体内容和比例如表所示。</w:t>
      </w:r>
    </w:p>
    <w:tbl>
      <w:tblPr>
        <w:tblStyle w:val="30"/>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65"/>
        <w:gridCol w:w="1027"/>
        <w:gridCol w:w="3991"/>
        <w:gridCol w:w="1415"/>
      </w:tblGrid>
      <w:tr w14:paraId="7E69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06"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03DE97FF">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成绩组成</w:t>
            </w:r>
          </w:p>
        </w:tc>
        <w:tc>
          <w:tcPr>
            <w:tcW w:w="1565" w:type="dxa"/>
            <w:tcBorders>
              <w:top w:val="single" w:color="auto" w:sz="4" w:space="0"/>
              <w:left w:val="single" w:color="auto" w:sz="4" w:space="0"/>
              <w:bottom w:val="single" w:color="auto" w:sz="4" w:space="0"/>
              <w:right w:val="single" w:color="auto" w:sz="4" w:space="0"/>
            </w:tcBorders>
            <w:shd w:val="clear" w:color="auto" w:fill="FFFFFF"/>
            <w:vAlign w:val="center"/>
          </w:tcPr>
          <w:p w14:paraId="1B84B48C">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考核/评价环节</w:t>
            </w:r>
          </w:p>
        </w:tc>
        <w:tc>
          <w:tcPr>
            <w:tcW w:w="1027" w:type="dxa"/>
            <w:tcBorders>
              <w:top w:val="single" w:color="auto" w:sz="4" w:space="0"/>
              <w:left w:val="single" w:color="auto" w:sz="4" w:space="0"/>
              <w:bottom w:val="single" w:color="auto" w:sz="4" w:space="0"/>
              <w:right w:val="single" w:color="auto" w:sz="4" w:space="0"/>
            </w:tcBorders>
            <w:shd w:val="clear" w:color="auto" w:fill="FFFFFF"/>
            <w:vAlign w:val="center"/>
          </w:tcPr>
          <w:p w14:paraId="6233EE61">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权重</w:t>
            </w:r>
          </w:p>
        </w:tc>
        <w:tc>
          <w:tcPr>
            <w:tcW w:w="3991" w:type="dxa"/>
            <w:tcBorders>
              <w:top w:val="single" w:color="auto" w:sz="4" w:space="0"/>
              <w:left w:val="single" w:color="auto" w:sz="4" w:space="0"/>
              <w:bottom w:val="single" w:color="auto" w:sz="4" w:space="0"/>
              <w:right w:val="single" w:color="auto" w:sz="4" w:space="0"/>
            </w:tcBorders>
            <w:shd w:val="clear" w:color="auto" w:fill="FFFFFF"/>
            <w:vAlign w:val="center"/>
          </w:tcPr>
          <w:p w14:paraId="0F34A15F">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考核/评价细则</w:t>
            </w:r>
          </w:p>
        </w:tc>
        <w:tc>
          <w:tcPr>
            <w:tcW w:w="1415" w:type="dxa"/>
            <w:tcBorders>
              <w:top w:val="single" w:color="auto" w:sz="4" w:space="0"/>
              <w:left w:val="single" w:color="auto" w:sz="4" w:space="0"/>
              <w:bottom w:val="single" w:color="auto" w:sz="4" w:space="0"/>
              <w:right w:val="single" w:color="auto" w:sz="4" w:space="0"/>
            </w:tcBorders>
            <w:shd w:val="clear" w:color="auto" w:fill="FFFFFF"/>
            <w:vAlign w:val="center"/>
          </w:tcPr>
          <w:p w14:paraId="7490B15A">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对应的毕业要求指标点</w:t>
            </w:r>
          </w:p>
        </w:tc>
      </w:tr>
      <w:tr w14:paraId="0A49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106" w:type="dxa"/>
            <w:vMerge w:val="restart"/>
            <w:tcBorders>
              <w:top w:val="single" w:color="auto" w:sz="4" w:space="0"/>
              <w:left w:val="single" w:color="auto" w:sz="4" w:space="0"/>
              <w:right w:val="single" w:color="auto" w:sz="4" w:space="0"/>
            </w:tcBorders>
            <w:tcMar>
              <w:left w:w="57" w:type="dxa"/>
              <w:right w:w="57" w:type="dxa"/>
            </w:tcMar>
            <w:vAlign w:val="center"/>
          </w:tcPr>
          <w:p w14:paraId="307D8340">
            <w:pPr>
              <w:adjustRightInd w:val="0"/>
              <w:snapToGrid w:val="0"/>
              <w:spacing w:line="276" w:lineRule="auto"/>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w:t>
            </w:r>
          </w:p>
          <w:p w14:paraId="58A0F59E">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成绩</w:t>
            </w:r>
          </w:p>
        </w:tc>
        <w:tc>
          <w:tcPr>
            <w:tcW w:w="1565" w:type="dxa"/>
            <w:tcBorders>
              <w:top w:val="single" w:color="auto" w:sz="4" w:space="0"/>
              <w:left w:val="single" w:color="auto" w:sz="4" w:space="0"/>
              <w:bottom w:val="single" w:color="auto" w:sz="4" w:space="0"/>
              <w:right w:val="single" w:color="auto" w:sz="4" w:space="0"/>
            </w:tcBorders>
            <w:vAlign w:val="center"/>
          </w:tcPr>
          <w:p w14:paraId="15C4F12D">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出勤情况</w:t>
            </w:r>
          </w:p>
        </w:tc>
        <w:tc>
          <w:tcPr>
            <w:tcW w:w="1027" w:type="dxa"/>
            <w:tcBorders>
              <w:top w:val="single" w:color="auto" w:sz="4" w:space="0"/>
              <w:left w:val="single" w:color="auto" w:sz="4" w:space="0"/>
              <w:bottom w:val="single" w:color="auto" w:sz="4" w:space="0"/>
              <w:right w:val="single" w:color="auto" w:sz="4" w:space="0"/>
            </w:tcBorders>
            <w:vAlign w:val="center"/>
          </w:tcPr>
          <w:p w14:paraId="51991C89">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rPr>
              <w:t>10%</w:t>
            </w:r>
          </w:p>
        </w:tc>
        <w:tc>
          <w:tcPr>
            <w:tcW w:w="3991" w:type="dxa"/>
            <w:tcBorders>
              <w:top w:val="single" w:color="auto" w:sz="4" w:space="0"/>
              <w:left w:val="single" w:color="auto" w:sz="4" w:space="0"/>
              <w:bottom w:val="single" w:color="auto" w:sz="4" w:space="0"/>
              <w:right w:val="single" w:color="auto" w:sz="4" w:space="0"/>
            </w:tcBorders>
            <w:vAlign w:val="center"/>
          </w:tcPr>
          <w:p w14:paraId="7777975D">
            <w:pPr>
              <w:adjustRightInd w:val="0"/>
              <w:snapToGrid w:val="0"/>
              <w:spacing w:line="276" w:lineRule="auto"/>
              <w:jc w:val="left"/>
              <w:rPr>
                <w:rFonts w:ascii="Times New Roman" w:hAnsi="Times New Roman" w:eastAsia="宋体" w:cs="Times New Roman"/>
                <w:szCs w:val="24"/>
              </w:rPr>
            </w:pPr>
            <w:r>
              <w:rPr>
                <w:rFonts w:ascii="Times New Roman" w:hAnsi="Times New Roman" w:eastAsia="宋体" w:cs="Times New Roman"/>
                <w:szCs w:val="24"/>
                <w:lang w:bidi="ar"/>
              </w:rPr>
              <w:t>课堂不定期点名，考核出勤情况并打分。</w:t>
            </w:r>
          </w:p>
        </w:tc>
        <w:tc>
          <w:tcPr>
            <w:tcW w:w="1415" w:type="dxa"/>
            <w:tcBorders>
              <w:top w:val="single" w:color="auto" w:sz="4" w:space="0"/>
              <w:left w:val="single" w:color="auto" w:sz="4" w:space="0"/>
              <w:right w:val="single" w:color="auto" w:sz="4" w:space="0"/>
            </w:tcBorders>
            <w:vAlign w:val="center"/>
          </w:tcPr>
          <w:p w14:paraId="020A3202">
            <w:pPr>
              <w:adjustRightInd w:val="0"/>
              <w:snapToGrid w:val="0"/>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4857752">
            <w:pPr>
              <w:adjustRightInd w:val="0"/>
              <w:snapToGrid w:val="0"/>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3400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106" w:type="dxa"/>
            <w:vMerge w:val="continue"/>
            <w:tcBorders>
              <w:left w:val="single" w:color="auto" w:sz="4" w:space="0"/>
              <w:right w:val="single" w:color="auto" w:sz="4" w:space="0"/>
            </w:tcBorders>
            <w:tcMar>
              <w:left w:w="57" w:type="dxa"/>
              <w:right w:w="57" w:type="dxa"/>
            </w:tcMar>
            <w:vAlign w:val="center"/>
          </w:tcPr>
          <w:p w14:paraId="21D71C5B">
            <w:pPr>
              <w:adjustRightInd w:val="0"/>
              <w:snapToGrid w:val="0"/>
              <w:spacing w:line="276" w:lineRule="auto"/>
              <w:rPr>
                <w:rFonts w:ascii="Times New Roman" w:hAnsi="Times New Roman" w:eastAsia="宋体" w:cs="Times New Roman"/>
                <w:sz w:val="20"/>
                <w:szCs w:val="20"/>
              </w:rPr>
            </w:pPr>
          </w:p>
        </w:tc>
        <w:tc>
          <w:tcPr>
            <w:tcW w:w="1565" w:type="dxa"/>
            <w:tcBorders>
              <w:top w:val="single" w:color="auto" w:sz="4" w:space="0"/>
              <w:left w:val="single" w:color="auto" w:sz="4" w:space="0"/>
              <w:bottom w:val="single" w:color="auto" w:sz="4" w:space="0"/>
              <w:right w:val="single" w:color="auto" w:sz="4" w:space="0"/>
            </w:tcBorders>
            <w:vAlign w:val="center"/>
          </w:tcPr>
          <w:p w14:paraId="7DCDBE60">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师生互动</w:t>
            </w:r>
          </w:p>
        </w:tc>
        <w:tc>
          <w:tcPr>
            <w:tcW w:w="1027" w:type="dxa"/>
            <w:tcBorders>
              <w:top w:val="single" w:color="auto" w:sz="4" w:space="0"/>
              <w:left w:val="single" w:color="auto" w:sz="4" w:space="0"/>
              <w:bottom w:val="single" w:color="auto" w:sz="4" w:space="0"/>
              <w:right w:val="single" w:color="auto" w:sz="4" w:space="0"/>
            </w:tcBorders>
            <w:vAlign w:val="center"/>
          </w:tcPr>
          <w:p w14:paraId="7D086ED2">
            <w:pPr>
              <w:adjustRightInd w:val="0"/>
              <w:snapToGrid w:val="0"/>
              <w:spacing w:line="276" w:lineRule="auto"/>
              <w:jc w:val="center"/>
              <w:rPr>
                <w:rFonts w:ascii="Times New Roman" w:hAnsi="Times New Roman" w:eastAsia="宋体" w:cs="Times New Roman"/>
                <w:sz w:val="20"/>
                <w:szCs w:val="20"/>
              </w:rPr>
            </w:pPr>
            <w:r>
              <w:rPr>
                <w:rFonts w:ascii="Times New Roman" w:hAnsi="Times New Roman" w:eastAsia="宋体" w:cs="Times New Roman"/>
                <w:szCs w:val="24"/>
              </w:rPr>
              <w:t>10%</w:t>
            </w:r>
          </w:p>
        </w:tc>
        <w:tc>
          <w:tcPr>
            <w:tcW w:w="3991" w:type="dxa"/>
            <w:tcBorders>
              <w:top w:val="single" w:color="auto" w:sz="4" w:space="0"/>
              <w:left w:val="single" w:color="auto" w:sz="4" w:space="0"/>
              <w:bottom w:val="single" w:color="auto" w:sz="4" w:space="0"/>
              <w:right w:val="single" w:color="auto" w:sz="4" w:space="0"/>
            </w:tcBorders>
            <w:vAlign w:val="center"/>
          </w:tcPr>
          <w:p w14:paraId="1E8D798C">
            <w:pPr>
              <w:adjustRightInd w:val="0"/>
              <w:snapToGrid w:val="0"/>
              <w:spacing w:line="276" w:lineRule="auto"/>
              <w:jc w:val="left"/>
              <w:rPr>
                <w:rFonts w:ascii="Times New Roman" w:hAnsi="Times New Roman" w:eastAsia="宋体" w:cs="Times New Roman"/>
                <w:szCs w:val="24"/>
              </w:rPr>
            </w:pPr>
            <w:r>
              <w:rPr>
                <w:rFonts w:ascii="Times New Roman" w:hAnsi="Times New Roman" w:eastAsia="宋体" w:cs="Times New Roman"/>
                <w:szCs w:val="24"/>
              </w:rPr>
              <w:t>课堂不定期通过提问或小练习实施师生互动，考核考核学生课堂学习情况，按照互动情况打分。</w:t>
            </w:r>
          </w:p>
        </w:tc>
        <w:tc>
          <w:tcPr>
            <w:tcW w:w="1415" w:type="dxa"/>
            <w:tcBorders>
              <w:left w:val="single" w:color="auto" w:sz="4" w:space="0"/>
              <w:right w:val="single" w:color="auto" w:sz="4" w:space="0"/>
            </w:tcBorders>
            <w:vAlign w:val="center"/>
          </w:tcPr>
          <w:p w14:paraId="3CB4D249">
            <w:pPr>
              <w:adjustRightInd w:val="0"/>
              <w:snapToGrid w:val="0"/>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3F1A896A">
            <w:pPr>
              <w:adjustRightInd w:val="0"/>
              <w:snapToGrid w:val="0"/>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17CD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106" w:type="dxa"/>
            <w:vMerge w:val="continue"/>
            <w:tcBorders>
              <w:left w:val="single" w:color="auto" w:sz="4" w:space="0"/>
              <w:bottom w:val="single" w:color="auto" w:sz="4" w:space="0"/>
              <w:right w:val="single" w:color="auto" w:sz="4" w:space="0"/>
            </w:tcBorders>
            <w:tcMar>
              <w:left w:w="57" w:type="dxa"/>
              <w:right w:w="57" w:type="dxa"/>
            </w:tcMar>
            <w:vAlign w:val="center"/>
          </w:tcPr>
          <w:p w14:paraId="58B08EEE">
            <w:pPr>
              <w:adjustRightInd w:val="0"/>
              <w:snapToGrid w:val="0"/>
              <w:spacing w:line="276" w:lineRule="auto"/>
              <w:rPr>
                <w:rFonts w:ascii="Times New Roman" w:hAnsi="Times New Roman" w:eastAsia="宋体" w:cs="Times New Roman"/>
                <w:sz w:val="20"/>
                <w:szCs w:val="20"/>
              </w:rPr>
            </w:pPr>
          </w:p>
        </w:tc>
        <w:tc>
          <w:tcPr>
            <w:tcW w:w="1565" w:type="dxa"/>
            <w:tcBorders>
              <w:top w:val="single" w:color="auto" w:sz="4" w:space="0"/>
              <w:left w:val="single" w:color="auto" w:sz="4" w:space="0"/>
              <w:bottom w:val="single" w:color="auto" w:sz="4" w:space="0"/>
              <w:right w:val="single" w:color="auto" w:sz="4" w:space="0"/>
            </w:tcBorders>
            <w:vAlign w:val="center"/>
          </w:tcPr>
          <w:p w14:paraId="72D64603">
            <w:pPr>
              <w:adjustRightInd w:val="0"/>
              <w:snapToGrid w:val="0"/>
              <w:spacing w:line="276" w:lineRule="auto"/>
              <w:jc w:val="center"/>
              <w:rPr>
                <w:rFonts w:ascii="Times New Roman" w:hAnsi="Times New Roman" w:eastAsia="宋体" w:cs="Times New Roman"/>
                <w:szCs w:val="24"/>
                <w:lang w:bidi="ar"/>
              </w:rPr>
            </w:pPr>
            <w:r>
              <w:rPr>
                <w:rFonts w:ascii="Times New Roman" w:hAnsi="Times New Roman" w:eastAsia="宋体" w:cs="Times New Roman"/>
                <w:szCs w:val="24"/>
                <w:lang w:bidi="ar"/>
              </w:rPr>
              <w:t>平时作业</w:t>
            </w:r>
          </w:p>
        </w:tc>
        <w:tc>
          <w:tcPr>
            <w:tcW w:w="1027" w:type="dxa"/>
            <w:tcBorders>
              <w:top w:val="single" w:color="auto" w:sz="4" w:space="0"/>
              <w:left w:val="single" w:color="auto" w:sz="4" w:space="0"/>
              <w:bottom w:val="single" w:color="auto" w:sz="4" w:space="0"/>
              <w:right w:val="single" w:color="auto" w:sz="4" w:space="0"/>
            </w:tcBorders>
            <w:vAlign w:val="center"/>
          </w:tcPr>
          <w:p w14:paraId="6245C0F7">
            <w:pPr>
              <w:adjustRightInd w:val="0"/>
              <w:snapToGrid w:val="0"/>
              <w:spacing w:line="276" w:lineRule="auto"/>
              <w:jc w:val="center"/>
              <w:rPr>
                <w:rFonts w:ascii="Times New Roman" w:hAnsi="Times New Roman" w:eastAsia="宋体" w:cs="Times New Roman"/>
                <w:sz w:val="20"/>
                <w:szCs w:val="20"/>
              </w:rPr>
            </w:pPr>
            <w:r>
              <w:rPr>
                <w:rFonts w:ascii="Times New Roman" w:hAnsi="Times New Roman" w:eastAsia="宋体" w:cs="Times New Roman"/>
                <w:sz w:val="20"/>
                <w:szCs w:val="20"/>
              </w:rPr>
              <w:t>30%</w:t>
            </w:r>
          </w:p>
        </w:tc>
        <w:tc>
          <w:tcPr>
            <w:tcW w:w="3991" w:type="dxa"/>
            <w:tcBorders>
              <w:top w:val="single" w:color="auto" w:sz="4" w:space="0"/>
              <w:left w:val="single" w:color="auto" w:sz="4" w:space="0"/>
              <w:bottom w:val="single" w:color="auto" w:sz="4" w:space="0"/>
              <w:right w:val="single" w:color="auto" w:sz="4" w:space="0"/>
            </w:tcBorders>
            <w:vAlign w:val="center"/>
          </w:tcPr>
          <w:p w14:paraId="708797EA">
            <w:pPr>
              <w:adjustRightInd w:val="0"/>
              <w:snapToGrid w:val="0"/>
              <w:spacing w:line="276" w:lineRule="auto"/>
              <w:jc w:val="left"/>
              <w:rPr>
                <w:rFonts w:ascii="Times New Roman" w:hAnsi="Times New Roman" w:eastAsia="宋体" w:cs="Times New Roman"/>
                <w:szCs w:val="24"/>
                <w:lang w:bidi="ar"/>
              </w:rPr>
            </w:pPr>
            <w:r>
              <w:rPr>
                <w:rFonts w:ascii="Times New Roman" w:hAnsi="Times New Roman" w:eastAsia="宋体" w:cs="Times New Roman"/>
                <w:szCs w:val="24"/>
                <w:lang w:bidi="ar"/>
              </w:rPr>
              <w:t>定期布置习题，考核学生对所学知识点的复习、理解和掌握度。对作业完成情况做记录并百分制打分，计算作业的平均成绩。</w:t>
            </w:r>
          </w:p>
        </w:tc>
        <w:tc>
          <w:tcPr>
            <w:tcW w:w="1415" w:type="dxa"/>
            <w:tcBorders>
              <w:left w:val="single" w:color="auto" w:sz="4" w:space="0"/>
              <w:bottom w:val="single" w:color="auto" w:sz="4" w:space="0"/>
              <w:right w:val="single" w:color="auto" w:sz="4" w:space="0"/>
            </w:tcBorders>
            <w:vAlign w:val="center"/>
          </w:tcPr>
          <w:p w14:paraId="4C1C303E">
            <w:pPr>
              <w:adjustRightInd w:val="0"/>
              <w:snapToGrid w:val="0"/>
              <w:spacing w:line="276" w:lineRule="auto"/>
              <w:jc w:val="center"/>
              <w:rPr>
                <w:rFonts w:ascii="Times New Roman" w:hAnsi="Times New Roman" w:eastAsia="楷体" w:cs="Times New Roman"/>
                <w:szCs w:val="21"/>
              </w:rPr>
            </w:pPr>
            <w:r>
              <w:rPr>
                <w:rFonts w:ascii="Times New Roman" w:hAnsi="Times New Roman" w:eastAsia="宋体" w:cs="Times New Roman"/>
                <w:color w:val="000000"/>
                <w:szCs w:val="21"/>
              </w:rPr>
              <w:t xml:space="preserve"> </w:t>
            </w:r>
            <w:r>
              <w:rPr>
                <w:rFonts w:ascii="Times New Roman" w:hAnsi="Times New Roman" w:eastAsia="楷体" w:cs="Times New Roman"/>
                <w:szCs w:val="21"/>
              </w:rPr>
              <w:t>3-1</w:t>
            </w:r>
            <w:r>
              <w:rPr>
                <w:rFonts w:ascii="Times New Roman" w:hAnsi="Times New Roman" w:eastAsia="楷体" w:cs="Times New Roman"/>
                <w:color w:val="000000"/>
                <w:szCs w:val="21"/>
              </w:rPr>
              <w:t>、</w:t>
            </w:r>
            <w:r>
              <w:rPr>
                <w:rFonts w:ascii="Times New Roman" w:hAnsi="Times New Roman" w:eastAsia="楷体" w:cs="Times New Roman"/>
                <w:szCs w:val="21"/>
              </w:rPr>
              <w:t>3-2</w:t>
            </w:r>
          </w:p>
          <w:p w14:paraId="036FA84C">
            <w:pPr>
              <w:adjustRightInd w:val="0"/>
              <w:snapToGrid w:val="0"/>
              <w:spacing w:line="276" w:lineRule="auto"/>
              <w:jc w:val="center"/>
              <w:rPr>
                <w:rFonts w:ascii="Times New Roman" w:hAnsi="Times New Roman" w:eastAsia="宋体" w:cs="Times New Roman"/>
                <w:szCs w:val="21"/>
              </w:rPr>
            </w:pPr>
            <w:r>
              <w:rPr>
                <w:rFonts w:ascii="Times New Roman" w:hAnsi="Times New Roman" w:eastAsia="宋体" w:cs="Times New Roman"/>
                <w:szCs w:val="21"/>
              </w:rPr>
              <w:t>6-2</w:t>
            </w:r>
          </w:p>
        </w:tc>
      </w:tr>
      <w:tr w14:paraId="48A0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06"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575A1F3">
            <w:pPr>
              <w:adjustRightInd w:val="0"/>
              <w:snapToGrid w:val="0"/>
              <w:spacing w:line="276" w:lineRule="auto"/>
              <w:jc w:val="center"/>
              <w:rPr>
                <w:rFonts w:ascii="Times New Roman" w:hAnsi="Times New Roman" w:eastAsia="宋体" w:cs="Times New Roman"/>
                <w:color w:val="FF0000"/>
                <w:sz w:val="24"/>
                <w:szCs w:val="24"/>
              </w:rPr>
            </w:pPr>
            <w:r>
              <w:rPr>
                <w:rFonts w:ascii="Times New Roman" w:hAnsi="Times New Roman" w:eastAsia="宋体" w:cs="Times New Roman"/>
                <w:szCs w:val="24"/>
                <w:lang w:bidi="ar"/>
              </w:rPr>
              <w:t>期末考试成绩</w:t>
            </w:r>
          </w:p>
        </w:tc>
        <w:tc>
          <w:tcPr>
            <w:tcW w:w="1565" w:type="dxa"/>
            <w:tcBorders>
              <w:top w:val="single" w:color="auto" w:sz="4" w:space="0"/>
              <w:left w:val="single" w:color="auto" w:sz="4" w:space="0"/>
              <w:bottom w:val="single" w:color="auto" w:sz="4" w:space="0"/>
              <w:right w:val="single" w:color="auto" w:sz="4" w:space="0"/>
            </w:tcBorders>
            <w:vAlign w:val="center"/>
          </w:tcPr>
          <w:p w14:paraId="1B600655">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试卷考试</w:t>
            </w:r>
          </w:p>
        </w:tc>
        <w:tc>
          <w:tcPr>
            <w:tcW w:w="1027" w:type="dxa"/>
            <w:tcBorders>
              <w:top w:val="single" w:color="auto" w:sz="4" w:space="0"/>
              <w:left w:val="single" w:color="auto" w:sz="4" w:space="0"/>
              <w:bottom w:val="single" w:color="auto" w:sz="4" w:space="0"/>
              <w:right w:val="single" w:color="auto" w:sz="4" w:space="0"/>
            </w:tcBorders>
            <w:vAlign w:val="center"/>
          </w:tcPr>
          <w:p w14:paraId="06E3E3E7">
            <w:pPr>
              <w:adjustRightInd w:val="0"/>
              <w:snapToGrid w:val="0"/>
              <w:spacing w:line="276" w:lineRule="auto"/>
              <w:jc w:val="center"/>
              <w:rPr>
                <w:rFonts w:ascii="Times New Roman" w:hAnsi="Times New Roman" w:eastAsia="宋体" w:cs="Times New Roman"/>
                <w:sz w:val="24"/>
                <w:szCs w:val="24"/>
              </w:rPr>
            </w:pPr>
            <w:r>
              <w:rPr>
                <w:rFonts w:ascii="Times New Roman" w:hAnsi="Times New Roman" w:eastAsia="宋体" w:cs="Times New Roman"/>
                <w:szCs w:val="24"/>
                <w:lang w:bidi="ar"/>
              </w:rPr>
              <w:t>50 %</w:t>
            </w:r>
          </w:p>
        </w:tc>
        <w:tc>
          <w:tcPr>
            <w:tcW w:w="3991" w:type="dxa"/>
            <w:tcBorders>
              <w:top w:val="single" w:color="auto" w:sz="4" w:space="0"/>
              <w:left w:val="single" w:color="auto" w:sz="4" w:space="0"/>
              <w:bottom w:val="single" w:color="auto" w:sz="4" w:space="0"/>
              <w:right w:val="single" w:color="auto" w:sz="4" w:space="0"/>
            </w:tcBorders>
            <w:vAlign w:val="center"/>
          </w:tcPr>
          <w:p w14:paraId="1E58E71F">
            <w:pPr>
              <w:adjustRightInd w:val="0"/>
              <w:snapToGrid w:val="0"/>
              <w:spacing w:line="276" w:lineRule="auto"/>
              <w:jc w:val="left"/>
              <w:rPr>
                <w:rFonts w:ascii="Times New Roman" w:hAnsi="Times New Roman" w:eastAsia="宋体" w:cs="Times New Roman"/>
                <w:szCs w:val="24"/>
              </w:rPr>
            </w:pPr>
            <w:r>
              <w:rPr>
                <w:rFonts w:ascii="Times New Roman" w:hAnsi="Times New Roman" w:eastAsia="宋体" w:cs="Times New Roman"/>
                <w:szCs w:val="24"/>
                <w:lang w:bidi="ar"/>
              </w:rPr>
              <w:t>试卷题型包括选择题、计算题、解答题等。</w:t>
            </w:r>
          </w:p>
        </w:tc>
        <w:tc>
          <w:tcPr>
            <w:tcW w:w="1415" w:type="dxa"/>
            <w:tcBorders>
              <w:top w:val="single" w:color="auto" w:sz="4" w:space="0"/>
              <w:left w:val="single" w:color="auto" w:sz="4" w:space="0"/>
              <w:bottom w:val="single" w:color="auto" w:sz="4" w:space="0"/>
              <w:right w:val="single" w:color="auto" w:sz="4" w:space="0"/>
            </w:tcBorders>
            <w:vAlign w:val="center"/>
          </w:tcPr>
          <w:p w14:paraId="6119B88E">
            <w:pPr>
              <w:adjustRightInd w:val="0"/>
              <w:snapToGrid w:val="0"/>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3-1、3-2 </w:t>
            </w:r>
          </w:p>
        </w:tc>
      </w:tr>
    </w:tbl>
    <w:p w14:paraId="1D05749B">
      <w:pPr>
        <w:spacing w:line="360" w:lineRule="auto"/>
        <w:ind w:firstLine="562" w:firstLineChars="200"/>
        <w:rPr>
          <w:rFonts w:ascii="Times New Roman" w:hAnsi="Times New Roman" w:eastAsia="宋体" w:cs="Times New Roman"/>
          <w:b/>
          <w:sz w:val="28"/>
          <w:szCs w:val="28"/>
        </w:rPr>
      </w:pPr>
    </w:p>
    <w:p w14:paraId="6512807A">
      <w:pPr>
        <w:spacing w:line="360" w:lineRule="auto"/>
        <w:ind w:firstLine="562" w:firstLineChars="200"/>
        <w:rPr>
          <w:rFonts w:ascii="Times New Roman" w:hAnsi="Times New Roman" w:eastAsia="宋体" w:cs="Times New Roman"/>
          <w:b/>
          <w:sz w:val="28"/>
          <w:szCs w:val="28"/>
        </w:rPr>
      </w:pPr>
      <w:r>
        <w:rPr>
          <w:rFonts w:ascii="Times New Roman" w:hAnsi="Times New Roman" w:eastAsia="宋体" w:cs="Times New Roman"/>
          <w:b/>
          <w:sz w:val="28"/>
          <w:szCs w:val="28"/>
        </w:rPr>
        <w:t>六、有关说明</w:t>
      </w:r>
    </w:p>
    <w:p w14:paraId="04FA09D5">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（一）持续改进</w:t>
      </w:r>
    </w:p>
    <w:p w14:paraId="39CB791A">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 提倡改革教学方法，强调应用现代化教学手段，如课件、互联网视频教学和网络答疑等。</w:t>
      </w:r>
    </w:p>
    <w:p w14:paraId="142B9555">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2.合理安排教学课时，加强课堂提问、课堂小测验等旨在督促学生自主学习的教学环节；引导学生做好课前预习、课后整理笔记并及时完成作业的复习工作；保证学生完成一定数量的作业和习题。</w:t>
      </w:r>
    </w:p>
    <w:p w14:paraId="2B5F20C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3．教学用的例题和习题，应适当结合实际。</w:t>
      </w:r>
    </w:p>
    <w:p w14:paraId="65B5159A">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（二）参考书目及学习资料</w:t>
      </w:r>
    </w:p>
    <w:p w14:paraId="2A421A50">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课程教材研究所 小学数学竞赛指导 北京：人民教育出版社</w:t>
      </w:r>
    </w:p>
    <w:p w14:paraId="2A276270">
      <w:pPr>
        <w:spacing w:line="4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 胡兴虎等 新小学数学竞赛真题分类大全 湖北：湖北教育出版社</w:t>
      </w:r>
    </w:p>
    <w:p w14:paraId="1148526E">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p w14:paraId="514DB1B7">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50BB782F">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514C54A8">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4D7AD786">
      <w:pPr>
        <w:autoSpaceDE w:val="0"/>
        <w:autoSpaceDN w:val="0"/>
        <w:adjustRightInd w:val="0"/>
        <w:spacing w:line="360" w:lineRule="auto"/>
        <w:ind w:right="240" w:firstLine="480" w:firstLineChars="200"/>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执笔人：黄  星</w:t>
      </w:r>
    </w:p>
    <w:p w14:paraId="5BF171AC">
      <w:pPr>
        <w:autoSpaceDE w:val="0"/>
        <w:autoSpaceDN w:val="0"/>
        <w:adjustRightInd w:val="0"/>
        <w:spacing w:line="360" w:lineRule="auto"/>
        <w:ind w:right="240" w:firstLine="480" w:firstLineChars="200"/>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审定人：</w:t>
      </w:r>
      <w:r>
        <w:rPr>
          <w:rFonts w:ascii="Times New Roman" w:hAnsi="Times New Roman" w:eastAsia="宋体" w:cs="Times New Roman"/>
          <w:color w:val="000000"/>
          <w:sz w:val="24"/>
          <w:szCs w:val="21"/>
        </w:rPr>
        <w:t>钱  峰</w:t>
      </w:r>
    </w:p>
    <w:p w14:paraId="378CE644">
      <w:pPr>
        <w:autoSpaceDE w:val="0"/>
        <w:autoSpaceDN w:val="0"/>
        <w:adjustRightInd w:val="0"/>
        <w:spacing w:line="360" w:lineRule="auto"/>
        <w:ind w:right="240"/>
        <w:jc w:val="center"/>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lang w:val="en-US" w:eastAsia="zh-CN"/>
        </w:rPr>
        <w:t xml:space="preserve">                                               </w:t>
      </w:r>
      <w:r>
        <w:rPr>
          <w:rFonts w:ascii="Times New Roman" w:hAnsi="Times New Roman" w:eastAsia="宋体" w:cs="Times New Roman"/>
          <w:kern w:val="0"/>
          <w:sz w:val="24"/>
          <w:szCs w:val="21"/>
        </w:rPr>
        <w:t>审批人：王献东</w:t>
      </w:r>
    </w:p>
    <w:p w14:paraId="6B69E075">
      <w:pPr>
        <w:autoSpaceDE w:val="0"/>
        <w:autoSpaceDN w:val="0"/>
        <w:adjustRightInd w:val="0"/>
        <w:spacing w:line="360" w:lineRule="auto"/>
        <w:jc w:val="right"/>
        <w:rPr>
          <w:rFonts w:ascii="Times New Roman" w:hAnsi="Times New Roman" w:eastAsia="宋体" w:cs="Times New Roman"/>
          <w:kern w:val="0"/>
          <w:sz w:val="24"/>
          <w:szCs w:val="21"/>
        </w:rPr>
      </w:pPr>
      <w:r>
        <w:rPr>
          <w:rFonts w:ascii="Times New Roman" w:hAnsi="Times New Roman" w:eastAsia="宋体" w:cs="Times New Roman"/>
          <w:kern w:val="0"/>
          <w:sz w:val="24"/>
          <w:szCs w:val="21"/>
        </w:rPr>
        <w:t>批准时间：202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w:t>
      </w:r>
    </w:p>
    <w:p w14:paraId="19CC63B0">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7157E93F">
      <w:pPr>
        <w:spacing w:line="360" w:lineRule="auto"/>
        <w:jc w:val="center"/>
        <w:outlineLvl w:val="0"/>
        <w:rPr>
          <w:rFonts w:ascii="宋体" w:hAnsi="宋体" w:eastAsia="宋体" w:cs="Times New Roman"/>
          <w:b/>
          <w:bCs/>
          <w:sz w:val="30"/>
          <w:szCs w:val="24"/>
        </w:rPr>
      </w:pPr>
      <w:bookmarkStart w:id="252" w:name="_Toc166165224"/>
      <w:bookmarkStart w:id="253" w:name="_Toc29395632"/>
      <w:r>
        <w:rPr>
          <w:rFonts w:hint="eastAsia" w:ascii="宋体" w:hAnsi="宋体" w:eastAsia="宋体" w:cs="Times New Roman"/>
          <w:b/>
          <w:bCs/>
          <w:sz w:val="30"/>
          <w:szCs w:val="24"/>
        </w:rPr>
        <w:t>航模制作与训练</w:t>
      </w:r>
      <w:r>
        <w:rPr>
          <w:rFonts w:ascii="宋体" w:hAnsi="宋体" w:eastAsia="宋体" w:cs="Times New Roman"/>
          <w:b/>
          <w:bCs/>
          <w:sz w:val="30"/>
          <w:szCs w:val="24"/>
        </w:rPr>
        <w:t>课程教学大纲</w:t>
      </w:r>
      <w:bookmarkEnd w:id="252"/>
      <w:bookmarkEnd w:id="253"/>
    </w:p>
    <w:p w14:paraId="4F6AC66D">
      <w:pPr>
        <w:spacing w:line="360" w:lineRule="auto"/>
        <w:jc w:val="center"/>
        <w:rPr>
          <w:rFonts w:ascii="宋体" w:hAnsi="宋体" w:eastAsia="宋体" w:cs="Times New Roman"/>
          <w:b/>
          <w:bCs/>
          <w:sz w:val="30"/>
          <w:szCs w:val="24"/>
        </w:rPr>
      </w:pPr>
      <w:r>
        <w:rPr>
          <w:rFonts w:ascii="宋体" w:hAnsi="宋体" w:eastAsia="宋体" w:cs="Times New Roman"/>
          <w:b/>
          <w:bCs/>
          <w:sz w:val="30"/>
          <w:szCs w:val="24"/>
        </w:rPr>
        <w:t>（Aeromodelling and Training）</w:t>
      </w:r>
    </w:p>
    <w:p w14:paraId="498678E5">
      <w:pPr>
        <w:spacing w:line="360" w:lineRule="auto"/>
        <w:ind w:firstLine="551" w:firstLineChars="196"/>
        <w:rPr>
          <w:rFonts w:ascii="宋体" w:hAnsi="宋体" w:eastAsia="宋体" w:cs="Times New Roman"/>
          <w:b/>
          <w:sz w:val="28"/>
          <w:szCs w:val="28"/>
        </w:rPr>
      </w:pPr>
      <w:bookmarkStart w:id="254" w:name="_Toc29395633"/>
      <w:r>
        <w:rPr>
          <w:rFonts w:ascii="宋体" w:hAnsi="宋体" w:eastAsia="宋体" w:cs="Times New Roman"/>
          <w:b/>
          <w:sz w:val="28"/>
          <w:szCs w:val="28"/>
        </w:rPr>
        <w:t>一、课程概况</w:t>
      </w:r>
      <w:bookmarkEnd w:id="254"/>
    </w:p>
    <w:p w14:paraId="5790F8CD">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hint="eastAsia" w:ascii="宋体" w:hAnsi="宋体" w:eastAsia="宋体" w:cs="Times New Roman"/>
          <w:kern w:val="0"/>
          <w:sz w:val="24"/>
        </w:rPr>
        <w:t>240</w:t>
      </w:r>
      <w:r>
        <w:rPr>
          <w:rFonts w:ascii="宋体" w:hAnsi="宋体" w:eastAsia="宋体" w:cs="Times New Roman"/>
          <w:kern w:val="0"/>
          <w:sz w:val="24"/>
        </w:rPr>
        <w:t>1034</w:t>
      </w:r>
    </w:p>
    <w:p w14:paraId="26E4E6AA">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w:t>
      </w:r>
      <w:r>
        <w:rPr>
          <w:rFonts w:hint="eastAsia" w:ascii="宋体" w:hAnsi="宋体" w:eastAsia="宋体" w:cs="Times New Roman"/>
          <w:kern w:val="0"/>
          <w:sz w:val="24"/>
        </w:rPr>
        <w:t>2</w:t>
      </w:r>
    </w:p>
    <w:p w14:paraId="07587F38">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（其中：讲授学时16</w:t>
      </w:r>
      <w:r>
        <w:rPr>
          <w:rFonts w:hint="eastAsia" w:ascii="宋体" w:hAnsi="宋体" w:eastAsia="宋体" w:cs="Times New Roman"/>
          <w:kern w:val="0"/>
          <w:sz w:val="24"/>
          <w:szCs w:val="24"/>
        </w:rPr>
        <w:t>，</w:t>
      </w:r>
      <w:r>
        <w:rPr>
          <w:rFonts w:ascii="宋体" w:hAnsi="宋体" w:eastAsia="宋体" w:cs="Times New Roman"/>
          <w:kern w:val="0"/>
          <w:sz w:val="24"/>
          <w:szCs w:val="24"/>
        </w:rPr>
        <w:t xml:space="preserve"> 实践学时16）</w:t>
      </w:r>
    </w:p>
    <w:p w14:paraId="2AA7918B">
      <w:pPr>
        <w:spacing w:line="360" w:lineRule="auto"/>
        <w:ind w:firstLine="482" w:firstLineChars="200"/>
        <w:jc w:val="left"/>
        <w:rPr>
          <w:rFonts w:ascii="宋体" w:hAnsi="宋体" w:eastAsia="宋体" w:cs="Times New Roman"/>
          <w:sz w:val="24"/>
        </w:rPr>
      </w:pPr>
      <w:r>
        <w:rPr>
          <w:rFonts w:ascii="宋体" w:hAnsi="宋体" w:eastAsia="宋体" w:cs="Times New Roman"/>
          <w:b/>
          <w:bCs/>
          <w:kern w:val="0"/>
          <w:sz w:val="24"/>
          <w:szCs w:val="24"/>
          <w:lang w:val="zh-CN"/>
        </w:rPr>
        <w:t>先修课程</w:t>
      </w:r>
      <w:r>
        <w:rPr>
          <w:rFonts w:ascii="宋体" w:hAnsi="宋体" w:eastAsia="宋体" w:cs="Times New Roman"/>
          <w:b/>
          <w:kern w:val="0"/>
          <w:sz w:val="24"/>
          <w:szCs w:val="24"/>
          <w:lang w:val="zh-CN"/>
        </w:rPr>
        <w:t>：</w:t>
      </w:r>
      <w:r>
        <w:rPr>
          <w:rFonts w:hint="eastAsia" w:ascii="宋体" w:hAnsi="宋体" w:eastAsia="宋体" w:cs="Times New Roman"/>
          <w:sz w:val="24"/>
        </w:rPr>
        <w:t>数学分析、 高等代数、 空间解析几何、 概率与统计、初等数论</w:t>
      </w:r>
    </w:p>
    <w:p w14:paraId="5747059A">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hint="eastAsia" w:ascii="宋体" w:hAnsi="宋体" w:eastAsia="宋体" w:cs="Times New Roman"/>
          <w:kern w:val="0"/>
          <w:sz w:val="24"/>
          <w:szCs w:val="24"/>
        </w:rPr>
        <w:t>小学</w:t>
      </w:r>
      <w:r>
        <w:rPr>
          <w:rFonts w:ascii="宋体" w:hAnsi="宋体" w:eastAsia="宋体" w:cs="Times New Roman"/>
          <w:kern w:val="0"/>
          <w:sz w:val="24"/>
          <w:szCs w:val="24"/>
        </w:rPr>
        <w:t xml:space="preserve">教育                          </w:t>
      </w:r>
    </w:p>
    <w:p w14:paraId="727497C3">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hint="eastAsia" w:ascii="宋体" w:hAnsi="宋体" w:eastAsia="宋体" w:cs="Times New Roman"/>
          <w:sz w:val="24"/>
        </w:rPr>
        <w:t>《放飞梦想——航模制作初步》</w:t>
      </w:r>
      <w:r>
        <w:rPr>
          <w:rFonts w:ascii="宋体" w:hAnsi="宋体" w:eastAsia="宋体" w:cs="Times New Roman"/>
          <w:sz w:val="24"/>
        </w:rPr>
        <w:t>，</w:t>
      </w:r>
      <w:r>
        <w:rPr>
          <w:rFonts w:hint="eastAsia" w:ascii="宋体" w:hAnsi="宋体" w:eastAsia="宋体" w:cs="Times New Roman"/>
          <w:sz w:val="24"/>
        </w:rPr>
        <w:t>贾玉红等</w:t>
      </w:r>
      <w:r>
        <w:rPr>
          <w:rFonts w:ascii="宋体" w:hAnsi="宋体" w:eastAsia="宋体" w:cs="Times New Roman"/>
          <w:sz w:val="24"/>
        </w:rPr>
        <w:t>，</w:t>
      </w:r>
      <w:r>
        <w:rPr>
          <w:rFonts w:hint="eastAsia" w:ascii="宋体" w:hAnsi="宋体" w:eastAsia="宋体" w:cs="Times New Roman"/>
          <w:sz w:val="24"/>
        </w:rPr>
        <w:t>北京航空航天大学</w:t>
      </w:r>
      <w:r>
        <w:rPr>
          <w:rFonts w:ascii="宋体" w:hAnsi="宋体" w:eastAsia="宋体" w:cs="Times New Roman"/>
          <w:sz w:val="24"/>
        </w:rPr>
        <w:t>出版社</w:t>
      </w:r>
      <w:r>
        <w:rPr>
          <w:rFonts w:hint="eastAsia" w:ascii="宋体" w:hAnsi="宋体" w:eastAsia="宋体" w:cs="Times New Roman"/>
          <w:kern w:val="0"/>
          <w:sz w:val="24"/>
          <w:szCs w:val="24"/>
        </w:rPr>
        <w:t>.</w:t>
      </w:r>
    </w:p>
    <w:p w14:paraId="5A277E30">
      <w:pPr>
        <w:spacing w:line="360" w:lineRule="auto"/>
        <w:ind w:firstLine="482" w:firstLineChars="200"/>
        <w:rPr>
          <w:rFonts w:ascii="宋体" w:hAnsi="宋体" w:eastAsia="宋体" w:cs="Times New Roman"/>
          <w:sz w:val="24"/>
        </w:rPr>
      </w:pPr>
      <w:r>
        <w:rPr>
          <w:rFonts w:ascii="宋体" w:hAnsi="宋体" w:eastAsia="宋体" w:cs="Times New Roman"/>
          <w:b/>
          <w:bCs/>
          <w:kern w:val="0"/>
          <w:sz w:val="24"/>
          <w:szCs w:val="24"/>
        </w:rPr>
        <w:t>课程归口：</w:t>
      </w:r>
      <w:r>
        <w:rPr>
          <w:rFonts w:hint="eastAsia" w:ascii="宋体" w:hAnsi="宋体" w:eastAsia="宋体" w:cs="Times New Roman"/>
          <w:sz w:val="24"/>
        </w:rPr>
        <w:t>师范</w:t>
      </w:r>
      <w:r>
        <w:rPr>
          <w:rFonts w:ascii="宋体" w:hAnsi="宋体" w:eastAsia="宋体" w:cs="Times New Roman"/>
          <w:sz w:val="24"/>
        </w:rPr>
        <w:t>学院</w:t>
      </w:r>
    </w:p>
    <w:p w14:paraId="20AECB1A">
      <w:pPr>
        <w:autoSpaceDE w:val="0"/>
        <w:autoSpaceDN w:val="0"/>
        <w:adjustRightInd w:val="0"/>
        <w:spacing w:line="360" w:lineRule="auto"/>
        <w:ind w:firstLine="482" w:firstLineChars="200"/>
        <w:jc w:val="left"/>
        <w:rPr>
          <w:rFonts w:ascii="宋体" w:hAnsi="宋体" w:eastAsia="宋体" w:cs="Times New Roman"/>
          <w:kern w:val="0"/>
          <w:sz w:val="24"/>
        </w:rPr>
      </w:pPr>
      <w:r>
        <w:rPr>
          <w:rFonts w:hint="eastAsia" w:ascii="宋体" w:hAnsi="宋体" w:eastAsia="宋体" w:cs="Times New Roman"/>
          <w:b/>
          <w:bCs/>
          <w:kern w:val="0"/>
          <w:sz w:val="24"/>
          <w:szCs w:val="24"/>
        </w:rPr>
        <w:t>课程的性质与任务：</w:t>
      </w:r>
      <w:r>
        <w:rPr>
          <w:rFonts w:hint="eastAsia" w:ascii="宋体" w:hAnsi="宋体" w:eastAsia="宋体" w:cs="Times New Roman"/>
          <w:kern w:val="0"/>
          <w:sz w:val="24"/>
          <w:szCs w:val="24"/>
        </w:rPr>
        <w:t>本课程</w:t>
      </w:r>
      <w:r>
        <w:rPr>
          <w:rFonts w:ascii="宋体" w:hAnsi="宋体" w:eastAsia="宋体" w:cs="Times New Roman"/>
          <w:kern w:val="0"/>
          <w:sz w:val="24"/>
          <w:szCs w:val="24"/>
        </w:rPr>
        <w:t>是</w:t>
      </w:r>
      <w:r>
        <w:rPr>
          <w:rFonts w:hint="eastAsia" w:ascii="宋体" w:hAnsi="宋体" w:eastAsia="宋体" w:cs="Times New Roman"/>
          <w:bCs/>
          <w:kern w:val="0"/>
          <w:sz w:val="24"/>
          <w:szCs w:val="24"/>
        </w:rPr>
        <w:t>小学教育</w:t>
      </w:r>
      <w:r>
        <w:rPr>
          <w:rFonts w:ascii="宋体" w:hAnsi="宋体" w:eastAsia="宋体" w:cs="Times New Roman"/>
          <w:kern w:val="0"/>
          <w:sz w:val="24"/>
          <w:szCs w:val="24"/>
        </w:rPr>
        <w:t>专业的一门</w:t>
      </w:r>
      <w:r>
        <w:rPr>
          <w:rFonts w:hint="eastAsia" w:ascii="宋体" w:hAnsi="宋体" w:eastAsia="宋体" w:cs="Times New Roman"/>
          <w:kern w:val="0"/>
          <w:sz w:val="24"/>
          <w:szCs w:val="24"/>
        </w:rPr>
        <w:t>专业选修</w:t>
      </w:r>
      <w:r>
        <w:rPr>
          <w:rFonts w:ascii="宋体" w:hAnsi="宋体" w:eastAsia="宋体" w:cs="Times New Roman"/>
          <w:kern w:val="0"/>
          <w:sz w:val="24"/>
          <w:szCs w:val="24"/>
        </w:rPr>
        <w:t>课程</w:t>
      </w:r>
      <w:r>
        <w:rPr>
          <w:rFonts w:hint="eastAsia" w:ascii="宋体" w:hAnsi="宋体" w:eastAsia="宋体" w:cs="Times New Roman"/>
          <w:kern w:val="0"/>
          <w:sz w:val="24"/>
        </w:rPr>
        <w:t>。通过本课程学习，使学生全面掌握航模制作与训练的内涵、价值、目标、内容、方法，要求学生能动手参与到制作过程中，获得锻炼并能享受这个过程和形成最终成果的成就感，旨在于让学生在扩充新的知识领域的同时培养发散性创新性思维，提高学生的动手能力与加强创新思维方式的培养，为后续创新实践课程学习奠定基础。</w:t>
      </w:r>
    </w:p>
    <w:p w14:paraId="534EEC0E">
      <w:pPr>
        <w:spacing w:line="360" w:lineRule="auto"/>
        <w:rPr>
          <w:rFonts w:ascii="宋体" w:hAnsi="宋体" w:eastAsia="宋体" w:cs="Times New Roman"/>
          <w:kern w:val="0"/>
          <w:sz w:val="24"/>
        </w:rPr>
      </w:pPr>
    </w:p>
    <w:p w14:paraId="7F82CF74">
      <w:pPr>
        <w:spacing w:line="360" w:lineRule="auto"/>
        <w:rPr>
          <w:rFonts w:ascii="宋体" w:hAnsi="宋体" w:eastAsia="宋体" w:cs="Times New Roman"/>
          <w:b/>
          <w:sz w:val="28"/>
          <w:szCs w:val="28"/>
        </w:rPr>
      </w:pPr>
      <w:bookmarkStart w:id="255" w:name="_Toc29395634"/>
      <w:r>
        <w:rPr>
          <w:rFonts w:hint="eastAsia" w:ascii="宋体" w:hAnsi="宋体" w:eastAsia="宋体" w:cs="Times New Roman"/>
          <w:b/>
          <w:sz w:val="28"/>
          <w:szCs w:val="28"/>
        </w:rPr>
        <w:t>二</w:t>
      </w:r>
      <w:r>
        <w:rPr>
          <w:rFonts w:ascii="宋体" w:hAnsi="宋体" w:eastAsia="宋体" w:cs="Times New Roman"/>
          <w:b/>
          <w:sz w:val="28"/>
          <w:szCs w:val="28"/>
        </w:rPr>
        <w:t>、课程目标</w:t>
      </w:r>
      <w:bookmarkEnd w:id="255"/>
    </w:p>
    <w:p w14:paraId="35A3898A">
      <w:pPr>
        <w:spacing w:line="360" w:lineRule="auto"/>
        <w:rPr>
          <w:rFonts w:ascii="宋体" w:hAnsi="宋体" w:eastAsia="宋体" w:cs="Times New Roman"/>
          <w:b/>
          <w:sz w:val="28"/>
          <w:szCs w:val="28"/>
        </w:rPr>
      </w:pPr>
      <w:bookmarkStart w:id="256" w:name="_Toc29395635"/>
      <w:r>
        <w:rPr>
          <w:rFonts w:hint="eastAsia" w:ascii="宋体" w:hAnsi="宋体" w:eastAsia="宋体" w:cs="Times New Roman"/>
          <w:b/>
          <w:sz w:val="28"/>
          <w:szCs w:val="28"/>
        </w:rPr>
        <w:t>（一）课程具体目标</w:t>
      </w:r>
      <w:bookmarkEnd w:id="256"/>
    </w:p>
    <w:p w14:paraId="17CCEF34">
      <w:pPr>
        <w:spacing w:line="360" w:lineRule="auto"/>
        <w:ind w:firstLine="480" w:firstLineChars="200"/>
        <w:rPr>
          <w:rFonts w:ascii="宋体" w:hAnsi="宋体" w:eastAsia="宋体" w:cs="Times New Roman"/>
          <w:sz w:val="24"/>
          <w:szCs w:val="24"/>
        </w:rPr>
      </w:pPr>
      <w:r>
        <w:rPr>
          <w:rFonts w:hint="eastAsia" w:ascii="宋体" w:hAnsi="宋体" w:eastAsia="宋体" w:cs="Times New Roman"/>
          <w:kern w:val="0"/>
          <w:sz w:val="24"/>
        </w:rPr>
        <w:t>目标1.</w:t>
      </w:r>
      <w:r>
        <w:rPr>
          <w:rFonts w:ascii="宋体" w:hAnsi="宋体" w:eastAsia="宋体" w:cs="Times New Roman"/>
          <w:kern w:val="0"/>
          <w:sz w:val="24"/>
        </w:rPr>
        <w:t xml:space="preserve"> </w:t>
      </w:r>
      <w:r>
        <w:rPr>
          <w:rFonts w:hint="eastAsia" w:ascii="宋体" w:hAnsi="宋体" w:eastAsia="宋体" w:cs="Times New Roman"/>
          <w:kern w:val="0"/>
          <w:sz w:val="24"/>
        </w:rPr>
        <w:t>掌握学航模制作与训练的内涵与价值、航模制作与训练相关理论、航模制作与训练目标、航模制作与训练内容与方法、航模制作与训练设计与组织指导策略等基本理论及实践知识。</w:t>
      </w:r>
    </w:p>
    <w:p w14:paraId="6891447D">
      <w:pPr>
        <w:spacing w:line="360" w:lineRule="auto"/>
        <w:ind w:firstLine="480" w:firstLineChars="200"/>
        <w:rPr>
          <w:rFonts w:ascii="宋体" w:hAnsi="宋体" w:eastAsia="宋体" w:cs="Times New Roman"/>
          <w:sz w:val="24"/>
          <w:szCs w:val="24"/>
        </w:rPr>
      </w:pPr>
      <w:r>
        <w:rPr>
          <w:rFonts w:hint="eastAsia" w:ascii="宋体" w:hAnsi="宋体" w:eastAsia="宋体" w:cs="Times New Roman"/>
          <w:kern w:val="0"/>
          <w:sz w:val="24"/>
        </w:rPr>
        <w:t>目标2.能根据儿童身心发展规律和学习特点，运用航模制作与训练的基础理论，结合小学教育教学实践进行研究，具有一定的教学研究能力。</w:t>
      </w:r>
    </w:p>
    <w:p w14:paraId="3E886BE5">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目标3. 具有终身学习与专业发展的意识，掌握学航模制作与训练的评价方法和技能，能够运用批判性思维方法，对航模制作与训练进行教育反思</w:t>
      </w:r>
      <w:r>
        <w:rPr>
          <w:rFonts w:ascii="宋体" w:hAnsi="宋体" w:eastAsia="宋体" w:cs="Times New Roman"/>
          <w:kern w:val="0"/>
          <w:sz w:val="24"/>
        </w:rPr>
        <w:t>。</w:t>
      </w:r>
    </w:p>
    <w:p w14:paraId="2D422607">
      <w:pPr>
        <w:spacing w:line="360" w:lineRule="auto"/>
        <w:ind w:firstLine="480" w:firstLineChars="200"/>
        <w:rPr>
          <w:rFonts w:ascii="宋体" w:hAnsi="宋体" w:eastAsia="宋体" w:cs="Times New Roman"/>
          <w:sz w:val="24"/>
          <w:szCs w:val="24"/>
        </w:rPr>
      </w:pPr>
      <w:r>
        <w:rPr>
          <w:rFonts w:hint="eastAsia" w:ascii="宋体" w:hAnsi="宋体" w:eastAsia="宋体" w:cs="Times New Roman"/>
          <w:kern w:val="0"/>
          <w:sz w:val="24"/>
        </w:rPr>
        <w:t>目标4. 能够在小组合作活动中完成不同类型航模制作与训练活动、培养团队精神和团队成员合作意识，具有团队互助和合作学习体验。</w:t>
      </w:r>
    </w:p>
    <w:p w14:paraId="0243B456">
      <w:pPr>
        <w:spacing w:line="360" w:lineRule="auto"/>
        <w:rPr>
          <w:rFonts w:ascii="宋体" w:hAnsi="宋体" w:eastAsia="宋体" w:cs="Times New Roman"/>
          <w:b/>
          <w:sz w:val="28"/>
          <w:szCs w:val="28"/>
        </w:rPr>
      </w:pPr>
      <w:bookmarkStart w:id="257" w:name="_Toc29395636"/>
      <w:r>
        <w:rPr>
          <w:rFonts w:hint="eastAsia" w:ascii="宋体" w:hAnsi="宋体" w:eastAsia="宋体" w:cs="Times New Roman"/>
          <w:b/>
          <w:sz w:val="28"/>
          <w:szCs w:val="28"/>
        </w:rPr>
        <w:t>（二）课程目标与专业毕业要求的关系</w:t>
      </w:r>
      <w:bookmarkEnd w:id="257"/>
    </w:p>
    <w:tbl>
      <w:tblPr>
        <w:tblStyle w:val="30"/>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2328"/>
        <w:gridCol w:w="5213"/>
      </w:tblGrid>
      <w:tr w14:paraId="5373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831" w:type="dxa"/>
            <w:vAlign w:val="center"/>
          </w:tcPr>
          <w:p w14:paraId="46D27D5B">
            <w:pPr>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328" w:type="dxa"/>
            <w:vAlign w:val="center"/>
          </w:tcPr>
          <w:p w14:paraId="7CE21778">
            <w:pPr>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213" w:type="dxa"/>
            <w:vAlign w:val="center"/>
          </w:tcPr>
          <w:p w14:paraId="38DAFD6C">
            <w:pPr>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737B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831" w:type="dxa"/>
            <w:vAlign w:val="center"/>
          </w:tcPr>
          <w:p w14:paraId="5AB56183">
            <w:pPr>
              <w:jc w:val="center"/>
              <w:rPr>
                <w:rFonts w:ascii="宋体" w:hAnsi="宋体" w:eastAsia="宋体" w:cs="宋体"/>
                <w:bCs/>
                <w:szCs w:val="21"/>
              </w:rPr>
            </w:pPr>
            <w:r>
              <w:rPr>
                <w:rFonts w:hint="eastAsia" w:ascii="宋体" w:hAnsi="宋体" w:eastAsia="宋体" w:cs="宋体"/>
                <w:bCs/>
                <w:szCs w:val="21"/>
              </w:rPr>
              <w:t>课程目标1</w:t>
            </w:r>
          </w:p>
        </w:tc>
        <w:tc>
          <w:tcPr>
            <w:tcW w:w="2328" w:type="dxa"/>
            <w:vAlign w:val="center"/>
          </w:tcPr>
          <w:p w14:paraId="2040FC79">
            <w:pPr>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3.知识</w:t>
            </w:r>
            <w:r>
              <w:rPr>
                <w:rFonts w:hint="eastAsia" w:ascii="宋体" w:hAnsi="宋体" w:eastAsia="宋体" w:cs="Times New Roman"/>
                <w:kern w:val="0"/>
                <w:szCs w:val="21"/>
              </w:rPr>
              <w:t>学习</w:t>
            </w:r>
          </w:p>
        </w:tc>
        <w:tc>
          <w:tcPr>
            <w:tcW w:w="5213" w:type="dxa"/>
            <w:vAlign w:val="center"/>
          </w:tcPr>
          <w:p w14:paraId="4A7C4E97">
            <w:pPr>
              <w:jc w:val="left"/>
              <w:rPr>
                <w:rFonts w:ascii="宋体" w:hAnsi="宋体" w:eastAsia="宋体" w:cs="Times New Roman"/>
                <w:kern w:val="0"/>
                <w:sz w:val="18"/>
                <w:szCs w:val="18"/>
              </w:rPr>
            </w:pPr>
            <w:r>
              <w:rPr>
                <w:rFonts w:hint="eastAsia" w:ascii="宋体" w:hAnsi="宋体" w:eastAsia="宋体" w:cs="Times New Roman"/>
                <w:kern w:val="0"/>
                <w:szCs w:val="21"/>
              </w:rPr>
              <w:t>3-4: 掌握健康、社会、语言、科学、艺术五大领域的基础知识、思想方法与策略，并能注重知识的整合与迁移。</w:t>
            </w:r>
          </w:p>
        </w:tc>
      </w:tr>
      <w:tr w14:paraId="6C04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831" w:type="dxa"/>
            <w:vAlign w:val="center"/>
          </w:tcPr>
          <w:p w14:paraId="1BFCA73D">
            <w:pPr>
              <w:jc w:val="center"/>
              <w:rPr>
                <w:rFonts w:ascii="宋体" w:hAnsi="宋体" w:eastAsia="宋体" w:cs="宋体"/>
                <w:szCs w:val="21"/>
              </w:rPr>
            </w:pPr>
            <w:r>
              <w:rPr>
                <w:rFonts w:hint="eastAsia" w:ascii="宋体" w:hAnsi="宋体" w:eastAsia="宋体" w:cs="宋体"/>
                <w:szCs w:val="21"/>
              </w:rPr>
              <w:t>课程目标2</w:t>
            </w:r>
          </w:p>
        </w:tc>
        <w:tc>
          <w:tcPr>
            <w:tcW w:w="2328" w:type="dxa"/>
            <w:vAlign w:val="center"/>
          </w:tcPr>
          <w:p w14:paraId="5E849993">
            <w:pPr>
              <w:rPr>
                <w:rFonts w:ascii="宋体" w:hAnsi="宋体" w:eastAsia="宋体" w:cs="Times New Roman"/>
                <w:kern w:val="0"/>
                <w:sz w:val="18"/>
                <w:szCs w:val="18"/>
              </w:rPr>
            </w:pPr>
            <w:r>
              <w:rPr>
                <w:rFonts w:hint="eastAsia" w:ascii="宋体" w:hAnsi="宋体" w:eastAsia="宋体" w:cs="Times New Roman"/>
                <w:kern w:val="0"/>
                <w:szCs w:val="21"/>
              </w:rPr>
              <w:t>毕业要求</w:t>
            </w:r>
            <w:r>
              <w:rPr>
                <w:rFonts w:ascii="宋体" w:hAnsi="宋体" w:eastAsia="宋体" w:cs="Times New Roman"/>
                <w:kern w:val="0"/>
                <w:szCs w:val="21"/>
              </w:rPr>
              <w:t>4.能力</w:t>
            </w:r>
            <w:r>
              <w:rPr>
                <w:rFonts w:hint="eastAsia" w:ascii="宋体" w:hAnsi="宋体" w:eastAsia="宋体" w:cs="Times New Roman"/>
                <w:kern w:val="0"/>
                <w:szCs w:val="21"/>
              </w:rPr>
              <w:t>培养</w:t>
            </w:r>
          </w:p>
        </w:tc>
        <w:tc>
          <w:tcPr>
            <w:tcW w:w="5213" w:type="dxa"/>
            <w:vAlign w:val="center"/>
          </w:tcPr>
          <w:p w14:paraId="15C771ED">
            <w:pPr>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 掌握教育研究的基本方法，结合小学教育教学实践进行研究，具有一定的教学研究能力。</w:t>
            </w:r>
          </w:p>
        </w:tc>
      </w:tr>
      <w:tr w14:paraId="4CA4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831" w:type="dxa"/>
            <w:vAlign w:val="center"/>
          </w:tcPr>
          <w:p w14:paraId="6BBA212F">
            <w:pPr>
              <w:jc w:val="center"/>
              <w:rPr>
                <w:rFonts w:ascii="宋体" w:hAnsi="宋体" w:eastAsia="宋体" w:cs="宋体"/>
                <w:szCs w:val="21"/>
              </w:rPr>
            </w:pPr>
            <w:r>
              <w:rPr>
                <w:rFonts w:hint="eastAsia" w:ascii="宋体" w:hAnsi="宋体" w:eastAsia="宋体" w:cs="宋体"/>
                <w:szCs w:val="21"/>
              </w:rPr>
              <w:t>课程目标3</w:t>
            </w:r>
          </w:p>
        </w:tc>
        <w:tc>
          <w:tcPr>
            <w:tcW w:w="2328" w:type="dxa"/>
            <w:vAlign w:val="center"/>
          </w:tcPr>
          <w:p w14:paraId="6A90A052">
            <w:pPr>
              <w:rPr>
                <w:rFonts w:ascii="宋体" w:hAnsi="宋体" w:eastAsia="宋体" w:cs="Times New Roman"/>
                <w:spacing w:val="2"/>
                <w:kern w:val="0"/>
                <w:szCs w:val="21"/>
              </w:rPr>
            </w:pPr>
            <w:r>
              <w:rPr>
                <w:rFonts w:hint="eastAsia" w:ascii="宋体" w:hAnsi="宋体" w:eastAsia="宋体" w:cs="Times New Roman"/>
                <w:spacing w:val="2"/>
                <w:kern w:val="0"/>
                <w:szCs w:val="21"/>
              </w:rPr>
              <w:t>毕业要求7.学会反思</w:t>
            </w:r>
          </w:p>
        </w:tc>
        <w:tc>
          <w:tcPr>
            <w:tcW w:w="5213" w:type="dxa"/>
            <w:vAlign w:val="center"/>
          </w:tcPr>
          <w:p w14:paraId="4974B7B9">
            <w:pPr>
              <w:jc w:val="left"/>
              <w:rPr>
                <w:rFonts w:ascii="宋体" w:hAnsi="宋体" w:eastAsia="宋体" w:cs="宋体"/>
                <w:szCs w:val="21"/>
              </w:rPr>
            </w:pPr>
            <w:r>
              <w:rPr>
                <w:rFonts w:hint="eastAsia" w:ascii="宋体" w:hAnsi="宋体" w:eastAsia="宋体" w:cs="Times New Roman"/>
                <w:kern w:val="0"/>
                <w:szCs w:val="21"/>
              </w:rPr>
              <w:t>7</w:t>
            </w: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初步养成反思的习惯与意识，具有批判精神，并能在教育实践中从不同角度对问题进行思考和分析。</w:t>
            </w:r>
          </w:p>
        </w:tc>
      </w:tr>
      <w:tr w14:paraId="490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831" w:type="dxa"/>
            <w:vAlign w:val="center"/>
          </w:tcPr>
          <w:p w14:paraId="7E9AC34A">
            <w:pPr>
              <w:jc w:val="center"/>
              <w:rPr>
                <w:rFonts w:ascii="宋体" w:hAnsi="宋体" w:eastAsia="宋体" w:cs="宋体"/>
                <w:szCs w:val="21"/>
              </w:rPr>
            </w:pPr>
            <w:r>
              <w:rPr>
                <w:rFonts w:hint="eastAsia" w:ascii="宋体" w:hAnsi="宋体" w:eastAsia="宋体" w:cs="宋体"/>
                <w:szCs w:val="21"/>
              </w:rPr>
              <w:t>课程目标 4</w:t>
            </w:r>
          </w:p>
        </w:tc>
        <w:tc>
          <w:tcPr>
            <w:tcW w:w="2328" w:type="dxa"/>
            <w:vAlign w:val="center"/>
          </w:tcPr>
          <w:p w14:paraId="2C4D181E">
            <w:pPr>
              <w:rPr>
                <w:rFonts w:ascii="宋体" w:hAnsi="宋体" w:eastAsia="宋体" w:cs="Times New Roman"/>
                <w:spacing w:val="2"/>
                <w:kern w:val="0"/>
                <w:szCs w:val="21"/>
              </w:rPr>
            </w:pPr>
            <w:r>
              <w:rPr>
                <w:rFonts w:ascii="宋体" w:hAnsi="宋体" w:eastAsia="宋体" w:cs="Times New Roman"/>
                <w:kern w:val="0"/>
                <w:szCs w:val="21"/>
              </w:rPr>
              <w:t>毕业要求</w:t>
            </w:r>
            <w:r>
              <w:rPr>
                <w:rFonts w:hint="eastAsia" w:ascii="宋体" w:hAnsi="宋体" w:eastAsia="宋体" w:cs="Times New Roman"/>
                <w:spacing w:val="2"/>
                <w:kern w:val="0"/>
                <w:szCs w:val="21"/>
              </w:rPr>
              <w:t>8</w:t>
            </w:r>
            <w:r>
              <w:rPr>
                <w:rFonts w:ascii="宋体" w:hAnsi="宋体" w:eastAsia="宋体" w:cs="Times New Roman"/>
                <w:spacing w:val="2"/>
                <w:kern w:val="0"/>
                <w:szCs w:val="21"/>
              </w:rPr>
              <w:t>.沟通合作</w:t>
            </w:r>
          </w:p>
        </w:tc>
        <w:tc>
          <w:tcPr>
            <w:tcW w:w="5213" w:type="dxa"/>
            <w:vAlign w:val="center"/>
          </w:tcPr>
          <w:p w14:paraId="29AE339D">
            <w:pPr>
              <w:shd w:val="clear" w:color="auto" w:fill="FFFFFF"/>
              <w:jc w:val="left"/>
              <w:rPr>
                <w:rFonts w:ascii="宋体" w:hAnsi="宋体" w:eastAsia="宋体" w:cs="Times New Roman"/>
                <w:spacing w:val="2"/>
                <w:kern w:val="0"/>
                <w:szCs w:val="21"/>
              </w:rPr>
            </w:pPr>
            <w:r>
              <w:rPr>
                <w:rFonts w:ascii="宋体" w:hAnsi="宋体" w:eastAsia="宋体" w:cs="Times New Roman"/>
                <w:szCs w:val="21"/>
              </w:rPr>
              <w:t>8-1：</w:t>
            </w:r>
            <w:r>
              <w:rPr>
                <w:rFonts w:hint="eastAsia" w:ascii="宋体" w:hAnsi="宋体" w:eastAsia="宋体" w:cs="Times New Roman"/>
                <w:szCs w:val="21"/>
              </w:rPr>
              <w:t>认同团队协作的价值，掌握沟通、交流、合作的基本技能，积极参与学习共同体的构建，具有合作互助的能力</w:t>
            </w:r>
            <w:r>
              <w:rPr>
                <w:rFonts w:ascii="宋体" w:hAnsi="宋体" w:eastAsia="宋体" w:cs="Times New Roman"/>
                <w:spacing w:val="2"/>
                <w:kern w:val="0"/>
                <w:szCs w:val="21"/>
              </w:rPr>
              <w:t>。</w:t>
            </w:r>
          </w:p>
        </w:tc>
      </w:tr>
    </w:tbl>
    <w:p w14:paraId="2516FB4E">
      <w:pPr>
        <w:spacing w:line="360" w:lineRule="auto"/>
        <w:rPr>
          <w:rFonts w:ascii="宋体" w:hAnsi="宋体" w:eastAsia="宋体" w:cs="Times New Roman"/>
          <w:b/>
          <w:kern w:val="0"/>
          <w:sz w:val="24"/>
        </w:rPr>
      </w:pPr>
      <w:r>
        <w:rPr>
          <w:rFonts w:hint="eastAsia" w:ascii="宋体" w:hAnsi="宋体" w:eastAsia="宋体" w:cs="Times New Roman"/>
          <w:b/>
          <w:kern w:val="0"/>
          <w:sz w:val="24"/>
        </w:rPr>
        <w:t xml:space="preserve">    </w:t>
      </w:r>
    </w:p>
    <w:p w14:paraId="18C2DD2C">
      <w:pPr>
        <w:spacing w:line="360" w:lineRule="auto"/>
        <w:rPr>
          <w:rFonts w:ascii="宋体" w:hAnsi="宋体" w:eastAsia="宋体" w:cs="Times New Roman"/>
          <w:b/>
          <w:kern w:val="0"/>
          <w:sz w:val="24"/>
        </w:rPr>
      </w:pPr>
      <w:r>
        <w:rPr>
          <w:rFonts w:hint="eastAsia" w:ascii="宋体" w:hAnsi="宋体" w:eastAsia="宋体" w:cs="Times New Roman"/>
          <w:b/>
          <w:kern w:val="0"/>
          <w:sz w:val="24"/>
        </w:rPr>
        <w:t xml:space="preserve"> </w:t>
      </w:r>
      <w:bookmarkStart w:id="258" w:name="_Toc29395637"/>
      <w:r>
        <w:rPr>
          <w:rFonts w:hint="eastAsia" w:ascii="宋体" w:hAnsi="宋体" w:eastAsia="宋体" w:cs="Times New Roman"/>
          <w:b/>
          <w:sz w:val="28"/>
          <w:szCs w:val="28"/>
        </w:rPr>
        <w:t>三</w:t>
      </w:r>
      <w:r>
        <w:rPr>
          <w:rFonts w:ascii="宋体" w:hAnsi="宋体" w:eastAsia="宋体" w:cs="Times New Roman"/>
          <w:b/>
          <w:sz w:val="28"/>
          <w:szCs w:val="28"/>
        </w:rPr>
        <w:t>、课程内容及要求</w:t>
      </w:r>
      <w:bookmarkEnd w:id="258"/>
    </w:p>
    <w:p w14:paraId="6F0112CC">
      <w:pPr>
        <w:spacing w:line="360" w:lineRule="auto"/>
        <w:rPr>
          <w:rFonts w:ascii="宋体" w:hAnsi="宋体" w:eastAsia="宋体" w:cs="Times New Roman"/>
          <w:b/>
          <w:sz w:val="24"/>
        </w:rPr>
      </w:pPr>
      <w:bookmarkStart w:id="259" w:name="_Toc29395638"/>
      <w:r>
        <w:rPr>
          <w:rFonts w:hint="eastAsia" w:ascii="宋体" w:hAnsi="宋体" w:eastAsia="宋体" w:cs="Times New Roman"/>
          <w:b/>
          <w:sz w:val="24"/>
        </w:rPr>
        <w:t>（一）航空模型基础知识讲解（本模块各知识点的讲授与学习，可以支撑课程目标1）</w:t>
      </w:r>
      <w:bookmarkEnd w:id="259"/>
    </w:p>
    <w:p w14:paraId="39ABE87A">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r>
        <w:rPr>
          <w:rFonts w:hint="eastAsia" w:ascii="宋体" w:hAnsi="宋体" w:eastAsia="宋体" w:cs="Times New Roman"/>
          <w:b/>
          <w:sz w:val="24"/>
        </w:rPr>
        <w:t>：航空发展史与航空模型及其分类</w:t>
      </w:r>
    </w:p>
    <w:p w14:paraId="28A4DB1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（1）介绍人类早期的飞行幻想，著名的飞行梦事件；</w:t>
      </w:r>
    </w:p>
    <w:p w14:paraId="10618DC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（2）介绍工业革命时期飞艇和飞机的发明；</w:t>
      </w:r>
    </w:p>
    <w:p w14:paraId="74D75BC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（3）梳理航空史上的重要节点，简要介绍各种类型的飞机的诞生和发展；</w:t>
      </w:r>
    </w:p>
    <w:p w14:paraId="1CF8982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（4）讲解当前世界的航空技术格局和我国的航空发展现状。</w:t>
      </w:r>
    </w:p>
    <w:p w14:paraId="0750537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（5）整理各种各样航空模型的图片、飞行视频，为学生展示各种场景下的航模飞行以及多种式样的飞机模型；</w:t>
      </w:r>
    </w:p>
    <w:p w14:paraId="61694B6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（6）展示航模实物，使其对航空模型建立形象的概念和认知；</w:t>
      </w:r>
    </w:p>
    <w:p w14:paraId="753BB61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（7）简介航空模型的发展史，展示早期的航模照片；</w:t>
      </w:r>
    </w:p>
    <w:p w14:paraId="3514025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（8）对航空模型进行分类，让学生能正确识别各种类型的航空模型。</w:t>
      </w:r>
    </w:p>
    <w:p w14:paraId="0FD18AC4">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429FE4EA">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理解科学的内涵</w:t>
      </w:r>
    </w:p>
    <w:p w14:paraId="2A277469">
      <w:pPr>
        <w:spacing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掌握学航模制作与训练的内涵与价值</w:t>
      </w:r>
    </w:p>
    <w:p w14:paraId="65A4F54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（3）了解国内航空发展史与航空模型的发展趋势</w:t>
      </w:r>
    </w:p>
    <w:p w14:paraId="017AB18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（4）运用航空发展史与航空模型</w:t>
      </w:r>
      <w:r>
        <w:rPr>
          <w:rFonts w:ascii="宋体" w:hAnsi="宋体" w:eastAsia="宋体" w:cs="Times New Roman"/>
          <w:sz w:val="24"/>
        </w:rPr>
        <w:t>理论知识分析</w:t>
      </w:r>
      <w:r>
        <w:rPr>
          <w:rFonts w:hint="eastAsia" w:ascii="宋体" w:hAnsi="宋体" w:eastAsia="宋体" w:cs="Times New Roman"/>
          <w:sz w:val="24"/>
        </w:rPr>
        <w:t>小学</w:t>
      </w:r>
      <w:r>
        <w:rPr>
          <w:rFonts w:ascii="宋体" w:hAnsi="宋体" w:eastAsia="宋体" w:cs="Times New Roman"/>
          <w:sz w:val="24"/>
        </w:rPr>
        <w:t>儿童科学</w:t>
      </w:r>
      <w:r>
        <w:rPr>
          <w:rFonts w:hint="eastAsia" w:ascii="宋体" w:hAnsi="宋体" w:eastAsia="宋体" w:cs="Times New Roman"/>
          <w:sz w:val="24"/>
        </w:rPr>
        <w:t>学习</w:t>
      </w:r>
      <w:r>
        <w:rPr>
          <w:rFonts w:ascii="宋体" w:hAnsi="宋体" w:eastAsia="宋体" w:cs="Times New Roman"/>
          <w:sz w:val="24"/>
        </w:rPr>
        <w:t>的特点</w:t>
      </w:r>
    </w:p>
    <w:p w14:paraId="24266EA0">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6121673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让学生了解学习航空发展史和发展趋势，观看实物模型图片，掌握相关的概念，让学生对我国航空发展在全球发展中的历程、地位和作用形成初步的认识，建立起对我国航空事业发展的兴趣，让“四个自信”理念落实到科学教育领域。</w:t>
      </w:r>
    </w:p>
    <w:p w14:paraId="3D02972D">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hint="eastAsia" w:ascii="宋体" w:hAnsi="宋体" w:eastAsia="宋体" w:cs="Times New Roman"/>
          <w:sz w:val="24"/>
        </w:rPr>
        <w:t>掌握航空模型的内涵与</w:t>
      </w:r>
      <w:r>
        <w:rPr>
          <w:rFonts w:ascii="宋体" w:hAnsi="宋体" w:eastAsia="宋体" w:cs="Times New Roman"/>
          <w:sz w:val="24"/>
        </w:rPr>
        <w:t>价值</w:t>
      </w:r>
    </w:p>
    <w:p w14:paraId="5BCD3F28">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运用航空发展史与航空模型</w:t>
      </w:r>
      <w:r>
        <w:rPr>
          <w:rFonts w:ascii="宋体" w:hAnsi="宋体" w:eastAsia="宋体" w:cs="Times New Roman"/>
          <w:sz w:val="24"/>
        </w:rPr>
        <w:t>知识分析学前儿童科学</w:t>
      </w:r>
      <w:r>
        <w:rPr>
          <w:rFonts w:hint="eastAsia" w:ascii="宋体" w:hAnsi="宋体" w:eastAsia="宋体" w:cs="Times New Roman"/>
          <w:sz w:val="24"/>
        </w:rPr>
        <w:t>学习</w:t>
      </w:r>
      <w:r>
        <w:rPr>
          <w:rFonts w:ascii="宋体" w:hAnsi="宋体" w:eastAsia="宋体" w:cs="Times New Roman"/>
          <w:sz w:val="24"/>
        </w:rPr>
        <w:t>的特点</w:t>
      </w:r>
    </w:p>
    <w:p w14:paraId="5ACA1021">
      <w:pPr>
        <w:spacing w:line="360" w:lineRule="auto"/>
        <w:ind w:firstLine="482" w:firstLineChars="200"/>
        <w:rPr>
          <w:rFonts w:ascii="宋体" w:hAnsi="宋体" w:eastAsia="宋体" w:cs="Times New Roman"/>
          <w:b/>
          <w:sz w:val="24"/>
        </w:rPr>
      </w:pPr>
      <w:bookmarkStart w:id="260" w:name="_Toc29395639"/>
      <w:r>
        <w:rPr>
          <w:rFonts w:hint="eastAsia" w:ascii="宋体" w:hAnsi="宋体" w:eastAsia="宋体" w:cs="Times New Roman"/>
          <w:b/>
          <w:sz w:val="24"/>
        </w:rPr>
        <w:t>（二）基本飞行原理与计算机模拟飞行软件（本模块各知识点的讲授与学习，可以支撑课程目标1、</w:t>
      </w:r>
      <w:r>
        <w:rPr>
          <w:rFonts w:ascii="宋体" w:hAnsi="宋体" w:eastAsia="宋体" w:cs="Times New Roman"/>
          <w:b/>
          <w:sz w:val="24"/>
        </w:rPr>
        <w:t>课程目标</w:t>
      </w:r>
      <w:r>
        <w:rPr>
          <w:rFonts w:hint="eastAsia" w:ascii="宋体" w:hAnsi="宋体" w:eastAsia="宋体" w:cs="Times New Roman"/>
          <w:b/>
          <w:sz w:val="24"/>
        </w:rPr>
        <w:t>2）</w:t>
      </w:r>
      <w:bookmarkEnd w:id="260"/>
    </w:p>
    <w:p w14:paraId="155F61FB">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r>
        <w:rPr>
          <w:rFonts w:hint="eastAsia" w:ascii="宋体" w:hAnsi="宋体" w:eastAsia="宋体" w:cs="Times New Roman"/>
          <w:b/>
          <w:sz w:val="24"/>
        </w:rPr>
        <w:t>：基本飞行原理与计算机模拟飞行软件介绍</w:t>
      </w:r>
    </w:p>
    <w:p w14:paraId="65D1084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（1）讲解固定翼飞机的常规布局和特殊布局、固定翼飞机机翼产生升力的原理、固定翼飞机的舵面控制效应；</w:t>
      </w:r>
    </w:p>
    <w:p w14:paraId="6C00867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（2）讲解直升飞机的升力来源与控制原理，同时做适当扩展，对变种直升机比如四旋翼飞机、共轴双桨直升机做一定程度的介绍；</w:t>
      </w:r>
    </w:p>
    <w:p w14:paraId="709FCCA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（3）讲解其他飞行器，比如热气球、飞艇、旋翼机、扑翼机等，的基本飞行原理。</w:t>
      </w:r>
    </w:p>
    <w:p w14:paraId="2D5E77BC">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012CEBB6">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理解飞行原理与计算机模拟飞行软件的制定依据</w:t>
      </w:r>
    </w:p>
    <w:p w14:paraId="33BFFB43">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掌握学飞行原理总目标、各年龄段分目标、单元目标和具体活动目标</w:t>
      </w:r>
      <w:r>
        <w:rPr>
          <w:rFonts w:ascii="宋体" w:hAnsi="宋体" w:eastAsia="宋体" w:cs="Times New Roman"/>
          <w:sz w:val="24"/>
        </w:rPr>
        <w:t>制定方法</w:t>
      </w:r>
    </w:p>
    <w:p w14:paraId="652370AD">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应用所学</w:t>
      </w:r>
      <w:r>
        <w:rPr>
          <w:rFonts w:ascii="宋体" w:hAnsi="宋体" w:eastAsia="宋体" w:cs="Times New Roman"/>
          <w:sz w:val="24"/>
        </w:rPr>
        <w:t>知识</w:t>
      </w:r>
      <w:r>
        <w:rPr>
          <w:rFonts w:hint="eastAsia" w:ascii="宋体" w:hAnsi="宋体" w:eastAsia="宋体" w:cs="Times New Roman"/>
          <w:sz w:val="24"/>
        </w:rPr>
        <w:t>设计航空模型制作目标</w:t>
      </w:r>
    </w:p>
    <w:p w14:paraId="1ECDCF64">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71C9D90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通过学习基本的飞行原理，了解相关的计算机飞行软件，让学生形成探究万物的运转规律、尊重科技创新精神，从而助推学生的科学素养。</w:t>
      </w:r>
    </w:p>
    <w:p w14:paraId="78EC6172">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掌握飞行原理与计算机模拟飞行软件总目标、各年龄段分目标、单元目标和具体活动目标</w:t>
      </w:r>
      <w:r>
        <w:rPr>
          <w:rFonts w:ascii="宋体" w:hAnsi="宋体" w:eastAsia="宋体" w:cs="Times New Roman"/>
          <w:sz w:val="24"/>
        </w:rPr>
        <w:t>制定方法</w:t>
      </w:r>
    </w:p>
    <w:p w14:paraId="3F327FDD">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应用所学</w:t>
      </w:r>
      <w:r>
        <w:rPr>
          <w:rFonts w:ascii="宋体" w:hAnsi="宋体" w:eastAsia="宋体" w:cs="Times New Roman"/>
          <w:sz w:val="24"/>
        </w:rPr>
        <w:t>知识</w:t>
      </w:r>
      <w:r>
        <w:rPr>
          <w:rFonts w:hint="eastAsia" w:ascii="宋体" w:hAnsi="宋体" w:eastAsia="宋体" w:cs="Times New Roman"/>
          <w:sz w:val="24"/>
        </w:rPr>
        <w:t xml:space="preserve">设计飞行原理与计算机模拟飞行软件目标 </w:t>
      </w:r>
    </w:p>
    <w:p w14:paraId="2775595B">
      <w:pPr>
        <w:spacing w:line="360" w:lineRule="auto"/>
        <w:rPr>
          <w:rFonts w:ascii="宋体" w:hAnsi="宋体" w:eastAsia="宋体" w:cs="Times New Roman"/>
          <w:b/>
          <w:sz w:val="24"/>
        </w:rPr>
      </w:pPr>
      <w:bookmarkStart w:id="261" w:name="_Toc29395640"/>
      <w:r>
        <w:rPr>
          <w:rFonts w:hint="eastAsia" w:ascii="宋体" w:hAnsi="宋体" w:eastAsia="宋体" w:cs="Times New Roman"/>
          <w:b/>
          <w:sz w:val="24"/>
        </w:rPr>
        <w:t>（三）遥控航空模型的结构与控制原理的内容（本模块各知识点的讲授与学习，可以支撑课程目标1、</w:t>
      </w:r>
      <w:r>
        <w:rPr>
          <w:rFonts w:ascii="宋体" w:hAnsi="宋体" w:eastAsia="宋体" w:cs="Times New Roman"/>
          <w:b/>
          <w:sz w:val="24"/>
        </w:rPr>
        <w:t>课程目标</w:t>
      </w:r>
      <w:r>
        <w:rPr>
          <w:rFonts w:hint="eastAsia" w:ascii="宋体" w:hAnsi="宋体" w:eastAsia="宋体" w:cs="Times New Roman"/>
          <w:b/>
          <w:sz w:val="24"/>
        </w:rPr>
        <w:t>2）</w:t>
      </w:r>
      <w:bookmarkEnd w:id="261"/>
    </w:p>
    <w:p w14:paraId="25BBF646">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r>
        <w:rPr>
          <w:rFonts w:hint="eastAsia" w:ascii="宋体" w:hAnsi="宋体" w:eastAsia="宋体" w:cs="Times New Roman"/>
          <w:b/>
          <w:sz w:val="24"/>
        </w:rPr>
        <w:t>：遥控航空模型的结构与控制原理</w:t>
      </w:r>
    </w:p>
    <w:p w14:paraId="7B6AC0C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（1）综述遥控模型的整个控制链路，简要讲解无线电控制的实现与控制伺服器（舵机）原理；</w:t>
      </w:r>
    </w:p>
    <w:p w14:paraId="5B6E6D4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（2）以固定翼飞机为例，介绍模型飞机的基本结构；</w:t>
      </w:r>
    </w:p>
    <w:p w14:paraId="5BAC21B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（3）根据动力源的形式，按电动和油动对模型飞机的动力系统做介绍，并延伸能源的形式，即电动模型的动力电池种类与特性和油动模型的燃料及其成分配比，列举处于安全性考虑的注意事项。</w:t>
      </w:r>
    </w:p>
    <w:p w14:paraId="4CBF6734">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29A40253">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了解无线电控制的实现与控制伺服器（舵机）原理内容</w:t>
      </w:r>
    </w:p>
    <w:p w14:paraId="733402C8">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掌握遥控航空模型的结构与控制原理内容的范围</w:t>
      </w:r>
    </w:p>
    <w:p w14:paraId="6D1BDCD6">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掌握遥控航空模型的结构与控制原理内容的基本要求和方法</w:t>
      </w:r>
    </w:p>
    <w:p w14:paraId="44350A30">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4</w:t>
      </w:r>
      <w:r>
        <w:rPr>
          <w:rFonts w:ascii="宋体" w:hAnsi="宋体" w:eastAsia="宋体" w:cs="Times New Roman"/>
          <w:sz w:val="24"/>
        </w:rPr>
        <w:t>）应用所学理论科学</w:t>
      </w:r>
      <w:r>
        <w:rPr>
          <w:rFonts w:hint="eastAsia" w:ascii="宋体" w:hAnsi="宋体" w:eastAsia="宋体" w:cs="Times New Roman"/>
          <w:sz w:val="24"/>
        </w:rPr>
        <w:t>掌握遥控航空模型的结构与控制原理</w:t>
      </w:r>
      <w:r>
        <w:rPr>
          <w:rFonts w:ascii="宋体" w:hAnsi="宋体" w:eastAsia="宋体" w:cs="Times New Roman"/>
          <w:sz w:val="24"/>
        </w:rPr>
        <w:t>内容</w:t>
      </w:r>
    </w:p>
    <w:p w14:paraId="1E4F0522">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61804EA0">
      <w:pPr>
        <w:spacing w:line="360" w:lineRule="auto"/>
        <w:ind w:firstLine="480" w:firstLineChars="200"/>
        <w:rPr>
          <w:rFonts w:ascii="宋体" w:hAnsi="宋体" w:eastAsia="宋体" w:cs="Times New Roman"/>
          <w:b/>
          <w:sz w:val="24"/>
        </w:rPr>
      </w:pPr>
      <w:r>
        <w:rPr>
          <w:rFonts w:hint="eastAsia" w:ascii="宋体" w:hAnsi="宋体" w:eastAsia="宋体" w:cs="Times New Roman"/>
          <w:sz w:val="24"/>
        </w:rPr>
        <w:t>通过让学生了解并掌握相关遥控航空模型的结构与控制原理，让学生形成针对遥控航空模型的深入认识，进而培养学生深入钻研的科研精神。</w:t>
      </w:r>
    </w:p>
    <w:p w14:paraId="204EFD90">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掌握学遥控航空模型的结构与控制原理内容</w:t>
      </w:r>
    </w:p>
    <w:p w14:paraId="78BF65A8">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应用所学</w:t>
      </w:r>
      <w:r>
        <w:rPr>
          <w:rFonts w:ascii="宋体" w:hAnsi="宋体" w:eastAsia="宋体" w:cs="Times New Roman"/>
          <w:sz w:val="24"/>
        </w:rPr>
        <w:t>知识</w:t>
      </w:r>
      <w:r>
        <w:rPr>
          <w:rFonts w:hint="eastAsia" w:ascii="宋体" w:hAnsi="宋体" w:eastAsia="宋体" w:cs="Times New Roman"/>
          <w:sz w:val="24"/>
        </w:rPr>
        <w:t xml:space="preserve">的科学遥控航空模型的结构与控制原理 </w:t>
      </w:r>
    </w:p>
    <w:p w14:paraId="75347C47">
      <w:pPr>
        <w:spacing w:line="360" w:lineRule="auto"/>
        <w:rPr>
          <w:rFonts w:ascii="宋体" w:hAnsi="宋体" w:eastAsia="宋体" w:cs="Times New Roman"/>
          <w:b/>
          <w:sz w:val="24"/>
        </w:rPr>
      </w:pPr>
      <w:bookmarkStart w:id="262" w:name="_Toc29395641"/>
      <w:r>
        <w:rPr>
          <w:rFonts w:hint="eastAsia" w:ascii="宋体" w:hAnsi="宋体" w:eastAsia="宋体" w:cs="Times New Roman"/>
          <w:b/>
          <w:sz w:val="24"/>
        </w:rPr>
        <w:t>（四）航空模型与无人机及其在航空发展中的作用（本模块各知识点的讲授与学习，可以支撑课程目标1、</w:t>
      </w:r>
      <w:r>
        <w:rPr>
          <w:rFonts w:ascii="宋体" w:hAnsi="宋体" w:eastAsia="宋体" w:cs="Times New Roman"/>
          <w:b/>
          <w:sz w:val="24"/>
        </w:rPr>
        <w:t>课程目标</w:t>
      </w:r>
      <w:r>
        <w:rPr>
          <w:rFonts w:hint="eastAsia" w:ascii="宋体" w:hAnsi="宋体" w:eastAsia="宋体" w:cs="Times New Roman"/>
          <w:b/>
          <w:sz w:val="24"/>
        </w:rPr>
        <w:t>2）</w:t>
      </w:r>
      <w:bookmarkEnd w:id="262"/>
    </w:p>
    <w:p w14:paraId="40FB0D5D">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r>
        <w:rPr>
          <w:rFonts w:hint="eastAsia" w:ascii="宋体" w:hAnsi="宋体" w:eastAsia="宋体" w:cs="Times New Roman"/>
          <w:b/>
          <w:sz w:val="24"/>
        </w:rPr>
        <w:t>：</w:t>
      </w:r>
      <w:r>
        <w:rPr>
          <w:rFonts w:ascii="宋体" w:hAnsi="宋体" w:eastAsia="宋体" w:cs="Times New Roman"/>
          <w:b/>
          <w:sz w:val="24"/>
        </w:rPr>
        <w:t xml:space="preserve"> </w:t>
      </w:r>
    </w:p>
    <w:p w14:paraId="3FCDD0B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（1）无人机基础知识，包括无人机的用途、分类、系统结构等部分；</w:t>
      </w:r>
    </w:p>
    <w:p w14:paraId="5CB1ECE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（2）无人机的发展简史；</w:t>
      </w:r>
    </w:p>
    <w:p w14:paraId="0113A12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（3）无人机与航空模型的关系；</w:t>
      </w:r>
    </w:p>
    <w:p w14:paraId="53A6DF3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（4）航空模型在培养航空人才方面的作用；</w:t>
      </w:r>
    </w:p>
    <w:p w14:paraId="579A433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（5）航空模型在新型航空器设计中的验证作用。</w:t>
      </w:r>
    </w:p>
    <w:p w14:paraId="51DBE683">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2A14CE30">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掌握无人机的基本组成架构及其与航空模型的关系；</w:t>
      </w:r>
    </w:p>
    <w:p w14:paraId="6E78596B">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航空模型在航空业发展中起到的作用及其重要性。</w:t>
      </w:r>
    </w:p>
    <w:p w14:paraId="21E53EFC">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5186D32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通过带领学生学习无人机的相关知识以及在航空业中的作用，让学生深入了解科技创新在社会经济发展中的重要作用，从而强化学生对创新是一个民族发展进步的不竭动力的理念的认识。</w:t>
      </w:r>
    </w:p>
    <w:p w14:paraId="1654DC41">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ascii="宋体" w:hAnsi="宋体" w:eastAsia="宋体" w:cs="Times New Roman"/>
          <w:sz w:val="24"/>
        </w:rPr>
        <w:t xml:space="preserve"> </w:t>
      </w:r>
      <w:r>
        <w:rPr>
          <w:rFonts w:hint="eastAsia" w:ascii="宋体" w:hAnsi="宋体" w:eastAsia="宋体" w:cs="Times New Roman"/>
          <w:sz w:val="24"/>
        </w:rPr>
        <w:t>无人机的基本组成架构及其与航空模型的关系</w:t>
      </w:r>
    </w:p>
    <w:p w14:paraId="18CAF60F">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 xml:space="preserve">无人机的基本组成架构及其与航空模型的关系 </w:t>
      </w:r>
    </w:p>
    <w:p w14:paraId="7215DC02">
      <w:pPr>
        <w:spacing w:line="360" w:lineRule="auto"/>
        <w:rPr>
          <w:rFonts w:ascii="宋体" w:hAnsi="宋体" w:eastAsia="宋体" w:cs="Times New Roman"/>
          <w:b/>
          <w:sz w:val="24"/>
        </w:rPr>
      </w:pPr>
      <w:bookmarkStart w:id="263" w:name="_Toc29395642"/>
      <w:r>
        <w:rPr>
          <w:rFonts w:hint="eastAsia" w:ascii="宋体" w:hAnsi="宋体" w:eastAsia="宋体" w:cs="Times New Roman"/>
          <w:b/>
          <w:sz w:val="24"/>
        </w:rPr>
        <w:t>（五）航空模型竞赛（本模块各知识点的讲授与学习，可以支撑课程目标1、</w:t>
      </w:r>
      <w:r>
        <w:rPr>
          <w:rFonts w:ascii="宋体" w:hAnsi="宋体" w:eastAsia="宋体" w:cs="Times New Roman"/>
          <w:b/>
          <w:sz w:val="24"/>
        </w:rPr>
        <w:t>课程目标</w:t>
      </w:r>
      <w:r>
        <w:rPr>
          <w:rFonts w:hint="eastAsia" w:ascii="宋体" w:hAnsi="宋体" w:eastAsia="宋体" w:cs="Times New Roman"/>
          <w:b/>
          <w:sz w:val="24"/>
        </w:rPr>
        <w:t>2、</w:t>
      </w:r>
      <w:r>
        <w:rPr>
          <w:rFonts w:ascii="宋体" w:hAnsi="宋体" w:eastAsia="宋体" w:cs="Times New Roman"/>
          <w:b/>
          <w:sz w:val="24"/>
        </w:rPr>
        <w:t>课程目标</w:t>
      </w:r>
      <w:r>
        <w:rPr>
          <w:rFonts w:hint="eastAsia" w:ascii="宋体" w:hAnsi="宋体" w:eastAsia="宋体" w:cs="Times New Roman"/>
          <w:b/>
          <w:sz w:val="24"/>
        </w:rPr>
        <w:t>3、</w:t>
      </w:r>
      <w:r>
        <w:rPr>
          <w:rFonts w:ascii="宋体" w:hAnsi="宋体" w:eastAsia="宋体" w:cs="Times New Roman"/>
          <w:b/>
          <w:sz w:val="24"/>
        </w:rPr>
        <w:t>课程目标</w:t>
      </w:r>
      <w:r>
        <w:rPr>
          <w:rFonts w:hint="eastAsia" w:ascii="宋体" w:hAnsi="宋体" w:eastAsia="宋体" w:cs="Times New Roman"/>
          <w:b/>
          <w:sz w:val="24"/>
        </w:rPr>
        <w:t>4）</w:t>
      </w:r>
      <w:bookmarkEnd w:id="263"/>
    </w:p>
    <w:p w14:paraId="267A7D19">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2F65C80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（1）介绍体育性的竞技赛事，包括航模公开赛、航模锦标赛和3D飞行世锦赛等赛事中的各个子项目；</w:t>
      </w:r>
    </w:p>
    <w:p w14:paraId="73D858C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（2）介绍创新性航空模型在“挑战杯”全国大学生课外学术科技作品大赛中的角色；</w:t>
      </w:r>
    </w:p>
    <w:p w14:paraId="13A32D2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（3）重点介绍以高校学生和科研单位为主要参赛对象的全国科研类航空航天模型锦标赛，讲解其中的典型赛事规程，参赛申请流程，并展示比赛图片和赛事已取得的一些记录；</w:t>
      </w:r>
    </w:p>
    <w:p w14:paraId="68890EA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（4）介绍一些国外的著名航模赛事。</w:t>
      </w:r>
    </w:p>
    <w:p w14:paraId="45F8C9AE">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2B043951">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重点介绍以高校学生和科研单位为主要参赛对象的全国科研类航空航天模型锦标赛；</w:t>
      </w:r>
    </w:p>
    <w:p w14:paraId="79AD3D0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（2）掌握典型赛事规程，参赛申请流程，并展示比赛图片和赛事已取得的一些记录；</w:t>
      </w:r>
    </w:p>
    <w:p w14:paraId="110151D1">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了解一些国外的著名航模赛事。</w:t>
      </w:r>
    </w:p>
    <w:p w14:paraId="04AF0A0A">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11A4FADA">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通过让学生对航模公开赛等赛事的认识和了解，培养学生的实践创新能力，学以致用，进一步强化“立德树人”、“五育并举”等教育理念在具体实践中的渗透。</w:t>
      </w:r>
    </w:p>
    <w:p w14:paraId="236993C1">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掌握典型赛事规程，参赛申请流程，并展示比赛图片和赛事已取得的一些记录。</w:t>
      </w:r>
    </w:p>
    <w:p w14:paraId="2673246E">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ascii="宋体" w:hAnsi="宋体" w:eastAsia="宋体" w:cs="Times New Roman"/>
          <w:b/>
          <w:sz w:val="24"/>
        </w:rPr>
        <w:t>：</w:t>
      </w:r>
      <w:r>
        <w:rPr>
          <w:rFonts w:hint="eastAsia" w:ascii="宋体" w:hAnsi="宋体" w:eastAsia="宋体" w:cs="Times New Roman"/>
          <w:sz w:val="24"/>
        </w:rPr>
        <w:t xml:space="preserve"> 掌握典型赛事规程，参赛申请流程，并展示比赛图片和赛事已取得的一些记录。</w:t>
      </w:r>
    </w:p>
    <w:p w14:paraId="02020DC2">
      <w:pPr>
        <w:spacing w:line="360" w:lineRule="auto"/>
        <w:rPr>
          <w:rFonts w:ascii="宋体" w:hAnsi="宋体" w:eastAsia="宋体" w:cs="Times New Roman"/>
          <w:b/>
          <w:sz w:val="24"/>
        </w:rPr>
      </w:pPr>
      <w:bookmarkStart w:id="264" w:name="_Toc29395643"/>
      <w:r>
        <w:rPr>
          <w:rFonts w:hint="eastAsia" w:ascii="宋体" w:hAnsi="宋体" w:eastAsia="宋体" w:cs="Times New Roman"/>
          <w:b/>
          <w:sz w:val="24"/>
        </w:rPr>
        <w:t>（六）航模制作概述及固定翼飞机模型的制作工艺简介（本模块各知识点的讲授与学习，可以支撑课程目标1、</w:t>
      </w:r>
      <w:r>
        <w:rPr>
          <w:rFonts w:ascii="宋体" w:hAnsi="宋体" w:eastAsia="宋体" w:cs="Times New Roman"/>
          <w:b/>
          <w:sz w:val="24"/>
        </w:rPr>
        <w:t>课程目标</w:t>
      </w:r>
      <w:r>
        <w:rPr>
          <w:rFonts w:hint="eastAsia" w:ascii="宋体" w:hAnsi="宋体" w:eastAsia="宋体" w:cs="Times New Roman"/>
          <w:b/>
          <w:sz w:val="24"/>
        </w:rPr>
        <w:t>2、</w:t>
      </w:r>
      <w:r>
        <w:rPr>
          <w:rFonts w:ascii="宋体" w:hAnsi="宋体" w:eastAsia="宋体" w:cs="Times New Roman"/>
          <w:b/>
          <w:sz w:val="24"/>
        </w:rPr>
        <w:t>课程目标</w:t>
      </w:r>
      <w:r>
        <w:rPr>
          <w:rFonts w:hint="eastAsia" w:ascii="宋体" w:hAnsi="宋体" w:eastAsia="宋体" w:cs="Times New Roman"/>
          <w:b/>
          <w:sz w:val="24"/>
        </w:rPr>
        <w:t>4）</w:t>
      </w:r>
      <w:bookmarkEnd w:id="264"/>
    </w:p>
    <w:p w14:paraId="75174DBA">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1C33ED3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（1）直升机的制作方式；</w:t>
      </w:r>
    </w:p>
    <w:p w14:paraId="6FB32DF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（2）旋翼机的制作方式；</w:t>
      </w:r>
    </w:p>
    <w:p w14:paraId="0DF0995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（3）飞艇的制作方式；</w:t>
      </w:r>
    </w:p>
    <w:p w14:paraId="02AA2F0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（4）固定翼的制作方式；</w:t>
      </w:r>
    </w:p>
    <w:p w14:paraId="2D38865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（5）介绍比较著名的航空模型厂商及其典型产品；</w:t>
      </w:r>
    </w:p>
    <w:p w14:paraId="1851FC8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（6）航模制作材料简介；</w:t>
      </w:r>
    </w:p>
    <w:p w14:paraId="39C4538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（7）轻木蒙皮结构的固定翼飞机结构及其制作工艺；</w:t>
      </w:r>
    </w:p>
    <w:p w14:paraId="29F4252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（8）采用玻璃纤维网或碳纤维网与环氧树脂为基本材料的固定翼飞机制作工艺；</w:t>
      </w:r>
    </w:p>
    <w:p w14:paraId="20337F1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（9）采用发泡材料，比如KT板、EPS泡沫、EPO泡沫、EPP泡沫等，的固定翼飞机的制作工艺；</w:t>
      </w:r>
    </w:p>
    <w:p w14:paraId="2F378D4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（10）介绍激光切割机、雕刻机、电热丝切割机等航模制作所需的辅助设备。</w:t>
      </w:r>
    </w:p>
    <w:p w14:paraId="0A9D2DFA">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25802F00">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掌握各类航空模型的制作形式和制作所需材料，以及针对三类材料的三种典型的固定翼飞机模型制作工艺；</w:t>
      </w:r>
      <w:r>
        <w:rPr>
          <w:rFonts w:ascii="宋体" w:hAnsi="宋体" w:eastAsia="宋体" w:cs="Times New Roman"/>
          <w:sz w:val="24"/>
        </w:rPr>
        <w:t xml:space="preserve"> </w:t>
      </w:r>
    </w:p>
    <w:p w14:paraId="2A80CC6D">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了解航模制作中的一些辅助机械设备。</w:t>
      </w:r>
    </w:p>
    <w:p w14:paraId="6EEF2C26">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7E31DCD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通过让学生学习有关航模制作及固定翼飞机模型的制作工艺的概况知识，增进学生对“中国智造”、“大国工匠”等概念的理解，进而体会自主研发和工匠精神的重要意义。</w:t>
      </w:r>
    </w:p>
    <w:p w14:paraId="2A9D7AC1">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ascii="宋体" w:hAnsi="宋体" w:eastAsia="宋体" w:cs="Times New Roman"/>
          <w:sz w:val="24"/>
        </w:rPr>
        <w:t xml:space="preserve"> </w:t>
      </w:r>
      <w:r>
        <w:rPr>
          <w:rFonts w:hint="eastAsia" w:ascii="宋体" w:hAnsi="宋体" w:eastAsia="宋体" w:cs="Times New Roman"/>
          <w:sz w:val="24"/>
        </w:rPr>
        <w:t>掌握各类航空模型的制作形式和制作所需材料，以及针对三类材料的三种典型的固定翼飞机模型制作工艺。</w:t>
      </w:r>
    </w:p>
    <w:p w14:paraId="38AFB40E">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 xml:space="preserve"> 各类航空模型的制作形式和制作所需材料，以及针对三类材料的三种典型的固定翼飞机模型制作工艺。</w:t>
      </w:r>
    </w:p>
    <w:p w14:paraId="553AC0CB">
      <w:pPr>
        <w:spacing w:line="360" w:lineRule="auto"/>
        <w:rPr>
          <w:rFonts w:ascii="宋体" w:hAnsi="宋体" w:eastAsia="宋体" w:cs="Times New Roman"/>
          <w:sz w:val="24"/>
        </w:rPr>
      </w:pPr>
    </w:p>
    <w:p w14:paraId="77274271">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tbl>
      <w:tblPr>
        <w:tblStyle w:val="30"/>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0525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FFFFFF"/>
            <w:vAlign w:val="center"/>
          </w:tcPr>
          <w:p w14:paraId="6B7E1647">
            <w:pPr>
              <w:jc w:val="center"/>
              <w:rPr>
                <w:rFonts w:ascii="宋体" w:hAnsi="宋体" w:eastAsia="宋体" w:cs="Times New Roman"/>
                <w:b/>
                <w:szCs w:val="21"/>
              </w:rPr>
            </w:pPr>
            <w:r>
              <w:rPr>
                <w:rFonts w:hint="eastAsia" w:ascii="宋体" w:hAnsi="宋体" w:eastAsia="宋体" w:cs="Times New Roman"/>
                <w:b/>
                <w:szCs w:val="21"/>
              </w:rPr>
              <w:t>序号</w:t>
            </w:r>
          </w:p>
        </w:tc>
        <w:tc>
          <w:tcPr>
            <w:tcW w:w="4110" w:type="dxa"/>
            <w:shd w:val="clear" w:color="auto" w:fill="FFFFFF"/>
            <w:vAlign w:val="center"/>
          </w:tcPr>
          <w:p w14:paraId="7BDEC474">
            <w:pPr>
              <w:jc w:val="center"/>
              <w:rPr>
                <w:rFonts w:ascii="宋体" w:hAnsi="宋体" w:eastAsia="宋体" w:cs="Times New Roman"/>
                <w:b/>
                <w:szCs w:val="21"/>
              </w:rPr>
            </w:pPr>
            <w:r>
              <w:rPr>
                <w:rFonts w:ascii="宋体" w:hAnsi="宋体" w:eastAsia="宋体" w:cs="Times New Roman"/>
                <w:b/>
                <w:szCs w:val="21"/>
              </w:rPr>
              <w:t>教学内容</w:t>
            </w:r>
          </w:p>
        </w:tc>
        <w:tc>
          <w:tcPr>
            <w:tcW w:w="1701" w:type="dxa"/>
            <w:shd w:val="clear" w:color="auto" w:fill="FFFFFF"/>
            <w:vAlign w:val="center"/>
          </w:tcPr>
          <w:p w14:paraId="31AFD3EC">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418" w:type="dxa"/>
            <w:shd w:val="clear" w:color="auto" w:fill="FFFFFF"/>
            <w:vAlign w:val="center"/>
          </w:tcPr>
          <w:p w14:paraId="55146BC9">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708" w:type="dxa"/>
            <w:gridSpan w:val="2"/>
            <w:shd w:val="clear" w:color="auto" w:fill="FFFFFF"/>
            <w:vAlign w:val="center"/>
          </w:tcPr>
          <w:p w14:paraId="517DF379">
            <w:pPr>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c>
          <w:tcPr>
            <w:tcW w:w="709" w:type="dxa"/>
            <w:shd w:val="clear" w:color="auto" w:fill="FFFFFF"/>
            <w:vAlign w:val="center"/>
          </w:tcPr>
          <w:p w14:paraId="74CAAC1F">
            <w:pPr>
              <w:jc w:val="center"/>
              <w:rPr>
                <w:rFonts w:ascii="宋体" w:hAnsi="宋体" w:eastAsia="宋体" w:cs="Times New Roman"/>
                <w:b/>
                <w:szCs w:val="21"/>
              </w:rPr>
            </w:pPr>
            <w:r>
              <w:rPr>
                <w:rFonts w:ascii="宋体" w:hAnsi="宋体" w:eastAsia="宋体" w:cs="Times New Roman"/>
                <w:b/>
                <w:szCs w:val="21"/>
              </w:rPr>
              <w:t>实验</w:t>
            </w:r>
          </w:p>
          <w:p w14:paraId="01C9FC41">
            <w:pPr>
              <w:jc w:val="center"/>
              <w:rPr>
                <w:rFonts w:ascii="宋体" w:hAnsi="宋体" w:eastAsia="宋体" w:cs="Times New Roman"/>
                <w:b/>
                <w:szCs w:val="21"/>
              </w:rPr>
            </w:pPr>
            <w:r>
              <w:rPr>
                <w:rFonts w:ascii="宋体" w:hAnsi="宋体" w:eastAsia="宋体" w:cs="Times New Roman"/>
                <w:b/>
                <w:szCs w:val="21"/>
              </w:rPr>
              <w:t>学时</w:t>
            </w:r>
          </w:p>
        </w:tc>
      </w:tr>
      <w:tr w14:paraId="19D2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shd w:val="clear" w:color="auto" w:fill="FFFFFF"/>
            <w:vAlign w:val="center"/>
          </w:tcPr>
          <w:p w14:paraId="363CBFE6">
            <w:pPr>
              <w:jc w:val="center"/>
              <w:rPr>
                <w:rFonts w:ascii="宋体" w:hAnsi="宋体" w:eastAsia="宋体" w:cs="Times New Roman"/>
                <w:szCs w:val="21"/>
              </w:rPr>
            </w:pPr>
            <w:r>
              <w:rPr>
                <w:rFonts w:hint="eastAsia" w:ascii="宋体" w:hAnsi="宋体" w:eastAsia="宋体" w:cs="Times New Roman"/>
                <w:szCs w:val="21"/>
              </w:rPr>
              <w:t>1</w:t>
            </w:r>
          </w:p>
        </w:tc>
        <w:tc>
          <w:tcPr>
            <w:tcW w:w="4110" w:type="dxa"/>
            <w:shd w:val="clear" w:color="auto" w:fill="FFFFFF"/>
            <w:vAlign w:val="center"/>
          </w:tcPr>
          <w:p w14:paraId="4194FF15">
            <w:pPr>
              <w:jc w:val="left"/>
              <w:rPr>
                <w:rFonts w:ascii="宋体" w:hAnsi="宋体" w:eastAsia="宋体" w:cs="宋体"/>
                <w:kern w:val="0"/>
                <w:szCs w:val="21"/>
              </w:rPr>
            </w:pPr>
            <w:r>
              <w:rPr>
                <w:rFonts w:hint="eastAsia" w:ascii="宋体" w:hAnsi="宋体" w:eastAsia="宋体" w:cs="宋体"/>
                <w:kern w:val="0"/>
                <w:szCs w:val="21"/>
              </w:rPr>
              <w:t>航空模型基础知识讲解</w:t>
            </w:r>
          </w:p>
        </w:tc>
        <w:tc>
          <w:tcPr>
            <w:tcW w:w="1701" w:type="dxa"/>
            <w:shd w:val="clear" w:color="auto" w:fill="FFFFFF"/>
            <w:vAlign w:val="center"/>
          </w:tcPr>
          <w:p w14:paraId="1F3D5C1C">
            <w:pPr>
              <w:jc w:val="center"/>
              <w:rPr>
                <w:rFonts w:ascii="宋体" w:hAnsi="宋体" w:eastAsia="宋体" w:cs="Times New Roman"/>
                <w:szCs w:val="21"/>
              </w:rPr>
            </w:pPr>
            <w:r>
              <w:rPr>
                <w:rFonts w:hint="eastAsia" w:ascii="宋体" w:hAnsi="宋体" w:eastAsia="宋体" w:cs="Times New Roman"/>
                <w:kern w:val="0"/>
                <w:szCs w:val="21"/>
              </w:rPr>
              <w:t>目标1</w:t>
            </w:r>
          </w:p>
        </w:tc>
        <w:tc>
          <w:tcPr>
            <w:tcW w:w="1418" w:type="dxa"/>
            <w:shd w:val="clear" w:color="auto" w:fill="FFFFFF"/>
            <w:vAlign w:val="center"/>
          </w:tcPr>
          <w:p w14:paraId="531A34F6">
            <w:pPr>
              <w:jc w:val="center"/>
              <w:rPr>
                <w:rFonts w:ascii="宋体" w:hAnsi="宋体" w:eastAsia="宋体" w:cs="Times New Roman"/>
                <w:szCs w:val="21"/>
              </w:rPr>
            </w:pPr>
            <w:r>
              <w:rPr>
                <w:rFonts w:ascii="宋体" w:hAnsi="宋体" w:eastAsia="宋体" w:cs="Times New Roman"/>
                <w:kern w:val="0"/>
                <w:szCs w:val="21"/>
              </w:rPr>
              <w:t>3-4</w:t>
            </w:r>
          </w:p>
        </w:tc>
        <w:tc>
          <w:tcPr>
            <w:tcW w:w="708" w:type="dxa"/>
            <w:gridSpan w:val="2"/>
            <w:shd w:val="clear" w:color="auto" w:fill="FFFFFF"/>
            <w:vAlign w:val="center"/>
          </w:tcPr>
          <w:p w14:paraId="64F3616D">
            <w:pPr>
              <w:jc w:val="center"/>
              <w:rPr>
                <w:rFonts w:ascii="宋体" w:hAnsi="宋体" w:eastAsia="宋体" w:cs="Times New Roman"/>
                <w:kern w:val="0"/>
                <w:szCs w:val="21"/>
              </w:rPr>
            </w:pPr>
            <w:r>
              <w:rPr>
                <w:rFonts w:ascii="宋体" w:hAnsi="宋体" w:eastAsia="宋体" w:cs="Times New Roman"/>
                <w:kern w:val="0"/>
                <w:szCs w:val="21"/>
              </w:rPr>
              <w:t>2</w:t>
            </w:r>
          </w:p>
        </w:tc>
        <w:tc>
          <w:tcPr>
            <w:tcW w:w="709" w:type="dxa"/>
            <w:shd w:val="clear" w:color="auto" w:fill="FFFFFF"/>
            <w:vAlign w:val="center"/>
          </w:tcPr>
          <w:p w14:paraId="1189A55C">
            <w:pPr>
              <w:jc w:val="center"/>
              <w:rPr>
                <w:rFonts w:ascii="宋体" w:hAnsi="宋体" w:eastAsia="宋体" w:cs="Times New Roman"/>
                <w:kern w:val="0"/>
                <w:szCs w:val="21"/>
              </w:rPr>
            </w:pPr>
          </w:p>
        </w:tc>
      </w:tr>
      <w:tr w14:paraId="6260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68" w:type="dxa"/>
            <w:vAlign w:val="center"/>
          </w:tcPr>
          <w:p w14:paraId="79FD75C7">
            <w:pPr>
              <w:jc w:val="center"/>
              <w:rPr>
                <w:rFonts w:ascii="宋体" w:hAnsi="宋体" w:eastAsia="宋体" w:cs="Times New Roman"/>
                <w:szCs w:val="21"/>
              </w:rPr>
            </w:pPr>
            <w:r>
              <w:rPr>
                <w:rFonts w:hint="eastAsia" w:ascii="宋体" w:hAnsi="宋体" w:eastAsia="宋体" w:cs="Times New Roman"/>
                <w:szCs w:val="21"/>
              </w:rPr>
              <w:t>2</w:t>
            </w:r>
          </w:p>
        </w:tc>
        <w:tc>
          <w:tcPr>
            <w:tcW w:w="4110" w:type="dxa"/>
            <w:vAlign w:val="center"/>
          </w:tcPr>
          <w:p w14:paraId="1CF4204C">
            <w:pPr>
              <w:widowControl/>
              <w:snapToGrid w:val="0"/>
              <w:jc w:val="left"/>
              <w:rPr>
                <w:rFonts w:ascii="宋体" w:hAnsi="宋体" w:eastAsia="宋体" w:cs="宋体"/>
                <w:kern w:val="0"/>
                <w:szCs w:val="21"/>
              </w:rPr>
            </w:pPr>
            <w:r>
              <w:rPr>
                <w:rFonts w:hint="eastAsia" w:ascii="宋体" w:hAnsi="宋体" w:eastAsia="宋体" w:cs="宋体"/>
                <w:kern w:val="0"/>
                <w:szCs w:val="21"/>
              </w:rPr>
              <w:t>基本飞行原理与计算机模拟飞行软件</w:t>
            </w:r>
          </w:p>
        </w:tc>
        <w:tc>
          <w:tcPr>
            <w:tcW w:w="1701" w:type="dxa"/>
            <w:vAlign w:val="center"/>
          </w:tcPr>
          <w:p w14:paraId="7A38910D">
            <w:pPr>
              <w:jc w:val="center"/>
              <w:rPr>
                <w:rFonts w:ascii="宋体" w:hAnsi="宋体" w:eastAsia="宋体" w:cs="Times New Roman"/>
                <w:szCs w:val="21"/>
              </w:rPr>
            </w:pPr>
            <w:r>
              <w:rPr>
                <w:rFonts w:hint="eastAsia" w:ascii="宋体" w:hAnsi="宋体" w:eastAsia="宋体" w:cs="Times New Roman"/>
                <w:kern w:val="0"/>
                <w:szCs w:val="21"/>
              </w:rPr>
              <w:t>目标1、2</w:t>
            </w:r>
          </w:p>
        </w:tc>
        <w:tc>
          <w:tcPr>
            <w:tcW w:w="1418" w:type="dxa"/>
            <w:vAlign w:val="center"/>
          </w:tcPr>
          <w:p w14:paraId="00ECB341">
            <w:pPr>
              <w:jc w:val="center"/>
              <w:rPr>
                <w:rFonts w:ascii="宋体" w:hAnsi="宋体" w:eastAsia="宋体" w:cs="Times New Roman"/>
                <w:szCs w:val="21"/>
              </w:rPr>
            </w:pPr>
            <w:r>
              <w:rPr>
                <w:rFonts w:ascii="宋体" w:hAnsi="宋体" w:eastAsia="宋体" w:cs="Times New Roman"/>
                <w:kern w:val="0"/>
                <w:szCs w:val="21"/>
              </w:rPr>
              <w:t>3-4</w:t>
            </w:r>
            <w:r>
              <w:rPr>
                <w:rFonts w:hint="eastAsia" w:ascii="宋体" w:hAnsi="宋体" w:eastAsia="宋体" w:cs="Times New Roman"/>
                <w:kern w:val="0"/>
                <w:szCs w:val="21"/>
              </w:rPr>
              <w:t>、4-</w:t>
            </w:r>
            <w:r>
              <w:rPr>
                <w:rFonts w:ascii="宋体" w:hAnsi="宋体" w:eastAsia="宋体" w:cs="Times New Roman"/>
                <w:kern w:val="0"/>
                <w:szCs w:val="21"/>
              </w:rPr>
              <w:t>4</w:t>
            </w:r>
          </w:p>
        </w:tc>
        <w:tc>
          <w:tcPr>
            <w:tcW w:w="708" w:type="dxa"/>
            <w:gridSpan w:val="2"/>
            <w:vAlign w:val="center"/>
          </w:tcPr>
          <w:p w14:paraId="243745BC">
            <w:pPr>
              <w:jc w:val="center"/>
              <w:rPr>
                <w:rFonts w:ascii="宋体" w:hAnsi="宋体" w:eastAsia="宋体" w:cs="Times New Roman"/>
                <w:kern w:val="0"/>
                <w:szCs w:val="21"/>
              </w:rPr>
            </w:pPr>
            <w:r>
              <w:rPr>
                <w:rFonts w:ascii="宋体" w:hAnsi="宋体" w:eastAsia="宋体" w:cs="Times New Roman"/>
                <w:kern w:val="0"/>
                <w:szCs w:val="21"/>
              </w:rPr>
              <w:t>4</w:t>
            </w:r>
          </w:p>
        </w:tc>
        <w:tc>
          <w:tcPr>
            <w:tcW w:w="709" w:type="dxa"/>
            <w:vAlign w:val="center"/>
          </w:tcPr>
          <w:p w14:paraId="620B9952">
            <w:pPr>
              <w:ind w:firstLine="420" w:firstLineChars="200"/>
              <w:jc w:val="center"/>
              <w:rPr>
                <w:rFonts w:ascii="宋体" w:hAnsi="宋体" w:eastAsia="宋体" w:cs="Times New Roman"/>
                <w:kern w:val="0"/>
                <w:szCs w:val="21"/>
              </w:rPr>
            </w:pPr>
          </w:p>
        </w:tc>
      </w:tr>
      <w:tr w14:paraId="1514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68" w:type="dxa"/>
            <w:vAlign w:val="center"/>
          </w:tcPr>
          <w:p w14:paraId="176A0598">
            <w:pPr>
              <w:jc w:val="center"/>
              <w:rPr>
                <w:rFonts w:ascii="宋体" w:hAnsi="宋体" w:eastAsia="宋体" w:cs="Times New Roman"/>
                <w:szCs w:val="21"/>
              </w:rPr>
            </w:pPr>
            <w:r>
              <w:rPr>
                <w:rFonts w:hint="eastAsia" w:ascii="宋体" w:hAnsi="宋体" w:eastAsia="宋体" w:cs="Times New Roman"/>
                <w:szCs w:val="21"/>
              </w:rPr>
              <w:t>3</w:t>
            </w:r>
          </w:p>
        </w:tc>
        <w:tc>
          <w:tcPr>
            <w:tcW w:w="4110" w:type="dxa"/>
            <w:vAlign w:val="center"/>
          </w:tcPr>
          <w:p w14:paraId="07E4F78A">
            <w:pPr>
              <w:jc w:val="left"/>
              <w:rPr>
                <w:rFonts w:ascii="宋体" w:hAnsi="宋体" w:eastAsia="宋体" w:cs="Times New Roman"/>
                <w:szCs w:val="21"/>
              </w:rPr>
            </w:pPr>
            <w:r>
              <w:rPr>
                <w:rFonts w:hint="eastAsia" w:ascii="宋体" w:hAnsi="宋体" w:eastAsia="宋体" w:cs="Times New Roman"/>
                <w:szCs w:val="21"/>
              </w:rPr>
              <w:t>遥控航空模型的结构与控制原理的内容</w:t>
            </w:r>
          </w:p>
        </w:tc>
        <w:tc>
          <w:tcPr>
            <w:tcW w:w="1701" w:type="dxa"/>
            <w:vAlign w:val="center"/>
          </w:tcPr>
          <w:p w14:paraId="736A7C10">
            <w:pPr>
              <w:jc w:val="center"/>
              <w:rPr>
                <w:rFonts w:ascii="宋体" w:hAnsi="宋体" w:eastAsia="宋体" w:cs="Times New Roman"/>
                <w:szCs w:val="21"/>
              </w:rPr>
            </w:pPr>
            <w:r>
              <w:rPr>
                <w:rFonts w:hint="eastAsia" w:ascii="宋体" w:hAnsi="宋体" w:eastAsia="宋体" w:cs="Times New Roman"/>
                <w:kern w:val="0"/>
                <w:szCs w:val="21"/>
              </w:rPr>
              <w:t>目标1、2</w:t>
            </w:r>
          </w:p>
        </w:tc>
        <w:tc>
          <w:tcPr>
            <w:tcW w:w="1418" w:type="dxa"/>
            <w:vAlign w:val="center"/>
          </w:tcPr>
          <w:p w14:paraId="29000EF6">
            <w:pPr>
              <w:jc w:val="center"/>
              <w:rPr>
                <w:rFonts w:ascii="宋体" w:hAnsi="宋体" w:eastAsia="宋体" w:cs="Times New Roman"/>
                <w:szCs w:val="21"/>
              </w:rPr>
            </w:pPr>
            <w:r>
              <w:rPr>
                <w:rFonts w:ascii="宋体" w:hAnsi="宋体" w:eastAsia="宋体" w:cs="Times New Roman"/>
                <w:kern w:val="0"/>
                <w:szCs w:val="21"/>
              </w:rPr>
              <w:t>3-4</w:t>
            </w:r>
            <w:r>
              <w:rPr>
                <w:rFonts w:hint="eastAsia" w:ascii="宋体" w:hAnsi="宋体" w:eastAsia="宋体" w:cs="Times New Roman"/>
                <w:kern w:val="0"/>
                <w:szCs w:val="21"/>
              </w:rPr>
              <w:t>、4-</w:t>
            </w:r>
            <w:r>
              <w:rPr>
                <w:rFonts w:ascii="宋体" w:hAnsi="宋体" w:eastAsia="宋体" w:cs="Times New Roman"/>
                <w:kern w:val="0"/>
                <w:szCs w:val="21"/>
              </w:rPr>
              <w:t>4</w:t>
            </w:r>
          </w:p>
        </w:tc>
        <w:tc>
          <w:tcPr>
            <w:tcW w:w="708" w:type="dxa"/>
            <w:gridSpan w:val="2"/>
            <w:vAlign w:val="center"/>
          </w:tcPr>
          <w:p w14:paraId="1B3EE71C">
            <w:pPr>
              <w:jc w:val="center"/>
              <w:rPr>
                <w:rFonts w:ascii="宋体" w:hAnsi="宋体" w:eastAsia="宋体" w:cs="Times New Roman"/>
                <w:kern w:val="0"/>
                <w:szCs w:val="21"/>
              </w:rPr>
            </w:pPr>
            <w:r>
              <w:rPr>
                <w:rFonts w:ascii="宋体" w:hAnsi="宋体" w:eastAsia="宋体" w:cs="Times New Roman"/>
                <w:kern w:val="0"/>
                <w:szCs w:val="21"/>
              </w:rPr>
              <w:t>4</w:t>
            </w:r>
          </w:p>
        </w:tc>
        <w:tc>
          <w:tcPr>
            <w:tcW w:w="709" w:type="dxa"/>
            <w:vAlign w:val="center"/>
          </w:tcPr>
          <w:p w14:paraId="3C715FE0">
            <w:pPr>
              <w:ind w:firstLine="420" w:firstLineChars="200"/>
              <w:jc w:val="center"/>
              <w:rPr>
                <w:rFonts w:ascii="宋体" w:hAnsi="宋体" w:eastAsia="宋体" w:cs="Times New Roman"/>
                <w:kern w:val="0"/>
                <w:szCs w:val="21"/>
              </w:rPr>
            </w:pPr>
          </w:p>
        </w:tc>
      </w:tr>
      <w:tr w14:paraId="1820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8" w:type="dxa"/>
            <w:vAlign w:val="center"/>
          </w:tcPr>
          <w:p w14:paraId="0E87241F">
            <w:pPr>
              <w:jc w:val="center"/>
              <w:rPr>
                <w:rFonts w:ascii="宋体" w:hAnsi="宋体" w:eastAsia="宋体" w:cs="Times New Roman"/>
                <w:szCs w:val="21"/>
              </w:rPr>
            </w:pPr>
            <w:r>
              <w:rPr>
                <w:rFonts w:hint="eastAsia" w:ascii="宋体" w:hAnsi="宋体" w:eastAsia="宋体" w:cs="Times New Roman"/>
                <w:szCs w:val="21"/>
              </w:rPr>
              <w:t>4</w:t>
            </w:r>
          </w:p>
        </w:tc>
        <w:tc>
          <w:tcPr>
            <w:tcW w:w="4110" w:type="dxa"/>
            <w:vAlign w:val="center"/>
          </w:tcPr>
          <w:p w14:paraId="006E7E54">
            <w:pPr>
              <w:jc w:val="left"/>
              <w:rPr>
                <w:rFonts w:ascii="宋体" w:hAnsi="宋体" w:eastAsia="宋体" w:cs="Times New Roman"/>
                <w:szCs w:val="21"/>
              </w:rPr>
            </w:pPr>
            <w:r>
              <w:rPr>
                <w:rFonts w:hint="eastAsia" w:ascii="宋体" w:hAnsi="宋体" w:eastAsia="宋体" w:cs="Times New Roman"/>
                <w:szCs w:val="21"/>
              </w:rPr>
              <w:t>航空模型与无人机及其在航空发展中的作用</w:t>
            </w:r>
          </w:p>
        </w:tc>
        <w:tc>
          <w:tcPr>
            <w:tcW w:w="1701" w:type="dxa"/>
            <w:vAlign w:val="center"/>
          </w:tcPr>
          <w:p w14:paraId="13947DDF">
            <w:pPr>
              <w:jc w:val="center"/>
              <w:rPr>
                <w:rFonts w:ascii="宋体" w:hAnsi="宋体" w:eastAsia="宋体" w:cs="Times New Roman"/>
                <w:szCs w:val="21"/>
              </w:rPr>
            </w:pPr>
            <w:r>
              <w:rPr>
                <w:rFonts w:hint="eastAsia" w:ascii="宋体" w:hAnsi="宋体" w:eastAsia="宋体" w:cs="Times New Roman"/>
                <w:kern w:val="0"/>
                <w:szCs w:val="21"/>
              </w:rPr>
              <w:t>目标1、2</w:t>
            </w:r>
          </w:p>
        </w:tc>
        <w:tc>
          <w:tcPr>
            <w:tcW w:w="1418" w:type="dxa"/>
            <w:vAlign w:val="center"/>
          </w:tcPr>
          <w:p w14:paraId="592965A2">
            <w:pPr>
              <w:jc w:val="center"/>
              <w:rPr>
                <w:rFonts w:ascii="宋体" w:hAnsi="宋体" w:eastAsia="宋体" w:cs="Times New Roman"/>
                <w:szCs w:val="21"/>
              </w:rPr>
            </w:pPr>
            <w:r>
              <w:rPr>
                <w:rFonts w:ascii="宋体" w:hAnsi="宋体" w:eastAsia="宋体" w:cs="Times New Roman"/>
                <w:kern w:val="0"/>
                <w:szCs w:val="21"/>
              </w:rPr>
              <w:t>3-4</w:t>
            </w:r>
            <w:r>
              <w:rPr>
                <w:rFonts w:hint="eastAsia" w:ascii="宋体" w:hAnsi="宋体" w:eastAsia="宋体" w:cs="Times New Roman"/>
                <w:kern w:val="0"/>
                <w:szCs w:val="21"/>
              </w:rPr>
              <w:t>、4-</w:t>
            </w:r>
            <w:r>
              <w:rPr>
                <w:rFonts w:ascii="宋体" w:hAnsi="宋体" w:eastAsia="宋体" w:cs="Times New Roman"/>
                <w:kern w:val="0"/>
                <w:szCs w:val="21"/>
              </w:rPr>
              <w:t>4</w:t>
            </w:r>
          </w:p>
        </w:tc>
        <w:tc>
          <w:tcPr>
            <w:tcW w:w="708" w:type="dxa"/>
            <w:gridSpan w:val="2"/>
            <w:vAlign w:val="center"/>
          </w:tcPr>
          <w:p w14:paraId="435E5725">
            <w:pPr>
              <w:jc w:val="center"/>
              <w:rPr>
                <w:rFonts w:ascii="宋体" w:hAnsi="宋体" w:eastAsia="宋体" w:cs="Times New Roman"/>
                <w:kern w:val="0"/>
                <w:szCs w:val="21"/>
              </w:rPr>
            </w:pPr>
            <w:r>
              <w:rPr>
                <w:rFonts w:ascii="宋体" w:hAnsi="宋体" w:eastAsia="宋体" w:cs="Times New Roman"/>
                <w:kern w:val="0"/>
                <w:szCs w:val="21"/>
              </w:rPr>
              <w:t>2</w:t>
            </w:r>
          </w:p>
        </w:tc>
        <w:tc>
          <w:tcPr>
            <w:tcW w:w="709" w:type="dxa"/>
            <w:vAlign w:val="center"/>
          </w:tcPr>
          <w:p w14:paraId="360FB75C">
            <w:pPr>
              <w:ind w:firstLine="210" w:firstLineChars="100"/>
              <w:rPr>
                <w:rFonts w:ascii="宋体" w:hAnsi="宋体" w:eastAsia="宋体" w:cs="Times New Roman"/>
                <w:kern w:val="0"/>
                <w:szCs w:val="21"/>
              </w:rPr>
            </w:pPr>
            <w:r>
              <w:rPr>
                <w:rFonts w:hint="eastAsia" w:ascii="宋体" w:hAnsi="宋体" w:eastAsia="宋体" w:cs="Times New Roman"/>
                <w:kern w:val="0"/>
                <w:szCs w:val="21"/>
              </w:rPr>
              <w:t>4</w:t>
            </w:r>
          </w:p>
        </w:tc>
      </w:tr>
      <w:tr w14:paraId="256A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8" w:type="dxa"/>
            <w:vAlign w:val="center"/>
          </w:tcPr>
          <w:p w14:paraId="3DCFD81E">
            <w:pPr>
              <w:jc w:val="center"/>
              <w:rPr>
                <w:rFonts w:ascii="宋体" w:hAnsi="宋体" w:eastAsia="宋体" w:cs="Times New Roman"/>
                <w:szCs w:val="21"/>
              </w:rPr>
            </w:pPr>
            <w:r>
              <w:rPr>
                <w:rFonts w:hint="eastAsia" w:ascii="宋体" w:hAnsi="宋体" w:eastAsia="宋体" w:cs="Times New Roman"/>
                <w:szCs w:val="21"/>
              </w:rPr>
              <w:t>5</w:t>
            </w:r>
          </w:p>
        </w:tc>
        <w:tc>
          <w:tcPr>
            <w:tcW w:w="4110" w:type="dxa"/>
            <w:vAlign w:val="center"/>
          </w:tcPr>
          <w:p w14:paraId="569A6AF4">
            <w:pPr>
              <w:jc w:val="left"/>
              <w:rPr>
                <w:rFonts w:ascii="宋体" w:hAnsi="宋体" w:eastAsia="宋体" w:cs="Times New Roman"/>
                <w:szCs w:val="21"/>
              </w:rPr>
            </w:pPr>
            <w:r>
              <w:rPr>
                <w:rFonts w:hint="eastAsia" w:ascii="宋体" w:hAnsi="宋体" w:eastAsia="宋体" w:cs="Times New Roman"/>
                <w:szCs w:val="21"/>
              </w:rPr>
              <w:t>航空模型竞赛</w:t>
            </w:r>
          </w:p>
        </w:tc>
        <w:tc>
          <w:tcPr>
            <w:tcW w:w="1701" w:type="dxa"/>
            <w:vAlign w:val="center"/>
          </w:tcPr>
          <w:p w14:paraId="4CAAE6D3">
            <w:pPr>
              <w:jc w:val="center"/>
              <w:rPr>
                <w:rFonts w:ascii="宋体" w:hAnsi="宋体" w:eastAsia="宋体" w:cs="Times New Roman"/>
                <w:szCs w:val="21"/>
              </w:rPr>
            </w:pPr>
            <w:r>
              <w:rPr>
                <w:rFonts w:hint="eastAsia" w:ascii="宋体" w:hAnsi="宋体" w:eastAsia="宋体" w:cs="Times New Roman"/>
                <w:kern w:val="0"/>
                <w:szCs w:val="21"/>
              </w:rPr>
              <w:t>目标1、2、3、4</w:t>
            </w:r>
          </w:p>
        </w:tc>
        <w:tc>
          <w:tcPr>
            <w:tcW w:w="1418" w:type="dxa"/>
            <w:vAlign w:val="center"/>
          </w:tcPr>
          <w:p w14:paraId="283803F1">
            <w:pPr>
              <w:jc w:val="center"/>
              <w:rPr>
                <w:rFonts w:ascii="宋体" w:hAnsi="宋体" w:eastAsia="宋体" w:cs="Times New Roman"/>
                <w:kern w:val="0"/>
                <w:szCs w:val="21"/>
              </w:rPr>
            </w:pPr>
            <w:r>
              <w:rPr>
                <w:rFonts w:ascii="宋体" w:hAnsi="宋体" w:eastAsia="宋体" w:cs="Times New Roman"/>
                <w:kern w:val="0"/>
                <w:szCs w:val="21"/>
              </w:rPr>
              <w:t xml:space="preserve"> </w:t>
            </w:r>
            <w:r>
              <w:rPr>
                <w:rFonts w:hint="eastAsia" w:ascii="宋体" w:hAnsi="宋体" w:eastAsia="宋体" w:cs="Times New Roman"/>
                <w:kern w:val="0"/>
                <w:szCs w:val="21"/>
              </w:rPr>
              <w:t>3</w:t>
            </w:r>
            <w:r>
              <w:rPr>
                <w:rFonts w:ascii="宋体" w:hAnsi="宋体" w:eastAsia="宋体" w:cs="Times New Roman"/>
                <w:kern w:val="0"/>
                <w:szCs w:val="21"/>
              </w:rPr>
              <w:t>-4</w:t>
            </w:r>
            <w:r>
              <w:rPr>
                <w:rFonts w:hint="eastAsia" w:ascii="宋体" w:hAnsi="宋体" w:eastAsia="宋体" w:cs="Times New Roman"/>
                <w:kern w:val="0"/>
                <w:szCs w:val="21"/>
              </w:rPr>
              <w:t>、4-</w:t>
            </w:r>
            <w:r>
              <w:rPr>
                <w:rFonts w:ascii="宋体" w:hAnsi="宋体" w:eastAsia="宋体" w:cs="Times New Roman"/>
                <w:kern w:val="0"/>
                <w:szCs w:val="21"/>
              </w:rPr>
              <w:t>4</w:t>
            </w:r>
            <w:r>
              <w:rPr>
                <w:rFonts w:hint="eastAsia" w:ascii="宋体" w:hAnsi="宋体" w:eastAsia="宋体" w:cs="Times New Roman"/>
                <w:kern w:val="0"/>
                <w:szCs w:val="21"/>
              </w:rPr>
              <w:t>、</w:t>
            </w:r>
          </w:p>
          <w:p w14:paraId="0888032B">
            <w:pPr>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-3</w:t>
            </w:r>
            <w:r>
              <w:rPr>
                <w:rFonts w:hint="eastAsia" w:ascii="宋体" w:hAnsi="宋体" w:eastAsia="宋体" w:cs="Times New Roman"/>
                <w:kern w:val="0"/>
                <w:szCs w:val="21"/>
              </w:rPr>
              <w:t>、8</w:t>
            </w:r>
            <w:r>
              <w:rPr>
                <w:rFonts w:ascii="宋体" w:hAnsi="宋体" w:eastAsia="宋体" w:cs="Times New Roman"/>
                <w:kern w:val="0"/>
                <w:szCs w:val="21"/>
              </w:rPr>
              <w:t>-1</w:t>
            </w:r>
          </w:p>
        </w:tc>
        <w:tc>
          <w:tcPr>
            <w:tcW w:w="708" w:type="dxa"/>
            <w:gridSpan w:val="2"/>
            <w:vAlign w:val="center"/>
          </w:tcPr>
          <w:p w14:paraId="181E3AF7">
            <w:pPr>
              <w:jc w:val="center"/>
              <w:rPr>
                <w:rFonts w:ascii="宋体" w:hAnsi="宋体" w:eastAsia="宋体" w:cs="Times New Roman"/>
                <w:kern w:val="0"/>
                <w:szCs w:val="21"/>
              </w:rPr>
            </w:pPr>
            <w:r>
              <w:rPr>
                <w:rFonts w:ascii="宋体" w:hAnsi="宋体" w:eastAsia="宋体" w:cs="Times New Roman"/>
                <w:kern w:val="0"/>
                <w:szCs w:val="21"/>
              </w:rPr>
              <w:t>2</w:t>
            </w:r>
          </w:p>
        </w:tc>
        <w:tc>
          <w:tcPr>
            <w:tcW w:w="709" w:type="dxa"/>
            <w:vAlign w:val="center"/>
          </w:tcPr>
          <w:p w14:paraId="04FA333C">
            <w:pPr>
              <w:jc w:val="center"/>
              <w:rPr>
                <w:rFonts w:ascii="宋体" w:hAnsi="宋体" w:eastAsia="宋体" w:cs="Times New Roman"/>
                <w:kern w:val="0"/>
                <w:szCs w:val="21"/>
              </w:rPr>
            </w:pPr>
            <w:r>
              <w:rPr>
                <w:rFonts w:hint="eastAsia" w:ascii="宋体" w:hAnsi="宋体" w:eastAsia="宋体" w:cs="Times New Roman"/>
                <w:kern w:val="0"/>
                <w:szCs w:val="21"/>
              </w:rPr>
              <w:t>6</w:t>
            </w:r>
          </w:p>
        </w:tc>
      </w:tr>
      <w:tr w14:paraId="6D54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68" w:type="dxa"/>
            <w:vAlign w:val="center"/>
          </w:tcPr>
          <w:p w14:paraId="25A793B2">
            <w:pPr>
              <w:jc w:val="center"/>
              <w:rPr>
                <w:rFonts w:ascii="宋体" w:hAnsi="宋体" w:eastAsia="宋体" w:cs="Times New Roman"/>
                <w:szCs w:val="21"/>
              </w:rPr>
            </w:pPr>
            <w:r>
              <w:rPr>
                <w:rFonts w:hint="eastAsia" w:ascii="宋体" w:hAnsi="宋体" w:eastAsia="宋体" w:cs="Times New Roman"/>
                <w:szCs w:val="21"/>
              </w:rPr>
              <w:t>6</w:t>
            </w:r>
          </w:p>
        </w:tc>
        <w:tc>
          <w:tcPr>
            <w:tcW w:w="4110" w:type="dxa"/>
            <w:vAlign w:val="center"/>
          </w:tcPr>
          <w:p w14:paraId="52832989">
            <w:pPr>
              <w:widowControl/>
              <w:snapToGrid w:val="0"/>
              <w:jc w:val="left"/>
              <w:rPr>
                <w:rFonts w:ascii="宋体" w:hAnsi="宋体" w:eastAsia="宋体" w:cs="宋体"/>
                <w:kern w:val="0"/>
                <w:szCs w:val="21"/>
              </w:rPr>
            </w:pPr>
            <w:r>
              <w:rPr>
                <w:rFonts w:hint="eastAsia" w:ascii="宋体" w:hAnsi="宋体" w:eastAsia="宋体" w:cs="宋体"/>
                <w:kern w:val="0"/>
                <w:szCs w:val="21"/>
              </w:rPr>
              <w:t>航模制作概述及固定翼飞机模型的制作工艺简介</w:t>
            </w:r>
          </w:p>
        </w:tc>
        <w:tc>
          <w:tcPr>
            <w:tcW w:w="1701" w:type="dxa"/>
            <w:vAlign w:val="center"/>
          </w:tcPr>
          <w:p w14:paraId="5440BFD5">
            <w:pPr>
              <w:jc w:val="center"/>
              <w:rPr>
                <w:rFonts w:ascii="宋体" w:hAnsi="宋体" w:eastAsia="宋体" w:cs="Times New Roman"/>
                <w:szCs w:val="21"/>
              </w:rPr>
            </w:pPr>
            <w:r>
              <w:rPr>
                <w:rFonts w:hint="eastAsia" w:ascii="宋体" w:hAnsi="宋体" w:eastAsia="宋体" w:cs="Times New Roman"/>
                <w:kern w:val="0"/>
                <w:szCs w:val="21"/>
              </w:rPr>
              <w:t>目标1、2、4</w:t>
            </w:r>
          </w:p>
        </w:tc>
        <w:tc>
          <w:tcPr>
            <w:tcW w:w="1418" w:type="dxa"/>
            <w:vAlign w:val="center"/>
          </w:tcPr>
          <w:p w14:paraId="23ECD9A8">
            <w:pPr>
              <w:jc w:val="center"/>
              <w:rPr>
                <w:rFonts w:ascii="宋体" w:hAnsi="宋体" w:eastAsia="宋体" w:cs="Times New Roman"/>
                <w:szCs w:val="21"/>
              </w:rPr>
            </w:pPr>
            <w:r>
              <w:rPr>
                <w:rFonts w:hint="eastAsia" w:ascii="宋体" w:hAnsi="宋体" w:eastAsia="宋体" w:cs="Times New Roman"/>
                <w:kern w:val="0"/>
                <w:szCs w:val="21"/>
              </w:rPr>
              <w:t>3</w:t>
            </w:r>
            <w:r>
              <w:rPr>
                <w:rFonts w:ascii="宋体" w:hAnsi="宋体" w:eastAsia="宋体" w:cs="Times New Roman"/>
                <w:kern w:val="0"/>
                <w:szCs w:val="21"/>
              </w:rPr>
              <w:t>-4</w:t>
            </w:r>
            <w:r>
              <w:rPr>
                <w:rFonts w:hint="eastAsia" w:ascii="宋体" w:hAnsi="宋体" w:eastAsia="宋体" w:cs="Times New Roman"/>
                <w:kern w:val="0"/>
                <w:szCs w:val="21"/>
              </w:rPr>
              <w:t>、4-</w:t>
            </w:r>
            <w:r>
              <w:rPr>
                <w:rFonts w:ascii="宋体" w:hAnsi="宋体" w:eastAsia="宋体" w:cs="Times New Roman"/>
                <w:kern w:val="0"/>
                <w:szCs w:val="21"/>
              </w:rPr>
              <w:t>4</w:t>
            </w:r>
            <w:r>
              <w:rPr>
                <w:rFonts w:hint="eastAsia" w:ascii="宋体" w:hAnsi="宋体" w:eastAsia="宋体" w:cs="Times New Roman"/>
                <w:kern w:val="0"/>
                <w:szCs w:val="21"/>
              </w:rPr>
              <w:t>、8-1</w:t>
            </w:r>
          </w:p>
        </w:tc>
        <w:tc>
          <w:tcPr>
            <w:tcW w:w="708" w:type="dxa"/>
            <w:gridSpan w:val="2"/>
            <w:vAlign w:val="center"/>
          </w:tcPr>
          <w:p w14:paraId="5BE7A77B">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09" w:type="dxa"/>
            <w:vAlign w:val="center"/>
          </w:tcPr>
          <w:p w14:paraId="7A5C0EE7">
            <w:pPr>
              <w:jc w:val="center"/>
              <w:rPr>
                <w:rFonts w:ascii="宋体" w:hAnsi="宋体" w:eastAsia="宋体" w:cs="Times New Roman"/>
                <w:kern w:val="0"/>
                <w:szCs w:val="21"/>
              </w:rPr>
            </w:pPr>
            <w:r>
              <w:rPr>
                <w:rFonts w:ascii="宋体" w:hAnsi="宋体" w:eastAsia="宋体" w:cs="Times New Roman"/>
                <w:kern w:val="0"/>
                <w:szCs w:val="21"/>
              </w:rPr>
              <w:t>6</w:t>
            </w:r>
          </w:p>
        </w:tc>
      </w:tr>
      <w:tr w14:paraId="0CED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04" w:type="dxa"/>
            <w:gridSpan w:val="5"/>
            <w:vAlign w:val="center"/>
          </w:tcPr>
          <w:p w14:paraId="7B4B56EC">
            <w:pPr>
              <w:jc w:val="center"/>
              <w:rPr>
                <w:rFonts w:ascii="宋体" w:hAnsi="宋体" w:eastAsia="宋体" w:cs="Times New Roman"/>
                <w:szCs w:val="21"/>
              </w:rPr>
            </w:pPr>
            <w:r>
              <w:rPr>
                <w:rFonts w:ascii="宋体" w:hAnsi="宋体" w:eastAsia="宋体" w:cs="Times New Roman"/>
                <w:szCs w:val="21"/>
              </w:rPr>
              <w:t>合计</w:t>
            </w:r>
          </w:p>
        </w:tc>
        <w:tc>
          <w:tcPr>
            <w:tcW w:w="701" w:type="dxa"/>
            <w:vAlign w:val="center"/>
          </w:tcPr>
          <w:p w14:paraId="3C543C89">
            <w:pPr>
              <w:jc w:val="center"/>
              <w:rPr>
                <w:rFonts w:ascii="宋体" w:hAnsi="宋体" w:eastAsia="宋体" w:cs="Times New Roman"/>
                <w:kern w:val="0"/>
                <w:szCs w:val="21"/>
              </w:rPr>
            </w:pPr>
            <w:r>
              <w:rPr>
                <w:rFonts w:ascii="宋体" w:hAnsi="宋体" w:eastAsia="宋体" w:cs="Times New Roman"/>
                <w:kern w:val="0"/>
                <w:szCs w:val="21"/>
              </w:rPr>
              <w:t>16</w:t>
            </w:r>
          </w:p>
        </w:tc>
        <w:tc>
          <w:tcPr>
            <w:tcW w:w="709" w:type="dxa"/>
            <w:vAlign w:val="center"/>
          </w:tcPr>
          <w:p w14:paraId="5DFE123D">
            <w:pPr>
              <w:jc w:val="center"/>
              <w:rPr>
                <w:rFonts w:ascii="宋体" w:hAnsi="宋体" w:eastAsia="宋体" w:cs="Times New Roman"/>
                <w:kern w:val="0"/>
                <w:szCs w:val="21"/>
              </w:rPr>
            </w:pPr>
            <w:r>
              <w:rPr>
                <w:rFonts w:ascii="宋体" w:hAnsi="宋体" w:eastAsia="宋体" w:cs="Times New Roman"/>
                <w:kern w:val="0"/>
                <w:szCs w:val="21"/>
              </w:rPr>
              <w:t>16</w:t>
            </w:r>
          </w:p>
        </w:tc>
      </w:tr>
    </w:tbl>
    <w:p w14:paraId="06B294C0">
      <w:pPr>
        <w:spacing w:line="360" w:lineRule="auto"/>
        <w:rPr>
          <w:rFonts w:ascii="宋体" w:hAnsi="宋体" w:eastAsia="宋体" w:cs="Times New Roman"/>
          <w:b/>
          <w:sz w:val="28"/>
          <w:szCs w:val="28"/>
        </w:rPr>
      </w:pPr>
    </w:p>
    <w:p w14:paraId="27181460">
      <w:pPr>
        <w:spacing w:line="360" w:lineRule="auto"/>
        <w:ind w:firstLine="562" w:firstLineChars="200"/>
        <w:rPr>
          <w:rFonts w:ascii="宋体" w:hAnsi="宋体" w:eastAsia="宋体" w:cs="Times New Roman"/>
          <w:b/>
          <w:sz w:val="28"/>
          <w:szCs w:val="28"/>
        </w:rPr>
      </w:pPr>
      <w:bookmarkStart w:id="265" w:name="_Toc29395644"/>
      <w:r>
        <w:rPr>
          <w:rFonts w:hint="eastAsia" w:ascii="宋体" w:hAnsi="宋体" w:eastAsia="宋体" w:cs="Times New Roman"/>
          <w:b/>
          <w:sz w:val="28"/>
          <w:szCs w:val="28"/>
        </w:rPr>
        <w:t>四</w:t>
      </w:r>
      <w:r>
        <w:rPr>
          <w:rFonts w:ascii="宋体" w:hAnsi="宋体" w:eastAsia="宋体" w:cs="Times New Roman"/>
          <w:b/>
          <w:sz w:val="28"/>
          <w:szCs w:val="28"/>
        </w:rPr>
        <w:t>、</w:t>
      </w:r>
      <w:r>
        <w:rPr>
          <w:rFonts w:hint="eastAsia" w:ascii="宋体" w:hAnsi="宋体" w:eastAsia="宋体" w:cs="Times New Roman"/>
          <w:b/>
          <w:sz w:val="28"/>
          <w:szCs w:val="28"/>
        </w:rPr>
        <w:t>课内实验（实践）</w:t>
      </w:r>
      <w:bookmarkEnd w:id="265"/>
    </w:p>
    <w:tbl>
      <w:tblPr>
        <w:tblStyle w:val="30"/>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671"/>
        <w:gridCol w:w="632"/>
        <w:gridCol w:w="1155"/>
        <w:gridCol w:w="840"/>
        <w:gridCol w:w="630"/>
      </w:tblGrid>
      <w:tr w14:paraId="587E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6" w:type="dxa"/>
            <w:shd w:val="clear" w:color="auto" w:fill="FFFFFF"/>
            <w:vAlign w:val="center"/>
          </w:tcPr>
          <w:p w14:paraId="611F8F11">
            <w:pPr>
              <w:jc w:val="center"/>
              <w:rPr>
                <w:rFonts w:ascii="宋体" w:hAnsi="宋体" w:eastAsia="宋体" w:cs="Times New Roman"/>
                <w:b/>
                <w:bCs/>
                <w:spacing w:val="-20"/>
                <w:szCs w:val="21"/>
              </w:rPr>
            </w:pPr>
            <w:r>
              <w:rPr>
                <w:rFonts w:ascii="宋体" w:hAnsi="宋体" w:eastAsia="宋体" w:cs="Times New Roman"/>
                <w:b/>
                <w:bCs/>
                <w:spacing w:val="-20"/>
                <w:szCs w:val="21"/>
              </w:rPr>
              <w:t>序号</w:t>
            </w:r>
          </w:p>
        </w:tc>
        <w:tc>
          <w:tcPr>
            <w:tcW w:w="1784" w:type="dxa"/>
            <w:shd w:val="clear" w:color="auto" w:fill="FFFFFF"/>
            <w:vAlign w:val="center"/>
          </w:tcPr>
          <w:p w14:paraId="4692FD5D">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p>
          <w:p w14:paraId="3525FFAC">
            <w:pPr>
              <w:ind w:firstLine="211" w:firstLineChars="100"/>
              <w:rPr>
                <w:rFonts w:ascii="宋体" w:hAnsi="宋体" w:eastAsia="宋体" w:cs="Times New Roman"/>
                <w:b/>
                <w:bCs/>
                <w:szCs w:val="21"/>
              </w:rPr>
            </w:pPr>
            <w:r>
              <w:rPr>
                <w:rFonts w:ascii="宋体" w:hAnsi="宋体" w:eastAsia="宋体" w:cs="Times New Roman"/>
                <w:b/>
                <w:bCs/>
                <w:szCs w:val="21"/>
              </w:rPr>
              <w:t>项目名称</w:t>
            </w:r>
          </w:p>
        </w:tc>
        <w:tc>
          <w:tcPr>
            <w:tcW w:w="3671" w:type="dxa"/>
            <w:shd w:val="clear" w:color="auto" w:fill="FFFFFF"/>
            <w:vAlign w:val="center"/>
          </w:tcPr>
          <w:p w14:paraId="071F4913">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及要求</w:t>
            </w:r>
          </w:p>
        </w:tc>
        <w:tc>
          <w:tcPr>
            <w:tcW w:w="632" w:type="dxa"/>
            <w:shd w:val="clear" w:color="auto" w:fill="FFFFFF"/>
            <w:vAlign w:val="center"/>
          </w:tcPr>
          <w:p w14:paraId="0D3C15FC">
            <w:pPr>
              <w:jc w:val="center"/>
              <w:rPr>
                <w:rFonts w:ascii="宋体" w:hAnsi="宋体" w:eastAsia="宋体" w:cs="Times New Roman"/>
                <w:b/>
                <w:bCs/>
                <w:szCs w:val="21"/>
              </w:rPr>
            </w:pPr>
            <w:r>
              <w:rPr>
                <w:rFonts w:ascii="宋体" w:hAnsi="宋体" w:eastAsia="宋体" w:cs="Times New Roman"/>
                <w:b/>
                <w:bCs/>
                <w:szCs w:val="21"/>
              </w:rPr>
              <w:t>学时</w:t>
            </w:r>
          </w:p>
        </w:tc>
        <w:tc>
          <w:tcPr>
            <w:tcW w:w="1155" w:type="dxa"/>
            <w:shd w:val="clear" w:color="auto" w:fill="FFFFFF"/>
            <w:vAlign w:val="center"/>
          </w:tcPr>
          <w:p w14:paraId="085EC277">
            <w:pPr>
              <w:jc w:val="center"/>
              <w:rPr>
                <w:rFonts w:ascii="宋体" w:hAnsi="宋体" w:eastAsia="宋体" w:cs="Times New Roman"/>
                <w:b/>
                <w:bCs/>
                <w:szCs w:val="21"/>
              </w:rPr>
            </w:pPr>
            <w:r>
              <w:rPr>
                <w:rFonts w:ascii="宋体" w:hAnsi="宋体" w:eastAsia="宋体" w:cs="Times New Roman"/>
                <w:b/>
                <w:bCs/>
                <w:szCs w:val="21"/>
              </w:rPr>
              <w:t>对毕业要求的支撑</w:t>
            </w:r>
          </w:p>
        </w:tc>
        <w:tc>
          <w:tcPr>
            <w:tcW w:w="840" w:type="dxa"/>
            <w:shd w:val="clear" w:color="auto" w:fill="FFFFFF"/>
            <w:tcMar>
              <w:left w:w="28" w:type="dxa"/>
              <w:right w:w="28" w:type="dxa"/>
            </w:tcMar>
            <w:vAlign w:val="center"/>
          </w:tcPr>
          <w:p w14:paraId="39DE0B13">
            <w:pPr>
              <w:jc w:val="center"/>
              <w:rPr>
                <w:rFonts w:ascii="宋体" w:hAnsi="宋体" w:eastAsia="宋体" w:cs="Times New Roman"/>
                <w:b/>
                <w:bCs/>
                <w:szCs w:val="21"/>
              </w:rPr>
            </w:pPr>
            <w:r>
              <w:rPr>
                <w:rFonts w:ascii="宋体" w:hAnsi="宋体" w:eastAsia="宋体" w:cs="Times New Roman"/>
                <w:b/>
                <w:bCs/>
                <w:szCs w:val="21"/>
              </w:rPr>
              <w:t>类型</w:t>
            </w:r>
          </w:p>
        </w:tc>
        <w:tc>
          <w:tcPr>
            <w:tcW w:w="630" w:type="dxa"/>
            <w:shd w:val="clear" w:color="auto" w:fill="FFFFFF"/>
            <w:tcMar>
              <w:left w:w="28" w:type="dxa"/>
              <w:right w:w="28" w:type="dxa"/>
            </w:tcMar>
            <w:vAlign w:val="center"/>
          </w:tcPr>
          <w:p w14:paraId="33782ECB">
            <w:pPr>
              <w:jc w:val="center"/>
              <w:rPr>
                <w:rFonts w:ascii="宋体" w:hAnsi="宋体" w:eastAsia="宋体" w:cs="Times New Roman"/>
                <w:b/>
                <w:bCs/>
                <w:szCs w:val="21"/>
              </w:rPr>
            </w:pPr>
            <w:r>
              <w:rPr>
                <w:rFonts w:ascii="宋体" w:hAnsi="宋体" w:eastAsia="宋体" w:cs="Times New Roman"/>
                <w:b/>
                <w:bCs/>
                <w:szCs w:val="21"/>
              </w:rPr>
              <w:t>备注</w:t>
            </w:r>
          </w:p>
        </w:tc>
      </w:tr>
      <w:tr w14:paraId="2EE2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36" w:type="dxa"/>
            <w:vAlign w:val="center"/>
          </w:tcPr>
          <w:p w14:paraId="29188A43">
            <w:pPr>
              <w:jc w:val="center"/>
              <w:rPr>
                <w:rFonts w:ascii="宋体" w:hAnsi="宋体" w:eastAsia="宋体" w:cs="Times New Roman"/>
                <w:bCs/>
                <w:szCs w:val="21"/>
              </w:rPr>
            </w:pPr>
            <w:r>
              <w:rPr>
                <w:rFonts w:ascii="宋体" w:hAnsi="宋体" w:eastAsia="宋体" w:cs="Times New Roman"/>
                <w:bCs/>
                <w:szCs w:val="21"/>
              </w:rPr>
              <w:t>1</w:t>
            </w:r>
          </w:p>
        </w:tc>
        <w:tc>
          <w:tcPr>
            <w:tcW w:w="1784" w:type="dxa"/>
            <w:vAlign w:val="center"/>
          </w:tcPr>
          <w:p w14:paraId="0CB585C6">
            <w:pPr>
              <w:rPr>
                <w:rFonts w:ascii="宋体" w:hAnsi="宋体" w:eastAsia="宋体" w:cs="宋体"/>
                <w:kern w:val="0"/>
                <w:szCs w:val="21"/>
              </w:rPr>
            </w:pPr>
            <w:r>
              <w:rPr>
                <w:rFonts w:hint="eastAsia" w:ascii="宋体" w:hAnsi="宋体" w:eastAsia="宋体" w:cs="宋体"/>
                <w:kern w:val="0"/>
                <w:szCs w:val="21"/>
              </w:rPr>
              <w:t>一种固定翼模型飞机的制作流程</w:t>
            </w:r>
          </w:p>
        </w:tc>
        <w:tc>
          <w:tcPr>
            <w:tcW w:w="3671" w:type="dxa"/>
            <w:vAlign w:val="center"/>
          </w:tcPr>
          <w:p w14:paraId="38FA0FBB">
            <w:pPr>
              <w:ind w:firstLine="422" w:firstLineChars="200"/>
              <w:rPr>
                <w:rFonts w:ascii="宋体" w:hAnsi="宋体" w:eastAsia="宋体" w:cs="宋体"/>
                <w:kern w:val="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bCs/>
                <w:szCs w:val="21"/>
              </w:rPr>
              <w:t>以最经典的轻木蒙皮结构固定翼飞机制作为例，展示此类飞机制作的整个流程。（1）机翼翼型、机身骨架结构的设计与排版切割；（2）机翼、机身等模块的骨架搭建与粘接；（3）机翼与机身蒙皮操作；（4）电子设备安装；（5）整体组装与重心调节、试飞。</w:t>
            </w:r>
            <w:r>
              <w:rPr>
                <w:rFonts w:hint="eastAsia" w:ascii="宋体" w:hAnsi="宋体" w:eastAsia="宋体" w:cs="Times New Roman"/>
                <w:b/>
                <w:bCs/>
                <w:szCs w:val="21"/>
              </w:rPr>
              <w:t xml:space="preserve"> 实践要求：</w:t>
            </w:r>
            <w:r>
              <w:rPr>
                <w:rFonts w:hint="eastAsia" w:ascii="宋体" w:hAnsi="宋体" w:eastAsia="宋体" w:cs="宋体"/>
                <w:kern w:val="0"/>
                <w:szCs w:val="21"/>
              </w:rPr>
              <w:t>使学生掌握一种固定翼模型飞机的制作方法与流程，以及制作过程当中的一些注意事项。</w:t>
            </w:r>
          </w:p>
        </w:tc>
        <w:tc>
          <w:tcPr>
            <w:tcW w:w="632" w:type="dxa"/>
            <w:vAlign w:val="center"/>
          </w:tcPr>
          <w:p w14:paraId="632BBC5B">
            <w:pPr>
              <w:jc w:val="center"/>
              <w:rPr>
                <w:rFonts w:ascii="宋体" w:hAnsi="宋体" w:eastAsia="宋体" w:cs="Times New Roman"/>
                <w:bCs/>
                <w:szCs w:val="21"/>
              </w:rPr>
            </w:pPr>
            <w:r>
              <w:rPr>
                <w:rFonts w:ascii="宋体" w:hAnsi="宋体" w:eastAsia="宋体" w:cs="Times New Roman"/>
                <w:bCs/>
                <w:szCs w:val="21"/>
              </w:rPr>
              <w:t>2</w:t>
            </w:r>
          </w:p>
        </w:tc>
        <w:tc>
          <w:tcPr>
            <w:tcW w:w="1155" w:type="dxa"/>
            <w:vAlign w:val="center"/>
          </w:tcPr>
          <w:p w14:paraId="7FFB6B97">
            <w:pPr>
              <w:jc w:val="center"/>
              <w:rPr>
                <w:rFonts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4</w:t>
            </w:r>
            <w:r>
              <w:rPr>
                <w:rFonts w:hint="eastAsia" w:ascii="宋体" w:hAnsi="宋体" w:eastAsia="宋体" w:cs="Times New Roman"/>
                <w:bCs/>
                <w:szCs w:val="21"/>
              </w:rPr>
              <w:t>、</w:t>
            </w:r>
          </w:p>
          <w:p w14:paraId="63363376">
            <w:pPr>
              <w:jc w:val="center"/>
              <w:rPr>
                <w:rFonts w:ascii="宋体" w:hAnsi="宋体" w:eastAsia="宋体" w:cs="Times New Roman"/>
                <w:bCs/>
                <w:szCs w:val="21"/>
              </w:rPr>
            </w:pPr>
            <w:r>
              <w:rPr>
                <w:rFonts w:hint="eastAsia" w:ascii="宋体" w:hAnsi="宋体" w:eastAsia="宋体" w:cs="Times New Roman"/>
                <w:bCs/>
                <w:szCs w:val="21"/>
              </w:rPr>
              <w:t>7</w:t>
            </w:r>
            <w:r>
              <w:rPr>
                <w:rFonts w:ascii="宋体" w:hAnsi="宋体" w:eastAsia="宋体" w:cs="Times New Roman"/>
                <w:bCs/>
                <w:szCs w:val="21"/>
              </w:rPr>
              <w:t>-3</w:t>
            </w:r>
            <w:r>
              <w:rPr>
                <w:rFonts w:hint="eastAsia" w:ascii="宋体" w:hAnsi="宋体" w:eastAsia="宋体" w:cs="Times New Roman"/>
                <w:bCs/>
                <w:szCs w:val="21"/>
              </w:rPr>
              <w:t>、8</w:t>
            </w:r>
            <w:r>
              <w:rPr>
                <w:rFonts w:ascii="宋体" w:hAnsi="宋体" w:eastAsia="宋体" w:cs="Times New Roman"/>
                <w:bCs/>
                <w:szCs w:val="21"/>
              </w:rPr>
              <w:t>-1</w:t>
            </w:r>
          </w:p>
        </w:tc>
        <w:tc>
          <w:tcPr>
            <w:tcW w:w="840" w:type="dxa"/>
            <w:tcMar>
              <w:left w:w="28" w:type="dxa"/>
              <w:right w:w="28" w:type="dxa"/>
            </w:tcMar>
            <w:vAlign w:val="center"/>
          </w:tcPr>
          <w:p w14:paraId="130724BE">
            <w:pPr>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tcMar>
              <w:left w:w="28" w:type="dxa"/>
              <w:right w:w="28" w:type="dxa"/>
            </w:tcMar>
            <w:vAlign w:val="center"/>
          </w:tcPr>
          <w:p w14:paraId="03825A54">
            <w:pPr>
              <w:jc w:val="center"/>
              <w:rPr>
                <w:rFonts w:ascii="宋体" w:hAnsi="宋体" w:eastAsia="宋体" w:cs="Times New Roman"/>
                <w:bCs/>
                <w:szCs w:val="21"/>
              </w:rPr>
            </w:pPr>
            <w:r>
              <w:rPr>
                <w:rFonts w:ascii="宋体" w:hAnsi="宋体" w:eastAsia="宋体" w:cs="Times New Roman"/>
                <w:bCs/>
                <w:szCs w:val="21"/>
              </w:rPr>
              <w:t>必做</w:t>
            </w:r>
          </w:p>
        </w:tc>
      </w:tr>
      <w:tr w14:paraId="3832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6" w:type="dxa"/>
            <w:vAlign w:val="center"/>
          </w:tcPr>
          <w:p w14:paraId="573F6253">
            <w:pPr>
              <w:jc w:val="center"/>
              <w:rPr>
                <w:rFonts w:ascii="宋体" w:hAnsi="宋体" w:eastAsia="宋体" w:cs="Times New Roman"/>
                <w:bCs/>
                <w:szCs w:val="21"/>
              </w:rPr>
            </w:pPr>
            <w:r>
              <w:rPr>
                <w:rFonts w:hint="eastAsia" w:ascii="宋体" w:hAnsi="宋体" w:eastAsia="宋体" w:cs="Times New Roman"/>
                <w:bCs/>
                <w:szCs w:val="21"/>
              </w:rPr>
              <w:t>2</w:t>
            </w:r>
          </w:p>
        </w:tc>
        <w:tc>
          <w:tcPr>
            <w:tcW w:w="1784" w:type="dxa"/>
            <w:vAlign w:val="center"/>
          </w:tcPr>
          <w:p w14:paraId="79C5AC4A">
            <w:pPr>
              <w:ind w:firstLine="210" w:firstLineChars="100"/>
              <w:rPr>
                <w:rFonts w:ascii="宋体" w:hAnsi="宋体" w:eastAsia="宋体" w:cs="宋体"/>
                <w:kern w:val="0"/>
                <w:szCs w:val="21"/>
              </w:rPr>
            </w:pPr>
            <w:r>
              <w:rPr>
                <w:rFonts w:hint="eastAsia" w:ascii="宋体" w:hAnsi="宋体" w:eastAsia="宋体" w:cs="宋体"/>
                <w:kern w:val="0"/>
                <w:szCs w:val="21"/>
              </w:rPr>
              <w:t>航空模型的创新设计展示与创新设计讨论</w:t>
            </w:r>
          </w:p>
        </w:tc>
        <w:tc>
          <w:tcPr>
            <w:tcW w:w="3671" w:type="dxa"/>
            <w:vAlign w:val="center"/>
          </w:tcPr>
          <w:p w14:paraId="4832E00D">
            <w:pPr>
              <w:ind w:firstLine="422" w:firstLineChars="200"/>
              <w:rPr>
                <w:rFonts w:ascii="宋体" w:hAnsi="宋体" w:eastAsia="宋体" w:cs="宋体"/>
                <w:kern w:val="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展示各种各样的创新航模设计，并对部分创新设计进行一定程度的讲解，让学生明白设计者的设计意图与实现方式；（2）课堂讨论，把握课堂节奏，注意引导创新；（3）布置课后任务：以小组为单位完成一份创新设计，并做好相应展示材料。</w:t>
            </w:r>
            <w:r>
              <w:rPr>
                <w:rFonts w:hint="eastAsia" w:ascii="宋体" w:hAnsi="宋体" w:eastAsia="宋体" w:cs="Times New Roman"/>
                <w:b/>
                <w:bCs/>
                <w:szCs w:val="21"/>
              </w:rPr>
              <w:t>实践要求：</w:t>
            </w:r>
            <w:r>
              <w:rPr>
                <w:rFonts w:hint="eastAsia" w:ascii="宋体" w:hAnsi="宋体" w:eastAsia="宋体" w:cs="宋体"/>
                <w:kern w:val="0"/>
                <w:szCs w:val="21"/>
              </w:rPr>
              <w:t>通过展示，让学生了解当前航空模型领域的创新设计形式及成果，启发其创造性；通过课堂讨论，启发学生的思路，同时完成分组。</w:t>
            </w:r>
          </w:p>
        </w:tc>
        <w:tc>
          <w:tcPr>
            <w:tcW w:w="632" w:type="dxa"/>
            <w:vAlign w:val="center"/>
          </w:tcPr>
          <w:p w14:paraId="453C733A">
            <w:pPr>
              <w:jc w:val="center"/>
              <w:rPr>
                <w:rFonts w:ascii="宋体" w:hAnsi="宋体" w:eastAsia="宋体" w:cs="Times New Roman"/>
                <w:bCs/>
                <w:szCs w:val="21"/>
              </w:rPr>
            </w:pPr>
            <w:r>
              <w:rPr>
                <w:rFonts w:ascii="宋体" w:hAnsi="宋体" w:eastAsia="宋体" w:cs="Times New Roman"/>
                <w:bCs/>
                <w:szCs w:val="21"/>
              </w:rPr>
              <w:t>4</w:t>
            </w:r>
          </w:p>
        </w:tc>
        <w:tc>
          <w:tcPr>
            <w:tcW w:w="1155" w:type="dxa"/>
            <w:vAlign w:val="center"/>
          </w:tcPr>
          <w:p w14:paraId="262A6775">
            <w:pPr>
              <w:jc w:val="center"/>
              <w:rPr>
                <w:rFonts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4</w:t>
            </w:r>
            <w:r>
              <w:rPr>
                <w:rFonts w:hint="eastAsia" w:ascii="宋体" w:hAnsi="宋体" w:eastAsia="宋体" w:cs="Times New Roman"/>
                <w:bCs/>
                <w:szCs w:val="21"/>
              </w:rPr>
              <w:t>、</w:t>
            </w:r>
          </w:p>
          <w:p w14:paraId="3C2F43A2">
            <w:pPr>
              <w:rPr>
                <w:rFonts w:ascii="宋体" w:hAnsi="宋体" w:eastAsia="宋体" w:cs="Times New Roman"/>
                <w:bCs/>
                <w:szCs w:val="21"/>
              </w:rPr>
            </w:pPr>
            <w:r>
              <w:rPr>
                <w:rFonts w:hint="eastAsia" w:ascii="宋体" w:hAnsi="宋体" w:eastAsia="宋体" w:cs="Times New Roman"/>
                <w:bCs/>
                <w:szCs w:val="21"/>
              </w:rPr>
              <w:t>7</w:t>
            </w:r>
            <w:r>
              <w:rPr>
                <w:rFonts w:ascii="宋体" w:hAnsi="宋体" w:eastAsia="宋体" w:cs="Times New Roman"/>
                <w:bCs/>
                <w:szCs w:val="21"/>
              </w:rPr>
              <w:t>-3</w:t>
            </w:r>
            <w:r>
              <w:rPr>
                <w:rFonts w:hint="eastAsia" w:ascii="宋体" w:hAnsi="宋体" w:eastAsia="宋体" w:cs="Times New Roman"/>
                <w:bCs/>
                <w:szCs w:val="21"/>
              </w:rPr>
              <w:t>、8</w:t>
            </w:r>
            <w:r>
              <w:rPr>
                <w:rFonts w:ascii="宋体" w:hAnsi="宋体" w:eastAsia="宋体" w:cs="Times New Roman"/>
                <w:bCs/>
                <w:szCs w:val="21"/>
              </w:rPr>
              <w:t>-1</w:t>
            </w:r>
          </w:p>
        </w:tc>
        <w:tc>
          <w:tcPr>
            <w:tcW w:w="840" w:type="dxa"/>
            <w:tcMar>
              <w:left w:w="28" w:type="dxa"/>
              <w:right w:w="28" w:type="dxa"/>
            </w:tcMar>
            <w:vAlign w:val="center"/>
          </w:tcPr>
          <w:p w14:paraId="733FBE4B">
            <w:pPr>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tcMar>
              <w:left w:w="28" w:type="dxa"/>
              <w:right w:w="28" w:type="dxa"/>
            </w:tcMar>
            <w:vAlign w:val="center"/>
          </w:tcPr>
          <w:p w14:paraId="621C6B41">
            <w:pPr>
              <w:jc w:val="center"/>
              <w:rPr>
                <w:rFonts w:ascii="宋体" w:hAnsi="宋体" w:eastAsia="宋体" w:cs="Times New Roman"/>
                <w:bCs/>
                <w:szCs w:val="21"/>
              </w:rPr>
            </w:pPr>
            <w:r>
              <w:rPr>
                <w:rFonts w:ascii="宋体" w:hAnsi="宋体" w:eastAsia="宋体" w:cs="Times New Roman"/>
                <w:bCs/>
                <w:szCs w:val="21"/>
              </w:rPr>
              <w:t>必做</w:t>
            </w:r>
          </w:p>
        </w:tc>
      </w:tr>
      <w:tr w14:paraId="4860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6" w:type="dxa"/>
            <w:vAlign w:val="center"/>
          </w:tcPr>
          <w:p w14:paraId="1CCCDD34">
            <w:pPr>
              <w:jc w:val="center"/>
              <w:rPr>
                <w:rFonts w:ascii="宋体" w:hAnsi="宋体" w:eastAsia="宋体" w:cs="Times New Roman"/>
                <w:bCs/>
                <w:szCs w:val="21"/>
              </w:rPr>
            </w:pPr>
            <w:r>
              <w:rPr>
                <w:rFonts w:hint="eastAsia" w:ascii="宋体" w:hAnsi="宋体" w:eastAsia="宋体" w:cs="Times New Roman"/>
                <w:bCs/>
                <w:szCs w:val="21"/>
              </w:rPr>
              <w:t>3</w:t>
            </w:r>
          </w:p>
        </w:tc>
        <w:tc>
          <w:tcPr>
            <w:tcW w:w="1784" w:type="dxa"/>
            <w:vAlign w:val="center"/>
          </w:tcPr>
          <w:p w14:paraId="09613F8A">
            <w:pPr>
              <w:ind w:firstLine="210" w:firstLineChars="100"/>
              <w:rPr>
                <w:rFonts w:ascii="宋体" w:hAnsi="宋体" w:eastAsia="宋体" w:cs="宋体"/>
                <w:kern w:val="0"/>
                <w:szCs w:val="21"/>
              </w:rPr>
            </w:pPr>
            <w:r>
              <w:rPr>
                <w:rFonts w:hint="eastAsia" w:ascii="宋体" w:hAnsi="宋体" w:eastAsia="宋体" w:cs="宋体"/>
                <w:kern w:val="0"/>
                <w:szCs w:val="21"/>
              </w:rPr>
              <w:t>航模创新设计展示</w:t>
            </w:r>
          </w:p>
        </w:tc>
        <w:tc>
          <w:tcPr>
            <w:tcW w:w="3671" w:type="dxa"/>
            <w:vAlign w:val="center"/>
          </w:tcPr>
          <w:p w14:paraId="6A4037E0">
            <w:pPr>
              <w:ind w:firstLine="422" w:firstLineChars="200"/>
              <w:rPr>
                <w:rFonts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（1）由小组成员对课后的创新设计做成果展示（以PPT的形式）；（2）现场提问与讨论，要求全体学生以答辩的形式参与其中；（3）对每一组的设计与报告做评价和总结，完成成绩记录。</w:t>
            </w:r>
          </w:p>
          <w:p w14:paraId="47E93625">
            <w:pPr>
              <w:ind w:firstLine="422" w:firstLineChars="200"/>
              <w:rPr>
                <w:rFonts w:ascii="宋体" w:hAnsi="宋体" w:eastAsia="宋体" w:cs="宋体"/>
                <w:kern w:val="0"/>
                <w:szCs w:val="21"/>
              </w:rPr>
            </w:pPr>
            <w:r>
              <w:rPr>
                <w:rFonts w:hint="eastAsia" w:ascii="宋体" w:hAnsi="宋体" w:eastAsia="宋体" w:cs="Times New Roman"/>
                <w:b/>
                <w:bCs/>
                <w:szCs w:val="21"/>
              </w:rPr>
              <w:t>实践要求：</w:t>
            </w:r>
            <w:r>
              <w:rPr>
                <w:rFonts w:hint="eastAsia" w:ascii="宋体" w:hAnsi="宋体" w:eastAsia="宋体" w:cs="Times New Roman"/>
                <w:bCs/>
                <w:szCs w:val="21"/>
              </w:rPr>
              <w:t>本节为学生展示环节，训练学生做报告的能力。</w:t>
            </w:r>
            <w:r>
              <w:rPr>
                <w:rFonts w:hint="eastAsia" w:ascii="宋体" w:hAnsi="宋体" w:eastAsia="宋体" w:cs="宋体"/>
                <w:kern w:val="0"/>
                <w:szCs w:val="21"/>
              </w:rPr>
              <w:t xml:space="preserve"> </w:t>
            </w:r>
          </w:p>
        </w:tc>
        <w:tc>
          <w:tcPr>
            <w:tcW w:w="632" w:type="dxa"/>
            <w:vAlign w:val="center"/>
          </w:tcPr>
          <w:p w14:paraId="58D18FF6">
            <w:pPr>
              <w:jc w:val="center"/>
              <w:rPr>
                <w:rFonts w:ascii="宋体" w:hAnsi="宋体" w:eastAsia="宋体" w:cs="Times New Roman"/>
                <w:bCs/>
                <w:szCs w:val="21"/>
              </w:rPr>
            </w:pPr>
            <w:r>
              <w:rPr>
                <w:rFonts w:ascii="宋体" w:hAnsi="宋体" w:eastAsia="宋体" w:cs="Times New Roman"/>
                <w:bCs/>
                <w:szCs w:val="21"/>
              </w:rPr>
              <w:t>4</w:t>
            </w:r>
          </w:p>
        </w:tc>
        <w:tc>
          <w:tcPr>
            <w:tcW w:w="1155" w:type="dxa"/>
            <w:vAlign w:val="center"/>
          </w:tcPr>
          <w:p w14:paraId="20583AEF">
            <w:pPr>
              <w:jc w:val="center"/>
              <w:rPr>
                <w:rFonts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4</w:t>
            </w:r>
            <w:r>
              <w:rPr>
                <w:rFonts w:hint="eastAsia" w:ascii="宋体" w:hAnsi="宋体" w:eastAsia="宋体" w:cs="Times New Roman"/>
                <w:bCs/>
                <w:szCs w:val="21"/>
              </w:rPr>
              <w:t>、</w:t>
            </w:r>
          </w:p>
          <w:p w14:paraId="6BCB26F8">
            <w:pPr>
              <w:jc w:val="center"/>
              <w:rPr>
                <w:rFonts w:ascii="宋体" w:hAnsi="宋体" w:eastAsia="宋体" w:cs="Times New Roman"/>
                <w:bCs/>
                <w:szCs w:val="21"/>
              </w:rPr>
            </w:pPr>
            <w:r>
              <w:rPr>
                <w:rFonts w:hint="eastAsia" w:ascii="宋体" w:hAnsi="宋体" w:eastAsia="宋体" w:cs="Times New Roman"/>
                <w:bCs/>
                <w:szCs w:val="21"/>
              </w:rPr>
              <w:t>7</w:t>
            </w:r>
            <w:r>
              <w:rPr>
                <w:rFonts w:ascii="宋体" w:hAnsi="宋体" w:eastAsia="宋体" w:cs="Times New Roman"/>
                <w:bCs/>
                <w:szCs w:val="21"/>
              </w:rPr>
              <w:t>-3</w:t>
            </w:r>
            <w:r>
              <w:rPr>
                <w:rFonts w:hint="eastAsia" w:ascii="宋体" w:hAnsi="宋体" w:eastAsia="宋体" w:cs="Times New Roman"/>
                <w:bCs/>
                <w:szCs w:val="21"/>
              </w:rPr>
              <w:t>、8</w:t>
            </w:r>
            <w:r>
              <w:rPr>
                <w:rFonts w:ascii="宋体" w:hAnsi="宋体" w:eastAsia="宋体" w:cs="Times New Roman"/>
                <w:bCs/>
                <w:szCs w:val="21"/>
              </w:rPr>
              <w:t>-1</w:t>
            </w:r>
          </w:p>
        </w:tc>
        <w:tc>
          <w:tcPr>
            <w:tcW w:w="840" w:type="dxa"/>
            <w:tcMar>
              <w:left w:w="28" w:type="dxa"/>
              <w:right w:w="28" w:type="dxa"/>
            </w:tcMar>
            <w:vAlign w:val="center"/>
          </w:tcPr>
          <w:p w14:paraId="63F62ED8">
            <w:pPr>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tcMar>
              <w:left w:w="28" w:type="dxa"/>
              <w:right w:w="28" w:type="dxa"/>
            </w:tcMar>
            <w:vAlign w:val="center"/>
          </w:tcPr>
          <w:p w14:paraId="2E448DCB">
            <w:pPr>
              <w:jc w:val="center"/>
              <w:rPr>
                <w:rFonts w:ascii="宋体" w:hAnsi="宋体" w:eastAsia="宋体" w:cs="Times New Roman"/>
                <w:bCs/>
                <w:szCs w:val="21"/>
              </w:rPr>
            </w:pPr>
            <w:r>
              <w:rPr>
                <w:rFonts w:ascii="宋体" w:hAnsi="宋体" w:eastAsia="宋体" w:cs="Times New Roman"/>
                <w:bCs/>
                <w:szCs w:val="21"/>
              </w:rPr>
              <w:t>必做</w:t>
            </w:r>
          </w:p>
        </w:tc>
      </w:tr>
      <w:tr w14:paraId="0BF0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636" w:type="dxa"/>
            <w:vAlign w:val="center"/>
          </w:tcPr>
          <w:p w14:paraId="66774748">
            <w:pPr>
              <w:jc w:val="center"/>
              <w:rPr>
                <w:rFonts w:ascii="宋体" w:hAnsi="宋体" w:eastAsia="宋体" w:cs="Times New Roman"/>
                <w:bCs/>
                <w:szCs w:val="21"/>
              </w:rPr>
            </w:pPr>
            <w:r>
              <w:rPr>
                <w:rFonts w:hint="eastAsia" w:ascii="宋体" w:hAnsi="宋体" w:eastAsia="宋体" w:cs="Times New Roman"/>
                <w:bCs/>
                <w:szCs w:val="21"/>
              </w:rPr>
              <w:t>4</w:t>
            </w:r>
          </w:p>
        </w:tc>
        <w:tc>
          <w:tcPr>
            <w:tcW w:w="1784" w:type="dxa"/>
            <w:vAlign w:val="center"/>
          </w:tcPr>
          <w:p w14:paraId="23083346">
            <w:pPr>
              <w:ind w:firstLine="210" w:firstLineChars="100"/>
              <w:rPr>
                <w:rFonts w:ascii="宋体" w:hAnsi="宋体" w:eastAsia="宋体" w:cs="宋体"/>
                <w:kern w:val="0"/>
                <w:szCs w:val="21"/>
              </w:rPr>
            </w:pPr>
            <w:r>
              <w:rPr>
                <w:rFonts w:hint="eastAsia" w:ascii="宋体" w:hAnsi="宋体" w:eastAsia="宋体" w:cs="宋体"/>
                <w:kern w:val="0"/>
                <w:szCs w:val="21"/>
              </w:rPr>
              <w:t>航空模型制作实践</w:t>
            </w:r>
          </w:p>
        </w:tc>
        <w:tc>
          <w:tcPr>
            <w:tcW w:w="3671" w:type="dxa"/>
            <w:vAlign w:val="center"/>
          </w:tcPr>
          <w:p w14:paraId="2726CD33">
            <w:pPr>
              <w:ind w:firstLine="422" w:firstLineChars="200"/>
              <w:rPr>
                <w:rFonts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（1）复习航模制作的基本步骤和要点；（2）指导学生进行实践制作；（3）指导学生进行组件装配；（5）对学生制作作品进行点评，完成成绩记录；（4）实践过程中的安全问题及注意事项。</w:t>
            </w:r>
          </w:p>
          <w:p w14:paraId="2F754F76">
            <w:pPr>
              <w:ind w:firstLine="422" w:firstLineChars="200"/>
              <w:rPr>
                <w:rFonts w:ascii="宋体" w:hAnsi="宋体" w:eastAsia="宋体" w:cs="宋体"/>
                <w:kern w:val="0"/>
                <w:szCs w:val="21"/>
              </w:rPr>
            </w:pPr>
            <w:r>
              <w:rPr>
                <w:rFonts w:hint="eastAsia" w:ascii="宋体" w:hAnsi="宋体" w:eastAsia="宋体" w:cs="Times New Roman"/>
                <w:b/>
                <w:bCs/>
                <w:szCs w:val="21"/>
              </w:rPr>
              <w:t>实践要求：</w:t>
            </w:r>
            <w:r>
              <w:rPr>
                <w:rFonts w:hint="eastAsia" w:ascii="宋体" w:hAnsi="宋体" w:eastAsia="宋体" w:cs="Times New Roman"/>
                <w:bCs/>
                <w:szCs w:val="21"/>
              </w:rPr>
              <w:t>本课程的实践环节要求学生以小组为单位，根据课堂讲授的知识，按照小组的创新设计或者常规设计制作一个完整的模型飞机；该环节充分利用工程实训中心的设备和场地，锻炼学生的动手能力。</w:t>
            </w:r>
          </w:p>
        </w:tc>
        <w:tc>
          <w:tcPr>
            <w:tcW w:w="632" w:type="dxa"/>
            <w:vAlign w:val="center"/>
          </w:tcPr>
          <w:p w14:paraId="1DB5AF0C">
            <w:pPr>
              <w:jc w:val="center"/>
              <w:rPr>
                <w:rFonts w:ascii="宋体" w:hAnsi="宋体" w:eastAsia="宋体" w:cs="Times New Roman"/>
                <w:bCs/>
                <w:szCs w:val="21"/>
              </w:rPr>
            </w:pPr>
            <w:r>
              <w:rPr>
                <w:rFonts w:ascii="宋体" w:hAnsi="宋体" w:eastAsia="宋体" w:cs="Times New Roman"/>
                <w:bCs/>
                <w:szCs w:val="21"/>
              </w:rPr>
              <w:t>6</w:t>
            </w:r>
          </w:p>
        </w:tc>
        <w:tc>
          <w:tcPr>
            <w:tcW w:w="1155" w:type="dxa"/>
            <w:vAlign w:val="center"/>
          </w:tcPr>
          <w:p w14:paraId="63724B10">
            <w:pPr>
              <w:ind w:firstLine="420" w:firstLineChars="200"/>
              <w:rPr>
                <w:rFonts w:ascii="宋体" w:hAnsi="宋体" w:eastAsia="宋体" w:cs="Times New Roman"/>
                <w:bCs/>
                <w:szCs w:val="21"/>
              </w:rPr>
            </w:pPr>
            <w:r>
              <w:rPr>
                <w:rFonts w:hint="eastAsia" w:ascii="宋体" w:hAnsi="宋体" w:eastAsia="宋体" w:cs="Times New Roman"/>
                <w:bCs/>
                <w:szCs w:val="21"/>
              </w:rPr>
              <w:t xml:space="preserve"> 3-4、4-4、</w:t>
            </w:r>
          </w:p>
          <w:p w14:paraId="4EEFAD9C">
            <w:pPr>
              <w:jc w:val="center"/>
              <w:rPr>
                <w:rFonts w:ascii="宋体" w:hAnsi="宋体" w:eastAsia="宋体" w:cs="Times New Roman"/>
                <w:bCs/>
                <w:szCs w:val="21"/>
              </w:rPr>
            </w:pPr>
            <w:r>
              <w:rPr>
                <w:rFonts w:hint="eastAsia" w:ascii="宋体" w:hAnsi="宋体" w:eastAsia="宋体" w:cs="Times New Roman"/>
                <w:bCs/>
                <w:szCs w:val="21"/>
              </w:rPr>
              <w:t>7-3、8-1</w:t>
            </w:r>
          </w:p>
        </w:tc>
        <w:tc>
          <w:tcPr>
            <w:tcW w:w="840" w:type="dxa"/>
            <w:tcMar>
              <w:left w:w="28" w:type="dxa"/>
              <w:right w:w="28" w:type="dxa"/>
            </w:tcMar>
            <w:vAlign w:val="center"/>
          </w:tcPr>
          <w:p w14:paraId="3242606C">
            <w:pPr>
              <w:jc w:val="center"/>
              <w:rPr>
                <w:rFonts w:ascii="宋体" w:hAnsi="宋体" w:eastAsia="宋体" w:cs="Times New Roman"/>
                <w:bCs/>
                <w:szCs w:val="21"/>
              </w:rPr>
            </w:pPr>
            <w:r>
              <w:rPr>
                <w:rFonts w:hint="eastAsia" w:ascii="宋体" w:hAnsi="宋体" w:eastAsia="宋体" w:cs="Times New Roman"/>
                <w:bCs/>
                <w:szCs w:val="21"/>
              </w:rPr>
              <w:t>设计性</w:t>
            </w:r>
          </w:p>
        </w:tc>
        <w:tc>
          <w:tcPr>
            <w:tcW w:w="630" w:type="dxa"/>
            <w:tcMar>
              <w:left w:w="28" w:type="dxa"/>
              <w:right w:w="28" w:type="dxa"/>
            </w:tcMar>
            <w:vAlign w:val="center"/>
          </w:tcPr>
          <w:p w14:paraId="105797E5">
            <w:pPr>
              <w:jc w:val="center"/>
              <w:rPr>
                <w:rFonts w:ascii="宋体" w:hAnsi="宋体" w:eastAsia="宋体" w:cs="Times New Roman"/>
                <w:bCs/>
                <w:szCs w:val="21"/>
              </w:rPr>
            </w:pPr>
            <w:r>
              <w:rPr>
                <w:rFonts w:ascii="宋体" w:hAnsi="宋体" w:eastAsia="宋体" w:cs="Times New Roman"/>
                <w:bCs/>
                <w:szCs w:val="21"/>
              </w:rPr>
              <w:t>必做</w:t>
            </w:r>
          </w:p>
        </w:tc>
      </w:tr>
    </w:tbl>
    <w:p w14:paraId="51AB982C">
      <w:pPr>
        <w:spacing w:line="360" w:lineRule="auto"/>
        <w:rPr>
          <w:rFonts w:ascii="宋体" w:hAnsi="宋体" w:eastAsia="宋体" w:cs="Times New Roman"/>
          <w:b/>
          <w:sz w:val="28"/>
          <w:szCs w:val="28"/>
        </w:rPr>
      </w:pPr>
      <w:r>
        <w:rPr>
          <w:rFonts w:ascii="宋体" w:hAnsi="宋体" w:eastAsia="宋体" w:cs="Times New Roman"/>
          <w:b/>
          <w:sz w:val="28"/>
          <w:szCs w:val="28"/>
        </w:rPr>
        <w:t xml:space="preserve">   </w:t>
      </w:r>
    </w:p>
    <w:p w14:paraId="5FBD0E64">
      <w:pPr>
        <w:spacing w:line="360" w:lineRule="auto"/>
        <w:rPr>
          <w:rFonts w:ascii="宋体" w:hAnsi="宋体" w:eastAsia="宋体" w:cs="Times New Roman"/>
          <w:b/>
          <w:sz w:val="28"/>
          <w:szCs w:val="28"/>
        </w:rPr>
      </w:pPr>
      <w:r>
        <w:rPr>
          <w:rFonts w:hint="eastAsia" w:ascii="宋体" w:hAnsi="宋体" w:eastAsia="宋体" w:cs="Times New Roman"/>
          <w:b/>
          <w:sz w:val="28"/>
          <w:szCs w:val="28"/>
        </w:rPr>
        <w:t xml:space="preserve">    </w:t>
      </w:r>
      <w:bookmarkStart w:id="266" w:name="_Toc29395645"/>
      <w:r>
        <w:rPr>
          <w:rFonts w:hint="eastAsia" w:ascii="宋体" w:hAnsi="宋体" w:eastAsia="宋体" w:cs="Times New Roman"/>
          <w:b/>
          <w:sz w:val="28"/>
          <w:szCs w:val="28"/>
        </w:rPr>
        <w:t>五、课程实施</w:t>
      </w:r>
      <w:bookmarkEnd w:id="266"/>
    </w:p>
    <w:p w14:paraId="6524A03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积极进行课堂教学改革，采用讲授法、案例教学法、现场教学法等进行教学。充分利用视频、QQ群、毕博网络课程等手段辅助教学，缩短航模制作与训练理论教学与实践应用的距离，提高教学的针对性和实效性。</w:t>
      </w:r>
    </w:p>
    <w:p w14:paraId="3D37F0B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（二）加强课程实践教学，组织学生深入小学进行观摩</w:t>
      </w:r>
      <w:r>
        <w:rPr>
          <w:rFonts w:ascii="宋体" w:hAnsi="宋体" w:eastAsia="宋体" w:cs="Times New Roman"/>
          <w:sz w:val="24"/>
        </w:rPr>
        <w:t>学习</w:t>
      </w:r>
      <w:r>
        <w:rPr>
          <w:rFonts w:hint="eastAsia" w:ascii="宋体" w:hAnsi="宋体" w:eastAsia="宋体" w:cs="Times New Roman"/>
          <w:sz w:val="24"/>
        </w:rPr>
        <w:t>，加深学生对学前儿童观察类科学教育、</w:t>
      </w:r>
      <w:r>
        <w:rPr>
          <w:rFonts w:ascii="宋体" w:hAnsi="宋体" w:eastAsia="宋体" w:cs="Times New Roman"/>
          <w:sz w:val="24"/>
        </w:rPr>
        <w:t>实验操作类科学教育</w:t>
      </w:r>
      <w:r>
        <w:rPr>
          <w:rFonts w:hint="eastAsia" w:ascii="宋体" w:hAnsi="宋体" w:eastAsia="宋体" w:cs="Times New Roman"/>
          <w:sz w:val="24"/>
        </w:rPr>
        <w:t>、</w:t>
      </w:r>
      <w:r>
        <w:rPr>
          <w:rFonts w:ascii="宋体" w:hAnsi="宋体" w:eastAsia="宋体" w:cs="Times New Roman"/>
          <w:sz w:val="24"/>
        </w:rPr>
        <w:t>技术制作类科学教育</w:t>
      </w:r>
      <w:r>
        <w:rPr>
          <w:rFonts w:hint="eastAsia" w:ascii="宋体" w:hAnsi="宋体" w:eastAsia="宋体" w:cs="Times New Roman"/>
          <w:sz w:val="24"/>
        </w:rPr>
        <w:t>和小学</w:t>
      </w:r>
      <w:r>
        <w:rPr>
          <w:rFonts w:ascii="宋体" w:hAnsi="宋体" w:eastAsia="宋体" w:cs="Times New Roman"/>
          <w:sz w:val="24"/>
        </w:rPr>
        <w:t>科学教育活动</w:t>
      </w:r>
      <w:r>
        <w:rPr>
          <w:rFonts w:hint="eastAsia" w:ascii="宋体" w:hAnsi="宋体" w:eastAsia="宋体" w:cs="Times New Roman"/>
          <w:sz w:val="24"/>
        </w:rPr>
        <w:t>讲授内容的理解，培养学生的创新设计能力、教学实施能力和教育评价能力。</w:t>
      </w:r>
    </w:p>
    <w:p w14:paraId="6164CB84">
      <w:pPr>
        <w:spacing w:line="360" w:lineRule="auto"/>
        <w:ind w:firstLine="480" w:firstLineChars="200"/>
        <w:rPr>
          <w:rFonts w:ascii="宋体" w:hAnsi="宋体" w:eastAsia="宋体" w:cs="Times New Roman"/>
          <w:kern w:val="0"/>
          <w:sz w:val="24"/>
        </w:rPr>
      </w:pPr>
      <w:r>
        <w:rPr>
          <w:rFonts w:hint="eastAsia" w:ascii="宋体" w:hAnsi="宋体" w:eastAsia="宋体" w:cs="Times New Roman"/>
          <w:sz w:val="24"/>
        </w:rPr>
        <w:t>（三）采用小组合作学习方式，</w:t>
      </w:r>
      <w:r>
        <w:rPr>
          <w:rFonts w:hint="eastAsia" w:ascii="宋体" w:hAnsi="宋体" w:eastAsia="宋体" w:cs="Times New Roman"/>
          <w:kern w:val="0"/>
          <w:sz w:val="24"/>
        </w:rPr>
        <w:t>让学生在小组合作学习过程中完成不同类型学航模制作与训练活动、科学游戏活动、区域科学教育活动的设计与指导等工作，培养学生团队协作精神，掌握沟通合作技能，运用批判性思维方法，完成</w:t>
      </w:r>
      <w:r>
        <w:rPr>
          <w:rFonts w:ascii="宋体" w:hAnsi="宋体" w:eastAsia="宋体" w:cs="Times New Roman"/>
          <w:kern w:val="0"/>
          <w:sz w:val="24"/>
        </w:rPr>
        <w:t>学方</w:t>
      </w:r>
      <w:r>
        <w:rPr>
          <w:rFonts w:hint="eastAsia" w:ascii="宋体" w:hAnsi="宋体" w:eastAsia="宋体" w:cs="Times New Roman"/>
          <w:kern w:val="0"/>
          <w:sz w:val="24"/>
        </w:rPr>
        <w:t>案</w:t>
      </w:r>
      <w:r>
        <w:rPr>
          <w:rFonts w:ascii="宋体" w:hAnsi="宋体" w:eastAsia="宋体" w:cs="Times New Roman"/>
          <w:kern w:val="0"/>
          <w:sz w:val="24"/>
        </w:rPr>
        <w:t>和教育评价活动。</w:t>
      </w:r>
    </w:p>
    <w:p w14:paraId="08E2572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（四）紧密结合学前教育课程改革最新研究成果，及时调整和补充学科前沿知识。</w:t>
      </w:r>
    </w:p>
    <w:p w14:paraId="2E73E9FF">
      <w:pPr>
        <w:spacing w:line="360" w:lineRule="auto"/>
        <w:ind w:firstLine="482" w:firstLineChars="200"/>
        <w:rPr>
          <w:rFonts w:ascii="宋体" w:hAnsi="宋体" w:eastAsia="宋体" w:cs="Times New Roman"/>
          <w:b/>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30"/>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86"/>
        <w:gridCol w:w="7477"/>
      </w:tblGrid>
      <w:tr w14:paraId="2871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564" w:type="dxa"/>
            <w:gridSpan w:val="2"/>
            <w:tcBorders>
              <w:top w:val="single" w:color="auto" w:sz="8" w:space="0"/>
              <w:left w:val="single" w:color="auto" w:sz="8" w:space="0"/>
              <w:right w:val="single" w:color="auto" w:sz="8" w:space="0"/>
            </w:tcBorders>
            <w:tcMar>
              <w:left w:w="28" w:type="dxa"/>
              <w:right w:w="28" w:type="dxa"/>
            </w:tcMar>
            <w:vAlign w:val="center"/>
          </w:tcPr>
          <w:p w14:paraId="13CB0321">
            <w:pPr>
              <w:jc w:val="center"/>
              <w:rPr>
                <w:rFonts w:ascii="宋体" w:hAnsi="宋体" w:eastAsia="宋体" w:cs="Times New Roman"/>
                <w:b/>
                <w:szCs w:val="21"/>
              </w:rPr>
            </w:pPr>
            <w:r>
              <w:rPr>
                <w:rFonts w:ascii="宋体" w:hAnsi="宋体" w:eastAsia="宋体" w:cs="Times New Roman"/>
                <w:b/>
                <w:bCs/>
                <w:szCs w:val="21"/>
              </w:rPr>
              <w:t>主要教学环节</w:t>
            </w:r>
          </w:p>
        </w:tc>
        <w:tc>
          <w:tcPr>
            <w:tcW w:w="7477" w:type="dxa"/>
            <w:tcBorders>
              <w:top w:val="single" w:color="auto" w:sz="8" w:space="0"/>
              <w:left w:val="single" w:color="auto" w:sz="8" w:space="0"/>
              <w:right w:val="single" w:color="auto" w:sz="8" w:space="0"/>
            </w:tcBorders>
            <w:vAlign w:val="center"/>
          </w:tcPr>
          <w:p w14:paraId="0BED95D4">
            <w:pPr>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2587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578" w:type="dxa"/>
            <w:tcBorders>
              <w:left w:val="single" w:color="auto" w:sz="8" w:space="0"/>
            </w:tcBorders>
            <w:vAlign w:val="center"/>
          </w:tcPr>
          <w:p w14:paraId="4BFB9085">
            <w:pPr>
              <w:jc w:val="center"/>
              <w:rPr>
                <w:rFonts w:ascii="宋体" w:hAnsi="宋体" w:eastAsia="宋体" w:cs="Times New Roman"/>
                <w:szCs w:val="21"/>
              </w:rPr>
            </w:pPr>
            <w:r>
              <w:rPr>
                <w:rFonts w:ascii="宋体" w:hAnsi="宋体" w:eastAsia="宋体" w:cs="Times New Roman"/>
                <w:szCs w:val="21"/>
              </w:rPr>
              <w:t>1</w:t>
            </w:r>
          </w:p>
        </w:tc>
        <w:tc>
          <w:tcPr>
            <w:tcW w:w="986" w:type="dxa"/>
            <w:tcMar>
              <w:left w:w="28" w:type="dxa"/>
              <w:right w:w="28" w:type="dxa"/>
            </w:tcMar>
            <w:vAlign w:val="center"/>
          </w:tcPr>
          <w:p w14:paraId="43FDC2E2">
            <w:pPr>
              <w:jc w:val="center"/>
              <w:rPr>
                <w:rFonts w:ascii="宋体" w:hAnsi="宋体" w:eastAsia="宋体" w:cs="Times New Roman"/>
                <w:szCs w:val="21"/>
              </w:rPr>
            </w:pPr>
            <w:r>
              <w:rPr>
                <w:rFonts w:ascii="宋体" w:hAnsi="宋体" w:eastAsia="宋体" w:cs="Times New Roman"/>
                <w:szCs w:val="21"/>
              </w:rPr>
              <w:t>备课</w:t>
            </w:r>
          </w:p>
        </w:tc>
        <w:tc>
          <w:tcPr>
            <w:tcW w:w="7477" w:type="dxa"/>
            <w:tcBorders>
              <w:right w:val="single" w:color="auto" w:sz="8" w:space="0"/>
            </w:tcBorders>
            <w:vAlign w:val="center"/>
          </w:tcPr>
          <w:p w14:paraId="48D072D7">
            <w:pPr>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53EE6DBE">
            <w:pPr>
              <w:rPr>
                <w:rFonts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2ED5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78" w:type="dxa"/>
            <w:tcBorders>
              <w:left w:val="single" w:color="auto" w:sz="8" w:space="0"/>
            </w:tcBorders>
            <w:vAlign w:val="center"/>
          </w:tcPr>
          <w:p w14:paraId="25AA9654">
            <w:pPr>
              <w:jc w:val="center"/>
              <w:rPr>
                <w:rFonts w:ascii="宋体" w:hAnsi="宋体" w:eastAsia="宋体" w:cs="Times New Roman"/>
                <w:szCs w:val="21"/>
              </w:rPr>
            </w:pPr>
            <w:r>
              <w:rPr>
                <w:rFonts w:ascii="宋体" w:hAnsi="宋体" w:eastAsia="宋体" w:cs="Times New Roman"/>
                <w:szCs w:val="21"/>
              </w:rPr>
              <w:t>2</w:t>
            </w:r>
          </w:p>
        </w:tc>
        <w:tc>
          <w:tcPr>
            <w:tcW w:w="986" w:type="dxa"/>
            <w:tcMar>
              <w:left w:w="28" w:type="dxa"/>
              <w:right w:w="28" w:type="dxa"/>
            </w:tcMar>
            <w:vAlign w:val="center"/>
          </w:tcPr>
          <w:p w14:paraId="30D27DFC">
            <w:pPr>
              <w:jc w:val="center"/>
              <w:rPr>
                <w:rFonts w:ascii="宋体" w:hAnsi="宋体" w:eastAsia="宋体" w:cs="Times New Roman"/>
                <w:szCs w:val="21"/>
              </w:rPr>
            </w:pPr>
            <w:r>
              <w:rPr>
                <w:rFonts w:ascii="宋体" w:hAnsi="宋体" w:eastAsia="宋体" w:cs="Times New Roman"/>
                <w:szCs w:val="21"/>
              </w:rPr>
              <w:t>讲授</w:t>
            </w:r>
          </w:p>
        </w:tc>
        <w:tc>
          <w:tcPr>
            <w:tcW w:w="7477" w:type="dxa"/>
            <w:tcBorders>
              <w:right w:val="single" w:color="auto" w:sz="8" w:space="0"/>
            </w:tcBorders>
            <w:vAlign w:val="center"/>
          </w:tcPr>
          <w:p w14:paraId="02029D78">
            <w:pPr>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625C2094">
            <w:pPr>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7BCBA1CE">
            <w:pPr>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教学内容充实，不断充实最新研究成果；</w:t>
            </w:r>
          </w:p>
          <w:p w14:paraId="600B6873">
            <w:pPr>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严格执行计划，教学进度适宜；</w:t>
            </w:r>
          </w:p>
          <w:p w14:paraId="2CE7266E">
            <w:pPr>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课堂教学信息充分，注重理论联系实际；</w:t>
            </w:r>
          </w:p>
          <w:p w14:paraId="5EE2B47F">
            <w:pPr>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注重启发学生思维，培养学生的教学能力；</w:t>
            </w:r>
          </w:p>
          <w:p w14:paraId="07DF7D6C">
            <w:pPr>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面向全体基础上因材施教，灵活运用多种教学方法；</w:t>
            </w:r>
          </w:p>
          <w:p w14:paraId="33143BA8">
            <w:pPr>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4"/>
              </w:rPr>
              <w:t>教学语言规范，为学生教育教学做好表率；</w:t>
            </w:r>
          </w:p>
          <w:p w14:paraId="41309AB6">
            <w:pPr>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4"/>
              </w:rPr>
              <w:t>教学条理清楚，教学思路逻辑严密；</w:t>
            </w:r>
          </w:p>
          <w:p w14:paraId="7C8EDDB8">
            <w:pPr>
              <w:rPr>
                <w:rFonts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4"/>
              </w:rPr>
              <w:t>充分运用现代化教学手段，教学技术熟练；</w:t>
            </w:r>
          </w:p>
          <w:p w14:paraId="75C0B6D1">
            <w:pPr>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4"/>
              </w:rPr>
              <w:t>课堂教学要重点突出，难点突破；</w:t>
            </w:r>
          </w:p>
          <w:p w14:paraId="62207002">
            <w:pPr>
              <w:rPr>
                <w:rFonts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4"/>
              </w:rPr>
              <w:t>注重师生互动，形成良好的课堂氛围。</w:t>
            </w:r>
          </w:p>
        </w:tc>
      </w:tr>
      <w:tr w14:paraId="7461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jc w:val="center"/>
        </w:trPr>
        <w:tc>
          <w:tcPr>
            <w:tcW w:w="578" w:type="dxa"/>
            <w:tcBorders>
              <w:left w:val="single" w:color="auto" w:sz="8" w:space="0"/>
            </w:tcBorders>
            <w:vAlign w:val="center"/>
          </w:tcPr>
          <w:p w14:paraId="2297A778">
            <w:pPr>
              <w:jc w:val="center"/>
              <w:rPr>
                <w:rFonts w:ascii="宋体" w:hAnsi="宋体" w:eastAsia="宋体" w:cs="Times New Roman"/>
                <w:szCs w:val="21"/>
              </w:rPr>
            </w:pPr>
            <w:r>
              <w:rPr>
                <w:rFonts w:ascii="宋体" w:hAnsi="宋体" w:eastAsia="宋体" w:cs="Times New Roman"/>
                <w:szCs w:val="21"/>
              </w:rPr>
              <w:t>3</w:t>
            </w:r>
          </w:p>
        </w:tc>
        <w:tc>
          <w:tcPr>
            <w:tcW w:w="986" w:type="dxa"/>
            <w:tcMar>
              <w:left w:w="28" w:type="dxa"/>
              <w:right w:w="28" w:type="dxa"/>
            </w:tcMar>
            <w:vAlign w:val="center"/>
          </w:tcPr>
          <w:p w14:paraId="56EED08D">
            <w:pPr>
              <w:jc w:val="center"/>
              <w:rPr>
                <w:rFonts w:ascii="宋体" w:hAnsi="宋体" w:eastAsia="宋体" w:cs="Times New Roman"/>
                <w:szCs w:val="21"/>
              </w:rPr>
            </w:pPr>
            <w:r>
              <w:rPr>
                <w:rFonts w:ascii="宋体" w:hAnsi="宋体" w:eastAsia="宋体" w:cs="Times New Roman"/>
                <w:szCs w:val="21"/>
              </w:rPr>
              <w:t>作业布置与批改</w:t>
            </w:r>
          </w:p>
        </w:tc>
        <w:tc>
          <w:tcPr>
            <w:tcW w:w="7477" w:type="dxa"/>
            <w:tcBorders>
              <w:right w:val="single" w:color="auto" w:sz="8" w:space="0"/>
            </w:tcBorders>
            <w:vAlign w:val="center"/>
          </w:tcPr>
          <w:p w14:paraId="517662D8">
            <w:pPr>
              <w:rPr>
                <w:rFonts w:ascii="宋体" w:hAnsi="宋体" w:eastAsia="宋体" w:cs="Times New Roman"/>
                <w:szCs w:val="21"/>
              </w:rPr>
            </w:pPr>
            <w:r>
              <w:rPr>
                <w:rFonts w:ascii="宋体" w:hAnsi="宋体" w:eastAsia="宋体" w:cs="Times New Roman"/>
                <w:szCs w:val="21"/>
              </w:rPr>
              <w:t>学生必须完成</w:t>
            </w:r>
            <w:r>
              <w:rPr>
                <w:rFonts w:hint="eastAsia" w:ascii="宋体" w:hAnsi="宋体" w:eastAsia="宋体" w:cs="Times New Roman"/>
                <w:szCs w:val="21"/>
              </w:rPr>
              <w:t>规定</w:t>
            </w:r>
            <w:r>
              <w:rPr>
                <w:rFonts w:ascii="宋体" w:hAnsi="宋体" w:eastAsia="宋体" w:cs="Times New Roman"/>
                <w:szCs w:val="21"/>
              </w:rPr>
              <w:t>数量的作业</w:t>
            </w:r>
            <w:r>
              <w:rPr>
                <w:rFonts w:hint="eastAsia" w:ascii="宋体" w:hAnsi="宋体" w:eastAsia="宋体" w:cs="Times New Roman"/>
                <w:szCs w:val="21"/>
              </w:rPr>
              <w:t>，</w:t>
            </w:r>
            <w:r>
              <w:rPr>
                <w:rFonts w:ascii="宋体" w:hAnsi="宋体" w:eastAsia="宋体" w:cs="Times New Roman"/>
                <w:szCs w:val="21"/>
              </w:rPr>
              <w:t>作业必须达到以下基本要求：</w:t>
            </w:r>
          </w:p>
          <w:p w14:paraId="38A496F1">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按时按量完成作业，不缺交，不抄袭</w:t>
            </w:r>
            <w:r>
              <w:rPr>
                <w:rFonts w:hint="eastAsia" w:ascii="宋体" w:hAnsi="宋体" w:eastAsia="宋体" w:cs="Times New Roman"/>
                <w:szCs w:val="21"/>
              </w:rPr>
              <w:t>。</w:t>
            </w:r>
          </w:p>
          <w:p w14:paraId="33BF0A01">
            <w:pPr>
              <w:rPr>
                <w:rFonts w:ascii="宋体" w:hAnsi="宋体" w:eastAsia="宋体" w:cs="Times New Roman"/>
                <w:szCs w:val="21"/>
              </w:rPr>
            </w:pPr>
            <w:r>
              <w:rPr>
                <w:rFonts w:hint="eastAsia" w:ascii="宋体" w:hAnsi="宋体" w:eastAsia="宋体" w:cs="Times New Roman"/>
                <w:szCs w:val="21"/>
              </w:rPr>
              <w:t>（2）书写</w:t>
            </w:r>
            <w:r>
              <w:rPr>
                <w:rFonts w:ascii="宋体" w:hAnsi="宋体" w:eastAsia="宋体" w:cs="Times New Roman"/>
                <w:szCs w:val="21"/>
              </w:rPr>
              <w:t>规范</w:t>
            </w:r>
            <w:r>
              <w:rPr>
                <w:rFonts w:hint="eastAsia" w:ascii="宋体" w:hAnsi="宋体" w:eastAsia="宋体" w:cs="Times New Roman"/>
                <w:szCs w:val="21"/>
              </w:rPr>
              <w:t>、</w:t>
            </w:r>
            <w:r>
              <w:rPr>
                <w:rFonts w:ascii="宋体" w:hAnsi="宋体" w:eastAsia="宋体" w:cs="Times New Roman"/>
                <w:szCs w:val="21"/>
              </w:rPr>
              <w:t>教学设计方案格式规范、清晰</w:t>
            </w:r>
            <w:r>
              <w:rPr>
                <w:rFonts w:hint="eastAsia" w:ascii="宋体" w:hAnsi="宋体" w:eastAsia="宋体" w:cs="Times New Roman"/>
                <w:szCs w:val="21"/>
              </w:rPr>
              <w:t>。</w:t>
            </w:r>
          </w:p>
          <w:p w14:paraId="2D46CBF7">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教学设计理念先进，教学目标适宜，教学方法灵活，教学组织形式多样、教学过程紧凑，教学准备充分。</w:t>
            </w:r>
          </w:p>
          <w:p w14:paraId="7A430077">
            <w:pPr>
              <w:rPr>
                <w:rFonts w:ascii="宋体" w:hAnsi="宋体" w:eastAsia="宋体" w:cs="Times New Roman"/>
                <w:szCs w:val="21"/>
              </w:rPr>
            </w:pP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讲评作业要求如下：</w:t>
            </w:r>
          </w:p>
          <w:p w14:paraId="1578CEB6">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学生的作业要</w:t>
            </w:r>
            <w:r>
              <w:rPr>
                <w:rFonts w:hint="eastAsia" w:ascii="宋体" w:hAnsi="宋体" w:eastAsia="宋体" w:cs="Times New Roman"/>
                <w:szCs w:val="21"/>
              </w:rPr>
              <w:t>按时</w:t>
            </w:r>
            <w:r>
              <w:rPr>
                <w:rFonts w:ascii="宋体" w:hAnsi="宋体" w:eastAsia="宋体" w:cs="Times New Roman"/>
                <w:szCs w:val="21"/>
              </w:rPr>
              <w:t>全</w:t>
            </w:r>
            <w:r>
              <w:rPr>
                <w:rFonts w:hint="eastAsia" w:ascii="宋体" w:hAnsi="宋体" w:eastAsia="宋体" w:cs="Times New Roman"/>
                <w:szCs w:val="21"/>
              </w:rPr>
              <w:t>部</w:t>
            </w:r>
            <w:r>
              <w:rPr>
                <w:rFonts w:ascii="宋体" w:hAnsi="宋体" w:eastAsia="宋体" w:cs="Times New Roman"/>
                <w:szCs w:val="21"/>
              </w:rPr>
              <w:t>批改，并</w:t>
            </w:r>
            <w:r>
              <w:rPr>
                <w:rFonts w:hint="eastAsia" w:ascii="宋体" w:hAnsi="宋体" w:eastAsia="宋体" w:cs="Times New Roman"/>
                <w:szCs w:val="21"/>
              </w:rPr>
              <w:t>及时进行</w:t>
            </w:r>
            <w:r>
              <w:rPr>
                <w:rFonts w:ascii="宋体" w:hAnsi="宋体" w:eastAsia="宋体" w:cs="Times New Roman"/>
                <w:szCs w:val="21"/>
              </w:rPr>
              <w:t>讲评</w:t>
            </w:r>
            <w:r>
              <w:rPr>
                <w:rFonts w:hint="eastAsia" w:ascii="宋体" w:hAnsi="宋体" w:eastAsia="宋体" w:cs="Times New Roman"/>
                <w:szCs w:val="21"/>
              </w:rPr>
              <w:t>。</w:t>
            </w:r>
          </w:p>
          <w:p w14:paraId="2B4988D7">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讲评作业要认真、细致，按百分制评定成绩并写明日期</w:t>
            </w:r>
            <w:r>
              <w:rPr>
                <w:rFonts w:hint="eastAsia" w:ascii="宋体" w:hAnsi="宋体" w:eastAsia="宋体" w:cs="Times New Roman"/>
                <w:szCs w:val="21"/>
              </w:rPr>
              <w:t>。</w:t>
            </w:r>
          </w:p>
          <w:p w14:paraId="6AB77DF7">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学生作业平均成绩</w:t>
            </w:r>
            <w:r>
              <w:rPr>
                <w:rFonts w:hint="eastAsia" w:ascii="宋体" w:hAnsi="宋体" w:eastAsia="宋体" w:cs="Times New Roman"/>
                <w:szCs w:val="21"/>
              </w:rPr>
              <w:t>应</w:t>
            </w:r>
            <w:r>
              <w:rPr>
                <w:rFonts w:ascii="宋体" w:hAnsi="宋体" w:eastAsia="宋体" w:cs="Times New Roman"/>
                <w:szCs w:val="21"/>
              </w:rPr>
              <w:t>作为本课程总评成绩中平时成绩的重要组成部分。</w:t>
            </w:r>
          </w:p>
        </w:tc>
      </w:tr>
      <w:tr w14:paraId="3485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78" w:type="dxa"/>
            <w:tcBorders>
              <w:left w:val="single" w:color="auto" w:sz="8" w:space="0"/>
            </w:tcBorders>
            <w:vAlign w:val="center"/>
          </w:tcPr>
          <w:p w14:paraId="2D30765B">
            <w:pPr>
              <w:jc w:val="center"/>
              <w:rPr>
                <w:rFonts w:ascii="宋体" w:hAnsi="宋体" w:eastAsia="宋体" w:cs="Times New Roman"/>
                <w:szCs w:val="21"/>
              </w:rPr>
            </w:pPr>
            <w:r>
              <w:rPr>
                <w:rFonts w:ascii="宋体" w:hAnsi="宋体" w:eastAsia="宋体" w:cs="Times New Roman"/>
                <w:szCs w:val="21"/>
              </w:rPr>
              <w:t>4</w:t>
            </w:r>
          </w:p>
        </w:tc>
        <w:tc>
          <w:tcPr>
            <w:tcW w:w="986" w:type="dxa"/>
            <w:tcMar>
              <w:left w:w="28" w:type="dxa"/>
              <w:right w:w="28" w:type="dxa"/>
            </w:tcMar>
            <w:vAlign w:val="center"/>
          </w:tcPr>
          <w:p w14:paraId="28E150E4">
            <w:pPr>
              <w:jc w:val="center"/>
              <w:rPr>
                <w:rFonts w:ascii="宋体" w:hAnsi="宋体" w:eastAsia="宋体" w:cs="Times New Roman"/>
                <w:szCs w:val="21"/>
              </w:rPr>
            </w:pPr>
            <w:r>
              <w:rPr>
                <w:rFonts w:ascii="宋体" w:hAnsi="宋体" w:eastAsia="宋体" w:cs="Times New Roman"/>
                <w:szCs w:val="21"/>
              </w:rPr>
              <w:t>课外答疑</w:t>
            </w:r>
          </w:p>
        </w:tc>
        <w:tc>
          <w:tcPr>
            <w:tcW w:w="7477" w:type="dxa"/>
            <w:tcBorders>
              <w:right w:val="single" w:color="auto" w:sz="8" w:space="0"/>
            </w:tcBorders>
            <w:vAlign w:val="center"/>
          </w:tcPr>
          <w:p w14:paraId="15DFBA4F">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6479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578" w:type="dxa"/>
            <w:tcBorders>
              <w:left w:val="single" w:color="auto" w:sz="8" w:space="0"/>
            </w:tcBorders>
            <w:vAlign w:val="center"/>
          </w:tcPr>
          <w:p w14:paraId="07ABF5AD">
            <w:pPr>
              <w:jc w:val="center"/>
              <w:rPr>
                <w:rFonts w:ascii="宋体" w:hAnsi="宋体" w:eastAsia="宋体" w:cs="Times New Roman"/>
                <w:szCs w:val="21"/>
              </w:rPr>
            </w:pPr>
            <w:r>
              <w:rPr>
                <w:rFonts w:ascii="宋体" w:hAnsi="宋体" w:eastAsia="宋体" w:cs="Times New Roman"/>
                <w:szCs w:val="21"/>
              </w:rPr>
              <w:t>5</w:t>
            </w:r>
          </w:p>
        </w:tc>
        <w:tc>
          <w:tcPr>
            <w:tcW w:w="986" w:type="dxa"/>
            <w:tcMar>
              <w:left w:w="28" w:type="dxa"/>
              <w:right w:w="28" w:type="dxa"/>
            </w:tcMar>
            <w:vAlign w:val="center"/>
          </w:tcPr>
          <w:p w14:paraId="2A2C5850">
            <w:pPr>
              <w:jc w:val="center"/>
              <w:rPr>
                <w:rFonts w:ascii="宋体" w:hAnsi="宋体" w:eastAsia="宋体" w:cs="Times New Roman"/>
                <w:szCs w:val="21"/>
              </w:rPr>
            </w:pPr>
            <w:r>
              <w:rPr>
                <w:rFonts w:ascii="宋体" w:hAnsi="宋体" w:eastAsia="宋体" w:cs="Times New Roman"/>
                <w:szCs w:val="21"/>
              </w:rPr>
              <w:t>成绩考核</w:t>
            </w:r>
          </w:p>
        </w:tc>
        <w:tc>
          <w:tcPr>
            <w:tcW w:w="7477" w:type="dxa"/>
            <w:tcBorders>
              <w:right w:val="single" w:color="auto" w:sz="8" w:space="0"/>
            </w:tcBorders>
            <w:vAlign w:val="center"/>
          </w:tcPr>
          <w:p w14:paraId="6F09EC9D">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为开卷笔试</w:t>
            </w:r>
            <w:r>
              <w:rPr>
                <w:rFonts w:ascii="宋体" w:hAnsi="宋体" w:eastAsia="宋体" w:cs="Times New Roman"/>
                <w:szCs w:val="21"/>
              </w:rPr>
              <w:t>。考试采取教考分离，监考</w:t>
            </w:r>
            <w:r>
              <w:rPr>
                <w:rFonts w:hint="eastAsia" w:ascii="宋体" w:hAnsi="宋体" w:eastAsia="宋体" w:cs="Times New Roman"/>
                <w:szCs w:val="21"/>
              </w:rPr>
              <w:t>由主讲</w:t>
            </w:r>
            <w:r>
              <w:rPr>
                <w:rFonts w:ascii="宋体" w:hAnsi="宋体" w:eastAsia="宋体" w:cs="Times New Roman"/>
                <w:szCs w:val="21"/>
              </w:rPr>
              <w:t>安排。有下列情况之一者，总评成绩为不及格：</w:t>
            </w:r>
          </w:p>
          <w:p w14:paraId="0A296900">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6589E5BF">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13D12180">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6E1B66B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（一）本课程采用考查的方式完成学生最终成绩的评定。</w:t>
      </w:r>
    </w:p>
    <w:p w14:paraId="22E39D1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及课堂表现</w:t>
      </w:r>
      <w:r>
        <w:rPr>
          <w:rFonts w:ascii="宋体" w:hAnsi="宋体" w:eastAsia="宋体" w:cs="Times New Roman"/>
          <w:sz w:val="24"/>
        </w:rPr>
        <w:t>×</w:t>
      </w:r>
      <w:r>
        <w:rPr>
          <w:rFonts w:hint="eastAsia" w:ascii="宋体" w:hAnsi="宋体" w:eastAsia="宋体" w:cs="Times New Roman"/>
          <w:sz w:val="24"/>
        </w:rPr>
        <w:t>20</w:t>
      </w:r>
      <w:r>
        <w:rPr>
          <w:rFonts w:ascii="宋体" w:hAnsi="宋体" w:eastAsia="宋体" w:cs="Times New Roman"/>
          <w:sz w:val="24"/>
        </w:rPr>
        <w:t>% +</w:t>
      </w:r>
      <w:r>
        <w:rPr>
          <w:rFonts w:hint="eastAsia" w:ascii="宋体" w:hAnsi="宋体" w:eastAsia="宋体" w:cs="Times New Roman"/>
          <w:sz w:val="24"/>
        </w:rPr>
        <w:t>小组创新设计报告及展示成绩</w:t>
      </w:r>
      <w:r>
        <w:rPr>
          <w:rFonts w:ascii="宋体" w:hAnsi="宋体" w:eastAsia="宋体" w:cs="Times New Roman"/>
          <w:sz w:val="24"/>
        </w:rPr>
        <w:t>×4</w:t>
      </w:r>
      <w:r>
        <w:rPr>
          <w:rFonts w:hint="eastAsia" w:ascii="宋体" w:hAnsi="宋体" w:eastAsia="宋体" w:cs="Times New Roman"/>
          <w:sz w:val="24"/>
        </w:rPr>
        <w:t>0</w:t>
      </w:r>
      <w:r>
        <w:rPr>
          <w:rFonts w:ascii="宋体" w:hAnsi="宋体" w:eastAsia="宋体" w:cs="Times New Roman"/>
          <w:sz w:val="24"/>
        </w:rPr>
        <w:t>%+</w:t>
      </w:r>
      <w:r>
        <w:rPr>
          <w:rFonts w:hint="eastAsia" w:ascii="宋体" w:hAnsi="宋体" w:eastAsia="宋体" w:cs="Times New Roman"/>
          <w:sz w:val="24"/>
        </w:rPr>
        <w:t>小组实践制作作品评分</w:t>
      </w:r>
      <w:r>
        <w:rPr>
          <w:rFonts w:ascii="宋体" w:hAnsi="宋体" w:eastAsia="宋体" w:cs="Times New Roman"/>
          <w:sz w:val="24"/>
        </w:rPr>
        <w:t>×4</w:t>
      </w:r>
      <w:r>
        <w:rPr>
          <w:rFonts w:hint="eastAsia" w:ascii="宋体" w:hAnsi="宋体" w:eastAsia="宋体" w:cs="Times New Roman"/>
          <w:sz w:val="24"/>
        </w:rPr>
        <w:t>0</w:t>
      </w:r>
      <w:r>
        <w:rPr>
          <w:rFonts w:ascii="宋体" w:hAnsi="宋体" w:eastAsia="宋体" w:cs="Times New Roman"/>
          <w:sz w:val="24"/>
        </w:rPr>
        <w:t>%。</w:t>
      </w:r>
    </w:p>
    <w:p w14:paraId="7790132B">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150"/>
        <w:gridCol w:w="719"/>
        <w:gridCol w:w="2732"/>
        <w:gridCol w:w="1294"/>
        <w:gridCol w:w="1294"/>
        <w:gridCol w:w="1294"/>
      </w:tblGrid>
      <w:tr w14:paraId="3C22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33" w:type="dxa"/>
            <w:shd w:val="clear" w:color="auto" w:fill="FFFFFF"/>
            <w:tcMar>
              <w:left w:w="57" w:type="dxa"/>
              <w:right w:w="57" w:type="dxa"/>
            </w:tcMar>
            <w:vAlign w:val="center"/>
          </w:tcPr>
          <w:p w14:paraId="4EF21730">
            <w:pPr>
              <w:jc w:val="center"/>
              <w:rPr>
                <w:rFonts w:ascii="宋体" w:hAnsi="宋体" w:eastAsia="宋体" w:cs="Times New Roman"/>
                <w:b/>
                <w:szCs w:val="24"/>
              </w:rPr>
            </w:pPr>
            <w:r>
              <w:rPr>
                <w:rFonts w:ascii="宋体" w:hAnsi="宋体" w:eastAsia="宋体" w:cs="Times New Roman"/>
                <w:b/>
                <w:szCs w:val="24"/>
              </w:rPr>
              <w:t>成绩组成</w:t>
            </w:r>
          </w:p>
        </w:tc>
        <w:tc>
          <w:tcPr>
            <w:tcW w:w="1150" w:type="dxa"/>
            <w:shd w:val="clear" w:color="auto" w:fill="FFFFFF"/>
            <w:vAlign w:val="center"/>
          </w:tcPr>
          <w:p w14:paraId="49048E4B">
            <w:pPr>
              <w:jc w:val="center"/>
              <w:rPr>
                <w:rFonts w:ascii="宋体" w:hAnsi="宋体" w:eastAsia="宋体" w:cs="Times New Roman"/>
                <w:b/>
                <w:szCs w:val="24"/>
              </w:rPr>
            </w:pPr>
            <w:r>
              <w:rPr>
                <w:rFonts w:ascii="宋体" w:hAnsi="宋体" w:eastAsia="宋体" w:cs="Times New Roman"/>
                <w:b/>
                <w:szCs w:val="24"/>
              </w:rPr>
              <w:t>考核/</w:t>
            </w:r>
          </w:p>
          <w:p w14:paraId="481BA320">
            <w:pPr>
              <w:jc w:val="center"/>
              <w:rPr>
                <w:rFonts w:ascii="宋体" w:hAnsi="宋体" w:eastAsia="宋体" w:cs="Times New Roman"/>
                <w:b/>
                <w:szCs w:val="24"/>
              </w:rPr>
            </w:pPr>
            <w:r>
              <w:rPr>
                <w:rFonts w:ascii="宋体" w:hAnsi="宋体" w:eastAsia="宋体" w:cs="Times New Roman"/>
                <w:b/>
                <w:szCs w:val="24"/>
              </w:rPr>
              <w:t>评价环节</w:t>
            </w:r>
          </w:p>
        </w:tc>
        <w:tc>
          <w:tcPr>
            <w:tcW w:w="719" w:type="dxa"/>
            <w:shd w:val="clear" w:color="auto" w:fill="FFFFFF"/>
            <w:vAlign w:val="center"/>
          </w:tcPr>
          <w:p w14:paraId="4EE3D51B">
            <w:pPr>
              <w:jc w:val="center"/>
              <w:rPr>
                <w:rFonts w:ascii="宋体" w:hAnsi="宋体" w:eastAsia="宋体" w:cs="Times New Roman"/>
                <w:b/>
                <w:szCs w:val="24"/>
              </w:rPr>
            </w:pPr>
            <w:r>
              <w:rPr>
                <w:rFonts w:hint="eastAsia" w:ascii="宋体" w:hAnsi="宋体" w:eastAsia="宋体" w:cs="Times New Roman"/>
                <w:b/>
                <w:szCs w:val="24"/>
              </w:rPr>
              <w:t>权重</w:t>
            </w:r>
          </w:p>
        </w:tc>
        <w:tc>
          <w:tcPr>
            <w:tcW w:w="2732" w:type="dxa"/>
            <w:shd w:val="clear" w:color="auto" w:fill="FFFFFF"/>
            <w:vAlign w:val="center"/>
          </w:tcPr>
          <w:p w14:paraId="54DF0B7C">
            <w:pPr>
              <w:jc w:val="center"/>
              <w:rPr>
                <w:rFonts w:ascii="宋体" w:hAnsi="宋体" w:eastAsia="宋体" w:cs="Times New Roman"/>
                <w:b/>
                <w:szCs w:val="24"/>
              </w:rPr>
            </w:pPr>
            <w:r>
              <w:rPr>
                <w:rFonts w:ascii="宋体" w:hAnsi="宋体" w:eastAsia="宋体" w:cs="Times New Roman"/>
                <w:b/>
                <w:szCs w:val="24"/>
              </w:rPr>
              <w:t>考核/评价细则</w:t>
            </w:r>
          </w:p>
        </w:tc>
        <w:tc>
          <w:tcPr>
            <w:tcW w:w="1294" w:type="dxa"/>
            <w:shd w:val="clear" w:color="auto" w:fill="FFFFFF"/>
          </w:tcPr>
          <w:p w14:paraId="2F024434">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347242E9">
            <w:pPr>
              <w:jc w:val="center"/>
              <w:rPr>
                <w:rFonts w:ascii="宋体" w:hAnsi="宋体" w:eastAsia="宋体" w:cs="Times New Roman"/>
                <w:b/>
                <w:szCs w:val="24"/>
              </w:rPr>
            </w:pPr>
            <w:r>
              <w:rPr>
                <w:rFonts w:hint="eastAsia" w:ascii="宋体" w:hAnsi="宋体" w:eastAsia="宋体" w:cs="Times New Roman"/>
                <w:b/>
                <w:szCs w:val="24"/>
              </w:rPr>
              <w:t>目标</w:t>
            </w:r>
          </w:p>
        </w:tc>
        <w:tc>
          <w:tcPr>
            <w:tcW w:w="1294" w:type="dxa"/>
            <w:shd w:val="clear" w:color="auto" w:fill="FFFFFF"/>
          </w:tcPr>
          <w:p w14:paraId="285AE0C8">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465FB19F">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294" w:type="dxa"/>
            <w:shd w:val="clear" w:color="auto" w:fill="FFFFFF"/>
            <w:vAlign w:val="center"/>
          </w:tcPr>
          <w:p w14:paraId="35023DCD">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7D77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633" w:type="dxa"/>
            <w:tcMar>
              <w:left w:w="57" w:type="dxa"/>
              <w:right w:w="57" w:type="dxa"/>
            </w:tcMar>
            <w:vAlign w:val="center"/>
          </w:tcPr>
          <w:p w14:paraId="1E2DD85D">
            <w:pPr>
              <w:jc w:val="center"/>
              <w:rPr>
                <w:rFonts w:ascii="宋体" w:hAnsi="宋体" w:eastAsia="宋体" w:cs="Times New Roman"/>
                <w:szCs w:val="24"/>
              </w:rPr>
            </w:pPr>
            <w:r>
              <w:rPr>
                <w:rFonts w:ascii="宋体" w:hAnsi="宋体" w:eastAsia="宋体" w:cs="Times New Roman"/>
                <w:szCs w:val="24"/>
              </w:rPr>
              <w:t>平时成绩</w:t>
            </w:r>
          </w:p>
        </w:tc>
        <w:tc>
          <w:tcPr>
            <w:tcW w:w="1150" w:type="dxa"/>
            <w:vAlign w:val="center"/>
          </w:tcPr>
          <w:p w14:paraId="0B56ECB9">
            <w:pPr>
              <w:jc w:val="center"/>
              <w:rPr>
                <w:rFonts w:ascii="宋体" w:hAnsi="宋体" w:eastAsia="宋体" w:cs="Times New Roman"/>
                <w:szCs w:val="24"/>
              </w:rPr>
            </w:pPr>
            <w:r>
              <w:rPr>
                <w:rFonts w:hint="eastAsia" w:ascii="宋体" w:hAnsi="宋体" w:eastAsia="宋体" w:cs="Times New Roman"/>
                <w:szCs w:val="24"/>
              </w:rPr>
              <w:t>课堂考勤及</w:t>
            </w:r>
          </w:p>
          <w:p w14:paraId="1B7415A0">
            <w:pPr>
              <w:jc w:val="center"/>
              <w:rPr>
                <w:rFonts w:ascii="宋体" w:hAnsi="宋体" w:eastAsia="宋体" w:cs="Times New Roman"/>
                <w:szCs w:val="24"/>
              </w:rPr>
            </w:pPr>
            <w:r>
              <w:rPr>
                <w:rFonts w:ascii="宋体" w:hAnsi="宋体" w:eastAsia="宋体" w:cs="Times New Roman"/>
                <w:szCs w:val="24"/>
              </w:rPr>
              <w:t>平时作业</w:t>
            </w:r>
          </w:p>
        </w:tc>
        <w:tc>
          <w:tcPr>
            <w:tcW w:w="719" w:type="dxa"/>
            <w:vAlign w:val="center"/>
          </w:tcPr>
          <w:p w14:paraId="3179FB9B">
            <w:pPr>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732" w:type="dxa"/>
            <w:vAlign w:val="center"/>
          </w:tcPr>
          <w:p w14:paraId="388FE6D5">
            <w:pPr>
              <w:ind w:firstLine="420" w:firstLineChars="200"/>
              <w:rPr>
                <w:rFonts w:ascii="宋体" w:hAnsi="宋体" w:eastAsia="宋体" w:cs="Times New Roman"/>
                <w:szCs w:val="24"/>
              </w:rPr>
            </w:pPr>
            <w:r>
              <w:rPr>
                <w:rFonts w:hint="eastAsia" w:ascii="宋体" w:hAnsi="宋体" w:eastAsia="宋体" w:cs="Times New Roman"/>
                <w:szCs w:val="24"/>
              </w:rPr>
              <w:t>其中课堂考勤占20%，平时作业占80%。</w:t>
            </w:r>
          </w:p>
          <w:p w14:paraId="4F23CE79">
            <w:pPr>
              <w:ind w:firstLine="420" w:firstLineChars="200"/>
              <w:jc w:val="left"/>
              <w:rPr>
                <w:rFonts w:ascii="宋体" w:hAnsi="宋体" w:eastAsia="宋体" w:cs="Times New Roman"/>
                <w:szCs w:val="21"/>
              </w:rPr>
            </w:pPr>
            <w:r>
              <w:rPr>
                <w:rFonts w:hint="eastAsia" w:ascii="宋体" w:hAnsi="宋体" w:eastAsia="宋体" w:cs="Times New Roman"/>
                <w:szCs w:val="21"/>
              </w:rPr>
              <w:t>课堂考勤：病假和事假一次扣5分，无故缺席一次扣10分，无故缺席累积达5次以上（不含5次）取消课程成绩。</w:t>
            </w:r>
          </w:p>
          <w:p w14:paraId="1A4E06E6">
            <w:pPr>
              <w:ind w:firstLine="420" w:firstLineChars="200"/>
              <w:rPr>
                <w:rFonts w:ascii="宋体" w:hAnsi="宋体" w:eastAsia="宋体" w:cs="Times New Roman"/>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rPr>
              <w:t>3次作业</w:t>
            </w:r>
            <w:r>
              <w:rPr>
                <w:rFonts w:ascii="宋体" w:hAnsi="宋体" w:eastAsia="宋体" w:cs="Times New Roman"/>
                <w:szCs w:val="24"/>
              </w:rPr>
              <w:t>，主要考核学生对每节课知识点的复习、理解和掌握程度，计算全部作业的平均成绩。</w:t>
            </w:r>
          </w:p>
        </w:tc>
        <w:tc>
          <w:tcPr>
            <w:tcW w:w="1294" w:type="dxa"/>
          </w:tcPr>
          <w:p w14:paraId="529612D3">
            <w:pPr>
              <w:rPr>
                <w:rFonts w:ascii="宋体" w:hAnsi="宋体" w:eastAsia="宋体" w:cs="Times New Roman"/>
                <w:szCs w:val="24"/>
              </w:rPr>
            </w:pPr>
          </w:p>
          <w:p w14:paraId="1A797388">
            <w:pPr>
              <w:jc w:val="center"/>
              <w:rPr>
                <w:rFonts w:ascii="宋体" w:hAnsi="宋体" w:eastAsia="宋体" w:cs="Times New Roman"/>
                <w:szCs w:val="24"/>
              </w:rPr>
            </w:pPr>
          </w:p>
          <w:p w14:paraId="12B52D44">
            <w:pPr>
              <w:jc w:val="center"/>
              <w:rPr>
                <w:rFonts w:ascii="宋体" w:hAnsi="宋体" w:eastAsia="宋体" w:cs="Times New Roman"/>
                <w:szCs w:val="24"/>
              </w:rPr>
            </w:pPr>
          </w:p>
          <w:p w14:paraId="7C0109F2">
            <w:pPr>
              <w:jc w:val="center"/>
              <w:rPr>
                <w:rFonts w:ascii="宋体" w:hAnsi="宋体" w:eastAsia="宋体" w:cs="Times New Roman"/>
                <w:szCs w:val="24"/>
              </w:rPr>
            </w:pPr>
          </w:p>
          <w:p w14:paraId="050DB20F">
            <w:pPr>
              <w:jc w:val="center"/>
              <w:rPr>
                <w:rFonts w:ascii="宋体" w:hAnsi="宋体" w:eastAsia="宋体" w:cs="Times New Roman"/>
                <w:szCs w:val="24"/>
              </w:rPr>
            </w:pPr>
          </w:p>
          <w:p w14:paraId="28D2DE0C">
            <w:pPr>
              <w:jc w:val="center"/>
              <w:rPr>
                <w:rFonts w:ascii="宋体" w:hAnsi="宋体" w:eastAsia="宋体" w:cs="Times New Roman"/>
                <w:szCs w:val="24"/>
              </w:rPr>
            </w:pPr>
            <w:r>
              <w:rPr>
                <w:rFonts w:hint="eastAsia" w:ascii="宋体" w:hAnsi="宋体" w:eastAsia="宋体" w:cs="Times New Roman"/>
                <w:szCs w:val="24"/>
              </w:rPr>
              <w:t>课程目标1</w:t>
            </w:r>
            <w:r>
              <w:rPr>
                <w:rFonts w:ascii="宋体" w:hAnsi="宋体" w:eastAsia="宋体" w:cs="Times New Roman"/>
                <w:szCs w:val="24"/>
              </w:rPr>
              <w:t>课程目标</w:t>
            </w:r>
            <w:r>
              <w:rPr>
                <w:rFonts w:hint="eastAsia" w:ascii="宋体" w:hAnsi="宋体" w:eastAsia="宋体" w:cs="Times New Roman"/>
                <w:szCs w:val="24"/>
              </w:rPr>
              <w:t>2</w:t>
            </w:r>
          </w:p>
        </w:tc>
        <w:tc>
          <w:tcPr>
            <w:tcW w:w="1294" w:type="dxa"/>
          </w:tcPr>
          <w:p w14:paraId="730612B3">
            <w:pPr>
              <w:rPr>
                <w:rFonts w:ascii="宋体" w:hAnsi="宋体" w:eastAsia="宋体" w:cs="Times New Roman"/>
                <w:szCs w:val="24"/>
              </w:rPr>
            </w:pPr>
          </w:p>
          <w:p w14:paraId="0F403F57">
            <w:pPr>
              <w:rPr>
                <w:rFonts w:ascii="宋体" w:hAnsi="宋体" w:eastAsia="宋体" w:cs="Times New Roman"/>
                <w:szCs w:val="24"/>
              </w:rPr>
            </w:pPr>
          </w:p>
          <w:p w14:paraId="4AC2352D">
            <w:pPr>
              <w:rPr>
                <w:rFonts w:ascii="宋体" w:hAnsi="宋体" w:eastAsia="宋体" w:cs="Times New Roman"/>
                <w:szCs w:val="24"/>
              </w:rPr>
            </w:pPr>
          </w:p>
          <w:p w14:paraId="4AC0627D">
            <w:pPr>
              <w:rPr>
                <w:rFonts w:ascii="宋体" w:hAnsi="宋体" w:eastAsia="宋体" w:cs="Times New Roman"/>
                <w:szCs w:val="24"/>
              </w:rPr>
            </w:pPr>
          </w:p>
          <w:p w14:paraId="754EAA9A">
            <w:pPr>
              <w:rPr>
                <w:rFonts w:ascii="宋体" w:hAnsi="宋体" w:eastAsia="宋体" w:cs="宋体"/>
                <w:kern w:val="0"/>
                <w:szCs w:val="21"/>
              </w:rPr>
            </w:pPr>
            <w:r>
              <w:rPr>
                <w:rFonts w:hint="eastAsia" w:ascii="宋体" w:hAnsi="宋体" w:eastAsia="宋体" w:cs="Times New Roman"/>
                <w:szCs w:val="24"/>
              </w:rPr>
              <w:t>不同</w:t>
            </w:r>
            <w:r>
              <w:rPr>
                <w:rFonts w:ascii="宋体" w:hAnsi="宋体" w:eastAsia="宋体" w:cs="Times New Roman"/>
                <w:szCs w:val="24"/>
              </w:rPr>
              <w:t>类型</w:t>
            </w:r>
            <w:r>
              <w:rPr>
                <w:rFonts w:hint="eastAsia" w:ascii="宋体" w:hAnsi="宋体" w:eastAsia="宋体" w:cs="Times New Roman"/>
                <w:szCs w:val="24"/>
              </w:rPr>
              <w:t>航模制作与训练</w:t>
            </w:r>
            <w:r>
              <w:rPr>
                <w:rFonts w:ascii="宋体" w:hAnsi="宋体" w:eastAsia="宋体" w:cs="Times New Roman"/>
                <w:szCs w:val="24"/>
              </w:rPr>
              <w:t>的设计与评价</w:t>
            </w:r>
          </w:p>
        </w:tc>
        <w:tc>
          <w:tcPr>
            <w:tcW w:w="1294" w:type="dxa"/>
            <w:vAlign w:val="center"/>
          </w:tcPr>
          <w:p w14:paraId="75C93063">
            <w:pPr>
              <w:jc w:val="center"/>
              <w:rPr>
                <w:rFonts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3</w:t>
            </w:r>
            <w:r>
              <w:rPr>
                <w:rFonts w:ascii="宋体" w:hAnsi="宋体" w:eastAsia="宋体" w:cs="Times New Roman"/>
                <w:szCs w:val="21"/>
              </w:rPr>
              <w:t>-4</w:t>
            </w: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w:t>
            </w:r>
          </w:p>
          <w:p w14:paraId="634B24DE">
            <w:pPr>
              <w:jc w:val="center"/>
              <w:rPr>
                <w:rFonts w:ascii="宋体" w:hAnsi="宋体" w:eastAsia="宋体" w:cs="Times New Roman"/>
                <w:szCs w:val="24"/>
              </w:rPr>
            </w:pP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、8-1</w:t>
            </w:r>
          </w:p>
        </w:tc>
      </w:tr>
      <w:tr w14:paraId="4FB1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633" w:type="dxa"/>
            <w:tcMar>
              <w:left w:w="57" w:type="dxa"/>
              <w:right w:w="57" w:type="dxa"/>
            </w:tcMar>
            <w:vAlign w:val="center"/>
          </w:tcPr>
          <w:p w14:paraId="7CD261E9">
            <w:pPr>
              <w:jc w:val="center"/>
              <w:rPr>
                <w:rFonts w:ascii="宋体" w:hAnsi="宋体" w:eastAsia="宋体" w:cs="Times New Roman"/>
                <w:szCs w:val="24"/>
              </w:rPr>
            </w:pPr>
            <w:r>
              <w:rPr>
                <w:rFonts w:hint="eastAsia" w:ascii="宋体" w:hAnsi="宋体" w:eastAsia="宋体" w:cs="Times New Roman"/>
                <w:szCs w:val="24"/>
              </w:rPr>
              <w:t>实践</w:t>
            </w:r>
            <w:r>
              <w:rPr>
                <w:rFonts w:ascii="宋体" w:hAnsi="宋体" w:eastAsia="宋体" w:cs="Times New Roman"/>
                <w:szCs w:val="24"/>
              </w:rPr>
              <w:t>成绩</w:t>
            </w:r>
          </w:p>
        </w:tc>
        <w:tc>
          <w:tcPr>
            <w:tcW w:w="1150" w:type="dxa"/>
            <w:vAlign w:val="center"/>
          </w:tcPr>
          <w:p w14:paraId="130F492A">
            <w:pPr>
              <w:jc w:val="center"/>
              <w:rPr>
                <w:rFonts w:ascii="宋体" w:hAnsi="宋体" w:eastAsia="宋体" w:cs="Times New Roman"/>
                <w:szCs w:val="24"/>
              </w:rPr>
            </w:pPr>
            <w:r>
              <w:rPr>
                <w:rFonts w:hint="eastAsia" w:ascii="宋体" w:hAnsi="宋体" w:eastAsia="宋体" w:cs="Times New Roman"/>
                <w:szCs w:val="24"/>
              </w:rPr>
              <w:t>小组创新设计报告及展示成绩</w:t>
            </w:r>
          </w:p>
        </w:tc>
        <w:tc>
          <w:tcPr>
            <w:tcW w:w="719" w:type="dxa"/>
            <w:vAlign w:val="center"/>
          </w:tcPr>
          <w:p w14:paraId="1107CEC0">
            <w:pPr>
              <w:jc w:val="center"/>
              <w:rPr>
                <w:rFonts w:ascii="宋体" w:hAnsi="宋体" w:eastAsia="宋体" w:cs="Times New Roman"/>
                <w:szCs w:val="24"/>
              </w:rPr>
            </w:pPr>
            <w:r>
              <w:rPr>
                <w:rFonts w:ascii="宋体" w:hAnsi="宋体" w:eastAsia="宋体" w:cs="Times New Roman"/>
                <w:szCs w:val="24"/>
              </w:rPr>
              <w:t>40%</w:t>
            </w:r>
          </w:p>
        </w:tc>
        <w:tc>
          <w:tcPr>
            <w:tcW w:w="2732" w:type="dxa"/>
            <w:vAlign w:val="center"/>
          </w:tcPr>
          <w:p w14:paraId="3069F4AF">
            <w:pPr>
              <w:ind w:firstLine="420" w:firstLineChars="200"/>
              <w:rPr>
                <w:rFonts w:ascii="宋体" w:hAnsi="宋体" w:eastAsia="宋体" w:cs="Times New Roman"/>
                <w:szCs w:val="21"/>
              </w:rPr>
            </w:pPr>
            <w:r>
              <w:rPr>
                <w:rFonts w:ascii="宋体" w:hAnsi="宋体" w:eastAsia="宋体" w:cs="Times New Roman"/>
                <w:szCs w:val="21"/>
              </w:rPr>
              <w:t>完成4个</w:t>
            </w:r>
            <w:r>
              <w:rPr>
                <w:rFonts w:hint="eastAsia" w:ascii="宋体" w:hAnsi="宋体" w:eastAsia="宋体" w:cs="Times New Roman"/>
                <w:szCs w:val="21"/>
              </w:rPr>
              <w:t>实践活动</w:t>
            </w:r>
            <w:r>
              <w:rPr>
                <w:rFonts w:ascii="宋体" w:hAnsi="宋体" w:eastAsia="宋体" w:cs="Times New Roman"/>
                <w:szCs w:val="21"/>
              </w:rPr>
              <w:t>，主要考核学生应用</w:t>
            </w:r>
            <w:r>
              <w:rPr>
                <w:rFonts w:hint="eastAsia" w:ascii="宋体" w:hAnsi="宋体" w:eastAsia="宋体" w:cs="Times New Roman"/>
                <w:szCs w:val="21"/>
              </w:rPr>
              <w:t>航模制作与训练</w:t>
            </w:r>
            <w:r>
              <w:rPr>
                <w:rFonts w:ascii="宋体" w:hAnsi="宋体" w:eastAsia="宋体" w:cs="Times New Roman"/>
                <w:szCs w:val="21"/>
              </w:rPr>
              <w:t>基本理论</w:t>
            </w:r>
            <w:r>
              <w:rPr>
                <w:rFonts w:hint="eastAsia" w:ascii="宋体" w:hAnsi="宋体" w:eastAsia="宋体" w:cs="Times New Roman"/>
                <w:szCs w:val="21"/>
              </w:rPr>
              <w:t>进行</w:t>
            </w:r>
            <w:r>
              <w:rPr>
                <w:rFonts w:ascii="宋体" w:hAnsi="宋体" w:eastAsia="宋体" w:cs="Times New Roman"/>
                <w:szCs w:val="21"/>
              </w:rPr>
              <w:t>活动设计与组织指导能力，并对模拟教学进行分析与评价能力</w:t>
            </w:r>
            <w:r>
              <w:rPr>
                <w:rFonts w:hint="eastAsia" w:ascii="宋体" w:hAnsi="宋体" w:eastAsia="宋体" w:cs="Times New Roman"/>
                <w:szCs w:val="21"/>
              </w:rPr>
              <w:t>。每个实践作业按百分制分别给出成绩。</w:t>
            </w:r>
            <w:r>
              <w:rPr>
                <w:rFonts w:ascii="宋体" w:hAnsi="宋体" w:eastAsia="宋体" w:cs="Times New Roman"/>
                <w:szCs w:val="21"/>
              </w:rPr>
              <w:t>4</w:t>
            </w:r>
            <w:r>
              <w:rPr>
                <w:rFonts w:hint="eastAsia" w:ascii="宋体" w:hAnsi="宋体" w:eastAsia="宋体" w:cs="Times New Roman"/>
                <w:szCs w:val="21"/>
              </w:rPr>
              <w:t>个实践成绩平均后得到实践总评成绩并</w:t>
            </w:r>
            <w:r>
              <w:rPr>
                <w:rFonts w:ascii="宋体" w:hAnsi="宋体" w:eastAsia="宋体" w:cs="Times New Roman"/>
                <w:szCs w:val="21"/>
              </w:rPr>
              <w:t>按40%计入课程总成绩。</w:t>
            </w:r>
          </w:p>
        </w:tc>
        <w:tc>
          <w:tcPr>
            <w:tcW w:w="1294" w:type="dxa"/>
          </w:tcPr>
          <w:p w14:paraId="514C1679">
            <w:pPr>
              <w:rPr>
                <w:rFonts w:ascii="宋体" w:hAnsi="宋体" w:eastAsia="宋体" w:cs="Times New Roman"/>
                <w:kern w:val="0"/>
                <w:sz w:val="24"/>
              </w:rPr>
            </w:pPr>
          </w:p>
          <w:p w14:paraId="2950AA95">
            <w:pPr>
              <w:rPr>
                <w:rFonts w:ascii="宋体" w:hAnsi="宋体" w:eastAsia="宋体" w:cs="Times New Roman"/>
                <w:kern w:val="0"/>
                <w:sz w:val="24"/>
              </w:rPr>
            </w:pPr>
          </w:p>
          <w:p w14:paraId="7EF0811F">
            <w:pPr>
              <w:rPr>
                <w:rFonts w:ascii="宋体" w:hAnsi="宋体" w:eastAsia="宋体" w:cs="Times New Roman"/>
                <w:kern w:val="0"/>
                <w:sz w:val="24"/>
              </w:rPr>
            </w:pPr>
          </w:p>
          <w:p w14:paraId="318E6CBC">
            <w:pPr>
              <w:rPr>
                <w:rFonts w:ascii="宋体" w:hAnsi="宋体" w:eastAsia="宋体" w:cs="Times New Roman"/>
                <w:kern w:val="0"/>
                <w:sz w:val="24"/>
              </w:rPr>
            </w:pPr>
          </w:p>
          <w:p w14:paraId="42AA90E3">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11E3D9AA">
            <w:pPr>
              <w:jc w:val="center"/>
              <w:rPr>
                <w:rFonts w:ascii="宋体" w:hAnsi="宋体" w:eastAsia="宋体" w:cs="Times New Roman"/>
                <w:kern w:val="0"/>
                <w:sz w:val="24"/>
              </w:rPr>
            </w:pPr>
            <w:r>
              <w:rPr>
                <w:rFonts w:hint="eastAsia" w:ascii="宋体" w:hAnsi="宋体" w:eastAsia="宋体" w:cs="Times New Roman"/>
                <w:szCs w:val="24"/>
              </w:rPr>
              <w:t>课程目标</w:t>
            </w:r>
            <w:r>
              <w:rPr>
                <w:rFonts w:ascii="宋体" w:hAnsi="宋体" w:eastAsia="宋体" w:cs="Times New Roman"/>
                <w:szCs w:val="24"/>
              </w:rPr>
              <w:t>3课程目标4</w:t>
            </w:r>
          </w:p>
        </w:tc>
        <w:tc>
          <w:tcPr>
            <w:tcW w:w="1294" w:type="dxa"/>
          </w:tcPr>
          <w:p w14:paraId="4ACAAC6F">
            <w:pPr>
              <w:rPr>
                <w:rFonts w:ascii="宋体" w:hAnsi="宋体" w:eastAsia="宋体" w:cs="宋体"/>
                <w:kern w:val="0"/>
                <w:szCs w:val="21"/>
              </w:rPr>
            </w:pPr>
          </w:p>
          <w:p w14:paraId="46764379">
            <w:pPr>
              <w:rPr>
                <w:rFonts w:ascii="宋体" w:hAnsi="宋体" w:eastAsia="宋体" w:cs="宋体"/>
                <w:kern w:val="0"/>
                <w:szCs w:val="21"/>
              </w:rPr>
            </w:pPr>
          </w:p>
          <w:p w14:paraId="1AD23E8B">
            <w:pPr>
              <w:rPr>
                <w:rFonts w:ascii="宋体" w:hAnsi="宋体" w:eastAsia="宋体" w:cs="宋体"/>
                <w:kern w:val="0"/>
                <w:szCs w:val="21"/>
              </w:rPr>
            </w:pPr>
            <w:r>
              <w:rPr>
                <w:rFonts w:hint="eastAsia" w:ascii="宋体" w:hAnsi="宋体" w:eastAsia="宋体" w:cs="宋体"/>
                <w:kern w:val="0"/>
                <w:szCs w:val="21"/>
              </w:rPr>
              <w:t>不同</w:t>
            </w:r>
            <w:r>
              <w:rPr>
                <w:rFonts w:ascii="宋体" w:hAnsi="宋体" w:eastAsia="宋体" w:cs="宋体"/>
                <w:kern w:val="0"/>
                <w:szCs w:val="21"/>
              </w:rPr>
              <w:t>类型</w:t>
            </w:r>
            <w:r>
              <w:rPr>
                <w:rFonts w:hint="eastAsia" w:ascii="宋体" w:hAnsi="宋体" w:eastAsia="宋体" w:cs="宋体"/>
                <w:kern w:val="0"/>
                <w:szCs w:val="21"/>
              </w:rPr>
              <w:t>航模制作与训练</w:t>
            </w:r>
            <w:r>
              <w:rPr>
                <w:rFonts w:ascii="宋体" w:hAnsi="宋体" w:eastAsia="宋体" w:cs="宋体"/>
                <w:kern w:val="0"/>
                <w:szCs w:val="21"/>
              </w:rPr>
              <w:t>设计与指导</w:t>
            </w:r>
            <w:r>
              <w:rPr>
                <w:rFonts w:hint="eastAsia" w:ascii="宋体" w:hAnsi="宋体" w:eastAsia="宋体" w:cs="宋体"/>
                <w:kern w:val="0"/>
                <w:szCs w:val="21"/>
              </w:rPr>
              <w:t>、</w:t>
            </w:r>
            <w:r>
              <w:rPr>
                <w:rFonts w:ascii="宋体" w:hAnsi="宋体" w:eastAsia="宋体" w:cs="宋体"/>
                <w:kern w:val="0"/>
                <w:szCs w:val="21"/>
              </w:rPr>
              <w:t>科学游戏设计与指导、统整活动设计</w:t>
            </w:r>
          </w:p>
          <w:p w14:paraId="49AFCD75">
            <w:pPr>
              <w:rPr>
                <w:rFonts w:ascii="宋体" w:hAnsi="宋体" w:eastAsia="宋体" w:cs="Times New Roman"/>
                <w:kern w:val="0"/>
                <w:sz w:val="24"/>
              </w:rPr>
            </w:pPr>
          </w:p>
        </w:tc>
        <w:tc>
          <w:tcPr>
            <w:tcW w:w="1294" w:type="dxa"/>
            <w:vAlign w:val="center"/>
          </w:tcPr>
          <w:p w14:paraId="79FC0ABE">
            <w:pPr>
              <w:jc w:val="center"/>
              <w:rPr>
                <w:rFonts w:ascii="宋体" w:hAnsi="宋体" w:eastAsia="宋体" w:cs="Times New Roman"/>
                <w:kern w:val="0"/>
                <w:sz w:val="24"/>
              </w:rPr>
            </w:pP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、7</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p>
        </w:tc>
      </w:tr>
      <w:tr w14:paraId="028B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633" w:type="dxa"/>
            <w:tcMar>
              <w:left w:w="57" w:type="dxa"/>
              <w:right w:w="57" w:type="dxa"/>
            </w:tcMar>
            <w:vAlign w:val="center"/>
          </w:tcPr>
          <w:p w14:paraId="09541465">
            <w:pPr>
              <w:jc w:val="center"/>
              <w:rPr>
                <w:rFonts w:ascii="宋体" w:hAnsi="宋体" w:eastAsia="宋体" w:cs="Times New Roman"/>
                <w:szCs w:val="24"/>
              </w:rPr>
            </w:pPr>
            <w:r>
              <w:rPr>
                <w:rFonts w:ascii="宋体" w:hAnsi="宋体" w:eastAsia="宋体" w:cs="Times New Roman"/>
                <w:szCs w:val="24"/>
              </w:rPr>
              <w:t>期末考试</w:t>
            </w:r>
          </w:p>
        </w:tc>
        <w:tc>
          <w:tcPr>
            <w:tcW w:w="1150" w:type="dxa"/>
            <w:vAlign w:val="center"/>
          </w:tcPr>
          <w:p w14:paraId="022540E8">
            <w:pPr>
              <w:jc w:val="center"/>
              <w:rPr>
                <w:rFonts w:ascii="宋体" w:hAnsi="宋体" w:eastAsia="宋体" w:cs="Times New Roman"/>
                <w:szCs w:val="24"/>
              </w:rPr>
            </w:pPr>
            <w:r>
              <w:rPr>
                <w:rFonts w:hint="eastAsia" w:ascii="宋体" w:hAnsi="宋体" w:eastAsia="宋体" w:cs="Times New Roman"/>
                <w:szCs w:val="24"/>
              </w:rPr>
              <w:t>小组实践制作作品评分</w:t>
            </w:r>
          </w:p>
        </w:tc>
        <w:tc>
          <w:tcPr>
            <w:tcW w:w="719" w:type="dxa"/>
            <w:vAlign w:val="center"/>
          </w:tcPr>
          <w:p w14:paraId="3A323947">
            <w:pPr>
              <w:jc w:val="center"/>
              <w:rPr>
                <w:rFonts w:ascii="宋体" w:hAnsi="宋体" w:eastAsia="宋体" w:cs="Times New Roman"/>
                <w:szCs w:val="24"/>
              </w:rPr>
            </w:pPr>
            <w:r>
              <w:rPr>
                <w:rFonts w:ascii="宋体" w:hAnsi="宋体" w:eastAsia="宋体" w:cs="Times New Roman"/>
                <w:szCs w:val="24"/>
              </w:rPr>
              <w:t>40%</w:t>
            </w:r>
          </w:p>
        </w:tc>
        <w:tc>
          <w:tcPr>
            <w:tcW w:w="2732" w:type="dxa"/>
            <w:vAlign w:val="center"/>
          </w:tcPr>
          <w:p w14:paraId="50D9E60C">
            <w:pPr>
              <w:rPr>
                <w:rFonts w:ascii="宋体" w:hAnsi="宋体" w:eastAsia="宋体" w:cs="Times New Roman"/>
                <w:szCs w:val="21"/>
              </w:rPr>
            </w:pPr>
            <w:r>
              <w:rPr>
                <w:rFonts w:hint="eastAsia" w:ascii="宋体" w:hAnsi="宋体" w:eastAsia="宋体" w:cs="Times New Roman"/>
                <w:szCs w:val="21"/>
              </w:rPr>
              <w:t>按团队合作表现、作品制作的精细程度两方面给予评分。按40%计入课程总成绩。</w:t>
            </w:r>
          </w:p>
          <w:p w14:paraId="536D31F0">
            <w:pPr>
              <w:ind w:firstLine="420" w:firstLineChars="200"/>
              <w:rPr>
                <w:rFonts w:ascii="宋体" w:hAnsi="宋体" w:eastAsia="宋体" w:cs="Times New Roman"/>
                <w:szCs w:val="21"/>
              </w:rPr>
            </w:pPr>
          </w:p>
        </w:tc>
        <w:tc>
          <w:tcPr>
            <w:tcW w:w="1294" w:type="dxa"/>
          </w:tcPr>
          <w:p w14:paraId="60AA5811">
            <w:pPr>
              <w:jc w:val="center"/>
              <w:rPr>
                <w:rFonts w:ascii="宋体" w:hAnsi="宋体" w:eastAsia="宋体" w:cs="Times New Roman"/>
                <w:szCs w:val="24"/>
              </w:rPr>
            </w:pPr>
          </w:p>
          <w:p w14:paraId="7953E4BE">
            <w:pPr>
              <w:jc w:val="center"/>
              <w:rPr>
                <w:rFonts w:ascii="宋体" w:hAnsi="宋体" w:eastAsia="宋体" w:cs="Times New Roman"/>
                <w:szCs w:val="24"/>
              </w:rPr>
            </w:pPr>
          </w:p>
          <w:p w14:paraId="7BB707F0">
            <w:pPr>
              <w:jc w:val="center"/>
              <w:rPr>
                <w:rFonts w:ascii="宋体" w:hAnsi="宋体" w:eastAsia="宋体" w:cs="Times New Roman"/>
                <w:szCs w:val="24"/>
              </w:rPr>
            </w:pPr>
          </w:p>
          <w:p w14:paraId="70CE567F">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1</w:t>
            </w:r>
          </w:p>
          <w:p w14:paraId="426F320B">
            <w:pPr>
              <w:jc w:val="center"/>
              <w:rPr>
                <w:rFonts w:ascii="宋体" w:hAnsi="宋体" w:eastAsia="宋体" w:cs="Times New Roman"/>
                <w:szCs w:val="21"/>
              </w:rPr>
            </w:pPr>
            <w:r>
              <w:rPr>
                <w:rFonts w:hint="eastAsia" w:ascii="宋体" w:hAnsi="宋体" w:eastAsia="宋体" w:cs="Times New Roman"/>
                <w:szCs w:val="24"/>
              </w:rPr>
              <w:t>课程目标</w:t>
            </w:r>
            <w:r>
              <w:rPr>
                <w:rFonts w:ascii="宋体" w:hAnsi="宋体" w:eastAsia="宋体" w:cs="Times New Roman"/>
                <w:szCs w:val="24"/>
              </w:rPr>
              <w:t>2课程目标3</w:t>
            </w:r>
          </w:p>
        </w:tc>
        <w:tc>
          <w:tcPr>
            <w:tcW w:w="1294" w:type="dxa"/>
          </w:tcPr>
          <w:p w14:paraId="48AC904B">
            <w:pPr>
              <w:rPr>
                <w:rFonts w:ascii="宋体" w:hAnsi="宋体" w:eastAsia="宋体" w:cs="宋体"/>
                <w:kern w:val="0"/>
                <w:szCs w:val="21"/>
              </w:rPr>
            </w:pPr>
          </w:p>
          <w:p w14:paraId="3E8ABBFB">
            <w:pPr>
              <w:rPr>
                <w:rFonts w:ascii="宋体" w:hAnsi="宋体" w:eastAsia="宋体" w:cs="Times New Roman"/>
                <w:szCs w:val="21"/>
              </w:rPr>
            </w:pPr>
            <w:r>
              <w:rPr>
                <w:rFonts w:hint="eastAsia" w:ascii="宋体" w:hAnsi="宋体" w:eastAsia="宋体" w:cs="宋体"/>
                <w:kern w:val="0"/>
                <w:szCs w:val="21"/>
              </w:rPr>
              <w:t>航模制作与训练</w:t>
            </w:r>
            <w:r>
              <w:rPr>
                <w:rFonts w:ascii="宋体" w:hAnsi="宋体" w:eastAsia="宋体" w:cs="宋体"/>
                <w:kern w:val="0"/>
                <w:szCs w:val="21"/>
              </w:rPr>
              <w:t>目标、内容、方法</w:t>
            </w:r>
            <w:r>
              <w:rPr>
                <w:rFonts w:hint="eastAsia" w:ascii="宋体" w:hAnsi="宋体" w:eastAsia="宋体" w:cs="宋体"/>
                <w:kern w:val="0"/>
                <w:szCs w:val="21"/>
              </w:rPr>
              <w:t>、</w:t>
            </w:r>
            <w:r>
              <w:rPr>
                <w:rFonts w:ascii="宋体" w:hAnsi="宋体" w:eastAsia="宋体" w:cs="宋体"/>
                <w:kern w:val="0"/>
                <w:szCs w:val="21"/>
              </w:rPr>
              <w:t>组织形式及各类科学教育活动设计与指导方法</w:t>
            </w:r>
          </w:p>
        </w:tc>
        <w:tc>
          <w:tcPr>
            <w:tcW w:w="1294" w:type="dxa"/>
            <w:vAlign w:val="center"/>
          </w:tcPr>
          <w:p w14:paraId="71B421FE">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-4</w:t>
            </w: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、7</w:t>
            </w:r>
            <w:r>
              <w:rPr>
                <w:rFonts w:ascii="宋体" w:hAnsi="宋体" w:eastAsia="宋体" w:cs="Times New Roman"/>
                <w:szCs w:val="21"/>
              </w:rPr>
              <w:t>-3</w:t>
            </w:r>
          </w:p>
        </w:tc>
      </w:tr>
    </w:tbl>
    <w:p w14:paraId="69C61D3F">
      <w:pPr>
        <w:spacing w:line="360" w:lineRule="auto"/>
        <w:rPr>
          <w:rFonts w:ascii="宋体" w:hAnsi="宋体" w:eastAsia="宋体" w:cs="Times New Roman"/>
          <w:sz w:val="24"/>
        </w:rPr>
      </w:pPr>
      <w:r>
        <w:rPr>
          <w:rFonts w:hint="eastAsia" w:ascii="宋体" w:hAnsi="宋体" w:eastAsia="宋体" w:cs="Times New Roman"/>
          <w:sz w:val="24"/>
        </w:rPr>
        <w:t xml:space="preserve">    </w:t>
      </w:r>
    </w:p>
    <w:p w14:paraId="6DC0DDFD">
      <w:pPr>
        <w:spacing w:line="360" w:lineRule="auto"/>
        <w:rPr>
          <w:rFonts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1783"/>
        <w:gridCol w:w="2156"/>
        <w:gridCol w:w="1809"/>
        <w:gridCol w:w="1115"/>
      </w:tblGrid>
      <w:tr w14:paraId="6A84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794" w:type="dxa"/>
            <w:gridSpan w:val="2"/>
            <w:shd w:val="clear" w:color="auto" w:fill="auto"/>
            <w:vAlign w:val="center"/>
          </w:tcPr>
          <w:p w14:paraId="2F8D2EB8">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080" w:type="dxa"/>
            <w:gridSpan w:val="3"/>
            <w:shd w:val="clear" w:color="auto" w:fill="auto"/>
            <w:vAlign w:val="center"/>
          </w:tcPr>
          <w:p w14:paraId="590AD501">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3BB5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011" w:type="dxa"/>
            <w:shd w:val="clear" w:color="auto" w:fill="auto"/>
            <w:vAlign w:val="center"/>
          </w:tcPr>
          <w:p w14:paraId="60F7D333">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783" w:type="dxa"/>
            <w:shd w:val="clear" w:color="auto" w:fill="auto"/>
            <w:vAlign w:val="center"/>
          </w:tcPr>
          <w:p w14:paraId="214210E2">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156" w:type="dxa"/>
            <w:shd w:val="clear" w:color="auto" w:fill="auto"/>
            <w:vAlign w:val="center"/>
          </w:tcPr>
          <w:p w14:paraId="0280FD15">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809" w:type="dxa"/>
            <w:shd w:val="clear" w:color="auto" w:fill="auto"/>
            <w:vAlign w:val="center"/>
          </w:tcPr>
          <w:p w14:paraId="27744483">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113" w:type="dxa"/>
          </w:tcPr>
          <w:p w14:paraId="4FDEBE3F">
            <w:pPr>
              <w:widowControl/>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3135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011" w:type="dxa"/>
            <w:vMerge w:val="restart"/>
            <w:shd w:val="clear" w:color="auto" w:fill="auto"/>
            <w:vAlign w:val="center"/>
          </w:tcPr>
          <w:p w14:paraId="179663A5">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83" w:type="dxa"/>
            <w:vMerge w:val="restart"/>
            <w:shd w:val="clear" w:color="auto" w:fill="auto"/>
            <w:vAlign w:val="center"/>
          </w:tcPr>
          <w:p w14:paraId="39EB7040">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2156" w:type="dxa"/>
            <w:shd w:val="clear" w:color="auto" w:fill="auto"/>
            <w:vAlign w:val="center"/>
          </w:tcPr>
          <w:p w14:paraId="1F637824">
            <w:pPr>
              <w:widowControl/>
              <w:jc w:val="center"/>
              <w:rPr>
                <w:rFonts w:ascii="宋体" w:hAnsi="宋体" w:eastAsia="宋体" w:cs="Times New Roman"/>
                <w:kern w:val="0"/>
                <w:szCs w:val="21"/>
              </w:rPr>
            </w:pPr>
            <w:r>
              <w:rPr>
                <w:rFonts w:hint="eastAsia" w:ascii="宋体" w:hAnsi="宋体" w:eastAsia="宋体" w:cs="Times New Roman"/>
                <w:kern w:val="0"/>
                <w:szCs w:val="21"/>
              </w:rPr>
              <w:t>设计报告</w:t>
            </w:r>
          </w:p>
        </w:tc>
        <w:tc>
          <w:tcPr>
            <w:tcW w:w="1809" w:type="dxa"/>
            <w:shd w:val="clear" w:color="auto" w:fill="auto"/>
            <w:vAlign w:val="center"/>
          </w:tcPr>
          <w:p w14:paraId="78D53DEF">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13" w:type="dxa"/>
            <w:vMerge w:val="restart"/>
            <w:vAlign w:val="center"/>
          </w:tcPr>
          <w:p w14:paraId="50A1BD30">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2974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69E3C108">
            <w:pPr>
              <w:widowControl/>
              <w:jc w:val="left"/>
              <w:rPr>
                <w:rFonts w:ascii="宋体" w:hAnsi="宋体" w:eastAsia="宋体" w:cs="Times New Roman"/>
                <w:kern w:val="0"/>
                <w:szCs w:val="21"/>
              </w:rPr>
            </w:pPr>
          </w:p>
        </w:tc>
        <w:tc>
          <w:tcPr>
            <w:tcW w:w="1783" w:type="dxa"/>
            <w:vMerge w:val="continue"/>
            <w:shd w:val="clear" w:color="auto" w:fill="auto"/>
            <w:vAlign w:val="center"/>
          </w:tcPr>
          <w:p w14:paraId="4847A294">
            <w:pPr>
              <w:widowControl/>
              <w:jc w:val="left"/>
              <w:rPr>
                <w:rFonts w:ascii="宋体" w:hAnsi="宋体" w:eastAsia="宋体" w:cs="Times New Roman"/>
                <w:kern w:val="0"/>
                <w:szCs w:val="21"/>
              </w:rPr>
            </w:pPr>
          </w:p>
        </w:tc>
        <w:tc>
          <w:tcPr>
            <w:tcW w:w="2156" w:type="dxa"/>
            <w:shd w:val="clear" w:color="auto" w:fill="auto"/>
            <w:vAlign w:val="center"/>
          </w:tcPr>
          <w:p w14:paraId="43B31FD0">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809" w:type="dxa"/>
            <w:shd w:val="clear" w:color="auto" w:fill="auto"/>
            <w:vAlign w:val="center"/>
          </w:tcPr>
          <w:p w14:paraId="58701598">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3" w:type="dxa"/>
            <w:vMerge w:val="continue"/>
            <w:vAlign w:val="center"/>
          </w:tcPr>
          <w:p w14:paraId="4CAD008A">
            <w:pPr>
              <w:widowControl/>
              <w:jc w:val="center"/>
              <w:rPr>
                <w:rFonts w:ascii="宋体" w:hAnsi="宋体" w:eastAsia="宋体" w:cs="Times New Roman"/>
                <w:kern w:val="0"/>
                <w:szCs w:val="21"/>
              </w:rPr>
            </w:pPr>
          </w:p>
        </w:tc>
      </w:tr>
      <w:tr w14:paraId="14F3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restart"/>
            <w:shd w:val="clear" w:color="auto" w:fill="auto"/>
            <w:vAlign w:val="center"/>
          </w:tcPr>
          <w:p w14:paraId="063485EE">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83" w:type="dxa"/>
            <w:vMerge w:val="restart"/>
            <w:shd w:val="clear" w:color="auto" w:fill="auto"/>
            <w:vAlign w:val="center"/>
          </w:tcPr>
          <w:p w14:paraId="79B06D75">
            <w:pPr>
              <w:widowControl/>
              <w:jc w:val="center"/>
              <w:rPr>
                <w:rFonts w:ascii="宋体" w:hAnsi="宋体" w:eastAsia="宋体" w:cs="Times New Roman"/>
                <w:kern w:val="0"/>
                <w:szCs w:val="21"/>
              </w:rPr>
            </w:pPr>
            <w:r>
              <w:rPr>
                <w:rFonts w:ascii="宋体" w:hAnsi="宋体" w:eastAsia="宋体" w:cs="Times New Roman"/>
                <w:kern w:val="0"/>
                <w:szCs w:val="21"/>
              </w:rPr>
              <w:t>20</w:t>
            </w:r>
            <w:r>
              <w:rPr>
                <w:rFonts w:hint="eastAsia" w:ascii="宋体" w:hAnsi="宋体" w:eastAsia="宋体" w:cs="Times New Roman"/>
                <w:kern w:val="0"/>
                <w:szCs w:val="21"/>
              </w:rPr>
              <w:t>%</w:t>
            </w:r>
          </w:p>
        </w:tc>
        <w:tc>
          <w:tcPr>
            <w:tcW w:w="2156" w:type="dxa"/>
            <w:shd w:val="clear" w:color="auto" w:fill="auto"/>
            <w:vAlign w:val="center"/>
          </w:tcPr>
          <w:p w14:paraId="15BA9938">
            <w:pPr>
              <w:widowControl/>
              <w:jc w:val="center"/>
              <w:rPr>
                <w:rFonts w:ascii="宋体" w:hAnsi="宋体" w:eastAsia="宋体" w:cs="Times New Roman"/>
                <w:kern w:val="0"/>
                <w:szCs w:val="21"/>
              </w:rPr>
            </w:pPr>
            <w:r>
              <w:rPr>
                <w:rFonts w:hint="eastAsia" w:ascii="宋体" w:hAnsi="宋体" w:eastAsia="宋体" w:cs="Times New Roman"/>
                <w:kern w:val="0"/>
                <w:szCs w:val="21"/>
              </w:rPr>
              <w:t>设计报告</w:t>
            </w:r>
          </w:p>
        </w:tc>
        <w:tc>
          <w:tcPr>
            <w:tcW w:w="1809" w:type="dxa"/>
            <w:shd w:val="clear" w:color="auto" w:fill="auto"/>
            <w:vAlign w:val="center"/>
          </w:tcPr>
          <w:p w14:paraId="73E1BA73">
            <w:pPr>
              <w:widowControl/>
              <w:jc w:val="center"/>
              <w:rPr>
                <w:rFonts w:ascii="宋体" w:hAnsi="宋体" w:eastAsia="宋体" w:cs="Times New Roman"/>
                <w:kern w:val="0"/>
                <w:szCs w:val="21"/>
              </w:rPr>
            </w:pPr>
            <w:r>
              <w:rPr>
                <w:rFonts w:hint="eastAsia" w:ascii="宋体" w:hAnsi="宋体" w:eastAsia="宋体" w:cs="Times New Roman"/>
                <w:kern w:val="0"/>
                <w:szCs w:val="21"/>
              </w:rPr>
              <w:t>40%</w:t>
            </w:r>
            <w:r>
              <w:rPr>
                <w:rFonts w:ascii="宋体" w:hAnsi="宋体" w:eastAsia="宋体" w:cs="Times New Roman"/>
                <w:kern w:val="0"/>
                <w:szCs w:val="21"/>
              </w:rPr>
              <w:t xml:space="preserve"> </w:t>
            </w:r>
          </w:p>
        </w:tc>
        <w:tc>
          <w:tcPr>
            <w:tcW w:w="1113" w:type="dxa"/>
            <w:vMerge w:val="restart"/>
            <w:vAlign w:val="center"/>
          </w:tcPr>
          <w:p w14:paraId="392EDF3D">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D20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56650712">
            <w:pPr>
              <w:widowControl/>
              <w:jc w:val="left"/>
              <w:rPr>
                <w:rFonts w:ascii="宋体" w:hAnsi="宋体" w:eastAsia="宋体" w:cs="Times New Roman"/>
                <w:kern w:val="0"/>
                <w:szCs w:val="21"/>
              </w:rPr>
            </w:pPr>
          </w:p>
        </w:tc>
        <w:tc>
          <w:tcPr>
            <w:tcW w:w="1783" w:type="dxa"/>
            <w:vMerge w:val="continue"/>
            <w:shd w:val="clear" w:color="auto" w:fill="auto"/>
            <w:vAlign w:val="center"/>
          </w:tcPr>
          <w:p w14:paraId="02BC690B">
            <w:pPr>
              <w:widowControl/>
              <w:jc w:val="left"/>
              <w:rPr>
                <w:rFonts w:ascii="宋体" w:hAnsi="宋体" w:eastAsia="宋体" w:cs="Times New Roman"/>
                <w:kern w:val="0"/>
                <w:szCs w:val="21"/>
              </w:rPr>
            </w:pPr>
          </w:p>
        </w:tc>
        <w:tc>
          <w:tcPr>
            <w:tcW w:w="2156" w:type="dxa"/>
            <w:shd w:val="clear" w:color="auto" w:fill="auto"/>
            <w:vAlign w:val="center"/>
          </w:tcPr>
          <w:p w14:paraId="3BE93705">
            <w:pPr>
              <w:widowControl/>
              <w:jc w:val="center"/>
              <w:rPr>
                <w:rFonts w:ascii="宋体" w:hAnsi="宋体" w:eastAsia="宋体" w:cs="Times New Roman"/>
                <w:kern w:val="0"/>
                <w:szCs w:val="21"/>
              </w:rPr>
            </w:pPr>
            <w:r>
              <w:rPr>
                <w:rFonts w:hint="eastAsia" w:ascii="宋体" w:hAnsi="宋体" w:eastAsia="宋体" w:cs="Times New Roman"/>
                <w:kern w:val="0"/>
                <w:szCs w:val="21"/>
              </w:rPr>
              <w:t>作业1</w:t>
            </w:r>
          </w:p>
        </w:tc>
        <w:tc>
          <w:tcPr>
            <w:tcW w:w="1809" w:type="dxa"/>
            <w:shd w:val="clear" w:color="auto" w:fill="auto"/>
            <w:vAlign w:val="center"/>
          </w:tcPr>
          <w:p w14:paraId="2244377B">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3" w:type="dxa"/>
            <w:vMerge w:val="continue"/>
            <w:vAlign w:val="center"/>
          </w:tcPr>
          <w:p w14:paraId="374387D9">
            <w:pPr>
              <w:widowControl/>
              <w:jc w:val="center"/>
              <w:rPr>
                <w:rFonts w:ascii="宋体" w:hAnsi="宋体" w:eastAsia="宋体" w:cs="Times New Roman"/>
                <w:kern w:val="0"/>
                <w:szCs w:val="21"/>
              </w:rPr>
            </w:pPr>
          </w:p>
        </w:tc>
      </w:tr>
      <w:tr w14:paraId="10C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016AF03C">
            <w:pPr>
              <w:widowControl/>
              <w:jc w:val="left"/>
              <w:rPr>
                <w:rFonts w:ascii="宋体" w:hAnsi="宋体" w:eastAsia="宋体" w:cs="Times New Roman"/>
                <w:kern w:val="0"/>
                <w:szCs w:val="21"/>
              </w:rPr>
            </w:pPr>
          </w:p>
        </w:tc>
        <w:tc>
          <w:tcPr>
            <w:tcW w:w="1783" w:type="dxa"/>
            <w:vMerge w:val="continue"/>
            <w:shd w:val="clear" w:color="auto" w:fill="auto"/>
            <w:vAlign w:val="center"/>
          </w:tcPr>
          <w:p w14:paraId="607238B6">
            <w:pPr>
              <w:widowControl/>
              <w:jc w:val="left"/>
              <w:rPr>
                <w:rFonts w:ascii="宋体" w:hAnsi="宋体" w:eastAsia="宋体" w:cs="Times New Roman"/>
                <w:kern w:val="0"/>
                <w:szCs w:val="21"/>
              </w:rPr>
            </w:pPr>
          </w:p>
        </w:tc>
        <w:tc>
          <w:tcPr>
            <w:tcW w:w="2156" w:type="dxa"/>
            <w:shd w:val="clear" w:color="auto" w:fill="auto"/>
            <w:vAlign w:val="center"/>
          </w:tcPr>
          <w:p w14:paraId="02C7C857">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09" w:type="dxa"/>
            <w:shd w:val="clear" w:color="auto" w:fill="auto"/>
            <w:vAlign w:val="center"/>
          </w:tcPr>
          <w:p w14:paraId="3801FF79">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3" w:type="dxa"/>
            <w:vMerge w:val="continue"/>
            <w:vAlign w:val="center"/>
          </w:tcPr>
          <w:p w14:paraId="3791E768">
            <w:pPr>
              <w:widowControl/>
              <w:jc w:val="center"/>
              <w:rPr>
                <w:rFonts w:ascii="宋体" w:hAnsi="宋体" w:eastAsia="宋体" w:cs="Times New Roman"/>
                <w:kern w:val="0"/>
                <w:szCs w:val="21"/>
              </w:rPr>
            </w:pPr>
          </w:p>
        </w:tc>
      </w:tr>
      <w:tr w14:paraId="683F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restart"/>
            <w:shd w:val="clear" w:color="auto" w:fill="auto"/>
            <w:vAlign w:val="center"/>
          </w:tcPr>
          <w:p w14:paraId="2276D11A">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83" w:type="dxa"/>
            <w:vMerge w:val="restart"/>
            <w:shd w:val="clear" w:color="auto" w:fill="auto"/>
            <w:vAlign w:val="center"/>
          </w:tcPr>
          <w:p w14:paraId="665B0889">
            <w:pPr>
              <w:widowControl/>
              <w:jc w:val="center"/>
              <w:rPr>
                <w:rFonts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r>
              <w:rPr>
                <w:rFonts w:hint="eastAsia" w:ascii="宋体" w:hAnsi="宋体" w:eastAsia="宋体" w:cs="Times New Roman"/>
                <w:kern w:val="0"/>
                <w:szCs w:val="21"/>
              </w:rPr>
              <w:t>%</w:t>
            </w:r>
          </w:p>
        </w:tc>
        <w:tc>
          <w:tcPr>
            <w:tcW w:w="2156" w:type="dxa"/>
            <w:shd w:val="clear" w:color="auto" w:fill="auto"/>
            <w:vAlign w:val="center"/>
          </w:tcPr>
          <w:p w14:paraId="3C0E1E4B">
            <w:pPr>
              <w:widowControl/>
              <w:jc w:val="center"/>
              <w:rPr>
                <w:rFonts w:ascii="宋体" w:hAnsi="宋体" w:eastAsia="宋体" w:cs="Times New Roman"/>
                <w:kern w:val="0"/>
                <w:szCs w:val="21"/>
              </w:rPr>
            </w:pPr>
            <w:r>
              <w:rPr>
                <w:rFonts w:hint="eastAsia" w:ascii="宋体" w:hAnsi="宋体" w:eastAsia="宋体" w:cs="Times New Roman"/>
                <w:kern w:val="0"/>
                <w:szCs w:val="21"/>
              </w:rPr>
              <w:t>设计报告</w:t>
            </w:r>
          </w:p>
        </w:tc>
        <w:tc>
          <w:tcPr>
            <w:tcW w:w="1809" w:type="dxa"/>
            <w:shd w:val="clear" w:color="auto" w:fill="auto"/>
            <w:vAlign w:val="center"/>
          </w:tcPr>
          <w:p w14:paraId="12DBA3C6">
            <w:pPr>
              <w:widowControl/>
              <w:jc w:val="center"/>
              <w:rPr>
                <w:rFonts w:ascii="宋体" w:hAnsi="宋体" w:eastAsia="宋体" w:cs="Times New Roman"/>
                <w:kern w:val="0"/>
                <w:szCs w:val="21"/>
              </w:rPr>
            </w:pPr>
            <w:r>
              <w:rPr>
                <w:rFonts w:hint="eastAsia" w:ascii="宋体" w:hAnsi="宋体" w:eastAsia="宋体" w:cs="Times New Roman"/>
                <w:kern w:val="0"/>
                <w:szCs w:val="21"/>
              </w:rPr>
              <w:t>50%</w:t>
            </w:r>
          </w:p>
        </w:tc>
        <w:tc>
          <w:tcPr>
            <w:tcW w:w="1113" w:type="dxa"/>
            <w:vMerge w:val="restart"/>
            <w:vAlign w:val="center"/>
          </w:tcPr>
          <w:p w14:paraId="4F2ECBCC">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1983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31B59DEC">
            <w:pPr>
              <w:widowControl/>
              <w:jc w:val="left"/>
              <w:rPr>
                <w:rFonts w:ascii="宋体" w:hAnsi="宋体" w:eastAsia="宋体" w:cs="Times New Roman"/>
                <w:kern w:val="0"/>
                <w:szCs w:val="21"/>
              </w:rPr>
            </w:pPr>
          </w:p>
        </w:tc>
        <w:tc>
          <w:tcPr>
            <w:tcW w:w="1783" w:type="dxa"/>
            <w:vMerge w:val="continue"/>
            <w:shd w:val="clear" w:color="auto" w:fill="auto"/>
            <w:vAlign w:val="center"/>
          </w:tcPr>
          <w:p w14:paraId="594A2796">
            <w:pPr>
              <w:widowControl/>
              <w:jc w:val="left"/>
              <w:rPr>
                <w:rFonts w:ascii="宋体" w:hAnsi="宋体" w:eastAsia="宋体" w:cs="Times New Roman"/>
                <w:kern w:val="0"/>
                <w:szCs w:val="21"/>
              </w:rPr>
            </w:pPr>
          </w:p>
        </w:tc>
        <w:tc>
          <w:tcPr>
            <w:tcW w:w="2156" w:type="dxa"/>
            <w:shd w:val="clear" w:color="auto" w:fill="auto"/>
            <w:vAlign w:val="center"/>
          </w:tcPr>
          <w:p w14:paraId="3CEB4D28">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09" w:type="dxa"/>
            <w:shd w:val="clear" w:color="auto" w:fill="auto"/>
            <w:vAlign w:val="center"/>
          </w:tcPr>
          <w:p w14:paraId="10FEE689">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113" w:type="dxa"/>
            <w:vMerge w:val="continue"/>
            <w:vAlign w:val="center"/>
          </w:tcPr>
          <w:p w14:paraId="31975EDA">
            <w:pPr>
              <w:widowControl/>
              <w:jc w:val="center"/>
              <w:rPr>
                <w:rFonts w:ascii="宋体" w:hAnsi="宋体" w:eastAsia="宋体" w:cs="Times New Roman"/>
                <w:kern w:val="0"/>
                <w:szCs w:val="21"/>
              </w:rPr>
            </w:pPr>
          </w:p>
        </w:tc>
      </w:tr>
      <w:tr w14:paraId="65DD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28728AC3">
            <w:pPr>
              <w:widowControl/>
              <w:jc w:val="left"/>
              <w:rPr>
                <w:rFonts w:ascii="宋体" w:hAnsi="宋体" w:eastAsia="宋体" w:cs="Times New Roman"/>
                <w:kern w:val="0"/>
                <w:szCs w:val="21"/>
              </w:rPr>
            </w:pPr>
          </w:p>
        </w:tc>
        <w:tc>
          <w:tcPr>
            <w:tcW w:w="1783" w:type="dxa"/>
            <w:vMerge w:val="continue"/>
            <w:shd w:val="clear" w:color="auto" w:fill="auto"/>
            <w:vAlign w:val="center"/>
          </w:tcPr>
          <w:p w14:paraId="06F14D90">
            <w:pPr>
              <w:widowControl/>
              <w:jc w:val="left"/>
              <w:rPr>
                <w:rFonts w:ascii="宋体" w:hAnsi="宋体" w:eastAsia="宋体" w:cs="Times New Roman"/>
                <w:kern w:val="0"/>
                <w:szCs w:val="21"/>
              </w:rPr>
            </w:pPr>
          </w:p>
        </w:tc>
        <w:tc>
          <w:tcPr>
            <w:tcW w:w="2156" w:type="dxa"/>
            <w:shd w:val="clear" w:color="auto" w:fill="auto"/>
            <w:vAlign w:val="center"/>
          </w:tcPr>
          <w:p w14:paraId="636DC7A5">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09" w:type="dxa"/>
            <w:shd w:val="clear" w:color="auto" w:fill="auto"/>
            <w:vAlign w:val="center"/>
          </w:tcPr>
          <w:p w14:paraId="7CDB1AF4">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3" w:type="dxa"/>
            <w:vMerge w:val="continue"/>
            <w:vAlign w:val="center"/>
          </w:tcPr>
          <w:p w14:paraId="30751E73">
            <w:pPr>
              <w:widowControl/>
              <w:jc w:val="center"/>
              <w:rPr>
                <w:rFonts w:ascii="宋体" w:hAnsi="宋体" w:eastAsia="宋体" w:cs="Times New Roman"/>
                <w:kern w:val="0"/>
                <w:szCs w:val="21"/>
              </w:rPr>
            </w:pPr>
          </w:p>
        </w:tc>
      </w:tr>
      <w:tr w14:paraId="157B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restart"/>
            <w:shd w:val="clear" w:color="auto" w:fill="auto"/>
            <w:vAlign w:val="center"/>
          </w:tcPr>
          <w:p w14:paraId="4AFC0E3D">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83" w:type="dxa"/>
            <w:vMerge w:val="restart"/>
            <w:shd w:val="clear" w:color="auto" w:fill="auto"/>
            <w:vAlign w:val="center"/>
          </w:tcPr>
          <w:p w14:paraId="1F617879">
            <w:pPr>
              <w:widowControl/>
              <w:jc w:val="center"/>
              <w:rPr>
                <w:rFonts w:ascii="宋体" w:hAnsi="宋体" w:eastAsia="宋体" w:cs="Times New Roman"/>
                <w:kern w:val="0"/>
                <w:szCs w:val="21"/>
              </w:rPr>
            </w:pPr>
            <w:r>
              <w:rPr>
                <w:rFonts w:ascii="宋体" w:hAnsi="宋体" w:eastAsia="宋体" w:cs="Times New Roman"/>
                <w:kern w:val="0"/>
                <w:szCs w:val="21"/>
              </w:rPr>
              <w:t>40</w:t>
            </w:r>
            <w:r>
              <w:rPr>
                <w:rFonts w:hint="eastAsia" w:ascii="宋体" w:hAnsi="宋体" w:eastAsia="宋体" w:cs="Times New Roman"/>
                <w:kern w:val="0"/>
                <w:szCs w:val="21"/>
              </w:rPr>
              <w:t>%</w:t>
            </w:r>
          </w:p>
        </w:tc>
        <w:tc>
          <w:tcPr>
            <w:tcW w:w="2156" w:type="dxa"/>
            <w:shd w:val="clear" w:color="auto" w:fill="auto"/>
            <w:vAlign w:val="center"/>
          </w:tcPr>
          <w:p w14:paraId="436CCB64">
            <w:pPr>
              <w:widowControl/>
              <w:jc w:val="center"/>
              <w:rPr>
                <w:rFonts w:ascii="宋体" w:hAnsi="宋体" w:eastAsia="宋体" w:cs="Times New Roman"/>
                <w:kern w:val="0"/>
                <w:szCs w:val="21"/>
              </w:rPr>
            </w:pPr>
            <w:r>
              <w:rPr>
                <w:rFonts w:hint="eastAsia" w:ascii="宋体" w:hAnsi="宋体" w:eastAsia="宋体" w:cs="Times New Roman"/>
                <w:kern w:val="0"/>
                <w:szCs w:val="21"/>
              </w:rPr>
              <w:t>设计报告</w:t>
            </w:r>
          </w:p>
        </w:tc>
        <w:tc>
          <w:tcPr>
            <w:tcW w:w="1809" w:type="dxa"/>
            <w:shd w:val="clear" w:color="auto" w:fill="auto"/>
            <w:vAlign w:val="center"/>
          </w:tcPr>
          <w:p w14:paraId="2E73CF7C">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113" w:type="dxa"/>
            <w:vMerge w:val="restart"/>
            <w:vAlign w:val="center"/>
          </w:tcPr>
          <w:p w14:paraId="208F9190">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437D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1529F2DB">
            <w:pPr>
              <w:widowControl/>
              <w:jc w:val="left"/>
              <w:rPr>
                <w:rFonts w:ascii="宋体" w:hAnsi="宋体" w:eastAsia="宋体" w:cs="Times New Roman"/>
                <w:kern w:val="0"/>
                <w:szCs w:val="21"/>
              </w:rPr>
            </w:pPr>
          </w:p>
        </w:tc>
        <w:tc>
          <w:tcPr>
            <w:tcW w:w="1783" w:type="dxa"/>
            <w:vMerge w:val="continue"/>
            <w:shd w:val="clear" w:color="auto" w:fill="auto"/>
            <w:vAlign w:val="center"/>
          </w:tcPr>
          <w:p w14:paraId="0CE257CB">
            <w:pPr>
              <w:widowControl/>
              <w:jc w:val="left"/>
              <w:rPr>
                <w:rFonts w:ascii="宋体" w:hAnsi="宋体" w:eastAsia="宋体" w:cs="Times New Roman"/>
                <w:kern w:val="0"/>
                <w:szCs w:val="21"/>
              </w:rPr>
            </w:pPr>
          </w:p>
        </w:tc>
        <w:tc>
          <w:tcPr>
            <w:tcW w:w="2156" w:type="dxa"/>
            <w:shd w:val="clear" w:color="auto" w:fill="auto"/>
            <w:vAlign w:val="center"/>
          </w:tcPr>
          <w:p w14:paraId="4BFDFF3C">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09" w:type="dxa"/>
            <w:shd w:val="clear" w:color="auto" w:fill="auto"/>
            <w:vAlign w:val="center"/>
          </w:tcPr>
          <w:p w14:paraId="23E99913">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3" w:type="dxa"/>
            <w:vMerge w:val="continue"/>
          </w:tcPr>
          <w:p w14:paraId="6512FDC0">
            <w:pPr>
              <w:widowControl/>
              <w:jc w:val="center"/>
              <w:rPr>
                <w:rFonts w:ascii="宋体" w:hAnsi="宋体" w:eastAsia="宋体" w:cs="Times New Roman"/>
                <w:kern w:val="0"/>
                <w:szCs w:val="21"/>
              </w:rPr>
            </w:pPr>
          </w:p>
        </w:tc>
      </w:tr>
      <w:tr w14:paraId="2C7E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11" w:type="dxa"/>
            <w:vMerge w:val="continue"/>
            <w:shd w:val="clear" w:color="auto" w:fill="auto"/>
            <w:vAlign w:val="center"/>
          </w:tcPr>
          <w:p w14:paraId="26059DF4">
            <w:pPr>
              <w:widowControl/>
              <w:jc w:val="left"/>
              <w:rPr>
                <w:rFonts w:ascii="宋体" w:hAnsi="宋体" w:eastAsia="宋体" w:cs="Times New Roman"/>
                <w:kern w:val="0"/>
                <w:szCs w:val="21"/>
              </w:rPr>
            </w:pPr>
          </w:p>
        </w:tc>
        <w:tc>
          <w:tcPr>
            <w:tcW w:w="1783" w:type="dxa"/>
            <w:vMerge w:val="continue"/>
            <w:shd w:val="clear" w:color="auto" w:fill="auto"/>
            <w:vAlign w:val="center"/>
          </w:tcPr>
          <w:p w14:paraId="31269C07">
            <w:pPr>
              <w:widowControl/>
              <w:jc w:val="left"/>
              <w:rPr>
                <w:rFonts w:ascii="宋体" w:hAnsi="宋体" w:eastAsia="宋体" w:cs="Times New Roman"/>
                <w:kern w:val="0"/>
                <w:szCs w:val="21"/>
              </w:rPr>
            </w:pPr>
          </w:p>
        </w:tc>
        <w:tc>
          <w:tcPr>
            <w:tcW w:w="2156" w:type="dxa"/>
            <w:shd w:val="clear" w:color="auto" w:fill="auto"/>
            <w:vAlign w:val="center"/>
          </w:tcPr>
          <w:p w14:paraId="065FE172">
            <w:pPr>
              <w:widowControl/>
              <w:jc w:val="center"/>
              <w:rPr>
                <w:rFonts w:ascii="宋体" w:hAnsi="宋体" w:eastAsia="宋体" w:cs="Times New Roman"/>
                <w:kern w:val="0"/>
                <w:szCs w:val="21"/>
              </w:rPr>
            </w:pPr>
            <w:r>
              <w:rPr>
                <w:rFonts w:hint="eastAsia" w:ascii="宋体" w:hAnsi="宋体" w:eastAsia="宋体" w:cs="Times New Roman"/>
                <w:kern w:val="0"/>
                <w:szCs w:val="21"/>
              </w:rPr>
              <w:t>课内实践</w:t>
            </w:r>
          </w:p>
        </w:tc>
        <w:tc>
          <w:tcPr>
            <w:tcW w:w="1809" w:type="dxa"/>
            <w:shd w:val="clear" w:color="auto" w:fill="auto"/>
            <w:vAlign w:val="center"/>
          </w:tcPr>
          <w:p w14:paraId="6EA1F3E4">
            <w:pPr>
              <w:widowControl/>
              <w:jc w:val="center"/>
              <w:rPr>
                <w:rFonts w:ascii="宋体" w:hAnsi="宋体" w:eastAsia="宋体" w:cs="Times New Roman"/>
                <w:kern w:val="0"/>
                <w:szCs w:val="21"/>
              </w:rPr>
            </w:pPr>
            <w:r>
              <w:rPr>
                <w:rFonts w:hint="eastAsia" w:ascii="宋体" w:hAnsi="宋体" w:eastAsia="宋体" w:cs="Times New Roman"/>
                <w:kern w:val="0"/>
                <w:szCs w:val="21"/>
              </w:rPr>
              <w:t>50%</w:t>
            </w:r>
            <w:r>
              <w:rPr>
                <w:rFonts w:ascii="宋体" w:hAnsi="宋体" w:eastAsia="宋体" w:cs="Times New Roman"/>
                <w:kern w:val="0"/>
                <w:szCs w:val="21"/>
              </w:rPr>
              <w:t xml:space="preserve"> </w:t>
            </w:r>
          </w:p>
        </w:tc>
        <w:tc>
          <w:tcPr>
            <w:tcW w:w="1113" w:type="dxa"/>
            <w:vMerge w:val="continue"/>
          </w:tcPr>
          <w:p w14:paraId="3F26F206">
            <w:pPr>
              <w:widowControl/>
              <w:jc w:val="center"/>
              <w:rPr>
                <w:rFonts w:ascii="宋体" w:hAnsi="宋体" w:eastAsia="宋体" w:cs="Times New Roman"/>
                <w:kern w:val="0"/>
                <w:szCs w:val="21"/>
              </w:rPr>
            </w:pPr>
          </w:p>
        </w:tc>
      </w:tr>
      <w:tr w14:paraId="08B1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011" w:type="dxa"/>
            <w:shd w:val="clear" w:color="auto" w:fill="auto"/>
            <w:vAlign w:val="center"/>
          </w:tcPr>
          <w:p w14:paraId="68484A18">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783" w:type="dxa"/>
            <w:shd w:val="clear" w:color="auto" w:fill="auto"/>
            <w:vAlign w:val="center"/>
          </w:tcPr>
          <w:p w14:paraId="2B637602">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080" w:type="dxa"/>
            <w:gridSpan w:val="3"/>
            <w:shd w:val="clear" w:color="auto" w:fill="auto"/>
            <w:vAlign w:val="center"/>
          </w:tcPr>
          <w:p w14:paraId="04FE2799">
            <w:pPr>
              <w:widowControl/>
              <w:jc w:val="center"/>
              <w:rPr>
                <w:rFonts w:ascii="宋体" w:hAnsi="宋体" w:eastAsia="宋体" w:cs="Times New Roman"/>
                <w:kern w:val="0"/>
                <w:szCs w:val="21"/>
              </w:rPr>
            </w:pPr>
          </w:p>
        </w:tc>
      </w:tr>
    </w:tbl>
    <w:p w14:paraId="2ACD83AB">
      <w:pPr>
        <w:spacing w:line="360" w:lineRule="auto"/>
        <w:ind w:firstLine="480"/>
        <w:rPr>
          <w:rFonts w:ascii="宋体" w:hAnsi="宋体" w:eastAsia="宋体" w:cs="Times New Roman"/>
          <w:sz w:val="24"/>
        </w:rPr>
      </w:pPr>
    </w:p>
    <w:p w14:paraId="4186067C">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0103BCDA">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626D58F5">
      <w:pPr>
        <w:spacing w:line="360" w:lineRule="auto"/>
        <w:rPr>
          <w:rFonts w:ascii="宋体" w:hAnsi="宋体" w:eastAsia="宋体" w:cs="Times New Roman"/>
          <w:sz w:val="24"/>
        </w:rPr>
      </w:pPr>
      <w:r>
        <w:rPr>
          <w:rFonts w:ascii="宋体" w:hAnsi="宋体" w:eastAsia="宋体" w:cs="Times New Roman"/>
          <w:sz w:val="24"/>
        </w:rPr>
        <w:drawing>
          <wp:inline distT="0" distB="0" distL="0" distR="0">
            <wp:extent cx="5274310" cy="337185"/>
            <wp:effectExtent l="0" t="0" r="254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3736EAA3">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30D46166">
      <w:pPr>
        <w:spacing w:line="360" w:lineRule="auto"/>
        <w:ind w:firstLine="482" w:firstLineChars="200"/>
        <w:rPr>
          <w:rFonts w:ascii="宋体" w:hAnsi="宋体" w:eastAsia="宋体" w:cs="Times New Roman"/>
          <w:b/>
          <w:sz w:val="24"/>
        </w:rPr>
      </w:pPr>
      <w:bookmarkStart w:id="267" w:name="_Toc29395646"/>
      <w:r>
        <w:rPr>
          <w:rFonts w:hint="eastAsia" w:ascii="宋体" w:hAnsi="宋体" w:eastAsia="宋体" w:cs="Times New Roman"/>
          <w:b/>
          <w:sz w:val="24"/>
        </w:rPr>
        <w:t>（一）持续改进</w:t>
      </w:r>
      <w:bookmarkEnd w:id="267"/>
    </w:p>
    <w:p w14:paraId="466D97C0">
      <w:pPr>
        <w:spacing w:line="360" w:lineRule="auto"/>
        <w:ind w:firstLine="480" w:firstLineChars="200"/>
        <w:rPr>
          <w:rFonts w:ascii="宋体" w:hAnsi="宋体" w:eastAsia="宋体" w:cs="Times New Roman"/>
          <w:sz w:val="24"/>
        </w:rPr>
      </w:pPr>
      <w:r>
        <w:rPr>
          <w:rFonts w:ascii="宋体" w:hAnsi="宋体" w:eastAsia="宋体" w:cs="Times New Roman"/>
          <w:sz w:val="24"/>
        </w:rPr>
        <w:t>本课程根据学生作业、课堂讨论、模拟教学、说课、平时考核情况和学生、教学督导等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57DBA632">
      <w:pPr>
        <w:spacing w:line="360" w:lineRule="auto"/>
        <w:ind w:firstLine="482" w:firstLineChars="200"/>
        <w:rPr>
          <w:rFonts w:ascii="宋体" w:hAnsi="宋体" w:eastAsia="宋体" w:cs="Times New Roman"/>
          <w:b/>
          <w:sz w:val="24"/>
        </w:rPr>
      </w:pPr>
      <w:bookmarkStart w:id="268" w:name="_Toc29395647"/>
      <w:r>
        <w:rPr>
          <w:rFonts w:hint="eastAsia" w:ascii="宋体" w:hAnsi="宋体" w:eastAsia="宋体" w:cs="Times New Roman"/>
          <w:b/>
          <w:sz w:val="24"/>
        </w:rPr>
        <w:t>（二）</w:t>
      </w:r>
      <w:r>
        <w:rPr>
          <w:rFonts w:ascii="宋体" w:hAnsi="宋体" w:eastAsia="宋体" w:cs="Times New Roman"/>
          <w:b/>
          <w:sz w:val="24"/>
        </w:rPr>
        <w:t>参考书目及学习资料</w:t>
      </w:r>
      <w:bookmarkEnd w:id="268"/>
    </w:p>
    <w:p w14:paraId="49527A2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1．教材</w:t>
      </w:r>
    </w:p>
    <w:p w14:paraId="2F578FD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贾玉红等，《放飞梦想——航模制作初步》，北京航空航天大学出版社.</w:t>
      </w:r>
      <w:r>
        <w:rPr>
          <w:rFonts w:ascii="宋体" w:hAnsi="宋体" w:eastAsia="宋体" w:cs="Times New Roman"/>
          <w:sz w:val="24"/>
        </w:rPr>
        <w:t>2014</w:t>
      </w:r>
      <w:r>
        <w:rPr>
          <w:rFonts w:hint="eastAsia" w:ascii="宋体" w:hAnsi="宋体" w:eastAsia="宋体" w:cs="Times New Roman"/>
          <w:sz w:val="24"/>
        </w:rPr>
        <w:t>.</w:t>
      </w:r>
    </w:p>
    <w:p w14:paraId="27A315BC">
      <w:pPr>
        <w:spacing w:line="360" w:lineRule="auto"/>
        <w:ind w:firstLine="480" w:firstLineChars="200"/>
        <w:rPr>
          <w:rFonts w:ascii="宋体" w:hAnsi="宋体" w:eastAsia="宋体" w:cs="Times New Roman"/>
          <w:sz w:val="24"/>
        </w:rPr>
      </w:pPr>
      <w:bookmarkStart w:id="269" w:name="_Toc29395648"/>
      <w:r>
        <w:rPr>
          <w:rFonts w:hint="eastAsia" w:ascii="宋体" w:hAnsi="宋体" w:eastAsia="宋体" w:cs="Times New Roman"/>
          <w:sz w:val="24"/>
        </w:rPr>
        <w:t>2．教学参考书</w:t>
      </w:r>
      <w:bookmarkEnd w:id="269"/>
    </w:p>
    <w:p w14:paraId="4D57810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吕涛.遥控模型飞机入门.航空工业出版社,2011</w:t>
      </w:r>
      <w:r>
        <w:rPr>
          <w:rFonts w:ascii="宋体" w:hAnsi="宋体" w:eastAsia="宋体" w:cs="Times New Roman"/>
          <w:sz w:val="24"/>
        </w:rPr>
        <w:t>.</w:t>
      </w:r>
    </w:p>
    <w:p w14:paraId="381C938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陆耀华. 无线电遥控电动模型飞机. 航空工业出版社,2008</w:t>
      </w:r>
      <w:r>
        <w:rPr>
          <w:rFonts w:ascii="宋体" w:hAnsi="宋体" w:eastAsia="宋体" w:cs="Times New Roman"/>
          <w:sz w:val="24"/>
        </w:rPr>
        <w:t>.</w:t>
      </w:r>
    </w:p>
    <w:p w14:paraId="65811A7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刘星,司海清,蔡中长.飞行原理.科学出版社,2011</w:t>
      </w:r>
      <w:r>
        <w:rPr>
          <w:rFonts w:ascii="宋体" w:hAnsi="宋体" w:eastAsia="宋体" w:cs="Times New Roman"/>
          <w:sz w:val="24"/>
        </w:rPr>
        <w:t>.</w:t>
      </w:r>
    </w:p>
    <w:p w14:paraId="4EFCA320">
      <w:pPr>
        <w:autoSpaceDE w:val="0"/>
        <w:autoSpaceDN w:val="0"/>
        <w:adjustRightInd w:val="0"/>
        <w:spacing w:line="360" w:lineRule="auto"/>
        <w:ind w:firstLine="5280" w:firstLineChars="2200"/>
        <w:jc w:val="left"/>
        <w:rPr>
          <w:rFonts w:ascii="宋体" w:hAnsi="宋体" w:eastAsia="宋体" w:cs="Times New Roman"/>
          <w:kern w:val="0"/>
          <w:sz w:val="24"/>
          <w:szCs w:val="21"/>
        </w:rPr>
      </w:pPr>
    </w:p>
    <w:p w14:paraId="0CBD1E2B">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门艳忠</w:t>
      </w:r>
    </w:p>
    <w:p w14:paraId="32B474E1">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审定人：王  健</w:t>
      </w:r>
    </w:p>
    <w:p w14:paraId="019B93C2">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5BD1EDDB">
      <w:pPr>
        <w:widowControl/>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65D44509">
      <w:pPr>
        <w:widowControl/>
        <w:jc w:val="left"/>
        <w:rPr>
          <w:rFonts w:ascii="Times New Roman" w:hAnsi="Times New Roman" w:eastAsia="宋体" w:cs="Times New Roman"/>
          <w:b/>
          <w:bCs/>
          <w:sz w:val="30"/>
          <w:szCs w:val="24"/>
        </w:rPr>
      </w:pPr>
      <w:r>
        <w:rPr>
          <w:rFonts w:ascii="Times New Roman" w:hAnsi="Times New Roman" w:eastAsia="宋体" w:cs="Times New Roman"/>
          <w:b/>
          <w:bCs/>
          <w:sz w:val="30"/>
          <w:szCs w:val="24"/>
        </w:rPr>
        <w:br w:type="page"/>
      </w:r>
    </w:p>
    <w:p w14:paraId="4461E2F9">
      <w:pPr>
        <w:spacing w:line="360" w:lineRule="auto"/>
        <w:jc w:val="center"/>
        <w:outlineLvl w:val="0"/>
        <w:rPr>
          <w:rFonts w:ascii="宋体" w:hAnsi="宋体" w:eastAsia="宋体" w:cs="Times New Roman"/>
          <w:b/>
          <w:bCs/>
          <w:sz w:val="30"/>
          <w:szCs w:val="24"/>
        </w:rPr>
      </w:pPr>
      <w:bookmarkStart w:id="270" w:name="_Toc29395649"/>
      <w:bookmarkStart w:id="271" w:name="_Toc166165225"/>
      <w:r>
        <w:rPr>
          <w:rFonts w:hint="eastAsia" w:ascii="宋体" w:hAnsi="宋体" w:eastAsia="宋体" w:cs="Times New Roman"/>
          <w:b/>
          <w:bCs/>
          <w:sz w:val="30"/>
          <w:szCs w:val="24"/>
        </w:rPr>
        <w:t>机器人制作与训练</w:t>
      </w:r>
      <w:r>
        <w:rPr>
          <w:rFonts w:ascii="宋体" w:hAnsi="宋体" w:eastAsia="宋体" w:cs="Times New Roman"/>
          <w:b/>
          <w:bCs/>
          <w:sz w:val="30"/>
          <w:szCs w:val="24"/>
        </w:rPr>
        <w:t>课程教学大纲</w:t>
      </w:r>
      <w:bookmarkEnd w:id="270"/>
      <w:bookmarkEnd w:id="271"/>
    </w:p>
    <w:p w14:paraId="32379657">
      <w:pPr>
        <w:spacing w:line="360" w:lineRule="auto"/>
        <w:jc w:val="center"/>
        <w:rPr>
          <w:rFonts w:ascii="宋体" w:hAnsi="宋体" w:eastAsia="宋体" w:cs="Times New Roman"/>
          <w:b/>
          <w:bCs/>
          <w:sz w:val="30"/>
          <w:szCs w:val="24"/>
        </w:rPr>
      </w:pPr>
      <w:r>
        <w:rPr>
          <w:rFonts w:ascii="宋体" w:hAnsi="宋体" w:eastAsia="宋体" w:cs="Times New Roman"/>
          <w:b/>
          <w:bCs/>
          <w:sz w:val="30"/>
          <w:szCs w:val="24"/>
        </w:rPr>
        <w:t>（Robot Making and Training）</w:t>
      </w:r>
    </w:p>
    <w:p w14:paraId="3F8D43AC">
      <w:pPr>
        <w:spacing w:line="360" w:lineRule="auto"/>
        <w:ind w:firstLine="551" w:firstLineChars="196"/>
        <w:rPr>
          <w:rFonts w:ascii="宋体" w:hAnsi="宋体" w:eastAsia="宋体" w:cs="Times New Roman"/>
          <w:b/>
          <w:sz w:val="28"/>
          <w:szCs w:val="28"/>
        </w:rPr>
      </w:pPr>
      <w:bookmarkStart w:id="272" w:name="_Toc29395650"/>
      <w:r>
        <w:rPr>
          <w:rFonts w:ascii="宋体" w:hAnsi="宋体" w:eastAsia="宋体" w:cs="Times New Roman"/>
          <w:b/>
          <w:sz w:val="28"/>
          <w:szCs w:val="28"/>
        </w:rPr>
        <w:t>一、课程概况</w:t>
      </w:r>
      <w:bookmarkEnd w:id="272"/>
    </w:p>
    <w:p w14:paraId="008D5309">
      <w:pPr>
        <w:spacing w:line="360" w:lineRule="auto"/>
        <w:ind w:firstLine="482" w:firstLineChars="200"/>
        <w:rPr>
          <w:rFonts w:ascii="宋体" w:hAnsi="宋体" w:eastAsia="宋体" w:cs="Times New Roman"/>
          <w:kern w:val="0"/>
          <w:sz w:val="24"/>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ascii="宋体" w:hAnsi="宋体" w:eastAsia="宋体" w:cs="Times New Roman"/>
          <w:kern w:val="0"/>
          <w:sz w:val="24"/>
        </w:rPr>
        <w:t>2401035</w:t>
      </w:r>
    </w:p>
    <w:p w14:paraId="353E9488">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w:t>
      </w:r>
      <w:r>
        <w:rPr>
          <w:rFonts w:hint="eastAsia" w:ascii="宋体" w:hAnsi="宋体" w:eastAsia="宋体" w:cs="Times New Roman"/>
          <w:kern w:val="0"/>
          <w:sz w:val="24"/>
        </w:rPr>
        <w:t>2</w:t>
      </w:r>
    </w:p>
    <w:p w14:paraId="6D196754">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hint="eastAsia" w:ascii="宋体" w:hAnsi="宋体" w:eastAsia="宋体" w:cs="Times New Roman"/>
          <w:kern w:val="0"/>
          <w:sz w:val="24"/>
          <w:szCs w:val="24"/>
        </w:rPr>
        <w:t>32</w:t>
      </w:r>
      <w:r>
        <w:rPr>
          <w:rFonts w:ascii="宋体" w:hAnsi="宋体" w:eastAsia="宋体" w:cs="Times New Roman"/>
          <w:kern w:val="0"/>
          <w:sz w:val="24"/>
          <w:szCs w:val="24"/>
        </w:rPr>
        <w:t xml:space="preserve"> （其中：讲授学时</w:t>
      </w:r>
      <w:r>
        <w:rPr>
          <w:rFonts w:hint="eastAsia" w:ascii="宋体" w:hAnsi="宋体" w:eastAsia="宋体" w:cs="Times New Roman"/>
          <w:kern w:val="0"/>
          <w:sz w:val="24"/>
          <w:szCs w:val="24"/>
        </w:rPr>
        <w:t>16，</w:t>
      </w:r>
      <w:r>
        <w:rPr>
          <w:rFonts w:ascii="宋体" w:hAnsi="宋体" w:eastAsia="宋体" w:cs="Times New Roman"/>
          <w:kern w:val="0"/>
          <w:sz w:val="24"/>
          <w:szCs w:val="24"/>
        </w:rPr>
        <w:t xml:space="preserve"> 实践学时</w:t>
      </w:r>
      <w:r>
        <w:rPr>
          <w:rFonts w:hint="eastAsia" w:ascii="宋体" w:hAnsi="宋体" w:eastAsia="宋体" w:cs="Times New Roman"/>
          <w:kern w:val="0"/>
          <w:sz w:val="24"/>
          <w:szCs w:val="24"/>
        </w:rPr>
        <w:t>16</w:t>
      </w:r>
      <w:r>
        <w:rPr>
          <w:rFonts w:ascii="宋体" w:hAnsi="宋体" w:eastAsia="宋体" w:cs="Times New Roman"/>
          <w:kern w:val="0"/>
          <w:sz w:val="24"/>
          <w:szCs w:val="24"/>
        </w:rPr>
        <w:t>）</w:t>
      </w:r>
    </w:p>
    <w:p w14:paraId="3EBAD715">
      <w:pPr>
        <w:spacing w:line="360" w:lineRule="auto"/>
        <w:ind w:firstLine="482" w:firstLineChars="200"/>
        <w:jc w:val="left"/>
        <w:rPr>
          <w:rFonts w:ascii="宋体" w:hAnsi="宋体" w:eastAsia="宋体" w:cs="Times New Roman"/>
          <w:sz w:val="24"/>
        </w:rPr>
      </w:pPr>
      <w:r>
        <w:rPr>
          <w:rFonts w:ascii="宋体" w:hAnsi="宋体" w:eastAsia="宋体" w:cs="Times New Roman"/>
          <w:b/>
          <w:bCs/>
          <w:kern w:val="0"/>
          <w:sz w:val="24"/>
          <w:szCs w:val="24"/>
          <w:lang w:val="zh-CN"/>
        </w:rPr>
        <w:t>先修课程</w:t>
      </w:r>
      <w:r>
        <w:rPr>
          <w:rFonts w:ascii="宋体" w:hAnsi="宋体" w:eastAsia="宋体" w:cs="Times New Roman"/>
          <w:b/>
          <w:kern w:val="0"/>
          <w:sz w:val="24"/>
          <w:szCs w:val="24"/>
          <w:lang w:val="zh-CN"/>
        </w:rPr>
        <w:t>：</w:t>
      </w:r>
      <w:r>
        <w:rPr>
          <w:rFonts w:hint="eastAsia" w:ascii="宋体" w:hAnsi="宋体" w:eastAsia="宋体" w:cs="Times New Roman"/>
          <w:sz w:val="24"/>
        </w:rPr>
        <w:t>大学计算机信息基础</w:t>
      </w:r>
    </w:p>
    <w:p w14:paraId="76B1EC10">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ascii="宋体" w:hAnsi="宋体" w:eastAsia="宋体" w:cs="Times New Roman"/>
          <w:b/>
          <w:kern w:val="0"/>
          <w:sz w:val="24"/>
          <w:szCs w:val="24"/>
        </w:rPr>
        <w:t>：</w:t>
      </w:r>
      <w:r>
        <w:rPr>
          <w:rFonts w:hint="eastAsia" w:ascii="宋体" w:hAnsi="宋体" w:eastAsia="宋体" w:cs="Times New Roman"/>
          <w:kern w:val="0"/>
          <w:sz w:val="24"/>
          <w:szCs w:val="24"/>
        </w:rPr>
        <w:t>小学</w:t>
      </w:r>
      <w:r>
        <w:rPr>
          <w:rFonts w:ascii="宋体" w:hAnsi="宋体" w:eastAsia="宋体" w:cs="Times New Roman"/>
          <w:kern w:val="0"/>
          <w:sz w:val="24"/>
          <w:szCs w:val="24"/>
        </w:rPr>
        <w:t xml:space="preserve">教育                          </w:t>
      </w:r>
    </w:p>
    <w:p w14:paraId="18368140">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ascii="宋体" w:hAnsi="宋体" w:eastAsia="宋体" w:cs="Times New Roman"/>
          <w:kern w:val="0"/>
          <w:sz w:val="24"/>
          <w:szCs w:val="24"/>
        </w:rPr>
        <w:t>《</w:t>
      </w:r>
      <w:r>
        <w:rPr>
          <w:rFonts w:hint="eastAsia" w:ascii="宋体" w:hAnsi="宋体" w:eastAsia="宋体" w:cs="Times New Roman"/>
          <w:sz w:val="24"/>
        </w:rPr>
        <w:t>用Scratch与mBlock玩转mBot智能机器人</w:t>
      </w:r>
      <w:r>
        <w:rPr>
          <w:rFonts w:ascii="宋体" w:hAnsi="宋体" w:eastAsia="宋体" w:cs="Times New Roman"/>
          <w:sz w:val="24"/>
        </w:rPr>
        <w:t>》，</w:t>
      </w:r>
      <w:r>
        <w:rPr>
          <w:rFonts w:hint="eastAsia" w:ascii="宋体" w:hAnsi="宋体" w:eastAsia="宋体" w:cs="Times New Roman"/>
          <w:sz w:val="24"/>
        </w:rPr>
        <w:t xml:space="preserve"> 王丽君，人民邮电出版社</w:t>
      </w:r>
      <w:r>
        <w:rPr>
          <w:rFonts w:ascii="宋体" w:hAnsi="宋体" w:eastAsia="宋体" w:cs="Times New Roman"/>
          <w:sz w:val="24"/>
        </w:rPr>
        <w:t>，</w:t>
      </w:r>
      <w:r>
        <w:rPr>
          <w:rFonts w:ascii="宋体" w:hAnsi="宋体" w:eastAsia="宋体" w:cs="Times New Roman"/>
          <w:kern w:val="0"/>
          <w:sz w:val="24"/>
          <w:szCs w:val="24"/>
        </w:rPr>
        <w:t>201</w:t>
      </w:r>
      <w:r>
        <w:rPr>
          <w:rFonts w:hint="eastAsia" w:ascii="宋体" w:hAnsi="宋体" w:eastAsia="宋体" w:cs="Times New Roman"/>
          <w:kern w:val="0"/>
          <w:sz w:val="24"/>
          <w:szCs w:val="24"/>
        </w:rPr>
        <w:t>7.</w:t>
      </w:r>
    </w:p>
    <w:p w14:paraId="741F79C5">
      <w:pPr>
        <w:spacing w:line="360" w:lineRule="auto"/>
        <w:ind w:firstLine="482" w:firstLineChars="200"/>
        <w:rPr>
          <w:rFonts w:ascii="宋体" w:hAnsi="宋体" w:eastAsia="宋体" w:cs="Times New Roman"/>
          <w:sz w:val="24"/>
        </w:rPr>
      </w:pPr>
      <w:r>
        <w:rPr>
          <w:rFonts w:ascii="宋体" w:hAnsi="宋体" w:eastAsia="宋体" w:cs="Times New Roman"/>
          <w:b/>
          <w:bCs/>
          <w:kern w:val="0"/>
          <w:sz w:val="24"/>
          <w:szCs w:val="24"/>
        </w:rPr>
        <w:t>课程归口：</w:t>
      </w:r>
      <w:r>
        <w:rPr>
          <w:rFonts w:hint="eastAsia" w:ascii="宋体" w:hAnsi="宋体" w:eastAsia="宋体" w:cs="Times New Roman"/>
          <w:sz w:val="24"/>
        </w:rPr>
        <w:t>师范</w:t>
      </w:r>
      <w:r>
        <w:rPr>
          <w:rFonts w:ascii="宋体" w:hAnsi="宋体" w:eastAsia="宋体" w:cs="Times New Roman"/>
          <w:sz w:val="24"/>
        </w:rPr>
        <w:t>学院</w:t>
      </w:r>
    </w:p>
    <w:p w14:paraId="62A149DF">
      <w:pPr>
        <w:autoSpaceDE w:val="0"/>
        <w:autoSpaceDN w:val="0"/>
        <w:adjustRightInd w:val="0"/>
        <w:spacing w:line="360" w:lineRule="auto"/>
        <w:ind w:firstLine="482" w:firstLineChars="200"/>
        <w:jc w:val="left"/>
        <w:rPr>
          <w:rFonts w:ascii="宋体" w:hAnsi="宋体" w:eastAsia="宋体" w:cs="Times New Roman"/>
          <w:kern w:val="0"/>
          <w:sz w:val="24"/>
        </w:rPr>
      </w:pPr>
      <w:r>
        <w:rPr>
          <w:rFonts w:hint="eastAsia" w:ascii="宋体" w:hAnsi="宋体" w:eastAsia="宋体" w:cs="Times New Roman"/>
          <w:b/>
          <w:bCs/>
          <w:kern w:val="0"/>
          <w:sz w:val="24"/>
          <w:szCs w:val="24"/>
        </w:rPr>
        <w:t>课程的性质与任务：</w:t>
      </w:r>
      <w:r>
        <w:rPr>
          <w:rFonts w:hint="eastAsia" w:ascii="宋体" w:hAnsi="宋体" w:eastAsia="宋体" w:cs="Times New Roman"/>
          <w:kern w:val="0"/>
          <w:sz w:val="24"/>
          <w:szCs w:val="24"/>
        </w:rPr>
        <w:t>本课程</w:t>
      </w:r>
      <w:r>
        <w:rPr>
          <w:rFonts w:ascii="宋体" w:hAnsi="宋体" w:eastAsia="宋体" w:cs="Times New Roman"/>
          <w:kern w:val="0"/>
          <w:sz w:val="24"/>
          <w:szCs w:val="24"/>
        </w:rPr>
        <w:t>是</w:t>
      </w:r>
      <w:r>
        <w:rPr>
          <w:rFonts w:hint="eastAsia" w:ascii="宋体" w:hAnsi="宋体" w:eastAsia="宋体" w:cs="Times New Roman"/>
          <w:bCs/>
          <w:kern w:val="0"/>
          <w:sz w:val="24"/>
          <w:szCs w:val="24"/>
        </w:rPr>
        <w:t>小学教育</w:t>
      </w:r>
      <w:r>
        <w:rPr>
          <w:rFonts w:ascii="宋体" w:hAnsi="宋体" w:eastAsia="宋体" w:cs="Times New Roman"/>
          <w:kern w:val="0"/>
          <w:sz w:val="24"/>
          <w:szCs w:val="24"/>
        </w:rPr>
        <w:t>专业的一门</w:t>
      </w:r>
      <w:r>
        <w:rPr>
          <w:rFonts w:hint="eastAsia" w:ascii="宋体" w:hAnsi="宋体" w:eastAsia="宋体" w:cs="Times New Roman"/>
          <w:kern w:val="0"/>
          <w:sz w:val="24"/>
          <w:szCs w:val="24"/>
        </w:rPr>
        <w:t>专业选修</w:t>
      </w:r>
      <w:r>
        <w:rPr>
          <w:rFonts w:ascii="宋体" w:hAnsi="宋体" w:eastAsia="宋体" w:cs="Times New Roman"/>
          <w:kern w:val="0"/>
          <w:sz w:val="24"/>
          <w:szCs w:val="24"/>
        </w:rPr>
        <w:t>课程</w:t>
      </w:r>
      <w:r>
        <w:rPr>
          <w:rFonts w:hint="eastAsia" w:ascii="宋体" w:hAnsi="宋体" w:eastAsia="宋体" w:cs="Times New Roman"/>
          <w:kern w:val="0"/>
          <w:sz w:val="24"/>
        </w:rPr>
        <w:t>。通过本课程学习，培养学生设计、组装、编程和运行机器人的能力，使学生全面掌握小学机器人科学教育活动的内涵、价值、目标、内容、方法和不同类型机器人科学教育活动设计指导方法，具有开展小学机器人科学教育及竞赛活动的基本技能，为后续STEAM课程设计</w:t>
      </w:r>
      <w:r>
        <w:rPr>
          <w:rFonts w:ascii="宋体" w:hAnsi="宋体" w:eastAsia="宋体" w:cs="Times New Roman"/>
          <w:kern w:val="0"/>
          <w:sz w:val="24"/>
        </w:rPr>
        <w:t>及教育实习环节奠定基础。</w:t>
      </w:r>
    </w:p>
    <w:p w14:paraId="3A821A0E">
      <w:pPr>
        <w:autoSpaceDE w:val="0"/>
        <w:autoSpaceDN w:val="0"/>
        <w:adjustRightInd w:val="0"/>
        <w:spacing w:line="360" w:lineRule="auto"/>
        <w:ind w:firstLine="480" w:firstLineChars="200"/>
        <w:jc w:val="left"/>
        <w:rPr>
          <w:rFonts w:ascii="宋体" w:hAnsi="宋体" w:eastAsia="宋体" w:cs="Times New Roman"/>
          <w:kern w:val="0"/>
          <w:sz w:val="24"/>
        </w:rPr>
      </w:pPr>
    </w:p>
    <w:p w14:paraId="598575BE">
      <w:pPr>
        <w:spacing w:line="360" w:lineRule="auto"/>
        <w:ind w:firstLine="562" w:firstLineChars="200"/>
        <w:rPr>
          <w:rFonts w:ascii="宋体" w:hAnsi="宋体" w:eastAsia="宋体" w:cs="Times New Roman"/>
          <w:b/>
          <w:sz w:val="28"/>
          <w:szCs w:val="28"/>
        </w:rPr>
      </w:pPr>
      <w:bookmarkStart w:id="273" w:name="_Toc29395651"/>
      <w:r>
        <w:rPr>
          <w:rFonts w:hint="eastAsia" w:ascii="宋体" w:hAnsi="宋体" w:eastAsia="宋体" w:cs="Times New Roman"/>
          <w:b/>
          <w:sz w:val="28"/>
          <w:szCs w:val="28"/>
        </w:rPr>
        <w:t>二</w:t>
      </w:r>
      <w:r>
        <w:rPr>
          <w:rFonts w:ascii="宋体" w:hAnsi="宋体" w:eastAsia="宋体" w:cs="Times New Roman"/>
          <w:b/>
          <w:sz w:val="28"/>
          <w:szCs w:val="28"/>
        </w:rPr>
        <w:t>、课程目标</w:t>
      </w:r>
      <w:bookmarkEnd w:id="273"/>
    </w:p>
    <w:p w14:paraId="73AC25B9">
      <w:pPr>
        <w:spacing w:line="360" w:lineRule="auto"/>
        <w:ind w:firstLine="562" w:firstLineChars="200"/>
        <w:rPr>
          <w:rFonts w:ascii="宋体" w:hAnsi="宋体" w:eastAsia="宋体" w:cs="Times New Roman"/>
          <w:b/>
          <w:sz w:val="28"/>
          <w:szCs w:val="28"/>
        </w:rPr>
      </w:pPr>
      <w:bookmarkStart w:id="274" w:name="_Toc29395652"/>
      <w:r>
        <w:rPr>
          <w:rFonts w:hint="eastAsia" w:ascii="宋体" w:hAnsi="宋体" w:eastAsia="宋体" w:cs="Times New Roman"/>
          <w:b/>
          <w:sz w:val="28"/>
          <w:szCs w:val="28"/>
        </w:rPr>
        <w:t>（一）课程具体目标</w:t>
      </w:r>
      <w:bookmarkEnd w:id="274"/>
    </w:p>
    <w:p w14:paraId="39ABCC4C">
      <w:pPr>
        <w:spacing w:line="360" w:lineRule="auto"/>
        <w:ind w:firstLine="480" w:firstLineChars="200"/>
        <w:rPr>
          <w:rFonts w:ascii="宋体" w:hAnsi="宋体" w:eastAsia="宋体" w:cs="Times New Roman"/>
          <w:sz w:val="24"/>
          <w:szCs w:val="24"/>
        </w:rPr>
      </w:pPr>
      <w:r>
        <w:rPr>
          <w:rFonts w:hint="eastAsia" w:ascii="宋体" w:hAnsi="宋体" w:eastAsia="宋体" w:cs="Times New Roman"/>
          <w:kern w:val="0"/>
          <w:sz w:val="24"/>
        </w:rPr>
        <w:t>目标1. 了解机器人学科的发展历史与现状，理解机器人与人类的关系，掌握国内外中小学机器人教育的发展历史与现状。</w:t>
      </w:r>
    </w:p>
    <w:p w14:paraId="788DAE71">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目标2. 掌握教育机器人搭建与软件环境安装方法，掌握Scratch图形化程序设计思想与方法，通过实践掌握机器人编程方法。</w:t>
      </w:r>
    </w:p>
    <w:p w14:paraId="2ABCE208">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目标3. 具备针对某项机器人竞赛规则搭建机器人并设计相应程序的能力。</w:t>
      </w:r>
    </w:p>
    <w:p w14:paraId="26B99828">
      <w:pPr>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目标4. 具有终身学习与专业发展的意识，掌握小学机器人教育和竞赛活动的评价方法和技能，能够运用批判性思维方法，对小学机器人教育和竞赛活动进行教育反思</w:t>
      </w:r>
      <w:r>
        <w:rPr>
          <w:rFonts w:ascii="宋体" w:hAnsi="宋体" w:eastAsia="宋体" w:cs="Times New Roman"/>
          <w:kern w:val="0"/>
          <w:sz w:val="24"/>
        </w:rPr>
        <w:t>。</w:t>
      </w:r>
    </w:p>
    <w:p w14:paraId="3D7CF048">
      <w:pPr>
        <w:spacing w:line="360" w:lineRule="auto"/>
        <w:ind w:firstLine="480" w:firstLineChars="200"/>
        <w:rPr>
          <w:rFonts w:ascii="宋体" w:hAnsi="宋体" w:eastAsia="宋体" w:cs="Times New Roman"/>
          <w:sz w:val="24"/>
          <w:szCs w:val="24"/>
        </w:rPr>
      </w:pPr>
      <w:r>
        <w:rPr>
          <w:rFonts w:hint="eastAsia" w:ascii="宋体" w:hAnsi="宋体" w:eastAsia="宋体" w:cs="Times New Roman"/>
          <w:kern w:val="0"/>
          <w:sz w:val="24"/>
        </w:rPr>
        <w:t>目标5. 能够完成校内机器人社团活动的设计与指导工作，促进小学生全面、健康发展。</w:t>
      </w:r>
    </w:p>
    <w:p w14:paraId="02ABD064">
      <w:pPr>
        <w:spacing w:line="360" w:lineRule="auto"/>
        <w:ind w:firstLine="562" w:firstLineChars="200"/>
        <w:rPr>
          <w:rFonts w:ascii="宋体" w:hAnsi="宋体" w:eastAsia="宋体" w:cs="Times New Roman"/>
          <w:b/>
          <w:sz w:val="28"/>
          <w:szCs w:val="28"/>
        </w:rPr>
      </w:pPr>
      <w:bookmarkStart w:id="275" w:name="_Toc29395653"/>
      <w:r>
        <w:rPr>
          <w:rFonts w:hint="eastAsia" w:ascii="宋体" w:hAnsi="宋体" w:eastAsia="宋体" w:cs="Times New Roman"/>
          <w:b/>
          <w:sz w:val="28"/>
          <w:szCs w:val="28"/>
        </w:rPr>
        <w:t>（二）课程目标与专业毕业要求的关系</w:t>
      </w:r>
      <w:bookmarkEnd w:id="275"/>
    </w:p>
    <w:tbl>
      <w:tblPr>
        <w:tblStyle w:val="30"/>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262"/>
        <w:gridCol w:w="5065"/>
      </w:tblGrid>
      <w:tr w14:paraId="1FA3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778" w:type="dxa"/>
            <w:vAlign w:val="center"/>
          </w:tcPr>
          <w:p w14:paraId="055B6C55">
            <w:pPr>
              <w:adjustRightInd w:val="0"/>
              <w:snapToGrid w:val="0"/>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62" w:type="dxa"/>
            <w:vAlign w:val="center"/>
          </w:tcPr>
          <w:p w14:paraId="147B4898">
            <w:pPr>
              <w:spacing w:line="360"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065" w:type="dxa"/>
            <w:vAlign w:val="center"/>
          </w:tcPr>
          <w:p w14:paraId="42BDEEFF">
            <w:pPr>
              <w:spacing w:line="360"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7878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778" w:type="dxa"/>
            <w:vAlign w:val="center"/>
          </w:tcPr>
          <w:p w14:paraId="3395312D">
            <w:pPr>
              <w:spacing w:line="360" w:lineRule="auto"/>
              <w:jc w:val="center"/>
              <w:rPr>
                <w:rFonts w:ascii="宋体" w:hAnsi="宋体" w:eastAsia="宋体" w:cs="宋体"/>
                <w:bCs/>
                <w:szCs w:val="21"/>
              </w:rPr>
            </w:pPr>
            <w:r>
              <w:rPr>
                <w:rFonts w:hint="eastAsia" w:ascii="宋体" w:hAnsi="宋体" w:eastAsia="宋体" w:cs="宋体"/>
                <w:bCs/>
                <w:szCs w:val="21"/>
              </w:rPr>
              <w:t>课程目标1</w:t>
            </w:r>
          </w:p>
        </w:tc>
        <w:tc>
          <w:tcPr>
            <w:tcW w:w="2262" w:type="dxa"/>
            <w:vAlign w:val="center"/>
          </w:tcPr>
          <w:p w14:paraId="401673DE">
            <w:pPr>
              <w:spacing w:line="360"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tc>
        <w:tc>
          <w:tcPr>
            <w:tcW w:w="5065" w:type="dxa"/>
            <w:vAlign w:val="center"/>
          </w:tcPr>
          <w:p w14:paraId="4B5384C6">
            <w:pPr>
              <w:jc w:val="left"/>
              <w:rPr>
                <w:rFonts w:ascii="宋体" w:hAnsi="宋体" w:eastAsia="宋体" w:cs="Times New Roman"/>
                <w:kern w:val="0"/>
                <w:szCs w:val="21"/>
              </w:rPr>
            </w:pPr>
            <w:r>
              <w:rPr>
                <w:rFonts w:hint="eastAsia" w:ascii="宋体" w:hAnsi="宋体" w:eastAsia="宋体" w:cs="Times New Roman"/>
                <w:kern w:val="0"/>
                <w:szCs w:val="21"/>
              </w:rPr>
              <w:t xml:space="preserve">指标点3-1：具有一定的人文社会与科学素养。 </w:t>
            </w:r>
          </w:p>
        </w:tc>
      </w:tr>
      <w:tr w14:paraId="4176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778" w:type="dxa"/>
            <w:vAlign w:val="center"/>
          </w:tcPr>
          <w:p w14:paraId="184E42A6">
            <w:pPr>
              <w:spacing w:line="360" w:lineRule="auto"/>
              <w:jc w:val="center"/>
              <w:rPr>
                <w:rFonts w:ascii="宋体" w:hAnsi="宋体" w:eastAsia="宋体" w:cs="宋体"/>
                <w:bCs/>
                <w:szCs w:val="21"/>
              </w:rPr>
            </w:pPr>
            <w:r>
              <w:rPr>
                <w:rFonts w:hint="eastAsia" w:ascii="宋体" w:hAnsi="宋体" w:eastAsia="宋体" w:cs="宋体"/>
                <w:bCs/>
                <w:szCs w:val="21"/>
              </w:rPr>
              <w:t>课程目标2</w:t>
            </w:r>
          </w:p>
        </w:tc>
        <w:tc>
          <w:tcPr>
            <w:tcW w:w="2262" w:type="dxa"/>
            <w:vAlign w:val="center"/>
          </w:tcPr>
          <w:p w14:paraId="05A34EBC">
            <w:pPr>
              <w:spacing w:line="360"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tc>
        <w:tc>
          <w:tcPr>
            <w:tcW w:w="5065" w:type="dxa"/>
            <w:vAlign w:val="center"/>
          </w:tcPr>
          <w:p w14:paraId="669FC638">
            <w:pPr>
              <w:jc w:val="left"/>
              <w:rPr>
                <w:rFonts w:ascii="宋体" w:hAnsi="宋体" w:eastAsia="宋体" w:cs="Times New Roman"/>
                <w:kern w:val="0"/>
                <w:sz w:val="18"/>
                <w:szCs w:val="18"/>
              </w:rPr>
            </w:pPr>
            <w:r>
              <w:rPr>
                <w:rFonts w:hint="eastAsia" w:ascii="宋体" w:hAnsi="宋体" w:eastAsia="宋体" w:cs="Times New Roman"/>
                <w:kern w:val="0"/>
                <w:szCs w:val="21"/>
              </w:rPr>
              <w:t>指标点3-2：掌握主教学科的基本理论和方法，具有良好的学科专业能力。</w:t>
            </w:r>
          </w:p>
        </w:tc>
      </w:tr>
      <w:tr w14:paraId="3993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778" w:type="dxa"/>
            <w:vAlign w:val="center"/>
          </w:tcPr>
          <w:p w14:paraId="01AA2D5E">
            <w:pPr>
              <w:spacing w:line="360" w:lineRule="auto"/>
              <w:jc w:val="center"/>
              <w:rPr>
                <w:rFonts w:ascii="宋体" w:hAnsi="宋体" w:eastAsia="宋体" w:cs="宋体"/>
                <w:bCs/>
                <w:szCs w:val="21"/>
              </w:rPr>
            </w:pPr>
            <w:r>
              <w:rPr>
                <w:rFonts w:hint="eastAsia" w:ascii="宋体" w:hAnsi="宋体" w:eastAsia="宋体" w:cs="宋体"/>
                <w:bCs/>
                <w:szCs w:val="21"/>
              </w:rPr>
              <w:t>课程目标3</w:t>
            </w:r>
          </w:p>
        </w:tc>
        <w:tc>
          <w:tcPr>
            <w:tcW w:w="2262" w:type="dxa"/>
            <w:vAlign w:val="center"/>
          </w:tcPr>
          <w:p w14:paraId="2B2A66CC">
            <w:pPr>
              <w:spacing w:line="360" w:lineRule="auto"/>
              <w:rPr>
                <w:rFonts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3.</w:t>
            </w:r>
            <w:r>
              <w:rPr>
                <w:rFonts w:hint="eastAsia" w:ascii="宋体" w:hAnsi="宋体" w:eastAsia="宋体" w:cs="Times New Roman"/>
                <w:kern w:val="0"/>
                <w:szCs w:val="21"/>
              </w:rPr>
              <w:t>学科素养</w:t>
            </w:r>
          </w:p>
        </w:tc>
        <w:tc>
          <w:tcPr>
            <w:tcW w:w="5065" w:type="dxa"/>
            <w:vAlign w:val="center"/>
          </w:tcPr>
          <w:p w14:paraId="7BED3562">
            <w:pPr>
              <w:jc w:val="left"/>
              <w:rPr>
                <w:rFonts w:ascii="宋体" w:hAnsi="宋体" w:eastAsia="宋体" w:cs="Times New Roman"/>
                <w:kern w:val="0"/>
                <w:sz w:val="18"/>
                <w:szCs w:val="18"/>
              </w:rPr>
            </w:pPr>
            <w:r>
              <w:rPr>
                <w:rFonts w:hint="eastAsia" w:ascii="宋体" w:hAnsi="宋体" w:eastAsia="宋体" w:cs="Times New Roman"/>
                <w:kern w:val="0"/>
                <w:szCs w:val="21"/>
              </w:rPr>
              <w:t>指标点3-3：掌握兼教学科的基本知识、原理和技能，理解兼教学科的知识体系 。</w:t>
            </w:r>
          </w:p>
        </w:tc>
      </w:tr>
      <w:tr w14:paraId="7F9D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778" w:type="dxa"/>
            <w:vAlign w:val="center"/>
          </w:tcPr>
          <w:p w14:paraId="303467A0">
            <w:pPr>
              <w:spacing w:line="360" w:lineRule="auto"/>
              <w:jc w:val="center"/>
              <w:rPr>
                <w:rFonts w:ascii="宋体" w:hAnsi="宋体" w:eastAsia="宋体" w:cs="宋体"/>
                <w:szCs w:val="21"/>
              </w:rPr>
            </w:pPr>
            <w:r>
              <w:rPr>
                <w:rFonts w:hint="eastAsia" w:ascii="宋体" w:hAnsi="宋体" w:eastAsia="宋体" w:cs="宋体"/>
                <w:szCs w:val="21"/>
              </w:rPr>
              <w:t>课程目标4</w:t>
            </w:r>
          </w:p>
        </w:tc>
        <w:tc>
          <w:tcPr>
            <w:tcW w:w="2262" w:type="dxa"/>
            <w:vAlign w:val="center"/>
          </w:tcPr>
          <w:p w14:paraId="02665925">
            <w:pPr>
              <w:spacing w:line="360" w:lineRule="auto"/>
              <w:rPr>
                <w:rFonts w:ascii="宋体" w:hAnsi="宋体" w:eastAsia="宋体" w:cs="Times New Roman"/>
                <w:spacing w:val="2"/>
                <w:kern w:val="0"/>
                <w:szCs w:val="21"/>
              </w:rPr>
            </w:pPr>
            <w:r>
              <w:rPr>
                <w:rFonts w:hint="eastAsia" w:ascii="宋体" w:hAnsi="宋体" w:eastAsia="宋体" w:cs="Times New Roman"/>
                <w:spacing w:val="2"/>
                <w:kern w:val="0"/>
                <w:szCs w:val="21"/>
              </w:rPr>
              <w:t>毕业要求6.综合育人</w:t>
            </w:r>
          </w:p>
        </w:tc>
        <w:tc>
          <w:tcPr>
            <w:tcW w:w="5065" w:type="dxa"/>
            <w:vAlign w:val="center"/>
          </w:tcPr>
          <w:p w14:paraId="16A2DD07">
            <w:pPr>
              <w:jc w:val="left"/>
              <w:rPr>
                <w:rFonts w:ascii="宋体" w:hAnsi="宋体" w:eastAsia="宋体" w:cs="宋体"/>
                <w:szCs w:val="21"/>
              </w:rPr>
            </w:pPr>
            <w:r>
              <w:rPr>
                <w:rFonts w:hint="eastAsia" w:ascii="宋体" w:hAnsi="宋体" w:eastAsia="宋体" w:cs="Times New Roman"/>
                <w:kern w:val="0"/>
                <w:szCs w:val="21"/>
              </w:rPr>
              <w:t>指标点6-2：具备结合学科教学进行育人的意识与能力。</w:t>
            </w:r>
          </w:p>
        </w:tc>
      </w:tr>
      <w:tr w14:paraId="680C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778" w:type="dxa"/>
            <w:vAlign w:val="center"/>
          </w:tcPr>
          <w:p w14:paraId="5DEBF61D">
            <w:pPr>
              <w:spacing w:line="360" w:lineRule="auto"/>
              <w:jc w:val="center"/>
              <w:rPr>
                <w:rFonts w:ascii="宋体" w:hAnsi="宋体" w:eastAsia="宋体" w:cs="宋体"/>
                <w:szCs w:val="21"/>
              </w:rPr>
            </w:pPr>
            <w:r>
              <w:rPr>
                <w:rFonts w:hint="eastAsia" w:ascii="宋体" w:hAnsi="宋体" w:eastAsia="宋体" w:cs="宋体"/>
                <w:szCs w:val="21"/>
              </w:rPr>
              <w:t>课程目标 5</w:t>
            </w:r>
          </w:p>
        </w:tc>
        <w:tc>
          <w:tcPr>
            <w:tcW w:w="2262" w:type="dxa"/>
            <w:vAlign w:val="center"/>
          </w:tcPr>
          <w:p w14:paraId="3C156136">
            <w:pPr>
              <w:spacing w:line="360" w:lineRule="auto"/>
              <w:rPr>
                <w:rFonts w:ascii="宋体" w:hAnsi="宋体" w:eastAsia="宋体" w:cs="Times New Roman"/>
                <w:spacing w:val="2"/>
                <w:kern w:val="0"/>
                <w:szCs w:val="21"/>
              </w:rPr>
            </w:pPr>
            <w:r>
              <w:rPr>
                <w:rFonts w:ascii="宋体" w:hAnsi="宋体" w:eastAsia="宋体" w:cs="Times New Roman"/>
                <w:kern w:val="0"/>
                <w:szCs w:val="21"/>
              </w:rPr>
              <w:t>毕业要求</w:t>
            </w:r>
            <w:r>
              <w:rPr>
                <w:rFonts w:hint="eastAsia" w:ascii="宋体" w:hAnsi="宋体" w:eastAsia="宋体" w:cs="Times New Roman"/>
                <w:spacing w:val="2"/>
                <w:kern w:val="0"/>
                <w:szCs w:val="21"/>
              </w:rPr>
              <w:t>6</w:t>
            </w:r>
            <w:r>
              <w:rPr>
                <w:rFonts w:ascii="宋体" w:hAnsi="宋体" w:eastAsia="宋体" w:cs="Times New Roman"/>
                <w:spacing w:val="2"/>
                <w:kern w:val="0"/>
                <w:szCs w:val="21"/>
              </w:rPr>
              <w:t>.</w:t>
            </w:r>
            <w:r>
              <w:rPr>
                <w:rFonts w:hint="eastAsia" w:ascii="宋体" w:hAnsi="宋体" w:eastAsia="宋体" w:cs="Times New Roman"/>
                <w:spacing w:val="2"/>
                <w:kern w:val="0"/>
                <w:szCs w:val="21"/>
              </w:rPr>
              <w:t>综合育人</w:t>
            </w:r>
          </w:p>
        </w:tc>
        <w:tc>
          <w:tcPr>
            <w:tcW w:w="5065" w:type="dxa"/>
            <w:vAlign w:val="center"/>
          </w:tcPr>
          <w:p w14:paraId="565156D2">
            <w:pPr>
              <w:shd w:val="clear" w:color="auto" w:fill="FFFFFF"/>
              <w:jc w:val="left"/>
              <w:rPr>
                <w:rFonts w:ascii="宋体" w:hAnsi="宋体" w:eastAsia="宋体" w:cs="Times New Roman"/>
                <w:spacing w:val="2"/>
                <w:kern w:val="0"/>
                <w:szCs w:val="21"/>
              </w:rPr>
            </w:pPr>
            <w:r>
              <w:rPr>
                <w:rFonts w:hint="eastAsia" w:ascii="宋体" w:hAnsi="宋体" w:eastAsia="宋体" w:cs="Times New Roman"/>
                <w:kern w:val="0"/>
                <w:szCs w:val="21"/>
              </w:rPr>
              <w:t>指标点6-3：理解学校文化和各类课外教育活动的育人内涵和方法 ，参与组织主题教育、少先队活动和社团活动，促进小学生全面、健康发展。</w:t>
            </w:r>
          </w:p>
        </w:tc>
      </w:tr>
    </w:tbl>
    <w:p w14:paraId="3045035A">
      <w:pPr>
        <w:spacing w:line="360" w:lineRule="auto"/>
        <w:rPr>
          <w:rFonts w:ascii="宋体" w:hAnsi="宋体" w:eastAsia="宋体" w:cs="Times New Roman"/>
          <w:b/>
          <w:kern w:val="0"/>
          <w:sz w:val="24"/>
        </w:rPr>
      </w:pPr>
      <w:r>
        <w:rPr>
          <w:rFonts w:hint="eastAsia" w:ascii="宋体" w:hAnsi="宋体" w:eastAsia="宋体" w:cs="Times New Roman"/>
          <w:b/>
          <w:kern w:val="0"/>
          <w:sz w:val="24"/>
        </w:rPr>
        <w:t xml:space="preserve">    </w:t>
      </w:r>
    </w:p>
    <w:p w14:paraId="7C8C695A">
      <w:pPr>
        <w:spacing w:line="360" w:lineRule="auto"/>
        <w:rPr>
          <w:rFonts w:ascii="宋体" w:hAnsi="宋体" w:eastAsia="宋体" w:cs="Times New Roman"/>
          <w:b/>
          <w:sz w:val="28"/>
          <w:szCs w:val="28"/>
        </w:rPr>
      </w:pPr>
      <w:r>
        <w:rPr>
          <w:rFonts w:hint="eastAsia" w:ascii="宋体" w:hAnsi="宋体" w:eastAsia="宋体" w:cs="Times New Roman"/>
          <w:b/>
          <w:kern w:val="0"/>
          <w:sz w:val="24"/>
        </w:rPr>
        <w:t xml:space="preserve">    </w:t>
      </w:r>
      <w:bookmarkStart w:id="276" w:name="_Toc29395654"/>
      <w:r>
        <w:rPr>
          <w:rFonts w:hint="eastAsia" w:ascii="宋体" w:hAnsi="宋体" w:eastAsia="宋体" w:cs="Times New Roman"/>
          <w:b/>
          <w:sz w:val="28"/>
          <w:szCs w:val="28"/>
        </w:rPr>
        <w:t>三</w:t>
      </w:r>
      <w:r>
        <w:rPr>
          <w:rFonts w:ascii="宋体" w:hAnsi="宋体" w:eastAsia="宋体" w:cs="Times New Roman"/>
          <w:b/>
          <w:sz w:val="28"/>
          <w:szCs w:val="28"/>
        </w:rPr>
        <w:t>、课程内容及要求</w:t>
      </w:r>
      <w:bookmarkEnd w:id="276"/>
    </w:p>
    <w:p w14:paraId="3DC9C52B">
      <w:pPr>
        <w:spacing w:line="360" w:lineRule="auto"/>
        <w:ind w:firstLine="482" w:firstLineChars="200"/>
        <w:rPr>
          <w:rFonts w:ascii="宋体" w:hAnsi="宋体" w:eastAsia="宋体" w:cs="Times New Roman"/>
          <w:b/>
          <w:sz w:val="24"/>
        </w:rPr>
      </w:pPr>
      <w:bookmarkStart w:id="277" w:name="_Toc29395655"/>
      <w:r>
        <w:rPr>
          <w:rFonts w:hint="eastAsia" w:ascii="宋体" w:hAnsi="宋体" w:eastAsia="宋体" w:cs="Times New Roman"/>
          <w:b/>
          <w:sz w:val="24"/>
        </w:rPr>
        <w:t>（一）机器人技术与教育概述（本模块各知识点的讲授与学习，可以支撑课程目标1）</w:t>
      </w:r>
      <w:bookmarkEnd w:id="277"/>
    </w:p>
    <w:p w14:paraId="3A9916DD">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54BAE95C">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机器人学科的发展历史与现状</w:t>
      </w:r>
    </w:p>
    <w:p w14:paraId="51759C7C">
      <w:pPr>
        <w:spacing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国内外中小学机器人教育的发展历史与现状</w:t>
      </w:r>
    </w:p>
    <w:p w14:paraId="17C1B7E1">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机器人在人类社会中的重要地位与思考</w:t>
      </w:r>
    </w:p>
    <w:p w14:paraId="5386CD71">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3A986801">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了解机器人学科的内涵</w:t>
      </w:r>
    </w:p>
    <w:p w14:paraId="75E07B0A">
      <w:pPr>
        <w:spacing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掌握国内外中小学机器人教育的发展历史与现状</w:t>
      </w:r>
    </w:p>
    <w:p w14:paraId="5A24E970">
      <w:pPr>
        <w:spacing w:line="360" w:lineRule="auto"/>
        <w:ind w:firstLine="480" w:firstLineChars="200"/>
        <w:rPr>
          <w:rFonts w:ascii="宋体" w:hAnsi="宋体" w:eastAsia="宋体" w:cs="Times New Roman"/>
          <w:kern w:val="0"/>
          <w:sz w:val="24"/>
        </w:rPr>
      </w:pPr>
      <w:r>
        <w:rPr>
          <w:rFonts w:hint="eastAsia" w:ascii="宋体" w:hAnsi="宋体" w:eastAsia="宋体" w:cs="Times New Roman"/>
          <w:sz w:val="24"/>
        </w:rPr>
        <w:t>（3）</w:t>
      </w:r>
      <w:r>
        <w:rPr>
          <w:rFonts w:hint="eastAsia" w:ascii="宋体" w:hAnsi="宋体" w:eastAsia="宋体" w:cs="Times New Roman"/>
          <w:kern w:val="0"/>
          <w:sz w:val="24"/>
        </w:rPr>
        <w:t>理解机器人与人类的关系</w:t>
      </w:r>
    </w:p>
    <w:p w14:paraId="251193F9">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6B940D5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通过引发学生对机器人的发明及其在人类社会中的重要地位的思考，让学生充分理解人的创造力和主观能动性，人不仅要认识世界，还要改造世界。</w:t>
      </w:r>
    </w:p>
    <w:p w14:paraId="08602119">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hint="eastAsia" w:ascii="宋体" w:hAnsi="宋体" w:eastAsia="宋体" w:cs="Times New Roman"/>
          <w:sz w:val="24"/>
        </w:rPr>
        <w:t>掌握国内外中小学机器人教育的发展历史与现状</w:t>
      </w:r>
    </w:p>
    <w:p w14:paraId="1CA0CFA5">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各种类型的中小学教育机器人的特点</w:t>
      </w:r>
    </w:p>
    <w:p w14:paraId="264FBE4F">
      <w:pPr>
        <w:spacing w:line="360" w:lineRule="auto"/>
        <w:ind w:firstLine="482" w:firstLineChars="200"/>
        <w:rPr>
          <w:rFonts w:ascii="宋体" w:hAnsi="宋体" w:eastAsia="宋体" w:cs="Times New Roman"/>
          <w:b/>
          <w:sz w:val="24"/>
        </w:rPr>
      </w:pPr>
      <w:bookmarkStart w:id="278" w:name="_Toc29395656"/>
      <w:r>
        <w:rPr>
          <w:rFonts w:hint="eastAsia" w:ascii="宋体" w:hAnsi="宋体" w:eastAsia="宋体" w:cs="Times New Roman"/>
          <w:b/>
          <w:sz w:val="24"/>
        </w:rPr>
        <w:t>（二）教育机器人搭建与软件环境安装（本模块各知识点的讲授与学习，可以支撑课程目标2）</w:t>
      </w:r>
      <w:bookmarkEnd w:id="278"/>
    </w:p>
    <w:p w14:paraId="0BF1E29A">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61E368B3">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教育机器人搭建</w:t>
      </w:r>
    </w:p>
    <w:p w14:paraId="556E5519">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软件环境安装</w:t>
      </w:r>
    </w:p>
    <w:p w14:paraId="1EA06B05">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软件环境使用</w:t>
      </w:r>
    </w:p>
    <w:p w14:paraId="731CE8F0">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08181B79">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掌握教育机器人搭建与软件环境安装方法</w:t>
      </w:r>
    </w:p>
    <w:p w14:paraId="6B70F6C6">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4B5CCA6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通过带领学生学习机器人的搭建、安装和使用知识，让学生实践操作能力的重要作用，进而明白劳动教育的重要价值意义。</w:t>
      </w:r>
    </w:p>
    <w:p w14:paraId="4463879D">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教育机器人搭建及各模块功能</w:t>
      </w:r>
    </w:p>
    <w:p w14:paraId="48CA91E2">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教育机器人各模块功能</w:t>
      </w:r>
    </w:p>
    <w:p w14:paraId="13063CE2">
      <w:pPr>
        <w:spacing w:line="360" w:lineRule="auto"/>
        <w:ind w:firstLine="482" w:firstLineChars="200"/>
        <w:rPr>
          <w:rFonts w:ascii="宋体" w:hAnsi="宋体" w:eastAsia="宋体" w:cs="Times New Roman"/>
          <w:b/>
          <w:sz w:val="24"/>
        </w:rPr>
      </w:pPr>
      <w:bookmarkStart w:id="279" w:name="_Toc29395657"/>
      <w:r>
        <w:rPr>
          <w:rFonts w:hint="eastAsia" w:ascii="宋体" w:hAnsi="宋体" w:eastAsia="宋体" w:cs="Times New Roman"/>
          <w:b/>
          <w:sz w:val="24"/>
        </w:rPr>
        <w:t>（三）Scratch图形化程序设计（本模块各知识点的讲授与学习，可以支撑课程目标2）</w:t>
      </w:r>
      <w:bookmarkEnd w:id="279"/>
    </w:p>
    <w:p w14:paraId="1688747A">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1A87D8E6">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Scratch界面、背景区、角色区、各种角色介绍</w:t>
      </w:r>
    </w:p>
    <w:p w14:paraId="505D5E56">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顺序、分支、循环程序设计</w:t>
      </w:r>
    </w:p>
    <w:p w14:paraId="276DE2EC">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结构化程序设计</w:t>
      </w:r>
    </w:p>
    <w:p w14:paraId="198DAF82">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熊猫漫步与猫捉老鼠实验</w:t>
      </w:r>
    </w:p>
    <w:p w14:paraId="7196E4D4">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1B4CFA50">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了解Scratch界面、背景区、角色区、各种角色</w:t>
      </w:r>
    </w:p>
    <w:p w14:paraId="2AABD4BB">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掌握顺序、分支、循环程序设计思想</w:t>
      </w:r>
    </w:p>
    <w:p w14:paraId="1AEAF51F">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掌握结构化程序设计思想</w:t>
      </w:r>
    </w:p>
    <w:p w14:paraId="54083BD5">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4</w:t>
      </w:r>
      <w:r>
        <w:rPr>
          <w:rFonts w:ascii="宋体" w:hAnsi="宋体" w:eastAsia="宋体" w:cs="Times New Roman"/>
          <w:sz w:val="24"/>
        </w:rPr>
        <w:t>）应用所学</w:t>
      </w:r>
      <w:r>
        <w:rPr>
          <w:rFonts w:hint="eastAsia" w:ascii="宋体" w:hAnsi="宋体" w:eastAsia="宋体" w:cs="Times New Roman"/>
          <w:sz w:val="24"/>
        </w:rPr>
        <w:t>内容实现熊猫漫步与猫捉老鼠实验</w:t>
      </w:r>
    </w:p>
    <w:p w14:paraId="62169AFD">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7097C81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学生通过学习Scratch图形化程序设计的基本知识，了解当代计算机语言的基本逻辑，进而增进学生对程序设计思想在培养逻辑思维能力方面的作用。</w:t>
      </w:r>
    </w:p>
    <w:p w14:paraId="6C9F6D51">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掌握顺序、分支、循环程序设计和结构化程序设计的基本要求和方法</w:t>
      </w:r>
    </w:p>
    <w:p w14:paraId="07E33A8C">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应用所学内容实现熊猫漫步与猫捉老鼠实验</w:t>
      </w:r>
    </w:p>
    <w:p w14:paraId="3DD2462E">
      <w:pPr>
        <w:spacing w:line="360" w:lineRule="auto"/>
        <w:ind w:firstLine="482" w:firstLineChars="200"/>
        <w:rPr>
          <w:rFonts w:ascii="宋体" w:hAnsi="宋体" w:eastAsia="宋体" w:cs="Times New Roman"/>
          <w:b/>
          <w:sz w:val="24"/>
        </w:rPr>
      </w:pPr>
      <w:bookmarkStart w:id="280" w:name="_Toc29395658"/>
      <w:r>
        <w:rPr>
          <w:rFonts w:hint="eastAsia" w:ascii="宋体" w:hAnsi="宋体" w:eastAsia="宋体" w:cs="Times New Roman"/>
          <w:b/>
          <w:sz w:val="24"/>
        </w:rPr>
        <w:t>（四）机器人编程与实践（本模块各知识点的讲授与学习，可以支撑课程目标2）</w:t>
      </w:r>
      <w:bookmarkEnd w:id="280"/>
    </w:p>
    <w:p w14:paraId="4B98A36D">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0513D6D4">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LED、按键、蜂鸣器、红外遥控程序设计</w:t>
      </w:r>
    </w:p>
    <w:p w14:paraId="442702CC">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巡线传感器与电机控制程序设计</w:t>
      </w:r>
    </w:p>
    <w:p w14:paraId="4E9C7958">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音乐家、遥控机器人综合程序设计与实验</w:t>
      </w:r>
    </w:p>
    <w:p w14:paraId="7CD21FDD">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440C2975">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掌握机器人各模块的程序设计方法</w:t>
      </w:r>
    </w:p>
    <w:p w14:paraId="50B0FEC5">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音乐家、遥控机器人综合程序设计与实验</w:t>
      </w:r>
    </w:p>
    <w:p w14:paraId="24A091AB">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26CBEB85">
      <w:pPr>
        <w:spacing w:line="360" w:lineRule="auto"/>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 xml:space="preserve">   </w:t>
      </w:r>
      <w:r>
        <w:rPr>
          <w:rFonts w:hint="eastAsia" w:ascii="宋体" w:hAnsi="宋体" w:eastAsia="宋体" w:cs="Times New Roman"/>
          <w:sz w:val="24"/>
        </w:rPr>
        <w:t>学生通过学习程序设计方法，了解社会生活中的相关设施设备的设计原理，增强学生科学和理性地认识世界的能力。</w:t>
      </w:r>
    </w:p>
    <w:p w14:paraId="608F2F46">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掌握机器人各模块的程序设计方法</w:t>
      </w:r>
    </w:p>
    <w:p w14:paraId="70048651">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灵活</w:t>
      </w:r>
      <w:r>
        <w:rPr>
          <w:rFonts w:ascii="宋体" w:hAnsi="宋体" w:eastAsia="宋体" w:cs="Times New Roman"/>
          <w:sz w:val="24"/>
        </w:rPr>
        <w:t>运用</w:t>
      </w:r>
      <w:r>
        <w:rPr>
          <w:rFonts w:hint="eastAsia" w:ascii="宋体" w:hAnsi="宋体" w:eastAsia="宋体" w:cs="Times New Roman"/>
          <w:sz w:val="24"/>
        </w:rPr>
        <w:t>所学进行音乐家、遥控机器人综合程序设计与实验</w:t>
      </w:r>
    </w:p>
    <w:p w14:paraId="15983597">
      <w:pPr>
        <w:spacing w:line="360" w:lineRule="auto"/>
        <w:ind w:firstLine="361" w:firstLineChars="150"/>
        <w:rPr>
          <w:rFonts w:ascii="宋体" w:hAnsi="宋体" w:eastAsia="宋体" w:cs="Times New Roman"/>
          <w:b/>
          <w:sz w:val="24"/>
        </w:rPr>
      </w:pPr>
      <w:bookmarkStart w:id="281" w:name="_Toc29395659"/>
      <w:r>
        <w:rPr>
          <w:rFonts w:hint="eastAsia" w:ascii="宋体" w:hAnsi="宋体" w:eastAsia="宋体" w:cs="Times New Roman"/>
          <w:b/>
          <w:sz w:val="24"/>
        </w:rPr>
        <w:t>（五）竞赛机器人搭建与程序设计（本模块各知识点的讲授与学习，可以支撑课程目标3）</w:t>
      </w:r>
      <w:bookmarkEnd w:id="281"/>
    </w:p>
    <w:p w14:paraId="27EC81F6">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65F87E2F">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机器人竞赛规则介绍</w:t>
      </w:r>
    </w:p>
    <w:p w14:paraId="17125AFA">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巡线机器人搭建与控制</w:t>
      </w:r>
    </w:p>
    <w:p w14:paraId="4F635420">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六足机器人搭建与控制</w:t>
      </w:r>
    </w:p>
    <w:p w14:paraId="578C9550">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029865B3">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了解一种机器人竞赛规则</w:t>
      </w:r>
    </w:p>
    <w:p w14:paraId="1C005BED">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掌握巡线机器人搭建与控制方法</w:t>
      </w:r>
    </w:p>
    <w:p w14:paraId="47AEAE47">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掌握六足机器人搭建与控制方法</w:t>
      </w:r>
    </w:p>
    <w:p w14:paraId="58B86976">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64DB0F5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通过让学生学习有关机器人竞赛中的搭建与控制的基本知识，增进学生对“中国智造”、“大国工匠”等概念的理解，进而体会自主研发和工匠精神的重要意义。</w:t>
      </w:r>
    </w:p>
    <w:p w14:paraId="229EACEB">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掌握巡线机器人搭建与控制方法</w:t>
      </w:r>
    </w:p>
    <w:p w14:paraId="71169D2F">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ascii="宋体" w:hAnsi="宋体" w:eastAsia="宋体" w:cs="Times New Roman"/>
          <w:b/>
          <w:sz w:val="24"/>
        </w:rPr>
        <w:t>：</w:t>
      </w:r>
      <w:r>
        <w:rPr>
          <w:rFonts w:hint="eastAsia" w:ascii="宋体" w:hAnsi="宋体" w:eastAsia="宋体" w:cs="Times New Roman"/>
          <w:sz w:val="24"/>
        </w:rPr>
        <w:t>运用所学知识和竞赛规则控制机器人</w:t>
      </w:r>
    </w:p>
    <w:p w14:paraId="6B99627C">
      <w:pPr>
        <w:spacing w:line="360" w:lineRule="auto"/>
        <w:ind w:firstLine="482" w:firstLineChars="200"/>
        <w:rPr>
          <w:rFonts w:ascii="宋体" w:hAnsi="宋体" w:eastAsia="宋体" w:cs="Times New Roman"/>
          <w:b/>
          <w:sz w:val="24"/>
        </w:rPr>
      </w:pPr>
      <w:bookmarkStart w:id="282" w:name="_Toc29395660"/>
      <w:r>
        <w:rPr>
          <w:rFonts w:hint="eastAsia" w:ascii="宋体" w:hAnsi="宋体" w:eastAsia="宋体" w:cs="Times New Roman"/>
          <w:b/>
          <w:sz w:val="24"/>
        </w:rPr>
        <w:t>（六）机器人竞赛组织与训练（本模块各知识点的讲授与学习，可以支撑课程目标 4）</w:t>
      </w:r>
      <w:bookmarkEnd w:id="282"/>
    </w:p>
    <w:p w14:paraId="1AF4CA0C">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73280693">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机器人竞赛概述</w:t>
      </w:r>
    </w:p>
    <w:p w14:paraId="779F2696">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机器人竞赛教育活动的设计与组织指导</w:t>
      </w:r>
    </w:p>
    <w:p w14:paraId="7E70ABA1">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组织进行足球机器人竞赛</w:t>
      </w:r>
    </w:p>
    <w:p w14:paraId="50E5058F">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0342318E">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了解中小学机器人竞赛种类</w:t>
      </w:r>
    </w:p>
    <w:p w14:paraId="544C0B8D">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）能够完成</w:t>
      </w:r>
      <w:r>
        <w:rPr>
          <w:rFonts w:hint="eastAsia" w:ascii="宋体" w:hAnsi="宋体" w:eastAsia="宋体" w:cs="Times New Roman"/>
          <w:sz w:val="24"/>
        </w:rPr>
        <w:t>小学机器人竞赛教育活动的设计与组织指导活动</w:t>
      </w:r>
    </w:p>
    <w:p w14:paraId="021D0575">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35502A6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通过让学生对机器人竞赛及其相关设计组织知识的认识和了解，培养学生的实践动手能力，学以致用，进一步强化 “五育并举”等教育理念在具体教育实践中的渗透。</w:t>
      </w:r>
    </w:p>
    <w:p w14:paraId="6971A38D">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掌握小学机器人竞赛教育活动的设计与组织指导方法</w:t>
      </w:r>
    </w:p>
    <w:p w14:paraId="51D0254E">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设计</w:t>
      </w:r>
      <w:r>
        <w:rPr>
          <w:rFonts w:ascii="宋体" w:hAnsi="宋体" w:eastAsia="宋体" w:cs="Times New Roman"/>
          <w:sz w:val="24"/>
        </w:rPr>
        <w:t>与组织</w:t>
      </w:r>
      <w:r>
        <w:rPr>
          <w:rFonts w:hint="eastAsia" w:ascii="宋体" w:hAnsi="宋体" w:eastAsia="宋体" w:cs="Times New Roman"/>
          <w:sz w:val="24"/>
        </w:rPr>
        <w:t>足球机器人竞赛</w:t>
      </w:r>
      <w:r>
        <w:rPr>
          <w:rFonts w:ascii="宋体" w:hAnsi="宋体" w:eastAsia="宋体" w:cs="Times New Roman"/>
          <w:sz w:val="24"/>
        </w:rPr>
        <w:t>教育活动</w:t>
      </w:r>
    </w:p>
    <w:p w14:paraId="75DB1209">
      <w:pPr>
        <w:spacing w:line="360" w:lineRule="auto"/>
        <w:ind w:firstLine="482" w:firstLineChars="200"/>
        <w:rPr>
          <w:rFonts w:ascii="宋体" w:hAnsi="宋体" w:eastAsia="宋体" w:cs="Times New Roman"/>
          <w:b/>
          <w:sz w:val="24"/>
        </w:rPr>
      </w:pPr>
      <w:bookmarkStart w:id="283" w:name="_Toc29395661"/>
      <w:r>
        <w:rPr>
          <w:rFonts w:hint="eastAsia" w:ascii="宋体" w:hAnsi="宋体" w:eastAsia="宋体" w:cs="Times New Roman"/>
          <w:b/>
          <w:sz w:val="24"/>
        </w:rPr>
        <w:t>（七）机器人教育与竞赛活动评价（本模块各知识点的讲授与学习，可以支撑课程目标1、5）</w:t>
      </w:r>
      <w:bookmarkEnd w:id="283"/>
    </w:p>
    <w:p w14:paraId="566140E3">
      <w:pPr>
        <w:spacing w:line="360" w:lineRule="auto"/>
        <w:ind w:firstLine="482" w:firstLineChars="200"/>
        <w:rPr>
          <w:rFonts w:ascii="宋体" w:hAnsi="宋体" w:eastAsia="宋体" w:cs="Times New Roman"/>
          <w:b/>
          <w:sz w:val="24"/>
        </w:rPr>
      </w:pPr>
      <w:r>
        <w:rPr>
          <w:rFonts w:ascii="宋体" w:hAnsi="宋体" w:eastAsia="宋体" w:cs="Times New Roman"/>
          <w:b/>
          <w:sz w:val="24"/>
        </w:rPr>
        <w:t>1.教学内容</w:t>
      </w:r>
    </w:p>
    <w:p w14:paraId="52E1F410">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小学机器人社团的组织管理方法</w:t>
      </w:r>
    </w:p>
    <w:p w14:paraId="21E961C7">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小学机器人竞赛项目选择与竞赛指导改进方法</w:t>
      </w:r>
    </w:p>
    <w:p w14:paraId="383A4C95">
      <w:pPr>
        <w:spacing w:line="360" w:lineRule="auto"/>
        <w:ind w:firstLine="482" w:firstLineChars="200"/>
        <w:rPr>
          <w:rFonts w:ascii="宋体" w:hAnsi="宋体" w:eastAsia="宋体" w:cs="Times New Roman"/>
          <w:b/>
          <w:sz w:val="24"/>
        </w:rPr>
      </w:pPr>
      <w:r>
        <w:rPr>
          <w:rFonts w:ascii="宋体" w:hAnsi="宋体" w:eastAsia="宋体" w:cs="Times New Roman"/>
          <w:b/>
          <w:sz w:val="24"/>
        </w:rPr>
        <w:t>2.基本要求</w:t>
      </w:r>
    </w:p>
    <w:p w14:paraId="4FD43BC2">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掌握小学机器人社团的组织管理方法</w:t>
      </w:r>
    </w:p>
    <w:p w14:paraId="64BD791B">
      <w:pPr>
        <w:spacing w:line="360" w:lineRule="auto"/>
        <w:ind w:firstLine="480" w:firstLineChars="200"/>
        <w:rPr>
          <w:rFonts w:ascii="宋体" w:hAnsi="宋体" w:eastAsia="宋体" w:cs="Times New Roman"/>
          <w:sz w:val="24"/>
        </w:rPr>
      </w:pPr>
      <w:r>
        <w:rPr>
          <w:rFonts w:ascii="宋体" w:hAnsi="宋体" w:eastAsia="宋体" w:cs="Times New Roman"/>
          <w:sz w:val="24"/>
        </w:rPr>
        <w:t>（</w:t>
      </w: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掌握小学机器人竞赛项目选择与竞赛指导改进方法</w:t>
      </w:r>
    </w:p>
    <w:p w14:paraId="43AA08EF">
      <w:pPr>
        <w:spacing w:line="360" w:lineRule="auto"/>
        <w:ind w:firstLine="482" w:firstLineChars="200"/>
        <w:rPr>
          <w:rFonts w:ascii="宋体" w:hAnsi="宋体" w:eastAsia="宋体" w:cs="Times New Roman"/>
          <w:b/>
          <w:sz w:val="24"/>
        </w:rPr>
      </w:pPr>
      <w:r>
        <w:rPr>
          <w:rFonts w:hint="eastAsia" w:ascii="宋体" w:hAnsi="宋体" w:eastAsia="宋体" w:cs="Times New Roman"/>
          <w:b/>
          <w:bCs/>
          <w:kern w:val="0"/>
          <w:sz w:val="24"/>
        </w:rPr>
        <w:t>3.课程思政育人目标</w:t>
      </w:r>
    </w:p>
    <w:p w14:paraId="0210EAE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学生通过对小学机器人社团的组织和竞赛的方法的学习和掌握，了解组织管理中的一般要求和困难所在，从而增强学生学以致用的能力，最终形成对国家政府的科学组织管理理念的正确认知和认同。</w:t>
      </w:r>
    </w:p>
    <w:p w14:paraId="3C479E80">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教学重点</w:t>
      </w:r>
      <w:r>
        <w:rPr>
          <w:rFonts w:ascii="宋体" w:hAnsi="宋体" w:eastAsia="宋体" w:cs="Times New Roman"/>
          <w:b/>
          <w:sz w:val="24"/>
        </w:rPr>
        <w:t>：</w:t>
      </w:r>
      <w:r>
        <w:rPr>
          <w:rFonts w:hint="eastAsia" w:ascii="宋体" w:hAnsi="宋体" w:eastAsia="宋体" w:cs="Times New Roman"/>
          <w:sz w:val="24"/>
        </w:rPr>
        <w:t>掌握小学机器人社团的组织管理方法</w:t>
      </w:r>
    </w:p>
    <w:p w14:paraId="24F0A2C4">
      <w:pPr>
        <w:spacing w:line="360" w:lineRule="auto"/>
        <w:ind w:firstLine="482" w:firstLineChars="200"/>
        <w:rPr>
          <w:rFonts w:ascii="宋体" w:hAnsi="宋体" w:eastAsia="宋体" w:cs="Times New Roman"/>
          <w:sz w:val="24"/>
        </w:rPr>
      </w:pPr>
      <w:r>
        <w:rPr>
          <w:rFonts w:hint="eastAsia" w:ascii="宋体" w:hAnsi="宋体" w:eastAsia="宋体" w:cs="Times New Roman"/>
          <w:b/>
          <w:sz w:val="24"/>
        </w:rPr>
        <w:t>教学难点：</w:t>
      </w:r>
      <w:r>
        <w:rPr>
          <w:rFonts w:hint="eastAsia" w:ascii="宋体" w:hAnsi="宋体" w:eastAsia="宋体" w:cs="Times New Roman"/>
          <w:sz w:val="24"/>
        </w:rPr>
        <w:t>评价机器人竞赛项目，改进指导竞赛的方法。</w:t>
      </w:r>
    </w:p>
    <w:p w14:paraId="45296092">
      <w:pPr>
        <w:spacing w:line="360" w:lineRule="auto"/>
        <w:ind w:firstLine="480" w:firstLineChars="200"/>
        <w:rPr>
          <w:rFonts w:ascii="宋体" w:hAnsi="宋体" w:eastAsia="宋体" w:cs="Times New Roman"/>
          <w:sz w:val="24"/>
        </w:rPr>
      </w:pPr>
    </w:p>
    <w:p w14:paraId="0C5E1C64">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对应关系及</w:t>
      </w:r>
      <w:r>
        <w:rPr>
          <w:rFonts w:ascii="宋体" w:hAnsi="宋体" w:eastAsia="宋体" w:cs="Times New Roman"/>
          <w:b/>
          <w:sz w:val="24"/>
        </w:rPr>
        <w:t>学时分配</w:t>
      </w:r>
      <w:r>
        <w:rPr>
          <w:rFonts w:hint="eastAsia" w:ascii="宋体" w:hAnsi="宋体" w:eastAsia="宋体" w:cs="Times New Roman"/>
          <w:b/>
          <w:sz w:val="24"/>
        </w:rPr>
        <w:t>如表所示：</w:t>
      </w:r>
    </w:p>
    <w:tbl>
      <w:tblPr>
        <w:tblStyle w:val="30"/>
        <w:tblW w:w="925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129"/>
        <w:gridCol w:w="1709"/>
        <w:gridCol w:w="1424"/>
        <w:gridCol w:w="9"/>
        <w:gridCol w:w="704"/>
        <w:gridCol w:w="712"/>
      </w:tblGrid>
      <w:tr w14:paraId="4BC9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70" w:type="dxa"/>
            <w:shd w:val="clear" w:color="auto" w:fill="FFFFFF"/>
            <w:vAlign w:val="center"/>
          </w:tcPr>
          <w:p w14:paraId="0582A409">
            <w:pPr>
              <w:jc w:val="center"/>
              <w:rPr>
                <w:rFonts w:ascii="宋体" w:hAnsi="宋体" w:eastAsia="宋体" w:cs="Times New Roman"/>
                <w:b/>
                <w:szCs w:val="21"/>
              </w:rPr>
            </w:pPr>
            <w:r>
              <w:rPr>
                <w:rFonts w:hint="eastAsia" w:ascii="宋体" w:hAnsi="宋体" w:eastAsia="宋体" w:cs="Times New Roman"/>
                <w:b/>
                <w:szCs w:val="21"/>
              </w:rPr>
              <w:t>序号</w:t>
            </w:r>
          </w:p>
        </w:tc>
        <w:tc>
          <w:tcPr>
            <w:tcW w:w="4129" w:type="dxa"/>
            <w:shd w:val="clear" w:color="auto" w:fill="FFFFFF"/>
            <w:vAlign w:val="center"/>
          </w:tcPr>
          <w:p w14:paraId="006126F2">
            <w:pPr>
              <w:jc w:val="center"/>
              <w:rPr>
                <w:rFonts w:ascii="宋体" w:hAnsi="宋体" w:eastAsia="宋体" w:cs="Times New Roman"/>
                <w:b/>
                <w:szCs w:val="21"/>
              </w:rPr>
            </w:pPr>
            <w:r>
              <w:rPr>
                <w:rFonts w:ascii="宋体" w:hAnsi="宋体" w:eastAsia="宋体" w:cs="Times New Roman"/>
                <w:b/>
                <w:szCs w:val="21"/>
              </w:rPr>
              <w:t>教学内容</w:t>
            </w:r>
          </w:p>
        </w:tc>
        <w:tc>
          <w:tcPr>
            <w:tcW w:w="1709" w:type="dxa"/>
            <w:shd w:val="clear" w:color="auto" w:fill="FFFFFF"/>
            <w:vAlign w:val="center"/>
          </w:tcPr>
          <w:p w14:paraId="0F593561">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424" w:type="dxa"/>
            <w:shd w:val="clear" w:color="auto" w:fill="FFFFFF"/>
            <w:vAlign w:val="center"/>
          </w:tcPr>
          <w:p w14:paraId="307B5A5B">
            <w:pPr>
              <w:jc w:val="center"/>
              <w:rPr>
                <w:rFonts w:ascii="宋体" w:hAnsi="宋体" w:eastAsia="宋体" w:cs="Times New Roman"/>
                <w:b/>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c>
          <w:tcPr>
            <w:tcW w:w="711" w:type="dxa"/>
            <w:gridSpan w:val="2"/>
            <w:shd w:val="clear" w:color="auto" w:fill="FFFFFF"/>
            <w:vAlign w:val="center"/>
          </w:tcPr>
          <w:p w14:paraId="706C039C">
            <w:pPr>
              <w:jc w:val="center"/>
              <w:rPr>
                <w:rFonts w:ascii="宋体" w:hAnsi="宋体" w:eastAsia="宋体" w:cs="Times New Roman"/>
                <w:b/>
                <w:szCs w:val="21"/>
              </w:rPr>
            </w:pPr>
            <w:r>
              <w:rPr>
                <w:rFonts w:ascii="宋体" w:hAnsi="宋体" w:eastAsia="宋体" w:cs="Times New Roman"/>
                <w:b/>
                <w:szCs w:val="21"/>
              </w:rPr>
              <w:t>讲</w:t>
            </w:r>
            <w:r>
              <w:rPr>
                <w:rFonts w:hint="eastAsia" w:ascii="宋体" w:hAnsi="宋体" w:eastAsia="宋体" w:cs="Times New Roman"/>
                <w:b/>
                <w:szCs w:val="21"/>
              </w:rPr>
              <w:t>授</w:t>
            </w:r>
            <w:r>
              <w:rPr>
                <w:rFonts w:ascii="宋体" w:hAnsi="宋体" w:eastAsia="宋体" w:cs="Times New Roman"/>
                <w:b/>
                <w:szCs w:val="21"/>
              </w:rPr>
              <w:t>学时</w:t>
            </w:r>
          </w:p>
        </w:tc>
        <w:tc>
          <w:tcPr>
            <w:tcW w:w="712" w:type="dxa"/>
            <w:shd w:val="clear" w:color="auto" w:fill="FFFFFF"/>
            <w:vAlign w:val="center"/>
          </w:tcPr>
          <w:p w14:paraId="68C0983C">
            <w:pPr>
              <w:jc w:val="center"/>
              <w:rPr>
                <w:rFonts w:ascii="宋体" w:hAnsi="宋体" w:eastAsia="宋体" w:cs="Times New Roman"/>
                <w:b/>
                <w:szCs w:val="21"/>
              </w:rPr>
            </w:pPr>
            <w:r>
              <w:rPr>
                <w:rFonts w:ascii="宋体" w:hAnsi="宋体" w:eastAsia="宋体" w:cs="Times New Roman"/>
                <w:b/>
                <w:szCs w:val="21"/>
              </w:rPr>
              <w:t>实验</w:t>
            </w:r>
          </w:p>
          <w:p w14:paraId="5E01C1A6">
            <w:pPr>
              <w:jc w:val="center"/>
              <w:rPr>
                <w:rFonts w:ascii="宋体" w:hAnsi="宋体" w:eastAsia="宋体" w:cs="Times New Roman"/>
                <w:b/>
                <w:szCs w:val="21"/>
              </w:rPr>
            </w:pPr>
            <w:r>
              <w:rPr>
                <w:rFonts w:ascii="宋体" w:hAnsi="宋体" w:eastAsia="宋体" w:cs="Times New Roman"/>
                <w:b/>
                <w:szCs w:val="21"/>
              </w:rPr>
              <w:t>学时</w:t>
            </w:r>
          </w:p>
        </w:tc>
      </w:tr>
      <w:tr w14:paraId="4FB1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70" w:type="dxa"/>
            <w:shd w:val="clear" w:color="auto" w:fill="FFFFFF"/>
            <w:vAlign w:val="center"/>
          </w:tcPr>
          <w:p w14:paraId="070A66DA">
            <w:pPr>
              <w:jc w:val="center"/>
              <w:rPr>
                <w:rFonts w:ascii="宋体" w:hAnsi="宋体" w:eastAsia="宋体" w:cs="Times New Roman"/>
                <w:szCs w:val="21"/>
              </w:rPr>
            </w:pPr>
            <w:r>
              <w:rPr>
                <w:rFonts w:hint="eastAsia" w:ascii="宋体" w:hAnsi="宋体" w:eastAsia="宋体" w:cs="Times New Roman"/>
                <w:szCs w:val="21"/>
              </w:rPr>
              <w:t>1</w:t>
            </w:r>
          </w:p>
        </w:tc>
        <w:tc>
          <w:tcPr>
            <w:tcW w:w="4129" w:type="dxa"/>
            <w:shd w:val="clear" w:color="auto" w:fill="FFFFFF"/>
            <w:vAlign w:val="center"/>
          </w:tcPr>
          <w:p w14:paraId="29E92078">
            <w:pPr>
              <w:jc w:val="left"/>
              <w:rPr>
                <w:rFonts w:ascii="宋体" w:hAnsi="宋体" w:eastAsia="宋体" w:cs="宋体"/>
                <w:kern w:val="0"/>
                <w:szCs w:val="21"/>
              </w:rPr>
            </w:pPr>
            <w:r>
              <w:rPr>
                <w:rFonts w:hint="eastAsia" w:ascii="宋体" w:hAnsi="宋体" w:eastAsia="宋体" w:cs="宋体"/>
                <w:kern w:val="0"/>
                <w:szCs w:val="21"/>
              </w:rPr>
              <w:t>机器人技术与教育概述</w:t>
            </w:r>
          </w:p>
        </w:tc>
        <w:tc>
          <w:tcPr>
            <w:tcW w:w="1709" w:type="dxa"/>
            <w:shd w:val="clear" w:color="auto" w:fill="FFFFFF"/>
            <w:vAlign w:val="center"/>
          </w:tcPr>
          <w:p w14:paraId="72231208">
            <w:pPr>
              <w:jc w:val="center"/>
              <w:rPr>
                <w:rFonts w:ascii="宋体" w:hAnsi="宋体" w:eastAsia="宋体" w:cs="Times New Roman"/>
                <w:szCs w:val="21"/>
              </w:rPr>
            </w:pPr>
            <w:r>
              <w:rPr>
                <w:rFonts w:hint="eastAsia" w:ascii="宋体" w:hAnsi="宋体" w:eastAsia="宋体" w:cs="Times New Roman"/>
                <w:kern w:val="0"/>
                <w:szCs w:val="21"/>
              </w:rPr>
              <w:t>目标1</w:t>
            </w:r>
          </w:p>
        </w:tc>
        <w:tc>
          <w:tcPr>
            <w:tcW w:w="1424" w:type="dxa"/>
            <w:shd w:val="clear" w:color="auto" w:fill="FFFFFF"/>
            <w:vAlign w:val="center"/>
          </w:tcPr>
          <w:p w14:paraId="097C4AD9">
            <w:pPr>
              <w:jc w:val="center"/>
              <w:rPr>
                <w:rFonts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1</w:t>
            </w:r>
          </w:p>
        </w:tc>
        <w:tc>
          <w:tcPr>
            <w:tcW w:w="711" w:type="dxa"/>
            <w:gridSpan w:val="2"/>
            <w:shd w:val="clear" w:color="auto" w:fill="FFFFFF"/>
            <w:vAlign w:val="center"/>
          </w:tcPr>
          <w:p w14:paraId="5C6773F5">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12" w:type="dxa"/>
            <w:shd w:val="clear" w:color="auto" w:fill="FFFFFF"/>
            <w:vAlign w:val="center"/>
          </w:tcPr>
          <w:p w14:paraId="31391156">
            <w:pPr>
              <w:jc w:val="center"/>
              <w:rPr>
                <w:rFonts w:ascii="宋体" w:hAnsi="宋体" w:eastAsia="宋体" w:cs="Times New Roman"/>
                <w:kern w:val="0"/>
                <w:szCs w:val="21"/>
              </w:rPr>
            </w:pPr>
          </w:p>
        </w:tc>
      </w:tr>
      <w:tr w14:paraId="26AB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70" w:type="dxa"/>
            <w:vAlign w:val="center"/>
          </w:tcPr>
          <w:p w14:paraId="6AEFCB05">
            <w:pPr>
              <w:jc w:val="center"/>
              <w:rPr>
                <w:rFonts w:ascii="宋体" w:hAnsi="宋体" w:eastAsia="宋体" w:cs="Times New Roman"/>
                <w:szCs w:val="21"/>
              </w:rPr>
            </w:pPr>
            <w:r>
              <w:rPr>
                <w:rFonts w:hint="eastAsia" w:ascii="宋体" w:hAnsi="宋体" w:eastAsia="宋体" w:cs="Times New Roman"/>
                <w:szCs w:val="21"/>
              </w:rPr>
              <w:t>2</w:t>
            </w:r>
          </w:p>
        </w:tc>
        <w:tc>
          <w:tcPr>
            <w:tcW w:w="4129" w:type="dxa"/>
            <w:vAlign w:val="center"/>
          </w:tcPr>
          <w:p w14:paraId="6BC95271">
            <w:pPr>
              <w:widowControl/>
              <w:snapToGrid w:val="0"/>
              <w:jc w:val="left"/>
              <w:rPr>
                <w:rFonts w:ascii="宋体" w:hAnsi="宋体" w:eastAsia="宋体" w:cs="宋体"/>
                <w:kern w:val="0"/>
                <w:szCs w:val="21"/>
              </w:rPr>
            </w:pPr>
            <w:r>
              <w:rPr>
                <w:rFonts w:hint="eastAsia" w:ascii="宋体" w:hAnsi="宋体" w:eastAsia="宋体" w:cs="宋体"/>
                <w:kern w:val="0"/>
                <w:szCs w:val="21"/>
              </w:rPr>
              <w:t>教育机器人搭建与软件环境安装</w:t>
            </w:r>
          </w:p>
        </w:tc>
        <w:tc>
          <w:tcPr>
            <w:tcW w:w="1709" w:type="dxa"/>
            <w:vAlign w:val="center"/>
          </w:tcPr>
          <w:p w14:paraId="4324106A">
            <w:pPr>
              <w:jc w:val="center"/>
              <w:rPr>
                <w:rFonts w:ascii="宋体" w:hAnsi="宋体" w:eastAsia="宋体" w:cs="Times New Roman"/>
                <w:szCs w:val="21"/>
              </w:rPr>
            </w:pPr>
            <w:r>
              <w:rPr>
                <w:rFonts w:hint="eastAsia" w:ascii="宋体" w:hAnsi="宋体" w:eastAsia="宋体" w:cs="Times New Roman"/>
                <w:kern w:val="0"/>
                <w:szCs w:val="21"/>
              </w:rPr>
              <w:t>目标2</w:t>
            </w:r>
          </w:p>
        </w:tc>
        <w:tc>
          <w:tcPr>
            <w:tcW w:w="1424" w:type="dxa"/>
            <w:vAlign w:val="center"/>
          </w:tcPr>
          <w:p w14:paraId="0404ED2E">
            <w:pPr>
              <w:jc w:val="center"/>
              <w:rPr>
                <w:rFonts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2</w:t>
            </w:r>
          </w:p>
        </w:tc>
        <w:tc>
          <w:tcPr>
            <w:tcW w:w="711" w:type="dxa"/>
            <w:gridSpan w:val="2"/>
            <w:vAlign w:val="center"/>
          </w:tcPr>
          <w:p w14:paraId="1FEDF41F">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12" w:type="dxa"/>
            <w:vAlign w:val="center"/>
          </w:tcPr>
          <w:p w14:paraId="1ED2AF0B">
            <w:pPr>
              <w:jc w:val="center"/>
              <w:rPr>
                <w:rFonts w:ascii="宋体" w:hAnsi="宋体" w:eastAsia="宋体" w:cs="Times New Roman"/>
                <w:kern w:val="0"/>
                <w:szCs w:val="21"/>
              </w:rPr>
            </w:pPr>
            <w:r>
              <w:rPr>
                <w:rFonts w:hint="eastAsia" w:ascii="宋体" w:hAnsi="宋体" w:eastAsia="宋体" w:cs="Times New Roman"/>
                <w:kern w:val="0"/>
                <w:szCs w:val="21"/>
              </w:rPr>
              <w:t>2</w:t>
            </w:r>
          </w:p>
        </w:tc>
      </w:tr>
      <w:tr w14:paraId="2A63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70" w:type="dxa"/>
            <w:vAlign w:val="center"/>
          </w:tcPr>
          <w:p w14:paraId="2F005A21">
            <w:pPr>
              <w:jc w:val="center"/>
              <w:rPr>
                <w:rFonts w:ascii="宋体" w:hAnsi="宋体" w:eastAsia="宋体" w:cs="Times New Roman"/>
                <w:szCs w:val="21"/>
              </w:rPr>
            </w:pPr>
            <w:r>
              <w:rPr>
                <w:rFonts w:hint="eastAsia" w:ascii="宋体" w:hAnsi="宋体" w:eastAsia="宋体" w:cs="Times New Roman"/>
                <w:szCs w:val="21"/>
              </w:rPr>
              <w:t>3</w:t>
            </w:r>
          </w:p>
        </w:tc>
        <w:tc>
          <w:tcPr>
            <w:tcW w:w="4129" w:type="dxa"/>
            <w:vAlign w:val="center"/>
          </w:tcPr>
          <w:p w14:paraId="38C8DC64">
            <w:pPr>
              <w:jc w:val="left"/>
              <w:rPr>
                <w:rFonts w:ascii="宋体" w:hAnsi="宋体" w:eastAsia="宋体" w:cs="Times New Roman"/>
                <w:szCs w:val="21"/>
              </w:rPr>
            </w:pPr>
            <w:r>
              <w:rPr>
                <w:rFonts w:ascii="宋体" w:hAnsi="宋体" w:eastAsia="宋体" w:cs="宋体"/>
                <w:kern w:val="0"/>
                <w:szCs w:val="21"/>
              </w:rPr>
              <w:t>Scratch</w:t>
            </w:r>
            <w:r>
              <w:rPr>
                <w:rFonts w:hint="eastAsia" w:ascii="宋体" w:hAnsi="宋体" w:eastAsia="宋体" w:cs="宋体"/>
                <w:kern w:val="0"/>
                <w:szCs w:val="21"/>
              </w:rPr>
              <w:t>图形化程序设计</w:t>
            </w:r>
          </w:p>
        </w:tc>
        <w:tc>
          <w:tcPr>
            <w:tcW w:w="1709" w:type="dxa"/>
            <w:vAlign w:val="center"/>
          </w:tcPr>
          <w:p w14:paraId="23D742F4">
            <w:pPr>
              <w:jc w:val="center"/>
              <w:rPr>
                <w:rFonts w:ascii="宋体" w:hAnsi="宋体" w:eastAsia="宋体" w:cs="Times New Roman"/>
                <w:szCs w:val="21"/>
              </w:rPr>
            </w:pPr>
            <w:r>
              <w:rPr>
                <w:rFonts w:hint="eastAsia" w:ascii="宋体" w:hAnsi="宋体" w:eastAsia="宋体" w:cs="Times New Roman"/>
                <w:kern w:val="0"/>
                <w:szCs w:val="21"/>
              </w:rPr>
              <w:t>目标2</w:t>
            </w:r>
          </w:p>
        </w:tc>
        <w:tc>
          <w:tcPr>
            <w:tcW w:w="1424" w:type="dxa"/>
            <w:vAlign w:val="center"/>
          </w:tcPr>
          <w:p w14:paraId="28608F65">
            <w:pPr>
              <w:jc w:val="center"/>
              <w:rPr>
                <w:rFonts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2</w:t>
            </w:r>
          </w:p>
        </w:tc>
        <w:tc>
          <w:tcPr>
            <w:tcW w:w="711" w:type="dxa"/>
            <w:gridSpan w:val="2"/>
            <w:vAlign w:val="center"/>
          </w:tcPr>
          <w:p w14:paraId="7AD9D512">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12" w:type="dxa"/>
            <w:vAlign w:val="center"/>
          </w:tcPr>
          <w:p w14:paraId="4811CA36">
            <w:pPr>
              <w:jc w:val="center"/>
              <w:rPr>
                <w:rFonts w:ascii="宋体" w:hAnsi="宋体" w:eastAsia="宋体" w:cs="Times New Roman"/>
                <w:kern w:val="0"/>
                <w:szCs w:val="21"/>
              </w:rPr>
            </w:pPr>
            <w:r>
              <w:rPr>
                <w:rFonts w:hint="eastAsia" w:ascii="宋体" w:hAnsi="宋体" w:eastAsia="宋体" w:cs="Times New Roman"/>
                <w:kern w:val="0"/>
                <w:szCs w:val="21"/>
              </w:rPr>
              <w:t>4</w:t>
            </w:r>
          </w:p>
        </w:tc>
      </w:tr>
      <w:tr w14:paraId="3283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70" w:type="dxa"/>
            <w:vAlign w:val="center"/>
          </w:tcPr>
          <w:p w14:paraId="62295D95">
            <w:pPr>
              <w:jc w:val="center"/>
              <w:rPr>
                <w:rFonts w:ascii="宋体" w:hAnsi="宋体" w:eastAsia="宋体" w:cs="Times New Roman"/>
                <w:szCs w:val="21"/>
              </w:rPr>
            </w:pPr>
            <w:r>
              <w:rPr>
                <w:rFonts w:hint="eastAsia" w:ascii="宋体" w:hAnsi="宋体" w:eastAsia="宋体" w:cs="Times New Roman"/>
                <w:szCs w:val="21"/>
              </w:rPr>
              <w:t>4</w:t>
            </w:r>
          </w:p>
        </w:tc>
        <w:tc>
          <w:tcPr>
            <w:tcW w:w="4129" w:type="dxa"/>
            <w:vAlign w:val="center"/>
          </w:tcPr>
          <w:p w14:paraId="6FB268B2">
            <w:pPr>
              <w:jc w:val="left"/>
              <w:rPr>
                <w:rFonts w:ascii="宋体" w:hAnsi="宋体" w:eastAsia="宋体" w:cs="Times New Roman"/>
                <w:szCs w:val="21"/>
              </w:rPr>
            </w:pPr>
            <w:r>
              <w:rPr>
                <w:rFonts w:hint="eastAsia" w:ascii="宋体" w:hAnsi="宋体" w:eastAsia="宋体" w:cs="宋体"/>
                <w:kern w:val="0"/>
                <w:szCs w:val="21"/>
              </w:rPr>
              <w:t>机器人编程与实践</w:t>
            </w:r>
          </w:p>
        </w:tc>
        <w:tc>
          <w:tcPr>
            <w:tcW w:w="1709" w:type="dxa"/>
            <w:vAlign w:val="center"/>
          </w:tcPr>
          <w:p w14:paraId="5BE0292E">
            <w:pPr>
              <w:jc w:val="center"/>
              <w:rPr>
                <w:rFonts w:ascii="宋体" w:hAnsi="宋体" w:eastAsia="宋体" w:cs="Times New Roman"/>
                <w:szCs w:val="21"/>
              </w:rPr>
            </w:pPr>
            <w:r>
              <w:rPr>
                <w:rFonts w:hint="eastAsia" w:ascii="宋体" w:hAnsi="宋体" w:eastAsia="宋体" w:cs="Times New Roman"/>
                <w:kern w:val="0"/>
                <w:szCs w:val="21"/>
              </w:rPr>
              <w:t>目标2</w:t>
            </w:r>
          </w:p>
        </w:tc>
        <w:tc>
          <w:tcPr>
            <w:tcW w:w="1424" w:type="dxa"/>
            <w:vAlign w:val="center"/>
          </w:tcPr>
          <w:p w14:paraId="103F66D6">
            <w:pPr>
              <w:jc w:val="center"/>
              <w:rPr>
                <w:rFonts w:ascii="宋体" w:hAnsi="宋体" w:eastAsia="宋体" w:cs="Times New Roman"/>
                <w:szCs w:val="21"/>
              </w:rPr>
            </w:pPr>
            <w:r>
              <w:rPr>
                <w:rFonts w:ascii="宋体" w:hAnsi="宋体" w:eastAsia="宋体" w:cs="Times New Roman"/>
                <w:kern w:val="0"/>
                <w:szCs w:val="21"/>
              </w:rPr>
              <w:t>3-</w:t>
            </w:r>
            <w:r>
              <w:rPr>
                <w:rFonts w:hint="eastAsia" w:ascii="宋体" w:hAnsi="宋体" w:eastAsia="宋体" w:cs="Times New Roman"/>
                <w:kern w:val="0"/>
                <w:szCs w:val="21"/>
              </w:rPr>
              <w:t>2</w:t>
            </w:r>
          </w:p>
        </w:tc>
        <w:tc>
          <w:tcPr>
            <w:tcW w:w="711" w:type="dxa"/>
            <w:gridSpan w:val="2"/>
            <w:vAlign w:val="center"/>
          </w:tcPr>
          <w:p w14:paraId="33BB7E46">
            <w:pPr>
              <w:jc w:val="center"/>
              <w:rPr>
                <w:rFonts w:ascii="宋体" w:hAnsi="宋体" w:eastAsia="宋体" w:cs="Times New Roman"/>
                <w:kern w:val="0"/>
                <w:szCs w:val="21"/>
              </w:rPr>
            </w:pPr>
            <w:r>
              <w:rPr>
                <w:rFonts w:hint="eastAsia" w:ascii="宋体" w:hAnsi="宋体" w:eastAsia="宋体" w:cs="Times New Roman"/>
                <w:kern w:val="0"/>
                <w:szCs w:val="21"/>
              </w:rPr>
              <w:t>4</w:t>
            </w:r>
          </w:p>
        </w:tc>
        <w:tc>
          <w:tcPr>
            <w:tcW w:w="712" w:type="dxa"/>
            <w:vAlign w:val="center"/>
          </w:tcPr>
          <w:p w14:paraId="3860DA73">
            <w:pPr>
              <w:jc w:val="center"/>
              <w:rPr>
                <w:rFonts w:ascii="宋体" w:hAnsi="宋体" w:eastAsia="宋体" w:cs="Times New Roman"/>
                <w:kern w:val="0"/>
                <w:szCs w:val="21"/>
              </w:rPr>
            </w:pPr>
            <w:r>
              <w:rPr>
                <w:rFonts w:hint="eastAsia" w:ascii="宋体" w:hAnsi="宋体" w:eastAsia="宋体" w:cs="Times New Roman"/>
                <w:kern w:val="0"/>
                <w:szCs w:val="21"/>
              </w:rPr>
              <w:t>4</w:t>
            </w:r>
          </w:p>
        </w:tc>
      </w:tr>
      <w:tr w14:paraId="4E89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570" w:type="dxa"/>
            <w:vAlign w:val="center"/>
          </w:tcPr>
          <w:p w14:paraId="353222EB">
            <w:pPr>
              <w:jc w:val="center"/>
              <w:rPr>
                <w:rFonts w:ascii="宋体" w:hAnsi="宋体" w:eastAsia="宋体" w:cs="Times New Roman"/>
                <w:szCs w:val="21"/>
              </w:rPr>
            </w:pPr>
            <w:r>
              <w:rPr>
                <w:rFonts w:hint="eastAsia" w:ascii="宋体" w:hAnsi="宋体" w:eastAsia="宋体" w:cs="Times New Roman"/>
                <w:szCs w:val="21"/>
              </w:rPr>
              <w:t>5</w:t>
            </w:r>
          </w:p>
        </w:tc>
        <w:tc>
          <w:tcPr>
            <w:tcW w:w="4129" w:type="dxa"/>
            <w:vAlign w:val="center"/>
          </w:tcPr>
          <w:p w14:paraId="1070EE69">
            <w:pPr>
              <w:jc w:val="left"/>
              <w:rPr>
                <w:rFonts w:ascii="宋体" w:hAnsi="宋体" w:eastAsia="宋体" w:cs="Times New Roman"/>
                <w:szCs w:val="21"/>
              </w:rPr>
            </w:pPr>
            <w:r>
              <w:rPr>
                <w:rFonts w:hint="eastAsia" w:ascii="宋体" w:hAnsi="宋体" w:eastAsia="宋体" w:cs="宋体"/>
                <w:kern w:val="0"/>
                <w:szCs w:val="21"/>
              </w:rPr>
              <w:t>竞赛机器人搭建与程序设计</w:t>
            </w:r>
          </w:p>
        </w:tc>
        <w:tc>
          <w:tcPr>
            <w:tcW w:w="1709" w:type="dxa"/>
            <w:vAlign w:val="center"/>
          </w:tcPr>
          <w:p w14:paraId="1A6EBA28">
            <w:pPr>
              <w:jc w:val="center"/>
              <w:rPr>
                <w:rFonts w:ascii="宋体" w:hAnsi="宋体" w:eastAsia="宋体" w:cs="Times New Roman"/>
                <w:szCs w:val="21"/>
              </w:rPr>
            </w:pPr>
            <w:r>
              <w:rPr>
                <w:rFonts w:hint="eastAsia" w:ascii="宋体" w:hAnsi="宋体" w:eastAsia="宋体" w:cs="Times New Roman"/>
                <w:kern w:val="0"/>
                <w:szCs w:val="21"/>
              </w:rPr>
              <w:t>目标3</w:t>
            </w:r>
          </w:p>
        </w:tc>
        <w:tc>
          <w:tcPr>
            <w:tcW w:w="1424" w:type="dxa"/>
            <w:vAlign w:val="center"/>
          </w:tcPr>
          <w:p w14:paraId="7E48275D">
            <w:pPr>
              <w:jc w:val="center"/>
              <w:rPr>
                <w:rFonts w:ascii="宋体" w:hAnsi="宋体" w:eastAsia="宋体" w:cs="Times New Roman"/>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3</w:t>
            </w:r>
          </w:p>
        </w:tc>
        <w:tc>
          <w:tcPr>
            <w:tcW w:w="711" w:type="dxa"/>
            <w:gridSpan w:val="2"/>
            <w:vAlign w:val="center"/>
          </w:tcPr>
          <w:p w14:paraId="5405B669">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12" w:type="dxa"/>
            <w:vAlign w:val="center"/>
          </w:tcPr>
          <w:p w14:paraId="4DD6845E">
            <w:pPr>
              <w:jc w:val="center"/>
              <w:rPr>
                <w:rFonts w:ascii="宋体" w:hAnsi="宋体" w:eastAsia="宋体" w:cs="Times New Roman"/>
                <w:kern w:val="0"/>
                <w:szCs w:val="21"/>
              </w:rPr>
            </w:pPr>
            <w:r>
              <w:rPr>
                <w:rFonts w:hint="eastAsia" w:ascii="宋体" w:hAnsi="宋体" w:eastAsia="宋体" w:cs="Times New Roman"/>
                <w:kern w:val="0"/>
                <w:szCs w:val="21"/>
              </w:rPr>
              <w:t>4</w:t>
            </w:r>
          </w:p>
        </w:tc>
      </w:tr>
      <w:tr w14:paraId="0057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70" w:type="dxa"/>
            <w:vAlign w:val="center"/>
          </w:tcPr>
          <w:p w14:paraId="53F9894A">
            <w:pPr>
              <w:jc w:val="center"/>
              <w:rPr>
                <w:rFonts w:ascii="宋体" w:hAnsi="宋体" w:eastAsia="宋体" w:cs="Times New Roman"/>
                <w:szCs w:val="21"/>
              </w:rPr>
            </w:pPr>
            <w:r>
              <w:rPr>
                <w:rFonts w:hint="eastAsia" w:ascii="宋体" w:hAnsi="宋体" w:eastAsia="宋体" w:cs="Times New Roman"/>
                <w:szCs w:val="21"/>
              </w:rPr>
              <w:t>6</w:t>
            </w:r>
          </w:p>
        </w:tc>
        <w:tc>
          <w:tcPr>
            <w:tcW w:w="4129" w:type="dxa"/>
            <w:vAlign w:val="center"/>
          </w:tcPr>
          <w:p w14:paraId="1E2A7472">
            <w:pPr>
              <w:widowControl/>
              <w:snapToGrid w:val="0"/>
              <w:jc w:val="left"/>
              <w:rPr>
                <w:rFonts w:ascii="宋体" w:hAnsi="宋体" w:eastAsia="宋体" w:cs="宋体"/>
                <w:kern w:val="0"/>
                <w:szCs w:val="21"/>
              </w:rPr>
            </w:pPr>
            <w:r>
              <w:rPr>
                <w:rFonts w:hint="eastAsia" w:ascii="宋体" w:hAnsi="宋体" w:eastAsia="宋体" w:cs="宋体"/>
                <w:kern w:val="0"/>
                <w:szCs w:val="21"/>
              </w:rPr>
              <w:t>机器人竞赛组织与训练</w:t>
            </w:r>
          </w:p>
        </w:tc>
        <w:tc>
          <w:tcPr>
            <w:tcW w:w="1709" w:type="dxa"/>
            <w:vAlign w:val="center"/>
          </w:tcPr>
          <w:p w14:paraId="0AA6FB59">
            <w:pPr>
              <w:jc w:val="center"/>
              <w:rPr>
                <w:rFonts w:ascii="宋体" w:hAnsi="宋体" w:eastAsia="宋体" w:cs="Times New Roman"/>
                <w:szCs w:val="21"/>
              </w:rPr>
            </w:pPr>
            <w:r>
              <w:rPr>
                <w:rFonts w:hint="eastAsia" w:ascii="宋体" w:hAnsi="宋体" w:eastAsia="宋体" w:cs="Times New Roman"/>
                <w:kern w:val="0"/>
                <w:szCs w:val="21"/>
              </w:rPr>
              <w:t>目标4</w:t>
            </w:r>
          </w:p>
        </w:tc>
        <w:tc>
          <w:tcPr>
            <w:tcW w:w="1424" w:type="dxa"/>
            <w:vAlign w:val="center"/>
          </w:tcPr>
          <w:p w14:paraId="5FAF4BD7">
            <w:pPr>
              <w:jc w:val="center"/>
              <w:rPr>
                <w:rFonts w:ascii="宋体" w:hAnsi="宋体" w:eastAsia="宋体" w:cs="Times New Roman"/>
                <w:szCs w:val="21"/>
              </w:rPr>
            </w:pPr>
            <w:r>
              <w:rPr>
                <w:rFonts w:hint="eastAsia" w:ascii="宋体" w:hAnsi="宋体" w:eastAsia="宋体" w:cs="Times New Roman"/>
                <w:kern w:val="0"/>
                <w:szCs w:val="21"/>
              </w:rPr>
              <w:t>6-2</w:t>
            </w:r>
          </w:p>
        </w:tc>
        <w:tc>
          <w:tcPr>
            <w:tcW w:w="711" w:type="dxa"/>
            <w:gridSpan w:val="2"/>
            <w:vAlign w:val="center"/>
          </w:tcPr>
          <w:p w14:paraId="6C7E9D76">
            <w:pPr>
              <w:jc w:val="center"/>
              <w:rPr>
                <w:rFonts w:ascii="宋体" w:hAnsi="宋体" w:eastAsia="宋体" w:cs="Times New Roman"/>
                <w:kern w:val="0"/>
                <w:szCs w:val="21"/>
              </w:rPr>
            </w:pPr>
            <w:r>
              <w:rPr>
                <w:rFonts w:hint="eastAsia" w:ascii="宋体" w:hAnsi="宋体" w:eastAsia="宋体" w:cs="Times New Roman"/>
                <w:kern w:val="0"/>
                <w:szCs w:val="21"/>
              </w:rPr>
              <w:t>2</w:t>
            </w:r>
          </w:p>
        </w:tc>
        <w:tc>
          <w:tcPr>
            <w:tcW w:w="712" w:type="dxa"/>
            <w:vAlign w:val="center"/>
          </w:tcPr>
          <w:p w14:paraId="28FA2221">
            <w:pPr>
              <w:jc w:val="center"/>
              <w:rPr>
                <w:rFonts w:ascii="宋体" w:hAnsi="宋体" w:eastAsia="宋体" w:cs="Times New Roman"/>
                <w:kern w:val="0"/>
                <w:szCs w:val="21"/>
              </w:rPr>
            </w:pPr>
            <w:r>
              <w:rPr>
                <w:rFonts w:hint="eastAsia" w:ascii="宋体" w:hAnsi="宋体" w:eastAsia="宋体" w:cs="Times New Roman"/>
                <w:kern w:val="0"/>
                <w:szCs w:val="21"/>
              </w:rPr>
              <w:t>2</w:t>
            </w:r>
          </w:p>
        </w:tc>
      </w:tr>
      <w:tr w14:paraId="4C4A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70" w:type="dxa"/>
            <w:vAlign w:val="center"/>
          </w:tcPr>
          <w:p w14:paraId="289144C1">
            <w:pPr>
              <w:jc w:val="center"/>
              <w:rPr>
                <w:rFonts w:ascii="宋体" w:hAnsi="宋体" w:eastAsia="宋体" w:cs="Times New Roman"/>
                <w:szCs w:val="21"/>
              </w:rPr>
            </w:pPr>
            <w:r>
              <w:rPr>
                <w:rFonts w:hint="eastAsia" w:ascii="宋体" w:hAnsi="宋体" w:eastAsia="宋体" w:cs="Times New Roman"/>
                <w:szCs w:val="21"/>
              </w:rPr>
              <w:t>7</w:t>
            </w:r>
          </w:p>
        </w:tc>
        <w:tc>
          <w:tcPr>
            <w:tcW w:w="4129" w:type="dxa"/>
            <w:vAlign w:val="center"/>
          </w:tcPr>
          <w:p w14:paraId="1A0E0986">
            <w:pPr>
              <w:jc w:val="left"/>
              <w:rPr>
                <w:rFonts w:ascii="宋体" w:hAnsi="宋体" w:eastAsia="宋体" w:cs="Times New Roman"/>
                <w:szCs w:val="21"/>
              </w:rPr>
            </w:pPr>
            <w:r>
              <w:rPr>
                <w:rFonts w:hint="eastAsia" w:ascii="宋体" w:hAnsi="宋体" w:eastAsia="宋体" w:cs="宋体"/>
                <w:kern w:val="0"/>
                <w:szCs w:val="21"/>
              </w:rPr>
              <w:t>机器人教育与竞赛活动评价</w:t>
            </w:r>
          </w:p>
        </w:tc>
        <w:tc>
          <w:tcPr>
            <w:tcW w:w="1709" w:type="dxa"/>
            <w:vAlign w:val="center"/>
          </w:tcPr>
          <w:p w14:paraId="4B10491C">
            <w:pPr>
              <w:jc w:val="center"/>
              <w:rPr>
                <w:rFonts w:ascii="宋体" w:hAnsi="宋体" w:eastAsia="宋体" w:cs="Times New Roman"/>
                <w:szCs w:val="21"/>
              </w:rPr>
            </w:pPr>
            <w:r>
              <w:rPr>
                <w:rFonts w:hint="eastAsia" w:ascii="宋体" w:hAnsi="宋体" w:eastAsia="宋体" w:cs="Times New Roman"/>
                <w:kern w:val="0"/>
                <w:szCs w:val="21"/>
              </w:rPr>
              <w:t>目标1、 5</w:t>
            </w:r>
          </w:p>
        </w:tc>
        <w:tc>
          <w:tcPr>
            <w:tcW w:w="1424" w:type="dxa"/>
            <w:vAlign w:val="center"/>
          </w:tcPr>
          <w:p w14:paraId="73355C44">
            <w:pPr>
              <w:jc w:val="center"/>
              <w:rPr>
                <w:rFonts w:ascii="宋体" w:hAnsi="宋体" w:eastAsia="宋体" w:cs="Times New Roman"/>
                <w:szCs w:val="21"/>
              </w:rPr>
            </w:pPr>
            <w:r>
              <w:rPr>
                <w:rFonts w:hint="eastAsia" w:ascii="宋体" w:hAnsi="宋体" w:eastAsia="宋体" w:cs="Times New Roman"/>
                <w:kern w:val="0"/>
                <w:szCs w:val="21"/>
              </w:rPr>
              <w:t>6</w:t>
            </w:r>
            <w:r>
              <w:rPr>
                <w:rFonts w:ascii="宋体" w:hAnsi="宋体" w:eastAsia="宋体" w:cs="Times New Roman"/>
                <w:kern w:val="0"/>
                <w:szCs w:val="21"/>
              </w:rPr>
              <w:t>-3</w:t>
            </w:r>
          </w:p>
        </w:tc>
        <w:tc>
          <w:tcPr>
            <w:tcW w:w="711" w:type="dxa"/>
            <w:gridSpan w:val="2"/>
            <w:vAlign w:val="center"/>
          </w:tcPr>
          <w:p w14:paraId="1470AC8F">
            <w:pPr>
              <w:jc w:val="center"/>
              <w:rPr>
                <w:rFonts w:ascii="宋体" w:hAnsi="宋体" w:eastAsia="宋体" w:cs="Times New Roman"/>
                <w:kern w:val="0"/>
                <w:szCs w:val="21"/>
              </w:rPr>
            </w:pPr>
            <w:r>
              <w:rPr>
                <w:rFonts w:ascii="宋体" w:hAnsi="宋体" w:eastAsia="宋体" w:cs="Times New Roman"/>
                <w:kern w:val="0"/>
                <w:szCs w:val="21"/>
              </w:rPr>
              <w:t>2</w:t>
            </w:r>
          </w:p>
        </w:tc>
        <w:tc>
          <w:tcPr>
            <w:tcW w:w="712" w:type="dxa"/>
            <w:vAlign w:val="center"/>
          </w:tcPr>
          <w:p w14:paraId="0E0B00D5">
            <w:pPr>
              <w:jc w:val="center"/>
              <w:rPr>
                <w:rFonts w:ascii="宋体" w:hAnsi="宋体" w:eastAsia="宋体" w:cs="Times New Roman"/>
                <w:kern w:val="0"/>
                <w:szCs w:val="21"/>
              </w:rPr>
            </w:pPr>
          </w:p>
        </w:tc>
      </w:tr>
      <w:tr w14:paraId="3619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841" w:type="dxa"/>
            <w:gridSpan w:val="5"/>
            <w:vAlign w:val="center"/>
          </w:tcPr>
          <w:p w14:paraId="6668EA65">
            <w:pPr>
              <w:jc w:val="center"/>
              <w:rPr>
                <w:rFonts w:ascii="宋体" w:hAnsi="宋体" w:eastAsia="宋体" w:cs="Times New Roman"/>
                <w:szCs w:val="21"/>
              </w:rPr>
            </w:pPr>
            <w:r>
              <w:rPr>
                <w:rFonts w:ascii="宋体" w:hAnsi="宋体" w:eastAsia="宋体" w:cs="Times New Roman"/>
                <w:szCs w:val="21"/>
              </w:rPr>
              <w:t>合计</w:t>
            </w:r>
          </w:p>
        </w:tc>
        <w:tc>
          <w:tcPr>
            <w:tcW w:w="704" w:type="dxa"/>
            <w:vAlign w:val="center"/>
          </w:tcPr>
          <w:p w14:paraId="567494C7">
            <w:pPr>
              <w:jc w:val="center"/>
              <w:rPr>
                <w:rFonts w:ascii="宋体" w:hAnsi="宋体" w:eastAsia="宋体" w:cs="Times New Roman"/>
                <w:kern w:val="0"/>
                <w:szCs w:val="21"/>
              </w:rPr>
            </w:pPr>
            <w:r>
              <w:rPr>
                <w:rFonts w:hint="eastAsia" w:ascii="宋体" w:hAnsi="宋体" w:eastAsia="宋体" w:cs="Times New Roman"/>
                <w:kern w:val="0"/>
                <w:szCs w:val="21"/>
              </w:rPr>
              <w:t>16</w:t>
            </w:r>
          </w:p>
        </w:tc>
        <w:tc>
          <w:tcPr>
            <w:tcW w:w="712" w:type="dxa"/>
            <w:vAlign w:val="center"/>
          </w:tcPr>
          <w:p w14:paraId="1D875003">
            <w:pPr>
              <w:jc w:val="center"/>
              <w:rPr>
                <w:rFonts w:ascii="宋体" w:hAnsi="宋体" w:eastAsia="宋体" w:cs="Times New Roman"/>
                <w:kern w:val="0"/>
                <w:szCs w:val="21"/>
              </w:rPr>
            </w:pPr>
            <w:r>
              <w:rPr>
                <w:rFonts w:hint="eastAsia" w:ascii="宋体" w:hAnsi="宋体" w:eastAsia="宋体" w:cs="Times New Roman"/>
                <w:kern w:val="0"/>
                <w:szCs w:val="21"/>
              </w:rPr>
              <w:t>16</w:t>
            </w:r>
          </w:p>
        </w:tc>
      </w:tr>
    </w:tbl>
    <w:p w14:paraId="7F7BA182">
      <w:pPr>
        <w:spacing w:line="360" w:lineRule="auto"/>
        <w:rPr>
          <w:rFonts w:ascii="宋体" w:hAnsi="宋体" w:eastAsia="宋体" w:cs="Times New Roman"/>
          <w:b/>
          <w:sz w:val="28"/>
          <w:szCs w:val="28"/>
        </w:rPr>
      </w:pPr>
    </w:p>
    <w:p w14:paraId="70D18FC8">
      <w:pPr>
        <w:spacing w:line="360" w:lineRule="auto"/>
        <w:ind w:firstLine="562" w:firstLineChars="200"/>
        <w:rPr>
          <w:rFonts w:ascii="宋体" w:hAnsi="宋体" w:eastAsia="宋体" w:cs="Times New Roman"/>
          <w:b/>
          <w:sz w:val="28"/>
          <w:szCs w:val="28"/>
        </w:rPr>
      </w:pPr>
      <w:bookmarkStart w:id="284" w:name="_Toc29395662"/>
      <w:r>
        <w:rPr>
          <w:rFonts w:hint="eastAsia" w:ascii="宋体" w:hAnsi="宋体" w:eastAsia="宋体" w:cs="Times New Roman"/>
          <w:b/>
          <w:sz w:val="28"/>
          <w:szCs w:val="28"/>
        </w:rPr>
        <w:t>四</w:t>
      </w:r>
      <w:r>
        <w:rPr>
          <w:rFonts w:ascii="宋体" w:hAnsi="宋体" w:eastAsia="宋体" w:cs="Times New Roman"/>
          <w:b/>
          <w:sz w:val="28"/>
          <w:szCs w:val="28"/>
        </w:rPr>
        <w:t>、</w:t>
      </w:r>
      <w:r>
        <w:rPr>
          <w:rFonts w:hint="eastAsia" w:ascii="宋体" w:hAnsi="宋体" w:eastAsia="宋体" w:cs="Times New Roman"/>
          <w:b/>
          <w:sz w:val="28"/>
          <w:szCs w:val="28"/>
        </w:rPr>
        <w:t>课内实验（实践）</w:t>
      </w:r>
      <w:bookmarkEnd w:id="284"/>
    </w:p>
    <w:tbl>
      <w:tblPr>
        <w:tblStyle w:val="30"/>
        <w:tblW w:w="9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353"/>
        <w:gridCol w:w="3931"/>
        <w:gridCol w:w="725"/>
        <w:gridCol w:w="1140"/>
        <w:gridCol w:w="829"/>
        <w:gridCol w:w="622"/>
      </w:tblGrid>
      <w:tr w14:paraId="0529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27" w:type="dxa"/>
            <w:shd w:val="clear" w:color="auto" w:fill="FFFFFF"/>
            <w:vAlign w:val="center"/>
          </w:tcPr>
          <w:p w14:paraId="3B6AAE94">
            <w:pPr>
              <w:jc w:val="center"/>
              <w:rPr>
                <w:rFonts w:ascii="宋体" w:hAnsi="宋体" w:eastAsia="宋体" w:cs="Times New Roman"/>
                <w:b/>
                <w:bCs/>
                <w:spacing w:val="-20"/>
                <w:szCs w:val="21"/>
              </w:rPr>
            </w:pPr>
            <w:r>
              <w:rPr>
                <w:rFonts w:ascii="宋体" w:hAnsi="宋体" w:eastAsia="宋体" w:cs="Times New Roman"/>
                <w:b/>
                <w:bCs/>
                <w:spacing w:val="-20"/>
                <w:szCs w:val="21"/>
              </w:rPr>
              <w:t>序号</w:t>
            </w:r>
          </w:p>
        </w:tc>
        <w:tc>
          <w:tcPr>
            <w:tcW w:w="1353" w:type="dxa"/>
            <w:shd w:val="clear" w:color="auto" w:fill="FFFFFF"/>
            <w:vAlign w:val="center"/>
          </w:tcPr>
          <w:p w14:paraId="73CE1640">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p>
          <w:p w14:paraId="4FA27765">
            <w:pPr>
              <w:ind w:firstLine="211" w:firstLineChars="100"/>
              <w:rPr>
                <w:rFonts w:ascii="宋体" w:hAnsi="宋体" w:eastAsia="宋体" w:cs="Times New Roman"/>
                <w:b/>
                <w:bCs/>
                <w:szCs w:val="21"/>
              </w:rPr>
            </w:pPr>
            <w:r>
              <w:rPr>
                <w:rFonts w:ascii="宋体" w:hAnsi="宋体" w:eastAsia="宋体" w:cs="Times New Roman"/>
                <w:b/>
                <w:bCs/>
                <w:szCs w:val="21"/>
              </w:rPr>
              <w:t>项目名称</w:t>
            </w:r>
          </w:p>
        </w:tc>
        <w:tc>
          <w:tcPr>
            <w:tcW w:w="3931" w:type="dxa"/>
            <w:shd w:val="clear" w:color="auto" w:fill="FFFFFF"/>
            <w:vAlign w:val="center"/>
          </w:tcPr>
          <w:p w14:paraId="5EEBF0C5">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及要求</w:t>
            </w:r>
          </w:p>
        </w:tc>
        <w:tc>
          <w:tcPr>
            <w:tcW w:w="725" w:type="dxa"/>
            <w:shd w:val="clear" w:color="auto" w:fill="FFFFFF"/>
            <w:vAlign w:val="center"/>
          </w:tcPr>
          <w:p w14:paraId="5CAA1A9E">
            <w:pPr>
              <w:jc w:val="center"/>
              <w:rPr>
                <w:rFonts w:ascii="宋体" w:hAnsi="宋体" w:eastAsia="宋体" w:cs="Times New Roman"/>
                <w:b/>
                <w:bCs/>
                <w:szCs w:val="21"/>
              </w:rPr>
            </w:pPr>
            <w:r>
              <w:rPr>
                <w:rFonts w:ascii="宋体" w:hAnsi="宋体" w:eastAsia="宋体" w:cs="Times New Roman"/>
                <w:b/>
                <w:bCs/>
                <w:szCs w:val="21"/>
              </w:rPr>
              <w:t>学时</w:t>
            </w:r>
          </w:p>
        </w:tc>
        <w:tc>
          <w:tcPr>
            <w:tcW w:w="1140" w:type="dxa"/>
            <w:shd w:val="clear" w:color="auto" w:fill="FFFFFF"/>
            <w:vAlign w:val="center"/>
          </w:tcPr>
          <w:p w14:paraId="65AEB1F2">
            <w:pPr>
              <w:jc w:val="center"/>
              <w:rPr>
                <w:rFonts w:ascii="宋体" w:hAnsi="宋体" w:eastAsia="宋体" w:cs="Times New Roman"/>
                <w:b/>
                <w:bCs/>
                <w:szCs w:val="21"/>
              </w:rPr>
            </w:pPr>
            <w:r>
              <w:rPr>
                <w:rFonts w:ascii="宋体" w:hAnsi="宋体" w:eastAsia="宋体" w:cs="Times New Roman"/>
                <w:b/>
                <w:bCs/>
                <w:szCs w:val="21"/>
              </w:rPr>
              <w:t>对毕业要求的支撑</w:t>
            </w:r>
          </w:p>
        </w:tc>
        <w:tc>
          <w:tcPr>
            <w:tcW w:w="829" w:type="dxa"/>
            <w:shd w:val="clear" w:color="auto" w:fill="FFFFFF"/>
            <w:tcMar>
              <w:left w:w="28" w:type="dxa"/>
              <w:right w:w="28" w:type="dxa"/>
            </w:tcMar>
            <w:vAlign w:val="center"/>
          </w:tcPr>
          <w:p w14:paraId="42821F89">
            <w:pPr>
              <w:jc w:val="center"/>
              <w:rPr>
                <w:rFonts w:ascii="宋体" w:hAnsi="宋体" w:eastAsia="宋体" w:cs="Times New Roman"/>
                <w:b/>
                <w:bCs/>
                <w:szCs w:val="21"/>
              </w:rPr>
            </w:pPr>
            <w:r>
              <w:rPr>
                <w:rFonts w:ascii="宋体" w:hAnsi="宋体" w:eastAsia="宋体" w:cs="Times New Roman"/>
                <w:b/>
                <w:bCs/>
                <w:szCs w:val="21"/>
              </w:rPr>
              <w:t>类型</w:t>
            </w:r>
          </w:p>
        </w:tc>
        <w:tc>
          <w:tcPr>
            <w:tcW w:w="622" w:type="dxa"/>
            <w:shd w:val="clear" w:color="auto" w:fill="FFFFFF"/>
            <w:tcMar>
              <w:left w:w="28" w:type="dxa"/>
              <w:right w:w="28" w:type="dxa"/>
            </w:tcMar>
            <w:vAlign w:val="center"/>
          </w:tcPr>
          <w:p w14:paraId="499CDAD8">
            <w:pPr>
              <w:jc w:val="center"/>
              <w:rPr>
                <w:rFonts w:ascii="宋体" w:hAnsi="宋体" w:eastAsia="宋体" w:cs="Times New Roman"/>
                <w:b/>
                <w:bCs/>
                <w:szCs w:val="21"/>
              </w:rPr>
            </w:pPr>
            <w:r>
              <w:rPr>
                <w:rFonts w:ascii="宋体" w:hAnsi="宋体" w:eastAsia="宋体" w:cs="Times New Roman"/>
                <w:b/>
                <w:bCs/>
                <w:szCs w:val="21"/>
              </w:rPr>
              <w:t>备注</w:t>
            </w:r>
          </w:p>
        </w:tc>
      </w:tr>
      <w:tr w14:paraId="26B7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27" w:type="dxa"/>
            <w:vAlign w:val="center"/>
          </w:tcPr>
          <w:p w14:paraId="26B140BB">
            <w:pPr>
              <w:jc w:val="center"/>
              <w:rPr>
                <w:rFonts w:ascii="宋体" w:hAnsi="宋体" w:eastAsia="宋体" w:cs="Times New Roman"/>
                <w:bCs/>
                <w:szCs w:val="21"/>
              </w:rPr>
            </w:pPr>
            <w:r>
              <w:rPr>
                <w:rFonts w:ascii="宋体" w:hAnsi="宋体" w:eastAsia="宋体" w:cs="Times New Roman"/>
                <w:bCs/>
                <w:szCs w:val="21"/>
              </w:rPr>
              <w:t>1</w:t>
            </w:r>
          </w:p>
        </w:tc>
        <w:tc>
          <w:tcPr>
            <w:tcW w:w="1353" w:type="dxa"/>
            <w:vAlign w:val="center"/>
          </w:tcPr>
          <w:p w14:paraId="3A1BED5E">
            <w:pPr>
              <w:rPr>
                <w:rFonts w:ascii="宋体" w:hAnsi="宋体" w:eastAsia="宋体" w:cs="宋体"/>
                <w:kern w:val="0"/>
                <w:szCs w:val="21"/>
              </w:rPr>
            </w:pPr>
            <w:r>
              <w:rPr>
                <w:rFonts w:hint="eastAsia" w:ascii="宋体" w:hAnsi="宋体" w:eastAsia="宋体" w:cs="宋体"/>
                <w:kern w:val="0"/>
                <w:szCs w:val="21"/>
              </w:rPr>
              <w:t>教育机器人搭建与软件环境安装</w:t>
            </w:r>
          </w:p>
        </w:tc>
        <w:tc>
          <w:tcPr>
            <w:tcW w:w="3931" w:type="dxa"/>
            <w:vAlign w:val="center"/>
          </w:tcPr>
          <w:p w14:paraId="49D94200">
            <w:pPr>
              <w:ind w:firstLine="422" w:firstLineChars="200"/>
              <w:rPr>
                <w:rFonts w:ascii="宋体" w:hAnsi="宋体" w:eastAsia="宋体" w:cs="Times New Roman"/>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宋体"/>
                <w:kern w:val="0"/>
                <w:szCs w:val="21"/>
              </w:rPr>
              <w:t>建一台教育机器人，安装软件环境</w:t>
            </w:r>
            <w:r>
              <w:rPr>
                <w:rFonts w:hint="eastAsia" w:ascii="宋体" w:hAnsi="宋体" w:eastAsia="宋体" w:cs="Times New Roman"/>
                <w:szCs w:val="21"/>
              </w:rPr>
              <w:t>。</w:t>
            </w:r>
          </w:p>
          <w:p w14:paraId="113D37EC">
            <w:pPr>
              <w:ind w:firstLine="316" w:firstLineChars="150"/>
              <w:rPr>
                <w:rFonts w:ascii="宋体" w:hAnsi="宋体" w:eastAsia="宋体" w:cs="宋体"/>
                <w:kern w:val="0"/>
                <w:szCs w:val="21"/>
              </w:rPr>
            </w:pPr>
            <w:r>
              <w:rPr>
                <w:rFonts w:hint="eastAsia" w:ascii="宋体" w:hAnsi="宋体" w:eastAsia="宋体" w:cs="Times New Roman"/>
                <w:b/>
                <w:bCs/>
                <w:szCs w:val="21"/>
              </w:rPr>
              <w:t xml:space="preserve"> 实验要求：</w:t>
            </w:r>
            <w:r>
              <w:rPr>
                <w:rFonts w:hint="eastAsia" w:ascii="宋体" w:hAnsi="宋体" w:eastAsia="宋体" w:cs="Times New Roman"/>
                <w:bCs/>
                <w:szCs w:val="21"/>
              </w:rPr>
              <w:t>每人</w:t>
            </w:r>
            <w:r>
              <w:rPr>
                <w:rFonts w:hint="eastAsia" w:ascii="宋体" w:hAnsi="宋体" w:eastAsia="宋体" w:cs="Times New Roman"/>
                <w:szCs w:val="21"/>
              </w:rPr>
              <w:t>提交</w:t>
            </w:r>
            <w:r>
              <w:rPr>
                <w:rFonts w:hint="eastAsia" w:ascii="宋体" w:hAnsi="宋体" w:eastAsia="宋体" w:cs="宋体"/>
                <w:kern w:val="0"/>
                <w:szCs w:val="21"/>
              </w:rPr>
              <w:t>教育机器人各功能模块介绍和软件使用报告</w:t>
            </w:r>
            <w:r>
              <w:rPr>
                <w:rFonts w:ascii="宋体" w:hAnsi="宋体" w:eastAsia="宋体" w:cs="宋体"/>
                <w:kern w:val="0"/>
                <w:szCs w:val="21"/>
              </w:rPr>
              <w:t>。</w:t>
            </w:r>
          </w:p>
        </w:tc>
        <w:tc>
          <w:tcPr>
            <w:tcW w:w="725" w:type="dxa"/>
            <w:vAlign w:val="center"/>
          </w:tcPr>
          <w:p w14:paraId="4FF8F496">
            <w:pPr>
              <w:jc w:val="center"/>
              <w:rPr>
                <w:rFonts w:ascii="宋体" w:hAnsi="宋体" w:eastAsia="宋体" w:cs="Times New Roman"/>
                <w:bCs/>
                <w:szCs w:val="21"/>
              </w:rPr>
            </w:pPr>
            <w:r>
              <w:rPr>
                <w:rFonts w:ascii="宋体" w:hAnsi="宋体" w:eastAsia="宋体" w:cs="Times New Roman"/>
                <w:bCs/>
                <w:szCs w:val="21"/>
              </w:rPr>
              <w:t>2</w:t>
            </w:r>
          </w:p>
        </w:tc>
        <w:tc>
          <w:tcPr>
            <w:tcW w:w="1140" w:type="dxa"/>
            <w:vAlign w:val="center"/>
          </w:tcPr>
          <w:p w14:paraId="660D85C2">
            <w:pPr>
              <w:jc w:val="center"/>
              <w:rPr>
                <w:rFonts w:ascii="宋体" w:hAnsi="宋体" w:eastAsia="宋体" w:cs="Times New Roman"/>
                <w:bCs/>
                <w:szCs w:val="21"/>
              </w:rPr>
            </w:pPr>
            <w:r>
              <w:rPr>
                <w:rFonts w:hint="eastAsia" w:ascii="宋体" w:hAnsi="宋体" w:eastAsia="宋体" w:cs="Times New Roman"/>
                <w:bCs/>
                <w:szCs w:val="21"/>
              </w:rPr>
              <w:t>3-2</w:t>
            </w:r>
          </w:p>
        </w:tc>
        <w:tc>
          <w:tcPr>
            <w:tcW w:w="829" w:type="dxa"/>
            <w:tcMar>
              <w:left w:w="28" w:type="dxa"/>
              <w:right w:w="28" w:type="dxa"/>
            </w:tcMar>
            <w:vAlign w:val="center"/>
          </w:tcPr>
          <w:p w14:paraId="0551CDFE">
            <w:pPr>
              <w:jc w:val="center"/>
              <w:rPr>
                <w:rFonts w:ascii="宋体" w:hAnsi="宋体" w:eastAsia="宋体" w:cs="Times New Roman"/>
                <w:bCs/>
                <w:szCs w:val="21"/>
              </w:rPr>
            </w:pPr>
            <w:r>
              <w:rPr>
                <w:rFonts w:hint="eastAsia" w:ascii="宋体" w:hAnsi="宋体" w:eastAsia="宋体" w:cs="Times New Roman"/>
                <w:bCs/>
                <w:szCs w:val="21"/>
              </w:rPr>
              <w:t>验证性</w:t>
            </w:r>
          </w:p>
        </w:tc>
        <w:tc>
          <w:tcPr>
            <w:tcW w:w="622" w:type="dxa"/>
            <w:tcMar>
              <w:left w:w="28" w:type="dxa"/>
              <w:right w:w="28" w:type="dxa"/>
            </w:tcMar>
            <w:vAlign w:val="center"/>
          </w:tcPr>
          <w:p w14:paraId="14CABFC9">
            <w:pPr>
              <w:jc w:val="center"/>
              <w:rPr>
                <w:rFonts w:ascii="宋体" w:hAnsi="宋体" w:eastAsia="宋体" w:cs="Times New Roman"/>
                <w:bCs/>
                <w:szCs w:val="21"/>
              </w:rPr>
            </w:pPr>
            <w:r>
              <w:rPr>
                <w:rFonts w:ascii="宋体" w:hAnsi="宋体" w:eastAsia="宋体" w:cs="Times New Roman"/>
                <w:bCs/>
                <w:szCs w:val="21"/>
              </w:rPr>
              <w:t>必做</w:t>
            </w:r>
          </w:p>
        </w:tc>
      </w:tr>
      <w:tr w14:paraId="583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627" w:type="dxa"/>
            <w:vAlign w:val="center"/>
          </w:tcPr>
          <w:p w14:paraId="199795EF">
            <w:pPr>
              <w:jc w:val="center"/>
              <w:rPr>
                <w:rFonts w:ascii="宋体" w:hAnsi="宋体" w:eastAsia="宋体" w:cs="Times New Roman"/>
                <w:bCs/>
                <w:szCs w:val="21"/>
              </w:rPr>
            </w:pPr>
            <w:r>
              <w:rPr>
                <w:rFonts w:hint="eastAsia" w:ascii="宋体" w:hAnsi="宋体" w:eastAsia="宋体" w:cs="Times New Roman"/>
                <w:bCs/>
                <w:szCs w:val="21"/>
              </w:rPr>
              <w:t>2</w:t>
            </w:r>
          </w:p>
        </w:tc>
        <w:tc>
          <w:tcPr>
            <w:tcW w:w="1353" w:type="dxa"/>
            <w:vAlign w:val="center"/>
          </w:tcPr>
          <w:p w14:paraId="2D7FD5C5">
            <w:pPr>
              <w:rPr>
                <w:rFonts w:ascii="宋体" w:hAnsi="宋体" w:eastAsia="宋体" w:cs="宋体"/>
                <w:kern w:val="0"/>
                <w:szCs w:val="21"/>
              </w:rPr>
            </w:pPr>
            <w:r>
              <w:rPr>
                <w:rFonts w:hint="eastAsia" w:ascii="宋体" w:hAnsi="宋体" w:eastAsia="宋体" w:cs="Times New Roman"/>
                <w:szCs w:val="21"/>
              </w:rPr>
              <w:t>熊猫漫步</w:t>
            </w:r>
          </w:p>
        </w:tc>
        <w:tc>
          <w:tcPr>
            <w:tcW w:w="3931" w:type="dxa"/>
            <w:vAlign w:val="center"/>
          </w:tcPr>
          <w:p w14:paraId="65D9EE30">
            <w:pPr>
              <w:ind w:firstLine="422" w:firstLineChars="200"/>
              <w:rPr>
                <w:rFonts w:ascii="宋体" w:hAnsi="宋体" w:eastAsia="宋体" w:cs="Times New Roman"/>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设计一个熊猫漫步</w:t>
            </w:r>
            <w:r>
              <w:rPr>
                <w:rFonts w:ascii="宋体" w:hAnsi="宋体" w:eastAsia="宋体" w:cs="Times New Roman"/>
                <w:szCs w:val="21"/>
              </w:rPr>
              <w:t>Scratch</w:t>
            </w:r>
            <w:r>
              <w:rPr>
                <w:rFonts w:hint="eastAsia" w:ascii="宋体" w:hAnsi="宋体" w:eastAsia="宋体" w:cs="Times New Roman"/>
                <w:szCs w:val="21"/>
              </w:rPr>
              <w:t>程序。</w:t>
            </w:r>
          </w:p>
          <w:p w14:paraId="067B2795">
            <w:pPr>
              <w:ind w:firstLine="422" w:firstLineChars="200"/>
              <w:rPr>
                <w:rFonts w:ascii="宋体" w:hAnsi="宋体" w:eastAsia="宋体" w:cs="宋体"/>
                <w:kern w:val="0"/>
                <w:szCs w:val="21"/>
              </w:rPr>
            </w:pPr>
            <w:r>
              <w:rPr>
                <w:rFonts w:hint="eastAsia" w:ascii="宋体" w:hAnsi="宋体" w:eastAsia="宋体" w:cs="Times New Roman"/>
                <w:b/>
                <w:bCs/>
                <w:szCs w:val="21"/>
              </w:rPr>
              <w:t>实验要求：</w:t>
            </w:r>
            <w:r>
              <w:rPr>
                <w:rFonts w:hint="eastAsia" w:ascii="宋体" w:hAnsi="宋体" w:eastAsia="宋体" w:cs="Times New Roman"/>
                <w:bCs/>
                <w:szCs w:val="21"/>
              </w:rPr>
              <w:t>每人</w:t>
            </w:r>
            <w:r>
              <w:rPr>
                <w:rFonts w:hint="eastAsia" w:ascii="宋体" w:hAnsi="宋体" w:eastAsia="宋体" w:cs="Times New Roman"/>
                <w:szCs w:val="21"/>
              </w:rPr>
              <w:t>提交熊猫漫步实验报告</w:t>
            </w:r>
            <w:r>
              <w:rPr>
                <w:rFonts w:ascii="宋体" w:hAnsi="宋体" w:eastAsia="宋体" w:cs="Times New Roman"/>
                <w:szCs w:val="21"/>
              </w:rPr>
              <w:t>。</w:t>
            </w:r>
          </w:p>
        </w:tc>
        <w:tc>
          <w:tcPr>
            <w:tcW w:w="725" w:type="dxa"/>
            <w:vAlign w:val="center"/>
          </w:tcPr>
          <w:p w14:paraId="56F3B6BF">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07219EA4">
            <w:pPr>
              <w:jc w:val="center"/>
              <w:rPr>
                <w:rFonts w:ascii="宋体" w:hAnsi="宋体" w:eastAsia="宋体" w:cs="Times New Roman"/>
                <w:bCs/>
                <w:szCs w:val="21"/>
              </w:rPr>
            </w:pPr>
            <w:r>
              <w:rPr>
                <w:rFonts w:hint="eastAsia" w:ascii="宋体" w:hAnsi="宋体" w:eastAsia="宋体" w:cs="Times New Roman"/>
                <w:bCs/>
                <w:szCs w:val="21"/>
              </w:rPr>
              <w:t>3-2</w:t>
            </w:r>
          </w:p>
        </w:tc>
        <w:tc>
          <w:tcPr>
            <w:tcW w:w="829" w:type="dxa"/>
            <w:tcMar>
              <w:left w:w="28" w:type="dxa"/>
              <w:right w:w="28" w:type="dxa"/>
            </w:tcMar>
            <w:vAlign w:val="center"/>
          </w:tcPr>
          <w:p w14:paraId="41781850">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08C5E5A1">
            <w:pPr>
              <w:jc w:val="center"/>
              <w:rPr>
                <w:rFonts w:ascii="宋体" w:hAnsi="宋体" w:eastAsia="宋体" w:cs="Times New Roman"/>
                <w:bCs/>
                <w:szCs w:val="21"/>
              </w:rPr>
            </w:pPr>
            <w:r>
              <w:rPr>
                <w:rFonts w:ascii="宋体" w:hAnsi="宋体" w:eastAsia="宋体" w:cs="Times New Roman"/>
                <w:bCs/>
                <w:szCs w:val="21"/>
              </w:rPr>
              <w:t>必做</w:t>
            </w:r>
          </w:p>
        </w:tc>
      </w:tr>
      <w:tr w14:paraId="111F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27" w:type="dxa"/>
            <w:vAlign w:val="center"/>
          </w:tcPr>
          <w:p w14:paraId="274ADAF6">
            <w:pPr>
              <w:jc w:val="center"/>
              <w:rPr>
                <w:rFonts w:ascii="宋体" w:hAnsi="宋体" w:eastAsia="宋体" w:cs="Times New Roman"/>
                <w:bCs/>
                <w:szCs w:val="21"/>
              </w:rPr>
            </w:pPr>
            <w:r>
              <w:rPr>
                <w:rFonts w:hint="eastAsia" w:ascii="宋体" w:hAnsi="宋体" w:eastAsia="宋体" w:cs="Times New Roman"/>
                <w:bCs/>
                <w:szCs w:val="21"/>
              </w:rPr>
              <w:t>3</w:t>
            </w:r>
          </w:p>
        </w:tc>
        <w:tc>
          <w:tcPr>
            <w:tcW w:w="1353" w:type="dxa"/>
            <w:vAlign w:val="center"/>
          </w:tcPr>
          <w:p w14:paraId="07B5B45D">
            <w:pPr>
              <w:rPr>
                <w:rFonts w:ascii="宋体" w:hAnsi="宋体" w:eastAsia="宋体" w:cs="宋体"/>
                <w:kern w:val="0"/>
                <w:szCs w:val="21"/>
              </w:rPr>
            </w:pPr>
            <w:r>
              <w:rPr>
                <w:rFonts w:hint="eastAsia" w:ascii="宋体" w:hAnsi="宋体" w:eastAsia="宋体" w:cs="Times New Roman"/>
                <w:szCs w:val="21"/>
              </w:rPr>
              <w:t>猫捉老鼠</w:t>
            </w:r>
          </w:p>
        </w:tc>
        <w:tc>
          <w:tcPr>
            <w:tcW w:w="3931" w:type="dxa"/>
            <w:vAlign w:val="center"/>
          </w:tcPr>
          <w:p w14:paraId="05020AF5">
            <w:pPr>
              <w:ind w:firstLine="422" w:firstLineChars="200"/>
              <w:rPr>
                <w:rFonts w:ascii="宋体" w:hAnsi="宋体" w:eastAsia="宋体" w:cs="Times New Roman"/>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设计一个猫捉老鼠</w:t>
            </w:r>
            <w:r>
              <w:rPr>
                <w:rFonts w:ascii="宋体" w:hAnsi="宋体" w:eastAsia="宋体" w:cs="Times New Roman"/>
                <w:szCs w:val="21"/>
              </w:rPr>
              <w:t>Scratch</w:t>
            </w:r>
            <w:r>
              <w:rPr>
                <w:rFonts w:hint="eastAsia" w:ascii="宋体" w:hAnsi="宋体" w:eastAsia="宋体" w:cs="Times New Roman"/>
                <w:szCs w:val="21"/>
              </w:rPr>
              <w:t>程序。</w:t>
            </w:r>
          </w:p>
          <w:p w14:paraId="3C70653D">
            <w:pPr>
              <w:ind w:firstLine="422" w:firstLineChars="200"/>
              <w:rPr>
                <w:rFonts w:ascii="宋体" w:hAnsi="宋体" w:eastAsia="宋体" w:cs="宋体"/>
                <w:kern w:val="0"/>
                <w:szCs w:val="21"/>
              </w:rPr>
            </w:pPr>
            <w:r>
              <w:rPr>
                <w:rFonts w:hint="eastAsia" w:ascii="宋体" w:hAnsi="宋体" w:eastAsia="宋体" w:cs="Times New Roman"/>
                <w:b/>
                <w:bCs/>
                <w:szCs w:val="21"/>
              </w:rPr>
              <w:t>实验要求：</w:t>
            </w:r>
            <w:r>
              <w:rPr>
                <w:rFonts w:hint="eastAsia" w:ascii="宋体" w:hAnsi="宋体" w:eastAsia="宋体" w:cs="Times New Roman"/>
                <w:bCs/>
                <w:szCs w:val="21"/>
              </w:rPr>
              <w:t>每人</w:t>
            </w:r>
            <w:r>
              <w:rPr>
                <w:rFonts w:hint="eastAsia" w:ascii="宋体" w:hAnsi="宋体" w:eastAsia="宋体" w:cs="Times New Roman"/>
                <w:szCs w:val="21"/>
              </w:rPr>
              <w:t>提交猫捉老鼠实验报告</w:t>
            </w:r>
            <w:r>
              <w:rPr>
                <w:rFonts w:ascii="宋体" w:hAnsi="宋体" w:eastAsia="宋体" w:cs="Times New Roman"/>
                <w:szCs w:val="21"/>
              </w:rPr>
              <w:t>。</w:t>
            </w:r>
          </w:p>
        </w:tc>
        <w:tc>
          <w:tcPr>
            <w:tcW w:w="725" w:type="dxa"/>
            <w:vAlign w:val="center"/>
          </w:tcPr>
          <w:p w14:paraId="4AE2C211">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6AFA23FF">
            <w:pPr>
              <w:jc w:val="center"/>
              <w:rPr>
                <w:rFonts w:ascii="宋体" w:hAnsi="宋体" w:eastAsia="宋体" w:cs="Times New Roman"/>
                <w:bCs/>
                <w:szCs w:val="21"/>
              </w:rPr>
            </w:pPr>
            <w:r>
              <w:rPr>
                <w:rFonts w:hint="eastAsia" w:ascii="宋体" w:hAnsi="宋体" w:eastAsia="宋体" w:cs="Times New Roman"/>
                <w:bCs/>
                <w:szCs w:val="21"/>
              </w:rPr>
              <w:t>3-2</w:t>
            </w:r>
          </w:p>
        </w:tc>
        <w:tc>
          <w:tcPr>
            <w:tcW w:w="829" w:type="dxa"/>
            <w:tcMar>
              <w:left w:w="28" w:type="dxa"/>
              <w:right w:w="28" w:type="dxa"/>
            </w:tcMar>
            <w:vAlign w:val="center"/>
          </w:tcPr>
          <w:p w14:paraId="53847FD0">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6D69D674">
            <w:pPr>
              <w:jc w:val="center"/>
              <w:rPr>
                <w:rFonts w:ascii="宋体" w:hAnsi="宋体" w:eastAsia="宋体" w:cs="Times New Roman"/>
                <w:bCs/>
                <w:szCs w:val="21"/>
              </w:rPr>
            </w:pPr>
            <w:r>
              <w:rPr>
                <w:rFonts w:ascii="宋体" w:hAnsi="宋体" w:eastAsia="宋体" w:cs="Times New Roman"/>
                <w:bCs/>
                <w:szCs w:val="21"/>
              </w:rPr>
              <w:t>必做</w:t>
            </w:r>
          </w:p>
        </w:tc>
      </w:tr>
      <w:tr w14:paraId="1F99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627" w:type="dxa"/>
            <w:vAlign w:val="center"/>
          </w:tcPr>
          <w:p w14:paraId="21617B11">
            <w:pPr>
              <w:jc w:val="center"/>
              <w:rPr>
                <w:rFonts w:ascii="宋体" w:hAnsi="宋体" w:eastAsia="宋体" w:cs="Times New Roman"/>
                <w:bCs/>
                <w:szCs w:val="21"/>
              </w:rPr>
            </w:pPr>
            <w:r>
              <w:rPr>
                <w:rFonts w:hint="eastAsia" w:ascii="宋体" w:hAnsi="宋体" w:eastAsia="宋体" w:cs="Times New Roman"/>
                <w:bCs/>
                <w:szCs w:val="21"/>
              </w:rPr>
              <w:t>4</w:t>
            </w:r>
          </w:p>
        </w:tc>
        <w:tc>
          <w:tcPr>
            <w:tcW w:w="1353" w:type="dxa"/>
            <w:vAlign w:val="center"/>
          </w:tcPr>
          <w:p w14:paraId="388DE533">
            <w:pPr>
              <w:rPr>
                <w:rFonts w:ascii="宋体" w:hAnsi="宋体" w:eastAsia="宋体" w:cs="宋体"/>
                <w:kern w:val="0"/>
                <w:szCs w:val="21"/>
              </w:rPr>
            </w:pPr>
            <w:r>
              <w:rPr>
                <w:rFonts w:hint="eastAsia" w:ascii="宋体" w:hAnsi="宋体" w:eastAsia="宋体" w:cs="宋体"/>
                <w:kern w:val="0"/>
                <w:szCs w:val="21"/>
              </w:rPr>
              <w:t>音乐家</w:t>
            </w:r>
          </w:p>
        </w:tc>
        <w:tc>
          <w:tcPr>
            <w:tcW w:w="3931" w:type="dxa"/>
            <w:vAlign w:val="center"/>
          </w:tcPr>
          <w:p w14:paraId="41B9D19F">
            <w:pPr>
              <w:ind w:firstLine="422" w:firstLineChars="200"/>
              <w:rPr>
                <w:rFonts w:ascii="宋体" w:hAnsi="宋体" w:eastAsia="宋体" w:cs="Times New Roman"/>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bCs/>
                <w:szCs w:val="21"/>
              </w:rPr>
              <w:t>采用LED、蜂鸣器和按键</w:t>
            </w:r>
            <w:r>
              <w:rPr>
                <w:rFonts w:hint="eastAsia" w:ascii="宋体" w:hAnsi="宋体" w:eastAsia="宋体" w:cs="Times New Roman"/>
                <w:szCs w:val="21"/>
              </w:rPr>
              <w:t>设计一个音乐家</w:t>
            </w:r>
            <w:r>
              <w:rPr>
                <w:rFonts w:ascii="宋体" w:hAnsi="宋体" w:eastAsia="宋体" w:cs="Times New Roman"/>
                <w:szCs w:val="21"/>
              </w:rPr>
              <w:t>Scratch</w:t>
            </w:r>
            <w:r>
              <w:rPr>
                <w:rFonts w:hint="eastAsia" w:ascii="宋体" w:hAnsi="宋体" w:eastAsia="宋体" w:cs="Times New Roman"/>
                <w:szCs w:val="21"/>
              </w:rPr>
              <w:t>程序。</w:t>
            </w:r>
          </w:p>
          <w:p w14:paraId="416A0384">
            <w:pPr>
              <w:ind w:firstLine="422" w:firstLineChars="200"/>
              <w:rPr>
                <w:rFonts w:ascii="宋体" w:hAnsi="宋体" w:eastAsia="宋体" w:cs="宋体"/>
                <w:kern w:val="0"/>
                <w:szCs w:val="21"/>
              </w:rPr>
            </w:pPr>
            <w:r>
              <w:rPr>
                <w:rFonts w:hint="eastAsia" w:ascii="宋体" w:hAnsi="宋体" w:eastAsia="宋体" w:cs="Times New Roman"/>
                <w:b/>
                <w:bCs/>
                <w:szCs w:val="21"/>
              </w:rPr>
              <w:t>实验要求：</w:t>
            </w:r>
            <w:r>
              <w:rPr>
                <w:rFonts w:hint="eastAsia" w:ascii="宋体" w:hAnsi="宋体" w:eastAsia="宋体" w:cs="Times New Roman"/>
                <w:bCs/>
                <w:szCs w:val="21"/>
              </w:rPr>
              <w:t>每人</w:t>
            </w:r>
            <w:r>
              <w:rPr>
                <w:rFonts w:hint="eastAsia" w:ascii="宋体" w:hAnsi="宋体" w:eastAsia="宋体" w:cs="Times New Roman"/>
                <w:szCs w:val="21"/>
              </w:rPr>
              <w:t>提交音乐家实验报告</w:t>
            </w:r>
            <w:r>
              <w:rPr>
                <w:rFonts w:ascii="宋体" w:hAnsi="宋体" w:eastAsia="宋体" w:cs="Times New Roman"/>
                <w:szCs w:val="21"/>
              </w:rPr>
              <w:t>。</w:t>
            </w:r>
          </w:p>
        </w:tc>
        <w:tc>
          <w:tcPr>
            <w:tcW w:w="725" w:type="dxa"/>
            <w:vAlign w:val="center"/>
          </w:tcPr>
          <w:p w14:paraId="347B726B">
            <w:pPr>
              <w:jc w:val="center"/>
              <w:rPr>
                <w:rFonts w:ascii="宋体" w:hAnsi="宋体" w:eastAsia="宋体" w:cs="Times New Roman"/>
                <w:bCs/>
                <w:szCs w:val="21"/>
              </w:rPr>
            </w:pPr>
            <w:r>
              <w:rPr>
                <w:rFonts w:ascii="宋体" w:hAnsi="宋体" w:eastAsia="宋体" w:cs="Times New Roman"/>
                <w:bCs/>
                <w:szCs w:val="21"/>
              </w:rPr>
              <w:t>2</w:t>
            </w:r>
          </w:p>
        </w:tc>
        <w:tc>
          <w:tcPr>
            <w:tcW w:w="1140" w:type="dxa"/>
            <w:vAlign w:val="center"/>
          </w:tcPr>
          <w:p w14:paraId="690377AD">
            <w:pPr>
              <w:jc w:val="center"/>
              <w:rPr>
                <w:rFonts w:ascii="宋体" w:hAnsi="宋体" w:eastAsia="宋体" w:cs="Times New Roman"/>
                <w:bCs/>
                <w:szCs w:val="21"/>
              </w:rPr>
            </w:pPr>
            <w:r>
              <w:rPr>
                <w:rFonts w:hint="eastAsia" w:ascii="宋体" w:hAnsi="宋体" w:eastAsia="宋体" w:cs="Times New Roman"/>
                <w:bCs/>
                <w:szCs w:val="21"/>
              </w:rPr>
              <w:t>3-2</w:t>
            </w:r>
          </w:p>
        </w:tc>
        <w:tc>
          <w:tcPr>
            <w:tcW w:w="829" w:type="dxa"/>
            <w:tcMar>
              <w:left w:w="28" w:type="dxa"/>
              <w:right w:w="28" w:type="dxa"/>
            </w:tcMar>
            <w:vAlign w:val="center"/>
          </w:tcPr>
          <w:p w14:paraId="326867F3">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68517D8D">
            <w:pPr>
              <w:jc w:val="center"/>
              <w:rPr>
                <w:rFonts w:ascii="宋体" w:hAnsi="宋体" w:eastAsia="宋体" w:cs="Times New Roman"/>
                <w:bCs/>
                <w:szCs w:val="21"/>
              </w:rPr>
            </w:pPr>
            <w:r>
              <w:rPr>
                <w:rFonts w:ascii="宋体" w:hAnsi="宋体" w:eastAsia="宋体" w:cs="Times New Roman"/>
                <w:bCs/>
                <w:szCs w:val="21"/>
              </w:rPr>
              <w:t>必做</w:t>
            </w:r>
          </w:p>
        </w:tc>
      </w:tr>
      <w:tr w14:paraId="7CF8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627" w:type="dxa"/>
            <w:vAlign w:val="center"/>
          </w:tcPr>
          <w:p w14:paraId="75DE4559">
            <w:pPr>
              <w:jc w:val="center"/>
              <w:rPr>
                <w:rFonts w:ascii="宋体" w:hAnsi="宋体" w:eastAsia="宋体" w:cs="Times New Roman"/>
                <w:bCs/>
                <w:szCs w:val="21"/>
              </w:rPr>
            </w:pPr>
            <w:r>
              <w:rPr>
                <w:rFonts w:hint="eastAsia" w:ascii="宋体" w:hAnsi="宋体" w:eastAsia="宋体" w:cs="Times New Roman"/>
                <w:bCs/>
                <w:szCs w:val="21"/>
              </w:rPr>
              <w:t>5</w:t>
            </w:r>
          </w:p>
        </w:tc>
        <w:tc>
          <w:tcPr>
            <w:tcW w:w="1353" w:type="dxa"/>
            <w:vAlign w:val="center"/>
          </w:tcPr>
          <w:p w14:paraId="37D0139D">
            <w:pPr>
              <w:rPr>
                <w:rFonts w:ascii="宋体" w:hAnsi="宋体" w:eastAsia="宋体" w:cs="宋体"/>
                <w:kern w:val="0"/>
                <w:szCs w:val="21"/>
              </w:rPr>
            </w:pPr>
            <w:r>
              <w:rPr>
                <w:rFonts w:hint="eastAsia" w:ascii="宋体" w:hAnsi="宋体" w:eastAsia="宋体" w:cs="宋体"/>
                <w:kern w:val="0"/>
                <w:szCs w:val="21"/>
              </w:rPr>
              <w:t>遥控机器人</w:t>
            </w:r>
          </w:p>
        </w:tc>
        <w:tc>
          <w:tcPr>
            <w:tcW w:w="3931" w:type="dxa"/>
            <w:vAlign w:val="center"/>
          </w:tcPr>
          <w:p w14:paraId="50AF1B83">
            <w:pPr>
              <w:ind w:firstLine="422" w:firstLineChars="200"/>
              <w:rPr>
                <w:rFonts w:ascii="宋体" w:hAnsi="宋体" w:eastAsia="宋体" w:cs="Times New Roman"/>
                <w:b/>
                <w:bCs/>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bCs/>
                <w:szCs w:val="21"/>
              </w:rPr>
              <w:t>设计</w:t>
            </w:r>
            <w:r>
              <w:rPr>
                <w:rFonts w:hint="eastAsia" w:ascii="宋体" w:hAnsi="宋体" w:eastAsia="宋体" w:cs="Times New Roman"/>
                <w:szCs w:val="21"/>
              </w:rPr>
              <w:t>实现红外遥控机器人程序</w:t>
            </w:r>
            <w:r>
              <w:rPr>
                <w:rFonts w:ascii="宋体" w:hAnsi="宋体" w:eastAsia="宋体" w:cs="Times New Roman"/>
                <w:szCs w:val="21"/>
              </w:rPr>
              <w:t>。</w:t>
            </w:r>
          </w:p>
          <w:p w14:paraId="70CFAC82">
            <w:pPr>
              <w:ind w:firstLine="316" w:firstLineChars="150"/>
              <w:rPr>
                <w:rFonts w:ascii="宋体" w:hAnsi="宋体" w:eastAsia="宋体" w:cs="宋体"/>
                <w:kern w:val="0"/>
                <w:szCs w:val="21"/>
              </w:rPr>
            </w:pPr>
            <w:r>
              <w:rPr>
                <w:rFonts w:hint="eastAsia" w:ascii="宋体" w:hAnsi="宋体" w:eastAsia="宋体" w:cs="Times New Roman"/>
                <w:b/>
                <w:bCs/>
                <w:szCs w:val="21"/>
              </w:rPr>
              <w:t xml:space="preserve"> 实验要求：</w:t>
            </w:r>
            <w:r>
              <w:rPr>
                <w:rFonts w:hint="eastAsia" w:ascii="宋体" w:hAnsi="宋体" w:eastAsia="宋体" w:cs="Times New Roman"/>
                <w:bCs/>
                <w:szCs w:val="21"/>
              </w:rPr>
              <w:t>每人</w:t>
            </w:r>
            <w:r>
              <w:rPr>
                <w:rFonts w:hint="eastAsia" w:ascii="宋体" w:hAnsi="宋体" w:eastAsia="宋体" w:cs="Times New Roman"/>
                <w:szCs w:val="21"/>
              </w:rPr>
              <w:t>提交遥控机器人实验报告</w:t>
            </w:r>
            <w:r>
              <w:rPr>
                <w:rFonts w:ascii="宋体" w:hAnsi="宋体" w:eastAsia="宋体" w:cs="Times New Roman"/>
                <w:szCs w:val="21"/>
              </w:rPr>
              <w:t>。</w:t>
            </w:r>
          </w:p>
        </w:tc>
        <w:tc>
          <w:tcPr>
            <w:tcW w:w="725" w:type="dxa"/>
            <w:vAlign w:val="center"/>
          </w:tcPr>
          <w:p w14:paraId="5C429FAE">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0AB29A14">
            <w:pPr>
              <w:jc w:val="center"/>
              <w:rPr>
                <w:rFonts w:ascii="宋体" w:hAnsi="宋体" w:eastAsia="宋体" w:cs="Times New Roman"/>
                <w:bCs/>
                <w:szCs w:val="21"/>
              </w:rPr>
            </w:pPr>
            <w:r>
              <w:rPr>
                <w:rFonts w:hint="eastAsia" w:ascii="宋体" w:hAnsi="宋体" w:eastAsia="宋体" w:cs="Times New Roman"/>
                <w:bCs/>
                <w:szCs w:val="21"/>
              </w:rPr>
              <w:t>3-2</w:t>
            </w:r>
          </w:p>
        </w:tc>
        <w:tc>
          <w:tcPr>
            <w:tcW w:w="829" w:type="dxa"/>
            <w:tcMar>
              <w:left w:w="28" w:type="dxa"/>
              <w:right w:w="28" w:type="dxa"/>
            </w:tcMar>
            <w:vAlign w:val="center"/>
          </w:tcPr>
          <w:p w14:paraId="21DFDFB3">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5C82E97E">
            <w:pPr>
              <w:jc w:val="center"/>
              <w:rPr>
                <w:rFonts w:ascii="宋体" w:hAnsi="宋体" w:eastAsia="宋体" w:cs="Times New Roman"/>
                <w:bCs/>
                <w:szCs w:val="21"/>
              </w:rPr>
            </w:pPr>
            <w:r>
              <w:rPr>
                <w:rFonts w:ascii="宋体" w:hAnsi="宋体" w:eastAsia="宋体" w:cs="Times New Roman"/>
                <w:bCs/>
                <w:szCs w:val="21"/>
              </w:rPr>
              <w:t>必做</w:t>
            </w:r>
          </w:p>
        </w:tc>
      </w:tr>
      <w:tr w14:paraId="5E16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27" w:type="dxa"/>
            <w:vAlign w:val="center"/>
          </w:tcPr>
          <w:p w14:paraId="1B605409">
            <w:pPr>
              <w:jc w:val="center"/>
              <w:rPr>
                <w:rFonts w:ascii="宋体" w:hAnsi="宋体" w:eastAsia="宋体" w:cs="Times New Roman"/>
                <w:bCs/>
                <w:szCs w:val="21"/>
              </w:rPr>
            </w:pPr>
            <w:r>
              <w:rPr>
                <w:rFonts w:ascii="宋体" w:hAnsi="宋体" w:eastAsia="宋体" w:cs="Times New Roman"/>
                <w:bCs/>
                <w:szCs w:val="21"/>
              </w:rPr>
              <w:t>6</w:t>
            </w:r>
          </w:p>
        </w:tc>
        <w:tc>
          <w:tcPr>
            <w:tcW w:w="1353" w:type="dxa"/>
            <w:vAlign w:val="center"/>
          </w:tcPr>
          <w:p w14:paraId="4BF18528">
            <w:pPr>
              <w:rPr>
                <w:rFonts w:ascii="宋体" w:hAnsi="宋体" w:eastAsia="宋体" w:cs="宋体"/>
                <w:kern w:val="0"/>
                <w:szCs w:val="21"/>
              </w:rPr>
            </w:pPr>
            <w:r>
              <w:rPr>
                <w:rFonts w:hint="eastAsia" w:ascii="宋体" w:hAnsi="宋体" w:eastAsia="宋体" w:cs="宋体"/>
                <w:kern w:val="0"/>
                <w:szCs w:val="21"/>
              </w:rPr>
              <w:t>巡线机器人</w:t>
            </w:r>
          </w:p>
        </w:tc>
        <w:tc>
          <w:tcPr>
            <w:tcW w:w="3931" w:type="dxa"/>
            <w:vAlign w:val="center"/>
          </w:tcPr>
          <w:p w14:paraId="1BCEACFD">
            <w:pPr>
              <w:ind w:firstLine="422" w:firstLineChars="200"/>
              <w:rPr>
                <w:rFonts w:ascii="宋体" w:hAnsi="宋体" w:eastAsia="宋体" w:cs="Times New Roman"/>
                <w:b/>
                <w:bCs/>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设计实现巡线机器人程序</w:t>
            </w:r>
            <w:r>
              <w:rPr>
                <w:rFonts w:ascii="宋体" w:hAnsi="宋体" w:eastAsia="宋体" w:cs="Times New Roman"/>
                <w:szCs w:val="21"/>
              </w:rPr>
              <w:t>。</w:t>
            </w:r>
          </w:p>
          <w:p w14:paraId="682AC152">
            <w:pPr>
              <w:ind w:firstLine="316" w:firstLineChars="150"/>
              <w:rPr>
                <w:rFonts w:ascii="宋体" w:hAnsi="宋体" w:eastAsia="宋体" w:cs="宋体"/>
                <w:kern w:val="0"/>
                <w:szCs w:val="21"/>
              </w:rPr>
            </w:pPr>
            <w:r>
              <w:rPr>
                <w:rFonts w:hint="eastAsia" w:ascii="宋体" w:hAnsi="宋体" w:eastAsia="宋体" w:cs="Times New Roman"/>
                <w:b/>
                <w:bCs/>
                <w:szCs w:val="21"/>
              </w:rPr>
              <w:t xml:space="preserve"> 实验要求：</w:t>
            </w:r>
            <w:r>
              <w:rPr>
                <w:rFonts w:hint="eastAsia" w:ascii="宋体" w:hAnsi="宋体" w:eastAsia="宋体" w:cs="Times New Roman"/>
                <w:bCs/>
                <w:szCs w:val="21"/>
              </w:rPr>
              <w:t>每人</w:t>
            </w:r>
            <w:r>
              <w:rPr>
                <w:rFonts w:hint="eastAsia" w:ascii="宋体" w:hAnsi="宋体" w:eastAsia="宋体" w:cs="Times New Roman"/>
                <w:szCs w:val="21"/>
              </w:rPr>
              <w:t>提交巡线机器人实验报告</w:t>
            </w:r>
            <w:r>
              <w:rPr>
                <w:rFonts w:ascii="宋体" w:hAnsi="宋体" w:eastAsia="宋体" w:cs="Times New Roman"/>
                <w:szCs w:val="21"/>
              </w:rPr>
              <w:t>。</w:t>
            </w:r>
          </w:p>
        </w:tc>
        <w:tc>
          <w:tcPr>
            <w:tcW w:w="725" w:type="dxa"/>
            <w:vAlign w:val="center"/>
          </w:tcPr>
          <w:p w14:paraId="5E48B4F3">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10981F21">
            <w:pPr>
              <w:jc w:val="center"/>
              <w:rPr>
                <w:rFonts w:ascii="宋体" w:hAnsi="宋体" w:eastAsia="宋体" w:cs="Times New Roman"/>
                <w:bCs/>
                <w:szCs w:val="21"/>
              </w:rPr>
            </w:pPr>
            <w:r>
              <w:rPr>
                <w:rFonts w:hint="eastAsia" w:ascii="宋体" w:hAnsi="宋体" w:eastAsia="宋体" w:cs="Times New Roman"/>
                <w:bCs/>
                <w:szCs w:val="21"/>
              </w:rPr>
              <w:t>3-3</w:t>
            </w:r>
          </w:p>
        </w:tc>
        <w:tc>
          <w:tcPr>
            <w:tcW w:w="829" w:type="dxa"/>
            <w:tcMar>
              <w:left w:w="28" w:type="dxa"/>
              <w:right w:w="28" w:type="dxa"/>
            </w:tcMar>
            <w:vAlign w:val="center"/>
          </w:tcPr>
          <w:p w14:paraId="64758181">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041CACFA">
            <w:pPr>
              <w:jc w:val="center"/>
              <w:rPr>
                <w:rFonts w:ascii="宋体" w:hAnsi="宋体" w:eastAsia="宋体" w:cs="Times New Roman"/>
                <w:bCs/>
                <w:szCs w:val="21"/>
              </w:rPr>
            </w:pPr>
            <w:r>
              <w:rPr>
                <w:rFonts w:ascii="宋体" w:hAnsi="宋体" w:eastAsia="宋体" w:cs="Times New Roman"/>
                <w:bCs/>
                <w:szCs w:val="21"/>
              </w:rPr>
              <w:t>必做</w:t>
            </w:r>
          </w:p>
        </w:tc>
      </w:tr>
      <w:tr w14:paraId="55D4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27" w:type="dxa"/>
            <w:vAlign w:val="center"/>
          </w:tcPr>
          <w:p w14:paraId="04EEC6F7">
            <w:pPr>
              <w:jc w:val="center"/>
              <w:rPr>
                <w:rFonts w:ascii="宋体" w:hAnsi="宋体" w:eastAsia="宋体" w:cs="Times New Roman"/>
                <w:bCs/>
                <w:szCs w:val="21"/>
              </w:rPr>
            </w:pPr>
            <w:r>
              <w:rPr>
                <w:rFonts w:hint="eastAsia" w:ascii="宋体" w:hAnsi="宋体" w:eastAsia="宋体" w:cs="Times New Roman"/>
                <w:bCs/>
                <w:szCs w:val="21"/>
              </w:rPr>
              <w:t>7</w:t>
            </w:r>
          </w:p>
        </w:tc>
        <w:tc>
          <w:tcPr>
            <w:tcW w:w="1353" w:type="dxa"/>
            <w:vAlign w:val="center"/>
          </w:tcPr>
          <w:p w14:paraId="4815F3F8">
            <w:pPr>
              <w:rPr>
                <w:rFonts w:ascii="宋体" w:hAnsi="宋体" w:eastAsia="宋体" w:cs="宋体"/>
                <w:kern w:val="0"/>
                <w:szCs w:val="21"/>
              </w:rPr>
            </w:pPr>
            <w:r>
              <w:rPr>
                <w:rFonts w:hint="eastAsia" w:ascii="宋体" w:hAnsi="宋体" w:eastAsia="宋体" w:cs="宋体"/>
                <w:kern w:val="0"/>
                <w:szCs w:val="21"/>
              </w:rPr>
              <w:t>六足机器人</w:t>
            </w:r>
          </w:p>
        </w:tc>
        <w:tc>
          <w:tcPr>
            <w:tcW w:w="3931" w:type="dxa"/>
            <w:vAlign w:val="center"/>
          </w:tcPr>
          <w:p w14:paraId="3D23A0F2">
            <w:pPr>
              <w:ind w:firstLine="422" w:firstLineChars="200"/>
              <w:rPr>
                <w:rFonts w:ascii="宋体" w:hAnsi="宋体" w:eastAsia="宋体" w:cs="Times New Roman"/>
                <w:b/>
                <w:bCs/>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搭建六足机器人并设计控制程序</w:t>
            </w:r>
            <w:r>
              <w:rPr>
                <w:rFonts w:ascii="宋体" w:hAnsi="宋体" w:eastAsia="宋体" w:cs="Times New Roman"/>
                <w:szCs w:val="21"/>
              </w:rPr>
              <w:t>。</w:t>
            </w:r>
          </w:p>
          <w:p w14:paraId="7A40CFD9">
            <w:pPr>
              <w:ind w:firstLine="316" w:firstLineChars="150"/>
              <w:rPr>
                <w:rFonts w:ascii="宋体" w:hAnsi="宋体" w:eastAsia="宋体" w:cs="宋体"/>
                <w:kern w:val="0"/>
                <w:szCs w:val="21"/>
              </w:rPr>
            </w:pPr>
            <w:r>
              <w:rPr>
                <w:rFonts w:hint="eastAsia" w:ascii="宋体" w:hAnsi="宋体" w:eastAsia="宋体" w:cs="Times New Roman"/>
                <w:b/>
                <w:bCs/>
                <w:szCs w:val="21"/>
              </w:rPr>
              <w:t xml:space="preserve"> 实验要求：</w:t>
            </w:r>
            <w:r>
              <w:rPr>
                <w:rFonts w:hint="eastAsia" w:ascii="宋体" w:hAnsi="宋体" w:eastAsia="宋体" w:cs="Times New Roman"/>
                <w:bCs/>
                <w:szCs w:val="21"/>
              </w:rPr>
              <w:t>每人</w:t>
            </w:r>
            <w:r>
              <w:rPr>
                <w:rFonts w:hint="eastAsia" w:ascii="宋体" w:hAnsi="宋体" w:eastAsia="宋体" w:cs="Times New Roman"/>
                <w:szCs w:val="21"/>
              </w:rPr>
              <w:t>提交六足机器人实验报告</w:t>
            </w:r>
            <w:r>
              <w:rPr>
                <w:rFonts w:ascii="宋体" w:hAnsi="宋体" w:eastAsia="宋体" w:cs="Times New Roman"/>
                <w:szCs w:val="21"/>
              </w:rPr>
              <w:t>。</w:t>
            </w:r>
          </w:p>
        </w:tc>
        <w:tc>
          <w:tcPr>
            <w:tcW w:w="725" w:type="dxa"/>
            <w:vAlign w:val="center"/>
          </w:tcPr>
          <w:p w14:paraId="1027CB3F">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171DCD8F">
            <w:pPr>
              <w:jc w:val="center"/>
              <w:rPr>
                <w:rFonts w:ascii="宋体" w:hAnsi="宋体" w:eastAsia="宋体" w:cs="Times New Roman"/>
                <w:bCs/>
                <w:szCs w:val="21"/>
              </w:rPr>
            </w:pPr>
            <w:r>
              <w:rPr>
                <w:rFonts w:hint="eastAsia" w:ascii="宋体" w:hAnsi="宋体" w:eastAsia="宋体" w:cs="Times New Roman"/>
                <w:bCs/>
                <w:szCs w:val="21"/>
              </w:rPr>
              <w:t>3-3</w:t>
            </w:r>
          </w:p>
        </w:tc>
        <w:tc>
          <w:tcPr>
            <w:tcW w:w="829" w:type="dxa"/>
            <w:tcMar>
              <w:left w:w="28" w:type="dxa"/>
              <w:right w:w="28" w:type="dxa"/>
            </w:tcMar>
            <w:vAlign w:val="center"/>
          </w:tcPr>
          <w:p w14:paraId="3C2416D9">
            <w:pPr>
              <w:jc w:val="center"/>
              <w:rPr>
                <w:rFonts w:ascii="宋体" w:hAnsi="宋体" w:eastAsia="宋体" w:cs="Times New Roman"/>
                <w:bCs/>
                <w:szCs w:val="21"/>
              </w:rPr>
            </w:pPr>
            <w:r>
              <w:rPr>
                <w:rFonts w:hint="eastAsia" w:ascii="宋体" w:hAnsi="宋体" w:eastAsia="宋体" w:cs="Times New Roman"/>
                <w:bCs/>
                <w:szCs w:val="21"/>
              </w:rPr>
              <w:t>设计性</w:t>
            </w:r>
          </w:p>
        </w:tc>
        <w:tc>
          <w:tcPr>
            <w:tcW w:w="622" w:type="dxa"/>
            <w:tcMar>
              <w:left w:w="28" w:type="dxa"/>
              <w:right w:w="28" w:type="dxa"/>
            </w:tcMar>
            <w:vAlign w:val="center"/>
          </w:tcPr>
          <w:p w14:paraId="4F787295">
            <w:pPr>
              <w:jc w:val="center"/>
              <w:rPr>
                <w:rFonts w:ascii="宋体" w:hAnsi="宋体" w:eastAsia="宋体" w:cs="Times New Roman"/>
                <w:bCs/>
                <w:szCs w:val="21"/>
              </w:rPr>
            </w:pPr>
            <w:r>
              <w:rPr>
                <w:rFonts w:ascii="宋体" w:hAnsi="宋体" w:eastAsia="宋体" w:cs="Times New Roman"/>
                <w:bCs/>
                <w:szCs w:val="21"/>
              </w:rPr>
              <w:t>必做</w:t>
            </w:r>
          </w:p>
        </w:tc>
      </w:tr>
      <w:tr w14:paraId="6E2B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627" w:type="dxa"/>
            <w:vAlign w:val="center"/>
          </w:tcPr>
          <w:p w14:paraId="1371AF46">
            <w:pPr>
              <w:jc w:val="center"/>
              <w:rPr>
                <w:rFonts w:ascii="宋体" w:hAnsi="宋体" w:eastAsia="宋体" w:cs="Times New Roman"/>
                <w:bCs/>
                <w:szCs w:val="21"/>
              </w:rPr>
            </w:pPr>
            <w:r>
              <w:rPr>
                <w:rFonts w:hint="eastAsia" w:ascii="宋体" w:hAnsi="宋体" w:eastAsia="宋体" w:cs="Times New Roman"/>
                <w:bCs/>
                <w:szCs w:val="21"/>
              </w:rPr>
              <w:t>8</w:t>
            </w:r>
          </w:p>
        </w:tc>
        <w:tc>
          <w:tcPr>
            <w:tcW w:w="1353" w:type="dxa"/>
            <w:vAlign w:val="center"/>
          </w:tcPr>
          <w:p w14:paraId="48F09C4E">
            <w:pPr>
              <w:rPr>
                <w:rFonts w:ascii="宋体" w:hAnsi="宋体" w:eastAsia="宋体" w:cs="宋体"/>
                <w:kern w:val="0"/>
                <w:szCs w:val="21"/>
              </w:rPr>
            </w:pPr>
            <w:r>
              <w:rPr>
                <w:rFonts w:hint="eastAsia" w:ascii="宋体" w:hAnsi="宋体" w:eastAsia="宋体" w:cs="宋体"/>
                <w:kern w:val="0"/>
                <w:szCs w:val="21"/>
              </w:rPr>
              <w:t>足球机器人竞赛</w:t>
            </w:r>
          </w:p>
        </w:tc>
        <w:tc>
          <w:tcPr>
            <w:tcW w:w="3931" w:type="dxa"/>
            <w:vAlign w:val="center"/>
          </w:tcPr>
          <w:p w14:paraId="15ADFA9D">
            <w:pPr>
              <w:ind w:firstLine="422" w:firstLineChars="200"/>
              <w:rPr>
                <w:rFonts w:ascii="宋体" w:hAnsi="宋体" w:eastAsia="宋体" w:cs="Times New Roman"/>
                <w:b/>
                <w:bCs/>
                <w:szCs w:val="21"/>
              </w:rPr>
            </w:pPr>
            <w:r>
              <w:rPr>
                <w:rFonts w:hint="eastAsia" w:ascii="宋体" w:hAnsi="宋体" w:eastAsia="宋体" w:cs="Times New Roman"/>
                <w:b/>
                <w:bCs/>
                <w:szCs w:val="21"/>
              </w:rPr>
              <w:t>实验</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分组进行足球机器人竞赛</w:t>
            </w:r>
            <w:r>
              <w:rPr>
                <w:rFonts w:ascii="宋体" w:hAnsi="宋体" w:eastAsia="宋体" w:cs="Times New Roman"/>
                <w:szCs w:val="21"/>
              </w:rPr>
              <w:t>。</w:t>
            </w:r>
          </w:p>
          <w:p w14:paraId="3691D05F">
            <w:pPr>
              <w:ind w:firstLine="316" w:firstLineChars="150"/>
              <w:rPr>
                <w:rFonts w:ascii="宋体" w:hAnsi="宋体" w:eastAsia="宋体" w:cs="宋体"/>
                <w:kern w:val="0"/>
                <w:szCs w:val="21"/>
              </w:rPr>
            </w:pPr>
            <w:r>
              <w:rPr>
                <w:rFonts w:hint="eastAsia" w:ascii="宋体" w:hAnsi="宋体" w:eastAsia="宋体" w:cs="Times New Roman"/>
                <w:b/>
                <w:bCs/>
                <w:szCs w:val="21"/>
              </w:rPr>
              <w:t xml:space="preserve"> 实验要求：</w:t>
            </w:r>
            <w:r>
              <w:rPr>
                <w:rFonts w:hint="eastAsia" w:ascii="宋体" w:hAnsi="宋体" w:eastAsia="宋体" w:cs="Times New Roman"/>
                <w:bCs/>
                <w:szCs w:val="21"/>
              </w:rPr>
              <w:t>每人</w:t>
            </w:r>
            <w:r>
              <w:rPr>
                <w:rFonts w:hint="eastAsia" w:ascii="宋体" w:hAnsi="宋体" w:eastAsia="宋体" w:cs="Times New Roman"/>
                <w:szCs w:val="21"/>
              </w:rPr>
              <w:t>提交组织机器人竞赛的心得体会报告</w:t>
            </w:r>
            <w:r>
              <w:rPr>
                <w:rFonts w:ascii="宋体" w:hAnsi="宋体" w:eastAsia="宋体" w:cs="Times New Roman"/>
                <w:szCs w:val="21"/>
              </w:rPr>
              <w:t>。</w:t>
            </w:r>
          </w:p>
        </w:tc>
        <w:tc>
          <w:tcPr>
            <w:tcW w:w="725" w:type="dxa"/>
            <w:vAlign w:val="center"/>
          </w:tcPr>
          <w:p w14:paraId="20DA906C">
            <w:pPr>
              <w:jc w:val="center"/>
              <w:rPr>
                <w:rFonts w:ascii="宋体" w:hAnsi="宋体" w:eastAsia="宋体" w:cs="Times New Roman"/>
                <w:bCs/>
                <w:szCs w:val="21"/>
              </w:rPr>
            </w:pPr>
            <w:r>
              <w:rPr>
                <w:rFonts w:hint="eastAsia" w:ascii="宋体" w:hAnsi="宋体" w:eastAsia="宋体" w:cs="Times New Roman"/>
                <w:bCs/>
                <w:szCs w:val="21"/>
              </w:rPr>
              <w:t>2</w:t>
            </w:r>
          </w:p>
        </w:tc>
        <w:tc>
          <w:tcPr>
            <w:tcW w:w="1140" w:type="dxa"/>
            <w:vAlign w:val="center"/>
          </w:tcPr>
          <w:p w14:paraId="6EB47076">
            <w:pPr>
              <w:jc w:val="center"/>
              <w:rPr>
                <w:rFonts w:ascii="宋体" w:hAnsi="宋体" w:eastAsia="宋体" w:cs="Times New Roman"/>
                <w:bCs/>
                <w:szCs w:val="21"/>
              </w:rPr>
            </w:pPr>
            <w:r>
              <w:rPr>
                <w:rFonts w:hint="eastAsia" w:ascii="宋体" w:hAnsi="宋体" w:eastAsia="宋体" w:cs="Times New Roman"/>
                <w:bCs/>
                <w:szCs w:val="21"/>
              </w:rPr>
              <w:t>6-2</w:t>
            </w:r>
          </w:p>
        </w:tc>
        <w:tc>
          <w:tcPr>
            <w:tcW w:w="829" w:type="dxa"/>
            <w:tcMar>
              <w:left w:w="28" w:type="dxa"/>
              <w:right w:w="28" w:type="dxa"/>
            </w:tcMar>
            <w:vAlign w:val="center"/>
          </w:tcPr>
          <w:p w14:paraId="3D937CCF">
            <w:pPr>
              <w:jc w:val="center"/>
              <w:rPr>
                <w:rFonts w:ascii="宋体" w:hAnsi="宋体" w:eastAsia="宋体" w:cs="Times New Roman"/>
                <w:bCs/>
                <w:szCs w:val="21"/>
              </w:rPr>
            </w:pPr>
            <w:r>
              <w:rPr>
                <w:rFonts w:hint="eastAsia" w:ascii="宋体" w:hAnsi="宋体" w:eastAsia="宋体" w:cs="Times New Roman"/>
                <w:bCs/>
                <w:szCs w:val="21"/>
              </w:rPr>
              <w:t>综合性</w:t>
            </w:r>
          </w:p>
        </w:tc>
        <w:tc>
          <w:tcPr>
            <w:tcW w:w="622" w:type="dxa"/>
            <w:tcMar>
              <w:left w:w="28" w:type="dxa"/>
              <w:right w:w="28" w:type="dxa"/>
            </w:tcMar>
            <w:vAlign w:val="center"/>
          </w:tcPr>
          <w:p w14:paraId="15118A4A">
            <w:pPr>
              <w:jc w:val="center"/>
              <w:rPr>
                <w:rFonts w:ascii="宋体" w:hAnsi="宋体" w:eastAsia="宋体" w:cs="Times New Roman"/>
                <w:bCs/>
                <w:szCs w:val="21"/>
              </w:rPr>
            </w:pPr>
            <w:r>
              <w:rPr>
                <w:rFonts w:ascii="宋体" w:hAnsi="宋体" w:eastAsia="宋体" w:cs="Times New Roman"/>
                <w:bCs/>
                <w:szCs w:val="21"/>
              </w:rPr>
              <w:t>必做</w:t>
            </w:r>
          </w:p>
        </w:tc>
      </w:tr>
    </w:tbl>
    <w:p w14:paraId="0A86D7BB">
      <w:pPr>
        <w:spacing w:line="360" w:lineRule="auto"/>
        <w:rPr>
          <w:rFonts w:ascii="宋体" w:hAnsi="宋体" w:eastAsia="宋体" w:cs="Times New Roman"/>
          <w:b/>
          <w:sz w:val="28"/>
          <w:szCs w:val="28"/>
        </w:rPr>
      </w:pPr>
      <w:r>
        <w:rPr>
          <w:rFonts w:ascii="宋体" w:hAnsi="宋体" w:eastAsia="宋体" w:cs="Times New Roman"/>
          <w:b/>
          <w:sz w:val="28"/>
          <w:szCs w:val="28"/>
        </w:rPr>
        <w:t xml:space="preserve">   </w:t>
      </w:r>
    </w:p>
    <w:p w14:paraId="793E4913">
      <w:pPr>
        <w:spacing w:line="360" w:lineRule="auto"/>
        <w:rPr>
          <w:rFonts w:ascii="宋体" w:hAnsi="宋体" w:eastAsia="宋体" w:cs="Times New Roman"/>
          <w:b/>
          <w:sz w:val="28"/>
          <w:szCs w:val="28"/>
        </w:rPr>
      </w:pPr>
      <w:r>
        <w:rPr>
          <w:rFonts w:hint="eastAsia" w:ascii="宋体" w:hAnsi="宋体" w:eastAsia="宋体" w:cs="Times New Roman"/>
          <w:b/>
          <w:sz w:val="28"/>
          <w:szCs w:val="28"/>
        </w:rPr>
        <w:t xml:space="preserve">    </w:t>
      </w:r>
      <w:bookmarkStart w:id="285" w:name="_Toc29395663"/>
      <w:r>
        <w:rPr>
          <w:rFonts w:hint="eastAsia" w:ascii="宋体" w:hAnsi="宋体" w:eastAsia="宋体" w:cs="Times New Roman"/>
          <w:b/>
          <w:sz w:val="28"/>
          <w:szCs w:val="28"/>
        </w:rPr>
        <w:t>五、课程实施</w:t>
      </w:r>
      <w:bookmarkEnd w:id="285"/>
    </w:p>
    <w:p w14:paraId="2DE8C33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积极进行课堂教学改革，采用讲授法、案例教学法、现场教学法等进行教学。充分利用视频、QQ群、毕博网络课程等手段辅助教学，缩短小学教育科学教育理论教学与实验应用的距离，提高教学的针对性和实效性。</w:t>
      </w:r>
    </w:p>
    <w:p w14:paraId="110A307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（二）加强课程实验教学，组织学生做好预习与实验准备，提高实验教学效果，培养学生的机器人程序设计与实践能力、机器人教学设计、实施和教育评价能力。</w:t>
      </w:r>
    </w:p>
    <w:p w14:paraId="0049D246">
      <w:pPr>
        <w:spacing w:line="360" w:lineRule="auto"/>
        <w:ind w:firstLine="480" w:firstLineChars="200"/>
        <w:rPr>
          <w:rFonts w:ascii="宋体" w:hAnsi="宋体" w:eastAsia="宋体" w:cs="Times New Roman"/>
          <w:kern w:val="0"/>
          <w:sz w:val="24"/>
        </w:rPr>
      </w:pPr>
      <w:r>
        <w:rPr>
          <w:rFonts w:hint="eastAsia" w:ascii="宋体" w:hAnsi="宋体" w:eastAsia="宋体" w:cs="Times New Roman"/>
          <w:sz w:val="24"/>
        </w:rPr>
        <w:t>（三）采用小组合作学习方式，</w:t>
      </w:r>
      <w:r>
        <w:rPr>
          <w:rFonts w:hint="eastAsia" w:ascii="宋体" w:hAnsi="宋体" w:eastAsia="宋体" w:cs="Times New Roman"/>
          <w:kern w:val="0"/>
          <w:sz w:val="24"/>
        </w:rPr>
        <w:t>让学生在小组合作学习过程中完成机器人科学教育活动的设计与指导等工作，培养学生团队协作精神，掌握沟通合作技能，运用批判性思维方法，完成小学机器人</w:t>
      </w:r>
      <w:r>
        <w:rPr>
          <w:rFonts w:ascii="宋体" w:hAnsi="宋体" w:eastAsia="宋体" w:cs="Times New Roman"/>
          <w:kern w:val="0"/>
          <w:sz w:val="24"/>
        </w:rPr>
        <w:t>教育活动设计方</w:t>
      </w:r>
      <w:r>
        <w:rPr>
          <w:rFonts w:hint="eastAsia" w:ascii="宋体" w:hAnsi="宋体" w:eastAsia="宋体" w:cs="Times New Roman"/>
          <w:kern w:val="0"/>
          <w:sz w:val="24"/>
        </w:rPr>
        <w:t>案</w:t>
      </w:r>
      <w:r>
        <w:rPr>
          <w:rFonts w:ascii="宋体" w:hAnsi="宋体" w:eastAsia="宋体" w:cs="Times New Roman"/>
          <w:kern w:val="0"/>
          <w:sz w:val="24"/>
        </w:rPr>
        <w:t>和教育评价活动。</w:t>
      </w:r>
    </w:p>
    <w:p w14:paraId="48323FA5">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（四）紧密结合小学教育课程改革最新研究成果，及时调整和补充学科前沿知识。</w:t>
      </w:r>
    </w:p>
    <w:p w14:paraId="302E9152">
      <w:pPr>
        <w:spacing w:line="360" w:lineRule="auto"/>
        <w:ind w:firstLine="482" w:firstLineChars="200"/>
        <w:rPr>
          <w:rFonts w:ascii="宋体" w:hAnsi="宋体" w:eastAsia="宋体" w:cs="Times New Roman"/>
          <w:b/>
          <w:sz w:val="24"/>
        </w:rPr>
      </w:pPr>
      <w:r>
        <w:rPr>
          <w:rFonts w:ascii="宋体" w:hAnsi="宋体" w:eastAsia="宋体" w:cs="Times New Roman"/>
          <w:b/>
          <w:bCs/>
          <w:sz w:val="24"/>
        </w:rPr>
        <w:t>主要教学环节的质量要求如表所示</w:t>
      </w:r>
      <w:r>
        <w:rPr>
          <w:rFonts w:hint="eastAsia" w:ascii="宋体" w:hAnsi="宋体" w:eastAsia="宋体" w:cs="Times New Roman"/>
          <w:b/>
          <w:bCs/>
          <w:sz w:val="24"/>
        </w:rPr>
        <w:t>：</w:t>
      </w:r>
    </w:p>
    <w:tbl>
      <w:tblPr>
        <w:tblStyle w:val="30"/>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001"/>
        <w:gridCol w:w="7597"/>
      </w:tblGrid>
      <w:tr w14:paraId="616E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88" w:type="dxa"/>
            <w:gridSpan w:val="2"/>
            <w:tcBorders>
              <w:top w:val="single" w:color="auto" w:sz="8" w:space="0"/>
              <w:left w:val="single" w:color="auto" w:sz="8" w:space="0"/>
              <w:right w:val="single" w:color="auto" w:sz="8" w:space="0"/>
            </w:tcBorders>
            <w:tcMar>
              <w:left w:w="28" w:type="dxa"/>
              <w:right w:w="28" w:type="dxa"/>
            </w:tcMar>
            <w:vAlign w:val="center"/>
          </w:tcPr>
          <w:p w14:paraId="6086ACDA">
            <w:pPr>
              <w:jc w:val="center"/>
              <w:rPr>
                <w:rFonts w:ascii="宋体" w:hAnsi="宋体" w:eastAsia="宋体" w:cs="Times New Roman"/>
                <w:b/>
                <w:szCs w:val="21"/>
              </w:rPr>
            </w:pPr>
            <w:r>
              <w:rPr>
                <w:rFonts w:ascii="宋体" w:hAnsi="宋体" w:eastAsia="宋体" w:cs="Times New Roman"/>
                <w:b/>
                <w:bCs/>
                <w:szCs w:val="21"/>
              </w:rPr>
              <w:t>主要教学环节</w:t>
            </w:r>
          </w:p>
        </w:tc>
        <w:tc>
          <w:tcPr>
            <w:tcW w:w="7597" w:type="dxa"/>
            <w:tcBorders>
              <w:top w:val="single" w:color="auto" w:sz="8" w:space="0"/>
              <w:left w:val="single" w:color="auto" w:sz="8" w:space="0"/>
              <w:right w:val="single" w:color="auto" w:sz="8" w:space="0"/>
            </w:tcBorders>
            <w:vAlign w:val="center"/>
          </w:tcPr>
          <w:p w14:paraId="52B9C388">
            <w:pPr>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0DBC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587" w:type="dxa"/>
            <w:tcBorders>
              <w:left w:val="single" w:color="auto" w:sz="8" w:space="0"/>
            </w:tcBorders>
            <w:vAlign w:val="center"/>
          </w:tcPr>
          <w:p w14:paraId="748C8AF2">
            <w:pPr>
              <w:jc w:val="center"/>
              <w:rPr>
                <w:rFonts w:ascii="宋体" w:hAnsi="宋体" w:eastAsia="宋体" w:cs="Times New Roman"/>
                <w:szCs w:val="21"/>
              </w:rPr>
            </w:pPr>
            <w:r>
              <w:rPr>
                <w:rFonts w:ascii="宋体" w:hAnsi="宋体" w:eastAsia="宋体" w:cs="Times New Roman"/>
                <w:szCs w:val="21"/>
              </w:rPr>
              <w:t>1</w:t>
            </w:r>
          </w:p>
        </w:tc>
        <w:tc>
          <w:tcPr>
            <w:tcW w:w="1001" w:type="dxa"/>
            <w:tcMar>
              <w:left w:w="28" w:type="dxa"/>
              <w:right w:w="28" w:type="dxa"/>
            </w:tcMar>
            <w:vAlign w:val="center"/>
          </w:tcPr>
          <w:p w14:paraId="49C4CC3B">
            <w:pPr>
              <w:jc w:val="center"/>
              <w:rPr>
                <w:rFonts w:ascii="宋体" w:hAnsi="宋体" w:eastAsia="宋体" w:cs="Times New Roman"/>
                <w:szCs w:val="21"/>
              </w:rPr>
            </w:pPr>
            <w:r>
              <w:rPr>
                <w:rFonts w:ascii="宋体" w:hAnsi="宋体" w:eastAsia="宋体" w:cs="Times New Roman"/>
                <w:szCs w:val="21"/>
              </w:rPr>
              <w:t>备课</w:t>
            </w:r>
          </w:p>
        </w:tc>
        <w:tc>
          <w:tcPr>
            <w:tcW w:w="7597" w:type="dxa"/>
            <w:tcBorders>
              <w:right w:val="single" w:color="auto" w:sz="8" w:space="0"/>
            </w:tcBorders>
            <w:vAlign w:val="center"/>
          </w:tcPr>
          <w:p w14:paraId="4F5E1F16">
            <w:pPr>
              <w:rPr>
                <w:rFonts w:ascii="宋体" w:hAnsi="宋体" w:eastAsia="宋体" w:cs="Times New Roman"/>
                <w:szCs w:val="21"/>
              </w:rPr>
            </w:pPr>
            <w:r>
              <w:rPr>
                <w:rFonts w:ascii="宋体" w:hAnsi="宋体" w:eastAsia="宋体" w:cs="Times New Roman"/>
                <w:szCs w:val="21"/>
              </w:rPr>
              <w:t>（1）掌握课程教学大纲内容，严格按照教学大纲要求进行课程教学内容的组织。</w:t>
            </w:r>
          </w:p>
          <w:p w14:paraId="6AB13EDD">
            <w:pPr>
              <w:rPr>
                <w:rFonts w:ascii="宋体" w:hAnsi="宋体" w:eastAsia="宋体" w:cs="Times New Roman"/>
                <w:szCs w:val="21"/>
              </w:rPr>
            </w:pPr>
            <w:r>
              <w:rPr>
                <w:rFonts w:ascii="宋体" w:hAnsi="宋体" w:eastAsia="宋体" w:cs="Times New Roman"/>
                <w:szCs w:val="21"/>
              </w:rPr>
              <w:t>（2）悉心了解学生的现有水平和最新发展区水平，深透钻研教材内容，广泛阅读相关文献资料，精心选择教学方法、组织形式</w:t>
            </w:r>
            <w:r>
              <w:rPr>
                <w:rFonts w:hint="eastAsia" w:ascii="宋体" w:hAnsi="宋体" w:eastAsia="宋体" w:cs="Times New Roman"/>
                <w:szCs w:val="21"/>
              </w:rPr>
              <w:t>和教学手段，认真</w:t>
            </w:r>
            <w:r>
              <w:rPr>
                <w:rFonts w:ascii="宋体" w:hAnsi="宋体" w:eastAsia="宋体" w:cs="Times New Roman"/>
                <w:szCs w:val="21"/>
              </w:rPr>
              <w:t>编写授课计划。授课教案内容包括章节标题、教学目标、教学准备、教学方法、课堂类型、时间分配、授课内容、课后作业、教学效果分析等方面。</w:t>
            </w:r>
          </w:p>
        </w:tc>
      </w:tr>
      <w:tr w14:paraId="22E6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jc w:val="center"/>
        </w:trPr>
        <w:tc>
          <w:tcPr>
            <w:tcW w:w="587" w:type="dxa"/>
            <w:tcBorders>
              <w:left w:val="single" w:color="auto" w:sz="8" w:space="0"/>
            </w:tcBorders>
            <w:vAlign w:val="center"/>
          </w:tcPr>
          <w:p w14:paraId="3BD651C4">
            <w:pPr>
              <w:jc w:val="center"/>
              <w:rPr>
                <w:rFonts w:ascii="宋体" w:hAnsi="宋体" w:eastAsia="宋体" w:cs="Times New Roman"/>
                <w:szCs w:val="21"/>
              </w:rPr>
            </w:pPr>
            <w:r>
              <w:rPr>
                <w:rFonts w:ascii="宋体" w:hAnsi="宋体" w:eastAsia="宋体" w:cs="Times New Roman"/>
                <w:szCs w:val="21"/>
              </w:rPr>
              <w:t>2</w:t>
            </w:r>
          </w:p>
        </w:tc>
        <w:tc>
          <w:tcPr>
            <w:tcW w:w="1001" w:type="dxa"/>
            <w:tcMar>
              <w:left w:w="28" w:type="dxa"/>
              <w:right w:w="28" w:type="dxa"/>
            </w:tcMar>
            <w:vAlign w:val="center"/>
          </w:tcPr>
          <w:p w14:paraId="326BAA35">
            <w:pPr>
              <w:jc w:val="center"/>
              <w:rPr>
                <w:rFonts w:ascii="宋体" w:hAnsi="宋体" w:eastAsia="宋体" w:cs="Times New Roman"/>
                <w:szCs w:val="21"/>
              </w:rPr>
            </w:pPr>
            <w:r>
              <w:rPr>
                <w:rFonts w:ascii="宋体" w:hAnsi="宋体" w:eastAsia="宋体" w:cs="Times New Roman"/>
                <w:szCs w:val="21"/>
              </w:rPr>
              <w:t>讲授</w:t>
            </w:r>
          </w:p>
        </w:tc>
        <w:tc>
          <w:tcPr>
            <w:tcW w:w="7597" w:type="dxa"/>
            <w:tcBorders>
              <w:right w:val="single" w:color="auto" w:sz="8" w:space="0"/>
            </w:tcBorders>
            <w:vAlign w:val="center"/>
          </w:tcPr>
          <w:p w14:paraId="4F39C51A">
            <w:pPr>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教师仪表端庄，情绪情感要饱满；</w:t>
            </w:r>
          </w:p>
          <w:p w14:paraId="7F97EA88">
            <w:pPr>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4"/>
              </w:rPr>
              <w:t>教学准备充分，熟悉教学内容；</w:t>
            </w:r>
          </w:p>
          <w:p w14:paraId="688413F4">
            <w:pPr>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4"/>
              </w:rPr>
              <w:t>教学内容充实，不断充实最新研究成果；</w:t>
            </w:r>
          </w:p>
          <w:p w14:paraId="0E2EF6C5">
            <w:pPr>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4"/>
              </w:rPr>
              <w:t>严格执行计划，教学进度适宜；</w:t>
            </w:r>
          </w:p>
          <w:p w14:paraId="34F13DF5">
            <w:pPr>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4"/>
              </w:rPr>
              <w:t>课堂教学信息充分，注重理论联系实际；</w:t>
            </w:r>
          </w:p>
          <w:p w14:paraId="21D92F9F">
            <w:pPr>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4"/>
              </w:rPr>
              <w:t>注重启发学生思维，培养学生的教学能力；</w:t>
            </w:r>
          </w:p>
          <w:p w14:paraId="73DFFB4F">
            <w:pPr>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4"/>
              </w:rPr>
              <w:t>面向全体基础上因材施教，灵活运用多种教学方法；</w:t>
            </w:r>
          </w:p>
          <w:p w14:paraId="313968C6">
            <w:pPr>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4"/>
              </w:rPr>
              <w:t>教学语言规范，为学生教育教学做好表率；</w:t>
            </w:r>
          </w:p>
          <w:p w14:paraId="63D25DAF">
            <w:pPr>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4"/>
              </w:rPr>
              <w:t>教学条理清楚，教学思路逻辑严密；</w:t>
            </w:r>
          </w:p>
          <w:p w14:paraId="282E37D3">
            <w:pPr>
              <w:rPr>
                <w:rFonts w:ascii="宋体" w:hAnsi="宋体" w:eastAsia="宋体" w:cs="Times New Roman"/>
                <w:szCs w:val="21"/>
              </w:rPr>
            </w:pPr>
            <w:r>
              <w:rPr>
                <w:rFonts w:ascii="宋体" w:hAnsi="宋体" w:eastAsia="宋体" w:cs="Times New Roman"/>
                <w:szCs w:val="21"/>
              </w:rPr>
              <w:t>（10）</w:t>
            </w:r>
            <w:r>
              <w:rPr>
                <w:rFonts w:hint="eastAsia" w:ascii="宋体" w:hAnsi="宋体" w:eastAsia="宋体" w:cs="Times New Roman"/>
                <w:szCs w:val="24"/>
              </w:rPr>
              <w:t>充分运用现代化教学手段，教学技术熟练；</w:t>
            </w:r>
          </w:p>
          <w:p w14:paraId="37D364C5">
            <w:pPr>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4"/>
              </w:rPr>
              <w:t>课堂教学要重点突出，难点突破；</w:t>
            </w:r>
          </w:p>
          <w:p w14:paraId="0547F933">
            <w:pPr>
              <w:rPr>
                <w:rFonts w:ascii="宋体" w:hAnsi="宋体" w:eastAsia="宋体" w:cs="Times New Roman"/>
                <w:szCs w:val="21"/>
              </w:rPr>
            </w:pPr>
            <w:r>
              <w:rPr>
                <w:rFonts w:ascii="宋体" w:hAnsi="宋体" w:eastAsia="宋体" w:cs="Times New Roman"/>
                <w:szCs w:val="21"/>
              </w:rPr>
              <w:t>（12）</w:t>
            </w:r>
            <w:r>
              <w:rPr>
                <w:rFonts w:hint="eastAsia" w:ascii="宋体" w:hAnsi="宋体" w:eastAsia="宋体" w:cs="Times New Roman"/>
                <w:szCs w:val="24"/>
              </w:rPr>
              <w:t>注重师生互动，形成良好的课堂氛围。</w:t>
            </w:r>
          </w:p>
        </w:tc>
      </w:tr>
      <w:tr w14:paraId="4C45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jc w:val="center"/>
        </w:trPr>
        <w:tc>
          <w:tcPr>
            <w:tcW w:w="587" w:type="dxa"/>
            <w:tcBorders>
              <w:left w:val="single" w:color="auto" w:sz="8" w:space="0"/>
            </w:tcBorders>
            <w:vAlign w:val="center"/>
          </w:tcPr>
          <w:p w14:paraId="35721DCB">
            <w:pPr>
              <w:jc w:val="center"/>
              <w:rPr>
                <w:rFonts w:ascii="宋体" w:hAnsi="宋体" w:eastAsia="宋体" w:cs="Times New Roman"/>
                <w:szCs w:val="21"/>
              </w:rPr>
            </w:pPr>
            <w:r>
              <w:rPr>
                <w:rFonts w:ascii="宋体" w:hAnsi="宋体" w:eastAsia="宋体" w:cs="Times New Roman"/>
                <w:szCs w:val="21"/>
              </w:rPr>
              <w:t>3</w:t>
            </w:r>
          </w:p>
        </w:tc>
        <w:tc>
          <w:tcPr>
            <w:tcW w:w="1001" w:type="dxa"/>
            <w:tcMar>
              <w:left w:w="28" w:type="dxa"/>
              <w:right w:w="28" w:type="dxa"/>
            </w:tcMar>
            <w:vAlign w:val="center"/>
          </w:tcPr>
          <w:p w14:paraId="110C96B8">
            <w:pPr>
              <w:jc w:val="center"/>
              <w:rPr>
                <w:rFonts w:ascii="宋体" w:hAnsi="宋体" w:eastAsia="宋体" w:cs="Times New Roman"/>
                <w:szCs w:val="21"/>
              </w:rPr>
            </w:pPr>
            <w:r>
              <w:rPr>
                <w:rFonts w:ascii="宋体" w:hAnsi="宋体" w:eastAsia="宋体" w:cs="Times New Roman"/>
                <w:szCs w:val="21"/>
              </w:rPr>
              <w:t>作业布置与批改</w:t>
            </w:r>
          </w:p>
        </w:tc>
        <w:tc>
          <w:tcPr>
            <w:tcW w:w="7597" w:type="dxa"/>
            <w:tcBorders>
              <w:right w:val="single" w:color="auto" w:sz="8" w:space="0"/>
            </w:tcBorders>
            <w:vAlign w:val="center"/>
          </w:tcPr>
          <w:p w14:paraId="0F750897">
            <w:pPr>
              <w:rPr>
                <w:rFonts w:ascii="宋体" w:hAnsi="宋体" w:eastAsia="宋体" w:cs="Times New Roman"/>
                <w:szCs w:val="21"/>
              </w:rPr>
            </w:pPr>
            <w:r>
              <w:rPr>
                <w:rFonts w:ascii="宋体" w:hAnsi="宋体" w:eastAsia="宋体" w:cs="Times New Roman"/>
                <w:szCs w:val="21"/>
              </w:rPr>
              <w:t>学生必须完成</w:t>
            </w:r>
            <w:r>
              <w:rPr>
                <w:rFonts w:hint="eastAsia" w:ascii="宋体" w:hAnsi="宋体" w:eastAsia="宋体" w:cs="Times New Roman"/>
                <w:szCs w:val="21"/>
              </w:rPr>
              <w:t>规定</w:t>
            </w:r>
            <w:r>
              <w:rPr>
                <w:rFonts w:ascii="宋体" w:hAnsi="宋体" w:eastAsia="宋体" w:cs="Times New Roman"/>
                <w:szCs w:val="21"/>
              </w:rPr>
              <w:t>数量的作业</w:t>
            </w:r>
            <w:r>
              <w:rPr>
                <w:rFonts w:hint="eastAsia" w:ascii="宋体" w:hAnsi="宋体" w:eastAsia="宋体" w:cs="Times New Roman"/>
                <w:szCs w:val="21"/>
              </w:rPr>
              <w:t>，</w:t>
            </w:r>
            <w:r>
              <w:rPr>
                <w:rFonts w:ascii="宋体" w:hAnsi="宋体" w:eastAsia="宋体" w:cs="Times New Roman"/>
                <w:szCs w:val="21"/>
              </w:rPr>
              <w:t>作业必须达到以下基本要求：</w:t>
            </w:r>
          </w:p>
          <w:p w14:paraId="391BA274">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按时按量完成作业，不缺交，不抄袭</w:t>
            </w:r>
            <w:r>
              <w:rPr>
                <w:rFonts w:hint="eastAsia" w:ascii="宋体" w:hAnsi="宋体" w:eastAsia="宋体" w:cs="Times New Roman"/>
                <w:szCs w:val="21"/>
              </w:rPr>
              <w:t>。</w:t>
            </w:r>
          </w:p>
          <w:p w14:paraId="44FA1AAF">
            <w:pPr>
              <w:rPr>
                <w:rFonts w:ascii="宋体" w:hAnsi="宋体" w:eastAsia="宋体" w:cs="Times New Roman"/>
                <w:szCs w:val="21"/>
              </w:rPr>
            </w:pPr>
            <w:r>
              <w:rPr>
                <w:rFonts w:hint="eastAsia" w:ascii="宋体" w:hAnsi="宋体" w:eastAsia="宋体" w:cs="Times New Roman"/>
                <w:szCs w:val="21"/>
              </w:rPr>
              <w:t>（2）书写</w:t>
            </w:r>
            <w:r>
              <w:rPr>
                <w:rFonts w:ascii="宋体" w:hAnsi="宋体" w:eastAsia="宋体" w:cs="Times New Roman"/>
                <w:szCs w:val="21"/>
              </w:rPr>
              <w:t>规范</w:t>
            </w:r>
            <w:r>
              <w:rPr>
                <w:rFonts w:hint="eastAsia" w:ascii="宋体" w:hAnsi="宋体" w:eastAsia="宋体" w:cs="Times New Roman"/>
                <w:szCs w:val="21"/>
              </w:rPr>
              <w:t>、</w:t>
            </w:r>
            <w:r>
              <w:rPr>
                <w:rFonts w:ascii="宋体" w:hAnsi="宋体" w:eastAsia="宋体" w:cs="Times New Roman"/>
                <w:szCs w:val="21"/>
              </w:rPr>
              <w:t>教学设计方案格式规范、清晰</w:t>
            </w:r>
            <w:r>
              <w:rPr>
                <w:rFonts w:hint="eastAsia" w:ascii="宋体" w:hAnsi="宋体" w:eastAsia="宋体" w:cs="Times New Roman"/>
                <w:szCs w:val="21"/>
              </w:rPr>
              <w:t>。</w:t>
            </w:r>
          </w:p>
          <w:p w14:paraId="6EDE13A6">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教学设计理念先进，教学目标适宜，教学方法灵活，教学组织形式多样、教学过程紧凑，教学准备充分。</w:t>
            </w:r>
          </w:p>
          <w:p w14:paraId="0346DCFC">
            <w:pPr>
              <w:rPr>
                <w:rFonts w:ascii="宋体" w:hAnsi="宋体" w:eastAsia="宋体" w:cs="Times New Roman"/>
                <w:szCs w:val="21"/>
              </w:rPr>
            </w:pP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讲评作业要求如下：</w:t>
            </w:r>
          </w:p>
          <w:p w14:paraId="7D404310">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学生的作业要</w:t>
            </w:r>
            <w:r>
              <w:rPr>
                <w:rFonts w:hint="eastAsia" w:ascii="宋体" w:hAnsi="宋体" w:eastAsia="宋体" w:cs="Times New Roman"/>
                <w:szCs w:val="21"/>
              </w:rPr>
              <w:t>按时</w:t>
            </w:r>
            <w:r>
              <w:rPr>
                <w:rFonts w:ascii="宋体" w:hAnsi="宋体" w:eastAsia="宋体" w:cs="Times New Roman"/>
                <w:szCs w:val="21"/>
              </w:rPr>
              <w:t>全</w:t>
            </w:r>
            <w:r>
              <w:rPr>
                <w:rFonts w:hint="eastAsia" w:ascii="宋体" w:hAnsi="宋体" w:eastAsia="宋体" w:cs="Times New Roman"/>
                <w:szCs w:val="21"/>
              </w:rPr>
              <w:t>部</w:t>
            </w:r>
            <w:r>
              <w:rPr>
                <w:rFonts w:ascii="宋体" w:hAnsi="宋体" w:eastAsia="宋体" w:cs="Times New Roman"/>
                <w:szCs w:val="21"/>
              </w:rPr>
              <w:t>批改，并</w:t>
            </w:r>
            <w:r>
              <w:rPr>
                <w:rFonts w:hint="eastAsia" w:ascii="宋体" w:hAnsi="宋体" w:eastAsia="宋体" w:cs="Times New Roman"/>
                <w:szCs w:val="21"/>
              </w:rPr>
              <w:t>及时进行</w:t>
            </w:r>
            <w:r>
              <w:rPr>
                <w:rFonts w:ascii="宋体" w:hAnsi="宋体" w:eastAsia="宋体" w:cs="Times New Roman"/>
                <w:szCs w:val="21"/>
              </w:rPr>
              <w:t>讲评</w:t>
            </w:r>
            <w:r>
              <w:rPr>
                <w:rFonts w:hint="eastAsia" w:ascii="宋体" w:hAnsi="宋体" w:eastAsia="宋体" w:cs="Times New Roman"/>
                <w:szCs w:val="21"/>
              </w:rPr>
              <w:t>。</w:t>
            </w:r>
          </w:p>
          <w:p w14:paraId="40B4F2C3">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教师批改</w:t>
            </w:r>
            <w:r>
              <w:rPr>
                <w:rFonts w:hint="eastAsia" w:ascii="宋体" w:hAnsi="宋体" w:eastAsia="宋体" w:cs="Times New Roman"/>
                <w:szCs w:val="21"/>
              </w:rPr>
              <w:t>和</w:t>
            </w:r>
            <w:r>
              <w:rPr>
                <w:rFonts w:ascii="宋体" w:hAnsi="宋体" w:eastAsia="宋体" w:cs="Times New Roman"/>
                <w:szCs w:val="21"/>
              </w:rPr>
              <w:t>讲评作业要认真、细致，按百分制评定成绩并写明日期</w:t>
            </w:r>
            <w:r>
              <w:rPr>
                <w:rFonts w:hint="eastAsia" w:ascii="宋体" w:hAnsi="宋体" w:eastAsia="宋体" w:cs="Times New Roman"/>
                <w:szCs w:val="21"/>
              </w:rPr>
              <w:t>。</w:t>
            </w:r>
          </w:p>
          <w:p w14:paraId="1B3DACCD">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学生作业平均成绩</w:t>
            </w:r>
            <w:r>
              <w:rPr>
                <w:rFonts w:hint="eastAsia" w:ascii="宋体" w:hAnsi="宋体" w:eastAsia="宋体" w:cs="Times New Roman"/>
                <w:szCs w:val="21"/>
              </w:rPr>
              <w:t>应</w:t>
            </w:r>
            <w:r>
              <w:rPr>
                <w:rFonts w:ascii="宋体" w:hAnsi="宋体" w:eastAsia="宋体" w:cs="Times New Roman"/>
                <w:szCs w:val="21"/>
              </w:rPr>
              <w:t>作为本课程总评成绩中平时成绩的重要组成部分。</w:t>
            </w:r>
          </w:p>
        </w:tc>
      </w:tr>
      <w:tr w14:paraId="3D42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587" w:type="dxa"/>
            <w:tcBorders>
              <w:left w:val="single" w:color="auto" w:sz="8" w:space="0"/>
            </w:tcBorders>
            <w:vAlign w:val="center"/>
          </w:tcPr>
          <w:p w14:paraId="49C7460F">
            <w:pPr>
              <w:jc w:val="center"/>
              <w:rPr>
                <w:rFonts w:ascii="宋体" w:hAnsi="宋体" w:eastAsia="宋体" w:cs="Times New Roman"/>
                <w:szCs w:val="21"/>
              </w:rPr>
            </w:pPr>
            <w:r>
              <w:rPr>
                <w:rFonts w:ascii="宋体" w:hAnsi="宋体" w:eastAsia="宋体" w:cs="Times New Roman"/>
                <w:szCs w:val="21"/>
              </w:rPr>
              <w:t>4</w:t>
            </w:r>
          </w:p>
        </w:tc>
        <w:tc>
          <w:tcPr>
            <w:tcW w:w="1001" w:type="dxa"/>
            <w:tcMar>
              <w:left w:w="28" w:type="dxa"/>
              <w:right w:w="28" w:type="dxa"/>
            </w:tcMar>
            <w:vAlign w:val="center"/>
          </w:tcPr>
          <w:p w14:paraId="39A82E85">
            <w:pPr>
              <w:jc w:val="center"/>
              <w:rPr>
                <w:rFonts w:ascii="宋体" w:hAnsi="宋体" w:eastAsia="宋体" w:cs="Times New Roman"/>
                <w:szCs w:val="21"/>
              </w:rPr>
            </w:pPr>
            <w:r>
              <w:rPr>
                <w:rFonts w:ascii="宋体" w:hAnsi="宋体" w:eastAsia="宋体" w:cs="Times New Roman"/>
                <w:szCs w:val="21"/>
              </w:rPr>
              <w:t>课外答疑</w:t>
            </w:r>
          </w:p>
        </w:tc>
        <w:tc>
          <w:tcPr>
            <w:tcW w:w="7597" w:type="dxa"/>
            <w:tcBorders>
              <w:right w:val="single" w:color="auto" w:sz="8" w:space="0"/>
            </w:tcBorders>
            <w:vAlign w:val="center"/>
          </w:tcPr>
          <w:p w14:paraId="565BC2C5">
            <w:pPr>
              <w:rPr>
                <w:rFonts w:ascii="宋体" w:hAnsi="宋体" w:eastAsia="宋体" w:cs="Times New Roman"/>
                <w:szCs w:val="21"/>
              </w:rPr>
            </w:pPr>
            <w:r>
              <w:rPr>
                <w:rFonts w:ascii="宋体" w:hAnsi="宋体" w:eastAsia="宋体" w:cs="Times New Roman"/>
                <w:szCs w:val="21"/>
              </w:rPr>
              <w:t>为了解学生的学习情况，帮助学生</w:t>
            </w:r>
            <w:r>
              <w:rPr>
                <w:rFonts w:hint="eastAsia" w:ascii="宋体" w:hAnsi="宋体" w:eastAsia="宋体" w:cs="Times New Roman"/>
                <w:szCs w:val="21"/>
              </w:rPr>
              <w:t>更好地</w:t>
            </w:r>
            <w:r>
              <w:rPr>
                <w:rFonts w:ascii="宋体" w:hAnsi="宋体" w:eastAsia="宋体" w:cs="Times New Roman"/>
                <w:szCs w:val="21"/>
              </w:rPr>
              <w:t>理解和消化所学知识、改进学习方法和思维方式，培养其独立的教学设计能力、教学组织指导能力、教学反思与评价能力，任课教师</w:t>
            </w:r>
            <w:r>
              <w:rPr>
                <w:rFonts w:hint="eastAsia" w:ascii="宋体" w:hAnsi="宋体" w:eastAsia="宋体" w:cs="Times New Roman"/>
                <w:szCs w:val="21"/>
              </w:rPr>
              <w:t>需</w:t>
            </w:r>
            <w:r>
              <w:rPr>
                <w:rFonts w:ascii="宋体" w:hAnsi="宋体" w:eastAsia="宋体" w:cs="Times New Roman"/>
                <w:szCs w:val="21"/>
              </w:rPr>
              <w:t>每周安排</w:t>
            </w:r>
            <w:r>
              <w:rPr>
                <w:rFonts w:hint="eastAsia" w:ascii="宋体" w:hAnsi="宋体" w:eastAsia="宋体" w:cs="Times New Roman"/>
                <w:szCs w:val="21"/>
              </w:rPr>
              <w:t>一定</w:t>
            </w:r>
            <w:r>
              <w:rPr>
                <w:rFonts w:ascii="宋体" w:hAnsi="宋体" w:eastAsia="宋体" w:cs="Times New Roman"/>
                <w:szCs w:val="21"/>
              </w:rPr>
              <w:t>时间进行课外答疑与辅导。</w:t>
            </w:r>
          </w:p>
        </w:tc>
      </w:tr>
      <w:tr w14:paraId="212D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587" w:type="dxa"/>
            <w:tcBorders>
              <w:left w:val="single" w:color="auto" w:sz="8" w:space="0"/>
            </w:tcBorders>
            <w:vAlign w:val="center"/>
          </w:tcPr>
          <w:p w14:paraId="2213081A">
            <w:pPr>
              <w:jc w:val="center"/>
              <w:rPr>
                <w:rFonts w:ascii="宋体" w:hAnsi="宋体" w:eastAsia="宋体" w:cs="Times New Roman"/>
                <w:szCs w:val="21"/>
              </w:rPr>
            </w:pPr>
            <w:r>
              <w:rPr>
                <w:rFonts w:ascii="宋体" w:hAnsi="宋体" w:eastAsia="宋体" w:cs="Times New Roman"/>
                <w:szCs w:val="21"/>
              </w:rPr>
              <w:t>5</w:t>
            </w:r>
          </w:p>
        </w:tc>
        <w:tc>
          <w:tcPr>
            <w:tcW w:w="1001" w:type="dxa"/>
            <w:tcMar>
              <w:left w:w="28" w:type="dxa"/>
              <w:right w:w="28" w:type="dxa"/>
            </w:tcMar>
            <w:vAlign w:val="center"/>
          </w:tcPr>
          <w:p w14:paraId="2F389ABC">
            <w:pPr>
              <w:jc w:val="center"/>
              <w:rPr>
                <w:rFonts w:ascii="宋体" w:hAnsi="宋体" w:eastAsia="宋体" w:cs="Times New Roman"/>
                <w:szCs w:val="21"/>
              </w:rPr>
            </w:pPr>
            <w:r>
              <w:rPr>
                <w:rFonts w:ascii="宋体" w:hAnsi="宋体" w:eastAsia="宋体" w:cs="Times New Roman"/>
                <w:szCs w:val="21"/>
              </w:rPr>
              <w:t>成绩考核</w:t>
            </w:r>
          </w:p>
        </w:tc>
        <w:tc>
          <w:tcPr>
            <w:tcW w:w="7597" w:type="dxa"/>
            <w:tcBorders>
              <w:right w:val="single" w:color="auto" w:sz="8" w:space="0"/>
            </w:tcBorders>
            <w:vAlign w:val="center"/>
          </w:tcPr>
          <w:p w14:paraId="539429F5">
            <w:pPr>
              <w:rPr>
                <w:rFonts w:ascii="宋体" w:hAnsi="宋体" w:eastAsia="宋体" w:cs="Times New Roman"/>
                <w:szCs w:val="21"/>
              </w:rPr>
            </w:pPr>
            <w:r>
              <w:rPr>
                <w:rFonts w:ascii="宋体" w:hAnsi="宋体" w:eastAsia="宋体" w:cs="Times New Roman"/>
                <w:szCs w:val="21"/>
              </w:rPr>
              <w:t>本课程考核的方式</w:t>
            </w:r>
            <w:r>
              <w:rPr>
                <w:rFonts w:hint="eastAsia" w:ascii="宋体" w:hAnsi="宋体" w:eastAsia="宋体" w:cs="Times New Roman"/>
                <w:szCs w:val="21"/>
              </w:rPr>
              <w:t>为开卷笔试</w:t>
            </w:r>
            <w:r>
              <w:rPr>
                <w:rFonts w:ascii="宋体" w:hAnsi="宋体" w:eastAsia="宋体" w:cs="Times New Roman"/>
                <w:szCs w:val="21"/>
              </w:rPr>
              <w:t>。考试采取教考分离，监考</w:t>
            </w:r>
            <w:r>
              <w:rPr>
                <w:rFonts w:hint="eastAsia" w:ascii="宋体" w:hAnsi="宋体" w:eastAsia="宋体" w:cs="Times New Roman"/>
                <w:szCs w:val="21"/>
              </w:rPr>
              <w:t>由学院</w:t>
            </w:r>
            <w:r>
              <w:rPr>
                <w:rFonts w:ascii="宋体" w:hAnsi="宋体" w:eastAsia="宋体" w:cs="Times New Roman"/>
                <w:szCs w:val="21"/>
              </w:rPr>
              <w:t>统一安排。有下列情况之一者，总评成绩为不及格：</w:t>
            </w:r>
          </w:p>
          <w:p w14:paraId="1D8F417E">
            <w:pP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缺交作业次数达1/3以上者</w:t>
            </w:r>
            <w:r>
              <w:rPr>
                <w:rFonts w:hint="eastAsia" w:ascii="宋体" w:hAnsi="宋体" w:eastAsia="宋体" w:cs="Times New Roman"/>
                <w:szCs w:val="21"/>
              </w:rPr>
              <w:t>。</w:t>
            </w:r>
          </w:p>
          <w:p w14:paraId="30A3C944">
            <w:pPr>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缺课次数达本学期总授课学时的1/3以上者</w:t>
            </w:r>
            <w:r>
              <w:rPr>
                <w:rFonts w:hint="eastAsia" w:ascii="宋体" w:hAnsi="宋体" w:eastAsia="宋体" w:cs="Times New Roman"/>
                <w:szCs w:val="21"/>
              </w:rPr>
              <w:t>。</w:t>
            </w:r>
          </w:p>
        </w:tc>
      </w:tr>
    </w:tbl>
    <w:p w14:paraId="18791BC5">
      <w:pPr>
        <w:spacing w:line="360" w:lineRule="auto"/>
        <w:ind w:firstLine="562" w:firstLineChars="200"/>
        <w:rPr>
          <w:rFonts w:ascii="宋体" w:hAnsi="宋体" w:eastAsia="宋体" w:cs="Times New Roman"/>
          <w:b/>
          <w:sz w:val="28"/>
          <w:szCs w:val="28"/>
        </w:rPr>
      </w:pPr>
    </w:p>
    <w:p w14:paraId="3455E850">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3E0C3A8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（一）</w:t>
      </w:r>
      <w:r>
        <w:rPr>
          <w:rFonts w:ascii="宋体" w:hAnsi="宋体" w:eastAsia="宋体" w:cs="Times New Roman"/>
          <w:sz w:val="24"/>
        </w:rPr>
        <w:t>课程考核包括期末考试、平时及作业考核和</w:t>
      </w:r>
      <w:r>
        <w:rPr>
          <w:rFonts w:hint="eastAsia" w:ascii="宋体" w:hAnsi="宋体" w:eastAsia="宋体" w:cs="Times New Roman"/>
          <w:sz w:val="24"/>
        </w:rPr>
        <w:t>实践</w:t>
      </w:r>
      <w:r>
        <w:rPr>
          <w:rFonts w:ascii="宋体" w:hAnsi="宋体" w:eastAsia="宋体" w:cs="Times New Roman"/>
          <w:sz w:val="24"/>
        </w:rPr>
        <w:t>考核</w:t>
      </w:r>
      <w:r>
        <w:rPr>
          <w:rFonts w:hint="eastAsia" w:ascii="宋体" w:hAnsi="宋体" w:eastAsia="宋体" w:cs="Times New Roman"/>
          <w:sz w:val="24"/>
        </w:rPr>
        <w:t>等</w:t>
      </w:r>
      <w:r>
        <w:rPr>
          <w:rFonts w:ascii="宋体" w:hAnsi="宋体" w:eastAsia="宋体" w:cs="Times New Roman"/>
          <w:sz w:val="24"/>
        </w:rPr>
        <w:t>，期</w:t>
      </w:r>
      <w:r>
        <w:rPr>
          <w:rFonts w:hint="eastAsia" w:ascii="宋体" w:hAnsi="宋体" w:eastAsia="宋体" w:cs="Times New Roman"/>
          <w:sz w:val="24"/>
        </w:rPr>
        <w:t>末</w:t>
      </w:r>
      <w:r>
        <w:rPr>
          <w:rFonts w:ascii="宋体" w:hAnsi="宋体" w:eastAsia="宋体" w:cs="Times New Roman"/>
          <w:sz w:val="24"/>
        </w:rPr>
        <w:t>考试采用</w:t>
      </w:r>
      <w:r>
        <w:rPr>
          <w:rFonts w:hint="eastAsia" w:ascii="宋体" w:hAnsi="宋体" w:eastAsia="宋体" w:cs="Times New Roman"/>
          <w:sz w:val="24"/>
        </w:rPr>
        <w:t>开卷笔试方式</w:t>
      </w:r>
      <w:r>
        <w:rPr>
          <w:rFonts w:ascii="宋体" w:hAnsi="宋体" w:eastAsia="宋体" w:cs="Times New Roman"/>
          <w:sz w:val="24"/>
        </w:rPr>
        <w:t>。</w:t>
      </w:r>
    </w:p>
    <w:p w14:paraId="3C99599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（二）</w:t>
      </w: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成绩=平时成绩×</w:t>
      </w:r>
      <w:r>
        <w:rPr>
          <w:rFonts w:hint="eastAsia" w:ascii="宋体" w:hAnsi="宋体" w:eastAsia="宋体" w:cs="Times New Roman"/>
          <w:sz w:val="24"/>
        </w:rPr>
        <w:t>20</w:t>
      </w:r>
      <w:r>
        <w:rPr>
          <w:rFonts w:ascii="宋体" w:hAnsi="宋体" w:eastAsia="宋体" w:cs="Times New Roman"/>
          <w:sz w:val="24"/>
        </w:rPr>
        <w:t>% +</w:t>
      </w:r>
      <w:r>
        <w:rPr>
          <w:rFonts w:hint="eastAsia" w:ascii="宋体" w:hAnsi="宋体" w:eastAsia="宋体" w:cs="Times New Roman"/>
          <w:sz w:val="24"/>
        </w:rPr>
        <w:t>实践</w:t>
      </w:r>
      <w:r>
        <w:rPr>
          <w:rFonts w:ascii="宋体" w:hAnsi="宋体" w:eastAsia="宋体" w:cs="Times New Roman"/>
          <w:sz w:val="24"/>
        </w:rPr>
        <w:t>成绩×</w:t>
      </w:r>
      <w:r>
        <w:rPr>
          <w:rFonts w:hint="eastAsia" w:ascii="宋体" w:hAnsi="宋体" w:eastAsia="宋体" w:cs="Times New Roman"/>
          <w:sz w:val="24"/>
        </w:rPr>
        <w:t>20</w:t>
      </w:r>
      <w:r>
        <w:rPr>
          <w:rFonts w:ascii="宋体" w:hAnsi="宋体" w:eastAsia="宋体" w:cs="Times New Roman"/>
          <w:sz w:val="24"/>
        </w:rPr>
        <w:t>%+期末考试成绩×</w:t>
      </w:r>
      <w:r>
        <w:rPr>
          <w:rFonts w:hint="eastAsia" w:ascii="宋体" w:hAnsi="宋体" w:eastAsia="宋体" w:cs="Times New Roman"/>
          <w:sz w:val="24"/>
        </w:rPr>
        <w:t>60</w:t>
      </w:r>
      <w:r>
        <w:rPr>
          <w:rFonts w:ascii="宋体" w:hAnsi="宋体" w:eastAsia="宋体" w:cs="Times New Roman"/>
          <w:sz w:val="24"/>
        </w:rPr>
        <w:t>%。</w:t>
      </w:r>
    </w:p>
    <w:p w14:paraId="2B03A438">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p w14:paraId="4C180FEA">
      <w:pPr>
        <w:spacing w:line="360" w:lineRule="auto"/>
        <w:ind w:firstLine="482" w:firstLineChars="200"/>
        <w:rPr>
          <w:rFonts w:ascii="宋体" w:hAnsi="宋体" w:eastAsia="宋体" w:cs="Times New Roman"/>
          <w:b/>
          <w:sz w:val="24"/>
        </w:rPr>
      </w:pPr>
    </w:p>
    <w:p w14:paraId="22A7548B">
      <w:pPr>
        <w:spacing w:line="360" w:lineRule="auto"/>
        <w:rPr>
          <w:rFonts w:ascii="宋体" w:hAnsi="宋体" w:eastAsia="宋体" w:cs="Times New Roman"/>
          <w:b/>
          <w:sz w:val="24"/>
        </w:rPr>
      </w:pPr>
    </w:p>
    <w:tbl>
      <w:tblPr>
        <w:tblStyle w:val="30"/>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32"/>
        <w:gridCol w:w="707"/>
        <w:gridCol w:w="2688"/>
        <w:gridCol w:w="1274"/>
        <w:gridCol w:w="1274"/>
        <w:gridCol w:w="1274"/>
      </w:tblGrid>
      <w:tr w14:paraId="22DC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23" w:type="dxa"/>
            <w:shd w:val="clear" w:color="auto" w:fill="FFFFFF"/>
            <w:tcMar>
              <w:left w:w="57" w:type="dxa"/>
              <w:right w:w="57" w:type="dxa"/>
            </w:tcMar>
            <w:vAlign w:val="center"/>
          </w:tcPr>
          <w:p w14:paraId="36149178">
            <w:pPr>
              <w:jc w:val="center"/>
              <w:rPr>
                <w:rFonts w:ascii="宋体" w:hAnsi="宋体" w:eastAsia="宋体" w:cs="Times New Roman"/>
                <w:b/>
                <w:szCs w:val="24"/>
              </w:rPr>
            </w:pPr>
            <w:r>
              <w:rPr>
                <w:rFonts w:ascii="宋体" w:hAnsi="宋体" w:eastAsia="宋体" w:cs="Times New Roman"/>
                <w:b/>
                <w:szCs w:val="24"/>
              </w:rPr>
              <w:t>成绩组成</w:t>
            </w:r>
          </w:p>
        </w:tc>
        <w:tc>
          <w:tcPr>
            <w:tcW w:w="1132" w:type="dxa"/>
            <w:shd w:val="clear" w:color="auto" w:fill="FFFFFF"/>
            <w:vAlign w:val="center"/>
          </w:tcPr>
          <w:p w14:paraId="19BCD529">
            <w:pPr>
              <w:jc w:val="center"/>
              <w:rPr>
                <w:rFonts w:ascii="宋体" w:hAnsi="宋体" w:eastAsia="宋体" w:cs="Times New Roman"/>
                <w:b/>
                <w:szCs w:val="24"/>
              </w:rPr>
            </w:pPr>
            <w:r>
              <w:rPr>
                <w:rFonts w:ascii="宋体" w:hAnsi="宋体" w:eastAsia="宋体" w:cs="Times New Roman"/>
                <w:b/>
                <w:szCs w:val="24"/>
              </w:rPr>
              <w:t>考核/</w:t>
            </w:r>
          </w:p>
          <w:p w14:paraId="655A52E4">
            <w:pPr>
              <w:jc w:val="center"/>
              <w:rPr>
                <w:rFonts w:ascii="宋体" w:hAnsi="宋体" w:eastAsia="宋体" w:cs="Times New Roman"/>
                <w:b/>
                <w:szCs w:val="24"/>
              </w:rPr>
            </w:pPr>
            <w:r>
              <w:rPr>
                <w:rFonts w:ascii="宋体" w:hAnsi="宋体" w:eastAsia="宋体" w:cs="Times New Roman"/>
                <w:b/>
                <w:szCs w:val="24"/>
              </w:rPr>
              <w:t>评价环节</w:t>
            </w:r>
          </w:p>
        </w:tc>
        <w:tc>
          <w:tcPr>
            <w:tcW w:w="707" w:type="dxa"/>
            <w:shd w:val="clear" w:color="auto" w:fill="FFFFFF"/>
            <w:vAlign w:val="center"/>
          </w:tcPr>
          <w:p w14:paraId="1829192D">
            <w:pPr>
              <w:jc w:val="center"/>
              <w:rPr>
                <w:rFonts w:ascii="宋体" w:hAnsi="宋体" w:eastAsia="宋体" w:cs="Times New Roman"/>
                <w:b/>
                <w:szCs w:val="24"/>
              </w:rPr>
            </w:pPr>
            <w:r>
              <w:rPr>
                <w:rFonts w:hint="eastAsia" w:ascii="宋体" w:hAnsi="宋体" w:eastAsia="宋体" w:cs="Times New Roman"/>
                <w:b/>
                <w:szCs w:val="24"/>
              </w:rPr>
              <w:t>权重</w:t>
            </w:r>
          </w:p>
        </w:tc>
        <w:tc>
          <w:tcPr>
            <w:tcW w:w="2688" w:type="dxa"/>
            <w:shd w:val="clear" w:color="auto" w:fill="FFFFFF"/>
            <w:vAlign w:val="center"/>
          </w:tcPr>
          <w:p w14:paraId="4055D1EC">
            <w:pPr>
              <w:jc w:val="center"/>
              <w:rPr>
                <w:rFonts w:ascii="宋体" w:hAnsi="宋体" w:eastAsia="宋体" w:cs="Times New Roman"/>
                <w:b/>
                <w:szCs w:val="24"/>
              </w:rPr>
            </w:pPr>
            <w:r>
              <w:rPr>
                <w:rFonts w:ascii="宋体" w:hAnsi="宋体" w:eastAsia="宋体" w:cs="Times New Roman"/>
                <w:b/>
                <w:szCs w:val="24"/>
              </w:rPr>
              <w:t>考核/评价细则</w:t>
            </w:r>
          </w:p>
        </w:tc>
        <w:tc>
          <w:tcPr>
            <w:tcW w:w="1274" w:type="dxa"/>
            <w:shd w:val="clear" w:color="auto" w:fill="FFFFFF"/>
          </w:tcPr>
          <w:p w14:paraId="01A65B56">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5E228A8C">
            <w:pPr>
              <w:jc w:val="center"/>
              <w:rPr>
                <w:rFonts w:ascii="宋体" w:hAnsi="宋体" w:eastAsia="宋体" w:cs="Times New Roman"/>
                <w:b/>
                <w:szCs w:val="24"/>
              </w:rPr>
            </w:pPr>
            <w:r>
              <w:rPr>
                <w:rFonts w:hint="eastAsia" w:ascii="宋体" w:hAnsi="宋体" w:eastAsia="宋体" w:cs="Times New Roman"/>
                <w:b/>
                <w:szCs w:val="24"/>
              </w:rPr>
              <w:t>目标</w:t>
            </w:r>
          </w:p>
        </w:tc>
        <w:tc>
          <w:tcPr>
            <w:tcW w:w="1274" w:type="dxa"/>
            <w:shd w:val="clear" w:color="auto" w:fill="FFFFFF"/>
          </w:tcPr>
          <w:p w14:paraId="293D6A65">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31412475">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274" w:type="dxa"/>
            <w:shd w:val="clear" w:color="auto" w:fill="FFFFFF"/>
            <w:vAlign w:val="center"/>
          </w:tcPr>
          <w:p w14:paraId="2D364BDE">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15A4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9" w:hRule="atLeast"/>
        </w:trPr>
        <w:tc>
          <w:tcPr>
            <w:tcW w:w="623" w:type="dxa"/>
            <w:tcMar>
              <w:left w:w="57" w:type="dxa"/>
              <w:right w:w="57" w:type="dxa"/>
            </w:tcMar>
            <w:vAlign w:val="center"/>
          </w:tcPr>
          <w:p w14:paraId="5795AFC4">
            <w:pPr>
              <w:jc w:val="center"/>
              <w:rPr>
                <w:rFonts w:ascii="宋体" w:hAnsi="宋体" w:eastAsia="宋体" w:cs="Times New Roman"/>
                <w:szCs w:val="24"/>
              </w:rPr>
            </w:pPr>
            <w:r>
              <w:rPr>
                <w:rFonts w:ascii="宋体" w:hAnsi="宋体" w:eastAsia="宋体" w:cs="Times New Roman"/>
                <w:szCs w:val="24"/>
              </w:rPr>
              <w:t>平时成绩</w:t>
            </w:r>
          </w:p>
        </w:tc>
        <w:tc>
          <w:tcPr>
            <w:tcW w:w="1132" w:type="dxa"/>
            <w:vAlign w:val="center"/>
          </w:tcPr>
          <w:p w14:paraId="1DC6F792">
            <w:pPr>
              <w:jc w:val="center"/>
              <w:rPr>
                <w:rFonts w:ascii="宋体" w:hAnsi="宋体" w:eastAsia="宋体" w:cs="Times New Roman"/>
                <w:szCs w:val="24"/>
              </w:rPr>
            </w:pPr>
            <w:r>
              <w:rPr>
                <w:rFonts w:hint="eastAsia" w:ascii="宋体" w:hAnsi="宋体" w:eastAsia="宋体" w:cs="Times New Roman"/>
                <w:szCs w:val="24"/>
              </w:rPr>
              <w:t>课堂考勤及</w:t>
            </w:r>
          </w:p>
          <w:p w14:paraId="5D287BFE">
            <w:pPr>
              <w:jc w:val="center"/>
              <w:rPr>
                <w:rFonts w:ascii="宋体" w:hAnsi="宋体" w:eastAsia="宋体" w:cs="Times New Roman"/>
                <w:szCs w:val="24"/>
              </w:rPr>
            </w:pPr>
            <w:r>
              <w:rPr>
                <w:rFonts w:ascii="宋体" w:hAnsi="宋体" w:eastAsia="宋体" w:cs="Times New Roman"/>
                <w:szCs w:val="24"/>
              </w:rPr>
              <w:t>平时作业</w:t>
            </w:r>
          </w:p>
        </w:tc>
        <w:tc>
          <w:tcPr>
            <w:tcW w:w="707" w:type="dxa"/>
            <w:vAlign w:val="center"/>
          </w:tcPr>
          <w:p w14:paraId="22B5A04A">
            <w:pPr>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688" w:type="dxa"/>
            <w:vAlign w:val="center"/>
          </w:tcPr>
          <w:p w14:paraId="7EE4A77B">
            <w:pPr>
              <w:ind w:firstLine="420" w:firstLineChars="200"/>
              <w:rPr>
                <w:rFonts w:ascii="宋体" w:hAnsi="宋体" w:eastAsia="宋体" w:cs="Times New Roman"/>
                <w:szCs w:val="24"/>
              </w:rPr>
            </w:pPr>
            <w:r>
              <w:rPr>
                <w:rFonts w:hint="eastAsia" w:ascii="宋体" w:hAnsi="宋体" w:eastAsia="宋体" w:cs="Times New Roman"/>
                <w:szCs w:val="24"/>
              </w:rPr>
              <w:t>其中课堂考勤占20%，平时作业占80%。</w:t>
            </w:r>
          </w:p>
          <w:p w14:paraId="253E00C7">
            <w:pPr>
              <w:ind w:firstLine="420" w:firstLineChars="200"/>
              <w:jc w:val="left"/>
              <w:rPr>
                <w:rFonts w:ascii="宋体" w:hAnsi="宋体" w:eastAsia="宋体" w:cs="Times New Roman"/>
                <w:szCs w:val="21"/>
              </w:rPr>
            </w:pPr>
            <w:r>
              <w:rPr>
                <w:rFonts w:hint="eastAsia" w:ascii="宋体" w:hAnsi="宋体" w:eastAsia="宋体" w:cs="Times New Roman"/>
                <w:szCs w:val="21"/>
              </w:rPr>
              <w:t>课堂考勤：病假和事假一次扣5分，无故缺席一次扣10分，无故缺席累积达5次以上（不含5次）取消课程成绩。</w:t>
            </w:r>
          </w:p>
          <w:p w14:paraId="088081CF">
            <w:pPr>
              <w:ind w:firstLine="420" w:firstLineChars="200"/>
              <w:rPr>
                <w:rFonts w:ascii="宋体" w:hAnsi="宋体" w:eastAsia="宋体" w:cs="Times New Roman"/>
                <w:szCs w:val="24"/>
              </w:rPr>
            </w:pPr>
            <w:r>
              <w:rPr>
                <w:rFonts w:hint="eastAsia" w:ascii="宋体" w:hAnsi="宋体" w:eastAsia="宋体" w:cs="Times New Roman"/>
                <w:szCs w:val="24"/>
              </w:rPr>
              <w:t>平时作业：</w:t>
            </w:r>
            <w:r>
              <w:rPr>
                <w:rFonts w:ascii="宋体" w:hAnsi="宋体" w:eastAsia="宋体" w:cs="Times New Roman"/>
                <w:szCs w:val="24"/>
              </w:rPr>
              <w:t>课后完成</w:t>
            </w:r>
            <w:r>
              <w:rPr>
                <w:rFonts w:hint="eastAsia" w:ascii="宋体" w:hAnsi="宋体" w:eastAsia="宋体" w:cs="Times New Roman"/>
                <w:szCs w:val="24"/>
              </w:rPr>
              <w:t>5次作业</w:t>
            </w:r>
            <w:r>
              <w:rPr>
                <w:rFonts w:ascii="宋体" w:hAnsi="宋体" w:eastAsia="宋体" w:cs="Times New Roman"/>
                <w:szCs w:val="24"/>
              </w:rPr>
              <w:t>，主要考核学生对每节课知识点的复习、理解和掌握程度，计算全部作业的平均成绩。</w:t>
            </w:r>
          </w:p>
        </w:tc>
        <w:tc>
          <w:tcPr>
            <w:tcW w:w="1274" w:type="dxa"/>
            <w:vAlign w:val="center"/>
          </w:tcPr>
          <w:p w14:paraId="1A207F0D">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1</w:t>
            </w:r>
          </w:p>
          <w:p w14:paraId="7C0B6F65">
            <w:pPr>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2课程目标3</w:t>
            </w:r>
          </w:p>
          <w:p w14:paraId="24AA6C81">
            <w:pPr>
              <w:jc w:val="center"/>
              <w:rPr>
                <w:rFonts w:ascii="宋体" w:hAnsi="宋体" w:eastAsia="宋体" w:cs="Times New Roman"/>
                <w:szCs w:val="24"/>
              </w:rPr>
            </w:pPr>
            <w:r>
              <w:rPr>
                <w:rFonts w:hint="eastAsia" w:ascii="宋体" w:hAnsi="宋体" w:eastAsia="宋体" w:cs="Times New Roman"/>
                <w:szCs w:val="24"/>
              </w:rPr>
              <w:t>课程目标4</w:t>
            </w:r>
            <w:r>
              <w:rPr>
                <w:rFonts w:ascii="宋体" w:hAnsi="宋体" w:eastAsia="宋体" w:cs="Times New Roman"/>
                <w:szCs w:val="24"/>
              </w:rPr>
              <w:t>课程目标</w:t>
            </w:r>
            <w:r>
              <w:rPr>
                <w:rFonts w:hint="eastAsia" w:ascii="宋体" w:hAnsi="宋体" w:eastAsia="宋体" w:cs="Times New Roman"/>
                <w:szCs w:val="24"/>
              </w:rPr>
              <w:t>5</w:t>
            </w:r>
          </w:p>
        </w:tc>
        <w:tc>
          <w:tcPr>
            <w:tcW w:w="1274" w:type="dxa"/>
            <w:vAlign w:val="center"/>
          </w:tcPr>
          <w:p w14:paraId="1D8DD7B3">
            <w:pPr>
              <w:jc w:val="center"/>
              <w:rPr>
                <w:rFonts w:ascii="宋体" w:hAnsi="宋体" w:eastAsia="宋体" w:cs="宋体"/>
                <w:kern w:val="0"/>
                <w:szCs w:val="21"/>
              </w:rPr>
            </w:pPr>
            <w:r>
              <w:rPr>
                <w:rFonts w:hint="eastAsia" w:ascii="宋体" w:hAnsi="宋体" w:eastAsia="宋体" w:cs="Times New Roman"/>
                <w:szCs w:val="24"/>
              </w:rPr>
              <w:t>中小学机器人教育现状、教育机器人设计与实践方法、机器人竞赛项目设计与实践、机器人社团活动指导方法。</w:t>
            </w:r>
          </w:p>
        </w:tc>
        <w:tc>
          <w:tcPr>
            <w:tcW w:w="1274" w:type="dxa"/>
            <w:vAlign w:val="center"/>
          </w:tcPr>
          <w:p w14:paraId="1A429A30">
            <w:pPr>
              <w:jc w:val="center"/>
              <w:rPr>
                <w:rFonts w:ascii="宋体" w:hAnsi="宋体" w:eastAsia="宋体" w:cs="Times New Roman"/>
                <w:szCs w:val="24"/>
              </w:rPr>
            </w:pPr>
            <w:r>
              <w:rPr>
                <w:rFonts w:ascii="宋体" w:hAnsi="宋体" w:eastAsia="宋体" w:cs="Times New Roman"/>
                <w:szCs w:val="21"/>
              </w:rPr>
              <w:t xml:space="preserve"> </w:t>
            </w: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1、3-2、3-3、6</w:t>
            </w:r>
            <w:r>
              <w:rPr>
                <w:rFonts w:ascii="宋体" w:hAnsi="宋体" w:eastAsia="宋体" w:cs="Times New Roman"/>
                <w:szCs w:val="21"/>
              </w:rPr>
              <w:t>-</w:t>
            </w:r>
            <w:r>
              <w:rPr>
                <w:rFonts w:hint="eastAsia" w:ascii="宋体" w:hAnsi="宋体" w:eastAsia="宋体" w:cs="Times New Roman"/>
                <w:szCs w:val="21"/>
              </w:rPr>
              <w:t>2、6-3</w:t>
            </w:r>
          </w:p>
        </w:tc>
      </w:tr>
      <w:tr w14:paraId="1562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6" w:hRule="atLeast"/>
        </w:trPr>
        <w:tc>
          <w:tcPr>
            <w:tcW w:w="623" w:type="dxa"/>
            <w:tcMar>
              <w:left w:w="57" w:type="dxa"/>
              <w:right w:w="57" w:type="dxa"/>
            </w:tcMar>
            <w:vAlign w:val="center"/>
          </w:tcPr>
          <w:p w14:paraId="1CE618CD">
            <w:pPr>
              <w:jc w:val="center"/>
              <w:rPr>
                <w:rFonts w:ascii="宋体" w:hAnsi="宋体" w:eastAsia="宋体" w:cs="Times New Roman"/>
                <w:szCs w:val="24"/>
              </w:rPr>
            </w:pPr>
            <w:r>
              <w:rPr>
                <w:rFonts w:hint="eastAsia" w:ascii="宋体" w:hAnsi="宋体" w:eastAsia="宋体" w:cs="Times New Roman"/>
                <w:szCs w:val="24"/>
              </w:rPr>
              <w:t>实验</w:t>
            </w:r>
            <w:r>
              <w:rPr>
                <w:rFonts w:ascii="宋体" w:hAnsi="宋体" w:eastAsia="宋体" w:cs="Times New Roman"/>
                <w:szCs w:val="24"/>
              </w:rPr>
              <w:t>成绩</w:t>
            </w:r>
          </w:p>
        </w:tc>
        <w:tc>
          <w:tcPr>
            <w:tcW w:w="1132" w:type="dxa"/>
            <w:vAlign w:val="center"/>
          </w:tcPr>
          <w:p w14:paraId="102B58F3">
            <w:pPr>
              <w:jc w:val="center"/>
              <w:rPr>
                <w:rFonts w:ascii="宋体" w:hAnsi="宋体" w:eastAsia="宋体" w:cs="Times New Roman"/>
                <w:szCs w:val="24"/>
              </w:rPr>
            </w:pPr>
            <w:r>
              <w:rPr>
                <w:rFonts w:ascii="宋体" w:hAnsi="宋体" w:eastAsia="宋体" w:cs="Times New Roman"/>
                <w:szCs w:val="24"/>
              </w:rPr>
              <w:t>课程</w:t>
            </w:r>
            <w:r>
              <w:rPr>
                <w:rFonts w:hint="eastAsia" w:ascii="宋体" w:hAnsi="宋体" w:eastAsia="宋体" w:cs="Times New Roman"/>
                <w:szCs w:val="24"/>
              </w:rPr>
              <w:t>实验</w:t>
            </w:r>
          </w:p>
        </w:tc>
        <w:tc>
          <w:tcPr>
            <w:tcW w:w="707" w:type="dxa"/>
            <w:vAlign w:val="center"/>
          </w:tcPr>
          <w:p w14:paraId="5E733BA6">
            <w:pPr>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688" w:type="dxa"/>
            <w:vAlign w:val="center"/>
          </w:tcPr>
          <w:p w14:paraId="073B67F9">
            <w:pPr>
              <w:ind w:firstLine="420" w:firstLineChars="200"/>
              <w:rPr>
                <w:rFonts w:ascii="宋体" w:hAnsi="宋体" w:eastAsia="宋体" w:cs="Times New Roman"/>
                <w:szCs w:val="21"/>
              </w:rPr>
            </w:pPr>
            <w:r>
              <w:rPr>
                <w:rFonts w:ascii="宋体" w:hAnsi="宋体" w:eastAsia="宋体" w:cs="Times New Roman"/>
                <w:szCs w:val="21"/>
              </w:rPr>
              <w:t>完成</w:t>
            </w:r>
            <w:r>
              <w:rPr>
                <w:rFonts w:hint="eastAsia" w:ascii="宋体" w:hAnsi="宋体" w:eastAsia="宋体" w:cs="Times New Roman"/>
                <w:szCs w:val="21"/>
              </w:rPr>
              <w:t>8</w:t>
            </w:r>
            <w:r>
              <w:rPr>
                <w:rFonts w:ascii="宋体" w:hAnsi="宋体" w:eastAsia="宋体" w:cs="Times New Roman"/>
                <w:szCs w:val="21"/>
              </w:rPr>
              <w:t>个</w:t>
            </w:r>
            <w:r>
              <w:rPr>
                <w:rFonts w:hint="eastAsia" w:ascii="宋体" w:hAnsi="宋体" w:eastAsia="宋体" w:cs="Times New Roman"/>
                <w:szCs w:val="21"/>
              </w:rPr>
              <w:t>实验活动</w:t>
            </w:r>
            <w:r>
              <w:rPr>
                <w:rFonts w:ascii="宋体" w:hAnsi="宋体" w:eastAsia="宋体" w:cs="Times New Roman"/>
                <w:szCs w:val="21"/>
              </w:rPr>
              <w:t>，主要考核学生</w:t>
            </w:r>
            <w:r>
              <w:rPr>
                <w:rFonts w:hint="eastAsia" w:ascii="宋体" w:hAnsi="宋体" w:eastAsia="宋体" w:cs="Times New Roman"/>
                <w:szCs w:val="21"/>
              </w:rPr>
              <w:t>教育机器人设计与与实践能力、机器人竞赛</w:t>
            </w:r>
            <w:r>
              <w:rPr>
                <w:rFonts w:ascii="宋体" w:hAnsi="宋体" w:eastAsia="宋体" w:cs="Times New Roman"/>
                <w:szCs w:val="21"/>
              </w:rPr>
              <w:t>教育活动设计与组织指导能力</w:t>
            </w:r>
            <w:r>
              <w:rPr>
                <w:rFonts w:hint="eastAsia" w:ascii="宋体" w:hAnsi="宋体" w:eastAsia="宋体" w:cs="Times New Roman"/>
                <w:szCs w:val="21"/>
              </w:rPr>
              <w:t>。每个实验作业按百分制分别给出成绩。8个实验成绩平均后得到实践总评成绩并</w:t>
            </w:r>
            <w:r>
              <w:rPr>
                <w:rFonts w:ascii="宋体" w:hAnsi="宋体" w:eastAsia="宋体" w:cs="Times New Roman"/>
                <w:szCs w:val="21"/>
              </w:rPr>
              <w:t>按</w:t>
            </w:r>
            <w:r>
              <w:rPr>
                <w:rFonts w:hint="eastAsia" w:ascii="宋体" w:hAnsi="宋体" w:eastAsia="宋体" w:cs="Times New Roman"/>
                <w:szCs w:val="21"/>
              </w:rPr>
              <w:t>2</w:t>
            </w:r>
            <w:r>
              <w:rPr>
                <w:rFonts w:ascii="宋体" w:hAnsi="宋体" w:eastAsia="宋体" w:cs="Times New Roman"/>
                <w:szCs w:val="21"/>
              </w:rPr>
              <w:t>0%计入课程总成绩。</w:t>
            </w:r>
          </w:p>
        </w:tc>
        <w:tc>
          <w:tcPr>
            <w:tcW w:w="1274" w:type="dxa"/>
          </w:tcPr>
          <w:p w14:paraId="7B7A49A3">
            <w:pPr>
              <w:rPr>
                <w:rFonts w:ascii="宋体" w:hAnsi="宋体" w:eastAsia="宋体" w:cs="Times New Roman"/>
                <w:kern w:val="0"/>
                <w:sz w:val="24"/>
              </w:rPr>
            </w:pPr>
          </w:p>
          <w:p w14:paraId="52B939AC">
            <w:pPr>
              <w:rPr>
                <w:rFonts w:ascii="宋体" w:hAnsi="宋体" w:eastAsia="宋体" w:cs="Times New Roman"/>
                <w:kern w:val="0"/>
                <w:sz w:val="24"/>
              </w:rPr>
            </w:pPr>
          </w:p>
          <w:p w14:paraId="2B73E243">
            <w:pPr>
              <w:rPr>
                <w:rFonts w:ascii="宋体" w:hAnsi="宋体" w:eastAsia="宋体" w:cs="Times New Roman"/>
                <w:kern w:val="0"/>
                <w:sz w:val="24"/>
              </w:rPr>
            </w:pPr>
          </w:p>
          <w:p w14:paraId="1AC312E2">
            <w:pPr>
              <w:rPr>
                <w:rFonts w:ascii="宋体" w:hAnsi="宋体" w:eastAsia="宋体" w:cs="Times New Roman"/>
                <w:kern w:val="0"/>
                <w:sz w:val="24"/>
              </w:rPr>
            </w:pPr>
          </w:p>
          <w:p w14:paraId="23E2965B">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7DE643BC">
            <w:pPr>
              <w:jc w:val="center"/>
              <w:rPr>
                <w:rFonts w:ascii="宋体" w:hAnsi="宋体" w:eastAsia="宋体" w:cs="Times New Roman"/>
                <w:kern w:val="0"/>
                <w:sz w:val="24"/>
              </w:rPr>
            </w:pPr>
            <w:r>
              <w:rPr>
                <w:rFonts w:hint="eastAsia" w:ascii="宋体" w:hAnsi="宋体" w:eastAsia="宋体" w:cs="Times New Roman"/>
                <w:szCs w:val="24"/>
              </w:rPr>
              <w:t>课程目标</w:t>
            </w:r>
            <w:r>
              <w:rPr>
                <w:rFonts w:ascii="宋体" w:hAnsi="宋体" w:eastAsia="宋体" w:cs="Times New Roman"/>
                <w:szCs w:val="24"/>
              </w:rPr>
              <w:t>3课程目标4</w:t>
            </w:r>
          </w:p>
        </w:tc>
        <w:tc>
          <w:tcPr>
            <w:tcW w:w="1274" w:type="dxa"/>
            <w:vAlign w:val="center"/>
          </w:tcPr>
          <w:p w14:paraId="046DDE88">
            <w:pPr>
              <w:jc w:val="center"/>
              <w:rPr>
                <w:rFonts w:ascii="宋体" w:hAnsi="宋体" w:eastAsia="宋体" w:cs="Times New Roman"/>
                <w:kern w:val="0"/>
                <w:sz w:val="24"/>
              </w:rPr>
            </w:pPr>
            <w:r>
              <w:rPr>
                <w:rFonts w:hint="eastAsia" w:ascii="宋体" w:hAnsi="宋体" w:eastAsia="宋体" w:cs="宋体"/>
                <w:kern w:val="0"/>
                <w:szCs w:val="21"/>
              </w:rPr>
              <w:t>教育机器人设计与实践方法、机器人竞赛项目设计与实践</w:t>
            </w:r>
          </w:p>
        </w:tc>
        <w:tc>
          <w:tcPr>
            <w:tcW w:w="1274" w:type="dxa"/>
            <w:vAlign w:val="center"/>
          </w:tcPr>
          <w:p w14:paraId="650EF2BE">
            <w:pPr>
              <w:jc w:val="center"/>
              <w:rPr>
                <w:rFonts w:ascii="宋体" w:hAnsi="宋体" w:eastAsia="宋体" w:cs="Times New Roman"/>
                <w:kern w:val="0"/>
                <w:sz w:val="24"/>
              </w:rPr>
            </w:pPr>
            <w:r>
              <w:rPr>
                <w:rFonts w:hint="eastAsia" w:ascii="宋体" w:hAnsi="宋体" w:eastAsia="宋体" w:cs="Times New Roman"/>
                <w:szCs w:val="21"/>
              </w:rPr>
              <w:t>3-2、3-3、6</w:t>
            </w:r>
            <w:r>
              <w:rPr>
                <w:rFonts w:ascii="宋体" w:hAnsi="宋体" w:eastAsia="宋体" w:cs="Times New Roman"/>
                <w:szCs w:val="21"/>
              </w:rPr>
              <w:t>-</w:t>
            </w:r>
            <w:r>
              <w:rPr>
                <w:rFonts w:hint="eastAsia" w:ascii="宋体" w:hAnsi="宋体" w:eastAsia="宋体" w:cs="Times New Roman"/>
                <w:szCs w:val="21"/>
              </w:rPr>
              <w:t>2</w:t>
            </w:r>
          </w:p>
        </w:tc>
      </w:tr>
      <w:tr w14:paraId="25C8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trPr>
        <w:tc>
          <w:tcPr>
            <w:tcW w:w="623" w:type="dxa"/>
            <w:tcMar>
              <w:left w:w="57" w:type="dxa"/>
              <w:right w:w="57" w:type="dxa"/>
            </w:tcMar>
            <w:vAlign w:val="center"/>
          </w:tcPr>
          <w:p w14:paraId="15D4D765">
            <w:pPr>
              <w:jc w:val="center"/>
              <w:rPr>
                <w:rFonts w:ascii="宋体" w:hAnsi="宋体" w:eastAsia="宋体" w:cs="Times New Roman"/>
                <w:szCs w:val="24"/>
              </w:rPr>
            </w:pPr>
            <w:r>
              <w:rPr>
                <w:rFonts w:ascii="宋体" w:hAnsi="宋体" w:eastAsia="宋体" w:cs="Times New Roman"/>
                <w:szCs w:val="24"/>
              </w:rPr>
              <w:t>期末考试</w:t>
            </w:r>
          </w:p>
        </w:tc>
        <w:tc>
          <w:tcPr>
            <w:tcW w:w="1132" w:type="dxa"/>
            <w:vAlign w:val="center"/>
          </w:tcPr>
          <w:p w14:paraId="0B9D655D">
            <w:pPr>
              <w:jc w:val="center"/>
              <w:rPr>
                <w:rFonts w:ascii="宋体" w:hAnsi="宋体" w:eastAsia="宋体" w:cs="Times New Roman"/>
                <w:szCs w:val="24"/>
              </w:rPr>
            </w:pPr>
            <w:r>
              <w:rPr>
                <w:rFonts w:ascii="宋体" w:hAnsi="宋体" w:eastAsia="宋体" w:cs="Times New Roman"/>
                <w:szCs w:val="24"/>
              </w:rPr>
              <w:t>期末考试</w:t>
            </w:r>
          </w:p>
          <w:p w14:paraId="33EBDD15">
            <w:pPr>
              <w:jc w:val="center"/>
              <w:rPr>
                <w:rFonts w:ascii="宋体" w:hAnsi="宋体" w:eastAsia="宋体" w:cs="Times New Roman"/>
                <w:szCs w:val="24"/>
              </w:rPr>
            </w:pPr>
            <w:r>
              <w:rPr>
                <w:rFonts w:hint="eastAsia" w:ascii="宋体" w:hAnsi="宋体" w:eastAsia="宋体" w:cs="Times New Roman"/>
                <w:szCs w:val="24"/>
              </w:rPr>
              <w:t>卷面</w:t>
            </w:r>
            <w:r>
              <w:rPr>
                <w:rFonts w:ascii="宋体" w:hAnsi="宋体" w:eastAsia="宋体" w:cs="Times New Roman"/>
                <w:szCs w:val="24"/>
              </w:rPr>
              <w:t>成绩</w:t>
            </w:r>
          </w:p>
        </w:tc>
        <w:tc>
          <w:tcPr>
            <w:tcW w:w="707" w:type="dxa"/>
            <w:vAlign w:val="center"/>
          </w:tcPr>
          <w:p w14:paraId="6609C52D">
            <w:pPr>
              <w:jc w:val="center"/>
              <w:rPr>
                <w:rFonts w:ascii="宋体" w:hAnsi="宋体" w:eastAsia="宋体" w:cs="Times New Roman"/>
                <w:szCs w:val="24"/>
              </w:rPr>
            </w:pPr>
            <w:r>
              <w:rPr>
                <w:rFonts w:ascii="宋体" w:hAnsi="宋体" w:eastAsia="宋体" w:cs="Times New Roman"/>
                <w:szCs w:val="24"/>
              </w:rPr>
              <w:t>60%</w:t>
            </w:r>
          </w:p>
        </w:tc>
        <w:tc>
          <w:tcPr>
            <w:tcW w:w="2688" w:type="dxa"/>
            <w:vAlign w:val="center"/>
          </w:tcPr>
          <w:p w14:paraId="58D0D384">
            <w:pPr>
              <w:ind w:firstLine="420" w:firstLineChars="200"/>
              <w:rPr>
                <w:rFonts w:ascii="宋体" w:hAnsi="宋体"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题型包括填空题、简答题、</w:t>
            </w:r>
            <w:r>
              <w:rPr>
                <w:rFonts w:hint="eastAsia" w:ascii="宋体" w:hAnsi="宋体" w:eastAsia="宋体" w:cs="Times New Roman"/>
                <w:szCs w:val="21"/>
              </w:rPr>
              <w:t>判断</w:t>
            </w:r>
            <w:r>
              <w:rPr>
                <w:rFonts w:ascii="宋体" w:hAnsi="宋体" w:eastAsia="宋体" w:cs="Times New Roman"/>
                <w:szCs w:val="21"/>
              </w:rPr>
              <w:t>题、</w:t>
            </w:r>
            <w:r>
              <w:rPr>
                <w:rFonts w:hint="eastAsia" w:ascii="宋体" w:hAnsi="宋体" w:eastAsia="宋体" w:cs="Times New Roman"/>
                <w:szCs w:val="21"/>
              </w:rPr>
              <w:t>程序设计</w:t>
            </w:r>
            <w:r>
              <w:rPr>
                <w:rFonts w:ascii="宋体" w:hAnsi="宋体" w:eastAsia="宋体" w:cs="Times New Roman"/>
                <w:szCs w:val="21"/>
              </w:rPr>
              <w:t>等，以卷面成绩的60%计入课程总成绩。其中考核学</w:t>
            </w:r>
            <w:r>
              <w:rPr>
                <w:rFonts w:hint="eastAsia" w:ascii="宋体" w:hAnsi="宋体" w:eastAsia="宋体" w:cs="Times New Roman"/>
                <w:szCs w:val="21"/>
              </w:rPr>
              <w:t>小学机器人</w:t>
            </w:r>
            <w:r>
              <w:rPr>
                <w:rFonts w:ascii="宋体" w:hAnsi="宋体" w:eastAsia="宋体" w:cs="Times New Roman"/>
                <w:szCs w:val="21"/>
              </w:rPr>
              <w:t>科学教育基本理论型题目占30%，考核</w:t>
            </w:r>
            <w:r>
              <w:rPr>
                <w:rFonts w:hint="eastAsia" w:ascii="宋体" w:hAnsi="宋体" w:eastAsia="宋体" w:cs="Times New Roman"/>
                <w:szCs w:val="21"/>
              </w:rPr>
              <w:t>学生</w:t>
            </w:r>
            <w:r>
              <w:rPr>
                <w:rFonts w:ascii="宋体" w:hAnsi="宋体" w:eastAsia="宋体" w:cs="Times New Roman"/>
                <w:szCs w:val="21"/>
              </w:rPr>
              <w:t>运用基本理论知识进行分析</w:t>
            </w:r>
            <w:r>
              <w:rPr>
                <w:rFonts w:hint="eastAsia" w:ascii="宋体" w:hAnsi="宋体" w:eastAsia="宋体" w:cs="Times New Roman"/>
                <w:szCs w:val="21"/>
              </w:rPr>
              <w:t>设计</w:t>
            </w:r>
            <w:r>
              <w:rPr>
                <w:rFonts w:ascii="宋体" w:hAnsi="宋体" w:eastAsia="宋体" w:cs="Times New Roman"/>
                <w:szCs w:val="21"/>
              </w:rPr>
              <w:t>能力型题目占</w:t>
            </w:r>
            <w:r>
              <w:rPr>
                <w:rFonts w:hint="eastAsia" w:ascii="宋体" w:hAnsi="宋体" w:eastAsia="宋体" w:cs="Times New Roman"/>
                <w:szCs w:val="21"/>
              </w:rPr>
              <w:t>3</w:t>
            </w:r>
            <w:r>
              <w:rPr>
                <w:rFonts w:ascii="宋体" w:hAnsi="宋体" w:eastAsia="宋体" w:cs="Times New Roman"/>
                <w:szCs w:val="21"/>
              </w:rPr>
              <w:t>0%；考核学生</w:t>
            </w:r>
            <w:r>
              <w:rPr>
                <w:rFonts w:hint="eastAsia" w:ascii="宋体" w:hAnsi="宋体" w:eastAsia="宋体" w:cs="Times New Roman"/>
                <w:szCs w:val="21"/>
              </w:rPr>
              <w:t>小学机器人</w:t>
            </w:r>
            <w:r>
              <w:rPr>
                <w:rFonts w:ascii="宋体" w:hAnsi="宋体" w:eastAsia="宋体" w:cs="Times New Roman"/>
                <w:szCs w:val="21"/>
              </w:rPr>
              <w:t>科学教育活动设计与评价能力型题目占40%。</w:t>
            </w:r>
          </w:p>
        </w:tc>
        <w:tc>
          <w:tcPr>
            <w:tcW w:w="1274" w:type="dxa"/>
          </w:tcPr>
          <w:p w14:paraId="0FC9ABFD">
            <w:pPr>
              <w:jc w:val="center"/>
              <w:rPr>
                <w:rFonts w:ascii="宋体" w:hAnsi="宋体" w:eastAsia="宋体" w:cs="Times New Roman"/>
                <w:szCs w:val="24"/>
              </w:rPr>
            </w:pPr>
          </w:p>
          <w:p w14:paraId="731129F4">
            <w:pPr>
              <w:jc w:val="center"/>
              <w:rPr>
                <w:rFonts w:ascii="宋体" w:hAnsi="宋体" w:eastAsia="宋体" w:cs="Times New Roman"/>
                <w:szCs w:val="24"/>
              </w:rPr>
            </w:pPr>
          </w:p>
          <w:p w14:paraId="083DEB39">
            <w:pPr>
              <w:jc w:val="center"/>
              <w:rPr>
                <w:rFonts w:ascii="宋体" w:hAnsi="宋体" w:eastAsia="宋体" w:cs="Times New Roman"/>
                <w:szCs w:val="24"/>
              </w:rPr>
            </w:pPr>
          </w:p>
          <w:p w14:paraId="573AFE8F">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1</w:t>
            </w:r>
          </w:p>
          <w:p w14:paraId="0CD0168C">
            <w:pPr>
              <w:jc w:val="center"/>
              <w:rPr>
                <w:rFonts w:ascii="宋体" w:hAnsi="宋体" w:eastAsia="宋体" w:cs="Times New Roman"/>
                <w:szCs w:val="24"/>
              </w:rPr>
            </w:pPr>
            <w:r>
              <w:rPr>
                <w:rFonts w:hint="eastAsia" w:ascii="宋体" w:hAnsi="宋体" w:eastAsia="宋体" w:cs="Times New Roman"/>
                <w:szCs w:val="24"/>
              </w:rPr>
              <w:t>课程目标</w:t>
            </w:r>
            <w:r>
              <w:rPr>
                <w:rFonts w:ascii="宋体" w:hAnsi="宋体" w:eastAsia="宋体" w:cs="Times New Roman"/>
                <w:szCs w:val="24"/>
              </w:rPr>
              <w:t>2课程目标3</w:t>
            </w:r>
          </w:p>
          <w:p w14:paraId="46AED01E">
            <w:pPr>
              <w:jc w:val="center"/>
              <w:rPr>
                <w:rFonts w:ascii="宋体" w:hAnsi="宋体" w:eastAsia="宋体" w:cs="Times New Roman"/>
                <w:szCs w:val="21"/>
              </w:rPr>
            </w:pPr>
            <w:r>
              <w:rPr>
                <w:rFonts w:hint="eastAsia" w:ascii="宋体" w:hAnsi="宋体" w:eastAsia="宋体" w:cs="Times New Roman"/>
                <w:szCs w:val="24"/>
              </w:rPr>
              <w:t>课程目标4</w:t>
            </w:r>
            <w:r>
              <w:rPr>
                <w:rFonts w:ascii="宋体" w:hAnsi="宋体" w:eastAsia="宋体" w:cs="Times New Roman"/>
                <w:szCs w:val="24"/>
              </w:rPr>
              <w:t>课程目标</w:t>
            </w:r>
            <w:r>
              <w:rPr>
                <w:rFonts w:hint="eastAsia" w:ascii="宋体" w:hAnsi="宋体" w:eastAsia="宋体" w:cs="Times New Roman"/>
                <w:szCs w:val="24"/>
              </w:rPr>
              <w:t>5</w:t>
            </w:r>
          </w:p>
        </w:tc>
        <w:tc>
          <w:tcPr>
            <w:tcW w:w="1274" w:type="dxa"/>
            <w:vAlign w:val="center"/>
          </w:tcPr>
          <w:p w14:paraId="7E63982C">
            <w:pPr>
              <w:jc w:val="center"/>
              <w:rPr>
                <w:rFonts w:ascii="宋体" w:hAnsi="宋体" w:eastAsia="宋体" w:cs="Times New Roman"/>
                <w:szCs w:val="21"/>
              </w:rPr>
            </w:pPr>
            <w:r>
              <w:rPr>
                <w:rFonts w:hint="eastAsia" w:ascii="宋体" w:hAnsi="宋体" w:eastAsia="宋体" w:cs="Times New Roman"/>
                <w:szCs w:val="24"/>
              </w:rPr>
              <w:t>中小学机器人教育现状、教育机器人设计与实践方法、机器人竞赛项目设计与实践、机器人社团活动指导方法。</w:t>
            </w:r>
          </w:p>
        </w:tc>
        <w:tc>
          <w:tcPr>
            <w:tcW w:w="1274" w:type="dxa"/>
            <w:vAlign w:val="center"/>
          </w:tcPr>
          <w:p w14:paraId="70B3D15D">
            <w:pPr>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1、3-2、3-3、6</w:t>
            </w:r>
            <w:r>
              <w:rPr>
                <w:rFonts w:ascii="宋体" w:hAnsi="宋体" w:eastAsia="宋体" w:cs="Times New Roman"/>
                <w:szCs w:val="21"/>
              </w:rPr>
              <w:t>-</w:t>
            </w:r>
            <w:r>
              <w:rPr>
                <w:rFonts w:hint="eastAsia" w:ascii="宋体" w:hAnsi="宋体" w:eastAsia="宋体" w:cs="Times New Roman"/>
                <w:szCs w:val="21"/>
              </w:rPr>
              <w:t>2、6-3</w:t>
            </w:r>
          </w:p>
        </w:tc>
      </w:tr>
    </w:tbl>
    <w:p w14:paraId="6E3451D0">
      <w:pPr>
        <w:spacing w:line="360" w:lineRule="auto"/>
        <w:rPr>
          <w:rFonts w:ascii="宋体" w:hAnsi="宋体" w:eastAsia="宋体" w:cs="Times New Roman"/>
          <w:sz w:val="24"/>
        </w:rPr>
      </w:pPr>
      <w:r>
        <w:rPr>
          <w:rFonts w:hint="eastAsia" w:ascii="宋体" w:hAnsi="宋体" w:eastAsia="宋体" w:cs="Times New Roman"/>
          <w:sz w:val="24"/>
        </w:rPr>
        <w:t xml:space="preserve">    </w:t>
      </w:r>
    </w:p>
    <w:p w14:paraId="4FFF94F1">
      <w:pPr>
        <w:spacing w:line="360" w:lineRule="auto"/>
        <w:ind w:firstLine="480" w:firstLineChars="200"/>
        <w:rPr>
          <w:rFonts w:ascii="宋体" w:hAnsi="宋体" w:eastAsia="宋体" w:cs="Times New Roman"/>
          <w:sz w:val="24"/>
        </w:rPr>
      </w:pPr>
      <w:r>
        <w:rPr>
          <w:rFonts w:ascii="宋体" w:hAnsi="宋体" w:eastAsia="宋体" w:cs="Times New Roman"/>
          <w:sz w:val="24"/>
        </w:rPr>
        <w:t>（三）</w:t>
      </w:r>
      <w:r>
        <w:rPr>
          <w:rFonts w:hint="eastAsia" w:ascii="宋体" w:hAnsi="宋体" w:eastAsia="宋体" w:cs="Times New Roman"/>
          <w:sz w:val="24"/>
        </w:rPr>
        <w:t>课程目标及考核方式权重分配表</w:t>
      </w:r>
    </w:p>
    <w:tbl>
      <w:tblPr>
        <w:tblStyle w:val="30"/>
        <w:tblW w:w="8903" w:type="dxa"/>
        <w:tblInd w:w="0" w:type="dxa"/>
        <w:tblLayout w:type="autofit"/>
        <w:tblCellMar>
          <w:top w:w="0" w:type="dxa"/>
          <w:left w:w="108" w:type="dxa"/>
          <w:bottom w:w="0" w:type="dxa"/>
          <w:right w:w="108" w:type="dxa"/>
        </w:tblCellMar>
      </w:tblPr>
      <w:tblGrid>
        <w:gridCol w:w="2017"/>
        <w:gridCol w:w="1790"/>
        <w:gridCol w:w="2163"/>
        <w:gridCol w:w="1816"/>
        <w:gridCol w:w="1117"/>
      </w:tblGrid>
      <w:tr w14:paraId="339CE160">
        <w:tblPrEx>
          <w:tblCellMar>
            <w:top w:w="0" w:type="dxa"/>
            <w:left w:w="108" w:type="dxa"/>
            <w:bottom w:w="0" w:type="dxa"/>
            <w:right w:w="108" w:type="dxa"/>
          </w:tblCellMar>
        </w:tblPrEx>
        <w:trPr>
          <w:trHeight w:val="266" w:hRule="atLeast"/>
        </w:trPr>
        <w:tc>
          <w:tcPr>
            <w:tcW w:w="3807"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5F9C5A69">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096" w:type="dxa"/>
            <w:gridSpan w:val="3"/>
            <w:tcBorders>
              <w:top w:val="single" w:color="auto" w:sz="8" w:space="0"/>
              <w:left w:val="nil"/>
              <w:bottom w:val="single" w:color="auto" w:sz="8" w:space="0"/>
              <w:right w:val="single" w:color="000000" w:sz="8" w:space="0"/>
            </w:tcBorders>
            <w:shd w:val="clear" w:color="auto" w:fill="auto"/>
            <w:vAlign w:val="center"/>
          </w:tcPr>
          <w:p w14:paraId="3D8BB190">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63D24E67">
        <w:tblPrEx>
          <w:tblCellMar>
            <w:top w:w="0" w:type="dxa"/>
            <w:left w:w="108" w:type="dxa"/>
            <w:bottom w:w="0" w:type="dxa"/>
            <w:right w:w="108" w:type="dxa"/>
          </w:tblCellMar>
        </w:tblPrEx>
        <w:trPr>
          <w:trHeight w:val="410" w:hRule="atLeast"/>
        </w:trPr>
        <w:tc>
          <w:tcPr>
            <w:tcW w:w="2017" w:type="dxa"/>
            <w:tcBorders>
              <w:top w:val="nil"/>
              <w:left w:val="single" w:color="auto" w:sz="8" w:space="0"/>
              <w:bottom w:val="single" w:color="auto" w:sz="8" w:space="0"/>
              <w:right w:val="single" w:color="auto" w:sz="8" w:space="0"/>
            </w:tcBorders>
            <w:shd w:val="clear" w:color="auto" w:fill="auto"/>
            <w:vAlign w:val="center"/>
          </w:tcPr>
          <w:p w14:paraId="4E906B8B">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789" w:type="dxa"/>
            <w:tcBorders>
              <w:top w:val="nil"/>
              <w:left w:val="nil"/>
              <w:bottom w:val="single" w:color="auto" w:sz="8" w:space="0"/>
              <w:right w:val="single" w:color="auto" w:sz="8" w:space="0"/>
            </w:tcBorders>
            <w:shd w:val="clear" w:color="auto" w:fill="auto"/>
            <w:vAlign w:val="center"/>
          </w:tcPr>
          <w:p w14:paraId="64DAFC1E">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2163" w:type="dxa"/>
            <w:tcBorders>
              <w:top w:val="nil"/>
              <w:left w:val="nil"/>
              <w:bottom w:val="single" w:color="auto" w:sz="8" w:space="0"/>
              <w:right w:val="single" w:color="auto" w:sz="8" w:space="0"/>
            </w:tcBorders>
            <w:shd w:val="clear" w:color="auto" w:fill="auto"/>
            <w:vAlign w:val="center"/>
          </w:tcPr>
          <w:p w14:paraId="6C750A13">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1816" w:type="dxa"/>
            <w:tcBorders>
              <w:top w:val="nil"/>
              <w:left w:val="nil"/>
              <w:bottom w:val="single" w:color="auto" w:sz="8" w:space="0"/>
              <w:right w:val="single" w:color="auto" w:sz="8" w:space="0"/>
            </w:tcBorders>
            <w:shd w:val="clear" w:color="auto" w:fill="auto"/>
            <w:vAlign w:val="center"/>
          </w:tcPr>
          <w:p w14:paraId="799CF3CE">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116" w:type="dxa"/>
            <w:tcBorders>
              <w:top w:val="nil"/>
              <w:left w:val="nil"/>
              <w:bottom w:val="single" w:color="auto" w:sz="8" w:space="0"/>
              <w:right w:val="single" w:color="auto" w:sz="8" w:space="0"/>
            </w:tcBorders>
          </w:tcPr>
          <w:p w14:paraId="68C386EA">
            <w:pPr>
              <w:widowControl/>
              <w:rPr>
                <w:rFonts w:ascii="宋体" w:hAnsi="宋体" w:eastAsia="宋体" w:cs="Times New Roman"/>
                <w:kern w:val="0"/>
                <w:szCs w:val="21"/>
              </w:rPr>
            </w:pPr>
            <w:r>
              <w:rPr>
                <w:rFonts w:hint="eastAsia" w:ascii="宋体" w:hAnsi="宋体" w:eastAsia="宋体" w:cs="Times New Roman"/>
                <w:kern w:val="0"/>
                <w:szCs w:val="21"/>
              </w:rPr>
              <w:t>考核方式权重合计</w:t>
            </w:r>
          </w:p>
        </w:tc>
      </w:tr>
      <w:tr w14:paraId="7F4E3647">
        <w:tblPrEx>
          <w:tblCellMar>
            <w:top w:w="0" w:type="dxa"/>
            <w:left w:w="108" w:type="dxa"/>
            <w:bottom w:w="0" w:type="dxa"/>
            <w:right w:w="108" w:type="dxa"/>
          </w:tblCellMar>
        </w:tblPrEx>
        <w:trPr>
          <w:trHeight w:val="247" w:hRule="atLeast"/>
        </w:trPr>
        <w:tc>
          <w:tcPr>
            <w:tcW w:w="2017" w:type="dxa"/>
            <w:vMerge w:val="restart"/>
            <w:tcBorders>
              <w:top w:val="nil"/>
              <w:left w:val="single" w:color="auto" w:sz="8" w:space="0"/>
              <w:bottom w:val="single" w:color="000000" w:sz="8" w:space="0"/>
              <w:right w:val="single" w:color="auto" w:sz="8" w:space="0"/>
            </w:tcBorders>
            <w:shd w:val="clear" w:color="auto" w:fill="auto"/>
            <w:vAlign w:val="center"/>
          </w:tcPr>
          <w:p w14:paraId="18D6ADAB">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89" w:type="dxa"/>
            <w:vMerge w:val="restart"/>
            <w:tcBorders>
              <w:top w:val="nil"/>
              <w:left w:val="single" w:color="auto" w:sz="8" w:space="0"/>
              <w:bottom w:val="single" w:color="000000" w:sz="8" w:space="0"/>
              <w:right w:val="single" w:color="auto" w:sz="8" w:space="0"/>
            </w:tcBorders>
            <w:shd w:val="clear" w:color="auto" w:fill="auto"/>
            <w:vAlign w:val="center"/>
          </w:tcPr>
          <w:p w14:paraId="205E8EC7">
            <w:pPr>
              <w:widowControl/>
              <w:jc w:val="center"/>
              <w:rPr>
                <w:rFonts w:ascii="宋体" w:hAnsi="宋体" w:eastAsia="宋体" w:cs="Times New Roman"/>
                <w:kern w:val="0"/>
                <w:szCs w:val="21"/>
              </w:rPr>
            </w:pPr>
            <w:r>
              <w:rPr>
                <w:rFonts w:hint="eastAsia" w:ascii="宋体" w:hAnsi="宋体" w:eastAsia="宋体" w:cs="Times New Roman"/>
                <w:kern w:val="0"/>
                <w:szCs w:val="21"/>
              </w:rPr>
              <w:t>15%</w:t>
            </w:r>
          </w:p>
        </w:tc>
        <w:tc>
          <w:tcPr>
            <w:tcW w:w="2163" w:type="dxa"/>
            <w:tcBorders>
              <w:top w:val="nil"/>
              <w:left w:val="nil"/>
              <w:bottom w:val="single" w:color="auto" w:sz="8" w:space="0"/>
              <w:right w:val="single" w:color="auto" w:sz="8" w:space="0"/>
            </w:tcBorders>
            <w:shd w:val="clear" w:color="auto" w:fill="auto"/>
            <w:vAlign w:val="center"/>
          </w:tcPr>
          <w:p w14:paraId="4B392373">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16" w:type="dxa"/>
            <w:tcBorders>
              <w:top w:val="nil"/>
              <w:left w:val="nil"/>
              <w:bottom w:val="single" w:color="auto" w:sz="8" w:space="0"/>
              <w:right w:val="single" w:color="auto" w:sz="8" w:space="0"/>
            </w:tcBorders>
            <w:shd w:val="clear" w:color="auto" w:fill="auto"/>
            <w:vAlign w:val="center"/>
          </w:tcPr>
          <w:p w14:paraId="3D7F6B28">
            <w:pPr>
              <w:widowControl/>
              <w:jc w:val="center"/>
              <w:rPr>
                <w:rFonts w:ascii="宋体" w:hAnsi="宋体" w:eastAsia="宋体" w:cs="Times New Roman"/>
                <w:kern w:val="0"/>
                <w:szCs w:val="21"/>
              </w:rPr>
            </w:pPr>
            <w:r>
              <w:rPr>
                <w:rFonts w:hint="eastAsia" w:ascii="宋体" w:hAnsi="宋体" w:eastAsia="宋体" w:cs="Times New Roman"/>
                <w:kern w:val="0"/>
                <w:szCs w:val="21"/>
              </w:rPr>
              <w:t>70%</w:t>
            </w:r>
            <w:r>
              <w:rPr>
                <w:rFonts w:ascii="宋体" w:hAnsi="宋体" w:eastAsia="宋体" w:cs="Times New Roman"/>
                <w:kern w:val="0"/>
                <w:szCs w:val="21"/>
              </w:rPr>
              <w:t xml:space="preserve"> </w:t>
            </w:r>
          </w:p>
        </w:tc>
        <w:tc>
          <w:tcPr>
            <w:tcW w:w="1116" w:type="dxa"/>
            <w:vMerge w:val="restart"/>
            <w:tcBorders>
              <w:top w:val="nil"/>
              <w:left w:val="nil"/>
              <w:right w:val="single" w:color="auto" w:sz="8" w:space="0"/>
            </w:tcBorders>
            <w:vAlign w:val="center"/>
          </w:tcPr>
          <w:p w14:paraId="017CB836">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7BC8C2DA">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000000" w:sz="8" w:space="0"/>
              <w:right w:val="single" w:color="auto" w:sz="8" w:space="0"/>
            </w:tcBorders>
            <w:shd w:val="clear" w:color="auto" w:fill="auto"/>
            <w:vAlign w:val="center"/>
          </w:tcPr>
          <w:p w14:paraId="5F681213">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000000" w:sz="8" w:space="0"/>
              <w:right w:val="single" w:color="auto" w:sz="8" w:space="0"/>
            </w:tcBorders>
            <w:shd w:val="clear" w:color="auto" w:fill="auto"/>
            <w:vAlign w:val="center"/>
          </w:tcPr>
          <w:p w14:paraId="0F912C3D">
            <w:pPr>
              <w:widowControl/>
              <w:jc w:val="left"/>
              <w:rPr>
                <w:rFonts w:ascii="宋体" w:hAnsi="宋体" w:eastAsia="宋体" w:cs="Times New Roman"/>
                <w:kern w:val="0"/>
                <w:szCs w:val="21"/>
              </w:rPr>
            </w:pPr>
          </w:p>
        </w:tc>
        <w:tc>
          <w:tcPr>
            <w:tcW w:w="2163" w:type="dxa"/>
            <w:tcBorders>
              <w:top w:val="nil"/>
              <w:left w:val="nil"/>
              <w:bottom w:val="single" w:color="auto" w:sz="8" w:space="0"/>
              <w:right w:val="single" w:color="auto" w:sz="8" w:space="0"/>
            </w:tcBorders>
            <w:shd w:val="clear" w:color="auto" w:fill="auto"/>
            <w:vAlign w:val="center"/>
          </w:tcPr>
          <w:p w14:paraId="52FCD052">
            <w:pPr>
              <w:widowControl/>
              <w:jc w:val="center"/>
              <w:rPr>
                <w:rFonts w:ascii="宋体" w:hAnsi="宋体" w:eastAsia="宋体" w:cs="Times New Roman"/>
                <w:kern w:val="0"/>
                <w:szCs w:val="21"/>
              </w:rPr>
            </w:pPr>
            <w:r>
              <w:rPr>
                <w:rFonts w:hint="eastAsia" w:ascii="宋体" w:hAnsi="宋体" w:eastAsia="宋体" w:cs="Times New Roman"/>
                <w:kern w:val="0"/>
                <w:szCs w:val="21"/>
              </w:rPr>
              <w:t>作业</w:t>
            </w:r>
            <w:r>
              <w:rPr>
                <w:rFonts w:ascii="宋体" w:hAnsi="宋体" w:eastAsia="宋体" w:cs="Times New Roman"/>
                <w:kern w:val="0"/>
                <w:szCs w:val="21"/>
              </w:rPr>
              <w:t>1</w:t>
            </w:r>
          </w:p>
        </w:tc>
        <w:tc>
          <w:tcPr>
            <w:tcW w:w="1816" w:type="dxa"/>
            <w:tcBorders>
              <w:top w:val="nil"/>
              <w:left w:val="nil"/>
              <w:bottom w:val="single" w:color="auto" w:sz="8" w:space="0"/>
              <w:right w:val="single" w:color="auto" w:sz="8" w:space="0"/>
            </w:tcBorders>
            <w:shd w:val="clear" w:color="auto" w:fill="auto"/>
            <w:vAlign w:val="center"/>
          </w:tcPr>
          <w:p w14:paraId="7629F73B">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6" w:type="dxa"/>
            <w:vMerge w:val="continue"/>
            <w:tcBorders>
              <w:left w:val="nil"/>
              <w:bottom w:val="single" w:color="auto" w:sz="8" w:space="0"/>
              <w:right w:val="single" w:color="auto" w:sz="8" w:space="0"/>
            </w:tcBorders>
            <w:vAlign w:val="center"/>
          </w:tcPr>
          <w:p w14:paraId="25421E7B">
            <w:pPr>
              <w:widowControl/>
              <w:jc w:val="center"/>
              <w:rPr>
                <w:rFonts w:ascii="宋体" w:hAnsi="宋体" w:eastAsia="宋体" w:cs="Times New Roman"/>
                <w:kern w:val="0"/>
                <w:szCs w:val="21"/>
              </w:rPr>
            </w:pPr>
          </w:p>
        </w:tc>
      </w:tr>
      <w:tr w14:paraId="2F9500F1">
        <w:tblPrEx>
          <w:tblCellMar>
            <w:top w:w="0" w:type="dxa"/>
            <w:left w:w="108" w:type="dxa"/>
            <w:bottom w:w="0" w:type="dxa"/>
            <w:right w:w="108" w:type="dxa"/>
          </w:tblCellMar>
        </w:tblPrEx>
        <w:trPr>
          <w:trHeight w:val="219" w:hRule="atLeast"/>
        </w:trPr>
        <w:tc>
          <w:tcPr>
            <w:tcW w:w="2017" w:type="dxa"/>
            <w:vMerge w:val="restart"/>
            <w:tcBorders>
              <w:top w:val="nil"/>
              <w:left w:val="single" w:color="auto" w:sz="8" w:space="0"/>
              <w:bottom w:val="single" w:color="000000" w:sz="8" w:space="0"/>
              <w:right w:val="single" w:color="auto" w:sz="8" w:space="0"/>
            </w:tcBorders>
            <w:shd w:val="clear" w:color="auto" w:fill="auto"/>
            <w:vAlign w:val="center"/>
          </w:tcPr>
          <w:p w14:paraId="4D2625E8">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89" w:type="dxa"/>
            <w:vMerge w:val="restart"/>
            <w:tcBorders>
              <w:top w:val="nil"/>
              <w:left w:val="single" w:color="auto" w:sz="8" w:space="0"/>
              <w:bottom w:val="single" w:color="000000" w:sz="8" w:space="0"/>
              <w:right w:val="single" w:color="auto" w:sz="8" w:space="0"/>
            </w:tcBorders>
            <w:shd w:val="clear" w:color="auto" w:fill="auto"/>
            <w:vAlign w:val="center"/>
          </w:tcPr>
          <w:p w14:paraId="77BB6512">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2163" w:type="dxa"/>
            <w:tcBorders>
              <w:top w:val="nil"/>
              <w:left w:val="nil"/>
              <w:bottom w:val="single" w:color="auto" w:sz="8" w:space="0"/>
              <w:right w:val="single" w:color="auto" w:sz="8" w:space="0"/>
            </w:tcBorders>
            <w:shd w:val="clear" w:color="auto" w:fill="auto"/>
            <w:vAlign w:val="center"/>
          </w:tcPr>
          <w:p w14:paraId="5C159DDF">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16" w:type="dxa"/>
            <w:tcBorders>
              <w:top w:val="nil"/>
              <w:left w:val="nil"/>
              <w:bottom w:val="single" w:color="auto" w:sz="8" w:space="0"/>
              <w:right w:val="single" w:color="auto" w:sz="8" w:space="0"/>
            </w:tcBorders>
            <w:shd w:val="clear" w:color="auto" w:fill="auto"/>
            <w:vAlign w:val="center"/>
          </w:tcPr>
          <w:p w14:paraId="4CAF8949">
            <w:pPr>
              <w:widowControl/>
              <w:jc w:val="center"/>
              <w:rPr>
                <w:rFonts w:ascii="宋体" w:hAnsi="宋体" w:eastAsia="宋体" w:cs="Times New Roman"/>
                <w:kern w:val="0"/>
                <w:szCs w:val="21"/>
              </w:rPr>
            </w:pPr>
            <w:r>
              <w:rPr>
                <w:rFonts w:hint="eastAsia" w:ascii="宋体" w:hAnsi="宋体" w:eastAsia="宋体" w:cs="Times New Roman"/>
                <w:kern w:val="0"/>
                <w:szCs w:val="21"/>
              </w:rPr>
              <w:t>40%</w:t>
            </w:r>
            <w:r>
              <w:rPr>
                <w:rFonts w:ascii="宋体" w:hAnsi="宋体" w:eastAsia="宋体" w:cs="Times New Roman"/>
                <w:kern w:val="0"/>
                <w:szCs w:val="21"/>
              </w:rPr>
              <w:t xml:space="preserve"> </w:t>
            </w:r>
          </w:p>
        </w:tc>
        <w:tc>
          <w:tcPr>
            <w:tcW w:w="1116" w:type="dxa"/>
            <w:vMerge w:val="restart"/>
            <w:tcBorders>
              <w:top w:val="nil"/>
              <w:left w:val="nil"/>
              <w:right w:val="single" w:color="auto" w:sz="8" w:space="0"/>
            </w:tcBorders>
            <w:vAlign w:val="center"/>
          </w:tcPr>
          <w:p w14:paraId="7B7157A1">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4975292E">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000000" w:sz="8" w:space="0"/>
              <w:right w:val="single" w:color="auto" w:sz="8" w:space="0"/>
            </w:tcBorders>
            <w:shd w:val="clear" w:color="auto" w:fill="auto"/>
            <w:vAlign w:val="center"/>
          </w:tcPr>
          <w:p w14:paraId="41229595">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000000" w:sz="8" w:space="0"/>
              <w:right w:val="single" w:color="auto" w:sz="8" w:space="0"/>
            </w:tcBorders>
            <w:shd w:val="clear" w:color="auto" w:fill="auto"/>
            <w:vAlign w:val="center"/>
          </w:tcPr>
          <w:p w14:paraId="4CDA4559">
            <w:pPr>
              <w:widowControl/>
              <w:jc w:val="left"/>
              <w:rPr>
                <w:rFonts w:ascii="宋体" w:hAnsi="宋体" w:eastAsia="宋体" w:cs="Times New Roman"/>
                <w:kern w:val="0"/>
                <w:szCs w:val="21"/>
              </w:rPr>
            </w:pPr>
          </w:p>
        </w:tc>
        <w:tc>
          <w:tcPr>
            <w:tcW w:w="2163" w:type="dxa"/>
            <w:tcBorders>
              <w:top w:val="nil"/>
              <w:left w:val="nil"/>
              <w:bottom w:val="single" w:color="auto" w:sz="8" w:space="0"/>
              <w:right w:val="single" w:color="auto" w:sz="8" w:space="0"/>
            </w:tcBorders>
            <w:shd w:val="clear" w:color="auto" w:fill="auto"/>
            <w:vAlign w:val="center"/>
          </w:tcPr>
          <w:p w14:paraId="55DA29C7">
            <w:pPr>
              <w:widowControl/>
              <w:jc w:val="center"/>
              <w:rPr>
                <w:rFonts w:ascii="宋体" w:hAnsi="宋体" w:eastAsia="宋体" w:cs="Times New Roman"/>
                <w:kern w:val="0"/>
                <w:szCs w:val="21"/>
              </w:rPr>
            </w:pPr>
            <w:r>
              <w:rPr>
                <w:rFonts w:hint="eastAsia" w:ascii="宋体" w:hAnsi="宋体" w:eastAsia="宋体" w:cs="Times New Roman"/>
                <w:kern w:val="0"/>
                <w:szCs w:val="21"/>
              </w:rPr>
              <w:t>作业2</w:t>
            </w:r>
          </w:p>
        </w:tc>
        <w:tc>
          <w:tcPr>
            <w:tcW w:w="1816" w:type="dxa"/>
            <w:tcBorders>
              <w:top w:val="nil"/>
              <w:left w:val="nil"/>
              <w:bottom w:val="single" w:color="auto" w:sz="8" w:space="0"/>
              <w:right w:val="single" w:color="auto" w:sz="8" w:space="0"/>
            </w:tcBorders>
            <w:shd w:val="clear" w:color="auto" w:fill="auto"/>
            <w:vAlign w:val="center"/>
          </w:tcPr>
          <w:p w14:paraId="78A8E507">
            <w:pPr>
              <w:widowControl/>
              <w:jc w:val="center"/>
              <w:rPr>
                <w:rFonts w:ascii="宋体" w:hAnsi="宋体" w:eastAsia="宋体" w:cs="Times New Roman"/>
                <w:kern w:val="0"/>
                <w:szCs w:val="21"/>
              </w:rPr>
            </w:pPr>
            <w:r>
              <w:rPr>
                <w:rFonts w:hint="eastAsia" w:ascii="宋体" w:hAnsi="宋体" w:eastAsia="宋体" w:cs="Times New Roman"/>
                <w:kern w:val="0"/>
                <w:szCs w:val="21"/>
              </w:rPr>
              <w:t>15%</w:t>
            </w:r>
          </w:p>
        </w:tc>
        <w:tc>
          <w:tcPr>
            <w:tcW w:w="1116" w:type="dxa"/>
            <w:vMerge w:val="continue"/>
            <w:tcBorders>
              <w:left w:val="nil"/>
              <w:right w:val="single" w:color="auto" w:sz="8" w:space="0"/>
            </w:tcBorders>
            <w:vAlign w:val="center"/>
          </w:tcPr>
          <w:p w14:paraId="332A43F1">
            <w:pPr>
              <w:widowControl/>
              <w:jc w:val="center"/>
              <w:rPr>
                <w:rFonts w:ascii="宋体" w:hAnsi="宋体" w:eastAsia="宋体" w:cs="Times New Roman"/>
                <w:kern w:val="0"/>
                <w:szCs w:val="21"/>
              </w:rPr>
            </w:pPr>
          </w:p>
        </w:tc>
      </w:tr>
      <w:tr w14:paraId="60E59A95">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000000" w:sz="8" w:space="0"/>
              <w:right w:val="single" w:color="auto" w:sz="8" w:space="0"/>
            </w:tcBorders>
            <w:shd w:val="clear" w:color="auto" w:fill="auto"/>
            <w:vAlign w:val="center"/>
          </w:tcPr>
          <w:p w14:paraId="46C00041">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000000" w:sz="8" w:space="0"/>
              <w:right w:val="single" w:color="auto" w:sz="8" w:space="0"/>
            </w:tcBorders>
            <w:shd w:val="clear" w:color="auto" w:fill="auto"/>
            <w:vAlign w:val="center"/>
          </w:tcPr>
          <w:p w14:paraId="57EBD887">
            <w:pPr>
              <w:widowControl/>
              <w:jc w:val="left"/>
              <w:rPr>
                <w:rFonts w:ascii="宋体" w:hAnsi="宋体" w:eastAsia="宋体" w:cs="Times New Roman"/>
                <w:kern w:val="0"/>
                <w:szCs w:val="21"/>
              </w:rPr>
            </w:pPr>
          </w:p>
        </w:tc>
        <w:tc>
          <w:tcPr>
            <w:tcW w:w="2163" w:type="dxa"/>
            <w:tcBorders>
              <w:top w:val="nil"/>
              <w:left w:val="nil"/>
              <w:bottom w:val="single" w:color="auto" w:sz="8" w:space="0"/>
              <w:right w:val="single" w:color="auto" w:sz="8" w:space="0"/>
            </w:tcBorders>
            <w:shd w:val="clear" w:color="auto" w:fill="auto"/>
            <w:vAlign w:val="center"/>
          </w:tcPr>
          <w:p w14:paraId="1FBF3677">
            <w:pPr>
              <w:widowControl/>
              <w:jc w:val="center"/>
              <w:rPr>
                <w:rFonts w:ascii="宋体" w:hAnsi="宋体" w:eastAsia="宋体" w:cs="Times New Roman"/>
                <w:kern w:val="0"/>
                <w:szCs w:val="21"/>
              </w:rPr>
            </w:pPr>
            <w:r>
              <w:rPr>
                <w:rFonts w:hint="eastAsia" w:ascii="宋体" w:hAnsi="宋体" w:eastAsia="宋体" w:cs="Times New Roman"/>
                <w:kern w:val="0"/>
                <w:szCs w:val="21"/>
              </w:rPr>
              <w:t>作业3</w:t>
            </w:r>
          </w:p>
        </w:tc>
        <w:tc>
          <w:tcPr>
            <w:tcW w:w="1816" w:type="dxa"/>
            <w:tcBorders>
              <w:top w:val="nil"/>
              <w:left w:val="nil"/>
              <w:bottom w:val="single" w:color="auto" w:sz="8" w:space="0"/>
              <w:right w:val="single" w:color="auto" w:sz="8" w:space="0"/>
            </w:tcBorders>
            <w:shd w:val="clear" w:color="auto" w:fill="auto"/>
            <w:vAlign w:val="center"/>
          </w:tcPr>
          <w:p w14:paraId="2FF30E4F">
            <w:pPr>
              <w:widowControl/>
              <w:jc w:val="center"/>
              <w:rPr>
                <w:rFonts w:ascii="宋体" w:hAnsi="宋体" w:eastAsia="宋体" w:cs="Times New Roman"/>
                <w:kern w:val="0"/>
                <w:szCs w:val="21"/>
              </w:rPr>
            </w:pPr>
            <w:r>
              <w:rPr>
                <w:rFonts w:hint="eastAsia" w:ascii="宋体" w:hAnsi="宋体" w:eastAsia="宋体" w:cs="Times New Roman"/>
                <w:kern w:val="0"/>
                <w:szCs w:val="21"/>
              </w:rPr>
              <w:t>15%</w:t>
            </w:r>
          </w:p>
        </w:tc>
        <w:tc>
          <w:tcPr>
            <w:tcW w:w="1116" w:type="dxa"/>
            <w:vMerge w:val="continue"/>
            <w:tcBorders>
              <w:left w:val="nil"/>
              <w:right w:val="single" w:color="auto" w:sz="8" w:space="0"/>
            </w:tcBorders>
            <w:vAlign w:val="center"/>
          </w:tcPr>
          <w:p w14:paraId="7505F7A8">
            <w:pPr>
              <w:widowControl/>
              <w:jc w:val="center"/>
              <w:rPr>
                <w:rFonts w:ascii="宋体" w:hAnsi="宋体" w:eastAsia="宋体" w:cs="Times New Roman"/>
                <w:kern w:val="0"/>
                <w:szCs w:val="21"/>
              </w:rPr>
            </w:pPr>
          </w:p>
        </w:tc>
      </w:tr>
      <w:tr w14:paraId="1BE91B28">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auto" w:sz="4" w:space="0"/>
              <w:right w:val="single" w:color="auto" w:sz="8" w:space="0"/>
            </w:tcBorders>
            <w:shd w:val="clear" w:color="auto" w:fill="auto"/>
            <w:vAlign w:val="center"/>
          </w:tcPr>
          <w:p w14:paraId="00EACA2D">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auto" w:sz="4" w:space="0"/>
              <w:right w:val="single" w:color="auto" w:sz="8" w:space="0"/>
            </w:tcBorders>
            <w:shd w:val="clear" w:color="auto" w:fill="auto"/>
            <w:vAlign w:val="center"/>
          </w:tcPr>
          <w:p w14:paraId="0DE4EC69">
            <w:pPr>
              <w:widowControl/>
              <w:jc w:val="left"/>
              <w:rPr>
                <w:rFonts w:ascii="宋体" w:hAnsi="宋体" w:eastAsia="宋体" w:cs="Times New Roman"/>
                <w:kern w:val="0"/>
                <w:szCs w:val="21"/>
              </w:rPr>
            </w:pPr>
          </w:p>
        </w:tc>
        <w:tc>
          <w:tcPr>
            <w:tcW w:w="2163" w:type="dxa"/>
            <w:tcBorders>
              <w:top w:val="nil"/>
              <w:left w:val="nil"/>
              <w:bottom w:val="single" w:color="auto" w:sz="4" w:space="0"/>
              <w:right w:val="single" w:color="auto" w:sz="8" w:space="0"/>
            </w:tcBorders>
            <w:shd w:val="clear" w:color="auto" w:fill="auto"/>
            <w:vAlign w:val="center"/>
          </w:tcPr>
          <w:p w14:paraId="72961DF3">
            <w:pPr>
              <w:widowControl/>
              <w:jc w:val="center"/>
              <w:rPr>
                <w:rFonts w:ascii="宋体" w:hAnsi="宋体" w:eastAsia="宋体" w:cs="Times New Roman"/>
                <w:kern w:val="0"/>
                <w:szCs w:val="21"/>
              </w:rPr>
            </w:pPr>
            <w:r>
              <w:rPr>
                <w:rFonts w:hint="eastAsia" w:ascii="宋体" w:hAnsi="宋体" w:eastAsia="宋体" w:cs="Times New Roman"/>
                <w:kern w:val="0"/>
                <w:szCs w:val="21"/>
              </w:rPr>
              <w:t>课内实验</w:t>
            </w:r>
          </w:p>
        </w:tc>
        <w:tc>
          <w:tcPr>
            <w:tcW w:w="1816" w:type="dxa"/>
            <w:tcBorders>
              <w:top w:val="nil"/>
              <w:left w:val="nil"/>
              <w:bottom w:val="single" w:color="auto" w:sz="4" w:space="0"/>
              <w:right w:val="single" w:color="auto" w:sz="8" w:space="0"/>
            </w:tcBorders>
            <w:shd w:val="clear" w:color="auto" w:fill="auto"/>
            <w:vAlign w:val="center"/>
          </w:tcPr>
          <w:p w14:paraId="7DB4C9BB">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6" w:type="dxa"/>
            <w:vMerge w:val="continue"/>
            <w:tcBorders>
              <w:left w:val="nil"/>
              <w:bottom w:val="single" w:color="auto" w:sz="4" w:space="0"/>
              <w:right w:val="single" w:color="auto" w:sz="8" w:space="0"/>
            </w:tcBorders>
            <w:vAlign w:val="center"/>
          </w:tcPr>
          <w:p w14:paraId="5E8FEE9E">
            <w:pPr>
              <w:widowControl/>
              <w:jc w:val="center"/>
              <w:rPr>
                <w:rFonts w:ascii="宋体" w:hAnsi="宋体" w:eastAsia="宋体" w:cs="Times New Roman"/>
                <w:kern w:val="0"/>
                <w:szCs w:val="21"/>
              </w:rPr>
            </w:pPr>
          </w:p>
        </w:tc>
      </w:tr>
      <w:tr w14:paraId="372807B0">
        <w:tblPrEx>
          <w:tblCellMar>
            <w:top w:w="0" w:type="dxa"/>
            <w:left w:w="108" w:type="dxa"/>
            <w:bottom w:w="0" w:type="dxa"/>
            <w:right w:w="108" w:type="dxa"/>
          </w:tblCellMar>
        </w:tblPrEx>
        <w:trPr>
          <w:trHeight w:val="219" w:hRule="atLeast"/>
        </w:trPr>
        <w:tc>
          <w:tcPr>
            <w:tcW w:w="2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6C3639">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D1EFF8">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613C16C9">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428BFBF8">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116" w:type="dxa"/>
            <w:vMerge w:val="restart"/>
            <w:tcBorders>
              <w:top w:val="single" w:color="auto" w:sz="4" w:space="0"/>
              <w:left w:val="single" w:color="auto" w:sz="4" w:space="0"/>
              <w:right w:val="single" w:color="auto" w:sz="4" w:space="0"/>
            </w:tcBorders>
            <w:vAlign w:val="center"/>
          </w:tcPr>
          <w:p w14:paraId="1549930B">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62FC3140">
        <w:tblPrEx>
          <w:tblCellMar>
            <w:top w:w="0" w:type="dxa"/>
            <w:left w:w="108" w:type="dxa"/>
            <w:bottom w:w="0" w:type="dxa"/>
            <w:right w:w="108" w:type="dxa"/>
          </w:tblCellMar>
        </w:tblPrEx>
        <w:trPr>
          <w:trHeight w:val="219" w:hRule="atLeast"/>
        </w:trPr>
        <w:tc>
          <w:tcPr>
            <w:tcW w:w="20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D19FC7">
            <w:pPr>
              <w:widowControl/>
              <w:jc w:val="left"/>
              <w:rPr>
                <w:rFonts w:ascii="宋体" w:hAnsi="宋体" w:eastAsia="宋体" w:cs="Times New Roman"/>
                <w:kern w:val="0"/>
                <w:szCs w:val="21"/>
              </w:rPr>
            </w:pP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3705B">
            <w:pPr>
              <w:widowControl/>
              <w:jc w:val="left"/>
              <w:rPr>
                <w:rFonts w:ascii="宋体" w:hAnsi="宋体" w:eastAsia="宋体" w:cs="Times New Roman"/>
                <w:kern w:val="0"/>
                <w:szCs w:val="21"/>
              </w:rPr>
            </w:pP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591EA1C6">
            <w:pPr>
              <w:widowControl/>
              <w:jc w:val="center"/>
              <w:rPr>
                <w:rFonts w:ascii="宋体" w:hAnsi="宋体" w:eastAsia="宋体" w:cs="Times New Roman"/>
                <w:kern w:val="0"/>
                <w:szCs w:val="21"/>
              </w:rPr>
            </w:pPr>
            <w:r>
              <w:rPr>
                <w:rFonts w:hint="eastAsia" w:ascii="宋体" w:hAnsi="宋体" w:eastAsia="宋体" w:cs="Times New Roman"/>
                <w:kern w:val="0"/>
                <w:szCs w:val="21"/>
              </w:rPr>
              <w:t>作业4</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3648682C">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6" w:type="dxa"/>
            <w:vMerge w:val="continue"/>
            <w:tcBorders>
              <w:left w:val="single" w:color="auto" w:sz="4" w:space="0"/>
              <w:right w:val="single" w:color="auto" w:sz="4" w:space="0"/>
            </w:tcBorders>
            <w:vAlign w:val="center"/>
          </w:tcPr>
          <w:p w14:paraId="05A2A222">
            <w:pPr>
              <w:widowControl/>
              <w:jc w:val="center"/>
              <w:rPr>
                <w:rFonts w:ascii="宋体" w:hAnsi="宋体" w:eastAsia="宋体" w:cs="Times New Roman"/>
                <w:kern w:val="0"/>
                <w:szCs w:val="21"/>
              </w:rPr>
            </w:pPr>
          </w:p>
        </w:tc>
      </w:tr>
      <w:tr w14:paraId="1BE0AD44">
        <w:tblPrEx>
          <w:tblCellMar>
            <w:top w:w="0" w:type="dxa"/>
            <w:left w:w="108" w:type="dxa"/>
            <w:bottom w:w="0" w:type="dxa"/>
            <w:right w:w="108" w:type="dxa"/>
          </w:tblCellMar>
        </w:tblPrEx>
        <w:trPr>
          <w:trHeight w:val="219" w:hRule="atLeast"/>
        </w:trPr>
        <w:tc>
          <w:tcPr>
            <w:tcW w:w="201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796DC">
            <w:pPr>
              <w:widowControl/>
              <w:jc w:val="left"/>
              <w:rPr>
                <w:rFonts w:ascii="宋体" w:hAnsi="宋体" w:eastAsia="宋体" w:cs="Times New Roman"/>
                <w:kern w:val="0"/>
                <w:szCs w:val="21"/>
              </w:rPr>
            </w:pPr>
          </w:p>
        </w:tc>
        <w:tc>
          <w:tcPr>
            <w:tcW w:w="17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DB3514">
            <w:pPr>
              <w:widowControl/>
              <w:jc w:val="left"/>
              <w:rPr>
                <w:rFonts w:ascii="宋体" w:hAnsi="宋体" w:eastAsia="宋体" w:cs="Times New Roman"/>
                <w:kern w:val="0"/>
                <w:szCs w:val="21"/>
              </w:rPr>
            </w:pP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58E7DEED">
            <w:pPr>
              <w:widowControl/>
              <w:jc w:val="center"/>
              <w:rPr>
                <w:rFonts w:ascii="宋体" w:hAnsi="宋体" w:eastAsia="宋体" w:cs="Times New Roman"/>
                <w:kern w:val="0"/>
                <w:szCs w:val="21"/>
              </w:rPr>
            </w:pPr>
            <w:r>
              <w:rPr>
                <w:rFonts w:hint="eastAsia" w:ascii="宋体" w:hAnsi="宋体" w:eastAsia="宋体" w:cs="Times New Roman"/>
                <w:kern w:val="0"/>
                <w:szCs w:val="21"/>
              </w:rPr>
              <w:t>课内实验</w:t>
            </w:r>
          </w:p>
        </w:tc>
        <w:tc>
          <w:tcPr>
            <w:tcW w:w="1816" w:type="dxa"/>
            <w:tcBorders>
              <w:top w:val="single" w:color="auto" w:sz="4" w:space="0"/>
              <w:left w:val="single" w:color="auto" w:sz="4" w:space="0"/>
              <w:bottom w:val="single" w:color="auto" w:sz="4" w:space="0"/>
              <w:right w:val="single" w:color="auto" w:sz="4" w:space="0"/>
            </w:tcBorders>
            <w:shd w:val="clear" w:color="auto" w:fill="auto"/>
            <w:vAlign w:val="center"/>
          </w:tcPr>
          <w:p w14:paraId="55E06C04">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116" w:type="dxa"/>
            <w:vMerge w:val="continue"/>
            <w:tcBorders>
              <w:left w:val="single" w:color="auto" w:sz="4" w:space="0"/>
              <w:bottom w:val="single" w:color="auto" w:sz="4" w:space="0"/>
              <w:right w:val="single" w:color="auto" w:sz="4" w:space="0"/>
            </w:tcBorders>
            <w:vAlign w:val="center"/>
          </w:tcPr>
          <w:p w14:paraId="61AA859E">
            <w:pPr>
              <w:widowControl/>
              <w:jc w:val="center"/>
              <w:rPr>
                <w:rFonts w:ascii="宋体" w:hAnsi="宋体" w:eastAsia="宋体" w:cs="Times New Roman"/>
                <w:kern w:val="0"/>
                <w:szCs w:val="21"/>
              </w:rPr>
            </w:pPr>
          </w:p>
        </w:tc>
      </w:tr>
      <w:tr w14:paraId="72F75BD5">
        <w:tblPrEx>
          <w:tblCellMar>
            <w:top w:w="0" w:type="dxa"/>
            <w:left w:w="108" w:type="dxa"/>
            <w:bottom w:w="0" w:type="dxa"/>
            <w:right w:w="108" w:type="dxa"/>
          </w:tblCellMar>
        </w:tblPrEx>
        <w:trPr>
          <w:trHeight w:val="219" w:hRule="atLeast"/>
        </w:trPr>
        <w:tc>
          <w:tcPr>
            <w:tcW w:w="2017"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3CE2426F">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89"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59AB9EDF">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2163" w:type="dxa"/>
            <w:tcBorders>
              <w:top w:val="single" w:color="auto" w:sz="4" w:space="0"/>
              <w:left w:val="nil"/>
              <w:bottom w:val="single" w:color="auto" w:sz="8" w:space="0"/>
              <w:right w:val="single" w:color="auto" w:sz="8" w:space="0"/>
            </w:tcBorders>
            <w:shd w:val="clear" w:color="auto" w:fill="auto"/>
            <w:vAlign w:val="center"/>
          </w:tcPr>
          <w:p w14:paraId="61EA10FB">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16" w:type="dxa"/>
            <w:tcBorders>
              <w:top w:val="single" w:color="auto" w:sz="4" w:space="0"/>
              <w:left w:val="nil"/>
              <w:bottom w:val="single" w:color="auto" w:sz="8" w:space="0"/>
              <w:right w:val="single" w:color="auto" w:sz="8" w:space="0"/>
            </w:tcBorders>
            <w:shd w:val="clear" w:color="auto" w:fill="auto"/>
            <w:vAlign w:val="center"/>
          </w:tcPr>
          <w:p w14:paraId="5D4ACB50">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116" w:type="dxa"/>
            <w:vMerge w:val="restart"/>
            <w:tcBorders>
              <w:top w:val="single" w:color="auto" w:sz="4" w:space="0"/>
              <w:left w:val="nil"/>
              <w:right w:val="single" w:color="auto" w:sz="8" w:space="0"/>
            </w:tcBorders>
            <w:vAlign w:val="center"/>
          </w:tcPr>
          <w:p w14:paraId="6CA253B6">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19EAED0F">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000000" w:sz="8" w:space="0"/>
              <w:right w:val="single" w:color="auto" w:sz="8" w:space="0"/>
            </w:tcBorders>
            <w:shd w:val="clear" w:color="auto" w:fill="auto"/>
            <w:vAlign w:val="center"/>
          </w:tcPr>
          <w:p w14:paraId="0CF2A201">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000000" w:sz="8" w:space="0"/>
              <w:right w:val="single" w:color="auto" w:sz="8" w:space="0"/>
            </w:tcBorders>
            <w:shd w:val="clear" w:color="auto" w:fill="auto"/>
            <w:vAlign w:val="center"/>
          </w:tcPr>
          <w:p w14:paraId="725382C6">
            <w:pPr>
              <w:widowControl/>
              <w:jc w:val="left"/>
              <w:rPr>
                <w:rFonts w:ascii="宋体" w:hAnsi="宋体" w:eastAsia="宋体" w:cs="Times New Roman"/>
                <w:kern w:val="0"/>
                <w:szCs w:val="21"/>
              </w:rPr>
            </w:pPr>
          </w:p>
        </w:tc>
        <w:tc>
          <w:tcPr>
            <w:tcW w:w="2163" w:type="dxa"/>
            <w:tcBorders>
              <w:top w:val="nil"/>
              <w:left w:val="nil"/>
              <w:bottom w:val="single" w:color="auto" w:sz="8" w:space="0"/>
              <w:right w:val="single" w:color="auto" w:sz="8" w:space="0"/>
            </w:tcBorders>
            <w:shd w:val="clear" w:color="auto" w:fill="auto"/>
            <w:vAlign w:val="center"/>
          </w:tcPr>
          <w:p w14:paraId="357805D9">
            <w:pPr>
              <w:widowControl/>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16" w:type="dxa"/>
            <w:tcBorders>
              <w:top w:val="nil"/>
              <w:left w:val="nil"/>
              <w:bottom w:val="single" w:color="auto" w:sz="8" w:space="0"/>
              <w:right w:val="single" w:color="auto" w:sz="8" w:space="0"/>
            </w:tcBorders>
            <w:shd w:val="clear" w:color="auto" w:fill="auto"/>
            <w:vAlign w:val="center"/>
          </w:tcPr>
          <w:p w14:paraId="6C1C83E0">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6" w:type="dxa"/>
            <w:vMerge w:val="continue"/>
            <w:tcBorders>
              <w:left w:val="nil"/>
              <w:right w:val="single" w:color="auto" w:sz="8" w:space="0"/>
            </w:tcBorders>
          </w:tcPr>
          <w:p w14:paraId="48FA5CE8">
            <w:pPr>
              <w:widowControl/>
              <w:jc w:val="center"/>
              <w:rPr>
                <w:rFonts w:ascii="宋体" w:hAnsi="宋体" w:eastAsia="宋体" w:cs="Times New Roman"/>
                <w:kern w:val="0"/>
                <w:szCs w:val="21"/>
              </w:rPr>
            </w:pPr>
          </w:p>
        </w:tc>
      </w:tr>
      <w:tr w14:paraId="42B92694">
        <w:tblPrEx>
          <w:tblCellMar>
            <w:top w:w="0" w:type="dxa"/>
            <w:left w:w="108" w:type="dxa"/>
            <w:bottom w:w="0" w:type="dxa"/>
            <w:right w:w="108" w:type="dxa"/>
          </w:tblCellMar>
        </w:tblPrEx>
        <w:trPr>
          <w:trHeight w:val="219" w:hRule="atLeast"/>
        </w:trPr>
        <w:tc>
          <w:tcPr>
            <w:tcW w:w="2017" w:type="dxa"/>
            <w:vMerge w:val="continue"/>
            <w:tcBorders>
              <w:top w:val="nil"/>
              <w:left w:val="single" w:color="auto" w:sz="8" w:space="0"/>
              <w:bottom w:val="single" w:color="auto" w:sz="4" w:space="0"/>
              <w:right w:val="single" w:color="auto" w:sz="8" w:space="0"/>
            </w:tcBorders>
            <w:shd w:val="clear" w:color="auto" w:fill="auto"/>
            <w:vAlign w:val="center"/>
          </w:tcPr>
          <w:p w14:paraId="177DF6DE">
            <w:pPr>
              <w:widowControl/>
              <w:jc w:val="left"/>
              <w:rPr>
                <w:rFonts w:ascii="宋体" w:hAnsi="宋体" w:eastAsia="宋体" w:cs="Times New Roman"/>
                <w:kern w:val="0"/>
                <w:szCs w:val="21"/>
              </w:rPr>
            </w:pPr>
          </w:p>
        </w:tc>
        <w:tc>
          <w:tcPr>
            <w:tcW w:w="1789" w:type="dxa"/>
            <w:vMerge w:val="continue"/>
            <w:tcBorders>
              <w:top w:val="nil"/>
              <w:left w:val="single" w:color="auto" w:sz="8" w:space="0"/>
              <w:bottom w:val="single" w:color="auto" w:sz="4" w:space="0"/>
              <w:right w:val="single" w:color="auto" w:sz="8" w:space="0"/>
            </w:tcBorders>
            <w:shd w:val="clear" w:color="auto" w:fill="auto"/>
            <w:vAlign w:val="center"/>
          </w:tcPr>
          <w:p w14:paraId="7A0FB743">
            <w:pPr>
              <w:widowControl/>
              <w:jc w:val="left"/>
              <w:rPr>
                <w:rFonts w:ascii="宋体" w:hAnsi="宋体" w:eastAsia="宋体" w:cs="Times New Roman"/>
                <w:kern w:val="0"/>
                <w:szCs w:val="21"/>
              </w:rPr>
            </w:pPr>
          </w:p>
        </w:tc>
        <w:tc>
          <w:tcPr>
            <w:tcW w:w="2163" w:type="dxa"/>
            <w:tcBorders>
              <w:top w:val="nil"/>
              <w:left w:val="nil"/>
              <w:bottom w:val="single" w:color="auto" w:sz="4" w:space="0"/>
              <w:right w:val="single" w:color="auto" w:sz="8" w:space="0"/>
            </w:tcBorders>
            <w:shd w:val="clear" w:color="auto" w:fill="auto"/>
            <w:vAlign w:val="center"/>
          </w:tcPr>
          <w:p w14:paraId="1E74687F">
            <w:pPr>
              <w:widowControl/>
              <w:jc w:val="center"/>
              <w:rPr>
                <w:rFonts w:ascii="宋体" w:hAnsi="宋体" w:eastAsia="宋体" w:cs="Times New Roman"/>
                <w:kern w:val="0"/>
                <w:szCs w:val="21"/>
              </w:rPr>
            </w:pPr>
            <w:r>
              <w:rPr>
                <w:rFonts w:hint="eastAsia" w:ascii="宋体" w:hAnsi="宋体" w:eastAsia="宋体" w:cs="Times New Roman"/>
                <w:kern w:val="0"/>
                <w:szCs w:val="21"/>
              </w:rPr>
              <w:t>课内实验</w:t>
            </w:r>
          </w:p>
        </w:tc>
        <w:tc>
          <w:tcPr>
            <w:tcW w:w="1816" w:type="dxa"/>
            <w:tcBorders>
              <w:top w:val="nil"/>
              <w:left w:val="nil"/>
              <w:bottom w:val="single" w:color="auto" w:sz="4" w:space="0"/>
              <w:right w:val="single" w:color="auto" w:sz="8" w:space="0"/>
            </w:tcBorders>
            <w:shd w:val="clear" w:color="auto" w:fill="auto"/>
            <w:vAlign w:val="center"/>
          </w:tcPr>
          <w:p w14:paraId="3D6A2D57">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6" w:type="dxa"/>
            <w:vMerge w:val="continue"/>
            <w:tcBorders>
              <w:left w:val="nil"/>
              <w:bottom w:val="single" w:color="auto" w:sz="4" w:space="0"/>
              <w:right w:val="single" w:color="auto" w:sz="8" w:space="0"/>
            </w:tcBorders>
          </w:tcPr>
          <w:p w14:paraId="387A1FF5">
            <w:pPr>
              <w:widowControl/>
              <w:jc w:val="center"/>
              <w:rPr>
                <w:rFonts w:ascii="宋体" w:hAnsi="宋体" w:eastAsia="宋体" w:cs="Times New Roman"/>
                <w:kern w:val="0"/>
                <w:szCs w:val="21"/>
              </w:rPr>
            </w:pPr>
          </w:p>
        </w:tc>
      </w:tr>
      <w:tr w14:paraId="7FC11C68">
        <w:tblPrEx>
          <w:tblCellMar>
            <w:top w:w="0" w:type="dxa"/>
            <w:left w:w="108" w:type="dxa"/>
            <w:bottom w:w="0" w:type="dxa"/>
            <w:right w:w="108" w:type="dxa"/>
          </w:tblCellMar>
        </w:tblPrEx>
        <w:trPr>
          <w:trHeight w:val="219" w:hRule="atLeast"/>
        </w:trPr>
        <w:tc>
          <w:tcPr>
            <w:tcW w:w="2017" w:type="dxa"/>
            <w:vMerge w:val="restart"/>
            <w:tcBorders>
              <w:top w:val="nil"/>
              <w:left w:val="single" w:color="auto" w:sz="8" w:space="0"/>
              <w:right w:val="single" w:color="auto" w:sz="8" w:space="0"/>
            </w:tcBorders>
            <w:shd w:val="clear" w:color="auto" w:fill="auto"/>
            <w:vAlign w:val="center"/>
          </w:tcPr>
          <w:p w14:paraId="0EB380F1">
            <w:pPr>
              <w:widowControl/>
              <w:jc w:val="center"/>
              <w:rPr>
                <w:rFonts w:ascii="宋体" w:hAnsi="宋体" w:eastAsia="宋体" w:cs="Times New Roman"/>
                <w:kern w:val="0"/>
                <w:szCs w:val="21"/>
              </w:rPr>
            </w:pPr>
            <w:r>
              <w:rPr>
                <w:rFonts w:hint="eastAsia" w:ascii="宋体" w:hAnsi="宋体" w:eastAsia="宋体" w:cs="Times New Roman"/>
                <w:kern w:val="0"/>
                <w:szCs w:val="21"/>
              </w:rPr>
              <w:t>课程目标5</w:t>
            </w:r>
          </w:p>
        </w:tc>
        <w:tc>
          <w:tcPr>
            <w:tcW w:w="1789" w:type="dxa"/>
            <w:vMerge w:val="restart"/>
            <w:tcBorders>
              <w:top w:val="nil"/>
              <w:left w:val="single" w:color="auto" w:sz="8" w:space="0"/>
              <w:right w:val="single" w:color="auto" w:sz="8" w:space="0"/>
            </w:tcBorders>
            <w:shd w:val="clear" w:color="auto" w:fill="auto"/>
            <w:vAlign w:val="center"/>
          </w:tcPr>
          <w:p w14:paraId="6757034A">
            <w:pPr>
              <w:widowControl/>
              <w:jc w:val="center"/>
              <w:rPr>
                <w:rFonts w:ascii="宋体" w:hAnsi="宋体" w:eastAsia="宋体" w:cs="Times New Roman"/>
                <w:kern w:val="0"/>
                <w:szCs w:val="21"/>
              </w:rPr>
            </w:pPr>
            <w:r>
              <w:rPr>
                <w:rFonts w:hint="eastAsia" w:ascii="宋体" w:hAnsi="宋体" w:eastAsia="宋体" w:cs="Times New Roman"/>
                <w:kern w:val="0"/>
                <w:szCs w:val="21"/>
              </w:rPr>
              <w:t>15%</w:t>
            </w:r>
          </w:p>
        </w:tc>
        <w:tc>
          <w:tcPr>
            <w:tcW w:w="2163" w:type="dxa"/>
            <w:tcBorders>
              <w:top w:val="nil"/>
              <w:left w:val="nil"/>
              <w:bottom w:val="single" w:color="auto" w:sz="4" w:space="0"/>
              <w:right w:val="single" w:color="auto" w:sz="8" w:space="0"/>
            </w:tcBorders>
            <w:shd w:val="clear" w:color="auto" w:fill="auto"/>
            <w:vAlign w:val="center"/>
          </w:tcPr>
          <w:p w14:paraId="369F915C">
            <w:pPr>
              <w:widowControl/>
              <w:jc w:val="center"/>
              <w:rPr>
                <w:rFonts w:ascii="宋体" w:hAnsi="宋体" w:eastAsia="宋体" w:cs="Times New Roman"/>
                <w:kern w:val="0"/>
                <w:szCs w:val="21"/>
              </w:rPr>
            </w:pPr>
            <w:r>
              <w:rPr>
                <w:rFonts w:hint="eastAsia" w:ascii="宋体" w:hAnsi="宋体" w:eastAsia="宋体" w:cs="Times New Roman"/>
                <w:kern w:val="0"/>
                <w:szCs w:val="21"/>
              </w:rPr>
              <w:t>考试</w:t>
            </w:r>
          </w:p>
        </w:tc>
        <w:tc>
          <w:tcPr>
            <w:tcW w:w="1816" w:type="dxa"/>
            <w:tcBorders>
              <w:top w:val="nil"/>
              <w:left w:val="nil"/>
              <w:bottom w:val="single" w:color="auto" w:sz="4" w:space="0"/>
              <w:right w:val="single" w:color="auto" w:sz="8" w:space="0"/>
            </w:tcBorders>
            <w:shd w:val="clear" w:color="auto" w:fill="auto"/>
            <w:vAlign w:val="center"/>
          </w:tcPr>
          <w:p w14:paraId="433EBF15">
            <w:pPr>
              <w:widowControl/>
              <w:jc w:val="center"/>
              <w:rPr>
                <w:rFonts w:ascii="宋体" w:hAnsi="宋体" w:eastAsia="宋体" w:cs="Times New Roman"/>
                <w:kern w:val="0"/>
                <w:szCs w:val="21"/>
              </w:rPr>
            </w:pPr>
            <w:r>
              <w:rPr>
                <w:rFonts w:hint="eastAsia" w:ascii="宋体" w:hAnsi="宋体" w:eastAsia="宋体" w:cs="Times New Roman"/>
                <w:kern w:val="0"/>
                <w:szCs w:val="21"/>
              </w:rPr>
              <w:t>70%</w:t>
            </w:r>
          </w:p>
        </w:tc>
        <w:tc>
          <w:tcPr>
            <w:tcW w:w="1116" w:type="dxa"/>
            <w:vMerge w:val="restart"/>
            <w:tcBorders>
              <w:left w:val="nil"/>
              <w:right w:val="single" w:color="auto" w:sz="8" w:space="0"/>
            </w:tcBorders>
            <w:vAlign w:val="center"/>
          </w:tcPr>
          <w:p w14:paraId="3F11D2D4">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593F8571">
        <w:tblPrEx>
          <w:tblCellMar>
            <w:top w:w="0" w:type="dxa"/>
            <w:left w:w="108" w:type="dxa"/>
            <w:bottom w:w="0" w:type="dxa"/>
            <w:right w:w="108" w:type="dxa"/>
          </w:tblCellMar>
        </w:tblPrEx>
        <w:trPr>
          <w:trHeight w:val="219" w:hRule="atLeast"/>
        </w:trPr>
        <w:tc>
          <w:tcPr>
            <w:tcW w:w="2017" w:type="dxa"/>
            <w:vMerge w:val="continue"/>
            <w:tcBorders>
              <w:left w:val="single" w:color="auto" w:sz="8" w:space="0"/>
              <w:right w:val="single" w:color="auto" w:sz="8" w:space="0"/>
            </w:tcBorders>
            <w:shd w:val="clear" w:color="auto" w:fill="auto"/>
            <w:vAlign w:val="center"/>
          </w:tcPr>
          <w:p w14:paraId="38B7CCD8">
            <w:pPr>
              <w:widowControl/>
              <w:jc w:val="left"/>
              <w:rPr>
                <w:rFonts w:ascii="宋体" w:hAnsi="宋体" w:eastAsia="宋体" w:cs="Times New Roman"/>
                <w:kern w:val="0"/>
                <w:szCs w:val="21"/>
              </w:rPr>
            </w:pPr>
          </w:p>
        </w:tc>
        <w:tc>
          <w:tcPr>
            <w:tcW w:w="1789" w:type="dxa"/>
            <w:vMerge w:val="continue"/>
            <w:tcBorders>
              <w:left w:val="single" w:color="auto" w:sz="8" w:space="0"/>
              <w:right w:val="single" w:color="auto" w:sz="8" w:space="0"/>
            </w:tcBorders>
            <w:shd w:val="clear" w:color="auto" w:fill="auto"/>
            <w:vAlign w:val="center"/>
          </w:tcPr>
          <w:p w14:paraId="25DBB7AD">
            <w:pPr>
              <w:widowControl/>
              <w:jc w:val="left"/>
              <w:rPr>
                <w:rFonts w:ascii="宋体" w:hAnsi="宋体" w:eastAsia="宋体" w:cs="Times New Roman"/>
                <w:kern w:val="0"/>
                <w:szCs w:val="21"/>
              </w:rPr>
            </w:pPr>
          </w:p>
        </w:tc>
        <w:tc>
          <w:tcPr>
            <w:tcW w:w="2163" w:type="dxa"/>
            <w:tcBorders>
              <w:top w:val="nil"/>
              <w:left w:val="nil"/>
              <w:bottom w:val="single" w:color="auto" w:sz="4" w:space="0"/>
              <w:right w:val="single" w:color="auto" w:sz="8" w:space="0"/>
            </w:tcBorders>
            <w:shd w:val="clear" w:color="auto" w:fill="auto"/>
            <w:vAlign w:val="center"/>
          </w:tcPr>
          <w:p w14:paraId="35917D52">
            <w:pPr>
              <w:widowControl/>
              <w:jc w:val="center"/>
              <w:rPr>
                <w:rFonts w:ascii="宋体" w:hAnsi="宋体" w:eastAsia="宋体" w:cs="Times New Roman"/>
                <w:kern w:val="0"/>
                <w:szCs w:val="21"/>
              </w:rPr>
            </w:pPr>
            <w:r>
              <w:rPr>
                <w:rFonts w:hint="eastAsia" w:ascii="宋体" w:hAnsi="宋体" w:eastAsia="宋体" w:cs="Times New Roman"/>
                <w:kern w:val="0"/>
                <w:szCs w:val="21"/>
              </w:rPr>
              <w:t>作业5</w:t>
            </w:r>
          </w:p>
        </w:tc>
        <w:tc>
          <w:tcPr>
            <w:tcW w:w="1816" w:type="dxa"/>
            <w:tcBorders>
              <w:top w:val="nil"/>
              <w:left w:val="nil"/>
              <w:bottom w:val="single" w:color="auto" w:sz="4" w:space="0"/>
              <w:right w:val="single" w:color="auto" w:sz="8" w:space="0"/>
            </w:tcBorders>
            <w:shd w:val="clear" w:color="auto" w:fill="auto"/>
            <w:vAlign w:val="center"/>
          </w:tcPr>
          <w:p w14:paraId="547FDBA3">
            <w:pPr>
              <w:widowControl/>
              <w:jc w:val="center"/>
              <w:rPr>
                <w:rFonts w:ascii="宋体" w:hAnsi="宋体" w:eastAsia="宋体" w:cs="Times New Roman"/>
                <w:kern w:val="0"/>
                <w:szCs w:val="21"/>
              </w:rPr>
            </w:pPr>
            <w:r>
              <w:rPr>
                <w:rFonts w:hint="eastAsia" w:ascii="宋体" w:hAnsi="宋体" w:eastAsia="宋体" w:cs="Times New Roman"/>
                <w:kern w:val="0"/>
                <w:szCs w:val="21"/>
              </w:rPr>
              <w:t>30%</w:t>
            </w:r>
            <w:r>
              <w:rPr>
                <w:rFonts w:ascii="宋体" w:hAnsi="宋体" w:eastAsia="宋体" w:cs="Times New Roman"/>
                <w:kern w:val="0"/>
                <w:szCs w:val="21"/>
              </w:rPr>
              <w:t xml:space="preserve"> </w:t>
            </w:r>
          </w:p>
        </w:tc>
        <w:tc>
          <w:tcPr>
            <w:tcW w:w="1116" w:type="dxa"/>
            <w:vMerge w:val="continue"/>
            <w:tcBorders>
              <w:left w:val="nil"/>
              <w:right w:val="single" w:color="auto" w:sz="8" w:space="0"/>
            </w:tcBorders>
          </w:tcPr>
          <w:p w14:paraId="129571B1">
            <w:pPr>
              <w:widowControl/>
              <w:jc w:val="center"/>
              <w:rPr>
                <w:rFonts w:ascii="宋体" w:hAnsi="宋体" w:eastAsia="宋体" w:cs="Times New Roman"/>
                <w:kern w:val="0"/>
                <w:szCs w:val="21"/>
              </w:rPr>
            </w:pPr>
          </w:p>
        </w:tc>
      </w:tr>
      <w:tr w14:paraId="2828CAA7">
        <w:tblPrEx>
          <w:tblCellMar>
            <w:top w:w="0" w:type="dxa"/>
            <w:left w:w="108" w:type="dxa"/>
            <w:bottom w:w="0" w:type="dxa"/>
            <w:right w:w="108" w:type="dxa"/>
          </w:tblCellMar>
        </w:tblPrEx>
        <w:trPr>
          <w:trHeight w:val="354" w:hRule="atLeast"/>
        </w:trPr>
        <w:tc>
          <w:tcPr>
            <w:tcW w:w="2017" w:type="dxa"/>
            <w:tcBorders>
              <w:top w:val="single" w:color="auto" w:sz="4" w:space="0"/>
              <w:left w:val="single" w:color="auto" w:sz="4" w:space="0"/>
              <w:bottom w:val="single" w:color="auto" w:sz="4" w:space="0"/>
              <w:right w:val="single" w:color="auto" w:sz="4" w:space="0"/>
            </w:tcBorders>
            <w:shd w:val="clear" w:color="auto" w:fill="auto"/>
            <w:vAlign w:val="center"/>
          </w:tcPr>
          <w:p w14:paraId="0F9CDD6C">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14:paraId="005A16CA">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c>
          <w:tcPr>
            <w:tcW w:w="509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FE25EB2">
            <w:pPr>
              <w:widowControl/>
              <w:jc w:val="center"/>
              <w:rPr>
                <w:rFonts w:ascii="宋体" w:hAnsi="宋体" w:eastAsia="宋体" w:cs="Times New Roman"/>
                <w:kern w:val="0"/>
                <w:szCs w:val="21"/>
              </w:rPr>
            </w:pPr>
          </w:p>
        </w:tc>
      </w:tr>
    </w:tbl>
    <w:p w14:paraId="51E329DF">
      <w:pPr>
        <w:spacing w:line="360" w:lineRule="auto"/>
        <w:ind w:firstLine="480"/>
        <w:rPr>
          <w:rFonts w:ascii="宋体" w:hAnsi="宋体" w:eastAsia="宋体" w:cs="Times New Roman"/>
          <w:sz w:val="24"/>
        </w:rPr>
      </w:pPr>
    </w:p>
    <w:p w14:paraId="7CDD7755">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68CF68C7">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3BC02C6E">
      <w:pPr>
        <w:spacing w:line="360" w:lineRule="auto"/>
        <w:rPr>
          <w:rFonts w:ascii="宋体" w:hAnsi="宋体" w:eastAsia="宋体" w:cs="Times New Roman"/>
          <w:sz w:val="24"/>
        </w:rPr>
      </w:pPr>
      <w:r>
        <w:rPr>
          <w:rFonts w:ascii="宋体" w:hAnsi="宋体" w:eastAsia="宋体" w:cs="Times New Roman"/>
          <w:sz w:val="24"/>
        </w:rPr>
        <w:drawing>
          <wp:inline distT="0" distB="0" distL="0" distR="0">
            <wp:extent cx="5274310" cy="3371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63DAA346">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475691A2">
      <w:pPr>
        <w:spacing w:line="360" w:lineRule="auto"/>
        <w:ind w:firstLine="482" w:firstLineChars="200"/>
        <w:rPr>
          <w:rFonts w:ascii="宋体" w:hAnsi="宋体" w:eastAsia="宋体" w:cs="Times New Roman"/>
          <w:b/>
          <w:sz w:val="24"/>
        </w:rPr>
      </w:pPr>
      <w:bookmarkStart w:id="286" w:name="_Toc29395664"/>
      <w:r>
        <w:rPr>
          <w:rFonts w:hint="eastAsia" w:ascii="宋体" w:hAnsi="宋体" w:eastAsia="宋体" w:cs="Times New Roman"/>
          <w:b/>
          <w:sz w:val="24"/>
        </w:rPr>
        <w:t>（一）持续改进</w:t>
      </w:r>
      <w:bookmarkEnd w:id="286"/>
    </w:p>
    <w:p w14:paraId="36BEA625">
      <w:pPr>
        <w:spacing w:line="360" w:lineRule="auto"/>
        <w:ind w:firstLine="480" w:firstLineChars="200"/>
        <w:rPr>
          <w:rFonts w:ascii="宋体" w:hAnsi="宋体" w:eastAsia="宋体" w:cs="Times New Roman"/>
          <w:sz w:val="24"/>
        </w:rPr>
      </w:pPr>
      <w:r>
        <w:rPr>
          <w:rFonts w:ascii="宋体" w:hAnsi="宋体" w:eastAsia="宋体" w:cs="Times New Roman"/>
          <w:sz w:val="24"/>
        </w:rPr>
        <w:t>本课程根据学生作业、课堂讨论、模拟教学、说课、平时考核情况和学生、教学督导等</w:t>
      </w:r>
      <w:r>
        <w:rPr>
          <w:rFonts w:hint="eastAsia" w:ascii="宋体" w:hAnsi="宋体" w:eastAsia="宋体" w:cs="Times New Roman"/>
          <w:sz w:val="24"/>
        </w:rPr>
        <w:t>的</w:t>
      </w:r>
      <w:r>
        <w:rPr>
          <w:rFonts w:ascii="宋体" w:hAnsi="宋体" w:eastAsia="宋体" w:cs="Times New Roman"/>
          <w:sz w:val="24"/>
        </w:rPr>
        <w:t>反馈，及时对教学中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75B04A6E">
      <w:pPr>
        <w:spacing w:line="360" w:lineRule="auto"/>
        <w:ind w:firstLine="482" w:firstLineChars="200"/>
        <w:rPr>
          <w:rFonts w:ascii="宋体" w:hAnsi="宋体" w:eastAsia="宋体" w:cs="Times New Roman"/>
          <w:b/>
          <w:sz w:val="24"/>
        </w:rPr>
      </w:pPr>
      <w:bookmarkStart w:id="287" w:name="_Toc29395665"/>
      <w:r>
        <w:rPr>
          <w:rFonts w:hint="eastAsia" w:ascii="宋体" w:hAnsi="宋体" w:eastAsia="宋体" w:cs="Times New Roman"/>
          <w:b/>
          <w:sz w:val="24"/>
        </w:rPr>
        <w:t>（二）</w:t>
      </w:r>
      <w:r>
        <w:rPr>
          <w:rFonts w:ascii="宋体" w:hAnsi="宋体" w:eastAsia="宋体" w:cs="Times New Roman"/>
          <w:b/>
          <w:sz w:val="24"/>
        </w:rPr>
        <w:t>参考书目及学习资料</w:t>
      </w:r>
      <w:bookmarkEnd w:id="287"/>
    </w:p>
    <w:p w14:paraId="3C801B3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1．教材</w:t>
      </w:r>
    </w:p>
    <w:p w14:paraId="15DBC3C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王丽君. 用Scratch与mBlock玩转mBot智能机器人.北京：人民邮电出版社.2017.</w:t>
      </w:r>
    </w:p>
    <w:p w14:paraId="63FB40CC">
      <w:pPr>
        <w:spacing w:line="360" w:lineRule="auto"/>
        <w:ind w:firstLine="480" w:firstLineChars="200"/>
        <w:rPr>
          <w:rFonts w:ascii="宋体" w:hAnsi="宋体" w:eastAsia="宋体" w:cs="Times New Roman"/>
          <w:sz w:val="24"/>
        </w:rPr>
      </w:pPr>
      <w:bookmarkStart w:id="288" w:name="_Toc29395666"/>
      <w:r>
        <w:rPr>
          <w:rFonts w:hint="eastAsia" w:ascii="宋体" w:hAnsi="宋体" w:eastAsia="宋体" w:cs="Times New Roman"/>
          <w:sz w:val="24"/>
        </w:rPr>
        <w:t>2．教学参考书</w:t>
      </w:r>
      <w:bookmarkEnd w:id="288"/>
    </w:p>
    <w:p w14:paraId="537E4BA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郑梦玉、马志强. Makeblock机器人与创客器材的应用.北京：清华大学出版社.2018.</w:t>
      </w:r>
    </w:p>
    <w:p w14:paraId="7FD87EF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王同聚、崔萌、王希哲、柯维海. Scratch与机器人创新设计（初级篇）.上海：上海交通大学出版社.2017.</w:t>
      </w:r>
    </w:p>
    <w:p w14:paraId="72D1BF9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王同聚、崔萌、王希哲、柯维海. Scratch与机器人创新设计（中级篇）.上海：上海交通大学出版社.2017.</w:t>
      </w:r>
    </w:p>
    <w:p w14:paraId="50AF665B">
      <w:pPr>
        <w:spacing w:line="360" w:lineRule="auto"/>
        <w:ind w:firstLine="480" w:firstLineChars="200"/>
        <w:rPr>
          <w:rFonts w:ascii="宋体" w:hAnsi="宋体" w:eastAsia="宋体" w:cs="Times New Roman"/>
          <w:sz w:val="24"/>
        </w:rPr>
      </w:pPr>
    </w:p>
    <w:p w14:paraId="358A2E74">
      <w:pPr>
        <w:spacing w:line="360" w:lineRule="auto"/>
        <w:rPr>
          <w:rFonts w:ascii="宋体" w:hAnsi="宋体" w:eastAsia="宋体" w:cs="Times New Roman"/>
          <w:sz w:val="24"/>
        </w:rPr>
      </w:pPr>
    </w:p>
    <w:p w14:paraId="23A5F2E6">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李春光</w:t>
      </w:r>
    </w:p>
    <w:p w14:paraId="2709FDCA">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审定人：王  健</w:t>
      </w:r>
    </w:p>
    <w:p w14:paraId="20D8FD83">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审批人：张志欣</w:t>
      </w:r>
    </w:p>
    <w:p w14:paraId="5A81D1AF">
      <w:pPr>
        <w:widowControl/>
        <w:ind w:firstLine="5280" w:firstLineChars="2200"/>
        <w:jc w:val="left"/>
        <w:rPr>
          <w:rFonts w:ascii="宋体" w:hAnsi="宋体" w:eastAsia="宋体" w:cs="Times New Roman"/>
          <w:kern w:val="0"/>
          <w:sz w:val="24"/>
          <w:szCs w:val="21"/>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6453D31B">
      <w:pPr>
        <w:widowControl/>
        <w:jc w:val="left"/>
        <w:rPr>
          <w:rFonts w:ascii="宋体" w:hAnsi="宋体" w:eastAsia="宋体" w:cs="Times New Roman"/>
          <w:kern w:val="0"/>
          <w:sz w:val="24"/>
          <w:szCs w:val="21"/>
        </w:rPr>
      </w:pPr>
    </w:p>
    <w:p w14:paraId="50D4255B">
      <w:pPr>
        <w:widowControl/>
        <w:jc w:val="left"/>
        <w:rPr>
          <w:rFonts w:ascii="Times New Roman" w:hAnsi="Times New Roman" w:eastAsia="宋体" w:cs="Times New Roman"/>
          <w:b/>
          <w:bCs/>
          <w:sz w:val="30"/>
          <w:szCs w:val="24"/>
        </w:rPr>
      </w:pPr>
      <w:r>
        <w:rPr>
          <w:rFonts w:ascii="Times New Roman" w:hAnsi="Times New Roman" w:eastAsia="宋体" w:cs="Times New Roman"/>
          <w:b/>
          <w:bCs/>
          <w:sz w:val="30"/>
          <w:szCs w:val="24"/>
        </w:rPr>
        <w:br w:type="page"/>
      </w:r>
    </w:p>
    <w:p w14:paraId="4C512B61">
      <w:pPr>
        <w:spacing w:line="360" w:lineRule="auto"/>
        <w:jc w:val="center"/>
        <w:outlineLvl w:val="0"/>
        <w:rPr>
          <w:rFonts w:ascii="Times New Roman" w:hAnsi="Times New Roman" w:eastAsia="宋体" w:cs="Times New Roman"/>
          <w:b/>
          <w:bCs/>
          <w:sz w:val="30"/>
          <w:szCs w:val="24"/>
        </w:rPr>
      </w:pPr>
      <w:bookmarkStart w:id="289" w:name="_Toc57017200"/>
      <w:bookmarkStart w:id="290" w:name="_Toc88424553"/>
      <w:bookmarkStart w:id="291" w:name="_Toc166165227"/>
      <w:r>
        <w:rPr>
          <w:rFonts w:hint="eastAsia" w:ascii="Times New Roman" w:hAnsi="Times New Roman" w:eastAsia="宋体" w:cs="Times New Roman"/>
          <w:b/>
          <w:bCs/>
          <w:sz w:val="30"/>
          <w:szCs w:val="24"/>
        </w:rPr>
        <w:t>小学科学课程与教学论课程教学大纲</w:t>
      </w:r>
      <w:bookmarkEnd w:id="289"/>
      <w:bookmarkEnd w:id="290"/>
    </w:p>
    <w:p w14:paraId="387F2A1A">
      <w:pPr>
        <w:spacing w:line="360" w:lineRule="auto"/>
        <w:jc w:val="center"/>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w:t>
      </w:r>
      <w:r>
        <w:rPr>
          <w:rFonts w:ascii="Times New Roman" w:hAnsi="Times New Roman" w:eastAsia="宋体" w:cs="Times New Roman"/>
          <w:b/>
          <w:sz w:val="24"/>
          <w:szCs w:val="28"/>
        </w:rPr>
        <w:t>The Theory of Curriculum and Instruction in Primary School Science</w:t>
      </w:r>
      <w:r>
        <w:rPr>
          <w:rFonts w:hint="eastAsia" w:ascii="Times New Roman" w:hAnsi="Times New Roman" w:eastAsia="宋体" w:cs="Times New Roman"/>
          <w:b/>
          <w:bCs/>
          <w:sz w:val="24"/>
          <w:szCs w:val="28"/>
        </w:rPr>
        <w:t>）</w:t>
      </w:r>
    </w:p>
    <w:p w14:paraId="10E431E0">
      <w:pPr>
        <w:spacing w:line="360" w:lineRule="auto"/>
        <w:rPr>
          <w:rFonts w:ascii="Times New Roman" w:hAnsi="Times New Roman" w:eastAsia="宋体" w:cs="Times New Roman"/>
          <w:b/>
          <w:sz w:val="28"/>
          <w:szCs w:val="28"/>
        </w:rPr>
      </w:pPr>
    </w:p>
    <w:p w14:paraId="4C23691C">
      <w:pPr>
        <w:spacing w:line="360" w:lineRule="auto"/>
        <w:rPr>
          <w:rFonts w:hint="eastAsia" w:ascii="宋体" w:hAnsi="宋体" w:eastAsia="宋体" w:cs="宋体"/>
          <w:b/>
          <w:szCs w:val="21"/>
        </w:rPr>
      </w:pPr>
      <w:r>
        <w:rPr>
          <w:rFonts w:hint="eastAsia" w:ascii="Times New Roman" w:hAnsi="Times New Roman" w:eastAsia="宋体" w:cs="Times New Roman"/>
          <w:b/>
          <w:sz w:val="28"/>
          <w:szCs w:val="28"/>
        </w:rPr>
        <w:t>一、课程概况</w:t>
      </w:r>
    </w:p>
    <w:p w14:paraId="6818A0E8">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课程代码：</w:t>
      </w:r>
      <w:r>
        <w:rPr>
          <w:rFonts w:ascii="Times New Roman" w:hAnsi="Times New Roman" w:eastAsia="宋体" w:cs="Times New Roman"/>
          <w:kern w:val="0"/>
          <w:sz w:val="24"/>
          <w:szCs w:val="24"/>
        </w:rPr>
        <w:t>2401037</w:t>
      </w:r>
    </w:p>
    <w:p w14:paraId="4A4AF46A">
      <w:pPr>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学</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分：</w:t>
      </w:r>
      <w:r>
        <w:rPr>
          <w:rFonts w:ascii="Times New Roman" w:hAnsi="Times New Roman" w:eastAsia="宋体" w:cs="Times New Roman"/>
          <w:kern w:val="0"/>
          <w:sz w:val="24"/>
          <w:szCs w:val="24"/>
        </w:rPr>
        <w:t>2</w:t>
      </w:r>
    </w:p>
    <w:p w14:paraId="0F7D49AA">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学</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时：</w:t>
      </w:r>
      <w:r>
        <w:rPr>
          <w:rFonts w:ascii="Times New Roman" w:hAnsi="Times New Roman" w:eastAsia="宋体" w:cs="Times New Roman"/>
          <w:kern w:val="0"/>
          <w:sz w:val="24"/>
          <w:szCs w:val="24"/>
        </w:rPr>
        <w:t>32</w:t>
      </w:r>
      <w:r>
        <w:rPr>
          <w:rFonts w:hint="eastAsia" w:ascii="Times New Roman" w:hAnsi="Times New Roman" w:eastAsia="宋体" w:cs="Times New Roman"/>
          <w:kern w:val="0"/>
          <w:sz w:val="24"/>
          <w:szCs w:val="24"/>
        </w:rPr>
        <w:t>（其中：讲授学时</w:t>
      </w:r>
      <w:r>
        <w:rPr>
          <w:rFonts w:ascii="Times New Roman" w:hAnsi="Times New Roman" w:eastAsia="宋体" w:cs="Times New Roman"/>
          <w:kern w:val="0"/>
          <w:sz w:val="24"/>
          <w:szCs w:val="24"/>
        </w:rPr>
        <w:t>16</w:t>
      </w:r>
      <w:r>
        <w:rPr>
          <w:rFonts w:hint="eastAsia" w:ascii="Times New Roman" w:hAnsi="Times New Roman" w:eastAsia="宋体" w:cs="Times New Roman"/>
          <w:kern w:val="0"/>
          <w:sz w:val="24"/>
          <w:szCs w:val="24"/>
        </w:rPr>
        <w:t>，实践学时</w:t>
      </w:r>
      <w:r>
        <w:rPr>
          <w:rFonts w:ascii="Times New Roman" w:hAnsi="Times New Roman" w:eastAsia="宋体" w:cs="Times New Roman"/>
          <w:kern w:val="0"/>
          <w:sz w:val="24"/>
          <w:szCs w:val="24"/>
        </w:rPr>
        <w:t>16</w:t>
      </w:r>
      <w:r>
        <w:rPr>
          <w:rFonts w:hint="eastAsia" w:ascii="Times New Roman" w:hAnsi="Times New Roman" w:eastAsia="宋体" w:cs="Times New Roman"/>
          <w:kern w:val="0"/>
          <w:sz w:val="24"/>
          <w:szCs w:val="24"/>
        </w:rPr>
        <w:t>）</w:t>
      </w:r>
    </w:p>
    <w:p w14:paraId="565F421A">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先修课程：</w:t>
      </w:r>
      <w:r>
        <w:rPr>
          <w:rFonts w:hint="eastAsia" w:ascii="Times New Roman" w:hAnsi="Times New Roman" w:eastAsia="宋体" w:cs="Times New Roman"/>
          <w:kern w:val="0"/>
          <w:sz w:val="24"/>
          <w:szCs w:val="24"/>
        </w:rPr>
        <w:t>教育心理学、课程与教学论</w:t>
      </w:r>
    </w:p>
    <w:p w14:paraId="59897A30">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试用专业：</w:t>
      </w:r>
      <w:r>
        <w:rPr>
          <w:rFonts w:hint="eastAsia" w:ascii="Times New Roman" w:hAnsi="Times New Roman" w:eastAsia="宋体" w:cs="Times New Roman"/>
          <w:kern w:val="0"/>
          <w:sz w:val="24"/>
          <w:szCs w:val="24"/>
        </w:rPr>
        <w:t>小学教育（理）</w:t>
      </w:r>
    </w:p>
    <w:p w14:paraId="41C082DD">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建议教材：</w:t>
      </w:r>
      <w:r>
        <w:rPr>
          <w:rFonts w:hint="eastAsia" w:ascii="Times New Roman" w:hAnsi="Times New Roman" w:eastAsia="宋体" w:cs="Times New Roman"/>
          <w:kern w:val="0"/>
          <w:sz w:val="24"/>
          <w:szCs w:val="24"/>
        </w:rPr>
        <w:t>《小学科学课程与教学论》张二庆，乔建生</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北京师范大学出版社</w:t>
      </w:r>
      <w:r>
        <w:rPr>
          <w:rFonts w:ascii="Times New Roman" w:hAnsi="Times New Roman" w:eastAsia="宋体" w:cs="Times New Roman"/>
          <w:kern w:val="0"/>
          <w:sz w:val="24"/>
          <w:szCs w:val="24"/>
        </w:rPr>
        <w:t>.2016.</w:t>
      </w:r>
    </w:p>
    <w:p w14:paraId="68E6F2DE">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课程归口：</w:t>
      </w:r>
      <w:r>
        <w:rPr>
          <w:rFonts w:hint="eastAsia" w:ascii="Times New Roman" w:hAnsi="Times New Roman" w:eastAsia="宋体" w:cs="Times New Roman"/>
          <w:bCs/>
          <w:kern w:val="0"/>
          <w:sz w:val="24"/>
          <w:szCs w:val="24"/>
        </w:rPr>
        <w:t>师范</w:t>
      </w:r>
      <w:r>
        <w:rPr>
          <w:rFonts w:hint="eastAsia" w:ascii="Times New Roman" w:hAnsi="Times New Roman" w:eastAsia="宋体" w:cs="Times New Roman"/>
          <w:kern w:val="0"/>
          <w:sz w:val="24"/>
          <w:szCs w:val="24"/>
        </w:rPr>
        <w:t>学院</w:t>
      </w:r>
    </w:p>
    <w:p w14:paraId="432753A4">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课程的性质与任务：</w:t>
      </w:r>
      <w:r>
        <w:rPr>
          <w:rFonts w:hint="eastAsia" w:ascii="Times New Roman" w:hAnsi="Times New Roman" w:eastAsia="宋体" w:cs="Times New Roman"/>
          <w:kern w:val="0"/>
          <w:sz w:val="24"/>
          <w:szCs w:val="24"/>
        </w:rPr>
        <w:t>本课程是小学教育专业（理）的专业选修课程，它以最新的科学教育理论为引导，以综合性的实践知识与智慧性的策略知识为承载，以培养师范生的小学科学教育实践能力为重点，实现培养专业化的小学科学教师的教育目标。</w:t>
      </w:r>
    </w:p>
    <w:p w14:paraId="278437AD">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二、课程目标</w:t>
      </w:r>
    </w:p>
    <w:p w14:paraId="3EB7A6E2">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（一）课程具体目标</w:t>
      </w:r>
    </w:p>
    <w:p w14:paraId="3CCCF1DA">
      <w:pPr>
        <w:tabs>
          <w:tab w:val="center" w:pos="4153"/>
        </w:tabs>
        <w:spacing w:line="360" w:lineRule="auto"/>
        <w:ind w:firstLine="482" w:firstLineChars="200"/>
        <w:rPr>
          <w:rFonts w:hint="eastAsia" w:eastAsia="宋体"/>
          <w:kern w:val="0"/>
        </w:rPr>
      </w:pPr>
      <w:r>
        <w:rPr>
          <w:rFonts w:hint="eastAsia" w:ascii="Times New Roman" w:hAnsi="Times New Roman" w:eastAsia="宋体" w:cs="Times New Roman"/>
          <w:b/>
          <w:bCs/>
          <w:kern w:val="0"/>
          <w:sz w:val="24"/>
          <w:szCs w:val="24"/>
        </w:rPr>
        <w:t>目标</w:t>
      </w:r>
      <w:r>
        <w:rPr>
          <w:rFonts w:ascii="Times New Roman" w:hAnsi="Times New Roman" w:eastAsia="宋体" w:cs="Times New Roman"/>
          <w:b/>
          <w:bCs/>
          <w:kern w:val="0"/>
          <w:sz w:val="24"/>
          <w:szCs w:val="24"/>
        </w:rPr>
        <w:t>1.</w:t>
      </w:r>
      <w:r>
        <w:rPr>
          <w:rFonts w:hint="eastAsia" w:ascii="宋体" w:hAnsi="宋体" w:eastAsia="宋体" w:cs="宋体"/>
          <w:kern w:val="0"/>
          <w:sz w:val="24"/>
          <w:szCs w:val="24"/>
        </w:rPr>
        <w:t xml:space="preserve"> </w:t>
      </w:r>
      <w:r>
        <w:rPr>
          <w:rFonts w:eastAsia="宋体"/>
          <w:kern w:val="0"/>
        </w:rPr>
        <w:t>认识科学本质及其特征，分析科学本质观对小学科学教学的启示；深入分析行为主义、认知主义、建构主义学习理论、脑科学在科学教学中的应用，结合小学科学课程的性质、理念、目标与内容，全面理解课程结构和教学目标。</w:t>
      </w:r>
    </w:p>
    <w:p w14:paraId="6F247BF5">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目标</w:t>
      </w:r>
      <w:r>
        <w:rPr>
          <w:rFonts w:ascii="Times New Roman" w:hAnsi="Times New Roman" w:eastAsia="宋体" w:cs="Times New Roman"/>
          <w:b/>
          <w:bCs/>
          <w:kern w:val="0"/>
          <w:sz w:val="24"/>
          <w:szCs w:val="24"/>
        </w:rPr>
        <w:t>2.</w:t>
      </w:r>
      <w:r>
        <w:t xml:space="preserve"> </w:t>
      </w:r>
      <w:r>
        <w:rPr>
          <w:rFonts w:ascii="Times New Roman" w:hAnsi="Times New Roman" w:eastAsia="宋体" w:cs="Times New Roman"/>
          <w:kern w:val="0"/>
          <w:sz w:val="24"/>
          <w:szCs w:val="24"/>
        </w:rPr>
        <w:t>阐释现行小学科学的课程标准发展历程，学会解读小学科学课程的性质、理念、目标与内容；熟悉现行小学科学教材编排特点及内容体系。</w:t>
      </w:r>
    </w:p>
    <w:p w14:paraId="0038CBB8">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目标</w:t>
      </w:r>
      <w:r>
        <w:rPr>
          <w:rFonts w:ascii="Times New Roman" w:hAnsi="Times New Roman" w:eastAsia="宋体" w:cs="Times New Roman"/>
          <w:b/>
          <w:bCs/>
          <w:kern w:val="0"/>
          <w:sz w:val="24"/>
          <w:szCs w:val="24"/>
        </w:rPr>
        <w:t>3.</w:t>
      </w:r>
      <w:r>
        <w:rPr>
          <w:rFonts w:hint="eastAsia" w:ascii="Times New Roman" w:hAnsi="Times New Roman" w:eastAsia="宋体" w:cs="Times New Roman"/>
          <w:kern w:val="0"/>
          <w:sz w:val="24"/>
          <w:szCs w:val="24"/>
        </w:rPr>
        <w:t xml:space="preserve"> 学会应用科学方法教育基本原理，依据小学科学教学设计的基本原理、教学方法对教材中的课例进行合理的教学设计和课堂演示。</w:t>
      </w:r>
    </w:p>
    <w:p w14:paraId="0B09EDE6">
      <w:pPr>
        <w:spacing w:line="360" w:lineRule="auto"/>
        <w:ind w:firstLine="482" w:firstLineChars="200"/>
        <w:rPr>
          <w:rFonts w:hint="eastAsia" w:ascii="宋体" w:hAnsi="宋体" w:eastAsia="宋体"/>
          <w:sz w:val="24"/>
          <w:szCs w:val="24"/>
        </w:rPr>
      </w:pPr>
      <w:r>
        <w:rPr>
          <w:rFonts w:hint="eastAsia" w:ascii="宋体" w:hAnsi="宋体" w:eastAsia="宋体"/>
          <w:b/>
          <w:bCs/>
          <w:sz w:val="24"/>
          <w:szCs w:val="24"/>
        </w:rPr>
        <w:t>目标</w:t>
      </w:r>
      <w:r>
        <w:rPr>
          <w:rFonts w:ascii="宋体" w:hAnsi="宋体" w:eastAsia="宋体"/>
          <w:b/>
          <w:bCs/>
          <w:sz w:val="24"/>
          <w:szCs w:val="24"/>
        </w:rPr>
        <w:t>4.</w:t>
      </w:r>
      <w:r>
        <w:rPr>
          <w:rFonts w:hint="eastAsia" w:ascii="宋体" w:hAnsi="宋体" w:eastAsia="宋体"/>
          <w:sz w:val="24"/>
          <w:szCs w:val="24"/>
        </w:rPr>
        <w:t xml:space="preserve"> 有意识地反思学生学习方式与科学课程的适洽性，主动探索合作学习、探究学习等多样化的科学学习方式；能采用多种评价方式、评价技术，依据多元化的评价标准，对科学课程的教育效果和学习效果进行分析、评价。</w:t>
      </w:r>
    </w:p>
    <w:p w14:paraId="14E8AACE">
      <w:pPr>
        <w:spacing w:line="360" w:lineRule="auto"/>
        <w:ind w:firstLine="480" w:firstLineChars="200"/>
        <w:rPr>
          <w:rFonts w:ascii="Times New Roman" w:hAnsi="Times New Roman" w:eastAsia="宋体" w:cs="Times New Roman"/>
          <w:kern w:val="0"/>
          <w:sz w:val="24"/>
          <w:szCs w:val="24"/>
        </w:rPr>
      </w:pPr>
    </w:p>
    <w:p w14:paraId="5AA90291">
      <w:pPr>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（二）课程目标与专业毕业要求的关系</w:t>
      </w:r>
    </w:p>
    <w:tbl>
      <w:tblPr>
        <w:tblStyle w:val="111"/>
        <w:tblW w:w="9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2342"/>
        <w:gridCol w:w="5560"/>
      </w:tblGrid>
      <w:tr w14:paraId="18AE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459" w:type="dxa"/>
            <w:tcBorders>
              <w:top w:val="single" w:color="auto" w:sz="4" w:space="0"/>
              <w:left w:val="single" w:color="auto" w:sz="4" w:space="0"/>
              <w:bottom w:val="single" w:color="auto" w:sz="4" w:space="0"/>
              <w:right w:val="single" w:color="auto" w:sz="4" w:space="0"/>
            </w:tcBorders>
            <w:vAlign w:val="center"/>
          </w:tcPr>
          <w:p w14:paraId="54BB838C">
            <w:pPr>
              <w:adjustRightInd w:val="0"/>
              <w:snapToGrid w:val="0"/>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课程目标</w:t>
            </w:r>
          </w:p>
        </w:tc>
        <w:tc>
          <w:tcPr>
            <w:tcW w:w="2342" w:type="dxa"/>
            <w:tcBorders>
              <w:top w:val="single" w:color="auto" w:sz="4" w:space="0"/>
              <w:left w:val="single" w:color="auto" w:sz="4" w:space="0"/>
              <w:bottom w:val="single" w:color="auto" w:sz="4" w:space="0"/>
              <w:right w:val="single" w:color="auto" w:sz="4" w:space="0"/>
            </w:tcBorders>
            <w:vAlign w:val="center"/>
          </w:tcPr>
          <w:p w14:paraId="37906B0B">
            <w:pPr>
              <w:adjustRightInd w:val="0"/>
              <w:snapToGrid w:val="0"/>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支撑的毕业要求</w:t>
            </w:r>
          </w:p>
        </w:tc>
        <w:tc>
          <w:tcPr>
            <w:tcW w:w="5560" w:type="dxa"/>
            <w:tcBorders>
              <w:top w:val="single" w:color="auto" w:sz="4" w:space="0"/>
              <w:left w:val="single" w:color="auto" w:sz="4" w:space="0"/>
              <w:bottom w:val="single" w:color="auto" w:sz="4" w:space="0"/>
              <w:right w:val="single" w:color="auto" w:sz="4" w:space="0"/>
            </w:tcBorders>
            <w:vAlign w:val="center"/>
          </w:tcPr>
          <w:p w14:paraId="40385D6A">
            <w:pPr>
              <w:adjustRightInd w:val="0"/>
              <w:snapToGrid w:val="0"/>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支撑的毕业要求指标点</w:t>
            </w:r>
          </w:p>
        </w:tc>
      </w:tr>
      <w:tr w14:paraId="76DB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59" w:type="dxa"/>
            <w:tcBorders>
              <w:top w:val="single" w:color="auto" w:sz="4" w:space="0"/>
              <w:left w:val="single" w:color="auto" w:sz="4" w:space="0"/>
              <w:bottom w:val="single" w:color="auto" w:sz="4" w:space="0"/>
              <w:right w:val="single" w:color="auto" w:sz="4" w:space="0"/>
            </w:tcBorders>
            <w:vAlign w:val="center"/>
          </w:tcPr>
          <w:p w14:paraId="67BF8705">
            <w:pPr>
              <w:adjustRightInd w:val="0"/>
              <w:snapToGrid w:val="0"/>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2342" w:type="dxa"/>
            <w:tcBorders>
              <w:top w:val="single" w:color="auto" w:sz="4" w:space="0"/>
              <w:left w:val="single" w:color="auto" w:sz="4" w:space="0"/>
              <w:bottom w:val="single" w:color="auto" w:sz="4" w:space="0"/>
              <w:right w:val="single" w:color="auto" w:sz="4" w:space="0"/>
            </w:tcBorders>
            <w:vAlign w:val="center"/>
          </w:tcPr>
          <w:p w14:paraId="2C50AF1A">
            <w:pPr>
              <w:adjustRightInd w:val="0"/>
              <w:snapToGrid w:val="0"/>
              <w:rPr>
                <w:rFonts w:hint="eastAsia" w:ascii="宋体" w:hAnsi="宋体" w:eastAsia="宋体" w:cs="Times New Roman"/>
                <w:b/>
                <w:bCs/>
                <w:kern w:val="0"/>
                <w:sz w:val="20"/>
                <w:szCs w:val="21"/>
              </w:rPr>
            </w:pPr>
            <w:r>
              <w:rPr>
                <w:rFonts w:hint="eastAsia" w:ascii="宋体" w:hAnsi="宋体" w:eastAsia="宋体" w:cs="Times New Roman"/>
                <w:b/>
                <w:bCs/>
                <w:kern w:val="0"/>
                <w:sz w:val="20"/>
                <w:szCs w:val="21"/>
              </w:rPr>
              <w:t>毕业要求3.学科素养</w:t>
            </w:r>
          </w:p>
        </w:tc>
        <w:tc>
          <w:tcPr>
            <w:tcW w:w="5560" w:type="dxa"/>
            <w:tcBorders>
              <w:top w:val="single" w:color="auto" w:sz="4" w:space="0"/>
              <w:left w:val="single" w:color="auto" w:sz="4" w:space="0"/>
              <w:bottom w:val="single" w:color="auto" w:sz="4" w:space="0"/>
              <w:right w:val="single" w:color="auto" w:sz="4" w:space="0"/>
            </w:tcBorders>
          </w:tcPr>
          <w:p w14:paraId="6CBD2E47">
            <w:pPr>
              <w:adjustRightInd w:val="0"/>
              <w:snapToGrid w:val="0"/>
              <w:rPr>
                <w:rFonts w:hint="eastAsia" w:ascii="宋体" w:hAnsi="宋体" w:eastAsia="宋体" w:cs="Times New Roman"/>
                <w:kern w:val="0"/>
                <w:sz w:val="20"/>
                <w:szCs w:val="21"/>
              </w:rPr>
            </w:pPr>
            <w:r>
              <w:rPr>
                <w:rFonts w:ascii="Times New Roman" w:hAnsi="Times New Roman" w:eastAsia="宋体" w:cs="Times New Roman"/>
                <w:kern w:val="0"/>
                <w:sz w:val="20"/>
                <w:szCs w:val="21"/>
              </w:rPr>
              <w:t>指标点3-3：</w:t>
            </w:r>
            <w:r>
              <w:rPr>
                <w:rFonts w:hint="eastAsia" w:ascii="Times New Roman" w:hAnsi="Times New Roman" w:eastAsia="宋体" w:cs="Times New Roman"/>
                <w:kern w:val="0"/>
                <w:sz w:val="20"/>
                <w:szCs w:val="21"/>
              </w:rPr>
              <w:t>【熟悉兼教学科】熟悉兼教学科的知识体系，掌握兼教学科的基本知识、原理和技能。</w:t>
            </w:r>
          </w:p>
        </w:tc>
      </w:tr>
      <w:tr w14:paraId="0EA2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459" w:type="dxa"/>
            <w:tcBorders>
              <w:top w:val="single" w:color="auto" w:sz="4" w:space="0"/>
              <w:left w:val="single" w:color="auto" w:sz="4" w:space="0"/>
              <w:bottom w:val="single" w:color="auto" w:sz="4" w:space="0"/>
              <w:right w:val="single" w:color="auto" w:sz="4" w:space="0"/>
            </w:tcBorders>
            <w:vAlign w:val="center"/>
          </w:tcPr>
          <w:p w14:paraId="58B60F54">
            <w:pPr>
              <w:adjustRightInd w:val="0"/>
              <w:snapToGrid w:val="0"/>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2342" w:type="dxa"/>
            <w:tcBorders>
              <w:top w:val="single" w:color="auto" w:sz="4" w:space="0"/>
              <w:left w:val="single" w:color="auto" w:sz="4" w:space="0"/>
              <w:bottom w:val="single" w:color="auto" w:sz="4" w:space="0"/>
              <w:right w:val="single" w:color="auto" w:sz="4" w:space="0"/>
            </w:tcBorders>
            <w:vAlign w:val="center"/>
          </w:tcPr>
          <w:p w14:paraId="144772EA">
            <w:pPr>
              <w:widowControl/>
              <w:spacing w:line="320" w:lineRule="exact"/>
              <w:rPr>
                <w:rFonts w:ascii="Times New Roman" w:hAnsi="Times New Roman" w:eastAsia="宋体" w:cs="Times New Roman"/>
                <w:b/>
                <w:bCs/>
                <w:kern w:val="0"/>
                <w:sz w:val="20"/>
                <w:szCs w:val="23"/>
              </w:rPr>
            </w:pPr>
            <w:r>
              <w:rPr>
                <w:rFonts w:ascii="Times New Roman" w:hAnsi="Times New Roman" w:eastAsia="宋体" w:cs="Times New Roman"/>
                <w:b/>
                <w:bCs/>
                <w:kern w:val="0"/>
                <w:sz w:val="20"/>
                <w:szCs w:val="21"/>
              </w:rPr>
              <w:t>毕业要求4：</w:t>
            </w:r>
            <w:r>
              <w:rPr>
                <w:rFonts w:ascii="Times New Roman" w:hAnsi="Times New Roman" w:eastAsia="宋体" w:cs="Times New Roman"/>
                <w:b/>
                <w:bCs/>
                <w:kern w:val="0"/>
                <w:sz w:val="20"/>
                <w:szCs w:val="23"/>
              </w:rPr>
              <w:t>教学能力</w:t>
            </w:r>
          </w:p>
          <w:p w14:paraId="62DF5850">
            <w:pPr>
              <w:adjustRightInd w:val="0"/>
              <w:snapToGrid w:val="0"/>
              <w:jc w:val="center"/>
              <w:rPr>
                <w:rFonts w:hint="eastAsia" w:ascii="宋体" w:hAnsi="宋体" w:eastAsia="宋体" w:cs="Times New Roman"/>
                <w:kern w:val="0"/>
                <w:sz w:val="20"/>
                <w:szCs w:val="21"/>
              </w:rPr>
            </w:pPr>
          </w:p>
        </w:tc>
        <w:tc>
          <w:tcPr>
            <w:tcW w:w="5560" w:type="dxa"/>
            <w:tcBorders>
              <w:top w:val="single" w:color="auto" w:sz="4" w:space="0"/>
              <w:left w:val="single" w:color="auto" w:sz="4" w:space="0"/>
              <w:bottom w:val="single" w:color="auto" w:sz="4" w:space="0"/>
              <w:right w:val="single" w:color="auto" w:sz="4" w:space="0"/>
            </w:tcBorders>
          </w:tcPr>
          <w:p w14:paraId="12A30EDE">
            <w:pPr>
              <w:adjustRightInd w:val="0"/>
              <w:snapToGrid w:val="0"/>
              <w:rPr>
                <w:rFonts w:hint="eastAsia" w:ascii="宋体" w:hAnsi="宋体" w:eastAsia="宋体" w:cs="Times New Roman"/>
                <w:kern w:val="0"/>
                <w:sz w:val="20"/>
                <w:szCs w:val="21"/>
              </w:rPr>
            </w:pPr>
            <w:r>
              <w:rPr>
                <w:rFonts w:ascii="Times New Roman" w:hAnsi="Times New Roman" w:eastAsia="宋体" w:cs="Times New Roman"/>
                <w:kern w:val="0"/>
                <w:sz w:val="20"/>
                <w:szCs w:val="21"/>
              </w:rPr>
              <w:t>指标点4-1：</w:t>
            </w:r>
            <w:r>
              <w:rPr>
                <w:rFonts w:hint="eastAsia" w:ascii="Times New Roman" w:hAnsi="Times New Roman" w:eastAsia="宋体" w:cs="Times New Roman"/>
                <w:kern w:val="0"/>
                <w:sz w:val="20"/>
                <w:szCs w:val="21"/>
              </w:rPr>
              <w:t>【领会课程标准】掌握教与学的知识，熟悉所教学科课程标准和教材、教学内容，具有一定的教材解读能力，具有依据课标进行教学的意识和习惯。</w:t>
            </w:r>
          </w:p>
        </w:tc>
      </w:tr>
      <w:tr w14:paraId="2507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59" w:type="dxa"/>
            <w:tcBorders>
              <w:top w:val="single" w:color="auto" w:sz="4" w:space="0"/>
              <w:left w:val="single" w:color="auto" w:sz="4" w:space="0"/>
              <w:bottom w:val="single" w:color="auto" w:sz="4" w:space="0"/>
              <w:right w:val="single" w:color="auto" w:sz="4" w:space="0"/>
            </w:tcBorders>
            <w:vAlign w:val="center"/>
          </w:tcPr>
          <w:p w14:paraId="346E27F7">
            <w:pPr>
              <w:adjustRightInd w:val="0"/>
              <w:snapToGrid w:val="0"/>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2342" w:type="dxa"/>
            <w:tcBorders>
              <w:top w:val="single" w:color="auto" w:sz="4" w:space="0"/>
              <w:left w:val="single" w:color="auto" w:sz="4" w:space="0"/>
              <w:bottom w:val="single" w:color="auto" w:sz="4" w:space="0"/>
              <w:right w:val="single" w:color="auto" w:sz="4" w:space="0"/>
            </w:tcBorders>
            <w:vAlign w:val="center"/>
          </w:tcPr>
          <w:p w14:paraId="2DEDB1A1">
            <w:pPr>
              <w:widowControl/>
              <w:spacing w:line="320" w:lineRule="exact"/>
              <w:rPr>
                <w:rFonts w:ascii="Times New Roman" w:hAnsi="Times New Roman" w:eastAsia="宋体" w:cs="Times New Roman"/>
                <w:b/>
                <w:bCs/>
                <w:kern w:val="0"/>
                <w:sz w:val="20"/>
                <w:szCs w:val="23"/>
              </w:rPr>
            </w:pPr>
            <w:r>
              <w:rPr>
                <w:rFonts w:ascii="Times New Roman" w:hAnsi="Times New Roman" w:eastAsia="宋体" w:cs="Times New Roman"/>
                <w:b/>
                <w:bCs/>
                <w:kern w:val="0"/>
                <w:sz w:val="20"/>
                <w:szCs w:val="21"/>
              </w:rPr>
              <w:t>毕业要求4：</w:t>
            </w:r>
            <w:r>
              <w:rPr>
                <w:rFonts w:ascii="Times New Roman" w:hAnsi="Times New Roman" w:eastAsia="宋体" w:cs="Times New Roman"/>
                <w:b/>
                <w:bCs/>
                <w:kern w:val="0"/>
                <w:sz w:val="20"/>
                <w:szCs w:val="23"/>
              </w:rPr>
              <w:t>教学能力</w:t>
            </w:r>
          </w:p>
          <w:p w14:paraId="7EDA7873">
            <w:pPr>
              <w:adjustRightInd w:val="0"/>
              <w:snapToGrid w:val="0"/>
              <w:jc w:val="center"/>
              <w:rPr>
                <w:rFonts w:hint="eastAsia" w:ascii="宋体" w:hAnsi="宋体" w:eastAsia="宋体" w:cs="Times New Roman"/>
                <w:kern w:val="0"/>
                <w:sz w:val="20"/>
                <w:szCs w:val="21"/>
              </w:rPr>
            </w:pPr>
          </w:p>
        </w:tc>
        <w:tc>
          <w:tcPr>
            <w:tcW w:w="5560" w:type="dxa"/>
            <w:tcBorders>
              <w:top w:val="single" w:color="auto" w:sz="4" w:space="0"/>
              <w:left w:val="single" w:color="auto" w:sz="4" w:space="0"/>
              <w:bottom w:val="single" w:color="auto" w:sz="4" w:space="0"/>
              <w:right w:val="single" w:color="auto" w:sz="4" w:space="0"/>
            </w:tcBorders>
          </w:tcPr>
          <w:p w14:paraId="3A035783">
            <w:pPr>
              <w:adjustRightInd w:val="0"/>
              <w:snapToGrid w:val="0"/>
              <w:rPr>
                <w:rFonts w:hint="eastAsia" w:ascii="宋体" w:hAnsi="宋体" w:eastAsia="宋体" w:cs="Times New Roman"/>
                <w:kern w:val="0"/>
                <w:sz w:val="20"/>
                <w:szCs w:val="21"/>
              </w:rPr>
            </w:pPr>
            <w:r>
              <w:rPr>
                <w:rFonts w:ascii="Times New Roman" w:hAnsi="Times New Roman" w:eastAsia="宋体" w:cs="Times New Roman"/>
                <w:kern w:val="0"/>
                <w:sz w:val="20"/>
                <w:szCs w:val="21"/>
              </w:rPr>
              <w:t>指标点4-2：</w:t>
            </w:r>
            <w:r>
              <w:rPr>
                <w:rFonts w:hint="eastAsia" w:ascii="Times New Roman" w:hAnsi="Times New Roman" w:eastAsia="宋体" w:cs="Times New Roman"/>
                <w:kern w:val="0"/>
                <w:sz w:val="20"/>
                <w:szCs w:val="21"/>
              </w:rPr>
              <w:t>【教学技能突出】获得全面的小学教学体验，掌握学科教学的基本方法与策略，能独立进行教学设计、实施和评价。</w:t>
            </w:r>
          </w:p>
        </w:tc>
      </w:tr>
      <w:tr w14:paraId="2C65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459" w:type="dxa"/>
            <w:tcBorders>
              <w:top w:val="single" w:color="auto" w:sz="4" w:space="0"/>
              <w:left w:val="single" w:color="auto" w:sz="4" w:space="0"/>
              <w:bottom w:val="single" w:color="auto" w:sz="4" w:space="0"/>
              <w:right w:val="single" w:color="auto" w:sz="4" w:space="0"/>
            </w:tcBorders>
            <w:vAlign w:val="center"/>
          </w:tcPr>
          <w:p w14:paraId="627308C1">
            <w:pPr>
              <w:adjustRightInd w:val="0"/>
              <w:snapToGrid w:val="0"/>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2342" w:type="dxa"/>
            <w:tcBorders>
              <w:top w:val="single" w:color="auto" w:sz="4" w:space="0"/>
              <w:left w:val="single" w:color="auto" w:sz="4" w:space="0"/>
              <w:bottom w:val="single" w:color="auto" w:sz="4" w:space="0"/>
              <w:right w:val="single" w:color="auto" w:sz="4" w:space="0"/>
            </w:tcBorders>
            <w:vAlign w:val="center"/>
          </w:tcPr>
          <w:p w14:paraId="4DE995F5">
            <w:pPr>
              <w:spacing w:line="320" w:lineRule="exact"/>
              <w:rPr>
                <w:rFonts w:hint="eastAsia" w:ascii="Times New Roman" w:hAnsi="Times New Roman" w:eastAsia="宋体" w:cs="Times New Roman"/>
                <w:b/>
                <w:bCs/>
                <w:kern w:val="0"/>
                <w:sz w:val="20"/>
                <w:szCs w:val="23"/>
              </w:rPr>
            </w:pPr>
            <w:r>
              <w:rPr>
                <w:rFonts w:ascii="Times New Roman" w:hAnsi="Times New Roman" w:eastAsia="宋体" w:cs="Times New Roman"/>
                <w:b/>
                <w:bCs/>
                <w:kern w:val="0"/>
                <w:sz w:val="20"/>
                <w:szCs w:val="21"/>
              </w:rPr>
              <w:t>毕业要求6：</w:t>
            </w:r>
            <w:r>
              <w:rPr>
                <w:rFonts w:ascii="Times New Roman" w:hAnsi="Times New Roman" w:eastAsia="宋体" w:cs="Times New Roman"/>
                <w:b/>
                <w:bCs/>
                <w:kern w:val="0"/>
                <w:sz w:val="20"/>
                <w:szCs w:val="23"/>
              </w:rPr>
              <w:t>综合育人</w:t>
            </w:r>
          </w:p>
        </w:tc>
        <w:tc>
          <w:tcPr>
            <w:tcW w:w="5560" w:type="dxa"/>
            <w:tcBorders>
              <w:top w:val="single" w:color="auto" w:sz="4" w:space="0"/>
              <w:left w:val="single" w:color="auto" w:sz="4" w:space="0"/>
              <w:bottom w:val="single" w:color="auto" w:sz="4" w:space="0"/>
              <w:right w:val="single" w:color="auto" w:sz="4" w:space="0"/>
            </w:tcBorders>
          </w:tcPr>
          <w:p w14:paraId="6B076C54">
            <w:pPr>
              <w:adjustRightInd w:val="0"/>
              <w:snapToGrid w:val="0"/>
              <w:rPr>
                <w:rFonts w:hint="eastAsia" w:ascii="宋体" w:hAnsi="宋体" w:eastAsia="宋体" w:cs="Times New Roman"/>
                <w:kern w:val="0"/>
                <w:sz w:val="20"/>
                <w:szCs w:val="21"/>
              </w:rPr>
            </w:pPr>
            <w:r>
              <w:rPr>
                <w:rFonts w:ascii="Times New Roman" w:hAnsi="Times New Roman" w:eastAsia="宋体" w:cs="Times New Roman"/>
                <w:kern w:val="0"/>
                <w:sz w:val="20"/>
                <w:szCs w:val="21"/>
              </w:rPr>
              <w:t>指标点6-2：</w:t>
            </w:r>
            <w:r>
              <w:rPr>
                <w:rFonts w:hint="eastAsia" w:ascii="Times New Roman" w:hAnsi="Times New Roman" w:eastAsia="宋体" w:cs="Times New Roman"/>
                <w:kern w:val="0"/>
                <w:sz w:val="20"/>
                <w:szCs w:val="21"/>
              </w:rPr>
              <w:t>【懂得学科育人】具有教书育人的意识，理解学科核心素养和拟任教学科课程独特的育人功能，具备结合学科教学进行育人的意识与能力，注重学科教学中思想政治教育的渗透。</w:t>
            </w:r>
          </w:p>
        </w:tc>
      </w:tr>
    </w:tbl>
    <w:p w14:paraId="3312192F">
      <w:pPr>
        <w:spacing w:line="360" w:lineRule="auto"/>
        <w:ind w:firstLine="482" w:firstLineChars="200"/>
        <w:rPr>
          <w:rFonts w:ascii="Times New Roman" w:hAnsi="Times New Roman" w:eastAsia="宋体" w:cs="Times New Roman"/>
          <w:b/>
          <w:kern w:val="0"/>
          <w:sz w:val="24"/>
          <w:szCs w:val="24"/>
        </w:rPr>
      </w:pPr>
    </w:p>
    <w:p w14:paraId="537D5B79">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三、课程内容与要求</w:t>
      </w:r>
    </w:p>
    <w:p w14:paraId="3D2BAFB7">
      <w:pPr>
        <w:spacing w:line="360" w:lineRule="auto"/>
        <w:rPr>
          <w:rFonts w:hint="eastAsia" w:ascii="宋体" w:hAnsi="宋体" w:eastAsia="宋体" w:cs="宋体"/>
          <w:b/>
          <w:bCs/>
          <w:kern w:val="0"/>
          <w:sz w:val="24"/>
          <w:szCs w:val="24"/>
        </w:rPr>
      </w:pPr>
      <w:r>
        <w:rPr>
          <w:rFonts w:hint="eastAsia" w:ascii="宋体" w:hAnsi="宋体" w:eastAsia="宋体" w:cs="宋体"/>
          <w:szCs w:val="21"/>
        </w:rPr>
        <w:t xml:space="preserve">    </w:t>
      </w:r>
      <w:r>
        <w:rPr>
          <w:rFonts w:hint="eastAsia" w:ascii="宋体" w:hAnsi="宋体" w:eastAsia="宋体" w:cs="宋体"/>
          <w:b/>
          <w:bCs/>
          <w:sz w:val="24"/>
          <w:szCs w:val="24"/>
        </w:rPr>
        <w:t>（一）科学与</w:t>
      </w:r>
      <w:r>
        <w:rPr>
          <w:rFonts w:hint="eastAsia" w:ascii="宋体" w:hAnsi="宋体" w:eastAsia="宋体" w:cs="宋体"/>
          <w:b/>
          <w:bCs/>
          <w:kern w:val="0"/>
          <w:sz w:val="24"/>
          <w:szCs w:val="24"/>
        </w:rPr>
        <w:t>科学教育（</w:t>
      </w:r>
      <w:r>
        <w:rPr>
          <w:rFonts w:hint="eastAsia" w:ascii="宋体" w:hAnsi="宋体" w:eastAsia="宋体" w:cs="Times New Roman"/>
          <w:b/>
          <w:color w:val="000000"/>
          <w:sz w:val="24"/>
        </w:rPr>
        <w:t>支撑课程目标1</w:t>
      </w:r>
      <w:r>
        <w:rPr>
          <w:rFonts w:hint="eastAsia" w:ascii="宋体" w:hAnsi="宋体" w:eastAsia="宋体" w:cs="宋体"/>
          <w:b/>
          <w:bCs/>
          <w:kern w:val="0"/>
          <w:sz w:val="24"/>
          <w:szCs w:val="24"/>
        </w:rPr>
        <w:t>）</w:t>
      </w:r>
    </w:p>
    <w:p w14:paraId="4A5930B9">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1.教学内容</w:t>
      </w:r>
    </w:p>
    <w:p w14:paraId="4804D65C">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（1）科学的本质</w:t>
      </w:r>
    </w:p>
    <w:p w14:paraId="3CD61C26">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（2）科学本质观下的科学教育</w:t>
      </w:r>
    </w:p>
    <w:p w14:paraId="573C6882">
      <w:pPr>
        <w:widowControl/>
        <w:spacing w:line="360" w:lineRule="auto"/>
        <w:ind w:firstLine="480"/>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2.基本要求</w:t>
      </w:r>
    </w:p>
    <w:p w14:paraId="482EF930">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（1）阐释科学的本质的代表性观点</w:t>
      </w:r>
    </w:p>
    <w:p w14:paraId="4DDEE58D">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（2）分析科学本质观对科学教育的启示</w:t>
      </w:r>
    </w:p>
    <w:p w14:paraId="589F65BE">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62CA9BB5">
      <w:pPr>
        <w:widowControl/>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辩证认识科学本质观，深入分析科学本质观的育人价值，树立科学精神，推动社会主义核心价值观的落实，注重科学教育与社会发展和人民需求的结合。</w:t>
      </w:r>
    </w:p>
    <w:p w14:paraId="569B7BAF">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：科学本质观下的科学教育</w:t>
      </w:r>
    </w:p>
    <w:p w14:paraId="27A9B254">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：科学本质观</w:t>
      </w:r>
    </w:p>
    <w:p w14:paraId="2E9FA608">
      <w:pPr>
        <w:spacing w:line="360" w:lineRule="auto"/>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（二）</w:t>
      </w:r>
      <w:r>
        <w:rPr>
          <w:rFonts w:hint="eastAsia" w:ascii="宋体" w:hAnsi="宋体" w:eastAsia="宋体" w:cs="宋体"/>
          <w:b/>
          <w:bCs/>
          <w:kern w:val="0"/>
          <w:sz w:val="24"/>
          <w:szCs w:val="24"/>
        </w:rPr>
        <w:t>科学教育相关理论（</w:t>
      </w:r>
      <w:r>
        <w:rPr>
          <w:rFonts w:hint="eastAsia" w:ascii="宋体" w:hAnsi="宋体" w:eastAsia="宋体" w:cs="Times New Roman"/>
          <w:b/>
          <w:color w:val="000000"/>
          <w:sz w:val="24"/>
        </w:rPr>
        <w:t>支撑课程目标1</w:t>
      </w:r>
      <w:r>
        <w:rPr>
          <w:rFonts w:hint="eastAsia" w:ascii="宋体" w:hAnsi="宋体" w:eastAsia="宋体" w:cs="宋体"/>
          <w:b/>
          <w:bCs/>
          <w:kern w:val="0"/>
          <w:sz w:val="24"/>
          <w:szCs w:val="24"/>
        </w:rPr>
        <w:t>）</w:t>
      </w:r>
    </w:p>
    <w:p w14:paraId="2277EA91">
      <w:pPr>
        <w:widowControl/>
        <w:spacing w:line="360" w:lineRule="auto"/>
        <w:ind w:firstLine="480"/>
        <w:jc w:val="left"/>
        <w:rPr>
          <w:rFonts w:hint="eastAsia" w:ascii="宋体" w:hAnsi="宋体" w:eastAsia="宋体" w:cs="宋体"/>
          <w:b/>
          <w:sz w:val="24"/>
          <w:szCs w:val="24"/>
        </w:rPr>
      </w:pPr>
      <w:r>
        <w:rPr>
          <w:rFonts w:hint="eastAsia" w:ascii="宋体" w:hAnsi="宋体" w:eastAsia="宋体" w:cs="宋体"/>
          <w:b/>
          <w:sz w:val="24"/>
          <w:szCs w:val="24"/>
        </w:rPr>
        <w:t>1.教学内容</w:t>
      </w:r>
    </w:p>
    <w:p w14:paraId="4F9918FD">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（1）行为主义学习理论</w:t>
      </w:r>
    </w:p>
    <w:p w14:paraId="13761647">
      <w:pPr>
        <w:widowControl/>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（2）认知主义学习理论</w:t>
      </w:r>
    </w:p>
    <w:p w14:paraId="608D8FAA">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（3）建构主义学习理论</w:t>
      </w:r>
    </w:p>
    <w:p w14:paraId="07E525E2">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（4）脑科学与科学教育</w:t>
      </w:r>
    </w:p>
    <w:p w14:paraId="30228A49">
      <w:pPr>
        <w:widowControl/>
        <w:spacing w:line="360" w:lineRule="auto"/>
        <w:jc w:val="left"/>
        <w:rPr>
          <w:rFonts w:hint="eastAsia" w:ascii="宋体" w:hAnsi="宋体" w:eastAsia="宋体" w:cs="宋体"/>
          <w:b/>
          <w:color w:val="993300"/>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kern w:val="0"/>
          <w:sz w:val="24"/>
          <w:szCs w:val="24"/>
        </w:rPr>
        <w:t xml:space="preserve">   2.基本要求</w:t>
      </w:r>
    </w:p>
    <w:p w14:paraId="6187FCD1">
      <w:pPr>
        <w:widowControl/>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（1）阐释行为主义、认知主义、建构主义学习理论，以及脑科学理论核心观点</w:t>
      </w:r>
    </w:p>
    <w:p w14:paraId="04736B41">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（2）深入分析科学教育相关理论的启示及应用</w:t>
      </w:r>
    </w:p>
    <w:p w14:paraId="25E54B54">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4FF4D310">
      <w:pPr>
        <w:widowControl/>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辩证认识科学教育的相关理论，把马克思主义经典理论和习近平新时代中国特色社会主义思想等马克思主义中国化的最新理论成果融入理论分析中，充分认识其对科学教育的启示。</w:t>
      </w:r>
    </w:p>
    <w:p w14:paraId="7EB41FE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：行为主义、认知主义、建构主义学习理论、脑科学对科学教育的启示</w:t>
      </w:r>
    </w:p>
    <w:p w14:paraId="4DFF7BDC">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：科学教育相关理论的应用</w:t>
      </w:r>
    </w:p>
    <w:p w14:paraId="60120525">
      <w:pPr>
        <w:spacing w:line="360" w:lineRule="auto"/>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（三）</w:t>
      </w:r>
      <w:r>
        <w:rPr>
          <w:rFonts w:hint="eastAsia" w:ascii="宋体" w:hAnsi="宋体" w:eastAsia="宋体" w:cs="宋体"/>
          <w:b/>
          <w:bCs/>
          <w:kern w:val="0"/>
          <w:sz w:val="24"/>
          <w:szCs w:val="24"/>
        </w:rPr>
        <w:t>小学科学课程标准与教材分析（</w:t>
      </w:r>
      <w:r>
        <w:rPr>
          <w:rFonts w:hint="eastAsia" w:ascii="宋体" w:hAnsi="宋体" w:eastAsia="宋体" w:cs="Times New Roman"/>
          <w:b/>
          <w:color w:val="000000"/>
          <w:sz w:val="24"/>
        </w:rPr>
        <w:t>支撑课程目标2</w:t>
      </w:r>
      <w:r>
        <w:rPr>
          <w:rFonts w:hint="eastAsia" w:ascii="宋体" w:hAnsi="宋体" w:eastAsia="宋体" w:cs="宋体"/>
          <w:b/>
          <w:bCs/>
          <w:kern w:val="0"/>
          <w:sz w:val="24"/>
          <w:szCs w:val="24"/>
        </w:rPr>
        <w:t>）</w:t>
      </w:r>
    </w:p>
    <w:p w14:paraId="6A30A672">
      <w:pPr>
        <w:widowControl/>
        <w:spacing w:line="360" w:lineRule="auto"/>
        <w:ind w:firstLine="480"/>
        <w:jc w:val="left"/>
        <w:rPr>
          <w:rFonts w:hint="eastAsia" w:ascii="宋体" w:hAnsi="宋体" w:eastAsia="宋体" w:cs="宋体"/>
          <w:b/>
          <w:sz w:val="24"/>
          <w:szCs w:val="24"/>
        </w:rPr>
      </w:pPr>
      <w:r>
        <w:rPr>
          <w:rFonts w:hint="eastAsia" w:ascii="宋体" w:hAnsi="宋体" w:eastAsia="宋体" w:cs="宋体"/>
          <w:b/>
          <w:sz w:val="24"/>
          <w:szCs w:val="24"/>
        </w:rPr>
        <w:t>1.教学内容</w:t>
      </w:r>
    </w:p>
    <w:p w14:paraId="1C56D6A0">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（1）小学科学课程标准解析</w:t>
      </w:r>
    </w:p>
    <w:p w14:paraId="1BD9D35C">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（2）小学科学教材分析</w:t>
      </w:r>
    </w:p>
    <w:p w14:paraId="2FEC6831">
      <w:pPr>
        <w:widowControl/>
        <w:spacing w:line="360" w:lineRule="auto"/>
        <w:ind w:firstLine="482" w:firstLineChars="200"/>
        <w:jc w:val="left"/>
        <w:rPr>
          <w:rFonts w:hint="eastAsia" w:ascii="宋体" w:hAnsi="宋体" w:eastAsia="宋体" w:cs="宋体"/>
          <w:b/>
          <w:kern w:val="0"/>
          <w:sz w:val="24"/>
          <w:szCs w:val="24"/>
        </w:rPr>
      </w:pPr>
      <w:r>
        <w:rPr>
          <w:rFonts w:hint="eastAsia" w:ascii="宋体" w:hAnsi="宋体" w:eastAsia="宋体" w:cs="宋体"/>
          <w:b/>
          <w:kern w:val="0"/>
          <w:sz w:val="24"/>
          <w:szCs w:val="24"/>
        </w:rPr>
        <w:t>2.基本要求</w:t>
      </w:r>
    </w:p>
    <w:p w14:paraId="0FB5D467">
      <w:pPr>
        <w:widowControl/>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（1）准确解读我国现行科学课程标准内容，对其教学理念有清楚的认识</w:t>
      </w:r>
    </w:p>
    <w:p w14:paraId="468F20A2">
      <w:pPr>
        <w:widowControl/>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（2）认识并熟悉我国现行科学教材的结构与逻辑线索</w:t>
      </w:r>
    </w:p>
    <w:p w14:paraId="5FB73699">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38EEED23">
      <w:pPr>
        <w:widowControl/>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辩证认识小学科学课程标准，把马克思主义经典理论和习近平新时代中国特色社会主义思想等马克思主义中国化的最新理论成果融入科学课标的解读中，理解课程标准中的爱国主义教育、社会责任教育等思政要素，注重培养学生的社会责任感。</w:t>
      </w:r>
    </w:p>
    <w:p w14:paraId="59E9476C">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正确解析我国现行科学课程标准，把握科学课教学理念</w:t>
      </w:r>
    </w:p>
    <w:p w14:paraId="333C94DA">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：分析我国现行科学教材的结构与逻辑线索，会对照课程标准解读教材</w:t>
      </w:r>
    </w:p>
    <w:p w14:paraId="1A7C3B4A">
      <w:pPr>
        <w:spacing w:line="360" w:lineRule="auto"/>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 xml:space="preserve"> （四）</w:t>
      </w:r>
      <w:r>
        <w:rPr>
          <w:rFonts w:hint="eastAsia" w:ascii="宋体" w:hAnsi="宋体" w:eastAsia="宋体" w:cs="宋体"/>
          <w:b/>
          <w:bCs/>
          <w:kern w:val="0"/>
          <w:sz w:val="24"/>
          <w:szCs w:val="24"/>
        </w:rPr>
        <w:t>科学方法教育（</w:t>
      </w:r>
      <w:r>
        <w:rPr>
          <w:rFonts w:hint="eastAsia" w:ascii="宋体" w:hAnsi="宋体" w:eastAsia="宋体" w:cs="Times New Roman"/>
          <w:b/>
          <w:color w:val="000000"/>
          <w:sz w:val="24"/>
        </w:rPr>
        <w:t>支撑课程目标3、课程目标4</w:t>
      </w:r>
      <w:r>
        <w:rPr>
          <w:rFonts w:hint="eastAsia" w:ascii="宋体" w:hAnsi="宋体" w:eastAsia="宋体" w:cs="宋体"/>
          <w:b/>
          <w:bCs/>
          <w:kern w:val="0"/>
          <w:sz w:val="24"/>
          <w:szCs w:val="24"/>
        </w:rPr>
        <w:t>）</w:t>
      </w:r>
    </w:p>
    <w:p w14:paraId="2DAA2E30">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1.教学内容</w:t>
      </w:r>
    </w:p>
    <w:p w14:paraId="0FF73174">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（1）基本的科学方法</w:t>
      </w:r>
    </w:p>
    <w:p w14:paraId="157B01A4">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（2）科学研究方法</w:t>
      </w:r>
    </w:p>
    <w:p w14:paraId="324C083E">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（3）科学思维方法</w:t>
      </w:r>
    </w:p>
    <w:p w14:paraId="59C5D5C4">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2.基本要求</w:t>
      </w:r>
    </w:p>
    <w:p w14:paraId="657FB839">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（1）阐释基本的科学方法类型、内涵分析其在科学教学中的应用，尝试比较不同学习理论中的科学教育思想的差别</w:t>
      </w:r>
    </w:p>
    <w:p w14:paraId="4567E5F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（2）阐释科学研究方法的类型，分析其在科学教学中的应用方法</w:t>
      </w:r>
    </w:p>
    <w:p w14:paraId="2216934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（3）依据科学思维方法的内涵特征，分析在科学教学中的应用方法</w:t>
      </w:r>
    </w:p>
    <w:p w14:paraId="37655D26">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665A1308">
      <w:pPr>
        <w:widowControl/>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辩证认识科学方法教育特点，把马克思主义经典理论和习近平新时代中国特色社会主义思想等马克思主义中国化的最新科学方法教育中，分析其育人价值。</w:t>
      </w:r>
    </w:p>
    <w:p w14:paraId="5CE0445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：科学方法类型及其在科学教育中的应用</w:t>
      </w:r>
    </w:p>
    <w:p w14:paraId="08E9303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：创造性思维、批判性思维在科学教育中的意义</w:t>
      </w:r>
    </w:p>
    <w:p w14:paraId="60050852">
      <w:pPr>
        <w:spacing w:line="360" w:lineRule="auto"/>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 xml:space="preserve"> （五）</w:t>
      </w:r>
      <w:r>
        <w:rPr>
          <w:rFonts w:hint="eastAsia" w:ascii="宋体" w:hAnsi="宋体" w:eastAsia="宋体" w:cs="宋体"/>
          <w:b/>
          <w:bCs/>
          <w:kern w:val="0"/>
          <w:sz w:val="24"/>
          <w:szCs w:val="24"/>
        </w:rPr>
        <w:t>科学教学设计与基本技能（</w:t>
      </w:r>
      <w:r>
        <w:rPr>
          <w:rFonts w:hint="eastAsia" w:ascii="宋体" w:hAnsi="宋体" w:eastAsia="宋体" w:cs="Times New Roman"/>
          <w:b/>
          <w:color w:val="000000"/>
          <w:sz w:val="24"/>
        </w:rPr>
        <w:t>支撑课程目标3、课程目标4</w:t>
      </w:r>
      <w:r>
        <w:rPr>
          <w:rFonts w:hint="eastAsia" w:ascii="宋体" w:hAnsi="宋体" w:eastAsia="宋体" w:cs="宋体"/>
          <w:b/>
          <w:bCs/>
          <w:kern w:val="0"/>
          <w:sz w:val="24"/>
          <w:szCs w:val="24"/>
        </w:rPr>
        <w:t>）</w:t>
      </w:r>
    </w:p>
    <w:p w14:paraId="0529C1A9">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1.教学内容</w:t>
      </w:r>
    </w:p>
    <w:p w14:paraId="3E8F9C5E">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（1）科学教学设计的基本程序</w:t>
      </w:r>
    </w:p>
    <w:p w14:paraId="4F306CC0">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（2）科学教学基本技能</w:t>
      </w:r>
    </w:p>
    <w:p w14:paraId="3CEF20B5">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2.基本要求</w:t>
      </w:r>
    </w:p>
    <w:p w14:paraId="5A71A45A">
      <w:pPr>
        <w:widowControl/>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（1）初步学会科学课程的教学设计，感悟教学设计的创新</w:t>
      </w:r>
    </w:p>
    <w:p w14:paraId="15519D91">
      <w:pPr>
        <w:widowControl/>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（2）依据小学科学课程的教学模式、设计原理，尝试制定小学科学课教学目标</w:t>
      </w:r>
    </w:p>
    <w:p w14:paraId="569744B0">
      <w:pPr>
        <w:widowControl/>
        <w:spacing w:line="360" w:lineRule="auto"/>
        <w:ind w:firstLine="480"/>
        <w:jc w:val="left"/>
        <w:rPr>
          <w:rFonts w:hint="eastAsia" w:ascii="宋体" w:hAnsi="宋体" w:eastAsia="宋体" w:cs="宋体"/>
          <w:bCs/>
          <w:kern w:val="0"/>
          <w:sz w:val="24"/>
          <w:szCs w:val="24"/>
        </w:rPr>
      </w:pPr>
      <w:r>
        <w:rPr>
          <w:rFonts w:hint="eastAsia" w:ascii="宋体" w:hAnsi="宋体" w:eastAsia="宋体" w:cs="宋体"/>
          <w:bCs/>
          <w:kern w:val="0"/>
          <w:sz w:val="24"/>
          <w:szCs w:val="24"/>
        </w:rPr>
        <w:t>（3）能依据课程标准，运用科学教学设计的模式和一般流程，初步尝试教学设计和实施</w:t>
      </w:r>
    </w:p>
    <w:p w14:paraId="70275F84">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6444A693">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充分认识科学教学中的育人元素，尝试运用通过多样的教学方法，有效进行思政教育。</w:t>
      </w:r>
    </w:p>
    <w:p w14:paraId="20560C00">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：掌握小学</w:t>
      </w:r>
      <w:r>
        <w:rPr>
          <w:rFonts w:hint="eastAsia" w:ascii="宋体" w:hAnsi="宋体" w:eastAsia="宋体" w:cs="宋体"/>
          <w:bCs/>
          <w:kern w:val="0"/>
          <w:sz w:val="24"/>
          <w:szCs w:val="24"/>
        </w:rPr>
        <w:t>科学课的基本教学设计流程，会进行教案写作</w:t>
      </w:r>
    </w:p>
    <w:p w14:paraId="0CAA25A3">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：借助课程标准、教材等，完整设计小学科学课</w:t>
      </w:r>
    </w:p>
    <w:p w14:paraId="2FC73CDA">
      <w:pPr>
        <w:spacing w:line="360" w:lineRule="auto"/>
        <w:rPr>
          <w:rFonts w:hint="eastAsia" w:ascii="宋体" w:hAnsi="宋体" w:eastAsia="宋体" w:cs="宋体"/>
          <w:b/>
          <w:bCs/>
          <w:kern w:val="0"/>
          <w:sz w:val="24"/>
          <w:szCs w:val="24"/>
        </w:rPr>
      </w:pPr>
      <w:r>
        <w:rPr>
          <w:rFonts w:hint="eastAsia" w:ascii="宋体" w:hAnsi="宋体" w:eastAsia="宋体" w:cs="宋体"/>
          <w:b/>
          <w:bCs/>
          <w:sz w:val="24"/>
          <w:szCs w:val="24"/>
        </w:rPr>
        <w:t xml:space="preserve">   （六）</w:t>
      </w:r>
      <w:r>
        <w:rPr>
          <w:rFonts w:hint="eastAsia" w:ascii="宋体" w:hAnsi="宋体" w:eastAsia="宋体" w:cs="宋体"/>
          <w:b/>
          <w:bCs/>
          <w:kern w:val="0"/>
          <w:sz w:val="24"/>
          <w:szCs w:val="24"/>
        </w:rPr>
        <w:t>科学教学方法（</w:t>
      </w:r>
      <w:r>
        <w:rPr>
          <w:rFonts w:hint="eastAsia" w:ascii="宋体" w:hAnsi="宋体" w:eastAsia="宋体" w:cs="Times New Roman"/>
          <w:b/>
          <w:color w:val="000000"/>
          <w:sz w:val="24"/>
        </w:rPr>
        <w:t>支撑课程目标3、课程目标4</w:t>
      </w:r>
      <w:r>
        <w:rPr>
          <w:rFonts w:hint="eastAsia" w:ascii="宋体" w:hAnsi="宋体" w:eastAsia="宋体" w:cs="宋体"/>
          <w:b/>
          <w:bCs/>
          <w:kern w:val="0"/>
          <w:sz w:val="24"/>
          <w:szCs w:val="24"/>
        </w:rPr>
        <w:t>）</w:t>
      </w:r>
    </w:p>
    <w:p w14:paraId="786332DE">
      <w:pPr>
        <w:spacing w:line="360" w:lineRule="auto"/>
        <w:ind w:firstLine="480"/>
        <w:rPr>
          <w:rFonts w:hint="eastAsia" w:ascii="宋体" w:hAnsi="宋体" w:eastAsia="宋体" w:cs="宋体"/>
          <w:b/>
          <w:kern w:val="0"/>
          <w:sz w:val="24"/>
          <w:szCs w:val="24"/>
        </w:rPr>
      </w:pPr>
      <w:r>
        <w:rPr>
          <w:rFonts w:hint="eastAsia" w:ascii="宋体" w:hAnsi="宋体" w:eastAsia="宋体" w:cs="宋体"/>
          <w:b/>
          <w:kern w:val="0"/>
          <w:sz w:val="24"/>
          <w:szCs w:val="24"/>
        </w:rPr>
        <w:t>1.教学内容</w:t>
      </w:r>
    </w:p>
    <w:p w14:paraId="237CE821">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（1）讲授式教学与案例</w:t>
      </w:r>
    </w:p>
    <w:p w14:paraId="506F4FAB">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（2）探究式教学与案例</w:t>
      </w:r>
    </w:p>
    <w:p w14:paraId="5C035ABD">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（3）研究性学习与案例</w:t>
      </w:r>
    </w:p>
    <w:p w14:paraId="7ECF438A">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（4）HPS教学与案例</w:t>
      </w:r>
    </w:p>
    <w:p w14:paraId="02E29A98">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（5）PBL教学与案例</w:t>
      </w:r>
    </w:p>
    <w:p w14:paraId="51D9B8AC">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（6）概念教学与案例</w:t>
      </w:r>
    </w:p>
    <w:p w14:paraId="17E74D09">
      <w:pPr>
        <w:spacing w:line="360" w:lineRule="auto"/>
        <w:ind w:firstLine="480"/>
        <w:rPr>
          <w:rFonts w:hint="eastAsia" w:ascii="宋体" w:hAnsi="宋体" w:eastAsia="宋体" w:cs="宋体"/>
          <w:kern w:val="0"/>
          <w:sz w:val="24"/>
          <w:szCs w:val="24"/>
        </w:rPr>
      </w:pPr>
      <w:r>
        <w:rPr>
          <w:rFonts w:hint="eastAsia" w:ascii="宋体" w:hAnsi="宋体" w:eastAsia="宋体" w:cs="宋体"/>
          <w:kern w:val="0"/>
          <w:sz w:val="24"/>
          <w:szCs w:val="24"/>
        </w:rPr>
        <w:t>（7）SSI教学与案例</w:t>
      </w:r>
    </w:p>
    <w:p w14:paraId="5BC67A4A">
      <w:pPr>
        <w:spacing w:line="360" w:lineRule="auto"/>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rPr>
        <w:t>2.基本要求</w:t>
      </w:r>
    </w:p>
    <w:p w14:paraId="0B2E0942">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（1）学会运用各种策略有效组织和调控课堂</w:t>
      </w:r>
    </w:p>
    <w:p w14:paraId="7A60C304">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（2）理解科学课堂中的机智与生成</w:t>
      </w:r>
    </w:p>
    <w:p w14:paraId="70613DF8">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053FF415">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辩证认识科学教学组织策略，把马克思主义经典理论和习近平新时代中国特色社会主义思想等马克思主义中国化的最新理论成果融入科学课堂中，通过多样的方法，有效的进行思政教育。</w:t>
      </w:r>
    </w:p>
    <w:p w14:paraId="53799727">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：探究教学模式</w:t>
      </w:r>
    </w:p>
    <w:p w14:paraId="0DC49115">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：探究教学模式</w:t>
      </w:r>
    </w:p>
    <w:p w14:paraId="41D37778">
      <w:pPr>
        <w:spacing w:line="360" w:lineRule="auto"/>
        <w:rPr>
          <w:rFonts w:hint="eastAsia" w:ascii="宋体" w:hAnsi="宋体" w:eastAsia="宋体" w:cs="宋体"/>
          <w:b/>
          <w:bCs/>
          <w:kern w:val="0"/>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 xml:space="preserve">  （七）科学教学评价</w:t>
      </w:r>
      <w:r>
        <w:rPr>
          <w:rFonts w:hint="eastAsia" w:ascii="宋体" w:hAnsi="宋体" w:eastAsia="宋体" w:cs="宋体"/>
          <w:b/>
          <w:bCs/>
          <w:kern w:val="0"/>
          <w:sz w:val="24"/>
          <w:szCs w:val="24"/>
        </w:rPr>
        <w:t>（</w:t>
      </w:r>
      <w:r>
        <w:rPr>
          <w:rFonts w:hint="eastAsia" w:ascii="宋体" w:hAnsi="宋体" w:eastAsia="宋体" w:cs="Times New Roman"/>
          <w:b/>
          <w:color w:val="000000"/>
          <w:sz w:val="24"/>
        </w:rPr>
        <w:t>支撑课程目标2、课程目标3、课程目标4</w:t>
      </w:r>
      <w:r>
        <w:rPr>
          <w:rFonts w:hint="eastAsia" w:ascii="宋体" w:hAnsi="宋体" w:eastAsia="宋体" w:cs="宋体"/>
          <w:b/>
          <w:bCs/>
          <w:kern w:val="0"/>
          <w:sz w:val="24"/>
          <w:szCs w:val="24"/>
        </w:rPr>
        <w:t>）</w:t>
      </w:r>
    </w:p>
    <w:p w14:paraId="4F9B79DC">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1.教学内容</w:t>
      </w:r>
    </w:p>
    <w:p w14:paraId="6E9FA203">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（1）小学科学教学评价的功能与特征</w:t>
      </w:r>
    </w:p>
    <w:p w14:paraId="09F82B19">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（2）小学科学教学评价的目标与类型</w:t>
      </w:r>
    </w:p>
    <w:p w14:paraId="182F3480">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（3）有效科学教学评价的策略</w:t>
      </w:r>
    </w:p>
    <w:p w14:paraId="5FC1674D">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2.基本要求</w:t>
      </w:r>
    </w:p>
    <w:p w14:paraId="5888B0DB">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（1）阐述评价对于提高科学教学的功能，认同过程性评价的积极意义</w:t>
      </w:r>
    </w:p>
    <w:p w14:paraId="21A4C063">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（2）学会运用多种评价方式与手段，科学、合理地评价科学教学</w:t>
      </w:r>
    </w:p>
    <w:p w14:paraId="0D930816">
      <w:pPr>
        <w:widowControl/>
        <w:spacing w:line="360" w:lineRule="auto"/>
        <w:ind w:firstLine="480"/>
        <w:jc w:val="left"/>
        <w:rPr>
          <w:rFonts w:hint="eastAsia" w:ascii="宋体" w:hAnsi="宋体" w:eastAsia="宋体" w:cs="宋体"/>
          <w:b/>
          <w:kern w:val="0"/>
          <w:sz w:val="24"/>
          <w:szCs w:val="24"/>
        </w:rPr>
      </w:pPr>
      <w:r>
        <w:rPr>
          <w:rFonts w:hint="eastAsia" w:ascii="宋体" w:hAnsi="宋体" w:eastAsia="宋体" w:cs="宋体"/>
          <w:b/>
          <w:kern w:val="0"/>
          <w:sz w:val="24"/>
          <w:szCs w:val="24"/>
        </w:rPr>
        <w:t>3.课程思政育人目标</w:t>
      </w:r>
    </w:p>
    <w:p w14:paraId="44DFDE90">
      <w:pPr>
        <w:widowControl/>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辩证认识评价的工具性与教育性，把马克思主义经典理论和习近平新时代中国特色社会主义思想等马克思主义中国化的最新理论成果融入教学评价过程中，通过评价促进教学的开展。</w:t>
      </w:r>
    </w:p>
    <w:p w14:paraId="6C42B2F3">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：掌握多种科学教学评价方式，合理、科学评价教师教学</w:t>
      </w:r>
    </w:p>
    <w:p w14:paraId="4DEA31C4">
      <w:pPr>
        <w:widowControl/>
        <w:spacing w:line="360" w:lineRule="auto"/>
        <w:ind w:firstLine="480"/>
        <w:jc w:val="left"/>
        <w:rPr>
          <w:rFonts w:hint="eastAsia"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：辩证的看待各种评价方式的优点与不足</w:t>
      </w:r>
    </w:p>
    <w:p w14:paraId="62E2F6ED">
      <w:pPr>
        <w:spacing w:line="360" w:lineRule="auto"/>
        <w:ind w:firstLine="482" w:firstLineChars="200"/>
        <w:rPr>
          <w:rFonts w:ascii="Calibri" w:hAnsi="Calibri" w:eastAsia="宋体" w:cs="Times New Roman"/>
          <w:b/>
          <w:sz w:val="24"/>
          <w:szCs w:val="24"/>
        </w:rPr>
      </w:pPr>
    </w:p>
    <w:p w14:paraId="4341CB19">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sz w:val="24"/>
          <w:szCs w:val="24"/>
        </w:rPr>
        <w:t>教学内容与课程目标的对应关系及学时分配如表所示：</w:t>
      </w:r>
    </w:p>
    <w:tbl>
      <w:tblPr>
        <w:tblStyle w:val="30"/>
        <w:tblW w:w="906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981"/>
        <w:gridCol w:w="1824"/>
        <w:gridCol w:w="1958"/>
        <w:gridCol w:w="755"/>
        <w:gridCol w:w="754"/>
      </w:tblGrid>
      <w:tr w14:paraId="7EB7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88" w:type="dxa"/>
            <w:tcBorders>
              <w:top w:val="single" w:color="auto" w:sz="4" w:space="0"/>
              <w:left w:val="single" w:color="auto" w:sz="4" w:space="0"/>
              <w:bottom w:val="single" w:color="auto" w:sz="4" w:space="0"/>
              <w:right w:val="single" w:color="auto" w:sz="4" w:space="0"/>
            </w:tcBorders>
            <w:shd w:val="clear" w:color="auto" w:fill="FFFFFF"/>
            <w:vAlign w:val="center"/>
          </w:tcPr>
          <w:p w14:paraId="78A9C6E8">
            <w:pPr>
              <w:jc w:val="center"/>
              <w:rPr>
                <w:rFonts w:ascii="宋体" w:hAnsi="宋体" w:eastAsia="宋体" w:cs="Times New Roman"/>
                <w:b/>
                <w:color w:val="000000"/>
                <w:szCs w:val="21"/>
              </w:rPr>
            </w:pPr>
            <w:r>
              <w:rPr>
                <w:rFonts w:hint="eastAsia" w:ascii="宋体" w:hAnsi="宋体" w:eastAsia="宋体" w:cs="Times New Roman"/>
                <w:b/>
                <w:color w:val="000000"/>
                <w:szCs w:val="21"/>
              </w:rPr>
              <w:t>序号</w:t>
            </w:r>
          </w:p>
        </w:tc>
        <w:tc>
          <w:tcPr>
            <w:tcW w:w="2981" w:type="dxa"/>
            <w:tcBorders>
              <w:top w:val="single" w:color="auto" w:sz="4" w:space="0"/>
              <w:left w:val="single" w:color="auto" w:sz="4" w:space="0"/>
              <w:bottom w:val="single" w:color="auto" w:sz="4" w:space="0"/>
              <w:right w:val="single" w:color="auto" w:sz="4" w:space="0"/>
            </w:tcBorders>
            <w:shd w:val="clear" w:color="auto" w:fill="FFFFFF"/>
            <w:vAlign w:val="center"/>
          </w:tcPr>
          <w:p w14:paraId="4475126A">
            <w:pPr>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14:paraId="174C4080">
            <w:pPr>
              <w:jc w:val="center"/>
              <w:rPr>
                <w:rFonts w:ascii="宋体" w:hAnsi="宋体" w:eastAsia="宋体" w:cs="Times New Roman"/>
                <w:b/>
                <w:color w:val="000000"/>
                <w:szCs w:val="21"/>
              </w:rPr>
            </w:pPr>
            <w:r>
              <w:rPr>
                <w:rFonts w:hint="eastAsia" w:ascii="宋体" w:hAnsi="宋体" w:eastAsia="宋体" w:cs="Times New Roman"/>
                <w:b/>
                <w:color w:val="000000"/>
                <w:szCs w:val="21"/>
              </w:rPr>
              <w:t>支撑的课程目标</w:t>
            </w:r>
          </w:p>
        </w:tc>
        <w:tc>
          <w:tcPr>
            <w:tcW w:w="1958" w:type="dxa"/>
            <w:tcBorders>
              <w:top w:val="single" w:color="auto" w:sz="4" w:space="0"/>
              <w:left w:val="single" w:color="auto" w:sz="4" w:space="0"/>
              <w:bottom w:val="single" w:color="auto" w:sz="4" w:space="0"/>
              <w:right w:val="single" w:color="auto" w:sz="4" w:space="0"/>
            </w:tcBorders>
            <w:shd w:val="clear" w:color="auto" w:fill="FFFFFF"/>
            <w:vAlign w:val="center"/>
          </w:tcPr>
          <w:p w14:paraId="53F8AD0B">
            <w:pPr>
              <w:jc w:val="center"/>
              <w:rPr>
                <w:rFonts w:ascii="宋体" w:hAnsi="宋体" w:eastAsia="宋体" w:cs="Times New Roman"/>
                <w:b/>
                <w:color w:val="000000"/>
                <w:szCs w:val="21"/>
              </w:rPr>
            </w:pPr>
            <w:r>
              <w:rPr>
                <w:rFonts w:hint="eastAsia" w:ascii="宋体" w:hAnsi="宋体" w:eastAsia="宋体" w:cs="Times New Roman"/>
                <w:b/>
                <w:color w:val="000000"/>
                <w:szCs w:val="21"/>
              </w:rPr>
              <w:t>支撑的毕业要求指标点</w:t>
            </w:r>
          </w:p>
        </w:tc>
        <w:tc>
          <w:tcPr>
            <w:tcW w:w="755" w:type="dxa"/>
            <w:tcBorders>
              <w:top w:val="single" w:color="auto" w:sz="4" w:space="0"/>
              <w:left w:val="single" w:color="auto" w:sz="4" w:space="0"/>
              <w:bottom w:val="single" w:color="auto" w:sz="4" w:space="0"/>
              <w:right w:val="single" w:color="auto" w:sz="4" w:space="0"/>
            </w:tcBorders>
            <w:shd w:val="clear" w:color="auto" w:fill="FFFFFF"/>
            <w:vAlign w:val="center"/>
          </w:tcPr>
          <w:p w14:paraId="00BFA609">
            <w:pPr>
              <w:jc w:val="center"/>
              <w:rPr>
                <w:rFonts w:ascii="宋体" w:hAnsi="宋体" w:eastAsia="宋体" w:cs="Times New Roman"/>
                <w:b/>
                <w:color w:val="000000"/>
                <w:szCs w:val="21"/>
              </w:rPr>
            </w:pPr>
            <w:r>
              <w:rPr>
                <w:rFonts w:hint="eastAsia" w:ascii="宋体" w:hAnsi="宋体" w:eastAsia="宋体" w:cs="Times New Roman"/>
                <w:b/>
                <w:color w:val="000000"/>
                <w:szCs w:val="21"/>
              </w:rPr>
              <w:t>讲授学时</w:t>
            </w:r>
          </w:p>
        </w:tc>
        <w:tc>
          <w:tcPr>
            <w:tcW w:w="754" w:type="dxa"/>
            <w:tcBorders>
              <w:top w:val="single" w:color="auto" w:sz="4" w:space="0"/>
              <w:left w:val="single" w:color="auto" w:sz="4" w:space="0"/>
              <w:bottom w:val="single" w:color="auto" w:sz="4" w:space="0"/>
              <w:right w:val="single" w:color="auto" w:sz="4" w:space="0"/>
            </w:tcBorders>
            <w:shd w:val="clear" w:color="auto" w:fill="FFFFFF"/>
            <w:vAlign w:val="center"/>
          </w:tcPr>
          <w:p w14:paraId="370A885A">
            <w:pPr>
              <w:jc w:val="center"/>
              <w:rPr>
                <w:rFonts w:ascii="宋体" w:hAnsi="宋体" w:eastAsia="宋体" w:cs="Times New Roman"/>
                <w:b/>
                <w:color w:val="000000"/>
                <w:szCs w:val="21"/>
              </w:rPr>
            </w:pPr>
            <w:r>
              <w:rPr>
                <w:rFonts w:hint="eastAsia" w:ascii="宋体" w:hAnsi="宋体" w:eastAsia="宋体" w:cs="Times New Roman"/>
                <w:b/>
                <w:color w:val="000000"/>
                <w:szCs w:val="21"/>
              </w:rPr>
              <w:t>实践学时</w:t>
            </w:r>
          </w:p>
        </w:tc>
      </w:tr>
      <w:tr w14:paraId="0981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8" w:type="dxa"/>
            <w:tcBorders>
              <w:top w:val="single" w:color="auto" w:sz="4" w:space="0"/>
              <w:left w:val="single" w:color="auto" w:sz="4" w:space="0"/>
              <w:bottom w:val="single" w:color="auto" w:sz="4" w:space="0"/>
              <w:right w:val="single" w:color="auto" w:sz="4" w:space="0"/>
            </w:tcBorders>
          </w:tcPr>
          <w:p w14:paraId="38CAB278">
            <w:pPr>
              <w:jc w:val="center"/>
              <w:rPr>
                <w:rFonts w:hint="eastAsia" w:ascii="宋体" w:hAnsi="宋体" w:eastAsia="宋体" w:cs="Times New Roman"/>
                <w:szCs w:val="21"/>
              </w:rPr>
            </w:pPr>
            <w:r>
              <w:rPr>
                <w:rFonts w:hint="eastAsia" w:ascii="宋体" w:hAnsi="宋体" w:eastAsia="宋体"/>
              </w:rPr>
              <w:t>1</w:t>
            </w:r>
          </w:p>
        </w:tc>
        <w:tc>
          <w:tcPr>
            <w:tcW w:w="2981" w:type="dxa"/>
            <w:tcBorders>
              <w:top w:val="single" w:color="auto" w:sz="4" w:space="0"/>
              <w:left w:val="single" w:color="auto" w:sz="4" w:space="0"/>
              <w:bottom w:val="single" w:color="auto" w:sz="4" w:space="0"/>
              <w:right w:val="single" w:color="auto" w:sz="4" w:space="0"/>
            </w:tcBorders>
          </w:tcPr>
          <w:p w14:paraId="599360EF">
            <w:pPr>
              <w:jc w:val="center"/>
              <w:rPr>
                <w:rFonts w:ascii="宋体" w:hAnsi="宋体" w:eastAsia="宋体" w:cs="Times New Roman"/>
                <w:color w:val="000000"/>
                <w:szCs w:val="21"/>
              </w:rPr>
            </w:pPr>
            <w:r>
              <w:rPr>
                <w:rFonts w:hint="eastAsia" w:ascii="宋体" w:hAnsi="宋体" w:eastAsia="宋体"/>
              </w:rPr>
              <w:t>科学与科学教育</w:t>
            </w:r>
          </w:p>
        </w:tc>
        <w:tc>
          <w:tcPr>
            <w:tcW w:w="1824" w:type="dxa"/>
            <w:tcBorders>
              <w:top w:val="single" w:color="auto" w:sz="4" w:space="0"/>
              <w:left w:val="single" w:color="auto" w:sz="4" w:space="0"/>
              <w:bottom w:val="single" w:color="auto" w:sz="4" w:space="0"/>
              <w:right w:val="single" w:color="auto" w:sz="4" w:space="0"/>
            </w:tcBorders>
          </w:tcPr>
          <w:p w14:paraId="5A27DDEC">
            <w:pPr>
              <w:jc w:val="center"/>
              <w:rPr>
                <w:rFonts w:hint="eastAsia" w:ascii="宋体" w:hAnsi="宋体" w:eastAsia="宋体" w:cs="Times New Roman"/>
                <w:color w:val="000000"/>
                <w:szCs w:val="21"/>
              </w:rPr>
            </w:pPr>
            <w:r>
              <w:rPr>
                <w:rFonts w:hint="eastAsia" w:ascii="宋体" w:hAnsi="宋体" w:eastAsia="宋体"/>
              </w:rPr>
              <w:t>目标1</w:t>
            </w:r>
          </w:p>
        </w:tc>
        <w:tc>
          <w:tcPr>
            <w:tcW w:w="1958" w:type="dxa"/>
            <w:tcBorders>
              <w:top w:val="single" w:color="auto" w:sz="4" w:space="0"/>
              <w:left w:val="single" w:color="auto" w:sz="4" w:space="0"/>
              <w:bottom w:val="single" w:color="auto" w:sz="4" w:space="0"/>
              <w:right w:val="single" w:color="auto" w:sz="4" w:space="0"/>
            </w:tcBorders>
          </w:tcPr>
          <w:p w14:paraId="0A95DB71">
            <w:pPr>
              <w:jc w:val="center"/>
              <w:rPr>
                <w:rFonts w:hint="eastAsia" w:ascii="宋体" w:hAnsi="宋体" w:eastAsia="宋体" w:cs="Times New Roman"/>
                <w:szCs w:val="21"/>
              </w:rPr>
            </w:pPr>
            <w:r>
              <w:rPr>
                <w:rFonts w:hint="eastAsia" w:ascii="宋体" w:hAnsi="宋体" w:eastAsia="宋体"/>
              </w:rPr>
              <w:t>3-3</w:t>
            </w:r>
          </w:p>
        </w:tc>
        <w:tc>
          <w:tcPr>
            <w:tcW w:w="755" w:type="dxa"/>
            <w:tcBorders>
              <w:top w:val="single" w:color="auto" w:sz="4" w:space="0"/>
              <w:left w:val="single" w:color="auto" w:sz="4" w:space="0"/>
              <w:bottom w:val="single" w:color="auto" w:sz="4" w:space="0"/>
              <w:right w:val="single" w:color="auto" w:sz="4" w:space="0"/>
            </w:tcBorders>
          </w:tcPr>
          <w:p w14:paraId="600E7713">
            <w:pPr>
              <w:jc w:val="center"/>
              <w:rPr>
                <w:rFonts w:ascii="宋体" w:hAnsi="宋体" w:eastAsia="宋体" w:cs="Times New Roman"/>
                <w:szCs w:val="21"/>
              </w:rPr>
            </w:pPr>
            <w:r>
              <w:rPr>
                <w:rFonts w:hint="eastAsia" w:ascii="宋体" w:hAnsi="宋体" w:eastAsia="宋体"/>
              </w:rPr>
              <w:t>2</w:t>
            </w:r>
          </w:p>
        </w:tc>
        <w:tc>
          <w:tcPr>
            <w:tcW w:w="754" w:type="dxa"/>
            <w:tcBorders>
              <w:top w:val="single" w:color="auto" w:sz="4" w:space="0"/>
              <w:left w:val="single" w:color="auto" w:sz="4" w:space="0"/>
              <w:bottom w:val="single" w:color="auto" w:sz="4" w:space="0"/>
              <w:right w:val="single" w:color="auto" w:sz="4" w:space="0"/>
            </w:tcBorders>
          </w:tcPr>
          <w:p w14:paraId="6FB2215A">
            <w:pPr>
              <w:jc w:val="center"/>
              <w:rPr>
                <w:rFonts w:ascii="宋体" w:hAnsi="宋体" w:eastAsia="宋体" w:cs="Times New Roman"/>
                <w:szCs w:val="21"/>
              </w:rPr>
            </w:pPr>
            <w:r>
              <w:rPr>
                <w:rFonts w:hint="eastAsia" w:ascii="宋体" w:hAnsi="宋体" w:eastAsia="宋体"/>
              </w:rPr>
              <w:t>0</w:t>
            </w:r>
          </w:p>
        </w:tc>
      </w:tr>
      <w:tr w14:paraId="0601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8" w:type="dxa"/>
            <w:tcBorders>
              <w:top w:val="single" w:color="auto" w:sz="4" w:space="0"/>
              <w:left w:val="single" w:color="auto" w:sz="4" w:space="0"/>
              <w:bottom w:val="single" w:color="auto" w:sz="4" w:space="0"/>
              <w:right w:val="single" w:color="auto" w:sz="4" w:space="0"/>
            </w:tcBorders>
          </w:tcPr>
          <w:p w14:paraId="018A60D3">
            <w:pPr>
              <w:jc w:val="center"/>
              <w:rPr>
                <w:rFonts w:hint="eastAsia" w:ascii="宋体" w:hAnsi="宋体" w:eastAsia="宋体" w:cs="Times New Roman"/>
                <w:szCs w:val="21"/>
              </w:rPr>
            </w:pPr>
            <w:r>
              <w:rPr>
                <w:rFonts w:hint="eastAsia" w:ascii="宋体" w:hAnsi="宋体" w:eastAsia="宋体"/>
              </w:rPr>
              <w:t>2</w:t>
            </w:r>
          </w:p>
        </w:tc>
        <w:tc>
          <w:tcPr>
            <w:tcW w:w="2981" w:type="dxa"/>
            <w:tcBorders>
              <w:top w:val="single" w:color="auto" w:sz="4" w:space="0"/>
              <w:left w:val="single" w:color="auto" w:sz="4" w:space="0"/>
              <w:bottom w:val="single" w:color="auto" w:sz="4" w:space="0"/>
              <w:right w:val="single" w:color="auto" w:sz="4" w:space="0"/>
            </w:tcBorders>
          </w:tcPr>
          <w:p w14:paraId="6BBA1F15">
            <w:pPr>
              <w:jc w:val="center"/>
              <w:rPr>
                <w:rFonts w:ascii="宋体" w:hAnsi="宋体" w:eastAsia="宋体" w:cs="Times New Roman"/>
                <w:color w:val="000000"/>
                <w:szCs w:val="21"/>
              </w:rPr>
            </w:pPr>
            <w:r>
              <w:rPr>
                <w:rFonts w:hint="eastAsia" w:ascii="宋体" w:hAnsi="宋体" w:eastAsia="宋体"/>
              </w:rPr>
              <w:t>科学教育相关的理论</w:t>
            </w:r>
          </w:p>
        </w:tc>
        <w:tc>
          <w:tcPr>
            <w:tcW w:w="1824" w:type="dxa"/>
            <w:tcBorders>
              <w:top w:val="single" w:color="auto" w:sz="4" w:space="0"/>
              <w:left w:val="single" w:color="auto" w:sz="4" w:space="0"/>
              <w:bottom w:val="single" w:color="auto" w:sz="4" w:space="0"/>
              <w:right w:val="single" w:color="auto" w:sz="4" w:space="0"/>
            </w:tcBorders>
          </w:tcPr>
          <w:p w14:paraId="6153A04E">
            <w:pPr>
              <w:jc w:val="center"/>
              <w:rPr>
                <w:rFonts w:hint="eastAsia" w:ascii="宋体" w:hAnsi="宋体" w:eastAsia="宋体" w:cs="Times New Roman"/>
                <w:color w:val="000000"/>
                <w:szCs w:val="21"/>
              </w:rPr>
            </w:pPr>
            <w:r>
              <w:rPr>
                <w:rFonts w:hint="eastAsia" w:ascii="宋体" w:hAnsi="宋体" w:eastAsia="宋体"/>
              </w:rPr>
              <w:t>目标1</w:t>
            </w:r>
          </w:p>
        </w:tc>
        <w:tc>
          <w:tcPr>
            <w:tcW w:w="1958" w:type="dxa"/>
            <w:tcBorders>
              <w:top w:val="single" w:color="auto" w:sz="4" w:space="0"/>
              <w:left w:val="single" w:color="auto" w:sz="4" w:space="0"/>
              <w:bottom w:val="single" w:color="auto" w:sz="4" w:space="0"/>
              <w:right w:val="single" w:color="auto" w:sz="4" w:space="0"/>
            </w:tcBorders>
          </w:tcPr>
          <w:p w14:paraId="2F0D83C4">
            <w:pPr>
              <w:jc w:val="center"/>
              <w:rPr>
                <w:rFonts w:hint="eastAsia" w:ascii="宋体" w:hAnsi="宋体" w:eastAsia="宋体" w:cs="Times New Roman"/>
                <w:szCs w:val="21"/>
              </w:rPr>
            </w:pPr>
            <w:r>
              <w:rPr>
                <w:rFonts w:hint="eastAsia" w:ascii="宋体" w:hAnsi="宋体" w:eastAsia="宋体"/>
              </w:rPr>
              <w:t>3-3</w:t>
            </w:r>
          </w:p>
        </w:tc>
        <w:tc>
          <w:tcPr>
            <w:tcW w:w="755" w:type="dxa"/>
            <w:tcBorders>
              <w:top w:val="single" w:color="auto" w:sz="4" w:space="0"/>
              <w:left w:val="single" w:color="auto" w:sz="4" w:space="0"/>
              <w:bottom w:val="single" w:color="auto" w:sz="4" w:space="0"/>
              <w:right w:val="single" w:color="auto" w:sz="4" w:space="0"/>
            </w:tcBorders>
          </w:tcPr>
          <w:p w14:paraId="5B3E71D4">
            <w:pPr>
              <w:jc w:val="center"/>
              <w:rPr>
                <w:rFonts w:ascii="宋体" w:hAnsi="宋体" w:eastAsia="宋体" w:cs="Times New Roman"/>
                <w:szCs w:val="21"/>
              </w:rPr>
            </w:pPr>
            <w:r>
              <w:rPr>
                <w:rFonts w:hint="eastAsia" w:ascii="宋体" w:hAnsi="宋体" w:eastAsia="宋体"/>
              </w:rPr>
              <w:t>2</w:t>
            </w:r>
          </w:p>
        </w:tc>
        <w:tc>
          <w:tcPr>
            <w:tcW w:w="754" w:type="dxa"/>
            <w:tcBorders>
              <w:top w:val="single" w:color="auto" w:sz="4" w:space="0"/>
              <w:left w:val="single" w:color="auto" w:sz="4" w:space="0"/>
              <w:bottom w:val="single" w:color="auto" w:sz="4" w:space="0"/>
              <w:right w:val="single" w:color="auto" w:sz="4" w:space="0"/>
            </w:tcBorders>
          </w:tcPr>
          <w:p w14:paraId="295AFD61">
            <w:pPr>
              <w:jc w:val="center"/>
              <w:rPr>
                <w:rFonts w:ascii="宋体" w:hAnsi="宋体" w:eastAsia="宋体" w:cs="Times New Roman"/>
                <w:szCs w:val="21"/>
              </w:rPr>
            </w:pPr>
            <w:r>
              <w:rPr>
                <w:rFonts w:hint="eastAsia" w:ascii="宋体" w:hAnsi="宋体" w:eastAsia="宋体"/>
              </w:rPr>
              <w:t>0</w:t>
            </w:r>
          </w:p>
        </w:tc>
      </w:tr>
      <w:tr w14:paraId="6E1F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88" w:type="dxa"/>
            <w:tcBorders>
              <w:top w:val="single" w:color="auto" w:sz="4" w:space="0"/>
              <w:left w:val="single" w:color="auto" w:sz="4" w:space="0"/>
              <w:bottom w:val="single" w:color="auto" w:sz="4" w:space="0"/>
              <w:right w:val="single" w:color="auto" w:sz="4" w:space="0"/>
            </w:tcBorders>
          </w:tcPr>
          <w:p w14:paraId="092A7596">
            <w:pPr>
              <w:jc w:val="center"/>
              <w:rPr>
                <w:rFonts w:hint="eastAsia" w:ascii="宋体" w:hAnsi="宋体" w:eastAsia="宋体" w:cs="Times New Roman"/>
                <w:szCs w:val="21"/>
              </w:rPr>
            </w:pPr>
            <w:r>
              <w:rPr>
                <w:rFonts w:hint="eastAsia" w:ascii="宋体" w:hAnsi="宋体" w:eastAsia="宋体"/>
              </w:rPr>
              <w:t>3</w:t>
            </w:r>
          </w:p>
        </w:tc>
        <w:tc>
          <w:tcPr>
            <w:tcW w:w="2981" w:type="dxa"/>
            <w:tcBorders>
              <w:top w:val="single" w:color="auto" w:sz="4" w:space="0"/>
              <w:left w:val="single" w:color="auto" w:sz="4" w:space="0"/>
              <w:bottom w:val="single" w:color="auto" w:sz="4" w:space="0"/>
              <w:right w:val="single" w:color="auto" w:sz="4" w:space="0"/>
            </w:tcBorders>
          </w:tcPr>
          <w:p w14:paraId="3297A613">
            <w:pPr>
              <w:jc w:val="center"/>
              <w:rPr>
                <w:rFonts w:ascii="宋体" w:hAnsi="宋体" w:eastAsia="宋体" w:cs="Times New Roman"/>
                <w:color w:val="000000"/>
                <w:szCs w:val="21"/>
              </w:rPr>
            </w:pPr>
            <w:r>
              <w:rPr>
                <w:rFonts w:hint="eastAsia" w:ascii="宋体" w:hAnsi="宋体" w:eastAsia="宋体"/>
              </w:rPr>
              <w:t>小学科学课程标准与教材分析</w:t>
            </w:r>
          </w:p>
        </w:tc>
        <w:tc>
          <w:tcPr>
            <w:tcW w:w="1824" w:type="dxa"/>
            <w:tcBorders>
              <w:top w:val="single" w:color="auto" w:sz="4" w:space="0"/>
              <w:left w:val="single" w:color="auto" w:sz="4" w:space="0"/>
              <w:bottom w:val="single" w:color="auto" w:sz="4" w:space="0"/>
              <w:right w:val="single" w:color="auto" w:sz="4" w:space="0"/>
            </w:tcBorders>
          </w:tcPr>
          <w:p w14:paraId="1FCDD332">
            <w:pPr>
              <w:jc w:val="center"/>
              <w:rPr>
                <w:rFonts w:hint="eastAsia" w:ascii="宋体" w:hAnsi="宋体" w:eastAsia="宋体" w:cs="Times New Roman"/>
                <w:color w:val="000000"/>
                <w:szCs w:val="21"/>
              </w:rPr>
            </w:pPr>
            <w:r>
              <w:rPr>
                <w:rFonts w:hint="eastAsia" w:ascii="宋体" w:hAnsi="宋体" w:eastAsia="宋体"/>
              </w:rPr>
              <w:t>目标2</w:t>
            </w:r>
          </w:p>
        </w:tc>
        <w:tc>
          <w:tcPr>
            <w:tcW w:w="1958" w:type="dxa"/>
            <w:tcBorders>
              <w:top w:val="single" w:color="auto" w:sz="4" w:space="0"/>
              <w:left w:val="single" w:color="auto" w:sz="4" w:space="0"/>
              <w:bottom w:val="single" w:color="auto" w:sz="4" w:space="0"/>
              <w:right w:val="single" w:color="auto" w:sz="4" w:space="0"/>
            </w:tcBorders>
          </w:tcPr>
          <w:p w14:paraId="0C4ECF89">
            <w:pPr>
              <w:jc w:val="center"/>
              <w:rPr>
                <w:rFonts w:hint="eastAsia" w:ascii="宋体" w:hAnsi="宋体" w:eastAsia="宋体" w:cs="Times New Roman"/>
                <w:szCs w:val="21"/>
              </w:rPr>
            </w:pPr>
            <w:r>
              <w:rPr>
                <w:rFonts w:hint="eastAsia" w:ascii="宋体" w:hAnsi="宋体" w:eastAsia="宋体"/>
              </w:rPr>
              <w:t>4-1、6-2</w:t>
            </w:r>
          </w:p>
        </w:tc>
        <w:tc>
          <w:tcPr>
            <w:tcW w:w="755" w:type="dxa"/>
            <w:tcBorders>
              <w:top w:val="single" w:color="auto" w:sz="4" w:space="0"/>
              <w:left w:val="single" w:color="auto" w:sz="4" w:space="0"/>
              <w:bottom w:val="single" w:color="auto" w:sz="4" w:space="0"/>
              <w:right w:val="single" w:color="auto" w:sz="4" w:space="0"/>
            </w:tcBorders>
          </w:tcPr>
          <w:p w14:paraId="4B2E9B73">
            <w:pPr>
              <w:jc w:val="center"/>
              <w:rPr>
                <w:rFonts w:ascii="宋体" w:hAnsi="宋体" w:eastAsia="宋体" w:cs="Times New Roman"/>
                <w:szCs w:val="21"/>
              </w:rPr>
            </w:pPr>
            <w:r>
              <w:rPr>
                <w:rFonts w:hint="eastAsia" w:ascii="宋体" w:hAnsi="宋体" w:eastAsia="宋体"/>
              </w:rPr>
              <w:t>1</w:t>
            </w:r>
          </w:p>
        </w:tc>
        <w:tc>
          <w:tcPr>
            <w:tcW w:w="754" w:type="dxa"/>
            <w:tcBorders>
              <w:top w:val="single" w:color="auto" w:sz="4" w:space="0"/>
              <w:left w:val="single" w:color="auto" w:sz="4" w:space="0"/>
              <w:bottom w:val="single" w:color="auto" w:sz="4" w:space="0"/>
              <w:right w:val="single" w:color="auto" w:sz="4" w:space="0"/>
            </w:tcBorders>
          </w:tcPr>
          <w:p w14:paraId="7690E9CF">
            <w:pPr>
              <w:jc w:val="center"/>
              <w:rPr>
                <w:rFonts w:ascii="宋体" w:hAnsi="宋体" w:eastAsia="宋体" w:cs="Times New Roman"/>
                <w:szCs w:val="21"/>
              </w:rPr>
            </w:pPr>
            <w:r>
              <w:rPr>
                <w:rFonts w:hint="eastAsia" w:ascii="宋体" w:hAnsi="宋体" w:eastAsia="宋体"/>
              </w:rPr>
              <w:t>4</w:t>
            </w:r>
          </w:p>
        </w:tc>
      </w:tr>
      <w:tr w14:paraId="72D2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8" w:type="dxa"/>
            <w:tcBorders>
              <w:top w:val="single" w:color="auto" w:sz="4" w:space="0"/>
              <w:left w:val="single" w:color="auto" w:sz="4" w:space="0"/>
              <w:bottom w:val="single" w:color="auto" w:sz="4" w:space="0"/>
              <w:right w:val="single" w:color="auto" w:sz="4" w:space="0"/>
            </w:tcBorders>
          </w:tcPr>
          <w:p w14:paraId="4520F6E6">
            <w:pPr>
              <w:jc w:val="center"/>
              <w:rPr>
                <w:rFonts w:hint="eastAsia" w:ascii="宋体" w:hAnsi="宋体" w:eastAsia="宋体" w:cs="Times New Roman"/>
                <w:szCs w:val="21"/>
              </w:rPr>
            </w:pPr>
            <w:r>
              <w:rPr>
                <w:rFonts w:hint="eastAsia" w:ascii="宋体" w:hAnsi="宋体" w:eastAsia="宋体"/>
              </w:rPr>
              <w:t>4</w:t>
            </w:r>
          </w:p>
        </w:tc>
        <w:tc>
          <w:tcPr>
            <w:tcW w:w="2981" w:type="dxa"/>
            <w:tcBorders>
              <w:top w:val="single" w:color="auto" w:sz="4" w:space="0"/>
              <w:left w:val="single" w:color="auto" w:sz="4" w:space="0"/>
              <w:bottom w:val="single" w:color="auto" w:sz="4" w:space="0"/>
              <w:right w:val="single" w:color="auto" w:sz="4" w:space="0"/>
            </w:tcBorders>
          </w:tcPr>
          <w:p w14:paraId="2A0629C9">
            <w:pPr>
              <w:jc w:val="center"/>
              <w:rPr>
                <w:rFonts w:ascii="宋体" w:hAnsi="宋体" w:eastAsia="宋体" w:cs="Times New Roman"/>
                <w:color w:val="000000"/>
                <w:szCs w:val="21"/>
              </w:rPr>
            </w:pPr>
            <w:r>
              <w:rPr>
                <w:rFonts w:hint="eastAsia" w:ascii="宋体" w:hAnsi="宋体" w:eastAsia="宋体"/>
              </w:rPr>
              <w:t>科学方法教育</w:t>
            </w:r>
          </w:p>
        </w:tc>
        <w:tc>
          <w:tcPr>
            <w:tcW w:w="1824" w:type="dxa"/>
            <w:tcBorders>
              <w:top w:val="single" w:color="auto" w:sz="4" w:space="0"/>
              <w:left w:val="single" w:color="auto" w:sz="4" w:space="0"/>
              <w:bottom w:val="single" w:color="auto" w:sz="4" w:space="0"/>
              <w:right w:val="single" w:color="auto" w:sz="4" w:space="0"/>
            </w:tcBorders>
          </w:tcPr>
          <w:p w14:paraId="1BD0CC68">
            <w:pPr>
              <w:jc w:val="center"/>
              <w:rPr>
                <w:rFonts w:hint="eastAsia" w:ascii="宋体" w:hAnsi="宋体" w:eastAsia="宋体" w:cs="Times New Roman"/>
                <w:color w:val="000000"/>
                <w:szCs w:val="21"/>
              </w:rPr>
            </w:pPr>
            <w:r>
              <w:rPr>
                <w:rFonts w:hint="eastAsia" w:ascii="宋体" w:hAnsi="宋体" w:eastAsia="宋体"/>
              </w:rPr>
              <w:t>目标3、目标4</w:t>
            </w:r>
          </w:p>
        </w:tc>
        <w:tc>
          <w:tcPr>
            <w:tcW w:w="1958" w:type="dxa"/>
            <w:tcBorders>
              <w:top w:val="single" w:color="auto" w:sz="4" w:space="0"/>
              <w:left w:val="single" w:color="auto" w:sz="4" w:space="0"/>
              <w:bottom w:val="single" w:color="auto" w:sz="4" w:space="0"/>
              <w:right w:val="single" w:color="auto" w:sz="4" w:space="0"/>
            </w:tcBorders>
          </w:tcPr>
          <w:p w14:paraId="4140C303">
            <w:pPr>
              <w:jc w:val="center"/>
              <w:rPr>
                <w:rFonts w:hint="eastAsia" w:ascii="宋体" w:hAnsi="宋体" w:eastAsia="宋体" w:cs="Times New Roman"/>
                <w:szCs w:val="21"/>
              </w:rPr>
            </w:pPr>
            <w:r>
              <w:rPr>
                <w:rFonts w:hint="eastAsia" w:ascii="宋体" w:hAnsi="宋体" w:eastAsia="宋体"/>
              </w:rPr>
              <w:t>3-3、4-1、4-2</w:t>
            </w:r>
          </w:p>
        </w:tc>
        <w:tc>
          <w:tcPr>
            <w:tcW w:w="755" w:type="dxa"/>
            <w:tcBorders>
              <w:top w:val="single" w:color="auto" w:sz="4" w:space="0"/>
              <w:left w:val="single" w:color="auto" w:sz="4" w:space="0"/>
              <w:bottom w:val="single" w:color="auto" w:sz="4" w:space="0"/>
              <w:right w:val="single" w:color="auto" w:sz="4" w:space="0"/>
            </w:tcBorders>
          </w:tcPr>
          <w:p w14:paraId="42449466">
            <w:pPr>
              <w:jc w:val="center"/>
              <w:rPr>
                <w:rFonts w:ascii="宋体" w:hAnsi="宋体" w:eastAsia="宋体" w:cs="Times New Roman"/>
                <w:szCs w:val="21"/>
              </w:rPr>
            </w:pPr>
            <w:r>
              <w:rPr>
                <w:rFonts w:hint="eastAsia" w:ascii="宋体" w:hAnsi="宋体" w:eastAsia="宋体"/>
              </w:rPr>
              <w:t>4</w:t>
            </w:r>
          </w:p>
        </w:tc>
        <w:tc>
          <w:tcPr>
            <w:tcW w:w="754" w:type="dxa"/>
            <w:tcBorders>
              <w:top w:val="single" w:color="auto" w:sz="4" w:space="0"/>
              <w:left w:val="single" w:color="auto" w:sz="4" w:space="0"/>
              <w:bottom w:val="single" w:color="auto" w:sz="4" w:space="0"/>
              <w:right w:val="single" w:color="auto" w:sz="4" w:space="0"/>
            </w:tcBorders>
          </w:tcPr>
          <w:p w14:paraId="17EC0C4F">
            <w:pPr>
              <w:jc w:val="center"/>
              <w:rPr>
                <w:rFonts w:ascii="宋体" w:hAnsi="宋体" w:eastAsia="宋体" w:cs="Times New Roman"/>
                <w:szCs w:val="21"/>
              </w:rPr>
            </w:pPr>
            <w:r>
              <w:rPr>
                <w:rFonts w:hint="eastAsia" w:ascii="宋体" w:hAnsi="宋体" w:eastAsia="宋体"/>
              </w:rPr>
              <w:t>0</w:t>
            </w:r>
          </w:p>
        </w:tc>
      </w:tr>
      <w:tr w14:paraId="6AD6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8" w:type="dxa"/>
            <w:tcBorders>
              <w:top w:val="single" w:color="auto" w:sz="4" w:space="0"/>
              <w:left w:val="single" w:color="auto" w:sz="4" w:space="0"/>
              <w:bottom w:val="single" w:color="auto" w:sz="4" w:space="0"/>
              <w:right w:val="single" w:color="auto" w:sz="4" w:space="0"/>
            </w:tcBorders>
          </w:tcPr>
          <w:p w14:paraId="4A96BB31">
            <w:pPr>
              <w:jc w:val="center"/>
              <w:rPr>
                <w:rFonts w:hint="eastAsia" w:ascii="宋体" w:hAnsi="宋体" w:eastAsia="宋体" w:cs="Times New Roman"/>
                <w:szCs w:val="21"/>
              </w:rPr>
            </w:pPr>
            <w:r>
              <w:rPr>
                <w:rFonts w:hint="eastAsia" w:ascii="宋体" w:hAnsi="宋体" w:eastAsia="宋体"/>
              </w:rPr>
              <w:t>5</w:t>
            </w:r>
          </w:p>
        </w:tc>
        <w:tc>
          <w:tcPr>
            <w:tcW w:w="2981" w:type="dxa"/>
            <w:tcBorders>
              <w:top w:val="single" w:color="auto" w:sz="4" w:space="0"/>
              <w:left w:val="single" w:color="auto" w:sz="4" w:space="0"/>
              <w:bottom w:val="single" w:color="auto" w:sz="4" w:space="0"/>
              <w:right w:val="single" w:color="auto" w:sz="4" w:space="0"/>
            </w:tcBorders>
          </w:tcPr>
          <w:p w14:paraId="096C9654">
            <w:pPr>
              <w:jc w:val="center"/>
              <w:rPr>
                <w:rFonts w:ascii="宋体" w:hAnsi="宋体" w:eastAsia="宋体" w:cs="Times New Roman"/>
                <w:color w:val="000000"/>
                <w:szCs w:val="21"/>
              </w:rPr>
            </w:pPr>
            <w:r>
              <w:rPr>
                <w:rFonts w:hint="eastAsia" w:ascii="宋体" w:hAnsi="宋体" w:eastAsia="宋体"/>
              </w:rPr>
              <w:t>科学教学设计与基本技能</w:t>
            </w:r>
          </w:p>
        </w:tc>
        <w:tc>
          <w:tcPr>
            <w:tcW w:w="1824" w:type="dxa"/>
            <w:tcBorders>
              <w:top w:val="single" w:color="auto" w:sz="4" w:space="0"/>
              <w:left w:val="single" w:color="auto" w:sz="4" w:space="0"/>
              <w:bottom w:val="single" w:color="auto" w:sz="4" w:space="0"/>
              <w:right w:val="single" w:color="auto" w:sz="4" w:space="0"/>
            </w:tcBorders>
          </w:tcPr>
          <w:p w14:paraId="3E5CC08E">
            <w:pPr>
              <w:jc w:val="center"/>
              <w:rPr>
                <w:rFonts w:hint="eastAsia" w:ascii="宋体" w:hAnsi="宋体" w:eastAsia="宋体" w:cs="Times New Roman"/>
                <w:color w:val="000000"/>
                <w:szCs w:val="21"/>
              </w:rPr>
            </w:pPr>
            <w:r>
              <w:rPr>
                <w:rFonts w:hint="eastAsia" w:ascii="宋体" w:hAnsi="宋体" w:eastAsia="宋体"/>
              </w:rPr>
              <w:t>目标3、目标4</w:t>
            </w:r>
          </w:p>
        </w:tc>
        <w:tc>
          <w:tcPr>
            <w:tcW w:w="1958" w:type="dxa"/>
            <w:tcBorders>
              <w:top w:val="single" w:color="auto" w:sz="4" w:space="0"/>
              <w:left w:val="single" w:color="auto" w:sz="4" w:space="0"/>
              <w:bottom w:val="single" w:color="auto" w:sz="4" w:space="0"/>
              <w:right w:val="single" w:color="auto" w:sz="4" w:space="0"/>
            </w:tcBorders>
          </w:tcPr>
          <w:p w14:paraId="0FF65067">
            <w:pPr>
              <w:jc w:val="center"/>
              <w:rPr>
                <w:rFonts w:hint="eastAsia" w:ascii="宋体" w:hAnsi="宋体" w:eastAsia="宋体" w:cs="Times New Roman"/>
                <w:szCs w:val="21"/>
              </w:rPr>
            </w:pPr>
            <w:r>
              <w:rPr>
                <w:rFonts w:hint="eastAsia" w:ascii="宋体" w:hAnsi="宋体" w:eastAsia="宋体"/>
              </w:rPr>
              <w:t>4-1、4-2、6-2</w:t>
            </w:r>
          </w:p>
        </w:tc>
        <w:tc>
          <w:tcPr>
            <w:tcW w:w="755" w:type="dxa"/>
            <w:tcBorders>
              <w:top w:val="single" w:color="auto" w:sz="4" w:space="0"/>
              <w:left w:val="single" w:color="auto" w:sz="4" w:space="0"/>
              <w:bottom w:val="single" w:color="auto" w:sz="4" w:space="0"/>
              <w:right w:val="single" w:color="auto" w:sz="4" w:space="0"/>
            </w:tcBorders>
          </w:tcPr>
          <w:p w14:paraId="30B8A0F2">
            <w:pPr>
              <w:jc w:val="center"/>
              <w:rPr>
                <w:rFonts w:ascii="宋体" w:hAnsi="宋体" w:eastAsia="宋体" w:cs="Times New Roman"/>
                <w:szCs w:val="21"/>
              </w:rPr>
            </w:pPr>
            <w:r>
              <w:rPr>
                <w:rFonts w:hint="eastAsia" w:ascii="宋体" w:hAnsi="宋体" w:eastAsia="宋体"/>
              </w:rPr>
              <w:t>4</w:t>
            </w:r>
          </w:p>
        </w:tc>
        <w:tc>
          <w:tcPr>
            <w:tcW w:w="754" w:type="dxa"/>
            <w:tcBorders>
              <w:top w:val="single" w:color="auto" w:sz="4" w:space="0"/>
              <w:left w:val="single" w:color="auto" w:sz="4" w:space="0"/>
              <w:bottom w:val="single" w:color="auto" w:sz="4" w:space="0"/>
              <w:right w:val="single" w:color="auto" w:sz="4" w:space="0"/>
            </w:tcBorders>
          </w:tcPr>
          <w:p w14:paraId="77A5DABF">
            <w:pPr>
              <w:jc w:val="center"/>
              <w:rPr>
                <w:rFonts w:ascii="宋体" w:hAnsi="宋体" w:eastAsia="宋体" w:cs="Times New Roman"/>
                <w:szCs w:val="21"/>
              </w:rPr>
            </w:pPr>
            <w:r>
              <w:rPr>
                <w:rFonts w:hint="eastAsia" w:ascii="宋体" w:hAnsi="宋体" w:eastAsia="宋体"/>
              </w:rPr>
              <w:t>4</w:t>
            </w:r>
          </w:p>
        </w:tc>
      </w:tr>
      <w:tr w14:paraId="3040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88" w:type="dxa"/>
            <w:tcBorders>
              <w:top w:val="single" w:color="auto" w:sz="4" w:space="0"/>
              <w:left w:val="single" w:color="auto" w:sz="4" w:space="0"/>
              <w:bottom w:val="single" w:color="auto" w:sz="4" w:space="0"/>
              <w:right w:val="single" w:color="auto" w:sz="4" w:space="0"/>
            </w:tcBorders>
          </w:tcPr>
          <w:p w14:paraId="250278F1">
            <w:pPr>
              <w:jc w:val="center"/>
              <w:rPr>
                <w:rFonts w:hint="eastAsia" w:ascii="宋体" w:hAnsi="宋体" w:eastAsia="宋体" w:cs="Times New Roman"/>
                <w:szCs w:val="21"/>
              </w:rPr>
            </w:pPr>
            <w:r>
              <w:rPr>
                <w:rFonts w:hint="eastAsia" w:ascii="宋体" w:hAnsi="宋体" w:eastAsia="宋体"/>
              </w:rPr>
              <w:t>6</w:t>
            </w:r>
          </w:p>
        </w:tc>
        <w:tc>
          <w:tcPr>
            <w:tcW w:w="2981" w:type="dxa"/>
            <w:tcBorders>
              <w:top w:val="single" w:color="auto" w:sz="4" w:space="0"/>
              <w:left w:val="single" w:color="auto" w:sz="4" w:space="0"/>
              <w:bottom w:val="single" w:color="auto" w:sz="4" w:space="0"/>
              <w:right w:val="single" w:color="auto" w:sz="4" w:space="0"/>
            </w:tcBorders>
          </w:tcPr>
          <w:p w14:paraId="2AD9E72E">
            <w:pPr>
              <w:jc w:val="center"/>
              <w:rPr>
                <w:rFonts w:ascii="宋体" w:hAnsi="宋体" w:eastAsia="宋体" w:cs="Times New Roman"/>
                <w:color w:val="000000"/>
                <w:szCs w:val="21"/>
              </w:rPr>
            </w:pPr>
            <w:r>
              <w:rPr>
                <w:rFonts w:hint="eastAsia" w:ascii="宋体" w:hAnsi="宋体" w:eastAsia="宋体"/>
              </w:rPr>
              <w:t>科学教学方法</w:t>
            </w:r>
          </w:p>
        </w:tc>
        <w:tc>
          <w:tcPr>
            <w:tcW w:w="1824" w:type="dxa"/>
            <w:tcBorders>
              <w:top w:val="single" w:color="auto" w:sz="4" w:space="0"/>
              <w:left w:val="single" w:color="auto" w:sz="4" w:space="0"/>
              <w:bottom w:val="single" w:color="auto" w:sz="4" w:space="0"/>
              <w:right w:val="single" w:color="auto" w:sz="4" w:space="0"/>
            </w:tcBorders>
          </w:tcPr>
          <w:p w14:paraId="731C135C">
            <w:pPr>
              <w:jc w:val="center"/>
              <w:rPr>
                <w:rFonts w:hint="eastAsia" w:ascii="宋体" w:hAnsi="宋体" w:eastAsia="宋体" w:cs="Times New Roman"/>
                <w:color w:val="000000"/>
                <w:szCs w:val="21"/>
              </w:rPr>
            </w:pPr>
            <w:r>
              <w:rPr>
                <w:rFonts w:hint="eastAsia" w:ascii="宋体" w:hAnsi="宋体" w:eastAsia="宋体"/>
              </w:rPr>
              <w:t>目标3、目标4</w:t>
            </w:r>
          </w:p>
        </w:tc>
        <w:tc>
          <w:tcPr>
            <w:tcW w:w="1958" w:type="dxa"/>
            <w:tcBorders>
              <w:top w:val="single" w:color="auto" w:sz="4" w:space="0"/>
              <w:left w:val="single" w:color="auto" w:sz="4" w:space="0"/>
              <w:bottom w:val="single" w:color="auto" w:sz="4" w:space="0"/>
              <w:right w:val="single" w:color="auto" w:sz="4" w:space="0"/>
            </w:tcBorders>
          </w:tcPr>
          <w:p w14:paraId="6FA4EBE7">
            <w:pPr>
              <w:jc w:val="center"/>
              <w:rPr>
                <w:rFonts w:hint="eastAsia" w:ascii="宋体" w:hAnsi="宋体" w:eastAsia="宋体" w:cs="Times New Roman"/>
                <w:szCs w:val="21"/>
              </w:rPr>
            </w:pPr>
            <w:r>
              <w:rPr>
                <w:rFonts w:hint="eastAsia" w:ascii="宋体" w:hAnsi="宋体" w:eastAsia="宋体"/>
              </w:rPr>
              <w:t>4-1、4-2、6-2</w:t>
            </w:r>
          </w:p>
        </w:tc>
        <w:tc>
          <w:tcPr>
            <w:tcW w:w="755" w:type="dxa"/>
            <w:tcBorders>
              <w:top w:val="single" w:color="auto" w:sz="4" w:space="0"/>
              <w:left w:val="single" w:color="auto" w:sz="4" w:space="0"/>
              <w:bottom w:val="single" w:color="auto" w:sz="4" w:space="0"/>
              <w:right w:val="single" w:color="auto" w:sz="4" w:space="0"/>
            </w:tcBorders>
          </w:tcPr>
          <w:p w14:paraId="7FFA1D16">
            <w:pPr>
              <w:jc w:val="center"/>
              <w:rPr>
                <w:rFonts w:ascii="宋体" w:hAnsi="宋体" w:eastAsia="宋体" w:cs="Times New Roman"/>
                <w:szCs w:val="21"/>
              </w:rPr>
            </w:pPr>
            <w:r>
              <w:rPr>
                <w:rFonts w:hint="eastAsia" w:ascii="宋体" w:hAnsi="宋体" w:eastAsia="宋体"/>
              </w:rPr>
              <w:t>2</w:t>
            </w:r>
          </w:p>
        </w:tc>
        <w:tc>
          <w:tcPr>
            <w:tcW w:w="754" w:type="dxa"/>
            <w:tcBorders>
              <w:top w:val="single" w:color="auto" w:sz="4" w:space="0"/>
              <w:left w:val="single" w:color="auto" w:sz="4" w:space="0"/>
              <w:bottom w:val="single" w:color="auto" w:sz="4" w:space="0"/>
              <w:right w:val="single" w:color="auto" w:sz="4" w:space="0"/>
            </w:tcBorders>
          </w:tcPr>
          <w:p w14:paraId="28F5FFF7">
            <w:pPr>
              <w:jc w:val="center"/>
              <w:rPr>
                <w:rFonts w:ascii="宋体" w:hAnsi="宋体" w:eastAsia="宋体" w:cs="Times New Roman"/>
                <w:szCs w:val="21"/>
              </w:rPr>
            </w:pPr>
            <w:r>
              <w:rPr>
                <w:rFonts w:hint="eastAsia" w:ascii="宋体" w:hAnsi="宋体" w:eastAsia="宋体"/>
              </w:rPr>
              <w:t>4</w:t>
            </w:r>
          </w:p>
        </w:tc>
      </w:tr>
      <w:tr w14:paraId="2536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88" w:type="dxa"/>
            <w:tcBorders>
              <w:top w:val="single" w:color="auto" w:sz="4" w:space="0"/>
              <w:left w:val="single" w:color="auto" w:sz="4" w:space="0"/>
              <w:bottom w:val="single" w:color="auto" w:sz="4" w:space="0"/>
              <w:right w:val="single" w:color="auto" w:sz="4" w:space="0"/>
            </w:tcBorders>
          </w:tcPr>
          <w:p w14:paraId="28ADFC19">
            <w:pPr>
              <w:jc w:val="center"/>
              <w:rPr>
                <w:rFonts w:hint="eastAsia" w:ascii="宋体" w:hAnsi="宋体" w:eastAsia="宋体" w:cs="Times New Roman"/>
                <w:szCs w:val="21"/>
              </w:rPr>
            </w:pPr>
            <w:r>
              <w:rPr>
                <w:rFonts w:hint="eastAsia" w:ascii="宋体" w:hAnsi="宋体" w:eastAsia="宋体"/>
              </w:rPr>
              <w:t>7</w:t>
            </w:r>
          </w:p>
        </w:tc>
        <w:tc>
          <w:tcPr>
            <w:tcW w:w="2981" w:type="dxa"/>
            <w:tcBorders>
              <w:top w:val="single" w:color="auto" w:sz="4" w:space="0"/>
              <w:left w:val="single" w:color="auto" w:sz="4" w:space="0"/>
              <w:bottom w:val="single" w:color="auto" w:sz="4" w:space="0"/>
              <w:right w:val="single" w:color="auto" w:sz="4" w:space="0"/>
            </w:tcBorders>
          </w:tcPr>
          <w:p w14:paraId="56F8ED4D">
            <w:pPr>
              <w:jc w:val="center"/>
              <w:rPr>
                <w:rFonts w:ascii="宋体" w:hAnsi="宋体" w:eastAsia="宋体" w:cs="Times New Roman"/>
                <w:szCs w:val="21"/>
              </w:rPr>
            </w:pPr>
            <w:r>
              <w:rPr>
                <w:rFonts w:hint="eastAsia" w:ascii="宋体" w:hAnsi="宋体" w:eastAsia="宋体"/>
              </w:rPr>
              <w:t>科学教学评价</w:t>
            </w:r>
          </w:p>
        </w:tc>
        <w:tc>
          <w:tcPr>
            <w:tcW w:w="1824" w:type="dxa"/>
            <w:tcBorders>
              <w:top w:val="single" w:color="auto" w:sz="4" w:space="0"/>
              <w:left w:val="single" w:color="auto" w:sz="4" w:space="0"/>
              <w:bottom w:val="single" w:color="auto" w:sz="4" w:space="0"/>
              <w:right w:val="single" w:color="auto" w:sz="4" w:space="0"/>
            </w:tcBorders>
          </w:tcPr>
          <w:p w14:paraId="2157778B">
            <w:pPr>
              <w:jc w:val="center"/>
              <w:rPr>
                <w:rFonts w:hint="eastAsia" w:ascii="宋体" w:hAnsi="宋体" w:eastAsia="宋体" w:cs="Times New Roman"/>
                <w:color w:val="000000"/>
                <w:szCs w:val="21"/>
              </w:rPr>
            </w:pPr>
            <w:r>
              <w:rPr>
                <w:rFonts w:hint="eastAsia" w:ascii="宋体" w:hAnsi="宋体" w:eastAsia="宋体"/>
              </w:rPr>
              <w:t>目标3、目标4</w:t>
            </w:r>
          </w:p>
        </w:tc>
        <w:tc>
          <w:tcPr>
            <w:tcW w:w="1958" w:type="dxa"/>
            <w:tcBorders>
              <w:top w:val="single" w:color="auto" w:sz="4" w:space="0"/>
              <w:left w:val="single" w:color="auto" w:sz="4" w:space="0"/>
              <w:bottom w:val="single" w:color="auto" w:sz="4" w:space="0"/>
              <w:right w:val="single" w:color="auto" w:sz="4" w:space="0"/>
            </w:tcBorders>
          </w:tcPr>
          <w:p w14:paraId="61DC0DC3">
            <w:pPr>
              <w:jc w:val="center"/>
              <w:rPr>
                <w:rFonts w:hint="eastAsia" w:ascii="宋体" w:hAnsi="宋体" w:eastAsia="宋体" w:cs="Times New Roman"/>
                <w:color w:val="000000"/>
                <w:szCs w:val="21"/>
              </w:rPr>
            </w:pPr>
            <w:r>
              <w:rPr>
                <w:rFonts w:hint="eastAsia" w:ascii="宋体" w:hAnsi="宋体" w:eastAsia="宋体"/>
              </w:rPr>
              <w:t>4-1、4-2、6-2</w:t>
            </w:r>
          </w:p>
        </w:tc>
        <w:tc>
          <w:tcPr>
            <w:tcW w:w="755" w:type="dxa"/>
            <w:tcBorders>
              <w:top w:val="single" w:color="auto" w:sz="4" w:space="0"/>
              <w:left w:val="single" w:color="auto" w:sz="4" w:space="0"/>
              <w:bottom w:val="single" w:color="auto" w:sz="4" w:space="0"/>
              <w:right w:val="single" w:color="auto" w:sz="4" w:space="0"/>
            </w:tcBorders>
          </w:tcPr>
          <w:p w14:paraId="6A748E12">
            <w:pPr>
              <w:jc w:val="center"/>
              <w:rPr>
                <w:rFonts w:ascii="宋体" w:hAnsi="宋体" w:eastAsia="宋体" w:cs="Times New Roman"/>
                <w:szCs w:val="21"/>
              </w:rPr>
            </w:pPr>
            <w:r>
              <w:rPr>
                <w:rFonts w:hint="eastAsia" w:ascii="宋体" w:hAnsi="宋体" w:eastAsia="宋体"/>
              </w:rPr>
              <w:t>1</w:t>
            </w:r>
          </w:p>
        </w:tc>
        <w:tc>
          <w:tcPr>
            <w:tcW w:w="754" w:type="dxa"/>
            <w:tcBorders>
              <w:top w:val="single" w:color="auto" w:sz="4" w:space="0"/>
              <w:left w:val="single" w:color="auto" w:sz="4" w:space="0"/>
              <w:bottom w:val="single" w:color="auto" w:sz="4" w:space="0"/>
              <w:right w:val="single" w:color="auto" w:sz="4" w:space="0"/>
            </w:tcBorders>
          </w:tcPr>
          <w:p w14:paraId="33CEE4AD">
            <w:pPr>
              <w:jc w:val="center"/>
              <w:rPr>
                <w:rFonts w:ascii="宋体" w:hAnsi="宋体" w:eastAsia="宋体" w:cs="Times New Roman"/>
                <w:szCs w:val="21"/>
              </w:rPr>
            </w:pPr>
            <w:r>
              <w:rPr>
                <w:rFonts w:hint="eastAsia" w:ascii="宋体" w:hAnsi="宋体" w:eastAsia="宋体"/>
              </w:rPr>
              <w:t>4</w:t>
            </w:r>
          </w:p>
        </w:tc>
      </w:tr>
      <w:tr w14:paraId="13E4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551" w:type="dxa"/>
            <w:gridSpan w:val="4"/>
            <w:tcBorders>
              <w:top w:val="single" w:color="auto" w:sz="4" w:space="0"/>
              <w:left w:val="single" w:color="auto" w:sz="4" w:space="0"/>
              <w:bottom w:val="single" w:color="auto" w:sz="4" w:space="0"/>
              <w:right w:val="single" w:color="auto" w:sz="4" w:space="0"/>
            </w:tcBorders>
            <w:vAlign w:val="center"/>
          </w:tcPr>
          <w:p w14:paraId="2C262BCD">
            <w:pPr>
              <w:jc w:val="center"/>
              <w:rPr>
                <w:rFonts w:ascii="宋体" w:hAnsi="宋体" w:eastAsia="宋体" w:cs="Times New Roman"/>
                <w:szCs w:val="21"/>
              </w:rPr>
            </w:pPr>
            <w:r>
              <w:rPr>
                <w:rFonts w:hint="eastAsia" w:ascii="宋体" w:hAnsi="宋体" w:eastAsia="宋体" w:cs="Times New Roman"/>
                <w:szCs w:val="21"/>
              </w:rPr>
              <w:t>合计</w:t>
            </w:r>
          </w:p>
        </w:tc>
        <w:tc>
          <w:tcPr>
            <w:tcW w:w="755" w:type="dxa"/>
            <w:tcBorders>
              <w:top w:val="single" w:color="auto" w:sz="4" w:space="0"/>
              <w:left w:val="single" w:color="auto" w:sz="4" w:space="0"/>
              <w:bottom w:val="single" w:color="auto" w:sz="4" w:space="0"/>
              <w:right w:val="single" w:color="auto" w:sz="4" w:space="0"/>
            </w:tcBorders>
            <w:vAlign w:val="center"/>
          </w:tcPr>
          <w:p w14:paraId="5E30B0E5">
            <w:pPr>
              <w:jc w:val="center"/>
              <w:rPr>
                <w:rFonts w:hint="eastAsia" w:ascii="宋体" w:hAnsi="宋体" w:eastAsia="宋体" w:cs="Times New Roman"/>
                <w:szCs w:val="21"/>
              </w:rPr>
            </w:pPr>
            <w:r>
              <w:rPr>
                <w:rFonts w:hint="eastAsia" w:ascii="宋体" w:hAnsi="宋体" w:eastAsia="宋体" w:cs="Times New Roman"/>
                <w:szCs w:val="21"/>
              </w:rPr>
              <w:t>16</w:t>
            </w:r>
          </w:p>
        </w:tc>
        <w:tc>
          <w:tcPr>
            <w:tcW w:w="754" w:type="dxa"/>
            <w:tcBorders>
              <w:top w:val="single" w:color="auto" w:sz="4" w:space="0"/>
              <w:left w:val="single" w:color="auto" w:sz="4" w:space="0"/>
              <w:bottom w:val="single" w:color="auto" w:sz="4" w:space="0"/>
              <w:right w:val="single" w:color="auto" w:sz="4" w:space="0"/>
            </w:tcBorders>
            <w:vAlign w:val="center"/>
          </w:tcPr>
          <w:p w14:paraId="7F2D4952">
            <w:pPr>
              <w:jc w:val="center"/>
              <w:rPr>
                <w:rFonts w:hint="eastAsia" w:ascii="宋体" w:hAnsi="宋体" w:eastAsia="宋体" w:cs="Times New Roman"/>
                <w:szCs w:val="21"/>
              </w:rPr>
            </w:pPr>
            <w:r>
              <w:rPr>
                <w:rFonts w:hint="eastAsia" w:ascii="宋体" w:hAnsi="宋体" w:eastAsia="宋体" w:cs="Times New Roman"/>
                <w:szCs w:val="21"/>
              </w:rPr>
              <w:t>16</w:t>
            </w:r>
          </w:p>
        </w:tc>
      </w:tr>
    </w:tbl>
    <w:p w14:paraId="59B2F856">
      <w:pPr>
        <w:widowControl/>
        <w:spacing w:line="360" w:lineRule="auto"/>
        <w:jc w:val="left"/>
        <w:rPr>
          <w:rFonts w:ascii="Calibri" w:hAnsi="Calibri" w:eastAsia="宋体" w:cs="Times New Roman"/>
          <w:b/>
          <w:sz w:val="28"/>
          <w:szCs w:val="28"/>
        </w:rPr>
      </w:pPr>
    </w:p>
    <w:p w14:paraId="25F746D3">
      <w:pPr>
        <w:widowControl/>
        <w:spacing w:line="360" w:lineRule="auto"/>
        <w:jc w:val="left"/>
        <w:rPr>
          <w:rFonts w:ascii="Calibri" w:hAnsi="Calibri" w:eastAsia="宋体" w:cs="Times New Roman"/>
          <w:b/>
          <w:sz w:val="28"/>
          <w:szCs w:val="28"/>
        </w:rPr>
      </w:pPr>
      <w:r>
        <w:rPr>
          <w:rFonts w:hint="eastAsia" w:ascii="Calibri" w:hAnsi="Calibri" w:eastAsia="宋体" w:cs="Times New Roman"/>
          <w:b/>
          <w:sz w:val="28"/>
          <w:szCs w:val="28"/>
        </w:rPr>
        <w:t>四、课内实践</w:t>
      </w:r>
    </w:p>
    <w:tbl>
      <w:tblPr>
        <w:tblStyle w:val="30"/>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84"/>
        <w:gridCol w:w="3367"/>
        <w:gridCol w:w="735"/>
        <w:gridCol w:w="1155"/>
        <w:gridCol w:w="840"/>
        <w:gridCol w:w="630"/>
      </w:tblGrid>
      <w:tr w14:paraId="0E2B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shd w:val="clear" w:color="auto" w:fill="FFFFFF"/>
            <w:vAlign w:val="center"/>
          </w:tcPr>
          <w:p w14:paraId="687F7D66">
            <w:pPr>
              <w:jc w:val="center"/>
              <w:rPr>
                <w:rFonts w:ascii="Calibri" w:hAnsi="Calibri" w:eastAsia="宋体" w:cs="Times New Roman"/>
                <w:b/>
                <w:bCs/>
                <w:spacing w:val="-20"/>
                <w:szCs w:val="21"/>
              </w:rPr>
            </w:pPr>
            <w:r>
              <w:rPr>
                <w:rFonts w:hint="eastAsia" w:ascii="Calibri" w:hAnsi="Calibri" w:eastAsia="宋体" w:cs="Times New Roman"/>
                <w:b/>
                <w:bCs/>
                <w:spacing w:val="-20"/>
                <w:szCs w:val="21"/>
              </w:rPr>
              <w:t>序号</w:t>
            </w:r>
          </w:p>
        </w:tc>
        <w:tc>
          <w:tcPr>
            <w:tcW w:w="2084" w:type="dxa"/>
            <w:tcBorders>
              <w:top w:val="single" w:color="auto" w:sz="4" w:space="0"/>
              <w:left w:val="single" w:color="auto" w:sz="4" w:space="0"/>
              <w:bottom w:val="single" w:color="auto" w:sz="4" w:space="0"/>
              <w:right w:val="single" w:color="auto" w:sz="4" w:space="0"/>
            </w:tcBorders>
            <w:shd w:val="clear" w:color="auto" w:fill="FFFFFF"/>
            <w:vAlign w:val="center"/>
          </w:tcPr>
          <w:p w14:paraId="63069188">
            <w:pPr>
              <w:jc w:val="center"/>
              <w:rPr>
                <w:rFonts w:ascii="Calibri" w:hAnsi="Calibri" w:eastAsia="宋体" w:cs="Times New Roman"/>
                <w:b/>
                <w:bCs/>
                <w:szCs w:val="21"/>
              </w:rPr>
            </w:pPr>
            <w:r>
              <w:rPr>
                <w:rFonts w:hint="eastAsia" w:ascii="Calibri" w:hAnsi="Calibri" w:eastAsia="宋体" w:cs="Times New Roman"/>
                <w:b/>
                <w:bCs/>
                <w:szCs w:val="21"/>
              </w:rPr>
              <w:t>实验项目名称</w:t>
            </w:r>
          </w:p>
        </w:tc>
        <w:tc>
          <w:tcPr>
            <w:tcW w:w="3367" w:type="dxa"/>
            <w:tcBorders>
              <w:top w:val="single" w:color="auto" w:sz="4" w:space="0"/>
              <w:left w:val="single" w:color="auto" w:sz="4" w:space="0"/>
              <w:bottom w:val="single" w:color="auto" w:sz="4" w:space="0"/>
              <w:right w:val="single" w:color="auto" w:sz="4" w:space="0"/>
            </w:tcBorders>
            <w:shd w:val="clear" w:color="auto" w:fill="FFFFFF"/>
            <w:vAlign w:val="center"/>
          </w:tcPr>
          <w:p w14:paraId="793FB29B">
            <w:pPr>
              <w:jc w:val="center"/>
              <w:rPr>
                <w:rFonts w:ascii="Calibri" w:hAnsi="Calibri" w:eastAsia="宋体" w:cs="Times New Roman"/>
                <w:b/>
                <w:bCs/>
                <w:szCs w:val="21"/>
              </w:rPr>
            </w:pPr>
            <w:r>
              <w:rPr>
                <w:rFonts w:hint="eastAsia" w:ascii="Calibri" w:hAnsi="Calibri" w:eastAsia="宋体" w:cs="Times New Roman"/>
                <w:b/>
                <w:bCs/>
                <w:szCs w:val="21"/>
              </w:rPr>
              <w:t>实验内容及要求</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1F157585">
            <w:pPr>
              <w:jc w:val="center"/>
              <w:rPr>
                <w:rFonts w:ascii="Calibri" w:hAnsi="Calibri" w:eastAsia="宋体" w:cs="Times New Roman"/>
                <w:b/>
                <w:bCs/>
                <w:szCs w:val="21"/>
              </w:rPr>
            </w:pPr>
            <w:r>
              <w:rPr>
                <w:rFonts w:hint="eastAsia" w:ascii="Calibri" w:hAnsi="Calibri" w:eastAsia="宋体" w:cs="Times New Roman"/>
                <w:b/>
                <w:bCs/>
                <w:szCs w:val="21"/>
              </w:rPr>
              <w:t>学时</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0350C907">
            <w:pPr>
              <w:jc w:val="center"/>
              <w:rPr>
                <w:rFonts w:ascii="Calibri" w:hAnsi="Calibri" w:eastAsia="宋体" w:cs="Times New Roman"/>
                <w:b/>
                <w:bCs/>
                <w:szCs w:val="21"/>
              </w:rPr>
            </w:pPr>
            <w:r>
              <w:rPr>
                <w:rFonts w:hint="eastAsia" w:ascii="Calibri" w:hAnsi="Calibri" w:eastAsia="宋体" w:cs="Times New Roman"/>
                <w:b/>
                <w:bCs/>
                <w:szCs w:val="21"/>
              </w:rPr>
              <w:t>对毕业要求的支撑</w:t>
            </w:r>
          </w:p>
        </w:tc>
        <w:tc>
          <w:tcPr>
            <w:tcW w:w="84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95EA4CC">
            <w:pPr>
              <w:jc w:val="center"/>
              <w:rPr>
                <w:rFonts w:ascii="Calibri" w:hAnsi="Calibri" w:eastAsia="宋体" w:cs="Times New Roman"/>
                <w:b/>
                <w:bCs/>
                <w:szCs w:val="21"/>
              </w:rPr>
            </w:pPr>
            <w:r>
              <w:rPr>
                <w:rFonts w:hint="eastAsia" w:ascii="Calibri" w:hAnsi="Calibri" w:eastAsia="宋体" w:cs="Times New Roman"/>
                <w:b/>
                <w:bCs/>
                <w:szCs w:val="21"/>
              </w:rPr>
              <w:t>类型</w:t>
            </w:r>
          </w:p>
        </w:tc>
        <w:tc>
          <w:tcPr>
            <w:tcW w:w="63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B924B91">
            <w:pPr>
              <w:jc w:val="center"/>
              <w:rPr>
                <w:rFonts w:ascii="Calibri" w:hAnsi="Calibri" w:eastAsia="宋体" w:cs="Times New Roman"/>
                <w:b/>
                <w:bCs/>
                <w:szCs w:val="21"/>
              </w:rPr>
            </w:pPr>
            <w:r>
              <w:rPr>
                <w:rFonts w:hint="eastAsia" w:ascii="Calibri" w:hAnsi="Calibri" w:eastAsia="宋体" w:cs="Times New Roman"/>
                <w:b/>
                <w:bCs/>
                <w:szCs w:val="21"/>
              </w:rPr>
              <w:t>备注</w:t>
            </w:r>
          </w:p>
        </w:tc>
      </w:tr>
      <w:tr w14:paraId="7BF9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34" w:type="dxa"/>
            <w:tcBorders>
              <w:top w:val="single" w:color="auto" w:sz="4" w:space="0"/>
              <w:left w:val="single" w:color="auto" w:sz="4" w:space="0"/>
              <w:bottom w:val="single" w:color="auto" w:sz="4" w:space="0"/>
              <w:right w:val="single" w:color="auto" w:sz="4" w:space="0"/>
            </w:tcBorders>
          </w:tcPr>
          <w:p w14:paraId="0ECB3090">
            <w:pPr>
              <w:jc w:val="center"/>
              <w:rPr>
                <w:rFonts w:hint="eastAsia" w:ascii="宋体" w:hAnsi="宋体" w:eastAsia="宋体" w:cs="Times New Roman"/>
                <w:bCs/>
                <w:szCs w:val="21"/>
              </w:rPr>
            </w:pPr>
            <w:r>
              <w:rPr>
                <w:rFonts w:hint="eastAsia"/>
              </w:rPr>
              <w:t>1</w:t>
            </w:r>
          </w:p>
        </w:tc>
        <w:tc>
          <w:tcPr>
            <w:tcW w:w="2084" w:type="dxa"/>
            <w:tcBorders>
              <w:top w:val="single" w:color="auto" w:sz="4" w:space="0"/>
              <w:left w:val="single" w:color="auto" w:sz="4" w:space="0"/>
              <w:bottom w:val="single" w:color="auto" w:sz="4" w:space="0"/>
              <w:right w:val="single" w:color="auto" w:sz="4" w:space="0"/>
            </w:tcBorders>
          </w:tcPr>
          <w:p w14:paraId="3CED1F8C">
            <w:pPr>
              <w:rPr>
                <w:rFonts w:ascii="Calibri" w:hAnsi="Calibri" w:eastAsia="宋体" w:cs="Times New Roman"/>
                <w:bCs/>
                <w:szCs w:val="21"/>
              </w:rPr>
            </w:pPr>
            <w:r>
              <w:rPr>
                <w:rFonts w:hint="eastAsia"/>
              </w:rPr>
              <w:t>小学科学教材分析</w:t>
            </w:r>
          </w:p>
        </w:tc>
        <w:tc>
          <w:tcPr>
            <w:tcW w:w="3367" w:type="dxa"/>
            <w:tcBorders>
              <w:top w:val="single" w:color="auto" w:sz="4" w:space="0"/>
              <w:left w:val="single" w:color="auto" w:sz="4" w:space="0"/>
              <w:bottom w:val="single" w:color="auto" w:sz="4" w:space="0"/>
              <w:right w:val="single" w:color="auto" w:sz="4" w:space="0"/>
            </w:tcBorders>
          </w:tcPr>
          <w:p w14:paraId="514AD77F">
            <w:r>
              <w:rPr>
                <w:rFonts w:hint="eastAsia"/>
              </w:rPr>
              <w:t>实践内容：选择小学科学教材某个单元模块内容进行分析，合作完成一份教材研究报告。</w:t>
            </w:r>
          </w:p>
          <w:p w14:paraId="6D8AF65E">
            <w:pPr>
              <w:rPr>
                <w:rFonts w:hint="eastAsia" w:ascii="Calibri" w:hAnsi="Calibri" w:eastAsia="宋体" w:cs="Times New Roman"/>
                <w:bCs/>
                <w:szCs w:val="21"/>
              </w:rPr>
            </w:pPr>
            <w:r>
              <w:rPr>
                <w:rFonts w:ascii="Calibri" w:hAnsi="Calibri" w:eastAsia="宋体" w:cs="Times New Roman"/>
                <w:b/>
                <w:bCs/>
                <w:szCs w:val="21"/>
              </w:rPr>
              <w:t>实践要求</w:t>
            </w:r>
            <w:r>
              <w:rPr>
                <w:rFonts w:ascii="Calibri" w:hAnsi="Calibri" w:eastAsia="宋体" w:cs="Times New Roman"/>
                <w:bCs/>
                <w:szCs w:val="21"/>
              </w:rPr>
              <w:t>：小组提交一份教材研读报告</w:t>
            </w:r>
          </w:p>
        </w:tc>
        <w:tc>
          <w:tcPr>
            <w:tcW w:w="735" w:type="dxa"/>
            <w:tcBorders>
              <w:top w:val="single" w:color="auto" w:sz="4" w:space="0"/>
              <w:left w:val="single" w:color="auto" w:sz="4" w:space="0"/>
              <w:bottom w:val="single" w:color="auto" w:sz="4" w:space="0"/>
              <w:right w:val="single" w:color="auto" w:sz="4" w:space="0"/>
            </w:tcBorders>
          </w:tcPr>
          <w:p w14:paraId="7AC2617B">
            <w:pPr>
              <w:jc w:val="center"/>
              <w:rPr>
                <w:rFonts w:hint="eastAsia" w:ascii="宋体" w:hAnsi="宋体" w:eastAsia="宋体" w:cs="Times New Roman"/>
                <w:bCs/>
                <w:szCs w:val="21"/>
              </w:rPr>
            </w:pPr>
            <w:r>
              <w:rPr>
                <w:rFonts w:hint="eastAsia"/>
              </w:rPr>
              <w:t>4</w:t>
            </w:r>
          </w:p>
        </w:tc>
        <w:tc>
          <w:tcPr>
            <w:tcW w:w="1155" w:type="dxa"/>
            <w:tcBorders>
              <w:top w:val="single" w:color="auto" w:sz="4" w:space="0"/>
              <w:left w:val="single" w:color="auto" w:sz="4" w:space="0"/>
              <w:bottom w:val="single" w:color="auto" w:sz="4" w:space="0"/>
              <w:right w:val="single" w:color="auto" w:sz="4" w:space="0"/>
            </w:tcBorders>
          </w:tcPr>
          <w:p w14:paraId="4419F1FD">
            <w:pPr>
              <w:jc w:val="center"/>
              <w:rPr>
                <w:rFonts w:hint="eastAsia" w:ascii="宋体" w:hAnsi="宋体" w:eastAsia="宋体" w:cs="Times New Roman"/>
                <w:bCs/>
                <w:szCs w:val="21"/>
              </w:rPr>
            </w:pPr>
            <w:r>
              <w:rPr>
                <w:rFonts w:hint="eastAsia"/>
              </w:rPr>
              <w:t>3-3、4-1</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7BDAE6A3">
            <w:pPr>
              <w:jc w:val="center"/>
              <w:rPr>
                <w:rFonts w:ascii="Calibri" w:hAnsi="Calibri" w:eastAsia="宋体" w:cs="Times New Roman"/>
                <w:szCs w:val="21"/>
              </w:rPr>
            </w:pPr>
            <w:r>
              <w:rPr>
                <w:rFonts w:hint="eastAsia"/>
              </w:rPr>
              <w:t>综合性</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1C9A42D6">
            <w:pPr>
              <w:jc w:val="center"/>
              <w:rPr>
                <w:rFonts w:ascii="Calibri" w:hAnsi="Calibri" w:eastAsia="宋体" w:cs="Times New Roman"/>
                <w:bCs/>
                <w:szCs w:val="21"/>
              </w:rPr>
            </w:pPr>
            <w:r>
              <w:rPr>
                <w:rFonts w:hint="eastAsia" w:ascii="Calibri" w:hAnsi="Calibri" w:eastAsia="宋体" w:cs="Times New Roman"/>
                <w:bCs/>
                <w:szCs w:val="21"/>
              </w:rPr>
              <w:t>必做</w:t>
            </w:r>
          </w:p>
        </w:tc>
      </w:tr>
      <w:tr w14:paraId="1F77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34" w:type="dxa"/>
            <w:tcBorders>
              <w:top w:val="single" w:color="auto" w:sz="4" w:space="0"/>
              <w:left w:val="single" w:color="auto" w:sz="4" w:space="0"/>
              <w:bottom w:val="single" w:color="auto" w:sz="4" w:space="0"/>
              <w:right w:val="single" w:color="auto" w:sz="4" w:space="0"/>
            </w:tcBorders>
            <w:vAlign w:val="center"/>
          </w:tcPr>
          <w:p w14:paraId="49A22D08">
            <w:pPr>
              <w:jc w:val="center"/>
              <w:rPr>
                <w:rFonts w:hint="eastAsia" w:ascii="宋体" w:hAnsi="宋体" w:eastAsia="宋体" w:cs="Times New Roman"/>
                <w:bCs/>
                <w:szCs w:val="21"/>
              </w:rPr>
            </w:pPr>
            <w:r>
              <w:rPr>
                <w:rFonts w:hint="eastAsia" w:ascii="宋体" w:hAnsi="宋体" w:eastAsia="宋体" w:cs="Times New Roman"/>
                <w:bCs/>
                <w:szCs w:val="21"/>
              </w:rPr>
              <w:t>2</w:t>
            </w:r>
          </w:p>
        </w:tc>
        <w:tc>
          <w:tcPr>
            <w:tcW w:w="2084" w:type="dxa"/>
            <w:tcBorders>
              <w:top w:val="single" w:color="auto" w:sz="4" w:space="0"/>
              <w:left w:val="single" w:color="auto" w:sz="4" w:space="0"/>
              <w:bottom w:val="single" w:color="auto" w:sz="4" w:space="0"/>
              <w:right w:val="single" w:color="auto" w:sz="4" w:space="0"/>
            </w:tcBorders>
            <w:vAlign w:val="center"/>
          </w:tcPr>
          <w:p w14:paraId="6904C676">
            <w:pPr>
              <w:rPr>
                <w:rFonts w:ascii="Calibri" w:hAnsi="Calibri" w:eastAsia="宋体" w:cs="Times New Roman"/>
                <w:bCs/>
                <w:szCs w:val="21"/>
              </w:rPr>
            </w:pPr>
            <w:r>
              <w:rPr>
                <w:rFonts w:hint="eastAsia" w:ascii="宋体" w:hAnsi="宋体" w:eastAsia="宋体" w:cs="宋体"/>
                <w:kern w:val="0"/>
                <w:szCs w:val="21"/>
              </w:rPr>
              <w:t>小学科学教学设计</w:t>
            </w:r>
          </w:p>
        </w:tc>
        <w:tc>
          <w:tcPr>
            <w:tcW w:w="3367" w:type="dxa"/>
            <w:tcBorders>
              <w:top w:val="single" w:color="auto" w:sz="4" w:space="0"/>
              <w:left w:val="single" w:color="auto" w:sz="4" w:space="0"/>
              <w:bottom w:val="single" w:color="auto" w:sz="4" w:space="0"/>
              <w:right w:val="single" w:color="auto" w:sz="4" w:space="0"/>
            </w:tcBorders>
            <w:vAlign w:val="center"/>
          </w:tcPr>
          <w:p w14:paraId="631D752C">
            <w:pPr>
              <w:rPr>
                <w:rFonts w:hint="eastAsia" w:ascii="宋体" w:hAnsi="宋体" w:eastAsia="宋体" w:cs="Times New Roman"/>
                <w:b/>
                <w:bCs/>
                <w:color w:val="000000"/>
                <w:szCs w:val="21"/>
              </w:rPr>
            </w:pPr>
            <w:r>
              <w:rPr>
                <w:rFonts w:hint="eastAsia" w:ascii="宋体" w:hAnsi="宋体" w:eastAsia="宋体" w:cs="Times New Roman"/>
                <w:b/>
                <w:bCs/>
                <w:color w:val="000000"/>
                <w:szCs w:val="21"/>
              </w:rPr>
              <w:t>实践内容：</w:t>
            </w:r>
            <w:r>
              <w:rPr>
                <w:rFonts w:hint="eastAsia" w:ascii="宋体" w:hAnsi="宋体" w:eastAsia="宋体" w:cs="Times New Roman"/>
                <w:color w:val="000000"/>
                <w:szCs w:val="21"/>
              </w:rPr>
              <w:t>观摩一节科学课。小组选择一项科学教育内容，合作撰写教学设计方案。</w:t>
            </w:r>
          </w:p>
          <w:p w14:paraId="0FF2A52C">
            <w:pPr>
              <w:rPr>
                <w:rFonts w:ascii="Calibri" w:hAnsi="Calibri" w:eastAsia="宋体" w:cs="Times New Roman"/>
                <w:bCs/>
                <w:szCs w:val="21"/>
              </w:rPr>
            </w:pPr>
            <w:r>
              <w:rPr>
                <w:rFonts w:hint="eastAsia" w:ascii="宋体" w:hAnsi="宋体" w:eastAsia="宋体" w:cs="Times New Roman"/>
                <w:b/>
                <w:bCs/>
                <w:color w:val="000000"/>
                <w:szCs w:val="21"/>
              </w:rPr>
              <w:t>实践要求：</w:t>
            </w:r>
            <w:r>
              <w:rPr>
                <w:rFonts w:hint="eastAsia" w:ascii="宋体" w:hAnsi="宋体" w:eastAsia="宋体" w:cs="Times New Roman"/>
                <w:color w:val="000000"/>
                <w:szCs w:val="21"/>
              </w:rPr>
              <w:t>每人提交一篇观摩课教学记录与分析；每人提交一篇科学课（科学教育活动）设计方案。</w:t>
            </w:r>
          </w:p>
        </w:tc>
        <w:tc>
          <w:tcPr>
            <w:tcW w:w="735" w:type="dxa"/>
            <w:tcBorders>
              <w:top w:val="single" w:color="auto" w:sz="4" w:space="0"/>
              <w:left w:val="single" w:color="auto" w:sz="4" w:space="0"/>
              <w:bottom w:val="single" w:color="auto" w:sz="4" w:space="0"/>
              <w:right w:val="single" w:color="auto" w:sz="4" w:space="0"/>
            </w:tcBorders>
            <w:vAlign w:val="center"/>
          </w:tcPr>
          <w:p w14:paraId="4EED30A5">
            <w:pPr>
              <w:jc w:val="center"/>
              <w:rPr>
                <w:rFonts w:hint="eastAsia" w:ascii="宋体" w:hAnsi="宋体" w:eastAsia="宋体" w:cs="Times New Roman"/>
                <w:bCs/>
                <w:szCs w:val="21"/>
              </w:rPr>
            </w:pPr>
            <w:r>
              <w:rPr>
                <w:rFonts w:hint="eastAsia" w:ascii="宋体" w:hAnsi="宋体" w:eastAsia="宋体" w:cs="Times New Roman"/>
                <w:bCs/>
                <w:szCs w:val="21"/>
              </w:rPr>
              <w:t>4</w:t>
            </w:r>
          </w:p>
        </w:tc>
        <w:tc>
          <w:tcPr>
            <w:tcW w:w="1155" w:type="dxa"/>
            <w:tcBorders>
              <w:top w:val="single" w:color="auto" w:sz="4" w:space="0"/>
              <w:left w:val="single" w:color="auto" w:sz="4" w:space="0"/>
              <w:bottom w:val="single" w:color="auto" w:sz="4" w:space="0"/>
              <w:right w:val="single" w:color="auto" w:sz="4" w:space="0"/>
            </w:tcBorders>
            <w:vAlign w:val="center"/>
          </w:tcPr>
          <w:p w14:paraId="31906883">
            <w:pPr>
              <w:jc w:val="center"/>
              <w:rPr>
                <w:rFonts w:ascii="Calibri" w:hAnsi="Calibri" w:eastAsia="宋体" w:cs="Times New Roman"/>
                <w:bCs/>
                <w:szCs w:val="21"/>
              </w:rPr>
            </w:pPr>
            <w:r>
              <w:rPr>
                <w:rFonts w:ascii="宋体" w:hAnsi="宋体" w:eastAsia="宋体" w:cs="Times New Roman"/>
                <w:bCs/>
                <w:szCs w:val="21"/>
              </w:rPr>
              <w:t>4-1、4-2、6-2</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74238F">
            <w:pPr>
              <w:jc w:val="center"/>
              <w:rPr>
                <w:rFonts w:ascii="Calibri" w:hAnsi="Calibri" w:eastAsia="宋体" w:cs="Times New Roman"/>
                <w:szCs w:val="21"/>
              </w:rPr>
            </w:pPr>
            <w:r>
              <w:rPr>
                <w:rFonts w:hint="eastAsia" w:ascii="Calibri" w:hAnsi="Calibri" w:eastAsia="宋体" w:cs="Times New Roman"/>
                <w:bCs/>
                <w:szCs w:val="21"/>
              </w:rPr>
              <w:t>综合性</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9E6041">
            <w:pPr>
              <w:jc w:val="center"/>
              <w:rPr>
                <w:rFonts w:ascii="Calibri" w:hAnsi="Calibri" w:eastAsia="宋体" w:cs="Times New Roman"/>
                <w:bCs/>
                <w:szCs w:val="21"/>
              </w:rPr>
            </w:pPr>
            <w:r>
              <w:rPr>
                <w:rFonts w:hint="eastAsia" w:ascii="Calibri" w:hAnsi="Calibri" w:eastAsia="宋体" w:cs="Times New Roman"/>
                <w:bCs/>
                <w:szCs w:val="21"/>
              </w:rPr>
              <w:t>必做</w:t>
            </w:r>
          </w:p>
        </w:tc>
      </w:tr>
      <w:tr w14:paraId="1959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34" w:type="dxa"/>
            <w:tcBorders>
              <w:top w:val="single" w:color="auto" w:sz="4" w:space="0"/>
              <w:left w:val="single" w:color="auto" w:sz="4" w:space="0"/>
              <w:bottom w:val="single" w:color="auto" w:sz="4" w:space="0"/>
              <w:right w:val="single" w:color="auto" w:sz="4" w:space="0"/>
            </w:tcBorders>
            <w:vAlign w:val="center"/>
          </w:tcPr>
          <w:p w14:paraId="2EBAE2A6">
            <w:pPr>
              <w:jc w:val="center"/>
              <w:rPr>
                <w:rFonts w:hint="eastAsia" w:ascii="宋体" w:hAnsi="宋体" w:eastAsia="宋体" w:cs="Times New Roman"/>
                <w:bCs/>
                <w:szCs w:val="21"/>
              </w:rPr>
            </w:pPr>
            <w:r>
              <w:rPr>
                <w:rFonts w:hint="eastAsia" w:ascii="宋体" w:hAnsi="宋体" w:eastAsia="宋体" w:cs="Times New Roman"/>
                <w:bCs/>
                <w:szCs w:val="21"/>
              </w:rPr>
              <w:t>3</w:t>
            </w:r>
          </w:p>
        </w:tc>
        <w:tc>
          <w:tcPr>
            <w:tcW w:w="2084" w:type="dxa"/>
            <w:tcBorders>
              <w:top w:val="single" w:color="auto" w:sz="4" w:space="0"/>
              <w:left w:val="single" w:color="auto" w:sz="4" w:space="0"/>
              <w:bottom w:val="single" w:color="auto" w:sz="4" w:space="0"/>
              <w:right w:val="single" w:color="auto" w:sz="4" w:space="0"/>
            </w:tcBorders>
            <w:vAlign w:val="center"/>
          </w:tcPr>
          <w:p w14:paraId="5D61CF84">
            <w:pPr>
              <w:rPr>
                <w:rFonts w:ascii="Calibri" w:hAnsi="Calibri" w:eastAsia="宋体" w:cs="Times New Roman"/>
                <w:bCs/>
                <w:szCs w:val="21"/>
              </w:rPr>
            </w:pPr>
            <w:r>
              <w:rPr>
                <w:rFonts w:hint="eastAsia" w:ascii="宋体" w:hAnsi="宋体" w:eastAsia="宋体" w:cs="宋体"/>
                <w:kern w:val="0"/>
                <w:szCs w:val="21"/>
              </w:rPr>
              <w:t>小学科学教学实践</w:t>
            </w:r>
          </w:p>
        </w:tc>
        <w:tc>
          <w:tcPr>
            <w:tcW w:w="3367" w:type="dxa"/>
            <w:tcBorders>
              <w:top w:val="single" w:color="auto" w:sz="4" w:space="0"/>
              <w:left w:val="single" w:color="auto" w:sz="4" w:space="0"/>
              <w:bottom w:val="single" w:color="auto" w:sz="4" w:space="0"/>
              <w:right w:val="single" w:color="auto" w:sz="4" w:space="0"/>
            </w:tcBorders>
            <w:vAlign w:val="center"/>
          </w:tcPr>
          <w:p w14:paraId="2BFD4DF1">
            <w:pPr>
              <w:rPr>
                <w:rFonts w:ascii="Calibri" w:hAnsi="Calibri" w:eastAsia="宋体" w:cs="Times New Roman"/>
                <w:bCs/>
                <w:szCs w:val="21"/>
              </w:rPr>
            </w:pPr>
            <w:r>
              <w:rPr>
                <w:rFonts w:ascii="宋体" w:hAnsi="宋体" w:eastAsia="宋体" w:cs="Times New Roman"/>
                <w:b/>
                <w:bCs/>
                <w:color w:val="000000"/>
                <w:szCs w:val="21"/>
              </w:rPr>
              <w:t>实践内容：</w:t>
            </w:r>
            <w:r>
              <w:rPr>
                <w:rFonts w:ascii="宋体" w:hAnsi="宋体" w:eastAsia="宋体" w:cs="Times New Roman"/>
                <w:color w:val="000000"/>
                <w:szCs w:val="21"/>
              </w:rPr>
              <w:t>小组内选择探究法，结合其他方法开展教学研究活动，打磨教案。将教案转化为教学活动，在微格教室完成试讲、录制后评课。</w:t>
            </w:r>
            <w:r>
              <w:rPr>
                <w:rFonts w:ascii="宋体" w:hAnsi="宋体" w:eastAsia="宋体" w:cs="Times New Roman"/>
                <w:color w:val="000000"/>
                <w:szCs w:val="21"/>
              </w:rPr>
              <w:br w:type="textWrapping"/>
            </w:r>
            <w:r>
              <w:rPr>
                <w:rFonts w:ascii="宋体" w:hAnsi="宋体" w:eastAsia="宋体" w:cs="Times New Roman"/>
                <w:b/>
                <w:bCs/>
                <w:color w:val="000000"/>
                <w:szCs w:val="21"/>
              </w:rPr>
              <w:t>实践要求：</w:t>
            </w:r>
            <w:r>
              <w:rPr>
                <w:rFonts w:ascii="宋体" w:hAnsi="宋体" w:eastAsia="宋体" w:cs="Times New Roman"/>
                <w:color w:val="000000"/>
                <w:szCs w:val="21"/>
              </w:rPr>
              <w:t>小组集体提交科学课设计方案、教学评价及模拟教学</w:t>
            </w:r>
            <w:r>
              <w:rPr>
                <w:rFonts w:hint="eastAsia" w:ascii="宋体" w:hAnsi="宋体" w:eastAsia="宋体" w:cs="Times New Roman"/>
                <w:color w:val="000000"/>
                <w:szCs w:val="21"/>
              </w:rPr>
              <w:t>视频</w:t>
            </w:r>
            <w:r>
              <w:rPr>
                <w:rFonts w:ascii="宋体" w:hAnsi="宋体" w:eastAsia="宋体" w:cs="Times New Roman"/>
                <w:color w:val="000000"/>
                <w:szCs w:val="21"/>
              </w:rPr>
              <w:t>。</w:t>
            </w:r>
          </w:p>
        </w:tc>
        <w:tc>
          <w:tcPr>
            <w:tcW w:w="735" w:type="dxa"/>
            <w:tcBorders>
              <w:top w:val="single" w:color="auto" w:sz="4" w:space="0"/>
              <w:left w:val="single" w:color="auto" w:sz="4" w:space="0"/>
              <w:bottom w:val="single" w:color="auto" w:sz="4" w:space="0"/>
              <w:right w:val="single" w:color="auto" w:sz="4" w:space="0"/>
            </w:tcBorders>
            <w:vAlign w:val="center"/>
          </w:tcPr>
          <w:p w14:paraId="79CD559E">
            <w:pPr>
              <w:jc w:val="center"/>
              <w:rPr>
                <w:rFonts w:hint="eastAsia" w:ascii="宋体" w:hAnsi="宋体" w:eastAsia="宋体" w:cs="Times New Roman"/>
                <w:bCs/>
                <w:szCs w:val="21"/>
              </w:rPr>
            </w:pPr>
            <w:r>
              <w:rPr>
                <w:rFonts w:hint="eastAsia" w:ascii="宋体" w:hAnsi="宋体" w:eastAsia="宋体" w:cs="Times New Roman"/>
                <w:bCs/>
                <w:szCs w:val="21"/>
              </w:rPr>
              <w:t>4</w:t>
            </w:r>
          </w:p>
        </w:tc>
        <w:tc>
          <w:tcPr>
            <w:tcW w:w="1155" w:type="dxa"/>
            <w:tcBorders>
              <w:top w:val="single" w:color="auto" w:sz="4" w:space="0"/>
              <w:left w:val="single" w:color="auto" w:sz="4" w:space="0"/>
              <w:bottom w:val="single" w:color="auto" w:sz="4" w:space="0"/>
              <w:right w:val="single" w:color="auto" w:sz="4" w:space="0"/>
            </w:tcBorders>
            <w:vAlign w:val="center"/>
          </w:tcPr>
          <w:p w14:paraId="65665A84">
            <w:pPr>
              <w:jc w:val="center"/>
              <w:rPr>
                <w:rFonts w:hint="eastAsia" w:ascii="宋体" w:hAnsi="宋体" w:eastAsia="宋体" w:cs="Times New Roman"/>
                <w:bCs/>
                <w:szCs w:val="21"/>
              </w:rPr>
            </w:pPr>
            <w:r>
              <w:rPr>
                <w:rFonts w:hint="eastAsia" w:ascii="宋体" w:hAnsi="宋体" w:eastAsia="宋体" w:cs="Times New Roman"/>
                <w:bCs/>
                <w:szCs w:val="21"/>
              </w:rPr>
              <w:t>4-1</w:t>
            </w:r>
          </w:p>
          <w:p w14:paraId="7B3C362B">
            <w:pPr>
              <w:jc w:val="center"/>
              <w:rPr>
                <w:rFonts w:hint="eastAsia" w:ascii="宋体" w:hAnsi="宋体" w:eastAsia="宋体" w:cs="Times New Roman"/>
                <w:szCs w:val="21"/>
              </w:rPr>
            </w:pPr>
            <w:r>
              <w:rPr>
                <w:rFonts w:hint="eastAsia" w:ascii="宋体" w:hAnsi="宋体" w:eastAsia="宋体" w:cs="Times New Roman"/>
                <w:szCs w:val="21"/>
              </w:rPr>
              <w:t>4-2</w:t>
            </w:r>
          </w:p>
          <w:p w14:paraId="402FF59B">
            <w:pPr>
              <w:ind w:firstLine="315" w:firstLineChars="150"/>
              <w:rPr>
                <w:rFonts w:hint="eastAsia" w:ascii="宋体" w:hAnsi="宋体" w:eastAsia="宋体" w:cs="Times New Roman"/>
                <w:bCs/>
                <w:szCs w:val="21"/>
              </w:rPr>
            </w:pPr>
            <w:r>
              <w:rPr>
                <w:rFonts w:hint="eastAsia" w:ascii="宋体" w:hAnsi="宋体" w:eastAsia="宋体" w:cs="Times New Roman"/>
                <w:szCs w:val="21"/>
              </w:rPr>
              <w:t>6-2</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7044029">
            <w:pPr>
              <w:jc w:val="center"/>
              <w:rPr>
                <w:rFonts w:ascii="Calibri" w:hAnsi="Calibri" w:eastAsia="宋体" w:cs="Times New Roman"/>
                <w:szCs w:val="21"/>
              </w:rPr>
            </w:pPr>
            <w:r>
              <w:rPr>
                <w:rFonts w:hint="eastAsia" w:ascii="Calibri" w:hAnsi="Calibri" w:eastAsia="宋体" w:cs="Times New Roman"/>
                <w:bCs/>
                <w:szCs w:val="21"/>
              </w:rPr>
              <w:t>设计性</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B1F64A1">
            <w:pPr>
              <w:jc w:val="center"/>
              <w:rPr>
                <w:rFonts w:ascii="Calibri" w:hAnsi="Calibri" w:eastAsia="宋体" w:cs="Times New Roman"/>
                <w:bCs/>
                <w:szCs w:val="21"/>
              </w:rPr>
            </w:pPr>
            <w:r>
              <w:rPr>
                <w:rFonts w:hint="eastAsia" w:ascii="Calibri" w:hAnsi="Calibri" w:eastAsia="宋体" w:cs="Times New Roman"/>
                <w:bCs/>
                <w:szCs w:val="21"/>
              </w:rPr>
              <w:t>必做</w:t>
            </w:r>
          </w:p>
        </w:tc>
      </w:tr>
      <w:tr w14:paraId="4542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534" w:type="dxa"/>
            <w:tcBorders>
              <w:top w:val="single" w:color="auto" w:sz="4" w:space="0"/>
              <w:left w:val="single" w:color="auto" w:sz="4" w:space="0"/>
              <w:bottom w:val="single" w:color="auto" w:sz="4" w:space="0"/>
              <w:right w:val="single" w:color="auto" w:sz="4" w:space="0"/>
            </w:tcBorders>
            <w:vAlign w:val="center"/>
          </w:tcPr>
          <w:p w14:paraId="753707D5">
            <w:pPr>
              <w:jc w:val="center"/>
              <w:rPr>
                <w:rFonts w:hint="eastAsia" w:ascii="宋体" w:hAnsi="宋体" w:eastAsia="宋体" w:cs="Times New Roman"/>
                <w:bCs/>
                <w:szCs w:val="21"/>
              </w:rPr>
            </w:pPr>
            <w:r>
              <w:rPr>
                <w:rFonts w:hint="eastAsia" w:ascii="宋体" w:hAnsi="宋体" w:eastAsia="宋体" w:cs="Times New Roman"/>
                <w:bCs/>
                <w:szCs w:val="21"/>
              </w:rPr>
              <w:t>4</w:t>
            </w:r>
          </w:p>
        </w:tc>
        <w:tc>
          <w:tcPr>
            <w:tcW w:w="2084" w:type="dxa"/>
            <w:tcBorders>
              <w:top w:val="single" w:color="auto" w:sz="4" w:space="0"/>
              <w:left w:val="single" w:color="auto" w:sz="4" w:space="0"/>
              <w:bottom w:val="single" w:color="auto" w:sz="4" w:space="0"/>
              <w:right w:val="single" w:color="auto" w:sz="4" w:space="0"/>
            </w:tcBorders>
            <w:vAlign w:val="center"/>
          </w:tcPr>
          <w:p w14:paraId="262C7DA6">
            <w:pPr>
              <w:rPr>
                <w:rFonts w:ascii="Calibri" w:hAnsi="Calibri" w:eastAsia="宋体" w:cs="Times New Roman"/>
                <w:bCs/>
                <w:szCs w:val="21"/>
              </w:rPr>
            </w:pPr>
            <w:r>
              <w:rPr>
                <w:rFonts w:hint="eastAsia" w:ascii="Calibri" w:hAnsi="Calibri" w:eastAsia="宋体" w:cs="Times New Roman"/>
                <w:bCs/>
                <w:szCs w:val="21"/>
              </w:rPr>
              <w:t>小学科学教学评价</w:t>
            </w:r>
          </w:p>
        </w:tc>
        <w:tc>
          <w:tcPr>
            <w:tcW w:w="3367" w:type="dxa"/>
            <w:tcBorders>
              <w:top w:val="single" w:color="auto" w:sz="4" w:space="0"/>
              <w:left w:val="single" w:color="auto" w:sz="4" w:space="0"/>
              <w:bottom w:val="single" w:color="auto" w:sz="4" w:space="0"/>
              <w:right w:val="single" w:color="auto" w:sz="4" w:space="0"/>
            </w:tcBorders>
            <w:vAlign w:val="center"/>
          </w:tcPr>
          <w:p w14:paraId="1ACF5065">
            <w:pPr>
              <w:rPr>
                <w:rFonts w:ascii="Calibri" w:hAnsi="Calibri" w:eastAsia="宋体" w:cs="Times New Roman"/>
                <w:bCs/>
                <w:szCs w:val="21"/>
              </w:rPr>
            </w:pPr>
            <w:r>
              <w:rPr>
                <w:rFonts w:ascii="宋体" w:hAnsi="宋体" w:eastAsia="宋体" w:cs="Times New Roman"/>
                <w:b/>
                <w:bCs/>
                <w:color w:val="000000"/>
                <w:szCs w:val="21"/>
              </w:rPr>
              <w:t>实践内容</w:t>
            </w:r>
            <w:r>
              <w:rPr>
                <w:rFonts w:ascii="宋体" w:hAnsi="宋体" w:eastAsia="宋体" w:cs="Times New Roman"/>
                <w:color w:val="000000"/>
                <w:szCs w:val="21"/>
              </w:rPr>
              <w:t>：观摩小学科学教学视频，小组内进行评课，提出改进建议。</w:t>
            </w:r>
            <w:r>
              <w:rPr>
                <w:rFonts w:ascii="宋体" w:hAnsi="宋体" w:eastAsia="宋体" w:cs="Times New Roman"/>
                <w:color w:val="000000"/>
                <w:szCs w:val="21"/>
              </w:rPr>
              <w:br w:type="textWrapping"/>
            </w:r>
            <w:r>
              <w:rPr>
                <w:rFonts w:ascii="宋体" w:hAnsi="宋体" w:eastAsia="宋体" w:cs="Times New Roman"/>
                <w:b/>
                <w:bCs/>
                <w:color w:val="000000"/>
                <w:szCs w:val="21"/>
              </w:rPr>
              <w:t>实践要求</w:t>
            </w:r>
            <w:r>
              <w:rPr>
                <w:rFonts w:ascii="宋体" w:hAnsi="宋体" w:eastAsia="宋体" w:cs="Times New Roman"/>
                <w:color w:val="000000"/>
                <w:szCs w:val="21"/>
              </w:rPr>
              <w:t>：小组集体提交一份教学评价。</w:t>
            </w:r>
          </w:p>
        </w:tc>
        <w:tc>
          <w:tcPr>
            <w:tcW w:w="735" w:type="dxa"/>
            <w:tcBorders>
              <w:top w:val="single" w:color="auto" w:sz="4" w:space="0"/>
              <w:left w:val="single" w:color="auto" w:sz="4" w:space="0"/>
              <w:bottom w:val="single" w:color="auto" w:sz="4" w:space="0"/>
              <w:right w:val="single" w:color="auto" w:sz="4" w:space="0"/>
            </w:tcBorders>
            <w:vAlign w:val="center"/>
          </w:tcPr>
          <w:p w14:paraId="1E58E960">
            <w:pPr>
              <w:jc w:val="center"/>
              <w:rPr>
                <w:rFonts w:hint="eastAsia" w:ascii="宋体" w:hAnsi="宋体" w:eastAsia="宋体" w:cs="Times New Roman"/>
                <w:bCs/>
                <w:szCs w:val="21"/>
              </w:rPr>
            </w:pPr>
            <w:r>
              <w:rPr>
                <w:rFonts w:hint="eastAsia" w:ascii="宋体" w:hAnsi="宋体" w:eastAsia="宋体" w:cs="Times New Roman"/>
                <w:bCs/>
                <w:szCs w:val="21"/>
              </w:rPr>
              <w:t>4</w:t>
            </w:r>
          </w:p>
        </w:tc>
        <w:tc>
          <w:tcPr>
            <w:tcW w:w="1155" w:type="dxa"/>
            <w:tcBorders>
              <w:top w:val="single" w:color="auto" w:sz="4" w:space="0"/>
              <w:left w:val="single" w:color="auto" w:sz="4" w:space="0"/>
              <w:bottom w:val="single" w:color="auto" w:sz="4" w:space="0"/>
              <w:right w:val="single" w:color="auto" w:sz="4" w:space="0"/>
            </w:tcBorders>
            <w:vAlign w:val="center"/>
          </w:tcPr>
          <w:p w14:paraId="1951786F">
            <w:pPr>
              <w:jc w:val="center"/>
              <w:rPr>
                <w:rFonts w:hint="eastAsia" w:ascii="宋体" w:hAnsi="宋体" w:eastAsia="宋体" w:cs="Times New Roman"/>
                <w:bCs/>
                <w:szCs w:val="21"/>
              </w:rPr>
            </w:pPr>
            <w:r>
              <w:rPr>
                <w:rFonts w:hint="eastAsia" w:ascii="宋体" w:hAnsi="宋体" w:eastAsia="宋体" w:cs="Times New Roman"/>
                <w:bCs/>
                <w:szCs w:val="21"/>
              </w:rPr>
              <w:t>4-1</w:t>
            </w:r>
          </w:p>
          <w:p w14:paraId="45C78E12">
            <w:pPr>
              <w:jc w:val="center"/>
              <w:rPr>
                <w:rFonts w:hint="eastAsia" w:ascii="宋体" w:hAnsi="宋体" w:eastAsia="宋体" w:cs="Times New Roman"/>
                <w:szCs w:val="21"/>
              </w:rPr>
            </w:pPr>
            <w:r>
              <w:rPr>
                <w:rFonts w:hint="eastAsia" w:ascii="宋体" w:hAnsi="宋体" w:eastAsia="宋体" w:cs="Times New Roman"/>
                <w:szCs w:val="21"/>
              </w:rPr>
              <w:t>4-2</w:t>
            </w:r>
          </w:p>
          <w:p w14:paraId="0E250038">
            <w:pPr>
              <w:jc w:val="center"/>
              <w:rPr>
                <w:rFonts w:hint="eastAsia" w:ascii="宋体" w:hAnsi="宋体" w:eastAsia="宋体" w:cs="Times New Roman"/>
                <w:color w:val="000000"/>
                <w:szCs w:val="21"/>
              </w:rPr>
            </w:pPr>
            <w:r>
              <w:rPr>
                <w:rFonts w:hint="eastAsia" w:ascii="宋体" w:hAnsi="宋体" w:eastAsia="宋体" w:cs="Times New Roman"/>
                <w:szCs w:val="21"/>
              </w:rPr>
              <w:t>6-2</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6701D91">
            <w:pPr>
              <w:jc w:val="center"/>
              <w:rPr>
                <w:rFonts w:ascii="Calibri" w:hAnsi="Calibri" w:eastAsia="宋体" w:cs="Times New Roman"/>
                <w:bCs/>
                <w:szCs w:val="21"/>
              </w:rPr>
            </w:pPr>
            <w:r>
              <w:rPr>
                <w:rFonts w:hint="eastAsia" w:ascii="Calibri" w:hAnsi="Calibri" w:eastAsia="宋体" w:cs="Times New Roman"/>
                <w:bCs/>
                <w:szCs w:val="21"/>
              </w:rPr>
              <w:t>综合性</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1D82C6C">
            <w:pPr>
              <w:jc w:val="center"/>
              <w:rPr>
                <w:rFonts w:ascii="Calibri" w:hAnsi="Calibri" w:eastAsia="宋体" w:cs="Times New Roman"/>
                <w:bCs/>
                <w:szCs w:val="21"/>
              </w:rPr>
            </w:pPr>
            <w:r>
              <w:rPr>
                <w:rFonts w:hint="eastAsia" w:ascii="Calibri" w:hAnsi="Calibri" w:eastAsia="宋体" w:cs="Times New Roman"/>
                <w:bCs/>
                <w:szCs w:val="21"/>
              </w:rPr>
              <w:t>必做</w:t>
            </w:r>
          </w:p>
        </w:tc>
      </w:tr>
    </w:tbl>
    <w:p w14:paraId="7202A8B4">
      <w:pPr>
        <w:widowControl/>
        <w:spacing w:line="360" w:lineRule="auto"/>
        <w:jc w:val="left"/>
        <w:rPr>
          <w:rFonts w:ascii="Calibri" w:hAnsi="Calibri" w:eastAsia="宋体" w:cs="Times New Roman"/>
          <w:b/>
          <w:sz w:val="28"/>
          <w:szCs w:val="28"/>
        </w:rPr>
      </w:pPr>
    </w:p>
    <w:p w14:paraId="45209E3B">
      <w:pPr>
        <w:widowControl/>
        <w:spacing w:line="360" w:lineRule="auto"/>
        <w:jc w:val="left"/>
        <w:rPr>
          <w:rFonts w:ascii="Calibri" w:hAnsi="Calibri" w:eastAsia="宋体" w:cs="Times New Roman"/>
          <w:b/>
          <w:sz w:val="28"/>
          <w:szCs w:val="28"/>
        </w:rPr>
      </w:pPr>
      <w:r>
        <w:rPr>
          <w:rFonts w:hint="eastAsia" w:ascii="Calibri" w:hAnsi="Calibri" w:eastAsia="宋体" w:cs="Times New Roman"/>
          <w:b/>
          <w:sz w:val="28"/>
          <w:szCs w:val="28"/>
        </w:rPr>
        <w:t>五、课程实施</w:t>
      </w:r>
    </w:p>
    <w:p w14:paraId="496BDFEF">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（一）课程在内容编排时要注意立足于学生之前关于先导课程的学习，以此为基础，将科学教学与相关课程知识进行结合，逐步过渡到本课程的教学中。</w:t>
      </w:r>
    </w:p>
    <w:p w14:paraId="4A5D8D94">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（二）课程在教学中要充分搜集好的教学案例、教学视频，提供给学生多样化的、多类型的科学课堂形式，丰富学生对科学教学的认知与感受。</w:t>
      </w:r>
    </w:p>
    <w:p w14:paraId="43B51B5E">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（三）课程在引导学生进行课标分析、教材分析、教学案例分析时，注重发挥学生的主体性，引导学生依据课标分析和思考科学课程的独特性，并形成与其它类似课程的比较。</w:t>
      </w:r>
    </w:p>
    <w:p w14:paraId="5CC88C12">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（四）教学设计是本课程的重点，教师在课内实践中要帮助学生体会理论知识与实践教学的结合过程，掌握运用基本原理、基本模式进行科学教学设计的方法。</w:t>
      </w:r>
    </w:p>
    <w:p w14:paraId="78954B07">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（五）教师要积极采用平时考勤、教案考核、课堂演示考核、期末综合考核等多种形式相结合的考核方法，引导学生按时、保质保量地完成本课程学习任务。</w:t>
      </w:r>
    </w:p>
    <w:p w14:paraId="0EF61996">
      <w:pPr>
        <w:spacing w:line="360" w:lineRule="auto"/>
        <w:ind w:firstLine="482" w:firstLineChars="200"/>
        <w:rPr>
          <w:rFonts w:ascii="Calibri" w:hAnsi="Calibri" w:eastAsia="宋体" w:cs="Times New Roman"/>
          <w:b/>
          <w:bCs/>
          <w:sz w:val="24"/>
          <w:szCs w:val="24"/>
        </w:rPr>
      </w:pPr>
    </w:p>
    <w:p w14:paraId="0B457D23">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bCs/>
          <w:sz w:val="24"/>
          <w:szCs w:val="24"/>
        </w:rPr>
        <w:t>主要教学环节的质量要求如表所示：</w:t>
      </w:r>
    </w:p>
    <w:tbl>
      <w:tblPr>
        <w:tblStyle w:val="30"/>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001"/>
        <w:gridCol w:w="7579"/>
      </w:tblGrid>
      <w:tr w14:paraId="699B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85" w:type="dxa"/>
            <w:gridSpan w:val="2"/>
            <w:tcBorders>
              <w:top w:val="single" w:color="auto" w:sz="8" w:space="0"/>
              <w:left w:val="single" w:color="auto" w:sz="8" w:space="0"/>
              <w:bottom w:val="single" w:color="auto" w:sz="4" w:space="0"/>
              <w:right w:val="single" w:color="auto" w:sz="8" w:space="0"/>
            </w:tcBorders>
            <w:tcMar>
              <w:top w:w="0" w:type="dxa"/>
              <w:left w:w="28" w:type="dxa"/>
              <w:bottom w:w="0" w:type="dxa"/>
              <w:right w:w="28" w:type="dxa"/>
            </w:tcMar>
            <w:vAlign w:val="center"/>
          </w:tcPr>
          <w:p w14:paraId="1857BDC7">
            <w:pPr>
              <w:jc w:val="center"/>
              <w:rPr>
                <w:rFonts w:hint="eastAsia" w:ascii="宋体" w:hAnsi="宋体" w:eastAsia="宋体" w:cs="Times New Roman"/>
                <w:b/>
                <w:color w:val="000000"/>
                <w:szCs w:val="21"/>
              </w:rPr>
            </w:pPr>
            <w:r>
              <w:rPr>
                <w:rFonts w:hint="eastAsia" w:ascii="宋体" w:hAnsi="宋体" w:eastAsia="宋体" w:cs="Times New Roman"/>
                <w:b/>
                <w:bCs/>
                <w:color w:val="000000"/>
                <w:szCs w:val="21"/>
              </w:rPr>
              <w:t>主要教学环节</w:t>
            </w:r>
          </w:p>
        </w:tc>
        <w:tc>
          <w:tcPr>
            <w:tcW w:w="7575" w:type="dxa"/>
            <w:tcBorders>
              <w:top w:val="single" w:color="auto" w:sz="8" w:space="0"/>
              <w:left w:val="single" w:color="auto" w:sz="8" w:space="0"/>
              <w:bottom w:val="single" w:color="auto" w:sz="4" w:space="0"/>
              <w:right w:val="single" w:color="auto" w:sz="8" w:space="0"/>
            </w:tcBorders>
            <w:vAlign w:val="center"/>
          </w:tcPr>
          <w:p w14:paraId="20579A22">
            <w:pPr>
              <w:jc w:val="center"/>
              <w:rPr>
                <w:rFonts w:hint="eastAsia" w:ascii="宋体" w:hAnsi="宋体" w:eastAsia="宋体" w:cs="Times New Roman"/>
                <w:b/>
                <w:color w:val="000000"/>
                <w:szCs w:val="21"/>
              </w:rPr>
            </w:pPr>
            <w:r>
              <w:rPr>
                <w:rFonts w:hint="eastAsia" w:ascii="宋体" w:hAnsi="宋体" w:eastAsia="宋体" w:cs="Times New Roman"/>
                <w:b/>
                <w:bCs/>
                <w:color w:val="000000"/>
                <w:szCs w:val="21"/>
              </w:rPr>
              <w:t>质量要求</w:t>
            </w:r>
          </w:p>
        </w:tc>
      </w:tr>
      <w:tr w14:paraId="01D5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585" w:type="dxa"/>
            <w:tcBorders>
              <w:top w:val="single" w:color="auto" w:sz="4" w:space="0"/>
              <w:left w:val="single" w:color="auto" w:sz="8" w:space="0"/>
              <w:bottom w:val="single" w:color="auto" w:sz="4" w:space="0"/>
              <w:right w:val="single" w:color="auto" w:sz="4" w:space="0"/>
            </w:tcBorders>
            <w:vAlign w:val="center"/>
          </w:tcPr>
          <w:p w14:paraId="2BEFDD8B">
            <w:pPr>
              <w:jc w:val="center"/>
              <w:rPr>
                <w:rFonts w:hint="eastAsia" w:ascii="宋体" w:hAnsi="宋体" w:eastAsia="宋体" w:cs="Times New Roman"/>
                <w:color w:val="000000"/>
                <w:szCs w:val="21"/>
              </w:rPr>
            </w:pPr>
            <w:r>
              <w:rPr>
                <w:rFonts w:hint="eastAsia" w:ascii="宋体" w:hAnsi="宋体" w:eastAsia="宋体" w:cs="Times New Roman"/>
                <w:color w:val="000000"/>
                <w:szCs w:val="21"/>
              </w:rPr>
              <w:t>1</w:t>
            </w:r>
          </w:p>
        </w:tc>
        <w:tc>
          <w:tcPr>
            <w:tcW w:w="9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9BE6385">
            <w:pPr>
              <w:jc w:val="center"/>
              <w:rPr>
                <w:rFonts w:hint="eastAsia" w:ascii="宋体" w:hAnsi="宋体" w:eastAsia="宋体" w:cs="Times New Roman"/>
                <w:color w:val="000000"/>
                <w:szCs w:val="21"/>
              </w:rPr>
            </w:pPr>
            <w:r>
              <w:rPr>
                <w:rFonts w:hint="eastAsia" w:ascii="宋体" w:hAnsi="宋体" w:eastAsia="宋体" w:cs="Times New Roman"/>
                <w:color w:val="000000"/>
                <w:szCs w:val="21"/>
              </w:rPr>
              <w:t>备课</w:t>
            </w:r>
          </w:p>
        </w:tc>
        <w:tc>
          <w:tcPr>
            <w:tcW w:w="7575" w:type="dxa"/>
            <w:tcBorders>
              <w:top w:val="single" w:color="auto" w:sz="4" w:space="0"/>
              <w:left w:val="single" w:color="auto" w:sz="4" w:space="0"/>
              <w:bottom w:val="single" w:color="auto" w:sz="4" w:space="0"/>
              <w:right w:val="single" w:color="auto" w:sz="8" w:space="0"/>
            </w:tcBorders>
            <w:vAlign w:val="center"/>
          </w:tcPr>
          <w:p w14:paraId="6B22ABDC">
            <w:pPr>
              <w:rPr>
                <w:rFonts w:hint="eastAsia" w:ascii="宋体" w:hAnsi="宋体" w:eastAsia="宋体" w:cs="Times New Roman"/>
                <w:color w:val="000000"/>
                <w:szCs w:val="21"/>
              </w:rPr>
            </w:pPr>
            <w:r>
              <w:rPr>
                <w:rFonts w:hint="eastAsia" w:ascii="宋体" w:hAnsi="宋体" w:eastAsia="宋体" w:cs="Times New Roman"/>
                <w:color w:val="000000"/>
                <w:szCs w:val="21"/>
              </w:rPr>
              <w:t>（1）掌握课程教学大纲内容，严格按照教学大纲要求进行课程教学内容的组织。</w:t>
            </w:r>
          </w:p>
          <w:p w14:paraId="1E3A33BD">
            <w:pPr>
              <w:rPr>
                <w:rFonts w:hint="eastAsia" w:ascii="宋体" w:hAnsi="宋体" w:eastAsia="宋体" w:cs="Times New Roman"/>
                <w:color w:val="000000"/>
                <w:szCs w:val="21"/>
              </w:rPr>
            </w:pPr>
            <w:r>
              <w:rPr>
                <w:rFonts w:hint="eastAsia" w:ascii="宋体" w:hAnsi="宋体" w:eastAsia="宋体" w:cs="Times New Roman"/>
                <w:color w:val="000000"/>
                <w:szCs w:val="21"/>
              </w:rPr>
              <w:t>（2）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389C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2" w:hRule="atLeast"/>
          <w:jc w:val="center"/>
        </w:trPr>
        <w:tc>
          <w:tcPr>
            <w:tcW w:w="585" w:type="dxa"/>
            <w:tcBorders>
              <w:top w:val="single" w:color="auto" w:sz="4" w:space="0"/>
              <w:left w:val="single" w:color="auto" w:sz="8" w:space="0"/>
              <w:bottom w:val="single" w:color="auto" w:sz="4" w:space="0"/>
              <w:right w:val="single" w:color="auto" w:sz="4" w:space="0"/>
            </w:tcBorders>
            <w:vAlign w:val="center"/>
          </w:tcPr>
          <w:p w14:paraId="12E18F05">
            <w:pPr>
              <w:jc w:val="center"/>
              <w:rPr>
                <w:rFonts w:hint="eastAsia" w:ascii="宋体" w:hAnsi="宋体" w:eastAsia="宋体" w:cs="Times New Roman"/>
                <w:color w:val="000000"/>
                <w:szCs w:val="21"/>
              </w:rPr>
            </w:pPr>
            <w:r>
              <w:rPr>
                <w:rFonts w:hint="eastAsia" w:ascii="宋体" w:hAnsi="宋体" w:eastAsia="宋体" w:cs="Times New Roman"/>
                <w:color w:val="000000"/>
                <w:szCs w:val="21"/>
              </w:rPr>
              <w:t>2</w:t>
            </w:r>
          </w:p>
        </w:tc>
        <w:tc>
          <w:tcPr>
            <w:tcW w:w="9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BB834BE">
            <w:pPr>
              <w:jc w:val="center"/>
              <w:rPr>
                <w:rFonts w:hint="eastAsia" w:ascii="宋体" w:hAnsi="宋体" w:eastAsia="宋体" w:cs="Times New Roman"/>
                <w:color w:val="000000"/>
                <w:szCs w:val="21"/>
              </w:rPr>
            </w:pPr>
            <w:r>
              <w:rPr>
                <w:rFonts w:hint="eastAsia" w:ascii="宋体" w:hAnsi="宋体" w:eastAsia="宋体" w:cs="Times New Roman"/>
                <w:color w:val="000000"/>
                <w:szCs w:val="21"/>
              </w:rPr>
              <w:t>讲授</w:t>
            </w:r>
          </w:p>
        </w:tc>
        <w:tc>
          <w:tcPr>
            <w:tcW w:w="7575" w:type="dxa"/>
            <w:tcBorders>
              <w:top w:val="single" w:color="auto" w:sz="4" w:space="0"/>
              <w:left w:val="single" w:color="auto" w:sz="4" w:space="0"/>
              <w:bottom w:val="single" w:color="auto" w:sz="4" w:space="0"/>
              <w:right w:val="single" w:color="auto" w:sz="8" w:space="0"/>
            </w:tcBorders>
            <w:vAlign w:val="center"/>
          </w:tcPr>
          <w:p w14:paraId="7DC94622">
            <w:pPr>
              <w:rPr>
                <w:rFonts w:hint="eastAsia" w:ascii="宋体" w:hAnsi="宋体" w:eastAsia="宋体" w:cs="Times New Roman"/>
                <w:color w:val="000000"/>
                <w:szCs w:val="24"/>
              </w:rPr>
            </w:pPr>
            <w:r>
              <w:rPr>
                <w:rFonts w:hint="eastAsia" w:ascii="宋体" w:hAnsi="宋体" w:eastAsia="宋体" w:cs="Times New Roman"/>
                <w:color w:val="000000"/>
                <w:szCs w:val="21"/>
              </w:rPr>
              <w:t>（1）</w:t>
            </w:r>
            <w:r>
              <w:rPr>
                <w:rFonts w:hint="eastAsia" w:ascii="宋体" w:hAnsi="宋体" w:eastAsia="宋体" w:cs="Times New Roman"/>
                <w:color w:val="000000"/>
                <w:szCs w:val="24"/>
              </w:rPr>
              <w:t>教师仪表端庄，情绪情感要饱满；</w:t>
            </w:r>
          </w:p>
          <w:p w14:paraId="118A35F2">
            <w:pPr>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4"/>
              </w:rPr>
              <w:t>教学准备充分，熟悉教学内容；</w:t>
            </w:r>
          </w:p>
          <w:p w14:paraId="003E84D8">
            <w:pPr>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4"/>
              </w:rPr>
              <w:t>教学内容充实，不断充实最新研究成果；</w:t>
            </w:r>
          </w:p>
          <w:p w14:paraId="03D36A9C">
            <w:pPr>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4"/>
              </w:rPr>
              <w:t>严格执行计划，教学进度适宜；</w:t>
            </w:r>
          </w:p>
          <w:p w14:paraId="1B44F85D">
            <w:pPr>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hint="eastAsia" w:ascii="宋体" w:hAnsi="宋体" w:eastAsia="宋体" w:cs="Times New Roman"/>
                <w:color w:val="000000"/>
                <w:szCs w:val="24"/>
              </w:rPr>
              <w:t>课堂教学信息充分，注重理论联系实际；</w:t>
            </w:r>
          </w:p>
          <w:p w14:paraId="45C7BDD5">
            <w:pPr>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hint="eastAsia" w:ascii="宋体" w:hAnsi="宋体" w:eastAsia="宋体" w:cs="Times New Roman"/>
                <w:color w:val="000000"/>
                <w:szCs w:val="24"/>
              </w:rPr>
              <w:t>注重启发学生思维，培养学生的教学能力；</w:t>
            </w:r>
          </w:p>
          <w:p w14:paraId="5C44E661">
            <w:pPr>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hint="eastAsia" w:ascii="宋体" w:hAnsi="宋体" w:eastAsia="宋体" w:cs="Times New Roman"/>
                <w:color w:val="000000"/>
                <w:szCs w:val="24"/>
              </w:rPr>
              <w:t>面向全体基础上因材施教，灵活运用多种教学方法；</w:t>
            </w:r>
          </w:p>
          <w:p w14:paraId="6B46DFFF">
            <w:pPr>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hint="eastAsia" w:ascii="宋体" w:hAnsi="宋体" w:eastAsia="宋体" w:cs="Times New Roman"/>
                <w:color w:val="000000"/>
                <w:szCs w:val="24"/>
              </w:rPr>
              <w:t>教学语言规范，为学生教育教学做好表率；</w:t>
            </w:r>
          </w:p>
          <w:p w14:paraId="7BEB6BDC">
            <w:pPr>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hint="eastAsia" w:ascii="宋体" w:hAnsi="宋体" w:eastAsia="宋体" w:cs="Times New Roman"/>
                <w:color w:val="000000"/>
                <w:szCs w:val="24"/>
              </w:rPr>
              <w:t>教学条理清楚，教学思路逻辑严密；</w:t>
            </w:r>
          </w:p>
          <w:p w14:paraId="25F03A59">
            <w:pPr>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hint="eastAsia" w:ascii="宋体" w:hAnsi="宋体" w:eastAsia="宋体" w:cs="Times New Roman"/>
                <w:color w:val="000000"/>
                <w:szCs w:val="24"/>
              </w:rPr>
              <w:t>充分运用现代化教学手段，教学技术熟练；</w:t>
            </w:r>
          </w:p>
          <w:p w14:paraId="17B62EA2">
            <w:pPr>
              <w:rPr>
                <w:rFonts w:hint="eastAsia" w:ascii="宋体" w:hAnsi="宋体" w:eastAsia="宋体" w:cs="Times New Roman"/>
                <w:color w:val="000000"/>
                <w:szCs w:val="21"/>
              </w:rPr>
            </w:pPr>
            <w:r>
              <w:rPr>
                <w:rFonts w:hint="eastAsia" w:ascii="宋体" w:hAnsi="宋体" w:eastAsia="宋体" w:cs="Times New Roman"/>
                <w:color w:val="000000"/>
                <w:szCs w:val="21"/>
              </w:rPr>
              <w:t>（11）</w:t>
            </w:r>
            <w:r>
              <w:rPr>
                <w:rFonts w:hint="eastAsia" w:ascii="宋体" w:hAnsi="宋体" w:eastAsia="宋体" w:cs="Times New Roman"/>
                <w:color w:val="000000"/>
                <w:szCs w:val="24"/>
              </w:rPr>
              <w:t>课堂教学要重点突出，难点突破；</w:t>
            </w:r>
          </w:p>
          <w:p w14:paraId="2CD07481">
            <w:pPr>
              <w:rPr>
                <w:rFonts w:hint="eastAsia" w:ascii="宋体" w:hAnsi="宋体" w:eastAsia="宋体" w:cs="Times New Roman"/>
                <w:color w:val="000000"/>
                <w:szCs w:val="21"/>
              </w:rPr>
            </w:pPr>
            <w:r>
              <w:rPr>
                <w:rFonts w:hint="eastAsia" w:ascii="宋体" w:hAnsi="宋体" w:eastAsia="宋体" w:cs="Times New Roman"/>
                <w:color w:val="000000"/>
                <w:szCs w:val="21"/>
              </w:rPr>
              <w:t>（12）</w:t>
            </w:r>
            <w:r>
              <w:rPr>
                <w:rFonts w:hint="eastAsia" w:ascii="宋体" w:hAnsi="宋体" w:eastAsia="宋体" w:cs="Times New Roman"/>
                <w:color w:val="000000"/>
                <w:szCs w:val="24"/>
              </w:rPr>
              <w:t>注重师生互动，形成良好的课堂氛围。</w:t>
            </w:r>
          </w:p>
        </w:tc>
      </w:tr>
      <w:tr w14:paraId="63F9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585" w:type="dxa"/>
            <w:tcBorders>
              <w:top w:val="single" w:color="auto" w:sz="4" w:space="0"/>
              <w:left w:val="single" w:color="auto" w:sz="8" w:space="0"/>
              <w:bottom w:val="single" w:color="auto" w:sz="4" w:space="0"/>
              <w:right w:val="single" w:color="auto" w:sz="4" w:space="0"/>
            </w:tcBorders>
            <w:vAlign w:val="center"/>
          </w:tcPr>
          <w:p w14:paraId="587F2360">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w:t>
            </w:r>
          </w:p>
        </w:tc>
        <w:tc>
          <w:tcPr>
            <w:tcW w:w="9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98B5338">
            <w:pPr>
              <w:jc w:val="center"/>
              <w:rPr>
                <w:rFonts w:hint="eastAsia" w:ascii="宋体" w:hAnsi="宋体" w:eastAsia="宋体" w:cs="Times New Roman"/>
                <w:color w:val="000000"/>
                <w:szCs w:val="21"/>
              </w:rPr>
            </w:pPr>
            <w:r>
              <w:rPr>
                <w:rFonts w:hint="eastAsia" w:ascii="宋体" w:hAnsi="宋体" w:eastAsia="宋体" w:cs="Times New Roman"/>
                <w:color w:val="000000"/>
                <w:szCs w:val="21"/>
              </w:rPr>
              <w:t>作业布置与批改</w:t>
            </w:r>
          </w:p>
        </w:tc>
        <w:tc>
          <w:tcPr>
            <w:tcW w:w="7575" w:type="dxa"/>
            <w:tcBorders>
              <w:top w:val="single" w:color="auto" w:sz="4" w:space="0"/>
              <w:left w:val="single" w:color="auto" w:sz="4" w:space="0"/>
              <w:bottom w:val="single" w:color="auto" w:sz="4" w:space="0"/>
              <w:right w:val="single" w:color="auto" w:sz="8" w:space="0"/>
            </w:tcBorders>
            <w:vAlign w:val="center"/>
          </w:tcPr>
          <w:p w14:paraId="31F98A9A">
            <w:pPr>
              <w:rPr>
                <w:rFonts w:hint="eastAsia" w:ascii="宋体" w:hAnsi="宋体" w:eastAsia="宋体" w:cs="Times New Roman"/>
                <w:color w:val="000000"/>
                <w:szCs w:val="21"/>
              </w:rPr>
            </w:pPr>
            <w:r>
              <w:rPr>
                <w:rFonts w:hint="eastAsia" w:ascii="宋体" w:hAnsi="宋体" w:eastAsia="宋体" w:cs="Times New Roman"/>
                <w:color w:val="000000"/>
                <w:szCs w:val="21"/>
              </w:rPr>
              <w:t>学生必须完成规定数量的作业，作业必须达到以下基本要求：</w:t>
            </w:r>
          </w:p>
          <w:p w14:paraId="7135AEAE">
            <w:pPr>
              <w:rPr>
                <w:rFonts w:hint="eastAsia" w:ascii="宋体" w:hAnsi="宋体" w:eastAsia="宋体" w:cs="Times New Roman"/>
                <w:color w:val="000000"/>
                <w:szCs w:val="21"/>
              </w:rPr>
            </w:pPr>
            <w:r>
              <w:rPr>
                <w:rFonts w:hint="eastAsia" w:ascii="宋体" w:hAnsi="宋体" w:eastAsia="宋体" w:cs="Times New Roman"/>
                <w:color w:val="000000"/>
                <w:szCs w:val="21"/>
              </w:rPr>
              <w:t>（1）按时按量完成作业，不缺交，不抄袭。</w:t>
            </w:r>
          </w:p>
          <w:p w14:paraId="7BF540E5">
            <w:pPr>
              <w:rPr>
                <w:rFonts w:hint="eastAsia" w:ascii="宋体" w:hAnsi="宋体" w:eastAsia="宋体" w:cs="Times New Roman"/>
                <w:color w:val="000000"/>
                <w:szCs w:val="21"/>
              </w:rPr>
            </w:pPr>
            <w:r>
              <w:rPr>
                <w:rFonts w:hint="eastAsia" w:ascii="宋体" w:hAnsi="宋体" w:eastAsia="宋体" w:cs="Times New Roman"/>
                <w:color w:val="000000"/>
                <w:szCs w:val="21"/>
              </w:rPr>
              <w:t>（2）书写规范、教学设计方案格式规范、清晰。</w:t>
            </w:r>
          </w:p>
          <w:p w14:paraId="1B571CFC">
            <w:pPr>
              <w:rPr>
                <w:rFonts w:hint="eastAsia" w:ascii="宋体" w:hAnsi="宋体" w:eastAsia="宋体" w:cs="Times New Roman"/>
                <w:color w:val="000000"/>
                <w:szCs w:val="21"/>
              </w:rPr>
            </w:pPr>
            <w:r>
              <w:rPr>
                <w:rFonts w:hint="eastAsia" w:ascii="宋体" w:hAnsi="宋体" w:eastAsia="宋体" w:cs="Times New Roman"/>
                <w:color w:val="000000"/>
                <w:szCs w:val="21"/>
              </w:rPr>
              <w:t>（3）教学设计理念先进，教学目标适宜，教学方法灵活，教学组织形式多样、教学过程紧凑，教学准备充分。</w:t>
            </w:r>
          </w:p>
          <w:p w14:paraId="7CF93E1C">
            <w:pPr>
              <w:rPr>
                <w:rFonts w:hint="eastAsia" w:ascii="宋体" w:hAnsi="宋体" w:eastAsia="宋体" w:cs="Times New Roman"/>
                <w:color w:val="000000"/>
                <w:szCs w:val="21"/>
              </w:rPr>
            </w:pPr>
            <w:r>
              <w:rPr>
                <w:rFonts w:hint="eastAsia" w:ascii="宋体" w:hAnsi="宋体" w:eastAsia="宋体" w:cs="Times New Roman"/>
                <w:color w:val="000000"/>
                <w:szCs w:val="21"/>
              </w:rPr>
              <w:t>教师批改和讲评作业要求如下：</w:t>
            </w:r>
          </w:p>
          <w:p w14:paraId="58DFA68A">
            <w:pPr>
              <w:rPr>
                <w:rFonts w:hint="eastAsia" w:ascii="宋体" w:hAnsi="宋体" w:eastAsia="宋体" w:cs="Times New Roman"/>
                <w:color w:val="000000"/>
                <w:szCs w:val="21"/>
              </w:rPr>
            </w:pPr>
            <w:r>
              <w:rPr>
                <w:rFonts w:hint="eastAsia" w:ascii="宋体" w:hAnsi="宋体" w:eastAsia="宋体" w:cs="Times New Roman"/>
                <w:color w:val="000000"/>
                <w:szCs w:val="21"/>
              </w:rPr>
              <w:t>（1）学生的作业要按时全部批改，并及时进行讲评。</w:t>
            </w:r>
          </w:p>
          <w:p w14:paraId="17B2A6D4">
            <w:pPr>
              <w:rPr>
                <w:rFonts w:hint="eastAsia" w:ascii="宋体" w:hAnsi="宋体" w:eastAsia="宋体" w:cs="Times New Roman"/>
                <w:color w:val="000000"/>
                <w:szCs w:val="21"/>
              </w:rPr>
            </w:pPr>
            <w:r>
              <w:rPr>
                <w:rFonts w:hint="eastAsia" w:ascii="宋体" w:hAnsi="宋体" w:eastAsia="宋体" w:cs="Times New Roman"/>
                <w:color w:val="000000"/>
                <w:szCs w:val="21"/>
              </w:rPr>
              <w:t>（2）教师批改和讲评作业要认真、细致，按百分制评定成绩并写明日期。</w:t>
            </w:r>
          </w:p>
          <w:p w14:paraId="6AB8FEE3">
            <w:pPr>
              <w:rPr>
                <w:rFonts w:hint="eastAsia" w:ascii="宋体" w:hAnsi="宋体" w:eastAsia="宋体" w:cs="Times New Roman"/>
                <w:color w:val="000000"/>
                <w:szCs w:val="21"/>
              </w:rPr>
            </w:pPr>
            <w:r>
              <w:rPr>
                <w:rFonts w:hint="eastAsia" w:ascii="宋体" w:hAnsi="宋体" w:eastAsia="宋体" w:cs="Times New Roman"/>
                <w:color w:val="000000"/>
                <w:szCs w:val="21"/>
              </w:rPr>
              <w:t>（3）学生作业平均成绩应作为本课程总评成绩中平时成绩的重要组成部分。</w:t>
            </w:r>
          </w:p>
        </w:tc>
      </w:tr>
      <w:tr w14:paraId="2DB3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585" w:type="dxa"/>
            <w:tcBorders>
              <w:top w:val="single" w:color="auto" w:sz="4" w:space="0"/>
              <w:left w:val="single" w:color="auto" w:sz="8" w:space="0"/>
              <w:bottom w:val="single" w:color="auto" w:sz="4" w:space="0"/>
              <w:right w:val="single" w:color="auto" w:sz="4" w:space="0"/>
            </w:tcBorders>
            <w:vAlign w:val="center"/>
          </w:tcPr>
          <w:p w14:paraId="383D6761">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w:t>
            </w:r>
          </w:p>
        </w:tc>
        <w:tc>
          <w:tcPr>
            <w:tcW w:w="9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92956E5">
            <w:pPr>
              <w:jc w:val="center"/>
              <w:rPr>
                <w:rFonts w:hint="eastAsia" w:ascii="宋体" w:hAnsi="宋体" w:eastAsia="宋体" w:cs="Times New Roman"/>
                <w:color w:val="000000"/>
                <w:szCs w:val="21"/>
              </w:rPr>
            </w:pPr>
            <w:r>
              <w:rPr>
                <w:rFonts w:hint="eastAsia" w:ascii="宋体" w:hAnsi="宋体" w:eastAsia="宋体" w:cs="Times New Roman"/>
                <w:color w:val="000000"/>
                <w:szCs w:val="21"/>
              </w:rPr>
              <w:t>课外答疑</w:t>
            </w:r>
          </w:p>
        </w:tc>
        <w:tc>
          <w:tcPr>
            <w:tcW w:w="7575" w:type="dxa"/>
            <w:tcBorders>
              <w:top w:val="single" w:color="auto" w:sz="4" w:space="0"/>
              <w:left w:val="single" w:color="auto" w:sz="4" w:space="0"/>
              <w:bottom w:val="single" w:color="auto" w:sz="4" w:space="0"/>
              <w:right w:val="single" w:color="auto" w:sz="8" w:space="0"/>
            </w:tcBorders>
            <w:vAlign w:val="center"/>
          </w:tcPr>
          <w:p w14:paraId="0C392661">
            <w:pPr>
              <w:rPr>
                <w:rFonts w:hint="eastAsia" w:ascii="宋体" w:hAnsi="宋体" w:eastAsia="宋体" w:cs="Times New Roman"/>
                <w:color w:val="000000"/>
                <w:szCs w:val="21"/>
              </w:rPr>
            </w:pPr>
            <w:r>
              <w:rPr>
                <w:rFonts w:hint="eastAsia" w:ascii="宋体" w:hAnsi="宋体" w:eastAsia="宋体" w:cs="Times New Roman"/>
                <w:color w:val="000000"/>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0460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585" w:type="dxa"/>
            <w:tcBorders>
              <w:top w:val="single" w:color="auto" w:sz="4" w:space="0"/>
              <w:left w:val="single" w:color="auto" w:sz="8" w:space="0"/>
              <w:bottom w:val="single" w:color="auto" w:sz="4" w:space="0"/>
              <w:right w:val="single" w:color="auto" w:sz="4" w:space="0"/>
            </w:tcBorders>
            <w:vAlign w:val="center"/>
          </w:tcPr>
          <w:p w14:paraId="5F212CCC">
            <w:pPr>
              <w:jc w:val="center"/>
              <w:rPr>
                <w:rFonts w:hint="eastAsia" w:ascii="宋体" w:hAnsi="宋体" w:eastAsia="宋体" w:cs="Times New Roman"/>
                <w:color w:val="000000"/>
                <w:szCs w:val="21"/>
              </w:rPr>
            </w:pPr>
            <w:r>
              <w:rPr>
                <w:rFonts w:hint="eastAsia" w:ascii="宋体" w:hAnsi="宋体" w:eastAsia="宋体" w:cs="Times New Roman"/>
                <w:color w:val="000000"/>
                <w:szCs w:val="21"/>
              </w:rPr>
              <w:t>5</w:t>
            </w:r>
          </w:p>
        </w:tc>
        <w:tc>
          <w:tcPr>
            <w:tcW w:w="9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552492">
            <w:pPr>
              <w:jc w:val="center"/>
              <w:rPr>
                <w:rFonts w:hint="eastAsia" w:ascii="宋体" w:hAnsi="宋体" w:eastAsia="宋体" w:cs="Times New Roman"/>
                <w:color w:val="000000"/>
                <w:szCs w:val="21"/>
              </w:rPr>
            </w:pPr>
            <w:r>
              <w:rPr>
                <w:rFonts w:hint="eastAsia" w:ascii="宋体" w:hAnsi="宋体" w:eastAsia="宋体" w:cs="Times New Roman"/>
                <w:color w:val="000000"/>
                <w:szCs w:val="21"/>
              </w:rPr>
              <w:t>成绩考核</w:t>
            </w:r>
          </w:p>
        </w:tc>
        <w:tc>
          <w:tcPr>
            <w:tcW w:w="7575" w:type="dxa"/>
            <w:tcBorders>
              <w:top w:val="single" w:color="auto" w:sz="4" w:space="0"/>
              <w:left w:val="single" w:color="auto" w:sz="4" w:space="0"/>
              <w:bottom w:val="single" w:color="auto" w:sz="4" w:space="0"/>
              <w:right w:val="single" w:color="auto" w:sz="8" w:space="0"/>
            </w:tcBorders>
            <w:vAlign w:val="center"/>
          </w:tcPr>
          <w:p w14:paraId="32026895">
            <w:pPr>
              <w:rPr>
                <w:rFonts w:hint="eastAsia" w:ascii="宋体" w:hAnsi="宋体" w:eastAsia="宋体" w:cs="Times New Roman"/>
                <w:color w:val="000000"/>
                <w:szCs w:val="21"/>
              </w:rPr>
            </w:pPr>
            <w:r>
              <w:rPr>
                <w:rFonts w:hint="eastAsia" w:ascii="宋体" w:hAnsi="宋体" w:eastAsia="宋体" w:cs="Times New Roman"/>
                <w:color w:val="000000"/>
                <w:szCs w:val="21"/>
              </w:rPr>
              <w:t>本课程考核的方式为开卷笔试。考试采取教考分离，监考由学院统一安排。有下列情况之一者，总评成绩为不及格：</w:t>
            </w:r>
          </w:p>
          <w:p w14:paraId="7E45F656">
            <w:pPr>
              <w:rPr>
                <w:rFonts w:hint="eastAsia" w:ascii="宋体" w:hAnsi="宋体" w:eastAsia="宋体" w:cs="Times New Roman"/>
                <w:color w:val="000000"/>
                <w:szCs w:val="21"/>
              </w:rPr>
            </w:pPr>
            <w:r>
              <w:rPr>
                <w:rFonts w:hint="eastAsia" w:ascii="宋体" w:hAnsi="宋体" w:eastAsia="宋体" w:cs="Times New Roman"/>
                <w:color w:val="000000"/>
                <w:szCs w:val="21"/>
              </w:rPr>
              <w:t>（1）缺交作业次数达1/3以上者。</w:t>
            </w:r>
          </w:p>
          <w:p w14:paraId="29CB26DA">
            <w:pPr>
              <w:rPr>
                <w:rFonts w:hint="eastAsia" w:ascii="宋体" w:hAnsi="宋体" w:eastAsia="宋体" w:cs="Times New Roman"/>
                <w:color w:val="000000"/>
                <w:szCs w:val="21"/>
              </w:rPr>
            </w:pPr>
            <w:r>
              <w:rPr>
                <w:rFonts w:hint="eastAsia" w:ascii="宋体" w:hAnsi="宋体" w:eastAsia="宋体" w:cs="Times New Roman"/>
                <w:color w:val="000000"/>
                <w:szCs w:val="21"/>
              </w:rPr>
              <w:t>（2）缺课次数达本学期总授课学时的1/3以上者。</w:t>
            </w:r>
          </w:p>
        </w:tc>
      </w:tr>
    </w:tbl>
    <w:p w14:paraId="1039AA79">
      <w:pPr>
        <w:spacing w:line="360" w:lineRule="auto"/>
        <w:rPr>
          <w:rFonts w:hint="eastAsia" w:ascii="宋体" w:hAnsi="宋体" w:eastAsia="宋体" w:cs="宋体"/>
          <w:bCs/>
          <w:szCs w:val="21"/>
        </w:rPr>
      </w:pPr>
    </w:p>
    <w:p w14:paraId="4294F96D">
      <w:pPr>
        <w:spacing w:line="360" w:lineRule="auto"/>
        <w:rPr>
          <w:rFonts w:ascii="Calibri" w:hAnsi="Calibri" w:eastAsia="宋体" w:cs="Times New Roman"/>
          <w:b/>
          <w:sz w:val="28"/>
          <w:szCs w:val="28"/>
        </w:rPr>
      </w:pPr>
      <w:r>
        <w:rPr>
          <w:rFonts w:hint="eastAsia" w:ascii="Calibri" w:hAnsi="Calibri" w:eastAsia="宋体" w:cs="Times New Roman"/>
          <w:b/>
          <w:sz w:val="28"/>
          <w:szCs w:val="28"/>
        </w:rPr>
        <w:t>六、考核方式</w:t>
      </w:r>
    </w:p>
    <w:p w14:paraId="16320BCA">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（一）课程考核包括期末考试、平时及作业考核、实践考核，期末考试采用闭卷笔试方式。</w:t>
      </w:r>
    </w:p>
    <w:p w14:paraId="4FB6C132">
      <w:pPr>
        <w:spacing w:line="360" w:lineRule="auto"/>
        <w:ind w:firstLine="480" w:firstLineChars="200"/>
        <w:rPr>
          <w:rFonts w:hint="eastAsia" w:ascii="宋体" w:hAnsi="宋体" w:eastAsia="宋体" w:cs="Times New Roman"/>
          <w:sz w:val="24"/>
          <w:szCs w:val="24"/>
        </w:rPr>
      </w:pPr>
      <w:r>
        <w:rPr>
          <w:rFonts w:hint="eastAsia" w:ascii="Calibri" w:hAnsi="Calibri" w:eastAsia="宋体" w:cs="Times New Roman"/>
          <w:sz w:val="24"/>
          <w:szCs w:val="24"/>
        </w:rPr>
        <w:t>（二）课程成绩</w:t>
      </w:r>
      <w:r>
        <w:rPr>
          <w:rFonts w:ascii="Calibri" w:hAnsi="Calibri" w:eastAsia="宋体" w:cs="Times New Roman"/>
          <w:sz w:val="24"/>
          <w:szCs w:val="24"/>
        </w:rPr>
        <w:t>=</w:t>
      </w:r>
      <w:r>
        <w:rPr>
          <w:rFonts w:hint="eastAsia" w:ascii="Calibri" w:hAnsi="Calibri" w:eastAsia="宋体" w:cs="Times New Roman"/>
          <w:sz w:val="24"/>
          <w:szCs w:val="24"/>
        </w:rPr>
        <w:t>平</w:t>
      </w:r>
      <w:r>
        <w:rPr>
          <w:rFonts w:hint="eastAsia" w:ascii="宋体" w:hAnsi="宋体" w:eastAsia="宋体" w:cs="Times New Roman"/>
          <w:sz w:val="24"/>
          <w:szCs w:val="24"/>
        </w:rPr>
        <w:t>时成绩×20%+实践成绩×40%+期末考试成绩×40%。</w:t>
      </w:r>
    </w:p>
    <w:p w14:paraId="52FD13E7">
      <w:pPr>
        <w:spacing w:line="360" w:lineRule="auto"/>
        <w:ind w:firstLine="482" w:firstLineChars="200"/>
        <w:rPr>
          <w:rFonts w:hint="eastAsia" w:ascii="宋体" w:hAnsi="宋体" w:eastAsia="宋体" w:cs="Times New Roman"/>
          <w:b/>
          <w:sz w:val="24"/>
          <w:szCs w:val="24"/>
        </w:rPr>
      </w:pPr>
      <w:r>
        <w:rPr>
          <w:rFonts w:hint="eastAsia" w:ascii="宋体" w:hAnsi="宋体" w:eastAsia="宋体" w:cs="Times New Roman"/>
          <w:b/>
          <w:sz w:val="24"/>
          <w:szCs w:val="24"/>
        </w:rPr>
        <w:t>具体内容和比例如下表所示：</w:t>
      </w:r>
    </w:p>
    <w:tbl>
      <w:tblPr>
        <w:tblStyle w:val="30"/>
        <w:tblW w:w="9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183"/>
        <w:gridCol w:w="738"/>
        <w:gridCol w:w="2809"/>
        <w:gridCol w:w="1332"/>
        <w:gridCol w:w="1332"/>
        <w:gridCol w:w="1332"/>
      </w:tblGrid>
      <w:tr w14:paraId="617A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0"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05817C13">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成绩组成</w:t>
            </w:r>
          </w:p>
        </w:tc>
        <w:tc>
          <w:tcPr>
            <w:tcW w:w="1183" w:type="dxa"/>
            <w:tcBorders>
              <w:top w:val="single" w:color="auto" w:sz="4" w:space="0"/>
              <w:left w:val="single" w:color="auto" w:sz="4" w:space="0"/>
              <w:bottom w:val="single" w:color="auto" w:sz="4" w:space="0"/>
              <w:right w:val="single" w:color="auto" w:sz="4" w:space="0"/>
            </w:tcBorders>
            <w:shd w:val="clear" w:color="auto" w:fill="FFFFFF"/>
            <w:vAlign w:val="center"/>
          </w:tcPr>
          <w:p w14:paraId="73A3FD2A">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考核/</w:t>
            </w:r>
          </w:p>
          <w:p w14:paraId="1000F5A3">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评价环节</w:t>
            </w:r>
          </w:p>
        </w:tc>
        <w:tc>
          <w:tcPr>
            <w:tcW w:w="738" w:type="dxa"/>
            <w:tcBorders>
              <w:top w:val="single" w:color="auto" w:sz="4" w:space="0"/>
              <w:left w:val="single" w:color="auto" w:sz="4" w:space="0"/>
              <w:bottom w:val="single" w:color="auto" w:sz="4" w:space="0"/>
              <w:right w:val="single" w:color="auto" w:sz="4" w:space="0"/>
            </w:tcBorders>
            <w:shd w:val="clear" w:color="auto" w:fill="FFFFFF"/>
            <w:vAlign w:val="center"/>
          </w:tcPr>
          <w:p w14:paraId="04B5174D">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权重</w:t>
            </w:r>
          </w:p>
        </w:tc>
        <w:tc>
          <w:tcPr>
            <w:tcW w:w="2810" w:type="dxa"/>
            <w:tcBorders>
              <w:top w:val="single" w:color="auto" w:sz="4" w:space="0"/>
              <w:left w:val="single" w:color="auto" w:sz="4" w:space="0"/>
              <w:bottom w:val="single" w:color="auto" w:sz="4" w:space="0"/>
              <w:right w:val="single" w:color="auto" w:sz="4" w:space="0"/>
            </w:tcBorders>
            <w:shd w:val="clear" w:color="auto" w:fill="FFFFFF"/>
            <w:vAlign w:val="center"/>
          </w:tcPr>
          <w:p w14:paraId="6A1E2EC9">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考核/评价细则</w:t>
            </w:r>
          </w:p>
        </w:tc>
        <w:tc>
          <w:tcPr>
            <w:tcW w:w="1332" w:type="dxa"/>
            <w:tcBorders>
              <w:top w:val="single" w:color="auto" w:sz="4" w:space="0"/>
              <w:left w:val="single" w:color="auto" w:sz="4" w:space="0"/>
              <w:bottom w:val="single" w:color="auto" w:sz="4" w:space="0"/>
              <w:right w:val="single" w:color="auto" w:sz="4" w:space="0"/>
            </w:tcBorders>
            <w:shd w:val="clear" w:color="auto" w:fill="FFFFFF"/>
          </w:tcPr>
          <w:p w14:paraId="63F567D8">
            <w:pPr>
              <w:ind w:firstLine="316" w:firstLineChars="150"/>
              <w:rPr>
                <w:rFonts w:hint="eastAsia" w:ascii="宋体" w:hAnsi="宋体" w:eastAsia="宋体" w:cs="Times New Roman"/>
                <w:b/>
                <w:color w:val="000000"/>
                <w:szCs w:val="24"/>
              </w:rPr>
            </w:pPr>
            <w:r>
              <w:rPr>
                <w:rFonts w:hint="eastAsia" w:ascii="宋体" w:hAnsi="宋体" w:eastAsia="宋体" w:cs="Times New Roman"/>
                <w:b/>
                <w:color w:val="000000"/>
                <w:szCs w:val="24"/>
              </w:rPr>
              <w:t>课程</w:t>
            </w:r>
          </w:p>
          <w:p w14:paraId="5DB9965C">
            <w:pPr>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目标</w:t>
            </w:r>
          </w:p>
        </w:tc>
        <w:tc>
          <w:tcPr>
            <w:tcW w:w="1332" w:type="dxa"/>
            <w:tcBorders>
              <w:top w:val="single" w:color="auto" w:sz="4" w:space="0"/>
              <w:left w:val="single" w:color="auto" w:sz="4" w:space="0"/>
              <w:bottom w:val="single" w:color="auto" w:sz="4" w:space="0"/>
              <w:right w:val="single" w:color="auto" w:sz="4" w:space="0"/>
            </w:tcBorders>
            <w:shd w:val="clear" w:color="auto" w:fill="FFFFFF"/>
          </w:tcPr>
          <w:p w14:paraId="56716AF0">
            <w:pPr>
              <w:ind w:left="-107" w:leftChars="-51"/>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考核</w:t>
            </w:r>
          </w:p>
          <w:p w14:paraId="67AAA681">
            <w:pPr>
              <w:ind w:left="-107" w:leftChars="-51"/>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内容</w:t>
            </w:r>
          </w:p>
        </w:tc>
        <w:tc>
          <w:tcPr>
            <w:tcW w:w="1332" w:type="dxa"/>
            <w:tcBorders>
              <w:top w:val="single" w:color="auto" w:sz="4" w:space="0"/>
              <w:left w:val="single" w:color="auto" w:sz="4" w:space="0"/>
              <w:bottom w:val="single" w:color="auto" w:sz="4" w:space="0"/>
              <w:right w:val="single" w:color="auto" w:sz="4" w:space="0"/>
            </w:tcBorders>
            <w:shd w:val="clear" w:color="auto" w:fill="FFFFFF"/>
            <w:vAlign w:val="center"/>
          </w:tcPr>
          <w:p w14:paraId="54B58553">
            <w:pPr>
              <w:ind w:left="-107" w:leftChars="-51"/>
              <w:jc w:val="center"/>
              <w:rPr>
                <w:rFonts w:hint="eastAsia" w:ascii="宋体" w:hAnsi="宋体" w:eastAsia="宋体" w:cs="Times New Roman"/>
                <w:b/>
                <w:color w:val="000000"/>
                <w:szCs w:val="24"/>
              </w:rPr>
            </w:pPr>
            <w:r>
              <w:rPr>
                <w:rFonts w:hint="eastAsia" w:ascii="宋体" w:hAnsi="宋体" w:eastAsia="宋体" w:cs="Times New Roman"/>
                <w:b/>
                <w:color w:val="000000"/>
                <w:szCs w:val="24"/>
              </w:rPr>
              <w:t>对应的毕业要求指标点</w:t>
            </w:r>
          </w:p>
        </w:tc>
      </w:tr>
      <w:tr w14:paraId="7430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5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986FA7">
            <w:pPr>
              <w:jc w:val="center"/>
              <w:rPr>
                <w:rFonts w:hint="eastAsia" w:ascii="宋体" w:hAnsi="宋体" w:eastAsia="宋体" w:cs="Times New Roman"/>
                <w:color w:val="000000"/>
                <w:szCs w:val="24"/>
              </w:rPr>
            </w:pPr>
            <w:r>
              <w:rPr>
                <w:rFonts w:hint="eastAsia" w:ascii="宋体" w:hAnsi="宋体" w:eastAsia="宋体" w:cs="Times New Roman"/>
                <w:color w:val="000000"/>
                <w:szCs w:val="24"/>
              </w:rPr>
              <w:t>平时成绩</w:t>
            </w:r>
          </w:p>
        </w:tc>
        <w:tc>
          <w:tcPr>
            <w:tcW w:w="1183" w:type="dxa"/>
            <w:tcBorders>
              <w:top w:val="single" w:color="auto" w:sz="4" w:space="0"/>
              <w:left w:val="single" w:color="auto" w:sz="4" w:space="0"/>
              <w:bottom w:val="single" w:color="auto" w:sz="4" w:space="0"/>
              <w:right w:val="single" w:color="auto" w:sz="4" w:space="0"/>
            </w:tcBorders>
            <w:vAlign w:val="center"/>
          </w:tcPr>
          <w:p w14:paraId="6E2981BC">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课堂考勤及</w:t>
            </w:r>
          </w:p>
          <w:p w14:paraId="6D025F71">
            <w:pPr>
              <w:jc w:val="center"/>
              <w:rPr>
                <w:rFonts w:hint="eastAsia" w:ascii="宋体" w:hAnsi="宋体" w:eastAsia="宋体" w:cs="Times New Roman"/>
                <w:color w:val="000000"/>
                <w:szCs w:val="24"/>
              </w:rPr>
            </w:pPr>
            <w:r>
              <w:rPr>
                <w:rFonts w:hint="eastAsia" w:ascii="宋体" w:hAnsi="宋体" w:eastAsia="宋体" w:cs="Times New Roman"/>
                <w:color w:val="000000"/>
                <w:szCs w:val="24"/>
              </w:rPr>
              <w:t>平时作业</w:t>
            </w:r>
          </w:p>
        </w:tc>
        <w:tc>
          <w:tcPr>
            <w:tcW w:w="738" w:type="dxa"/>
            <w:tcBorders>
              <w:top w:val="single" w:color="auto" w:sz="4" w:space="0"/>
              <w:left w:val="single" w:color="auto" w:sz="4" w:space="0"/>
              <w:bottom w:val="single" w:color="auto" w:sz="4" w:space="0"/>
              <w:right w:val="single" w:color="auto" w:sz="4" w:space="0"/>
            </w:tcBorders>
            <w:vAlign w:val="center"/>
          </w:tcPr>
          <w:p w14:paraId="7AA550C1">
            <w:pPr>
              <w:jc w:val="center"/>
              <w:rPr>
                <w:rFonts w:hint="eastAsia" w:ascii="宋体" w:hAnsi="宋体" w:eastAsia="宋体" w:cs="Times New Roman"/>
                <w:color w:val="000000"/>
                <w:szCs w:val="24"/>
              </w:rPr>
            </w:pPr>
            <w:r>
              <w:rPr>
                <w:rFonts w:hint="eastAsia" w:ascii="宋体" w:hAnsi="宋体" w:eastAsia="宋体" w:cs="Times New Roman"/>
                <w:color w:val="000000"/>
                <w:szCs w:val="24"/>
              </w:rPr>
              <w:t>20%</w:t>
            </w:r>
          </w:p>
        </w:tc>
        <w:tc>
          <w:tcPr>
            <w:tcW w:w="2810" w:type="dxa"/>
            <w:tcBorders>
              <w:top w:val="single" w:color="auto" w:sz="4" w:space="0"/>
              <w:left w:val="single" w:color="auto" w:sz="4" w:space="0"/>
              <w:bottom w:val="single" w:color="auto" w:sz="4" w:space="0"/>
              <w:right w:val="single" w:color="auto" w:sz="4" w:space="0"/>
            </w:tcBorders>
            <w:vAlign w:val="center"/>
          </w:tcPr>
          <w:p w14:paraId="0C45371D">
            <w:pPr>
              <w:ind w:firstLine="420" w:firstLineChars="200"/>
              <w:rPr>
                <w:rFonts w:hint="eastAsia" w:ascii="宋体" w:hAnsi="宋体" w:eastAsia="宋体" w:cs="Times New Roman"/>
                <w:color w:val="000000"/>
                <w:szCs w:val="24"/>
              </w:rPr>
            </w:pPr>
            <w:r>
              <w:rPr>
                <w:rFonts w:hint="eastAsia" w:ascii="宋体" w:hAnsi="宋体" w:eastAsia="宋体" w:cs="Times New Roman"/>
                <w:color w:val="000000"/>
                <w:szCs w:val="24"/>
              </w:rPr>
              <w:t>其中课堂考勤占20%，平时作业占80%。</w:t>
            </w:r>
          </w:p>
          <w:p w14:paraId="2DDA6E3D">
            <w:pPr>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课堂考勤：病假和事假一次扣5分，无故缺席一次扣10分，无故缺席累积达5次以上（不含5次）取消课程成绩。</w:t>
            </w:r>
          </w:p>
          <w:p w14:paraId="7C38A26F">
            <w:pPr>
              <w:ind w:firstLine="420" w:firstLineChars="200"/>
              <w:rPr>
                <w:rFonts w:hint="eastAsia" w:ascii="宋体" w:hAnsi="宋体" w:eastAsia="宋体" w:cs="Times New Roman"/>
                <w:color w:val="000000"/>
                <w:szCs w:val="24"/>
              </w:rPr>
            </w:pPr>
            <w:r>
              <w:rPr>
                <w:rFonts w:hint="eastAsia" w:ascii="宋体" w:hAnsi="宋体" w:eastAsia="宋体" w:cs="Times New Roman"/>
                <w:color w:val="000000"/>
                <w:szCs w:val="24"/>
              </w:rPr>
              <w:t>平时作业：课后完成3次作业，其中包括1次测验，主要考核学生对每节课知识点的复习、理解和掌握程度，计算全部作业的平均成绩。</w:t>
            </w:r>
          </w:p>
        </w:tc>
        <w:tc>
          <w:tcPr>
            <w:tcW w:w="1332" w:type="dxa"/>
            <w:tcBorders>
              <w:top w:val="single" w:color="auto" w:sz="4" w:space="0"/>
              <w:left w:val="single" w:color="auto" w:sz="4" w:space="0"/>
              <w:bottom w:val="single" w:color="auto" w:sz="4" w:space="0"/>
              <w:right w:val="single" w:color="auto" w:sz="4" w:space="0"/>
            </w:tcBorders>
          </w:tcPr>
          <w:p w14:paraId="797E827C">
            <w:pPr>
              <w:rPr>
                <w:rFonts w:hint="eastAsia" w:ascii="宋体" w:hAnsi="宋体" w:eastAsia="宋体" w:cs="Times New Roman"/>
                <w:color w:val="000000"/>
                <w:szCs w:val="24"/>
              </w:rPr>
            </w:pPr>
          </w:p>
          <w:p w14:paraId="78DE5425">
            <w:pPr>
              <w:jc w:val="center"/>
              <w:rPr>
                <w:rFonts w:hint="eastAsia" w:ascii="宋体" w:hAnsi="宋体" w:eastAsia="宋体" w:cs="Times New Roman"/>
                <w:color w:val="000000"/>
                <w:szCs w:val="24"/>
              </w:rPr>
            </w:pPr>
          </w:p>
          <w:p w14:paraId="249A35D5">
            <w:pPr>
              <w:rPr>
                <w:rFonts w:hint="eastAsia" w:ascii="宋体" w:hAnsi="宋体" w:eastAsia="宋体" w:cs="Times New Roman"/>
                <w:color w:val="000000"/>
                <w:szCs w:val="24"/>
              </w:rPr>
            </w:pPr>
          </w:p>
          <w:p w14:paraId="58679ED9">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课程目标1课程目标2</w:t>
            </w:r>
          </w:p>
          <w:p w14:paraId="586DC22D">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课程目标3</w:t>
            </w:r>
          </w:p>
          <w:p w14:paraId="3C55C0D5">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课程目标4</w:t>
            </w:r>
          </w:p>
        </w:tc>
        <w:tc>
          <w:tcPr>
            <w:tcW w:w="1332" w:type="dxa"/>
            <w:tcBorders>
              <w:top w:val="single" w:color="auto" w:sz="4" w:space="0"/>
              <w:left w:val="single" w:color="auto" w:sz="4" w:space="0"/>
              <w:bottom w:val="single" w:color="auto" w:sz="4" w:space="0"/>
              <w:right w:val="single" w:color="auto" w:sz="4" w:space="0"/>
            </w:tcBorders>
          </w:tcPr>
          <w:p w14:paraId="1966CA21">
            <w:pPr>
              <w:rPr>
                <w:rFonts w:hint="eastAsia" w:ascii="宋体" w:hAnsi="宋体" w:eastAsia="宋体" w:cs="Times New Roman"/>
                <w:color w:val="000000"/>
                <w:szCs w:val="24"/>
              </w:rPr>
            </w:pPr>
          </w:p>
          <w:p w14:paraId="07CAC783">
            <w:pPr>
              <w:rPr>
                <w:rFonts w:hint="eastAsia" w:ascii="宋体" w:hAnsi="宋体" w:eastAsia="宋体" w:cs="Times New Roman"/>
                <w:color w:val="000000"/>
                <w:szCs w:val="24"/>
              </w:rPr>
            </w:pPr>
          </w:p>
          <w:p w14:paraId="0FF26D8F">
            <w:pPr>
              <w:rPr>
                <w:rFonts w:hint="eastAsia" w:ascii="宋体" w:hAnsi="宋体" w:eastAsia="宋体" w:cs="Times New Roman"/>
                <w:color w:val="000000"/>
                <w:szCs w:val="24"/>
              </w:rPr>
            </w:pPr>
          </w:p>
          <w:p w14:paraId="37040D8D">
            <w:pPr>
              <w:rPr>
                <w:rFonts w:hint="eastAsia" w:ascii="宋体" w:hAnsi="宋体" w:eastAsia="宋体" w:cs="Times New Roman"/>
                <w:color w:val="000000"/>
                <w:szCs w:val="24"/>
              </w:rPr>
            </w:pPr>
          </w:p>
          <w:p w14:paraId="6657ADFD">
            <w:pPr>
              <w:rPr>
                <w:rFonts w:hint="eastAsia" w:ascii="宋体" w:hAnsi="宋体" w:eastAsia="宋体" w:cs="宋体"/>
                <w:color w:val="000000"/>
                <w:kern w:val="0"/>
                <w:szCs w:val="21"/>
              </w:rPr>
            </w:pPr>
            <w:r>
              <w:rPr>
                <w:rFonts w:hint="eastAsia" w:ascii="宋体" w:hAnsi="宋体" w:eastAsia="宋体" w:cs="宋体"/>
                <w:color w:val="000000"/>
                <w:kern w:val="0"/>
                <w:szCs w:val="21"/>
              </w:rPr>
              <w:t>科学本质观与科学教育、科学方法教育、科学教育相关理论</w:t>
            </w:r>
          </w:p>
        </w:tc>
        <w:tc>
          <w:tcPr>
            <w:tcW w:w="1332" w:type="dxa"/>
            <w:tcBorders>
              <w:top w:val="single" w:color="auto" w:sz="4" w:space="0"/>
              <w:left w:val="single" w:color="auto" w:sz="4" w:space="0"/>
              <w:bottom w:val="single" w:color="auto" w:sz="4" w:space="0"/>
              <w:right w:val="single" w:color="auto" w:sz="4" w:space="0"/>
            </w:tcBorders>
            <w:vAlign w:val="center"/>
          </w:tcPr>
          <w:p w14:paraId="191675A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p w14:paraId="046F9FEB">
            <w:pPr>
              <w:jc w:val="center"/>
              <w:rPr>
                <w:rFonts w:hint="eastAsia" w:ascii="宋体" w:hAnsi="宋体" w:eastAsia="宋体" w:cs="Times New Roman"/>
                <w:color w:val="000000"/>
                <w:szCs w:val="24"/>
              </w:rPr>
            </w:pPr>
            <w:r>
              <w:rPr>
                <w:rFonts w:hint="eastAsia" w:ascii="宋体" w:hAnsi="宋体" w:eastAsia="宋体" w:cs="Times New Roman"/>
                <w:color w:val="000000"/>
                <w:szCs w:val="24"/>
              </w:rPr>
              <w:t>4-1</w:t>
            </w:r>
          </w:p>
          <w:p w14:paraId="59AE6EC4">
            <w:pPr>
              <w:jc w:val="center"/>
              <w:rPr>
                <w:rFonts w:hint="eastAsia" w:ascii="宋体" w:hAnsi="宋体" w:eastAsia="宋体" w:cs="Times New Roman"/>
                <w:color w:val="000000"/>
                <w:szCs w:val="24"/>
              </w:rPr>
            </w:pPr>
            <w:r>
              <w:rPr>
                <w:rFonts w:hint="eastAsia" w:ascii="宋体" w:hAnsi="宋体" w:eastAsia="宋体" w:cs="Times New Roman"/>
                <w:color w:val="000000"/>
                <w:szCs w:val="24"/>
              </w:rPr>
              <w:t>4-2</w:t>
            </w:r>
          </w:p>
          <w:p w14:paraId="4E38F00E">
            <w:pPr>
              <w:jc w:val="center"/>
              <w:rPr>
                <w:rFonts w:hint="eastAsia" w:ascii="宋体" w:hAnsi="宋体" w:eastAsia="宋体" w:cs="Times New Roman"/>
                <w:color w:val="000000"/>
                <w:szCs w:val="24"/>
              </w:rPr>
            </w:pPr>
            <w:r>
              <w:rPr>
                <w:rFonts w:hint="eastAsia" w:ascii="宋体" w:hAnsi="宋体" w:eastAsia="宋体" w:cs="Times New Roman"/>
                <w:color w:val="000000"/>
                <w:szCs w:val="24"/>
              </w:rPr>
              <w:t>6-2</w:t>
            </w:r>
          </w:p>
        </w:tc>
      </w:tr>
      <w:tr w14:paraId="7005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65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713D4B">
            <w:pPr>
              <w:jc w:val="center"/>
              <w:rPr>
                <w:rFonts w:hint="eastAsia" w:ascii="宋体" w:hAnsi="宋体" w:eastAsia="宋体" w:cs="Times New Roman"/>
                <w:color w:val="000000"/>
                <w:szCs w:val="24"/>
              </w:rPr>
            </w:pPr>
            <w:r>
              <w:rPr>
                <w:rFonts w:hint="eastAsia" w:ascii="宋体" w:hAnsi="宋体" w:eastAsia="宋体" w:cs="Times New Roman"/>
                <w:color w:val="000000"/>
                <w:szCs w:val="24"/>
              </w:rPr>
              <w:t>实践成绩</w:t>
            </w:r>
          </w:p>
        </w:tc>
        <w:tc>
          <w:tcPr>
            <w:tcW w:w="1183" w:type="dxa"/>
            <w:tcBorders>
              <w:top w:val="single" w:color="auto" w:sz="4" w:space="0"/>
              <w:left w:val="single" w:color="auto" w:sz="4" w:space="0"/>
              <w:bottom w:val="single" w:color="auto" w:sz="4" w:space="0"/>
              <w:right w:val="single" w:color="auto" w:sz="4" w:space="0"/>
            </w:tcBorders>
            <w:vAlign w:val="center"/>
          </w:tcPr>
          <w:p w14:paraId="3CF4863F">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课内实践</w:t>
            </w:r>
          </w:p>
        </w:tc>
        <w:tc>
          <w:tcPr>
            <w:tcW w:w="738" w:type="dxa"/>
            <w:tcBorders>
              <w:top w:val="single" w:color="auto" w:sz="4" w:space="0"/>
              <w:left w:val="single" w:color="auto" w:sz="4" w:space="0"/>
              <w:bottom w:val="single" w:color="auto" w:sz="4" w:space="0"/>
              <w:right w:val="single" w:color="auto" w:sz="4" w:space="0"/>
            </w:tcBorders>
            <w:vAlign w:val="center"/>
          </w:tcPr>
          <w:p w14:paraId="037D86D8">
            <w:pPr>
              <w:jc w:val="center"/>
              <w:rPr>
                <w:rFonts w:hint="eastAsia" w:ascii="宋体" w:hAnsi="宋体" w:eastAsia="宋体" w:cs="Times New Roman"/>
                <w:color w:val="000000"/>
                <w:szCs w:val="24"/>
              </w:rPr>
            </w:pPr>
            <w:r>
              <w:rPr>
                <w:rFonts w:hint="eastAsia" w:ascii="宋体" w:hAnsi="宋体" w:eastAsia="宋体" w:cs="Times New Roman"/>
                <w:color w:val="000000"/>
                <w:szCs w:val="24"/>
              </w:rPr>
              <w:t>40%</w:t>
            </w:r>
          </w:p>
        </w:tc>
        <w:tc>
          <w:tcPr>
            <w:tcW w:w="2810" w:type="dxa"/>
            <w:tcBorders>
              <w:top w:val="single" w:color="auto" w:sz="4" w:space="0"/>
              <w:left w:val="single" w:color="auto" w:sz="4" w:space="0"/>
              <w:bottom w:val="single" w:color="auto" w:sz="4" w:space="0"/>
              <w:right w:val="single" w:color="auto" w:sz="4" w:space="0"/>
            </w:tcBorders>
            <w:vAlign w:val="center"/>
          </w:tcPr>
          <w:p w14:paraId="73CC606F">
            <w:pPr>
              <w:ind w:firstLine="420" w:firstLineChars="200"/>
              <w:rPr>
                <w:rFonts w:hint="eastAsia" w:ascii="宋体" w:hAnsi="宋体" w:eastAsia="宋体" w:cs="Times New Roman"/>
                <w:color w:val="000000"/>
                <w:szCs w:val="21"/>
              </w:rPr>
            </w:pPr>
            <w:r>
              <w:rPr>
                <w:rFonts w:hint="eastAsia" w:ascii="Calibri" w:hAnsi="Calibri" w:eastAsia="宋体" w:cs="Times New Roman"/>
                <w:color w:val="000000"/>
                <w:szCs w:val="21"/>
              </w:rPr>
              <w:t>完成</w:t>
            </w:r>
            <w:r>
              <w:rPr>
                <w:rFonts w:hint="eastAsia" w:ascii="宋体" w:hAnsi="宋体" w:eastAsia="宋体" w:cs="Times New Roman"/>
                <w:color w:val="000000"/>
                <w:szCs w:val="21"/>
              </w:rPr>
              <w:t>4</w:t>
            </w:r>
            <w:r>
              <w:rPr>
                <w:rFonts w:hint="eastAsia" w:ascii="Calibri" w:hAnsi="Calibri" w:eastAsia="宋体" w:cs="Times New Roman"/>
                <w:color w:val="000000"/>
                <w:szCs w:val="21"/>
              </w:rPr>
              <w:t>个实践作业，主要考核学生对教材分析的能力、对小学科学教学设计方法的掌握、综合运用设计原理进行教学设计的能力、教学评价能力。</w:t>
            </w:r>
            <w:r>
              <w:rPr>
                <w:rFonts w:hint="eastAsia" w:ascii="宋体" w:hAnsi="宋体" w:eastAsia="宋体" w:cs="Times New Roman"/>
                <w:color w:val="000000"/>
                <w:szCs w:val="21"/>
              </w:rPr>
              <w:t>每个实践作业按百分制分别给出成绩。4个实践成绩的平均分按40%计入课程总成绩。</w:t>
            </w:r>
          </w:p>
        </w:tc>
        <w:tc>
          <w:tcPr>
            <w:tcW w:w="1332" w:type="dxa"/>
            <w:tcBorders>
              <w:top w:val="single" w:color="auto" w:sz="4" w:space="0"/>
              <w:left w:val="single" w:color="auto" w:sz="4" w:space="0"/>
              <w:bottom w:val="single" w:color="auto" w:sz="4" w:space="0"/>
              <w:right w:val="single" w:color="auto" w:sz="4" w:space="0"/>
            </w:tcBorders>
          </w:tcPr>
          <w:p w14:paraId="4B40C58D">
            <w:pPr>
              <w:rPr>
                <w:rFonts w:hint="eastAsia" w:ascii="宋体" w:hAnsi="宋体" w:eastAsia="宋体" w:cs="Times New Roman"/>
                <w:color w:val="000000"/>
                <w:kern w:val="0"/>
                <w:sz w:val="24"/>
              </w:rPr>
            </w:pPr>
          </w:p>
          <w:p w14:paraId="18D0159C">
            <w:pPr>
              <w:rPr>
                <w:rFonts w:hint="eastAsia" w:ascii="宋体" w:hAnsi="宋体" w:eastAsia="宋体" w:cs="Times New Roman"/>
                <w:color w:val="000000"/>
                <w:kern w:val="0"/>
                <w:sz w:val="24"/>
              </w:rPr>
            </w:pPr>
          </w:p>
          <w:p w14:paraId="1FC3D661">
            <w:pPr>
              <w:rPr>
                <w:rFonts w:hint="eastAsia" w:ascii="宋体" w:hAnsi="宋体" w:eastAsia="宋体" w:cs="Times New Roman"/>
                <w:color w:val="000000"/>
                <w:kern w:val="0"/>
                <w:sz w:val="24"/>
              </w:rPr>
            </w:pPr>
          </w:p>
          <w:p w14:paraId="5D8F0B77">
            <w:pPr>
              <w:rPr>
                <w:rFonts w:hint="eastAsia" w:ascii="宋体" w:hAnsi="宋体" w:eastAsia="宋体" w:cs="Times New Roman"/>
                <w:color w:val="000000"/>
                <w:kern w:val="0"/>
                <w:sz w:val="24"/>
              </w:rPr>
            </w:pPr>
          </w:p>
          <w:p w14:paraId="0995EF01">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课程目标2</w:t>
            </w:r>
          </w:p>
          <w:p w14:paraId="74F110BD">
            <w:pPr>
              <w:jc w:val="center"/>
              <w:rPr>
                <w:rFonts w:hint="eastAsia" w:ascii="宋体" w:hAnsi="宋体" w:eastAsia="宋体" w:cs="Times New Roman"/>
                <w:color w:val="000000"/>
                <w:kern w:val="0"/>
                <w:sz w:val="24"/>
              </w:rPr>
            </w:pPr>
            <w:r>
              <w:rPr>
                <w:rFonts w:hint="eastAsia" w:ascii="宋体" w:hAnsi="宋体" w:eastAsia="宋体" w:cs="Times New Roman"/>
                <w:color w:val="000000"/>
                <w:szCs w:val="24"/>
              </w:rPr>
              <w:t>课程目标3课程目标4</w:t>
            </w:r>
          </w:p>
        </w:tc>
        <w:tc>
          <w:tcPr>
            <w:tcW w:w="1332" w:type="dxa"/>
            <w:tcBorders>
              <w:top w:val="single" w:color="auto" w:sz="4" w:space="0"/>
              <w:left w:val="single" w:color="auto" w:sz="4" w:space="0"/>
              <w:bottom w:val="single" w:color="auto" w:sz="4" w:space="0"/>
              <w:right w:val="single" w:color="auto" w:sz="4" w:space="0"/>
            </w:tcBorders>
          </w:tcPr>
          <w:p w14:paraId="4E637B47">
            <w:pPr>
              <w:rPr>
                <w:rFonts w:hint="eastAsia" w:ascii="宋体" w:hAnsi="宋体" w:eastAsia="宋体" w:cs="宋体"/>
                <w:color w:val="000000"/>
                <w:kern w:val="0"/>
                <w:szCs w:val="21"/>
              </w:rPr>
            </w:pPr>
          </w:p>
          <w:p w14:paraId="525A7EE0">
            <w:pPr>
              <w:rPr>
                <w:rFonts w:hint="eastAsia" w:ascii="宋体" w:hAnsi="宋体" w:eastAsia="宋体" w:cs="宋体"/>
                <w:color w:val="000000"/>
                <w:kern w:val="0"/>
                <w:szCs w:val="21"/>
              </w:rPr>
            </w:pPr>
          </w:p>
          <w:p w14:paraId="67FCE813">
            <w:pPr>
              <w:rPr>
                <w:rFonts w:hint="eastAsia" w:ascii="宋体" w:hAnsi="宋体" w:eastAsia="宋体" w:cs="宋体"/>
                <w:color w:val="000000"/>
                <w:kern w:val="0"/>
                <w:szCs w:val="21"/>
              </w:rPr>
            </w:pPr>
            <w:r>
              <w:rPr>
                <w:rFonts w:hint="eastAsia" w:ascii="宋体" w:hAnsi="宋体" w:eastAsia="宋体" w:cs="宋体"/>
                <w:color w:val="000000"/>
                <w:kern w:val="0"/>
                <w:szCs w:val="21"/>
              </w:rPr>
              <w:t>科学教学的设计思路、设计流程、教学方法、教学评价等</w:t>
            </w:r>
          </w:p>
          <w:p w14:paraId="0AB6C830">
            <w:pPr>
              <w:rPr>
                <w:rFonts w:hint="eastAsia" w:ascii="宋体" w:hAnsi="宋体" w:eastAsia="宋体" w:cs="Times New Roman"/>
                <w:color w:val="000000"/>
                <w:kern w:val="0"/>
                <w:sz w:val="24"/>
              </w:rPr>
            </w:pPr>
          </w:p>
        </w:tc>
        <w:tc>
          <w:tcPr>
            <w:tcW w:w="1332" w:type="dxa"/>
            <w:tcBorders>
              <w:top w:val="single" w:color="auto" w:sz="4" w:space="0"/>
              <w:left w:val="single" w:color="auto" w:sz="4" w:space="0"/>
              <w:bottom w:val="single" w:color="auto" w:sz="4" w:space="0"/>
              <w:right w:val="single" w:color="auto" w:sz="4" w:space="0"/>
            </w:tcBorders>
            <w:vAlign w:val="center"/>
          </w:tcPr>
          <w:p w14:paraId="40246E40">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p w14:paraId="7A845A19">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4-1</w:t>
            </w:r>
          </w:p>
          <w:p w14:paraId="21E25AB6">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4-2</w:t>
            </w:r>
          </w:p>
          <w:p w14:paraId="1E6B4A76">
            <w:pPr>
              <w:jc w:val="center"/>
              <w:rPr>
                <w:rFonts w:hint="eastAsia" w:ascii="宋体" w:hAnsi="宋体" w:eastAsia="宋体" w:cs="Times New Roman"/>
                <w:color w:val="000000"/>
                <w:szCs w:val="21"/>
              </w:rPr>
            </w:pPr>
            <w:r>
              <w:rPr>
                <w:rFonts w:hint="eastAsia" w:ascii="宋体" w:hAnsi="宋体" w:eastAsia="宋体" w:cs="Times New Roman"/>
                <w:color w:val="000000"/>
                <w:szCs w:val="21"/>
              </w:rPr>
              <w:t>6-2</w:t>
            </w:r>
          </w:p>
        </w:tc>
      </w:tr>
      <w:tr w14:paraId="0E67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65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8D4AED6">
            <w:pPr>
              <w:jc w:val="center"/>
              <w:rPr>
                <w:rFonts w:hint="eastAsia" w:ascii="宋体" w:hAnsi="宋体" w:eastAsia="宋体" w:cs="Times New Roman"/>
                <w:color w:val="000000"/>
                <w:szCs w:val="24"/>
              </w:rPr>
            </w:pPr>
            <w:r>
              <w:rPr>
                <w:rFonts w:hint="eastAsia" w:ascii="宋体" w:hAnsi="宋体" w:eastAsia="宋体" w:cs="Times New Roman"/>
                <w:color w:val="000000"/>
                <w:szCs w:val="24"/>
              </w:rPr>
              <w:t>期末考试</w:t>
            </w:r>
          </w:p>
        </w:tc>
        <w:tc>
          <w:tcPr>
            <w:tcW w:w="1183" w:type="dxa"/>
            <w:tcBorders>
              <w:top w:val="single" w:color="auto" w:sz="4" w:space="0"/>
              <w:left w:val="single" w:color="auto" w:sz="4" w:space="0"/>
              <w:bottom w:val="single" w:color="auto" w:sz="4" w:space="0"/>
              <w:right w:val="single" w:color="auto" w:sz="4" w:space="0"/>
            </w:tcBorders>
            <w:vAlign w:val="center"/>
          </w:tcPr>
          <w:p w14:paraId="390EE444">
            <w:pPr>
              <w:jc w:val="center"/>
              <w:rPr>
                <w:rFonts w:hint="eastAsia" w:ascii="宋体" w:hAnsi="宋体" w:eastAsia="宋体" w:cs="Times New Roman"/>
                <w:color w:val="000000"/>
                <w:szCs w:val="24"/>
              </w:rPr>
            </w:pPr>
            <w:r>
              <w:rPr>
                <w:rFonts w:hint="eastAsia" w:ascii="宋体" w:hAnsi="宋体" w:eastAsia="宋体" w:cs="Times New Roman"/>
                <w:color w:val="000000"/>
                <w:szCs w:val="24"/>
              </w:rPr>
              <w:t>期末考试</w:t>
            </w:r>
          </w:p>
          <w:p w14:paraId="68877F51">
            <w:pPr>
              <w:jc w:val="center"/>
              <w:rPr>
                <w:rFonts w:hint="eastAsia" w:ascii="宋体" w:hAnsi="宋体" w:eastAsia="宋体" w:cs="Times New Roman"/>
                <w:color w:val="000000"/>
                <w:szCs w:val="24"/>
              </w:rPr>
            </w:pPr>
            <w:r>
              <w:rPr>
                <w:rFonts w:hint="eastAsia" w:ascii="宋体" w:hAnsi="宋体" w:eastAsia="宋体" w:cs="Times New Roman"/>
                <w:color w:val="000000"/>
                <w:szCs w:val="24"/>
              </w:rPr>
              <w:t>卷面成绩</w:t>
            </w:r>
          </w:p>
        </w:tc>
        <w:tc>
          <w:tcPr>
            <w:tcW w:w="738" w:type="dxa"/>
            <w:tcBorders>
              <w:top w:val="single" w:color="auto" w:sz="4" w:space="0"/>
              <w:left w:val="single" w:color="auto" w:sz="4" w:space="0"/>
              <w:bottom w:val="single" w:color="auto" w:sz="4" w:space="0"/>
              <w:right w:val="single" w:color="auto" w:sz="4" w:space="0"/>
            </w:tcBorders>
            <w:vAlign w:val="center"/>
          </w:tcPr>
          <w:p w14:paraId="095E89AB">
            <w:pPr>
              <w:jc w:val="center"/>
              <w:rPr>
                <w:rFonts w:hint="eastAsia" w:ascii="宋体" w:hAnsi="宋体" w:eastAsia="宋体" w:cs="Times New Roman"/>
                <w:color w:val="000000"/>
                <w:szCs w:val="24"/>
              </w:rPr>
            </w:pPr>
            <w:r>
              <w:rPr>
                <w:rFonts w:hint="eastAsia" w:ascii="宋体" w:hAnsi="宋体" w:eastAsia="宋体" w:cs="Times New Roman"/>
                <w:color w:val="000000"/>
                <w:szCs w:val="24"/>
              </w:rPr>
              <w:t>40%</w:t>
            </w:r>
          </w:p>
        </w:tc>
        <w:tc>
          <w:tcPr>
            <w:tcW w:w="2810" w:type="dxa"/>
            <w:tcBorders>
              <w:top w:val="single" w:color="auto" w:sz="4" w:space="0"/>
              <w:left w:val="single" w:color="auto" w:sz="4" w:space="0"/>
              <w:bottom w:val="single" w:color="auto" w:sz="4" w:space="0"/>
              <w:right w:val="single" w:color="auto" w:sz="4" w:space="0"/>
            </w:tcBorders>
            <w:vAlign w:val="center"/>
          </w:tcPr>
          <w:p w14:paraId="2B264329">
            <w:pPr>
              <w:rPr>
                <w:rFonts w:ascii="宋体" w:hAnsi="宋体" w:eastAsia="宋体" w:cs="Times New Roman"/>
                <w:color w:val="000000"/>
                <w:szCs w:val="21"/>
              </w:rPr>
            </w:pPr>
            <w:r>
              <w:rPr>
                <w:rFonts w:hint="eastAsia" w:ascii="Calibri" w:hAnsi="Calibri" w:eastAsia="宋体" w:cs="Times New Roman"/>
                <w:color w:val="000000"/>
                <w:szCs w:val="21"/>
              </w:rPr>
              <w:t>试卷题型包括填空题、简答题、论述题和教学设计题等，以卷面成绩</w:t>
            </w:r>
            <w:r>
              <w:rPr>
                <w:rFonts w:ascii="宋体" w:hAnsi="宋体" w:eastAsia="宋体" w:cs="Times New Roman"/>
                <w:color w:val="000000"/>
                <w:szCs w:val="21"/>
              </w:rPr>
              <w:t>40%</w:t>
            </w:r>
            <w:r>
              <w:rPr>
                <w:rFonts w:hint="eastAsia" w:ascii="宋体" w:hAnsi="宋体" w:eastAsia="宋体" w:cs="Times New Roman"/>
                <w:color w:val="000000"/>
                <w:szCs w:val="21"/>
              </w:rPr>
              <w:t>计入课程总成绩。其中，</w:t>
            </w:r>
          </w:p>
          <w:p w14:paraId="60863C83">
            <w:pPr>
              <w:rPr>
                <w:rFonts w:ascii="宋体" w:hAnsi="宋体" w:eastAsia="宋体" w:cs="Times New Roman"/>
                <w:color w:val="000000"/>
                <w:szCs w:val="21"/>
              </w:rPr>
            </w:pPr>
            <w:r>
              <w:rPr>
                <w:rFonts w:hint="eastAsia" w:ascii="宋体" w:hAnsi="宋体" w:eastAsia="宋体" w:cs="Times New Roman"/>
                <w:color w:val="000000"/>
                <w:szCs w:val="21"/>
              </w:rPr>
              <w:t>考核科学教学基本概念知识型题目占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3403689B">
            <w:pPr>
              <w:rPr>
                <w:rFonts w:ascii="宋体" w:hAnsi="宋体" w:eastAsia="宋体" w:cs="Times New Roman"/>
                <w:color w:val="000000"/>
                <w:szCs w:val="21"/>
              </w:rPr>
            </w:pPr>
            <w:r>
              <w:rPr>
                <w:rFonts w:hint="eastAsia" w:ascii="宋体" w:hAnsi="宋体" w:eastAsia="宋体" w:cs="Times New Roman"/>
                <w:color w:val="000000"/>
                <w:szCs w:val="21"/>
              </w:rPr>
              <w:t>考核小学科学教师专业发展占</w:t>
            </w:r>
            <w:r>
              <w:rPr>
                <w:rFonts w:ascii="宋体" w:hAnsi="宋体" w:eastAsia="宋体" w:cs="Times New Roman"/>
                <w:color w:val="000000"/>
                <w:szCs w:val="21"/>
              </w:rPr>
              <w:t>30%</w:t>
            </w:r>
            <w:r>
              <w:rPr>
                <w:rFonts w:hint="eastAsia" w:ascii="宋体" w:hAnsi="宋体" w:eastAsia="宋体" w:cs="Times New Roman"/>
                <w:color w:val="000000"/>
                <w:szCs w:val="21"/>
              </w:rPr>
              <w:t>；</w:t>
            </w:r>
          </w:p>
          <w:p w14:paraId="6AE7330B">
            <w:pPr>
              <w:rPr>
                <w:rFonts w:hint="eastAsia" w:ascii="宋体" w:hAnsi="宋体" w:eastAsia="宋体" w:cs="Times New Roman"/>
                <w:color w:val="000000"/>
                <w:szCs w:val="21"/>
              </w:rPr>
            </w:pPr>
            <w:r>
              <w:rPr>
                <w:rFonts w:hint="eastAsia" w:ascii="宋体" w:hAnsi="宋体" w:eastAsia="宋体" w:cs="Times New Roman"/>
                <w:color w:val="000000"/>
                <w:szCs w:val="21"/>
              </w:rPr>
              <w:t>考核小学科学教材分析与教学设计占</w:t>
            </w:r>
            <w:r>
              <w:rPr>
                <w:rFonts w:ascii="宋体" w:hAnsi="宋体" w:eastAsia="宋体" w:cs="Times New Roman"/>
                <w:color w:val="000000"/>
                <w:szCs w:val="21"/>
              </w:rPr>
              <w:t>40%</w:t>
            </w:r>
            <w:r>
              <w:rPr>
                <w:rFonts w:hint="eastAsia" w:ascii="宋体" w:hAnsi="宋体" w:eastAsia="宋体" w:cs="Times New Roman"/>
                <w:color w:val="000000"/>
                <w:szCs w:val="21"/>
              </w:rPr>
              <w:t>。</w:t>
            </w:r>
          </w:p>
        </w:tc>
        <w:tc>
          <w:tcPr>
            <w:tcW w:w="1332" w:type="dxa"/>
            <w:tcBorders>
              <w:top w:val="single" w:color="auto" w:sz="4" w:space="0"/>
              <w:left w:val="single" w:color="auto" w:sz="4" w:space="0"/>
              <w:bottom w:val="single" w:color="auto" w:sz="4" w:space="0"/>
              <w:right w:val="single" w:color="auto" w:sz="4" w:space="0"/>
            </w:tcBorders>
          </w:tcPr>
          <w:p w14:paraId="1F47C715">
            <w:pPr>
              <w:jc w:val="center"/>
              <w:rPr>
                <w:rFonts w:hint="eastAsia" w:ascii="宋体" w:hAnsi="宋体" w:eastAsia="宋体" w:cs="Times New Roman"/>
                <w:color w:val="000000"/>
                <w:szCs w:val="24"/>
              </w:rPr>
            </w:pPr>
          </w:p>
          <w:p w14:paraId="58A90B37">
            <w:pPr>
              <w:jc w:val="center"/>
              <w:rPr>
                <w:rFonts w:hint="eastAsia" w:ascii="宋体" w:hAnsi="宋体" w:eastAsia="宋体" w:cs="Times New Roman"/>
                <w:color w:val="000000"/>
                <w:szCs w:val="24"/>
              </w:rPr>
            </w:pPr>
          </w:p>
          <w:p w14:paraId="4B2C9D01">
            <w:pPr>
              <w:jc w:val="center"/>
              <w:rPr>
                <w:rFonts w:hint="eastAsia" w:ascii="宋体" w:hAnsi="宋体" w:eastAsia="宋体" w:cs="Times New Roman"/>
                <w:color w:val="000000"/>
                <w:szCs w:val="24"/>
              </w:rPr>
            </w:pPr>
          </w:p>
          <w:p w14:paraId="7C6C3719">
            <w:pPr>
              <w:jc w:val="center"/>
              <w:rPr>
                <w:rFonts w:hint="eastAsia" w:ascii="宋体" w:hAnsi="宋体" w:eastAsia="宋体" w:cs="Times New Roman"/>
                <w:color w:val="000000"/>
                <w:szCs w:val="24"/>
              </w:rPr>
            </w:pPr>
            <w:r>
              <w:rPr>
                <w:rFonts w:hint="eastAsia" w:ascii="宋体" w:hAnsi="宋体" w:eastAsia="宋体" w:cs="Times New Roman"/>
                <w:color w:val="000000"/>
                <w:szCs w:val="24"/>
              </w:rPr>
              <w:t>课程目标1课程目标2</w:t>
            </w:r>
          </w:p>
          <w:p w14:paraId="1AEA2213">
            <w:pPr>
              <w:jc w:val="center"/>
              <w:rPr>
                <w:rFonts w:hint="eastAsia" w:ascii="宋体" w:hAnsi="宋体" w:eastAsia="宋体" w:cs="Times New Roman"/>
                <w:color w:val="000000"/>
                <w:szCs w:val="21"/>
              </w:rPr>
            </w:pPr>
            <w:r>
              <w:rPr>
                <w:rFonts w:hint="eastAsia" w:ascii="宋体" w:hAnsi="宋体" w:eastAsia="宋体" w:cs="Times New Roman"/>
                <w:color w:val="000000"/>
                <w:szCs w:val="24"/>
              </w:rPr>
              <w:t>课程目标3课程目标4</w:t>
            </w:r>
          </w:p>
        </w:tc>
        <w:tc>
          <w:tcPr>
            <w:tcW w:w="1332" w:type="dxa"/>
            <w:tcBorders>
              <w:top w:val="single" w:color="auto" w:sz="4" w:space="0"/>
              <w:left w:val="single" w:color="auto" w:sz="4" w:space="0"/>
              <w:bottom w:val="single" w:color="auto" w:sz="4" w:space="0"/>
              <w:right w:val="single" w:color="auto" w:sz="4" w:space="0"/>
            </w:tcBorders>
          </w:tcPr>
          <w:p w14:paraId="56F71174">
            <w:pPr>
              <w:rPr>
                <w:rFonts w:hint="eastAsia" w:ascii="宋体" w:hAnsi="宋体" w:eastAsia="宋体" w:cs="宋体"/>
                <w:color w:val="000000"/>
                <w:kern w:val="0"/>
                <w:szCs w:val="21"/>
              </w:rPr>
            </w:pPr>
          </w:p>
          <w:p w14:paraId="4F9E2746">
            <w:pPr>
              <w:rPr>
                <w:rFonts w:hint="eastAsia" w:ascii="宋体" w:hAnsi="宋体" w:eastAsia="宋体" w:cs="Times New Roman"/>
                <w:color w:val="000000"/>
                <w:szCs w:val="21"/>
              </w:rPr>
            </w:pPr>
            <w:r>
              <w:rPr>
                <w:rFonts w:hint="eastAsia" w:ascii="宋体" w:hAnsi="宋体" w:eastAsia="宋体" w:cs="Times New Roman"/>
                <w:color w:val="000000"/>
                <w:szCs w:val="21"/>
              </w:rPr>
              <w:t>科学教育的基本理念、相关理论、科学方法教育、科学教学设计、教学方法、教学评价等</w:t>
            </w:r>
          </w:p>
        </w:tc>
        <w:tc>
          <w:tcPr>
            <w:tcW w:w="1332" w:type="dxa"/>
            <w:tcBorders>
              <w:top w:val="single" w:color="auto" w:sz="4" w:space="0"/>
              <w:left w:val="single" w:color="auto" w:sz="4" w:space="0"/>
              <w:bottom w:val="single" w:color="auto" w:sz="4" w:space="0"/>
              <w:right w:val="single" w:color="auto" w:sz="4" w:space="0"/>
            </w:tcBorders>
            <w:vAlign w:val="center"/>
          </w:tcPr>
          <w:p w14:paraId="0CC86FBB">
            <w:pPr>
              <w:jc w:val="center"/>
              <w:rPr>
                <w:rFonts w:hint="eastAsia" w:ascii="宋体" w:hAnsi="宋体" w:eastAsia="宋体" w:cs="Times New Roman"/>
                <w:color w:val="000000"/>
                <w:szCs w:val="21"/>
              </w:rPr>
            </w:pPr>
            <w:r>
              <w:rPr>
                <w:rFonts w:hint="eastAsia" w:ascii="宋体" w:hAnsi="宋体" w:eastAsia="宋体" w:cs="Times New Roman"/>
                <w:color w:val="000000"/>
                <w:szCs w:val="21"/>
              </w:rPr>
              <w:t>3-3</w:t>
            </w:r>
          </w:p>
          <w:p w14:paraId="69718A2A">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4-1</w:t>
            </w:r>
          </w:p>
          <w:p w14:paraId="250AE357">
            <w:pPr>
              <w:jc w:val="center"/>
              <w:rPr>
                <w:rFonts w:hint="eastAsia" w:ascii="宋体" w:hAnsi="宋体" w:eastAsia="宋体" w:cs="Times New Roman"/>
                <w:color w:val="000000"/>
                <w:szCs w:val="21"/>
              </w:rPr>
            </w:pPr>
            <w:r>
              <w:rPr>
                <w:rFonts w:hint="eastAsia" w:ascii="宋体" w:hAnsi="宋体" w:eastAsia="宋体" w:cs="Times New Roman"/>
                <w:color w:val="000000"/>
                <w:szCs w:val="21"/>
              </w:rPr>
              <w:t>4-2</w:t>
            </w:r>
          </w:p>
          <w:p w14:paraId="42097A74">
            <w:pPr>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6-2</w:t>
            </w:r>
          </w:p>
        </w:tc>
      </w:tr>
    </w:tbl>
    <w:p w14:paraId="2D2BF4CA">
      <w:pPr>
        <w:spacing w:line="360" w:lineRule="auto"/>
        <w:rPr>
          <w:rFonts w:hint="eastAsia" w:ascii="宋体" w:hAnsi="宋体" w:eastAsia="宋体" w:cs="宋体"/>
          <w:bCs/>
          <w:szCs w:val="21"/>
        </w:rPr>
      </w:pPr>
    </w:p>
    <w:p w14:paraId="14DE90EC">
      <w:pPr>
        <w:spacing w:line="360" w:lineRule="auto"/>
        <w:rPr>
          <w:rFonts w:hint="eastAsia" w:ascii="宋体" w:hAnsi="宋体" w:eastAsia="宋体" w:cs="宋体"/>
          <w:bCs/>
          <w:sz w:val="24"/>
          <w:szCs w:val="21"/>
        </w:rPr>
      </w:pPr>
      <w:r>
        <w:rPr>
          <w:rFonts w:hint="eastAsia" w:ascii="宋体" w:hAnsi="宋体" w:eastAsia="宋体" w:cs="宋体"/>
          <w:bCs/>
          <w:sz w:val="24"/>
          <w:szCs w:val="21"/>
        </w:rPr>
        <w:t>（三）课程目标及考核方式权重分配表</w:t>
      </w:r>
    </w:p>
    <w:tbl>
      <w:tblPr>
        <w:tblStyle w:val="30"/>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1825"/>
        <w:gridCol w:w="2207"/>
        <w:gridCol w:w="1852"/>
        <w:gridCol w:w="1140"/>
      </w:tblGrid>
      <w:tr w14:paraId="3BCC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83" w:type="dxa"/>
            <w:gridSpan w:val="2"/>
            <w:tcBorders>
              <w:top w:val="single" w:color="auto" w:sz="4" w:space="0"/>
              <w:left w:val="single" w:color="auto" w:sz="4" w:space="0"/>
              <w:bottom w:val="single" w:color="auto" w:sz="4" w:space="0"/>
              <w:right w:val="single" w:color="auto" w:sz="4" w:space="0"/>
            </w:tcBorders>
            <w:vAlign w:val="center"/>
          </w:tcPr>
          <w:p w14:paraId="3334E956">
            <w:pPr>
              <w:widowControl/>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课程目标及权重</w:t>
            </w:r>
          </w:p>
        </w:tc>
        <w:tc>
          <w:tcPr>
            <w:tcW w:w="5199" w:type="dxa"/>
            <w:gridSpan w:val="3"/>
            <w:tcBorders>
              <w:top w:val="single" w:color="auto" w:sz="4" w:space="0"/>
              <w:left w:val="single" w:color="auto" w:sz="4" w:space="0"/>
              <w:bottom w:val="single" w:color="auto" w:sz="4" w:space="0"/>
              <w:right w:val="single" w:color="auto" w:sz="4" w:space="0"/>
            </w:tcBorders>
            <w:vAlign w:val="center"/>
          </w:tcPr>
          <w:p w14:paraId="34B65D20">
            <w:pPr>
              <w:widowControl/>
              <w:ind w:right="-391" w:rightChars="-186"/>
              <w:jc w:val="center"/>
              <w:rPr>
                <w:rFonts w:hint="eastAsia" w:ascii="宋体" w:hAnsi="宋体" w:eastAsia="宋体" w:cs="Times New Roman"/>
                <w:b/>
                <w:color w:val="000000"/>
                <w:kern w:val="0"/>
                <w:szCs w:val="21"/>
              </w:rPr>
            </w:pPr>
            <w:r>
              <w:rPr>
                <w:rFonts w:hint="eastAsia" w:ascii="宋体" w:hAnsi="宋体" w:eastAsia="宋体" w:cs="Times New Roman"/>
                <w:b/>
                <w:color w:val="000000"/>
                <w:kern w:val="0"/>
                <w:szCs w:val="21"/>
              </w:rPr>
              <w:t>考核方式及权重</w:t>
            </w:r>
          </w:p>
        </w:tc>
      </w:tr>
      <w:tr w14:paraId="62A3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058" w:type="dxa"/>
            <w:tcBorders>
              <w:top w:val="single" w:color="auto" w:sz="4" w:space="0"/>
              <w:left w:val="single" w:color="auto" w:sz="4" w:space="0"/>
              <w:bottom w:val="single" w:color="auto" w:sz="4" w:space="0"/>
              <w:right w:val="single" w:color="auto" w:sz="4" w:space="0"/>
            </w:tcBorders>
            <w:vAlign w:val="center"/>
          </w:tcPr>
          <w:p w14:paraId="1D070A78">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825" w:type="dxa"/>
            <w:tcBorders>
              <w:top w:val="single" w:color="auto" w:sz="4" w:space="0"/>
              <w:left w:val="single" w:color="auto" w:sz="4" w:space="0"/>
              <w:bottom w:val="single" w:color="auto" w:sz="4" w:space="0"/>
              <w:right w:val="single" w:color="auto" w:sz="4" w:space="0"/>
            </w:tcBorders>
            <w:vAlign w:val="center"/>
          </w:tcPr>
          <w:p w14:paraId="0CDB8D2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权重（a）</w:t>
            </w:r>
          </w:p>
        </w:tc>
        <w:tc>
          <w:tcPr>
            <w:tcW w:w="2207" w:type="dxa"/>
            <w:tcBorders>
              <w:top w:val="single" w:color="auto" w:sz="4" w:space="0"/>
              <w:left w:val="single" w:color="auto" w:sz="4" w:space="0"/>
              <w:bottom w:val="single" w:color="auto" w:sz="4" w:space="0"/>
              <w:right w:val="single" w:color="auto" w:sz="4" w:space="0"/>
            </w:tcBorders>
            <w:vAlign w:val="center"/>
          </w:tcPr>
          <w:p w14:paraId="5D45749D">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852" w:type="dxa"/>
            <w:tcBorders>
              <w:top w:val="single" w:color="auto" w:sz="4" w:space="0"/>
              <w:left w:val="single" w:color="auto" w:sz="4" w:space="0"/>
              <w:bottom w:val="single" w:color="auto" w:sz="4" w:space="0"/>
              <w:right w:val="single" w:color="auto" w:sz="4" w:space="0"/>
            </w:tcBorders>
            <w:vAlign w:val="center"/>
          </w:tcPr>
          <w:p w14:paraId="299E456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权重（b）</w:t>
            </w:r>
          </w:p>
        </w:tc>
        <w:tc>
          <w:tcPr>
            <w:tcW w:w="1139" w:type="dxa"/>
            <w:tcBorders>
              <w:top w:val="single" w:color="auto" w:sz="4" w:space="0"/>
              <w:left w:val="single" w:color="auto" w:sz="4" w:space="0"/>
              <w:bottom w:val="single" w:color="auto" w:sz="4" w:space="0"/>
              <w:right w:val="single" w:color="auto" w:sz="4" w:space="0"/>
            </w:tcBorders>
          </w:tcPr>
          <w:p w14:paraId="1C626DA6">
            <w:pPr>
              <w:widowControl/>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6652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058" w:type="dxa"/>
            <w:vMerge w:val="restart"/>
            <w:tcBorders>
              <w:top w:val="single" w:color="auto" w:sz="4" w:space="0"/>
              <w:left w:val="single" w:color="auto" w:sz="4" w:space="0"/>
              <w:bottom w:val="single" w:color="auto" w:sz="4" w:space="0"/>
              <w:right w:val="single" w:color="auto" w:sz="4" w:space="0"/>
            </w:tcBorders>
            <w:vAlign w:val="center"/>
          </w:tcPr>
          <w:p w14:paraId="1F6EA817">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课程目标1</w:t>
            </w:r>
          </w:p>
        </w:tc>
        <w:tc>
          <w:tcPr>
            <w:tcW w:w="1825" w:type="dxa"/>
            <w:vMerge w:val="restart"/>
            <w:tcBorders>
              <w:top w:val="single" w:color="auto" w:sz="4" w:space="0"/>
              <w:left w:val="single" w:color="auto" w:sz="4" w:space="0"/>
              <w:bottom w:val="single" w:color="auto" w:sz="4" w:space="0"/>
              <w:right w:val="single" w:color="auto" w:sz="4" w:space="0"/>
            </w:tcBorders>
            <w:vAlign w:val="center"/>
          </w:tcPr>
          <w:p w14:paraId="16257CC2">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20%</w:t>
            </w:r>
          </w:p>
        </w:tc>
        <w:tc>
          <w:tcPr>
            <w:tcW w:w="2207" w:type="dxa"/>
            <w:tcBorders>
              <w:top w:val="single" w:color="auto" w:sz="4" w:space="0"/>
              <w:left w:val="single" w:color="auto" w:sz="4" w:space="0"/>
              <w:bottom w:val="single" w:color="auto" w:sz="4" w:space="0"/>
              <w:right w:val="single" w:color="auto" w:sz="4" w:space="0"/>
            </w:tcBorders>
            <w:vAlign w:val="center"/>
          </w:tcPr>
          <w:p w14:paraId="0F2032A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52" w:type="dxa"/>
            <w:tcBorders>
              <w:top w:val="single" w:color="auto" w:sz="4" w:space="0"/>
              <w:left w:val="single" w:color="auto" w:sz="4" w:space="0"/>
              <w:bottom w:val="single" w:color="auto" w:sz="4" w:space="0"/>
              <w:right w:val="single" w:color="auto" w:sz="4" w:space="0"/>
            </w:tcBorders>
            <w:vAlign w:val="center"/>
          </w:tcPr>
          <w:p w14:paraId="454E8DD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 xml:space="preserve">40% </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14:paraId="7B69B857">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3F69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46C352">
            <w:pPr>
              <w:widowControl/>
              <w:jc w:val="left"/>
              <w:rPr>
                <w:rFonts w:hint="eastAsia" w:ascii="宋体" w:hAnsi="宋体" w:eastAsia="宋体" w:cs="Times New Roman"/>
                <w:color w:val="000000"/>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9C8112">
            <w:pPr>
              <w:widowControl/>
              <w:jc w:val="left"/>
              <w:rPr>
                <w:rFonts w:hint="eastAsia" w:ascii="宋体" w:hAnsi="宋体" w:eastAsia="宋体" w:cs="Times New Roman"/>
                <w:color w:val="000000"/>
                <w:kern w:val="0"/>
                <w:szCs w:val="21"/>
              </w:rPr>
            </w:pPr>
          </w:p>
        </w:tc>
        <w:tc>
          <w:tcPr>
            <w:tcW w:w="2207" w:type="dxa"/>
            <w:tcBorders>
              <w:top w:val="single" w:color="auto" w:sz="4" w:space="0"/>
              <w:left w:val="single" w:color="auto" w:sz="4" w:space="0"/>
              <w:bottom w:val="single" w:color="auto" w:sz="4" w:space="0"/>
              <w:right w:val="single" w:color="auto" w:sz="4" w:space="0"/>
            </w:tcBorders>
            <w:vAlign w:val="center"/>
          </w:tcPr>
          <w:p w14:paraId="7056DF12">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作业1</w:t>
            </w:r>
          </w:p>
        </w:tc>
        <w:tc>
          <w:tcPr>
            <w:tcW w:w="1852" w:type="dxa"/>
            <w:tcBorders>
              <w:top w:val="single" w:color="auto" w:sz="4" w:space="0"/>
              <w:left w:val="single" w:color="auto" w:sz="4" w:space="0"/>
              <w:bottom w:val="single" w:color="auto" w:sz="4" w:space="0"/>
              <w:right w:val="single" w:color="auto" w:sz="4" w:space="0"/>
            </w:tcBorders>
            <w:vAlign w:val="center"/>
          </w:tcPr>
          <w:p w14:paraId="7136746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60%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B105898">
            <w:pPr>
              <w:widowControl/>
              <w:jc w:val="left"/>
              <w:rPr>
                <w:rFonts w:hint="eastAsia" w:ascii="宋体" w:hAnsi="宋体" w:eastAsia="宋体" w:cs="Times New Roman"/>
                <w:color w:val="000000"/>
                <w:kern w:val="0"/>
                <w:szCs w:val="21"/>
              </w:rPr>
            </w:pPr>
          </w:p>
        </w:tc>
      </w:tr>
      <w:tr w14:paraId="12F2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58" w:type="dxa"/>
            <w:vMerge w:val="restart"/>
            <w:tcBorders>
              <w:top w:val="single" w:color="auto" w:sz="4" w:space="0"/>
              <w:left w:val="single" w:color="auto" w:sz="4" w:space="0"/>
              <w:bottom w:val="single" w:color="auto" w:sz="4" w:space="0"/>
              <w:right w:val="single" w:color="auto" w:sz="4" w:space="0"/>
            </w:tcBorders>
            <w:vAlign w:val="center"/>
          </w:tcPr>
          <w:p w14:paraId="74D212C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课程目标2</w:t>
            </w:r>
          </w:p>
        </w:tc>
        <w:tc>
          <w:tcPr>
            <w:tcW w:w="1825" w:type="dxa"/>
            <w:vMerge w:val="restart"/>
            <w:tcBorders>
              <w:top w:val="single" w:color="auto" w:sz="4" w:space="0"/>
              <w:left w:val="single" w:color="auto" w:sz="4" w:space="0"/>
              <w:bottom w:val="single" w:color="auto" w:sz="4" w:space="0"/>
              <w:right w:val="single" w:color="auto" w:sz="4" w:space="0"/>
            </w:tcBorders>
            <w:vAlign w:val="center"/>
          </w:tcPr>
          <w:p w14:paraId="73899FA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20%</w:t>
            </w:r>
          </w:p>
        </w:tc>
        <w:tc>
          <w:tcPr>
            <w:tcW w:w="2207" w:type="dxa"/>
            <w:tcBorders>
              <w:top w:val="single" w:color="auto" w:sz="4" w:space="0"/>
              <w:left w:val="single" w:color="auto" w:sz="4" w:space="0"/>
              <w:bottom w:val="single" w:color="auto" w:sz="4" w:space="0"/>
              <w:right w:val="single" w:color="auto" w:sz="4" w:space="0"/>
            </w:tcBorders>
            <w:vAlign w:val="center"/>
          </w:tcPr>
          <w:p w14:paraId="4650E31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52" w:type="dxa"/>
            <w:tcBorders>
              <w:top w:val="single" w:color="auto" w:sz="4" w:space="0"/>
              <w:left w:val="single" w:color="auto" w:sz="4" w:space="0"/>
              <w:bottom w:val="single" w:color="auto" w:sz="4" w:space="0"/>
              <w:right w:val="single" w:color="auto" w:sz="4" w:space="0"/>
            </w:tcBorders>
            <w:vAlign w:val="center"/>
          </w:tcPr>
          <w:p w14:paraId="2BC3DCF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 xml:space="preserve">40% </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14:paraId="7C3F305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169F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AB7C8A">
            <w:pPr>
              <w:widowControl/>
              <w:jc w:val="left"/>
              <w:rPr>
                <w:rFonts w:hint="eastAsia" w:ascii="宋体" w:hAnsi="宋体" w:eastAsia="宋体" w:cs="Times New Roman"/>
                <w:color w:val="000000"/>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32DAEF">
            <w:pPr>
              <w:widowControl/>
              <w:jc w:val="left"/>
              <w:rPr>
                <w:rFonts w:hint="eastAsia" w:ascii="宋体" w:hAnsi="宋体" w:eastAsia="宋体" w:cs="Times New Roman"/>
                <w:color w:val="000000"/>
                <w:kern w:val="0"/>
                <w:szCs w:val="21"/>
              </w:rPr>
            </w:pPr>
          </w:p>
        </w:tc>
        <w:tc>
          <w:tcPr>
            <w:tcW w:w="2207" w:type="dxa"/>
            <w:tcBorders>
              <w:top w:val="single" w:color="auto" w:sz="4" w:space="0"/>
              <w:left w:val="single" w:color="auto" w:sz="4" w:space="0"/>
              <w:bottom w:val="single" w:color="auto" w:sz="4" w:space="0"/>
              <w:right w:val="single" w:color="auto" w:sz="4" w:space="0"/>
            </w:tcBorders>
            <w:vAlign w:val="center"/>
          </w:tcPr>
          <w:p w14:paraId="6651EDBB">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作业2</w:t>
            </w:r>
          </w:p>
        </w:tc>
        <w:tc>
          <w:tcPr>
            <w:tcW w:w="1852" w:type="dxa"/>
            <w:tcBorders>
              <w:top w:val="single" w:color="auto" w:sz="4" w:space="0"/>
              <w:left w:val="single" w:color="auto" w:sz="4" w:space="0"/>
              <w:bottom w:val="single" w:color="auto" w:sz="4" w:space="0"/>
              <w:right w:val="single" w:color="auto" w:sz="4" w:space="0"/>
            </w:tcBorders>
            <w:vAlign w:val="center"/>
          </w:tcPr>
          <w:p w14:paraId="024FF673">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60%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C8EDA3">
            <w:pPr>
              <w:widowControl/>
              <w:jc w:val="left"/>
              <w:rPr>
                <w:rFonts w:hint="eastAsia" w:ascii="宋体" w:hAnsi="宋体" w:eastAsia="宋体" w:cs="Times New Roman"/>
                <w:color w:val="000000"/>
                <w:kern w:val="0"/>
                <w:szCs w:val="21"/>
              </w:rPr>
            </w:pPr>
          </w:p>
        </w:tc>
      </w:tr>
      <w:tr w14:paraId="6B47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58" w:type="dxa"/>
            <w:vMerge w:val="restart"/>
            <w:tcBorders>
              <w:top w:val="single" w:color="auto" w:sz="4" w:space="0"/>
              <w:left w:val="single" w:color="auto" w:sz="4" w:space="0"/>
              <w:bottom w:val="single" w:color="auto" w:sz="4" w:space="0"/>
              <w:right w:val="single" w:color="auto" w:sz="4" w:space="0"/>
            </w:tcBorders>
            <w:vAlign w:val="center"/>
          </w:tcPr>
          <w:p w14:paraId="4FFED67D">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课程目标3</w:t>
            </w:r>
          </w:p>
        </w:tc>
        <w:tc>
          <w:tcPr>
            <w:tcW w:w="1825" w:type="dxa"/>
            <w:vMerge w:val="restart"/>
            <w:tcBorders>
              <w:top w:val="single" w:color="auto" w:sz="4" w:space="0"/>
              <w:left w:val="single" w:color="auto" w:sz="4" w:space="0"/>
              <w:bottom w:val="single" w:color="auto" w:sz="4" w:space="0"/>
              <w:right w:val="single" w:color="auto" w:sz="4" w:space="0"/>
            </w:tcBorders>
            <w:vAlign w:val="center"/>
          </w:tcPr>
          <w:p w14:paraId="21C698BE">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40%</w:t>
            </w:r>
          </w:p>
        </w:tc>
        <w:tc>
          <w:tcPr>
            <w:tcW w:w="2207" w:type="dxa"/>
            <w:tcBorders>
              <w:top w:val="single" w:color="auto" w:sz="4" w:space="0"/>
              <w:left w:val="single" w:color="auto" w:sz="4" w:space="0"/>
              <w:bottom w:val="single" w:color="auto" w:sz="4" w:space="0"/>
              <w:right w:val="single" w:color="auto" w:sz="4" w:space="0"/>
            </w:tcBorders>
            <w:vAlign w:val="center"/>
          </w:tcPr>
          <w:p w14:paraId="7409C87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考试</w:t>
            </w:r>
          </w:p>
        </w:tc>
        <w:tc>
          <w:tcPr>
            <w:tcW w:w="1852" w:type="dxa"/>
            <w:tcBorders>
              <w:top w:val="single" w:color="auto" w:sz="4" w:space="0"/>
              <w:left w:val="single" w:color="auto" w:sz="4" w:space="0"/>
              <w:bottom w:val="single" w:color="auto" w:sz="4" w:space="0"/>
              <w:right w:val="single" w:color="auto" w:sz="4" w:space="0"/>
            </w:tcBorders>
            <w:vAlign w:val="center"/>
          </w:tcPr>
          <w:p w14:paraId="0105602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30%</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14:paraId="34CBA32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5D9A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6AE417D">
            <w:pPr>
              <w:widowControl/>
              <w:jc w:val="left"/>
              <w:rPr>
                <w:rFonts w:hint="eastAsia" w:ascii="宋体" w:hAnsi="宋体" w:eastAsia="宋体" w:cs="Times New Roman"/>
                <w:color w:val="000000"/>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2B7D07">
            <w:pPr>
              <w:widowControl/>
              <w:jc w:val="left"/>
              <w:rPr>
                <w:rFonts w:hint="eastAsia" w:ascii="宋体" w:hAnsi="宋体" w:eastAsia="宋体" w:cs="Times New Roman"/>
                <w:color w:val="000000"/>
                <w:kern w:val="0"/>
                <w:szCs w:val="21"/>
              </w:rPr>
            </w:pPr>
          </w:p>
        </w:tc>
        <w:tc>
          <w:tcPr>
            <w:tcW w:w="2207" w:type="dxa"/>
            <w:tcBorders>
              <w:top w:val="single" w:color="auto" w:sz="4" w:space="0"/>
              <w:left w:val="single" w:color="auto" w:sz="4" w:space="0"/>
              <w:bottom w:val="single" w:color="auto" w:sz="4" w:space="0"/>
              <w:right w:val="single" w:color="auto" w:sz="4" w:space="0"/>
            </w:tcBorders>
            <w:vAlign w:val="center"/>
          </w:tcPr>
          <w:p w14:paraId="1462B79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作业3</w:t>
            </w:r>
          </w:p>
        </w:tc>
        <w:tc>
          <w:tcPr>
            <w:tcW w:w="1852" w:type="dxa"/>
            <w:tcBorders>
              <w:top w:val="single" w:color="auto" w:sz="4" w:space="0"/>
              <w:left w:val="single" w:color="auto" w:sz="4" w:space="0"/>
              <w:bottom w:val="single" w:color="auto" w:sz="4" w:space="0"/>
              <w:right w:val="single" w:color="auto" w:sz="4" w:space="0"/>
            </w:tcBorders>
            <w:vAlign w:val="center"/>
          </w:tcPr>
          <w:p w14:paraId="707E494C">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AF8D56">
            <w:pPr>
              <w:widowControl/>
              <w:jc w:val="left"/>
              <w:rPr>
                <w:rFonts w:hint="eastAsia" w:ascii="宋体" w:hAnsi="宋体" w:eastAsia="宋体" w:cs="Times New Roman"/>
                <w:color w:val="000000"/>
                <w:kern w:val="0"/>
                <w:szCs w:val="21"/>
              </w:rPr>
            </w:pPr>
          </w:p>
        </w:tc>
      </w:tr>
      <w:tr w14:paraId="53B2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2596EA2">
            <w:pPr>
              <w:widowControl/>
              <w:jc w:val="left"/>
              <w:rPr>
                <w:rFonts w:hint="eastAsia" w:ascii="宋体" w:hAnsi="宋体" w:eastAsia="宋体" w:cs="Times New Roman"/>
                <w:color w:val="000000"/>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DC254A">
            <w:pPr>
              <w:widowControl/>
              <w:jc w:val="left"/>
              <w:rPr>
                <w:rFonts w:hint="eastAsia" w:ascii="宋体" w:hAnsi="宋体" w:eastAsia="宋体" w:cs="Times New Roman"/>
                <w:color w:val="000000"/>
                <w:kern w:val="0"/>
                <w:szCs w:val="21"/>
              </w:rPr>
            </w:pPr>
          </w:p>
        </w:tc>
        <w:tc>
          <w:tcPr>
            <w:tcW w:w="2207" w:type="dxa"/>
            <w:tcBorders>
              <w:top w:val="single" w:color="auto" w:sz="4" w:space="0"/>
              <w:left w:val="single" w:color="auto" w:sz="4" w:space="0"/>
              <w:bottom w:val="single" w:color="auto" w:sz="4" w:space="0"/>
              <w:right w:val="single" w:color="auto" w:sz="4" w:space="0"/>
            </w:tcBorders>
            <w:vAlign w:val="center"/>
          </w:tcPr>
          <w:p w14:paraId="6B7B4181">
            <w:pPr>
              <w:widowControl/>
              <w:ind w:firstLine="630" w:firstLineChars="300"/>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课内实践</w:t>
            </w:r>
          </w:p>
        </w:tc>
        <w:tc>
          <w:tcPr>
            <w:tcW w:w="1852" w:type="dxa"/>
            <w:tcBorders>
              <w:top w:val="single" w:color="auto" w:sz="4" w:space="0"/>
              <w:left w:val="single" w:color="auto" w:sz="4" w:space="0"/>
              <w:bottom w:val="single" w:color="auto" w:sz="4" w:space="0"/>
              <w:right w:val="single" w:color="auto" w:sz="4" w:space="0"/>
            </w:tcBorders>
            <w:vAlign w:val="center"/>
          </w:tcPr>
          <w:p w14:paraId="18133985">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E65B31C">
            <w:pPr>
              <w:widowControl/>
              <w:jc w:val="left"/>
              <w:rPr>
                <w:rFonts w:hint="eastAsia" w:ascii="宋体" w:hAnsi="宋体" w:eastAsia="宋体" w:cs="Times New Roman"/>
                <w:color w:val="000000"/>
                <w:kern w:val="0"/>
                <w:szCs w:val="21"/>
              </w:rPr>
            </w:pPr>
          </w:p>
        </w:tc>
      </w:tr>
      <w:tr w14:paraId="47AB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58" w:type="dxa"/>
            <w:vMerge w:val="restart"/>
            <w:tcBorders>
              <w:top w:val="single" w:color="auto" w:sz="4" w:space="0"/>
              <w:left w:val="single" w:color="auto" w:sz="4" w:space="0"/>
              <w:bottom w:val="single" w:color="auto" w:sz="4" w:space="0"/>
              <w:right w:val="single" w:color="auto" w:sz="4" w:space="0"/>
            </w:tcBorders>
            <w:vAlign w:val="center"/>
          </w:tcPr>
          <w:p w14:paraId="5B34C1D1">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课程目标4</w:t>
            </w:r>
          </w:p>
        </w:tc>
        <w:tc>
          <w:tcPr>
            <w:tcW w:w="1825" w:type="dxa"/>
            <w:vMerge w:val="restart"/>
            <w:tcBorders>
              <w:top w:val="single" w:color="auto" w:sz="4" w:space="0"/>
              <w:left w:val="single" w:color="auto" w:sz="4" w:space="0"/>
              <w:bottom w:val="single" w:color="auto" w:sz="4" w:space="0"/>
              <w:right w:val="single" w:color="auto" w:sz="4" w:space="0"/>
            </w:tcBorders>
            <w:vAlign w:val="center"/>
          </w:tcPr>
          <w:p w14:paraId="4AAE6970">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20%</w:t>
            </w:r>
          </w:p>
        </w:tc>
        <w:tc>
          <w:tcPr>
            <w:tcW w:w="2207" w:type="dxa"/>
            <w:tcBorders>
              <w:top w:val="single" w:color="auto" w:sz="4" w:space="0"/>
              <w:left w:val="single" w:color="auto" w:sz="4" w:space="0"/>
              <w:bottom w:val="single" w:color="auto" w:sz="4" w:space="0"/>
              <w:right w:val="single" w:color="auto" w:sz="4" w:space="0"/>
            </w:tcBorders>
            <w:vAlign w:val="center"/>
          </w:tcPr>
          <w:p w14:paraId="736C8AF2">
            <w:pPr>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作业3</w:t>
            </w:r>
          </w:p>
        </w:tc>
        <w:tc>
          <w:tcPr>
            <w:tcW w:w="1852" w:type="dxa"/>
            <w:tcBorders>
              <w:top w:val="single" w:color="auto" w:sz="4" w:space="0"/>
              <w:left w:val="single" w:color="auto" w:sz="4" w:space="0"/>
              <w:bottom w:val="single" w:color="auto" w:sz="4" w:space="0"/>
              <w:right w:val="single" w:color="auto" w:sz="4" w:space="0"/>
            </w:tcBorders>
            <w:vAlign w:val="center"/>
          </w:tcPr>
          <w:p w14:paraId="585256F2">
            <w:pPr>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50%</w:t>
            </w:r>
          </w:p>
        </w:tc>
        <w:tc>
          <w:tcPr>
            <w:tcW w:w="1139" w:type="dxa"/>
            <w:vMerge w:val="restart"/>
            <w:tcBorders>
              <w:top w:val="single" w:color="auto" w:sz="4" w:space="0"/>
              <w:left w:val="single" w:color="auto" w:sz="4" w:space="0"/>
              <w:bottom w:val="single" w:color="auto" w:sz="4" w:space="0"/>
              <w:right w:val="single" w:color="auto" w:sz="4" w:space="0"/>
            </w:tcBorders>
            <w:vAlign w:val="center"/>
          </w:tcPr>
          <w:p w14:paraId="2041A69F">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r>
      <w:tr w14:paraId="64B0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396FFDE">
            <w:pPr>
              <w:widowControl/>
              <w:jc w:val="left"/>
              <w:rPr>
                <w:rFonts w:hint="eastAsia" w:ascii="宋体" w:hAnsi="宋体" w:eastAsia="宋体" w:cs="Times New Roman"/>
                <w:color w:val="000000"/>
                <w:kern w:val="0"/>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356C9D">
            <w:pPr>
              <w:widowControl/>
              <w:jc w:val="left"/>
              <w:rPr>
                <w:rFonts w:hint="eastAsia" w:ascii="宋体" w:hAnsi="宋体" w:eastAsia="宋体" w:cs="Times New Roman"/>
                <w:color w:val="000000"/>
                <w:kern w:val="0"/>
                <w:szCs w:val="21"/>
              </w:rPr>
            </w:pPr>
          </w:p>
        </w:tc>
        <w:tc>
          <w:tcPr>
            <w:tcW w:w="2207" w:type="dxa"/>
            <w:tcBorders>
              <w:top w:val="single" w:color="auto" w:sz="4" w:space="0"/>
              <w:left w:val="single" w:color="auto" w:sz="4" w:space="0"/>
              <w:bottom w:val="single" w:color="auto" w:sz="4" w:space="0"/>
              <w:right w:val="single" w:color="auto" w:sz="4" w:space="0"/>
            </w:tcBorders>
            <w:vAlign w:val="center"/>
          </w:tcPr>
          <w:p w14:paraId="4E4C945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课内实践</w:t>
            </w:r>
          </w:p>
        </w:tc>
        <w:tc>
          <w:tcPr>
            <w:tcW w:w="1852" w:type="dxa"/>
            <w:tcBorders>
              <w:top w:val="single" w:color="auto" w:sz="4" w:space="0"/>
              <w:left w:val="single" w:color="auto" w:sz="4" w:space="0"/>
              <w:bottom w:val="single" w:color="auto" w:sz="4" w:space="0"/>
              <w:right w:val="single" w:color="auto" w:sz="4" w:space="0"/>
            </w:tcBorders>
            <w:vAlign w:val="center"/>
          </w:tcPr>
          <w:p w14:paraId="2FB4C10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 xml:space="preserve">50%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0000CB">
            <w:pPr>
              <w:widowControl/>
              <w:jc w:val="left"/>
              <w:rPr>
                <w:rFonts w:hint="eastAsia" w:ascii="宋体" w:hAnsi="宋体" w:eastAsia="宋体" w:cs="Times New Roman"/>
                <w:color w:val="000000"/>
                <w:kern w:val="0"/>
                <w:szCs w:val="21"/>
              </w:rPr>
            </w:pPr>
          </w:p>
        </w:tc>
      </w:tr>
      <w:tr w14:paraId="6E6E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058" w:type="dxa"/>
            <w:tcBorders>
              <w:top w:val="single" w:color="auto" w:sz="4" w:space="0"/>
              <w:left w:val="single" w:color="auto" w:sz="4" w:space="0"/>
              <w:bottom w:val="single" w:color="auto" w:sz="4" w:space="0"/>
              <w:right w:val="single" w:color="auto" w:sz="4" w:space="0"/>
            </w:tcBorders>
            <w:vAlign w:val="center"/>
          </w:tcPr>
          <w:p w14:paraId="2F61F29A">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825" w:type="dxa"/>
            <w:tcBorders>
              <w:top w:val="single" w:color="auto" w:sz="4" w:space="0"/>
              <w:left w:val="single" w:color="auto" w:sz="4" w:space="0"/>
              <w:bottom w:val="single" w:color="auto" w:sz="4" w:space="0"/>
              <w:right w:val="single" w:color="auto" w:sz="4" w:space="0"/>
            </w:tcBorders>
            <w:vAlign w:val="center"/>
          </w:tcPr>
          <w:p w14:paraId="79F87849">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100%</w:t>
            </w:r>
          </w:p>
        </w:tc>
        <w:tc>
          <w:tcPr>
            <w:tcW w:w="5199" w:type="dxa"/>
            <w:gridSpan w:val="3"/>
            <w:tcBorders>
              <w:top w:val="single" w:color="auto" w:sz="4" w:space="0"/>
              <w:left w:val="single" w:color="auto" w:sz="4" w:space="0"/>
              <w:bottom w:val="single" w:color="auto" w:sz="4" w:space="0"/>
              <w:right w:val="single" w:color="auto" w:sz="4" w:space="0"/>
            </w:tcBorders>
            <w:vAlign w:val="center"/>
          </w:tcPr>
          <w:p w14:paraId="36ACDA7B">
            <w:pPr>
              <w:widowControl/>
              <w:jc w:val="center"/>
              <w:rPr>
                <w:rFonts w:hint="eastAsia" w:ascii="宋体" w:hAnsi="宋体" w:eastAsia="宋体" w:cs="Times New Roman"/>
                <w:color w:val="000000"/>
                <w:kern w:val="0"/>
                <w:szCs w:val="21"/>
              </w:rPr>
            </w:pPr>
          </w:p>
        </w:tc>
      </w:tr>
    </w:tbl>
    <w:p w14:paraId="326451B7">
      <w:pPr>
        <w:spacing w:line="360" w:lineRule="auto"/>
        <w:rPr>
          <w:rFonts w:hint="eastAsia" w:ascii="宋体" w:hAnsi="宋体" w:eastAsia="宋体" w:cs="宋体"/>
          <w:bCs/>
          <w:sz w:val="24"/>
          <w:szCs w:val="24"/>
        </w:rPr>
      </w:pPr>
      <w:r>
        <w:rPr>
          <w:rFonts w:hint="eastAsia" w:ascii="宋体" w:hAnsi="宋体" w:eastAsia="宋体" w:cs="宋体"/>
          <w:bCs/>
          <w:sz w:val="24"/>
          <w:szCs w:val="24"/>
        </w:rPr>
        <w:t>（四）课程目标达成度计算方法</w:t>
      </w:r>
    </w:p>
    <w:p w14:paraId="5AFF0829">
      <w:pPr>
        <w:spacing w:line="360" w:lineRule="auto"/>
        <w:ind w:firstLine="480"/>
        <w:rPr>
          <w:rFonts w:hint="eastAsia" w:ascii="宋体" w:hAnsi="宋体" w:eastAsia="宋体" w:cs="Times New Roman"/>
          <w:color w:val="000000"/>
          <w:sz w:val="24"/>
        </w:rPr>
      </w:pPr>
      <w:r>
        <w:rPr>
          <w:rFonts w:hint="eastAsia" w:ascii="宋体" w:hAnsi="宋体" w:eastAsia="宋体" w:cs="Times New Roman"/>
          <w:color w:val="000000"/>
          <w:sz w:val="24"/>
        </w:rPr>
        <w:t>所有课程目标均需大于等于0.6，否则总评成绩不及格，需要补考或重修。每门课程目标总体达成度计算方法如下：</w:t>
      </w:r>
    </w:p>
    <w:p w14:paraId="02B5FBF7">
      <w:pPr>
        <w:spacing w:line="360" w:lineRule="auto"/>
        <w:rPr>
          <w:rFonts w:hint="eastAsia" w:ascii="宋体" w:hAnsi="宋体" w:eastAsia="宋体" w:cs="宋体"/>
          <w:bCs/>
          <w:szCs w:val="21"/>
        </w:rPr>
      </w:pPr>
      <w:r>
        <w:rPr>
          <w:rFonts w:hint="eastAsia" w:ascii="宋体" w:hAnsi="宋体" w:eastAsia="宋体" w:cs="宋体"/>
          <w:bCs/>
          <w:szCs w:val="21"/>
        </w:rPr>
        <w:t>课程目标达成度=</w:t>
      </w:r>
      <m:oMath>
        <m:r>
          <m:rPr>
            <m:sty m:val="p"/>
          </m:rPr>
          <w:rPr>
            <w:rFonts w:ascii="Cambria Math" w:hAnsi="Cambria Math" w:eastAsia="宋体" w:cs="宋体"/>
            <w:szCs w:val="21"/>
          </w:rPr>
          <m:t>Σ</m:t>
        </m:r>
        <m:r>
          <m:rPr>
            <m:sty m:val="p"/>
          </m:rPr>
          <w:rPr>
            <w:rFonts w:hint="eastAsia" w:ascii="Cambria Math" w:hAnsi="Cambria Math" w:eastAsia="宋体" w:cs="宋体"/>
            <w:szCs w:val="21"/>
          </w:rPr>
          <m:t>课程子目标的权重值（</m:t>
        </m:r>
        <m:r>
          <m:rPr/>
          <w:rPr>
            <w:rFonts w:ascii="Cambria Math" w:hAnsi="Cambria Math" w:eastAsia="宋体" w:cs="宋体"/>
            <w:szCs w:val="21"/>
          </w:rPr>
          <m:t>a</m:t>
        </m:r>
        <m:r>
          <m:rPr>
            <m:sty m:val="p"/>
          </m:rPr>
          <w:rPr>
            <w:rFonts w:hint="eastAsia" w:ascii="Cambria Math" w:hAnsi="Cambria Math" w:eastAsia="宋体" w:cs="宋体"/>
            <w:szCs w:val="21"/>
          </w:rPr>
          <m:t>）</m:t>
        </m:r>
        <m:r>
          <m:rPr>
            <m:sty m:val="p"/>
          </m:rPr>
          <w:rPr>
            <w:rFonts w:ascii="Cambria Math" w:hAnsi="Cambria Math" w:eastAsia="宋体" w:cs="宋体"/>
            <w:szCs w:val="21"/>
          </w:rPr>
          <m:t>×Σ</m:t>
        </m:r>
        <m:r>
          <m:rPr>
            <m:sty m:val="p"/>
          </m:rPr>
          <w:rPr>
            <w:rFonts w:hint="eastAsia" w:ascii="Cambria Math" w:hAnsi="Cambria Math" w:eastAsia="宋体" w:cs="宋体"/>
            <w:szCs w:val="21"/>
          </w:rPr>
          <m:t>课程考核项目的权重值（</m:t>
        </m:r>
        <m:r>
          <m:rPr/>
          <w:rPr>
            <w:rFonts w:ascii="Cambria Math" w:hAnsi="Cambria Math" w:eastAsia="宋体" w:cs="宋体"/>
            <w:szCs w:val="21"/>
          </w:rPr>
          <m:t>b</m:t>
        </m:r>
        <m:r>
          <m:rPr>
            <m:sty m:val="p"/>
          </m:rPr>
          <w:rPr>
            <w:rFonts w:hint="eastAsia" w:ascii="Cambria Math" w:hAnsi="Cambria Math" w:eastAsia="宋体" w:cs="宋体"/>
            <w:szCs w:val="21"/>
          </w:rPr>
          <m:t>）</m:t>
        </m:r>
        <m:f>
          <m:fPr>
            <m:ctrlPr>
              <w:rPr>
                <w:rFonts w:ascii="Cambria Math" w:hAnsi="Cambria Math" w:eastAsia="宋体" w:cs="宋体"/>
                <w:bCs/>
                <w:szCs w:val="21"/>
              </w:rPr>
            </m:ctrlPr>
          </m:fPr>
          <m:num>
            <m:r>
              <m:rPr/>
              <w:rPr>
                <w:rFonts w:hint="eastAsia" w:ascii="Cambria Math" w:hAnsi="Cambria Math" w:eastAsia="宋体" w:cs="宋体"/>
                <w:szCs w:val="21"/>
              </w:rPr>
              <m:t>考核项目平均分</m:t>
            </m:r>
            <m:ctrlPr>
              <w:rPr>
                <w:rFonts w:ascii="Cambria Math" w:hAnsi="Cambria Math" w:eastAsia="宋体" w:cs="宋体"/>
                <w:bCs/>
                <w:szCs w:val="21"/>
              </w:rPr>
            </m:ctrlPr>
          </m:num>
          <m:den>
            <m:r>
              <m:rPr/>
              <w:rPr>
                <w:rFonts w:hint="eastAsia" w:ascii="Cambria Math" w:hAnsi="Cambria Math" w:eastAsia="宋体" w:cs="宋体"/>
                <w:szCs w:val="21"/>
              </w:rPr>
              <m:t>考核项目总分</m:t>
            </m:r>
            <m:ctrlPr>
              <w:rPr>
                <w:rFonts w:ascii="Cambria Math" w:hAnsi="Cambria Math" w:eastAsia="宋体" w:cs="宋体"/>
                <w:bCs/>
                <w:szCs w:val="21"/>
              </w:rPr>
            </m:ctrlPr>
          </m:den>
        </m:f>
      </m:oMath>
    </w:p>
    <w:p w14:paraId="67B49885">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七、有关说明</w:t>
      </w:r>
    </w:p>
    <w:p w14:paraId="316FD262">
      <w:pPr>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（一）持续改进</w:t>
      </w:r>
    </w:p>
    <w:p w14:paraId="22745378">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本课程根据学生作业、课堂讨论、实践环节、平时考核情况和学生、教学督导等的反馈，及时对教学中的不足之处进行改进，并在下一轮课程教学中整改完善，确保相应毕业要求指标点达成。</w:t>
      </w:r>
    </w:p>
    <w:p w14:paraId="182A8A5B">
      <w:pPr>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（二）参考书目及学习资料</w:t>
      </w:r>
    </w:p>
    <w:p w14:paraId="6C9BCFF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1.教材</w:t>
      </w:r>
    </w:p>
    <w:p w14:paraId="13C3E0D4">
      <w:pPr>
        <w:spacing w:line="360" w:lineRule="auto"/>
        <w:ind w:firstLine="480" w:firstLineChars="200"/>
        <w:rPr>
          <w:rFonts w:hint="eastAsia" w:ascii="宋体" w:hAnsi="宋体" w:eastAsia="宋体" w:cs="Times New Roman"/>
          <w:sz w:val="24"/>
        </w:rPr>
      </w:pPr>
      <w:r>
        <w:rPr>
          <w:rFonts w:hint="eastAsia" w:ascii="Times New Roman" w:hAnsi="Times New Roman" w:eastAsia="宋体" w:cs="Times New Roman"/>
          <w:kern w:val="0"/>
          <w:sz w:val="24"/>
          <w:szCs w:val="24"/>
        </w:rPr>
        <w:t>张二庆，乔建生</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《小学科学课程与教学论》</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北京：北京师范大学出版社</w:t>
      </w:r>
      <w:r>
        <w:rPr>
          <w:rFonts w:ascii="Times New Roman" w:hAnsi="Times New Roman" w:eastAsia="宋体" w:cs="Times New Roman"/>
          <w:kern w:val="0"/>
          <w:sz w:val="24"/>
          <w:szCs w:val="24"/>
        </w:rPr>
        <w:t>.2016.</w:t>
      </w:r>
    </w:p>
    <w:p w14:paraId="349EA76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2.教学参考书</w:t>
      </w:r>
    </w:p>
    <w:p w14:paraId="1EC8F31E">
      <w:pPr>
        <w:spacing w:line="360" w:lineRule="auto"/>
        <w:ind w:firstLine="480" w:firstLineChars="200"/>
        <w:rPr>
          <w:rFonts w:hint="eastAsia" w:ascii="宋体" w:hAnsi="宋体" w:eastAsia="宋体" w:cs="宋体"/>
          <w:color w:val="000000"/>
          <w:kern w:val="0"/>
          <w:szCs w:val="21"/>
        </w:rPr>
      </w:pPr>
      <w:r>
        <w:rPr>
          <w:rFonts w:hint="eastAsia" w:ascii="宋体" w:hAnsi="宋体" w:eastAsia="宋体" w:cs="Times New Roman"/>
          <w:sz w:val="24"/>
        </w:rPr>
        <w:t>教育部编.义务教育小学科学课程标准修订本.2017年.</w:t>
      </w:r>
    </w:p>
    <w:p w14:paraId="1AF0531F">
      <w:pPr>
        <w:spacing w:line="360" w:lineRule="auto"/>
        <w:ind w:firstLine="420" w:firstLineChars="200"/>
        <w:rPr>
          <w:rFonts w:hint="eastAsia" w:ascii="宋体" w:hAnsi="宋体" w:eastAsia="宋体" w:cs="Times New Roman"/>
          <w:sz w:val="24"/>
        </w:rPr>
      </w:pPr>
      <w:r>
        <w:fldChar w:fldCharType="begin"/>
      </w:r>
      <w:r>
        <w:instrText xml:space="preserve"> HYPERLINK "http://search.dangdang.com/?key2=%BB%DD%D6%D0&amp;medium=01&amp;category_path=01.00.00.00.00.00" \o "惠中（总主编），叶勤" </w:instrText>
      </w:r>
      <w:r>
        <w:fldChar w:fldCharType="separate"/>
      </w:r>
      <w:r>
        <w:rPr>
          <w:rStyle w:val="38"/>
          <w:rFonts w:hint="eastAsia" w:ascii="宋体" w:hAnsi="宋体" w:eastAsia="宋体" w:cs="Times New Roman"/>
          <w:color w:val="auto"/>
          <w:sz w:val="24"/>
          <w:u w:val="none"/>
        </w:rPr>
        <w:t>惠中</w:t>
      </w:r>
      <w:r>
        <w:rPr>
          <w:rStyle w:val="38"/>
          <w:rFonts w:hint="eastAsia" w:ascii="宋体" w:hAnsi="宋体" w:eastAsia="宋体" w:cs="Times New Roman"/>
          <w:color w:val="auto"/>
          <w:sz w:val="24"/>
          <w:u w:val="none"/>
        </w:rPr>
        <w:fldChar w:fldCharType="end"/>
      </w:r>
      <w:r>
        <w:rPr>
          <w:rFonts w:hint="eastAsia" w:ascii="宋体" w:hAnsi="宋体" w:eastAsia="宋体" w:cs="Times New Roman"/>
          <w:sz w:val="24"/>
        </w:rPr>
        <w:t>，</w:t>
      </w:r>
      <w:r>
        <w:fldChar w:fldCharType="begin"/>
      </w:r>
      <w:r>
        <w:instrText xml:space="preserve"> HYPERLINK "http://search.dangdang.com/?key2=%D2%B6%C7%DA&amp;medium=01&amp;category_path=01.00.00.00.00.00" \o "惠中（总主编），叶勤" </w:instrText>
      </w:r>
      <w:r>
        <w:fldChar w:fldCharType="separate"/>
      </w:r>
      <w:bookmarkStart w:id="292" w:name="itemlist-author"/>
      <w:r>
        <w:rPr>
          <w:rStyle w:val="38"/>
          <w:rFonts w:hint="eastAsia" w:ascii="宋体" w:hAnsi="宋体" w:eastAsia="宋体" w:cs="Times New Roman"/>
          <w:color w:val="auto"/>
          <w:sz w:val="24"/>
          <w:u w:val="none"/>
        </w:rPr>
        <w:t>叶勤</w:t>
      </w:r>
      <w:bookmarkEnd w:id="292"/>
      <w:r>
        <w:rPr>
          <w:rStyle w:val="38"/>
          <w:rFonts w:hint="eastAsia" w:ascii="宋体" w:hAnsi="宋体" w:eastAsia="宋体" w:cs="Times New Roman"/>
          <w:color w:val="auto"/>
          <w:sz w:val="24"/>
          <w:u w:val="none"/>
        </w:rPr>
        <w:fldChar w:fldCharType="end"/>
      </w:r>
      <w:r>
        <w:rPr>
          <w:rFonts w:hint="eastAsia" w:ascii="宋体" w:hAnsi="宋体" w:eastAsia="宋体" w:cs="Times New Roman"/>
          <w:sz w:val="24"/>
        </w:rPr>
        <w:t>.小学科学学科知识与拓展.上海：华东师范大学出版社.2015.</w:t>
      </w:r>
    </w:p>
    <w:p w14:paraId="4AACA57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袁优红.小学科学有效性教学策略探究——上学生喜欢的科学课.杭州：浙江大学出版社.2013.</w:t>
      </w:r>
    </w:p>
    <w:p w14:paraId="5418F008">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禹明.小学科学教学活动设计案例精选.北京：北京大学出版社.2012.</w:t>
      </w:r>
    </w:p>
    <w:p w14:paraId="32088CF2">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张平柯，范增.小学科学教师成长指导与实践案例.武汉：武汉大学出版社.2018.</w:t>
      </w:r>
    </w:p>
    <w:p w14:paraId="40521EC0">
      <w:pPr>
        <w:autoSpaceDE w:val="0"/>
        <w:autoSpaceDN w:val="0"/>
        <w:adjustRightInd w:val="0"/>
        <w:spacing w:line="360" w:lineRule="auto"/>
        <w:ind w:firstLine="480" w:firstLineChars="200"/>
        <w:jc w:val="left"/>
        <w:rPr>
          <w:rFonts w:hint="eastAsia" w:ascii="宋体" w:hAnsi="宋体" w:eastAsia="宋体" w:cs="Times New Roman"/>
          <w:kern w:val="0"/>
          <w:sz w:val="24"/>
          <w:szCs w:val="21"/>
        </w:rPr>
      </w:pPr>
    </w:p>
    <w:p w14:paraId="395A1A7F">
      <w:pPr>
        <w:autoSpaceDE w:val="0"/>
        <w:autoSpaceDN w:val="0"/>
        <w:adjustRightInd w:val="0"/>
        <w:spacing w:line="360" w:lineRule="auto"/>
        <w:ind w:right="960"/>
        <w:jc w:val="center"/>
        <w:rPr>
          <w:rFonts w:ascii="Calibri" w:hAnsi="Calibri" w:eastAsia="宋体" w:cs="Times New Roman"/>
          <w:kern w:val="0"/>
          <w:sz w:val="24"/>
          <w:szCs w:val="21"/>
        </w:rPr>
      </w:pPr>
      <w:r>
        <w:rPr>
          <w:rFonts w:ascii="Calibri" w:hAnsi="Calibri" w:eastAsia="宋体" w:cs="Times New Roman"/>
          <w:kern w:val="0"/>
          <w:sz w:val="24"/>
          <w:szCs w:val="21"/>
        </w:rPr>
        <w:t xml:space="preserve">                                             </w:t>
      </w:r>
      <w:r>
        <w:rPr>
          <w:rFonts w:hint="eastAsia" w:ascii="Calibri" w:hAnsi="Calibri" w:eastAsia="宋体" w:cs="Times New Roman"/>
          <w:kern w:val="0"/>
          <w:sz w:val="24"/>
          <w:szCs w:val="21"/>
        </w:rPr>
        <w:t>执笔人：金玉宏</w:t>
      </w:r>
    </w:p>
    <w:p w14:paraId="5463D9A7">
      <w:pPr>
        <w:autoSpaceDE w:val="0"/>
        <w:autoSpaceDN w:val="0"/>
        <w:adjustRightInd w:val="0"/>
        <w:spacing w:line="360" w:lineRule="auto"/>
        <w:ind w:right="960"/>
        <w:jc w:val="center"/>
        <w:rPr>
          <w:rFonts w:ascii="Calibri" w:hAnsi="Calibri" w:eastAsia="宋体" w:cs="Times New Roman"/>
          <w:kern w:val="0"/>
          <w:sz w:val="24"/>
          <w:szCs w:val="21"/>
        </w:rPr>
      </w:pPr>
      <w:r>
        <w:rPr>
          <w:rFonts w:ascii="Calibri" w:hAnsi="Calibri" w:eastAsia="宋体" w:cs="Times New Roman"/>
          <w:kern w:val="0"/>
          <w:sz w:val="24"/>
          <w:szCs w:val="21"/>
        </w:rPr>
        <w:t xml:space="preserve">                                             </w:t>
      </w:r>
      <w:r>
        <w:rPr>
          <w:rFonts w:hint="eastAsia" w:ascii="Calibri" w:hAnsi="Calibri" w:eastAsia="宋体" w:cs="Times New Roman"/>
          <w:kern w:val="0"/>
          <w:sz w:val="24"/>
          <w:szCs w:val="21"/>
        </w:rPr>
        <w:t>审定人：张志欣</w:t>
      </w:r>
    </w:p>
    <w:p w14:paraId="3F8CDFD8">
      <w:pPr>
        <w:autoSpaceDE w:val="0"/>
        <w:autoSpaceDN w:val="0"/>
        <w:adjustRightInd w:val="0"/>
        <w:spacing w:line="360" w:lineRule="auto"/>
        <w:ind w:right="960"/>
        <w:jc w:val="center"/>
        <w:rPr>
          <w:rFonts w:ascii="Calibri" w:hAnsi="Calibri" w:eastAsia="宋体" w:cs="Times New Roman"/>
          <w:kern w:val="0"/>
          <w:sz w:val="24"/>
          <w:szCs w:val="21"/>
        </w:rPr>
      </w:pPr>
      <w:r>
        <w:rPr>
          <w:rFonts w:ascii="Calibri" w:hAnsi="Calibri" w:eastAsia="宋体" w:cs="Times New Roman"/>
          <w:kern w:val="0"/>
          <w:sz w:val="24"/>
          <w:szCs w:val="21"/>
        </w:rPr>
        <w:t xml:space="preserve">                                             </w:t>
      </w:r>
      <w:r>
        <w:rPr>
          <w:rFonts w:hint="eastAsia" w:ascii="Calibri" w:hAnsi="Calibri" w:eastAsia="宋体" w:cs="Times New Roman"/>
          <w:kern w:val="0"/>
          <w:sz w:val="24"/>
          <w:szCs w:val="21"/>
        </w:rPr>
        <w:t>审批人：张建波</w:t>
      </w:r>
    </w:p>
    <w:p w14:paraId="524D8E22">
      <w:pPr>
        <w:autoSpaceDE w:val="0"/>
        <w:autoSpaceDN w:val="0"/>
        <w:adjustRightInd w:val="0"/>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t>批准时间：2022年8月30日</w:t>
      </w:r>
    </w:p>
    <w:p w14:paraId="7D729839">
      <w:pPr>
        <w:rPr>
          <w:rFonts w:hint="eastAsia"/>
        </w:rPr>
      </w:pPr>
    </w:p>
    <w:p w14:paraId="60B85413">
      <w:pPr>
        <w:spacing w:line="360" w:lineRule="auto"/>
        <w:jc w:val="center"/>
        <w:outlineLvl w:val="0"/>
        <w:rPr>
          <w:rFonts w:hint="eastAsia" w:ascii="Times New Roman" w:hAnsi="Times New Roman" w:eastAsia="宋体" w:cs="Times New Roman"/>
          <w:b/>
          <w:bCs/>
          <w:sz w:val="30"/>
          <w:szCs w:val="24"/>
        </w:rPr>
      </w:pPr>
    </w:p>
    <w:p w14:paraId="2F544F2F">
      <w:pPr>
        <w:spacing w:line="360" w:lineRule="auto"/>
        <w:jc w:val="center"/>
        <w:outlineLvl w:val="0"/>
        <w:rPr>
          <w:rFonts w:hint="eastAsia" w:ascii="Times New Roman" w:hAnsi="Times New Roman" w:eastAsia="宋体" w:cs="Times New Roman"/>
          <w:b/>
          <w:bCs/>
          <w:sz w:val="30"/>
          <w:szCs w:val="24"/>
        </w:rPr>
      </w:pPr>
    </w:p>
    <w:p w14:paraId="537615E4">
      <w:pPr>
        <w:spacing w:line="360" w:lineRule="auto"/>
        <w:jc w:val="center"/>
        <w:outlineLvl w:val="0"/>
        <w:rPr>
          <w:rFonts w:hint="eastAsia" w:ascii="Times New Roman" w:hAnsi="Times New Roman" w:eastAsia="宋体" w:cs="Times New Roman"/>
          <w:b/>
          <w:bCs/>
          <w:sz w:val="30"/>
          <w:szCs w:val="24"/>
        </w:rPr>
      </w:pPr>
    </w:p>
    <w:p w14:paraId="336FE9BD">
      <w:pPr>
        <w:spacing w:line="360" w:lineRule="auto"/>
        <w:jc w:val="center"/>
        <w:outlineLvl w:val="0"/>
        <w:rPr>
          <w:rFonts w:hint="eastAsia" w:ascii="Times New Roman" w:hAnsi="Times New Roman" w:eastAsia="宋体" w:cs="Times New Roman"/>
          <w:b/>
          <w:bCs/>
          <w:sz w:val="30"/>
          <w:szCs w:val="24"/>
        </w:rPr>
      </w:pPr>
    </w:p>
    <w:p w14:paraId="637D72F6">
      <w:pPr>
        <w:spacing w:line="360" w:lineRule="auto"/>
        <w:jc w:val="center"/>
        <w:outlineLvl w:val="0"/>
        <w:rPr>
          <w:rFonts w:hint="eastAsia" w:ascii="Times New Roman" w:hAnsi="Times New Roman" w:eastAsia="宋体" w:cs="Times New Roman"/>
          <w:b/>
          <w:bCs/>
          <w:sz w:val="30"/>
          <w:szCs w:val="24"/>
        </w:rPr>
      </w:pPr>
    </w:p>
    <w:p w14:paraId="5EF9E093">
      <w:pPr>
        <w:spacing w:line="360" w:lineRule="auto"/>
        <w:jc w:val="center"/>
        <w:outlineLvl w:val="0"/>
        <w:rPr>
          <w:rFonts w:hint="eastAsia" w:ascii="Times New Roman" w:hAnsi="Times New Roman" w:eastAsia="宋体" w:cs="Times New Roman"/>
          <w:b/>
          <w:bCs/>
          <w:sz w:val="30"/>
          <w:szCs w:val="24"/>
        </w:rPr>
      </w:pPr>
    </w:p>
    <w:bookmarkEnd w:id="291"/>
    <w:p w14:paraId="5B667570">
      <w:pPr>
        <w:widowControl/>
        <w:jc w:val="left"/>
        <w:rPr>
          <w:rFonts w:ascii="宋体" w:hAnsi="宋体" w:eastAsia="宋体" w:cs="Times New Roman"/>
          <w:kern w:val="0"/>
          <w:sz w:val="24"/>
          <w:szCs w:val="21"/>
        </w:rPr>
      </w:pPr>
    </w:p>
    <w:p w14:paraId="6114B9A9">
      <w:pPr>
        <w:spacing w:line="312" w:lineRule="auto"/>
        <w:ind w:firstLine="2570" w:firstLineChars="800"/>
        <w:rPr>
          <w:b/>
          <w:bCs/>
          <w:sz w:val="32"/>
          <w:szCs w:val="28"/>
        </w:rPr>
      </w:pPr>
      <w:r>
        <w:rPr>
          <w:rFonts w:hint="eastAsia"/>
          <w:b/>
          <w:bCs/>
          <w:sz w:val="32"/>
          <w:szCs w:val="28"/>
        </w:rPr>
        <w:t>科学实验指导课程</w:t>
      </w:r>
      <w:r>
        <w:rPr>
          <w:b/>
          <w:bCs/>
          <w:sz w:val="32"/>
          <w:szCs w:val="28"/>
        </w:rPr>
        <w:t>教学大纲</w:t>
      </w:r>
    </w:p>
    <w:p w14:paraId="63AAE0FA">
      <w:pPr>
        <w:spacing w:line="312" w:lineRule="auto"/>
        <w:ind w:firstLine="1807" w:firstLineChars="600"/>
        <w:rPr>
          <w:b/>
          <w:bCs/>
          <w:sz w:val="30"/>
        </w:rPr>
      </w:pPr>
      <w:r>
        <w:rPr>
          <w:b/>
          <w:bCs/>
          <w:sz w:val="30"/>
        </w:rPr>
        <w:t>（</w:t>
      </w:r>
      <w:r>
        <w:rPr>
          <w:rFonts w:hint="eastAsia"/>
          <w:sz w:val="30"/>
          <w:szCs w:val="30"/>
        </w:rPr>
        <w:t>Guidance of Scientific Experiments</w:t>
      </w:r>
      <w:r>
        <w:rPr>
          <w:b/>
          <w:bCs/>
          <w:sz w:val="30"/>
        </w:rPr>
        <w:t>）</w:t>
      </w:r>
    </w:p>
    <w:p w14:paraId="101344F8">
      <w:pPr>
        <w:spacing w:line="312" w:lineRule="auto"/>
        <w:rPr>
          <w:rFonts w:eastAsia="黑体"/>
          <w:bCs/>
          <w:sz w:val="30"/>
        </w:rPr>
      </w:pPr>
    </w:p>
    <w:p w14:paraId="7A759A8A">
      <w:pPr>
        <w:tabs>
          <w:tab w:val="left" w:pos="4020"/>
        </w:tabs>
        <w:spacing w:line="360" w:lineRule="auto"/>
        <w:ind w:firstLine="551" w:firstLineChars="196"/>
        <w:rPr>
          <w:rFonts w:hint="eastAsia"/>
          <w:b/>
          <w:sz w:val="28"/>
          <w:szCs w:val="28"/>
        </w:rPr>
      </w:pPr>
      <w:r>
        <w:rPr>
          <w:b/>
          <w:sz w:val="28"/>
          <w:szCs w:val="28"/>
        </w:rPr>
        <w:t>一、课程概况</w:t>
      </w:r>
      <w:r>
        <w:rPr>
          <w:b/>
          <w:sz w:val="28"/>
          <w:szCs w:val="28"/>
        </w:rPr>
        <w:tab/>
      </w:r>
    </w:p>
    <w:p w14:paraId="08D56B05">
      <w:pPr>
        <w:spacing w:line="360" w:lineRule="auto"/>
        <w:ind w:firstLine="482" w:firstLineChars="200"/>
        <w:rPr>
          <w:b/>
          <w:kern w:val="0"/>
          <w:sz w:val="24"/>
        </w:rPr>
      </w:pPr>
      <w:r>
        <w:rPr>
          <w:b/>
          <w:bCs/>
          <w:kern w:val="0"/>
          <w:sz w:val="24"/>
        </w:rPr>
        <w:t>课程代码</w:t>
      </w:r>
      <w:r>
        <w:rPr>
          <w:b/>
          <w:kern w:val="0"/>
          <w:sz w:val="24"/>
        </w:rPr>
        <w:t>：</w:t>
      </w:r>
      <w:r>
        <w:rPr>
          <w:bCs/>
          <w:kern w:val="0"/>
          <w:sz w:val="24"/>
        </w:rPr>
        <w:t>24010038</w:t>
      </w:r>
    </w:p>
    <w:p w14:paraId="301D973E">
      <w:pPr>
        <w:spacing w:line="360" w:lineRule="auto"/>
        <w:ind w:firstLine="482" w:firstLineChars="200"/>
        <w:rPr>
          <w:rFonts w:hint="eastAsia"/>
          <w:kern w:val="0"/>
          <w:sz w:val="24"/>
        </w:rPr>
      </w:pPr>
      <w:r>
        <w:rPr>
          <w:b/>
          <w:bCs/>
          <w:kern w:val="0"/>
          <w:sz w:val="24"/>
        </w:rPr>
        <w:t>学    分</w:t>
      </w:r>
      <w:r>
        <w:rPr>
          <w:b/>
          <w:kern w:val="0"/>
          <w:sz w:val="24"/>
        </w:rPr>
        <w:t>：</w:t>
      </w:r>
      <w:r>
        <w:rPr>
          <w:rFonts w:hint="eastAsia"/>
          <w:kern w:val="0"/>
          <w:sz w:val="24"/>
        </w:rPr>
        <w:t>2</w:t>
      </w:r>
    </w:p>
    <w:p w14:paraId="3D825A47">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16，课内实践</w:t>
      </w:r>
      <w:r>
        <w:rPr>
          <w:kern w:val="0"/>
          <w:sz w:val="24"/>
        </w:rPr>
        <w:t>学时</w:t>
      </w:r>
      <w:r>
        <w:rPr>
          <w:rFonts w:hint="eastAsia"/>
          <w:kern w:val="0"/>
          <w:sz w:val="24"/>
        </w:rPr>
        <w:t>16</w:t>
      </w:r>
      <w:r>
        <w:rPr>
          <w:kern w:val="0"/>
          <w:sz w:val="24"/>
        </w:rPr>
        <w:t>）</w:t>
      </w:r>
    </w:p>
    <w:p w14:paraId="1BAA0380">
      <w:pPr>
        <w:spacing w:line="360" w:lineRule="auto"/>
        <w:ind w:firstLine="482" w:firstLineChars="200"/>
        <w:rPr>
          <w:bCs/>
          <w:kern w:val="0"/>
          <w:sz w:val="24"/>
        </w:rPr>
      </w:pPr>
      <w:r>
        <w:rPr>
          <w:b/>
          <w:bCs/>
          <w:kern w:val="0"/>
          <w:sz w:val="24"/>
        </w:rPr>
        <w:t>先修课程</w:t>
      </w:r>
      <w:r>
        <w:rPr>
          <w:b/>
          <w:kern w:val="0"/>
          <w:sz w:val="24"/>
        </w:rPr>
        <w:t>：</w:t>
      </w:r>
      <w:r>
        <w:rPr>
          <w:rFonts w:ascii="Tahoma" w:hAnsi="Tahoma" w:cs="Tahoma"/>
          <w:color w:val="333333"/>
          <w:kern w:val="0"/>
          <w:sz w:val="24"/>
        </w:rPr>
        <w:t>《</w:t>
      </w:r>
      <w:r>
        <w:rPr>
          <w:rFonts w:hint="eastAsia" w:ascii="Tahoma" w:hAnsi="Tahoma" w:cs="Tahoma"/>
          <w:color w:val="333333"/>
          <w:kern w:val="0"/>
          <w:sz w:val="24"/>
        </w:rPr>
        <w:t>科学概论</w:t>
      </w:r>
      <w:r>
        <w:rPr>
          <w:rFonts w:ascii="Tahoma" w:hAnsi="Tahoma" w:cs="Tahoma"/>
          <w:color w:val="333333"/>
          <w:kern w:val="0"/>
          <w:sz w:val="24"/>
        </w:rPr>
        <w:t>》</w:t>
      </w:r>
    </w:p>
    <w:p w14:paraId="2CDDFD8B">
      <w:pPr>
        <w:spacing w:line="360" w:lineRule="auto"/>
        <w:ind w:firstLine="482" w:firstLineChars="200"/>
        <w:rPr>
          <w:kern w:val="0"/>
          <w:sz w:val="24"/>
        </w:rPr>
      </w:pPr>
      <w:r>
        <w:rPr>
          <w:b/>
          <w:bCs/>
          <w:kern w:val="0"/>
          <w:sz w:val="24"/>
        </w:rPr>
        <w:t>适用专业</w:t>
      </w:r>
      <w:r>
        <w:rPr>
          <w:b/>
          <w:kern w:val="0"/>
          <w:sz w:val="24"/>
        </w:rPr>
        <w:t>：</w:t>
      </w:r>
      <w:r>
        <w:rPr>
          <w:rFonts w:hint="eastAsia"/>
          <w:sz w:val="24"/>
        </w:rPr>
        <w:t>小学教育（理）</w:t>
      </w:r>
      <w:r>
        <w:rPr>
          <w:rFonts w:eastAsia="黑体"/>
          <w:sz w:val="24"/>
        </w:rPr>
        <w:t xml:space="preserve">  </w:t>
      </w:r>
      <w:r>
        <w:rPr>
          <w:kern w:val="0"/>
          <w:sz w:val="24"/>
        </w:rPr>
        <w:t xml:space="preserve">                          </w:t>
      </w:r>
    </w:p>
    <w:p w14:paraId="1F9D38DE">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sz w:val="24"/>
          <w:szCs w:val="21"/>
        </w:rPr>
        <w:t>《</w:t>
      </w:r>
      <w:r>
        <w:rPr>
          <w:rFonts w:hint="eastAsia"/>
          <w:sz w:val="24"/>
          <w:szCs w:val="21"/>
        </w:rPr>
        <w:t>给小学教师的100个简单的科学实验创意</w:t>
      </w:r>
      <w:r>
        <w:rPr>
          <w:sz w:val="24"/>
        </w:rPr>
        <w:t>》，</w:t>
      </w:r>
      <w:r>
        <w:rPr>
          <w:rFonts w:hint="eastAsia"/>
          <w:sz w:val="24"/>
        </w:rPr>
        <w:t>英 E.丹勒克尔</w:t>
      </w:r>
      <w:r>
        <w:rPr>
          <w:sz w:val="24"/>
        </w:rPr>
        <w:t>，</w:t>
      </w:r>
      <w:r>
        <w:rPr>
          <w:rFonts w:hint="eastAsia"/>
          <w:sz w:val="24"/>
        </w:rPr>
        <w:t>中国青年出版社</w:t>
      </w:r>
      <w:r>
        <w:rPr>
          <w:sz w:val="24"/>
        </w:rPr>
        <w:t>，20</w:t>
      </w:r>
      <w:r>
        <w:rPr>
          <w:rFonts w:hint="eastAsia"/>
          <w:sz w:val="24"/>
        </w:rPr>
        <w:t>16第1版</w:t>
      </w:r>
    </w:p>
    <w:p w14:paraId="25441A90">
      <w:pPr>
        <w:spacing w:line="360" w:lineRule="auto"/>
        <w:ind w:firstLine="482" w:firstLineChars="200"/>
        <w:rPr>
          <w:bCs/>
          <w:kern w:val="0"/>
          <w:sz w:val="24"/>
        </w:rPr>
      </w:pPr>
      <w:r>
        <w:rPr>
          <w:b/>
          <w:bCs/>
          <w:kern w:val="0"/>
          <w:sz w:val="24"/>
        </w:rPr>
        <w:t>课程归口：</w:t>
      </w:r>
      <w:r>
        <w:rPr>
          <w:rFonts w:hint="eastAsia"/>
          <w:kern w:val="0"/>
          <w:sz w:val="24"/>
        </w:rPr>
        <w:t>师范学院</w:t>
      </w:r>
    </w:p>
    <w:p w14:paraId="36D00593">
      <w:pPr>
        <w:spacing w:line="360" w:lineRule="auto"/>
        <w:ind w:firstLine="482" w:firstLineChars="200"/>
        <w:rPr>
          <w:kern w:val="0"/>
          <w:sz w:val="24"/>
        </w:rPr>
      </w:pPr>
      <w:r>
        <w:rPr>
          <w:b/>
          <w:bCs/>
          <w:kern w:val="0"/>
          <w:sz w:val="24"/>
        </w:rPr>
        <w:t>课程的性质与任务</w:t>
      </w:r>
      <w:r>
        <w:rPr>
          <w:rFonts w:hint="eastAsia"/>
          <w:b/>
          <w:bCs/>
          <w:kern w:val="0"/>
          <w:sz w:val="24"/>
        </w:rPr>
        <w:t>：</w:t>
      </w:r>
      <w:r>
        <w:rPr>
          <w:rFonts w:hint="eastAsia"/>
          <w:kern w:val="0"/>
          <w:sz w:val="24"/>
        </w:rPr>
        <w:t>本课程是小学教育（理）专业的一门专业选修课程。通过本课程的学习，学生能以正确的小学科学教育思想为指导，明确小学科学实验课程的性质、理念和目标，理解小学课程内容，掌握小学科学实验课程的一般原理和教学流程，并将理论付诸实践，从而提高小学科学实验教学的指导能力。</w:t>
      </w:r>
    </w:p>
    <w:p w14:paraId="297C9315">
      <w:pPr>
        <w:spacing w:line="360" w:lineRule="auto"/>
        <w:ind w:firstLine="480" w:firstLineChars="200"/>
        <w:rPr>
          <w:rFonts w:hint="eastAsia"/>
          <w:kern w:val="0"/>
          <w:sz w:val="24"/>
        </w:rPr>
      </w:pPr>
    </w:p>
    <w:p w14:paraId="1BDA9150">
      <w:pPr>
        <w:spacing w:line="360" w:lineRule="auto"/>
        <w:ind w:firstLine="562" w:firstLineChars="200"/>
        <w:rPr>
          <w:b/>
          <w:sz w:val="28"/>
          <w:szCs w:val="28"/>
        </w:rPr>
      </w:pPr>
      <w:r>
        <w:rPr>
          <w:rFonts w:hint="eastAsia"/>
          <w:b/>
          <w:sz w:val="28"/>
          <w:szCs w:val="28"/>
        </w:rPr>
        <w:t>二</w:t>
      </w:r>
      <w:r>
        <w:rPr>
          <w:b/>
          <w:sz w:val="28"/>
          <w:szCs w:val="28"/>
        </w:rPr>
        <w:t>、课程目标</w:t>
      </w:r>
    </w:p>
    <w:p w14:paraId="0E9D8B67">
      <w:pPr>
        <w:spacing w:line="360" w:lineRule="auto"/>
        <w:ind w:left="418" w:leftChars="199" w:firstLine="44"/>
        <w:jc w:val="left"/>
        <w:rPr>
          <w:rFonts w:hint="eastAsia"/>
          <w:sz w:val="24"/>
        </w:rPr>
      </w:pPr>
      <w:r>
        <w:rPr>
          <w:rFonts w:hint="eastAsia"/>
          <w:sz w:val="24"/>
        </w:rPr>
        <w:t>目标1.了解科学实验课程的科学精神。</w:t>
      </w:r>
      <w:r>
        <w:rPr>
          <w:color w:val="000000"/>
          <w:sz w:val="24"/>
        </w:rPr>
        <w:t>掌握</w:t>
      </w:r>
      <w:r>
        <w:rPr>
          <w:rFonts w:hint="eastAsia"/>
          <w:color w:val="000000"/>
          <w:sz w:val="24"/>
        </w:rPr>
        <w:t>科学实验</w:t>
      </w:r>
      <w:r>
        <w:rPr>
          <w:color w:val="000000"/>
          <w:sz w:val="24"/>
        </w:rPr>
        <w:t>的基本知识、原理和技能，理解</w:t>
      </w:r>
      <w:r>
        <w:rPr>
          <w:rFonts w:hint="eastAsia"/>
          <w:color w:val="000000"/>
          <w:sz w:val="24"/>
        </w:rPr>
        <w:t>科学实验</w:t>
      </w:r>
      <w:r>
        <w:rPr>
          <w:color w:val="000000"/>
          <w:sz w:val="24"/>
        </w:rPr>
        <w:t>的知识体系。</w:t>
      </w:r>
    </w:p>
    <w:p w14:paraId="76DC6C8A">
      <w:pPr>
        <w:spacing w:line="360" w:lineRule="auto"/>
        <w:ind w:firstLine="482"/>
        <w:jc w:val="left"/>
        <w:rPr>
          <w:sz w:val="24"/>
        </w:rPr>
      </w:pPr>
      <w:r>
        <w:rPr>
          <w:rFonts w:hint="eastAsia"/>
          <w:sz w:val="24"/>
        </w:rPr>
        <w:t>目标2.</w:t>
      </w:r>
      <w:r>
        <w:rPr>
          <w:sz w:val="24"/>
        </w:rPr>
        <w:t>掌握</w:t>
      </w:r>
      <w:r>
        <w:rPr>
          <w:rFonts w:hint="eastAsia"/>
          <w:sz w:val="24"/>
        </w:rPr>
        <w:t>科学实验课</w:t>
      </w:r>
      <w:r>
        <w:rPr>
          <w:sz w:val="24"/>
        </w:rPr>
        <w:t>教师基本功技能，包括</w:t>
      </w:r>
      <w:r>
        <w:rPr>
          <w:rFonts w:hint="eastAsia"/>
          <w:sz w:val="24"/>
        </w:rPr>
        <w:t>实验</w:t>
      </w:r>
      <w:r>
        <w:rPr>
          <w:sz w:val="24"/>
        </w:rPr>
        <w:t>技能、</w:t>
      </w:r>
      <w:r>
        <w:rPr>
          <w:rFonts w:hint="eastAsia"/>
          <w:sz w:val="24"/>
        </w:rPr>
        <w:t>动手操作</w:t>
      </w:r>
      <w:r>
        <w:rPr>
          <w:sz w:val="24"/>
        </w:rPr>
        <w:t>技能等。</w:t>
      </w:r>
    </w:p>
    <w:p w14:paraId="6A5D3520">
      <w:pPr>
        <w:spacing w:line="360" w:lineRule="auto"/>
        <w:ind w:firstLine="482"/>
        <w:jc w:val="left"/>
        <w:rPr>
          <w:rFonts w:hint="eastAsia"/>
          <w:sz w:val="24"/>
        </w:rPr>
      </w:pPr>
      <w:r>
        <w:rPr>
          <w:rFonts w:hint="eastAsia"/>
          <w:sz w:val="24"/>
        </w:rPr>
        <w:t>目标3.</w:t>
      </w:r>
      <w:r>
        <w:rPr>
          <w:color w:val="000000"/>
          <w:sz w:val="24"/>
        </w:rPr>
        <w:t>具备结合学科教学进行育人的意识与能力。</w:t>
      </w:r>
    </w:p>
    <w:p w14:paraId="7717C636">
      <w:pPr>
        <w:spacing w:line="360" w:lineRule="auto"/>
        <w:ind w:firstLine="482"/>
        <w:jc w:val="left"/>
        <w:rPr>
          <w:rFonts w:hint="eastAsia"/>
          <w:sz w:val="24"/>
        </w:rPr>
      </w:pPr>
      <w:r>
        <w:rPr>
          <w:rFonts w:hint="eastAsia"/>
          <w:sz w:val="24"/>
        </w:rPr>
        <w:t>目标4.</w:t>
      </w:r>
      <w:r>
        <w:rPr>
          <w:color w:val="000000"/>
          <w:sz w:val="24"/>
        </w:rPr>
        <w:t>理解学校文化和各类课外教育活动的育人内涵和方法，促进小学生全面、健康发展。</w:t>
      </w:r>
    </w:p>
    <w:p w14:paraId="2BD9F469">
      <w:pPr>
        <w:spacing w:line="360" w:lineRule="auto"/>
        <w:ind w:firstLine="480" w:firstLineChars="200"/>
        <w:rPr>
          <w:color w:val="000000"/>
          <w:sz w:val="24"/>
        </w:rPr>
      </w:pPr>
      <w:r>
        <w:rPr>
          <w:color w:val="000000"/>
          <w:sz w:val="24"/>
        </w:rPr>
        <w:t>本课程支撑专业培养计划中毕业要求</w:t>
      </w:r>
      <w:r>
        <w:rPr>
          <w:rFonts w:hint="eastAsia"/>
          <w:color w:val="000000"/>
          <w:sz w:val="24"/>
        </w:rPr>
        <w:t>3-3</w:t>
      </w:r>
      <w:r>
        <w:rPr>
          <w:color w:val="000000"/>
          <w:sz w:val="24"/>
        </w:rPr>
        <w:t>、</w:t>
      </w:r>
      <w:r>
        <w:rPr>
          <w:rFonts w:hint="eastAsia"/>
          <w:color w:val="000000"/>
          <w:sz w:val="24"/>
        </w:rPr>
        <w:t>毕业要求4-3、</w:t>
      </w:r>
      <w:r>
        <w:rPr>
          <w:color w:val="000000"/>
          <w:sz w:val="24"/>
        </w:rPr>
        <w:t>毕业要求</w:t>
      </w:r>
      <w:r>
        <w:rPr>
          <w:rFonts w:hint="eastAsia"/>
          <w:color w:val="000000"/>
          <w:sz w:val="24"/>
        </w:rPr>
        <w:t>6-2</w:t>
      </w:r>
      <w:r>
        <w:rPr>
          <w:color w:val="000000"/>
          <w:sz w:val="24"/>
        </w:rPr>
        <w:t>、毕业要求</w:t>
      </w:r>
      <w:r>
        <w:rPr>
          <w:rFonts w:hint="eastAsia"/>
          <w:color w:val="000000"/>
          <w:sz w:val="24"/>
        </w:rPr>
        <w:t>6-3</w:t>
      </w:r>
      <w:r>
        <w:rPr>
          <w:color w:val="000000"/>
          <w:sz w:val="24"/>
        </w:rPr>
        <w:t>、</w:t>
      </w:r>
      <w:r>
        <w:rPr>
          <w:rFonts w:hint="eastAsia"/>
          <w:color w:val="000000"/>
          <w:sz w:val="24"/>
        </w:rPr>
        <w:t>对应关系如表所示。</w:t>
      </w:r>
      <w:r>
        <w:rPr>
          <w:rFonts w:hint="eastAsia"/>
          <w:color w:val="000000"/>
          <w:sz w:val="24"/>
        </w:rPr>
        <w:tab/>
      </w:r>
    </w:p>
    <w:p w14:paraId="7E356EAF">
      <w:pPr>
        <w:spacing w:line="360" w:lineRule="auto"/>
        <w:ind w:firstLine="480" w:firstLineChars="200"/>
        <w:rPr>
          <w:color w:val="000000"/>
          <w:sz w:val="24"/>
        </w:rPr>
      </w:pPr>
    </w:p>
    <w:p w14:paraId="7C5261D0">
      <w:pPr>
        <w:spacing w:line="360" w:lineRule="auto"/>
        <w:ind w:firstLine="480" w:firstLineChars="200"/>
        <w:rPr>
          <w:color w:val="000000"/>
          <w:sz w:val="24"/>
        </w:rPr>
      </w:pPr>
    </w:p>
    <w:tbl>
      <w:tblPr>
        <w:tblStyle w:val="30"/>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215"/>
        <w:gridCol w:w="4960"/>
      </w:tblGrid>
      <w:tr w14:paraId="69D7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42" w:type="dxa"/>
            <w:noWrap w:val="0"/>
            <w:vAlign w:val="center"/>
          </w:tcPr>
          <w:p w14:paraId="62D4DB30">
            <w:pPr>
              <w:spacing w:line="276" w:lineRule="auto"/>
              <w:jc w:val="center"/>
              <w:rPr>
                <w:rFonts w:hint="eastAsia" w:ascii="宋体" w:hAnsi="宋体"/>
                <w:b/>
                <w:bCs/>
                <w:color w:val="000000"/>
                <w:szCs w:val="21"/>
              </w:rPr>
            </w:pPr>
            <w:r>
              <w:rPr>
                <w:rFonts w:hint="eastAsia" w:ascii="宋体" w:hAnsi="宋体"/>
                <w:b/>
                <w:bCs/>
                <w:color w:val="000000"/>
                <w:szCs w:val="21"/>
              </w:rPr>
              <w:t>课程目标</w:t>
            </w:r>
          </w:p>
        </w:tc>
        <w:tc>
          <w:tcPr>
            <w:tcW w:w="2215" w:type="dxa"/>
            <w:noWrap w:val="0"/>
            <w:vAlign w:val="center"/>
          </w:tcPr>
          <w:p w14:paraId="2767D8B2">
            <w:pPr>
              <w:spacing w:line="276" w:lineRule="auto"/>
              <w:jc w:val="center"/>
              <w:rPr>
                <w:rFonts w:hint="eastAsia" w:ascii="宋体" w:hAnsi="宋体"/>
                <w:b/>
                <w:bCs/>
                <w:color w:val="000000"/>
                <w:szCs w:val="21"/>
              </w:rPr>
            </w:pPr>
            <w:r>
              <w:rPr>
                <w:rFonts w:hint="eastAsia" w:ascii="宋体" w:hAnsi="宋体"/>
                <w:b/>
                <w:bCs/>
                <w:color w:val="000000"/>
                <w:szCs w:val="21"/>
              </w:rPr>
              <w:t>支撑的毕业要求</w:t>
            </w:r>
          </w:p>
        </w:tc>
        <w:tc>
          <w:tcPr>
            <w:tcW w:w="4960" w:type="dxa"/>
            <w:noWrap w:val="0"/>
            <w:vAlign w:val="center"/>
          </w:tcPr>
          <w:p w14:paraId="604387C9">
            <w:pPr>
              <w:spacing w:line="276" w:lineRule="auto"/>
              <w:ind w:firstLine="422" w:firstLineChars="200"/>
              <w:jc w:val="center"/>
              <w:rPr>
                <w:rFonts w:hint="eastAsia" w:ascii="宋体" w:hAnsi="宋体"/>
                <w:b/>
                <w:bCs/>
                <w:color w:val="000000"/>
                <w:szCs w:val="21"/>
              </w:rPr>
            </w:pPr>
            <w:r>
              <w:rPr>
                <w:rFonts w:hint="eastAsia" w:ascii="宋体" w:hAnsi="宋体"/>
                <w:b/>
                <w:bCs/>
                <w:color w:val="000000"/>
                <w:szCs w:val="21"/>
              </w:rPr>
              <w:t>支撑的毕业要求指标点</w:t>
            </w:r>
          </w:p>
        </w:tc>
      </w:tr>
      <w:tr w14:paraId="035D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42" w:type="dxa"/>
            <w:noWrap w:val="0"/>
            <w:vAlign w:val="center"/>
          </w:tcPr>
          <w:p w14:paraId="673844BC">
            <w:pPr>
              <w:spacing w:line="276" w:lineRule="auto"/>
              <w:jc w:val="center"/>
              <w:rPr>
                <w:rFonts w:hint="eastAsia" w:ascii="宋体" w:hAnsi="宋体" w:cs="宋体"/>
                <w:bCs/>
                <w:color w:val="000000"/>
                <w:szCs w:val="21"/>
              </w:rPr>
            </w:pPr>
            <w:r>
              <w:rPr>
                <w:rFonts w:hint="eastAsia" w:ascii="宋体" w:hAnsi="宋体" w:cs="宋体"/>
                <w:bCs/>
                <w:color w:val="000000"/>
                <w:szCs w:val="21"/>
              </w:rPr>
              <w:t>课程目标1</w:t>
            </w:r>
          </w:p>
        </w:tc>
        <w:tc>
          <w:tcPr>
            <w:tcW w:w="2215" w:type="dxa"/>
            <w:noWrap w:val="0"/>
            <w:vAlign w:val="center"/>
          </w:tcPr>
          <w:p w14:paraId="2E1D01D1">
            <w:pPr>
              <w:spacing w:line="276" w:lineRule="auto"/>
              <w:rPr>
                <w:rFonts w:hint="eastAsia"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 xml:space="preserve">：学科素养  </w:t>
            </w:r>
          </w:p>
        </w:tc>
        <w:tc>
          <w:tcPr>
            <w:tcW w:w="4960" w:type="dxa"/>
            <w:noWrap w:val="0"/>
            <w:vAlign w:val="center"/>
          </w:tcPr>
          <w:p w14:paraId="3EC2EE22">
            <w:pPr>
              <w:spacing w:line="276" w:lineRule="auto"/>
              <w:jc w:val="left"/>
              <w:rPr>
                <w:rFonts w:hint="eastAsia" w:ascii="宋体" w:hAnsi="宋体"/>
                <w:color w:val="000000"/>
                <w:kern w:val="0"/>
                <w:sz w:val="18"/>
                <w:szCs w:val="18"/>
              </w:rPr>
            </w:pPr>
            <w:r>
              <w:rPr>
                <w:kern w:val="0"/>
                <w:szCs w:val="21"/>
              </w:rPr>
              <w:t>指标点</w:t>
            </w:r>
            <w:r>
              <w:rPr>
                <w:szCs w:val="21"/>
              </w:rPr>
              <w:t>3-3：</w:t>
            </w:r>
            <w:r>
              <w:rPr>
                <w:rFonts w:hint="eastAsia"/>
                <w:szCs w:val="21"/>
              </w:rPr>
              <w:t>【熟悉兼教学科】熟悉兼教学科的知识体系，掌握兼教学科的基本知识、原理和技能。</w:t>
            </w:r>
          </w:p>
        </w:tc>
      </w:tr>
      <w:tr w14:paraId="0D54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742" w:type="dxa"/>
            <w:noWrap w:val="0"/>
            <w:vAlign w:val="center"/>
          </w:tcPr>
          <w:p w14:paraId="45A54845">
            <w:pPr>
              <w:spacing w:line="276" w:lineRule="auto"/>
              <w:jc w:val="center"/>
              <w:rPr>
                <w:rFonts w:hint="eastAsia" w:ascii="宋体" w:hAnsi="宋体" w:cs="宋体"/>
                <w:color w:val="000000"/>
                <w:szCs w:val="21"/>
              </w:rPr>
            </w:pPr>
            <w:r>
              <w:rPr>
                <w:rFonts w:hint="eastAsia" w:ascii="宋体" w:hAnsi="宋体" w:cs="宋体"/>
                <w:color w:val="000000"/>
                <w:szCs w:val="21"/>
              </w:rPr>
              <w:t>课程目标2</w:t>
            </w:r>
          </w:p>
        </w:tc>
        <w:tc>
          <w:tcPr>
            <w:tcW w:w="2215" w:type="dxa"/>
            <w:noWrap w:val="0"/>
            <w:vAlign w:val="center"/>
          </w:tcPr>
          <w:p w14:paraId="21A86F29">
            <w:pPr>
              <w:widowControl/>
              <w:spacing w:line="276" w:lineRule="auto"/>
              <w:rPr>
                <w:rFonts w:hint="eastAsia" w:ascii="宋体" w:hAnsi="宋体"/>
                <w:color w:val="000000"/>
                <w:kern w:val="0"/>
                <w:szCs w:val="21"/>
              </w:rPr>
            </w:pPr>
            <w:r>
              <w:rPr>
                <w:rFonts w:hint="eastAsia" w:ascii="宋体" w:hAnsi="宋体"/>
                <w:color w:val="000000"/>
                <w:kern w:val="0"/>
                <w:szCs w:val="21"/>
              </w:rPr>
              <w:t>毕业要求4：</w:t>
            </w:r>
            <w:r>
              <w:rPr>
                <w:szCs w:val="23"/>
              </w:rPr>
              <w:t>教学能力</w:t>
            </w:r>
          </w:p>
        </w:tc>
        <w:tc>
          <w:tcPr>
            <w:tcW w:w="4960" w:type="dxa"/>
            <w:noWrap w:val="0"/>
            <w:vAlign w:val="center"/>
          </w:tcPr>
          <w:p w14:paraId="229BB845">
            <w:pPr>
              <w:spacing w:line="276" w:lineRule="auto"/>
              <w:jc w:val="left"/>
              <w:rPr>
                <w:rFonts w:hint="eastAsia" w:ascii="宋体" w:hAnsi="宋体"/>
                <w:color w:val="000000"/>
                <w:kern w:val="0"/>
                <w:sz w:val="18"/>
                <w:szCs w:val="18"/>
              </w:rPr>
            </w:pPr>
            <w:r>
              <w:rPr>
                <w:kern w:val="0"/>
                <w:szCs w:val="21"/>
              </w:rPr>
              <w:t>指标点</w:t>
            </w:r>
            <w:r>
              <w:rPr>
                <w:szCs w:val="21"/>
              </w:rPr>
              <w:t>4-3：</w:t>
            </w:r>
            <w:r>
              <w:rPr>
                <w:rFonts w:hint="eastAsia"/>
                <w:szCs w:val="21"/>
              </w:rPr>
              <w:t>【教师基本功扎实】</w:t>
            </w:r>
            <w:r>
              <w:rPr>
                <w:szCs w:val="21"/>
              </w:rPr>
              <w:t>掌握小学教师基本功技能，包括书写技能、沟通与表达技能、信息技术运用技能等。</w:t>
            </w:r>
          </w:p>
        </w:tc>
      </w:tr>
      <w:tr w14:paraId="41DF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742" w:type="dxa"/>
            <w:noWrap w:val="0"/>
            <w:vAlign w:val="center"/>
          </w:tcPr>
          <w:p w14:paraId="17AA9A62">
            <w:pPr>
              <w:spacing w:line="276" w:lineRule="auto"/>
              <w:jc w:val="center"/>
              <w:rPr>
                <w:rFonts w:hint="eastAsia" w:ascii="宋体" w:hAnsi="宋体" w:cs="宋体"/>
                <w:color w:val="000000"/>
                <w:szCs w:val="21"/>
              </w:rPr>
            </w:pPr>
            <w:r>
              <w:rPr>
                <w:rFonts w:hint="eastAsia" w:ascii="宋体" w:hAnsi="宋体" w:cs="宋体"/>
                <w:color w:val="000000"/>
                <w:szCs w:val="21"/>
              </w:rPr>
              <w:t>课程目标3</w:t>
            </w:r>
          </w:p>
        </w:tc>
        <w:tc>
          <w:tcPr>
            <w:tcW w:w="2215" w:type="dxa"/>
            <w:noWrap w:val="0"/>
            <w:vAlign w:val="center"/>
          </w:tcPr>
          <w:p w14:paraId="3F9DD034">
            <w:pPr>
              <w:spacing w:line="320" w:lineRule="exact"/>
              <w:rPr>
                <w:rFonts w:hint="eastAsia"/>
                <w:szCs w:val="23"/>
              </w:rPr>
            </w:pPr>
            <w:r>
              <w:rPr>
                <w:kern w:val="0"/>
                <w:szCs w:val="21"/>
              </w:rPr>
              <w:t>毕业要求6：</w:t>
            </w:r>
            <w:r>
              <w:rPr>
                <w:szCs w:val="23"/>
              </w:rPr>
              <w:t>综合育人</w:t>
            </w:r>
          </w:p>
        </w:tc>
        <w:tc>
          <w:tcPr>
            <w:tcW w:w="4960" w:type="dxa"/>
            <w:noWrap w:val="0"/>
            <w:vAlign w:val="center"/>
          </w:tcPr>
          <w:p w14:paraId="206215A6">
            <w:pPr>
              <w:spacing w:line="276" w:lineRule="auto"/>
              <w:jc w:val="left"/>
              <w:rPr>
                <w:rFonts w:hint="eastAsia" w:ascii="宋体" w:hAnsi="宋体"/>
                <w:color w:val="000000"/>
                <w:kern w:val="0"/>
                <w:sz w:val="18"/>
                <w:szCs w:val="18"/>
              </w:rPr>
            </w:pPr>
            <w:r>
              <w:rPr>
                <w:color w:val="000000"/>
                <w:kern w:val="0"/>
                <w:szCs w:val="21"/>
              </w:rPr>
              <w:t>指标点</w:t>
            </w:r>
            <w:r>
              <w:rPr>
                <w:color w:val="000000"/>
                <w:szCs w:val="21"/>
              </w:rPr>
              <w:t>6-2：</w:t>
            </w:r>
            <w:r>
              <w:rPr>
                <w:rFonts w:hint="eastAsia"/>
                <w:color w:val="000000"/>
                <w:szCs w:val="21"/>
              </w:rPr>
              <w:t>【胜任学科育人】具有教书育人的意识，理解学科核心素养和拟任教学科课程独特的育人功能，具备结合学科教学进行育人的意识与能力，注重学科教学中思想政治教育的渗透。</w:t>
            </w:r>
          </w:p>
        </w:tc>
      </w:tr>
      <w:tr w14:paraId="2107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42" w:type="dxa"/>
            <w:noWrap w:val="0"/>
            <w:vAlign w:val="center"/>
          </w:tcPr>
          <w:p w14:paraId="087A977B">
            <w:pPr>
              <w:spacing w:line="276" w:lineRule="auto"/>
              <w:jc w:val="center"/>
              <w:rPr>
                <w:rFonts w:hint="eastAsia" w:ascii="宋体" w:hAnsi="宋体" w:cs="宋体"/>
                <w:color w:val="000000"/>
                <w:szCs w:val="21"/>
              </w:rPr>
            </w:pPr>
            <w:r>
              <w:rPr>
                <w:rFonts w:hint="eastAsia" w:ascii="宋体" w:hAnsi="宋体" w:cs="宋体"/>
                <w:color w:val="000000"/>
                <w:szCs w:val="21"/>
              </w:rPr>
              <w:t>课程目标4</w:t>
            </w:r>
          </w:p>
        </w:tc>
        <w:tc>
          <w:tcPr>
            <w:tcW w:w="2215" w:type="dxa"/>
            <w:noWrap w:val="0"/>
            <w:vAlign w:val="center"/>
          </w:tcPr>
          <w:p w14:paraId="49676CE0">
            <w:pPr>
              <w:spacing w:line="276" w:lineRule="auto"/>
              <w:rPr>
                <w:rFonts w:hint="eastAsia" w:ascii="宋体" w:hAnsi="宋体"/>
                <w:color w:val="000000"/>
                <w:spacing w:val="2"/>
                <w:kern w:val="0"/>
                <w:szCs w:val="21"/>
              </w:rPr>
            </w:pPr>
            <w:r>
              <w:rPr>
                <w:rFonts w:hint="eastAsia" w:ascii="宋体" w:hAnsi="宋体"/>
                <w:color w:val="000000"/>
                <w:spacing w:val="2"/>
                <w:kern w:val="0"/>
                <w:szCs w:val="21"/>
              </w:rPr>
              <w:t>毕业要求6：综合育人</w:t>
            </w:r>
          </w:p>
        </w:tc>
        <w:tc>
          <w:tcPr>
            <w:tcW w:w="4960" w:type="dxa"/>
            <w:noWrap w:val="0"/>
            <w:vAlign w:val="center"/>
          </w:tcPr>
          <w:p w14:paraId="1950C6D3">
            <w:pPr>
              <w:spacing w:line="276" w:lineRule="auto"/>
              <w:jc w:val="left"/>
              <w:rPr>
                <w:rFonts w:hint="eastAsia" w:ascii="宋体" w:hAnsi="宋体" w:cs="宋体"/>
                <w:color w:val="000000"/>
                <w:szCs w:val="21"/>
              </w:rPr>
            </w:pPr>
            <w:r>
              <w:rPr>
                <w:kern w:val="0"/>
                <w:szCs w:val="21"/>
              </w:rPr>
              <w:t>指标点</w:t>
            </w:r>
            <w:r>
              <w:rPr>
                <w:szCs w:val="21"/>
              </w:rPr>
              <w:t>6-3：</w:t>
            </w:r>
            <w:r>
              <w:rPr>
                <w:rFonts w:hint="eastAsia"/>
                <w:szCs w:val="21"/>
              </w:rPr>
              <w:t>【掌握育人方法】了解课外活动组织和管理知识，掌握学校文化和各类课外教育活动的育人内涵和方法，参与组织主题教育、少先队活动和社团活动，促进小学生全面、健康发展。</w:t>
            </w:r>
          </w:p>
        </w:tc>
      </w:tr>
    </w:tbl>
    <w:p w14:paraId="27BE0B33">
      <w:pPr>
        <w:spacing w:line="360" w:lineRule="auto"/>
        <w:rPr>
          <w:rFonts w:hint="eastAsia"/>
          <w:b/>
          <w:sz w:val="28"/>
          <w:szCs w:val="28"/>
        </w:rPr>
      </w:pPr>
    </w:p>
    <w:p w14:paraId="07D42352">
      <w:pPr>
        <w:spacing w:line="360" w:lineRule="auto"/>
        <w:ind w:firstLine="562" w:firstLineChars="200"/>
        <w:rPr>
          <w:sz w:val="24"/>
        </w:rPr>
      </w:pPr>
      <w:r>
        <w:rPr>
          <w:rFonts w:hint="eastAsia"/>
          <w:b/>
          <w:sz w:val="28"/>
          <w:szCs w:val="28"/>
        </w:rPr>
        <w:t>三</w:t>
      </w:r>
      <w:r>
        <w:rPr>
          <w:b/>
          <w:sz w:val="28"/>
          <w:szCs w:val="28"/>
        </w:rPr>
        <w:t>、课程内容及要求</w:t>
      </w:r>
    </w:p>
    <w:p w14:paraId="502D3528">
      <w:pPr>
        <w:spacing w:line="360" w:lineRule="auto"/>
        <w:rPr>
          <w:rFonts w:hint="eastAsia"/>
          <w:sz w:val="24"/>
        </w:rPr>
      </w:pPr>
      <w:r>
        <w:rPr>
          <w:rFonts w:hint="eastAsia"/>
          <w:sz w:val="24"/>
        </w:rPr>
        <w:t>（一）绪论</w:t>
      </w:r>
    </w:p>
    <w:p w14:paraId="3750F579">
      <w:pPr>
        <w:spacing w:line="360" w:lineRule="auto"/>
        <w:ind w:firstLine="480" w:firstLineChars="200"/>
        <w:rPr>
          <w:rFonts w:hint="eastAsia"/>
          <w:sz w:val="24"/>
        </w:rPr>
      </w:pPr>
      <w:r>
        <w:rPr>
          <w:rFonts w:hint="eastAsia"/>
          <w:sz w:val="24"/>
        </w:rPr>
        <w:t>1．教学内容</w:t>
      </w:r>
    </w:p>
    <w:p w14:paraId="455B6619">
      <w:pPr>
        <w:spacing w:line="360" w:lineRule="auto"/>
        <w:ind w:firstLine="480" w:firstLineChars="200"/>
        <w:rPr>
          <w:rFonts w:ascii="宋体" w:hAnsi="宋体"/>
          <w:sz w:val="24"/>
        </w:rPr>
      </w:pPr>
      <w:r>
        <w:rPr>
          <w:rFonts w:hint="eastAsia" w:ascii="宋体" w:hAnsi="宋体"/>
          <w:sz w:val="24"/>
        </w:rPr>
        <w:t>（1）</w:t>
      </w:r>
      <w:r>
        <w:rPr>
          <w:rFonts w:ascii="宋体" w:hAnsi="宋体" w:cs="Tahoma"/>
          <w:color w:val="333333"/>
          <w:kern w:val="0"/>
          <w:sz w:val="24"/>
        </w:rPr>
        <w:t>小学科学试验与制作的基本理论和内容简介</w:t>
      </w:r>
    </w:p>
    <w:p w14:paraId="788C0AF8">
      <w:pPr>
        <w:spacing w:line="360" w:lineRule="auto"/>
        <w:ind w:firstLine="480" w:firstLineChars="200"/>
        <w:rPr>
          <w:rFonts w:hint="eastAsia" w:ascii="宋体" w:hAnsi="宋体"/>
          <w:sz w:val="24"/>
        </w:rPr>
      </w:pPr>
      <w:r>
        <w:rPr>
          <w:rFonts w:hint="eastAsia" w:ascii="宋体" w:hAnsi="宋体"/>
          <w:sz w:val="24"/>
        </w:rPr>
        <w:t>（2）</w:t>
      </w:r>
      <w:r>
        <w:rPr>
          <w:rFonts w:ascii="宋体" w:hAnsi="宋体" w:cs="Tahoma"/>
          <w:color w:val="333333"/>
          <w:kern w:val="0"/>
          <w:sz w:val="24"/>
        </w:rPr>
        <w:t>小学科学教育的发展趋势</w:t>
      </w:r>
    </w:p>
    <w:p w14:paraId="59FFF603">
      <w:pPr>
        <w:spacing w:line="360" w:lineRule="auto"/>
        <w:ind w:firstLine="480" w:firstLineChars="200"/>
        <w:rPr>
          <w:rFonts w:hint="eastAsia" w:ascii="宋体" w:hAnsi="宋体"/>
          <w:sz w:val="24"/>
        </w:rPr>
      </w:pPr>
      <w:r>
        <w:rPr>
          <w:rFonts w:hint="eastAsia" w:ascii="宋体" w:hAnsi="宋体"/>
          <w:sz w:val="24"/>
        </w:rPr>
        <w:t>（3）</w:t>
      </w:r>
      <w:r>
        <w:rPr>
          <w:rFonts w:ascii="宋体" w:hAnsi="宋体" w:cs="Tahoma"/>
          <w:color w:val="333333"/>
          <w:kern w:val="0"/>
          <w:sz w:val="24"/>
        </w:rPr>
        <w:t>探究学习理论</w:t>
      </w:r>
    </w:p>
    <w:p w14:paraId="1FF1F356">
      <w:pPr>
        <w:spacing w:line="360" w:lineRule="auto"/>
        <w:ind w:firstLine="480" w:firstLineChars="200"/>
        <w:rPr>
          <w:rFonts w:hint="eastAsia" w:ascii="宋体" w:hAnsi="宋体"/>
          <w:sz w:val="24"/>
        </w:rPr>
      </w:pPr>
      <w:r>
        <w:rPr>
          <w:rFonts w:hint="eastAsia" w:ascii="宋体" w:hAnsi="宋体"/>
          <w:sz w:val="24"/>
        </w:rPr>
        <w:t>（4）</w:t>
      </w:r>
      <w:r>
        <w:rPr>
          <w:rFonts w:ascii="宋体" w:hAnsi="宋体" w:cs="Tahoma"/>
          <w:color w:val="333333"/>
          <w:kern w:val="0"/>
          <w:sz w:val="24"/>
        </w:rPr>
        <w:t>小学科学教育的内容、课程的安排与要求。</w:t>
      </w:r>
    </w:p>
    <w:p w14:paraId="483D430C">
      <w:pPr>
        <w:spacing w:line="360" w:lineRule="auto"/>
        <w:ind w:firstLine="480" w:firstLineChars="200"/>
        <w:rPr>
          <w:rFonts w:hint="eastAsia"/>
          <w:sz w:val="24"/>
        </w:rPr>
      </w:pPr>
      <w:r>
        <w:rPr>
          <w:rFonts w:hint="eastAsia"/>
          <w:sz w:val="24"/>
        </w:rPr>
        <w:t>2．基本要求</w:t>
      </w:r>
    </w:p>
    <w:p w14:paraId="714B7E27">
      <w:pPr>
        <w:spacing w:line="360" w:lineRule="auto"/>
        <w:ind w:firstLine="720" w:firstLineChars="300"/>
        <w:rPr>
          <w:rFonts w:hint="eastAsia" w:ascii="宋体" w:hAnsi="宋体"/>
          <w:sz w:val="24"/>
        </w:rPr>
      </w:pPr>
      <w:r>
        <w:rPr>
          <w:rFonts w:hint="eastAsia" w:ascii="宋体" w:hAnsi="宋体"/>
          <w:sz w:val="24"/>
        </w:rPr>
        <w:t>（1）了解科学实验课程对于小学教育专业的意义。</w:t>
      </w:r>
    </w:p>
    <w:p w14:paraId="40A941D9">
      <w:pPr>
        <w:spacing w:line="360" w:lineRule="auto"/>
        <w:rPr>
          <w:rFonts w:ascii="宋体" w:hAnsi="宋体" w:cs="Tahoma"/>
          <w:bCs/>
          <w:color w:val="333333"/>
          <w:kern w:val="0"/>
          <w:sz w:val="24"/>
        </w:rPr>
      </w:pPr>
      <w:r>
        <w:rPr>
          <w:rFonts w:hint="eastAsia"/>
          <w:sz w:val="24"/>
        </w:rPr>
        <w:t>（二）</w:t>
      </w:r>
      <w:r>
        <w:rPr>
          <w:rFonts w:ascii="宋体" w:hAnsi="宋体" w:cs="Tahoma"/>
          <w:bCs/>
          <w:color w:val="333333"/>
          <w:kern w:val="0"/>
          <w:sz w:val="24"/>
        </w:rPr>
        <w:t>小学科学</w:t>
      </w:r>
      <w:r>
        <w:rPr>
          <w:rFonts w:hint="eastAsia" w:ascii="宋体" w:hAnsi="宋体" w:cs="Tahoma"/>
          <w:bCs/>
          <w:color w:val="333333"/>
          <w:kern w:val="0"/>
          <w:sz w:val="24"/>
        </w:rPr>
        <w:t>实验</w:t>
      </w:r>
      <w:r>
        <w:rPr>
          <w:rFonts w:ascii="宋体" w:hAnsi="宋体" w:cs="Tahoma"/>
          <w:bCs/>
          <w:color w:val="333333"/>
          <w:kern w:val="0"/>
          <w:sz w:val="24"/>
        </w:rPr>
        <w:t>与制作</w:t>
      </w:r>
    </w:p>
    <w:p w14:paraId="7E31B956">
      <w:pPr>
        <w:spacing w:line="360" w:lineRule="auto"/>
        <w:ind w:firstLine="480" w:firstLineChars="200"/>
        <w:rPr>
          <w:rFonts w:hint="eastAsia"/>
          <w:sz w:val="24"/>
        </w:rPr>
      </w:pPr>
      <w:r>
        <w:rPr>
          <w:rFonts w:hint="eastAsia"/>
          <w:sz w:val="24"/>
        </w:rPr>
        <w:t>1．教学内容</w:t>
      </w:r>
    </w:p>
    <w:p w14:paraId="5BC109B3">
      <w:pPr>
        <w:spacing w:line="360" w:lineRule="auto"/>
        <w:ind w:firstLine="480" w:firstLineChars="200"/>
        <w:rPr>
          <w:rStyle w:val="269"/>
          <w:rFonts w:ascii="宋体" w:hAnsi="宋体"/>
          <w:sz w:val="24"/>
        </w:rPr>
      </w:pPr>
      <w:r>
        <w:rPr>
          <w:rFonts w:hint="eastAsia" w:ascii="宋体" w:hAnsi="宋体"/>
          <w:sz w:val="24"/>
        </w:rPr>
        <w:t>（1）</w:t>
      </w:r>
      <w:r>
        <w:rPr>
          <w:rStyle w:val="269"/>
          <w:rFonts w:hint="eastAsia" w:ascii="宋体" w:hAnsi="宋体"/>
          <w:sz w:val="24"/>
        </w:rPr>
        <w:t>叶脉标本的制作</w:t>
      </w:r>
    </w:p>
    <w:p w14:paraId="474D67FE">
      <w:pPr>
        <w:spacing w:line="360" w:lineRule="auto"/>
        <w:ind w:firstLine="480" w:firstLineChars="200"/>
        <w:rPr>
          <w:rFonts w:ascii="宋体" w:hAnsi="宋体"/>
          <w:sz w:val="24"/>
        </w:rPr>
      </w:pPr>
      <w:r>
        <w:rPr>
          <w:rStyle w:val="269"/>
          <w:rFonts w:hint="eastAsia" w:ascii="宋体" w:hAnsi="宋体"/>
          <w:sz w:val="24"/>
        </w:rPr>
        <w:t>（2）骨骼标本制作的操作过程</w:t>
      </w:r>
    </w:p>
    <w:p w14:paraId="1621B749">
      <w:pPr>
        <w:pStyle w:val="27"/>
        <w:ind w:firstLine="480" w:firstLineChars="200"/>
        <w:rPr>
          <w:rStyle w:val="269"/>
        </w:rPr>
      </w:pPr>
      <w:r>
        <w:rPr>
          <w:rFonts w:hint="eastAsia"/>
        </w:rPr>
        <w:t>（3）</w:t>
      </w:r>
      <w:r>
        <w:rPr>
          <w:rStyle w:val="269"/>
          <w:rFonts w:hint="eastAsia"/>
        </w:rPr>
        <w:t>水的实验、感官的实验、电的实验、空气的实验、光的实验、趣味实验、</w:t>
      </w:r>
    </w:p>
    <w:p w14:paraId="5C056D37">
      <w:pPr>
        <w:spacing w:line="360" w:lineRule="auto"/>
        <w:ind w:firstLine="1080" w:firstLineChars="450"/>
        <w:rPr>
          <w:rFonts w:hint="eastAsia" w:ascii="宋体" w:hAnsi="宋体"/>
          <w:sz w:val="24"/>
        </w:rPr>
      </w:pPr>
      <w:r>
        <w:rPr>
          <w:rStyle w:val="269"/>
          <w:rFonts w:hint="eastAsia" w:ascii="宋体" w:hAnsi="宋体"/>
          <w:sz w:val="24"/>
        </w:rPr>
        <w:t>力的实验。</w:t>
      </w:r>
    </w:p>
    <w:p w14:paraId="31F051D5">
      <w:pPr>
        <w:spacing w:line="360" w:lineRule="auto"/>
        <w:ind w:firstLine="480" w:firstLineChars="200"/>
        <w:rPr>
          <w:rFonts w:hint="eastAsia"/>
          <w:sz w:val="24"/>
        </w:rPr>
      </w:pPr>
      <w:r>
        <w:rPr>
          <w:rFonts w:hint="eastAsia"/>
          <w:sz w:val="24"/>
        </w:rPr>
        <w:t>2．基本要求</w:t>
      </w:r>
    </w:p>
    <w:p w14:paraId="21FD89A9">
      <w:pPr>
        <w:spacing w:line="360" w:lineRule="auto"/>
        <w:ind w:firstLine="480" w:firstLineChars="200"/>
        <w:rPr>
          <w:rFonts w:hint="eastAsia" w:ascii="宋体" w:hAnsi="宋体"/>
          <w:sz w:val="24"/>
        </w:rPr>
      </w:pPr>
      <w:r>
        <w:rPr>
          <w:rFonts w:hint="eastAsia" w:ascii="宋体" w:hAnsi="宋体"/>
          <w:sz w:val="24"/>
        </w:rPr>
        <w:t>（1）通过动手操作，</w:t>
      </w:r>
      <w:r>
        <w:rPr>
          <w:rFonts w:ascii="宋体" w:hAnsi="宋体" w:cs="Tahoma"/>
          <w:color w:val="333333"/>
          <w:kern w:val="0"/>
          <w:sz w:val="24"/>
        </w:rPr>
        <w:t>学会制作完整叶脉标本，并发挥想象力，将叶脉染上颜色和包装。</w:t>
      </w:r>
    </w:p>
    <w:p w14:paraId="044DB30A">
      <w:pPr>
        <w:spacing w:line="360" w:lineRule="auto"/>
        <w:ind w:firstLine="480" w:firstLineChars="200"/>
        <w:rPr>
          <w:rFonts w:ascii="宋体" w:hAnsi="宋体"/>
          <w:sz w:val="24"/>
        </w:rPr>
      </w:pPr>
      <w:r>
        <w:rPr>
          <w:rFonts w:hint="eastAsia" w:ascii="宋体" w:hAnsi="宋体"/>
          <w:sz w:val="24"/>
        </w:rPr>
        <w:t>（2）通过动手操作，学会生物标本的制作方法，制作出一具完好的鲫鱼骨骼标本</w:t>
      </w:r>
    </w:p>
    <w:p w14:paraId="660B2A71">
      <w:pPr>
        <w:spacing w:line="390" w:lineRule="exact"/>
        <w:ind w:left="1079" w:leftChars="228" w:hanging="600" w:hangingChars="250"/>
        <w:rPr>
          <w:rFonts w:hint="eastAsia" w:ascii="宋体" w:hAnsi="宋体"/>
          <w:sz w:val="24"/>
        </w:rPr>
      </w:pPr>
      <w:r>
        <w:rPr>
          <w:rFonts w:hint="eastAsia" w:ascii="宋体" w:hAnsi="宋体"/>
          <w:sz w:val="24"/>
        </w:rPr>
        <w:t>（3）在了解小学科学课的基础上，通过动手操作系列小实验，初步学会科学探究的方法。</w:t>
      </w:r>
    </w:p>
    <w:p w14:paraId="17974FEA">
      <w:pPr>
        <w:spacing w:line="360" w:lineRule="auto"/>
        <w:rPr>
          <w:rFonts w:hint="eastAsia" w:ascii="宋体" w:hAnsi="宋体"/>
          <w:sz w:val="24"/>
        </w:rPr>
      </w:pPr>
      <w:r>
        <w:rPr>
          <w:rFonts w:hint="eastAsia" w:ascii="宋体" w:hAnsi="宋体"/>
          <w:sz w:val="24"/>
        </w:rPr>
        <w:t>（三）</w:t>
      </w:r>
      <w:r>
        <w:rPr>
          <w:rFonts w:ascii="宋体" w:hAnsi="宋体"/>
          <w:sz w:val="24"/>
        </w:rPr>
        <w:t>小学科学</w:t>
      </w:r>
      <w:r>
        <w:rPr>
          <w:rFonts w:hint="eastAsia" w:ascii="宋体" w:hAnsi="宋体"/>
          <w:sz w:val="24"/>
        </w:rPr>
        <w:t>S</w:t>
      </w:r>
      <w:r>
        <w:rPr>
          <w:rFonts w:ascii="宋体" w:hAnsi="宋体"/>
          <w:sz w:val="24"/>
        </w:rPr>
        <w:t>TEM</w:t>
      </w:r>
      <w:r>
        <w:rPr>
          <w:rFonts w:hint="eastAsia" w:ascii="宋体" w:hAnsi="宋体"/>
          <w:sz w:val="24"/>
        </w:rPr>
        <w:t>实验</w:t>
      </w:r>
      <w:r>
        <w:rPr>
          <w:rFonts w:ascii="宋体" w:hAnsi="宋体"/>
          <w:sz w:val="24"/>
        </w:rPr>
        <w:t>与</w:t>
      </w:r>
      <w:r>
        <w:rPr>
          <w:rFonts w:hint="eastAsia" w:ascii="宋体" w:hAnsi="宋体"/>
          <w:sz w:val="24"/>
        </w:rPr>
        <w:t>设计</w:t>
      </w:r>
    </w:p>
    <w:p w14:paraId="5A9DB4FA">
      <w:pPr>
        <w:spacing w:line="360" w:lineRule="auto"/>
        <w:ind w:firstLine="480" w:firstLineChars="200"/>
        <w:rPr>
          <w:rFonts w:ascii="宋体" w:hAnsi="宋体"/>
          <w:sz w:val="24"/>
        </w:rPr>
      </w:pPr>
      <w:r>
        <w:rPr>
          <w:rFonts w:hint="eastAsia" w:ascii="宋体" w:hAnsi="宋体"/>
          <w:sz w:val="24"/>
        </w:rPr>
        <w:t>1．教学内容</w:t>
      </w:r>
    </w:p>
    <w:p w14:paraId="2F62B5C1">
      <w:pPr>
        <w:spacing w:line="360" w:lineRule="auto"/>
        <w:ind w:firstLine="480" w:firstLineChars="200"/>
        <w:rPr>
          <w:rFonts w:hint="eastAsia" w:ascii="宋体" w:hAnsi="宋体"/>
          <w:sz w:val="24"/>
        </w:rPr>
      </w:pPr>
      <w:r>
        <w:rPr>
          <w:rFonts w:hint="eastAsia" w:ascii="宋体" w:hAnsi="宋体"/>
          <w:sz w:val="24"/>
        </w:rPr>
        <w:t>（1）S</w:t>
      </w:r>
      <w:r>
        <w:rPr>
          <w:rFonts w:ascii="宋体" w:hAnsi="宋体"/>
          <w:sz w:val="24"/>
        </w:rPr>
        <w:t>TEM</w:t>
      </w:r>
      <w:r>
        <w:rPr>
          <w:rFonts w:hint="eastAsia" w:ascii="宋体" w:hAnsi="宋体"/>
          <w:sz w:val="24"/>
        </w:rPr>
        <w:t>的基本理论和发展历程</w:t>
      </w:r>
    </w:p>
    <w:p w14:paraId="33DBAE4B">
      <w:pPr>
        <w:spacing w:line="360" w:lineRule="auto"/>
        <w:ind w:firstLine="480" w:firstLineChars="200"/>
        <w:rPr>
          <w:rFonts w:ascii="宋体" w:hAnsi="宋体"/>
          <w:sz w:val="24"/>
        </w:rPr>
      </w:pPr>
      <w:r>
        <w:rPr>
          <w:rFonts w:hint="eastAsia" w:ascii="宋体" w:hAnsi="宋体"/>
          <w:sz w:val="24"/>
        </w:rPr>
        <w:t>（2）利用废旧物品的S</w:t>
      </w:r>
      <w:r>
        <w:rPr>
          <w:rFonts w:ascii="宋体" w:hAnsi="宋体"/>
          <w:sz w:val="24"/>
        </w:rPr>
        <w:t>TEM</w:t>
      </w:r>
    </w:p>
    <w:p w14:paraId="797C9102">
      <w:pPr>
        <w:spacing w:line="360" w:lineRule="auto"/>
        <w:ind w:firstLine="480" w:firstLineChars="200"/>
        <w:rPr>
          <w:rFonts w:ascii="宋体" w:hAnsi="宋体"/>
          <w:sz w:val="24"/>
        </w:rPr>
      </w:pPr>
      <w:r>
        <w:rPr>
          <w:rFonts w:hint="eastAsia" w:ascii="宋体" w:hAnsi="宋体"/>
          <w:sz w:val="24"/>
        </w:rPr>
        <w:t>（3）无需设备的S</w:t>
      </w:r>
      <w:r>
        <w:rPr>
          <w:rFonts w:ascii="宋体" w:hAnsi="宋体"/>
          <w:sz w:val="24"/>
        </w:rPr>
        <w:t>TEM</w:t>
      </w:r>
    </w:p>
    <w:p w14:paraId="3335E4DE">
      <w:pPr>
        <w:spacing w:line="360" w:lineRule="auto"/>
        <w:ind w:firstLine="480" w:firstLineChars="200"/>
        <w:rPr>
          <w:rFonts w:hint="eastAsia" w:ascii="宋体" w:hAnsi="宋体"/>
          <w:sz w:val="24"/>
        </w:rPr>
      </w:pPr>
      <w:r>
        <w:rPr>
          <w:rFonts w:hint="eastAsia" w:ascii="宋体" w:hAnsi="宋体"/>
          <w:sz w:val="24"/>
        </w:rPr>
        <w:t>（4）文化融入的S</w:t>
      </w:r>
      <w:r>
        <w:rPr>
          <w:rFonts w:ascii="宋体" w:hAnsi="宋体"/>
          <w:sz w:val="24"/>
        </w:rPr>
        <w:t>TEM</w:t>
      </w:r>
      <w:r>
        <w:rPr>
          <w:rFonts w:hint="eastAsia" w:ascii="宋体" w:hAnsi="宋体"/>
          <w:sz w:val="24"/>
        </w:rPr>
        <w:t>：C</w:t>
      </w:r>
      <w:r>
        <w:rPr>
          <w:rFonts w:ascii="宋体" w:hAnsi="宋体"/>
          <w:sz w:val="24"/>
        </w:rPr>
        <w:t>-STEAM</w:t>
      </w:r>
    </w:p>
    <w:p w14:paraId="46BA99DD">
      <w:pPr>
        <w:spacing w:line="360" w:lineRule="auto"/>
        <w:rPr>
          <w:rFonts w:hint="eastAsia" w:ascii="宋体" w:hAnsi="宋体"/>
          <w:sz w:val="24"/>
        </w:rPr>
      </w:pPr>
      <w:r>
        <w:rPr>
          <w:rFonts w:hint="eastAsia" w:ascii="宋体" w:hAnsi="宋体"/>
          <w:sz w:val="24"/>
        </w:rPr>
        <w:t>2．基本要求</w:t>
      </w:r>
    </w:p>
    <w:p w14:paraId="081113ED">
      <w:pPr>
        <w:spacing w:line="360" w:lineRule="auto"/>
        <w:ind w:firstLine="480" w:firstLineChars="200"/>
        <w:rPr>
          <w:rFonts w:ascii="宋体" w:hAnsi="宋体"/>
          <w:sz w:val="24"/>
        </w:rPr>
      </w:pPr>
      <w:r>
        <w:rPr>
          <w:rFonts w:hint="eastAsia" w:ascii="宋体" w:hAnsi="宋体"/>
          <w:sz w:val="24"/>
        </w:rPr>
        <w:t>（1）通过对S</w:t>
      </w:r>
      <w:r>
        <w:rPr>
          <w:rFonts w:ascii="宋体" w:hAnsi="宋体"/>
          <w:sz w:val="24"/>
        </w:rPr>
        <w:t>TEM</w:t>
      </w:r>
      <w:r>
        <w:rPr>
          <w:rFonts w:hint="eastAsia" w:ascii="宋体" w:hAnsi="宋体"/>
          <w:sz w:val="24"/>
        </w:rPr>
        <w:t>的基本理论和发展历程的学习，初步认识S</w:t>
      </w:r>
      <w:r>
        <w:rPr>
          <w:rFonts w:ascii="宋体" w:hAnsi="宋体"/>
          <w:sz w:val="24"/>
        </w:rPr>
        <w:t>TEM</w:t>
      </w:r>
      <w:r>
        <w:rPr>
          <w:rFonts w:hint="eastAsia" w:ascii="宋体" w:hAnsi="宋体"/>
          <w:sz w:val="24"/>
        </w:rPr>
        <w:t>。</w:t>
      </w:r>
    </w:p>
    <w:p w14:paraId="22565EA5">
      <w:pPr>
        <w:spacing w:line="360" w:lineRule="auto"/>
        <w:ind w:firstLine="480" w:firstLineChars="200"/>
        <w:rPr>
          <w:rFonts w:hint="eastAsia" w:ascii="宋体" w:hAnsi="宋体"/>
          <w:sz w:val="24"/>
        </w:rPr>
      </w:pPr>
      <w:r>
        <w:rPr>
          <w:rFonts w:hint="eastAsia" w:ascii="宋体" w:hAnsi="宋体"/>
          <w:sz w:val="24"/>
        </w:rPr>
        <w:t>（2）通过利用废旧物品的S</w:t>
      </w:r>
      <w:r>
        <w:rPr>
          <w:rFonts w:ascii="宋体" w:hAnsi="宋体"/>
          <w:sz w:val="24"/>
        </w:rPr>
        <w:t>TEM</w:t>
      </w:r>
      <w:r>
        <w:rPr>
          <w:rFonts w:hint="eastAsia" w:ascii="宋体" w:hAnsi="宋体"/>
          <w:sz w:val="24"/>
        </w:rPr>
        <w:t>课例，学习如何利用有限条件开展</w:t>
      </w:r>
      <w:r>
        <w:rPr>
          <w:rFonts w:ascii="宋体" w:hAnsi="宋体"/>
          <w:sz w:val="24"/>
        </w:rPr>
        <w:t>STEM</w:t>
      </w:r>
      <w:r>
        <w:rPr>
          <w:rFonts w:hint="eastAsia" w:ascii="宋体" w:hAnsi="宋体"/>
          <w:sz w:val="24"/>
        </w:rPr>
        <w:t>教育，并完成自己的利用废旧物品的S</w:t>
      </w:r>
      <w:r>
        <w:rPr>
          <w:rFonts w:ascii="宋体" w:hAnsi="宋体"/>
          <w:sz w:val="24"/>
        </w:rPr>
        <w:t>TEM</w:t>
      </w:r>
      <w:r>
        <w:rPr>
          <w:rFonts w:hint="eastAsia" w:ascii="宋体" w:hAnsi="宋体"/>
          <w:sz w:val="24"/>
        </w:rPr>
        <w:t>项目设计。</w:t>
      </w:r>
    </w:p>
    <w:p w14:paraId="50D4A196">
      <w:pPr>
        <w:spacing w:line="360" w:lineRule="auto"/>
        <w:ind w:firstLine="480" w:firstLineChars="200"/>
        <w:rPr>
          <w:rFonts w:ascii="宋体" w:hAnsi="宋体"/>
          <w:sz w:val="24"/>
        </w:rPr>
      </w:pPr>
      <w:r>
        <w:rPr>
          <w:rFonts w:hint="eastAsia" w:ascii="宋体" w:hAnsi="宋体"/>
          <w:sz w:val="24"/>
        </w:rPr>
        <w:t>（3）通过无需设备的S</w:t>
      </w:r>
      <w:r>
        <w:rPr>
          <w:rFonts w:ascii="宋体" w:hAnsi="宋体"/>
          <w:sz w:val="24"/>
        </w:rPr>
        <w:t>TEM</w:t>
      </w:r>
      <w:r>
        <w:rPr>
          <w:rFonts w:hint="eastAsia" w:ascii="宋体" w:hAnsi="宋体"/>
          <w:sz w:val="24"/>
        </w:rPr>
        <w:t>课例，学习如何在没有设备情况下开展S</w:t>
      </w:r>
      <w:r>
        <w:rPr>
          <w:rFonts w:ascii="宋体" w:hAnsi="宋体"/>
          <w:sz w:val="24"/>
        </w:rPr>
        <w:t>TEM</w:t>
      </w:r>
      <w:r>
        <w:rPr>
          <w:rFonts w:hint="eastAsia" w:ascii="宋体" w:hAnsi="宋体"/>
          <w:sz w:val="24"/>
        </w:rPr>
        <w:t>教育，并完成自己的无需设备的S</w:t>
      </w:r>
      <w:r>
        <w:rPr>
          <w:rFonts w:ascii="宋体" w:hAnsi="宋体"/>
          <w:sz w:val="24"/>
        </w:rPr>
        <w:t>TEM</w:t>
      </w:r>
      <w:r>
        <w:rPr>
          <w:rFonts w:hint="eastAsia" w:ascii="宋体" w:hAnsi="宋体"/>
          <w:sz w:val="24"/>
        </w:rPr>
        <w:t>项目设计。</w:t>
      </w:r>
    </w:p>
    <w:p w14:paraId="064805AF">
      <w:pPr>
        <w:spacing w:line="360" w:lineRule="auto"/>
        <w:ind w:firstLine="480" w:firstLineChars="200"/>
        <w:rPr>
          <w:rFonts w:hint="eastAsia" w:ascii="宋体" w:hAnsi="宋体"/>
          <w:sz w:val="24"/>
        </w:rPr>
      </w:pPr>
      <w:r>
        <w:rPr>
          <w:rFonts w:hint="eastAsia" w:ascii="宋体" w:hAnsi="宋体"/>
          <w:sz w:val="24"/>
        </w:rPr>
        <w:t>（4）通过到常州工商文化档案馆调研，学习</w:t>
      </w:r>
      <w:r>
        <w:rPr>
          <w:rFonts w:ascii="宋体" w:hAnsi="宋体"/>
          <w:sz w:val="24"/>
        </w:rPr>
        <w:t>C-STEAM</w:t>
      </w:r>
      <w:r>
        <w:rPr>
          <w:rFonts w:hint="eastAsia" w:ascii="宋体" w:hAnsi="宋体"/>
          <w:sz w:val="24"/>
        </w:rPr>
        <w:t>相关理论，完成</w:t>
      </w:r>
      <w:r>
        <w:rPr>
          <w:rFonts w:ascii="宋体" w:hAnsi="宋体"/>
          <w:sz w:val="24"/>
        </w:rPr>
        <w:t>C-STEAM</w:t>
      </w:r>
      <w:r>
        <w:rPr>
          <w:rFonts w:hint="eastAsia" w:ascii="宋体" w:hAnsi="宋体"/>
          <w:sz w:val="24"/>
        </w:rPr>
        <w:t>项目设计。</w:t>
      </w:r>
    </w:p>
    <w:p w14:paraId="29C86898">
      <w:pPr>
        <w:spacing w:line="390" w:lineRule="exact"/>
        <w:ind w:left="1079" w:leftChars="228" w:hanging="600" w:hangingChars="250"/>
        <w:rPr>
          <w:rFonts w:hint="eastAsia" w:ascii="宋体" w:hAnsi="宋体"/>
          <w:sz w:val="24"/>
        </w:rPr>
      </w:pPr>
    </w:p>
    <w:p w14:paraId="3B675D69">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2084"/>
        <w:gridCol w:w="1470"/>
        <w:gridCol w:w="735"/>
        <w:gridCol w:w="735"/>
      </w:tblGrid>
      <w:tr w14:paraId="6C52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noWrap w:val="0"/>
            <w:vAlign w:val="center"/>
          </w:tcPr>
          <w:p w14:paraId="3FA9DBB3">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1CE69BB0">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075FE51D">
            <w:pPr>
              <w:spacing w:line="312" w:lineRule="auto"/>
              <w:jc w:val="center"/>
              <w:rPr>
                <w:rFonts w:hint="eastAsia"/>
                <w:color w:val="000000"/>
                <w:szCs w:val="21"/>
              </w:rPr>
            </w:pPr>
            <w:r>
              <w:rPr>
                <w:color w:val="000000"/>
                <w:szCs w:val="21"/>
              </w:rPr>
              <w:t>支撑</w:t>
            </w:r>
            <w:r>
              <w:rPr>
                <w:rFonts w:hint="eastAsia"/>
                <w:color w:val="000000"/>
                <w:szCs w:val="21"/>
              </w:rPr>
              <w:t>的</w:t>
            </w:r>
          </w:p>
          <w:p w14:paraId="52484D3E">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0C158127">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45F1BDCC">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65330F3A">
            <w:pPr>
              <w:spacing w:line="312" w:lineRule="auto"/>
              <w:jc w:val="center"/>
              <w:rPr>
                <w:color w:val="000000"/>
                <w:szCs w:val="21"/>
              </w:rPr>
            </w:pPr>
            <w:r>
              <w:rPr>
                <w:color w:val="000000"/>
                <w:szCs w:val="21"/>
              </w:rPr>
              <w:t>实验学时</w:t>
            </w:r>
          </w:p>
        </w:tc>
      </w:tr>
      <w:tr w14:paraId="03DA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2CB66BE">
            <w:pPr>
              <w:spacing w:line="312" w:lineRule="auto"/>
              <w:jc w:val="center"/>
              <w:rPr>
                <w:szCs w:val="21"/>
              </w:rPr>
            </w:pPr>
            <w:r>
              <w:rPr>
                <w:rFonts w:hint="eastAsia"/>
                <w:szCs w:val="21"/>
              </w:rPr>
              <w:t>1</w:t>
            </w:r>
          </w:p>
        </w:tc>
        <w:tc>
          <w:tcPr>
            <w:tcW w:w="3476" w:type="dxa"/>
            <w:noWrap w:val="0"/>
            <w:vAlign w:val="center"/>
          </w:tcPr>
          <w:p w14:paraId="1CD5FE12">
            <w:pPr>
              <w:widowControl/>
              <w:jc w:val="left"/>
              <w:rPr>
                <w:rFonts w:hint="eastAsia" w:ascii="宋体" w:hAnsi="宋体" w:cs="宋体"/>
                <w:color w:val="000000"/>
                <w:kern w:val="0"/>
                <w:szCs w:val="21"/>
              </w:rPr>
            </w:pPr>
            <w:r>
              <w:rPr>
                <w:rFonts w:hint="eastAsia"/>
                <w:szCs w:val="21"/>
              </w:rPr>
              <w:t>绪论</w:t>
            </w:r>
          </w:p>
        </w:tc>
        <w:tc>
          <w:tcPr>
            <w:tcW w:w="2084" w:type="dxa"/>
            <w:noWrap w:val="0"/>
            <w:vAlign w:val="center"/>
          </w:tcPr>
          <w:p w14:paraId="785F5B20">
            <w:pPr>
              <w:spacing w:line="312" w:lineRule="auto"/>
              <w:jc w:val="center"/>
              <w:rPr>
                <w:rFonts w:hint="eastAsia"/>
                <w:color w:val="000000"/>
                <w:szCs w:val="21"/>
              </w:rPr>
            </w:pPr>
            <w:r>
              <w:rPr>
                <w:color w:val="000000"/>
                <w:szCs w:val="21"/>
              </w:rPr>
              <w:t>目标1</w:t>
            </w:r>
          </w:p>
        </w:tc>
        <w:tc>
          <w:tcPr>
            <w:tcW w:w="1470" w:type="dxa"/>
            <w:noWrap w:val="0"/>
            <w:vAlign w:val="center"/>
          </w:tcPr>
          <w:p w14:paraId="0C3CB2EE">
            <w:pPr>
              <w:spacing w:line="312" w:lineRule="auto"/>
              <w:jc w:val="center"/>
              <w:rPr>
                <w:szCs w:val="21"/>
              </w:rPr>
            </w:pPr>
            <w:r>
              <w:rPr>
                <w:rFonts w:hint="eastAsia"/>
                <w:szCs w:val="21"/>
              </w:rPr>
              <w:t>3-3</w:t>
            </w:r>
          </w:p>
        </w:tc>
        <w:tc>
          <w:tcPr>
            <w:tcW w:w="735" w:type="dxa"/>
            <w:noWrap w:val="0"/>
            <w:vAlign w:val="center"/>
          </w:tcPr>
          <w:p w14:paraId="392412A1">
            <w:pPr>
              <w:jc w:val="center"/>
              <w:rPr>
                <w:rFonts w:hint="eastAsia"/>
                <w:szCs w:val="21"/>
              </w:rPr>
            </w:pPr>
            <w:r>
              <w:rPr>
                <w:rFonts w:hint="eastAsia"/>
                <w:szCs w:val="21"/>
              </w:rPr>
              <w:t>2</w:t>
            </w:r>
          </w:p>
        </w:tc>
        <w:tc>
          <w:tcPr>
            <w:tcW w:w="735" w:type="dxa"/>
            <w:noWrap w:val="0"/>
            <w:vAlign w:val="center"/>
          </w:tcPr>
          <w:p w14:paraId="4D9F3F35">
            <w:pPr>
              <w:spacing w:line="312" w:lineRule="auto"/>
              <w:jc w:val="center"/>
              <w:rPr>
                <w:szCs w:val="21"/>
              </w:rPr>
            </w:pPr>
          </w:p>
        </w:tc>
      </w:tr>
      <w:tr w14:paraId="48B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2881B5D">
            <w:pPr>
              <w:spacing w:line="312" w:lineRule="auto"/>
              <w:jc w:val="center"/>
              <w:rPr>
                <w:szCs w:val="21"/>
              </w:rPr>
            </w:pPr>
            <w:r>
              <w:rPr>
                <w:rFonts w:hint="eastAsia"/>
                <w:szCs w:val="21"/>
              </w:rPr>
              <w:t>2</w:t>
            </w:r>
          </w:p>
        </w:tc>
        <w:tc>
          <w:tcPr>
            <w:tcW w:w="3476" w:type="dxa"/>
            <w:noWrap w:val="0"/>
            <w:vAlign w:val="center"/>
          </w:tcPr>
          <w:p w14:paraId="76699D9F">
            <w:pPr>
              <w:widowControl/>
              <w:jc w:val="left"/>
              <w:rPr>
                <w:rFonts w:ascii="宋体" w:hAnsi="宋体" w:cs="宋体"/>
                <w:color w:val="000000"/>
                <w:kern w:val="0"/>
                <w:szCs w:val="21"/>
              </w:rPr>
            </w:pPr>
            <w:r>
              <w:rPr>
                <w:rFonts w:hint="eastAsia" w:ascii="宋体" w:hAnsi="宋体" w:cs="Tahoma"/>
                <w:bCs/>
                <w:color w:val="333333"/>
                <w:kern w:val="0"/>
                <w:sz w:val="24"/>
              </w:rPr>
              <w:t>小学科学实验与制作</w:t>
            </w:r>
          </w:p>
        </w:tc>
        <w:tc>
          <w:tcPr>
            <w:tcW w:w="2084" w:type="dxa"/>
            <w:noWrap w:val="0"/>
            <w:vAlign w:val="center"/>
          </w:tcPr>
          <w:p w14:paraId="424BCFA2">
            <w:pPr>
              <w:jc w:val="center"/>
              <w:rPr>
                <w:rFonts w:hint="eastAsia"/>
                <w:color w:val="000000"/>
                <w:szCs w:val="21"/>
              </w:rPr>
            </w:pPr>
            <w:r>
              <w:rPr>
                <w:color w:val="000000"/>
                <w:szCs w:val="21"/>
              </w:rPr>
              <w:t>目标</w:t>
            </w:r>
            <w:r>
              <w:rPr>
                <w:rFonts w:hint="eastAsia"/>
                <w:color w:val="000000"/>
                <w:szCs w:val="21"/>
              </w:rPr>
              <w:t>2、3、4</w:t>
            </w:r>
          </w:p>
        </w:tc>
        <w:tc>
          <w:tcPr>
            <w:tcW w:w="1470" w:type="dxa"/>
            <w:noWrap w:val="0"/>
            <w:vAlign w:val="center"/>
          </w:tcPr>
          <w:p w14:paraId="7C1B1BA2">
            <w:pPr>
              <w:jc w:val="center"/>
              <w:rPr>
                <w:szCs w:val="21"/>
              </w:rPr>
            </w:pPr>
            <w:r>
              <w:rPr>
                <w:rFonts w:hint="eastAsia"/>
                <w:szCs w:val="21"/>
              </w:rPr>
              <w:t>3-3、4-3、6-2、6-3</w:t>
            </w:r>
          </w:p>
        </w:tc>
        <w:tc>
          <w:tcPr>
            <w:tcW w:w="735" w:type="dxa"/>
            <w:noWrap w:val="0"/>
            <w:vAlign w:val="center"/>
          </w:tcPr>
          <w:p w14:paraId="1A9EE07F">
            <w:pPr>
              <w:jc w:val="center"/>
              <w:rPr>
                <w:rFonts w:hint="eastAsia"/>
                <w:szCs w:val="21"/>
              </w:rPr>
            </w:pPr>
            <w:r>
              <w:rPr>
                <w:rFonts w:hint="eastAsia"/>
                <w:szCs w:val="21"/>
              </w:rPr>
              <w:t>6</w:t>
            </w:r>
          </w:p>
        </w:tc>
        <w:tc>
          <w:tcPr>
            <w:tcW w:w="735" w:type="dxa"/>
            <w:noWrap w:val="0"/>
            <w:vAlign w:val="center"/>
          </w:tcPr>
          <w:p w14:paraId="02F6659D">
            <w:pPr>
              <w:spacing w:line="312" w:lineRule="auto"/>
              <w:jc w:val="center"/>
              <w:rPr>
                <w:rFonts w:hint="eastAsia"/>
                <w:szCs w:val="21"/>
              </w:rPr>
            </w:pPr>
            <w:r>
              <w:rPr>
                <w:rFonts w:hint="eastAsia"/>
                <w:szCs w:val="21"/>
              </w:rPr>
              <w:t>8</w:t>
            </w:r>
          </w:p>
        </w:tc>
      </w:tr>
      <w:tr w14:paraId="3CAD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59E20722">
            <w:pPr>
              <w:spacing w:line="312" w:lineRule="auto"/>
              <w:jc w:val="center"/>
              <w:rPr>
                <w:szCs w:val="21"/>
              </w:rPr>
            </w:pPr>
            <w:r>
              <w:rPr>
                <w:rFonts w:hint="eastAsia"/>
                <w:szCs w:val="21"/>
              </w:rPr>
              <w:t>3</w:t>
            </w:r>
          </w:p>
        </w:tc>
        <w:tc>
          <w:tcPr>
            <w:tcW w:w="3476" w:type="dxa"/>
            <w:noWrap w:val="0"/>
            <w:vAlign w:val="center"/>
          </w:tcPr>
          <w:p w14:paraId="18A1A16E">
            <w:pPr>
              <w:widowControl/>
              <w:jc w:val="left"/>
              <w:rPr>
                <w:rFonts w:ascii="宋体" w:hAnsi="宋体" w:cs="宋体"/>
                <w:color w:val="000000"/>
                <w:kern w:val="0"/>
                <w:sz w:val="24"/>
              </w:rPr>
            </w:pPr>
            <w:r>
              <w:rPr>
                <w:rFonts w:hint="eastAsia" w:ascii="宋体" w:hAnsi="宋体" w:cs="Tahoma"/>
                <w:color w:val="333333"/>
                <w:kern w:val="0"/>
                <w:sz w:val="24"/>
              </w:rPr>
              <w:t>S</w:t>
            </w:r>
            <w:r>
              <w:rPr>
                <w:rFonts w:ascii="宋体" w:hAnsi="宋体" w:cs="Tahoma"/>
                <w:color w:val="333333"/>
                <w:kern w:val="0"/>
                <w:sz w:val="24"/>
              </w:rPr>
              <w:t>TEM实验方案设计</w:t>
            </w:r>
            <w:r>
              <w:rPr>
                <w:rFonts w:hint="eastAsia" w:ascii="宋体" w:hAnsi="宋体" w:cs="Tahoma"/>
                <w:color w:val="333333"/>
                <w:kern w:val="0"/>
                <w:sz w:val="24"/>
              </w:rPr>
              <w:t>与实施</w:t>
            </w:r>
          </w:p>
        </w:tc>
        <w:tc>
          <w:tcPr>
            <w:tcW w:w="2084" w:type="dxa"/>
            <w:noWrap w:val="0"/>
            <w:vAlign w:val="center"/>
          </w:tcPr>
          <w:p w14:paraId="01BE84CC">
            <w:pPr>
              <w:jc w:val="center"/>
              <w:rPr>
                <w:color w:val="000000"/>
                <w:szCs w:val="21"/>
              </w:rPr>
            </w:pPr>
            <w:r>
              <w:rPr>
                <w:color w:val="000000"/>
                <w:szCs w:val="21"/>
              </w:rPr>
              <w:t>目标</w:t>
            </w:r>
            <w:r>
              <w:rPr>
                <w:rFonts w:hint="eastAsia"/>
                <w:color w:val="000000"/>
                <w:szCs w:val="21"/>
              </w:rPr>
              <w:t>2、3、4</w:t>
            </w:r>
          </w:p>
        </w:tc>
        <w:tc>
          <w:tcPr>
            <w:tcW w:w="1470" w:type="dxa"/>
            <w:noWrap w:val="0"/>
            <w:vAlign w:val="center"/>
          </w:tcPr>
          <w:p w14:paraId="547922C9">
            <w:pPr>
              <w:jc w:val="center"/>
              <w:rPr>
                <w:szCs w:val="21"/>
              </w:rPr>
            </w:pPr>
            <w:r>
              <w:rPr>
                <w:rFonts w:hint="eastAsia"/>
                <w:szCs w:val="21"/>
              </w:rPr>
              <w:t>3-3、4-3、6-2、6-3</w:t>
            </w:r>
          </w:p>
        </w:tc>
        <w:tc>
          <w:tcPr>
            <w:tcW w:w="735" w:type="dxa"/>
            <w:noWrap w:val="0"/>
            <w:vAlign w:val="center"/>
          </w:tcPr>
          <w:p w14:paraId="45269BA3">
            <w:pPr>
              <w:jc w:val="center"/>
              <w:rPr>
                <w:rFonts w:hint="eastAsia"/>
                <w:szCs w:val="21"/>
              </w:rPr>
            </w:pPr>
            <w:r>
              <w:rPr>
                <w:rFonts w:hint="eastAsia"/>
                <w:szCs w:val="21"/>
              </w:rPr>
              <w:t>8</w:t>
            </w:r>
          </w:p>
        </w:tc>
        <w:tc>
          <w:tcPr>
            <w:tcW w:w="735" w:type="dxa"/>
            <w:noWrap w:val="0"/>
            <w:vAlign w:val="center"/>
          </w:tcPr>
          <w:p w14:paraId="0F32DBF1">
            <w:pPr>
              <w:spacing w:line="312" w:lineRule="auto"/>
              <w:jc w:val="center"/>
              <w:rPr>
                <w:rFonts w:hint="eastAsia"/>
                <w:szCs w:val="21"/>
              </w:rPr>
            </w:pPr>
            <w:r>
              <w:rPr>
                <w:rFonts w:hint="eastAsia"/>
                <w:szCs w:val="21"/>
              </w:rPr>
              <w:t>8</w:t>
            </w:r>
          </w:p>
        </w:tc>
      </w:tr>
      <w:tr w14:paraId="249A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noWrap w:val="0"/>
            <w:vAlign w:val="center"/>
          </w:tcPr>
          <w:p w14:paraId="61A7D0BB">
            <w:pPr>
              <w:spacing w:line="312" w:lineRule="auto"/>
              <w:jc w:val="center"/>
              <w:rPr>
                <w:szCs w:val="21"/>
              </w:rPr>
            </w:pPr>
            <w:r>
              <w:rPr>
                <w:szCs w:val="21"/>
              </w:rPr>
              <w:t>合 计</w:t>
            </w:r>
          </w:p>
        </w:tc>
        <w:tc>
          <w:tcPr>
            <w:tcW w:w="735" w:type="dxa"/>
            <w:noWrap w:val="0"/>
            <w:vAlign w:val="center"/>
          </w:tcPr>
          <w:p w14:paraId="1371B455">
            <w:pPr>
              <w:spacing w:line="312" w:lineRule="auto"/>
              <w:jc w:val="center"/>
              <w:rPr>
                <w:szCs w:val="21"/>
              </w:rPr>
            </w:pPr>
            <w:r>
              <w:rPr>
                <w:rFonts w:hint="eastAsia"/>
                <w:szCs w:val="21"/>
              </w:rPr>
              <w:t>16</w:t>
            </w:r>
          </w:p>
        </w:tc>
        <w:tc>
          <w:tcPr>
            <w:tcW w:w="735" w:type="dxa"/>
            <w:noWrap w:val="0"/>
            <w:vAlign w:val="center"/>
          </w:tcPr>
          <w:p w14:paraId="3EA439E3">
            <w:pPr>
              <w:spacing w:line="312" w:lineRule="auto"/>
              <w:jc w:val="center"/>
              <w:rPr>
                <w:szCs w:val="21"/>
              </w:rPr>
            </w:pPr>
            <w:r>
              <w:rPr>
                <w:rFonts w:hint="eastAsia"/>
                <w:szCs w:val="21"/>
              </w:rPr>
              <w:t>16</w:t>
            </w:r>
          </w:p>
        </w:tc>
      </w:tr>
    </w:tbl>
    <w:p w14:paraId="0607F922">
      <w:pPr>
        <w:spacing w:line="360" w:lineRule="auto"/>
        <w:ind w:firstLine="562" w:firstLineChars="200"/>
        <w:rPr>
          <w:rFonts w:hint="eastAsia"/>
          <w:b/>
          <w:sz w:val="28"/>
          <w:szCs w:val="28"/>
        </w:rPr>
      </w:pPr>
      <w:r>
        <w:rPr>
          <w:rFonts w:hint="eastAsia"/>
          <w:b/>
          <w:sz w:val="28"/>
          <w:szCs w:val="28"/>
        </w:rPr>
        <w:t>四</w:t>
      </w:r>
      <w:r>
        <w:rPr>
          <w:b/>
          <w:sz w:val="28"/>
          <w:szCs w:val="28"/>
        </w:rPr>
        <w:t>、</w:t>
      </w:r>
      <w:r>
        <w:rPr>
          <w:rFonts w:hint="eastAsia"/>
          <w:b/>
          <w:sz w:val="28"/>
          <w:szCs w:val="28"/>
        </w:rPr>
        <w:t>课内实验（实践）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gridCol w:w="630"/>
      </w:tblGrid>
      <w:tr w14:paraId="420F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noWrap w:val="0"/>
            <w:vAlign w:val="center"/>
          </w:tcPr>
          <w:p w14:paraId="0734D0BF">
            <w:pPr>
              <w:jc w:val="center"/>
              <w:rPr>
                <w:bCs/>
                <w:spacing w:val="-20"/>
                <w:szCs w:val="21"/>
              </w:rPr>
            </w:pPr>
            <w:r>
              <w:rPr>
                <w:bCs/>
                <w:spacing w:val="-20"/>
                <w:szCs w:val="21"/>
              </w:rPr>
              <w:t>序号</w:t>
            </w:r>
          </w:p>
        </w:tc>
        <w:tc>
          <w:tcPr>
            <w:tcW w:w="1784" w:type="dxa"/>
            <w:shd w:val="clear" w:color="auto" w:fill="FFFFFF"/>
            <w:noWrap w:val="0"/>
            <w:vAlign w:val="center"/>
          </w:tcPr>
          <w:p w14:paraId="76D30ACD">
            <w:pPr>
              <w:jc w:val="center"/>
              <w:rPr>
                <w:bCs/>
                <w:szCs w:val="21"/>
              </w:rPr>
            </w:pPr>
            <w:r>
              <w:rPr>
                <w:bCs/>
                <w:szCs w:val="21"/>
              </w:rPr>
              <w:t>实验项目名称</w:t>
            </w:r>
          </w:p>
        </w:tc>
        <w:tc>
          <w:tcPr>
            <w:tcW w:w="3568" w:type="dxa"/>
            <w:shd w:val="clear" w:color="auto" w:fill="FFFFFF"/>
            <w:noWrap w:val="0"/>
            <w:vAlign w:val="center"/>
          </w:tcPr>
          <w:p w14:paraId="015C1170">
            <w:pPr>
              <w:jc w:val="center"/>
              <w:rPr>
                <w:bCs/>
                <w:szCs w:val="21"/>
              </w:rPr>
            </w:pPr>
            <w:r>
              <w:rPr>
                <w:bCs/>
                <w:szCs w:val="21"/>
              </w:rPr>
              <w:t>实验内容及要求</w:t>
            </w:r>
          </w:p>
        </w:tc>
        <w:tc>
          <w:tcPr>
            <w:tcW w:w="735" w:type="dxa"/>
            <w:shd w:val="clear" w:color="auto" w:fill="FFFFFF"/>
            <w:noWrap w:val="0"/>
            <w:vAlign w:val="center"/>
          </w:tcPr>
          <w:p w14:paraId="77EA4AAE">
            <w:pPr>
              <w:jc w:val="center"/>
              <w:rPr>
                <w:bCs/>
                <w:szCs w:val="21"/>
              </w:rPr>
            </w:pPr>
            <w:r>
              <w:rPr>
                <w:bCs/>
                <w:szCs w:val="21"/>
              </w:rPr>
              <w:t>学时</w:t>
            </w:r>
          </w:p>
        </w:tc>
        <w:tc>
          <w:tcPr>
            <w:tcW w:w="1155" w:type="dxa"/>
            <w:shd w:val="clear" w:color="auto" w:fill="FFFFFF"/>
            <w:noWrap w:val="0"/>
            <w:vAlign w:val="center"/>
          </w:tcPr>
          <w:p w14:paraId="46F3F2FA">
            <w:pPr>
              <w:jc w:val="center"/>
              <w:rPr>
                <w:bCs/>
                <w:szCs w:val="21"/>
              </w:rPr>
            </w:pPr>
            <w:r>
              <w:rPr>
                <w:bCs/>
                <w:szCs w:val="21"/>
              </w:rPr>
              <w:t>对毕业要求的支撑</w:t>
            </w:r>
          </w:p>
        </w:tc>
        <w:tc>
          <w:tcPr>
            <w:tcW w:w="840" w:type="dxa"/>
            <w:shd w:val="clear" w:color="auto" w:fill="FFFFFF"/>
            <w:noWrap w:val="0"/>
            <w:tcMar>
              <w:left w:w="28" w:type="dxa"/>
              <w:right w:w="28" w:type="dxa"/>
            </w:tcMar>
            <w:vAlign w:val="center"/>
          </w:tcPr>
          <w:p w14:paraId="07D22695">
            <w:pPr>
              <w:jc w:val="center"/>
              <w:rPr>
                <w:bCs/>
                <w:szCs w:val="21"/>
              </w:rPr>
            </w:pPr>
            <w:r>
              <w:rPr>
                <w:bCs/>
                <w:szCs w:val="21"/>
              </w:rPr>
              <w:t>类型</w:t>
            </w:r>
          </w:p>
        </w:tc>
        <w:tc>
          <w:tcPr>
            <w:tcW w:w="630" w:type="dxa"/>
            <w:shd w:val="clear" w:color="auto" w:fill="FFFFFF"/>
            <w:noWrap w:val="0"/>
            <w:tcMar>
              <w:left w:w="28" w:type="dxa"/>
              <w:right w:w="28" w:type="dxa"/>
            </w:tcMar>
            <w:vAlign w:val="center"/>
          </w:tcPr>
          <w:p w14:paraId="514ACE25">
            <w:pPr>
              <w:jc w:val="center"/>
              <w:rPr>
                <w:bCs/>
                <w:szCs w:val="21"/>
              </w:rPr>
            </w:pPr>
            <w:r>
              <w:rPr>
                <w:bCs/>
                <w:szCs w:val="21"/>
              </w:rPr>
              <w:t>备注</w:t>
            </w:r>
          </w:p>
        </w:tc>
      </w:tr>
      <w:tr w14:paraId="1730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36" w:type="dxa"/>
            <w:noWrap w:val="0"/>
            <w:vAlign w:val="center"/>
          </w:tcPr>
          <w:p w14:paraId="54B71BC7">
            <w:pPr>
              <w:jc w:val="center"/>
              <w:rPr>
                <w:bCs/>
                <w:szCs w:val="21"/>
              </w:rPr>
            </w:pPr>
            <w:r>
              <w:rPr>
                <w:bCs/>
                <w:szCs w:val="21"/>
              </w:rPr>
              <w:t>1</w:t>
            </w:r>
          </w:p>
        </w:tc>
        <w:tc>
          <w:tcPr>
            <w:tcW w:w="1784" w:type="dxa"/>
            <w:noWrap w:val="0"/>
            <w:vAlign w:val="center"/>
          </w:tcPr>
          <w:p w14:paraId="6B2B1B17">
            <w:pPr>
              <w:jc w:val="center"/>
              <w:rPr>
                <w:rFonts w:hint="eastAsia"/>
                <w:bCs/>
                <w:sz w:val="24"/>
              </w:rPr>
            </w:pPr>
            <w:r>
              <w:rPr>
                <w:rFonts w:hint="eastAsia"/>
                <w:bCs/>
                <w:sz w:val="24"/>
              </w:rPr>
              <w:t>叶脉标本、骨胳标本的制作</w:t>
            </w:r>
          </w:p>
        </w:tc>
        <w:tc>
          <w:tcPr>
            <w:tcW w:w="3568" w:type="dxa"/>
            <w:noWrap w:val="0"/>
            <w:vAlign w:val="top"/>
          </w:tcPr>
          <w:p w14:paraId="419A9223">
            <w:pPr>
              <w:spacing w:line="360" w:lineRule="auto"/>
              <w:rPr>
                <w:rFonts w:hint="eastAsia" w:ascii="宋体" w:hAnsi="宋体"/>
                <w:sz w:val="24"/>
              </w:rPr>
            </w:pPr>
            <w:r>
              <w:rPr>
                <w:rFonts w:ascii="宋体" w:hAnsi="宋体" w:cs="Tahoma"/>
                <w:color w:val="333333"/>
                <w:kern w:val="0"/>
                <w:sz w:val="24"/>
              </w:rPr>
              <w:t>学会制作完整叶脉标本，并发挥想象力，将叶脉染上颜色和包装。</w:t>
            </w:r>
          </w:p>
          <w:p w14:paraId="07E6F8AB">
            <w:pPr>
              <w:spacing w:line="360" w:lineRule="auto"/>
              <w:rPr>
                <w:rFonts w:hint="eastAsia" w:ascii="宋体" w:hAnsi="宋体"/>
                <w:sz w:val="24"/>
              </w:rPr>
            </w:pPr>
            <w:r>
              <w:rPr>
                <w:rFonts w:hint="eastAsia" w:ascii="宋体" w:hAnsi="宋体"/>
                <w:sz w:val="24"/>
              </w:rPr>
              <w:t>学会生物标本的制作方法，制作出一具完好的鲫鱼骨骼标本</w:t>
            </w:r>
          </w:p>
          <w:p w14:paraId="36F9A70B">
            <w:pPr>
              <w:rPr>
                <w:bCs/>
                <w:sz w:val="24"/>
              </w:rPr>
            </w:pPr>
          </w:p>
        </w:tc>
        <w:tc>
          <w:tcPr>
            <w:tcW w:w="735" w:type="dxa"/>
            <w:noWrap w:val="0"/>
            <w:vAlign w:val="center"/>
          </w:tcPr>
          <w:p w14:paraId="618BC242">
            <w:pPr>
              <w:jc w:val="center"/>
              <w:rPr>
                <w:rFonts w:hint="eastAsia"/>
                <w:bCs/>
                <w:szCs w:val="21"/>
              </w:rPr>
            </w:pPr>
            <w:r>
              <w:rPr>
                <w:rFonts w:hint="eastAsia"/>
                <w:bCs/>
                <w:szCs w:val="21"/>
              </w:rPr>
              <w:t>4</w:t>
            </w:r>
          </w:p>
        </w:tc>
        <w:tc>
          <w:tcPr>
            <w:tcW w:w="1155" w:type="dxa"/>
            <w:noWrap w:val="0"/>
            <w:vAlign w:val="center"/>
          </w:tcPr>
          <w:p w14:paraId="73D8898B">
            <w:pPr>
              <w:jc w:val="center"/>
              <w:rPr>
                <w:rFonts w:hint="eastAsia"/>
                <w:bCs/>
                <w:szCs w:val="21"/>
              </w:rPr>
            </w:pPr>
            <w:r>
              <w:rPr>
                <w:rFonts w:hint="eastAsia"/>
                <w:color w:val="000000"/>
                <w:szCs w:val="21"/>
              </w:rPr>
              <w:t>3、</w:t>
            </w:r>
            <w:r>
              <w:rPr>
                <w:color w:val="000000"/>
                <w:szCs w:val="21"/>
              </w:rPr>
              <w:t>4</w:t>
            </w:r>
            <w:r>
              <w:rPr>
                <w:rFonts w:hint="eastAsia"/>
                <w:color w:val="000000"/>
                <w:szCs w:val="21"/>
              </w:rPr>
              <w:t>、6</w:t>
            </w:r>
          </w:p>
        </w:tc>
        <w:tc>
          <w:tcPr>
            <w:tcW w:w="840" w:type="dxa"/>
            <w:noWrap w:val="0"/>
            <w:tcMar>
              <w:left w:w="28" w:type="dxa"/>
              <w:right w:w="28" w:type="dxa"/>
            </w:tcMar>
            <w:vAlign w:val="center"/>
          </w:tcPr>
          <w:p w14:paraId="5848D1D6">
            <w:pPr>
              <w:jc w:val="center"/>
              <w:rPr>
                <w:szCs w:val="21"/>
              </w:rPr>
            </w:pPr>
            <w:r>
              <w:rPr>
                <w:bCs/>
                <w:szCs w:val="21"/>
              </w:rPr>
              <w:t>综合性</w:t>
            </w:r>
          </w:p>
        </w:tc>
        <w:tc>
          <w:tcPr>
            <w:tcW w:w="630" w:type="dxa"/>
            <w:noWrap w:val="0"/>
            <w:tcMar>
              <w:left w:w="28" w:type="dxa"/>
              <w:right w:w="28" w:type="dxa"/>
            </w:tcMar>
            <w:vAlign w:val="center"/>
          </w:tcPr>
          <w:p w14:paraId="45B2A96C">
            <w:pPr>
              <w:jc w:val="center"/>
              <w:rPr>
                <w:bCs/>
                <w:szCs w:val="21"/>
              </w:rPr>
            </w:pPr>
            <w:r>
              <w:rPr>
                <w:bCs/>
                <w:szCs w:val="21"/>
              </w:rPr>
              <w:t>必做</w:t>
            </w:r>
          </w:p>
        </w:tc>
      </w:tr>
      <w:tr w14:paraId="46AF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636" w:type="dxa"/>
            <w:noWrap w:val="0"/>
            <w:vAlign w:val="center"/>
          </w:tcPr>
          <w:p w14:paraId="7BAE6915">
            <w:pPr>
              <w:jc w:val="center"/>
              <w:rPr>
                <w:bCs/>
                <w:szCs w:val="21"/>
              </w:rPr>
            </w:pPr>
            <w:r>
              <w:rPr>
                <w:bCs/>
                <w:szCs w:val="21"/>
              </w:rPr>
              <w:t>2</w:t>
            </w:r>
          </w:p>
        </w:tc>
        <w:tc>
          <w:tcPr>
            <w:tcW w:w="1784" w:type="dxa"/>
            <w:noWrap w:val="0"/>
            <w:vAlign w:val="center"/>
          </w:tcPr>
          <w:p w14:paraId="1B7684B9">
            <w:pPr>
              <w:pStyle w:val="27"/>
              <w:rPr>
                <w:szCs w:val="21"/>
              </w:rPr>
            </w:pPr>
            <w:r>
              <w:rPr>
                <w:rFonts w:cs="Tahoma"/>
                <w:bCs/>
                <w:color w:val="333333"/>
                <w:szCs w:val="21"/>
              </w:rPr>
              <w:t>小学科学</w:t>
            </w:r>
            <w:r>
              <w:rPr>
                <w:rFonts w:hint="eastAsia" w:cs="Tahoma"/>
                <w:bCs/>
                <w:color w:val="333333"/>
                <w:szCs w:val="21"/>
              </w:rPr>
              <w:t>实验</w:t>
            </w:r>
            <w:r>
              <w:rPr>
                <w:rFonts w:cs="Tahoma"/>
                <w:bCs/>
                <w:color w:val="333333"/>
                <w:szCs w:val="21"/>
              </w:rPr>
              <w:t>与制作</w:t>
            </w:r>
          </w:p>
          <w:p w14:paraId="58BBA423">
            <w:pPr>
              <w:rPr>
                <w:rFonts w:hint="eastAsia"/>
                <w:sz w:val="24"/>
              </w:rPr>
            </w:pPr>
          </w:p>
        </w:tc>
        <w:tc>
          <w:tcPr>
            <w:tcW w:w="3568" w:type="dxa"/>
            <w:noWrap w:val="0"/>
            <w:vAlign w:val="top"/>
          </w:tcPr>
          <w:p w14:paraId="6ACBDFF6">
            <w:pPr>
              <w:rPr>
                <w:rFonts w:hint="eastAsia"/>
              </w:rPr>
            </w:pPr>
            <w:r>
              <w:rPr>
                <w:rStyle w:val="269"/>
                <w:rFonts w:hint="eastAsia"/>
                <w:sz w:val="24"/>
              </w:rPr>
              <w:t>水的实验、感官的实验、电的实验、空气的实验、光的实验、趣味实验、</w:t>
            </w:r>
            <w:r>
              <w:rPr>
                <w:rStyle w:val="269"/>
                <w:rFonts w:hint="eastAsia" w:ascii="宋体" w:hAnsi="宋体"/>
                <w:sz w:val="24"/>
              </w:rPr>
              <w:t>力的实验。</w:t>
            </w:r>
            <w:r>
              <w:rPr>
                <w:rFonts w:hint="eastAsia" w:ascii="宋体" w:hAnsi="宋体"/>
                <w:sz w:val="24"/>
              </w:rPr>
              <w:t>在了解小学科学实验课的基础上，通过动手操作这些实验，初步学会引领探究的方法。</w:t>
            </w:r>
          </w:p>
        </w:tc>
        <w:tc>
          <w:tcPr>
            <w:tcW w:w="735" w:type="dxa"/>
            <w:noWrap w:val="0"/>
            <w:vAlign w:val="center"/>
          </w:tcPr>
          <w:p w14:paraId="01B51D85">
            <w:pPr>
              <w:jc w:val="center"/>
              <w:rPr>
                <w:bCs/>
                <w:szCs w:val="21"/>
              </w:rPr>
            </w:pPr>
            <w:r>
              <w:rPr>
                <w:rFonts w:hint="eastAsia"/>
                <w:bCs/>
                <w:szCs w:val="21"/>
              </w:rPr>
              <w:t>4</w:t>
            </w:r>
          </w:p>
        </w:tc>
        <w:tc>
          <w:tcPr>
            <w:tcW w:w="1155" w:type="dxa"/>
            <w:noWrap w:val="0"/>
            <w:vAlign w:val="center"/>
          </w:tcPr>
          <w:p w14:paraId="3CA4ACB7">
            <w:pPr>
              <w:jc w:val="center"/>
              <w:rPr>
                <w:rFonts w:hint="eastAsia"/>
                <w:bCs/>
                <w:szCs w:val="21"/>
              </w:rPr>
            </w:pPr>
            <w:r>
              <w:rPr>
                <w:rFonts w:hint="eastAsia"/>
                <w:color w:val="000000"/>
                <w:szCs w:val="21"/>
              </w:rPr>
              <w:t>3、</w:t>
            </w:r>
            <w:r>
              <w:rPr>
                <w:color w:val="000000"/>
                <w:szCs w:val="21"/>
              </w:rPr>
              <w:t>4</w:t>
            </w:r>
            <w:r>
              <w:rPr>
                <w:rFonts w:hint="eastAsia"/>
                <w:color w:val="000000"/>
                <w:szCs w:val="21"/>
              </w:rPr>
              <w:t>、6</w:t>
            </w:r>
          </w:p>
        </w:tc>
        <w:tc>
          <w:tcPr>
            <w:tcW w:w="840" w:type="dxa"/>
            <w:noWrap w:val="0"/>
            <w:tcMar>
              <w:left w:w="28" w:type="dxa"/>
              <w:right w:w="28" w:type="dxa"/>
            </w:tcMar>
            <w:vAlign w:val="center"/>
          </w:tcPr>
          <w:p w14:paraId="5390EFC4">
            <w:pPr>
              <w:jc w:val="center"/>
              <w:rPr>
                <w:szCs w:val="21"/>
              </w:rPr>
            </w:pPr>
            <w:r>
              <w:rPr>
                <w:bCs/>
                <w:szCs w:val="21"/>
              </w:rPr>
              <w:t>综合性</w:t>
            </w:r>
          </w:p>
        </w:tc>
        <w:tc>
          <w:tcPr>
            <w:tcW w:w="630" w:type="dxa"/>
            <w:noWrap w:val="0"/>
            <w:tcMar>
              <w:left w:w="28" w:type="dxa"/>
              <w:right w:w="28" w:type="dxa"/>
            </w:tcMar>
            <w:vAlign w:val="center"/>
          </w:tcPr>
          <w:p w14:paraId="746105E6">
            <w:pPr>
              <w:jc w:val="center"/>
              <w:rPr>
                <w:bCs/>
                <w:szCs w:val="21"/>
              </w:rPr>
            </w:pPr>
            <w:r>
              <w:rPr>
                <w:bCs/>
                <w:szCs w:val="21"/>
              </w:rPr>
              <w:t>必做</w:t>
            </w:r>
          </w:p>
        </w:tc>
      </w:tr>
      <w:tr w14:paraId="5B0F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noWrap w:val="0"/>
            <w:vAlign w:val="center"/>
          </w:tcPr>
          <w:p w14:paraId="5A3E1E6D">
            <w:pPr>
              <w:jc w:val="center"/>
              <w:rPr>
                <w:bCs/>
                <w:szCs w:val="21"/>
              </w:rPr>
            </w:pPr>
            <w:r>
              <w:rPr>
                <w:rFonts w:hint="eastAsia"/>
                <w:bCs/>
                <w:szCs w:val="21"/>
              </w:rPr>
              <w:t>3</w:t>
            </w:r>
          </w:p>
        </w:tc>
        <w:tc>
          <w:tcPr>
            <w:tcW w:w="1784" w:type="dxa"/>
            <w:noWrap w:val="0"/>
            <w:vAlign w:val="center"/>
          </w:tcPr>
          <w:p w14:paraId="17783127">
            <w:pPr>
              <w:rPr>
                <w:rFonts w:hint="eastAsia"/>
                <w:szCs w:val="21"/>
              </w:rPr>
            </w:pPr>
            <w:r>
              <w:rPr>
                <w:rFonts w:hint="eastAsia" w:ascii="宋体" w:hAnsi="宋体" w:cs="Tahoma"/>
                <w:color w:val="333333"/>
                <w:kern w:val="0"/>
                <w:sz w:val="24"/>
              </w:rPr>
              <w:t>S</w:t>
            </w:r>
            <w:r>
              <w:rPr>
                <w:rFonts w:ascii="宋体" w:hAnsi="宋体" w:cs="Tahoma"/>
                <w:color w:val="333333"/>
                <w:kern w:val="0"/>
                <w:sz w:val="24"/>
              </w:rPr>
              <w:t>TEM实验方案设计</w:t>
            </w:r>
            <w:r>
              <w:rPr>
                <w:rFonts w:hint="eastAsia" w:ascii="宋体" w:hAnsi="宋体" w:cs="Tahoma"/>
                <w:color w:val="333333"/>
                <w:kern w:val="0"/>
                <w:sz w:val="24"/>
              </w:rPr>
              <w:t>与实施</w:t>
            </w:r>
          </w:p>
        </w:tc>
        <w:tc>
          <w:tcPr>
            <w:tcW w:w="3568" w:type="dxa"/>
            <w:noWrap w:val="0"/>
            <w:vAlign w:val="top"/>
          </w:tcPr>
          <w:p w14:paraId="798E5FEF">
            <w:pPr>
              <w:spacing w:line="360" w:lineRule="auto"/>
              <w:ind w:firstLine="420" w:firstLineChars="200"/>
              <w:rPr>
                <w:rFonts w:hint="eastAsia"/>
                <w:sz w:val="24"/>
              </w:rPr>
            </w:pPr>
            <w:r>
              <w:rPr>
                <w:rFonts w:hint="eastAsia"/>
              </w:rPr>
              <w:t>利用废旧物品的S</w:t>
            </w:r>
            <w:r>
              <w:t>TEM</w:t>
            </w:r>
            <w:r>
              <w:rPr>
                <w:rFonts w:hint="eastAsia"/>
              </w:rPr>
              <w:t>、无需设备的S</w:t>
            </w:r>
            <w:r>
              <w:t>TEM</w:t>
            </w:r>
            <w:r>
              <w:rPr>
                <w:rFonts w:hint="eastAsia"/>
              </w:rPr>
              <w:t>、文化融入的S</w:t>
            </w:r>
            <w:r>
              <w:t>TEM</w:t>
            </w:r>
            <w:r>
              <w:rPr>
                <w:rFonts w:hint="eastAsia"/>
              </w:rPr>
              <w:t>：C</w:t>
            </w:r>
            <w:r>
              <w:t>-STEAM</w:t>
            </w:r>
          </w:p>
          <w:p w14:paraId="6AB68159"/>
        </w:tc>
        <w:tc>
          <w:tcPr>
            <w:tcW w:w="735" w:type="dxa"/>
            <w:noWrap w:val="0"/>
            <w:vAlign w:val="center"/>
          </w:tcPr>
          <w:p w14:paraId="308705BD">
            <w:pPr>
              <w:jc w:val="center"/>
              <w:rPr>
                <w:bCs/>
                <w:szCs w:val="21"/>
              </w:rPr>
            </w:pPr>
            <w:r>
              <w:rPr>
                <w:rFonts w:hint="eastAsia"/>
                <w:bCs/>
                <w:szCs w:val="21"/>
              </w:rPr>
              <w:t>8</w:t>
            </w:r>
          </w:p>
        </w:tc>
        <w:tc>
          <w:tcPr>
            <w:tcW w:w="1155" w:type="dxa"/>
            <w:noWrap w:val="0"/>
            <w:vAlign w:val="center"/>
          </w:tcPr>
          <w:p w14:paraId="60CF7570">
            <w:pPr>
              <w:jc w:val="center"/>
              <w:rPr>
                <w:rFonts w:hint="eastAsia"/>
                <w:bCs/>
                <w:szCs w:val="21"/>
              </w:rPr>
            </w:pPr>
            <w:r>
              <w:rPr>
                <w:rFonts w:hint="eastAsia"/>
                <w:bCs/>
                <w:szCs w:val="21"/>
              </w:rPr>
              <w:t>3、4、6</w:t>
            </w:r>
          </w:p>
        </w:tc>
        <w:tc>
          <w:tcPr>
            <w:tcW w:w="840" w:type="dxa"/>
            <w:noWrap w:val="0"/>
            <w:tcMar>
              <w:left w:w="28" w:type="dxa"/>
              <w:right w:w="28" w:type="dxa"/>
            </w:tcMar>
            <w:vAlign w:val="center"/>
          </w:tcPr>
          <w:p w14:paraId="1FB4394D">
            <w:pPr>
              <w:jc w:val="center"/>
              <w:rPr>
                <w:szCs w:val="21"/>
              </w:rPr>
            </w:pPr>
            <w:r>
              <w:rPr>
                <w:rFonts w:hint="eastAsia"/>
                <w:szCs w:val="21"/>
              </w:rPr>
              <w:t>综合性</w:t>
            </w:r>
          </w:p>
        </w:tc>
        <w:tc>
          <w:tcPr>
            <w:tcW w:w="630" w:type="dxa"/>
            <w:noWrap w:val="0"/>
            <w:tcMar>
              <w:left w:w="28" w:type="dxa"/>
              <w:right w:w="28" w:type="dxa"/>
            </w:tcMar>
            <w:vAlign w:val="center"/>
          </w:tcPr>
          <w:p w14:paraId="037B6F04">
            <w:pPr>
              <w:jc w:val="center"/>
              <w:rPr>
                <w:bCs/>
                <w:szCs w:val="21"/>
              </w:rPr>
            </w:pPr>
            <w:r>
              <w:rPr>
                <w:rFonts w:hint="eastAsia"/>
                <w:bCs/>
                <w:szCs w:val="21"/>
              </w:rPr>
              <w:t>必做</w:t>
            </w:r>
          </w:p>
        </w:tc>
      </w:tr>
    </w:tbl>
    <w:p w14:paraId="599E4036">
      <w:pPr>
        <w:spacing w:line="360" w:lineRule="auto"/>
        <w:ind w:firstLine="562" w:firstLineChars="200"/>
        <w:rPr>
          <w:rFonts w:hint="eastAsia"/>
          <w:b/>
          <w:sz w:val="28"/>
          <w:szCs w:val="28"/>
        </w:rPr>
      </w:pPr>
      <w:r>
        <w:rPr>
          <w:rFonts w:hint="eastAsia"/>
          <w:b/>
          <w:sz w:val="28"/>
          <w:szCs w:val="28"/>
        </w:rPr>
        <w:t>五、课程实施</w:t>
      </w:r>
    </w:p>
    <w:p w14:paraId="3E2DD96E">
      <w:pPr>
        <w:spacing w:line="360" w:lineRule="auto"/>
        <w:ind w:left="1199" w:leftChars="228" w:hanging="720" w:hangingChars="300"/>
        <w:rPr>
          <w:sz w:val="24"/>
        </w:rPr>
      </w:pPr>
      <w:r>
        <w:rPr>
          <w:sz w:val="24"/>
        </w:rPr>
        <w:t>（一）</w:t>
      </w:r>
      <w:r>
        <w:rPr>
          <w:rFonts w:hint="eastAsia"/>
          <w:sz w:val="24"/>
        </w:rPr>
        <w:t>以生为本，引导师范生理解小学科学教学的基本理念，掌握小学科学教学的一般流程，注重课堂教学的研究性。</w:t>
      </w:r>
    </w:p>
    <w:p w14:paraId="22365AEC">
      <w:pPr>
        <w:spacing w:line="360" w:lineRule="auto"/>
        <w:ind w:left="1199" w:leftChars="228" w:hanging="720" w:hangingChars="300"/>
        <w:rPr>
          <w:sz w:val="24"/>
        </w:rPr>
      </w:pPr>
      <w:r>
        <w:rPr>
          <w:sz w:val="24"/>
        </w:rPr>
        <w:t>（二）</w:t>
      </w:r>
      <w:r>
        <w:rPr>
          <w:rFonts w:hint="eastAsia"/>
          <w:sz w:val="24"/>
        </w:rPr>
        <w:t>关注小学科学教学的前沿动态，将丰富多彩的S</w:t>
      </w:r>
      <w:r>
        <w:rPr>
          <w:sz w:val="24"/>
        </w:rPr>
        <w:t>TEM</w:t>
      </w:r>
      <w:r>
        <w:rPr>
          <w:rFonts w:hint="eastAsia"/>
          <w:sz w:val="24"/>
        </w:rPr>
        <w:t>教学案例引入课堂，引导师范生自主设计。</w:t>
      </w:r>
    </w:p>
    <w:p w14:paraId="3779EB53">
      <w:pPr>
        <w:spacing w:line="360" w:lineRule="auto"/>
        <w:ind w:firstLine="480" w:firstLineChars="200"/>
        <w:rPr>
          <w:sz w:val="24"/>
        </w:rPr>
      </w:pPr>
      <w:r>
        <w:rPr>
          <w:sz w:val="24"/>
        </w:rPr>
        <w:t>（三）</w:t>
      </w:r>
      <w:r>
        <w:rPr>
          <w:rFonts w:hint="eastAsia"/>
          <w:sz w:val="24"/>
        </w:rPr>
        <w:t>强化课堂实验，注重师范生教学实验能力的培养。</w:t>
      </w:r>
    </w:p>
    <w:p w14:paraId="169FB4CE">
      <w:pPr>
        <w:spacing w:line="360" w:lineRule="auto"/>
        <w:ind w:firstLine="480" w:firstLineChars="200"/>
        <w:rPr>
          <w:bCs/>
          <w:sz w:val="24"/>
        </w:rPr>
      </w:pPr>
      <w:r>
        <w:rPr>
          <w:bCs/>
          <w:sz w:val="24"/>
        </w:rPr>
        <w:t>（四）主要教学环节的质量要求如表所示。</w:t>
      </w:r>
    </w:p>
    <w:p w14:paraId="7414E011">
      <w:pPr>
        <w:spacing w:line="360" w:lineRule="auto"/>
        <w:ind w:firstLine="480" w:firstLineChars="200"/>
        <w:rPr>
          <w:bCs/>
          <w:sz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701"/>
        <w:gridCol w:w="6817"/>
      </w:tblGrid>
      <w:tr w14:paraId="7E47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0A17CE5E">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1161F9B1">
            <w:pPr>
              <w:spacing w:line="276" w:lineRule="auto"/>
              <w:jc w:val="center"/>
              <w:rPr>
                <w:szCs w:val="21"/>
              </w:rPr>
            </w:pPr>
            <w:r>
              <w:rPr>
                <w:bCs/>
                <w:szCs w:val="21"/>
              </w:rPr>
              <w:t>质量</w:t>
            </w:r>
            <w:r>
              <w:rPr>
                <w:rFonts w:hint="eastAsia"/>
                <w:bCs/>
                <w:szCs w:val="21"/>
              </w:rPr>
              <w:t>要求</w:t>
            </w:r>
          </w:p>
        </w:tc>
      </w:tr>
      <w:tr w14:paraId="36B1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noWrap w:val="0"/>
            <w:vAlign w:val="center"/>
          </w:tcPr>
          <w:p w14:paraId="400F31A1">
            <w:pPr>
              <w:spacing w:line="276" w:lineRule="auto"/>
              <w:jc w:val="center"/>
              <w:rPr>
                <w:szCs w:val="21"/>
              </w:rPr>
            </w:pPr>
            <w:r>
              <w:rPr>
                <w:szCs w:val="21"/>
              </w:rPr>
              <w:t>1</w:t>
            </w:r>
          </w:p>
        </w:tc>
        <w:tc>
          <w:tcPr>
            <w:tcW w:w="1701" w:type="dxa"/>
            <w:noWrap w:val="0"/>
            <w:tcMar>
              <w:left w:w="28" w:type="dxa"/>
              <w:right w:w="28" w:type="dxa"/>
            </w:tcMar>
            <w:vAlign w:val="center"/>
          </w:tcPr>
          <w:p w14:paraId="79E04AB3">
            <w:pPr>
              <w:spacing w:line="276" w:lineRule="auto"/>
              <w:jc w:val="center"/>
              <w:rPr>
                <w:szCs w:val="21"/>
              </w:rPr>
            </w:pPr>
            <w:r>
              <w:rPr>
                <w:szCs w:val="21"/>
              </w:rPr>
              <w:t>备课</w:t>
            </w:r>
          </w:p>
        </w:tc>
        <w:tc>
          <w:tcPr>
            <w:tcW w:w="6817" w:type="dxa"/>
            <w:tcBorders>
              <w:right w:val="single" w:color="auto" w:sz="8" w:space="0"/>
            </w:tcBorders>
            <w:noWrap w:val="0"/>
            <w:vAlign w:val="center"/>
          </w:tcPr>
          <w:p w14:paraId="08012A5D">
            <w:pPr>
              <w:spacing w:line="276" w:lineRule="auto"/>
              <w:ind w:left="630" w:hanging="630" w:hangingChars="300"/>
              <w:rPr>
                <w:szCs w:val="21"/>
              </w:rPr>
            </w:pPr>
            <w:r>
              <w:rPr>
                <w:szCs w:val="21"/>
              </w:rPr>
              <w:t>（1）掌握本课程教学大纲内容，严格按照教学大纲要求进行课程教学内容的组织。</w:t>
            </w:r>
          </w:p>
          <w:p w14:paraId="36C66135">
            <w:pPr>
              <w:spacing w:line="276" w:lineRule="auto"/>
              <w:ind w:left="630" w:hanging="630" w:hangingChars="300"/>
              <w:rPr>
                <w:rFonts w:hint="eastAsia"/>
                <w:szCs w:val="21"/>
              </w:rPr>
            </w:pPr>
            <w:r>
              <w:rPr>
                <w:szCs w:val="21"/>
              </w:rPr>
              <w:t>（2）熟悉教材各章节，借助专业书籍资料，并依据教学大纲</w:t>
            </w:r>
            <w:r>
              <w:rPr>
                <w:rFonts w:hint="eastAsia"/>
                <w:szCs w:val="21"/>
              </w:rPr>
              <w:t>精心设计教学方案并制作教学课件。</w:t>
            </w:r>
          </w:p>
          <w:p w14:paraId="345DDF01">
            <w:pPr>
              <w:spacing w:line="276" w:lineRule="auto"/>
              <w:rPr>
                <w:szCs w:val="21"/>
              </w:rPr>
            </w:pPr>
            <w:r>
              <w:rPr>
                <w:rFonts w:hint="eastAsia"/>
                <w:szCs w:val="21"/>
              </w:rPr>
              <w:t>（3）注重教学过程的主体性，突出学习自主学习环节的安排。</w:t>
            </w:r>
          </w:p>
        </w:tc>
      </w:tr>
      <w:tr w14:paraId="722D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noWrap w:val="0"/>
            <w:vAlign w:val="center"/>
          </w:tcPr>
          <w:p w14:paraId="65D134E0">
            <w:pPr>
              <w:spacing w:line="276" w:lineRule="auto"/>
              <w:jc w:val="center"/>
              <w:rPr>
                <w:szCs w:val="21"/>
              </w:rPr>
            </w:pPr>
            <w:r>
              <w:rPr>
                <w:szCs w:val="21"/>
              </w:rPr>
              <w:t>2</w:t>
            </w:r>
          </w:p>
        </w:tc>
        <w:tc>
          <w:tcPr>
            <w:tcW w:w="1701" w:type="dxa"/>
            <w:noWrap w:val="0"/>
            <w:tcMar>
              <w:left w:w="28" w:type="dxa"/>
              <w:right w:w="28" w:type="dxa"/>
            </w:tcMar>
            <w:vAlign w:val="center"/>
          </w:tcPr>
          <w:p w14:paraId="3FD6113A">
            <w:pPr>
              <w:spacing w:line="276" w:lineRule="auto"/>
              <w:jc w:val="center"/>
              <w:rPr>
                <w:szCs w:val="21"/>
              </w:rPr>
            </w:pPr>
            <w:r>
              <w:rPr>
                <w:szCs w:val="21"/>
              </w:rPr>
              <w:t>讲授</w:t>
            </w:r>
          </w:p>
        </w:tc>
        <w:tc>
          <w:tcPr>
            <w:tcW w:w="6817" w:type="dxa"/>
            <w:tcBorders>
              <w:right w:val="single" w:color="auto" w:sz="8" w:space="0"/>
            </w:tcBorders>
            <w:noWrap w:val="0"/>
            <w:vAlign w:val="center"/>
          </w:tcPr>
          <w:p w14:paraId="4694A4CF">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w:t>
            </w:r>
          </w:p>
          <w:p w14:paraId="153B2695">
            <w:pPr>
              <w:spacing w:line="276" w:lineRule="auto"/>
              <w:rPr>
                <w:szCs w:val="21"/>
              </w:rPr>
            </w:pPr>
            <w:r>
              <w:rPr>
                <w:rFonts w:hint="eastAsia"/>
                <w:szCs w:val="21"/>
              </w:rPr>
              <w:t>（2）</w:t>
            </w:r>
            <w:r>
              <w:rPr>
                <w:szCs w:val="21"/>
              </w:rPr>
              <w:t>采用多种教学方式，注重培养学生发现、分析和解决问题的能力。</w:t>
            </w:r>
          </w:p>
          <w:p w14:paraId="35CEFF5C">
            <w:pPr>
              <w:spacing w:line="276" w:lineRule="auto"/>
              <w:rPr>
                <w:szCs w:val="21"/>
              </w:rPr>
            </w:pPr>
            <w:r>
              <w:rPr>
                <w:rFonts w:hint="eastAsia"/>
                <w:szCs w:val="21"/>
              </w:rPr>
              <w:t>（3）能够充分利用现代信息技术辅助</w:t>
            </w:r>
            <w:r>
              <w:rPr>
                <w:szCs w:val="21"/>
              </w:rPr>
              <w:t>教学。</w:t>
            </w:r>
          </w:p>
          <w:p w14:paraId="0471A729">
            <w:pPr>
              <w:spacing w:line="276" w:lineRule="auto"/>
              <w:ind w:left="630" w:hanging="630" w:hangingChars="300"/>
              <w:rPr>
                <w:szCs w:val="21"/>
              </w:rPr>
            </w:pPr>
            <w:r>
              <w:rPr>
                <w:rFonts w:hint="eastAsia"/>
                <w:szCs w:val="21"/>
              </w:rPr>
              <w:t>（4）语言表达应能</w:t>
            </w:r>
            <w:r>
              <w:rPr>
                <w:szCs w:val="21"/>
              </w:rPr>
              <w:t>便于学生理解、接受，力求形象生动，使学生在掌握知识的过程中，保持较为浓厚的</w:t>
            </w:r>
            <w:r>
              <w:rPr>
                <w:rFonts w:hint="eastAsia"/>
                <w:szCs w:val="21"/>
              </w:rPr>
              <w:t>学习</w:t>
            </w:r>
            <w:r>
              <w:rPr>
                <w:szCs w:val="21"/>
              </w:rPr>
              <w:t>兴趣。</w:t>
            </w:r>
          </w:p>
        </w:tc>
      </w:tr>
      <w:tr w14:paraId="0D20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noWrap w:val="0"/>
            <w:vAlign w:val="center"/>
          </w:tcPr>
          <w:p w14:paraId="678B887A">
            <w:pPr>
              <w:spacing w:line="276" w:lineRule="auto"/>
              <w:jc w:val="center"/>
              <w:rPr>
                <w:szCs w:val="21"/>
              </w:rPr>
            </w:pPr>
            <w:r>
              <w:rPr>
                <w:szCs w:val="21"/>
              </w:rPr>
              <w:t>3</w:t>
            </w:r>
          </w:p>
        </w:tc>
        <w:tc>
          <w:tcPr>
            <w:tcW w:w="1701" w:type="dxa"/>
            <w:noWrap w:val="0"/>
            <w:tcMar>
              <w:left w:w="28" w:type="dxa"/>
              <w:right w:w="28" w:type="dxa"/>
            </w:tcMar>
            <w:vAlign w:val="center"/>
          </w:tcPr>
          <w:p w14:paraId="7B1A2259">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0B187517">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181A2768">
            <w:pPr>
              <w:spacing w:line="276" w:lineRule="auto"/>
              <w:rPr>
                <w:szCs w:val="21"/>
              </w:rPr>
            </w:pPr>
            <w:r>
              <w:rPr>
                <w:rFonts w:hint="eastAsia"/>
                <w:szCs w:val="21"/>
              </w:rPr>
              <w:t>（1）</w:t>
            </w:r>
            <w:r>
              <w:rPr>
                <w:szCs w:val="21"/>
              </w:rPr>
              <w:t>按时按量完成作业，不缺交，不抄袭</w:t>
            </w:r>
            <w:r>
              <w:rPr>
                <w:rFonts w:hint="eastAsia"/>
                <w:szCs w:val="21"/>
              </w:rPr>
              <w:t>。</w:t>
            </w:r>
          </w:p>
          <w:p w14:paraId="75B3357B">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619B68E7">
            <w:pPr>
              <w:spacing w:line="276" w:lineRule="auto"/>
              <w:rPr>
                <w:szCs w:val="21"/>
              </w:rPr>
            </w:pPr>
            <w:r>
              <w:rPr>
                <w:rFonts w:hint="eastAsia"/>
                <w:szCs w:val="21"/>
              </w:rPr>
              <w:t>（3）有自己的见解</w:t>
            </w:r>
            <w:r>
              <w:rPr>
                <w:szCs w:val="21"/>
              </w:rPr>
              <w:t>。</w:t>
            </w:r>
          </w:p>
          <w:p w14:paraId="651841AC">
            <w:pPr>
              <w:spacing w:line="276" w:lineRule="auto"/>
              <w:rPr>
                <w:szCs w:val="21"/>
              </w:rPr>
            </w:pPr>
            <w:r>
              <w:rPr>
                <w:szCs w:val="21"/>
              </w:rPr>
              <w:t>教师批改</w:t>
            </w:r>
            <w:r>
              <w:rPr>
                <w:rFonts w:hint="eastAsia"/>
                <w:szCs w:val="21"/>
              </w:rPr>
              <w:t>和</w:t>
            </w:r>
            <w:r>
              <w:rPr>
                <w:szCs w:val="21"/>
              </w:rPr>
              <w:t>讲评作业要求如下：</w:t>
            </w:r>
          </w:p>
          <w:p w14:paraId="4A86F795">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57902481">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0B432E3A">
            <w:pPr>
              <w:spacing w:line="276" w:lineRule="auto"/>
              <w:rPr>
                <w:szCs w:val="21"/>
              </w:rPr>
            </w:pPr>
            <w:r>
              <w:rPr>
                <w:rFonts w:hint="eastAsia"/>
                <w:szCs w:val="21"/>
              </w:rPr>
              <w:t>（3）</w:t>
            </w:r>
            <w:r>
              <w:rPr>
                <w:szCs w:val="21"/>
              </w:rPr>
              <w:t>学生作业的平均成绩作为平时成绩的重要组成部分。</w:t>
            </w:r>
          </w:p>
        </w:tc>
      </w:tr>
      <w:tr w14:paraId="0B87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noWrap w:val="0"/>
            <w:vAlign w:val="center"/>
          </w:tcPr>
          <w:p w14:paraId="5447D916">
            <w:pPr>
              <w:spacing w:line="276" w:lineRule="auto"/>
              <w:jc w:val="center"/>
              <w:rPr>
                <w:szCs w:val="21"/>
              </w:rPr>
            </w:pPr>
            <w:r>
              <w:rPr>
                <w:szCs w:val="21"/>
              </w:rPr>
              <w:t>4</w:t>
            </w:r>
          </w:p>
        </w:tc>
        <w:tc>
          <w:tcPr>
            <w:tcW w:w="1701" w:type="dxa"/>
            <w:noWrap w:val="0"/>
            <w:tcMar>
              <w:left w:w="28" w:type="dxa"/>
              <w:right w:w="28" w:type="dxa"/>
            </w:tcMar>
            <w:vAlign w:val="center"/>
          </w:tcPr>
          <w:p w14:paraId="396F1B2A">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61366821">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392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noWrap w:val="0"/>
            <w:vAlign w:val="center"/>
          </w:tcPr>
          <w:p w14:paraId="0BCE17C2">
            <w:pPr>
              <w:spacing w:line="276" w:lineRule="auto"/>
              <w:jc w:val="center"/>
              <w:rPr>
                <w:szCs w:val="21"/>
              </w:rPr>
            </w:pPr>
            <w:r>
              <w:rPr>
                <w:szCs w:val="21"/>
              </w:rPr>
              <w:t>5</w:t>
            </w:r>
          </w:p>
        </w:tc>
        <w:tc>
          <w:tcPr>
            <w:tcW w:w="1701" w:type="dxa"/>
            <w:noWrap w:val="0"/>
            <w:tcMar>
              <w:left w:w="28" w:type="dxa"/>
              <w:right w:w="28" w:type="dxa"/>
            </w:tcMar>
            <w:vAlign w:val="center"/>
          </w:tcPr>
          <w:p w14:paraId="0EC386E2">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2E2184A0">
            <w:pPr>
              <w:spacing w:line="276" w:lineRule="auto"/>
              <w:rPr>
                <w:szCs w:val="21"/>
              </w:rPr>
            </w:pPr>
            <w:r>
              <w:rPr>
                <w:szCs w:val="21"/>
              </w:rPr>
              <w:t>本课程</w:t>
            </w:r>
            <w:r>
              <w:rPr>
                <w:rFonts w:hint="eastAsia"/>
                <w:szCs w:val="21"/>
              </w:rPr>
              <w:t>为考查科目，</w:t>
            </w:r>
            <w:r>
              <w:rPr>
                <w:szCs w:val="21"/>
              </w:rPr>
              <w:t>考核的方式</w:t>
            </w:r>
            <w:r>
              <w:rPr>
                <w:rFonts w:hint="eastAsia"/>
                <w:szCs w:val="21"/>
              </w:rPr>
              <w:t>为开卷笔试</w:t>
            </w:r>
            <w:r>
              <w:rPr>
                <w:szCs w:val="21"/>
              </w:rPr>
              <w:t>。有下列情况之一者，总评成绩为不及格：</w:t>
            </w:r>
          </w:p>
          <w:p w14:paraId="4DF2E8AA">
            <w:pPr>
              <w:spacing w:line="276" w:lineRule="auto"/>
              <w:rPr>
                <w:szCs w:val="21"/>
              </w:rPr>
            </w:pPr>
            <w:r>
              <w:rPr>
                <w:rFonts w:hint="eastAsia"/>
                <w:szCs w:val="21"/>
              </w:rPr>
              <w:t>（1）</w:t>
            </w:r>
            <w:r>
              <w:rPr>
                <w:szCs w:val="21"/>
              </w:rPr>
              <w:t>缺交作业次数达1/3以上者</w:t>
            </w:r>
            <w:r>
              <w:rPr>
                <w:rFonts w:hint="eastAsia"/>
                <w:szCs w:val="21"/>
              </w:rPr>
              <w:t>。</w:t>
            </w:r>
          </w:p>
          <w:p w14:paraId="018F55FF">
            <w:pPr>
              <w:spacing w:line="276" w:lineRule="auto"/>
              <w:rPr>
                <w:szCs w:val="21"/>
              </w:rPr>
            </w:pPr>
            <w:r>
              <w:rPr>
                <w:rFonts w:hint="eastAsia"/>
                <w:szCs w:val="21"/>
              </w:rPr>
              <w:t>（2）</w:t>
            </w:r>
            <w:r>
              <w:rPr>
                <w:szCs w:val="21"/>
              </w:rPr>
              <w:t>缺课次数达本学期总授课学时的1/3以上者</w:t>
            </w:r>
            <w:r>
              <w:rPr>
                <w:rFonts w:hint="eastAsia"/>
                <w:szCs w:val="21"/>
              </w:rPr>
              <w:t>。</w:t>
            </w:r>
          </w:p>
        </w:tc>
      </w:tr>
    </w:tbl>
    <w:p w14:paraId="66C24F19">
      <w:pPr>
        <w:spacing w:line="360" w:lineRule="auto"/>
        <w:ind w:firstLine="562" w:firstLineChars="200"/>
        <w:rPr>
          <w:rFonts w:hint="eastAsia"/>
          <w:b/>
          <w:sz w:val="28"/>
          <w:szCs w:val="28"/>
        </w:rPr>
      </w:pPr>
      <w:r>
        <w:rPr>
          <w:rFonts w:hint="eastAsia"/>
          <w:b/>
          <w:sz w:val="28"/>
          <w:szCs w:val="28"/>
        </w:rPr>
        <w:t>六、考核方式</w:t>
      </w:r>
    </w:p>
    <w:p w14:paraId="41341161">
      <w:pPr>
        <w:spacing w:line="360" w:lineRule="auto"/>
        <w:ind w:firstLine="480" w:firstLineChars="200"/>
        <w:rPr>
          <w:sz w:val="24"/>
        </w:rPr>
      </w:pPr>
      <w:r>
        <w:rPr>
          <w:rFonts w:hint="eastAsia"/>
          <w:sz w:val="24"/>
        </w:rPr>
        <w:t>（一）</w:t>
      </w:r>
      <w:r>
        <w:rPr>
          <w:sz w:val="24"/>
        </w:rPr>
        <w:t>课程考核包括期末考试、平时及作业情况考核和</w:t>
      </w:r>
      <w:r>
        <w:rPr>
          <w:rFonts w:hint="eastAsia"/>
          <w:sz w:val="24"/>
        </w:rPr>
        <w:t>课内实验</w:t>
      </w:r>
      <w:r>
        <w:rPr>
          <w:sz w:val="24"/>
        </w:rPr>
        <w:t>考核，期末考试采用</w:t>
      </w:r>
      <w:r>
        <w:rPr>
          <w:rFonts w:hint="eastAsia"/>
          <w:sz w:val="24"/>
        </w:rPr>
        <w:t>开</w:t>
      </w:r>
      <w:r>
        <w:rPr>
          <w:sz w:val="24"/>
        </w:rPr>
        <w:t>卷笔试。</w:t>
      </w:r>
    </w:p>
    <w:p w14:paraId="7EF93A52">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20</w:t>
      </w:r>
      <w:r>
        <w:rPr>
          <w:sz w:val="24"/>
        </w:rPr>
        <w:t>%+</w:t>
      </w:r>
      <w:r>
        <w:rPr>
          <w:rFonts w:hint="eastAsia"/>
          <w:sz w:val="24"/>
        </w:rPr>
        <w:t>课内实验</w:t>
      </w:r>
      <w:r>
        <w:rPr>
          <w:sz w:val="24"/>
        </w:rPr>
        <w:t>成绩×</w:t>
      </w:r>
      <w:r>
        <w:rPr>
          <w:rFonts w:hint="eastAsia"/>
          <w:sz w:val="24"/>
        </w:rPr>
        <w:t>20</w:t>
      </w:r>
      <w:r>
        <w:rPr>
          <w:sz w:val="24"/>
        </w:rPr>
        <w:t>%+期末考试成绩×60%。</w:t>
      </w:r>
      <w:r>
        <w:rPr>
          <w:rFonts w:hint="eastAsia"/>
          <w:sz w:val="24"/>
        </w:rPr>
        <w:t>具体内容和比例如表所示。</w:t>
      </w:r>
    </w:p>
    <w:tbl>
      <w:tblPr>
        <w:tblStyle w:val="30"/>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4C43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shd w:val="clear" w:color="auto" w:fill="FFFFFF"/>
            <w:noWrap w:val="0"/>
            <w:tcMar>
              <w:left w:w="57" w:type="dxa"/>
              <w:right w:w="57" w:type="dxa"/>
            </w:tcMar>
            <w:vAlign w:val="center"/>
          </w:tcPr>
          <w:p w14:paraId="00B25888">
            <w:pPr>
              <w:pStyle w:val="270"/>
            </w:pPr>
            <w:r>
              <w:t>成绩组成</w:t>
            </w:r>
          </w:p>
        </w:tc>
        <w:tc>
          <w:tcPr>
            <w:tcW w:w="1565" w:type="dxa"/>
            <w:shd w:val="clear" w:color="auto" w:fill="FFFFFF"/>
            <w:noWrap w:val="0"/>
            <w:vAlign w:val="center"/>
          </w:tcPr>
          <w:p w14:paraId="2289D0FF">
            <w:pPr>
              <w:pStyle w:val="270"/>
            </w:pPr>
            <w:r>
              <w:t>考核/评价环节</w:t>
            </w:r>
          </w:p>
        </w:tc>
        <w:tc>
          <w:tcPr>
            <w:tcW w:w="808" w:type="dxa"/>
            <w:shd w:val="clear" w:color="auto" w:fill="FFFFFF"/>
            <w:noWrap w:val="0"/>
            <w:vAlign w:val="center"/>
          </w:tcPr>
          <w:p w14:paraId="1EB4E648">
            <w:pPr>
              <w:pStyle w:val="270"/>
            </w:pPr>
            <w:r>
              <w:rPr>
                <w:rFonts w:hint="eastAsia"/>
              </w:rPr>
              <w:t>权重</w:t>
            </w:r>
          </w:p>
        </w:tc>
        <w:tc>
          <w:tcPr>
            <w:tcW w:w="4410" w:type="dxa"/>
            <w:shd w:val="clear" w:color="auto" w:fill="FFFFFF"/>
            <w:noWrap w:val="0"/>
            <w:vAlign w:val="center"/>
          </w:tcPr>
          <w:p w14:paraId="5FDB2490">
            <w:pPr>
              <w:pStyle w:val="270"/>
            </w:pPr>
            <w:r>
              <w:t>考核/评价细则</w:t>
            </w:r>
          </w:p>
        </w:tc>
        <w:tc>
          <w:tcPr>
            <w:tcW w:w="1470" w:type="dxa"/>
            <w:shd w:val="clear" w:color="auto" w:fill="FFFFFF"/>
            <w:noWrap w:val="0"/>
            <w:vAlign w:val="center"/>
          </w:tcPr>
          <w:p w14:paraId="09287A7B">
            <w:pPr>
              <w:pStyle w:val="270"/>
            </w:pPr>
            <w:r>
              <w:t>对应的毕业要求指标点</w:t>
            </w:r>
          </w:p>
        </w:tc>
      </w:tr>
      <w:tr w14:paraId="617B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4" w:type="dxa"/>
            <w:noWrap w:val="0"/>
            <w:tcMar>
              <w:left w:w="57" w:type="dxa"/>
              <w:right w:w="57" w:type="dxa"/>
            </w:tcMar>
            <w:vAlign w:val="center"/>
          </w:tcPr>
          <w:p w14:paraId="0F5BA2DA">
            <w:pPr>
              <w:pStyle w:val="270"/>
            </w:pPr>
            <w:r>
              <w:t>平时成绩</w:t>
            </w:r>
          </w:p>
        </w:tc>
        <w:tc>
          <w:tcPr>
            <w:tcW w:w="1565" w:type="dxa"/>
            <w:noWrap w:val="0"/>
            <w:vAlign w:val="center"/>
          </w:tcPr>
          <w:p w14:paraId="595EE788">
            <w:pPr>
              <w:pStyle w:val="270"/>
            </w:pPr>
            <w:r>
              <w:rPr>
                <w:rFonts w:hint="eastAsia"/>
              </w:rPr>
              <w:t>实验报告+课堂表现</w:t>
            </w:r>
          </w:p>
        </w:tc>
        <w:tc>
          <w:tcPr>
            <w:tcW w:w="808" w:type="dxa"/>
            <w:noWrap w:val="0"/>
            <w:vAlign w:val="center"/>
          </w:tcPr>
          <w:p w14:paraId="72A0CA08">
            <w:pPr>
              <w:pStyle w:val="270"/>
            </w:pPr>
            <w:r>
              <w:rPr>
                <w:rFonts w:hint="eastAsia"/>
              </w:rPr>
              <w:t>20</w:t>
            </w:r>
            <w:r>
              <w:t>%</w:t>
            </w:r>
          </w:p>
        </w:tc>
        <w:tc>
          <w:tcPr>
            <w:tcW w:w="4410" w:type="dxa"/>
            <w:noWrap w:val="0"/>
            <w:vAlign w:val="center"/>
          </w:tcPr>
          <w:p w14:paraId="650C3AC4">
            <w:pPr>
              <w:pStyle w:val="270"/>
            </w:pPr>
            <w:r>
              <w:rPr>
                <w:rFonts w:hint="eastAsia"/>
                <w:color w:val="000000"/>
              </w:rPr>
              <w:t>平时总评包括实验报告和课堂表现的平均分，课堂表现=考勤+实验操作</w:t>
            </w:r>
          </w:p>
        </w:tc>
        <w:tc>
          <w:tcPr>
            <w:tcW w:w="1470" w:type="dxa"/>
            <w:noWrap w:val="0"/>
            <w:vAlign w:val="center"/>
          </w:tcPr>
          <w:p w14:paraId="14C0F0EA">
            <w:pPr>
              <w:pStyle w:val="270"/>
            </w:pPr>
            <w:r>
              <w:rPr>
                <w:rFonts w:hint="eastAsia"/>
              </w:rPr>
              <w:t>3-3、4-3、6-2、6-3</w:t>
            </w:r>
          </w:p>
        </w:tc>
      </w:tr>
      <w:tr w14:paraId="394D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tcMar>
              <w:left w:w="57" w:type="dxa"/>
              <w:right w:w="57" w:type="dxa"/>
            </w:tcMar>
            <w:vAlign w:val="center"/>
          </w:tcPr>
          <w:p w14:paraId="5FE7466E">
            <w:pPr>
              <w:pStyle w:val="270"/>
            </w:pPr>
            <w:r>
              <w:rPr>
                <w:rFonts w:hint="eastAsia"/>
              </w:rPr>
              <w:t>实验实践</w:t>
            </w:r>
            <w:r>
              <w:t>成绩</w:t>
            </w:r>
          </w:p>
        </w:tc>
        <w:tc>
          <w:tcPr>
            <w:tcW w:w="1565" w:type="dxa"/>
            <w:noWrap w:val="0"/>
            <w:vAlign w:val="center"/>
          </w:tcPr>
          <w:p w14:paraId="0E3B6D0C">
            <w:pPr>
              <w:pStyle w:val="270"/>
              <w:rPr>
                <w:rFonts w:hint="eastAsia"/>
              </w:rPr>
            </w:pPr>
            <w:r>
              <w:rPr>
                <w:rFonts w:hint="eastAsia"/>
              </w:rPr>
              <w:t>实验作品+</w:t>
            </w:r>
            <w:r>
              <w:rPr>
                <w:rFonts w:hint="eastAsia" w:ascii="宋体" w:hAnsi="宋体" w:cs="Tahoma"/>
                <w:color w:val="333333"/>
                <w:sz w:val="22"/>
                <w:szCs w:val="22"/>
              </w:rPr>
              <w:t>科学</w:t>
            </w:r>
            <w:r>
              <w:rPr>
                <w:rFonts w:ascii="宋体" w:hAnsi="宋体" w:cs="Tahoma"/>
                <w:color w:val="333333"/>
                <w:sz w:val="22"/>
                <w:szCs w:val="22"/>
              </w:rPr>
              <w:t>实验</w:t>
            </w:r>
            <w:r>
              <w:rPr>
                <w:rFonts w:hint="eastAsia" w:ascii="宋体" w:hAnsi="宋体" w:cs="Tahoma"/>
                <w:color w:val="333333"/>
                <w:sz w:val="22"/>
                <w:szCs w:val="22"/>
              </w:rPr>
              <w:t>教学</w:t>
            </w:r>
            <w:r>
              <w:rPr>
                <w:rFonts w:ascii="宋体" w:hAnsi="宋体" w:cs="Tahoma"/>
                <w:color w:val="333333"/>
                <w:sz w:val="22"/>
                <w:szCs w:val="22"/>
              </w:rPr>
              <w:t>设计</w:t>
            </w:r>
          </w:p>
        </w:tc>
        <w:tc>
          <w:tcPr>
            <w:tcW w:w="808" w:type="dxa"/>
            <w:noWrap w:val="0"/>
            <w:vAlign w:val="center"/>
          </w:tcPr>
          <w:p w14:paraId="205D1387">
            <w:pPr>
              <w:pStyle w:val="270"/>
            </w:pPr>
            <w:r>
              <w:rPr>
                <w:rFonts w:hint="eastAsia"/>
              </w:rPr>
              <w:t>20</w:t>
            </w:r>
            <w:r>
              <w:t>%</w:t>
            </w:r>
          </w:p>
        </w:tc>
        <w:tc>
          <w:tcPr>
            <w:tcW w:w="4410" w:type="dxa"/>
            <w:noWrap w:val="0"/>
            <w:vAlign w:val="center"/>
          </w:tcPr>
          <w:p w14:paraId="1CB0F13A">
            <w:pPr>
              <w:pStyle w:val="270"/>
              <w:rPr>
                <w:color w:val="000000"/>
              </w:rPr>
            </w:pPr>
            <w:r>
              <w:rPr>
                <w:rFonts w:hint="eastAsia"/>
                <w:color w:val="000000"/>
              </w:rPr>
              <w:t>科学实验小组作品和科学实验教学设计，取平均分作为课内实验分。</w:t>
            </w:r>
          </w:p>
        </w:tc>
        <w:tc>
          <w:tcPr>
            <w:tcW w:w="1470" w:type="dxa"/>
            <w:noWrap w:val="0"/>
            <w:vAlign w:val="center"/>
          </w:tcPr>
          <w:p w14:paraId="6EEADBC4">
            <w:pPr>
              <w:pStyle w:val="270"/>
            </w:pPr>
            <w:r>
              <w:rPr>
                <w:rFonts w:hint="eastAsia"/>
              </w:rPr>
              <w:t>3-3、4-3、6-2、6-3</w:t>
            </w:r>
          </w:p>
        </w:tc>
      </w:tr>
      <w:tr w14:paraId="4993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44" w:type="dxa"/>
            <w:noWrap w:val="0"/>
            <w:tcMar>
              <w:left w:w="57" w:type="dxa"/>
              <w:right w:w="57" w:type="dxa"/>
            </w:tcMar>
            <w:vAlign w:val="center"/>
          </w:tcPr>
          <w:p w14:paraId="561EDEB3">
            <w:pPr>
              <w:pStyle w:val="270"/>
              <w:rPr>
                <w:color w:val="FF0000"/>
              </w:rPr>
            </w:pPr>
            <w:r>
              <w:t>期末考试</w:t>
            </w:r>
            <w:r>
              <w:rPr>
                <w:rFonts w:hint="eastAsia"/>
              </w:rPr>
              <w:t>成绩</w:t>
            </w:r>
          </w:p>
        </w:tc>
        <w:tc>
          <w:tcPr>
            <w:tcW w:w="1565" w:type="dxa"/>
            <w:noWrap w:val="0"/>
            <w:vAlign w:val="center"/>
          </w:tcPr>
          <w:p w14:paraId="31A2748B">
            <w:pPr>
              <w:pStyle w:val="270"/>
            </w:pPr>
            <w:r>
              <w:rPr>
                <w:rFonts w:hint="eastAsia"/>
              </w:rPr>
              <w:t>开卷笔试</w:t>
            </w:r>
          </w:p>
        </w:tc>
        <w:tc>
          <w:tcPr>
            <w:tcW w:w="808" w:type="dxa"/>
            <w:noWrap w:val="0"/>
            <w:vAlign w:val="center"/>
          </w:tcPr>
          <w:p w14:paraId="528B58DE">
            <w:pPr>
              <w:pStyle w:val="270"/>
            </w:pPr>
            <w:r>
              <w:rPr>
                <w:rFonts w:hint="eastAsia"/>
              </w:rPr>
              <w:t>60</w:t>
            </w:r>
            <w:r>
              <w:t>%</w:t>
            </w:r>
          </w:p>
        </w:tc>
        <w:tc>
          <w:tcPr>
            <w:tcW w:w="4410" w:type="dxa"/>
            <w:noWrap w:val="0"/>
            <w:vAlign w:val="center"/>
          </w:tcPr>
          <w:p w14:paraId="10230A4A">
            <w:pPr>
              <w:pStyle w:val="270"/>
              <w:rPr>
                <w:color w:val="000000"/>
              </w:rPr>
            </w:pPr>
            <w:r>
              <w:rPr>
                <w:rFonts w:hint="eastAsia"/>
                <w:color w:val="000000"/>
              </w:rPr>
              <w:t>试卷题型实验指导设计题，考核师范生小学科学实验课运用所学理论解决问题的能力。</w:t>
            </w:r>
          </w:p>
        </w:tc>
        <w:tc>
          <w:tcPr>
            <w:tcW w:w="1470" w:type="dxa"/>
            <w:noWrap w:val="0"/>
            <w:vAlign w:val="center"/>
          </w:tcPr>
          <w:p w14:paraId="1FEA2406">
            <w:pPr>
              <w:pStyle w:val="270"/>
            </w:pPr>
            <w:r>
              <w:rPr>
                <w:rFonts w:hint="eastAsia"/>
              </w:rPr>
              <w:t>3-3、4-3、6-2、6-3</w:t>
            </w:r>
          </w:p>
        </w:tc>
      </w:tr>
    </w:tbl>
    <w:p w14:paraId="14EDAFB8">
      <w:pPr>
        <w:spacing w:line="360" w:lineRule="auto"/>
        <w:rPr>
          <w:rFonts w:ascii="宋体" w:hAnsi="宋体"/>
          <w:sz w:val="24"/>
        </w:rPr>
      </w:pPr>
      <w:r>
        <w:rPr>
          <w:rFonts w:ascii="宋体" w:hAnsi="宋体"/>
          <w:sz w:val="24"/>
        </w:rPr>
        <w:t>（三）</w:t>
      </w:r>
      <w:r>
        <w:rPr>
          <w:rFonts w:hint="eastAsia" w:ascii="宋体" w:hAnsi="宋体"/>
          <w:sz w:val="24"/>
        </w:rPr>
        <w:t>课程目标及考核方式权重分配表</w:t>
      </w:r>
    </w:p>
    <w:p w14:paraId="3792D5D9">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18F7DEE9">
      <w:pPr>
        <w:spacing w:before="156" w:beforeLines="50" w:line="360" w:lineRule="auto"/>
        <w:ind w:firstLine="420" w:firstLineChars="200"/>
        <w:jc w:val="left"/>
        <w:rPr>
          <w:rFonts w:hint="eastAsia" w:ascii="宋体" w:hAnsi="宋体"/>
          <w:color w:val="000000"/>
          <w:szCs w:val="21"/>
        </w:rPr>
      </w:pPr>
      <w:r>
        <w:rPr>
          <w:rFonts w:ascii="宋体" w:hAnsi="宋体"/>
          <w:color w:val="000000"/>
          <w:szCs w:val="21"/>
        </w:rPr>
        <w:object>
          <v:shape id="_x0000_i1034" o:spt="75" type="#_x0000_t75" style="height:25.1pt;width:404.65pt;" o:ole="t" filled="f" o:preferrelative="t" stroked="f" coordsize="21600,21600">
            <v:path/>
            <v:fill on="f" focussize="0,0"/>
            <v:stroke on="f"/>
            <v:imagedata r:id="rId7" o:title=""/>
            <o:lock v:ext="edit" aspectratio="t"/>
            <w10:wrap type="none"/>
            <w10:anchorlock/>
          </v:shape>
          <o:OLEObject Type="Embed" ProgID="Equation.3" ShapeID="_x0000_i1034" DrawAspect="Content" ObjectID="_1468075734" r:id="rId17">
            <o:LockedField>false</o:LockedField>
          </o:OLEObject>
        </w:object>
      </w:r>
    </w:p>
    <w:p w14:paraId="4172EAAB">
      <w:pPr>
        <w:spacing w:line="360" w:lineRule="auto"/>
        <w:rPr>
          <w:rFonts w:hint="eastAsia" w:ascii="宋体" w:hAnsi="宋体"/>
          <w:sz w:val="24"/>
        </w:rPr>
      </w:pPr>
    </w:p>
    <w:tbl>
      <w:tblPr>
        <w:tblStyle w:val="30"/>
        <w:tblW w:w="807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68"/>
        <w:gridCol w:w="871"/>
        <w:gridCol w:w="1887"/>
        <w:gridCol w:w="1276"/>
        <w:gridCol w:w="2268"/>
      </w:tblGrid>
      <w:tr w14:paraId="6078F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2639" w:type="dxa"/>
            <w:gridSpan w:val="2"/>
            <w:shd w:val="clear" w:color="auto" w:fill="auto"/>
            <w:noWrap w:val="0"/>
            <w:vAlign w:val="center"/>
          </w:tcPr>
          <w:p w14:paraId="5BE715A9">
            <w:pPr>
              <w:widowControl/>
              <w:jc w:val="center"/>
              <w:rPr>
                <w:rFonts w:ascii="宋体" w:hAnsi="宋体" w:cs="宋体"/>
                <w:kern w:val="0"/>
                <w:sz w:val="24"/>
              </w:rPr>
            </w:pPr>
            <w:r>
              <w:rPr>
                <w:rFonts w:hint="eastAsia" w:ascii="宋体" w:hAnsi="宋体" w:cs="宋体"/>
                <w:kern w:val="0"/>
                <w:sz w:val="24"/>
              </w:rPr>
              <w:t>课程目标</w:t>
            </w:r>
          </w:p>
        </w:tc>
        <w:tc>
          <w:tcPr>
            <w:tcW w:w="5431" w:type="dxa"/>
            <w:gridSpan w:val="3"/>
            <w:shd w:val="clear" w:color="auto" w:fill="auto"/>
            <w:noWrap w:val="0"/>
            <w:vAlign w:val="center"/>
          </w:tcPr>
          <w:p w14:paraId="16924743">
            <w:pPr>
              <w:widowControl/>
              <w:jc w:val="center"/>
              <w:rPr>
                <w:rFonts w:hint="eastAsia" w:ascii="宋体" w:hAnsi="宋体" w:cs="宋体"/>
                <w:kern w:val="0"/>
                <w:sz w:val="24"/>
              </w:rPr>
            </w:pPr>
            <w:r>
              <w:rPr>
                <w:rFonts w:hint="eastAsia" w:ascii="宋体" w:hAnsi="宋体" w:cs="宋体"/>
                <w:color w:val="000000"/>
                <w:kern w:val="0"/>
                <w:szCs w:val="21"/>
              </w:rPr>
              <w:t>考核方式权重</w:t>
            </w:r>
          </w:p>
        </w:tc>
      </w:tr>
      <w:tr w14:paraId="4269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1768" w:type="dxa"/>
            <w:shd w:val="clear" w:color="auto" w:fill="auto"/>
            <w:noWrap w:val="0"/>
            <w:vAlign w:val="center"/>
          </w:tcPr>
          <w:p w14:paraId="6A1C510D">
            <w:pPr>
              <w:widowControl/>
              <w:jc w:val="center"/>
              <w:rPr>
                <w:rFonts w:hint="eastAsia" w:ascii="宋体" w:hAnsi="宋体" w:cs="宋体"/>
                <w:kern w:val="0"/>
                <w:sz w:val="24"/>
              </w:rPr>
            </w:pPr>
            <w:r>
              <w:rPr>
                <w:rFonts w:hint="eastAsia" w:ascii="宋体" w:hAnsi="宋体" w:cs="宋体"/>
                <w:kern w:val="0"/>
                <w:sz w:val="24"/>
              </w:rPr>
              <w:t>项目</w:t>
            </w:r>
          </w:p>
        </w:tc>
        <w:tc>
          <w:tcPr>
            <w:tcW w:w="871" w:type="dxa"/>
            <w:shd w:val="clear" w:color="auto" w:fill="auto"/>
            <w:noWrap w:val="0"/>
            <w:vAlign w:val="center"/>
          </w:tcPr>
          <w:p w14:paraId="698D0B17">
            <w:pPr>
              <w:widowControl/>
              <w:jc w:val="center"/>
              <w:rPr>
                <w:rFonts w:hint="eastAsia" w:ascii="宋体" w:hAnsi="宋体" w:cs="宋体"/>
                <w:kern w:val="0"/>
                <w:sz w:val="24"/>
              </w:rPr>
            </w:pPr>
            <w:r>
              <w:rPr>
                <w:rFonts w:ascii="宋体" w:hAnsi="宋体" w:cs="宋体"/>
                <w:kern w:val="0"/>
                <w:sz w:val="24"/>
              </w:rPr>
              <w:t>权重</w:t>
            </w:r>
            <w:r>
              <w:rPr>
                <w:kern w:val="0"/>
                <w:sz w:val="24"/>
              </w:rPr>
              <w:t>a</w:t>
            </w:r>
          </w:p>
        </w:tc>
        <w:tc>
          <w:tcPr>
            <w:tcW w:w="1887" w:type="dxa"/>
            <w:shd w:val="clear" w:color="auto" w:fill="auto"/>
            <w:noWrap w:val="0"/>
            <w:vAlign w:val="center"/>
          </w:tcPr>
          <w:p w14:paraId="29266219">
            <w:pPr>
              <w:widowControl/>
              <w:rPr>
                <w:rFonts w:hint="eastAsia" w:ascii="宋体" w:hAnsi="宋体" w:cs="宋体"/>
                <w:kern w:val="0"/>
                <w:sz w:val="24"/>
              </w:rPr>
            </w:pPr>
            <w:r>
              <w:rPr>
                <w:rFonts w:hint="eastAsia" w:ascii="宋体" w:hAnsi="宋体" w:cs="宋体"/>
                <w:kern w:val="0"/>
                <w:sz w:val="24"/>
              </w:rPr>
              <w:t>评价依据</w:t>
            </w:r>
          </w:p>
        </w:tc>
        <w:tc>
          <w:tcPr>
            <w:tcW w:w="1276" w:type="dxa"/>
            <w:shd w:val="clear" w:color="auto" w:fill="auto"/>
            <w:noWrap w:val="0"/>
            <w:vAlign w:val="center"/>
          </w:tcPr>
          <w:p w14:paraId="7F8B6D79">
            <w:pPr>
              <w:widowControl/>
              <w:jc w:val="center"/>
              <w:rPr>
                <w:rFonts w:hint="eastAsia" w:ascii="宋体" w:hAnsi="宋体" w:cs="宋体"/>
                <w:kern w:val="0"/>
                <w:sz w:val="24"/>
              </w:rPr>
            </w:pPr>
            <w:r>
              <w:rPr>
                <w:rFonts w:ascii="宋体" w:hAnsi="宋体" w:cs="宋体"/>
                <w:kern w:val="0"/>
                <w:sz w:val="24"/>
              </w:rPr>
              <w:t>权重</w:t>
            </w:r>
            <w:r>
              <w:rPr>
                <w:kern w:val="0"/>
                <w:sz w:val="24"/>
              </w:rPr>
              <w:t>b</w:t>
            </w:r>
          </w:p>
        </w:tc>
        <w:tc>
          <w:tcPr>
            <w:tcW w:w="2268" w:type="dxa"/>
            <w:shd w:val="clear" w:color="auto" w:fill="auto"/>
            <w:noWrap w:val="0"/>
            <w:vAlign w:val="center"/>
          </w:tcPr>
          <w:p w14:paraId="7B1171FC">
            <w:pPr>
              <w:widowControl/>
              <w:jc w:val="left"/>
              <w:rPr>
                <w:rFonts w:ascii="宋体" w:hAnsi="宋体" w:cs="宋体"/>
                <w:kern w:val="0"/>
                <w:sz w:val="24"/>
              </w:rPr>
            </w:pPr>
            <w:r>
              <w:rPr>
                <w:rFonts w:hint="eastAsia" w:ascii="宋体" w:hAnsi="宋体" w:cs="宋体"/>
                <w:color w:val="000000"/>
                <w:kern w:val="0"/>
                <w:szCs w:val="21"/>
              </w:rPr>
              <w:t>考核方式及权重合计</w:t>
            </w:r>
          </w:p>
        </w:tc>
      </w:tr>
      <w:tr w14:paraId="1EF41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1768" w:type="dxa"/>
            <w:vMerge w:val="restart"/>
            <w:shd w:val="clear" w:color="auto" w:fill="auto"/>
            <w:noWrap w:val="0"/>
            <w:vAlign w:val="center"/>
          </w:tcPr>
          <w:p w14:paraId="1786F23E">
            <w:pPr>
              <w:widowControl/>
              <w:jc w:val="center"/>
              <w:rPr>
                <w:rFonts w:hint="eastAsia" w:ascii="宋体" w:hAnsi="宋体" w:cs="宋体"/>
                <w:kern w:val="0"/>
                <w:sz w:val="24"/>
              </w:rPr>
            </w:pPr>
            <w:r>
              <w:rPr>
                <w:rFonts w:ascii="宋体" w:hAnsi="宋体" w:cs="宋体"/>
                <w:kern w:val="0"/>
                <w:sz w:val="24"/>
              </w:rPr>
              <w:t>课程目标</w:t>
            </w:r>
            <w:r>
              <w:rPr>
                <w:kern w:val="0"/>
                <w:sz w:val="24"/>
              </w:rPr>
              <w:t>1</w:t>
            </w:r>
          </w:p>
        </w:tc>
        <w:tc>
          <w:tcPr>
            <w:tcW w:w="871" w:type="dxa"/>
            <w:vMerge w:val="restart"/>
            <w:shd w:val="clear" w:color="auto" w:fill="auto"/>
            <w:noWrap w:val="0"/>
            <w:vAlign w:val="center"/>
          </w:tcPr>
          <w:p w14:paraId="22FF1BE1">
            <w:pPr>
              <w:widowControl/>
              <w:jc w:val="center"/>
              <w:rPr>
                <w:rFonts w:hint="eastAsia"/>
                <w:kern w:val="0"/>
                <w:sz w:val="24"/>
              </w:rPr>
            </w:pPr>
            <w:r>
              <w:rPr>
                <w:rFonts w:hint="eastAsia"/>
                <w:kern w:val="0"/>
                <w:sz w:val="24"/>
              </w:rPr>
              <w:t>20%</w:t>
            </w:r>
          </w:p>
        </w:tc>
        <w:tc>
          <w:tcPr>
            <w:tcW w:w="1887" w:type="dxa"/>
            <w:shd w:val="clear" w:color="auto" w:fill="auto"/>
            <w:noWrap w:val="0"/>
            <w:vAlign w:val="center"/>
          </w:tcPr>
          <w:p w14:paraId="6868B77A">
            <w:pPr>
              <w:widowControl/>
              <w:rPr>
                <w:rFonts w:ascii="宋体" w:hAnsi="宋体" w:cs="宋体"/>
                <w:kern w:val="0"/>
                <w:sz w:val="24"/>
              </w:rPr>
            </w:pPr>
            <w:r>
              <w:rPr>
                <w:rFonts w:hint="eastAsia" w:ascii="宋体" w:hAnsi="宋体" w:cs="宋体"/>
                <w:kern w:val="0"/>
                <w:sz w:val="24"/>
              </w:rPr>
              <w:t>考试</w:t>
            </w:r>
          </w:p>
        </w:tc>
        <w:tc>
          <w:tcPr>
            <w:tcW w:w="1276" w:type="dxa"/>
            <w:shd w:val="clear" w:color="auto" w:fill="auto"/>
            <w:noWrap w:val="0"/>
            <w:vAlign w:val="center"/>
          </w:tcPr>
          <w:p w14:paraId="1D74F680">
            <w:pPr>
              <w:widowControl/>
              <w:jc w:val="center"/>
              <w:rPr>
                <w:kern w:val="0"/>
                <w:sz w:val="24"/>
              </w:rPr>
            </w:pPr>
            <w:r>
              <w:rPr>
                <w:rFonts w:hint="eastAsia"/>
                <w:kern w:val="0"/>
                <w:sz w:val="24"/>
              </w:rPr>
              <w:t>60%</w:t>
            </w:r>
            <w:r>
              <w:rPr>
                <w:kern w:val="0"/>
                <w:sz w:val="24"/>
              </w:rPr>
              <w:t xml:space="preserve"> </w:t>
            </w:r>
          </w:p>
        </w:tc>
        <w:tc>
          <w:tcPr>
            <w:tcW w:w="2268" w:type="dxa"/>
            <w:vMerge w:val="restart"/>
            <w:shd w:val="clear" w:color="auto" w:fill="auto"/>
            <w:noWrap w:val="0"/>
            <w:vAlign w:val="center"/>
          </w:tcPr>
          <w:p w14:paraId="6952ABC0">
            <w:pPr>
              <w:widowControl/>
              <w:jc w:val="center"/>
              <w:rPr>
                <w:rFonts w:hint="eastAsia"/>
                <w:kern w:val="0"/>
                <w:sz w:val="24"/>
              </w:rPr>
            </w:pPr>
            <w:r>
              <w:rPr>
                <w:rFonts w:hint="eastAsia" w:ascii="宋体" w:hAnsi="宋体" w:cs="宋体"/>
                <w:color w:val="000000"/>
                <w:kern w:val="0"/>
                <w:szCs w:val="21"/>
              </w:rPr>
              <w:t>100%</w:t>
            </w:r>
          </w:p>
        </w:tc>
      </w:tr>
      <w:tr w14:paraId="3E4A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continue"/>
            <w:shd w:val="clear" w:color="auto" w:fill="auto"/>
            <w:noWrap w:val="0"/>
            <w:vAlign w:val="center"/>
          </w:tcPr>
          <w:p w14:paraId="0C18CC73">
            <w:pPr>
              <w:widowControl/>
              <w:jc w:val="left"/>
              <w:rPr>
                <w:rFonts w:ascii="宋体" w:hAnsi="宋体" w:cs="宋体"/>
                <w:kern w:val="0"/>
                <w:sz w:val="24"/>
              </w:rPr>
            </w:pPr>
          </w:p>
        </w:tc>
        <w:tc>
          <w:tcPr>
            <w:tcW w:w="871" w:type="dxa"/>
            <w:vMerge w:val="continue"/>
            <w:shd w:val="clear" w:color="auto" w:fill="auto"/>
            <w:noWrap w:val="0"/>
            <w:vAlign w:val="center"/>
          </w:tcPr>
          <w:p w14:paraId="58EC1E77">
            <w:pPr>
              <w:widowControl/>
              <w:jc w:val="left"/>
              <w:rPr>
                <w:kern w:val="0"/>
                <w:sz w:val="24"/>
              </w:rPr>
            </w:pPr>
          </w:p>
        </w:tc>
        <w:tc>
          <w:tcPr>
            <w:tcW w:w="1887" w:type="dxa"/>
            <w:shd w:val="clear" w:color="auto" w:fill="auto"/>
            <w:noWrap w:val="0"/>
            <w:vAlign w:val="center"/>
          </w:tcPr>
          <w:p w14:paraId="562E6C09">
            <w:pPr>
              <w:widowControl/>
              <w:rPr>
                <w:rFonts w:ascii="宋体" w:hAnsi="宋体" w:cs="宋体"/>
                <w:kern w:val="0"/>
                <w:sz w:val="24"/>
              </w:rPr>
            </w:pPr>
            <w:r>
              <w:rPr>
                <w:rFonts w:hint="eastAsia" w:ascii="宋体" w:hAnsi="宋体" w:cs="宋体"/>
                <w:kern w:val="0"/>
                <w:sz w:val="24"/>
              </w:rPr>
              <w:t>实验报告</w:t>
            </w:r>
          </w:p>
        </w:tc>
        <w:tc>
          <w:tcPr>
            <w:tcW w:w="1276" w:type="dxa"/>
            <w:shd w:val="clear" w:color="auto" w:fill="auto"/>
            <w:noWrap w:val="0"/>
            <w:vAlign w:val="center"/>
          </w:tcPr>
          <w:p w14:paraId="73EF573F">
            <w:pPr>
              <w:widowControl/>
              <w:jc w:val="center"/>
              <w:rPr>
                <w:rFonts w:hint="eastAsia"/>
                <w:kern w:val="0"/>
                <w:sz w:val="24"/>
              </w:rPr>
            </w:pPr>
            <w:r>
              <w:rPr>
                <w:rFonts w:hint="eastAsia"/>
                <w:kern w:val="0"/>
                <w:sz w:val="24"/>
              </w:rPr>
              <w:t>20%</w:t>
            </w:r>
          </w:p>
        </w:tc>
        <w:tc>
          <w:tcPr>
            <w:tcW w:w="2268" w:type="dxa"/>
            <w:vMerge w:val="continue"/>
            <w:shd w:val="clear" w:color="auto" w:fill="auto"/>
            <w:noWrap w:val="0"/>
            <w:vAlign w:val="center"/>
          </w:tcPr>
          <w:p w14:paraId="6D732862">
            <w:pPr>
              <w:widowControl/>
              <w:jc w:val="left"/>
              <w:rPr>
                <w:kern w:val="0"/>
                <w:sz w:val="24"/>
              </w:rPr>
            </w:pPr>
          </w:p>
        </w:tc>
      </w:tr>
      <w:tr w14:paraId="1AD8A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continue"/>
            <w:shd w:val="clear" w:color="auto" w:fill="auto"/>
            <w:noWrap w:val="0"/>
            <w:vAlign w:val="center"/>
          </w:tcPr>
          <w:p w14:paraId="25AB9949">
            <w:pPr>
              <w:widowControl/>
              <w:jc w:val="left"/>
              <w:rPr>
                <w:rFonts w:ascii="宋体" w:hAnsi="宋体" w:cs="宋体"/>
                <w:kern w:val="0"/>
                <w:sz w:val="24"/>
              </w:rPr>
            </w:pPr>
          </w:p>
        </w:tc>
        <w:tc>
          <w:tcPr>
            <w:tcW w:w="871" w:type="dxa"/>
            <w:vMerge w:val="continue"/>
            <w:shd w:val="clear" w:color="auto" w:fill="auto"/>
            <w:noWrap w:val="0"/>
            <w:vAlign w:val="center"/>
          </w:tcPr>
          <w:p w14:paraId="0ADFF78F">
            <w:pPr>
              <w:widowControl/>
              <w:jc w:val="left"/>
              <w:rPr>
                <w:kern w:val="0"/>
                <w:sz w:val="24"/>
              </w:rPr>
            </w:pPr>
          </w:p>
        </w:tc>
        <w:tc>
          <w:tcPr>
            <w:tcW w:w="1887" w:type="dxa"/>
            <w:shd w:val="clear" w:color="auto" w:fill="auto"/>
            <w:noWrap w:val="0"/>
            <w:vAlign w:val="center"/>
          </w:tcPr>
          <w:p w14:paraId="0CF43B2D">
            <w:pPr>
              <w:widowControl/>
              <w:rPr>
                <w:rFonts w:ascii="宋体" w:hAnsi="宋体" w:cs="宋体"/>
                <w:kern w:val="0"/>
                <w:sz w:val="24"/>
              </w:rPr>
            </w:pPr>
            <w:r>
              <w:rPr>
                <w:rFonts w:hint="eastAsia" w:ascii="宋体" w:hAnsi="宋体" w:cs="宋体"/>
                <w:kern w:val="0"/>
                <w:sz w:val="24"/>
              </w:rPr>
              <w:t>实验过程</w:t>
            </w:r>
          </w:p>
        </w:tc>
        <w:tc>
          <w:tcPr>
            <w:tcW w:w="1276" w:type="dxa"/>
            <w:shd w:val="clear" w:color="auto" w:fill="auto"/>
            <w:noWrap w:val="0"/>
            <w:vAlign w:val="center"/>
          </w:tcPr>
          <w:p w14:paraId="09F11245">
            <w:pPr>
              <w:widowControl/>
              <w:jc w:val="center"/>
              <w:rPr>
                <w:rFonts w:hint="eastAsia"/>
                <w:kern w:val="0"/>
                <w:sz w:val="24"/>
              </w:rPr>
            </w:pPr>
            <w:r>
              <w:rPr>
                <w:rFonts w:hint="eastAsia"/>
                <w:kern w:val="0"/>
                <w:sz w:val="24"/>
              </w:rPr>
              <w:t>20%</w:t>
            </w:r>
          </w:p>
        </w:tc>
        <w:tc>
          <w:tcPr>
            <w:tcW w:w="2268" w:type="dxa"/>
            <w:vMerge w:val="continue"/>
            <w:shd w:val="clear" w:color="auto" w:fill="auto"/>
            <w:noWrap w:val="0"/>
            <w:vAlign w:val="center"/>
          </w:tcPr>
          <w:p w14:paraId="29E3A739">
            <w:pPr>
              <w:widowControl/>
              <w:jc w:val="left"/>
              <w:rPr>
                <w:kern w:val="0"/>
                <w:sz w:val="24"/>
              </w:rPr>
            </w:pPr>
          </w:p>
        </w:tc>
      </w:tr>
      <w:tr w14:paraId="27D19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restart"/>
            <w:shd w:val="clear" w:color="auto" w:fill="auto"/>
            <w:noWrap w:val="0"/>
            <w:vAlign w:val="center"/>
          </w:tcPr>
          <w:p w14:paraId="4AED58F2">
            <w:pPr>
              <w:widowControl/>
              <w:jc w:val="center"/>
              <w:rPr>
                <w:rFonts w:ascii="宋体" w:hAnsi="宋体" w:cs="宋体"/>
                <w:kern w:val="0"/>
                <w:sz w:val="24"/>
              </w:rPr>
            </w:pPr>
            <w:r>
              <w:rPr>
                <w:rFonts w:ascii="宋体" w:hAnsi="宋体" w:cs="宋体"/>
                <w:kern w:val="0"/>
                <w:sz w:val="24"/>
              </w:rPr>
              <w:t>课程目标</w:t>
            </w:r>
            <w:r>
              <w:rPr>
                <w:kern w:val="0"/>
                <w:sz w:val="24"/>
              </w:rPr>
              <w:t>2</w:t>
            </w:r>
          </w:p>
        </w:tc>
        <w:tc>
          <w:tcPr>
            <w:tcW w:w="871" w:type="dxa"/>
            <w:vMerge w:val="restart"/>
            <w:shd w:val="clear" w:color="auto" w:fill="auto"/>
            <w:noWrap w:val="0"/>
            <w:vAlign w:val="center"/>
          </w:tcPr>
          <w:p w14:paraId="612039EE">
            <w:pPr>
              <w:widowControl/>
              <w:jc w:val="center"/>
              <w:rPr>
                <w:rFonts w:hint="eastAsia"/>
                <w:kern w:val="0"/>
                <w:sz w:val="24"/>
              </w:rPr>
            </w:pPr>
            <w:r>
              <w:rPr>
                <w:rFonts w:hint="eastAsia"/>
                <w:kern w:val="0"/>
                <w:sz w:val="24"/>
              </w:rPr>
              <w:t>30%</w:t>
            </w:r>
          </w:p>
        </w:tc>
        <w:tc>
          <w:tcPr>
            <w:tcW w:w="1887" w:type="dxa"/>
            <w:shd w:val="clear" w:color="auto" w:fill="auto"/>
            <w:noWrap w:val="0"/>
            <w:vAlign w:val="center"/>
          </w:tcPr>
          <w:p w14:paraId="37859BDC">
            <w:pPr>
              <w:widowControl/>
              <w:rPr>
                <w:rFonts w:ascii="宋体" w:hAnsi="宋体" w:cs="宋体"/>
                <w:kern w:val="0"/>
                <w:sz w:val="24"/>
              </w:rPr>
            </w:pPr>
            <w:r>
              <w:rPr>
                <w:rFonts w:hint="eastAsia" w:ascii="宋体" w:hAnsi="宋体" w:cs="宋体"/>
                <w:kern w:val="0"/>
                <w:sz w:val="24"/>
              </w:rPr>
              <w:t>考试</w:t>
            </w:r>
          </w:p>
        </w:tc>
        <w:tc>
          <w:tcPr>
            <w:tcW w:w="1276" w:type="dxa"/>
            <w:shd w:val="clear" w:color="auto" w:fill="auto"/>
            <w:noWrap w:val="0"/>
            <w:vAlign w:val="center"/>
          </w:tcPr>
          <w:p w14:paraId="556E687E">
            <w:pPr>
              <w:widowControl/>
              <w:jc w:val="center"/>
              <w:rPr>
                <w:rFonts w:hint="eastAsia"/>
                <w:kern w:val="0"/>
                <w:sz w:val="24"/>
              </w:rPr>
            </w:pPr>
            <w:r>
              <w:rPr>
                <w:rFonts w:hint="eastAsia"/>
                <w:kern w:val="0"/>
                <w:sz w:val="24"/>
              </w:rPr>
              <w:t>30%</w:t>
            </w:r>
          </w:p>
        </w:tc>
        <w:tc>
          <w:tcPr>
            <w:tcW w:w="2268" w:type="dxa"/>
            <w:vMerge w:val="restart"/>
            <w:shd w:val="clear" w:color="auto" w:fill="auto"/>
            <w:noWrap w:val="0"/>
            <w:vAlign w:val="center"/>
          </w:tcPr>
          <w:p w14:paraId="399F083C">
            <w:pPr>
              <w:widowControl/>
              <w:jc w:val="center"/>
              <w:rPr>
                <w:kern w:val="0"/>
                <w:sz w:val="24"/>
              </w:rPr>
            </w:pPr>
            <w:r>
              <w:rPr>
                <w:rFonts w:hint="eastAsia" w:ascii="宋体" w:hAnsi="宋体" w:cs="宋体"/>
                <w:color w:val="000000"/>
                <w:kern w:val="0"/>
                <w:szCs w:val="21"/>
              </w:rPr>
              <w:t>100%</w:t>
            </w:r>
          </w:p>
        </w:tc>
      </w:tr>
      <w:tr w14:paraId="5C94D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continue"/>
            <w:shd w:val="clear" w:color="auto" w:fill="auto"/>
            <w:noWrap w:val="0"/>
            <w:vAlign w:val="center"/>
          </w:tcPr>
          <w:p w14:paraId="4AFC27A5">
            <w:pPr>
              <w:widowControl/>
              <w:jc w:val="left"/>
              <w:rPr>
                <w:rFonts w:ascii="宋体" w:hAnsi="宋体" w:cs="宋体"/>
                <w:kern w:val="0"/>
                <w:sz w:val="24"/>
              </w:rPr>
            </w:pPr>
          </w:p>
        </w:tc>
        <w:tc>
          <w:tcPr>
            <w:tcW w:w="871" w:type="dxa"/>
            <w:vMerge w:val="continue"/>
            <w:shd w:val="clear" w:color="auto" w:fill="auto"/>
            <w:noWrap w:val="0"/>
            <w:vAlign w:val="center"/>
          </w:tcPr>
          <w:p w14:paraId="366FDF0B">
            <w:pPr>
              <w:widowControl/>
              <w:jc w:val="left"/>
              <w:rPr>
                <w:kern w:val="0"/>
                <w:sz w:val="24"/>
              </w:rPr>
            </w:pPr>
          </w:p>
        </w:tc>
        <w:tc>
          <w:tcPr>
            <w:tcW w:w="1887" w:type="dxa"/>
            <w:shd w:val="clear" w:color="auto" w:fill="auto"/>
            <w:noWrap w:val="0"/>
            <w:vAlign w:val="center"/>
          </w:tcPr>
          <w:p w14:paraId="069F792E">
            <w:pPr>
              <w:widowControl/>
              <w:rPr>
                <w:rFonts w:ascii="宋体" w:hAnsi="宋体" w:cs="宋体"/>
                <w:kern w:val="0"/>
                <w:sz w:val="24"/>
              </w:rPr>
            </w:pPr>
            <w:r>
              <w:rPr>
                <w:rFonts w:hint="eastAsia" w:ascii="宋体" w:hAnsi="宋体" w:cs="宋体"/>
                <w:kern w:val="0"/>
                <w:sz w:val="24"/>
              </w:rPr>
              <w:t>实验作品</w:t>
            </w:r>
          </w:p>
        </w:tc>
        <w:tc>
          <w:tcPr>
            <w:tcW w:w="1276" w:type="dxa"/>
            <w:shd w:val="clear" w:color="auto" w:fill="auto"/>
            <w:noWrap w:val="0"/>
            <w:vAlign w:val="center"/>
          </w:tcPr>
          <w:p w14:paraId="750C3AB6">
            <w:pPr>
              <w:widowControl/>
              <w:jc w:val="center"/>
              <w:rPr>
                <w:rFonts w:hint="eastAsia"/>
                <w:kern w:val="0"/>
                <w:sz w:val="24"/>
              </w:rPr>
            </w:pPr>
            <w:r>
              <w:rPr>
                <w:rFonts w:hint="eastAsia"/>
                <w:kern w:val="0"/>
                <w:sz w:val="24"/>
              </w:rPr>
              <w:t>30%</w:t>
            </w:r>
          </w:p>
        </w:tc>
        <w:tc>
          <w:tcPr>
            <w:tcW w:w="2268" w:type="dxa"/>
            <w:vMerge w:val="continue"/>
            <w:shd w:val="clear" w:color="auto" w:fill="auto"/>
            <w:noWrap w:val="0"/>
            <w:vAlign w:val="center"/>
          </w:tcPr>
          <w:p w14:paraId="782686F9">
            <w:pPr>
              <w:widowControl/>
              <w:jc w:val="left"/>
              <w:rPr>
                <w:kern w:val="0"/>
                <w:sz w:val="24"/>
              </w:rPr>
            </w:pPr>
          </w:p>
        </w:tc>
      </w:tr>
      <w:tr w14:paraId="7C263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continue"/>
            <w:shd w:val="clear" w:color="auto" w:fill="auto"/>
            <w:noWrap w:val="0"/>
            <w:vAlign w:val="center"/>
          </w:tcPr>
          <w:p w14:paraId="6C6748DD">
            <w:pPr>
              <w:widowControl/>
              <w:jc w:val="left"/>
              <w:rPr>
                <w:rFonts w:ascii="宋体" w:hAnsi="宋体" w:cs="宋体"/>
                <w:kern w:val="0"/>
                <w:sz w:val="24"/>
              </w:rPr>
            </w:pPr>
          </w:p>
        </w:tc>
        <w:tc>
          <w:tcPr>
            <w:tcW w:w="871" w:type="dxa"/>
            <w:vMerge w:val="continue"/>
            <w:shd w:val="clear" w:color="auto" w:fill="auto"/>
            <w:noWrap w:val="0"/>
            <w:vAlign w:val="center"/>
          </w:tcPr>
          <w:p w14:paraId="17F0CB23">
            <w:pPr>
              <w:widowControl/>
              <w:jc w:val="left"/>
              <w:rPr>
                <w:kern w:val="0"/>
                <w:sz w:val="24"/>
              </w:rPr>
            </w:pPr>
          </w:p>
        </w:tc>
        <w:tc>
          <w:tcPr>
            <w:tcW w:w="1887" w:type="dxa"/>
            <w:shd w:val="clear" w:color="auto" w:fill="auto"/>
            <w:noWrap w:val="0"/>
            <w:vAlign w:val="center"/>
          </w:tcPr>
          <w:p w14:paraId="2419E248">
            <w:pPr>
              <w:widowControl/>
              <w:rPr>
                <w:rFonts w:ascii="宋体" w:hAnsi="宋体" w:cs="宋体"/>
                <w:kern w:val="0"/>
                <w:sz w:val="24"/>
              </w:rPr>
            </w:pPr>
            <w:r>
              <w:rPr>
                <w:rFonts w:hint="eastAsia" w:ascii="宋体" w:hAnsi="宋体" w:cs="宋体"/>
                <w:kern w:val="0"/>
                <w:sz w:val="24"/>
              </w:rPr>
              <w:t>实验设计</w:t>
            </w:r>
          </w:p>
        </w:tc>
        <w:tc>
          <w:tcPr>
            <w:tcW w:w="1276" w:type="dxa"/>
            <w:shd w:val="clear" w:color="auto" w:fill="auto"/>
            <w:noWrap w:val="0"/>
            <w:vAlign w:val="center"/>
          </w:tcPr>
          <w:p w14:paraId="6915873E">
            <w:pPr>
              <w:widowControl/>
              <w:jc w:val="center"/>
              <w:rPr>
                <w:rFonts w:hint="eastAsia"/>
                <w:kern w:val="0"/>
                <w:sz w:val="24"/>
              </w:rPr>
            </w:pPr>
            <w:r>
              <w:rPr>
                <w:rFonts w:hint="eastAsia"/>
                <w:kern w:val="0"/>
                <w:sz w:val="24"/>
              </w:rPr>
              <w:t>40%</w:t>
            </w:r>
          </w:p>
        </w:tc>
        <w:tc>
          <w:tcPr>
            <w:tcW w:w="2268" w:type="dxa"/>
            <w:vMerge w:val="continue"/>
            <w:shd w:val="clear" w:color="auto" w:fill="auto"/>
            <w:noWrap w:val="0"/>
            <w:vAlign w:val="center"/>
          </w:tcPr>
          <w:p w14:paraId="106AA891">
            <w:pPr>
              <w:widowControl/>
              <w:jc w:val="left"/>
              <w:rPr>
                <w:kern w:val="0"/>
                <w:sz w:val="24"/>
              </w:rPr>
            </w:pPr>
          </w:p>
        </w:tc>
      </w:tr>
      <w:tr w14:paraId="2D0F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restart"/>
            <w:shd w:val="clear" w:color="auto" w:fill="auto"/>
            <w:noWrap w:val="0"/>
            <w:vAlign w:val="center"/>
          </w:tcPr>
          <w:p w14:paraId="68E9134B">
            <w:pPr>
              <w:widowControl/>
              <w:jc w:val="center"/>
              <w:rPr>
                <w:rFonts w:ascii="宋体" w:hAnsi="宋体" w:cs="宋体"/>
                <w:kern w:val="0"/>
                <w:sz w:val="24"/>
              </w:rPr>
            </w:pPr>
            <w:r>
              <w:rPr>
                <w:rFonts w:ascii="宋体" w:hAnsi="宋体" w:cs="宋体"/>
                <w:kern w:val="0"/>
                <w:sz w:val="24"/>
              </w:rPr>
              <w:t>课程目标</w:t>
            </w:r>
            <w:r>
              <w:rPr>
                <w:kern w:val="0"/>
                <w:sz w:val="24"/>
              </w:rPr>
              <w:t>3</w:t>
            </w:r>
          </w:p>
        </w:tc>
        <w:tc>
          <w:tcPr>
            <w:tcW w:w="871" w:type="dxa"/>
            <w:vMerge w:val="restart"/>
            <w:shd w:val="clear" w:color="auto" w:fill="auto"/>
            <w:noWrap w:val="0"/>
            <w:vAlign w:val="center"/>
          </w:tcPr>
          <w:p w14:paraId="60B10FC0">
            <w:pPr>
              <w:widowControl/>
              <w:jc w:val="center"/>
              <w:rPr>
                <w:rFonts w:hint="eastAsia"/>
                <w:kern w:val="0"/>
                <w:sz w:val="24"/>
              </w:rPr>
            </w:pPr>
            <w:r>
              <w:rPr>
                <w:rFonts w:hint="eastAsia"/>
                <w:kern w:val="0"/>
                <w:sz w:val="24"/>
              </w:rPr>
              <w:t>30%</w:t>
            </w:r>
          </w:p>
        </w:tc>
        <w:tc>
          <w:tcPr>
            <w:tcW w:w="1887" w:type="dxa"/>
            <w:shd w:val="clear" w:color="auto" w:fill="auto"/>
            <w:noWrap w:val="0"/>
            <w:vAlign w:val="center"/>
          </w:tcPr>
          <w:p w14:paraId="26BF6620">
            <w:pPr>
              <w:widowControl/>
              <w:rPr>
                <w:rFonts w:ascii="宋体" w:hAnsi="宋体" w:cs="宋体"/>
                <w:kern w:val="0"/>
                <w:sz w:val="24"/>
              </w:rPr>
            </w:pPr>
            <w:r>
              <w:rPr>
                <w:rFonts w:hint="eastAsia" w:ascii="宋体" w:hAnsi="宋体" w:cs="宋体"/>
                <w:kern w:val="0"/>
                <w:sz w:val="24"/>
              </w:rPr>
              <w:t>考试</w:t>
            </w:r>
          </w:p>
        </w:tc>
        <w:tc>
          <w:tcPr>
            <w:tcW w:w="1276" w:type="dxa"/>
            <w:shd w:val="clear" w:color="auto" w:fill="auto"/>
            <w:noWrap w:val="0"/>
            <w:vAlign w:val="center"/>
          </w:tcPr>
          <w:p w14:paraId="1E0C15F9">
            <w:pPr>
              <w:widowControl/>
              <w:jc w:val="center"/>
              <w:rPr>
                <w:rFonts w:hint="eastAsia"/>
                <w:kern w:val="0"/>
                <w:sz w:val="24"/>
              </w:rPr>
            </w:pPr>
            <w:r>
              <w:rPr>
                <w:rFonts w:hint="eastAsia"/>
                <w:kern w:val="0"/>
                <w:sz w:val="24"/>
              </w:rPr>
              <w:t>50%</w:t>
            </w:r>
          </w:p>
        </w:tc>
        <w:tc>
          <w:tcPr>
            <w:tcW w:w="2268" w:type="dxa"/>
            <w:vMerge w:val="restart"/>
            <w:shd w:val="clear" w:color="auto" w:fill="auto"/>
            <w:noWrap w:val="0"/>
            <w:vAlign w:val="center"/>
          </w:tcPr>
          <w:p w14:paraId="15B21511">
            <w:pPr>
              <w:widowControl/>
              <w:jc w:val="center"/>
              <w:rPr>
                <w:kern w:val="0"/>
                <w:sz w:val="24"/>
              </w:rPr>
            </w:pPr>
            <w:r>
              <w:rPr>
                <w:rFonts w:hint="eastAsia" w:ascii="宋体" w:hAnsi="宋体" w:cs="宋体"/>
                <w:color w:val="000000"/>
                <w:kern w:val="0"/>
                <w:szCs w:val="21"/>
              </w:rPr>
              <w:t>100%</w:t>
            </w:r>
          </w:p>
        </w:tc>
      </w:tr>
      <w:tr w14:paraId="45ADF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continue"/>
            <w:shd w:val="clear" w:color="auto" w:fill="auto"/>
            <w:noWrap w:val="0"/>
            <w:vAlign w:val="center"/>
          </w:tcPr>
          <w:p w14:paraId="17415708">
            <w:pPr>
              <w:widowControl/>
              <w:jc w:val="left"/>
              <w:rPr>
                <w:rFonts w:ascii="宋体" w:hAnsi="宋体" w:cs="宋体"/>
                <w:kern w:val="0"/>
                <w:sz w:val="24"/>
              </w:rPr>
            </w:pPr>
          </w:p>
        </w:tc>
        <w:tc>
          <w:tcPr>
            <w:tcW w:w="871" w:type="dxa"/>
            <w:vMerge w:val="continue"/>
            <w:shd w:val="clear" w:color="auto" w:fill="auto"/>
            <w:noWrap w:val="0"/>
            <w:vAlign w:val="center"/>
          </w:tcPr>
          <w:p w14:paraId="344772B6">
            <w:pPr>
              <w:widowControl/>
              <w:jc w:val="left"/>
              <w:rPr>
                <w:kern w:val="0"/>
                <w:sz w:val="24"/>
              </w:rPr>
            </w:pPr>
          </w:p>
        </w:tc>
        <w:tc>
          <w:tcPr>
            <w:tcW w:w="1887" w:type="dxa"/>
            <w:shd w:val="clear" w:color="auto" w:fill="auto"/>
            <w:noWrap w:val="0"/>
            <w:vAlign w:val="center"/>
          </w:tcPr>
          <w:p w14:paraId="5B369C6E">
            <w:pPr>
              <w:widowControl/>
              <w:rPr>
                <w:rFonts w:ascii="宋体" w:hAnsi="宋体" w:cs="宋体"/>
                <w:kern w:val="0"/>
                <w:sz w:val="24"/>
              </w:rPr>
            </w:pPr>
            <w:r>
              <w:rPr>
                <w:rFonts w:hint="eastAsia" w:ascii="宋体" w:hAnsi="宋体" w:cs="宋体"/>
                <w:kern w:val="0"/>
                <w:sz w:val="24"/>
              </w:rPr>
              <w:t>实验作品</w:t>
            </w:r>
          </w:p>
        </w:tc>
        <w:tc>
          <w:tcPr>
            <w:tcW w:w="1276" w:type="dxa"/>
            <w:shd w:val="clear" w:color="auto" w:fill="auto"/>
            <w:noWrap w:val="0"/>
            <w:vAlign w:val="center"/>
          </w:tcPr>
          <w:p w14:paraId="3B317FAB">
            <w:pPr>
              <w:widowControl/>
              <w:jc w:val="center"/>
              <w:rPr>
                <w:kern w:val="0"/>
                <w:sz w:val="24"/>
              </w:rPr>
            </w:pPr>
            <w:r>
              <w:rPr>
                <w:rFonts w:hint="eastAsia"/>
                <w:kern w:val="0"/>
                <w:sz w:val="24"/>
              </w:rPr>
              <w:t>20%</w:t>
            </w:r>
            <w:r>
              <w:rPr>
                <w:kern w:val="0"/>
                <w:sz w:val="24"/>
              </w:rPr>
              <w:t xml:space="preserve"> </w:t>
            </w:r>
          </w:p>
        </w:tc>
        <w:tc>
          <w:tcPr>
            <w:tcW w:w="2268" w:type="dxa"/>
            <w:vMerge w:val="continue"/>
            <w:shd w:val="clear" w:color="auto" w:fill="auto"/>
            <w:noWrap w:val="0"/>
            <w:vAlign w:val="center"/>
          </w:tcPr>
          <w:p w14:paraId="26D38C85">
            <w:pPr>
              <w:widowControl/>
              <w:jc w:val="left"/>
              <w:rPr>
                <w:kern w:val="0"/>
                <w:sz w:val="24"/>
              </w:rPr>
            </w:pPr>
          </w:p>
        </w:tc>
      </w:tr>
      <w:tr w14:paraId="4BDF2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4" w:hRule="atLeast"/>
          <w:jc w:val="center"/>
        </w:trPr>
        <w:tc>
          <w:tcPr>
            <w:tcW w:w="1768" w:type="dxa"/>
            <w:vMerge w:val="continue"/>
            <w:shd w:val="clear" w:color="auto" w:fill="auto"/>
            <w:noWrap w:val="0"/>
            <w:vAlign w:val="center"/>
          </w:tcPr>
          <w:p w14:paraId="1D8C01E7">
            <w:pPr>
              <w:widowControl/>
              <w:jc w:val="left"/>
              <w:rPr>
                <w:rFonts w:ascii="宋体" w:hAnsi="宋体" w:cs="宋体"/>
                <w:kern w:val="0"/>
                <w:sz w:val="24"/>
              </w:rPr>
            </w:pPr>
          </w:p>
        </w:tc>
        <w:tc>
          <w:tcPr>
            <w:tcW w:w="871" w:type="dxa"/>
            <w:vMerge w:val="continue"/>
            <w:shd w:val="clear" w:color="auto" w:fill="auto"/>
            <w:noWrap w:val="0"/>
            <w:vAlign w:val="center"/>
          </w:tcPr>
          <w:p w14:paraId="33744B7E">
            <w:pPr>
              <w:widowControl/>
              <w:jc w:val="left"/>
              <w:rPr>
                <w:kern w:val="0"/>
                <w:sz w:val="24"/>
              </w:rPr>
            </w:pPr>
          </w:p>
        </w:tc>
        <w:tc>
          <w:tcPr>
            <w:tcW w:w="1887" w:type="dxa"/>
            <w:shd w:val="clear" w:color="auto" w:fill="auto"/>
            <w:noWrap w:val="0"/>
            <w:vAlign w:val="center"/>
          </w:tcPr>
          <w:p w14:paraId="7393DC10">
            <w:pPr>
              <w:widowControl/>
              <w:rPr>
                <w:rFonts w:ascii="宋体" w:hAnsi="宋体" w:cs="宋体"/>
                <w:kern w:val="0"/>
                <w:sz w:val="24"/>
              </w:rPr>
            </w:pPr>
            <w:r>
              <w:rPr>
                <w:rFonts w:hint="eastAsia" w:ascii="宋体" w:hAnsi="宋体" w:cs="宋体"/>
                <w:kern w:val="0"/>
                <w:sz w:val="24"/>
              </w:rPr>
              <w:t>实验教学设计</w:t>
            </w:r>
          </w:p>
        </w:tc>
        <w:tc>
          <w:tcPr>
            <w:tcW w:w="1276" w:type="dxa"/>
            <w:shd w:val="clear" w:color="auto" w:fill="auto"/>
            <w:noWrap w:val="0"/>
            <w:vAlign w:val="center"/>
          </w:tcPr>
          <w:p w14:paraId="50DBEC32">
            <w:pPr>
              <w:widowControl/>
              <w:jc w:val="center"/>
              <w:rPr>
                <w:rFonts w:hint="eastAsia"/>
                <w:kern w:val="0"/>
                <w:sz w:val="24"/>
              </w:rPr>
            </w:pPr>
            <w:r>
              <w:rPr>
                <w:rFonts w:hint="eastAsia"/>
                <w:kern w:val="0"/>
                <w:sz w:val="24"/>
              </w:rPr>
              <w:t>30%</w:t>
            </w:r>
          </w:p>
        </w:tc>
        <w:tc>
          <w:tcPr>
            <w:tcW w:w="2268" w:type="dxa"/>
            <w:vMerge w:val="continue"/>
            <w:shd w:val="clear" w:color="auto" w:fill="auto"/>
            <w:noWrap w:val="0"/>
            <w:vAlign w:val="center"/>
          </w:tcPr>
          <w:p w14:paraId="2FABC360">
            <w:pPr>
              <w:widowControl/>
              <w:jc w:val="left"/>
              <w:rPr>
                <w:kern w:val="0"/>
                <w:sz w:val="24"/>
              </w:rPr>
            </w:pPr>
          </w:p>
        </w:tc>
      </w:tr>
      <w:tr w14:paraId="3957F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vMerge w:val="restart"/>
            <w:shd w:val="clear" w:color="auto" w:fill="auto"/>
            <w:noWrap w:val="0"/>
            <w:vAlign w:val="center"/>
          </w:tcPr>
          <w:p w14:paraId="18F353C5">
            <w:pPr>
              <w:widowControl/>
              <w:jc w:val="center"/>
              <w:rPr>
                <w:rFonts w:ascii="宋体" w:hAnsi="宋体" w:cs="宋体"/>
                <w:kern w:val="0"/>
                <w:sz w:val="24"/>
              </w:rPr>
            </w:pPr>
            <w:r>
              <w:rPr>
                <w:rFonts w:ascii="宋体" w:hAnsi="宋体" w:cs="宋体"/>
                <w:kern w:val="0"/>
                <w:sz w:val="24"/>
              </w:rPr>
              <w:t>课程目标</w:t>
            </w:r>
            <w:r>
              <w:rPr>
                <w:kern w:val="0"/>
                <w:sz w:val="24"/>
              </w:rPr>
              <w:t>4</w:t>
            </w:r>
          </w:p>
        </w:tc>
        <w:tc>
          <w:tcPr>
            <w:tcW w:w="871" w:type="dxa"/>
            <w:vMerge w:val="restart"/>
            <w:shd w:val="clear" w:color="auto" w:fill="auto"/>
            <w:noWrap w:val="0"/>
            <w:vAlign w:val="center"/>
          </w:tcPr>
          <w:p w14:paraId="51DB3AB4">
            <w:pPr>
              <w:widowControl/>
              <w:jc w:val="center"/>
              <w:rPr>
                <w:rFonts w:hint="eastAsia"/>
                <w:kern w:val="0"/>
                <w:sz w:val="24"/>
              </w:rPr>
            </w:pPr>
            <w:r>
              <w:rPr>
                <w:rFonts w:hint="eastAsia"/>
                <w:kern w:val="0"/>
                <w:sz w:val="24"/>
              </w:rPr>
              <w:t>20%</w:t>
            </w:r>
          </w:p>
        </w:tc>
        <w:tc>
          <w:tcPr>
            <w:tcW w:w="1887" w:type="dxa"/>
            <w:shd w:val="clear" w:color="auto" w:fill="auto"/>
            <w:noWrap w:val="0"/>
            <w:vAlign w:val="center"/>
          </w:tcPr>
          <w:p w14:paraId="2ECF8BCE">
            <w:pPr>
              <w:widowControl/>
              <w:rPr>
                <w:rFonts w:ascii="宋体" w:hAnsi="宋体" w:cs="宋体"/>
                <w:kern w:val="0"/>
                <w:sz w:val="24"/>
              </w:rPr>
            </w:pPr>
            <w:r>
              <w:rPr>
                <w:rFonts w:hint="eastAsia" w:ascii="宋体" w:hAnsi="宋体" w:cs="宋体"/>
                <w:kern w:val="0"/>
                <w:sz w:val="24"/>
              </w:rPr>
              <w:t>考试</w:t>
            </w:r>
          </w:p>
        </w:tc>
        <w:tc>
          <w:tcPr>
            <w:tcW w:w="1276" w:type="dxa"/>
            <w:shd w:val="clear" w:color="auto" w:fill="auto"/>
            <w:noWrap w:val="0"/>
            <w:vAlign w:val="center"/>
          </w:tcPr>
          <w:p w14:paraId="794191A0">
            <w:pPr>
              <w:widowControl/>
              <w:jc w:val="center"/>
              <w:rPr>
                <w:rFonts w:hint="eastAsia"/>
                <w:kern w:val="0"/>
                <w:sz w:val="24"/>
              </w:rPr>
            </w:pPr>
            <w:r>
              <w:rPr>
                <w:rFonts w:hint="eastAsia"/>
                <w:kern w:val="0"/>
                <w:sz w:val="24"/>
              </w:rPr>
              <w:t>70%</w:t>
            </w:r>
          </w:p>
        </w:tc>
        <w:tc>
          <w:tcPr>
            <w:tcW w:w="2268" w:type="dxa"/>
            <w:vMerge w:val="restart"/>
            <w:shd w:val="clear" w:color="auto" w:fill="auto"/>
            <w:noWrap w:val="0"/>
            <w:vAlign w:val="center"/>
          </w:tcPr>
          <w:p w14:paraId="1B499EC9">
            <w:pPr>
              <w:widowControl/>
              <w:jc w:val="center"/>
              <w:rPr>
                <w:kern w:val="0"/>
                <w:sz w:val="24"/>
              </w:rPr>
            </w:pPr>
            <w:r>
              <w:rPr>
                <w:rFonts w:hint="eastAsia" w:ascii="宋体" w:hAnsi="宋体" w:cs="宋体"/>
                <w:color w:val="000000"/>
                <w:kern w:val="0"/>
                <w:szCs w:val="21"/>
              </w:rPr>
              <w:t>100%</w:t>
            </w:r>
          </w:p>
        </w:tc>
      </w:tr>
      <w:tr w14:paraId="50C15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1" w:hRule="atLeast"/>
          <w:jc w:val="center"/>
        </w:trPr>
        <w:tc>
          <w:tcPr>
            <w:tcW w:w="1768" w:type="dxa"/>
            <w:vMerge w:val="continue"/>
            <w:shd w:val="clear" w:color="auto" w:fill="auto"/>
            <w:noWrap w:val="0"/>
            <w:vAlign w:val="center"/>
          </w:tcPr>
          <w:p w14:paraId="0D2786F4">
            <w:pPr>
              <w:widowControl/>
              <w:jc w:val="left"/>
              <w:rPr>
                <w:rFonts w:ascii="宋体" w:hAnsi="宋体" w:cs="宋体"/>
                <w:kern w:val="0"/>
                <w:sz w:val="24"/>
              </w:rPr>
            </w:pPr>
          </w:p>
        </w:tc>
        <w:tc>
          <w:tcPr>
            <w:tcW w:w="871" w:type="dxa"/>
            <w:vMerge w:val="continue"/>
            <w:shd w:val="clear" w:color="auto" w:fill="auto"/>
            <w:noWrap w:val="0"/>
            <w:vAlign w:val="center"/>
          </w:tcPr>
          <w:p w14:paraId="2DF209B0">
            <w:pPr>
              <w:widowControl/>
              <w:jc w:val="left"/>
              <w:rPr>
                <w:kern w:val="0"/>
                <w:sz w:val="24"/>
              </w:rPr>
            </w:pPr>
          </w:p>
        </w:tc>
        <w:tc>
          <w:tcPr>
            <w:tcW w:w="1887" w:type="dxa"/>
            <w:shd w:val="clear" w:color="auto" w:fill="auto"/>
            <w:noWrap w:val="0"/>
            <w:vAlign w:val="center"/>
          </w:tcPr>
          <w:p w14:paraId="36A37C8A">
            <w:pPr>
              <w:widowControl/>
              <w:rPr>
                <w:rFonts w:ascii="宋体" w:hAnsi="宋体" w:cs="宋体"/>
                <w:kern w:val="0"/>
                <w:sz w:val="24"/>
              </w:rPr>
            </w:pPr>
            <w:r>
              <w:rPr>
                <w:rFonts w:hint="eastAsia" w:ascii="宋体" w:hAnsi="宋体" w:cs="宋体"/>
                <w:kern w:val="0"/>
                <w:sz w:val="24"/>
              </w:rPr>
              <w:t>实验教学设计</w:t>
            </w:r>
          </w:p>
        </w:tc>
        <w:tc>
          <w:tcPr>
            <w:tcW w:w="1276" w:type="dxa"/>
            <w:shd w:val="clear" w:color="auto" w:fill="auto"/>
            <w:noWrap w:val="0"/>
            <w:vAlign w:val="center"/>
          </w:tcPr>
          <w:p w14:paraId="3AE33257">
            <w:pPr>
              <w:widowControl/>
              <w:jc w:val="center"/>
              <w:rPr>
                <w:rFonts w:hint="eastAsia"/>
                <w:kern w:val="0"/>
                <w:sz w:val="24"/>
              </w:rPr>
            </w:pPr>
            <w:r>
              <w:rPr>
                <w:rFonts w:hint="eastAsia"/>
                <w:kern w:val="0"/>
                <w:sz w:val="24"/>
              </w:rPr>
              <w:t>30%</w:t>
            </w:r>
          </w:p>
        </w:tc>
        <w:tc>
          <w:tcPr>
            <w:tcW w:w="2268" w:type="dxa"/>
            <w:vMerge w:val="continue"/>
            <w:shd w:val="clear" w:color="auto" w:fill="auto"/>
            <w:noWrap w:val="0"/>
            <w:vAlign w:val="center"/>
          </w:tcPr>
          <w:p w14:paraId="1679CB46">
            <w:pPr>
              <w:widowControl/>
              <w:jc w:val="left"/>
              <w:rPr>
                <w:kern w:val="0"/>
                <w:sz w:val="24"/>
              </w:rPr>
            </w:pPr>
          </w:p>
        </w:tc>
      </w:tr>
      <w:tr w14:paraId="0C2F9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1768" w:type="dxa"/>
            <w:shd w:val="clear" w:color="auto" w:fill="auto"/>
            <w:noWrap w:val="0"/>
            <w:vAlign w:val="center"/>
          </w:tcPr>
          <w:p w14:paraId="4A4742C5">
            <w:pPr>
              <w:widowControl/>
              <w:jc w:val="center"/>
              <w:rPr>
                <w:rFonts w:ascii="宋体" w:hAnsi="宋体" w:cs="宋体"/>
                <w:kern w:val="0"/>
                <w:sz w:val="24"/>
              </w:rPr>
            </w:pPr>
            <w:r>
              <w:rPr>
                <w:rFonts w:hint="eastAsia" w:ascii="宋体" w:hAnsi="宋体" w:cs="宋体"/>
                <w:kern w:val="0"/>
                <w:sz w:val="24"/>
              </w:rPr>
              <w:t>课程目标权重</w:t>
            </w:r>
          </w:p>
        </w:tc>
        <w:tc>
          <w:tcPr>
            <w:tcW w:w="871" w:type="dxa"/>
            <w:shd w:val="clear" w:color="auto" w:fill="auto"/>
            <w:noWrap w:val="0"/>
            <w:vAlign w:val="center"/>
          </w:tcPr>
          <w:p w14:paraId="650AAC27">
            <w:pPr>
              <w:widowControl/>
              <w:jc w:val="center"/>
              <w:rPr>
                <w:rFonts w:ascii="宋体" w:hAnsi="宋体" w:cs="宋体"/>
                <w:kern w:val="0"/>
                <w:sz w:val="24"/>
              </w:rPr>
            </w:pPr>
            <w:r>
              <w:rPr>
                <w:rFonts w:hint="eastAsia" w:ascii="宋体" w:hAnsi="宋体" w:cs="宋体"/>
                <w:kern w:val="0"/>
                <w:sz w:val="24"/>
              </w:rPr>
              <w:t>100%</w:t>
            </w:r>
          </w:p>
        </w:tc>
        <w:tc>
          <w:tcPr>
            <w:tcW w:w="5431" w:type="dxa"/>
            <w:gridSpan w:val="3"/>
            <w:shd w:val="clear" w:color="auto" w:fill="auto"/>
            <w:noWrap w:val="0"/>
            <w:vAlign w:val="center"/>
          </w:tcPr>
          <w:p w14:paraId="0A16B46D">
            <w:pPr>
              <w:widowControl/>
              <w:jc w:val="center"/>
              <w:rPr>
                <w:rFonts w:hint="eastAsia"/>
                <w:kern w:val="0"/>
                <w:sz w:val="24"/>
              </w:rPr>
            </w:pPr>
          </w:p>
        </w:tc>
      </w:tr>
    </w:tbl>
    <w:p w14:paraId="28C7C77E">
      <w:pPr>
        <w:spacing w:line="360" w:lineRule="auto"/>
        <w:ind w:firstLine="562" w:firstLineChars="200"/>
        <w:rPr>
          <w:b/>
          <w:sz w:val="28"/>
          <w:szCs w:val="28"/>
        </w:rPr>
      </w:pPr>
    </w:p>
    <w:p w14:paraId="10E39AA2">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D549126">
      <w:pPr>
        <w:spacing w:line="360" w:lineRule="auto"/>
        <w:ind w:firstLine="482" w:firstLineChars="200"/>
        <w:rPr>
          <w:rFonts w:hint="eastAsia"/>
          <w:b/>
          <w:color w:val="000000"/>
          <w:sz w:val="24"/>
        </w:rPr>
      </w:pPr>
      <w:r>
        <w:rPr>
          <w:rFonts w:hint="eastAsia"/>
          <w:b/>
          <w:color w:val="000000"/>
          <w:sz w:val="24"/>
        </w:rPr>
        <w:t>（一）持续改进</w:t>
      </w:r>
    </w:p>
    <w:p w14:paraId="7C61FDA9">
      <w:pPr>
        <w:spacing w:line="360" w:lineRule="auto"/>
        <w:ind w:firstLine="480" w:firstLineChars="200"/>
        <w:rPr>
          <w:sz w:val="24"/>
          <w:szCs w:val="22"/>
        </w:rPr>
      </w:pPr>
      <w:r>
        <w:rPr>
          <w:sz w:val="24"/>
          <w:szCs w:val="22"/>
        </w:rPr>
        <w:t>本课程根据学生作业、</w:t>
      </w:r>
      <w:r>
        <w:rPr>
          <w:rFonts w:hint="eastAsia"/>
          <w:sz w:val="24"/>
          <w:szCs w:val="22"/>
        </w:rPr>
        <w:t>实验</w:t>
      </w:r>
      <w:r>
        <w:rPr>
          <w:sz w:val="24"/>
          <w:szCs w:val="22"/>
        </w:rPr>
        <w:t>环节和学生、教学督导等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77F187E3">
      <w:pPr>
        <w:spacing w:line="360" w:lineRule="auto"/>
        <w:ind w:firstLine="482" w:firstLineChars="200"/>
        <w:rPr>
          <w:b/>
          <w:color w:val="000000"/>
          <w:sz w:val="24"/>
        </w:rPr>
      </w:pPr>
      <w:r>
        <w:rPr>
          <w:rFonts w:hint="eastAsia"/>
          <w:b/>
          <w:color w:val="000000"/>
          <w:sz w:val="24"/>
        </w:rPr>
        <w:t>（二）</w:t>
      </w:r>
      <w:r>
        <w:rPr>
          <w:b/>
          <w:color w:val="000000"/>
          <w:sz w:val="24"/>
        </w:rPr>
        <w:t>参考书目及学习资料</w:t>
      </w:r>
    </w:p>
    <w:p w14:paraId="08623475">
      <w:pPr>
        <w:spacing w:line="360" w:lineRule="auto"/>
        <w:jc w:val="left"/>
        <w:rPr>
          <w:rFonts w:hint="eastAsia" w:ascii="宋体" w:hAnsi="宋体"/>
          <w:sz w:val="24"/>
        </w:rPr>
      </w:pPr>
      <w:r>
        <w:rPr>
          <w:rFonts w:hint="eastAsia" w:ascii="宋体" w:hAnsi="宋体"/>
          <w:sz w:val="24"/>
        </w:rPr>
        <w:t>1、E．丹勒克尔著，《科学小实验》，四川人民出版社，2006年。</w:t>
      </w:r>
    </w:p>
    <w:p w14:paraId="1CBBBCD2">
      <w:pPr>
        <w:spacing w:line="360" w:lineRule="auto"/>
        <w:ind w:left="360" w:hanging="360" w:hangingChars="150"/>
        <w:jc w:val="left"/>
        <w:rPr>
          <w:rFonts w:hint="eastAsia" w:ascii="宋体" w:hAnsi="宋体"/>
          <w:sz w:val="24"/>
        </w:rPr>
      </w:pPr>
      <w:r>
        <w:rPr>
          <w:rFonts w:hint="eastAsia" w:ascii="宋体" w:hAnsi="宋体"/>
          <w:sz w:val="24"/>
        </w:rPr>
        <w:t>2、</w:t>
      </w:r>
      <w:r>
        <w:rPr>
          <w:rFonts w:ascii="宋体" w:hAnsi="宋体" w:cs="Arial"/>
          <w:color w:val="414141"/>
          <w:sz w:val="24"/>
        </w:rPr>
        <w:t>邬晓艳，马惠娟</w:t>
      </w:r>
      <w:r>
        <w:rPr>
          <w:rFonts w:hint="eastAsia" w:ascii="宋体" w:hAnsi="宋体" w:cs="Arial"/>
          <w:color w:val="414141"/>
          <w:sz w:val="24"/>
        </w:rPr>
        <w:t>编</w:t>
      </w:r>
      <w:r>
        <w:rPr>
          <w:rFonts w:hint="eastAsia" w:ascii="宋体" w:hAnsi="宋体"/>
          <w:sz w:val="24"/>
        </w:rPr>
        <w:t>，《动手动脑学科学---幼儿科学小实验集》，</w:t>
      </w:r>
      <w:r>
        <w:rPr>
          <w:rFonts w:ascii="宋体" w:hAnsi="宋体" w:cs="Arial"/>
          <w:color w:val="414141"/>
          <w:sz w:val="24"/>
        </w:rPr>
        <w:t>浙江大学出版社</w:t>
      </w:r>
      <w:r>
        <w:rPr>
          <w:rFonts w:hint="eastAsia" w:ascii="宋体" w:hAnsi="宋体"/>
          <w:sz w:val="24"/>
        </w:rPr>
        <w:t>，2007年。</w:t>
      </w:r>
    </w:p>
    <w:p w14:paraId="1C7939D9">
      <w:pPr>
        <w:spacing w:line="360" w:lineRule="auto"/>
        <w:jc w:val="left"/>
        <w:rPr>
          <w:rFonts w:hint="eastAsia" w:ascii="宋体" w:hAnsi="宋体"/>
          <w:sz w:val="24"/>
        </w:rPr>
      </w:pPr>
      <w:r>
        <w:rPr>
          <w:rFonts w:hint="eastAsia" w:ascii="宋体" w:hAnsi="宋体"/>
          <w:sz w:val="24"/>
        </w:rPr>
        <w:t>3、</w:t>
      </w:r>
      <w:r>
        <w:rPr>
          <w:rFonts w:ascii="宋体" w:hAnsi="宋体" w:cs="Arial"/>
          <w:color w:val="414141"/>
          <w:sz w:val="24"/>
        </w:rPr>
        <w:t>于启斋 编著</w:t>
      </w:r>
      <w:r>
        <w:rPr>
          <w:rFonts w:hint="eastAsia" w:ascii="宋体" w:hAnsi="宋体"/>
          <w:sz w:val="24"/>
        </w:rPr>
        <w:t>，《身边的科学小实验》，</w:t>
      </w:r>
      <w:r>
        <w:rPr>
          <w:rFonts w:ascii="宋体" w:hAnsi="宋体" w:cs="Arial"/>
          <w:color w:val="414141"/>
          <w:sz w:val="24"/>
        </w:rPr>
        <w:t>湖北少儿出版社</w:t>
      </w:r>
      <w:r>
        <w:rPr>
          <w:rFonts w:hint="eastAsia" w:ascii="宋体" w:hAnsi="宋体"/>
          <w:sz w:val="24"/>
        </w:rPr>
        <w:t>，2005年。</w:t>
      </w:r>
    </w:p>
    <w:p w14:paraId="48825B38">
      <w:pPr>
        <w:autoSpaceDE w:val="0"/>
        <w:autoSpaceDN w:val="0"/>
        <w:adjustRightInd w:val="0"/>
        <w:spacing w:line="360" w:lineRule="auto"/>
        <w:jc w:val="left"/>
        <w:rPr>
          <w:rFonts w:ascii="宋体" w:hAnsi="宋体"/>
          <w:sz w:val="24"/>
        </w:rPr>
      </w:pPr>
      <w:r>
        <w:rPr>
          <w:rFonts w:hint="eastAsia" w:ascii="宋体" w:hAnsi="宋体"/>
          <w:sz w:val="24"/>
        </w:rPr>
        <w:t>4、郝京华等著，《科学》，3~6年级，江苏教育出版社，2007年。</w:t>
      </w:r>
    </w:p>
    <w:p w14:paraId="4C1A6AF3">
      <w:pPr>
        <w:autoSpaceDE w:val="0"/>
        <w:autoSpaceDN w:val="0"/>
        <w:adjustRightInd w:val="0"/>
        <w:spacing w:line="360" w:lineRule="auto"/>
        <w:jc w:val="left"/>
        <w:rPr>
          <w:rFonts w:ascii="宋体" w:hAnsi="宋体"/>
          <w:sz w:val="24"/>
        </w:rPr>
      </w:pPr>
    </w:p>
    <w:p w14:paraId="77255E2D">
      <w:pPr>
        <w:autoSpaceDE w:val="0"/>
        <w:autoSpaceDN w:val="0"/>
        <w:adjustRightInd w:val="0"/>
        <w:spacing w:line="360" w:lineRule="auto"/>
        <w:jc w:val="left"/>
        <w:rPr>
          <w:rFonts w:hint="eastAsia" w:ascii="宋体" w:hAnsi="宋体"/>
          <w:sz w:val="24"/>
        </w:rPr>
      </w:pPr>
    </w:p>
    <w:p w14:paraId="170CB8C0">
      <w:pPr>
        <w:autoSpaceDE w:val="0"/>
        <w:autoSpaceDN w:val="0"/>
        <w:adjustRightInd w:val="0"/>
        <w:spacing w:line="360" w:lineRule="auto"/>
        <w:jc w:val="right"/>
        <w:rPr>
          <w:rFonts w:hint="eastAsia"/>
          <w:kern w:val="0"/>
          <w:sz w:val="24"/>
          <w:szCs w:val="21"/>
        </w:rPr>
      </w:pPr>
      <w:r>
        <w:rPr>
          <w:kern w:val="0"/>
          <w:sz w:val="24"/>
          <w:szCs w:val="21"/>
        </w:rPr>
        <w:t xml:space="preserve">执笔人： </w:t>
      </w:r>
      <w:r>
        <w:rPr>
          <w:rFonts w:hint="eastAsia"/>
          <w:kern w:val="0"/>
          <w:sz w:val="24"/>
          <w:szCs w:val="21"/>
        </w:rPr>
        <w:t>金玉宏</w:t>
      </w:r>
    </w:p>
    <w:p w14:paraId="641D96EE">
      <w:pPr>
        <w:autoSpaceDE w:val="0"/>
        <w:autoSpaceDN w:val="0"/>
        <w:adjustRightInd w:val="0"/>
        <w:spacing w:line="360" w:lineRule="auto"/>
        <w:jc w:val="right"/>
        <w:rPr>
          <w:rFonts w:hint="eastAsia"/>
          <w:kern w:val="0"/>
          <w:sz w:val="24"/>
          <w:szCs w:val="21"/>
        </w:rPr>
      </w:pPr>
      <w:r>
        <w:rPr>
          <w:kern w:val="0"/>
          <w:sz w:val="24"/>
          <w:szCs w:val="21"/>
        </w:rPr>
        <w:t xml:space="preserve">审定人： </w:t>
      </w:r>
      <w:r>
        <w:rPr>
          <w:rFonts w:hint="eastAsia"/>
          <w:kern w:val="0"/>
          <w:sz w:val="24"/>
          <w:szCs w:val="21"/>
        </w:rPr>
        <w:t>张志欣</w:t>
      </w:r>
    </w:p>
    <w:p w14:paraId="6140344B">
      <w:pPr>
        <w:autoSpaceDE w:val="0"/>
        <w:autoSpaceDN w:val="0"/>
        <w:adjustRightInd w:val="0"/>
        <w:spacing w:line="360" w:lineRule="auto"/>
        <w:jc w:val="righ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 xml:space="preserve"> 张建波 </w:t>
      </w:r>
    </w:p>
    <w:p w14:paraId="424F5ED8">
      <w:pPr>
        <w:autoSpaceDE w:val="0"/>
        <w:autoSpaceDN w:val="0"/>
        <w:adjustRightInd w:val="0"/>
        <w:spacing w:line="360" w:lineRule="auto"/>
        <w:jc w:val="right"/>
        <w:rPr>
          <w:kern w:val="0"/>
          <w:sz w:val="24"/>
          <w:szCs w:val="21"/>
        </w:rPr>
      </w:pPr>
      <w:r>
        <w:rPr>
          <w:rFonts w:hint="eastAsia"/>
          <w:kern w:val="0"/>
          <w:sz w:val="24"/>
          <w:szCs w:val="21"/>
        </w:rPr>
        <w:t>批准时间：</w:t>
      </w:r>
      <w:r>
        <w:rPr>
          <w:kern w:val="0"/>
          <w:sz w:val="24"/>
          <w:szCs w:val="21"/>
        </w:rPr>
        <w:t xml:space="preserve"> </w:t>
      </w:r>
      <w:r>
        <w:rPr>
          <w:rFonts w:hint="eastAsia"/>
          <w:kern w:val="0"/>
          <w:sz w:val="24"/>
          <w:szCs w:val="21"/>
        </w:rPr>
        <w:t>2022年9月1日</w:t>
      </w:r>
    </w:p>
    <w:p w14:paraId="320DF4FA">
      <w:pPr>
        <w:widowControl/>
        <w:jc w:val="right"/>
        <w:rPr>
          <w:rFonts w:ascii="宋体" w:hAnsi="宋体" w:eastAsia="宋体" w:cs="Times New Roman"/>
          <w:szCs w:val="24"/>
        </w:rPr>
      </w:pPr>
      <w:r>
        <w:rPr>
          <w:rFonts w:ascii="Times New Roman" w:hAnsi="Times New Roman" w:eastAsia="宋体" w:cs="Times New Roman"/>
          <w:kern w:val="0"/>
          <w:sz w:val="24"/>
          <w:szCs w:val="21"/>
        </w:rPr>
        <w:br w:type="page"/>
      </w:r>
    </w:p>
    <w:p w14:paraId="5AA52E22">
      <w:pPr>
        <w:spacing w:line="312" w:lineRule="auto"/>
        <w:jc w:val="center"/>
        <w:outlineLvl w:val="0"/>
        <w:rPr>
          <w:rFonts w:ascii="Times New Roman" w:hAnsi="Times New Roman" w:eastAsia="宋体" w:cs="Times New Roman"/>
          <w:b/>
          <w:bCs/>
          <w:sz w:val="30"/>
          <w:szCs w:val="24"/>
        </w:rPr>
      </w:pPr>
      <w:bookmarkStart w:id="293" w:name="_Toc88340361"/>
      <w:bookmarkStart w:id="294" w:name="_Toc312156114"/>
      <w:bookmarkStart w:id="295" w:name="_Toc166165229"/>
      <w:r>
        <w:rPr>
          <w:rFonts w:hint="eastAsia" w:ascii="Times New Roman" w:hAnsi="Times New Roman" w:eastAsia="宋体" w:cs="Times New Roman"/>
          <w:b/>
          <w:bCs/>
          <w:sz w:val="30"/>
          <w:szCs w:val="24"/>
        </w:rPr>
        <w:t>小学道德与法治课程与教学论课程教学大纲</w:t>
      </w:r>
      <w:bookmarkEnd w:id="293"/>
      <w:bookmarkEnd w:id="294"/>
      <w:bookmarkEnd w:id="295"/>
    </w:p>
    <w:p w14:paraId="7B49CCE1">
      <w:pPr>
        <w:spacing w:line="312" w:lineRule="auto"/>
        <w:jc w:val="center"/>
        <w:rPr>
          <w:rFonts w:ascii="Times New Roman" w:hAnsi="Times New Roman" w:eastAsia="宋体" w:cs="Times New Roman"/>
          <w:b/>
          <w:bCs/>
          <w:sz w:val="28"/>
          <w:szCs w:val="24"/>
        </w:rPr>
      </w:pPr>
      <w:r>
        <w:rPr>
          <w:rFonts w:hint="eastAsia" w:ascii="Times New Roman" w:hAnsi="Times New Roman" w:eastAsia="宋体" w:cs="Times New Roman"/>
          <w:b/>
          <w:bCs/>
          <w:sz w:val="28"/>
          <w:szCs w:val="24"/>
        </w:rPr>
        <w:t>（</w:t>
      </w:r>
      <w:r>
        <w:rPr>
          <w:rFonts w:ascii="Times New Roman" w:hAnsi="Times New Roman" w:eastAsia="宋体" w:cs="Times New Roman"/>
          <w:b/>
          <w:sz w:val="28"/>
          <w:szCs w:val="24"/>
        </w:rPr>
        <w:t>The Theory of Curriculum and Instruction in Primary School Morality and Law</w:t>
      </w:r>
      <w:r>
        <w:rPr>
          <w:rFonts w:hint="eastAsia" w:ascii="Times New Roman" w:hAnsi="Times New Roman" w:eastAsia="宋体" w:cs="Times New Roman"/>
          <w:b/>
          <w:bCs/>
          <w:sz w:val="28"/>
          <w:szCs w:val="24"/>
        </w:rPr>
        <w:t>）</w:t>
      </w:r>
    </w:p>
    <w:p w14:paraId="247CC622">
      <w:pPr>
        <w:rPr>
          <w:rFonts w:ascii="宋体" w:hAnsi="宋体" w:eastAsia="宋体" w:cs="宋体"/>
          <w:b/>
          <w:szCs w:val="21"/>
        </w:rPr>
      </w:pPr>
      <w:r>
        <w:rPr>
          <w:rFonts w:hint="eastAsia" w:ascii="Times New Roman" w:hAnsi="Times New Roman" w:eastAsia="宋体" w:cs="Times New Roman"/>
          <w:b/>
          <w:sz w:val="28"/>
          <w:szCs w:val="28"/>
        </w:rPr>
        <w:t>一、课程概况</w:t>
      </w:r>
    </w:p>
    <w:p w14:paraId="2EB6864E">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课程代码：</w:t>
      </w:r>
      <w:r>
        <w:rPr>
          <w:rFonts w:ascii="Times New Roman" w:hAnsi="Times New Roman" w:eastAsia="宋体" w:cs="Times New Roman"/>
          <w:kern w:val="0"/>
          <w:sz w:val="24"/>
          <w:szCs w:val="24"/>
        </w:rPr>
        <w:t>2401040</w:t>
      </w:r>
    </w:p>
    <w:p w14:paraId="16B39394">
      <w:pPr>
        <w:spacing w:line="360" w:lineRule="auto"/>
        <w:ind w:firstLine="482" w:firstLineChars="20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学  分：</w:t>
      </w:r>
      <w:r>
        <w:rPr>
          <w:rFonts w:hint="eastAsia" w:ascii="Times New Roman" w:hAnsi="Times New Roman" w:eastAsia="宋体" w:cs="Times New Roman"/>
          <w:kern w:val="0"/>
          <w:sz w:val="24"/>
          <w:szCs w:val="24"/>
        </w:rPr>
        <w:t>2</w:t>
      </w:r>
    </w:p>
    <w:p w14:paraId="4F7CAE9F">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学  时：</w:t>
      </w:r>
      <w:r>
        <w:rPr>
          <w:rFonts w:hint="eastAsia" w:ascii="Times New Roman" w:hAnsi="Times New Roman" w:eastAsia="宋体" w:cs="Times New Roman"/>
          <w:kern w:val="0"/>
          <w:sz w:val="24"/>
          <w:szCs w:val="24"/>
        </w:rPr>
        <w:t>32（其中：讲授学时1</w:t>
      </w:r>
      <w:r>
        <w:rPr>
          <w:rFonts w:ascii="Times New Roman" w:hAnsi="Times New Roman" w:eastAsia="宋体" w:cs="Times New Roman"/>
          <w:kern w:val="0"/>
          <w:sz w:val="24"/>
          <w:szCs w:val="24"/>
        </w:rPr>
        <w:t>6</w:t>
      </w:r>
      <w:r>
        <w:rPr>
          <w:rFonts w:hint="eastAsia" w:ascii="Times New Roman" w:hAnsi="Times New Roman" w:eastAsia="宋体" w:cs="Times New Roman"/>
          <w:kern w:val="0"/>
          <w:sz w:val="24"/>
          <w:szCs w:val="24"/>
        </w:rPr>
        <w:t>，课内实践1</w:t>
      </w:r>
      <w:r>
        <w:rPr>
          <w:rFonts w:ascii="Times New Roman" w:hAnsi="Times New Roman" w:eastAsia="宋体" w:cs="Times New Roman"/>
          <w:kern w:val="0"/>
          <w:sz w:val="24"/>
          <w:szCs w:val="24"/>
        </w:rPr>
        <w:t>6</w:t>
      </w:r>
      <w:r>
        <w:rPr>
          <w:rFonts w:hint="eastAsia" w:ascii="Times New Roman" w:hAnsi="Times New Roman" w:eastAsia="宋体" w:cs="Times New Roman"/>
          <w:kern w:val="0"/>
          <w:sz w:val="24"/>
          <w:szCs w:val="24"/>
        </w:rPr>
        <w:t>）</w:t>
      </w:r>
    </w:p>
    <w:p w14:paraId="01A27D77">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先修课程：</w:t>
      </w:r>
      <w:r>
        <w:rPr>
          <w:rFonts w:hint="eastAsia" w:ascii="Times New Roman" w:hAnsi="Times New Roman" w:eastAsia="宋体" w:cs="Times New Roman"/>
          <w:kern w:val="0"/>
          <w:sz w:val="24"/>
          <w:szCs w:val="24"/>
        </w:rPr>
        <w:t>教育原理、教育心理学、现代教育技术、教育伦理学</w:t>
      </w:r>
    </w:p>
    <w:p w14:paraId="55D67F42">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适用专业：</w:t>
      </w:r>
      <w:r>
        <w:rPr>
          <w:rFonts w:hint="eastAsia" w:ascii="Times New Roman" w:hAnsi="Times New Roman" w:eastAsia="宋体" w:cs="Times New Roman"/>
          <w:kern w:val="0"/>
          <w:sz w:val="24"/>
          <w:szCs w:val="24"/>
        </w:rPr>
        <w:t>小学教育（文）</w:t>
      </w:r>
    </w:p>
    <w:p w14:paraId="596EDCAD">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建议教材：</w:t>
      </w:r>
      <w:r>
        <w:rPr>
          <w:rFonts w:hint="eastAsia" w:ascii="Times New Roman" w:hAnsi="Times New Roman" w:eastAsia="宋体" w:cs="Times New Roman"/>
          <w:kern w:val="0"/>
          <w:sz w:val="24"/>
          <w:szCs w:val="24"/>
        </w:rPr>
        <w:t>刘慧《小学道德与法治课程与教学》，西南师范大学出版社，20</w:t>
      </w:r>
      <w:r>
        <w:rPr>
          <w:rFonts w:ascii="Times New Roman" w:hAnsi="Times New Roman" w:eastAsia="宋体" w:cs="Times New Roman"/>
          <w:kern w:val="0"/>
          <w:sz w:val="24"/>
          <w:szCs w:val="24"/>
        </w:rPr>
        <w:t>21</w:t>
      </w:r>
      <w:r>
        <w:rPr>
          <w:rFonts w:hint="eastAsia" w:ascii="Times New Roman" w:hAnsi="Times New Roman" w:eastAsia="宋体" w:cs="Times New Roman"/>
          <w:kern w:val="0"/>
          <w:sz w:val="24"/>
          <w:szCs w:val="24"/>
        </w:rPr>
        <w:t>。</w:t>
      </w:r>
    </w:p>
    <w:p w14:paraId="3CCC4D1E">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课程归口：</w:t>
      </w:r>
      <w:r>
        <w:rPr>
          <w:rFonts w:hint="eastAsia" w:ascii="Times New Roman" w:hAnsi="Times New Roman" w:eastAsia="宋体" w:cs="Times New Roman"/>
          <w:bCs/>
          <w:kern w:val="0"/>
          <w:sz w:val="24"/>
          <w:szCs w:val="24"/>
        </w:rPr>
        <w:t>师范</w:t>
      </w:r>
      <w:r>
        <w:rPr>
          <w:rFonts w:hint="eastAsia" w:ascii="Times New Roman" w:hAnsi="Times New Roman" w:eastAsia="宋体" w:cs="Times New Roman"/>
          <w:kern w:val="0"/>
          <w:sz w:val="24"/>
          <w:szCs w:val="24"/>
        </w:rPr>
        <w:t>学院</w:t>
      </w:r>
    </w:p>
    <w:p w14:paraId="45D1B807">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bCs/>
          <w:kern w:val="0"/>
          <w:sz w:val="24"/>
          <w:szCs w:val="24"/>
        </w:rPr>
        <w:t>课程的性质与任务：</w:t>
      </w:r>
      <w:r>
        <w:rPr>
          <w:rFonts w:hint="eastAsia" w:ascii="Times New Roman" w:hAnsi="Times New Roman" w:eastAsia="宋体" w:cs="Times New Roman"/>
          <w:kern w:val="0"/>
          <w:sz w:val="24"/>
          <w:szCs w:val="24"/>
        </w:rPr>
        <w:t>小学道德与法治是在小学品德与生活、品德与社会的基础上整合而成，是一门以儿童的社会生活为基础，促进学生良好品德形成和发展的综合课程。在小学教育（文）专业开设该专业选修课程，以研究小学道德与法治课程的发展、教学目标、课程结构与教材、教学过程与常用方法以及课程评价等为内容，旨在培养师范生的道德与法治教育能力，实现培养专业化的小学道德与法治课程教师的教育目标。</w:t>
      </w:r>
    </w:p>
    <w:p w14:paraId="5A750592">
      <w:pPr>
        <w:spacing w:line="360" w:lineRule="auto"/>
        <w:rPr>
          <w:rFonts w:ascii="Times New Roman" w:hAnsi="Times New Roman" w:eastAsia="宋体" w:cs="Times New Roman"/>
          <w:b/>
          <w:sz w:val="28"/>
          <w:szCs w:val="28"/>
        </w:rPr>
      </w:pPr>
      <w:r>
        <w:rPr>
          <w:rFonts w:hint="eastAsia" w:ascii="Times New Roman" w:hAnsi="Times New Roman" w:eastAsia="宋体" w:cs="Times New Roman"/>
          <w:b/>
          <w:sz w:val="28"/>
          <w:szCs w:val="28"/>
        </w:rPr>
        <w:t>二、课程目标</w:t>
      </w:r>
    </w:p>
    <w:p w14:paraId="00C5AA9D">
      <w:pPr>
        <w:spacing w:line="360" w:lineRule="auto"/>
        <w:ind w:firstLine="482" w:firstLineChars="200"/>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（一）课程具体目标</w:t>
      </w:r>
    </w:p>
    <w:p w14:paraId="29D03985">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目标1.了解道德与法治课程的综合性，理解当前道德与法治课程的最新教育理念，对道德与法治教学理念的变迁有较好的理解。</w:t>
      </w:r>
    </w:p>
    <w:p w14:paraId="66A69D90">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.熟悉小学道德与法治的课程标准、教材体系、教学内容，掌握小学道德与法治课程设计的基本原理、模式和设计原则，能进行运用。</w:t>
      </w:r>
    </w:p>
    <w:p w14:paraId="478E41D6">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.能反思学生学习方式与道德与法治课程的适洽性，将学生的品德学习与社会生活紧密相连，主动探索合作学习、探究学习等多样化的道德学习方式，探索开发丰富的教学资源。</w:t>
      </w:r>
    </w:p>
    <w:p w14:paraId="03967DC7">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.能综合采用多种评价方式测量学生的品德发展状况，认同“以评价促发展”的教育观念。</w:t>
      </w:r>
    </w:p>
    <w:p w14:paraId="32F2B7F1">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目标</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.认识小学道德与法治课教师的专业化发展趋势，掌握小学道德与法治教师必备的专业素养与教学技能。</w:t>
      </w:r>
    </w:p>
    <w:p w14:paraId="3823C920">
      <w:pPr>
        <w:spacing w:line="360" w:lineRule="auto"/>
        <w:ind w:firstLine="482" w:firstLineChars="200"/>
        <w:rPr>
          <w:rFonts w:ascii="Times New Roman" w:hAnsi="Times New Roman" w:eastAsia="宋体" w:cs="Times New Roman"/>
          <w:kern w:val="0"/>
          <w:sz w:val="24"/>
          <w:szCs w:val="24"/>
        </w:rPr>
      </w:pPr>
      <w:r>
        <w:rPr>
          <w:rFonts w:hint="eastAsia" w:ascii="Times New Roman" w:hAnsi="Times New Roman" w:eastAsia="宋体" w:cs="Times New Roman"/>
          <w:b/>
          <w:kern w:val="0"/>
          <w:sz w:val="24"/>
          <w:szCs w:val="24"/>
        </w:rPr>
        <w:t>（二）课程目标与专业毕业要求的关系</w:t>
      </w:r>
    </w:p>
    <w:tbl>
      <w:tblPr>
        <w:tblStyle w:val="262"/>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2379"/>
        <w:gridCol w:w="5300"/>
      </w:tblGrid>
      <w:tr w14:paraId="1A64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94" w:type="dxa"/>
            <w:vAlign w:val="center"/>
          </w:tcPr>
          <w:p w14:paraId="08989EA8">
            <w:pPr>
              <w:adjustRightInd w:val="0"/>
              <w:snapToGrid w:val="0"/>
              <w:jc w:val="center"/>
              <w:rPr>
                <w:rFonts w:ascii="宋体" w:hAnsi="宋体" w:eastAsia="宋体" w:cs="Times New Roman"/>
                <w:b/>
                <w:kern w:val="0"/>
                <w:sz w:val="20"/>
                <w:szCs w:val="21"/>
              </w:rPr>
            </w:pPr>
            <w:r>
              <w:rPr>
                <w:rFonts w:hint="eastAsia" w:ascii="宋体" w:hAnsi="宋体" w:eastAsia="宋体" w:cs="Times New Roman"/>
                <w:b/>
                <w:kern w:val="0"/>
                <w:sz w:val="20"/>
                <w:szCs w:val="21"/>
              </w:rPr>
              <w:t>课程目标</w:t>
            </w:r>
          </w:p>
        </w:tc>
        <w:tc>
          <w:tcPr>
            <w:tcW w:w="2379" w:type="dxa"/>
            <w:vAlign w:val="center"/>
          </w:tcPr>
          <w:p w14:paraId="5DFA3661">
            <w:pPr>
              <w:adjustRightInd w:val="0"/>
              <w:snapToGrid w:val="0"/>
              <w:jc w:val="center"/>
              <w:rPr>
                <w:rFonts w:ascii="宋体" w:hAnsi="宋体" w:eastAsia="宋体" w:cs="Times New Roman"/>
                <w:b/>
                <w:kern w:val="0"/>
                <w:sz w:val="20"/>
                <w:szCs w:val="21"/>
              </w:rPr>
            </w:pPr>
            <w:r>
              <w:rPr>
                <w:rFonts w:hint="eastAsia" w:ascii="宋体" w:hAnsi="宋体" w:eastAsia="宋体" w:cs="Times New Roman"/>
                <w:b/>
                <w:kern w:val="0"/>
                <w:sz w:val="20"/>
                <w:szCs w:val="21"/>
              </w:rPr>
              <w:t>支撑的毕业要求</w:t>
            </w:r>
          </w:p>
        </w:tc>
        <w:tc>
          <w:tcPr>
            <w:tcW w:w="5300" w:type="dxa"/>
            <w:vAlign w:val="center"/>
          </w:tcPr>
          <w:p w14:paraId="59F5D1AA">
            <w:pPr>
              <w:adjustRightInd w:val="0"/>
              <w:snapToGrid w:val="0"/>
              <w:jc w:val="center"/>
              <w:rPr>
                <w:rFonts w:ascii="宋体" w:hAnsi="宋体" w:eastAsia="宋体" w:cs="Times New Roman"/>
                <w:b/>
                <w:kern w:val="0"/>
                <w:sz w:val="20"/>
                <w:szCs w:val="21"/>
              </w:rPr>
            </w:pPr>
            <w:r>
              <w:rPr>
                <w:rFonts w:hint="eastAsia" w:ascii="宋体" w:hAnsi="宋体" w:eastAsia="宋体" w:cs="Times New Roman"/>
                <w:b/>
                <w:kern w:val="0"/>
                <w:sz w:val="20"/>
                <w:szCs w:val="21"/>
              </w:rPr>
              <w:t>支撑的毕业要求指标点</w:t>
            </w:r>
          </w:p>
        </w:tc>
      </w:tr>
      <w:tr w14:paraId="0962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394" w:type="dxa"/>
            <w:vAlign w:val="center"/>
          </w:tcPr>
          <w:p w14:paraId="4FD0B5E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2379" w:type="dxa"/>
            <w:vAlign w:val="center"/>
          </w:tcPr>
          <w:p w14:paraId="55A8EC6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毕业要求3</w:t>
            </w:r>
            <w:r>
              <w:rPr>
                <w:rFonts w:ascii="宋体" w:hAnsi="宋体" w:eastAsia="宋体" w:cs="Times New Roman"/>
                <w:kern w:val="0"/>
                <w:sz w:val="20"/>
                <w:szCs w:val="21"/>
              </w:rPr>
              <w:t>.</w:t>
            </w:r>
            <w:r>
              <w:rPr>
                <w:rFonts w:hint="eastAsia" w:ascii="宋体" w:hAnsi="宋体" w:eastAsia="宋体" w:cs="Times New Roman"/>
                <w:kern w:val="0"/>
                <w:sz w:val="20"/>
                <w:szCs w:val="21"/>
              </w:rPr>
              <w:t>学科素养</w:t>
            </w:r>
          </w:p>
          <w:p w14:paraId="5B58A09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毕业要求6</w:t>
            </w:r>
            <w:r>
              <w:rPr>
                <w:rFonts w:ascii="宋体" w:hAnsi="宋体" w:eastAsia="宋体" w:cs="Times New Roman"/>
                <w:kern w:val="0"/>
                <w:sz w:val="20"/>
                <w:szCs w:val="21"/>
              </w:rPr>
              <w:t>.</w:t>
            </w:r>
            <w:r>
              <w:rPr>
                <w:rFonts w:hint="eastAsia" w:ascii="宋体" w:hAnsi="宋体" w:eastAsia="宋体" w:cs="Times New Roman"/>
                <w:kern w:val="0"/>
                <w:sz w:val="20"/>
                <w:szCs w:val="21"/>
              </w:rPr>
              <w:t>综合育人</w:t>
            </w:r>
          </w:p>
        </w:tc>
        <w:tc>
          <w:tcPr>
            <w:tcW w:w="5300" w:type="dxa"/>
          </w:tcPr>
          <w:p w14:paraId="42D7DB91">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-3</w:t>
            </w:r>
            <w:r>
              <w:rPr>
                <w:rFonts w:hint="eastAsia" w:ascii="宋体" w:hAnsi="宋体" w:eastAsia="宋体" w:cs="Times New Roman"/>
                <w:kern w:val="0"/>
                <w:sz w:val="20"/>
                <w:szCs w:val="21"/>
              </w:rPr>
              <w:t>：</w:t>
            </w:r>
            <w:r>
              <w:rPr>
                <w:rFonts w:hint="eastAsia" w:ascii="Calibri" w:hAnsi="Calibri" w:eastAsia="宋体" w:cs="Times New Roman"/>
                <w:kern w:val="0"/>
                <w:sz w:val="20"/>
                <w:szCs w:val="21"/>
              </w:rPr>
              <w:t>【熟悉兼教学科】熟悉兼教学科的知识体系，掌握兼教学科的基本知识、原理和技能。</w:t>
            </w:r>
          </w:p>
          <w:p w14:paraId="2E940696">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6</w:t>
            </w:r>
            <w:r>
              <w:rPr>
                <w:rFonts w:ascii="宋体" w:hAnsi="宋体" w:eastAsia="宋体" w:cs="Times New Roman"/>
                <w:kern w:val="0"/>
                <w:sz w:val="20"/>
                <w:szCs w:val="21"/>
              </w:rPr>
              <w:t>-2:</w:t>
            </w:r>
            <w:r>
              <w:rPr>
                <w:rFonts w:hint="eastAsia" w:ascii="Calibri" w:hAnsi="Calibri" w:eastAsia="宋体" w:cs="Times New Roman"/>
                <w:kern w:val="0"/>
                <w:sz w:val="20"/>
                <w:szCs w:val="21"/>
              </w:rPr>
              <w:t xml:space="preserve"> 【懂得学科育人】具有教书育人的意识，理解学科核心素养和拟任教学科课程独特的育人功能，具备结合学科教学进行育人的意识与能力，注重学科教学中思想政治教育的渗透。</w:t>
            </w:r>
          </w:p>
        </w:tc>
      </w:tr>
      <w:tr w14:paraId="64D0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394" w:type="dxa"/>
            <w:vAlign w:val="center"/>
          </w:tcPr>
          <w:p w14:paraId="3A762738">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2379" w:type="dxa"/>
            <w:vAlign w:val="center"/>
          </w:tcPr>
          <w:p w14:paraId="250FC0A0">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毕业要求3</w:t>
            </w:r>
            <w:r>
              <w:rPr>
                <w:rFonts w:ascii="宋体" w:hAnsi="宋体" w:eastAsia="宋体" w:cs="Times New Roman"/>
                <w:kern w:val="0"/>
                <w:sz w:val="20"/>
                <w:szCs w:val="21"/>
              </w:rPr>
              <w:t>.</w:t>
            </w:r>
            <w:r>
              <w:rPr>
                <w:rFonts w:hint="eastAsia" w:ascii="宋体" w:hAnsi="宋体" w:eastAsia="宋体" w:cs="Times New Roman"/>
                <w:kern w:val="0"/>
                <w:sz w:val="20"/>
                <w:szCs w:val="21"/>
              </w:rPr>
              <w:t>学科素养</w:t>
            </w:r>
          </w:p>
          <w:p w14:paraId="597E3BC5">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毕业要求4</w:t>
            </w:r>
            <w:r>
              <w:rPr>
                <w:rFonts w:ascii="宋体" w:hAnsi="宋体" w:eastAsia="宋体" w:cs="Times New Roman"/>
                <w:kern w:val="0"/>
                <w:sz w:val="20"/>
                <w:szCs w:val="21"/>
              </w:rPr>
              <w:t>.</w:t>
            </w:r>
            <w:r>
              <w:rPr>
                <w:rFonts w:hint="eastAsia" w:ascii="宋体" w:hAnsi="宋体" w:eastAsia="宋体" w:cs="Times New Roman"/>
                <w:kern w:val="0"/>
                <w:sz w:val="20"/>
                <w:szCs w:val="21"/>
              </w:rPr>
              <w:t>教学能力</w:t>
            </w:r>
          </w:p>
        </w:tc>
        <w:tc>
          <w:tcPr>
            <w:tcW w:w="5300" w:type="dxa"/>
          </w:tcPr>
          <w:p w14:paraId="626A8EB6">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-3</w:t>
            </w:r>
            <w:r>
              <w:rPr>
                <w:rFonts w:hint="eastAsia" w:ascii="宋体" w:hAnsi="宋体" w:eastAsia="宋体" w:cs="Times New Roman"/>
                <w:kern w:val="0"/>
                <w:sz w:val="20"/>
                <w:szCs w:val="21"/>
              </w:rPr>
              <w:t>：</w:t>
            </w:r>
            <w:r>
              <w:rPr>
                <w:rFonts w:hint="eastAsia" w:ascii="Calibri" w:hAnsi="Calibri" w:eastAsia="宋体" w:cs="Times New Roman"/>
                <w:kern w:val="0"/>
                <w:sz w:val="20"/>
                <w:szCs w:val="21"/>
              </w:rPr>
              <w:t>【熟悉兼教学科】熟悉兼教学科的知识体系，掌握兼教学科的基本知识、原理和技能。</w:t>
            </w:r>
          </w:p>
          <w:p w14:paraId="5CECF9EC">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4</w:t>
            </w:r>
            <w:r>
              <w:rPr>
                <w:rFonts w:ascii="宋体" w:hAnsi="宋体" w:eastAsia="宋体" w:cs="Times New Roman"/>
                <w:kern w:val="0"/>
                <w:sz w:val="20"/>
                <w:szCs w:val="21"/>
              </w:rPr>
              <w:t>-1:</w:t>
            </w:r>
            <w:r>
              <w:rPr>
                <w:rFonts w:hint="eastAsia" w:ascii="Calibri" w:hAnsi="Calibri" w:eastAsia="宋体" w:cs="Times New Roman"/>
                <w:kern w:val="0"/>
                <w:sz w:val="20"/>
                <w:szCs w:val="21"/>
              </w:rPr>
              <w:t xml:space="preserve"> 【领会课程标准】掌握教与学的知识，熟悉所教学科课程标准和教材、教学内容，具有一定的教材解读能力，具有依据课标进行教学的意识和习惯。</w:t>
            </w:r>
          </w:p>
          <w:p w14:paraId="635F612C">
            <w:pPr>
              <w:adjustRightInd w:val="0"/>
              <w:snapToGrid w:val="0"/>
              <w:rPr>
                <w:rFonts w:ascii="宋体" w:hAnsi="宋体" w:eastAsia="宋体" w:cs="Times New Roman"/>
                <w:kern w:val="0"/>
                <w:sz w:val="20"/>
                <w:szCs w:val="21"/>
              </w:rPr>
            </w:pPr>
            <w:r>
              <w:rPr>
                <w:rFonts w:ascii="宋体" w:hAnsi="宋体" w:eastAsia="宋体" w:cs="Times New Roman"/>
                <w:kern w:val="0"/>
                <w:sz w:val="20"/>
                <w:szCs w:val="21"/>
              </w:rPr>
              <w:t>4-2:</w:t>
            </w:r>
            <w:r>
              <w:rPr>
                <w:rFonts w:hint="eastAsia" w:ascii="Calibri" w:hAnsi="Calibri" w:eastAsia="宋体" w:cs="Times New Roman"/>
                <w:kern w:val="0"/>
                <w:sz w:val="20"/>
                <w:szCs w:val="21"/>
              </w:rPr>
              <w:t xml:space="preserve"> 【教学技能突出】获得全面的小学教学体验，掌握学科教学的基本方法与策略，能独立进行教学设计、实施和评价。</w:t>
            </w:r>
          </w:p>
        </w:tc>
      </w:tr>
      <w:tr w14:paraId="30E9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394" w:type="dxa"/>
            <w:vAlign w:val="center"/>
          </w:tcPr>
          <w:p w14:paraId="7B6EF3DD">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2379" w:type="dxa"/>
            <w:vAlign w:val="center"/>
          </w:tcPr>
          <w:p w14:paraId="3AF3D2AD">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毕业要求4</w:t>
            </w:r>
            <w:r>
              <w:rPr>
                <w:rFonts w:ascii="宋体" w:hAnsi="宋体" w:eastAsia="宋体" w:cs="Times New Roman"/>
                <w:kern w:val="0"/>
                <w:sz w:val="20"/>
                <w:szCs w:val="21"/>
              </w:rPr>
              <w:t>.</w:t>
            </w:r>
            <w:r>
              <w:rPr>
                <w:rFonts w:hint="eastAsia" w:ascii="宋体" w:hAnsi="宋体" w:eastAsia="宋体" w:cs="Times New Roman"/>
                <w:kern w:val="0"/>
                <w:sz w:val="20"/>
                <w:szCs w:val="21"/>
              </w:rPr>
              <w:t>教学能力</w:t>
            </w:r>
          </w:p>
          <w:p w14:paraId="4072242F">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毕业要求5</w:t>
            </w:r>
            <w:r>
              <w:rPr>
                <w:rFonts w:ascii="宋体" w:hAnsi="宋体" w:eastAsia="宋体" w:cs="Times New Roman"/>
                <w:kern w:val="0"/>
                <w:sz w:val="20"/>
                <w:szCs w:val="21"/>
              </w:rPr>
              <w:t>.</w:t>
            </w:r>
            <w:r>
              <w:rPr>
                <w:rFonts w:hint="eastAsia" w:ascii="宋体" w:hAnsi="宋体" w:eastAsia="宋体" w:cs="Times New Roman"/>
                <w:kern w:val="0"/>
                <w:sz w:val="20"/>
                <w:szCs w:val="21"/>
              </w:rPr>
              <w:t>班级管理</w:t>
            </w:r>
          </w:p>
          <w:p w14:paraId="61A9DC64">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毕业要求6</w:t>
            </w:r>
            <w:r>
              <w:rPr>
                <w:rFonts w:ascii="宋体" w:hAnsi="宋体" w:eastAsia="宋体" w:cs="Times New Roman"/>
                <w:kern w:val="0"/>
                <w:sz w:val="20"/>
                <w:szCs w:val="21"/>
              </w:rPr>
              <w:t>.</w:t>
            </w:r>
            <w:r>
              <w:rPr>
                <w:rFonts w:hint="eastAsia" w:ascii="宋体" w:hAnsi="宋体" w:eastAsia="宋体" w:cs="Times New Roman"/>
                <w:kern w:val="0"/>
                <w:sz w:val="20"/>
                <w:szCs w:val="21"/>
              </w:rPr>
              <w:t>综合育人</w:t>
            </w:r>
          </w:p>
        </w:tc>
        <w:tc>
          <w:tcPr>
            <w:tcW w:w="5300" w:type="dxa"/>
          </w:tcPr>
          <w:p w14:paraId="17377CE0">
            <w:pPr>
              <w:adjustRightInd w:val="0"/>
              <w:snapToGrid w:val="0"/>
              <w:rPr>
                <w:rFonts w:ascii="Calibri" w:hAnsi="Calibri" w:eastAsia="宋体" w:cs="Times New Roman"/>
                <w:kern w:val="0"/>
                <w:sz w:val="20"/>
                <w:szCs w:val="21"/>
              </w:rPr>
            </w:pPr>
            <w:r>
              <w:rPr>
                <w:rFonts w:hint="eastAsia" w:ascii="宋体" w:hAnsi="宋体" w:eastAsia="宋体" w:cs="Times New Roman"/>
                <w:kern w:val="0"/>
                <w:sz w:val="20"/>
                <w:szCs w:val="21"/>
              </w:rPr>
              <w:t>4</w:t>
            </w:r>
            <w:r>
              <w:rPr>
                <w:rFonts w:ascii="宋体" w:hAnsi="宋体" w:eastAsia="宋体" w:cs="Times New Roman"/>
                <w:kern w:val="0"/>
                <w:sz w:val="20"/>
                <w:szCs w:val="21"/>
              </w:rPr>
              <w:t>-2:</w:t>
            </w:r>
            <w:r>
              <w:rPr>
                <w:rFonts w:hint="eastAsia" w:ascii="Calibri" w:hAnsi="Calibri" w:eastAsia="宋体" w:cs="Times New Roman"/>
                <w:kern w:val="0"/>
                <w:sz w:val="20"/>
                <w:szCs w:val="21"/>
              </w:rPr>
              <w:t xml:space="preserve"> 【教学技能突出】获得全面的小学教学体验，掌握学科教学的基本方法与策略，能独立进行教学设计、实施和评价。</w:t>
            </w:r>
          </w:p>
          <w:p w14:paraId="7C88085F">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5</w:t>
            </w:r>
            <w:r>
              <w:rPr>
                <w:rFonts w:ascii="宋体" w:hAnsi="宋体" w:eastAsia="宋体" w:cs="Times New Roman"/>
                <w:kern w:val="0"/>
                <w:sz w:val="20"/>
                <w:szCs w:val="21"/>
              </w:rPr>
              <w:t>-2:</w:t>
            </w:r>
            <w:r>
              <w:rPr>
                <w:rFonts w:hint="eastAsia" w:ascii="Calibri" w:hAnsi="Calibri" w:eastAsia="宋体" w:cs="Times New Roman"/>
                <w:kern w:val="0"/>
                <w:sz w:val="20"/>
                <w:szCs w:val="21"/>
              </w:rPr>
              <w:t xml:space="preserve"> 【强化德育地位】获得小学德育工作体验，树立德育为先的理念，熟悉小学德育的基本原理与方法。</w:t>
            </w:r>
          </w:p>
          <w:p w14:paraId="20BE6294">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6</w:t>
            </w:r>
            <w:r>
              <w:rPr>
                <w:rFonts w:ascii="宋体" w:hAnsi="宋体" w:eastAsia="宋体" w:cs="Times New Roman"/>
                <w:kern w:val="0"/>
                <w:sz w:val="20"/>
                <w:szCs w:val="21"/>
              </w:rPr>
              <w:t>-2:</w:t>
            </w:r>
            <w:r>
              <w:rPr>
                <w:rFonts w:hint="eastAsia" w:ascii="Calibri" w:hAnsi="Calibri" w:eastAsia="宋体" w:cs="Times New Roman"/>
                <w:kern w:val="0"/>
                <w:sz w:val="20"/>
                <w:szCs w:val="21"/>
              </w:rPr>
              <w:t xml:space="preserve"> 【懂得学科育人】具有教书育人的意识，理解学科核心素养和拟任教学科课程独特的育人功能，具备结合学科教学进行育人的意识与能力，注重学科教学中思想政治教育的渗透。</w:t>
            </w:r>
          </w:p>
        </w:tc>
      </w:tr>
      <w:tr w14:paraId="5463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94" w:type="dxa"/>
            <w:vAlign w:val="center"/>
          </w:tcPr>
          <w:p w14:paraId="4707E635">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2379" w:type="dxa"/>
            <w:vAlign w:val="center"/>
          </w:tcPr>
          <w:p w14:paraId="74C44FF9">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毕业要求6</w:t>
            </w:r>
            <w:r>
              <w:rPr>
                <w:rFonts w:ascii="宋体" w:hAnsi="宋体" w:eastAsia="宋体" w:cs="Times New Roman"/>
                <w:kern w:val="0"/>
                <w:sz w:val="20"/>
                <w:szCs w:val="21"/>
              </w:rPr>
              <w:t>.</w:t>
            </w:r>
            <w:r>
              <w:rPr>
                <w:rFonts w:hint="eastAsia" w:ascii="宋体" w:hAnsi="宋体" w:eastAsia="宋体" w:cs="Times New Roman"/>
                <w:kern w:val="0"/>
                <w:sz w:val="20"/>
                <w:szCs w:val="21"/>
              </w:rPr>
              <w:t>综合育人</w:t>
            </w:r>
          </w:p>
        </w:tc>
        <w:tc>
          <w:tcPr>
            <w:tcW w:w="5300" w:type="dxa"/>
          </w:tcPr>
          <w:p w14:paraId="3E32FB28">
            <w:pPr>
              <w:adjustRightInd w:val="0"/>
              <w:snapToGrid w:val="0"/>
              <w:rPr>
                <w:rFonts w:ascii="宋体" w:hAnsi="宋体" w:eastAsia="宋体" w:cs="Times New Roman"/>
                <w:kern w:val="0"/>
                <w:sz w:val="20"/>
                <w:szCs w:val="21"/>
              </w:rPr>
            </w:pPr>
            <w:r>
              <w:rPr>
                <w:rFonts w:hint="eastAsia" w:ascii="宋体" w:hAnsi="宋体" w:eastAsia="宋体" w:cs="Times New Roman"/>
                <w:kern w:val="0"/>
                <w:sz w:val="20"/>
                <w:szCs w:val="21"/>
              </w:rPr>
              <w:t>6</w:t>
            </w:r>
            <w:r>
              <w:rPr>
                <w:rFonts w:ascii="宋体" w:hAnsi="宋体" w:eastAsia="宋体" w:cs="Times New Roman"/>
                <w:kern w:val="0"/>
                <w:sz w:val="20"/>
                <w:szCs w:val="21"/>
              </w:rPr>
              <w:t>-2:</w:t>
            </w:r>
            <w:r>
              <w:rPr>
                <w:rFonts w:hint="eastAsia" w:ascii="Calibri" w:hAnsi="Calibri" w:eastAsia="宋体" w:cs="Times New Roman"/>
                <w:kern w:val="0"/>
                <w:sz w:val="20"/>
                <w:szCs w:val="21"/>
              </w:rPr>
              <w:t xml:space="preserve"> 【懂得学科育人】具有教书育人的意识，理解学科核心素养和拟任教学科课程独特的育人功能，具备结合学科教学进行育人的意识与能力，注重学科教学中思想政治教育的渗透。</w:t>
            </w:r>
          </w:p>
        </w:tc>
      </w:tr>
      <w:tr w14:paraId="2AA6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394" w:type="dxa"/>
            <w:vAlign w:val="center"/>
          </w:tcPr>
          <w:p w14:paraId="055E9B53">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课程目标5</w:t>
            </w:r>
          </w:p>
        </w:tc>
        <w:tc>
          <w:tcPr>
            <w:tcW w:w="2379" w:type="dxa"/>
            <w:vAlign w:val="center"/>
          </w:tcPr>
          <w:p w14:paraId="7D809C9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毕业要求8</w:t>
            </w:r>
            <w:r>
              <w:rPr>
                <w:rFonts w:ascii="宋体" w:hAnsi="宋体" w:eastAsia="宋体" w:cs="Times New Roman"/>
                <w:kern w:val="0"/>
                <w:sz w:val="20"/>
                <w:szCs w:val="21"/>
              </w:rPr>
              <w:t>.</w:t>
            </w:r>
            <w:r>
              <w:rPr>
                <w:rFonts w:hint="eastAsia" w:ascii="宋体" w:hAnsi="宋体" w:eastAsia="宋体" w:cs="Times New Roman"/>
                <w:kern w:val="0"/>
                <w:sz w:val="20"/>
                <w:szCs w:val="21"/>
              </w:rPr>
              <w:t>沟通合作</w:t>
            </w:r>
          </w:p>
        </w:tc>
        <w:tc>
          <w:tcPr>
            <w:tcW w:w="5300" w:type="dxa"/>
          </w:tcPr>
          <w:p w14:paraId="322B5639">
            <w:pPr>
              <w:adjustRightInd w:val="0"/>
              <w:snapToGrid w:val="0"/>
              <w:rPr>
                <w:rFonts w:ascii="宋体" w:hAnsi="宋体" w:eastAsia="宋体" w:cs="Times New Roman"/>
                <w:kern w:val="0"/>
                <w:sz w:val="20"/>
                <w:szCs w:val="21"/>
              </w:rPr>
            </w:pPr>
            <w:r>
              <w:rPr>
                <w:rFonts w:ascii="宋体" w:hAnsi="宋体" w:eastAsia="宋体" w:cs="Times New Roman"/>
                <w:kern w:val="0"/>
                <w:sz w:val="20"/>
                <w:szCs w:val="21"/>
              </w:rPr>
              <w:t>8-1:</w:t>
            </w:r>
            <w:r>
              <w:rPr>
                <w:rFonts w:hint="eastAsia" w:ascii="Calibri" w:hAnsi="Calibri" w:eastAsia="宋体" w:cs="Times New Roman"/>
                <w:kern w:val="0"/>
                <w:sz w:val="20"/>
                <w:szCs w:val="21"/>
              </w:rPr>
              <w:t xml:space="preserve"> 【善于团队合作】</w:t>
            </w:r>
            <w:r>
              <w:rPr>
                <w:rFonts w:hint="eastAsia" w:ascii="Calibri" w:hAnsi="Calibri" w:eastAsia="宋体" w:cs="Times New Roman"/>
                <w:kern w:val="0"/>
                <w:sz w:val="20"/>
                <w:szCs w:val="23"/>
              </w:rPr>
              <w:t>理解学习共同体的本质和价值，掌握团队协作的基本策略，在课堂学习与教育实践中获得合作学习体验，形成团队协作精神。</w:t>
            </w:r>
          </w:p>
        </w:tc>
      </w:tr>
    </w:tbl>
    <w:p w14:paraId="5C945D0D">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三</w:t>
      </w:r>
      <w:r>
        <w:rPr>
          <w:rFonts w:ascii="Calibri" w:hAnsi="Calibri" w:eastAsia="宋体" w:cs="Times New Roman"/>
          <w:b/>
          <w:sz w:val="28"/>
          <w:szCs w:val="28"/>
        </w:rPr>
        <w:t>、课程内容</w:t>
      </w:r>
      <w:r>
        <w:rPr>
          <w:rFonts w:hint="eastAsia" w:ascii="Calibri" w:hAnsi="Calibri" w:eastAsia="宋体" w:cs="Times New Roman"/>
          <w:b/>
          <w:sz w:val="28"/>
          <w:szCs w:val="28"/>
        </w:rPr>
        <w:t>及</w:t>
      </w:r>
      <w:r>
        <w:rPr>
          <w:rFonts w:ascii="Calibri" w:hAnsi="Calibri" w:eastAsia="宋体" w:cs="Times New Roman"/>
          <w:b/>
          <w:sz w:val="28"/>
          <w:szCs w:val="28"/>
        </w:rPr>
        <w:t>要求</w:t>
      </w:r>
    </w:p>
    <w:p w14:paraId="25905A22">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（一）小学道德与法治课程概述（本模块各知识点的讲授与学习，可以支撑课程目标1）</w:t>
      </w:r>
    </w:p>
    <w:p w14:paraId="1AAAAEC8">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51A1A10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（1）我国小学德育课程的发展史</w:t>
      </w:r>
    </w:p>
    <w:p w14:paraId="267B5DC9">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（2）小学道德与法治课程的性质与基本理念</w:t>
      </w:r>
    </w:p>
    <w:p w14:paraId="7E38A985">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（3）小学道德与法治课程的教学设计要求</w:t>
      </w:r>
    </w:p>
    <w:p w14:paraId="64168AB4">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41897341">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了解道德与法治课程的发展历史，理解道德与法治课程性质与基本理念，初步掌握道德与法治课教学设计的要素。</w:t>
      </w:r>
    </w:p>
    <w:p w14:paraId="68F8A03E">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：理解道德与法治课程的性质</w:t>
      </w:r>
    </w:p>
    <w:p w14:paraId="3B7C7B1D">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：掌握道德与法治课教学设计的要求</w:t>
      </w:r>
    </w:p>
    <w:p w14:paraId="2AD4A613">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0274271F">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认识道德与法治课班对于学生思想教育的意义，把马克思主义经典理论和习近平新时代中国特色社会主义思想等马克思主义中国化的最新理论成果融入课程内容，将培育和践行社会主义核心价值观贯穿课程教学始终。</w:t>
      </w:r>
    </w:p>
    <w:p w14:paraId="696FDFB4">
      <w:pPr>
        <w:spacing w:line="360" w:lineRule="auto"/>
        <w:ind w:firstLine="482" w:firstLineChars="200"/>
        <w:rPr>
          <w:rFonts w:ascii="宋体" w:hAnsi="宋体" w:eastAsia="宋体" w:cs="Times New Roman"/>
          <w:b/>
          <w:color w:val="000000"/>
          <w:sz w:val="24"/>
        </w:rPr>
      </w:pPr>
      <w:r>
        <w:rPr>
          <w:rFonts w:hint="eastAsia" w:ascii="宋体" w:hAnsi="宋体" w:eastAsia="宋体" w:cs="宋体"/>
          <w:b/>
          <w:bCs/>
          <w:sz w:val="24"/>
          <w:szCs w:val="24"/>
        </w:rPr>
        <w:t>（二）小学道德与法治课程结构的分析</w:t>
      </w:r>
      <w:r>
        <w:rPr>
          <w:rFonts w:hint="eastAsia" w:ascii="宋体" w:hAnsi="宋体" w:eastAsia="宋体" w:cs="Times New Roman"/>
          <w:b/>
          <w:color w:val="000000"/>
          <w:sz w:val="24"/>
        </w:rPr>
        <w:t>（本模块各知识点的讲授与学习，可以支撑课程目标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w:t>
      </w:r>
    </w:p>
    <w:p w14:paraId="1A8F8B69">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2619149F">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（1）道德与法治课程设置的理念与思路</w:t>
      </w:r>
    </w:p>
    <w:p w14:paraId="1B7D040A">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（2）道德与法治低年段课程基本架构解析</w:t>
      </w:r>
    </w:p>
    <w:p w14:paraId="46420979">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（3）道德与法治中高年段课程基本架构解析</w:t>
      </w:r>
    </w:p>
    <w:p w14:paraId="653D5ADB">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618D50BA">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了解我国小学道德与法治课程设置的基本理念与总体逻辑，认识并掌握我国小学道德与法治课程的总体框架结构，熟悉不同年段道德与法治课程的基本架构。</w:t>
      </w:r>
    </w:p>
    <w:p w14:paraId="753349CE">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：理解我国小学道德与法治课程的总体框架结构</w:t>
      </w:r>
    </w:p>
    <w:p w14:paraId="337DA037">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：分析和理解不同年段小学道德与法治课程的基本结构</w:t>
      </w:r>
    </w:p>
    <w:p w14:paraId="5C8356A2">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0E53D521">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辩证认识不同年段课程目标的差异，把马克思主义经典理论和习近平新时代中国特色社会主义思想等马克思主义中国化的最新理论成果融入课程内容。</w:t>
      </w:r>
    </w:p>
    <w:p w14:paraId="69EB41C8">
      <w:pPr>
        <w:spacing w:line="360" w:lineRule="auto"/>
        <w:ind w:firstLine="482" w:firstLineChars="200"/>
        <w:rPr>
          <w:rFonts w:ascii="宋体" w:hAnsi="宋体" w:eastAsia="宋体" w:cs="Times New Roman"/>
          <w:b/>
          <w:color w:val="000000"/>
          <w:sz w:val="24"/>
        </w:rPr>
      </w:pPr>
      <w:r>
        <w:rPr>
          <w:rFonts w:hint="eastAsia" w:ascii="宋体" w:hAnsi="宋体" w:eastAsia="宋体" w:cs="宋体"/>
          <w:b/>
          <w:bCs/>
          <w:sz w:val="24"/>
          <w:szCs w:val="24"/>
        </w:rPr>
        <w:t>（三）小学道德与法治教学目标的制定</w:t>
      </w:r>
      <w:r>
        <w:rPr>
          <w:rFonts w:hint="eastAsia" w:ascii="宋体" w:hAnsi="宋体" w:eastAsia="宋体" w:cs="Times New Roman"/>
          <w:b/>
          <w:color w:val="000000"/>
          <w:sz w:val="24"/>
        </w:rPr>
        <w:t>（本模块各知识点的讲授与学习，可以支撑课程目标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、课程目标3）</w:t>
      </w:r>
    </w:p>
    <w:p w14:paraId="6E6C7FE3">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24A9BD2E">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（1）道德与法治课程的教育总任务</w:t>
      </w:r>
    </w:p>
    <w:p w14:paraId="4D5AE542">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（2）道德与法治课程分年段教育目标</w:t>
      </w:r>
    </w:p>
    <w:p w14:paraId="18A861C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（3）道德与法治课程教学目标制定的原则与方法</w:t>
      </w:r>
    </w:p>
    <w:p w14:paraId="33E28B48">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30D3C8D6">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了解道德与法治课程的教育教学目标，掌握制定道德与法治课程的三维目标原则与方法。</w:t>
      </w:r>
    </w:p>
    <w:p w14:paraId="13C4639F">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：理解道德与法治课程的目标构成维度和内容</w:t>
      </w:r>
    </w:p>
    <w:p w14:paraId="58FA0177">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：掌握制定道德与法治课程教学目标的维度与方法</w:t>
      </w:r>
    </w:p>
    <w:p w14:paraId="3941F08F">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785C95D2">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充分认识教书育人与社会发展之间的紧密联系，对学生加强课程思政目标的教育，把习近平总书记倡导的“中国共产党是为中国人民谋幸福的党，也是为人类进步事业而奋斗的党”理念融入课堂教学，培养学生树立正确的世界观、价值观和人生观。</w:t>
      </w:r>
    </w:p>
    <w:p w14:paraId="7935A082">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（四）小学道德与法治教学内容的解读（本模块各知识点的讲授与学习，可以支撑课程目标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64F5A7A2">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1CA24446">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（1）德育教材解读的基本理论</w:t>
      </w:r>
    </w:p>
    <w:p w14:paraId="4EBDB4AB">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（2）小学道德与法治教材解读的思路与方式</w:t>
      </w:r>
    </w:p>
    <w:p w14:paraId="0150003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（3）绘本教学元素的解读策略</w:t>
      </w:r>
    </w:p>
    <w:p w14:paraId="746B0FAC">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45B298ED">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了解我国小学道德与法治教科书的编写及各版本特点，认识道德与法治教材的内容体系和结构形式，熟悉并掌握部编版《道德与法治》教材分年段具体内容。</w:t>
      </w:r>
    </w:p>
    <w:p w14:paraId="0ECC1150">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：理解我国小学道德与法治课程的编写方式、内容体系</w:t>
      </w:r>
    </w:p>
    <w:p w14:paraId="2EF23CB4">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：分析和理解不同年段小学道德与法治教材的主题和单元内容</w:t>
      </w:r>
    </w:p>
    <w:p w14:paraId="028CA56E">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5DA4DDB9">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辩证认识教材解读与思政教育之间的紧密联系，把马克思主义经典理论和习近平新时代中国特色社会主义思想等马克思主义中国化的最新理论成果融入教材解读过程中，有意识地培育学生正确的课程观与教材观。</w:t>
      </w:r>
    </w:p>
    <w:p w14:paraId="5BB5EC5C">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（五）小学道德与法治课的教学设计（本模块各知识点的讲授与学习，可以支撑课程目标</w:t>
      </w:r>
      <w:r>
        <w:rPr>
          <w:rFonts w:ascii="宋体" w:hAnsi="宋体" w:eastAsia="宋体" w:cs="Times New Roman"/>
          <w:b/>
          <w:color w:val="000000"/>
          <w:sz w:val="24"/>
        </w:rPr>
        <w:t>2</w:t>
      </w:r>
      <w:r>
        <w:rPr>
          <w:rFonts w:hint="eastAsia" w:ascii="宋体" w:hAnsi="宋体" w:eastAsia="宋体" w:cs="Times New Roman"/>
          <w:b/>
          <w:color w:val="000000"/>
          <w:sz w:val="24"/>
        </w:rPr>
        <w:t>、3）</w:t>
      </w:r>
    </w:p>
    <w:p w14:paraId="14754429">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60015ABC">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（1）小学道德与法治的一般教学过程</w:t>
      </w:r>
    </w:p>
    <w:p w14:paraId="4E5358D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（2）小学道德与法治教学内容的选择</w:t>
      </w:r>
    </w:p>
    <w:p w14:paraId="099DB7B1">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（3）主题式教学设计指导</w:t>
      </w:r>
    </w:p>
    <w:p w14:paraId="001B729D">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4842CB2E">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了解小学道德与法治课程教学的过程，理解道德与法治教学的基本要素与内容选择，掌握并能灵活运用探究式教学、体验式教学和接受式教学过程。</w:t>
      </w:r>
    </w:p>
    <w:p w14:paraId="4F5ADBC3">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：理解我国小学道德与法治课程的一般教学过程和阶段</w:t>
      </w:r>
    </w:p>
    <w:p w14:paraId="70D98FF2">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：掌握探究式教学、体验式教学和接受式教学的使用方式</w:t>
      </w:r>
    </w:p>
    <w:p w14:paraId="1E94F4DB">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72288F72">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课程教学的原则与阶段，把马克思主义经典理论和习近平新时代中国特色社会主义思想等马克思主义中国化的最新理论成果融入教学设计过程中，有意识地培育学生正确的教学观，锻炼学生设计教学能力。</w:t>
      </w:r>
    </w:p>
    <w:p w14:paraId="585987DE">
      <w:pPr>
        <w:widowControl/>
        <w:spacing w:line="360" w:lineRule="auto"/>
        <w:ind w:firstLine="480"/>
        <w:jc w:val="left"/>
        <w:rPr>
          <w:rFonts w:ascii="宋体" w:hAnsi="宋体" w:eastAsia="宋体" w:cs="Times New Roman"/>
          <w:b/>
          <w:color w:val="000000"/>
          <w:sz w:val="24"/>
        </w:rPr>
      </w:pPr>
      <w:r>
        <w:rPr>
          <w:rFonts w:hint="eastAsia" w:ascii="宋体" w:hAnsi="宋体" w:eastAsia="宋体" w:cs="Times New Roman"/>
          <w:b/>
          <w:color w:val="000000"/>
          <w:sz w:val="24"/>
        </w:rPr>
        <w:t>（六）小学道德与法治教学的基本方法（本模块各知识点的讲授与学习，可以支撑课程目标</w:t>
      </w:r>
      <w:r>
        <w:rPr>
          <w:rFonts w:ascii="宋体" w:hAnsi="宋体" w:eastAsia="宋体" w:cs="Times New Roman"/>
          <w:b/>
          <w:color w:val="000000"/>
          <w:sz w:val="24"/>
        </w:rPr>
        <w:t>3</w:t>
      </w:r>
      <w:r>
        <w:rPr>
          <w:rFonts w:hint="eastAsia" w:ascii="宋体" w:hAnsi="宋体" w:eastAsia="宋体" w:cs="Times New Roman"/>
          <w:b/>
          <w:color w:val="000000"/>
          <w:sz w:val="24"/>
        </w:rPr>
        <w:t>）</w:t>
      </w:r>
    </w:p>
    <w:p w14:paraId="742F5B8B">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2929FD4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（1）道德与法治教学的常用方法</w:t>
      </w:r>
    </w:p>
    <w:p w14:paraId="1155A2FD">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（2）道德与法治教学的常用模式</w:t>
      </w:r>
    </w:p>
    <w:p w14:paraId="739BF7B9">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（3）几种典型的道德与法治教学类型</w:t>
      </w:r>
    </w:p>
    <w:p w14:paraId="0F2DF324">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097381E8">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了解道德与法治课程教学的几种常用方法，理解接受教学模式和探究教学模式，掌握模拟游戏、角色扮演、情感体验、合作学习等几种教学类型</w:t>
      </w:r>
    </w:p>
    <w:p w14:paraId="1095DE46">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：掌握我国小学道德与法治教学的常用方法</w:t>
      </w:r>
    </w:p>
    <w:p w14:paraId="12B6CFF9">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：理解道德与法治教学的常用模式，掌握几种典型教学类型</w:t>
      </w:r>
    </w:p>
    <w:p w14:paraId="51890897">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58C5056A">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辩证认识方法的工具性与人文性，把马克思主义经典理论和习近平新时代中国特色社会主义思想等马克思主义中国化的最新理论成果融入教学设计过程中，通过多样的方法，有效的进行思政教育。</w:t>
      </w:r>
    </w:p>
    <w:p w14:paraId="509EA3B4">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（七）小学道德与法治课程的评价原则与方式（本模块各知识点的讲授与学习，可以支撑课程目标</w:t>
      </w:r>
      <w:r>
        <w:rPr>
          <w:rFonts w:ascii="宋体" w:hAnsi="宋体" w:eastAsia="宋体" w:cs="Times New Roman"/>
          <w:b/>
          <w:color w:val="000000"/>
          <w:sz w:val="24"/>
        </w:rPr>
        <w:t>4</w:t>
      </w:r>
      <w:r>
        <w:rPr>
          <w:rFonts w:hint="eastAsia" w:ascii="宋体" w:hAnsi="宋体" w:eastAsia="宋体" w:cs="Times New Roman"/>
          <w:b/>
          <w:color w:val="000000"/>
          <w:sz w:val="24"/>
        </w:rPr>
        <w:t>）</w:t>
      </w:r>
    </w:p>
    <w:p w14:paraId="6DB686A9">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690C0481">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（1）儿童道德评价的教育理念</w:t>
      </w:r>
    </w:p>
    <w:p w14:paraId="3FACF5A7">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（2）道德与法治课程中教学评价的基本原则与方法</w:t>
      </w:r>
    </w:p>
    <w:p w14:paraId="3CECAC9A">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（3）道德与法治课程中学习评价的原则与方法</w:t>
      </w:r>
    </w:p>
    <w:p w14:paraId="7A6E69BB">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36B690CA">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了解小学品德与社会课的课程标准中课程评价的要求，理解在道德与法治课程中进行评价的教育目的，掌握道德与法治课程中教学评价和学习评价的基本原则和方法。</w:t>
      </w:r>
    </w:p>
    <w:p w14:paraId="29E3C162">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：掌握我国小学道德与法治教学评价的原则与方法</w:t>
      </w:r>
    </w:p>
    <w:p w14:paraId="0182DCCD">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：理解道德与法治教学以评促教、促学的教育目的</w:t>
      </w:r>
    </w:p>
    <w:p w14:paraId="1D15ECBF">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16832713">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辩证认识教育评价的工具性与人文性，把马克思主义经典理论和习近平新时代中国特色社会主义思想等马克思主义中国化的最新理论成果融入教学评价过程中，通过评价促进教学。</w:t>
      </w:r>
    </w:p>
    <w:p w14:paraId="672C3A38">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（八）小学德育教师专业发展（本模块各知识点的讲授与学习，可以支撑课程目标</w:t>
      </w:r>
      <w:r>
        <w:rPr>
          <w:rFonts w:ascii="宋体" w:hAnsi="宋体" w:eastAsia="宋体" w:cs="Times New Roman"/>
          <w:b/>
          <w:color w:val="000000"/>
          <w:sz w:val="24"/>
        </w:rPr>
        <w:t>5</w:t>
      </w:r>
      <w:r>
        <w:rPr>
          <w:rFonts w:hint="eastAsia" w:ascii="宋体" w:hAnsi="宋体" w:eastAsia="宋体" w:cs="Times New Roman"/>
          <w:b/>
          <w:color w:val="000000"/>
          <w:sz w:val="24"/>
        </w:rPr>
        <w:t>）</w:t>
      </w:r>
    </w:p>
    <w:p w14:paraId="079EAD14">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1.教学内容</w:t>
      </w:r>
    </w:p>
    <w:p w14:paraId="50575E47">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（1）道德与法治课教师的角色和行为</w:t>
      </w:r>
    </w:p>
    <w:p w14:paraId="7C1A5AB1">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（2）道德与法治课教师的基本素质和专业化发展路径</w:t>
      </w:r>
    </w:p>
    <w:p w14:paraId="022D27D2">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2.基本要求</w:t>
      </w:r>
    </w:p>
    <w:p w14:paraId="784B1962">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了解小学道德与法治教师的专业发展趋势，掌握道德与法治教师的专业角色与基本素养要求。</w:t>
      </w:r>
    </w:p>
    <w:p w14:paraId="19917016">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教学重点</w:t>
      </w:r>
      <w:r>
        <w:rPr>
          <w:rFonts w:hint="eastAsia" w:ascii="宋体" w:hAnsi="宋体" w:eastAsia="宋体" w:cs="宋体"/>
          <w:kern w:val="0"/>
          <w:sz w:val="24"/>
          <w:szCs w:val="24"/>
        </w:rPr>
        <w:t>：理解小学道德与法治教师专业发展的必要性</w:t>
      </w:r>
    </w:p>
    <w:p w14:paraId="59426AE2">
      <w:pPr>
        <w:widowControl/>
        <w:spacing w:line="360" w:lineRule="auto"/>
        <w:ind w:firstLine="480"/>
        <w:jc w:val="left"/>
        <w:rPr>
          <w:rFonts w:ascii="宋体" w:hAnsi="宋体" w:eastAsia="宋体" w:cs="宋体"/>
          <w:kern w:val="0"/>
          <w:sz w:val="24"/>
          <w:szCs w:val="24"/>
        </w:rPr>
      </w:pPr>
      <w:r>
        <w:rPr>
          <w:rFonts w:hint="eastAsia" w:ascii="宋体" w:hAnsi="宋体" w:eastAsia="宋体" w:cs="宋体"/>
          <w:b/>
          <w:kern w:val="0"/>
          <w:sz w:val="24"/>
          <w:szCs w:val="24"/>
        </w:rPr>
        <w:t>教学难点</w:t>
      </w:r>
      <w:r>
        <w:rPr>
          <w:rFonts w:hint="eastAsia" w:ascii="宋体" w:hAnsi="宋体" w:eastAsia="宋体" w:cs="宋体"/>
          <w:kern w:val="0"/>
          <w:sz w:val="24"/>
          <w:szCs w:val="24"/>
        </w:rPr>
        <w:t>：掌握道德与法治教师的专业角色与基本素养要求</w:t>
      </w:r>
    </w:p>
    <w:p w14:paraId="6DFE4B16">
      <w:pPr>
        <w:widowControl/>
        <w:spacing w:line="360" w:lineRule="auto"/>
        <w:ind w:firstLine="480"/>
        <w:jc w:val="left"/>
        <w:rPr>
          <w:rFonts w:ascii="宋体" w:hAnsi="宋体" w:eastAsia="宋体" w:cs="宋体"/>
          <w:b/>
          <w:kern w:val="0"/>
          <w:sz w:val="24"/>
          <w:szCs w:val="24"/>
        </w:rPr>
      </w:pPr>
      <w:r>
        <w:rPr>
          <w:rFonts w:hint="eastAsia" w:ascii="宋体" w:hAnsi="宋体" w:eastAsia="宋体" w:cs="宋体"/>
          <w:b/>
          <w:kern w:val="0"/>
          <w:sz w:val="24"/>
          <w:szCs w:val="24"/>
        </w:rPr>
        <w:t>3.课程思政育人目标</w:t>
      </w:r>
    </w:p>
    <w:p w14:paraId="3EDF0EC7">
      <w:pPr>
        <w:widowControl/>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辩证认识德育教师的角色与行为，把马克思主义经典理论和习近平新时代中国特色社会主义思想等马克思主义中国化的最新理论成果融入对德育工作的分析中，自觉促进专业发展。</w:t>
      </w:r>
    </w:p>
    <w:p w14:paraId="0FF29AF0">
      <w:pPr>
        <w:widowControl/>
        <w:spacing w:line="360" w:lineRule="auto"/>
        <w:ind w:firstLine="480"/>
        <w:jc w:val="left"/>
        <w:rPr>
          <w:rFonts w:ascii="宋体" w:hAnsi="宋体" w:eastAsia="宋体" w:cs="宋体"/>
          <w:kern w:val="0"/>
          <w:sz w:val="24"/>
          <w:szCs w:val="24"/>
        </w:rPr>
      </w:pPr>
    </w:p>
    <w:p w14:paraId="66011D06">
      <w:pPr>
        <w:spacing w:line="360" w:lineRule="auto"/>
        <w:ind w:firstLine="482" w:firstLineChars="200"/>
        <w:rPr>
          <w:rFonts w:ascii="Calibri" w:hAnsi="Calibri" w:eastAsia="宋体" w:cs="Times New Roman"/>
          <w:b/>
          <w:sz w:val="24"/>
          <w:szCs w:val="24"/>
        </w:rPr>
      </w:pPr>
      <w:r>
        <w:rPr>
          <w:rFonts w:hint="eastAsia" w:ascii="Calibri" w:hAnsi="Calibri" w:eastAsia="宋体" w:cs="Times New Roman"/>
          <w:b/>
          <w:sz w:val="24"/>
          <w:szCs w:val="24"/>
        </w:rPr>
        <w:t>教学内容与</w:t>
      </w:r>
      <w:r>
        <w:rPr>
          <w:rFonts w:ascii="Calibri" w:hAnsi="Calibri" w:eastAsia="宋体" w:cs="Times New Roman"/>
          <w:b/>
          <w:sz w:val="24"/>
          <w:szCs w:val="24"/>
        </w:rPr>
        <w:t>课程目标的</w:t>
      </w:r>
      <w:r>
        <w:rPr>
          <w:rFonts w:hint="eastAsia" w:ascii="Calibri" w:hAnsi="Calibri" w:eastAsia="宋体" w:cs="Times New Roman"/>
          <w:b/>
          <w:sz w:val="24"/>
          <w:szCs w:val="24"/>
        </w:rPr>
        <w:t>对应关系及</w:t>
      </w:r>
      <w:r>
        <w:rPr>
          <w:rFonts w:ascii="Calibri" w:hAnsi="Calibri" w:eastAsia="宋体" w:cs="Times New Roman"/>
          <w:b/>
          <w:sz w:val="24"/>
          <w:szCs w:val="24"/>
        </w:rPr>
        <w:t>学时分配</w:t>
      </w:r>
      <w:r>
        <w:rPr>
          <w:rFonts w:hint="eastAsia" w:ascii="Calibri" w:hAnsi="Calibri" w:eastAsia="宋体" w:cs="Times New Roman"/>
          <w:b/>
          <w:sz w:val="24"/>
          <w:szCs w:val="24"/>
        </w:rPr>
        <w:t>如表所示：</w:t>
      </w:r>
    </w:p>
    <w:tbl>
      <w:tblPr>
        <w:tblStyle w:val="30"/>
        <w:tblW w:w="8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3978"/>
        <w:gridCol w:w="1190"/>
        <w:gridCol w:w="1817"/>
        <w:gridCol w:w="698"/>
        <w:gridCol w:w="697"/>
      </w:tblGrid>
      <w:tr w14:paraId="6AF3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3" w:type="dxa"/>
            <w:vAlign w:val="center"/>
          </w:tcPr>
          <w:p w14:paraId="1708639B">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序号</w:t>
            </w:r>
          </w:p>
        </w:tc>
        <w:tc>
          <w:tcPr>
            <w:tcW w:w="3978" w:type="dxa"/>
            <w:vAlign w:val="center"/>
          </w:tcPr>
          <w:p w14:paraId="7D388982">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教学内容</w:t>
            </w:r>
          </w:p>
        </w:tc>
        <w:tc>
          <w:tcPr>
            <w:tcW w:w="1190" w:type="dxa"/>
            <w:vAlign w:val="center"/>
          </w:tcPr>
          <w:p w14:paraId="59FBB5BC">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支撑的课程目标</w:t>
            </w:r>
          </w:p>
        </w:tc>
        <w:tc>
          <w:tcPr>
            <w:tcW w:w="1817" w:type="dxa"/>
            <w:vAlign w:val="center"/>
          </w:tcPr>
          <w:p w14:paraId="5E0F0A06">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支撑的毕业要求指标点</w:t>
            </w:r>
          </w:p>
        </w:tc>
        <w:tc>
          <w:tcPr>
            <w:tcW w:w="698" w:type="dxa"/>
            <w:vAlign w:val="center"/>
          </w:tcPr>
          <w:p w14:paraId="743CCCC3">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讲授学时</w:t>
            </w:r>
          </w:p>
        </w:tc>
        <w:tc>
          <w:tcPr>
            <w:tcW w:w="697" w:type="dxa"/>
            <w:vAlign w:val="center"/>
          </w:tcPr>
          <w:p w14:paraId="3A3C688D">
            <w:pPr>
              <w:adjustRightInd w:val="0"/>
              <w:snapToGrid w:val="0"/>
              <w:jc w:val="center"/>
              <w:rPr>
                <w:rFonts w:ascii="Calibri" w:hAnsi="Calibri" w:eastAsia="宋体" w:cs="Times New Roman"/>
                <w:b/>
                <w:color w:val="000000"/>
                <w:szCs w:val="21"/>
              </w:rPr>
            </w:pPr>
            <w:r>
              <w:rPr>
                <w:rFonts w:hint="eastAsia" w:ascii="Calibri" w:hAnsi="Calibri" w:eastAsia="宋体" w:cs="Times New Roman"/>
                <w:b/>
                <w:color w:val="000000"/>
                <w:szCs w:val="21"/>
              </w:rPr>
              <w:t>实践学时</w:t>
            </w:r>
          </w:p>
        </w:tc>
      </w:tr>
      <w:tr w14:paraId="109A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53" w:type="dxa"/>
            <w:vAlign w:val="center"/>
          </w:tcPr>
          <w:p w14:paraId="56126BCB">
            <w:pPr>
              <w:adjustRightInd w:val="0"/>
              <w:snapToGrid w:val="0"/>
              <w:jc w:val="center"/>
              <w:rPr>
                <w:rFonts w:ascii="宋体" w:hAnsi="宋体" w:eastAsia="宋体" w:cs="Times New Roman"/>
                <w:szCs w:val="21"/>
              </w:rPr>
            </w:pPr>
            <w:r>
              <w:rPr>
                <w:rFonts w:hint="eastAsia" w:ascii="宋体" w:hAnsi="宋体" w:eastAsia="宋体" w:cs="Times New Roman"/>
                <w:szCs w:val="21"/>
              </w:rPr>
              <w:t>1</w:t>
            </w:r>
          </w:p>
        </w:tc>
        <w:tc>
          <w:tcPr>
            <w:tcW w:w="3978" w:type="dxa"/>
            <w:vAlign w:val="center"/>
          </w:tcPr>
          <w:p w14:paraId="18279B73">
            <w:pPr>
              <w:adjustRightInd w:val="0"/>
              <w:snapToGrid w:val="0"/>
              <w:rPr>
                <w:rFonts w:ascii="宋体" w:hAnsi="宋体" w:eastAsia="宋体" w:cs="Times New Roman"/>
                <w:szCs w:val="21"/>
              </w:rPr>
            </w:pPr>
            <w:r>
              <w:rPr>
                <w:rFonts w:hint="eastAsia" w:ascii="宋体" w:hAnsi="宋体" w:eastAsia="宋体" w:cs="宋体"/>
                <w:szCs w:val="21"/>
              </w:rPr>
              <w:t>小学道德与法治课程概述</w:t>
            </w:r>
          </w:p>
        </w:tc>
        <w:tc>
          <w:tcPr>
            <w:tcW w:w="1190" w:type="dxa"/>
            <w:vAlign w:val="center"/>
          </w:tcPr>
          <w:p w14:paraId="401D6B94">
            <w:pPr>
              <w:adjustRightInd w:val="0"/>
              <w:snapToGrid w:val="0"/>
              <w:jc w:val="center"/>
              <w:rPr>
                <w:rFonts w:ascii="宋体" w:hAnsi="宋体" w:eastAsia="宋体" w:cs="Times New Roman"/>
                <w:szCs w:val="21"/>
              </w:rPr>
            </w:pPr>
            <w:r>
              <w:rPr>
                <w:rFonts w:hint="eastAsia" w:ascii="宋体" w:hAnsi="宋体" w:eastAsia="宋体" w:cs="Times New Roman"/>
                <w:szCs w:val="21"/>
              </w:rPr>
              <w:t>目标1</w:t>
            </w:r>
          </w:p>
        </w:tc>
        <w:tc>
          <w:tcPr>
            <w:tcW w:w="1817" w:type="dxa"/>
            <w:vAlign w:val="center"/>
          </w:tcPr>
          <w:p w14:paraId="65A6E25C">
            <w:pPr>
              <w:adjustRightInd w:val="0"/>
              <w:snapToGrid w:val="0"/>
              <w:jc w:val="center"/>
              <w:rPr>
                <w:rFonts w:ascii="宋体" w:hAnsi="宋体" w:eastAsia="宋体" w:cs="Times New Roman"/>
                <w:szCs w:val="21"/>
              </w:rPr>
            </w:pPr>
            <w:r>
              <w:rPr>
                <w:rFonts w:hint="eastAsia" w:ascii="宋体" w:hAnsi="宋体" w:eastAsia="宋体" w:cs="Times New Roman"/>
                <w:szCs w:val="21"/>
              </w:rPr>
              <w:t>3-3、6</w:t>
            </w:r>
            <w:r>
              <w:rPr>
                <w:rFonts w:ascii="宋体" w:hAnsi="宋体" w:eastAsia="宋体" w:cs="Times New Roman"/>
                <w:szCs w:val="21"/>
              </w:rPr>
              <w:t>-2</w:t>
            </w:r>
          </w:p>
        </w:tc>
        <w:tc>
          <w:tcPr>
            <w:tcW w:w="698" w:type="dxa"/>
            <w:vAlign w:val="center"/>
          </w:tcPr>
          <w:p w14:paraId="2DCB9A88">
            <w:pPr>
              <w:adjustRightInd w:val="0"/>
              <w:snapToGrid w:val="0"/>
              <w:jc w:val="center"/>
              <w:rPr>
                <w:rFonts w:ascii="宋体" w:hAnsi="宋体" w:eastAsia="宋体" w:cs="Times New Roman"/>
                <w:szCs w:val="21"/>
              </w:rPr>
            </w:pPr>
            <w:r>
              <w:rPr>
                <w:rFonts w:hint="eastAsia" w:ascii="宋体" w:hAnsi="宋体" w:eastAsia="宋体" w:cs="Times New Roman"/>
                <w:szCs w:val="21"/>
              </w:rPr>
              <w:t>2</w:t>
            </w:r>
          </w:p>
        </w:tc>
        <w:tc>
          <w:tcPr>
            <w:tcW w:w="697" w:type="dxa"/>
            <w:vAlign w:val="center"/>
          </w:tcPr>
          <w:p w14:paraId="54E29EA9">
            <w:pPr>
              <w:adjustRightInd w:val="0"/>
              <w:snapToGrid w:val="0"/>
              <w:jc w:val="center"/>
              <w:rPr>
                <w:rFonts w:ascii="宋体" w:hAnsi="宋体" w:eastAsia="宋体" w:cs="Times New Roman"/>
                <w:szCs w:val="21"/>
              </w:rPr>
            </w:pPr>
          </w:p>
        </w:tc>
      </w:tr>
      <w:tr w14:paraId="48E8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53" w:type="dxa"/>
            <w:vAlign w:val="center"/>
          </w:tcPr>
          <w:p w14:paraId="1F08F71A">
            <w:pPr>
              <w:adjustRightInd w:val="0"/>
              <w:snapToGrid w:val="0"/>
              <w:jc w:val="center"/>
              <w:rPr>
                <w:rFonts w:ascii="宋体" w:hAnsi="宋体" w:eastAsia="宋体" w:cs="Times New Roman"/>
                <w:szCs w:val="21"/>
              </w:rPr>
            </w:pPr>
            <w:r>
              <w:rPr>
                <w:rFonts w:hint="eastAsia" w:ascii="宋体" w:hAnsi="宋体" w:eastAsia="宋体" w:cs="Times New Roman"/>
                <w:szCs w:val="21"/>
              </w:rPr>
              <w:t>2</w:t>
            </w:r>
          </w:p>
        </w:tc>
        <w:tc>
          <w:tcPr>
            <w:tcW w:w="3978" w:type="dxa"/>
            <w:vAlign w:val="center"/>
          </w:tcPr>
          <w:p w14:paraId="0D1E2F53">
            <w:pPr>
              <w:adjustRightInd w:val="0"/>
              <w:snapToGrid w:val="0"/>
              <w:rPr>
                <w:rFonts w:ascii="宋体" w:hAnsi="宋体" w:eastAsia="宋体" w:cs="Times New Roman"/>
                <w:szCs w:val="21"/>
              </w:rPr>
            </w:pPr>
            <w:r>
              <w:rPr>
                <w:rFonts w:hint="eastAsia" w:ascii="宋体" w:hAnsi="宋体" w:eastAsia="宋体" w:cs="宋体"/>
                <w:szCs w:val="21"/>
              </w:rPr>
              <w:t>小学道德与法治课程结构的分析</w:t>
            </w:r>
          </w:p>
        </w:tc>
        <w:tc>
          <w:tcPr>
            <w:tcW w:w="1190" w:type="dxa"/>
            <w:vAlign w:val="center"/>
          </w:tcPr>
          <w:p w14:paraId="40DE5D9B">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p>
        </w:tc>
        <w:tc>
          <w:tcPr>
            <w:tcW w:w="1817" w:type="dxa"/>
            <w:vAlign w:val="center"/>
          </w:tcPr>
          <w:p w14:paraId="6A535BC1">
            <w:pPr>
              <w:adjustRightInd w:val="0"/>
              <w:snapToGrid w:val="0"/>
              <w:jc w:val="center"/>
              <w:rPr>
                <w:rFonts w:ascii="宋体" w:hAnsi="宋体" w:eastAsia="宋体" w:cs="Times New Roman"/>
                <w:szCs w:val="21"/>
              </w:rPr>
            </w:pPr>
            <w:r>
              <w:rPr>
                <w:rFonts w:hint="eastAsia" w:ascii="宋体" w:hAnsi="宋体" w:eastAsia="宋体" w:cs="Times New Roman"/>
                <w:szCs w:val="21"/>
              </w:rPr>
              <w:t>3-3、4-1、4</w:t>
            </w:r>
            <w:r>
              <w:rPr>
                <w:rFonts w:ascii="宋体" w:hAnsi="宋体" w:eastAsia="宋体" w:cs="Times New Roman"/>
                <w:szCs w:val="21"/>
              </w:rPr>
              <w:t>-2</w:t>
            </w:r>
          </w:p>
        </w:tc>
        <w:tc>
          <w:tcPr>
            <w:tcW w:w="698" w:type="dxa"/>
            <w:vAlign w:val="center"/>
          </w:tcPr>
          <w:p w14:paraId="742067B2">
            <w:pPr>
              <w:adjustRightInd w:val="0"/>
              <w:snapToGrid w:val="0"/>
              <w:jc w:val="center"/>
              <w:rPr>
                <w:rFonts w:ascii="宋体" w:hAnsi="宋体" w:eastAsia="宋体" w:cs="Times New Roman"/>
                <w:szCs w:val="21"/>
              </w:rPr>
            </w:pPr>
            <w:r>
              <w:rPr>
                <w:rFonts w:ascii="宋体" w:hAnsi="宋体" w:eastAsia="宋体" w:cs="Times New Roman"/>
                <w:szCs w:val="21"/>
              </w:rPr>
              <w:t>2</w:t>
            </w:r>
          </w:p>
        </w:tc>
        <w:tc>
          <w:tcPr>
            <w:tcW w:w="697" w:type="dxa"/>
            <w:vAlign w:val="center"/>
          </w:tcPr>
          <w:p w14:paraId="6E21B760">
            <w:pPr>
              <w:adjustRightInd w:val="0"/>
              <w:snapToGrid w:val="0"/>
              <w:jc w:val="center"/>
              <w:rPr>
                <w:rFonts w:ascii="宋体" w:hAnsi="宋体" w:eastAsia="宋体" w:cs="Times New Roman"/>
                <w:szCs w:val="21"/>
              </w:rPr>
            </w:pPr>
          </w:p>
        </w:tc>
      </w:tr>
      <w:tr w14:paraId="19BA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53" w:type="dxa"/>
            <w:vAlign w:val="center"/>
          </w:tcPr>
          <w:p w14:paraId="05DDB44F">
            <w:pPr>
              <w:adjustRightInd w:val="0"/>
              <w:snapToGrid w:val="0"/>
              <w:jc w:val="center"/>
              <w:rPr>
                <w:rFonts w:ascii="宋体" w:hAnsi="宋体" w:eastAsia="宋体" w:cs="Times New Roman"/>
                <w:szCs w:val="21"/>
              </w:rPr>
            </w:pPr>
            <w:r>
              <w:rPr>
                <w:rFonts w:hint="eastAsia" w:ascii="宋体" w:hAnsi="宋体" w:eastAsia="宋体" w:cs="Times New Roman"/>
                <w:szCs w:val="21"/>
              </w:rPr>
              <w:t>3</w:t>
            </w:r>
          </w:p>
        </w:tc>
        <w:tc>
          <w:tcPr>
            <w:tcW w:w="3978" w:type="dxa"/>
            <w:vAlign w:val="center"/>
          </w:tcPr>
          <w:p w14:paraId="50781015">
            <w:pPr>
              <w:adjustRightInd w:val="0"/>
              <w:snapToGrid w:val="0"/>
              <w:rPr>
                <w:rFonts w:ascii="宋体" w:hAnsi="宋体" w:eastAsia="宋体" w:cs="Times New Roman"/>
                <w:szCs w:val="21"/>
              </w:rPr>
            </w:pPr>
            <w:r>
              <w:rPr>
                <w:rFonts w:hint="eastAsia" w:ascii="宋体" w:hAnsi="宋体" w:eastAsia="宋体" w:cs="宋体"/>
                <w:szCs w:val="21"/>
              </w:rPr>
              <w:t>小学道德与法治教学目标的设计</w:t>
            </w:r>
          </w:p>
        </w:tc>
        <w:tc>
          <w:tcPr>
            <w:tcW w:w="1190" w:type="dxa"/>
            <w:vAlign w:val="center"/>
          </w:tcPr>
          <w:p w14:paraId="40F9B5CD">
            <w:pPr>
              <w:adjustRightInd w:val="0"/>
              <w:snapToGrid w:val="0"/>
              <w:jc w:val="center"/>
              <w:rPr>
                <w:rFonts w:ascii="宋体" w:hAnsi="宋体" w:eastAsia="宋体" w:cs="Times New Roman"/>
                <w:szCs w:val="21"/>
              </w:rPr>
            </w:pPr>
            <w:r>
              <w:rPr>
                <w:rFonts w:hint="eastAsia" w:ascii="宋体" w:hAnsi="宋体" w:eastAsia="宋体" w:cs="Times New Roman"/>
                <w:szCs w:val="21"/>
              </w:rPr>
              <w:t>目标2、目标3</w:t>
            </w:r>
          </w:p>
        </w:tc>
        <w:tc>
          <w:tcPr>
            <w:tcW w:w="1817" w:type="dxa"/>
            <w:vAlign w:val="center"/>
          </w:tcPr>
          <w:p w14:paraId="398000E0">
            <w:pPr>
              <w:adjustRightInd w:val="0"/>
              <w:snapToGrid w:val="0"/>
              <w:jc w:val="center"/>
              <w:rPr>
                <w:rFonts w:ascii="宋体" w:hAnsi="宋体" w:eastAsia="宋体" w:cs="Times New Roman"/>
                <w:szCs w:val="21"/>
              </w:rPr>
            </w:pPr>
            <w:r>
              <w:rPr>
                <w:rFonts w:ascii="宋体" w:hAnsi="宋体" w:eastAsia="宋体" w:cs="Times New Roman"/>
                <w:szCs w:val="21"/>
              </w:rPr>
              <w:t>3-2</w:t>
            </w: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p>
        </w:tc>
        <w:tc>
          <w:tcPr>
            <w:tcW w:w="698" w:type="dxa"/>
            <w:vAlign w:val="center"/>
          </w:tcPr>
          <w:p w14:paraId="26313A8E">
            <w:pPr>
              <w:adjustRightInd w:val="0"/>
              <w:snapToGrid w:val="0"/>
              <w:jc w:val="center"/>
              <w:rPr>
                <w:rFonts w:ascii="宋体" w:hAnsi="宋体" w:eastAsia="宋体" w:cs="Times New Roman"/>
                <w:szCs w:val="21"/>
              </w:rPr>
            </w:pPr>
            <w:r>
              <w:rPr>
                <w:rFonts w:hint="eastAsia" w:ascii="宋体" w:hAnsi="宋体" w:eastAsia="宋体" w:cs="Times New Roman"/>
                <w:szCs w:val="21"/>
              </w:rPr>
              <w:t>2</w:t>
            </w:r>
          </w:p>
        </w:tc>
        <w:tc>
          <w:tcPr>
            <w:tcW w:w="697" w:type="dxa"/>
            <w:vAlign w:val="center"/>
          </w:tcPr>
          <w:p w14:paraId="19BEEBB9">
            <w:pPr>
              <w:adjustRightInd w:val="0"/>
              <w:snapToGrid w:val="0"/>
              <w:jc w:val="center"/>
              <w:rPr>
                <w:rFonts w:ascii="宋体" w:hAnsi="宋体" w:eastAsia="宋体" w:cs="Times New Roman"/>
                <w:szCs w:val="21"/>
              </w:rPr>
            </w:pPr>
            <w:r>
              <w:rPr>
                <w:rFonts w:ascii="宋体" w:hAnsi="宋体" w:eastAsia="宋体" w:cs="Times New Roman"/>
                <w:szCs w:val="21"/>
              </w:rPr>
              <w:t>4</w:t>
            </w:r>
          </w:p>
        </w:tc>
      </w:tr>
      <w:tr w14:paraId="2EF9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53" w:type="dxa"/>
            <w:vAlign w:val="center"/>
          </w:tcPr>
          <w:p w14:paraId="0FB96881">
            <w:pPr>
              <w:adjustRightInd w:val="0"/>
              <w:snapToGrid w:val="0"/>
              <w:jc w:val="center"/>
              <w:rPr>
                <w:rFonts w:ascii="宋体" w:hAnsi="宋体" w:eastAsia="宋体" w:cs="Times New Roman"/>
                <w:szCs w:val="21"/>
              </w:rPr>
            </w:pPr>
            <w:r>
              <w:rPr>
                <w:rFonts w:hint="eastAsia" w:ascii="宋体" w:hAnsi="宋体" w:eastAsia="宋体" w:cs="Times New Roman"/>
                <w:szCs w:val="21"/>
              </w:rPr>
              <w:t>4</w:t>
            </w:r>
          </w:p>
        </w:tc>
        <w:tc>
          <w:tcPr>
            <w:tcW w:w="3978" w:type="dxa"/>
            <w:vAlign w:val="center"/>
          </w:tcPr>
          <w:p w14:paraId="2B70C86E">
            <w:pPr>
              <w:adjustRightInd w:val="0"/>
              <w:snapToGrid w:val="0"/>
              <w:rPr>
                <w:rFonts w:ascii="宋体" w:hAnsi="宋体" w:eastAsia="宋体" w:cs="Times New Roman"/>
                <w:szCs w:val="21"/>
              </w:rPr>
            </w:pPr>
            <w:r>
              <w:rPr>
                <w:rFonts w:hint="eastAsia" w:ascii="宋体" w:hAnsi="宋体" w:eastAsia="宋体" w:cs="宋体"/>
                <w:szCs w:val="21"/>
              </w:rPr>
              <w:t>小学道德与法治教材内容的解读</w:t>
            </w:r>
          </w:p>
        </w:tc>
        <w:tc>
          <w:tcPr>
            <w:tcW w:w="1190" w:type="dxa"/>
            <w:vAlign w:val="center"/>
          </w:tcPr>
          <w:p w14:paraId="6AF219A0">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r>
              <w:rPr>
                <w:rFonts w:hint="eastAsia" w:ascii="宋体" w:hAnsi="宋体" w:eastAsia="宋体" w:cs="Times New Roman"/>
                <w:szCs w:val="21"/>
              </w:rPr>
              <w:t>、目标3</w:t>
            </w:r>
          </w:p>
        </w:tc>
        <w:tc>
          <w:tcPr>
            <w:tcW w:w="1817" w:type="dxa"/>
            <w:vAlign w:val="center"/>
          </w:tcPr>
          <w:p w14:paraId="47F098C6">
            <w:pPr>
              <w:adjustRightInd w:val="0"/>
              <w:snapToGrid w:val="0"/>
              <w:jc w:val="center"/>
              <w:rPr>
                <w:rFonts w:ascii="宋体" w:hAnsi="宋体" w:eastAsia="宋体" w:cs="Times New Roman"/>
                <w:szCs w:val="21"/>
              </w:rPr>
            </w:pPr>
            <w:r>
              <w:rPr>
                <w:rFonts w:ascii="宋体" w:hAnsi="宋体" w:eastAsia="宋体" w:cs="Times New Roman"/>
                <w:szCs w:val="21"/>
              </w:rPr>
              <w:t>3-2</w:t>
            </w: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p>
        </w:tc>
        <w:tc>
          <w:tcPr>
            <w:tcW w:w="698" w:type="dxa"/>
            <w:vAlign w:val="center"/>
          </w:tcPr>
          <w:p w14:paraId="47D5FBC5">
            <w:pPr>
              <w:adjustRightInd w:val="0"/>
              <w:snapToGrid w:val="0"/>
              <w:jc w:val="center"/>
              <w:rPr>
                <w:rFonts w:ascii="宋体" w:hAnsi="宋体" w:eastAsia="宋体" w:cs="Times New Roman"/>
                <w:szCs w:val="21"/>
              </w:rPr>
            </w:pPr>
            <w:r>
              <w:rPr>
                <w:rFonts w:ascii="宋体" w:hAnsi="宋体" w:eastAsia="宋体" w:cs="Times New Roman"/>
                <w:szCs w:val="21"/>
              </w:rPr>
              <w:t>2</w:t>
            </w:r>
          </w:p>
        </w:tc>
        <w:tc>
          <w:tcPr>
            <w:tcW w:w="697" w:type="dxa"/>
            <w:vAlign w:val="center"/>
          </w:tcPr>
          <w:p w14:paraId="56419784">
            <w:pPr>
              <w:adjustRightInd w:val="0"/>
              <w:snapToGrid w:val="0"/>
              <w:jc w:val="center"/>
              <w:rPr>
                <w:rFonts w:ascii="宋体" w:hAnsi="宋体" w:eastAsia="宋体" w:cs="Times New Roman"/>
                <w:szCs w:val="21"/>
              </w:rPr>
            </w:pPr>
            <w:r>
              <w:rPr>
                <w:rFonts w:hint="eastAsia" w:ascii="宋体" w:hAnsi="宋体" w:eastAsia="宋体" w:cs="Times New Roman"/>
                <w:szCs w:val="21"/>
              </w:rPr>
              <w:t>4</w:t>
            </w:r>
          </w:p>
        </w:tc>
      </w:tr>
      <w:tr w14:paraId="1B8E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53" w:type="dxa"/>
            <w:vAlign w:val="center"/>
          </w:tcPr>
          <w:p w14:paraId="2D9F83CF">
            <w:pPr>
              <w:adjustRightInd w:val="0"/>
              <w:snapToGrid w:val="0"/>
              <w:jc w:val="center"/>
              <w:rPr>
                <w:rFonts w:ascii="宋体" w:hAnsi="宋体" w:eastAsia="宋体" w:cs="Times New Roman"/>
                <w:szCs w:val="21"/>
              </w:rPr>
            </w:pPr>
            <w:r>
              <w:rPr>
                <w:rFonts w:hint="eastAsia" w:ascii="宋体" w:hAnsi="宋体" w:eastAsia="宋体" w:cs="Times New Roman"/>
                <w:szCs w:val="21"/>
              </w:rPr>
              <w:t>5</w:t>
            </w:r>
          </w:p>
        </w:tc>
        <w:tc>
          <w:tcPr>
            <w:tcW w:w="3978" w:type="dxa"/>
            <w:vAlign w:val="center"/>
          </w:tcPr>
          <w:p w14:paraId="35070B23">
            <w:pPr>
              <w:adjustRightInd w:val="0"/>
              <w:snapToGrid w:val="0"/>
              <w:rPr>
                <w:rFonts w:ascii="宋体" w:hAnsi="宋体" w:eastAsia="宋体" w:cs="Times New Roman"/>
                <w:szCs w:val="21"/>
              </w:rPr>
            </w:pPr>
            <w:r>
              <w:rPr>
                <w:rFonts w:hint="eastAsia" w:ascii="宋体" w:hAnsi="宋体" w:eastAsia="宋体" w:cs="宋体"/>
                <w:szCs w:val="21"/>
              </w:rPr>
              <w:t>小学道德与法治课的教学设计</w:t>
            </w:r>
          </w:p>
        </w:tc>
        <w:tc>
          <w:tcPr>
            <w:tcW w:w="1190" w:type="dxa"/>
            <w:vAlign w:val="center"/>
          </w:tcPr>
          <w:p w14:paraId="37F13AD4">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r>
              <w:rPr>
                <w:rFonts w:hint="eastAsia" w:ascii="宋体" w:hAnsi="宋体" w:eastAsia="宋体" w:cs="Times New Roman"/>
                <w:szCs w:val="21"/>
              </w:rPr>
              <w:t>、目标3</w:t>
            </w:r>
          </w:p>
        </w:tc>
        <w:tc>
          <w:tcPr>
            <w:tcW w:w="1817" w:type="dxa"/>
            <w:vAlign w:val="center"/>
          </w:tcPr>
          <w:p w14:paraId="6675B518">
            <w:pPr>
              <w:adjustRightInd w:val="0"/>
              <w:snapToGrid w:val="0"/>
              <w:jc w:val="center"/>
              <w:rPr>
                <w:rFonts w:ascii="宋体" w:hAnsi="宋体" w:eastAsia="宋体" w:cs="Times New Roman"/>
                <w:szCs w:val="21"/>
              </w:rPr>
            </w:pPr>
            <w:r>
              <w:rPr>
                <w:rFonts w:ascii="宋体" w:hAnsi="宋体" w:eastAsia="宋体" w:cs="Times New Roman"/>
                <w:szCs w:val="21"/>
              </w:rPr>
              <w:t>3-2</w:t>
            </w:r>
            <w:r>
              <w:rPr>
                <w:rFonts w:hint="eastAsia" w:ascii="宋体" w:hAnsi="宋体" w:eastAsia="宋体" w:cs="Times New Roman"/>
                <w:szCs w:val="21"/>
              </w:rPr>
              <w:t>、4</w:t>
            </w:r>
            <w:r>
              <w:rPr>
                <w:rFonts w:ascii="宋体" w:hAnsi="宋体" w:eastAsia="宋体" w:cs="Times New Roman"/>
                <w:szCs w:val="21"/>
              </w:rPr>
              <w:t>-1</w:t>
            </w:r>
            <w:r>
              <w:rPr>
                <w:rFonts w:hint="eastAsia" w:ascii="宋体" w:hAnsi="宋体" w:eastAsia="宋体" w:cs="Times New Roman"/>
                <w:szCs w:val="21"/>
              </w:rPr>
              <w:t>、4</w:t>
            </w:r>
            <w:r>
              <w:rPr>
                <w:rFonts w:ascii="宋体" w:hAnsi="宋体" w:eastAsia="宋体" w:cs="Times New Roman"/>
                <w:szCs w:val="21"/>
              </w:rPr>
              <w:t>-2</w:t>
            </w:r>
            <w:r>
              <w:rPr>
                <w:rFonts w:hint="eastAsia" w:ascii="宋体" w:hAnsi="宋体" w:eastAsia="宋体" w:cs="Times New Roman"/>
                <w:szCs w:val="21"/>
              </w:rPr>
              <w:t>、5</w:t>
            </w:r>
            <w:r>
              <w:rPr>
                <w:rFonts w:ascii="宋体" w:hAnsi="宋体" w:eastAsia="宋体" w:cs="Times New Roman"/>
                <w:szCs w:val="21"/>
              </w:rPr>
              <w:t>-2</w:t>
            </w:r>
            <w:r>
              <w:rPr>
                <w:rFonts w:hint="eastAsia" w:ascii="宋体" w:hAnsi="宋体" w:eastAsia="宋体" w:cs="Times New Roman"/>
                <w:szCs w:val="21"/>
              </w:rPr>
              <w:t>、6</w:t>
            </w:r>
            <w:r>
              <w:rPr>
                <w:rFonts w:ascii="宋体" w:hAnsi="宋体" w:eastAsia="宋体" w:cs="Times New Roman"/>
                <w:szCs w:val="21"/>
              </w:rPr>
              <w:t>-2</w:t>
            </w:r>
          </w:p>
        </w:tc>
        <w:tc>
          <w:tcPr>
            <w:tcW w:w="698" w:type="dxa"/>
            <w:vAlign w:val="center"/>
          </w:tcPr>
          <w:p w14:paraId="2E11A389">
            <w:pPr>
              <w:adjustRightInd w:val="0"/>
              <w:snapToGrid w:val="0"/>
              <w:jc w:val="center"/>
              <w:rPr>
                <w:rFonts w:ascii="宋体" w:hAnsi="宋体" w:eastAsia="宋体" w:cs="Times New Roman"/>
                <w:szCs w:val="21"/>
              </w:rPr>
            </w:pPr>
            <w:r>
              <w:rPr>
                <w:rFonts w:ascii="宋体" w:hAnsi="宋体" w:eastAsia="宋体" w:cs="Times New Roman"/>
                <w:szCs w:val="21"/>
              </w:rPr>
              <w:t>2</w:t>
            </w:r>
          </w:p>
        </w:tc>
        <w:tc>
          <w:tcPr>
            <w:tcW w:w="697" w:type="dxa"/>
            <w:vAlign w:val="center"/>
          </w:tcPr>
          <w:p w14:paraId="22CF51E0">
            <w:pPr>
              <w:adjustRightInd w:val="0"/>
              <w:snapToGrid w:val="0"/>
              <w:jc w:val="center"/>
              <w:rPr>
                <w:rFonts w:ascii="宋体" w:hAnsi="宋体" w:eastAsia="宋体" w:cs="Times New Roman"/>
                <w:szCs w:val="21"/>
              </w:rPr>
            </w:pPr>
            <w:r>
              <w:rPr>
                <w:rFonts w:hint="eastAsia" w:ascii="宋体" w:hAnsi="宋体" w:eastAsia="宋体" w:cs="Times New Roman"/>
                <w:szCs w:val="21"/>
              </w:rPr>
              <w:t>4</w:t>
            </w:r>
          </w:p>
        </w:tc>
      </w:tr>
      <w:tr w14:paraId="368D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53" w:type="dxa"/>
            <w:vAlign w:val="center"/>
          </w:tcPr>
          <w:p w14:paraId="2D9C7E62">
            <w:pPr>
              <w:adjustRightInd w:val="0"/>
              <w:snapToGrid w:val="0"/>
              <w:jc w:val="center"/>
              <w:rPr>
                <w:rFonts w:ascii="宋体" w:hAnsi="宋体" w:eastAsia="宋体" w:cs="Times New Roman"/>
                <w:szCs w:val="21"/>
              </w:rPr>
            </w:pPr>
            <w:r>
              <w:rPr>
                <w:rFonts w:hint="eastAsia" w:ascii="宋体" w:hAnsi="宋体" w:eastAsia="宋体" w:cs="Times New Roman"/>
                <w:szCs w:val="21"/>
              </w:rPr>
              <w:t>6</w:t>
            </w:r>
          </w:p>
        </w:tc>
        <w:tc>
          <w:tcPr>
            <w:tcW w:w="3978" w:type="dxa"/>
            <w:vAlign w:val="center"/>
          </w:tcPr>
          <w:p w14:paraId="6756E4F1">
            <w:pPr>
              <w:adjustRightInd w:val="0"/>
              <w:snapToGrid w:val="0"/>
              <w:rPr>
                <w:rFonts w:ascii="宋体" w:hAnsi="宋体" w:eastAsia="宋体" w:cs="Times New Roman"/>
                <w:szCs w:val="21"/>
              </w:rPr>
            </w:pPr>
            <w:r>
              <w:rPr>
                <w:rFonts w:hint="eastAsia" w:ascii="宋体" w:hAnsi="宋体" w:eastAsia="宋体" w:cs="宋体"/>
                <w:szCs w:val="21"/>
              </w:rPr>
              <w:t>小学道德与法治教学的基本方法</w:t>
            </w:r>
          </w:p>
        </w:tc>
        <w:tc>
          <w:tcPr>
            <w:tcW w:w="1190" w:type="dxa"/>
            <w:vAlign w:val="center"/>
          </w:tcPr>
          <w:p w14:paraId="460A7F2E">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3</w:t>
            </w:r>
          </w:p>
        </w:tc>
        <w:tc>
          <w:tcPr>
            <w:tcW w:w="1817" w:type="dxa"/>
            <w:vAlign w:val="center"/>
          </w:tcPr>
          <w:p w14:paraId="2996DBC8">
            <w:pPr>
              <w:adjustRightInd w:val="0"/>
              <w:snapToGrid w:val="0"/>
              <w:jc w:val="center"/>
              <w:rPr>
                <w:rFonts w:ascii="宋体" w:hAnsi="宋体" w:eastAsia="宋体" w:cs="Times New Roman"/>
                <w:szCs w:val="21"/>
              </w:rPr>
            </w:pPr>
            <w:r>
              <w:rPr>
                <w:rFonts w:ascii="宋体" w:hAnsi="宋体" w:eastAsia="宋体" w:cs="Times New Roman"/>
                <w:szCs w:val="21"/>
              </w:rPr>
              <w:t>4-1</w:t>
            </w:r>
            <w:r>
              <w:rPr>
                <w:rFonts w:hint="eastAsia" w:ascii="宋体" w:hAnsi="宋体" w:eastAsia="宋体" w:cs="Times New Roman"/>
                <w:szCs w:val="21"/>
              </w:rPr>
              <w:t>、4-2、5-2、</w:t>
            </w:r>
            <w:r>
              <w:rPr>
                <w:rFonts w:ascii="宋体" w:hAnsi="宋体" w:eastAsia="宋体" w:cs="Times New Roman"/>
                <w:szCs w:val="21"/>
              </w:rPr>
              <w:t>6-2</w:t>
            </w:r>
          </w:p>
        </w:tc>
        <w:tc>
          <w:tcPr>
            <w:tcW w:w="698" w:type="dxa"/>
            <w:vAlign w:val="center"/>
          </w:tcPr>
          <w:p w14:paraId="4F65ACDA">
            <w:pPr>
              <w:adjustRightInd w:val="0"/>
              <w:snapToGrid w:val="0"/>
              <w:jc w:val="center"/>
              <w:rPr>
                <w:rFonts w:ascii="宋体" w:hAnsi="宋体" w:eastAsia="宋体" w:cs="Times New Roman"/>
                <w:szCs w:val="21"/>
              </w:rPr>
            </w:pPr>
            <w:r>
              <w:rPr>
                <w:rFonts w:ascii="宋体" w:hAnsi="宋体" w:eastAsia="宋体" w:cs="Times New Roman"/>
                <w:szCs w:val="21"/>
              </w:rPr>
              <w:t>2</w:t>
            </w:r>
          </w:p>
        </w:tc>
        <w:tc>
          <w:tcPr>
            <w:tcW w:w="697" w:type="dxa"/>
            <w:vAlign w:val="center"/>
          </w:tcPr>
          <w:p w14:paraId="304ADE88">
            <w:pPr>
              <w:adjustRightInd w:val="0"/>
              <w:snapToGrid w:val="0"/>
              <w:jc w:val="center"/>
              <w:rPr>
                <w:rFonts w:ascii="宋体" w:hAnsi="宋体" w:eastAsia="宋体" w:cs="Times New Roman"/>
                <w:szCs w:val="21"/>
              </w:rPr>
            </w:pPr>
          </w:p>
        </w:tc>
      </w:tr>
      <w:tr w14:paraId="6EC9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53" w:type="dxa"/>
            <w:vAlign w:val="center"/>
          </w:tcPr>
          <w:p w14:paraId="1894AC6C">
            <w:pPr>
              <w:adjustRightInd w:val="0"/>
              <w:snapToGrid w:val="0"/>
              <w:jc w:val="center"/>
              <w:rPr>
                <w:rFonts w:ascii="宋体" w:hAnsi="宋体" w:eastAsia="宋体" w:cs="Times New Roman"/>
                <w:szCs w:val="21"/>
              </w:rPr>
            </w:pPr>
            <w:r>
              <w:rPr>
                <w:rFonts w:hint="eastAsia" w:ascii="宋体" w:hAnsi="宋体" w:eastAsia="宋体" w:cs="Times New Roman"/>
                <w:szCs w:val="21"/>
              </w:rPr>
              <w:t>7</w:t>
            </w:r>
          </w:p>
        </w:tc>
        <w:tc>
          <w:tcPr>
            <w:tcW w:w="3978" w:type="dxa"/>
            <w:vAlign w:val="center"/>
          </w:tcPr>
          <w:p w14:paraId="1458AF77">
            <w:pPr>
              <w:adjustRightInd w:val="0"/>
              <w:snapToGrid w:val="0"/>
              <w:rPr>
                <w:rFonts w:ascii="宋体" w:hAnsi="宋体" w:eastAsia="宋体" w:cs="Times New Roman"/>
                <w:szCs w:val="21"/>
              </w:rPr>
            </w:pPr>
            <w:r>
              <w:rPr>
                <w:rFonts w:hint="eastAsia" w:ascii="宋体" w:hAnsi="宋体" w:eastAsia="宋体" w:cs="宋体"/>
                <w:szCs w:val="21"/>
              </w:rPr>
              <w:t>小学道德与法治课程的评价原则与方式</w:t>
            </w:r>
          </w:p>
        </w:tc>
        <w:tc>
          <w:tcPr>
            <w:tcW w:w="1190" w:type="dxa"/>
            <w:vAlign w:val="center"/>
          </w:tcPr>
          <w:p w14:paraId="4214E4E6">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4</w:t>
            </w:r>
          </w:p>
        </w:tc>
        <w:tc>
          <w:tcPr>
            <w:tcW w:w="1817" w:type="dxa"/>
            <w:vAlign w:val="center"/>
          </w:tcPr>
          <w:p w14:paraId="364F3BEB">
            <w:pPr>
              <w:adjustRightInd w:val="0"/>
              <w:snapToGrid w:val="0"/>
              <w:jc w:val="center"/>
              <w:rPr>
                <w:rFonts w:ascii="宋体" w:hAnsi="宋体" w:eastAsia="宋体" w:cs="Times New Roman"/>
                <w:szCs w:val="21"/>
              </w:rPr>
            </w:pPr>
            <w:r>
              <w:rPr>
                <w:rFonts w:hint="eastAsia" w:ascii="宋体" w:hAnsi="宋体" w:eastAsia="宋体" w:cs="Times New Roman"/>
                <w:szCs w:val="21"/>
              </w:rPr>
              <w:t>6-2</w:t>
            </w:r>
          </w:p>
        </w:tc>
        <w:tc>
          <w:tcPr>
            <w:tcW w:w="698" w:type="dxa"/>
            <w:vAlign w:val="center"/>
          </w:tcPr>
          <w:p w14:paraId="4D90BF45">
            <w:pPr>
              <w:adjustRightInd w:val="0"/>
              <w:snapToGrid w:val="0"/>
              <w:jc w:val="center"/>
              <w:rPr>
                <w:rFonts w:ascii="宋体" w:hAnsi="宋体" w:eastAsia="宋体" w:cs="Times New Roman"/>
                <w:szCs w:val="21"/>
              </w:rPr>
            </w:pPr>
            <w:r>
              <w:rPr>
                <w:rFonts w:ascii="宋体" w:hAnsi="宋体" w:eastAsia="宋体" w:cs="Times New Roman"/>
                <w:szCs w:val="21"/>
              </w:rPr>
              <w:t>2</w:t>
            </w:r>
          </w:p>
        </w:tc>
        <w:tc>
          <w:tcPr>
            <w:tcW w:w="697" w:type="dxa"/>
            <w:vAlign w:val="center"/>
          </w:tcPr>
          <w:p w14:paraId="1083129A">
            <w:pPr>
              <w:adjustRightInd w:val="0"/>
              <w:snapToGrid w:val="0"/>
              <w:jc w:val="center"/>
              <w:rPr>
                <w:rFonts w:ascii="宋体" w:hAnsi="宋体" w:eastAsia="宋体" w:cs="Times New Roman"/>
                <w:szCs w:val="21"/>
              </w:rPr>
            </w:pPr>
            <w:r>
              <w:rPr>
                <w:rFonts w:ascii="宋体" w:hAnsi="宋体" w:eastAsia="宋体" w:cs="Times New Roman"/>
                <w:szCs w:val="21"/>
              </w:rPr>
              <w:t>4</w:t>
            </w:r>
          </w:p>
        </w:tc>
      </w:tr>
      <w:tr w14:paraId="0243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53" w:type="dxa"/>
            <w:vAlign w:val="center"/>
          </w:tcPr>
          <w:p w14:paraId="3BCA0B2B">
            <w:pPr>
              <w:adjustRightInd w:val="0"/>
              <w:snapToGrid w:val="0"/>
              <w:jc w:val="center"/>
              <w:rPr>
                <w:rFonts w:ascii="宋体" w:hAnsi="宋体" w:eastAsia="宋体" w:cs="Times New Roman"/>
                <w:szCs w:val="21"/>
              </w:rPr>
            </w:pPr>
            <w:r>
              <w:rPr>
                <w:rFonts w:hint="eastAsia" w:ascii="宋体" w:hAnsi="宋体" w:eastAsia="宋体" w:cs="Times New Roman"/>
                <w:szCs w:val="21"/>
              </w:rPr>
              <w:t>8</w:t>
            </w:r>
          </w:p>
        </w:tc>
        <w:tc>
          <w:tcPr>
            <w:tcW w:w="3978" w:type="dxa"/>
            <w:vAlign w:val="center"/>
          </w:tcPr>
          <w:p w14:paraId="74FD20FD">
            <w:pPr>
              <w:adjustRightInd w:val="0"/>
              <w:snapToGrid w:val="0"/>
              <w:rPr>
                <w:rFonts w:ascii="宋体" w:hAnsi="宋体" w:eastAsia="宋体" w:cs="Times New Roman"/>
                <w:szCs w:val="21"/>
              </w:rPr>
            </w:pPr>
            <w:r>
              <w:rPr>
                <w:rFonts w:hint="eastAsia" w:ascii="宋体" w:hAnsi="宋体" w:eastAsia="宋体" w:cs="宋体"/>
                <w:szCs w:val="21"/>
              </w:rPr>
              <w:t>小学德育教师专业发展</w:t>
            </w:r>
          </w:p>
        </w:tc>
        <w:tc>
          <w:tcPr>
            <w:tcW w:w="1190" w:type="dxa"/>
            <w:vAlign w:val="center"/>
          </w:tcPr>
          <w:p w14:paraId="4AE17153">
            <w:pPr>
              <w:adjustRightInd w:val="0"/>
              <w:snapToGrid w:val="0"/>
              <w:jc w:val="center"/>
              <w:rPr>
                <w:rFonts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p>
        </w:tc>
        <w:tc>
          <w:tcPr>
            <w:tcW w:w="1817" w:type="dxa"/>
            <w:vAlign w:val="center"/>
          </w:tcPr>
          <w:p w14:paraId="6B577010">
            <w:pPr>
              <w:adjustRightInd w:val="0"/>
              <w:snapToGrid w:val="0"/>
              <w:jc w:val="center"/>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w:t>
            </w:r>
            <w:r>
              <w:rPr>
                <w:rFonts w:ascii="宋体" w:hAnsi="宋体" w:eastAsia="宋体" w:cs="Times New Roman"/>
                <w:szCs w:val="21"/>
              </w:rPr>
              <w:t>1</w:t>
            </w:r>
          </w:p>
        </w:tc>
        <w:tc>
          <w:tcPr>
            <w:tcW w:w="698" w:type="dxa"/>
            <w:vAlign w:val="center"/>
          </w:tcPr>
          <w:p w14:paraId="3AC50959">
            <w:pPr>
              <w:adjustRightInd w:val="0"/>
              <w:snapToGrid w:val="0"/>
              <w:jc w:val="center"/>
              <w:rPr>
                <w:rFonts w:ascii="宋体" w:hAnsi="宋体" w:eastAsia="宋体" w:cs="Times New Roman"/>
                <w:szCs w:val="21"/>
              </w:rPr>
            </w:pPr>
            <w:r>
              <w:rPr>
                <w:rFonts w:hint="eastAsia" w:ascii="宋体" w:hAnsi="宋体" w:eastAsia="宋体" w:cs="Times New Roman"/>
                <w:szCs w:val="21"/>
              </w:rPr>
              <w:t>2</w:t>
            </w:r>
          </w:p>
        </w:tc>
        <w:tc>
          <w:tcPr>
            <w:tcW w:w="697" w:type="dxa"/>
            <w:vAlign w:val="center"/>
          </w:tcPr>
          <w:p w14:paraId="0BB10C76">
            <w:pPr>
              <w:adjustRightInd w:val="0"/>
              <w:snapToGrid w:val="0"/>
              <w:jc w:val="center"/>
              <w:rPr>
                <w:rFonts w:ascii="宋体" w:hAnsi="宋体" w:eastAsia="宋体" w:cs="Times New Roman"/>
                <w:szCs w:val="21"/>
              </w:rPr>
            </w:pPr>
          </w:p>
        </w:tc>
      </w:tr>
      <w:tr w14:paraId="3CCD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7538" w:type="dxa"/>
            <w:gridSpan w:val="4"/>
            <w:vAlign w:val="center"/>
          </w:tcPr>
          <w:p w14:paraId="5FEDEA54">
            <w:pPr>
              <w:adjustRightInd w:val="0"/>
              <w:snapToGrid w:val="0"/>
              <w:ind w:firstLine="420" w:firstLineChars="200"/>
              <w:jc w:val="center"/>
              <w:rPr>
                <w:rFonts w:ascii="宋体" w:hAnsi="宋体" w:eastAsia="宋体" w:cs="Times New Roman"/>
                <w:szCs w:val="21"/>
              </w:rPr>
            </w:pPr>
            <w:r>
              <w:rPr>
                <w:rFonts w:hint="eastAsia" w:ascii="宋体" w:hAnsi="宋体" w:eastAsia="宋体" w:cs="Times New Roman"/>
                <w:szCs w:val="21"/>
              </w:rPr>
              <w:t>合   计</w:t>
            </w:r>
          </w:p>
        </w:tc>
        <w:tc>
          <w:tcPr>
            <w:tcW w:w="698" w:type="dxa"/>
            <w:vAlign w:val="center"/>
          </w:tcPr>
          <w:p w14:paraId="2206F5FF">
            <w:pPr>
              <w:adjustRightInd w:val="0"/>
              <w:snapToGrid w:val="0"/>
              <w:jc w:val="center"/>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6</w:t>
            </w:r>
          </w:p>
        </w:tc>
        <w:tc>
          <w:tcPr>
            <w:tcW w:w="697" w:type="dxa"/>
            <w:vAlign w:val="center"/>
          </w:tcPr>
          <w:p w14:paraId="7D729702">
            <w:pPr>
              <w:adjustRightInd w:val="0"/>
              <w:snapToGrid w:val="0"/>
              <w:jc w:val="center"/>
              <w:rPr>
                <w:rFonts w:ascii="宋体" w:hAnsi="宋体" w:eastAsia="宋体" w:cs="Times New Roman"/>
                <w:szCs w:val="21"/>
              </w:rPr>
            </w:pPr>
            <w:r>
              <w:rPr>
                <w:rFonts w:ascii="宋体" w:hAnsi="宋体" w:eastAsia="宋体" w:cs="Times New Roman"/>
                <w:szCs w:val="21"/>
              </w:rPr>
              <w:t>16</w:t>
            </w:r>
          </w:p>
        </w:tc>
      </w:tr>
    </w:tbl>
    <w:p w14:paraId="45D3B110">
      <w:pPr>
        <w:widowControl/>
        <w:spacing w:line="360" w:lineRule="auto"/>
        <w:jc w:val="left"/>
        <w:rPr>
          <w:rFonts w:ascii="Calibri" w:hAnsi="Calibri" w:eastAsia="宋体" w:cs="Times New Roman"/>
          <w:b/>
          <w:sz w:val="28"/>
          <w:szCs w:val="28"/>
        </w:rPr>
      </w:pPr>
      <w:r>
        <w:rPr>
          <w:rFonts w:hint="eastAsia" w:ascii="Calibri" w:hAnsi="Calibri" w:eastAsia="宋体" w:cs="Times New Roman"/>
          <w:b/>
          <w:sz w:val="28"/>
          <w:szCs w:val="28"/>
        </w:rPr>
        <w:t>四、课内实践</w:t>
      </w:r>
    </w:p>
    <w:tbl>
      <w:tblPr>
        <w:tblStyle w:val="30"/>
        <w:tblW w:w="9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633"/>
        <w:gridCol w:w="3402"/>
        <w:gridCol w:w="709"/>
        <w:gridCol w:w="1276"/>
        <w:gridCol w:w="995"/>
        <w:gridCol w:w="625"/>
      </w:tblGrid>
      <w:tr w14:paraId="1878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30" w:type="dxa"/>
            <w:shd w:val="clear" w:color="auto" w:fill="FFFFFF"/>
            <w:vAlign w:val="center"/>
          </w:tcPr>
          <w:p w14:paraId="5A958725">
            <w:pPr>
              <w:adjustRightInd w:val="0"/>
              <w:snapToGrid w:val="0"/>
              <w:jc w:val="center"/>
              <w:rPr>
                <w:rFonts w:ascii="宋体" w:hAnsi="宋体" w:eastAsia="宋体" w:cs="Times New Roman"/>
                <w:b/>
                <w:bCs/>
                <w:color w:val="000000"/>
                <w:spacing w:val="-20"/>
                <w:szCs w:val="21"/>
              </w:rPr>
            </w:pPr>
            <w:r>
              <w:rPr>
                <w:rFonts w:ascii="宋体" w:hAnsi="宋体" w:eastAsia="宋体" w:cs="Times New Roman"/>
                <w:b/>
                <w:bCs/>
                <w:color w:val="000000"/>
                <w:spacing w:val="-20"/>
                <w:szCs w:val="21"/>
              </w:rPr>
              <w:t>序号</w:t>
            </w:r>
          </w:p>
        </w:tc>
        <w:tc>
          <w:tcPr>
            <w:tcW w:w="1633" w:type="dxa"/>
            <w:shd w:val="clear" w:color="auto" w:fill="FFFFFF"/>
            <w:vAlign w:val="center"/>
          </w:tcPr>
          <w:p w14:paraId="2A9E8BF8">
            <w:pPr>
              <w:adjustRightInd w:val="0"/>
              <w:snapToGrid w:val="0"/>
              <w:jc w:val="center"/>
              <w:rPr>
                <w:rFonts w:ascii="宋体" w:hAnsi="宋体" w:eastAsia="宋体" w:cs="Times New Roman"/>
                <w:b/>
                <w:bCs/>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项目名称</w:t>
            </w:r>
          </w:p>
        </w:tc>
        <w:tc>
          <w:tcPr>
            <w:tcW w:w="3402" w:type="dxa"/>
            <w:shd w:val="clear" w:color="auto" w:fill="FFFFFF"/>
            <w:vAlign w:val="center"/>
          </w:tcPr>
          <w:p w14:paraId="7CF2F182">
            <w:pPr>
              <w:adjustRightInd w:val="0"/>
              <w:snapToGrid w:val="0"/>
              <w:jc w:val="center"/>
              <w:rPr>
                <w:rFonts w:ascii="宋体" w:hAnsi="宋体" w:eastAsia="宋体" w:cs="Times New Roman"/>
                <w:b/>
                <w:bCs/>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内容</w:t>
            </w:r>
            <w:r>
              <w:rPr>
                <w:rFonts w:hint="eastAsia" w:ascii="宋体" w:hAnsi="宋体" w:eastAsia="宋体" w:cs="Times New Roman"/>
                <w:b/>
                <w:bCs/>
                <w:color w:val="000000"/>
                <w:szCs w:val="21"/>
              </w:rPr>
              <w:t>及要求</w:t>
            </w:r>
          </w:p>
        </w:tc>
        <w:tc>
          <w:tcPr>
            <w:tcW w:w="709" w:type="dxa"/>
            <w:shd w:val="clear" w:color="auto" w:fill="FFFFFF"/>
            <w:vAlign w:val="center"/>
          </w:tcPr>
          <w:p w14:paraId="2E8E01A0">
            <w:pPr>
              <w:adjustRightInd w:val="0"/>
              <w:snapToGrid w:val="0"/>
              <w:jc w:val="center"/>
              <w:rPr>
                <w:rFonts w:ascii="宋体" w:hAnsi="宋体" w:eastAsia="宋体" w:cs="Times New Roman"/>
                <w:b/>
                <w:bCs/>
                <w:color w:val="000000"/>
                <w:szCs w:val="21"/>
              </w:rPr>
            </w:pPr>
            <w:r>
              <w:rPr>
                <w:rFonts w:ascii="宋体" w:hAnsi="宋体" w:eastAsia="宋体" w:cs="Times New Roman"/>
                <w:b/>
                <w:bCs/>
                <w:color w:val="000000"/>
                <w:szCs w:val="21"/>
              </w:rPr>
              <w:t>学时</w:t>
            </w:r>
          </w:p>
        </w:tc>
        <w:tc>
          <w:tcPr>
            <w:tcW w:w="1276" w:type="dxa"/>
            <w:shd w:val="clear" w:color="auto" w:fill="FFFFFF"/>
            <w:vAlign w:val="center"/>
          </w:tcPr>
          <w:p w14:paraId="4B927402">
            <w:pPr>
              <w:adjustRightInd w:val="0"/>
              <w:snapToGrid w:val="0"/>
              <w:jc w:val="center"/>
              <w:rPr>
                <w:rFonts w:ascii="宋体" w:hAnsi="宋体" w:eastAsia="宋体" w:cs="Times New Roman"/>
                <w:b/>
                <w:bCs/>
                <w:color w:val="000000"/>
                <w:szCs w:val="21"/>
              </w:rPr>
            </w:pPr>
            <w:r>
              <w:rPr>
                <w:rFonts w:ascii="宋体" w:hAnsi="宋体" w:eastAsia="宋体" w:cs="Times New Roman"/>
                <w:b/>
                <w:bCs/>
                <w:color w:val="000000"/>
                <w:szCs w:val="21"/>
              </w:rPr>
              <w:t>对毕业要求的支撑</w:t>
            </w:r>
          </w:p>
        </w:tc>
        <w:tc>
          <w:tcPr>
            <w:tcW w:w="995" w:type="dxa"/>
            <w:shd w:val="clear" w:color="auto" w:fill="FFFFFF"/>
            <w:tcMar>
              <w:left w:w="28" w:type="dxa"/>
              <w:right w:w="28" w:type="dxa"/>
            </w:tcMar>
            <w:vAlign w:val="center"/>
          </w:tcPr>
          <w:p w14:paraId="3E375923">
            <w:pPr>
              <w:adjustRightInd w:val="0"/>
              <w:snapToGrid w:val="0"/>
              <w:jc w:val="center"/>
              <w:rPr>
                <w:rFonts w:ascii="宋体" w:hAnsi="宋体" w:eastAsia="宋体" w:cs="Times New Roman"/>
                <w:b/>
                <w:bCs/>
                <w:color w:val="000000"/>
                <w:szCs w:val="21"/>
              </w:rPr>
            </w:pPr>
            <w:r>
              <w:rPr>
                <w:rFonts w:ascii="宋体" w:hAnsi="宋体" w:eastAsia="宋体" w:cs="Times New Roman"/>
                <w:b/>
                <w:bCs/>
                <w:color w:val="000000"/>
                <w:szCs w:val="21"/>
              </w:rPr>
              <w:t>类型</w:t>
            </w:r>
          </w:p>
        </w:tc>
        <w:tc>
          <w:tcPr>
            <w:tcW w:w="625" w:type="dxa"/>
            <w:shd w:val="clear" w:color="auto" w:fill="FFFFFF"/>
            <w:tcMar>
              <w:left w:w="28" w:type="dxa"/>
              <w:right w:w="28" w:type="dxa"/>
            </w:tcMar>
            <w:vAlign w:val="center"/>
          </w:tcPr>
          <w:p w14:paraId="6A9314AD">
            <w:pPr>
              <w:adjustRightInd w:val="0"/>
              <w:snapToGrid w:val="0"/>
              <w:jc w:val="center"/>
              <w:rPr>
                <w:rFonts w:ascii="宋体" w:hAnsi="宋体" w:eastAsia="宋体" w:cs="Times New Roman"/>
                <w:b/>
                <w:bCs/>
                <w:color w:val="000000"/>
                <w:szCs w:val="21"/>
              </w:rPr>
            </w:pPr>
            <w:r>
              <w:rPr>
                <w:rFonts w:ascii="宋体" w:hAnsi="宋体" w:eastAsia="宋体" w:cs="Times New Roman"/>
                <w:b/>
                <w:bCs/>
                <w:color w:val="000000"/>
                <w:szCs w:val="21"/>
              </w:rPr>
              <w:t>备注</w:t>
            </w:r>
          </w:p>
        </w:tc>
      </w:tr>
      <w:tr w14:paraId="4355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630" w:type="dxa"/>
            <w:vAlign w:val="center"/>
          </w:tcPr>
          <w:p w14:paraId="23777358">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1</w:t>
            </w:r>
          </w:p>
        </w:tc>
        <w:tc>
          <w:tcPr>
            <w:tcW w:w="1633" w:type="dxa"/>
            <w:vAlign w:val="center"/>
          </w:tcPr>
          <w:p w14:paraId="333D575D">
            <w:pPr>
              <w:adjustRightInd w:val="0"/>
              <w:snapToGrid w:val="0"/>
              <w:rPr>
                <w:rFonts w:ascii="宋体" w:hAnsi="宋体" w:eastAsia="宋体" w:cs="宋体"/>
                <w:color w:val="000000"/>
                <w:kern w:val="0"/>
                <w:szCs w:val="21"/>
              </w:rPr>
            </w:pPr>
            <w:r>
              <w:rPr>
                <w:rFonts w:hint="eastAsia" w:ascii="宋体" w:hAnsi="宋体" w:eastAsia="宋体" w:cs="宋体"/>
                <w:color w:val="000000"/>
                <w:kern w:val="0"/>
                <w:szCs w:val="21"/>
              </w:rPr>
              <w:t>小学道德与法治教学目标设计</w:t>
            </w:r>
          </w:p>
        </w:tc>
        <w:tc>
          <w:tcPr>
            <w:tcW w:w="3402" w:type="dxa"/>
            <w:vAlign w:val="center"/>
          </w:tcPr>
          <w:p w14:paraId="7CC3486F">
            <w:pPr>
              <w:adjustRightInd w:val="0"/>
              <w:snapToGrid w:val="0"/>
              <w:rPr>
                <w:rFonts w:ascii="宋体" w:hAnsi="宋体" w:eastAsia="宋体" w:cs="Times New Roman"/>
                <w:b/>
                <w:bCs/>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内容</w:t>
            </w:r>
            <w:r>
              <w:rPr>
                <w:rFonts w:hint="eastAsia" w:ascii="宋体" w:hAnsi="宋体" w:eastAsia="宋体" w:cs="Times New Roman"/>
                <w:b/>
                <w:bCs/>
                <w:color w:val="000000"/>
                <w:szCs w:val="21"/>
              </w:rPr>
              <w:t>：</w:t>
            </w:r>
            <w:r>
              <w:rPr>
                <w:rFonts w:hint="eastAsia" w:ascii="宋体" w:hAnsi="宋体" w:eastAsia="宋体" w:cs="Times New Roman"/>
                <w:color w:val="000000"/>
                <w:szCs w:val="21"/>
              </w:rPr>
              <w:t>对照课标，选定课例，每人设计一课时的教学目标，书写设计理由。</w:t>
            </w:r>
          </w:p>
          <w:p w14:paraId="202B295B">
            <w:pPr>
              <w:adjustRightInd w:val="0"/>
              <w:snapToGrid w:val="0"/>
              <w:rPr>
                <w:rFonts w:ascii="宋体" w:hAnsi="宋体" w:eastAsia="宋体" w:cs="Times New Roman"/>
                <w:b/>
                <w:bCs/>
                <w:color w:val="000000"/>
                <w:szCs w:val="21"/>
              </w:rPr>
            </w:pPr>
            <w:r>
              <w:rPr>
                <w:rFonts w:hint="eastAsia" w:ascii="宋体" w:hAnsi="宋体" w:eastAsia="宋体" w:cs="Times New Roman"/>
                <w:b/>
                <w:bCs/>
                <w:color w:val="000000"/>
                <w:szCs w:val="21"/>
              </w:rPr>
              <w:t>实践要求：</w:t>
            </w:r>
            <w:r>
              <w:rPr>
                <w:rFonts w:hint="eastAsia" w:ascii="宋体" w:hAnsi="宋体" w:eastAsia="宋体" w:cs="Times New Roman"/>
                <w:bCs/>
                <w:color w:val="000000"/>
                <w:szCs w:val="21"/>
              </w:rPr>
              <w:t>小组内对组员设计的教学目标进行评价，修订</w:t>
            </w:r>
            <w:r>
              <w:rPr>
                <w:rFonts w:hint="eastAsia" w:ascii="宋体" w:hAnsi="宋体" w:eastAsia="宋体" w:cs="Times New Roman"/>
                <w:color w:val="000000"/>
                <w:szCs w:val="21"/>
              </w:rPr>
              <w:t>，形成教学目标定稿。</w:t>
            </w:r>
          </w:p>
        </w:tc>
        <w:tc>
          <w:tcPr>
            <w:tcW w:w="709" w:type="dxa"/>
            <w:vAlign w:val="center"/>
          </w:tcPr>
          <w:p w14:paraId="79173B0C">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4</w:t>
            </w:r>
          </w:p>
        </w:tc>
        <w:tc>
          <w:tcPr>
            <w:tcW w:w="1276" w:type="dxa"/>
            <w:vAlign w:val="center"/>
          </w:tcPr>
          <w:p w14:paraId="001E2466">
            <w:pPr>
              <w:adjustRightInd w:val="0"/>
              <w:snapToGrid w:val="0"/>
              <w:jc w:val="center"/>
              <w:rPr>
                <w:rFonts w:ascii="宋体" w:hAnsi="宋体" w:eastAsia="宋体" w:cs="Times New Roman"/>
                <w:color w:val="000000"/>
                <w:szCs w:val="21"/>
              </w:rPr>
            </w:pPr>
            <w:r>
              <w:rPr>
                <w:rFonts w:ascii="宋体" w:hAnsi="宋体" w:eastAsia="宋体" w:cs="Times New Roman"/>
                <w:color w:val="000000"/>
                <w:szCs w:val="21"/>
              </w:rPr>
              <w:t>3-2</w:t>
            </w:r>
            <w:r>
              <w:rPr>
                <w:rFonts w:hint="eastAsia" w:ascii="宋体" w:hAnsi="宋体" w:eastAsia="宋体" w:cs="Times New Roman"/>
                <w:color w:val="000000"/>
                <w:szCs w:val="21"/>
              </w:rPr>
              <w:t>、4</w:t>
            </w:r>
            <w:r>
              <w:rPr>
                <w:rFonts w:ascii="宋体" w:hAnsi="宋体" w:eastAsia="宋体" w:cs="Times New Roman"/>
                <w:color w:val="000000"/>
                <w:szCs w:val="21"/>
              </w:rPr>
              <w:t>-1</w:t>
            </w:r>
          </w:p>
          <w:p w14:paraId="681E1663">
            <w:pPr>
              <w:adjustRightInd w:val="0"/>
              <w:snapToGrid w:val="0"/>
              <w:jc w:val="center"/>
              <w:rPr>
                <w:rFonts w:ascii="宋体" w:hAnsi="宋体" w:eastAsia="宋体" w:cs="Times New Roman"/>
                <w:bCs/>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-2</w:t>
            </w:r>
            <w:r>
              <w:rPr>
                <w:rFonts w:hint="eastAsia" w:ascii="宋体" w:hAnsi="宋体" w:eastAsia="宋体" w:cs="Times New Roman"/>
                <w:color w:val="000000"/>
                <w:szCs w:val="21"/>
              </w:rPr>
              <w:t>、5</w:t>
            </w:r>
            <w:r>
              <w:rPr>
                <w:rFonts w:ascii="宋体" w:hAnsi="宋体" w:eastAsia="宋体" w:cs="Times New Roman"/>
                <w:color w:val="000000"/>
                <w:szCs w:val="21"/>
              </w:rPr>
              <w:t>-2</w:t>
            </w:r>
          </w:p>
        </w:tc>
        <w:tc>
          <w:tcPr>
            <w:tcW w:w="995" w:type="dxa"/>
            <w:tcMar>
              <w:left w:w="28" w:type="dxa"/>
              <w:right w:w="28" w:type="dxa"/>
            </w:tcMar>
            <w:vAlign w:val="center"/>
          </w:tcPr>
          <w:p w14:paraId="2FCADCDA">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验证性</w:t>
            </w:r>
          </w:p>
        </w:tc>
        <w:tc>
          <w:tcPr>
            <w:tcW w:w="625" w:type="dxa"/>
            <w:tcMar>
              <w:left w:w="28" w:type="dxa"/>
              <w:right w:w="28" w:type="dxa"/>
            </w:tcMar>
            <w:vAlign w:val="center"/>
          </w:tcPr>
          <w:p w14:paraId="5A7B9EB8">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必做</w:t>
            </w:r>
          </w:p>
        </w:tc>
      </w:tr>
      <w:tr w14:paraId="2EBC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30" w:type="dxa"/>
            <w:vAlign w:val="center"/>
          </w:tcPr>
          <w:p w14:paraId="5342E79B">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2</w:t>
            </w:r>
          </w:p>
        </w:tc>
        <w:tc>
          <w:tcPr>
            <w:tcW w:w="1633" w:type="dxa"/>
            <w:vAlign w:val="center"/>
          </w:tcPr>
          <w:p w14:paraId="7C72444A">
            <w:pPr>
              <w:adjustRightInd w:val="0"/>
              <w:snapToGrid w:val="0"/>
              <w:rPr>
                <w:rFonts w:ascii="宋体" w:hAnsi="宋体" w:eastAsia="宋体" w:cs="宋体"/>
                <w:color w:val="000000"/>
                <w:kern w:val="0"/>
                <w:szCs w:val="21"/>
              </w:rPr>
            </w:pPr>
            <w:r>
              <w:rPr>
                <w:rFonts w:hint="eastAsia" w:ascii="宋体" w:hAnsi="宋体" w:eastAsia="宋体" w:cs="宋体"/>
                <w:color w:val="000000"/>
                <w:kern w:val="0"/>
                <w:szCs w:val="21"/>
              </w:rPr>
              <w:t>小学道德与法治教材解读</w:t>
            </w:r>
          </w:p>
        </w:tc>
        <w:tc>
          <w:tcPr>
            <w:tcW w:w="3402" w:type="dxa"/>
            <w:vAlign w:val="center"/>
          </w:tcPr>
          <w:p w14:paraId="4D662544">
            <w:pPr>
              <w:adjustRightInd w:val="0"/>
              <w:snapToGrid w:val="0"/>
              <w:rPr>
                <w:rFonts w:ascii="宋体" w:hAnsi="宋体" w:eastAsia="宋体" w:cs="Times New Roman"/>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内容</w:t>
            </w:r>
            <w:r>
              <w:rPr>
                <w:rFonts w:hint="eastAsia" w:ascii="宋体" w:hAnsi="宋体" w:eastAsia="宋体" w:cs="Times New Roman"/>
                <w:b/>
                <w:bCs/>
                <w:color w:val="000000"/>
                <w:szCs w:val="21"/>
              </w:rPr>
              <w:t>：</w:t>
            </w:r>
            <w:r>
              <w:rPr>
                <w:rFonts w:hint="eastAsia" w:ascii="宋体" w:hAnsi="宋体" w:eastAsia="宋体" w:cs="Times New Roman"/>
                <w:bCs/>
                <w:color w:val="000000"/>
                <w:szCs w:val="21"/>
              </w:rPr>
              <w:t>观看道德与法治新教材网络培训视频，</w:t>
            </w:r>
            <w:r>
              <w:rPr>
                <w:rFonts w:ascii="宋体" w:hAnsi="宋体" w:eastAsia="宋体" w:cs="Times New Roman"/>
                <w:color w:val="000000"/>
                <w:szCs w:val="21"/>
              </w:rPr>
              <w:t>小组</w:t>
            </w:r>
            <w:r>
              <w:rPr>
                <w:rFonts w:hint="eastAsia" w:ascii="宋体" w:hAnsi="宋体" w:eastAsia="宋体" w:cs="Times New Roman"/>
                <w:color w:val="000000"/>
                <w:szCs w:val="21"/>
              </w:rPr>
              <w:t>选择一个模块或单元，进行教材内容解读报告。</w:t>
            </w:r>
          </w:p>
          <w:p w14:paraId="0D88E95D">
            <w:pPr>
              <w:adjustRightInd w:val="0"/>
              <w:snapToGrid w:val="0"/>
              <w:rPr>
                <w:rFonts w:ascii="宋体" w:hAnsi="宋体" w:eastAsia="宋体" w:cs="宋体"/>
                <w:color w:val="000000"/>
                <w:kern w:val="0"/>
                <w:szCs w:val="21"/>
              </w:rPr>
            </w:pPr>
            <w:r>
              <w:rPr>
                <w:rFonts w:hint="eastAsia" w:ascii="宋体" w:hAnsi="宋体" w:eastAsia="宋体" w:cs="Times New Roman"/>
                <w:b/>
                <w:bCs/>
                <w:color w:val="000000"/>
                <w:szCs w:val="21"/>
              </w:rPr>
              <w:t>实践要求：</w:t>
            </w:r>
            <w:r>
              <w:rPr>
                <w:rFonts w:hint="eastAsia" w:ascii="宋体" w:hAnsi="宋体" w:eastAsia="宋体" w:cs="Times New Roman"/>
                <w:color w:val="000000"/>
                <w:szCs w:val="21"/>
              </w:rPr>
              <w:t>小组合作，完成教材研读报告，并汇报交流</w:t>
            </w:r>
            <w:r>
              <w:rPr>
                <w:rFonts w:ascii="宋体" w:hAnsi="宋体" w:eastAsia="宋体" w:cs="宋体"/>
                <w:color w:val="000000"/>
                <w:kern w:val="0"/>
                <w:szCs w:val="21"/>
              </w:rPr>
              <w:t>。</w:t>
            </w:r>
          </w:p>
        </w:tc>
        <w:tc>
          <w:tcPr>
            <w:tcW w:w="709" w:type="dxa"/>
            <w:vAlign w:val="center"/>
          </w:tcPr>
          <w:p w14:paraId="1D41689B">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4</w:t>
            </w:r>
          </w:p>
        </w:tc>
        <w:tc>
          <w:tcPr>
            <w:tcW w:w="1276" w:type="dxa"/>
            <w:vAlign w:val="center"/>
          </w:tcPr>
          <w:p w14:paraId="166C967C">
            <w:pPr>
              <w:adjustRightInd w:val="0"/>
              <w:snapToGrid w:val="0"/>
              <w:rPr>
                <w:rFonts w:ascii="宋体" w:hAnsi="宋体" w:eastAsia="宋体" w:cs="Times New Roman"/>
                <w:bCs/>
                <w:color w:val="000000"/>
                <w:szCs w:val="21"/>
              </w:rPr>
            </w:pPr>
            <w:r>
              <w:rPr>
                <w:rFonts w:ascii="宋体" w:hAnsi="宋体" w:eastAsia="宋体" w:cs="Times New Roman"/>
                <w:color w:val="000000"/>
                <w:szCs w:val="21"/>
              </w:rPr>
              <w:t>3-3</w:t>
            </w:r>
            <w:r>
              <w:rPr>
                <w:rFonts w:hint="eastAsia" w:ascii="宋体" w:hAnsi="宋体" w:eastAsia="宋体" w:cs="Times New Roman"/>
                <w:color w:val="000000"/>
                <w:szCs w:val="21"/>
              </w:rPr>
              <w:t>、4-1、4-2</w:t>
            </w:r>
          </w:p>
        </w:tc>
        <w:tc>
          <w:tcPr>
            <w:tcW w:w="995" w:type="dxa"/>
            <w:tcMar>
              <w:left w:w="28" w:type="dxa"/>
              <w:right w:w="28" w:type="dxa"/>
            </w:tcMar>
            <w:vAlign w:val="center"/>
          </w:tcPr>
          <w:p w14:paraId="447D5E73">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综合性</w:t>
            </w:r>
          </w:p>
        </w:tc>
        <w:tc>
          <w:tcPr>
            <w:tcW w:w="625" w:type="dxa"/>
            <w:tcMar>
              <w:left w:w="28" w:type="dxa"/>
              <w:right w:w="28" w:type="dxa"/>
            </w:tcMar>
            <w:vAlign w:val="center"/>
          </w:tcPr>
          <w:p w14:paraId="1BD756B4">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必做</w:t>
            </w:r>
          </w:p>
        </w:tc>
      </w:tr>
      <w:tr w14:paraId="2EAE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30" w:type="dxa"/>
            <w:vAlign w:val="center"/>
          </w:tcPr>
          <w:p w14:paraId="17AF751B">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3</w:t>
            </w:r>
          </w:p>
        </w:tc>
        <w:tc>
          <w:tcPr>
            <w:tcW w:w="1633" w:type="dxa"/>
            <w:vAlign w:val="center"/>
          </w:tcPr>
          <w:p w14:paraId="14AF649C">
            <w:pPr>
              <w:adjustRightInd w:val="0"/>
              <w:snapToGrid w:val="0"/>
              <w:rPr>
                <w:rFonts w:ascii="宋体" w:hAnsi="宋体" w:eastAsia="宋体" w:cs="宋体"/>
                <w:color w:val="000000"/>
                <w:kern w:val="0"/>
                <w:szCs w:val="21"/>
              </w:rPr>
            </w:pPr>
            <w:r>
              <w:rPr>
                <w:rFonts w:hint="eastAsia" w:ascii="宋体" w:hAnsi="宋体" w:eastAsia="宋体" w:cs="宋体"/>
                <w:color w:val="000000"/>
                <w:kern w:val="0"/>
                <w:szCs w:val="21"/>
              </w:rPr>
              <w:t>小学道德与法治教案设计</w:t>
            </w:r>
          </w:p>
        </w:tc>
        <w:tc>
          <w:tcPr>
            <w:tcW w:w="3402" w:type="dxa"/>
            <w:vAlign w:val="center"/>
          </w:tcPr>
          <w:p w14:paraId="17D72D33">
            <w:pPr>
              <w:adjustRightInd w:val="0"/>
              <w:snapToGrid w:val="0"/>
              <w:rPr>
                <w:rFonts w:ascii="宋体" w:hAnsi="宋体" w:eastAsia="宋体" w:cs="Times New Roman"/>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内容</w:t>
            </w:r>
            <w:r>
              <w:rPr>
                <w:rFonts w:hint="eastAsia" w:ascii="宋体" w:hAnsi="宋体" w:eastAsia="宋体" w:cs="Times New Roman"/>
                <w:b/>
                <w:bCs/>
                <w:color w:val="000000"/>
                <w:szCs w:val="21"/>
              </w:rPr>
              <w:t>：</w:t>
            </w:r>
            <w:r>
              <w:rPr>
                <w:rFonts w:hint="eastAsia" w:ascii="宋体" w:hAnsi="宋体" w:eastAsia="宋体" w:cs="宋体"/>
                <w:color w:val="000000"/>
                <w:kern w:val="0"/>
                <w:szCs w:val="21"/>
              </w:rPr>
              <w:t>观看全国优质课视频，分析教学流程与教学特色。</w:t>
            </w:r>
            <w:r>
              <w:rPr>
                <w:rFonts w:hint="eastAsia" w:ascii="宋体" w:hAnsi="宋体" w:eastAsia="宋体" w:cs="Times New Roman"/>
                <w:color w:val="000000"/>
                <w:szCs w:val="21"/>
              </w:rPr>
              <w:t>每个同学选择一课时的内容，撰写教学设计初步方案。</w:t>
            </w:r>
          </w:p>
          <w:p w14:paraId="31D15829">
            <w:pPr>
              <w:adjustRightInd w:val="0"/>
              <w:snapToGrid w:val="0"/>
              <w:rPr>
                <w:rFonts w:ascii="宋体" w:hAnsi="宋体" w:eastAsia="宋体" w:cs="宋体"/>
                <w:color w:val="000000"/>
                <w:kern w:val="0"/>
                <w:szCs w:val="21"/>
              </w:rPr>
            </w:pPr>
            <w:r>
              <w:rPr>
                <w:rFonts w:hint="eastAsia" w:ascii="宋体" w:hAnsi="宋体" w:eastAsia="宋体" w:cs="Times New Roman"/>
                <w:b/>
                <w:bCs/>
                <w:color w:val="000000"/>
                <w:szCs w:val="21"/>
              </w:rPr>
              <w:t>实践要求：</w:t>
            </w:r>
            <w:r>
              <w:rPr>
                <w:rFonts w:hint="eastAsia" w:ascii="宋体" w:hAnsi="宋体" w:eastAsia="宋体" w:cs="Times New Roman"/>
                <w:color w:val="000000"/>
                <w:szCs w:val="21"/>
              </w:rPr>
              <w:t>小组内对教案进行相互评价，总结教案书写中的共性问题，课堂交流，在此基础上，完善教案，形成教案定稿。</w:t>
            </w:r>
          </w:p>
        </w:tc>
        <w:tc>
          <w:tcPr>
            <w:tcW w:w="709" w:type="dxa"/>
            <w:vAlign w:val="center"/>
          </w:tcPr>
          <w:p w14:paraId="43A80B98">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4</w:t>
            </w:r>
          </w:p>
        </w:tc>
        <w:tc>
          <w:tcPr>
            <w:tcW w:w="1276" w:type="dxa"/>
            <w:vAlign w:val="center"/>
          </w:tcPr>
          <w:p w14:paraId="717F6B32">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4-3、8</w:t>
            </w:r>
            <w:r>
              <w:rPr>
                <w:rFonts w:ascii="宋体" w:hAnsi="宋体" w:eastAsia="宋体" w:cs="Times New Roman"/>
                <w:bCs/>
                <w:color w:val="000000"/>
                <w:szCs w:val="21"/>
              </w:rPr>
              <w:t>-1</w:t>
            </w:r>
          </w:p>
        </w:tc>
        <w:tc>
          <w:tcPr>
            <w:tcW w:w="995" w:type="dxa"/>
            <w:tcMar>
              <w:left w:w="28" w:type="dxa"/>
              <w:right w:w="28" w:type="dxa"/>
            </w:tcMar>
            <w:vAlign w:val="center"/>
          </w:tcPr>
          <w:p w14:paraId="70363C2A">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设计性</w:t>
            </w:r>
          </w:p>
        </w:tc>
        <w:tc>
          <w:tcPr>
            <w:tcW w:w="625" w:type="dxa"/>
            <w:tcMar>
              <w:left w:w="28" w:type="dxa"/>
              <w:right w:w="28" w:type="dxa"/>
            </w:tcMar>
            <w:vAlign w:val="center"/>
          </w:tcPr>
          <w:p w14:paraId="5FAE1734">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必做</w:t>
            </w:r>
          </w:p>
        </w:tc>
      </w:tr>
      <w:tr w14:paraId="7FA2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30" w:type="dxa"/>
            <w:vAlign w:val="center"/>
          </w:tcPr>
          <w:p w14:paraId="604F6D2C">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4</w:t>
            </w:r>
          </w:p>
        </w:tc>
        <w:tc>
          <w:tcPr>
            <w:tcW w:w="1633" w:type="dxa"/>
            <w:vAlign w:val="center"/>
          </w:tcPr>
          <w:p w14:paraId="7BB3E650">
            <w:pPr>
              <w:adjustRightInd w:val="0"/>
              <w:snapToGrid w:val="0"/>
              <w:rPr>
                <w:rFonts w:ascii="宋体" w:hAnsi="宋体" w:eastAsia="宋体" w:cs="宋体"/>
                <w:color w:val="000000"/>
                <w:kern w:val="0"/>
                <w:szCs w:val="21"/>
              </w:rPr>
            </w:pPr>
            <w:r>
              <w:rPr>
                <w:rFonts w:hint="eastAsia" w:ascii="宋体" w:hAnsi="宋体" w:eastAsia="宋体" w:cs="宋体"/>
                <w:color w:val="000000"/>
                <w:kern w:val="0"/>
                <w:szCs w:val="21"/>
              </w:rPr>
              <w:t>小学道德与法治课堂教学评价</w:t>
            </w:r>
          </w:p>
        </w:tc>
        <w:tc>
          <w:tcPr>
            <w:tcW w:w="3402" w:type="dxa"/>
            <w:vAlign w:val="center"/>
          </w:tcPr>
          <w:p w14:paraId="75BDFFFF">
            <w:pPr>
              <w:adjustRightInd w:val="0"/>
              <w:snapToGrid w:val="0"/>
              <w:ind w:firstLine="422" w:firstLineChars="200"/>
              <w:rPr>
                <w:rFonts w:ascii="宋体" w:hAnsi="宋体" w:eastAsia="宋体" w:cs="Times New Roman"/>
                <w:b/>
                <w:bCs/>
                <w:color w:val="000000"/>
                <w:szCs w:val="21"/>
              </w:rPr>
            </w:pPr>
            <w:r>
              <w:rPr>
                <w:rFonts w:hint="eastAsia" w:ascii="宋体" w:hAnsi="宋体" w:eastAsia="宋体" w:cs="Times New Roman"/>
                <w:b/>
                <w:bCs/>
                <w:color w:val="000000"/>
                <w:szCs w:val="21"/>
              </w:rPr>
              <w:t>实践</w:t>
            </w:r>
            <w:r>
              <w:rPr>
                <w:rFonts w:ascii="宋体" w:hAnsi="宋体" w:eastAsia="宋体" w:cs="Times New Roman"/>
                <w:b/>
                <w:bCs/>
                <w:color w:val="000000"/>
                <w:szCs w:val="21"/>
              </w:rPr>
              <w:t>内容</w:t>
            </w:r>
            <w:r>
              <w:rPr>
                <w:rFonts w:hint="eastAsia" w:ascii="宋体" w:hAnsi="宋体" w:eastAsia="宋体" w:cs="Times New Roman"/>
                <w:b/>
                <w:bCs/>
                <w:color w:val="000000"/>
                <w:szCs w:val="21"/>
              </w:rPr>
              <w:t>：</w:t>
            </w:r>
            <w:r>
              <w:rPr>
                <w:rFonts w:hint="eastAsia" w:ascii="宋体" w:hAnsi="宋体" w:eastAsia="宋体" w:cs="Times New Roman"/>
                <w:color w:val="000000"/>
                <w:szCs w:val="21"/>
              </w:rPr>
              <w:t>课堂观摩小学道德与法治课教学视频，借助所学评价理论进行教学评价。</w:t>
            </w:r>
          </w:p>
          <w:p w14:paraId="24F594F0">
            <w:pPr>
              <w:adjustRightInd w:val="0"/>
              <w:snapToGrid w:val="0"/>
              <w:ind w:firstLine="422" w:firstLineChars="200"/>
              <w:rPr>
                <w:rFonts w:ascii="宋体" w:hAnsi="宋体" w:eastAsia="宋体" w:cs="宋体"/>
                <w:color w:val="000000"/>
                <w:kern w:val="0"/>
                <w:szCs w:val="21"/>
              </w:rPr>
            </w:pPr>
            <w:r>
              <w:rPr>
                <w:rFonts w:hint="eastAsia" w:ascii="宋体" w:hAnsi="宋体" w:eastAsia="宋体" w:cs="Times New Roman"/>
                <w:b/>
                <w:bCs/>
                <w:color w:val="000000"/>
                <w:szCs w:val="21"/>
              </w:rPr>
              <w:t>实践要求：</w:t>
            </w:r>
            <w:r>
              <w:rPr>
                <w:rFonts w:hint="eastAsia" w:ascii="宋体" w:hAnsi="宋体" w:eastAsia="宋体" w:cs="Times New Roman"/>
                <w:bCs/>
                <w:color w:val="000000"/>
                <w:szCs w:val="21"/>
              </w:rPr>
              <w:t>组内合作，形成点评思路和点评内容，进行课堂交流。</w:t>
            </w:r>
          </w:p>
        </w:tc>
        <w:tc>
          <w:tcPr>
            <w:tcW w:w="709" w:type="dxa"/>
            <w:vAlign w:val="center"/>
          </w:tcPr>
          <w:p w14:paraId="21BA8C25">
            <w:pPr>
              <w:adjustRightInd w:val="0"/>
              <w:snapToGrid w:val="0"/>
              <w:jc w:val="center"/>
              <w:rPr>
                <w:rFonts w:ascii="宋体" w:hAnsi="宋体" w:eastAsia="宋体" w:cs="Times New Roman"/>
                <w:bCs/>
                <w:color w:val="000000"/>
                <w:szCs w:val="21"/>
              </w:rPr>
            </w:pPr>
            <w:r>
              <w:rPr>
                <w:rFonts w:ascii="宋体" w:hAnsi="宋体" w:eastAsia="宋体" w:cs="Times New Roman"/>
                <w:bCs/>
                <w:color w:val="000000"/>
                <w:szCs w:val="21"/>
              </w:rPr>
              <w:t>4</w:t>
            </w:r>
          </w:p>
        </w:tc>
        <w:tc>
          <w:tcPr>
            <w:tcW w:w="1276" w:type="dxa"/>
            <w:vAlign w:val="center"/>
          </w:tcPr>
          <w:p w14:paraId="5CD1F0B5">
            <w:pPr>
              <w:adjustRightInd w:val="0"/>
              <w:snapToGrid w:val="0"/>
              <w:jc w:val="center"/>
              <w:rPr>
                <w:rFonts w:ascii="宋体" w:hAnsi="宋体" w:eastAsia="宋体" w:cs="Times New Roman"/>
                <w:color w:val="000000"/>
                <w:szCs w:val="21"/>
              </w:rPr>
            </w:pPr>
            <w:r>
              <w:rPr>
                <w:rFonts w:ascii="宋体" w:hAnsi="宋体" w:eastAsia="宋体" w:cs="Times New Roman"/>
                <w:color w:val="000000"/>
                <w:szCs w:val="21"/>
              </w:rPr>
              <w:t>4-1</w:t>
            </w:r>
            <w:r>
              <w:rPr>
                <w:rFonts w:hint="eastAsia" w:ascii="宋体" w:hAnsi="宋体" w:eastAsia="宋体" w:cs="Times New Roman"/>
                <w:color w:val="000000"/>
                <w:szCs w:val="21"/>
              </w:rPr>
              <w:t>、4-2</w:t>
            </w:r>
          </w:p>
          <w:p w14:paraId="32D48959">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5-2、</w:t>
            </w:r>
            <w:r>
              <w:rPr>
                <w:rFonts w:ascii="宋体" w:hAnsi="宋体" w:eastAsia="宋体" w:cs="Times New Roman"/>
                <w:color w:val="000000"/>
                <w:szCs w:val="21"/>
              </w:rPr>
              <w:t>6-2</w:t>
            </w:r>
          </w:p>
          <w:p w14:paraId="17E18E49">
            <w:pPr>
              <w:adjustRightInd w:val="0"/>
              <w:snapToGrid w:val="0"/>
              <w:jc w:val="center"/>
              <w:rPr>
                <w:rFonts w:ascii="宋体" w:hAnsi="宋体" w:eastAsia="宋体" w:cs="Times New Roman"/>
                <w:bCs/>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-2</w:t>
            </w:r>
          </w:p>
        </w:tc>
        <w:tc>
          <w:tcPr>
            <w:tcW w:w="995" w:type="dxa"/>
            <w:tcMar>
              <w:left w:w="28" w:type="dxa"/>
              <w:right w:w="28" w:type="dxa"/>
            </w:tcMar>
            <w:vAlign w:val="center"/>
          </w:tcPr>
          <w:p w14:paraId="2AB7EB79">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综合性</w:t>
            </w:r>
          </w:p>
        </w:tc>
        <w:tc>
          <w:tcPr>
            <w:tcW w:w="625" w:type="dxa"/>
            <w:tcMar>
              <w:left w:w="28" w:type="dxa"/>
              <w:right w:w="28" w:type="dxa"/>
            </w:tcMar>
            <w:vAlign w:val="center"/>
          </w:tcPr>
          <w:p w14:paraId="4DA87EA0">
            <w:pPr>
              <w:adjustRightInd w:val="0"/>
              <w:snapToGrid w:val="0"/>
              <w:jc w:val="center"/>
              <w:rPr>
                <w:rFonts w:ascii="宋体" w:hAnsi="宋体" w:eastAsia="宋体" w:cs="Times New Roman"/>
                <w:bCs/>
                <w:color w:val="000000"/>
                <w:szCs w:val="21"/>
              </w:rPr>
            </w:pPr>
            <w:r>
              <w:rPr>
                <w:rFonts w:hint="eastAsia" w:ascii="宋体" w:hAnsi="宋体" w:eastAsia="宋体" w:cs="Times New Roman"/>
                <w:bCs/>
                <w:color w:val="000000"/>
                <w:szCs w:val="21"/>
              </w:rPr>
              <w:t>必做</w:t>
            </w:r>
          </w:p>
        </w:tc>
      </w:tr>
    </w:tbl>
    <w:p w14:paraId="7D99DBD8">
      <w:pPr>
        <w:widowControl/>
        <w:spacing w:line="360" w:lineRule="auto"/>
        <w:jc w:val="left"/>
        <w:rPr>
          <w:rFonts w:ascii="Calibri" w:hAnsi="Calibri" w:eastAsia="宋体" w:cs="Times New Roman"/>
          <w:b/>
          <w:sz w:val="28"/>
          <w:szCs w:val="28"/>
        </w:rPr>
      </w:pPr>
    </w:p>
    <w:p w14:paraId="171686E8">
      <w:pPr>
        <w:widowControl/>
        <w:spacing w:line="360" w:lineRule="auto"/>
        <w:jc w:val="left"/>
        <w:rPr>
          <w:rFonts w:ascii="Calibri" w:hAnsi="Calibri" w:eastAsia="宋体" w:cs="Times New Roman"/>
          <w:b/>
          <w:sz w:val="28"/>
          <w:szCs w:val="28"/>
        </w:rPr>
      </w:pPr>
    </w:p>
    <w:p w14:paraId="1A2B8A00">
      <w:pPr>
        <w:widowControl/>
        <w:spacing w:line="360" w:lineRule="auto"/>
        <w:jc w:val="left"/>
        <w:rPr>
          <w:rFonts w:ascii="Calibri" w:hAnsi="Calibri" w:eastAsia="宋体" w:cs="Times New Roman"/>
          <w:b/>
          <w:sz w:val="28"/>
          <w:szCs w:val="28"/>
        </w:rPr>
      </w:pPr>
      <w:r>
        <w:rPr>
          <w:rFonts w:hint="eastAsia" w:ascii="Calibri" w:hAnsi="Calibri" w:eastAsia="宋体" w:cs="Times New Roman"/>
          <w:b/>
          <w:sz w:val="28"/>
          <w:szCs w:val="28"/>
        </w:rPr>
        <w:t>五、课程实施</w:t>
      </w:r>
    </w:p>
    <w:p w14:paraId="6BFB82AD">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w:t>
      </w:r>
      <w:r>
        <w:rPr>
          <w:rFonts w:ascii="Calibri" w:hAnsi="Calibri" w:eastAsia="宋体" w:cs="Times New Roman"/>
          <w:sz w:val="24"/>
          <w:szCs w:val="24"/>
        </w:rPr>
        <w:t>课程</w:t>
      </w:r>
      <w:r>
        <w:rPr>
          <w:rFonts w:hint="eastAsia" w:ascii="Calibri" w:hAnsi="Calibri" w:eastAsia="宋体" w:cs="Times New Roman"/>
          <w:sz w:val="24"/>
          <w:szCs w:val="24"/>
        </w:rPr>
        <w:t>在展开之前，要借助多个版本的品德教材变化带给学生直观的课程感受，建立起对小学道德与法治课程的基本认识。</w:t>
      </w:r>
    </w:p>
    <w:p w14:paraId="5BBCA2C8">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（二）课程在教学中要充分搜集好的教学案例、教学视频，提供给学生多样化的、多类型的品德课堂形式，丰富学生对小学道德与法治教学的认知与感受。</w:t>
      </w:r>
    </w:p>
    <w:p w14:paraId="3422BEDA">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（三）课程要着重于引导学生分析课标、解读教材和设计教学能力的发展，注重结合具体案例，通过分步骤教学，指引学生完整地进行课堂教学设计，并形成与其它类似课程的比较。</w:t>
      </w:r>
    </w:p>
    <w:p w14:paraId="22B46E65">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（四）教师要积极采用</w:t>
      </w:r>
      <w:r>
        <w:rPr>
          <w:rFonts w:ascii="Calibri" w:hAnsi="Calibri" w:eastAsia="宋体" w:cs="Times New Roman"/>
          <w:sz w:val="24"/>
          <w:szCs w:val="24"/>
        </w:rPr>
        <w:t>平时考勤</w:t>
      </w:r>
      <w:r>
        <w:rPr>
          <w:rFonts w:hint="eastAsia" w:ascii="Calibri" w:hAnsi="Calibri" w:eastAsia="宋体" w:cs="Times New Roman"/>
          <w:sz w:val="24"/>
          <w:szCs w:val="24"/>
        </w:rPr>
        <w:t>、教案考核、课堂演示考核</w:t>
      </w:r>
      <w:r>
        <w:rPr>
          <w:rFonts w:ascii="Calibri" w:hAnsi="Calibri" w:eastAsia="宋体" w:cs="Times New Roman"/>
          <w:sz w:val="24"/>
          <w:szCs w:val="24"/>
        </w:rPr>
        <w:t>、</w:t>
      </w:r>
      <w:r>
        <w:rPr>
          <w:rFonts w:hint="eastAsia" w:ascii="Calibri" w:hAnsi="Calibri" w:eastAsia="宋体" w:cs="Times New Roman"/>
          <w:sz w:val="24"/>
          <w:szCs w:val="24"/>
        </w:rPr>
        <w:t>期末综合</w:t>
      </w:r>
      <w:r>
        <w:rPr>
          <w:rFonts w:ascii="Calibri" w:hAnsi="Calibri" w:eastAsia="宋体" w:cs="Times New Roman"/>
          <w:sz w:val="24"/>
          <w:szCs w:val="24"/>
        </w:rPr>
        <w:t>考核等多种形式相结合</w:t>
      </w:r>
      <w:r>
        <w:rPr>
          <w:rFonts w:hint="eastAsia" w:ascii="Calibri" w:hAnsi="Calibri" w:eastAsia="宋体" w:cs="Times New Roman"/>
          <w:sz w:val="24"/>
          <w:szCs w:val="24"/>
        </w:rPr>
        <w:t>的</w:t>
      </w:r>
      <w:r>
        <w:rPr>
          <w:rFonts w:ascii="Calibri" w:hAnsi="Calibri" w:eastAsia="宋体" w:cs="Times New Roman"/>
          <w:sz w:val="24"/>
          <w:szCs w:val="24"/>
        </w:rPr>
        <w:t>考核方法，引导学生</w:t>
      </w:r>
      <w:r>
        <w:rPr>
          <w:rFonts w:hint="eastAsia" w:ascii="Calibri" w:hAnsi="Calibri" w:eastAsia="宋体" w:cs="Times New Roman"/>
          <w:sz w:val="24"/>
          <w:szCs w:val="24"/>
        </w:rPr>
        <w:t>按时、保质保量地</w:t>
      </w:r>
      <w:r>
        <w:rPr>
          <w:rFonts w:ascii="Calibri" w:hAnsi="Calibri" w:eastAsia="宋体" w:cs="Times New Roman"/>
          <w:sz w:val="24"/>
          <w:szCs w:val="24"/>
        </w:rPr>
        <w:t>完成</w:t>
      </w:r>
      <w:r>
        <w:rPr>
          <w:rFonts w:hint="eastAsia" w:ascii="Calibri" w:hAnsi="Calibri" w:eastAsia="宋体" w:cs="Times New Roman"/>
          <w:sz w:val="24"/>
          <w:szCs w:val="24"/>
        </w:rPr>
        <w:t>本</w:t>
      </w:r>
      <w:r>
        <w:rPr>
          <w:rFonts w:ascii="Calibri" w:hAnsi="Calibri" w:eastAsia="宋体" w:cs="Times New Roman"/>
          <w:sz w:val="24"/>
          <w:szCs w:val="24"/>
        </w:rPr>
        <w:t>课程</w:t>
      </w:r>
      <w:r>
        <w:rPr>
          <w:rFonts w:hint="eastAsia" w:ascii="Calibri" w:hAnsi="Calibri" w:eastAsia="宋体" w:cs="Times New Roman"/>
          <w:sz w:val="24"/>
          <w:szCs w:val="24"/>
        </w:rPr>
        <w:t>学习</w:t>
      </w:r>
      <w:r>
        <w:rPr>
          <w:rFonts w:ascii="Calibri" w:hAnsi="Calibri" w:eastAsia="宋体" w:cs="Times New Roman"/>
          <w:sz w:val="24"/>
          <w:szCs w:val="24"/>
        </w:rPr>
        <w:t>任务。</w:t>
      </w:r>
    </w:p>
    <w:p w14:paraId="6A448465">
      <w:pPr>
        <w:spacing w:line="360" w:lineRule="auto"/>
        <w:ind w:firstLine="482" w:firstLineChars="200"/>
        <w:rPr>
          <w:rFonts w:ascii="Calibri" w:hAnsi="Calibri" w:eastAsia="宋体" w:cs="Times New Roman"/>
          <w:b/>
          <w:sz w:val="24"/>
          <w:szCs w:val="24"/>
        </w:rPr>
      </w:pPr>
      <w:r>
        <w:rPr>
          <w:rFonts w:ascii="Calibri" w:hAnsi="Calibri" w:eastAsia="宋体" w:cs="Times New Roman"/>
          <w:b/>
          <w:bCs/>
          <w:sz w:val="24"/>
          <w:szCs w:val="24"/>
        </w:rPr>
        <w:t>主要</w:t>
      </w:r>
      <w:r>
        <w:rPr>
          <w:rFonts w:hint="eastAsia" w:ascii="Calibri" w:hAnsi="Calibri" w:eastAsia="宋体" w:cs="Times New Roman"/>
          <w:b/>
          <w:bCs/>
          <w:sz w:val="24"/>
          <w:szCs w:val="24"/>
        </w:rPr>
        <w:t>教学</w:t>
      </w:r>
      <w:r>
        <w:rPr>
          <w:rFonts w:ascii="Calibri" w:hAnsi="Calibri" w:eastAsia="宋体" w:cs="Times New Roman"/>
          <w:b/>
          <w:bCs/>
          <w:sz w:val="24"/>
          <w:szCs w:val="24"/>
        </w:rPr>
        <w:t>环节</w:t>
      </w:r>
      <w:r>
        <w:rPr>
          <w:rFonts w:hint="eastAsia" w:ascii="Calibri" w:hAnsi="Calibri" w:eastAsia="宋体" w:cs="Times New Roman"/>
          <w:b/>
          <w:bCs/>
          <w:sz w:val="24"/>
          <w:szCs w:val="24"/>
        </w:rPr>
        <w:t>的</w:t>
      </w:r>
      <w:r>
        <w:rPr>
          <w:rFonts w:ascii="Calibri" w:hAnsi="Calibri" w:eastAsia="宋体" w:cs="Times New Roman"/>
          <w:b/>
          <w:bCs/>
          <w:sz w:val="24"/>
          <w:szCs w:val="24"/>
        </w:rPr>
        <w:t>质量要求</w:t>
      </w:r>
      <w:r>
        <w:rPr>
          <w:rFonts w:hint="eastAsia" w:ascii="Calibri" w:hAnsi="Calibri" w:eastAsia="宋体" w:cs="Times New Roman"/>
          <w:b/>
          <w:bCs/>
          <w:sz w:val="24"/>
          <w:szCs w:val="24"/>
        </w:rPr>
        <w:t>如表所示：</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053F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28E66EDB">
            <w:pPr>
              <w:spacing w:line="276" w:lineRule="auto"/>
              <w:jc w:val="center"/>
              <w:rPr>
                <w:rFonts w:ascii="宋体" w:hAnsi="宋体" w:eastAsia="宋体" w:cs="Times New Roman"/>
                <w:b/>
                <w:color w:val="000000"/>
                <w:szCs w:val="21"/>
              </w:rPr>
            </w:pPr>
            <w:r>
              <w:rPr>
                <w:rFonts w:ascii="宋体" w:hAnsi="宋体" w:eastAsia="宋体" w:cs="Times New Roman"/>
                <w:b/>
                <w:bCs/>
                <w:color w:val="000000"/>
                <w:szCs w:val="21"/>
              </w:rPr>
              <w:t>主要教学环节</w:t>
            </w:r>
          </w:p>
        </w:tc>
        <w:tc>
          <w:tcPr>
            <w:tcW w:w="7525" w:type="dxa"/>
            <w:tcBorders>
              <w:top w:val="single" w:color="auto" w:sz="8" w:space="0"/>
              <w:left w:val="single" w:color="auto" w:sz="8" w:space="0"/>
              <w:right w:val="single" w:color="auto" w:sz="8" w:space="0"/>
            </w:tcBorders>
            <w:vAlign w:val="center"/>
          </w:tcPr>
          <w:p w14:paraId="1FC77C11">
            <w:pPr>
              <w:spacing w:line="276" w:lineRule="auto"/>
              <w:jc w:val="center"/>
              <w:rPr>
                <w:rFonts w:ascii="宋体" w:hAnsi="宋体" w:eastAsia="宋体" w:cs="Times New Roman"/>
                <w:b/>
                <w:color w:val="000000"/>
                <w:szCs w:val="21"/>
              </w:rPr>
            </w:pPr>
            <w:r>
              <w:rPr>
                <w:rFonts w:ascii="宋体" w:hAnsi="宋体" w:eastAsia="宋体" w:cs="Times New Roman"/>
                <w:b/>
                <w:bCs/>
                <w:color w:val="000000"/>
                <w:szCs w:val="21"/>
              </w:rPr>
              <w:t>质量</w:t>
            </w:r>
            <w:r>
              <w:rPr>
                <w:rFonts w:hint="eastAsia" w:ascii="宋体" w:hAnsi="宋体" w:eastAsia="宋体" w:cs="Times New Roman"/>
                <w:b/>
                <w:bCs/>
                <w:color w:val="000000"/>
                <w:szCs w:val="21"/>
              </w:rPr>
              <w:t>要求</w:t>
            </w:r>
          </w:p>
        </w:tc>
      </w:tr>
      <w:tr w14:paraId="7245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82" w:type="dxa"/>
            <w:tcBorders>
              <w:left w:val="single" w:color="auto" w:sz="8" w:space="0"/>
            </w:tcBorders>
            <w:vAlign w:val="center"/>
          </w:tcPr>
          <w:p w14:paraId="7ACF49E7">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1</w:t>
            </w:r>
          </w:p>
        </w:tc>
        <w:tc>
          <w:tcPr>
            <w:tcW w:w="993" w:type="dxa"/>
            <w:tcMar>
              <w:left w:w="28" w:type="dxa"/>
              <w:right w:w="28" w:type="dxa"/>
            </w:tcMar>
            <w:vAlign w:val="center"/>
          </w:tcPr>
          <w:p w14:paraId="42663BC4">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备课</w:t>
            </w:r>
          </w:p>
        </w:tc>
        <w:tc>
          <w:tcPr>
            <w:tcW w:w="7525" w:type="dxa"/>
            <w:tcBorders>
              <w:right w:val="single" w:color="auto" w:sz="8" w:space="0"/>
            </w:tcBorders>
            <w:vAlign w:val="center"/>
          </w:tcPr>
          <w:p w14:paraId="0FF48143">
            <w:pPr>
              <w:spacing w:line="276" w:lineRule="auto"/>
              <w:rPr>
                <w:rFonts w:ascii="宋体" w:hAnsi="宋体" w:eastAsia="宋体" w:cs="Times New Roman"/>
                <w:color w:val="000000"/>
                <w:szCs w:val="21"/>
              </w:rPr>
            </w:pPr>
            <w:r>
              <w:rPr>
                <w:rFonts w:ascii="宋体" w:hAnsi="宋体" w:eastAsia="宋体" w:cs="Times New Roman"/>
                <w:color w:val="000000"/>
                <w:szCs w:val="21"/>
              </w:rPr>
              <w:t>（1）掌握课程教学大纲内容，严格按照教学大纲要求进行课程教学内容的组织。</w:t>
            </w:r>
          </w:p>
          <w:p w14:paraId="519C6B1B">
            <w:pPr>
              <w:spacing w:line="276" w:lineRule="auto"/>
              <w:rPr>
                <w:rFonts w:ascii="宋体" w:hAnsi="宋体" w:eastAsia="宋体" w:cs="Times New Roman"/>
                <w:color w:val="000000"/>
                <w:szCs w:val="21"/>
              </w:rPr>
            </w:pPr>
            <w:r>
              <w:rPr>
                <w:rFonts w:ascii="宋体" w:hAnsi="宋体" w:eastAsia="宋体" w:cs="Times New Roman"/>
                <w:color w:val="000000"/>
                <w:szCs w:val="21"/>
              </w:rPr>
              <w:t>（2）悉心了解学生的现有水平和最新发展区水平，深透钻研教材内容，广泛阅读相关文献资料，精心选择教学方法、组织形式</w:t>
            </w:r>
            <w:r>
              <w:rPr>
                <w:rFonts w:hint="eastAsia" w:ascii="宋体" w:hAnsi="宋体" w:eastAsia="宋体" w:cs="Times New Roman"/>
                <w:color w:val="000000"/>
                <w:szCs w:val="21"/>
              </w:rPr>
              <w:t>和教学手段，认真</w:t>
            </w:r>
            <w:r>
              <w:rPr>
                <w:rFonts w:ascii="宋体" w:hAnsi="宋体" w:eastAsia="宋体" w:cs="Times New Roman"/>
                <w:color w:val="000000"/>
                <w:szCs w:val="21"/>
              </w:rPr>
              <w:t>编写授课计划。</w:t>
            </w:r>
          </w:p>
        </w:tc>
      </w:tr>
      <w:tr w14:paraId="33FE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82" w:type="dxa"/>
            <w:tcBorders>
              <w:left w:val="single" w:color="auto" w:sz="8" w:space="0"/>
            </w:tcBorders>
            <w:vAlign w:val="center"/>
          </w:tcPr>
          <w:p w14:paraId="0FC11E40">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2</w:t>
            </w:r>
          </w:p>
        </w:tc>
        <w:tc>
          <w:tcPr>
            <w:tcW w:w="993" w:type="dxa"/>
            <w:tcMar>
              <w:left w:w="28" w:type="dxa"/>
              <w:right w:w="28" w:type="dxa"/>
            </w:tcMar>
            <w:vAlign w:val="center"/>
          </w:tcPr>
          <w:p w14:paraId="61E9FE81">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讲授</w:t>
            </w:r>
          </w:p>
        </w:tc>
        <w:tc>
          <w:tcPr>
            <w:tcW w:w="7525" w:type="dxa"/>
            <w:tcBorders>
              <w:right w:val="single" w:color="auto" w:sz="8" w:space="0"/>
            </w:tcBorders>
            <w:vAlign w:val="center"/>
          </w:tcPr>
          <w:p w14:paraId="27CB2E2F">
            <w:pPr>
              <w:spacing w:line="276" w:lineRule="auto"/>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4"/>
              </w:rPr>
              <w:t>教学准备充分，熟悉教学内容；</w:t>
            </w:r>
          </w:p>
          <w:p w14:paraId="3F0E0676">
            <w:pPr>
              <w:spacing w:line="276" w:lineRule="auto"/>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4"/>
              </w:rPr>
              <w:t>教学内容充实，不断充实最新研究成果；</w:t>
            </w:r>
          </w:p>
          <w:p w14:paraId="6276880B">
            <w:pPr>
              <w:spacing w:line="276" w:lineRule="auto"/>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4"/>
              </w:rPr>
              <w:t>注重启发学生思维，培养学生的教学能力；</w:t>
            </w:r>
          </w:p>
          <w:p w14:paraId="751E2F15">
            <w:pPr>
              <w:spacing w:line="276" w:lineRule="auto"/>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4"/>
              </w:rPr>
              <w:t>教学条理清楚，教学思路逻辑严密；</w:t>
            </w:r>
          </w:p>
          <w:p w14:paraId="52994EEB">
            <w:pPr>
              <w:spacing w:line="276" w:lineRule="auto"/>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4"/>
              </w:rPr>
              <w:t>充分运用现代化教学手段，教学技术熟练；</w:t>
            </w:r>
          </w:p>
          <w:p w14:paraId="57388951">
            <w:pPr>
              <w:spacing w:line="276" w:lineRule="auto"/>
              <w:rPr>
                <w:rFonts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4"/>
              </w:rPr>
              <w:t>课堂教学要重点突出，难点突破；</w:t>
            </w:r>
          </w:p>
          <w:p w14:paraId="40F0B680">
            <w:pPr>
              <w:spacing w:line="276" w:lineRule="auto"/>
              <w:rPr>
                <w:rFonts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4"/>
              </w:rPr>
              <w:t>注重师生互动，形成良好的课堂氛围。</w:t>
            </w:r>
          </w:p>
        </w:tc>
      </w:tr>
      <w:tr w14:paraId="2C2F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582" w:type="dxa"/>
            <w:tcBorders>
              <w:left w:val="single" w:color="auto" w:sz="8" w:space="0"/>
            </w:tcBorders>
            <w:vAlign w:val="center"/>
          </w:tcPr>
          <w:p w14:paraId="32413EDF">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3</w:t>
            </w:r>
          </w:p>
        </w:tc>
        <w:tc>
          <w:tcPr>
            <w:tcW w:w="993" w:type="dxa"/>
            <w:tcMar>
              <w:left w:w="28" w:type="dxa"/>
              <w:right w:w="28" w:type="dxa"/>
            </w:tcMar>
            <w:vAlign w:val="center"/>
          </w:tcPr>
          <w:p w14:paraId="131EB953">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作业布置与批改</w:t>
            </w:r>
          </w:p>
        </w:tc>
        <w:tc>
          <w:tcPr>
            <w:tcW w:w="7525" w:type="dxa"/>
            <w:tcBorders>
              <w:right w:val="single" w:color="auto" w:sz="8" w:space="0"/>
            </w:tcBorders>
            <w:vAlign w:val="center"/>
          </w:tcPr>
          <w:p w14:paraId="312297F4">
            <w:pPr>
              <w:spacing w:line="276" w:lineRule="auto"/>
              <w:rPr>
                <w:rFonts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w:t>
            </w:r>
            <w:r>
              <w:rPr>
                <w:rFonts w:hint="eastAsia" w:ascii="宋体" w:hAnsi="宋体" w:eastAsia="宋体" w:cs="Times New Roman"/>
                <w:color w:val="000000"/>
                <w:szCs w:val="21"/>
              </w:rPr>
              <w:t>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ascii="宋体" w:hAnsi="宋体" w:eastAsia="宋体" w:cs="Times New Roman"/>
                <w:color w:val="000000"/>
                <w:szCs w:val="21"/>
              </w:rPr>
              <w:t>教学设计方案格式规范、清晰</w:t>
            </w:r>
            <w:r>
              <w:rPr>
                <w:rFonts w:hint="eastAsia" w:ascii="宋体" w:hAnsi="宋体" w:eastAsia="宋体" w:cs="Times New Roman"/>
                <w:color w:val="000000"/>
                <w:szCs w:val="21"/>
              </w:rPr>
              <w:t>。</w:t>
            </w:r>
          </w:p>
          <w:p w14:paraId="2E8AF37D">
            <w:pPr>
              <w:spacing w:line="276" w:lineRule="auto"/>
              <w:rPr>
                <w:rFonts w:ascii="宋体" w:hAnsi="宋体" w:eastAsia="宋体" w:cs="Times New Roman"/>
                <w:color w:val="000000"/>
                <w:szCs w:val="21"/>
              </w:rPr>
            </w:pPr>
            <w:r>
              <w:rPr>
                <w:rFonts w:ascii="宋体" w:hAnsi="宋体" w:eastAsia="宋体" w:cs="Times New Roman"/>
                <w:color w:val="000000"/>
                <w:szCs w:val="21"/>
              </w:rPr>
              <w:t>教师</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w:t>
            </w:r>
            <w:r>
              <w:rPr>
                <w:rFonts w:hint="eastAsia" w:ascii="宋体" w:hAnsi="宋体" w:eastAsia="宋体" w:cs="Times New Roman"/>
                <w:color w:val="000000"/>
                <w:szCs w:val="21"/>
              </w:rPr>
              <w:t>作业</w:t>
            </w:r>
            <w:r>
              <w:rPr>
                <w:rFonts w:ascii="宋体" w:hAnsi="宋体" w:eastAsia="宋体" w:cs="Times New Roman"/>
                <w:color w:val="000000"/>
                <w:szCs w:val="21"/>
              </w:rPr>
              <w:t>，并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tc>
      </w:tr>
      <w:tr w14:paraId="52AC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vAlign w:val="center"/>
          </w:tcPr>
          <w:p w14:paraId="7D614D44">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4</w:t>
            </w:r>
          </w:p>
        </w:tc>
        <w:tc>
          <w:tcPr>
            <w:tcW w:w="993" w:type="dxa"/>
            <w:tcMar>
              <w:left w:w="28" w:type="dxa"/>
              <w:right w:w="28" w:type="dxa"/>
            </w:tcMar>
            <w:vAlign w:val="center"/>
          </w:tcPr>
          <w:p w14:paraId="50B164B9">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课外答疑</w:t>
            </w:r>
          </w:p>
        </w:tc>
        <w:tc>
          <w:tcPr>
            <w:tcW w:w="7525" w:type="dxa"/>
            <w:tcBorders>
              <w:right w:val="single" w:color="auto" w:sz="8" w:space="0"/>
            </w:tcBorders>
            <w:vAlign w:val="center"/>
          </w:tcPr>
          <w:p w14:paraId="215285D7">
            <w:pPr>
              <w:spacing w:line="276" w:lineRule="auto"/>
              <w:rPr>
                <w:rFonts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理解和消化所学知识、改进学习方法和思维方式，培养其独立的教学设计能力、教学组织指导能力、教学反思与评价能力，任课教师</w:t>
            </w:r>
            <w:r>
              <w:rPr>
                <w:rFonts w:hint="eastAsia" w:ascii="宋体" w:hAnsi="宋体" w:eastAsia="宋体" w:cs="Times New Roman"/>
                <w:color w:val="000000"/>
                <w:szCs w:val="21"/>
              </w:rPr>
              <w:t>需</w:t>
            </w:r>
            <w:r>
              <w:rPr>
                <w:rFonts w:ascii="宋体" w:hAnsi="宋体" w:eastAsia="宋体" w:cs="Times New Roman"/>
                <w:color w:val="000000"/>
                <w:szCs w:val="21"/>
              </w:rPr>
              <w:t>每周安排</w:t>
            </w:r>
            <w:r>
              <w:rPr>
                <w:rFonts w:hint="eastAsia" w:ascii="宋体" w:hAnsi="宋体" w:eastAsia="宋体" w:cs="Times New Roman"/>
                <w:color w:val="000000"/>
                <w:szCs w:val="21"/>
              </w:rPr>
              <w:t>一定</w:t>
            </w:r>
            <w:r>
              <w:rPr>
                <w:rFonts w:ascii="宋体" w:hAnsi="宋体" w:eastAsia="宋体" w:cs="Times New Roman"/>
                <w:color w:val="000000"/>
                <w:szCs w:val="21"/>
              </w:rPr>
              <w:t>时间进行课外答疑与辅导。</w:t>
            </w:r>
          </w:p>
        </w:tc>
      </w:tr>
      <w:tr w14:paraId="1023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82" w:type="dxa"/>
            <w:tcBorders>
              <w:left w:val="single" w:color="auto" w:sz="8" w:space="0"/>
            </w:tcBorders>
            <w:vAlign w:val="center"/>
          </w:tcPr>
          <w:p w14:paraId="18000EB5">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5</w:t>
            </w:r>
          </w:p>
        </w:tc>
        <w:tc>
          <w:tcPr>
            <w:tcW w:w="993" w:type="dxa"/>
            <w:tcMar>
              <w:left w:w="28" w:type="dxa"/>
              <w:right w:w="28" w:type="dxa"/>
            </w:tcMar>
            <w:vAlign w:val="center"/>
          </w:tcPr>
          <w:p w14:paraId="7A0C8B62">
            <w:pPr>
              <w:spacing w:line="276" w:lineRule="auto"/>
              <w:jc w:val="center"/>
              <w:rPr>
                <w:rFonts w:ascii="宋体" w:hAnsi="宋体" w:eastAsia="宋体" w:cs="Times New Roman"/>
                <w:color w:val="000000"/>
                <w:szCs w:val="21"/>
              </w:rPr>
            </w:pPr>
            <w:r>
              <w:rPr>
                <w:rFonts w:ascii="宋体" w:hAnsi="宋体" w:eastAsia="宋体" w:cs="Times New Roman"/>
                <w:color w:val="000000"/>
                <w:szCs w:val="21"/>
              </w:rPr>
              <w:t>成绩考核</w:t>
            </w:r>
          </w:p>
        </w:tc>
        <w:tc>
          <w:tcPr>
            <w:tcW w:w="7525" w:type="dxa"/>
            <w:tcBorders>
              <w:right w:val="single" w:color="auto" w:sz="8" w:space="0"/>
            </w:tcBorders>
            <w:vAlign w:val="center"/>
          </w:tcPr>
          <w:p w14:paraId="20CB65E6">
            <w:pPr>
              <w:spacing w:line="276" w:lineRule="auto"/>
              <w:rPr>
                <w:rFonts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w:t>
            </w:r>
            <w:r>
              <w:rPr>
                <w:rFonts w:hint="eastAsia" w:ascii="宋体" w:hAnsi="宋体" w:eastAsia="宋体" w:cs="Times New Roman"/>
                <w:color w:val="000000"/>
                <w:szCs w:val="21"/>
              </w:rPr>
              <w:t>由任课教师组织安排。</w:t>
            </w:r>
            <w:r>
              <w:rPr>
                <w:rFonts w:ascii="宋体" w:hAnsi="宋体" w:eastAsia="宋体" w:cs="Times New Roman"/>
                <w:color w:val="000000"/>
                <w:szCs w:val="21"/>
              </w:rPr>
              <w:t>有下列情况之一者，总评成绩为不及格：</w:t>
            </w:r>
          </w:p>
          <w:p w14:paraId="648BF5CA">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缺交作业次数达1/3以上者</w:t>
            </w:r>
            <w:r>
              <w:rPr>
                <w:rFonts w:hint="eastAsia" w:ascii="宋体" w:hAnsi="宋体" w:eastAsia="宋体" w:cs="Times New Roman"/>
                <w:color w:val="000000"/>
                <w:szCs w:val="21"/>
              </w:rPr>
              <w:t>。</w:t>
            </w:r>
          </w:p>
          <w:p w14:paraId="4D1CDE58">
            <w:pPr>
              <w:spacing w:line="276" w:lineRule="auto"/>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缺课次数达本学期总授课学时的1/3以上者</w:t>
            </w:r>
            <w:r>
              <w:rPr>
                <w:rFonts w:hint="eastAsia" w:ascii="宋体" w:hAnsi="宋体" w:eastAsia="宋体" w:cs="Times New Roman"/>
                <w:color w:val="000000"/>
                <w:szCs w:val="21"/>
              </w:rPr>
              <w:t>。</w:t>
            </w:r>
          </w:p>
        </w:tc>
      </w:tr>
    </w:tbl>
    <w:p w14:paraId="6EFFA7A4">
      <w:pPr>
        <w:rPr>
          <w:rFonts w:ascii="宋体" w:hAnsi="宋体" w:eastAsia="宋体" w:cs="宋体"/>
          <w:bCs/>
          <w:szCs w:val="21"/>
        </w:rPr>
      </w:pPr>
    </w:p>
    <w:p w14:paraId="7FB59B66">
      <w:pPr>
        <w:rPr>
          <w:rFonts w:ascii="宋体" w:hAnsi="宋体" w:eastAsia="宋体" w:cs="宋体"/>
          <w:bCs/>
          <w:szCs w:val="21"/>
        </w:rPr>
      </w:pPr>
    </w:p>
    <w:p w14:paraId="2E851C38">
      <w:pPr>
        <w:rPr>
          <w:rFonts w:ascii="宋体" w:hAnsi="宋体" w:eastAsia="宋体" w:cs="宋体"/>
          <w:bCs/>
          <w:szCs w:val="21"/>
        </w:rPr>
      </w:pPr>
    </w:p>
    <w:p w14:paraId="49C3851C">
      <w:pPr>
        <w:spacing w:line="360" w:lineRule="auto"/>
        <w:rPr>
          <w:rFonts w:ascii="Calibri" w:hAnsi="Calibri" w:eastAsia="宋体" w:cs="Times New Roman"/>
          <w:b/>
          <w:sz w:val="28"/>
          <w:szCs w:val="28"/>
        </w:rPr>
      </w:pPr>
      <w:r>
        <w:rPr>
          <w:rFonts w:hint="eastAsia" w:ascii="Calibri" w:hAnsi="Calibri" w:eastAsia="宋体" w:cs="Times New Roman"/>
          <w:b/>
          <w:sz w:val="28"/>
          <w:szCs w:val="28"/>
        </w:rPr>
        <w:t>六、课程考核</w:t>
      </w:r>
    </w:p>
    <w:p w14:paraId="716BAFD6">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（一）</w:t>
      </w:r>
      <w:r>
        <w:rPr>
          <w:rFonts w:ascii="Calibri" w:hAnsi="Calibri" w:eastAsia="宋体" w:cs="Times New Roman"/>
          <w:sz w:val="24"/>
          <w:szCs w:val="24"/>
        </w:rPr>
        <w:t>课程考核包括期末考试、平时</w:t>
      </w:r>
      <w:r>
        <w:rPr>
          <w:rFonts w:hint="eastAsia" w:ascii="Calibri" w:hAnsi="Calibri" w:eastAsia="宋体" w:cs="Times New Roman"/>
          <w:sz w:val="24"/>
          <w:szCs w:val="24"/>
        </w:rPr>
        <w:t>及作业考核、实践</w:t>
      </w:r>
      <w:r>
        <w:rPr>
          <w:rFonts w:ascii="Calibri" w:hAnsi="Calibri" w:eastAsia="宋体" w:cs="Times New Roman"/>
          <w:sz w:val="24"/>
          <w:szCs w:val="24"/>
        </w:rPr>
        <w:t>考核，期末考试采用</w:t>
      </w:r>
      <w:r>
        <w:rPr>
          <w:rFonts w:hint="eastAsia" w:ascii="Calibri" w:hAnsi="Calibri" w:eastAsia="宋体" w:cs="Times New Roman"/>
          <w:sz w:val="24"/>
          <w:szCs w:val="24"/>
        </w:rPr>
        <w:t>开</w:t>
      </w:r>
      <w:r>
        <w:rPr>
          <w:rFonts w:ascii="Calibri" w:hAnsi="Calibri" w:eastAsia="宋体" w:cs="Times New Roman"/>
          <w:sz w:val="24"/>
          <w:szCs w:val="24"/>
        </w:rPr>
        <w:t>卷笔试</w:t>
      </w:r>
      <w:r>
        <w:rPr>
          <w:rFonts w:hint="eastAsia" w:ascii="Calibri" w:hAnsi="Calibri" w:eastAsia="宋体" w:cs="Times New Roman"/>
          <w:sz w:val="24"/>
          <w:szCs w:val="24"/>
        </w:rPr>
        <w:t>方式</w:t>
      </w:r>
      <w:r>
        <w:rPr>
          <w:rFonts w:ascii="Calibri" w:hAnsi="Calibri" w:eastAsia="宋体" w:cs="Times New Roman"/>
          <w:sz w:val="24"/>
          <w:szCs w:val="24"/>
        </w:rPr>
        <w:t>。</w:t>
      </w:r>
    </w:p>
    <w:p w14:paraId="76BB8464">
      <w:pPr>
        <w:spacing w:line="360" w:lineRule="auto"/>
        <w:ind w:firstLine="480" w:firstLineChars="200"/>
        <w:rPr>
          <w:rFonts w:ascii="宋体" w:hAnsi="宋体" w:eastAsia="宋体" w:cs="Times New Roman"/>
          <w:sz w:val="24"/>
          <w:szCs w:val="24"/>
        </w:rPr>
      </w:pPr>
      <w:r>
        <w:rPr>
          <w:rFonts w:hint="eastAsia" w:ascii="Calibri" w:hAnsi="Calibri" w:eastAsia="宋体" w:cs="Times New Roman"/>
          <w:sz w:val="24"/>
          <w:szCs w:val="24"/>
        </w:rPr>
        <w:t>（二）</w:t>
      </w:r>
      <w:r>
        <w:rPr>
          <w:rFonts w:ascii="Calibri" w:hAnsi="Calibri" w:eastAsia="宋体" w:cs="Times New Roman"/>
          <w:sz w:val="24"/>
          <w:szCs w:val="24"/>
        </w:rPr>
        <w:t>课程成绩=平时成绩</w:t>
      </w:r>
      <w:r>
        <w:rPr>
          <w:rFonts w:ascii="宋体" w:hAnsi="宋体" w:eastAsia="宋体" w:cs="Times New Roman"/>
          <w:sz w:val="24"/>
          <w:szCs w:val="24"/>
        </w:rPr>
        <w:t>×</w:t>
      </w:r>
      <w:r>
        <w:rPr>
          <w:rFonts w:hint="eastAsia" w:ascii="宋体" w:hAnsi="宋体" w:eastAsia="宋体" w:cs="Times New Roman"/>
          <w:sz w:val="24"/>
          <w:szCs w:val="24"/>
        </w:rPr>
        <w:t>2</w:t>
      </w:r>
      <w:r>
        <w:rPr>
          <w:rFonts w:ascii="宋体" w:hAnsi="宋体" w:eastAsia="宋体" w:cs="Times New Roman"/>
          <w:sz w:val="24"/>
          <w:szCs w:val="24"/>
        </w:rPr>
        <w:t>0%+</w:t>
      </w:r>
      <w:r>
        <w:rPr>
          <w:rFonts w:hint="eastAsia" w:ascii="宋体" w:hAnsi="宋体" w:eastAsia="宋体" w:cs="Times New Roman"/>
          <w:sz w:val="24"/>
          <w:szCs w:val="24"/>
        </w:rPr>
        <w:t>实践成绩</w:t>
      </w:r>
      <w:r>
        <w:rPr>
          <w:rFonts w:ascii="宋体" w:hAnsi="宋体" w:eastAsia="宋体" w:cs="Times New Roman"/>
          <w:sz w:val="24"/>
          <w:szCs w:val="24"/>
        </w:rPr>
        <w:t>×</w:t>
      </w:r>
      <w:r>
        <w:rPr>
          <w:rFonts w:hint="eastAsia" w:ascii="宋体" w:hAnsi="宋体" w:eastAsia="宋体" w:cs="Times New Roman"/>
          <w:sz w:val="24"/>
          <w:szCs w:val="24"/>
        </w:rPr>
        <w:t>2</w:t>
      </w:r>
      <w:r>
        <w:rPr>
          <w:rFonts w:ascii="宋体" w:hAnsi="宋体" w:eastAsia="宋体" w:cs="Times New Roman"/>
          <w:sz w:val="24"/>
          <w:szCs w:val="24"/>
        </w:rPr>
        <w:t>0%+期末考试成绩×60%。</w:t>
      </w:r>
    </w:p>
    <w:p w14:paraId="70E3DD1C">
      <w:pPr>
        <w:spacing w:line="360" w:lineRule="auto"/>
        <w:ind w:firstLine="482" w:firstLineChars="200"/>
        <w:rPr>
          <w:rFonts w:ascii="宋体" w:hAnsi="宋体" w:eastAsia="宋体" w:cs="Times New Roman"/>
          <w:sz w:val="24"/>
          <w:szCs w:val="24"/>
        </w:rPr>
      </w:pPr>
      <w:r>
        <w:rPr>
          <w:rFonts w:hint="eastAsia" w:ascii="宋体" w:hAnsi="宋体" w:eastAsia="宋体" w:cs="Times New Roman"/>
          <w:b/>
          <w:sz w:val="24"/>
          <w:szCs w:val="24"/>
        </w:rPr>
        <w:t>具体内容和比例如下表所示</w:t>
      </w:r>
      <w:r>
        <w:rPr>
          <w:rFonts w:hint="eastAsia" w:ascii="宋体" w:hAnsi="宋体" w:eastAsia="宋体" w:cs="Times New Roman"/>
          <w:sz w:val="24"/>
          <w:szCs w:val="24"/>
        </w:rPr>
        <w:t>：</w:t>
      </w:r>
    </w:p>
    <w:tbl>
      <w:tblPr>
        <w:tblStyle w:val="30"/>
        <w:tblW w:w="934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31"/>
        <w:gridCol w:w="706"/>
        <w:gridCol w:w="2972"/>
        <w:gridCol w:w="1415"/>
        <w:gridCol w:w="1273"/>
        <w:gridCol w:w="1140"/>
      </w:tblGrid>
      <w:tr w14:paraId="4CD6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708" w:type="dxa"/>
            <w:shd w:val="clear" w:color="auto" w:fill="FFFFFF"/>
            <w:tcMar>
              <w:left w:w="57" w:type="dxa"/>
              <w:right w:w="57" w:type="dxa"/>
            </w:tcMar>
            <w:vAlign w:val="center"/>
          </w:tcPr>
          <w:p w14:paraId="66B196B8">
            <w:pPr>
              <w:adjustRightInd w:val="0"/>
              <w:snapToGrid w:val="0"/>
              <w:jc w:val="center"/>
              <w:rPr>
                <w:rFonts w:ascii="Calibri" w:hAnsi="Calibri" w:eastAsia="宋体" w:cs="Times New Roman"/>
                <w:b/>
                <w:szCs w:val="24"/>
              </w:rPr>
            </w:pPr>
            <w:r>
              <w:rPr>
                <w:rFonts w:ascii="Calibri" w:hAnsi="Calibri" w:eastAsia="宋体" w:cs="Times New Roman"/>
                <w:b/>
                <w:szCs w:val="24"/>
              </w:rPr>
              <w:t>成绩组成</w:t>
            </w:r>
          </w:p>
        </w:tc>
        <w:tc>
          <w:tcPr>
            <w:tcW w:w="1131" w:type="dxa"/>
            <w:shd w:val="clear" w:color="auto" w:fill="FFFFFF"/>
            <w:vAlign w:val="center"/>
          </w:tcPr>
          <w:p w14:paraId="4CC66D9E">
            <w:pPr>
              <w:adjustRightInd w:val="0"/>
              <w:snapToGrid w:val="0"/>
              <w:jc w:val="center"/>
              <w:rPr>
                <w:rFonts w:ascii="Calibri" w:hAnsi="Calibri" w:eastAsia="宋体" w:cs="Times New Roman"/>
                <w:b/>
                <w:szCs w:val="24"/>
              </w:rPr>
            </w:pPr>
            <w:r>
              <w:rPr>
                <w:rFonts w:ascii="Calibri" w:hAnsi="Calibri" w:eastAsia="宋体" w:cs="Times New Roman"/>
                <w:b/>
                <w:szCs w:val="24"/>
              </w:rPr>
              <w:t>考核/评价环节</w:t>
            </w:r>
          </w:p>
        </w:tc>
        <w:tc>
          <w:tcPr>
            <w:tcW w:w="706" w:type="dxa"/>
            <w:shd w:val="clear" w:color="auto" w:fill="FFFFFF"/>
            <w:vAlign w:val="center"/>
          </w:tcPr>
          <w:p w14:paraId="51037880">
            <w:pPr>
              <w:adjustRightInd w:val="0"/>
              <w:snapToGrid w:val="0"/>
              <w:jc w:val="center"/>
              <w:rPr>
                <w:rFonts w:ascii="宋体" w:hAnsi="宋体" w:eastAsia="宋体" w:cs="Times New Roman"/>
                <w:b/>
                <w:szCs w:val="24"/>
              </w:rPr>
            </w:pPr>
            <w:r>
              <w:rPr>
                <w:rFonts w:hint="eastAsia" w:ascii="宋体" w:hAnsi="宋体" w:eastAsia="宋体" w:cs="Times New Roman"/>
                <w:b/>
                <w:szCs w:val="24"/>
              </w:rPr>
              <w:t>权重</w:t>
            </w:r>
          </w:p>
        </w:tc>
        <w:tc>
          <w:tcPr>
            <w:tcW w:w="2972" w:type="dxa"/>
            <w:shd w:val="clear" w:color="auto" w:fill="FFFFFF"/>
            <w:vAlign w:val="center"/>
          </w:tcPr>
          <w:p w14:paraId="54DD6807">
            <w:pPr>
              <w:adjustRightInd w:val="0"/>
              <w:snapToGrid w:val="0"/>
              <w:jc w:val="center"/>
              <w:rPr>
                <w:rFonts w:ascii="Calibri" w:hAnsi="Calibri" w:eastAsia="宋体" w:cs="Times New Roman"/>
                <w:b/>
                <w:szCs w:val="24"/>
              </w:rPr>
            </w:pPr>
            <w:r>
              <w:rPr>
                <w:rFonts w:ascii="Calibri" w:hAnsi="Calibri" w:eastAsia="宋体" w:cs="Times New Roman"/>
                <w:b/>
                <w:szCs w:val="24"/>
              </w:rPr>
              <w:t>考核/评价细则</w:t>
            </w:r>
          </w:p>
        </w:tc>
        <w:tc>
          <w:tcPr>
            <w:tcW w:w="1415" w:type="dxa"/>
            <w:shd w:val="clear" w:color="auto" w:fill="FFFFFF"/>
            <w:vAlign w:val="center"/>
          </w:tcPr>
          <w:p w14:paraId="34A7A395">
            <w:pPr>
              <w:adjustRightInd w:val="0"/>
              <w:snapToGrid w:val="0"/>
              <w:jc w:val="center"/>
              <w:rPr>
                <w:rFonts w:ascii="Calibri" w:hAnsi="Calibri" w:eastAsia="宋体" w:cs="Times New Roman"/>
                <w:b/>
                <w:szCs w:val="24"/>
              </w:rPr>
            </w:pPr>
            <w:r>
              <w:rPr>
                <w:rFonts w:hint="eastAsia" w:ascii="Calibri" w:hAnsi="Calibri" w:eastAsia="宋体" w:cs="Times New Roman"/>
                <w:b/>
                <w:szCs w:val="24"/>
              </w:rPr>
              <w:t>课程目标</w:t>
            </w:r>
          </w:p>
        </w:tc>
        <w:tc>
          <w:tcPr>
            <w:tcW w:w="1273" w:type="dxa"/>
            <w:shd w:val="clear" w:color="auto" w:fill="FFFFFF"/>
            <w:vAlign w:val="center"/>
          </w:tcPr>
          <w:p w14:paraId="2A49FA02">
            <w:pPr>
              <w:adjustRightInd w:val="0"/>
              <w:snapToGrid w:val="0"/>
              <w:jc w:val="center"/>
              <w:rPr>
                <w:rFonts w:ascii="Calibri" w:hAnsi="Calibri" w:eastAsia="宋体" w:cs="Times New Roman"/>
                <w:b/>
                <w:szCs w:val="24"/>
              </w:rPr>
            </w:pPr>
            <w:r>
              <w:rPr>
                <w:rFonts w:hint="eastAsia" w:ascii="Calibri" w:hAnsi="Calibri" w:eastAsia="宋体" w:cs="Times New Roman"/>
                <w:b/>
                <w:szCs w:val="24"/>
              </w:rPr>
              <w:t>考核内容</w:t>
            </w:r>
          </w:p>
        </w:tc>
        <w:tc>
          <w:tcPr>
            <w:tcW w:w="1140" w:type="dxa"/>
            <w:shd w:val="clear" w:color="auto" w:fill="FFFFFF"/>
            <w:vAlign w:val="center"/>
          </w:tcPr>
          <w:p w14:paraId="2BDEAEB3">
            <w:pPr>
              <w:adjustRightInd w:val="0"/>
              <w:snapToGrid w:val="0"/>
              <w:jc w:val="center"/>
              <w:rPr>
                <w:rFonts w:ascii="Calibri" w:hAnsi="Calibri" w:eastAsia="宋体" w:cs="Times New Roman"/>
                <w:b/>
                <w:szCs w:val="24"/>
              </w:rPr>
            </w:pPr>
            <w:r>
              <w:rPr>
                <w:rFonts w:ascii="Calibri" w:hAnsi="Calibri" w:eastAsia="宋体" w:cs="Times New Roman"/>
                <w:b/>
                <w:szCs w:val="24"/>
              </w:rPr>
              <w:t>对应的毕业要求指标点</w:t>
            </w:r>
          </w:p>
        </w:tc>
      </w:tr>
      <w:tr w14:paraId="3442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708" w:type="dxa"/>
            <w:tcMar>
              <w:left w:w="57" w:type="dxa"/>
              <w:right w:w="57" w:type="dxa"/>
            </w:tcMar>
            <w:vAlign w:val="center"/>
          </w:tcPr>
          <w:p w14:paraId="2B96F9F2">
            <w:pPr>
              <w:adjustRightInd w:val="0"/>
              <w:snapToGrid w:val="0"/>
              <w:jc w:val="center"/>
              <w:rPr>
                <w:rFonts w:ascii="Calibri" w:hAnsi="Calibri" w:eastAsia="宋体" w:cs="Times New Roman"/>
                <w:szCs w:val="24"/>
              </w:rPr>
            </w:pPr>
            <w:r>
              <w:rPr>
                <w:rFonts w:ascii="Calibri" w:hAnsi="Calibri" w:eastAsia="宋体" w:cs="Times New Roman"/>
                <w:szCs w:val="24"/>
              </w:rPr>
              <w:t>平时成绩</w:t>
            </w:r>
          </w:p>
        </w:tc>
        <w:tc>
          <w:tcPr>
            <w:tcW w:w="1131" w:type="dxa"/>
            <w:vAlign w:val="center"/>
          </w:tcPr>
          <w:p w14:paraId="4CAECF30">
            <w:pPr>
              <w:adjustRightInd w:val="0"/>
              <w:snapToGrid w:val="0"/>
              <w:jc w:val="center"/>
              <w:rPr>
                <w:rFonts w:ascii="Calibri" w:hAnsi="Calibri" w:eastAsia="宋体" w:cs="Times New Roman"/>
                <w:szCs w:val="24"/>
              </w:rPr>
            </w:pPr>
            <w:r>
              <w:rPr>
                <w:rFonts w:hint="eastAsia" w:ascii="Calibri" w:hAnsi="Calibri" w:eastAsia="宋体" w:cs="Times New Roman"/>
                <w:szCs w:val="24"/>
              </w:rPr>
              <w:t>课堂考勤、表现及</w:t>
            </w:r>
            <w:r>
              <w:rPr>
                <w:rFonts w:ascii="Calibri" w:hAnsi="Calibri" w:eastAsia="宋体" w:cs="Times New Roman"/>
                <w:szCs w:val="24"/>
              </w:rPr>
              <w:t>平时作业</w:t>
            </w:r>
          </w:p>
        </w:tc>
        <w:tc>
          <w:tcPr>
            <w:tcW w:w="706" w:type="dxa"/>
            <w:vAlign w:val="center"/>
          </w:tcPr>
          <w:p w14:paraId="634A8511">
            <w:pPr>
              <w:adjustRightInd w:val="0"/>
              <w:snapToGrid w:val="0"/>
              <w:jc w:val="center"/>
              <w:rPr>
                <w:rFonts w:ascii="宋体" w:hAnsi="宋体" w:eastAsia="宋体" w:cs="Times New Roman"/>
                <w:szCs w:val="24"/>
              </w:rPr>
            </w:pPr>
            <w:r>
              <w:rPr>
                <w:rFonts w:ascii="宋体" w:hAnsi="宋体" w:eastAsia="宋体" w:cs="Times New Roman"/>
                <w:szCs w:val="24"/>
              </w:rPr>
              <w:t>20%</w:t>
            </w:r>
          </w:p>
        </w:tc>
        <w:tc>
          <w:tcPr>
            <w:tcW w:w="2972" w:type="dxa"/>
            <w:vAlign w:val="center"/>
          </w:tcPr>
          <w:p w14:paraId="53C3131E">
            <w:pPr>
              <w:widowControl/>
              <w:adjustRightInd w:val="0"/>
              <w:snapToGrid w:val="0"/>
              <w:jc w:val="left"/>
              <w:rPr>
                <w:rFonts w:ascii="宋体" w:hAnsi="宋体" w:eastAsia="宋体" w:cs="宋体"/>
                <w:kern w:val="0"/>
                <w:szCs w:val="21"/>
              </w:rPr>
            </w:pPr>
            <w:r>
              <w:rPr>
                <w:rFonts w:hint="eastAsia" w:ascii="宋体" w:hAnsi="宋体" w:eastAsia="宋体" w:cs="宋体"/>
                <w:kern w:val="0"/>
                <w:szCs w:val="21"/>
              </w:rPr>
              <w:t>课堂考勤：病假和事假一次扣</w:t>
            </w:r>
            <w:r>
              <w:rPr>
                <w:rFonts w:ascii="TimesNewRomanPSMT" w:hAnsi="TimesNewRomanPSMT" w:eastAsia="宋体" w:cs="宋体"/>
                <w:kern w:val="0"/>
                <w:szCs w:val="21"/>
              </w:rPr>
              <w:t>3</w:t>
            </w:r>
            <w:r>
              <w:rPr>
                <w:rFonts w:hint="eastAsia" w:ascii="宋体" w:hAnsi="宋体" w:eastAsia="宋体" w:cs="宋体"/>
                <w:kern w:val="0"/>
                <w:szCs w:val="21"/>
              </w:rPr>
              <w:t>分，无故缺席一次扣</w:t>
            </w:r>
            <w:r>
              <w:rPr>
                <w:rFonts w:ascii="TimesNewRomanPSMT" w:hAnsi="TimesNewRomanPSMT"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次以上(不含</w:t>
            </w:r>
            <w:r>
              <w:rPr>
                <w:rFonts w:ascii="宋体" w:hAnsi="宋体" w:eastAsia="宋体" w:cs="宋体"/>
                <w:kern w:val="0"/>
                <w:szCs w:val="21"/>
              </w:rPr>
              <w:t>3</w:t>
            </w:r>
            <w:r>
              <w:rPr>
                <w:rFonts w:hint="eastAsia" w:ascii="宋体" w:hAnsi="宋体" w:eastAsia="宋体" w:cs="宋体"/>
                <w:kern w:val="0"/>
                <w:szCs w:val="21"/>
              </w:rPr>
              <w:t>次)取消课程成绩。</w:t>
            </w:r>
          </w:p>
          <w:p w14:paraId="6B8BCF82">
            <w:pPr>
              <w:widowControl/>
              <w:adjustRightInd w:val="0"/>
              <w:snapToGrid w:val="0"/>
              <w:jc w:val="left"/>
              <w:rPr>
                <w:rFonts w:ascii="宋体" w:hAnsi="宋体" w:eastAsia="宋体" w:cs="宋体"/>
                <w:kern w:val="0"/>
                <w:szCs w:val="21"/>
              </w:rPr>
            </w:pPr>
            <w:r>
              <w:rPr>
                <w:rFonts w:hint="eastAsia" w:ascii="宋体" w:hAnsi="宋体" w:eastAsia="宋体" w:cs="宋体"/>
                <w:kern w:val="0"/>
                <w:szCs w:val="21"/>
              </w:rPr>
              <w:t>课堂表现：每章</w:t>
            </w:r>
            <w:r>
              <w:rPr>
                <w:rFonts w:hint="eastAsia" w:ascii="宋体" w:hAnsi="宋体" w:eastAsia="宋体" w:cs="宋体"/>
                <w:color w:val="000000"/>
                <w:kern w:val="0"/>
                <w:szCs w:val="21"/>
              </w:rPr>
              <w:t>组织进行</w:t>
            </w:r>
            <w:r>
              <w:rPr>
                <w:rFonts w:ascii="宋体" w:hAnsi="宋体" w:eastAsia="宋体" w:cs="宋体"/>
                <w:color w:val="000000"/>
                <w:kern w:val="0"/>
                <w:szCs w:val="21"/>
              </w:rPr>
              <w:t>1-3</w:t>
            </w:r>
            <w:r>
              <w:rPr>
                <w:rFonts w:hint="eastAsia" w:ascii="宋体" w:hAnsi="宋体" w:eastAsia="宋体" w:cs="宋体"/>
                <w:color w:val="000000"/>
                <w:kern w:val="0"/>
                <w:szCs w:val="21"/>
              </w:rPr>
              <w:t>次讨论</w:t>
            </w:r>
            <w:r>
              <w:rPr>
                <w:rFonts w:ascii="宋体" w:hAnsi="宋体" w:eastAsia="宋体" w:cs="宋体"/>
                <w:color w:val="000000"/>
                <w:kern w:val="0"/>
                <w:szCs w:val="21"/>
              </w:rPr>
              <w:t>，主要考核学生</w:t>
            </w:r>
            <w:r>
              <w:rPr>
                <w:rFonts w:hint="eastAsia" w:ascii="宋体" w:hAnsi="宋体" w:eastAsia="宋体" w:cs="宋体"/>
                <w:color w:val="000000"/>
                <w:kern w:val="0"/>
                <w:szCs w:val="21"/>
              </w:rPr>
              <w:t>对知识</w:t>
            </w:r>
            <w:r>
              <w:rPr>
                <w:rFonts w:ascii="宋体" w:hAnsi="宋体" w:eastAsia="宋体" w:cs="宋体"/>
                <w:color w:val="000000"/>
                <w:kern w:val="0"/>
                <w:szCs w:val="21"/>
              </w:rPr>
              <w:t>的</w:t>
            </w:r>
            <w:r>
              <w:rPr>
                <w:rFonts w:hint="eastAsia" w:ascii="宋体" w:hAnsi="宋体" w:eastAsia="宋体" w:cs="宋体"/>
                <w:color w:val="000000"/>
                <w:kern w:val="0"/>
                <w:szCs w:val="21"/>
              </w:rPr>
              <w:t>理解与思考情况。根据回答给出相应分数。</w:t>
            </w:r>
          </w:p>
          <w:p w14:paraId="332EE6A9">
            <w:pPr>
              <w:adjustRightInd w:val="0"/>
              <w:snapToGrid w:val="0"/>
              <w:rPr>
                <w:rFonts w:ascii="Calibri" w:hAnsi="Calibri" w:eastAsia="宋体" w:cs="Times New Roman"/>
                <w:szCs w:val="24"/>
              </w:rPr>
            </w:pPr>
            <w:r>
              <w:rPr>
                <w:rFonts w:hint="eastAsia" w:ascii="宋体" w:hAnsi="宋体" w:eastAsia="宋体" w:cs="Times New Roman"/>
                <w:szCs w:val="21"/>
              </w:rPr>
              <w:t>平时作业：3次书面作业</w:t>
            </w:r>
            <w:r>
              <w:rPr>
                <w:rFonts w:ascii="宋体" w:hAnsi="宋体" w:eastAsia="宋体" w:cs="Times New Roman"/>
                <w:szCs w:val="21"/>
              </w:rPr>
              <w:t>，主要考核学生</w:t>
            </w:r>
            <w:r>
              <w:rPr>
                <w:rFonts w:hint="eastAsia" w:ascii="宋体" w:hAnsi="宋体" w:eastAsia="宋体" w:cs="Times New Roman"/>
                <w:szCs w:val="21"/>
              </w:rPr>
              <w:t>对道德与法治教学目标、教材解读和</w:t>
            </w:r>
            <w:r>
              <w:rPr>
                <w:rFonts w:hint="eastAsia" w:ascii="Calibri" w:hAnsi="Calibri" w:eastAsia="宋体" w:cs="Times New Roman"/>
                <w:szCs w:val="21"/>
              </w:rPr>
              <w:t>教学方法的理解与掌握情况</w:t>
            </w:r>
            <w:r>
              <w:rPr>
                <w:rFonts w:ascii="Calibri" w:hAnsi="Calibri" w:eastAsia="宋体" w:cs="Times New Roman"/>
                <w:szCs w:val="21"/>
              </w:rPr>
              <w:t>。</w:t>
            </w:r>
          </w:p>
        </w:tc>
        <w:tc>
          <w:tcPr>
            <w:tcW w:w="1415" w:type="dxa"/>
            <w:vAlign w:val="center"/>
          </w:tcPr>
          <w:p w14:paraId="1F4372D9">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课程目标1</w:t>
            </w:r>
          </w:p>
          <w:p w14:paraId="45440F63">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课程目标2</w:t>
            </w:r>
          </w:p>
          <w:p w14:paraId="120049E9">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课程目标3</w:t>
            </w:r>
          </w:p>
          <w:p w14:paraId="4C33DC3A">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课程目标4</w:t>
            </w:r>
          </w:p>
          <w:p w14:paraId="17B788C1">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课程目标5</w:t>
            </w:r>
          </w:p>
        </w:tc>
        <w:tc>
          <w:tcPr>
            <w:tcW w:w="1273" w:type="dxa"/>
            <w:vAlign w:val="center"/>
          </w:tcPr>
          <w:p w14:paraId="6637E89F">
            <w:pPr>
              <w:adjustRightInd w:val="0"/>
              <w:snapToGrid w:val="0"/>
              <w:jc w:val="center"/>
              <w:rPr>
                <w:rFonts w:ascii="宋体" w:hAnsi="宋体" w:eastAsia="宋体" w:cs="Times New Roman"/>
                <w:szCs w:val="24"/>
              </w:rPr>
            </w:pPr>
            <w:r>
              <w:rPr>
                <w:rFonts w:hint="eastAsia" w:ascii="宋体" w:hAnsi="宋体" w:eastAsia="宋体" w:cs="Times New Roman"/>
                <w:szCs w:val="24"/>
              </w:rPr>
              <w:t>每章节的基本知识和理论的掌握及运用</w:t>
            </w:r>
          </w:p>
        </w:tc>
        <w:tc>
          <w:tcPr>
            <w:tcW w:w="1140" w:type="dxa"/>
            <w:vAlign w:val="center"/>
          </w:tcPr>
          <w:p w14:paraId="05E5A055">
            <w:pPr>
              <w:adjustRightInd w:val="0"/>
              <w:snapToGrid w:val="0"/>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-3</w:t>
            </w:r>
          </w:p>
          <w:p w14:paraId="2C90553F">
            <w:pPr>
              <w:adjustRightInd w:val="0"/>
              <w:snapToGrid w:val="0"/>
              <w:jc w:val="center"/>
              <w:rPr>
                <w:rFonts w:ascii="宋体" w:hAnsi="宋体" w:eastAsia="宋体" w:cs="Times New Roman"/>
                <w:szCs w:val="24"/>
              </w:rPr>
            </w:pPr>
            <w:r>
              <w:rPr>
                <w:rFonts w:ascii="宋体" w:hAnsi="宋体" w:eastAsia="宋体" w:cs="Times New Roman"/>
                <w:szCs w:val="24"/>
              </w:rPr>
              <w:t>4-1</w:t>
            </w:r>
          </w:p>
          <w:p w14:paraId="456731DA">
            <w:pPr>
              <w:adjustRightInd w:val="0"/>
              <w:snapToGrid w:val="0"/>
              <w:jc w:val="center"/>
              <w:rPr>
                <w:rFonts w:ascii="宋体" w:hAnsi="宋体" w:eastAsia="宋体" w:cs="Times New Roman"/>
                <w:szCs w:val="24"/>
              </w:rPr>
            </w:pPr>
            <w:r>
              <w:rPr>
                <w:rFonts w:ascii="宋体" w:hAnsi="宋体" w:eastAsia="宋体" w:cs="Times New Roman"/>
                <w:szCs w:val="24"/>
              </w:rPr>
              <w:t>4-2</w:t>
            </w:r>
          </w:p>
          <w:p w14:paraId="23FD3AB5">
            <w:pPr>
              <w:adjustRightInd w:val="0"/>
              <w:snapToGrid w:val="0"/>
              <w:jc w:val="center"/>
              <w:rPr>
                <w:rFonts w:ascii="宋体" w:hAnsi="宋体" w:eastAsia="宋体" w:cs="Times New Roman"/>
                <w:szCs w:val="24"/>
              </w:rPr>
            </w:pPr>
            <w:r>
              <w:rPr>
                <w:rFonts w:ascii="宋体" w:hAnsi="宋体" w:eastAsia="宋体" w:cs="Times New Roman"/>
                <w:szCs w:val="24"/>
              </w:rPr>
              <w:t>5-2</w:t>
            </w:r>
          </w:p>
          <w:p w14:paraId="43A06262">
            <w:pPr>
              <w:adjustRightInd w:val="0"/>
              <w:snapToGrid w:val="0"/>
              <w:jc w:val="center"/>
              <w:rPr>
                <w:rFonts w:ascii="宋体" w:hAnsi="宋体" w:eastAsia="宋体" w:cs="Times New Roman"/>
                <w:szCs w:val="24"/>
              </w:rPr>
            </w:pPr>
            <w:r>
              <w:rPr>
                <w:rFonts w:ascii="宋体" w:hAnsi="宋体" w:eastAsia="宋体" w:cs="Times New Roman"/>
                <w:szCs w:val="24"/>
              </w:rPr>
              <w:t>6-2</w:t>
            </w:r>
          </w:p>
          <w:p w14:paraId="59835042">
            <w:pPr>
              <w:adjustRightInd w:val="0"/>
              <w:snapToGrid w:val="0"/>
              <w:jc w:val="center"/>
              <w:rPr>
                <w:rFonts w:ascii="宋体" w:hAnsi="宋体" w:eastAsia="宋体" w:cs="Times New Roman"/>
                <w:szCs w:val="24"/>
              </w:rPr>
            </w:pPr>
            <w:r>
              <w:rPr>
                <w:rFonts w:ascii="宋体" w:hAnsi="宋体" w:eastAsia="宋体" w:cs="Times New Roman"/>
                <w:szCs w:val="24"/>
              </w:rPr>
              <w:t>8-1</w:t>
            </w:r>
          </w:p>
        </w:tc>
      </w:tr>
      <w:tr w14:paraId="00FE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708" w:type="dxa"/>
            <w:tcMar>
              <w:left w:w="57" w:type="dxa"/>
              <w:right w:w="57" w:type="dxa"/>
            </w:tcMar>
            <w:vAlign w:val="center"/>
          </w:tcPr>
          <w:p w14:paraId="120BE3CD">
            <w:pPr>
              <w:adjustRightInd w:val="0"/>
              <w:snapToGrid w:val="0"/>
              <w:jc w:val="center"/>
              <w:rPr>
                <w:rFonts w:ascii="Calibri" w:hAnsi="Calibri" w:eastAsia="宋体" w:cs="Times New Roman"/>
                <w:szCs w:val="24"/>
              </w:rPr>
            </w:pPr>
            <w:r>
              <w:rPr>
                <w:rFonts w:hint="eastAsia" w:ascii="Calibri" w:hAnsi="Calibri" w:eastAsia="宋体" w:cs="Times New Roman"/>
                <w:szCs w:val="24"/>
              </w:rPr>
              <w:t>实践成绩</w:t>
            </w:r>
          </w:p>
        </w:tc>
        <w:tc>
          <w:tcPr>
            <w:tcW w:w="1131" w:type="dxa"/>
            <w:vAlign w:val="center"/>
          </w:tcPr>
          <w:p w14:paraId="3DEC332D">
            <w:pPr>
              <w:adjustRightInd w:val="0"/>
              <w:snapToGrid w:val="0"/>
              <w:jc w:val="center"/>
              <w:rPr>
                <w:rFonts w:ascii="Calibri" w:hAnsi="Calibri" w:eastAsia="宋体" w:cs="Times New Roman"/>
                <w:szCs w:val="24"/>
              </w:rPr>
            </w:pPr>
            <w:r>
              <w:rPr>
                <w:rFonts w:hint="eastAsia" w:ascii="Calibri" w:hAnsi="Calibri" w:eastAsia="宋体" w:cs="Times New Roman"/>
                <w:szCs w:val="24"/>
              </w:rPr>
              <w:t>课内实践</w:t>
            </w:r>
          </w:p>
        </w:tc>
        <w:tc>
          <w:tcPr>
            <w:tcW w:w="706" w:type="dxa"/>
            <w:vAlign w:val="center"/>
          </w:tcPr>
          <w:p w14:paraId="48F0632B">
            <w:pPr>
              <w:adjustRightInd w:val="0"/>
              <w:snapToGrid w:val="0"/>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972" w:type="dxa"/>
            <w:vAlign w:val="center"/>
          </w:tcPr>
          <w:p w14:paraId="4AA2A5BB">
            <w:pPr>
              <w:adjustRightInd w:val="0"/>
              <w:snapToGrid w:val="0"/>
              <w:rPr>
                <w:rFonts w:ascii="Calibri" w:hAnsi="Calibri" w:eastAsia="宋体" w:cs="Times New Roman"/>
                <w:color w:val="000000"/>
                <w:szCs w:val="21"/>
              </w:rPr>
            </w:pPr>
            <w:r>
              <w:rPr>
                <w:rFonts w:ascii="宋体" w:hAnsi="宋体" w:eastAsia="宋体" w:cs="宋体"/>
                <w:color w:val="000000"/>
                <w:kern w:val="0"/>
                <w:szCs w:val="21"/>
              </w:rPr>
              <w:t>完成</w:t>
            </w:r>
            <w:r>
              <w:rPr>
                <w:rFonts w:hint="eastAsia" w:ascii="宋体" w:hAnsi="宋体" w:eastAsia="宋体" w:cs="宋体"/>
                <w:color w:val="000000"/>
                <w:kern w:val="0"/>
                <w:szCs w:val="21"/>
              </w:rPr>
              <w:t>4</w:t>
            </w:r>
            <w:r>
              <w:rPr>
                <w:rFonts w:ascii="宋体" w:hAnsi="宋体" w:eastAsia="宋体" w:cs="宋体"/>
                <w:color w:val="000000"/>
                <w:kern w:val="0"/>
                <w:szCs w:val="21"/>
              </w:rPr>
              <w:t>个</w:t>
            </w:r>
            <w:r>
              <w:rPr>
                <w:rFonts w:hint="eastAsia" w:ascii="宋体" w:hAnsi="宋体" w:eastAsia="宋体" w:cs="宋体"/>
                <w:color w:val="000000"/>
                <w:kern w:val="0"/>
                <w:szCs w:val="21"/>
              </w:rPr>
              <w:t>实践活动</w:t>
            </w:r>
            <w:r>
              <w:rPr>
                <w:rFonts w:ascii="宋体" w:hAnsi="宋体" w:eastAsia="宋体" w:cs="宋体"/>
                <w:color w:val="000000"/>
                <w:kern w:val="0"/>
                <w:szCs w:val="21"/>
              </w:rPr>
              <w:t>，主要考核学生应用</w:t>
            </w:r>
            <w:r>
              <w:rPr>
                <w:rFonts w:hint="eastAsia" w:ascii="宋体" w:hAnsi="宋体" w:eastAsia="宋体" w:cs="宋体"/>
                <w:color w:val="000000"/>
                <w:kern w:val="0"/>
                <w:szCs w:val="21"/>
              </w:rPr>
              <w:t>小学道德与法治教学理论进行课程分析、设计</w:t>
            </w:r>
            <w:r>
              <w:rPr>
                <w:rFonts w:ascii="宋体" w:hAnsi="宋体" w:eastAsia="宋体" w:cs="宋体"/>
                <w:color w:val="000000"/>
                <w:kern w:val="0"/>
                <w:szCs w:val="21"/>
              </w:rPr>
              <w:t>与评价能力</w:t>
            </w:r>
            <w:r>
              <w:rPr>
                <w:rFonts w:hint="eastAsia" w:ascii="宋体" w:hAnsi="宋体" w:eastAsia="宋体" w:cs="宋体"/>
                <w:color w:val="000000"/>
                <w:kern w:val="0"/>
                <w:szCs w:val="21"/>
              </w:rPr>
              <w:t>。每个实践作业按百分制分别给出成绩。4个实践成绩平均后得到实践总评成绩并</w:t>
            </w:r>
            <w:r>
              <w:rPr>
                <w:rFonts w:ascii="宋体" w:hAnsi="宋体" w:eastAsia="宋体" w:cs="宋体"/>
                <w:color w:val="000000"/>
                <w:kern w:val="0"/>
                <w:szCs w:val="21"/>
              </w:rPr>
              <w:t>按</w:t>
            </w:r>
            <w:r>
              <w:rPr>
                <w:rFonts w:hint="eastAsia" w:ascii="宋体" w:hAnsi="宋体" w:eastAsia="宋体" w:cs="宋体"/>
                <w:color w:val="000000"/>
                <w:kern w:val="0"/>
                <w:szCs w:val="21"/>
              </w:rPr>
              <w:t>2</w:t>
            </w:r>
            <w:r>
              <w:rPr>
                <w:rFonts w:ascii="宋体" w:hAnsi="宋体" w:eastAsia="宋体" w:cs="宋体"/>
                <w:color w:val="000000"/>
                <w:kern w:val="0"/>
                <w:szCs w:val="21"/>
              </w:rPr>
              <w:t>0%计入课程总成绩。</w:t>
            </w:r>
          </w:p>
        </w:tc>
        <w:tc>
          <w:tcPr>
            <w:tcW w:w="1415" w:type="dxa"/>
            <w:vAlign w:val="center"/>
          </w:tcPr>
          <w:p w14:paraId="7B579B06">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课程目标2</w:t>
            </w:r>
          </w:p>
          <w:p w14:paraId="72AF5FAA">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课程目标3</w:t>
            </w:r>
          </w:p>
          <w:p w14:paraId="4DE7554C">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课程目标4</w:t>
            </w:r>
          </w:p>
          <w:p w14:paraId="0FDA336D">
            <w:pPr>
              <w:adjustRightInd w:val="0"/>
              <w:snapToGrid w:val="0"/>
              <w:jc w:val="center"/>
              <w:rPr>
                <w:rFonts w:ascii="宋体" w:hAnsi="宋体" w:eastAsia="宋体" w:cs="Times New Roman"/>
                <w:color w:val="000000"/>
                <w:szCs w:val="21"/>
              </w:rPr>
            </w:pPr>
            <w:r>
              <w:rPr>
                <w:rFonts w:hint="eastAsia" w:ascii="宋体" w:hAnsi="宋体" w:eastAsia="宋体" w:cs="Times New Roman"/>
                <w:szCs w:val="24"/>
              </w:rPr>
              <w:t>课程目标5</w:t>
            </w:r>
          </w:p>
        </w:tc>
        <w:tc>
          <w:tcPr>
            <w:tcW w:w="1273" w:type="dxa"/>
            <w:vAlign w:val="center"/>
          </w:tcPr>
          <w:p w14:paraId="5A0C533B">
            <w:pPr>
              <w:adjustRightInd w:val="0"/>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课程基本理念和教学观、教材分析能力、教学设计能力。</w:t>
            </w:r>
          </w:p>
        </w:tc>
        <w:tc>
          <w:tcPr>
            <w:tcW w:w="1140" w:type="dxa"/>
            <w:vAlign w:val="center"/>
          </w:tcPr>
          <w:p w14:paraId="5CEC02C1">
            <w:pPr>
              <w:adjustRightInd w:val="0"/>
              <w:snapToGrid w:val="0"/>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-3</w:t>
            </w:r>
          </w:p>
          <w:p w14:paraId="2E9757E1">
            <w:pPr>
              <w:adjustRightInd w:val="0"/>
              <w:snapToGrid w:val="0"/>
              <w:jc w:val="center"/>
              <w:rPr>
                <w:rFonts w:ascii="宋体" w:hAnsi="宋体" w:eastAsia="宋体" w:cs="Times New Roman"/>
                <w:szCs w:val="24"/>
              </w:rPr>
            </w:pPr>
            <w:r>
              <w:rPr>
                <w:rFonts w:ascii="宋体" w:hAnsi="宋体" w:eastAsia="宋体" w:cs="Times New Roman"/>
                <w:szCs w:val="24"/>
              </w:rPr>
              <w:t>4-1</w:t>
            </w:r>
          </w:p>
          <w:p w14:paraId="1501C1EA">
            <w:pPr>
              <w:adjustRightInd w:val="0"/>
              <w:snapToGrid w:val="0"/>
              <w:jc w:val="center"/>
              <w:rPr>
                <w:rFonts w:ascii="宋体" w:hAnsi="宋体" w:eastAsia="宋体" w:cs="Times New Roman"/>
                <w:szCs w:val="24"/>
              </w:rPr>
            </w:pPr>
            <w:r>
              <w:rPr>
                <w:rFonts w:ascii="宋体" w:hAnsi="宋体" w:eastAsia="宋体" w:cs="Times New Roman"/>
                <w:szCs w:val="24"/>
              </w:rPr>
              <w:t>4-2</w:t>
            </w:r>
          </w:p>
          <w:p w14:paraId="2AB50B28">
            <w:pPr>
              <w:adjustRightInd w:val="0"/>
              <w:snapToGrid w:val="0"/>
              <w:jc w:val="center"/>
              <w:rPr>
                <w:rFonts w:ascii="宋体" w:hAnsi="宋体" w:eastAsia="宋体" w:cs="Times New Roman"/>
                <w:szCs w:val="24"/>
              </w:rPr>
            </w:pPr>
            <w:r>
              <w:rPr>
                <w:rFonts w:ascii="宋体" w:hAnsi="宋体" w:eastAsia="宋体" w:cs="Times New Roman"/>
                <w:szCs w:val="24"/>
              </w:rPr>
              <w:t>5-2</w:t>
            </w:r>
          </w:p>
          <w:p w14:paraId="1C13D049">
            <w:pPr>
              <w:adjustRightInd w:val="0"/>
              <w:snapToGrid w:val="0"/>
              <w:jc w:val="center"/>
              <w:rPr>
                <w:rFonts w:ascii="宋体" w:hAnsi="宋体" w:eastAsia="宋体" w:cs="Times New Roman"/>
                <w:szCs w:val="24"/>
              </w:rPr>
            </w:pPr>
            <w:r>
              <w:rPr>
                <w:rFonts w:ascii="宋体" w:hAnsi="宋体" w:eastAsia="宋体" w:cs="Times New Roman"/>
                <w:szCs w:val="24"/>
              </w:rPr>
              <w:t>6-2</w:t>
            </w:r>
          </w:p>
          <w:p w14:paraId="380DA8C4">
            <w:pPr>
              <w:adjustRightInd w:val="0"/>
              <w:snapToGrid w:val="0"/>
              <w:jc w:val="center"/>
              <w:rPr>
                <w:rFonts w:ascii="宋体" w:hAnsi="宋体" w:eastAsia="宋体" w:cs="Times New Roman"/>
                <w:color w:val="000000"/>
                <w:szCs w:val="21"/>
              </w:rPr>
            </w:pPr>
            <w:r>
              <w:rPr>
                <w:rFonts w:ascii="宋体" w:hAnsi="宋体" w:eastAsia="宋体" w:cs="Times New Roman"/>
                <w:szCs w:val="24"/>
              </w:rPr>
              <w:t>8-1</w:t>
            </w:r>
          </w:p>
        </w:tc>
      </w:tr>
      <w:tr w14:paraId="2878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08" w:type="dxa"/>
            <w:tcMar>
              <w:left w:w="57" w:type="dxa"/>
              <w:right w:w="57" w:type="dxa"/>
            </w:tcMar>
            <w:vAlign w:val="center"/>
          </w:tcPr>
          <w:p w14:paraId="249010E5">
            <w:pPr>
              <w:adjustRightInd w:val="0"/>
              <w:snapToGrid w:val="0"/>
              <w:jc w:val="center"/>
              <w:rPr>
                <w:rFonts w:ascii="Calibri" w:hAnsi="Calibri" w:eastAsia="宋体" w:cs="Times New Roman"/>
                <w:szCs w:val="24"/>
              </w:rPr>
            </w:pPr>
            <w:r>
              <w:rPr>
                <w:rFonts w:ascii="Calibri" w:hAnsi="Calibri" w:eastAsia="宋体" w:cs="Times New Roman"/>
                <w:szCs w:val="24"/>
              </w:rPr>
              <w:t>期末考试</w:t>
            </w:r>
          </w:p>
        </w:tc>
        <w:tc>
          <w:tcPr>
            <w:tcW w:w="1131" w:type="dxa"/>
            <w:vAlign w:val="center"/>
          </w:tcPr>
          <w:p w14:paraId="34C9EDAB">
            <w:pPr>
              <w:adjustRightInd w:val="0"/>
              <w:snapToGrid w:val="0"/>
              <w:jc w:val="center"/>
              <w:rPr>
                <w:rFonts w:ascii="Calibri" w:hAnsi="Calibri" w:eastAsia="宋体" w:cs="Times New Roman"/>
                <w:szCs w:val="24"/>
              </w:rPr>
            </w:pPr>
            <w:r>
              <w:rPr>
                <w:rFonts w:ascii="Calibri" w:hAnsi="Calibri" w:eastAsia="宋体" w:cs="Times New Roman"/>
                <w:szCs w:val="24"/>
              </w:rPr>
              <w:t>期末考试</w:t>
            </w:r>
          </w:p>
          <w:p w14:paraId="12F78C77">
            <w:pPr>
              <w:adjustRightInd w:val="0"/>
              <w:snapToGrid w:val="0"/>
              <w:jc w:val="center"/>
              <w:rPr>
                <w:rFonts w:ascii="Calibri" w:hAnsi="Calibri" w:eastAsia="宋体" w:cs="Times New Roman"/>
                <w:szCs w:val="24"/>
              </w:rPr>
            </w:pPr>
            <w:r>
              <w:rPr>
                <w:rFonts w:hint="eastAsia" w:ascii="Calibri" w:hAnsi="Calibri" w:eastAsia="宋体" w:cs="Times New Roman"/>
                <w:szCs w:val="24"/>
              </w:rPr>
              <w:t>卷面</w:t>
            </w:r>
            <w:r>
              <w:rPr>
                <w:rFonts w:ascii="Calibri" w:hAnsi="Calibri" w:eastAsia="宋体" w:cs="Times New Roman"/>
                <w:szCs w:val="24"/>
              </w:rPr>
              <w:t>成绩</w:t>
            </w:r>
          </w:p>
        </w:tc>
        <w:tc>
          <w:tcPr>
            <w:tcW w:w="706" w:type="dxa"/>
            <w:vAlign w:val="center"/>
          </w:tcPr>
          <w:p w14:paraId="10ED78C7">
            <w:pPr>
              <w:adjustRightInd w:val="0"/>
              <w:snapToGrid w:val="0"/>
              <w:jc w:val="center"/>
              <w:rPr>
                <w:rFonts w:ascii="宋体" w:hAnsi="宋体" w:eastAsia="宋体" w:cs="Times New Roman"/>
                <w:szCs w:val="24"/>
              </w:rPr>
            </w:pPr>
            <w:r>
              <w:rPr>
                <w:rFonts w:ascii="宋体" w:hAnsi="宋体" w:eastAsia="宋体" w:cs="Times New Roman"/>
                <w:szCs w:val="24"/>
              </w:rPr>
              <w:t>60%</w:t>
            </w:r>
          </w:p>
        </w:tc>
        <w:tc>
          <w:tcPr>
            <w:tcW w:w="2972" w:type="dxa"/>
            <w:vAlign w:val="center"/>
          </w:tcPr>
          <w:p w14:paraId="380F1E3B">
            <w:pPr>
              <w:adjustRightInd w:val="0"/>
              <w:snapToGrid w:val="0"/>
              <w:rPr>
                <w:rFonts w:ascii="宋体" w:hAnsi="宋体" w:eastAsia="宋体" w:cs="Times New Roman"/>
                <w:color w:val="000000"/>
                <w:szCs w:val="21"/>
              </w:rPr>
            </w:pPr>
            <w:r>
              <w:rPr>
                <w:rFonts w:ascii="Calibri" w:hAnsi="Calibri" w:eastAsia="宋体" w:cs="Times New Roman"/>
                <w:color w:val="000000"/>
                <w:szCs w:val="21"/>
              </w:rPr>
              <w:t>试卷题型包括填空题、简答题、</w:t>
            </w:r>
            <w:r>
              <w:rPr>
                <w:rFonts w:hint="eastAsia" w:ascii="Calibri" w:hAnsi="Calibri" w:eastAsia="宋体" w:cs="Times New Roman"/>
                <w:color w:val="000000"/>
                <w:szCs w:val="21"/>
              </w:rPr>
              <w:t>论述</w:t>
            </w:r>
            <w:r>
              <w:rPr>
                <w:rFonts w:ascii="Calibri" w:hAnsi="Calibri" w:eastAsia="宋体" w:cs="Times New Roman"/>
                <w:color w:val="000000"/>
                <w:szCs w:val="21"/>
              </w:rPr>
              <w:t>题和</w:t>
            </w:r>
            <w:r>
              <w:rPr>
                <w:rFonts w:hint="eastAsia" w:ascii="Calibri" w:hAnsi="Calibri" w:eastAsia="宋体" w:cs="Times New Roman"/>
                <w:color w:val="000000"/>
                <w:szCs w:val="21"/>
              </w:rPr>
              <w:t>教学设计</w:t>
            </w:r>
            <w:r>
              <w:rPr>
                <w:rFonts w:ascii="Calibri" w:hAnsi="Calibri" w:eastAsia="宋体" w:cs="Times New Roman"/>
                <w:color w:val="000000"/>
                <w:szCs w:val="21"/>
              </w:rPr>
              <w:t>题等，以卷面成绩的</w:t>
            </w:r>
            <w:r>
              <w:rPr>
                <w:rFonts w:ascii="宋体" w:hAnsi="宋体" w:eastAsia="宋体" w:cs="Times New Roman"/>
                <w:color w:val="000000"/>
                <w:szCs w:val="21"/>
              </w:rPr>
              <w:t>60%计入课程总成绩。其中</w:t>
            </w:r>
            <w:r>
              <w:rPr>
                <w:rFonts w:hint="eastAsia" w:ascii="宋体" w:hAnsi="宋体" w:eastAsia="宋体" w:cs="Times New Roman"/>
                <w:color w:val="000000"/>
                <w:szCs w:val="21"/>
              </w:rPr>
              <w:t>：</w:t>
            </w:r>
          </w:p>
          <w:p w14:paraId="4881BFB4">
            <w:pPr>
              <w:adjustRightInd w:val="0"/>
              <w:snapToGrid w:val="0"/>
              <w:rPr>
                <w:rFonts w:ascii="宋体" w:hAnsi="宋体" w:eastAsia="宋体" w:cs="Times New Roman"/>
                <w:color w:val="000000"/>
                <w:szCs w:val="21"/>
              </w:rPr>
            </w:pPr>
            <w:r>
              <w:rPr>
                <w:rFonts w:ascii="宋体" w:hAnsi="宋体" w:eastAsia="宋体" w:cs="Times New Roman"/>
                <w:color w:val="000000"/>
                <w:szCs w:val="21"/>
              </w:rPr>
              <w:t>考核</w:t>
            </w:r>
            <w:r>
              <w:rPr>
                <w:rFonts w:hint="eastAsia" w:ascii="宋体" w:hAnsi="宋体" w:eastAsia="宋体" w:cs="Times New Roman"/>
                <w:color w:val="000000"/>
                <w:szCs w:val="21"/>
              </w:rPr>
              <w:t>基本概念</w:t>
            </w:r>
            <w:r>
              <w:rPr>
                <w:rFonts w:ascii="宋体" w:hAnsi="宋体" w:eastAsia="宋体" w:cs="Times New Roman"/>
                <w:color w:val="000000"/>
                <w:szCs w:val="21"/>
              </w:rPr>
              <w:t>知识型题目占30%；</w:t>
            </w:r>
          </w:p>
          <w:p w14:paraId="27553290">
            <w:pPr>
              <w:adjustRightInd w:val="0"/>
              <w:snapToGrid w:val="0"/>
              <w:rPr>
                <w:rFonts w:ascii="宋体" w:hAnsi="宋体" w:eastAsia="宋体" w:cs="Times New Roman"/>
                <w:color w:val="000000"/>
                <w:szCs w:val="21"/>
              </w:rPr>
            </w:pPr>
            <w:r>
              <w:rPr>
                <w:rFonts w:hint="eastAsia" w:ascii="宋体" w:hAnsi="宋体" w:eastAsia="宋体" w:cs="Times New Roman"/>
                <w:color w:val="000000"/>
                <w:szCs w:val="21"/>
              </w:rPr>
              <w:t>考核道德与法治学习方式占30%；</w:t>
            </w:r>
          </w:p>
          <w:p w14:paraId="2112A313">
            <w:pPr>
              <w:adjustRightInd w:val="0"/>
              <w:snapToGrid w:val="0"/>
              <w:rPr>
                <w:rFonts w:ascii="Calibri" w:hAnsi="Calibri" w:eastAsia="宋体" w:cs="Times New Roman"/>
                <w:color w:val="000000"/>
                <w:szCs w:val="21"/>
              </w:rPr>
            </w:pPr>
            <w:r>
              <w:rPr>
                <w:rFonts w:hint="eastAsia" w:ascii="宋体" w:hAnsi="宋体" w:eastAsia="宋体" w:cs="Times New Roman"/>
                <w:color w:val="000000"/>
                <w:szCs w:val="21"/>
              </w:rPr>
              <w:t>考核教材分析与教学设计占40%。</w:t>
            </w:r>
          </w:p>
        </w:tc>
        <w:tc>
          <w:tcPr>
            <w:tcW w:w="1415" w:type="dxa"/>
            <w:vAlign w:val="center"/>
          </w:tcPr>
          <w:p w14:paraId="02C0E647">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课程目标1</w:t>
            </w:r>
          </w:p>
          <w:p w14:paraId="53DAE097">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课程目标2</w:t>
            </w:r>
          </w:p>
          <w:p w14:paraId="0564FB8E">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课程目标3</w:t>
            </w:r>
          </w:p>
          <w:p w14:paraId="711B229F">
            <w:pPr>
              <w:adjustRightInd w:val="0"/>
              <w:snapToGrid w:val="0"/>
              <w:jc w:val="center"/>
              <w:rPr>
                <w:rFonts w:ascii="宋体" w:hAnsi="宋体" w:eastAsia="宋体" w:cs="Times New Roman"/>
                <w:szCs w:val="24"/>
              </w:rPr>
            </w:pPr>
            <w:r>
              <w:rPr>
                <w:rFonts w:hint="eastAsia" w:ascii="宋体" w:hAnsi="宋体" w:eastAsia="宋体" w:cs="Times New Roman"/>
                <w:szCs w:val="24"/>
              </w:rPr>
              <w:t>课程目标4</w:t>
            </w:r>
          </w:p>
          <w:p w14:paraId="492C93C1">
            <w:pPr>
              <w:adjustRightInd w:val="0"/>
              <w:snapToGrid w:val="0"/>
              <w:jc w:val="center"/>
              <w:rPr>
                <w:rFonts w:ascii="Calibri" w:hAnsi="Calibri" w:eastAsia="宋体" w:cs="Times New Roman"/>
                <w:b/>
                <w:szCs w:val="24"/>
              </w:rPr>
            </w:pPr>
            <w:r>
              <w:rPr>
                <w:rFonts w:hint="eastAsia" w:ascii="宋体" w:hAnsi="宋体" w:eastAsia="宋体" w:cs="Times New Roman"/>
                <w:szCs w:val="24"/>
              </w:rPr>
              <w:t>课程目标5</w:t>
            </w:r>
          </w:p>
        </w:tc>
        <w:tc>
          <w:tcPr>
            <w:tcW w:w="1273" w:type="dxa"/>
            <w:vAlign w:val="center"/>
          </w:tcPr>
          <w:p w14:paraId="1CADB5A1">
            <w:pPr>
              <w:adjustRightInd w:val="0"/>
              <w:snapToGrid w:val="0"/>
              <w:jc w:val="center"/>
              <w:rPr>
                <w:rFonts w:ascii="Calibri" w:hAnsi="Calibri" w:eastAsia="宋体" w:cs="Times New Roman"/>
                <w:szCs w:val="24"/>
              </w:rPr>
            </w:pPr>
            <w:r>
              <w:rPr>
                <w:rFonts w:hint="eastAsia" w:ascii="Calibri" w:hAnsi="Calibri" w:eastAsia="宋体" w:cs="Times New Roman"/>
                <w:szCs w:val="24"/>
              </w:rPr>
              <w:t>课程基本理论、新教材设计理念、新教材内容与特点，新教材实施方式、评价方式等。</w:t>
            </w:r>
          </w:p>
        </w:tc>
        <w:tc>
          <w:tcPr>
            <w:tcW w:w="1140" w:type="dxa"/>
            <w:vAlign w:val="center"/>
          </w:tcPr>
          <w:p w14:paraId="7B5D6EB5">
            <w:pPr>
              <w:adjustRightInd w:val="0"/>
              <w:snapToGrid w:val="0"/>
              <w:jc w:val="center"/>
              <w:rPr>
                <w:rFonts w:ascii="宋体" w:hAnsi="宋体" w:eastAsia="宋体" w:cs="Times New Roman"/>
                <w:szCs w:val="24"/>
              </w:rPr>
            </w:pPr>
            <w:r>
              <w:rPr>
                <w:rFonts w:hint="eastAsia" w:ascii="宋体" w:hAnsi="宋体" w:eastAsia="宋体" w:cs="Times New Roman"/>
                <w:szCs w:val="24"/>
              </w:rPr>
              <w:t>3</w:t>
            </w:r>
            <w:r>
              <w:rPr>
                <w:rFonts w:ascii="宋体" w:hAnsi="宋体" w:eastAsia="宋体" w:cs="Times New Roman"/>
                <w:szCs w:val="24"/>
              </w:rPr>
              <w:t>-3</w:t>
            </w:r>
          </w:p>
          <w:p w14:paraId="5278DB8A">
            <w:pPr>
              <w:adjustRightInd w:val="0"/>
              <w:snapToGrid w:val="0"/>
              <w:jc w:val="center"/>
              <w:rPr>
                <w:rFonts w:ascii="宋体" w:hAnsi="宋体" w:eastAsia="宋体" w:cs="Times New Roman"/>
                <w:szCs w:val="24"/>
              </w:rPr>
            </w:pPr>
            <w:r>
              <w:rPr>
                <w:rFonts w:ascii="宋体" w:hAnsi="宋体" w:eastAsia="宋体" w:cs="Times New Roman"/>
                <w:szCs w:val="24"/>
              </w:rPr>
              <w:t>4-1</w:t>
            </w:r>
          </w:p>
          <w:p w14:paraId="657C3FAA">
            <w:pPr>
              <w:adjustRightInd w:val="0"/>
              <w:snapToGrid w:val="0"/>
              <w:jc w:val="center"/>
              <w:rPr>
                <w:rFonts w:ascii="宋体" w:hAnsi="宋体" w:eastAsia="宋体" w:cs="Times New Roman"/>
                <w:szCs w:val="24"/>
              </w:rPr>
            </w:pPr>
            <w:r>
              <w:rPr>
                <w:rFonts w:ascii="宋体" w:hAnsi="宋体" w:eastAsia="宋体" w:cs="Times New Roman"/>
                <w:szCs w:val="24"/>
              </w:rPr>
              <w:t>4-2</w:t>
            </w:r>
          </w:p>
          <w:p w14:paraId="4F417D04">
            <w:pPr>
              <w:adjustRightInd w:val="0"/>
              <w:snapToGrid w:val="0"/>
              <w:jc w:val="center"/>
              <w:rPr>
                <w:rFonts w:ascii="宋体" w:hAnsi="宋体" w:eastAsia="宋体" w:cs="Times New Roman"/>
                <w:szCs w:val="24"/>
              </w:rPr>
            </w:pPr>
            <w:r>
              <w:rPr>
                <w:rFonts w:ascii="宋体" w:hAnsi="宋体" w:eastAsia="宋体" w:cs="Times New Roman"/>
                <w:szCs w:val="24"/>
              </w:rPr>
              <w:t>5-2</w:t>
            </w:r>
          </w:p>
          <w:p w14:paraId="0434F056">
            <w:pPr>
              <w:adjustRightInd w:val="0"/>
              <w:snapToGrid w:val="0"/>
              <w:jc w:val="center"/>
              <w:rPr>
                <w:rFonts w:ascii="宋体" w:hAnsi="宋体" w:eastAsia="宋体" w:cs="Times New Roman"/>
                <w:szCs w:val="24"/>
              </w:rPr>
            </w:pPr>
            <w:r>
              <w:rPr>
                <w:rFonts w:ascii="宋体" w:hAnsi="宋体" w:eastAsia="宋体" w:cs="Times New Roman"/>
                <w:szCs w:val="24"/>
              </w:rPr>
              <w:t>6-2</w:t>
            </w:r>
          </w:p>
          <w:p w14:paraId="36447477">
            <w:pPr>
              <w:adjustRightInd w:val="0"/>
              <w:snapToGrid w:val="0"/>
              <w:jc w:val="center"/>
              <w:rPr>
                <w:rFonts w:ascii="Calibri" w:hAnsi="Calibri" w:eastAsia="宋体" w:cs="Times New Roman"/>
                <w:szCs w:val="24"/>
              </w:rPr>
            </w:pPr>
            <w:r>
              <w:rPr>
                <w:rFonts w:ascii="宋体" w:hAnsi="宋体" w:eastAsia="宋体" w:cs="Times New Roman"/>
                <w:szCs w:val="24"/>
              </w:rPr>
              <w:t>8-1</w:t>
            </w:r>
          </w:p>
        </w:tc>
      </w:tr>
    </w:tbl>
    <w:p w14:paraId="47EA56F1">
      <w:pPr>
        <w:spacing w:line="360" w:lineRule="auto"/>
        <w:rPr>
          <w:rFonts w:ascii="Calibri" w:hAnsi="Calibri" w:eastAsia="宋体" w:cs="Times New Roman"/>
          <w:sz w:val="24"/>
          <w:szCs w:val="24"/>
        </w:rPr>
      </w:pPr>
    </w:p>
    <w:p w14:paraId="6D0FB97A">
      <w:pPr>
        <w:spacing w:line="360" w:lineRule="auto"/>
        <w:rPr>
          <w:rFonts w:ascii="Calibri" w:hAnsi="Calibri" w:eastAsia="宋体" w:cs="Times New Roman"/>
          <w:sz w:val="24"/>
          <w:szCs w:val="24"/>
        </w:rPr>
      </w:pPr>
      <w:r>
        <w:rPr>
          <w:rFonts w:hint="eastAsia" w:ascii="Calibri" w:hAnsi="Calibri" w:eastAsia="宋体" w:cs="Times New Roman"/>
          <w:sz w:val="24"/>
          <w:szCs w:val="24"/>
        </w:rPr>
        <w:t>（三）课程目标及考核方式权重分配表</w:t>
      </w:r>
    </w:p>
    <w:tbl>
      <w:tblPr>
        <w:tblStyle w:val="262"/>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584"/>
        <w:gridCol w:w="1902"/>
        <w:gridCol w:w="1426"/>
        <w:gridCol w:w="2065"/>
      </w:tblGrid>
      <w:tr w14:paraId="2F45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326" w:type="dxa"/>
            <w:gridSpan w:val="2"/>
            <w:vAlign w:val="center"/>
          </w:tcPr>
          <w:p w14:paraId="1E05A815">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课程目标及权重</w:t>
            </w:r>
          </w:p>
        </w:tc>
        <w:tc>
          <w:tcPr>
            <w:tcW w:w="5393" w:type="dxa"/>
            <w:gridSpan w:val="3"/>
            <w:vAlign w:val="center"/>
          </w:tcPr>
          <w:p w14:paraId="5F4313FB">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考核方式及权重</w:t>
            </w:r>
          </w:p>
        </w:tc>
      </w:tr>
      <w:tr w14:paraId="6AFE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742" w:type="dxa"/>
            <w:vAlign w:val="center"/>
          </w:tcPr>
          <w:p w14:paraId="44CD66CC">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项目</w:t>
            </w:r>
          </w:p>
        </w:tc>
        <w:tc>
          <w:tcPr>
            <w:tcW w:w="1584" w:type="dxa"/>
            <w:vAlign w:val="center"/>
          </w:tcPr>
          <w:p w14:paraId="422F6EB4">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权重（</w:t>
            </w:r>
            <w:r>
              <w:rPr>
                <w:rFonts w:ascii="宋体" w:hAnsi="宋体" w:eastAsia="宋体" w:cs="Times New Roman"/>
                <w:kern w:val="0"/>
                <w:sz w:val="20"/>
                <w:szCs w:val="21"/>
              </w:rPr>
              <w:t>a</w:t>
            </w:r>
            <w:r>
              <w:rPr>
                <w:rFonts w:hint="eastAsia" w:ascii="宋体" w:hAnsi="宋体" w:eastAsia="宋体" w:cs="Times New Roman"/>
                <w:kern w:val="0"/>
                <w:sz w:val="20"/>
                <w:szCs w:val="21"/>
              </w:rPr>
              <w:t>）</w:t>
            </w:r>
          </w:p>
        </w:tc>
        <w:tc>
          <w:tcPr>
            <w:tcW w:w="1902" w:type="dxa"/>
            <w:vAlign w:val="center"/>
          </w:tcPr>
          <w:p w14:paraId="4B211FFF">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评价依据</w:t>
            </w:r>
          </w:p>
        </w:tc>
        <w:tc>
          <w:tcPr>
            <w:tcW w:w="1426" w:type="dxa"/>
            <w:vAlign w:val="center"/>
          </w:tcPr>
          <w:p w14:paraId="608184B0">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权重（b）</w:t>
            </w:r>
          </w:p>
        </w:tc>
        <w:tc>
          <w:tcPr>
            <w:tcW w:w="2065" w:type="dxa"/>
            <w:vAlign w:val="center"/>
          </w:tcPr>
          <w:p w14:paraId="13C16FD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考核方式权重合计</w:t>
            </w:r>
          </w:p>
        </w:tc>
      </w:tr>
      <w:tr w14:paraId="4594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restart"/>
            <w:vAlign w:val="center"/>
          </w:tcPr>
          <w:p w14:paraId="1984690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584" w:type="dxa"/>
            <w:vMerge w:val="restart"/>
            <w:vAlign w:val="center"/>
          </w:tcPr>
          <w:p w14:paraId="680DA7DF">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15%</w:t>
            </w:r>
          </w:p>
        </w:tc>
        <w:tc>
          <w:tcPr>
            <w:tcW w:w="1902" w:type="dxa"/>
            <w:vAlign w:val="center"/>
          </w:tcPr>
          <w:p w14:paraId="4345EA81">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作业1</w:t>
            </w:r>
          </w:p>
        </w:tc>
        <w:tc>
          <w:tcPr>
            <w:tcW w:w="1426" w:type="dxa"/>
            <w:vAlign w:val="center"/>
          </w:tcPr>
          <w:p w14:paraId="65E5F63D">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50%</w:t>
            </w:r>
          </w:p>
        </w:tc>
        <w:tc>
          <w:tcPr>
            <w:tcW w:w="2065" w:type="dxa"/>
            <w:vMerge w:val="restart"/>
            <w:vAlign w:val="center"/>
          </w:tcPr>
          <w:p w14:paraId="362FA455">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r w14:paraId="741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continue"/>
            <w:vAlign w:val="center"/>
          </w:tcPr>
          <w:p w14:paraId="7E51B4CA">
            <w:pPr>
              <w:adjustRightInd w:val="0"/>
              <w:snapToGrid w:val="0"/>
              <w:jc w:val="center"/>
              <w:rPr>
                <w:rFonts w:ascii="宋体" w:hAnsi="宋体" w:eastAsia="宋体" w:cs="Times New Roman"/>
                <w:kern w:val="0"/>
                <w:sz w:val="20"/>
                <w:szCs w:val="21"/>
              </w:rPr>
            </w:pPr>
          </w:p>
        </w:tc>
        <w:tc>
          <w:tcPr>
            <w:tcW w:w="1584" w:type="dxa"/>
            <w:vMerge w:val="continue"/>
            <w:vAlign w:val="center"/>
          </w:tcPr>
          <w:p w14:paraId="37CB3101">
            <w:pPr>
              <w:adjustRightInd w:val="0"/>
              <w:snapToGrid w:val="0"/>
              <w:jc w:val="center"/>
              <w:rPr>
                <w:rFonts w:ascii="宋体" w:hAnsi="宋体" w:eastAsia="宋体" w:cs="Times New Roman"/>
                <w:kern w:val="0"/>
                <w:sz w:val="20"/>
                <w:szCs w:val="21"/>
              </w:rPr>
            </w:pPr>
          </w:p>
        </w:tc>
        <w:tc>
          <w:tcPr>
            <w:tcW w:w="1902" w:type="dxa"/>
            <w:vAlign w:val="center"/>
          </w:tcPr>
          <w:p w14:paraId="5AC8DD7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26" w:type="dxa"/>
            <w:vAlign w:val="center"/>
          </w:tcPr>
          <w:p w14:paraId="02C28DA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5</w:t>
            </w:r>
            <w:r>
              <w:rPr>
                <w:rFonts w:ascii="宋体" w:hAnsi="宋体" w:eastAsia="宋体" w:cs="Times New Roman"/>
                <w:kern w:val="0"/>
                <w:sz w:val="20"/>
                <w:szCs w:val="21"/>
              </w:rPr>
              <w:t>0%</w:t>
            </w:r>
          </w:p>
        </w:tc>
        <w:tc>
          <w:tcPr>
            <w:tcW w:w="2065" w:type="dxa"/>
            <w:vMerge w:val="continue"/>
            <w:vAlign w:val="center"/>
          </w:tcPr>
          <w:p w14:paraId="37D906A9">
            <w:pPr>
              <w:adjustRightInd w:val="0"/>
              <w:snapToGrid w:val="0"/>
              <w:jc w:val="center"/>
              <w:rPr>
                <w:rFonts w:ascii="宋体" w:hAnsi="宋体" w:eastAsia="宋体" w:cs="Times New Roman"/>
                <w:kern w:val="0"/>
                <w:sz w:val="20"/>
                <w:szCs w:val="21"/>
              </w:rPr>
            </w:pPr>
          </w:p>
        </w:tc>
      </w:tr>
      <w:tr w14:paraId="453D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742" w:type="dxa"/>
            <w:vMerge w:val="restart"/>
            <w:vAlign w:val="center"/>
          </w:tcPr>
          <w:p w14:paraId="7129E1A8">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584" w:type="dxa"/>
            <w:vMerge w:val="restart"/>
            <w:vAlign w:val="center"/>
          </w:tcPr>
          <w:p w14:paraId="0115E2E0">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30%</w:t>
            </w:r>
          </w:p>
        </w:tc>
        <w:tc>
          <w:tcPr>
            <w:tcW w:w="1902" w:type="dxa"/>
            <w:vAlign w:val="center"/>
          </w:tcPr>
          <w:p w14:paraId="125D9AF1">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作业2</w:t>
            </w:r>
          </w:p>
        </w:tc>
        <w:tc>
          <w:tcPr>
            <w:tcW w:w="1426" w:type="dxa"/>
            <w:vAlign w:val="center"/>
          </w:tcPr>
          <w:p w14:paraId="28EEB8A2">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2065" w:type="dxa"/>
            <w:vMerge w:val="restart"/>
            <w:vAlign w:val="center"/>
          </w:tcPr>
          <w:p w14:paraId="2AF85F0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r w14:paraId="654D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42" w:type="dxa"/>
            <w:vMerge w:val="continue"/>
            <w:vAlign w:val="center"/>
          </w:tcPr>
          <w:p w14:paraId="76E9C054">
            <w:pPr>
              <w:adjustRightInd w:val="0"/>
              <w:snapToGrid w:val="0"/>
              <w:jc w:val="center"/>
              <w:rPr>
                <w:rFonts w:ascii="宋体" w:hAnsi="宋体" w:eastAsia="宋体" w:cs="Times New Roman"/>
                <w:kern w:val="0"/>
                <w:sz w:val="20"/>
                <w:szCs w:val="21"/>
              </w:rPr>
            </w:pPr>
          </w:p>
        </w:tc>
        <w:tc>
          <w:tcPr>
            <w:tcW w:w="1584" w:type="dxa"/>
            <w:vMerge w:val="continue"/>
            <w:vAlign w:val="center"/>
          </w:tcPr>
          <w:p w14:paraId="623E4F36">
            <w:pPr>
              <w:adjustRightInd w:val="0"/>
              <w:snapToGrid w:val="0"/>
              <w:jc w:val="center"/>
              <w:rPr>
                <w:rFonts w:ascii="宋体" w:hAnsi="宋体" w:eastAsia="宋体" w:cs="Times New Roman"/>
                <w:kern w:val="0"/>
                <w:sz w:val="20"/>
                <w:szCs w:val="21"/>
              </w:rPr>
            </w:pPr>
          </w:p>
        </w:tc>
        <w:tc>
          <w:tcPr>
            <w:tcW w:w="1902" w:type="dxa"/>
            <w:vAlign w:val="center"/>
          </w:tcPr>
          <w:p w14:paraId="485801C0">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426" w:type="dxa"/>
            <w:vAlign w:val="center"/>
          </w:tcPr>
          <w:p w14:paraId="6A1A25F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2065" w:type="dxa"/>
            <w:vMerge w:val="continue"/>
            <w:vAlign w:val="center"/>
          </w:tcPr>
          <w:p w14:paraId="7AE4BC90">
            <w:pPr>
              <w:adjustRightInd w:val="0"/>
              <w:snapToGrid w:val="0"/>
              <w:jc w:val="center"/>
              <w:rPr>
                <w:rFonts w:ascii="宋体" w:hAnsi="宋体" w:eastAsia="宋体" w:cs="Times New Roman"/>
                <w:kern w:val="0"/>
                <w:sz w:val="20"/>
                <w:szCs w:val="21"/>
              </w:rPr>
            </w:pPr>
          </w:p>
        </w:tc>
      </w:tr>
      <w:tr w14:paraId="7087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42" w:type="dxa"/>
            <w:vMerge w:val="restart"/>
            <w:vAlign w:val="center"/>
          </w:tcPr>
          <w:p w14:paraId="7083EA43">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584" w:type="dxa"/>
            <w:vMerge w:val="restart"/>
            <w:vAlign w:val="center"/>
          </w:tcPr>
          <w:p w14:paraId="6B98E74A">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1902" w:type="dxa"/>
            <w:vAlign w:val="center"/>
          </w:tcPr>
          <w:p w14:paraId="100FFA7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作业3</w:t>
            </w:r>
          </w:p>
        </w:tc>
        <w:tc>
          <w:tcPr>
            <w:tcW w:w="1426" w:type="dxa"/>
            <w:vAlign w:val="center"/>
          </w:tcPr>
          <w:p w14:paraId="57A030DF">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2065" w:type="dxa"/>
            <w:vMerge w:val="restart"/>
            <w:vAlign w:val="center"/>
          </w:tcPr>
          <w:p w14:paraId="7432289E">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r w14:paraId="7583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42" w:type="dxa"/>
            <w:vMerge w:val="continue"/>
            <w:vAlign w:val="center"/>
          </w:tcPr>
          <w:p w14:paraId="74CFEFF8">
            <w:pPr>
              <w:adjustRightInd w:val="0"/>
              <w:snapToGrid w:val="0"/>
              <w:jc w:val="center"/>
              <w:rPr>
                <w:rFonts w:ascii="宋体" w:hAnsi="宋体" w:eastAsia="宋体" w:cs="Times New Roman"/>
                <w:kern w:val="0"/>
                <w:sz w:val="20"/>
                <w:szCs w:val="21"/>
              </w:rPr>
            </w:pPr>
          </w:p>
        </w:tc>
        <w:tc>
          <w:tcPr>
            <w:tcW w:w="1584" w:type="dxa"/>
            <w:vMerge w:val="continue"/>
            <w:vAlign w:val="center"/>
          </w:tcPr>
          <w:p w14:paraId="76078E56">
            <w:pPr>
              <w:adjustRightInd w:val="0"/>
              <w:snapToGrid w:val="0"/>
              <w:jc w:val="center"/>
              <w:rPr>
                <w:rFonts w:ascii="宋体" w:hAnsi="宋体" w:eastAsia="宋体" w:cs="Times New Roman"/>
                <w:kern w:val="0"/>
                <w:sz w:val="20"/>
                <w:szCs w:val="21"/>
              </w:rPr>
            </w:pPr>
          </w:p>
        </w:tc>
        <w:tc>
          <w:tcPr>
            <w:tcW w:w="1902" w:type="dxa"/>
            <w:vAlign w:val="center"/>
          </w:tcPr>
          <w:p w14:paraId="69710029">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426" w:type="dxa"/>
            <w:vAlign w:val="center"/>
          </w:tcPr>
          <w:p w14:paraId="75D2FAE7">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2065" w:type="dxa"/>
            <w:vMerge w:val="continue"/>
            <w:vAlign w:val="center"/>
          </w:tcPr>
          <w:p w14:paraId="0224C6C7">
            <w:pPr>
              <w:adjustRightInd w:val="0"/>
              <w:snapToGrid w:val="0"/>
              <w:jc w:val="center"/>
              <w:rPr>
                <w:rFonts w:ascii="宋体" w:hAnsi="宋体" w:eastAsia="宋体" w:cs="Times New Roman"/>
                <w:kern w:val="0"/>
                <w:sz w:val="20"/>
                <w:szCs w:val="21"/>
              </w:rPr>
            </w:pPr>
          </w:p>
        </w:tc>
      </w:tr>
      <w:tr w14:paraId="3429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42" w:type="dxa"/>
            <w:vMerge w:val="continue"/>
            <w:vAlign w:val="center"/>
          </w:tcPr>
          <w:p w14:paraId="69669DE5">
            <w:pPr>
              <w:adjustRightInd w:val="0"/>
              <w:snapToGrid w:val="0"/>
              <w:jc w:val="center"/>
              <w:rPr>
                <w:rFonts w:ascii="宋体" w:hAnsi="宋体" w:eastAsia="宋体" w:cs="Times New Roman"/>
                <w:kern w:val="0"/>
                <w:sz w:val="20"/>
                <w:szCs w:val="21"/>
              </w:rPr>
            </w:pPr>
          </w:p>
        </w:tc>
        <w:tc>
          <w:tcPr>
            <w:tcW w:w="1584" w:type="dxa"/>
            <w:vMerge w:val="continue"/>
            <w:vAlign w:val="center"/>
          </w:tcPr>
          <w:p w14:paraId="7826ED2A">
            <w:pPr>
              <w:adjustRightInd w:val="0"/>
              <w:snapToGrid w:val="0"/>
              <w:jc w:val="center"/>
              <w:rPr>
                <w:rFonts w:ascii="宋体" w:hAnsi="宋体" w:eastAsia="宋体" w:cs="Times New Roman"/>
                <w:kern w:val="0"/>
                <w:sz w:val="20"/>
                <w:szCs w:val="21"/>
              </w:rPr>
            </w:pPr>
          </w:p>
        </w:tc>
        <w:tc>
          <w:tcPr>
            <w:tcW w:w="1902" w:type="dxa"/>
            <w:vAlign w:val="center"/>
          </w:tcPr>
          <w:p w14:paraId="0F50FBA7">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26" w:type="dxa"/>
            <w:vAlign w:val="center"/>
          </w:tcPr>
          <w:p w14:paraId="65002BF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5</w:t>
            </w:r>
            <w:r>
              <w:rPr>
                <w:rFonts w:ascii="宋体" w:hAnsi="宋体" w:eastAsia="宋体" w:cs="Times New Roman"/>
                <w:kern w:val="0"/>
                <w:sz w:val="20"/>
                <w:szCs w:val="21"/>
              </w:rPr>
              <w:t>0%</w:t>
            </w:r>
          </w:p>
        </w:tc>
        <w:tc>
          <w:tcPr>
            <w:tcW w:w="2065" w:type="dxa"/>
            <w:vMerge w:val="continue"/>
            <w:vAlign w:val="center"/>
          </w:tcPr>
          <w:p w14:paraId="17561E48">
            <w:pPr>
              <w:adjustRightInd w:val="0"/>
              <w:snapToGrid w:val="0"/>
              <w:jc w:val="center"/>
              <w:rPr>
                <w:rFonts w:ascii="宋体" w:hAnsi="宋体" w:eastAsia="宋体" w:cs="Times New Roman"/>
                <w:kern w:val="0"/>
                <w:sz w:val="20"/>
                <w:szCs w:val="21"/>
              </w:rPr>
            </w:pPr>
          </w:p>
        </w:tc>
      </w:tr>
      <w:tr w14:paraId="255C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restart"/>
            <w:vAlign w:val="center"/>
          </w:tcPr>
          <w:p w14:paraId="07E7B3BB">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584" w:type="dxa"/>
            <w:vMerge w:val="restart"/>
            <w:vAlign w:val="center"/>
          </w:tcPr>
          <w:p w14:paraId="4D42AC94">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1902" w:type="dxa"/>
            <w:vAlign w:val="center"/>
          </w:tcPr>
          <w:p w14:paraId="5C2DBC3E">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426" w:type="dxa"/>
            <w:vAlign w:val="center"/>
          </w:tcPr>
          <w:p w14:paraId="41830EAA">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40%</w:t>
            </w:r>
          </w:p>
        </w:tc>
        <w:tc>
          <w:tcPr>
            <w:tcW w:w="2065" w:type="dxa"/>
            <w:vMerge w:val="restart"/>
            <w:vAlign w:val="center"/>
          </w:tcPr>
          <w:p w14:paraId="435FC0B6">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r w14:paraId="5591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continue"/>
            <w:vAlign w:val="center"/>
          </w:tcPr>
          <w:p w14:paraId="63D4E7DE">
            <w:pPr>
              <w:adjustRightInd w:val="0"/>
              <w:snapToGrid w:val="0"/>
              <w:jc w:val="center"/>
              <w:rPr>
                <w:rFonts w:ascii="宋体" w:hAnsi="宋体" w:eastAsia="宋体" w:cs="Times New Roman"/>
                <w:kern w:val="0"/>
                <w:sz w:val="20"/>
                <w:szCs w:val="21"/>
              </w:rPr>
            </w:pPr>
          </w:p>
        </w:tc>
        <w:tc>
          <w:tcPr>
            <w:tcW w:w="1584" w:type="dxa"/>
            <w:vMerge w:val="continue"/>
            <w:vAlign w:val="center"/>
          </w:tcPr>
          <w:p w14:paraId="3EAD6B26">
            <w:pPr>
              <w:adjustRightInd w:val="0"/>
              <w:snapToGrid w:val="0"/>
              <w:jc w:val="center"/>
              <w:rPr>
                <w:rFonts w:ascii="宋体" w:hAnsi="宋体" w:eastAsia="宋体" w:cs="Times New Roman"/>
                <w:kern w:val="0"/>
                <w:sz w:val="20"/>
                <w:szCs w:val="21"/>
              </w:rPr>
            </w:pPr>
          </w:p>
        </w:tc>
        <w:tc>
          <w:tcPr>
            <w:tcW w:w="1902" w:type="dxa"/>
            <w:vAlign w:val="center"/>
          </w:tcPr>
          <w:p w14:paraId="2E61DBC9">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26" w:type="dxa"/>
            <w:vAlign w:val="center"/>
          </w:tcPr>
          <w:p w14:paraId="14C06158">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60%</w:t>
            </w:r>
          </w:p>
        </w:tc>
        <w:tc>
          <w:tcPr>
            <w:tcW w:w="2065" w:type="dxa"/>
            <w:vMerge w:val="continue"/>
            <w:vAlign w:val="center"/>
          </w:tcPr>
          <w:p w14:paraId="23468E5B">
            <w:pPr>
              <w:adjustRightInd w:val="0"/>
              <w:snapToGrid w:val="0"/>
              <w:jc w:val="center"/>
              <w:rPr>
                <w:rFonts w:ascii="宋体" w:hAnsi="宋体" w:eastAsia="宋体" w:cs="Times New Roman"/>
                <w:kern w:val="0"/>
                <w:sz w:val="20"/>
                <w:szCs w:val="21"/>
              </w:rPr>
            </w:pPr>
          </w:p>
        </w:tc>
      </w:tr>
      <w:tr w14:paraId="378C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restart"/>
            <w:vAlign w:val="center"/>
          </w:tcPr>
          <w:p w14:paraId="7E7F785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课程目标5</w:t>
            </w:r>
          </w:p>
        </w:tc>
        <w:tc>
          <w:tcPr>
            <w:tcW w:w="1584" w:type="dxa"/>
            <w:vMerge w:val="restart"/>
            <w:vAlign w:val="center"/>
          </w:tcPr>
          <w:p w14:paraId="34BF23A8">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15%</w:t>
            </w:r>
          </w:p>
        </w:tc>
        <w:tc>
          <w:tcPr>
            <w:tcW w:w="1902" w:type="dxa"/>
            <w:vAlign w:val="center"/>
          </w:tcPr>
          <w:p w14:paraId="22D1C1F8">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作业3</w:t>
            </w:r>
          </w:p>
        </w:tc>
        <w:tc>
          <w:tcPr>
            <w:tcW w:w="1426" w:type="dxa"/>
            <w:vAlign w:val="center"/>
          </w:tcPr>
          <w:p w14:paraId="4BDA9530">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20%</w:t>
            </w:r>
          </w:p>
        </w:tc>
        <w:tc>
          <w:tcPr>
            <w:tcW w:w="2065" w:type="dxa"/>
            <w:vMerge w:val="restart"/>
            <w:vAlign w:val="center"/>
          </w:tcPr>
          <w:p w14:paraId="2ED0B76D">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r w14:paraId="5A50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continue"/>
            <w:vAlign w:val="center"/>
          </w:tcPr>
          <w:p w14:paraId="57F3526B">
            <w:pPr>
              <w:adjustRightInd w:val="0"/>
              <w:snapToGrid w:val="0"/>
              <w:jc w:val="center"/>
              <w:rPr>
                <w:rFonts w:ascii="宋体" w:hAnsi="宋体" w:eastAsia="宋体" w:cs="Times New Roman"/>
                <w:kern w:val="0"/>
                <w:sz w:val="20"/>
                <w:szCs w:val="21"/>
              </w:rPr>
            </w:pPr>
          </w:p>
        </w:tc>
        <w:tc>
          <w:tcPr>
            <w:tcW w:w="1584" w:type="dxa"/>
            <w:vMerge w:val="continue"/>
            <w:vAlign w:val="center"/>
          </w:tcPr>
          <w:p w14:paraId="01E81EE3">
            <w:pPr>
              <w:adjustRightInd w:val="0"/>
              <w:snapToGrid w:val="0"/>
              <w:jc w:val="center"/>
              <w:rPr>
                <w:rFonts w:ascii="宋体" w:hAnsi="宋体" w:eastAsia="宋体" w:cs="Times New Roman"/>
                <w:kern w:val="0"/>
                <w:sz w:val="20"/>
                <w:szCs w:val="21"/>
              </w:rPr>
            </w:pPr>
          </w:p>
        </w:tc>
        <w:tc>
          <w:tcPr>
            <w:tcW w:w="1902" w:type="dxa"/>
            <w:vAlign w:val="center"/>
          </w:tcPr>
          <w:p w14:paraId="5E51D29A">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426" w:type="dxa"/>
            <w:vAlign w:val="center"/>
          </w:tcPr>
          <w:p w14:paraId="336C3BAD">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40%</w:t>
            </w:r>
          </w:p>
        </w:tc>
        <w:tc>
          <w:tcPr>
            <w:tcW w:w="2065" w:type="dxa"/>
            <w:vMerge w:val="continue"/>
            <w:vAlign w:val="center"/>
          </w:tcPr>
          <w:p w14:paraId="0834416B">
            <w:pPr>
              <w:adjustRightInd w:val="0"/>
              <w:snapToGrid w:val="0"/>
              <w:jc w:val="center"/>
              <w:rPr>
                <w:rFonts w:ascii="宋体" w:hAnsi="宋体" w:eastAsia="宋体" w:cs="Times New Roman"/>
                <w:kern w:val="0"/>
                <w:sz w:val="20"/>
                <w:szCs w:val="21"/>
              </w:rPr>
            </w:pPr>
          </w:p>
        </w:tc>
      </w:tr>
      <w:tr w14:paraId="1D74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742" w:type="dxa"/>
            <w:vMerge w:val="continue"/>
            <w:vAlign w:val="center"/>
          </w:tcPr>
          <w:p w14:paraId="484B4D22">
            <w:pPr>
              <w:adjustRightInd w:val="0"/>
              <w:snapToGrid w:val="0"/>
              <w:jc w:val="center"/>
              <w:rPr>
                <w:rFonts w:ascii="宋体" w:hAnsi="宋体" w:eastAsia="宋体" w:cs="Times New Roman"/>
                <w:kern w:val="0"/>
                <w:sz w:val="20"/>
                <w:szCs w:val="21"/>
              </w:rPr>
            </w:pPr>
          </w:p>
        </w:tc>
        <w:tc>
          <w:tcPr>
            <w:tcW w:w="1584" w:type="dxa"/>
            <w:vMerge w:val="continue"/>
            <w:vAlign w:val="center"/>
          </w:tcPr>
          <w:p w14:paraId="7ECCC84D">
            <w:pPr>
              <w:adjustRightInd w:val="0"/>
              <w:snapToGrid w:val="0"/>
              <w:jc w:val="center"/>
              <w:rPr>
                <w:rFonts w:ascii="宋体" w:hAnsi="宋体" w:eastAsia="宋体" w:cs="Times New Roman"/>
                <w:kern w:val="0"/>
                <w:sz w:val="20"/>
                <w:szCs w:val="21"/>
              </w:rPr>
            </w:pPr>
          </w:p>
        </w:tc>
        <w:tc>
          <w:tcPr>
            <w:tcW w:w="1902" w:type="dxa"/>
            <w:vAlign w:val="center"/>
          </w:tcPr>
          <w:p w14:paraId="63FA7707">
            <w:pPr>
              <w:adjustRightInd w:val="0"/>
              <w:snapToGrid w:val="0"/>
              <w:jc w:val="center"/>
              <w:rPr>
                <w:rFonts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26" w:type="dxa"/>
            <w:vAlign w:val="center"/>
          </w:tcPr>
          <w:p w14:paraId="42A7E9EA">
            <w:pPr>
              <w:adjustRightInd w:val="0"/>
              <w:snapToGrid w:val="0"/>
              <w:jc w:val="center"/>
              <w:rPr>
                <w:rFonts w:ascii="宋体" w:hAnsi="宋体" w:eastAsia="宋体" w:cs="Times New Roman"/>
                <w:kern w:val="0"/>
                <w:sz w:val="20"/>
                <w:szCs w:val="21"/>
              </w:rPr>
            </w:pPr>
            <w:r>
              <w:rPr>
                <w:rFonts w:ascii="宋体" w:hAnsi="宋体" w:eastAsia="宋体" w:cs="Times New Roman"/>
                <w:kern w:val="0"/>
                <w:sz w:val="20"/>
                <w:szCs w:val="21"/>
              </w:rPr>
              <w:t>40%</w:t>
            </w:r>
          </w:p>
        </w:tc>
        <w:tc>
          <w:tcPr>
            <w:tcW w:w="2065" w:type="dxa"/>
            <w:vMerge w:val="continue"/>
            <w:vAlign w:val="center"/>
          </w:tcPr>
          <w:p w14:paraId="1B440AD1">
            <w:pPr>
              <w:adjustRightInd w:val="0"/>
              <w:snapToGrid w:val="0"/>
              <w:jc w:val="center"/>
              <w:rPr>
                <w:rFonts w:ascii="宋体" w:hAnsi="宋体" w:eastAsia="宋体" w:cs="Times New Roman"/>
                <w:kern w:val="0"/>
                <w:sz w:val="20"/>
                <w:szCs w:val="21"/>
              </w:rPr>
            </w:pPr>
          </w:p>
        </w:tc>
      </w:tr>
    </w:tbl>
    <w:p w14:paraId="7F39218E">
      <w:pPr>
        <w:spacing w:line="360" w:lineRule="auto"/>
        <w:rPr>
          <w:rFonts w:ascii="Calibri" w:hAnsi="Calibri" w:eastAsia="宋体" w:cs="Times New Roman"/>
          <w:sz w:val="24"/>
          <w:szCs w:val="24"/>
        </w:rPr>
      </w:pPr>
      <w:r>
        <w:rPr>
          <w:rFonts w:hint="eastAsia" w:ascii="Calibri" w:hAnsi="Calibri" w:eastAsia="宋体" w:cs="Times New Roman"/>
          <w:sz w:val="24"/>
          <w:szCs w:val="24"/>
        </w:rPr>
        <w:t>（四）课程目标达成度计算方法</w:t>
      </w:r>
    </w:p>
    <w:p w14:paraId="2B764F69">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所有课程目标均需大于等</w:t>
      </w:r>
      <w:r>
        <w:rPr>
          <w:rFonts w:hint="eastAsia" w:ascii="宋体" w:hAnsi="宋体" w:eastAsia="宋体" w:cs="Times New Roman"/>
          <w:sz w:val="24"/>
          <w:szCs w:val="24"/>
        </w:rPr>
        <w:t>于</w:t>
      </w:r>
      <w:r>
        <w:rPr>
          <w:rFonts w:hint="eastAsia" w:ascii="宋体" w:hAnsi="宋体" w:eastAsia="宋体" w:cs="Times New Roman"/>
          <w:szCs w:val="21"/>
        </w:rPr>
        <w:t>0</w:t>
      </w:r>
      <w:r>
        <w:rPr>
          <w:rFonts w:ascii="宋体" w:hAnsi="宋体" w:eastAsia="宋体" w:cs="Times New Roman"/>
          <w:szCs w:val="21"/>
        </w:rPr>
        <w:t>.6</w:t>
      </w:r>
      <w:r>
        <w:rPr>
          <w:rFonts w:hint="eastAsia" w:ascii="Calibri" w:hAnsi="Calibri" w:eastAsia="宋体" w:cs="Times New Roman"/>
          <w:sz w:val="24"/>
          <w:szCs w:val="24"/>
        </w:rPr>
        <w:t>，否则总评成绩不及格，需要补考或重修。每门课程目标总体达成度计算方法如下：</w:t>
      </w:r>
    </w:p>
    <w:p w14:paraId="09689073">
      <w:pPr>
        <w:spacing w:line="360"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3F736A47">
      <w:pPr>
        <w:spacing w:line="360" w:lineRule="auto"/>
        <w:rPr>
          <w:rFonts w:ascii="Calibri" w:hAnsi="Calibri" w:eastAsia="宋体" w:cs="Times New Roman"/>
          <w:b/>
          <w:sz w:val="28"/>
          <w:szCs w:val="28"/>
        </w:rPr>
      </w:pPr>
      <w:r>
        <w:rPr>
          <w:rFonts w:hint="eastAsia" w:ascii="Calibri" w:hAnsi="Calibri" w:eastAsia="宋体" w:cs="Times New Roman"/>
          <w:b/>
          <w:sz w:val="28"/>
          <w:szCs w:val="28"/>
        </w:rPr>
        <w:t>七</w:t>
      </w:r>
      <w:r>
        <w:rPr>
          <w:rFonts w:ascii="Calibri" w:hAnsi="Calibri" w:eastAsia="宋体" w:cs="Times New Roman"/>
          <w:b/>
          <w:sz w:val="28"/>
          <w:szCs w:val="28"/>
        </w:rPr>
        <w:t>、</w:t>
      </w:r>
      <w:r>
        <w:rPr>
          <w:rFonts w:hint="eastAsia" w:ascii="Calibri" w:hAnsi="Calibri" w:eastAsia="宋体" w:cs="Times New Roman"/>
          <w:b/>
          <w:sz w:val="28"/>
          <w:szCs w:val="28"/>
        </w:rPr>
        <w:t>有关说明</w:t>
      </w:r>
    </w:p>
    <w:p w14:paraId="53E8964D">
      <w:pPr>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（一）持续改进</w:t>
      </w:r>
    </w:p>
    <w:p w14:paraId="78E3487B">
      <w:pPr>
        <w:spacing w:line="360" w:lineRule="auto"/>
        <w:ind w:firstLine="480" w:firstLineChars="200"/>
        <w:rPr>
          <w:rFonts w:ascii="Calibri" w:hAnsi="Calibri" w:eastAsia="宋体" w:cs="Times New Roman"/>
          <w:sz w:val="24"/>
        </w:rPr>
      </w:pPr>
      <w:r>
        <w:rPr>
          <w:rFonts w:ascii="Calibri" w:hAnsi="Calibri" w:eastAsia="宋体" w:cs="Times New Roman"/>
          <w:sz w:val="24"/>
        </w:rPr>
        <w:t>本课程根据学生作业、课堂讨论、</w:t>
      </w:r>
      <w:r>
        <w:rPr>
          <w:rFonts w:hint="eastAsia" w:ascii="Calibri" w:hAnsi="Calibri" w:eastAsia="宋体" w:cs="Times New Roman"/>
          <w:sz w:val="24"/>
        </w:rPr>
        <w:t>教学</w:t>
      </w:r>
      <w:r>
        <w:rPr>
          <w:rFonts w:ascii="Calibri" w:hAnsi="Calibri" w:eastAsia="宋体" w:cs="Times New Roman"/>
          <w:sz w:val="24"/>
        </w:rPr>
        <w:t>环节、平时考核情况和学生、教学督导等</w:t>
      </w:r>
      <w:r>
        <w:rPr>
          <w:rFonts w:hint="eastAsia" w:ascii="Calibri" w:hAnsi="Calibri" w:eastAsia="宋体" w:cs="Times New Roman"/>
          <w:sz w:val="24"/>
        </w:rPr>
        <w:t>的</w:t>
      </w:r>
      <w:r>
        <w:rPr>
          <w:rFonts w:ascii="Calibri" w:hAnsi="Calibri" w:eastAsia="宋体" w:cs="Times New Roman"/>
          <w:sz w:val="24"/>
        </w:rPr>
        <w:t>反馈，及时对教学中</w:t>
      </w:r>
      <w:r>
        <w:rPr>
          <w:rFonts w:hint="eastAsia" w:ascii="Calibri" w:hAnsi="Calibri" w:eastAsia="宋体" w:cs="Times New Roman"/>
          <w:sz w:val="24"/>
        </w:rPr>
        <w:t>的</w:t>
      </w:r>
      <w:r>
        <w:rPr>
          <w:rFonts w:ascii="Calibri" w:hAnsi="Calibri" w:eastAsia="宋体" w:cs="Times New Roman"/>
          <w:sz w:val="24"/>
        </w:rPr>
        <w:t>不足之处进行改进，并在下一轮课程教学中</w:t>
      </w:r>
      <w:r>
        <w:rPr>
          <w:rFonts w:hint="eastAsia" w:ascii="Calibri" w:hAnsi="Calibri" w:eastAsia="宋体" w:cs="Times New Roman"/>
          <w:sz w:val="24"/>
        </w:rPr>
        <w:t>整改完善</w:t>
      </w:r>
      <w:r>
        <w:rPr>
          <w:rFonts w:ascii="Calibri" w:hAnsi="Calibri" w:eastAsia="宋体" w:cs="Times New Roman"/>
          <w:sz w:val="24"/>
        </w:rPr>
        <w:t>，确保相应毕业要求指标点达成。</w:t>
      </w:r>
    </w:p>
    <w:p w14:paraId="0074E17A">
      <w:pPr>
        <w:spacing w:line="360" w:lineRule="auto"/>
        <w:ind w:firstLine="482" w:firstLineChars="200"/>
        <w:rPr>
          <w:rFonts w:ascii="Calibri" w:hAnsi="Calibri" w:eastAsia="宋体" w:cs="Times New Roman"/>
          <w:b/>
          <w:color w:val="000000"/>
          <w:sz w:val="24"/>
          <w:szCs w:val="24"/>
        </w:rPr>
      </w:pPr>
      <w:r>
        <w:rPr>
          <w:rFonts w:hint="eastAsia" w:ascii="Calibri" w:hAnsi="Calibri" w:eastAsia="宋体" w:cs="Times New Roman"/>
          <w:b/>
          <w:color w:val="000000"/>
          <w:sz w:val="24"/>
          <w:szCs w:val="24"/>
        </w:rPr>
        <w:t>（二）</w:t>
      </w:r>
      <w:r>
        <w:rPr>
          <w:rFonts w:ascii="Calibri" w:hAnsi="Calibri" w:eastAsia="宋体" w:cs="Times New Roman"/>
          <w:b/>
          <w:color w:val="000000"/>
          <w:sz w:val="24"/>
          <w:szCs w:val="24"/>
        </w:rPr>
        <w:t>参考书目及学习资料</w:t>
      </w:r>
    </w:p>
    <w:p w14:paraId="648E2C70">
      <w:pPr>
        <w:spacing w:line="360" w:lineRule="auto"/>
        <w:ind w:firstLine="480" w:firstLineChars="200"/>
        <w:rPr>
          <w:rFonts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教材</w:t>
      </w:r>
    </w:p>
    <w:p w14:paraId="51B3C43B">
      <w:pPr>
        <w:spacing w:line="360" w:lineRule="auto"/>
        <w:ind w:firstLine="480" w:firstLineChars="200"/>
        <w:rPr>
          <w:rFonts w:ascii="宋体" w:hAnsi="宋体" w:eastAsia="宋体" w:cs="Times New Roman"/>
          <w:sz w:val="24"/>
        </w:rPr>
      </w:pPr>
      <w:r>
        <w:rPr>
          <w:rFonts w:hint="eastAsia" w:ascii="Times New Roman" w:hAnsi="Times New Roman" w:eastAsia="宋体" w:cs="Times New Roman"/>
          <w:kern w:val="0"/>
          <w:sz w:val="24"/>
          <w:szCs w:val="24"/>
        </w:rPr>
        <w:t>刘慧</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《小学道德与法治课程与教学》，西南师范大学</w:t>
      </w:r>
      <w:r>
        <w:rPr>
          <w:rFonts w:hint="eastAsia" w:ascii="宋体" w:hAnsi="宋体" w:eastAsia="宋体" w:cs="Times New Roman"/>
          <w:kern w:val="0"/>
          <w:sz w:val="24"/>
          <w:szCs w:val="24"/>
        </w:rPr>
        <w:t>出版社</w:t>
      </w:r>
      <w:r>
        <w:rPr>
          <w:rFonts w:ascii="宋体" w:hAnsi="宋体" w:eastAsia="宋体" w:cs="Times New Roman"/>
          <w:kern w:val="0"/>
          <w:sz w:val="24"/>
          <w:szCs w:val="24"/>
        </w:rPr>
        <w:t>.</w:t>
      </w:r>
      <w:r>
        <w:rPr>
          <w:rFonts w:hint="eastAsia" w:ascii="宋体" w:hAnsi="宋体" w:eastAsia="宋体" w:cs="Times New Roman"/>
          <w:kern w:val="0"/>
          <w:sz w:val="24"/>
          <w:szCs w:val="24"/>
        </w:rPr>
        <w:t>20</w:t>
      </w:r>
      <w:r>
        <w:rPr>
          <w:rFonts w:ascii="宋体" w:hAnsi="宋体" w:eastAsia="宋体" w:cs="Times New Roman"/>
          <w:kern w:val="0"/>
          <w:sz w:val="24"/>
          <w:szCs w:val="24"/>
        </w:rPr>
        <w:t>21</w:t>
      </w:r>
      <w:r>
        <w:rPr>
          <w:rFonts w:hint="eastAsia" w:ascii="宋体" w:hAnsi="宋体" w:eastAsia="宋体" w:cs="Times New Roman"/>
          <w:kern w:val="0"/>
          <w:sz w:val="24"/>
          <w:szCs w:val="24"/>
        </w:rPr>
        <w:t>.</w:t>
      </w:r>
    </w:p>
    <w:p w14:paraId="67DF4191">
      <w:pPr>
        <w:spacing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教学参考书</w:t>
      </w:r>
    </w:p>
    <w:p w14:paraId="114E7AE7">
      <w:pPr>
        <w:spacing w:line="360" w:lineRule="auto"/>
        <w:ind w:firstLine="480" w:firstLineChars="200"/>
        <w:rPr>
          <w:rFonts w:ascii="宋体" w:hAnsi="宋体" w:eastAsia="宋体" w:cs="宋体"/>
          <w:color w:val="000000"/>
          <w:kern w:val="0"/>
          <w:szCs w:val="21"/>
        </w:rPr>
      </w:pPr>
      <w:r>
        <w:rPr>
          <w:rFonts w:hint="eastAsia" w:ascii="宋体" w:hAnsi="宋体" w:eastAsia="宋体" w:cs="Times New Roman"/>
          <w:sz w:val="24"/>
        </w:rPr>
        <w:t>教育部编.义务教育小学品德与生活、品德与社会课程标准.2011.</w:t>
      </w:r>
    </w:p>
    <w:p w14:paraId="4AB3B30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张茂聪.儿童品德发展与道德教育.济南：山东人民出版社.2012.</w:t>
      </w:r>
    </w:p>
    <w:p w14:paraId="62A176E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沈</w:t>
      </w:r>
      <w:r>
        <w:rPr>
          <w:rFonts w:hint="eastAsia" w:ascii="Calibri" w:hAnsi="Calibri" w:eastAsia="宋体" w:cs="Times New Roman"/>
          <w:sz w:val="24"/>
        </w:rPr>
        <w:t>晓敏.小学品德与社会（生活）课程研究.上海：华东师</w:t>
      </w:r>
      <w:r>
        <w:rPr>
          <w:rFonts w:hint="eastAsia" w:ascii="宋体" w:hAnsi="宋体" w:eastAsia="宋体" w:cs="Times New Roman"/>
          <w:sz w:val="24"/>
        </w:rPr>
        <w:t>范大学出版社.2016.</w:t>
      </w:r>
    </w:p>
    <w:p w14:paraId="69DB2837">
      <w:pPr>
        <w:autoSpaceDE w:val="0"/>
        <w:autoSpaceDN w:val="0"/>
        <w:adjustRightInd w:val="0"/>
        <w:spacing w:line="360" w:lineRule="auto"/>
        <w:jc w:val="left"/>
        <w:rPr>
          <w:rFonts w:ascii="宋体" w:hAnsi="宋体" w:eastAsia="宋体" w:cs="Times New Roman"/>
          <w:kern w:val="0"/>
          <w:sz w:val="24"/>
          <w:szCs w:val="21"/>
        </w:rPr>
      </w:pPr>
    </w:p>
    <w:p w14:paraId="740C8E98">
      <w:pPr>
        <w:autoSpaceDE w:val="0"/>
        <w:autoSpaceDN w:val="0"/>
        <w:adjustRightInd w:val="0"/>
        <w:spacing w:line="360" w:lineRule="auto"/>
        <w:ind w:right="1440"/>
        <w:jc w:val="center"/>
        <w:rPr>
          <w:rFonts w:ascii="Calibri" w:hAnsi="Calibri" w:eastAsia="宋体" w:cs="Times New Roman"/>
          <w:kern w:val="0"/>
          <w:sz w:val="24"/>
          <w:szCs w:val="21"/>
        </w:rPr>
      </w:pPr>
      <w:r>
        <w:rPr>
          <w:rFonts w:hint="eastAsia" w:ascii="Calibri" w:hAnsi="Calibri" w:eastAsia="宋体" w:cs="Times New Roman"/>
          <w:kern w:val="0"/>
          <w:sz w:val="24"/>
          <w:szCs w:val="21"/>
        </w:rPr>
        <w:t xml:space="preserve">                                      </w:t>
      </w:r>
      <w:r>
        <w:rPr>
          <w:rFonts w:ascii="Calibri" w:hAnsi="Calibri" w:eastAsia="宋体" w:cs="Times New Roman"/>
          <w:kern w:val="0"/>
          <w:sz w:val="24"/>
          <w:szCs w:val="21"/>
        </w:rPr>
        <w:t>执笔人：</w:t>
      </w:r>
      <w:r>
        <w:rPr>
          <w:rFonts w:hint="eastAsia" w:ascii="Calibri" w:hAnsi="Calibri" w:eastAsia="宋体" w:cs="Times New Roman"/>
          <w:kern w:val="0"/>
          <w:sz w:val="24"/>
          <w:szCs w:val="21"/>
        </w:rPr>
        <w:t>王雅丽</w:t>
      </w:r>
      <w:r>
        <w:rPr>
          <w:rFonts w:ascii="Calibri" w:hAnsi="Calibri" w:eastAsia="宋体" w:cs="Times New Roman"/>
          <w:kern w:val="0"/>
          <w:sz w:val="24"/>
          <w:szCs w:val="21"/>
        </w:rPr>
        <w:t xml:space="preserve"> </w:t>
      </w:r>
    </w:p>
    <w:p w14:paraId="61516139">
      <w:pPr>
        <w:autoSpaceDE w:val="0"/>
        <w:autoSpaceDN w:val="0"/>
        <w:adjustRightInd w:val="0"/>
        <w:spacing w:line="360" w:lineRule="auto"/>
        <w:ind w:right="1440"/>
        <w:jc w:val="center"/>
        <w:rPr>
          <w:rFonts w:ascii="Calibri" w:hAnsi="Calibri" w:eastAsia="宋体" w:cs="Times New Roman"/>
          <w:kern w:val="0"/>
          <w:sz w:val="24"/>
          <w:szCs w:val="21"/>
        </w:rPr>
      </w:pPr>
      <w:r>
        <w:rPr>
          <w:rFonts w:hint="eastAsia" w:ascii="Calibri" w:hAnsi="Calibri" w:eastAsia="宋体" w:cs="Times New Roman"/>
          <w:kern w:val="0"/>
          <w:sz w:val="24"/>
          <w:szCs w:val="21"/>
        </w:rPr>
        <w:t xml:space="preserve">                                      </w:t>
      </w:r>
      <w:r>
        <w:rPr>
          <w:rFonts w:ascii="Calibri" w:hAnsi="Calibri" w:eastAsia="宋体" w:cs="Times New Roman"/>
          <w:kern w:val="0"/>
          <w:sz w:val="24"/>
          <w:szCs w:val="21"/>
        </w:rPr>
        <w:t>审定人：</w:t>
      </w:r>
      <w:r>
        <w:rPr>
          <w:rFonts w:hint="eastAsia" w:ascii="Calibri" w:hAnsi="Calibri" w:eastAsia="宋体" w:cs="Times New Roman"/>
          <w:kern w:val="0"/>
          <w:sz w:val="24"/>
          <w:szCs w:val="21"/>
        </w:rPr>
        <w:t>王  健</w:t>
      </w:r>
      <w:r>
        <w:rPr>
          <w:rFonts w:ascii="Calibri" w:hAnsi="Calibri" w:eastAsia="宋体" w:cs="Times New Roman"/>
          <w:kern w:val="0"/>
          <w:sz w:val="24"/>
          <w:szCs w:val="21"/>
        </w:rPr>
        <w:t xml:space="preserve"> </w:t>
      </w:r>
    </w:p>
    <w:p w14:paraId="6F08CE7A">
      <w:pPr>
        <w:autoSpaceDE w:val="0"/>
        <w:autoSpaceDN w:val="0"/>
        <w:adjustRightInd w:val="0"/>
        <w:spacing w:line="360" w:lineRule="auto"/>
        <w:ind w:right="1440"/>
        <w:jc w:val="center"/>
        <w:rPr>
          <w:rFonts w:ascii="Calibri" w:hAnsi="Calibri" w:eastAsia="宋体" w:cs="Times New Roman"/>
          <w:kern w:val="0"/>
          <w:sz w:val="24"/>
          <w:szCs w:val="21"/>
        </w:rPr>
      </w:pPr>
      <w:r>
        <w:rPr>
          <w:rFonts w:hint="eastAsia" w:ascii="Calibri" w:hAnsi="Calibri" w:eastAsia="宋体" w:cs="Times New Roman"/>
          <w:kern w:val="0"/>
          <w:sz w:val="24"/>
          <w:szCs w:val="21"/>
        </w:rPr>
        <w:t xml:space="preserve">                                      审批</w:t>
      </w:r>
      <w:r>
        <w:rPr>
          <w:rFonts w:ascii="Calibri" w:hAnsi="Calibri" w:eastAsia="宋体" w:cs="Times New Roman"/>
          <w:kern w:val="0"/>
          <w:sz w:val="24"/>
          <w:szCs w:val="21"/>
        </w:rPr>
        <w:t>人：</w:t>
      </w:r>
      <w:r>
        <w:rPr>
          <w:rFonts w:hint="eastAsia" w:ascii="Calibri" w:hAnsi="Calibri" w:eastAsia="宋体" w:cs="Times New Roman"/>
          <w:kern w:val="0"/>
          <w:sz w:val="24"/>
          <w:szCs w:val="21"/>
        </w:rPr>
        <w:t>张志欣</w:t>
      </w:r>
    </w:p>
    <w:p w14:paraId="4DD1239D">
      <w:pPr>
        <w:ind w:right="480"/>
        <w:jc w:val="center"/>
        <w:rPr>
          <w:rFonts w:ascii="宋体" w:hAnsi="宋体" w:eastAsia="宋体" w:cs="Times New Roman"/>
          <w:szCs w:val="24"/>
        </w:rPr>
      </w:pPr>
      <w:r>
        <w:rPr>
          <w:rFonts w:hint="eastAsia" w:ascii="宋体" w:hAnsi="宋体" w:eastAsia="宋体" w:cs="Times New Roman"/>
          <w:kern w:val="0"/>
          <w:sz w:val="24"/>
          <w:szCs w:val="21"/>
        </w:rPr>
        <w:t xml:space="preserve">                                        批准时间：2</w:t>
      </w:r>
      <w:r>
        <w:rPr>
          <w:rFonts w:ascii="宋体" w:hAnsi="宋体" w:eastAsia="宋体" w:cs="Times New Roman"/>
          <w:kern w:val="0"/>
          <w:sz w:val="24"/>
          <w:szCs w:val="21"/>
        </w:rPr>
        <w:t>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w:t>
      </w:r>
      <w:r>
        <w:rPr>
          <w:rFonts w:ascii="宋体" w:hAnsi="宋体" w:eastAsia="宋体" w:cs="Times New Roman"/>
          <w:kern w:val="0"/>
          <w:sz w:val="24"/>
          <w:szCs w:val="21"/>
        </w:rPr>
        <w:t>8</w:t>
      </w:r>
      <w:r>
        <w:rPr>
          <w:rFonts w:hint="eastAsia" w:ascii="宋体" w:hAnsi="宋体" w:eastAsia="宋体" w:cs="Times New Roman"/>
          <w:kern w:val="0"/>
          <w:sz w:val="24"/>
          <w:szCs w:val="21"/>
        </w:rPr>
        <w:t>月3</w:t>
      </w:r>
      <w:r>
        <w:rPr>
          <w:rFonts w:ascii="宋体" w:hAnsi="宋体" w:eastAsia="宋体" w:cs="Times New Roman"/>
          <w:kern w:val="0"/>
          <w:sz w:val="24"/>
          <w:szCs w:val="21"/>
        </w:rPr>
        <w:t>0</w:t>
      </w:r>
      <w:r>
        <w:rPr>
          <w:rFonts w:hint="eastAsia" w:ascii="宋体" w:hAnsi="宋体" w:eastAsia="宋体" w:cs="Times New Roman"/>
          <w:kern w:val="0"/>
          <w:sz w:val="24"/>
          <w:szCs w:val="21"/>
        </w:rPr>
        <w:t>日</w:t>
      </w:r>
    </w:p>
    <w:p w14:paraId="123B11FD">
      <w:pPr>
        <w:rPr>
          <w:rFonts w:ascii="宋体" w:hAnsi="宋体" w:eastAsia="宋体" w:cs="Times New Roman"/>
          <w:b/>
          <w:bCs/>
          <w:sz w:val="30"/>
          <w:szCs w:val="24"/>
        </w:rPr>
      </w:pPr>
    </w:p>
    <w:p w14:paraId="26FBBD1A">
      <w:pPr>
        <w:rPr>
          <w:rFonts w:ascii="宋体" w:hAnsi="宋体" w:eastAsia="宋体" w:cs="Times New Roman"/>
          <w:b/>
          <w:bCs/>
          <w:sz w:val="30"/>
          <w:szCs w:val="24"/>
        </w:rPr>
      </w:pPr>
    </w:p>
    <w:p w14:paraId="42F851E5">
      <w:pPr>
        <w:rPr>
          <w:rFonts w:ascii="宋体" w:hAnsi="宋体" w:eastAsia="宋体" w:cs="Times New Roman"/>
          <w:b/>
          <w:bCs/>
          <w:sz w:val="30"/>
          <w:szCs w:val="24"/>
        </w:rPr>
      </w:pPr>
    </w:p>
    <w:p w14:paraId="6AEDEC5F">
      <w:pPr>
        <w:rPr>
          <w:rFonts w:ascii="宋体" w:hAnsi="宋体" w:eastAsia="宋体" w:cs="Times New Roman"/>
          <w:b/>
          <w:bCs/>
          <w:sz w:val="30"/>
          <w:szCs w:val="24"/>
        </w:rPr>
      </w:pPr>
    </w:p>
    <w:p w14:paraId="69CEB010">
      <w:pPr>
        <w:rPr>
          <w:rFonts w:hint="eastAsia" w:ascii="宋体" w:hAnsi="宋体"/>
          <w:b/>
          <w:bCs/>
          <w:sz w:val="30"/>
        </w:rPr>
      </w:pPr>
      <w:r>
        <w:rPr>
          <w:rFonts w:hint="eastAsia" w:ascii="宋体" w:hAnsi="宋体" w:eastAsia="宋体" w:cs="Times New Roman"/>
          <w:b/>
          <w:bCs/>
          <w:sz w:val="30"/>
          <w:szCs w:val="24"/>
        </w:rPr>
        <w:br w:type="page"/>
      </w:r>
      <w:r>
        <w:rPr>
          <w:rFonts w:hint="eastAsia" w:ascii="宋体" w:hAnsi="宋体" w:eastAsia="宋体" w:cs="Times New Roman"/>
          <w:b/>
          <w:bCs/>
          <w:sz w:val="30"/>
          <w:szCs w:val="24"/>
          <w:lang w:val="en-US" w:eastAsia="zh-CN"/>
        </w:rPr>
        <w:t xml:space="preserve">           </w:t>
      </w:r>
      <w:r>
        <w:rPr>
          <w:rFonts w:hint="eastAsia" w:ascii="宋体" w:hAnsi="宋体"/>
          <w:b/>
          <w:bCs/>
          <w:sz w:val="30"/>
        </w:rPr>
        <w:t>小学数学教学案例</w:t>
      </w:r>
      <w:r>
        <w:rPr>
          <w:rFonts w:ascii="宋体" w:hAnsi="宋体"/>
          <w:b/>
          <w:bCs/>
          <w:sz w:val="30"/>
        </w:rPr>
        <w:t>研究课程教学大纲</w:t>
      </w:r>
    </w:p>
    <w:p w14:paraId="16E7AAE9">
      <w:pPr>
        <w:spacing w:line="312" w:lineRule="auto"/>
        <w:jc w:val="center"/>
        <w:rPr>
          <w:rFonts w:ascii="宋体" w:hAnsi="宋体"/>
          <w:b/>
          <w:bCs/>
          <w:sz w:val="30"/>
        </w:rPr>
      </w:pPr>
      <w:r>
        <w:rPr>
          <w:rFonts w:ascii="宋体" w:hAnsi="宋体"/>
          <w:b/>
          <w:bCs/>
          <w:sz w:val="30"/>
        </w:rPr>
        <w:t>（The Case Study of Mathematical Teaching in Primary School）</w:t>
      </w:r>
    </w:p>
    <w:p w14:paraId="67B18ED3">
      <w:pPr>
        <w:spacing w:line="360" w:lineRule="auto"/>
        <w:ind w:firstLine="551" w:firstLineChars="196"/>
        <w:outlineLvl w:val="0"/>
        <w:rPr>
          <w:rFonts w:hint="eastAsia" w:ascii="宋体" w:hAnsi="宋体"/>
          <w:b/>
          <w:sz w:val="28"/>
          <w:szCs w:val="28"/>
        </w:rPr>
      </w:pPr>
      <w:r>
        <w:rPr>
          <w:rFonts w:ascii="宋体" w:hAnsi="宋体"/>
          <w:b/>
          <w:sz w:val="28"/>
          <w:szCs w:val="28"/>
        </w:rPr>
        <w:t>一、课程概况</w:t>
      </w:r>
    </w:p>
    <w:p w14:paraId="11875767">
      <w:pPr>
        <w:spacing w:line="360" w:lineRule="auto"/>
        <w:ind w:firstLine="482" w:firstLineChars="200"/>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ascii="宋体" w:hAnsi="宋体"/>
          <w:kern w:val="0"/>
          <w:sz w:val="24"/>
          <w:szCs w:val="22"/>
        </w:rPr>
        <w:t>2401041</w:t>
      </w:r>
    </w:p>
    <w:p w14:paraId="3F020CDA">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66B30AF8">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（其中：讲授学时16</w:t>
      </w:r>
      <w:r>
        <w:rPr>
          <w:rFonts w:hint="eastAsia" w:ascii="宋体" w:hAnsi="宋体"/>
          <w:kern w:val="0"/>
          <w:sz w:val="24"/>
        </w:rPr>
        <w:t>，</w:t>
      </w:r>
      <w:r>
        <w:rPr>
          <w:rFonts w:ascii="宋体" w:hAnsi="宋体"/>
          <w:kern w:val="0"/>
          <w:sz w:val="24"/>
        </w:rPr>
        <w:t xml:space="preserve"> 实践学时16）</w:t>
      </w:r>
    </w:p>
    <w:p w14:paraId="6551D15D">
      <w:pPr>
        <w:pStyle w:val="10"/>
        <w:ind w:firstLine="482"/>
        <w:jc w:val="left"/>
        <w:rPr>
          <w:rFonts w:hint="eastAsia" w:ascii="宋体" w:hAnsi="宋体"/>
          <w:sz w:val="24"/>
          <w:szCs w:val="22"/>
          <w:lang w:val="en-US" w:eastAsia="zh-CN"/>
        </w:rPr>
      </w:pPr>
      <w:r>
        <w:rPr>
          <w:rFonts w:ascii="宋体" w:hAnsi="宋体"/>
          <w:b/>
          <w:bCs/>
          <w:kern w:val="0"/>
          <w:sz w:val="24"/>
        </w:rPr>
        <w:t>先修课程</w:t>
      </w:r>
      <w:r>
        <w:rPr>
          <w:rFonts w:ascii="宋体" w:hAnsi="宋体"/>
          <w:b/>
          <w:kern w:val="0"/>
          <w:sz w:val="24"/>
        </w:rPr>
        <w:t>：</w:t>
      </w:r>
      <w:r>
        <w:rPr>
          <w:rFonts w:ascii="宋体" w:hAnsi="宋体"/>
          <w:sz w:val="24"/>
          <w:szCs w:val="22"/>
          <w:lang w:val="en-US" w:eastAsia="zh-CN"/>
        </w:rPr>
        <w:t>教育心理学、课程与教学论、</w:t>
      </w:r>
      <w:r>
        <w:rPr>
          <w:rFonts w:hint="eastAsia" w:ascii="宋体" w:hAnsi="宋体"/>
          <w:sz w:val="24"/>
          <w:szCs w:val="22"/>
          <w:lang w:val="en-US" w:eastAsia="zh-CN"/>
        </w:rPr>
        <w:t>小学数学课程标准与教材分析、小学数学教学设计与实施</w:t>
      </w:r>
    </w:p>
    <w:p w14:paraId="6DA5C10F">
      <w:pPr>
        <w:spacing w:line="360" w:lineRule="auto"/>
        <w:ind w:firstLine="482" w:firstLineChars="200"/>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kern w:val="0"/>
          <w:sz w:val="24"/>
        </w:rPr>
        <w:t>小学</w:t>
      </w:r>
      <w:r>
        <w:rPr>
          <w:rFonts w:ascii="宋体" w:hAnsi="宋体"/>
          <w:kern w:val="0"/>
          <w:sz w:val="24"/>
        </w:rPr>
        <w:t>教育</w:t>
      </w:r>
      <w:r>
        <w:rPr>
          <w:rFonts w:hint="eastAsia" w:ascii="宋体" w:hAnsi="宋体"/>
          <w:kern w:val="0"/>
          <w:sz w:val="24"/>
        </w:rPr>
        <w:t>（</w:t>
      </w:r>
      <w:r>
        <w:rPr>
          <w:rFonts w:ascii="宋体" w:hAnsi="宋体"/>
          <w:kern w:val="0"/>
          <w:sz w:val="24"/>
        </w:rPr>
        <w:t xml:space="preserve">理）                          </w:t>
      </w:r>
    </w:p>
    <w:p w14:paraId="5FAB91F7">
      <w:pPr>
        <w:spacing w:line="360" w:lineRule="auto"/>
        <w:ind w:firstLine="482" w:firstLineChars="200"/>
        <w:rPr>
          <w:rFonts w:ascii="宋体" w:hAnsi="宋体"/>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kern w:val="0"/>
          <w:sz w:val="24"/>
        </w:rPr>
        <w:t>《小学数学课程教学与示例导引》，吕彬，教育科学出版社，2014</w:t>
      </w:r>
      <w:r>
        <w:rPr>
          <w:rFonts w:ascii="宋体" w:hAnsi="宋体"/>
          <w:kern w:val="0"/>
          <w:sz w:val="24"/>
        </w:rPr>
        <w:t>.</w:t>
      </w:r>
    </w:p>
    <w:p w14:paraId="26F1E82B">
      <w:pPr>
        <w:spacing w:line="360" w:lineRule="auto"/>
        <w:ind w:firstLine="482" w:firstLineChars="200"/>
        <w:rPr>
          <w:rFonts w:hint="eastAsia"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05C9F728">
      <w:pPr>
        <w:autoSpaceDE w:val="0"/>
        <w:autoSpaceDN w:val="0"/>
        <w:adjustRightInd w:val="0"/>
        <w:spacing w:line="360" w:lineRule="auto"/>
        <w:ind w:firstLine="482" w:firstLineChars="200"/>
        <w:jc w:val="left"/>
        <w:rPr>
          <w:rFonts w:ascii="宋体" w:hAnsi="宋体"/>
          <w:kern w:val="0"/>
          <w:sz w:val="24"/>
          <w:szCs w:val="22"/>
        </w:rPr>
      </w:pPr>
      <w:r>
        <w:rPr>
          <w:rFonts w:hint="eastAsia" w:ascii="宋体" w:hAnsi="宋体"/>
          <w:b/>
          <w:bCs/>
          <w:kern w:val="0"/>
          <w:sz w:val="24"/>
        </w:rPr>
        <w:t>课程的性质与任务：</w:t>
      </w:r>
      <w:r>
        <w:rPr>
          <w:rFonts w:hint="eastAsia" w:ascii="宋体" w:hAnsi="宋体"/>
          <w:kern w:val="0"/>
          <w:sz w:val="24"/>
        </w:rPr>
        <w:t>本课程是小学教育（理）专业的一门专业选修课程。本课程旨在帮助师范生通过对小学数学教学案例的分析，获取有益的数学教学经验，加深对数学教学理论的理解，树立正确的教学观，为成为一名合格的小学数学教师打下良好的基础。</w:t>
      </w:r>
    </w:p>
    <w:p w14:paraId="26F0523D">
      <w:pPr>
        <w:spacing w:line="360" w:lineRule="auto"/>
        <w:ind w:firstLine="562" w:firstLineChars="200"/>
        <w:outlineLvl w:val="0"/>
        <w:rPr>
          <w:rFonts w:hint="eastAsia" w:ascii="宋体" w:hAnsi="宋体"/>
          <w:b/>
          <w:sz w:val="28"/>
          <w:szCs w:val="28"/>
        </w:rPr>
      </w:pPr>
      <w:r>
        <w:rPr>
          <w:rFonts w:hint="eastAsia" w:ascii="宋体" w:hAnsi="宋体"/>
          <w:b/>
          <w:sz w:val="28"/>
          <w:szCs w:val="28"/>
        </w:rPr>
        <w:t>二</w:t>
      </w:r>
      <w:r>
        <w:rPr>
          <w:rFonts w:ascii="宋体" w:hAnsi="宋体"/>
          <w:b/>
          <w:sz w:val="28"/>
          <w:szCs w:val="28"/>
        </w:rPr>
        <w:t>、课程目标</w:t>
      </w:r>
    </w:p>
    <w:p w14:paraId="2F950169">
      <w:pPr>
        <w:spacing w:line="360" w:lineRule="auto"/>
        <w:ind w:firstLine="562" w:firstLineChars="200"/>
        <w:outlineLvl w:val="0"/>
        <w:rPr>
          <w:rFonts w:hint="eastAsia" w:ascii="宋体" w:hAnsi="宋体"/>
          <w:b/>
          <w:sz w:val="28"/>
          <w:szCs w:val="28"/>
        </w:rPr>
      </w:pPr>
      <w:r>
        <w:rPr>
          <w:rFonts w:hint="eastAsia" w:ascii="宋体" w:hAnsi="宋体"/>
          <w:b/>
          <w:sz w:val="28"/>
          <w:szCs w:val="28"/>
        </w:rPr>
        <w:t>（一）课程具体目标</w:t>
      </w:r>
    </w:p>
    <w:p w14:paraId="044D35EE">
      <w:pPr>
        <w:spacing w:line="360" w:lineRule="auto"/>
        <w:ind w:firstLine="482"/>
        <w:jc w:val="left"/>
        <w:rPr>
          <w:rFonts w:hint="eastAsia"/>
          <w:sz w:val="24"/>
        </w:rPr>
      </w:pPr>
      <w:r>
        <w:rPr>
          <w:rFonts w:hint="eastAsia"/>
          <w:sz w:val="24"/>
        </w:rPr>
        <w:t>目标1.</w:t>
      </w:r>
      <w:r>
        <w:rPr>
          <w:rFonts w:hint="eastAsia"/>
        </w:rPr>
        <w:t xml:space="preserve"> </w:t>
      </w:r>
      <w:r>
        <w:rPr>
          <w:rFonts w:hint="eastAsia"/>
          <w:sz w:val="24"/>
        </w:rPr>
        <w:t>理解小学数学教学案例及案例研究的内涵；明确小学数学教学案例研究的价值；了解小学数学教学案例的结构与类型；理解小学数学教学案例研究</w:t>
      </w:r>
      <w:r>
        <w:rPr>
          <w:sz w:val="24"/>
        </w:rPr>
        <w:t>的</w:t>
      </w:r>
      <w:r>
        <w:rPr>
          <w:rFonts w:hint="eastAsia"/>
          <w:sz w:val="24"/>
        </w:rPr>
        <w:t>目标</w:t>
      </w:r>
      <w:r>
        <w:rPr>
          <w:sz w:val="24"/>
        </w:rPr>
        <w:t>，掌握小学数学教学</w:t>
      </w:r>
      <w:r>
        <w:rPr>
          <w:rFonts w:hint="eastAsia"/>
          <w:sz w:val="24"/>
        </w:rPr>
        <w:t>案例</w:t>
      </w:r>
      <w:r>
        <w:rPr>
          <w:sz w:val="24"/>
        </w:rPr>
        <w:t>研究的</w:t>
      </w:r>
      <w:r>
        <w:rPr>
          <w:rFonts w:hint="eastAsia"/>
          <w:sz w:val="24"/>
        </w:rPr>
        <w:t>基本方法。</w:t>
      </w:r>
    </w:p>
    <w:p w14:paraId="7160151B">
      <w:pPr>
        <w:spacing w:line="360" w:lineRule="auto"/>
        <w:ind w:firstLine="482"/>
        <w:jc w:val="left"/>
        <w:rPr>
          <w:rFonts w:hint="eastAsia"/>
          <w:kern w:val="0"/>
          <w:sz w:val="24"/>
        </w:rPr>
      </w:pPr>
      <w:r>
        <w:rPr>
          <w:rFonts w:hint="eastAsia"/>
          <w:sz w:val="24"/>
        </w:rPr>
        <w:t>目标2.</w:t>
      </w:r>
      <w:r>
        <w:rPr>
          <w:rFonts w:hint="eastAsia"/>
          <w:kern w:val="0"/>
          <w:sz w:val="24"/>
        </w:rPr>
        <w:t xml:space="preserve"> 能够依据《数学课程标准》关于小学数学各领域的目标要求分析相关案例；了解各领域教学内容的一般特点及教学策略；能够对相关案例作出恰当的评价并提出自己的教学设想。</w:t>
      </w:r>
    </w:p>
    <w:p w14:paraId="1D7B4AEC">
      <w:pPr>
        <w:spacing w:line="360" w:lineRule="auto"/>
        <w:ind w:firstLine="482"/>
        <w:jc w:val="left"/>
        <w:rPr>
          <w:rFonts w:hint="eastAsia"/>
          <w:sz w:val="24"/>
        </w:rPr>
      </w:pPr>
      <w:r>
        <w:rPr>
          <w:rFonts w:hint="eastAsia"/>
          <w:sz w:val="24"/>
        </w:rPr>
        <w:t>目标</w:t>
      </w:r>
      <w:r>
        <w:rPr>
          <w:sz w:val="24"/>
        </w:rPr>
        <w:t>3</w:t>
      </w:r>
      <w:r>
        <w:rPr>
          <w:rFonts w:hint="eastAsia"/>
          <w:sz w:val="24"/>
        </w:rPr>
        <w:t>. 深化对小学数学课程性质、理念、目标的认识，逐步形成自己的数学教育观。</w:t>
      </w:r>
    </w:p>
    <w:p w14:paraId="7B65A124">
      <w:pPr>
        <w:spacing w:line="360" w:lineRule="auto"/>
        <w:ind w:firstLine="482"/>
        <w:jc w:val="left"/>
        <w:rPr>
          <w:rFonts w:hint="eastAsia"/>
          <w:sz w:val="24"/>
        </w:rPr>
      </w:pPr>
      <w:r>
        <w:rPr>
          <w:rFonts w:hint="eastAsia"/>
          <w:sz w:val="24"/>
        </w:rPr>
        <w:t>目标</w:t>
      </w:r>
      <w:r>
        <w:rPr>
          <w:sz w:val="24"/>
        </w:rPr>
        <w:t>4</w:t>
      </w:r>
      <w:r>
        <w:rPr>
          <w:rFonts w:hint="eastAsia"/>
          <w:sz w:val="24"/>
        </w:rPr>
        <w:t>. 借鉴名师的先进经验，敢于挑战权威，勇于创新，具有较强的研究能力和反思能力。形成严谨、踏实的学习和教学态度，能够主动寻求同学和老师的帮助，具有强烈的团队合作意识。</w:t>
      </w:r>
    </w:p>
    <w:p w14:paraId="4CFCCCFE">
      <w:pPr>
        <w:spacing w:line="360" w:lineRule="auto"/>
        <w:ind w:firstLine="480" w:firstLineChars="200"/>
        <w:rPr>
          <w:rFonts w:ascii="宋体" w:hAnsi="宋体"/>
          <w:kern w:val="0"/>
          <w:sz w:val="24"/>
          <w:szCs w:val="22"/>
        </w:rPr>
      </w:pPr>
    </w:p>
    <w:p w14:paraId="6DC99986">
      <w:pPr>
        <w:spacing w:line="360" w:lineRule="auto"/>
        <w:ind w:firstLine="480" w:firstLineChars="200"/>
        <w:rPr>
          <w:rFonts w:ascii="宋体" w:hAnsi="宋体"/>
          <w:kern w:val="0"/>
          <w:sz w:val="24"/>
          <w:szCs w:val="22"/>
        </w:rPr>
      </w:pPr>
    </w:p>
    <w:p w14:paraId="667A8C3E">
      <w:pPr>
        <w:spacing w:line="360" w:lineRule="auto"/>
        <w:ind w:firstLine="562" w:firstLineChars="200"/>
        <w:outlineLvl w:val="0"/>
        <w:rPr>
          <w:rFonts w:hint="eastAsia" w:ascii="宋体" w:hAnsi="宋体"/>
          <w:b/>
          <w:sz w:val="28"/>
          <w:szCs w:val="28"/>
        </w:rPr>
      </w:pPr>
      <w:r>
        <w:rPr>
          <w:rFonts w:hint="eastAsia" w:ascii="宋体" w:hAnsi="宋体"/>
          <w:b/>
          <w:sz w:val="28"/>
          <w:szCs w:val="28"/>
        </w:rPr>
        <w:t>（二）课程目标与专业毕业要求的关系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2472"/>
        <w:gridCol w:w="4977"/>
      </w:tblGrid>
      <w:tr w14:paraId="3F97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0C277828">
            <w:pPr>
              <w:pStyle w:val="58"/>
              <w:spacing w:line="276" w:lineRule="auto"/>
              <w:ind w:firstLine="0" w:firstLineChars="0"/>
              <w:jc w:val="center"/>
              <w:rPr>
                <w:rFonts w:hint="eastAsia" w:ascii="宋体" w:hAnsi="宋体"/>
                <w:b/>
                <w:bCs/>
                <w:szCs w:val="21"/>
              </w:rPr>
            </w:pPr>
            <w:r>
              <w:rPr>
                <w:rFonts w:hint="eastAsia" w:ascii="宋体" w:hAnsi="宋体"/>
                <w:b/>
                <w:bCs/>
                <w:szCs w:val="21"/>
              </w:rPr>
              <w:t>课程目标</w:t>
            </w:r>
          </w:p>
        </w:tc>
        <w:tc>
          <w:tcPr>
            <w:tcW w:w="2472" w:type="dxa"/>
            <w:noWrap w:val="0"/>
            <w:vAlign w:val="center"/>
          </w:tcPr>
          <w:p w14:paraId="1899C85E">
            <w:pPr>
              <w:pStyle w:val="58"/>
              <w:spacing w:line="276" w:lineRule="auto"/>
              <w:ind w:firstLine="0" w:firstLineChars="0"/>
              <w:jc w:val="center"/>
              <w:rPr>
                <w:rFonts w:hint="eastAsia" w:ascii="宋体" w:hAnsi="宋体"/>
                <w:b/>
                <w:bCs/>
                <w:szCs w:val="21"/>
              </w:rPr>
            </w:pPr>
            <w:r>
              <w:rPr>
                <w:rFonts w:hint="eastAsia" w:ascii="宋体" w:hAnsi="宋体"/>
                <w:b/>
                <w:bCs/>
                <w:szCs w:val="21"/>
              </w:rPr>
              <w:t>支撑的毕业要求</w:t>
            </w:r>
          </w:p>
        </w:tc>
        <w:tc>
          <w:tcPr>
            <w:tcW w:w="4977" w:type="dxa"/>
            <w:noWrap w:val="0"/>
            <w:vAlign w:val="center"/>
          </w:tcPr>
          <w:p w14:paraId="692BC075">
            <w:pPr>
              <w:pStyle w:val="58"/>
              <w:spacing w:line="276" w:lineRule="auto"/>
              <w:ind w:firstLine="422"/>
              <w:jc w:val="center"/>
              <w:rPr>
                <w:rFonts w:hint="eastAsia" w:ascii="宋体" w:hAnsi="宋体"/>
                <w:b/>
                <w:bCs/>
                <w:szCs w:val="21"/>
              </w:rPr>
            </w:pPr>
            <w:r>
              <w:rPr>
                <w:rFonts w:hint="eastAsia" w:ascii="宋体" w:hAnsi="宋体"/>
                <w:b/>
                <w:bCs/>
                <w:szCs w:val="21"/>
              </w:rPr>
              <w:t>支撑的毕业要求指标点</w:t>
            </w:r>
          </w:p>
        </w:tc>
      </w:tr>
      <w:tr w14:paraId="0A75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99" w:type="dxa"/>
            <w:noWrap w:val="0"/>
            <w:vAlign w:val="center"/>
          </w:tcPr>
          <w:p w14:paraId="66B0E8A4">
            <w:pPr>
              <w:pStyle w:val="58"/>
              <w:spacing w:line="276" w:lineRule="auto"/>
              <w:ind w:firstLine="0" w:firstLineChars="0"/>
              <w:jc w:val="center"/>
              <w:rPr>
                <w:rFonts w:hint="eastAsia" w:ascii="宋体" w:hAnsi="宋体" w:cs="宋体"/>
                <w:bCs/>
                <w:szCs w:val="21"/>
              </w:rPr>
            </w:pPr>
            <w:r>
              <w:rPr>
                <w:rFonts w:hint="eastAsia" w:ascii="宋体" w:hAnsi="宋体" w:cs="宋体"/>
                <w:bCs/>
                <w:szCs w:val="21"/>
              </w:rPr>
              <w:t>课程目标1</w:t>
            </w:r>
          </w:p>
        </w:tc>
        <w:tc>
          <w:tcPr>
            <w:tcW w:w="2472" w:type="dxa"/>
            <w:noWrap w:val="0"/>
            <w:vAlign w:val="center"/>
          </w:tcPr>
          <w:p w14:paraId="5CFCD022">
            <w:pPr>
              <w:pStyle w:val="58"/>
              <w:spacing w:line="276" w:lineRule="auto"/>
              <w:ind w:firstLine="0" w:firstLineChars="0"/>
              <w:rPr>
                <w:rFonts w:hint="eastAsia"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tc>
        <w:tc>
          <w:tcPr>
            <w:tcW w:w="4977" w:type="dxa"/>
            <w:noWrap w:val="0"/>
            <w:vAlign w:val="center"/>
          </w:tcPr>
          <w:p w14:paraId="10DC5423">
            <w:pPr>
              <w:pStyle w:val="58"/>
              <w:spacing w:line="276" w:lineRule="auto"/>
              <w:ind w:firstLine="0" w:firstLineChars="0"/>
              <w:jc w:val="left"/>
              <w:rPr>
                <w:rFonts w:hint="eastAsia" w:ascii="宋体" w:hAnsi="宋体"/>
                <w:kern w:val="0"/>
                <w:sz w:val="18"/>
                <w:szCs w:val="18"/>
              </w:rPr>
            </w:pPr>
            <w:r>
              <w:rPr>
                <w:rFonts w:hint="eastAsia" w:ascii="宋体" w:hAnsi="宋体"/>
                <w:kern w:val="0"/>
                <w:szCs w:val="21"/>
              </w:rPr>
              <w:t>3-2：具有学科专业能力，掌握主教学科的基本知识、原理和技能。</w:t>
            </w:r>
          </w:p>
        </w:tc>
      </w:tr>
      <w:tr w14:paraId="1BC3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99" w:type="dxa"/>
            <w:noWrap w:val="0"/>
            <w:vAlign w:val="center"/>
          </w:tcPr>
          <w:p w14:paraId="5F60CBA0">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课程目标2</w:t>
            </w:r>
          </w:p>
        </w:tc>
        <w:tc>
          <w:tcPr>
            <w:tcW w:w="2472" w:type="dxa"/>
            <w:noWrap w:val="0"/>
            <w:vAlign w:val="center"/>
          </w:tcPr>
          <w:p w14:paraId="65A9E956">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3.</w:t>
            </w:r>
            <w:r>
              <w:rPr>
                <w:rFonts w:hint="eastAsia" w:ascii="宋体" w:hAnsi="宋体"/>
                <w:kern w:val="0"/>
                <w:szCs w:val="21"/>
              </w:rPr>
              <w:t xml:space="preserve"> 学科素养</w:t>
            </w:r>
          </w:p>
          <w:p w14:paraId="3F9B9DC9">
            <w:pPr>
              <w:pStyle w:val="58"/>
              <w:spacing w:line="276" w:lineRule="auto"/>
              <w:ind w:firstLine="0" w:firstLineChars="0"/>
              <w:rPr>
                <w:rFonts w:ascii="宋体" w:hAnsi="宋体"/>
                <w:kern w:val="0"/>
                <w:szCs w:val="21"/>
              </w:rPr>
            </w:pPr>
            <w:r>
              <w:rPr>
                <w:rFonts w:hint="eastAsia" w:ascii="宋体" w:hAnsi="宋体"/>
                <w:kern w:val="0"/>
                <w:szCs w:val="21"/>
              </w:rPr>
              <w:t>毕业要求4. 教学能力</w:t>
            </w:r>
          </w:p>
          <w:p w14:paraId="57B913F6">
            <w:pPr>
              <w:pStyle w:val="58"/>
              <w:spacing w:line="276" w:lineRule="auto"/>
              <w:ind w:firstLine="0" w:firstLineChars="0"/>
              <w:rPr>
                <w:rFonts w:hint="eastAsia" w:ascii="宋体" w:hAnsi="宋体"/>
                <w:kern w:val="0"/>
                <w:szCs w:val="21"/>
              </w:rPr>
            </w:pPr>
            <w:r>
              <w:rPr>
                <w:rFonts w:hint="eastAsia" w:ascii="宋体" w:hAnsi="宋体"/>
                <w:kern w:val="0"/>
                <w:szCs w:val="21"/>
              </w:rPr>
              <w:t>毕业要求8. 沟通合作</w:t>
            </w:r>
          </w:p>
        </w:tc>
        <w:tc>
          <w:tcPr>
            <w:tcW w:w="4977" w:type="dxa"/>
            <w:noWrap w:val="0"/>
            <w:vAlign w:val="center"/>
          </w:tcPr>
          <w:p w14:paraId="2215B355">
            <w:pPr>
              <w:pStyle w:val="58"/>
              <w:spacing w:line="276" w:lineRule="auto"/>
              <w:ind w:firstLine="0" w:firstLineChars="0"/>
              <w:jc w:val="left"/>
              <w:rPr>
                <w:rFonts w:ascii="宋体" w:hAnsi="宋体"/>
                <w:szCs w:val="21"/>
              </w:rPr>
            </w:pPr>
            <w:r>
              <w:rPr>
                <w:rFonts w:hint="eastAsia" w:ascii="宋体" w:hAnsi="宋体"/>
                <w:szCs w:val="21"/>
              </w:rPr>
              <w:t>3-2：具有学科专业能力，掌握主教学科的基本知识、原理和技能。</w:t>
            </w:r>
          </w:p>
          <w:p w14:paraId="2C40EF77">
            <w:pPr>
              <w:pStyle w:val="58"/>
              <w:spacing w:line="276" w:lineRule="auto"/>
              <w:ind w:firstLine="0" w:firstLineChars="0"/>
              <w:jc w:val="left"/>
              <w:rPr>
                <w:rFonts w:hint="eastAsia" w:ascii="宋体" w:hAnsi="宋体"/>
                <w:szCs w:val="21"/>
              </w:rPr>
            </w:pPr>
            <w:r>
              <w:rPr>
                <w:rFonts w:hint="eastAsia" w:ascii="宋体" w:hAnsi="宋体"/>
                <w:szCs w:val="21"/>
              </w:rPr>
              <w:t>4-1：掌握教与学的知识，熟悉所教学科课程标准和教材、教学内容，具有一定的教材解读能力，具有依据课标进行教学的意识和习惯。</w:t>
            </w:r>
          </w:p>
          <w:p w14:paraId="0387AED4">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4-2：获得全面的小学教学体验，掌握学科教学的基本方法与策略，能独立进行教学设计、实施和评价。</w:t>
            </w:r>
          </w:p>
          <w:p w14:paraId="4B8A6537">
            <w:pPr>
              <w:pStyle w:val="58"/>
              <w:spacing w:line="276" w:lineRule="auto"/>
              <w:ind w:firstLine="0" w:firstLineChars="0"/>
              <w:jc w:val="left"/>
              <w:rPr>
                <w:rFonts w:hint="eastAsia" w:ascii="宋体" w:hAnsi="宋体"/>
                <w:kern w:val="0"/>
                <w:sz w:val="18"/>
                <w:szCs w:val="18"/>
              </w:rPr>
            </w:pPr>
            <w:r>
              <w:rPr>
                <w:rFonts w:hint="eastAsia" w:ascii="宋体" w:hAnsi="宋体"/>
                <w:szCs w:val="21"/>
              </w:rPr>
              <w:t>8-1：</w:t>
            </w:r>
            <w:r>
              <w:rPr>
                <w:rFonts w:hint="eastAsia"/>
                <w:szCs w:val="23"/>
              </w:rPr>
              <w:t>理解学习共同体的本质和价值，掌握团队协作的基本策略，在课堂学习与教育实践中获得合作学习体验，形成团队协作精神。</w:t>
            </w:r>
          </w:p>
        </w:tc>
      </w:tr>
      <w:tr w14:paraId="3CFD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9" w:type="dxa"/>
            <w:noWrap w:val="0"/>
            <w:vAlign w:val="center"/>
          </w:tcPr>
          <w:p w14:paraId="37058CE1">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课程目标3</w:t>
            </w:r>
          </w:p>
        </w:tc>
        <w:tc>
          <w:tcPr>
            <w:tcW w:w="2472" w:type="dxa"/>
            <w:noWrap w:val="0"/>
            <w:vAlign w:val="center"/>
          </w:tcPr>
          <w:p w14:paraId="423AC823">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毕业要求3</w:t>
            </w:r>
            <w:r>
              <w:rPr>
                <w:rFonts w:ascii="宋体" w:hAnsi="宋体"/>
                <w:spacing w:val="2"/>
                <w:kern w:val="0"/>
                <w:szCs w:val="21"/>
              </w:rPr>
              <w:t>. 学科素养</w:t>
            </w:r>
          </w:p>
          <w:p w14:paraId="18A5B8FE">
            <w:pPr>
              <w:pStyle w:val="58"/>
              <w:spacing w:line="276" w:lineRule="auto"/>
              <w:ind w:firstLine="0" w:firstLineChars="0"/>
              <w:rPr>
                <w:rFonts w:ascii="宋体" w:hAnsi="宋体"/>
                <w:kern w:val="0"/>
                <w:szCs w:val="21"/>
              </w:rPr>
            </w:pPr>
            <w:r>
              <w:rPr>
                <w:rFonts w:hint="eastAsia" w:ascii="宋体" w:hAnsi="宋体"/>
                <w:kern w:val="0"/>
                <w:szCs w:val="21"/>
              </w:rPr>
              <w:t>毕业要求</w:t>
            </w:r>
            <w:r>
              <w:rPr>
                <w:rFonts w:ascii="宋体" w:hAnsi="宋体"/>
                <w:kern w:val="0"/>
                <w:szCs w:val="21"/>
              </w:rPr>
              <w:t xml:space="preserve">4. </w:t>
            </w:r>
            <w:r>
              <w:rPr>
                <w:rFonts w:hint="eastAsia" w:ascii="宋体" w:hAnsi="宋体"/>
                <w:kern w:val="0"/>
                <w:szCs w:val="21"/>
              </w:rPr>
              <w:t>教学能力</w:t>
            </w:r>
          </w:p>
          <w:p w14:paraId="3FCD4D7C">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毕业要求6. 综合育人</w:t>
            </w:r>
          </w:p>
        </w:tc>
        <w:tc>
          <w:tcPr>
            <w:tcW w:w="4977" w:type="dxa"/>
            <w:noWrap w:val="0"/>
            <w:vAlign w:val="center"/>
          </w:tcPr>
          <w:p w14:paraId="69FA56A2">
            <w:pPr>
              <w:pStyle w:val="58"/>
              <w:spacing w:line="276" w:lineRule="auto"/>
              <w:ind w:firstLine="0" w:firstLineChars="0"/>
              <w:jc w:val="left"/>
              <w:rPr>
                <w:rFonts w:ascii="宋体" w:hAnsi="宋体"/>
                <w:kern w:val="0"/>
                <w:szCs w:val="21"/>
              </w:rPr>
            </w:pPr>
            <w:r>
              <w:rPr>
                <w:rFonts w:hint="eastAsia" w:ascii="宋体" w:hAnsi="宋体"/>
                <w:kern w:val="0"/>
                <w:szCs w:val="21"/>
              </w:rPr>
              <w:t>3-2：具有学科专业能力，掌握主教学科的基本知识、原理和技能。</w:t>
            </w:r>
          </w:p>
          <w:p w14:paraId="303F33E5">
            <w:pPr>
              <w:pStyle w:val="58"/>
              <w:spacing w:line="276" w:lineRule="auto"/>
              <w:ind w:firstLine="0" w:firstLineChars="0"/>
              <w:jc w:val="left"/>
              <w:rPr>
                <w:rFonts w:hint="eastAsia" w:ascii="宋体" w:hAnsi="宋体"/>
                <w:kern w:val="0"/>
                <w:szCs w:val="21"/>
              </w:rPr>
            </w:pPr>
            <w:r>
              <w:rPr>
                <w:rFonts w:hint="eastAsia" w:ascii="宋体" w:hAnsi="宋体"/>
                <w:kern w:val="0"/>
                <w:szCs w:val="21"/>
              </w:rPr>
              <w:t>4-1：掌握教与学的知识，熟悉所教学科课程标准和教材、教学内容，具有一定的教材解读能力，具有依据课标进行教学的意识和习惯。</w:t>
            </w:r>
          </w:p>
          <w:p w14:paraId="7F594483">
            <w:pPr>
              <w:pStyle w:val="58"/>
              <w:shd w:val="clear" w:color="auto" w:fill="FFFFFF"/>
              <w:spacing w:line="276" w:lineRule="auto"/>
              <w:ind w:firstLine="0" w:firstLineChars="0"/>
              <w:jc w:val="left"/>
              <w:rPr>
                <w:rFonts w:hint="eastAsia" w:ascii="宋体" w:hAnsi="宋体"/>
                <w:szCs w:val="21"/>
              </w:rPr>
            </w:pPr>
            <w:r>
              <w:rPr>
                <w:rFonts w:hint="eastAsia" w:ascii="宋体" w:hAnsi="宋体"/>
                <w:kern w:val="0"/>
                <w:szCs w:val="21"/>
              </w:rPr>
              <w:t>4-2：获得全面的小学教学体验，掌握学科教学的基本方法与策略，能独立进行教学设计、实施和评价</w:t>
            </w:r>
            <w:r>
              <w:rPr>
                <w:rFonts w:hint="eastAsia" w:ascii="宋体" w:hAnsi="宋体"/>
                <w:szCs w:val="21"/>
              </w:rPr>
              <w:t>。</w:t>
            </w:r>
          </w:p>
          <w:p w14:paraId="7DDDFD45">
            <w:pPr>
              <w:pStyle w:val="58"/>
              <w:spacing w:line="276" w:lineRule="auto"/>
              <w:ind w:firstLine="0" w:firstLineChars="0"/>
              <w:jc w:val="left"/>
              <w:rPr>
                <w:rFonts w:hint="eastAsia" w:ascii="宋体" w:hAnsi="宋体" w:cs="宋体"/>
                <w:szCs w:val="21"/>
              </w:rPr>
            </w:pPr>
            <w:r>
              <w:rPr>
                <w:rFonts w:hint="eastAsia" w:ascii="宋体" w:hAnsi="宋体" w:cs="宋体"/>
                <w:szCs w:val="21"/>
              </w:rPr>
              <w:t>6-2：具有教书育人的意识，理解学科核心素养和拟任教学科课程独特的育人功能，具备结合学科教学进行育人的意识与能力，注重学科教学中思想政治教育的渗透。</w:t>
            </w:r>
          </w:p>
        </w:tc>
      </w:tr>
      <w:tr w14:paraId="36F1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499" w:type="dxa"/>
            <w:noWrap w:val="0"/>
            <w:vAlign w:val="center"/>
          </w:tcPr>
          <w:p w14:paraId="67D0A746">
            <w:pPr>
              <w:pStyle w:val="58"/>
              <w:spacing w:line="276" w:lineRule="auto"/>
              <w:ind w:firstLine="0" w:firstLineChars="0"/>
              <w:jc w:val="center"/>
              <w:rPr>
                <w:rFonts w:hint="eastAsia" w:ascii="宋体" w:hAnsi="宋体" w:cs="宋体"/>
                <w:szCs w:val="21"/>
              </w:rPr>
            </w:pPr>
            <w:r>
              <w:rPr>
                <w:rFonts w:hint="eastAsia" w:ascii="宋体" w:hAnsi="宋体" w:cs="宋体"/>
                <w:szCs w:val="21"/>
              </w:rPr>
              <w:t>课程目标 4</w:t>
            </w:r>
          </w:p>
        </w:tc>
        <w:tc>
          <w:tcPr>
            <w:tcW w:w="2472" w:type="dxa"/>
            <w:noWrap w:val="0"/>
            <w:vAlign w:val="center"/>
          </w:tcPr>
          <w:p w14:paraId="7120072D">
            <w:pPr>
              <w:pStyle w:val="58"/>
              <w:spacing w:line="276" w:lineRule="auto"/>
              <w:ind w:firstLine="0" w:firstLineChars="0"/>
              <w:rPr>
                <w:rFonts w:ascii="宋体" w:hAnsi="宋体"/>
                <w:spacing w:val="2"/>
                <w:kern w:val="0"/>
                <w:szCs w:val="21"/>
              </w:rPr>
            </w:pPr>
            <w:r>
              <w:rPr>
                <w:rFonts w:hint="eastAsia" w:ascii="宋体" w:hAnsi="宋体"/>
                <w:spacing w:val="2"/>
                <w:kern w:val="0"/>
                <w:szCs w:val="21"/>
              </w:rPr>
              <w:t>毕业要求4. 教学能力</w:t>
            </w:r>
          </w:p>
          <w:p w14:paraId="06D51BA6">
            <w:pPr>
              <w:pStyle w:val="58"/>
              <w:spacing w:line="276" w:lineRule="auto"/>
              <w:ind w:firstLine="0" w:firstLineChars="0"/>
              <w:rPr>
                <w:rFonts w:hint="eastAsia" w:ascii="宋体" w:hAnsi="宋体"/>
                <w:spacing w:val="2"/>
                <w:kern w:val="0"/>
                <w:szCs w:val="21"/>
              </w:rPr>
            </w:pPr>
            <w:r>
              <w:rPr>
                <w:rFonts w:hint="eastAsia" w:ascii="宋体" w:hAnsi="宋体"/>
                <w:spacing w:val="2"/>
                <w:kern w:val="0"/>
                <w:szCs w:val="21"/>
              </w:rPr>
              <w:t>毕业要求8. 沟通合作</w:t>
            </w:r>
          </w:p>
        </w:tc>
        <w:tc>
          <w:tcPr>
            <w:tcW w:w="4977" w:type="dxa"/>
            <w:noWrap w:val="0"/>
            <w:vAlign w:val="center"/>
          </w:tcPr>
          <w:p w14:paraId="6CDA60C7">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4-1：掌握教与学的知识，熟悉所教学科课程标准和教材、教学内容，具有一定的教材解读能力，具有依据课标进行教学的意识和习惯。</w:t>
            </w:r>
          </w:p>
          <w:p w14:paraId="05E0D94F">
            <w:pPr>
              <w:pStyle w:val="58"/>
              <w:shd w:val="clear" w:color="auto" w:fill="FFFFFF"/>
              <w:spacing w:line="276" w:lineRule="auto"/>
              <w:ind w:firstLine="0" w:firstLineChars="0"/>
              <w:jc w:val="left"/>
              <w:rPr>
                <w:rFonts w:hint="eastAsia" w:ascii="宋体" w:hAnsi="宋体"/>
                <w:szCs w:val="21"/>
              </w:rPr>
            </w:pPr>
            <w:r>
              <w:rPr>
                <w:rFonts w:hint="eastAsia" w:ascii="宋体" w:hAnsi="宋体"/>
                <w:szCs w:val="21"/>
              </w:rPr>
              <w:t>4-2：获得全面的小学教学体验，掌握学科教学的基本方法与策略，能独立进行教学设计、实施和评价。</w:t>
            </w:r>
          </w:p>
          <w:p w14:paraId="3753D8BB">
            <w:pPr>
              <w:pStyle w:val="58"/>
              <w:shd w:val="clear" w:color="auto" w:fill="FFFFFF"/>
              <w:spacing w:line="276" w:lineRule="auto"/>
              <w:ind w:firstLine="0" w:firstLineChars="0"/>
              <w:jc w:val="left"/>
              <w:rPr>
                <w:rFonts w:hint="eastAsia" w:ascii="宋体" w:hAnsi="宋体"/>
                <w:spacing w:val="2"/>
                <w:kern w:val="0"/>
                <w:szCs w:val="21"/>
              </w:rPr>
            </w:pPr>
            <w:r>
              <w:rPr>
                <w:rFonts w:hint="eastAsia" w:ascii="宋体" w:hAnsi="宋体"/>
                <w:szCs w:val="21"/>
              </w:rPr>
              <w:t>8-1：</w:t>
            </w:r>
            <w:r>
              <w:rPr>
                <w:rFonts w:hint="eastAsia"/>
                <w:szCs w:val="23"/>
              </w:rPr>
              <w:t>理解学习共同体的本质和价值，掌握团队协作的基本策略，在课堂学习与教育实践中获得合作学习体验，形成团队协作精神。</w:t>
            </w:r>
          </w:p>
        </w:tc>
      </w:tr>
    </w:tbl>
    <w:p w14:paraId="49C75C80">
      <w:pPr>
        <w:spacing w:line="360" w:lineRule="auto"/>
        <w:outlineLvl w:val="0"/>
        <w:rPr>
          <w:rFonts w:ascii="宋体" w:hAnsi="宋体"/>
          <w:b/>
          <w:kern w:val="0"/>
          <w:sz w:val="24"/>
          <w:szCs w:val="22"/>
        </w:rPr>
      </w:pPr>
      <w:r>
        <w:rPr>
          <w:rFonts w:hint="eastAsia" w:ascii="宋体" w:hAnsi="宋体"/>
          <w:b/>
          <w:kern w:val="0"/>
          <w:sz w:val="24"/>
          <w:szCs w:val="22"/>
        </w:rPr>
        <w:t xml:space="preserve">    </w:t>
      </w:r>
    </w:p>
    <w:p w14:paraId="5C419BAD">
      <w:pPr>
        <w:spacing w:line="360" w:lineRule="auto"/>
        <w:outlineLvl w:val="0"/>
        <w:rPr>
          <w:rFonts w:hint="eastAsia" w:ascii="宋体" w:hAnsi="宋体"/>
          <w:b/>
          <w:kern w:val="0"/>
          <w:sz w:val="24"/>
          <w:szCs w:val="22"/>
        </w:rPr>
      </w:pPr>
    </w:p>
    <w:p w14:paraId="7DACD9DE">
      <w:pPr>
        <w:spacing w:line="360" w:lineRule="auto"/>
        <w:outlineLvl w:val="0"/>
        <w:rPr>
          <w:rFonts w:ascii="宋体" w:hAnsi="宋体"/>
          <w:b/>
          <w:sz w:val="28"/>
          <w:szCs w:val="28"/>
        </w:rPr>
      </w:pPr>
      <w:r>
        <w:rPr>
          <w:rFonts w:hint="eastAsia" w:ascii="宋体" w:hAnsi="宋体"/>
          <w:b/>
          <w:kern w:val="0"/>
          <w:sz w:val="24"/>
          <w:szCs w:val="22"/>
        </w:rPr>
        <w:t xml:space="preserve">    </w:t>
      </w:r>
      <w:r>
        <w:rPr>
          <w:rFonts w:hint="eastAsia" w:ascii="宋体" w:hAnsi="宋体"/>
          <w:b/>
          <w:sz w:val="28"/>
          <w:szCs w:val="28"/>
        </w:rPr>
        <w:t>三</w:t>
      </w:r>
      <w:r>
        <w:rPr>
          <w:rFonts w:ascii="宋体" w:hAnsi="宋体"/>
          <w:b/>
          <w:sz w:val="28"/>
          <w:szCs w:val="28"/>
        </w:rPr>
        <w:t>、课程内容及要求</w:t>
      </w:r>
    </w:p>
    <w:p w14:paraId="7CAB1BA6">
      <w:pPr>
        <w:spacing w:line="360" w:lineRule="auto"/>
        <w:ind w:firstLine="482" w:firstLineChars="200"/>
        <w:rPr>
          <w:rFonts w:ascii="宋体" w:hAnsi="宋体"/>
          <w:b/>
          <w:sz w:val="24"/>
          <w:szCs w:val="22"/>
        </w:rPr>
      </w:pPr>
      <w:r>
        <w:rPr>
          <w:rFonts w:hint="eastAsia" w:ascii="宋体" w:hAnsi="宋体"/>
          <w:b/>
          <w:sz w:val="24"/>
          <w:szCs w:val="22"/>
        </w:rPr>
        <w:t>（一）小学</w:t>
      </w:r>
      <w:r>
        <w:rPr>
          <w:rFonts w:ascii="宋体" w:hAnsi="宋体"/>
          <w:b/>
          <w:sz w:val="24"/>
          <w:szCs w:val="22"/>
        </w:rPr>
        <w:t>数学</w:t>
      </w:r>
      <w:r>
        <w:rPr>
          <w:rFonts w:hint="eastAsia" w:ascii="宋体" w:hAnsi="宋体"/>
          <w:b/>
          <w:sz w:val="24"/>
          <w:szCs w:val="22"/>
        </w:rPr>
        <w:t>教学案例研究概述（本模块各知识点的讲授与学习，可以支撑课程目标1）</w:t>
      </w:r>
    </w:p>
    <w:p w14:paraId="0954D00B">
      <w:pPr>
        <w:spacing w:line="360" w:lineRule="auto"/>
        <w:ind w:firstLine="482" w:firstLineChars="200"/>
        <w:rPr>
          <w:rFonts w:ascii="宋体" w:hAnsi="宋体"/>
          <w:b/>
          <w:sz w:val="24"/>
          <w:szCs w:val="22"/>
        </w:rPr>
      </w:pPr>
      <w:r>
        <w:rPr>
          <w:rFonts w:ascii="宋体" w:hAnsi="宋体"/>
          <w:b/>
          <w:sz w:val="24"/>
          <w:szCs w:val="22"/>
        </w:rPr>
        <w:t>1.教学内容</w:t>
      </w:r>
    </w:p>
    <w:p w14:paraId="2B139037">
      <w:pPr>
        <w:spacing w:line="360" w:lineRule="auto"/>
        <w:ind w:firstLine="480" w:firstLineChars="200"/>
        <w:rPr>
          <w:rFonts w:hint="eastAsia"/>
          <w:sz w:val="24"/>
        </w:rPr>
      </w:pPr>
      <w:r>
        <w:rPr>
          <w:rFonts w:hint="eastAsia"/>
          <w:sz w:val="24"/>
        </w:rPr>
        <w:t>⑴案例概述</w:t>
      </w:r>
    </w:p>
    <w:p w14:paraId="3A8B3E45">
      <w:pPr>
        <w:spacing w:line="360" w:lineRule="auto"/>
        <w:ind w:firstLine="480" w:firstLineChars="200"/>
        <w:rPr>
          <w:rFonts w:hint="eastAsia"/>
          <w:sz w:val="24"/>
        </w:rPr>
      </w:pPr>
      <w:r>
        <w:rPr>
          <w:rFonts w:hint="eastAsia"/>
          <w:sz w:val="24"/>
        </w:rPr>
        <w:t>⑵小学数学教学案例研究的内涵与价值</w:t>
      </w:r>
    </w:p>
    <w:p w14:paraId="3F84E739">
      <w:pPr>
        <w:spacing w:line="360" w:lineRule="auto"/>
        <w:ind w:firstLine="480" w:firstLineChars="200"/>
        <w:rPr>
          <w:rFonts w:hint="eastAsia"/>
          <w:sz w:val="24"/>
        </w:rPr>
      </w:pPr>
      <w:r>
        <w:rPr>
          <w:rFonts w:hint="eastAsia"/>
          <w:sz w:val="24"/>
        </w:rPr>
        <w:t>⑶小学数学教学案例的结构与类型</w:t>
      </w:r>
    </w:p>
    <w:p w14:paraId="4295BA29">
      <w:pPr>
        <w:spacing w:line="360" w:lineRule="auto"/>
        <w:ind w:firstLine="480" w:firstLineChars="200"/>
        <w:rPr>
          <w:sz w:val="24"/>
        </w:rPr>
      </w:pPr>
      <w:r>
        <w:rPr>
          <w:rFonts w:hint="eastAsia"/>
          <w:sz w:val="24"/>
        </w:rPr>
        <w:t>⑷小学数学教学案例研究的目标</w:t>
      </w:r>
    </w:p>
    <w:p w14:paraId="37797E62">
      <w:pPr>
        <w:spacing w:line="360" w:lineRule="auto"/>
        <w:ind w:firstLine="482" w:firstLineChars="200"/>
        <w:rPr>
          <w:rFonts w:ascii="宋体" w:hAnsi="宋体"/>
          <w:b/>
          <w:sz w:val="24"/>
          <w:szCs w:val="22"/>
        </w:rPr>
      </w:pPr>
      <w:r>
        <w:rPr>
          <w:rFonts w:ascii="宋体" w:hAnsi="宋体"/>
          <w:b/>
          <w:sz w:val="24"/>
          <w:szCs w:val="22"/>
        </w:rPr>
        <w:t>2.基本要求</w:t>
      </w:r>
    </w:p>
    <w:p w14:paraId="6905EE1B">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理解小学数学教学案例及案例研究的内涵</w:t>
      </w:r>
    </w:p>
    <w:p w14:paraId="1D16023E">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明确小学数学教学案例研究的价值</w:t>
      </w:r>
    </w:p>
    <w:p w14:paraId="06697AFF">
      <w:pPr>
        <w:spacing w:line="360" w:lineRule="auto"/>
        <w:ind w:firstLine="480" w:firstLineChars="200"/>
        <w:rPr>
          <w:sz w:val="24"/>
        </w:rPr>
      </w:pPr>
      <w:r>
        <w:rPr>
          <w:rFonts w:hint="eastAsia" w:ascii="宋体" w:hAnsi="宋体"/>
          <w:sz w:val="24"/>
          <w:szCs w:val="22"/>
        </w:rPr>
        <w:t>（3）理解</w:t>
      </w:r>
      <w:r>
        <w:rPr>
          <w:rFonts w:hint="eastAsia"/>
          <w:sz w:val="24"/>
        </w:rPr>
        <w:t>小学数学教学案例研究的目标</w:t>
      </w:r>
    </w:p>
    <w:p w14:paraId="02E2FC04">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DC61FAE">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了解</w:t>
      </w:r>
      <w:r>
        <w:rPr>
          <w:rFonts w:ascii="宋体" w:hAnsi="宋体"/>
          <w:sz w:val="24"/>
          <w:szCs w:val="22"/>
        </w:rPr>
        <w:t>中国灿烂</w:t>
      </w:r>
      <w:r>
        <w:rPr>
          <w:rFonts w:hint="eastAsia" w:ascii="宋体" w:hAnsi="宋体"/>
          <w:sz w:val="24"/>
          <w:szCs w:val="22"/>
        </w:rPr>
        <w:t>的</w:t>
      </w:r>
      <w:r>
        <w:rPr>
          <w:rFonts w:ascii="宋体" w:hAnsi="宋体"/>
          <w:sz w:val="24"/>
          <w:szCs w:val="22"/>
        </w:rPr>
        <w:t>数学文化，</w:t>
      </w:r>
      <w:r>
        <w:rPr>
          <w:rFonts w:hint="eastAsia" w:ascii="宋体" w:hAnsi="宋体"/>
          <w:sz w:val="24"/>
          <w:szCs w:val="22"/>
        </w:rPr>
        <w:t>增强文化</w:t>
      </w:r>
      <w:r>
        <w:rPr>
          <w:rFonts w:ascii="宋体" w:hAnsi="宋体"/>
          <w:sz w:val="24"/>
          <w:szCs w:val="22"/>
        </w:rPr>
        <w:t>自信和民族自豪感</w:t>
      </w:r>
      <w:r>
        <w:rPr>
          <w:rFonts w:hint="eastAsia" w:ascii="宋体" w:hAnsi="宋体"/>
          <w:sz w:val="24"/>
          <w:szCs w:val="22"/>
        </w:rPr>
        <w:t>。</w:t>
      </w:r>
    </w:p>
    <w:p w14:paraId="1EF84AE4">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学习他</w:t>
      </w:r>
      <w:r>
        <w:rPr>
          <w:rFonts w:ascii="宋体" w:hAnsi="宋体"/>
          <w:sz w:val="24"/>
          <w:szCs w:val="22"/>
        </w:rPr>
        <w:t>人的先进理念</w:t>
      </w:r>
      <w:r>
        <w:rPr>
          <w:rFonts w:hint="eastAsia" w:ascii="宋体" w:hAnsi="宋体"/>
          <w:sz w:val="24"/>
          <w:szCs w:val="22"/>
        </w:rPr>
        <w:t>和</w:t>
      </w:r>
      <w:r>
        <w:rPr>
          <w:rFonts w:ascii="宋体" w:hAnsi="宋体"/>
          <w:sz w:val="24"/>
          <w:szCs w:val="22"/>
        </w:rPr>
        <w:t>教学经验</w:t>
      </w:r>
      <w:r>
        <w:rPr>
          <w:rFonts w:hint="eastAsia" w:ascii="宋体" w:hAnsi="宋体"/>
          <w:sz w:val="24"/>
          <w:szCs w:val="22"/>
        </w:rPr>
        <w:t>。</w:t>
      </w:r>
    </w:p>
    <w:p w14:paraId="17840BAB">
      <w:pPr>
        <w:spacing w:line="360" w:lineRule="auto"/>
        <w:ind w:firstLine="480" w:firstLineChars="200"/>
        <w:rPr>
          <w:rFonts w:hint="eastAsia" w:ascii="宋体" w:hAnsi="宋体"/>
          <w:sz w:val="24"/>
          <w:szCs w:val="22"/>
        </w:rPr>
      </w:pPr>
      <w:r>
        <w:rPr>
          <w:rFonts w:hint="eastAsia" w:ascii="宋体" w:hAnsi="宋体"/>
          <w:sz w:val="24"/>
          <w:szCs w:val="22"/>
        </w:rPr>
        <w:t>（3）增强</w:t>
      </w:r>
      <w:r>
        <w:rPr>
          <w:rFonts w:ascii="宋体" w:hAnsi="宋体"/>
          <w:sz w:val="24"/>
          <w:szCs w:val="22"/>
        </w:rPr>
        <w:t>师德水平，</w:t>
      </w:r>
      <w:r>
        <w:rPr>
          <w:rFonts w:hint="eastAsia" w:ascii="宋体" w:hAnsi="宋体"/>
          <w:sz w:val="24"/>
          <w:szCs w:val="22"/>
        </w:rPr>
        <w:t>争</w:t>
      </w:r>
      <w:r>
        <w:rPr>
          <w:rFonts w:ascii="宋体" w:hAnsi="宋体"/>
          <w:sz w:val="24"/>
          <w:szCs w:val="22"/>
        </w:rPr>
        <w:t>做“四有”好老师。</w:t>
      </w:r>
    </w:p>
    <w:p w14:paraId="3E56C72A">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hint="eastAsia" w:ascii="宋体" w:hAnsi="宋体"/>
          <w:sz w:val="24"/>
          <w:szCs w:val="22"/>
        </w:rPr>
        <w:t>小学数学教学</w:t>
      </w:r>
      <w:r>
        <w:rPr>
          <w:rFonts w:ascii="宋体" w:hAnsi="宋体"/>
          <w:sz w:val="24"/>
          <w:szCs w:val="22"/>
        </w:rPr>
        <w:t>案例研究</w:t>
      </w:r>
      <w:r>
        <w:rPr>
          <w:rFonts w:hint="eastAsia" w:ascii="宋体" w:hAnsi="宋体"/>
          <w:sz w:val="24"/>
          <w:szCs w:val="22"/>
        </w:rPr>
        <w:t>的内涵</w:t>
      </w:r>
      <w:r>
        <w:rPr>
          <w:rFonts w:ascii="宋体" w:hAnsi="宋体"/>
          <w:sz w:val="24"/>
          <w:szCs w:val="22"/>
        </w:rPr>
        <w:t>与</w:t>
      </w:r>
      <w:r>
        <w:rPr>
          <w:rFonts w:hint="eastAsia" w:ascii="宋体" w:hAnsi="宋体"/>
          <w:sz w:val="24"/>
          <w:szCs w:val="22"/>
        </w:rPr>
        <w:t>目标</w:t>
      </w:r>
    </w:p>
    <w:p w14:paraId="2A7D1C48">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小学数学教学案例研究的目标</w:t>
      </w:r>
    </w:p>
    <w:p w14:paraId="159A8B37">
      <w:pPr>
        <w:spacing w:line="360" w:lineRule="auto"/>
        <w:ind w:firstLine="482" w:firstLineChars="200"/>
        <w:outlineLvl w:val="0"/>
        <w:rPr>
          <w:rFonts w:hint="eastAsia" w:ascii="宋体" w:hAnsi="宋体"/>
          <w:b/>
          <w:sz w:val="24"/>
          <w:szCs w:val="22"/>
        </w:rPr>
      </w:pPr>
      <w:r>
        <w:rPr>
          <w:rFonts w:hint="eastAsia" w:ascii="宋体" w:hAnsi="宋体"/>
          <w:b/>
          <w:sz w:val="24"/>
          <w:szCs w:val="22"/>
        </w:rPr>
        <w:t>（二）小学数学教学案例研究的过程与</w:t>
      </w:r>
      <w:r>
        <w:rPr>
          <w:rFonts w:ascii="宋体" w:hAnsi="宋体"/>
          <w:b/>
          <w:sz w:val="24"/>
          <w:szCs w:val="22"/>
        </w:rPr>
        <w:t>方法</w:t>
      </w:r>
      <w:r>
        <w:rPr>
          <w:rFonts w:hint="eastAsia" w:ascii="宋体" w:hAnsi="宋体"/>
          <w:b/>
          <w:sz w:val="24"/>
          <w:szCs w:val="22"/>
        </w:rPr>
        <w:t>（本模块各知识点的讲授与学习，可以支撑课程目标</w:t>
      </w:r>
      <w:r>
        <w:rPr>
          <w:rFonts w:ascii="宋体" w:hAnsi="宋体"/>
          <w:b/>
          <w:sz w:val="24"/>
          <w:szCs w:val="22"/>
        </w:rPr>
        <w:t>1</w:t>
      </w:r>
      <w:r>
        <w:rPr>
          <w:rFonts w:hint="eastAsia" w:ascii="宋体" w:hAnsi="宋体"/>
          <w:b/>
          <w:sz w:val="24"/>
          <w:szCs w:val="22"/>
        </w:rPr>
        <w:t>、课程目标</w:t>
      </w:r>
      <w:r>
        <w:rPr>
          <w:rFonts w:ascii="宋体" w:hAnsi="宋体"/>
          <w:b/>
          <w:sz w:val="24"/>
          <w:szCs w:val="22"/>
        </w:rPr>
        <w:t>2</w:t>
      </w:r>
      <w:r>
        <w:rPr>
          <w:rFonts w:hint="eastAsia" w:ascii="宋体" w:hAnsi="宋体"/>
          <w:b/>
          <w:sz w:val="24"/>
          <w:szCs w:val="22"/>
        </w:rPr>
        <w:t>、课程目标</w:t>
      </w:r>
      <w:r>
        <w:rPr>
          <w:rFonts w:ascii="宋体" w:hAnsi="宋体"/>
          <w:b/>
          <w:sz w:val="24"/>
          <w:szCs w:val="22"/>
        </w:rPr>
        <w:t>3</w:t>
      </w:r>
      <w:r>
        <w:rPr>
          <w:rFonts w:hint="eastAsia" w:ascii="宋体" w:hAnsi="宋体"/>
          <w:b/>
          <w:sz w:val="24"/>
          <w:szCs w:val="22"/>
        </w:rPr>
        <w:t>）</w:t>
      </w:r>
    </w:p>
    <w:p w14:paraId="3F6F95F2">
      <w:pPr>
        <w:spacing w:line="360" w:lineRule="auto"/>
        <w:ind w:firstLine="482" w:firstLineChars="200"/>
        <w:rPr>
          <w:rFonts w:ascii="宋体" w:hAnsi="宋体"/>
          <w:b/>
          <w:sz w:val="24"/>
          <w:szCs w:val="22"/>
        </w:rPr>
      </w:pPr>
      <w:r>
        <w:rPr>
          <w:rFonts w:ascii="宋体" w:hAnsi="宋体"/>
          <w:b/>
          <w:sz w:val="24"/>
          <w:szCs w:val="22"/>
        </w:rPr>
        <w:t>1.教学内容</w:t>
      </w:r>
    </w:p>
    <w:p w14:paraId="053489BA">
      <w:pPr>
        <w:spacing w:line="360" w:lineRule="auto"/>
        <w:ind w:firstLine="480" w:firstLineChars="200"/>
        <w:rPr>
          <w:rFonts w:hint="eastAsia" w:ascii="宋体" w:hAnsi="宋体"/>
          <w:sz w:val="24"/>
          <w:szCs w:val="22"/>
        </w:rPr>
      </w:pPr>
      <w:r>
        <w:rPr>
          <w:rFonts w:hint="eastAsia" w:ascii="宋体" w:hAnsi="宋体"/>
          <w:sz w:val="24"/>
          <w:szCs w:val="22"/>
        </w:rPr>
        <w:t>⑴小学数学</w:t>
      </w:r>
      <w:r>
        <w:rPr>
          <w:rFonts w:ascii="宋体" w:hAnsi="宋体"/>
          <w:sz w:val="24"/>
          <w:szCs w:val="22"/>
        </w:rPr>
        <w:t>教学案例研究的</w:t>
      </w:r>
      <w:r>
        <w:rPr>
          <w:rFonts w:hint="eastAsia" w:ascii="宋体" w:hAnsi="宋体"/>
          <w:sz w:val="24"/>
          <w:szCs w:val="22"/>
        </w:rPr>
        <w:t>理论依据</w:t>
      </w:r>
    </w:p>
    <w:p w14:paraId="1D58D719">
      <w:pPr>
        <w:spacing w:line="360" w:lineRule="auto"/>
        <w:ind w:firstLine="480" w:firstLineChars="200"/>
        <w:rPr>
          <w:rFonts w:hint="eastAsia" w:ascii="宋体" w:hAnsi="宋体"/>
          <w:sz w:val="24"/>
          <w:szCs w:val="22"/>
        </w:rPr>
      </w:pPr>
      <w:r>
        <w:rPr>
          <w:rFonts w:hint="eastAsia" w:ascii="宋体" w:hAnsi="宋体"/>
          <w:sz w:val="24"/>
          <w:szCs w:val="22"/>
        </w:rPr>
        <w:t>⑵小学数学</w:t>
      </w:r>
      <w:r>
        <w:rPr>
          <w:rFonts w:ascii="宋体" w:hAnsi="宋体"/>
          <w:sz w:val="24"/>
          <w:szCs w:val="22"/>
        </w:rPr>
        <w:t>教学案例研究的过程</w:t>
      </w:r>
    </w:p>
    <w:p w14:paraId="02CF5D50">
      <w:pPr>
        <w:spacing w:line="360" w:lineRule="auto"/>
        <w:ind w:firstLine="480" w:firstLineChars="200"/>
        <w:rPr>
          <w:rFonts w:ascii="宋体" w:hAnsi="宋体"/>
          <w:sz w:val="24"/>
          <w:szCs w:val="22"/>
        </w:rPr>
      </w:pPr>
      <w:r>
        <w:rPr>
          <w:rFonts w:hint="eastAsia" w:ascii="宋体" w:hAnsi="宋体"/>
          <w:sz w:val="24"/>
          <w:szCs w:val="22"/>
        </w:rPr>
        <w:t>⑶小学数学教学案例研究的方法</w:t>
      </w:r>
    </w:p>
    <w:p w14:paraId="6914EFAD">
      <w:pPr>
        <w:spacing w:line="360" w:lineRule="auto"/>
        <w:ind w:firstLine="482" w:firstLineChars="200"/>
        <w:rPr>
          <w:rFonts w:ascii="宋体" w:hAnsi="宋体"/>
          <w:b/>
          <w:sz w:val="24"/>
          <w:szCs w:val="22"/>
        </w:rPr>
      </w:pPr>
      <w:r>
        <w:rPr>
          <w:rFonts w:ascii="宋体" w:hAnsi="宋体"/>
          <w:b/>
          <w:sz w:val="24"/>
          <w:szCs w:val="22"/>
        </w:rPr>
        <w:t>2.基本要求</w:t>
      </w:r>
    </w:p>
    <w:p w14:paraId="0622506D">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明确</w:t>
      </w:r>
      <w:r>
        <w:rPr>
          <w:rFonts w:ascii="宋体" w:hAnsi="宋体"/>
          <w:sz w:val="24"/>
          <w:szCs w:val="22"/>
        </w:rPr>
        <w:t>小学</w:t>
      </w:r>
      <w:r>
        <w:rPr>
          <w:rFonts w:hint="eastAsia" w:ascii="宋体" w:hAnsi="宋体"/>
          <w:sz w:val="24"/>
          <w:szCs w:val="22"/>
        </w:rPr>
        <w:t>教学</w:t>
      </w:r>
      <w:r>
        <w:rPr>
          <w:rFonts w:ascii="宋体" w:hAnsi="宋体"/>
          <w:sz w:val="24"/>
          <w:szCs w:val="22"/>
        </w:rPr>
        <w:t>案例研究的理论依据</w:t>
      </w:r>
    </w:p>
    <w:p w14:paraId="3A319465">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了解小学</w:t>
      </w:r>
      <w:r>
        <w:rPr>
          <w:rFonts w:ascii="宋体" w:hAnsi="宋体"/>
          <w:sz w:val="24"/>
          <w:szCs w:val="22"/>
        </w:rPr>
        <w:t>数学教学案例研究的一般流程</w:t>
      </w:r>
    </w:p>
    <w:p w14:paraId="100A3B51">
      <w:pPr>
        <w:spacing w:line="360" w:lineRule="auto"/>
        <w:ind w:firstLine="480" w:firstLineChars="200"/>
        <w:rPr>
          <w:rFonts w:ascii="宋体" w:hAnsi="宋体"/>
          <w:sz w:val="24"/>
          <w:szCs w:val="22"/>
        </w:rPr>
      </w:pPr>
      <w:r>
        <w:rPr>
          <w:rFonts w:hint="eastAsia" w:ascii="宋体" w:hAnsi="宋体"/>
          <w:sz w:val="24"/>
          <w:szCs w:val="22"/>
        </w:rPr>
        <w:t>（</w:t>
      </w:r>
      <w:r>
        <w:rPr>
          <w:rFonts w:ascii="宋体" w:hAnsi="宋体"/>
          <w:sz w:val="24"/>
          <w:szCs w:val="22"/>
        </w:rPr>
        <w:t>3</w:t>
      </w:r>
      <w:r>
        <w:rPr>
          <w:rFonts w:hint="eastAsia" w:ascii="宋体" w:hAnsi="宋体"/>
          <w:sz w:val="24"/>
          <w:szCs w:val="22"/>
        </w:rPr>
        <w:t>）掌握小学数学教学案例研究的基本方法</w:t>
      </w:r>
    </w:p>
    <w:p w14:paraId="512DFCD0">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464A3EF4">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形成踏实</w:t>
      </w:r>
      <w:r>
        <w:rPr>
          <w:rFonts w:ascii="宋体" w:hAnsi="宋体"/>
          <w:sz w:val="24"/>
          <w:szCs w:val="22"/>
        </w:rPr>
        <w:t>严谨的学习</w:t>
      </w:r>
      <w:r>
        <w:rPr>
          <w:rFonts w:hint="eastAsia" w:ascii="宋体" w:hAnsi="宋体"/>
          <w:sz w:val="24"/>
          <w:szCs w:val="22"/>
        </w:rPr>
        <w:t>态度。</w:t>
      </w:r>
    </w:p>
    <w:p w14:paraId="79098705">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掌握科学</w:t>
      </w:r>
      <w:r>
        <w:rPr>
          <w:rFonts w:ascii="宋体" w:hAnsi="宋体"/>
          <w:sz w:val="24"/>
          <w:szCs w:val="22"/>
        </w:rPr>
        <w:t>、严谨的</w:t>
      </w:r>
      <w:r>
        <w:rPr>
          <w:rFonts w:hint="eastAsia" w:ascii="宋体" w:hAnsi="宋体"/>
          <w:sz w:val="24"/>
          <w:szCs w:val="22"/>
        </w:rPr>
        <w:t>案例</w:t>
      </w:r>
      <w:r>
        <w:rPr>
          <w:rFonts w:ascii="宋体" w:hAnsi="宋体"/>
          <w:sz w:val="24"/>
          <w:szCs w:val="22"/>
        </w:rPr>
        <w:t>学习方法</w:t>
      </w:r>
      <w:r>
        <w:rPr>
          <w:rFonts w:hint="eastAsia" w:ascii="宋体" w:hAnsi="宋体"/>
          <w:sz w:val="24"/>
          <w:szCs w:val="22"/>
        </w:rPr>
        <w:t>。</w:t>
      </w:r>
    </w:p>
    <w:p w14:paraId="22537F72">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小学</w:t>
      </w:r>
      <w:r>
        <w:rPr>
          <w:rFonts w:ascii="宋体" w:hAnsi="宋体"/>
          <w:sz w:val="24"/>
          <w:szCs w:val="22"/>
        </w:rPr>
        <w:t>数学教学</w:t>
      </w:r>
      <w:r>
        <w:rPr>
          <w:rFonts w:hint="eastAsia" w:ascii="宋体" w:hAnsi="宋体"/>
          <w:sz w:val="24"/>
          <w:szCs w:val="22"/>
        </w:rPr>
        <w:t>案例</w:t>
      </w:r>
      <w:r>
        <w:rPr>
          <w:rFonts w:ascii="宋体" w:hAnsi="宋体"/>
          <w:sz w:val="24"/>
          <w:szCs w:val="22"/>
        </w:rPr>
        <w:t>研究的</w:t>
      </w:r>
      <w:r>
        <w:rPr>
          <w:rFonts w:hint="eastAsia" w:ascii="宋体" w:hAnsi="宋体"/>
          <w:sz w:val="24"/>
          <w:szCs w:val="22"/>
        </w:rPr>
        <w:t>基本过程</w:t>
      </w:r>
      <w:r>
        <w:rPr>
          <w:rFonts w:ascii="宋体" w:hAnsi="宋体"/>
          <w:sz w:val="24"/>
          <w:szCs w:val="22"/>
        </w:rPr>
        <w:t>与方法</w:t>
      </w:r>
    </w:p>
    <w:p w14:paraId="605F59FD">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小学数学教学案例研究的基本方法</w:t>
      </w:r>
    </w:p>
    <w:p w14:paraId="20A0F813">
      <w:pPr>
        <w:spacing w:line="360" w:lineRule="auto"/>
        <w:ind w:firstLine="482" w:firstLineChars="200"/>
        <w:outlineLvl w:val="0"/>
        <w:rPr>
          <w:rFonts w:hint="eastAsia" w:ascii="宋体" w:hAnsi="宋体"/>
          <w:b/>
          <w:sz w:val="24"/>
          <w:szCs w:val="22"/>
        </w:rPr>
      </w:pPr>
      <w:r>
        <w:rPr>
          <w:rFonts w:hint="eastAsia" w:ascii="宋体" w:hAnsi="宋体"/>
          <w:b/>
          <w:sz w:val="24"/>
          <w:szCs w:val="22"/>
        </w:rPr>
        <w:t>（三）“数与代数”教学案例研究（本模块各知识点的讲授与学习，可以支撑课程目标2、课程目标</w:t>
      </w:r>
      <w:r>
        <w:rPr>
          <w:rFonts w:ascii="宋体" w:hAnsi="宋体"/>
          <w:b/>
          <w:sz w:val="24"/>
          <w:szCs w:val="22"/>
        </w:rPr>
        <w:t>3</w:t>
      </w:r>
      <w:r>
        <w:rPr>
          <w:rFonts w:hint="eastAsia" w:ascii="宋体" w:hAnsi="宋体"/>
          <w:b/>
          <w:sz w:val="24"/>
          <w:szCs w:val="22"/>
        </w:rPr>
        <w:t>、</w:t>
      </w:r>
      <w:r>
        <w:rPr>
          <w:rFonts w:ascii="宋体" w:hAnsi="宋体"/>
          <w:b/>
          <w:sz w:val="24"/>
          <w:szCs w:val="22"/>
        </w:rPr>
        <w:t>课程目标</w:t>
      </w:r>
      <w:r>
        <w:rPr>
          <w:rFonts w:hint="eastAsia" w:ascii="宋体" w:hAnsi="宋体"/>
          <w:b/>
          <w:sz w:val="24"/>
          <w:szCs w:val="22"/>
        </w:rPr>
        <w:t>4）</w:t>
      </w:r>
    </w:p>
    <w:p w14:paraId="4D4D9EFA">
      <w:pPr>
        <w:spacing w:line="360" w:lineRule="auto"/>
        <w:ind w:firstLine="482" w:firstLineChars="200"/>
        <w:rPr>
          <w:rFonts w:ascii="宋体" w:hAnsi="宋体"/>
          <w:b/>
          <w:sz w:val="24"/>
          <w:szCs w:val="22"/>
        </w:rPr>
      </w:pPr>
      <w:r>
        <w:rPr>
          <w:rFonts w:ascii="宋体" w:hAnsi="宋体"/>
          <w:b/>
          <w:sz w:val="24"/>
          <w:szCs w:val="22"/>
        </w:rPr>
        <w:t>1.教学内容</w:t>
      </w:r>
    </w:p>
    <w:p w14:paraId="6A8406C7">
      <w:pPr>
        <w:spacing w:line="360" w:lineRule="auto"/>
        <w:ind w:firstLine="480" w:firstLineChars="200"/>
        <w:rPr>
          <w:rFonts w:hint="eastAsia" w:ascii="宋体" w:hAnsi="宋体"/>
          <w:sz w:val="24"/>
          <w:szCs w:val="22"/>
        </w:rPr>
      </w:pPr>
      <w:r>
        <w:rPr>
          <w:rFonts w:hint="eastAsia" w:ascii="宋体" w:hAnsi="宋体"/>
          <w:sz w:val="24"/>
          <w:szCs w:val="22"/>
        </w:rPr>
        <w:t>⑴数的认识和大小比较案例</w:t>
      </w:r>
    </w:p>
    <w:p w14:paraId="2F7DBDA8">
      <w:pPr>
        <w:spacing w:line="360" w:lineRule="auto"/>
        <w:ind w:firstLine="480" w:firstLineChars="200"/>
        <w:rPr>
          <w:rFonts w:hint="eastAsia" w:ascii="宋体" w:hAnsi="宋体"/>
          <w:sz w:val="24"/>
          <w:szCs w:val="22"/>
        </w:rPr>
      </w:pPr>
      <w:r>
        <w:rPr>
          <w:rFonts w:hint="eastAsia" w:ascii="宋体" w:hAnsi="宋体"/>
          <w:sz w:val="24"/>
          <w:szCs w:val="22"/>
        </w:rPr>
        <w:t>⑵数的运算案例</w:t>
      </w:r>
    </w:p>
    <w:p w14:paraId="547F07CD">
      <w:pPr>
        <w:spacing w:line="360" w:lineRule="auto"/>
        <w:ind w:firstLine="480" w:firstLineChars="200"/>
        <w:rPr>
          <w:rFonts w:hint="eastAsia" w:ascii="宋体" w:hAnsi="宋体"/>
          <w:sz w:val="24"/>
          <w:szCs w:val="22"/>
        </w:rPr>
      </w:pPr>
      <w:r>
        <w:rPr>
          <w:rFonts w:hint="eastAsia" w:ascii="宋体" w:hAnsi="宋体"/>
          <w:sz w:val="24"/>
          <w:szCs w:val="22"/>
        </w:rPr>
        <w:t>⑶常见的量案例</w:t>
      </w:r>
    </w:p>
    <w:p w14:paraId="5744AA5D">
      <w:pPr>
        <w:spacing w:line="360" w:lineRule="auto"/>
        <w:ind w:firstLine="480" w:firstLineChars="200"/>
        <w:rPr>
          <w:rFonts w:hint="eastAsia" w:ascii="宋体" w:hAnsi="宋体"/>
          <w:sz w:val="24"/>
          <w:szCs w:val="22"/>
        </w:rPr>
      </w:pPr>
      <w:r>
        <w:rPr>
          <w:rFonts w:hint="eastAsia" w:ascii="宋体" w:hAnsi="宋体"/>
          <w:sz w:val="24"/>
          <w:szCs w:val="22"/>
        </w:rPr>
        <w:t>⑷式与方程案例</w:t>
      </w:r>
    </w:p>
    <w:p w14:paraId="71BFF137">
      <w:pPr>
        <w:spacing w:line="360" w:lineRule="auto"/>
        <w:ind w:firstLine="480" w:firstLineChars="200"/>
        <w:rPr>
          <w:rFonts w:ascii="宋体" w:hAnsi="宋体"/>
          <w:sz w:val="24"/>
          <w:szCs w:val="22"/>
        </w:rPr>
      </w:pPr>
      <w:r>
        <w:rPr>
          <w:rFonts w:hint="eastAsia" w:ascii="宋体" w:hAnsi="宋体"/>
          <w:sz w:val="24"/>
          <w:szCs w:val="22"/>
        </w:rPr>
        <w:t>⑸探索规律案例</w:t>
      </w:r>
    </w:p>
    <w:p w14:paraId="7FE1FC35">
      <w:pPr>
        <w:spacing w:line="360" w:lineRule="auto"/>
        <w:ind w:firstLine="482" w:firstLineChars="200"/>
        <w:rPr>
          <w:rFonts w:ascii="宋体" w:hAnsi="宋体"/>
          <w:b/>
          <w:sz w:val="24"/>
          <w:szCs w:val="22"/>
        </w:rPr>
      </w:pPr>
      <w:r>
        <w:rPr>
          <w:rFonts w:ascii="宋体" w:hAnsi="宋体"/>
          <w:b/>
          <w:sz w:val="24"/>
          <w:szCs w:val="22"/>
        </w:rPr>
        <w:t>2.基本要求</w:t>
      </w:r>
    </w:p>
    <w:p w14:paraId="1BC50A0C">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能够依据《数学课程标准》关于“数与代数”领域的目标要求分析相关案例</w:t>
      </w:r>
    </w:p>
    <w:p w14:paraId="7945333B">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了解“数与代数”教学内容的一般特点及教学策略</w:t>
      </w:r>
    </w:p>
    <w:p w14:paraId="109F833C">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能够对相关案例作出恰当的评价并提出自己的教学设想并</w:t>
      </w:r>
      <w:r>
        <w:rPr>
          <w:rFonts w:ascii="宋体" w:hAnsi="宋体"/>
          <w:sz w:val="24"/>
          <w:szCs w:val="22"/>
        </w:rPr>
        <w:t>实施</w:t>
      </w:r>
    </w:p>
    <w:p w14:paraId="11B623A3">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2048E36F">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通过学习“数与</w:t>
      </w:r>
      <w:r>
        <w:rPr>
          <w:rFonts w:ascii="宋体" w:hAnsi="宋体"/>
          <w:sz w:val="24"/>
          <w:szCs w:val="22"/>
        </w:rPr>
        <w:t>代数”</w:t>
      </w:r>
      <w:r>
        <w:rPr>
          <w:rFonts w:hint="eastAsia" w:ascii="宋体" w:hAnsi="宋体"/>
          <w:sz w:val="24"/>
          <w:szCs w:val="22"/>
        </w:rPr>
        <w:t>教学</w:t>
      </w:r>
      <w:r>
        <w:rPr>
          <w:rFonts w:ascii="宋体" w:hAnsi="宋体"/>
          <w:sz w:val="24"/>
          <w:szCs w:val="22"/>
        </w:rPr>
        <w:t>的优秀案例，</w:t>
      </w:r>
      <w:r>
        <w:rPr>
          <w:rFonts w:hint="eastAsia" w:ascii="宋体" w:hAnsi="宋体"/>
          <w:sz w:val="24"/>
          <w:szCs w:val="22"/>
        </w:rPr>
        <w:t>增强专业自信</w:t>
      </w:r>
      <w:r>
        <w:rPr>
          <w:rFonts w:ascii="宋体" w:hAnsi="宋体"/>
          <w:sz w:val="24"/>
          <w:szCs w:val="22"/>
        </w:rPr>
        <w:t>心</w:t>
      </w:r>
      <w:r>
        <w:rPr>
          <w:rFonts w:hint="eastAsia" w:ascii="宋体" w:hAnsi="宋体"/>
          <w:sz w:val="24"/>
          <w:szCs w:val="22"/>
        </w:rPr>
        <w:t>。</w:t>
      </w:r>
    </w:p>
    <w:p w14:paraId="71F5AFF0">
      <w:pPr>
        <w:spacing w:line="360" w:lineRule="auto"/>
        <w:ind w:firstLine="480" w:firstLineChars="200"/>
        <w:rPr>
          <w:rFonts w:ascii="宋体" w:hAnsi="宋体"/>
          <w:sz w:val="24"/>
          <w:szCs w:val="22"/>
        </w:rPr>
      </w:pPr>
      <w:r>
        <w:rPr>
          <w:rFonts w:ascii="宋体" w:hAnsi="宋体"/>
          <w:sz w:val="24"/>
          <w:szCs w:val="22"/>
        </w:rPr>
        <w:t>（2）</w:t>
      </w:r>
      <w:r>
        <w:rPr>
          <w:rFonts w:hint="eastAsia" w:ascii="宋体" w:hAnsi="宋体"/>
          <w:sz w:val="24"/>
          <w:szCs w:val="22"/>
        </w:rPr>
        <w:t>践</w:t>
      </w:r>
      <w:r>
        <w:rPr>
          <w:rFonts w:ascii="宋体" w:hAnsi="宋体"/>
          <w:sz w:val="24"/>
          <w:szCs w:val="22"/>
        </w:rPr>
        <w:t>行社会主义核心价值观，</w:t>
      </w:r>
      <w:r>
        <w:rPr>
          <w:rFonts w:hint="eastAsia" w:ascii="宋体" w:hAnsi="宋体"/>
          <w:sz w:val="24"/>
          <w:szCs w:val="22"/>
        </w:rPr>
        <w:t>树立全面育</w:t>
      </w:r>
      <w:r>
        <w:rPr>
          <w:rFonts w:ascii="宋体" w:hAnsi="宋体"/>
          <w:sz w:val="24"/>
          <w:szCs w:val="22"/>
        </w:rPr>
        <w:t>人的</w:t>
      </w:r>
      <w:r>
        <w:rPr>
          <w:rFonts w:hint="eastAsia" w:ascii="宋体" w:hAnsi="宋体"/>
          <w:sz w:val="24"/>
          <w:szCs w:val="22"/>
        </w:rPr>
        <w:t>教学</w:t>
      </w:r>
      <w:r>
        <w:rPr>
          <w:rFonts w:ascii="宋体" w:hAnsi="宋体"/>
          <w:sz w:val="24"/>
          <w:szCs w:val="22"/>
        </w:rPr>
        <w:t>观</w:t>
      </w:r>
      <w:r>
        <w:rPr>
          <w:rFonts w:hint="eastAsia" w:ascii="宋体" w:hAnsi="宋体"/>
          <w:sz w:val="24"/>
          <w:szCs w:val="22"/>
        </w:rPr>
        <w:t>，</w:t>
      </w:r>
      <w:r>
        <w:rPr>
          <w:rFonts w:ascii="宋体" w:hAnsi="宋体"/>
          <w:sz w:val="24"/>
          <w:szCs w:val="22"/>
        </w:rPr>
        <w:t>注重教学</w:t>
      </w:r>
      <w:r>
        <w:rPr>
          <w:rFonts w:hint="eastAsia" w:ascii="宋体" w:hAnsi="宋体"/>
          <w:sz w:val="24"/>
          <w:szCs w:val="22"/>
        </w:rPr>
        <w:t>中</w:t>
      </w:r>
      <w:r>
        <w:rPr>
          <w:rFonts w:ascii="宋体" w:hAnsi="宋体"/>
          <w:sz w:val="24"/>
          <w:szCs w:val="22"/>
        </w:rPr>
        <w:t>情感、态度与价值观目标的</w:t>
      </w:r>
      <w:r>
        <w:rPr>
          <w:rFonts w:hint="eastAsia" w:ascii="宋体" w:hAnsi="宋体"/>
          <w:sz w:val="24"/>
          <w:szCs w:val="22"/>
        </w:rPr>
        <w:t>达成。</w:t>
      </w:r>
    </w:p>
    <w:p w14:paraId="7123BA37">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增强团队合作意识与沟通表达能力。</w:t>
      </w:r>
    </w:p>
    <w:p w14:paraId="52E53B43">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了解“数与代数”教学内容的一般特点及教学策略</w:t>
      </w:r>
    </w:p>
    <w:p w14:paraId="216EEBE1">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根据案例自主进行</w:t>
      </w:r>
      <w:r>
        <w:rPr>
          <w:rFonts w:ascii="宋体" w:hAnsi="宋体"/>
          <w:sz w:val="24"/>
          <w:szCs w:val="22"/>
        </w:rPr>
        <w:t>教学设计</w:t>
      </w:r>
      <w:r>
        <w:rPr>
          <w:rFonts w:hint="eastAsia" w:ascii="宋体" w:hAnsi="宋体"/>
          <w:sz w:val="24"/>
          <w:szCs w:val="22"/>
        </w:rPr>
        <w:t>与</w:t>
      </w:r>
      <w:r>
        <w:rPr>
          <w:rFonts w:ascii="宋体" w:hAnsi="宋体"/>
          <w:sz w:val="24"/>
          <w:szCs w:val="22"/>
        </w:rPr>
        <w:t>实施</w:t>
      </w:r>
      <w:r>
        <w:rPr>
          <w:rFonts w:hint="eastAsia" w:ascii="宋体" w:hAnsi="宋体"/>
          <w:sz w:val="24"/>
          <w:szCs w:val="22"/>
        </w:rPr>
        <w:t xml:space="preserve"> </w:t>
      </w:r>
    </w:p>
    <w:p w14:paraId="298FAEF3">
      <w:pPr>
        <w:spacing w:line="360" w:lineRule="auto"/>
        <w:ind w:firstLine="482" w:firstLineChars="200"/>
        <w:outlineLvl w:val="0"/>
        <w:rPr>
          <w:rFonts w:ascii="宋体" w:hAnsi="宋体"/>
          <w:b/>
          <w:sz w:val="24"/>
          <w:szCs w:val="22"/>
        </w:rPr>
      </w:pPr>
      <w:r>
        <w:rPr>
          <w:rFonts w:hint="eastAsia" w:ascii="宋体" w:hAnsi="宋体"/>
          <w:b/>
          <w:sz w:val="24"/>
          <w:szCs w:val="22"/>
        </w:rPr>
        <w:t>（四）“图形与</w:t>
      </w:r>
      <w:r>
        <w:rPr>
          <w:rFonts w:ascii="宋体" w:hAnsi="宋体"/>
          <w:b/>
          <w:sz w:val="24"/>
          <w:szCs w:val="22"/>
        </w:rPr>
        <w:t>几何</w:t>
      </w:r>
      <w:r>
        <w:rPr>
          <w:rFonts w:hint="eastAsia" w:ascii="宋体" w:hAnsi="宋体"/>
          <w:b/>
          <w:sz w:val="24"/>
          <w:szCs w:val="22"/>
        </w:rPr>
        <w:t>”</w:t>
      </w:r>
      <w:r>
        <w:rPr>
          <w:rFonts w:ascii="宋体" w:hAnsi="宋体"/>
          <w:b/>
          <w:sz w:val="24"/>
          <w:szCs w:val="22"/>
        </w:rPr>
        <w:t>教学案例研究</w:t>
      </w:r>
      <w:r>
        <w:rPr>
          <w:rFonts w:hint="eastAsia" w:ascii="宋体" w:hAnsi="宋体"/>
          <w:b/>
          <w:sz w:val="24"/>
          <w:szCs w:val="22"/>
        </w:rPr>
        <w:t>（本模块各知识点的讲授与学习，可以支撑课程目标2、课程目标3、课程目标4）</w:t>
      </w:r>
    </w:p>
    <w:p w14:paraId="7E1816E6">
      <w:pPr>
        <w:spacing w:line="360" w:lineRule="auto"/>
        <w:ind w:firstLine="482" w:firstLineChars="200"/>
        <w:rPr>
          <w:rFonts w:ascii="宋体" w:hAnsi="宋体"/>
          <w:b/>
          <w:sz w:val="24"/>
          <w:szCs w:val="22"/>
        </w:rPr>
      </w:pPr>
      <w:r>
        <w:rPr>
          <w:rFonts w:ascii="宋体" w:hAnsi="宋体"/>
          <w:b/>
          <w:sz w:val="24"/>
          <w:szCs w:val="22"/>
        </w:rPr>
        <w:t>1.教学内容</w:t>
      </w:r>
    </w:p>
    <w:p w14:paraId="4C226C83">
      <w:pPr>
        <w:spacing w:line="360" w:lineRule="auto"/>
        <w:ind w:firstLine="480" w:firstLineChars="200"/>
        <w:rPr>
          <w:rFonts w:hint="eastAsia"/>
          <w:sz w:val="24"/>
        </w:rPr>
      </w:pPr>
      <w:r>
        <w:rPr>
          <w:rFonts w:hint="eastAsia"/>
          <w:sz w:val="24"/>
        </w:rPr>
        <w:t>⑴图形的认识案例</w:t>
      </w:r>
    </w:p>
    <w:p w14:paraId="4CE7FB2F">
      <w:pPr>
        <w:spacing w:line="360" w:lineRule="auto"/>
        <w:ind w:firstLine="480" w:firstLineChars="200"/>
        <w:rPr>
          <w:rFonts w:hint="eastAsia"/>
          <w:sz w:val="24"/>
        </w:rPr>
      </w:pPr>
      <w:r>
        <w:rPr>
          <w:rFonts w:hint="eastAsia"/>
          <w:sz w:val="24"/>
        </w:rPr>
        <w:t>⑵测量案例</w:t>
      </w:r>
    </w:p>
    <w:p w14:paraId="385C21CD">
      <w:pPr>
        <w:spacing w:line="360" w:lineRule="auto"/>
        <w:ind w:firstLine="480" w:firstLineChars="200"/>
        <w:rPr>
          <w:rFonts w:hint="eastAsia"/>
          <w:sz w:val="24"/>
        </w:rPr>
      </w:pPr>
      <w:r>
        <w:rPr>
          <w:rFonts w:hint="eastAsia"/>
          <w:sz w:val="24"/>
        </w:rPr>
        <w:t>⑶图形与变换案例</w:t>
      </w:r>
    </w:p>
    <w:p w14:paraId="4DDEFEA0">
      <w:pPr>
        <w:spacing w:line="360" w:lineRule="auto"/>
        <w:ind w:firstLine="480" w:firstLineChars="200"/>
        <w:rPr>
          <w:rFonts w:hint="eastAsia"/>
          <w:sz w:val="24"/>
        </w:rPr>
      </w:pPr>
      <w:r>
        <w:rPr>
          <w:rFonts w:hint="eastAsia"/>
          <w:sz w:val="24"/>
        </w:rPr>
        <w:t>⑷图形与位置案例</w:t>
      </w:r>
    </w:p>
    <w:p w14:paraId="3710EBB0">
      <w:pPr>
        <w:spacing w:line="360" w:lineRule="auto"/>
        <w:ind w:firstLine="482" w:firstLineChars="200"/>
        <w:rPr>
          <w:rFonts w:ascii="宋体" w:hAnsi="宋体"/>
          <w:b/>
          <w:sz w:val="24"/>
          <w:szCs w:val="22"/>
        </w:rPr>
      </w:pPr>
      <w:r>
        <w:rPr>
          <w:rFonts w:ascii="宋体" w:hAnsi="宋体"/>
          <w:b/>
          <w:sz w:val="24"/>
          <w:szCs w:val="22"/>
        </w:rPr>
        <w:t>2.基本要求</w:t>
      </w:r>
    </w:p>
    <w:p w14:paraId="46B18709">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能够依据《数学课程标准》关于“图形与几何”领域的目标要求分析相关案例</w:t>
      </w:r>
    </w:p>
    <w:p w14:paraId="76328312">
      <w:pPr>
        <w:spacing w:line="360" w:lineRule="auto"/>
        <w:ind w:firstLine="480" w:firstLineChars="200"/>
        <w:rPr>
          <w:rFonts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了解“图形与几何”教学内容的一般特点及教学策略</w:t>
      </w:r>
    </w:p>
    <w:p w14:paraId="2FF49D54">
      <w:pPr>
        <w:spacing w:line="360" w:lineRule="auto"/>
        <w:ind w:firstLine="480" w:firstLineChars="200"/>
        <w:rPr>
          <w:rFonts w:ascii="宋体" w:hAnsi="宋体"/>
          <w:sz w:val="24"/>
          <w:szCs w:val="22"/>
        </w:rPr>
      </w:pPr>
      <w:r>
        <w:rPr>
          <w:rFonts w:hint="eastAsia" w:ascii="宋体" w:hAnsi="宋体"/>
          <w:sz w:val="24"/>
          <w:szCs w:val="22"/>
        </w:rPr>
        <w:t>（3）能够对相关案例作出恰当的评价并提出自己的教学设想并实施</w:t>
      </w:r>
    </w:p>
    <w:p w14:paraId="222EF877">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54D8E322">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通过学习“图形与几何</w:t>
      </w:r>
      <w:r>
        <w:rPr>
          <w:rFonts w:ascii="宋体" w:hAnsi="宋体"/>
          <w:sz w:val="24"/>
          <w:szCs w:val="22"/>
        </w:rPr>
        <w:t>”</w:t>
      </w:r>
      <w:r>
        <w:rPr>
          <w:rFonts w:hint="eastAsia" w:ascii="宋体" w:hAnsi="宋体"/>
          <w:sz w:val="24"/>
          <w:szCs w:val="22"/>
        </w:rPr>
        <w:t>教学</w:t>
      </w:r>
      <w:r>
        <w:rPr>
          <w:rFonts w:ascii="宋体" w:hAnsi="宋体"/>
          <w:sz w:val="24"/>
          <w:szCs w:val="22"/>
        </w:rPr>
        <w:t>的优秀案例，</w:t>
      </w:r>
      <w:r>
        <w:rPr>
          <w:rFonts w:hint="eastAsia" w:ascii="宋体" w:hAnsi="宋体"/>
          <w:sz w:val="24"/>
          <w:szCs w:val="22"/>
        </w:rPr>
        <w:t>增强专业自信</w:t>
      </w:r>
      <w:r>
        <w:rPr>
          <w:rFonts w:ascii="宋体" w:hAnsi="宋体"/>
          <w:sz w:val="24"/>
          <w:szCs w:val="22"/>
        </w:rPr>
        <w:t>心</w:t>
      </w:r>
      <w:r>
        <w:rPr>
          <w:rFonts w:hint="eastAsia" w:ascii="宋体" w:hAnsi="宋体"/>
          <w:sz w:val="24"/>
          <w:szCs w:val="22"/>
        </w:rPr>
        <w:t>。</w:t>
      </w:r>
    </w:p>
    <w:p w14:paraId="5E92ECA5">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践</w:t>
      </w:r>
      <w:r>
        <w:rPr>
          <w:rFonts w:ascii="宋体" w:hAnsi="宋体"/>
          <w:sz w:val="24"/>
          <w:szCs w:val="22"/>
        </w:rPr>
        <w:t>行社会主义核心价值观，</w:t>
      </w:r>
      <w:r>
        <w:rPr>
          <w:rFonts w:hint="eastAsia" w:ascii="宋体" w:hAnsi="宋体"/>
          <w:sz w:val="24"/>
          <w:szCs w:val="22"/>
        </w:rPr>
        <w:t>树立全面育</w:t>
      </w:r>
      <w:r>
        <w:rPr>
          <w:rFonts w:ascii="宋体" w:hAnsi="宋体"/>
          <w:sz w:val="24"/>
          <w:szCs w:val="22"/>
        </w:rPr>
        <w:t>人的</w:t>
      </w:r>
      <w:r>
        <w:rPr>
          <w:rFonts w:hint="eastAsia" w:ascii="宋体" w:hAnsi="宋体"/>
          <w:sz w:val="24"/>
          <w:szCs w:val="22"/>
        </w:rPr>
        <w:t>教学</w:t>
      </w:r>
      <w:r>
        <w:rPr>
          <w:rFonts w:ascii="宋体" w:hAnsi="宋体"/>
          <w:sz w:val="24"/>
          <w:szCs w:val="22"/>
        </w:rPr>
        <w:t>观</w:t>
      </w:r>
      <w:r>
        <w:rPr>
          <w:rFonts w:hint="eastAsia" w:ascii="宋体" w:hAnsi="宋体"/>
          <w:sz w:val="24"/>
          <w:szCs w:val="22"/>
        </w:rPr>
        <w:t>，</w:t>
      </w:r>
      <w:r>
        <w:rPr>
          <w:rFonts w:ascii="宋体" w:hAnsi="宋体"/>
          <w:sz w:val="24"/>
          <w:szCs w:val="22"/>
        </w:rPr>
        <w:t>注重教学</w:t>
      </w:r>
      <w:r>
        <w:rPr>
          <w:rFonts w:hint="eastAsia" w:ascii="宋体" w:hAnsi="宋体"/>
          <w:sz w:val="24"/>
          <w:szCs w:val="22"/>
        </w:rPr>
        <w:t>中</w:t>
      </w:r>
      <w:r>
        <w:rPr>
          <w:rFonts w:ascii="宋体" w:hAnsi="宋体"/>
          <w:sz w:val="24"/>
          <w:szCs w:val="22"/>
        </w:rPr>
        <w:t>情感、态度与价值观目标的</w:t>
      </w:r>
      <w:r>
        <w:rPr>
          <w:rFonts w:hint="eastAsia" w:ascii="宋体" w:hAnsi="宋体"/>
          <w:sz w:val="24"/>
          <w:szCs w:val="22"/>
        </w:rPr>
        <w:t>达成。</w:t>
      </w:r>
    </w:p>
    <w:p w14:paraId="75DBC41C">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增强团队合作意识与沟通表达能力。</w:t>
      </w:r>
    </w:p>
    <w:p w14:paraId="019890A1">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了解“图形与几何”教学内容的一般特点及教学策略</w:t>
      </w:r>
    </w:p>
    <w:p w14:paraId="04197CB0">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根据案例自主进行</w:t>
      </w:r>
      <w:r>
        <w:rPr>
          <w:rFonts w:ascii="宋体" w:hAnsi="宋体"/>
          <w:sz w:val="24"/>
          <w:szCs w:val="22"/>
        </w:rPr>
        <w:t>教学设计</w:t>
      </w:r>
      <w:r>
        <w:rPr>
          <w:rFonts w:hint="eastAsia" w:ascii="宋体" w:hAnsi="宋体"/>
          <w:sz w:val="24"/>
          <w:szCs w:val="22"/>
        </w:rPr>
        <w:t>与</w:t>
      </w:r>
      <w:r>
        <w:rPr>
          <w:rFonts w:ascii="宋体" w:hAnsi="宋体"/>
          <w:sz w:val="24"/>
          <w:szCs w:val="22"/>
        </w:rPr>
        <w:t>实施</w:t>
      </w:r>
      <w:r>
        <w:rPr>
          <w:rFonts w:hint="eastAsia" w:ascii="宋体" w:hAnsi="宋体"/>
          <w:sz w:val="24"/>
          <w:szCs w:val="22"/>
        </w:rPr>
        <w:t xml:space="preserve"> </w:t>
      </w:r>
    </w:p>
    <w:p w14:paraId="6E4AC421">
      <w:pPr>
        <w:spacing w:line="360" w:lineRule="auto"/>
        <w:ind w:firstLine="482" w:firstLineChars="200"/>
        <w:outlineLvl w:val="0"/>
        <w:rPr>
          <w:rFonts w:hint="eastAsia" w:ascii="宋体" w:hAnsi="宋体"/>
          <w:b/>
          <w:sz w:val="24"/>
          <w:szCs w:val="22"/>
        </w:rPr>
      </w:pPr>
      <w:r>
        <w:rPr>
          <w:rFonts w:hint="eastAsia" w:ascii="宋体" w:hAnsi="宋体"/>
          <w:b/>
          <w:sz w:val="24"/>
          <w:szCs w:val="22"/>
        </w:rPr>
        <w:t>（五）“统计与</w:t>
      </w:r>
      <w:r>
        <w:rPr>
          <w:rFonts w:ascii="宋体" w:hAnsi="宋体"/>
          <w:b/>
          <w:sz w:val="24"/>
          <w:szCs w:val="22"/>
        </w:rPr>
        <w:t>概率</w:t>
      </w:r>
      <w:r>
        <w:rPr>
          <w:rFonts w:hint="eastAsia" w:ascii="宋体" w:hAnsi="宋体"/>
          <w:b/>
          <w:sz w:val="24"/>
          <w:szCs w:val="22"/>
        </w:rPr>
        <w:t>”</w:t>
      </w:r>
      <w:r>
        <w:rPr>
          <w:rFonts w:ascii="宋体" w:hAnsi="宋体"/>
          <w:b/>
          <w:sz w:val="24"/>
          <w:szCs w:val="22"/>
        </w:rPr>
        <w:t>教学案例研究</w:t>
      </w:r>
      <w:r>
        <w:rPr>
          <w:rFonts w:hint="eastAsia" w:ascii="宋体" w:hAnsi="宋体"/>
          <w:b/>
          <w:sz w:val="24"/>
          <w:szCs w:val="22"/>
        </w:rPr>
        <w:t>（本模块各知识点的讲授与学习，可以支撑课程目标2、课程目标3、课程目标4）</w:t>
      </w:r>
    </w:p>
    <w:p w14:paraId="3728E41B">
      <w:pPr>
        <w:spacing w:line="360" w:lineRule="auto"/>
        <w:ind w:firstLine="482" w:firstLineChars="200"/>
        <w:rPr>
          <w:rFonts w:ascii="宋体" w:hAnsi="宋体"/>
          <w:b/>
          <w:sz w:val="24"/>
          <w:szCs w:val="22"/>
        </w:rPr>
      </w:pPr>
      <w:r>
        <w:rPr>
          <w:rFonts w:ascii="宋体" w:hAnsi="宋体"/>
          <w:b/>
          <w:sz w:val="24"/>
          <w:szCs w:val="22"/>
        </w:rPr>
        <w:t>1.教学内容</w:t>
      </w:r>
    </w:p>
    <w:p w14:paraId="5E1F8019">
      <w:pPr>
        <w:spacing w:line="360" w:lineRule="auto"/>
        <w:ind w:firstLine="480" w:firstLineChars="200"/>
        <w:rPr>
          <w:rFonts w:hint="eastAsia" w:ascii="宋体" w:hAnsi="宋体"/>
          <w:sz w:val="24"/>
          <w:szCs w:val="22"/>
        </w:rPr>
      </w:pPr>
      <w:r>
        <w:rPr>
          <w:rFonts w:hint="eastAsia" w:ascii="宋体" w:hAnsi="宋体"/>
          <w:sz w:val="24"/>
          <w:szCs w:val="22"/>
        </w:rPr>
        <w:t>⑴数据统计案例</w:t>
      </w:r>
    </w:p>
    <w:p w14:paraId="2D8FB8F0">
      <w:pPr>
        <w:spacing w:line="360" w:lineRule="auto"/>
        <w:ind w:firstLine="480" w:firstLineChars="200"/>
        <w:rPr>
          <w:rFonts w:ascii="宋体" w:hAnsi="宋体"/>
          <w:sz w:val="24"/>
          <w:szCs w:val="22"/>
        </w:rPr>
      </w:pPr>
      <w:r>
        <w:rPr>
          <w:rFonts w:hint="eastAsia" w:ascii="宋体" w:hAnsi="宋体"/>
          <w:sz w:val="24"/>
          <w:szCs w:val="22"/>
        </w:rPr>
        <w:t>⑵不确定现象的可能性案例</w:t>
      </w:r>
    </w:p>
    <w:p w14:paraId="7A06ECF9">
      <w:pPr>
        <w:spacing w:line="360" w:lineRule="auto"/>
        <w:ind w:firstLine="482" w:firstLineChars="200"/>
        <w:rPr>
          <w:rFonts w:ascii="宋体" w:hAnsi="宋体"/>
          <w:b/>
          <w:sz w:val="24"/>
          <w:szCs w:val="22"/>
        </w:rPr>
      </w:pPr>
      <w:r>
        <w:rPr>
          <w:rFonts w:ascii="宋体" w:hAnsi="宋体"/>
          <w:b/>
          <w:sz w:val="24"/>
          <w:szCs w:val="22"/>
        </w:rPr>
        <w:t>2.基本要求</w:t>
      </w:r>
    </w:p>
    <w:p w14:paraId="6A18B480">
      <w:pPr>
        <w:spacing w:line="360" w:lineRule="auto"/>
        <w:ind w:left="105" w:leftChars="50" w:firstLine="360" w:firstLineChars="150"/>
        <w:rPr>
          <w:rFonts w:hint="eastAsia" w:ascii="宋体" w:hAnsi="宋体"/>
          <w:sz w:val="24"/>
          <w:szCs w:val="22"/>
        </w:rPr>
      </w:pPr>
      <w:r>
        <w:rPr>
          <w:rFonts w:ascii="宋体" w:hAnsi="宋体"/>
          <w:sz w:val="24"/>
          <w:szCs w:val="22"/>
        </w:rPr>
        <w:t>（1）</w:t>
      </w:r>
      <w:r>
        <w:rPr>
          <w:rFonts w:hint="eastAsia" w:ascii="宋体" w:hAnsi="宋体"/>
          <w:sz w:val="24"/>
          <w:szCs w:val="22"/>
        </w:rPr>
        <w:t>能够依据《数学课程标准》关于“统计与概率”领域的目标要求分析相关案例</w:t>
      </w:r>
    </w:p>
    <w:p w14:paraId="6F5D4C06">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了解“统计与概率”教学内容的一般特点及教学策略</w:t>
      </w:r>
    </w:p>
    <w:p w14:paraId="4C431609">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能够对相关案例作出恰当的评价并提出自己的教学设想并</w:t>
      </w:r>
      <w:r>
        <w:rPr>
          <w:rFonts w:ascii="宋体" w:hAnsi="宋体"/>
          <w:sz w:val="24"/>
          <w:szCs w:val="22"/>
        </w:rPr>
        <w:t>实施</w:t>
      </w:r>
    </w:p>
    <w:p w14:paraId="5F537EF0">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1695F163">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通过学习“统计与概率</w:t>
      </w:r>
      <w:r>
        <w:rPr>
          <w:rFonts w:ascii="宋体" w:hAnsi="宋体"/>
          <w:sz w:val="24"/>
          <w:szCs w:val="22"/>
        </w:rPr>
        <w:t>”</w:t>
      </w:r>
      <w:r>
        <w:rPr>
          <w:rFonts w:hint="eastAsia" w:ascii="宋体" w:hAnsi="宋体"/>
          <w:sz w:val="24"/>
          <w:szCs w:val="22"/>
        </w:rPr>
        <w:t>教学</w:t>
      </w:r>
      <w:r>
        <w:rPr>
          <w:rFonts w:ascii="宋体" w:hAnsi="宋体"/>
          <w:sz w:val="24"/>
          <w:szCs w:val="22"/>
        </w:rPr>
        <w:t>的优秀案例，</w:t>
      </w:r>
      <w:r>
        <w:rPr>
          <w:rFonts w:hint="eastAsia" w:ascii="宋体" w:hAnsi="宋体"/>
          <w:sz w:val="24"/>
          <w:szCs w:val="22"/>
        </w:rPr>
        <w:t>增强专业自信</w:t>
      </w:r>
      <w:r>
        <w:rPr>
          <w:rFonts w:ascii="宋体" w:hAnsi="宋体"/>
          <w:sz w:val="24"/>
          <w:szCs w:val="22"/>
        </w:rPr>
        <w:t>心</w:t>
      </w:r>
      <w:r>
        <w:rPr>
          <w:rFonts w:hint="eastAsia" w:ascii="宋体" w:hAnsi="宋体"/>
          <w:sz w:val="24"/>
          <w:szCs w:val="22"/>
        </w:rPr>
        <w:t>。</w:t>
      </w:r>
    </w:p>
    <w:p w14:paraId="099DFE70">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践</w:t>
      </w:r>
      <w:r>
        <w:rPr>
          <w:rFonts w:ascii="宋体" w:hAnsi="宋体"/>
          <w:sz w:val="24"/>
          <w:szCs w:val="22"/>
        </w:rPr>
        <w:t>行社会主义核心价值观，</w:t>
      </w:r>
      <w:r>
        <w:rPr>
          <w:rFonts w:hint="eastAsia" w:ascii="宋体" w:hAnsi="宋体"/>
          <w:sz w:val="24"/>
          <w:szCs w:val="22"/>
        </w:rPr>
        <w:t>树立全面育</w:t>
      </w:r>
      <w:r>
        <w:rPr>
          <w:rFonts w:ascii="宋体" w:hAnsi="宋体"/>
          <w:sz w:val="24"/>
          <w:szCs w:val="22"/>
        </w:rPr>
        <w:t>人的</w:t>
      </w:r>
      <w:r>
        <w:rPr>
          <w:rFonts w:hint="eastAsia" w:ascii="宋体" w:hAnsi="宋体"/>
          <w:sz w:val="24"/>
          <w:szCs w:val="22"/>
        </w:rPr>
        <w:t>教学</w:t>
      </w:r>
      <w:r>
        <w:rPr>
          <w:rFonts w:ascii="宋体" w:hAnsi="宋体"/>
          <w:sz w:val="24"/>
          <w:szCs w:val="22"/>
        </w:rPr>
        <w:t>观</w:t>
      </w:r>
      <w:r>
        <w:rPr>
          <w:rFonts w:hint="eastAsia" w:ascii="宋体" w:hAnsi="宋体"/>
          <w:sz w:val="24"/>
          <w:szCs w:val="22"/>
        </w:rPr>
        <w:t>，</w:t>
      </w:r>
      <w:r>
        <w:rPr>
          <w:rFonts w:ascii="宋体" w:hAnsi="宋体"/>
          <w:sz w:val="24"/>
          <w:szCs w:val="22"/>
        </w:rPr>
        <w:t>注重教学</w:t>
      </w:r>
      <w:r>
        <w:rPr>
          <w:rFonts w:hint="eastAsia" w:ascii="宋体" w:hAnsi="宋体"/>
          <w:sz w:val="24"/>
          <w:szCs w:val="22"/>
        </w:rPr>
        <w:t>中</w:t>
      </w:r>
      <w:r>
        <w:rPr>
          <w:rFonts w:ascii="宋体" w:hAnsi="宋体"/>
          <w:sz w:val="24"/>
          <w:szCs w:val="22"/>
        </w:rPr>
        <w:t>情感、态度与价值观目标的</w:t>
      </w:r>
      <w:r>
        <w:rPr>
          <w:rFonts w:hint="eastAsia" w:ascii="宋体" w:hAnsi="宋体"/>
          <w:sz w:val="24"/>
          <w:szCs w:val="22"/>
        </w:rPr>
        <w:t>达成。</w:t>
      </w:r>
    </w:p>
    <w:p w14:paraId="1B440529">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增强团队合作意识与沟通表达能力。</w:t>
      </w:r>
    </w:p>
    <w:p w14:paraId="4BD36B51">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了解“统计与概率”教学内容的一般特点及教学策略</w:t>
      </w:r>
    </w:p>
    <w:p w14:paraId="2F122F5A">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根据案例自主进行</w:t>
      </w:r>
      <w:r>
        <w:rPr>
          <w:rFonts w:ascii="宋体" w:hAnsi="宋体"/>
          <w:sz w:val="24"/>
          <w:szCs w:val="22"/>
        </w:rPr>
        <w:t>教学设计</w:t>
      </w:r>
      <w:r>
        <w:rPr>
          <w:rFonts w:hint="eastAsia" w:ascii="宋体" w:hAnsi="宋体"/>
          <w:sz w:val="24"/>
          <w:szCs w:val="22"/>
        </w:rPr>
        <w:t>与</w:t>
      </w:r>
      <w:r>
        <w:rPr>
          <w:rFonts w:ascii="宋体" w:hAnsi="宋体"/>
          <w:sz w:val="24"/>
          <w:szCs w:val="22"/>
        </w:rPr>
        <w:t>实施</w:t>
      </w:r>
      <w:r>
        <w:rPr>
          <w:rFonts w:hint="eastAsia" w:ascii="宋体" w:hAnsi="宋体"/>
          <w:sz w:val="24"/>
          <w:szCs w:val="22"/>
        </w:rPr>
        <w:t xml:space="preserve"> </w:t>
      </w:r>
    </w:p>
    <w:p w14:paraId="3929D65E">
      <w:pPr>
        <w:spacing w:line="360" w:lineRule="auto"/>
        <w:ind w:firstLine="361" w:firstLineChars="150"/>
        <w:outlineLvl w:val="0"/>
        <w:rPr>
          <w:rFonts w:hint="eastAsia" w:ascii="宋体" w:hAnsi="宋体"/>
          <w:b/>
          <w:sz w:val="24"/>
          <w:szCs w:val="22"/>
        </w:rPr>
      </w:pPr>
      <w:r>
        <w:rPr>
          <w:rFonts w:hint="eastAsia" w:ascii="宋体" w:hAnsi="宋体"/>
          <w:b/>
          <w:sz w:val="24"/>
          <w:szCs w:val="22"/>
        </w:rPr>
        <w:t>（六）“综合与</w:t>
      </w:r>
      <w:r>
        <w:rPr>
          <w:rFonts w:ascii="宋体" w:hAnsi="宋体"/>
          <w:b/>
          <w:sz w:val="24"/>
          <w:szCs w:val="22"/>
        </w:rPr>
        <w:t>实践</w:t>
      </w:r>
      <w:r>
        <w:rPr>
          <w:rFonts w:hint="eastAsia" w:ascii="宋体" w:hAnsi="宋体"/>
          <w:b/>
          <w:sz w:val="24"/>
          <w:szCs w:val="22"/>
        </w:rPr>
        <w:t>”</w:t>
      </w:r>
      <w:r>
        <w:rPr>
          <w:rFonts w:ascii="宋体" w:hAnsi="宋体"/>
          <w:b/>
          <w:sz w:val="24"/>
          <w:szCs w:val="22"/>
        </w:rPr>
        <w:t>教学案例研究</w:t>
      </w:r>
      <w:r>
        <w:rPr>
          <w:rFonts w:hint="eastAsia" w:ascii="宋体" w:hAnsi="宋体"/>
          <w:b/>
          <w:sz w:val="24"/>
          <w:szCs w:val="22"/>
        </w:rPr>
        <w:t>（本模块各知识点的讲授与学习，可以支撑课程目标2、课程目标3、课程目标4）</w:t>
      </w:r>
    </w:p>
    <w:p w14:paraId="51F74F5E">
      <w:pPr>
        <w:spacing w:line="360" w:lineRule="auto"/>
        <w:ind w:firstLine="482" w:firstLineChars="200"/>
        <w:rPr>
          <w:rFonts w:ascii="宋体" w:hAnsi="宋体"/>
          <w:b/>
          <w:sz w:val="24"/>
          <w:szCs w:val="22"/>
        </w:rPr>
      </w:pPr>
      <w:r>
        <w:rPr>
          <w:rFonts w:ascii="宋体" w:hAnsi="宋体"/>
          <w:b/>
          <w:sz w:val="24"/>
          <w:szCs w:val="22"/>
        </w:rPr>
        <w:t>1.教学内容</w:t>
      </w:r>
    </w:p>
    <w:p w14:paraId="792EB528">
      <w:pPr>
        <w:spacing w:line="360" w:lineRule="auto"/>
        <w:ind w:firstLine="480" w:firstLineChars="200"/>
        <w:rPr>
          <w:rFonts w:hint="eastAsia" w:ascii="宋体" w:hAnsi="宋体"/>
          <w:sz w:val="24"/>
          <w:szCs w:val="22"/>
        </w:rPr>
      </w:pPr>
      <w:r>
        <w:rPr>
          <w:rFonts w:hint="eastAsia" w:ascii="宋体" w:hAnsi="宋体"/>
          <w:sz w:val="24"/>
          <w:szCs w:val="22"/>
        </w:rPr>
        <w:t>⑴实践活动案例</w:t>
      </w:r>
    </w:p>
    <w:p w14:paraId="217E3BF4">
      <w:pPr>
        <w:spacing w:line="360" w:lineRule="auto"/>
        <w:ind w:firstLine="480" w:firstLineChars="200"/>
        <w:rPr>
          <w:rFonts w:ascii="宋体" w:hAnsi="宋体"/>
          <w:sz w:val="24"/>
          <w:szCs w:val="22"/>
        </w:rPr>
      </w:pPr>
      <w:r>
        <w:rPr>
          <w:rFonts w:hint="eastAsia" w:ascii="宋体" w:hAnsi="宋体"/>
          <w:sz w:val="24"/>
          <w:szCs w:val="22"/>
        </w:rPr>
        <w:t>⑵综合应用案例</w:t>
      </w:r>
    </w:p>
    <w:p w14:paraId="5955D2D2">
      <w:pPr>
        <w:spacing w:line="360" w:lineRule="auto"/>
        <w:ind w:firstLine="482" w:firstLineChars="200"/>
        <w:rPr>
          <w:rFonts w:ascii="宋体" w:hAnsi="宋体"/>
          <w:b/>
          <w:sz w:val="24"/>
          <w:szCs w:val="22"/>
        </w:rPr>
      </w:pPr>
      <w:r>
        <w:rPr>
          <w:rFonts w:ascii="宋体" w:hAnsi="宋体"/>
          <w:b/>
          <w:sz w:val="24"/>
          <w:szCs w:val="22"/>
        </w:rPr>
        <w:t>2.基本要求</w:t>
      </w:r>
    </w:p>
    <w:p w14:paraId="3F70AEF0">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能够依据《数学课程标准》关于“综合与实践”领域的目标要求分析相关案例</w:t>
      </w:r>
    </w:p>
    <w:p w14:paraId="65CF6A10">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2</w:t>
      </w:r>
      <w:r>
        <w:rPr>
          <w:rFonts w:ascii="宋体" w:hAnsi="宋体"/>
          <w:sz w:val="24"/>
          <w:szCs w:val="22"/>
        </w:rPr>
        <w:t>）</w:t>
      </w:r>
      <w:r>
        <w:rPr>
          <w:rFonts w:hint="eastAsia" w:ascii="宋体" w:hAnsi="宋体"/>
          <w:sz w:val="24"/>
          <w:szCs w:val="22"/>
        </w:rPr>
        <w:t>了解“综合与实践”教学内容的一般特点及教学策略</w:t>
      </w:r>
    </w:p>
    <w:p w14:paraId="03C62884">
      <w:pPr>
        <w:spacing w:line="360" w:lineRule="auto"/>
        <w:ind w:firstLine="480" w:firstLineChars="200"/>
        <w:rPr>
          <w:rFonts w:hint="eastAsia" w:ascii="宋体" w:hAnsi="宋体"/>
          <w:sz w:val="24"/>
          <w:szCs w:val="22"/>
        </w:rPr>
      </w:pPr>
      <w:r>
        <w:rPr>
          <w:rFonts w:ascii="宋体" w:hAnsi="宋体"/>
          <w:sz w:val="24"/>
          <w:szCs w:val="22"/>
        </w:rPr>
        <w:t>（</w:t>
      </w:r>
      <w:r>
        <w:rPr>
          <w:rFonts w:hint="eastAsia" w:ascii="宋体" w:hAnsi="宋体"/>
          <w:sz w:val="24"/>
          <w:szCs w:val="22"/>
        </w:rPr>
        <w:t>3</w:t>
      </w:r>
      <w:r>
        <w:rPr>
          <w:rFonts w:ascii="宋体" w:hAnsi="宋体"/>
          <w:sz w:val="24"/>
          <w:szCs w:val="22"/>
        </w:rPr>
        <w:t>）</w:t>
      </w:r>
      <w:r>
        <w:rPr>
          <w:rFonts w:hint="eastAsia" w:ascii="宋体" w:hAnsi="宋体"/>
          <w:sz w:val="24"/>
          <w:szCs w:val="22"/>
        </w:rPr>
        <w:t>能够对相关案例作出恰当的评价并提出自己的教学设想并</w:t>
      </w:r>
      <w:r>
        <w:rPr>
          <w:rFonts w:ascii="宋体" w:hAnsi="宋体"/>
          <w:sz w:val="24"/>
          <w:szCs w:val="22"/>
        </w:rPr>
        <w:t>实施</w:t>
      </w:r>
    </w:p>
    <w:p w14:paraId="3287370E">
      <w:pPr>
        <w:spacing w:line="360" w:lineRule="auto"/>
        <w:ind w:firstLine="482" w:firstLineChars="200"/>
        <w:rPr>
          <w:rFonts w:hint="eastAsia" w:ascii="宋体" w:hAnsi="宋体"/>
          <w:b/>
          <w:sz w:val="24"/>
          <w:szCs w:val="22"/>
        </w:rPr>
      </w:pPr>
      <w:r>
        <w:rPr>
          <w:rFonts w:ascii="宋体" w:hAnsi="宋体"/>
          <w:b/>
          <w:sz w:val="24"/>
          <w:szCs w:val="22"/>
        </w:rPr>
        <w:t>3.</w:t>
      </w:r>
      <w:r>
        <w:rPr>
          <w:rFonts w:hint="eastAsia" w:ascii="宋体" w:hAnsi="宋体"/>
          <w:b/>
          <w:sz w:val="24"/>
          <w:szCs w:val="22"/>
        </w:rPr>
        <w:t>思政</w:t>
      </w:r>
      <w:r>
        <w:rPr>
          <w:rFonts w:ascii="宋体" w:hAnsi="宋体"/>
          <w:b/>
          <w:sz w:val="24"/>
          <w:szCs w:val="22"/>
        </w:rPr>
        <w:t>目标</w:t>
      </w:r>
    </w:p>
    <w:p w14:paraId="7F3E7ED7">
      <w:pPr>
        <w:spacing w:line="360" w:lineRule="auto"/>
        <w:ind w:firstLine="480" w:firstLineChars="200"/>
        <w:rPr>
          <w:rFonts w:hint="eastAsia" w:ascii="宋体" w:hAnsi="宋体"/>
          <w:sz w:val="24"/>
          <w:szCs w:val="22"/>
        </w:rPr>
      </w:pPr>
      <w:r>
        <w:rPr>
          <w:rFonts w:ascii="宋体" w:hAnsi="宋体"/>
          <w:sz w:val="24"/>
          <w:szCs w:val="22"/>
        </w:rPr>
        <w:t>（1）</w:t>
      </w:r>
      <w:r>
        <w:rPr>
          <w:rFonts w:hint="eastAsia" w:ascii="宋体" w:hAnsi="宋体"/>
          <w:sz w:val="24"/>
          <w:szCs w:val="22"/>
        </w:rPr>
        <w:t>通过学习“综合与实践</w:t>
      </w:r>
      <w:r>
        <w:rPr>
          <w:rFonts w:ascii="宋体" w:hAnsi="宋体"/>
          <w:sz w:val="24"/>
          <w:szCs w:val="22"/>
        </w:rPr>
        <w:t>”</w:t>
      </w:r>
      <w:r>
        <w:rPr>
          <w:rFonts w:hint="eastAsia" w:ascii="宋体" w:hAnsi="宋体"/>
          <w:sz w:val="24"/>
          <w:szCs w:val="22"/>
        </w:rPr>
        <w:t>教学</w:t>
      </w:r>
      <w:r>
        <w:rPr>
          <w:rFonts w:ascii="宋体" w:hAnsi="宋体"/>
          <w:sz w:val="24"/>
          <w:szCs w:val="22"/>
        </w:rPr>
        <w:t>的优秀案例，</w:t>
      </w:r>
      <w:r>
        <w:rPr>
          <w:rFonts w:hint="eastAsia" w:ascii="宋体" w:hAnsi="宋体"/>
          <w:sz w:val="24"/>
          <w:szCs w:val="22"/>
        </w:rPr>
        <w:t>增强专业自信</w:t>
      </w:r>
      <w:r>
        <w:rPr>
          <w:rFonts w:ascii="宋体" w:hAnsi="宋体"/>
          <w:sz w:val="24"/>
          <w:szCs w:val="22"/>
        </w:rPr>
        <w:t>心</w:t>
      </w:r>
      <w:r>
        <w:rPr>
          <w:rFonts w:hint="eastAsia" w:ascii="宋体" w:hAnsi="宋体"/>
          <w:sz w:val="24"/>
          <w:szCs w:val="22"/>
        </w:rPr>
        <w:t>。</w:t>
      </w:r>
    </w:p>
    <w:p w14:paraId="24CB9A45">
      <w:pPr>
        <w:spacing w:line="360" w:lineRule="auto"/>
        <w:ind w:firstLine="480" w:firstLineChars="200"/>
        <w:rPr>
          <w:rFonts w:hint="eastAsia" w:ascii="宋体" w:hAnsi="宋体"/>
          <w:sz w:val="24"/>
          <w:szCs w:val="22"/>
        </w:rPr>
      </w:pPr>
      <w:r>
        <w:rPr>
          <w:rFonts w:ascii="宋体" w:hAnsi="宋体"/>
          <w:sz w:val="24"/>
          <w:szCs w:val="22"/>
        </w:rPr>
        <w:t>（2）</w:t>
      </w:r>
      <w:r>
        <w:rPr>
          <w:rFonts w:hint="eastAsia" w:ascii="宋体" w:hAnsi="宋体"/>
          <w:sz w:val="24"/>
          <w:szCs w:val="22"/>
        </w:rPr>
        <w:t>践</w:t>
      </w:r>
      <w:r>
        <w:rPr>
          <w:rFonts w:ascii="宋体" w:hAnsi="宋体"/>
          <w:sz w:val="24"/>
          <w:szCs w:val="22"/>
        </w:rPr>
        <w:t>行社会主义核心价值观，</w:t>
      </w:r>
      <w:r>
        <w:rPr>
          <w:rFonts w:hint="eastAsia" w:ascii="宋体" w:hAnsi="宋体"/>
          <w:sz w:val="24"/>
          <w:szCs w:val="22"/>
        </w:rPr>
        <w:t>树立全面育</w:t>
      </w:r>
      <w:r>
        <w:rPr>
          <w:rFonts w:ascii="宋体" w:hAnsi="宋体"/>
          <w:sz w:val="24"/>
          <w:szCs w:val="22"/>
        </w:rPr>
        <w:t>人的</w:t>
      </w:r>
      <w:r>
        <w:rPr>
          <w:rFonts w:hint="eastAsia" w:ascii="宋体" w:hAnsi="宋体"/>
          <w:sz w:val="24"/>
          <w:szCs w:val="22"/>
        </w:rPr>
        <w:t>教学</w:t>
      </w:r>
      <w:r>
        <w:rPr>
          <w:rFonts w:ascii="宋体" w:hAnsi="宋体"/>
          <w:sz w:val="24"/>
          <w:szCs w:val="22"/>
        </w:rPr>
        <w:t>观</w:t>
      </w:r>
      <w:r>
        <w:rPr>
          <w:rFonts w:hint="eastAsia" w:ascii="宋体" w:hAnsi="宋体"/>
          <w:sz w:val="24"/>
          <w:szCs w:val="22"/>
        </w:rPr>
        <w:t>，</w:t>
      </w:r>
      <w:r>
        <w:rPr>
          <w:rFonts w:ascii="宋体" w:hAnsi="宋体"/>
          <w:sz w:val="24"/>
          <w:szCs w:val="22"/>
        </w:rPr>
        <w:t>注重教学</w:t>
      </w:r>
      <w:r>
        <w:rPr>
          <w:rFonts w:hint="eastAsia" w:ascii="宋体" w:hAnsi="宋体"/>
          <w:sz w:val="24"/>
          <w:szCs w:val="22"/>
        </w:rPr>
        <w:t>中</w:t>
      </w:r>
      <w:r>
        <w:rPr>
          <w:rFonts w:ascii="宋体" w:hAnsi="宋体"/>
          <w:sz w:val="24"/>
          <w:szCs w:val="22"/>
        </w:rPr>
        <w:t>情感、态度与价值观目标的</w:t>
      </w:r>
      <w:r>
        <w:rPr>
          <w:rFonts w:hint="eastAsia" w:ascii="宋体" w:hAnsi="宋体"/>
          <w:sz w:val="24"/>
          <w:szCs w:val="22"/>
        </w:rPr>
        <w:t>达成。</w:t>
      </w:r>
    </w:p>
    <w:p w14:paraId="6B75D505">
      <w:pPr>
        <w:spacing w:line="360" w:lineRule="auto"/>
        <w:ind w:firstLine="480" w:firstLineChars="200"/>
        <w:rPr>
          <w:rFonts w:hint="eastAsia" w:ascii="宋体" w:hAnsi="宋体"/>
          <w:sz w:val="24"/>
          <w:szCs w:val="22"/>
        </w:rPr>
      </w:pPr>
      <w:r>
        <w:rPr>
          <w:rFonts w:hint="eastAsia" w:ascii="宋体" w:hAnsi="宋体"/>
          <w:sz w:val="24"/>
          <w:szCs w:val="22"/>
        </w:rPr>
        <w:t>（3）</w:t>
      </w:r>
      <w:r>
        <w:rPr>
          <w:rFonts w:ascii="宋体" w:hAnsi="宋体"/>
          <w:sz w:val="24"/>
          <w:szCs w:val="22"/>
        </w:rPr>
        <w:t>增强团队合作意识与沟通表达能力。</w:t>
      </w:r>
    </w:p>
    <w:p w14:paraId="28ACEB69">
      <w:pPr>
        <w:spacing w:line="360" w:lineRule="auto"/>
        <w:ind w:firstLine="482" w:firstLineChars="200"/>
        <w:rPr>
          <w:rFonts w:hint="eastAsia" w:ascii="宋体" w:hAnsi="宋体"/>
          <w:sz w:val="24"/>
          <w:szCs w:val="22"/>
        </w:rPr>
      </w:pPr>
      <w:r>
        <w:rPr>
          <w:rFonts w:hint="eastAsia" w:ascii="宋体" w:hAnsi="宋体"/>
          <w:b/>
          <w:sz w:val="24"/>
          <w:szCs w:val="22"/>
        </w:rPr>
        <w:t>教学重点</w:t>
      </w:r>
      <w:r>
        <w:rPr>
          <w:rFonts w:ascii="宋体" w:hAnsi="宋体"/>
          <w:b/>
          <w:sz w:val="24"/>
          <w:szCs w:val="22"/>
        </w:rPr>
        <w:t>：</w:t>
      </w:r>
      <w:r>
        <w:rPr>
          <w:rFonts w:hint="eastAsia" w:ascii="宋体" w:hAnsi="宋体"/>
          <w:sz w:val="24"/>
          <w:szCs w:val="22"/>
        </w:rPr>
        <w:t>了解“综合与实践”教学内容的一般特点及教学策略</w:t>
      </w:r>
    </w:p>
    <w:p w14:paraId="1B7D3882">
      <w:pPr>
        <w:spacing w:line="360" w:lineRule="auto"/>
        <w:ind w:firstLine="482" w:firstLineChars="200"/>
        <w:rPr>
          <w:rFonts w:hint="eastAsia" w:ascii="宋体" w:hAnsi="宋体"/>
          <w:sz w:val="24"/>
          <w:szCs w:val="22"/>
        </w:rPr>
      </w:pPr>
      <w:r>
        <w:rPr>
          <w:rFonts w:hint="eastAsia" w:ascii="宋体" w:hAnsi="宋体"/>
          <w:b/>
          <w:sz w:val="24"/>
          <w:szCs w:val="22"/>
        </w:rPr>
        <w:t>教学难点：</w:t>
      </w:r>
      <w:r>
        <w:rPr>
          <w:rFonts w:hint="eastAsia" w:ascii="宋体" w:hAnsi="宋体"/>
          <w:sz w:val="24"/>
          <w:szCs w:val="22"/>
        </w:rPr>
        <w:t>根据案例自主进行</w:t>
      </w:r>
      <w:r>
        <w:rPr>
          <w:rFonts w:ascii="宋体" w:hAnsi="宋体"/>
          <w:sz w:val="24"/>
          <w:szCs w:val="22"/>
        </w:rPr>
        <w:t>教学设计</w:t>
      </w:r>
      <w:r>
        <w:rPr>
          <w:rFonts w:hint="eastAsia" w:ascii="宋体" w:hAnsi="宋体"/>
          <w:sz w:val="24"/>
          <w:szCs w:val="22"/>
        </w:rPr>
        <w:t>与</w:t>
      </w:r>
      <w:r>
        <w:rPr>
          <w:rFonts w:ascii="宋体" w:hAnsi="宋体"/>
          <w:sz w:val="24"/>
          <w:szCs w:val="22"/>
        </w:rPr>
        <w:t>实施</w:t>
      </w:r>
      <w:r>
        <w:rPr>
          <w:rFonts w:hint="eastAsia" w:ascii="宋体" w:hAnsi="宋体"/>
          <w:sz w:val="24"/>
          <w:szCs w:val="22"/>
        </w:rPr>
        <w:t xml:space="preserve"> </w:t>
      </w:r>
    </w:p>
    <w:p w14:paraId="107FFEA3">
      <w:pPr>
        <w:spacing w:line="360" w:lineRule="auto"/>
        <w:ind w:firstLine="482" w:firstLineChars="200"/>
        <w:rPr>
          <w:rFonts w:ascii="宋体" w:hAnsi="宋体"/>
          <w:b/>
          <w:sz w:val="24"/>
          <w:szCs w:val="22"/>
        </w:rPr>
      </w:pPr>
    </w:p>
    <w:p w14:paraId="340E4A47">
      <w:pPr>
        <w:spacing w:line="360" w:lineRule="auto"/>
        <w:ind w:firstLine="482" w:firstLineChars="200"/>
        <w:rPr>
          <w:rFonts w:ascii="宋体" w:hAnsi="宋体"/>
          <w:b/>
          <w:sz w:val="24"/>
          <w:szCs w:val="22"/>
        </w:rPr>
      </w:pPr>
      <w:r>
        <w:rPr>
          <w:rFonts w:hint="eastAsia" w:ascii="宋体" w:hAnsi="宋体"/>
          <w:b/>
          <w:sz w:val="24"/>
          <w:szCs w:val="22"/>
        </w:rPr>
        <w:t>教学内容与</w:t>
      </w:r>
      <w:r>
        <w:rPr>
          <w:rFonts w:ascii="宋体" w:hAnsi="宋体"/>
          <w:b/>
          <w:sz w:val="24"/>
          <w:szCs w:val="22"/>
        </w:rPr>
        <w:t>课程目标的</w:t>
      </w:r>
      <w:r>
        <w:rPr>
          <w:rFonts w:hint="eastAsia" w:ascii="宋体" w:hAnsi="宋体"/>
          <w:b/>
          <w:sz w:val="24"/>
          <w:szCs w:val="22"/>
        </w:rPr>
        <w:t>对应关系及</w:t>
      </w:r>
      <w:r>
        <w:rPr>
          <w:rFonts w:ascii="宋体" w:hAnsi="宋体"/>
          <w:b/>
          <w:sz w:val="24"/>
          <w:szCs w:val="22"/>
        </w:rPr>
        <w:t>学时分配</w:t>
      </w:r>
      <w:r>
        <w:rPr>
          <w:rFonts w:hint="eastAsia" w:ascii="宋体" w:hAnsi="宋体"/>
          <w:b/>
          <w:sz w:val="24"/>
          <w:szCs w:val="22"/>
        </w:rPr>
        <w:t>如表所示：</w:t>
      </w:r>
    </w:p>
    <w:tbl>
      <w:tblPr>
        <w:tblStyle w:val="30"/>
        <w:tblW w:w="92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gridCol w:w="7"/>
        <w:gridCol w:w="701"/>
        <w:gridCol w:w="709"/>
      </w:tblGrid>
      <w:tr w14:paraId="6101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53A4490B">
            <w:pPr>
              <w:jc w:val="center"/>
              <w:rPr>
                <w:rFonts w:ascii="宋体" w:hAnsi="宋体"/>
                <w:b/>
                <w:szCs w:val="21"/>
              </w:rPr>
            </w:pPr>
            <w:r>
              <w:rPr>
                <w:rFonts w:hint="eastAsia" w:ascii="宋体" w:hAnsi="宋体"/>
                <w:b/>
                <w:szCs w:val="21"/>
              </w:rPr>
              <w:t>序号</w:t>
            </w:r>
          </w:p>
        </w:tc>
        <w:tc>
          <w:tcPr>
            <w:tcW w:w="4110" w:type="dxa"/>
            <w:shd w:val="clear" w:color="auto" w:fill="FFFFFF"/>
            <w:noWrap w:val="0"/>
            <w:vAlign w:val="center"/>
          </w:tcPr>
          <w:p w14:paraId="2B376C01">
            <w:pPr>
              <w:jc w:val="center"/>
              <w:rPr>
                <w:rFonts w:ascii="宋体" w:hAnsi="宋体"/>
                <w:b/>
                <w:szCs w:val="21"/>
              </w:rPr>
            </w:pPr>
            <w:r>
              <w:rPr>
                <w:rFonts w:ascii="宋体" w:hAnsi="宋体"/>
                <w:b/>
                <w:szCs w:val="21"/>
              </w:rPr>
              <w:t>教学内容</w:t>
            </w:r>
          </w:p>
        </w:tc>
        <w:tc>
          <w:tcPr>
            <w:tcW w:w="1701" w:type="dxa"/>
            <w:shd w:val="clear" w:color="auto" w:fill="FFFFFF"/>
            <w:noWrap w:val="0"/>
            <w:vAlign w:val="center"/>
          </w:tcPr>
          <w:p w14:paraId="3F429112">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课程目标</w:t>
            </w:r>
          </w:p>
        </w:tc>
        <w:tc>
          <w:tcPr>
            <w:tcW w:w="1418" w:type="dxa"/>
            <w:shd w:val="clear" w:color="auto" w:fill="FFFFFF"/>
            <w:noWrap w:val="0"/>
            <w:vAlign w:val="center"/>
          </w:tcPr>
          <w:p w14:paraId="36A3A888">
            <w:pPr>
              <w:jc w:val="center"/>
              <w:rPr>
                <w:rFonts w:ascii="宋体" w:hAnsi="宋体"/>
                <w:b/>
                <w:szCs w:val="21"/>
              </w:rPr>
            </w:pPr>
            <w:r>
              <w:rPr>
                <w:rFonts w:ascii="宋体" w:hAnsi="宋体"/>
                <w:b/>
                <w:szCs w:val="21"/>
              </w:rPr>
              <w:t>支撑</w:t>
            </w:r>
            <w:r>
              <w:rPr>
                <w:rFonts w:hint="eastAsia" w:ascii="宋体" w:hAnsi="宋体"/>
                <w:b/>
                <w:szCs w:val="21"/>
              </w:rPr>
              <w:t>的</w:t>
            </w:r>
            <w:r>
              <w:rPr>
                <w:rFonts w:ascii="宋体" w:hAnsi="宋体"/>
                <w:b/>
                <w:szCs w:val="21"/>
              </w:rPr>
              <w:t>毕业要求指标点</w:t>
            </w:r>
          </w:p>
        </w:tc>
        <w:tc>
          <w:tcPr>
            <w:tcW w:w="708" w:type="dxa"/>
            <w:gridSpan w:val="2"/>
            <w:shd w:val="clear" w:color="auto" w:fill="FFFFFF"/>
            <w:noWrap w:val="0"/>
            <w:vAlign w:val="center"/>
          </w:tcPr>
          <w:p w14:paraId="6C4B27E3">
            <w:pPr>
              <w:jc w:val="center"/>
              <w:rPr>
                <w:rFonts w:ascii="宋体" w:hAnsi="宋体"/>
                <w:b/>
                <w:szCs w:val="21"/>
              </w:rPr>
            </w:pPr>
            <w:r>
              <w:rPr>
                <w:rFonts w:ascii="宋体" w:hAnsi="宋体"/>
                <w:b/>
                <w:szCs w:val="21"/>
              </w:rPr>
              <w:t>讲</w:t>
            </w:r>
            <w:r>
              <w:rPr>
                <w:rFonts w:hint="eastAsia" w:ascii="宋体" w:hAnsi="宋体"/>
                <w:b/>
                <w:szCs w:val="21"/>
              </w:rPr>
              <w:t>授</w:t>
            </w:r>
            <w:r>
              <w:rPr>
                <w:rFonts w:ascii="宋体" w:hAnsi="宋体"/>
                <w:b/>
                <w:szCs w:val="21"/>
              </w:rPr>
              <w:t>学时</w:t>
            </w:r>
          </w:p>
        </w:tc>
        <w:tc>
          <w:tcPr>
            <w:tcW w:w="709" w:type="dxa"/>
            <w:shd w:val="clear" w:color="auto" w:fill="FFFFFF"/>
            <w:noWrap w:val="0"/>
            <w:vAlign w:val="center"/>
          </w:tcPr>
          <w:p w14:paraId="4C2536A2">
            <w:pPr>
              <w:jc w:val="center"/>
              <w:rPr>
                <w:rFonts w:hint="eastAsia" w:ascii="宋体" w:hAnsi="宋体"/>
                <w:b/>
                <w:szCs w:val="21"/>
              </w:rPr>
            </w:pPr>
            <w:r>
              <w:rPr>
                <w:rFonts w:hint="eastAsia" w:ascii="宋体" w:hAnsi="宋体"/>
                <w:b/>
                <w:szCs w:val="21"/>
              </w:rPr>
              <w:t>实践</w:t>
            </w:r>
          </w:p>
          <w:p w14:paraId="2A71F312">
            <w:pPr>
              <w:jc w:val="center"/>
              <w:rPr>
                <w:rFonts w:ascii="宋体" w:hAnsi="宋体"/>
                <w:b/>
                <w:szCs w:val="21"/>
              </w:rPr>
            </w:pPr>
            <w:r>
              <w:rPr>
                <w:rFonts w:ascii="宋体" w:hAnsi="宋体"/>
                <w:b/>
                <w:szCs w:val="21"/>
              </w:rPr>
              <w:t>学时</w:t>
            </w:r>
          </w:p>
        </w:tc>
      </w:tr>
      <w:tr w14:paraId="6544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FFFFFF"/>
            <w:noWrap w:val="0"/>
            <w:vAlign w:val="center"/>
          </w:tcPr>
          <w:p w14:paraId="54A4C743">
            <w:pPr>
              <w:jc w:val="center"/>
              <w:rPr>
                <w:rFonts w:ascii="宋体" w:hAnsi="宋体"/>
                <w:szCs w:val="21"/>
              </w:rPr>
            </w:pPr>
            <w:r>
              <w:rPr>
                <w:rFonts w:hint="eastAsia" w:ascii="宋体" w:hAnsi="宋体"/>
                <w:szCs w:val="21"/>
              </w:rPr>
              <w:t>1</w:t>
            </w:r>
          </w:p>
        </w:tc>
        <w:tc>
          <w:tcPr>
            <w:tcW w:w="4110" w:type="dxa"/>
            <w:shd w:val="clear" w:color="auto" w:fill="FFFFFF"/>
            <w:noWrap w:val="0"/>
            <w:vAlign w:val="center"/>
          </w:tcPr>
          <w:p w14:paraId="56292507">
            <w:pPr>
              <w:spacing w:line="360" w:lineRule="auto"/>
              <w:jc w:val="center"/>
              <w:rPr>
                <w:rFonts w:hint="eastAsia" w:ascii="宋体" w:hAnsi="宋体" w:cs="宋体"/>
                <w:kern w:val="0"/>
                <w:szCs w:val="21"/>
              </w:rPr>
            </w:pPr>
            <w:r>
              <w:rPr>
                <w:rFonts w:hint="eastAsia" w:ascii="宋体" w:hAnsi="宋体" w:cs="宋体"/>
                <w:kern w:val="0"/>
                <w:szCs w:val="21"/>
              </w:rPr>
              <w:t>小学数学教学案例研究概述</w:t>
            </w:r>
          </w:p>
        </w:tc>
        <w:tc>
          <w:tcPr>
            <w:tcW w:w="1701" w:type="dxa"/>
            <w:shd w:val="clear" w:color="auto" w:fill="FFFFFF"/>
            <w:noWrap w:val="0"/>
            <w:vAlign w:val="center"/>
          </w:tcPr>
          <w:p w14:paraId="697088CA">
            <w:pPr>
              <w:jc w:val="center"/>
              <w:rPr>
                <w:rFonts w:ascii="宋体" w:hAnsi="宋体"/>
                <w:szCs w:val="21"/>
              </w:rPr>
            </w:pPr>
            <w:r>
              <w:rPr>
                <w:rFonts w:hint="eastAsia" w:ascii="宋体" w:hAnsi="宋体"/>
                <w:kern w:val="0"/>
                <w:szCs w:val="21"/>
              </w:rPr>
              <w:t>目标1</w:t>
            </w:r>
          </w:p>
        </w:tc>
        <w:tc>
          <w:tcPr>
            <w:tcW w:w="1418" w:type="dxa"/>
            <w:shd w:val="clear" w:color="auto" w:fill="FFFFFF"/>
            <w:noWrap w:val="0"/>
            <w:vAlign w:val="center"/>
          </w:tcPr>
          <w:p w14:paraId="3305375A">
            <w:pPr>
              <w:jc w:val="center"/>
              <w:rPr>
                <w:rFonts w:hint="eastAsia" w:ascii="宋体" w:hAnsi="宋体"/>
                <w:szCs w:val="21"/>
              </w:rPr>
            </w:pPr>
            <w:r>
              <w:rPr>
                <w:rFonts w:ascii="宋体" w:hAnsi="宋体"/>
                <w:kern w:val="0"/>
                <w:szCs w:val="21"/>
              </w:rPr>
              <w:t>3-2</w:t>
            </w:r>
          </w:p>
        </w:tc>
        <w:tc>
          <w:tcPr>
            <w:tcW w:w="708" w:type="dxa"/>
            <w:gridSpan w:val="2"/>
            <w:shd w:val="clear" w:color="auto" w:fill="FFFFFF"/>
            <w:noWrap w:val="0"/>
            <w:vAlign w:val="center"/>
          </w:tcPr>
          <w:p w14:paraId="7C14FF8F">
            <w:pPr>
              <w:jc w:val="center"/>
              <w:rPr>
                <w:rFonts w:ascii="宋体" w:hAnsi="宋体"/>
                <w:kern w:val="0"/>
                <w:szCs w:val="21"/>
              </w:rPr>
            </w:pPr>
            <w:r>
              <w:rPr>
                <w:rFonts w:hint="eastAsia" w:ascii="宋体" w:hAnsi="宋体"/>
                <w:kern w:val="0"/>
                <w:szCs w:val="21"/>
              </w:rPr>
              <w:t>2</w:t>
            </w:r>
          </w:p>
        </w:tc>
        <w:tc>
          <w:tcPr>
            <w:tcW w:w="709" w:type="dxa"/>
            <w:shd w:val="clear" w:color="auto" w:fill="FFFFFF"/>
            <w:noWrap w:val="0"/>
            <w:vAlign w:val="center"/>
          </w:tcPr>
          <w:p w14:paraId="2AECF4A8">
            <w:pPr>
              <w:jc w:val="center"/>
              <w:rPr>
                <w:rFonts w:ascii="宋体" w:hAnsi="宋体"/>
                <w:kern w:val="0"/>
                <w:szCs w:val="21"/>
              </w:rPr>
            </w:pPr>
          </w:p>
        </w:tc>
      </w:tr>
      <w:tr w14:paraId="671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noWrap w:val="0"/>
            <w:vAlign w:val="center"/>
          </w:tcPr>
          <w:p w14:paraId="6FBAB8EE">
            <w:pPr>
              <w:jc w:val="center"/>
              <w:rPr>
                <w:rFonts w:ascii="宋体" w:hAnsi="宋体"/>
                <w:szCs w:val="21"/>
              </w:rPr>
            </w:pPr>
            <w:r>
              <w:rPr>
                <w:rFonts w:hint="eastAsia" w:ascii="宋体" w:hAnsi="宋体"/>
                <w:szCs w:val="21"/>
              </w:rPr>
              <w:t>2</w:t>
            </w:r>
          </w:p>
        </w:tc>
        <w:tc>
          <w:tcPr>
            <w:tcW w:w="4110" w:type="dxa"/>
            <w:noWrap w:val="0"/>
            <w:vAlign w:val="center"/>
          </w:tcPr>
          <w:p w14:paraId="43AB0FC3">
            <w:pPr>
              <w:jc w:val="center"/>
            </w:pPr>
            <w:r>
              <w:rPr>
                <w:rFonts w:hint="eastAsia"/>
              </w:rPr>
              <w:t>小学数学教学案例研究的过程与方法</w:t>
            </w:r>
          </w:p>
        </w:tc>
        <w:tc>
          <w:tcPr>
            <w:tcW w:w="1701" w:type="dxa"/>
            <w:noWrap w:val="0"/>
            <w:vAlign w:val="center"/>
          </w:tcPr>
          <w:p w14:paraId="13480BEA">
            <w:pPr>
              <w:jc w:val="center"/>
              <w:rPr>
                <w:rFonts w:ascii="宋体" w:hAnsi="宋体"/>
                <w:szCs w:val="21"/>
              </w:rPr>
            </w:pPr>
            <w:r>
              <w:rPr>
                <w:rFonts w:hint="eastAsia" w:ascii="宋体" w:hAnsi="宋体"/>
                <w:kern w:val="0"/>
                <w:szCs w:val="21"/>
              </w:rPr>
              <w:t>目标1、2、3</w:t>
            </w:r>
          </w:p>
        </w:tc>
        <w:tc>
          <w:tcPr>
            <w:tcW w:w="1418" w:type="dxa"/>
            <w:noWrap w:val="0"/>
            <w:vAlign w:val="center"/>
          </w:tcPr>
          <w:p w14:paraId="5B59C723">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3B164E67">
            <w:pPr>
              <w:jc w:val="center"/>
              <w:rPr>
                <w:rFonts w:hint="eastAsia" w:ascii="宋体" w:hAnsi="宋体"/>
                <w:szCs w:val="21"/>
              </w:rPr>
            </w:pPr>
            <w:r>
              <w:rPr>
                <w:rFonts w:ascii="宋体" w:hAnsi="宋体"/>
                <w:kern w:val="0"/>
                <w:szCs w:val="21"/>
              </w:rPr>
              <w:t>4-2</w:t>
            </w:r>
            <w:r>
              <w:rPr>
                <w:rFonts w:hint="eastAsia" w:ascii="宋体" w:hAnsi="宋体"/>
                <w:kern w:val="0"/>
                <w:szCs w:val="21"/>
              </w:rPr>
              <w:t>、8-1</w:t>
            </w:r>
          </w:p>
        </w:tc>
        <w:tc>
          <w:tcPr>
            <w:tcW w:w="708" w:type="dxa"/>
            <w:gridSpan w:val="2"/>
            <w:noWrap w:val="0"/>
            <w:vAlign w:val="center"/>
          </w:tcPr>
          <w:p w14:paraId="116ADAE0">
            <w:pPr>
              <w:jc w:val="center"/>
              <w:rPr>
                <w:rFonts w:ascii="宋体" w:hAnsi="宋体"/>
                <w:kern w:val="0"/>
                <w:szCs w:val="21"/>
              </w:rPr>
            </w:pPr>
            <w:r>
              <w:rPr>
                <w:rFonts w:ascii="宋体" w:hAnsi="宋体"/>
                <w:kern w:val="0"/>
                <w:szCs w:val="21"/>
              </w:rPr>
              <w:t>4</w:t>
            </w:r>
          </w:p>
        </w:tc>
        <w:tc>
          <w:tcPr>
            <w:tcW w:w="709" w:type="dxa"/>
            <w:noWrap w:val="0"/>
            <w:vAlign w:val="center"/>
          </w:tcPr>
          <w:p w14:paraId="680C9938">
            <w:pPr>
              <w:jc w:val="center"/>
              <w:rPr>
                <w:rFonts w:ascii="宋体" w:hAnsi="宋体"/>
                <w:kern w:val="0"/>
                <w:szCs w:val="21"/>
              </w:rPr>
            </w:pPr>
          </w:p>
        </w:tc>
      </w:tr>
      <w:tr w14:paraId="3418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noWrap w:val="0"/>
            <w:vAlign w:val="center"/>
          </w:tcPr>
          <w:p w14:paraId="601AF652">
            <w:pPr>
              <w:jc w:val="center"/>
              <w:rPr>
                <w:rFonts w:ascii="宋体" w:hAnsi="宋体"/>
                <w:szCs w:val="21"/>
              </w:rPr>
            </w:pPr>
            <w:r>
              <w:rPr>
                <w:rFonts w:hint="eastAsia" w:ascii="宋体" w:hAnsi="宋体"/>
                <w:szCs w:val="21"/>
              </w:rPr>
              <w:t>3</w:t>
            </w:r>
          </w:p>
        </w:tc>
        <w:tc>
          <w:tcPr>
            <w:tcW w:w="4110" w:type="dxa"/>
            <w:noWrap w:val="0"/>
            <w:vAlign w:val="center"/>
          </w:tcPr>
          <w:p w14:paraId="2DDA051B">
            <w:pPr>
              <w:jc w:val="center"/>
            </w:pPr>
            <w:r>
              <w:rPr>
                <w:rFonts w:hint="eastAsia"/>
              </w:rPr>
              <w:t>“数与</w:t>
            </w:r>
            <w:r>
              <w:t>代数</w:t>
            </w:r>
            <w:r>
              <w:rPr>
                <w:rFonts w:hint="eastAsia"/>
              </w:rPr>
              <w:t>”教学案例研究</w:t>
            </w:r>
          </w:p>
        </w:tc>
        <w:tc>
          <w:tcPr>
            <w:tcW w:w="1701" w:type="dxa"/>
            <w:noWrap w:val="0"/>
            <w:vAlign w:val="center"/>
          </w:tcPr>
          <w:p w14:paraId="7153C96E">
            <w:pPr>
              <w:jc w:val="center"/>
              <w:rPr>
                <w:rFonts w:ascii="宋体" w:hAnsi="宋体"/>
                <w:szCs w:val="21"/>
              </w:rPr>
            </w:pPr>
            <w:r>
              <w:rPr>
                <w:rFonts w:hint="eastAsia" w:ascii="宋体" w:hAnsi="宋体"/>
                <w:kern w:val="0"/>
                <w:szCs w:val="21"/>
              </w:rPr>
              <w:t>目标2、3、4</w:t>
            </w:r>
          </w:p>
        </w:tc>
        <w:tc>
          <w:tcPr>
            <w:tcW w:w="1418" w:type="dxa"/>
            <w:noWrap w:val="0"/>
            <w:vAlign w:val="center"/>
          </w:tcPr>
          <w:p w14:paraId="47E61393">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57DE6BC6">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5203E350">
            <w:pPr>
              <w:jc w:val="center"/>
              <w:rPr>
                <w:rFonts w:hint="eastAsia" w:ascii="宋体" w:hAnsi="宋体"/>
                <w:szCs w:val="21"/>
              </w:rPr>
            </w:pPr>
            <w:r>
              <w:rPr>
                <w:rFonts w:hint="eastAsia" w:ascii="宋体" w:hAnsi="宋体"/>
                <w:kern w:val="0"/>
                <w:szCs w:val="21"/>
              </w:rPr>
              <w:t>8-1</w:t>
            </w:r>
          </w:p>
        </w:tc>
        <w:tc>
          <w:tcPr>
            <w:tcW w:w="708" w:type="dxa"/>
            <w:gridSpan w:val="2"/>
            <w:noWrap w:val="0"/>
            <w:vAlign w:val="center"/>
          </w:tcPr>
          <w:p w14:paraId="3DA298DF">
            <w:pPr>
              <w:jc w:val="center"/>
              <w:rPr>
                <w:rFonts w:ascii="宋体" w:hAnsi="宋体"/>
                <w:kern w:val="0"/>
                <w:szCs w:val="21"/>
              </w:rPr>
            </w:pPr>
            <w:r>
              <w:rPr>
                <w:rFonts w:ascii="宋体" w:hAnsi="宋体"/>
                <w:kern w:val="0"/>
                <w:szCs w:val="21"/>
              </w:rPr>
              <w:t>4</w:t>
            </w:r>
          </w:p>
        </w:tc>
        <w:tc>
          <w:tcPr>
            <w:tcW w:w="709" w:type="dxa"/>
            <w:noWrap w:val="0"/>
            <w:vAlign w:val="center"/>
          </w:tcPr>
          <w:p w14:paraId="5E17FD27">
            <w:pPr>
              <w:jc w:val="center"/>
              <w:rPr>
                <w:rFonts w:ascii="宋体" w:hAnsi="宋体"/>
                <w:kern w:val="0"/>
                <w:szCs w:val="21"/>
              </w:rPr>
            </w:pPr>
            <w:r>
              <w:rPr>
                <w:rFonts w:ascii="宋体" w:hAnsi="宋体"/>
                <w:kern w:val="0"/>
                <w:szCs w:val="21"/>
              </w:rPr>
              <w:t>6</w:t>
            </w:r>
          </w:p>
        </w:tc>
      </w:tr>
      <w:tr w14:paraId="4CA5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noWrap w:val="0"/>
            <w:vAlign w:val="center"/>
          </w:tcPr>
          <w:p w14:paraId="260E42E9">
            <w:pPr>
              <w:jc w:val="center"/>
              <w:rPr>
                <w:rFonts w:ascii="宋体" w:hAnsi="宋体"/>
                <w:szCs w:val="21"/>
              </w:rPr>
            </w:pPr>
            <w:r>
              <w:rPr>
                <w:rFonts w:hint="eastAsia" w:ascii="宋体" w:hAnsi="宋体"/>
                <w:szCs w:val="21"/>
              </w:rPr>
              <w:t>4</w:t>
            </w:r>
          </w:p>
        </w:tc>
        <w:tc>
          <w:tcPr>
            <w:tcW w:w="4110" w:type="dxa"/>
            <w:noWrap w:val="0"/>
            <w:vAlign w:val="center"/>
          </w:tcPr>
          <w:p w14:paraId="682E3374">
            <w:pPr>
              <w:jc w:val="center"/>
            </w:pPr>
            <w:r>
              <w:rPr>
                <w:rFonts w:hint="eastAsia"/>
              </w:rPr>
              <w:t>“图形与</w:t>
            </w:r>
            <w:r>
              <w:t>几何</w:t>
            </w:r>
            <w:r>
              <w:rPr>
                <w:rFonts w:hint="eastAsia"/>
              </w:rPr>
              <w:t>”教学案例研究</w:t>
            </w:r>
          </w:p>
        </w:tc>
        <w:tc>
          <w:tcPr>
            <w:tcW w:w="1701" w:type="dxa"/>
            <w:noWrap w:val="0"/>
            <w:vAlign w:val="center"/>
          </w:tcPr>
          <w:p w14:paraId="16CEFA76">
            <w:pPr>
              <w:jc w:val="center"/>
              <w:rPr>
                <w:rFonts w:ascii="宋体" w:hAnsi="宋体"/>
                <w:szCs w:val="21"/>
              </w:rPr>
            </w:pPr>
            <w:r>
              <w:rPr>
                <w:rFonts w:hint="eastAsia" w:ascii="宋体" w:hAnsi="宋体"/>
                <w:kern w:val="0"/>
                <w:szCs w:val="21"/>
              </w:rPr>
              <w:t>目标2、3、4</w:t>
            </w:r>
          </w:p>
        </w:tc>
        <w:tc>
          <w:tcPr>
            <w:tcW w:w="1418" w:type="dxa"/>
            <w:noWrap w:val="0"/>
            <w:vAlign w:val="center"/>
          </w:tcPr>
          <w:p w14:paraId="342CCC52">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3ADBB392">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53BF65B3">
            <w:pPr>
              <w:jc w:val="center"/>
              <w:rPr>
                <w:rFonts w:hint="eastAsia" w:ascii="宋体" w:hAnsi="宋体"/>
                <w:szCs w:val="21"/>
              </w:rPr>
            </w:pPr>
            <w:r>
              <w:rPr>
                <w:rFonts w:hint="eastAsia" w:ascii="宋体" w:hAnsi="宋体"/>
                <w:kern w:val="0"/>
                <w:szCs w:val="21"/>
              </w:rPr>
              <w:t>8-1</w:t>
            </w:r>
          </w:p>
        </w:tc>
        <w:tc>
          <w:tcPr>
            <w:tcW w:w="708" w:type="dxa"/>
            <w:gridSpan w:val="2"/>
            <w:noWrap w:val="0"/>
            <w:vAlign w:val="center"/>
          </w:tcPr>
          <w:p w14:paraId="4EF08C11">
            <w:pPr>
              <w:jc w:val="center"/>
              <w:rPr>
                <w:rFonts w:ascii="宋体" w:hAnsi="宋体"/>
                <w:kern w:val="0"/>
                <w:szCs w:val="21"/>
              </w:rPr>
            </w:pPr>
            <w:r>
              <w:rPr>
                <w:rFonts w:hint="eastAsia" w:ascii="宋体" w:hAnsi="宋体"/>
                <w:kern w:val="0"/>
                <w:szCs w:val="21"/>
              </w:rPr>
              <w:t>2</w:t>
            </w:r>
          </w:p>
        </w:tc>
        <w:tc>
          <w:tcPr>
            <w:tcW w:w="709" w:type="dxa"/>
            <w:noWrap w:val="0"/>
            <w:vAlign w:val="center"/>
          </w:tcPr>
          <w:p w14:paraId="7130BE1E">
            <w:pPr>
              <w:jc w:val="center"/>
              <w:rPr>
                <w:rFonts w:ascii="宋体" w:hAnsi="宋体"/>
                <w:kern w:val="0"/>
                <w:szCs w:val="21"/>
              </w:rPr>
            </w:pPr>
            <w:r>
              <w:rPr>
                <w:rFonts w:ascii="宋体" w:hAnsi="宋体"/>
                <w:kern w:val="0"/>
                <w:szCs w:val="21"/>
              </w:rPr>
              <w:t>4</w:t>
            </w:r>
          </w:p>
        </w:tc>
      </w:tr>
      <w:tr w14:paraId="0E25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noWrap w:val="0"/>
            <w:vAlign w:val="center"/>
          </w:tcPr>
          <w:p w14:paraId="0DC72753">
            <w:pPr>
              <w:jc w:val="center"/>
              <w:rPr>
                <w:rFonts w:ascii="宋体" w:hAnsi="宋体"/>
                <w:szCs w:val="21"/>
              </w:rPr>
            </w:pPr>
            <w:r>
              <w:rPr>
                <w:rFonts w:hint="eastAsia" w:ascii="宋体" w:hAnsi="宋体"/>
                <w:szCs w:val="21"/>
              </w:rPr>
              <w:t>5</w:t>
            </w:r>
          </w:p>
        </w:tc>
        <w:tc>
          <w:tcPr>
            <w:tcW w:w="4110" w:type="dxa"/>
            <w:noWrap w:val="0"/>
            <w:vAlign w:val="center"/>
          </w:tcPr>
          <w:p w14:paraId="5A8C255D">
            <w:pPr>
              <w:jc w:val="center"/>
            </w:pPr>
            <w:r>
              <w:rPr>
                <w:rFonts w:hint="eastAsia"/>
              </w:rPr>
              <w:t>“统计与</w:t>
            </w:r>
            <w:r>
              <w:t>概率</w:t>
            </w:r>
            <w:r>
              <w:rPr>
                <w:rFonts w:hint="eastAsia"/>
              </w:rPr>
              <w:t>”教学案例研究</w:t>
            </w:r>
          </w:p>
        </w:tc>
        <w:tc>
          <w:tcPr>
            <w:tcW w:w="1701" w:type="dxa"/>
            <w:noWrap w:val="0"/>
            <w:vAlign w:val="center"/>
          </w:tcPr>
          <w:p w14:paraId="4B2B3E3F">
            <w:pPr>
              <w:jc w:val="center"/>
              <w:rPr>
                <w:rFonts w:ascii="宋体" w:hAnsi="宋体"/>
                <w:szCs w:val="21"/>
              </w:rPr>
            </w:pPr>
            <w:r>
              <w:rPr>
                <w:rFonts w:hint="eastAsia" w:ascii="宋体" w:hAnsi="宋体"/>
                <w:kern w:val="0"/>
                <w:szCs w:val="21"/>
              </w:rPr>
              <w:t>目标2、3、4</w:t>
            </w:r>
          </w:p>
        </w:tc>
        <w:tc>
          <w:tcPr>
            <w:tcW w:w="1418" w:type="dxa"/>
            <w:noWrap w:val="0"/>
            <w:vAlign w:val="center"/>
          </w:tcPr>
          <w:p w14:paraId="0F082CD4">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07ADEEAC">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7D81A210">
            <w:pPr>
              <w:jc w:val="center"/>
              <w:rPr>
                <w:rFonts w:hint="eastAsia" w:ascii="宋体" w:hAnsi="宋体"/>
                <w:szCs w:val="21"/>
              </w:rPr>
            </w:pPr>
            <w:r>
              <w:rPr>
                <w:rFonts w:hint="eastAsia" w:ascii="宋体" w:hAnsi="宋体"/>
                <w:kern w:val="0"/>
                <w:szCs w:val="21"/>
              </w:rPr>
              <w:t>8-1</w:t>
            </w:r>
          </w:p>
        </w:tc>
        <w:tc>
          <w:tcPr>
            <w:tcW w:w="708" w:type="dxa"/>
            <w:gridSpan w:val="2"/>
            <w:noWrap w:val="0"/>
            <w:vAlign w:val="center"/>
          </w:tcPr>
          <w:p w14:paraId="3349DC3A">
            <w:pPr>
              <w:jc w:val="center"/>
              <w:rPr>
                <w:rFonts w:ascii="宋体" w:hAnsi="宋体"/>
                <w:kern w:val="0"/>
                <w:szCs w:val="21"/>
              </w:rPr>
            </w:pPr>
            <w:r>
              <w:rPr>
                <w:rFonts w:ascii="宋体" w:hAnsi="宋体"/>
                <w:kern w:val="0"/>
                <w:szCs w:val="21"/>
              </w:rPr>
              <w:t>2</w:t>
            </w:r>
          </w:p>
        </w:tc>
        <w:tc>
          <w:tcPr>
            <w:tcW w:w="709" w:type="dxa"/>
            <w:noWrap w:val="0"/>
            <w:vAlign w:val="center"/>
          </w:tcPr>
          <w:p w14:paraId="67A9AE71">
            <w:pPr>
              <w:jc w:val="center"/>
              <w:rPr>
                <w:rFonts w:ascii="宋体" w:hAnsi="宋体"/>
                <w:kern w:val="0"/>
                <w:szCs w:val="21"/>
              </w:rPr>
            </w:pPr>
            <w:r>
              <w:rPr>
                <w:rFonts w:ascii="宋体" w:hAnsi="宋体"/>
                <w:kern w:val="0"/>
                <w:szCs w:val="21"/>
              </w:rPr>
              <w:t>4</w:t>
            </w:r>
          </w:p>
        </w:tc>
      </w:tr>
      <w:tr w14:paraId="31C7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noWrap w:val="0"/>
            <w:vAlign w:val="center"/>
          </w:tcPr>
          <w:p w14:paraId="46215353">
            <w:pPr>
              <w:jc w:val="center"/>
              <w:rPr>
                <w:rFonts w:ascii="宋体" w:hAnsi="宋体"/>
                <w:szCs w:val="21"/>
              </w:rPr>
            </w:pPr>
            <w:r>
              <w:rPr>
                <w:rFonts w:hint="eastAsia" w:ascii="宋体" w:hAnsi="宋体"/>
                <w:szCs w:val="21"/>
              </w:rPr>
              <w:t>6</w:t>
            </w:r>
          </w:p>
        </w:tc>
        <w:tc>
          <w:tcPr>
            <w:tcW w:w="4110" w:type="dxa"/>
            <w:noWrap w:val="0"/>
            <w:vAlign w:val="center"/>
          </w:tcPr>
          <w:p w14:paraId="56695CFE">
            <w:pPr>
              <w:jc w:val="center"/>
            </w:pPr>
            <w:r>
              <w:rPr>
                <w:rFonts w:hint="eastAsia"/>
              </w:rPr>
              <w:t>“综合与实践”教学案例研究</w:t>
            </w:r>
          </w:p>
        </w:tc>
        <w:tc>
          <w:tcPr>
            <w:tcW w:w="1701" w:type="dxa"/>
            <w:noWrap w:val="0"/>
            <w:vAlign w:val="center"/>
          </w:tcPr>
          <w:p w14:paraId="6E9D92D5">
            <w:pPr>
              <w:jc w:val="center"/>
              <w:rPr>
                <w:rFonts w:ascii="宋体" w:hAnsi="宋体"/>
                <w:szCs w:val="21"/>
              </w:rPr>
            </w:pPr>
            <w:r>
              <w:rPr>
                <w:rFonts w:hint="eastAsia" w:ascii="宋体" w:hAnsi="宋体"/>
                <w:kern w:val="0"/>
                <w:szCs w:val="21"/>
              </w:rPr>
              <w:t>目标2、3、4</w:t>
            </w:r>
          </w:p>
        </w:tc>
        <w:tc>
          <w:tcPr>
            <w:tcW w:w="1418" w:type="dxa"/>
            <w:noWrap w:val="0"/>
            <w:vAlign w:val="center"/>
          </w:tcPr>
          <w:p w14:paraId="22907546">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66DA83B5">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395EAADD">
            <w:pPr>
              <w:jc w:val="center"/>
              <w:rPr>
                <w:rFonts w:hint="eastAsia" w:ascii="宋体" w:hAnsi="宋体"/>
                <w:szCs w:val="21"/>
              </w:rPr>
            </w:pPr>
            <w:r>
              <w:rPr>
                <w:rFonts w:hint="eastAsia" w:ascii="宋体" w:hAnsi="宋体"/>
                <w:kern w:val="0"/>
                <w:szCs w:val="21"/>
              </w:rPr>
              <w:t>8-1</w:t>
            </w:r>
          </w:p>
        </w:tc>
        <w:tc>
          <w:tcPr>
            <w:tcW w:w="708" w:type="dxa"/>
            <w:gridSpan w:val="2"/>
            <w:noWrap w:val="0"/>
            <w:vAlign w:val="center"/>
          </w:tcPr>
          <w:p w14:paraId="33B0BCB9">
            <w:pPr>
              <w:jc w:val="center"/>
              <w:rPr>
                <w:rFonts w:ascii="宋体" w:hAnsi="宋体"/>
                <w:kern w:val="0"/>
                <w:szCs w:val="21"/>
              </w:rPr>
            </w:pPr>
            <w:r>
              <w:rPr>
                <w:rFonts w:ascii="宋体" w:hAnsi="宋体"/>
                <w:kern w:val="0"/>
                <w:szCs w:val="21"/>
              </w:rPr>
              <w:t>2</w:t>
            </w:r>
          </w:p>
        </w:tc>
        <w:tc>
          <w:tcPr>
            <w:tcW w:w="709" w:type="dxa"/>
            <w:noWrap w:val="0"/>
            <w:vAlign w:val="center"/>
          </w:tcPr>
          <w:p w14:paraId="488E63B6">
            <w:pPr>
              <w:jc w:val="center"/>
              <w:rPr>
                <w:rFonts w:ascii="宋体" w:hAnsi="宋体"/>
                <w:kern w:val="0"/>
                <w:szCs w:val="21"/>
              </w:rPr>
            </w:pPr>
            <w:r>
              <w:rPr>
                <w:rFonts w:hint="eastAsia" w:ascii="宋体" w:hAnsi="宋体"/>
                <w:kern w:val="0"/>
                <w:szCs w:val="21"/>
              </w:rPr>
              <w:t>2</w:t>
            </w:r>
          </w:p>
        </w:tc>
      </w:tr>
      <w:tr w14:paraId="35C1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804" w:type="dxa"/>
            <w:gridSpan w:val="5"/>
            <w:noWrap w:val="0"/>
            <w:vAlign w:val="center"/>
          </w:tcPr>
          <w:p w14:paraId="6E568B5E">
            <w:pPr>
              <w:jc w:val="center"/>
              <w:rPr>
                <w:rFonts w:ascii="宋体" w:hAnsi="宋体"/>
                <w:szCs w:val="21"/>
              </w:rPr>
            </w:pPr>
            <w:r>
              <w:rPr>
                <w:rFonts w:ascii="宋体" w:hAnsi="宋体"/>
                <w:szCs w:val="21"/>
              </w:rPr>
              <w:t>合计</w:t>
            </w:r>
          </w:p>
        </w:tc>
        <w:tc>
          <w:tcPr>
            <w:tcW w:w="701" w:type="dxa"/>
            <w:noWrap w:val="0"/>
            <w:vAlign w:val="center"/>
          </w:tcPr>
          <w:p w14:paraId="61B52C45">
            <w:pPr>
              <w:jc w:val="center"/>
              <w:rPr>
                <w:rFonts w:ascii="宋体" w:hAnsi="宋体"/>
                <w:kern w:val="0"/>
                <w:szCs w:val="21"/>
              </w:rPr>
            </w:pPr>
            <w:r>
              <w:rPr>
                <w:rFonts w:ascii="宋体" w:hAnsi="宋体"/>
                <w:kern w:val="0"/>
                <w:szCs w:val="21"/>
              </w:rPr>
              <w:t>16</w:t>
            </w:r>
          </w:p>
        </w:tc>
        <w:tc>
          <w:tcPr>
            <w:tcW w:w="709" w:type="dxa"/>
            <w:noWrap w:val="0"/>
            <w:vAlign w:val="center"/>
          </w:tcPr>
          <w:p w14:paraId="3C8BD9C3">
            <w:pPr>
              <w:jc w:val="center"/>
              <w:rPr>
                <w:rFonts w:ascii="宋体" w:hAnsi="宋体"/>
                <w:kern w:val="0"/>
                <w:szCs w:val="21"/>
              </w:rPr>
            </w:pPr>
            <w:r>
              <w:rPr>
                <w:rFonts w:ascii="宋体" w:hAnsi="宋体"/>
                <w:kern w:val="0"/>
                <w:szCs w:val="21"/>
              </w:rPr>
              <w:t>16</w:t>
            </w:r>
          </w:p>
        </w:tc>
      </w:tr>
    </w:tbl>
    <w:p w14:paraId="7025B037">
      <w:pPr>
        <w:spacing w:line="360" w:lineRule="auto"/>
        <w:rPr>
          <w:rFonts w:hint="eastAsia" w:ascii="宋体" w:hAnsi="宋体"/>
          <w:b/>
          <w:sz w:val="28"/>
          <w:szCs w:val="28"/>
        </w:rPr>
      </w:pPr>
    </w:p>
    <w:p w14:paraId="1EF62AE0">
      <w:pPr>
        <w:spacing w:line="360" w:lineRule="auto"/>
        <w:ind w:firstLine="562" w:firstLineChars="200"/>
        <w:outlineLvl w:val="0"/>
        <w:rPr>
          <w:rFonts w:ascii="宋体" w:hAnsi="宋体"/>
          <w:b/>
          <w:sz w:val="28"/>
          <w:szCs w:val="28"/>
        </w:rPr>
      </w:pPr>
      <w:r>
        <w:rPr>
          <w:rFonts w:hint="eastAsia" w:ascii="宋体" w:hAnsi="宋体"/>
          <w:b/>
          <w:sz w:val="28"/>
          <w:szCs w:val="28"/>
        </w:rPr>
        <w:t>四</w:t>
      </w:r>
      <w:r>
        <w:rPr>
          <w:rFonts w:ascii="宋体" w:hAnsi="宋体"/>
          <w:b/>
          <w:sz w:val="28"/>
          <w:szCs w:val="28"/>
        </w:rPr>
        <w:t>、</w:t>
      </w:r>
      <w:r>
        <w:rPr>
          <w:rFonts w:hint="eastAsia" w:ascii="宋体" w:hAnsi="宋体"/>
          <w:b/>
          <w:sz w:val="28"/>
          <w:szCs w:val="28"/>
        </w:rPr>
        <w:t>课内实践</w:t>
      </w:r>
    </w:p>
    <w:tbl>
      <w:tblPr>
        <w:tblStyle w:val="30"/>
        <w:tblW w:w="9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755"/>
        <w:gridCol w:w="3510"/>
        <w:gridCol w:w="723"/>
        <w:gridCol w:w="1136"/>
        <w:gridCol w:w="826"/>
        <w:gridCol w:w="619"/>
      </w:tblGrid>
      <w:tr w14:paraId="786D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25" w:type="dxa"/>
            <w:shd w:val="clear" w:color="auto" w:fill="FFFFFF"/>
            <w:noWrap w:val="0"/>
            <w:vAlign w:val="center"/>
          </w:tcPr>
          <w:p w14:paraId="23B27ECA">
            <w:pPr>
              <w:jc w:val="center"/>
              <w:rPr>
                <w:rFonts w:ascii="宋体" w:hAnsi="宋体"/>
                <w:b/>
                <w:bCs/>
                <w:spacing w:val="-20"/>
                <w:szCs w:val="21"/>
              </w:rPr>
            </w:pPr>
            <w:r>
              <w:rPr>
                <w:rFonts w:ascii="宋体" w:hAnsi="宋体"/>
                <w:b/>
                <w:bCs/>
                <w:spacing w:val="-20"/>
                <w:szCs w:val="21"/>
              </w:rPr>
              <w:t>序号</w:t>
            </w:r>
          </w:p>
        </w:tc>
        <w:tc>
          <w:tcPr>
            <w:tcW w:w="1755" w:type="dxa"/>
            <w:shd w:val="clear" w:color="auto" w:fill="FFFFFF"/>
            <w:noWrap w:val="0"/>
            <w:vAlign w:val="center"/>
          </w:tcPr>
          <w:p w14:paraId="53C91A44">
            <w:pPr>
              <w:jc w:val="center"/>
              <w:rPr>
                <w:rFonts w:ascii="宋体" w:hAnsi="宋体"/>
                <w:b/>
                <w:bCs/>
                <w:szCs w:val="21"/>
              </w:rPr>
            </w:pPr>
            <w:r>
              <w:rPr>
                <w:rFonts w:hint="eastAsia" w:ascii="宋体" w:hAnsi="宋体"/>
                <w:b/>
                <w:bCs/>
                <w:szCs w:val="21"/>
              </w:rPr>
              <w:t>实践</w:t>
            </w:r>
            <w:r>
              <w:rPr>
                <w:rFonts w:ascii="宋体" w:hAnsi="宋体"/>
                <w:b/>
                <w:bCs/>
                <w:szCs w:val="21"/>
              </w:rPr>
              <w:t>项目名称</w:t>
            </w:r>
          </w:p>
        </w:tc>
        <w:tc>
          <w:tcPr>
            <w:tcW w:w="3510" w:type="dxa"/>
            <w:shd w:val="clear" w:color="auto" w:fill="FFFFFF"/>
            <w:noWrap w:val="0"/>
            <w:vAlign w:val="center"/>
          </w:tcPr>
          <w:p w14:paraId="73D86C94">
            <w:pPr>
              <w:jc w:val="center"/>
              <w:rPr>
                <w:rFonts w:ascii="宋体" w:hAnsi="宋体"/>
                <w:b/>
                <w:bCs/>
                <w:szCs w:val="21"/>
              </w:rPr>
            </w:pPr>
            <w:r>
              <w:rPr>
                <w:rFonts w:hint="eastAsia" w:ascii="宋体" w:hAnsi="宋体"/>
                <w:b/>
                <w:bCs/>
                <w:szCs w:val="21"/>
              </w:rPr>
              <w:t>实践</w:t>
            </w:r>
            <w:r>
              <w:rPr>
                <w:rFonts w:ascii="宋体" w:hAnsi="宋体"/>
                <w:b/>
                <w:bCs/>
                <w:szCs w:val="21"/>
              </w:rPr>
              <w:t>内容</w:t>
            </w:r>
            <w:r>
              <w:rPr>
                <w:rFonts w:hint="eastAsia" w:ascii="宋体" w:hAnsi="宋体"/>
                <w:b/>
                <w:bCs/>
                <w:szCs w:val="21"/>
              </w:rPr>
              <w:t>及要求</w:t>
            </w:r>
          </w:p>
        </w:tc>
        <w:tc>
          <w:tcPr>
            <w:tcW w:w="723" w:type="dxa"/>
            <w:shd w:val="clear" w:color="auto" w:fill="FFFFFF"/>
            <w:noWrap w:val="0"/>
            <w:vAlign w:val="center"/>
          </w:tcPr>
          <w:p w14:paraId="10A59331">
            <w:pPr>
              <w:jc w:val="center"/>
              <w:rPr>
                <w:rFonts w:ascii="宋体" w:hAnsi="宋体"/>
                <w:b/>
                <w:bCs/>
                <w:szCs w:val="21"/>
              </w:rPr>
            </w:pPr>
            <w:r>
              <w:rPr>
                <w:rFonts w:ascii="宋体" w:hAnsi="宋体"/>
                <w:b/>
                <w:bCs/>
                <w:szCs w:val="21"/>
              </w:rPr>
              <w:t>学时</w:t>
            </w:r>
          </w:p>
        </w:tc>
        <w:tc>
          <w:tcPr>
            <w:tcW w:w="1136" w:type="dxa"/>
            <w:shd w:val="clear" w:color="auto" w:fill="FFFFFF"/>
            <w:noWrap w:val="0"/>
            <w:vAlign w:val="center"/>
          </w:tcPr>
          <w:p w14:paraId="7A449672">
            <w:pPr>
              <w:jc w:val="center"/>
              <w:rPr>
                <w:rFonts w:ascii="宋体" w:hAnsi="宋体"/>
                <w:b/>
                <w:bCs/>
                <w:szCs w:val="21"/>
              </w:rPr>
            </w:pPr>
            <w:r>
              <w:rPr>
                <w:rFonts w:ascii="宋体" w:hAnsi="宋体"/>
                <w:b/>
                <w:bCs/>
                <w:szCs w:val="21"/>
              </w:rPr>
              <w:t>对毕业要求的支撑</w:t>
            </w:r>
          </w:p>
        </w:tc>
        <w:tc>
          <w:tcPr>
            <w:tcW w:w="826" w:type="dxa"/>
            <w:shd w:val="clear" w:color="auto" w:fill="FFFFFF"/>
            <w:noWrap w:val="0"/>
            <w:tcMar>
              <w:left w:w="28" w:type="dxa"/>
              <w:right w:w="28" w:type="dxa"/>
            </w:tcMar>
            <w:vAlign w:val="center"/>
          </w:tcPr>
          <w:p w14:paraId="782CA9C4">
            <w:pPr>
              <w:jc w:val="center"/>
              <w:rPr>
                <w:rFonts w:ascii="宋体" w:hAnsi="宋体"/>
                <w:b/>
                <w:bCs/>
                <w:szCs w:val="21"/>
              </w:rPr>
            </w:pPr>
            <w:r>
              <w:rPr>
                <w:rFonts w:ascii="宋体" w:hAnsi="宋体"/>
                <w:b/>
                <w:bCs/>
                <w:szCs w:val="21"/>
              </w:rPr>
              <w:t>类型</w:t>
            </w:r>
          </w:p>
        </w:tc>
        <w:tc>
          <w:tcPr>
            <w:tcW w:w="619" w:type="dxa"/>
            <w:shd w:val="clear" w:color="auto" w:fill="FFFFFF"/>
            <w:noWrap w:val="0"/>
            <w:tcMar>
              <w:left w:w="28" w:type="dxa"/>
              <w:right w:w="28" w:type="dxa"/>
            </w:tcMar>
            <w:vAlign w:val="center"/>
          </w:tcPr>
          <w:p w14:paraId="2BBBB424">
            <w:pPr>
              <w:jc w:val="center"/>
              <w:rPr>
                <w:rFonts w:ascii="宋体" w:hAnsi="宋体"/>
                <w:b/>
                <w:bCs/>
                <w:szCs w:val="21"/>
              </w:rPr>
            </w:pPr>
            <w:r>
              <w:rPr>
                <w:rFonts w:ascii="宋体" w:hAnsi="宋体"/>
                <w:b/>
                <w:bCs/>
                <w:szCs w:val="21"/>
              </w:rPr>
              <w:t>备注</w:t>
            </w:r>
          </w:p>
        </w:tc>
      </w:tr>
      <w:tr w14:paraId="648A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798064CB">
            <w:pPr>
              <w:jc w:val="center"/>
              <w:rPr>
                <w:rFonts w:ascii="宋体" w:hAnsi="宋体"/>
                <w:bCs/>
                <w:szCs w:val="21"/>
              </w:rPr>
            </w:pPr>
            <w:r>
              <w:rPr>
                <w:rFonts w:ascii="宋体" w:hAnsi="宋体"/>
                <w:bCs/>
                <w:szCs w:val="21"/>
              </w:rPr>
              <w:t>1</w:t>
            </w:r>
          </w:p>
        </w:tc>
        <w:tc>
          <w:tcPr>
            <w:tcW w:w="1755" w:type="dxa"/>
            <w:noWrap w:val="0"/>
            <w:vAlign w:val="center"/>
          </w:tcPr>
          <w:p w14:paraId="5E47DA7E">
            <w:pPr>
              <w:rPr>
                <w:rFonts w:hint="eastAsia"/>
                <w:szCs w:val="21"/>
              </w:rPr>
            </w:pPr>
            <w:r>
              <w:rPr>
                <w:rFonts w:hint="eastAsia"/>
                <w:szCs w:val="21"/>
              </w:rPr>
              <w:t>“数与代数”教学案例研讨</w:t>
            </w:r>
          </w:p>
        </w:tc>
        <w:tc>
          <w:tcPr>
            <w:tcW w:w="3510" w:type="dxa"/>
            <w:noWrap w:val="0"/>
            <w:vAlign w:val="center"/>
          </w:tcPr>
          <w:p w14:paraId="7B6E3B12">
            <w:pPr>
              <w:rPr>
                <w:rFonts w:hint="eastAsia"/>
              </w:rPr>
            </w:pPr>
            <w:r>
              <w:rPr>
                <w:rFonts w:hint="eastAsia"/>
              </w:rPr>
              <w:t>选择2</w:t>
            </w:r>
            <w:r>
              <w:t>-3</w:t>
            </w:r>
            <w:r>
              <w:rPr>
                <w:rFonts w:hint="eastAsia"/>
              </w:rPr>
              <w:t>个“数与代数”领域的内容，围绕</w:t>
            </w:r>
            <w:r>
              <w:t>相关的</w:t>
            </w:r>
            <w:r>
              <w:rPr>
                <w:rFonts w:hint="eastAsia"/>
              </w:rPr>
              <w:t>教学</w:t>
            </w:r>
            <w:r>
              <w:t>案例（教学设计、教学视频等），</w:t>
            </w:r>
            <w:r>
              <w:rPr>
                <w:rFonts w:hint="eastAsia"/>
              </w:rPr>
              <w:t>进行观摩</w:t>
            </w:r>
            <w:r>
              <w:t>研讨</w:t>
            </w:r>
            <w:r>
              <w:rPr>
                <w:rFonts w:hint="eastAsia"/>
              </w:rPr>
              <w:t>，并在</w:t>
            </w:r>
            <w:r>
              <w:t>此基础上进行教学设计。</w:t>
            </w:r>
          </w:p>
        </w:tc>
        <w:tc>
          <w:tcPr>
            <w:tcW w:w="723" w:type="dxa"/>
            <w:noWrap w:val="0"/>
            <w:vAlign w:val="center"/>
          </w:tcPr>
          <w:p w14:paraId="13DABAB8">
            <w:pPr>
              <w:jc w:val="center"/>
              <w:rPr>
                <w:rFonts w:ascii="宋体" w:hAnsi="宋体"/>
                <w:bCs/>
                <w:szCs w:val="21"/>
              </w:rPr>
            </w:pPr>
            <w:r>
              <w:rPr>
                <w:rFonts w:ascii="宋体" w:hAnsi="宋体"/>
                <w:bCs/>
                <w:szCs w:val="21"/>
              </w:rPr>
              <w:t>6</w:t>
            </w:r>
          </w:p>
        </w:tc>
        <w:tc>
          <w:tcPr>
            <w:tcW w:w="1136" w:type="dxa"/>
            <w:noWrap w:val="0"/>
            <w:vAlign w:val="center"/>
          </w:tcPr>
          <w:p w14:paraId="424471AB">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02CC64F0">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1FDFD23C">
            <w:pPr>
              <w:jc w:val="center"/>
              <w:rPr>
                <w:rFonts w:hint="eastAsia" w:ascii="宋体" w:hAnsi="宋体"/>
                <w:szCs w:val="21"/>
              </w:rPr>
            </w:pPr>
            <w:r>
              <w:rPr>
                <w:rFonts w:hint="eastAsia" w:ascii="宋体" w:hAnsi="宋体"/>
                <w:kern w:val="0"/>
                <w:szCs w:val="21"/>
              </w:rPr>
              <w:t>8-1</w:t>
            </w:r>
          </w:p>
        </w:tc>
        <w:tc>
          <w:tcPr>
            <w:tcW w:w="826" w:type="dxa"/>
            <w:noWrap w:val="0"/>
            <w:tcMar>
              <w:left w:w="28" w:type="dxa"/>
              <w:right w:w="28" w:type="dxa"/>
            </w:tcMar>
            <w:vAlign w:val="center"/>
          </w:tcPr>
          <w:p w14:paraId="4DC8CFDF">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68DD1182">
            <w:pPr>
              <w:jc w:val="center"/>
              <w:rPr>
                <w:rFonts w:ascii="宋体" w:hAnsi="宋体"/>
                <w:bCs/>
                <w:szCs w:val="21"/>
              </w:rPr>
            </w:pPr>
            <w:r>
              <w:rPr>
                <w:rFonts w:ascii="宋体" w:hAnsi="宋体"/>
                <w:bCs/>
                <w:szCs w:val="21"/>
              </w:rPr>
              <w:t>必做</w:t>
            </w:r>
          </w:p>
        </w:tc>
      </w:tr>
      <w:tr w14:paraId="60BA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2A427078">
            <w:pPr>
              <w:jc w:val="center"/>
              <w:rPr>
                <w:rFonts w:ascii="宋体" w:hAnsi="宋体"/>
                <w:bCs/>
                <w:szCs w:val="21"/>
              </w:rPr>
            </w:pPr>
            <w:r>
              <w:rPr>
                <w:rFonts w:hint="eastAsia" w:ascii="宋体" w:hAnsi="宋体"/>
                <w:bCs/>
                <w:szCs w:val="21"/>
              </w:rPr>
              <w:t>2</w:t>
            </w:r>
          </w:p>
        </w:tc>
        <w:tc>
          <w:tcPr>
            <w:tcW w:w="1755" w:type="dxa"/>
            <w:noWrap w:val="0"/>
            <w:vAlign w:val="center"/>
          </w:tcPr>
          <w:p w14:paraId="69617DC0">
            <w:pPr>
              <w:rPr>
                <w:rFonts w:hint="eastAsia"/>
                <w:szCs w:val="21"/>
              </w:rPr>
            </w:pPr>
            <w:r>
              <w:rPr>
                <w:rFonts w:hint="eastAsia"/>
                <w:szCs w:val="21"/>
              </w:rPr>
              <w:t>“</w:t>
            </w:r>
            <w:r>
              <w:rPr>
                <w:szCs w:val="21"/>
              </w:rPr>
              <w:t>图形</w:t>
            </w:r>
            <w:r>
              <w:rPr>
                <w:rFonts w:hint="eastAsia"/>
                <w:szCs w:val="21"/>
              </w:rPr>
              <w:t>与几何”教学案例研讨</w:t>
            </w:r>
          </w:p>
        </w:tc>
        <w:tc>
          <w:tcPr>
            <w:tcW w:w="3510" w:type="dxa"/>
            <w:noWrap w:val="0"/>
            <w:vAlign w:val="center"/>
          </w:tcPr>
          <w:p w14:paraId="480F13C8">
            <w:pPr>
              <w:rPr>
                <w:rFonts w:hint="eastAsia"/>
              </w:rPr>
            </w:pPr>
            <w:r>
              <w:rPr>
                <w:rFonts w:hint="eastAsia"/>
              </w:rPr>
              <w:t>选择1</w:t>
            </w:r>
            <w:r>
              <w:t>-2</w:t>
            </w:r>
            <w:r>
              <w:rPr>
                <w:rFonts w:hint="eastAsia"/>
              </w:rPr>
              <w:t>个“图形与几何”领域的内容，围绕</w:t>
            </w:r>
            <w:r>
              <w:t>相关的</w:t>
            </w:r>
            <w:r>
              <w:rPr>
                <w:rFonts w:hint="eastAsia"/>
              </w:rPr>
              <w:t>教学</w:t>
            </w:r>
            <w:r>
              <w:t>案例（教学设计、教学视频等），</w:t>
            </w:r>
            <w:r>
              <w:rPr>
                <w:rFonts w:hint="eastAsia"/>
              </w:rPr>
              <w:t>进行观摩</w:t>
            </w:r>
            <w:r>
              <w:t>研讨</w:t>
            </w:r>
            <w:r>
              <w:rPr>
                <w:rFonts w:hint="eastAsia"/>
              </w:rPr>
              <w:t>，并在</w:t>
            </w:r>
            <w:r>
              <w:t>此基础上进行教学设计。</w:t>
            </w:r>
          </w:p>
        </w:tc>
        <w:tc>
          <w:tcPr>
            <w:tcW w:w="723" w:type="dxa"/>
            <w:noWrap w:val="0"/>
            <w:vAlign w:val="center"/>
          </w:tcPr>
          <w:p w14:paraId="031056F1">
            <w:pPr>
              <w:jc w:val="center"/>
              <w:rPr>
                <w:rFonts w:ascii="宋体" w:hAnsi="宋体"/>
                <w:bCs/>
                <w:szCs w:val="21"/>
              </w:rPr>
            </w:pPr>
            <w:r>
              <w:rPr>
                <w:rFonts w:ascii="宋体" w:hAnsi="宋体"/>
                <w:bCs/>
                <w:szCs w:val="21"/>
              </w:rPr>
              <w:t>4</w:t>
            </w:r>
          </w:p>
        </w:tc>
        <w:tc>
          <w:tcPr>
            <w:tcW w:w="1136" w:type="dxa"/>
            <w:noWrap w:val="0"/>
            <w:vAlign w:val="center"/>
          </w:tcPr>
          <w:p w14:paraId="78484F31">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50E918CC">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033D86BC">
            <w:pPr>
              <w:jc w:val="center"/>
              <w:rPr>
                <w:rFonts w:hint="eastAsia" w:ascii="宋体" w:hAnsi="宋体"/>
                <w:szCs w:val="21"/>
              </w:rPr>
            </w:pPr>
            <w:r>
              <w:rPr>
                <w:rFonts w:hint="eastAsia" w:ascii="宋体" w:hAnsi="宋体"/>
                <w:kern w:val="0"/>
                <w:szCs w:val="21"/>
              </w:rPr>
              <w:t>8-1</w:t>
            </w:r>
          </w:p>
        </w:tc>
        <w:tc>
          <w:tcPr>
            <w:tcW w:w="826" w:type="dxa"/>
            <w:noWrap w:val="0"/>
            <w:tcMar>
              <w:left w:w="28" w:type="dxa"/>
              <w:right w:w="28" w:type="dxa"/>
            </w:tcMar>
            <w:vAlign w:val="center"/>
          </w:tcPr>
          <w:p w14:paraId="04C0E8D5">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6602DED5">
            <w:pPr>
              <w:jc w:val="center"/>
              <w:rPr>
                <w:rFonts w:ascii="宋体" w:hAnsi="宋体"/>
                <w:bCs/>
                <w:szCs w:val="21"/>
              </w:rPr>
            </w:pPr>
            <w:r>
              <w:rPr>
                <w:rFonts w:ascii="宋体" w:hAnsi="宋体"/>
                <w:bCs/>
                <w:szCs w:val="21"/>
              </w:rPr>
              <w:t>必做</w:t>
            </w:r>
          </w:p>
        </w:tc>
      </w:tr>
      <w:tr w14:paraId="4C4C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15FFEB4F">
            <w:pPr>
              <w:jc w:val="center"/>
              <w:rPr>
                <w:rFonts w:ascii="宋体" w:hAnsi="宋体"/>
                <w:bCs/>
                <w:szCs w:val="21"/>
              </w:rPr>
            </w:pPr>
            <w:r>
              <w:rPr>
                <w:rFonts w:hint="eastAsia" w:ascii="宋体" w:hAnsi="宋体"/>
                <w:bCs/>
                <w:szCs w:val="21"/>
              </w:rPr>
              <w:t>3</w:t>
            </w:r>
          </w:p>
        </w:tc>
        <w:tc>
          <w:tcPr>
            <w:tcW w:w="1755" w:type="dxa"/>
            <w:noWrap w:val="0"/>
            <w:vAlign w:val="center"/>
          </w:tcPr>
          <w:p w14:paraId="21790C12">
            <w:pPr>
              <w:rPr>
                <w:rFonts w:hint="eastAsia"/>
                <w:szCs w:val="21"/>
              </w:rPr>
            </w:pPr>
            <w:r>
              <w:rPr>
                <w:rFonts w:hint="eastAsia"/>
                <w:szCs w:val="21"/>
              </w:rPr>
              <w:t>“</w:t>
            </w:r>
            <w:r>
              <w:rPr>
                <w:szCs w:val="21"/>
              </w:rPr>
              <w:t>统计与概率</w:t>
            </w:r>
            <w:r>
              <w:rPr>
                <w:rFonts w:hint="eastAsia"/>
                <w:szCs w:val="21"/>
              </w:rPr>
              <w:t>”教学案例研讨</w:t>
            </w:r>
          </w:p>
        </w:tc>
        <w:tc>
          <w:tcPr>
            <w:tcW w:w="3510" w:type="dxa"/>
            <w:noWrap w:val="0"/>
            <w:vAlign w:val="center"/>
          </w:tcPr>
          <w:p w14:paraId="4CAA9FBC">
            <w:pPr>
              <w:rPr>
                <w:rFonts w:hint="eastAsia"/>
              </w:rPr>
            </w:pPr>
            <w:r>
              <w:rPr>
                <w:rFonts w:hint="eastAsia"/>
              </w:rPr>
              <w:t>选择1个“统计与概率”领域的内容，围绕</w:t>
            </w:r>
            <w:r>
              <w:t>相关的</w:t>
            </w:r>
            <w:r>
              <w:rPr>
                <w:rFonts w:hint="eastAsia"/>
              </w:rPr>
              <w:t>教学</w:t>
            </w:r>
            <w:r>
              <w:t>案例（教学设计、教学视频等），</w:t>
            </w:r>
            <w:r>
              <w:rPr>
                <w:rFonts w:hint="eastAsia"/>
              </w:rPr>
              <w:t>进行观摩</w:t>
            </w:r>
            <w:r>
              <w:t>研讨</w:t>
            </w:r>
            <w:r>
              <w:rPr>
                <w:rFonts w:hint="eastAsia"/>
              </w:rPr>
              <w:t>，并在</w:t>
            </w:r>
            <w:r>
              <w:t>此基础上进行教学设计。</w:t>
            </w:r>
          </w:p>
        </w:tc>
        <w:tc>
          <w:tcPr>
            <w:tcW w:w="723" w:type="dxa"/>
            <w:noWrap w:val="0"/>
            <w:vAlign w:val="center"/>
          </w:tcPr>
          <w:p w14:paraId="50C804AD">
            <w:pPr>
              <w:jc w:val="center"/>
              <w:rPr>
                <w:rFonts w:ascii="宋体" w:hAnsi="宋体"/>
                <w:bCs/>
                <w:szCs w:val="21"/>
              </w:rPr>
            </w:pPr>
            <w:r>
              <w:rPr>
                <w:rFonts w:ascii="宋体" w:hAnsi="宋体"/>
                <w:bCs/>
                <w:szCs w:val="21"/>
              </w:rPr>
              <w:t>4</w:t>
            </w:r>
          </w:p>
        </w:tc>
        <w:tc>
          <w:tcPr>
            <w:tcW w:w="1136" w:type="dxa"/>
            <w:noWrap w:val="0"/>
            <w:vAlign w:val="center"/>
          </w:tcPr>
          <w:p w14:paraId="5176AA15">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79150ABB">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6269474A">
            <w:pPr>
              <w:jc w:val="center"/>
              <w:rPr>
                <w:rFonts w:hint="eastAsia" w:ascii="宋体" w:hAnsi="宋体"/>
                <w:szCs w:val="21"/>
              </w:rPr>
            </w:pPr>
            <w:r>
              <w:rPr>
                <w:rFonts w:hint="eastAsia" w:ascii="宋体" w:hAnsi="宋体"/>
                <w:kern w:val="0"/>
                <w:szCs w:val="21"/>
              </w:rPr>
              <w:t>8-1</w:t>
            </w:r>
          </w:p>
        </w:tc>
        <w:tc>
          <w:tcPr>
            <w:tcW w:w="826" w:type="dxa"/>
            <w:noWrap w:val="0"/>
            <w:tcMar>
              <w:left w:w="28" w:type="dxa"/>
              <w:right w:w="28" w:type="dxa"/>
            </w:tcMar>
            <w:vAlign w:val="center"/>
          </w:tcPr>
          <w:p w14:paraId="76E8CFAB">
            <w:pPr>
              <w:jc w:val="center"/>
              <w:rPr>
                <w:rFonts w:ascii="宋体" w:hAnsi="宋体"/>
                <w:bCs/>
                <w:szCs w:val="21"/>
              </w:rPr>
            </w:pPr>
            <w:r>
              <w:rPr>
                <w:rFonts w:hint="eastAsia" w:ascii="宋体" w:hAnsi="宋体"/>
                <w:bCs/>
                <w:szCs w:val="21"/>
              </w:rPr>
              <w:t>综合性</w:t>
            </w:r>
          </w:p>
        </w:tc>
        <w:tc>
          <w:tcPr>
            <w:tcW w:w="619" w:type="dxa"/>
            <w:noWrap w:val="0"/>
            <w:tcMar>
              <w:left w:w="28" w:type="dxa"/>
              <w:right w:w="28" w:type="dxa"/>
            </w:tcMar>
            <w:vAlign w:val="center"/>
          </w:tcPr>
          <w:p w14:paraId="1E3623C8">
            <w:pPr>
              <w:jc w:val="center"/>
              <w:rPr>
                <w:rFonts w:ascii="宋体" w:hAnsi="宋体"/>
                <w:bCs/>
                <w:szCs w:val="21"/>
              </w:rPr>
            </w:pPr>
            <w:r>
              <w:rPr>
                <w:rFonts w:ascii="宋体" w:hAnsi="宋体"/>
                <w:bCs/>
                <w:szCs w:val="21"/>
              </w:rPr>
              <w:t>必做</w:t>
            </w:r>
          </w:p>
        </w:tc>
      </w:tr>
      <w:tr w14:paraId="3146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625" w:type="dxa"/>
            <w:noWrap w:val="0"/>
            <w:vAlign w:val="center"/>
          </w:tcPr>
          <w:p w14:paraId="4DC8F714">
            <w:pPr>
              <w:jc w:val="center"/>
              <w:rPr>
                <w:rFonts w:hint="eastAsia" w:ascii="宋体" w:hAnsi="宋体"/>
                <w:bCs/>
                <w:szCs w:val="21"/>
              </w:rPr>
            </w:pPr>
            <w:r>
              <w:rPr>
                <w:rFonts w:hint="eastAsia" w:ascii="宋体" w:hAnsi="宋体"/>
                <w:bCs/>
                <w:szCs w:val="21"/>
              </w:rPr>
              <w:t>4</w:t>
            </w:r>
          </w:p>
        </w:tc>
        <w:tc>
          <w:tcPr>
            <w:tcW w:w="1755" w:type="dxa"/>
            <w:noWrap w:val="0"/>
            <w:vAlign w:val="center"/>
          </w:tcPr>
          <w:p w14:paraId="51914FEF">
            <w:pPr>
              <w:rPr>
                <w:rFonts w:hint="eastAsia"/>
                <w:szCs w:val="21"/>
              </w:rPr>
            </w:pPr>
            <w:r>
              <w:rPr>
                <w:rFonts w:hint="eastAsia"/>
                <w:szCs w:val="21"/>
              </w:rPr>
              <w:t>“</w:t>
            </w:r>
            <w:r>
              <w:rPr>
                <w:szCs w:val="21"/>
              </w:rPr>
              <w:t>综合</w:t>
            </w:r>
            <w:r>
              <w:rPr>
                <w:rFonts w:hint="eastAsia"/>
                <w:szCs w:val="21"/>
              </w:rPr>
              <w:t>与实践”教学案例研讨</w:t>
            </w:r>
          </w:p>
        </w:tc>
        <w:tc>
          <w:tcPr>
            <w:tcW w:w="3510" w:type="dxa"/>
            <w:noWrap w:val="0"/>
            <w:vAlign w:val="center"/>
          </w:tcPr>
          <w:p w14:paraId="3607FAF3">
            <w:pPr>
              <w:rPr>
                <w:rFonts w:hint="eastAsia"/>
              </w:rPr>
            </w:pPr>
            <w:r>
              <w:rPr>
                <w:rFonts w:hint="eastAsia"/>
              </w:rPr>
              <w:t>选择1个“综合与实践”领域的内容，围绕</w:t>
            </w:r>
            <w:r>
              <w:t>相关的</w:t>
            </w:r>
            <w:r>
              <w:rPr>
                <w:rFonts w:hint="eastAsia"/>
              </w:rPr>
              <w:t>教学</w:t>
            </w:r>
            <w:r>
              <w:t>案例（教学设计、教学视频等），</w:t>
            </w:r>
            <w:r>
              <w:rPr>
                <w:rFonts w:hint="eastAsia"/>
              </w:rPr>
              <w:t>进行观摩</w:t>
            </w:r>
            <w:r>
              <w:t>研讨</w:t>
            </w:r>
            <w:r>
              <w:rPr>
                <w:rFonts w:hint="eastAsia"/>
              </w:rPr>
              <w:t>，并在</w:t>
            </w:r>
            <w:r>
              <w:t>此基础上进行教学设计。</w:t>
            </w:r>
          </w:p>
        </w:tc>
        <w:tc>
          <w:tcPr>
            <w:tcW w:w="723" w:type="dxa"/>
            <w:noWrap w:val="0"/>
            <w:vAlign w:val="center"/>
          </w:tcPr>
          <w:p w14:paraId="3AA58A18">
            <w:pPr>
              <w:jc w:val="center"/>
              <w:rPr>
                <w:rFonts w:hint="eastAsia" w:ascii="宋体" w:hAnsi="宋体"/>
                <w:bCs/>
                <w:szCs w:val="21"/>
              </w:rPr>
            </w:pPr>
            <w:r>
              <w:rPr>
                <w:rFonts w:ascii="宋体" w:hAnsi="宋体"/>
                <w:bCs/>
                <w:szCs w:val="21"/>
              </w:rPr>
              <w:t>2</w:t>
            </w:r>
          </w:p>
        </w:tc>
        <w:tc>
          <w:tcPr>
            <w:tcW w:w="1136" w:type="dxa"/>
            <w:noWrap w:val="0"/>
            <w:vAlign w:val="center"/>
          </w:tcPr>
          <w:p w14:paraId="09C4C84E">
            <w:pPr>
              <w:jc w:val="center"/>
              <w:rPr>
                <w:rFonts w:ascii="宋体" w:hAnsi="宋体"/>
                <w:kern w:val="0"/>
                <w:szCs w:val="21"/>
              </w:rPr>
            </w:pPr>
            <w:r>
              <w:rPr>
                <w:rFonts w:ascii="宋体" w:hAnsi="宋体"/>
                <w:kern w:val="0"/>
                <w:szCs w:val="21"/>
              </w:rPr>
              <w:t>3-2</w:t>
            </w:r>
            <w:r>
              <w:rPr>
                <w:rFonts w:hint="eastAsia" w:ascii="宋体" w:hAnsi="宋体"/>
                <w:kern w:val="0"/>
                <w:szCs w:val="21"/>
              </w:rPr>
              <w:t>、4-</w:t>
            </w:r>
            <w:r>
              <w:rPr>
                <w:rFonts w:ascii="宋体" w:hAnsi="宋体"/>
                <w:kern w:val="0"/>
                <w:szCs w:val="21"/>
              </w:rPr>
              <w:t>1</w:t>
            </w:r>
          </w:p>
          <w:p w14:paraId="32841835">
            <w:pPr>
              <w:jc w:val="center"/>
              <w:rPr>
                <w:rFonts w:ascii="宋体" w:hAnsi="宋体"/>
                <w:kern w:val="0"/>
                <w:szCs w:val="21"/>
              </w:rPr>
            </w:pPr>
            <w:r>
              <w:rPr>
                <w:rFonts w:ascii="宋体" w:hAnsi="宋体"/>
                <w:kern w:val="0"/>
                <w:szCs w:val="21"/>
              </w:rPr>
              <w:t>4-2</w:t>
            </w:r>
            <w:r>
              <w:rPr>
                <w:rFonts w:hint="eastAsia" w:ascii="宋体" w:hAnsi="宋体"/>
                <w:kern w:val="0"/>
                <w:szCs w:val="21"/>
              </w:rPr>
              <w:t>、6-2</w:t>
            </w:r>
          </w:p>
          <w:p w14:paraId="24D7E215">
            <w:pPr>
              <w:jc w:val="center"/>
              <w:rPr>
                <w:rFonts w:hint="eastAsia" w:ascii="宋体" w:hAnsi="宋体"/>
                <w:szCs w:val="21"/>
              </w:rPr>
            </w:pPr>
            <w:r>
              <w:rPr>
                <w:rFonts w:hint="eastAsia" w:ascii="宋体" w:hAnsi="宋体"/>
                <w:kern w:val="0"/>
                <w:szCs w:val="21"/>
              </w:rPr>
              <w:t>8-1</w:t>
            </w:r>
          </w:p>
        </w:tc>
        <w:tc>
          <w:tcPr>
            <w:tcW w:w="826" w:type="dxa"/>
            <w:noWrap w:val="0"/>
            <w:tcMar>
              <w:left w:w="28" w:type="dxa"/>
              <w:right w:w="28" w:type="dxa"/>
            </w:tcMar>
            <w:vAlign w:val="center"/>
          </w:tcPr>
          <w:p w14:paraId="2B7628E5">
            <w:pPr>
              <w:jc w:val="center"/>
              <w:rPr>
                <w:rFonts w:hint="eastAsia" w:ascii="宋体" w:hAnsi="宋体"/>
                <w:bCs/>
                <w:szCs w:val="21"/>
              </w:rPr>
            </w:pPr>
            <w:r>
              <w:rPr>
                <w:rFonts w:hint="eastAsia" w:ascii="宋体" w:hAnsi="宋体"/>
                <w:bCs/>
                <w:szCs w:val="21"/>
              </w:rPr>
              <w:t>综合</w:t>
            </w:r>
            <w:r>
              <w:rPr>
                <w:rFonts w:ascii="宋体" w:hAnsi="宋体"/>
                <w:bCs/>
                <w:szCs w:val="21"/>
              </w:rPr>
              <w:t>性</w:t>
            </w:r>
          </w:p>
        </w:tc>
        <w:tc>
          <w:tcPr>
            <w:tcW w:w="619" w:type="dxa"/>
            <w:noWrap w:val="0"/>
            <w:tcMar>
              <w:left w:w="28" w:type="dxa"/>
              <w:right w:w="28" w:type="dxa"/>
            </w:tcMar>
            <w:vAlign w:val="center"/>
          </w:tcPr>
          <w:p w14:paraId="2354E87D">
            <w:pPr>
              <w:jc w:val="center"/>
              <w:rPr>
                <w:rFonts w:hint="eastAsia" w:ascii="宋体" w:hAnsi="宋体"/>
                <w:bCs/>
                <w:szCs w:val="21"/>
              </w:rPr>
            </w:pPr>
            <w:r>
              <w:rPr>
                <w:rFonts w:hint="eastAsia" w:ascii="宋体" w:hAnsi="宋体"/>
                <w:bCs/>
                <w:szCs w:val="21"/>
              </w:rPr>
              <w:t>必</w:t>
            </w:r>
            <w:r>
              <w:rPr>
                <w:rFonts w:ascii="宋体" w:hAnsi="宋体"/>
                <w:bCs/>
                <w:szCs w:val="21"/>
              </w:rPr>
              <w:t>做</w:t>
            </w:r>
          </w:p>
        </w:tc>
      </w:tr>
    </w:tbl>
    <w:p w14:paraId="267D5E0A">
      <w:pPr>
        <w:spacing w:line="360" w:lineRule="auto"/>
        <w:outlineLvl w:val="0"/>
        <w:rPr>
          <w:rFonts w:hint="eastAsia" w:ascii="宋体" w:hAnsi="宋体"/>
          <w:b/>
          <w:sz w:val="28"/>
          <w:szCs w:val="28"/>
        </w:rPr>
      </w:pPr>
      <w:r>
        <w:rPr>
          <w:rFonts w:ascii="宋体" w:hAnsi="宋体"/>
          <w:b/>
          <w:sz w:val="28"/>
          <w:szCs w:val="28"/>
        </w:rPr>
        <w:t xml:space="preserve">   </w:t>
      </w:r>
    </w:p>
    <w:p w14:paraId="5BAB4BAE">
      <w:pPr>
        <w:spacing w:line="360" w:lineRule="auto"/>
        <w:outlineLvl w:val="0"/>
        <w:rPr>
          <w:rFonts w:ascii="宋体" w:hAnsi="宋体"/>
          <w:b/>
          <w:sz w:val="28"/>
          <w:szCs w:val="28"/>
        </w:rPr>
      </w:pPr>
      <w:r>
        <w:rPr>
          <w:rFonts w:hint="eastAsia" w:ascii="宋体" w:hAnsi="宋体"/>
          <w:b/>
          <w:sz w:val="28"/>
          <w:szCs w:val="28"/>
        </w:rPr>
        <w:t xml:space="preserve">    五、课程实施</w:t>
      </w:r>
    </w:p>
    <w:p w14:paraId="64F1B18F">
      <w:pPr>
        <w:spacing w:line="360" w:lineRule="auto"/>
        <w:ind w:firstLine="480" w:firstLineChars="200"/>
        <w:rPr>
          <w:sz w:val="24"/>
        </w:rPr>
      </w:pPr>
      <w:r>
        <w:rPr>
          <w:sz w:val="24"/>
        </w:rPr>
        <w:t>（一）</w:t>
      </w:r>
      <w:r>
        <w:rPr>
          <w:rFonts w:hint="eastAsia"/>
          <w:sz w:val="24"/>
        </w:rPr>
        <w:t>密切关注小学数学教学实际，选择由知名教师执教的典型教学案例，注重课堂教学的研究性。</w:t>
      </w:r>
    </w:p>
    <w:p w14:paraId="5D52578E">
      <w:pPr>
        <w:spacing w:line="360" w:lineRule="auto"/>
        <w:ind w:firstLine="480" w:firstLineChars="200"/>
        <w:rPr>
          <w:sz w:val="24"/>
        </w:rPr>
      </w:pPr>
      <w:r>
        <w:rPr>
          <w:sz w:val="24"/>
        </w:rPr>
        <w:t>（二）</w:t>
      </w:r>
      <w:r>
        <w:rPr>
          <w:rFonts w:hint="eastAsia"/>
          <w:sz w:val="24"/>
        </w:rPr>
        <w:t>利用信息技术，采用多种形式呈现案例资源，充分发挥案例的研究价值。</w:t>
      </w:r>
    </w:p>
    <w:p w14:paraId="7435E6C0">
      <w:pPr>
        <w:spacing w:line="360" w:lineRule="auto"/>
        <w:ind w:firstLine="480" w:firstLineChars="200"/>
        <w:rPr>
          <w:sz w:val="24"/>
        </w:rPr>
      </w:pPr>
      <w:r>
        <w:rPr>
          <w:sz w:val="24"/>
        </w:rPr>
        <w:t>（三）</w:t>
      </w:r>
      <w:r>
        <w:rPr>
          <w:rFonts w:hint="eastAsia"/>
          <w:sz w:val="24"/>
        </w:rPr>
        <w:t>重视师范生对案例的评价与反思，强调师范生教学实践能力的培养。</w:t>
      </w:r>
    </w:p>
    <w:p w14:paraId="60C14A7D">
      <w:pPr>
        <w:spacing w:line="360" w:lineRule="auto"/>
        <w:ind w:firstLine="480" w:firstLineChars="200"/>
        <w:rPr>
          <w:sz w:val="24"/>
        </w:rPr>
      </w:pPr>
    </w:p>
    <w:p w14:paraId="022F458F">
      <w:pPr>
        <w:spacing w:line="360" w:lineRule="auto"/>
        <w:ind w:firstLine="480" w:firstLineChars="200"/>
        <w:rPr>
          <w:sz w:val="24"/>
        </w:rPr>
      </w:pPr>
    </w:p>
    <w:p w14:paraId="571FE707">
      <w:pPr>
        <w:spacing w:line="360" w:lineRule="auto"/>
        <w:ind w:firstLine="480" w:firstLineChars="200"/>
        <w:rPr>
          <w:rFonts w:hint="eastAsia"/>
          <w:sz w:val="24"/>
        </w:rPr>
      </w:pPr>
    </w:p>
    <w:p w14:paraId="64871CD1">
      <w:pPr>
        <w:spacing w:line="360" w:lineRule="auto"/>
        <w:ind w:firstLine="482" w:firstLineChars="200"/>
        <w:rPr>
          <w:rFonts w:hint="eastAsia" w:ascii="宋体" w:hAnsi="宋体"/>
          <w:b/>
          <w:sz w:val="24"/>
          <w:szCs w:val="22"/>
        </w:rPr>
      </w:pPr>
      <w:r>
        <w:rPr>
          <w:rFonts w:ascii="宋体" w:hAnsi="宋体"/>
          <w:b/>
          <w:bCs/>
          <w:sz w:val="24"/>
          <w:szCs w:val="22"/>
        </w:rPr>
        <w:t>主要教学环节的质量要求如表所示</w:t>
      </w:r>
      <w:r>
        <w:rPr>
          <w:rFonts w:hint="eastAsia" w:ascii="宋体" w:hAnsi="宋体"/>
          <w:b/>
          <w:bCs/>
          <w:sz w:val="24"/>
          <w:szCs w:val="22"/>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36C3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noWrap w:val="0"/>
            <w:tcMar>
              <w:left w:w="28" w:type="dxa"/>
              <w:right w:w="28" w:type="dxa"/>
            </w:tcMar>
            <w:vAlign w:val="center"/>
          </w:tcPr>
          <w:p w14:paraId="748990EF">
            <w:pPr>
              <w:spacing w:line="276" w:lineRule="auto"/>
              <w:jc w:val="center"/>
              <w:rPr>
                <w:rFonts w:ascii="宋体" w:hAnsi="宋体"/>
                <w:b/>
                <w:szCs w:val="21"/>
              </w:rPr>
            </w:pPr>
            <w:r>
              <w:rPr>
                <w:rFonts w:ascii="宋体" w:hAnsi="宋体"/>
                <w:b/>
                <w:bCs/>
                <w:szCs w:val="21"/>
              </w:rPr>
              <w:t>主要教学环节</w:t>
            </w:r>
          </w:p>
        </w:tc>
        <w:tc>
          <w:tcPr>
            <w:tcW w:w="7525" w:type="dxa"/>
            <w:tcBorders>
              <w:top w:val="single" w:color="auto" w:sz="8" w:space="0"/>
              <w:left w:val="single" w:color="auto" w:sz="8" w:space="0"/>
              <w:right w:val="single" w:color="auto" w:sz="8" w:space="0"/>
            </w:tcBorders>
            <w:noWrap w:val="0"/>
            <w:vAlign w:val="center"/>
          </w:tcPr>
          <w:p w14:paraId="7676C810">
            <w:pPr>
              <w:spacing w:line="276" w:lineRule="auto"/>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F65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noWrap w:val="0"/>
            <w:vAlign w:val="center"/>
          </w:tcPr>
          <w:p w14:paraId="3DF7F7E9">
            <w:pPr>
              <w:spacing w:line="276" w:lineRule="auto"/>
              <w:jc w:val="center"/>
              <w:rPr>
                <w:rFonts w:ascii="宋体" w:hAnsi="宋体"/>
                <w:szCs w:val="21"/>
              </w:rPr>
            </w:pPr>
            <w:r>
              <w:rPr>
                <w:rFonts w:ascii="宋体" w:hAnsi="宋体"/>
                <w:szCs w:val="21"/>
              </w:rPr>
              <w:t>1</w:t>
            </w:r>
          </w:p>
        </w:tc>
        <w:tc>
          <w:tcPr>
            <w:tcW w:w="993" w:type="dxa"/>
            <w:noWrap w:val="0"/>
            <w:tcMar>
              <w:left w:w="28" w:type="dxa"/>
              <w:right w:w="28" w:type="dxa"/>
            </w:tcMar>
            <w:vAlign w:val="center"/>
          </w:tcPr>
          <w:p w14:paraId="502DC963">
            <w:pPr>
              <w:spacing w:line="276" w:lineRule="auto"/>
              <w:jc w:val="center"/>
              <w:rPr>
                <w:rFonts w:ascii="宋体" w:hAnsi="宋体"/>
                <w:szCs w:val="21"/>
              </w:rPr>
            </w:pPr>
            <w:r>
              <w:rPr>
                <w:rFonts w:ascii="宋体" w:hAnsi="宋体"/>
                <w:szCs w:val="21"/>
              </w:rPr>
              <w:t>备课</w:t>
            </w:r>
          </w:p>
        </w:tc>
        <w:tc>
          <w:tcPr>
            <w:tcW w:w="7525" w:type="dxa"/>
            <w:tcBorders>
              <w:right w:val="single" w:color="auto" w:sz="8" w:space="0"/>
            </w:tcBorders>
            <w:noWrap w:val="0"/>
            <w:vAlign w:val="center"/>
          </w:tcPr>
          <w:p w14:paraId="62A191D8">
            <w:pPr>
              <w:spacing w:line="276" w:lineRule="auto"/>
              <w:rPr>
                <w:rFonts w:ascii="宋体" w:hAnsi="宋体"/>
                <w:szCs w:val="21"/>
              </w:rPr>
            </w:pPr>
            <w:r>
              <w:rPr>
                <w:rFonts w:ascii="宋体" w:hAnsi="宋体"/>
                <w:szCs w:val="21"/>
              </w:rPr>
              <w:t>（1）掌握课程教学大纲内容，严格按照教学大纲要求进行课程教学内容的组织。</w:t>
            </w:r>
          </w:p>
          <w:p w14:paraId="125BA32F">
            <w:pPr>
              <w:spacing w:line="276" w:lineRule="auto"/>
              <w:rPr>
                <w:rFonts w:ascii="宋体" w:hAnsi="宋体"/>
                <w:szCs w:val="21"/>
              </w:rPr>
            </w:pPr>
            <w:r>
              <w:rPr>
                <w:rFonts w:ascii="宋体" w:hAnsi="宋体"/>
                <w:szCs w:val="21"/>
              </w:rPr>
              <w:t>（2）悉心了解学生的现有水平和最</w:t>
            </w:r>
            <w:r>
              <w:rPr>
                <w:rFonts w:hint="eastAsia" w:ascii="宋体" w:hAnsi="宋体"/>
                <w:szCs w:val="21"/>
              </w:rPr>
              <w:t>近</w:t>
            </w:r>
            <w:r>
              <w:rPr>
                <w:rFonts w:ascii="宋体" w:hAnsi="宋体"/>
                <w:szCs w:val="21"/>
              </w:rPr>
              <w:t>发展区水平，深透钻研教材内容，广泛阅读相关文献资料，精心选择教学方法、组织形式</w:t>
            </w:r>
            <w:r>
              <w:rPr>
                <w:rFonts w:hint="eastAsia" w:ascii="宋体" w:hAnsi="宋体"/>
                <w:szCs w:val="21"/>
              </w:rPr>
              <w:t>和教学手段，认真</w:t>
            </w:r>
            <w:r>
              <w:rPr>
                <w:rFonts w:ascii="宋体" w:hAnsi="宋体"/>
                <w:szCs w:val="21"/>
              </w:rPr>
              <w:t>编写授课计划。授课教案内容包括章节标题、教学目标、教学准备、教学方法、课堂类型、时间分配、授课内容、课后作业、教学效果分析等方面。</w:t>
            </w:r>
          </w:p>
        </w:tc>
      </w:tr>
      <w:tr w14:paraId="56E2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jc w:val="center"/>
        </w:trPr>
        <w:tc>
          <w:tcPr>
            <w:tcW w:w="582" w:type="dxa"/>
            <w:tcBorders>
              <w:left w:val="single" w:color="auto" w:sz="8" w:space="0"/>
            </w:tcBorders>
            <w:noWrap w:val="0"/>
            <w:vAlign w:val="center"/>
          </w:tcPr>
          <w:p w14:paraId="3F775512">
            <w:pPr>
              <w:spacing w:line="276" w:lineRule="auto"/>
              <w:jc w:val="center"/>
              <w:rPr>
                <w:rFonts w:ascii="宋体" w:hAnsi="宋体"/>
                <w:szCs w:val="21"/>
              </w:rPr>
            </w:pPr>
            <w:r>
              <w:rPr>
                <w:rFonts w:ascii="宋体" w:hAnsi="宋体"/>
                <w:szCs w:val="21"/>
              </w:rPr>
              <w:t>2</w:t>
            </w:r>
          </w:p>
        </w:tc>
        <w:tc>
          <w:tcPr>
            <w:tcW w:w="993" w:type="dxa"/>
            <w:noWrap w:val="0"/>
            <w:tcMar>
              <w:left w:w="28" w:type="dxa"/>
              <w:right w:w="28" w:type="dxa"/>
            </w:tcMar>
            <w:vAlign w:val="center"/>
          </w:tcPr>
          <w:p w14:paraId="3DB3FA6F">
            <w:pPr>
              <w:spacing w:line="276" w:lineRule="auto"/>
              <w:jc w:val="center"/>
              <w:rPr>
                <w:rFonts w:ascii="宋体" w:hAnsi="宋体"/>
                <w:szCs w:val="21"/>
              </w:rPr>
            </w:pPr>
            <w:r>
              <w:rPr>
                <w:rFonts w:ascii="宋体" w:hAnsi="宋体"/>
                <w:szCs w:val="21"/>
              </w:rPr>
              <w:t>讲授</w:t>
            </w:r>
          </w:p>
        </w:tc>
        <w:tc>
          <w:tcPr>
            <w:tcW w:w="7525" w:type="dxa"/>
            <w:tcBorders>
              <w:right w:val="single" w:color="auto" w:sz="8" w:space="0"/>
            </w:tcBorders>
            <w:noWrap w:val="0"/>
            <w:vAlign w:val="center"/>
          </w:tcPr>
          <w:p w14:paraId="53E1F507">
            <w:pPr>
              <w:spacing w:line="276" w:lineRule="auto"/>
              <w:rPr>
                <w:rFonts w:ascii="宋体" w:hAnsi="宋体"/>
              </w:rPr>
            </w:pPr>
            <w:r>
              <w:rPr>
                <w:rFonts w:ascii="宋体" w:hAnsi="宋体"/>
                <w:szCs w:val="21"/>
              </w:rPr>
              <w:t>（1）</w:t>
            </w:r>
            <w:r>
              <w:rPr>
                <w:rFonts w:hint="eastAsia" w:ascii="宋体" w:hAnsi="宋体"/>
              </w:rPr>
              <w:t>教师仪表端庄，情绪情感要饱满；</w:t>
            </w:r>
          </w:p>
          <w:p w14:paraId="32554A3D">
            <w:pPr>
              <w:spacing w:line="276" w:lineRule="auto"/>
              <w:rPr>
                <w:rFonts w:ascii="宋体" w:hAnsi="宋体"/>
                <w:szCs w:val="21"/>
              </w:rPr>
            </w:pPr>
            <w:r>
              <w:rPr>
                <w:rFonts w:ascii="宋体" w:hAnsi="宋体"/>
                <w:szCs w:val="21"/>
              </w:rPr>
              <w:t>（2）</w:t>
            </w:r>
            <w:r>
              <w:rPr>
                <w:rFonts w:hint="eastAsia" w:ascii="宋体" w:hAnsi="宋体"/>
              </w:rPr>
              <w:t>教学准备充分，熟悉教学内容；</w:t>
            </w:r>
          </w:p>
          <w:p w14:paraId="63C382F4">
            <w:pPr>
              <w:spacing w:line="276" w:lineRule="auto"/>
              <w:rPr>
                <w:rFonts w:ascii="宋体" w:hAnsi="宋体"/>
                <w:szCs w:val="21"/>
              </w:rPr>
            </w:pPr>
            <w:r>
              <w:rPr>
                <w:rFonts w:ascii="宋体" w:hAnsi="宋体"/>
                <w:szCs w:val="21"/>
              </w:rPr>
              <w:t>（3）</w:t>
            </w:r>
            <w:r>
              <w:rPr>
                <w:rFonts w:hint="eastAsia" w:ascii="宋体" w:hAnsi="宋体"/>
              </w:rPr>
              <w:t>教学内容充实，不断充实最新研究成果；</w:t>
            </w:r>
          </w:p>
          <w:p w14:paraId="01E99053">
            <w:pPr>
              <w:spacing w:line="276" w:lineRule="auto"/>
              <w:rPr>
                <w:rFonts w:ascii="宋体" w:hAnsi="宋体"/>
                <w:szCs w:val="21"/>
              </w:rPr>
            </w:pPr>
            <w:r>
              <w:rPr>
                <w:rFonts w:ascii="宋体" w:hAnsi="宋体"/>
                <w:szCs w:val="21"/>
              </w:rPr>
              <w:t>（4）</w:t>
            </w:r>
            <w:r>
              <w:rPr>
                <w:rFonts w:hint="eastAsia" w:ascii="宋体" w:hAnsi="宋体"/>
              </w:rPr>
              <w:t>严格执行计划，教学进度适宜；</w:t>
            </w:r>
          </w:p>
          <w:p w14:paraId="281F2BDA">
            <w:pPr>
              <w:spacing w:line="276" w:lineRule="auto"/>
              <w:rPr>
                <w:rFonts w:ascii="宋体" w:hAnsi="宋体"/>
                <w:szCs w:val="21"/>
              </w:rPr>
            </w:pPr>
            <w:r>
              <w:rPr>
                <w:rFonts w:ascii="宋体" w:hAnsi="宋体"/>
                <w:szCs w:val="21"/>
              </w:rPr>
              <w:t>（5）</w:t>
            </w:r>
            <w:r>
              <w:rPr>
                <w:rFonts w:hint="eastAsia" w:ascii="宋体" w:hAnsi="宋体"/>
              </w:rPr>
              <w:t>课堂教学信息充分，注重理论联系实际；</w:t>
            </w:r>
          </w:p>
          <w:p w14:paraId="451CEDB9">
            <w:pPr>
              <w:spacing w:line="276" w:lineRule="auto"/>
              <w:rPr>
                <w:rFonts w:ascii="宋体" w:hAnsi="宋体"/>
                <w:szCs w:val="21"/>
              </w:rPr>
            </w:pPr>
            <w:r>
              <w:rPr>
                <w:rFonts w:ascii="宋体" w:hAnsi="宋体"/>
                <w:szCs w:val="21"/>
              </w:rPr>
              <w:t>（6）</w:t>
            </w:r>
            <w:r>
              <w:rPr>
                <w:rFonts w:hint="eastAsia" w:ascii="宋体" w:hAnsi="宋体"/>
              </w:rPr>
              <w:t>注重启发学生思维，培养学生的教学能力；</w:t>
            </w:r>
          </w:p>
          <w:p w14:paraId="222C1BE6">
            <w:pPr>
              <w:spacing w:line="276" w:lineRule="auto"/>
              <w:rPr>
                <w:rFonts w:ascii="宋体" w:hAnsi="宋体"/>
                <w:szCs w:val="21"/>
              </w:rPr>
            </w:pPr>
            <w:r>
              <w:rPr>
                <w:rFonts w:ascii="宋体" w:hAnsi="宋体"/>
                <w:szCs w:val="21"/>
              </w:rPr>
              <w:t>（7）</w:t>
            </w:r>
            <w:r>
              <w:rPr>
                <w:rFonts w:hint="eastAsia" w:ascii="宋体" w:hAnsi="宋体"/>
              </w:rPr>
              <w:t>面向全体基础上因材施教，灵活运用多种教学方法；</w:t>
            </w:r>
          </w:p>
          <w:p w14:paraId="280DE292">
            <w:pPr>
              <w:spacing w:line="276" w:lineRule="auto"/>
              <w:rPr>
                <w:rFonts w:ascii="宋体" w:hAnsi="宋体"/>
                <w:szCs w:val="21"/>
              </w:rPr>
            </w:pPr>
            <w:r>
              <w:rPr>
                <w:rFonts w:ascii="宋体" w:hAnsi="宋体"/>
                <w:szCs w:val="21"/>
              </w:rPr>
              <w:t>（8）</w:t>
            </w:r>
            <w:r>
              <w:rPr>
                <w:rFonts w:hint="eastAsia" w:ascii="宋体" w:hAnsi="宋体"/>
              </w:rPr>
              <w:t>教学语言规范，为学生教育教学做好表率；</w:t>
            </w:r>
          </w:p>
          <w:p w14:paraId="5DADD644">
            <w:pPr>
              <w:spacing w:line="276" w:lineRule="auto"/>
              <w:rPr>
                <w:rFonts w:ascii="宋体" w:hAnsi="宋体"/>
                <w:szCs w:val="21"/>
              </w:rPr>
            </w:pPr>
            <w:r>
              <w:rPr>
                <w:rFonts w:ascii="宋体" w:hAnsi="宋体"/>
                <w:szCs w:val="21"/>
              </w:rPr>
              <w:t>（9）</w:t>
            </w:r>
            <w:r>
              <w:rPr>
                <w:rFonts w:hint="eastAsia" w:ascii="宋体" w:hAnsi="宋体"/>
              </w:rPr>
              <w:t>教学条理清楚，教学思路逻辑严密；</w:t>
            </w:r>
          </w:p>
          <w:p w14:paraId="037289DB">
            <w:pPr>
              <w:spacing w:line="276" w:lineRule="auto"/>
              <w:rPr>
                <w:rFonts w:ascii="宋体" w:hAnsi="宋体"/>
                <w:szCs w:val="21"/>
              </w:rPr>
            </w:pPr>
            <w:r>
              <w:rPr>
                <w:rFonts w:ascii="宋体" w:hAnsi="宋体"/>
                <w:szCs w:val="21"/>
              </w:rPr>
              <w:t>（10）</w:t>
            </w:r>
            <w:r>
              <w:rPr>
                <w:rFonts w:hint="eastAsia" w:ascii="宋体" w:hAnsi="宋体"/>
              </w:rPr>
              <w:t>充分运用现代化教学手段，教学技术熟练；</w:t>
            </w:r>
          </w:p>
          <w:p w14:paraId="3EDE2B0C">
            <w:pPr>
              <w:spacing w:line="276" w:lineRule="auto"/>
              <w:rPr>
                <w:rFonts w:ascii="宋体" w:hAnsi="宋体"/>
                <w:szCs w:val="21"/>
              </w:rPr>
            </w:pPr>
            <w:r>
              <w:rPr>
                <w:rFonts w:ascii="宋体" w:hAnsi="宋体"/>
                <w:szCs w:val="21"/>
              </w:rPr>
              <w:t>（11）</w:t>
            </w:r>
            <w:r>
              <w:rPr>
                <w:rFonts w:hint="eastAsia" w:ascii="宋体" w:hAnsi="宋体"/>
              </w:rPr>
              <w:t>课堂教学要重点突出，难点突破；</w:t>
            </w:r>
          </w:p>
          <w:p w14:paraId="4BCC89D8">
            <w:pPr>
              <w:spacing w:line="276" w:lineRule="auto"/>
              <w:rPr>
                <w:rFonts w:ascii="宋体" w:hAnsi="宋体"/>
                <w:szCs w:val="21"/>
              </w:rPr>
            </w:pPr>
            <w:r>
              <w:rPr>
                <w:rFonts w:ascii="宋体" w:hAnsi="宋体"/>
                <w:szCs w:val="21"/>
              </w:rPr>
              <w:t>（12）</w:t>
            </w:r>
            <w:r>
              <w:rPr>
                <w:rFonts w:hint="eastAsia" w:ascii="宋体" w:hAnsi="宋体"/>
              </w:rPr>
              <w:t>注重师生互动，形成良好的课堂氛围。</w:t>
            </w:r>
          </w:p>
        </w:tc>
      </w:tr>
      <w:tr w14:paraId="0D4B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582" w:type="dxa"/>
            <w:tcBorders>
              <w:left w:val="single" w:color="auto" w:sz="8" w:space="0"/>
            </w:tcBorders>
            <w:noWrap w:val="0"/>
            <w:vAlign w:val="center"/>
          </w:tcPr>
          <w:p w14:paraId="73286493">
            <w:pPr>
              <w:spacing w:line="276" w:lineRule="auto"/>
              <w:jc w:val="center"/>
              <w:rPr>
                <w:rFonts w:ascii="宋体" w:hAnsi="宋体"/>
                <w:szCs w:val="21"/>
              </w:rPr>
            </w:pPr>
            <w:r>
              <w:rPr>
                <w:rFonts w:ascii="宋体" w:hAnsi="宋体"/>
                <w:szCs w:val="21"/>
              </w:rPr>
              <w:t>3</w:t>
            </w:r>
          </w:p>
        </w:tc>
        <w:tc>
          <w:tcPr>
            <w:tcW w:w="993" w:type="dxa"/>
            <w:noWrap w:val="0"/>
            <w:tcMar>
              <w:left w:w="28" w:type="dxa"/>
              <w:right w:w="28" w:type="dxa"/>
            </w:tcMar>
            <w:vAlign w:val="center"/>
          </w:tcPr>
          <w:p w14:paraId="20144081">
            <w:pPr>
              <w:spacing w:line="276" w:lineRule="auto"/>
              <w:jc w:val="center"/>
              <w:rPr>
                <w:rFonts w:ascii="宋体" w:hAnsi="宋体"/>
                <w:szCs w:val="21"/>
              </w:rPr>
            </w:pPr>
            <w:r>
              <w:rPr>
                <w:rFonts w:ascii="宋体" w:hAnsi="宋体"/>
                <w:szCs w:val="21"/>
              </w:rPr>
              <w:t>作业布置与批改</w:t>
            </w:r>
          </w:p>
        </w:tc>
        <w:tc>
          <w:tcPr>
            <w:tcW w:w="7525" w:type="dxa"/>
            <w:tcBorders>
              <w:right w:val="single" w:color="auto" w:sz="8" w:space="0"/>
            </w:tcBorders>
            <w:noWrap w:val="0"/>
            <w:vAlign w:val="center"/>
          </w:tcPr>
          <w:p w14:paraId="6942DA5F">
            <w:pPr>
              <w:spacing w:line="276" w:lineRule="auto"/>
              <w:rPr>
                <w:rFonts w:ascii="宋体" w:hAnsi="宋体"/>
                <w:szCs w:val="21"/>
              </w:rPr>
            </w:pPr>
            <w:r>
              <w:rPr>
                <w:rFonts w:ascii="宋体" w:hAnsi="宋体"/>
                <w:szCs w:val="21"/>
              </w:rPr>
              <w:t>学生必须完成</w:t>
            </w:r>
            <w:r>
              <w:rPr>
                <w:rFonts w:hint="eastAsia" w:ascii="宋体" w:hAnsi="宋体"/>
                <w:szCs w:val="21"/>
              </w:rPr>
              <w:t>规定</w:t>
            </w:r>
            <w:r>
              <w:rPr>
                <w:rFonts w:ascii="宋体" w:hAnsi="宋体"/>
                <w:szCs w:val="21"/>
              </w:rPr>
              <w:t>数量的作业</w:t>
            </w:r>
            <w:r>
              <w:rPr>
                <w:rFonts w:hint="eastAsia" w:ascii="宋体" w:hAnsi="宋体"/>
                <w:szCs w:val="21"/>
              </w:rPr>
              <w:t>，</w:t>
            </w:r>
            <w:r>
              <w:rPr>
                <w:rFonts w:ascii="宋体" w:hAnsi="宋体"/>
                <w:szCs w:val="21"/>
              </w:rPr>
              <w:t>作业必须达到以下基本要求：</w:t>
            </w:r>
          </w:p>
          <w:p w14:paraId="2DFB00E8">
            <w:pPr>
              <w:spacing w:line="276" w:lineRule="auto"/>
              <w:rPr>
                <w:rFonts w:ascii="宋体" w:hAnsi="宋体"/>
                <w:szCs w:val="21"/>
              </w:rPr>
            </w:pPr>
            <w:r>
              <w:rPr>
                <w:rFonts w:hint="eastAsia" w:ascii="宋体" w:hAnsi="宋体"/>
                <w:szCs w:val="21"/>
              </w:rPr>
              <w:t>（1）</w:t>
            </w:r>
            <w:r>
              <w:rPr>
                <w:rFonts w:ascii="宋体" w:hAnsi="宋体"/>
                <w:szCs w:val="21"/>
              </w:rPr>
              <w:t>按时按量完成作业，不缺交，不抄袭</w:t>
            </w:r>
            <w:r>
              <w:rPr>
                <w:rFonts w:hint="eastAsia" w:ascii="宋体" w:hAnsi="宋体"/>
                <w:szCs w:val="21"/>
              </w:rPr>
              <w:t>。</w:t>
            </w:r>
          </w:p>
          <w:p w14:paraId="09D1C5F1">
            <w:pPr>
              <w:spacing w:line="276" w:lineRule="auto"/>
              <w:rPr>
                <w:rFonts w:ascii="宋体" w:hAnsi="宋体"/>
                <w:szCs w:val="21"/>
              </w:rPr>
            </w:pPr>
            <w:r>
              <w:rPr>
                <w:rFonts w:hint="eastAsia" w:ascii="宋体" w:hAnsi="宋体"/>
                <w:szCs w:val="21"/>
              </w:rPr>
              <w:t>（2）书写</w:t>
            </w:r>
            <w:r>
              <w:rPr>
                <w:rFonts w:ascii="宋体" w:hAnsi="宋体"/>
                <w:szCs w:val="21"/>
              </w:rPr>
              <w:t>规范</w:t>
            </w:r>
            <w:r>
              <w:rPr>
                <w:rFonts w:hint="eastAsia" w:ascii="宋体" w:hAnsi="宋体"/>
                <w:szCs w:val="21"/>
              </w:rPr>
              <w:t>、</w:t>
            </w:r>
            <w:r>
              <w:rPr>
                <w:rFonts w:ascii="宋体" w:hAnsi="宋体"/>
                <w:szCs w:val="21"/>
              </w:rPr>
              <w:t>教学设计方案格式规范、清晰</w:t>
            </w:r>
            <w:r>
              <w:rPr>
                <w:rFonts w:hint="eastAsia" w:ascii="宋体" w:hAnsi="宋体"/>
                <w:szCs w:val="21"/>
              </w:rPr>
              <w:t>。</w:t>
            </w:r>
          </w:p>
          <w:p w14:paraId="6989438E">
            <w:pPr>
              <w:spacing w:line="276" w:lineRule="auto"/>
              <w:rPr>
                <w:rFonts w:ascii="宋体" w:hAnsi="宋体"/>
                <w:szCs w:val="21"/>
              </w:rPr>
            </w:pPr>
            <w:r>
              <w:rPr>
                <w:rFonts w:hint="eastAsia" w:ascii="宋体" w:hAnsi="宋体"/>
                <w:szCs w:val="21"/>
              </w:rPr>
              <w:t>（3）</w:t>
            </w:r>
            <w:r>
              <w:rPr>
                <w:rFonts w:ascii="宋体" w:hAnsi="宋体"/>
                <w:szCs w:val="21"/>
              </w:rPr>
              <w:t>教学设计理念先进，教学目标适宜，教学方法灵活，教学组织形式多样、教学过程紧凑，教学准备充分。</w:t>
            </w:r>
          </w:p>
          <w:p w14:paraId="3DF54FE5">
            <w:pPr>
              <w:spacing w:line="276" w:lineRule="auto"/>
              <w:rPr>
                <w:rFonts w:ascii="宋体" w:hAnsi="宋体"/>
                <w:szCs w:val="21"/>
              </w:rPr>
            </w:pPr>
            <w:r>
              <w:rPr>
                <w:rFonts w:ascii="宋体" w:hAnsi="宋体"/>
                <w:szCs w:val="21"/>
              </w:rPr>
              <w:t>教师批改</w:t>
            </w:r>
            <w:r>
              <w:rPr>
                <w:rFonts w:hint="eastAsia" w:ascii="宋体" w:hAnsi="宋体"/>
                <w:szCs w:val="21"/>
              </w:rPr>
              <w:t>和</w:t>
            </w:r>
            <w:r>
              <w:rPr>
                <w:rFonts w:ascii="宋体" w:hAnsi="宋体"/>
                <w:szCs w:val="21"/>
              </w:rPr>
              <w:t>讲评作业要求如下：</w:t>
            </w:r>
          </w:p>
          <w:p w14:paraId="384221CA">
            <w:pPr>
              <w:spacing w:line="276" w:lineRule="auto"/>
              <w:rPr>
                <w:rFonts w:ascii="宋体" w:hAnsi="宋体"/>
                <w:szCs w:val="21"/>
              </w:rPr>
            </w:pPr>
            <w:r>
              <w:rPr>
                <w:rFonts w:hint="eastAsia" w:ascii="宋体" w:hAnsi="宋体"/>
                <w:szCs w:val="21"/>
              </w:rPr>
              <w:t>（1）</w:t>
            </w:r>
            <w:r>
              <w:rPr>
                <w:rFonts w:ascii="宋体" w:hAnsi="宋体"/>
                <w:szCs w:val="21"/>
              </w:rPr>
              <w:t>学生的作业要</w:t>
            </w:r>
            <w:r>
              <w:rPr>
                <w:rFonts w:hint="eastAsia" w:ascii="宋体" w:hAnsi="宋体"/>
                <w:szCs w:val="21"/>
              </w:rPr>
              <w:t>按时</w:t>
            </w:r>
            <w:r>
              <w:rPr>
                <w:rFonts w:ascii="宋体" w:hAnsi="宋体"/>
                <w:szCs w:val="21"/>
              </w:rPr>
              <w:t>全</w:t>
            </w:r>
            <w:r>
              <w:rPr>
                <w:rFonts w:hint="eastAsia" w:ascii="宋体" w:hAnsi="宋体"/>
                <w:szCs w:val="21"/>
              </w:rPr>
              <w:t>部</w:t>
            </w:r>
            <w:r>
              <w:rPr>
                <w:rFonts w:ascii="宋体" w:hAnsi="宋体"/>
                <w:szCs w:val="21"/>
              </w:rPr>
              <w:t>批改，并</w:t>
            </w:r>
            <w:r>
              <w:rPr>
                <w:rFonts w:hint="eastAsia" w:ascii="宋体" w:hAnsi="宋体"/>
                <w:szCs w:val="21"/>
              </w:rPr>
              <w:t>及时进行</w:t>
            </w:r>
            <w:r>
              <w:rPr>
                <w:rFonts w:ascii="宋体" w:hAnsi="宋体"/>
                <w:szCs w:val="21"/>
              </w:rPr>
              <w:t>讲评</w:t>
            </w:r>
            <w:r>
              <w:rPr>
                <w:rFonts w:hint="eastAsia" w:ascii="宋体" w:hAnsi="宋体"/>
                <w:szCs w:val="21"/>
              </w:rPr>
              <w:t>。</w:t>
            </w:r>
          </w:p>
          <w:p w14:paraId="69DF43E0">
            <w:pPr>
              <w:spacing w:line="276" w:lineRule="auto"/>
              <w:rPr>
                <w:rFonts w:ascii="宋体" w:hAnsi="宋体"/>
                <w:szCs w:val="21"/>
              </w:rPr>
            </w:pPr>
            <w:r>
              <w:rPr>
                <w:rFonts w:hint="eastAsia" w:ascii="宋体" w:hAnsi="宋体"/>
                <w:szCs w:val="21"/>
              </w:rPr>
              <w:t>（2）</w:t>
            </w:r>
            <w:r>
              <w:rPr>
                <w:rFonts w:ascii="宋体" w:hAnsi="宋体"/>
                <w:szCs w:val="21"/>
              </w:rPr>
              <w:t>教师批改</w:t>
            </w:r>
            <w:r>
              <w:rPr>
                <w:rFonts w:hint="eastAsia" w:ascii="宋体" w:hAnsi="宋体"/>
                <w:szCs w:val="21"/>
              </w:rPr>
              <w:t>和</w:t>
            </w:r>
            <w:r>
              <w:rPr>
                <w:rFonts w:ascii="宋体" w:hAnsi="宋体"/>
                <w:szCs w:val="21"/>
              </w:rPr>
              <w:t>讲评作业要认真、细致，按百分制评定成绩并写明日期</w:t>
            </w:r>
            <w:r>
              <w:rPr>
                <w:rFonts w:hint="eastAsia" w:ascii="宋体" w:hAnsi="宋体"/>
                <w:szCs w:val="21"/>
              </w:rPr>
              <w:t>。</w:t>
            </w:r>
          </w:p>
          <w:p w14:paraId="072EF40D">
            <w:pPr>
              <w:spacing w:line="276" w:lineRule="auto"/>
              <w:rPr>
                <w:rFonts w:ascii="宋体" w:hAnsi="宋体"/>
                <w:szCs w:val="21"/>
              </w:rPr>
            </w:pPr>
            <w:r>
              <w:rPr>
                <w:rFonts w:hint="eastAsia" w:ascii="宋体" w:hAnsi="宋体"/>
                <w:szCs w:val="21"/>
              </w:rPr>
              <w:t>（3）</w:t>
            </w:r>
            <w:r>
              <w:rPr>
                <w:rFonts w:ascii="宋体" w:hAnsi="宋体"/>
                <w:szCs w:val="21"/>
              </w:rPr>
              <w:t>学生作业平均成绩</w:t>
            </w:r>
            <w:r>
              <w:rPr>
                <w:rFonts w:hint="eastAsia" w:ascii="宋体" w:hAnsi="宋体"/>
                <w:szCs w:val="21"/>
              </w:rPr>
              <w:t>应</w:t>
            </w:r>
            <w:r>
              <w:rPr>
                <w:rFonts w:ascii="宋体" w:hAnsi="宋体"/>
                <w:szCs w:val="21"/>
              </w:rPr>
              <w:t>作为本课程总评成绩中平时成绩的重要组成部分。</w:t>
            </w:r>
          </w:p>
        </w:tc>
      </w:tr>
      <w:tr w14:paraId="6E77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582" w:type="dxa"/>
            <w:tcBorders>
              <w:left w:val="single" w:color="auto" w:sz="8" w:space="0"/>
            </w:tcBorders>
            <w:noWrap w:val="0"/>
            <w:vAlign w:val="center"/>
          </w:tcPr>
          <w:p w14:paraId="71D0C6C0">
            <w:pPr>
              <w:spacing w:line="276" w:lineRule="auto"/>
              <w:jc w:val="center"/>
              <w:rPr>
                <w:rFonts w:ascii="宋体" w:hAnsi="宋体"/>
                <w:szCs w:val="21"/>
              </w:rPr>
            </w:pPr>
            <w:r>
              <w:rPr>
                <w:rFonts w:ascii="宋体" w:hAnsi="宋体"/>
                <w:szCs w:val="21"/>
              </w:rPr>
              <w:t>4</w:t>
            </w:r>
          </w:p>
        </w:tc>
        <w:tc>
          <w:tcPr>
            <w:tcW w:w="993" w:type="dxa"/>
            <w:noWrap w:val="0"/>
            <w:tcMar>
              <w:left w:w="28" w:type="dxa"/>
              <w:right w:w="28" w:type="dxa"/>
            </w:tcMar>
            <w:vAlign w:val="center"/>
          </w:tcPr>
          <w:p w14:paraId="478ADEAA">
            <w:pPr>
              <w:spacing w:line="276" w:lineRule="auto"/>
              <w:jc w:val="center"/>
              <w:rPr>
                <w:rFonts w:ascii="宋体" w:hAnsi="宋体"/>
                <w:szCs w:val="21"/>
              </w:rPr>
            </w:pPr>
            <w:r>
              <w:rPr>
                <w:rFonts w:ascii="宋体" w:hAnsi="宋体"/>
                <w:szCs w:val="21"/>
              </w:rPr>
              <w:t>课外答疑</w:t>
            </w:r>
          </w:p>
        </w:tc>
        <w:tc>
          <w:tcPr>
            <w:tcW w:w="7525" w:type="dxa"/>
            <w:tcBorders>
              <w:right w:val="single" w:color="auto" w:sz="8" w:space="0"/>
            </w:tcBorders>
            <w:noWrap w:val="0"/>
            <w:vAlign w:val="center"/>
          </w:tcPr>
          <w:p w14:paraId="44CF4D1F">
            <w:pPr>
              <w:spacing w:line="276" w:lineRule="auto"/>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理解和消化所学知识、改进学习方法和思维方式，培养其独立的教学设计能力、教学组织指导能力、教学反思与评价能力，任课教师</w:t>
            </w:r>
            <w:r>
              <w:rPr>
                <w:rFonts w:hint="eastAsia" w:ascii="宋体" w:hAnsi="宋体"/>
                <w:szCs w:val="21"/>
              </w:rPr>
              <w:t>需</w:t>
            </w:r>
            <w:r>
              <w:rPr>
                <w:rFonts w:ascii="宋体" w:hAnsi="宋体"/>
                <w:szCs w:val="21"/>
              </w:rPr>
              <w:t>每周安排</w:t>
            </w:r>
            <w:r>
              <w:rPr>
                <w:rFonts w:hint="eastAsia" w:ascii="宋体" w:hAnsi="宋体"/>
                <w:szCs w:val="21"/>
              </w:rPr>
              <w:t>一定</w:t>
            </w:r>
            <w:r>
              <w:rPr>
                <w:rFonts w:ascii="宋体" w:hAnsi="宋体"/>
                <w:szCs w:val="21"/>
              </w:rPr>
              <w:t>时间进行课外答疑与辅导。</w:t>
            </w:r>
          </w:p>
        </w:tc>
      </w:tr>
      <w:tr w14:paraId="2CBF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582" w:type="dxa"/>
            <w:tcBorders>
              <w:left w:val="single" w:color="auto" w:sz="8" w:space="0"/>
            </w:tcBorders>
            <w:noWrap w:val="0"/>
            <w:vAlign w:val="center"/>
          </w:tcPr>
          <w:p w14:paraId="340EEA26">
            <w:pPr>
              <w:spacing w:line="276" w:lineRule="auto"/>
              <w:jc w:val="center"/>
              <w:rPr>
                <w:rFonts w:ascii="宋体" w:hAnsi="宋体"/>
                <w:szCs w:val="21"/>
              </w:rPr>
            </w:pPr>
            <w:r>
              <w:rPr>
                <w:rFonts w:ascii="宋体" w:hAnsi="宋体"/>
                <w:szCs w:val="21"/>
              </w:rPr>
              <w:t>5</w:t>
            </w:r>
          </w:p>
        </w:tc>
        <w:tc>
          <w:tcPr>
            <w:tcW w:w="993" w:type="dxa"/>
            <w:noWrap w:val="0"/>
            <w:tcMar>
              <w:left w:w="28" w:type="dxa"/>
              <w:right w:w="28" w:type="dxa"/>
            </w:tcMar>
            <w:vAlign w:val="center"/>
          </w:tcPr>
          <w:p w14:paraId="36453475">
            <w:pPr>
              <w:spacing w:line="276" w:lineRule="auto"/>
              <w:jc w:val="center"/>
              <w:rPr>
                <w:rFonts w:ascii="宋体" w:hAnsi="宋体"/>
                <w:szCs w:val="21"/>
              </w:rPr>
            </w:pPr>
            <w:r>
              <w:rPr>
                <w:rFonts w:ascii="宋体" w:hAnsi="宋体"/>
                <w:szCs w:val="21"/>
              </w:rPr>
              <w:t>成绩考核</w:t>
            </w:r>
          </w:p>
        </w:tc>
        <w:tc>
          <w:tcPr>
            <w:tcW w:w="7525" w:type="dxa"/>
            <w:tcBorders>
              <w:right w:val="single" w:color="auto" w:sz="8" w:space="0"/>
            </w:tcBorders>
            <w:noWrap w:val="0"/>
            <w:vAlign w:val="center"/>
          </w:tcPr>
          <w:p w14:paraId="26C0C71C">
            <w:pPr>
              <w:spacing w:line="276" w:lineRule="auto"/>
              <w:rPr>
                <w:rFonts w:ascii="宋体" w:hAnsi="宋体"/>
                <w:szCs w:val="21"/>
              </w:rPr>
            </w:pPr>
            <w:r>
              <w:rPr>
                <w:rFonts w:hint="eastAsia" w:ascii="宋体" w:hAnsi="宋体"/>
                <w:szCs w:val="21"/>
              </w:rPr>
              <w:t>本课程考核的方式为开卷笔试。监考由学院统一安排。有下列情况之一者，总评成绩为不及格：</w:t>
            </w:r>
          </w:p>
          <w:p w14:paraId="1F6D2D2C">
            <w:pPr>
              <w:spacing w:line="276" w:lineRule="auto"/>
              <w:rPr>
                <w:rFonts w:ascii="宋体" w:hAnsi="宋体"/>
                <w:szCs w:val="21"/>
              </w:rPr>
            </w:pPr>
            <w:r>
              <w:rPr>
                <w:rFonts w:hint="eastAsia" w:ascii="宋体" w:hAnsi="宋体"/>
                <w:szCs w:val="21"/>
              </w:rPr>
              <w:t>（1）</w:t>
            </w:r>
            <w:r>
              <w:rPr>
                <w:rFonts w:ascii="宋体" w:hAnsi="宋体"/>
                <w:szCs w:val="21"/>
              </w:rPr>
              <w:t>缺交作业次数达1/3以上者</w:t>
            </w:r>
            <w:r>
              <w:rPr>
                <w:rFonts w:hint="eastAsia" w:ascii="宋体" w:hAnsi="宋体"/>
                <w:szCs w:val="21"/>
              </w:rPr>
              <w:t>。</w:t>
            </w:r>
          </w:p>
          <w:p w14:paraId="5D8FA9A8">
            <w:pPr>
              <w:spacing w:line="276" w:lineRule="auto"/>
              <w:rPr>
                <w:rFonts w:hint="eastAsia"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6EC164CD">
      <w:pPr>
        <w:spacing w:line="360" w:lineRule="auto"/>
        <w:ind w:firstLine="562" w:firstLineChars="200"/>
        <w:rPr>
          <w:rFonts w:ascii="宋体" w:hAnsi="宋体"/>
          <w:b/>
          <w:sz w:val="28"/>
          <w:szCs w:val="28"/>
        </w:rPr>
      </w:pPr>
    </w:p>
    <w:p w14:paraId="52A320FD">
      <w:pPr>
        <w:spacing w:line="360" w:lineRule="auto"/>
        <w:ind w:firstLine="562" w:firstLineChars="200"/>
        <w:rPr>
          <w:rFonts w:ascii="宋体" w:hAnsi="宋体"/>
          <w:b/>
          <w:sz w:val="28"/>
          <w:szCs w:val="28"/>
        </w:rPr>
      </w:pPr>
      <w:r>
        <w:rPr>
          <w:rFonts w:hint="eastAsia" w:ascii="宋体" w:hAnsi="宋体"/>
          <w:b/>
          <w:sz w:val="28"/>
          <w:szCs w:val="28"/>
        </w:rPr>
        <w:t>六、课程</w:t>
      </w:r>
      <w:r>
        <w:rPr>
          <w:rFonts w:ascii="宋体" w:hAnsi="宋体"/>
          <w:b/>
          <w:sz w:val="28"/>
          <w:szCs w:val="28"/>
        </w:rPr>
        <w:t>考核</w:t>
      </w:r>
    </w:p>
    <w:p w14:paraId="76E263F9">
      <w:pPr>
        <w:spacing w:line="360" w:lineRule="auto"/>
        <w:ind w:firstLine="480" w:firstLineChars="200"/>
        <w:rPr>
          <w:rFonts w:hint="eastAsia" w:ascii="宋体" w:hAnsi="宋体"/>
          <w:sz w:val="24"/>
          <w:szCs w:val="22"/>
        </w:rPr>
      </w:pPr>
      <w:r>
        <w:rPr>
          <w:rFonts w:hint="eastAsia" w:ascii="宋体" w:hAnsi="宋体"/>
          <w:sz w:val="24"/>
          <w:szCs w:val="22"/>
        </w:rPr>
        <w:t>（一）课程考核包括期末考试、平时考核（作业、课堂互动</w:t>
      </w:r>
      <w:r>
        <w:rPr>
          <w:rFonts w:ascii="宋体" w:hAnsi="宋体"/>
          <w:sz w:val="24"/>
          <w:szCs w:val="22"/>
        </w:rPr>
        <w:t>、</w:t>
      </w:r>
      <w:r>
        <w:rPr>
          <w:rFonts w:hint="eastAsia" w:ascii="宋体" w:hAnsi="宋体"/>
          <w:sz w:val="24"/>
          <w:szCs w:val="22"/>
        </w:rPr>
        <w:t>考勤等）和课内实践考核，期末考试采用开卷笔试。</w:t>
      </w:r>
    </w:p>
    <w:p w14:paraId="476BC3DE">
      <w:pPr>
        <w:spacing w:line="360" w:lineRule="auto"/>
        <w:ind w:firstLine="480" w:firstLineChars="200"/>
        <w:rPr>
          <w:rFonts w:ascii="宋体" w:hAnsi="宋体"/>
          <w:sz w:val="24"/>
          <w:szCs w:val="22"/>
        </w:rPr>
      </w:pPr>
      <w:r>
        <w:rPr>
          <w:rFonts w:hint="eastAsia" w:ascii="宋体" w:hAnsi="宋体"/>
          <w:sz w:val="24"/>
          <w:szCs w:val="22"/>
        </w:rPr>
        <w:t>（二）课程成绩=平时成绩×</w:t>
      </w:r>
      <w:r>
        <w:rPr>
          <w:rFonts w:ascii="宋体" w:hAnsi="宋体"/>
          <w:sz w:val="24"/>
          <w:szCs w:val="22"/>
        </w:rPr>
        <w:t>3</w:t>
      </w:r>
      <w:r>
        <w:rPr>
          <w:rFonts w:hint="eastAsia" w:ascii="宋体" w:hAnsi="宋体"/>
          <w:sz w:val="24"/>
          <w:szCs w:val="22"/>
        </w:rPr>
        <w:t>0%+课内实践成绩×20%+期末考试成绩×</w:t>
      </w:r>
      <w:r>
        <w:rPr>
          <w:rFonts w:ascii="宋体" w:hAnsi="宋体"/>
          <w:sz w:val="24"/>
          <w:szCs w:val="22"/>
        </w:rPr>
        <w:t>5</w:t>
      </w:r>
      <w:r>
        <w:rPr>
          <w:rFonts w:hint="eastAsia" w:ascii="宋体" w:hAnsi="宋体"/>
          <w:sz w:val="24"/>
          <w:szCs w:val="22"/>
        </w:rPr>
        <w:t>0%。</w:t>
      </w:r>
    </w:p>
    <w:p w14:paraId="6C17672E">
      <w:pPr>
        <w:spacing w:line="360" w:lineRule="auto"/>
        <w:ind w:firstLine="480" w:firstLineChars="200"/>
        <w:rPr>
          <w:rFonts w:hint="eastAsia" w:ascii="宋体" w:hAnsi="宋体"/>
          <w:sz w:val="24"/>
          <w:szCs w:val="22"/>
        </w:rPr>
      </w:pPr>
    </w:p>
    <w:p w14:paraId="09D42302">
      <w:pPr>
        <w:spacing w:line="360" w:lineRule="auto"/>
        <w:ind w:firstLine="482" w:firstLineChars="200"/>
        <w:rPr>
          <w:rFonts w:hint="eastAsia"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4121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noWrap w:val="0"/>
            <w:tcMar>
              <w:left w:w="57" w:type="dxa"/>
              <w:right w:w="57" w:type="dxa"/>
            </w:tcMar>
            <w:vAlign w:val="center"/>
          </w:tcPr>
          <w:p w14:paraId="6DD09456">
            <w:pPr>
              <w:jc w:val="center"/>
              <w:rPr>
                <w:rFonts w:ascii="宋体" w:hAnsi="宋体"/>
                <w:b/>
              </w:rPr>
            </w:pPr>
            <w:r>
              <w:rPr>
                <w:rFonts w:ascii="宋体" w:hAnsi="宋体"/>
                <w:b/>
              </w:rPr>
              <w:t>成绩组成</w:t>
            </w:r>
          </w:p>
        </w:tc>
        <w:tc>
          <w:tcPr>
            <w:tcW w:w="1134" w:type="dxa"/>
            <w:shd w:val="clear" w:color="auto" w:fill="FFFFFF"/>
            <w:noWrap w:val="0"/>
            <w:vAlign w:val="center"/>
          </w:tcPr>
          <w:p w14:paraId="0EF95A89">
            <w:pPr>
              <w:jc w:val="center"/>
              <w:rPr>
                <w:rFonts w:ascii="宋体" w:hAnsi="宋体"/>
                <w:b/>
              </w:rPr>
            </w:pPr>
            <w:r>
              <w:rPr>
                <w:rFonts w:ascii="宋体" w:hAnsi="宋体"/>
                <w:b/>
              </w:rPr>
              <w:t>考核/</w:t>
            </w:r>
          </w:p>
          <w:p w14:paraId="467E7734">
            <w:pPr>
              <w:jc w:val="center"/>
              <w:rPr>
                <w:rFonts w:ascii="宋体" w:hAnsi="宋体"/>
                <w:b/>
              </w:rPr>
            </w:pPr>
            <w:r>
              <w:rPr>
                <w:rFonts w:ascii="宋体" w:hAnsi="宋体"/>
                <w:b/>
              </w:rPr>
              <w:t>评价环节</w:t>
            </w:r>
          </w:p>
        </w:tc>
        <w:tc>
          <w:tcPr>
            <w:tcW w:w="709" w:type="dxa"/>
            <w:shd w:val="clear" w:color="auto" w:fill="FFFFFF"/>
            <w:noWrap w:val="0"/>
            <w:vAlign w:val="center"/>
          </w:tcPr>
          <w:p w14:paraId="7441DDF2">
            <w:pPr>
              <w:jc w:val="center"/>
              <w:rPr>
                <w:rFonts w:ascii="宋体" w:hAnsi="宋体"/>
                <w:b/>
              </w:rPr>
            </w:pPr>
            <w:r>
              <w:rPr>
                <w:rFonts w:hint="eastAsia" w:ascii="宋体" w:hAnsi="宋体"/>
                <w:b/>
              </w:rPr>
              <w:t>权重</w:t>
            </w:r>
          </w:p>
        </w:tc>
        <w:tc>
          <w:tcPr>
            <w:tcW w:w="2693" w:type="dxa"/>
            <w:shd w:val="clear" w:color="auto" w:fill="FFFFFF"/>
            <w:noWrap w:val="0"/>
            <w:vAlign w:val="center"/>
          </w:tcPr>
          <w:p w14:paraId="43138F92">
            <w:pPr>
              <w:jc w:val="center"/>
              <w:rPr>
                <w:rFonts w:ascii="宋体" w:hAnsi="宋体"/>
                <w:b/>
              </w:rPr>
            </w:pPr>
            <w:r>
              <w:rPr>
                <w:rFonts w:ascii="宋体" w:hAnsi="宋体"/>
                <w:b/>
              </w:rPr>
              <w:t>考核/评价细则</w:t>
            </w:r>
          </w:p>
        </w:tc>
        <w:tc>
          <w:tcPr>
            <w:tcW w:w="1276" w:type="dxa"/>
            <w:shd w:val="clear" w:color="auto" w:fill="FFFFFF"/>
            <w:noWrap w:val="0"/>
            <w:vAlign w:val="top"/>
          </w:tcPr>
          <w:p w14:paraId="2CFD175F">
            <w:pPr>
              <w:ind w:firstLine="316" w:firstLineChars="150"/>
              <w:rPr>
                <w:rFonts w:ascii="宋体" w:hAnsi="宋体"/>
                <w:b/>
              </w:rPr>
            </w:pPr>
            <w:r>
              <w:rPr>
                <w:rFonts w:hint="eastAsia" w:ascii="宋体" w:hAnsi="宋体"/>
                <w:b/>
              </w:rPr>
              <w:t>课程</w:t>
            </w:r>
          </w:p>
          <w:p w14:paraId="5464CF6E">
            <w:pPr>
              <w:jc w:val="center"/>
              <w:rPr>
                <w:rFonts w:ascii="宋体" w:hAnsi="宋体"/>
                <w:b/>
              </w:rPr>
            </w:pPr>
            <w:r>
              <w:rPr>
                <w:rFonts w:hint="eastAsia" w:ascii="宋体" w:hAnsi="宋体"/>
                <w:b/>
              </w:rPr>
              <w:t>目标</w:t>
            </w:r>
          </w:p>
        </w:tc>
        <w:tc>
          <w:tcPr>
            <w:tcW w:w="1276" w:type="dxa"/>
            <w:shd w:val="clear" w:color="auto" w:fill="FFFFFF"/>
            <w:noWrap w:val="0"/>
            <w:vAlign w:val="top"/>
          </w:tcPr>
          <w:p w14:paraId="313D3A05">
            <w:pPr>
              <w:ind w:left="-107" w:leftChars="-51"/>
              <w:jc w:val="center"/>
              <w:rPr>
                <w:rFonts w:ascii="宋体" w:hAnsi="宋体"/>
                <w:b/>
              </w:rPr>
            </w:pPr>
            <w:r>
              <w:rPr>
                <w:rFonts w:hint="eastAsia" w:ascii="宋体" w:hAnsi="宋体"/>
                <w:b/>
              </w:rPr>
              <w:t>考核</w:t>
            </w:r>
          </w:p>
          <w:p w14:paraId="30FBD824">
            <w:pPr>
              <w:ind w:left="-107" w:leftChars="-51"/>
              <w:jc w:val="center"/>
              <w:rPr>
                <w:rFonts w:hint="eastAsia" w:ascii="宋体" w:hAnsi="宋体"/>
                <w:b/>
              </w:rPr>
            </w:pPr>
            <w:r>
              <w:rPr>
                <w:rFonts w:ascii="宋体" w:hAnsi="宋体"/>
                <w:b/>
              </w:rPr>
              <w:t>内容</w:t>
            </w:r>
          </w:p>
        </w:tc>
        <w:tc>
          <w:tcPr>
            <w:tcW w:w="1276" w:type="dxa"/>
            <w:shd w:val="clear" w:color="auto" w:fill="FFFFFF"/>
            <w:noWrap w:val="0"/>
            <w:vAlign w:val="center"/>
          </w:tcPr>
          <w:p w14:paraId="04A0EAC0">
            <w:pPr>
              <w:ind w:left="-107" w:leftChars="-51"/>
              <w:jc w:val="center"/>
              <w:rPr>
                <w:rFonts w:ascii="宋体" w:hAnsi="宋体"/>
                <w:b/>
              </w:rPr>
            </w:pPr>
            <w:r>
              <w:rPr>
                <w:rFonts w:ascii="宋体" w:hAnsi="宋体"/>
                <w:b/>
              </w:rPr>
              <w:t>对应的毕业要求指标点</w:t>
            </w:r>
          </w:p>
        </w:tc>
      </w:tr>
      <w:tr w14:paraId="725A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restart"/>
            <w:noWrap w:val="0"/>
            <w:tcMar>
              <w:left w:w="57" w:type="dxa"/>
              <w:right w:w="57" w:type="dxa"/>
            </w:tcMar>
            <w:vAlign w:val="center"/>
          </w:tcPr>
          <w:p w14:paraId="00921680">
            <w:pPr>
              <w:pStyle w:val="40"/>
              <w:jc w:val="center"/>
              <w:rPr>
                <w:rFonts w:eastAsia="宋体"/>
              </w:rPr>
            </w:pPr>
            <w:r>
              <w:rPr>
                <w:rFonts w:eastAsia="宋体"/>
              </w:rPr>
              <w:t>平时成绩</w:t>
            </w:r>
          </w:p>
        </w:tc>
        <w:tc>
          <w:tcPr>
            <w:tcW w:w="1134" w:type="dxa"/>
            <w:noWrap w:val="0"/>
            <w:vAlign w:val="center"/>
          </w:tcPr>
          <w:p w14:paraId="23AA0711">
            <w:pPr>
              <w:pStyle w:val="40"/>
              <w:jc w:val="center"/>
              <w:rPr>
                <w:rFonts w:eastAsia="宋体"/>
              </w:rPr>
            </w:pPr>
            <w:r>
              <w:rPr>
                <w:rFonts w:hint="eastAsia" w:eastAsia="宋体"/>
              </w:rPr>
              <w:t>作业+考勤</w:t>
            </w:r>
          </w:p>
        </w:tc>
        <w:tc>
          <w:tcPr>
            <w:tcW w:w="709" w:type="dxa"/>
            <w:noWrap w:val="0"/>
            <w:vAlign w:val="center"/>
          </w:tcPr>
          <w:p w14:paraId="50512121">
            <w:pPr>
              <w:pStyle w:val="40"/>
              <w:jc w:val="center"/>
              <w:rPr>
                <w:rFonts w:eastAsia="宋体"/>
              </w:rPr>
            </w:pPr>
            <w:r>
              <w:rPr>
                <w:rFonts w:hint="eastAsia" w:eastAsia="宋体"/>
              </w:rPr>
              <w:t>20</w:t>
            </w:r>
            <w:r>
              <w:rPr>
                <w:rFonts w:eastAsia="宋体"/>
              </w:rPr>
              <w:t>%</w:t>
            </w:r>
          </w:p>
        </w:tc>
        <w:tc>
          <w:tcPr>
            <w:tcW w:w="2693" w:type="dxa"/>
            <w:noWrap w:val="0"/>
            <w:vAlign w:val="center"/>
          </w:tcPr>
          <w:p w14:paraId="41C86EC8">
            <w:pPr>
              <w:pStyle w:val="40"/>
              <w:rPr>
                <w:rFonts w:eastAsia="宋体"/>
                <w:szCs w:val="21"/>
              </w:rPr>
            </w:pPr>
            <w:r>
              <w:rPr>
                <w:rFonts w:hint="eastAsia" w:eastAsia="宋体"/>
                <w:szCs w:val="21"/>
              </w:rPr>
              <w:t>平时总评=作业平均—考勤扣分，旷课1次扣5分，事假一次扣2分，迟到1次扣1分，病假不扣分（但病假次数达本学期总授课学时的1/3以上者不得参加考核）。</w:t>
            </w:r>
          </w:p>
        </w:tc>
        <w:tc>
          <w:tcPr>
            <w:tcW w:w="1276" w:type="dxa"/>
            <w:noWrap w:val="0"/>
            <w:vAlign w:val="center"/>
          </w:tcPr>
          <w:p w14:paraId="7CA36A8C">
            <w:pPr>
              <w:jc w:val="center"/>
              <w:rPr>
                <w:rFonts w:ascii="宋体" w:hAnsi="宋体"/>
              </w:rPr>
            </w:pPr>
            <w:r>
              <w:rPr>
                <w:rFonts w:hint="eastAsia" w:ascii="宋体" w:hAnsi="宋体"/>
              </w:rPr>
              <w:t>课程目标1</w:t>
            </w:r>
            <w:r>
              <w:rPr>
                <w:rFonts w:ascii="宋体" w:hAnsi="宋体"/>
              </w:rPr>
              <w:t>课程目标</w:t>
            </w:r>
            <w:r>
              <w:rPr>
                <w:rFonts w:hint="eastAsia" w:ascii="宋体" w:hAnsi="宋体"/>
              </w:rPr>
              <w:t>2</w:t>
            </w:r>
          </w:p>
          <w:p w14:paraId="72FCE87A">
            <w:pPr>
              <w:jc w:val="center"/>
              <w:rPr>
                <w:rFonts w:hint="eastAsia" w:ascii="宋体" w:hAnsi="宋体"/>
              </w:rPr>
            </w:pPr>
            <w:r>
              <w:rPr>
                <w:rFonts w:hint="eastAsia" w:ascii="宋体" w:hAnsi="宋体"/>
              </w:rPr>
              <w:t>课程目标</w:t>
            </w:r>
            <w:r>
              <w:rPr>
                <w:rFonts w:ascii="宋体" w:hAnsi="宋体"/>
              </w:rPr>
              <w:t>3</w:t>
            </w:r>
          </w:p>
        </w:tc>
        <w:tc>
          <w:tcPr>
            <w:tcW w:w="1276" w:type="dxa"/>
            <w:noWrap w:val="0"/>
            <w:vAlign w:val="center"/>
          </w:tcPr>
          <w:p w14:paraId="17045D25">
            <w:pPr>
              <w:jc w:val="center"/>
              <w:rPr>
                <w:rFonts w:hint="eastAsia" w:ascii="宋体" w:hAnsi="宋体" w:cs="宋体"/>
                <w:kern w:val="0"/>
                <w:szCs w:val="21"/>
              </w:rPr>
            </w:pPr>
            <w:r>
              <w:rPr>
                <w:rFonts w:hint="eastAsia" w:ascii="宋体" w:hAnsi="宋体"/>
              </w:rPr>
              <w:t>小学数学</w:t>
            </w:r>
            <w:r>
              <w:rPr>
                <w:rFonts w:ascii="宋体" w:hAnsi="宋体"/>
              </w:rPr>
              <w:t>教学案例研究的目的、过程、方法</w:t>
            </w:r>
            <w:r>
              <w:rPr>
                <w:rFonts w:hint="eastAsia" w:ascii="宋体" w:hAnsi="宋体"/>
              </w:rPr>
              <w:t>，小学</w:t>
            </w:r>
            <w:r>
              <w:rPr>
                <w:rFonts w:ascii="宋体" w:hAnsi="宋体"/>
              </w:rPr>
              <w:t>数学教学设计</w:t>
            </w:r>
          </w:p>
        </w:tc>
        <w:tc>
          <w:tcPr>
            <w:tcW w:w="1276" w:type="dxa"/>
            <w:noWrap w:val="0"/>
            <w:vAlign w:val="center"/>
          </w:tcPr>
          <w:p w14:paraId="0AD547AF">
            <w:pPr>
              <w:jc w:val="center"/>
              <w:rPr>
                <w:rFonts w:ascii="宋体" w:hAnsi="宋体"/>
                <w:szCs w:val="21"/>
              </w:rPr>
            </w:pPr>
            <w:r>
              <w:rPr>
                <w:rFonts w:ascii="宋体" w:hAnsi="宋体"/>
                <w:szCs w:val="21"/>
              </w:rPr>
              <w:t xml:space="preserve"> </w:t>
            </w:r>
            <w:r>
              <w:rPr>
                <w:rFonts w:hint="eastAsia" w:ascii="宋体" w:hAnsi="宋体"/>
                <w:szCs w:val="21"/>
              </w:rPr>
              <w:t>3</w:t>
            </w:r>
            <w:r>
              <w:rPr>
                <w:rFonts w:ascii="宋体" w:hAnsi="宋体"/>
                <w:szCs w:val="21"/>
              </w:rPr>
              <w:t>-2</w:t>
            </w:r>
            <w:r>
              <w:rPr>
                <w:rFonts w:hint="eastAsia" w:ascii="宋体" w:hAnsi="宋体"/>
                <w:szCs w:val="21"/>
              </w:rPr>
              <w:t>、4-</w:t>
            </w:r>
            <w:r>
              <w:rPr>
                <w:rFonts w:ascii="宋体" w:hAnsi="宋体"/>
                <w:szCs w:val="21"/>
              </w:rPr>
              <w:t>1</w:t>
            </w:r>
            <w:r>
              <w:rPr>
                <w:rFonts w:hint="eastAsia" w:ascii="宋体" w:hAnsi="宋体"/>
                <w:szCs w:val="21"/>
              </w:rPr>
              <w:t>、</w:t>
            </w:r>
          </w:p>
          <w:p w14:paraId="4F416D45">
            <w:pPr>
              <w:jc w:val="center"/>
              <w:rPr>
                <w:rFonts w:ascii="宋体" w:hAnsi="宋体"/>
              </w:rPr>
            </w:pPr>
            <w:r>
              <w:rPr>
                <w:rFonts w:ascii="宋体" w:hAnsi="宋体"/>
                <w:szCs w:val="21"/>
              </w:rPr>
              <w:t>4-2</w:t>
            </w:r>
            <w:r>
              <w:rPr>
                <w:rFonts w:hint="eastAsia" w:ascii="宋体" w:hAnsi="宋体"/>
                <w:szCs w:val="21"/>
              </w:rPr>
              <w:t>、</w:t>
            </w:r>
            <w:r>
              <w:rPr>
                <w:rFonts w:ascii="宋体" w:hAnsi="宋体"/>
                <w:szCs w:val="21"/>
              </w:rPr>
              <w:t>6</w:t>
            </w:r>
            <w:r>
              <w:rPr>
                <w:rFonts w:hint="eastAsia" w:ascii="宋体" w:hAnsi="宋体"/>
                <w:szCs w:val="21"/>
              </w:rPr>
              <w:t>-</w:t>
            </w:r>
            <w:r>
              <w:rPr>
                <w:rFonts w:ascii="宋体" w:hAnsi="宋体"/>
                <w:szCs w:val="21"/>
              </w:rPr>
              <w:t>2</w:t>
            </w:r>
          </w:p>
        </w:tc>
      </w:tr>
      <w:tr w14:paraId="5D14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624" w:type="dxa"/>
            <w:vMerge w:val="continue"/>
            <w:noWrap w:val="0"/>
            <w:tcMar>
              <w:left w:w="57" w:type="dxa"/>
              <w:right w:w="57" w:type="dxa"/>
            </w:tcMar>
            <w:vAlign w:val="center"/>
          </w:tcPr>
          <w:p w14:paraId="59FB6A56">
            <w:pPr>
              <w:pStyle w:val="40"/>
              <w:jc w:val="center"/>
              <w:rPr>
                <w:rFonts w:eastAsia="宋体"/>
              </w:rPr>
            </w:pPr>
          </w:p>
        </w:tc>
        <w:tc>
          <w:tcPr>
            <w:tcW w:w="1134" w:type="dxa"/>
            <w:noWrap w:val="0"/>
            <w:vAlign w:val="center"/>
          </w:tcPr>
          <w:p w14:paraId="130A5339">
            <w:pPr>
              <w:pStyle w:val="40"/>
              <w:jc w:val="center"/>
              <w:rPr>
                <w:rFonts w:hint="eastAsia" w:eastAsia="宋体"/>
              </w:rPr>
            </w:pPr>
            <w:r>
              <w:rPr>
                <w:rFonts w:hint="eastAsia" w:eastAsia="宋体"/>
              </w:rPr>
              <w:t>课堂</w:t>
            </w:r>
            <w:r>
              <w:rPr>
                <w:rFonts w:eastAsia="宋体"/>
              </w:rPr>
              <w:t>互动</w:t>
            </w:r>
          </w:p>
        </w:tc>
        <w:tc>
          <w:tcPr>
            <w:tcW w:w="709" w:type="dxa"/>
            <w:noWrap w:val="0"/>
            <w:vAlign w:val="center"/>
          </w:tcPr>
          <w:p w14:paraId="1BE7742C">
            <w:pPr>
              <w:pStyle w:val="40"/>
              <w:jc w:val="center"/>
              <w:rPr>
                <w:rFonts w:hint="eastAsia" w:eastAsia="宋体"/>
              </w:rPr>
            </w:pPr>
            <w:r>
              <w:rPr>
                <w:rFonts w:hint="eastAsia" w:eastAsia="宋体"/>
              </w:rPr>
              <w:t>10%</w:t>
            </w:r>
          </w:p>
        </w:tc>
        <w:tc>
          <w:tcPr>
            <w:tcW w:w="2693" w:type="dxa"/>
            <w:noWrap w:val="0"/>
            <w:vAlign w:val="center"/>
          </w:tcPr>
          <w:p w14:paraId="6BE79077">
            <w:pPr>
              <w:pStyle w:val="40"/>
              <w:rPr>
                <w:rFonts w:hint="eastAsia" w:eastAsia="宋体"/>
                <w:szCs w:val="21"/>
              </w:rPr>
            </w:pPr>
            <w:r>
              <w:rPr>
                <w:rFonts w:hint="eastAsia" w:eastAsia="宋体"/>
                <w:szCs w:val="21"/>
              </w:rPr>
              <w:t>包括</w:t>
            </w:r>
            <w:r>
              <w:rPr>
                <w:rFonts w:eastAsia="宋体"/>
                <w:szCs w:val="21"/>
              </w:rPr>
              <w:t>线上线下的</w:t>
            </w:r>
            <w:r>
              <w:rPr>
                <w:rFonts w:hint="eastAsia" w:eastAsia="宋体"/>
                <w:szCs w:val="21"/>
              </w:rPr>
              <w:t>课堂交流</w:t>
            </w:r>
            <w:r>
              <w:rPr>
                <w:rFonts w:eastAsia="宋体"/>
                <w:szCs w:val="21"/>
              </w:rPr>
              <w:t>活动</w:t>
            </w:r>
          </w:p>
        </w:tc>
        <w:tc>
          <w:tcPr>
            <w:tcW w:w="1276" w:type="dxa"/>
            <w:noWrap w:val="0"/>
            <w:vAlign w:val="center"/>
          </w:tcPr>
          <w:p w14:paraId="2A713A3C">
            <w:pPr>
              <w:jc w:val="center"/>
              <w:rPr>
                <w:rFonts w:hint="eastAsia" w:ascii="宋体" w:hAnsi="宋体"/>
              </w:rPr>
            </w:pPr>
            <w:r>
              <w:rPr>
                <w:rFonts w:hint="eastAsia" w:ascii="宋体" w:hAnsi="宋体"/>
              </w:rPr>
              <w:t>课程目标1课程目标2</w:t>
            </w:r>
          </w:p>
          <w:p w14:paraId="3ED65955">
            <w:pPr>
              <w:jc w:val="center"/>
              <w:rPr>
                <w:rFonts w:hint="eastAsia" w:ascii="宋体" w:hAnsi="宋体"/>
              </w:rPr>
            </w:pPr>
            <w:r>
              <w:rPr>
                <w:rFonts w:hint="eastAsia" w:ascii="宋体" w:hAnsi="宋体"/>
              </w:rPr>
              <w:t>课程目标3</w:t>
            </w:r>
          </w:p>
          <w:p w14:paraId="11F56D33">
            <w:pPr>
              <w:jc w:val="center"/>
              <w:rPr>
                <w:rFonts w:hint="eastAsia" w:ascii="宋体" w:hAnsi="宋体"/>
              </w:rPr>
            </w:pPr>
            <w:r>
              <w:rPr>
                <w:rFonts w:hint="eastAsia" w:ascii="宋体" w:hAnsi="宋体"/>
              </w:rPr>
              <w:t>课程目标4</w:t>
            </w:r>
          </w:p>
        </w:tc>
        <w:tc>
          <w:tcPr>
            <w:tcW w:w="1276" w:type="dxa"/>
            <w:noWrap w:val="0"/>
            <w:vAlign w:val="center"/>
          </w:tcPr>
          <w:p w14:paraId="1A62B662">
            <w:pPr>
              <w:jc w:val="center"/>
              <w:rPr>
                <w:rFonts w:hint="eastAsia" w:ascii="宋体" w:hAnsi="宋体"/>
              </w:rPr>
            </w:pPr>
            <w:r>
              <w:rPr>
                <w:rFonts w:hint="eastAsia" w:ascii="宋体" w:hAnsi="宋体"/>
              </w:rPr>
              <w:t>课堂</w:t>
            </w:r>
            <w:r>
              <w:rPr>
                <w:rFonts w:ascii="宋体" w:hAnsi="宋体"/>
              </w:rPr>
              <w:t>沟通、教学实践</w:t>
            </w:r>
          </w:p>
        </w:tc>
        <w:tc>
          <w:tcPr>
            <w:tcW w:w="1276" w:type="dxa"/>
            <w:noWrap w:val="0"/>
            <w:vAlign w:val="center"/>
          </w:tcPr>
          <w:p w14:paraId="25AEA3C4">
            <w:pPr>
              <w:jc w:val="center"/>
              <w:rPr>
                <w:rFonts w:hint="eastAsia" w:ascii="宋体" w:hAnsi="宋体"/>
                <w:szCs w:val="21"/>
              </w:rPr>
            </w:pPr>
            <w:r>
              <w:rPr>
                <w:rFonts w:hint="eastAsia" w:ascii="宋体" w:hAnsi="宋体"/>
                <w:szCs w:val="21"/>
              </w:rPr>
              <w:t>3-</w:t>
            </w:r>
            <w:r>
              <w:rPr>
                <w:rFonts w:ascii="宋体" w:hAnsi="宋体"/>
                <w:szCs w:val="21"/>
              </w:rPr>
              <w:t>2</w:t>
            </w:r>
            <w:r>
              <w:rPr>
                <w:rFonts w:hint="eastAsia" w:ascii="宋体" w:hAnsi="宋体"/>
                <w:szCs w:val="21"/>
              </w:rPr>
              <w:t>、4-1、</w:t>
            </w:r>
          </w:p>
          <w:p w14:paraId="55E347FA">
            <w:pPr>
              <w:jc w:val="center"/>
              <w:rPr>
                <w:rFonts w:ascii="宋体" w:hAnsi="宋体"/>
                <w:szCs w:val="21"/>
              </w:rPr>
            </w:pPr>
            <w:r>
              <w:rPr>
                <w:rFonts w:hint="eastAsia" w:ascii="宋体" w:hAnsi="宋体"/>
                <w:szCs w:val="21"/>
              </w:rPr>
              <w:t>4-2、6-2、</w:t>
            </w:r>
            <w:r>
              <w:rPr>
                <w:rFonts w:ascii="宋体" w:hAnsi="宋体"/>
                <w:szCs w:val="21"/>
              </w:rPr>
              <w:t>8</w:t>
            </w:r>
            <w:r>
              <w:rPr>
                <w:rFonts w:hint="eastAsia" w:ascii="宋体" w:hAnsi="宋体"/>
                <w:szCs w:val="21"/>
              </w:rPr>
              <w:t>-1</w:t>
            </w:r>
          </w:p>
        </w:tc>
      </w:tr>
      <w:tr w14:paraId="7E22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624" w:type="dxa"/>
            <w:noWrap w:val="0"/>
            <w:tcMar>
              <w:left w:w="57" w:type="dxa"/>
              <w:right w:w="57" w:type="dxa"/>
            </w:tcMar>
            <w:vAlign w:val="center"/>
          </w:tcPr>
          <w:p w14:paraId="1D8349AF">
            <w:pPr>
              <w:pStyle w:val="40"/>
              <w:jc w:val="center"/>
              <w:rPr>
                <w:rFonts w:eastAsia="宋体"/>
              </w:rPr>
            </w:pPr>
            <w:r>
              <w:rPr>
                <w:rFonts w:hint="eastAsia" w:eastAsia="宋体"/>
              </w:rPr>
              <w:t>课内实践</w:t>
            </w:r>
            <w:r>
              <w:rPr>
                <w:rFonts w:eastAsia="宋体"/>
              </w:rPr>
              <w:t>成绩</w:t>
            </w:r>
          </w:p>
        </w:tc>
        <w:tc>
          <w:tcPr>
            <w:tcW w:w="1134" w:type="dxa"/>
            <w:noWrap w:val="0"/>
            <w:vAlign w:val="center"/>
          </w:tcPr>
          <w:p w14:paraId="131614D6">
            <w:pPr>
              <w:pStyle w:val="40"/>
              <w:jc w:val="center"/>
              <w:rPr>
                <w:rFonts w:hint="eastAsia" w:eastAsia="宋体"/>
              </w:rPr>
            </w:pPr>
            <w:r>
              <w:rPr>
                <w:rFonts w:hint="eastAsia" w:eastAsia="宋体"/>
              </w:rPr>
              <w:t>方案评价+现场</w:t>
            </w:r>
            <w:r>
              <w:rPr>
                <w:rFonts w:eastAsia="宋体"/>
              </w:rPr>
              <w:t>考核</w:t>
            </w:r>
          </w:p>
        </w:tc>
        <w:tc>
          <w:tcPr>
            <w:tcW w:w="709" w:type="dxa"/>
            <w:noWrap w:val="0"/>
            <w:vAlign w:val="center"/>
          </w:tcPr>
          <w:p w14:paraId="1452A19B">
            <w:pPr>
              <w:pStyle w:val="40"/>
              <w:jc w:val="center"/>
              <w:rPr>
                <w:rFonts w:eastAsia="宋体"/>
              </w:rPr>
            </w:pPr>
            <w:r>
              <w:rPr>
                <w:rFonts w:hint="eastAsia" w:eastAsia="宋体"/>
              </w:rPr>
              <w:t>20</w:t>
            </w:r>
            <w:r>
              <w:rPr>
                <w:rFonts w:eastAsia="宋体"/>
              </w:rPr>
              <w:t>%</w:t>
            </w:r>
          </w:p>
        </w:tc>
        <w:tc>
          <w:tcPr>
            <w:tcW w:w="2693" w:type="dxa"/>
            <w:noWrap w:val="0"/>
            <w:vAlign w:val="center"/>
          </w:tcPr>
          <w:p w14:paraId="06987616">
            <w:pPr>
              <w:pStyle w:val="40"/>
              <w:rPr>
                <w:rFonts w:eastAsia="宋体"/>
                <w:szCs w:val="21"/>
              </w:rPr>
            </w:pPr>
            <w:r>
              <w:rPr>
                <w:rFonts w:hint="eastAsia" w:eastAsia="宋体"/>
                <w:szCs w:val="21"/>
              </w:rPr>
              <w:t>认真完成</w:t>
            </w:r>
            <w:r>
              <w:rPr>
                <w:rFonts w:eastAsia="宋体"/>
                <w:szCs w:val="21"/>
              </w:rPr>
              <w:t>4</w:t>
            </w:r>
            <w:r>
              <w:rPr>
                <w:rFonts w:hint="eastAsia" w:eastAsia="宋体"/>
                <w:szCs w:val="21"/>
              </w:rPr>
              <w:t>个项目的课内实践，提交相应的案例分析</w:t>
            </w:r>
            <w:r>
              <w:rPr>
                <w:rFonts w:eastAsia="宋体"/>
                <w:szCs w:val="21"/>
              </w:rPr>
              <w:t>报告和教学方案</w:t>
            </w:r>
            <w:r>
              <w:rPr>
                <w:rFonts w:hint="eastAsia" w:eastAsia="宋体"/>
                <w:szCs w:val="21"/>
              </w:rPr>
              <w:t>，并</w:t>
            </w:r>
            <w:r>
              <w:rPr>
                <w:rFonts w:eastAsia="宋体"/>
                <w:szCs w:val="21"/>
              </w:rPr>
              <w:t>尝试进行模拟教学；</w:t>
            </w:r>
            <w:r>
              <w:rPr>
                <w:rFonts w:hint="eastAsia" w:eastAsia="宋体"/>
                <w:szCs w:val="21"/>
              </w:rPr>
              <w:t>实行组内互评与教师评价相结合的方式。</w:t>
            </w:r>
            <w:r>
              <w:rPr>
                <w:rFonts w:eastAsia="宋体"/>
                <w:szCs w:val="21"/>
              </w:rPr>
              <w:t>4</w:t>
            </w:r>
            <w:r>
              <w:rPr>
                <w:rFonts w:hint="eastAsia" w:eastAsia="宋体"/>
                <w:szCs w:val="21"/>
              </w:rPr>
              <w:t>个项目成绩取平均分作为课内实践分。</w:t>
            </w:r>
          </w:p>
        </w:tc>
        <w:tc>
          <w:tcPr>
            <w:tcW w:w="1276" w:type="dxa"/>
            <w:noWrap w:val="0"/>
            <w:vAlign w:val="center"/>
          </w:tcPr>
          <w:p w14:paraId="0A70123B">
            <w:pPr>
              <w:jc w:val="center"/>
              <w:rPr>
                <w:rFonts w:ascii="宋体" w:hAnsi="宋体"/>
              </w:rPr>
            </w:pPr>
            <w:r>
              <w:rPr>
                <w:rFonts w:ascii="宋体" w:hAnsi="宋体"/>
              </w:rPr>
              <w:t>课程目标1</w:t>
            </w:r>
          </w:p>
          <w:p w14:paraId="1B25CAEC">
            <w:pPr>
              <w:jc w:val="center"/>
              <w:rPr>
                <w:rFonts w:ascii="宋体" w:hAnsi="宋体"/>
              </w:rPr>
            </w:pPr>
            <w:r>
              <w:rPr>
                <w:rFonts w:hint="eastAsia" w:ascii="宋体" w:hAnsi="宋体"/>
              </w:rPr>
              <w:t>课程目标</w:t>
            </w:r>
            <w:r>
              <w:rPr>
                <w:rFonts w:ascii="宋体" w:hAnsi="宋体"/>
              </w:rPr>
              <w:t>2课程目标3</w:t>
            </w:r>
          </w:p>
          <w:p w14:paraId="4879371A">
            <w:pPr>
              <w:jc w:val="center"/>
              <w:rPr>
                <w:rFonts w:hint="eastAsia" w:ascii="宋体" w:hAnsi="宋体"/>
                <w:kern w:val="0"/>
                <w:sz w:val="24"/>
                <w:szCs w:val="22"/>
              </w:rPr>
            </w:pPr>
            <w:r>
              <w:rPr>
                <w:rFonts w:hint="eastAsia" w:ascii="宋体" w:hAnsi="宋体"/>
              </w:rPr>
              <w:t>课程</w:t>
            </w:r>
            <w:r>
              <w:rPr>
                <w:rFonts w:ascii="宋体" w:hAnsi="宋体"/>
              </w:rPr>
              <w:t>目标4</w:t>
            </w:r>
          </w:p>
        </w:tc>
        <w:tc>
          <w:tcPr>
            <w:tcW w:w="1276" w:type="dxa"/>
            <w:noWrap w:val="0"/>
            <w:vAlign w:val="center"/>
          </w:tcPr>
          <w:p w14:paraId="22E39A25">
            <w:pPr>
              <w:jc w:val="center"/>
              <w:rPr>
                <w:rFonts w:hint="eastAsia"/>
              </w:rPr>
            </w:pPr>
            <w:r>
              <w:rPr>
                <w:rFonts w:hint="eastAsia"/>
              </w:rPr>
              <w:t>小学数学教学案例研究的目的、过程、方法，小学数学教学设计与</w:t>
            </w:r>
            <w:r>
              <w:t>实施</w:t>
            </w:r>
          </w:p>
        </w:tc>
        <w:tc>
          <w:tcPr>
            <w:tcW w:w="1276" w:type="dxa"/>
            <w:noWrap w:val="0"/>
            <w:vAlign w:val="center"/>
          </w:tcPr>
          <w:p w14:paraId="02ED72B8">
            <w:pPr>
              <w:jc w:val="center"/>
              <w:rPr>
                <w:rFonts w:hint="eastAsia" w:ascii="宋体" w:hAnsi="宋体"/>
                <w:szCs w:val="21"/>
              </w:rPr>
            </w:pPr>
            <w:r>
              <w:rPr>
                <w:rFonts w:hint="eastAsia" w:ascii="宋体" w:hAnsi="宋体"/>
                <w:szCs w:val="21"/>
              </w:rPr>
              <w:t>3-2、4-1、</w:t>
            </w:r>
          </w:p>
          <w:p w14:paraId="41B1460A">
            <w:pPr>
              <w:jc w:val="center"/>
              <w:rPr>
                <w:rFonts w:ascii="宋体" w:hAnsi="宋体"/>
                <w:kern w:val="0"/>
                <w:sz w:val="24"/>
                <w:szCs w:val="22"/>
              </w:rPr>
            </w:pPr>
            <w:r>
              <w:rPr>
                <w:rFonts w:hint="eastAsia" w:ascii="宋体" w:hAnsi="宋体"/>
                <w:szCs w:val="21"/>
              </w:rPr>
              <w:t>4-2、8</w:t>
            </w:r>
            <w:r>
              <w:rPr>
                <w:rFonts w:ascii="宋体" w:hAnsi="宋体"/>
                <w:szCs w:val="21"/>
              </w:rPr>
              <w:t>-1</w:t>
            </w:r>
          </w:p>
        </w:tc>
      </w:tr>
      <w:tr w14:paraId="1F05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624" w:type="dxa"/>
            <w:noWrap w:val="0"/>
            <w:tcMar>
              <w:left w:w="57" w:type="dxa"/>
              <w:right w:w="57" w:type="dxa"/>
            </w:tcMar>
            <w:vAlign w:val="center"/>
          </w:tcPr>
          <w:p w14:paraId="0CFEB9B1">
            <w:pPr>
              <w:pStyle w:val="40"/>
              <w:jc w:val="center"/>
              <w:rPr>
                <w:rFonts w:eastAsia="宋体"/>
              </w:rPr>
            </w:pPr>
            <w:r>
              <w:rPr>
                <w:rFonts w:eastAsia="宋体"/>
              </w:rPr>
              <w:t>期末考试</w:t>
            </w:r>
            <w:r>
              <w:rPr>
                <w:rFonts w:hint="eastAsia" w:eastAsia="宋体"/>
              </w:rPr>
              <w:t>成绩</w:t>
            </w:r>
          </w:p>
        </w:tc>
        <w:tc>
          <w:tcPr>
            <w:tcW w:w="1134" w:type="dxa"/>
            <w:noWrap w:val="0"/>
            <w:vAlign w:val="center"/>
          </w:tcPr>
          <w:p w14:paraId="067F9EB9">
            <w:pPr>
              <w:pStyle w:val="40"/>
              <w:jc w:val="center"/>
              <w:rPr>
                <w:rFonts w:eastAsia="宋体"/>
              </w:rPr>
            </w:pPr>
            <w:r>
              <w:rPr>
                <w:rFonts w:hint="eastAsia" w:eastAsia="宋体"/>
              </w:rPr>
              <w:t>开卷笔试</w:t>
            </w:r>
          </w:p>
        </w:tc>
        <w:tc>
          <w:tcPr>
            <w:tcW w:w="709" w:type="dxa"/>
            <w:noWrap w:val="0"/>
            <w:vAlign w:val="center"/>
          </w:tcPr>
          <w:p w14:paraId="793A2179">
            <w:pPr>
              <w:pStyle w:val="40"/>
              <w:jc w:val="center"/>
              <w:rPr>
                <w:rFonts w:eastAsia="宋体"/>
              </w:rPr>
            </w:pPr>
            <w:r>
              <w:rPr>
                <w:rFonts w:eastAsia="宋体"/>
              </w:rPr>
              <w:t>5</w:t>
            </w:r>
            <w:r>
              <w:rPr>
                <w:rFonts w:hint="eastAsia" w:eastAsia="宋体"/>
              </w:rPr>
              <w:t xml:space="preserve">0 </w:t>
            </w:r>
            <w:r>
              <w:rPr>
                <w:rFonts w:eastAsia="宋体"/>
              </w:rPr>
              <w:t>%</w:t>
            </w:r>
          </w:p>
        </w:tc>
        <w:tc>
          <w:tcPr>
            <w:tcW w:w="2693" w:type="dxa"/>
            <w:noWrap w:val="0"/>
            <w:vAlign w:val="center"/>
          </w:tcPr>
          <w:p w14:paraId="67FF885F">
            <w:pPr>
              <w:pStyle w:val="40"/>
              <w:rPr>
                <w:rFonts w:eastAsia="宋体"/>
                <w:szCs w:val="21"/>
              </w:rPr>
            </w:pPr>
            <w:r>
              <w:rPr>
                <w:rFonts w:hint="eastAsia" w:eastAsia="宋体"/>
                <w:szCs w:val="21"/>
              </w:rPr>
              <w:t>试卷题型包括简答题、分析题、设计题等题型，重点考核师范生运用小学数学教学理论知识分析问题、解决问题的能力。</w:t>
            </w:r>
          </w:p>
        </w:tc>
        <w:tc>
          <w:tcPr>
            <w:tcW w:w="1276" w:type="dxa"/>
            <w:noWrap w:val="0"/>
            <w:vAlign w:val="center"/>
          </w:tcPr>
          <w:p w14:paraId="20B218E3">
            <w:pPr>
              <w:jc w:val="center"/>
              <w:rPr>
                <w:rFonts w:ascii="宋体" w:hAnsi="宋体"/>
              </w:rPr>
            </w:pPr>
            <w:r>
              <w:rPr>
                <w:rFonts w:ascii="宋体" w:hAnsi="宋体"/>
              </w:rPr>
              <w:t>课程目标</w:t>
            </w:r>
            <w:r>
              <w:rPr>
                <w:rFonts w:hint="eastAsia" w:ascii="宋体" w:hAnsi="宋体"/>
              </w:rPr>
              <w:t>1</w:t>
            </w:r>
          </w:p>
          <w:p w14:paraId="605CD958">
            <w:pPr>
              <w:jc w:val="center"/>
              <w:rPr>
                <w:rFonts w:hint="eastAsia" w:ascii="宋体" w:hAnsi="宋体"/>
              </w:rPr>
            </w:pPr>
            <w:r>
              <w:rPr>
                <w:rFonts w:hint="eastAsia" w:ascii="宋体" w:hAnsi="宋体"/>
              </w:rPr>
              <w:t>课程目标</w:t>
            </w:r>
            <w:r>
              <w:rPr>
                <w:rFonts w:ascii="宋体" w:hAnsi="宋体"/>
              </w:rPr>
              <w:t>2课程目标3</w:t>
            </w:r>
          </w:p>
        </w:tc>
        <w:tc>
          <w:tcPr>
            <w:tcW w:w="1276" w:type="dxa"/>
            <w:noWrap w:val="0"/>
            <w:vAlign w:val="center"/>
          </w:tcPr>
          <w:p w14:paraId="64C38015">
            <w:pPr>
              <w:jc w:val="center"/>
            </w:pPr>
            <w:r>
              <w:rPr>
                <w:rFonts w:hint="eastAsia"/>
              </w:rPr>
              <w:t>小学数学教学案例研究的目的、过程、方法，小学数学教学设计</w:t>
            </w:r>
          </w:p>
        </w:tc>
        <w:tc>
          <w:tcPr>
            <w:tcW w:w="1276" w:type="dxa"/>
            <w:noWrap w:val="0"/>
            <w:vAlign w:val="center"/>
          </w:tcPr>
          <w:p w14:paraId="7CC34E1F">
            <w:pPr>
              <w:rPr>
                <w:rFonts w:hint="eastAsia" w:ascii="宋体" w:hAnsi="宋体"/>
                <w:szCs w:val="21"/>
              </w:rPr>
            </w:pPr>
            <w:r>
              <w:rPr>
                <w:rFonts w:hint="eastAsia" w:ascii="宋体" w:hAnsi="宋体"/>
                <w:szCs w:val="21"/>
              </w:rPr>
              <w:t>3-2、4-1、</w:t>
            </w:r>
          </w:p>
          <w:p w14:paraId="2AB8BBE7">
            <w:pPr>
              <w:rPr>
                <w:rFonts w:ascii="宋体" w:hAnsi="宋体"/>
                <w:szCs w:val="21"/>
              </w:rPr>
            </w:pPr>
            <w:r>
              <w:rPr>
                <w:rFonts w:hint="eastAsia" w:ascii="宋体" w:hAnsi="宋体"/>
                <w:szCs w:val="21"/>
              </w:rPr>
              <w:t>4-2、</w:t>
            </w:r>
            <w:r>
              <w:rPr>
                <w:rFonts w:ascii="宋体" w:hAnsi="宋体"/>
                <w:szCs w:val="21"/>
              </w:rPr>
              <w:t>6-2</w:t>
            </w:r>
            <w:r>
              <w:rPr>
                <w:rFonts w:hint="eastAsia" w:ascii="宋体" w:hAnsi="宋体"/>
                <w:szCs w:val="21"/>
              </w:rPr>
              <w:t>、8-1</w:t>
            </w:r>
          </w:p>
        </w:tc>
      </w:tr>
    </w:tbl>
    <w:p w14:paraId="2A5BBE82">
      <w:pPr>
        <w:spacing w:line="360" w:lineRule="auto"/>
        <w:rPr>
          <w:rFonts w:ascii="宋体" w:hAnsi="宋体"/>
          <w:sz w:val="24"/>
          <w:szCs w:val="22"/>
        </w:rPr>
      </w:pPr>
      <w:r>
        <w:rPr>
          <w:rFonts w:hint="eastAsia" w:ascii="宋体" w:hAnsi="宋体"/>
          <w:sz w:val="24"/>
          <w:szCs w:val="22"/>
        </w:rPr>
        <w:t xml:space="preserve">    </w:t>
      </w:r>
    </w:p>
    <w:p w14:paraId="0342004C">
      <w:pPr>
        <w:spacing w:line="360" w:lineRule="auto"/>
        <w:rPr>
          <w:rFonts w:ascii="宋体" w:hAnsi="宋体"/>
          <w:sz w:val="24"/>
          <w:szCs w:val="22"/>
        </w:rPr>
      </w:pPr>
    </w:p>
    <w:p w14:paraId="23114AEC">
      <w:pPr>
        <w:spacing w:line="360" w:lineRule="auto"/>
        <w:rPr>
          <w:rFonts w:ascii="宋体" w:hAnsi="宋体"/>
          <w:sz w:val="24"/>
          <w:szCs w:val="22"/>
        </w:rPr>
      </w:pPr>
    </w:p>
    <w:p w14:paraId="62AF4361">
      <w:pPr>
        <w:spacing w:line="360" w:lineRule="auto"/>
        <w:rPr>
          <w:rFonts w:hint="eastAsia" w:ascii="宋体" w:hAnsi="宋体"/>
          <w:sz w:val="24"/>
          <w:szCs w:val="22"/>
        </w:rPr>
      </w:pPr>
    </w:p>
    <w:p w14:paraId="194671D0">
      <w:pPr>
        <w:spacing w:line="360" w:lineRule="auto"/>
        <w:rPr>
          <w:rFonts w:hint="eastAsia" w:ascii="宋体" w:hAnsi="宋体"/>
          <w:sz w:val="24"/>
          <w:szCs w:val="22"/>
        </w:rPr>
      </w:pPr>
      <w:r>
        <w:rPr>
          <w:rFonts w:ascii="宋体" w:hAnsi="宋体"/>
          <w:sz w:val="24"/>
          <w:szCs w:val="22"/>
        </w:rPr>
        <w:t>（三）</w:t>
      </w:r>
      <w:r>
        <w:rPr>
          <w:rFonts w:hint="eastAsia" w:ascii="宋体" w:hAnsi="宋体"/>
          <w:sz w:val="24"/>
          <w:szCs w:val="22"/>
        </w:rPr>
        <w:t>课程目标及考核方式权重分配表</w:t>
      </w:r>
    </w:p>
    <w:tbl>
      <w:tblPr>
        <w:tblStyle w:val="30"/>
        <w:tblW w:w="90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48"/>
        <w:gridCol w:w="1816"/>
        <w:gridCol w:w="2196"/>
        <w:gridCol w:w="1843"/>
        <w:gridCol w:w="1134"/>
      </w:tblGrid>
      <w:tr w14:paraId="4D59CB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3864" w:type="dxa"/>
            <w:gridSpan w:val="2"/>
            <w:shd w:val="clear" w:color="auto" w:fill="auto"/>
            <w:noWrap w:val="0"/>
            <w:vAlign w:val="center"/>
          </w:tcPr>
          <w:p w14:paraId="59AB6756">
            <w:pPr>
              <w:widowControl/>
              <w:jc w:val="center"/>
              <w:rPr>
                <w:rFonts w:ascii="宋体" w:hAnsi="宋体"/>
                <w:kern w:val="0"/>
                <w:szCs w:val="21"/>
              </w:rPr>
            </w:pPr>
            <w:r>
              <w:rPr>
                <w:rFonts w:hint="eastAsia" w:ascii="宋体" w:hAnsi="宋体"/>
                <w:kern w:val="0"/>
                <w:szCs w:val="21"/>
              </w:rPr>
              <w:t>课程目标及权重</w:t>
            </w:r>
          </w:p>
        </w:tc>
        <w:tc>
          <w:tcPr>
            <w:tcW w:w="5173" w:type="dxa"/>
            <w:gridSpan w:val="3"/>
            <w:shd w:val="clear" w:color="auto" w:fill="auto"/>
            <w:noWrap w:val="0"/>
            <w:vAlign w:val="center"/>
          </w:tcPr>
          <w:p w14:paraId="513E6BD7">
            <w:pPr>
              <w:widowControl/>
              <w:ind w:right="-391" w:rightChars="-186"/>
              <w:jc w:val="center"/>
              <w:rPr>
                <w:rFonts w:hint="eastAsia" w:ascii="宋体" w:hAnsi="宋体"/>
                <w:kern w:val="0"/>
                <w:szCs w:val="21"/>
              </w:rPr>
            </w:pPr>
            <w:r>
              <w:rPr>
                <w:rFonts w:hint="eastAsia" w:ascii="宋体" w:hAnsi="宋体"/>
                <w:kern w:val="0"/>
                <w:szCs w:val="21"/>
              </w:rPr>
              <w:t>考核方式及权重</w:t>
            </w:r>
          </w:p>
        </w:tc>
      </w:tr>
      <w:tr w14:paraId="35C2C7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trPr>
        <w:tc>
          <w:tcPr>
            <w:tcW w:w="2048" w:type="dxa"/>
            <w:shd w:val="clear" w:color="auto" w:fill="auto"/>
            <w:noWrap w:val="0"/>
            <w:vAlign w:val="center"/>
          </w:tcPr>
          <w:p w14:paraId="5D769FDF">
            <w:pPr>
              <w:widowControl/>
              <w:jc w:val="center"/>
              <w:rPr>
                <w:rFonts w:hint="eastAsia" w:ascii="宋体" w:hAnsi="宋体"/>
                <w:kern w:val="0"/>
                <w:szCs w:val="21"/>
              </w:rPr>
            </w:pPr>
            <w:r>
              <w:rPr>
                <w:rFonts w:hint="eastAsia" w:ascii="宋体" w:hAnsi="宋体"/>
                <w:kern w:val="0"/>
                <w:szCs w:val="21"/>
              </w:rPr>
              <w:t>项目</w:t>
            </w:r>
          </w:p>
        </w:tc>
        <w:tc>
          <w:tcPr>
            <w:tcW w:w="1816" w:type="dxa"/>
            <w:shd w:val="clear" w:color="auto" w:fill="auto"/>
            <w:noWrap w:val="0"/>
            <w:vAlign w:val="center"/>
          </w:tcPr>
          <w:p w14:paraId="7A2EBCB9">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shd w:val="clear" w:color="auto" w:fill="auto"/>
            <w:noWrap w:val="0"/>
            <w:vAlign w:val="center"/>
          </w:tcPr>
          <w:p w14:paraId="014EC3AD">
            <w:pPr>
              <w:widowControl/>
              <w:jc w:val="center"/>
              <w:rPr>
                <w:rFonts w:hint="eastAsia" w:ascii="宋体" w:hAnsi="宋体"/>
                <w:kern w:val="0"/>
                <w:szCs w:val="21"/>
              </w:rPr>
            </w:pPr>
            <w:r>
              <w:rPr>
                <w:rFonts w:hint="eastAsia" w:ascii="宋体" w:hAnsi="宋体"/>
                <w:kern w:val="0"/>
                <w:szCs w:val="21"/>
              </w:rPr>
              <w:t>评价依据</w:t>
            </w:r>
          </w:p>
        </w:tc>
        <w:tc>
          <w:tcPr>
            <w:tcW w:w="1843" w:type="dxa"/>
            <w:shd w:val="clear" w:color="auto" w:fill="auto"/>
            <w:noWrap w:val="0"/>
            <w:vAlign w:val="center"/>
          </w:tcPr>
          <w:p w14:paraId="6BFB46AF">
            <w:pPr>
              <w:widowControl/>
              <w:jc w:val="center"/>
              <w:rPr>
                <w:rFonts w:hint="eastAsia" w:ascii="宋体" w:hAns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noWrap w:val="0"/>
            <w:vAlign w:val="top"/>
          </w:tcPr>
          <w:p w14:paraId="3C7C1530">
            <w:pPr>
              <w:widowControl/>
              <w:rPr>
                <w:rFonts w:hint="eastAsia" w:ascii="宋体" w:hAnsi="宋体"/>
                <w:kern w:val="0"/>
                <w:szCs w:val="21"/>
              </w:rPr>
            </w:pPr>
            <w:r>
              <w:rPr>
                <w:rFonts w:hint="eastAsia" w:ascii="宋体" w:hAnsi="宋体"/>
                <w:kern w:val="0"/>
                <w:szCs w:val="21"/>
              </w:rPr>
              <w:t>考核方式权重合计</w:t>
            </w:r>
          </w:p>
        </w:tc>
      </w:tr>
      <w:tr w14:paraId="13F83C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trPr>
        <w:tc>
          <w:tcPr>
            <w:tcW w:w="2048" w:type="dxa"/>
            <w:vMerge w:val="restart"/>
            <w:shd w:val="clear" w:color="auto" w:fill="auto"/>
            <w:noWrap w:val="0"/>
            <w:vAlign w:val="center"/>
          </w:tcPr>
          <w:p w14:paraId="5688EFD0">
            <w:pPr>
              <w:widowControl/>
              <w:jc w:val="center"/>
              <w:rPr>
                <w:rFonts w:hint="eastAsia"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shd w:val="clear" w:color="auto" w:fill="auto"/>
            <w:noWrap w:val="0"/>
            <w:vAlign w:val="center"/>
          </w:tcPr>
          <w:p w14:paraId="10B53D3C">
            <w:pPr>
              <w:widowControl/>
              <w:jc w:val="center"/>
              <w:rPr>
                <w:rFonts w:hint="eastAsia" w:ascii="宋体" w:hAnsi="宋体"/>
                <w:kern w:val="0"/>
                <w:szCs w:val="21"/>
              </w:rPr>
            </w:pPr>
            <w:r>
              <w:rPr>
                <w:rFonts w:ascii="宋体" w:hAnsi="宋体"/>
                <w:kern w:val="0"/>
                <w:szCs w:val="21"/>
              </w:rPr>
              <w:t>25</w:t>
            </w:r>
            <w:r>
              <w:rPr>
                <w:rFonts w:hint="eastAsia" w:ascii="宋体" w:hAnsi="宋体"/>
                <w:kern w:val="0"/>
                <w:szCs w:val="21"/>
              </w:rPr>
              <w:t>%</w:t>
            </w:r>
          </w:p>
        </w:tc>
        <w:tc>
          <w:tcPr>
            <w:tcW w:w="2196" w:type="dxa"/>
            <w:shd w:val="clear" w:color="auto" w:fill="auto"/>
            <w:noWrap w:val="0"/>
            <w:vAlign w:val="center"/>
          </w:tcPr>
          <w:p w14:paraId="5B596F9E">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52FBF4AA">
            <w:pPr>
              <w:widowControl/>
              <w:jc w:val="center"/>
              <w:rPr>
                <w:rFonts w:hint="eastAsia" w:ascii="宋体" w:hAnsi="宋体"/>
                <w:kern w:val="0"/>
                <w:szCs w:val="21"/>
              </w:rPr>
            </w:pPr>
            <w:r>
              <w:rPr>
                <w:rFonts w:ascii="宋体" w:hAnsi="宋体"/>
                <w:kern w:val="0"/>
                <w:szCs w:val="21"/>
              </w:rPr>
              <w:t>6</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50A83CD5">
            <w:pPr>
              <w:widowControl/>
              <w:jc w:val="center"/>
              <w:rPr>
                <w:rFonts w:hint="eastAsia" w:ascii="宋体" w:hAnsi="宋体"/>
                <w:kern w:val="0"/>
                <w:szCs w:val="21"/>
              </w:rPr>
            </w:pPr>
            <w:r>
              <w:rPr>
                <w:rFonts w:hint="eastAsia" w:ascii="宋体" w:hAnsi="宋体"/>
                <w:kern w:val="0"/>
                <w:szCs w:val="21"/>
              </w:rPr>
              <w:t>100%</w:t>
            </w:r>
          </w:p>
        </w:tc>
      </w:tr>
      <w:tr w14:paraId="7DD113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26FBCFC">
            <w:pPr>
              <w:widowControl/>
              <w:jc w:val="left"/>
              <w:rPr>
                <w:rFonts w:ascii="宋体" w:hAnsi="宋体"/>
                <w:kern w:val="0"/>
                <w:szCs w:val="21"/>
              </w:rPr>
            </w:pPr>
          </w:p>
        </w:tc>
        <w:tc>
          <w:tcPr>
            <w:tcW w:w="1816" w:type="dxa"/>
            <w:vMerge w:val="continue"/>
            <w:shd w:val="clear" w:color="auto" w:fill="auto"/>
            <w:noWrap w:val="0"/>
            <w:vAlign w:val="center"/>
          </w:tcPr>
          <w:p w14:paraId="509D0DE4">
            <w:pPr>
              <w:widowControl/>
              <w:jc w:val="left"/>
              <w:rPr>
                <w:rFonts w:ascii="宋体" w:hAnsi="宋体"/>
                <w:kern w:val="0"/>
                <w:szCs w:val="21"/>
              </w:rPr>
            </w:pPr>
          </w:p>
        </w:tc>
        <w:tc>
          <w:tcPr>
            <w:tcW w:w="2196" w:type="dxa"/>
            <w:shd w:val="clear" w:color="auto" w:fill="auto"/>
            <w:noWrap w:val="0"/>
            <w:vAlign w:val="center"/>
          </w:tcPr>
          <w:p w14:paraId="65E05497">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shd w:val="clear" w:color="auto" w:fill="auto"/>
            <w:noWrap w:val="0"/>
            <w:vAlign w:val="center"/>
          </w:tcPr>
          <w:p w14:paraId="416880A3">
            <w:pPr>
              <w:widowControl/>
              <w:jc w:val="center"/>
              <w:rPr>
                <w:rFonts w:hint="eastAsia" w:ascii="宋体" w:hAnsi="宋体"/>
                <w:kern w:val="0"/>
                <w:szCs w:val="21"/>
              </w:rPr>
            </w:pPr>
            <w:r>
              <w:rPr>
                <w:rFonts w:hint="eastAsia" w:ascii="宋体" w:hAnsi="宋体"/>
                <w:kern w:val="0"/>
                <w:szCs w:val="21"/>
              </w:rPr>
              <w:t>30%</w:t>
            </w:r>
          </w:p>
        </w:tc>
        <w:tc>
          <w:tcPr>
            <w:tcW w:w="1134" w:type="dxa"/>
            <w:vMerge w:val="continue"/>
            <w:noWrap w:val="0"/>
            <w:vAlign w:val="center"/>
          </w:tcPr>
          <w:p w14:paraId="72FE13F9">
            <w:pPr>
              <w:widowControl/>
              <w:jc w:val="center"/>
              <w:rPr>
                <w:rFonts w:hint="eastAsia" w:ascii="宋体" w:hAnsi="宋体"/>
                <w:kern w:val="0"/>
                <w:szCs w:val="21"/>
              </w:rPr>
            </w:pPr>
          </w:p>
        </w:tc>
      </w:tr>
      <w:tr w14:paraId="3B4EA4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0B03CB6A">
            <w:pPr>
              <w:widowControl/>
              <w:jc w:val="left"/>
              <w:rPr>
                <w:rFonts w:ascii="宋体" w:hAnsi="宋体"/>
                <w:kern w:val="0"/>
                <w:szCs w:val="21"/>
              </w:rPr>
            </w:pPr>
          </w:p>
        </w:tc>
        <w:tc>
          <w:tcPr>
            <w:tcW w:w="1816" w:type="dxa"/>
            <w:vMerge w:val="continue"/>
            <w:shd w:val="clear" w:color="auto" w:fill="auto"/>
            <w:noWrap w:val="0"/>
            <w:vAlign w:val="center"/>
          </w:tcPr>
          <w:p w14:paraId="1C8E80CF">
            <w:pPr>
              <w:widowControl/>
              <w:jc w:val="left"/>
              <w:rPr>
                <w:rFonts w:ascii="宋体" w:hAnsi="宋体"/>
                <w:kern w:val="0"/>
                <w:szCs w:val="21"/>
              </w:rPr>
            </w:pPr>
          </w:p>
        </w:tc>
        <w:tc>
          <w:tcPr>
            <w:tcW w:w="2196" w:type="dxa"/>
            <w:shd w:val="clear" w:color="auto" w:fill="auto"/>
            <w:noWrap w:val="0"/>
            <w:vAlign w:val="center"/>
          </w:tcPr>
          <w:p w14:paraId="6BAD28AC">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671E8ABB">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46646B22">
            <w:pPr>
              <w:widowControl/>
              <w:jc w:val="center"/>
              <w:rPr>
                <w:rFonts w:hint="eastAsia" w:ascii="宋体" w:hAnsi="宋体"/>
                <w:kern w:val="0"/>
                <w:szCs w:val="21"/>
              </w:rPr>
            </w:pPr>
          </w:p>
        </w:tc>
      </w:tr>
      <w:tr w14:paraId="1E62E8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51F9146E">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2</w:t>
            </w:r>
          </w:p>
        </w:tc>
        <w:tc>
          <w:tcPr>
            <w:tcW w:w="1816" w:type="dxa"/>
            <w:vMerge w:val="restart"/>
            <w:shd w:val="clear" w:color="auto" w:fill="auto"/>
            <w:noWrap w:val="0"/>
            <w:vAlign w:val="center"/>
          </w:tcPr>
          <w:p w14:paraId="41747EF1">
            <w:pPr>
              <w:widowControl/>
              <w:jc w:val="center"/>
              <w:rPr>
                <w:rFonts w:hint="eastAsia" w:ascii="宋体" w:hAnsi="宋体"/>
                <w:kern w:val="0"/>
                <w:szCs w:val="21"/>
              </w:rPr>
            </w:pPr>
            <w:r>
              <w:rPr>
                <w:rFonts w:ascii="宋体" w:hAnsi="宋体"/>
                <w:kern w:val="0"/>
                <w:szCs w:val="21"/>
              </w:rPr>
              <w:t>30</w:t>
            </w:r>
            <w:r>
              <w:rPr>
                <w:rFonts w:hint="eastAsia" w:ascii="宋体" w:hAnsi="宋体"/>
                <w:kern w:val="0"/>
                <w:szCs w:val="21"/>
              </w:rPr>
              <w:t>%</w:t>
            </w:r>
          </w:p>
        </w:tc>
        <w:tc>
          <w:tcPr>
            <w:tcW w:w="2196" w:type="dxa"/>
            <w:shd w:val="clear" w:color="auto" w:fill="auto"/>
            <w:noWrap w:val="0"/>
            <w:vAlign w:val="center"/>
          </w:tcPr>
          <w:p w14:paraId="37EAB81F">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1ECCDC67">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noWrap w:val="0"/>
            <w:vAlign w:val="center"/>
          </w:tcPr>
          <w:p w14:paraId="3F3D2406">
            <w:pPr>
              <w:widowControl/>
              <w:jc w:val="center"/>
              <w:rPr>
                <w:rFonts w:hint="eastAsia" w:ascii="宋体" w:hAnsi="宋体"/>
                <w:kern w:val="0"/>
                <w:szCs w:val="21"/>
              </w:rPr>
            </w:pPr>
            <w:r>
              <w:rPr>
                <w:rFonts w:hint="eastAsia" w:ascii="宋体" w:hAnsi="宋体"/>
                <w:kern w:val="0"/>
                <w:szCs w:val="21"/>
              </w:rPr>
              <w:t>100%</w:t>
            </w:r>
          </w:p>
        </w:tc>
      </w:tr>
      <w:tr w14:paraId="1DDF80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731FFBD7">
            <w:pPr>
              <w:widowControl/>
              <w:jc w:val="left"/>
              <w:rPr>
                <w:rFonts w:ascii="宋体" w:hAnsi="宋体"/>
                <w:kern w:val="0"/>
                <w:szCs w:val="21"/>
              </w:rPr>
            </w:pPr>
          </w:p>
        </w:tc>
        <w:tc>
          <w:tcPr>
            <w:tcW w:w="1816" w:type="dxa"/>
            <w:vMerge w:val="continue"/>
            <w:shd w:val="clear" w:color="auto" w:fill="auto"/>
            <w:noWrap w:val="0"/>
            <w:vAlign w:val="center"/>
          </w:tcPr>
          <w:p w14:paraId="3F2B7F0A">
            <w:pPr>
              <w:widowControl/>
              <w:jc w:val="left"/>
              <w:rPr>
                <w:rFonts w:ascii="宋体" w:hAnsi="宋体"/>
                <w:kern w:val="0"/>
                <w:szCs w:val="21"/>
              </w:rPr>
            </w:pPr>
          </w:p>
        </w:tc>
        <w:tc>
          <w:tcPr>
            <w:tcW w:w="2196" w:type="dxa"/>
            <w:shd w:val="clear" w:color="auto" w:fill="auto"/>
            <w:noWrap w:val="0"/>
            <w:vAlign w:val="center"/>
          </w:tcPr>
          <w:p w14:paraId="4D32B87F">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1</w:t>
            </w:r>
          </w:p>
        </w:tc>
        <w:tc>
          <w:tcPr>
            <w:tcW w:w="1843" w:type="dxa"/>
            <w:shd w:val="clear" w:color="auto" w:fill="auto"/>
            <w:noWrap w:val="0"/>
            <w:vAlign w:val="center"/>
          </w:tcPr>
          <w:p w14:paraId="35A874EC">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noWrap w:val="0"/>
            <w:vAlign w:val="center"/>
          </w:tcPr>
          <w:p w14:paraId="04AFADCB">
            <w:pPr>
              <w:widowControl/>
              <w:jc w:val="center"/>
              <w:rPr>
                <w:rFonts w:hint="eastAsia" w:ascii="宋体" w:hAnsi="宋体"/>
                <w:kern w:val="0"/>
                <w:szCs w:val="21"/>
              </w:rPr>
            </w:pPr>
          </w:p>
        </w:tc>
      </w:tr>
      <w:tr w14:paraId="37E2C5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AB23F9C">
            <w:pPr>
              <w:widowControl/>
              <w:jc w:val="left"/>
              <w:rPr>
                <w:rFonts w:ascii="宋体" w:hAnsi="宋体"/>
                <w:kern w:val="0"/>
                <w:szCs w:val="21"/>
              </w:rPr>
            </w:pPr>
          </w:p>
        </w:tc>
        <w:tc>
          <w:tcPr>
            <w:tcW w:w="1816" w:type="dxa"/>
            <w:vMerge w:val="continue"/>
            <w:shd w:val="clear" w:color="auto" w:fill="auto"/>
            <w:noWrap w:val="0"/>
            <w:vAlign w:val="center"/>
          </w:tcPr>
          <w:p w14:paraId="0D060584">
            <w:pPr>
              <w:widowControl/>
              <w:jc w:val="left"/>
              <w:rPr>
                <w:rFonts w:ascii="宋体" w:hAnsi="宋体"/>
                <w:kern w:val="0"/>
                <w:szCs w:val="21"/>
              </w:rPr>
            </w:pPr>
          </w:p>
        </w:tc>
        <w:tc>
          <w:tcPr>
            <w:tcW w:w="2196" w:type="dxa"/>
            <w:shd w:val="clear" w:color="auto" w:fill="auto"/>
            <w:noWrap w:val="0"/>
            <w:vAlign w:val="center"/>
          </w:tcPr>
          <w:p w14:paraId="54469788">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0A69CD5C">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3C6C3DE7">
            <w:pPr>
              <w:widowControl/>
              <w:jc w:val="center"/>
              <w:rPr>
                <w:rFonts w:hint="eastAsia" w:ascii="宋体" w:hAnsi="宋体"/>
                <w:kern w:val="0"/>
                <w:szCs w:val="21"/>
              </w:rPr>
            </w:pPr>
          </w:p>
        </w:tc>
      </w:tr>
      <w:tr w14:paraId="686DAA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C49E20A">
            <w:pPr>
              <w:widowControl/>
              <w:jc w:val="left"/>
              <w:rPr>
                <w:rFonts w:ascii="宋体" w:hAnsi="宋体"/>
                <w:kern w:val="0"/>
                <w:szCs w:val="21"/>
              </w:rPr>
            </w:pPr>
          </w:p>
        </w:tc>
        <w:tc>
          <w:tcPr>
            <w:tcW w:w="1816" w:type="dxa"/>
            <w:vMerge w:val="continue"/>
            <w:shd w:val="clear" w:color="auto" w:fill="auto"/>
            <w:noWrap w:val="0"/>
            <w:vAlign w:val="center"/>
          </w:tcPr>
          <w:p w14:paraId="7AC25791">
            <w:pPr>
              <w:widowControl/>
              <w:jc w:val="left"/>
              <w:rPr>
                <w:rFonts w:ascii="宋体" w:hAnsi="宋体"/>
                <w:kern w:val="0"/>
                <w:szCs w:val="21"/>
              </w:rPr>
            </w:pPr>
          </w:p>
        </w:tc>
        <w:tc>
          <w:tcPr>
            <w:tcW w:w="2196" w:type="dxa"/>
            <w:shd w:val="clear" w:color="auto" w:fill="auto"/>
            <w:noWrap w:val="0"/>
            <w:vAlign w:val="center"/>
          </w:tcPr>
          <w:p w14:paraId="551C0288">
            <w:pPr>
              <w:widowControl/>
              <w:jc w:val="center"/>
              <w:rPr>
                <w:rFonts w:hint="eastAsia" w:ascii="宋体" w:hAnsi="宋体"/>
                <w:kern w:val="0"/>
                <w:szCs w:val="21"/>
              </w:rPr>
            </w:pPr>
            <w:r>
              <w:rPr>
                <w:rFonts w:hint="eastAsia" w:ascii="宋体" w:hAnsi="宋体"/>
                <w:kern w:val="0"/>
                <w:szCs w:val="21"/>
              </w:rPr>
              <w:t>课内</w:t>
            </w:r>
            <w:r>
              <w:rPr>
                <w:rFonts w:ascii="宋体" w:hAnsi="宋体"/>
                <w:kern w:val="0"/>
                <w:szCs w:val="21"/>
              </w:rPr>
              <w:t>实践</w:t>
            </w:r>
          </w:p>
        </w:tc>
        <w:tc>
          <w:tcPr>
            <w:tcW w:w="1843" w:type="dxa"/>
            <w:shd w:val="clear" w:color="auto" w:fill="auto"/>
            <w:noWrap w:val="0"/>
            <w:vAlign w:val="center"/>
          </w:tcPr>
          <w:p w14:paraId="760300B0">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continue"/>
            <w:noWrap w:val="0"/>
            <w:vAlign w:val="center"/>
          </w:tcPr>
          <w:p w14:paraId="641DE84D">
            <w:pPr>
              <w:widowControl/>
              <w:jc w:val="center"/>
              <w:rPr>
                <w:rFonts w:hint="eastAsia" w:ascii="宋体" w:hAnsi="宋体"/>
                <w:kern w:val="0"/>
                <w:szCs w:val="21"/>
              </w:rPr>
            </w:pPr>
          </w:p>
        </w:tc>
      </w:tr>
      <w:tr w14:paraId="2C116F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063AB9D0">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3</w:t>
            </w:r>
          </w:p>
        </w:tc>
        <w:tc>
          <w:tcPr>
            <w:tcW w:w="1816" w:type="dxa"/>
            <w:vMerge w:val="restart"/>
            <w:shd w:val="clear" w:color="auto" w:fill="auto"/>
            <w:noWrap w:val="0"/>
            <w:vAlign w:val="center"/>
          </w:tcPr>
          <w:p w14:paraId="5A59C54D">
            <w:pPr>
              <w:widowControl/>
              <w:jc w:val="center"/>
              <w:rPr>
                <w:rFonts w:hint="eastAsia" w:ascii="宋体" w:hAnsi="宋体"/>
                <w:kern w:val="0"/>
                <w:szCs w:val="21"/>
              </w:rPr>
            </w:pPr>
            <w:r>
              <w:rPr>
                <w:rFonts w:ascii="宋体" w:hAnsi="宋体"/>
                <w:kern w:val="0"/>
                <w:szCs w:val="21"/>
              </w:rPr>
              <w:t>20</w:t>
            </w:r>
            <w:r>
              <w:rPr>
                <w:rFonts w:hint="eastAsia" w:ascii="宋体" w:hAnsi="宋体"/>
                <w:kern w:val="0"/>
                <w:szCs w:val="21"/>
              </w:rPr>
              <w:t>%</w:t>
            </w:r>
          </w:p>
        </w:tc>
        <w:tc>
          <w:tcPr>
            <w:tcW w:w="2196" w:type="dxa"/>
            <w:shd w:val="clear" w:color="auto" w:fill="auto"/>
            <w:noWrap w:val="0"/>
            <w:vAlign w:val="center"/>
          </w:tcPr>
          <w:p w14:paraId="6F63AA19">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538199F7">
            <w:pPr>
              <w:widowControl/>
              <w:jc w:val="center"/>
              <w:rPr>
                <w:rFonts w:hint="eastAsia" w:ascii="宋体" w:hAnsi="宋体"/>
                <w:kern w:val="0"/>
                <w:szCs w:val="21"/>
              </w:rPr>
            </w:pPr>
            <w:r>
              <w:rPr>
                <w:rFonts w:hint="eastAsia" w:ascii="宋体" w:hAnsi="宋体"/>
                <w:kern w:val="0"/>
                <w:szCs w:val="21"/>
              </w:rPr>
              <w:t>40%</w:t>
            </w:r>
            <w:r>
              <w:rPr>
                <w:rFonts w:ascii="宋体" w:hAnsi="宋体"/>
                <w:kern w:val="0"/>
                <w:szCs w:val="21"/>
              </w:rPr>
              <w:t xml:space="preserve"> </w:t>
            </w:r>
          </w:p>
        </w:tc>
        <w:tc>
          <w:tcPr>
            <w:tcW w:w="1134" w:type="dxa"/>
            <w:vMerge w:val="restart"/>
            <w:noWrap w:val="0"/>
            <w:vAlign w:val="center"/>
          </w:tcPr>
          <w:p w14:paraId="0BDE0B14">
            <w:pPr>
              <w:widowControl/>
              <w:jc w:val="center"/>
              <w:rPr>
                <w:rFonts w:hint="eastAsia" w:ascii="宋体" w:hAnsi="宋体"/>
                <w:kern w:val="0"/>
                <w:szCs w:val="21"/>
              </w:rPr>
            </w:pPr>
            <w:r>
              <w:rPr>
                <w:rFonts w:hint="eastAsia" w:ascii="宋体" w:hAnsi="宋体"/>
                <w:kern w:val="0"/>
                <w:szCs w:val="21"/>
              </w:rPr>
              <w:t>100%</w:t>
            </w:r>
          </w:p>
        </w:tc>
      </w:tr>
      <w:tr w14:paraId="611D0A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277F5D93">
            <w:pPr>
              <w:widowControl/>
              <w:jc w:val="left"/>
              <w:rPr>
                <w:rFonts w:ascii="宋体" w:hAnsi="宋体"/>
                <w:kern w:val="0"/>
                <w:szCs w:val="21"/>
              </w:rPr>
            </w:pPr>
          </w:p>
        </w:tc>
        <w:tc>
          <w:tcPr>
            <w:tcW w:w="1816" w:type="dxa"/>
            <w:vMerge w:val="continue"/>
            <w:shd w:val="clear" w:color="auto" w:fill="auto"/>
            <w:noWrap w:val="0"/>
            <w:vAlign w:val="center"/>
          </w:tcPr>
          <w:p w14:paraId="2F38A3E3">
            <w:pPr>
              <w:widowControl/>
              <w:jc w:val="left"/>
              <w:rPr>
                <w:rFonts w:ascii="宋体" w:hAnsi="宋体"/>
                <w:kern w:val="0"/>
                <w:szCs w:val="21"/>
              </w:rPr>
            </w:pPr>
          </w:p>
        </w:tc>
        <w:tc>
          <w:tcPr>
            <w:tcW w:w="2196" w:type="dxa"/>
            <w:shd w:val="clear" w:color="auto" w:fill="auto"/>
            <w:noWrap w:val="0"/>
            <w:vAlign w:val="center"/>
          </w:tcPr>
          <w:p w14:paraId="6BDA755B">
            <w:pPr>
              <w:widowControl/>
              <w:jc w:val="center"/>
              <w:rPr>
                <w:rFonts w:ascii="宋体" w:hAnsi="宋体"/>
                <w:kern w:val="0"/>
                <w:szCs w:val="21"/>
              </w:rPr>
            </w:pPr>
            <w:r>
              <w:rPr>
                <w:rFonts w:hint="eastAsia" w:ascii="宋体" w:hAnsi="宋体"/>
                <w:kern w:val="0"/>
                <w:szCs w:val="21"/>
              </w:rPr>
              <w:t>作业</w:t>
            </w:r>
            <w:r>
              <w:rPr>
                <w:rFonts w:ascii="宋体" w:hAnsi="宋体"/>
                <w:kern w:val="0"/>
                <w:szCs w:val="21"/>
              </w:rPr>
              <w:t>2</w:t>
            </w:r>
          </w:p>
        </w:tc>
        <w:tc>
          <w:tcPr>
            <w:tcW w:w="1843" w:type="dxa"/>
            <w:shd w:val="clear" w:color="auto" w:fill="auto"/>
            <w:noWrap w:val="0"/>
            <w:vAlign w:val="center"/>
          </w:tcPr>
          <w:p w14:paraId="3909B859">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noWrap w:val="0"/>
            <w:vAlign w:val="center"/>
          </w:tcPr>
          <w:p w14:paraId="71860CE3">
            <w:pPr>
              <w:widowControl/>
              <w:jc w:val="center"/>
              <w:rPr>
                <w:rFonts w:hint="eastAsia" w:ascii="宋体" w:hAnsi="宋体"/>
                <w:kern w:val="0"/>
                <w:szCs w:val="21"/>
              </w:rPr>
            </w:pPr>
          </w:p>
        </w:tc>
      </w:tr>
      <w:tr w14:paraId="4C5C47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E68A01A">
            <w:pPr>
              <w:widowControl/>
              <w:jc w:val="left"/>
              <w:rPr>
                <w:rFonts w:ascii="宋体" w:hAnsi="宋体"/>
                <w:kern w:val="0"/>
                <w:szCs w:val="21"/>
              </w:rPr>
            </w:pPr>
          </w:p>
        </w:tc>
        <w:tc>
          <w:tcPr>
            <w:tcW w:w="1816" w:type="dxa"/>
            <w:vMerge w:val="continue"/>
            <w:shd w:val="clear" w:color="auto" w:fill="auto"/>
            <w:noWrap w:val="0"/>
            <w:vAlign w:val="center"/>
          </w:tcPr>
          <w:p w14:paraId="176A9FB6">
            <w:pPr>
              <w:widowControl/>
              <w:jc w:val="left"/>
              <w:rPr>
                <w:rFonts w:ascii="宋体" w:hAnsi="宋体"/>
                <w:kern w:val="0"/>
                <w:szCs w:val="21"/>
              </w:rPr>
            </w:pPr>
          </w:p>
        </w:tc>
        <w:tc>
          <w:tcPr>
            <w:tcW w:w="2196" w:type="dxa"/>
            <w:shd w:val="clear" w:color="auto" w:fill="auto"/>
            <w:noWrap w:val="0"/>
            <w:vAlign w:val="center"/>
          </w:tcPr>
          <w:p w14:paraId="1F31DAB3">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779A6204">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center"/>
          </w:tcPr>
          <w:p w14:paraId="01834A6A">
            <w:pPr>
              <w:widowControl/>
              <w:jc w:val="center"/>
              <w:rPr>
                <w:rFonts w:hint="eastAsia" w:ascii="宋体" w:hAnsi="宋体"/>
                <w:kern w:val="0"/>
                <w:szCs w:val="21"/>
              </w:rPr>
            </w:pPr>
          </w:p>
        </w:tc>
      </w:tr>
      <w:tr w14:paraId="7BBB83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68B81F2D">
            <w:pPr>
              <w:widowControl/>
              <w:jc w:val="left"/>
              <w:rPr>
                <w:rFonts w:ascii="宋体" w:hAnsi="宋体"/>
                <w:kern w:val="0"/>
                <w:szCs w:val="21"/>
              </w:rPr>
            </w:pPr>
          </w:p>
        </w:tc>
        <w:tc>
          <w:tcPr>
            <w:tcW w:w="1816" w:type="dxa"/>
            <w:vMerge w:val="continue"/>
            <w:shd w:val="clear" w:color="auto" w:fill="auto"/>
            <w:noWrap w:val="0"/>
            <w:vAlign w:val="center"/>
          </w:tcPr>
          <w:p w14:paraId="6DD68EC5">
            <w:pPr>
              <w:widowControl/>
              <w:jc w:val="left"/>
              <w:rPr>
                <w:rFonts w:ascii="宋体" w:hAnsi="宋体"/>
                <w:kern w:val="0"/>
                <w:szCs w:val="21"/>
              </w:rPr>
            </w:pPr>
          </w:p>
        </w:tc>
        <w:tc>
          <w:tcPr>
            <w:tcW w:w="2196" w:type="dxa"/>
            <w:shd w:val="clear" w:color="auto" w:fill="auto"/>
            <w:noWrap w:val="0"/>
            <w:vAlign w:val="center"/>
          </w:tcPr>
          <w:p w14:paraId="0E4E63AD">
            <w:pPr>
              <w:widowControl/>
              <w:jc w:val="center"/>
              <w:rPr>
                <w:rFonts w:hint="eastAsia" w:ascii="宋体" w:hAnsi="宋体"/>
                <w:kern w:val="0"/>
                <w:szCs w:val="21"/>
              </w:rPr>
            </w:pPr>
            <w:r>
              <w:rPr>
                <w:rFonts w:hint="eastAsia" w:ascii="宋体" w:hAnsi="宋体"/>
                <w:kern w:val="0"/>
                <w:szCs w:val="21"/>
              </w:rPr>
              <w:t>课</w:t>
            </w:r>
            <w:r>
              <w:rPr>
                <w:rFonts w:ascii="宋体" w:hAnsi="宋体"/>
                <w:kern w:val="0"/>
                <w:szCs w:val="21"/>
              </w:rPr>
              <w:t>内实践</w:t>
            </w:r>
          </w:p>
        </w:tc>
        <w:tc>
          <w:tcPr>
            <w:tcW w:w="1843" w:type="dxa"/>
            <w:shd w:val="clear" w:color="auto" w:fill="auto"/>
            <w:noWrap w:val="0"/>
            <w:vAlign w:val="center"/>
          </w:tcPr>
          <w:p w14:paraId="3EF575B6">
            <w:pPr>
              <w:widowControl/>
              <w:jc w:val="center"/>
              <w:rPr>
                <w:rFonts w:hint="eastAsia" w:ascii="宋体" w:hAnsi="宋体"/>
                <w:kern w:val="0"/>
                <w:szCs w:val="21"/>
              </w:rPr>
            </w:pPr>
            <w:r>
              <w:rPr>
                <w:rFonts w:hint="eastAsia" w:ascii="宋体" w:hAnsi="宋体"/>
                <w:kern w:val="0"/>
                <w:szCs w:val="21"/>
              </w:rPr>
              <w:t>30%</w:t>
            </w:r>
            <w:r>
              <w:rPr>
                <w:rFonts w:ascii="宋体" w:hAnsi="宋体"/>
                <w:kern w:val="0"/>
                <w:szCs w:val="21"/>
              </w:rPr>
              <w:t xml:space="preserve"> </w:t>
            </w:r>
          </w:p>
        </w:tc>
        <w:tc>
          <w:tcPr>
            <w:tcW w:w="1134" w:type="dxa"/>
            <w:vMerge w:val="continue"/>
            <w:noWrap w:val="0"/>
            <w:vAlign w:val="center"/>
          </w:tcPr>
          <w:p w14:paraId="71F894BC">
            <w:pPr>
              <w:widowControl/>
              <w:jc w:val="center"/>
              <w:rPr>
                <w:rFonts w:hint="eastAsia" w:ascii="宋体" w:hAnsi="宋体"/>
                <w:kern w:val="0"/>
                <w:szCs w:val="21"/>
              </w:rPr>
            </w:pPr>
          </w:p>
        </w:tc>
      </w:tr>
      <w:tr w14:paraId="322D73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restart"/>
            <w:shd w:val="clear" w:color="auto" w:fill="auto"/>
            <w:noWrap w:val="0"/>
            <w:vAlign w:val="center"/>
          </w:tcPr>
          <w:p w14:paraId="2FB66AFA">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4</w:t>
            </w:r>
          </w:p>
        </w:tc>
        <w:tc>
          <w:tcPr>
            <w:tcW w:w="1816" w:type="dxa"/>
            <w:vMerge w:val="restart"/>
            <w:shd w:val="clear" w:color="auto" w:fill="auto"/>
            <w:noWrap w:val="0"/>
            <w:vAlign w:val="center"/>
          </w:tcPr>
          <w:p w14:paraId="18B24C48">
            <w:pPr>
              <w:widowControl/>
              <w:jc w:val="center"/>
              <w:rPr>
                <w:rFonts w:hint="eastAsia" w:ascii="宋体" w:hAnsi="宋体"/>
                <w:kern w:val="0"/>
                <w:szCs w:val="21"/>
              </w:rPr>
            </w:pPr>
            <w:r>
              <w:rPr>
                <w:rFonts w:hint="eastAsia" w:ascii="宋体" w:hAnsi="宋体"/>
                <w:kern w:val="0"/>
                <w:szCs w:val="21"/>
              </w:rPr>
              <w:t>2</w:t>
            </w:r>
            <w:r>
              <w:rPr>
                <w:rFonts w:ascii="宋体" w:hAnsi="宋体"/>
                <w:kern w:val="0"/>
                <w:szCs w:val="21"/>
              </w:rPr>
              <w:t>5</w:t>
            </w:r>
            <w:r>
              <w:rPr>
                <w:rFonts w:hint="eastAsia" w:ascii="宋体" w:hAnsi="宋体"/>
                <w:kern w:val="0"/>
                <w:szCs w:val="21"/>
              </w:rPr>
              <w:t>%</w:t>
            </w:r>
          </w:p>
        </w:tc>
        <w:tc>
          <w:tcPr>
            <w:tcW w:w="2196" w:type="dxa"/>
            <w:shd w:val="clear" w:color="auto" w:fill="auto"/>
            <w:noWrap w:val="0"/>
            <w:vAlign w:val="center"/>
          </w:tcPr>
          <w:p w14:paraId="3616BDE6">
            <w:pPr>
              <w:widowControl/>
              <w:jc w:val="center"/>
              <w:rPr>
                <w:rFonts w:ascii="宋体" w:hAnsi="宋体"/>
                <w:kern w:val="0"/>
                <w:szCs w:val="21"/>
              </w:rPr>
            </w:pPr>
            <w:r>
              <w:rPr>
                <w:rFonts w:hint="eastAsia" w:ascii="宋体" w:hAnsi="宋体"/>
                <w:kern w:val="0"/>
                <w:szCs w:val="21"/>
              </w:rPr>
              <w:t>考试</w:t>
            </w:r>
          </w:p>
        </w:tc>
        <w:tc>
          <w:tcPr>
            <w:tcW w:w="1843" w:type="dxa"/>
            <w:shd w:val="clear" w:color="auto" w:fill="auto"/>
            <w:noWrap w:val="0"/>
            <w:vAlign w:val="center"/>
          </w:tcPr>
          <w:p w14:paraId="3941EE84">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r>
              <w:rPr>
                <w:rFonts w:ascii="宋体" w:hAnsi="宋体"/>
                <w:kern w:val="0"/>
                <w:szCs w:val="21"/>
              </w:rPr>
              <w:t xml:space="preserve"> </w:t>
            </w:r>
          </w:p>
        </w:tc>
        <w:tc>
          <w:tcPr>
            <w:tcW w:w="1134" w:type="dxa"/>
            <w:vMerge w:val="restart"/>
            <w:noWrap w:val="0"/>
            <w:vAlign w:val="center"/>
          </w:tcPr>
          <w:p w14:paraId="0205D49A">
            <w:pPr>
              <w:widowControl/>
              <w:jc w:val="center"/>
              <w:rPr>
                <w:rFonts w:hint="eastAsia" w:ascii="宋体" w:hAnsi="宋体"/>
                <w:kern w:val="0"/>
                <w:szCs w:val="21"/>
              </w:rPr>
            </w:pPr>
            <w:r>
              <w:rPr>
                <w:rFonts w:hint="eastAsia" w:ascii="宋体" w:hAnsi="宋体"/>
                <w:kern w:val="0"/>
                <w:szCs w:val="21"/>
              </w:rPr>
              <w:t>100%</w:t>
            </w:r>
          </w:p>
        </w:tc>
      </w:tr>
      <w:tr w14:paraId="575DF3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3958EA82">
            <w:pPr>
              <w:widowControl/>
              <w:jc w:val="left"/>
              <w:rPr>
                <w:rFonts w:ascii="宋体" w:hAnsi="宋体"/>
                <w:kern w:val="0"/>
                <w:szCs w:val="21"/>
              </w:rPr>
            </w:pPr>
          </w:p>
        </w:tc>
        <w:tc>
          <w:tcPr>
            <w:tcW w:w="1816" w:type="dxa"/>
            <w:vMerge w:val="continue"/>
            <w:shd w:val="clear" w:color="auto" w:fill="auto"/>
            <w:noWrap w:val="0"/>
            <w:vAlign w:val="center"/>
          </w:tcPr>
          <w:p w14:paraId="79E0F83F">
            <w:pPr>
              <w:widowControl/>
              <w:jc w:val="left"/>
              <w:rPr>
                <w:rFonts w:ascii="宋体" w:hAnsi="宋体"/>
                <w:kern w:val="0"/>
                <w:szCs w:val="21"/>
              </w:rPr>
            </w:pPr>
          </w:p>
        </w:tc>
        <w:tc>
          <w:tcPr>
            <w:tcW w:w="2196" w:type="dxa"/>
            <w:shd w:val="clear" w:color="auto" w:fill="auto"/>
            <w:noWrap w:val="0"/>
            <w:vAlign w:val="center"/>
          </w:tcPr>
          <w:p w14:paraId="79154F25">
            <w:pPr>
              <w:widowControl/>
              <w:jc w:val="center"/>
              <w:rPr>
                <w:rFonts w:ascii="宋体" w:hAnsi="宋体"/>
                <w:kern w:val="0"/>
                <w:szCs w:val="21"/>
              </w:rPr>
            </w:pPr>
            <w:r>
              <w:rPr>
                <w:rFonts w:hint="eastAsia" w:ascii="宋体" w:hAnsi="宋体"/>
                <w:kern w:val="0"/>
                <w:szCs w:val="21"/>
              </w:rPr>
              <w:t>作业3</w:t>
            </w:r>
          </w:p>
        </w:tc>
        <w:tc>
          <w:tcPr>
            <w:tcW w:w="1843" w:type="dxa"/>
            <w:shd w:val="clear" w:color="auto" w:fill="auto"/>
            <w:noWrap w:val="0"/>
            <w:vAlign w:val="center"/>
          </w:tcPr>
          <w:p w14:paraId="3C63F4B6">
            <w:pPr>
              <w:widowControl/>
              <w:jc w:val="center"/>
              <w:rPr>
                <w:rFonts w:hint="eastAsia" w:ascii="宋体" w:hAnsi="宋体"/>
                <w:kern w:val="0"/>
                <w:szCs w:val="21"/>
              </w:rPr>
            </w:pPr>
            <w:r>
              <w:rPr>
                <w:rFonts w:ascii="宋体" w:hAnsi="宋体"/>
                <w:kern w:val="0"/>
                <w:szCs w:val="21"/>
              </w:rPr>
              <w:t>2</w:t>
            </w:r>
            <w:r>
              <w:rPr>
                <w:rFonts w:hint="eastAsia" w:ascii="宋体" w:hAnsi="宋体"/>
                <w:kern w:val="0"/>
                <w:szCs w:val="21"/>
              </w:rPr>
              <w:t>0%</w:t>
            </w:r>
          </w:p>
        </w:tc>
        <w:tc>
          <w:tcPr>
            <w:tcW w:w="1134" w:type="dxa"/>
            <w:vMerge w:val="continue"/>
            <w:noWrap w:val="0"/>
            <w:vAlign w:val="top"/>
          </w:tcPr>
          <w:p w14:paraId="3789E475">
            <w:pPr>
              <w:widowControl/>
              <w:jc w:val="center"/>
              <w:rPr>
                <w:rFonts w:hint="eastAsia" w:ascii="宋体" w:hAnsi="宋体"/>
                <w:kern w:val="0"/>
                <w:szCs w:val="21"/>
              </w:rPr>
            </w:pPr>
          </w:p>
        </w:tc>
      </w:tr>
      <w:tr w14:paraId="50A753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52EA2E6A">
            <w:pPr>
              <w:widowControl/>
              <w:jc w:val="left"/>
              <w:rPr>
                <w:rFonts w:ascii="宋体" w:hAnsi="宋体"/>
                <w:kern w:val="0"/>
                <w:szCs w:val="21"/>
              </w:rPr>
            </w:pPr>
          </w:p>
        </w:tc>
        <w:tc>
          <w:tcPr>
            <w:tcW w:w="1816" w:type="dxa"/>
            <w:vMerge w:val="continue"/>
            <w:shd w:val="clear" w:color="auto" w:fill="auto"/>
            <w:noWrap w:val="0"/>
            <w:vAlign w:val="center"/>
          </w:tcPr>
          <w:p w14:paraId="42734EC2">
            <w:pPr>
              <w:widowControl/>
              <w:jc w:val="left"/>
              <w:rPr>
                <w:rFonts w:ascii="宋体" w:hAnsi="宋体"/>
                <w:kern w:val="0"/>
                <w:szCs w:val="21"/>
              </w:rPr>
            </w:pPr>
          </w:p>
        </w:tc>
        <w:tc>
          <w:tcPr>
            <w:tcW w:w="2196" w:type="dxa"/>
            <w:shd w:val="clear" w:color="auto" w:fill="auto"/>
            <w:noWrap w:val="0"/>
            <w:vAlign w:val="center"/>
          </w:tcPr>
          <w:p w14:paraId="342143CF">
            <w:pPr>
              <w:widowControl/>
              <w:jc w:val="center"/>
              <w:rPr>
                <w:rFonts w:hint="eastAsia" w:ascii="宋体" w:hAnsi="宋体"/>
                <w:kern w:val="0"/>
                <w:szCs w:val="21"/>
              </w:rPr>
            </w:pPr>
            <w:r>
              <w:rPr>
                <w:rFonts w:ascii="宋体" w:hAnsi="宋体"/>
                <w:kern w:val="0"/>
                <w:szCs w:val="21"/>
              </w:rPr>
              <w:t>课堂互动</w:t>
            </w:r>
          </w:p>
        </w:tc>
        <w:tc>
          <w:tcPr>
            <w:tcW w:w="1843" w:type="dxa"/>
            <w:shd w:val="clear" w:color="auto" w:fill="auto"/>
            <w:noWrap w:val="0"/>
            <w:vAlign w:val="center"/>
          </w:tcPr>
          <w:p w14:paraId="4FB8CC19">
            <w:pPr>
              <w:widowControl/>
              <w:jc w:val="center"/>
              <w:rPr>
                <w:rFonts w:hint="eastAsia" w:ascii="宋体" w:hAnsi="宋体"/>
                <w:kern w:val="0"/>
                <w:szCs w:val="21"/>
              </w:rPr>
            </w:pPr>
            <w:r>
              <w:rPr>
                <w:rFonts w:hint="eastAsia" w:ascii="宋体" w:hAnsi="宋体"/>
                <w:kern w:val="0"/>
                <w:szCs w:val="21"/>
              </w:rPr>
              <w:t>10%</w:t>
            </w:r>
          </w:p>
        </w:tc>
        <w:tc>
          <w:tcPr>
            <w:tcW w:w="1134" w:type="dxa"/>
            <w:vMerge w:val="continue"/>
            <w:noWrap w:val="0"/>
            <w:vAlign w:val="top"/>
          </w:tcPr>
          <w:p w14:paraId="1D98D2AD">
            <w:pPr>
              <w:widowControl/>
              <w:jc w:val="center"/>
              <w:rPr>
                <w:rFonts w:hint="eastAsia" w:ascii="宋体" w:hAnsi="宋体"/>
                <w:kern w:val="0"/>
                <w:szCs w:val="21"/>
              </w:rPr>
            </w:pPr>
          </w:p>
        </w:tc>
      </w:tr>
      <w:tr w14:paraId="0CBD6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048" w:type="dxa"/>
            <w:vMerge w:val="continue"/>
            <w:shd w:val="clear" w:color="auto" w:fill="auto"/>
            <w:noWrap w:val="0"/>
            <w:vAlign w:val="center"/>
          </w:tcPr>
          <w:p w14:paraId="46CE1947">
            <w:pPr>
              <w:widowControl/>
              <w:jc w:val="left"/>
              <w:rPr>
                <w:rFonts w:ascii="宋体" w:hAnsi="宋体"/>
                <w:kern w:val="0"/>
                <w:szCs w:val="21"/>
              </w:rPr>
            </w:pPr>
          </w:p>
        </w:tc>
        <w:tc>
          <w:tcPr>
            <w:tcW w:w="1816" w:type="dxa"/>
            <w:vMerge w:val="continue"/>
            <w:shd w:val="clear" w:color="auto" w:fill="auto"/>
            <w:noWrap w:val="0"/>
            <w:vAlign w:val="center"/>
          </w:tcPr>
          <w:p w14:paraId="4EF3C809">
            <w:pPr>
              <w:widowControl/>
              <w:jc w:val="left"/>
              <w:rPr>
                <w:rFonts w:ascii="宋体" w:hAnsi="宋体"/>
                <w:kern w:val="0"/>
                <w:szCs w:val="21"/>
              </w:rPr>
            </w:pPr>
          </w:p>
        </w:tc>
        <w:tc>
          <w:tcPr>
            <w:tcW w:w="2196" w:type="dxa"/>
            <w:shd w:val="clear" w:color="auto" w:fill="auto"/>
            <w:noWrap w:val="0"/>
            <w:vAlign w:val="center"/>
          </w:tcPr>
          <w:p w14:paraId="52307863">
            <w:pPr>
              <w:widowControl/>
              <w:jc w:val="center"/>
              <w:rPr>
                <w:rFonts w:ascii="宋体" w:hAnsi="宋体"/>
                <w:kern w:val="0"/>
                <w:szCs w:val="21"/>
              </w:rPr>
            </w:pPr>
            <w:r>
              <w:rPr>
                <w:rFonts w:hint="eastAsia" w:ascii="宋体" w:hAnsi="宋体"/>
                <w:kern w:val="0"/>
                <w:szCs w:val="21"/>
              </w:rPr>
              <w:t>课内实践</w:t>
            </w:r>
          </w:p>
        </w:tc>
        <w:tc>
          <w:tcPr>
            <w:tcW w:w="1843" w:type="dxa"/>
            <w:shd w:val="clear" w:color="auto" w:fill="auto"/>
            <w:noWrap w:val="0"/>
            <w:vAlign w:val="center"/>
          </w:tcPr>
          <w:p w14:paraId="3BE07161">
            <w:pPr>
              <w:widowControl/>
              <w:jc w:val="center"/>
              <w:rPr>
                <w:rFonts w:hint="eastAsia" w:ascii="宋体" w:hAnsi="宋体"/>
                <w:kern w:val="0"/>
                <w:szCs w:val="21"/>
              </w:rPr>
            </w:pPr>
            <w:r>
              <w:rPr>
                <w:rFonts w:ascii="宋体" w:hAnsi="宋体"/>
                <w:kern w:val="0"/>
                <w:szCs w:val="21"/>
              </w:rPr>
              <w:t>5</w:t>
            </w:r>
            <w:r>
              <w:rPr>
                <w:rFonts w:hint="eastAsia" w:ascii="宋体" w:hAnsi="宋体"/>
                <w:kern w:val="0"/>
                <w:szCs w:val="21"/>
              </w:rPr>
              <w:t>0%</w:t>
            </w:r>
            <w:r>
              <w:rPr>
                <w:rFonts w:ascii="宋体" w:hAnsi="宋体"/>
                <w:kern w:val="0"/>
                <w:szCs w:val="21"/>
              </w:rPr>
              <w:t xml:space="preserve"> </w:t>
            </w:r>
          </w:p>
        </w:tc>
        <w:tc>
          <w:tcPr>
            <w:tcW w:w="1134" w:type="dxa"/>
            <w:vMerge w:val="continue"/>
            <w:noWrap w:val="0"/>
            <w:vAlign w:val="top"/>
          </w:tcPr>
          <w:p w14:paraId="185A3614">
            <w:pPr>
              <w:widowControl/>
              <w:jc w:val="center"/>
              <w:rPr>
                <w:rFonts w:hint="eastAsia" w:ascii="宋体" w:hAnsi="宋体"/>
                <w:kern w:val="0"/>
                <w:szCs w:val="21"/>
              </w:rPr>
            </w:pPr>
          </w:p>
        </w:tc>
      </w:tr>
      <w:tr w14:paraId="28223B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9" w:hRule="atLeast"/>
        </w:trPr>
        <w:tc>
          <w:tcPr>
            <w:tcW w:w="2048" w:type="dxa"/>
            <w:shd w:val="clear" w:color="auto" w:fill="auto"/>
            <w:noWrap w:val="0"/>
            <w:vAlign w:val="center"/>
          </w:tcPr>
          <w:p w14:paraId="396B5CDF">
            <w:pPr>
              <w:widowControl/>
              <w:jc w:val="center"/>
              <w:rPr>
                <w:rFonts w:hint="eastAsia" w:ascii="宋体" w:hAnsi="宋体"/>
                <w:kern w:val="0"/>
                <w:szCs w:val="21"/>
              </w:rPr>
            </w:pPr>
            <w:r>
              <w:rPr>
                <w:rFonts w:hint="eastAsia" w:ascii="宋体" w:hAnsi="宋体"/>
                <w:kern w:val="0"/>
                <w:szCs w:val="21"/>
              </w:rPr>
              <w:t>课程目标权重合计</w:t>
            </w:r>
          </w:p>
        </w:tc>
        <w:tc>
          <w:tcPr>
            <w:tcW w:w="1816" w:type="dxa"/>
            <w:shd w:val="clear" w:color="auto" w:fill="auto"/>
            <w:noWrap w:val="0"/>
            <w:vAlign w:val="center"/>
          </w:tcPr>
          <w:p w14:paraId="4FA46376">
            <w:pPr>
              <w:widowControl/>
              <w:jc w:val="center"/>
              <w:rPr>
                <w:rFonts w:hint="eastAsia" w:ascii="宋体" w:hAnsi="宋体"/>
                <w:kern w:val="0"/>
                <w:szCs w:val="21"/>
              </w:rPr>
            </w:pPr>
            <w:r>
              <w:rPr>
                <w:rFonts w:hint="eastAsia" w:ascii="宋体" w:hAnsi="宋体"/>
                <w:kern w:val="0"/>
                <w:szCs w:val="21"/>
              </w:rPr>
              <w:t>100%</w:t>
            </w:r>
          </w:p>
        </w:tc>
        <w:tc>
          <w:tcPr>
            <w:tcW w:w="5173" w:type="dxa"/>
            <w:gridSpan w:val="3"/>
            <w:shd w:val="clear" w:color="auto" w:fill="auto"/>
            <w:noWrap w:val="0"/>
            <w:vAlign w:val="center"/>
          </w:tcPr>
          <w:p w14:paraId="37E80B3E">
            <w:pPr>
              <w:widowControl/>
              <w:jc w:val="center"/>
              <w:rPr>
                <w:rFonts w:hint="eastAsia" w:ascii="宋体" w:hAnsi="宋体"/>
                <w:kern w:val="0"/>
                <w:szCs w:val="21"/>
              </w:rPr>
            </w:pPr>
          </w:p>
        </w:tc>
      </w:tr>
    </w:tbl>
    <w:p w14:paraId="4218E75D">
      <w:pPr>
        <w:spacing w:line="360" w:lineRule="auto"/>
        <w:ind w:firstLine="480"/>
        <w:rPr>
          <w:rFonts w:ascii="宋体" w:hAnsi="宋体"/>
          <w:sz w:val="24"/>
          <w:szCs w:val="22"/>
        </w:rPr>
      </w:pPr>
    </w:p>
    <w:p w14:paraId="0CF2508A">
      <w:pPr>
        <w:spacing w:line="360" w:lineRule="auto"/>
        <w:ind w:firstLine="480"/>
        <w:rPr>
          <w:rFonts w:hint="eastAsia" w:ascii="宋体" w:hAnsi="宋体"/>
          <w:sz w:val="24"/>
          <w:szCs w:val="22"/>
        </w:rPr>
      </w:pPr>
      <w:r>
        <w:rPr>
          <w:rFonts w:hint="eastAsia" w:ascii="宋体" w:hAnsi="宋体"/>
          <w:sz w:val="24"/>
          <w:szCs w:val="22"/>
        </w:rPr>
        <w:t>（四）</w:t>
      </w:r>
      <w:r>
        <w:rPr>
          <w:rFonts w:ascii="宋体" w:hAnsi="宋体"/>
          <w:sz w:val="24"/>
          <w:szCs w:val="22"/>
        </w:rPr>
        <w:t>课程目标达成度计算方法</w:t>
      </w:r>
    </w:p>
    <w:p w14:paraId="244BFCC6">
      <w:pPr>
        <w:spacing w:line="360" w:lineRule="auto"/>
        <w:ind w:firstLine="480"/>
        <w:rPr>
          <w:rFonts w:ascii="宋体" w:hAnsi="宋体"/>
          <w:sz w:val="24"/>
          <w:szCs w:val="22"/>
        </w:rPr>
      </w:pPr>
      <w:r>
        <w:rPr>
          <w:rFonts w:ascii="宋体" w:hAnsi="宋体"/>
          <w:sz w:val="24"/>
          <w:szCs w:val="22"/>
        </w:rPr>
        <w:t>所有课程目标均</w:t>
      </w:r>
      <w:r>
        <w:rPr>
          <w:rFonts w:hint="eastAsia" w:ascii="宋体" w:hAnsi="宋体"/>
          <w:sz w:val="24"/>
          <w:szCs w:val="22"/>
        </w:rPr>
        <w:t>需</w:t>
      </w:r>
      <w:r>
        <w:rPr>
          <w:rFonts w:ascii="宋体" w:hAnsi="宋体"/>
          <w:sz w:val="24"/>
          <w:szCs w:val="22"/>
        </w:rPr>
        <w:t>大于等于0.6，否则总评成绩不及格，需要补考或重</w:t>
      </w:r>
      <w:r>
        <w:rPr>
          <w:rFonts w:hint="eastAsia" w:ascii="宋体" w:hAnsi="宋体"/>
          <w:sz w:val="24"/>
          <w:szCs w:val="22"/>
        </w:rPr>
        <w:t>修。</w:t>
      </w:r>
      <w:r>
        <w:rPr>
          <w:rFonts w:ascii="宋体" w:hAnsi="宋体"/>
          <w:sz w:val="24"/>
          <w:szCs w:val="22"/>
        </w:rPr>
        <w:t>每</w:t>
      </w:r>
      <w:r>
        <w:rPr>
          <w:rFonts w:hint="eastAsia" w:ascii="宋体" w:hAnsi="宋体"/>
          <w:sz w:val="24"/>
          <w:szCs w:val="22"/>
        </w:rPr>
        <w:t>门</w:t>
      </w:r>
      <w:r>
        <w:rPr>
          <w:rFonts w:ascii="宋体" w:hAnsi="宋体"/>
          <w:sz w:val="24"/>
          <w:szCs w:val="22"/>
        </w:rPr>
        <w:t>课程目标</w:t>
      </w:r>
      <w:r>
        <w:rPr>
          <w:rFonts w:hint="eastAsia" w:ascii="宋体" w:hAnsi="宋体"/>
          <w:sz w:val="24"/>
          <w:szCs w:val="22"/>
        </w:rPr>
        <w:t>总体</w:t>
      </w:r>
      <w:r>
        <w:rPr>
          <w:rFonts w:ascii="宋体" w:hAnsi="宋体"/>
          <w:sz w:val="24"/>
          <w:szCs w:val="22"/>
        </w:rPr>
        <w:t>达成度计算方法如下：</w:t>
      </w:r>
    </w:p>
    <w:p w14:paraId="575FFCC2">
      <w:pPr>
        <w:spacing w:line="360" w:lineRule="auto"/>
        <w:rPr>
          <w:rFonts w:ascii="宋体" w:hAnsi="宋体"/>
          <w:sz w:val="24"/>
          <w:szCs w:val="22"/>
        </w:rPr>
      </w:pPr>
      <w:r>
        <w:rPr>
          <w:rFonts w:ascii="宋体" w:hAnsi="宋体"/>
          <w:sz w:val="24"/>
          <w:szCs w:val="22"/>
        </w:rPr>
        <w:drawing>
          <wp:inline distT="0" distB="0" distL="114300" distR="114300">
            <wp:extent cx="5760720" cy="365760"/>
            <wp:effectExtent l="0" t="0" r="5080" b="254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5"/>
                    <a:stretch>
                      <a:fillRect/>
                    </a:stretch>
                  </pic:blipFill>
                  <pic:spPr>
                    <a:xfrm>
                      <a:off x="0" y="0"/>
                      <a:ext cx="5760720" cy="365760"/>
                    </a:xfrm>
                    <a:prstGeom prst="rect">
                      <a:avLst/>
                    </a:prstGeom>
                    <a:noFill/>
                    <a:ln>
                      <a:noFill/>
                    </a:ln>
                  </pic:spPr>
                </pic:pic>
              </a:graphicData>
            </a:graphic>
          </wp:inline>
        </w:drawing>
      </w:r>
    </w:p>
    <w:p w14:paraId="3FE5EBDF">
      <w:pPr>
        <w:spacing w:line="360" w:lineRule="auto"/>
        <w:ind w:firstLine="562" w:firstLineChars="200"/>
        <w:rPr>
          <w:rFonts w:ascii="宋体" w:hAnsi="宋体"/>
          <w:b/>
          <w:sz w:val="28"/>
          <w:szCs w:val="28"/>
        </w:rPr>
      </w:pPr>
      <w:r>
        <w:rPr>
          <w:rFonts w:hint="eastAsia" w:ascii="宋体" w:hAnsi="宋体"/>
          <w:b/>
          <w:sz w:val="28"/>
          <w:szCs w:val="28"/>
        </w:rPr>
        <w:t>七</w:t>
      </w:r>
      <w:r>
        <w:rPr>
          <w:rFonts w:ascii="宋体" w:hAnsi="宋体"/>
          <w:b/>
          <w:sz w:val="28"/>
          <w:szCs w:val="28"/>
        </w:rPr>
        <w:t>、</w:t>
      </w:r>
      <w:r>
        <w:rPr>
          <w:rFonts w:hint="eastAsia" w:ascii="宋体" w:hAnsi="宋体"/>
          <w:b/>
          <w:sz w:val="28"/>
          <w:szCs w:val="28"/>
        </w:rPr>
        <w:t>有关说明</w:t>
      </w:r>
    </w:p>
    <w:p w14:paraId="5EDD96AD">
      <w:pPr>
        <w:spacing w:line="360" w:lineRule="auto"/>
        <w:ind w:firstLine="482" w:firstLineChars="200"/>
        <w:outlineLvl w:val="0"/>
        <w:rPr>
          <w:rFonts w:hint="eastAsia" w:ascii="宋体" w:hAnsi="宋体"/>
          <w:b/>
          <w:sz w:val="24"/>
          <w:szCs w:val="22"/>
        </w:rPr>
      </w:pPr>
      <w:r>
        <w:rPr>
          <w:rFonts w:hint="eastAsia" w:ascii="宋体" w:hAnsi="宋体"/>
          <w:b/>
          <w:sz w:val="24"/>
          <w:szCs w:val="22"/>
        </w:rPr>
        <w:t>（一）持续改进</w:t>
      </w:r>
    </w:p>
    <w:p w14:paraId="7AFB055D">
      <w:pPr>
        <w:spacing w:line="360" w:lineRule="auto"/>
        <w:ind w:firstLine="480" w:firstLineChars="200"/>
        <w:outlineLvl w:val="0"/>
        <w:rPr>
          <w:rFonts w:ascii="宋体" w:hAnsi="宋体"/>
          <w:sz w:val="24"/>
          <w:szCs w:val="22"/>
        </w:rPr>
      </w:pPr>
      <w:r>
        <w:rPr>
          <w:rFonts w:hint="eastAsia" w:ascii="宋体" w:hAnsi="宋体"/>
          <w:sz w:val="24"/>
          <w:szCs w:val="22"/>
        </w:rPr>
        <w:t>本课程根据学生作业、课堂讨论、实践环节和学生、教学督导等的反馈，及时对教学中的不足之处进行改进，并在下一轮课程教学中整改完善，确保相应毕业要求指标点达成。</w:t>
      </w:r>
    </w:p>
    <w:p w14:paraId="429E7CFF">
      <w:pPr>
        <w:spacing w:line="360" w:lineRule="auto"/>
        <w:ind w:firstLine="482" w:firstLineChars="200"/>
        <w:outlineLvl w:val="0"/>
        <w:rPr>
          <w:rFonts w:ascii="宋体" w:hAnsi="宋体"/>
          <w:b/>
          <w:sz w:val="24"/>
          <w:szCs w:val="22"/>
        </w:rPr>
      </w:pPr>
      <w:r>
        <w:rPr>
          <w:rFonts w:hint="eastAsia" w:ascii="宋体" w:hAnsi="宋体"/>
          <w:b/>
          <w:sz w:val="24"/>
          <w:szCs w:val="22"/>
        </w:rPr>
        <w:t>（二）</w:t>
      </w:r>
      <w:r>
        <w:rPr>
          <w:rFonts w:ascii="宋体" w:hAnsi="宋体"/>
          <w:b/>
          <w:sz w:val="24"/>
          <w:szCs w:val="22"/>
        </w:rPr>
        <w:t>参考书目及学习资料</w:t>
      </w:r>
    </w:p>
    <w:p w14:paraId="4E938727">
      <w:pPr>
        <w:spacing w:line="360" w:lineRule="auto"/>
        <w:ind w:firstLine="480" w:firstLineChars="200"/>
        <w:rPr>
          <w:rFonts w:ascii="宋体" w:hAnsi="宋体"/>
          <w:sz w:val="24"/>
          <w:szCs w:val="22"/>
        </w:rPr>
      </w:pPr>
      <w:r>
        <w:rPr>
          <w:rFonts w:hint="eastAsia" w:ascii="宋体" w:hAnsi="宋体"/>
          <w:sz w:val="24"/>
          <w:szCs w:val="22"/>
        </w:rPr>
        <w:t>1．教材</w:t>
      </w:r>
    </w:p>
    <w:p w14:paraId="5217133F">
      <w:pPr>
        <w:spacing w:line="360" w:lineRule="auto"/>
        <w:ind w:firstLine="480" w:firstLineChars="200"/>
        <w:outlineLvl w:val="0"/>
        <w:rPr>
          <w:sz w:val="24"/>
          <w:szCs w:val="22"/>
        </w:rPr>
      </w:pPr>
      <w:r>
        <w:rPr>
          <w:rFonts w:hint="eastAsia"/>
          <w:sz w:val="24"/>
          <w:szCs w:val="22"/>
        </w:rPr>
        <w:t>吕彬.小学数学课程教学与示例导引.北京：教育科学出版社，2014.</w:t>
      </w:r>
    </w:p>
    <w:p w14:paraId="4849D72E">
      <w:pPr>
        <w:spacing w:line="360" w:lineRule="auto"/>
        <w:ind w:firstLine="480" w:firstLineChars="200"/>
        <w:outlineLvl w:val="0"/>
        <w:rPr>
          <w:rFonts w:ascii="宋体" w:hAnsi="宋体"/>
          <w:sz w:val="24"/>
          <w:szCs w:val="22"/>
        </w:rPr>
      </w:pPr>
      <w:r>
        <w:rPr>
          <w:rFonts w:hint="eastAsia" w:ascii="宋体" w:hAnsi="宋体"/>
          <w:sz w:val="24"/>
          <w:szCs w:val="22"/>
        </w:rPr>
        <w:t>2．教学参考书</w:t>
      </w:r>
    </w:p>
    <w:p w14:paraId="2D0171A3">
      <w:pPr>
        <w:spacing w:line="360" w:lineRule="auto"/>
        <w:ind w:firstLine="480" w:firstLineChars="200"/>
        <w:rPr>
          <w:rFonts w:ascii="宋体" w:hAnsi="宋体"/>
          <w:sz w:val="24"/>
          <w:szCs w:val="22"/>
        </w:rPr>
      </w:pPr>
      <w:r>
        <w:rPr>
          <w:rFonts w:hint="eastAsia" w:ascii="宋体" w:hAnsi="宋体"/>
          <w:sz w:val="24"/>
          <w:szCs w:val="22"/>
        </w:rPr>
        <w:t>[</w:t>
      </w:r>
      <w:r>
        <w:rPr>
          <w:rFonts w:ascii="宋体" w:hAnsi="宋体"/>
          <w:sz w:val="24"/>
          <w:szCs w:val="22"/>
        </w:rPr>
        <w:t>1]</w:t>
      </w:r>
      <w:r>
        <w:rPr>
          <w:rFonts w:hint="eastAsia" w:ascii="宋体" w:hAnsi="宋体"/>
          <w:sz w:val="24"/>
          <w:szCs w:val="22"/>
        </w:rPr>
        <w:t>教育部.义务教育</w:t>
      </w:r>
      <w:r>
        <w:rPr>
          <w:rFonts w:ascii="宋体" w:hAnsi="宋体"/>
          <w:sz w:val="24"/>
          <w:szCs w:val="22"/>
        </w:rPr>
        <w:t>数学课程标准</w:t>
      </w:r>
      <w:r>
        <w:rPr>
          <w:rFonts w:hint="eastAsia" w:ascii="宋体" w:hAnsi="宋体"/>
          <w:sz w:val="24"/>
          <w:szCs w:val="22"/>
        </w:rPr>
        <w:t>（2011年</w:t>
      </w:r>
      <w:r>
        <w:rPr>
          <w:rFonts w:ascii="宋体" w:hAnsi="宋体"/>
          <w:sz w:val="24"/>
          <w:szCs w:val="22"/>
        </w:rPr>
        <w:t>版）</w:t>
      </w:r>
      <w:r>
        <w:rPr>
          <w:rFonts w:hint="eastAsia" w:ascii="宋体" w:hAnsi="宋体"/>
          <w:sz w:val="24"/>
          <w:szCs w:val="22"/>
        </w:rPr>
        <w:t>.北京：北京师范</w:t>
      </w:r>
      <w:r>
        <w:rPr>
          <w:rFonts w:ascii="宋体" w:hAnsi="宋体"/>
          <w:sz w:val="24"/>
          <w:szCs w:val="22"/>
        </w:rPr>
        <w:t>大学</w:t>
      </w:r>
      <w:r>
        <w:rPr>
          <w:rFonts w:hint="eastAsia" w:ascii="宋体" w:hAnsi="宋体"/>
          <w:sz w:val="24"/>
          <w:szCs w:val="22"/>
        </w:rPr>
        <w:t>大学出版社.201</w:t>
      </w:r>
      <w:r>
        <w:rPr>
          <w:rFonts w:ascii="宋体" w:hAnsi="宋体"/>
          <w:sz w:val="24"/>
          <w:szCs w:val="22"/>
        </w:rPr>
        <w:t>2</w:t>
      </w:r>
      <w:r>
        <w:rPr>
          <w:rFonts w:hint="eastAsia" w:ascii="宋体" w:hAnsi="宋体"/>
          <w:sz w:val="24"/>
          <w:szCs w:val="22"/>
        </w:rPr>
        <w:t>.</w:t>
      </w:r>
    </w:p>
    <w:p w14:paraId="2330A66E">
      <w:pPr>
        <w:spacing w:line="360" w:lineRule="auto"/>
        <w:ind w:firstLine="525" w:firstLineChars="250"/>
        <w:rPr>
          <w:rFonts w:hint="eastAsia"/>
          <w:sz w:val="24"/>
          <w:szCs w:val="22"/>
        </w:rPr>
      </w:pPr>
      <w:r>
        <w:t>[2]</w:t>
      </w:r>
      <w:r>
        <w:rPr>
          <w:rFonts w:hint="eastAsia"/>
        </w:rPr>
        <w:t>张奠宙，宋乃庆，金成梁.</w:t>
      </w:r>
      <w:r>
        <w:rPr>
          <w:rFonts w:hint="eastAsia"/>
          <w:sz w:val="24"/>
          <w:szCs w:val="22"/>
        </w:rPr>
        <w:t>小学数学教学案例研究.北京:高等教育出版社，2010.</w:t>
      </w:r>
    </w:p>
    <w:p w14:paraId="0F8080EF">
      <w:pPr>
        <w:spacing w:line="360" w:lineRule="auto"/>
        <w:ind w:firstLine="480" w:firstLineChars="200"/>
        <w:rPr>
          <w:rFonts w:hint="eastAsia"/>
          <w:sz w:val="24"/>
          <w:szCs w:val="22"/>
        </w:rPr>
      </w:pPr>
      <w:r>
        <w:rPr>
          <w:sz w:val="24"/>
          <w:szCs w:val="22"/>
        </w:rPr>
        <w:t>[3]</w:t>
      </w:r>
      <w:r>
        <w:rPr>
          <w:rFonts w:hint="eastAsia"/>
          <w:sz w:val="24"/>
          <w:szCs w:val="22"/>
        </w:rPr>
        <w:t>金成梁.</w:t>
      </w:r>
      <w:bookmarkStart w:id="296" w:name="OLE_LINK3"/>
      <w:bookmarkStart w:id="297" w:name="OLE_LINK4"/>
      <w:r>
        <w:rPr>
          <w:rFonts w:hint="eastAsia"/>
          <w:sz w:val="24"/>
          <w:szCs w:val="22"/>
        </w:rPr>
        <w:t>小学数学教学案例研究</w:t>
      </w:r>
      <w:bookmarkEnd w:id="296"/>
      <w:bookmarkEnd w:id="297"/>
      <w:r>
        <w:rPr>
          <w:rFonts w:hint="eastAsia"/>
          <w:sz w:val="24"/>
          <w:szCs w:val="22"/>
        </w:rPr>
        <w:t>与基本训练.南京:南京大学出版社，2005.</w:t>
      </w:r>
    </w:p>
    <w:p w14:paraId="3EC5722A">
      <w:pPr>
        <w:spacing w:line="360" w:lineRule="auto"/>
        <w:ind w:firstLine="480" w:firstLineChars="200"/>
        <w:rPr>
          <w:rFonts w:hint="eastAsia"/>
          <w:sz w:val="24"/>
          <w:szCs w:val="22"/>
        </w:rPr>
      </w:pPr>
      <w:r>
        <w:rPr>
          <w:sz w:val="24"/>
          <w:szCs w:val="22"/>
        </w:rPr>
        <w:t>[4]张晓霞</w:t>
      </w:r>
      <w:r>
        <w:rPr>
          <w:rFonts w:hint="eastAsia"/>
          <w:sz w:val="24"/>
          <w:szCs w:val="22"/>
        </w:rPr>
        <w:t>.小学数学教学案例研究.北京:</w:t>
      </w:r>
      <w:r>
        <w:rPr>
          <w:sz w:val="24"/>
          <w:szCs w:val="22"/>
        </w:rPr>
        <w:t>高等教育出版社</w:t>
      </w:r>
      <w:r>
        <w:rPr>
          <w:rFonts w:hint="eastAsia"/>
          <w:sz w:val="24"/>
          <w:szCs w:val="22"/>
        </w:rPr>
        <w:t>，</w:t>
      </w:r>
      <w:r>
        <w:rPr>
          <w:sz w:val="24"/>
          <w:szCs w:val="22"/>
        </w:rPr>
        <w:t>2010</w:t>
      </w:r>
      <w:r>
        <w:rPr>
          <w:rFonts w:hint="eastAsia"/>
          <w:sz w:val="24"/>
          <w:szCs w:val="22"/>
        </w:rPr>
        <w:t>.</w:t>
      </w:r>
    </w:p>
    <w:p w14:paraId="5FF1DEE0">
      <w:pPr>
        <w:spacing w:line="360" w:lineRule="auto"/>
        <w:ind w:firstLine="480" w:firstLineChars="200"/>
        <w:rPr>
          <w:sz w:val="24"/>
          <w:szCs w:val="22"/>
        </w:rPr>
      </w:pPr>
      <w:r>
        <w:rPr>
          <w:sz w:val="24"/>
          <w:szCs w:val="22"/>
        </w:rPr>
        <w:t>[5]</w:t>
      </w:r>
      <w:r>
        <w:rPr>
          <w:rFonts w:hint="eastAsia"/>
          <w:sz w:val="24"/>
          <w:szCs w:val="22"/>
        </w:rPr>
        <w:t>课程教材研究所,数学课程教材研究开发中心.小学数学教学与研究.北京:人民教育出版社，2003.</w:t>
      </w:r>
    </w:p>
    <w:p w14:paraId="1C75338D">
      <w:pPr>
        <w:spacing w:line="360" w:lineRule="auto"/>
        <w:ind w:firstLine="480" w:firstLineChars="200"/>
        <w:rPr>
          <w:rFonts w:hint="eastAsia"/>
          <w:sz w:val="24"/>
          <w:szCs w:val="22"/>
        </w:rPr>
      </w:pPr>
    </w:p>
    <w:p w14:paraId="1FE9179E">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执笔人：</w:t>
      </w:r>
      <w:r>
        <w:rPr>
          <w:rFonts w:hint="eastAsia" w:ascii="宋体" w:hAnsi="宋体"/>
          <w:kern w:val="0"/>
          <w:sz w:val="24"/>
          <w:szCs w:val="21"/>
        </w:rPr>
        <w:t>谢国忠</w:t>
      </w:r>
    </w:p>
    <w:p w14:paraId="49ADF5C4">
      <w:pPr>
        <w:autoSpaceDE w:val="0"/>
        <w:autoSpaceDN w:val="0"/>
        <w:adjustRightInd w:val="0"/>
        <w:spacing w:line="360" w:lineRule="auto"/>
        <w:ind w:firstLine="5280" w:firstLineChars="2200"/>
        <w:jc w:val="left"/>
        <w:rPr>
          <w:rFonts w:ascii="宋体" w:hAnsi="宋体"/>
          <w:kern w:val="0"/>
          <w:sz w:val="24"/>
          <w:szCs w:val="21"/>
        </w:rPr>
      </w:pPr>
      <w:r>
        <w:rPr>
          <w:rFonts w:ascii="宋体" w:hAnsi="宋体"/>
          <w:kern w:val="0"/>
          <w:sz w:val="24"/>
          <w:szCs w:val="21"/>
        </w:rPr>
        <w:t>审定人：</w:t>
      </w:r>
      <w:r>
        <w:rPr>
          <w:rFonts w:hint="eastAsia" w:ascii="宋体" w:hAnsi="宋体"/>
          <w:kern w:val="0"/>
          <w:sz w:val="24"/>
          <w:szCs w:val="21"/>
        </w:rPr>
        <w:t>张志</w:t>
      </w:r>
      <w:r>
        <w:rPr>
          <w:rFonts w:ascii="宋体" w:hAnsi="宋体"/>
          <w:kern w:val="0"/>
          <w:sz w:val="24"/>
          <w:szCs w:val="21"/>
        </w:rPr>
        <w:t xml:space="preserve">欣 </w:t>
      </w:r>
    </w:p>
    <w:p w14:paraId="5D4070DA">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rPr>
        <w:t>张建波</w:t>
      </w:r>
    </w:p>
    <w:p w14:paraId="64E15869">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w:t>
      </w:r>
      <w:r>
        <w:rPr>
          <w:rFonts w:ascii="宋体" w:hAnsi="宋体"/>
          <w:kern w:val="0"/>
          <w:sz w:val="24"/>
          <w:szCs w:val="21"/>
        </w:rPr>
        <w:t>22</w:t>
      </w:r>
      <w:r>
        <w:rPr>
          <w:rFonts w:hint="eastAsia" w:ascii="宋体" w:hAnsi="宋体"/>
          <w:kern w:val="0"/>
          <w:sz w:val="24"/>
          <w:szCs w:val="21"/>
        </w:rPr>
        <w:t>年8月</w:t>
      </w:r>
      <w:r>
        <w:rPr>
          <w:rFonts w:ascii="宋体" w:hAnsi="宋体"/>
          <w:kern w:val="0"/>
          <w:sz w:val="24"/>
          <w:szCs w:val="21"/>
        </w:rPr>
        <w:t>30</w:t>
      </w:r>
      <w:r>
        <w:rPr>
          <w:rFonts w:hint="eastAsia" w:ascii="宋体" w:hAnsi="宋体"/>
          <w:kern w:val="0"/>
          <w:sz w:val="24"/>
          <w:szCs w:val="21"/>
        </w:rPr>
        <w:t>日</w:t>
      </w:r>
    </w:p>
    <w:p w14:paraId="6F969972">
      <w:pPr>
        <w:autoSpaceDE w:val="0"/>
        <w:autoSpaceDN w:val="0"/>
        <w:adjustRightInd w:val="0"/>
        <w:spacing w:line="360" w:lineRule="auto"/>
        <w:ind w:firstLine="5280" w:firstLineChars="2200"/>
        <w:rPr>
          <w:rFonts w:ascii="宋体" w:hAnsi="宋体" w:eastAsia="宋体" w:cs="Times New Roman"/>
          <w:kern w:val="0"/>
          <w:sz w:val="24"/>
          <w:szCs w:val="21"/>
        </w:rPr>
      </w:pPr>
    </w:p>
    <w:p w14:paraId="4DA3D1C9">
      <w:pPr>
        <w:widowControl/>
        <w:jc w:val="left"/>
        <w:rPr>
          <w:rFonts w:ascii="Times New Roman" w:hAnsi="Times New Roman" w:eastAsia="宋体" w:cs="Times New Roman"/>
          <w:kern w:val="0"/>
          <w:sz w:val="24"/>
          <w:szCs w:val="21"/>
        </w:rPr>
      </w:pPr>
    </w:p>
    <w:p w14:paraId="17DE184D">
      <w:pPr>
        <w:widowControl/>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67C07434">
      <w:pPr>
        <w:spacing w:line="288" w:lineRule="auto"/>
        <w:jc w:val="center"/>
        <w:outlineLvl w:val="0"/>
        <w:rPr>
          <w:rFonts w:hint="eastAsia" w:ascii="宋体" w:hAnsi="宋体" w:eastAsia="宋体" w:cs="Times New Roman"/>
          <w:b/>
          <w:sz w:val="30"/>
          <w:szCs w:val="30"/>
        </w:rPr>
      </w:pPr>
      <w:bookmarkStart w:id="298" w:name="_Toc25064592"/>
      <w:bookmarkStart w:id="299" w:name="_Toc166165232"/>
      <w:bookmarkStart w:id="300" w:name="_Toc14625"/>
      <w:bookmarkStart w:id="301" w:name="_Toc57017206"/>
      <w:r>
        <w:rPr>
          <w:rFonts w:hint="eastAsia" w:ascii="宋体" w:hAnsi="宋体" w:eastAsia="宋体" w:cs="Times New Roman"/>
          <w:b/>
          <w:sz w:val="30"/>
          <w:szCs w:val="30"/>
        </w:rPr>
        <w:t>《家校社协同</w:t>
      </w:r>
      <w:bookmarkEnd w:id="298"/>
      <w:r>
        <w:rPr>
          <w:rFonts w:hint="eastAsia" w:ascii="宋体" w:hAnsi="宋体" w:eastAsia="宋体" w:cs="Times New Roman"/>
          <w:b/>
          <w:sz w:val="30"/>
          <w:szCs w:val="30"/>
        </w:rPr>
        <w:t>育人》课程教学大纲</w:t>
      </w:r>
      <w:bookmarkEnd w:id="299"/>
    </w:p>
    <w:p w14:paraId="1FAEA24F">
      <w:pPr>
        <w:spacing w:line="288" w:lineRule="auto"/>
        <w:jc w:val="center"/>
        <w:rPr>
          <w:rFonts w:ascii="Times New Roman" w:hAnsi="Times New Roman" w:eastAsia="宋体" w:cs="Times New Roman"/>
          <w:b/>
          <w:sz w:val="28"/>
          <w:szCs w:val="30"/>
        </w:rPr>
      </w:pPr>
      <w:r>
        <w:rPr>
          <w:rFonts w:hint="eastAsia" w:ascii="宋体" w:hAnsi="宋体" w:eastAsia="宋体" w:cs="Times New Roman"/>
          <w:b/>
          <w:sz w:val="28"/>
          <w:szCs w:val="28"/>
        </w:rPr>
        <w:t>（</w:t>
      </w:r>
      <w:r>
        <w:rPr>
          <w:rFonts w:ascii="宋体" w:hAnsi="宋体" w:eastAsia="宋体" w:cs="Times New Roman"/>
          <w:b/>
          <w:sz w:val="28"/>
          <w:szCs w:val="28"/>
        </w:rPr>
        <w:t>Family and Community Education</w:t>
      </w:r>
      <w:r>
        <w:rPr>
          <w:rFonts w:hint="eastAsia" w:ascii="宋体" w:hAnsi="宋体" w:eastAsia="宋体" w:cs="Times New Roman"/>
          <w:b/>
          <w:sz w:val="28"/>
          <w:szCs w:val="28"/>
        </w:rPr>
        <w:t>）</w:t>
      </w:r>
    </w:p>
    <w:p w14:paraId="087BF0B2">
      <w:pPr>
        <w:spacing w:line="360" w:lineRule="auto"/>
        <w:ind w:firstLine="482" w:firstLineChars="200"/>
        <w:rPr>
          <w:rFonts w:hint="eastAsia" w:ascii="宋体" w:hAnsi="宋体" w:eastAsia="宋体" w:cs="Times New Roman"/>
          <w:b/>
          <w:bCs/>
          <w:color w:val="008080"/>
          <w:sz w:val="30"/>
          <w:szCs w:val="30"/>
        </w:rPr>
      </w:pPr>
      <w:r>
        <w:rPr>
          <w:rFonts w:ascii="宋体" w:hAnsi="宋体" w:eastAsia="宋体" w:cs="Times New Roman"/>
          <w:b/>
          <w:bCs/>
          <w:sz w:val="24"/>
        </w:rPr>
        <w:t>一</w:t>
      </w:r>
      <w:r>
        <w:rPr>
          <w:rFonts w:hint="eastAsia" w:ascii="宋体" w:hAnsi="宋体" w:eastAsia="宋体" w:cs="Times New Roman"/>
          <w:b/>
          <w:bCs/>
          <w:sz w:val="24"/>
        </w:rPr>
        <w:t>、课程概况</w:t>
      </w:r>
    </w:p>
    <w:p w14:paraId="43B00132">
      <w:pPr>
        <w:snapToGrid w:val="0"/>
        <w:spacing w:line="360" w:lineRule="auto"/>
        <w:ind w:firstLine="472" w:firstLineChars="196"/>
        <w:rPr>
          <w:rFonts w:hint="eastAsia" w:ascii="宋体" w:hAnsi="宋体" w:eastAsia="宋体" w:cs="Times New Roman"/>
          <w:color w:val="000000"/>
          <w:sz w:val="24"/>
          <w:szCs w:val="24"/>
        </w:rPr>
      </w:pPr>
      <w:r>
        <w:rPr>
          <w:rFonts w:ascii="宋体" w:hAnsi="宋体" w:eastAsia="宋体" w:cs="Times New Roman"/>
          <w:b/>
          <w:bCs/>
          <w:color w:val="000000"/>
          <w:sz w:val="24"/>
          <w:szCs w:val="24"/>
        </w:rPr>
        <w:t>课程代码：</w:t>
      </w:r>
      <w:r>
        <w:rPr>
          <w:rFonts w:hint="eastAsia" w:ascii="宋体" w:hAnsi="宋体" w:eastAsia="宋体" w:cs="Times New Roman"/>
          <w:color w:val="000000"/>
          <w:sz w:val="24"/>
          <w:szCs w:val="24"/>
        </w:rPr>
        <w:t>2</w:t>
      </w:r>
      <w:r>
        <w:rPr>
          <w:rFonts w:ascii="宋体" w:hAnsi="宋体" w:eastAsia="宋体" w:cs="Times New Roman"/>
          <w:color w:val="000000"/>
          <w:sz w:val="24"/>
          <w:szCs w:val="24"/>
        </w:rPr>
        <w:t>401061</w:t>
      </w:r>
    </w:p>
    <w:p w14:paraId="5F402C1E">
      <w:pPr>
        <w:snapToGrid w:val="0"/>
        <w:spacing w:line="360" w:lineRule="auto"/>
        <w:ind w:firstLine="472" w:firstLineChars="196"/>
        <w:rPr>
          <w:rFonts w:hint="eastAsia" w:ascii="宋体" w:hAnsi="宋体" w:eastAsia="宋体" w:cs="Times New Roman"/>
          <w:color w:val="000000"/>
          <w:sz w:val="24"/>
          <w:szCs w:val="24"/>
        </w:rPr>
      </w:pPr>
      <w:r>
        <w:rPr>
          <w:rFonts w:ascii="宋体" w:hAnsi="宋体" w:eastAsia="宋体" w:cs="Times New Roman"/>
          <w:b/>
          <w:bCs/>
          <w:color w:val="000000"/>
          <w:sz w:val="24"/>
          <w:szCs w:val="24"/>
        </w:rPr>
        <w:t>课程学分：</w:t>
      </w:r>
      <w:r>
        <w:rPr>
          <w:rFonts w:hint="eastAsia" w:ascii="宋体" w:hAnsi="宋体" w:eastAsia="宋体" w:cs="Times New Roman"/>
          <w:color w:val="000000"/>
          <w:sz w:val="24"/>
          <w:szCs w:val="24"/>
        </w:rPr>
        <w:t>2</w:t>
      </w:r>
      <w:r>
        <w:rPr>
          <w:rFonts w:ascii="宋体" w:hAnsi="宋体" w:eastAsia="宋体" w:cs="Times New Roman"/>
          <w:color w:val="000000"/>
          <w:sz w:val="24"/>
          <w:szCs w:val="24"/>
        </w:rPr>
        <w:t>.0</w:t>
      </w:r>
      <w:r>
        <w:rPr>
          <w:rFonts w:hint="eastAsia" w:ascii="宋体" w:hAnsi="宋体" w:eastAsia="宋体" w:cs="Times New Roman"/>
          <w:color w:val="000000"/>
          <w:sz w:val="24"/>
          <w:szCs w:val="24"/>
        </w:rPr>
        <w:t>学分</w:t>
      </w:r>
    </w:p>
    <w:p w14:paraId="210071FD">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 xml:space="preserve">学 </w:t>
      </w:r>
      <w:r>
        <w:rPr>
          <w:rFonts w:ascii="宋体" w:hAnsi="宋体" w:eastAsia="宋体" w:cs="Times New Roman"/>
          <w:b/>
          <w:bCs/>
          <w:color w:val="000000"/>
          <w:sz w:val="24"/>
          <w:szCs w:val="24"/>
        </w:rPr>
        <w:t xml:space="preserve">   </w:t>
      </w:r>
      <w:r>
        <w:rPr>
          <w:rFonts w:hint="eastAsia" w:ascii="宋体" w:hAnsi="宋体" w:eastAsia="宋体" w:cs="Times New Roman"/>
          <w:b/>
          <w:bCs/>
          <w:color w:val="000000"/>
          <w:sz w:val="24"/>
          <w:szCs w:val="24"/>
        </w:rPr>
        <w:t>时：</w:t>
      </w:r>
      <w:r>
        <w:rPr>
          <w:rFonts w:hint="eastAsia" w:ascii="宋体" w:hAnsi="宋体" w:eastAsia="宋体" w:cs="Times New Roman"/>
          <w:color w:val="000000"/>
          <w:sz w:val="24"/>
          <w:szCs w:val="24"/>
        </w:rPr>
        <w:t>3</w:t>
      </w:r>
      <w:r>
        <w:rPr>
          <w:rFonts w:ascii="宋体" w:hAnsi="宋体" w:eastAsia="宋体" w:cs="Times New Roman"/>
          <w:color w:val="000000"/>
          <w:sz w:val="24"/>
          <w:szCs w:val="24"/>
        </w:rPr>
        <w:t>2</w:t>
      </w:r>
      <w:r>
        <w:rPr>
          <w:rFonts w:hint="eastAsia" w:ascii="宋体" w:hAnsi="宋体" w:eastAsia="宋体" w:cs="Times New Roman"/>
          <w:color w:val="000000"/>
          <w:sz w:val="24"/>
          <w:szCs w:val="24"/>
        </w:rPr>
        <w:t>学时</w:t>
      </w:r>
    </w:p>
    <w:p w14:paraId="4674EB8D">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先修课程</w:t>
      </w:r>
      <w:r>
        <w:rPr>
          <w:rFonts w:hint="eastAsia" w:ascii="宋体" w:hAnsi="宋体" w:eastAsia="宋体" w:cs="Times New Roman"/>
          <w:color w:val="000000"/>
          <w:sz w:val="24"/>
          <w:szCs w:val="24"/>
        </w:rPr>
        <w:t>：教育原理、教育心理学</w:t>
      </w:r>
    </w:p>
    <w:p w14:paraId="63F15410">
      <w:pPr>
        <w:snapToGrid w:val="0"/>
        <w:spacing w:line="360" w:lineRule="auto"/>
        <w:ind w:firstLine="472" w:firstLineChars="196"/>
        <w:rPr>
          <w:rFonts w:hint="eastAsia" w:ascii="宋体" w:hAnsi="宋体" w:eastAsia="宋体" w:cs="Times New Roman"/>
          <w:color w:val="000000"/>
          <w:sz w:val="24"/>
          <w:szCs w:val="24"/>
        </w:rPr>
      </w:pPr>
      <w:r>
        <w:rPr>
          <w:rFonts w:ascii="宋体" w:hAnsi="宋体" w:eastAsia="宋体" w:cs="Times New Roman"/>
          <w:b/>
          <w:bCs/>
          <w:color w:val="000000"/>
          <w:sz w:val="24"/>
          <w:szCs w:val="24"/>
        </w:rPr>
        <w:t>面向专业：</w:t>
      </w:r>
      <w:r>
        <w:rPr>
          <w:rFonts w:hint="eastAsia" w:ascii="宋体" w:hAnsi="宋体" w:eastAsia="宋体" w:cs="Times New Roman"/>
          <w:color w:val="000000"/>
          <w:sz w:val="24"/>
          <w:szCs w:val="24"/>
        </w:rPr>
        <w:t>小学教育专业</w:t>
      </w:r>
    </w:p>
    <w:p w14:paraId="195832E8">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建议教材</w:t>
      </w:r>
      <w:r>
        <w:rPr>
          <w:rFonts w:hint="eastAsia" w:ascii="宋体" w:hAnsi="宋体" w:eastAsia="宋体" w:cs="Times New Roman"/>
          <w:color w:val="000000"/>
          <w:sz w:val="24"/>
          <w:szCs w:val="24"/>
        </w:rPr>
        <w:t>：</w:t>
      </w:r>
      <w:r>
        <w:rPr>
          <w:rFonts w:ascii="宋体" w:hAnsi="宋体" w:eastAsia="宋体" w:cs="Times New Roman"/>
          <w:color w:val="000000"/>
          <w:sz w:val="24"/>
          <w:szCs w:val="24"/>
        </w:rPr>
        <w:t>孙云晓，家校合作共育：中国家庭教育的新趋势</w:t>
      </w:r>
      <w:r>
        <w:rPr>
          <w:rFonts w:hint="eastAsia" w:ascii="宋体" w:hAnsi="宋体" w:eastAsia="宋体" w:cs="Times New Roman"/>
          <w:color w:val="000000"/>
          <w:sz w:val="24"/>
          <w:szCs w:val="24"/>
        </w:rPr>
        <w:t>，北京：中国人民大学出版社，20</w:t>
      </w:r>
      <w:r>
        <w:rPr>
          <w:rFonts w:ascii="宋体" w:hAnsi="宋体" w:eastAsia="宋体" w:cs="Times New Roman"/>
          <w:color w:val="000000"/>
          <w:sz w:val="24"/>
          <w:szCs w:val="24"/>
        </w:rPr>
        <w:t>20</w:t>
      </w:r>
      <w:r>
        <w:rPr>
          <w:rFonts w:hint="eastAsia" w:ascii="宋体" w:hAnsi="宋体" w:eastAsia="宋体" w:cs="Times New Roman"/>
          <w:color w:val="000000"/>
          <w:sz w:val="24"/>
          <w:szCs w:val="24"/>
        </w:rPr>
        <w:t>.</w:t>
      </w:r>
      <w:r>
        <w:rPr>
          <w:rFonts w:ascii="宋体" w:hAnsi="宋体" w:eastAsia="宋体" w:cs="Times New Roman"/>
          <w:color w:val="000000"/>
          <w:sz w:val="24"/>
          <w:szCs w:val="24"/>
        </w:rPr>
        <w:t>10.</w:t>
      </w:r>
    </w:p>
    <w:p w14:paraId="2D6AD051">
      <w:pPr>
        <w:snapToGrid w:val="0"/>
        <w:spacing w:line="360" w:lineRule="auto"/>
        <w:ind w:firstLine="472" w:firstLineChars="196"/>
        <w:rPr>
          <w:rFonts w:hint="eastAsia" w:ascii="宋体" w:hAnsi="宋体" w:eastAsia="宋体" w:cs="Times New Roman"/>
          <w:bCs/>
          <w:color w:val="000000"/>
          <w:sz w:val="24"/>
          <w:szCs w:val="24"/>
        </w:rPr>
      </w:pPr>
      <w:r>
        <w:rPr>
          <w:rFonts w:hint="eastAsia" w:ascii="宋体" w:hAnsi="宋体" w:eastAsia="宋体" w:cs="Times New Roman"/>
          <w:b/>
          <w:bCs/>
          <w:color w:val="000000"/>
          <w:sz w:val="24"/>
          <w:szCs w:val="24"/>
        </w:rPr>
        <w:t>课程归口</w:t>
      </w:r>
      <w:r>
        <w:rPr>
          <w:rFonts w:ascii="宋体" w:hAnsi="宋体" w:eastAsia="宋体" w:cs="Times New Roman"/>
          <w:b/>
          <w:bCs/>
          <w:color w:val="000000"/>
          <w:sz w:val="24"/>
          <w:szCs w:val="24"/>
        </w:rPr>
        <w:t>：</w:t>
      </w:r>
      <w:r>
        <w:rPr>
          <w:rFonts w:hint="eastAsia" w:ascii="宋体" w:hAnsi="宋体" w:eastAsia="宋体" w:cs="Times New Roman"/>
          <w:bCs/>
          <w:color w:val="000000"/>
          <w:sz w:val="24"/>
          <w:szCs w:val="24"/>
        </w:rPr>
        <w:t>师范学院</w:t>
      </w:r>
    </w:p>
    <w:p w14:paraId="117325F8">
      <w:pPr>
        <w:snapToGrid w:val="0"/>
        <w:spacing w:line="360" w:lineRule="auto"/>
        <w:ind w:firstLine="472" w:firstLineChars="196"/>
        <w:rPr>
          <w:rFonts w:hint="eastAsia" w:ascii="宋体" w:hAnsi="宋体" w:eastAsia="宋体" w:cs="Times New Roman"/>
          <w:sz w:val="24"/>
          <w:szCs w:val="24"/>
        </w:rPr>
      </w:pPr>
      <w:r>
        <w:rPr>
          <w:rFonts w:hint="eastAsia" w:ascii="宋体" w:hAnsi="宋体" w:eastAsia="宋体" w:cs="Times New Roman"/>
          <w:b/>
          <w:bCs/>
          <w:color w:val="000000"/>
          <w:sz w:val="24"/>
          <w:szCs w:val="24"/>
        </w:rPr>
        <w:t>课程的性质与任务：</w:t>
      </w:r>
      <w:r>
        <w:rPr>
          <w:rFonts w:hint="eastAsia" w:ascii="宋体" w:hAnsi="宋体" w:eastAsia="宋体" w:cs="Times New Roman"/>
          <w:color w:val="000000"/>
          <w:sz w:val="24"/>
          <w:szCs w:val="24"/>
        </w:rPr>
        <w:t>《家校社协同育人》是小学教育专业的一门专业选修课，是一门实践性和理论性并重的基础课程，该课程主要涉及家庭与社区教育的一些基本概念和基本理论，</w:t>
      </w:r>
      <w:r>
        <w:rPr>
          <w:rFonts w:hint="eastAsia" w:ascii="宋体" w:hAnsi="宋体" w:eastAsia="宋体" w:cs="Times New Roman"/>
          <w:sz w:val="24"/>
          <w:szCs w:val="24"/>
        </w:rPr>
        <w:t>立足中国儿童家庭与社区教育发展的实际，关注</w:t>
      </w:r>
      <w:r>
        <w:rPr>
          <w:rFonts w:ascii="宋体" w:hAnsi="宋体" w:eastAsia="宋体" w:cs="Times New Roman"/>
          <w:sz w:val="24"/>
          <w:szCs w:val="24"/>
        </w:rPr>
        <w:t>当前家庭教育发展的具体情况，总结近些年中国家庭教育的发展历程与经验启示，介绍中国家庭教育的现状、父母教育理念的更新、家庭教育的立法进程、</w:t>
      </w:r>
      <w:r>
        <w:rPr>
          <w:rFonts w:hint="eastAsia" w:ascii="宋体" w:hAnsi="宋体" w:eastAsia="宋体" w:cs="Times New Roman"/>
          <w:sz w:val="24"/>
          <w:szCs w:val="24"/>
        </w:rPr>
        <w:t>“</w:t>
      </w:r>
      <w:r>
        <w:rPr>
          <w:rFonts w:ascii="宋体" w:hAnsi="宋体" w:eastAsia="宋体" w:cs="Times New Roman"/>
          <w:sz w:val="24"/>
          <w:szCs w:val="24"/>
        </w:rPr>
        <w:t>二孩时代</w:t>
      </w:r>
      <w:r>
        <w:rPr>
          <w:rFonts w:hint="eastAsia" w:ascii="宋体" w:hAnsi="宋体" w:eastAsia="宋体" w:cs="Times New Roman"/>
          <w:sz w:val="24"/>
          <w:szCs w:val="24"/>
        </w:rPr>
        <w:t>”的</w:t>
      </w:r>
      <w:r>
        <w:rPr>
          <w:rFonts w:ascii="宋体" w:hAnsi="宋体" w:eastAsia="宋体" w:cs="Times New Roman"/>
          <w:sz w:val="24"/>
          <w:szCs w:val="24"/>
        </w:rPr>
        <w:t>隔代教养</w:t>
      </w:r>
      <w:r>
        <w:rPr>
          <w:rFonts w:hint="eastAsia" w:ascii="宋体" w:hAnsi="宋体" w:eastAsia="宋体" w:cs="Times New Roman"/>
          <w:sz w:val="24"/>
          <w:szCs w:val="24"/>
        </w:rPr>
        <w:t>等</w:t>
      </w:r>
      <w:r>
        <w:rPr>
          <w:rFonts w:ascii="宋体" w:hAnsi="宋体" w:eastAsia="宋体" w:cs="Times New Roman"/>
          <w:sz w:val="24"/>
          <w:szCs w:val="24"/>
        </w:rPr>
        <w:t>诸多现象、家风家训与中国传统优秀家教文化的弘扬等内容，为</w:t>
      </w:r>
      <w:r>
        <w:rPr>
          <w:rFonts w:hint="eastAsia" w:ascii="宋体" w:hAnsi="宋体" w:eastAsia="宋体" w:cs="Times New Roman"/>
          <w:sz w:val="24"/>
          <w:szCs w:val="24"/>
        </w:rPr>
        <w:t>小学</w:t>
      </w:r>
      <w:r>
        <w:rPr>
          <w:rFonts w:ascii="宋体" w:hAnsi="宋体" w:eastAsia="宋体" w:cs="Times New Roman"/>
          <w:sz w:val="24"/>
          <w:szCs w:val="24"/>
        </w:rPr>
        <w:t>教育专业学生掌握</w:t>
      </w:r>
      <w:r>
        <w:rPr>
          <w:rFonts w:hint="eastAsia" w:ascii="宋体" w:hAnsi="宋体" w:eastAsia="宋体" w:cs="Times New Roman"/>
          <w:sz w:val="24"/>
          <w:szCs w:val="24"/>
        </w:rPr>
        <w:t>、理解</w:t>
      </w:r>
      <w:r>
        <w:rPr>
          <w:rFonts w:ascii="宋体" w:hAnsi="宋体" w:eastAsia="宋体" w:cs="Times New Roman"/>
          <w:sz w:val="24"/>
          <w:szCs w:val="24"/>
        </w:rPr>
        <w:t>和开展家庭与社区教育提供理论学习</w:t>
      </w:r>
      <w:r>
        <w:rPr>
          <w:rFonts w:hint="eastAsia" w:ascii="宋体" w:hAnsi="宋体" w:eastAsia="宋体" w:cs="Times New Roman"/>
          <w:sz w:val="24"/>
          <w:szCs w:val="24"/>
        </w:rPr>
        <w:t>帮助。</w:t>
      </w:r>
    </w:p>
    <w:p w14:paraId="62C6F257">
      <w:pPr>
        <w:snapToGrid w:val="0"/>
        <w:spacing w:line="360" w:lineRule="auto"/>
        <w:ind w:firstLine="472" w:firstLineChars="196"/>
        <w:rPr>
          <w:rFonts w:hint="eastAsia" w:ascii="宋体" w:hAnsi="宋体" w:eastAsia="宋体" w:cs="Times New Roman"/>
          <w:b/>
          <w:bCs/>
          <w:sz w:val="24"/>
          <w:szCs w:val="24"/>
        </w:rPr>
      </w:pPr>
      <w:r>
        <w:rPr>
          <w:rFonts w:hint="eastAsia" w:ascii="宋体" w:hAnsi="宋体" w:eastAsia="宋体" w:cs="Times New Roman"/>
          <w:b/>
          <w:bCs/>
          <w:sz w:val="24"/>
          <w:szCs w:val="24"/>
        </w:rPr>
        <w:t>二、课程目标</w:t>
      </w:r>
    </w:p>
    <w:p w14:paraId="32A51B66">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（一）课程具体目标</w:t>
      </w:r>
    </w:p>
    <w:p w14:paraId="40D83CF3">
      <w:pPr>
        <w:snapToGrid w:val="0"/>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课程目标1：了解本课程以及家庭教育的理论知识及实践，了解中国在家庭教育方面的优秀传统文化及当前面临的育人现实问题。</w:t>
      </w:r>
    </w:p>
    <w:p w14:paraId="7AC9CBBC">
      <w:pPr>
        <w:snapToGrid w:val="0"/>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课程目标2：树立科学的儿童观、具备保护儿童权利的意识；树立家校社协同育人的思想观念；树立家庭教育的法制观念和职业职责意识。</w:t>
      </w:r>
    </w:p>
    <w:p w14:paraId="0A139C1B">
      <w:pPr>
        <w:snapToGrid w:val="0"/>
        <w:spacing w:line="360" w:lineRule="auto"/>
        <w:ind w:firstLine="470" w:firstLineChars="196"/>
        <w:rPr>
          <w:rFonts w:hint="eastAsia" w:ascii="宋体" w:hAnsi="宋体" w:eastAsia="宋体" w:cs="Times New Roman"/>
          <w:sz w:val="24"/>
          <w:szCs w:val="24"/>
        </w:rPr>
      </w:pPr>
      <w:r>
        <w:rPr>
          <w:rFonts w:hint="eastAsia" w:ascii="宋体" w:hAnsi="宋体" w:eastAsia="宋体" w:cs="Times New Roman"/>
          <w:sz w:val="24"/>
          <w:szCs w:val="24"/>
        </w:rPr>
        <w:t>课程目标3：具备了解儿童，具备家校社协同育人的知识、能力和技巧。</w:t>
      </w:r>
    </w:p>
    <w:p w14:paraId="6298101C">
      <w:pPr>
        <w:snapToGrid w:val="0"/>
        <w:spacing w:line="288" w:lineRule="auto"/>
        <w:ind w:firstLine="472" w:firstLineChars="196"/>
        <w:rPr>
          <w:rFonts w:ascii="Calibri" w:hAnsi="Calibri" w:eastAsia="宋体" w:cs="Times New Roman"/>
          <w:b/>
          <w:bCs/>
          <w:color w:val="000000"/>
          <w:sz w:val="24"/>
          <w:szCs w:val="24"/>
        </w:rPr>
      </w:pPr>
      <w:r>
        <w:rPr>
          <w:rFonts w:hint="eastAsia" w:ascii="Calibri" w:hAnsi="Calibri" w:eastAsia="宋体" w:cs="Times New Roman"/>
          <w:b/>
          <w:bCs/>
          <w:color w:val="000000"/>
          <w:sz w:val="24"/>
          <w:szCs w:val="24"/>
        </w:rPr>
        <w:t>（二）课程目标与专业毕业要求的关系</w:t>
      </w:r>
    </w:p>
    <w:tbl>
      <w:tblPr>
        <w:tblStyle w:val="30"/>
        <w:tblW w:w="8250" w:type="dxa"/>
        <w:tblInd w:w="13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709"/>
        <w:gridCol w:w="5316"/>
      </w:tblGrid>
      <w:tr w14:paraId="2E685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25" w:type="dxa"/>
            <w:vAlign w:val="center"/>
          </w:tcPr>
          <w:p w14:paraId="134F5F11">
            <w:pPr>
              <w:snapToGrid w:val="0"/>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p>
        </w:tc>
        <w:tc>
          <w:tcPr>
            <w:tcW w:w="1709" w:type="dxa"/>
            <w:vAlign w:val="center"/>
          </w:tcPr>
          <w:p w14:paraId="07AB25DE">
            <w:pPr>
              <w:snapToGrid w:val="0"/>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w:t>
            </w:r>
          </w:p>
        </w:tc>
        <w:tc>
          <w:tcPr>
            <w:tcW w:w="5316" w:type="dxa"/>
            <w:vAlign w:val="center"/>
          </w:tcPr>
          <w:p w14:paraId="5067EA9D">
            <w:pPr>
              <w:snapToGrid w:val="0"/>
              <w:spacing w:line="288" w:lineRule="auto"/>
              <w:ind w:firstLine="1046" w:firstLineChars="496"/>
              <w:rPr>
                <w:rFonts w:hint="eastAsia" w:ascii="宋体" w:hAnsi="宋体" w:eastAsia="宋体" w:cs="Times New Roman"/>
                <w:b/>
                <w:bCs/>
                <w:color w:val="000000"/>
                <w:szCs w:val="21"/>
              </w:rPr>
            </w:pPr>
            <w:r>
              <w:rPr>
                <w:rFonts w:hint="eastAsia" w:ascii="宋体" w:hAnsi="宋体" w:eastAsia="宋体" w:cs="Times New Roman"/>
                <w:b/>
                <w:bCs/>
                <w:color w:val="000000"/>
                <w:szCs w:val="21"/>
              </w:rPr>
              <w:t>支撑的毕业要求指标点</w:t>
            </w:r>
          </w:p>
        </w:tc>
      </w:tr>
      <w:tr w14:paraId="1526A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25" w:type="dxa"/>
            <w:vAlign w:val="center"/>
          </w:tcPr>
          <w:p w14:paraId="3440AAF9">
            <w:pPr>
              <w:snapToGrid w:val="0"/>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课程目标1</w:t>
            </w:r>
          </w:p>
        </w:tc>
        <w:tc>
          <w:tcPr>
            <w:tcW w:w="1709" w:type="dxa"/>
            <w:vAlign w:val="center"/>
          </w:tcPr>
          <w:p w14:paraId="6031ABE4">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毕业要求5：</w:t>
            </w:r>
          </w:p>
          <w:p w14:paraId="40AFDC5E">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班级管理</w:t>
            </w:r>
          </w:p>
          <w:p w14:paraId="481CDBD3">
            <w:pPr>
              <w:snapToGrid w:val="0"/>
              <w:spacing w:line="288" w:lineRule="auto"/>
              <w:ind w:firstLine="411" w:firstLineChars="196"/>
              <w:jc w:val="center"/>
              <w:rPr>
                <w:rFonts w:hint="eastAsia" w:ascii="宋体" w:hAnsi="宋体" w:eastAsia="宋体" w:cs="Times New Roman"/>
                <w:color w:val="000000"/>
                <w:szCs w:val="21"/>
              </w:rPr>
            </w:pPr>
          </w:p>
        </w:tc>
        <w:tc>
          <w:tcPr>
            <w:tcW w:w="5316" w:type="dxa"/>
            <w:vAlign w:val="center"/>
          </w:tcPr>
          <w:p w14:paraId="64B8A849">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指标点5-2：</w:t>
            </w:r>
            <w:r>
              <w:rPr>
                <w:rFonts w:hint="eastAsia" w:ascii="宋体" w:hAnsi="宋体" w:eastAsia="宋体" w:cs="Times New Roman"/>
                <w:color w:val="000000"/>
                <w:szCs w:val="21"/>
              </w:rPr>
              <w:t>【重视心理健康教育】了解小学生身体、情感发展的特性和差异性，</w:t>
            </w:r>
            <w:r>
              <w:rPr>
                <w:rFonts w:ascii="宋体" w:hAnsi="宋体" w:eastAsia="宋体" w:cs="Times New Roman"/>
                <w:color w:val="000000"/>
                <w:szCs w:val="21"/>
              </w:rPr>
              <w:t>获得小学心理健康教育指导体验，参与组织与指导对小学生心理健康教育的科普宣传及心理辅导，掌握小学心理健康教育的基本方法。</w:t>
            </w:r>
          </w:p>
        </w:tc>
      </w:tr>
      <w:tr w14:paraId="7A864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25" w:type="dxa"/>
            <w:vAlign w:val="center"/>
          </w:tcPr>
          <w:p w14:paraId="74EA97D8">
            <w:pPr>
              <w:snapToGrid w:val="0"/>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课程目标2</w:t>
            </w:r>
          </w:p>
        </w:tc>
        <w:tc>
          <w:tcPr>
            <w:tcW w:w="1709" w:type="dxa"/>
            <w:vAlign w:val="center"/>
          </w:tcPr>
          <w:p w14:paraId="6E7EA7DA">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毕业要求6：</w:t>
            </w:r>
          </w:p>
          <w:p w14:paraId="28FD12E0">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综合育人</w:t>
            </w:r>
          </w:p>
          <w:p w14:paraId="11732140">
            <w:pPr>
              <w:snapToGrid w:val="0"/>
              <w:spacing w:line="288" w:lineRule="auto"/>
              <w:ind w:firstLine="411" w:firstLineChars="196"/>
              <w:jc w:val="center"/>
              <w:rPr>
                <w:rFonts w:hint="eastAsia" w:ascii="宋体" w:hAnsi="宋体" w:eastAsia="宋体" w:cs="Times New Roman"/>
                <w:color w:val="000000"/>
                <w:szCs w:val="21"/>
              </w:rPr>
            </w:pPr>
          </w:p>
        </w:tc>
        <w:tc>
          <w:tcPr>
            <w:tcW w:w="5316" w:type="dxa"/>
            <w:vAlign w:val="center"/>
          </w:tcPr>
          <w:p w14:paraId="369B5C9F">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指标点6-3：</w:t>
            </w:r>
            <w:r>
              <w:rPr>
                <w:rFonts w:hint="eastAsia" w:ascii="宋体" w:hAnsi="宋体" w:eastAsia="宋体" w:cs="Times New Roman"/>
                <w:color w:val="000000"/>
                <w:szCs w:val="21"/>
              </w:rPr>
              <w:t>【善于文化与活动育人】了解课外活动组织和管理知识，掌握学校文化和各类课外教育活动的育人内涵和方法，参与组织主题教育、少先队活动和社团活动，促进小学生全面、健康发展。</w:t>
            </w:r>
          </w:p>
        </w:tc>
      </w:tr>
      <w:tr w14:paraId="10460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25" w:type="dxa"/>
            <w:vMerge w:val="restart"/>
            <w:vAlign w:val="center"/>
          </w:tcPr>
          <w:p w14:paraId="58B912B2">
            <w:pPr>
              <w:snapToGrid w:val="0"/>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课程目标</w:t>
            </w:r>
            <w:r>
              <w:rPr>
                <w:rFonts w:ascii="宋体" w:hAnsi="宋体" w:eastAsia="宋体" w:cs="Times New Roman"/>
                <w:b/>
                <w:bCs/>
                <w:color w:val="000000"/>
                <w:szCs w:val="21"/>
              </w:rPr>
              <w:t>3</w:t>
            </w:r>
          </w:p>
        </w:tc>
        <w:tc>
          <w:tcPr>
            <w:tcW w:w="1709" w:type="dxa"/>
            <w:vMerge w:val="restart"/>
            <w:vAlign w:val="center"/>
          </w:tcPr>
          <w:p w14:paraId="442F989E">
            <w:pPr>
              <w:snapToGrid w:val="0"/>
              <w:spacing w:line="28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毕业要求8</w:t>
            </w:r>
            <w:r>
              <w:rPr>
                <w:rFonts w:ascii="宋体" w:hAnsi="宋体" w:eastAsia="宋体" w:cs="Times New Roman"/>
                <w:color w:val="000000"/>
                <w:szCs w:val="21"/>
              </w:rPr>
              <w:t>.</w:t>
            </w:r>
          </w:p>
          <w:p w14:paraId="0885EE9A">
            <w:pPr>
              <w:snapToGrid w:val="0"/>
              <w:spacing w:line="288"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沟通合作</w:t>
            </w:r>
          </w:p>
        </w:tc>
        <w:tc>
          <w:tcPr>
            <w:tcW w:w="5316" w:type="dxa"/>
            <w:vAlign w:val="center"/>
          </w:tcPr>
          <w:p w14:paraId="469D591F">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指标点8-1：</w:t>
            </w:r>
            <w:r>
              <w:rPr>
                <w:rFonts w:hint="eastAsia" w:ascii="宋体" w:hAnsi="宋体" w:eastAsia="宋体" w:cs="Times New Roman"/>
                <w:color w:val="000000"/>
                <w:szCs w:val="21"/>
              </w:rPr>
              <w:t>【善于团队合作】理解学习共同体的本质和价值，掌握团队协作的基本策略，在课堂学习与教育实践中获得合作学习体验，形成团队协作精神。</w:t>
            </w:r>
          </w:p>
        </w:tc>
      </w:tr>
      <w:tr w14:paraId="249E0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225" w:type="dxa"/>
            <w:vMerge w:val="continue"/>
            <w:vAlign w:val="center"/>
          </w:tcPr>
          <w:p w14:paraId="19BCD7CE">
            <w:pPr>
              <w:snapToGrid w:val="0"/>
              <w:spacing w:line="288" w:lineRule="auto"/>
              <w:ind w:firstLine="413" w:firstLineChars="196"/>
              <w:rPr>
                <w:rFonts w:hint="eastAsia" w:ascii="宋体" w:hAnsi="宋体" w:eastAsia="宋体" w:cs="Times New Roman"/>
                <w:b/>
                <w:bCs/>
                <w:color w:val="000000"/>
                <w:szCs w:val="21"/>
              </w:rPr>
            </w:pPr>
          </w:p>
        </w:tc>
        <w:tc>
          <w:tcPr>
            <w:tcW w:w="1709" w:type="dxa"/>
            <w:vMerge w:val="continue"/>
            <w:vAlign w:val="center"/>
          </w:tcPr>
          <w:p w14:paraId="752E5225">
            <w:pPr>
              <w:snapToGrid w:val="0"/>
              <w:spacing w:line="288" w:lineRule="auto"/>
              <w:ind w:firstLine="411" w:firstLineChars="196"/>
              <w:rPr>
                <w:rFonts w:hint="eastAsia" w:ascii="宋体" w:hAnsi="宋体" w:eastAsia="宋体" w:cs="Times New Roman"/>
                <w:color w:val="000000"/>
                <w:szCs w:val="21"/>
              </w:rPr>
            </w:pPr>
          </w:p>
        </w:tc>
        <w:tc>
          <w:tcPr>
            <w:tcW w:w="5316" w:type="dxa"/>
            <w:vAlign w:val="center"/>
          </w:tcPr>
          <w:p w14:paraId="616530BC">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指标点8-2：</w:t>
            </w:r>
            <w:r>
              <w:rPr>
                <w:rFonts w:hint="eastAsia" w:ascii="宋体" w:hAnsi="宋体" w:eastAsia="宋体" w:cs="Times New Roman"/>
                <w:color w:val="000000"/>
                <w:szCs w:val="21"/>
              </w:rPr>
              <w:t>【学会沟通交流】掌握人际沟通合作技能与方法，能与学生和家长以及同行、同事、专家进行有效沟通与合作，实现共同发展。</w:t>
            </w:r>
          </w:p>
        </w:tc>
      </w:tr>
    </w:tbl>
    <w:p w14:paraId="7FE05091">
      <w:pPr>
        <w:snapToGrid w:val="0"/>
        <w:spacing w:line="288" w:lineRule="auto"/>
        <w:ind w:firstLine="394" w:firstLineChars="196"/>
        <w:rPr>
          <w:rFonts w:ascii="Calibri" w:hAnsi="Calibri" w:eastAsia="宋体" w:cs="Times New Roman"/>
          <w:b/>
          <w:bCs/>
          <w:color w:val="000000"/>
          <w:sz w:val="20"/>
          <w:szCs w:val="20"/>
        </w:rPr>
      </w:pPr>
    </w:p>
    <w:p w14:paraId="117F5DD2">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三、课程内容及要求</w:t>
      </w:r>
    </w:p>
    <w:p w14:paraId="4A6D1537">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（一）“家校社合作共育”概述</w:t>
      </w:r>
    </w:p>
    <w:p w14:paraId="5EBD415F">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教学内容</w:t>
      </w:r>
    </w:p>
    <w:p w14:paraId="4ECDE14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（1）“家校社合作共育”课程介绍</w:t>
      </w:r>
    </w:p>
    <w:p w14:paraId="47AB7811">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（2）学习“家校社合作共育”的意义和方法</w:t>
      </w:r>
    </w:p>
    <w:p w14:paraId="1AADA7FD">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2</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基本要求</w:t>
      </w:r>
    </w:p>
    <w:p w14:paraId="62EEE3FC">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r>
        <w:rPr>
          <w:rFonts w:hint="eastAsia" w:ascii="宋体" w:hAnsi="宋体" w:eastAsia="宋体" w:cs="Times New Roman"/>
          <w:color w:val="000000"/>
          <w:sz w:val="24"/>
          <w:szCs w:val="24"/>
        </w:rPr>
        <w:t>了解“家校社合作共育”这门课程的学科归属</w:t>
      </w:r>
    </w:p>
    <w:p w14:paraId="40ECDB0D">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2</w:t>
      </w:r>
      <w:r>
        <w:rPr>
          <w:rFonts w:ascii="宋体" w:hAnsi="宋体" w:eastAsia="宋体" w:cs="Times New Roman"/>
          <w:color w:val="000000"/>
          <w:sz w:val="24"/>
          <w:szCs w:val="24"/>
        </w:rPr>
        <w:t>）</w:t>
      </w:r>
      <w:r>
        <w:rPr>
          <w:rFonts w:hint="eastAsia" w:ascii="宋体" w:hAnsi="宋体" w:eastAsia="宋体" w:cs="Times New Roman"/>
          <w:color w:val="000000"/>
          <w:sz w:val="24"/>
          <w:szCs w:val="24"/>
        </w:rPr>
        <w:t>能够理解“家校社合作共育”的意义、掌握其方法</w:t>
      </w:r>
    </w:p>
    <w:p w14:paraId="49CF1A57">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3</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“课程思政”育人目标</w:t>
      </w:r>
    </w:p>
    <w:p w14:paraId="2C8E388A">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家校社合作育人是社会主义教育价值观念的具体表现和集中反映，能够树立宏观的家校社合作育人的理念。</w:t>
      </w:r>
    </w:p>
    <w:p w14:paraId="5F79CD8B">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教学重点：</w:t>
      </w:r>
      <w:r>
        <w:rPr>
          <w:rFonts w:hint="eastAsia" w:ascii="宋体" w:hAnsi="宋体" w:eastAsia="宋体" w:cs="Times New Roman"/>
          <w:color w:val="000000"/>
          <w:sz w:val="24"/>
          <w:szCs w:val="24"/>
        </w:rPr>
        <w:t>“家校社合作共育”这门课程的学科归属</w:t>
      </w:r>
    </w:p>
    <w:p w14:paraId="58DA9F76">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教学难点：</w:t>
      </w:r>
      <w:r>
        <w:rPr>
          <w:rFonts w:hint="eastAsia" w:ascii="宋体" w:hAnsi="宋体" w:eastAsia="宋体" w:cs="Times New Roman"/>
          <w:color w:val="000000"/>
          <w:sz w:val="24"/>
          <w:szCs w:val="24"/>
        </w:rPr>
        <w:t>“家校社合作共育”这门课程的学科归属</w:t>
      </w:r>
    </w:p>
    <w:p w14:paraId="32172CB7">
      <w:pPr>
        <w:snapToGrid w:val="0"/>
        <w:spacing w:line="360" w:lineRule="auto"/>
        <w:ind w:firstLine="472" w:firstLineChars="1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二</w:t>
      </w:r>
      <w:r>
        <w:rPr>
          <w:rFonts w:ascii="宋体" w:hAnsi="宋体" w:eastAsia="宋体" w:cs="Times New Roman"/>
          <w:b/>
          <w:bCs/>
          <w:color w:val="000000"/>
          <w:sz w:val="24"/>
          <w:szCs w:val="24"/>
        </w:rPr>
        <w:t>）中国家庭教育的现状与特点</w:t>
      </w:r>
    </w:p>
    <w:p w14:paraId="5FE3BBE4">
      <w:pPr>
        <w:snapToGrid w:val="0"/>
        <w:spacing w:line="360" w:lineRule="auto"/>
        <w:ind w:firstLine="472" w:firstLineChars="1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 1.教学内容</w:t>
      </w:r>
    </w:p>
    <w:p w14:paraId="3A230257">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中国家庭教育的现状及特点：</w:t>
      </w:r>
      <w:r>
        <w:rPr>
          <w:rFonts w:ascii="宋体" w:hAnsi="宋体" w:eastAsia="宋体" w:cs="Times New Roman"/>
          <w:color w:val="000000"/>
          <w:sz w:val="24"/>
          <w:szCs w:val="24"/>
        </w:rPr>
        <w:t>政府主导力度越来越大</w:t>
      </w:r>
      <w:r>
        <w:rPr>
          <w:rFonts w:hint="eastAsia" w:ascii="宋体" w:hAnsi="宋体" w:eastAsia="宋体" w:cs="Times New Roman"/>
          <w:color w:val="000000"/>
          <w:sz w:val="24"/>
          <w:szCs w:val="24"/>
        </w:rPr>
        <w:t>；</w:t>
      </w:r>
      <w:r>
        <w:rPr>
          <w:rFonts w:ascii="宋体" w:hAnsi="宋体" w:eastAsia="宋体" w:cs="Times New Roman"/>
          <w:color w:val="000000"/>
          <w:sz w:val="24"/>
          <w:szCs w:val="24"/>
        </w:rPr>
        <w:t>社会各方支持力度日趋加大</w:t>
      </w:r>
      <w:r>
        <w:rPr>
          <w:rFonts w:hint="eastAsia" w:ascii="宋体" w:hAnsi="宋体" w:eastAsia="宋体" w:cs="Times New Roman"/>
          <w:color w:val="000000"/>
          <w:sz w:val="24"/>
          <w:szCs w:val="24"/>
        </w:rPr>
        <w:t>；</w:t>
      </w:r>
      <w:r>
        <w:rPr>
          <w:rFonts w:ascii="宋体" w:hAnsi="宋体" w:eastAsia="宋体" w:cs="Times New Roman"/>
          <w:color w:val="000000"/>
          <w:sz w:val="24"/>
          <w:szCs w:val="24"/>
        </w:rPr>
        <w:t>家校社合作成为普遍追求</w:t>
      </w:r>
      <w:r>
        <w:rPr>
          <w:rFonts w:hint="eastAsia" w:ascii="宋体" w:hAnsi="宋体" w:eastAsia="宋体" w:cs="Times New Roman"/>
          <w:color w:val="000000"/>
          <w:sz w:val="24"/>
          <w:szCs w:val="24"/>
        </w:rPr>
        <w:t>；</w:t>
      </w:r>
      <w:r>
        <w:rPr>
          <w:rFonts w:ascii="宋体" w:hAnsi="宋体" w:eastAsia="宋体" w:cs="Times New Roman"/>
          <w:color w:val="000000"/>
          <w:sz w:val="24"/>
          <w:szCs w:val="24"/>
        </w:rPr>
        <w:t>家庭教育立法进入加速期</w:t>
      </w:r>
      <w:r>
        <w:rPr>
          <w:rFonts w:hint="eastAsia" w:ascii="宋体" w:hAnsi="宋体" w:eastAsia="宋体" w:cs="Times New Roman"/>
          <w:color w:val="000000"/>
          <w:sz w:val="24"/>
          <w:szCs w:val="24"/>
        </w:rPr>
        <w:t>；</w:t>
      </w:r>
      <w:r>
        <w:rPr>
          <w:rFonts w:ascii="宋体" w:hAnsi="宋体" w:eastAsia="宋体" w:cs="Times New Roman"/>
          <w:color w:val="000000"/>
          <w:sz w:val="24"/>
          <w:szCs w:val="24"/>
        </w:rPr>
        <w:t>强化父母的主体责任</w:t>
      </w:r>
      <w:r>
        <w:rPr>
          <w:rFonts w:hint="eastAsia" w:ascii="宋体" w:hAnsi="宋体" w:eastAsia="宋体" w:cs="Times New Roman"/>
          <w:color w:val="000000"/>
          <w:sz w:val="24"/>
          <w:szCs w:val="24"/>
        </w:rPr>
        <w:t>；家</w:t>
      </w:r>
      <w:r>
        <w:rPr>
          <w:rFonts w:ascii="宋体" w:hAnsi="宋体" w:eastAsia="宋体" w:cs="Times New Roman"/>
          <w:color w:val="000000"/>
          <w:sz w:val="24"/>
          <w:szCs w:val="24"/>
        </w:rPr>
        <w:t>庭教育指导进入新媒体时代</w:t>
      </w:r>
      <w:r>
        <w:rPr>
          <w:rFonts w:hint="eastAsia" w:ascii="宋体" w:hAnsi="宋体" w:eastAsia="宋体" w:cs="Times New Roman"/>
          <w:color w:val="000000"/>
          <w:sz w:val="24"/>
          <w:szCs w:val="24"/>
        </w:rPr>
        <w:t>；</w:t>
      </w:r>
      <w:r>
        <w:rPr>
          <w:rFonts w:ascii="宋体" w:hAnsi="宋体" w:eastAsia="宋体" w:cs="Times New Roman"/>
          <w:color w:val="000000"/>
          <w:sz w:val="24"/>
          <w:szCs w:val="24"/>
        </w:rPr>
        <w:t>家文化开始复兴</w:t>
      </w:r>
      <w:r>
        <w:rPr>
          <w:rFonts w:hint="eastAsia" w:ascii="宋体" w:hAnsi="宋体" w:eastAsia="宋体" w:cs="Times New Roman"/>
          <w:color w:val="000000"/>
          <w:sz w:val="24"/>
          <w:szCs w:val="24"/>
        </w:rPr>
        <w:t>。</w:t>
      </w:r>
    </w:p>
    <w:p w14:paraId="70B5107A">
      <w:pPr>
        <w:snapToGrid w:val="0"/>
        <w:spacing w:line="360" w:lineRule="auto"/>
        <w:ind w:firstLine="713" w:firstLineChars="2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2.</w:t>
      </w:r>
      <w:r>
        <w:rPr>
          <w:rFonts w:hint="eastAsia" w:ascii="宋体" w:hAnsi="宋体" w:eastAsia="宋体" w:cs="Times New Roman"/>
          <w:b/>
          <w:bCs/>
          <w:color w:val="000000"/>
          <w:sz w:val="24"/>
          <w:szCs w:val="24"/>
        </w:rPr>
        <w:t>基本要求</w:t>
      </w:r>
    </w:p>
    <w:p w14:paraId="051D65CF">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了解中国现阶段家庭教育的现状，领会家庭教育特点。</w:t>
      </w:r>
    </w:p>
    <w:p w14:paraId="3FC79276">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3.</w:t>
      </w:r>
      <w:r>
        <w:rPr>
          <w:rFonts w:hint="eastAsia" w:ascii="宋体" w:hAnsi="宋体" w:eastAsia="宋体" w:cs="Times New Roman"/>
          <w:b/>
          <w:bCs/>
          <w:color w:val="000000"/>
          <w:sz w:val="24"/>
          <w:szCs w:val="24"/>
        </w:rPr>
        <w:t>“课程思政”育人目标</w:t>
      </w:r>
    </w:p>
    <w:p w14:paraId="0F6135AF">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树立关心现实教育需求、关怀儿童的教育理念，形成调查研究的教学与研究习惯，基于事实能够科学地开展自己的教育教学工作。</w:t>
      </w:r>
    </w:p>
    <w:p w14:paraId="5090B16A">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教学重点</w:t>
      </w:r>
      <w:r>
        <w:rPr>
          <w:rFonts w:hint="eastAsia" w:ascii="宋体" w:hAnsi="宋体" w:eastAsia="宋体" w:cs="Times New Roman"/>
          <w:color w:val="000000"/>
          <w:sz w:val="24"/>
          <w:szCs w:val="24"/>
        </w:rPr>
        <w:t>：中国家庭教育的现状及特点</w:t>
      </w:r>
    </w:p>
    <w:p w14:paraId="41139604">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教学难点</w:t>
      </w:r>
      <w:r>
        <w:rPr>
          <w:rFonts w:hint="eastAsia" w:ascii="宋体" w:hAnsi="宋体" w:eastAsia="宋体" w:cs="Times New Roman"/>
          <w:color w:val="000000"/>
          <w:sz w:val="24"/>
          <w:szCs w:val="24"/>
        </w:rPr>
        <w:t>：中国家庭教育的现状及特点</w:t>
      </w:r>
    </w:p>
    <w:p w14:paraId="7B187051">
      <w:pPr>
        <w:snapToGrid w:val="0"/>
        <w:spacing w:line="360" w:lineRule="auto"/>
        <w:ind w:firstLine="472" w:firstLineChars="196"/>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（三）</w:t>
      </w:r>
      <w:r>
        <w:rPr>
          <w:rFonts w:ascii="宋体" w:hAnsi="宋体" w:eastAsia="宋体" w:cs="Times New Roman"/>
          <w:b/>
          <w:bCs/>
          <w:color w:val="000000"/>
          <w:sz w:val="24"/>
          <w:szCs w:val="24"/>
        </w:rPr>
        <w:t>家庭教育理论的发展与创新</w:t>
      </w:r>
    </w:p>
    <w:p w14:paraId="73C06FDF">
      <w:pPr>
        <w:snapToGrid w:val="0"/>
        <w:spacing w:line="360" w:lineRule="auto"/>
        <w:ind w:firstLine="472" w:firstLineChars="1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 1.</w:t>
      </w:r>
      <w:r>
        <w:rPr>
          <w:rFonts w:hint="eastAsia" w:ascii="宋体" w:hAnsi="宋体" w:eastAsia="宋体" w:cs="Times New Roman"/>
          <w:b/>
          <w:bCs/>
          <w:color w:val="000000"/>
          <w:sz w:val="24"/>
          <w:szCs w:val="24"/>
        </w:rPr>
        <w:t>教学内容</w:t>
      </w:r>
    </w:p>
    <w:p w14:paraId="5236466C">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ascii="宋体" w:hAnsi="宋体" w:eastAsia="宋体" w:cs="Times New Roman"/>
          <w:color w:val="000000"/>
          <w:sz w:val="24"/>
          <w:szCs w:val="24"/>
        </w:rPr>
        <w:t>家庭教育理论中的核心概念与基本内容</w:t>
      </w:r>
    </w:p>
    <w:p w14:paraId="6D8DCBDD">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（2）</w:t>
      </w:r>
      <w:r>
        <w:rPr>
          <w:rFonts w:ascii="宋体" w:hAnsi="宋体" w:eastAsia="宋体" w:cs="Times New Roman"/>
          <w:color w:val="000000"/>
          <w:sz w:val="24"/>
          <w:szCs w:val="24"/>
        </w:rPr>
        <w:t>不同阶段的家庭教育理论发展</w:t>
      </w:r>
    </w:p>
    <w:p w14:paraId="29FB41ED">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（3）</w:t>
      </w:r>
      <w:r>
        <w:rPr>
          <w:rFonts w:ascii="宋体" w:hAnsi="宋体" w:eastAsia="宋体" w:cs="Times New Roman"/>
          <w:color w:val="000000"/>
          <w:sz w:val="24"/>
          <w:szCs w:val="24"/>
        </w:rPr>
        <w:t>当代家庭教育理论的新发展</w:t>
      </w:r>
    </w:p>
    <w:p w14:paraId="01F78ED8">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（4）</w:t>
      </w:r>
      <w:r>
        <w:rPr>
          <w:rFonts w:ascii="宋体" w:hAnsi="宋体" w:eastAsia="宋体" w:cs="Times New Roman"/>
          <w:color w:val="000000"/>
          <w:sz w:val="24"/>
          <w:szCs w:val="24"/>
        </w:rPr>
        <w:t>家庭教育理论发展存在的主要问题</w:t>
      </w:r>
    </w:p>
    <w:p w14:paraId="2FF3093A">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（5）</w:t>
      </w:r>
      <w:r>
        <w:rPr>
          <w:rFonts w:ascii="宋体" w:hAnsi="宋体" w:eastAsia="宋体" w:cs="Times New Roman"/>
          <w:color w:val="000000"/>
          <w:sz w:val="24"/>
          <w:szCs w:val="24"/>
        </w:rPr>
        <w:t>家庭教育理论的研究趋势</w:t>
      </w:r>
    </w:p>
    <w:p w14:paraId="670CDD2D">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 xml:space="preserve"> </w:t>
      </w:r>
      <w:r>
        <w:rPr>
          <w:rFonts w:ascii="宋体" w:hAnsi="宋体" w:eastAsia="宋体" w:cs="Times New Roman"/>
          <w:b/>
          <w:bCs/>
          <w:color w:val="000000"/>
          <w:sz w:val="24"/>
          <w:szCs w:val="24"/>
        </w:rPr>
        <w:t xml:space="preserve"> 2.</w:t>
      </w:r>
      <w:r>
        <w:rPr>
          <w:rFonts w:hint="eastAsia" w:ascii="宋体" w:hAnsi="宋体" w:eastAsia="宋体" w:cs="Times New Roman"/>
          <w:b/>
          <w:bCs/>
          <w:color w:val="000000"/>
          <w:sz w:val="24"/>
          <w:szCs w:val="24"/>
        </w:rPr>
        <w:t>基本要求</w:t>
      </w:r>
    </w:p>
    <w:p w14:paraId="698E264A">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（1）掌握</w:t>
      </w:r>
      <w:r>
        <w:rPr>
          <w:rFonts w:ascii="宋体" w:hAnsi="宋体" w:eastAsia="宋体" w:cs="Times New Roman"/>
          <w:color w:val="000000"/>
          <w:sz w:val="24"/>
          <w:szCs w:val="24"/>
        </w:rPr>
        <w:t>家庭教育理论中的核心概念与基本内容</w:t>
      </w:r>
    </w:p>
    <w:p w14:paraId="4E716B20">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（2）理解</w:t>
      </w:r>
      <w:r>
        <w:rPr>
          <w:rFonts w:ascii="宋体" w:hAnsi="宋体" w:eastAsia="宋体" w:cs="Times New Roman"/>
          <w:color w:val="000000"/>
          <w:sz w:val="24"/>
          <w:szCs w:val="24"/>
        </w:rPr>
        <w:t>不同阶段的家庭教育理论发展</w:t>
      </w:r>
    </w:p>
    <w:p w14:paraId="33E2222A">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（3）了解</w:t>
      </w:r>
      <w:r>
        <w:rPr>
          <w:rFonts w:ascii="宋体" w:hAnsi="宋体" w:eastAsia="宋体" w:cs="Times New Roman"/>
          <w:color w:val="000000"/>
          <w:sz w:val="24"/>
          <w:szCs w:val="24"/>
        </w:rPr>
        <w:t>当代家庭教育理论的新发展</w:t>
      </w:r>
    </w:p>
    <w:p w14:paraId="767B4D8F">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（4）了解</w:t>
      </w:r>
      <w:r>
        <w:rPr>
          <w:rFonts w:ascii="宋体" w:hAnsi="宋体" w:eastAsia="宋体" w:cs="Times New Roman"/>
          <w:color w:val="000000"/>
          <w:sz w:val="24"/>
          <w:szCs w:val="24"/>
        </w:rPr>
        <w:t>家庭教育理论发展存在的主要问题</w:t>
      </w:r>
    </w:p>
    <w:p w14:paraId="2321F659">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（5）了解</w:t>
      </w:r>
      <w:r>
        <w:rPr>
          <w:rFonts w:ascii="宋体" w:hAnsi="宋体" w:eastAsia="宋体" w:cs="Times New Roman"/>
          <w:color w:val="000000"/>
          <w:sz w:val="24"/>
          <w:szCs w:val="24"/>
        </w:rPr>
        <w:t>家庭教育理论的研究趋势</w:t>
      </w:r>
    </w:p>
    <w:p w14:paraId="19B6D735">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3.</w:t>
      </w:r>
      <w:r>
        <w:rPr>
          <w:rFonts w:hint="eastAsia" w:ascii="宋体" w:hAnsi="宋体" w:eastAsia="宋体" w:cs="Times New Roman"/>
          <w:b/>
          <w:bCs/>
          <w:color w:val="000000"/>
          <w:sz w:val="24"/>
          <w:szCs w:val="24"/>
        </w:rPr>
        <w:t>“课程思政”育人目标</w:t>
      </w:r>
    </w:p>
    <w:p w14:paraId="316EA0BC">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胸怀家国、关注中国现实，形成调查研究的教学与研究习惯，基于事实能够科学地开展自己的教育教学工作。</w:t>
      </w:r>
    </w:p>
    <w:p w14:paraId="42CEC743">
      <w:pPr>
        <w:snapToGrid w:val="0"/>
        <w:spacing w:line="360" w:lineRule="auto"/>
        <w:ind w:firstLine="472" w:firstLineChars="196"/>
        <w:rPr>
          <w:rFonts w:hint="eastAsia" w:ascii="宋体" w:hAnsi="宋体" w:eastAsia="宋体" w:cs="Times New Roman"/>
          <w:color w:val="000000"/>
          <w:sz w:val="24"/>
          <w:szCs w:val="24"/>
        </w:rPr>
      </w:pPr>
      <w:r>
        <w:rPr>
          <w:rFonts w:ascii="宋体" w:hAnsi="宋体" w:eastAsia="宋体" w:cs="Times New Roman"/>
          <w:b/>
          <w:bCs/>
          <w:color w:val="000000"/>
          <w:sz w:val="24"/>
          <w:szCs w:val="24"/>
        </w:rPr>
        <w:t>教学重点：</w:t>
      </w:r>
      <w:r>
        <w:rPr>
          <w:rFonts w:hint="eastAsia" w:ascii="宋体" w:hAnsi="宋体" w:eastAsia="宋体" w:cs="Times New Roman"/>
          <w:color w:val="000000"/>
          <w:sz w:val="24"/>
          <w:szCs w:val="24"/>
        </w:rPr>
        <w:t>家庭教育理论的核心概念、基本内容、不同理论流派发展</w:t>
      </w:r>
    </w:p>
    <w:p w14:paraId="7A545852">
      <w:pPr>
        <w:snapToGrid w:val="0"/>
        <w:spacing w:line="360" w:lineRule="auto"/>
        <w:ind w:firstLine="472" w:firstLineChars="196"/>
        <w:rPr>
          <w:rFonts w:hint="eastAsia" w:ascii="宋体" w:hAnsi="宋体" w:eastAsia="宋体" w:cs="Times New Roman"/>
          <w:color w:val="000000"/>
          <w:sz w:val="24"/>
          <w:szCs w:val="24"/>
        </w:rPr>
      </w:pPr>
      <w:r>
        <w:rPr>
          <w:rFonts w:ascii="宋体" w:hAnsi="宋体" w:eastAsia="宋体" w:cs="Times New Roman"/>
          <w:b/>
          <w:bCs/>
          <w:color w:val="000000"/>
          <w:sz w:val="24"/>
          <w:szCs w:val="24"/>
        </w:rPr>
        <w:t>教学难点：</w:t>
      </w:r>
      <w:r>
        <w:rPr>
          <w:rFonts w:hint="eastAsia" w:ascii="宋体" w:hAnsi="宋体" w:eastAsia="宋体" w:cs="Times New Roman"/>
          <w:color w:val="000000"/>
          <w:sz w:val="24"/>
          <w:szCs w:val="24"/>
        </w:rPr>
        <w:t>家庭教育的现状、新发展及其未来研究趋势</w:t>
      </w:r>
    </w:p>
    <w:p w14:paraId="65EE9793">
      <w:pPr>
        <w:snapToGrid w:val="0"/>
        <w:spacing w:line="360" w:lineRule="auto"/>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（四）</w:t>
      </w:r>
      <w:r>
        <w:rPr>
          <w:rFonts w:ascii="宋体" w:hAnsi="宋体" w:eastAsia="宋体" w:cs="Times New Roman"/>
          <w:b/>
          <w:bCs/>
          <w:color w:val="000000"/>
          <w:sz w:val="24"/>
          <w:szCs w:val="24"/>
        </w:rPr>
        <w:t>家庭教育的立法进程</w:t>
      </w:r>
    </w:p>
    <w:p w14:paraId="3B050223">
      <w:pPr>
        <w:snapToGrid w:val="0"/>
        <w:spacing w:line="360" w:lineRule="auto"/>
        <w:ind w:firstLine="470" w:firstLineChars="196"/>
        <w:rPr>
          <w:rFonts w:hint="eastAsia" w:ascii="宋体" w:hAnsi="宋体" w:eastAsia="宋体" w:cs="Times New Roman"/>
          <w:b/>
          <w:bCs/>
          <w:color w:val="000000"/>
          <w:sz w:val="24"/>
          <w:szCs w:val="24"/>
        </w:rPr>
      </w:pPr>
      <w:r>
        <w:rPr>
          <w:rFonts w:ascii="宋体" w:hAnsi="宋体" w:eastAsia="宋体" w:cs="Times New Roman"/>
          <w:color w:val="000000"/>
          <w:sz w:val="24"/>
          <w:szCs w:val="24"/>
        </w:rPr>
        <w:t> </w:t>
      </w: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教学内容</w:t>
      </w:r>
    </w:p>
    <w:p w14:paraId="43FE2954">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ascii="宋体" w:hAnsi="宋体" w:eastAsia="宋体" w:cs="Times New Roman"/>
          <w:color w:val="000000"/>
          <w:sz w:val="24"/>
          <w:szCs w:val="24"/>
        </w:rPr>
        <w:t>制定家庭教育法的背景和意义</w:t>
      </w:r>
    </w:p>
    <w:p w14:paraId="41925685">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w:t>
      </w:r>
      <w:r>
        <w:rPr>
          <w:rFonts w:ascii="宋体" w:hAnsi="宋体" w:eastAsia="宋体" w:cs="Times New Roman"/>
          <w:color w:val="000000"/>
          <w:sz w:val="24"/>
          <w:szCs w:val="24"/>
        </w:rPr>
        <w:t>家庭教育立法的现状与进展</w:t>
      </w:r>
    </w:p>
    <w:p w14:paraId="6A040AF8">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w:t>
      </w:r>
      <w:r>
        <w:rPr>
          <w:rFonts w:ascii="宋体" w:hAnsi="宋体" w:eastAsia="宋体" w:cs="Times New Roman"/>
          <w:color w:val="000000"/>
          <w:sz w:val="24"/>
          <w:szCs w:val="24"/>
        </w:rPr>
        <w:t>制定家庭教育法的思路与重点</w:t>
      </w:r>
    </w:p>
    <w:p w14:paraId="0DA80846">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 xml:space="preserve"> </w:t>
      </w:r>
      <w:r>
        <w:rPr>
          <w:rFonts w:ascii="宋体" w:hAnsi="宋体" w:eastAsia="宋体" w:cs="Times New Roman"/>
          <w:b/>
          <w:bCs/>
          <w:color w:val="000000"/>
          <w:sz w:val="24"/>
          <w:szCs w:val="24"/>
        </w:rPr>
        <w:t xml:space="preserve"> 2.</w:t>
      </w:r>
      <w:r>
        <w:rPr>
          <w:rFonts w:hint="eastAsia" w:ascii="宋体" w:hAnsi="宋体" w:eastAsia="宋体" w:cs="Times New Roman"/>
          <w:b/>
          <w:bCs/>
          <w:color w:val="000000"/>
          <w:sz w:val="24"/>
          <w:szCs w:val="24"/>
        </w:rPr>
        <w:t>基本要求</w:t>
      </w:r>
    </w:p>
    <w:p w14:paraId="2476F8C2">
      <w:pPr>
        <w:snapToGrid w:val="0"/>
        <w:spacing w:line="360" w:lineRule="auto"/>
        <w:ind w:firstLine="710" w:firstLineChars="2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r>
        <w:rPr>
          <w:rFonts w:hint="eastAsia" w:ascii="宋体" w:hAnsi="宋体" w:eastAsia="宋体" w:cs="Times New Roman"/>
          <w:color w:val="000000"/>
          <w:sz w:val="24"/>
          <w:szCs w:val="24"/>
        </w:rPr>
        <w:t>了解《</w:t>
      </w:r>
      <w:r>
        <w:rPr>
          <w:rFonts w:ascii="宋体" w:hAnsi="宋体" w:eastAsia="宋体" w:cs="Times New Roman"/>
          <w:color w:val="000000"/>
          <w:sz w:val="24"/>
          <w:szCs w:val="24"/>
        </w:rPr>
        <w:t>家庭教育</w:t>
      </w:r>
      <w:r>
        <w:rPr>
          <w:rFonts w:hint="eastAsia" w:ascii="宋体" w:hAnsi="宋体" w:eastAsia="宋体" w:cs="Times New Roman"/>
          <w:color w:val="000000"/>
          <w:sz w:val="24"/>
          <w:szCs w:val="24"/>
        </w:rPr>
        <w:t>促进</w:t>
      </w:r>
      <w:r>
        <w:rPr>
          <w:rFonts w:ascii="宋体" w:hAnsi="宋体" w:eastAsia="宋体" w:cs="Times New Roman"/>
          <w:color w:val="000000"/>
          <w:sz w:val="24"/>
          <w:szCs w:val="24"/>
        </w:rPr>
        <w:t>法</w:t>
      </w:r>
      <w:r>
        <w:rPr>
          <w:rFonts w:hint="eastAsia" w:ascii="宋体" w:hAnsi="宋体" w:eastAsia="宋体" w:cs="Times New Roman"/>
          <w:color w:val="000000"/>
          <w:sz w:val="24"/>
          <w:szCs w:val="24"/>
        </w:rPr>
        <w:t>》等国家立法</w:t>
      </w:r>
      <w:r>
        <w:rPr>
          <w:rFonts w:ascii="宋体" w:hAnsi="宋体" w:eastAsia="宋体" w:cs="Times New Roman"/>
          <w:color w:val="000000"/>
          <w:sz w:val="24"/>
          <w:szCs w:val="24"/>
        </w:rPr>
        <w:t>背景和意义</w:t>
      </w:r>
    </w:p>
    <w:p w14:paraId="707CF248">
      <w:pPr>
        <w:snapToGrid w:val="0"/>
        <w:spacing w:line="360" w:lineRule="auto"/>
        <w:ind w:firstLine="710" w:firstLineChars="2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2</w:t>
      </w:r>
      <w:r>
        <w:rPr>
          <w:rFonts w:ascii="宋体" w:hAnsi="宋体" w:eastAsia="宋体" w:cs="Times New Roman"/>
          <w:color w:val="000000"/>
          <w:sz w:val="24"/>
          <w:szCs w:val="24"/>
        </w:rPr>
        <w:t>）</w:t>
      </w:r>
      <w:r>
        <w:rPr>
          <w:rFonts w:hint="eastAsia" w:ascii="宋体" w:hAnsi="宋体" w:eastAsia="宋体" w:cs="Times New Roman"/>
          <w:color w:val="000000"/>
          <w:sz w:val="24"/>
          <w:szCs w:val="24"/>
        </w:rPr>
        <w:t>明确我国</w:t>
      </w:r>
      <w:r>
        <w:rPr>
          <w:rFonts w:ascii="宋体" w:hAnsi="宋体" w:eastAsia="宋体" w:cs="Times New Roman"/>
          <w:color w:val="000000"/>
          <w:sz w:val="24"/>
          <w:szCs w:val="24"/>
        </w:rPr>
        <w:t>家庭教育立法的现状与进展</w:t>
      </w:r>
    </w:p>
    <w:p w14:paraId="746E9C7E">
      <w:pPr>
        <w:snapToGrid w:val="0"/>
        <w:spacing w:line="360" w:lineRule="auto"/>
        <w:ind w:firstLine="710" w:firstLineChars="2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3</w:t>
      </w:r>
      <w:r>
        <w:rPr>
          <w:rFonts w:ascii="宋体" w:hAnsi="宋体" w:eastAsia="宋体" w:cs="Times New Roman"/>
          <w:color w:val="000000"/>
          <w:sz w:val="24"/>
          <w:szCs w:val="24"/>
        </w:rPr>
        <w:t>）</w:t>
      </w:r>
      <w:r>
        <w:rPr>
          <w:rFonts w:hint="eastAsia" w:ascii="宋体" w:hAnsi="宋体" w:eastAsia="宋体" w:cs="Times New Roman"/>
          <w:color w:val="000000"/>
          <w:sz w:val="24"/>
          <w:szCs w:val="24"/>
        </w:rPr>
        <w:t>理解我国</w:t>
      </w:r>
      <w:r>
        <w:rPr>
          <w:rFonts w:ascii="宋体" w:hAnsi="宋体" w:eastAsia="宋体" w:cs="Times New Roman"/>
          <w:color w:val="000000"/>
          <w:sz w:val="24"/>
          <w:szCs w:val="24"/>
        </w:rPr>
        <w:t>制定家庭教育法的思路与重点</w:t>
      </w:r>
    </w:p>
    <w:p w14:paraId="41D1AF70">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3.</w:t>
      </w:r>
      <w:r>
        <w:rPr>
          <w:rFonts w:hint="eastAsia" w:ascii="宋体" w:hAnsi="宋体" w:eastAsia="宋体" w:cs="Times New Roman"/>
          <w:b/>
          <w:bCs/>
          <w:color w:val="000000"/>
          <w:sz w:val="24"/>
          <w:szCs w:val="24"/>
        </w:rPr>
        <w:t>“课程思政”育人目标</w:t>
      </w:r>
    </w:p>
    <w:p w14:paraId="594D6BB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树立儿童教育法制观念，明确自身教师家庭教育指导的责任，能够成为国家家庭教育政策的贯彻者和践行者。</w:t>
      </w:r>
    </w:p>
    <w:p w14:paraId="3364D8B1">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教学重点：</w:t>
      </w:r>
      <w:r>
        <w:rPr>
          <w:rFonts w:hint="eastAsia" w:ascii="宋体" w:hAnsi="宋体" w:eastAsia="宋体" w:cs="Times New Roman"/>
          <w:color w:val="000000"/>
          <w:sz w:val="24"/>
          <w:szCs w:val="24"/>
        </w:rPr>
        <w:t>我国家庭教育立法背景、意义、现状</w:t>
      </w:r>
    </w:p>
    <w:p w14:paraId="259A9F37">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
          <w:bCs/>
          <w:color w:val="000000"/>
          <w:sz w:val="24"/>
          <w:szCs w:val="24"/>
        </w:rPr>
        <w:t>教学难点</w:t>
      </w:r>
      <w:r>
        <w:rPr>
          <w:rFonts w:hint="eastAsia" w:ascii="宋体" w:hAnsi="宋体" w:eastAsia="宋体" w:cs="Times New Roman"/>
          <w:color w:val="000000"/>
          <w:sz w:val="24"/>
          <w:szCs w:val="24"/>
        </w:rPr>
        <w:t>：我国家庭教育立法思路与重点</w:t>
      </w:r>
    </w:p>
    <w:p w14:paraId="04D173B4">
      <w:pPr>
        <w:snapToGrid w:val="0"/>
        <w:spacing w:line="360" w:lineRule="auto"/>
        <w:ind w:firstLine="713" w:firstLineChars="2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（五）</w:t>
      </w:r>
      <w:r>
        <w:rPr>
          <w:rFonts w:ascii="宋体" w:hAnsi="宋体" w:eastAsia="宋体" w:cs="Times New Roman"/>
          <w:b/>
          <w:bCs/>
          <w:color w:val="000000"/>
          <w:sz w:val="24"/>
          <w:szCs w:val="24"/>
        </w:rPr>
        <w:t>中国家庭教育中的儿童权利保护</w:t>
      </w:r>
    </w:p>
    <w:p w14:paraId="6E601C68">
      <w:pPr>
        <w:snapToGrid w:val="0"/>
        <w:spacing w:line="360" w:lineRule="auto"/>
        <w:ind w:firstLine="964" w:firstLineChars="400"/>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教学内容</w:t>
      </w:r>
    </w:p>
    <w:p w14:paraId="704D43FD">
      <w:pPr>
        <w:snapToGrid w:val="0"/>
        <w:spacing w:line="360" w:lineRule="auto"/>
        <w:ind w:firstLine="960" w:firstLineChars="4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中国儿童权利及其家庭教育中的权利保护</w:t>
      </w:r>
    </w:p>
    <w:p w14:paraId="060E5D57">
      <w:pPr>
        <w:snapToGrid w:val="0"/>
        <w:spacing w:line="360" w:lineRule="auto"/>
        <w:ind w:firstLine="964" w:firstLineChars="400"/>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2.</w:t>
      </w:r>
      <w:r>
        <w:rPr>
          <w:rFonts w:hint="eastAsia" w:ascii="宋体" w:hAnsi="宋体" w:eastAsia="宋体" w:cs="Times New Roman"/>
          <w:b/>
          <w:bCs/>
          <w:color w:val="000000"/>
          <w:sz w:val="24"/>
          <w:szCs w:val="24"/>
        </w:rPr>
        <w:t>基本要求</w:t>
      </w:r>
    </w:p>
    <w:p w14:paraId="7F548434">
      <w:pPr>
        <w:snapToGrid w:val="0"/>
        <w:spacing w:line="360" w:lineRule="auto"/>
        <w:ind w:firstLine="720" w:firstLineChars="3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（1）明确我国</w:t>
      </w:r>
      <w:r>
        <w:rPr>
          <w:rFonts w:ascii="宋体" w:hAnsi="宋体" w:eastAsia="宋体" w:cs="Times New Roman"/>
          <w:color w:val="000000"/>
          <w:sz w:val="24"/>
          <w:szCs w:val="24"/>
        </w:rPr>
        <w:t>政策和法规</w:t>
      </w:r>
      <w:r>
        <w:rPr>
          <w:rFonts w:hint="eastAsia" w:ascii="宋体" w:hAnsi="宋体" w:eastAsia="宋体" w:cs="Times New Roman"/>
          <w:color w:val="000000"/>
          <w:sz w:val="24"/>
          <w:szCs w:val="24"/>
        </w:rPr>
        <w:t>规定的儿童权利及其教师责任</w:t>
      </w:r>
    </w:p>
    <w:p w14:paraId="7A7F356A">
      <w:pPr>
        <w:snapToGrid w:val="0"/>
        <w:spacing w:line="360" w:lineRule="auto"/>
        <w:ind w:firstLine="720" w:firstLineChars="3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（2）能够通过自身行动贯彻落实我国儿童权利保护</w:t>
      </w:r>
    </w:p>
    <w:p w14:paraId="19E01B32">
      <w:pPr>
        <w:snapToGrid w:val="0"/>
        <w:spacing w:line="360" w:lineRule="auto"/>
        <w:ind w:firstLine="720" w:firstLineChars="3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w:t>
      </w:r>
      <w:r>
        <w:rPr>
          <w:rFonts w:ascii="宋体" w:hAnsi="宋体" w:eastAsia="宋体" w:cs="Times New Roman"/>
          <w:color w:val="000000"/>
          <w:sz w:val="24"/>
          <w:szCs w:val="24"/>
        </w:rPr>
        <w:t>3</w:t>
      </w:r>
      <w:r>
        <w:rPr>
          <w:rFonts w:hint="eastAsia" w:ascii="宋体" w:hAnsi="宋体" w:eastAsia="宋体" w:cs="Times New Roman"/>
          <w:color w:val="000000"/>
          <w:sz w:val="24"/>
          <w:szCs w:val="24"/>
        </w:rPr>
        <w:t>）学会指导</w:t>
      </w:r>
      <w:r>
        <w:rPr>
          <w:rFonts w:ascii="宋体" w:hAnsi="宋体" w:eastAsia="宋体" w:cs="Times New Roman"/>
          <w:color w:val="000000"/>
          <w:sz w:val="24"/>
          <w:szCs w:val="24"/>
        </w:rPr>
        <w:t>家庭教育中的儿童权利保护</w:t>
      </w:r>
    </w:p>
    <w:p w14:paraId="1EB22FFD">
      <w:pPr>
        <w:snapToGrid w:val="0"/>
        <w:spacing w:line="360" w:lineRule="auto"/>
        <w:ind w:firstLine="954" w:firstLineChars="3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3.</w:t>
      </w:r>
      <w:r>
        <w:rPr>
          <w:rFonts w:hint="eastAsia" w:ascii="宋体" w:hAnsi="宋体" w:eastAsia="宋体" w:cs="Times New Roman"/>
          <w:b/>
          <w:bCs/>
          <w:color w:val="000000"/>
          <w:sz w:val="24"/>
          <w:szCs w:val="24"/>
        </w:rPr>
        <w:t>“课程思政”育人目标</w:t>
      </w:r>
    </w:p>
    <w:p w14:paraId="1587EABF">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树立正确的儿童观，树立儿童权利保护意识、教育法律观念，强化教师职业信念，弘扬师德、师爱，爱护儿童，帮助儿童健康快乐成长。</w:t>
      </w:r>
    </w:p>
    <w:p w14:paraId="72B1D26C">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w:t>
      </w:r>
      <w:bookmarkStart w:id="302" w:name="_Hlk151565867"/>
      <w:r>
        <w:rPr>
          <w:rFonts w:ascii="宋体" w:hAnsi="宋体" w:eastAsia="宋体" w:cs="Times New Roman"/>
          <w:b/>
          <w:bCs/>
          <w:color w:val="000000"/>
          <w:sz w:val="24"/>
          <w:szCs w:val="24"/>
        </w:rPr>
        <w:t xml:space="preserve"> </w:t>
      </w:r>
      <w:r>
        <w:rPr>
          <w:rFonts w:hint="eastAsia" w:ascii="宋体" w:hAnsi="宋体" w:eastAsia="宋体" w:cs="Times New Roman"/>
          <w:b/>
          <w:bCs/>
          <w:color w:val="000000"/>
          <w:sz w:val="24"/>
          <w:szCs w:val="24"/>
        </w:rPr>
        <w:t>教学重点</w:t>
      </w:r>
      <w:r>
        <w:rPr>
          <w:rFonts w:hint="eastAsia" w:ascii="宋体" w:hAnsi="宋体" w:eastAsia="宋体" w:cs="Times New Roman"/>
          <w:color w:val="000000"/>
          <w:sz w:val="24"/>
          <w:szCs w:val="24"/>
        </w:rPr>
        <w:t>：中国儿童权利</w:t>
      </w:r>
    </w:p>
    <w:p w14:paraId="0384F35A">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教学难点</w:t>
      </w:r>
      <w:r>
        <w:rPr>
          <w:rFonts w:hint="eastAsia" w:ascii="宋体" w:hAnsi="宋体" w:eastAsia="宋体" w:cs="Times New Roman"/>
          <w:color w:val="000000"/>
          <w:sz w:val="24"/>
          <w:szCs w:val="24"/>
        </w:rPr>
        <w:t>：</w:t>
      </w:r>
      <w:bookmarkEnd w:id="302"/>
      <w:r>
        <w:rPr>
          <w:rFonts w:hint="eastAsia" w:ascii="宋体" w:hAnsi="宋体" w:eastAsia="宋体" w:cs="Times New Roman"/>
          <w:color w:val="000000"/>
          <w:sz w:val="24"/>
          <w:szCs w:val="24"/>
        </w:rPr>
        <w:t>中国儿童权利的家庭保护、教师指导家庭教育中的儿童权利保护</w:t>
      </w:r>
    </w:p>
    <w:p w14:paraId="50EC6355">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（六）</w:t>
      </w:r>
      <w:r>
        <w:rPr>
          <w:rFonts w:ascii="宋体" w:hAnsi="宋体" w:eastAsia="宋体" w:cs="Times New Roman"/>
          <w:b/>
          <w:bCs/>
          <w:color w:val="000000"/>
          <w:sz w:val="24"/>
          <w:szCs w:val="24"/>
        </w:rPr>
        <w:t>独生子女和二孩政策</w:t>
      </w:r>
      <w:r>
        <w:rPr>
          <w:rFonts w:hint="eastAsia" w:ascii="宋体" w:hAnsi="宋体" w:eastAsia="宋体" w:cs="Times New Roman"/>
          <w:b/>
          <w:bCs/>
          <w:color w:val="000000"/>
          <w:sz w:val="24"/>
          <w:szCs w:val="24"/>
        </w:rPr>
        <w:t>及其对</w:t>
      </w:r>
      <w:r>
        <w:rPr>
          <w:rFonts w:ascii="宋体" w:hAnsi="宋体" w:eastAsia="宋体" w:cs="Times New Roman"/>
          <w:b/>
          <w:bCs/>
          <w:color w:val="000000"/>
          <w:sz w:val="24"/>
          <w:szCs w:val="24"/>
        </w:rPr>
        <w:t>家庭教育的影响</w:t>
      </w:r>
    </w:p>
    <w:p w14:paraId="4FFBC108">
      <w:pPr>
        <w:snapToGrid w:val="0"/>
        <w:spacing w:line="360" w:lineRule="auto"/>
        <w:ind w:firstLine="470" w:firstLineChars="196"/>
        <w:rPr>
          <w:rFonts w:hint="eastAsia" w:ascii="宋体" w:hAnsi="宋体" w:eastAsia="宋体" w:cs="Times New Roman"/>
          <w:b/>
          <w:bCs/>
          <w:color w:val="000000"/>
          <w:sz w:val="24"/>
          <w:szCs w:val="24"/>
        </w:rPr>
      </w:pP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1.</w:t>
      </w:r>
      <w:r>
        <w:rPr>
          <w:rFonts w:hint="eastAsia" w:ascii="宋体" w:hAnsi="宋体" w:eastAsia="宋体" w:cs="Times New Roman"/>
          <w:b/>
          <w:bCs/>
          <w:color w:val="000000"/>
          <w:sz w:val="24"/>
          <w:szCs w:val="24"/>
        </w:rPr>
        <w:t>教学内容</w:t>
      </w:r>
    </w:p>
    <w:p w14:paraId="0B17086C">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（1）家庭的结构类型</w:t>
      </w:r>
    </w:p>
    <w:p w14:paraId="60EB7062">
      <w:pPr>
        <w:snapToGrid w:val="0"/>
        <w:spacing w:line="360" w:lineRule="auto"/>
        <w:ind w:firstLine="720" w:firstLineChars="3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（2）现阶段少子化时代的家庭教育现状</w:t>
      </w:r>
    </w:p>
    <w:p w14:paraId="413A10E4">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2.</w:t>
      </w:r>
      <w:r>
        <w:rPr>
          <w:rFonts w:hint="eastAsia" w:ascii="宋体" w:hAnsi="宋体" w:eastAsia="宋体" w:cs="Times New Roman"/>
          <w:b/>
          <w:bCs/>
          <w:color w:val="000000"/>
          <w:sz w:val="24"/>
          <w:szCs w:val="24"/>
        </w:rPr>
        <w:t>基本要求</w:t>
      </w:r>
    </w:p>
    <w:p w14:paraId="1544CE32">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（1）掌握家庭的结构类型</w:t>
      </w:r>
    </w:p>
    <w:p w14:paraId="6BC2B5C2">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（2）了解现阶段少子化时代特点：独生子女和二孩政策</w:t>
      </w:r>
    </w:p>
    <w:p w14:paraId="51AE9CF6">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（3）家庭教育的结构动力学分析及思考</w:t>
      </w:r>
    </w:p>
    <w:p w14:paraId="1C7074D2">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3. “</w:t>
      </w:r>
      <w:r>
        <w:rPr>
          <w:rFonts w:hint="eastAsia" w:ascii="宋体" w:hAnsi="宋体" w:eastAsia="宋体" w:cs="Times New Roman"/>
          <w:b/>
          <w:bCs/>
          <w:color w:val="000000"/>
          <w:sz w:val="24"/>
          <w:szCs w:val="24"/>
        </w:rPr>
        <w:t>课程思政</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育人目标</w:t>
      </w:r>
    </w:p>
    <w:p w14:paraId="57DB1590">
      <w:pPr>
        <w:snapToGrid w:val="0"/>
        <w:spacing w:line="360" w:lineRule="auto"/>
        <w:ind w:firstLine="950" w:firstLineChars="3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胸怀家国、关注现实，责任担当，能够认识到自身的教师社会责任。</w:t>
      </w:r>
    </w:p>
    <w:p w14:paraId="276A9AFE">
      <w:pPr>
        <w:snapToGrid w:val="0"/>
        <w:spacing w:line="360" w:lineRule="auto"/>
        <w:ind w:firstLine="954" w:firstLineChars="396"/>
        <w:rPr>
          <w:rFonts w:hint="eastAsia" w:ascii="宋体" w:hAnsi="宋体" w:eastAsia="宋体" w:cs="Times New Roman"/>
          <w:color w:val="000000"/>
          <w:sz w:val="24"/>
          <w:szCs w:val="24"/>
        </w:rPr>
      </w:pPr>
      <w:r>
        <w:rPr>
          <w:rFonts w:ascii="宋体" w:hAnsi="宋体" w:eastAsia="宋体" w:cs="Times New Roman"/>
          <w:b/>
          <w:bCs/>
          <w:color w:val="000000"/>
          <w:sz w:val="24"/>
          <w:szCs w:val="24"/>
        </w:rPr>
        <w:t>教学重点</w:t>
      </w:r>
      <w:r>
        <w:rPr>
          <w:rFonts w:ascii="宋体" w:hAnsi="宋体" w:eastAsia="宋体" w:cs="Times New Roman"/>
          <w:color w:val="000000"/>
          <w:sz w:val="24"/>
          <w:szCs w:val="24"/>
        </w:rPr>
        <w:t>：</w:t>
      </w:r>
      <w:r>
        <w:rPr>
          <w:rFonts w:hint="eastAsia" w:ascii="宋体" w:hAnsi="宋体" w:eastAsia="宋体" w:cs="Times New Roman"/>
          <w:color w:val="000000"/>
          <w:sz w:val="24"/>
          <w:szCs w:val="24"/>
        </w:rPr>
        <w:t>家庭结构类型、少子化时代的特点</w:t>
      </w:r>
    </w:p>
    <w:p w14:paraId="3AF9427E">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教学难点</w:t>
      </w:r>
      <w:r>
        <w:rPr>
          <w:rFonts w:ascii="宋体" w:hAnsi="宋体" w:eastAsia="宋体" w:cs="Times New Roman"/>
          <w:color w:val="000000"/>
          <w:sz w:val="24"/>
          <w:szCs w:val="24"/>
        </w:rPr>
        <w:t>：</w:t>
      </w:r>
      <w:r>
        <w:rPr>
          <w:rFonts w:hint="eastAsia" w:ascii="宋体" w:hAnsi="宋体" w:eastAsia="宋体" w:cs="Times New Roman"/>
          <w:color w:val="000000"/>
          <w:sz w:val="24"/>
          <w:szCs w:val="24"/>
        </w:rPr>
        <w:t>家庭结构类型</w:t>
      </w:r>
    </w:p>
    <w:p w14:paraId="3B54FF9F">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（七）</w:t>
      </w:r>
      <w:r>
        <w:rPr>
          <w:rFonts w:ascii="宋体" w:hAnsi="宋体" w:eastAsia="宋体" w:cs="Times New Roman"/>
          <w:b/>
          <w:bCs/>
          <w:color w:val="000000"/>
          <w:sz w:val="24"/>
          <w:szCs w:val="24"/>
        </w:rPr>
        <w:t>家庭中祖辈参与教养的现状与特点</w:t>
      </w:r>
    </w:p>
    <w:p w14:paraId="5C92C286">
      <w:pPr>
        <w:snapToGrid w:val="0"/>
        <w:spacing w:line="360" w:lineRule="auto"/>
        <w:ind w:firstLine="713" w:firstLineChars="2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 xml:space="preserve"> 1.</w:t>
      </w:r>
      <w:r>
        <w:rPr>
          <w:rFonts w:hint="eastAsia" w:ascii="宋体" w:hAnsi="宋体" w:eastAsia="宋体" w:cs="Times New Roman"/>
          <w:b/>
          <w:bCs/>
          <w:color w:val="000000"/>
          <w:sz w:val="24"/>
          <w:szCs w:val="24"/>
        </w:rPr>
        <w:t>教学内容</w:t>
      </w:r>
    </w:p>
    <w:p w14:paraId="12214D35">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ascii="宋体" w:hAnsi="宋体" w:eastAsia="宋体" w:cs="Times New Roman"/>
          <w:color w:val="000000"/>
          <w:sz w:val="24"/>
          <w:szCs w:val="24"/>
        </w:rPr>
        <w:t>家庭中常见的家庭教养模式</w:t>
      </w:r>
    </w:p>
    <w:p w14:paraId="5611CE54">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（2）</w:t>
      </w:r>
      <w:r>
        <w:rPr>
          <w:rFonts w:ascii="宋体" w:hAnsi="宋体" w:eastAsia="宋体" w:cs="Times New Roman"/>
          <w:color w:val="000000"/>
          <w:sz w:val="24"/>
          <w:szCs w:val="24"/>
        </w:rPr>
        <w:t>家庭教养中祖辈参与</w:t>
      </w:r>
      <w:r>
        <w:rPr>
          <w:rFonts w:hint="eastAsia" w:ascii="宋体" w:hAnsi="宋体" w:eastAsia="宋体" w:cs="Times New Roman"/>
          <w:color w:val="000000"/>
          <w:sz w:val="24"/>
          <w:szCs w:val="24"/>
        </w:rPr>
        <w:t>教养的意义、现状、问题及建议</w:t>
      </w:r>
    </w:p>
    <w:p w14:paraId="0B7C26C4">
      <w:pPr>
        <w:snapToGrid w:val="0"/>
        <w:spacing w:line="360" w:lineRule="auto"/>
        <w:ind w:firstLine="964" w:firstLineChars="4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2</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基本要求</w:t>
      </w:r>
    </w:p>
    <w:p w14:paraId="4EA06A9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r>
        <w:rPr>
          <w:rFonts w:hint="eastAsia" w:ascii="宋体" w:hAnsi="宋体" w:eastAsia="宋体" w:cs="Times New Roman"/>
          <w:color w:val="000000"/>
          <w:sz w:val="24"/>
          <w:szCs w:val="24"/>
        </w:rPr>
        <w:t>掌握</w:t>
      </w:r>
      <w:r>
        <w:rPr>
          <w:rFonts w:ascii="宋体" w:hAnsi="宋体" w:eastAsia="宋体" w:cs="Times New Roman"/>
          <w:color w:val="000000"/>
          <w:sz w:val="24"/>
          <w:szCs w:val="24"/>
        </w:rPr>
        <w:t>家庭中常见的家庭教养模式</w:t>
      </w:r>
    </w:p>
    <w:p w14:paraId="35018981">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w:t>
      </w:r>
      <w:r>
        <w:rPr>
          <w:rFonts w:hint="eastAsia" w:ascii="宋体" w:hAnsi="宋体" w:eastAsia="宋体" w:cs="Times New Roman"/>
          <w:color w:val="000000"/>
          <w:sz w:val="24"/>
          <w:szCs w:val="24"/>
        </w:rPr>
        <w:t>2</w:t>
      </w:r>
      <w:r>
        <w:rPr>
          <w:rFonts w:ascii="宋体" w:hAnsi="宋体" w:eastAsia="宋体" w:cs="Times New Roman"/>
          <w:color w:val="000000"/>
          <w:sz w:val="24"/>
          <w:szCs w:val="24"/>
        </w:rPr>
        <w:t>）</w:t>
      </w:r>
      <w:r>
        <w:rPr>
          <w:rFonts w:hint="eastAsia" w:ascii="宋体" w:hAnsi="宋体" w:eastAsia="宋体" w:cs="Times New Roman"/>
          <w:color w:val="000000"/>
          <w:sz w:val="24"/>
          <w:szCs w:val="24"/>
        </w:rPr>
        <w:t>理解</w:t>
      </w:r>
      <w:r>
        <w:rPr>
          <w:rFonts w:ascii="宋体" w:hAnsi="宋体" w:eastAsia="宋体" w:cs="Times New Roman"/>
          <w:color w:val="000000"/>
          <w:sz w:val="24"/>
          <w:szCs w:val="24"/>
        </w:rPr>
        <w:t>中国家庭教养中祖辈参与教养的</w:t>
      </w:r>
      <w:r>
        <w:rPr>
          <w:rFonts w:hint="eastAsia" w:ascii="宋体" w:hAnsi="宋体" w:eastAsia="宋体" w:cs="Times New Roman"/>
          <w:color w:val="000000"/>
          <w:sz w:val="24"/>
          <w:szCs w:val="24"/>
        </w:rPr>
        <w:t>意义、</w:t>
      </w:r>
      <w:r>
        <w:rPr>
          <w:rFonts w:ascii="宋体" w:hAnsi="宋体" w:eastAsia="宋体" w:cs="Times New Roman"/>
          <w:color w:val="000000"/>
          <w:sz w:val="24"/>
          <w:szCs w:val="24"/>
        </w:rPr>
        <w:t>现状、问题及建议</w:t>
      </w:r>
    </w:p>
    <w:p w14:paraId="3D846417">
      <w:pPr>
        <w:snapToGrid w:val="0"/>
        <w:spacing w:line="360" w:lineRule="auto"/>
        <w:ind w:firstLine="713" w:firstLineChars="2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 xml:space="preserve">  3.</w:t>
      </w:r>
      <w:r>
        <w:rPr>
          <w:rFonts w:hint="eastAsia" w:ascii="宋体" w:hAnsi="宋体" w:eastAsia="宋体" w:cs="Times New Roman"/>
          <w:b/>
          <w:bCs/>
          <w:color w:val="000000"/>
          <w:sz w:val="24"/>
          <w:szCs w:val="24"/>
        </w:rPr>
        <w:t>“课程思政”育人目标</w:t>
      </w:r>
    </w:p>
    <w:p w14:paraId="6E9B552B">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胸怀家国、</w:t>
      </w:r>
      <w:r>
        <w:rPr>
          <w:rFonts w:hint="eastAsia" w:ascii="宋体" w:hAnsi="宋体" w:eastAsia="宋体" w:cs="Times New Roman"/>
          <w:color w:val="000000"/>
          <w:sz w:val="24"/>
          <w:szCs w:val="24"/>
        </w:rPr>
        <w:t>关注现实，责任担当，能够认识到自身作为教师的社会责任。</w:t>
      </w:r>
    </w:p>
    <w:p w14:paraId="36D9007B">
      <w:pPr>
        <w:snapToGrid w:val="0"/>
        <w:spacing w:line="360" w:lineRule="auto"/>
        <w:ind w:firstLine="713" w:firstLineChars="296"/>
        <w:rPr>
          <w:rFonts w:hint="eastAsia" w:ascii="宋体" w:hAnsi="宋体" w:eastAsia="宋体" w:cs="Times New Roman"/>
          <w:color w:val="000000"/>
          <w:sz w:val="24"/>
          <w:szCs w:val="24"/>
        </w:rPr>
      </w:pPr>
      <w:r>
        <w:rPr>
          <w:rFonts w:ascii="宋体" w:hAnsi="宋体" w:eastAsia="宋体" w:cs="Times New Roman"/>
          <w:b/>
          <w:bCs/>
          <w:color w:val="000000"/>
          <w:sz w:val="24"/>
          <w:szCs w:val="24"/>
        </w:rPr>
        <w:t>教学重点</w:t>
      </w:r>
      <w:r>
        <w:rPr>
          <w:rFonts w:ascii="宋体" w:hAnsi="宋体" w:eastAsia="宋体" w:cs="Times New Roman"/>
          <w:color w:val="000000"/>
          <w:sz w:val="24"/>
          <w:szCs w:val="24"/>
        </w:rPr>
        <w:t>：</w:t>
      </w:r>
      <w:r>
        <w:rPr>
          <w:rFonts w:hint="eastAsia" w:ascii="宋体" w:hAnsi="宋体" w:eastAsia="宋体" w:cs="Times New Roman"/>
          <w:color w:val="000000"/>
          <w:sz w:val="24"/>
          <w:szCs w:val="24"/>
        </w:rPr>
        <w:t>家庭中常见的家庭教养模式</w:t>
      </w:r>
    </w:p>
    <w:p w14:paraId="409ADDF5">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教学难点</w:t>
      </w:r>
      <w:r>
        <w:rPr>
          <w:rFonts w:ascii="宋体" w:hAnsi="宋体" w:eastAsia="宋体" w:cs="Times New Roman"/>
          <w:color w:val="000000"/>
          <w:sz w:val="24"/>
          <w:szCs w:val="24"/>
        </w:rPr>
        <w:t>：中国家庭教养中祖辈参与教养的</w:t>
      </w:r>
      <w:r>
        <w:rPr>
          <w:rFonts w:hint="eastAsia" w:ascii="宋体" w:hAnsi="宋体" w:eastAsia="宋体" w:cs="Times New Roman"/>
          <w:color w:val="000000"/>
          <w:sz w:val="24"/>
          <w:szCs w:val="24"/>
        </w:rPr>
        <w:t>意义、</w:t>
      </w:r>
      <w:r>
        <w:rPr>
          <w:rFonts w:ascii="宋体" w:hAnsi="宋体" w:eastAsia="宋体" w:cs="Times New Roman"/>
          <w:color w:val="000000"/>
          <w:sz w:val="24"/>
          <w:szCs w:val="24"/>
        </w:rPr>
        <w:t>现状、问题及建议</w:t>
      </w:r>
    </w:p>
    <w:p w14:paraId="2502FA69">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 xml:space="preserve"> （八）</w:t>
      </w:r>
      <w:r>
        <w:rPr>
          <w:rFonts w:ascii="宋体" w:hAnsi="宋体" w:eastAsia="宋体" w:cs="Times New Roman"/>
          <w:b/>
          <w:bCs/>
          <w:color w:val="000000"/>
          <w:sz w:val="24"/>
          <w:szCs w:val="24"/>
        </w:rPr>
        <w:t>家风家训与中国传统家教文化的弘扬</w:t>
      </w:r>
    </w:p>
    <w:p w14:paraId="7C8A1535">
      <w:pPr>
        <w:snapToGrid w:val="0"/>
        <w:spacing w:line="360" w:lineRule="auto"/>
        <w:ind w:firstLine="470" w:firstLineChars="196"/>
        <w:rPr>
          <w:rFonts w:hint="eastAsia" w:ascii="宋体" w:hAnsi="宋体" w:eastAsia="宋体" w:cs="Times New Roman"/>
          <w:b/>
          <w:bCs/>
          <w:color w:val="000000"/>
          <w:sz w:val="24"/>
          <w:szCs w:val="24"/>
        </w:rPr>
      </w:pP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1.</w:t>
      </w:r>
      <w:r>
        <w:rPr>
          <w:rFonts w:hint="eastAsia" w:ascii="宋体" w:hAnsi="宋体" w:eastAsia="宋体" w:cs="Times New Roman"/>
          <w:b/>
          <w:bCs/>
          <w:color w:val="000000"/>
          <w:sz w:val="24"/>
          <w:szCs w:val="24"/>
        </w:rPr>
        <w:t>教学内容</w:t>
      </w:r>
    </w:p>
    <w:p w14:paraId="6FCDA0C6">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（1）中国传统家训文化及其研究进展</w:t>
      </w:r>
    </w:p>
    <w:p w14:paraId="164A3FE0">
      <w:pPr>
        <w:snapToGrid w:val="0"/>
        <w:spacing w:line="360" w:lineRule="auto"/>
        <w:ind w:firstLine="710" w:firstLineChars="2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（2）中国优秀家风及其建设研究</w:t>
      </w:r>
    </w:p>
    <w:p w14:paraId="4C36D02E">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2.</w:t>
      </w:r>
      <w:r>
        <w:rPr>
          <w:rFonts w:hint="eastAsia" w:ascii="宋体" w:hAnsi="宋体" w:eastAsia="宋体" w:cs="Times New Roman"/>
          <w:b/>
          <w:bCs/>
          <w:color w:val="000000"/>
          <w:sz w:val="24"/>
          <w:szCs w:val="24"/>
        </w:rPr>
        <w:t>基本要求</w:t>
      </w:r>
    </w:p>
    <w:p w14:paraId="7B3DE57D">
      <w:pPr>
        <w:snapToGrid w:val="0"/>
        <w:spacing w:line="360" w:lineRule="auto"/>
        <w:ind w:firstLine="710" w:firstLineChars="2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r>
        <w:rPr>
          <w:rFonts w:hint="eastAsia" w:ascii="宋体" w:hAnsi="宋体" w:eastAsia="宋体" w:cs="Times New Roman"/>
          <w:color w:val="000000"/>
          <w:sz w:val="24"/>
          <w:szCs w:val="24"/>
        </w:rPr>
        <w:t>理解中国传统家训文化及其研究进展</w:t>
      </w:r>
    </w:p>
    <w:p w14:paraId="2C616DD7">
      <w:pPr>
        <w:snapToGrid w:val="0"/>
        <w:spacing w:line="360" w:lineRule="auto"/>
        <w:ind w:firstLine="710" w:firstLineChars="296"/>
        <w:rPr>
          <w:rFonts w:hint="eastAsia" w:ascii="宋体" w:hAnsi="宋体" w:eastAsia="宋体" w:cs="Times New Roman"/>
          <w:color w:val="000000"/>
          <w:sz w:val="24"/>
          <w:szCs w:val="24"/>
        </w:rPr>
      </w:pPr>
      <w:r>
        <w:rPr>
          <w:rFonts w:ascii="宋体" w:hAnsi="宋体" w:eastAsia="宋体" w:cs="Times New Roman"/>
          <w:color w:val="000000"/>
          <w:sz w:val="24"/>
          <w:szCs w:val="24"/>
        </w:rPr>
        <w:t>（</w:t>
      </w:r>
      <w:r>
        <w:rPr>
          <w:rFonts w:hint="eastAsia" w:ascii="宋体" w:hAnsi="宋体" w:eastAsia="宋体" w:cs="Times New Roman"/>
          <w:color w:val="000000"/>
          <w:sz w:val="24"/>
          <w:szCs w:val="24"/>
        </w:rPr>
        <w:t>2）理解中国优秀家风及其建设研究</w:t>
      </w:r>
    </w:p>
    <w:p w14:paraId="2C2D4100">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3.</w:t>
      </w:r>
      <w:r>
        <w:rPr>
          <w:rFonts w:hint="eastAsia" w:ascii="宋体" w:hAnsi="宋体" w:eastAsia="宋体" w:cs="Times New Roman"/>
          <w:b/>
          <w:bCs/>
          <w:color w:val="000000"/>
          <w:sz w:val="24"/>
          <w:szCs w:val="24"/>
        </w:rPr>
        <w:t>“课程思政”育人目标</w:t>
      </w:r>
    </w:p>
    <w:p w14:paraId="5F4A61CF">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植根中华优秀传统文化，厚植爱国主义情怀，传承中华优秀传统文化尤其是家教家风，为国育人、为党育人。</w:t>
      </w:r>
    </w:p>
    <w:p w14:paraId="6AE143F9">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教学重点：</w:t>
      </w:r>
      <w:bookmarkStart w:id="303" w:name="_Hlk151567641"/>
      <w:r>
        <w:rPr>
          <w:rFonts w:hint="eastAsia" w:ascii="宋体" w:hAnsi="宋体" w:eastAsia="宋体" w:cs="Times New Roman"/>
          <w:color w:val="000000"/>
          <w:sz w:val="24"/>
          <w:szCs w:val="24"/>
        </w:rPr>
        <w:t>中国传统家训文化及其研究、中国传统家风及其建设</w:t>
      </w:r>
      <w:bookmarkEnd w:id="303"/>
    </w:p>
    <w:p w14:paraId="7228B72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教学难点</w:t>
      </w:r>
      <w:r>
        <w:rPr>
          <w:rFonts w:hint="eastAsia" w:ascii="宋体" w:hAnsi="宋体" w:eastAsia="宋体" w:cs="Times New Roman"/>
          <w:color w:val="000000"/>
          <w:sz w:val="24"/>
          <w:szCs w:val="24"/>
        </w:rPr>
        <w:t>：中国传统家训文化研究、中国传统家风建设</w:t>
      </w:r>
    </w:p>
    <w:p w14:paraId="633393B3">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b/>
          <w:bCs/>
          <w:color w:val="000000"/>
          <w:sz w:val="24"/>
          <w:szCs w:val="24"/>
        </w:rPr>
        <w:t>（九）</w:t>
      </w:r>
      <w:r>
        <w:rPr>
          <w:rFonts w:ascii="宋体" w:hAnsi="宋体" w:eastAsia="宋体" w:cs="Times New Roman"/>
          <w:b/>
          <w:bCs/>
          <w:color w:val="000000"/>
          <w:sz w:val="24"/>
          <w:szCs w:val="24"/>
        </w:rPr>
        <w:t>亲子共读实践</w:t>
      </w:r>
    </w:p>
    <w:p w14:paraId="64F776AA">
      <w:pPr>
        <w:snapToGrid w:val="0"/>
        <w:spacing w:line="360" w:lineRule="auto"/>
        <w:ind w:firstLine="470" w:firstLineChars="196"/>
        <w:rPr>
          <w:rFonts w:hint="eastAsia" w:ascii="宋体" w:hAnsi="宋体" w:eastAsia="宋体" w:cs="Times New Roman"/>
          <w:b/>
          <w:bCs/>
          <w:color w:val="000000"/>
          <w:sz w:val="24"/>
          <w:szCs w:val="24"/>
        </w:rPr>
      </w:pP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1.</w:t>
      </w:r>
      <w:r>
        <w:rPr>
          <w:rFonts w:hint="eastAsia" w:ascii="宋体" w:hAnsi="宋体" w:eastAsia="宋体" w:cs="Times New Roman"/>
          <w:b/>
          <w:bCs/>
          <w:color w:val="000000"/>
          <w:sz w:val="24"/>
          <w:szCs w:val="24"/>
        </w:rPr>
        <w:t>教学内容</w:t>
      </w:r>
    </w:p>
    <w:p w14:paraId="72F18441">
      <w:pPr>
        <w:snapToGrid w:val="0"/>
        <w:spacing w:line="360" w:lineRule="auto"/>
        <w:ind w:firstLine="720" w:firstLineChars="300"/>
        <w:rPr>
          <w:rFonts w:hint="eastAsia" w:ascii="宋体" w:hAnsi="宋体" w:eastAsia="宋体" w:cs="Times New Roman"/>
          <w:color w:val="000000"/>
          <w:sz w:val="24"/>
          <w:szCs w:val="24"/>
        </w:rPr>
      </w:pPr>
      <w:bookmarkStart w:id="304" w:name="_Hlk151567357"/>
      <w:r>
        <w:rPr>
          <w:rFonts w:hint="eastAsia" w:ascii="宋体" w:hAnsi="宋体" w:eastAsia="宋体" w:cs="Times New Roman"/>
          <w:color w:val="000000"/>
          <w:sz w:val="24"/>
          <w:szCs w:val="24"/>
        </w:rPr>
        <w:t>（1）</w:t>
      </w:r>
      <w:r>
        <w:rPr>
          <w:rFonts w:ascii="宋体" w:hAnsi="宋体" w:eastAsia="宋体" w:cs="Times New Roman"/>
          <w:color w:val="000000"/>
          <w:sz w:val="24"/>
          <w:szCs w:val="24"/>
        </w:rPr>
        <w:t>亲子共读的特点</w:t>
      </w:r>
      <w:r>
        <w:rPr>
          <w:rFonts w:hint="eastAsia" w:ascii="宋体" w:hAnsi="宋体" w:eastAsia="宋体" w:cs="Times New Roman"/>
          <w:color w:val="000000"/>
          <w:sz w:val="24"/>
          <w:szCs w:val="24"/>
        </w:rPr>
        <w:t>、方式</w:t>
      </w:r>
    </w:p>
    <w:p w14:paraId="7CB66EB4">
      <w:pPr>
        <w:snapToGrid w:val="0"/>
        <w:spacing w:line="360" w:lineRule="auto"/>
        <w:ind w:left="71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（2）亲子共读的现存问题及社会探索</w:t>
      </w:r>
    </w:p>
    <w:bookmarkEnd w:id="304"/>
    <w:p w14:paraId="04090EBC">
      <w:pPr>
        <w:snapToGrid w:val="0"/>
        <w:spacing w:line="360" w:lineRule="auto"/>
        <w:ind w:firstLine="470" w:firstLineChars="196"/>
        <w:rPr>
          <w:rFonts w:hint="eastAsia" w:ascii="宋体" w:hAnsi="宋体" w:eastAsia="宋体" w:cs="Times New Roman"/>
          <w:b/>
          <w:bCs/>
          <w:color w:val="000000"/>
          <w:sz w:val="24"/>
          <w:szCs w:val="24"/>
        </w:rPr>
      </w:pP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2.</w:t>
      </w:r>
      <w:r>
        <w:rPr>
          <w:rFonts w:hint="eastAsia" w:ascii="宋体" w:hAnsi="宋体" w:eastAsia="宋体" w:cs="Times New Roman"/>
          <w:b/>
          <w:bCs/>
          <w:color w:val="000000"/>
          <w:sz w:val="24"/>
          <w:szCs w:val="24"/>
        </w:rPr>
        <w:t>基本要求</w:t>
      </w:r>
    </w:p>
    <w:p w14:paraId="53383216">
      <w:pPr>
        <w:snapToGrid w:val="0"/>
        <w:spacing w:line="360" w:lineRule="auto"/>
        <w:ind w:firstLine="720" w:firstLineChars="3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（1）掌握</w:t>
      </w:r>
      <w:r>
        <w:rPr>
          <w:rFonts w:ascii="宋体" w:hAnsi="宋体" w:eastAsia="宋体" w:cs="Times New Roman"/>
          <w:color w:val="000000"/>
          <w:sz w:val="24"/>
          <w:szCs w:val="24"/>
        </w:rPr>
        <w:t>亲子共读的特点</w:t>
      </w:r>
      <w:r>
        <w:rPr>
          <w:rFonts w:hint="eastAsia" w:ascii="宋体" w:hAnsi="宋体" w:eastAsia="宋体" w:cs="Times New Roman"/>
          <w:color w:val="000000"/>
          <w:sz w:val="24"/>
          <w:szCs w:val="24"/>
        </w:rPr>
        <w:t>、方式</w:t>
      </w:r>
    </w:p>
    <w:p w14:paraId="0E4923CE">
      <w:pPr>
        <w:snapToGrid w:val="0"/>
        <w:spacing w:line="360" w:lineRule="auto"/>
        <w:ind w:left="71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（2）了解亲子共读的现存问题及社会探索</w:t>
      </w:r>
    </w:p>
    <w:p w14:paraId="694A5184">
      <w:pPr>
        <w:snapToGrid w:val="0"/>
        <w:spacing w:line="360" w:lineRule="auto"/>
        <w:ind w:firstLine="470" w:firstLineChars="196"/>
        <w:rPr>
          <w:rFonts w:hint="eastAsia" w:ascii="宋体" w:hAnsi="宋体" w:eastAsia="宋体" w:cs="Times New Roman"/>
          <w:b/>
          <w:bCs/>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 xml:space="preserve"> 3.</w:t>
      </w:r>
      <w:r>
        <w:rPr>
          <w:rFonts w:hint="eastAsia" w:ascii="宋体" w:hAnsi="宋体" w:eastAsia="宋体" w:cs="Times New Roman"/>
          <w:b/>
          <w:bCs/>
          <w:color w:val="000000"/>
          <w:sz w:val="24"/>
          <w:szCs w:val="24"/>
        </w:rPr>
        <w:t>“课程思政”育人目标</w:t>
      </w:r>
    </w:p>
    <w:p w14:paraId="5CF52A32">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关心教育现实、立足社会实践，积极投身儿童教育事业，积极为家庭提供教育指导服务。</w:t>
      </w:r>
    </w:p>
    <w:p w14:paraId="1B68E94C">
      <w:pPr>
        <w:snapToGrid w:val="0"/>
        <w:spacing w:line="360" w:lineRule="auto"/>
        <w:ind w:firstLine="954" w:firstLineChars="3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教学重点：</w:t>
      </w:r>
      <w:r>
        <w:rPr>
          <w:rFonts w:hint="eastAsia" w:ascii="宋体" w:hAnsi="宋体" w:eastAsia="宋体" w:cs="Times New Roman"/>
          <w:color w:val="000000"/>
          <w:sz w:val="24"/>
          <w:szCs w:val="24"/>
        </w:rPr>
        <w:t>亲子共读的特点、方式、现存问题、社会探索</w:t>
      </w:r>
    </w:p>
    <w:p w14:paraId="7D5DD8E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ascii="宋体" w:hAnsi="宋体" w:eastAsia="宋体" w:cs="Times New Roman"/>
          <w:color w:val="000000"/>
          <w:sz w:val="24"/>
          <w:szCs w:val="24"/>
        </w:rPr>
        <w:t xml:space="preserve">   </w:t>
      </w:r>
      <w:r>
        <w:rPr>
          <w:rFonts w:ascii="宋体" w:hAnsi="宋体" w:eastAsia="宋体" w:cs="Times New Roman"/>
          <w:b/>
          <w:bCs/>
          <w:color w:val="000000"/>
          <w:sz w:val="24"/>
          <w:szCs w:val="24"/>
        </w:rPr>
        <w:t>教学难点</w:t>
      </w:r>
      <w:r>
        <w:rPr>
          <w:rFonts w:ascii="宋体" w:hAnsi="宋体" w:eastAsia="宋体" w:cs="Times New Roman"/>
          <w:color w:val="000000"/>
          <w:sz w:val="24"/>
          <w:szCs w:val="24"/>
        </w:rPr>
        <w:t>：</w:t>
      </w:r>
      <w:r>
        <w:rPr>
          <w:rFonts w:hint="eastAsia" w:ascii="宋体" w:hAnsi="宋体" w:eastAsia="宋体" w:cs="Times New Roman"/>
          <w:color w:val="000000"/>
          <w:sz w:val="24"/>
          <w:szCs w:val="24"/>
        </w:rPr>
        <w:t>亲子共读的方式及其现实探索</w:t>
      </w:r>
    </w:p>
    <w:p w14:paraId="1EF0C95A">
      <w:pPr>
        <w:snapToGrid w:val="0"/>
        <w:spacing w:line="288" w:lineRule="auto"/>
        <w:ind w:firstLine="394" w:firstLineChars="196"/>
        <w:rPr>
          <w:rFonts w:ascii="Calibri" w:hAnsi="Calibri" w:eastAsia="宋体" w:cs="Times New Roman"/>
          <w:b/>
          <w:bCs/>
          <w:color w:val="000000"/>
          <w:sz w:val="20"/>
          <w:szCs w:val="20"/>
        </w:rPr>
      </w:pPr>
    </w:p>
    <w:p w14:paraId="72AE1CF3">
      <w:pPr>
        <w:snapToGrid w:val="0"/>
        <w:spacing w:line="288" w:lineRule="auto"/>
        <w:ind w:firstLine="472" w:firstLineChars="196"/>
        <w:rPr>
          <w:rFonts w:ascii="Calibri" w:hAnsi="Calibri" w:eastAsia="宋体" w:cs="Times New Roman"/>
          <w:b/>
          <w:bCs/>
          <w:color w:val="000000"/>
          <w:sz w:val="24"/>
          <w:szCs w:val="24"/>
        </w:rPr>
      </w:pPr>
      <w:r>
        <w:rPr>
          <w:rFonts w:hint="eastAsia" w:ascii="Calibri" w:hAnsi="Calibri" w:eastAsia="宋体" w:cs="Times New Roman"/>
          <w:b/>
          <w:bCs/>
          <w:color w:val="000000"/>
          <w:sz w:val="24"/>
          <w:szCs w:val="24"/>
        </w:rPr>
        <w:t>教学内容与课程目标的对应关系及学时分配如表所示</w:t>
      </w:r>
    </w:p>
    <w:tbl>
      <w:tblPr>
        <w:tblStyle w:val="30"/>
        <w:tblW w:w="8505" w:type="dxa"/>
        <w:tblInd w:w="13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741"/>
        <w:gridCol w:w="1559"/>
        <w:gridCol w:w="2129"/>
        <w:gridCol w:w="708"/>
        <w:gridCol w:w="709"/>
      </w:tblGrid>
      <w:tr w14:paraId="1AB39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59" w:type="dxa"/>
            <w:shd w:val="clear" w:color="auto" w:fill="FFFFFF"/>
            <w:vAlign w:val="center"/>
          </w:tcPr>
          <w:p w14:paraId="249AAEC7">
            <w:pPr>
              <w:snapToGrid w:val="0"/>
              <w:spacing w:line="288" w:lineRule="auto"/>
              <w:jc w:val="left"/>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序号</w:t>
            </w:r>
          </w:p>
        </w:tc>
        <w:tc>
          <w:tcPr>
            <w:tcW w:w="2741" w:type="dxa"/>
            <w:shd w:val="clear" w:color="auto" w:fill="FFFFFF"/>
            <w:vAlign w:val="center"/>
          </w:tcPr>
          <w:p w14:paraId="11C2D577">
            <w:pPr>
              <w:snapToGrid w:val="0"/>
              <w:spacing w:line="288" w:lineRule="auto"/>
              <w:ind w:firstLine="394" w:firstLineChars="196"/>
              <w:rPr>
                <w:rFonts w:ascii="Calibri" w:hAnsi="Calibri" w:eastAsia="宋体" w:cs="Times New Roman"/>
                <w:b/>
                <w:bCs/>
                <w:color w:val="000000"/>
                <w:sz w:val="20"/>
                <w:szCs w:val="20"/>
              </w:rPr>
            </w:pPr>
            <w:r>
              <w:rPr>
                <w:rFonts w:ascii="Calibri" w:hAnsi="Calibri" w:eastAsia="宋体" w:cs="Times New Roman"/>
                <w:b/>
                <w:bCs/>
                <w:color w:val="000000"/>
                <w:sz w:val="20"/>
                <w:szCs w:val="20"/>
              </w:rPr>
              <w:t>教学内容</w:t>
            </w:r>
          </w:p>
        </w:tc>
        <w:tc>
          <w:tcPr>
            <w:tcW w:w="1559" w:type="dxa"/>
            <w:shd w:val="clear" w:color="auto" w:fill="FFFFFF"/>
            <w:vAlign w:val="center"/>
          </w:tcPr>
          <w:p w14:paraId="2CF46653">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支撑</w:t>
            </w:r>
            <w:r>
              <w:rPr>
                <w:rFonts w:hint="eastAsia" w:ascii="Calibri" w:hAnsi="Calibri" w:eastAsia="宋体" w:cs="Times New Roman"/>
                <w:b/>
                <w:bCs/>
                <w:color w:val="000000"/>
                <w:sz w:val="20"/>
                <w:szCs w:val="20"/>
              </w:rPr>
              <w:t>的</w:t>
            </w:r>
          </w:p>
          <w:p w14:paraId="7BC68022">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课程目标</w:t>
            </w:r>
          </w:p>
        </w:tc>
        <w:tc>
          <w:tcPr>
            <w:tcW w:w="2129" w:type="dxa"/>
            <w:shd w:val="clear" w:color="auto" w:fill="FFFFFF"/>
            <w:vAlign w:val="center"/>
          </w:tcPr>
          <w:p w14:paraId="5781E0FA">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支撑</w:t>
            </w:r>
            <w:r>
              <w:rPr>
                <w:rFonts w:hint="eastAsia" w:ascii="Calibri" w:hAnsi="Calibri" w:eastAsia="宋体" w:cs="Times New Roman"/>
                <w:b/>
                <w:bCs/>
                <w:color w:val="000000"/>
                <w:sz w:val="20"/>
                <w:szCs w:val="20"/>
              </w:rPr>
              <w:t>的</w:t>
            </w:r>
            <w:r>
              <w:rPr>
                <w:rFonts w:ascii="Calibri" w:hAnsi="Calibri" w:eastAsia="宋体" w:cs="Times New Roman"/>
                <w:b/>
                <w:bCs/>
                <w:color w:val="000000"/>
                <w:sz w:val="20"/>
                <w:szCs w:val="20"/>
              </w:rPr>
              <w:t>毕业</w:t>
            </w:r>
          </w:p>
          <w:p w14:paraId="764228AE">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要求指标点</w:t>
            </w:r>
          </w:p>
        </w:tc>
        <w:tc>
          <w:tcPr>
            <w:tcW w:w="708" w:type="dxa"/>
            <w:shd w:val="clear" w:color="auto" w:fill="FFFFFF"/>
            <w:vAlign w:val="center"/>
          </w:tcPr>
          <w:p w14:paraId="757A63A3">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讲</w:t>
            </w:r>
            <w:r>
              <w:rPr>
                <w:rFonts w:hint="eastAsia" w:ascii="Calibri" w:hAnsi="Calibri" w:eastAsia="宋体" w:cs="Times New Roman"/>
                <w:b/>
                <w:bCs/>
                <w:color w:val="000000"/>
                <w:sz w:val="20"/>
                <w:szCs w:val="20"/>
              </w:rPr>
              <w:t>授</w:t>
            </w:r>
            <w:r>
              <w:rPr>
                <w:rFonts w:ascii="Calibri" w:hAnsi="Calibri" w:eastAsia="宋体" w:cs="Times New Roman"/>
                <w:b/>
                <w:bCs/>
                <w:color w:val="000000"/>
                <w:sz w:val="20"/>
                <w:szCs w:val="20"/>
              </w:rPr>
              <w:t>学时</w:t>
            </w:r>
          </w:p>
        </w:tc>
        <w:tc>
          <w:tcPr>
            <w:tcW w:w="709" w:type="dxa"/>
            <w:shd w:val="clear" w:color="auto" w:fill="FFFFFF"/>
            <w:vAlign w:val="center"/>
          </w:tcPr>
          <w:p w14:paraId="49336F8C">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实验学时</w:t>
            </w:r>
          </w:p>
        </w:tc>
      </w:tr>
      <w:tr w14:paraId="30DD5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59" w:type="dxa"/>
            <w:shd w:val="clear" w:color="auto" w:fill="FFFFFF"/>
            <w:vAlign w:val="center"/>
          </w:tcPr>
          <w:p w14:paraId="7DC4EA1A">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1</w:t>
            </w:r>
          </w:p>
        </w:tc>
        <w:tc>
          <w:tcPr>
            <w:tcW w:w="2741" w:type="dxa"/>
            <w:shd w:val="clear" w:color="auto" w:fill="FFFFFF"/>
            <w:vAlign w:val="center"/>
          </w:tcPr>
          <w:p w14:paraId="104FCCEA">
            <w:pPr>
              <w:snapToGrid w:val="0"/>
              <w:spacing w:line="288" w:lineRule="auto"/>
              <w:rPr>
                <w:rFonts w:hint="eastAsia" w:ascii="宋体" w:hAnsi="宋体" w:eastAsia="宋体" w:cs="Times New Roman"/>
                <w:szCs w:val="21"/>
              </w:rPr>
            </w:pPr>
            <w:r>
              <w:rPr>
                <w:rFonts w:hint="eastAsia" w:ascii="宋体" w:hAnsi="宋体" w:eastAsia="宋体" w:cs="Times New Roman"/>
                <w:szCs w:val="21"/>
              </w:rPr>
              <w:t>“家校社合作共育”概述</w:t>
            </w:r>
          </w:p>
        </w:tc>
        <w:tc>
          <w:tcPr>
            <w:tcW w:w="1559" w:type="dxa"/>
            <w:shd w:val="clear" w:color="auto" w:fill="FFFFFF"/>
            <w:vAlign w:val="center"/>
          </w:tcPr>
          <w:p w14:paraId="6C63894B">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、6、8</w:t>
            </w:r>
          </w:p>
        </w:tc>
        <w:tc>
          <w:tcPr>
            <w:tcW w:w="2129" w:type="dxa"/>
            <w:shd w:val="clear" w:color="auto" w:fill="FFFFFF"/>
            <w:vAlign w:val="center"/>
          </w:tcPr>
          <w:p w14:paraId="7BBE26B6">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shd w:val="clear" w:color="auto" w:fill="FFFFFF"/>
            <w:vAlign w:val="center"/>
          </w:tcPr>
          <w:p w14:paraId="772E8A1B">
            <w:pPr>
              <w:snapToGrid w:val="0"/>
              <w:spacing w:line="288" w:lineRule="auto"/>
              <w:jc w:val="center"/>
              <w:rPr>
                <w:rFonts w:hint="eastAsia" w:ascii="宋体" w:hAnsi="宋体" w:eastAsia="宋体" w:cs="Times New Roman"/>
                <w:szCs w:val="21"/>
              </w:rPr>
            </w:pPr>
            <w:r>
              <w:rPr>
                <w:rFonts w:ascii="宋体" w:hAnsi="宋体" w:eastAsia="宋体" w:cs="Times New Roman"/>
                <w:szCs w:val="21"/>
              </w:rPr>
              <w:t>2</w:t>
            </w:r>
          </w:p>
        </w:tc>
        <w:tc>
          <w:tcPr>
            <w:tcW w:w="709" w:type="dxa"/>
            <w:shd w:val="clear" w:color="auto" w:fill="FFFFFF"/>
            <w:vAlign w:val="center"/>
          </w:tcPr>
          <w:p w14:paraId="65FF5BF3">
            <w:pPr>
              <w:snapToGrid w:val="0"/>
              <w:spacing w:line="288" w:lineRule="auto"/>
              <w:ind w:firstLine="411" w:firstLineChars="196"/>
              <w:rPr>
                <w:rFonts w:hint="eastAsia" w:ascii="宋体" w:hAnsi="宋体" w:eastAsia="宋体" w:cs="Times New Roman"/>
                <w:szCs w:val="21"/>
              </w:rPr>
            </w:pPr>
          </w:p>
        </w:tc>
      </w:tr>
      <w:tr w14:paraId="15CA3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59" w:type="dxa"/>
            <w:vAlign w:val="center"/>
          </w:tcPr>
          <w:p w14:paraId="2F4F1FCB">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2</w:t>
            </w:r>
          </w:p>
        </w:tc>
        <w:tc>
          <w:tcPr>
            <w:tcW w:w="2741" w:type="dxa"/>
            <w:vAlign w:val="center"/>
          </w:tcPr>
          <w:p w14:paraId="3A1FD9D9">
            <w:pPr>
              <w:snapToGrid w:val="0"/>
              <w:spacing w:line="288" w:lineRule="auto"/>
              <w:rPr>
                <w:rFonts w:hint="eastAsia" w:ascii="宋体" w:hAnsi="宋体" w:eastAsia="宋体" w:cs="Times New Roman"/>
                <w:szCs w:val="21"/>
              </w:rPr>
            </w:pPr>
            <w:r>
              <w:rPr>
                <w:rFonts w:ascii="宋体" w:hAnsi="宋体" w:eastAsia="宋体" w:cs="Times New Roman"/>
                <w:szCs w:val="21"/>
              </w:rPr>
              <w:t>中国家庭教育的现状与特点</w:t>
            </w:r>
          </w:p>
        </w:tc>
        <w:tc>
          <w:tcPr>
            <w:tcW w:w="1559" w:type="dxa"/>
            <w:vAlign w:val="center"/>
          </w:tcPr>
          <w:p w14:paraId="3DA535A4">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67392F9D">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029E6012">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640FBCA2">
            <w:pPr>
              <w:snapToGrid w:val="0"/>
              <w:spacing w:line="288" w:lineRule="auto"/>
              <w:ind w:firstLine="411" w:firstLineChars="196"/>
              <w:rPr>
                <w:rFonts w:hint="eastAsia" w:ascii="宋体" w:hAnsi="宋体" w:eastAsia="宋体" w:cs="Times New Roman"/>
                <w:szCs w:val="21"/>
              </w:rPr>
            </w:pPr>
          </w:p>
        </w:tc>
      </w:tr>
      <w:tr w14:paraId="62763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9" w:type="dxa"/>
            <w:vAlign w:val="center"/>
          </w:tcPr>
          <w:p w14:paraId="664AB331">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3</w:t>
            </w:r>
          </w:p>
        </w:tc>
        <w:tc>
          <w:tcPr>
            <w:tcW w:w="2741" w:type="dxa"/>
            <w:vAlign w:val="center"/>
          </w:tcPr>
          <w:p w14:paraId="6A54CA95">
            <w:pPr>
              <w:snapToGrid w:val="0"/>
              <w:spacing w:line="288" w:lineRule="auto"/>
              <w:rPr>
                <w:rFonts w:hint="eastAsia" w:ascii="宋体" w:hAnsi="宋体" w:eastAsia="宋体" w:cs="Times New Roman"/>
                <w:szCs w:val="21"/>
              </w:rPr>
            </w:pPr>
            <w:r>
              <w:rPr>
                <w:rFonts w:ascii="宋体" w:hAnsi="宋体" w:eastAsia="宋体" w:cs="Times New Roman"/>
                <w:szCs w:val="21"/>
              </w:rPr>
              <w:t>家庭教育理论的发展与创新</w:t>
            </w:r>
          </w:p>
        </w:tc>
        <w:tc>
          <w:tcPr>
            <w:tcW w:w="1559" w:type="dxa"/>
            <w:vAlign w:val="center"/>
          </w:tcPr>
          <w:p w14:paraId="77514652">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7A64A0DF">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5467A26A">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75A34CEC">
            <w:pPr>
              <w:snapToGrid w:val="0"/>
              <w:spacing w:line="288" w:lineRule="auto"/>
              <w:ind w:firstLine="411" w:firstLineChars="196"/>
              <w:rPr>
                <w:rFonts w:hint="eastAsia" w:ascii="宋体" w:hAnsi="宋体" w:eastAsia="宋体" w:cs="Times New Roman"/>
                <w:szCs w:val="21"/>
              </w:rPr>
            </w:pPr>
          </w:p>
        </w:tc>
      </w:tr>
      <w:tr w14:paraId="73D05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59" w:type="dxa"/>
            <w:vAlign w:val="center"/>
          </w:tcPr>
          <w:p w14:paraId="226844D0">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4</w:t>
            </w:r>
          </w:p>
        </w:tc>
        <w:tc>
          <w:tcPr>
            <w:tcW w:w="2741" w:type="dxa"/>
            <w:vAlign w:val="center"/>
          </w:tcPr>
          <w:p w14:paraId="6AEA3724">
            <w:pPr>
              <w:snapToGrid w:val="0"/>
              <w:spacing w:line="288" w:lineRule="auto"/>
              <w:rPr>
                <w:rFonts w:hint="eastAsia" w:ascii="宋体" w:hAnsi="宋体" w:eastAsia="宋体" w:cs="Times New Roman"/>
                <w:szCs w:val="21"/>
              </w:rPr>
            </w:pPr>
            <w:r>
              <w:rPr>
                <w:rFonts w:ascii="宋体" w:hAnsi="宋体" w:eastAsia="宋体" w:cs="Times New Roman"/>
                <w:szCs w:val="21"/>
              </w:rPr>
              <w:t>家庭教育的立法进程</w:t>
            </w:r>
          </w:p>
        </w:tc>
        <w:tc>
          <w:tcPr>
            <w:tcW w:w="1559" w:type="dxa"/>
            <w:vAlign w:val="center"/>
          </w:tcPr>
          <w:p w14:paraId="58C0FB6C">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7F94DB4E">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3F23C118">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3BBC797D">
            <w:pPr>
              <w:snapToGrid w:val="0"/>
              <w:spacing w:line="288" w:lineRule="auto"/>
              <w:ind w:firstLine="411" w:firstLineChars="196"/>
              <w:rPr>
                <w:rFonts w:hint="eastAsia" w:ascii="宋体" w:hAnsi="宋体" w:eastAsia="宋体" w:cs="Times New Roman"/>
                <w:szCs w:val="21"/>
              </w:rPr>
            </w:pPr>
          </w:p>
        </w:tc>
      </w:tr>
      <w:tr w14:paraId="43D7F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59" w:type="dxa"/>
            <w:vAlign w:val="center"/>
          </w:tcPr>
          <w:p w14:paraId="7ED19313">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741" w:type="dxa"/>
            <w:vAlign w:val="center"/>
          </w:tcPr>
          <w:p w14:paraId="1BAD2463">
            <w:pPr>
              <w:snapToGrid w:val="0"/>
              <w:spacing w:line="288" w:lineRule="auto"/>
              <w:rPr>
                <w:rFonts w:hint="eastAsia" w:ascii="宋体" w:hAnsi="宋体" w:eastAsia="宋体" w:cs="Times New Roman"/>
                <w:szCs w:val="21"/>
              </w:rPr>
            </w:pPr>
            <w:r>
              <w:rPr>
                <w:rFonts w:ascii="宋体" w:hAnsi="宋体" w:eastAsia="宋体" w:cs="Times New Roman"/>
                <w:szCs w:val="21"/>
              </w:rPr>
              <w:t>家庭教育中的儿童权利保护</w:t>
            </w:r>
          </w:p>
        </w:tc>
        <w:tc>
          <w:tcPr>
            <w:tcW w:w="1559" w:type="dxa"/>
            <w:vAlign w:val="center"/>
          </w:tcPr>
          <w:p w14:paraId="35CF9728">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04F3D9DA">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002EEBB5">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3D59953F">
            <w:pPr>
              <w:snapToGrid w:val="0"/>
              <w:spacing w:line="288" w:lineRule="auto"/>
              <w:ind w:firstLine="411" w:firstLineChars="196"/>
              <w:rPr>
                <w:rFonts w:hint="eastAsia" w:ascii="宋体" w:hAnsi="宋体" w:eastAsia="宋体" w:cs="Times New Roman"/>
                <w:szCs w:val="21"/>
              </w:rPr>
            </w:pPr>
          </w:p>
        </w:tc>
      </w:tr>
      <w:tr w14:paraId="0D3DF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59" w:type="dxa"/>
            <w:vAlign w:val="center"/>
          </w:tcPr>
          <w:p w14:paraId="500F2C24">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6</w:t>
            </w:r>
          </w:p>
        </w:tc>
        <w:tc>
          <w:tcPr>
            <w:tcW w:w="2741" w:type="dxa"/>
            <w:vAlign w:val="center"/>
          </w:tcPr>
          <w:p w14:paraId="68CADCB0">
            <w:pPr>
              <w:snapToGrid w:val="0"/>
              <w:spacing w:line="288" w:lineRule="auto"/>
              <w:rPr>
                <w:rFonts w:hint="eastAsia" w:ascii="宋体" w:hAnsi="宋体" w:eastAsia="宋体" w:cs="Times New Roman"/>
                <w:szCs w:val="21"/>
              </w:rPr>
            </w:pPr>
            <w:r>
              <w:rPr>
                <w:rFonts w:ascii="宋体" w:hAnsi="宋体" w:eastAsia="宋体" w:cs="Times New Roman"/>
                <w:szCs w:val="21"/>
              </w:rPr>
              <w:t>独生子女和二孩政策及其对家庭教育的影响</w:t>
            </w:r>
          </w:p>
        </w:tc>
        <w:tc>
          <w:tcPr>
            <w:tcW w:w="1559" w:type="dxa"/>
            <w:vAlign w:val="center"/>
          </w:tcPr>
          <w:p w14:paraId="087ECBAC">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2B53A50B">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2827D66E">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63DA2037">
            <w:pPr>
              <w:snapToGrid w:val="0"/>
              <w:spacing w:line="288" w:lineRule="auto"/>
              <w:ind w:firstLine="411" w:firstLineChars="196"/>
              <w:rPr>
                <w:rFonts w:hint="eastAsia" w:ascii="宋体" w:hAnsi="宋体" w:eastAsia="宋体" w:cs="Times New Roman"/>
                <w:szCs w:val="21"/>
              </w:rPr>
            </w:pPr>
          </w:p>
        </w:tc>
      </w:tr>
      <w:tr w14:paraId="5C53F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59" w:type="dxa"/>
            <w:vAlign w:val="center"/>
          </w:tcPr>
          <w:p w14:paraId="0FF24B15">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7</w:t>
            </w:r>
          </w:p>
        </w:tc>
        <w:tc>
          <w:tcPr>
            <w:tcW w:w="2741" w:type="dxa"/>
            <w:vAlign w:val="center"/>
          </w:tcPr>
          <w:p w14:paraId="0C0D8169">
            <w:pPr>
              <w:snapToGrid w:val="0"/>
              <w:spacing w:line="288" w:lineRule="auto"/>
              <w:rPr>
                <w:rFonts w:hint="eastAsia" w:ascii="宋体" w:hAnsi="宋体" w:eastAsia="宋体" w:cs="Times New Roman"/>
                <w:szCs w:val="21"/>
              </w:rPr>
            </w:pPr>
            <w:r>
              <w:rPr>
                <w:rFonts w:ascii="宋体" w:hAnsi="宋体" w:eastAsia="宋体" w:cs="Times New Roman"/>
                <w:szCs w:val="21"/>
              </w:rPr>
              <w:t>家庭中祖辈参与教养的现状与特点</w:t>
            </w:r>
          </w:p>
        </w:tc>
        <w:tc>
          <w:tcPr>
            <w:tcW w:w="1559" w:type="dxa"/>
            <w:vAlign w:val="center"/>
          </w:tcPr>
          <w:p w14:paraId="62697B94">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w:t>
            </w: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8</w:t>
            </w:r>
          </w:p>
        </w:tc>
        <w:tc>
          <w:tcPr>
            <w:tcW w:w="2129" w:type="dxa"/>
            <w:vAlign w:val="center"/>
          </w:tcPr>
          <w:p w14:paraId="74A97C1E">
            <w:pPr>
              <w:snapToGrid w:val="0"/>
              <w:spacing w:line="288" w:lineRule="auto"/>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6</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8</w:t>
            </w: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-2</w:t>
            </w:r>
          </w:p>
        </w:tc>
        <w:tc>
          <w:tcPr>
            <w:tcW w:w="708" w:type="dxa"/>
            <w:vAlign w:val="center"/>
          </w:tcPr>
          <w:p w14:paraId="2695ED9C">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37393577">
            <w:pPr>
              <w:snapToGrid w:val="0"/>
              <w:spacing w:line="288" w:lineRule="auto"/>
              <w:rPr>
                <w:rFonts w:hint="eastAsia" w:ascii="宋体" w:hAnsi="宋体" w:eastAsia="宋体" w:cs="Times New Roman"/>
                <w:szCs w:val="21"/>
              </w:rPr>
            </w:pPr>
          </w:p>
        </w:tc>
      </w:tr>
      <w:tr w14:paraId="71AE9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9" w:type="dxa"/>
            <w:vAlign w:val="center"/>
          </w:tcPr>
          <w:p w14:paraId="3F30CDC7">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8</w:t>
            </w:r>
          </w:p>
        </w:tc>
        <w:tc>
          <w:tcPr>
            <w:tcW w:w="2741" w:type="dxa"/>
            <w:vAlign w:val="center"/>
          </w:tcPr>
          <w:p w14:paraId="74FCBC35">
            <w:pPr>
              <w:snapToGrid w:val="0"/>
              <w:spacing w:line="288" w:lineRule="auto"/>
              <w:rPr>
                <w:rFonts w:hint="eastAsia" w:ascii="宋体" w:hAnsi="宋体" w:eastAsia="宋体" w:cs="Times New Roman"/>
                <w:szCs w:val="21"/>
              </w:rPr>
            </w:pPr>
            <w:r>
              <w:rPr>
                <w:rFonts w:ascii="宋体" w:hAnsi="宋体" w:eastAsia="宋体" w:cs="Times New Roman"/>
                <w:szCs w:val="21"/>
              </w:rPr>
              <w:t>家风家训与中国传统家教文化的弘扬</w:t>
            </w:r>
          </w:p>
        </w:tc>
        <w:tc>
          <w:tcPr>
            <w:tcW w:w="1559" w:type="dxa"/>
          </w:tcPr>
          <w:p w14:paraId="3DF395F7">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5、6、8</w:t>
            </w:r>
          </w:p>
        </w:tc>
        <w:tc>
          <w:tcPr>
            <w:tcW w:w="2129" w:type="dxa"/>
          </w:tcPr>
          <w:p w14:paraId="0902B54B">
            <w:pPr>
              <w:snapToGrid w:val="0"/>
              <w:spacing w:line="288" w:lineRule="auto"/>
              <w:rPr>
                <w:rFonts w:hint="eastAsia" w:ascii="宋体" w:hAnsi="宋体" w:eastAsia="宋体" w:cs="Times New Roman"/>
                <w:szCs w:val="21"/>
              </w:rPr>
            </w:pPr>
            <w:r>
              <w:rPr>
                <w:rFonts w:ascii="宋体" w:hAnsi="宋体" w:eastAsia="宋体" w:cs="Times New Roman"/>
                <w:szCs w:val="21"/>
              </w:rPr>
              <w:t>5-1、6-3、8-1、8-2</w:t>
            </w:r>
          </w:p>
        </w:tc>
        <w:tc>
          <w:tcPr>
            <w:tcW w:w="708" w:type="dxa"/>
            <w:vAlign w:val="center"/>
          </w:tcPr>
          <w:p w14:paraId="2D6F2122">
            <w:pPr>
              <w:snapToGrid w:val="0"/>
              <w:spacing w:line="288" w:lineRule="auto"/>
              <w:jc w:val="center"/>
              <w:rPr>
                <w:rFonts w:hint="eastAsia" w:ascii="宋体" w:hAnsi="宋体" w:eastAsia="宋体" w:cs="Times New Roman"/>
                <w:szCs w:val="21"/>
              </w:rPr>
            </w:pPr>
            <w:r>
              <w:rPr>
                <w:rFonts w:ascii="宋体" w:hAnsi="宋体" w:eastAsia="宋体" w:cs="Times New Roman"/>
                <w:szCs w:val="21"/>
              </w:rPr>
              <w:t>4</w:t>
            </w:r>
          </w:p>
        </w:tc>
        <w:tc>
          <w:tcPr>
            <w:tcW w:w="709" w:type="dxa"/>
            <w:vAlign w:val="center"/>
          </w:tcPr>
          <w:p w14:paraId="5A04096B">
            <w:pPr>
              <w:snapToGrid w:val="0"/>
              <w:spacing w:line="288" w:lineRule="auto"/>
              <w:rPr>
                <w:rFonts w:hint="eastAsia" w:ascii="宋体" w:hAnsi="宋体" w:eastAsia="宋体" w:cs="Times New Roman"/>
                <w:szCs w:val="21"/>
              </w:rPr>
            </w:pPr>
          </w:p>
        </w:tc>
      </w:tr>
      <w:tr w14:paraId="2AEA6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59" w:type="dxa"/>
            <w:vAlign w:val="center"/>
          </w:tcPr>
          <w:p w14:paraId="5509A1B6">
            <w:pPr>
              <w:snapToGrid w:val="0"/>
              <w:spacing w:line="288" w:lineRule="auto"/>
              <w:jc w:val="center"/>
              <w:rPr>
                <w:rFonts w:hint="eastAsia" w:ascii="宋体" w:hAnsi="宋体" w:eastAsia="宋体" w:cs="Times New Roman"/>
                <w:szCs w:val="21"/>
              </w:rPr>
            </w:pPr>
            <w:r>
              <w:rPr>
                <w:rFonts w:hint="eastAsia" w:ascii="宋体" w:hAnsi="宋体" w:eastAsia="宋体" w:cs="Times New Roman"/>
                <w:szCs w:val="21"/>
              </w:rPr>
              <w:t>9</w:t>
            </w:r>
          </w:p>
        </w:tc>
        <w:tc>
          <w:tcPr>
            <w:tcW w:w="2741" w:type="dxa"/>
            <w:vAlign w:val="center"/>
          </w:tcPr>
          <w:p w14:paraId="78BBDEEF">
            <w:pPr>
              <w:snapToGrid w:val="0"/>
              <w:spacing w:line="288" w:lineRule="auto"/>
              <w:rPr>
                <w:rFonts w:hint="eastAsia" w:ascii="宋体" w:hAnsi="宋体" w:eastAsia="宋体" w:cs="Times New Roman"/>
                <w:szCs w:val="21"/>
              </w:rPr>
            </w:pPr>
            <w:r>
              <w:rPr>
                <w:rFonts w:ascii="宋体" w:hAnsi="宋体" w:eastAsia="宋体" w:cs="Times New Roman"/>
                <w:szCs w:val="21"/>
              </w:rPr>
              <w:t>亲子共读实践</w:t>
            </w:r>
          </w:p>
        </w:tc>
        <w:tc>
          <w:tcPr>
            <w:tcW w:w="1559" w:type="dxa"/>
          </w:tcPr>
          <w:p w14:paraId="63BB1F57">
            <w:pPr>
              <w:snapToGrid w:val="0"/>
              <w:spacing w:line="288" w:lineRule="auto"/>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5、6、8</w:t>
            </w:r>
          </w:p>
        </w:tc>
        <w:tc>
          <w:tcPr>
            <w:tcW w:w="2129" w:type="dxa"/>
          </w:tcPr>
          <w:p w14:paraId="339D268D">
            <w:pPr>
              <w:snapToGrid w:val="0"/>
              <w:spacing w:line="288" w:lineRule="auto"/>
              <w:rPr>
                <w:rFonts w:hint="eastAsia" w:ascii="宋体" w:hAnsi="宋体" w:eastAsia="宋体" w:cs="Times New Roman"/>
                <w:szCs w:val="21"/>
              </w:rPr>
            </w:pPr>
            <w:r>
              <w:rPr>
                <w:rFonts w:ascii="宋体" w:hAnsi="宋体" w:eastAsia="宋体" w:cs="Times New Roman"/>
                <w:szCs w:val="21"/>
              </w:rPr>
              <w:t>5-1、6-3、8-1、8-2</w:t>
            </w:r>
          </w:p>
        </w:tc>
        <w:tc>
          <w:tcPr>
            <w:tcW w:w="708" w:type="dxa"/>
            <w:vAlign w:val="center"/>
          </w:tcPr>
          <w:p w14:paraId="5B6C5968">
            <w:pPr>
              <w:snapToGrid w:val="0"/>
              <w:spacing w:line="288" w:lineRule="auto"/>
              <w:jc w:val="center"/>
              <w:rPr>
                <w:rFonts w:hint="eastAsia" w:ascii="宋体" w:hAnsi="宋体" w:eastAsia="宋体" w:cs="Times New Roman"/>
                <w:szCs w:val="21"/>
              </w:rPr>
            </w:pPr>
            <w:r>
              <w:rPr>
                <w:rFonts w:ascii="宋体" w:hAnsi="宋体" w:eastAsia="宋体" w:cs="Times New Roman"/>
                <w:szCs w:val="21"/>
              </w:rPr>
              <w:t>2</w:t>
            </w:r>
          </w:p>
        </w:tc>
        <w:tc>
          <w:tcPr>
            <w:tcW w:w="709" w:type="dxa"/>
            <w:vAlign w:val="center"/>
          </w:tcPr>
          <w:p w14:paraId="0856DBC9">
            <w:pPr>
              <w:snapToGrid w:val="0"/>
              <w:spacing w:line="288" w:lineRule="auto"/>
              <w:ind w:firstLine="411" w:firstLineChars="196"/>
              <w:rPr>
                <w:rFonts w:hint="eastAsia" w:ascii="宋体" w:hAnsi="宋体" w:eastAsia="宋体" w:cs="Times New Roman"/>
                <w:szCs w:val="21"/>
              </w:rPr>
            </w:pPr>
          </w:p>
        </w:tc>
      </w:tr>
      <w:tr w14:paraId="1DEF8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088" w:type="dxa"/>
            <w:gridSpan w:val="4"/>
            <w:vAlign w:val="center"/>
          </w:tcPr>
          <w:p w14:paraId="701A804F">
            <w:pPr>
              <w:snapToGrid w:val="0"/>
              <w:spacing w:line="288" w:lineRule="auto"/>
              <w:ind w:firstLine="394" w:firstLineChars="196"/>
              <w:rPr>
                <w:rFonts w:ascii="Calibri" w:hAnsi="Calibri" w:eastAsia="宋体" w:cs="Times New Roman"/>
                <w:b/>
                <w:bCs/>
                <w:color w:val="000000"/>
                <w:sz w:val="20"/>
                <w:szCs w:val="20"/>
              </w:rPr>
            </w:pPr>
            <w:r>
              <w:rPr>
                <w:rFonts w:ascii="Calibri" w:hAnsi="Calibri" w:eastAsia="宋体" w:cs="Times New Roman"/>
                <w:b/>
                <w:bCs/>
                <w:color w:val="000000"/>
                <w:sz w:val="20"/>
                <w:szCs w:val="20"/>
              </w:rPr>
              <w:t>合计</w:t>
            </w:r>
          </w:p>
        </w:tc>
        <w:tc>
          <w:tcPr>
            <w:tcW w:w="708" w:type="dxa"/>
            <w:vAlign w:val="center"/>
          </w:tcPr>
          <w:p w14:paraId="72B09261">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32</w:t>
            </w:r>
          </w:p>
        </w:tc>
        <w:tc>
          <w:tcPr>
            <w:tcW w:w="709" w:type="dxa"/>
            <w:vAlign w:val="center"/>
          </w:tcPr>
          <w:p w14:paraId="6EBBE900">
            <w:pPr>
              <w:snapToGrid w:val="0"/>
              <w:spacing w:line="288" w:lineRule="auto"/>
              <w:ind w:firstLine="394" w:firstLineChars="196"/>
              <w:rPr>
                <w:rFonts w:ascii="Calibri" w:hAnsi="Calibri" w:eastAsia="宋体" w:cs="Times New Roman"/>
                <w:b/>
                <w:bCs/>
                <w:color w:val="000000"/>
                <w:sz w:val="20"/>
                <w:szCs w:val="20"/>
              </w:rPr>
            </w:pPr>
          </w:p>
        </w:tc>
      </w:tr>
    </w:tbl>
    <w:p w14:paraId="2B83C8DF">
      <w:pPr>
        <w:snapToGrid w:val="0"/>
        <w:spacing w:line="288" w:lineRule="auto"/>
        <w:ind w:firstLine="394" w:firstLineChars="196"/>
        <w:rPr>
          <w:rFonts w:ascii="Calibri" w:hAnsi="Calibri" w:eastAsia="宋体" w:cs="Times New Roman"/>
          <w:b/>
          <w:bCs/>
          <w:color w:val="000000"/>
          <w:sz w:val="20"/>
          <w:szCs w:val="20"/>
        </w:rPr>
      </w:pPr>
    </w:p>
    <w:p w14:paraId="5073ADF2">
      <w:pPr>
        <w:snapToGrid w:val="0"/>
        <w:spacing w:line="360" w:lineRule="auto"/>
        <w:ind w:firstLine="472" w:firstLineChars="196"/>
        <w:rPr>
          <w:rFonts w:ascii="Calibri" w:hAnsi="Calibri" w:eastAsia="宋体" w:cs="Times New Roman"/>
          <w:b/>
          <w:bCs/>
          <w:color w:val="000000"/>
          <w:sz w:val="24"/>
          <w:szCs w:val="24"/>
        </w:rPr>
      </w:pPr>
      <w:r>
        <w:rPr>
          <w:rFonts w:hint="eastAsia" w:ascii="Calibri" w:hAnsi="Calibri" w:eastAsia="宋体" w:cs="Times New Roman"/>
          <w:b/>
          <w:bCs/>
          <w:color w:val="000000"/>
          <w:sz w:val="24"/>
          <w:szCs w:val="24"/>
        </w:rPr>
        <w:t>五、课程实施</w:t>
      </w:r>
    </w:p>
    <w:p w14:paraId="7AA8C753">
      <w:pPr>
        <w:snapToGrid w:val="0"/>
        <w:spacing w:line="360" w:lineRule="auto"/>
        <w:ind w:firstLine="470" w:firstLineChars="196"/>
        <w:rPr>
          <w:rFonts w:ascii="Calibri" w:hAnsi="Calibri" w:eastAsia="宋体" w:cs="Times New Roman"/>
          <w:color w:val="000000"/>
          <w:sz w:val="24"/>
          <w:szCs w:val="24"/>
        </w:rPr>
      </w:pPr>
      <w:r>
        <w:rPr>
          <w:rFonts w:hint="eastAsia" w:ascii="Calibri" w:hAnsi="Calibri" w:eastAsia="宋体" w:cs="Times New Roman"/>
          <w:color w:val="000000"/>
          <w:sz w:val="24"/>
          <w:szCs w:val="24"/>
        </w:rPr>
        <w:t>（一）本课程涉及新的学科即家庭教育学科，因此，</w:t>
      </w:r>
      <w:r>
        <w:rPr>
          <w:rFonts w:ascii="Calibri" w:hAnsi="Calibri" w:eastAsia="宋体" w:cs="Times New Roman"/>
          <w:color w:val="000000"/>
          <w:sz w:val="24"/>
          <w:szCs w:val="24"/>
        </w:rPr>
        <w:t>教师要为学生提供课外阅读</w:t>
      </w:r>
      <w:r>
        <w:rPr>
          <w:rFonts w:hint="eastAsia" w:ascii="Calibri" w:hAnsi="Calibri" w:eastAsia="宋体" w:cs="Times New Roman"/>
          <w:color w:val="000000"/>
          <w:sz w:val="24"/>
          <w:szCs w:val="24"/>
        </w:rPr>
        <w:t>指导或阅读</w:t>
      </w:r>
      <w:r>
        <w:rPr>
          <w:rFonts w:ascii="Calibri" w:hAnsi="Calibri" w:eastAsia="宋体" w:cs="Times New Roman"/>
          <w:color w:val="000000"/>
          <w:sz w:val="24"/>
          <w:szCs w:val="24"/>
        </w:rPr>
        <w:t>书目</w:t>
      </w:r>
      <w:r>
        <w:rPr>
          <w:rFonts w:hint="eastAsia" w:ascii="Calibri" w:hAnsi="Calibri" w:eastAsia="宋体" w:cs="Times New Roman"/>
          <w:color w:val="000000"/>
          <w:sz w:val="24"/>
          <w:szCs w:val="24"/>
        </w:rPr>
        <w:t>建议</w:t>
      </w:r>
      <w:r>
        <w:rPr>
          <w:rFonts w:ascii="Calibri" w:hAnsi="Calibri" w:eastAsia="宋体" w:cs="Times New Roman"/>
          <w:color w:val="000000"/>
          <w:sz w:val="24"/>
          <w:szCs w:val="24"/>
        </w:rPr>
        <w:t>，要求学生在课</w:t>
      </w:r>
      <w:r>
        <w:rPr>
          <w:rFonts w:hint="eastAsia" w:ascii="Calibri" w:hAnsi="Calibri" w:eastAsia="宋体" w:cs="Times New Roman"/>
          <w:color w:val="000000"/>
          <w:sz w:val="24"/>
          <w:szCs w:val="24"/>
        </w:rPr>
        <w:t>外阅读有关著作，并完成相关作业。</w:t>
      </w:r>
    </w:p>
    <w:p w14:paraId="2102A0B8">
      <w:pPr>
        <w:snapToGrid w:val="0"/>
        <w:spacing w:line="360" w:lineRule="auto"/>
        <w:ind w:firstLine="470" w:firstLineChars="196"/>
        <w:rPr>
          <w:rFonts w:ascii="Calibri" w:hAnsi="Calibri" w:eastAsia="宋体" w:cs="Times New Roman"/>
          <w:color w:val="000000"/>
          <w:sz w:val="24"/>
          <w:szCs w:val="24"/>
        </w:rPr>
      </w:pPr>
      <w:r>
        <w:rPr>
          <w:rFonts w:hint="eastAsia" w:ascii="Calibri" w:hAnsi="Calibri" w:eastAsia="宋体" w:cs="Times New Roman"/>
          <w:color w:val="000000"/>
          <w:sz w:val="24"/>
          <w:szCs w:val="24"/>
        </w:rPr>
        <w:t>（二）</w:t>
      </w:r>
      <w:r>
        <w:rPr>
          <w:rFonts w:ascii="Calibri" w:hAnsi="Calibri" w:eastAsia="宋体" w:cs="Times New Roman"/>
          <w:color w:val="000000"/>
          <w:sz w:val="24"/>
          <w:szCs w:val="24"/>
        </w:rPr>
        <w:t>本课程是理论与实践相结合的一门课程。在教学中，教师应密切结合当前基础教育</w:t>
      </w:r>
      <w:r>
        <w:rPr>
          <w:rFonts w:hint="eastAsia" w:ascii="Calibri" w:hAnsi="Calibri" w:eastAsia="宋体" w:cs="Times New Roman"/>
          <w:color w:val="000000"/>
          <w:sz w:val="24"/>
          <w:szCs w:val="24"/>
        </w:rPr>
        <w:t>课程改革与教学实际，多举案例，避免一味的空洞理论讲授，引导学生结合当前课程与教学改革的现状，思考和分析问题，培养学生独立思考、分析问题和解决问题的能力。</w:t>
      </w:r>
    </w:p>
    <w:p w14:paraId="7F89EF6B">
      <w:pPr>
        <w:snapToGrid w:val="0"/>
        <w:spacing w:line="360" w:lineRule="auto"/>
        <w:ind w:firstLine="472" w:firstLineChars="196"/>
        <w:rPr>
          <w:rFonts w:ascii="Calibri" w:hAnsi="Calibri" w:eastAsia="宋体" w:cs="Times New Roman"/>
          <w:b/>
          <w:bCs/>
          <w:color w:val="000000"/>
          <w:sz w:val="24"/>
          <w:szCs w:val="24"/>
        </w:rPr>
      </w:pPr>
      <w:r>
        <w:rPr>
          <w:rFonts w:hint="eastAsia" w:ascii="Calibri" w:hAnsi="Calibri" w:eastAsia="宋体" w:cs="Times New Roman"/>
          <w:b/>
          <w:bCs/>
          <w:color w:val="000000"/>
          <w:sz w:val="24"/>
          <w:szCs w:val="24"/>
        </w:rPr>
        <w:t>主要教学环节的质量要求如表所示：</w:t>
      </w:r>
    </w:p>
    <w:tbl>
      <w:tblPr>
        <w:tblStyle w:val="30"/>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7046"/>
      </w:tblGrid>
      <w:tr w14:paraId="6F3E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08" w:type="dxa"/>
            <w:tcBorders>
              <w:top w:val="single" w:color="auto" w:sz="8" w:space="0"/>
              <w:left w:val="single" w:color="auto" w:sz="8" w:space="0"/>
              <w:right w:val="single" w:color="auto" w:sz="8" w:space="0"/>
            </w:tcBorders>
            <w:tcMar>
              <w:left w:w="28" w:type="dxa"/>
              <w:right w:w="28" w:type="dxa"/>
            </w:tcMar>
            <w:vAlign w:val="center"/>
          </w:tcPr>
          <w:p w14:paraId="7DC700FB">
            <w:pPr>
              <w:snapToGrid w:val="0"/>
              <w:spacing w:line="288" w:lineRule="auto"/>
              <w:rPr>
                <w:rFonts w:ascii="Calibri" w:hAnsi="Calibri" w:eastAsia="宋体" w:cs="Times New Roman"/>
                <w:b/>
                <w:bCs/>
                <w:color w:val="000000"/>
                <w:sz w:val="20"/>
                <w:szCs w:val="20"/>
              </w:rPr>
            </w:pPr>
            <w:r>
              <w:rPr>
                <w:rFonts w:ascii="Calibri" w:hAnsi="Calibri" w:eastAsia="宋体" w:cs="Times New Roman"/>
                <w:b/>
                <w:bCs/>
                <w:color w:val="000000"/>
                <w:sz w:val="20"/>
                <w:szCs w:val="20"/>
              </w:rPr>
              <w:t>主要教学环节</w:t>
            </w:r>
          </w:p>
        </w:tc>
        <w:tc>
          <w:tcPr>
            <w:tcW w:w="7046" w:type="dxa"/>
            <w:tcBorders>
              <w:top w:val="single" w:color="auto" w:sz="8" w:space="0"/>
              <w:left w:val="single" w:color="auto" w:sz="8" w:space="0"/>
              <w:right w:val="single" w:color="auto" w:sz="8" w:space="0"/>
            </w:tcBorders>
            <w:vAlign w:val="center"/>
          </w:tcPr>
          <w:p w14:paraId="61014B53">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质量</w:t>
            </w:r>
            <w:r>
              <w:rPr>
                <w:rFonts w:hint="eastAsia" w:ascii="Calibri" w:hAnsi="Calibri" w:eastAsia="宋体" w:cs="Times New Roman"/>
                <w:b/>
                <w:bCs/>
                <w:color w:val="000000"/>
                <w:sz w:val="20"/>
                <w:szCs w:val="20"/>
              </w:rPr>
              <w:t>要求</w:t>
            </w:r>
          </w:p>
        </w:tc>
      </w:tr>
      <w:tr w14:paraId="1050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1308" w:type="dxa"/>
            <w:tcBorders>
              <w:left w:val="single" w:color="auto" w:sz="8" w:space="0"/>
            </w:tcBorders>
            <w:vAlign w:val="center"/>
          </w:tcPr>
          <w:p w14:paraId="00EDBE5D">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w:t>
            </w:r>
            <w:r>
              <w:rPr>
                <w:rFonts w:ascii="宋体" w:hAnsi="宋体" w:eastAsia="宋体" w:cs="Times New Roman"/>
                <w:color w:val="000000"/>
                <w:szCs w:val="21"/>
              </w:rPr>
              <w:t>备课</w:t>
            </w:r>
          </w:p>
        </w:tc>
        <w:tc>
          <w:tcPr>
            <w:tcW w:w="7046" w:type="dxa"/>
            <w:tcBorders>
              <w:right w:val="single" w:color="auto" w:sz="8" w:space="0"/>
            </w:tcBorders>
            <w:vAlign w:val="center"/>
          </w:tcPr>
          <w:p w14:paraId="5509FE10">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（1）掌握课程教学大纲内容，严格按照教学大纲要求进行课程教学内容的组织。</w:t>
            </w:r>
          </w:p>
          <w:p w14:paraId="7F7C375D">
            <w:pPr>
              <w:snapToGrid w:val="0"/>
              <w:spacing w:line="288" w:lineRule="auto"/>
              <w:ind w:firstLine="411" w:firstLineChars="196"/>
              <w:rPr>
                <w:rFonts w:hint="eastAsia" w:ascii="宋体" w:hAnsi="宋体" w:eastAsia="宋体" w:cs="Times New Roman"/>
                <w:color w:val="000000"/>
                <w:szCs w:val="21"/>
              </w:rPr>
            </w:pPr>
            <w:r>
              <w:rPr>
                <w:rFonts w:ascii="宋体" w:hAnsi="宋体" w:eastAsia="宋体" w:cs="Times New Roman"/>
                <w:color w:val="000000"/>
                <w:szCs w:val="21"/>
              </w:rPr>
              <w:t>（2）悉心了解学生的现有水平和最新发展区水平，深透钻研教材内容，广泛阅读相关文献资料，精心选择教学方法、组织形式</w:t>
            </w:r>
            <w:r>
              <w:rPr>
                <w:rFonts w:hint="eastAsia" w:ascii="宋体" w:hAnsi="宋体" w:eastAsia="宋体" w:cs="Times New Roman"/>
                <w:color w:val="000000"/>
                <w:szCs w:val="21"/>
              </w:rPr>
              <w:t>和教学手段，认真</w:t>
            </w:r>
            <w:r>
              <w:rPr>
                <w:rFonts w:ascii="宋体" w:hAnsi="宋体" w:eastAsia="宋体" w:cs="Times New Roman"/>
                <w:color w:val="000000"/>
                <w:szCs w:val="21"/>
              </w:rPr>
              <w:t>编写授课计划。授课教案内容包括章节标题、教学目标、教学准备、教学方法、课堂类型、时间分配、授课内容、课后作业、教学效果分析等方面。</w:t>
            </w:r>
          </w:p>
        </w:tc>
      </w:tr>
      <w:tr w14:paraId="566F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6" w:hRule="atLeast"/>
          <w:jc w:val="center"/>
        </w:trPr>
        <w:tc>
          <w:tcPr>
            <w:tcW w:w="1308" w:type="dxa"/>
            <w:tcBorders>
              <w:left w:val="single" w:color="auto" w:sz="8" w:space="0"/>
            </w:tcBorders>
            <w:vAlign w:val="center"/>
          </w:tcPr>
          <w:p w14:paraId="2AA348F0">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w:t>
            </w:r>
            <w:r>
              <w:rPr>
                <w:rFonts w:ascii="宋体" w:hAnsi="宋体" w:eastAsia="宋体" w:cs="Times New Roman"/>
                <w:color w:val="000000"/>
                <w:szCs w:val="21"/>
              </w:rPr>
              <w:t>讲授</w:t>
            </w:r>
          </w:p>
        </w:tc>
        <w:tc>
          <w:tcPr>
            <w:tcW w:w="7046" w:type="dxa"/>
            <w:tcBorders>
              <w:right w:val="single" w:color="auto" w:sz="8" w:space="0"/>
            </w:tcBorders>
            <w:vAlign w:val="center"/>
          </w:tcPr>
          <w:p w14:paraId="58AEAC42">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教师仪表端庄，情绪情感要饱满；</w:t>
            </w:r>
          </w:p>
          <w:p w14:paraId="516ACBCF">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教学准备充分，熟悉教学内容；</w:t>
            </w:r>
          </w:p>
          <w:p w14:paraId="50E934E4">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教学内容充实，不断充实最新研究成果；</w:t>
            </w:r>
          </w:p>
          <w:p w14:paraId="16EB92D4">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严格执行计划，教学进度适宜；</w:t>
            </w:r>
          </w:p>
          <w:p w14:paraId="7CE26B57">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1"/>
              </w:rPr>
              <w:t>课堂教学信息充分，注重理论联系实际；</w:t>
            </w:r>
          </w:p>
          <w:p w14:paraId="127B67CE">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1"/>
              </w:rPr>
              <w:t>注重启发学生思维，培养学生的教学能力；</w:t>
            </w:r>
          </w:p>
          <w:p w14:paraId="1A815A38">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（7）</w:t>
            </w:r>
            <w:r>
              <w:rPr>
                <w:rFonts w:hint="eastAsia" w:ascii="宋体" w:hAnsi="宋体" w:eastAsia="宋体" w:cs="Times New Roman"/>
                <w:color w:val="000000"/>
                <w:szCs w:val="21"/>
              </w:rPr>
              <w:t>面向全体基础上因材施教，灵活运用多种教学方法；</w:t>
            </w:r>
          </w:p>
          <w:p w14:paraId="699261DE">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（8）</w:t>
            </w:r>
            <w:r>
              <w:rPr>
                <w:rFonts w:hint="eastAsia" w:ascii="宋体" w:hAnsi="宋体" w:eastAsia="宋体" w:cs="Times New Roman"/>
                <w:color w:val="000000"/>
                <w:szCs w:val="21"/>
              </w:rPr>
              <w:t>教学语言规范，为学生教育教学做好表率；</w:t>
            </w:r>
          </w:p>
          <w:p w14:paraId="7E2DE815">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1"/>
              </w:rPr>
              <w:t>教学条理清楚，教学思路逻辑严密；</w:t>
            </w:r>
          </w:p>
          <w:p w14:paraId="589AD1AD">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充分运用现代化教学手段，教学技术熟练；</w:t>
            </w:r>
          </w:p>
          <w:p w14:paraId="371B2065">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（11）</w:t>
            </w:r>
            <w:r>
              <w:rPr>
                <w:rFonts w:hint="eastAsia" w:ascii="宋体" w:hAnsi="宋体" w:eastAsia="宋体" w:cs="Times New Roman"/>
                <w:color w:val="000000"/>
                <w:szCs w:val="21"/>
              </w:rPr>
              <w:t>课堂教学要重点突出，难点突破；</w:t>
            </w:r>
          </w:p>
          <w:p w14:paraId="64000EAC">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（12）</w:t>
            </w:r>
            <w:r>
              <w:rPr>
                <w:rFonts w:hint="eastAsia" w:ascii="宋体" w:hAnsi="宋体" w:eastAsia="宋体" w:cs="Times New Roman"/>
                <w:color w:val="000000"/>
                <w:szCs w:val="21"/>
              </w:rPr>
              <w:t>注重师生互动，形成良好的课堂氛围。</w:t>
            </w:r>
          </w:p>
        </w:tc>
      </w:tr>
      <w:tr w14:paraId="7013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08" w:type="dxa"/>
            <w:tcBorders>
              <w:left w:val="single" w:color="auto" w:sz="8" w:space="0"/>
            </w:tcBorders>
            <w:vAlign w:val="center"/>
          </w:tcPr>
          <w:p w14:paraId="59B81684">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w:t>
            </w:r>
            <w:r>
              <w:rPr>
                <w:rFonts w:ascii="宋体" w:hAnsi="宋体" w:eastAsia="宋体" w:cs="Times New Roman"/>
                <w:color w:val="000000"/>
                <w:szCs w:val="21"/>
              </w:rPr>
              <w:t>作业布置与批改</w:t>
            </w:r>
          </w:p>
        </w:tc>
        <w:tc>
          <w:tcPr>
            <w:tcW w:w="7046" w:type="dxa"/>
            <w:tcBorders>
              <w:right w:val="single" w:color="auto" w:sz="8" w:space="0"/>
            </w:tcBorders>
            <w:vAlign w:val="center"/>
          </w:tcPr>
          <w:p w14:paraId="4A9C1996">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学生必须完成</w:t>
            </w:r>
            <w:r>
              <w:rPr>
                <w:rFonts w:hint="eastAsia" w:ascii="宋体" w:hAnsi="宋体" w:eastAsia="宋体" w:cs="Times New Roman"/>
                <w:color w:val="000000"/>
                <w:szCs w:val="21"/>
              </w:rPr>
              <w:t>规定</w:t>
            </w:r>
            <w:r>
              <w:rPr>
                <w:rFonts w:ascii="宋体" w:hAnsi="宋体" w:eastAsia="宋体" w:cs="Times New Roman"/>
                <w:color w:val="000000"/>
                <w:szCs w:val="21"/>
              </w:rPr>
              <w:t>数量的作业</w:t>
            </w:r>
            <w:r>
              <w:rPr>
                <w:rFonts w:hint="eastAsia" w:ascii="宋体" w:hAnsi="宋体" w:eastAsia="宋体" w:cs="Times New Roman"/>
                <w:color w:val="000000"/>
                <w:szCs w:val="21"/>
              </w:rPr>
              <w:t>，</w:t>
            </w:r>
            <w:r>
              <w:rPr>
                <w:rFonts w:ascii="宋体" w:hAnsi="宋体" w:eastAsia="宋体" w:cs="Times New Roman"/>
                <w:color w:val="000000"/>
                <w:szCs w:val="21"/>
              </w:rPr>
              <w:t>作业必须达到以下基本要求：</w:t>
            </w:r>
          </w:p>
          <w:p w14:paraId="74F70BC3">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按时按量完成作业，不缺交，不抄袭</w:t>
            </w:r>
            <w:r>
              <w:rPr>
                <w:rFonts w:hint="eastAsia" w:ascii="宋体" w:hAnsi="宋体" w:eastAsia="宋体" w:cs="Times New Roman"/>
                <w:color w:val="000000"/>
                <w:szCs w:val="21"/>
              </w:rPr>
              <w:t>。</w:t>
            </w:r>
          </w:p>
          <w:p w14:paraId="59AA88DF">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（2）书写</w:t>
            </w:r>
            <w:r>
              <w:rPr>
                <w:rFonts w:ascii="宋体" w:hAnsi="宋体" w:eastAsia="宋体" w:cs="Times New Roman"/>
                <w:color w:val="000000"/>
                <w:szCs w:val="21"/>
              </w:rPr>
              <w:t>规范</w:t>
            </w:r>
            <w:r>
              <w:rPr>
                <w:rFonts w:hint="eastAsia" w:ascii="宋体" w:hAnsi="宋体" w:eastAsia="宋体" w:cs="Times New Roman"/>
                <w:color w:val="000000"/>
                <w:szCs w:val="21"/>
              </w:rPr>
              <w:t>、</w:t>
            </w:r>
            <w:r>
              <w:rPr>
                <w:rFonts w:ascii="宋体" w:hAnsi="宋体" w:eastAsia="宋体" w:cs="Times New Roman"/>
                <w:color w:val="000000"/>
                <w:szCs w:val="21"/>
              </w:rPr>
              <w:t>教学设计方案格式规范、清晰</w:t>
            </w:r>
            <w:r>
              <w:rPr>
                <w:rFonts w:hint="eastAsia" w:ascii="宋体" w:hAnsi="宋体" w:eastAsia="宋体" w:cs="Times New Roman"/>
                <w:color w:val="000000"/>
                <w:szCs w:val="21"/>
              </w:rPr>
              <w:t>。</w:t>
            </w:r>
          </w:p>
          <w:p w14:paraId="0F8FE587">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教学设计理念先进，教学目标适宜，教学方法灵活，教学组织形式多样、教学过程紧凑，教学准备充分。</w:t>
            </w:r>
          </w:p>
          <w:p w14:paraId="433F91ED">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讲评作业要求如下：</w:t>
            </w:r>
          </w:p>
          <w:p w14:paraId="5375EB72">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学生的作业要</w:t>
            </w:r>
            <w:r>
              <w:rPr>
                <w:rFonts w:hint="eastAsia" w:ascii="宋体" w:hAnsi="宋体" w:eastAsia="宋体" w:cs="Times New Roman"/>
                <w:color w:val="000000"/>
                <w:szCs w:val="21"/>
              </w:rPr>
              <w:t>按时</w:t>
            </w:r>
            <w:r>
              <w:rPr>
                <w:rFonts w:ascii="宋体" w:hAnsi="宋体" w:eastAsia="宋体" w:cs="Times New Roman"/>
                <w:color w:val="000000"/>
                <w:szCs w:val="21"/>
              </w:rPr>
              <w:t>全</w:t>
            </w:r>
            <w:r>
              <w:rPr>
                <w:rFonts w:hint="eastAsia" w:ascii="宋体" w:hAnsi="宋体" w:eastAsia="宋体" w:cs="Times New Roman"/>
                <w:color w:val="000000"/>
                <w:szCs w:val="21"/>
              </w:rPr>
              <w:t>部</w:t>
            </w:r>
            <w:r>
              <w:rPr>
                <w:rFonts w:ascii="宋体" w:hAnsi="宋体" w:eastAsia="宋体" w:cs="Times New Roman"/>
                <w:color w:val="000000"/>
                <w:szCs w:val="21"/>
              </w:rPr>
              <w:t>批改，并</w:t>
            </w:r>
            <w:r>
              <w:rPr>
                <w:rFonts w:hint="eastAsia" w:ascii="宋体" w:hAnsi="宋体" w:eastAsia="宋体" w:cs="Times New Roman"/>
                <w:color w:val="000000"/>
                <w:szCs w:val="21"/>
              </w:rPr>
              <w:t>及时进行</w:t>
            </w:r>
            <w:r>
              <w:rPr>
                <w:rFonts w:ascii="宋体" w:hAnsi="宋体" w:eastAsia="宋体" w:cs="Times New Roman"/>
                <w:color w:val="000000"/>
                <w:szCs w:val="21"/>
              </w:rPr>
              <w:t>讲评</w:t>
            </w:r>
            <w:r>
              <w:rPr>
                <w:rFonts w:hint="eastAsia" w:ascii="宋体" w:hAnsi="宋体" w:eastAsia="宋体" w:cs="Times New Roman"/>
                <w:color w:val="000000"/>
                <w:szCs w:val="21"/>
              </w:rPr>
              <w:t>。</w:t>
            </w:r>
          </w:p>
          <w:p w14:paraId="48036471">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教师批改</w:t>
            </w:r>
            <w:r>
              <w:rPr>
                <w:rFonts w:hint="eastAsia" w:ascii="宋体" w:hAnsi="宋体" w:eastAsia="宋体" w:cs="Times New Roman"/>
                <w:color w:val="000000"/>
                <w:szCs w:val="21"/>
              </w:rPr>
              <w:t>和</w:t>
            </w:r>
            <w:r>
              <w:rPr>
                <w:rFonts w:ascii="宋体" w:hAnsi="宋体" w:eastAsia="宋体" w:cs="Times New Roman"/>
                <w:color w:val="000000"/>
                <w:szCs w:val="21"/>
              </w:rPr>
              <w:t>讲评作业要认真、细致，按百分制评定成绩并写明日期</w:t>
            </w:r>
            <w:r>
              <w:rPr>
                <w:rFonts w:hint="eastAsia" w:ascii="宋体" w:hAnsi="宋体" w:eastAsia="宋体" w:cs="Times New Roman"/>
                <w:color w:val="000000"/>
                <w:szCs w:val="21"/>
              </w:rPr>
              <w:t>。</w:t>
            </w:r>
          </w:p>
          <w:p w14:paraId="7A041DE6">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学生作业平均成绩</w:t>
            </w:r>
            <w:r>
              <w:rPr>
                <w:rFonts w:hint="eastAsia" w:ascii="宋体" w:hAnsi="宋体" w:eastAsia="宋体" w:cs="Times New Roman"/>
                <w:color w:val="000000"/>
                <w:szCs w:val="21"/>
              </w:rPr>
              <w:t>应</w:t>
            </w:r>
            <w:r>
              <w:rPr>
                <w:rFonts w:ascii="宋体" w:hAnsi="宋体" w:eastAsia="宋体" w:cs="Times New Roman"/>
                <w:color w:val="000000"/>
                <w:szCs w:val="21"/>
              </w:rPr>
              <w:t>作为本课程总评成绩中平时成绩的重要组成部分。</w:t>
            </w:r>
          </w:p>
        </w:tc>
      </w:tr>
      <w:tr w14:paraId="446D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08" w:type="dxa"/>
            <w:tcBorders>
              <w:left w:val="single" w:color="auto" w:sz="8" w:space="0"/>
            </w:tcBorders>
            <w:vAlign w:val="center"/>
          </w:tcPr>
          <w:p w14:paraId="6CEB300E">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w:t>
            </w:r>
            <w:r>
              <w:rPr>
                <w:rFonts w:ascii="宋体" w:hAnsi="宋体" w:eastAsia="宋体" w:cs="Times New Roman"/>
                <w:color w:val="000000"/>
                <w:szCs w:val="21"/>
              </w:rPr>
              <w:t>课外答疑</w:t>
            </w:r>
          </w:p>
        </w:tc>
        <w:tc>
          <w:tcPr>
            <w:tcW w:w="7046" w:type="dxa"/>
            <w:tcBorders>
              <w:right w:val="single" w:color="auto" w:sz="8" w:space="0"/>
            </w:tcBorders>
            <w:vAlign w:val="center"/>
          </w:tcPr>
          <w:p w14:paraId="3BEE96FB">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为了解学生的学习情况，帮助学生</w:t>
            </w:r>
            <w:r>
              <w:rPr>
                <w:rFonts w:hint="eastAsia" w:ascii="宋体" w:hAnsi="宋体" w:eastAsia="宋体" w:cs="Times New Roman"/>
                <w:color w:val="000000"/>
                <w:szCs w:val="21"/>
              </w:rPr>
              <w:t>更好地</w:t>
            </w:r>
            <w:r>
              <w:rPr>
                <w:rFonts w:ascii="宋体" w:hAnsi="宋体" w:eastAsia="宋体" w:cs="Times New Roman"/>
                <w:color w:val="000000"/>
                <w:szCs w:val="21"/>
              </w:rPr>
              <w:t>理解和消化所学知识、改进学习方法和思维方式，培养其独立的教学设计能力、教学组织指导能力、教学反思与评价能力，任课教师</w:t>
            </w:r>
            <w:r>
              <w:rPr>
                <w:rFonts w:hint="eastAsia" w:ascii="宋体" w:hAnsi="宋体" w:eastAsia="宋体" w:cs="Times New Roman"/>
                <w:color w:val="000000"/>
                <w:szCs w:val="21"/>
              </w:rPr>
              <w:t>需</w:t>
            </w:r>
            <w:r>
              <w:rPr>
                <w:rFonts w:ascii="宋体" w:hAnsi="宋体" w:eastAsia="宋体" w:cs="Times New Roman"/>
                <w:color w:val="000000"/>
                <w:szCs w:val="21"/>
              </w:rPr>
              <w:t>每周安排</w:t>
            </w:r>
            <w:r>
              <w:rPr>
                <w:rFonts w:hint="eastAsia" w:ascii="宋体" w:hAnsi="宋体" w:eastAsia="宋体" w:cs="Times New Roman"/>
                <w:color w:val="000000"/>
                <w:szCs w:val="21"/>
              </w:rPr>
              <w:t>一定</w:t>
            </w:r>
            <w:r>
              <w:rPr>
                <w:rFonts w:ascii="宋体" w:hAnsi="宋体" w:eastAsia="宋体" w:cs="Times New Roman"/>
                <w:color w:val="000000"/>
                <w:szCs w:val="21"/>
              </w:rPr>
              <w:t>时间进行课外答疑与辅导。</w:t>
            </w:r>
          </w:p>
        </w:tc>
      </w:tr>
      <w:tr w14:paraId="12C6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308" w:type="dxa"/>
            <w:tcBorders>
              <w:left w:val="single" w:color="auto" w:sz="8" w:space="0"/>
            </w:tcBorders>
            <w:vAlign w:val="center"/>
          </w:tcPr>
          <w:p w14:paraId="08900507">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1"/>
              </w:rPr>
              <w:t>.</w:t>
            </w:r>
            <w:r>
              <w:rPr>
                <w:rFonts w:ascii="宋体" w:hAnsi="宋体" w:eastAsia="宋体" w:cs="Times New Roman"/>
                <w:color w:val="000000"/>
                <w:szCs w:val="21"/>
              </w:rPr>
              <w:t>成绩</w:t>
            </w:r>
          </w:p>
          <w:p w14:paraId="75C40392">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考核</w:t>
            </w:r>
          </w:p>
        </w:tc>
        <w:tc>
          <w:tcPr>
            <w:tcW w:w="7046" w:type="dxa"/>
            <w:tcBorders>
              <w:right w:val="single" w:color="auto" w:sz="8" w:space="0"/>
            </w:tcBorders>
            <w:vAlign w:val="center"/>
          </w:tcPr>
          <w:p w14:paraId="5CD69D4B">
            <w:pPr>
              <w:snapToGrid w:val="0"/>
              <w:spacing w:line="288" w:lineRule="auto"/>
              <w:ind w:firstLine="420" w:firstLineChars="200"/>
              <w:rPr>
                <w:rFonts w:hint="eastAsia" w:ascii="宋体" w:hAnsi="宋体" w:eastAsia="宋体" w:cs="Times New Roman"/>
                <w:color w:val="000000"/>
                <w:szCs w:val="21"/>
              </w:rPr>
            </w:pPr>
            <w:r>
              <w:rPr>
                <w:rFonts w:ascii="宋体" w:hAnsi="宋体" w:eastAsia="宋体" w:cs="Times New Roman"/>
                <w:color w:val="000000"/>
                <w:szCs w:val="21"/>
              </w:rPr>
              <w:t>本课程考核的方式</w:t>
            </w:r>
            <w:r>
              <w:rPr>
                <w:rFonts w:hint="eastAsia" w:ascii="宋体" w:hAnsi="宋体" w:eastAsia="宋体" w:cs="Times New Roman"/>
                <w:color w:val="000000"/>
                <w:szCs w:val="21"/>
              </w:rPr>
              <w:t>为开卷笔试</w:t>
            </w:r>
            <w:r>
              <w:rPr>
                <w:rFonts w:ascii="宋体" w:hAnsi="宋体" w:eastAsia="宋体" w:cs="Times New Roman"/>
                <w:color w:val="000000"/>
                <w:szCs w:val="21"/>
              </w:rPr>
              <w:t>。考试采取教考分离，监考</w:t>
            </w:r>
            <w:r>
              <w:rPr>
                <w:rFonts w:hint="eastAsia" w:ascii="宋体" w:hAnsi="宋体" w:eastAsia="宋体" w:cs="Times New Roman"/>
                <w:color w:val="000000"/>
                <w:szCs w:val="21"/>
              </w:rPr>
              <w:t>由学院</w:t>
            </w:r>
            <w:r>
              <w:rPr>
                <w:rFonts w:ascii="宋体" w:hAnsi="宋体" w:eastAsia="宋体" w:cs="Times New Roman"/>
                <w:color w:val="000000"/>
                <w:szCs w:val="21"/>
              </w:rPr>
              <w:t>统一安排。有下列情况之一者，总评成绩为不及格：</w:t>
            </w:r>
          </w:p>
          <w:p w14:paraId="2CAD669C">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缺交作业次数达1/3以上者</w:t>
            </w:r>
            <w:r>
              <w:rPr>
                <w:rFonts w:hint="eastAsia" w:ascii="宋体" w:hAnsi="宋体" w:eastAsia="宋体" w:cs="Times New Roman"/>
                <w:color w:val="000000"/>
                <w:szCs w:val="21"/>
              </w:rPr>
              <w:t>。</w:t>
            </w:r>
          </w:p>
          <w:p w14:paraId="482D2A58">
            <w:pPr>
              <w:snapToGrid w:val="0"/>
              <w:spacing w:line="288"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缺课次数达本学期总授课学时的1/3以上者</w:t>
            </w:r>
            <w:r>
              <w:rPr>
                <w:rFonts w:hint="eastAsia" w:ascii="宋体" w:hAnsi="宋体" w:eastAsia="宋体" w:cs="Times New Roman"/>
                <w:color w:val="000000"/>
                <w:szCs w:val="21"/>
              </w:rPr>
              <w:t>。</w:t>
            </w:r>
          </w:p>
        </w:tc>
      </w:tr>
    </w:tbl>
    <w:p w14:paraId="1798C5DC">
      <w:pPr>
        <w:snapToGrid w:val="0"/>
        <w:spacing w:line="288" w:lineRule="auto"/>
        <w:ind w:firstLine="394" w:firstLineChars="196"/>
        <w:rPr>
          <w:rFonts w:ascii="Calibri" w:hAnsi="Calibri" w:eastAsia="宋体" w:cs="Times New Roman"/>
          <w:b/>
          <w:bCs/>
          <w:color w:val="000000"/>
          <w:sz w:val="20"/>
          <w:szCs w:val="20"/>
        </w:rPr>
      </w:pPr>
    </w:p>
    <w:p w14:paraId="490B3973">
      <w:pPr>
        <w:snapToGrid w:val="0"/>
        <w:spacing w:line="360" w:lineRule="auto"/>
        <w:ind w:firstLine="472" w:firstLineChars="196"/>
        <w:rPr>
          <w:rFonts w:ascii="Calibri" w:hAnsi="Calibri" w:eastAsia="宋体" w:cs="Times New Roman"/>
          <w:b/>
          <w:bCs/>
          <w:color w:val="000000"/>
          <w:sz w:val="24"/>
          <w:szCs w:val="24"/>
        </w:rPr>
      </w:pPr>
      <w:r>
        <w:rPr>
          <w:rFonts w:hint="eastAsia" w:ascii="Calibri" w:hAnsi="Calibri" w:eastAsia="宋体" w:cs="Times New Roman"/>
          <w:b/>
          <w:bCs/>
          <w:color w:val="000000"/>
          <w:sz w:val="24"/>
          <w:szCs w:val="24"/>
        </w:rPr>
        <w:t>六、课程考核</w:t>
      </w:r>
    </w:p>
    <w:p w14:paraId="43E8C1A7">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（一）</w:t>
      </w:r>
      <w:r>
        <w:rPr>
          <w:rFonts w:ascii="宋体" w:hAnsi="宋体" w:eastAsia="宋体" w:cs="Times New Roman"/>
          <w:color w:val="000000"/>
          <w:sz w:val="24"/>
          <w:szCs w:val="24"/>
        </w:rPr>
        <w:t>课程考核包括期末考试、平时作业考核，期</w:t>
      </w:r>
      <w:r>
        <w:rPr>
          <w:rFonts w:hint="eastAsia" w:ascii="宋体" w:hAnsi="宋体" w:eastAsia="宋体" w:cs="Times New Roman"/>
          <w:color w:val="000000"/>
          <w:sz w:val="24"/>
          <w:szCs w:val="24"/>
        </w:rPr>
        <w:t>末</w:t>
      </w:r>
      <w:r>
        <w:rPr>
          <w:rFonts w:ascii="宋体" w:hAnsi="宋体" w:eastAsia="宋体" w:cs="Times New Roman"/>
          <w:color w:val="000000"/>
          <w:sz w:val="24"/>
          <w:szCs w:val="24"/>
        </w:rPr>
        <w:t>考试采用</w:t>
      </w:r>
      <w:r>
        <w:rPr>
          <w:rFonts w:hint="eastAsia" w:ascii="宋体" w:hAnsi="宋体" w:eastAsia="宋体" w:cs="Times New Roman"/>
          <w:color w:val="000000"/>
          <w:sz w:val="24"/>
          <w:szCs w:val="24"/>
        </w:rPr>
        <w:t>开卷笔试方式</w:t>
      </w:r>
      <w:r>
        <w:rPr>
          <w:rFonts w:ascii="宋体" w:hAnsi="宋体" w:eastAsia="宋体" w:cs="Times New Roman"/>
          <w:color w:val="000000"/>
          <w:sz w:val="24"/>
          <w:szCs w:val="24"/>
        </w:rPr>
        <w:t>。</w:t>
      </w:r>
    </w:p>
    <w:p w14:paraId="43173F10">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w:t>
      </w:r>
      <w:r>
        <w:rPr>
          <w:rFonts w:ascii="宋体" w:hAnsi="宋体" w:eastAsia="宋体" w:cs="Times New Roman"/>
          <w:color w:val="000000"/>
          <w:sz w:val="24"/>
          <w:szCs w:val="24"/>
        </w:rPr>
        <w:t>课程</w:t>
      </w:r>
      <w:r>
        <w:rPr>
          <w:rFonts w:hint="eastAsia" w:ascii="宋体" w:hAnsi="宋体" w:eastAsia="宋体" w:cs="Times New Roman"/>
          <w:color w:val="000000"/>
          <w:sz w:val="24"/>
          <w:szCs w:val="24"/>
        </w:rPr>
        <w:t>总评</w:t>
      </w:r>
      <w:r>
        <w:rPr>
          <w:rFonts w:ascii="宋体" w:hAnsi="宋体" w:eastAsia="宋体" w:cs="Times New Roman"/>
          <w:color w:val="000000"/>
          <w:sz w:val="24"/>
          <w:szCs w:val="24"/>
        </w:rPr>
        <w:t>成绩=平时成绩×4</w:t>
      </w:r>
      <w:r>
        <w:rPr>
          <w:rFonts w:hint="eastAsia" w:ascii="宋体" w:hAnsi="宋体" w:eastAsia="宋体" w:cs="Times New Roman"/>
          <w:color w:val="000000"/>
          <w:sz w:val="24"/>
          <w:szCs w:val="24"/>
        </w:rPr>
        <w:t>0</w:t>
      </w:r>
      <w:r>
        <w:rPr>
          <w:rFonts w:ascii="宋体" w:hAnsi="宋体" w:eastAsia="宋体" w:cs="Times New Roman"/>
          <w:color w:val="000000"/>
          <w:sz w:val="24"/>
          <w:szCs w:val="24"/>
        </w:rPr>
        <w:t>% +期末考试成绩×</w:t>
      </w:r>
      <w:r>
        <w:rPr>
          <w:rFonts w:hint="eastAsia" w:ascii="宋体" w:hAnsi="宋体" w:eastAsia="宋体" w:cs="Times New Roman"/>
          <w:color w:val="000000"/>
          <w:sz w:val="24"/>
          <w:szCs w:val="24"/>
        </w:rPr>
        <w:t>60</w:t>
      </w:r>
      <w:r>
        <w:rPr>
          <w:rFonts w:ascii="宋体" w:hAnsi="宋体" w:eastAsia="宋体" w:cs="Times New Roman"/>
          <w:color w:val="000000"/>
          <w:sz w:val="24"/>
          <w:szCs w:val="24"/>
        </w:rPr>
        <w:t>%。</w:t>
      </w:r>
    </w:p>
    <w:p w14:paraId="2055FCC4">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具体内容和比例如表所示：</w:t>
      </w:r>
    </w:p>
    <w:tbl>
      <w:tblPr>
        <w:tblStyle w:val="30"/>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124"/>
        <w:gridCol w:w="630"/>
        <w:gridCol w:w="1967"/>
        <w:gridCol w:w="1133"/>
        <w:gridCol w:w="2174"/>
        <w:gridCol w:w="1265"/>
      </w:tblGrid>
      <w:tr w14:paraId="5B44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19" w:type="dxa"/>
            <w:shd w:val="clear" w:color="auto" w:fill="FFFFFF"/>
            <w:tcMar>
              <w:left w:w="57" w:type="dxa"/>
              <w:right w:w="57" w:type="dxa"/>
            </w:tcMar>
            <w:vAlign w:val="center"/>
          </w:tcPr>
          <w:p w14:paraId="4A2ADD6A">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成绩组成</w:t>
            </w:r>
          </w:p>
        </w:tc>
        <w:tc>
          <w:tcPr>
            <w:tcW w:w="1124" w:type="dxa"/>
            <w:shd w:val="clear" w:color="auto" w:fill="FFFFFF"/>
            <w:vAlign w:val="center"/>
          </w:tcPr>
          <w:p w14:paraId="4F1CEC21">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考核/</w:t>
            </w:r>
          </w:p>
          <w:p w14:paraId="051C0B11">
            <w:pPr>
              <w:snapToGrid w:val="0"/>
              <w:spacing w:line="288" w:lineRule="auto"/>
              <w:jc w:val="center"/>
              <w:rPr>
                <w:rFonts w:ascii="Calibri" w:hAnsi="Calibri" w:eastAsia="宋体" w:cs="Times New Roman"/>
                <w:b/>
                <w:bCs/>
                <w:color w:val="000000"/>
                <w:sz w:val="20"/>
                <w:szCs w:val="20"/>
              </w:rPr>
            </w:pPr>
            <w:r>
              <w:rPr>
                <w:rFonts w:ascii="Calibri" w:hAnsi="Calibri" w:eastAsia="宋体" w:cs="Times New Roman"/>
                <w:b/>
                <w:bCs/>
                <w:color w:val="000000"/>
                <w:sz w:val="20"/>
                <w:szCs w:val="20"/>
              </w:rPr>
              <w:t>评价环节</w:t>
            </w:r>
          </w:p>
        </w:tc>
        <w:tc>
          <w:tcPr>
            <w:tcW w:w="630" w:type="dxa"/>
            <w:shd w:val="clear" w:color="auto" w:fill="FFFFFF"/>
            <w:vAlign w:val="center"/>
          </w:tcPr>
          <w:p w14:paraId="6DC1BA76">
            <w:pPr>
              <w:snapToGrid w:val="0"/>
              <w:spacing w:line="288" w:lineRule="auto"/>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权重</w:t>
            </w:r>
          </w:p>
        </w:tc>
        <w:tc>
          <w:tcPr>
            <w:tcW w:w="1967" w:type="dxa"/>
            <w:shd w:val="clear" w:color="auto" w:fill="FFFFFF"/>
            <w:vAlign w:val="center"/>
          </w:tcPr>
          <w:p w14:paraId="2E749C88">
            <w:pPr>
              <w:snapToGrid w:val="0"/>
              <w:spacing w:line="288" w:lineRule="auto"/>
              <w:rPr>
                <w:rFonts w:ascii="Calibri" w:hAnsi="Calibri" w:eastAsia="宋体" w:cs="Times New Roman"/>
                <w:b/>
                <w:bCs/>
                <w:color w:val="000000"/>
                <w:sz w:val="20"/>
                <w:szCs w:val="20"/>
              </w:rPr>
            </w:pPr>
            <w:r>
              <w:rPr>
                <w:rFonts w:ascii="Calibri" w:hAnsi="Calibri" w:eastAsia="宋体" w:cs="Times New Roman"/>
                <w:b/>
                <w:bCs/>
                <w:color w:val="000000"/>
                <w:sz w:val="20"/>
                <w:szCs w:val="20"/>
              </w:rPr>
              <w:t>考核/评价细则</w:t>
            </w:r>
          </w:p>
        </w:tc>
        <w:tc>
          <w:tcPr>
            <w:tcW w:w="1133" w:type="dxa"/>
            <w:shd w:val="clear" w:color="auto" w:fill="FFFFFF"/>
            <w:vAlign w:val="center"/>
          </w:tcPr>
          <w:p w14:paraId="3E0AA16D">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课程</w:t>
            </w:r>
          </w:p>
          <w:p w14:paraId="7064CA1E">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目标</w:t>
            </w:r>
          </w:p>
        </w:tc>
        <w:tc>
          <w:tcPr>
            <w:tcW w:w="2174" w:type="dxa"/>
            <w:shd w:val="clear" w:color="auto" w:fill="FFFFFF"/>
            <w:vAlign w:val="center"/>
          </w:tcPr>
          <w:p w14:paraId="1C7729F6">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考核</w:t>
            </w:r>
          </w:p>
          <w:p w14:paraId="73CAFF1C">
            <w:pPr>
              <w:snapToGrid w:val="0"/>
              <w:spacing w:line="288" w:lineRule="auto"/>
              <w:ind w:firstLine="394" w:firstLineChars="196"/>
              <w:rPr>
                <w:rFonts w:ascii="Calibri" w:hAnsi="Calibri" w:eastAsia="宋体" w:cs="Times New Roman"/>
                <w:b/>
                <w:bCs/>
                <w:color w:val="000000"/>
                <w:sz w:val="20"/>
                <w:szCs w:val="20"/>
              </w:rPr>
            </w:pPr>
            <w:r>
              <w:rPr>
                <w:rFonts w:ascii="Calibri" w:hAnsi="Calibri" w:eastAsia="宋体" w:cs="Times New Roman"/>
                <w:b/>
                <w:bCs/>
                <w:color w:val="000000"/>
                <w:sz w:val="20"/>
                <w:szCs w:val="20"/>
              </w:rPr>
              <w:t>内容</w:t>
            </w:r>
          </w:p>
        </w:tc>
        <w:tc>
          <w:tcPr>
            <w:tcW w:w="1265" w:type="dxa"/>
            <w:shd w:val="clear" w:color="auto" w:fill="FFFFFF"/>
            <w:vAlign w:val="center"/>
          </w:tcPr>
          <w:p w14:paraId="44EE6596">
            <w:pPr>
              <w:snapToGrid w:val="0"/>
              <w:spacing w:line="288" w:lineRule="auto"/>
              <w:rPr>
                <w:rFonts w:ascii="Calibri" w:hAnsi="Calibri" w:eastAsia="宋体" w:cs="Times New Roman"/>
                <w:b/>
                <w:bCs/>
                <w:color w:val="000000"/>
                <w:sz w:val="20"/>
                <w:szCs w:val="20"/>
              </w:rPr>
            </w:pPr>
            <w:r>
              <w:rPr>
                <w:rFonts w:ascii="Calibri" w:hAnsi="Calibri" w:eastAsia="宋体" w:cs="Times New Roman"/>
                <w:b/>
                <w:bCs/>
                <w:color w:val="000000"/>
                <w:sz w:val="20"/>
                <w:szCs w:val="20"/>
              </w:rPr>
              <w:t>对应的毕业要求指标点</w:t>
            </w:r>
          </w:p>
        </w:tc>
      </w:tr>
      <w:tr w14:paraId="5062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619" w:type="dxa"/>
            <w:tcMar>
              <w:left w:w="57" w:type="dxa"/>
              <w:right w:w="57" w:type="dxa"/>
            </w:tcMar>
            <w:vAlign w:val="center"/>
          </w:tcPr>
          <w:p w14:paraId="091C3FC9">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平时成绩</w:t>
            </w:r>
          </w:p>
        </w:tc>
        <w:tc>
          <w:tcPr>
            <w:tcW w:w="1124" w:type="dxa"/>
            <w:vAlign w:val="center"/>
          </w:tcPr>
          <w:p w14:paraId="2CCA82A0">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课堂表现及</w:t>
            </w:r>
            <w:r>
              <w:rPr>
                <w:rFonts w:ascii="宋体" w:hAnsi="宋体" w:eastAsia="宋体" w:cs="Times New Roman"/>
                <w:color w:val="000000"/>
                <w:szCs w:val="21"/>
              </w:rPr>
              <w:t>平时作业</w:t>
            </w:r>
          </w:p>
        </w:tc>
        <w:tc>
          <w:tcPr>
            <w:tcW w:w="630" w:type="dxa"/>
            <w:vAlign w:val="center"/>
          </w:tcPr>
          <w:p w14:paraId="4F099049">
            <w:pPr>
              <w:snapToGrid w:val="0"/>
              <w:spacing w:line="288" w:lineRule="auto"/>
              <w:rPr>
                <w:rFonts w:hint="eastAsia" w:ascii="宋体" w:hAnsi="宋体" w:eastAsia="宋体" w:cs="Times New Roman"/>
                <w:color w:val="000000"/>
                <w:szCs w:val="21"/>
              </w:rPr>
            </w:pPr>
            <w:r>
              <w:rPr>
                <w:rFonts w:ascii="宋体" w:hAnsi="宋体" w:eastAsia="宋体" w:cs="Times New Roman"/>
                <w:color w:val="000000"/>
                <w:szCs w:val="21"/>
              </w:rPr>
              <w:t>40%</w:t>
            </w:r>
          </w:p>
        </w:tc>
        <w:tc>
          <w:tcPr>
            <w:tcW w:w="1967" w:type="dxa"/>
            <w:vAlign w:val="center"/>
          </w:tcPr>
          <w:p w14:paraId="22BCC8C9">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课堂表现占</w:t>
            </w:r>
            <w:r>
              <w:rPr>
                <w:rFonts w:ascii="宋体" w:hAnsi="宋体" w:eastAsia="宋体" w:cs="Times New Roman"/>
                <w:color w:val="000000"/>
                <w:szCs w:val="21"/>
              </w:rPr>
              <w:t>4</w:t>
            </w:r>
            <w:r>
              <w:rPr>
                <w:rFonts w:hint="eastAsia" w:ascii="宋体" w:hAnsi="宋体" w:eastAsia="宋体" w:cs="Times New Roman"/>
                <w:color w:val="000000"/>
                <w:szCs w:val="21"/>
              </w:rPr>
              <w:t>0%，平时作业占</w:t>
            </w:r>
            <w:r>
              <w:rPr>
                <w:rFonts w:ascii="宋体" w:hAnsi="宋体" w:eastAsia="宋体" w:cs="Times New Roman"/>
                <w:color w:val="000000"/>
                <w:szCs w:val="21"/>
              </w:rPr>
              <w:t>6</w:t>
            </w:r>
            <w:r>
              <w:rPr>
                <w:rFonts w:hint="eastAsia" w:ascii="宋体" w:hAnsi="宋体" w:eastAsia="宋体" w:cs="Times New Roman"/>
                <w:color w:val="000000"/>
                <w:szCs w:val="21"/>
              </w:rPr>
              <w:t>0%。</w:t>
            </w:r>
          </w:p>
          <w:p w14:paraId="085068EE">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课堂表现：课堂考勤和课上表现。</w:t>
            </w:r>
          </w:p>
          <w:p w14:paraId="1567C239">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平时作业：</w:t>
            </w:r>
            <w:r>
              <w:rPr>
                <w:rFonts w:ascii="宋体" w:hAnsi="宋体" w:eastAsia="宋体" w:cs="Times New Roman"/>
                <w:color w:val="000000"/>
                <w:szCs w:val="21"/>
              </w:rPr>
              <w:t>主要考核学生对知识点的理解和</w:t>
            </w:r>
            <w:r>
              <w:rPr>
                <w:rFonts w:hint="eastAsia" w:ascii="宋体" w:hAnsi="宋体" w:eastAsia="宋体" w:cs="Times New Roman"/>
                <w:color w:val="000000"/>
                <w:szCs w:val="21"/>
              </w:rPr>
              <w:t>应用</w:t>
            </w:r>
            <w:r>
              <w:rPr>
                <w:rFonts w:ascii="宋体" w:hAnsi="宋体" w:eastAsia="宋体" w:cs="Times New Roman"/>
                <w:color w:val="000000"/>
                <w:szCs w:val="21"/>
              </w:rPr>
              <w:t>。</w:t>
            </w:r>
          </w:p>
        </w:tc>
        <w:tc>
          <w:tcPr>
            <w:tcW w:w="1133" w:type="dxa"/>
            <w:vAlign w:val="center"/>
          </w:tcPr>
          <w:p w14:paraId="3955F33C">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课程目标1</w:t>
            </w:r>
          </w:p>
          <w:p w14:paraId="14E19325">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课程目标3</w:t>
            </w:r>
          </w:p>
        </w:tc>
        <w:tc>
          <w:tcPr>
            <w:tcW w:w="2174" w:type="dxa"/>
            <w:vAlign w:val="center"/>
          </w:tcPr>
          <w:p w14:paraId="6DF08DE3">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课程概述、家庭教育的现状与特点、理论发展与创新、中国儿童权利保护、独生子女和二孩政策及其影响、祖辈参与教养、家风家训和家教文化弘扬、亲子共读实践</w:t>
            </w:r>
          </w:p>
        </w:tc>
        <w:tc>
          <w:tcPr>
            <w:tcW w:w="1265" w:type="dxa"/>
            <w:vAlign w:val="center"/>
          </w:tcPr>
          <w:p w14:paraId="7A341575">
            <w:pPr>
              <w:snapToGrid w:val="0"/>
              <w:spacing w:line="288" w:lineRule="auto"/>
              <w:ind w:firstLine="411" w:firstLineChars="196"/>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2</w:t>
            </w:r>
          </w:p>
          <w:p w14:paraId="41969111">
            <w:pPr>
              <w:snapToGrid w:val="0"/>
              <w:spacing w:line="288" w:lineRule="auto"/>
              <w:ind w:firstLine="411" w:firstLineChars="196"/>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-1</w:t>
            </w:r>
          </w:p>
          <w:p w14:paraId="0EBC0D6B">
            <w:pPr>
              <w:snapToGrid w:val="0"/>
              <w:spacing w:line="288" w:lineRule="auto"/>
              <w:ind w:firstLine="411" w:firstLineChars="196"/>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-2</w:t>
            </w:r>
          </w:p>
        </w:tc>
      </w:tr>
      <w:tr w14:paraId="7FC2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atLeast"/>
        </w:trPr>
        <w:tc>
          <w:tcPr>
            <w:tcW w:w="619" w:type="dxa"/>
            <w:tcMar>
              <w:left w:w="57" w:type="dxa"/>
              <w:right w:w="57" w:type="dxa"/>
            </w:tcMar>
            <w:vAlign w:val="center"/>
          </w:tcPr>
          <w:p w14:paraId="3837428B">
            <w:pPr>
              <w:snapToGrid w:val="0"/>
              <w:spacing w:line="288" w:lineRule="auto"/>
              <w:jc w:val="center"/>
              <w:rPr>
                <w:rFonts w:hint="eastAsia" w:ascii="宋体" w:hAnsi="宋体" w:eastAsia="宋体" w:cs="Times New Roman"/>
                <w:color w:val="000000"/>
                <w:szCs w:val="21"/>
              </w:rPr>
            </w:pPr>
            <w:r>
              <w:rPr>
                <w:rFonts w:ascii="宋体" w:hAnsi="宋体" w:eastAsia="宋体" w:cs="Times New Roman"/>
                <w:color w:val="000000"/>
                <w:szCs w:val="21"/>
              </w:rPr>
              <w:t>期末考试</w:t>
            </w:r>
          </w:p>
        </w:tc>
        <w:tc>
          <w:tcPr>
            <w:tcW w:w="1124" w:type="dxa"/>
            <w:vAlign w:val="center"/>
          </w:tcPr>
          <w:p w14:paraId="4152FCA5">
            <w:pPr>
              <w:snapToGrid w:val="0"/>
              <w:spacing w:line="288" w:lineRule="auto"/>
              <w:rPr>
                <w:rFonts w:hint="eastAsia" w:ascii="宋体" w:hAnsi="宋体" w:eastAsia="宋体" w:cs="Times New Roman"/>
                <w:color w:val="000000"/>
                <w:szCs w:val="21"/>
              </w:rPr>
            </w:pPr>
            <w:r>
              <w:rPr>
                <w:rFonts w:ascii="宋体" w:hAnsi="宋体" w:eastAsia="宋体" w:cs="Times New Roman"/>
                <w:color w:val="000000"/>
                <w:szCs w:val="21"/>
              </w:rPr>
              <w:t>期末考试</w:t>
            </w:r>
          </w:p>
          <w:p w14:paraId="707AB259">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卷面</w:t>
            </w:r>
            <w:r>
              <w:rPr>
                <w:rFonts w:ascii="宋体" w:hAnsi="宋体" w:eastAsia="宋体" w:cs="Times New Roman"/>
                <w:color w:val="000000"/>
                <w:szCs w:val="21"/>
              </w:rPr>
              <w:t>成绩</w:t>
            </w:r>
          </w:p>
        </w:tc>
        <w:tc>
          <w:tcPr>
            <w:tcW w:w="630" w:type="dxa"/>
            <w:vAlign w:val="center"/>
          </w:tcPr>
          <w:p w14:paraId="68E4724A">
            <w:pPr>
              <w:snapToGrid w:val="0"/>
              <w:spacing w:line="288" w:lineRule="auto"/>
              <w:rPr>
                <w:rFonts w:hint="eastAsia" w:ascii="宋体" w:hAnsi="宋体" w:eastAsia="宋体" w:cs="Times New Roman"/>
                <w:color w:val="000000"/>
                <w:szCs w:val="21"/>
              </w:rPr>
            </w:pPr>
            <w:r>
              <w:rPr>
                <w:rFonts w:ascii="宋体" w:hAnsi="宋体" w:eastAsia="宋体" w:cs="Times New Roman"/>
                <w:color w:val="000000"/>
                <w:szCs w:val="21"/>
              </w:rPr>
              <w:t>60%</w:t>
            </w:r>
          </w:p>
        </w:tc>
        <w:tc>
          <w:tcPr>
            <w:tcW w:w="1967" w:type="dxa"/>
            <w:vAlign w:val="center"/>
          </w:tcPr>
          <w:p w14:paraId="616B0112">
            <w:pPr>
              <w:snapToGrid w:val="0"/>
              <w:spacing w:line="288" w:lineRule="auto"/>
              <w:rPr>
                <w:rFonts w:hint="eastAsia" w:ascii="宋体" w:hAnsi="宋体" w:eastAsia="宋体" w:cs="Times New Roman"/>
                <w:color w:val="000000"/>
                <w:szCs w:val="21"/>
              </w:rPr>
            </w:pPr>
            <w:r>
              <w:rPr>
                <w:rFonts w:hint="eastAsia" w:ascii="宋体" w:hAnsi="宋体" w:eastAsia="宋体" w:cs="Times New Roman"/>
                <w:color w:val="000000"/>
                <w:szCs w:val="21"/>
              </w:rPr>
              <w:t>开卷</w:t>
            </w:r>
            <w:r>
              <w:rPr>
                <w:rFonts w:ascii="宋体" w:hAnsi="宋体" w:eastAsia="宋体" w:cs="Times New Roman"/>
                <w:color w:val="000000"/>
                <w:szCs w:val="21"/>
              </w:rPr>
              <w:t>题型包括</w:t>
            </w:r>
            <w:r>
              <w:rPr>
                <w:rFonts w:hint="eastAsia" w:ascii="宋体" w:hAnsi="宋体" w:eastAsia="宋体" w:cs="Times New Roman"/>
                <w:color w:val="000000"/>
                <w:szCs w:val="21"/>
              </w:rPr>
              <w:t>材料</w:t>
            </w:r>
            <w:r>
              <w:rPr>
                <w:rFonts w:ascii="宋体" w:hAnsi="宋体" w:eastAsia="宋体" w:cs="Times New Roman"/>
                <w:color w:val="000000"/>
                <w:szCs w:val="21"/>
              </w:rPr>
              <w:t>分析题</w:t>
            </w:r>
            <w:r>
              <w:rPr>
                <w:rFonts w:hint="eastAsia" w:ascii="宋体" w:hAnsi="宋体" w:eastAsia="宋体" w:cs="Times New Roman"/>
                <w:color w:val="000000"/>
                <w:szCs w:val="21"/>
              </w:rPr>
              <w:t>、论述题</w:t>
            </w:r>
            <w:r>
              <w:rPr>
                <w:rFonts w:ascii="宋体" w:hAnsi="宋体" w:eastAsia="宋体" w:cs="Times New Roman"/>
                <w:color w:val="000000"/>
                <w:szCs w:val="21"/>
              </w:rPr>
              <w:t>等，以卷面成绩的60%计入课程总成绩。</w:t>
            </w:r>
          </w:p>
        </w:tc>
        <w:tc>
          <w:tcPr>
            <w:tcW w:w="1133" w:type="dxa"/>
            <w:vAlign w:val="center"/>
          </w:tcPr>
          <w:p w14:paraId="576324BE">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课程目标1</w:t>
            </w:r>
          </w:p>
          <w:p w14:paraId="412B3B4F">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课程目标2</w:t>
            </w:r>
          </w:p>
          <w:p w14:paraId="0085D6E1">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课程目标3</w:t>
            </w:r>
          </w:p>
        </w:tc>
        <w:tc>
          <w:tcPr>
            <w:tcW w:w="2174" w:type="dxa"/>
            <w:vAlign w:val="center"/>
          </w:tcPr>
          <w:p w14:paraId="317CA96D">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课程概述、家庭教育的现状与特点、理论发展与创新、立法进程、中国儿童权利保护、独生子女和二孩政策及其影响、祖辈参与教养、家风家训和家教文化弘扬、亲子共读实践</w:t>
            </w:r>
          </w:p>
        </w:tc>
        <w:tc>
          <w:tcPr>
            <w:tcW w:w="1265" w:type="dxa"/>
            <w:vAlign w:val="center"/>
          </w:tcPr>
          <w:p w14:paraId="0EAD6636">
            <w:pPr>
              <w:snapToGrid w:val="0"/>
              <w:spacing w:line="288" w:lineRule="auto"/>
              <w:ind w:firstLine="411" w:firstLineChars="196"/>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w:t>
            </w:r>
            <w:r>
              <w:rPr>
                <w:rFonts w:ascii="宋体" w:hAnsi="宋体" w:eastAsia="宋体" w:cs="Times New Roman"/>
                <w:szCs w:val="21"/>
              </w:rPr>
              <w:t>2</w:t>
            </w:r>
          </w:p>
          <w:p w14:paraId="7EDE8EE1">
            <w:pPr>
              <w:snapToGrid w:val="0"/>
              <w:spacing w:line="288" w:lineRule="auto"/>
              <w:ind w:firstLine="411" w:firstLineChars="196"/>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-3</w:t>
            </w:r>
          </w:p>
          <w:p w14:paraId="715A43CE">
            <w:pPr>
              <w:snapToGrid w:val="0"/>
              <w:spacing w:line="288" w:lineRule="auto"/>
              <w:ind w:firstLine="411" w:firstLineChars="196"/>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-1</w:t>
            </w:r>
          </w:p>
          <w:p w14:paraId="78B4CD8F">
            <w:pPr>
              <w:snapToGrid w:val="0"/>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-2</w:t>
            </w:r>
          </w:p>
        </w:tc>
      </w:tr>
    </w:tbl>
    <w:p w14:paraId="7D48C97B">
      <w:pPr>
        <w:snapToGrid w:val="0"/>
        <w:spacing w:line="288" w:lineRule="auto"/>
        <w:ind w:firstLine="394" w:firstLineChars="196"/>
        <w:rPr>
          <w:rFonts w:ascii="Calibri" w:hAnsi="Calibri" w:eastAsia="宋体" w:cs="Times New Roman"/>
          <w:b/>
          <w:bCs/>
          <w:color w:val="000000"/>
          <w:sz w:val="20"/>
          <w:szCs w:val="20"/>
        </w:rPr>
      </w:pPr>
    </w:p>
    <w:p w14:paraId="604E98B8">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（三）课程目标及考核方式权重分配表</w:t>
      </w:r>
    </w:p>
    <w:tbl>
      <w:tblPr>
        <w:tblStyle w:val="30"/>
        <w:tblW w:w="7654" w:type="dxa"/>
        <w:tblInd w:w="27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43"/>
        <w:gridCol w:w="1134"/>
        <w:gridCol w:w="1701"/>
        <w:gridCol w:w="1559"/>
        <w:gridCol w:w="1417"/>
      </w:tblGrid>
      <w:tr w14:paraId="2F62C3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2977" w:type="dxa"/>
            <w:gridSpan w:val="2"/>
            <w:shd w:val="clear" w:color="auto" w:fill="auto"/>
            <w:vAlign w:val="center"/>
          </w:tcPr>
          <w:p w14:paraId="39FBD36A">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课程目标及权重</w:t>
            </w:r>
          </w:p>
        </w:tc>
        <w:tc>
          <w:tcPr>
            <w:tcW w:w="4677" w:type="dxa"/>
            <w:gridSpan w:val="3"/>
            <w:shd w:val="clear" w:color="auto" w:fill="auto"/>
            <w:vAlign w:val="center"/>
          </w:tcPr>
          <w:p w14:paraId="669BB79E">
            <w:pPr>
              <w:snapToGrid w:val="0"/>
              <w:spacing w:line="288" w:lineRule="auto"/>
              <w:ind w:firstLine="1197" w:firstLineChars="5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考核方式及权重</w:t>
            </w:r>
          </w:p>
        </w:tc>
      </w:tr>
      <w:tr w14:paraId="100DA4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1843" w:type="dxa"/>
            <w:shd w:val="clear" w:color="auto" w:fill="auto"/>
            <w:vAlign w:val="center"/>
          </w:tcPr>
          <w:p w14:paraId="359B9FAA">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项目</w:t>
            </w:r>
          </w:p>
        </w:tc>
        <w:tc>
          <w:tcPr>
            <w:tcW w:w="1134" w:type="dxa"/>
            <w:shd w:val="clear" w:color="auto" w:fill="auto"/>
            <w:vAlign w:val="center"/>
          </w:tcPr>
          <w:p w14:paraId="57BA48B9">
            <w:pPr>
              <w:snapToGrid w:val="0"/>
              <w:spacing w:line="288" w:lineRule="auto"/>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权重（</w:t>
            </w:r>
            <w:r>
              <w:rPr>
                <w:rFonts w:ascii="Calibri" w:hAnsi="Calibri" w:eastAsia="宋体" w:cs="Times New Roman"/>
                <w:b/>
                <w:bCs/>
                <w:color w:val="000000"/>
                <w:sz w:val="20"/>
                <w:szCs w:val="20"/>
              </w:rPr>
              <w:t>a</w:t>
            </w:r>
            <w:r>
              <w:rPr>
                <w:rFonts w:hint="eastAsia" w:ascii="Calibri" w:hAnsi="Calibri" w:eastAsia="宋体" w:cs="Times New Roman"/>
                <w:b/>
                <w:bCs/>
                <w:color w:val="000000"/>
                <w:sz w:val="20"/>
                <w:szCs w:val="20"/>
              </w:rPr>
              <w:t>）</w:t>
            </w:r>
          </w:p>
        </w:tc>
        <w:tc>
          <w:tcPr>
            <w:tcW w:w="1701" w:type="dxa"/>
            <w:shd w:val="clear" w:color="auto" w:fill="auto"/>
            <w:vAlign w:val="center"/>
          </w:tcPr>
          <w:p w14:paraId="1ED2E3EC">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评价依据</w:t>
            </w:r>
          </w:p>
        </w:tc>
        <w:tc>
          <w:tcPr>
            <w:tcW w:w="1559" w:type="dxa"/>
            <w:shd w:val="clear" w:color="auto" w:fill="auto"/>
            <w:vAlign w:val="center"/>
          </w:tcPr>
          <w:p w14:paraId="226F2106">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权重（</w:t>
            </w:r>
            <w:r>
              <w:rPr>
                <w:rFonts w:ascii="Calibri" w:hAnsi="Calibri" w:eastAsia="宋体" w:cs="Times New Roman"/>
                <w:b/>
                <w:bCs/>
                <w:color w:val="000000"/>
                <w:sz w:val="20"/>
                <w:szCs w:val="20"/>
              </w:rPr>
              <w:t>b</w:t>
            </w:r>
            <w:r>
              <w:rPr>
                <w:rFonts w:hint="eastAsia" w:ascii="Calibri" w:hAnsi="Calibri" w:eastAsia="宋体" w:cs="Times New Roman"/>
                <w:b/>
                <w:bCs/>
                <w:color w:val="000000"/>
                <w:sz w:val="20"/>
                <w:szCs w:val="20"/>
              </w:rPr>
              <w:t>）</w:t>
            </w:r>
          </w:p>
        </w:tc>
        <w:tc>
          <w:tcPr>
            <w:tcW w:w="1417" w:type="dxa"/>
          </w:tcPr>
          <w:p w14:paraId="698524D3">
            <w:pPr>
              <w:snapToGrid w:val="0"/>
              <w:spacing w:line="288" w:lineRule="auto"/>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考核方式权重合计</w:t>
            </w:r>
          </w:p>
        </w:tc>
      </w:tr>
      <w:tr w14:paraId="0F5843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843" w:type="dxa"/>
            <w:vMerge w:val="restart"/>
            <w:shd w:val="clear" w:color="auto" w:fill="auto"/>
            <w:vAlign w:val="center"/>
          </w:tcPr>
          <w:p w14:paraId="6DF741A7">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课程目标</w:t>
            </w:r>
            <w:r>
              <w:rPr>
                <w:rFonts w:ascii="宋体" w:hAnsi="宋体" w:eastAsia="宋体" w:cs="Times New Roman"/>
                <w:sz w:val="20"/>
                <w:szCs w:val="20"/>
              </w:rPr>
              <w:t>1</w:t>
            </w:r>
          </w:p>
        </w:tc>
        <w:tc>
          <w:tcPr>
            <w:tcW w:w="1134" w:type="dxa"/>
            <w:vMerge w:val="restart"/>
            <w:shd w:val="clear" w:color="auto" w:fill="auto"/>
            <w:vAlign w:val="center"/>
          </w:tcPr>
          <w:p w14:paraId="502EA2FA">
            <w:pPr>
              <w:snapToGrid w:val="0"/>
              <w:spacing w:line="288" w:lineRule="auto"/>
              <w:ind w:firstLine="392" w:firstLineChars="196"/>
              <w:rPr>
                <w:rFonts w:hint="eastAsia" w:ascii="宋体" w:hAnsi="宋体" w:eastAsia="宋体" w:cs="Times New Roman"/>
                <w:sz w:val="20"/>
                <w:szCs w:val="20"/>
              </w:rPr>
            </w:pPr>
            <w:r>
              <w:rPr>
                <w:rFonts w:ascii="宋体" w:hAnsi="宋体" w:eastAsia="宋体" w:cs="Times New Roman"/>
                <w:sz w:val="20"/>
                <w:szCs w:val="20"/>
              </w:rPr>
              <w:t>3</w:t>
            </w:r>
            <w:r>
              <w:rPr>
                <w:rFonts w:hint="eastAsia" w:ascii="宋体" w:hAnsi="宋体" w:eastAsia="宋体" w:cs="Times New Roman"/>
                <w:sz w:val="20"/>
                <w:szCs w:val="20"/>
              </w:rPr>
              <w:t>0%</w:t>
            </w:r>
          </w:p>
        </w:tc>
        <w:tc>
          <w:tcPr>
            <w:tcW w:w="1701" w:type="dxa"/>
            <w:shd w:val="clear" w:color="auto" w:fill="auto"/>
            <w:vAlign w:val="center"/>
          </w:tcPr>
          <w:p w14:paraId="08A4781E">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考试</w:t>
            </w:r>
          </w:p>
        </w:tc>
        <w:tc>
          <w:tcPr>
            <w:tcW w:w="1559" w:type="dxa"/>
            <w:shd w:val="clear" w:color="auto" w:fill="auto"/>
            <w:vAlign w:val="center"/>
          </w:tcPr>
          <w:p w14:paraId="37A47CC1">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70%</w:t>
            </w:r>
            <w:r>
              <w:rPr>
                <w:rFonts w:ascii="宋体" w:hAnsi="宋体" w:eastAsia="宋体" w:cs="Times New Roman"/>
                <w:sz w:val="20"/>
                <w:szCs w:val="20"/>
              </w:rPr>
              <w:t xml:space="preserve"> </w:t>
            </w:r>
          </w:p>
        </w:tc>
        <w:tc>
          <w:tcPr>
            <w:tcW w:w="1417" w:type="dxa"/>
            <w:vMerge w:val="restart"/>
            <w:vAlign w:val="center"/>
          </w:tcPr>
          <w:p w14:paraId="5E0A03B5">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100%</w:t>
            </w:r>
          </w:p>
        </w:tc>
      </w:tr>
      <w:tr w14:paraId="2E523F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43" w:type="dxa"/>
            <w:vMerge w:val="continue"/>
            <w:shd w:val="clear" w:color="auto" w:fill="auto"/>
            <w:vAlign w:val="center"/>
          </w:tcPr>
          <w:p w14:paraId="0E11FD67">
            <w:pPr>
              <w:snapToGrid w:val="0"/>
              <w:spacing w:line="288" w:lineRule="auto"/>
              <w:ind w:firstLine="392" w:firstLineChars="196"/>
              <w:rPr>
                <w:rFonts w:hint="eastAsia" w:ascii="宋体" w:hAnsi="宋体" w:eastAsia="宋体" w:cs="Times New Roman"/>
                <w:sz w:val="20"/>
                <w:szCs w:val="20"/>
              </w:rPr>
            </w:pPr>
          </w:p>
        </w:tc>
        <w:tc>
          <w:tcPr>
            <w:tcW w:w="1134" w:type="dxa"/>
            <w:vMerge w:val="continue"/>
            <w:shd w:val="clear" w:color="auto" w:fill="auto"/>
            <w:vAlign w:val="center"/>
          </w:tcPr>
          <w:p w14:paraId="20D659B5">
            <w:pPr>
              <w:snapToGrid w:val="0"/>
              <w:spacing w:line="288" w:lineRule="auto"/>
              <w:ind w:firstLine="392" w:firstLineChars="196"/>
              <w:rPr>
                <w:rFonts w:hint="eastAsia" w:ascii="宋体" w:hAnsi="宋体" w:eastAsia="宋体" w:cs="Times New Roman"/>
                <w:sz w:val="20"/>
                <w:szCs w:val="20"/>
              </w:rPr>
            </w:pPr>
          </w:p>
        </w:tc>
        <w:tc>
          <w:tcPr>
            <w:tcW w:w="1701" w:type="dxa"/>
            <w:shd w:val="clear" w:color="auto" w:fill="auto"/>
            <w:vAlign w:val="center"/>
          </w:tcPr>
          <w:p w14:paraId="6BEB88F0">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作业</w:t>
            </w:r>
          </w:p>
        </w:tc>
        <w:tc>
          <w:tcPr>
            <w:tcW w:w="1559" w:type="dxa"/>
            <w:shd w:val="clear" w:color="auto" w:fill="auto"/>
            <w:vAlign w:val="center"/>
          </w:tcPr>
          <w:p w14:paraId="42B1AF64">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30%</w:t>
            </w:r>
          </w:p>
        </w:tc>
        <w:tc>
          <w:tcPr>
            <w:tcW w:w="1417" w:type="dxa"/>
            <w:vMerge w:val="continue"/>
            <w:vAlign w:val="center"/>
          </w:tcPr>
          <w:p w14:paraId="1231A2F6">
            <w:pPr>
              <w:snapToGrid w:val="0"/>
              <w:spacing w:line="288" w:lineRule="auto"/>
              <w:ind w:firstLine="394" w:firstLineChars="196"/>
              <w:rPr>
                <w:rFonts w:ascii="Calibri" w:hAnsi="Calibri" w:eastAsia="宋体" w:cs="Times New Roman"/>
                <w:b/>
                <w:bCs/>
                <w:color w:val="000000"/>
                <w:sz w:val="20"/>
                <w:szCs w:val="20"/>
              </w:rPr>
            </w:pPr>
          </w:p>
        </w:tc>
      </w:tr>
      <w:tr w14:paraId="0073F45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43" w:type="dxa"/>
            <w:vMerge w:val="restart"/>
            <w:shd w:val="clear" w:color="auto" w:fill="auto"/>
            <w:vAlign w:val="center"/>
          </w:tcPr>
          <w:p w14:paraId="409B99B4">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课程目标</w:t>
            </w:r>
            <w:r>
              <w:rPr>
                <w:rFonts w:ascii="宋体" w:hAnsi="宋体" w:eastAsia="宋体" w:cs="Times New Roman"/>
                <w:sz w:val="20"/>
                <w:szCs w:val="20"/>
              </w:rPr>
              <w:t>2</w:t>
            </w:r>
          </w:p>
        </w:tc>
        <w:tc>
          <w:tcPr>
            <w:tcW w:w="1134" w:type="dxa"/>
            <w:vMerge w:val="restart"/>
            <w:shd w:val="clear" w:color="auto" w:fill="auto"/>
            <w:vAlign w:val="center"/>
          </w:tcPr>
          <w:p w14:paraId="2FD5D108">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3</w:t>
            </w:r>
            <w:r>
              <w:rPr>
                <w:rFonts w:ascii="宋体" w:hAnsi="宋体" w:eastAsia="宋体" w:cs="Times New Roman"/>
                <w:sz w:val="20"/>
                <w:szCs w:val="20"/>
              </w:rPr>
              <w:t>0</w:t>
            </w:r>
            <w:r>
              <w:rPr>
                <w:rFonts w:hint="eastAsia" w:ascii="宋体" w:hAnsi="宋体" w:eastAsia="宋体" w:cs="Times New Roman"/>
                <w:sz w:val="20"/>
                <w:szCs w:val="20"/>
              </w:rPr>
              <w:t>%</w:t>
            </w:r>
          </w:p>
        </w:tc>
        <w:tc>
          <w:tcPr>
            <w:tcW w:w="1701" w:type="dxa"/>
            <w:shd w:val="clear" w:color="auto" w:fill="auto"/>
            <w:vAlign w:val="center"/>
          </w:tcPr>
          <w:p w14:paraId="736A1081">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考试</w:t>
            </w:r>
          </w:p>
        </w:tc>
        <w:tc>
          <w:tcPr>
            <w:tcW w:w="1559" w:type="dxa"/>
            <w:shd w:val="clear" w:color="auto" w:fill="auto"/>
            <w:vAlign w:val="center"/>
          </w:tcPr>
          <w:p w14:paraId="5B19D41C">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40%</w:t>
            </w:r>
            <w:r>
              <w:rPr>
                <w:rFonts w:ascii="宋体" w:hAnsi="宋体" w:eastAsia="宋体" w:cs="Times New Roman"/>
                <w:sz w:val="20"/>
                <w:szCs w:val="20"/>
              </w:rPr>
              <w:t xml:space="preserve"> </w:t>
            </w:r>
          </w:p>
        </w:tc>
        <w:tc>
          <w:tcPr>
            <w:tcW w:w="1417" w:type="dxa"/>
            <w:vMerge w:val="restart"/>
            <w:vAlign w:val="center"/>
          </w:tcPr>
          <w:p w14:paraId="0E1163AE">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100%</w:t>
            </w:r>
          </w:p>
        </w:tc>
      </w:tr>
      <w:tr w14:paraId="522AB3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43" w:type="dxa"/>
            <w:vMerge w:val="continue"/>
            <w:shd w:val="clear" w:color="auto" w:fill="auto"/>
            <w:vAlign w:val="center"/>
          </w:tcPr>
          <w:p w14:paraId="14D275DD">
            <w:pPr>
              <w:snapToGrid w:val="0"/>
              <w:spacing w:line="288" w:lineRule="auto"/>
              <w:ind w:firstLine="392" w:firstLineChars="196"/>
              <w:rPr>
                <w:rFonts w:hint="eastAsia" w:ascii="宋体" w:hAnsi="宋体" w:eastAsia="宋体" w:cs="Times New Roman"/>
                <w:sz w:val="20"/>
                <w:szCs w:val="20"/>
              </w:rPr>
            </w:pPr>
          </w:p>
        </w:tc>
        <w:tc>
          <w:tcPr>
            <w:tcW w:w="1134" w:type="dxa"/>
            <w:vMerge w:val="continue"/>
            <w:shd w:val="clear" w:color="auto" w:fill="auto"/>
            <w:vAlign w:val="center"/>
          </w:tcPr>
          <w:p w14:paraId="3300BB3A">
            <w:pPr>
              <w:snapToGrid w:val="0"/>
              <w:spacing w:line="288" w:lineRule="auto"/>
              <w:ind w:firstLine="392" w:firstLineChars="196"/>
              <w:rPr>
                <w:rFonts w:hint="eastAsia" w:ascii="宋体" w:hAnsi="宋体" w:eastAsia="宋体" w:cs="Times New Roman"/>
                <w:sz w:val="20"/>
                <w:szCs w:val="20"/>
              </w:rPr>
            </w:pPr>
          </w:p>
        </w:tc>
        <w:tc>
          <w:tcPr>
            <w:tcW w:w="1701" w:type="dxa"/>
            <w:shd w:val="clear" w:color="auto" w:fill="auto"/>
            <w:vAlign w:val="center"/>
          </w:tcPr>
          <w:p w14:paraId="14AE2772">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作业</w:t>
            </w:r>
          </w:p>
        </w:tc>
        <w:tc>
          <w:tcPr>
            <w:tcW w:w="1559" w:type="dxa"/>
            <w:shd w:val="clear" w:color="auto" w:fill="auto"/>
            <w:vAlign w:val="center"/>
          </w:tcPr>
          <w:p w14:paraId="49C3C310">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60%</w:t>
            </w:r>
          </w:p>
        </w:tc>
        <w:tc>
          <w:tcPr>
            <w:tcW w:w="1417" w:type="dxa"/>
            <w:vMerge w:val="continue"/>
            <w:vAlign w:val="center"/>
          </w:tcPr>
          <w:p w14:paraId="5B1E3FE9">
            <w:pPr>
              <w:snapToGrid w:val="0"/>
              <w:spacing w:line="288" w:lineRule="auto"/>
              <w:ind w:firstLine="394" w:firstLineChars="196"/>
              <w:rPr>
                <w:rFonts w:ascii="Calibri" w:hAnsi="Calibri" w:eastAsia="宋体" w:cs="Times New Roman"/>
                <w:b/>
                <w:bCs/>
                <w:color w:val="000000"/>
                <w:sz w:val="20"/>
                <w:szCs w:val="20"/>
              </w:rPr>
            </w:pPr>
          </w:p>
        </w:tc>
      </w:tr>
      <w:tr w14:paraId="058EF9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43" w:type="dxa"/>
            <w:vMerge w:val="restart"/>
            <w:shd w:val="clear" w:color="auto" w:fill="auto"/>
            <w:vAlign w:val="center"/>
          </w:tcPr>
          <w:p w14:paraId="16400F69">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课程目标</w:t>
            </w:r>
            <w:r>
              <w:rPr>
                <w:rFonts w:ascii="宋体" w:hAnsi="宋体" w:eastAsia="宋体" w:cs="Times New Roman"/>
                <w:sz w:val="20"/>
                <w:szCs w:val="20"/>
              </w:rPr>
              <w:t>3</w:t>
            </w:r>
          </w:p>
        </w:tc>
        <w:tc>
          <w:tcPr>
            <w:tcW w:w="1134" w:type="dxa"/>
            <w:vMerge w:val="restart"/>
            <w:shd w:val="clear" w:color="auto" w:fill="auto"/>
            <w:vAlign w:val="center"/>
          </w:tcPr>
          <w:p w14:paraId="08FCA9DF">
            <w:pPr>
              <w:snapToGrid w:val="0"/>
              <w:spacing w:line="288" w:lineRule="auto"/>
              <w:ind w:firstLine="392" w:firstLineChars="196"/>
              <w:rPr>
                <w:rFonts w:hint="eastAsia" w:ascii="宋体" w:hAnsi="宋体" w:eastAsia="宋体" w:cs="Times New Roman"/>
                <w:sz w:val="20"/>
                <w:szCs w:val="20"/>
              </w:rPr>
            </w:pPr>
            <w:r>
              <w:rPr>
                <w:rFonts w:ascii="宋体" w:hAnsi="宋体" w:eastAsia="宋体" w:cs="Times New Roman"/>
                <w:sz w:val="20"/>
                <w:szCs w:val="20"/>
              </w:rPr>
              <w:t>40</w:t>
            </w:r>
            <w:r>
              <w:rPr>
                <w:rFonts w:hint="eastAsia" w:ascii="宋体" w:hAnsi="宋体" w:eastAsia="宋体" w:cs="Times New Roman"/>
                <w:sz w:val="20"/>
                <w:szCs w:val="20"/>
              </w:rPr>
              <w:t>%</w:t>
            </w:r>
          </w:p>
        </w:tc>
        <w:tc>
          <w:tcPr>
            <w:tcW w:w="1701" w:type="dxa"/>
            <w:shd w:val="clear" w:color="auto" w:fill="auto"/>
            <w:vAlign w:val="center"/>
          </w:tcPr>
          <w:p w14:paraId="7A5E58AD">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考试</w:t>
            </w:r>
          </w:p>
        </w:tc>
        <w:tc>
          <w:tcPr>
            <w:tcW w:w="1559" w:type="dxa"/>
            <w:shd w:val="clear" w:color="auto" w:fill="auto"/>
            <w:vAlign w:val="center"/>
          </w:tcPr>
          <w:p w14:paraId="3119DA5F">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50%</w:t>
            </w:r>
          </w:p>
        </w:tc>
        <w:tc>
          <w:tcPr>
            <w:tcW w:w="1417" w:type="dxa"/>
            <w:vMerge w:val="restart"/>
            <w:vAlign w:val="center"/>
          </w:tcPr>
          <w:p w14:paraId="03AFE335">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100%</w:t>
            </w:r>
          </w:p>
        </w:tc>
      </w:tr>
      <w:tr w14:paraId="44017A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43" w:type="dxa"/>
            <w:vMerge w:val="continue"/>
            <w:shd w:val="clear" w:color="auto" w:fill="auto"/>
            <w:vAlign w:val="center"/>
          </w:tcPr>
          <w:p w14:paraId="60CF0994">
            <w:pPr>
              <w:snapToGrid w:val="0"/>
              <w:spacing w:line="288" w:lineRule="auto"/>
              <w:ind w:firstLine="392" w:firstLineChars="196"/>
              <w:rPr>
                <w:rFonts w:hint="eastAsia" w:ascii="宋体" w:hAnsi="宋体" w:eastAsia="宋体" w:cs="Times New Roman"/>
                <w:sz w:val="20"/>
                <w:szCs w:val="20"/>
              </w:rPr>
            </w:pPr>
          </w:p>
        </w:tc>
        <w:tc>
          <w:tcPr>
            <w:tcW w:w="1134" w:type="dxa"/>
            <w:vMerge w:val="continue"/>
            <w:shd w:val="clear" w:color="auto" w:fill="auto"/>
            <w:vAlign w:val="center"/>
          </w:tcPr>
          <w:p w14:paraId="74A4DCF1">
            <w:pPr>
              <w:snapToGrid w:val="0"/>
              <w:spacing w:line="288" w:lineRule="auto"/>
              <w:ind w:firstLine="392" w:firstLineChars="196"/>
              <w:rPr>
                <w:rFonts w:hint="eastAsia" w:ascii="宋体" w:hAnsi="宋体" w:eastAsia="宋体" w:cs="Times New Roman"/>
                <w:sz w:val="20"/>
                <w:szCs w:val="20"/>
              </w:rPr>
            </w:pPr>
          </w:p>
        </w:tc>
        <w:tc>
          <w:tcPr>
            <w:tcW w:w="1701" w:type="dxa"/>
            <w:shd w:val="clear" w:color="auto" w:fill="auto"/>
            <w:vAlign w:val="center"/>
          </w:tcPr>
          <w:p w14:paraId="105D686E">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作业</w:t>
            </w:r>
          </w:p>
        </w:tc>
        <w:tc>
          <w:tcPr>
            <w:tcW w:w="1559" w:type="dxa"/>
            <w:shd w:val="clear" w:color="auto" w:fill="auto"/>
            <w:vAlign w:val="center"/>
          </w:tcPr>
          <w:p w14:paraId="63FE1E7D">
            <w:pPr>
              <w:snapToGrid w:val="0"/>
              <w:spacing w:line="288" w:lineRule="auto"/>
              <w:ind w:firstLine="392" w:firstLineChars="196"/>
              <w:rPr>
                <w:rFonts w:hint="eastAsia" w:ascii="宋体" w:hAnsi="宋体" w:eastAsia="宋体" w:cs="Times New Roman"/>
                <w:sz w:val="20"/>
                <w:szCs w:val="20"/>
              </w:rPr>
            </w:pPr>
            <w:r>
              <w:rPr>
                <w:rFonts w:hint="eastAsia" w:ascii="宋体" w:hAnsi="宋体" w:eastAsia="宋体" w:cs="Times New Roman"/>
                <w:sz w:val="20"/>
                <w:szCs w:val="20"/>
              </w:rPr>
              <w:t>50%</w:t>
            </w:r>
          </w:p>
        </w:tc>
        <w:tc>
          <w:tcPr>
            <w:tcW w:w="1417" w:type="dxa"/>
            <w:vMerge w:val="continue"/>
            <w:vAlign w:val="center"/>
          </w:tcPr>
          <w:p w14:paraId="74393B13">
            <w:pPr>
              <w:snapToGrid w:val="0"/>
              <w:spacing w:line="288" w:lineRule="auto"/>
              <w:ind w:firstLine="394" w:firstLineChars="196"/>
              <w:rPr>
                <w:rFonts w:ascii="Calibri" w:hAnsi="Calibri" w:eastAsia="宋体" w:cs="Times New Roman"/>
                <w:b/>
                <w:bCs/>
                <w:color w:val="000000"/>
                <w:sz w:val="20"/>
                <w:szCs w:val="20"/>
              </w:rPr>
            </w:pPr>
          </w:p>
        </w:tc>
      </w:tr>
      <w:tr w14:paraId="158E71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1843" w:type="dxa"/>
            <w:shd w:val="clear" w:color="auto" w:fill="auto"/>
            <w:vAlign w:val="center"/>
          </w:tcPr>
          <w:p w14:paraId="66035A95">
            <w:pPr>
              <w:snapToGrid w:val="0"/>
              <w:spacing w:line="288" w:lineRule="auto"/>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课程目标权重合计</w:t>
            </w:r>
          </w:p>
        </w:tc>
        <w:tc>
          <w:tcPr>
            <w:tcW w:w="1134" w:type="dxa"/>
            <w:shd w:val="clear" w:color="auto" w:fill="auto"/>
            <w:vAlign w:val="center"/>
          </w:tcPr>
          <w:p w14:paraId="128117E5">
            <w:pPr>
              <w:snapToGrid w:val="0"/>
              <w:spacing w:line="288" w:lineRule="auto"/>
              <w:ind w:firstLine="394" w:firstLineChars="196"/>
              <w:rPr>
                <w:rFonts w:ascii="Calibri" w:hAnsi="Calibri" w:eastAsia="宋体" w:cs="Times New Roman"/>
                <w:b/>
                <w:bCs/>
                <w:color w:val="000000"/>
                <w:sz w:val="20"/>
                <w:szCs w:val="20"/>
              </w:rPr>
            </w:pPr>
            <w:r>
              <w:rPr>
                <w:rFonts w:hint="eastAsia" w:ascii="Calibri" w:hAnsi="Calibri" w:eastAsia="宋体" w:cs="Times New Roman"/>
                <w:b/>
                <w:bCs/>
                <w:color w:val="000000"/>
                <w:sz w:val="20"/>
                <w:szCs w:val="20"/>
              </w:rPr>
              <w:t>100%</w:t>
            </w:r>
          </w:p>
        </w:tc>
        <w:tc>
          <w:tcPr>
            <w:tcW w:w="4677" w:type="dxa"/>
            <w:gridSpan w:val="3"/>
            <w:shd w:val="clear" w:color="auto" w:fill="auto"/>
            <w:vAlign w:val="center"/>
          </w:tcPr>
          <w:p w14:paraId="02487567">
            <w:pPr>
              <w:snapToGrid w:val="0"/>
              <w:spacing w:line="288" w:lineRule="auto"/>
              <w:ind w:firstLine="394" w:firstLineChars="196"/>
              <w:rPr>
                <w:rFonts w:ascii="Calibri" w:hAnsi="Calibri" w:eastAsia="宋体" w:cs="Times New Roman"/>
                <w:b/>
                <w:bCs/>
                <w:color w:val="000000"/>
                <w:sz w:val="20"/>
                <w:szCs w:val="20"/>
              </w:rPr>
            </w:pPr>
          </w:p>
        </w:tc>
      </w:tr>
    </w:tbl>
    <w:p w14:paraId="2AAB875C">
      <w:pPr>
        <w:snapToGrid w:val="0"/>
        <w:spacing w:line="288" w:lineRule="auto"/>
        <w:ind w:firstLine="394" w:firstLineChars="196"/>
        <w:rPr>
          <w:rFonts w:ascii="Calibri" w:hAnsi="Calibri" w:eastAsia="宋体" w:cs="Times New Roman"/>
          <w:b/>
          <w:bCs/>
          <w:color w:val="000000"/>
          <w:sz w:val="20"/>
          <w:szCs w:val="20"/>
        </w:rPr>
      </w:pPr>
    </w:p>
    <w:p w14:paraId="4AC54C38">
      <w:pPr>
        <w:snapToGrid w:val="0"/>
        <w:spacing w:line="288" w:lineRule="auto"/>
        <w:ind w:firstLine="394" w:firstLineChars="196"/>
        <w:rPr>
          <w:rFonts w:ascii="Calibri" w:hAnsi="Calibri" w:eastAsia="宋体" w:cs="Times New Roman"/>
          <w:b/>
          <w:bCs/>
          <w:color w:val="000000"/>
          <w:sz w:val="20"/>
          <w:szCs w:val="20"/>
        </w:rPr>
      </w:pPr>
    </w:p>
    <w:p w14:paraId="06D9CF01">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（四）课程目标达成度计算方法</w:t>
      </w:r>
    </w:p>
    <w:p w14:paraId="0F22FAF7">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所有课程目标均需大于等于</w:t>
      </w:r>
      <w:r>
        <w:rPr>
          <w:rFonts w:ascii="宋体" w:hAnsi="宋体" w:eastAsia="宋体" w:cs="Times New Roman"/>
          <w:color w:val="000000"/>
          <w:sz w:val="24"/>
          <w:szCs w:val="24"/>
        </w:rPr>
        <w:t>0.6，否则总评成绩不及格，需要补考或重修。每门课程目标总体达成度计算方法如下：</w:t>
      </w:r>
    </w:p>
    <w:p w14:paraId="58C2A157">
      <w:pPr>
        <w:snapToGrid w:val="0"/>
        <w:spacing w:line="360" w:lineRule="auto"/>
        <w:ind w:firstLine="472" w:firstLineChars="196"/>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object>
          <v:shape id="_x0000_i1035" o:spt="75" type="#_x0000_t75" style="height:27pt;width:381pt;" o:ole="t" filled="f" o:preferrelative="t" stroked="f" coordsize="21600,21600">
            <v:path/>
            <v:fill on="f" focussize="0,0"/>
            <v:stroke on="f" joinstyle="miter"/>
            <v:imagedata r:id="rId7" o:title=""/>
            <o:lock v:ext="edit" aspectratio="t"/>
            <w10:wrap type="none"/>
            <w10:anchorlock/>
          </v:shape>
          <o:OLEObject Type="Embed" ProgID="Equation.KSEE3" ShapeID="_x0000_i1035" DrawAspect="Content" ObjectID="_1468075735" r:id="rId18">
            <o:LockedField>false</o:LockedField>
          </o:OLEObject>
        </w:object>
      </w:r>
    </w:p>
    <w:p w14:paraId="381B4E5C">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七</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有关说明</w:t>
      </w:r>
    </w:p>
    <w:p w14:paraId="363843B8">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（一）持续改进</w:t>
      </w:r>
    </w:p>
    <w:p w14:paraId="5B52BC76">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本课程根据学生作业、课堂讨论、平时考核情况和学生、教学督导等</w:t>
      </w:r>
      <w:r>
        <w:rPr>
          <w:rFonts w:hint="eastAsia" w:ascii="宋体" w:hAnsi="宋体" w:eastAsia="宋体" w:cs="Times New Roman"/>
          <w:color w:val="000000"/>
          <w:sz w:val="24"/>
          <w:szCs w:val="24"/>
        </w:rPr>
        <w:t>的</w:t>
      </w:r>
      <w:r>
        <w:rPr>
          <w:rFonts w:ascii="宋体" w:hAnsi="宋体" w:eastAsia="宋体" w:cs="Times New Roman"/>
          <w:color w:val="000000"/>
          <w:sz w:val="24"/>
          <w:szCs w:val="24"/>
        </w:rPr>
        <w:t>反馈，及时对教学中</w:t>
      </w:r>
      <w:r>
        <w:rPr>
          <w:rFonts w:hint="eastAsia" w:ascii="宋体" w:hAnsi="宋体" w:eastAsia="宋体" w:cs="Times New Roman"/>
          <w:color w:val="000000"/>
          <w:sz w:val="24"/>
          <w:szCs w:val="24"/>
        </w:rPr>
        <w:t>的</w:t>
      </w:r>
      <w:r>
        <w:rPr>
          <w:rFonts w:ascii="宋体" w:hAnsi="宋体" w:eastAsia="宋体" w:cs="Times New Roman"/>
          <w:color w:val="000000"/>
          <w:sz w:val="24"/>
          <w:szCs w:val="24"/>
        </w:rPr>
        <w:t>不足之处进行改进，并在下一轮课程教学中</w:t>
      </w:r>
      <w:r>
        <w:rPr>
          <w:rFonts w:hint="eastAsia" w:ascii="宋体" w:hAnsi="宋体" w:eastAsia="宋体" w:cs="Times New Roman"/>
          <w:color w:val="000000"/>
          <w:sz w:val="24"/>
          <w:szCs w:val="24"/>
        </w:rPr>
        <w:t>整改完善</w:t>
      </w:r>
      <w:r>
        <w:rPr>
          <w:rFonts w:ascii="宋体" w:hAnsi="宋体" w:eastAsia="宋体" w:cs="Times New Roman"/>
          <w:color w:val="000000"/>
          <w:sz w:val="24"/>
          <w:szCs w:val="24"/>
        </w:rPr>
        <w:t>，确保相应毕业要求指标点达成。</w:t>
      </w:r>
    </w:p>
    <w:p w14:paraId="0A097C11">
      <w:pPr>
        <w:snapToGrid w:val="0"/>
        <w:spacing w:line="360" w:lineRule="auto"/>
        <w:ind w:firstLine="472" w:firstLineChars="196"/>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（二）</w:t>
      </w:r>
      <w:r>
        <w:rPr>
          <w:rFonts w:ascii="宋体" w:hAnsi="宋体" w:eastAsia="宋体" w:cs="Times New Roman"/>
          <w:b/>
          <w:bCs/>
          <w:color w:val="000000"/>
          <w:sz w:val="24"/>
          <w:szCs w:val="24"/>
        </w:rPr>
        <w:t>参考书目及学习资料</w:t>
      </w:r>
    </w:p>
    <w:p w14:paraId="0CEF1A03">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ascii="宋体" w:hAnsi="宋体" w:eastAsia="宋体" w:cs="Times New Roman"/>
          <w:color w:val="000000"/>
          <w:sz w:val="24"/>
          <w:szCs w:val="24"/>
        </w:rPr>
        <w:t>.</w:t>
      </w:r>
      <w:r>
        <w:rPr>
          <w:rFonts w:hint="eastAsia" w:ascii="宋体" w:hAnsi="宋体" w:eastAsia="宋体" w:cs="Times New Roman"/>
          <w:color w:val="000000"/>
          <w:sz w:val="24"/>
          <w:szCs w:val="24"/>
        </w:rPr>
        <w:t>教材</w:t>
      </w:r>
    </w:p>
    <w:p w14:paraId="4895E66E">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孙云晓，</w:t>
      </w:r>
      <w:r>
        <w:rPr>
          <w:rFonts w:ascii="宋体" w:hAnsi="宋体" w:eastAsia="宋体" w:cs="Times New Roman"/>
          <w:color w:val="000000"/>
          <w:sz w:val="24"/>
          <w:szCs w:val="24"/>
        </w:rPr>
        <w:t>家校合作共育：中国家庭教育的新趋势</w:t>
      </w:r>
      <w:r>
        <w:rPr>
          <w:rFonts w:hint="eastAsia" w:ascii="宋体" w:hAnsi="宋体" w:eastAsia="宋体" w:cs="Times New Roman"/>
          <w:color w:val="000000"/>
          <w:sz w:val="24"/>
          <w:szCs w:val="24"/>
        </w:rPr>
        <w:t>，北京：中国人民大学出版社，20</w:t>
      </w:r>
      <w:r>
        <w:rPr>
          <w:rFonts w:ascii="宋体" w:hAnsi="宋体" w:eastAsia="宋体" w:cs="Times New Roman"/>
          <w:color w:val="000000"/>
          <w:sz w:val="24"/>
          <w:szCs w:val="24"/>
        </w:rPr>
        <w:t>20</w:t>
      </w:r>
      <w:r>
        <w:rPr>
          <w:rFonts w:hint="eastAsia" w:ascii="宋体" w:hAnsi="宋体" w:eastAsia="宋体" w:cs="Times New Roman"/>
          <w:color w:val="000000"/>
          <w:sz w:val="24"/>
          <w:szCs w:val="24"/>
        </w:rPr>
        <w:t>.</w:t>
      </w:r>
      <w:r>
        <w:rPr>
          <w:rFonts w:ascii="宋体" w:hAnsi="宋体" w:eastAsia="宋体" w:cs="Times New Roman"/>
          <w:color w:val="000000"/>
          <w:sz w:val="24"/>
          <w:szCs w:val="24"/>
        </w:rPr>
        <w:t>10.</w:t>
      </w:r>
    </w:p>
    <w:p w14:paraId="5DEB9A41">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w:t>
      </w:r>
      <w:r>
        <w:rPr>
          <w:rFonts w:ascii="宋体" w:hAnsi="宋体" w:eastAsia="宋体" w:cs="Times New Roman"/>
          <w:color w:val="000000"/>
          <w:sz w:val="24"/>
          <w:szCs w:val="24"/>
        </w:rPr>
        <w:t>.</w:t>
      </w:r>
      <w:r>
        <w:rPr>
          <w:rFonts w:hint="eastAsia" w:ascii="宋体" w:hAnsi="宋体" w:eastAsia="宋体" w:cs="Times New Roman"/>
          <w:color w:val="000000"/>
          <w:sz w:val="24"/>
          <w:szCs w:val="24"/>
        </w:rPr>
        <w:t>教学参考书</w:t>
      </w:r>
    </w:p>
    <w:p w14:paraId="43ED4982">
      <w:pPr>
        <w:snapToGrid w:val="0"/>
        <w:spacing w:line="360" w:lineRule="auto"/>
        <w:ind w:firstLine="470" w:firstLineChars="196"/>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张竹林，教师家庭教育制导能力建设论，华东师范大学出版社，2</w:t>
      </w:r>
      <w:r>
        <w:rPr>
          <w:rFonts w:ascii="宋体" w:hAnsi="宋体" w:eastAsia="宋体" w:cs="Times New Roman"/>
          <w:color w:val="000000"/>
          <w:sz w:val="24"/>
          <w:szCs w:val="24"/>
        </w:rPr>
        <w:t>021.</w:t>
      </w:r>
    </w:p>
    <w:p w14:paraId="586BAEA6">
      <w:pPr>
        <w:snapToGrid w:val="0"/>
        <w:spacing w:line="360" w:lineRule="auto"/>
        <w:ind w:firstLine="470" w:firstLineChars="196"/>
        <w:rPr>
          <w:rFonts w:hint="eastAsia" w:ascii="宋体" w:hAnsi="宋体" w:eastAsia="宋体" w:cs="Times New Roman"/>
          <w:color w:val="000000"/>
          <w:sz w:val="24"/>
          <w:szCs w:val="24"/>
        </w:rPr>
      </w:pPr>
      <w:bookmarkStart w:id="305" w:name="_Hlk151829643"/>
      <w:r>
        <w:rPr>
          <w:rFonts w:hint="eastAsia" w:ascii="宋体" w:hAnsi="宋体" w:eastAsia="宋体" w:cs="Times New Roman"/>
          <w:color w:val="000000"/>
          <w:sz w:val="24"/>
          <w:szCs w:val="24"/>
        </w:rPr>
        <w:t>《中华人民共和国家庭教育促进法》2</w:t>
      </w:r>
      <w:r>
        <w:rPr>
          <w:rFonts w:ascii="宋体" w:hAnsi="宋体" w:eastAsia="宋体" w:cs="Times New Roman"/>
          <w:color w:val="000000"/>
          <w:sz w:val="24"/>
          <w:szCs w:val="24"/>
        </w:rPr>
        <w:t>022</w:t>
      </w:r>
      <w:r>
        <w:rPr>
          <w:rFonts w:hint="eastAsia" w:ascii="宋体" w:hAnsi="宋体" w:eastAsia="宋体" w:cs="Times New Roman"/>
          <w:color w:val="000000"/>
          <w:sz w:val="24"/>
          <w:szCs w:val="24"/>
        </w:rPr>
        <w:t>年1月起正式执行</w:t>
      </w:r>
    </w:p>
    <w:p w14:paraId="31641D32">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《中华人民共和国未成年人保护法》2021年6月1日</w:t>
      </w:r>
      <w:r>
        <w:rPr>
          <w:rFonts w:hint="eastAsia" w:ascii="宋体" w:hAnsi="宋体" w:eastAsia="宋体" w:cs="Times New Roman"/>
          <w:color w:val="000000"/>
          <w:sz w:val="24"/>
          <w:szCs w:val="24"/>
        </w:rPr>
        <w:t>施行</w:t>
      </w:r>
    </w:p>
    <w:p w14:paraId="67F58CAD">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吴重涵，王梅雾，张俊</w:t>
      </w:r>
      <w:r>
        <w:rPr>
          <w:rFonts w:hint="eastAsia" w:ascii="宋体" w:hAnsi="宋体" w:eastAsia="宋体" w:cs="Times New Roman"/>
          <w:color w:val="000000"/>
          <w:sz w:val="24"/>
          <w:szCs w:val="24"/>
        </w:rPr>
        <w:t>，</w:t>
      </w:r>
      <w:bookmarkEnd w:id="305"/>
      <w:r>
        <w:rPr>
          <w:rFonts w:hint="eastAsia" w:ascii="宋体" w:hAnsi="宋体" w:eastAsia="宋体" w:cs="Times New Roman"/>
          <w:color w:val="000000"/>
          <w:sz w:val="24"/>
          <w:szCs w:val="24"/>
        </w:rPr>
        <w:t>国际视野与本土行动：家校合作的经验和行动指南，</w:t>
      </w:r>
      <w:bookmarkStart w:id="306" w:name="_Hlk151829651"/>
      <w:r>
        <w:rPr>
          <w:rFonts w:hint="eastAsia" w:ascii="宋体" w:hAnsi="宋体" w:eastAsia="宋体" w:cs="Times New Roman"/>
          <w:color w:val="000000"/>
          <w:sz w:val="24"/>
          <w:szCs w:val="24"/>
        </w:rPr>
        <w:t>江西教育出版社，2</w:t>
      </w:r>
      <w:r>
        <w:rPr>
          <w:rFonts w:ascii="宋体" w:hAnsi="宋体" w:eastAsia="宋体" w:cs="Times New Roman"/>
          <w:color w:val="000000"/>
          <w:sz w:val="24"/>
          <w:szCs w:val="24"/>
        </w:rPr>
        <w:t>012</w:t>
      </w:r>
      <w:r>
        <w:rPr>
          <w:rFonts w:hint="eastAsia" w:ascii="宋体" w:hAnsi="宋体" w:eastAsia="宋体" w:cs="Times New Roman"/>
          <w:color w:val="000000"/>
          <w:sz w:val="24"/>
          <w:szCs w:val="24"/>
        </w:rPr>
        <w:t>。</w:t>
      </w:r>
      <w:bookmarkEnd w:id="306"/>
    </w:p>
    <w:p w14:paraId="649D2D3D">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吴重涵，王梅雾，张俊，</w:t>
      </w:r>
      <w:r>
        <w:rPr>
          <w:rFonts w:hint="eastAsia" w:ascii="宋体" w:hAnsi="宋体" w:eastAsia="宋体" w:cs="Times New Roman"/>
          <w:color w:val="000000"/>
          <w:sz w:val="24"/>
          <w:szCs w:val="24"/>
        </w:rPr>
        <w:t>家校合作：理论、经验与行动，江西教育出版社，2</w:t>
      </w:r>
      <w:r>
        <w:rPr>
          <w:rFonts w:ascii="宋体" w:hAnsi="宋体" w:eastAsia="宋体" w:cs="Times New Roman"/>
          <w:color w:val="000000"/>
          <w:sz w:val="24"/>
          <w:szCs w:val="24"/>
        </w:rPr>
        <w:t>013</w:t>
      </w:r>
      <w:r>
        <w:rPr>
          <w:rFonts w:hint="eastAsia" w:ascii="宋体" w:hAnsi="宋体" w:eastAsia="宋体" w:cs="Times New Roman"/>
          <w:color w:val="000000"/>
          <w:sz w:val="24"/>
          <w:szCs w:val="24"/>
        </w:rPr>
        <w:t>。</w:t>
      </w:r>
    </w:p>
    <w:p w14:paraId="732D6A1E">
      <w:pPr>
        <w:snapToGrid w:val="0"/>
        <w:spacing w:line="360" w:lineRule="auto"/>
        <w:ind w:firstLine="470" w:firstLineChars="196"/>
        <w:rPr>
          <w:rFonts w:hint="eastAsia" w:ascii="宋体" w:hAnsi="宋体" w:eastAsia="宋体" w:cs="Times New Roman"/>
          <w:color w:val="000000"/>
          <w:sz w:val="24"/>
          <w:szCs w:val="24"/>
        </w:rPr>
      </w:pPr>
      <w:r>
        <w:rPr>
          <w:rFonts w:ascii="宋体" w:hAnsi="宋体" w:eastAsia="宋体" w:cs="Times New Roman"/>
          <w:color w:val="000000"/>
          <w:sz w:val="24"/>
          <w:szCs w:val="24"/>
        </w:rPr>
        <w:t>Joyce L. Epstein; Mavis G. Sanders; Steven B. Sheldon</w:t>
      </w:r>
      <w:r>
        <w:rPr>
          <w:rFonts w:hint="eastAsia" w:ascii="宋体" w:hAnsi="宋体" w:eastAsia="宋体" w:cs="Times New Roman"/>
          <w:color w:val="000000"/>
          <w:sz w:val="24"/>
          <w:szCs w:val="24"/>
        </w:rPr>
        <w:t>，学校、家庭和社区合作伙伴：行动手册，江西教育出版社，2</w:t>
      </w:r>
      <w:r>
        <w:rPr>
          <w:rFonts w:ascii="宋体" w:hAnsi="宋体" w:eastAsia="宋体" w:cs="Times New Roman"/>
          <w:color w:val="000000"/>
          <w:sz w:val="24"/>
          <w:szCs w:val="24"/>
        </w:rPr>
        <w:t>012</w:t>
      </w:r>
      <w:r>
        <w:rPr>
          <w:rFonts w:hint="eastAsia" w:ascii="宋体" w:hAnsi="宋体" w:eastAsia="宋体" w:cs="Times New Roman"/>
          <w:color w:val="000000"/>
          <w:sz w:val="24"/>
          <w:szCs w:val="24"/>
        </w:rPr>
        <w:t>。</w:t>
      </w:r>
    </w:p>
    <w:p w14:paraId="41F08D24">
      <w:pPr>
        <w:snapToGrid w:val="0"/>
        <w:spacing w:line="288" w:lineRule="auto"/>
        <w:rPr>
          <w:rFonts w:hint="eastAsia" w:ascii="宋体" w:hAnsi="宋体" w:eastAsia="宋体" w:cs="Times New Roman"/>
          <w:b/>
          <w:bCs/>
          <w:color w:val="000000"/>
          <w:sz w:val="24"/>
          <w:szCs w:val="24"/>
        </w:rPr>
      </w:pPr>
    </w:p>
    <w:p w14:paraId="6DA549D7">
      <w:pPr>
        <w:snapToGrid w:val="0"/>
        <w:spacing w:line="288" w:lineRule="auto"/>
        <w:ind w:firstLine="5040" w:firstLineChars="2100"/>
        <w:rPr>
          <w:rFonts w:hint="eastAsia" w:ascii="宋体" w:hAnsi="宋体" w:eastAsia="宋体" w:cs="Times New Roman"/>
          <w:color w:val="000000"/>
          <w:sz w:val="24"/>
          <w:szCs w:val="24"/>
        </w:rPr>
      </w:pPr>
      <w:r>
        <w:rPr>
          <w:rFonts w:ascii="宋体" w:hAnsi="宋体" w:eastAsia="宋体" w:cs="Times New Roman"/>
          <w:color w:val="000000"/>
          <w:sz w:val="24"/>
          <w:szCs w:val="24"/>
        </w:rPr>
        <w:t>执笔人：</w:t>
      </w:r>
      <w:r>
        <w:rPr>
          <w:rFonts w:hint="eastAsia" w:ascii="宋体" w:hAnsi="宋体" w:eastAsia="宋体" w:cs="Times New Roman"/>
          <w:color w:val="000000"/>
          <w:sz w:val="24"/>
          <w:szCs w:val="24"/>
        </w:rPr>
        <w:t>张文娟</w:t>
      </w:r>
    </w:p>
    <w:p w14:paraId="458DC3CD">
      <w:pPr>
        <w:snapToGrid w:val="0"/>
        <w:spacing w:line="288" w:lineRule="auto"/>
        <w:ind w:firstLine="5040" w:firstLineChars="21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审定人：王  健</w:t>
      </w:r>
      <w:r>
        <w:rPr>
          <w:rFonts w:ascii="宋体" w:hAnsi="宋体" w:eastAsia="宋体" w:cs="Times New Roman"/>
          <w:color w:val="000000"/>
          <w:sz w:val="24"/>
          <w:szCs w:val="24"/>
        </w:rPr>
        <w:t xml:space="preserve"> </w:t>
      </w:r>
    </w:p>
    <w:p w14:paraId="11A0429F">
      <w:pPr>
        <w:snapToGrid w:val="0"/>
        <w:spacing w:line="288" w:lineRule="auto"/>
        <w:ind w:firstLine="5040" w:firstLineChars="21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审批</w:t>
      </w:r>
      <w:r>
        <w:rPr>
          <w:rFonts w:ascii="宋体" w:hAnsi="宋体" w:eastAsia="宋体" w:cs="Times New Roman"/>
          <w:color w:val="000000"/>
          <w:sz w:val="24"/>
          <w:szCs w:val="24"/>
        </w:rPr>
        <w:t>人：</w:t>
      </w:r>
      <w:r>
        <w:rPr>
          <w:rFonts w:hint="eastAsia" w:ascii="宋体" w:hAnsi="宋体" w:eastAsia="宋体" w:cs="Times New Roman"/>
          <w:color w:val="000000"/>
          <w:sz w:val="24"/>
          <w:szCs w:val="24"/>
        </w:rPr>
        <w:t>崔  涛</w:t>
      </w:r>
    </w:p>
    <w:p w14:paraId="484C2796">
      <w:pPr>
        <w:snapToGrid w:val="0"/>
        <w:spacing w:line="288" w:lineRule="auto"/>
        <w:ind w:firstLine="5040" w:firstLineChars="21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批准时间：2022年8月30日</w:t>
      </w:r>
    </w:p>
    <w:p w14:paraId="4026AC8F">
      <w:pPr>
        <w:rPr>
          <w:rFonts w:hint="eastAsia" w:ascii="宋体" w:hAnsi="宋体" w:eastAsia="宋体" w:cs="宋体"/>
          <w:b/>
          <w:sz w:val="30"/>
          <w:szCs w:val="30"/>
        </w:rPr>
      </w:pPr>
    </w:p>
    <w:p w14:paraId="70BD70FB">
      <w:pPr>
        <w:rPr>
          <w:rFonts w:hint="eastAsia" w:ascii="宋体" w:hAnsi="宋体" w:eastAsia="宋体" w:cs="宋体"/>
          <w:b/>
          <w:sz w:val="30"/>
          <w:szCs w:val="30"/>
        </w:rPr>
      </w:pPr>
    </w:p>
    <w:p w14:paraId="4C6F42D0">
      <w:pPr>
        <w:rPr>
          <w:rFonts w:hint="eastAsia" w:ascii="宋体" w:hAnsi="宋体" w:eastAsia="宋体" w:cs="宋体"/>
          <w:b/>
          <w:sz w:val="30"/>
          <w:szCs w:val="30"/>
        </w:rPr>
      </w:pPr>
    </w:p>
    <w:p w14:paraId="69C5B809">
      <w:pPr>
        <w:rPr>
          <w:rFonts w:hint="eastAsia" w:ascii="宋体" w:hAnsi="宋体" w:eastAsia="宋体" w:cs="宋体"/>
          <w:b/>
          <w:sz w:val="30"/>
          <w:szCs w:val="30"/>
        </w:rPr>
      </w:pPr>
    </w:p>
    <w:p w14:paraId="30326F71">
      <w:pPr>
        <w:rPr>
          <w:rFonts w:ascii="宋体" w:hAnsi="宋体" w:eastAsia="宋体" w:cs="宋体"/>
          <w:b/>
          <w:sz w:val="30"/>
          <w:szCs w:val="30"/>
        </w:rPr>
      </w:pPr>
    </w:p>
    <w:p w14:paraId="76CF7051">
      <w:pPr>
        <w:rPr>
          <w:rFonts w:ascii="宋体" w:hAnsi="宋体" w:eastAsia="宋体" w:cs="宋体"/>
          <w:b/>
          <w:sz w:val="30"/>
          <w:szCs w:val="30"/>
        </w:rPr>
      </w:pPr>
      <w:r>
        <w:rPr>
          <w:rFonts w:hint="eastAsia" w:ascii="宋体" w:hAnsi="宋体" w:eastAsia="宋体" w:cs="宋体"/>
          <w:b/>
          <w:sz w:val="30"/>
          <w:szCs w:val="30"/>
        </w:rPr>
        <w:br w:type="page"/>
      </w:r>
    </w:p>
    <w:bookmarkEnd w:id="300"/>
    <w:bookmarkEnd w:id="301"/>
    <w:p w14:paraId="129E49C3">
      <w:pPr>
        <w:pStyle w:val="2"/>
        <w:jc w:val="center"/>
        <w:rPr>
          <w:b/>
          <w:bCs/>
          <w:sz w:val="40"/>
          <w:szCs w:val="52"/>
          <w:lang w:eastAsia="zh-CN"/>
        </w:rPr>
      </w:pPr>
      <w:bookmarkStart w:id="307" w:name="steam课程设计教学大纲"/>
      <w:r>
        <w:rPr>
          <w:rFonts w:hint="eastAsia"/>
          <w:b/>
          <w:bCs/>
          <w:sz w:val="40"/>
          <w:szCs w:val="52"/>
          <w:lang w:eastAsia="zh-CN"/>
        </w:rPr>
        <w:t>STEAM课程设计教学大纲</w:t>
      </w:r>
    </w:p>
    <w:p w14:paraId="5DC1FDB0">
      <w:pPr>
        <w:pStyle w:val="9"/>
        <w:jc w:val="center"/>
        <w:rPr>
          <w:sz w:val="22"/>
          <w:szCs w:val="22"/>
          <w:lang w:eastAsia="zh-CN"/>
        </w:rPr>
      </w:pPr>
      <w:r>
        <w:rPr>
          <w:b/>
          <w:bCs/>
          <w:sz w:val="28"/>
          <w:szCs w:val="22"/>
        </w:rPr>
        <w:t>（</w:t>
      </w:r>
      <w:r>
        <w:rPr>
          <w:b/>
          <w:bCs/>
          <w:sz w:val="28"/>
          <w:szCs w:val="28"/>
        </w:rPr>
        <w:t>STEAM Course Design</w:t>
      </w:r>
      <w:r>
        <w:rPr>
          <w:b/>
          <w:bCs/>
          <w:sz w:val="28"/>
          <w:szCs w:val="22"/>
        </w:rPr>
        <w:t>）</w:t>
      </w:r>
    </w:p>
    <w:p w14:paraId="1985D852">
      <w:pPr>
        <w:pStyle w:val="271"/>
      </w:pPr>
      <w:bookmarkStart w:id="308" w:name="一课程概况"/>
      <w:r>
        <w:rPr>
          <w:rFonts w:hint="eastAsia"/>
        </w:rPr>
        <w:t>一、课程概况</w:t>
      </w:r>
    </w:p>
    <w:p w14:paraId="18F7CC86">
      <w:pPr>
        <w:ind w:firstLine="422" w:firstLineChars="200"/>
        <w:rPr>
          <w:lang w:eastAsia="zh-CN"/>
        </w:rPr>
      </w:pPr>
      <w:r>
        <w:rPr>
          <w:rFonts w:hint="eastAsia"/>
          <w:b/>
          <w:bCs/>
          <w:lang w:eastAsia="zh-CN"/>
        </w:rPr>
        <w:t>课程代码：</w:t>
      </w:r>
      <w:r>
        <w:rPr>
          <w:szCs w:val="21"/>
        </w:rPr>
        <w:t>2401045</w:t>
      </w:r>
    </w:p>
    <w:p w14:paraId="3DF9B7EC">
      <w:pPr>
        <w:ind w:firstLine="422" w:firstLineChars="200"/>
        <w:rPr>
          <w:lang w:eastAsia="zh-CN"/>
        </w:rPr>
      </w:pPr>
      <w:r>
        <w:rPr>
          <w:rFonts w:hint="eastAsia"/>
          <w:b/>
          <w:bCs/>
          <w:lang w:eastAsia="zh-CN"/>
        </w:rPr>
        <w:t>学分：</w:t>
      </w:r>
      <w:r>
        <w:rPr>
          <w:rFonts w:hint="eastAsia"/>
          <w:lang w:eastAsia="zh-CN"/>
        </w:rPr>
        <w:t>2</w:t>
      </w:r>
    </w:p>
    <w:p w14:paraId="219141FA">
      <w:pPr>
        <w:ind w:firstLine="422" w:firstLineChars="200"/>
        <w:rPr>
          <w:lang w:eastAsia="zh-CN"/>
        </w:rPr>
      </w:pPr>
      <w:r>
        <w:rPr>
          <w:rFonts w:hint="eastAsia"/>
          <w:b/>
          <w:bCs/>
          <w:lang w:eastAsia="zh-CN"/>
        </w:rPr>
        <w:t>学时：</w:t>
      </w:r>
      <w:r>
        <w:rPr>
          <w:rFonts w:hint="eastAsia"/>
          <w:lang w:eastAsia="zh-CN"/>
        </w:rPr>
        <w:t>32（其中：讲授学时16，课内实践学时16）</w:t>
      </w:r>
    </w:p>
    <w:p w14:paraId="5EB8211A">
      <w:pPr>
        <w:ind w:firstLine="422" w:firstLineChars="200"/>
        <w:rPr>
          <w:lang w:eastAsia="zh-CN"/>
        </w:rPr>
      </w:pPr>
      <w:r>
        <w:rPr>
          <w:rFonts w:hint="eastAsia"/>
          <w:b/>
          <w:bCs/>
          <w:lang w:eastAsia="zh-CN"/>
        </w:rPr>
        <w:t>先修课程：</w:t>
      </w:r>
      <w:r>
        <w:rPr>
          <w:rFonts w:hint="eastAsia"/>
          <w:lang w:eastAsia="zh-CN"/>
        </w:rPr>
        <w:t>《科学概论》、《科学实验指导》</w:t>
      </w:r>
    </w:p>
    <w:p w14:paraId="69FA790C">
      <w:pPr>
        <w:ind w:firstLine="422" w:firstLineChars="200"/>
        <w:rPr>
          <w:lang w:eastAsia="zh-CN"/>
        </w:rPr>
      </w:pPr>
      <w:r>
        <w:rPr>
          <w:rFonts w:hint="eastAsia"/>
          <w:b/>
          <w:bCs/>
          <w:lang w:eastAsia="zh-CN"/>
        </w:rPr>
        <w:t>适用专业：</w:t>
      </w:r>
      <w:r>
        <w:rPr>
          <w:rFonts w:hint="eastAsia"/>
          <w:lang w:eastAsia="zh-CN"/>
        </w:rPr>
        <w:t>小学教育（理）、小学教育（文）</w:t>
      </w:r>
    </w:p>
    <w:p w14:paraId="0FAB1BD8">
      <w:pPr>
        <w:ind w:firstLine="422" w:firstLineChars="200"/>
        <w:rPr>
          <w:sz w:val="22"/>
          <w:szCs w:val="22"/>
          <w:lang w:eastAsia="zh-CN"/>
        </w:rPr>
      </w:pPr>
      <w:r>
        <w:rPr>
          <w:rFonts w:hint="eastAsia"/>
          <w:b/>
          <w:bCs/>
          <w:lang w:eastAsia="zh-CN"/>
        </w:rPr>
        <w:t>建议教材：</w:t>
      </w:r>
      <w:r>
        <w:rPr>
          <w:rFonts w:hint="eastAsia"/>
          <w:sz w:val="22"/>
          <w:szCs w:val="22"/>
          <w:lang w:eastAsia="zh-CN"/>
        </w:rPr>
        <w:t>《</w:t>
      </w:r>
      <w:r>
        <w:rPr>
          <w:sz w:val="22"/>
          <w:szCs w:val="22"/>
          <w:lang w:eastAsia="zh-CN"/>
        </w:rPr>
        <w:t>STEAM课程的设计与实施</w:t>
      </w:r>
      <w:r>
        <w:rPr>
          <w:rFonts w:hint="eastAsia"/>
          <w:sz w:val="22"/>
          <w:szCs w:val="22"/>
          <w:lang w:eastAsia="zh-CN"/>
        </w:rPr>
        <w:t>》，印霞主编，华东师范大学出版社，2021</w:t>
      </w:r>
    </w:p>
    <w:p w14:paraId="2043844E">
      <w:pPr>
        <w:ind w:firstLine="422" w:firstLineChars="200"/>
        <w:rPr>
          <w:lang w:eastAsia="zh-CN"/>
        </w:rPr>
      </w:pPr>
      <w:r>
        <w:rPr>
          <w:rFonts w:hint="eastAsia"/>
          <w:b/>
          <w:bCs/>
          <w:lang w:eastAsia="zh-CN"/>
        </w:rPr>
        <w:t>课程归口：</w:t>
      </w:r>
      <w:r>
        <w:rPr>
          <w:rFonts w:hint="eastAsia"/>
          <w:lang w:eastAsia="zh-CN"/>
        </w:rPr>
        <w:t>师范学院</w:t>
      </w:r>
    </w:p>
    <w:p w14:paraId="1166FC43">
      <w:pPr>
        <w:rPr>
          <w:lang w:eastAsia="zh-CN"/>
        </w:rPr>
      </w:pPr>
      <w:r>
        <w:rPr>
          <w:rFonts w:hint="eastAsia"/>
          <w:b/>
          <w:bCs/>
          <w:lang w:eastAsia="zh-CN"/>
        </w:rPr>
        <w:t>课程性质与任务：</w:t>
      </w:r>
      <w:r>
        <w:rPr>
          <w:rFonts w:hint="eastAsia"/>
          <w:lang w:eastAsia="zh-CN"/>
        </w:rPr>
        <w:t>本课程是小学教育（理）、小学教育（文）专业的专业选修课程。通过本课程的学习，使学生掌握STEAM教育的基本理念和方法，能够设计和实施STEAM课程，培养学生跨学科整合能力和创新思维，提高STEAM教育实践能力。</w:t>
      </w:r>
    </w:p>
    <w:bookmarkEnd w:id="308"/>
    <w:p w14:paraId="5435A4A2">
      <w:pPr>
        <w:pStyle w:val="271"/>
      </w:pPr>
      <w:bookmarkStart w:id="309" w:name="二课程目标"/>
      <w:r>
        <w:rPr>
          <w:rFonts w:hint="eastAsia"/>
        </w:rPr>
        <w:t>二、课程目标</w:t>
      </w:r>
    </w:p>
    <w:p w14:paraId="3090CF0B">
      <w:pPr>
        <w:pStyle w:val="271"/>
      </w:pPr>
      <w:r>
        <w:rPr>
          <w:rFonts w:hint="eastAsia" w:cs="Times New Roman"/>
          <w:sz w:val="24"/>
          <w:szCs w:val="28"/>
        </w:rPr>
        <w:t>（一）课程具体目标</w:t>
      </w:r>
    </w:p>
    <w:p w14:paraId="542FB731">
      <w:pPr>
        <w:pStyle w:val="272"/>
        <w:spacing w:before="0" w:after="0"/>
        <w:rPr>
          <w:lang w:eastAsia="zh-CN"/>
        </w:rPr>
      </w:pPr>
      <w:r>
        <w:rPr>
          <w:rFonts w:hint="eastAsia"/>
          <w:lang w:eastAsia="zh-CN"/>
        </w:rPr>
        <w:t>目标1：</w:t>
      </w:r>
      <w:r>
        <w:rPr>
          <w:lang w:eastAsia="zh-CN"/>
        </w:rPr>
        <w:t>掌握STEAM教育及艺术的基本理论和知识，能够运用其指导教学实践。</w:t>
      </w:r>
    </w:p>
    <w:p w14:paraId="77C20BCB">
      <w:pPr>
        <w:pStyle w:val="9"/>
        <w:spacing w:before="0" w:after="0"/>
        <w:rPr>
          <w:lang w:eastAsia="zh-CN"/>
        </w:rPr>
      </w:pPr>
      <w:r>
        <w:rPr>
          <w:rFonts w:hint="eastAsia"/>
          <w:lang w:eastAsia="zh-CN"/>
        </w:rPr>
        <w:t>目标2：</w:t>
      </w:r>
      <w:r>
        <w:rPr>
          <w:lang w:eastAsia="zh-CN"/>
        </w:rPr>
        <w:t>理解STEAM与其他学科及生活实践的联系，具备设计和实施跨学科STEAM课程的能力。</w:t>
      </w:r>
    </w:p>
    <w:p w14:paraId="5122C6F5">
      <w:pPr>
        <w:pStyle w:val="9"/>
        <w:spacing w:before="0" w:after="0"/>
        <w:rPr>
          <w:lang w:eastAsia="zh-CN"/>
        </w:rPr>
      </w:pPr>
      <w:r>
        <w:rPr>
          <w:rFonts w:hint="eastAsia"/>
          <w:lang w:eastAsia="zh-CN"/>
        </w:rPr>
        <w:t>目标3：</w:t>
      </w:r>
      <w:r>
        <w:rPr>
          <w:lang w:eastAsia="zh-CN"/>
        </w:rPr>
        <w:t>掌握STEAM课程设计与教学方法，能够独立完成教学设计和课程实施。</w:t>
      </w:r>
    </w:p>
    <w:p w14:paraId="60AB47CF">
      <w:pPr>
        <w:pStyle w:val="9"/>
        <w:spacing w:before="0" w:after="0"/>
        <w:rPr>
          <w:rFonts w:hint="eastAsia"/>
          <w:lang w:eastAsia="zh-CN"/>
        </w:rPr>
      </w:pPr>
      <w:r>
        <w:rPr>
          <w:lang w:eastAsia="zh-CN"/>
        </w:rPr>
        <w:t>目标4：培养学生的创新思维和人文情怀，理解STEAM教育的育人价值，能够在教学中融合思想政治教育、艺术教育和科学素养。</w:t>
      </w:r>
      <w:r>
        <w:rPr>
          <w:lang w:eastAsia="zh-CN"/>
        </w:rPr>
        <w:br w:type="textWrapping"/>
      </w:r>
      <w:r>
        <w:rPr>
          <w:lang w:eastAsia="zh-CN"/>
        </w:rPr>
        <w:t>目标5：了解课外活动组织和管理知识，能够设计和组织STEAM主题教育活动，促进学生全面、健康发展。</w:t>
      </w:r>
    </w:p>
    <w:p w14:paraId="4B6701A3">
      <w:pPr>
        <w:rPr>
          <w:rFonts w:hint="eastAsia" w:ascii="宋体" w:hAnsi="宋体" w:cs="Times New Roman"/>
          <w:b/>
          <w:color w:val="000000"/>
          <w:szCs w:val="28"/>
          <w:lang w:eastAsia="zh-CN"/>
        </w:rPr>
      </w:pPr>
      <w:r>
        <w:rPr>
          <w:rFonts w:hint="eastAsia" w:ascii="宋体" w:hAnsi="宋体" w:cs="Times New Roman"/>
          <w:b/>
          <w:color w:val="000000"/>
          <w:szCs w:val="28"/>
          <w:lang w:eastAsia="zh-CN"/>
        </w:rPr>
        <w:t>（二）课程目标与专业毕业要求的关系</w:t>
      </w:r>
    </w:p>
    <w:p w14:paraId="1AA29F2C">
      <w:pPr>
        <w:pStyle w:val="9"/>
        <w:rPr>
          <w:lang w:eastAsia="zh-CN"/>
        </w:rPr>
      </w:pPr>
      <w:r>
        <w:rPr>
          <w:rFonts w:hint="eastAsia"/>
          <w:lang w:eastAsia="zh-CN"/>
        </w:rPr>
        <w:t>本课程支撑专业培养计划中的毕业要求对应关系如下：</w:t>
      </w:r>
    </w:p>
    <w:tbl>
      <w:tblPr>
        <w:tblStyle w:val="2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323"/>
        <w:gridCol w:w="4860"/>
      </w:tblGrid>
      <w:tr w14:paraId="60DE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84" w:type="dxa"/>
            <w:tcBorders>
              <w:bottom w:val="nil"/>
            </w:tcBorders>
            <w:vAlign w:val="bottom"/>
          </w:tcPr>
          <w:p w14:paraId="2F13CBE8">
            <w:pPr>
              <w:pStyle w:val="273"/>
              <w:spacing w:line="240" w:lineRule="auto"/>
              <w:rPr>
                <w:b/>
                <w:bCs/>
                <w:sz w:val="21"/>
                <w:szCs w:val="21"/>
              </w:rPr>
            </w:pPr>
            <w:r>
              <w:rPr>
                <w:rFonts w:hint="eastAsia"/>
                <w:b/>
                <w:bCs/>
                <w:sz w:val="21"/>
                <w:szCs w:val="21"/>
              </w:rPr>
              <w:t>课程目标</w:t>
            </w:r>
          </w:p>
        </w:tc>
        <w:tc>
          <w:tcPr>
            <w:tcW w:w="2410" w:type="dxa"/>
            <w:tcBorders>
              <w:bottom w:val="nil"/>
            </w:tcBorders>
            <w:vAlign w:val="bottom"/>
          </w:tcPr>
          <w:p w14:paraId="290D76C0">
            <w:pPr>
              <w:pStyle w:val="273"/>
              <w:spacing w:line="240" w:lineRule="auto"/>
              <w:rPr>
                <w:b/>
                <w:bCs/>
                <w:sz w:val="21"/>
                <w:szCs w:val="21"/>
              </w:rPr>
            </w:pPr>
            <w:r>
              <w:rPr>
                <w:rFonts w:hint="eastAsia"/>
                <w:b/>
                <w:bCs/>
                <w:sz w:val="21"/>
                <w:szCs w:val="21"/>
              </w:rPr>
              <w:t>支撑的毕业要求</w:t>
            </w:r>
          </w:p>
        </w:tc>
        <w:tc>
          <w:tcPr>
            <w:tcW w:w="5062" w:type="dxa"/>
            <w:tcBorders>
              <w:bottom w:val="nil"/>
            </w:tcBorders>
            <w:vAlign w:val="bottom"/>
          </w:tcPr>
          <w:p w14:paraId="69BC159C">
            <w:pPr>
              <w:pStyle w:val="273"/>
              <w:spacing w:line="240" w:lineRule="auto"/>
              <w:rPr>
                <w:b/>
                <w:bCs/>
                <w:sz w:val="21"/>
                <w:szCs w:val="21"/>
                <w:lang w:eastAsia="zh-CN"/>
              </w:rPr>
            </w:pPr>
            <w:r>
              <w:rPr>
                <w:rFonts w:hint="eastAsia"/>
                <w:b/>
                <w:bCs/>
                <w:sz w:val="21"/>
                <w:szCs w:val="21"/>
                <w:lang w:eastAsia="zh-CN"/>
              </w:rPr>
              <w:t>支撑的毕业要求指标点</w:t>
            </w:r>
          </w:p>
        </w:tc>
      </w:tr>
      <w:tr w14:paraId="7059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4043E381">
            <w:pPr>
              <w:pStyle w:val="273"/>
              <w:spacing w:line="240" w:lineRule="auto"/>
              <w:rPr>
                <w:sz w:val="21"/>
                <w:szCs w:val="21"/>
              </w:rPr>
            </w:pPr>
            <w:r>
              <w:rPr>
                <w:rFonts w:hint="eastAsia"/>
                <w:sz w:val="21"/>
                <w:szCs w:val="21"/>
              </w:rPr>
              <w:t>课程目标1</w:t>
            </w:r>
          </w:p>
        </w:tc>
        <w:tc>
          <w:tcPr>
            <w:tcW w:w="2410" w:type="dxa"/>
          </w:tcPr>
          <w:p w14:paraId="0C5E1D42">
            <w:pPr>
              <w:pStyle w:val="273"/>
              <w:spacing w:line="240" w:lineRule="auto"/>
              <w:rPr>
                <w:sz w:val="21"/>
                <w:szCs w:val="21"/>
              </w:rPr>
            </w:pPr>
            <w:r>
              <w:rPr>
                <w:rFonts w:hint="eastAsia"/>
                <w:sz w:val="21"/>
                <w:szCs w:val="21"/>
              </w:rPr>
              <w:t>毕业要求3：学科素养</w:t>
            </w:r>
          </w:p>
        </w:tc>
        <w:tc>
          <w:tcPr>
            <w:tcW w:w="5062" w:type="dxa"/>
            <w:vAlign w:val="center"/>
          </w:tcPr>
          <w:p w14:paraId="4C15E35E">
            <w:pPr>
              <w:pStyle w:val="273"/>
              <w:spacing w:line="240" w:lineRule="auto"/>
              <w:rPr>
                <w:sz w:val="21"/>
                <w:szCs w:val="21"/>
                <w:lang w:eastAsia="zh-CN"/>
              </w:rPr>
            </w:pPr>
            <w:r>
              <w:rPr>
                <w:sz w:val="21"/>
                <w:szCs w:val="21"/>
                <w:lang w:eastAsia="zh-CN"/>
              </w:rPr>
              <w:t>指标点3-3：</w:t>
            </w:r>
            <w:r>
              <w:rPr>
                <w:rFonts w:hint="eastAsia"/>
                <w:sz w:val="21"/>
                <w:szCs w:val="21"/>
                <w:lang w:eastAsia="zh-CN"/>
              </w:rPr>
              <w:t>【熟悉兼教学科】熟悉兼教学科的知识体系，掌握兼教学科的基本知识、原理和技能。</w:t>
            </w:r>
          </w:p>
        </w:tc>
      </w:tr>
      <w:tr w14:paraId="0563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03C1F487">
            <w:pPr>
              <w:pStyle w:val="273"/>
              <w:spacing w:line="240" w:lineRule="auto"/>
              <w:rPr>
                <w:sz w:val="21"/>
                <w:szCs w:val="21"/>
              </w:rPr>
            </w:pPr>
            <w:r>
              <w:rPr>
                <w:rFonts w:hint="eastAsia"/>
                <w:sz w:val="21"/>
                <w:szCs w:val="21"/>
              </w:rPr>
              <w:t>课程目标2</w:t>
            </w:r>
          </w:p>
        </w:tc>
        <w:tc>
          <w:tcPr>
            <w:tcW w:w="2410" w:type="dxa"/>
          </w:tcPr>
          <w:p w14:paraId="364270B1">
            <w:pPr>
              <w:pStyle w:val="273"/>
              <w:spacing w:line="240" w:lineRule="auto"/>
              <w:rPr>
                <w:sz w:val="21"/>
                <w:szCs w:val="21"/>
              </w:rPr>
            </w:pPr>
            <w:r>
              <w:rPr>
                <w:rFonts w:hint="eastAsia"/>
                <w:sz w:val="21"/>
                <w:szCs w:val="21"/>
              </w:rPr>
              <w:t>毕业要求3：学科素养</w:t>
            </w:r>
          </w:p>
        </w:tc>
        <w:tc>
          <w:tcPr>
            <w:tcW w:w="5062" w:type="dxa"/>
            <w:vAlign w:val="center"/>
          </w:tcPr>
          <w:p w14:paraId="7DB6C55A">
            <w:pPr>
              <w:pStyle w:val="273"/>
              <w:spacing w:line="240" w:lineRule="auto"/>
              <w:rPr>
                <w:sz w:val="21"/>
                <w:szCs w:val="21"/>
                <w:lang w:eastAsia="zh-CN"/>
              </w:rPr>
            </w:pPr>
            <w:r>
              <w:rPr>
                <w:sz w:val="21"/>
                <w:szCs w:val="21"/>
                <w:lang w:eastAsia="zh-CN"/>
              </w:rPr>
              <w:t>指标点3-4：</w:t>
            </w:r>
            <w:r>
              <w:rPr>
                <w:rFonts w:hint="eastAsia"/>
                <w:sz w:val="21"/>
                <w:szCs w:val="21"/>
                <w:lang w:eastAsia="zh-CN"/>
              </w:rPr>
              <w:t>【注重知识整合】了解所教学科与其他学科及与社会实践、小学生生活实践之间的联系，了解学科整合的在小学教育中的价值，具有跨学科解决问题的意识和能力，能指导综合性学科教学活动。</w:t>
            </w:r>
          </w:p>
        </w:tc>
      </w:tr>
      <w:tr w14:paraId="7862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7FA275FA">
            <w:pPr>
              <w:pStyle w:val="273"/>
              <w:spacing w:line="240" w:lineRule="auto"/>
              <w:rPr>
                <w:sz w:val="21"/>
                <w:szCs w:val="21"/>
              </w:rPr>
            </w:pPr>
            <w:r>
              <w:rPr>
                <w:rFonts w:hint="eastAsia"/>
                <w:sz w:val="21"/>
                <w:szCs w:val="21"/>
              </w:rPr>
              <w:t>课程目标3</w:t>
            </w:r>
          </w:p>
        </w:tc>
        <w:tc>
          <w:tcPr>
            <w:tcW w:w="2410" w:type="dxa"/>
          </w:tcPr>
          <w:p w14:paraId="1CC0341C">
            <w:pPr>
              <w:pStyle w:val="273"/>
              <w:spacing w:line="240" w:lineRule="auto"/>
              <w:rPr>
                <w:sz w:val="21"/>
                <w:szCs w:val="21"/>
              </w:rPr>
            </w:pPr>
            <w:r>
              <w:rPr>
                <w:rFonts w:hint="eastAsia"/>
                <w:sz w:val="21"/>
                <w:szCs w:val="21"/>
              </w:rPr>
              <w:t>毕业要求</w:t>
            </w:r>
            <w:r>
              <w:rPr>
                <w:rFonts w:hint="eastAsia"/>
                <w:sz w:val="21"/>
                <w:szCs w:val="21"/>
                <w:lang w:eastAsia="zh-CN"/>
              </w:rPr>
              <w:t>4</w:t>
            </w:r>
            <w:r>
              <w:rPr>
                <w:rFonts w:hint="eastAsia"/>
                <w:sz w:val="21"/>
                <w:szCs w:val="21"/>
              </w:rPr>
              <w:t>：</w:t>
            </w:r>
            <w:r>
              <w:rPr>
                <w:rFonts w:hint="eastAsia"/>
                <w:sz w:val="21"/>
                <w:szCs w:val="21"/>
                <w:lang w:eastAsia="zh-CN"/>
              </w:rPr>
              <w:t>教学能力</w:t>
            </w:r>
          </w:p>
        </w:tc>
        <w:tc>
          <w:tcPr>
            <w:tcW w:w="5062" w:type="dxa"/>
          </w:tcPr>
          <w:p w14:paraId="69AA29D5">
            <w:pPr>
              <w:pStyle w:val="273"/>
              <w:spacing w:line="240" w:lineRule="auto"/>
              <w:rPr>
                <w:sz w:val="21"/>
                <w:szCs w:val="21"/>
                <w:lang w:eastAsia="zh-CN"/>
              </w:rPr>
            </w:pPr>
            <w:r>
              <w:rPr>
                <w:sz w:val="21"/>
                <w:szCs w:val="21"/>
                <w:lang w:eastAsia="zh-CN"/>
              </w:rPr>
              <w:t>指标点4-2：</w:t>
            </w:r>
            <w:r>
              <w:rPr>
                <w:rFonts w:hint="eastAsia"/>
                <w:sz w:val="21"/>
                <w:szCs w:val="21"/>
                <w:lang w:eastAsia="zh-CN"/>
              </w:rPr>
              <w:t>【教学技能突出】获得全面的小学教学体验，掌握学科教学的基本方法与策略，能独立进行教学设计、实施和评价。</w:t>
            </w:r>
          </w:p>
        </w:tc>
      </w:tr>
      <w:tr w14:paraId="7CF1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33BF7440">
            <w:pPr>
              <w:pStyle w:val="273"/>
              <w:spacing w:line="240" w:lineRule="auto"/>
              <w:rPr>
                <w:sz w:val="21"/>
                <w:szCs w:val="21"/>
              </w:rPr>
            </w:pPr>
            <w:r>
              <w:rPr>
                <w:rFonts w:hint="eastAsia"/>
                <w:sz w:val="21"/>
                <w:szCs w:val="21"/>
              </w:rPr>
              <w:t>课程目标4</w:t>
            </w:r>
          </w:p>
        </w:tc>
        <w:tc>
          <w:tcPr>
            <w:tcW w:w="2410" w:type="dxa"/>
          </w:tcPr>
          <w:p w14:paraId="5F316321">
            <w:pPr>
              <w:pStyle w:val="273"/>
              <w:spacing w:line="240" w:lineRule="auto"/>
              <w:rPr>
                <w:sz w:val="21"/>
                <w:szCs w:val="21"/>
              </w:rPr>
            </w:pPr>
            <w:r>
              <w:rPr>
                <w:rFonts w:hint="eastAsia"/>
                <w:sz w:val="21"/>
                <w:szCs w:val="21"/>
              </w:rPr>
              <w:t>毕业要求6：综合育人</w:t>
            </w:r>
          </w:p>
        </w:tc>
        <w:tc>
          <w:tcPr>
            <w:tcW w:w="5062" w:type="dxa"/>
            <w:vAlign w:val="center"/>
          </w:tcPr>
          <w:p w14:paraId="03466C6C">
            <w:pPr>
              <w:pStyle w:val="273"/>
              <w:spacing w:line="240" w:lineRule="auto"/>
              <w:rPr>
                <w:sz w:val="21"/>
                <w:szCs w:val="21"/>
                <w:lang w:eastAsia="zh-CN"/>
              </w:rPr>
            </w:pPr>
            <w:r>
              <w:rPr>
                <w:sz w:val="21"/>
                <w:szCs w:val="21"/>
                <w:lang w:eastAsia="zh-CN"/>
              </w:rPr>
              <w:t>指标点6-2：</w:t>
            </w:r>
            <w:r>
              <w:rPr>
                <w:rFonts w:hint="eastAsia"/>
                <w:sz w:val="21"/>
                <w:szCs w:val="21"/>
                <w:lang w:eastAsia="zh-CN"/>
              </w:rPr>
              <w:t>【懂得学科育人】具有教书育人的意识，理解学科核心素养和拟任教学科课程独特的育人功能，具备结合学科教学进行育人的意识与能力，注重学科教学中思想政治教育的渗透。</w:t>
            </w:r>
          </w:p>
        </w:tc>
      </w:tr>
      <w:tr w14:paraId="5351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7F5062FA">
            <w:pPr>
              <w:pStyle w:val="273"/>
              <w:spacing w:line="240" w:lineRule="auto"/>
              <w:rPr>
                <w:sz w:val="21"/>
                <w:szCs w:val="21"/>
                <w:lang w:eastAsia="zh-CN"/>
              </w:rPr>
            </w:pPr>
            <w:r>
              <w:rPr>
                <w:rFonts w:hint="eastAsia"/>
                <w:sz w:val="21"/>
                <w:szCs w:val="21"/>
              </w:rPr>
              <w:t>课程目标</w:t>
            </w:r>
            <w:r>
              <w:rPr>
                <w:rFonts w:hint="eastAsia"/>
                <w:sz w:val="21"/>
                <w:szCs w:val="21"/>
                <w:lang w:eastAsia="zh-CN"/>
              </w:rPr>
              <w:t>5</w:t>
            </w:r>
          </w:p>
        </w:tc>
        <w:tc>
          <w:tcPr>
            <w:tcW w:w="2410" w:type="dxa"/>
          </w:tcPr>
          <w:p w14:paraId="0CAF3D56">
            <w:pPr>
              <w:pStyle w:val="273"/>
              <w:spacing w:line="240" w:lineRule="auto"/>
              <w:rPr>
                <w:sz w:val="21"/>
                <w:szCs w:val="21"/>
                <w:lang w:eastAsia="zh-CN"/>
              </w:rPr>
            </w:pPr>
            <w:r>
              <w:rPr>
                <w:rFonts w:hint="eastAsia"/>
                <w:sz w:val="21"/>
                <w:szCs w:val="21"/>
              </w:rPr>
              <w:t>毕业要求6：综合育人</w:t>
            </w:r>
          </w:p>
        </w:tc>
        <w:tc>
          <w:tcPr>
            <w:tcW w:w="5062" w:type="dxa"/>
            <w:vAlign w:val="center"/>
          </w:tcPr>
          <w:p w14:paraId="013C69DE">
            <w:pPr>
              <w:pStyle w:val="273"/>
              <w:spacing w:line="240" w:lineRule="auto"/>
              <w:rPr>
                <w:sz w:val="21"/>
                <w:szCs w:val="21"/>
                <w:lang w:eastAsia="zh-CN"/>
              </w:rPr>
            </w:pPr>
            <w:r>
              <w:rPr>
                <w:sz w:val="21"/>
                <w:szCs w:val="21"/>
                <w:lang w:eastAsia="zh-CN"/>
              </w:rPr>
              <w:t>指标点6-3：</w:t>
            </w:r>
            <w:r>
              <w:rPr>
                <w:rFonts w:hint="eastAsia"/>
                <w:sz w:val="21"/>
                <w:szCs w:val="21"/>
                <w:lang w:eastAsia="zh-CN"/>
              </w:rPr>
              <w:t>【掌握育人方法】了解课外活动组织和管理知识，掌握学校文化和各类课外教育活动的育人内涵和方法，参与组织主题教育、少先队活动和社团活动，促进小学生全面、健康发展。</w:t>
            </w:r>
          </w:p>
        </w:tc>
      </w:tr>
      <w:bookmarkEnd w:id="309"/>
    </w:tbl>
    <w:p w14:paraId="24FD736B">
      <w:pPr>
        <w:pStyle w:val="271"/>
      </w:pPr>
      <w:bookmarkStart w:id="310" w:name="三课程内容及要求"/>
      <w:r>
        <w:rPr>
          <w:rFonts w:hint="eastAsia"/>
        </w:rPr>
        <w:t>三、课程内容及要求</w:t>
      </w:r>
    </w:p>
    <w:p w14:paraId="54C55BF1">
      <w:pPr>
        <w:pStyle w:val="271"/>
        <w:spacing w:before="0" w:after="0"/>
        <w:rPr>
          <w:sz w:val="24"/>
          <w:szCs w:val="28"/>
        </w:rPr>
      </w:pPr>
      <w:bookmarkStart w:id="311" w:name="一steam教育概论"/>
      <w:r>
        <w:rPr>
          <w:rFonts w:hint="eastAsia"/>
          <w:sz w:val="24"/>
          <w:szCs w:val="28"/>
        </w:rPr>
        <w:t>（一）</w:t>
      </w:r>
      <w:r>
        <w:rPr>
          <w:sz w:val="24"/>
          <w:szCs w:val="28"/>
        </w:rPr>
        <w:t>第一章 STEAM 课程建设概述</w:t>
      </w:r>
      <w:r>
        <w:rPr>
          <w:rFonts w:hint="eastAsia"/>
          <w:sz w:val="24"/>
          <w:szCs w:val="28"/>
        </w:rPr>
        <w:t>（支撑课程目标1、课程目标4）</w:t>
      </w:r>
    </w:p>
    <w:p w14:paraId="7D3B80FA">
      <w:pPr>
        <w:numPr>
          <w:ilvl w:val="0"/>
          <w:numId w:val="8"/>
        </w:numPr>
      </w:pPr>
      <w:r>
        <w:rPr>
          <w:rFonts w:hint="eastAsia"/>
        </w:rPr>
        <w:t>教学内容</w:t>
      </w:r>
    </w:p>
    <w:p w14:paraId="3B488F77">
      <w:pPr>
        <w:pStyle w:val="43"/>
        <w:numPr>
          <w:ilvl w:val="0"/>
          <w:numId w:val="9"/>
        </w:numPr>
        <w:ind w:firstLineChars="0"/>
        <w:rPr>
          <w:lang w:eastAsia="zh-CN"/>
        </w:rPr>
      </w:pPr>
      <w:r>
        <w:rPr>
          <w:lang w:eastAsia="zh-CN"/>
        </w:rPr>
        <w:t>STEAM 课程建设的背景与挑战</w:t>
      </w:r>
    </w:p>
    <w:p w14:paraId="3094B022">
      <w:pPr>
        <w:pStyle w:val="43"/>
        <w:numPr>
          <w:ilvl w:val="0"/>
          <w:numId w:val="9"/>
        </w:numPr>
        <w:ind w:firstLineChars="0"/>
      </w:pPr>
      <w:r>
        <w:t>STEAM 课程建设的本质、模式及特征</w:t>
      </w:r>
    </w:p>
    <w:p w14:paraId="777B1251">
      <w:pPr>
        <w:pStyle w:val="43"/>
        <w:numPr>
          <w:ilvl w:val="0"/>
          <w:numId w:val="9"/>
        </w:numPr>
        <w:ind w:firstLineChars="0"/>
        <w:rPr>
          <w:lang w:eastAsia="zh-CN"/>
        </w:rPr>
      </w:pPr>
      <w:r>
        <w:rPr>
          <w:lang w:eastAsia="zh-CN"/>
        </w:rPr>
        <w:t>STEAM 课程建设的问题与对策</w:t>
      </w:r>
    </w:p>
    <w:p w14:paraId="5E594EDE">
      <w:pPr>
        <w:pStyle w:val="43"/>
        <w:numPr>
          <w:ilvl w:val="0"/>
          <w:numId w:val="8"/>
        </w:numPr>
        <w:ind w:firstLineChars="0"/>
      </w:pPr>
      <w:r>
        <w:rPr>
          <w:rFonts w:hint="eastAsia"/>
        </w:rPr>
        <w:t>基本要求</w:t>
      </w:r>
    </w:p>
    <w:p w14:paraId="3B1CDAC6">
      <w:pPr>
        <w:ind w:firstLine="367" w:firstLineChars="175"/>
        <w:rPr>
          <w:lang w:eastAsia="zh-CN"/>
        </w:rPr>
      </w:pPr>
      <w:r>
        <w:rPr>
          <w:rFonts w:hint="eastAsia"/>
          <w:lang w:eastAsia="zh-CN"/>
        </w:rPr>
        <w:t>（1）理解STEAM课程建设的背景与挑战，认识跨学科整合的重要性。</w:t>
      </w:r>
    </w:p>
    <w:p w14:paraId="1E01BB4B">
      <w:pPr>
        <w:ind w:firstLine="420" w:firstLineChars="200"/>
        <w:rPr>
          <w:lang w:eastAsia="zh-CN"/>
        </w:rPr>
      </w:pPr>
      <w:r>
        <w:rPr>
          <w:rFonts w:hint="eastAsia"/>
          <w:lang w:eastAsia="zh-CN"/>
        </w:rPr>
        <w:t>（2）掌握STEAM课程的本质、模式及其特征，能够识别建设中的常见问题。</w:t>
      </w:r>
    </w:p>
    <w:bookmarkEnd w:id="311"/>
    <w:p w14:paraId="214E9418">
      <w:pPr>
        <w:pStyle w:val="271"/>
        <w:spacing w:before="0" w:after="0"/>
        <w:rPr>
          <w:sz w:val="24"/>
          <w:szCs w:val="28"/>
        </w:rPr>
      </w:pPr>
      <w:bookmarkStart w:id="312" w:name="二steam课程设计与开发"/>
      <w:r>
        <w:rPr>
          <w:rFonts w:hint="eastAsia"/>
          <w:sz w:val="24"/>
          <w:szCs w:val="28"/>
        </w:rPr>
        <w:t>（二）第二章</w:t>
      </w:r>
      <w:r>
        <w:rPr>
          <w:sz w:val="24"/>
          <w:szCs w:val="28"/>
        </w:rPr>
        <w:t>STEAM 课程目标设计</w:t>
      </w:r>
      <w:r>
        <w:rPr>
          <w:rFonts w:hint="eastAsia"/>
          <w:sz w:val="24"/>
          <w:szCs w:val="28"/>
        </w:rPr>
        <w:t xml:space="preserve"> （支撑课程目标2）</w:t>
      </w:r>
    </w:p>
    <w:p w14:paraId="7D623EEF">
      <w:pPr>
        <w:numPr>
          <w:ilvl w:val="0"/>
          <w:numId w:val="10"/>
        </w:numPr>
      </w:pPr>
      <w:r>
        <w:rPr>
          <w:rFonts w:hint="eastAsia"/>
        </w:rPr>
        <w:t>教学内容</w:t>
      </w:r>
    </w:p>
    <w:p w14:paraId="7E05AAA5">
      <w:pPr>
        <w:pStyle w:val="43"/>
        <w:numPr>
          <w:ilvl w:val="0"/>
          <w:numId w:val="11"/>
        </w:numPr>
        <w:ind w:firstLineChars="0"/>
        <w:rPr>
          <w:lang w:eastAsia="zh-CN"/>
        </w:rPr>
      </w:pPr>
      <w:r>
        <w:rPr>
          <w:lang w:eastAsia="zh-CN"/>
        </w:rPr>
        <w:t>STEAM 课程目标设计：依据及框架</w:t>
      </w:r>
    </w:p>
    <w:p w14:paraId="7D897D81">
      <w:pPr>
        <w:pStyle w:val="43"/>
        <w:numPr>
          <w:ilvl w:val="0"/>
          <w:numId w:val="11"/>
        </w:numPr>
        <w:ind w:firstLineChars="0"/>
        <w:rPr>
          <w:lang w:eastAsia="zh-CN"/>
        </w:rPr>
      </w:pPr>
      <w:r>
        <w:rPr>
          <w:lang w:eastAsia="zh-CN"/>
        </w:rPr>
        <w:t>STEAM 课程目标设计：原则及要求</w:t>
      </w:r>
    </w:p>
    <w:p w14:paraId="0872A6F2">
      <w:pPr>
        <w:pStyle w:val="43"/>
        <w:numPr>
          <w:ilvl w:val="0"/>
          <w:numId w:val="11"/>
        </w:numPr>
        <w:ind w:firstLineChars="0"/>
        <w:rPr>
          <w:lang w:eastAsia="zh-CN"/>
        </w:rPr>
      </w:pPr>
      <w:r>
        <w:rPr>
          <w:lang w:eastAsia="zh-CN"/>
        </w:rPr>
        <w:t>STEAM 课程目标设计：案例及示范</w:t>
      </w:r>
    </w:p>
    <w:p w14:paraId="6E6AFAD9">
      <w:pPr>
        <w:pStyle w:val="43"/>
        <w:numPr>
          <w:ilvl w:val="0"/>
          <w:numId w:val="10"/>
        </w:numPr>
        <w:ind w:firstLineChars="0"/>
      </w:pPr>
      <w:r>
        <w:rPr>
          <w:rFonts w:hint="eastAsia"/>
        </w:rPr>
        <w:t>基本要求</w:t>
      </w:r>
    </w:p>
    <w:p w14:paraId="091F2C03">
      <w:pPr>
        <w:ind w:firstLine="420" w:firstLineChars="200"/>
        <w:rPr>
          <w:lang w:eastAsia="zh-CN"/>
        </w:rPr>
      </w:pPr>
      <w:r>
        <w:rPr>
          <w:rFonts w:hint="eastAsia"/>
          <w:lang w:eastAsia="zh-CN"/>
        </w:rPr>
        <w:t>（1）熟悉STEAM课程目标设计的依据及框架，能够制定课程目标。</w:t>
      </w:r>
    </w:p>
    <w:p w14:paraId="7E013CB8">
      <w:pPr>
        <w:ind w:firstLine="420" w:firstLineChars="200"/>
        <w:rPr>
          <w:lang w:eastAsia="zh-CN"/>
        </w:rPr>
      </w:pPr>
      <w:r>
        <w:rPr>
          <w:rFonts w:hint="eastAsia"/>
          <w:lang w:eastAsia="zh-CN"/>
        </w:rPr>
        <w:t>（2）理解并应用STEAM课程目标设计的原则和要求，能够通过案例进行实际设计。</w:t>
      </w:r>
    </w:p>
    <w:bookmarkEnd w:id="312"/>
    <w:p w14:paraId="1AB58140">
      <w:pPr>
        <w:pStyle w:val="271"/>
        <w:spacing w:before="0" w:after="0"/>
        <w:rPr>
          <w:sz w:val="24"/>
          <w:szCs w:val="28"/>
        </w:rPr>
      </w:pPr>
      <w:bookmarkStart w:id="313" w:name="三steam课程实施与评价"/>
      <w:r>
        <w:rPr>
          <w:rFonts w:hint="eastAsia"/>
          <w:sz w:val="24"/>
          <w:szCs w:val="28"/>
        </w:rPr>
        <w:t>（三）第三章 STEAM</w:t>
      </w:r>
      <w:r>
        <w:rPr>
          <w:sz w:val="24"/>
          <w:szCs w:val="28"/>
        </w:rPr>
        <w:t xml:space="preserve"> 课程内容开发</w:t>
      </w:r>
      <w:r>
        <w:rPr>
          <w:rFonts w:hint="eastAsia"/>
          <w:sz w:val="24"/>
          <w:szCs w:val="28"/>
        </w:rPr>
        <w:t xml:space="preserve"> （支撑课程目标1、课程目标3）</w:t>
      </w:r>
    </w:p>
    <w:p w14:paraId="6A2751A1">
      <w:pPr>
        <w:numPr>
          <w:ilvl w:val="0"/>
          <w:numId w:val="12"/>
        </w:numPr>
        <w:adjustRightInd w:val="0"/>
        <w:snapToGrid w:val="0"/>
      </w:pPr>
      <w:r>
        <w:rPr>
          <w:rFonts w:hint="eastAsia"/>
        </w:rPr>
        <w:t>教学内容</w:t>
      </w:r>
    </w:p>
    <w:p w14:paraId="25E9ECAE">
      <w:pPr>
        <w:pStyle w:val="43"/>
        <w:numPr>
          <w:ilvl w:val="0"/>
          <w:numId w:val="13"/>
        </w:numPr>
        <w:adjustRightInd w:val="0"/>
        <w:snapToGrid w:val="0"/>
        <w:ind w:firstLineChars="0"/>
        <w:rPr>
          <w:lang w:eastAsia="zh-CN"/>
        </w:rPr>
      </w:pPr>
      <w:r>
        <w:rPr>
          <w:lang w:eastAsia="zh-CN"/>
        </w:rPr>
        <w:t>STEAM 课程内容开发原则</w:t>
      </w:r>
    </w:p>
    <w:p w14:paraId="7B4B859D">
      <w:pPr>
        <w:pStyle w:val="43"/>
        <w:numPr>
          <w:ilvl w:val="0"/>
          <w:numId w:val="13"/>
        </w:numPr>
        <w:adjustRightInd w:val="0"/>
        <w:snapToGrid w:val="0"/>
        <w:ind w:firstLineChars="0"/>
        <w:rPr>
          <w:lang w:eastAsia="zh-CN"/>
        </w:rPr>
      </w:pPr>
      <w:r>
        <w:rPr>
          <w:lang w:eastAsia="zh-CN"/>
        </w:rPr>
        <w:t>STEAM 课程内容来源与转化</w:t>
      </w:r>
    </w:p>
    <w:p w14:paraId="6D7902B0">
      <w:pPr>
        <w:pStyle w:val="43"/>
        <w:numPr>
          <w:ilvl w:val="0"/>
          <w:numId w:val="13"/>
        </w:numPr>
        <w:adjustRightInd w:val="0"/>
        <w:snapToGrid w:val="0"/>
        <w:ind w:firstLineChars="0"/>
        <w:rPr>
          <w:lang w:eastAsia="zh-CN"/>
        </w:rPr>
      </w:pPr>
      <w:r>
        <w:rPr>
          <w:lang w:eastAsia="zh-CN"/>
        </w:rPr>
        <w:t>STEAM 课程内容组织与呈现</w:t>
      </w:r>
    </w:p>
    <w:p w14:paraId="260A219E">
      <w:pPr>
        <w:pStyle w:val="43"/>
        <w:numPr>
          <w:ilvl w:val="0"/>
          <w:numId w:val="12"/>
        </w:numPr>
        <w:adjustRightInd w:val="0"/>
        <w:snapToGrid w:val="0"/>
        <w:ind w:firstLineChars="0"/>
      </w:pPr>
      <w:r>
        <w:rPr>
          <w:rFonts w:hint="eastAsia"/>
        </w:rPr>
        <w:t>基本要求</w:t>
      </w:r>
    </w:p>
    <w:p w14:paraId="25E9241E">
      <w:pPr>
        <w:adjustRightInd w:val="0"/>
        <w:snapToGrid w:val="0"/>
        <w:ind w:firstLine="420" w:firstLineChars="200"/>
        <w:rPr>
          <w:lang w:eastAsia="zh-CN"/>
        </w:rPr>
      </w:pPr>
      <w:r>
        <w:rPr>
          <w:rFonts w:hint="eastAsia"/>
          <w:lang w:eastAsia="zh-CN"/>
        </w:rPr>
        <w:t>（1）掌握STEAM课程内容开发的基本原则，能够因地制宜地设计课程内容。</w:t>
      </w:r>
    </w:p>
    <w:p w14:paraId="26D73B8E">
      <w:pPr>
        <w:adjustRightInd w:val="0"/>
        <w:snapToGrid w:val="0"/>
        <w:ind w:firstLine="420" w:firstLineChars="200"/>
        <w:rPr>
          <w:lang w:eastAsia="zh-CN"/>
        </w:rPr>
      </w:pPr>
      <w:r>
        <w:rPr>
          <w:rFonts w:hint="eastAsia"/>
          <w:lang w:eastAsia="zh-CN"/>
        </w:rPr>
        <w:t>（2）了解STEAM课程内容的来源与转化方法，能够有效组织和呈现课程内容。</w:t>
      </w:r>
    </w:p>
    <w:p w14:paraId="11CEF238">
      <w:pPr>
        <w:pStyle w:val="271"/>
        <w:numPr>
          <w:ilvl w:val="0"/>
          <w:numId w:val="14"/>
        </w:numPr>
        <w:spacing w:before="0" w:after="0"/>
        <w:rPr>
          <w:sz w:val="24"/>
          <w:szCs w:val="28"/>
        </w:rPr>
      </w:pPr>
      <w:r>
        <w:rPr>
          <w:rFonts w:hint="eastAsia"/>
          <w:sz w:val="24"/>
          <w:szCs w:val="28"/>
        </w:rPr>
        <w:t xml:space="preserve">第四章 </w:t>
      </w:r>
      <w:r>
        <w:rPr>
          <w:sz w:val="24"/>
          <w:szCs w:val="28"/>
        </w:rPr>
        <w:t>STEAM 课程评价</w:t>
      </w:r>
      <w:r>
        <w:rPr>
          <w:rFonts w:hint="eastAsia"/>
          <w:sz w:val="24"/>
          <w:szCs w:val="28"/>
        </w:rPr>
        <w:t>（课程目标3）</w:t>
      </w:r>
    </w:p>
    <w:p w14:paraId="31D5352B">
      <w:pPr>
        <w:ind w:firstLine="210" w:firstLineChars="100"/>
        <w:jc w:val="both"/>
      </w:pPr>
      <w:r>
        <w:rPr>
          <w:rFonts w:hint="eastAsia"/>
          <w:lang w:eastAsia="zh-CN"/>
        </w:rPr>
        <w:t xml:space="preserve">1. </w:t>
      </w:r>
      <w:r>
        <w:rPr>
          <w:rFonts w:hint="eastAsia"/>
        </w:rPr>
        <w:t>教学内容</w:t>
      </w:r>
    </w:p>
    <w:p w14:paraId="49565560">
      <w:pPr>
        <w:ind w:firstLine="420" w:firstLineChars="200"/>
        <w:rPr>
          <w:lang w:eastAsia="zh-CN"/>
        </w:rPr>
      </w:pPr>
      <w:r>
        <w:rPr>
          <w:rFonts w:hint="eastAsia"/>
          <w:lang w:eastAsia="zh-CN"/>
        </w:rPr>
        <w:t>（1）</w:t>
      </w:r>
      <w:r>
        <w:rPr>
          <w:lang w:eastAsia="zh-CN"/>
        </w:rPr>
        <w:t>STEAM 课程评价的特点和原则</w:t>
      </w:r>
    </w:p>
    <w:p w14:paraId="0013EE43">
      <w:pPr>
        <w:ind w:firstLine="420" w:firstLineChars="200"/>
        <w:rPr>
          <w:lang w:eastAsia="zh-CN"/>
        </w:rPr>
      </w:pPr>
      <w:r>
        <w:rPr>
          <w:rFonts w:hint="eastAsia"/>
          <w:lang w:eastAsia="zh-CN"/>
        </w:rPr>
        <w:t>（2）</w:t>
      </w:r>
      <w:r>
        <w:rPr>
          <w:lang w:eastAsia="zh-CN"/>
        </w:rPr>
        <w:t>对课程的评价：提升教师课程知能</w:t>
      </w:r>
    </w:p>
    <w:p w14:paraId="59679409">
      <w:pPr>
        <w:ind w:firstLine="420" w:firstLineChars="200"/>
        <w:rPr>
          <w:lang w:eastAsia="zh-CN"/>
        </w:rPr>
      </w:pPr>
      <w:r>
        <w:rPr>
          <w:rFonts w:hint="eastAsia"/>
          <w:lang w:eastAsia="zh-CN"/>
        </w:rPr>
        <w:t>（3）</w:t>
      </w:r>
      <w:r>
        <w:rPr>
          <w:lang w:eastAsia="zh-CN"/>
        </w:rPr>
        <w:t>对学生的评价：促进学生全面发展</w:t>
      </w:r>
    </w:p>
    <w:p w14:paraId="186061AD">
      <w:pPr>
        <w:ind w:firstLine="210" w:firstLineChars="100"/>
        <w:rPr>
          <w:lang w:eastAsia="zh-CN"/>
        </w:rPr>
      </w:pPr>
      <w:r>
        <w:rPr>
          <w:rFonts w:hint="eastAsia"/>
          <w:lang w:eastAsia="zh-CN"/>
        </w:rPr>
        <w:t>2. 基本要求</w:t>
      </w:r>
    </w:p>
    <w:p w14:paraId="6D70E3FB">
      <w:pPr>
        <w:ind w:firstLine="420" w:firstLineChars="200"/>
        <w:rPr>
          <w:lang w:eastAsia="zh-CN"/>
        </w:rPr>
      </w:pPr>
      <w:r>
        <w:rPr>
          <w:rFonts w:hint="eastAsia"/>
          <w:lang w:eastAsia="zh-CN"/>
        </w:rPr>
        <w:t>（1）</w:t>
      </w:r>
      <w:r>
        <w:rPr>
          <w:lang w:eastAsia="zh-CN"/>
        </w:rPr>
        <w:t>理解STEAM课程评价的特点和原则，能够进行综合性和过程性的评价。</w:t>
      </w:r>
    </w:p>
    <w:p w14:paraId="66699ED9">
      <w:pPr>
        <w:ind w:firstLine="420" w:firstLineChars="200"/>
        <w:rPr>
          <w:lang w:eastAsia="zh-CN"/>
        </w:rPr>
      </w:pPr>
      <w:r>
        <w:rPr>
          <w:rFonts w:hint="eastAsia"/>
          <w:lang w:eastAsia="zh-CN"/>
        </w:rPr>
        <w:t>（2）</w:t>
      </w:r>
      <w:r>
        <w:rPr>
          <w:lang w:eastAsia="zh-CN"/>
        </w:rPr>
        <w:t>掌握对课程和学生的评价方法，提升教师的课程知能并促进学生的全面发展。</w:t>
      </w:r>
    </w:p>
    <w:p w14:paraId="420C4603">
      <w:pPr>
        <w:pStyle w:val="271"/>
        <w:spacing w:before="0" w:after="0"/>
        <w:rPr>
          <w:sz w:val="24"/>
          <w:szCs w:val="28"/>
        </w:rPr>
      </w:pPr>
      <w:r>
        <w:rPr>
          <w:rFonts w:hint="eastAsia"/>
          <w:sz w:val="24"/>
          <w:szCs w:val="28"/>
        </w:rPr>
        <w:t xml:space="preserve">（五）第五章 </w:t>
      </w:r>
      <w:r>
        <w:rPr>
          <w:sz w:val="24"/>
          <w:szCs w:val="28"/>
        </w:rPr>
        <w:t>STEAM 课程设计与实施案例</w:t>
      </w:r>
      <w:r>
        <w:rPr>
          <w:rFonts w:hint="eastAsia"/>
          <w:sz w:val="24"/>
          <w:szCs w:val="28"/>
        </w:rPr>
        <w:t>（</w:t>
      </w:r>
      <w:r>
        <w:rPr>
          <w:sz w:val="24"/>
          <w:szCs w:val="28"/>
        </w:rPr>
        <w:t>支撑课程目标1、课程目标3、课程目标4、课程目标5</w:t>
      </w:r>
      <w:r>
        <w:rPr>
          <w:rFonts w:hint="eastAsia"/>
          <w:sz w:val="24"/>
          <w:szCs w:val="28"/>
        </w:rPr>
        <w:t>）</w:t>
      </w:r>
    </w:p>
    <w:p w14:paraId="2366874D">
      <w:pPr>
        <w:ind w:left="360"/>
        <w:rPr>
          <w:lang w:eastAsia="zh-CN"/>
        </w:rPr>
      </w:pPr>
      <w:r>
        <w:rPr>
          <w:rFonts w:hint="eastAsia"/>
          <w:lang w:eastAsia="zh-CN"/>
        </w:rPr>
        <w:t>1. 教学内容</w:t>
      </w:r>
    </w:p>
    <w:p w14:paraId="3B7102B8">
      <w:pPr>
        <w:ind w:left="360"/>
        <w:rPr>
          <w:lang w:eastAsia="zh-CN"/>
        </w:rPr>
      </w:pPr>
      <w:r>
        <w:rPr>
          <w:rFonts w:hint="eastAsia"/>
          <w:lang w:eastAsia="zh-CN"/>
        </w:rPr>
        <w:t>（1）</w:t>
      </w:r>
      <w:r>
        <w:rPr>
          <w:lang w:eastAsia="zh-CN"/>
        </w:rPr>
        <w:t>创意设计与科技结合——设计制作互动艺术装置</w:t>
      </w:r>
    </w:p>
    <w:p w14:paraId="00C50113">
      <w:pPr>
        <w:ind w:left="360"/>
        <w:rPr>
          <w:lang w:eastAsia="zh-CN"/>
        </w:rPr>
      </w:pPr>
      <w:r>
        <w:rPr>
          <w:rFonts w:hint="eastAsia"/>
          <w:lang w:eastAsia="zh-CN"/>
        </w:rPr>
        <w:t>（2）</w:t>
      </w:r>
      <w:r>
        <w:rPr>
          <w:lang w:eastAsia="zh-CN"/>
        </w:rPr>
        <w:t>环境艺术与工程技术——设计一种智能环境监测艺术装置</w:t>
      </w:r>
    </w:p>
    <w:p w14:paraId="6FE098D4">
      <w:pPr>
        <w:ind w:left="360"/>
        <w:rPr>
          <w:lang w:eastAsia="zh-CN"/>
        </w:rPr>
      </w:pPr>
      <w:r>
        <w:rPr>
          <w:rFonts w:hint="eastAsia"/>
          <w:lang w:eastAsia="zh-CN"/>
        </w:rPr>
        <w:t>（3）</w:t>
      </w:r>
      <w:r>
        <w:rPr>
          <w:lang w:eastAsia="zh-CN"/>
        </w:rPr>
        <w:t>艺术与生物技术融合——设计与搭建生态艺术系统</w:t>
      </w:r>
    </w:p>
    <w:p w14:paraId="5285EB54">
      <w:pPr>
        <w:ind w:firstLine="210" w:firstLineChars="100"/>
        <w:rPr>
          <w:lang w:eastAsia="zh-CN"/>
        </w:rPr>
      </w:pPr>
      <w:r>
        <w:rPr>
          <w:rFonts w:hint="eastAsia"/>
          <w:lang w:eastAsia="zh-CN"/>
        </w:rPr>
        <w:t>2. 基本要求</w:t>
      </w:r>
    </w:p>
    <w:p w14:paraId="4596C93C">
      <w:pPr>
        <w:ind w:left="360"/>
        <w:rPr>
          <w:lang w:eastAsia="zh-CN"/>
        </w:rPr>
      </w:pPr>
      <w:r>
        <w:rPr>
          <w:rFonts w:hint="eastAsia"/>
          <w:lang w:eastAsia="zh-CN"/>
        </w:rPr>
        <w:t>（1）</w:t>
      </w:r>
      <w:r>
        <w:rPr>
          <w:lang w:eastAsia="zh-CN"/>
        </w:rPr>
        <w:t>理解并掌握不同类型STEAM课程设计案例的基本思路，能够分析关键要素。</w:t>
      </w:r>
    </w:p>
    <w:p w14:paraId="40F2E98A">
      <w:pPr>
        <w:ind w:left="360"/>
        <w:rPr>
          <w:lang w:eastAsia="zh-CN"/>
        </w:rPr>
      </w:pPr>
      <w:r>
        <w:rPr>
          <w:rFonts w:hint="eastAsia"/>
          <w:lang w:eastAsia="zh-CN"/>
        </w:rPr>
        <w:t>（2）</w:t>
      </w:r>
      <w:r>
        <w:rPr>
          <w:lang w:eastAsia="zh-CN"/>
        </w:rPr>
        <w:t>具备独立设计和实施STEAM课程案例的能力，培养学生的实践能力和创新思维。</w:t>
      </w:r>
    </w:p>
    <w:p w14:paraId="5EEC30AF">
      <w:pPr>
        <w:ind w:firstLine="420" w:firstLineChars="200"/>
        <w:rPr>
          <w:rFonts w:hint="eastAsia"/>
          <w:lang w:eastAsia="zh-CN"/>
        </w:rPr>
      </w:pPr>
      <w:r>
        <w:rPr>
          <w:rFonts w:hint="eastAsia"/>
          <w:lang w:eastAsia="zh-CN"/>
        </w:rPr>
        <w:t>教学内容与</w:t>
      </w:r>
      <w:r>
        <w:rPr>
          <w:lang w:eastAsia="zh-CN"/>
        </w:rPr>
        <w:t>课程目标的</w:t>
      </w:r>
      <w:r>
        <w:rPr>
          <w:rFonts w:hint="eastAsia"/>
          <w:lang w:eastAsia="zh-CN"/>
        </w:rPr>
        <w:t>对应关系及</w:t>
      </w:r>
      <w:r>
        <w:rPr>
          <w:lang w:eastAsia="zh-CN"/>
        </w:rPr>
        <w:t>学时分配</w:t>
      </w:r>
      <w:r>
        <w:rPr>
          <w:rFonts w:hint="eastAsia"/>
          <w:lang w:eastAsia="zh-CN"/>
        </w:rPr>
        <w:t>如表所示。</w:t>
      </w:r>
    </w:p>
    <w:tbl>
      <w:tblPr>
        <w:tblStyle w:val="30"/>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618"/>
        <w:gridCol w:w="1942"/>
        <w:gridCol w:w="1470"/>
        <w:gridCol w:w="735"/>
        <w:gridCol w:w="735"/>
      </w:tblGrid>
      <w:tr w14:paraId="62AB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CCEB29F">
            <w:pPr>
              <w:spacing w:line="240" w:lineRule="auto"/>
              <w:rPr>
                <w:sz w:val="21"/>
                <w:szCs w:val="21"/>
              </w:rPr>
            </w:pPr>
            <w:r>
              <w:rPr>
                <w:rFonts w:hint="eastAsia"/>
                <w:sz w:val="21"/>
                <w:szCs w:val="21"/>
              </w:rPr>
              <w:t>序号</w:t>
            </w:r>
          </w:p>
        </w:tc>
        <w:tc>
          <w:tcPr>
            <w:tcW w:w="3618" w:type="dxa"/>
            <w:shd w:val="clear" w:color="auto" w:fill="FFFFFF"/>
            <w:vAlign w:val="center"/>
          </w:tcPr>
          <w:p w14:paraId="3933D667">
            <w:pPr>
              <w:spacing w:line="240" w:lineRule="auto"/>
              <w:rPr>
                <w:sz w:val="21"/>
                <w:szCs w:val="21"/>
              </w:rPr>
            </w:pPr>
            <w:r>
              <w:rPr>
                <w:sz w:val="21"/>
                <w:szCs w:val="21"/>
              </w:rPr>
              <w:t>教学内容</w:t>
            </w:r>
          </w:p>
        </w:tc>
        <w:tc>
          <w:tcPr>
            <w:tcW w:w="1942" w:type="dxa"/>
            <w:shd w:val="clear" w:color="auto" w:fill="FFFFFF"/>
          </w:tcPr>
          <w:p w14:paraId="100234FD">
            <w:pPr>
              <w:spacing w:line="240" w:lineRule="auto"/>
              <w:rPr>
                <w:rFonts w:hint="eastAsia"/>
                <w:sz w:val="21"/>
                <w:szCs w:val="21"/>
              </w:rPr>
            </w:pPr>
            <w:r>
              <w:rPr>
                <w:sz w:val="21"/>
                <w:szCs w:val="21"/>
              </w:rPr>
              <w:t>支撑</w:t>
            </w:r>
            <w:r>
              <w:rPr>
                <w:rFonts w:hint="eastAsia"/>
                <w:sz w:val="21"/>
                <w:szCs w:val="21"/>
              </w:rPr>
              <w:t>的</w:t>
            </w:r>
          </w:p>
          <w:p w14:paraId="7E52E33B">
            <w:pPr>
              <w:spacing w:line="240" w:lineRule="auto"/>
              <w:rPr>
                <w:sz w:val="21"/>
                <w:szCs w:val="21"/>
              </w:rPr>
            </w:pPr>
            <w:r>
              <w:rPr>
                <w:sz w:val="21"/>
                <w:szCs w:val="21"/>
              </w:rPr>
              <w:t>课程目标</w:t>
            </w:r>
          </w:p>
        </w:tc>
        <w:tc>
          <w:tcPr>
            <w:tcW w:w="1470" w:type="dxa"/>
            <w:shd w:val="clear" w:color="auto" w:fill="FFFFFF"/>
            <w:vAlign w:val="center"/>
          </w:tcPr>
          <w:p w14:paraId="5BD406B0">
            <w:pPr>
              <w:spacing w:line="240" w:lineRule="auto"/>
              <w:rPr>
                <w:sz w:val="21"/>
                <w:szCs w:val="21"/>
                <w:lang w:eastAsia="zh-CN"/>
              </w:rPr>
            </w:pPr>
            <w:r>
              <w:rPr>
                <w:sz w:val="21"/>
                <w:szCs w:val="21"/>
                <w:lang w:eastAsia="zh-CN"/>
              </w:rPr>
              <w:t>支撑</w:t>
            </w:r>
            <w:r>
              <w:rPr>
                <w:rFonts w:hint="eastAsia"/>
                <w:sz w:val="21"/>
                <w:szCs w:val="21"/>
                <w:lang w:eastAsia="zh-CN"/>
              </w:rPr>
              <w:t>的</w:t>
            </w:r>
            <w:r>
              <w:rPr>
                <w:sz w:val="21"/>
                <w:szCs w:val="21"/>
                <w:lang w:eastAsia="zh-CN"/>
              </w:rPr>
              <w:t>毕业要求指标点</w:t>
            </w:r>
          </w:p>
        </w:tc>
        <w:tc>
          <w:tcPr>
            <w:tcW w:w="735" w:type="dxa"/>
            <w:shd w:val="clear" w:color="auto" w:fill="FFFFFF"/>
            <w:vAlign w:val="center"/>
          </w:tcPr>
          <w:p w14:paraId="7626B133">
            <w:pPr>
              <w:spacing w:line="240" w:lineRule="auto"/>
              <w:rPr>
                <w:sz w:val="21"/>
                <w:szCs w:val="21"/>
              </w:rPr>
            </w:pPr>
            <w:r>
              <w:rPr>
                <w:sz w:val="21"/>
                <w:szCs w:val="21"/>
              </w:rPr>
              <w:t>讲</w:t>
            </w:r>
            <w:r>
              <w:rPr>
                <w:rFonts w:hint="eastAsia"/>
                <w:sz w:val="21"/>
                <w:szCs w:val="21"/>
              </w:rPr>
              <w:t>授</w:t>
            </w:r>
            <w:r>
              <w:rPr>
                <w:sz w:val="21"/>
                <w:szCs w:val="21"/>
              </w:rPr>
              <w:t>学时</w:t>
            </w:r>
          </w:p>
        </w:tc>
        <w:tc>
          <w:tcPr>
            <w:tcW w:w="735" w:type="dxa"/>
            <w:shd w:val="clear" w:color="auto" w:fill="FFFFFF"/>
            <w:vAlign w:val="center"/>
          </w:tcPr>
          <w:p w14:paraId="6E1FB1D4">
            <w:pPr>
              <w:spacing w:line="240" w:lineRule="auto"/>
              <w:rPr>
                <w:sz w:val="21"/>
                <w:szCs w:val="21"/>
              </w:rPr>
            </w:pPr>
            <w:r>
              <w:rPr>
                <w:sz w:val="21"/>
                <w:szCs w:val="21"/>
              </w:rPr>
              <w:t>实验学时</w:t>
            </w:r>
          </w:p>
        </w:tc>
      </w:tr>
      <w:tr w14:paraId="3520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FE892F7">
            <w:pPr>
              <w:spacing w:line="240" w:lineRule="auto"/>
              <w:rPr>
                <w:sz w:val="21"/>
                <w:szCs w:val="21"/>
              </w:rPr>
            </w:pPr>
            <w:r>
              <w:rPr>
                <w:sz w:val="21"/>
                <w:szCs w:val="21"/>
              </w:rPr>
              <w:t>1</w:t>
            </w:r>
          </w:p>
        </w:tc>
        <w:tc>
          <w:tcPr>
            <w:tcW w:w="3618" w:type="dxa"/>
            <w:vAlign w:val="center"/>
          </w:tcPr>
          <w:p w14:paraId="5F417AF4">
            <w:pPr>
              <w:spacing w:line="240" w:lineRule="auto"/>
              <w:rPr>
                <w:rFonts w:hint="eastAsia" w:cs="宋体"/>
                <w:sz w:val="21"/>
                <w:szCs w:val="21"/>
              </w:rPr>
            </w:pPr>
            <w:r>
              <w:rPr>
                <w:sz w:val="21"/>
                <w:szCs w:val="21"/>
              </w:rPr>
              <w:t>第一章 STEAM课程建设概述</w:t>
            </w:r>
          </w:p>
        </w:tc>
        <w:tc>
          <w:tcPr>
            <w:tcW w:w="1942" w:type="dxa"/>
            <w:vAlign w:val="center"/>
          </w:tcPr>
          <w:p w14:paraId="724633CA">
            <w:pPr>
              <w:spacing w:line="240" w:lineRule="auto"/>
              <w:rPr>
                <w:rFonts w:hint="eastAsia"/>
                <w:sz w:val="21"/>
                <w:szCs w:val="21"/>
                <w:lang w:eastAsia="zh-CN"/>
              </w:rPr>
            </w:pPr>
            <w:r>
              <w:rPr>
                <w:sz w:val="21"/>
                <w:szCs w:val="21"/>
              </w:rPr>
              <w:t>目标1</w:t>
            </w:r>
            <w:r>
              <w:rPr>
                <w:rFonts w:hint="eastAsia"/>
                <w:sz w:val="21"/>
                <w:szCs w:val="21"/>
                <w:lang w:eastAsia="zh-CN"/>
              </w:rPr>
              <w:t>、目标4</w:t>
            </w:r>
          </w:p>
        </w:tc>
        <w:tc>
          <w:tcPr>
            <w:tcW w:w="1470" w:type="dxa"/>
            <w:vAlign w:val="center"/>
          </w:tcPr>
          <w:p w14:paraId="645EFEBC">
            <w:pPr>
              <w:spacing w:line="240" w:lineRule="auto"/>
              <w:rPr>
                <w:rFonts w:hint="eastAsia"/>
                <w:sz w:val="21"/>
                <w:szCs w:val="21"/>
                <w:lang w:eastAsia="zh-CN"/>
              </w:rPr>
            </w:pPr>
            <w:r>
              <w:rPr>
                <w:rFonts w:hint="eastAsia"/>
                <w:sz w:val="21"/>
                <w:szCs w:val="21"/>
                <w:lang w:eastAsia="zh-CN"/>
              </w:rPr>
              <w:t>3-3、6-2、6-3</w:t>
            </w:r>
          </w:p>
        </w:tc>
        <w:tc>
          <w:tcPr>
            <w:tcW w:w="735" w:type="dxa"/>
            <w:vAlign w:val="center"/>
          </w:tcPr>
          <w:p w14:paraId="1DAE9783">
            <w:pPr>
              <w:spacing w:line="240" w:lineRule="auto"/>
              <w:rPr>
                <w:rFonts w:hint="eastAsia"/>
                <w:sz w:val="21"/>
                <w:szCs w:val="21"/>
                <w:lang w:eastAsia="zh-CN"/>
              </w:rPr>
            </w:pPr>
            <w:r>
              <w:rPr>
                <w:rFonts w:hint="eastAsia"/>
                <w:sz w:val="21"/>
                <w:szCs w:val="21"/>
                <w:lang w:eastAsia="zh-CN"/>
              </w:rPr>
              <w:t>2</w:t>
            </w:r>
          </w:p>
        </w:tc>
        <w:tc>
          <w:tcPr>
            <w:tcW w:w="735" w:type="dxa"/>
            <w:vAlign w:val="center"/>
          </w:tcPr>
          <w:p w14:paraId="420ED9F4">
            <w:pPr>
              <w:spacing w:line="240" w:lineRule="auto"/>
              <w:rPr>
                <w:rFonts w:hint="eastAsia"/>
                <w:sz w:val="21"/>
                <w:szCs w:val="21"/>
                <w:lang w:eastAsia="zh-CN"/>
              </w:rPr>
            </w:pPr>
            <w:r>
              <w:rPr>
                <w:rFonts w:hint="eastAsia"/>
                <w:sz w:val="21"/>
                <w:szCs w:val="21"/>
                <w:lang w:eastAsia="zh-CN"/>
              </w:rPr>
              <w:t>0</w:t>
            </w:r>
          </w:p>
        </w:tc>
      </w:tr>
      <w:tr w14:paraId="32A7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F74CA8B">
            <w:pPr>
              <w:spacing w:line="240" w:lineRule="auto"/>
              <w:rPr>
                <w:sz w:val="21"/>
                <w:szCs w:val="21"/>
              </w:rPr>
            </w:pPr>
            <w:r>
              <w:rPr>
                <w:sz w:val="21"/>
                <w:szCs w:val="21"/>
              </w:rPr>
              <w:t>2</w:t>
            </w:r>
          </w:p>
        </w:tc>
        <w:tc>
          <w:tcPr>
            <w:tcW w:w="3618" w:type="dxa"/>
            <w:vAlign w:val="center"/>
          </w:tcPr>
          <w:p w14:paraId="23B0AF1B">
            <w:pPr>
              <w:spacing w:line="240" w:lineRule="auto"/>
              <w:rPr>
                <w:rFonts w:cs="宋体"/>
                <w:sz w:val="21"/>
                <w:szCs w:val="21"/>
                <w:lang w:eastAsia="zh-CN"/>
              </w:rPr>
            </w:pPr>
            <w:r>
              <w:rPr>
                <w:sz w:val="21"/>
                <w:szCs w:val="21"/>
                <w:lang w:eastAsia="zh-CN"/>
              </w:rPr>
              <w:t>第二章 STEAM课程目标设计</w:t>
            </w:r>
          </w:p>
        </w:tc>
        <w:tc>
          <w:tcPr>
            <w:tcW w:w="1942" w:type="dxa"/>
            <w:vAlign w:val="center"/>
          </w:tcPr>
          <w:p w14:paraId="5C25AD3F">
            <w:pPr>
              <w:spacing w:line="240" w:lineRule="auto"/>
              <w:rPr>
                <w:rFonts w:hint="eastAsia"/>
                <w:sz w:val="21"/>
                <w:szCs w:val="21"/>
              </w:rPr>
            </w:pPr>
            <w:r>
              <w:rPr>
                <w:sz w:val="21"/>
                <w:szCs w:val="21"/>
              </w:rPr>
              <w:t>目标2</w:t>
            </w:r>
          </w:p>
        </w:tc>
        <w:tc>
          <w:tcPr>
            <w:tcW w:w="1470" w:type="dxa"/>
            <w:vAlign w:val="center"/>
          </w:tcPr>
          <w:p w14:paraId="624B4555">
            <w:pPr>
              <w:spacing w:line="240" w:lineRule="auto"/>
              <w:rPr>
                <w:rFonts w:hint="eastAsia"/>
                <w:sz w:val="21"/>
                <w:szCs w:val="21"/>
                <w:lang w:eastAsia="zh-CN"/>
              </w:rPr>
            </w:pPr>
            <w:r>
              <w:rPr>
                <w:rFonts w:hint="eastAsia"/>
                <w:sz w:val="21"/>
                <w:szCs w:val="21"/>
                <w:lang w:eastAsia="zh-CN"/>
              </w:rPr>
              <w:t>3-4</w:t>
            </w:r>
          </w:p>
        </w:tc>
        <w:tc>
          <w:tcPr>
            <w:tcW w:w="735" w:type="dxa"/>
            <w:vAlign w:val="center"/>
          </w:tcPr>
          <w:p w14:paraId="67A60ED6">
            <w:pPr>
              <w:spacing w:line="240" w:lineRule="auto"/>
              <w:rPr>
                <w:rFonts w:hint="eastAsia"/>
                <w:sz w:val="21"/>
                <w:szCs w:val="21"/>
                <w:lang w:eastAsia="zh-CN"/>
              </w:rPr>
            </w:pPr>
            <w:r>
              <w:rPr>
                <w:rFonts w:hint="eastAsia"/>
                <w:sz w:val="21"/>
                <w:szCs w:val="21"/>
                <w:lang w:eastAsia="zh-CN"/>
              </w:rPr>
              <w:t>2</w:t>
            </w:r>
          </w:p>
        </w:tc>
        <w:tc>
          <w:tcPr>
            <w:tcW w:w="735" w:type="dxa"/>
            <w:vAlign w:val="center"/>
          </w:tcPr>
          <w:p w14:paraId="6C593688">
            <w:pPr>
              <w:spacing w:line="240" w:lineRule="auto"/>
              <w:rPr>
                <w:rFonts w:hint="eastAsia"/>
                <w:sz w:val="21"/>
                <w:szCs w:val="21"/>
                <w:lang w:eastAsia="zh-CN"/>
              </w:rPr>
            </w:pPr>
            <w:r>
              <w:rPr>
                <w:rFonts w:hint="eastAsia"/>
                <w:sz w:val="21"/>
                <w:szCs w:val="21"/>
                <w:lang w:eastAsia="zh-CN"/>
              </w:rPr>
              <w:t>2</w:t>
            </w:r>
          </w:p>
        </w:tc>
      </w:tr>
      <w:tr w14:paraId="3DFD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C581503">
            <w:pPr>
              <w:spacing w:line="240" w:lineRule="auto"/>
              <w:rPr>
                <w:sz w:val="21"/>
                <w:szCs w:val="21"/>
              </w:rPr>
            </w:pPr>
            <w:r>
              <w:rPr>
                <w:sz w:val="21"/>
                <w:szCs w:val="21"/>
              </w:rPr>
              <w:t>3</w:t>
            </w:r>
          </w:p>
        </w:tc>
        <w:tc>
          <w:tcPr>
            <w:tcW w:w="3618" w:type="dxa"/>
            <w:vAlign w:val="center"/>
          </w:tcPr>
          <w:p w14:paraId="55B6E031">
            <w:pPr>
              <w:spacing w:line="240" w:lineRule="auto"/>
              <w:rPr>
                <w:rFonts w:cs="宋体"/>
                <w:sz w:val="21"/>
                <w:szCs w:val="21"/>
                <w:lang w:eastAsia="zh-CN"/>
              </w:rPr>
            </w:pPr>
            <w:r>
              <w:rPr>
                <w:sz w:val="21"/>
                <w:szCs w:val="21"/>
                <w:lang w:eastAsia="zh-CN"/>
              </w:rPr>
              <w:t>第三章 STEAM课程内容开发</w:t>
            </w:r>
          </w:p>
        </w:tc>
        <w:tc>
          <w:tcPr>
            <w:tcW w:w="1942" w:type="dxa"/>
            <w:vAlign w:val="center"/>
          </w:tcPr>
          <w:p w14:paraId="66B93948">
            <w:pPr>
              <w:spacing w:line="240" w:lineRule="auto"/>
              <w:rPr>
                <w:sz w:val="21"/>
                <w:szCs w:val="21"/>
              </w:rPr>
            </w:pPr>
            <w:r>
              <w:rPr>
                <w:sz w:val="21"/>
                <w:szCs w:val="21"/>
              </w:rPr>
              <w:t>目标1、目标3</w:t>
            </w:r>
          </w:p>
        </w:tc>
        <w:tc>
          <w:tcPr>
            <w:tcW w:w="1470" w:type="dxa"/>
            <w:vAlign w:val="center"/>
          </w:tcPr>
          <w:p w14:paraId="6298D818">
            <w:pPr>
              <w:spacing w:line="240" w:lineRule="auto"/>
              <w:rPr>
                <w:rFonts w:hint="eastAsia"/>
                <w:sz w:val="21"/>
                <w:szCs w:val="21"/>
                <w:lang w:eastAsia="zh-CN"/>
              </w:rPr>
            </w:pPr>
            <w:r>
              <w:rPr>
                <w:rFonts w:hint="eastAsia"/>
                <w:sz w:val="21"/>
                <w:szCs w:val="21"/>
                <w:lang w:eastAsia="zh-CN"/>
              </w:rPr>
              <w:t>3-3、4-2</w:t>
            </w:r>
          </w:p>
        </w:tc>
        <w:tc>
          <w:tcPr>
            <w:tcW w:w="735" w:type="dxa"/>
            <w:vAlign w:val="center"/>
          </w:tcPr>
          <w:p w14:paraId="5A2FB6FB">
            <w:pPr>
              <w:spacing w:line="240" w:lineRule="auto"/>
              <w:rPr>
                <w:rFonts w:hint="eastAsia"/>
                <w:sz w:val="21"/>
                <w:szCs w:val="21"/>
                <w:lang w:eastAsia="zh-CN"/>
              </w:rPr>
            </w:pPr>
            <w:r>
              <w:rPr>
                <w:rFonts w:hint="eastAsia"/>
                <w:sz w:val="21"/>
                <w:szCs w:val="21"/>
                <w:lang w:eastAsia="zh-CN"/>
              </w:rPr>
              <w:t>4</w:t>
            </w:r>
          </w:p>
        </w:tc>
        <w:tc>
          <w:tcPr>
            <w:tcW w:w="735" w:type="dxa"/>
            <w:vAlign w:val="center"/>
          </w:tcPr>
          <w:p w14:paraId="68D90FC0">
            <w:pPr>
              <w:spacing w:line="240" w:lineRule="auto"/>
              <w:rPr>
                <w:rFonts w:hint="eastAsia"/>
                <w:sz w:val="21"/>
                <w:szCs w:val="21"/>
                <w:lang w:eastAsia="zh-CN"/>
              </w:rPr>
            </w:pPr>
            <w:r>
              <w:rPr>
                <w:rFonts w:hint="eastAsia"/>
                <w:sz w:val="21"/>
                <w:szCs w:val="21"/>
                <w:lang w:eastAsia="zh-CN"/>
              </w:rPr>
              <w:t>4</w:t>
            </w:r>
          </w:p>
        </w:tc>
      </w:tr>
      <w:tr w14:paraId="79CE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39A7F57">
            <w:pPr>
              <w:spacing w:line="240" w:lineRule="auto"/>
              <w:rPr>
                <w:rFonts w:hint="eastAsia"/>
                <w:sz w:val="21"/>
                <w:szCs w:val="21"/>
              </w:rPr>
            </w:pPr>
            <w:r>
              <w:rPr>
                <w:sz w:val="21"/>
                <w:szCs w:val="21"/>
              </w:rPr>
              <w:t>4</w:t>
            </w:r>
          </w:p>
        </w:tc>
        <w:tc>
          <w:tcPr>
            <w:tcW w:w="3618" w:type="dxa"/>
            <w:vAlign w:val="center"/>
          </w:tcPr>
          <w:p w14:paraId="5B6CBD9A">
            <w:pPr>
              <w:spacing w:line="240" w:lineRule="auto"/>
              <w:rPr>
                <w:rFonts w:hint="eastAsia" w:cs="Tahoma"/>
                <w:color w:val="333333"/>
                <w:sz w:val="21"/>
                <w:szCs w:val="21"/>
                <w:lang w:eastAsia="zh-CN"/>
              </w:rPr>
            </w:pPr>
            <w:r>
              <w:rPr>
                <w:sz w:val="21"/>
                <w:szCs w:val="21"/>
              </w:rPr>
              <w:t>第四章 STEAM课程评价</w:t>
            </w:r>
          </w:p>
        </w:tc>
        <w:tc>
          <w:tcPr>
            <w:tcW w:w="1942" w:type="dxa"/>
            <w:vAlign w:val="center"/>
          </w:tcPr>
          <w:p w14:paraId="660D64B9">
            <w:pPr>
              <w:spacing w:line="240" w:lineRule="auto"/>
              <w:rPr>
                <w:sz w:val="21"/>
                <w:szCs w:val="21"/>
              </w:rPr>
            </w:pPr>
            <w:r>
              <w:rPr>
                <w:sz w:val="21"/>
                <w:szCs w:val="21"/>
              </w:rPr>
              <w:t>目标3</w:t>
            </w:r>
          </w:p>
        </w:tc>
        <w:tc>
          <w:tcPr>
            <w:tcW w:w="1470" w:type="dxa"/>
            <w:vAlign w:val="center"/>
          </w:tcPr>
          <w:p w14:paraId="2133233E">
            <w:pPr>
              <w:spacing w:line="240" w:lineRule="auto"/>
              <w:rPr>
                <w:rFonts w:hint="eastAsia"/>
                <w:sz w:val="21"/>
                <w:szCs w:val="21"/>
                <w:lang w:eastAsia="zh-CN"/>
              </w:rPr>
            </w:pPr>
            <w:r>
              <w:rPr>
                <w:rFonts w:hint="eastAsia"/>
                <w:sz w:val="21"/>
                <w:szCs w:val="21"/>
                <w:lang w:eastAsia="zh-CN"/>
              </w:rPr>
              <w:t>4-2</w:t>
            </w:r>
          </w:p>
        </w:tc>
        <w:tc>
          <w:tcPr>
            <w:tcW w:w="735" w:type="dxa"/>
            <w:vAlign w:val="center"/>
          </w:tcPr>
          <w:p w14:paraId="13586F17">
            <w:pPr>
              <w:spacing w:line="240" w:lineRule="auto"/>
              <w:rPr>
                <w:rFonts w:hint="eastAsia"/>
                <w:sz w:val="21"/>
                <w:szCs w:val="21"/>
                <w:lang w:eastAsia="zh-CN"/>
              </w:rPr>
            </w:pPr>
            <w:r>
              <w:rPr>
                <w:rFonts w:hint="eastAsia"/>
                <w:sz w:val="21"/>
                <w:szCs w:val="21"/>
                <w:lang w:eastAsia="zh-CN"/>
              </w:rPr>
              <w:t>4</w:t>
            </w:r>
          </w:p>
        </w:tc>
        <w:tc>
          <w:tcPr>
            <w:tcW w:w="735" w:type="dxa"/>
            <w:vAlign w:val="center"/>
          </w:tcPr>
          <w:p w14:paraId="7C3E4B39">
            <w:pPr>
              <w:spacing w:line="240" w:lineRule="auto"/>
              <w:rPr>
                <w:rFonts w:hint="eastAsia"/>
                <w:sz w:val="21"/>
                <w:szCs w:val="21"/>
                <w:lang w:eastAsia="zh-CN"/>
              </w:rPr>
            </w:pPr>
            <w:r>
              <w:rPr>
                <w:rFonts w:hint="eastAsia"/>
                <w:sz w:val="21"/>
                <w:szCs w:val="21"/>
                <w:lang w:eastAsia="zh-CN"/>
              </w:rPr>
              <w:t>4</w:t>
            </w:r>
          </w:p>
        </w:tc>
      </w:tr>
      <w:tr w14:paraId="4754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7D31613">
            <w:pPr>
              <w:spacing w:line="240" w:lineRule="auto"/>
              <w:rPr>
                <w:rFonts w:hint="eastAsia"/>
                <w:sz w:val="21"/>
                <w:szCs w:val="21"/>
              </w:rPr>
            </w:pPr>
            <w:r>
              <w:rPr>
                <w:sz w:val="21"/>
                <w:szCs w:val="21"/>
              </w:rPr>
              <w:t>5</w:t>
            </w:r>
          </w:p>
        </w:tc>
        <w:tc>
          <w:tcPr>
            <w:tcW w:w="3618" w:type="dxa"/>
            <w:vAlign w:val="center"/>
          </w:tcPr>
          <w:p w14:paraId="31B2B8BC">
            <w:pPr>
              <w:spacing w:line="240" w:lineRule="auto"/>
              <w:rPr>
                <w:rFonts w:hint="eastAsia" w:cs="Tahoma"/>
                <w:color w:val="333333"/>
                <w:sz w:val="21"/>
                <w:szCs w:val="21"/>
                <w:lang w:eastAsia="zh-CN"/>
              </w:rPr>
            </w:pPr>
            <w:r>
              <w:rPr>
                <w:sz w:val="21"/>
                <w:szCs w:val="21"/>
                <w:lang w:eastAsia="zh-CN"/>
              </w:rPr>
              <w:t>第五章 STEAM课程设计与实施案例</w:t>
            </w:r>
          </w:p>
        </w:tc>
        <w:tc>
          <w:tcPr>
            <w:tcW w:w="1942" w:type="dxa"/>
            <w:vAlign w:val="center"/>
          </w:tcPr>
          <w:p w14:paraId="349717F5">
            <w:pPr>
              <w:spacing w:line="240" w:lineRule="auto"/>
              <w:rPr>
                <w:rFonts w:hint="eastAsia"/>
                <w:sz w:val="21"/>
                <w:szCs w:val="21"/>
                <w:lang w:eastAsia="zh-CN"/>
              </w:rPr>
            </w:pPr>
            <w:r>
              <w:rPr>
                <w:sz w:val="21"/>
                <w:szCs w:val="21"/>
              </w:rPr>
              <w:t>目标1、目标3</w:t>
            </w:r>
            <w:r>
              <w:rPr>
                <w:rFonts w:hint="eastAsia"/>
                <w:sz w:val="21"/>
                <w:szCs w:val="21"/>
                <w:lang w:eastAsia="zh-CN"/>
              </w:rPr>
              <w:t>、目标4</w:t>
            </w:r>
          </w:p>
        </w:tc>
        <w:tc>
          <w:tcPr>
            <w:tcW w:w="1470" w:type="dxa"/>
            <w:vAlign w:val="center"/>
          </w:tcPr>
          <w:p w14:paraId="687ECF62">
            <w:pPr>
              <w:spacing w:line="240" w:lineRule="auto"/>
              <w:rPr>
                <w:rFonts w:hint="eastAsia"/>
                <w:sz w:val="21"/>
                <w:szCs w:val="21"/>
                <w:lang w:eastAsia="zh-CN"/>
              </w:rPr>
            </w:pPr>
            <w:r>
              <w:rPr>
                <w:rFonts w:hint="eastAsia"/>
                <w:sz w:val="21"/>
                <w:szCs w:val="21"/>
                <w:lang w:eastAsia="zh-CN"/>
              </w:rPr>
              <w:t>3-3、4-2、6-2、6-3</w:t>
            </w:r>
          </w:p>
        </w:tc>
        <w:tc>
          <w:tcPr>
            <w:tcW w:w="735" w:type="dxa"/>
            <w:vAlign w:val="center"/>
          </w:tcPr>
          <w:p w14:paraId="67C41D8C">
            <w:pPr>
              <w:spacing w:line="240" w:lineRule="auto"/>
              <w:rPr>
                <w:rFonts w:hint="eastAsia"/>
                <w:sz w:val="21"/>
                <w:szCs w:val="21"/>
              </w:rPr>
            </w:pPr>
            <w:r>
              <w:rPr>
                <w:sz w:val="21"/>
                <w:szCs w:val="21"/>
              </w:rPr>
              <w:t>4</w:t>
            </w:r>
          </w:p>
        </w:tc>
        <w:tc>
          <w:tcPr>
            <w:tcW w:w="735" w:type="dxa"/>
            <w:vAlign w:val="center"/>
          </w:tcPr>
          <w:p w14:paraId="0B2DE555">
            <w:pPr>
              <w:spacing w:line="240" w:lineRule="auto"/>
              <w:rPr>
                <w:rFonts w:hint="eastAsia"/>
                <w:sz w:val="21"/>
                <w:szCs w:val="21"/>
              </w:rPr>
            </w:pPr>
            <w:r>
              <w:rPr>
                <w:sz w:val="21"/>
                <w:szCs w:val="21"/>
              </w:rPr>
              <w:t>6</w:t>
            </w:r>
          </w:p>
        </w:tc>
      </w:tr>
      <w:tr w14:paraId="120D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26F8E53D">
            <w:pPr>
              <w:spacing w:line="240" w:lineRule="auto"/>
              <w:rPr>
                <w:sz w:val="21"/>
                <w:szCs w:val="21"/>
              </w:rPr>
            </w:pPr>
            <w:r>
              <w:rPr>
                <w:sz w:val="21"/>
                <w:szCs w:val="21"/>
              </w:rPr>
              <w:t>合 计</w:t>
            </w:r>
          </w:p>
        </w:tc>
        <w:tc>
          <w:tcPr>
            <w:tcW w:w="735" w:type="dxa"/>
            <w:vAlign w:val="center"/>
          </w:tcPr>
          <w:p w14:paraId="659DED70">
            <w:pPr>
              <w:spacing w:line="240" w:lineRule="auto"/>
              <w:rPr>
                <w:sz w:val="21"/>
                <w:szCs w:val="21"/>
              </w:rPr>
            </w:pPr>
            <w:r>
              <w:rPr>
                <w:rFonts w:hint="eastAsia"/>
                <w:sz w:val="21"/>
                <w:szCs w:val="21"/>
              </w:rPr>
              <w:t>16</w:t>
            </w:r>
          </w:p>
        </w:tc>
        <w:tc>
          <w:tcPr>
            <w:tcW w:w="735" w:type="dxa"/>
            <w:vAlign w:val="center"/>
          </w:tcPr>
          <w:p w14:paraId="313AAE7A">
            <w:pPr>
              <w:spacing w:line="240" w:lineRule="auto"/>
              <w:rPr>
                <w:sz w:val="21"/>
                <w:szCs w:val="21"/>
              </w:rPr>
            </w:pPr>
            <w:r>
              <w:rPr>
                <w:rFonts w:hint="eastAsia"/>
                <w:sz w:val="21"/>
                <w:szCs w:val="21"/>
              </w:rPr>
              <w:t>16</w:t>
            </w:r>
          </w:p>
        </w:tc>
      </w:tr>
    </w:tbl>
    <w:p w14:paraId="505CF7D2">
      <w:pPr>
        <w:ind w:left="360"/>
        <w:rPr>
          <w:rFonts w:hint="eastAsia"/>
          <w:lang w:eastAsia="zh-CN"/>
        </w:rPr>
      </w:pPr>
    </w:p>
    <w:bookmarkEnd w:id="310"/>
    <w:bookmarkEnd w:id="313"/>
    <w:p w14:paraId="6E54B33B">
      <w:pPr>
        <w:pStyle w:val="271"/>
      </w:pPr>
      <w:bookmarkStart w:id="314" w:name="四课内实验实践"/>
      <w:r>
        <w:rPr>
          <w:rFonts w:hint="eastAsia"/>
        </w:rPr>
        <w:t>四、课内实验（实践）</w:t>
      </w:r>
    </w:p>
    <w:tbl>
      <w:tblPr>
        <w:tblStyle w:val="2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96"/>
        <w:gridCol w:w="4174"/>
        <w:gridCol w:w="683"/>
        <w:gridCol w:w="846"/>
        <w:gridCol w:w="636"/>
      </w:tblGrid>
      <w:tr w14:paraId="345C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trPr>
        <w:tc>
          <w:tcPr>
            <w:tcW w:w="675" w:type="dxa"/>
            <w:tcBorders>
              <w:bottom w:val="nil"/>
            </w:tcBorders>
            <w:vAlign w:val="bottom"/>
          </w:tcPr>
          <w:p w14:paraId="09178B78">
            <w:pPr>
              <w:pStyle w:val="273"/>
              <w:spacing w:before="0" w:after="0" w:line="240" w:lineRule="auto"/>
              <w:jc w:val="center"/>
              <w:rPr>
                <w:sz w:val="21"/>
                <w:szCs w:val="21"/>
              </w:rPr>
            </w:pPr>
            <w:r>
              <w:rPr>
                <w:rFonts w:hint="eastAsia"/>
                <w:sz w:val="21"/>
                <w:szCs w:val="21"/>
              </w:rPr>
              <w:t>序号</w:t>
            </w:r>
          </w:p>
        </w:tc>
        <w:tc>
          <w:tcPr>
            <w:tcW w:w="1496" w:type="dxa"/>
            <w:tcBorders>
              <w:bottom w:val="nil"/>
            </w:tcBorders>
            <w:vAlign w:val="bottom"/>
          </w:tcPr>
          <w:p w14:paraId="77CD7632">
            <w:pPr>
              <w:pStyle w:val="273"/>
              <w:spacing w:before="0" w:after="0" w:line="240" w:lineRule="auto"/>
              <w:jc w:val="center"/>
              <w:rPr>
                <w:sz w:val="21"/>
                <w:szCs w:val="21"/>
              </w:rPr>
            </w:pPr>
            <w:r>
              <w:rPr>
                <w:rFonts w:hint="eastAsia"/>
                <w:sz w:val="21"/>
                <w:szCs w:val="21"/>
              </w:rPr>
              <w:t>实验项目名称</w:t>
            </w:r>
          </w:p>
        </w:tc>
        <w:tc>
          <w:tcPr>
            <w:tcW w:w="4174" w:type="dxa"/>
            <w:tcBorders>
              <w:bottom w:val="nil"/>
            </w:tcBorders>
            <w:vAlign w:val="bottom"/>
          </w:tcPr>
          <w:p w14:paraId="0668AA5C">
            <w:pPr>
              <w:pStyle w:val="273"/>
              <w:spacing w:before="0" w:after="0" w:line="240" w:lineRule="auto"/>
              <w:jc w:val="center"/>
              <w:rPr>
                <w:sz w:val="21"/>
                <w:szCs w:val="21"/>
              </w:rPr>
            </w:pPr>
            <w:r>
              <w:rPr>
                <w:rFonts w:hint="eastAsia"/>
                <w:sz w:val="21"/>
                <w:szCs w:val="21"/>
              </w:rPr>
              <w:t>实验内容及要求</w:t>
            </w:r>
          </w:p>
        </w:tc>
        <w:tc>
          <w:tcPr>
            <w:tcW w:w="683" w:type="dxa"/>
            <w:tcBorders>
              <w:bottom w:val="nil"/>
            </w:tcBorders>
            <w:vAlign w:val="bottom"/>
          </w:tcPr>
          <w:p w14:paraId="6979DE40">
            <w:pPr>
              <w:pStyle w:val="273"/>
              <w:spacing w:before="0" w:after="0" w:line="240" w:lineRule="auto"/>
              <w:jc w:val="center"/>
              <w:rPr>
                <w:sz w:val="21"/>
                <w:szCs w:val="21"/>
              </w:rPr>
            </w:pPr>
            <w:r>
              <w:rPr>
                <w:rFonts w:hint="eastAsia"/>
                <w:sz w:val="21"/>
                <w:szCs w:val="21"/>
              </w:rPr>
              <w:t>学时</w:t>
            </w:r>
          </w:p>
        </w:tc>
        <w:tc>
          <w:tcPr>
            <w:tcW w:w="0" w:type="auto"/>
            <w:tcBorders>
              <w:bottom w:val="nil"/>
            </w:tcBorders>
            <w:vAlign w:val="bottom"/>
          </w:tcPr>
          <w:p w14:paraId="5F8DFB78">
            <w:pPr>
              <w:pStyle w:val="273"/>
              <w:spacing w:before="0" w:after="0" w:line="240" w:lineRule="auto"/>
              <w:jc w:val="center"/>
              <w:rPr>
                <w:sz w:val="21"/>
                <w:szCs w:val="21"/>
              </w:rPr>
            </w:pPr>
            <w:r>
              <w:rPr>
                <w:rFonts w:hint="eastAsia"/>
                <w:sz w:val="21"/>
                <w:szCs w:val="21"/>
              </w:rPr>
              <w:t>类型</w:t>
            </w:r>
          </w:p>
        </w:tc>
        <w:tc>
          <w:tcPr>
            <w:tcW w:w="0" w:type="auto"/>
            <w:tcBorders>
              <w:bottom w:val="nil"/>
            </w:tcBorders>
            <w:vAlign w:val="bottom"/>
          </w:tcPr>
          <w:p w14:paraId="2A3BB639">
            <w:pPr>
              <w:pStyle w:val="273"/>
              <w:spacing w:before="0" w:after="0" w:line="240" w:lineRule="auto"/>
              <w:jc w:val="center"/>
              <w:rPr>
                <w:sz w:val="21"/>
                <w:szCs w:val="21"/>
              </w:rPr>
            </w:pPr>
            <w:r>
              <w:rPr>
                <w:rFonts w:hint="eastAsia"/>
                <w:sz w:val="21"/>
                <w:szCs w:val="21"/>
              </w:rPr>
              <w:t>备注</w:t>
            </w:r>
          </w:p>
        </w:tc>
      </w:tr>
      <w:tr w14:paraId="5D1C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56C1E63">
            <w:pPr>
              <w:pStyle w:val="273"/>
              <w:spacing w:before="0" w:after="0" w:line="240" w:lineRule="auto"/>
              <w:rPr>
                <w:sz w:val="21"/>
                <w:szCs w:val="21"/>
              </w:rPr>
            </w:pPr>
            <w:r>
              <w:rPr>
                <w:rFonts w:hint="eastAsia"/>
                <w:sz w:val="21"/>
                <w:szCs w:val="21"/>
              </w:rPr>
              <w:t>1</w:t>
            </w:r>
          </w:p>
        </w:tc>
        <w:tc>
          <w:tcPr>
            <w:tcW w:w="1496" w:type="dxa"/>
          </w:tcPr>
          <w:p w14:paraId="7192644E">
            <w:pPr>
              <w:pStyle w:val="273"/>
              <w:spacing w:before="0" w:after="0" w:line="240" w:lineRule="auto"/>
              <w:rPr>
                <w:sz w:val="21"/>
                <w:szCs w:val="21"/>
              </w:rPr>
            </w:pPr>
            <w:r>
              <w:rPr>
                <w:rFonts w:hint="eastAsia"/>
                <w:sz w:val="21"/>
                <w:szCs w:val="21"/>
              </w:rPr>
              <w:t>STEAM课程建设案例分析</w:t>
            </w:r>
          </w:p>
        </w:tc>
        <w:tc>
          <w:tcPr>
            <w:tcW w:w="4174" w:type="dxa"/>
          </w:tcPr>
          <w:p w14:paraId="77640055">
            <w:pPr>
              <w:pStyle w:val="273"/>
              <w:spacing w:before="0" w:after="0" w:line="240" w:lineRule="auto"/>
              <w:rPr>
                <w:sz w:val="21"/>
                <w:szCs w:val="21"/>
                <w:lang w:eastAsia="zh-CN"/>
              </w:rPr>
            </w:pPr>
            <w:r>
              <w:rPr>
                <w:rFonts w:hint="eastAsia"/>
                <w:sz w:val="21"/>
                <w:szCs w:val="21"/>
                <w:lang w:eastAsia="zh-CN"/>
              </w:rPr>
              <w:t>分析一个成功的STEAM课程建设案例，识别其关键成功因素和面临的挑战，并撰写分析报告。</w:t>
            </w:r>
          </w:p>
        </w:tc>
        <w:tc>
          <w:tcPr>
            <w:tcW w:w="683" w:type="dxa"/>
          </w:tcPr>
          <w:p w14:paraId="02248FF9">
            <w:pPr>
              <w:pStyle w:val="273"/>
              <w:spacing w:before="0" w:after="0" w:line="240" w:lineRule="auto"/>
              <w:rPr>
                <w:sz w:val="21"/>
                <w:szCs w:val="21"/>
                <w:lang w:eastAsia="zh-CN"/>
              </w:rPr>
            </w:pPr>
            <w:r>
              <w:rPr>
                <w:rFonts w:hint="eastAsia"/>
                <w:sz w:val="21"/>
                <w:szCs w:val="21"/>
                <w:lang w:eastAsia="zh-CN"/>
              </w:rPr>
              <w:t>6</w:t>
            </w:r>
          </w:p>
        </w:tc>
        <w:tc>
          <w:tcPr>
            <w:tcW w:w="0" w:type="auto"/>
          </w:tcPr>
          <w:p w14:paraId="6201768E">
            <w:pPr>
              <w:pStyle w:val="273"/>
              <w:spacing w:before="0" w:after="0" w:line="240" w:lineRule="auto"/>
              <w:rPr>
                <w:sz w:val="21"/>
                <w:szCs w:val="21"/>
              </w:rPr>
            </w:pPr>
            <w:r>
              <w:rPr>
                <w:rFonts w:hint="eastAsia"/>
                <w:sz w:val="21"/>
                <w:szCs w:val="21"/>
                <w:lang w:eastAsia="zh-CN"/>
              </w:rPr>
              <w:t>综合性</w:t>
            </w:r>
          </w:p>
        </w:tc>
        <w:tc>
          <w:tcPr>
            <w:tcW w:w="0" w:type="auto"/>
          </w:tcPr>
          <w:p w14:paraId="0DFE0EFD">
            <w:pPr>
              <w:pStyle w:val="273"/>
              <w:spacing w:before="0" w:after="0" w:line="240" w:lineRule="auto"/>
              <w:rPr>
                <w:sz w:val="21"/>
                <w:szCs w:val="21"/>
              </w:rPr>
            </w:pPr>
            <w:r>
              <w:rPr>
                <w:rFonts w:hint="eastAsia"/>
                <w:sz w:val="21"/>
                <w:szCs w:val="21"/>
                <w:lang w:eastAsia="zh-CN"/>
              </w:rPr>
              <w:t>必做</w:t>
            </w:r>
          </w:p>
        </w:tc>
      </w:tr>
      <w:tr w14:paraId="226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405403C">
            <w:pPr>
              <w:pStyle w:val="273"/>
              <w:spacing w:before="0" w:after="0" w:line="240" w:lineRule="auto"/>
              <w:rPr>
                <w:sz w:val="21"/>
                <w:szCs w:val="21"/>
              </w:rPr>
            </w:pPr>
            <w:r>
              <w:rPr>
                <w:rFonts w:hint="eastAsia"/>
                <w:sz w:val="21"/>
                <w:szCs w:val="21"/>
              </w:rPr>
              <w:t>2</w:t>
            </w:r>
          </w:p>
        </w:tc>
        <w:tc>
          <w:tcPr>
            <w:tcW w:w="1496" w:type="dxa"/>
          </w:tcPr>
          <w:p w14:paraId="3F4F762A">
            <w:pPr>
              <w:pStyle w:val="273"/>
              <w:spacing w:before="0" w:after="0" w:line="240" w:lineRule="auto"/>
              <w:rPr>
                <w:sz w:val="21"/>
                <w:szCs w:val="21"/>
                <w:lang w:eastAsia="zh-CN"/>
              </w:rPr>
            </w:pPr>
            <w:r>
              <w:rPr>
                <w:rFonts w:hint="eastAsia"/>
                <w:sz w:val="21"/>
                <w:szCs w:val="21"/>
                <w:lang w:eastAsia="zh-CN"/>
              </w:rPr>
              <w:t>STEAM课程目标设计实践</w:t>
            </w:r>
          </w:p>
        </w:tc>
        <w:tc>
          <w:tcPr>
            <w:tcW w:w="4174" w:type="dxa"/>
          </w:tcPr>
          <w:p w14:paraId="3953745E">
            <w:pPr>
              <w:pStyle w:val="273"/>
              <w:spacing w:before="0" w:after="0" w:line="240" w:lineRule="auto"/>
              <w:rPr>
                <w:sz w:val="21"/>
                <w:szCs w:val="21"/>
                <w:lang w:eastAsia="zh-CN"/>
              </w:rPr>
            </w:pPr>
            <w:r>
              <w:rPr>
                <w:rFonts w:hint="eastAsia"/>
                <w:sz w:val="21"/>
                <w:szCs w:val="21"/>
                <w:lang w:eastAsia="zh-CN"/>
              </w:rPr>
              <w:t>根据课程设计原则，制定具体的STEAM课程目标，确保目标符合课程设计的框架和要求。</w:t>
            </w:r>
          </w:p>
        </w:tc>
        <w:tc>
          <w:tcPr>
            <w:tcW w:w="683" w:type="dxa"/>
          </w:tcPr>
          <w:p w14:paraId="17690933">
            <w:pPr>
              <w:pStyle w:val="273"/>
              <w:spacing w:before="0" w:after="0" w:line="240" w:lineRule="auto"/>
              <w:rPr>
                <w:sz w:val="21"/>
                <w:szCs w:val="21"/>
                <w:lang w:eastAsia="zh-CN"/>
              </w:rPr>
            </w:pPr>
            <w:r>
              <w:rPr>
                <w:rFonts w:hint="eastAsia"/>
                <w:sz w:val="21"/>
                <w:szCs w:val="21"/>
                <w:lang w:eastAsia="zh-CN"/>
              </w:rPr>
              <w:t>2</w:t>
            </w:r>
          </w:p>
        </w:tc>
        <w:tc>
          <w:tcPr>
            <w:tcW w:w="0" w:type="auto"/>
          </w:tcPr>
          <w:p w14:paraId="6499C525">
            <w:pPr>
              <w:pStyle w:val="273"/>
              <w:spacing w:before="0" w:after="0" w:line="240" w:lineRule="auto"/>
              <w:rPr>
                <w:sz w:val="21"/>
                <w:szCs w:val="21"/>
              </w:rPr>
            </w:pPr>
            <w:r>
              <w:rPr>
                <w:rFonts w:hint="eastAsia"/>
                <w:sz w:val="21"/>
                <w:szCs w:val="21"/>
                <w:lang w:eastAsia="zh-CN"/>
              </w:rPr>
              <w:t>综合性</w:t>
            </w:r>
          </w:p>
        </w:tc>
        <w:tc>
          <w:tcPr>
            <w:tcW w:w="0" w:type="auto"/>
          </w:tcPr>
          <w:p w14:paraId="3AA71FD1">
            <w:pPr>
              <w:pStyle w:val="273"/>
              <w:spacing w:before="0" w:after="0" w:line="240" w:lineRule="auto"/>
              <w:rPr>
                <w:sz w:val="21"/>
                <w:szCs w:val="21"/>
              </w:rPr>
            </w:pPr>
            <w:r>
              <w:rPr>
                <w:rFonts w:hint="eastAsia"/>
                <w:sz w:val="21"/>
                <w:szCs w:val="21"/>
                <w:lang w:eastAsia="zh-CN"/>
              </w:rPr>
              <w:t>必做</w:t>
            </w:r>
          </w:p>
        </w:tc>
      </w:tr>
      <w:tr w14:paraId="4186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373ABE00">
            <w:pPr>
              <w:pStyle w:val="273"/>
              <w:spacing w:before="0" w:after="0" w:line="240" w:lineRule="auto"/>
              <w:rPr>
                <w:sz w:val="21"/>
                <w:szCs w:val="21"/>
              </w:rPr>
            </w:pPr>
            <w:r>
              <w:rPr>
                <w:rFonts w:hint="eastAsia"/>
                <w:sz w:val="21"/>
                <w:szCs w:val="21"/>
              </w:rPr>
              <w:t>3</w:t>
            </w:r>
          </w:p>
        </w:tc>
        <w:tc>
          <w:tcPr>
            <w:tcW w:w="1496" w:type="dxa"/>
          </w:tcPr>
          <w:p w14:paraId="39876487">
            <w:pPr>
              <w:pStyle w:val="273"/>
              <w:spacing w:before="0" w:after="0" w:line="240" w:lineRule="auto"/>
              <w:rPr>
                <w:sz w:val="21"/>
                <w:szCs w:val="21"/>
                <w:lang w:eastAsia="zh-CN"/>
              </w:rPr>
            </w:pPr>
            <w:r>
              <w:rPr>
                <w:rFonts w:hint="eastAsia"/>
                <w:sz w:val="21"/>
                <w:szCs w:val="21"/>
                <w:lang w:eastAsia="zh-CN"/>
              </w:rPr>
              <w:t>STEAM课程内容开发实验</w:t>
            </w:r>
          </w:p>
        </w:tc>
        <w:tc>
          <w:tcPr>
            <w:tcW w:w="4174" w:type="dxa"/>
          </w:tcPr>
          <w:p w14:paraId="73A9DA72">
            <w:pPr>
              <w:pStyle w:val="273"/>
              <w:spacing w:before="0" w:after="0" w:line="240" w:lineRule="auto"/>
              <w:rPr>
                <w:sz w:val="21"/>
                <w:szCs w:val="21"/>
                <w:lang w:eastAsia="zh-CN"/>
              </w:rPr>
            </w:pPr>
            <w:r>
              <w:rPr>
                <w:rFonts w:hint="eastAsia"/>
                <w:sz w:val="21"/>
                <w:szCs w:val="21"/>
                <w:lang w:eastAsia="zh-CN"/>
              </w:rPr>
              <w:t>设计一个涵盖科学、技术、工程、艺术和数学五个方面的STEAM课程模块，并进行展示。</w:t>
            </w:r>
          </w:p>
        </w:tc>
        <w:tc>
          <w:tcPr>
            <w:tcW w:w="683" w:type="dxa"/>
          </w:tcPr>
          <w:p w14:paraId="38593665">
            <w:pPr>
              <w:pStyle w:val="273"/>
              <w:spacing w:before="0" w:after="0" w:line="240" w:lineRule="auto"/>
              <w:rPr>
                <w:sz w:val="21"/>
                <w:szCs w:val="21"/>
              </w:rPr>
            </w:pPr>
            <w:r>
              <w:rPr>
                <w:rFonts w:hint="eastAsia"/>
                <w:sz w:val="21"/>
                <w:szCs w:val="21"/>
              </w:rPr>
              <w:t>4</w:t>
            </w:r>
          </w:p>
        </w:tc>
        <w:tc>
          <w:tcPr>
            <w:tcW w:w="0" w:type="auto"/>
          </w:tcPr>
          <w:p w14:paraId="4EE7E585">
            <w:pPr>
              <w:pStyle w:val="273"/>
              <w:spacing w:before="0" w:after="0" w:line="240" w:lineRule="auto"/>
              <w:rPr>
                <w:sz w:val="21"/>
                <w:szCs w:val="21"/>
              </w:rPr>
            </w:pPr>
            <w:r>
              <w:rPr>
                <w:rFonts w:hint="eastAsia"/>
                <w:sz w:val="21"/>
                <w:szCs w:val="21"/>
                <w:lang w:eastAsia="zh-CN"/>
              </w:rPr>
              <w:t>综合性</w:t>
            </w:r>
          </w:p>
        </w:tc>
        <w:tc>
          <w:tcPr>
            <w:tcW w:w="0" w:type="auto"/>
          </w:tcPr>
          <w:p w14:paraId="2CA42155">
            <w:pPr>
              <w:pStyle w:val="273"/>
              <w:spacing w:before="0" w:after="0" w:line="240" w:lineRule="auto"/>
              <w:rPr>
                <w:sz w:val="21"/>
                <w:szCs w:val="21"/>
              </w:rPr>
            </w:pPr>
            <w:r>
              <w:rPr>
                <w:rFonts w:hint="eastAsia"/>
                <w:sz w:val="21"/>
                <w:szCs w:val="21"/>
                <w:lang w:eastAsia="zh-CN"/>
              </w:rPr>
              <w:t>必做</w:t>
            </w:r>
          </w:p>
        </w:tc>
      </w:tr>
      <w:tr w14:paraId="5162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22E997E">
            <w:pPr>
              <w:pStyle w:val="273"/>
              <w:spacing w:before="0" w:after="0" w:line="240" w:lineRule="auto"/>
              <w:rPr>
                <w:sz w:val="21"/>
                <w:szCs w:val="21"/>
              </w:rPr>
            </w:pPr>
            <w:r>
              <w:rPr>
                <w:rFonts w:hint="eastAsia"/>
                <w:sz w:val="21"/>
                <w:szCs w:val="21"/>
              </w:rPr>
              <w:t>4</w:t>
            </w:r>
          </w:p>
        </w:tc>
        <w:tc>
          <w:tcPr>
            <w:tcW w:w="1496" w:type="dxa"/>
          </w:tcPr>
          <w:p w14:paraId="6EE26426">
            <w:pPr>
              <w:pStyle w:val="273"/>
              <w:spacing w:before="0" w:after="0" w:line="240" w:lineRule="auto"/>
              <w:rPr>
                <w:sz w:val="21"/>
                <w:szCs w:val="21"/>
              </w:rPr>
            </w:pPr>
            <w:r>
              <w:rPr>
                <w:rFonts w:hint="eastAsia"/>
                <w:sz w:val="21"/>
                <w:szCs w:val="21"/>
              </w:rPr>
              <w:t>STEAM课程评价模拟</w:t>
            </w:r>
          </w:p>
        </w:tc>
        <w:tc>
          <w:tcPr>
            <w:tcW w:w="4174" w:type="dxa"/>
          </w:tcPr>
          <w:p w14:paraId="5B463CFF">
            <w:pPr>
              <w:pStyle w:val="273"/>
              <w:spacing w:before="0" w:after="0" w:line="240" w:lineRule="auto"/>
              <w:rPr>
                <w:sz w:val="21"/>
                <w:szCs w:val="21"/>
                <w:lang w:eastAsia="zh-CN"/>
              </w:rPr>
            </w:pPr>
            <w:r>
              <w:rPr>
                <w:rFonts w:hint="eastAsia"/>
                <w:sz w:val="21"/>
                <w:szCs w:val="21"/>
                <w:lang w:eastAsia="zh-CN"/>
              </w:rPr>
              <w:t>制定并应用一个STEAM课程评价方案，评估课程的实施效果，并提出改进建议。</w:t>
            </w:r>
          </w:p>
        </w:tc>
        <w:tc>
          <w:tcPr>
            <w:tcW w:w="683" w:type="dxa"/>
          </w:tcPr>
          <w:p w14:paraId="198441F1">
            <w:pPr>
              <w:pStyle w:val="273"/>
              <w:spacing w:before="0" w:after="0" w:line="240" w:lineRule="auto"/>
              <w:rPr>
                <w:sz w:val="21"/>
                <w:szCs w:val="21"/>
              </w:rPr>
            </w:pPr>
            <w:r>
              <w:rPr>
                <w:rFonts w:hint="eastAsia"/>
                <w:sz w:val="21"/>
                <w:szCs w:val="21"/>
              </w:rPr>
              <w:t>4</w:t>
            </w:r>
          </w:p>
        </w:tc>
        <w:tc>
          <w:tcPr>
            <w:tcW w:w="0" w:type="auto"/>
          </w:tcPr>
          <w:p w14:paraId="01320E0B">
            <w:pPr>
              <w:pStyle w:val="273"/>
              <w:spacing w:before="0" w:after="0" w:line="240" w:lineRule="auto"/>
              <w:rPr>
                <w:sz w:val="21"/>
                <w:szCs w:val="21"/>
              </w:rPr>
            </w:pPr>
            <w:r>
              <w:rPr>
                <w:rFonts w:hint="eastAsia"/>
                <w:sz w:val="21"/>
                <w:szCs w:val="21"/>
                <w:lang w:eastAsia="zh-CN"/>
              </w:rPr>
              <w:t>综合性</w:t>
            </w:r>
          </w:p>
        </w:tc>
        <w:tc>
          <w:tcPr>
            <w:tcW w:w="0" w:type="auto"/>
          </w:tcPr>
          <w:p w14:paraId="1ECB518A">
            <w:pPr>
              <w:pStyle w:val="273"/>
              <w:spacing w:before="0" w:after="0" w:line="240" w:lineRule="auto"/>
              <w:rPr>
                <w:sz w:val="21"/>
                <w:szCs w:val="21"/>
              </w:rPr>
            </w:pPr>
            <w:r>
              <w:rPr>
                <w:rFonts w:hint="eastAsia"/>
                <w:sz w:val="21"/>
                <w:szCs w:val="21"/>
                <w:lang w:eastAsia="zh-CN"/>
              </w:rPr>
              <w:t>必做</w:t>
            </w:r>
          </w:p>
        </w:tc>
      </w:tr>
      <w:bookmarkEnd w:id="314"/>
    </w:tbl>
    <w:p w14:paraId="6B7808E3">
      <w:pPr>
        <w:pStyle w:val="271"/>
      </w:pPr>
      <w:bookmarkStart w:id="315" w:name="五课程实施"/>
      <w:r>
        <w:rPr>
          <w:rFonts w:hint="eastAsia"/>
        </w:rPr>
        <w:t>五、课程实施</w:t>
      </w:r>
    </w:p>
    <w:p w14:paraId="1FAD3BB4">
      <w:pPr>
        <w:pStyle w:val="272"/>
        <w:spacing w:before="0" w:after="0"/>
        <w:rPr>
          <w:lang w:eastAsia="zh-CN"/>
        </w:rPr>
      </w:pPr>
      <w:r>
        <w:rPr>
          <w:rFonts w:hint="eastAsia"/>
          <w:lang w:eastAsia="zh-CN"/>
        </w:rPr>
        <w:t>（一）采用项目驱动、案例教学等方式，突出学生主体地位。</w:t>
      </w:r>
    </w:p>
    <w:p w14:paraId="21501C32">
      <w:pPr>
        <w:pStyle w:val="9"/>
        <w:spacing w:before="0" w:after="0"/>
        <w:rPr>
          <w:lang w:eastAsia="zh-CN"/>
        </w:rPr>
      </w:pPr>
      <w:r>
        <w:rPr>
          <w:rFonts w:hint="eastAsia"/>
          <w:lang w:eastAsia="zh-CN"/>
        </w:rPr>
        <w:t>（二）注重理论与实践结合，加强STEAM课程设计能力培养。</w:t>
      </w:r>
    </w:p>
    <w:p w14:paraId="7CC0E1D4">
      <w:pPr>
        <w:pStyle w:val="9"/>
        <w:spacing w:before="0" w:after="0"/>
        <w:rPr>
          <w:lang w:eastAsia="zh-CN"/>
        </w:rPr>
      </w:pPr>
      <w:r>
        <w:rPr>
          <w:rFonts w:hint="eastAsia"/>
          <w:lang w:eastAsia="zh-CN"/>
        </w:rPr>
        <w:t>（三）利用现代教育技术，创设真实的STEAM教学情境。</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701"/>
        <w:gridCol w:w="6817"/>
      </w:tblGrid>
      <w:tr w14:paraId="0E1F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6DAA2BDA">
            <w:pPr>
              <w:adjustRightInd w:val="0"/>
              <w:snapToGrid w:val="0"/>
              <w:spacing w:line="276" w:lineRule="auto"/>
              <w:jc w:val="center"/>
              <w:rPr>
                <w:sz w:val="21"/>
                <w:szCs w:val="18"/>
              </w:rPr>
            </w:pPr>
            <w:r>
              <w:rPr>
                <w:bCs/>
                <w:sz w:val="21"/>
                <w:szCs w:val="18"/>
              </w:rPr>
              <w:t>主要教学环节</w:t>
            </w:r>
          </w:p>
        </w:tc>
        <w:tc>
          <w:tcPr>
            <w:tcW w:w="6817" w:type="dxa"/>
            <w:tcBorders>
              <w:top w:val="single" w:color="auto" w:sz="8" w:space="0"/>
              <w:left w:val="single" w:color="auto" w:sz="8" w:space="0"/>
              <w:right w:val="single" w:color="auto" w:sz="8" w:space="0"/>
            </w:tcBorders>
            <w:vAlign w:val="center"/>
          </w:tcPr>
          <w:p w14:paraId="048CB3FB">
            <w:pPr>
              <w:adjustRightInd w:val="0"/>
              <w:snapToGrid w:val="0"/>
              <w:spacing w:line="276" w:lineRule="auto"/>
              <w:jc w:val="center"/>
              <w:rPr>
                <w:sz w:val="21"/>
                <w:szCs w:val="18"/>
              </w:rPr>
            </w:pPr>
            <w:r>
              <w:rPr>
                <w:bCs/>
                <w:sz w:val="21"/>
                <w:szCs w:val="18"/>
              </w:rPr>
              <w:t>质量</w:t>
            </w:r>
            <w:r>
              <w:rPr>
                <w:rFonts w:hint="eastAsia"/>
                <w:bCs/>
                <w:sz w:val="21"/>
                <w:szCs w:val="18"/>
              </w:rPr>
              <w:t>要求</w:t>
            </w:r>
          </w:p>
        </w:tc>
      </w:tr>
      <w:tr w14:paraId="4AA7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3A4C9BB0">
            <w:pPr>
              <w:adjustRightInd w:val="0"/>
              <w:snapToGrid w:val="0"/>
              <w:spacing w:line="276" w:lineRule="auto"/>
              <w:jc w:val="center"/>
              <w:rPr>
                <w:sz w:val="21"/>
                <w:szCs w:val="18"/>
              </w:rPr>
            </w:pPr>
            <w:r>
              <w:rPr>
                <w:sz w:val="21"/>
                <w:szCs w:val="18"/>
              </w:rPr>
              <w:t>1</w:t>
            </w:r>
          </w:p>
        </w:tc>
        <w:tc>
          <w:tcPr>
            <w:tcW w:w="1701" w:type="dxa"/>
            <w:tcMar>
              <w:left w:w="28" w:type="dxa"/>
              <w:right w:w="28" w:type="dxa"/>
            </w:tcMar>
            <w:vAlign w:val="center"/>
          </w:tcPr>
          <w:p w14:paraId="7840F2A9">
            <w:pPr>
              <w:adjustRightInd w:val="0"/>
              <w:snapToGrid w:val="0"/>
              <w:spacing w:line="276" w:lineRule="auto"/>
              <w:jc w:val="center"/>
              <w:rPr>
                <w:sz w:val="21"/>
                <w:szCs w:val="18"/>
              </w:rPr>
            </w:pPr>
            <w:r>
              <w:rPr>
                <w:sz w:val="21"/>
                <w:szCs w:val="18"/>
              </w:rPr>
              <w:t>备课</w:t>
            </w:r>
          </w:p>
        </w:tc>
        <w:tc>
          <w:tcPr>
            <w:tcW w:w="6817" w:type="dxa"/>
            <w:tcBorders>
              <w:right w:val="single" w:color="auto" w:sz="8" w:space="0"/>
            </w:tcBorders>
            <w:vAlign w:val="center"/>
          </w:tcPr>
          <w:p w14:paraId="0F62FB00">
            <w:pPr>
              <w:adjustRightInd w:val="0"/>
              <w:snapToGrid w:val="0"/>
              <w:spacing w:line="276" w:lineRule="auto"/>
              <w:ind w:left="630" w:hanging="630" w:hangingChars="300"/>
              <w:rPr>
                <w:sz w:val="21"/>
                <w:szCs w:val="18"/>
                <w:lang w:eastAsia="zh-CN"/>
              </w:rPr>
            </w:pPr>
            <w:r>
              <w:rPr>
                <w:sz w:val="21"/>
                <w:szCs w:val="18"/>
                <w:lang w:eastAsia="zh-CN"/>
              </w:rPr>
              <w:t>（1）掌握本课程教学大纲内容，严格按照教学大纲要求进行课程教学内容的组织。</w:t>
            </w:r>
          </w:p>
          <w:p w14:paraId="69357BB6">
            <w:pPr>
              <w:adjustRightInd w:val="0"/>
              <w:snapToGrid w:val="0"/>
              <w:spacing w:line="276" w:lineRule="auto"/>
              <w:ind w:left="630" w:hanging="630" w:hangingChars="300"/>
              <w:rPr>
                <w:sz w:val="21"/>
                <w:szCs w:val="18"/>
                <w:lang w:eastAsia="zh-CN"/>
              </w:rPr>
            </w:pPr>
            <w:r>
              <w:rPr>
                <w:sz w:val="21"/>
                <w:szCs w:val="18"/>
                <w:lang w:eastAsia="zh-CN"/>
              </w:rPr>
              <w:t>（2）熟悉教材各章节，借助专业书籍资料，并依据教学大纲</w:t>
            </w:r>
            <w:r>
              <w:rPr>
                <w:rFonts w:hint="eastAsia"/>
                <w:sz w:val="21"/>
                <w:szCs w:val="18"/>
                <w:lang w:eastAsia="zh-CN"/>
              </w:rPr>
              <w:t>精心设计教学方案并制作教学课件。</w:t>
            </w:r>
          </w:p>
          <w:p w14:paraId="7097CCF6">
            <w:pPr>
              <w:adjustRightInd w:val="0"/>
              <w:snapToGrid w:val="0"/>
              <w:spacing w:line="276" w:lineRule="auto"/>
              <w:rPr>
                <w:sz w:val="21"/>
                <w:szCs w:val="18"/>
                <w:lang w:eastAsia="zh-CN"/>
              </w:rPr>
            </w:pPr>
            <w:r>
              <w:rPr>
                <w:rFonts w:hint="eastAsia"/>
                <w:sz w:val="21"/>
                <w:szCs w:val="18"/>
                <w:lang w:eastAsia="zh-CN"/>
              </w:rPr>
              <w:t>（3）注重教学过程的主体性，突出学习自主学习环节的安排。</w:t>
            </w:r>
          </w:p>
        </w:tc>
      </w:tr>
      <w:tr w14:paraId="7830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4F4DD3B8">
            <w:pPr>
              <w:adjustRightInd w:val="0"/>
              <w:snapToGrid w:val="0"/>
              <w:spacing w:line="276" w:lineRule="auto"/>
              <w:jc w:val="center"/>
              <w:rPr>
                <w:sz w:val="21"/>
                <w:szCs w:val="18"/>
              </w:rPr>
            </w:pPr>
            <w:r>
              <w:rPr>
                <w:sz w:val="21"/>
                <w:szCs w:val="18"/>
              </w:rPr>
              <w:t>2</w:t>
            </w:r>
          </w:p>
        </w:tc>
        <w:tc>
          <w:tcPr>
            <w:tcW w:w="1701" w:type="dxa"/>
            <w:tcMar>
              <w:left w:w="28" w:type="dxa"/>
              <w:right w:w="28" w:type="dxa"/>
            </w:tcMar>
            <w:vAlign w:val="center"/>
          </w:tcPr>
          <w:p w14:paraId="2BE0DFB9">
            <w:pPr>
              <w:adjustRightInd w:val="0"/>
              <w:snapToGrid w:val="0"/>
              <w:spacing w:line="276" w:lineRule="auto"/>
              <w:jc w:val="center"/>
              <w:rPr>
                <w:sz w:val="21"/>
                <w:szCs w:val="18"/>
              </w:rPr>
            </w:pPr>
            <w:r>
              <w:rPr>
                <w:sz w:val="21"/>
                <w:szCs w:val="18"/>
              </w:rPr>
              <w:t>讲授</w:t>
            </w:r>
          </w:p>
        </w:tc>
        <w:tc>
          <w:tcPr>
            <w:tcW w:w="6817" w:type="dxa"/>
            <w:tcBorders>
              <w:right w:val="single" w:color="auto" w:sz="8" w:space="0"/>
            </w:tcBorders>
            <w:vAlign w:val="center"/>
          </w:tcPr>
          <w:p w14:paraId="3CE45EDF">
            <w:pPr>
              <w:adjustRightInd w:val="0"/>
              <w:snapToGrid w:val="0"/>
              <w:spacing w:line="276" w:lineRule="auto"/>
              <w:rPr>
                <w:sz w:val="21"/>
                <w:szCs w:val="18"/>
                <w:lang w:eastAsia="zh-CN"/>
              </w:rPr>
            </w:pPr>
            <w:r>
              <w:rPr>
                <w:rFonts w:hint="eastAsia"/>
                <w:sz w:val="21"/>
                <w:szCs w:val="18"/>
                <w:lang w:eastAsia="zh-CN"/>
              </w:rPr>
              <w:t>（1）</w:t>
            </w:r>
            <w:r>
              <w:rPr>
                <w:sz w:val="21"/>
                <w:szCs w:val="18"/>
                <w:lang w:eastAsia="zh-CN"/>
              </w:rPr>
              <w:t>要点准确</w:t>
            </w:r>
            <w:r>
              <w:rPr>
                <w:rFonts w:hint="eastAsia"/>
                <w:sz w:val="21"/>
                <w:szCs w:val="18"/>
                <w:lang w:eastAsia="zh-CN"/>
              </w:rPr>
              <w:t>、</w:t>
            </w:r>
            <w:r>
              <w:rPr>
                <w:sz w:val="21"/>
                <w:szCs w:val="18"/>
                <w:lang w:eastAsia="zh-CN"/>
              </w:rPr>
              <w:t>推理正确</w:t>
            </w:r>
            <w:r>
              <w:rPr>
                <w:rFonts w:hint="eastAsia"/>
                <w:sz w:val="21"/>
                <w:szCs w:val="18"/>
                <w:lang w:eastAsia="zh-CN"/>
              </w:rPr>
              <w:t>、</w:t>
            </w:r>
            <w:r>
              <w:rPr>
                <w:sz w:val="21"/>
                <w:szCs w:val="18"/>
                <w:lang w:eastAsia="zh-CN"/>
              </w:rPr>
              <w:t>条理清晰</w:t>
            </w:r>
            <w:r>
              <w:rPr>
                <w:rFonts w:hint="eastAsia"/>
                <w:sz w:val="21"/>
                <w:szCs w:val="18"/>
                <w:lang w:eastAsia="zh-CN"/>
              </w:rPr>
              <w:t>、</w:t>
            </w:r>
            <w:r>
              <w:rPr>
                <w:sz w:val="21"/>
                <w:szCs w:val="18"/>
                <w:lang w:eastAsia="zh-CN"/>
              </w:rPr>
              <w:t>重点突出，</w:t>
            </w:r>
            <w:r>
              <w:rPr>
                <w:rFonts w:hint="eastAsia"/>
                <w:sz w:val="21"/>
                <w:szCs w:val="18"/>
                <w:lang w:eastAsia="zh-CN"/>
              </w:rPr>
              <w:t>能够</w:t>
            </w:r>
            <w:r>
              <w:rPr>
                <w:sz w:val="21"/>
                <w:szCs w:val="18"/>
                <w:lang w:eastAsia="zh-CN"/>
              </w:rPr>
              <w:t>理论联系实际。</w:t>
            </w:r>
          </w:p>
          <w:p w14:paraId="2B8AA339">
            <w:pPr>
              <w:adjustRightInd w:val="0"/>
              <w:snapToGrid w:val="0"/>
              <w:spacing w:line="276" w:lineRule="auto"/>
              <w:rPr>
                <w:sz w:val="21"/>
                <w:szCs w:val="18"/>
                <w:lang w:eastAsia="zh-CN"/>
              </w:rPr>
            </w:pPr>
            <w:r>
              <w:rPr>
                <w:rFonts w:hint="eastAsia"/>
                <w:sz w:val="21"/>
                <w:szCs w:val="18"/>
                <w:lang w:eastAsia="zh-CN"/>
              </w:rPr>
              <w:t>（2）</w:t>
            </w:r>
            <w:r>
              <w:rPr>
                <w:sz w:val="21"/>
                <w:szCs w:val="18"/>
                <w:lang w:eastAsia="zh-CN"/>
              </w:rPr>
              <w:t>采用多种教学方式，注重培养学生发现、分析和解决问题的能力。</w:t>
            </w:r>
          </w:p>
          <w:p w14:paraId="05CBEFDD">
            <w:pPr>
              <w:adjustRightInd w:val="0"/>
              <w:snapToGrid w:val="0"/>
              <w:spacing w:line="276" w:lineRule="auto"/>
              <w:rPr>
                <w:sz w:val="21"/>
                <w:szCs w:val="18"/>
                <w:lang w:eastAsia="zh-CN"/>
              </w:rPr>
            </w:pPr>
            <w:r>
              <w:rPr>
                <w:rFonts w:hint="eastAsia"/>
                <w:sz w:val="21"/>
                <w:szCs w:val="18"/>
                <w:lang w:eastAsia="zh-CN"/>
              </w:rPr>
              <w:t>（3）能够充分利用现代信息技术辅助</w:t>
            </w:r>
            <w:r>
              <w:rPr>
                <w:sz w:val="21"/>
                <w:szCs w:val="18"/>
                <w:lang w:eastAsia="zh-CN"/>
              </w:rPr>
              <w:t>教学。</w:t>
            </w:r>
          </w:p>
          <w:p w14:paraId="61E53771">
            <w:pPr>
              <w:adjustRightInd w:val="0"/>
              <w:snapToGrid w:val="0"/>
              <w:spacing w:line="276" w:lineRule="auto"/>
              <w:ind w:left="630" w:hanging="630" w:hangingChars="300"/>
              <w:rPr>
                <w:sz w:val="21"/>
                <w:szCs w:val="18"/>
                <w:lang w:eastAsia="zh-CN"/>
              </w:rPr>
            </w:pPr>
            <w:r>
              <w:rPr>
                <w:rFonts w:hint="eastAsia"/>
                <w:sz w:val="21"/>
                <w:szCs w:val="18"/>
                <w:lang w:eastAsia="zh-CN"/>
              </w:rPr>
              <w:t>（4）语言表达应能</w:t>
            </w:r>
            <w:r>
              <w:rPr>
                <w:sz w:val="21"/>
                <w:szCs w:val="18"/>
                <w:lang w:eastAsia="zh-CN"/>
              </w:rPr>
              <w:t>便于学生理解、接受，力求形象生动，使学生在掌握知识的过程中，保持较为浓厚的</w:t>
            </w:r>
            <w:r>
              <w:rPr>
                <w:rFonts w:hint="eastAsia"/>
                <w:sz w:val="21"/>
                <w:szCs w:val="18"/>
                <w:lang w:eastAsia="zh-CN"/>
              </w:rPr>
              <w:t>学习</w:t>
            </w:r>
            <w:r>
              <w:rPr>
                <w:sz w:val="21"/>
                <w:szCs w:val="18"/>
                <w:lang w:eastAsia="zh-CN"/>
              </w:rPr>
              <w:t>兴趣。</w:t>
            </w:r>
          </w:p>
        </w:tc>
      </w:tr>
      <w:tr w14:paraId="126E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vAlign w:val="center"/>
          </w:tcPr>
          <w:p w14:paraId="30EB20DF">
            <w:pPr>
              <w:adjustRightInd w:val="0"/>
              <w:snapToGrid w:val="0"/>
              <w:spacing w:line="276" w:lineRule="auto"/>
              <w:jc w:val="center"/>
              <w:rPr>
                <w:sz w:val="21"/>
                <w:szCs w:val="18"/>
              </w:rPr>
            </w:pPr>
            <w:r>
              <w:rPr>
                <w:sz w:val="21"/>
                <w:szCs w:val="18"/>
              </w:rPr>
              <w:t>3</w:t>
            </w:r>
          </w:p>
        </w:tc>
        <w:tc>
          <w:tcPr>
            <w:tcW w:w="1701" w:type="dxa"/>
            <w:tcMar>
              <w:left w:w="28" w:type="dxa"/>
              <w:right w:w="28" w:type="dxa"/>
            </w:tcMar>
            <w:vAlign w:val="center"/>
          </w:tcPr>
          <w:p w14:paraId="144E884E">
            <w:pPr>
              <w:adjustRightInd w:val="0"/>
              <w:snapToGrid w:val="0"/>
              <w:spacing w:line="276" w:lineRule="auto"/>
              <w:jc w:val="center"/>
              <w:rPr>
                <w:sz w:val="21"/>
                <w:szCs w:val="18"/>
              </w:rPr>
            </w:pPr>
            <w:r>
              <w:rPr>
                <w:sz w:val="21"/>
                <w:szCs w:val="18"/>
              </w:rPr>
              <w:t>作业布置与批改</w:t>
            </w:r>
          </w:p>
        </w:tc>
        <w:tc>
          <w:tcPr>
            <w:tcW w:w="6817" w:type="dxa"/>
            <w:tcBorders>
              <w:right w:val="single" w:color="auto" w:sz="8" w:space="0"/>
            </w:tcBorders>
            <w:vAlign w:val="center"/>
          </w:tcPr>
          <w:p w14:paraId="3181DB75">
            <w:pPr>
              <w:adjustRightInd w:val="0"/>
              <w:snapToGrid w:val="0"/>
              <w:spacing w:line="276" w:lineRule="auto"/>
              <w:rPr>
                <w:sz w:val="21"/>
                <w:szCs w:val="18"/>
                <w:lang w:eastAsia="zh-CN"/>
              </w:rPr>
            </w:pPr>
            <w:r>
              <w:rPr>
                <w:sz w:val="21"/>
                <w:szCs w:val="18"/>
                <w:lang w:eastAsia="zh-CN"/>
              </w:rPr>
              <w:t>学生必须完成</w:t>
            </w:r>
            <w:r>
              <w:rPr>
                <w:rFonts w:hint="eastAsia"/>
                <w:sz w:val="21"/>
                <w:szCs w:val="18"/>
                <w:lang w:eastAsia="zh-CN"/>
              </w:rPr>
              <w:t>规定</w:t>
            </w:r>
            <w:r>
              <w:rPr>
                <w:sz w:val="21"/>
                <w:szCs w:val="18"/>
                <w:lang w:eastAsia="zh-CN"/>
              </w:rPr>
              <w:t>数量的作业</w:t>
            </w:r>
            <w:r>
              <w:rPr>
                <w:rFonts w:hint="eastAsia"/>
                <w:sz w:val="21"/>
                <w:szCs w:val="18"/>
                <w:lang w:eastAsia="zh-CN"/>
              </w:rPr>
              <w:t>，</w:t>
            </w:r>
            <w:r>
              <w:rPr>
                <w:sz w:val="21"/>
                <w:szCs w:val="18"/>
                <w:lang w:eastAsia="zh-CN"/>
              </w:rPr>
              <w:t>作业必须达到以下基本要求：</w:t>
            </w:r>
          </w:p>
          <w:p w14:paraId="1E6DACA3">
            <w:pPr>
              <w:adjustRightInd w:val="0"/>
              <w:snapToGrid w:val="0"/>
              <w:spacing w:line="276" w:lineRule="auto"/>
              <w:rPr>
                <w:sz w:val="21"/>
                <w:szCs w:val="18"/>
                <w:lang w:eastAsia="zh-CN"/>
              </w:rPr>
            </w:pPr>
            <w:r>
              <w:rPr>
                <w:rFonts w:hint="eastAsia"/>
                <w:sz w:val="21"/>
                <w:szCs w:val="18"/>
                <w:lang w:eastAsia="zh-CN"/>
              </w:rPr>
              <w:t>（1）</w:t>
            </w:r>
            <w:r>
              <w:rPr>
                <w:sz w:val="21"/>
                <w:szCs w:val="18"/>
                <w:lang w:eastAsia="zh-CN"/>
              </w:rPr>
              <w:t>按时按量完成作业，不缺交，不抄袭</w:t>
            </w:r>
            <w:r>
              <w:rPr>
                <w:rFonts w:hint="eastAsia"/>
                <w:sz w:val="21"/>
                <w:szCs w:val="18"/>
                <w:lang w:eastAsia="zh-CN"/>
              </w:rPr>
              <w:t>。</w:t>
            </w:r>
          </w:p>
          <w:p w14:paraId="4EB02C3D">
            <w:pPr>
              <w:adjustRightInd w:val="0"/>
              <w:snapToGrid w:val="0"/>
              <w:spacing w:line="276" w:lineRule="auto"/>
              <w:rPr>
                <w:sz w:val="21"/>
                <w:szCs w:val="18"/>
                <w:lang w:eastAsia="zh-CN"/>
              </w:rPr>
            </w:pPr>
            <w:r>
              <w:rPr>
                <w:rFonts w:hint="eastAsia"/>
                <w:sz w:val="21"/>
                <w:szCs w:val="18"/>
                <w:lang w:eastAsia="zh-CN"/>
              </w:rPr>
              <w:t>（2）书写</w:t>
            </w:r>
            <w:r>
              <w:rPr>
                <w:sz w:val="21"/>
                <w:szCs w:val="18"/>
                <w:lang w:eastAsia="zh-CN"/>
              </w:rPr>
              <w:t>规范</w:t>
            </w:r>
            <w:r>
              <w:rPr>
                <w:rFonts w:hint="eastAsia"/>
                <w:sz w:val="21"/>
                <w:szCs w:val="18"/>
                <w:lang w:eastAsia="zh-CN"/>
              </w:rPr>
              <w:t>、</w:t>
            </w:r>
            <w:r>
              <w:rPr>
                <w:sz w:val="21"/>
                <w:szCs w:val="18"/>
                <w:lang w:eastAsia="zh-CN"/>
              </w:rPr>
              <w:t>清晰</w:t>
            </w:r>
            <w:r>
              <w:rPr>
                <w:rFonts w:hint="eastAsia"/>
                <w:sz w:val="21"/>
                <w:szCs w:val="18"/>
                <w:lang w:eastAsia="zh-CN"/>
              </w:rPr>
              <w:t>。</w:t>
            </w:r>
          </w:p>
          <w:p w14:paraId="769D3217">
            <w:pPr>
              <w:adjustRightInd w:val="0"/>
              <w:snapToGrid w:val="0"/>
              <w:spacing w:line="276" w:lineRule="auto"/>
              <w:rPr>
                <w:sz w:val="21"/>
                <w:szCs w:val="18"/>
                <w:lang w:eastAsia="zh-CN"/>
              </w:rPr>
            </w:pPr>
            <w:r>
              <w:rPr>
                <w:rFonts w:hint="eastAsia"/>
                <w:sz w:val="21"/>
                <w:szCs w:val="18"/>
                <w:lang w:eastAsia="zh-CN"/>
              </w:rPr>
              <w:t>（3）有自己的见解</w:t>
            </w:r>
            <w:r>
              <w:rPr>
                <w:sz w:val="21"/>
                <w:szCs w:val="18"/>
                <w:lang w:eastAsia="zh-CN"/>
              </w:rPr>
              <w:t>。</w:t>
            </w:r>
          </w:p>
          <w:p w14:paraId="3E8DA001">
            <w:pPr>
              <w:adjustRightInd w:val="0"/>
              <w:snapToGrid w:val="0"/>
              <w:spacing w:line="276" w:lineRule="auto"/>
              <w:rPr>
                <w:sz w:val="21"/>
                <w:szCs w:val="18"/>
                <w:lang w:eastAsia="zh-CN"/>
              </w:rPr>
            </w:pPr>
            <w:r>
              <w:rPr>
                <w:sz w:val="21"/>
                <w:szCs w:val="18"/>
                <w:lang w:eastAsia="zh-CN"/>
              </w:rPr>
              <w:t>教师批改</w:t>
            </w:r>
            <w:r>
              <w:rPr>
                <w:rFonts w:hint="eastAsia"/>
                <w:sz w:val="21"/>
                <w:szCs w:val="18"/>
                <w:lang w:eastAsia="zh-CN"/>
              </w:rPr>
              <w:t>和</w:t>
            </w:r>
            <w:r>
              <w:rPr>
                <w:sz w:val="21"/>
                <w:szCs w:val="18"/>
                <w:lang w:eastAsia="zh-CN"/>
              </w:rPr>
              <w:t>讲评作业要求如下：</w:t>
            </w:r>
          </w:p>
          <w:p w14:paraId="210962A0">
            <w:pPr>
              <w:adjustRightInd w:val="0"/>
              <w:snapToGrid w:val="0"/>
              <w:spacing w:line="276" w:lineRule="auto"/>
              <w:rPr>
                <w:sz w:val="21"/>
                <w:szCs w:val="18"/>
                <w:lang w:eastAsia="zh-CN"/>
              </w:rPr>
            </w:pPr>
            <w:r>
              <w:rPr>
                <w:rFonts w:hint="eastAsia"/>
                <w:sz w:val="21"/>
                <w:szCs w:val="18"/>
                <w:lang w:eastAsia="zh-CN"/>
              </w:rPr>
              <w:t>（1）</w:t>
            </w:r>
            <w:r>
              <w:rPr>
                <w:sz w:val="21"/>
                <w:szCs w:val="18"/>
                <w:lang w:eastAsia="zh-CN"/>
              </w:rPr>
              <w:t>学生的作业要</w:t>
            </w:r>
            <w:r>
              <w:rPr>
                <w:rFonts w:hint="eastAsia"/>
                <w:sz w:val="21"/>
                <w:szCs w:val="18"/>
                <w:lang w:eastAsia="zh-CN"/>
              </w:rPr>
              <w:t>按时</w:t>
            </w:r>
            <w:r>
              <w:rPr>
                <w:sz w:val="21"/>
                <w:szCs w:val="18"/>
                <w:lang w:eastAsia="zh-CN"/>
              </w:rPr>
              <w:t>全</w:t>
            </w:r>
            <w:r>
              <w:rPr>
                <w:rFonts w:hint="eastAsia"/>
                <w:sz w:val="21"/>
                <w:szCs w:val="18"/>
                <w:lang w:eastAsia="zh-CN"/>
              </w:rPr>
              <w:t>部</w:t>
            </w:r>
            <w:r>
              <w:rPr>
                <w:sz w:val="21"/>
                <w:szCs w:val="18"/>
                <w:lang w:eastAsia="zh-CN"/>
              </w:rPr>
              <w:t>批改，并</w:t>
            </w:r>
            <w:r>
              <w:rPr>
                <w:rFonts w:hint="eastAsia"/>
                <w:sz w:val="21"/>
                <w:szCs w:val="18"/>
                <w:lang w:eastAsia="zh-CN"/>
              </w:rPr>
              <w:t>及时进行</w:t>
            </w:r>
            <w:r>
              <w:rPr>
                <w:sz w:val="21"/>
                <w:szCs w:val="18"/>
                <w:lang w:eastAsia="zh-CN"/>
              </w:rPr>
              <w:t>讲评</w:t>
            </w:r>
            <w:r>
              <w:rPr>
                <w:rFonts w:hint="eastAsia"/>
                <w:sz w:val="21"/>
                <w:szCs w:val="18"/>
                <w:lang w:eastAsia="zh-CN"/>
              </w:rPr>
              <w:t>。</w:t>
            </w:r>
          </w:p>
          <w:p w14:paraId="2431A5C6">
            <w:pPr>
              <w:adjustRightInd w:val="0"/>
              <w:snapToGrid w:val="0"/>
              <w:spacing w:line="276" w:lineRule="auto"/>
              <w:rPr>
                <w:sz w:val="21"/>
                <w:szCs w:val="18"/>
                <w:lang w:eastAsia="zh-CN"/>
              </w:rPr>
            </w:pPr>
            <w:r>
              <w:rPr>
                <w:rFonts w:hint="eastAsia"/>
                <w:sz w:val="21"/>
                <w:szCs w:val="18"/>
                <w:lang w:eastAsia="zh-CN"/>
              </w:rPr>
              <w:t>（2）</w:t>
            </w:r>
            <w:r>
              <w:rPr>
                <w:sz w:val="21"/>
                <w:szCs w:val="18"/>
                <w:lang w:eastAsia="zh-CN"/>
              </w:rPr>
              <w:t>教师批改</w:t>
            </w:r>
            <w:r>
              <w:rPr>
                <w:rFonts w:hint="eastAsia"/>
                <w:sz w:val="21"/>
                <w:szCs w:val="18"/>
                <w:lang w:eastAsia="zh-CN"/>
              </w:rPr>
              <w:t>和</w:t>
            </w:r>
            <w:r>
              <w:rPr>
                <w:sz w:val="21"/>
                <w:szCs w:val="18"/>
                <w:lang w:eastAsia="zh-CN"/>
              </w:rPr>
              <w:t>讲评作业要认真、细致，按百分制评定成绩并写明日期</w:t>
            </w:r>
            <w:r>
              <w:rPr>
                <w:rFonts w:hint="eastAsia"/>
                <w:sz w:val="21"/>
                <w:szCs w:val="18"/>
                <w:lang w:eastAsia="zh-CN"/>
              </w:rPr>
              <w:t>。</w:t>
            </w:r>
          </w:p>
          <w:p w14:paraId="1DF4B4C3">
            <w:pPr>
              <w:adjustRightInd w:val="0"/>
              <w:snapToGrid w:val="0"/>
              <w:spacing w:line="276" w:lineRule="auto"/>
              <w:rPr>
                <w:sz w:val="21"/>
                <w:szCs w:val="18"/>
                <w:lang w:eastAsia="zh-CN"/>
              </w:rPr>
            </w:pPr>
            <w:r>
              <w:rPr>
                <w:rFonts w:hint="eastAsia"/>
                <w:sz w:val="21"/>
                <w:szCs w:val="18"/>
                <w:lang w:eastAsia="zh-CN"/>
              </w:rPr>
              <w:t>（3）</w:t>
            </w:r>
            <w:r>
              <w:rPr>
                <w:sz w:val="21"/>
                <w:szCs w:val="18"/>
                <w:lang w:eastAsia="zh-CN"/>
              </w:rPr>
              <w:t>学生作业的平均成绩作为平时成绩的重要组成部分。</w:t>
            </w:r>
          </w:p>
        </w:tc>
      </w:tr>
      <w:tr w14:paraId="6CDA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54419AE3">
            <w:pPr>
              <w:adjustRightInd w:val="0"/>
              <w:snapToGrid w:val="0"/>
              <w:spacing w:line="276" w:lineRule="auto"/>
              <w:jc w:val="center"/>
              <w:rPr>
                <w:sz w:val="21"/>
                <w:szCs w:val="18"/>
              </w:rPr>
            </w:pPr>
            <w:r>
              <w:rPr>
                <w:sz w:val="21"/>
                <w:szCs w:val="18"/>
              </w:rPr>
              <w:t>4</w:t>
            </w:r>
          </w:p>
        </w:tc>
        <w:tc>
          <w:tcPr>
            <w:tcW w:w="1701" w:type="dxa"/>
            <w:tcMar>
              <w:left w:w="28" w:type="dxa"/>
              <w:right w:w="28" w:type="dxa"/>
            </w:tcMar>
            <w:vAlign w:val="center"/>
          </w:tcPr>
          <w:p w14:paraId="59DC06C2">
            <w:pPr>
              <w:adjustRightInd w:val="0"/>
              <w:snapToGrid w:val="0"/>
              <w:spacing w:line="276" w:lineRule="auto"/>
              <w:jc w:val="center"/>
              <w:rPr>
                <w:sz w:val="21"/>
                <w:szCs w:val="18"/>
              </w:rPr>
            </w:pPr>
            <w:r>
              <w:rPr>
                <w:sz w:val="21"/>
                <w:szCs w:val="18"/>
              </w:rPr>
              <w:t>课外答疑</w:t>
            </w:r>
          </w:p>
        </w:tc>
        <w:tc>
          <w:tcPr>
            <w:tcW w:w="6817" w:type="dxa"/>
            <w:tcBorders>
              <w:right w:val="single" w:color="auto" w:sz="8" w:space="0"/>
            </w:tcBorders>
            <w:vAlign w:val="center"/>
          </w:tcPr>
          <w:p w14:paraId="082C3EB2">
            <w:pPr>
              <w:adjustRightInd w:val="0"/>
              <w:snapToGrid w:val="0"/>
              <w:spacing w:line="276" w:lineRule="auto"/>
              <w:rPr>
                <w:sz w:val="21"/>
                <w:szCs w:val="18"/>
                <w:lang w:eastAsia="zh-CN"/>
              </w:rPr>
            </w:pPr>
            <w:r>
              <w:rPr>
                <w:sz w:val="21"/>
                <w:szCs w:val="18"/>
                <w:lang w:eastAsia="zh-CN"/>
              </w:rPr>
              <w:t>为了解学生的学习情况，帮助学生</w:t>
            </w:r>
            <w:r>
              <w:rPr>
                <w:rFonts w:hint="eastAsia"/>
                <w:sz w:val="21"/>
                <w:szCs w:val="18"/>
                <w:lang w:eastAsia="zh-CN"/>
              </w:rPr>
              <w:t>更好地</w:t>
            </w:r>
            <w:r>
              <w:rPr>
                <w:sz w:val="21"/>
                <w:szCs w:val="18"/>
                <w:lang w:eastAsia="zh-CN"/>
              </w:rPr>
              <w:t>理解和消化所学知识、改进学习方法和思维方式，培养其独立思考问题的能力，任课教师</w:t>
            </w:r>
            <w:r>
              <w:rPr>
                <w:rFonts w:hint="eastAsia"/>
                <w:sz w:val="21"/>
                <w:szCs w:val="18"/>
                <w:lang w:eastAsia="zh-CN"/>
              </w:rPr>
              <w:t>需</w:t>
            </w:r>
            <w:r>
              <w:rPr>
                <w:sz w:val="21"/>
                <w:szCs w:val="18"/>
                <w:lang w:eastAsia="zh-CN"/>
              </w:rPr>
              <w:t>每周安排</w:t>
            </w:r>
            <w:r>
              <w:rPr>
                <w:rFonts w:hint="eastAsia"/>
                <w:sz w:val="21"/>
                <w:szCs w:val="18"/>
                <w:lang w:eastAsia="zh-CN"/>
              </w:rPr>
              <w:t>一定</w:t>
            </w:r>
            <w:r>
              <w:rPr>
                <w:sz w:val="21"/>
                <w:szCs w:val="18"/>
                <w:lang w:eastAsia="zh-CN"/>
              </w:rPr>
              <w:t>时间进行课外答疑与辅导。</w:t>
            </w:r>
          </w:p>
        </w:tc>
      </w:tr>
      <w:tr w14:paraId="3174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left w:val="single" w:color="auto" w:sz="8" w:space="0"/>
            </w:tcBorders>
            <w:vAlign w:val="center"/>
          </w:tcPr>
          <w:p w14:paraId="144E8B03">
            <w:pPr>
              <w:adjustRightInd w:val="0"/>
              <w:snapToGrid w:val="0"/>
              <w:spacing w:line="276" w:lineRule="auto"/>
              <w:jc w:val="center"/>
              <w:rPr>
                <w:sz w:val="21"/>
                <w:szCs w:val="18"/>
              </w:rPr>
            </w:pPr>
            <w:r>
              <w:rPr>
                <w:sz w:val="21"/>
                <w:szCs w:val="18"/>
              </w:rPr>
              <w:t>5</w:t>
            </w:r>
          </w:p>
        </w:tc>
        <w:tc>
          <w:tcPr>
            <w:tcW w:w="1701" w:type="dxa"/>
            <w:tcMar>
              <w:left w:w="28" w:type="dxa"/>
              <w:right w:w="28" w:type="dxa"/>
            </w:tcMar>
            <w:vAlign w:val="center"/>
          </w:tcPr>
          <w:p w14:paraId="3EF19F8B">
            <w:pPr>
              <w:adjustRightInd w:val="0"/>
              <w:snapToGrid w:val="0"/>
              <w:spacing w:line="276" w:lineRule="auto"/>
              <w:jc w:val="center"/>
              <w:rPr>
                <w:sz w:val="21"/>
                <w:szCs w:val="18"/>
              </w:rPr>
            </w:pPr>
            <w:r>
              <w:rPr>
                <w:sz w:val="21"/>
                <w:szCs w:val="18"/>
              </w:rPr>
              <w:t>成绩考核</w:t>
            </w:r>
          </w:p>
        </w:tc>
        <w:tc>
          <w:tcPr>
            <w:tcW w:w="6817" w:type="dxa"/>
            <w:tcBorders>
              <w:right w:val="single" w:color="auto" w:sz="8" w:space="0"/>
            </w:tcBorders>
            <w:vAlign w:val="center"/>
          </w:tcPr>
          <w:p w14:paraId="114A1FDD">
            <w:pPr>
              <w:adjustRightInd w:val="0"/>
              <w:snapToGrid w:val="0"/>
              <w:spacing w:line="276" w:lineRule="auto"/>
              <w:rPr>
                <w:sz w:val="21"/>
                <w:szCs w:val="18"/>
                <w:lang w:eastAsia="zh-CN"/>
              </w:rPr>
            </w:pPr>
            <w:r>
              <w:rPr>
                <w:sz w:val="21"/>
                <w:szCs w:val="18"/>
                <w:lang w:eastAsia="zh-CN"/>
              </w:rPr>
              <w:t>本课程</w:t>
            </w:r>
            <w:r>
              <w:rPr>
                <w:rFonts w:hint="eastAsia"/>
                <w:sz w:val="21"/>
                <w:szCs w:val="18"/>
                <w:lang w:eastAsia="zh-CN"/>
              </w:rPr>
              <w:t>为考查科目，</w:t>
            </w:r>
            <w:r>
              <w:rPr>
                <w:sz w:val="21"/>
                <w:szCs w:val="18"/>
                <w:lang w:eastAsia="zh-CN"/>
              </w:rPr>
              <w:t>考核的方式</w:t>
            </w:r>
            <w:r>
              <w:rPr>
                <w:rFonts w:hint="eastAsia"/>
                <w:sz w:val="21"/>
                <w:szCs w:val="18"/>
                <w:lang w:eastAsia="zh-CN"/>
              </w:rPr>
              <w:t>为开卷笔试</w:t>
            </w:r>
            <w:r>
              <w:rPr>
                <w:sz w:val="21"/>
                <w:szCs w:val="18"/>
                <w:lang w:eastAsia="zh-CN"/>
              </w:rPr>
              <w:t>。有下列情况之一者，总评成绩为不及格：</w:t>
            </w:r>
          </w:p>
          <w:p w14:paraId="7092E64F">
            <w:pPr>
              <w:adjustRightInd w:val="0"/>
              <w:snapToGrid w:val="0"/>
              <w:spacing w:line="276" w:lineRule="auto"/>
              <w:rPr>
                <w:sz w:val="21"/>
                <w:szCs w:val="18"/>
                <w:lang w:eastAsia="zh-CN"/>
              </w:rPr>
            </w:pPr>
            <w:r>
              <w:rPr>
                <w:rFonts w:hint="eastAsia"/>
                <w:sz w:val="21"/>
                <w:szCs w:val="18"/>
                <w:lang w:eastAsia="zh-CN"/>
              </w:rPr>
              <w:t>（1）</w:t>
            </w:r>
            <w:r>
              <w:rPr>
                <w:sz w:val="21"/>
                <w:szCs w:val="18"/>
                <w:lang w:eastAsia="zh-CN"/>
              </w:rPr>
              <w:t>缺交作业次数达1/3以上者</w:t>
            </w:r>
            <w:r>
              <w:rPr>
                <w:rFonts w:hint="eastAsia"/>
                <w:sz w:val="21"/>
                <w:szCs w:val="18"/>
                <w:lang w:eastAsia="zh-CN"/>
              </w:rPr>
              <w:t>。</w:t>
            </w:r>
          </w:p>
          <w:p w14:paraId="1C8F109F">
            <w:pPr>
              <w:adjustRightInd w:val="0"/>
              <w:snapToGrid w:val="0"/>
              <w:spacing w:line="276" w:lineRule="auto"/>
              <w:rPr>
                <w:sz w:val="21"/>
                <w:szCs w:val="18"/>
                <w:lang w:eastAsia="zh-CN"/>
              </w:rPr>
            </w:pPr>
            <w:r>
              <w:rPr>
                <w:rFonts w:hint="eastAsia"/>
                <w:sz w:val="21"/>
                <w:szCs w:val="18"/>
                <w:lang w:eastAsia="zh-CN"/>
              </w:rPr>
              <w:t>（2）</w:t>
            </w:r>
            <w:r>
              <w:rPr>
                <w:sz w:val="21"/>
                <w:szCs w:val="18"/>
                <w:lang w:eastAsia="zh-CN"/>
              </w:rPr>
              <w:t>缺课次数达本学期总授课学时的1/3以上者</w:t>
            </w:r>
            <w:r>
              <w:rPr>
                <w:rFonts w:hint="eastAsia"/>
                <w:sz w:val="21"/>
                <w:szCs w:val="18"/>
                <w:lang w:eastAsia="zh-CN"/>
              </w:rPr>
              <w:t>。</w:t>
            </w:r>
          </w:p>
        </w:tc>
      </w:tr>
    </w:tbl>
    <w:p w14:paraId="37838A2F">
      <w:pPr>
        <w:pStyle w:val="9"/>
        <w:rPr>
          <w:lang w:eastAsia="zh-CN"/>
        </w:rPr>
      </w:pPr>
    </w:p>
    <w:bookmarkEnd w:id="315"/>
    <w:p w14:paraId="1B93C963">
      <w:pPr>
        <w:pStyle w:val="271"/>
      </w:pPr>
      <w:bookmarkStart w:id="316" w:name="六考核方式"/>
      <w:r>
        <w:rPr>
          <w:rFonts w:hint="eastAsia"/>
        </w:rPr>
        <w:t>六、考核方式</w:t>
      </w:r>
    </w:p>
    <w:p w14:paraId="04D5F02D">
      <w:pPr>
        <w:pStyle w:val="272"/>
        <w:rPr>
          <w:lang w:eastAsia="zh-CN"/>
        </w:rPr>
      </w:pPr>
      <w:r>
        <w:rPr>
          <w:rFonts w:hint="eastAsia"/>
          <w:lang w:eastAsia="zh-CN"/>
        </w:rPr>
        <w:t>（一）课程考核包括平时成绩、课内实验和期末考核三部分。</w:t>
      </w:r>
    </w:p>
    <w:p w14:paraId="2EE67808">
      <w:pPr>
        <w:pStyle w:val="9"/>
      </w:pPr>
      <w:r>
        <w:rPr>
          <w:rFonts w:hint="eastAsia"/>
          <w:lang w:eastAsia="zh-CN"/>
        </w:rPr>
        <w:t>（二）课程总成绩=平时成绩×20%+实验成绩×30%+期末考核×50%</w:t>
      </w:r>
      <w:bookmarkEnd w:id="316"/>
      <w:bookmarkStart w:id="317" w:name="七有关说明"/>
    </w:p>
    <w:tbl>
      <w:tblPr>
        <w:tblStyle w:val="2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51"/>
        <w:gridCol w:w="709"/>
        <w:gridCol w:w="4495"/>
      </w:tblGrid>
      <w:tr w14:paraId="18F4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01" w:type="dxa"/>
            <w:tcBorders>
              <w:bottom w:val="nil"/>
            </w:tcBorders>
            <w:vAlign w:val="bottom"/>
          </w:tcPr>
          <w:p w14:paraId="17146700">
            <w:pPr>
              <w:pStyle w:val="273"/>
              <w:jc w:val="center"/>
              <w:rPr>
                <w:sz w:val="21"/>
                <w:szCs w:val="21"/>
              </w:rPr>
            </w:pPr>
            <w:r>
              <w:rPr>
                <w:rFonts w:hint="eastAsia"/>
                <w:sz w:val="21"/>
                <w:szCs w:val="21"/>
              </w:rPr>
              <w:t>成绩组成</w:t>
            </w:r>
          </w:p>
        </w:tc>
        <w:tc>
          <w:tcPr>
            <w:tcW w:w="2551" w:type="dxa"/>
            <w:tcBorders>
              <w:bottom w:val="nil"/>
            </w:tcBorders>
            <w:vAlign w:val="bottom"/>
          </w:tcPr>
          <w:p w14:paraId="3754095E">
            <w:pPr>
              <w:pStyle w:val="273"/>
              <w:jc w:val="center"/>
              <w:rPr>
                <w:sz w:val="21"/>
                <w:szCs w:val="21"/>
              </w:rPr>
            </w:pPr>
            <w:r>
              <w:rPr>
                <w:rFonts w:hint="eastAsia"/>
                <w:sz w:val="21"/>
                <w:szCs w:val="21"/>
              </w:rPr>
              <w:t>考核/评价环节</w:t>
            </w:r>
          </w:p>
        </w:tc>
        <w:tc>
          <w:tcPr>
            <w:tcW w:w="709" w:type="dxa"/>
            <w:tcBorders>
              <w:bottom w:val="nil"/>
            </w:tcBorders>
            <w:vAlign w:val="bottom"/>
          </w:tcPr>
          <w:p w14:paraId="2C209C56">
            <w:pPr>
              <w:pStyle w:val="273"/>
              <w:jc w:val="center"/>
              <w:rPr>
                <w:sz w:val="21"/>
                <w:szCs w:val="21"/>
              </w:rPr>
            </w:pPr>
            <w:r>
              <w:rPr>
                <w:rFonts w:hint="eastAsia"/>
                <w:sz w:val="21"/>
                <w:szCs w:val="21"/>
              </w:rPr>
              <w:t>权重</w:t>
            </w:r>
          </w:p>
        </w:tc>
        <w:tc>
          <w:tcPr>
            <w:tcW w:w="4495" w:type="dxa"/>
            <w:tcBorders>
              <w:bottom w:val="nil"/>
            </w:tcBorders>
            <w:vAlign w:val="bottom"/>
          </w:tcPr>
          <w:p w14:paraId="519C86B6">
            <w:pPr>
              <w:pStyle w:val="273"/>
              <w:jc w:val="center"/>
              <w:rPr>
                <w:sz w:val="21"/>
                <w:szCs w:val="21"/>
              </w:rPr>
            </w:pPr>
            <w:r>
              <w:rPr>
                <w:rFonts w:hint="eastAsia"/>
                <w:sz w:val="21"/>
                <w:szCs w:val="21"/>
              </w:rPr>
              <w:t>考核/评价细则</w:t>
            </w:r>
          </w:p>
        </w:tc>
      </w:tr>
      <w:tr w14:paraId="0610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1B9A8474">
            <w:pPr>
              <w:pStyle w:val="273"/>
              <w:rPr>
                <w:sz w:val="21"/>
                <w:szCs w:val="21"/>
              </w:rPr>
            </w:pPr>
            <w:r>
              <w:rPr>
                <w:rFonts w:hint="eastAsia"/>
                <w:sz w:val="21"/>
                <w:szCs w:val="21"/>
              </w:rPr>
              <w:t>平时成绩</w:t>
            </w:r>
          </w:p>
        </w:tc>
        <w:tc>
          <w:tcPr>
            <w:tcW w:w="2551" w:type="dxa"/>
          </w:tcPr>
          <w:p w14:paraId="0C81C8BB">
            <w:pPr>
              <w:pStyle w:val="273"/>
              <w:rPr>
                <w:sz w:val="21"/>
                <w:szCs w:val="21"/>
                <w:lang w:eastAsia="zh-CN"/>
              </w:rPr>
            </w:pPr>
            <w:r>
              <w:rPr>
                <w:rFonts w:hint="eastAsia"/>
                <w:sz w:val="21"/>
                <w:szCs w:val="21"/>
                <w:lang w:eastAsia="zh-CN"/>
              </w:rPr>
              <w:t>课堂表现、作业（STEAM课程目标设计、STEAM教学演示、STEAM评价方案）</w:t>
            </w:r>
          </w:p>
        </w:tc>
        <w:tc>
          <w:tcPr>
            <w:tcW w:w="709" w:type="dxa"/>
          </w:tcPr>
          <w:p w14:paraId="6C0803EE">
            <w:pPr>
              <w:pStyle w:val="273"/>
              <w:rPr>
                <w:sz w:val="21"/>
                <w:szCs w:val="21"/>
              </w:rPr>
            </w:pPr>
            <w:r>
              <w:rPr>
                <w:sz w:val="21"/>
                <w:szCs w:val="21"/>
              </w:rPr>
              <w:t>20%</w:t>
            </w:r>
          </w:p>
        </w:tc>
        <w:tc>
          <w:tcPr>
            <w:tcW w:w="4495" w:type="dxa"/>
          </w:tcPr>
          <w:p w14:paraId="5502063B">
            <w:pPr>
              <w:pStyle w:val="273"/>
              <w:spacing w:line="240" w:lineRule="auto"/>
              <w:rPr>
                <w:sz w:val="21"/>
                <w:szCs w:val="21"/>
                <w:lang w:eastAsia="zh-CN"/>
              </w:rPr>
            </w:pPr>
            <w:r>
              <w:rPr>
                <w:sz w:val="21"/>
                <w:szCs w:val="21"/>
                <w:lang w:eastAsia="zh-CN"/>
              </w:rPr>
              <w:t>考勤（5%）、课堂参与度（</w:t>
            </w:r>
            <w:r>
              <w:rPr>
                <w:rFonts w:hint="eastAsia"/>
                <w:sz w:val="21"/>
                <w:szCs w:val="21"/>
                <w:lang w:eastAsia="zh-CN"/>
              </w:rPr>
              <w:t>5</w:t>
            </w:r>
            <w:r>
              <w:rPr>
                <w:sz w:val="21"/>
                <w:szCs w:val="21"/>
                <w:lang w:eastAsia="zh-CN"/>
              </w:rPr>
              <w:t>%）、作业完成质量（</w:t>
            </w:r>
            <w:r>
              <w:rPr>
                <w:rFonts w:hint="eastAsia"/>
                <w:sz w:val="21"/>
                <w:szCs w:val="21"/>
                <w:lang w:eastAsia="zh-CN"/>
              </w:rPr>
              <w:t>10</w:t>
            </w:r>
            <w:r>
              <w:rPr>
                <w:sz w:val="21"/>
                <w:szCs w:val="21"/>
                <w:lang w:eastAsia="zh-CN"/>
              </w:rPr>
              <w:t>%）</w:t>
            </w:r>
          </w:p>
        </w:tc>
      </w:tr>
      <w:tr w14:paraId="708D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40F82161">
            <w:pPr>
              <w:pStyle w:val="273"/>
              <w:rPr>
                <w:sz w:val="21"/>
                <w:szCs w:val="21"/>
              </w:rPr>
            </w:pPr>
            <w:r>
              <w:rPr>
                <w:rFonts w:hint="eastAsia"/>
                <w:sz w:val="21"/>
                <w:szCs w:val="21"/>
              </w:rPr>
              <w:t>实验成绩</w:t>
            </w:r>
          </w:p>
        </w:tc>
        <w:tc>
          <w:tcPr>
            <w:tcW w:w="2551" w:type="dxa"/>
          </w:tcPr>
          <w:p w14:paraId="3B604AA9">
            <w:pPr>
              <w:pStyle w:val="273"/>
              <w:rPr>
                <w:sz w:val="21"/>
                <w:szCs w:val="21"/>
              </w:rPr>
            </w:pPr>
            <w:r>
              <w:rPr>
                <w:rFonts w:hint="eastAsia"/>
                <w:sz w:val="21"/>
                <w:szCs w:val="21"/>
              </w:rPr>
              <w:t>STEAM作品、STEAM</w:t>
            </w:r>
            <w:r>
              <w:rPr>
                <w:rFonts w:hint="eastAsia"/>
                <w:sz w:val="21"/>
                <w:szCs w:val="21"/>
                <w:lang w:eastAsia="zh-CN"/>
              </w:rPr>
              <w:t>教学</w:t>
            </w:r>
            <w:r>
              <w:rPr>
                <w:rFonts w:hint="eastAsia"/>
                <w:sz w:val="21"/>
                <w:szCs w:val="21"/>
              </w:rPr>
              <w:t>设计</w:t>
            </w:r>
          </w:p>
        </w:tc>
        <w:tc>
          <w:tcPr>
            <w:tcW w:w="709" w:type="dxa"/>
          </w:tcPr>
          <w:p w14:paraId="03B5265B">
            <w:pPr>
              <w:pStyle w:val="273"/>
              <w:rPr>
                <w:sz w:val="21"/>
                <w:szCs w:val="21"/>
              </w:rPr>
            </w:pPr>
            <w:r>
              <w:rPr>
                <w:sz w:val="21"/>
                <w:szCs w:val="21"/>
              </w:rPr>
              <w:t>30%</w:t>
            </w:r>
          </w:p>
        </w:tc>
        <w:tc>
          <w:tcPr>
            <w:tcW w:w="4495" w:type="dxa"/>
          </w:tcPr>
          <w:p w14:paraId="01146AA7">
            <w:pPr>
              <w:pStyle w:val="273"/>
              <w:spacing w:line="240" w:lineRule="auto"/>
              <w:rPr>
                <w:sz w:val="21"/>
                <w:szCs w:val="21"/>
                <w:lang w:eastAsia="zh-CN"/>
              </w:rPr>
            </w:pPr>
            <w:r>
              <w:rPr>
                <w:sz w:val="21"/>
                <w:szCs w:val="21"/>
                <w:lang w:eastAsia="zh-CN"/>
              </w:rPr>
              <w:t>作品创新性（10%）、实用性（10%）、</w:t>
            </w:r>
            <w:r>
              <w:rPr>
                <w:rFonts w:hint="eastAsia"/>
                <w:sz w:val="21"/>
                <w:szCs w:val="21"/>
                <w:lang w:eastAsia="zh-CN"/>
              </w:rPr>
              <w:t>课程</w:t>
            </w:r>
            <w:r>
              <w:rPr>
                <w:sz w:val="21"/>
                <w:szCs w:val="21"/>
                <w:lang w:eastAsia="zh-CN"/>
              </w:rPr>
              <w:t>设计合理性（10%）</w:t>
            </w:r>
          </w:p>
        </w:tc>
      </w:tr>
      <w:tr w14:paraId="127C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14:paraId="1FF19078">
            <w:pPr>
              <w:pStyle w:val="273"/>
              <w:rPr>
                <w:sz w:val="21"/>
                <w:szCs w:val="21"/>
              </w:rPr>
            </w:pPr>
            <w:r>
              <w:rPr>
                <w:rFonts w:hint="eastAsia"/>
                <w:sz w:val="21"/>
                <w:szCs w:val="21"/>
              </w:rPr>
              <w:t>期末考核</w:t>
            </w:r>
          </w:p>
        </w:tc>
        <w:tc>
          <w:tcPr>
            <w:tcW w:w="2551" w:type="dxa"/>
          </w:tcPr>
          <w:p w14:paraId="6324B7FE">
            <w:pPr>
              <w:pStyle w:val="273"/>
              <w:rPr>
                <w:sz w:val="21"/>
                <w:szCs w:val="21"/>
              </w:rPr>
            </w:pPr>
            <w:r>
              <w:rPr>
                <w:rFonts w:hint="eastAsia"/>
                <w:sz w:val="21"/>
                <w:szCs w:val="21"/>
              </w:rPr>
              <w:t>STEAM课程设计方案</w:t>
            </w:r>
          </w:p>
        </w:tc>
        <w:tc>
          <w:tcPr>
            <w:tcW w:w="709" w:type="dxa"/>
          </w:tcPr>
          <w:p w14:paraId="4000B8AE">
            <w:pPr>
              <w:pStyle w:val="273"/>
              <w:rPr>
                <w:sz w:val="21"/>
                <w:szCs w:val="21"/>
              </w:rPr>
            </w:pPr>
            <w:r>
              <w:rPr>
                <w:sz w:val="21"/>
                <w:szCs w:val="21"/>
              </w:rPr>
              <w:t>50%</w:t>
            </w:r>
          </w:p>
        </w:tc>
        <w:tc>
          <w:tcPr>
            <w:tcW w:w="4495" w:type="dxa"/>
          </w:tcPr>
          <w:p w14:paraId="455725A0">
            <w:pPr>
              <w:pStyle w:val="273"/>
              <w:spacing w:line="240" w:lineRule="auto"/>
              <w:rPr>
                <w:sz w:val="21"/>
                <w:szCs w:val="21"/>
                <w:lang w:eastAsia="zh-CN"/>
              </w:rPr>
            </w:pPr>
            <w:r>
              <w:rPr>
                <w:sz w:val="21"/>
                <w:szCs w:val="21"/>
                <w:lang w:eastAsia="zh-CN"/>
              </w:rPr>
              <w:t>完整性（15%）、可行性（15%）、创新性（10%）、综合性（10%）</w:t>
            </w:r>
          </w:p>
        </w:tc>
      </w:tr>
    </w:tbl>
    <w:p w14:paraId="0D9CBAF2">
      <w:pPr>
        <w:rPr>
          <w:rFonts w:ascii="宋体" w:hAnsi="宋体"/>
          <w:lang w:eastAsia="zh-CN"/>
        </w:rPr>
      </w:pPr>
      <w:r>
        <w:rPr>
          <w:rFonts w:ascii="宋体" w:hAnsi="宋体"/>
          <w:lang w:eastAsia="zh-CN"/>
        </w:rPr>
        <w:t>（三）</w:t>
      </w:r>
      <w:r>
        <w:rPr>
          <w:rFonts w:hint="eastAsia" w:ascii="宋体" w:hAnsi="宋体"/>
          <w:lang w:eastAsia="zh-CN"/>
        </w:rPr>
        <w:t>课程目标及考核方式权重分配表</w:t>
      </w:r>
    </w:p>
    <w:p w14:paraId="08A187D7">
      <w:pPr>
        <w:ind w:firstLine="411" w:firstLineChars="196"/>
        <w:rPr>
          <w:rFonts w:hint="eastAsia" w:ascii="宋体" w:hAnsi="宋体" w:cs="Times New Roman"/>
          <w:color w:val="000000"/>
          <w:szCs w:val="21"/>
          <w:lang w:eastAsia="zh-CN"/>
        </w:rPr>
      </w:pPr>
      <w:bookmarkStart w:id="318" w:name="_Hlk186381662"/>
      <w:r>
        <w:rPr>
          <w:rFonts w:hint="eastAsia" w:ascii="宋体" w:hAnsi="宋体" w:cs="Times New Roman"/>
          <w:color w:val="000000"/>
          <w:szCs w:val="21"/>
          <w:lang w:eastAsia="zh-CN"/>
        </w:rPr>
        <w:t>所有课程目标均需大于等于</w:t>
      </w:r>
      <w:r>
        <w:rPr>
          <w:rFonts w:ascii="宋体" w:hAnsi="宋体" w:cs="Times New Roman"/>
          <w:color w:val="000000"/>
          <w:szCs w:val="21"/>
          <w:lang w:eastAsia="zh-CN"/>
        </w:rPr>
        <w:t>0.6，否则总评成绩不及格，需要补考或重修。每门课程目标总体达成度计算方法如下：</w:t>
      </w:r>
    </w:p>
    <w:p w14:paraId="731FBAC9">
      <w:pPr>
        <w:spacing w:before="120" w:beforeLines="50"/>
        <w:ind w:firstLine="420" w:firstLineChars="200"/>
        <w:rPr>
          <w:rFonts w:hint="eastAsia" w:ascii="宋体" w:hAnsi="宋体" w:cs="Times New Roman"/>
          <w:color w:val="000000"/>
          <w:szCs w:val="21"/>
        </w:rPr>
      </w:pPr>
      <w:r>
        <w:rPr>
          <w:rFonts w:ascii="宋体" w:hAnsi="宋体" w:cs="Times New Roman"/>
          <w:color w:val="000000"/>
          <w:szCs w:val="21"/>
        </w:rPr>
        <w:object>
          <v:shape id="_x0000_i1036" o:spt="75" type="#_x0000_t75" style="height:25.3pt;width:404.75pt;" o:ole="t" filled="f" o:preferrelative="t" stroked="f" coordsize="21600,21600">
            <v:path/>
            <v:fill on="f" focussize="0,0"/>
            <v:stroke on="f" joinstyle="miter"/>
            <v:imagedata r:id="rId7" o:title=""/>
            <o:lock v:ext="edit" aspectratio="t"/>
            <w10:wrap type="none"/>
            <w10:anchorlock/>
          </v:shape>
          <o:OLEObject Type="Embed" ProgID="Equation.3" ShapeID="_x0000_i1036" DrawAspect="Content" ObjectID="_1468075736" r:id="rId19">
            <o:LockedField>false</o:LockedField>
          </o:OLEObject>
        </w:object>
      </w:r>
    </w:p>
    <w:bookmarkEnd w:id="318"/>
    <w:p w14:paraId="5899AE3F">
      <w:pPr>
        <w:rPr>
          <w:rFonts w:hint="eastAsia" w:ascii="宋体" w:hAnsi="宋体"/>
          <w:lang w:eastAsia="zh-CN"/>
        </w:rPr>
      </w:pPr>
    </w:p>
    <w:tbl>
      <w:tblPr>
        <w:tblStyle w:val="30"/>
        <w:tblW w:w="81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89"/>
        <w:gridCol w:w="881"/>
        <w:gridCol w:w="1909"/>
        <w:gridCol w:w="1291"/>
        <w:gridCol w:w="2296"/>
      </w:tblGrid>
      <w:tr w14:paraId="1B9B0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2670" w:type="dxa"/>
            <w:gridSpan w:val="2"/>
            <w:shd w:val="clear" w:color="auto" w:fill="auto"/>
            <w:vAlign w:val="center"/>
          </w:tcPr>
          <w:p w14:paraId="409054DB">
            <w:pPr>
              <w:jc w:val="center"/>
              <w:rPr>
                <w:rFonts w:ascii="宋体" w:hAnsi="宋体" w:cs="宋体"/>
              </w:rPr>
            </w:pPr>
            <w:r>
              <w:rPr>
                <w:rFonts w:hint="eastAsia" w:ascii="宋体" w:hAnsi="宋体" w:cs="宋体"/>
              </w:rPr>
              <w:t>课程目标</w:t>
            </w:r>
          </w:p>
        </w:tc>
        <w:tc>
          <w:tcPr>
            <w:tcW w:w="5496" w:type="dxa"/>
            <w:gridSpan w:val="3"/>
            <w:shd w:val="clear" w:color="auto" w:fill="auto"/>
            <w:vAlign w:val="center"/>
          </w:tcPr>
          <w:p w14:paraId="36CA4B10">
            <w:pPr>
              <w:jc w:val="center"/>
              <w:rPr>
                <w:rFonts w:hint="eastAsia" w:ascii="宋体" w:hAnsi="宋体" w:cs="宋体"/>
              </w:rPr>
            </w:pPr>
            <w:r>
              <w:rPr>
                <w:rFonts w:hint="eastAsia" w:ascii="宋体" w:hAnsi="宋体" w:cs="宋体"/>
                <w:color w:val="000000"/>
                <w:szCs w:val="21"/>
              </w:rPr>
              <w:t>考核方式权重</w:t>
            </w:r>
          </w:p>
        </w:tc>
      </w:tr>
      <w:tr w14:paraId="5D33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789" w:type="dxa"/>
            <w:shd w:val="clear" w:color="auto" w:fill="auto"/>
            <w:vAlign w:val="center"/>
          </w:tcPr>
          <w:p w14:paraId="5A7CFAA3">
            <w:pPr>
              <w:jc w:val="center"/>
              <w:rPr>
                <w:rFonts w:hint="eastAsia" w:ascii="宋体" w:hAnsi="宋体" w:cs="宋体"/>
              </w:rPr>
            </w:pPr>
            <w:r>
              <w:rPr>
                <w:rFonts w:hint="eastAsia" w:ascii="宋体" w:hAnsi="宋体" w:cs="宋体"/>
              </w:rPr>
              <w:t>项目</w:t>
            </w:r>
          </w:p>
        </w:tc>
        <w:tc>
          <w:tcPr>
            <w:tcW w:w="881" w:type="dxa"/>
            <w:shd w:val="clear" w:color="auto" w:fill="auto"/>
            <w:vAlign w:val="center"/>
          </w:tcPr>
          <w:p w14:paraId="68466F93">
            <w:pPr>
              <w:jc w:val="center"/>
              <w:rPr>
                <w:rFonts w:hint="eastAsia" w:ascii="宋体" w:hAnsi="宋体" w:cs="宋体"/>
              </w:rPr>
            </w:pPr>
            <w:r>
              <w:rPr>
                <w:rFonts w:ascii="宋体" w:hAnsi="宋体" w:cs="宋体"/>
              </w:rPr>
              <w:t>权重</w:t>
            </w:r>
            <w:r>
              <w:t>a</w:t>
            </w:r>
          </w:p>
        </w:tc>
        <w:tc>
          <w:tcPr>
            <w:tcW w:w="1909" w:type="dxa"/>
            <w:shd w:val="clear" w:color="auto" w:fill="auto"/>
            <w:vAlign w:val="center"/>
          </w:tcPr>
          <w:p w14:paraId="4D8B013F">
            <w:pPr>
              <w:rPr>
                <w:rFonts w:hint="eastAsia" w:ascii="宋体" w:hAnsi="宋体" w:cs="宋体"/>
              </w:rPr>
            </w:pPr>
            <w:r>
              <w:rPr>
                <w:rFonts w:hint="eastAsia" w:ascii="宋体" w:hAnsi="宋体" w:cs="宋体"/>
              </w:rPr>
              <w:t>评价依据</w:t>
            </w:r>
          </w:p>
        </w:tc>
        <w:tc>
          <w:tcPr>
            <w:tcW w:w="1291" w:type="dxa"/>
            <w:shd w:val="clear" w:color="auto" w:fill="auto"/>
            <w:vAlign w:val="center"/>
          </w:tcPr>
          <w:p w14:paraId="6F87DD15">
            <w:pPr>
              <w:jc w:val="center"/>
              <w:rPr>
                <w:rFonts w:hint="eastAsia" w:ascii="宋体" w:hAnsi="宋体" w:cs="宋体"/>
              </w:rPr>
            </w:pPr>
            <w:r>
              <w:rPr>
                <w:rFonts w:ascii="宋体" w:hAnsi="宋体" w:cs="宋体"/>
              </w:rPr>
              <w:t>权重</w:t>
            </w:r>
            <w:r>
              <w:t>b</w:t>
            </w:r>
          </w:p>
        </w:tc>
        <w:tc>
          <w:tcPr>
            <w:tcW w:w="2296" w:type="dxa"/>
            <w:shd w:val="clear" w:color="auto" w:fill="auto"/>
            <w:vAlign w:val="center"/>
          </w:tcPr>
          <w:p w14:paraId="415FA329">
            <w:pPr>
              <w:rPr>
                <w:rFonts w:ascii="宋体" w:hAnsi="宋体" w:cs="宋体"/>
              </w:rPr>
            </w:pPr>
            <w:r>
              <w:rPr>
                <w:rFonts w:hint="eastAsia" w:ascii="宋体" w:hAnsi="宋体" w:cs="宋体"/>
                <w:color w:val="000000"/>
                <w:szCs w:val="21"/>
              </w:rPr>
              <w:t>考核方式及权重合计</w:t>
            </w:r>
          </w:p>
        </w:tc>
      </w:tr>
      <w:tr w14:paraId="6A15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7" w:hRule="atLeast"/>
          <w:jc w:val="center"/>
        </w:trPr>
        <w:tc>
          <w:tcPr>
            <w:tcW w:w="1789" w:type="dxa"/>
            <w:vMerge w:val="restart"/>
            <w:shd w:val="clear" w:color="auto" w:fill="auto"/>
            <w:vAlign w:val="center"/>
          </w:tcPr>
          <w:p w14:paraId="08BDF336">
            <w:pPr>
              <w:jc w:val="center"/>
              <w:rPr>
                <w:rFonts w:hint="eastAsia" w:ascii="宋体" w:hAnsi="宋体" w:cs="宋体"/>
              </w:rPr>
            </w:pPr>
            <w:r>
              <w:rPr>
                <w:rFonts w:ascii="宋体" w:hAnsi="宋体" w:cs="宋体"/>
              </w:rPr>
              <w:t>课程目标</w:t>
            </w:r>
            <w:r>
              <w:t>1</w:t>
            </w:r>
          </w:p>
        </w:tc>
        <w:tc>
          <w:tcPr>
            <w:tcW w:w="881" w:type="dxa"/>
            <w:vMerge w:val="restart"/>
            <w:shd w:val="clear" w:color="auto" w:fill="auto"/>
            <w:vAlign w:val="center"/>
          </w:tcPr>
          <w:p w14:paraId="48568AE3">
            <w:pPr>
              <w:jc w:val="center"/>
              <w:rPr>
                <w:rFonts w:hint="eastAsia"/>
              </w:rPr>
            </w:pPr>
            <w:r>
              <w:rPr>
                <w:rFonts w:hint="eastAsia"/>
                <w:lang w:eastAsia="zh-CN"/>
              </w:rPr>
              <w:t>3</w:t>
            </w:r>
            <w:r>
              <w:rPr>
                <w:rFonts w:hint="eastAsia"/>
              </w:rPr>
              <w:t>0%</w:t>
            </w:r>
          </w:p>
        </w:tc>
        <w:tc>
          <w:tcPr>
            <w:tcW w:w="1909" w:type="dxa"/>
            <w:shd w:val="clear" w:color="auto" w:fill="auto"/>
            <w:vAlign w:val="center"/>
          </w:tcPr>
          <w:p w14:paraId="18CC4587">
            <w:pPr>
              <w:rPr>
                <w:rFonts w:ascii="宋体" w:hAnsi="宋体" w:cs="宋体"/>
              </w:rPr>
            </w:pPr>
            <w:r>
              <w:rPr>
                <w:rFonts w:hint="eastAsia" w:ascii="宋体" w:hAnsi="宋体" w:cs="宋体"/>
              </w:rPr>
              <w:t>考试</w:t>
            </w:r>
          </w:p>
        </w:tc>
        <w:tc>
          <w:tcPr>
            <w:tcW w:w="1291" w:type="dxa"/>
            <w:shd w:val="clear" w:color="auto" w:fill="auto"/>
            <w:vAlign w:val="center"/>
          </w:tcPr>
          <w:p w14:paraId="6AD908A4">
            <w:pPr>
              <w:jc w:val="center"/>
            </w:pPr>
            <w:r>
              <w:rPr>
                <w:rFonts w:hint="eastAsia"/>
              </w:rPr>
              <w:t>60%</w:t>
            </w:r>
            <w:r>
              <w:t xml:space="preserve"> </w:t>
            </w:r>
          </w:p>
        </w:tc>
        <w:tc>
          <w:tcPr>
            <w:tcW w:w="2296" w:type="dxa"/>
            <w:vMerge w:val="restart"/>
            <w:shd w:val="clear" w:color="auto" w:fill="auto"/>
            <w:vAlign w:val="center"/>
          </w:tcPr>
          <w:p w14:paraId="1CC20889">
            <w:pPr>
              <w:jc w:val="center"/>
              <w:rPr>
                <w:rFonts w:hint="eastAsia"/>
              </w:rPr>
            </w:pPr>
            <w:r>
              <w:rPr>
                <w:rFonts w:hint="eastAsia" w:ascii="宋体" w:hAnsi="宋体" w:cs="宋体"/>
                <w:color w:val="000000"/>
                <w:szCs w:val="21"/>
              </w:rPr>
              <w:t>100%</w:t>
            </w:r>
          </w:p>
        </w:tc>
      </w:tr>
      <w:tr w14:paraId="39ED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145B5388">
            <w:pPr>
              <w:rPr>
                <w:rFonts w:ascii="宋体" w:hAnsi="宋体" w:cs="宋体"/>
              </w:rPr>
            </w:pPr>
          </w:p>
        </w:tc>
        <w:tc>
          <w:tcPr>
            <w:tcW w:w="881" w:type="dxa"/>
            <w:vMerge w:val="continue"/>
            <w:shd w:val="clear" w:color="auto" w:fill="auto"/>
            <w:vAlign w:val="center"/>
          </w:tcPr>
          <w:p w14:paraId="1B1EFD3B"/>
        </w:tc>
        <w:tc>
          <w:tcPr>
            <w:tcW w:w="1909" w:type="dxa"/>
            <w:shd w:val="clear" w:color="auto" w:fill="auto"/>
            <w:vAlign w:val="center"/>
          </w:tcPr>
          <w:p w14:paraId="59B07664">
            <w:pPr>
              <w:rPr>
                <w:rFonts w:ascii="宋体" w:hAnsi="宋体" w:cs="宋体"/>
                <w:lang w:eastAsia="zh-CN"/>
              </w:rPr>
            </w:pPr>
            <w:r>
              <w:rPr>
                <w:rFonts w:hint="eastAsia"/>
                <w:sz w:val="21"/>
                <w:szCs w:val="21"/>
                <w:lang w:eastAsia="zh-CN"/>
              </w:rPr>
              <w:t>作业（STEAM课程目标设计、STEAM教学演示、STEAM评价方案等）</w:t>
            </w:r>
          </w:p>
        </w:tc>
        <w:tc>
          <w:tcPr>
            <w:tcW w:w="1291" w:type="dxa"/>
            <w:shd w:val="clear" w:color="auto" w:fill="auto"/>
            <w:vAlign w:val="center"/>
          </w:tcPr>
          <w:p w14:paraId="6B0995C3">
            <w:pPr>
              <w:jc w:val="center"/>
              <w:rPr>
                <w:rFonts w:hint="eastAsia"/>
              </w:rPr>
            </w:pPr>
            <w:r>
              <w:rPr>
                <w:rFonts w:hint="eastAsia"/>
                <w:lang w:eastAsia="zh-CN"/>
              </w:rPr>
              <w:t>4</w:t>
            </w:r>
            <w:r>
              <w:rPr>
                <w:rFonts w:hint="eastAsia"/>
              </w:rPr>
              <w:t>0%</w:t>
            </w:r>
          </w:p>
        </w:tc>
        <w:tc>
          <w:tcPr>
            <w:tcW w:w="2296" w:type="dxa"/>
            <w:vMerge w:val="continue"/>
            <w:shd w:val="clear" w:color="auto" w:fill="auto"/>
            <w:vAlign w:val="center"/>
          </w:tcPr>
          <w:p w14:paraId="1F326D57"/>
        </w:tc>
      </w:tr>
      <w:tr w14:paraId="059D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restart"/>
            <w:shd w:val="clear" w:color="auto" w:fill="auto"/>
            <w:vAlign w:val="center"/>
          </w:tcPr>
          <w:p w14:paraId="6DBED2BA">
            <w:pPr>
              <w:jc w:val="center"/>
              <w:rPr>
                <w:rFonts w:ascii="宋体" w:hAnsi="宋体" w:cs="宋体"/>
              </w:rPr>
            </w:pPr>
            <w:r>
              <w:rPr>
                <w:rFonts w:ascii="宋体" w:hAnsi="宋体" w:cs="宋体"/>
              </w:rPr>
              <w:t>课程目标</w:t>
            </w:r>
            <w:r>
              <w:t>2</w:t>
            </w:r>
          </w:p>
        </w:tc>
        <w:tc>
          <w:tcPr>
            <w:tcW w:w="881" w:type="dxa"/>
            <w:vMerge w:val="restart"/>
            <w:shd w:val="clear" w:color="auto" w:fill="auto"/>
            <w:vAlign w:val="center"/>
          </w:tcPr>
          <w:p w14:paraId="483875D1">
            <w:pPr>
              <w:jc w:val="center"/>
              <w:rPr>
                <w:rFonts w:hint="eastAsia"/>
              </w:rPr>
            </w:pPr>
            <w:r>
              <w:rPr>
                <w:rFonts w:hint="eastAsia"/>
                <w:lang w:eastAsia="zh-CN"/>
              </w:rPr>
              <w:t>2</w:t>
            </w:r>
            <w:r>
              <w:rPr>
                <w:rFonts w:hint="eastAsia"/>
              </w:rPr>
              <w:t>0%</w:t>
            </w:r>
          </w:p>
        </w:tc>
        <w:tc>
          <w:tcPr>
            <w:tcW w:w="1909" w:type="dxa"/>
            <w:shd w:val="clear" w:color="auto" w:fill="auto"/>
            <w:vAlign w:val="center"/>
          </w:tcPr>
          <w:p w14:paraId="64CF83FB">
            <w:pPr>
              <w:rPr>
                <w:rFonts w:ascii="宋体" w:hAnsi="宋体" w:cs="宋体"/>
              </w:rPr>
            </w:pPr>
            <w:r>
              <w:rPr>
                <w:rFonts w:hint="eastAsia" w:ascii="宋体" w:hAnsi="宋体" w:cs="宋体"/>
              </w:rPr>
              <w:t>考试</w:t>
            </w:r>
          </w:p>
        </w:tc>
        <w:tc>
          <w:tcPr>
            <w:tcW w:w="1291" w:type="dxa"/>
            <w:shd w:val="clear" w:color="auto" w:fill="auto"/>
            <w:vAlign w:val="center"/>
          </w:tcPr>
          <w:p w14:paraId="6BD1D5A6">
            <w:pPr>
              <w:jc w:val="center"/>
              <w:rPr>
                <w:rFonts w:hint="eastAsia"/>
              </w:rPr>
            </w:pPr>
            <w:r>
              <w:rPr>
                <w:rFonts w:hint="eastAsia"/>
              </w:rPr>
              <w:t>30%</w:t>
            </w:r>
          </w:p>
        </w:tc>
        <w:tc>
          <w:tcPr>
            <w:tcW w:w="2296" w:type="dxa"/>
            <w:vMerge w:val="restart"/>
            <w:shd w:val="clear" w:color="auto" w:fill="auto"/>
            <w:vAlign w:val="center"/>
          </w:tcPr>
          <w:p w14:paraId="11E0CAB1">
            <w:pPr>
              <w:jc w:val="center"/>
            </w:pPr>
            <w:r>
              <w:rPr>
                <w:rFonts w:hint="eastAsia" w:ascii="宋体" w:hAnsi="宋体" w:cs="宋体"/>
                <w:color w:val="000000"/>
                <w:szCs w:val="21"/>
              </w:rPr>
              <w:t>100%</w:t>
            </w:r>
          </w:p>
        </w:tc>
      </w:tr>
      <w:tr w14:paraId="3E611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7A77BEA2">
            <w:pPr>
              <w:rPr>
                <w:rFonts w:ascii="宋体" w:hAnsi="宋体" w:cs="宋体"/>
              </w:rPr>
            </w:pPr>
          </w:p>
        </w:tc>
        <w:tc>
          <w:tcPr>
            <w:tcW w:w="881" w:type="dxa"/>
            <w:vMerge w:val="continue"/>
            <w:shd w:val="clear" w:color="auto" w:fill="auto"/>
            <w:vAlign w:val="center"/>
          </w:tcPr>
          <w:p w14:paraId="20E983A4"/>
        </w:tc>
        <w:tc>
          <w:tcPr>
            <w:tcW w:w="1909" w:type="dxa"/>
            <w:shd w:val="clear" w:color="auto" w:fill="auto"/>
            <w:vAlign w:val="center"/>
          </w:tcPr>
          <w:p w14:paraId="18841BC9">
            <w:pPr>
              <w:rPr>
                <w:rFonts w:ascii="宋体" w:hAnsi="宋体" w:cs="宋体"/>
              </w:rPr>
            </w:pPr>
            <w:r>
              <w:rPr>
                <w:rFonts w:hint="eastAsia" w:ascii="宋体" w:hAnsi="宋体" w:cs="宋体"/>
                <w:lang w:eastAsia="zh-CN"/>
              </w:rPr>
              <w:t>STEAM</w:t>
            </w:r>
            <w:r>
              <w:rPr>
                <w:rFonts w:hint="eastAsia" w:ascii="宋体" w:hAnsi="宋体" w:cs="宋体"/>
              </w:rPr>
              <w:t>作品</w:t>
            </w:r>
          </w:p>
        </w:tc>
        <w:tc>
          <w:tcPr>
            <w:tcW w:w="1291" w:type="dxa"/>
            <w:shd w:val="clear" w:color="auto" w:fill="auto"/>
            <w:vAlign w:val="center"/>
          </w:tcPr>
          <w:p w14:paraId="7956DFE7">
            <w:pPr>
              <w:jc w:val="center"/>
              <w:rPr>
                <w:rFonts w:hint="eastAsia"/>
              </w:rPr>
            </w:pPr>
            <w:r>
              <w:rPr>
                <w:rFonts w:hint="eastAsia"/>
              </w:rPr>
              <w:t>30%</w:t>
            </w:r>
          </w:p>
        </w:tc>
        <w:tc>
          <w:tcPr>
            <w:tcW w:w="2296" w:type="dxa"/>
            <w:vMerge w:val="continue"/>
            <w:shd w:val="clear" w:color="auto" w:fill="auto"/>
            <w:vAlign w:val="center"/>
          </w:tcPr>
          <w:p w14:paraId="619F3246"/>
        </w:tc>
      </w:tr>
      <w:tr w14:paraId="4AE4A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3B6E686D">
            <w:pPr>
              <w:rPr>
                <w:rFonts w:ascii="宋体" w:hAnsi="宋体" w:cs="宋体"/>
              </w:rPr>
            </w:pPr>
          </w:p>
        </w:tc>
        <w:tc>
          <w:tcPr>
            <w:tcW w:w="881" w:type="dxa"/>
            <w:vMerge w:val="continue"/>
            <w:shd w:val="clear" w:color="auto" w:fill="auto"/>
            <w:vAlign w:val="center"/>
          </w:tcPr>
          <w:p w14:paraId="609B2D56"/>
        </w:tc>
        <w:tc>
          <w:tcPr>
            <w:tcW w:w="1909" w:type="dxa"/>
            <w:shd w:val="clear" w:color="auto" w:fill="auto"/>
            <w:vAlign w:val="center"/>
          </w:tcPr>
          <w:p w14:paraId="5B6E6889">
            <w:pPr>
              <w:rPr>
                <w:rFonts w:ascii="宋体" w:hAnsi="宋体" w:cs="宋体"/>
              </w:rPr>
            </w:pPr>
            <w:r>
              <w:rPr>
                <w:rFonts w:hint="eastAsia"/>
                <w:sz w:val="21"/>
                <w:szCs w:val="21"/>
              </w:rPr>
              <w:t>STEAM</w:t>
            </w:r>
            <w:r>
              <w:rPr>
                <w:rFonts w:hint="eastAsia"/>
                <w:sz w:val="21"/>
                <w:szCs w:val="21"/>
                <w:lang w:eastAsia="zh-CN"/>
              </w:rPr>
              <w:t>教学</w:t>
            </w:r>
            <w:r>
              <w:rPr>
                <w:rFonts w:hint="eastAsia"/>
                <w:sz w:val="21"/>
                <w:szCs w:val="21"/>
              </w:rPr>
              <w:t>设计</w:t>
            </w:r>
          </w:p>
        </w:tc>
        <w:tc>
          <w:tcPr>
            <w:tcW w:w="1291" w:type="dxa"/>
            <w:shd w:val="clear" w:color="auto" w:fill="auto"/>
            <w:vAlign w:val="center"/>
          </w:tcPr>
          <w:p w14:paraId="085241E3">
            <w:pPr>
              <w:jc w:val="center"/>
              <w:rPr>
                <w:rFonts w:hint="eastAsia"/>
              </w:rPr>
            </w:pPr>
            <w:r>
              <w:rPr>
                <w:rFonts w:hint="eastAsia"/>
              </w:rPr>
              <w:t>40%</w:t>
            </w:r>
          </w:p>
        </w:tc>
        <w:tc>
          <w:tcPr>
            <w:tcW w:w="2296" w:type="dxa"/>
            <w:vMerge w:val="continue"/>
            <w:shd w:val="clear" w:color="auto" w:fill="auto"/>
            <w:vAlign w:val="center"/>
          </w:tcPr>
          <w:p w14:paraId="04C21475"/>
        </w:tc>
      </w:tr>
      <w:tr w14:paraId="204B7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restart"/>
            <w:shd w:val="clear" w:color="auto" w:fill="auto"/>
            <w:vAlign w:val="center"/>
          </w:tcPr>
          <w:p w14:paraId="3AD6F1FC">
            <w:pPr>
              <w:ind w:firstLine="210" w:firstLineChars="100"/>
              <w:rPr>
                <w:rFonts w:ascii="宋体" w:hAnsi="宋体" w:cs="宋体"/>
              </w:rPr>
            </w:pPr>
            <w:r>
              <w:rPr>
                <w:rFonts w:ascii="宋体" w:hAnsi="宋体" w:cs="宋体"/>
              </w:rPr>
              <w:t>课程目标</w:t>
            </w:r>
            <w:r>
              <w:t>3</w:t>
            </w:r>
          </w:p>
        </w:tc>
        <w:tc>
          <w:tcPr>
            <w:tcW w:w="881" w:type="dxa"/>
            <w:vMerge w:val="restart"/>
            <w:shd w:val="clear" w:color="auto" w:fill="auto"/>
            <w:vAlign w:val="center"/>
          </w:tcPr>
          <w:p w14:paraId="0A226EBA">
            <w:r>
              <w:rPr>
                <w:rFonts w:hint="eastAsia"/>
                <w:lang w:eastAsia="zh-CN"/>
              </w:rPr>
              <w:t>2</w:t>
            </w:r>
            <w:r>
              <w:rPr>
                <w:rFonts w:hint="eastAsia"/>
              </w:rPr>
              <w:t>0%</w:t>
            </w:r>
          </w:p>
        </w:tc>
        <w:tc>
          <w:tcPr>
            <w:tcW w:w="1909" w:type="dxa"/>
            <w:shd w:val="clear" w:color="auto" w:fill="auto"/>
            <w:vAlign w:val="center"/>
          </w:tcPr>
          <w:p w14:paraId="2FF7896D">
            <w:pPr>
              <w:rPr>
                <w:rFonts w:hint="eastAsia"/>
                <w:sz w:val="21"/>
                <w:szCs w:val="21"/>
              </w:rPr>
            </w:pPr>
            <w:r>
              <w:rPr>
                <w:rFonts w:hint="eastAsia" w:ascii="宋体" w:hAnsi="宋体" w:cs="宋体"/>
              </w:rPr>
              <w:t>考试</w:t>
            </w:r>
          </w:p>
        </w:tc>
        <w:tc>
          <w:tcPr>
            <w:tcW w:w="1291" w:type="dxa"/>
            <w:shd w:val="clear" w:color="auto" w:fill="auto"/>
            <w:vAlign w:val="center"/>
          </w:tcPr>
          <w:p w14:paraId="60BE2A0B">
            <w:pPr>
              <w:jc w:val="center"/>
              <w:rPr>
                <w:rFonts w:hint="eastAsia"/>
              </w:rPr>
            </w:pPr>
            <w:r>
              <w:rPr>
                <w:rFonts w:hint="eastAsia"/>
              </w:rPr>
              <w:t>50%</w:t>
            </w:r>
          </w:p>
        </w:tc>
        <w:tc>
          <w:tcPr>
            <w:tcW w:w="2296" w:type="dxa"/>
            <w:vMerge w:val="restart"/>
            <w:shd w:val="clear" w:color="auto" w:fill="auto"/>
            <w:vAlign w:val="center"/>
          </w:tcPr>
          <w:p w14:paraId="3DF8296C">
            <w:pPr>
              <w:jc w:val="center"/>
            </w:pPr>
            <w:r>
              <w:rPr>
                <w:rFonts w:hint="eastAsia" w:ascii="宋体" w:hAnsi="宋体" w:cs="宋体"/>
                <w:color w:val="000000"/>
                <w:szCs w:val="21"/>
              </w:rPr>
              <w:t>100%</w:t>
            </w:r>
          </w:p>
        </w:tc>
      </w:tr>
      <w:tr w14:paraId="307DD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7AC122BB">
            <w:pPr>
              <w:rPr>
                <w:rFonts w:ascii="宋体" w:hAnsi="宋体" w:cs="宋体"/>
              </w:rPr>
            </w:pPr>
          </w:p>
        </w:tc>
        <w:tc>
          <w:tcPr>
            <w:tcW w:w="881" w:type="dxa"/>
            <w:vMerge w:val="continue"/>
            <w:shd w:val="clear" w:color="auto" w:fill="auto"/>
            <w:vAlign w:val="center"/>
          </w:tcPr>
          <w:p w14:paraId="4449EE51"/>
        </w:tc>
        <w:tc>
          <w:tcPr>
            <w:tcW w:w="1909" w:type="dxa"/>
            <w:shd w:val="clear" w:color="auto" w:fill="auto"/>
            <w:vAlign w:val="center"/>
          </w:tcPr>
          <w:p w14:paraId="5D49AE0E">
            <w:pPr>
              <w:rPr>
                <w:rFonts w:hint="eastAsia"/>
                <w:sz w:val="21"/>
                <w:szCs w:val="21"/>
              </w:rPr>
            </w:pPr>
            <w:r>
              <w:rPr>
                <w:rFonts w:hint="eastAsia" w:ascii="宋体" w:hAnsi="宋体" w:cs="宋体"/>
                <w:lang w:eastAsia="zh-CN"/>
              </w:rPr>
              <w:t>STEAM</w:t>
            </w:r>
            <w:r>
              <w:rPr>
                <w:rFonts w:hint="eastAsia" w:ascii="宋体" w:hAnsi="宋体" w:cs="宋体"/>
              </w:rPr>
              <w:t>作品</w:t>
            </w:r>
          </w:p>
        </w:tc>
        <w:tc>
          <w:tcPr>
            <w:tcW w:w="1291" w:type="dxa"/>
            <w:shd w:val="clear" w:color="auto" w:fill="auto"/>
            <w:vAlign w:val="center"/>
          </w:tcPr>
          <w:p w14:paraId="42A75E26">
            <w:pPr>
              <w:jc w:val="center"/>
              <w:rPr>
                <w:rFonts w:hint="eastAsia"/>
              </w:rPr>
            </w:pPr>
            <w:r>
              <w:rPr>
                <w:rFonts w:hint="eastAsia"/>
              </w:rPr>
              <w:t>20%</w:t>
            </w:r>
            <w:r>
              <w:t xml:space="preserve"> </w:t>
            </w:r>
          </w:p>
        </w:tc>
        <w:tc>
          <w:tcPr>
            <w:tcW w:w="2296" w:type="dxa"/>
            <w:vMerge w:val="continue"/>
            <w:shd w:val="clear" w:color="auto" w:fill="auto"/>
            <w:vAlign w:val="center"/>
          </w:tcPr>
          <w:p w14:paraId="5F9FA28E"/>
        </w:tc>
      </w:tr>
      <w:tr w14:paraId="3F952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5588E6FE">
            <w:pPr>
              <w:rPr>
                <w:rFonts w:ascii="宋体" w:hAnsi="宋体" w:cs="宋体"/>
              </w:rPr>
            </w:pPr>
          </w:p>
        </w:tc>
        <w:tc>
          <w:tcPr>
            <w:tcW w:w="881" w:type="dxa"/>
            <w:vMerge w:val="continue"/>
            <w:shd w:val="clear" w:color="auto" w:fill="auto"/>
            <w:vAlign w:val="center"/>
          </w:tcPr>
          <w:p w14:paraId="7BE4AC63"/>
        </w:tc>
        <w:tc>
          <w:tcPr>
            <w:tcW w:w="1909" w:type="dxa"/>
            <w:shd w:val="clear" w:color="auto" w:fill="auto"/>
            <w:vAlign w:val="center"/>
          </w:tcPr>
          <w:p w14:paraId="3834566B">
            <w:pPr>
              <w:rPr>
                <w:rFonts w:hint="eastAsia"/>
                <w:sz w:val="21"/>
                <w:szCs w:val="21"/>
              </w:rPr>
            </w:pPr>
            <w:r>
              <w:rPr>
                <w:rFonts w:hint="eastAsia"/>
                <w:sz w:val="21"/>
                <w:szCs w:val="21"/>
              </w:rPr>
              <w:t>STEAM</w:t>
            </w:r>
            <w:r>
              <w:rPr>
                <w:rFonts w:hint="eastAsia"/>
                <w:sz w:val="21"/>
                <w:szCs w:val="21"/>
                <w:lang w:eastAsia="zh-CN"/>
              </w:rPr>
              <w:t>教学</w:t>
            </w:r>
            <w:r>
              <w:rPr>
                <w:rFonts w:hint="eastAsia"/>
                <w:sz w:val="21"/>
                <w:szCs w:val="21"/>
              </w:rPr>
              <w:t>设计</w:t>
            </w:r>
          </w:p>
        </w:tc>
        <w:tc>
          <w:tcPr>
            <w:tcW w:w="1291" w:type="dxa"/>
            <w:shd w:val="clear" w:color="auto" w:fill="auto"/>
            <w:vAlign w:val="center"/>
          </w:tcPr>
          <w:p w14:paraId="6EA4CDAC">
            <w:pPr>
              <w:jc w:val="center"/>
              <w:rPr>
                <w:rFonts w:hint="eastAsia"/>
              </w:rPr>
            </w:pPr>
            <w:r>
              <w:rPr>
                <w:rFonts w:hint="eastAsia"/>
              </w:rPr>
              <w:t>30%</w:t>
            </w:r>
          </w:p>
        </w:tc>
        <w:tc>
          <w:tcPr>
            <w:tcW w:w="2296" w:type="dxa"/>
            <w:vMerge w:val="continue"/>
            <w:shd w:val="clear" w:color="auto" w:fill="auto"/>
            <w:vAlign w:val="center"/>
          </w:tcPr>
          <w:p w14:paraId="40E68ABA"/>
        </w:tc>
      </w:tr>
      <w:tr w14:paraId="5267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restart"/>
            <w:shd w:val="clear" w:color="auto" w:fill="auto"/>
            <w:vAlign w:val="center"/>
          </w:tcPr>
          <w:p w14:paraId="7448986B">
            <w:pPr>
              <w:jc w:val="center"/>
              <w:rPr>
                <w:rFonts w:ascii="宋体" w:hAnsi="宋体" w:cs="宋体"/>
              </w:rPr>
            </w:pPr>
            <w:r>
              <w:rPr>
                <w:rFonts w:ascii="宋体" w:hAnsi="宋体" w:cs="宋体"/>
              </w:rPr>
              <w:t>课程目标</w:t>
            </w:r>
            <w:r>
              <w:t>4</w:t>
            </w:r>
          </w:p>
        </w:tc>
        <w:tc>
          <w:tcPr>
            <w:tcW w:w="881" w:type="dxa"/>
            <w:vMerge w:val="restart"/>
            <w:shd w:val="clear" w:color="auto" w:fill="auto"/>
            <w:vAlign w:val="center"/>
          </w:tcPr>
          <w:p w14:paraId="786D6D5E">
            <w:pPr>
              <w:jc w:val="center"/>
              <w:rPr>
                <w:rFonts w:hint="eastAsia"/>
              </w:rPr>
            </w:pPr>
            <w:r>
              <w:rPr>
                <w:rFonts w:hint="eastAsia"/>
              </w:rPr>
              <w:t>20%</w:t>
            </w:r>
          </w:p>
        </w:tc>
        <w:tc>
          <w:tcPr>
            <w:tcW w:w="1909" w:type="dxa"/>
            <w:shd w:val="clear" w:color="auto" w:fill="auto"/>
            <w:vAlign w:val="center"/>
          </w:tcPr>
          <w:p w14:paraId="0DC67B00">
            <w:pPr>
              <w:rPr>
                <w:rFonts w:ascii="宋体" w:hAnsi="宋体" w:cs="宋体"/>
              </w:rPr>
            </w:pPr>
            <w:r>
              <w:rPr>
                <w:rFonts w:hint="eastAsia" w:ascii="宋体" w:hAnsi="宋体" w:cs="宋体"/>
              </w:rPr>
              <w:t>考试</w:t>
            </w:r>
          </w:p>
        </w:tc>
        <w:tc>
          <w:tcPr>
            <w:tcW w:w="1291" w:type="dxa"/>
            <w:shd w:val="clear" w:color="auto" w:fill="auto"/>
            <w:vAlign w:val="center"/>
          </w:tcPr>
          <w:p w14:paraId="4C32FFCE">
            <w:pPr>
              <w:jc w:val="center"/>
              <w:rPr>
                <w:rFonts w:hint="eastAsia"/>
              </w:rPr>
            </w:pPr>
            <w:r>
              <w:rPr>
                <w:rFonts w:hint="eastAsia"/>
              </w:rPr>
              <w:t>70%</w:t>
            </w:r>
          </w:p>
        </w:tc>
        <w:tc>
          <w:tcPr>
            <w:tcW w:w="2296" w:type="dxa"/>
            <w:vMerge w:val="restart"/>
            <w:shd w:val="clear" w:color="auto" w:fill="auto"/>
            <w:vAlign w:val="center"/>
          </w:tcPr>
          <w:p w14:paraId="5F550978">
            <w:pPr>
              <w:jc w:val="center"/>
            </w:pPr>
          </w:p>
        </w:tc>
      </w:tr>
      <w:tr w14:paraId="6A096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continue"/>
            <w:shd w:val="clear" w:color="auto" w:fill="auto"/>
            <w:vAlign w:val="center"/>
          </w:tcPr>
          <w:p w14:paraId="037509C3">
            <w:pPr>
              <w:rPr>
                <w:rFonts w:ascii="宋体" w:hAnsi="宋体" w:cs="宋体"/>
              </w:rPr>
            </w:pPr>
          </w:p>
        </w:tc>
        <w:tc>
          <w:tcPr>
            <w:tcW w:w="881" w:type="dxa"/>
            <w:vMerge w:val="continue"/>
            <w:shd w:val="clear" w:color="auto" w:fill="auto"/>
            <w:vAlign w:val="center"/>
          </w:tcPr>
          <w:p w14:paraId="1AD1797E"/>
        </w:tc>
        <w:tc>
          <w:tcPr>
            <w:tcW w:w="1909" w:type="dxa"/>
            <w:shd w:val="clear" w:color="auto" w:fill="auto"/>
            <w:vAlign w:val="center"/>
          </w:tcPr>
          <w:p w14:paraId="05FC2888">
            <w:pPr>
              <w:rPr>
                <w:rFonts w:ascii="宋体" w:hAnsi="宋体" w:cs="宋体"/>
              </w:rPr>
            </w:pPr>
            <w:r>
              <w:rPr>
                <w:rFonts w:hint="eastAsia"/>
                <w:sz w:val="21"/>
                <w:szCs w:val="21"/>
              </w:rPr>
              <w:t>STEAM</w:t>
            </w:r>
            <w:r>
              <w:rPr>
                <w:rFonts w:hint="eastAsia"/>
                <w:sz w:val="21"/>
                <w:szCs w:val="21"/>
                <w:lang w:eastAsia="zh-CN"/>
              </w:rPr>
              <w:t>课程</w:t>
            </w:r>
            <w:r>
              <w:rPr>
                <w:rFonts w:hint="eastAsia"/>
                <w:sz w:val="21"/>
                <w:szCs w:val="21"/>
              </w:rPr>
              <w:t>设计</w:t>
            </w:r>
          </w:p>
        </w:tc>
        <w:tc>
          <w:tcPr>
            <w:tcW w:w="1291" w:type="dxa"/>
            <w:shd w:val="clear" w:color="auto" w:fill="auto"/>
            <w:vAlign w:val="center"/>
          </w:tcPr>
          <w:p w14:paraId="0D32FECE">
            <w:pPr>
              <w:jc w:val="center"/>
            </w:pPr>
            <w:r>
              <w:rPr>
                <w:rFonts w:hint="eastAsia"/>
              </w:rPr>
              <w:t>30%</w:t>
            </w:r>
          </w:p>
        </w:tc>
        <w:tc>
          <w:tcPr>
            <w:tcW w:w="2296" w:type="dxa"/>
            <w:vMerge w:val="continue"/>
            <w:shd w:val="clear" w:color="auto" w:fill="auto"/>
            <w:vAlign w:val="center"/>
          </w:tcPr>
          <w:p w14:paraId="130C9CEC"/>
        </w:tc>
      </w:tr>
      <w:tr w14:paraId="32368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vMerge w:val="restart"/>
            <w:shd w:val="clear" w:color="auto" w:fill="auto"/>
            <w:vAlign w:val="center"/>
          </w:tcPr>
          <w:p w14:paraId="37F6B281">
            <w:pPr>
              <w:jc w:val="center"/>
              <w:rPr>
                <w:rFonts w:hint="eastAsia" w:ascii="宋体" w:hAnsi="宋体" w:cs="宋体"/>
                <w:lang w:eastAsia="zh-CN"/>
              </w:rPr>
            </w:pPr>
            <w:r>
              <w:rPr>
                <w:rFonts w:ascii="宋体" w:hAnsi="宋体" w:cs="宋体"/>
              </w:rPr>
              <w:t>课程目标</w:t>
            </w:r>
            <w:r>
              <w:rPr>
                <w:rFonts w:hint="eastAsia"/>
                <w:lang w:eastAsia="zh-CN"/>
              </w:rPr>
              <w:t>5</w:t>
            </w:r>
          </w:p>
        </w:tc>
        <w:tc>
          <w:tcPr>
            <w:tcW w:w="881" w:type="dxa"/>
            <w:vMerge w:val="restart"/>
            <w:shd w:val="clear" w:color="auto" w:fill="auto"/>
            <w:vAlign w:val="center"/>
          </w:tcPr>
          <w:p w14:paraId="00648B39">
            <w:pPr>
              <w:jc w:val="center"/>
              <w:rPr>
                <w:rFonts w:hint="eastAsia"/>
                <w:lang w:eastAsia="zh-CN"/>
              </w:rPr>
            </w:pPr>
            <w:r>
              <w:rPr>
                <w:rFonts w:hint="eastAsia"/>
                <w:lang w:eastAsia="zh-CN"/>
              </w:rPr>
              <w:t>10%</w:t>
            </w:r>
          </w:p>
        </w:tc>
        <w:tc>
          <w:tcPr>
            <w:tcW w:w="1909" w:type="dxa"/>
            <w:shd w:val="clear" w:color="auto" w:fill="auto"/>
            <w:vAlign w:val="center"/>
          </w:tcPr>
          <w:p w14:paraId="32E49B17">
            <w:pPr>
              <w:rPr>
                <w:rFonts w:ascii="宋体" w:hAnsi="宋体" w:cs="宋体"/>
              </w:rPr>
            </w:pPr>
            <w:r>
              <w:rPr>
                <w:rFonts w:hint="eastAsia" w:ascii="宋体" w:hAnsi="宋体" w:cs="宋体"/>
              </w:rPr>
              <w:t>考试</w:t>
            </w:r>
          </w:p>
        </w:tc>
        <w:tc>
          <w:tcPr>
            <w:tcW w:w="1291" w:type="dxa"/>
            <w:shd w:val="clear" w:color="auto" w:fill="auto"/>
            <w:vAlign w:val="center"/>
          </w:tcPr>
          <w:p w14:paraId="2A9980C1">
            <w:pPr>
              <w:jc w:val="center"/>
              <w:rPr>
                <w:rFonts w:hint="eastAsia"/>
              </w:rPr>
            </w:pPr>
            <w:r>
              <w:rPr>
                <w:rFonts w:hint="eastAsia"/>
              </w:rPr>
              <w:t>70%</w:t>
            </w:r>
          </w:p>
        </w:tc>
        <w:tc>
          <w:tcPr>
            <w:tcW w:w="2296" w:type="dxa"/>
            <w:vMerge w:val="restart"/>
            <w:shd w:val="clear" w:color="auto" w:fill="auto"/>
            <w:vAlign w:val="center"/>
          </w:tcPr>
          <w:p w14:paraId="478D4EC3">
            <w:pPr>
              <w:jc w:val="center"/>
            </w:pPr>
            <w:r>
              <w:rPr>
                <w:rFonts w:hint="eastAsia" w:ascii="宋体" w:hAnsi="宋体" w:cs="宋体"/>
                <w:color w:val="000000"/>
                <w:szCs w:val="21"/>
              </w:rPr>
              <w:t>100%</w:t>
            </w:r>
          </w:p>
        </w:tc>
      </w:tr>
      <w:tr w14:paraId="3E831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7" w:hRule="atLeast"/>
          <w:jc w:val="center"/>
        </w:trPr>
        <w:tc>
          <w:tcPr>
            <w:tcW w:w="1789" w:type="dxa"/>
            <w:vMerge w:val="continue"/>
            <w:shd w:val="clear" w:color="auto" w:fill="auto"/>
            <w:vAlign w:val="center"/>
          </w:tcPr>
          <w:p w14:paraId="071488D0">
            <w:pPr>
              <w:rPr>
                <w:rFonts w:ascii="宋体" w:hAnsi="宋体" w:cs="宋体"/>
              </w:rPr>
            </w:pPr>
          </w:p>
        </w:tc>
        <w:tc>
          <w:tcPr>
            <w:tcW w:w="881" w:type="dxa"/>
            <w:vMerge w:val="continue"/>
            <w:shd w:val="clear" w:color="auto" w:fill="auto"/>
            <w:vAlign w:val="center"/>
          </w:tcPr>
          <w:p w14:paraId="1D196D01"/>
        </w:tc>
        <w:tc>
          <w:tcPr>
            <w:tcW w:w="1909" w:type="dxa"/>
            <w:shd w:val="clear" w:color="auto" w:fill="auto"/>
            <w:vAlign w:val="center"/>
          </w:tcPr>
          <w:p w14:paraId="4C736FC1">
            <w:pPr>
              <w:rPr>
                <w:rFonts w:ascii="宋体" w:hAnsi="宋体" w:cs="宋体"/>
              </w:rPr>
            </w:pPr>
            <w:r>
              <w:rPr>
                <w:rFonts w:hint="eastAsia"/>
                <w:sz w:val="21"/>
                <w:szCs w:val="21"/>
              </w:rPr>
              <w:t>STEAM</w:t>
            </w:r>
            <w:r>
              <w:rPr>
                <w:rFonts w:hint="eastAsia"/>
                <w:sz w:val="21"/>
                <w:szCs w:val="21"/>
                <w:lang w:eastAsia="zh-CN"/>
              </w:rPr>
              <w:t>课程</w:t>
            </w:r>
            <w:r>
              <w:rPr>
                <w:rFonts w:hint="eastAsia"/>
                <w:sz w:val="21"/>
                <w:szCs w:val="21"/>
              </w:rPr>
              <w:t>设计</w:t>
            </w:r>
          </w:p>
        </w:tc>
        <w:tc>
          <w:tcPr>
            <w:tcW w:w="1291" w:type="dxa"/>
            <w:shd w:val="clear" w:color="auto" w:fill="auto"/>
            <w:vAlign w:val="center"/>
          </w:tcPr>
          <w:p w14:paraId="1A862864">
            <w:pPr>
              <w:jc w:val="center"/>
              <w:rPr>
                <w:rFonts w:hint="eastAsia"/>
              </w:rPr>
            </w:pPr>
            <w:r>
              <w:rPr>
                <w:rFonts w:hint="eastAsia"/>
              </w:rPr>
              <w:t>30%</w:t>
            </w:r>
          </w:p>
        </w:tc>
        <w:tc>
          <w:tcPr>
            <w:tcW w:w="2296" w:type="dxa"/>
            <w:vMerge w:val="continue"/>
            <w:shd w:val="clear" w:color="auto" w:fill="auto"/>
            <w:vAlign w:val="center"/>
          </w:tcPr>
          <w:p w14:paraId="768D788E"/>
        </w:tc>
      </w:tr>
      <w:tr w14:paraId="72DE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1" w:hRule="atLeast"/>
          <w:jc w:val="center"/>
        </w:trPr>
        <w:tc>
          <w:tcPr>
            <w:tcW w:w="1789" w:type="dxa"/>
            <w:shd w:val="clear" w:color="auto" w:fill="auto"/>
            <w:vAlign w:val="center"/>
          </w:tcPr>
          <w:p w14:paraId="05C5C6F7">
            <w:pPr>
              <w:jc w:val="center"/>
              <w:rPr>
                <w:rFonts w:ascii="宋体" w:hAnsi="宋体" w:cs="宋体"/>
              </w:rPr>
            </w:pPr>
            <w:r>
              <w:rPr>
                <w:rFonts w:hint="eastAsia" w:ascii="宋体" w:hAnsi="宋体" w:cs="宋体"/>
              </w:rPr>
              <w:t>课程目标权重</w:t>
            </w:r>
          </w:p>
        </w:tc>
        <w:tc>
          <w:tcPr>
            <w:tcW w:w="881" w:type="dxa"/>
            <w:shd w:val="clear" w:color="auto" w:fill="auto"/>
            <w:vAlign w:val="center"/>
          </w:tcPr>
          <w:p w14:paraId="645BFB5A">
            <w:pPr>
              <w:jc w:val="center"/>
              <w:rPr>
                <w:rFonts w:ascii="宋体" w:hAnsi="宋体" w:cs="宋体"/>
              </w:rPr>
            </w:pPr>
            <w:r>
              <w:rPr>
                <w:rFonts w:hint="eastAsia" w:ascii="宋体" w:hAnsi="宋体" w:cs="宋体"/>
              </w:rPr>
              <w:t>100%</w:t>
            </w:r>
          </w:p>
        </w:tc>
        <w:tc>
          <w:tcPr>
            <w:tcW w:w="5496" w:type="dxa"/>
            <w:gridSpan w:val="3"/>
            <w:shd w:val="clear" w:color="auto" w:fill="auto"/>
            <w:vAlign w:val="center"/>
          </w:tcPr>
          <w:p w14:paraId="6DC525C3">
            <w:pPr>
              <w:jc w:val="center"/>
              <w:rPr>
                <w:rFonts w:hint="eastAsia"/>
              </w:rPr>
            </w:pPr>
          </w:p>
        </w:tc>
      </w:tr>
    </w:tbl>
    <w:p w14:paraId="01C23783">
      <w:pPr>
        <w:pStyle w:val="9"/>
      </w:pPr>
    </w:p>
    <w:p w14:paraId="2536A797">
      <w:pPr>
        <w:pStyle w:val="271"/>
      </w:pPr>
      <w:r>
        <w:rPr>
          <w:rFonts w:hint="eastAsia"/>
        </w:rPr>
        <w:t>七、有关说明</w:t>
      </w:r>
    </w:p>
    <w:p w14:paraId="7B5A1EB8">
      <w:pPr>
        <w:pStyle w:val="271"/>
      </w:pPr>
      <w:r>
        <w:rPr>
          <w:rFonts w:hint="eastAsia"/>
        </w:rPr>
        <w:t>（一）持续改进</w:t>
      </w:r>
    </w:p>
    <w:p w14:paraId="1B6CFCAC">
      <w:pPr>
        <w:ind w:firstLine="420" w:firstLineChars="200"/>
        <w:rPr>
          <w:szCs w:val="22"/>
          <w:lang w:eastAsia="zh-CN"/>
        </w:rPr>
      </w:pPr>
      <w:r>
        <w:rPr>
          <w:szCs w:val="22"/>
          <w:lang w:eastAsia="zh-CN"/>
        </w:rPr>
        <w:t>本课程根据学生作业、</w:t>
      </w:r>
      <w:r>
        <w:rPr>
          <w:rFonts w:hint="eastAsia"/>
          <w:szCs w:val="22"/>
          <w:lang w:eastAsia="zh-CN"/>
        </w:rPr>
        <w:t>实验</w:t>
      </w:r>
      <w:r>
        <w:rPr>
          <w:szCs w:val="22"/>
          <w:lang w:eastAsia="zh-CN"/>
        </w:rPr>
        <w:t>环节和学生、教学督导等</w:t>
      </w:r>
      <w:r>
        <w:rPr>
          <w:rFonts w:hint="eastAsia"/>
          <w:szCs w:val="22"/>
          <w:lang w:eastAsia="zh-CN"/>
        </w:rPr>
        <w:t>的</w:t>
      </w:r>
      <w:r>
        <w:rPr>
          <w:szCs w:val="22"/>
          <w:lang w:eastAsia="zh-CN"/>
        </w:rPr>
        <w:t>反馈，及时对教学中</w:t>
      </w:r>
      <w:r>
        <w:rPr>
          <w:rFonts w:hint="eastAsia"/>
          <w:szCs w:val="22"/>
          <w:lang w:eastAsia="zh-CN"/>
        </w:rPr>
        <w:t>的</w:t>
      </w:r>
      <w:r>
        <w:rPr>
          <w:szCs w:val="22"/>
          <w:lang w:eastAsia="zh-CN"/>
        </w:rPr>
        <w:t>不足之处进行改进，并在下一轮课程教学中</w:t>
      </w:r>
      <w:r>
        <w:rPr>
          <w:rFonts w:hint="eastAsia"/>
          <w:szCs w:val="22"/>
          <w:lang w:eastAsia="zh-CN"/>
        </w:rPr>
        <w:t>整改完善</w:t>
      </w:r>
      <w:r>
        <w:rPr>
          <w:szCs w:val="22"/>
          <w:lang w:eastAsia="zh-CN"/>
        </w:rPr>
        <w:t>，确保相应毕业要求指标点达成。</w:t>
      </w:r>
    </w:p>
    <w:p w14:paraId="6AC87F0C">
      <w:pPr>
        <w:pStyle w:val="271"/>
      </w:pPr>
      <w:r>
        <w:rPr>
          <w:rFonts w:hint="eastAsia"/>
        </w:rPr>
        <w:t>（二）参考书目及学习资料</w:t>
      </w:r>
    </w:p>
    <w:p w14:paraId="73BE335F">
      <w:pPr>
        <w:numPr>
          <w:ilvl w:val="0"/>
          <w:numId w:val="15"/>
        </w:numPr>
        <w:rPr>
          <w:lang w:eastAsia="zh-CN"/>
        </w:rPr>
      </w:pPr>
      <w:r>
        <w:rPr>
          <w:rFonts w:hint="eastAsia"/>
          <w:lang w:eastAsia="zh-CN"/>
        </w:rPr>
        <w:t>《</w:t>
      </w:r>
      <w:r>
        <w:rPr>
          <w:lang w:eastAsia="zh-CN"/>
        </w:rPr>
        <w:t>STEM教学设计与评价</w:t>
      </w:r>
      <w:r>
        <w:rPr>
          <w:rFonts w:hint="eastAsia"/>
          <w:lang w:eastAsia="zh-CN"/>
        </w:rPr>
        <w:t>》，管光海著，教育科学出版社，2022</w:t>
      </w:r>
    </w:p>
    <w:p w14:paraId="4FE0C3EE">
      <w:pPr>
        <w:numPr>
          <w:ilvl w:val="0"/>
          <w:numId w:val="15"/>
        </w:numPr>
        <w:rPr>
          <w:lang w:eastAsia="zh-CN"/>
        </w:rPr>
      </w:pPr>
      <w:r>
        <w:rPr>
          <w:rFonts w:hint="eastAsia"/>
          <w:lang w:eastAsia="zh-CN"/>
        </w:rPr>
        <w:t>《</w:t>
      </w:r>
      <w:r>
        <w:rPr>
          <w:lang w:eastAsia="zh-CN"/>
        </w:rPr>
        <w:t>STEM教育这样做</w:t>
      </w:r>
      <w:r>
        <w:rPr>
          <w:rFonts w:hint="eastAsia"/>
          <w:lang w:eastAsia="zh-CN"/>
        </w:rPr>
        <w:t>》，王素，李正福 著，教育科学出版社，2019</w:t>
      </w:r>
    </w:p>
    <w:p w14:paraId="2047717E">
      <w:pPr>
        <w:pStyle w:val="272"/>
        <w:jc w:val="right"/>
        <w:rPr>
          <w:lang w:eastAsia="zh-CN"/>
        </w:rPr>
      </w:pPr>
      <w:r>
        <w:rPr>
          <w:rFonts w:hint="eastAsia"/>
          <w:lang w:eastAsia="zh-CN"/>
        </w:rPr>
        <w:t>执笔人：金玉宏</w:t>
      </w:r>
      <w:r>
        <w:rPr>
          <w:lang w:eastAsia="zh-CN"/>
        </w:rPr>
        <w:t xml:space="preserve"> </w:t>
      </w:r>
      <w:r>
        <w:rPr>
          <w:lang w:eastAsia="zh-CN"/>
        </w:rPr>
        <w:br w:type="textWrapping"/>
      </w:r>
      <w:r>
        <w:rPr>
          <w:rFonts w:hint="eastAsia"/>
          <w:lang w:eastAsia="zh-CN"/>
        </w:rPr>
        <w:t>审定人：王健</w:t>
      </w:r>
      <w:r>
        <w:rPr>
          <w:lang w:eastAsia="zh-CN"/>
        </w:rPr>
        <w:br w:type="textWrapping"/>
      </w:r>
      <w:r>
        <w:rPr>
          <w:rFonts w:hint="eastAsia"/>
          <w:lang w:eastAsia="zh-CN"/>
        </w:rPr>
        <w:t>审批人：张志欣</w:t>
      </w:r>
      <w:r>
        <w:rPr>
          <w:lang w:eastAsia="zh-CN"/>
        </w:rPr>
        <w:br w:type="textWrapping"/>
      </w:r>
      <w:r>
        <w:rPr>
          <w:rFonts w:hint="eastAsia"/>
          <w:lang w:val="en-US" w:eastAsia="zh-CN"/>
        </w:rPr>
        <w:t xml:space="preserve">   </w:t>
      </w:r>
      <w:r>
        <w:rPr>
          <w:rFonts w:hint="eastAsia"/>
          <w:lang w:eastAsia="zh-CN"/>
        </w:rPr>
        <w:t>批准时间：2022年</w:t>
      </w:r>
      <w:bookmarkEnd w:id="307"/>
      <w:bookmarkEnd w:id="317"/>
      <w:r>
        <w:rPr>
          <w:rFonts w:hint="eastAsia"/>
          <w:lang w:eastAsia="zh-CN"/>
        </w:rPr>
        <w:t>9月1日</w:t>
      </w:r>
    </w:p>
    <w:p w14:paraId="42997299">
      <w:pPr>
        <w:autoSpaceDE w:val="0"/>
        <w:autoSpaceDN w:val="0"/>
        <w:adjustRightInd w:val="0"/>
        <w:spacing w:line="360" w:lineRule="auto"/>
        <w:ind w:firstLine="4800" w:firstLineChars="2000"/>
        <w:jc w:val="left"/>
        <w:rPr>
          <w:rFonts w:ascii="Times New Roman" w:hAnsi="Times New Roman" w:eastAsia="宋体" w:cs="Times New Roman"/>
          <w:kern w:val="0"/>
          <w:sz w:val="24"/>
          <w:szCs w:val="21"/>
        </w:rPr>
      </w:pPr>
    </w:p>
    <w:p w14:paraId="64D24E99">
      <w:pPr>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692569BC">
      <w:pPr>
        <w:spacing w:line="360" w:lineRule="auto"/>
        <w:jc w:val="center"/>
        <w:outlineLvl w:val="0"/>
        <w:rPr>
          <w:rFonts w:ascii="Times New Roman" w:hAnsi="Times New Roman" w:eastAsia="宋体" w:cs="Times New Roman"/>
          <w:b/>
          <w:bCs/>
          <w:sz w:val="30"/>
          <w:szCs w:val="24"/>
        </w:rPr>
      </w:pPr>
      <w:bookmarkStart w:id="319" w:name="_Toc57017207"/>
      <w:bookmarkStart w:id="320" w:name="_Toc166165236"/>
      <w:bookmarkStart w:id="321" w:name="_Toc57017208"/>
      <w:r>
        <w:rPr>
          <w:rFonts w:hint="eastAsia" w:ascii="Times New Roman" w:hAnsi="Times New Roman" w:eastAsia="宋体" w:cs="Times New Roman"/>
          <w:b/>
          <w:bCs/>
          <w:sz w:val="30"/>
          <w:szCs w:val="24"/>
        </w:rPr>
        <w:t>教育见习I课程</w:t>
      </w:r>
      <w:r>
        <w:rPr>
          <w:rFonts w:ascii="Times New Roman" w:hAnsi="Times New Roman" w:eastAsia="宋体" w:cs="Times New Roman"/>
          <w:b/>
          <w:bCs/>
          <w:sz w:val="30"/>
          <w:szCs w:val="24"/>
        </w:rPr>
        <w:t>教学大纲</w:t>
      </w:r>
      <w:bookmarkEnd w:id="319"/>
    </w:p>
    <w:p w14:paraId="4FC0919A">
      <w:pPr>
        <w:spacing w:line="360" w:lineRule="auto"/>
        <w:jc w:val="center"/>
        <w:rPr>
          <w:rFonts w:ascii="Times New Roman" w:hAnsi="Times New Roman" w:eastAsia="宋体" w:cs="Times New Roman"/>
          <w:b/>
          <w:sz w:val="28"/>
          <w:szCs w:val="28"/>
        </w:rPr>
      </w:pPr>
      <w:bookmarkStart w:id="322" w:name="_Toc27847454"/>
      <w:r>
        <w:rPr>
          <w:rFonts w:ascii="Times New Roman" w:hAnsi="Times New Roman" w:eastAsia="宋体" w:cs="Times New Roman"/>
          <w:b/>
          <w:bCs/>
          <w:sz w:val="28"/>
          <w:szCs w:val="28"/>
        </w:rPr>
        <w:t>（</w:t>
      </w:r>
      <w:r>
        <w:rPr>
          <w:rFonts w:ascii="Times New Roman" w:hAnsi="Times New Roman" w:eastAsia="黑体" w:cs="Times New Roman"/>
          <w:b/>
          <w:bCs/>
          <w:sz w:val="28"/>
          <w:szCs w:val="28"/>
        </w:rPr>
        <w:t>Educational Probation I</w:t>
      </w:r>
      <w:r>
        <w:rPr>
          <w:rFonts w:ascii="Times New Roman" w:hAnsi="Times New Roman" w:eastAsia="宋体" w:cs="Times New Roman"/>
          <w:b/>
          <w:bCs/>
          <w:sz w:val="28"/>
          <w:szCs w:val="28"/>
        </w:rPr>
        <w:t>）</w:t>
      </w:r>
      <w:bookmarkEnd w:id="322"/>
    </w:p>
    <w:p w14:paraId="29CBF1F1">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59C5AF5E">
      <w:pPr>
        <w:spacing w:line="360" w:lineRule="auto"/>
        <w:ind w:firstLine="482" w:firstLineChars="200"/>
        <w:rPr>
          <w:rFonts w:ascii="宋体" w:hAnsi="Times New Roman"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：2401046</w:t>
      </w:r>
    </w:p>
    <w:p w14:paraId="47325B46">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b/>
          <w:color w:val="000000"/>
          <w:kern w:val="0"/>
          <w:sz w:val="24"/>
          <w:szCs w:val="24"/>
        </w:rPr>
        <w:t>1</w:t>
      </w:r>
    </w:p>
    <w:p w14:paraId="54F08209">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511132FB">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color w:val="000000"/>
          <w:kern w:val="0"/>
          <w:sz w:val="24"/>
          <w:szCs w:val="24"/>
        </w:rPr>
        <w:t>专业导学、小学心理学、 书写技能、教育原理、 教师职业道德，以及部分数学/中文类课程</w:t>
      </w:r>
    </w:p>
    <w:p w14:paraId="048BFDAE">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1796F33F">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见习手册（自编）</w:t>
      </w:r>
    </w:p>
    <w:p w14:paraId="4D382E6E">
      <w:pPr>
        <w:spacing w:line="360" w:lineRule="auto"/>
        <w:ind w:firstLine="482" w:firstLineChars="200"/>
        <w:rPr>
          <w:rFonts w:ascii="宋体" w:hAnsi="Times New Roman"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63F2A804">
      <w:pPr>
        <w:spacing w:line="360" w:lineRule="auto"/>
        <w:ind w:firstLine="482" w:firstLineChars="200"/>
        <w:rPr>
          <w:rFonts w:ascii="宋体"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themeColor="text1"/>
          <w:kern w:val="0"/>
          <w:sz w:val="24"/>
          <w:szCs w:val="24"/>
          <w14:textFill>
            <w14:solidFill>
              <w14:schemeClr w14:val="tx1"/>
            </w14:solidFill>
          </w14:textFill>
        </w:rPr>
        <w:t>教育见习</w:t>
      </w:r>
      <w:r>
        <w:rPr>
          <w:rFonts w:ascii="宋体" w:hAnsi="宋体" w:eastAsia="宋体" w:cs="Times New Roman"/>
          <w:color w:val="000000" w:themeColor="text1"/>
          <w:kern w:val="0"/>
          <w:sz w:val="24"/>
          <w:szCs w:val="24"/>
          <w14:textFill>
            <w14:solidFill>
              <w14:schemeClr w14:val="tx1"/>
            </w14:solidFill>
          </w14:textFill>
        </w:rPr>
        <w:t>I</w:t>
      </w:r>
      <w:r>
        <w:rPr>
          <w:rFonts w:hint="eastAsia" w:ascii="宋体" w:hAnsi="宋体" w:eastAsia="宋体" w:cs="Times New Roman"/>
          <w:color w:val="000000" w:themeColor="text1"/>
          <w:kern w:val="0"/>
          <w:sz w:val="24"/>
          <w:szCs w:val="24"/>
          <w14:textFill>
            <w14:solidFill>
              <w14:schemeClr w14:val="tx1"/>
            </w14:solidFill>
          </w14:textFill>
        </w:rPr>
        <w:t>是小学教育专业重要的实践类课程。本课程的任务和目的是使学生充分接触小学日常生活，了解小学教育教学工作的特点，体会教师职业价值，树立从教理想；初步训练听课、评课和小学班主任(辅导员)工作的技能，巩固所学的专业知识和技能；培养研究小学教育教学问题的兴趣，养成正确的专业态度。</w:t>
      </w:r>
    </w:p>
    <w:p w14:paraId="287E21AB">
      <w:pPr>
        <w:spacing w:line="360" w:lineRule="auto"/>
        <w:ind w:firstLine="562" w:firstLineChars="200"/>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二、课程目标</w:t>
      </w:r>
    </w:p>
    <w:p w14:paraId="2C2C7062">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了解小学日常生活，体验教师工作岗位，初步具有教师角色意识，认同教师职业，具有良好的学生观，尊重学生、关心学生，具有从事教师的理想信念。</w:t>
      </w:r>
    </w:p>
    <w:p w14:paraId="195DB322">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06F07AF2">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通过与小学生相处，了解小学生心理发展的特点，愿意亲近学生，理解学科育人、管理育人、活动育人，建立综合育人的基本观念。</w:t>
      </w:r>
    </w:p>
    <w:p w14:paraId="6E80BB9E">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4.</w:t>
      </w:r>
      <w:r>
        <w:rPr>
          <w:rFonts w:hint="eastAsia" w:ascii="宋体" w:hAnsi="宋体" w:eastAsia="宋体" w:cs="Times New Roman"/>
          <w:color w:val="000000" w:themeColor="text1"/>
          <w:sz w:val="24"/>
          <w:szCs w:val="24"/>
          <w14:textFill>
            <w14:solidFill>
              <w14:schemeClr w14:val="tx1"/>
            </w14:solidFill>
          </w14:textFill>
        </w:rPr>
        <w:t>通过分组实习，主动与他人合作学习，主动与指导教师、小学生、学生家长进行积极沟通，了解沟通交流的一些方法。</w:t>
      </w:r>
    </w:p>
    <w:p w14:paraId="67A9D092">
      <w:pPr>
        <w:spacing w:line="360" w:lineRule="auto"/>
        <w:jc w:val="center"/>
        <w:rPr>
          <w:rFonts w:ascii="宋体" w:hAnsi="宋体" w:eastAsia="宋体" w:cs="Times New Roman"/>
          <w:b/>
          <w:bCs/>
          <w:color w:val="000000"/>
          <w:sz w:val="24"/>
          <w:szCs w:val="24"/>
        </w:rPr>
      </w:pPr>
    </w:p>
    <w:p w14:paraId="54D0C693">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63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1"/>
        <w:gridCol w:w="1450"/>
        <w:gridCol w:w="6860"/>
      </w:tblGrid>
      <w:tr w14:paraId="5C47E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3" w:hRule="atLeast"/>
          <w:tblHeader/>
          <w:jc w:val="center"/>
        </w:trPr>
        <w:tc>
          <w:tcPr>
            <w:tcW w:w="677" w:type="pct"/>
            <w:tcBorders>
              <w:top w:val="single" w:color="000000" w:sz="8" w:space="0"/>
            </w:tcBorders>
            <w:vAlign w:val="center"/>
          </w:tcPr>
          <w:p w14:paraId="266BD352">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754" w:type="pct"/>
            <w:tcBorders>
              <w:top w:val="single" w:color="000000" w:sz="8" w:space="0"/>
            </w:tcBorders>
            <w:vAlign w:val="center"/>
          </w:tcPr>
          <w:p w14:paraId="551407CA">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568" w:type="pct"/>
            <w:tcBorders>
              <w:top w:val="single" w:color="000000" w:sz="8" w:space="0"/>
              <w:right w:val="single" w:color="000000" w:sz="8" w:space="0"/>
            </w:tcBorders>
            <w:vAlign w:val="center"/>
          </w:tcPr>
          <w:p w14:paraId="6C7E0E2B">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7C3235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77" w:type="pct"/>
            <w:vMerge w:val="restart"/>
            <w:vAlign w:val="center"/>
          </w:tcPr>
          <w:p w14:paraId="41DDDDAF">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754" w:type="pct"/>
            <w:vMerge w:val="restart"/>
            <w:vAlign w:val="center"/>
          </w:tcPr>
          <w:p w14:paraId="70D7BCA3">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p>
          <w:p w14:paraId="07CB0BEA">
            <w:pPr>
              <w:rPr>
                <w:rFonts w:ascii="宋体" w:hAnsi="宋体" w:eastAsia="宋体" w:cs="Times New Roman"/>
                <w:color w:val="000000"/>
                <w:kern w:val="0"/>
                <w:szCs w:val="21"/>
              </w:rPr>
            </w:pPr>
            <w:r>
              <w:rPr>
                <w:rFonts w:hint="eastAsia" w:ascii="宋体" w:hAnsi="宋体" w:eastAsia="宋体" w:cs="Times New Roman"/>
                <w:color w:val="000000"/>
                <w:kern w:val="0"/>
                <w:szCs w:val="21"/>
              </w:rPr>
              <w:t>师德规范</w:t>
            </w:r>
          </w:p>
        </w:tc>
        <w:tc>
          <w:tcPr>
            <w:tcW w:w="3568" w:type="pct"/>
            <w:tcBorders>
              <w:right w:val="single" w:color="000000" w:sz="8" w:space="0"/>
            </w:tcBorders>
            <w:vAlign w:val="center"/>
          </w:tcPr>
          <w:p w14:paraId="3697BD0D">
            <w:pPr>
              <w:jc w:val="left"/>
              <w:rPr>
                <w:rFonts w:ascii="宋体" w:hAnsi="宋体" w:eastAsia="宋体" w:cs="Times New Roman"/>
                <w:color w:val="000000"/>
                <w:szCs w:val="21"/>
              </w:rPr>
            </w:pPr>
            <w:r>
              <w:rPr>
                <w:rFonts w:ascii="宋体" w:hAnsi="宋体" w:eastAsia="宋体"/>
                <w:szCs w:val="21"/>
              </w:rPr>
              <w:t>1-1：【理想信念坚定】认同中国特色社会主义，贯彻党的教育方针，自觉践行社会主义核心价值观，树立职业理想，立志成为有理想信念、有道德情操、有扎实学识、有仁爱之心的好教师。</w:t>
            </w:r>
          </w:p>
        </w:tc>
      </w:tr>
      <w:tr w14:paraId="3C556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77" w:type="pct"/>
            <w:vMerge w:val="continue"/>
            <w:vAlign w:val="center"/>
          </w:tcPr>
          <w:p w14:paraId="74DFF01D">
            <w:pPr>
              <w:jc w:val="center"/>
              <w:rPr>
                <w:rFonts w:ascii="宋体" w:hAnsi="宋体" w:eastAsia="宋体" w:cs="Times New Roman"/>
                <w:color w:val="000000"/>
                <w:szCs w:val="21"/>
              </w:rPr>
            </w:pPr>
          </w:p>
        </w:tc>
        <w:tc>
          <w:tcPr>
            <w:tcW w:w="754" w:type="pct"/>
            <w:vMerge w:val="continue"/>
            <w:vAlign w:val="center"/>
          </w:tcPr>
          <w:p w14:paraId="543BF3CE">
            <w:pPr>
              <w:rPr>
                <w:rFonts w:ascii="宋体" w:hAnsi="宋体" w:eastAsia="宋体" w:cs="Times New Roman"/>
                <w:color w:val="000000"/>
                <w:kern w:val="0"/>
                <w:szCs w:val="21"/>
              </w:rPr>
            </w:pPr>
          </w:p>
        </w:tc>
        <w:tc>
          <w:tcPr>
            <w:tcW w:w="3568" w:type="pct"/>
            <w:tcBorders>
              <w:right w:val="single" w:color="000000" w:sz="8" w:space="0"/>
            </w:tcBorders>
            <w:vAlign w:val="center"/>
          </w:tcPr>
          <w:p w14:paraId="679A74C6">
            <w:pPr>
              <w:jc w:val="left"/>
              <w:rPr>
                <w:rFonts w:ascii="宋体" w:hAnsi="宋体" w:eastAsia="宋体" w:cs="Times New Roman"/>
                <w:color w:val="000000"/>
                <w:kern w:val="0"/>
                <w:szCs w:val="21"/>
              </w:rPr>
            </w:pPr>
            <w:r>
              <w:rPr>
                <w:rFonts w:ascii="宋体" w:hAnsi="宋体" w:eastAsia="宋体"/>
                <w:szCs w:val="21"/>
              </w:rPr>
              <w:t>1-2：【职业修养良好】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r>
      <w:tr w14:paraId="677794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677" w:type="pct"/>
            <w:vMerge w:val="continue"/>
            <w:vAlign w:val="center"/>
          </w:tcPr>
          <w:p w14:paraId="4A652697">
            <w:pPr>
              <w:widowControl/>
              <w:jc w:val="center"/>
              <w:rPr>
                <w:rFonts w:ascii="宋体" w:hAnsi="宋体" w:eastAsia="宋体" w:cs="Times New Roman"/>
                <w:color w:val="000000"/>
                <w:szCs w:val="21"/>
              </w:rPr>
            </w:pPr>
          </w:p>
        </w:tc>
        <w:tc>
          <w:tcPr>
            <w:tcW w:w="754" w:type="pct"/>
            <w:vMerge w:val="restart"/>
            <w:vAlign w:val="center"/>
          </w:tcPr>
          <w:p w14:paraId="0BC5E8AC">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p>
          <w:p w14:paraId="3B2A864B">
            <w:pPr>
              <w:rPr>
                <w:rFonts w:ascii="宋体" w:hAnsi="宋体" w:eastAsia="宋体" w:cs="Times New Roman"/>
                <w:color w:val="000000"/>
                <w:kern w:val="0"/>
                <w:szCs w:val="21"/>
              </w:rPr>
            </w:pPr>
            <w:r>
              <w:rPr>
                <w:rFonts w:hint="eastAsia" w:ascii="宋体" w:hAnsi="宋体" w:eastAsia="宋体" w:cs="Times New Roman"/>
                <w:color w:val="000000"/>
                <w:kern w:val="0"/>
                <w:szCs w:val="21"/>
              </w:rPr>
              <w:t>教育情怀</w:t>
            </w:r>
          </w:p>
        </w:tc>
        <w:tc>
          <w:tcPr>
            <w:tcW w:w="3568" w:type="pct"/>
            <w:tcBorders>
              <w:right w:val="single" w:color="000000" w:sz="8" w:space="0"/>
            </w:tcBorders>
            <w:vAlign w:val="center"/>
          </w:tcPr>
          <w:p w14:paraId="59D671B2">
            <w:pPr>
              <w:widowControl/>
              <w:jc w:val="left"/>
              <w:rPr>
                <w:rFonts w:ascii="宋体" w:hAnsi="宋体" w:eastAsia="宋体" w:cs="Times New Roman"/>
                <w:color w:val="000000"/>
                <w:kern w:val="0"/>
                <w:szCs w:val="21"/>
              </w:rPr>
            </w:pPr>
            <w:r>
              <w:rPr>
                <w:rFonts w:ascii="宋体" w:hAnsi="宋体" w:eastAsia="宋体"/>
                <w:szCs w:val="21"/>
              </w:rPr>
              <w:t>2-1：</w:t>
            </w:r>
            <w:r>
              <w:rPr>
                <w:rFonts w:hint="eastAsia" w:ascii="宋体" w:hAnsi="宋体" w:eastAsia="宋体"/>
                <w:szCs w:val="21"/>
              </w:rPr>
              <w:t>【</w:t>
            </w:r>
            <w:r>
              <w:rPr>
                <w:rFonts w:ascii="宋体" w:hAnsi="宋体" w:eastAsia="宋体"/>
                <w:szCs w:val="21"/>
              </w:rPr>
              <w:t>【职业认同感强】具有家国情怀，乐于从教，热爱教育事业，具有较高的教师职业认同感，认同教师职业的专业性与意义性。</w:t>
            </w:r>
          </w:p>
        </w:tc>
      </w:tr>
      <w:tr w14:paraId="5246D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677" w:type="pct"/>
            <w:vMerge w:val="continue"/>
            <w:vAlign w:val="center"/>
          </w:tcPr>
          <w:p w14:paraId="014E121A">
            <w:pPr>
              <w:widowControl/>
              <w:jc w:val="center"/>
              <w:rPr>
                <w:rFonts w:ascii="宋体" w:hAnsi="宋体" w:eastAsia="宋体" w:cs="Times New Roman"/>
                <w:color w:val="000000"/>
                <w:szCs w:val="21"/>
              </w:rPr>
            </w:pPr>
          </w:p>
        </w:tc>
        <w:tc>
          <w:tcPr>
            <w:tcW w:w="754" w:type="pct"/>
            <w:vMerge w:val="continue"/>
            <w:vAlign w:val="center"/>
          </w:tcPr>
          <w:p w14:paraId="50A79F24">
            <w:pPr>
              <w:rPr>
                <w:rFonts w:ascii="宋体" w:hAnsi="宋体" w:eastAsia="宋体" w:cs="Times New Roman"/>
                <w:color w:val="000000"/>
                <w:kern w:val="0"/>
                <w:szCs w:val="21"/>
              </w:rPr>
            </w:pPr>
          </w:p>
        </w:tc>
        <w:tc>
          <w:tcPr>
            <w:tcW w:w="3568" w:type="pct"/>
            <w:tcBorders>
              <w:right w:val="single" w:color="000000" w:sz="8" w:space="0"/>
            </w:tcBorders>
            <w:vAlign w:val="center"/>
          </w:tcPr>
          <w:p w14:paraId="53C1E8BC">
            <w:pPr>
              <w:widowControl/>
              <w:jc w:val="left"/>
              <w:rPr>
                <w:rFonts w:ascii="宋体" w:hAnsi="宋体" w:eastAsia="宋体" w:cs="Times New Roman"/>
                <w:color w:val="000000"/>
                <w:kern w:val="0"/>
                <w:szCs w:val="21"/>
              </w:rPr>
            </w:pPr>
            <w:r>
              <w:rPr>
                <w:rFonts w:ascii="宋体" w:hAnsi="宋体" w:eastAsia="宋体"/>
                <w:szCs w:val="21"/>
              </w:rPr>
              <w:t>2-2：</w:t>
            </w:r>
            <w:r>
              <w:rPr>
                <w:rFonts w:hint="eastAsia" w:ascii="宋体" w:hAnsi="宋体" w:eastAsia="宋体"/>
                <w:szCs w:val="21"/>
              </w:rPr>
              <w:t>【教育情意深厚】</w:t>
            </w:r>
            <w:r>
              <w:rPr>
                <w:rFonts w:ascii="宋体" w:hAnsi="宋体" w:eastAsia="宋体"/>
                <w:szCs w:val="23"/>
              </w:rPr>
              <w:t>关爱学生，用心从教。具有正确的儿童观，理解、尊重、关爱、保护学生，以儿童发展为教育的中心。爱岗敬业，在教育实践中能认真履行教育教学职责与班主任工作职责，富有爱心、责任心、工作细心、耐心。</w:t>
            </w:r>
          </w:p>
        </w:tc>
      </w:tr>
      <w:tr w14:paraId="5C0563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77" w:type="pct"/>
            <w:vMerge w:val="continue"/>
            <w:vAlign w:val="center"/>
          </w:tcPr>
          <w:p w14:paraId="55AAE081">
            <w:pPr>
              <w:widowControl/>
              <w:jc w:val="center"/>
              <w:rPr>
                <w:rFonts w:ascii="宋体" w:hAnsi="宋体" w:eastAsia="宋体" w:cs="Times New Roman"/>
                <w:color w:val="000000"/>
                <w:szCs w:val="21"/>
              </w:rPr>
            </w:pPr>
          </w:p>
        </w:tc>
        <w:tc>
          <w:tcPr>
            <w:tcW w:w="754" w:type="pct"/>
            <w:vMerge w:val="continue"/>
            <w:vAlign w:val="center"/>
          </w:tcPr>
          <w:p w14:paraId="044144BF">
            <w:pPr>
              <w:rPr>
                <w:rFonts w:ascii="宋体" w:hAnsi="宋体" w:eastAsia="宋体" w:cs="Times New Roman"/>
                <w:color w:val="000000"/>
                <w:kern w:val="0"/>
                <w:szCs w:val="21"/>
              </w:rPr>
            </w:pPr>
          </w:p>
        </w:tc>
        <w:tc>
          <w:tcPr>
            <w:tcW w:w="3568" w:type="pct"/>
            <w:tcBorders>
              <w:right w:val="single" w:color="000000" w:sz="8" w:space="0"/>
            </w:tcBorders>
            <w:vAlign w:val="center"/>
          </w:tcPr>
          <w:p w14:paraId="5C6078DB">
            <w:pPr>
              <w:widowControl/>
              <w:jc w:val="left"/>
              <w:rPr>
                <w:rFonts w:ascii="宋体" w:hAnsi="宋体" w:eastAsia="宋体" w:cs="Times New Roman"/>
                <w:color w:val="000000"/>
                <w:szCs w:val="21"/>
              </w:rPr>
            </w:pPr>
            <w:r>
              <w:rPr>
                <w:rFonts w:ascii="宋体" w:hAnsi="宋体" w:eastAsia="宋体"/>
                <w:szCs w:val="21"/>
              </w:rPr>
              <w:t>2-3：</w:t>
            </w:r>
            <w:r>
              <w:rPr>
                <w:rFonts w:hint="eastAsia" w:ascii="宋体" w:hAnsi="宋体" w:eastAsia="宋体"/>
                <w:szCs w:val="21"/>
              </w:rPr>
              <w:t>【自身修养良好】</w:t>
            </w:r>
            <w:r>
              <w:rPr>
                <w:rFonts w:ascii="宋体" w:hAnsi="宋体" w:eastAsia="宋体"/>
                <w:szCs w:val="21"/>
              </w:rPr>
              <w:t>具有较好的人文底蕴与科学精神，人格健全，心理健康，情感丰富，为人师表。</w:t>
            </w:r>
          </w:p>
        </w:tc>
      </w:tr>
      <w:tr w14:paraId="3DAC9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72" w:hRule="atLeast"/>
          <w:jc w:val="center"/>
        </w:trPr>
        <w:tc>
          <w:tcPr>
            <w:tcW w:w="677" w:type="pct"/>
            <w:vMerge w:val="restart"/>
            <w:vAlign w:val="center"/>
          </w:tcPr>
          <w:p w14:paraId="2B7A66B0">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754" w:type="pct"/>
            <w:vAlign w:val="center"/>
          </w:tcPr>
          <w:p w14:paraId="7C360CD1">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p>
          <w:p w14:paraId="76711375">
            <w:pPr>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568" w:type="pct"/>
            <w:tcBorders>
              <w:right w:val="single" w:color="000000" w:sz="8" w:space="0"/>
            </w:tcBorders>
            <w:vAlign w:val="center"/>
          </w:tcPr>
          <w:p w14:paraId="22C22914">
            <w:pPr>
              <w:jc w:val="left"/>
              <w:rPr>
                <w:rFonts w:ascii="宋体" w:hAnsi="宋体" w:eastAsia="宋体" w:cs="Times New Roman"/>
                <w:color w:val="000000"/>
                <w:kern w:val="0"/>
                <w:szCs w:val="21"/>
              </w:rPr>
            </w:pPr>
            <w:r>
              <w:rPr>
                <w:rFonts w:ascii="宋体" w:hAnsi="宋体" w:eastAsia="宋体"/>
                <w:szCs w:val="21"/>
              </w:rPr>
              <w:t>3-4：</w:t>
            </w:r>
            <w:r>
              <w:rPr>
                <w:rFonts w:hint="eastAsia" w:ascii="宋体" w:hAnsi="宋体" w:eastAsia="宋体"/>
                <w:szCs w:val="21"/>
              </w:rPr>
              <w:t>【注重知识整合】</w:t>
            </w:r>
            <w:r>
              <w:rPr>
                <w:rFonts w:ascii="宋体" w:hAnsi="宋体" w:eastAsia="宋体"/>
                <w:szCs w:val="23"/>
              </w:rPr>
              <w:t>了解所教学科与其他学科及与社会实践、小学生生活实践之间的联系，了解学科整合的在小学教育中的价值，具有跨学科解决问题的意识和能力，能指导综合性学科教学活动。</w:t>
            </w:r>
          </w:p>
        </w:tc>
      </w:tr>
      <w:tr w14:paraId="21105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77" w:type="pct"/>
            <w:vMerge w:val="continue"/>
            <w:vAlign w:val="center"/>
          </w:tcPr>
          <w:p w14:paraId="28F03650">
            <w:pPr>
              <w:jc w:val="center"/>
              <w:rPr>
                <w:rFonts w:ascii="宋体" w:hAnsi="宋体" w:eastAsia="宋体" w:cs="Times New Roman"/>
                <w:color w:val="000000"/>
                <w:kern w:val="0"/>
                <w:szCs w:val="21"/>
              </w:rPr>
            </w:pPr>
          </w:p>
        </w:tc>
        <w:tc>
          <w:tcPr>
            <w:tcW w:w="754" w:type="pct"/>
            <w:vMerge w:val="restart"/>
            <w:vAlign w:val="center"/>
          </w:tcPr>
          <w:p w14:paraId="0D1727D4">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 4</w:t>
            </w:r>
            <w:r>
              <w:rPr>
                <w:rFonts w:ascii="宋体" w:hAnsi="宋体" w:eastAsia="宋体" w:cs="Times New Roman"/>
                <w:color w:val="000000"/>
                <w:kern w:val="0"/>
                <w:szCs w:val="21"/>
              </w:rPr>
              <w:t>.</w:t>
            </w:r>
          </w:p>
          <w:p w14:paraId="2E92FF82">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568" w:type="pct"/>
            <w:tcBorders>
              <w:right w:val="single" w:color="000000" w:sz="8" w:space="0"/>
            </w:tcBorders>
            <w:vAlign w:val="center"/>
          </w:tcPr>
          <w:p w14:paraId="3E951797">
            <w:pPr>
              <w:jc w:val="left"/>
              <w:rPr>
                <w:rFonts w:ascii="宋体" w:hAnsi="宋体" w:eastAsia="宋体" w:cs="Times New Roman"/>
                <w:color w:val="000000"/>
                <w:kern w:val="0"/>
                <w:szCs w:val="21"/>
              </w:rPr>
            </w:pPr>
            <w:r>
              <w:rPr>
                <w:rFonts w:ascii="宋体" w:hAnsi="宋体" w:eastAsia="宋体"/>
                <w:szCs w:val="21"/>
              </w:rPr>
              <w:t>4-1：</w:t>
            </w:r>
            <w:r>
              <w:rPr>
                <w:rFonts w:hint="eastAsia" w:ascii="宋体" w:hAnsi="宋体" w:eastAsia="宋体"/>
                <w:szCs w:val="21"/>
              </w:rPr>
              <w:t>【领会课程标准】掌握教与学的知识，熟悉所教学科课程标准和教材、教学内容，具有一定的教材解读能力，具有依据课标进行教学的意识和习惯。</w:t>
            </w:r>
          </w:p>
        </w:tc>
      </w:tr>
      <w:tr w14:paraId="26F91E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5" w:hRule="atLeast"/>
          <w:jc w:val="center"/>
        </w:trPr>
        <w:tc>
          <w:tcPr>
            <w:tcW w:w="677" w:type="pct"/>
            <w:vMerge w:val="continue"/>
            <w:vAlign w:val="center"/>
          </w:tcPr>
          <w:p w14:paraId="3255B5D3">
            <w:pPr>
              <w:jc w:val="center"/>
              <w:rPr>
                <w:rFonts w:ascii="宋体" w:hAnsi="宋体" w:eastAsia="宋体" w:cs="Times New Roman"/>
                <w:color w:val="000000"/>
                <w:szCs w:val="21"/>
              </w:rPr>
            </w:pPr>
          </w:p>
        </w:tc>
        <w:tc>
          <w:tcPr>
            <w:tcW w:w="754" w:type="pct"/>
            <w:vMerge w:val="continue"/>
            <w:vAlign w:val="center"/>
          </w:tcPr>
          <w:p w14:paraId="6695774B">
            <w:pPr>
              <w:widowControl/>
              <w:rPr>
                <w:rFonts w:ascii="宋体" w:hAnsi="宋体" w:eastAsia="宋体" w:cs="Times New Roman"/>
                <w:color w:val="000000"/>
                <w:kern w:val="0"/>
                <w:szCs w:val="21"/>
              </w:rPr>
            </w:pPr>
          </w:p>
        </w:tc>
        <w:tc>
          <w:tcPr>
            <w:tcW w:w="3568" w:type="pct"/>
            <w:tcBorders>
              <w:bottom w:val="single" w:color="auto" w:sz="4" w:space="0"/>
              <w:right w:val="single" w:color="000000" w:sz="8" w:space="0"/>
            </w:tcBorders>
            <w:vAlign w:val="center"/>
          </w:tcPr>
          <w:p w14:paraId="42B5E8B0">
            <w:pPr>
              <w:jc w:val="left"/>
              <w:rPr>
                <w:rFonts w:ascii="宋体" w:hAnsi="宋体" w:eastAsia="宋体" w:cs="Times New Roman"/>
                <w:color w:val="000000"/>
                <w:kern w:val="0"/>
                <w:szCs w:val="21"/>
              </w:rPr>
            </w:pPr>
            <w:r>
              <w:rPr>
                <w:rFonts w:ascii="宋体" w:hAnsi="宋体" w:eastAsia="宋体"/>
                <w:szCs w:val="21"/>
              </w:rPr>
              <w:t>4-2：</w:t>
            </w:r>
            <w:r>
              <w:rPr>
                <w:rFonts w:hint="eastAsia" w:ascii="宋体" w:hAnsi="宋体" w:eastAsia="宋体"/>
                <w:szCs w:val="21"/>
              </w:rPr>
              <w:t>【教学技能突出】获得全面的小学教学体验，掌握学科教学的基本方法与策略，能独立进行教学设计、实施和评价。</w:t>
            </w:r>
          </w:p>
        </w:tc>
      </w:tr>
      <w:tr w14:paraId="24773E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677" w:type="pct"/>
            <w:vMerge w:val="continue"/>
            <w:vAlign w:val="center"/>
          </w:tcPr>
          <w:p w14:paraId="221B8F9D">
            <w:pPr>
              <w:jc w:val="center"/>
              <w:rPr>
                <w:rFonts w:ascii="宋体" w:hAnsi="宋体" w:eastAsia="宋体" w:cs="Times New Roman"/>
                <w:color w:val="000000"/>
                <w:szCs w:val="21"/>
              </w:rPr>
            </w:pPr>
          </w:p>
        </w:tc>
        <w:tc>
          <w:tcPr>
            <w:tcW w:w="754" w:type="pct"/>
            <w:vMerge w:val="continue"/>
            <w:vAlign w:val="center"/>
          </w:tcPr>
          <w:p w14:paraId="4D0315C1">
            <w:pPr>
              <w:widowControl/>
              <w:rPr>
                <w:rFonts w:ascii="宋体" w:hAnsi="宋体" w:eastAsia="宋体" w:cs="Times New Roman"/>
                <w:color w:val="000000"/>
                <w:kern w:val="0"/>
                <w:szCs w:val="21"/>
              </w:rPr>
            </w:pPr>
          </w:p>
        </w:tc>
        <w:tc>
          <w:tcPr>
            <w:tcW w:w="3568" w:type="pct"/>
            <w:tcBorders>
              <w:bottom w:val="single" w:color="auto" w:sz="4" w:space="0"/>
              <w:right w:val="single" w:color="000000" w:sz="8" w:space="0"/>
            </w:tcBorders>
            <w:vAlign w:val="center"/>
          </w:tcPr>
          <w:p w14:paraId="1C564CD7">
            <w:pPr>
              <w:jc w:val="left"/>
              <w:rPr>
                <w:rFonts w:ascii="宋体" w:hAnsi="宋体" w:eastAsia="宋体" w:cs="Times New Roman"/>
                <w:color w:val="000000"/>
                <w:szCs w:val="21"/>
              </w:rPr>
            </w:pPr>
            <w:r>
              <w:rPr>
                <w:rFonts w:ascii="宋体" w:hAnsi="宋体" w:eastAsia="宋体"/>
                <w:szCs w:val="21"/>
              </w:rPr>
              <w:t>4-3：</w:t>
            </w:r>
            <w:r>
              <w:rPr>
                <w:rFonts w:hint="eastAsia" w:ascii="宋体" w:hAnsi="宋体" w:eastAsia="宋体"/>
                <w:szCs w:val="21"/>
              </w:rPr>
              <w:t>【教师基本功扎实】</w:t>
            </w:r>
            <w:r>
              <w:rPr>
                <w:rFonts w:ascii="宋体" w:hAnsi="宋体" w:eastAsia="宋体"/>
                <w:szCs w:val="21"/>
              </w:rPr>
              <w:t>掌握小学教师基本功技能，包括书写技能、沟通与表达技能、信息技术运用技能等。</w:t>
            </w:r>
          </w:p>
        </w:tc>
      </w:tr>
      <w:tr w14:paraId="08D4D4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677" w:type="pct"/>
            <w:vMerge w:val="continue"/>
            <w:vAlign w:val="center"/>
          </w:tcPr>
          <w:p w14:paraId="5EFD0225">
            <w:pPr>
              <w:jc w:val="center"/>
              <w:rPr>
                <w:rFonts w:ascii="宋体" w:hAnsi="宋体" w:eastAsia="宋体" w:cs="Times New Roman"/>
                <w:color w:val="000000"/>
                <w:szCs w:val="21"/>
              </w:rPr>
            </w:pPr>
          </w:p>
        </w:tc>
        <w:tc>
          <w:tcPr>
            <w:tcW w:w="754" w:type="pct"/>
            <w:vMerge w:val="continue"/>
            <w:vAlign w:val="center"/>
          </w:tcPr>
          <w:p w14:paraId="165AA9CF">
            <w:pPr>
              <w:widowControl/>
              <w:rPr>
                <w:rFonts w:ascii="宋体" w:hAnsi="宋体" w:eastAsia="宋体" w:cs="Times New Roman"/>
                <w:color w:val="000000"/>
                <w:kern w:val="0"/>
                <w:szCs w:val="21"/>
              </w:rPr>
            </w:pPr>
          </w:p>
        </w:tc>
        <w:tc>
          <w:tcPr>
            <w:tcW w:w="3568" w:type="pct"/>
            <w:tcBorders>
              <w:top w:val="single" w:color="auto" w:sz="4" w:space="0"/>
              <w:right w:val="single" w:color="000000" w:sz="8" w:space="0"/>
            </w:tcBorders>
            <w:vAlign w:val="center"/>
          </w:tcPr>
          <w:p w14:paraId="177BC3F9">
            <w:pPr>
              <w:jc w:val="left"/>
              <w:rPr>
                <w:rFonts w:ascii="宋体" w:hAnsi="宋体" w:eastAsia="宋体" w:cs="Times New Roman"/>
                <w:color w:val="000000"/>
                <w:kern w:val="0"/>
                <w:szCs w:val="21"/>
              </w:rPr>
            </w:pPr>
            <w:r>
              <w:rPr>
                <w:rFonts w:ascii="宋体" w:hAnsi="宋体" w:eastAsia="宋体"/>
                <w:szCs w:val="21"/>
              </w:rPr>
              <w:t>4-4：</w:t>
            </w:r>
            <w:r>
              <w:rPr>
                <w:rFonts w:hint="eastAsia" w:ascii="宋体" w:hAnsi="宋体" w:eastAsia="宋体"/>
                <w:szCs w:val="21"/>
              </w:rPr>
              <w:t>【教学研究能力好】</w:t>
            </w:r>
            <w:r>
              <w:rPr>
                <w:rFonts w:ascii="宋体" w:hAnsi="宋体" w:eastAsia="宋体"/>
                <w:szCs w:val="21"/>
              </w:rPr>
              <w:t>掌握教育研究的基本方法，结合小学教育教学实践进行研究，具有一定的教学研究能力。</w:t>
            </w:r>
          </w:p>
        </w:tc>
      </w:tr>
      <w:tr w14:paraId="2737A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677" w:type="pct"/>
            <w:vMerge w:val="continue"/>
            <w:vAlign w:val="center"/>
          </w:tcPr>
          <w:p w14:paraId="6DAAA1CB">
            <w:pPr>
              <w:jc w:val="center"/>
              <w:rPr>
                <w:rFonts w:ascii="宋体" w:hAnsi="宋体" w:eastAsia="宋体" w:cs="Times New Roman"/>
                <w:color w:val="000000"/>
                <w:szCs w:val="21"/>
              </w:rPr>
            </w:pPr>
          </w:p>
        </w:tc>
        <w:tc>
          <w:tcPr>
            <w:tcW w:w="754" w:type="pct"/>
            <w:vMerge w:val="restart"/>
            <w:tcBorders>
              <w:top w:val="single" w:color="auto" w:sz="4" w:space="0"/>
            </w:tcBorders>
            <w:vAlign w:val="center"/>
          </w:tcPr>
          <w:p w14:paraId="4C3CBFAC">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p>
          <w:p w14:paraId="1F920299">
            <w:pPr>
              <w:rPr>
                <w:rFonts w:ascii="宋体" w:hAnsi="宋体" w:eastAsia="宋体" w:cs="Times New Roman"/>
                <w:color w:val="000000"/>
                <w:kern w:val="0"/>
                <w:szCs w:val="21"/>
              </w:rPr>
            </w:pPr>
            <w:r>
              <w:rPr>
                <w:rFonts w:hint="eastAsia" w:ascii="宋体" w:hAnsi="宋体" w:eastAsia="宋体" w:cs="Times New Roman"/>
                <w:color w:val="000000"/>
                <w:kern w:val="0"/>
                <w:szCs w:val="21"/>
              </w:rPr>
              <w:t>班级管理</w:t>
            </w:r>
          </w:p>
        </w:tc>
        <w:tc>
          <w:tcPr>
            <w:tcW w:w="3568" w:type="pct"/>
            <w:tcBorders>
              <w:top w:val="single" w:color="auto" w:sz="4" w:space="0"/>
              <w:bottom w:val="single" w:color="auto" w:sz="4" w:space="0"/>
              <w:right w:val="single" w:color="000000" w:sz="8" w:space="0"/>
            </w:tcBorders>
            <w:vAlign w:val="center"/>
          </w:tcPr>
          <w:p w14:paraId="041819C5">
            <w:pPr>
              <w:jc w:val="left"/>
              <w:rPr>
                <w:rFonts w:ascii="宋体" w:hAnsi="宋体" w:eastAsia="宋体" w:cs="Times New Roman"/>
                <w:color w:val="000000"/>
                <w:kern w:val="0"/>
                <w:szCs w:val="21"/>
              </w:rPr>
            </w:pPr>
            <w:r>
              <w:rPr>
                <w:rFonts w:ascii="宋体" w:hAnsi="宋体" w:eastAsia="宋体"/>
                <w:szCs w:val="21"/>
              </w:rPr>
              <w:t>5-1：</w:t>
            </w:r>
            <w:r>
              <w:rPr>
                <w:rFonts w:hint="eastAsia" w:ascii="宋体" w:hAnsi="宋体" w:eastAsia="宋体"/>
                <w:szCs w:val="21"/>
              </w:rPr>
              <w:t>【擅长班队管理】获得小学班队组织与建设的体验。掌握小学班队组织与建设的工作规律和基本方法，具有班队建设和管理的基本能力。</w:t>
            </w:r>
          </w:p>
        </w:tc>
      </w:tr>
      <w:tr w14:paraId="0F84DF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77" w:type="pct"/>
            <w:vMerge w:val="continue"/>
            <w:vAlign w:val="center"/>
          </w:tcPr>
          <w:p w14:paraId="2F201F7F">
            <w:pPr>
              <w:jc w:val="center"/>
              <w:rPr>
                <w:rFonts w:ascii="宋体" w:hAnsi="宋体" w:eastAsia="宋体" w:cs="Times New Roman"/>
                <w:color w:val="000000"/>
                <w:szCs w:val="21"/>
              </w:rPr>
            </w:pPr>
          </w:p>
        </w:tc>
        <w:tc>
          <w:tcPr>
            <w:tcW w:w="754" w:type="pct"/>
            <w:vMerge w:val="continue"/>
            <w:vAlign w:val="center"/>
          </w:tcPr>
          <w:p w14:paraId="189FD215">
            <w:pPr>
              <w:rPr>
                <w:rFonts w:ascii="宋体" w:hAnsi="宋体" w:eastAsia="宋体" w:cs="Times New Roman"/>
                <w:color w:val="000000"/>
                <w:kern w:val="0"/>
                <w:szCs w:val="21"/>
              </w:rPr>
            </w:pPr>
          </w:p>
        </w:tc>
        <w:tc>
          <w:tcPr>
            <w:tcW w:w="3568" w:type="pct"/>
            <w:tcBorders>
              <w:top w:val="single" w:color="auto" w:sz="4" w:space="0"/>
              <w:bottom w:val="single" w:color="auto" w:sz="4" w:space="0"/>
              <w:right w:val="single" w:color="000000" w:sz="8" w:space="0"/>
            </w:tcBorders>
            <w:vAlign w:val="center"/>
          </w:tcPr>
          <w:p w14:paraId="1BBA5312">
            <w:pPr>
              <w:jc w:val="left"/>
              <w:rPr>
                <w:rFonts w:ascii="宋体" w:hAnsi="宋体" w:eastAsia="宋体" w:cs="Times New Roman"/>
                <w:color w:val="000000"/>
                <w:kern w:val="0"/>
                <w:szCs w:val="21"/>
              </w:rPr>
            </w:pPr>
            <w:r>
              <w:rPr>
                <w:rFonts w:ascii="宋体" w:hAnsi="宋体" w:eastAsia="宋体"/>
                <w:szCs w:val="21"/>
              </w:rPr>
              <w:t>5-2：</w:t>
            </w:r>
            <w:r>
              <w:rPr>
                <w:rFonts w:hint="eastAsia" w:ascii="宋体" w:hAnsi="宋体" w:eastAsia="宋体"/>
                <w:szCs w:val="21"/>
              </w:rPr>
              <w:t>【强化德育地位】获得小学德育工作体验，树立德育为先的理念，熟悉小学德育的基本原理与方法。</w:t>
            </w:r>
          </w:p>
        </w:tc>
      </w:tr>
      <w:tr w14:paraId="17B3EB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77" w:type="pct"/>
            <w:vMerge w:val="continue"/>
            <w:vAlign w:val="center"/>
          </w:tcPr>
          <w:p w14:paraId="1F0E7E37">
            <w:pPr>
              <w:jc w:val="center"/>
              <w:rPr>
                <w:rFonts w:ascii="宋体" w:hAnsi="宋体" w:eastAsia="宋体" w:cs="Times New Roman"/>
                <w:color w:val="000000"/>
                <w:kern w:val="0"/>
                <w:szCs w:val="21"/>
              </w:rPr>
            </w:pPr>
          </w:p>
        </w:tc>
        <w:tc>
          <w:tcPr>
            <w:tcW w:w="754" w:type="pct"/>
            <w:vMerge w:val="continue"/>
            <w:vAlign w:val="center"/>
          </w:tcPr>
          <w:p w14:paraId="5F994EF1">
            <w:pPr>
              <w:rPr>
                <w:rFonts w:ascii="宋体" w:hAnsi="宋体" w:eastAsia="宋体" w:cs="Times New Roman"/>
                <w:color w:val="000000"/>
                <w:kern w:val="0"/>
                <w:szCs w:val="21"/>
              </w:rPr>
            </w:pPr>
          </w:p>
        </w:tc>
        <w:tc>
          <w:tcPr>
            <w:tcW w:w="3568" w:type="pct"/>
            <w:tcBorders>
              <w:top w:val="single" w:color="auto" w:sz="4" w:space="0"/>
              <w:bottom w:val="single" w:color="auto" w:sz="4" w:space="0"/>
              <w:right w:val="single" w:color="000000" w:sz="8" w:space="0"/>
            </w:tcBorders>
            <w:vAlign w:val="center"/>
          </w:tcPr>
          <w:p w14:paraId="3C22516D">
            <w:pPr>
              <w:jc w:val="left"/>
              <w:rPr>
                <w:rFonts w:ascii="宋体" w:hAnsi="宋体" w:eastAsia="宋体" w:cs="Times New Roman"/>
                <w:color w:val="000000"/>
                <w:szCs w:val="21"/>
              </w:rPr>
            </w:pPr>
            <w:r>
              <w:rPr>
                <w:rFonts w:ascii="宋体" w:hAnsi="宋体" w:eastAsia="宋体"/>
                <w:szCs w:val="21"/>
              </w:rPr>
              <w:t>5-3：</w:t>
            </w:r>
            <w:r>
              <w:rPr>
                <w:rFonts w:hint="eastAsia" w:ascii="宋体" w:hAnsi="宋体" w:eastAsia="宋体"/>
                <w:szCs w:val="21"/>
              </w:rPr>
              <w:t>【重视心理健康教育】</w:t>
            </w:r>
            <w:r>
              <w:rPr>
                <w:rFonts w:ascii="宋体" w:hAnsi="宋体" w:eastAsia="宋体"/>
                <w:szCs w:val="21"/>
              </w:rPr>
              <w:t>获得小学心理健康教育指导体验，参与组织与指导对小学生心理健康教育的科普宣传及心理辅导，掌握小学心理健康教育的基本方法</w:t>
            </w:r>
            <w:r>
              <w:rPr>
                <w:rFonts w:ascii="宋体" w:hAnsi="宋体" w:eastAsia="宋体"/>
                <w:szCs w:val="23"/>
              </w:rPr>
              <w:t>。</w:t>
            </w:r>
          </w:p>
        </w:tc>
      </w:tr>
      <w:tr w14:paraId="0224C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77" w:type="pct"/>
            <w:vMerge w:val="restart"/>
            <w:vAlign w:val="center"/>
          </w:tcPr>
          <w:p w14:paraId="63E76264">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p w14:paraId="5DAD668D">
            <w:pPr>
              <w:jc w:val="center"/>
              <w:rPr>
                <w:rFonts w:ascii="宋体" w:hAnsi="宋体" w:eastAsia="宋体" w:cs="Times New Roman"/>
                <w:color w:val="000000"/>
                <w:szCs w:val="21"/>
              </w:rPr>
            </w:pPr>
          </w:p>
        </w:tc>
        <w:tc>
          <w:tcPr>
            <w:tcW w:w="754" w:type="pct"/>
            <w:vMerge w:val="restart"/>
            <w:vAlign w:val="center"/>
          </w:tcPr>
          <w:p w14:paraId="779FA492">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p>
          <w:p w14:paraId="01637310">
            <w:pPr>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综合育人</w:t>
            </w:r>
          </w:p>
        </w:tc>
        <w:tc>
          <w:tcPr>
            <w:tcW w:w="3568" w:type="pct"/>
            <w:tcBorders>
              <w:top w:val="single" w:color="auto" w:sz="4" w:space="0"/>
              <w:bottom w:val="single" w:color="auto" w:sz="4" w:space="0"/>
              <w:right w:val="single" w:color="000000" w:sz="8" w:space="0"/>
            </w:tcBorders>
            <w:vAlign w:val="center"/>
          </w:tcPr>
          <w:p w14:paraId="140B3805">
            <w:pPr>
              <w:jc w:val="left"/>
              <w:rPr>
                <w:rFonts w:ascii="宋体" w:hAnsi="宋体" w:eastAsia="宋体" w:cs="Times New Roman"/>
                <w:color w:val="000000"/>
                <w:kern w:val="0"/>
                <w:szCs w:val="21"/>
              </w:rPr>
            </w:pPr>
            <w:r>
              <w:rPr>
                <w:rFonts w:ascii="宋体" w:hAnsi="宋体" w:eastAsia="宋体"/>
                <w:szCs w:val="21"/>
              </w:rPr>
              <w:t>6-1：</w:t>
            </w:r>
            <w:r>
              <w:rPr>
                <w:rFonts w:hint="eastAsia" w:ascii="宋体" w:hAnsi="宋体" w:eastAsia="宋体"/>
                <w:szCs w:val="21"/>
              </w:rPr>
              <w:t>【遵循身心规律】了解不同年龄以及有特殊需要的小学生的身心发展特点和规律、不同年龄小学生学习的特点，掌握小学生良好行为习惯养成的知识。</w:t>
            </w:r>
          </w:p>
        </w:tc>
      </w:tr>
      <w:tr w14:paraId="2C5AFA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677" w:type="pct"/>
            <w:vMerge w:val="continue"/>
            <w:vAlign w:val="center"/>
          </w:tcPr>
          <w:p w14:paraId="5C99DE1A">
            <w:pPr>
              <w:jc w:val="center"/>
              <w:rPr>
                <w:rFonts w:ascii="宋体" w:hAnsi="宋体" w:eastAsia="宋体" w:cs="Times New Roman"/>
                <w:color w:val="000000"/>
                <w:szCs w:val="21"/>
              </w:rPr>
            </w:pPr>
          </w:p>
        </w:tc>
        <w:tc>
          <w:tcPr>
            <w:tcW w:w="754" w:type="pct"/>
            <w:vMerge w:val="continue"/>
            <w:vAlign w:val="center"/>
          </w:tcPr>
          <w:p w14:paraId="10C26EBB">
            <w:pPr>
              <w:rPr>
                <w:rFonts w:ascii="宋体" w:hAnsi="宋体" w:eastAsia="宋体" w:cs="Times New Roman"/>
                <w:color w:val="000000"/>
                <w:kern w:val="0"/>
                <w:szCs w:val="21"/>
              </w:rPr>
            </w:pPr>
          </w:p>
        </w:tc>
        <w:tc>
          <w:tcPr>
            <w:tcW w:w="3568" w:type="pct"/>
            <w:tcBorders>
              <w:top w:val="single" w:color="auto" w:sz="4" w:space="0"/>
              <w:bottom w:val="single" w:color="auto" w:sz="4" w:space="0"/>
              <w:right w:val="single" w:color="000000" w:sz="8" w:space="0"/>
            </w:tcBorders>
            <w:vAlign w:val="center"/>
          </w:tcPr>
          <w:p w14:paraId="08D33755">
            <w:pPr>
              <w:jc w:val="left"/>
              <w:rPr>
                <w:rFonts w:ascii="宋体" w:hAnsi="宋体" w:eastAsia="宋体" w:cs="Times New Roman"/>
                <w:color w:val="000000"/>
                <w:szCs w:val="21"/>
              </w:rPr>
            </w:pPr>
            <w:r>
              <w:rPr>
                <w:rFonts w:ascii="宋体" w:hAnsi="宋体" w:eastAsia="宋体"/>
                <w:szCs w:val="21"/>
              </w:rPr>
              <w:t>6-2：</w:t>
            </w:r>
            <w:r>
              <w:rPr>
                <w:rFonts w:hint="eastAsia" w:ascii="宋体" w:hAnsi="宋体" w:eastAsia="宋体"/>
                <w:szCs w:val="21"/>
              </w:rPr>
              <w:t>【懂得学科育人】具有教书育人的意识，理解学科核心素养和拟任教学科课程独特的育人功能，具备结合学科教学进行育人的意识与能力，注重学科教学中思想政治教育的渗透。</w:t>
            </w:r>
          </w:p>
        </w:tc>
      </w:tr>
      <w:tr w14:paraId="6BAD85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77" w:type="pct"/>
            <w:vMerge w:val="continue"/>
            <w:vAlign w:val="center"/>
          </w:tcPr>
          <w:p w14:paraId="75C0A7B7">
            <w:pPr>
              <w:jc w:val="center"/>
              <w:rPr>
                <w:rFonts w:ascii="宋体" w:hAnsi="宋体" w:eastAsia="宋体" w:cs="Times New Roman"/>
                <w:color w:val="000000"/>
                <w:szCs w:val="21"/>
              </w:rPr>
            </w:pPr>
          </w:p>
        </w:tc>
        <w:tc>
          <w:tcPr>
            <w:tcW w:w="754" w:type="pct"/>
            <w:vMerge w:val="continue"/>
            <w:vAlign w:val="center"/>
          </w:tcPr>
          <w:p w14:paraId="59D9B432">
            <w:pPr>
              <w:rPr>
                <w:rFonts w:ascii="宋体" w:hAnsi="宋体" w:eastAsia="宋体" w:cs="Times New Roman"/>
                <w:color w:val="000000"/>
                <w:kern w:val="0"/>
                <w:szCs w:val="21"/>
              </w:rPr>
            </w:pPr>
          </w:p>
        </w:tc>
        <w:tc>
          <w:tcPr>
            <w:tcW w:w="3568" w:type="pct"/>
            <w:tcBorders>
              <w:top w:val="single" w:color="auto" w:sz="4" w:space="0"/>
              <w:right w:val="single" w:color="000000" w:sz="8" w:space="0"/>
            </w:tcBorders>
            <w:vAlign w:val="center"/>
          </w:tcPr>
          <w:p w14:paraId="2FDCF976">
            <w:pPr>
              <w:jc w:val="left"/>
              <w:rPr>
                <w:rFonts w:ascii="宋体" w:hAnsi="宋体" w:eastAsia="宋体" w:cs="Times New Roman"/>
                <w:color w:val="000000"/>
                <w:spacing w:val="2"/>
                <w:kern w:val="0"/>
                <w:szCs w:val="21"/>
              </w:rPr>
            </w:pPr>
            <w:r>
              <w:rPr>
                <w:rFonts w:ascii="宋体" w:hAnsi="宋体" w:eastAsia="宋体"/>
                <w:szCs w:val="21"/>
              </w:rPr>
              <w:t>6-3：</w:t>
            </w:r>
            <w:r>
              <w:rPr>
                <w:rFonts w:hint="eastAsia" w:ascii="宋体" w:hAnsi="宋体" w:eastAsia="宋体"/>
                <w:szCs w:val="21"/>
              </w:rPr>
              <w:t>【掌握育人方法】了解课外活动组织和管理知识，掌握学校文化和各类课外教育活动的育人内涵和方法，参与组织主题教育、少先队活动和社团活动，促进小学生全面、健康发展。</w:t>
            </w:r>
          </w:p>
        </w:tc>
      </w:tr>
      <w:tr w14:paraId="52292D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0" w:hRule="atLeast"/>
          <w:jc w:val="center"/>
        </w:trPr>
        <w:tc>
          <w:tcPr>
            <w:tcW w:w="677" w:type="pct"/>
            <w:vMerge w:val="continue"/>
            <w:vAlign w:val="center"/>
          </w:tcPr>
          <w:p w14:paraId="7327703F">
            <w:pPr>
              <w:jc w:val="center"/>
              <w:rPr>
                <w:rFonts w:ascii="宋体" w:hAnsi="宋体" w:eastAsia="宋体" w:cs="Times New Roman"/>
                <w:color w:val="000000"/>
                <w:szCs w:val="21"/>
              </w:rPr>
            </w:pPr>
          </w:p>
        </w:tc>
        <w:tc>
          <w:tcPr>
            <w:tcW w:w="754" w:type="pct"/>
            <w:vAlign w:val="center"/>
          </w:tcPr>
          <w:p w14:paraId="34E92895">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p>
          <w:p w14:paraId="2DB38704">
            <w:pPr>
              <w:rPr>
                <w:rFonts w:ascii="宋体" w:hAnsi="宋体" w:eastAsia="宋体" w:cs="Times New Roman"/>
                <w:color w:val="000000"/>
                <w:kern w:val="0"/>
                <w:szCs w:val="21"/>
              </w:rPr>
            </w:pPr>
            <w:r>
              <w:rPr>
                <w:rFonts w:hint="eastAsia" w:ascii="宋体" w:hAnsi="宋体" w:eastAsia="宋体" w:cs="Times New Roman"/>
                <w:color w:val="000000"/>
                <w:kern w:val="0"/>
                <w:szCs w:val="21"/>
              </w:rPr>
              <w:t>学会反思</w:t>
            </w:r>
          </w:p>
        </w:tc>
        <w:tc>
          <w:tcPr>
            <w:tcW w:w="3568" w:type="pct"/>
            <w:tcBorders>
              <w:top w:val="single" w:color="auto" w:sz="4" w:space="0"/>
              <w:right w:val="single" w:color="000000" w:sz="8" w:space="0"/>
            </w:tcBorders>
            <w:vAlign w:val="center"/>
          </w:tcPr>
          <w:p w14:paraId="1FA1070F">
            <w:pPr>
              <w:jc w:val="left"/>
              <w:rPr>
                <w:rFonts w:ascii="宋体" w:hAnsi="宋体" w:eastAsia="宋体" w:cs="Times New Roman"/>
                <w:color w:val="000000"/>
                <w:kern w:val="0"/>
                <w:szCs w:val="21"/>
              </w:rPr>
            </w:pPr>
            <w:r>
              <w:rPr>
                <w:rFonts w:ascii="宋体" w:hAnsi="宋体" w:eastAsia="宋体"/>
                <w:szCs w:val="21"/>
              </w:rPr>
              <w:t>7-3：</w:t>
            </w:r>
            <w:r>
              <w:rPr>
                <w:rFonts w:hint="eastAsia" w:ascii="宋体" w:hAnsi="宋体" w:eastAsia="宋体"/>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43746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677" w:type="pct"/>
            <w:vMerge w:val="restart"/>
            <w:vAlign w:val="center"/>
          </w:tcPr>
          <w:p w14:paraId="72B0549E">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4</w:t>
            </w:r>
          </w:p>
        </w:tc>
        <w:tc>
          <w:tcPr>
            <w:tcW w:w="754" w:type="pct"/>
            <w:vMerge w:val="restart"/>
            <w:vAlign w:val="center"/>
          </w:tcPr>
          <w:p w14:paraId="2F5629C2">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p>
          <w:p w14:paraId="26BD7698">
            <w:pPr>
              <w:rPr>
                <w:rFonts w:ascii="宋体" w:hAnsi="宋体" w:eastAsia="宋体" w:cs="Times New Roman"/>
                <w:color w:val="000000"/>
                <w:kern w:val="0"/>
                <w:szCs w:val="21"/>
              </w:rPr>
            </w:pPr>
            <w:r>
              <w:rPr>
                <w:rFonts w:hint="eastAsia" w:ascii="宋体" w:hAnsi="宋体" w:eastAsia="宋体" w:cs="Times New Roman"/>
                <w:color w:val="000000"/>
                <w:kern w:val="0"/>
                <w:szCs w:val="21"/>
              </w:rPr>
              <w:t>沟通合作</w:t>
            </w:r>
          </w:p>
        </w:tc>
        <w:tc>
          <w:tcPr>
            <w:tcW w:w="3568" w:type="pct"/>
            <w:tcBorders>
              <w:top w:val="single" w:color="auto" w:sz="4" w:space="0"/>
              <w:bottom w:val="single" w:color="auto" w:sz="4" w:space="0"/>
              <w:right w:val="single" w:color="000000" w:sz="8" w:space="0"/>
            </w:tcBorders>
            <w:vAlign w:val="center"/>
          </w:tcPr>
          <w:p w14:paraId="3E8A7284">
            <w:pPr>
              <w:jc w:val="left"/>
              <w:rPr>
                <w:rFonts w:ascii="宋体" w:hAnsi="宋体" w:eastAsia="宋体" w:cs="Times New Roman"/>
                <w:color w:val="000000"/>
                <w:kern w:val="0"/>
                <w:szCs w:val="21"/>
              </w:rPr>
            </w:pPr>
            <w:r>
              <w:rPr>
                <w:rFonts w:ascii="宋体" w:hAnsi="宋体" w:eastAsia="宋体"/>
                <w:szCs w:val="21"/>
              </w:rPr>
              <w:t>8-1：</w:t>
            </w:r>
            <w:r>
              <w:rPr>
                <w:rFonts w:hint="eastAsia" w:ascii="宋体" w:hAnsi="宋体" w:eastAsia="宋体"/>
                <w:szCs w:val="21"/>
              </w:rPr>
              <w:t>【善于团队合作】</w:t>
            </w:r>
            <w:r>
              <w:rPr>
                <w:rFonts w:hint="eastAsia" w:ascii="宋体" w:hAnsi="宋体" w:eastAsia="宋体"/>
                <w:szCs w:val="23"/>
              </w:rPr>
              <w:t>理解学习共同体的本质和价值，掌握团队协作的基本策略，在课堂学习与教育实践中获得合作学习体验，形成团队协作精神。</w:t>
            </w:r>
          </w:p>
        </w:tc>
      </w:tr>
      <w:tr w14:paraId="33E6E1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677" w:type="pct"/>
            <w:vMerge w:val="continue"/>
            <w:tcBorders>
              <w:bottom w:val="single" w:color="000000" w:sz="8" w:space="0"/>
            </w:tcBorders>
          </w:tcPr>
          <w:p w14:paraId="05481A9D">
            <w:pPr>
              <w:jc w:val="left"/>
              <w:rPr>
                <w:rFonts w:ascii="宋体" w:hAnsi="宋体" w:eastAsia="宋体" w:cs="Times New Roman"/>
                <w:color w:val="000000"/>
                <w:szCs w:val="21"/>
              </w:rPr>
            </w:pPr>
          </w:p>
        </w:tc>
        <w:tc>
          <w:tcPr>
            <w:tcW w:w="754" w:type="pct"/>
            <w:vMerge w:val="continue"/>
            <w:tcBorders>
              <w:bottom w:val="single" w:color="000000" w:sz="8" w:space="0"/>
            </w:tcBorders>
          </w:tcPr>
          <w:p w14:paraId="40761061">
            <w:pPr>
              <w:jc w:val="left"/>
              <w:rPr>
                <w:rFonts w:ascii="宋体" w:hAnsi="宋体" w:eastAsia="宋体" w:cs="Times New Roman"/>
                <w:color w:val="000000"/>
                <w:szCs w:val="21"/>
              </w:rPr>
            </w:pPr>
          </w:p>
        </w:tc>
        <w:tc>
          <w:tcPr>
            <w:tcW w:w="3568" w:type="pct"/>
            <w:tcBorders>
              <w:top w:val="single" w:color="auto" w:sz="4" w:space="0"/>
              <w:bottom w:val="single" w:color="000000" w:sz="8" w:space="0"/>
              <w:right w:val="single" w:color="000000" w:sz="8" w:space="0"/>
            </w:tcBorders>
            <w:vAlign w:val="center"/>
          </w:tcPr>
          <w:p w14:paraId="02F4AEEE">
            <w:pPr>
              <w:jc w:val="left"/>
              <w:rPr>
                <w:rFonts w:ascii="宋体" w:hAnsi="宋体" w:eastAsia="宋体" w:cs="Times New Roman"/>
                <w:color w:val="000000"/>
                <w:spacing w:val="2"/>
                <w:kern w:val="0"/>
                <w:szCs w:val="21"/>
              </w:rPr>
            </w:pPr>
            <w:r>
              <w:rPr>
                <w:rFonts w:ascii="宋体" w:hAnsi="宋体" w:eastAsia="宋体"/>
                <w:szCs w:val="21"/>
              </w:rPr>
              <w:t>8-2：</w:t>
            </w:r>
            <w:r>
              <w:rPr>
                <w:rFonts w:hint="eastAsia" w:ascii="宋体" w:hAnsi="宋体" w:eastAsia="宋体"/>
                <w:szCs w:val="21"/>
              </w:rPr>
              <w:t>【学会沟通交流】掌握人际沟通合作技能与方法，能与学生和家长以及同行、同事、专家进行有效沟通与合作，实现共同发展。</w:t>
            </w:r>
          </w:p>
        </w:tc>
      </w:tr>
    </w:tbl>
    <w:p w14:paraId="76517CD9">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三、课程内容及要求</w:t>
      </w:r>
    </w:p>
    <w:p w14:paraId="7959A5AF">
      <w:pPr>
        <w:spacing w:after="120" w:line="360" w:lineRule="auto"/>
        <w:ind w:firstLine="472" w:firstLineChars="196"/>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（一）学校考察（本模块可以支撑课程目标1、3）</w:t>
      </w:r>
    </w:p>
    <w:p w14:paraId="021CA49E">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49B46A44">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观察学校空间、师生日常活动，体会学校校园文化和办学理念；聆听学校负责人介绍学校建设情况、教育教学理念、特色文化；采用观察法或访谈法，聚焦一个主题开展教育调查，分析和总结见习学校的教育教学改革情况，完成1份教育调查报告。</w:t>
      </w:r>
    </w:p>
    <w:p w14:paraId="5272716E">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2</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要求</w:t>
      </w:r>
    </w:p>
    <w:p w14:paraId="17C3990E">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认真考察校园文化，听取学校专题介绍，与指导教师深入交流；调查报告内容完整、方法合理，重点突出，数据和内容真实。</w:t>
      </w:r>
    </w:p>
    <w:p w14:paraId="18D1C8D2">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75052A10">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Times New Roman" w:eastAsia="宋体" w:cs="Times New Roman"/>
          <w:color w:val="000000" w:themeColor="text1"/>
          <w:sz w:val="24"/>
          <w:szCs w:val="24"/>
          <w14:textFill>
            <w14:solidFill>
              <w14:schemeClr w14:val="tx1"/>
            </w14:solidFill>
          </w14:textFill>
        </w:rPr>
        <w:t>把“立德树人”教育目标融入实践过程中，领悟教师职业的价值，</w:t>
      </w:r>
      <w:r>
        <w:rPr>
          <w:rFonts w:hint="eastAsia" w:ascii="宋体" w:hAnsi="宋体" w:eastAsia="宋体" w:cs="Times New Roman"/>
          <w:color w:val="000000" w:themeColor="text1"/>
          <w:sz w:val="24"/>
          <w:szCs w:val="24"/>
          <w14:textFill>
            <w14:solidFill>
              <w14:schemeClr w14:val="tx1"/>
            </w14:solidFill>
          </w14:textFill>
        </w:rPr>
        <w:t>树立职业理想，立志成为有理想信念、有道德情操、有扎实学识、有仁爱之心的好教师。</w:t>
      </w:r>
    </w:p>
    <w:p w14:paraId="59164F01">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（二）教学观摩与研习（本模块可以支撑课程目标1、2）</w:t>
      </w:r>
    </w:p>
    <w:p w14:paraId="7EBF8952">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5C8887EA">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在实践导师安排下，每天听课2</w:t>
      </w: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节，见习期总听课数不少于1</w:t>
      </w:r>
      <w:r>
        <w:rPr>
          <w:rFonts w:ascii="宋体" w:hAnsi="宋体" w:eastAsia="宋体" w:cs="Times New Roman"/>
          <w:color w:val="000000" w:themeColor="text1"/>
          <w:sz w:val="24"/>
          <w:szCs w:val="24"/>
          <w14:textFill>
            <w14:solidFill>
              <w14:schemeClr w14:val="tx1"/>
            </w14:solidFill>
          </w14:textFill>
        </w:rPr>
        <w:t>0</w:t>
      </w:r>
      <w:r>
        <w:rPr>
          <w:rFonts w:hint="eastAsia" w:ascii="宋体" w:hAnsi="宋体" w:eastAsia="宋体" w:cs="Times New Roman"/>
          <w:color w:val="000000" w:themeColor="text1"/>
          <w:sz w:val="24"/>
          <w:szCs w:val="24"/>
          <w14:textFill>
            <w14:solidFill>
              <w14:schemeClr w14:val="tx1"/>
            </w14:solidFill>
          </w14:textFill>
        </w:rPr>
        <w:t>节；认真研读教材，备课，撰写教案，在实践导师指导下完成1份形式规范的教案；聆听学校优秀教师、优秀班主任(辅导员)工作教育教学经验的介绍。</w:t>
      </w:r>
    </w:p>
    <w:p w14:paraId="7E2319A7">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ascii="宋体" w:hAnsi="宋体" w:eastAsia="宋体" w:cs="Times New Roman"/>
          <w:b/>
          <w:color w:val="000000" w:themeColor="text1"/>
          <w:sz w:val="24"/>
          <w:szCs w:val="24"/>
          <w14:textFill>
            <w14:solidFill>
              <w14:schemeClr w14:val="tx1"/>
            </w14:solidFill>
          </w14:textFill>
        </w:rPr>
        <w:t>2.</w:t>
      </w:r>
      <w:r>
        <w:rPr>
          <w:rFonts w:hint="eastAsia" w:ascii="宋体" w:hAnsi="宋体" w:eastAsia="宋体" w:cs="Times New Roman"/>
          <w:b/>
          <w:color w:val="000000" w:themeColor="text1"/>
          <w:sz w:val="24"/>
          <w:szCs w:val="24"/>
          <w14:textFill>
            <w14:solidFill>
              <w14:schemeClr w14:val="tx1"/>
            </w14:solidFill>
          </w14:textFill>
        </w:rPr>
        <w:t>要求</w:t>
      </w:r>
    </w:p>
    <w:p w14:paraId="7BF50C92">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善于倾听和思考，总结教学观摩心得，能与实践导师进行积极交流；善于运用教学材料钻研教材，设计出形式要素齐全、比较规范合理的教案，认真学习实践导师的教学方法与教学经验。</w:t>
      </w:r>
    </w:p>
    <w:p w14:paraId="71FF71D5">
      <w:pPr>
        <w:spacing w:line="360" w:lineRule="auto"/>
        <w:ind w:firstLine="482" w:firstLineChars="200"/>
        <w:jc w:val="left"/>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Times New Roman"/>
          <w:b/>
          <w:bCs/>
          <w:color w:val="000000" w:themeColor="text1"/>
          <w:sz w:val="24"/>
          <w:szCs w:val="24"/>
          <w14:textFill>
            <w14:solidFill>
              <w14:schemeClr w14:val="tx1"/>
            </w14:solidFill>
          </w14:textFill>
        </w:rPr>
        <w:t>3.</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73F18C5A">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树立辩证统一的思维，能够科学合理的分析和评价教学，吸取教学中的经验与教训；理解教师工作的本质，认同教师工作的科学性和专业性。</w:t>
      </w:r>
    </w:p>
    <w:p w14:paraId="62337A75">
      <w:pPr>
        <w:spacing w:line="360" w:lineRule="auto"/>
        <w:ind w:firstLine="482" w:firstLineChars="200"/>
        <w:rPr>
          <w:rFonts w:ascii="宋体" w:hAnsi="宋体"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（三）班级管理和班队工作见习（本模块可以支撑课程目标1、3、4）</w:t>
      </w:r>
    </w:p>
    <w:p w14:paraId="2383134F">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713B2922">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全面观察班级常规管理工作，了解班主任日常工作的内容和方法，主动协助班主任进行班级管理；在班主任指导下尝试组织有主题的班会或班队活动，形成班队活动观察记录1份。</w:t>
      </w:r>
    </w:p>
    <w:p w14:paraId="56ADAEFE">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ascii="宋体" w:hAnsi="宋体" w:eastAsia="宋体" w:cs="Times New Roman"/>
          <w:b/>
          <w:color w:val="000000" w:themeColor="text1"/>
          <w:sz w:val="24"/>
          <w:szCs w:val="24"/>
          <w14:textFill>
            <w14:solidFill>
              <w14:schemeClr w14:val="tx1"/>
            </w14:solidFill>
          </w14:textFill>
        </w:rPr>
        <w:t>2.</w:t>
      </w:r>
      <w:r>
        <w:rPr>
          <w:rFonts w:hint="eastAsia" w:ascii="宋体" w:hAnsi="宋体" w:eastAsia="宋体" w:cs="Times New Roman"/>
          <w:b/>
          <w:color w:val="000000" w:themeColor="text1"/>
          <w:sz w:val="24"/>
          <w:szCs w:val="24"/>
          <w14:textFill>
            <w14:solidFill>
              <w14:schemeClr w14:val="tx1"/>
            </w14:solidFill>
          </w14:textFill>
        </w:rPr>
        <w:t>要求</w:t>
      </w:r>
    </w:p>
    <w:p w14:paraId="5A07F970">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主动与小学生加深交流，掌握小学生生活特点、心理特点；认真观察，主动与实践导师沟通班级管理的经验，善于在管理案例中总结经验与教训。</w:t>
      </w:r>
    </w:p>
    <w:p w14:paraId="60CD3A66">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ascii="宋体" w:hAnsi="宋体" w:eastAsia="宋体" w:cs="Times New Roman"/>
          <w:b/>
          <w:bCs/>
          <w:color w:val="000000" w:themeColor="text1"/>
          <w:sz w:val="24"/>
          <w:szCs w:val="24"/>
          <w14:textFill>
            <w14:solidFill>
              <w14:schemeClr w14:val="tx1"/>
            </w14:solidFill>
          </w14:textFill>
        </w:rPr>
        <w:t>3.</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14DEF628">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理解培养全面发展的人这一教育理念，认识教育管理、班队活动的育人价值，提高教育修养，增强在教育过程中挖掘各个因素进行教育的意识和能力。</w:t>
      </w:r>
    </w:p>
    <w:p w14:paraId="5AD422BE">
      <w:pPr>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课程内容与课程目标的对应关系</w:t>
      </w:r>
    </w:p>
    <w:tbl>
      <w:tblPr>
        <w:tblStyle w:val="3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1436"/>
        <w:gridCol w:w="1391"/>
        <w:gridCol w:w="1436"/>
        <w:gridCol w:w="1370"/>
      </w:tblGrid>
      <w:tr w14:paraId="4120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75" w:type="dxa"/>
            <w:vAlign w:val="center"/>
          </w:tcPr>
          <w:p w14:paraId="0FDDC76B">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课程内容</w:t>
            </w:r>
          </w:p>
        </w:tc>
        <w:tc>
          <w:tcPr>
            <w:tcW w:w="1436" w:type="dxa"/>
            <w:vAlign w:val="center"/>
          </w:tcPr>
          <w:p w14:paraId="1AC86FE8">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1</w:t>
            </w:r>
          </w:p>
        </w:tc>
        <w:tc>
          <w:tcPr>
            <w:tcW w:w="1391" w:type="dxa"/>
            <w:vAlign w:val="center"/>
          </w:tcPr>
          <w:p w14:paraId="5431CD4C">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2</w:t>
            </w:r>
          </w:p>
        </w:tc>
        <w:tc>
          <w:tcPr>
            <w:tcW w:w="1436" w:type="dxa"/>
            <w:vAlign w:val="center"/>
          </w:tcPr>
          <w:p w14:paraId="276B4EF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3</w:t>
            </w:r>
          </w:p>
        </w:tc>
        <w:tc>
          <w:tcPr>
            <w:tcW w:w="1370" w:type="dxa"/>
            <w:vAlign w:val="center"/>
          </w:tcPr>
          <w:p w14:paraId="5757F72B">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4</w:t>
            </w:r>
          </w:p>
        </w:tc>
      </w:tr>
      <w:tr w14:paraId="7A00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175" w:type="dxa"/>
            <w:vAlign w:val="center"/>
          </w:tcPr>
          <w:p w14:paraId="24EA7B8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学校考察</w:t>
            </w:r>
          </w:p>
        </w:tc>
        <w:tc>
          <w:tcPr>
            <w:tcW w:w="1436" w:type="dxa"/>
            <w:vAlign w:val="center"/>
          </w:tcPr>
          <w:p w14:paraId="41EED89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03757122">
            <w:pPr>
              <w:spacing w:line="276" w:lineRule="auto"/>
              <w:jc w:val="center"/>
              <w:rPr>
                <w:rFonts w:ascii="宋体" w:hAnsi="宋体" w:eastAsia="宋体" w:cs="Times New Roman"/>
                <w:color w:val="000000"/>
                <w:szCs w:val="21"/>
              </w:rPr>
            </w:pPr>
          </w:p>
        </w:tc>
        <w:tc>
          <w:tcPr>
            <w:tcW w:w="1436" w:type="dxa"/>
            <w:vAlign w:val="center"/>
          </w:tcPr>
          <w:p w14:paraId="7259266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5A381FAA">
            <w:pPr>
              <w:spacing w:line="276" w:lineRule="auto"/>
              <w:jc w:val="center"/>
              <w:rPr>
                <w:rFonts w:ascii="宋体" w:hAnsi="宋体" w:eastAsia="宋体" w:cs="Times New Roman"/>
                <w:color w:val="000000"/>
                <w:szCs w:val="21"/>
              </w:rPr>
            </w:pPr>
          </w:p>
        </w:tc>
      </w:tr>
      <w:tr w14:paraId="114C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175" w:type="dxa"/>
            <w:vAlign w:val="center"/>
          </w:tcPr>
          <w:p w14:paraId="09DFDF5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教学观摩与研习</w:t>
            </w:r>
          </w:p>
        </w:tc>
        <w:tc>
          <w:tcPr>
            <w:tcW w:w="1436" w:type="dxa"/>
            <w:vAlign w:val="center"/>
          </w:tcPr>
          <w:p w14:paraId="2BE12397">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7288C34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2DA2B029">
            <w:pPr>
              <w:spacing w:line="276" w:lineRule="auto"/>
              <w:rPr>
                <w:rFonts w:ascii="宋体" w:hAnsi="宋体" w:eastAsia="宋体" w:cs="Times New Roman"/>
                <w:color w:val="000000"/>
                <w:szCs w:val="21"/>
              </w:rPr>
            </w:pPr>
          </w:p>
        </w:tc>
        <w:tc>
          <w:tcPr>
            <w:tcW w:w="1370" w:type="dxa"/>
            <w:vAlign w:val="center"/>
          </w:tcPr>
          <w:p w14:paraId="08C2E8BF">
            <w:pPr>
              <w:spacing w:line="276" w:lineRule="auto"/>
              <w:jc w:val="center"/>
              <w:rPr>
                <w:rFonts w:ascii="宋体" w:hAnsi="宋体" w:eastAsia="宋体" w:cs="Times New Roman"/>
                <w:color w:val="000000"/>
                <w:szCs w:val="21"/>
              </w:rPr>
            </w:pPr>
          </w:p>
        </w:tc>
      </w:tr>
      <w:tr w14:paraId="0705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175" w:type="dxa"/>
            <w:vAlign w:val="center"/>
          </w:tcPr>
          <w:p w14:paraId="0CA92E4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班级管理和班队工作见习</w:t>
            </w:r>
          </w:p>
        </w:tc>
        <w:tc>
          <w:tcPr>
            <w:tcW w:w="1436" w:type="dxa"/>
            <w:vAlign w:val="center"/>
          </w:tcPr>
          <w:p w14:paraId="5C91156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1D1D8843">
            <w:pPr>
              <w:spacing w:line="276" w:lineRule="auto"/>
              <w:jc w:val="center"/>
              <w:rPr>
                <w:rFonts w:ascii="宋体" w:hAnsi="宋体" w:eastAsia="宋体" w:cs="Times New Roman"/>
                <w:color w:val="000000"/>
                <w:szCs w:val="21"/>
              </w:rPr>
            </w:pPr>
          </w:p>
        </w:tc>
        <w:tc>
          <w:tcPr>
            <w:tcW w:w="1436" w:type="dxa"/>
            <w:vAlign w:val="center"/>
          </w:tcPr>
          <w:p w14:paraId="75EBDF7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495E4877">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r>
    </w:tbl>
    <w:p w14:paraId="5CDA566D">
      <w:pPr>
        <w:spacing w:line="360" w:lineRule="auto"/>
        <w:ind w:firstLine="562" w:firstLineChars="200"/>
        <w:rPr>
          <w:rFonts w:ascii="Times New Roman" w:hAnsi="Times New Roman" w:eastAsia="宋体" w:cs="Times New Roman"/>
          <w:b/>
          <w:sz w:val="28"/>
          <w:szCs w:val="28"/>
        </w:rPr>
      </w:pPr>
    </w:p>
    <w:p w14:paraId="6A6E599E">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593D178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（一）见习要求</w:t>
      </w:r>
    </w:p>
    <w:p w14:paraId="0B5B50E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1.遵守见习学校各项规章制度，不迟到，不早退，虚心接受见习学校领导、指导教师的指导。</w:t>
      </w:r>
    </w:p>
    <w:p w14:paraId="2FDB7F4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2.文明礼貌，为人师表，爱护学生，尊重见习学校的师生员工，积极协助见习学校教师做力所能及的工作。</w:t>
      </w:r>
    </w:p>
    <w:p w14:paraId="2DC2333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3.同学之间团结友爱，注意安全。认真完成各项见习任务，做好每次的见习笔记，认真填写《小学教育专业学生见习手册》。</w:t>
      </w:r>
    </w:p>
    <w:p w14:paraId="78A43A3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4.见习组长负责与见习学校领导的联系以及见习活动的组织、考勤工作。所有学生必须全程参加见习活动，不得无故缺席。</w:t>
      </w:r>
    </w:p>
    <w:p w14:paraId="6620B0C0">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Cs/>
          <w:sz w:val="24"/>
          <w:szCs w:val="24"/>
        </w:rPr>
        <w:t>（二）</w:t>
      </w:r>
      <w:r>
        <w:rPr>
          <w:rFonts w:ascii="Times New Roman" w:hAnsi="Times New Roman" w:eastAsia="宋体" w:cs="Times New Roman"/>
          <w:bCs/>
          <w:sz w:val="24"/>
          <w:szCs w:val="24"/>
        </w:rPr>
        <w:t>主要</w:t>
      </w:r>
      <w:r>
        <w:rPr>
          <w:rFonts w:hint="eastAsia" w:ascii="Times New Roman" w:hAnsi="Times New Roman" w:eastAsia="宋体" w:cs="Times New Roman"/>
          <w:bCs/>
          <w:sz w:val="24"/>
          <w:szCs w:val="24"/>
        </w:rPr>
        <w:t>教学</w:t>
      </w:r>
      <w:r>
        <w:rPr>
          <w:rFonts w:ascii="Times New Roman" w:hAnsi="Times New Roman" w:eastAsia="宋体" w:cs="Times New Roman"/>
          <w:bCs/>
          <w:sz w:val="24"/>
          <w:szCs w:val="24"/>
        </w:rPr>
        <w:t>环节</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质量要求</w:t>
      </w:r>
      <w:r>
        <w:rPr>
          <w:rFonts w:hint="eastAsia" w:ascii="Times New Roman" w:hAnsi="Times New Roman" w:eastAsia="宋体" w:cs="Times New Roman"/>
          <w:bCs/>
          <w:sz w:val="24"/>
          <w:szCs w:val="24"/>
        </w:rPr>
        <w:t>如表所示。</w:t>
      </w:r>
    </w:p>
    <w:tbl>
      <w:tblPr>
        <w:tblStyle w:val="30"/>
        <w:tblW w:w="85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422"/>
        <w:gridCol w:w="6521"/>
      </w:tblGrid>
      <w:tr w14:paraId="6BE49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012" w:type="dxa"/>
            <w:gridSpan w:val="2"/>
            <w:vAlign w:val="center"/>
          </w:tcPr>
          <w:p w14:paraId="680C5896">
            <w:pPr>
              <w:snapToGrid w:val="0"/>
              <w:spacing w:line="276" w:lineRule="auto"/>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6521" w:type="dxa"/>
            <w:vAlign w:val="center"/>
          </w:tcPr>
          <w:p w14:paraId="437AD1F0">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7715D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90" w:type="dxa"/>
            <w:vMerge w:val="restart"/>
            <w:vAlign w:val="center"/>
          </w:tcPr>
          <w:p w14:paraId="587C03D1">
            <w:pPr>
              <w:jc w:val="center"/>
              <w:rPr>
                <w:rFonts w:ascii="Times New Roman" w:hAnsi="Times New Roman" w:eastAsia="宋体" w:cs="Times New Roman"/>
                <w:szCs w:val="21"/>
              </w:rPr>
            </w:pPr>
            <w:r>
              <w:rPr>
                <w:rFonts w:ascii="Times New Roman" w:hAnsi="Times New Roman" w:eastAsia="宋体" w:cs="Times New Roman"/>
                <w:szCs w:val="21"/>
              </w:rPr>
              <w:t>准备</w:t>
            </w:r>
          </w:p>
          <w:p w14:paraId="7A30FC9F">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22" w:type="dxa"/>
            <w:vAlign w:val="center"/>
          </w:tcPr>
          <w:p w14:paraId="5DA0D563">
            <w:pPr>
              <w:rPr>
                <w:rFonts w:ascii="Times New Roman" w:hAnsi="Times New Roman" w:eastAsia="宋体" w:cs="Times New Roman"/>
                <w:szCs w:val="21"/>
              </w:rPr>
            </w:pPr>
            <w:r>
              <w:rPr>
                <w:rFonts w:ascii="Times New Roman" w:hAnsi="Times New Roman" w:eastAsia="宋体" w:cs="Times New Roman"/>
                <w:szCs w:val="21"/>
              </w:rPr>
              <w:t>1.实践计划</w:t>
            </w:r>
          </w:p>
        </w:tc>
        <w:tc>
          <w:tcPr>
            <w:tcW w:w="6521" w:type="dxa"/>
            <w:vAlign w:val="center"/>
          </w:tcPr>
          <w:p w14:paraId="37C2B985">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见习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，选择相应的见习学校，并</w:t>
            </w:r>
            <w:r>
              <w:rPr>
                <w:rFonts w:ascii="Times New Roman" w:hAnsi="Times New Roman" w:eastAsia="宋体" w:cs="Times New Roman"/>
                <w:szCs w:val="21"/>
              </w:rPr>
              <w:t>在</w:t>
            </w:r>
            <w:r>
              <w:rPr>
                <w:rFonts w:hint="eastAsia" w:ascii="Times New Roman" w:hAnsi="Times New Roman" w:eastAsia="宋体" w:cs="Times New Roman"/>
                <w:szCs w:val="21"/>
              </w:rPr>
              <w:t>见习开始前做好联系工作</w:t>
            </w:r>
            <w:r>
              <w:rPr>
                <w:rFonts w:ascii="Times New Roman" w:hAnsi="Times New Roman" w:eastAsia="宋体" w:cs="Times New Roman"/>
                <w:szCs w:val="21"/>
              </w:rPr>
              <w:t>。</w:t>
            </w:r>
          </w:p>
        </w:tc>
      </w:tr>
      <w:tr w14:paraId="0E37D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90" w:type="dxa"/>
            <w:vMerge w:val="continue"/>
            <w:vAlign w:val="center"/>
          </w:tcPr>
          <w:p w14:paraId="7E75829E">
            <w:pPr>
              <w:jc w:val="center"/>
              <w:rPr>
                <w:rFonts w:ascii="Times New Roman" w:hAnsi="Times New Roman" w:eastAsia="宋体" w:cs="Times New Roman"/>
                <w:szCs w:val="21"/>
              </w:rPr>
            </w:pPr>
          </w:p>
        </w:tc>
        <w:tc>
          <w:tcPr>
            <w:tcW w:w="1422" w:type="dxa"/>
            <w:vAlign w:val="center"/>
          </w:tcPr>
          <w:p w14:paraId="6304E121">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6521" w:type="dxa"/>
            <w:vAlign w:val="center"/>
          </w:tcPr>
          <w:p w14:paraId="59F68E22">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在见习开始前开好见习动员大会，提出相应见习要求</w:t>
            </w:r>
            <w:r>
              <w:rPr>
                <w:rFonts w:ascii="Times New Roman" w:hAnsi="Times New Roman" w:eastAsia="宋体" w:cs="Times New Roman"/>
                <w:szCs w:val="21"/>
              </w:rPr>
              <w:t>。</w:t>
            </w:r>
          </w:p>
        </w:tc>
      </w:tr>
      <w:tr w14:paraId="7A864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90" w:type="dxa"/>
            <w:vMerge w:val="continue"/>
            <w:vAlign w:val="center"/>
          </w:tcPr>
          <w:p w14:paraId="0C377691">
            <w:pPr>
              <w:jc w:val="center"/>
              <w:rPr>
                <w:rFonts w:ascii="Times New Roman" w:hAnsi="Times New Roman" w:eastAsia="宋体" w:cs="Times New Roman"/>
                <w:szCs w:val="21"/>
              </w:rPr>
            </w:pPr>
          </w:p>
        </w:tc>
        <w:tc>
          <w:tcPr>
            <w:tcW w:w="1422" w:type="dxa"/>
            <w:vAlign w:val="center"/>
          </w:tcPr>
          <w:p w14:paraId="27EEF32A">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6521" w:type="dxa"/>
            <w:vAlign w:val="center"/>
          </w:tcPr>
          <w:p w14:paraId="304804D9">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做好学生的分组工作，强调小组成员之间的合作沟通，对每位同学都提出明确的见习纪律和责任。</w:t>
            </w:r>
          </w:p>
        </w:tc>
      </w:tr>
      <w:tr w14:paraId="662CA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0" w:type="dxa"/>
            <w:vMerge w:val="restart"/>
            <w:vAlign w:val="center"/>
          </w:tcPr>
          <w:p w14:paraId="4E10C16A">
            <w:pPr>
              <w:jc w:val="center"/>
              <w:rPr>
                <w:rFonts w:ascii="Times New Roman" w:hAnsi="Times New Roman" w:eastAsia="宋体" w:cs="Times New Roman"/>
                <w:szCs w:val="21"/>
              </w:rPr>
            </w:pPr>
            <w:r>
              <w:rPr>
                <w:rFonts w:ascii="Times New Roman" w:hAnsi="Times New Roman" w:eastAsia="宋体" w:cs="Times New Roman"/>
                <w:szCs w:val="21"/>
              </w:rPr>
              <w:t>实施</w:t>
            </w:r>
          </w:p>
          <w:p w14:paraId="192B742A">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22" w:type="dxa"/>
            <w:vAlign w:val="center"/>
          </w:tcPr>
          <w:p w14:paraId="024B3AB3">
            <w:pPr>
              <w:rPr>
                <w:rFonts w:ascii="Times New Roman" w:hAnsi="Times New Roman" w:eastAsia="宋体" w:cs="Times New Roman"/>
                <w:szCs w:val="21"/>
              </w:rPr>
            </w:pPr>
            <w:r>
              <w:rPr>
                <w:rFonts w:ascii="Times New Roman" w:hAnsi="Times New Roman" w:eastAsia="宋体" w:cs="Times New Roman"/>
                <w:szCs w:val="21"/>
              </w:rPr>
              <w:t>1.计划执行</w:t>
            </w:r>
          </w:p>
        </w:tc>
        <w:tc>
          <w:tcPr>
            <w:tcW w:w="6521" w:type="dxa"/>
            <w:vAlign w:val="center"/>
          </w:tcPr>
          <w:p w14:paraId="0C9BF11D">
            <w:pPr>
              <w:rPr>
                <w:rFonts w:ascii="Times New Roman" w:hAnsi="Times New Roman" w:eastAsia="宋体" w:cs="Times New Roman"/>
                <w:szCs w:val="21"/>
              </w:rPr>
            </w:pPr>
            <w:r>
              <w:rPr>
                <w:rFonts w:hint="eastAsia" w:ascii="Times New Roman" w:hAnsi="Times New Roman" w:eastAsia="宋体" w:cs="Times New Roman"/>
                <w:szCs w:val="21"/>
              </w:rPr>
              <w:t>按照见习计划到各小学见习</w:t>
            </w:r>
            <w:r>
              <w:rPr>
                <w:rFonts w:ascii="Times New Roman" w:hAnsi="Times New Roman" w:eastAsia="宋体" w:cs="Times New Roman"/>
                <w:szCs w:val="21"/>
              </w:rPr>
              <w:t xml:space="preserve">。 </w:t>
            </w:r>
          </w:p>
        </w:tc>
      </w:tr>
      <w:tr w14:paraId="363B4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0" w:type="dxa"/>
            <w:vMerge w:val="continue"/>
            <w:vAlign w:val="center"/>
          </w:tcPr>
          <w:p w14:paraId="294DEA96">
            <w:pPr>
              <w:jc w:val="center"/>
              <w:rPr>
                <w:rFonts w:ascii="Times New Roman" w:hAnsi="Times New Roman" w:eastAsia="宋体" w:cs="Times New Roman"/>
                <w:szCs w:val="21"/>
              </w:rPr>
            </w:pPr>
          </w:p>
        </w:tc>
        <w:tc>
          <w:tcPr>
            <w:tcW w:w="1422" w:type="dxa"/>
            <w:vAlign w:val="center"/>
          </w:tcPr>
          <w:p w14:paraId="1BA9B00B">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6521" w:type="dxa"/>
            <w:vAlign w:val="center"/>
          </w:tcPr>
          <w:p w14:paraId="1637AF60">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指导教师定期到见习学校指导，密切联系见习学校的指导教师，对学生的见习情况进行实时了解</w:t>
            </w:r>
            <w:r>
              <w:rPr>
                <w:rFonts w:ascii="Times New Roman" w:hAnsi="Times New Roman" w:eastAsia="宋体" w:cs="Times New Roman"/>
                <w:szCs w:val="21"/>
              </w:rPr>
              <w:t>。</w:t>
            </w:r>
          </w:p>
        </w:tc>
      </w:tr>
      <w:tr w14:paraId="7DC85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90" w:type="dxa"/>
            <w:vMerge w:val="continue"/>
            <w:vAlign w:val="center"/>
          </w:tcPr>
          <w:p w14:paraId="6E0AAC2B">
            <w:pPr>
              <w:jc w:val="center"/>
              <w:rPr>
                <w:rFonts w:ascii="Times New Roman" w:hAnsi="Times New Roman" w:eastAsia="宋体" w:cs="Times New Roman"/>
                <w:szCs w:val="21"/>
              </w:rPr>
            </w:pPr>
          </w:p>
        </w:tc>
        <w:tc>
          <w:tcPr>
            <w:tcW w:w="1422" w:type="dxa"/>
            <w:vAlign w:val="center"/>
          </w:tcPr>
          <w:p w14:paraId="46DDB691">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6521" w:type="dxa"/>
            <w:vAlign w:val="center"/>
          </w:tcPr>
          <w:p w14:paraId="7A2FF143">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1ACDB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0" w:type="dxa"/>
            <w:vMerge w:val="continue"/>
            <w:vAlign w:val="center"/>
          </w:tcPr>
          <w:p w14:paraId="6F678155">
            <w:pPr>
              <w:jc w:val="center"/>
              <w:rPr>
                <w:rFonts w:ascii="Times New Roman" w:hAnsi="Times New Roman" w:eastAsia="宋体" w:cs="Times New Roman"/>
                <w:szCs w:val="21"/>
              </w:rPr>
            </w:pPr>
          </w:p>
        </w:tc>
        <w:tc>
          <w:tcPr>
            <w:tcW w:w="1422" w:type="dxa"/>
            <w:vAlign w:val="center"/>
          </w:tcPr>
          <w:p w14:paraId="25FA22C3">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6521" w:type="dxa"/>
            <w:vAlign w:val="center"/>
          </w:tcPr>
          <w:p w14:paraId="5E3357E9">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4E679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0" w:type="dxa"/>
            <w:vMerge w:val="restart"/>
            <w:vAlign w:val="center"/>
          </w:tcPr>
          <w:p w14:paraId="66DF43C3">
            <w:pPr>
              <w:jc w:val="center"/>
              <w:rPr>
                <w:rFonts w:ascii="Times New Roman" w:hAnsi="Times New Roman" w:eastAsia="宋体" w:cs="Times New Roman"/>
                <w:szCs w:val="21"/>
              </w:rPr>
            </w:pPr>
            <w:r>
              <w:rPr>
                <w:rFonts w:ascii="Times New Roman" w:hAnsi="Times New Roman" w:eastAsia="宋体" w:cs="Times New Roman"/>
                <w:szCs w:val="21"/>
              </w:rPr>
              <w:t>总结</w:t>
            </w:r>
          </w:p>
          <w:p w14:paraId="24C92CBA">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22" w:type="dxa"/>
            <w:vAlign w:val="center"/>
          </w:tcPr>
          <w:p w14:paraId="7B312E91">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见习</w:t>
            </w:r>
            <w:r>
              <w:rPr>
                <w:rFonts w:ascii="Times New Roman" w:hAnsi="Times New Roman" w:eastAsia="宋体" w:cs="Times New Roman"/>
                <w:szCs w:val="21"/>
              </w:rPr>
              <w:t>报告</w:t>
            </w:r>
          </w:p>
        </w:tc>
        <w:tc>
          <w:tcPr>
            <w:tcW w:w="6521" w:type="dxa"/>
            <w:vAlign w:val="center"/>
          </w:tcPr>
          <w:p w14:paraId="20FE5504">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教育调查报告、教育见习手册和见习考核表</w:t>
            </w:r>
            <w:r>
              <w:rPr>
                <w:rFonts w:ascii="Times New Roman" w:hAnsi="Times New Roman" w:eastAsia="宋体" w:cs="Times New Roman"/>
                <w:szCs w:val="21"/>
              </w:rPr>
              <w:t>。</w:t>
            </w:r>
          </w:p>
        </w:tc>
      </w:tr>
      <w:tr w14:paraId="707FD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90" w:type="dxa"/>
            <w:vMerge w:val="continue"/>
            <w:vAlign w:val="center"/>
          </w:tcPr>
          <w:p w14:paraId="2A685E79">
            <w:pPr>
              <w:rPr>
                <w:rFonts w:ascii="Times New Roman" w:hAnsi="Times New Roman" w:eastAsia="宋体" w:cs="Times New Roman"/>
                <w:szCs w:val="21"/>
              </w:rPr>
            </w:pPr>
          </w:p>
        </w:tc>
        <w:tc>
          <w:tcPr>
            <w:tcW w:w="1422" w:type="dxa"/>
            <w:vAlign w:val="center"/>
          </w:tcPr>
          <w:p w14:paraId="4F187B24">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6521" w:type="dxa"/>
            <w:vAlign w:val="center"/>
          </w:tcPr>
          <w:p w14:paraId="0EE7829B">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见习情况</w:t>
            </w:r>
            <w:r>
              <w:rPr>
                <w:rFonts w:ascii="Times New Roman" w:hAnsi="Times New Roman" w:eastAsia="宋体" w:cs="Times New Roman"/>
                <w:szCs w:val="21"/>
              </w:rPr>
              <w:t>进行考核，合理评价，并按照学校有关规定登记成绩。</w:t>
            </w:r>
          </w:p>
        </w:tc>
      </w:tr>
      <w:tr w14:paraId="612CE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0" w:type="dxa"/>
            <w:vMerge w:val="continue"/>
            <w:vAlign w:val="center"/>
          </w:tcPr>
          <w:p w14:paraId="76B0EDDC">
            <w:pPr>
              <w:rPr>
                <w:rFonts w:ascii="Times New Roman" w:hAnsi="Times New Roman" w:eastAsia="宋体" w:cs="Times New Roman"/>
                <w:szCs w:val="21"/>
              </w:rPr>
            </w:pPr>
          </w:p>
        </w:tc>
        <w:tc>
          <w:tcPr>
            <w:tcW w:w="1422" w:type="dxa"/>
            <w:vAlign w:val="center"/>
          </w:tcPr>
          <w:p w14:paraId="45B6940C">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6521" w:type="dxa"/>
            <w:vAlign w:val="center"/>
          </w:tcPr>
          <w:p w14:paraId="1496727C">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45D62E9B">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w:t>
      </w:r>
      <w:r>
        <w:rPr>
          <w:rFonts w:ascii="Times New Roman" w:hAnsi="Times New Roman" w:eastAsia="宋体" w:cs="Times New Roman"/>
          <w:b/>
          <w:sz w:val="28"/>
          <w:szCs w:val="28"/>
        </w:rPr>
        <w:t>、课程考核</w:t>
      </w:r>
    </w:p>
    <w:p w14:paraId="3B83A88A">
      <w:pPr>
        <w:numPr>
          <w:ilvl w:val="0"/>
          <w:numId w:val="16"/>
        </w:num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考核资料要求</w:t>
      </w:r>
    </w:p>
    <w:p w14:paraId="019F436F">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1.教育见习手册填写完整。</w:t>
      </w:r>
    </w:p>
    <w:p w14:paraId="340D2151">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2.教育调查报告1份。</w:t>
      </w:r>
    </w:p>
    <w:p w14:paraId="2793FF0D">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3.教育见习鉴定表每人一份，</w:t>
      </w:r>
      <w:r>
        <w:rPr>
          <w:rFonts w:ascii="Times New Roman" w:hAnsi="Times New Roman" w:eastAsia="宋体" w:cs="Times New Roman"/>
          <w:color w:val="000000"/>
          <w:sz w:val="24"/>
          <w:szCs w:val="24"/>
        </w:rPr>
        <w:t>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w:t>
      </w:r>
      <w:r>
        <w:rPr>
          <w:rFonts w:hint="eastAsia" w:ascii="Times New Roman" w:hAnsi="Times New Roman" w:eastAsia="宋体" w:cs="Times New Roman"/>
          <w:color w:val="000000"/>
          <w:sz w:val="24"/>
          <w:szCs w:val="24"/>
        </w:rPr>
        <w:t>实践导师</w:t>
      </w:r>
      <w:r>
        <w:rPr>
          <w:rFonts w:ascii="Times New Roman" w:hAnsi="Times New Roman" w:eastAsia="宋体" w:cs="Times New Roman"/>
          <w:color w:val="000000"/>
          <w:sz w:val="24"/>
          <w:szCs w:val="24"/>
        </w:rPr>
        <w:t>和班主任的评语及打分，并有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学校的意见</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本校指导教师的</w:t>
      </w:r>
      <w:r>
        <w:rPr>
          <w:rFonts w:hint="eastAsia" w:ascii="Times New Roman" w:hAnsi="Times New Roman" w:eastAsia="宋体" w:cs="Times New Roman"/>
          <w:color w:val="000000"/>
          <w:sz w:val="24"/>
          <w:szCs w:val="24"/>
        </w:rPr>
        <w:t>评语评分</w:t>
      </w:r>
      <w:r>
        <w:rPr>
          <w:rFonts w:ascii="Times New Roman" w:hAnsi="Times New Roman" w:eastAsia="宋体" w:cs="Times New Roman"/>
          <w:color w:val="000000"/>
          <w:sz w:val="24"/>
          <w:szCs w:val="24"/>
        </w:rPr>
        <w:t>及签字。</w:t>
      </w:r>
    </w:p>
    <w:p w14:paraId="7D0DE9CD">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w:t>
      </w:r>
      <w:r>
        <w:rPr>
          <w:rFonts w:hint="eastAsia" w:ascii="Times New Roman" w:hAnsi="Times New Roman" w:eastAsia="宋体" w:cs="Times New Roman"/>
          <w:b/>
          <w:color w:val="000000"/>
          <w:sz w:val="24"/>
          <w:szCs w:val="24"/>
        </w:rPr>
        <w:t>成绩评定要求</w:t>
      </w:r>
    </w:p>
    <w:p w14:paraId="735E7D3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t xml:space="preserve"> </w:t>
      </w:r>
      <w:r>
        <w:rPr>
          <w:rFonts w:ascii="Times New Roman" w:hAnsi="Times New Roman" w:eastAsia="宋体" w:cs="Times New Roman"/>
          <w:sz w:val="24"/>
          <w:szCs w:val="24"/>
        </w:rPr>
        <w:t>本课程设计成绩分优、良、中、及格和不及格五个档次。</w:t>
      </w:r>
    </w:p>
    <w:p w14:paraId="5AAF635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课程设计考核方式：采用调查报告、教学工作见习、班主任工作见习、教育见习态度四个部分组成。</w:t>
      </w:r>
    </w:p>
    <w:p w14:paraId="4C2F757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调查报告、教学工作见习、班主任工作见习、教育见习态度合计满分1</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分，调查报告成绩占比1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教学工作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班主任工作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，教育见习态度占比3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14:paraId="7FD42B08">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课程总评成绩=调查报告*1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+教学工作*</w:t>
      </w:r>
      <w:r>
        <w:rPr>
          <w:rFonts w:ascii="Times New Roman" w:hAnsi="Times New Roman" w:eastAsia="宋体" w:cs="Times New Roman"/>
          <w:sz w:val="24"/>
          <w:szCs w:val="24"/>
        </w:rPr>
        <w:t>30%</w:t>
      </w:r>
      <w:r>
        <w:rPr>
          <w:rFonts w:hint="eastAsia" w:ascii="Times New Roman" w:hAnsi="Times New Roman" w:eastAsia="宋体" w:cs="Times New Roman"/>
          <w:sz w:val="24"/>
          <w:szCs w:val="24"/>
        </w:rPr>
        <w:t>+班主任工作*</w:t>
      </w:r>
      <w:r>
        <w:rPr>
          <w:rFonts w:ascii="Times New Roman" w:hAnsi="Times New Roman" w:eastAsia="宋体" w:cs="Times New Roman"/>
          <w:sz w:val="24"/>
          <w:szCs w:val="24"/>
        </w:rPr>
        <w:t>30%</w:t>
      </w:r>
      <w:r>
        <w:rPr>
          <w:rFonts w:hint="eastAsia" w:ascii="Times New Roman" w:hAnsi="Times New Roman" w:eastAsia="宋体" w:cs="Times New Roman"/>
          <w:sz w:val="24"/>
          <w:szCs w:val="24"/>
        </w:rPr>
        <w:t>+见习态度*</w:t>
      </w:r>
      <w:r>
        <w:rPr>
          <w:rFonts w:ascii="Times New Roman" w:hAnsi="Times New Roman" w:eastAsia="宋体" w:cs="Times New Roman"/>
          <w:sz w:val="24"/>
          <w:szCs w:val="24"/>
        </w:rPr>
        <w:t>30%</w:t>
      </w:r>
    </w:p>
    <w:p w14:paraId="3876D8A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w:t>
      </w:r>
      <w:r>
        <w:rPr>
          <w:rFonts w:hint="eastAsia" w:ascii="Times New Roman" w:hAnsi="Times New Roman" w:eastAsia="宋体" w:cs="Times New Roman"/>
          <w:sz w:val="24"/>
          <w:szCs w:val="24"/>
        </w:rPr>
        <w:t>考核</w:t>
      </w:r>
      <w:r>
        <w:rPr>
          <w:rFonts w:ascii="Times New Roman" w:hAnsi="Times New Roman" w:eastAsia="宋体" w:cs="Times New Roman"/>
          <w:sz w:val="24"/>
          <w:szCs w:val="24"/>
        </w:rPr>
        <w:t>内容和比例</w:t>
      </w:r>
      <w:r>
        <w:rPr>
          <w:rFonts w:hint="eastAsia" w:ascii="Times New Roman" w:hAnsi="Times New Roman" w:eastAsia="宋体" w:cs="Times New Roman"/>
          <w:sz w:val="24"/>
          <w:szCs w:val="24"/>
        </w:rPr>
        <w:t>如表所示。</w:t>
      </w:r>
    </w:p>
    <w:tbl>
      <w:tblPr>
        <w:tblStyle w:val="30"/>
        <w:tblW w:w="54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025"/>
        <w:gridCol w:w="770"/>
        <w:gridCol w:w="3031"/>
        <w:gridCol w:w="1307"/>
        <w:gridCol w:w="1372"/>
      </w:tblGrid>
      <w:tr w14:paraId="350C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72E436B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成绩组成</w:t>
            </w:r>
          </w:p>
        </w:tc>
        <w:tc>
          <w:tcPr>
            <w:tcW w:w="1097" w:type="pct"/>
            <w:tcBorders>
              <w:top w:val="single" w:color="auto" w:sz="4" w:space="0"/>
              <w:left w:val="single" w:color="auto" w:sz="4" w:space="0"/>
              <w:bottom w:val="single" w:color="auto" w:sz="4" w:space="0"/>
              <w:right w:val="single" w:color="auto" w:sz="4" w:space="0"/>
            </w:tcBorders>
            <w:shd w:val="clear" w:color="auto" w:fill="FFFFFF"/>
            <w:vAlign w:val="center"/>
          </w:tcPr>
          <w:p w14:paraId="3C86C2A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417" w:type="pct"/>
            <w:tcBorders>
              <w:top w:val="single" w:color="auto" w:sz="4" w:space="0"/>
              <w:left w:val="single" w:color="auto" w:sz="4" w:space="0"/>
              <w:bottom w:val="single" w:color="auto" w:sz="4" w:space="0"/>
              <w:right w:val="single" w:color="auto" w:sz="4" w:space="0"/>
            </w:tcBorders>
            <w:shd w:val="clear" w:color="auto" w:fill="FFFFFF"/>
            <w:vAlign w:val="center"/>
          </w:tcPr>
          <w:p w14:paraId="22824C22">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c>
          <w:tcPr>
            <w:tcW w:w="1642" w:type="pct"/>
            <w:tcBorders>
              <w:top w:val="single" w:color="auto" w:sz="4" w:space="0"/>
              <w:left w:val="single" w:color="auto" w:sz="4" w:space="0"/>
              <w:bottom w:val="single" w:color="auto" w:sz="4" w:space="0"/>
              <w:right w:val="single" w:color="auto" w:sz="4" w:space="0"/>
            </w:tcBorders>
            <w:shd w:val="clear" w:color="auto" w:fill="FFFFFF"/>
            <w:vAlign w:val="center"/>
          </w:tcPr>
          <w:p w14:paraId="45B67C80">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708" w:type="pct"/>
            <w:tcBorders>
              <w:top w:val="single" w:color="auto" w:sz="4" w:space="0"/>
              <w:left w:val="single" w:color="auto" w:sz="4" w:space="0"/>
              <w:bottom w:val="single" w:color="auto" w:sz="4" w:space="0"/>
              <w:right w:val="single" w:color="auto" w:sz="4" w:space="0"/>
            </w:tcBorders>
            <w:shd w:val="clear" w:color="auto" w:fill="FFFFFF"/>
            <w:vAlign w:val="center"/>
          </w:tcPr>
          <w:p w14:paraId="54FD6D1A">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743" w:type="pct"/>
            <w:tcBorders>
              <w:top w:val="single" w:color="auto" w:sz="4" w:space="0"/>
              <w:left w:val="single" w:color="auto" w:sz="4" w:space="0"/>
              <w:bottom w:val="single" w:color="auto" w:sz="4" w:space="0"/>
              <w:right w:val="single" w:color="auto" w:sz="4" w:space="0"/>
            </w:tcBorders>
            <w:shd w:val="clear" w:color="auto" w:fill="FFFFFF"/>
            <w:vAlign w:val="center"/>
          </w:tcPr>
          <w:p w14:paraId="64A37701">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对应的毕业要求指标点</w:t>
            </w:r>
          </w:p>
        </w:tc>
      </w:tr>
      <w:tr w14:paraId="36C6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393" w:type="pct"/>
            <w:tcBorders>
              <w:top w:val="single" w:color="auto" w:sz="4" w:space="0"/>
              <w:left w:val="single" w:color="auto" w:sz="4" w:space="0"/>
              <w:bottom w:val="single" w:color="auto" w:sz="4" w:space="0"/>
              <w:right w:val="single" w:color="auto" w:sz="4" w:space="0"/>
            </w:tcBorders>
            <w:vAlign w:val="center"/>
          </w:tcPr>
          <w:p w14:paraId="54057DC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调查报告</w:t>
            </w:r>
          </w:p>
        </w:tc>
        <w:tc>
          <w:tcPr>
            <w:tcW w:w="1097" w:type="pct"/>
            <w:tcBorders>
              <w:top w:val="single" w:color="auto" w:sz="4" w:space="0"/>
              <w:left w:val="single" w:color="auto" w:sz="4" w:space="0"/>
              <w:bottom w:val="single" w:color="auto" w:sz="4" w:space="0"/>
              <w:right w:val="single" w:color="auto" w:sz="4" w:space="0"/>
            </w:tcBorders>
            <w:vAlign w:val="center"/>
          </w:tcPr>
          <w:p w14:paraId="3876A52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对见习学校开展调查研究，结合</w:t>
            </w:r>
            <w:r>
              <w:rPr>
                <w:rFonts w:ascii="Times New Roman" w:hAnsi="Times New Roman" w:eastAsia="宋体" w:cs="Times New Roman"/>
                <w:szCs w:val="21"/>
              </w:rPr>
              <w:t>文献资料</w:t>
            </w:r>
            <w:r>
              <w:rPr>
                <w:rFonts w:hint="eastAsia" w:ascii="Times New Roman" w:hAnsi="Times New Roman" w:eastAsia="宋体" w:cs="Times New Roman"/>
                <w:szCs w:val="21"/>
              </w:rPr>
              <w:t>，完成调查报告</w:t>
            </w:r>
          </w:p>
        </w:tc>
        <w:tc>
          <w:tcPr>
            <w:tcW w:w="417" w:type="pct"/>
            <w:tcBorders>
              <w:top w:val="single" w:color="auto" w:sz="4" w:space="0"/>
              <w:left w:val="single" w:color="auto" w:sz="4" w:space="0"/>
              <w:bottom w:val="single" w:color="auto" w:sz="4" w:space="0"/>
              <w:right w:val="single" w:color="auto" w:sz="4" w:space="0"/>
            </w:tcBorders>
            <w:vAlign w:val="center"/>
          </w:tcPr>
          <w:p w14:paraId="6B41E14E">
            <w:pPr>
              <w:adjustRightInd w:val="0"/>
              <w:snapToGrid w:val="0"/>
              <w:rPr>
                <w:rFonts w:ascii="Times New Roman" w:hAnsi="Times New Roman" w:eastAsia="宋体" w:cs="Times New Roman"/>
                <w:szCs w:val="21"/>
              </w:rPr>
            </w:pPr>
            <w:r>
              <w:rPr>
                <w:rFonts w:ascii="Times New Roman" w:hAnsi="Times New Roman" w:eastAsia="宋体" w:cs="Times New Roman"/>
                <w:szCs w:val="21"/>
              </w:rPr>
              <w:t>10%</w:t>
            </w:r>
          </w:p>
        </w:tc>
        <w:tc>
          <w:tcPr>
            <w:tcW w:w="1642" w:type="pct"/>
            <w:tcBorders>
              <w:top w:val="single" w:color="auto" w:sz="4" w:space="0"/>
              <w:left w:val="single" w:color="auto" w:sz="4" w:space="0"/>
              <w:bottom w:val="single" w:color="auto" w:sz="4" w:space="0"/>
              <w:right w:val="single" w:color="auto" w:sz="4" w:space="0"/>
            </w:tcBorders>
            <w:vAlign w:val="center"/>
          </w:tcPr>
          <w:p w14:paraId="43C649C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选题属于教育领域，问题意识清晰、方法设计可行，资料充实，内容撰写结构合理，形成明确的结论与观点。</w:t>
            </w:r>
          </w:p>
        </w:tc>
        <w:tc>
          <w:tcPr>
            <w:tcW w:w="708" w:type="pct"/>
            <w:tcBorders>
              <w:top w:val="single" w:color="auto" w:sz="4" w:space="0"/>
              <w:left w:val="single" w:color="auto" w:sz="4" w:space="0"/>
              <w:bottom w:val="single" w:color="auto" w:sz="4" w:space="0"/>
              <w:right w:val="single" w:color="auto" w:sz="4" w:space="0"/>
            </w:tcBorders>
            <w:vAlign w:val="center"/>
          </w:tcPr>
          <w:p w14:paraId="0A381BAF">
            <w:pPr>
              <w:adjustRightInd w:val="0"/>
              <w:snapToGrid w:val="0"/>
              <w:rPr>
                <w:rFonts w:ascii="Times New Roman" w:hAnsi="Times New Roman" w:eastAsia="宋体" w:cs="Times New Roman"/>
                <w:szCs w:val="24"/>
              </w:rPr>
            </w:pPr>
            <w:r>
              <w:rPr>
                <w:rFonts w:hint="eastAsia" w:ascii="Times New Roman" w:hAnsi="Times New Roman" w:eastAsia="宋体" w:cs="Times New Roman"/>
                <w:szCs w:val="24"/>
              </w:rPr>
              <w:t>课程目标1、3</w:t>
            </w:r>
          </w:p>
        </w:tc>
        <w:tc>
          <w:tcPr>
            <w:tcW w:w="743" w:type="pct"/>
            <w:tcBorders>
              <w:top w:val="single" w:color="auto" w:sz="4" w:space="0"/>
              <w:left w:val="single" w:color="auto" w:sz="4" w:space="0"/>
              <w:bottom w:val="single" w:color="auto" w:sz="4" w:space="0"/>
              <w:right w:val="single" w:color="auto" w:sz="4" w:space="0"/>
            </w:tcBorders>
            <w:vAlign w:val="center"/>
          </w:tcPr>
          <w:p w14:paraId="59E2C04A">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2E1F59D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p>
        </w:tc>
      </w:tr>
      <w:tr w14:paraId="1935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93" w:type="pct"/>
            <w:tcBorders>
              <w:top w:val="single" w:color="auto" w:sz="4" w:space="0"/>
              <w:left w:val="single" w:color="auto" w:sz="4" w:space="0"/>
              <w:bottom w:val="single" w:color="auto" w:sz="4" w:space="0"/>
              <w:right w:val="single" w:color="auto" w:sz="4" w:space="0"/>
            </w:tcBorders>
            <w:vAlign w:val="center"/>
          </w:tcPr>
          <w:p w14:paraId="2CDBC9F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教学工作见习</w:t>
            </w:r>
          </w:p>
        </w:tc>
        <w:tc>
          <w:tcPr>
            <w:tcW w:w="1097" w:type="pct"/>
            <w:tcBorders>
              <w:top w:val="single" w:color="auto" w:sz="4" w:space="0"/>
              <w:left w:val="single" w:color="auto" w:sz="4" w:space="0"/>
              <w:bottom w:val="single" w:color="auto" w:sz="4" w:space="0"/>
              <w:right w:val="single" w:color="auto" w:sz="4" w:space="0"/>
            </w:tcBorders>
            <w:vAlign w:val="center"/>
          </w:tcPr>
          <w:p w14:paraId="46680DD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观摩教学，全面完整的记录听课内容，并进行教学评价与反思；在指导教师指导下设计教案，有条件的尝试实施</w:t>
            </w:r>
          </w:p>
        </w:tc>
        <w:tc>
          <w:tcPr>
            <w:tcW w:w="417" w:type="pct"/>
            <w:tcBorders>
              <w:top w:val="single" w:color="auto" w:sz="4" w:space="0"/>
              <w:left w:val="single" w:color="auto" w:sz="4" w:space="0"/>
              <w:bottom w:val="single" w:color="auto" w:sz="4" w:space="0"/>
              <w:right w:val="single" w:color="auto" w:sz="4" w:space="0"/>
            </w:tcBorders>
            <w:vAlign w:val="center"/>
          </w:tcPr>
          <w:p w14:paraId="5EAE618E">
            <w:pPr>
              <w:adjustRightInd w:val="0"/>
              <w:snapToGrid w:val="0"/>
              <w:rPr>
                <w:rFonts w:ascii="Times New Roman" w:hAnsi="Times New Roman" w:eastAsia="宋体" w:cs="Times New Roman"/>
                <w:szCs w:val="21"/>
              </w:rPr>
            </w:pPr>
            <w:r>
              <w:rPr>
                <w:rFonts w:ascii="Times New Roman" w:hAnsi="Times New Roman" w:eastAsia="宋体" w:cs="Times New Roman"/>
                <w:szCs w:val="21"/>
              </w:rPr>
              <w:t>30%</w:t>
            </w:r>
          </w:p>
        </w:tc>
        <w:tc>
          <w:tcPr>
            <w:tcW w:w="1642" w:type="pct"/>
            <w:tcBorders>
              <w:top w:val="single" w:color="auto" w:sz="4" w:space="0"/>
              <w:left w:val="single" w:color="auto" w:sz="4" w:space="0"/>
              <w:bottom w:val="single" w:color="auto" w:sz="4" w:space="0"/>
              <w:right w:val="single" w:color="auto" w:sz="4" w:space="0"/>
            </w:tcBorders>
            <w:vAlign w:val="center"/>
          </w:tcPr>
          <w:p w14:paraId="79659B7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认真观摩教学，做好听课记录，善于思考，总结教学经验与心得；</w:t>
            </w:r>
          </w:p>
          <w:p w14:paraId="536DB01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与指导教师保持积极交流，虚心请教教学方法与教学经验；</w:t>
            </w:r>
          </w:p>
          <w:p w14:paraId="1CB8399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教案设计要素完整、表述规范，具备可操作性。</w:t>
            </w:r>
          </w:p>
        </w:tc>
        <w:tc>
          <w:tcPr>
            <w:tcW w:w="708" w:type="pct"/>
            <w:tcBorders>
              <w:top w:val="single" w:color="auto" w:sz="4" w:space="0"/>
              <w:left w:val="single" w:color="auto" w:sz="4" w:space="0"/>
              <w:bottom w:val="single" w:color="auto" w:sz="4" w:space="0"/>
              <w:right w:val="single" w:color="auto" w:sz="4" w:space="0"/>
            </w:tcBorders>
            <w:vAlign w:val="center"/>
          </w:tcPr>
          <w:p w14:paraId="45728486">
            <w:pPr>
              <w:adjustRightInd w:val="0"/>
              <w:snapToGrid w:val="0"/>
              <w:rPr>
                <w:rFonts w:ascii="Times New Roman" w:hAnsi="Times New Roman" w:eastAsia="宋体" w:cs="Times New Roman"/>
                <w:szCs w:val="24"/>
              </w:rPr>
            </w:pPr>
            <w:r>
              <w:rPr>
                <w:rFonts w:hint="eastAsia" w:ascii="Times New Roman" w:hAnsi="Times New Roman" w:eastAsia="宋体" w:cs="Times New Roman"/>
                <w:szCs w:val="24"/>
              </w:rPr>
              <w:t>课程目标1、2</w:t>
            </w:r>
          </w:p>
        </w:tc>
        <w:tc>
          <w:tcPr>
            <w:tcW w:w="743" w:type="pct"/>
            <w:tcBorders>
              <w:top w:val="single" w:color="auto" w:sz="4" w:space="0"/>
              <w:left w:val="single" w:color="auto" w:sz="4" w:space="0"/>
              <w:bottom w:val="single" w:color="auto" w:sz="4" w:space="0"/>
              <w:right w:val="single" w:color="auto" w:sz="4" w:space="0"/>
            </w:tcBorders>
            <w:vAlign w:val="center"/>
          </w:tcPr>
          <w:p w14:paraId="445466F8">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5F3E11D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p>
        </w:tc>
      </w:tr>
      <w:tr w14:paraId="689A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93" w:type="pct"/>
            <w:tcBorders>
              <w:top w:val="single" w:color="auto" w:sz="4" w:space="0"/>
              <w:left w:val="single" w:color="auto" w:sz="4" w:space="0"/>
              <w:bottom w:val="single" w:color="auto" w:sz="4" w:space="0"/>
              <w:right w:val="single" w:color="auto" w:sz="4" w:space="0"/>
            </w:tcBorders>
            <w:vAlign w:val="center"/>
          </w:tcPr>
          <w:p w14:paraId="735A1F3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班主任工作见习</w:t>
            </w:r>
          </w:p>
        </w:tc>
        <w:tc>
          <w:tcPr>
            <w:tcW w:w="1097" w:type="pct"/>
            <w:tcBorders>
              <w:top w:val="single" w:color="auto" w:sz="4" w:space="0"/>
              <w:left w:val="single" w:color="auto" w:sz="4" w:space="0"/>
              <w:bottom w:val="single" w:color="auto" w:sz="4" w:space="0"/>
              <w:right w:val="single" w:color="auto" w:sz="4" w:space="0"/>
            </w:tcBorders>
            <w:vAlign w:val="center"/>
          </w:tcPr>
          <w:p w14:paraId="502C4F7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见习班主任（少先队）工作情况</w:t>
            </w:r>
          </w:p>
        </w:tc>
        <w:tc>
          <w:tcPr>
            <w:tcW w:w="417" w:type="pct"/>
            <w:tcBorders>
              <w:top w:val="single" w:color="auto" w:sz="4" w:space="0"/>
              <w:left w:val="single" w:color="auto" w:sz="4" w:space="0"/>
              <w:bottom w:val="single" w:color="auto" w:sz="4" w:space="0"/>
              <w:right w:val="single" w:color="auto" w:sz="4" w:space="0"/>
            </w:tcBorders>
            <w:vAlign w:val="center"/>
          </w:tcPr>
          <w:p w14:paraId="1168E472">
            <w:pPr>
              <w:adjustRightInd w:val="0"/>
              <w:snapToGrid w:val="0"/>
              <w:rPr>
                <w:rFonts w:ascii="Times New Roman" w:hAnsi="Times New Roman" w:eastAsia="宋体" w:cs="Times New Roman"/>
                <w:szCs w:val="21"/>
              </w:rPr>
            </w:pPr>
            <w:r>
              <w:rPr>
                <w:rFonts w:ascii="Times New Roman" w:hAnsi="Times New Roman" w:eastAsia="宋体" w:cs="Times New Roman"/>
                <w:szCs w:val="21"/>
              </w:rPr>
              <w:t>30%</w:t>
            </w:r>
          </w:p>
        </w:tc>
        <w:tc>
          <w:tcPr>
            <w:tcW w:w="1642" w:type="pct"/>
            <w:tcBorders>
              <w:top w:val="single" w:color="auto" w:sz="4" w:space="0"/>
              <w:left w:val="single" w:color="auto" w:sz="4" w:space="0"/>
              <w:bottom w:val="single" w:color="auto" w:sz="4" w:space="0"/>
              <w:right w:val="single" w:color="auto" w:sz="4" w:space="0"/>
            </w:tcBorders>
            <w:vAlign w:val="center"/>
          </w:tcPr>
          <w:p w14:paraId="71E1925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主动与小学生加深交流，掌握小学生心理特点；</w:t>
            </w:r>
          </w:p>
          <w:p w14:paraId="2A6D116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认真观察，主动与实践导师沟通班级管理的经验，善于在管理案例中总结经验与教训。</w:t>
            </w:r>
          </w:p>
        </w:tc>
        <w:tc>
          <w:tcPr>
            <w:tcW w:w="708" w:type="pct"/>
            <w:tcBorders>
              <w:top w:val="single" w:color="auto" w:sz="4" w:space="0"/>
              <w:left w:val="single" w:color="auto" w:sz="4" w:space="0"/>
              <w:bottom w:val="single" w:color="auto" w:sz="4" w:space="0"/>
              <w:right w:val="single" w:color="auto" w:sz="4" w:space="0"/>
            </w:tcBorders>
            <w:vAlign w:val="center"/>
          </w:tcPr>
          <w:p w14:paraId="440C098C">
            <w:pPr>
              <w:adjustRightInd w:val="0"/>
              <w:snapToGrid w:val="0"/>
              <w:rPr>
                <w:rFonts w:ascii="Times New Roman" w:hAnsi="Times New Roman" w:eastAsia="宋体" w:cs="Times New Roman"/>
                <w:szCs w:val="24"/>
              </w:rPr>
            </w:pPr>
            <w:r>
              <w:rPr>
                <w:rFonts w:hint="eastAsia" w:ascii="Times New Roman" w:hAnsi="Times New Roman" w:eastAsia="宋体" w:cs="Times New Roman"/>
                <w:szCs w:val="24"/>
              </w:rPr>
              <w:t>课程目标1、3、4</w:t>
            </w:r>
          </w:p>
        </w:tc>
        <w:tc>
          <w:tcPr>
            <w:tcW w:w="743" w:type="pct"/>
            <w:tcBorders>
              <w:top w:val="single" w:color="auto" w:sz="4" w:space="0"/>
              <w:left w:val="single" w:color="auto" w:sz="4" w:space="0"/>
              <w:bottom w:val="single" w:color="auto" w:sz="4" w:space="0"/>
              <w:right w:val="single" w:color="auto" w:sz="4" w:space="0"/>
            </w:tcBorders>
            <w:vAlign w:val="center"/>
          </w:tcPr>
          <w:p w14:paraId="7BAA8712">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513DA8D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r w14:paraId="47E2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393" w:type="pct"/>
            <w:tcBorders>
              <w:top w:val="single" w:color="auto" w:sz="4" w:space="0"/>
              <w:left w:val="single" w:color="auto" w:sz="4" w:space="0"/>
              <w:bottom w:val="single" w:color="auto" w:sz="4" w:space="0"/>
              <w:right w:val="single" w:color="auto" w:sz="4" w:space="0"/>
            </w:tcBorders>
            <w:vAlign w:val="center"/>
          </w:tcPr>
          <w:p w14:paraId="033E690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教育见习态度</w:t>
            </w:r>
          </w:p>
        </w:tc>
        <w:tc>
          <w:tcPr>
            <w:tcW w:w="1097" w:type="pct"/>
            <w:tcBorders>
              <w:top w:val="single" w:color="auto" w:sz="4" w:space="0"/>
              <w:left w:val="single" w:color="auto" w:sz="4" w:space="0"/>
              <w:bottom w:val="single" w:color="auto" w:sz="4" w:space="0"/>
              <w:right w:val="single" w:color="auto" w:sz="4" w:space="0"/>
            </w:tcBorders>
            <w:vAlign w:val="center"/>
          </w:tcPr>
          <w:p w14:paraId="0381073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见习过程中的参与程度、主动学习情况等</w:t>
            </w:r>
          </w:p>
        </w:tc>
        <w:tc>
          <w:tcPr>
            <w:tcW w:w="417" w:type="pct"/>
            <w:tcBorders>
              <w:top w:val="single" w:color="auto" w:sz="4" w:space="0"/>
              <w:left w:val="single" w:color="auto" w:sz="4" w:space="0"/>
              <w:bottom w:val="single" w:color="auto" w:sz="4" w:space="0"/>
              <w:right w:val="single" w:color="auto" w:sz="4" w:space="0"/>
            </w:tcBorders>
            <w:vAlign w:val="center"/>
          </w:tcPr>
          <w:p w14:paraId="228F8D75">
            <w:pPr>
              <w:adjustRightInd w:val="0"/>
              <w:snapToGrid w:val="0"/>
              <w:rPr>
                <w:rFonts w:ascii="Times New Roman" w:hAnsi="Times New Roman" w:eastAsia="宋体" w:cs="Times New Roman"/>
                <w:szCs w:val="21"/>
              </w:rPr>
            </w:pPr>
            <w:r>
              <w:rPr>
                <w:rFonts w:ascii="Times New Roman" w:hAnsi="Times New Roman" w:eastAsia="宋体" w:cs="Times New Roman"/>
                <w:szCs w:val="21"/>
              </w:rPr>
              <w:t>30%</w:t>
            </w:r>
          </w:p>
        </w:tc>
        <w:tc>
          <w:tcPr>
            <w:tcW w:w="1642" w:type="pct"/>
            <w:tcBorders>
              <w:top w:val="single" w:color="auto" w:sz="4" w:space="0"/>
              <w:left w:val="single" w:color="auto" w:sz="4" w:space="0"/>
              <w:bottom w:val="single" w:color="auto" w:sz="4" w:space="0"/>
              <w:right w:val="single" w:color="auto" w:sz="4" w:space="0"/>
            </w:tcBorders>
            <w:vAlign w:val="center"/>
          </w:tcPr>
          <w:p w14:paraId="54FF152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按要求参加见习，思想端正，学习态度积极；主动参与教学和班级管理，能够虚心请教、勤恳好学；与小学生交往热情，关爱小学生；见习总结认真，形成对自身教育实践比较全面客观的认识。</w:t>
            </w:r>
          </w:p>
        </w:tc>
        <w:tc>
          <w:tcPr>
            <w:tcW w:w="708" w:type="pct"/>
            <w:tcBorders>
              <w:top w:val="single" w:color="auto" w:sz="4" w:space="0"/>
              <w:left w:val="single" w:color="auto" w:sz="4" w:space="0"/>
              <w:bottom w:val="single" w:color="auto" w:sz="4" w:space="0"/>
              <w:right w:val="single" w:color="auto" w:sz="4" w:space="0"/>
            </w:tcBorders>
            <w:vAlign w:val="center"/>
          </w:tcPr>
          <w:p w14:paraId="4374CB49">
            <w:pPr>
              <w:adjustRightInd w:val="0"/>
              <w:snapToGrid w:val="0"/>
              <w:rPr>
                <w:rFonts w:ascii="Times New Roman" w:hAnsi="Times New Roman" w:eastAsia="宋体" w:cs="Times New Roman"/>
                <w:szCs w:val="24"/>
              </w:rPr>
            </w:pPr>
            <w:r>
              <w:rPr>
                <w:rFonts w:hint="eastAsia" w:ascii="Times New Roman" w:hAnsi="Times New Roman" w:eastAsia="宋体" w:cs="Times New Roman"/>
                <w:szCs w:val="24"/>
              </w:rPr>
              <w:t>课程目标1、2、3、4</w:t>
            </w:r>
          </w:p>
        </w:tc>
        <w:tc>
          <w:tcPr>
            <w:tcW w:w="743" w:type="pct"/>
            <w:tcBorders>
              <w:top w:val="single" w:color="auto" w:sz="4" w:space="0"/>
              <w:left w:val="single" w:color="auto" w:sz="4" w:space="0"/>
              <w:bottom w:val="single" w:color="auto" w:sz="4" w:space="0"/>
              <w:right w:val="single" w:color="auto" w:sz="4" w:space="0"/>
            </w:tcBorders>
            <w:vAlign w:val="center"/>
          </w:tcPr>
          <w:p w14:paraId="756F9EC5">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610C042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bl>
    <w:p w14:paraId="7E6A90B1">
      <w:pPr>
        <w:spacing w:line="360" w:lineRule="auto"/>
        <w:jc w:val="center"/>
        <w:rPr>
          <w:rFonts w:ascii="宋体" w:hAnsi="宋体" w:eastAsia="宋体" w:cs="Times New Roman"/>
          <w:b/>
          <w:bCs/>
          <w:color w:val="000000"/>
          <w:sz w:val="24"/>
          <w:szCs w:val="24"/>
        </w:rPr>
      </w:pPr>
    </w:p>
    <w:p w14:paraId="4C4D707C">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9048" w:type="dxa"/>
        <w:tblInd w:w="0" w:type="dxa"/>
        <w:tblLayout w:type="autofit"/>
        <w:tblCellMar>
          <w:top w:w="0" w:type="dxa"/>
          <w:left w:w="108" w:type="dxa"/>
          <w:bottom w:w="0" w:type="dxa"/>
          <w:right w:w="108" w:type="dxa"/>
        </w:tblCellMar>
      </w:tblPr>
      <w:tblGrid>
        <w:gridCol w:w="2257"/>
        <w:gridCol w:w="1508"/>
        <w:gridCol w:w="2403"/>
        <w:gridCol w:w="1626"/>
        <w:gridCol w:w="1254"/>
      </w:tblGrid>
      <w:tr w14:paraId="1A26C619">
        <w:tblPrEx>
          <w:tblCellMar>
            <w:top w:w="0" w:type="dxa"/>
            <w:left w:w="108" w:type="dxa"/>
            <w:bottom w:w="0" w:type="dxa"/>
            <w:right w:w="108" w:type="dxa"/>
          </w:tblCellMar>
        </w:tblPrEx>
        <w:trPr>
          <w:trHeight w:val="527" w:hRule="atLeast"/>
        </w:trPr>
        <w:tc>
          <w:tcPr>
            <w:tcW w:w="3765" w:type="dxa"/>
            <w:gridSpan w:val="2"/>
            <w:tcBorders>
              <w:top w:val="single" w:color="auto" w:sz="4" w:space="0"/>
              <w:left w:val="single" w:color="auto" w:sz="4" w:space="0"/>
              <w:bottom w:val="single" w:color="auto" w:sz="4" w:space="0"/>
              <w:right w:val="single" w:color="auto" w:sz="4" w:space="0"/>
            </w:tcBorders>
            <w:vAlign w:val="center"/>
          </w:tcPr>
          <w:p w14:paraId="3DCC60C1">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5283" w:type="dxa"/>
            <w:gridSpan w:val="3"/>
            <w:tcBorders>
              <w:top w:val="single" w:color="auto" w:sz="4" w:space="0"/>
              <w:left w:val="single" w:color="auto" w:sz="4" w:space="0"/>
              <w:bottom w:val="single" w:color="auto" w:sz="4" w:space="0"/>
              <w:right w:val="single" w:color="auto" w:sz="4" w:space="0"/>
            </w:tcBorders>
            <w:vAlign w:val="center"/>
          </w:tcPr>
          <w:p w14:paraId="6ABEBFBF">
            <w:pPr>
              <w:widowControl/>
              <w:spacing w:line="276" w:lineRule="auto"/>
              <w:ind w:right="-391" w:rightChars="-186"/>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4CFB3D53">
        <w:tblPrEx>
          <w:tblCellMar>
            <w:top w:w="0" w:type="dxa"/>
            <w:left w:w="108" w:type="dxa"/>
            <w:bottom w:w="0" w:type="dxa"/>
            <w:right w:w="108" w:type="dxa"/>
          </w:tblCellMar>
        </w:tblPrEx>
        <w:trPr>
          <w:trHeight w:val="595" w:hRule="atLeast"/>
        </w:trPr>
        <w:tc>
          <w:tcPr>
            <w:tcW w:w="2257" w:type="dxa"/>
            <w:tcBorders>
              <w:top w:val="single" w:color="auto" w:sz="4" w:space="0"/>
              <w:left w:val="single" w:color="auto" w:sz="4" w:space="0"/>
              <w:bottom w:val="single" w:color="auto" w:sz="4" w:space="0"/>
              <w:right w:val="single" w:color="auto" w:sz="4" w:space="0"/>
            </w:tcBorders>
            <w:vAlign w:val="center"/>
          </w:tcPr>
          <w:p w14:paraId="13ED747E">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508" w:type="dxa"/>
            <w:tcBorders>
              <w:top w:val="single" w:color="auto" w:sz="4" w:space="0"/>
              <w:left w:val="single" w:color="auto" w:sz="4" w:space="0"/>
              <w:bottom w:val="single" w:color="auto" w:sz="4" w:space="0"/>
              <w:right w:val="single" w:color="auto" w:sz="4" w:space="0"/>
            </w:tcBorders>
            <w:vAlign w:val="center"/>
          </w:tcPr>
          <w:p w14:paraId="2831F1D6">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403" w:type="dxa"/>
            <w:tcBorders>
              <w:top w:val="single" w:color="auto" w:sz="4" w:space="0"/>
              <w:left w:val="single" w:color="auto" w:sz="4" w:space="0"/>
              <w:bottom w:val="single" w:color="auto" w:sz="4" w:space="0"/>
              <w:right w:val="single" w:color="auto" w:sz="4" w:space="0"/>
            </w:tcBorders>
            <w:vAlign w:val="center"/>
          </w:tcPr>
          <w:p w14:paraId="4ABC376F">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626" w:type="dxa"/>
            <w:tcBorders>
              <w:top w:val="single" w:color="auto" w:sz="4" w:space="0"/>
              <w:left w:val="single" w:color="auto" w:sz="4" w:space="0"/>
              <w:bottom w:val="single" w:color="auto" w:sz="4" w:space="0"/>
              <w:right w:val="single" w:color="auto" w:sz="4" w:space="0"/>
            </w:tcBorders>
            <w:vAlign w:val="center"/>
          </w:tcPr>
          <w:p w14:paraId="30E38776">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254" w:type="dxa"/>
            <w:tcBorders>
              <w:top w:val="single" w:color="auto" w:sz="4" w:space="0"/>
              <w:left w:val="single" w:color="auto" w:sz="4" w:space="0"/>
              <w:bottom w:val="single" w:color="auto" w:sz="4" w:space="0"/>
              <w:right w:val="single" w:color="auto" w:sz="4" w:space="0"/>
            </w:tcBorders>
          </w:tcPr>
          <w:p w14:paraId="03675776">
            <w:pPr>
              <w:widowControl/>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672BC39F">
        <w:tblPrEx>
          <w:tblCellMar>
            <w:top w:w="0" w:type="dxa"/>
            <w:left w:w="108" w:type="dxa"/>
            <w:bottom w:w="0" w:type="dxa"/>
            <w:right w:w="108" w:type="dxa"/>
          </w:tblCellMar>
        </w:tblPrEx>
        <w:trPr>
          <w:trHeight w:val="400" w:hRule="atLeast"/>
        </w:trPr>
        <w:tc>
          <w:tcPr>
            <w:tcW w:w="2257" w:type="dxa"/>
            <w:vMerge w:val="restart"/>
            <w:tcBorders>
              <w:top w:val="single" w:color="auto" w:sz="4" w:space="0"/>
              <w:left w:val="single" w:color="auto" w:sz="4" w:space="0"/>
              <w:right w:val="single" w:color="auto" w:sz="4" w:space="0"/>
            </w:tcBorders>
            <w:vAlign w:val="center"/>
          </w:tcPr>
          <w:p w14:paraId="3C743E65">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508" w:type="dxa"/>
            <w:vMerge w:val="restart"/>
            <w:tcBorders>
              <w:top w:val="single" w:color="auto" w:sz="4" w:space="0"/>
              <w:left w:val="single" w:color="auto" w:sz="4" w:space="0"/>
              <w:right w:val="single" w:color="auto" w:sz="4" w:space="0"/>
            </w:tcBorders>
            <w:vAlign w:val="center"/>
          </w:tcPr>
          <w:p w14:paraId="20219B12">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403" w:type="dxa"/>
            <w:tcBorders>
              <w:top w:val="single" w:color="auto" w:sz="4" w:space="0"/>
              <w:left w:val="single" w:color="auto" w:sz="4" w:space="0"/>
              <w:bottom w:val="single" w:color="auto" w:sz="4" w:space="0"/>
              <w:right w:val="single" w:color="auto" w:sz="4" w:space="0"/>
            </w:tcBorders>
            <w:vAlign w:val="center"/>
          </w:tcPr>
          <w:p w14:paraId="349915F1">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教学工作见习</w:t>
            </w:r>
          </w:p>
        </w:tc>
        <w:tc>
          <w:tcPr>
            <w:tcW w:w="1626" w:type="dxa"/>
            <w:tcBorders>
              <w:top w:val="single" w:color="auto" w:sz="4" w:space="0"/>
              <w:left w:val="single" w:color="auto" w:sz="4" w:space="0"/>
              <w:bottom w:val="single" w:color="auto" w:sz="4" w:space="0"/>
              <w:right w:val="single" w:color="auto" w:sz="4" w:space="0"/>
            </w:tcBorders>
            <w:vAlign w:val="center"/>
          </w:tcPr>
          <w:p w14:paraId="43F143A7">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30% </w:t>
            </w:r>
          </w:p>
        </w:tc>
        <w:tc>
          <w:tcPr>
            <w:tcW w:w="1254" w:type="dxa"/>
            <w:vMerge w:val="restart"/>
            <w:tcBorders>
              <w:top w:val="single" w:color="auto" w:sz="4" w:space="0"/>
              <w:left w:val="single" w:color="auto" w:sz="4" w:space="0"/>
              <w:right w:val="single" w:color="auto" w:sz="4" w:space="0"/>
            </w:tcBorders>
            <w:vAlign w:val="center"/>
          </w:tcPr>
          <w:p w14:paraId="0840C2AD">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5C241007">
        <w:tblPrEx>
          <w:tblCellMar>
            <w:top w:w="0" w:type="dxa"/>
            <w:left w:w="108" w:type="dxa"/>
            <w:bottom w:w="0" w:type="dxa"/>
            <w:right w:w="108" w:type="dxa"/>
          </w:tblCellMar>
        </w:tblPrEx>
        <w:trPr>
          <w:trHeight w:val="400" w:hRule="atLeast"/>
        </w:trPr>
        <w:tc>
          <w:tcPr>
            <w:tcW w:w="2257" w:type="dxa"/>
            <w:vMerge w:val="continue"/>
            <w:tcBorders>
              <w:left w:val="single" w:color="auto" w:sz="4" w:space="0"/>
              <w:right w:val="single" w:color="auto" w:sz="4" w:space="0"/>
            </w:tcBorders>
            <w:vAlign w:val="center"/>
          </w:tcPr>
          <w:p w14:paraId="285F3BDD">
            <w:pPr>
              <w:widowControl/>
              <w:spacing w:line="276" w:lineRule="auto"/>
              <w:jc w:val="center"/>
              <w:rPr>
                <w:rFonts w:ascii="宋体" w:hAnsi="宋体" w:eastAsia="宋体" w:cs="Times New Roman"/>
                <w:color w:val="000000"/>
                <w:kern w:val="0"/>
                <w:szCs w:val="21"/>
              </w:rPr>
            </w:pPr>
          </w:p>
        </w:tc>
        <w:tc>
          <w:tcPr>
            <w:tcW w:w="1508" w:type="dxa"/>
            <w:vMerge w:val="continue"/>
            <w:tcBorders>
              <w:left w:val="single" w:color="auto" w:sz="4" w:space="0"/>
              <w:right w:val="single" w:color="auto" w:sz="4" w:space="0"/>
            </w:tcBorders>
            <w:vAlign w:val="center"/>
          </w:tcPr>
          <w:p w14:paraId="1F822DE0">
            <w:pPr>
              <w:widowControl/>
              <w:spacing w:line="276" w:lineRule="auto"/>
              <w:jc w:val="center"/>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1A3476D7">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626" w:type="dxa"/>
            <w:tcBorders>
              <w:top w:val="single" w:color="auto" w:sz="4" w:space="0"/>
              <w:left w:val="single" w:color="auto" w:sz="4" w:space="0"/>
              <w:bottom w:val="single" w:color="auto" w:sz="4" w:space="0"/>
              <w:right w:val="single" w:color="auto" w:sz="4" w:space="0"/>
            </w:tcBorders>
            <w:vAlign w:val="center"/>
          </w:tcPr>
          <w:p w14:paraId="2DF6826E">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54" w:type="dxa"/>
            <w:vMerge w:val="continue"/>
            <w:tcBorders>
              <w:left w:val="single" w:color="auto" w:sz="4" w:space="0"/>
              <w:right w:val="single" w:color="auto" w:sz="4" w:space="0"/>
            </w:tcBorders>
            <w:vAlign w:val="center"/>
          </w:tcPr>
          <w:p w14:paraId="366286B0">
            <w:pPr>
              <w:widowControl/>
              <w:spacing w:line="276" w:lineRule="auto"/>
              <w:jc w:val="center"/>
              <w:rPr>
                <w:rFonts w:ascii="宋体" w:hAnsi="宋体" w:eastAsia="宋体" w:cs="Times New Roman"/>
                <w:color w:val="000000"/>
                <w:kern w:val="0"/>
                <w:szCs w:val="21"/>
              </w:rPr>
            </w:pPr>
          </w:p>
        </w:tc>
      </w:tr>
      <w:tr w14:paraId="2C9FF737">
        <w:tblPrEx>
          <w:tblCellMar>
            <w:top w:w="0" w:type="dxa"/>
            <w:left w:w="108" w:type="dxa"/>
            <w:bottom w:w="0" w:type="dxa"/>
            <w:right w:w="108" w:type="dxa"/>
          </w:tblCellMar>
        </w:tblPrEx>
        <w:trPr>
          <w:trHeight w:val="400" w:hRule="atLeast"/>
        </w:trPr>
        <w:tc>
          <w:tcPr>
            <w:tcW w:w="2257" w:type="dxa"/>
            <w:vMerge w:val="continue"/>
            <w:tcBorders>
              <w:left w:val="single" w:color="auto" w:sz="4" w:space="0"/>
              <w:right w:val="single" w:color="auto" w:sz="4" w:space="0"/>
            </w:tcBorders>
            <w:vAlign w:val="center"/>
          </w:tcPr>
          <w:p w14:paraId="284B016D">
            <w:pPr>
              <w:widowControl/>
              <w:spacing w:line="276" w:lineRule="auto"/>
              <w:jc w:val="center"/>
              <w:rPr>
                <w:rFonts w:ascii="宋体" w:hAnsi="宋体" w:eastAsia="宋体" w:cs="Times New Roman"/>
                <w:color w:val="000000"/>
                <w:kern w:val="0"/>
                <w:szCs w:val="21"/>
              </w:rPr>
            </w:pPr>
          </w:p>
        </w:tc>
        <w:tc>
          <w:tcPr>
            <w:tcW w:w="1508" w:type="dxa"/>
            <w:vMerge w:val="continue"/>
            <w:tcBorders>
              <w:left w:val="single" w:color="auto" w:sz="4" w:space="0"/>
              <w:right w:val="single" w:color="auto" w:sz="4" w:space="0"/>
            </w:tcBorders>
            <w:vAlign w:val="center"/>
          </w:tcPr>
          <w:p w14:paraId="45102455">
            <w:pPr>
              <w:widowControl/>
              <w:spacing w:line="276" w:lineRule="auto"/>
              <w:jc w:val="center"/>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41AB7842">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626" w:type="dxa"/>
            <w:tcBorders>
              <w:top w:val="single" w:color="auto" w:sz="4" w:space="0"/>
              <w:left w:val="single" w:color="auto" w:sz="4" w:space="0"/>
              <w:bottom w:val="single" w:color="auto" w:sz="4" w:space="0"/>
              <w:right w:val="single" w:color="auto" w:sz="4" w:space="0"/>
            </w:tcBorders>
            <w:vAlign w:val="center"/>
          </w:tcPr>
          <w:p w14:paraId="062DE3ED">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254" w:type="dxa"/>
            <w:vMerge w:val="continue"/>
            <w:tcBorders>
              <w:left w:val="single" w:color="auto" w:sz="4" w:space="0"/>
              <w:right w:val="single" w:color="auto" w:sz="4" w:space="0"/>
            </w:tcBorders>
            <w:vAlign w:val="center"/>
          </w:tcPr>
          <w:p w14:paraId="4DFD5D42">
            <w:pPr>
              <w:widowControl/>
              <w:spacing w:line="276" w:lineRule="auto"/>
              <w:jc w:val="center"/>
              <w:rPr>
                <w:rFonts w:ascii="宋体" w:hAnsi="宋体" w:eastAsia="宋体" w:cs="Times New Roman"/>
                <w:color w:val="000000"/>
                <w:kern w:val="0"/>
                <w:szCs w:val="21"/>
              </w:rPr>
            </w:pPr>
          </w:p>
        </w:tc>
      </w:tr>
      <w:tr w14:paraId="2714E72C">
        <w:tblPrEx>
          <w:tblCellMar>
            <w:top w:w="0" w:type="dxa"/>
            <w:left w:w="108" w:type="dxa"/>
            <w:bottom w:w="0" w:type="dxa"/>
            <w:right w:w="108" w:type="dxa"/>
          </w:tblCellMar>
        </w:tblPrEx>
        <w:trPr>
          <w:trHeight w:val="400" w:hRule="atLeast"/>
        </w:trPr>
        <w:tc>
          <w:tcPr>
            <w:tcW w:w="2257" w:type="dxa"/>
            <w:vMerge w:val="continue"/>
            <w:tcBorders>
              <w:left w:val="single" w:color="auto" w:sz="4" w:space="0"/>
              <w:bottom w:val="single" w:color="auto" w:sz="4" w:space="0"/>
              <w:right w:val="single" w:color="auto" w:sz="4" w:space="0"/>
            </w:tcBorders>
            <w:vAlign w:val="center"/>
          </w:tcPr>
          <w:p w14:paraId="3A93EE5E">
            <w:pPr>
              <w:widowControl/>
              <w:spacing w:line="276" w:lineRule="auto"/>
              <w:jc w:val="center"/>
              <w:rPr>
                <w:rFonts w:ascii="宋体" w:hAnsi="宋体" w:eastAsia="宋体" w:cs="Times New Roman"/>
                <w:color w:val="000000"/>
                <w:kern w:val="0"/>
                <w:szCs w:val="21"/>
              </w:rPr>
            </w:pPr>
          </w:p>
        </w:tc>
        <w:tc>
          <w:tcPr>
            <w:tcW w:w="1508" w:type="dxa"/>
            <w:vMerge w:val="continue"/>
            <w:tcBorders>
              <w:left w:val="single" w:color="auto" w:sz="4" w:space="0"/>
              <w:bottom w:val="single" w:color="auto" w:sz="4" w:space="0"/>
              <w:right w:val="single" w:color="auto" w:sz="4" w:space="0"/>
            </w:tcBorders>
            <w:vAlign w:val="center"/>
          </w:tcPr>
          <w:p w14:paraId="2B4E4C58">
            <w:pPr>
              <w:widowControl/>
              <w:spacing w:line="276" w:lineRule="auto"/>
              <w:jc w:val="center"/>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026F1CA8">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626" w:type="dxa"/>
            <w:tcBorders>
              <w:top w:val="single" w:color="auto" w:sz="4" w:space="0"/>
              <w:left w:val="single" w:color="auto" w:sz="4" w:space="0"/>
              <w:bottom w:val="single" w:color="auto" w:sz="4" w:space="0"/>
              <w:right w:val="single" w:color="auto" w:sz="4" w:space="0"/>
            </w:tcBorders>
            <w:vAlign w:val="center"/>
          </w:tcPr>
          <w:p w14:paraId="58E04A0F">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254" w:type="dxa"/>
            <w:vMerge w:val="continue"/>
            <w:tcBorders>
              <w:left w:val="single" w:color="auto" w:sz="4" w:space="0"/>
              <w:bottom w:val="single" w:color="auto" w:sz="4" w:space="0"/>
              <w:right w:val="single" w:color="auto" w:sz="4" w:space="0"/>
            </w:tcBorders>
            <w:vAlign w:val="center"/>
          </w:tcPr>
          <w:p w14:paraId="2300F232">
            <w:pPr>
              <w:widowControl/>
              <w:spacing w:line="276" w:lineRule="auto"/>
              <w:jc w:val="center"/>
              <w:rPr>
                <w:rFonts w:ascii="宋体" w:hAnsi="宋体" w:eastAsia="宋体" w:cs="Times New Roman"/>
                <w:color w:val="000000"/>
                <w:kern w:val="0"/>
                <w:szCs w:val="21"/>
              </w:rPr>
            </w:pPr>
          </w:p>
        </w:tc>
      </w:tr>
      <w:tr w14:paraId="6A569D71">
        <w:tblPrEx>
          <w:tblCellMar>
            <w:top w:w="0" w:type="dxa"/>
            <w:left w:w="108" w:type="dxa"/>
            <w:bottom w:w="0" w:type="dxa"/>
            <w:right w:w="108" w:type="dxa"/>
          </w:tblCellMar>
        </w:tblPrEx>
        <w:trPr>
          <w:trHeight w:val="337" w:hRule="atLeast"/>
        </w:trPr>
        <w:tc>
          <w:tcPr>
            <w:tcW w:w="2257" w:type="dxa"/>
            <w:vMerge w:val="restart"/>
            <w:tcBorders>
              <w:top w:val="single" w:color="auto" w:sz="4" w:space="0"/>
              <w:left w:val="single" w:color="auto" w:sz="4" w:space="0"/>
              <w:right w:val="single" w:color="auto" w:sz="4" w:space="0"/>
            </w:tcBorders>
            <w:vAlign w:val="center"/>
          </w:tcPr>
          <w:p w14:paraId="5BEB656B">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508" w:type="dxa"/>
            <w:vMerge w:val="restart"/>
            <w:tcBorders>
              <w:top w:val="single" w:color="auto" w:sz="4" w:space="0"/>
              <w:left w:val="single" w:color="auto" w:sz="4" w:space="0"/>
              <w:right w:val="single" w:color="auto" w:sz="4" w:space="0"/>
            </w:tcBorders>
            <w:vAlign w:val="center"/>
          </w:tcPr>
          <w:p w14:paraId="1BD05B1A">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403" w:type="dxa"/>
            <w:tcBorders>
              <w:top w:val="single" w:color="auto" w:sz="4" w:space="0"/>
              <w:left w:val="single" w:color="auto" w:sz="4" w:space="0"/>
              <w:right w:val="single" w:color="auto" w:sz="4" w:space="0"/>
            </w:tcBorders>
            <w:vAlign w:val="center"/>
          </w:tcPr>
          <w:p w14:paraId="435FF60A">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教学工作见习</w:t>
            </w:r>
          </w:p>
        </w:tc>
        <w:tc>
          <w:tcPr>
            <w:tcW w:w="1626" w:type="dxa"/>
            <w:tcBorders>
              <w:top w:val="single" w:color="auto" w:sz="4" w:space="0"/>
              <w:left w:val="single" w:color="auto" w:sz="4" w:space="0"/>
              <w:right w:val="single" w:color="auto" w:sz="4" w:space="0"/>
            </w:tcBorders>
            <w:vAlign w:val="center"/>
          </w:tcPr>
          <w:p w14:paraId="7B010872">
            <w:pPr>
              <w:widowControl/>
              <w:spacing w:line="276" w:lineRule="auto"/>
              <w:jc w:val="center"/>
              <w:rPr>
                <w:rFonts w:hint="eastAsia" w:ascii="宋体" w:hAnsi="宋体" w:eastAsia="宋体" w:cs="Times New Roman"/>
                <w:color w:val="000000"/>
                <w:kern w:val="0"/>
                <w:szCs w:val="21"/>
              </w:rPr>
            </w:pPr>
            <w:r>
              <w:rPr>
                <w:rFonts w:ascii="宋体" w:hAnsi="宋体" w:eastAsia="宋体" w:cs="Times New Roman"/>
                <w:color w:val="000000"/>
                <w:kern w:val="0"/>
                <w:szCs w:val="21"/>
              </w:rPr>
              <w:t xml:space="preserve">60% </w:t>
            </w:r>
          </w:p>
        </w:tc>
        <w:tc>
          <w:tcPr>
            <w:tcW w:w="1254" w:type="dxa"/>
            <w:vMerge w:val="restart"/>
            <w:tcBorders>
              <w:top w:val="single" w:color="auto" w:sz="4" w:space="0"/>
              <w:left w:val="single" w:color="auto" w:sz="4" w:space="0"/>
              <w:right w:val="single" w:color="auto" w:sz="4" w:space="0"/>
            </w:tcBorders>
            <w:vAlign w:val="center"/>
          </w:tcPr>
          <w:p w14:paraId="740D3A22">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0E489367">
        <w:tblPrEx>
          <w:tblCellMar>
            <w:top w:w="0" w:type="dxa"/>
            <w:left w:w="108" w:type="dxa"/>
            <w:bottom w:w="0" w:type="dxa"/>
            <w:right w:w="108" w:type="dxa"/>
          </w:tblCellMar>
        </w:tblPrEx>
        <w:trPr>
          <w:trHeight w:val="316" w:hRule="atLeast"/>
        </w:trPr>
        <w:tc>
          <w:tcPr>
            <w:tcW w:w="2257" w:type="dxa"/>
            <w:vMerge w:val="continue"/>
            <w:tcBorders>
              <w:left w:val="single" w:color="auto" w:sz="4" w:space="0"/>
              <w:bottom w:val="single" w:color="auto" w:sz="4" w:space="0"/>
              <w:right w:val="single" w:color="auto" w:sz="4" w:space="0"/>
            </w:tcBorders>
            <w:vAlign w:val="center"/>
          </w:tcPr>
          <w:p w14:paraId="03E38AAD">
            <w:pPr>
              <w:widowControl/>
              <w:spacing w:line="276" w:lineRule="auto"/>
              <w:jc w:val="left"/>
              <w:rPr>
                <w:rFonts w:ascii="宋体" w:hAnsi="宋体" w:eastAsia="宋体" w:cs="Times New Roman"/>
                <w:color w:val="000000"/>
                <w:kern w:val="0"/>
                <w:szCs w:val="21"/>
              </w:rPr>
            </w:pPr>
          </w:p>
        </w:tc>
        <w:tc>
          <w:tcPr>
            <w:tcW w:w="1508" w:type="dxa"/>
            <w:vMerge w:val="continue"/>
            <w:tcBorders>
              <w:left w:val="single" w:color="auto" w:sz="4" w:space="0"/>
              <w:bottom w:val="single" w:color="auto" w:sz="4" w:space="0"/>
              <w:right w:val="single" w:color="auto" w:sz="4" w:space="0"/>
            </w:tcBorders>
            <w:vAlign w:val="center"/>
          </w:tcPr>
          <w:p w14:paraId="562B0440">
            <w:pPr>
              <w:widowControl/>
              <w:spacing w:line="276" w:lineRule="auto"/>
              <w:jc w:val="left"/>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4FC291B8">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626" w:type="dxa"/>
            <w:tcBorders>
              <w:top w:val="single" w:color="auto" w:sz="4" w:space="0"/>
              <w:left w:val="single" w:color="auto" w:sz="4" w:space="0"/>
              <w:bottom w:val="single" w:color="auto" w:sz="4" w:space="0"/>
              <w:right w:val="single" w:color="auto" w:sz="4" w:space="0"/>
            </w:tcBorders>
            <w:vAlign w:val="center"/>
          </w:tcPr>
          <w:p w14:paraId="07BEF3D3">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40%</w:t>
            </w:r>
          </w:p>
        </w:tc>
        <w:tc>
          <w:tcPr>
            <w:tcW w:w="1254" w:type="dxa"/>
            <w:vMerge w:val="continue"/>
            <w:tcBorders>
              <w:left w:val="single" w:color="auto" w:sz="4" w:space="0"/>
              <w:bottom w:val="single" w:color="auto" w:sz="4" w:space="0"/>
              <w:right w:val="single" w:color="auto" w:sz="4" w:space="0"/>
            </w:tcBorders>
            <w:vAlign w:val="center"/>
          </w:tcPr>
          <w:p w14:paraId="619F5D8D">
            <w:pPr>
              <w:widowControl/>
              <w:spacing w:line="276" w:lineRule="auto"/>
              <w:jc w:val="center"/>
              <w:rPr>
                <w:rFonts w:ascii="宋体" w:hAnsi="宋体" w:eastAsia="宋体" w:cs="Times New Roman"/>
                <w:color w:val="000000"/>
                <w:kern w:val="0"/>
                <w:szCs w:val="21"/>
              </w:rPr>
            </w:pPr>
          </w:p>
        </w:tc>
      </w:tr>
      <w:tr w14:paraId="6B09126E">
        <w:tblPrEx>
          <w:tblCellMar>
            <w:top w:w="0" w:type="dxa"/>
            <w:left w:w="108" w:type="dxa"/>
            <w:bottom w:w="0" w:type="dxa"/>
            <w:right w:w="108" w:type="dxa"/>
          </w:tblCellMar>
        </w:tblPrEx>
        <w:trPr>
          <w:trHeight w:val="447" w:hRule="atLeast"/>
        </w:trPr>
        <w:tc>
          <w:tcPr>
            <w:tcW w:w="2257" w:type="dxa"/>
            <w:vMerge w:val="restart"/>
            <w:tcBorders>
              <w:top w:val="single" w:color="auto" w:sz="4" w:space="0"/>
              <w:left w:val="single" w:color="auto" w:sz="4" w:space="0"/>
              <w:right w:val="single" w:color="auto" w:sz="4" w:space="0"/>
            </w:tcBorders>
            <w:vAlign w:val="center"/>
          </w:tcPr>
          <w:p w14:paraId="2A9085EA">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508" w:type="dxa"/>
            <w:vMerge w:val="restart"/>
            <w:tcBorders>
              <w:top w:val="single" w:color="auto" w:sz="4" w:space="0"/>
              <w:left w:val="single" w:color="auto" w:sz="4" w:space="0"/>
              <w:right w:val="single" w:color="auto" w:sz="4" w:space="0"/>
            </w:tcBorders>
            <w:vAlign w:val="center"/>
          </w:tcPr>
          <w:p w14:paraId="1EEB1AE4">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403" w:type="dxa"/>
            <w:tcBorders>
              <w:top w:val="single" w:color="auto" w:sz="4" w:space="0"/>
              <w:left w:val="single" w:color="auto" w:sz="4" w:space="0"/>
              <w:right w:val="single" w:color="auto" w:sz="4" w:space="0"/>
            </w:tcBorders>
            <w:vAlign w:val="center"/>
          </w:tcPr>
          <w:p w14:paraId="3C3C3A23">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626" w:type="dxa"/>
            <w:tcBorders>
              <w:top w:val="single" w:color="auto" w:sz="4" w:space="0"/>
              <w:left w:val="single" w:color="auto" w:sz="4" w:space="0"/>
              <w:right w:val="single" w:color="auto" w:sz="4" w:space="0"/>
            </w:tcBorders>
            <w:vAlign w:val="center"/>
          </w:tcPr>
          <w:p w14:paraId="105D6762">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254" w:type="dxa"/>
            <w:vMerge w:val="restart"/>
            <w:tcBorders>
              <w:top w:val="single" w:color="auto" w:sz="4" w:space="0"/>
              <w:left w:val="single" w:color="auto" w:sz="4" w:space="0"/>
              <w:right w:val="single" w:color="auto" w:sz="4" w:space="0"/>
            </w:tcBorders>
            <w:vAlign w:val="center"/>
          </w:tcPr>
          <w:p w14:paraId="78087D34">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5190949E">
        <w:tblPrEx>
          <w:tblCellMar>
            <w:top w:w="0" w:type="dxa"/>
            <w:left w:w="108" w:type="dxa"/>
            <w:bottom w:w="0" w:type="dxa"/>
            <w:right w:w="108" w:type="dxa"/>
          </w:tblCellMar>
        </w:tblPrEx>
        <w:trPr>
          <w:trHeight w:val="411" w:hRule="atLeast"/>
        </w:trPr>
        <w:tc>
          <w:tcPr>
            <w:tcW w:w="2257" w:type="dxa"/>
            <w:vMerge w:val="continue"/>
            <w:tcBorders>
              <w:left w:val="single" w:color="auto" w:sz="4" w:space="0"/>
              <w:bottom w:val="single" w:color="auto" w:sz="4" w:space="0"/>
              <w:right w:val="single" w:color="auto" w:sz="4" w:space="0"/>
            </w:tcBorders>
            <w:vAlign w:val="center"/>
          </w:tcPr>
          <w:p w14:paraId="2DCE4677">
            <w:pPr>
              <w:widowControl/>
              <w:spacing w:line="276" w:lineRule="auto"/>
              <w:jc w:val="center"/>
              <w:rPr>
                <w:rFonts w:ascii="宋体" w:hAnsi="宋体" w:eastAsia="宋体" w:cs="Times New Roman"/>
                <w:color w:val="000000"/>
                <w:kern w:val="0"/>
                <w:szCs w:val="21"/>
              </w:rPr>
            </w:pPr>
          </w:p>
        </w:tc>
        <w:tc>
          <w:tcPr>
            <w:tcW w:w="1508" w:type="dxa"/>
            <w:vMerge w:val="continue"/>
            <w:tcBorders>
              <w:left w:val="single" w:color="auto" w:sz="4" w:space="0"/>
              <w:bottom w:val="single" w:color="auto" w:sz="4" w:space="0"/>
              <w:right w:val="single" w:color="auto" w:sz="4" w:space="0"/>
            </w:tcBorders>
            <w:vAlign w:val="center"/>
          </w:tcPr>
          <w:p w14:paraId="79769422">
            <w:pPr>
              <w:widowControl/>
              <w:spacing w:line="276" w:lineRule="auto"/>
              <w:jc w:val="center"/>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513854E7">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626" w:type="dxa"/>
            <w:tcBorders>
              <w:top w:val="single" w:color="auto" w:sz="4" w:space="0"/>
              <w:left w:val="single" w:color="auto" w:sz="4" w:space="0"/>
              <w:bottom w:val="single" w:color="auto" w:sz="4" w:space="0"/>
              <w:right w:val="single" w:color="auto" w:sz="4" w:space="0"/>
            </w:tcBorders>
            <w:vAlign w:val="center"/>
          </w:tcPr>
          <w:p w14:paraId="442AFE38">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254" w:type="dxa"/>
            <w:vMerge w:val="continue"/>
            <w:tcBorders>
              <w:left w:val="single" w:color="auto" w:sz="4" w:space="0"/>
              <w:bottom w:val="single" w:color="auto" w:sz="4" w:space="0"/>
              <w:right w:val="single" w:color="auto" w:sz="4" w:space="0"/>
            </w:tcBorders>
            <w:vAlign w:val="center"/>
          </w:tcPr>
          <w:p w14:paraId="0D69357B">
            <w:pPr>
              <w:widowControl/>
              <w:spacing w:line="276" w:lineRule="auto"/>
              <w:jc w:val="center"/>
              <w:rPr>
                <w:rFonts w:ascii="宋体" w:hAnsi="宋体" w:eastAsia="宋体" w:cs="Times New Roman"/>
                <w:color w:val="000000"/>
                <w:kern w:val="0"/>
                <w:szCs w:val="21"/>
              </w:rPr>
            </w:pPr>
          </w:p>
        </w:tc>
      </w:tr>
      <w:tr w14:paraId="34B46386">
        <w:tblPrEx>
          <w:tblCellMar>
            <w:top w:w="0" w:type="dxa"/>
            <w:left w:w="108" w:type="dxa"/>
            <w:bottom w:w="0" w:type="dxa"/>
            <w:right w:w="108" w:type="dxa"/>
          </w:tblCellMar>
        </w:tblPrEx>
        <w:trPr>
          <w:trHeight w:val="411" w:hRule="atLeast"/>
        </w:trPr>
        <w:tc>
          <w:tcPr>
            <w:tcW w:w="2257" w:type="dxa"/>
            <w:vMerge w:val="continue"/>
            <w:tcBorders>
              <w:left w:val="single" w:color="auto" w:sz="4" w:space="0"/>
              <w:bottom w:val="single" w:color="auto" w:sz="4" w:space="0"/>
              <w:right w:val="single" w:color="auto" w:sz="4" w:space="0"/>
            </w:tcBorders>
            <w:vAlign w:val="center"/>
          </w:tcPr>
          <w:p w14:paraId="073BA959">
            <w:pPr>
              <w:widowControl/>
              <w:spacing w:line="276" w:lineRule="auto"/>
              <w:jc w:val="center"/>
              <w:rPr>
                <w:rFonts w:ascii="宋体" w:hAnsi="宋体" w:eastAsia="宋体" w:cs="Times New Roman"/>
                <w:color w:val="000000"/>
                <w:kern w:val="0"/>
                <w:szCs w:val="21"/>
              </w:rPr>
            </w:pPr>
          </w:p>
        </w:tc>
        <w:tc>
          <w:tcPr>
            <w:tcW w:w="1508" w:type="dxa"/>
            <w:vMerge w:val="continue"/>
            <w:tcBorders>
              <w:left w:val="single" w:color="auto" w:sz="4" w:space="0"/>
              <w:bottom w:val="single" w:color="auto" w:sz="4" w:space="0"/>
              <w:right w:val="single" w:color="auto" w:sz="4" w:space="0"/>
            </w:tcBorders>
            <w:vAlign w:val="center"/>
          </w:tcPr>
          <w:p w14:paraId="0C52B615">
            <w:pPr>
              <w:widowControl/>
              <w:spacing w:line="276" w:lineRule="auto"/>
              <w:jc w:val="center"/>
              <w:rPr>
                <w:rFonts w:ascii="宋体" w:hAnsi="宋体" w:eastAsia="宋体" w:cs="Times New Roman"/>
                <w:color w:val="000000"/>
                <w:kern w:val="0"/>
                <w:szCs w:val="21"/>
              </w:rPr>
            </w:pPr>
          </w:p>
        </w:tc>
        <w:tc>
          <w:tcPr>
            <w:tcW w:w="2403" w:type="dxa"/>
            <w:tcBorders>
              <w:top w:val="single" w:color="auto" w:sz="4" w:space="0"/>
              <w:left w:val="single" w:color="auto" w:sz="4" w:space="0"/>
              <w:bottom w:val="single" w:color="auto" w:sz="4" w:space="0"/>
              <w:right w:val="single" w:color="auto" w:sz="4" w:space="0"/>
            </w:tcBorders>
            <w:vAlign w:val="center"/>
          </w:tcPr>
          <w:p w14:paraId="44BE247C">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626" w:type="dxa"/>
            <w:tcBorders>
              <w:top w:val="single" w:color="auto" w:sz="4" w:space="0"/>
              <w:left w:val="single" w:color="auto" w:sz="4" w:space="0"/>
              <w:bottom w:val="single" w:color="auto" w:sz="4" w:space="0"/>
              <w:right w:val="single" w:color="auto" w:sz="4" w:space="0"/>
            </w:tcBorders>
            <w:vAlign w:val="center"/>
          </w:tcPr>
          <w:p w14:paraId="3DCA2C6B">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54" w:type="dxa"/>
            <w:vMerge w:val="continue"/>
            <w:tcBorders>
              <w:left w:val="single" w:color="auto" w:sz="4" w:space="0"/>
              <w:bottom w:val="single" w:color="auto" w:sz="4" w:space="0"/>
              <w:right w:val="single" w:color="auto" w:sz="4" w:space="0"/>
            </w:tcBorders>
            <w:vAlign w:val="center"/>
          </w:tcPr>
          <w:p w14:paraId="6B3E8832">
            <w:pPr>
              <w:widowControl/>
              <w:spacing w:line="276" w:lineRule="auto"/>
              <w:jc w:val="center"/>
              <w:rPr>
                <w:rFonts w:ascii="宋体" w:hAnsi="宋体" w:eastAsia="宋体" w:cs="Times New Roman"/>
                <w:color w:val="000000"/>
                <w:kern w:val="0"/>
                <w:szCs w:val="21"/>
              </w:rPr>
            </w:pPr>
          </w:p>
        </w:tc>
      </w:tr>
      <w:tr w14:paraId="5E863130">
        <w:tblPrEx>
          <w:tblCellMar>
            <w:top w:w="0" w:type="dxa"/>
            <w:left w:w="108" w:type="dxa"/>
            <w:bottom w:w="0" w:type="dxa"/>
            <w:right w:w="108" w:type="dxa"/>
          </w:tblCellMar>
        </w:tblPrEx>
        <w:trPr>
          <w:trHeight w:val="403" w:hRule="atLeast"/>
        </w:trPr>
        <w:tc>
          <w:tcPr>
            <w:tcW w:w="2257" w:type="dxa"/>
            <w:vMerge w:val="restart"/>
            <w:tcBorders>
              <w:top w:val="single" w:color="auto" w:sz="4" w:space="0"/>
              <w:left w:val="single" w:color="auto" w:sz="4" w:space="0"/>
              <w:right w:val="single" w:color="auto" w:sz="4" w:space="0"/>
            </w:tcBorders>
            <w:vAlign w:val="center"/>
          </w:tcPr>
          <w:p w14:paraId="6F325EB8">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4</w:t>
            </w:r>
          </w:p>
        </w:tc>
        <w:tc>
          <w:tcPr>
            <w:tcW w:w="1508" w:type="dxa"/>
            <w:vMerge w:val="restart"/>
            <w:tcBorders>
              <w:top w:val="single" w:color="auto" w:sz="4" w:space="0"/>
              <w:left w:val="single" w:color="auto" w:sz="4" w:space="0"/>
              <w:right w:val="single" w:color="auto" w:sz="4" w:space="0"/>
            </w:tcBorders>
            <w:vAlign w:val="center"/>
          </w:tcPr>
          <w:p w14:paraId="2A550EC9">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403" w:type="dxa"/>
            <w:tcBorders>
              <w:top w:val="single" w:color="auto" w:sz="4" w:space="0"/>
              <w:left w:val="single" w:color="auto" w:sz="4" w:space="0"/>
              <w:right w:val="single" w:color="auto" w:sz="4" w:space="0"/>
            </w:tcBorders>
            <w:vAlign w:val="center"/>
          </w:tcPr>
          <w:p w14:paraId="23F3F109">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626" w:type="dxa"/>
            <w:tcBorders>
              <w:top w:val="single" w:color="auto" w:sz="4" w:space="0"/>
              <w:left w:val="single" w:color="auto" w:sz="4" w:space="0"/>
              <w:right w:val="single" w:color="auto" w:sz="4" w:space="0"/>
            </w:tcBorders>
            <w:vAlign w:val="center"/>
          </w:tcPr>
          <w:p w14:paraId="3D00A371">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50% </w:t>
            </w:r>
          </w:p>
        </w:tc>
        <w:tc>
          <w:tcPr>
            <w:tcW w:w="1254" w:type="dxa"/>
            <w:vMerge w:val="restart"/>
            <w:tcBorders>
              <w:top w:val="single" w:color="auto" w:sz="4" w:space="0"/>
              <w:left w:val="single" w:color="auto" w:sz="4" w:space="0"/>
              <w:right w:val="single" w:color="auto" w:sz="4" w:space="0"/>
            </w:tcBorders>
            <w:vAlign w:val="center"/>
          </w:tcPr>
          <w:p w14:paraId="3ECBC4D8">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6DB641FF">
        <w:tblPrEx>
          <w:tblCellMar>
            <w:top w:w="0" w:type="dxa"/>
            <w:left w:w="108" w:type="dxa"/>
            <w:bottom w:w="0" w:type="dxa"/>
            <w:right w:w="108" w:type="dxa"/>
          </w:tblCellMar>
        </w:tblPrEx>
        <w:trPr>
          <w:trHeight w:val="422" w:hRule="atLeast"/>
        </w:trPr>
        <w:tc>
          <w:tcPr>
            <w:tcW w:w="2257" w:type="dxa"/>
            <w:vMerge w:val="continue"/>
            <w:tcBorders>
              <w:left w:val="single" w:color="auto" w:sz="4" w:space="0"/>
              <w:bottom w:val="single" w:color="auto" w:sz="4" w:space="0"/>
              <w:right w:val="single" w:color="auto" w:sz="4" w:space="0"/>
            </w:tcBorders>
            <w:vAlign w:val="center"/>
          </w:tcPr>
          <w:p w14:paraId="3C899AC1">
            <w:pPr>
              <w:widowControl/>
              <w:spacing w:line="276" w:lineRule="auto"/>
              <w:jc w:val="left"/>
              <w:rPr>
                <w:rFonts w:ascii="宋体" w:hAnsi="宋体" w:eastAsia="宋体" w:cs="Times New Roman"/>
                <w:color w:val="000000"/>
                <w:kern w:val="0"/>
                <w:szCs w:val="21"/>
              </w:rPr>
            </w:pPr>
          </w:p>
        </w:tc>
        <w:tc>
          <w:tcPr>
            <w:tcW w:w="1508" w:type="dxa"/>
            <w:vMerge w:val="continue"/>
            <w:tcBorders>
              <w:left w:val="single" w:color="auto" w:sz="4" w:space="0"/>
              <w:bottom w:val="single" w:color="auto" w:sz="4" w:space="0"/>
              <w:right w:val="single" w:color="auto" w:sz="4" w:space="0"/>
            </w:tcBorders>
            <w:vAlign w:val="center"/>
          </w:tcPr>
          <w:p w14:paraId="537E6613">
            <w:pPr>
              <w:widowControl/>
              <w:spacing w:line="276" w:lineRule="auto"/>
              <w:jc w:val="left"/>
              <w:rPr>
                <w:rFonts w:ascii="宋体" w:hAnsi="宋体" w:eastAsia="宋体" w:cs="Times New Roman"/>
                <w:color w:val="000000"/>
                <w:kern w:val="0"/>
                <w:szCs w:val="21"/>
              </w:rPr>
            </w:pPr>
          </w:p>
        </w:tc>
        <w:tc>
          <w:tcPr>
            <w:tcW w:w="2403" w:type="dxa"/>
            <w:tcBorders>
              <w:top w:val="single" w:color="auto" w:sz="4" w:space="0"/>
              <w:left w:val="single" w:color="auto" w:sz="4" w:space="0"/>
              <w:right w:val="single" w:color="auto" w:sz="4" w:space="0"/>
            </w:tcBorders>
            <w:vAlign w:val="center"/>
          </w:tcPr>
          <w:p w14:paraId="1033E844">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626" w:type="dxa"/>
            <w:tcBorders>
              <w:top w:val="single" w:color="auto" w:sz="4" w:space="0"/>
              <w:left w:val="single" w:color="auto" w:sz="4" w:space="0"/>
              <w:right w:val="single" w:color="auto" w:sz="4" w:space="0"/>
            </w:tcBorders>
            <w:vAlign w:val="center"/>
          </w:tcPr>
          <w:p w14:paraId="0E7C8CA4">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254" w:type="dxa"/>
            <w:vMerge w:val="continue"/>
            <w:tcBorders>
              <w:left w:val="single" w:color="auto" w:sz="4" w:space="0"/>
              <w:bottom w:val="single" w:color="auto" w:sz="4" w:space="0"/>
              <w:right w:val="single" w:color="auto" w:sz="4" w:space="0"/>
            </w:tcBorders>
          </w:tcPr>
          <w:p w14:paraId="24BB25B2">
            <w:pPr>
              <w:widowControl/>
              <w:spacing w:line="276" w:lineRule="auto"/>
              <w:jc w:val="center"/>
              <w:rPr>
                <w:rFonts w:ascii="宋体" w:hAnsi="宋体" w:eastAsia="宋体" w:cs="Times New Roman"/>
                <w:color w:val="000000"/>
                <w:kern w:val="0"/>
                <w:szCs w:val="21"/>
              </w:rPr>
            </w:pPr>
          </w:p>
        </w:tc>
      </w:tr>
      <w:tr w14:paraId="1AAF71E0">
        <w:tblPrEx>
          <w:tblCellMar>
            <w:top w:w="0" w:type="dxa"/>
            <w:left w:w="108" w:type="dxa"/>
            <w:bottom w:w="0" w:type="dxa"/>
            <w:right w:w="108" w:type="dxa"/>
          </w:tblCellMar>
        </w:tblPrEx>
        <w:trPr>
          <w:trHeight w:val="384" w:hRule="atLeast"/>
        </w:trPr>
        <w:tc>
          <w:tcPr>
            <w:tcW w:w="2257" w:type="dxa"/>
            <w:tcBorders>
              <w:top w:val="single" w:color="auto" w:sz="4" w:space="0"/>
              <w:left w:val="single" w:color="auto" w:sz="4" w:space="0"/>
              <w:bottom w:val="single" w:color="auto" w:sz="4" w:space="0"/>
              <w:right w:val="single" w:color="auto" w:sz="4" w:space="0"/>
            </w:tcBorders>
            <w:vAlign w:val="center"/>
          </w:tcPr>
          <w:p w14:paraId="3401F5BE">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6791" w:type="dxa"/>
            <w:gridSpan w:val="4"/>
            <w:tcBorders>
              <w:top w:val="single" w:color="auto" w:sz="4" w:space="0"/>
              <w:left w:val="single" w:color="auto" w:sz="4" w:space="0"/>
              <w:bottom w:val="single" w:color="auto" w:sz="4" w:space="0"/>
              <w:right w:val="single" w:color="auto" w:sz="4" w:space="0"/>
            </w:tcBorders>
            <w:vAlign w:val="center"/>
          </w:tcPr>
          <w:p w14:paraId="58185C9D">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bl>
    <w:p w14:paraId="30C9C424">
      <w:pPr>
        <w:spacing w:line="360" w:lineRule="auto"/>
        <w:ind w:firstLine="480"/>
        <w:rPr>
          <w:rFonts w:ascii="宋体" w:hAnsi="宋体" w:eastAsia="宋体" w:cs="Times New Roman"/>
          <w:color w:val="000000"/>
          <w:sz w:val="24"/>
          <w:szCs w:val="24"/>
        </w:rPr>
      </w:pPr>
    </w:p>
    <w:p w14:paraId="540B1FCE">
      <w:pPr>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w:t>
      </w:r>
    </w:p>
    <w:p w14:paraId="6A0F3B6E">
      <w:pPr>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课程目标总体达成度计算方法如下：</w:t>
      </w:r>
    </w:p>
    <w:p w14:paraId="0F5F7D19">
      <w:pPr>
        <w:spacing w:line="360" w:lineRule="auto"/>
        <w:ind w:firstLine="480"/>
        <w:rPr>
          <w:rFonts w:ascii="宋体" w:hAnsi="Times New Roman" w:eastAsia="宋体" w:cs="Times New Roman"/>
          <w:b/>
          <w:bCs/>
          <w:iCs/>
          <w:color w:val="000000"/>
          <w:sz w:val="24"/>
          <w:szCs w:val="24"/>
        </w:rPr>
      </w:pPr>
      <m:oMathPara>
        <m:oMath>
          <m:r>
            <m:rPr>
              <m:sty m:val="b"/>
            </m:rPr>
            <w:rPr>
              <w:rFonts w:hint="eastAsia" w:ascii="Cambria Math" w:hAnsi="Cambria Math" w:eastAsia="宋体" w:cs="Times New Roman"/>
              <w:color w:val="000000"/>
              <w:sz w:val="20"/>
              <w:szCs w:val="20"/>
            </w:rPr>
            <m:t>课程目标达成度=</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课程子目标的权重值（</m:t>
          </m:r>
          <m:r>
            <m:rPr>
              <m:sty m:val="b"/>
            </m:rPr>
            <w:rPr>
              <w:rFonts w:ascii="Cambria Math" w:hAnsi="Cambria Math" w:eastAsia="宋体" w:cs="Times New Roman"/>
              <w:color w:val="000000"/>
              <w:sz w:val="20"/>
              <w:szCs w:val="20"/>
            </w:rPr>
            <m:t>a</m:t>
          </m:r>
          <m:r>
            <m:rPr>
              <m:sty m:val="b"/>
            </m:rPr>
            <w:rPr>
              <w:rFonts w:hint="eastAsia" w:ascii="Cambria Math" w:hAnsi="Cambria Math" w:eastAsia="宋体" w:cs="Times New Roman"/>
              <w:color w:val="000000"/>
              <w:sz w:val="20"/>
              <w:szCs w:val="20"/>
            </w:rPr>
            <m:t>）</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课程考核项目的权重值（</m:t>
          </m:r>
          <m:r>
            <m:rPr>
              <m:sty m:val="b"/>
            </m:rPr>
            <w:rPr>
              <w:rFonts w:ascii="Cambria Math" w:hAnsi="Cambria Math" w:eastAsia="宋体" w:cs="Times New Roman"/>
              <w:color w:val="000000"/>
              <w:sz w:val="20"/>
              <w:szCs w:val="20"/>
            </w:rPr>
            <m:t>b</m:t>
          </m:r>
          <m:r>
            <m:rPr>
              <m:sty m:val="b"/>
            </m:rPr>
            <w:rPr>
              <w:rFonts w:hint="eastAsia" w:ascii="Cambria Math" w:hAnsi="Cambria Math" w:eastAsia="宋体" w:cs="Times New Roman"/>
              <w:color w:val="000000"/>
              <w:sz w:val="20"/>
              <w:szCs w:val="20"/>
            </w:rPr>
            <m:t>）</m:t>
          </m:r>
          <m:box>
            <m:boxPr>
              <m:ctrlPr>
                <w:rPr>
                  <w:rFonts w:ascii="Cambria Math" w:hAnsi="Cambria Math" w:eastAsia="宋体" w:cs="Times New Roman"/>
                  <w:b/>
                  <w:bCs/>
                  <w:iCs/>
                  <w:color w:val="000000"/>
                  <w:sz w:val="20"/>
                  <w:szCs w:val="20"/>
                </w:rPr>
              </m:ctrlPr>
            </m:boxPr>
            <m:e>
              <m:argPr>
                <m:argSz m:val="-1"/>
              </m:argPr>
              <m:f>
                <m:fPr>
                  <m:ctrlPr>
                    <w:rPr>
                      <w:rFonts w:ascii="Cambria Math" w:hAnsi="Cambria Math" w:eastAsia="宋体" w:cs="Times New Roman"/>
                      <w:b/>
                      <w:bCs/>
                      <w:iCs/>
                      <w:color w:val="000000"/>
                      <w:sz w:val="20"/>
                      <w:szCs w:val="20"/>
                    </w:rPr>
                  </m:ctrlPr>
                </m:fPr>
                <m:num>
                  <m:r>
                    <m:rPr>
                      <m:sty m:val="b"/>
                    </m:rPr>
                    <w:rPr>
                      <w:rFonts w:hint="eastAsia" w:ascii="Cambria Math" w:hAnsi="Cambria Math" w:eastAsia="宋体" w:cs="Times New Roman"/>
                      <w:color w:val="000000"/>
                      <w:sz w:val="20"/>
                      <w:szCs w:val="20"/>
                    </w:rPr>
                    <m:t>考核项目平均分</m:t>
                  </m:r>
                  <m:ctrlPr>
                    <w:rPr>
                      <w:rFonts w:ascii="Cambria Math" w:hAnsi="Cambria Math" w:eastAsia="宋体" w:cs="Times New Roman"/>
                      <w:b/>
                      <w:bCs/>
                      <w:iCs/>
                      <w:color w:val="000000"/>
                      <w:sz w:val="20"/>
                      <w:szCs w:val="20"/>
                    </w:rPr>
                  </m:ctrlPr>
                </m:num>
                <m:den>
                  <m:r>
                    <m:rPr>
                      <m:sty m:val="b"/>
                    </m:rPr>
                    <w:rPr>
                      <w:rFonts w:hint="eastAsia" w:ascii="Cambria Math" w:hAnsi="Cambria Math" w:eastAsia="宋体" w:cs="Times New Roman"/>
                      <w:color w:val="000000"/>
                      <w:sz w:val="20"/>
                      <w:szCs w:val="20"/>
                    </w:rPr>
                    <m:t>考核项目总分</m:t>
                  </m:r>
                  <m:ctrlPr>
                    <w:rPr>
                      <w:rFonts w:ascii="Cambria Math" w:hAnsi="Cambria Math" w:eastAsia="宋体" w:cs="Times New Roman"/>
                      <w:b/>
                      <w:bCs/>
                      <w:iCs/>
                      <w:color w:val="000000"/>
                      <w:sz w:val="20"/>
                      <w:szCs w:val="20"/>
                    </w:rPr>
                  </m:ctrlPr>
                </m:den>
              </m:f>
              <m:ctrlPr>
                <w:rPr>
                  <w:rFonts w:ascii="Cambria Math" w:hAnsi="Cambria Math" w:eastAsia="宋体" w:cs="Times New Roman"/>
                  <w:b/>
                  <w:bCs/>
                  <w:iCs/>
                  <w:color w:val="000000"/>
                  <w:sz w:val="20"/>
                  <w:szCs w:val="20"/>
                </w:rPr>
              </m:ctrlPr>
            </m:e>
          </m:box>
        </m:oMath>
      </m:oMathPara>
    </w:p>
    <w:p w14:paraId="4BEFB7E6">
      <w:pPr>
        <w:spacing w:line="360" w:lineRule="auto"/>
        <w:ind w:firstLine="562" w:firstLineChars="200"/>
        <w:rPr>
          <w:rFonts w:ascii="宋体" w:hAnsi="Times New Roman" w:eastAsia="宋体" w:cs="Times New Roman"/>
          <w:b/>
          <w:sz w:val="28"/>
          <w:szCs w:val="28"/>
        </w:rPr>
      </w:pPr>
      <w:r>
        <w:rPr>
          <w:rFonts w:hint="eastAsia" w:ascii="宋体" w:hAnsi="宋体" w:eastAsia="宋体" w:cs="Times New Roman"/>
          <w:b/>
          <w:color w:val="000000"/>
          <w:sz w:val="28"/>
          <w:szCs w:val="28"/>
        </w:rPr>
        <w:t>六、课程参考书</w:t>
      </w:r>
      <w:bookmarkStart w:id="323" w:name="_Hlk523329700"/>
      <w:bookmarkStart w:id="324" w:name="_Toc31564"/>
    </w:p>
    <w:bookmarkEnd w:id="323"/>
    <w:p w14:paraId="3E88E23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义务教育小学语文/数学学科课程标准，最新版。</w:t>
      </w:r>
    </w:p>
    <w:p w14:paraId="76F95788">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部编版小学语文/数学各年级教材。</w:t>
      </w:r>
    </w:p>
    <w:bookmarkEnd w:id="324"/>
    <w:p w14:paraId="6FE4E47F">
      <w:pPr>
        <w:spacing w:line="360" w:lineRule="auto"/>
        <w:ind w:firstLine="480" w:firstLineChars="200"/>
        <w:rPr>
          <w:rFonts w:ascii="宋体" w:hAnsi="Times New Roman" w:eastAsia="宋体" w:cs="Times New Roman"/>
          <w:sz w:val="24"/>
          <w:szCs w:val="24"/>
        </w:rPr>
      </w:pPr>
      <w:bookmarkStart w:id="325" w:name="_Toc9564"/>
      <w:r>
        <w:rPr>
          <w:rFonts w:ascii="宋体" w:hAnsi="宋体" w:eastAsia="宋体" w:cs="Times New Roman"/>
          <w:sz w:val="24"/>
          <w:szCs w:val="24"/>
        </w:rPr>
        <w:t>3.</w:t>
      </w:r>
      <w:r>
        <w:rPr>
          <w:rFonts w:hint="eastAsia" w:ascii="宋体" w:hAnsi="宋体" w:eastAsia="宋体" w:cs="Times New Roman"/>
          <w:sz w:val="24"/>
          <w:szCs w:val="24"/>
        </w:rPr>
        <w:t>陈文涛、刘霄主编：《教育实习的实践与创新》，河南大学出版社，</w:t>
      </w:r>
      <w:r>
        <w:rPr>
          <w:rFonts w:ascii="宋体" w:hAnsi="宋体" w:eastAsia="宋体" w:cs="Times New Roman"/>
          <w:sz w:val="24"/>
          <w:szCs w:val="24"/>
        </w:rPr>
        <w:t>2015</w:t>
      </w:r>
      <w:bookmarkEnd w:id="325"/>
    </w:p>
    <w:p w14:paraId="06777FF4">
      <w:pPr>
        <w:spacing w:line="360" w:lineRule="auto"/>
        <w:rPr>
          <w:rFonts w:ascii="宋体" w:hAnsi="宋体" w:eastAsia="宋体" w:cs="Times New Roman"/>
          <w:color w:val="000000"/>
          <w:sz w:val="24"/>
          <w:szCs w:val="24"/>
        </w:rPr>
      </w:pPr>
    </w:p>
    <w:p w14:paraId="26E6D496">
      <w:pPr>
        <w:spacing w:line="360" w:lineRule="auto"/>
        <w:rPr>
          <w:rFonts w:ascii="宋体" w:hAnsi="宋体" w:eastAsia="宋体" w:cs="Times New Roman"/>
          <w:color w:val="000000"/>
          <w:sz w:val="24"/>
          <w:szCs w:val="24"/>
        </w:rPr>
      </w:pPr>
    </w:p>
    <w:p w14:paraId="232F2D2E">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执笔人：王雅丽</w:t>
      </w:r>
      <w:r>
        <w:rPr>
          <w:rFonts w:ascii="宋体" w:hAnsi="Times New Roman" w:eastAsia="宋体" w:cs="Times New Roman"/>
          <w:color w:val="000000"/>
          <w:sz w:val="24"/>
          <w:szCs w:val="24"/>
        </w:rPr>
        <w:t xml:space="preserve"> </w:t>
      </w:r>
    </w:p>
    <w:p w14:paraId="330077A3">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审定人：张志欣</w:t>
      </w:r>
    </w:p>
    <w:p w14:paraId="282546CE">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审批人：张建波</w:t>
      </w:r>
    </w:p>
    <w:p w14:paraId="684D3E7E">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w:t>
      </w:r>
      <w:r>
        <w:rPr>
          <w:rFonts w:ascii="宋体" w:hAnsi="宋体" w:eastAsia="宋体" w:cs="Times New Roman"/>
          <w:color w:val="000000"/>
          <w:sz w:val="24"/>
          <w:szCs w:val="24"/>
        </w:rPr>
        <w:t>2022</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8</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15</w:t>
      </w:r>
      <w:r>
        <w:rPr>
          <w:rFonts w:hint="eastAsia" w:ascii="宋体" w:hAnsi="宋体" w:eastAsia="宋体" w:cs="Times New Roman"/>
          <w:color w:val="000000"/>
          <w:sz w:val="24"/>
          <w:szCs w:val="24"/>
        </w:rPr>
        <w:t>日</w:t>
      </w:r>
    </w:p>
    <w:p w14:paraId="51C5737A">
      <w:pPr>
        <w:widowControl/>
        <w:spacing w:line="360" w:lineRule="auto"/>
        <w:jc w:val="center"/>
        <w:outlineLvl w:val="0"/>
        <w:rPr>
          <w:rFonts w:hint="eastAsia" w:ascii="Times New Roman" w:hAnsi="Times New Roman" w:eastAsia="宋体" w:cs="Times New Roman"/>
          <w:b/>
          <w:bCs/>
          <w:sz w:val="30"/>
          <w:szCs w:val="24"/>
        </w:rPr>
      </w:pPr>
    </w:p>
    <w:p w14:paraId="60B57685">
      <w:pPr>
        <w:widowControl/>
        <w:spacing w:line="360" w:lineRule="auto"/>
        <w:jc w:val="center"/>
        <w:outlineLvl w:val="0"/>
        <w:rPr>
          <w:rFonts w:hint="eastAsia" w:ascii="Times New Roman" w:hAnsi="Times New Roman" w:eastAsia="宋体" w:cs="Times New Roman"/>
          <w:b/>
          <w:bCs/>
          <w:sz w:val="30"/>
          <w:szCs w:val="24"/>
        </w:rPr>
      </w:pPr>
    </w:p>
    <w:p w14:paraId="6440D56B">
      <w:pPr>
        <w:widowControl/>
        <w:spacing w:line="360" w:lineRule="auto"/>
        <w:jc w:val="center"/>
        <w:outlineLvl w:val="0"/>
        <w:rPr>
          <w:rFonts w:hint="eastAsia" w:ascii="Times New Roman" w:hAnsi="Times New Roman" w:eastAsia="宋体" w:cs="Times New Roman"/>
          <w:b/>
          <w:bCs/>
          <w:sz w:val="30"/>
          <w:szCs w:val="24"/>
        </w:rPr>
      </w:pPr>
    </w:p>
    <w:p w14:paraId="0DD56B5C">
      <w:pPr>
        <w:widowControl/>
        <w:spacing w:line="360" w:lineRule="auto"/>
        <w:jc w:val="center"/>
        <w:outlineLvl w:val="0"/>
        <w:rPr>
          <w:rFonts w:hint="eastAsia" w:ascii="Times New Roman" w:hAnsi="Times New Roman" w:eastAsia="宋体" w:cs="Times New Roman"/>
          <w:b/>
          <w:bCs/>
          <w:sz w:val="30"/>
          <w:szCs w:val="24"/>
        </w:rPr>
      </w:pPr>
    </w:p>
    <w:p w14:paraId="7341CEF7">
      <w:pPr>
        <w:widowControl/>
        <w:spacing w:line="360" w:lineRule="auto"/>
        <w:jc w:val="center"/>
        <w:outlineLvl w:val="0"/>
        <w:rPr>
          <w:rFonts w:hint="eastAsia" w:ascii="Times New Roman" w:hAnsi="Times New Roman" w:eastAsia="宋体" w:cs="Times New Roman"/>
          <w:b/>
          <w:bCs/>
          <w:sz w:val="30"/>
          <w:szCs w:val="24"/>
        </w:rPr>
      </w:pPr>
    </w:p>
    <w:p w14:paraId="3B0A82F7">
      <w:pPr>
        <w:widowControl/>
        <w:spacing w:line="360" w:lineRule="auto"/>
        <w:jc w:val="center"/>
        <w:outlineLvl w:val="0"/>
        <w:rPr>
          <w:rFonts w:hint="eastAsia" w:ascii="Times New Roman" w:hAnsi="Times New Roman" w:eastAsia="宋体" w:cs="Times New Roman"/>
          <w:b/>
          <w:bCs/>
          <w:sz w:val="30"/>
          <w:szCs w:val="24"/>
        </w:rPr>
      </w:pPr>
    </w:p>
    <w:p w14:paraId="59A8A7E5">
      <w:pPr>
        <w:widowControl/>
        <w:spacing w:line="360" w:lineRule="auto"/>
        <w:jc w:val="center"/>
        <w:outlineLvl w:val="0"/>
        <w:rPr>
          <w:rFonts w:hint="eastAsia" w:ascii="Times New Roman" w:hAnsi="Times New Roman" w:eastAsia="宋体" w:cs="Times New Roman"/>
          <w:b/>
          <w:bCs/>
          <w:sz w:val="30"/>
          <w:szCs w:val="24"/>
        </w:rPr>
      </w:pPr>
    </w:p>
    <w:p w14:paraId="52DB495F">
      <w:pPr>
        <w:widowControl/>
        <w:spacing w:line="360" w:lineRule="auto"/>
        <w:jc w:val="center"/>
        <w:outlineLvl w:val="0"/>
        <w:rPr>
          <w:rFonts w:hint="eastAsia" w:ascii="Times New Roman" w:hAnsi="Times New Roman" w:eastAsia="宋体" w:cs="Times New Roman"/>
          <w:b/>
          <w:bCs/>
          <w:sz w:val="30"/>
          <w:szCs w:val="24"/>
        </w:rPr>
      </w:pPr>
    </w:p>
    <w:bookmarkEnd w:id="320"/>
    <w:bookmarkEnd w:id="321"/>
    <w:p w14:paraId="0FF77A13">
      <w:pPr>
        <w:widowControl/>
        <w:spacing w:line="360" w:lineRule="auto"/>
        <w:jc w:val="center"/>
        <w:rPr>
          <w:rFonts w:ascii="Times New Roman" w:hAnsi="Times New Roman" w:eastAsia="宋体" w:cs="Times New Roman"/>
          <w:b/>
          <w:bCs/>
          <w:sz w:val="30"/>
          <w:szCs w:val="24"/>
        </w:rPr>
      </w:pPr>
      <w:bookmarkStart w:id="326" w:name="_Toc57017209"/>
      <w:r>
        <w:rPr>
          <w:rFonts w:hint="eastAsia" w:ascii="Times New Roman" w:hAnsi="Times New Roman" w:eastAsia="宋体" w:cs="Times New Roman"/>
          <w:b/>
          <w:bCs/>
          <w:sz w:val="30"/>
          <w:szCs w:val="24"/>
        </w:rPr>
        <w:t>《教育见习Ⅱ》教学大纲</w:t>
      </w:r>
    </w:p>
    <w:p w14:paraId="0AABA758">
      <w:pPr>
        <w:spacing w:line="360" w:lineRule="auto"/>
        <w:ind w:firstLine="551" w:firstLineChars="196"/>
        <w:jc w:val="center"/>
        <w:rPr>
          <w:rFonts w:ascii="Times New Roman" w:hAnsi="Times New Roman" w:eastAsia="宋体" w:cs="Times New Roman"/>
          <w:b/>
          <w:bCs/>
          <w:sz w:val="28"/>
          <w:szCs w:val="24"/>
        </w:rPr>
      </w:pPr>
      <w:r>
        <w:rPr>
          <w:rFonts w:hint="eastAsia" w:ascii="Times New Roman" w:hAnsi="Times New Roman" w:eastAsia="宋体" w:cs="Times New Roman"/>
          <w:b/>
          <w:bCs/>
          <w:sz w:val="28"/>
          <w:szCs w:val="24"/>
        </w:rPr>
        <w:t>（Educational Probation Ⅱ）</w:t>
      </w:r>
    </w:p>
    <w:p w14:paraId="0A0F63BA">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429B3AF4">
      <w:pPr>
        <w:spacing w:line="360" w:lineRule="auto"/>
        <w:ind w:firstLine="482" w:firstLineChars="200"/>
        <w:rPr>
          <w:rFonts w:ascii="宋体" w:hAnsi="Times New Roman"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：240104</w:t>
      </w:r>
      <w:r>
        <w:rPr>
          <w:rFonts w:ascii="宋体" w:hAnsi="宋体" w:eastAsia="宋体" w:cs="Times New Roman"/>
          <w:b/>
          <w:color w:val="000000"/>
          <w:kern w:val="0"/>
          <w:sz w:val="24"/>
          <w:szCs w:val="24"/>
        </w:rPr>
        <w:t>7</w:t>
      </w:r>
    </w:p>
    <w:p w14:paraId="06575F1E">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color w:val="000000"/>
          <w:kern w:val="0"/>
          <w:sz w:val="24"/>
          <w:szCs w:val="24"/>
        </w:rPr>
        <w:t>1</w:t>
      </w:r>
    </w:p>
    <w:p w14:paraId="4F70E3C0">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43F2B873">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color w:val="000000"/>
          <w:kern w:val="0"/>
          <w:sz w:val="24"/>
          <w:szCs w:val="24"/>
        </w:rPr>
        <w:t>小学教育政策与法规、</w:t>
      </w:r>
      <w:r>
        <w:rPr>
          <w:rFonts w:hint="eastAsia" w:ascii="宋体" w:hAnsi="宋体" w:eastAsia="宋体" w:cs="Times New Roman"/>
          <w:color w:val="000000"/>
          <w:kern w:val="0"/>
          <w:sz w:val="24"/>
          <w:szCs w:val="24"/>
        </w:rPr>
        <w:t>教师职业道德、教育原理、小学心理学</w:t>
      </w:r>
      <w:r>
        <w:rPr>
          <w:rFonts w:ascii="宋体" w:hAnsi="宋体" w:eastAsia="宋体" w:cs="Times New Roman"/>
          <w:color w:val="000000"/>
          <w:kern w:val="0"/>
          <w:sz w:val="24"/>
          <w:szCs w:val="24"/>
        </w:rPr>
        <w:t>教育心理学、部分数学/中文类课程</w:t>
      </w:r>
      <w:r>
        <w:rPr>
          <w:rFonts w:hint="eastAsia" w:ascii="宋体" w:hAnsi="宋体" w:eastAsia="宋体" w:cs="Times New Roman"/>
          <w:color w:val="000000"/>
          <w:kern w:val="0"/>
          <w:sz w:val="24"/>
          <w:szCs w:val="24"/>
        </w:rPr>
        <w:t>、教育见习</w:t>
      </w:r>
      <w:r>
        <w:rPr>
          <w:rFonts w:ascii="宋体" w:hAnsi="宋体" w:eastAsia="宋体" w:cs="Times New Roman"/>
          <w:color w:val="000000"/>
          <w:kern w:val="0"/>
          <w:sz w:val="24"/>
          <w:szCs w:val="24"/>
        </w:rPr>
        <w:t>I</w:t>
      </w:r>
    </w:p>
    <w:p w14:paraId="08233671">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6CE60021">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color w:val="000000"/>
          <w:kern w:val="0"/>
          <w:sz w:val="24"/>
          <w:szCs w:val="24"/>
        </w:rPr>
        <w:t>见习</w:t>
      </w:r>
      <w:r>
        <w:rPr>
          <w:rFonts w:hint="eastAsia" w:ascii="宋体" w:hAnsi="宋体" w:eastAsia="宋体" w:cs="Times New Roman"/>
          <w:bCs/>
          <w:color w:val="000000"/>
          <w:kern w:val="0"/>
          <w:sz w:val="24"/>
          <w:szCs w:val="24"/>
        </w:rPr>
        <w:t>手册（自编）</w:t>
      </w:r>
    </w:p>
    <w:p w14:paraId="78A0C600">
      <w:pPr>
        <w:spacing w:line="360" w:lineRule="auto"/>
        <w:ind w:firstLine="482" w:firstLineChars="200"/>
        <w:rPr>
          <w:rFonts w:ascii="宋体" w:hAnsi="Times New Roman"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731CBC08">
      <w:pPr>
        <w:spacing w:line="360" w:lineRule="auto"/>
        <w:ind w:firstLine="482" w:firstLineChars="200"/>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themeColor="text1"/>
          <w:kern w:val="0"/>
          <w:sz w:val="24"/>
          <w:szCs w:val="24"/>
          <w14:textFill>
            <w14:solidFill>
              <w14:schemeClr w14:val="tx1"/>
            </w14:solidFill>
          </w14:textFill>
        </w:rPr>
        <w:t>教育见习</w:t>
      </w:r>
      <w:r>
        <w:rPr>
          <w:rFonts w:ascii="宋体" w:hAnsi="宋体" w:eastAsia="宋体" w:cs="Times New Roman"/>
          <w:color w:val="000000" w:themeColor="text1"/>
          <w:kern w:val="0"/>
          <w:sz w:val="24"/>
          <w:szCs w:val="24"/>
          <w14:textFill>
            <w14:solidFill>
              <w14:schemeClr w14:val="tx1"/>
            </w14:solidFill>
          </w14:textFill>
        </w:rPr>
        <w:t>II</w:t>
      </w:r>
      <w:r>
        <w:rPr>
          <w:rFonts w:hint="eastAsia" w:ascii="宋体" w:hAnsi="宋体" w:eastAsia="宋体" w:cs="Times New Roman"/>
          <w:color w:val="000000" w:themeColor="text1"/>
          <w:kern w:val="0"/>
          <w:sz w:val="24"/>
          <w:szCs w:val="24"/>
          <w14:textFill>
            <w14:solidFill>
              <w14:schemeClr w14:val="tx1"/>
            </w14:solidFill>
          </w14:textFill>
        </w:rPr>
        <w:t>是小学教育专业重要的实践性环节。本课程的任务和目的是通过教育见习，使学生充分接触教育教学实际，</w:t>
      </w:r>
      <w:r>
        <w:rPr>
          <w:rFonts w:ascii="宋体" w:hAnsi="宋体" w:eastAsia="宋体" w:cs="Times New Roman"/>
          <w:color w:val="000000" w:themeColor="text1"/>
          <w:kern w:val="0"/>
          <w:sz w:val="24"/>
          <w:szCs w:val="24"/>
          <w14:textFill>
            <w14:solidFill>
              <w14:schemeClr w14:val="tx1"/>
            </w14:solidFill>
          </w14:textFill>
        </w:rPr>
        <w:t>适应学校日常生活，熟悉教师岗位职责，增强对教师职业价值和工作复杂性的认识</w:t>
      </w:r>
      <w:r>
        <w:rPr>
          <w:rFonts w:hint="eastAsia" w:ascii="宋体" w:hAnsi="宋体" w:eastAsia="宋体" w:cs="Times New Roman"/>
          <w:color w:val="000000" w:themeColor="text1"/>
          <w:kern w:val="0"/>
          <w:sz w:val="24"/>
          <w:szCs w:val="24"/>
          <w14:textFill>
            <w14:solidFill>
              <w14:schemeClr w14:val="tx1"/>
            </w14:solidFill>
          </w14:textFill>
        </w:rPr>
        <w:t>；进一步训练学生听课、上课、评课等教学技能、班级管理和班队活动组织的技能，</w:t>
      </w:r>
      <w:r>
        <w:rPr>
          <w:rFonts w:ascii="宋体" w:hAnsi="宋体" w:eastAsia="宋体" w:cs="Times New Roman"/>
          <w:color w:val="000000" w:themeColor="text1"/>
          <w:kern w:val="0"/>
          <w:sz w:val="24"/>
          <w:szCs w:val="24"/>
          <w14:textFill>
            <w14:solidFill>
              <w14:schemeClr w14:val="tx1"/>
            </w14:solidFill>
          </w14:textFill>
        </w:rPr>
        <w:t>将专业学习与实践学习建立</w:t>
      </w:r>
      <w:r>
        <w:rPr>
          <w:rFonts w:hint="eastAsia" w:ascii="宋体" w:hAnsi="宋体" w:eastAsia="宋体" w:cs="Times New Roman"/>
          <w:color w:val="000000" w:themeColor="text1"/>
          <w:kern w:val="0"/>
          <w:sz w:val="24"/>
          <w:szCs w:val="24"/>
          <w14:textFill>
            <w14:solidFill>
              <w14:schemeClr w14:val="tx1"/>
            </w14:solidFill>
          </w14:textFill>
        </w:rPr>
        <w:t>紧密</w:t>
      </w:r>
      <w:r>
        <w:rPr>
          <w:rFonts w:ascii="宋体" w:hAnsi="宋体" w:eastAsia="宋体" w:cs="Times New Roman"/>
          <w:color w:val="000000" w:themeColor="text1"/>
          <w:kern w:val="0"/>
          <w:sz w:val="24"/>
          <w:szCs w:val="24"/>
          <w14:textFill>
            <w14:solidFill>
              <w14:schemeClr w14:val="tx1"/>
            </w14:solidFill>
          </w14:textFill>
        </w:rPr>
        <w:t>联系</w:t>
      </w:r>
      <w:r>
        <w:rPr>
          <w:rFonts w:hint="eastAsia" w:ascii="宋体" w:hAnsi="宋体" w:eastAsia="宋体" w:cs="Times New Roman"/>
          <w:color w:val="000000" w:themeColor="text1"/>
          <w:kern w:val="0"/>
          <w:sz w:val="24"/>
          <w:szCs w:val="24"/>
          <w14:textFill>
            <w14:solidFill>
              <w14:schemeClr w14:val="tx1"/>
            </w14:solidFill>
          </w14:textFill>
        </w:rPr>
        <w:t>，巩固专业知识和职业技能；培养学生研究小学教育问题的兴趣，提升</w:t>
      </w:r>
      <w:r>
        <w:rPr>
          <w:rFonts w:ascii="宋体" w:hAnsi="宋体" w:eastAsia="宋体" w:cs="Times New Roman"/>
          <w:color w:val="000000" w:themeColor="text1"/>
          <w:kern w:val="0"/>
          <w:sz w:val="24"/>
          <w:szCs w:val="24"/>
          <w14:textFill>
            <w14:solidFill>
              <w14:schemeClr w14:val="tx1"/>
            </w14:solidFill>
          </w14:textFill>
        </w:rPr>
        <w:t>综合育人的意识</w:t>
      </w:r>
      <w:r>
        <w:rPr>
          <w:rFonts w:hint="eastAsia" w:ascii="宋体" w:hAnsi="宋体" w:eastAsia="宋体" w:cs="Times New Roman"/>
          <w:color w:val="000000" w:themeColor="text1"/>
          <w:kern w:val="0"/>
          <w:sz w:val="24"/>
          <w:szCs w:val="24"/>
          <w14:textFill>
            <w14:solidFill>
              <w14:schemeClr w14:val="tx1"/>
            </w14:solidFill>
          </w14:textFill>
        </w:rPr>
        <w:t>与能力</w:t>
      </w:r>
      <w:r>
        <w:rPr>
          <w:rFonts w:ascii="宋体" w:hAnsi="宋体" w:eastAsia="宋体" w:cs="Times New Roman"/>
          <w:color w:val="000000" w:themeColor="text1"/>
          <w:kern w:val="0"/>
          <w:sz w:val="24"/>
          <w:szCs w:val="24"/>
          <w14:textFill>
            <w14:solidFill>
              <w14:schemeClr w14:val="tx1"/>
            </w14:solidFill>
          </w14:textFill>
        </w:rPr>
        <w:t>。</w:t>
      </w:r>
    </w:p>
    <w:p w14:paraId="5699C76A">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二、课程目标</w:t>
      </w:r>
    </w:p>
    <w:p w14:paraId="20073CD9">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通过教育见习</w:t>
      </w:r>
      <w:r>
        <w:rPr>
          <w:rFonts w:ascii="宋体" w:hAnsi="宋体" w:eastAsia="宋体" w:cs="Times New Roman"/>
          <w:color w:val="000000" w:themeColor="text1"/>
          <w:sz w:val="24"/>
          <w:szCs w:val="24"/>
          <w14:textFill>
            <w14:solidFill>
              <w14:schemeClr w14:val="tx1"/>
            </w14:solidFill>
          </w14:textFill>
        </w:rPr>
        <w:t>II</w:t>
      </w:r>
      <w:r>
        <w:rPr>
          <w:rFonts w:hint="eastAsia" w:ascii="宋体" w:hAnsi="宋体" w:eastAsia="宋体" w:cs="Times New Roman"/>
          <w:color w:val="000000" w:themeColor="text1"/>
          <w:sz w:val="24"/>
          <w:szCs w:val="24"/>
          <w14:textFill>
            <w14:solidFill>
              <w14:schemeClr w14:val="tx1"/>
            </w14:solidFill>
          </w14:textFill>
        </w:rPr>
        <w:t>，进一步</w:t>
      </w:r>
      <w:r>
        <w:rPr>
          <w:rFonts w:ascii="宋体" w:hAnsi="宋体" w:eastAsia="宋体" w:cs="Times New Roman"/>
          <w:color w:val="000000" w:themeColor="text1"/>
          <w:sz w:val="24"/>
          <w:szCs w:val="24"/>
          <w14:textFill>
            <w14:solidFill>
              <w14:schemeClr w14:val="tx1"/>
            </w14:solidFill>
          </w14:textFill>
        </w:rPr>
        <w:t>适应学校日常生活，熟悉教师岗位职责，</w:t>
      </w:r>
      <w:r>
        <w:rPr>
          <w:rFonts w:hint="eastAsia" w:ascii="宋体" w:hAnsi="宋体" w:eastAsia="宋体" w:cs="Times New Roman"/>
          <w:color w:val="000000" w:themeColor="text1"/>
          <w:sz w:val="24"/>
          <w:szCs w:val="24"/>
          <w14:textFill>
            <w14:solidFill>
              <w14:schemeClr w14:val="tx1"/>
            </w14:solidFill>
          </w14:textFill>
        </w:rPr>
        <w:t>体验和感受教师职业的光荣感、幸福感，</w:t>
      </w:r>
      <w:r>
        <w:rPr>
          <w:rFonts w:ascii="宋体" w:hAnsi="宋体" w:eastAsia="宋体" w:cs="Times New Roman"/>
          <w:color w:val="000000" w:themeColor="text1"/>
          <w:sz w:val="24"/>
          <w:szCs w:val="24"/>
          <w14:textFill>
            <w14:solidFill>
              <w14:schemeClr w14:val="tx1"/>
            </w14:solidFill>
          </w14:textFill>
        </w:rPr>
        <w:t>增强对教师职业</w:t>
      </w:r>
      <w:r>
        <w:rPr>
          <w:rFonts w:hint="eastAsia" w:ascii="宋体" w:hAnsi="宋体" w:eastAsia="宋体" w:cs="Times New Roman"/>
          <w:color w:val="000000" w:themeColor="text1"/>
          <w:sz w:val="24"/>
          <w:szCs w:val="24"/>
          <w14:textFill>
            <w14:solidFill>
              <w14:schemeClr w14:val="tx1"/>
            </w14:solidFill>
          </w14:textFill>
        </w:rPr>
        <w:t>的责任感，充分认识教师</w:t>
      </w:r>
      <w:r>
        <w:rPr>
          <w:rFonts w:ascii="宋体" w:hAnsi="宋体" w:eastAsia="宋体" w:cs="Times New Roman"/>
          <w:color w:val="000000" w:themeColor="text1"/>
          <w:sz w:val="24"/>
          <w:szCs w:val="24"/>
          <w14:textFill>
            <w14:solidFill>
              <w14:schemeClr w14:val="tx1"/>
            </w14:solidFill>
          </w14:textFill>
        </w:rPr>
        <w:t>工作</w:t>
      </w:r>
      <w:r>
        <w:rPr>
          <w:rFonts w:hint="eastAsia" w:ascii="宋体" w:hAnsi="宋体" w:eastAsia="宋体" w:cs="Times New Roman"/>
          <w:color w:val="000000" w:themeColor="text1"/>
          <w:sz w:val="24"/>
          <w:szCs w:val="24"/>
          <w14:textFill>
            <w14:solidFill>
              <w14:schemeClr w14:val="tx1"/>
            </w14:solidFill>
          </w14:textFill>
        </w:rPr>
        <w:t>内容的</w:t>
      </w:r>
      <w:r>
        <w:rPr>
          <w:rFonts w:ascii="宋体" w:hAnsi="宋体" w:eastAsia="宋体" w:cs="Times New Roman"/>
          <w:color w:val="000000" w:themeColor="text1"/>
          <w:sz w:val="24"/>
          <w:szCs w:val="24"/>
          <w14:textFill>
            <w14:solidFill>
              <w14:schemeClr w14:val="tx1"/>
            </w14:solidFill>
          </w14:textFill>
        </w:rPr>
        <w:t>复杂性</w:t>
      </w:r>
      <w:r>
        <w:rPr>
          <w:rFonts w:hint="eastAsia" w:ascii="宋体" w:hAnsi="宋体" w:eastAsia="宋体" w:cs="Times New Roman"/>
          <w:color w:val="000000" w:themeColor="text1"/>
          <w:sz w:val="24"/>
          <w:szCs w:val="24"/>
          <w14:textFill>
            <w14:solidFill>
              <w14:schemeClr w14:val="tx1"/>
            </w14:solidFill>
          </w14:textFill>
        </w:rPr>
        <w:t>。</w:t>
      </w:r>
    </w:p>
    <w:p w14:paraId="2297F4FA">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通过课堂教学和班队工作见习，增进小学教学体验，积累课堂教学和班级管理的经验与方法，进一步了解小学生心理健康教育指导的要求，形成综合育人的意识。</w:t>
      </w:r>
    </w:p>
    <w:p w14:paraId="725CDA99">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通过听课、上课等环节，熟悉小学教育工作规律，将</w:t>
      </w:r>
      <w:r>
        <w:rPr>
          <w:rFonts w:ascii="宋体" w:hAnsi="宋体" w:eastAsia="宋体" w:cs="Times New Roman"/>
          <w:color w:val="000000" w:themeColor="text1"/>
          <w:sz w:val="24"/>
          <w:szCs w:val="24"/>
          <w14:textFill>
            <w14:solidFill>
              <w14:schemeClr w14:val="tx1"/>
            </w14:solidFill>
          </w14:textFill>
        </w:rPr>
        <w:t>专业学习与实践学习建立</w:t>
      </w:r>
      <w:r>
        <w:rPr>
          <w:rFonts w:hint="eastAsia" w:ascii="宋体" w:hAnsi="宋体" w:eastAsia="宋体" w:cs="Times New Roman"/>
          <w:color w:val="000000" w:themeColor="text1"/>
          <w:sz w:val="24"/>
          <w:szCs w:val="24"/>
          <w14:textFill>
            <w14:solidFill>
              <w14:schemeClr w14:val="tx1"/>
            </w14:solidFill>
          </w14:textFill>
        </w:rPr>
        <w:t>紧密</w:t>
      </w:r>
      <w:r>
        <w:rPr>
          <w:rFonts w:ascii="宋体" w:hAnsi="宋体" w:eastAsia="宋体" w:cs="Times New Roman"/>
          <w:color w:val="000000" w:themeColor="text1"/>
          <w:sz w:val="24"/>
          <w:szCs w:val="24"/>
          <w14:textFill>
            <w14:solidFill>
              <w14:schemeClr w14:val="tx1"/>
            </w14:solidFill>
          </w14:textFill>
        </w:rPr>
        <w:t>联系，</w:t>
      </w:r>
      <w:r>
        <w:rPr>
          <w:rFonts w:hint="eastAsia" w:ascii="宋体" w:hAnsi="宋体" w:eastAsia="宋体" w:cs="Times New Roman"/>
          <w:color w:val="000000" w:themeColor="text1"/>
          <w:sz w:val="24"/>
          <w:szCs w:val="24"/>
          <w14:textFill>
            <w14:solidFill>
              <w14:schemeClr w14:val="tx1"/>
            </w14:solidFill>
          </w14:textFill>
        </w:rPr>
        <w:t>初步形成独立编写</w:t>
      </w:r>
      <w:r>
        <w:rPr>
          <w:rFonts w:ascii="宋体" w:hAnsi="宋体" w:eastAsia="宋体" w:cs="Times New Roman"/>
          <w:color w:val="000000" w:themeColor="text1"/>
          <w:sz w:val="24"/>
          <w:szCs w:val="24"/>
          <w14:textFill>
            <w14:solidFill>
              <w14:schemeClr w14:val="tx1"/>
            </w14:solidFill>
          </w14:textFill>
        </w:rPr>
        <w:t>教案</w:t>
      </w:r>
      <w:r>
        <w:rPr>
          <w:rFonts w:hint="eastAsia" w:ascii="宋体" w:hAnsi="宋体" w:eastAsia="宋体" w:cs="Times New Roman"/>
          <w:color w:val="000000" w:themeColor="text1"/>
          <w:sz w:val="24"/>
          <w:szCs w:val="24"/>
          <w14:textFill>
            <w14:solidFill>
              <w14:schemeClr w14:val="tx1"/>
            </w14:solidFill>
          </w14:textFill>
        </w:rPr>
        <w:t>和开展教学的能力，主动进行</w:t>
      </w:r>
      <w:r>
        <w:rPr>
          <w:rFonts w:ascii="宋体" w:hAnsi="宋体" w:eastAsia="宋体" w:cs="Times New Roman"/>
          <w:color w:val="000000" w:themeColor="text1"/>
          <w:sz w:val="24"/>
          <w:szCs w:val="24"/>
          <w14:textFill>
            <w14:solidFill>
              <w14:schemeClr w14:val="tx1"/>
            </w14:solidFill>
          </w14:textFill>
        </w:rPr>
        <w:t>教学反思</w:t>
      </w:r>
      <w:r>
        <w:rPr>
          <w:rFonts w:hint="eastAsia" w:ascii="宋体" w:hAnsi="宋体" w:eastAsia="宋体" w:cs="Times New Roman"/>
          <w:color w:val="000000" w:themeColor="text1"/>
          <w:sz w:val="24"/>
          <w:szCs w:val="24"/>
          <w14:textFill>
            <w14:solidFill>
              <w14:schemeClr w14:val="tx1"/>
            </w14:solidFill>
          </w14:textFill>
        </w:rPr>
        <w:t>，巩固已学的知识与能力。</w:t>
      </w:r>
    </w:p>
    <w:p w14:paraId="68FDD679">
      <w:pPr>
        <w:spacing w:line="360" w:lineRule="auto"/>
        <w:ind w:firstLine="480" w:firstLineChars="200"/>
        <w:jc w:val="left"/>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4.</w:t>
      </w:r>
      <w:r>
        <w:rPr>
          <w:rFonts w:hint="eastAsia" w:ascii="宋体" w:hAnsi="宋体" w:eastAsia="宋体" w:cs="Times New Roman"/>
          <w:color w:val="000000" w:themeColor="text1"/>
          <w:sz w:val="24"/>
          <w:szCs w:val="24"/>
          <w14:textFill>
            <w14:solidFill>
              <w14:schemeClr w14:val="tx1"/>
            </w14:solidFill>
          </w14:textFill>
        </w:rPr>
        <w:t>通过分组见习，学会与不同的交往对象和谐相处，了解课外活动组织和管理的知识，学会与其他教师、学生、家长沟通的方法，发展沟通合作意识。</w:t>
      </w:r>
    </w:p>
    <w:p w14:paraId="23A6B1DD">
      <w:pPr>
        <w:spacing w:line="360" w:lineRule="auto"/>
        <w:ind w:firstLine="482" w:firstLineChars="200"/>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7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2"/>
        <w:gridCol w:w="1450"/>
        <w:gridCol w:w="7111"/>
      </w:tblGrid>
      <w:tr w14:paraId="7FF298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3" w:hRule="atLeast"/>
          <w:tblHeader/>
          <w:jc w:val="center"/>
        </w:trPr>
        <w:tc>
          <w:tcPr>
            <w:tcW w:w="660" w:type="pct"/>
            <w:tcBorders>
              <w:top w:val="single" w:color="000000" w:sz="8" w:space="0"/>
            </w:tcBorders>
            <w:vAlign w:val="center"/>
          </w:tcPr>
          <w:p w14:paraId="462B1A33">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735" w:type="pct"/>
            <w:tcBorders>
              <w:top w:val="single" w:color="000000" w:sz="8" w:space="0"/>
            </w:tcBorders>
            <w:vAlign w:val="center"/>
          </w:tcPr>
          <w:p w14:paraId="2835DFF1">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605" w:type="pct"/>
            <w:tcBorders>
              <w:top w:val="single" w:color="000000" w:sz="8" w:space="0"/>
              <w:right w:val="single" w:color="000000" w:sz="8" w:space="0"/>
            </w:tcBorders>
            <w:vAlign w:val="center"/>
          </w:tcPr>
          <w:p w14:paraId="13D553AE">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7D136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60" w:type="pct"/>
            <w:vMerge w:val="restart"/>
            <w:vAlign w:val="center"/>
          </w:tcPr>
          <w:p w14:paraId="385E40AF">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735" w:type="pct"/>
            <w:vMerge w:val="restart"/>
            <w:vAlign w:val="center"/>
          </w:tcPr>
          <w:p w14:paraId="66E10C64">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p>
          <w:p w14:paraId="6EF9BBF9">
            <w:pPr>
              <w:rPr>
                <w:rFonts w:ascii="宋体" w:hAnsi="宋体" w:eastAsia="宋体" w:cs="Times New Roman"/>
                <w:color w:val="000000"/>
                <w:kern w:val="0"/>
                <w:szCs w:val="21"/>
              </w:rPr>
            </w:pPr>
            <w:r>
              <w:rPr>
                <w:rFonts w:hint="eastAsia" w:ascii="宋体" w:hAnsi="宋体" w:eastAsia="宋体" w:cs="Times New Roman"/>
                <w:color w:val="000000"/>
                <w:kern w:val="0"/>
                <w:szCs w:val="21"/>
              </w:rPr>
              <w:t>师德规范</w:t>
            </w:r>
          </w:p>
        </w:tc>
        <w:tc>
          <w:tcPr>
            <w:tcW w:w="3605" w:type="pct"/>
            <w:tcBorders>
              <w:right w:val="single" w:color="000000" w:sz="8" w:space="0"/>
            </w:tcBorders>
            <w:vAlign w:val="center"/>
          </w:tcPr>
          <w:p w14:paraId="61829540">
            <w:pPr>
              <w:jc w:val="left"/>
              <w:rPr>
                <w:rFonts w:ascii="宋体" w:hAnsi="宋体" w:eastAsia="宋体" w:cs="Times New Roman"/>
                <w:color w:val="000000"/>
                <w:szCs w:val="21"/>
              </w:rPr>
            </w:pPr>
            <w:r>
              <w:rPr>
                <w:rFonts w:ascii="宋体" w:hAnsi="宋体" w:eastAsia="宋体"/>
                <w:szCs w:val="21"/>
              </w:rPr>
              <w:t>1-1：</w:t>
            </w:r>
            <w:r>
              <w:rPr>
                <w:rFonts w:hint="eastAsia" w:ascii="宋体" w:hAnsi="宋体" w:eastAsia="宋体"/>
                <w:szCs w:val="21"/>
              </w:rPr>
              <w:t>【理想信念坚定】</w:t>
            </w:r>
            <w:r>
              <w:rPr>
                <w:rFonts w:hint="eastAsia" w:ascii="宋体" w:hAnsi="宋体" w:eastAsia="宋体"/>
                <w:szCs w:val="23"/>
              </w:rPr>
              <w:t>认同中国特色社会主义，贯彻党的教育方针，自觉践行社会主义核心价值观，树立职业理想，立志成为有理想信念、有道德情操、有扎实学识、有仁爱之心的好教师。</w:t>
            </w:r>
          </w:p>
        </w:tc>
      </w:tr>
      <w:tr w14:paraId="1A62C0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60" w:type="pct"/>
            <w:vMerge w:val="continue"/>
            <w:vAlign w:val="center"/>
          </w:tcPr>
          <w:p w14:paraId="61BC22A5">
            <w:pPr>
              <w:jc w:val="center"/>
              <w:rPr>
                <w:rFonts w:ascii="宋体" w:hAnsi="宋体" w:eastAsia="宋体" w:cs="Times New Roman"/>
                <w:color w:val="000000"/>
                <w:szCs w:val="21"/>
              </w:rPr>
            </w:pPr>
          </w:p>
        </w:tc>
        <w:tc>
          <w:tcPr>
            <w:tcW w:w="735" w:type="pct"/>
            <w:vMerge w:val="continue"/>
            <w:vAlign w:val="center"/>
          </w:tcPr>
          <w:p w14:paraId="39C1692A">
            <w:pPr>
              <w:rPr>
                <w:rFonts w:ascii="宋体" w:hAnsi="宋体" w:eastAsia="宋体" w:cs="Times New Roman"/>
                <w:color w:val="000000"/>
                <w:kern w:val="0"/>
                <w:szCs w:val="21"/>
              </w:rPr>
            </w:pPr>
          </w:p>
        </w:tc>
        <w:tc>
          <w:tcPr>
            <w:tcW w:w="3605" w:type="pct"/>
            <w:tcBorders>
              <w:right w:val="single" w:color="000000" w:sz="8" w:space="0"/>
            </w:tcBorders>
            <w:vAlign w:val="center"/>
          </w:tcPr>
          <w:p w14:paraId="74BCEB57">
            <w:pPr>
              <w:jc w:val="left"/>
              <w:rPr>
                <w:rFonts w:ascii="宋体" w:hAnsi="宋体" w:eastAsia="宋体" w:cs="Times New Roman"/>
                <w:color w:val="000000"/>
                <w:kern w:val="0"/>
                <w:szCs w:val="21"/>
              </w:rPr>
            </w:pPr>
            <w:r>
              <w:rPr>
                <w:rFonts w:ascii="宋体" w:hAnsi="宋体" w:eastAsia="宋体"/>
                <w:szCs w:val="21"/>
              </w:rPr>
              <w:t>1-2：</w:t>
            </w:r>
            <w:r>
              <w:rPr>
                <w:rFonts w:hint="eastAsia" w:ascii="宋体" w:hAnsi="宋体" w:eastAsia="宋体"/>
                <w:szCs w:val="21"/>
              </w:rPr>
              <w:t>【职业修养良好】</w:t>
            </w:r>
            <w:r>
              <w:rPr>
                <w:rFonts w:hint="eastAsia" w:ascii="宋体" w:hAnsi="宋体" w:eastAsia="宋体"/>
                <w:szCs w:val="23"/>
              </w:rPr>
              <w:t>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2C314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660" w:type="pct"/>
            <w:vMerge w:val="continue"/>
            <w:vAlign w:val="center"/>
          </w:tcPr>
          <w:p w14:paraId="3E65250B">
            <w:pPr>
              <w:widowControl/>
              <w:jc w:val="center"/>
              <w:rPr>
                <w:rFonts w:ascii="宋体" w:hAnsi="宋体" w:eastAsia="宋体" w:cs="Times New Roman"/>
                <w:color w:val="000000"/>
                <w:szCs w:val="21"/>
              </w:rPr>
            </w:pPr>
          </w:p>
        </w:tc>
        <w:tc>
          <w:tcPr>
            <w:tcW w:w="735" w:type="pct"/>
            <w:vMerge w:val="restart"/>
            <w:vAlign w:val="center"/>
          </w:tcPr>
          <w:p w14:paraId="22A44CB4">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p>
          <w:p w14:paraId="45A0BB89">
            <w:pPr>
              <w:rPr>
                <w:rFonts w:ascii="宋体" w:hAnsi="宋体" w:eastAsia="宋体" w:cs="Times New Roman"/>
                <w:color w:val="000000"/>
                <w:kern w:val="0"/>
                <w:szCs w:val="21"/>
              </w:rPr>
            </w:pPr>
            <w:r>
              <w:rPr>
                <w:rFonts w:hint="eastAsia" w:ascii="宋体" w:hAnsi="宋体" w:eastAsia="宋体" w:cs="Times New Roman"/>
                <w:color w:val="000000"/>
                <w:kern w:val="0"/>
                <w:szCs w:val="21"/>
              </w:rPr>
              <w:t>教育情怀</w:t>
            </w:r>
          </w:p>
        </w:tc>
        <w:tc>
          <w:tcPr>
            <w:tcW w:w="3605" w:type="pct"/>
            <w:tcBorders>
              <w:right w:val="single" w:color="000000" w:sz="8" w:space="0"/>
            </w:tcBorders>
            <w:vAlign w:val="center"/>
          </w:tcPr>
          <w:p w14:paraId="76247667">
            <w:pPr>
              <w:widowControl/>
              <w:jc w:val="left"/>
              <w:rPr>
                <w:rFonts w:ascii="宋体" w:hAnsi="宋体" w:eastAsia="宋体" w:cs="Times New Roman"/>
                <w:color w:val="000000"/>
                <w:kern w:val="0"/>
                <w:szCs w:val="21"/>
              </w:rPr>
            </w:pPr>
            <w:r>
              <w:rPr>
                <w:rFonts w:ascii="宋体" w:hAnsi="宋体" w:eastAsia="宋体"/>
                <w:szCs w:val="21"/>
              </w:rPr>
              <w:t>2-1：</w:t>
            </w:r>
            <w:r>
              <w:rPr>
                <w:rFonts w:hint="eastAsia" w:ascii="宋体" w:hAnsi="宋体" w:eastAsia="宋体"/>
                <w:szCs w:val="21"/>
              </w:rPr>
              <w:t>【职业认同感强】</w:t>
            </w:r>
            <w:r>
              <w:rPr>
                <w:rFonts w:hint="eastAsia" w:ascii="宋体" w:hAnsi="宋体" w:eastAsia="宋体"/>
                <w:szCs w:val="23"/>
              </w:rPr>
              <w:t>具有家国情怀，乐于从教，热爱教育事业，</w:t>
            </w:r>
            <w:r>
              <w:rPr>
                <w:rFonts w:ascii="宋体" w:hAnsi="宋体" w:eastAsia="宋体"/>
                <w:szCs w:val="23"/>
              </w:rPr>
              <w:t>具有较高的教师职业认同感，认同教师职业的专业性与意义性</w:t>
            </w:r>
            <w:r>
              <w:rPr>
                <w:rFonts w:hint="eastAsia" w:ascii="宋体" w:hAnsi="宋体" w:eastAsia="宋体"/>
                <w:szCs w:val="23"/>
              </w:rPr>
              <w:t>。</w:t>
            </w:r>
          </w:p>
        </w:tc>
      </w:tr>
      <w:tr w14:paraId="27C3EC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660" w:type="pct"/>
            <w:vMerge w:val="continue"/>
            <w:vAlign w:val="center"/>
          </w:tcPr>
          <w:p w14:paraId="2385ABF3">
            <w:pPr>
              <w:widowControl/>
              <w:jc w:val="center"/>
              <w:rPr>
                <w:rFonts w:ascii="宋体" w:hAnsi="宋体" w:eastAsia="宋体" w:cs="Times New Roman"/>
                <w:color w:val="000000"/>
                <w:szCs w:val="21"/>
              </w:rPr>
            </w:pPr>
          </w:p>
        </w:tc>
        <w:tc>
          <w:tcPr>
            <w:tcW w:w="735" w:type="pct"/>
            <w:vMerge w:val="continue"/>
            <w:vAlign w:val="center"/>
          </w:tcPr>
          <w:p w14:paraId="45988C56">
            <w:pPr>
              <w:rPr>
                <w:rFonts w:ascii="宋体" w:hAnsi="宋体" w:eastAsia="宋体" w:cs="Times New Roman"/>
                <w:color w:val="000000"/>
                <w:kern w:val="0"/>
                <w:szCs w:val="21"/>
              </w:rPr>
            </w:pPr>
          </w:p>
        </w:tc>
        <w:tc>
          <w:tcPr>
            <w:tcW w:w="3605" w:type="pct"/>
            <w:tcBorders>
              <w:right w:val="single" w:color="000000" w:sz="8" w:space="0"/>
            </w:tcBorders>
            <w:vAlign w:val="center"/>
          </w:tcPr>
          <w:p w14:paraId="7AB89D7F">
            <w:pPr>
              <w:widowControl/>
              <w:jc w:val="left"/>
              <w:rPr>
                <w:rFonts w:ascii="宋体" w:hAnsi="宋体" w:eastAsia="宋体" w:cs="Times New Roman"/>
                <w:color w:val="000000"/>
                <w:kern w:val="0"/>
                <w:szCs w:val="21"/>
              </w:rPr>
            </w:pPr>
            <w:r>
              <w:rPr>
                <w:rFonts w:ascii="宋体" w:hAnsi="宋体" w:eastAsia="宋体"/>
                <w:szCs w:val="21"/>
              </w:rPr>
              <w:t>2-2：</w:t>
            </w:r>
            <w:r>
              <w:rPr>
                <w:rFonts w:hint="eastAsia" w:ascii="宋体" w:hAnsi="宋体" w:eastAsia="宋体"/>
                <w:szCs w:val="21"/>
              </w:rPr>
              <w:t>【教育情意深厚】</w:t>
            </w:r>
            <w:r>
              <w:rPr>
                <w:rFonts w:hint="eastAsia" w:ascii="宋体" w:hAnsi="宋体" w:eastAsia="宋体"/>
                <w:szCs w:val="23"/>
              </w:rPr>
              <w:t>关爱学生，用心从教。</w:t>
            </w:r>
            <w:r>
              <w:rPr>
                <w:rFonts w:ascii="宋体" w:hAnsi="宋体" w:eastAsia="宋体"/>
                <w:szCs w:val="23"/>
              </w:rPr>
              <w:t>具有正确的儿童观，理解、尊重、关爱、保护学生，以儿童发展为教育的中心。</w:t>
            </w:r>
            <w:r>
              <w:rPr>
                <w:rFonts w:hint="eastAsia" w:ascii="宋体" w:hAnsi="宋体" w:eastAsia="宋体"/>
                <w:szCs w:val="23"/>
              </w:rPr>
              <w:t>爱岗敬业，在教育实践中能认真履行教育教学职责与班主任工作职责，富有爱心、责任心、工作细心、耐心。</w:t>
            </w:r>
          </w:p>
        </w:tc>
      </w:tr>
      <w:tr w14:paraId="5A6BD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60" w:type="pct"/>
            <w:vMerge w:val="continue"/>
            <w:vAlign w:val="center"/>
          </w:tcPr>
          <w:p w14:paraId="065EE59F">
            <w:pPr>
              <w:widowControl/>
              <w:jc w:val="center"/>
              <w:rPr>
                <w:rFonts w:ascii="宋体" w:hAnsi="宋体" w:eastAsia="宋体" w:cs="Times New Roman"/>
                <w:color w:val="000000"/>
                <w:szCs w:val="21"/>
              </w:rPr>
            </w:pPr>
          </w:p>
        </w:tc>
        <w:tc>
          <w:tcPr>
            <w:tcW w:w="735" w:type="pct"/>
            <w:vMerge w:val="continue"/>
            <w:vAlign w:val="center"/>
          </w:tcPr>
          <w:p w14:paraId="3C7A0CAC">
            <w:pPr>
              <w:rPr>
                <w:rFonts w:ascii="宋体" w:hAnsi="宋体" w:eastAsia="宋体" w:cs="Times New Roman"/>
                <w:color w:val="000000"/>
                <w:kern w:val="0"/>
                <w:szCs w:val="21"/>
              </w:rPr>
            </w:pPr>
          </w:p>
        </w:tc>
        <w:tc>
          <w:tcPr>
            <w:tcW w:w="3605" w:type="pct"/>
            <w:tcBorders>
              <w:right w:val="single" w:color="000000" w:sz="8" w:space="0"/>
            </w:tcBorders>
            <w:vAlign w:val="center"/>
          </w:tcPr>
          <w:p w14:paraId="1E94121C">
            <w:pPr>
              <w:widowControl/>
              <w:jc w:val="left"/>
              <w:rPr>
                <w:rFonts w:ascii="宋体" w:hAnsi="宋体" w:eastAsia="宋体" w:cs="Times New Roman"/>
                <w:color w:val="000000"/>
                <w:szCs w:val="21"/>
              </w:rPr>
            </w:pPr>
            <w:r>
              <w:rPr>
                <w:rFonts w:ascii="宋体" w:hAnsi="宋体" w:eastAsia="宋体"/>
                <w:szCs w:val="21"/>
              </w:rPr>
              <w:t>2-3：</w:t>
            </w:r>
            <w:r>
              <w:rPr>
                <w:rFonts w:hint="eastAsia" w:ascii="宋体" w:hAnsi="宋体" w:eastAsia="宋体"/>
                <w:szCs w:val="21"/>
              </w:rPr>
              <w:t>【自身修养良好】具有较好的人文底蕴与科学精神，人格健全，心理健康，情感丰富，为人师表。</w:t>
            </w:r>
          </w:p>
        </w:tc>
      </w:tr>
      <w:tr w14:paraId="4CA46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45" w:hRule="atLeast"/>
          <w:jc w:val="center"/>
        </w:trPr>
        <w:tc>
          <w:tcPr>
            <w:tcW w:w="660" w:type="pct"/>
            <w:vMerge w:val="restart"/>
            <w:vAlign w:val="center"/>
          </w:tcPr>
          <w:p w14:paraId="6CF15750">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735" w:type="pct"/>
            <w:vAlign w:val="center"/>
          </w:tcPr>
          <w:p w14:paraId="1EE812BF">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p>
          <w:p w14:paraId="06AE14A7">
            <w:pPr>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5" w:type="pct"/>
            <w:tcBorders>
              <w:right w:val="single" w:color="000000" w:sz="8" w:space="0"/>
            </w:tcBorders>
            <w:vAlign w:val="center"/>
          </w:tcPr>
          <w:p w14:paraId="4AF41C58">
            <w:pPr>
              <w:jc w:val="left"/>
              <w:rPr>
                <w:rFonts w:ascii="宋体" w:hAnsi="宋体" w:eastAsia="宋体" w:cs="Times New Roman"/>
                <w:color w:val="000000"/>
                <w:kern w:val="0"/>
                <w:szCs w:val="21"/>
              </w:rPr>
            </w:pPr>
            <w:r>
              <w:rPr>
                <w:rFonts w:ascii="宋体" w:hAnsi="宋体" w:eastAsia="宋体"/>
                <w:szCs w:val="21"/>
              </w:rPr>
              <w:t>3-4：</w:t>
            </w:r>
            <w:r>
              <w:rPr>
                <w:rFonts w:hint="eastAsia" w:ascii="宋体" w:hAnsi="宋体" w:eastAsia="宋体"/>
                <w:szCs w:val="21"/>
              </w:rPr>
              <w:t>【注重知识整合】</w:t>
            </w:r>
            <w:r>
              <w:rPr>
                <w:rFonts w:hint="eastAsia" w:ascii="宋体" w:hAnsi="宋体" w:eastAsia="宋体"/>
                <w:szCs w:val="23"/>
              </w:rPr>
              <w:t>了解所教学科与其他学科及与社会实践、小学生生活实践之间的联系，了解学科整合的在小学教育中的价值，具有跨学科解决问题的意识和能力，能指导综合性学科教学活动。</w:t>
            </w:r>
          </w:p>
        </w:tc>
      </w:tr>
      <w:tr w14:paraId="60339C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60" w:type="pct"/>
            <w:vMerge w:val="continue"/>
            <w:vAlign w:val="center"/>
          </w:tcPr>
          <w:p w14:paraId="713DACF6">
            <w:pPr>
              <w:jc w:val="center"/>
              <w:rPr>
                <w:rFonts w:ascii="宋体" w:hAnsi="宋体" w:eastAsia="宋体" w:cs="Times New Roman"/>
                <w:color w:val="000000"/>
                <w:kern w:val="0"/>
                <w:szCs w:val="21"/>
              </w:rPr>
            </w:pPr>
          </w:p>
        </w:tc>
        <w:tc>
          <w:tcPr>
            <w:tcW w:w="735" w:type="pct"/>
            <w:vMerge w:val="restart"/>
            <w:vAlign w:val="center"/>
          </w:tcPr>
          <w:p w14:paraId="58417308">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 4</w:t>
            </w:r>
            <w:r>
              <w:rPr>
                <w:rFonts w:ascii="宋体" w:hAnsi="宋体" w:eastAsia="宋体" w:cs="Times New Roman"/>
                <w:color w:val="000000"/>
                <w:kern w:val="0"/>
                <w:szCs w:val="21"/>
              </w:rPr>
              <w:t>.</w:t>
            </w:r>
          </w:p>
          <w:p w14:paraId="16C98A65">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5" w:type="pct"/>
            <w:tcBorders>
              <w:right w:val="single" w:color="000000" w:sz="8" w:space="0"/>
            </w:tcBorders>
            <w:vAlign w:val="center"/>
          </w:tcPr>
          <w:p w14:paraId="13759388">
            <w:pPr>
              <w:jc w:val="left"/>
              <w:rPr>
                <w:rFonts w:ascii="宋体" w:hAnsi="宋体" w:eastAsia="宋体" w:cs="Times New Roman"/>
                <w:color w:val="000000"/>
                <w:kern w:val="0"/>
                <w:szCs w:val="21"/>
              </w:rPr>
            </w:pPr>
            <w:r>
              <w:rPr>
                <w:rFonts w:ascii="宋体" w:hAnsi="宋体" w:eastAsia="宋体"/>
                <w:szCs w:val="21"/>
              </w:rPr>
              <w:t>4-1：</w:t>
            </w:r>
            <w:r>
              <w:rPr>
                <w:rFonts w:hint="eastAsia" w:ascii="宋体" w:hAnsi="宋体" w:eastAsia="宋体"/>
                <w:szCs w:val="21"/>
              </w:rPr>
              <w:t>【领会课程标准】掌握教与学的知识，熟悉所教学科课程标准和教材、教学内容，具有一定的教材解读能力，具有依据课标进行教学的意识和习惯。</w:t>
            </w:r>
          </w:p>
        </w:tc>
      </w:tr>
      <w:tr w14:paraId="56E27F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5" w:hRule="atLeast"/>
          <w:jc w:val="center"/>
        </w:trPr>
        <w:tc>
          <w:tcPr>
            <w:tcW w:w="660" w:type="pct"/>
            <w:vMerge w:val="continue"/>
            <w:vAlign w:val="center"/>
          </w:tcPr>
          <w:p w14:paraId="32A0F19F">
            <w:pPr>
              <w:jc w:val="center"/>
              <w:rPr>
                <w:rFonts w:ascii="宋体" w:hAnsi="宋体" w:eastAsia="宋体" w:cs="Times New Roman"/>
                <w:color w:val="000000"/>
                <w:szCs w:val="21"/>
              </w:rPr>
            </w:pPr>
          </w:p>
        </w:tc>
        <w:tc>
          <w:tcPr>
            <w:tcW w:w="735" w:type="pct"/>
            <w:vMerge w:val="continue"/>
            <w:vAlign w:val="center"/>
          </w:tcPr>
          <w:p w14:paraId="24F9A732">
            <w:pPr>
              <w:widowControl/>
              <w:rPr>
                <w:rFonts w:ascii="宋体" w:hAnsi="宋体" w:eastAsia="宋体" w:cs="Times New Roman"/>
                <w:color w:val="000000"/>
                <w:kern w:val="0"/>
                <w:szCs w:val="21"/>
              </w:rPr>
            </w:pPr>
          </w:p>
        </w:tc>
        <w:tc>
          <w:tcPr>
            <w:tcW w:w="3605" w:type="pct"/>
            <w:tcBorders>
              <w:bottom w:val="single" w:color="auto" w:sz="4" w:space="0"/>
              <w:right w:val="single" w:color="000000" w:sz="8" w:space="0"/>
            </w:tcBorders>
            <w:vAlign w:val="center"/>
          </w:tcPr>
          <w:p w14:paraId="4753B997">
            <w:pPr>
              <w:jc w:val="left"/>
              <w:rPr>
                <w:rFonts w:ascii="宋体" w:hAnsi="宋体" w:eastAsia="宋体" w:cs="Times New Roman"/>
                <w:color w:val="000000"/>
                <w:kern w:val="0"/>
                <w:szCs w:val="21"/>
              </w:rPr>
            </w:pPr>
            <w:r>
              <w:rPr>
                <w:rFonts w:ascii="宋体" w:hAnsi="宋体" w:eastAsia="宋体"/>
                <w:szCs w:val="21"/>
              </w:rPr>
              <w:t>4-2：</w:t>
            </w:r>
            <w:r>
              <w:rPr>
                <w:rFonts w:hint="eastAsia" w:ascii="宋体" w:hAnsi="宋体" w:eastAsia="宋体"/>
                <w:szCs w:val="21"/>
              </w:rPr>
              <w:t>【教学技能突出】获得全面的小学教学体验，掌握学科教学的基本方法与策略，能独立进行教学设计、实施和评价。</w:t>
            </w:r>
          </w:p>
        </w:tc>
      </w:tr>
      <w:tr w14:paraId="6F1F86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660" w:type="pct"/>
            <w:vMerge w:val="continue"/>
            <w:vAlign w:val="center"/>
          </w:tcPr>
          <w:p w14:paraId="64277102">
            <w:pPr>
              <w:jc w:val="center"/>
              <w:rPr>
                <w:rFonts w:ascii="宋体" w:hAnsi="宋体" w:eastAsia="宋体" w:cs="Times New Roman"/>
                <w:color w:val="000000"/>
                <w:szCs w:val="21"/>
              </w:rPr>
            </w:pPr>
          </w:p>
        </w:tc>
        <w:tc>
          <w:tcPr>
            <w:tcW w:w="735" w:type="pct"/>
            <w:vMerge w:val="continue"/>
            <w:vAlign w:val="center"/>
          </w:tcPr>
          <w:p w14:paraId="58936D33">
            <w:pPr>
              <w:widowControl/>
              <w:rPr>
                <w:rFonts w:ascii="宋体" w:hAnsi="宋体" w:eastAsia="宋体" w:cs="Times New Roman"/>
                <w:color w:val="000000"/>
                <w:kern w:val="0"/>
                <w:szCs w:val="21"/>
              </w:rPr>
            </w:pPr>
          </w:p>
        </w:tc>
        <w:tc>
          <w:tcPr>
            <w:tcW w:w="3605" w:type="pct"/>
            <w:tcBorders>
              <w:bottom w:val="single" w:color="auto" w:sz="4" w:space="0"/>
              <w:right w:val="single" w:color="000000" w:sz="8" w:space="0"/>
            </w:tcBorders>
            <w:vAlign w:val="center"/>
          </w:tcPr>
          <w:p w14:paraId="1A238B20">
            <w:pPr>
              <w:jc w:val="left"/>
              <w:rPr>
                <w:rFonts w:ascii="宋体" w:hAnsi="宋体" w:eastAsia="宋体" w:cs="Times New Roman"/>
                <w:color w:val="000000"/>
                <w:szCs w:val="21"/>
              </w:rPr>
            </w:pPr>
            <w:r>
              <w:rPr>
                <w:rFonts w:ascii="宋体" w:hAnsi="宋体" w:eastAsia="宋体"/>
                <w:szCs w:val="21"/>
              </w:rPr>
              <w:t>4-3：</w:t>
            </w:r>
            <w:r>
              <w:rPr>
                <w:rFonts w:hint="eastAsia" w:ascii="宋体" w:hAnsi="宋体" w:eastAsia="宋体"/>
                <w:szCs w:val="21"/>
              </w:rPr>
              <w:t>【教师基本功扎实】</w:t>
            </w:r>
            <w:r>
              <w:rPr>
                <w:rFonts w:ascii="宋体" w:hAnsi="宋体" w:eastAsia="宋体"/>
                <w:szCs w:val="21"/>
              </w:rPr>
              <w:t>掌握小学教师基本功技能，包括书写技能、沟通与表达技能、信息技术运用技能等。</w:t>
            </w:r>
          </w:p>
        </w:tc>
      </w:tr>
      <w:tr w14:paraId="04FF3F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660" w:type="pct"/>
            <w:vMerge w:val="continue"/>
            <w:vAlign w:val="center"/>
          </w:tcPr>
          <w:p w14:paraId="10615770">
            <w:pPr>
              <w:jc w:val="center"/>
              <w:rPr>
                <w:rFonts w:ascii="宋体" w:hAnsi="宋体" w:eastAsia="宋体" w:cs="Times New Roman"/>
                <w:color w:val="000000"/>
                <w:szCs w:val="21"/>
              </w:rPr>
            </w:pPr>
          </w:p>
        </w:tc>
        <w:tc>
          <w:tcPr>
            <w:tcW w:w="735" w:type="pct"/>
            <w:vMerge w:val="continue"/>
            <w:vAlign w:val="center"/>
          </w:tcPr>
          <w:p w14:paraId="0B38C851">
            <w:pPr>
              <w:widowControl/>
              <w:rPr>
                <w:rFonts w:ascii="宋体" w:hAnsi="宋体" w:eastAsia="宋体" w:cs="Times New Roman"/>
                <w:color w:val="000000"/>
                <w:kern w:val="0"/>
                <w:szCs w:val="21"/>
              </w:rPr>
            </w:pPr>
          </w:p>
        </w:tc>
        <w:tc>
          <w:tcPr>
            <w:tcW w:w="3605" w:type="pct"/>
            <w:tcBorders>
              <w:top w:val="single" w:color="auto" w:sz="4" w:space="0"/>
              <w:right w:val="single" w:color="000000" w:sz="8" w:space="0"/>
            </w:tcBorders>
            <w:vAlign w:val="center"/>
          </w:tcPr>
          <w:p w14:paraId="40606411">
            <w:pPr>
              <w:jc w:val="left"/>
              <w:rPr>
                <w:rFonts w:ascii="宋体" w:hAnsi="宋体" w:eastAsia="宋体" w:cs="Times New Roman"/>
                <w:color w:val="000000"/>
                <w:kern w:val="0"/>
                <w:szCs w:val="21"/>
              </w:rPr>
            </w:pPr>
            <w:r>
              <w:rPr>
                <w:rFonts w:ascii="宋体" w:hAnsi="宋体" w:eastAsia="宋体"/>
                <w:szCs w:val="21"/>
              </w:rPr>
              <w:t>4-4：</w:t>
            </w:r>
            <w:r>
              <w:rPr>
                <w:rFonts w:hint="eastAsia" w:ascii="宋体" w:hAnsi="宋体" w:eastAsia="宋体"/>
                <w:szCs w:val="21"/>
              </w:rPr>
              <w:t>【教学研究能力好】</w:t>
            </w:r>
            <w:r>
              <w:rPr>
                <w:rFonts w:ascii="宋体" w:hAnsi="宋体" w:eastAsia="宋体"/>
                <w:szCs w:val="21"/>
              </w:rPr>
              <w:t>掌握教育研究的基本方法，结合小学教育教学实践进行研究，具有一定的教学研究能力。</w:t>
            </w:r>
          </w:p>
        </w:tc>
      </w:tr>
      <w:tr w14:paraId="6EE80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660" w:type="pct"/>
            <w:vMerge w:val="continue"/>
            <w:vAlign w:val="center"/>
          </w:tcPr>
          <w:p w14:paraId="6D494518">
            <w:pPr>
              <w:jc w:val="center"/>
              <w:rPr>
                <w:rFonts w:ascii="宋体" w:hAnsi="宋体" w:eastAsia="宋体" w:cs="Times New Roman"/>
                <w:color w:val="000000"/>
                <w:szCs w:val="21"/>
              </w:rPr>
            </w:pPr>
          </w:p>
        </w:tc>
        <w:tc>
          <w:tcPr>
            <w:tcW w:w="735" w:type="pct"/>
            <w:vMerge w:val="restart"/>
            <w:tcBorders>
              <w:top w:val="single" w:color="auto" w:sz="4" w:space="0"/>
            </w:tcBorders>
            <w:vAlign w:val="center"/>
          </w:tcPr>
          <w:p w14:paraId="7CDDBD52">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p>
          <w:p w14:paraId="35A60E86">
            <w:pPr>
              <w:rPr>
                <w:rFonts w:ascii="宋体" w:hAnsi="宋体" w:eastAsia="宋体" w:cs="Times New Roman"/>
                <w:color w:val="000000"/>
                <w:kern w:val="0"/>
                <w:szCs w:val="21"/>
              </w:rPr>
            </w:pPr>
            <w:r>
              <w:rPr>
                <w:rFonts w:hint="eastAsia" w:ascii="宋体" w:hAnsi="宋体" w:eastAsia="宋体" w:cs="Times New Roman"/>
                <w:color w:val="000000"/>
                <w:kern w:val="0"/>
                <w:szCs w:val="21"/>
              </w:rPr>
              <w:t>班级管理</w:t>
            </w:r>
          </w:p>
        </w:tc>
        <w:tc>
          <w:tcPr>
            <w:tcW w:w="3605" w:type="pct"/>
            <w:tcBorders>
              <w:top w:val="single" w:color="auto" w:sz="4" w:space="0"/>
              <w:bottom w:val="single" w:color="auto" w:sz="4" w:space="0"/>
              <w:right w:val="single" w:color="000000" w:sz="8" w:space="0"/>
            </w:tcBorders>
            <w:vAlign w:val="center"/>
          </w:tcPr>
          <w:p w14:paraId="352DD7D8">
            <w:pPr>
              <w:jc w:val="left"/>
              <w:rPr>
                <w:rFonts w:ascii="宋体" w:hAnsi="宋体" w:eastAsia="宋体" w:cs="Times New Roman"/>
                <w:color w:val="000000"/>
                <w:kern w:val="0"/>
                <w:szCs w:val="21"/>
              </w:rPr>
            </w:pPr>
            <w:r>
              <w:rPr>
                <w:rFonts w:ascii="宋体" w:hAnsi="宋体" w:eastAsia="宋体"/>
                <w:szCs w:val="21"/>
              </w:rPr>
              <w:t>5-1：</w:t>
            </w:r>
            <w:r>
              <w:rPr>
                <w:rFonts w:hint="eastAsia" w:ascii="宋体" w:hAnsi="宋体" w:eastAsia="宋体"/>
                <w:szCs w:val="21"/>
              </w:rPr>
              <w:t>【擅长班队管理】获得小学班队组织与建设的体验。掌握小学班队组织与建设的工作规律和基本方法，具有班队建设和管理的基本能力。</w:t>
            </w:r>
          </w:p>
        </w:tc>
      </w:tr>
      <w:tr w14:paraId="14ECE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60" w:type="pct"/>
            <w:vMerge w:val="continue"/>
            <w:vAlign w:val="center"/>
          </w:tcPr>
          <w:p w14:paraId="5C5DB144">
            <w:pPr>
              <w:jc w:val="center"/>
              <w:rPr>
                <w:rFonts w:ascii="宋体" w:hAnsi="宋体" w:eastAsia="宋体" w:cs="Times New Roman"/>
                <w:color w:val="000000"/>
                <w:szCs w:val="21"/>
              </w:rPr>
            </w:pPr>
          </w:p>
        </w:tc>
        <w:tc>
          <w:tcPr>
            <w:tcW w:w="735" w:type="pct"/>
            <w:vMerge w:val="continue"/>
            <w:vAlign w:val="center"/>
          </w:tcPr>
          <w:p w14:paraId="341EA734">
            <w:pPr>
              <w:rPr>
                <w:rFonts w:ascii="宋体" w:hAnsi="宋体" w:eastAsia="宋体" w:cs="Times New Roman"/>
                <w:color w:val="000000"/>
                <w:kern w:val="0"/>
                <w:szCs w:val="21"/>
              </w:rPr>
            </w:pPr>
          </w:p>
        </w:tc>
        <w:tc>
          <w:tcPr>
            <w:tcW w:w="3605" w:type="pct"/>
            <w:tcBorders>
              <w:top w:val="single" w:color="auto" w:sz="4" w:space="0"/>
              <w:bottom w:val="single" w:color="auto" w:sz="4" w:space="0"/>
              <w:right w:val="single" w:color="000000" w:sz="8" w:space="0"/>
            </w:tcBorders>
            <w:vAlign w:val="center"/>
          </w:tcPr>
          <w:p w14:paraId="42CCE0D6">
            <w:pPr>
              <w:jc w:val="left"/>
              <w:rPr>
                <w:rFonts w:ascii="宋体" w:hAnsi="宋体" w:eastAsia="宋体" w:cs="Times New Roman"/>
                <w:color w:val="000000"/>
                <w:kern w:val="0"/>
                <w:szCs w:val="21"/>
              </w:rPr>
            </w:pPr>
            <w:r>
              <w:rPr>
                <w:rFonts w:ascii="宋体" w:hAnsi="宋体" w:eastAsia="宋体"/>
                <w:szCs w:val="21"/>
              </w:rPr>
              <w:t>5-2：</w:t>
            </w:r>
            <w:r>
              <w:rPr>
                <w:rFonts w:hint="eastAsia" w:ascii="宋体" w:hAnsi="宋体" w:eastAsia="宋体"/>
                <w:szCs w:val="21"/>
              </w:rPr>
              <w:t>【强化德育地位】获得小学德育工作体验，树立德育为先的理念，熟悉小学德育的基本原理与方法。</w:t>
            </w:r>
          </w:p>
        </w:tc>
      </w:tr>
      <w:tr w14:paraId="0BF5C8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60" w:type="pct"/>
            <w:vMerge w:val="continue"/>
            <w:vAlign w:val="center"/>
          </w:tcPr>
          <w:p w14:paraId="1264118E">
            <w:pPr>
              <w:jc w:val="center"/>
              <w:rPr>
                <w:rFonts w:ascii="宋体" w:hAnsi="宋体" w:eastAsia="宋体" w:cs="Times New Roman"/>
                <w:color w:val="000000"/>
                <w:kern w:val="0"/>
                <w:szCs w:val="21"/>
              </w:rPr>
            </w:pPr>
          </w:p>
        </w:tc>
        <w:tc>
          <w:tcPr>
            <w:tcW w:w="735" w:type="pct"/>
            <w:vMerge w:val="continue"/>
            <w:vAlign w:val="center"/>
          </w:tcPr>
          <w:p w14:paraId="18A7E73F">
            <w:pPr>
              <w:rPr>
                <w:rFonts w:ascii="宋体" w:hAnsi="宋体" w:eastAsia="宋体" w:cs="Times New Roman"/>
                <w:color w:val="000000"/>
                <w:kern w:val="0"/>
                <w:szCs w:val="21"/>
              </w:rPr>
            </w:pPr>
          </w:p>
        </w:tc>
        <w:tc>
          <w:tcPr>
            <w:tcW w:w="3605" w:type="pct"/>
            <w:tcBorders>
              <w:top w:val="single" w:color="auto" w:sz="4" w:space="0"/>
              <w:bottom w:val="single" w:color="auto" w:sz="4" w:space="0"/>
              <w:right w:val="single" w:color="000000" w:sz="8" w:space="0"/>
            </w:tcBorders>
            <w:vAlign w:val="center"/>
          </w:tcPr>
          <w:p w14:paraId="03716A4F">
            <w:pPr>
              <w:jc w:val="left"/>
              <w:rPr>
                <w:rFonts w:ascii="宋体" w:hAnsi="宋体" w:eastAsia="宋体" w:cs="Times New Roman"/>
                <w:color w:val="000000"/>
                <w:szCs w:val="21"/>
              </w:rPr>
            </w:pPr>
            <w:r>
              <w:rPr>
                <w:rFonts w:ascii="宋体" w:hAnsi="宋体" w:eastAsia="宋体"/>
                <w:szCs w:val="21"/>
              </w:rPr>
              <w:t>5-3：</w:t>
            </w:r>
            <w:r>
              <w:rPr>
                <w:rFonts w:hint="eastAsia" w:ascii="宋体" w:hAnsi="宋体" w:eastAsia="宋体"/>
                <w:szCs w:val="21"/>
              </w:rPr>
              <w:t>【重视心理健康教育】</w:t>
            </w:r>
            <w:r>
              <w:rPr>
                <w:rFonts w:ascii="宋体" w:hAnsi="宋体" w:eastAsia="宋体"/>
                <w:szCs w:val="21"/>
              </w:rPr>
              <w:t>获得小学心理健康教育指导体验，参与组织与指导对小学生心理健康教育的科普宣传及心理辅导，掌握小学心理健康教育的基本方法</w:t>
            </w:r>
            <w:r>
              <w:rPr>
                <w:rFonts w:ascii="宋体" w:hAnsi="宋体" w:eastAsia="宋体"/>
                <w:szCs w:val="23"/>
              </w:rPr>
              <w:t>。</w:t>
            </w:r>
          </w:p>
        </w:tc>
      </w:tr>
      <w:tr w14:paraId="6DBAA2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60" w:type="pct"/>
            <w:vMerge w:val="restart"/>
            <w:vAlign w:val="center"/>
          </w:tcPr>
          <w:p w14:paraId="06DD4CEF">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c>
          <w:tcPr>
            <w:tcW w:w="735" w:type="pct"/>
            <w:vMerge w:val="restart"/>
            <w:vAlign w:val="center"/>
          </w:tcPr>
          <w:p w14:paraId="30B6774C">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p>
          <w:p w14:paraId="7936130A">
            <w:pPr>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综合育人</w:t>
            </w:r>
          </w:p>
        </w:tc>
        <w:tc>
          <w:tcPr>
            <w:tcW w:w="3605" w:type="pct"/>
            <w:tcBorders>
              <w:top w:val="single" w:color="auto" w:sz="4" w:space="0"/>
              <w:bottom w:val="single" w:color="auto" w:sz="4" w:space="0"/>
              <w:right w:val="single" w:color="000000" w:sz="8" w:space="0"/>
            </w:tcBorders>
            <w:vAlign w:val="center"/>
          </w:tcPr>
          <w:p w14:paraId="4CD54128">
            <w:pPr>
              <w:jc w:val="left"/>
              <w:rPr>
                <w:rFonts w:ascii="宋体" w:hAnsi="宋体" w:eastAsia="宋体" w:cs="Times New Roman"/>
                <w:color w:val="000000"/>
                <w:kern w:val="0"/>
                <w:szCs w:val="21"/>
              </w:rPr>
            </w:pPr>
            <w:r>
              <w:rPr>
                <w:rFonts w:ascii="宋体" w:hAnsi="宋体" w:eastAsia="宋体"/>
                <w:szCs w:val="21"/>
              </w:rPr>
              <w:t>6-1：</w:t>
            </w:r>
            <w:r>
              <w:rPr>
                <w:rFonts w:hint="eastAsia" w:ascii="宋体" w:hAnsi="宋体" w:eastAsia="宋体"/>
                <w:szCs w:val="21"/>
              </w:rPr>
              <w:t>【遵循身心规律】了解不同年龄以及有特殊需要的小学生的身心发展特点和规律、不同年龄小学生学习的特点，掌握小学生良好行为习惯养成的知识。</w:t>
            </w:r>
          </w:p>
        </w:tc>
      </w:tr>
      <w:tr w14:paraId="0C0637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660" w:type="pct"/>
            <w:vMerge w:val="continue"/>
            <w:vAlign w:val="center"/>
          </w:tcPr>
          <w:p w14:paraId="565016C1">
            <w:pPr>
              <w:jc w:val="center"/>
              <w:rPr>
                <w:rFonts w:ascii="宋体" w:hAnsi="宋体" w:eastAsia="宋体" w:cs="Times New Roman"/>
                <w:color w:val="000000"/>
                <w:szCs w:val="21"/>
              </w:rPr>
            </w:pPr>
          </w:p>
        </w:tc>
        <w:tc>
          <w:tcPr>
            <w:tcW w:w="735" w:type="pct"/>
            <w:vMerge w:val="continue"/>
            <w:vAlign w:val="center"/>
          </w:tcPr>
          <w:p w14:paraId="44311C80">
            <w:pPr>
              <w:rPr>
                <w:rFonts w:ascii="宋体" w:hAnsi="宋体" w:eastAsia="宋体" w:cs="Times New Roman"/>
                <w:color w:val="000000"/>
                <w:kern w:val="0"/>
                <w:szCs w:val="21"/>
              </w:rPr>
            </w:pPr>
          </w:p>
        </w:tc>
        <w:tc>
          <w:tcPr>
            <w:tcW w:w="3605" w:type="pct"/>
            <w:tcBorders>
              <w:top w:val="single" w:color="auto" w:sz="4" w:space="0"/>
              <w:bottom w:val="single" w:color="auto" w:sz="4" w:space="0"/>
              <w:right w:val="single" w:color="000000" w:sz="8" w:space="0"/>
            </w:tcBorders>
            <w:vAlign w:val="center"/>
          </w:tcPr>
          <w:p w14:paraId="017EF46A">
            <w:pPr>
              <w:jc w:val="left"/>
              <w:rPr>
                <w:rFonts w:ascii="宋体" w:hAnsi="宋体" w:eastAsia="宋体" w:cs="Times New Roman"/>
                <w:color w:val="000000"/>
                <w:szCs w:val="21"/>
              </w:rPr>
            </w:pPr>
            <w:r>
              <w:rPr>
                <w:rFonts w:ascii="宋体" w:hAnsi="宋体" w:eastAsia="宋体"/>
                <w:szCs w:val="21"/>
              </w:rPr>
              <w:t>6-2：</w:t>
            </w:r>
            <w:r>
              <w:rPr>
                <w:rFonts w:hint="eastAsia" w:ascii="宋体" w:hAnsi="宋体" w:eastAsia="宋体"/>
                <w:szCs w:val="21"/>
              </w:rPr>
              <w:t>【懂得学科育人】具有教书育人的意识，理解学科核心素养和拟任教学科课程独特的育人功能，具备结合学科教学进行育人的意识与能力，注重学科教学中思想政治教育的渗透。</w:t>
            </w:r>
          </w:p>
        </w:tc>
      </w:tr>
      <w:tr w14:paraId="49887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60" w:type="pct"/>
            <w:vMerge w:val="continue"/>
            <w:vAlign w:val="center"/>
          </w:tcPr>
          <w:p w14:paraId="556CD398">
            <w:pPr>
              <w:jc w:val="center"/>
              <w:rPr>
                <w:rFonts w:ascii="宋体" w:hAnsi="宋体" w:eastAsia="宋体" w:cs="Times New Roman"/>
                <w:color w:val="000000"/>
                <w:szCs w:val="21"/>
              </w:rPr>
            </w:pPr>
          </w:p>
        </w:tc>
        <w:tc>
          <w:tcPr>
            <w:tcW w:w="735" w:type="pct"/>
            <w:vMerge w:val="continue"/>
            <w:vAlign w:val="center"/>
          </w:tcPr>
          <w:p w14:paraId="403D8AD8">
            <w:pPr>
              <w:rPr>
                <w:rFonts w:ascii="宋体" w:hAnsi="宋体" w:eastAsia="宋体" w:cs="Times New Roman"/>
                <w:color w:val="000000"/>
                <w:kern w:val="0"/>
                <w:szCs w:val="21"/>
              </w:rPr>
            </w:pPr>
          </w:p>
        </w:tc>
        <w:tc>
          <w:tcPr>
            <w:tcW w:w="3605" w:type="pct"/>
            <w:tcBorders>
              <w:top w:val="single" w:color="auto" w:sz="4" w:space="0"/>
              <w:right w:val="single" w:color="000000" w:sz="8" w:space="0"/>
            </w:tcBorders>
            <w:vAlign w:val="center"/>
          </w:tcPr>
          <w:p w14:paraId="700A8010">
            <w:pPr>
              <w:jc w:val="left"/>
              <w:rPr>
                <w:rFonts w:ascii="宋体" w:hAnsi="宋体" w:eastAsia="宋体" w:cs="Times New Roman"/>
                <w:color w:val="000000"/>
                <w:spacing w:val="2"/>
                <w:kern w:val="0"/>
                <w:szCs w:val="21"/>
              </w:rPr>
            </w:pPr>
            <w:r>
              <w:rPr>
                <w:rFonts w:ascii="宋体" w:hAnsi="宋体" w:eastAsia="宋体"/>
                <w:szCs w:val="21"/>
              </w:rPr>
              <w:t>6-3：</w:t>
            </w:r>
            <w:r>
              <w:rPr>
                <w:rFonts w:hint="eastAsia" w:ascii="宋体" w:hAnsi="宋体" w:eastAsia="宋体"/>
                <w:szCs w:val="21"/>
              </w:rPr>
              <w:t>【掌握育人方法】了解课外活动组织和管理知识，掌握学校文化和各类课外教育活动的育人内涵和方法，参与组织主题教育、少先队活动和社团活动，促进小学生全面、健康发展。</w:t>
            </w:r>
          </w:p>
        </w:tc>
      </w:tr>
      <w:tr w14:paraId="4B8702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0" w:hRule="atLeast"/>
          <w:jc w:val="center"/>
        </w:trPr>
        <w:tc>
          <w:tcPr>
            <w:tcW w:w="660" w:type="pct"/>
            <w:vMerge w:val="continue"/>
            <w:vAlign w:val="center"/>
          </w:tcPr>
          <w:p w14:paraId="08246AD2">
            <w:pPr>
              <w:jc w:val="center"/>
              <w:rPr>
                <w:rFonts w:ascii="宋体" w:hAnsi="宋体" w:eastAsia="宋体" w:cs="Times New Roman"/>
                <w:color w:val="000000"/>
                <w:szCs w:val="21"/>
              </w:rPr>
            </w:pPr>
          </w:p>
        </w:tc>
        <w:tc>
          <w:tcPr>
            <w:tcW w:w="735" w:type="pct"/>
            <w:vAlign w:val="center"/>
          </w:tcPr>
          <w:p w14:paraId="0CDBAF8A">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p>
          <w:p w14:paraId="6321F816">
            <w:pPr>
              <w:rPr>
                <w:rFonts w:ascii="宋体" w:hAnsi="宋体" w:eastAsia="宋体" w:cs="Times New Roman"/>
                <w:color w:val="000000"/>
                <w:kern w:val="0"/>
                <w:szCs w:val="21"/>
              </w:rPr>
            </w:pPr>
            <w:r>
              <w:rPr>
                <w:rFonts w:hint="eastAsia" w:ascii="宋体" w:hAnsi="宋体" w:eastAsia="宋体" w:cs="Times New Roman"/>
                <w:color w:val="000000"/>
                <w:kern w:val="0"/>
                <w:szCs w:val="21"/>
              </w:rPr>
              <w:t>学会反思</w:t>
            </w:r>
          </w:p>
        </w:tc>
        <w:tc>
          <w:tcPr>
            <w:tcW w:w="3605" w:type="pct"/>
            <w:tcBorders>
              <w:top w:val="single" w:color="auto" w:sz="4" w:space="0"/>
              <w:right w:val="single" w:color="000000" w:sz="8" w:space="0"/>
            </w:tcBorders>
            <w:vAlign w:val="center"/>
          </w:tcPr>
          <w:p w14:paraId="3833282E">
            <w:pPr>
              <w:jc w:val="left"/>
              <w:rPr>
                <w:rFonts w:ascii="宋体" w:hAnsi="宋体" w:eastAsia="宋体" w:cs="Times New Roman"/>
                <w:color w:val="000000"/>
                <w:kern w:val="0"/>
                <w:szCs w:val="21"/>
              </w:rPr>
            </w:pPr>
            <w:r>
              <w:rPr>
                <w:rFonts w:ascii="宋体" w:hAnsi="宋体" w:eastAsia="宋体"/>
                <w:szCs w:val="21"/>
              </w:rPr>
              <w:t>7-3：</w:t>
            </w:r>
            <w:r>
              <w:rPr>
                <w:rFonts w:hint="eastAsia" w:ascii="宋体" w:hAnsi="宋体" w:eastAsia="宋体"/>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173A36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660" w:type="pct"/>
            <w:vMerge w:val="restart"/>
            <w:vAlign w:val="center"/>
          </w:tcPr>
          <w:p w14:paraId="01C4E0A3">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4</w:t>
            </w:r>
          </w:p>
        </w:tc>
        <w:tc>
          <w:tcPr>
            <w:tcW w:w="735" w:type="pct"/>
            <w:vMerge w:val="restart"/>
            <w:vAlign w:val="center"/>
          </w:tcPr>
          <w:p w14:paraId="687ABEFA">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p>
          <w:p w14:paraId="1CF4A167">
            <w:pPr>
              <w:rPr>
                <w:rFonts w:ascii="宋体" w:hAnsi="宋体" w:eastAsia="宋体" w:cs="Times New Roman"/>
                <w:color w:val="000000"/>
                <w:kern w:val="0"/>
                <w:szCs w:val="21"/>
              </w:rPr>
            </w:pPr>
            <w:r>
              <w:rPr>
                <w:rFonts w:hint="eastAsia" w:ascii="宋体" w:hAnsi="宋体" w:eastAsia="宋体" w:cs="Times New Roman"/>
                <w:color w:val="000000"/>
                <w:kern w:val="0"/>
                <w:szCs w:val="21"/>
              </w:rPr>
              <w:t>沟通合作</w:t>
            </w:r>
          </w:p>
        </w:tc>
        <w:tc>
          <w:tcPr>
            <w:tcW w:w="3605" w:type="pct"/>
            <w:tcBorders>
              <w:top w:val="single" w:color="auto" w:sz="4" w:space="0"/>
              <w:bottom w:val="single" w:color="auto" w:sz="4" w:space="0"/>
              <w:right w:val="single" w:color="000000" w:sz="8" w:space="0"/>
            </w:tcBorders>
            <w:vAlign w:val="center"/>
          </w:tcPr>
          <w:p w14:paraId="3BE81098">
            <w:pPr>
              <w:jc w:val="left"/>
              <w:rPr>
                <w:rFonts w:ascii="宋体" w:hAnsi="宋体" w:eastAsia="宋体" w:cs="Times New Roman"/>
                <w:color w:val="000000"/>
                <w:kern w:val="0"/>
                <w:szCs w:val="21"/>
              </w:rPr>
            </w:pPr>
            <w:r>
              <w:rPr>
                <w:rFonts w:ascii="宋体" w:hAnsi="宋体" w:eastAsia="宋体"/>
                <w:szCs w:val="21"/>
              </w:rPr>
              <w:t>8-1：</w:t>
            </w:r>
            <w:r>
              <w:rPr>
                <w:rFonts w:hint="eastAsia" w:ascii="宋体" w:hAnsi="宋体" w:eastAsia="宋体"/>
                <w:szCs w:val="21"/>
              </w:rPr>
              <w:t>【善于团队合作】</w:t>
            </w:r>
            <w:r>
              <w:rPr>
                <w:rFonts w:hint="eastAsia" w:ascii="宋体" w:hAnsi="宋体" w:eastAsia="宋体"/>
                <w:szCs w:val="23"/>
              </w:rPr>
              <w:t>理解学习共同体的本质和价值，掌握团队协作的基本策略，在课堂学习与教育实践中获得合作学习体验，形成团队协作精神。</w:t>
            </w:r>
          </w:p>
        </w:tc>
      </w:tr>
      <w:tr w14:paraId="44645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660" w:type="pct"/>
            <w:vMerge w:val="continue"/>
            <w:tcBorders>
              <w:bottom w:val="single" w:color="000000" w:sz="8" w:space="0"/>
            </w:tcBorders>
            <w:vAlign w:val="center"/>
          </w:tcPr>
          <w:p w14:paraId="4439B19F">
            <w:pPr>
              <w:jc w:val="center"/>
              <w:rPr>
                <w:rFonts w:ascii="宋体" w:hAnsi="宋体" w:eastAsia="宋体" w:cs="Times New Roman"/>
                <w:color w:val="000000"/>
                <w:szCs w:val="21"/>
              </w:rPr>
            </w:pPr>
          </w:p>
        </w:tc>
        <w:tc>
          <w:tcPr>
            <w:tcW w:w="735" w:type="pct"/>
            <w:vMerge w:val="continue"/>
            <w:tcBorders>
              <w:bottom w:val="single" w:color="000000" w:sz="8" w:space="0"/>
            </w:tcBorders>
          </w:tcPr>
          <w:p w14:paraId="7BE70AD0">
            <w:pPr>
              <w:jc w:val="left"/>
              <w:rPr>
                <w:rFonts w:ascii="宋体" w:hAnsi="宋体" w:eastAsia="宋体" w:cs="Times New Roman"/>
                <w:color w:val="000000"/>
                <w:szCs w:val="21"/>
              </w:rPr>
            </w:pPr>
          </w:p>
        </w:tc>
        <w:tc>
          <w:tcPr>
            <w:tcW w:w="3605" w:type="pct"/>
            <w:tcBorders>
              <w:top w:val="single" w:color="auto" w:sz="4" w:space="0"/>
              <w:bottom w:val="single" w:color="000000" w:sz="8" w:space="0"/>
              <w:right w:val="single" w:color="000000" w:sz="8" w:space="0"/>
            </w:tcBorders>
            <w:vAlign w:val="center"/>
          </w:tcPr>
          <w:p w14:paraId="1120591C">
            <w:pPr>
              <w:jc w:val="left"/>
              <w:rPr>
                <w:rFonts w:ascii="宋体" w:hAnsi="宋体" w:eastAsia="宋体" w:cs="Times New Roman"/>
                <w:color w:val="000000"/>
                <w:spacing w:val="2"/>
                <w:kern w:val="0"/>
                <w:szCs w:val="21"/>
              </w:rPr>
            </w:pPr>
            <w:r>
              <w:rPr>
                <w:rFonts w:ascii="宋体" w:hAnsi="宋体" w:eastAsia="宋体"/>
                <w:szCs w:val="21"/>
              </w:rPr>
              <w:t>8-2：</w:t>
            </w:r>
            <w:r>
              <w:rPr>
                <w:rFonts w:hint="eastAsia" w:ascii="宋体" w:hAnsi="宋体" w:eastAsia="宋体"/>
                <w:szCs w:val="21"/>
              </w:rPr>
              <w:t>【学会沟通交流】掌握人际沟通合作技能与方法，能与学生和家长以及同行、同事、专家进行有效沟通与合作，实现共同发展。</w:t>
            </w:r>
          </w:p>
        </w:tc>
      </w:tr>
    </w:tbl>
    <w:p w14:paraId="453BC90E">
      <w:pPr>
        <w:spacing w:line="360" w:lineRule="auto"/>
        <w:jc w:val="center"/>
        <w:rPr>
          <w:rFonts w:ascii="宋体" w:hAnsi="宋体" w:eastAsia="宋体" w:cs="Times New Roman"/>
          <w:b/>
          <w:bCs/>
          <w:color w:val="000000"/>
          <w:sz w:val="24"/>
          <w:szCs w:val="24"/>
        </w:rPr>
      </w:pPr>
    </w:p>
    <w:p w14:paraId="778C29C9">
      <w:pPr>
        <w:adjustRightInd w:val="0"/>
        <w:snapToGrid w:val="0"/>
        <w:spacing w:line="360" w:lineRule="auto"/>
        <w:ind w:firstLine="551" w:firstLineChars="196"/>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三、课程内容</w:t>
      </w:r>
    </w:p>
    <w:p w14:paraId="6B5A8DC3">
      <w:pPr>
        <w:adjustRightInd w:val="0"/>
        <w:snapToGrid w:val="0"/>
        <w:spacing w:line="360" w:lineRule="auto"/>
        <w:ind w:firstLine="472" w:firstLineChars="196"/>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（一）学校考察（本模块可以支撑课程目标1、3）</w:t>
      </w:r>
    </w:p>
    <w:p w14:paraId="3B47EBBF">
      <w:pPr>
        <w:adjustRightInd w:val="0"/>
        <w:snapToGrid w:val="0"/>
        <w:spacing w:line="360" w:lineRule="auto"/>
        <w:ind w:firstLine="472" w:firstLineChars="196"/>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2116A667">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观察学校空间、师生日常活动，体会学校校园文化和办学理念；聆听学校负责人介绍学校建设情况、教育教学理念、特色文化；采用观察法或访谈法，聚焦一个主题开展教育调查，分析和总结见习学校的教育教学改革情况，完成1份教育调查报告。</w:t>
      </w:r>
    </w:p>
    <w:p w14:paraId="70DED13E">
      <w:pPr>
        <w:adjustRightInd w:val="0"/>
        <w:snapToGrid w:val="0"/>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2</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要求</w:t>
      </w:r>
    </w:p>
    <w:p w14:paraId="3EBFD53F">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认真考察校园文化，听取学校专题介绍，与指导教师深入交流；调查报告内容完整、方法合理，重点突出，数据和内容真实。</w:t>
      </w:r>
    </w:p>
    <w:p w14:paraId="5CF2CCDE">
      <w:pPr>
        <w:adjustRightInd w:val="0"/>
        <w:snapToGrid w:val="0"/>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106D5FFC">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Times New Roman" w:eastAsia="宋体" w:cs="Times New Roman"/>
          <w:color w:val="000000" w:themeColor="text1"/>
          <w:sz w:val="24"/>
          <w:szCs w:val="24"/>
          <w14:textFill>
            <w14:solidFill>
              <w14:schemeClr w14:val="tx1"/>
            </w14:solidFill>
          </w14:textFill>
        </w:rPr>
        <w:t>把“立德树人”教育目标融入实践过程中，领悟教师职业的价值，</w:t>
      </w:r>
      <w:r>
        <w:rPr>
          <w:rFonts w:hint="eastAsia" w:ascii="宋体" w:hAnsi="宋体" w:eastAsia="宋体" w:cs="Times New Roman"/>
          <w:color w:val="000000" w:themeColor="text1"/>
          <w:sz w:val="24"/>
          <w:szCs w:val="24"/>
          <w14:textFill>
            <w14:solidFill>
              <w14:schemeClr w14:val="tx1"/>
            </w14:solidFill>
          </w14:textFill>
        </w:rPr>
        <w:t>树立职业理想，立志成为有理想信念、有道德情操、有扎实学识、有仁爱之心的好教师。</w:t>
      </w:r>
    </w:p>
    <w:p w14:paraId="7779BB59">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（二）教学观摩与研习（本模块可以支撑课程目标1、2）</w:t>
      </w:r>
    </w:p>
    <w:p w14:paraId="32A3C346">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1DD6F116">
      <w:pPr>
        <w:spacing w:line="360" w:lineRule="auto"/>
        <w:ind w:firstLine="480" w:firstLineChars="200"/>
        <w:rPr>
          <w:rFonts w:ascii="宋体" w:hAnsi="宋体" w:eastAsia="宋体" w:cs="Times New Roman"/>
          <w:color w:val="FF0000"/>
          <w:sz w:val="24"/>
          <w:szCs w:val="24"/>
        </w:rPr>
      </w:pPr>
      <w:r>
        <w:rPr>
          <w:rFonts w:hint="eastAsia" w:ascii="宋体" w:hAnsi="宋体" w:eastAsia="宋体" w:cs="Times New Roman"/>
          <w:color w:val="000000" w:themeColor="text1"/>
          <w:sz w:val="24"/>
          <w:szCs w:val="24"/>
          <w14:textFill>
            <w14:solidFill>
              <w14:schemeClr w14:val="tx1"/>
            </w14:solidFill>
          </w14:textFill>
        </w:rPr>
        <w:t>在实践导师安排下，每天听课2</w:t>
      </w: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节，见习期总听课数不少于1</w:t>
      </w:r>
      <w:r>
        <w:rPr>
          <w:rFonts w:ascii="宋体" w:hAnsi="宋体" w:eastAsia="宋体" w:cs="Times New Roman"/>
          <w:color w:val="000000" w:themeColor="text1"/>
          <w:sz w:val="24"/>
          <w:szCs w:val="24"/>
          <w14:textFill>
            <w14:solidFill>
              <w14:schemeClr w14:val="tx1"/>
            </w14:solidFill>
          </w14:textFill>
        </w:rPr>
        <w:t>5</w:t>
      </w:r>
      <w:r>
        <w:rPr>
          <w:rFonts w:hint="eastAsia" w:ascii="宋体" w:hAnsi="宋体" w:eastAsia="宋体" w:cs="Times New Roman"/>
          <w:color w:val="000000" w:themeColor="text1"/>
          <w:sz w:val="24"/>
          <w:szCs w:val="24"/>
          <w14:textFill>
            <w14:solidFill>
              <w14:schemeClr w14:val="tx1"/>
            </w14:solidFill>
          </w14:textFill>
        </w:rPr>
        <w:t>节；认真研读教材，备课，撰写教案，在实践导师指导下完成1份形式规范的教案，与导师合作实施教学；了解兼教课程的特点，体验兼教课程的教学过程；全面体验小学校本课程、校际教研、校园建设等活动。</w:t>
      </w:r>
    </w:p>
    <w:p w14:paraId="2C907504">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ascii="宋体" w:hAnsi="宋体" w:eastAsia="宋体" w:cs="Times New Roman"/>
          <w:b/>
          <w:color w:val="000000" w:themeColor="text1"/>
          <w:sz w:val="24"/>
          <w:szCs w:val="24"/>
          <w14:textFill>
            <w14:solidFill>
              <w14:schemeClr w14:val="tx1"/>
            </w14:solidFill>
          </w14:textFill>
        </w:rPr>
        <w:t>2.</w:t>
      </w:r>
      <w:r>
        <w:rPr>
          <w:rFonts w:hint="eastAsia" w:ascii="宋体" w:hAnsi="宋体" w:eastAsia="宋体" w:cs="Times New Roman"/>
          <w:b/>
          <w:color w:val="000000" w:themeColor="text1"/>
          <w:sz w:val="24"/>
          <w:szCs w:val="24"/>
          <w14:textFill>
            <w14:solidFill>
              <w14:schemeClr w14:val="tx1"/>
            </w14:solidFill>
          </w14:textFill>
        </w:rPr>
        <w:t>要求</w:t>
      </w:r>
    </w:p>
    <w:p w14:paraId="6ABD33D5">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善于观察，主动思考与提问，总结教学观摩心得，在实践导师帮助下形成对规范的课堂教学的系统认识；能运用教学材料钻研教材，设计出比较规范、具备可操作性的教案；有主动学习的意识，获得教师专业发展的体验。</w:t>
      </w:r>
    </w:p>
    <w:p w14:paraId="72E665C9">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270F17AA">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在教育实践中</w:t>
      </w:r>
      <w:r>
        <w:rPr>
          <w:rFonts w:ascii="宋体" w:hAnsi="宋体" w:eastAsia="宋体" w:cs="Times New Roman"/>
          <w:color w:val="000000" w:themeColor="text1"/>
          <w:sz w:val="24"/>
          <w:szCs w:val="24"/>
          <w14:textFill>
            <w14:solidFill>
              <w14:schemeClr w14:val="tx1"/>
            </w14:solidFill>
          </w14:textFill>
        </w:rPr>
        <w:t>，充分运用自身所掌握的教育教学方法、学生心理规律，</w:t>
      </w:r>
      <w:r>
        <w:rPr>
          <w:rFonts w:hint="eastAsia" w:ascii="宋体" w:hAnsi="宋体" w:eastAsia="宋体" w:cs="Times New Roman"/>
          <w:color w:val="000000" w:themeColor="text1"/>
          <w:sz w:val="24"/>
          <w:szCs w:val="24"/>
          <w14:textFill>
            <w14:solidFill>
              <w14:schemeClr w14:val="tx1"/>
            </w14:solidFill>
          </w14:textFill>
        </w:rPr>
        <w:t>实事求是，从实践中总结发现，增进对所学知识的理解与认识。</w:t>
      </w:r>
      <w:r>
        <w:rPr>
          <w:rFonts w:ascii="宋体" w:hAnsi="宋体" w:eastAsia="宋体" w:cs="Times New Roman"/>
          <w:color w:val="000000" w:themeColor="text1"/>
          <w:sz w:val="24"/>
          <w:szCs w:val="24"/>
          <w14:textFill>
            <w14:solidFill>
              <w14:schemeClr w14:val="tx1"/>
            </w14:solidFill>
          </w14:textFill>
        </w:rPr>
        <w:t>不忘初心，把立德树人</w:t>
      </w:r>
      <w:r>
        <w:rPr>
          <w:rFonts w:hint="eastAsia" w:ascii="宋体" w:hAnsi="宋体" w:eastAsia="宋体" w:cs="Times New Roman"/>
          <w:color w:val="000000" w:themeColor="text1"/>
          <w:sz w:val="24"/>
          <w:szCs w:val="24"/>
          <w14:textFill>
            <w14:solidFill>
              <w14:schemeClr w14:val="tx1"/>
            </w14:solidFill>
          </w14:textFill>
        </w:rPr>
        <w:t>作为教育使命，主动研究教育教学，积极影响小学生的发展。</w:t>
      </w:r>
    </w:p>
    <w:p w14:paraId="121262C1">
      <w:pPr>
        <w:spacing w:line="360" w:lineRule="auto"/>
        <w:ind w:firstLine="482" w:firstLineChars="200"/>
        <w:rPr>
          <w:rFonts w:ascii="宋体" w:hAnsi="宋体" w:eastAsia="宋体" w:cs="Times New Roman"/>
          <w:b/>
          <w:color w:val="FF0000"/>
          <w:sz w:val="24"/>
          <w:szCs w:val="24"/>
        </w:rPr>
      </w:pPr>
      <w:r>
        <w:rPr>
          <w:rFonts w:hint="eastAsia" w:ascii="宋体" w:hAnsi="宋体" w:eastAsia="宋体" w:cs="Times New Roman"/>
          <w:b/>
          <w:color w:val="000000" w:themeColor="text1"/>
          <w:sz w:val="24"/>
          <w:szCs w:val="24"/>
          <w14:textFill>
            <w14:solidFill>
              <w14:schemeClr w14:val="tx1"/>
            </w14:solidFill>
          </w14:textFill>
        </w:rPr>
        <w:t>（三）班级管理和班队工作见习（本模块可以支撑课程目标1、3、4）</w:t>
      </w:r>
    </w:p>
    <w:p w14:paraId="23D3B32A">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66FF686F">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全面观察班级常规管理工作，了解班主任日常工作的内容和方法，主动协助班主任进行班级管理，在班主任指导下，尝试组织有主题的班会或班队活动，形成班队活动观察记录1份。</w:t>
      </w:r>
    </w:p>
    <w:p w14:paraId="4EB7D97F">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2</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要求</w:t>
      </w:r>
    </w:p>
    <w:p w14:paraId="17A0E51A">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主动与小学生加深交流，掌握小学生生活特点、心理特点；认真观察，主动与实践导师沟通班级管理的经验，善于在管理案例中总结经验与教训。</w:t>
      </w:r>
    </w:p>
    <w:p w14:paraId="0669566A">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3863E101">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理解培养全面发展的人这一教育理念，认识教育管理、班队活动的育人价值，提高教育修养，增强在教育过程中挖掘各个因素进行教育的意识和能力。</w:t>
      </w:r>
    </w:p>
    <w:p w14:paraId="46D7C388">
      <w:pPr>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课程内容与课程目标的对应关系</w:t>
      </w:r>
    </w:p>
    <w:tbl>
      <w:tblPr>
        <w:tblStyle w:val="3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1436"/>
        <w:gridCol w:w="1391"/>
        <w:gridCol w:w="1436"/>
        <w:gridCol w:w="1370"/>
      </w:tblGrid>
      <w:tr w14:paraId="5834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75" w:type="dxa"/>
            <w:vAlign w:val="center"/>
          </w:tcPr>
          <w:p w14:paraId="15ED8E44">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课程内容</w:t>
            </w:r>
          </w:p>
        </w:tc>
        <w:tc>
          <w:tcPr>
            <w:tcW w:w="1436" w:type="dxa"/>
            <w:vAlign w:val="center"/>
          </w:tcPr>
          <w:p w14:paraId="610F89A5">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1</w:t>
            </w:r>
          </w:p>
        </w:tc>
        <w:tc>
          <w:tcPr>
            <w:tcW w:w="1391" w:type="dxa"/>
            <w:vAlign w:val="center"/>
          </w:tcPr>
          <w:p w14:paraId="309B95AD">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2</w:t>
            </w:r>
          </w:p>
        </w:tc>
        <w:tc>
          <w:tcPr>
            <w:tcW w:w="1436" w:type="dxa"/>
            <w:vAlign w:val="center"/>
          </w:tcPr>
          <w:p w14:paraId="75504F5D">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3</w:t>
            </w:r>
          </w:p>
        </w:tc>
        <w:tc>
          <w:tcPr>
            <w:tcW w:w="1370" w:type="dxa"/>
            <w:vAlign w:val="center"/>
          </w:tcPr>
          <w:p w14:paraId="399E80D5">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4</w:t>
            </w:r>
          </w:p>
        </w:tc>
      </w:tr>
      <w:tr w14:paraId="7174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175" w:type="dxa"/>
            <w:vAlign w:val="center"/>
          </w:tcPr>
          <w:p w14:paraId="55CE3BF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学校考察</w:t>
            </w:r>
          </w:p>
        </w:tc>
        <w:tc>
          <w:tcPr>
            <w:tcW w:w="1436" w:type="dxa"/>
            <w:vAlign w:val="center"/>
          </w:tcPr>
          <w:p w14:paraId="41438F5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65328E9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4D39A60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306A428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r>
      <w:tr w14:paraId="1D15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175" w:type="dxa"/>
            <w:vAlign w:val="center"/>
          </w:tcPr>
          <w:p w14:paraId="77BE3CF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教学观摩与研习</w:t>
            </w:r>
          </w:p>
        </w:tc>
        <w:tc>
          <w:tcPr>
            <w:tcW w:w="1436" w:type="dxa"/>
            <w:vAlign w:val="center"/>
          </w:tcPr>
          <w:p w14:paraId="0E47D57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12BF20D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4AC31E91">
            <w:pPr>
              <w:spacing w:line="276" w:lineRule="auto"/>
              <w:rPr>
                <w:rFonts w:ascii="宋体" w:hAnsi="宋体" w:eastAsia="宋体" w:cs="Times New Roman"/>
                <w:color w:val="000000"/>
                <w:szCs w:val="21"/>
              </w:rPr>
            </w:pPr>
          </w:p>
        </w:tc>
        <w:tc>
          <w:tcPr>
            <w:tcW w:w="1370" w:type="dxa"/>
            <w:vAlign w:val="center"/>
          </w:tcPr>
          <w:p w14:paraId="5ACFAB1F">
            <w:pPr>
              <w:spacing w:line="276" w:lineRule="auto"/>
              <w:jc w:val="center"/>
              <w:rPr>
                <w:rFonts w:ascii="宋体" w:hAnsi="宋体" w:eastAsia="宋体" w:cs="Times New Roman"/>
                <w:color w:val="000000"/>
                <w:szCs w:val="21"/>
              </w:rPr>
            </w:pPr>
          </w:p>
        </w:tc>
      </w:tr>
      <w:tr w14:paraId="3687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175" w:type="dxa"/>
            <w:vAlign w:val="center"/>
          </w:tcPr>
          <w:p w14:paraId="5D04F37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班级管理和班队工作见习</w:t>
            </w:r>
          </w:p>
        </w:tc>
        <w:tc>
          <w:tcPr>
            <w:tcW w:w="1436" w:type="dxa"/>
            <w:vAlign w:val="center"/>
          </w:tcPr>
          <w:p w14:paraId="2AF86BD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117BFDFA">
            <w:pPr>
              <w:spacing w:line="276" w:lineRule="auto"/>
              <w:jc w:val="center"/>
              <w:rPr>
                <w:rFonts w:ascii="宋体" w:hAnsi="宋体" w:eastAsia="宋体" w:cs="Times New Roman"/>
                <w:color w:val="000000"/>
                <w:szCs w:val="21"/>
              </w:rPr>
            </w:pPr>
          </w:p>
        </w:tc>
        <w:tc>
          <w:tcPr>
            <w:tcW w:w="1436" w:type="dxa"/>
            <w:vAlign w:val="center"/>
          </w:tcPr>
          <w:p w14:paraId="1293370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02DC23E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r>
    </w:tbl>
    <w:p w14:paraId="795FBC08">
      <w:pPr>
        <w:spacing w:line="360" w:lineRule="auto"/>
        <w:ind w:firstLine="562" w:firstLineChars="200"/>
        <w:rPr>
          <w:rFonts w:ascii="Times New Roman" w:hAnsi="Times New Roman" w:eastAsia="宋体" w:cs="Times New Roman"/>
          <w:b/>
          <w:sz w:val="28"/>
          <w:szCs w:val="28"/>
        </w:rPr>
      </w:pPr>
    </w:p>
    <w:p w14:paraId="210210F2">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3B87CB6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（一）见习要求</w:t>
      </w:r>
    </w:p>
    <w:p w14:paraId="3151F2B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1.遵守见习学校各项规章制度，不迟到，不早退，虚心接受见习学校领导、指导教师的指导。</w:t>
      </w:r>
    </w:p>
    <w:p w14:paraId="13EB302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2.文明礼貌，为人师表，爱护学生，尊重见习学校的师生员工，积极协助见习学校教师做力所能及的工作。</w:t>
      </w:r>
    </w:p>
    <w:p w14:paraId="234E87B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3.同学之间团结友爱，注意安全。认真完成各项见习任务，做好每次的见习笔记，认真填写《小学教育专业学生见习手册》。</w:t>
      </w:r>
    </w:p>
    <w:p w14:paraId="5228DB4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4.见习组长负责与见习学校领导的联系以及见习活动的组织、考勤工作。所有学生必须全程参加见习活动，不得无故缺席。</w:t>
      </w:r>
    </w:p>
    <w:p w14:paraId="59E43BC6">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Cs/>
          <w:sz w:val="24"/>
          <w:szCs w:val="24"/>
        </w:rPr>
        <w:t>（二）</w:t>
      </w:r>
      <w:r>
        <w:rPr>
          <w:rFonts w:ascii="Times New Roman" w:hAnsi="Times New Roman" w:eastAsia="宋体" w:cs="Times New Roman"/>
          <w:bCs/>
          <w:sz w:val="24"/>
          <w:szCs w:val="24"/>
        </w:rPr>
        <w:t>主要</w:t>
      </w:r>
      <w:r>
        <w:rPr>
          <w:rFonts w:hint="eastAsia" w:ascii="Times New Roman" w:hAnsi="Times New Roman" w:eastAsia="宋体" w:cs="Times New Roman"/>
          <w:bCs/>
          <w:sz w:val="24"/>
          <w:szCs w:val="24"/>
        </w:rPr>
        <w:t>教学</w:t>
      </w:r>
      <w:r>
        <w:rPr>
          <w:rFonts w:ascii="Times New Roman" w:hAnsi="Times New Roman" w:eastAsia="宋体" w:cs="Times New Roman"/>
          <w:bCs/>
          <w:sz w:val="24"/>
          <w:szCs w:val="24"/>
        </w:rPr>
        <w:t>环节</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质量要求</w:t>
      </w:r>
      <w:r>
        <w:rPr>
          <w:rFonts w:hint="eastAsia" w:ascii="Times New Roman" w:hAnsi="Times New Roman" w:eastAsia="宋体" w:cs="Times New Roman"/>
          <w:bCs/>
          <w:sz w:val="24"/>
          <w:szCs w:val="24"/>
        </w:rPr>
        <w:t>如表所示</w:t>
      </w:r>
    </w:p>
    <w:tbl>
      <w:tblPr>
        <w:tblStyle w:val="30"/>
        <w:tblW w:w="89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18"/>
        <w:gridCol w:w="6939"/>
      </w:tblGrid>
      <w:tr w14:paraId="59F73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06" w:type="dxa"/>
            <w:gridSpan w:val="2"/>
            <w:vAlign w:val="center"/>
          </w:tcPr>
          <w:p w14:paraId="6BCFFFCE">
            <w:pPr>
              <w:snapToGrid w:val="0"/>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6939" w:type="dxa"/>
            <w:vAlign w:val="center"/>
          </w:tcPr>
          <w:p w14:paraId="764DF813">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2697B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88" w:type="dxa"/>
            <w:vMerge w:val="restart"/>
            <w:vAlign w:val="center"/>
          </w:tcPr>
          <w:p w14:paraId="4D1AEB83">
            <w:pPr>
              <w:jc w:val="center"/>
              <w:rPr>
                <w:rFonts w:ascii="Times New Roman" w:hAnsi="Times New Roman" w:eastAsia="宋体" w:cs="Times New Roman"/>
                <w:szCs w:val="21"/>
              </w:rPr>
            </w:pPr>
            <w:r>
              <w:rPr>
                <w:rFonts w:ascii="Times New Roman" w:hAnsi="Times New Roman" w:eastAsia="宋体" w:cs="Times New Roman"/>
                <w:szCs w:val="21"/>
              </w:rPr>
              <w:t>准备</w:t>
            </w:r>
          </w:p>
          <w:p w14:paraId="320D5AC6">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18" w:type="dxa"/>
            <w:vAlign w:val="center"/>
          </w:tcPr>
          <w:p w14:paraId="2010016C">
            <w:pPr>
              <w:rPr>
                <w:rFonts w:ascii="Times New Roman" w:hAnsi="Times New Roman" w:eastAsia="宋体" w:cs="Times New Roman"/>
                <w:szCs w:val="21"/>
              </w:rPr>
            </w:pPr>
            <w:r>
              <w:rPr>
                <w:rFonts w:ascii="Times New Roman" w:hAnsi="Times New Roman" w:eastAsia="宋体" w:cs="Times New Roman"/>
                <w:szCs w:val="21"/>
              </w:rPr>
              <w:t>1.实践计划</w:t>
            </w:r>
          </w:p>
        </w:tc>
        <w:tc>
          <w:tcPr>
            <w:tcW w:w="6939" w:type="dxa"/>
            <w:vAlign w:val="center"/>
          </w:tcPr>
          <w:p w14:paraId="5A5A376B">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见习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，选择相应的见习学校，并</w:t>
            </w:r>
            <w:r>
              <w:rPr>
                <w:rFonts w:ascii="Times New Roman" w:hAnsi="Times New Roman" w:eastAsia="宋体" w:cs="Times New Roman"/>
                <w:szCs w:val="21"/>
              </w:rPr>
              <w:t>在</w:t>
            </w:r>
            <w:r>
              <w:rPr>
                <w:rFonts w:hint="eastAsia" w:ascii="Times New Roman" w:hAnsi="Times New Roman" w:eastAsia="宋体" w:cs="Times New Roman"/>
                <w:szCs w:val="21"/>
              </w:rPr>
              <w:t>见习开始前做好联系工作</w:t>
            </w:r>
            <w:r>
              <w:rPr>
                <w:rFonts w:ascii="Times New Roman" w:hAnsi="Times New Roman" w:eastAsia="宋体" w:cs="Times New Roman"/>
                <w:szCs w:val="21"/>
              </w:rPr>
              <w:t>。</w:t>
            </w:r>
          </w:p>
        </w:tc>
      </w:tr>
      <w:tr w14:paraId="69D9B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588" w:type="dxa"/>
            <w:vMerge w:val="continue"/>
            <w:vAlign w:val="center"/>
          </w:tcPr>
          <w:p w14:paraId="0E486CFA">
            <w:pPr>
              <w:jc w:val="center"/>
              <w:rPr>
                <w:rFonts w:ascii="Times New Roman" w:hAnsi="Times New Roman" w:eastAsia="宋体" w:cs="Times New Roman"/>
                <w:szCs w:val="21"/>
              </w:rPr>
            </w:pPr>
          </w:p>
        </w:tc>
        <w:tc>
          <w:tcPr>
            <w:tcW w:w="1418" w:type="dxa"/>
            <w:vAlign w:val="center"/>
          </w:tcPr>
          <w:p w14:paraId="71AA2D1E">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6939" w:type="dxa"/>
            <w:vAlign w:val="center"/>
          </w:tcPr>
          <w:p w14:paraId="52D24BA6">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在见习开始前开好见习动员大会，提出相应见习要求</w:t>
            </w:r>
            <w:r>
              <w:rPr>
                <w:rFonts w:ascii="Times New Roman" w:hAnsi="Times New Roman" w:eastAsia="宋体" w:cs="Times New Roman"/>
                <w:szCs w:val="21"/>
              </w:rPr>
              <w:t>。</w:t>
            </w:r>
          </w:p>
        </w:tc>
      </w:tr>
      <w:tr w14:paraId="4C632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88" w:type="dxa"/>
            <w:vMerge w:val="continue"/>
            <w:vAlign w:val="center"/>
          </w:tcPr>
          <w:p w14:paraId="321FDDC5">
            <w:pPr>
              <w:jc w:val="center"/>
              <w:rPr>
                <w:rFonts w:ascii="Times New Roman" w:hAnsi="Times New Roman" w:eastAsia="宋体" w:cs="Times New Roman"/>
                <w:szCs w:val="21"/>
              </w:rPr>
            </w:pPr>
          </w:p>
        </w:tc>
        <w:tc>
          <w:tcPr>
            <w:tcW w:w="1418" w:type="dxa"/>
            <w:vAlign w:val="center"/>
          </w:tcPr>
          <w:p w14:paraId="162DACDA">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6939" w:type="dxa"/>
            <w:vAlign w:val="center"/>
          </w:tcPr>
          <w:p w14:paraId="5706AD3C">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做好学生的分组工作，强调小组成员之间的合作沟通，对每位同学都提出明确的见习纪律和责任。</w:t>
            </w:r>
          </w:p>
        </w:tc>
      </w:tr>
      <w:tr w14:paraId="25087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8" w:type="dxa"/>
            <w:vMerge w:val="restart"/>
            <w:vAlign w:val="center"/>
          </w:tcPr>
          <w:p w14:paraId="728C17F7">
            <w:pPr>
              <w:jc w:val="center"/>
              <w:rPr>
                <w:rFonts w:ascii="Times New Roman" w:hAnsi="Times New Roman" w:eastAsia="宋体" w:cs="Times New Roman"/>
                <w:szCs w:val="21"/>
              </w:rPr>
            </w:pPr>
            <w:r>
              <w:rPr>
                <w:rFonts w:ascii="Times New Roman" w:hAnsi="Times New Roman" w:eastAsia="宋体" w:cs="Times New Roman"/>
                <w:szCs w:val="21"/>
              </w:rPr>
              <w:t>实施</w:t>
            </w:r>
          </w:p>
          <w:p w14:paraId="2BEE6327">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18" w:type="dxa"/>
            <w:vAlign w:val="center"/>
          </w:tcPr>
          <w:p w14:paraId="5A536018">
            <w:pPr>
              <w:rPr>
                <w:rFonts w:ascii="Times New Roman" w:hAnsi="Times New Roman" w:eastAsia="宋体" w:cs="Times New Roman"/>
                <w:szCs w:val="21"/>
              </w:rPr>
            </w:pPr>
            <w:r>
              <w:rPr>
                <w:rFonts w:ascii="Times New Roman" w:hAnsi="Times New Roman" w:eastAsia="宋体" w:cs="Times New Roman"/>
                <w:szCs w:val="21"/>
              </w:rPr>
              <w:t>1.计划执行</w:t>
            </w:r>
          </w:p>
        </w:tc>
        <w:tc>
          <w:tcPr>
            <w:tcW w:w="6939" w:type="dxa"/>
            <w:vAlign w:val="center"/>
          </w:tcPr>
          <w:p w14:paraId="61C6BAD0">
            <w:pPr>
              <w:rPr>
                <w:rFonts w:ascii="Times New Roman" w:hAnsi="Times New Roman" w:eastAsia="宋体" w:cs="Times New Roman"/>
                <w:szCs w:val="21"/>
              </w:rPr>
            </w:pPr>
            <w:r>
              <w:rPr>
                <w:rFonts w:hint="eastAsia" w:ascii="Times New Roman" w:hAnsi="Times New Roman" w:eastAsia="宋体" w:cs="Times New Roman"/>
                <w:szCs w:val="21"/>
              </w:rPr>
              <w:t>按照见习计划到各小学见习</w:t>
            </w:r>
            <w:r>
              <w:rPr>
                <w:rFonts w:ascii="Times New Roman" w:hAnsi="Times New Roman" w:eastAsia="宋体" w:cs="Times New Roman"/>
                <w:szCs w:val="21"/>
              </w:rPr>
              <w:t xml:space="preserve">。 </w:t>
            </w:r>
          </w:p>
        </w:tc>
      </w:tr>
      <w:tr w14:paraId="21D74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8" w:type="dxa"/>
            <w:vMerge w:val="continue"/>
            <w:vAlign w:val="center"/>
          </w:tcPr>
          <w:p w14:paraId="196CA316">
            <w:pPr>
              <w:jc w:val="center"/>
              <w:rPr>
                <w:rFonts w:ascii="Times New Roman" w:hAnsi="Times New Roman" w:eastAsia="宋体" w:cs="Times New Roman"/>
                <w:szCs w:val="21"/>
              </w:rPr>
            </w:pPr>
          </w:p>
        </w:tc>
        <w:tc>
          <w:tcPr>
            <w:tcW w:w="1418" w:type="dxa"/>
            <w:vAlign w:val="center"/>
          </w:tcPr>
          <w:p w14:paraId="7EA6F14A">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6939" w:type="dxa"/>
            <w:vAlign w:val="center"/>
          </w:tcPr>
          <w:p w14:paraId="27A8325F">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指导教师定期到见习学校指导，密切联系见习学校的指导教师，对学生的见习情况进行实时了解</w:t>
            </w:r>
            <w:r>
              <w:rPr>
                <w:rFonts w:ascii="Times New Roman" w:hAnsi="Times New Roman" w:eastAsia="宋体" w:cs="Times New Roman"/>
                <w:szCs w:val="21"/>
              </w:rPr>
              <w:t>。</w:t>
            </w:r>
          </w:p>
        </w:tc>
      </w:tr>
      <w:tr w14:paraId="654B4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88" w:type="dxa"/>
            <w:vMerge w:val="continue"/>
            <w:vAlign w:val="center"/>
          </w:tcPr>
          <w:p w14:paraId="1D444C88">
            <w:pPr>
              <w:jc w:val="center"/>
              <w:rPr>
                <w:rFonts w:ascii="Times New Roman" w:hAnsi="Times New Roman" w:eastAsia="宋体" w:cs="Times New Roman"/>
                <w:szCs w:val="21"/>
              </w:rPr>
            </w:pPr>
          </w:p>
        </w:tc>
        <w:tc>
          <w:tcPr>
            <w:tcW w:w="1418" w:type="dxa"/>
            <w:vAlign w:val="center"/>
          </w:tcPr>
          <w:p w14:paraId="2BAEA709">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6939" w:type="dxa"/>
            <w:vAlign w:val="center"/>
          </w:tcPr>
          <w:p w14:paraId="79914767">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7D027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88" w:type="dxa"/>
            <w:vMerge w:val="continue"/>
            <w:vAlign w:val="center"/>
          </w:tcPr>
          <w:p w14:paraId="591C2C11">
            <w:pPr>
              <w:jc w:val="center"/>
              <w:rPr>
                <w:rFonts w:ascii="Times New Roman" w:hAnsi="Times New Roman" w:eastAsia="宋体" w:cs="Times New Roman"/>
                <w:szCs w:val="21"/>
              </w:rPr>
            </w:pPr>
          </w:p>
        </w:tc>
        <w:tc>
          <w:tcPr>
            <w:tcW w:w="1418" w:type="dxa"/>
            <w:vAlign w:val="center"/>
          </w:tcPr>
          <w:p w14:paraId="1AD81AE6">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6939" w:type="dxa"/>
            <w:vAlign w:val="center"/>
          </w:tcPr>
          <w:p w14:paraId="449C3169">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6D719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88" w:type="dxa"/>
            <w:vMerge w:val="restart"/>
            <w:vAlign w:val="center"/>
          </w:tcPr>
          <w:p w14:paraId="5E6E1CB4">
            <w:pPr>
              <w:jc w:val="center"/>
              <w:rPr>
                <w:rFonts w:ascii="Times New Roman" w:hAnsi="Times New Roman" w:eastAsia="宋体" w:cs="Times New Roman"/>
                <w:szCs w:val="21"/>
              </w:rPr>
            </w:pPr>
            <w:r>
              <w:rPr>
                <w:rFonts w:ascii="Times New Roman" w:hAnsi="Times New Roman" w:eastAsia="宋体" w:cs="Times New Roman"/>
                <w:szCs w:val="21"/>
              </w:rPr>
              <w:t>总结</w:t>
            </w:r>
          </w:p>
          <w:p w14:paraId="2EF425E2">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18" w:type="dxa"/>
            <w:vAlign w:val="center"/>
          </w:tcPr>
          <w:p w14:paraId="3686A946">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见习</w:t>
            </w:r>
            <w:r>
              <w:rPr>
                <w:rFonts w:ascii="Times New Roman" w:hAnsi="Times New Roman" w:eastAsia="宋体" w:cs="Times New Roman"/>
                <w:szCs w:val="21"/>
              </w:rPr>
              <w:t>报告</w:t>
            </w:r>
          </w:p>
        </w:tc>
        <w:tc>
          <w:tcPr>
            <w:tcW w:w="6939" w:type="dxa"/>
            <w:vAlign w:val="center"/>
          </w:tcPr>
          <w:p w14:paraId="33A8CAA8">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教育调查报告、教育见习手册和见习考核表</w:t>
            </w:r>
            <w:r>
              <w:rPr>
                <w:rFonts w:ascii="Times New Roman" w:hAnsi="Times New Roman" w:eastAsia="宋体" w:cs="Times New Roman"/>
                <w:szCs w:val="21"/>
              </w:rPr>
              <w:t>。</w:t>
            </w:r>
          </w:p>
        </w:tc>
      </w:tr>
      <w:tr w14:paraId="21BBF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88" w:type="dxa"/>
            <w:vMerge w:val="continue"/>
            <w:vAlign w:val="center"/>
          </w:tcPr>
          <w:p w14:paraId="3A1759FD">
            <w:pPr>
              <w:rPr>
                <w:rFonts w:ascii="Times New Roman" w:hAnsi="Times New Roman" w:eastAsia="宋体" w:cs="Times New Roman"/>
                <w:szCs w:val="21"/>
              </w:rPr>
            </w:pPr>
          </w:p>
        </w:tc>
        <w:tc>
          <w:tcPr>
            <w:tcW w:w="1418" w:type="dxa"/>
            <w:vAlign w:val="center"/>
          </w:tcPr>
          <w:p w14:paraId="68886F7B">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6939" w:type="dxa"/>
            <w:vAlign w:val="center"/>
          </w:tcPr>
          <w:p w14:paraId="75E08D7A">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见习情况</w:t>
            </w:r>
            <w:r>
              <w:rPr>
                <w:rFonts w:ascii="Times New Roman" w:hAnsi="Times New Roman" w:eastAsia="宋体" w:cs="Times New Roman"/>
                <w:szCs w:val="21"/>
              </w:rPr>
              <w:t>进行考核，合理评价，并按照学校有关规定登记成绩。</w:t>
            </w:r>
          </w:p>
        </w:tc>
      </w:tr>
      <w:tr w14:paraId="1EF20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88" w:type="dxa"/>
            <w:vMerge w:val="continue"/>
            <w:vAlign w:val="center"/>
          </w:tcPr>
          <w:p w14:paraId="74F5EF85">
            <w:pPr>
              <w:rPr>
                <w:rFonts w:ascii="Times New Roman" w:hAnsi="Times New Roman" w:eastAsia="宋体" w:cs="Times New Roman"/>
                <w:szCs w:val="21"/>
              </w:rPr>
            </w:pPr>
          </w:p>
        </w:tc>
        <w:tc>
          <w:tcPr>
            <w:tcW w:w="1418" w:type="dxa"/>
            <w:vAlign w:val="center"/>
          </w:tcPr>
          <w:p w14:paraId="4556214D">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6939" w:type="dxa"/>
            <w:vAlign w:val="center"/>
          </w:tcPr>
          <w:p w14:paraId="437766E1">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2B33B13C">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w:t>
      </w:r>
      <w:r>
        <w:rPr>
          <w:rFonts w:ascii="Times New Roman" w:hAnsi="Times New Roman" w:eastAsia="宋体" w:cs="Times New Roman"/>
          <w:b/>
          <w:sz w:val="28"/>
          <w:szCs w:val="28"/>
        </w:rPr>
        <w:t>、课程考核</w:t>
      </w:r>
    </w:p>
    <w:p w14:paraId="0D382560">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w:t>
      </w:r>
      <w:r>
        <w:rPr>
          <w:rFonts w:ascii="Times New Roman" w:hAnsi="Times New Roman" w:eastAsia="宋体" w:cs="Times New Roman"/>
          <w:b/>
          <w:color w:val="000000"/>
          <w:sz w:val="24"/>
          <w:szCs w:val="24"/>
        </w:rPr>
        <w:t>考核资料要求</w:t>
      </w:r>
    </w:p>
    <w:p w14:paraId="1554D9DE">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1.教育见习手册填写完整。</w:t>
      </w:r>
    </w:p>
    <w:p w14:paraId="4EA2D51B">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2.教育调查报告1份。</w:t>
      </w:r>
    </w:p>
    <w:p w14:paraId="77FF5430">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3.教育见习鉴定表每人一份，</w:t>
      </w:r>
      <w:r>
        <w:rPr>
          <w:rFonts w:ascii="Times New Roman" w:hAnsi="Times New Roman" w:eastAsia="宋体" w:cs="Times New Roman"/>
          <w:color w:val="000000"/>
          <w:sz w:val="24"/>
          <w:szCs w:val="24"/>
        </w:rPr>
        <w:t>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w:t>
      </w:r>
      <w:r>
        <w:rPr>
          <w:rFonts w:hint="eastAsia" w:ascii="Times New Roman" w:hAnsi="Times New Roman" w:eastAsia="宋体" w:cs="Times New Roman"/>
          <w:color w:val="000000"/>
          <w:sz w:val="24"/>
          <w:szCs w:val="24"/>
        </w:rPr>
        <w:t>实践导师</w:t>
      </w:r>
      <w:r>
        <w:rPr>
          <w:rFonts w:ascii="Times New Roman" w:hAnsi="Times New Roman" w:eastAsia="宋体" w:cs="Times New Roman"/>
          <w:color w:val="000000"/>
          <w:sz w:val="24"/>
          <w:szCs w:val="24"/>
        </w:rPr>
        <w:t>和班主任的评语及打分，并有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学校的意见</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本校指导教师的</w:t>
      </w:r>
      <w:r>
        <w:rPr>
          <w:rFonts w:hint="eastAsia" w:ascii="Times New Roman" w:hAnsi="Times New Roman" w:eastAsia="宋体" w:cs="Times New Roman"/>
          <w:color w:val="000000"/>
          <w:sz w:val="24"/>
          <w:szCs w:val="24"/>
        </w:rPr>
        <w:t>评语评分</w:t>
      </w:r>
      <w:r>
        <w:rPr>
          <w:rFonts w:ascii="Times New Roman" w:hAnsi="Times New Roman" w:eastAsia="宋体" w:cs="Times New Roman"/>
          <w:color w:val="000000"/>
          <w:sz w:val="24"/>
          <w:szCs w:val="24"/>
        </w:rPr>
        <w:t>及签字。</w:t>
      </w:r>
    </w:p>
    <w:p w14:paraId="3FFA9077">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w:t>
      </w:r>
      <w:r>
        <w:rPr>
          <w:rFonts w:hint="eastAsia" w:ascii="Times New Roman" w:hAnsi="Times New Roman" w:eastAsia="宋体" w:cs="Times New Roman"/>
          <w:b/>
          <w:color w:val="000000"/>
          <w:sz w:val="24"/>
          <w:szCs w:val="24"/>
        </w:rPr>
        <w:t>成绩评定要求</w:t>
      </w:r>
    </w:p>
    <w:p w14:paraId="7A8231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t xml:space="preserve"> </w:t>
      </w:r>
      <w:r>
        <w:rPr>
          <w:rFonts w:ascii="Times New Roman" w:hAnsi="Times New Roman" w:eastAsia="宋体" w:cs="Times New Roman"/>
          <w:sz w:val="24"/>
          <w:szCs w:val="24"/>
        </w:rPr>
        <w:t>本课程设计成绩分优、良、中、及格和不及格五个档次。</w:t>
      </w:r>
    </w:p>
    <w:p w14:paraId="5354D63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课程设计考核方式：采用调查报告、教学工作见习、班主任工作见习、教育见习态度四个部分组成。</w:t>
      </w:r>
    </w:p>
    <w:p w14:paraId="4B1075A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调查报告、教学工作见习、班主任工作见习、教育见习态度合计满分1</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分，调查报告成绩占比1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教学工作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班主任工作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，教育见习态度占比3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14:paraId="71C1C03D">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课程总评成绩=调查报告*</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+教学工作*</w:t>
      </w:r>
      <w:r>
        <w:rPr>
          <w:rFonts w:ascii="Times New Roman" w:hAnsi="Times New Roman" w:eastAsia="宋体" w:cs="Times New Roman"/>
          <w:sz w:val="24"/>
          <w:szCs w:val="24"/>
        </w:rPr>
        <w:t>30%</w:t>
      </w:r>
      <w:r>
        <w:rPr>
          <w:rFonts w:hint="eastAsia" w:ascii="Times New Roman" w:hAnsi="Times New Roman" w:eastAsia="宋体" w:cs="Times New Roman"/>
          <w:sz w:val="24"/>
          <w:szCs w:val="24"/>
        </w:rPr>
        <w:t>+班主任工作*</w:t>
      </w:r>
      <w:r>
        <w:rPr>
          <w:rFonts w:ascii="Times New Roman" w:hAnsi="Times New Roman" w:eastAsia="宋体" w:cs="Times New Roman"/>
          <w:sz w:val="24"/>
          <w:szCs w:val="24"/>
        </w:rPr>
        <w:t>30%</w:t>
      </w:r>
      <w:r>
        <w:rPr>
          <w:rFonts w:hint="eastAsia" w:ascii="Times New Roman" w:hAnsi="Times New Roman" w:eastAsia="宋体" w:cs="Times New Roman"/>
          <w:sz w:val="24"/>
          <w:szCs w:val="24"/>
        </w:rPr>
        <w:t>+见习态度*</w:t>
      </w:r>
      <w:r>
        <w:rPr>
          <w:rFonts w:ascii="Times New Roman" w:hAnsi="Times New Roman" w:eastAsia="宋体" w:cs="Times New Roman"/>
          <w:sz w:val="24"/>
          <w:szCs w:val="24"/>
        </w:rPr>
        <w:t>30%</w:t>
      </w:r>
    </w:p>
    <w:p w14:paraId="10710D3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w:t>
      </w:r>
      <w:r>
        <w:rPr>
          <w:rFonts w:hint="eastAsia" w:ascii="Times New Roman" w:hAnsi="Times New Roman" w:eastAsia="宋体" w:cs="Times New Roman"/>
          <w:sz w:val="24"/>
          <w:szCs w:val="24"/>
        </w:rPr>
        <w:t>考核</w:t>
      </w:r>
      <w:r>
        <w:rPr>
          <w:rFonts w:ascii="Times New Roman" w:hAnsi="Times New Roman" w:eastAsia="宋体" w:cs="Times New Roman"/>
          <w:sz w:val="24"/>
          <w:szCs w:val="24"/>
        </w:rPr>
        <w:t>内容和比例</w:t>
      </w:r>
      <w:r>
        <w:rPr>
          <w:rFonts w:hint="eastAsia" w:ascii="Times New Roman" w:hAnsi="Times New Roman" w:eastAsia="宋体" w:cs="Times New Roman"/>
          <w:sz w:val="24"/>
          <w:szCs w:val="24"/>
        </w:rPr>
        <w:t>如表所示。</w:t>
      </w:r>
    </w:p>
    <w:tbl>
      <w:tblPr>
        <w:tblStyle w:val="30"/>
        <w:tblW w:w="53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003"/>
        <w:gridCol w:w="666"/>
        <w:gridCol w:w="3008"/>
        <w:gridCol w:w="1309"/>
        <w:gridCol w:w="1469"/>
      </w:tblGrid>
      <w:tr w14:paraId="6C3E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90" w:type="pct"/>
            <w:tcBorders>
              <w:top w:val="single" w:color="auto" w:sz="4" w:space="0"/>
              <w:left w:val="single" w:color="auto" w:sz="4" w:space="0"/>
              <w:bottom w:val="single" w:color="auto" w:sz="4" w:space="0"/>
              <w:right w:val="single" w:color="auto" w:sz="4" w:space="0"/>
            </w:tcBorders>
            <w:shd w:val="clear" w:color="auto" w:fill="FFFFFF"/>
            <w:vAlign w:val="center"/>
          </w:tcPr>
          <w:p w14:paraId="30E9B410">
            <w:pPr>
              <w:jc w:val="center"/>
              <w:rPr>
                <w:rFonts w:ascii="Times New Roman" w:hAnsi="Times New Roman" w:eastAsia="宋体" w:cs="Times New Roman"/>
                <w:b/>
                <w:bCs/>
                <w:szCs w:val="21"/>
              </w:rPr>
            </w:pPr>
            <w:r>
              <w:rPr>
                <w:rFonts w:ascii="Times New Roman" w:hAnsi="Times New Roman" w:eastAsia="宋体" w:cs="Times New Roman"/>
                <w:b/>
                <w:bCs/>
                <w:szCs w:val="21"/>
              </w:rPr>
              <w:t>成绩组成</w:t>
            </w:r>
          </w:p>
        </w:tc>
        <w:tc>
          <w:tcPr>
            <w:tcW w:w="1092" w:type="pct"/>
            <w:tcBorders>
              <w:top w:val="single" w:color="auto" w:sz="4" w:space="0"/>
              <w:left w:val="single" w:color="auto" w:sz="4" w:space="0"/>
              <w:bottom w:val="single" w:color="auto" w:sz="4" w:space="0"/>
              <w:right w:val="single" w:color="auto" w:sz="4" w:space="0"/>
            </w:tcBorders>
            <w:shd w:val="clear" w:color="auto" w:fill="FFFFFF"/>
            <w:vAlign w:val="center"/>
          </w:tcPr>
          <w:p w14:paraId="0695F8F1">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363" w:type="pct"/>
            <w:tcBorders>
              <w:top w:val="single" w:color="auto" w:sz="4" w:space="0"/>
              <w:left w:val="single" w:color="auto" w:sz="4" w:space="0"/>
              <w:bottom w:val="single" w:color="auto" w:sz="4" w:space="0"/>
              <w:right w:val="single" w:color="auto" w:sz="4" w:space="0"/>
            </w:tcBorders>
            <w:shd w:val="clear" w:color="auto" w:fill="FFFFFF"/>
            <w:vAlign w:val="center"/>
          </w:tcPr>
          <w:p w14:paraId="0B16601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c>
          <w:tcPr>
            <w:tcW w:w="1640" w:type="pct"/>
            <w:tcBorders>
              <w:top w:val="single" w:color="auto" w:sz="4" w:space="0"/>
              <w:left w:val="single" w:color="auto" w:sz="4" w:space="0"/>
              <w:bottom w:val="single" w:color="auto" w:sz="4" w:space="0"/>
              <w:right w:val="single" w:color="auto" w:sz="4" w:space="0"/>
            </w:tcBorders>
            <w:shd w:val="clear" w:color="auto" w:fill="FFFFFF"/>
            <w:vAlign w:val="center"/>
          </w:tcPr>
          <w:p w14:paraId="141AE7DA">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714" w:type="pct"/>
            <w:tcBorders>
              <w:top w:val="single" w:color="auto" w:sz="4" w:space="0"/>
              <w:left w:val="single" w:color="auto" w:sz="4" w:space="0"/>
              <w:bottom w:val="single" w:color="auto" w:sz="4" w:space="0"/>
              <w:right w:val="single" w:color="auto" w:sz="4" w:space="0"/>
            </w:tcBorders>
            <w:shd w:val="clear" w:color="auto" w:fill="FFFFFF"/>
            <w:vAlign w:val="center"/>
          </w:tcPr>
          <w:p w14:paraId="7A9648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801" w:type="pct"/>
            <w:tcBorders>
              <w:top w:val="single" w:color="auto" w:sz="4" w:space="0"/>
              <w:left w:val="single" w:color="auto" w:sz="4" w:space="0"/>
              <w:bottom w:val="single" w:color="auto" w:sz="4" w:space="0"/>
              <w:right w:val="single" w:color="auto" w:sz="4" w:space="0"/>
            </w:tcBorders>
            <w:shd w:val="clear" w:color="auto" w:fill="FFFFFF"/>
            <w:vAlign w:val="center"/>
          </w:tcPr>
          <w:p w14:paraId="55B329A6">
            <w:pPr>
              <w:jc w:val="center"/>
              <w:rPr>
                <w:rFonts w:ascii="Times New Roman" w:hAnsi="Times New Roman" w:eastAsia="宋体" w:cs="Times New Roman"/>
                <w:b/>
                <w:bCs/>
                <w:szCs w:val="21"/>
              </w:rPr>
            </w:pPr>
            <w:r>
              <w:rPr>
                <w:rFonts w:ascii="Times New Roman" w:hAnsi="Times New Roman" w:eastAsia="宋体" w:cs="Times New Roman"/>
                <w:b/>
                <w:bCs/>
                <w:szCs w:val="21"/>
              </w:rPr>
              <w:t>对应的毕业要求指标点</w:t>
            </w:r>
          </w:p>
        </w:tc>
      </w:tr>
      <w:tr w14:paraId="252D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90" w:type="pct"/>
            <w:tcBorders>
              <w:top w:val="single" w:color="auto" w:sz="4" w:space="0"/>
              <w:left w:val="single" w:color="auto" w:sz="4" w:space="0"/>
              <w:bottom w:val="single" w:color="auto" w:sz="4" w:space="0"/>
              <w:right w:val="single" w:color="auto" w:sz="4" w:space="0"/>
            </w:tcBorders>
            <w:vAlign w:val="center"/>
          </w:tcPr>
          <w:p w14:paraId="7829B332">
            <w:pPr>
              <w:rPr>
                <w:rFonts w:ascii="Times New Roman" w:hAnsi="Times New Roman" w:eastAsia="宋体" w:cs="Times New Roman"/>
                <w:szCs w:val="21"/>
              </w:rPr>
            </w:pPr>
            <w:r>
              <w:rPr>
                <w:rFonts w:hint="eastAsia" w:ascii="Times New Roman" w:hAnsi="Times New Roman" w:eastAsia="宋体" w:cs="Times New Roman"/>
                <w:szCs w:val="21"/>
              </w:rPr>
              <w:t>调查报告</w:t>
            </w:r>
          </w:p>
        </w:tc>
        <w:tc>
          <w:tcPr>
            <w:tcW w:w="1092" w:type="pct"/>
            <w:tcBorders>
              <w:top w:val="single" w:color="auto" w:sz="4" w:space="0"/>
              <w:left w:val="single" w:color="auto" w:sz="4" w:space="0"/>
              <w:bottom w:val="single" w:color="auto" w:sz="4" w:space="0"/>
              <w:right w:val="single" w:color="auto" w:sz="4" w:space="0"/>
            </w:tcBorders>
            <w:vAlign w:val="center"/>
          </w:tcPr>
          <w:p w14:paraId="7AEFAB96">
            <w:pPr>
              <w:rPr>
                <w:rFonts w:ascii="Times New Roman" w:hAnsi="Times New Roman" w:eastAsia="宋体" w:cs="Times New Roman"/>
                <w:szCs w:val="21"/>
              </w:rPr>
            </w:pPr>
            <w:r>
              <w:rPr>
                <w:rFonts w:hint="eastAsia" w:ascii="Times New Roman" w:hAnsi="Times New Roman" w:eastAsia="宋体" w:cs="Times New Roman"/>
                <w:szCs w:val="21"/>
              </w:rPr>
              <w:t>对见习学校开展调查研究，结合</w:t>
            </w:r>
            <w:r>
              <w:rPr>
                <w:rFonts w:ascii="Times New Roman" w:hAnsi="Times New Roman" w:eastAsia="宋体" w:cs="Times New Roman"/>
                <w:szCs w:val="21"/>
              </w:rPr>
              <w:t>文献资料</w:t>
            </w:r>
            <w:r>
              <w:rPr>
                <w:rFonts w:hint="eastAsia" w:ascii="Times New Roman" w:hAnsi="Times New Roman" w:eastAsia="宋体" w:cs="Times New Roman"/>
                <w:szCs w:val="21"/>
              </w:rPr>
              <w:t>完成调查报告</w:t>
            </w:r>
          </w:p>
        </w:tc>
        <w:tc>
          <w:tcPr>
            <w:tcW w:w="363" w:type="pct"/>
            <w:tcBorders>
              <w:top w:val="single" w:color="auto" w:sz="4" w:space="0"/>
              <w:left w:val="single" w:color="auto" w:sz="4" w:space="0"/>
              <w:bottom w:val="single" w:color="auto" w:sz="4" w:space="0"/>
              <w:right w:val="single" w:color="auto" w:sz="4" w:space="0"/>
            </w:tcBorders>
            <w:vAlign w:val="center"/>
          </w:tcPr>
          <w:p w14:paraId="61F61A51">
            <w:pPr>
              <w:rPr>
                <w:rFonts w:ascii="Times New Roman" w:hAnsi="Times New Roman" w:eastAsia="宋体" w:cs="Times New Roman"/>
                <w:szCs w:val="21"/>
              </w:rPr>
            </w:pPr>
            <w:r>
              <w:rPr>
                <w:rFonts w:ascii="Times New Roman" w:hAnsi="Times New Roman" w:eastAsia="宋体" w:cs="Times New Roman"/>
                <w:szCs w:val="21"/>
              </w:rPr>
              <w:t>10%</w:t>
            </w:r>
          </w:p>
        </w:tc>
        <w:tc>
          <w:tcPr>
            <w:tcW w:w="1640" w:type="pct"/>
            <w:tcBorders>
              <w:top w:val="single" w:color="auto" w:sz="4" w:space="0"/>
              <w:left w:val="single" w:color="auto" w:sz="4" w:space="0"/>
              <w:bottom w:val="single" w:color="auto" w:sz="4" w:space="0"/>
              <w:right w:val="single" w:color="auto" w:sz="4" w:space="0"/>
            </w:tcBorders>
            <w:vAlign w:val="center"/>
          </w:tcPr>
          <w:p w14:paraId="7E7A328B">
            <w:pPr>
              <w:rPr>
                <w:rFonts w:ascii="Times New Roman" w:hAnsi="Times New Roman" w:eastAsia="宋体" w:cs="Times New Roman"/>
                <w:szCs w:val="21"/>
              </w:rPr>
            </w:pPr>
            <w:r>
              <w:rPr>
                <w:rFonts w:hint="eastAsia" w:ascii="Times New Roman" w:hAnsi="Times New Roman" w:eastAsia="宋体" w:cs="Times New Roman"/>
                <w:szCs w:val="21"/>
              </w:rPr>
              <w:t>选题属于教育领域，问题意识清晰、方法设计可行，资料充实，内容撰写结构合理，形成明确的结论与观点。</w:t>
            </w:r>
          </w:p>
        </w:tc>
        <w:tc>
          <w:tcPr>
            <w:tcW w:w="714" w:type="pct"/>
            <w:tcBorders>
              <w:top w:val="single" w:color="auto" w:sz="4" w:space="0"/>
              <w:left w:val="single" w:color="auto" w:sz="4" w:space="0"/>
              <w:bottom w:val="single" w:color="auto" w:sz="4" w:space="0"/>
              <w:right w:val="single" w:color="auto" w:sz="4" w:space="0"/>
            </w:tcBorders>
            <w:vAlign w:val="center"/>
          </w:tcPr>
          <w:p w14:paraId="689CF2B9">
            <w:pPr>
              <w:rPr>
                <w:rFonts w:ascii="Times New Roman" w:hAnsi="Times New Roman" w:eastAsia="宋体" w:cs="Times New Roman"/>
                <w:szCs w:val="21"/>
              </w:rPr>
            </w:pPr>
            <w:r>
              <w:rPr>
                <w:rFonts w:hint="eastAsia" w:ascii="Times New Roman" w:hAnsi="Times New Roman" w:eastAsia="宋体" w:cs="Times New Roman"/>
                <w:szCs w:val="24"/>
              </w:rPr>
              <w:t>课程目标1、3</w:t>
            </w:r>
          </w:p>
        </w:tc>
        <w:tc>
          <w:tcPr>
            <w:tcW w:w="801" w:type="pct"/>
            <w:tcBorders>
              <w:top w:val="single" w:color="auto" w:sz="4" w:space="0"/>
              <w:left w:val="single" w:color="auto" w:sz="4" w:space="0"/>
              <w:bottom w:val="single" w:color="auto" w:sz="4" w:space="0"/>
              <w:right w:val="single" w:color="auto" w:sz="4" w:space="0"/>
            </w:tcBorders>
            <w:vAlign w:val="center"/>
          </w:tcPr>
          <w:p w14:paraId="11B1BF1A">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66608D14">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p>
        </w:tc>
      </w:tr>
      <w:tr w14:paraId="3489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90" w:type="pct"/>
            <w:tcBorders>
              <w:top w:val="single" w:color="auto" w:sz="4" w:space="0"/>
              <w:left w:val="single" w:color="auto" w:sz="4" w:space="0"/>
              <w:bottom w:val="single" w:color="auto" w:sz="4" w:space="0"/>
              <w:right w:val="single" w:color="auto" w:sz="4" w:space="0"/>
            </w:tcBorders>
            <w:vAlign w:val="center"/>
          </w:tcPr>
          <w:p w14:paraId="3EE651A5">
            <w:pPr>
              <w:rPr>
                <w:rFonts w:ascii="Times New Roman" w:hAnsi="Times New Roman" w:eastAsia="宋体" w:cs="Times New Roman"/>
                <w:szCs w:val="21"/>
              </w:rPr>
            </w:pPr>
            <w:r>
              <w:rPr>
                <w:rFonts w:hint="eastAsia" w:ascii="Times New Roman" w:hAnsi="Times New Roman" w:eastAsia="宋体" w:cs="Times New Roman"/>
                <w:szCs w:val="21"/>
              </w:rPr>
              <w:t>教学工作见习</w:t>
            </w:r>
          </w:p>
        </w:tc>
        <w:tc>
          <w:tcPr>
            <w:tcW w:w="1092" w:type="pct"/>
            <w:tcBorders>
              <w:top w:val="single" w:color="auto" w:sz="4" w:space="0"/>
              <w:left w:val="single" w:color="auto" w:sz="4" w:space="0"/>
              <w:bottom w:val="single" w:color="auto" w:sz="4" w:space="0"/>
              <w:right w:val="single" w:color="auto" w:sz="4" w:space="0"/>
            </w:tcBorders>
            <w:vAlign w:val="center"/>
          </w:tcPr>
          <w:p w14:paraId="45D72158">
            <w:pPr>
              <w:rPr>
                <w:rFonts w:ascii="Times New Roman" w:hAnsi="Times New Roman" w:eastAsia="宋体" w:cs="Times New Roman"/>
                <w:szCs w:val="21"/>
              </w:rPr>
            </w:pPr>
            <w:r>
              <w:rPr>
                <w:rFonts w:hint="eastAsia" w:ascii="Times New Roman" w:hAnsi="Times New Roman" w:eastAsia="宋体" w:cs="Times New Roman"/>
                <w:szCs w:val="21"/>
              </w:rPr>
              <w:t>观摩教学，在实践导师指导下设计和完善教案，尝试教学；参与教研，了解校本课程、兼教课程</w:t>
            </w:r>
          </w:p>
        </w:tc>
        <w:tc>
          <w:tcPr>
            <w:tcW w:w="363" w:type="pct"/>
            <w:tcBorders>
              <w:top w:val="single" w:color="auto" w:sz="4" w:space="0"/>
              <w:left w:val="single" w:color="auto" w:sz="4" w:space="0"/>
              <w:bottom w:val="single" w:color="auto" w:sz="4" w:space="0"/>
              <w:right w:val="single" w:color="auto" w:sz="4" w:space="0"/>
            </w:tcBorders>
            <w:vAlign w:val="center"/>
          </w:tcPr>
          <w:p w14:paraId="4932DC21">
            <w:pPr>
              <w:rPr>
                <w:rFonts w:ascii="Times New Roman" w:hAnsi="Times New Roman" w:eastAsia="宋体" w:cs="Times New Roman"/>
                <w:szCs w:val="21"/>
              </w:rPr>
            </w:pPr>
            <w:r>
              <w:rPr>
                <w:rFonts w:ascii="Times New Roman" w:hAnsi="Times New Roman" w:eastAsia="宋体" w:cs="Times New Roman"/>
                <w:szCs w:val="21"/>
              </w:rPr>
              <w:t>30%</w:t>
            </w:r>
          </w:p>
        </w:tc>
        <w:tc>
          <w:tcPr>
            <w:tcW w:w="1640" w:type="pct"/>
            <w:tcBorders>
              <w:top w:val="single" w:color="auto" w:sz="4" w:space="0"/>
              <w:left w:val="single" w:color="auto" w:sz="4" w:space="0"/>
              <w:bottom w:val="single" w:color="auto" w:sz="4" w:space="0"/>
              <w:right w:val="single" w:color="auto" w:sz="4" w:space="0"/>
            </w:tcBorders>
            <w:vAlign w:val="center"/>
          </w:tcPr>
          <w:p w14:paraId="51241B20">
            <w:pPr>
              <w:rPr>
                <w:rFonts w:ascii="Times New Roman" w:hAnsi="Times New Roman" w:eastAsia="宋体" w:cs="Times New Roman"/>
                <w:szCs w:val="21"/>
              </w:rPr>
            </w:pPr>
            <w:r>
              <w:rPr>
                <w:rFonts w:hint="eastAsia" w:ascii="Times New Roman" w:hAnsi="Times New Roman" w:eastAsia="宋体" w:cs="Times New Roman"/>
                <w:szCs w:val="21"/>
              </w:rPr>
              <w:t>听课认真，记录完整，深入思考和总结教学，主动向实践导师请教教学方法与教学经验；</w:t>
            </w:r>
          </w:p>
          <w:p w14:paraId="5C3599DB">
            <w:pPr>
              <w:rPr>
                <w:rFonts w:ascii="Times New Roman" w:hAnsi="Times New Roman" w:eastAsia="宋体" w:cs="Times New Roman"/>
                <w:szCs w:val="21"/>
              </w:rPr>
            </w:pPr>
            <w:r>
              <w:rPr>
                <w:rFonts w:hint="eastAsia" w:ascii="Times New Roman" w:hAnsi="Times New Roman" w:eastAsia="宋体" w:cs="Times New Roman"/>
                <w:szCs w:val="21"/>
              </w:rPr>
              <w:t>教案设计要素完整、表述规范，具备可操作性；</w:t>
            </w:r>
          </w:p>
          <w:p w14:paraId="6A73BF79">
            <w:pPr>
              <w:rPr>
                <w:rFonts w:ascii="Times New Roman" w:hAnsi="Times New Roman" w:eastAsia="宋体" w:cs="Times New Roman"/>
                <w:szCs w:val="21"/>
              </w:rPr>
            </w:pPr>
            <w:r>
              <w:rPr>
                <w:rFonts w:hint="eastAsia" w:ascii="Times New Roman" w:hAnsi="Times New Roman" w:eastAsia="宋体" w:cs="Times New Roman"/>
                <w:szCs w:val="21"/>
              </w:rPr>
              <w:t>积极参与教研活动，主动拓宽学科知识范围。</w:t>
            </w:r>
          </w:p>
        </w:tc>
        <w:tc>
          <w:tcPr>
            <w:tcW w:w="714" w:type="pct"/>
            <w:tcBorders>
              <w:top w:val="single" w:color="auto" w:sz="4" w:space="0"/>
              <w:left w:val="single" w:color="auto" w:sz="4" w:space="0"/>
              <w:bottom w:val="single" w:color="auto" w:sz="4" w:space="0"/>
              <w:right w:val="single" w:color="auto" w:sz="4" w:space="0"/>
            </w:tcBorders>
            <w:vAlign w:val="center"/>
          </w:tcPr>
          <w:p w14:paraId="4BC9E6B5">
            <w:pPr>
              <w:rPr>
                <w:rFonts w:ascii="Times New Roman" w:hAnsi="Times New Roman" w:eastAsia="宋体" w:cs="Times New Roman"/>
                <w:szCs w:val="21"/>
              </w:rPr>
            </w:pPr>
            <w:r>
              <w:rPr>
                <w:rFonts w:hint="eastAsia" w:ascii="Times New Roman" w:hAnsi="Times New Roman" w:eastAsia="宋体" w:cs="Times New Roman"/>
                <w:szCs w:val="24"/>
              </w:rPr>
              <w:t>课程目标1、2</w:t>
            </w:r>
          </w:p>
        </w:tc>
        <w:tc>
          <w:tcPr>
            <w:tcW w:w="801" w:type="pct"/>
            <w:tcBorders>
              <w:top w:val="single" w:color="auto" w:sz="4" w:space="0"/>
              <w:left w:val="single" w:color="auto" w:sz="4" w:space="0"/>
              <w:bottom w:val="single" w:color="auto" w:sz="4" w:space="0"/>
              <w:right w:val="single" w:color="auto" w:sz="4" w:space="0"/>
            </w:tcBorders>
            <w:vAlign w:val="center"/>
          </w:tcPr>
          <w:p w14:paraId="16FDC14A">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07AFD428">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p>
        </w:tc>
      </w:tr>
      <w:tr w14:paraId="481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0" w:type="pct"/>
            <w:tcBorders>
              <w:top w:val="single" w:color="auto" w:sz="4" w:space="0"/>
              <w:left w:val="single" w:color="auto" w:sz="4" w:space="0"/>
              <w:bottom w:val="single" w:color="auto" w:sz="4" w:space="0"/>
              <w:right w:val="single" w:color="auto" w:sz="4" w:space="0"/>
            </w:tcBorders>
            <w:vAlign w:val="center"/>
          </w:tcPr>
          <w:p w14:paraId="6DF0712C">
            <w:pPr>
              <w:rPr>
                <w:rFonts w:ascii="Times New Roman" w:hAnsi="Times New Roman" w:eastAsia="宋体" w:cs="Times New Roman"/>
                <w:szCs w:val="21"/>
              </w:rPr>
            </w:pPr>
            <w:r>
              <w:rPr>
                <w:rFonts w:hint="eastAsia" w:ascii="Times New Roman" w:hAnsi="Times New Roman" w:eastAsia="宋体" w:cs="Times New Roman"/>
                <w:szCs w:val="21"/>
              </w:rPr>
              <w:t>班主任工作见习</w:t>
            </w:r>
          </w:p>
        </w:tc>
        <w:tc>
          <w:tcPr>
            <w:tcW w:w="1092" w:type="pct"/>
            <w:tcBorders>
              <w:top w:val="single" w:color="auto" w:sz="4" w:space="0"/>
              <w:left w:val="single" w:color="auto" w:sz="4" w:space="0"/>
              <w:bottom w:val="single" w:color="auto" w:sz="4" w:space="0"/>
              <w:right w:val="single" w:color="auto" w:sz="4" w:space="0"/>
            </w:tcBorders>
            <w:vAlign w:val="center"/>
          </w:tcPr>
          <w:p w14:paraId="00D4B9C9">
            <w:pPr>
              <w:rPr>
                <w:rFonts w:ascii="Times New Roman" w:hAnsi="Times New Roman" w:eastAsia="宋体" w:cs="Times New Roman"/>
                <w:szCs w:val="21"/>
              </w:rPr>
            </w:pPr>
            <w:r>
              <w:rPr>
                <w:rFonts w:hint="eastAsia" w:ascii="Times New Roman" w:hAnsi="Times New Roman" w:eastAsia="宋体" w:cs="Times New Roman"/>
                <w:szCs w:val="21"/>
              </w:rPr>
              <w:t>见习班主任（少先队）工作情况</w:t>
            </w:r>
          </w:p>
        </w:tc>
        <w:tc>
          <w:tcPr>
            <w:tcW w:w="363" w:type="pct"/>
            <w:tcBorders>
              <w:top w:val="single" w:color="auto" w:sz="4" w:space="0"/>
              <w:left w:val="single" w:color="auto" w:sz="4" w:space="0"/>
              <w:bottom w:val="single" w:color="auto" w:sz="4" w:space="0"/>
              <w:right w:val="single" w:color="auto" w:sz="4" w:space="0"/>
            </w:tcBorders>
            <w:vAlign w:val="center"/>
          </w:tcPr>
          <w:p w14:paraId="52ACB6BF">
            <w:pPr>
              <w:rPr>
                <w:rFonts w:ascii="Times New Roman" w:hAnsi="Times New Roman" w:eastAsia="宋体" w:cs="Times New Roman"/>
                <w:szCs w:val="21"/>
              </w:rPr>
            </w:pPr>
            <w:r>
              <w:rPr>
                <w:rFonts w:ascii="Times New Roman" w:hAnsi="Times New Roman" w:eastAsia="宋体" w:cs="Times New Roman"/>
                <w:szCs w:val="21"/>
              </w:rPr>
              <w:t>30%</w:t>
            </w:r>
          </w:p>
        </w:tc>
        <w:tc>
          <w:tcPr>
            <w:tcW w:w="1640" w:type="pct"/>
            <w:tcBorders>
              <w:top w:val="single" w:color="auto" w:sz="4" w:space="0"/>
              <w:left w:val="single" w:color="auto" w:sz="4" w:space="0"/>
              <w:bottom w:val="single" w:color="auto" w:sz="4" w:space="0"/>
              <w:right w:val="single" w:color="auto" w:sz="4" w:space="0"/>
            </w:tcBorders>
            <w:vAlign w:val="center"/>
          </w:tcPr>
          <w:p w14:paraId="2375B22D">
            <w:pPr>
              <w:rPr>
                <w:rFonts w:ascii="Times New Roman" w:hAnsi="Times New Roman" w:eastAsia="宋体" w:cs="Times New Roman"/>
                <w:szCs w:val="21"/>
              </w:rPr>
            </w:pPr>
            <w:r>
              <w:rPr>
                <w:rFonts w:hint="eastAsia" w:ascii="Times New Roman" w:hAnsi="Times New Roman" w:eastAsia="宋体" w:cs="Times New Roman"/>
                <w:szCs w:val="21"/>
              </w:rPr>
              <w:t>熟悉小学班级管理事务，掌握小学生生活特点、心理特点；</w:t>
            </w:r>
          </w:p>
          <w:p w14:paraId="65587A36">
            <w:pPr>
              <w:rPr>
                <w:rFonts w:ascii="Times New Roman" w:hAnsi="Times New Roman" w:eastAsia="宋体" w:cs="Times New Roman"/>
                <w:szCs w:val="21"/>
              </w:rPr>
            </w:pPr>
            <w:r>
              <w:rPr>
                <w:rFonts w:hint="eastAsia" w:ascii="Times New Roman" w:hAnsi="Times New Roman" w:eastAsia="宋体" w:cs="Times New Roman"/>
                <w:szCs w:val="21"/>
              </w:rPr>
              <w:t>主动积累班级管理的经验，善于总结和反思教育管理案例，</w:t>
            </w:r>
          </w:p>
        </w:tc>
        <w:tc>
          <w:tcPr>
            <w:tcW w:w="714" w:type="pct"/>
            <w:tcBorders>
              <w:top w:val="single" w:color="auto" w:sz="4" w:space="0"/>
              <w:left w:val="single" w:color="auto" w:sz="4" w:space="0"/>
              <w:bottom w:val="single" w:color="auto" w:sz="4" w:space="0"/>
              <w:right w:val="single" w:color="auto" w:sz="4" w:space="0"/>
            </w:tcBorders>
            <w:vAlign w:val="center"/>
          </w:tcPr>
          <w:p w14:paraId="16084339">
            <w:pPr>
              <w:rPr>
                <w:rFonts w:ascii="Times New Roman" w:hAnsi="Times New Roman" w:eastAsia="宋体" w:cs="Times New Roman"/>
                <w:szCs w:val="21"/>
              </w:rPr>
            </w:pPr>
            <w:r>
              <w:rPr>
                <w:rFonts w:hint="eastAsia" w:ascii="Times New Roman" w:hAnsi="Times New Roman" w:eastAsia="宋体" w:cs="Times New Roman"/>
                <w:szCs w:val="24"/>
              </w:rPr>
              <w:t>课程目标1、3、4</w:t>
            </w:r>
          </w:p>
        </w:tc>
        <w:tc>
          <w:tcPr>
            <w:tcW w:w="801" w:type="pct"/>
            <w:tcBorders>
              <w:top w:val="single" w:color="auto" w:sz="4" w:space="0"/>
              <w:left w:val="single" w:color="auto" w:sz="4" w:space="0"/>
              <w:bottom w:val="single" w:color="auto" w:sz="4" w:space="0"/>
              <w:right w:val="single" w:color="auto" w:sz="4" w:space="0"/>
            </w:tcBorders>
            <w:vAlign w:val="center"/>
          </w:tcPr>
          <w:p w14:paraId="0FCB54BD">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47F6A8E6">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r w14:paraId="341B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390" w:type="pct"/>
            <w:tcBorders>
              <w:top w:val="single" w:color="auto" w:sz="4" w:space="0"/>
              <w:left w:val="single" w:color="auto" w:sz="4" w:space="0"/>
              <w:bottom w:val="single" w:color="auto" w:sz="4" w:space="0"/>
              <w:right w:val="single" w:color="auto" w:sz="4" w:space="0"/>
            </w:tcBorders>
            <w:vAlign w:val="center"/>
          </w:tcPr>
          <w:p w14:paraId="0B526C6A">
            <w:pPr>
              <w:rPr>
                <w:rFonts w:ascii="Times New Roman" w:hAnsi="Times New Roman" w:eastAsia="宋体" w:cs="Times New Roman"/>
                <w:szCs w:val="21"/>
              </w:rPr>
            </w:pPr>
            <w:r>
              <w:rPr>
                <w:rFonts w:hint="eastAsia" w:ascii="Times New Roman" w:hAnsi="Times New Roman" w:eastAsia="宋体" w:cs="Times New Roman"/>
                <w:szCs w:val="21"/>
              </w:rPr>
              <w:t>教育见习态度</w:t>
            </w:r>
          </w:p>
        </w:tc>
        <w:tc>
          <w:tcPr>
            <w:tcW w:w="1092" w:type="pct"/>
            <w:tcBorders>
              <w:top w:val="single" w:color="auto" w:sz="4" w:space="0"/>
              <w:left w:val="single" w:color="auto" w:sz="4" w:space="0"/>
              <w:bottom w:val="single" w:color="auto" w:sz="4" w:space="0"/>
              <w:right w:val="single" w:color="auto" w:sz="4" w:space="0"/>
            </w:tcBorders>
            <w:vAlign w:val="center"/>
          </w:tcPr>
          <w:p w14:paraId="1CD7EF47">
            <w:pPr>
              <w:rPr>
                <w:rFonts w:ascii="Times New Roman" w:hAnsi="Times New Roman" w:eastAsia="宋体" w:cs="Times New Roman"/>
                <w:szCs w:val="21"/>
              </w:rPr>
            </w:pPr>
            <w:r>
              <w:rPr>
                <w:rFonts w:hint="eastAsia" w:ascii="Times New Roman" w:hAnsi="Times New Roman" w:eastAsia="宋体" w:cs="Times New Roman"/>
                <w:szCs w:val="21"/>
              </w:rPr>
              <w:t>见习过程中的参与程度、主动学习情况等</w:t>
            </w:r>
          </w:p>
        </w:tc>
        <w:tc>
          <w:tcPr>
            <w:tcW w:w="363" w:type="pct"/>
            <w:tcBorders>
              <w:top w:val="single" w:color="auto" w:sz="4" w:space="0"/>
              <w:left w:val="single" w:color="auto" w:sz="4" w:space="0"/>
              <w:bottom w:val="single" w:color="auto" w:sz="4" w:space="0"/>
              <w:right w:val="single" w:color="auto" w:sz="4" w:space="0"/>
            </w:tcBorders>
            <w:vAlign w:val="center"/>
          </w:tcPr>
          <w:p w14:paraId="62B69DE1">
            <w:pPr>
              <w:rPr>
                <w:rFonts w:ascii="Times New Roman" w:hAnsi="Times New Roman" w:eastAsia="宋体" w:cs="Times New Roman"/>
                <w:szCs w:val="21"/>
              </w:rPr>
            </w:pPr>
            <w:r>
              <w:rPr>
                <w:rFonts w:ascii="Times New Roman" w:hAnsi="Times New Roman" w:eastAsia="宋体" w:cs="Times New Roman"/>
                <w:szCs w:val="21"/>
              </w:rPr>
              <w:t>30%</w:t>
            </w:r>
          </w:p>
        </w:tc>
        <w:tc>
          <w:tcPr>
            <w:tcW w:w="1640" w:type="pct"/>
            <w:tcBorders>
              <w:top w:val="single" w:color="auto" w:sz="4" w:space="0"/>
              <w:left w:val="single" w:color="auto" w:sz="4" w:space="0"/>
              <w:bottom w:val="single" w:color="auto" w:sz="4" w:space="0"/>
              <w:right w:val="single" w:color="auto" w:sz="4" w:space="0"/>
            </w:tcBorders>
            <w:vAlign w:val="center"/>
          </w:tcPr>
          <w:p w14:paraId="732FD58F">
            <w:pPr>
              <w:rPr>
                <w:rFonts w:ascii="Times New Roman" w:hAnsi="Times New Roman" w:eastAsia="宋体" w:cs="Times New Roman"/>
                <w:szCs w:val="21"/>
              </w:rPr>
            </w:pPr>
            <w:r>
              <w:rPr>
                <w:rFonts w:hint="eastAsia" w:ascii="Times New Roman" w:hAnsi="Times New Roman" w:eastAsia="宋体" w:cs="Times New Roman"/>
                <w:szCs w:val="21"/>
              </w:rPr>
              <w:t>按要求参加见习，思想端正，学习态度积极；主动参与教学和班级管理，能够虚心请教、勤恳好学；与小学生交往热情，关爱小学生；见习总结认真，形成对自身教育实践比较全面客观的认识。</w:t>
            </w:r>
          </w:p>
        </w:tc>
        <w:tc>
          <w:tcPr>
            <w:tcW w:w="714" w:type="pct"/>
            <w:tcBorders>
              <w:top w:val="single" w:color="auto" w:sz="4" w:space="0"/>
              <w:left w:val="single" w:color="auto" w:sz="4" w:space="0"/>
              <w:bottom w:val="single" w:color="auto" w:sz="4" w:space="0"/>
              <w:right w:val="single" w:color="auto" w:sz="4" w:space="0"/>
            </w:tcBorders>
            <w:vAlign w:val="center"/>
          </w:tcPr>
          <w:p w14:paraId="6E710C92">
            <w:pPr>
              <w:rPr>
                <w:rFonts w:ascii="Times New Roman" w:hAnsi="Times New Roman" w:eastAsia="宋体" w:cs="Times New Roman"/>
                <w:szCs w:val="24"/>
              </w:rPr>
            </w:pPr>
            <w:r>
              <w:rPr>
                <w:rFonts w:hint="eastAsia" w:ascii="Times New Roman" w:hAnsi="Times New Roman" w:eastAsia="宋体" w:cs="Times New Roman"/>
                <w:szCs w:val="24"/>
              </w:rPr>
              <w:t>课程目标1、2、3、4</w:t>
            </w:r>
          </w:p>
        </w:tc>
        <w:tc>
          <w:tcPr>
            <w:tcW w:w="801" w:type="pct"/>
            <w:tcBorders>
              <w:top w:val="single" w:color="auto" w:sz="4" w:space="0"/>
              <w:left w:val="single" w:color="auto" w:sz="4" w:space="0"/>
              <w:bottom w:val="single" w:color="auto" w:sz="4" w:space="0"/>
              <w:right w:val="single" w:color="auto" w:sz="4" w:space="0"/>
            </w:tcBorders>
            <w:vAlign w:val="center"/>
          </w:tcPr>
          <w:p w14:paraId="4D042FBA">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43D20F53">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bl>
    <w:p w14:paraId="4A48BE80">
      <w:pPr>
        <w:spacing w:line="360" w:lineRule="auto"/>
        <w:jc w:val="center"/>
        <w:rPr>
          <w:rFonts w:ascii="宋体" w:hAnsi="宋体" w:eastAsia="宋体" w:cs="Times New Roman"/>
          <w:b/>
          <w:bCs/>
          <w:color w:val="000000"/>
          <w:sz w:val="24"/>
          <w:szCs w:val="24"/>
        </w:rPr>
      </w:pPr>
    </w:p>
    <w:p w14:paraId="6A1A5CE4">
      <w:pPr>
        <w:spacing w:line="360" w:lineRule="auto"/>
        <w:jc w:val="center"/>
        <w:rPr>
          <w:rFonts w:hint="eastAsia" w:ascii="宋体" w:hAnsi="宋体" w:eastAsia="宋体" w:cs="Times New Roman"/>
          <w:b/>
          <w:bCs/>
          <w:color w:val="000000"/>
          <w:sz w:val="24"/>
          <w:szCs w:val="24"/>
        </w:rPr>
      </w:pPr>
    </w:p>
    <w:p w14:paraId="232455F1">
      <w:pPr>
        <w:spacing w:line="360" w:lineRule="auto"/>
        <w:jc w:val="center"/>
        <w:rPr>
          <w:rFonts w:ascii="宋体" w:hAnsi="宋体" w:eastAsia="宋体" w:cs="Times New Roman"/>
          <w:b/>
          <w:bCs/>
          <w:color w:val="000000"/>
          <w:sz w:val="24"/>
          <w:szCs w:val="24"/>
        </w:rPr>
      </w:pPr>
    </w:p>
    <w:p w14:paraId="14687629">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9048" w:type="dxa"/>
        <w:tblInd w:w="0" w:type="dxa"/>
        <w:tblLayout w:type="autofit"/>
        <w:tblCellMar>
          <w:top w:w="0" w:type="dxa"/>
          <w:left w:w="108" w:type="dxa"/>
          <w:bottom w:w="0" w:type="dxa"/>
          <w:right w:w="108" w:type="dxa"/>
        </w:tblCellMar>
      </w:tblPr>
      <w:tblGrid>
        <w:gridCol w:w="1696"/>
        <w:gridCol w:w="1276"/>
        <w:gridCol w:w="2268"/>
        <w:gridCol w:w="1843"/>
        <w:gridCol w:w="1965"/>
      </w:tblGrid>
      <w:tr w14:paraId="53904876">
        <w:tblPrEx>
          <w:tblCellMar>
            <w:top w:w="0" w:type="dxa"/>
            <w:left w:w="108" w:type="dxa"/>
            <w:bottom w:w="0" w:type="dxa"/>
            <w:right w:w="108" w:type="dxa"/>
          </w:tblCellMar>
        </w:tblPrEx>
        <w:trPr>
          <w:trHeight w:val="527" w:hRule="atLeast"/>
        </w:trPr>
        <w:tc>
          <w:tcPr>
            <w:tcW w:w="2972" w:type="dxa"/>
            <w:gridSpan w:val="2"/>
            <w:tcBorders>
              <w:top w:val="single" w:color="auto" w:sz="4" w:space="0"/>
              <w:left w:val="single" w:color="auto" w:sz="4" w:space="0"/>
              <w:bottom w:val="single" w:color="auto" w:sz="4" w:space="0"/>
              <w:right w:val="single" w:color="auto" w:sz="4" w:space="0"/>
            </w:tcBorders>
            <w:vAlign w:val="center"/>
          </w:tcPr>
          <w:p w14:paraId="1453565D">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6076" w:type="dxa"/>
            <w:gridSpan w:val="3"/>
            <w:tcBorders>
              <w:top w:val="single" w:color="auto" w:sz="4" w:space="0"/>
              <w:left w:val="single" w:color="auto" w:sz="4" w:space="0"/>
              <w:bottom w:val="single" w:color="auto" w:sz="4" w:space="0"/>
              <w:right w:val="single" w:color="auto" w:sz="4" w:space="0"/>
            </w:tcBorders>
            <w:vAlign w:val="center"/>
          </w:tcPr>
          <w:p w14:paraId="60A3A19D">
            <w:pPr>
              <w:widowControl/>
              <w:spacing w:line="276" w:lineRule="auto"/>
              <w:ind w:right="-391" w:rightChars="-186"/>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3F97C48C">
        <w:tblPrEx>
          <w:tblCellMar>
            <w:top w:w="0" w:type="dxa"/>
            <w:left w:w="108" w:type="dxa"/>
            <w:bottom w:w="0" w:type="dxa"/>
            <w:right w:w="108" w:type="dxa"/>
          </w:tblCellMar>
        </w:tblPrEx>
        <w:trPr>
          <w:trHeight w:val="482" w:hRule="atLeast"/>
        </w:trPr>
        <w:tc>
          <w:tcPr>
            <w:tcW w:w="1696" w:type="dxa"/>
            <w:tcBorders>
              <w:top w:val="single" w:color="auto" w:sz="4" w:space="0"/>
              <w:left w:val="single" w:color="auto" w:sz="4" w:space="0"/>
              <w:bottom w:val="single" w:color="auto" w:sz="4" w:space="0"/>
              <w:right w:val="single" w:color="auto" w:sz="4" w:space="0"/>
            </w:tcBorders>
            <w:vAlign w:val="center"/>
          </w:tcPr>
          <w:p w14:paraId="66FBAE84">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276" w:type="dxa"/>
            <w:tcBorders>
              <w:top w:val="single" w:color="auto" w:sz="4" w:space="0"/>
              <w:left w:val="single" w:color="auto" w:sz="4" w:space="0"/>
              <w:bottom w:val="single" w:color="auto" w:sz="4" w:space="0"/>
              <w:right w:val="single" w:color="auto" w:sz="4" w:space="0"/>
            </w:tcBorders>
            <w:vAlign w:val="center"/>
          </w:tcPr>
          <w:p w14:paraId="71CF0E0E">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268" w:type="dxa"/>
            <w:tcBorders>
              <w:top w:val="single" w:color="auto" w:sz="4" w:space="0"/>
              <w:left w:val="single" w:color="auto" w:sz="4" w:space="0"/>
              <w:bottom w:val="single" w:color="auto" w:sz="4" w:space="0"/>
              <w:right w:val="single" w:color="auto" w:sz="4" w:space="0"/>
            </w:tcBorders>
            <w:vAlign w:val="center"/>
          </w:tcPr>
          <w:p w14:paraId="0DA0B964">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843" w:type="dxa"/>
            <w:tcBorders>
              <w:top w:val="single" w:color="auto" w:sz="4" w:space="0"/>
              <w:left w:val="single" w:color="auto" w:sz="4" w:space="0"/>
              <w:bottom w:val="single" w:color="auto" w:sz="4" w:space="0"/>
              <w:right w:val="single" w:color="auto" w:sz="4" w:space="0"/>
            </w:tcBorders>
            <w:vAlign w:val="center"/>
          </w:tcPr>
          <w:p w14:paraId="750F3220">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965" w:type="dxa"/>
            <w:tcBorders>
              <w:top w:val="single" w:color="auto" w:sz="4" w:space="0"/>
              <w:left w:val="single" w:color="auto" w:sz="4" w:space="0"/>
              <w:bottom w:val="single" w:color="auto" w:sz="4" w:space="0"/>
              <w:right w:val="single" w:color="auto" w:sz="4" w:space="0"/>
            </w:tcBorders>
          </w:tcPr>
          <w:p w14:paraId="66CE9244">
            <w:pPr>
              <w:widowControl/>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2CA021E1">
        <w:tblPrEx>
          <w:tblCellMar>
            <w:top w:w="0" w:type="dxa"/>
            <w:left w:w="108" w:type="dxa"/>
            <w:bottom w:w="0" w:type="dxa"/>
            <w:right w:w="108" w:type="dxa"/>
          </w:tblCellMar>
        </w:tblPrEx>
        <w:trPr>
          <w:trHeight w:val="400" w:hRule="atLeast"/>
        </w:trPr>
        <w:tc>
          <w:tcPr>
            <w:tcW w:w="1696" w:type="dxa"/>
            <w:vMerge w:val="restart"/>
            <w:tcBorders>
              <w:top w:val="single" w:color="auto" w:sz="4" w:space="0"/>
              <w:left w:val="single" w:color="auto" w:sz="4" w:space="0"/>
              <w:right w:val="single" w:color="auto" w:sz="4" w:space="0"/>
            </w:tcBorders>
            <w:vAlign w:val="center"/>
          </w:tcPr>
          <w:p w14:paraId="7711BFDE">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276" w:type="dxa"/>
            <w:vMerge w:val="restart"/>
            <w:tcBorders>
              <w:top w:val="single" w:color="auto" w:sz="4" w:space="0"/>
              <w:left w:val="single" w:color="auto" w:sz="4" w:space="0"/>
              <w:right w:val="single" w:color="auto" w:sz="4" w:space="0"/>
            </w:tcBorders>
            <w:vAlign w:val="center"/>
          </w:tcPr>
          <w:p w14:paraId="2D4D0148">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268" w:type="dxa"/>
            <w:tcBorders>
              <w:top w:val="single" w:color="auto" w:sz="4" w:space="0"/>
              <w:left w:val="single" w:color="auto" w:sz="4" w:space="0"/>
              <w:bottom w:val="single" w:color="auto" w:sz="4" w:space="0"/>
              <w:right w:val="single" w:color="auto" w:sz="4" w:space="0"/>
            </w:tcBorders>
            <w:vAlign w:val="center"/>
          </w:tcPr>
          <w:p w14:paraId="442EFE7D">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教学工作见习</w:t>
            </w:r>
          </w:p>
        </w:tc>
        <w:tc>
          <w:tcPr>
            <w:tcW w:w="1843" w:type="dxa"/>
            <w:tcBorders>
              <w:top w:val="single" w:color="auto" w:sz="4" w:space="0"/>
              <w:left w:val="single" w:color="auto" w:sz="4" w:space="0"/>
              <w:bottom w:val="single" w:color="auto" w:sz="4" w:space="0"/>
              <w:right w:val="single" w:color="auto" w:sz="4" w:space="0"/>
            </w:tcBorders>
            <w:vAlign w:val="center"/>
          </w:tcPr>
          <w:p w14:paraId="6DCB4E29">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30% </w:t>
            </w:r>
          </w:p>
        </w:tc>
        <w:tc>
          <w:tcPr>
            <w:tcW w:w="1965" w:type="dxa"/>
            <w:vMerge w:val="restart"/>
            <w:tcBorders>
              <w:top w:val="single" w:color="auto" w:sz="4" w:space="0"/>
              <w:left w:val="single" w:color="auto" w:sz="4" w:space="0"/>
              <w:right w:val="single" w:color="auto" w:sz="4" w:space="0"/>
            </w:tcBorders>
            <w:vAlign w:val="center"/>
          </w:tcPr>
          <w:p w14:paraId="40FCC240">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0BB40D75">
        <w:tblPrEx>
          <w:tblCellMar>
            <w:top w:w="0" w:type="dxa"/>
            <w:left w:w="108" w:type="dxa"/>
            <w:bottom w:w="0" w:type="dxa"/>
            <w:right w:w="108" w:type="dxa"/>
          </w:tblCellMar>
        </w:tblPrEx>
        <w:trPr>
          <w:trHeight w:val="400" w:hRule="atLeast"/>
        </w:trPr>
        <w:tc>
          <w:tcPr>
            <w:tcW w:w="1696" w:type="dxa"/>
            <w:vMerge w:val="continue"/>
            <w:tcBorders>
              <w:left w:val="single" w:color="auto" w:sz="4" w:space="0"/>
              <w:right w:val="single" w:color="auto" w:sz="4" w:space="0"/>
            </w:tcBorders>
            <w:vAlign w:val="center"/>
          </w:tcPr>
          <w:p w14:paraId="3808EAA7">
            <w:pPr>
              <w:widowControl/>
              <w:spacing w:line="276" w:lineRule="auto"/>
              <w:jc w:val="center"/>
              <w:rPr>
                <w:rFonts w:ascii="宋体" w:hAnsi="宋体" w:eastAsia="宋体" w:cs="Times New Roman"/>
                <w:color w:val="000000"/>
                <w:kern w:val="0"/>
                <w:szCs w:val="21"/>
              </w:rPr>
            </w:pPr>
          </w:p>
        </w:tc>
        <w:tc>
          <w:tcPr>
            <w:tcW w:w="1276" w:type="dxa"/>
            <w:vMerge w:val="continue"/>
            <w:tcBorders>
              <w:left w:val="single" w:color="auto" w:sz="4" w:space="0"/>
              <w:right w:val="single" w:color="auto" w:sz="4" w:space="0"/>
            </w:tcBorders>
            <w:vAlign w:val="center"/>
          </w:tcPr>
          <w:p w14:paraId="10CA5030">
            <w:pPr>
              <w:widowControl/>
              <w:spacing w:line="276" w:lineRule="auto"/>
              <w:jc w:val="center"/>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29C7F27">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843" w:type="dxa"/>
            <w:tcBorders>
              <w:top w:val="single" w:color="auto" w:sz="4" w:space="0"/>
              <w:left w:val="single" w:color="auto" w:sz="4" w:space="0"/>
              <w:bottom w:val="single" w:color="auto" w:sz="4" w:space="0"/>
              <w:right w:val="single" w:color="auto" w:sz="4" w:space="0"/>
            </w:tcBorders>
            <w:vAlign w:val="center"/>
          </w:tcPr>
          <w:p w14:paraId="0D5C771A">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965" w:type="dxa"/>
            <w:vMerge w:val="continue"/>
            <w:tcBorders>
              <w:left w:val="single" w:color="auto" w:sz="4" w:space="0"/>
              <w:right w:val="single" w:color="auto" w:sz="4" w:space="0"/>
            </w:tcBorders>
            <w:vAlign w:val="center"/>
          </w:tcPr>
          <w:p w14:paraId="11BD8BBA">
            <w:pPr>
              <w:widowControl/>
              <w:spacing w:line="276" w:lineRule="auto"/>
              <w:jc w:val="center"/>
              <w:rPr>
                <w:rFonts w:ascii="宋体" w:hAnsi="宋体" w:eastAsia="宋体" w:cs="Times New Roman"/>
                <w:color w:val="000000"/>
                <w:kern w:val="0"/>
                <w:szCs w:val="21"/>
              </w:rPr>
            </w:pPr>
          </w:p>
        </w:tc>
      </w:tr>
      <w:tr w14:paraId="3D0FE70B">
        <w:tblPrEx>
          <w:tblCellMar>
            <w:top w:w="0" w:type="dxa"/>
            <w:left w:w="108" w:type="dxa"/>
            <w:bottom w:w="0" w:type="dxa"/>
            <w:right w:w="108" w:type="dxa"/>
          </w:tblCellMar>
        </w:tblPrEx>
        <w:trPr>
          <w:trHeight w:val="400" w:hRule="atLeast"/>
        </w:trPr>
        <w:tc>
          <w:tcPr>
            <w:tcW w:w="1696" w:type="dxa"/>
            <w:vMerge w:val="continue"/>
            <w:tcBorders>
              <w:left w:val="single" w:color="auto" w:sz="4" w:space="0"/>
              <w:right w:val="single" w:color="auto" w:sz="4" w:space="0"/>
            </w:tcBorders>
            <w:vAlign w:val="center"/>
          </w:tcPr>
          <w:p w14:paraId="73144EC2">
            <w:pPr>
              <w:widowControl/>
              <w:spacing w:line="276" w:lineRule="auto"/>
              <w:jc w:val="center"/>
              <w:rPr>
                <w:rFonts w:ascii="宋体" w:hAnsi="宋体" w:eastAsia="宋体" w:cs="Times New Roman"/>
                <w:color w:val="000000"/>
                <w:kern w:val="0"/>
                <w:szCs w:val="21"/>
              </w:rPr>
            </w:pPr>
          </w:p>
        </w:tc>
        <w:tc>
          <w:tcPr>
            <w:tcW w:w="1276" w:type="dxa"/>
            <w:vMerge w:val="continue"/>
            <w:tcBorders>
              <w:left w:val="single" w:color="auto" w:sz="4" w:space="0"/>
              <w:right w:val="single" w:color="auto" w:sz="4" w:space="0"/>
            </w:tcBorders>
            <w:vAlign w:val="center"/>
          </w:tcPr>
          <w:p w14:paraId="35E9CC02">
            <w:pPr>
              <w:widowControl/>
              <w:spacing w:line="276" w:lineRule="auto"/>
              <w:jc w:val="center"/>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B70C95D">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843" w:type="dxa"/>
            <w:tcBorders>
              <w:top w:val="single" w:color="auto" w:sz="4" w:space="0"/>
              <w:left w:val="single" w:color="auto" w:sz="4" w:space="0"/>
              <w:bottom w:val="single" w:color="auto" w:sz="4" w:space="0"/>
              <w:right w:val="single" w:color="auto" w:sz="4" w:space="0"/>
            </w:tcBorders>
            <w:vAlign w:val="center"/>
          </w:tcPr>
          <w:p w14:paraId="51252186">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965" w:type="dxa"/>
            <w:vMerge w:val="continue"/>
            <w:tcBorders>
              <w:left w:val="single" w:color="auto" w:sz="4" w:space="0"/>
              <w:right w:val="single" w:color="auto" w:sz="4" w:space="0"/>
            </w:tcBorders>
            <w:vAlign w:val="center"/>
          </w:tcPr>
          <w:p w14:paraId="4BE4DB24">
            <w:pPr>
              <w:widowControl/>
              <w:spacing w:line="276" w:lineRule="auto"/>
              <w:jc w:val="center"/>
              <w:rPr>
                <w:rFonts w:ascii="宋体" w:hAnsi="宋体" w:eastAsia="宋体" w:cs="Times New Roman"/>
                <w:color w:val="000000"/>
                <w:kern w:val="0"/>
                <w:szCs w:val="21"/>
              </w:rPr>
            </w:pPr>
          </w:p>
        </w:tc>
      </w:tr>
      <w:tr w14:paraId="79442F7E">
        <w:tblPrEx>
          <w:tblCellMar>
            <w:top w:w="0" w:type="dxa"/>
            <w:left w:w="108" w:type="dxa"/>
            <w:bottom w:w="0" w:type="dxa"/>
            <w:right w:w="108" w:type="dxa"/>
          </w:tblCellMar>
        </w:tblPrEx>
        <w:trPr>
          <w:trHeight w:val="400" w:hRule="atLeast"/>
        </w:trPr>
        <w:tc>
          <w:tcPr>
            <w:tcW w:w="1696" w:type="dxa"/>
            <w:vMerge w:val="continue"/>
            <w:tcBorders>
              <w:left w:val="single" w:color="auto" w:sz="4" w:space="0"/>
              <w:bottom w:val="single" w:color="auto" w:sz="4" w:space="0"/>
              <w:right w:val="single" w:color="auto" w:sz="4" w:space="0"/>
            </w:tcBorders>
            <w:vAlign w:val="center"/>
          </w:tcPr>
          <w:p w14:paraId="1F34B2D2">
            <w:pPr>
              <w:widowControl/>
              <w:spacing w:line="276" w:lineRule="auto"/>
              <w:jc w:val="center"/>
              <w:rPr>
                <w:rFonts w:ascii="宋体" w:hAnsi="宋体" w:eastAsia="宋体" w:cs="Times New Roman"/>
                <w:color w:val="000000"/>
                <w:kern w:val="0"/>
                <w:szCs w:val="21"/>
              </w:rPr>
            </w:pPr>
          </w:p>
        </w:tc>
        <w:tc>
          <w:tcPr>
            <w:tcW w:w="1276" w:type="dxa"/>
            <w:vMerge w:val="continue"/>
            <w:tcBorders>
              <w:left w:val="single" w:color="auto" w:sz="4" w:space="0"/>
              <w:bottom w:val="single" w:color="auto" w:sz="4" w:space="0"/>
              <w:right w:val="single" w:color="auto" w:sz="4" w:space="0"/>
            </w:tcBorders>
            <w:vAlign w:val="center"/>
          </w:tcPr>
          <w:p w14:paraId="481EAE54">
            <w:pPr>
              <w:widowControl/>
              <w:spacing w:line="276" w:lineRule="auto"/>
              <w:jc w:val="center"/>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E68B051">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843" w:type="dxa"/>
            <w:tcBorders>
              <w:top w:val="single" w:color="auto" w:sz="4" w:space="0"/>
              <w:left w:val="single" w:color="auto" w:sz="4" w:space="0"/>
              <w:bottom w:val="single" w:color="auto" w:sz="4" w:space="0"/>
              <w:right w:val="single" w:color="auto" w:sz="4" w:space="0"/>
            </w:tcBorders>
            <w:vAlign w:val="center"/>
          </w:tcPr>
          <w:p w14:paraId="3802D67F">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965" w:type="dxa"/>
            <w:vMerge w:val="continue"/>
            <w:tcBorders>
              <w:left w:val="single" w:color="auto" w:sz="4" w:space="0"/>
              <w:bottom w:val="single" w:color="auto" w:sz="4" w:space="0"/>
              <w:right w:val="single" w:color="auto" w:sz="4" w:space="0"/>
            </w:tcBorders>
            <w:vAlign w:val="center"/>
          </w:tcPr>
          <w:p w14:paraId="5EF956D0">
            <w:pPr>
              <w:widowControl/>
              <w:spacing w:line="276" w:lineRule="auto"/>
              <w:jc w:val="center"/>
              <w:rPr>
                <w:rFonts w:ascii="宋体" w:hAnsi="宋体" w:eastAsia="宋体" w:cs="Times New Roman"/>
                <w:color w:val="000000"/>
                <w:kern w:val="0"/>
                <w:szCs w:val="21"/>
              </w:rPr>
            </w:pPr>
          </w:p>
        </w:tc>
      </w:tr>
      <w:tr w14:paraId="2EA6A872">
        <w:tblPrEx>
          <w:tblCellMar>
            <w:top w:w="0" w:type="dxa"/>
            <w:left w:w="108" w:type="dxa"/>
            <w:bottom w:w="0" w:type="dxa"/>
            <w:right w:w="108" w:type="dxa"/>
          </w:tblCellMar>
        </w:tblPrEx>
        <w:trPr>
          <w:trHeight w:val="337" w:hRule="atLeast"/>
        </w:trPr>
        <w:tc>
          <w:tcPr>
            <w:tcW w:w="1696" w:type="dxa"/>
            <w:vMerge w:val="restart"/>
            <w:tcBorders>
              <w:top w:val="single" w:color="auto" w:sz="4" w:space="0"/>
              <w:left w:val="single" w:color="auto" w:sz="4" w:space="0"/>
              <w:right w:val="single" w:color="auto" w:sz="4" w:space="0"/>
            </w:tcBorders>
            <w:vAlign w:val="center"/>
          </w:tcPr>
          <w:p w14:paraId="34572E9E">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276" w:type="dxa"/>
            <w:vMerge w:val="restart"/>
            <w:tcBorders>
              <w:top w:val="single" w:color="auto" w:sz="4" w:space="0"/>
              <w:left w:val="single" w:color="auto" w:sz="4" w:space="0"/>
              <w:right w:val="single" w:color="auto" w:sz="4" w:space="0"/>
            </w:tcBorders>
            <w:vAlign w:val="center"/>
          </w:tcPr>
          <w:p w14:paraId="0B3BC34F">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268" w:type="dxa"/>
            <w:tcBorders>
              <w:top w:val="single" w:color="auto" w:sz="4" w:space="0"/>
              <w:left w:val="single" w:color="auto" w:sz="4" w:space="0"/>
              <w:right w:val="single" w:color="auto" w:sz="4" w:space="0"/>
            </w:tcBorders>
            <w:vAlign w:val="center"/>
          </w:tcPr>
          <w:p w14:paraId="2E0201D1">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教学工作见习</w:t>
            </w:r>
          </w:p>
        </w:tc>
        <w:tc>
          <w:tcPr>
            <w:tcW w:w="1843" w:type="dxa"/>
            <w:tcBorders>
              <w:top w:val="single" w:color="auto" w:sz="4" w:space="0"/>
              <w:left w:val="single" w:color="auto" w:sz="4" w:space="0"/>
              <w:right w:val="single" w:color="auto" w:sz="4" w:space="0"/>
            </w:tcBorders>
            <w:vAlign w:val="center"/>
          </w:tcPr>
          <w:p w14:paraId="0EB36B77">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60% </w:t>
            </w:r>
          </w:p>
        </w:tc>
        <w:tc>
          <w:tcPr>
            <w:tcW w:w="1965" w:type="dxa"/>
            <w:vMerge w:val="restart"/>
            <w:tcBorders>
              <w:top w:val="single" w:color="auto" w:sz="4" w:space="0"/>
              <w:left w:val="single" w:color="auto" w:sz="4" w:space="0"/>
              <w:right w:val="single" w:color="auto" w:sz="4" w:space="0"/>
            </w:tcBorders>
            <w:vAlign w:val="center"/>
          </w:tcPr>
          <w:p w14:paraId="4D0EDB6B">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7FA5A47B">
        <w:tblPrEx>
          <w:tblCellMar>
            <w:top w:w="0" w:type="dxa"/>
            <w:left w:w="108" w:type="dxa"/>
            <w:bottom w:w="0" w:type="dxa"/>
            <w:right w:w="108" w:type="dxa"/>
          </w:tblCellMar>
        </w:tblPrEx>
        <w:trPr>
          <w:trHeight w:val="316" w:hRule="atLeast"/>
        </w:trPr>
        <w:tc>
          <w:tcPr>
            <w:tcW w:w="1696" w:type="dxa"/>
            <w:vMerge w:val="continue"/>
            <w:tcBorders>
              <w:left w:val="single" w:color="auto" w:sz="4" w:space="0"/>
              <w:bottom w:val="single" w:color="auto" w:sz="4" w:space="0"/>
              <w:right w:val="single" w:color="auto" w:sz="4" w:space="0"/>
            </w:tcBorders>
            <w:vAlign w:val="center"/>
          </w:tcPr>
          <w:p w14:paraId="7860E2E6">
            <w:pPr>
              <w:widowControl/>
              <w:spacing w:line="276" w:lineRule="auto"/>
              <w:jc w:val="left"/>
              <w:rPr>
                <w:rFonts w:ascii="宋体" w:hAnsi="宋体" w:eastAsia="宋体" w:cs="Times New Roman"/>
                <w:color w:val="000000"/>
                <w:kern w:val="0"/>
                <w:szCs w:val="21"/>
              </w:rPr>
            </w:pPr>
          </w:p>
        </w:tc>
        <w:tc>
          <w:tcPr>
            <w:tcW w:w="1276" w:type="dxa"/>
            <w:vMerge w:val="continue"/>
            <w:tcBorders>
              <w:left w:val="single" w:color="auto" w:sz="4" w:space="0"/>
              <w:bottom w:val="single" w:color="auto" w:sz="4" w:space="0"/>
              <w:right w:val="single" w:color="auto" w:sz="4" w:space="0"/>
            </w:tcBorders>
            <w:vAlign w:val="center"/>
          </w:tcPr>
          <w:p w14:paraId="30826FA9">
            <w:pPr>
              <w:widowControl/>
              <w:spacing w:line="276" w:lineRule="auto"/>
              <w:jc w:val="left"/>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790D27EA">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843" w:type="dxa"/>
            <w:tcBorders>
              <w:top w:val="single" w:color="auto" w:sz="4" w:space="0"/>
              <w:left w:val="single" w:color="auto" w:sz="4" w:space="0"/>
              <w:bottom w:val="single" w:color="auto" w:sz="4" w:space="0"/>
              <w:right w:val="single" w:color="auto" w:sz="4" w:space="0"/>
            </w:tcBorders>
            <w:vAlign w:val="center"/>
          </w:tcPr>
          <w:p w14:paraId="1F6EF268">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40%</w:t>
            </w:r>
          </w:p>
        </w:tc>
        <w:tc>
          <w:tcPr>
            <w:tcW w:w="1965" w:type="dxa"/>
            <w:vMerge w:val="continue"/>
            <w:tcBorders>
              <w:left w:val="single" w:color="auto" w:sz="4" w:space="0"/>
              <w:bottom w:val="single" w:color="auto" w:sz="4" w:space="0"/>
              <w:right w:val="single" w:color="auto" w:sz="4" w:space="0"/>
            </w:tcBorders>
            <w:vAlign w:val="center"/>
          </w:tcPr>
          <w:p w14:paraId="5014E86E">
            <w:pPr>
              <w:widowControl/>
              <w:spacing w:line="276" w:lineRule="auto"/>
              <w:jc w:val="center"/>
              <w:rPr>
                <w:rFonts w:ascii="宋体" w:hAnsi="宋体" w:eastAsia="宋体" w:cs="Times New Roman"/>
                <w:color w:val="000000"/>
                <w:kern w:val="0"/>
                <w:szCs w:val="21"/>
              </w:rPr>
            </w:pPr>
          </w:p>
        </w:tc>
      </w:tr>
      <w:tr w14:paraId="4E0EC48B">
        <w:tblPrEx>
          <w:tblCellMar>
            <w:top w:w="0" w:type="dxa"/>
            <w:left w:w="108" w:type="dxa"/>
            <w:bottom w:w="0" w:type="dxa"/>
            <w:right w:w="108" w:type="dxa"/>
          </w:tblCellMar>
        </w:tblPrEx>
        <w:trPr>
          <w:trHeight w:val="447" w:hRule="atLeast"/>
        </w:trPr>
        <w:tc>
          <w:tcPr>
            <w:tcW w:w="1696" w:type="dxa"/>
            <w:vMerge w:val="restart"/>
            <w:tcBorders>
              <w:top w:val="single" w:color="auto" w:sz="4" w:space="0"/>
              <w:left w:val="single" w:color="auto" w:sz="4" w:space="0"/>
              <w:right w:val="single" w:color="auto" w:sz="4" w:space="0"/>
            </w:tcBorders>
            <w:vAlign w:val="center"/>
          </w:tcPr>
          <w:p w14:paraId="4B0BD37B">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276" w:type="dxa"/>
            <w:vMerge w:val="restart"/>
            <w:tcBorders>
              <w:top w:val="single" w:color="auto" w:sz="4" w:space="0"/>
              <w:left w:val="single" w:color="auto" w:sz="4" w:space="0"/>
              <w:right w:val="single" w:color="auto" w:sz="4" w:space="0"/>
            </w:tcBorders>
            <w:vAlign w:val="center"/>
          </w:tcPr>
          <w:p w14:paraId="65838B02">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268" w:type="dxa"/>
            <w:tcBorders>
              <w:top w:val="single" w:color="auto" w:sz="4" w:space="0"/>
              <w:left w:val="single" w:color="auto" w:sz="4" w:space="0"/>
              <w:right w:val="single" w:color="auto" w:sz="4" w:space="0"/>
            </w:tcBorders>
            <w:vAlign w:val="center"/>
          </w:tcPr>
          <w:p w14:paraId="72999AC3">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843" w:type="dxa"/>
            <w:tcBorders>
              <w:top w:val="single" w:color="auto" w:sz="4" w:space="0"/>
              <w:left w:val="single" w:color="auto" w:sz="4" w:space="0"/>
              <w:right w:val="single" w:color="auto" w:sz="4" w:space="0"/>
            </w:tcBorders>
            <w:vAlign w:val="center"/>
          </w:tcPr>
          <w:p w14:paraId="3855872D">
            <w:pPr>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965" w:type="dxa"/>
            <w:vMerge w:val="restart"/>
            <w:tcBorders>
              <w:top w:val="single" w:color="auto" w:sz="4" w:space="0"/>
              <w:left w:val="single" w:color="auto" w:sz="4" w:space="0"/>
              <w:right w:val="single" w:color="auto" w:sz="4" w:space="0"/>
            </w:tcBorders>
            <w:vAlign w:val="center"/>
          </w:tcPr>
          <w:p w14:paraId="24AD216D">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22C78B35">
        <w:tblPrEx>
          <w:tblCellMar>
            <w:top w:w="0" w:type="dxa"/>
            <w:left w:w="108" w:type="dxa"/>
            <w:bottom w:w="0" w:type="dxa"/>
            <w:right w:w="108" w:type="dxa"/>
          </w:tblCellMar>
        </w:tblPrEx>
        <w:trPr>
          <w:trHeight w:val="411" w:hRule="atLeast"/>
        </w:trPr>
        <w:tc>
          <w:tcPr>
            <w:tcW w:w="1696" w:type="dxa"/>
            <w:vMerge w:val="continue"/>
            <w:tcBorders>
              <w:left w:val="single" w:color="auto" w:sz="4" w:space="0"/>
              <w:bottom w:val="single" w:color="auto" w:sz="4" w:space="0"/>
              <w:right w:val="single" w:color="auto" w:sz="4" w:space="0"/>
            </w:tcBorders>
            <w:vAlign w:val="center"/>
          </w:tcPr>
          <w:p w14:paraId="3140217C">
            <w:pPr>
              <w:widowControl/>
              <w:spacing w:line="276" w:lineRule="auto"/>
              <w:jc w:val="center"/>
              <w:rPr>
                <w:rFonts w:ascii="宋体" w:hAnsi="宋体" w:eastAsia="宋体" w:cs="Times New Roman"/>
                <w:color w:val="000000"/>
                <w:kern w:val="0"/>
                <w:szCs w:val="21"/>
              </w:rPr>
            </w:pPr>
          </w:p>
        </w:tc>
        <w:tc>
          <w:tcPr>
            <w:tcW w:w="1276" w:type="dxa"/>
            <w:vMerge w:val="continue"/>
            <w:tcBorders>
              <w:left w:val="single" w:color="auto" w:sz="4" w:space="0"/>
              <w:bottom w:val="single" w:color="auto" w:sz="4" w:space="0"/>
              <w:right w:val="single" w:color="auto" w:sz="4" w:space="0"/>
            </w:tcBorders>
            <w:vAlign w:val="center"/>
          </w:tcPr>
          <w:p w14:paraId="5C68D7DA">
            <w:pPr>
              <w:widowControl/>
              <w:spacing w:line="276" w:lineRule="auto"/>
              <w:jc w:val="center"/>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EA72592">
            <w:pPr>
              <w:spacing w:line="276" w:lineRule="auto"/>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843" w:type="dxa"/>
            <w:tcBorders>
              <w:top w:val="single" w:color="auto" w:sz="4" w:space="0"/>
              <w:left w:val="single" w:color="auto" w:sz="4" w:space="0"/>
              <w:bottom w:val="single" w:color="auto" w:sz="4" w:space="0"/>
              <w:right w:val="single" w:color="auto" w:sz="4" w:space="0"/>
            </w:tcBorders>
            <w:vAlign w:val="center"/>
          </w:tcPr>
          <w:p w14:paraId="27057F33">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3</w:t>
            </w:r>
            <w:r>
              <w:rPr>
                <w:rFonts w:ascii="宋体" w:hAnsi="宋体" w:eastAsia="宋体" w:cs="Times New Roman"/>
                <w:color w:val="000000"/>
                <w:kern w:val="0"/>
                <w:szCs w:val="21"/>
              </w:rPr>
              <w:t>0%</w:t>
            </w:r>
          </w:p>
        </w:tc>
        <w:tc>
          <w:tcPr>
            <w:tcW w:w="1965" w:type="dxa"/>
            <w:vMerge w:val="continue"/>
            <w:tcBorders>
              <w:left w:val="single" w:color="auto" w:sz="4" w:space="0"/>
              <w:bottom w:val="single" w:color="auto" w:sz="4" w:space="0"/>
              <w:right w:val="single" w:color="auto" w:sz="4" w:space="0"/>
            </w:tcBorders>
            <w:vAlign w:val="center"/>
          </w:tcPr>
          <w:p w14:paraId="62DEA695">
            <w:pPr>
              <w:widowControl/>
              <w:spacing w:line="276" w:lineRule="auto"/>
              <w:jc w:val="center"/>
              <w:rPr>
                <w:rFonts w:ascii="宋体" w:hAnsi="宋体" w:eastAsia="宋体" w:cs="Times New Roman"/>
                <w:color w:val="000000"/>
                <w:kern w:val="0"/>
                <w:szCs w:val="21"/>
              </w:rPr>
            </w:pPr>
          </w:p>
        </w:tc>
      </w:tr>
      <w:tr w14:paraId="09AEABD2">
        <w:tblPrEx>
          <w:tblCellMar>
            <w:top w:w="0" w:type="dxa"/>
            <w:left w:w="108" w:type="dxa"/>
            <w:bottom w:w="0" w:type="dxa"/>
            <w:right w:w="108" w:type="dxa"/>
          </w:tblCellMar>
        </w:tblPrEx>
        <w:trPr>
          <w:trHeight w:val="411" w:hRule="atLeast"/>
        </w:trPr>
        <w:tc>
          <w:tcPr>
            <w:tcW w:w="1696" w:type="dxa"/>
            <w:vMerge w:val="continue"/>
            <w:tcBorders>
              <w:left w:val="single" w:color="auto" w:sz="4" w:space="0"/>
              <w:bottom w:val="single" w:color="auto" w:sz="4" w:space="0"/>
              <w:right w:val="single" w:color="auto" w:sz="4" w:space="0"/>
            </w:tcBorders>
            <w:vAlign w:val="center"/>
          </w:tcPr>
          <w:p w14:paraId="4764E696">
            <w:pPr>
              <w:widowControl/>
              <w:spacing w:line="276" w:lineRule="auto"/>
              <w:jc w:val="center"/>
              <w:rPr>
                <w:rFonts w:ascii="宋体" w:hAnsi="宋体" w:eastAsia="宋体" w:cs="Times New Roman"/>
                <w:color w:val="000000"/>
                <w:kern w:val="0"/>
                <w:szCs w:val="21"/>
              </w:rPr>
            </w:pPr>
          </w:p>
        </w:tc>
        <w:tc>
          <w:tcPr>
            <w:tcW w:w="1276" w:type="dxa"/>
            <w:vMerge w:val="continue"/>
            <w:tcBorders>
              <w:left w:val="single" w:color="auto" w:sz="4" w:space="0"/>
              <w:bottom w:val="single" w:color="auto" w:sz="4" w:space="0"/>
              <w:right w:val="single" w:color="auto" w:sz="4" w:space="0"/>
            </w:tcBorders>
            <w:vAlign w:val="center"/>
          </w:tcPr>
          <w:p w14:paraId="56CEA8BF">
            <w:pPr>
              <w:widowControl/>
              <w:spacing w:line="276" w:lineRule="auto"/>
              <w:jc w:val="center"/>
              <w:rPr>
                <w:rFonts w:ascii="宋体" w:hAnsi="宋体" w:eastAsia="宋体" w:cs="Times New Roman"/>
                <w:color w:val="000000"/>
                <w:kern w:val="0"/>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789BDB7">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843" w:type="dxa"/>
            <w:tcBorders>
              <w:top w:val="single" w:color="auto" w:sz="4" w:space="0"/>
              <w:left w:val="single" w:color="auto" w:sz="4" w:space="0"/>
              <w:bottom w:val="single" w:color="auto" w:sz="4" w:space="0"/>
              <w:right w:val="single" w:color="auto" w:sz="4" w:space="0"/>
            </w:tcBorders>
            <w:vAlign w:val="center"/>
          </w:tcPr>
          <w:p w14:paraId="4E201A73">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965" w:type="dxa"/>
            <w:vMerge w:val="continue"/>
            <w:tcBorders>
              <w:left w:val="single" w:color="auto" w:sz="4" w:space="0"/>
              <w:bottom w:val="single" w:color="auto" w:sz="4" w:space="0"/>
              <w:right w:val="single" w:color="auto" w:sz="4" w:space="0"/>
            </w:tcBorders>
            <w:vAlign w:val="center"/>
          </w:tcPr>
          <w:p w14:paraId="70E54EEE">
            <w:pPr>
              <w:widowControl/>
              <w:spacing w:line="276" w:lineRule="auto"/>
              <w:jc w:val="center"/>
              <w:rPr>
                <w:rFonts w:ascii="宋体" w:hAnsi="宋体" w:eastAsia="宋体" w:cs="Times New Roman"/>
                <w:color w:val="000000"/>
                <w:kern w:val="0"/>
                <w:szCs w:val="21"/>
              </w:rPr>
            </w:pPr>
          </w:p>
        </w:tc>
      </w:tr>
      <w:tr w14:paraId="7AA89692">
        <w:tblPrEx>
          <w:tblCellMar>
            <w:top w:w="0" w:type="dxa"/>
            <w:left w:w="108" w:type="dxa"/>
            <w:bottom w:w="0" w:type="dxa"/>
            <w:right w:w="108" w:type="dxa"/>
          </w:tblCellMar>
        </w:tblPrEx>
        <w:trPr>
          <w:trHeight w:val="403" w:hRule="atLeast"/>
        </w:trPr>
        <w:tc>
          <w:tcPr>
            <w:tcW w:w="1696" w:type="dxa"/>
            <w:vMerge w:val="restart"/>
            <w:tcBorders>
              <w:top w:val="single" w:color="auto" w:sz="4" w:space="0"/>
              <w:left w:val="single" w:color="auto" w:sz="4" w:space="0"/>
              <w:right w:val="single" w:color="auto" w:sz="4" w:space="0"/>
            </w:tcBorders>
            <w:vAlign w:val="center"/>
          </w:tcPr>
          <w:p w14:paraId="346933D5">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4</w:t>
            </w:r>
          </w:p>
        </w:tc>
        <w:tc>
          <w:tcPr>
            <w:tcW w:w="1276" w:type="dxa"/>
            <w:vMerge w:val="restart"/>
            <w:tcBorders>
              <w:top w:val="single" w:color="auto" w:sz="4" w:space="0"/>
              <w:left w:val="single" w:color="auto" w:sz="4" w:space="0"/>
              <w:right w:val="single" w:color="auto" w:sz="4" w:space="0"/>
            </w:tcBorders>
            <w:vAlign w:val="center"/>
          </w:tcPr>
          <w:p w14:paraId="2C9E6C88">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268" w:type="dxa"/>
            <w:tcBorders>
              <w:top w:val="single" w:color="auto" w:sz="4" w:space="0"/>
              <w:left w:val="single" w:color="auto" w:sz="4" w:space="0"/>
              <w:right w:val="single" w:color="auto" w:sz="4" w:space="0"/>
            </w:tcBorders>
            <w:vAlign w:val="center"/>
          </w:tcPr>
          <w:p w14:paraId="706173DE">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843" w:type="dxa"/>
            <w:tcBorders>
              <w:top w:val="single" w:color="auto" w:sz="4" w:space="0"/>
              <w:left w:val="single" w:color="auto" w:sz="4" w:space="0"/>
              <w:right w:val="single" w:color="auto" w:sz="4" w:space="0"/>
            </w:tcBorders>
            <w:vAlign w:val="center"/>
          </w:tcPr>
          <w:p w14:paraId="2EE01243">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50% </w:t>
            </w:r>
          </w:p>
        </w:tc>
        <w:tc>
          <w:tcPr>
            <w:tcW w:w="1965" w:type="dxa"/>
            <w:vMerge w:val="restart"/>
            <w:tcBorders>
              <w:top w:val="single" w:color="auto" w:sz="4" w:space="0"/>
              <w:left w:val="single" w:color="auto" w:sz="4" w:space="0"/>
              <w:right w:val="single" w:color="auto" w:sz="4" w:space="0"/>
            </w:tcBorders>
            <w:vAlign w:val="center"/>
          </w:tcPr>
          <w:p w14:paraId="1F988B77">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4DCF01C0">
        <w:tblPrEx>
          <w:tblCellMar>
            <w:top w:w="0" w:type="dxa"/>
            <w:left w:w="108" w:type="dxa"/>
            <w:bottom w:w="0" w:type="dxa"/>
            <w:right w:w="108" w:type="dxa"/>
          </w:tblCellMar>
        </w:tblPrEx>
        <w:trPr>
          <w:trHeight w:val="422" w:hRule="atLeast"/>
        </w:trPr>
        <w:tc>
          <w:tcPr>
            <w:tcW w:w="1696" w:type="dxa"/>
            <w:vMerge w:val="continue"/>
            <w:tcBorders>
              <w:left w:val="single" w:color="auto" w:sz="4" w:space="0"/>
              <w:bottom w:val="single" w:color="auto" w:sz="4" w:space="0"/>
              <w:right w:val="single" w:color="auto" w:sz="4" w:space="0"/>
            </w:tcBorders>
            <w:vAlign w:val="center"/>
          </w:tcPr>
          <w:p w14:paraId="54625B64">
            <w:pPr>
              <w:widowControl/>
              <w:spacing w:line="276" w:lineRule="auto"/>
              <w:jc w:val="left"/>
              <w:rPr>
                <w:rFonts w:ascii="宋体" w:hAnsi="宋体" w:eastAsia="宋体" w:cs="Times New Roman"/>
                <w:color w:val="000000"/>
                <w:kern w:val="0"/>
                <w:szCs w:val="21"/>
              </w:rPr>
            </w:pPr>
          </w:p>
        </w:tc>
        <w:tc>
          <w:tcPr>
            <w:tcW w:w="1276" w:type="dxa"/>
            <w:vMerge w:val="continue"/>
            <w:tcBorders>
              <w:left w:val="single" w:color="auto" w:sz="4" w:space="0"/>
              <w:bottom w:val="single" w:color="auto" w:sz="4" w:space="0"/>
              <w:right w:val="single" w:color="auto" w:sz="4" w:space="0"/>
            </w:tcBorders>
            <w:vAlign w:val="center"/>
          </w:tcPr>
          <w:p w14:paraId="599E02CB">
            <w:pPr>
              <w:widowControl/>
              <w:spacing w:line="276" w:lineRule="auto"/>
              <w:jc w:val="left"/>
              <w:rPr>
                <w:rFonts w:ascii="宋体" w:hAnsi="宋体" w:eastAsia="宋体" w:cs="Times New Roman"/>
                <w:color w:val="000000"/>
                <w:kern w:val="0"/>
                <w:szCs w:val="21"/>
              </w:rPr>
            </w:pPr>
          </w:p>
        </w:tc>
        <w:tc>
          <w:tcPr>
            <w:tcW w:w="2268" w:type="dxa"/>
            <w:tcBorders>
              <w:top w:val="single" w:color="auto" w:sz="4" w:space="0"/>
              <w:left w:val="single" w:color="auto" w:sz="4" w:space="0"/>
              <w:right w:val="single" w:color="auto" w:sz="4" w:space="0"/>
            </w:tcBorders>
            <w:vAlign w:val="center"/>
          </w:tcPr>
          <w:p w14:paraId="2384FCAE">
            <w:pPr>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843" w:type="dxa"/>
            <w:tcBorders>
              <w:top w:val="single" w:color="auto" w:sz="4" w:space="0"/>
              <w:left w:val="single" w:color="auto" w:sz="4" w:space="0"/>
              <w:right w:val="single" w:color="auto" w:sz="4" w:space="0"/>
            </w:tcBorders>
            <w:vAlign w:val="center"/>
          </w:tcPr>
          <w:p w14:paraId="0D1C12AD">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965" w:type="dxa"/>
            <w:vMerge w:val="continue"/>
            <w:tcBorders>
              <w:left w:val="single" w:color="auto" w:sz="4" w:space="0"/>
              <w:bottom w:val="single" w:color="auto" w:sz="4" w:space="0"/>
              <w:right w:val="single" w:color="auto" w:sz="4" w:space="0"/>
            </w:tcBorders>
          </w:tcPr>
          <w:p w14:paraId="214BC387">
            <w:pPr>
              <w:widowControl/>
              <w:spacing w:line="276" w:lineRule="auto"/>
              <w:jc w:val="center"/>
              <w:rPr>
                <w:rFonts w:ascii="宋体" w:hAnsi="宋体" w:eastAsia="宋体" w:cs="Times New Roman"/>
                <w:color w:val="000000"/>
                <w:kern w:val="0"/>
                <w:szCs w:val="21"/>
              </w:rPr>
            </w:pPr>
          </w:p>
        </w:tc>
      </w:tr>
      <w:tr w14:paraId="0010B434">
        <w:tblPrEx>
          <w:tblCellMar>
            <w:top w:w="0" w:type="dxa"/>
            <w:left w:w="108" w:type="dxa"/>
            <w:bottom w:w="0" w:type="dxa"/>
            <w:right w:w="108" w:type="dxa"/>
          </w:tblCellMar>
        </w:tblPrEx>
        <w:trPr>
          <w:trHeight w:val="384" w:hRule="atLeast"/>
        </w:trPr>
        <w:tc>
          <w:tcPr>
            <w:tcW w:w="1696" w:type="dxa"/>
            <w:tcBorders>
              <w:top w:val="single" w:color="auto" w:sz="4" w:space="0"/>
              <w:left w:val="single" w:color="auto" w:sz="4" w:space="0"/>
              <w:bottom w:val="single" w:color="auto" w:sz="4" w:space="0"/>
              <w:right w:val="single" w:color="auto" w:sz="4" w:space="0"/>
            </w:tcBorders>
            <w:vAlign w:val="center"/>
          </w:tcPr>
          <w:p w14:paraId="6B1A3D6C">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w:t>
            </w:r>
          </w:p>
          <w:p w14:paraId="353DAC12">
            <w:pPr>
              <w:widowControl/>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合计</w:t>
            </w:r>
          </w:p>
        </w:tc>
        <w:tc>
          <w:tcPr>
            <w:tcW w:w="7352" w:type="dxa"/>
            <w:gridSpan w:val="4"/>
            <w:tcBorders>
              <w:top w:val="single" w:color="auto" w:sz="4" w:space="0"/>
              <w:left w:val="single" w:color="auto" w:sz="4" w:space="0"/>
              <w:bottom w:val="single" w:color="auto" w:sz="4" w:space="0"/>
              <w:right w:val="single" w:color="auto" w:sz="4" w:space="0"/>
            </w:tcBorders>
            <w:vAlign w:val="center"/>
          </w:tcPr>
          <w:p w14:paraId="6363582D">
            <w:pPr>
              <w:widowControl/>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bl>
    <w:p w14:paraId="24218C35">
      <w:pPr>
        <w:spacing w:line="360" w:lineRule="auto"/>
        <w:ind w:firstLine="480"/>
        <w:rPr>
          <w:rFonts w:ascii="宋体" w:hAnsi="宋体" w:eastAsia="宋体" w:cs="Times New Roman"/>
          <w:color w:val="000000"/>
          <w:sz w:val="24"/>
          <w:szCs w:val="24"/>
        </w:rPr>
      </w:pPr>
    </w:p>
    <w:p w14:paraId="48CA7CEB">
      <w:pPr>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w:t>
      </w:r>
    </w:p>
    <w:p w14:paraId="033E7C72">
      <w:pPr>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课程目标总体达成度计算方法如下：</w:t>
      </w:r>
    </w:p>
    <w:p w14:paraId="35997E0F">
      <w:pPr>
        <w:spacing w:line="360" w:lineRule="auto"/>
        <w:ind w:firstLine="480"/>
        <w:rPr>
          <w:rFonts w:ascii="宋体" w:hAnsi="Times New Roman" w:eastAsia="宋体" w:cs="Times New Roman"/>
          <w:b/>
          <w:bCs/>
          <w:iCs/>
          <w:color w:val="000000"/>
          <w:sz w:val="24"/>
          <w:szCs w:val="24"/>
        </w:rPr>
      </w:pPr>
      <m:oMathPara>
        <m:oMath>
          <m:r>
            <m:rPr>
              <m:sty m:val="b"/>
            </m:rPr>
            <w:rPr>
              <w:rFonts w:hint="eastAsia" w:ascii="Cambria Math" w:hAnsi="Cambria Math" w:eastAsia="宋体" w:cs="Times New Roman"/>
              <w:color w:val="000000"/>
              <w:sz w:val="20"/>
              <w:szCs w:val="20"/>
            </w:rPr>
            <m:t>课程目标达成度=</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课程子目标的权重值（</m:t>
          </m:r>
          <m:r>
            <m:rPr>
              <m:sty m:val="b"/>
            </m:rPr>
            <w:rPr>
              <w:rFonts w:ascii="Cambria Math" w:hAnsi="Cambria Math" w:eastAsia="宋体" w:cs="Times New Roman"/>
              <w:color w:val="000000"/>
              <w:sz w:val="20"/>
              <w:szCs w:val="20"/>
            </w:rPr>
            <m:t>a</m:t>
          </m:r>
          <m:r>
            <m:rPr>
              <m:sty m:val="b"/>
            </m:rPr>
            <w:rPr>
              <w:rFonts w:hint="eastAsia" w:ascii="Cambria Math" w:hAnsi="Cambria Math" w:eastAsia="宋体" w:cs="Times New Roman"/>
              <w:color w:val="000000"/>
              <w:sz w:val="20"/>
              <w:szCs w:val="20"/>
            </w:rPr>
            <m:t>）</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课程考核项目的权重值（</m:t>
          </m:r>
          <m:r>
            <m:rPr>
              <m:sty m:val="b"/>
            </m:rPr>
            <w:rPr>
              <w:rFonts w:ascii="Cambria Math" w:hAnsi="Cambria Math" w:eastAsia="宋体" w:cs="Times New Roman"/>
              <w:color w:val="000000"/>
              <w:sz w:val="20"/>
              <w:szCs w:val="20"/>
            </w:rPr>
            <m:t>b</m:t>
          </m:r>
          <m:r>
            <m:rPr>
              <m:sty m:val="b"/>
            </m:rPr>
            <w:rPr>
              <w:rFonts w:hint="eastAsia" w:ascii="Cambria Math" w:hAnsi="Cambria Math" w:eastAsia="宋体" w:cs="Times New Roman"/>
              <w:color w:val="000000"/>
              <w:sz w:val="20"/>
              <w:szCs w:val="20"/>
            </w:rPr>
            <m:t>）</m:t>
          </m:r>
          <m:box>
            <m:boxPr>
              <m:ctrlPr>
                <w:rPr>
                  <w:rFonts w:ascii="Cambria Math" w:hAnsi="Cambria Math" w:eastAsia="宋体" w:cs="Times New Roman"/>
                  <w:b/>
                  <w:bCs/>
                  <w:iCs/>
                  <w:color w:val="000000"/>
                  <w:sz w:val="20"/>
                  <w:szCs w:val="20"/>
                </w:rPr>
              </m:ctrlPr>
            </m:boxPr>
            <m:e>
              <m:argPr>
                <m:argSz m:val="-1"/>
              </m:argPr>
              <m:f>
                <m:fPr>
                  <m:ctrlPr>
                    <w:rPr>
                      <w:rFonts w:ascii="Cambria Math" w:hAnsi="Cambria Math" w:eastAsia="宋体" w:cs="Times New Roman"/>
                      <w:b/>
                      <w:bCs/>
                      <w:iCs/>
                      <w:color w:val="000000"/>
                      <w:sz w:val="20"/>
                      <w:szCs w:val="20"/>
                    </w:rPr>
                  </m:ctrlPr>
                </m:fPr>
                <m:num>
                  <m:r>
                    <m:rPr>
                      <m:sty m:val="b"/>
                    </m:rPr>
                    <w:rPr>
                      <w:rFonts w:hint="eastAsia" w:ascii="Cambria Math" w:hAnsi="Cambria Math" w:eastAsia="宋体" w:cs="Times New Roman"/>
                      <w:color w:val="000000"/>
                      <w:sz w:val="20"/>
                      <w:szCs w:val="20"/>
                    </w:rPr>
                    <m:t>考核项目平均分</m:t>
                  </m:r>
                  <m:ctrlPr>
                    <w:rPr>
                      <w:rFonts w:ascii="Cambria Math" w:hAnsi="Cambria Math" w:eastAsia="宋体" w:cs="Times New Roman"/>
                      <w:b/>
                      <w:bCs/>
                      <w:iCs/>
                      <w:color w:val="000000"/>
                      <w:sz w:val="20"/>
                      <w:szCs w:val="20"/>
                    </w:rPr>
                  </m:ctrlPr>
                </m:num>
                <m:den>
                  <m:r>
                    <m:rPr>
                      <m:sty m:val="b"/>
                    </m:rPr>
                    <w:rPr>
                      <w:rFonts w:hint="eastAsia" w:ascii="Cambria Math" w:hAnsi="Cambria Math" w:eastAsia="宋体" w:cs="Times New Roman"/>
                      <w:color w:val="000000"/>
                      <w:sz w:val="20"/>
                      <w:szCs w:val="20"/>
                    </w:rPr>
                    <m:t>考核项目总分</m:t>
                  </m:r>
                  <m:ctrlPr>
                    <w:rPr>
                      <w:rFonts w:ascii="Cambria Math" w:hAnsi="Cambria Math" w:eastAsia="宋体" w:cs="Times New Roman"/>
                      <w:b/>
                      <w:bCs/>
                      <w:iCs/>
                      <w:color w:val="000000"/>
                      <w:sz w:val="20"/>
                      <w:szCs w:val="20"/>
                    </w:rPr>
                  </m:ctrlPr>
                </m:den>
              </m:f>
              <m:ctrlPr>
                <w:rPr>
                  <w:rFonts w:ascii="Cambria Math" w:hAnsi="Cambria Math" w:eastAsia="宋体" w:cs="Times New Roman"/>
                  <w:b/>
                  <w:bCs/>
                  <w:iCs/>
                  <w:color w:val="000000"/>
                  <w:sz w:val="20"/>
                  <w:szCs w:val="20"/>
                </w:rPr>
              </m:ctrlPr>
            </m:e>
          </m:box>
        </m:oMath>
      </m:oMathPara>
    </w:p>
    <w:p w14:paraId="28FA1474">
      <w:pPr>
        <w:spacing w:line="360" w:lineRule="auto"/>
        <w:ind w:firstLine="562" w:firstLineChars="200"/>
        <w:rPr>
          <w:rFonts w:ascii="宋体" w:hAnsi="Times New Roman" w:eastAsia="宋体" w:cs="Times New Roman"/>
          <w:b/>
          <w:sz w:val="28"/>
          <w:szCs w:val="28"/>
        </w:rPr>
      </w:pPr>
      <w:r>
        <w:rPr>
          <w:rFonts w:hint="eastAsia" w:ascii="宋体" w:hAnsi="宋体" w:eastAsia="宋体" w:cs="Times New Roman"/>
          <w:b/>
          <w:color w:val="000000"/>
          <w:sz w:val="28"/>
          <w:szCs w:val="28"/>
        </w:rPr>
        <w:t>六、课程参考书</w:t>
      </w:r>
    </w:p>
    <w:p w14:paraId="2BA1001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义务教育小学语文/数学学科课程标准，最新版。</w:t>
      </w:r>
    </w:p>
    <w:p w14:paraId="206A861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部编版小学语文/数学各年级教材。</w:t>
      </w:r>
    </w:p>
    <w:p w14:paraId="00DB929B">
      <w:pPr>
        <w:spacing w:line="360" w:lineRule="auto"/>
        <w:ind w:firstLine="480" w:firstLineChars="200"/>
        <w:rPr>
          <w:rFonts w:ascii="宋体" w:hAnsi="Times New Roman"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陈文涛、刘霄主编：《教育实习的实践与创新》，河南大学出版社，</w:t>
      </w:r>
      <w:r>
        <w:rPr>
          <w:rFonts w:ascii="宋体" w:hAnsi="宋体" w:eastAsia="宋体" w:cs="Times New Roman"/>
          <w:sz w:val="24"/>
          <w:szCs w:val="24"/>
        </w:rPr>
        <w:t>2015</w:t>
      </w:r>
    </w:p>
    <w:p w14:paraId="3D17BBD4">
      <w:pPr>
        <w:spacing w:line="360" w:lineRule="auto"/>
        <w:rPr>
          <w:rFonts w:ascii="宋体" w:hAnsi="宋体" w:eastAsia="宋体" w:cs="Times New Roman"/>
          <w:color w:val="000000"/>
          <w:sz w:val="24"/>
          <w:szCs w:val="24"/>
        </w:rPr>
      </w:pPr>
    </w:p>
    <w:p w14:paraId="36388BC6">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执笔人：王雅丽</w:t>
      </w:r>
      <w:r>
        <w:rPr>
          <w:rFonts w:ascii="宋体" w:hAnsi="Times New Roman" w:eastAsia="宋体" w:cs="Times New Roman"/>
          <w:color w:val="000000"/>
          <w:sz w:val="24"/>
          <w:szCs w:val="24"/>
        </w:rPr>
        <w:t xml:space="preserve"> </w:t>
      </w:r>
    </w:p>
    <w:p w14:paraId="713D2654">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审定人：张志欣</w:t>
      </w:r>
    </w:p>
    <w:p w14:paraId="1886DF08">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审批人：张建波</w:t>
      </w:r>
    </w:p>
    <w:p w14:paraId="70ED61D9">
      <w:pPr>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w:t>
      </w:r>
      <w:r>
        <w:rPr>
          <w:rFonts w:ascii="宋体" w:hAnsi="宋体" w:eastAsia="宋体" w:cs="Times New Roman"/>
          <w:color w:val="000000"/>
          <w:sz w:val="24"/>
          <w:szCs w:val="24"/>
        </w:rPr>
        <w:t>2022</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8</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30</w:t>
      </w:r>
      <w:r>
        <w:rPr>
          <w:rFonts w:hint="eastAsia" w:ascii="宋体" w:hAnsi="宋体" w:eastAsia="宋体" w:cs="Times New Roman"/>
          <w:color w:val="000000"/>
          <w:sz w:val="24"/>
          <w:szCs w:val="24"/>
        </w:rPr>
        <w:t>日</w:t>
      </w:r>
    </w:p>
    <w:p w14:paraId="167DE41B">
      <w:pPr>
        <w:rPr>
          <w:rFonts w:ascii="宋体" w:hAnsi="宋体" w:eastAsia="宋体" w:cs="Times New Roman"/>
          <w:b/>
          <w:bCs/>
          <w:sz w:val="30"/>
          <w:szCs w:val="24"/>
        </w:rPr>
      </w:pPr>
      <w:r>
        <w:rPr>
          <w:rFonts w:hint="eastAsia" w:ascii="宋体" w:hAnsi="宋体" w:eastAsia="宋体" w:cs="Times New Roman"/>
          <w:b/>
          <w:bCs/>
          <w:sz w:val="30"/>
          <w:szCs w:val="24"/>
        </w:rPr>
        <w:br w:type="page"/>
      </w:r>
    </w:p>
    <w:bookmarkEnd w:id="326"/>
    <w:p w14:paraId="2309018A">
      <w:pPr>
        <w:jc w:val="center"/>
        <w:outlineLvl w:val="0"/>
        <w:rPr>
          <w:b/>
          <w:bCs/>
          <w:sz w:val="36"/>
          <w:szCs w:val="40"/>
          <w14:ligatures w14:val="standardContextual"/>
        </w:rPr>
      </w:pPr>
      <w:bookmarkStart w:id="327" w:name="_Toc166165237"/>
      <w:bookmarkStart w:id="328" w:name="_Toc166164897"/>
      <w:r>
        <w:rPr>
          <w:rFonts w:hint="eastAsia" w:ascii="宋体" w:hAnsi="宋体" w:eastAsia="宋体" w:cs="Times New Roman"/>
          <w:b/>
          <w:bCs/>
          <w:sz w:val="30"/>
          <w:szCs w:val="24"/>
        </w:rPr>
        <w:t>《认知实习》课程教学大纲</w:t>
      </w:r>
      <w:bookmarkEnd w:id="327"/>
      <w:bookmarkEnd w:id="328"/>
    </w:p>
    <w:p w14:paraId="0553BCA6">
      <w:pPr>
        <w:widowControl/>
        <w:shd w:val="clear" w:color="auto" w:fill="FDFDFD"/>
        <w:jc w:val="center"/>
        <w:rPr>
          <w:rFonts w:ascii="Times New Roman" w:hAnsi="Times New Roman" w:eastAsia="黑体" w:cs="Times New Roman"/>
          <w:bCs/>
          <w:sz w:val="30"/>
          <w:szCs w:val="24"/>
        </w:rPr>
      </w:pPr>
      <w:r>
        <w:rPr>
          <w:rFonts w:ascii="宋体" w:hAnsi="宋体" w:eastAsia="宋体" w:cs="Times New Roman"/>
          <w:b/>
          <w:bCs/>
          <w:sz w:val="30"/>
          <w:szCs w:val="24"/>
        </w:rPr>
        <w:t>（</w:t>
      </w:r>
      <w:r>
        <w:rPr>
          <w:rFonts w:ascii="Times New Roman" w:hAnsi="Times New Roman" w:eastAsia="黑体" w:cs="Times New Roman"/>
          <w:bCs/>
          <w:sz w:val="30"/>
          <w:szCs w:val="24"/>
        </w:rPr>
        <w:t>Cognitive Practice</w:t>
      </w:r>
      <w:r>
        <w:rPr>
          <w:rFonts w:ascii="宋体" w:hAnsi="宋体" w:eastAsia="宋体" w:cs="Times New Roman"/>
          <w:b/>
          <w:bCs/>
          <w:sz w:val="30"/>
          <w:szCs w:val="24"/>
        </w:rPr>
        <w:t>）</w:t>
      </w:r>
    </w:p>
    <w:p w14:paraId="2E5578C8">
      <w:pPr>
        <w:spacing w:line="360" w:lineRule="auto"/>
        <w:ind w:firstLine="551" w:firstLineChars="196"/>
        <w:rPr>
          <w:rFonts w:ascii="宋体" w:hAnsi="宋体" w:eastAsia="宋体" w:cs="Times New Roman"/>
          <w:b/>
          <w:color w:val="000000"/>
          <w:sz w:val="28"/>
          <w:szCs w:val="28"/>
        </w:rPr>
      </w:pPr>
      <w:r>
        <w:rPr>
          <w:rFonts w:ascii="宋体" w:hAnsi="宋体" w:eastAsia="宋体" w:cs="Times New Roman"/>
          <w:b/>
          <w:color w:val="000000"/>
          <w:sz w:val="28"/>
          <w:szCs w:val="28"/>
        </w:rPr>
        <w:t>一、课程概况</w:t>
      </w:r>
    </w:p>
    <w:p w14:paraId="7F53DC6D">
      <w:pPr>
        <w:autoSpaceDE w:val="0"/>
        <w:autoSpaceDN w:val="0"/>
        <w:adjustRightInd w:val="0"/>
        <w:ind w:firstLine="472" w:firstLineChars="196"/>
        <w:rPr>
          <w:rFonts w:ascii="宋体" w:hAnsi="宋体" w:eastAsia="宋体" w:cs="Times New Roman"/>
          <w:kern w:val="0"/>
          <w:sz w:val="24"/>
          <w:szCs w:val="24"/>
        </w:rPr>
      </w:pPr>
      <w:r>
        <w:rPr>
          <w:rFonts w:ascii="宋体" w:hAnsi="宋体" w:eastAsia="宋体" w:cs="Times New Roman"/>
          <w:b/>
          <w:bCs/>
          <w:color w:val="000000"/>
          <w:kern w:val="0"/>
          <w:sz w:val="24"/>
          <w:szCs w:val="24"/>
        </w:rPr>
        <w:t>课程代码</w:t>
      </w:r>
      <w:r>
        <w:rPr>
          <w:rFonts w:ascii="宋体" w:hAnsi="宋体" w:eastAsia="宋体" w:cs="Times New Roman"/>
          <w:b/>
          <w:color w:val="000000"/>
          <w:kern w:val="0"/>
          <w:sz w:val="24"/>
          <w:szCs w:val="24"/>
        </w:rPr>
        <w:t>：</w:t>
      </w:r>
      <w:r>
        <w:rPr>
          <w:rFonts w:ascii="宋体" w:hAnsi="宋体" w:eastAsia="宋体" w:cs="Times New Roman"/>
          <w:kern w:val="0"/>
          <w:sz w:val="24"/>
          <w:szCs w:val="24"/>
        </w:rPr>
        <w:t>2401066</w:t>
      </w:r>
    </w:p>
    <w:p w14:paraId="389CC8F4">
      <w:pPr>
        <w:spacing w:line="360" w:lineRule="auto"/>
        <w:ind w:firstLine="482" w:firstLineChars="200"/>
        <w:rPr>
          <w:rFonts w:ascii="宋体" w:hAnsi="宋体" w:eastAsia="宋体" w:cs="Times New Roman"/>
          <w:b/>
          <w:kern w:val="0"/>
          <w:sz w:val="24"/>
          <w:szCs w:val="24"/>
        </w:rPr>
      </w:pPr>
      <w:r>
        <w:rPr>
          <w:rFonts w:ascii="宋体" w:hAnsi="宋体" w:eastAsia="宋体" w:cs="Times New Roman"/>
          <w:b/>
          <w:bCs/>
          <w:color w:val="000000"/>
          <w:kern w:val="0"/>
          <w:sz w:val="24"/>
          <w:szCs w:val="24"/>
        </w:rPr>
        <w:t>学    分：</w:t>
      </w:r>
      <w:r>
        <w:rPr>
          <w:rFonts w:hint="eastAsia" w:ascii="Times New Roman" w:hAnsi="Times New Roman" w:eastAsia="宋体" w:cs="Times New Roman"/>
          <w:kern w:val="0"/>
          <w:sz w:val="24"/>
          <w:szCs w:val="24"/>
        </w:rPr>
        <w:t>不计入总学分</w:t>
      </w:r>
    </w:p>
    <w:p w14:paraId="13CC4C47">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学    时：</w:t>
      </w:r>
      <w:r>
        <w:rPr>
          <w:rFonts w:hint="eastAsia" w:ascii="Times New Roman" w:hAnsi="Times New Roman" w:eastAsia="宋体" w:cs="Times New Roman"/>
          <w:kern w:val="0"/>
          <w:sz w:val="24"/>
          <w:szCs w:val="24"/>
        </w:rPr>
        <w:t>2周</w:t>
      </w:r>
    </w:p>
    <w:p w14:paraId="4DE25C35">
      <w:pPr>
        <w:spacing w:line="360" w:lineRule="auto"/>
        <w:ind w:firstLine="482" w:firstLineChars="200"/>
        <w:jc w:val="left"/>
        <w:rPr>
          <w:rFonts w:ascii="宋体" w:hAnsi="宋体" w:eastAsia="宋体" w:cs="Times New Roman"/>
          <w:kern w:val="0"/>
          <w:sz w:val="24"/>
          <w:szCs w:val="24"/>
        </w:rPr>
      </w:pPr>
      <w:r>
        <w:rPr>
          <w:rFonts w:ascii="宋体" w:hAnsi="宋体" w:eastAsia="宋体" w:cs="Times New Roman"/>
          <w:b/>
          <w:bCs/>
          <w:color w:val="000000"/>
          <w:kern w:val="0"/>
          <w:sz w:val="24"/>
          <w:szCs w:val="24"/>
        </w:rPr>
        <w:t>先修课程：</w:t>
      </w:r>
      <w:r>
        <w:rPr>
          <w:rFonts w:hint="eastAsia" w:ascii="宋体" w:hAnsi="宋体" w:eastAsia="宋体" w:cs="Times New Roman"/>
          <w:b/>
          <w:bCs/>
          <w:color w:val="000000"/>
          <w:kern w:val="0"/>
          <w:sz w:val="24"/>
          <w:szCs w:val="24"/>
        </w:rPr>
        <w:t>无</w:t>
      </w:r>
    </w:p>
    <w:p w14:paraId="449D785D">
      <w:pPr>
        <w:spacing w:line="360" w:lineRule="auto"/>
        <w:ind w:firstLine="482" w:firstLineChars="200"/>
        <w:rPr>
          <w:rFonts w:ascii="宋体" w:hAnsi="宋体" w:eastAsia="宋体" w:cs="Times New Roman"/>
          <w:kern w:val="0"/>
          <w:sz w:val="24"/>
          <w:szCs w:val="24"/>
        </w:rPr>
      </w:pPr>
      <w:r>
        <w:rPr>
          <w:rFonts w:ascii="宋体" w:hAnsi="宋体" w:eastAsia="宋体" w:cs="Times New Roman"/>
          <w:b/>
          <w:bCs/>
          <w:color w:val="000000"/>
          <w:kern w:val="0"/>
          <w:sz w:val="24"/>
          <w:szCs w:val="24"/>
        </w:rPr>
        <w:t>适用专业：</w:t>
      </w:r>
      <w:r>
        <w:rPr>
          <w:rFonts w:hint="eastAsia" w:ascii="宋体" w:hAnsi="宋体" w:eastAsia="宋体" w:cs="Times New Roman"/>
          <w:kern w:val="0"/>
          <w:sz w:val="24"/>
          <w:szCs w:val="24"/>
        </w:rPr>
        <w:t>小学</w:t>
      </w:r>
      <w:r>
        <w:rPr>
          <w:rFonts w:ascii="宋体" w:hAnsi="宋体" w:eastAsia="宋体" w:cs="Times New Roman"/>
          <w:kern w:val="0"/>
          <w:sz w:val="24"/>
          <w:szCs w:val="24"/>
        </w:rPr>
        <w:t xml:space="preserve">教育                        </w:t>
      </w:r>
    </w:p>
    <w:p w14:paraId="44075428">
      <w:pPr>
        <w:spacing w:line="360" w:lineRule="auto"/>
        <w:ind w:firstLine="482" w:firstLineChars="200"/>
        <w:rPr>
          <w:rFonts w:ascii="宋体" w:hAnsi="宋体" w:eastAsia="宋体" w:cs="Times New Roman"/>
          <w:kern w:val="0"/>
          <w:sz w:val="24"/>
          <w:szCs w:val="24"/>
        </w:rPr>
      </w:pPr>
      <w:r>
        <w:rPr>
          <w:rFonts w:hint="eastAsia" w:ascii="宋体" w:hAnsi="宋体" w:eastAsia="宋体" w:cs="Times New Roman"/>
          <w:b/>
          <w:bCs/>
          <w:color w:val="000000"/>
          <w:kern w:val="0"/>
          <w:sz w:val="24"/>
          <w:szCs w:val="24"/>
        </w:rPr>
        <w:t>建议</w:t>
      </w:r>
      <w:r>
        <w:rPr>
          <w:rFonts w:ascii="宋体" w:hAnsi="宋体" w:eastAsia="宋体" w:cs="Times New Roman"/>
          <w:b/>
          <w:bCs/>
          <w:color w:val="000000"/>
          <w:kern w:val="0"/>
          <w:sz w:val="24"/>
          <w:szCs w:val="24"/>
        </w:rPr>
        <w:t>教材</w:t>
      </w:r>
      <w:r>
        <w:rPr>
          <w:rFonts w:hint="eastAsia" w:ascii="宋体" w:hAnsi="宋体" w:eastAsia="宋体" w:cs="Times New Roman"/>
          <w:b/>
          <w:bCs/>
          <w:color w:val="000000"/>
          <w:kern w:val="0"/>
          <w:sz w:val="24"/>
          <w:szCs w:val="24"/>
        </w:rPr>
        <w:t>：</w:t>
      </w:r>
      <w:r>
        <w:rPr>
          <w:rFonts w:hint="eastAsia" w:ascii="Times New Roman" w:hAnsi="Times New Roman" w:eastAsia="宋体" w:cs="Times New Roman"/>
          <w:kern w:val="0"/>
          <w:sz w:val="24"/>
          <w:szCs w:val="24"/>
        </w:rPr>
        <w:t>暂无</w:t>
      </w:r>
    </w:p>
    <w:p w14:paraId="1DC24BCB">
      <w:pPr>
        <w:spacing w:line="360" w:lineRule="auto"/>
        <w:ind w:firstLine="482" w:firstLineChars="200"/>
        <w:rPr>
          <w:rFonts w:ascii="宋体" w:hAnsi="宋体" w:eastAsia="宋体" w:cs="Times New Roman"/>
          <w:color w:val="000000"/>
          <w:sz w:val="24"/>
        </w:rPr>
      </w:pPr>
      <w:r>
        <w:rPr>
          <w:rFonts w:ascii="宋体" w:hAnsi="宋体" w:eastAsia="宋体" w:cs="Times New Roman"/>
          <w:b/>
          <w:bCs/>
          <w:color w:val="000000"/>
          <w:kern w:val="0"/>
          <w:sz w:val="24"/>
          <w:szCs w:val="24"/>
        </w:rPr>
        <w:t>课程归口：</w:t>
      </w:r>
      <w:r>
        <w:rPr>
          <w:rFonts w:hint="eastAsia" w:ascii="宋体" w:hAnsi="宋体" w:eastAsia="宋体" w:cs="Times New Roman"/>
          <w:color w:val="000000"/>
          <w:sz w:val="24"/>
        </w:rPr>
        <w:t>师范</w:t>
      </w:r>
      <w:r>
        <w:rPr>
          <w:rFonts w:ascii="宋体" w:hAnsi="宋体" w:eastAsia="宋体" w:cs="Times New Roman"/>
          <w:color w:val="000000"/>
          <w:sz w:val="24"/>
        </w:rPr>
        <w:t>学院</w:t>
      </w:r>
    </w:p>
    <w:p w14:paraId="5FA684A5">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bCs/>
          <w:color w:val="000000"/>
          <w:kern w:val="0"/>
          <w:sz w:val="24"/>
          <w:szCs w:val="24"/>
        </w:rPr>
        <w:t>课程的性质与任务：</w:t>
      </w:r>
      <w:r>
        <w:rPr>
          <w:rFonts w:hint="eastAsia" w:ascii="Times New Roman" w:hAnsi="Times New Roman" w:eastAsia="宋体" w:cs="Times New Roman"/>
          <w:sz w:val="24"/>
          <w:szCs w:val="24"/>
        </w:rPr>
        <w:t>《认知实习》是小学教育专业的一门实践性课程，是学习专业课程（如教育原理、中外教育史、教育心理学、小学语文/数学/科学/道德与法治课程与教学论等）重要实践环节之一。本课程旨在增强学生对本专业的感性认识，通过名师讲座、参观小学、现场教学等活动，使学生对本专业的学习内容、专业范围有一定的感性认识，初步了解本专业的现状和发展前景，激发学生学习专业课的兴趣，增强学生学习的主观能动性，为专业知识的学习奠定基础。</w:t>
      </w:r>
    </w:p>
    <w:p w14:paraId="0D40BD6A">
      <w:pPr>
        <w:spacing w:line="360" w:lineRule="auto"/>
        <w:ind w:firstLine="562" w:firstLineChars="200"/>
        <w:rPr>
          <w:rFonts w:ascii="宋体" w:hAnsi="宋体" w:eastAsia="宋体" w:cs="Times New Roman"/>
          <w:b/>
          <w:color w:val="000000"/>
          <w:sz w:val="28"/>
          <w:szCs w:val="28"/>
        </w:rPr>
      </w:pPr>
      <w:r>
        <w:rPr>
          <w:rFonts w:hint="eastAsia" w:ascii="宋体" w:hAnsi="宋体" w:eastAsia="宋体" w:cs="Times New Roman"/>
          <w:b/>
          <w:color w:val="000000"/>
          <w:sz w:val="28"/>
          <w:szCs w:val="28"/>
        </w:rPr>
        <w:t>二</w:t>
      </w:r>
      <w:r>
        <w:rPr>
          <w:rFonts w:ascii="宋体" w:hAnsi="宋体" w:eastAsia="宋体" w:cs="Times New Roman"/>
          <w:b/>
          <w:color w:val="000000"/>
          <w:sz w:val="28"/>
          <w:szCs w:val="28"/>
        </w:rPr>
        <w:t>、课程目标</w:t>
      </w:r>
    </w:p>
    <w:p w14:paraId="199060EB">
      <w:pPr>
        <w:spacing w:line="360" w:lineRule="auto"/>
        <w:ind w:firstLine="562" w:firstLineChars="200"/>
        <w:rPr>
          <w:rFonts w:ascii="宋体" w:hAnsi="宋体" w:eastAsia="宋体" w:cs="Times New Roman"/>
          <w:color w:val="000000"/>
          <w:sz w:val="28"/>
          <w:szCs w:val="28"/>
        </w:rPr>
      </w:pPr>
      <w:r>
        <w:rPr>
          <w:rFonts w:hint="eastAsia" w:ascii="宋体" w:hAnsi="宋体" w:eastAsia="宋体" w:cs="Times New Roman"/>
          <w:b/>
          <w:color w:val="000000"/>
          <w:sz w:val="28"/>
          <w:szCs w:val="28"/>
        </w:rPr>
        <w:t>（一）课程具体目标</w:t>
      </w:r>
    </w:p>
    <w:p w14:paraId="4A26E068">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w:t>
      </w:r>
      <w:r>
        <w:rPr>
          <w:rFonts w:ascii="Times New Roman" w:hAnsi="Times New Roman" w:eastAsia="宋体" w:cs="Times New Roman"/>
          <w:b/>
          <w:sz w:val="24"/>
          <w:szCs w:val="24"/>
        </w:rPr>
        <w:t>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了解小学教育教学、日常班级管理常规；观察各学科课堂教学，结合专业方向熟悉主教学科与兼教学科教学流程；初步形成教师职业认同感，认同教师职业的价值，树立做“四有好老师”的理想。</w:t>
      </w:r>
    </w:p>
    <w:p w14:paraId="3144112E">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目标2</w:t>
      </w:r>
      <w:r>
        <w:rPr>
          <w:rFonts w:ascii="Times New Roman" w:hAnsi="Times New Roman" w:eastAsia="宋体" w:cs="Times New Roman"/>
          <w:b/>
          <w:sz w:val="24"/>
          <w:szCs w:val="24"/>
        </w:rPr>
        <w:t xml:space="preserve">. </w:t>
      </w:r>
      <w:r>
        <w:rPr>
          <w:rFonts w:hint="eastAsia" w:ascii="Times New Roman" w:hAnsi="Times New Roman" w:eastAsia="宋体" w:cs="Times New Roman"/>
          <w:sz w:val="24"/>
          <w:szCs w:val="24"/>
        </w:rPr>
        <w:t>阅读教育教学经典著作，撰写读书笔记，夯实理论基础；通过“三字一话”等教学基本功训练提升教学技能。</w:t>
      </w:r>
    </w:p>
    <w:p w14:paraId="338BA792">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目标3</w:t>
      </w:r>
      <w:r>
        <w:rPr>
          <w:rFonts w:ascii="Times New Roman" w:hAnsi="Times New Roman" w:eastAsia="宋体" w:cs="Times New Roman"/>
          <w:b/>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了解当前小学教育教学改革热点及发展趋势，观察并反思自身专业方向与实习单位需求之间的契合度，做好职业生涯发展规划。</w:t>
      </w:r>
    </w:p>
    <w:p w14:paraId="126706A0">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目标4</w:t>
      </w:r>
      <w:r>
        <w:rPr>
          <w:rFonts w:ascii="Times New Roman" w:hAnsi="Times New Roman" w:eastAsia="宋体" w:cs="Times New Roman"/>
          <w:b/>
          <w:sz w:val="24"/>
          <w:szCs w:val="24"/>
        </w:rPr>
        <w:t>.</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积极转变角色，主动向指导教师请教，学习与小学教师、学生及家长进行沟通交流的知识和技巧。</w:t>
      </w:r>
    </w:p>
    <w:p w14:paraId="50985310">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（二）课程目标与专业毕业要求的关系</w:t>
      </w:r>
    </w:p>
    <w:tbl>
      <w:tblPr>
        <w:tblStyle w:val="30"/>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269"/>
        <w:gridCol w:w="5491"/>
      </w:tblGrid>
      <w:tr w14:paraId="7C89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88CCE9F">
            <w:pPr>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69" w:type="dxa"/>
            <w:vAlign w:val="center"/>
          </w:tcPr>
          <w:p w14:paraId="0B9177C7">
            <w:pPr>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5491" w:type="dxa"/>
            <w:vAlign w:val="center"/>
          </w:tcPr>
          <w:p w14:paraId="4A4B68AC">
            <w:pPr>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6051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ED731C1">
            <w:pPr>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69" w:type="dxa"/>
            <w:vAlign w:val="center"/>
          </w:tcPr>
          <w:p w14:paraId="6E1BD9A2">
            <w:pPr>
              <w:spacing w:line="276" w:lineRule="auto"/>
              <w:jc w:val="left"/>
              <w:rPr>
                <w:rFonts w:ascii="宋体" w:hAnsi="宋体" w:eastAsia="宋体" w:cs="Times New Roman"/>
                <w:szCs w:val="21"/>
              </w:rPr>
            </w:pPr>
            <w:r>
              <w:rPr>
                <w:rFonts w:hint="eastAsia" w:ascii="宋体" w:hAnsi="宋体" w:eastAsia="宋体" w:cs="Times New Roman"/>
                <w:szCs w:val="21"/>
              </w:rPr>
              <w:t>毕业要求2</w:t>
            </w:r>
            <w:r>
              <w:rPr>
                <w:rFonts w:ascii="宋体" w:hAnsi="宋体" w:eastAsia="宋体" w:cs="Times New Roman"/>
                <w:color w:val="000000"/>
                <w:kern w:val="0"/>
                <w:szCs w:val="21"/>
              </w:rPr>
              <w:t>.</w:t>
            </w:r>
            <w:r>
              <w:rPr>
                <w:rFonts w:hint="eastAsia" w:ascii="宋体" w:hAnsi="宋体" w:eastAsia="宋体" w:cs="Times New Roman"/>
                <w:szCs w:val="21"/>
              </w:rPr>
              <w:t>教育情怀</w:t>
            </w:r>
          </w:p>
          <w:p w14:paraId="17B27333">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学科素养</w:t>
            </w:r>
          </w:p>
        </w:tc>
        <w:tc>
          <w:tcPr>
            <w:tcW w:w="5491" w:type="dxa"/>
            <w:vAlign w:val="center"/>
          </w:tcPr>
          <w:p w14:paraId="5E3E54F7">
            <w:pPr>
              <w:spacing w:line="276" w:lineRule="auto"/>
              <w:jc w:val="left"/>
              <w:rPr>
                <w:rFonts w:ascii="宋体" w:hAnsi="宋体" w:eastAsia="宋体" w:cs="Times New Roman"/>
                <w:szCs w:val="21"/>
              </w:rPr>
            </w:pPr>
            <w:r>
              <w:rPr>
                <w:rFonts w:hint="eastAsia" w:ascii="宋体" w:hAnsi="宋体" w:eastAsia="宋体" w:cs="Times New Roman"/>
                <w:szCs w:val="21"/>
              </w:rPr>
              <w:t>2-1：【职业认同感强】具有家国情怀，乐于从教，热爱教育事业，具有较高的教师职业认同感，认同教师职业的专业性与意义性。</w:t>
            </w:r>
          </w:p>
          <w:p w14:paraId="26368082">
            <w:pPr>
              <w:spacing w:line="276" w:lineRule="auto"/>
              <w:jc w:val="left"/>
              <w:rPr>
                <w:rFonts w:ascii="宋体" w:hAnsi="宋体" w:eastAsia="宋体" w:cs="Times New Roman"/>
                <w:szCs w:val="21"/>
              </w:rPr>
            </w:pPr>
            <w:r>
              <w:rPr>
                <w:rFonts w:hint="eastAsia" w:ascii="宋体" w:hAnsi="宋体" w:eastAsia="宋体" w:cs="Times New Roman"/>
                <w:szCs w:val="21"/>
              </w:rPr>
              <w:t>3-3：【注重知识整合】了解所教学科与其他学科及与社会实践、小学生生活实践之间的联系，了解学科整合的在小学教育中的价值，具有跨学科解决问题的意识和能力，能指导综合性学科教学活动。</w:t>
            </w:r>
          </w:p>
        </w:tc>
      </w:tr>
      <w:tr w14:paraId="446D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8" w:type="dxa"/>
            <w:vAlign w:val="center"/>
          </w:tcPr>
          <w:p w14:paraId="3716EDC3">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课程目标2</w:t>
            </w:r>
          </w:p>
        </w:tc>
        <w:tc>
          <w:tcPr>
            <w:tcW w:w="2269" w:type="dxa"/>
            <w:vAlign w:val="center"/>
          </w:tcPr>
          <w:p w14:paraId="54EAB315">
            <w:pPr>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毕业要求3：学科素养</w:t>
            </w:r>
          </w:p>
          <w:p w14:paraId="35577618">
            <w:pPr>
              <w:spacing w:line="276" w:lineRule="auto"/>
              <w:jc w:val="left"/>
              <w:rPr>
                <w:rFonts w:ascii="宋体" w:hAnsi="宋体" w:eastAsia="宋体" w:cs="Times New Roman"/>
                <w:szCs w:val="21"/>
              </w:rPr>
            </w:pPr>
            <w:r>
              <w:rPr>
                <w:rFonts w:hint="eastAsia" w:ascii="宋体" w:hAnsi="宋体" w:eastAsia="宋体" w:cs="Times New Roman"/>
                <w:szCs w:val="21"/>
              </w:rPr>
              <w:t>毕业要求4：教学能力</w:t>
            </w:r>
          </w:p>
          <w:p w14:paraId="09DAE111">
            <w:pPr>
              <w:spacing w:line="276" w:lineRule="auto"/>
              <w:rPr>
                <w:rFonts w:ascii="宋体" w:hAnsi="宋体" w:eastAsia="宋体" w:cs="Times New Roman"/>
                <w:color w:val="000000"/>
                <w:kern w:val="0"/>
                <w:szCs w:val="21"/>
              </w:rPr>
            </w:pPr>
          </w:p>
        </w:tc>
        <w:tc>
          <w:tcPr>
            <w:tcW w:w="5491" w:type="dxa"/>
            <w:vAlign w:val="center"/>
          </w:tcPr>
          <w:p w14:paraId="024E1FC2">
            <w:pPr>
              <w:spacing w:line="276" w:lineRule="auto"/>
              <w:jc w:val="left"/>
              <w:rPr>
                <w:rFonts w:ascii="宋体" w:hAnsi="宋体" w:eastAsia="宋体" w:cs="Times New Roman"/>
                <w:szCs w:val="21"/>
              </w:rPr>
            </w:pPr>
            <w:r>
              <w:rPr>
                <w:rFonts w:hint="eastAsia" w:ascii="宋体" w:hAnsi="宋体" w:eastAsia="宋体" w:cs="Times New Roman"/>
                <w:szCs w:val="21"/>
              </w:rPr>
              <w:t>3-1：【通识知识广博】具有相应的自然科学和人文社会科学知识素养。</w:t>
            </w:r>
          </w:p>
          <w:p w14:paraId="06642C5F">
            <w:pPr>
              <w:spacing w:line="276" w:lineRule="auto"/>
              <w:jc w:val="left"/>
              <w:rPr>
                <w:rFonts w:ascii="宋体" w:hAnsi="宋体" w:eastAsia="宋体" w:cs="Times New Roman"/>
                <w:szCs w:val="21"/>
              </w:rPr>
            </w:pPr>
            <w:r>
              <w:rPr>
                <w:rFonts w:hint="eastAsia" w:ascii="宋体" w:hAnsi="宋体" w:eastAsia="宋体" w:cs="Times New Roman"/>
                <w:szCs w:val="21"/>
              </w:rPr>
              <w:t>4-2：【教学技能突出】掌握小学教师基本功技能，包括书写技能、沟通与表达技能、信息技术运用技能等。获得全面的小学教学体验，掌握学科教学的基本方法与策略，能独立进行教学设计、实施和评价。</w:t>
            </w:r>
          </w:p>
        </w:tc>
      </w:tr>
      <w:tr w14:paraId="5720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88" w:type="dxa"/>
            <w:vAlign w:val="center"/>
          </w:tcPr>
          <w:p w14:paraId="628C5BD3">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课程目标3</w:t>
            </w:r>
          </w:p>
        </w:tc>
        <w:tc>
          <w:tcPr>
            <w:tcW w:w="2269" w:type="dxa"/>
            <w:vAlign w:val="center"/>
          </w:tcPr>
          <w:p w14:paraId="3ADE42F4">
            <w:pPr>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毕业要求7</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学会反思</w:t>
            </w:r>
          </w:p>
        </w:tc>
        <w:tc>
          <w:tcPr>
            <w:tcW w:w="5491" w:type="dxa"/>
          </w:tcPr>
          <w:p w14:paraId="1558C02C">
            <w:pPr>
              <w:spacing w:line="276" w:lineRule="auto"/>
              <w:jc w:val="left"/>
              <w:rPr>
                <w:rFonts w:ascii="宋体" w:hAnsi="宋体" w:eastAsia="宋体" w:cs="Times New Roman"/>
                <w:szCs w:val="21"/>
              </w:rPr>
            </w:pPr>
            <w:r>
              <w:rPr>
                <w:rFonts w:hint="eastAsia" w:ascii="宋体" w:hAnsi="宋体" w:eastAsia="宋体" w:cs="Times New Roman"/>
                <w:szCs w:val="21"/>
              </w:rPr>
              <w:t>7-1：【教育视野开阔】积极参加基础教育领域的国内外交流，了解国内外基础教育改革发展的动态，具有宽广的教育视野，能够主动适应新时代和教育发展需求。</w:t>
            </w:r>
          </w:p>
          <w:p w14:paraId="72BD2C62">
            <w:pPr>
              <w:spacing w:line="276" w:lineRule="auto"/>
              <w:jc w:val="left"/>
              <w:rPr>
                <w:rFonts w:ascii="宋体" w:hAnsi="宋体" w:eastAsia="宋体" w:cs="Times New Roman"/>
                <w:szCs w:val="21"/>
              </w:rPr>
            </w:pPr>
            <w:r>
              <w:rPr>
                <w:rFonts w:hint="eastAsia" w:ascii="宋体" w:hAnsi="宋体" w:eastAsia="宋体" w:cs="Times New Roman"/>
                <w:szCs w:val="21"/>
              </w:rPr>
              <w:t>7-2：【职业规划合理】了解教师专业发展的要求，形成终身学习的意识和习惯，注重自身的专业发展，根据基础教育课程改革的动态和发展情况，进行职业生涯规划和自主学习。</w:t>
            </w:r>
          </w:p>
        </w:tc>
      </w:tr>
      <w:tr w14:paraId="5651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88" w:type="dxa"/>
            <w:vAlign w:val="center"/>
          </w:tcPr>
          <w:p w14:paraId="2764542B">
            <w:pPr>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 4</w:t>
            </w:r>
          </w:p>
        </w:tc>
        <w:tc>
          <w:tcPr>
            <w:tcW w:w="2269" w:type="dxa"/>
            <w:vAlign w:val="center"/>
          </w:tcPr>
          <w:p w14:paraId="4E0C5643">
            <w:pPr>
              <w:rPr>
                <w:rFonts w:ascii="宋体" w:hAnsi="宋体" w:eastAsia="宋体" w:cs="Times New Roman"/>
                <w:b/>
                <w:color w:val="000000"/>
                <w:kern w:val="0"/>
                <w:szCs w:val="21"/>
              </w:rPr>
            </w:pPr>
            <w:r>
              <w:rPr>
                <w:rFonts w:hint="eastAsia" w:ascii="宋体" w:hAnsi="宋体" w:eastAsia="宋体" w:cs="Times New Roman"/>
                <w:color w:val="000000"/>
                <w:kern w:val="0"/>
                <w:szCs w:val="21"/>
              </w:rPr>
              <w:t>毕业要求8：</w:t>
            </w:r>
            <w:r>
              <w:rPr>
                <w:rFonts w:hint="eastAsia" w:ascii="Times New Roman" w:hAnsi="Times New Roman" w:eastAsia="宋体" w:cs="Times New Roman"/>
                <w:szCs w:val="23"/>
              </w:rPr>
              <w:t>沟通合作</w:t>
            </w:r>
          </w:p>
        </w:tc>
        <w:tc>
          <w:tcPr>
            <w:tcW w:w="5491" w:type="dxa"/>
          </w:tcPr>
          <w:p w14:paraId="195E0A99">
            <w:pPr>
              <w:rPr>
                <w:rFonts w:ascii="宋体" w:hAnsi="宋体" w:eastAsia="宋体" w:cs="Times New Roman"/>
                <w:szCs w:val="21"/>
              </w:rPr>
            </w:pPr>
            <w:r>
              <w:rPr>
                <w:rFonts w:hint="eastAsia" w:ascii="宋体" w:hAnsi="宋体" w:eastAsia="宋体" w:cs="Times New Roman"/>
                <w:szCs w:val="21"/>
              </w:rPr>
              <w:t>8-2：【学会沟通交流】掌握人际沟通合作技能与方法，能与学生和家长以及同行、同事、专家进行有效沟通与合作，实现共同发展。</w:t>
            </w:r>
          </w:p>
        </w:tc>
      </w:tr>
    </w:tbl>
    <w:p w14:paraId="0977249A">
      <w:pPr>
        <w:spacing w:line="360" w:lineRule="auto"/>
        <w:rPr>
          <w:rFonts w:ascii="宋体" w:hAnsi="宋体" w:eastAsia="宋体" w:cs="Times New Roman"/>
          <w:b/>
          <w:sz w:val="28"/>
          <w:szCs w:val="28"/>
        </w:rPr>
      </w:pPr>
      <w:r>
        <w:rPr>
          <w:rFonts w:hint="eastAsia" w:ascii="宋体" w:hAnsi="宋体" w:eastAsia="宋体" w:cs="Times New Roman"/>
          <w:b/>
          <w:kern w:val="0"/>
          <w:sz w:val="24"/>
        </w:rPr>
        <w:t xml:space="preserve">   </w:t>
      </w:r>
      <w:r>
        <w:rPr>
          <w:rFonts w:hint="eastAsia" w:ascii="宋体" w:hAnsi="宋体" w:eastAsia="宋体" w:cs="Times New Roman"/>
          <w:b/>
          <w:color w:val="FF0000"/>
          <w:kern w:val="0"/>
          <w:sz w:val="24"/>
        </w:rPr>
        <w:t xml:space="preserve"> </w:t>
      </w:r>
      <w:r>
        <w:rPr>
          <w:rFonts w:hint="eastAsia" w:ascii="宋体" w:hAnsi="宋体" w:eastAsia="宋体" w:cs="Times New Roman"/>
          <w:b/>
          <w:sz w:val="28"/>
          <w:szCs w:val="28"/>
        </w:rPr>
        <w:t>三</w:t>
      </w:r>
      <w:r>
        <w:rPr>
          <w:rFonts w:ascii="宋体" w:hAnsi="宋体" w:eastAsia="宋体" w:cs="Times New Roman"/>
          <w:b/>
          <w:sz w:val="28"/>
          <w:szCs w:val="28"/>
        </w:rPr>
        <w:t>、课程内容及要求</w:t>
      </w:r>
    </w:p>
    <w:p w14:paraId="7663C049">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（一）小学教育教学观摩（本模块可以支撑课程目标1）</w:t>
      </w:r>
    </w:p>
    <w:p w14:paraId="17014645">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29716229">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（1）课堂教学观摩</w:t>
      </w:r>
    </w:p>
    <w:p w14:paraId="6F892FE6">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（2）班级管理观摩</w:t>
      </w:r>
    </w:p>
    <w:p w14:paraId="7C015FC5">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（3）教研活动观摩</w:t>
      </w:r>
    </w:p>
    <w:p w14:paraId="71F9268A">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7054D10C">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（1）了解课堂教学流程</w:t>
      </w:r>
    </w:p>
    <w:p w14:paraId="1869DEAC">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（2）观察班级管理常规</w:t>
      </w:r>
    </w:p>
    <w:p w14:paraId="7FC38A78">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（3）了解教研活动内容</w:t>
      </w:r>
    </w:p>
    <w:p w14:paraId="384A11E1">
      <w:pPr>
        <w:autoSpaceDE w:val="0"/>
        <w:autoSpaceDN w:val="0"/>
        <w:adjustRightInd w:val="0"/>
        <w:spacing w:line="360" w:lineRule="auto"/>
        <w:ind w:firstLine="482" w:firstLineChars="200"/>
        <w:jc w:val="left"/>
        <w:rPr>
          <w:rFonts w:ascii="宋体" w:hAnsi="宋体" w:eastAsia="宋体" w:cs="Times New Roman"/>
          <w:b/>
          <w:sz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课堂教学观摩与班级管理观摩</w:t>
      </w:r>
    </w:p>
    <w:p w14:paraId="2CC98B04">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课堂教学观摩</w:t>
      </w:r>
    </w:p>
    <w:p w14:paraId="4A0A85E9">
      <w:pPr>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通过观摩、体验小学教育教学常规流程，对教师职业有深入的认识，树立立德树人的信念。</w:t>
      </w:r>
    </w:p>
    <w:p w14:paraId="0B18A8C9">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（二）经典著作阅读（本模块可以支撑课程目标2）</w:t>
      </w:r>
    </w:p>
    <w:p w14:paraId="30220681">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72DBCDCE">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（1）教育学经典著作阅读</w:t>
      </w:r>
    </w:p>
    <w:p w14:paraId="4FA5F23C">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（2）人文社科类经典著作阅读</w:t>
      </w:r>
    </w:p>
    <w:p w14:paraId="598DECF6">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23CF64E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（1）阅读经典教育学著作</w:t>
      </w:r>
    </w:p>
    <w:p w14:paraId="686E9BF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（2）阅读人文社科经典著作</w:t>
      </w:r>
    </w:p>
    <w:p w14:paraId="06C83F4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（3）阅读自然科学通识著作</w:t>
      </w:r>
    </w:p>
    <w:p w14:paraId="730C1AA9">
      <w:pPr>
        <w:autoSpaceDE w:val="0"/>
        <w:autoSpaceDN w:val="0"/>
        <w:adjustRightInd w:val="0"/>
        <w:spacing w:line="360" w:lineRule="auto"/>
        <w:ind w:firstLine="482" w:firstLineChars="200"/>
        <w:jc w:val="left"/>
        <w:rPr>
          <w:rFonts w:ascii="宋体" w:hAnsi="宋体" w:eastAsia="宋体" w:cs="Times New Roman"/>
          <w:b/>
          <w:sz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阅读教育学经典与反思</w:t>
      </w:r>
    </w:p>
    <w:p w14:paraId="2D62802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撰写读书笔记</w:t>
      </w:r>
    </w:p>
    <w:p w14:paraId="65638931">
      <w:pPr>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通过阅读经典著作，积累教育学基本理论知识与通识知识，拓展理论视野，培养创新意识，提升反思批判能力。</w:t>
      </w:r>
    </w:p>
    <w:p w14:paraId="3A0B7D2D">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（三）“三字一话”教学基本功训练（本模块可以支撑课程目标2）</w:t>
      </w:r>
    </w:p>
    <w:p w14:paraId="6C9B944D">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0D49E12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（1）粉笔字训练</w:t>
      </w:r>
    </w:p>
    <w:p w14:paraId="2423C4D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（2）钢笔字训练</w:t>
      </w:r>
    </w:p>
    <w:p w14:paraId="7CF8F90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（3）普通话训练</w:t>
      </w:r>
    </w:p>
    <w:p w14:paraId="272C4D09">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4B6BF32A">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（1）学习硬笔字书写知识与技巧</w:t>
      </w:r>
    </w:p>
    <w:p w14:paraId="7C9DCC4F">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（2）结合相关课程训练普通话，规范语言表达</w:t>
      </w:r>
    </w:p>
    <w:p w14:paraId="7837BE46">
      <w:pPr>
        <w:autoSpaceDE w:val="0"/>
        <w:autoSpaceDN w:val="0"/>
        <w:adjustRightInd w:val="0"/>
        <w:spacing w:line="360" w:lineRule="auto"/>
        <w:ind w:firstLine="482" w:firstLineChars="200"/>
        <w:jc w:val="left"/>
        <w:rPr>
          <w:rFonts w:ascii="宋体" w:hAnsi="宋体" w:eastAsia="宋体" w:cs="Times New Roman"/>
          <w:b/>
          <w:sz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教学基本功训练</w:t>
      </w:r>
    </w:p>
    <w:p w14:paraId="109383D6">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教学基本功训练</w:t>
      </w:r>
    </w:p>
    <w:p w14:paraId="5A45A657">
      <w:pPr>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通过教学基本功训练，养成正确的书写习惯和运用普通话进行语言表达的习惯。</w:t>
      </w:r>
    </w:p>
    <w:p w14:paraId="3C1EC341">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（四）基础教育改革热点（本模块可以支撑课程目标3）</w:t>
      </w:r>
    </w:p>
    <w:p w14:paraId="44735BC8">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6B33E1F1">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（1）国际基础教育改革热点及发展趋势</w:t>
      </w:r>
    </w:p>
    <w:p w14:paraId="4439ACE5">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（2）我国基础教育改革热点及发展趋势</w:t>
      </w:r>
    </w:p>
    <w:p w14:paraId="1F389B7D">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（3）小学教育教学改革对教师素质的需求</w:t>
      </w:r>
    </w:p>
    <w:p w14:paraId="6BE0543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260BA11D">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（1）结合相关课程，查阅文献，撰写论文</w:t>
      </w:r>
    </w:p>
    <w:p w14:paraId="1D49F27B">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（2）结合教育见习，撰写调查报告</w:t>
      </w:r>
    </w:p>
    <w:p w14:paraId="2689EB5B">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撰写调查报告</w:t>
      </w:r>
    </w:p>
    <w:p w14:paraId="36AA4B8A">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查阅文献，撰写调查报告</w:t>
      </w:r>
    </w:p>
    <w:p w14:paraId="690B050A">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通过文献研究、名师讲座等方式了解基础教育尤其是小学教育教学改革热点及发展趋势，形成大局意识，以合理规划职业生涯。</w:t>
      </w:r>
    </w:p>
    <w:p w14:paraId="295C11EA">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（五）职业生涯规划（本模块可以支撑课程目标3）</w:t>
      </w:r>
    </w:p>
    <w:p w14:paraId="586B8E56">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2113AB32">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（1）撰写大学四年学习规划</w:t>
      </w:r>
    </w:p>
    <w:p w14:paraId="423EEAE2">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（2）撰写教师职业生涯规划</w:t>
      </w:r>
    </w:p>
    <w:p w14:paraId="1EEE24F4">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5C476467">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（1）结合相关课程撰写职业生涯规划</w:t>
      </w:r>
    </w:p>
    <w:p w14:paraId="36629E2E">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撰写教师职业生涯规划</w:t>
      </w:r>
    </w:p>
    <w:p w14:paraId="38F19BDA">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撰写教师职业生涯规划</w:t>
      </w:r>
    </w:p>
    <w:p w14:paraId="4B8320D5">
      <w:pPr>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通过撰写学习规划和教师职业生涯规划，树立学习目标和职业发展目标，明确发展方向。</w:t>
      </w:r>
    </w:p>
    <w:p w14:paraId="7B20F2F1">
      <w:pPr>
        <w:spacing w:line="360" w:lineRule="auto"/>
        <w:ind w:firstLine="482" w:firstLineChars="200"/>
        <w:rPr>
          <w:rFonts w:ascii="宋体" w:hAnsi="宋体" w:eastAsia="宋体" w:cs="Times New Roman"/>
          <w:b/>
          <w:color w:val="000000"/>
          <w:sz w:val="24"/>
        </w:rPr>
      </w:pPr>
      <w:r>
        <w:rPr>
          <w:rFonts w:hint="eastAsia" w:ascii="宋体" w:hAnsi="宋体" w:eastAsia="宋体" w:cs="Times New Roman"/>
          <w:b/>
          <w:color w:val="000000"/>
          <w:sz w:val="24"/>
        </w:rPr>
        <w:t>（六）沟通交流（本模块可以支撑课程目标4）</w:t>
      </w:r>
    </w:p>
    <w:p w14:paraId="443667A2">
      <w:pPr>
        <w:autoSpaceDE w:val="0"/>
        <w:autoSpaceDN w:val="0"/>
        <w:adjustRightInd w:val="0"/>
        <w:spacing w:line="360" w:lineRule="auto"/>
        <w:ind w:firstLine="482" w:firstLineChars="200"/>
        <w:jc w:val="left"/>
        <w:rPr>
          <w:rFonts w:ascii="宋体" w:hAnsi="宋体" w:eastAsia="宋体" w:cs="Times New Roman"/>
          <w:b/>
          <w:sz w:val="24"/>
        </w:rPr>
      </w:pPr>
      <w:r>
        <w:rPr>
          <w:rFonts w:hint="eastAsia" w:ascii="宋体" w:hAnsi="宋体" w:eastAsia="宋体" w:cs="Times New Roman"/>
          <w:b/>
          <w:sz w:val="24"/>
        </w:rPr>
        <w:t>1. 教学内容</w:t>
      </w:r>
    </w:p>
    <w:p w14:paraId="464BDD1D">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（1）班主任工作观摩</w:t>
      </w:r>
    </w:p>
    <w:p w14:paraId="273E4C10">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（2）家校共育观摩</w:t>
      </w:r>
    </w:p>
    <w:p w14:paraId="6479981E">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2．基本要求</w:t>
      </w:r>
    </w:p>
    <w:p w14:paraId="7FB1BB45">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（1）观摩学习班主任工作技能</w:t>
      </w:r>
    </w:p>
    <w:p w14:paraId="3173A576">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（2）结合相关课程学习与教师、学生、同学等不同人群沟通交流技巧</w:t>
      </w:r>
    </w:p>
    <w:p w14:paraId="23A99C61">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ascii="宋体" w:hAnsi="宋体" w:eastAsia="宋体" w:cs="Times New Roman"/>
          <w:b/>
          <w:sz w:val="24"/>
        </w:rPr>
        <w:t>教学重点</w:t>
      </w:r>
      <w:r>
        <w:rPr>
          <w:rFonts w:hint="eastAsia" w:ascii="宋体" w:hAnsi="宋体" w:eastAsia="宋体" w:cs="Times New Roman"/>
          <w:b/>
          <w:sz w:val="24"/>
        </w:rPr>
        <w:t>：</w:t>
      </w:r>
      <w:r>
        <w:rPr>
          <w:rFonts w:hint="eastAsia" w:ascii="Times New Roman" w:hAnsi="Times New Roman" w:eastAsia="宋体" w:cs="Times New Roman"/>
          <w:sz w:val="24"/>
          <w:szCs w:val="24"/>
        </w:rPr>
        <w:t>沟通交流技巧</w:t>
      </w:r>
    </w:p>
    <w:p w14:paraId="6F895841">
      <w:pPr>
        <w:autoSpaceDE w:val="0"/>
        <w:autoSpaceDN w:val="0"/>
        <w:adjustRightInd w:val="0"/>
        <w:spacing w:line="360" w:lineRule="auto"/>
        <w:ind w:firstLine="482" w:firstLineChars="200"/>
        <w:jc w:val="left"/>
        <w:rPr>
          <w:rFonts w:ascii="Times New Roman" w:hAnsi="Times New Roman" w:eastAsia="宋体" w:cs="Times New Roman"/>
          <w:sz w:val="24"/>
          <w:szCs w:val="24"/>
        </w:rPr>
      </w:pPr>
      <w:r>
        <w:rPr>
          <w:rFonts w:hint="eastAsia" w:ascii="宋体" w:hAnsi="宋体" w:eastAsia="宋体" w:cs="Times New Roman"/>
          <w:b/>
          <w:sz w:val="24"/>
        </w:rPr>
        <w:t>教学难点：</w:t>
      </w:r>
      <w:r>
        <w:rPr>
          <w:rFonts w:hint="eastAsia" w:ascii="Times New Roman" w:hAnsi="Times New Roman" w:eastAsia="宋体" w:cs="Times New Roman"/>
          <w:sz w:val="24"/>
          <w:szCs w:val="24"/>
        </w:rPr>
        <w:t>沟通交流技巧</w:t>
      </w:r>
    </w:p>
    <w:p w14:paraId="597911AA">
      <w:pPr>
        <w:spacing w:line="360" w:lineRule="auto"/>
        <w:ind w:firstLine="482" w:firstLineChars="200"/>
        <w:rPr>
          <w:rFonts w:ascii="Times New Roman" w:hAnsi="Times New Roman" w:eastAsia="宋体" w:cs="Times New Roman"/>
          <w:sz w:val="24"/>
          <w:szCs w:val="24"/>
        </w:rPr>
      </w:pPr>
      <w:r>
        <w:rPr>
          <w:rFonts w:hint="eastAsia" w:ascii="宋体" w:hAnsi="宋体" w:eastAsia="宋体" w:cs="Times New Roman"/>
          <w:b/>
          <w:sz w:val="24"/>
          <w:szCs w:val="24"/>
        </w:rPr>
        <w:t>思政目标：</w:t>
      </w:r>
      <w:r>
        <w:rPr>
          <w:rFonts w:hint="eastAsia" w:ascii="Times New Roman" w:hAnsi="Times New Roman" w:eastAsia="宋体" w:cs="Times New Roman"/>
          <w:sz w:val="24"/>
          <w:szCs w:val="24"/>
        </w:rPr>
        <w:t>了解教师工作的特点，熟悉与不同人群正确沟通交流的技巧。</w:t>
      </w:r>
    </w:p>
    <w:p w14:paraId="60BB91D9">
      <w:pPr>
        <w:spacing w:line="360" w:lineRule="auto"/>
        <w:ind w:firstLine="480" w:firstLineChars="200"/>
        <w:rPr>
          <w:rFonts w:ascii="Times New Roman" w:hAnsi="Times New Roman" w:eastAsia="宋体" w:cs="Times New Roman"/>
          <w:sz w:val="24"/>
          <w:szCs w:val="24"/>
        </w:rPr>
      </w:pPr>
    </w:p>
    <w:p w14:paraId="5D861645">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教学内容与</w:t>
      </w:r>
      <w:r>
        <w:rPr>
          <w:rFonts w:ascii="宋体" w:hAnsi="宋体" w:eastAsia="宋体" w:cs="Times New Roman"/>
          <w:b/>
          <w:sz w:val="24"/>
        </w:rPr>
        <w:t>课程目标的</w:t>
      </w:r>
      <w:r>
        <w:rPr>
          <w:rFonts w:hint="eastAsia" w:ascii="宋体" w:hAnsi="宋体" w:eastAsia="宋体" w:cs="Times New Roman"/>
          <w:b/>
          <w:sz w:val="24"/>
        </w:rPr>
        <w:t>对应关系</w:t>
      </w:r>
      <w:r>
        <w:rPr>
          <w:rFonts w:ascii="宋体" w:hAnsi="宋体" w:eastAsia="宋体" w:cs="Times New Roman"/>
          <w:b/>
          <w:sz w:val="24"/>
        </w:rPr>
        <w:t>分配</w:t>
      </w:r>
      <w:r>
        <w:rPr>
          <w:rFonts w:hint="eastAsia" w:ascii="宋体" w:hAnsi="宋体" w:eastAsia="宋体" w:cs="Times New Roman"/>
          <w:b/>
          <w:sz w:val="24"/>
        </w:rPr>
        <w:t>如表所示：</w:t>
      </w:r>
    </w:p>
    <w:tbl>
      <w:tblPr>
        <w:tblStyle w:val="30"/>
        <w:tblW w:w="779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4110"/>
        <w:gridCol w:w="1701"/>
        <w:gridCol w:w="1418"/>
      </w:tblGrid>
      <w:tr w14:paraId="3B21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vAlign w:val="center"/>
          </w:tcPr>
          <w:p w14:paraId="5B7A9BC0">
            <w:pPr>
              <w:jc w:val="center"/>
              <w:rPr>
                <w:rFonts w:ascii="宋体" w:hAnsi="宋体" w:eastAsia="宋体" w:cs="Times New Roman"/>
                <w:szCs w:val="21"/>
              </w:rPr>
            </w:pPr>
            <w:r>
              <w:rPr>
                <w:rFonts w:hint="eastAsia" w:ascii="宋体" w:hAnsi="宋体" w:eastAsia="宋体" w:cs="Times New Roman"/>
                <w:b/>
                <w:szCs w:val="21"/>
              </w:rPr>
              <w:t>序号</w:t>
            </w:r>
          </w:p>
        </w:tc>
        <w:tc>
          <w:tcPr>
            <w:tcW w:w="4110" w:type="dxa"/>
            <w:vAlign w:val="center"/>
          </w:tcPr>
          <w:p w14:paraId="194394C0">
            <w:pPr>
              <w:widowControl/>
              <w:snapToGrid w:val="0"/>
              <w:jc w:val="center"/>
              <w:rPr>
                <w:rFonts w:ascii="宋体" w:hAnsi="宋体" w:eastAsia="宋体" w:cs="宋体"/>
                <w:color w:val="000000"/>
                <w:kern w:val="0"/>
                <w:szCs w:val="21"/>
              </w:rPr>
            </w:pPr>
            <w:r>
              <w:rPr>
                <w:rFonts w:ascii="宋体" w:hAnsi="宋体" w:eastAsia="宋体" w:cs="Times New Roman"/>
                <w:b/>
                <w:szCs w:val="21"/>
              </w:rPr>
              <w:t>教学内容</w:t>
            </w:r>
          </w:p>
        </w:tc>
        <w:tc>
          <w:tcPr>
            <w:tcW w:w="1701" w:type="dxa"/>
            <w:vAlign w:val="center"/>
          </w:tcPr>
          <w:p w14:paraId="2D6CEBC0">
            <w:pPr>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课程目标</w:t>
            </w:r>
          </w:p>
        </w:tc>
        <w:tc>
          <w:tcPr>
            <w:tcW w:w="1418" w:type="dxa"/>
            <w:vAlign w:val="center"/>
          </w:tcPr>
          <w:p w14:paraId="26361D47">
            <w:pPr>
              <w:jc w:val="center"/>
              <w:rPr>
                <w:rFonts w:ascii="宋体" w:hAnsi="宋体" w:eastAsia="宋体" w:cs="Times New Roman"/>
                <w:kern w:val="0"/>
                <w:szCs w:val="21"/>
              </w:rPr>
            </w:pPr>
            <w:r>
              <w:rPr>
                <w:rFonts w:ascii="宋体" w:hAnsi="宋体" w:eastAsia="宋体" w:cs="Times New Roman"/>
                <w:b/>
                <w:szCs w:val="21"/>
              </w:rPr>
              <w:t>支撑</w:t>
            </w:r>
            <w:r>
              <w:rPr>
                <w:rFonts w:hint="eastAsia" w:ascii="宋体" w:hAnsi="宋体" w:eastAsia="宋体" w:cs="Times New Roman"/>
                <w:b/>
                <w:szCs w:val="21"/>
              </w:rPr>
              <w:t>的</w:t>
            </w:r>
            <w:r>
              <w:rPr>
                <w:rFonts w:ascii="宋体" w:hAnsi="宋体" w:eastAsia="宋体" w:cs="Times New Roman"/>
                <w:b/>
                <w:szCs w:val="21"/>
              </w:rPr>
              <w:t>毕业要求指标点</w:t>
            </w:r>
          </w:p>
        </w:tc>
      </w:tr>
      <w:tr w14:paraId="5B25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vAlign w:val="center"/>
          </w:tcPr>
          <w:p w14:paraId="60C75FBC">
            <w:pPr>
              <w:jc w:val="center"/>
              <w:rPr>
                <w:rFonts w:ascii="宋体" w:hAnsi="宋体" w:eastAsia="宋体" w:cs="Times New Roman"/>
                <w:color w:val="000000"/>
                <w:szCs w:val="21"/>
              </w:rPr>
            </w:pPr>
            <w:r>
              <w:rPr>
                <w:rFonts w:hint="eastAsia" w:ascii="宋体" w:hAnsi="宋体" w:eastAsia="宋体" w:cs="Times New Roman"/>
                <w:color w:val="000000"/>
                <w:szCs w:val="21"/>
              </w:rPr>
              <w:t>1</w:t>
            </w:r>
          </w:p>
        </w:tc>
        <w:tc>
          <w:tcPr>
            <w:tcW w:w="4110" w:type="dxa"/>
            <w:vAlign w:val="center"/>
          </w:tcPr>
          <w:p w14:paraId="41266E57">
            <w:pPr>
              <w:jc w:val="center"/>
              <w:rPr>
                <w:rFonts w:ascii="宋体" w:hAnsi="宋体" w:eastAsia="宋体" w:cs="宋体"/>
                <w:color w:val="000000"/>
                <w:kern w:val="0"/>
                <w:szCs w:val="21"/>
              </w:rPr>
            </w:pPr>
            <w:r>
              <w:rPr>
                <w:rFonts w:hint="eastAsia" w:ascii="宋体" w:hAnsi="宋体" w:eastAsia="宋体" w:cs="宋体"/>
                <w:color w:val="000000"/>
                <w:kern w:val="0"/>
                <w:szCs w:val="21"/>
              </w:rPr>
              <w:t>小学教育教学观摩</w:t>
            </w:r>
          </w:p>
        </w:tc>
        <w:tc>
          <w:tcPr>
            <w:tcW w:w="1701" w:type="dxa"/>
            <w:vAlign w:val="center"/>
          </w:tcPr>
          <w:p w14:paraId="698103B8">
            <w:pPr>
              <w:jc w:val="center"/>
              <w:rPr>
                <w:rFonts w:ascii="宋体" w:hAnsi="宋体" w:eastAsia="宋体" w:cs="Times New Roman"/>
                <w:color w:val="000000"/>
                <w:szCs w:val="21"/>
              </w:rPr>
            </w:pPr>
            <w:r>
              <w:rPr>
                <w:rFonts w:hint="eastAsia" w:ascii="宋体" w:hAnsi="宋体" w:eastAsia="宋体" w:cs="Times New Roman"/>
                <w:kern w:val="0"/>
                <w:szCs w:val="21"/>
              </w:rPr>
              <w:t>目标1</w:t>
            </w:r>
          </w:p>
        </w:tc>
        <w:tc>
          <w:tcPr>
            <w:tcW w:w="1418" w:type="dxa"/>
            <w:vAlign w:val="center"/>
          </w:tcPr>
          <w:p w14:paraId="094EDCEB">
            <w:pPr>
              <w:jc w:val="center"/>
              <w:rPr>
                <w:rFonts w:ascii="宋体" w:hAnsi="宋体" w:eastAsia="宋体" w:cs="Times New Roman"/>
                <w:color w:val="00000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1、3-3</w:t>
            </w:r>
          </w:p>
        </w:tc>
      </w:tr>
      <w:tr w14:paraId="5C1F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68" w:type="dxa"/>
            <w:vAlign w:val="center"/>
          </w:tcPr>
          <w:p w14:paraId="5E29C73F">
            <w:pPr>
              <w:jc w:val="center"/>
              <w:rPr>
                <w:rFonts w:ascii="宋体" w:hAnsi="宋体" w:eastAsia="宋体" w:cs="Times New Roman"/>
                <w:szCs w:val="21"/>
              </w:rPr>
            </w:pPr>
            <w:r>
              <w:rPr>
                <w:rFonts w:hint="eastAsia" w:ascii="宋体" w:hAnsi="宋体" w:eastAsia="宋体" w:cs="Times New Roman"/>
                <w:szCs w:val="21"/>
              </w:rPr>
              <w:t>2</w:t>
            </w:r>
          </w:p>
        </w:tc>
        <w:tc>
          <w:tcPr>
            <w:tcW w:w="4110" w:type="dxa"/>
            <w:vAlign w:val="center"/>
          </w:tcPr>
          <w:p w14:paraId="141A5865">
            <w:pPr>
              <w:jc w:val="center"/>
              <w:rPr>
                <w:rFonts w:ascii="宋体" w:hAnsi="宋体" w:eastAsia="宋体" w:cs="宋体"/>
                <w:color w:val="000000"/>
                <w:kern w:val="0"/>
                <w:szCs w:val="21"/>
              </w:rPr>
            </w:pPr>
            <w:r>
              <w:rPr>
                <w:rFonts w:hint="eastAsia" w:ascii="宋体" w:hAnsi="宋体" w:eastAsia="宋体" w:cs="宋体"/>
                <w:color w:val="000000"/>
                <w:kern w:val="0"/>
                <w:szCs w:val="21"/>
              </w:rPr>
              <w:t>经典著作阅读</w:t>
            </w:r>
          </w:p>
        </w:tc>
        <w:tc>
          <w:tcPr>
            <w:tcW w:w="1701" w:type="dxa"/>
            <w:vAlign w:val="center"/>
          </w:tcPr>
          <w:p w14:paraId="3F61A86E">
            <w:pPr>
              <w:jc w:val="center"/>
              <w:rPr>
                <w:rFonts w:ascii="宋体" w:hAnsi="宋体" w:eastAsia="宋体" w:cs="Times New Roman"/>
                <w:color w:val="000000"/>
                <w:szCs w:val="21"/>
              </w:rPr>
            </w:pPr>
            <w:r>
              <w:rPr>
                <w:rFonts w:hint="eastAsia" w:ascii="宋体" w:hAnsi="宋体" w:eastAsia="宋体" w:cs="Times New Roman"/>
                <w:kern w:val="0"/>
                <w:szCs w:val="21"/>
              </w:rPr>
              <w:t>目标2</w:t>
            </w:r>
          </w:p>
        </w:tc>
        <w:tc>
          <w:tcPr>
            <w:tcW w:w="1418" w:type="dxa"/>
            <w:vAlign w:val="center"/>
          </w:tcPr>
          <w:p w14:paraId="4BF3DE72">
            <w:pPr>
              <w:jc w:val="center"/>
              <w:rPr>
                <w:rFonts w:ascii="宋体" w:hAnsi="宋体" w:eastAsia="宋体" w:cs="Times New Roman"/>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1</w:t>
            </w:r>
          </w:p>
        </w:tc>
      </w:tr>
      <w:tr w14:paraId="003F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8" w:type="dxa"/>
            <w:vAlign w:val="center"/>
          </w:tcPr>
          <w:p w14:paraId="1953386C">
            <w:pPr>
              <w:jc w:val="center"/>
              <w:rPr>
                <w:rFonts w:ascii="宋体" w:hAnsi="宋体" w:eastAsia="宋体" w:cs="Times New Roman"/>
                <w:szCs w:val="21"/>
              </w:rPr>
            </w:pPr>
            <w:r>
              <w:rPr>
                <w:rFonts w:hint="eastAsia" w:ascii="宋体" w:hAnsi="宋体" w:eastAsia="宋体" w:cs="Times New Roman"/>
                <w:szCs w:val="21"/>
              </w:rPr>
              <w:t>3</w:t>
            </w:r>
          </w:p>
        </w:tc>
        <w:tc>
          <w:tcPr>
            <w:tcW w:w="4110" w:type="dxa"/>
            <w:vAlign w:val="center"/>
          </w:tcPr>
          <w:p w14:paraId="12943DD5">
            <w:pPr>
              <w:jc w:val="center"/>
              <w:rPr>
                <w:rFonts w:ascii="宋体" w:hAnsi="宋体" w:eastAsia="宋体" w:cs="宋体"/>
                <w:color w:val="000000"/>
                <w:kern w:val="0"/>
                <w:szCs w:val="21"/>
              </w:rPr>
            </w:pPr>
            <w:r>
              <w:rPr>
                <w:rFonts w:hint="eastAsia" w:ascii="宋体" w:hAnsi="宋体" w:eastAsia="宋体" w:cs="宋体"/>
                <w:color w:val="000000"/>
                <w:kern w:val="0"/>
                <w:szCs w:val="21"/>
              </w:rPr>
              <w:t>“三字一话”教学基本功训练</w:t>
            </w:r>
          </w:p>
        </w:tc>
        <w:tc>
          <w:tcPr>
            <w:tcW w:w="1701" w:type="dxa"/>
            <w:vAlign w:val="center"/>
          </w:tcPr>
          <w:p w14:paraId="6D02FC79">
            <w:pPr>
              <w:jc w:val="center"/>
              <w:rPr>
                <w:rFonts w:ascii="宋体" w:hAnsi="宋体" w:eastAsia="宋体" w:cs="Times New Roman"/>
                <w:color w:val="000000"/>
                <w:szCs w:val="21"/>
              </w:rPr>
            </w:pPr>
            <w:r>
              <w:rPr>
                <w:rFonts w:hint="eastAsia" w:ascii="宋体" w:hAnsi="宋体" w:eastAsia="宋体" w:cs="Times New Roman"/>
                <w:kern w:val="0"/>
                <w:szCs w:val="21"/>
              </w:rPr>
              <w:t>目标2</w:t>
            </w:r>
          </w:p>
        </w:tc>
        <w:tc>
          <w:tcPr>
            <w:tcW w:w="1418" w:type="dxa"/>
            <w:vAlign w:val="center"/>
          </w:tcPr>
          <w:p w14:paraId="219C847C">
            <w:pPr>
              <w:jc w:val="center"/>
              <w:rPr>
                <w:rFonts w:ascii="宋体" w:hAnsi="宋体" w:eastAsia="宋体" w:cs="Times New Roman"/>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2</w:t>
            </w:r>
          </w:p>
        </w:tc>
      </w:tr>
      <w:tr w14:paraId="60F0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8" w:type="dxa"/>
            <w:vAlign w:val="center"/>
          </w:tcPr>
          <w:p w14:paraId="08F39FC0">
            <w:pPr>
              <w:jc w:val="center"/>
              <w:rPr>
                <w:rFonts w:ascii="宋体" w:hAnsi="宋体" w:eastAsia="宋体" w:cs="Times New Roman"/>
                <w:szCs w:val="21"/>
              </w:rPr>
            </w:pPr>
            <w:r>
              <w:rPr>
                <w:rFonts w:hint="eastAsia" w:ascii="宋体" w:hAnsi="宋体" w:eastAsia="宋体" w:cs="Times New Roman"/>
                <w:szCs w:val="21"/>
              </w:rPr>
              <w:t>4</w:t>
            </w:r>
          </w:p>
        </w:tc>
        <w:tc>
          <w:tcPr>
            <w:tcW w:w="4110" w:type="dxa"/>
            <w:vAlign w:val="center"/>
          </w:tcPr>
          <w:p w14:paraId="639F9B96">
            <w:pPr>
              <w:jc w:val="center"/>
              <w:rPr>
                <w:rFonts w:ascii="宋体" w:hAnsi="宋体" w:eastAsia="宋体" w:cs="宋体"/>
                <w:color w:val="000000"/>
                <w:kern w:val="0"/>
                <w:szCs w:val="21"/>
              </w:rPr>
            </w:pPr>
            <w:r>
              <w:rPr>
                <w:rFonts w:hint="eastAsia" w:ascii="宋体" w:hAnsi="宋体" w:eastAsia="宋体" w:cs="宋体"/>
                <w:color w:val="000000"/>
                <w:kern w:val="0"/>
                <w:szCs w:val="21"/>
              </w:rPr>
              <w:t>基础教育改革热点</w:t>
            </w:r>
          </w:p>
        </w:tc>
        <w:tc>
          <w:tcPr>
            <w:tcW w:w="1701" w:type="dxa"/>
            <w:vAlign w:val="center"/>
          </w:tcPr>
          <w:p w14:paraId="23CB74FB">
            <w:pPr>
              <w:jc w:val="center"/>
              <w:rPr>
                <w:rFonts w:ascii="宋体" w:hAnsi="宋体" w:eastAsia="宋体" w:cs="Times New Roman"/>
                <w:color w:val="000000"/>
                <w:szCs w:val="21"/>
              </w:rPr>
            </w:pPr>
            <w:r>
              <w:rPr>
                <w:rFonts w:hint="eastAsia" w:ascii="宋体" w:hAnsi="宋体" w:eastAsia="宋体" w:cs="Times New Roman"/>
                <w:kern w:val="0"/>
                <w:szCs w:val="21"/>
              </w:rPr>
              <w:t>目标3</w:t>
            </w:r>
          </w:p>
        </w:tc>
        <w:tc>
          <w:tcPr>
            <w:tcW w:w="1418" w:type="dxa"/>
            <w:vAlign w:val="center"/>
          </w:tcPr>
          <w:p w14:paraId="5F509C8D">
            <w:pPr>
              <w:jc w:val="center"/>
              <w:rPr>
                <w:rFonts w:ascii="宋体" w:hAnsi="宋体" w:eastAsia="宋体" w:cs="Times New Roman"/>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w:t>
            </w:r>
          </w:p>
        </w:tc>
      </w:tr>
      <w:tr w14:paraId="7E45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8" w:type="dxa"/>
            <w:vAlign w:val="center"/>
          </w:tcPr>
          <w:p w14:paraId="5D38DE57">
            <w:pPr>
              <w:jc w:val="center"/>
              <w:rPr>
                <w:rFonts w:ascii="宋体" w:hAnsi="宋体" w:eastAsia="宋体" w:cs="Times New Roman"/>
                <w:szCs w:val="21"/>
              </w:rPr>
            </w:pPr>
            <w:r>
              <w:rPr>
                <w:rFonts w:hint="eastAsia" w:ascii="宋体" w:hAnsi="宋体" w:eastAsia="宋体" w:cs="Times New Roman"/>
                <w:szCs w:val="21"/>
              </w:rPr>
              <w:t>5</w:t>
            </w:r>
          </w:p>
        </w:tc>
        <w:tc>
          <w:tcPr>
            <w:tcW w:w="4110" w:type="dxa"/>
            <w:vAlign w:val="center"/>
          </w:tcPr>
          <w:p w14:paraId="76E8F87C">
            <w:pPr>
              <w:jc w:val="center"/>
              <w:rPr>
                <w:rFonts w:ascii="宋体" w:hAnsi="宋体" w:eastAsia="宋体" w:cs="宋体"/>
                <w:color w:val="000000"/>
                <w:kern w:val="0"/>
                <w:szCs w:val="21"/>
              </w:rPr>
            </w:pPr>
            <w:r>
              <w:rPr>
                <w:rFonts w:hint="eastAsia" w:ascii="宋体" w:hAnsi="宋体" w:eastAsia="宋体" w:cs="宋体"/>
                <w:color w:val="000000"/>
                <w:kern w:val="0"/>
                <w:szCs w:val="21"/>
              </w:rPr>
              <w:t>职业生涯规划</w:t>
            </w:r>
          </w:p>
        </w:tc>
        <w:tc>
          <w:tcPr>
            <w:tcW w:w="1701" w:type="dxa"/>
            <w:vAlign w:val="center"/>
          </w:tcPr>
          <w:p w14:paraId="5BF4FCEE">
            <w:pPr>
              <w:jc w:val="center"/>
              <w:rPr>
                <w:rFonts w:ascii="宋体" w:hAnsi="宋体" w:eastAsia="宋体" w:cs="Times New Roman"/>
                <w:szCs w:val="21"/>
              </w:rPr>
            </w:pPr>
            <w:r>
              <w:rPr>
                <w:rFonts w:hint="eastAsia" w:ascii="宋体" w:hAnsi="宋体" w:eastAsia="宋体" w:cs="Times New Roman"/>
                <w:kern w:val="0"/>
                <w:szCs w:val="21"/>
              </w:rPr>
              <w:t>目标3</w:t>
            </w:r>
          </w:p>
        </w:tc>
        <w:tc>
          <w:tcPr>
            <w:tcW w:w="1418" w:type="dxa"/>
            <w:vAlign w:val="center"/>
          </w:tcPr>
          <w:p w14:paraId="2FC17981">
            <w:pPr>
              <w:jc w:val="center"/>
              <w:rPr>
                <w:rFonts w:ascii="宋体" w:hAnsi="宋体" w:eastAsia="宋体" w:cs="Times New Roman"/>
                <w:kern w:val="0"/>
                <w:szCs w:val="21"/>
              </w:rPr>
            </w:pPr>
            <w:r>
              <w:rPr>
                <w:rFonts w:hint="eastAsia" w:ascii="宋体" w:hAnsi="宋体" w:eastAsia="宋体" w:cs="Times New Roman"/>
                <w:kern w:val="0"/>
                <w:szCs w:val="21"/>
              </w:rPr>
              <w:t>7-2</w:t>
            </w:r>
          </w:p>
        </w:tc>
      </w:tr>
      <w:tr w14:paraId="63A2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68" w:type="dxa"/>
            <w:vAlign w:val="center"/>
          </w:tcPr>
          <w:p w14:paraId="1B065A48">
            <w:pPr>
              <w:jc w:val="center"/>
              <w:rPr>
                <w:rFonts w:ascii="宋体" w:hAnsi="宋体" w:eastAsia="宋体" w:cs="Times New Roman"/>
                <w:szCs w:val="21"/>
              </w:rPr>
            </w:pPr>
            <w:r>
              <w:rPr>
                <w:rFonts w:hint="eastAsia" w:ascii="宋体" w:hAnsi="宋体" w:eastAsia="宋体" w:cs="Times New Roman"/>
                <w:szCs w:val="21"/>
              </w:rPr>
              <w:t>6</w:t>
            </w:r>
          </w:p>
        </w:tc>
        <w:tc>
          <w:tcPr>
            <w:tcW w:w="4110" w:type="dxa"/>
            <w:vAlign w:val="center"/>
          </w:tcPr>
          <w:p w14:paraId="72BF35F0">
            <w:pPr>
              <w:jc w:val="center"/>
              <w:rPr>
                <w:rFonts w:ascii="宋体" w:hAnsi="宋体" w:eastAsia="宋体" w:cs="宋体"/>
                <w:color w:val="000000"/>
                <w:kern w:val="0"/>
                <w:szCs w:val="21"/>
              </w:rPr>
            </w:pPr>
            <w:r>
              <w:rPr>
                <w:rFonts w:hint="eastAsia" w:ascii="宋体" w:hAnsi="宋体" w:eastAsia="宋体" w:cs="宋体"/>
                <w:color w:val="000000"/>
                <w:kern w:val="0"/>
                <w:szCs w:val="21"/>
              </w:rPr>
              <w:t>沟通交流</w:t>
            </w:r>
          </w:p>
        </w:tc>
        <w:tc>
          <w:tcPr>
            <w:tcW w:w="1701" w:type="dxa"/>
            <w:vAlign w:val="center"/>
          </w:tcPr>
          <w:p w14:paraId="5147DF70">
            <w:pPr>
              <w:jc w:val="center"/>
              <w:rPr>
                <w:rFonts w:ascii="宋体" w:hAnsi="宋体" w:eastAsia="宋体" w:cs="Times New Roman"/>
                <w:szCs w:val="21"/>
              </w:rPr>
            </w:pPr>
            <w:r>
              <w:rPr>
                <w:rFonts w:hint="eastAsia" w:ascii="宋体" w:hAnsi="宋体" w:eastAsia="宋体" w:cs="Times New Roman"/>
                <w:kern w:val="0"/>
                <w:szCs w:val="21"/>
              </w:rPr>
              <w:t>目标4</w:t>
            </w:r>
          </w:p>
        </w:tc>
        <w:tc>
          <w:tcPr>
            <w:tcW w:w="1418" w:type="dxa"/>
            <w:vAlign w:val="center"/>
          </w:tcPr>
          <w:p w14:paraId="23708821">
            <w:pPr>
              <w:jc w:val="center"/>
              <w:rPr>
                <w:rFonts w:ascii="宋体" w:hAnsi="宋体" w:eastAsia="宋体" w:cs="Times New Roman"/>
                <w:szCs w:val="21"/>
              </w:rPr>
            </w:pPr>
            <w:r>
              <w:rPr>
                <w:rFonts w:hint="eastAsia" w:ascii="宋体" w:hAnsi="宋体" w:eastAsia="宋体" w:cs="Times New Roman"/>
                <w:kern w:val="0"/>
                <w:szCs w:val="21"/>
              </w:rPr>
              <w:t>8-2</w:t>
            </w:r>
          </w:p>
        </w:tc>
      </w:tr>
    </w:tbl>
    <w:p w14:paraId="524D6BA7">
      <w:pPr>
        <w:spacing w:line="360" w:lineRule="auto"/>
        <w:rPr>
          <w:rFonts w:ascii="宋体" w:hAnsi="宋体" w:eastAsia="宋体" w:cs="Times New Roman"/>
          <w:b/>
          <w:sz w:val="28"/>
          <w:szCs w:val="28"/>
        </w:rPr>
      </w:pPr>
    </w:p>
    <w:p w14:paraId="3EA438FB">
      <w:pPr>
        <w:spacing w:line="360" w:lineRule="auto"/>
        <w:ind w:firstLine="551" w:firstLineChars="196"/>
        <w:rPr>
          <w:rFonts w:ascii="宋体" w:hAnsi="宋体" w:eastAsia="宋体" w:cs="Times New Roman"/>
          <w:b/>
          <w:sz w:val="28"/>
          <w:szCs w:val="28"/>
        </w:rPr>
      </w:pPr>
      <w:r>
        <w:rPr>
          <w:rFonts w:hint="eastAsia" w:ascii="宋体" w:hAnsi="宋体" w:eastAsia="宋体" w:cs="Times New Roman"/>
          <w:b/>
          <w:sz w:val="28"/>
          <w:szCs w:val="28"/>
        </w:rPr>
        <w:t>四、课内实验（实践）</w:t>
      </w:r>
    </w:p>
    <w:tbl>
      <w:tblPr>
        <w:tblStyle w:val="30"/>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71"/>
        <w:gridCol w:w="3681"/>
        <w:gridCol w:w="735"/>
        <w:gridCol w:w="1155"/>
        <w:gridCol w:w="840"/>
        <w:gridCol w:w="630"/>
      </w:tblGrid>
      <w:tr w14:paraId="5853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 w:hRule="atLeast"/>
        </w:trPr>
        <w:tc>
          <w:tcPr>
            <w:tcW w:w="636" w:type="dxa"/>
            <w:shd w:val="clear" w:color="auto" w:fill="FFFFFF"/>
            <w:vAlign w:val="center"/>
          </w:tcPr>
          <w:p w14:paraId="6971513F">
            <w:pPr>
              <w:jc w:val="center"/>
              <w:rPr>
                <w:rFonts w:ascii="宋体" w:hAnsi="宋体" w:eastAsia="宋体" w:cs="Times New Roman"/>
                <w:b/>
                <w:bCs/>
                <w:spacing w:val="-20"/>
                <w:szCs w:val="21"/>
              </w:rPr>
            </w:pPr>
            <w:r>
              <w:rPr>
                <w:rFonts w:ascii="宋体" w:hAnsi="宋体" w:eastAsia="宋体" w:cs="Times New Roman"/>
                <w:b/>
                <w:bCs/>
                <w:spacing w:val="-20"/>
                <w:szCs w:val="21"/>
              </w:rPr>
              <w:t>序号</w:t>
            </w:r>
          </w:p>
        </w:tc>
        <w:tc>
          <w:tcPr>
            <w:tcW w:w="1671" w:type="dxa"/>
            <w:shd w:val="clear" w:color="auto" w:fill="FFFFFF"/>
            <w:vAlign w:val="center"/>
          </w:tcPr>
          <w:p w14:paraId="588BE0BC">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p>
          <w:p w14:paraId="4F1CADA0">
            <w:pPr>
              <w:ind w:firstLine="211" w:firstLineChars="100"/>
              <w:rPr>
                <w:rFonts w:ascii="宋体" w:hAnsi="宋体" w:eastAsia="宋体" w:cs="Times New Roman"/>
                <w:b/>
                <w:bCs/>
                <w:szCs w:val="21"/>
              </w:rPr>
            </w:pPr>
            <w:r>
              <w:rPr>
                <w:rFonts w:ascii="宋体" w:hAnsi="宋体" w:eastAsia="宋体" w:cs="Times New Roman"/>
                <w:b/>
                <w:bCs/>
                <w:szCs w:val="21"/>
              </w:rPr>
              <w:t>项目名称</w:t>
            </w:r>
          </w:p>
        </w:tc>
        <w:tc>
          <w:tcPr>
            <w:tcW w:w="3681" w:type="dxa"/>
            <w:shd w:val="clear" w:color="auto" w:fill="FFFFFF"/>
            <w:vAlign w:val="center"/>
          </w:tcPr>
          <w:p w14:paraId="03497110">
            <w:pPr>
              <w:jc w:val="center"/>
              <w:rPr>
                <w:rFonts w:ascii="宋体" w:hAnsi="宋体" w:eastAsia="宋体" w:cs="Times New Roman"/>
                <w:b/>
                <w:bCs/>
                <w:szCs w:val="21"/>
              </w:rPr>
            </w:pPr>
            <w:r>
              <w:rPr>
                <w:rFonts w:ascii="宋体" w:hAnsi="宋体" w:eastAsia="宋体" w:cs="Times New Roman"/>
                <w:b/>
                <w:bCs/>
                <w:szCs w:val="21"/>
              </w:rPr>
              <w:t>实验</w:t>
            </w: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及要求</w:t>
            </w:r>
          </w:p>
        </w:tc>
        <w:tc>
          <w:tcPr>
            <w:tcW w:w="735" w:type="dxa"/>
            <w:shd w:val="clear" w:color="auto" w:fill="FFFFFF"/>
            <w:vAlign w:val="center"/>
          </w:tcPr>
          <w:p w14:paraId="550F60F3">
            <w:pPr>
              <w:jc w:val="center"/>
              <w:rPr>
                <w:rFonts w:ascii="宋体" w:hAnsi="宋体" w:eastAsia="宋体" w:cs="Times New Roman"/>
                <w:b/>
                <w:bCs/>
                <w:szCs w:val="21"/>
              </w:rPr>
            </w:pPr>
            <w:r>
              <w:rPr>
                <w:rFonts w:ascii="宋体" w:hAnsi="宋体" w:eastAsia="宋体" w:cs="Times New Roman"/>
                <w:b/>
                <w:bCs/>
                <w:szCs w:val="21"/>
              </w:rPr>
              <w:t>学时</w:t>
            </w:r>
          </w:p>
        </w:tc>
        <w:tc>
          <w:tcPr>
            <w:tcW w:w="1155" w:type="dxa"/>
            <w:shd w:val="clear" w:color="auto" w:fill="FFFFFF"/>
            <w:vAlign w:val="center"/>
          </w:tcPr>
          <w:p w14:paraId="4F079592">
            <w:pPr>
              <w:jc w:val="center"/>
              <w:rPr>
                <w:rFonts w:ascii="宋体" w:hAnsi="宋体" w:eastAsia="宋体" w:cs="Times New Roman"/>
                <w:b/>
                <w:bCs/>
                <w:szCs w:val="21"/>
              </w:rPr>
            </w:pPr>
            <w:r>
              <w:rPr>
                <w:rFonts w:ascii="宋体" w:hAnsi="宋体" w:eastAsia="宋体" w:cs="Times New Roman"/>
                <w:b/>
                <w:bCs/>
                <w:szCs w:val="21"/>
              </w:rPr>
              <w:t>对毕业要求的支撑</w:t>
            </w:r>
          </w:p>
        </w:tc>
        <w:tc>
          <w:tcPr>
            <w:tcW w:w="840" w:type="dxa"/>
            <w:shd w:val="clear" w:color="auto" w:fill="FFFFFF"/>
            <w:tcMar>
              <w:left w:w="28" w:type="dxa"/>
              <w:right w:w="28" w:type="dxa"/>
            </w:tcMar>
            <w:vAlign w:val="center"/>
          </w:tcPr>
          <w:p w14:paraId="6E493EB0">
            <w:pPr>
              <w:jc w:val="center"/>
              <w:rPr>
                <w:rFonts w:ascii="宋体" w:hAnsi="宋体" w:eastAsia="宋体" w:cs="Times New Roman"/>
                <w:b/>
                <w:bCs/>
                <w:szCs w:val="21"/>
              </w:rPr>
            </w:pPr>
            <w:r>
              <w:rPr>
                <w:rFonts w:ascii="宋体" w:hAnsi="宋体" w:eastAsia="宋体" w:cs="Times New Roman"/>
                <w:b/>
                <w:bCs/>
                <w:szCs w:val="21"/>
              </w:rPr>
              <w:t>类型</w:t>
            </w:r>
          </w:p>
        </w:tc>
        <w:tc>
          <w:tcPr>
            <w:tcW w:w="630" w:type="dxa"/>
            <w:shd w:val="clear" w:color="auto" w:fill="FFFFFF"/>
            <w:tcMar>
              <w:left w:w="28" w:type="dxa"/>
              <w:right w:w="28" w:type="dxa"/>
            </w:tcMar>
            <w:vAlign w:val="center"/>
          </w:tcPr>
          <w:p w14:paraId="6F840E7A">
            <w:pPr>
              <w:jc w:val="center"/>
              <w:rPr>
                <w:rFonts w:ascii="宋体" w:hAnsi="宋体" w:eastAsia="宋体" w:cs="Times New Roman"/>
                <w:b/>
                <w:bCs/>
                <w:szCs w:val="21"/>
              </w:rPr>
            </w:pPr>
            <w:r>
              <w:rPr>
                <w:rFonts w:ascii="宋体" w:hAnsi="宋体" w:eastAsia="宋体" w:cs="Times New Roman"/>
                <w:b/>
                <w:bCs/>
                <w:szCs w:val="21"/>
              </w:rPr>
              <w:t>备注</w:t>
            </w:r>
          </w:p>
        </w:tc>
      </w:tr>
      <w:tr w14:paraId="661B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636" w:type="dxa"/>
            <w:vAlign w:val="center"/>
          </w:tcPr>
          <w:p w14:paraId="15AF3206">
            <w:pPr>
              <w:jc w:val="center"/>
              <w:rPr>
                <w:rFonts w:ascii="宋体" w:hAnsi="宋体" w:eastAsia="宋体" w:cs="Times New Roman"/>
                <w:bCs/>
                <w:szCs w:val="21"/>
              </w:rPr>
            </w:pPr>
            <w:r>
              <w:rPr>
                <w:rFonts w:ascii="宋体" w:hAnsi="宋体" w:eastAsia="宋体" w:cs="Times New Roman"/>
                <w:bCs/>
                <w:szCs w:val="21"/>
              </w:rPr>
              <w:t>1</w:t>
            </w:r>
          </w:p>
        </w:tc>
        <w:tc>
          <w:tcPr>
            <w:tcW w:w="1671" w:type="dxa"/>
            <w:vAlign w:val="center"/>
          </w:tcPr>
          <w:p w14:paraId="1E964481">
            <w:pPr>
              <w:spacing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小学教学常规微观摩活动</w:t>
            </w:r>
          </w:p>
        </w:tc>
        <w:tc>
          <w:tcPr>
            <w:tcW w:w="3681" w:type="dxa"/>
            <w:vAlign w:val="center"/>
          </w:tcPr>
          <w:p w14:paraId="4B22539F">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color w:val="000000"/>
                <w:szCs w:val="21"/>
              </w:rPr>
              <w:t>赴小学</w:t>
            </w:r>
            <w:r>
              <w:rPr>
                <w:rFonts w:ascii="宋体" w:hAnsi="宋体" w:eastAsia="宋体" w:cs="Times New Roman"/>
                <w:color w:val="000000"/>
                <w:szCs w:val="21"/>
              </w:rPr>
              <w:t>观摩课堂教学</w:t>
            </w:r>
            <w:r>
              <w:rPr>
                <w:rFonts w:hint="eastAsia" w:ascii="宋体" w:hAnsi="宋体" w:eastAsia="宋体" w:cs="Times New Roman"/>
                <w:color w:val="000000"/>
                <w:szCs w:val="21"/>
              </w:rPr>
              <w:t>，深入熟悉理解教学常规各环节，每人写观察记录与心得。在教室内结合教学视频，小组研习。</w:t>
            </w:r>
          </w:p>
          <w:p w14:paraId="304E3FAC">
            <w:pPr>
              <w:spacing w:line="240" w:lineRule="atLeast"/>
              <w:ind w:firstLine="316" w:firstLineChars="150"/>
              <w:rPr>
                <w:rFonts w:ascii="宋体" w:hAnsi="宋体" w:eastAsia="宋体" w:cs="宋体"/>
                <w:color w:val="000000"/>
                <w:kern w:val="0"/>
                <w:szCs w:val="21"/>
              </w:rPr>
            </w:pPr>
            <w:r>
              <w:rPr>
                <w:rFonts w:hint="eastAsia" w:ascii="宋体" w:hAnsi="宋体" w:eastAsia="宋体" w:cs="Times New Roman"/>
                <w:b/>
                <w:bCs/>
                <w:color w:val="0070C0"/>
                <w:szCs w:val="21"/>
              </w:rPr>
              <w:t xml:space="preserve"> </w:t>
            </w:r>
            <w:r>
              <w:rPr>
                <w:rFonts w:hint="eastAsia" w:ascii="宋体" w:hAnsi="宋体" w:eastAsia="宋体" w:cs="Times New Roman"/>
                <w:b/>
                <w:bCs/>
                <w:szCs w:val="21"/>
              </w:rPr>
              <w:t>实践要求：</w:t>
            </w:r>
            <w:r>
              <w:rPr>
                <w:rFonts w:hint="eastAsia" w:ascii="宋体" w:hAnsi="宋体" w:eastAsia="宋体" w:cs="Times New Roman"/>
                <w:bCs/>
                <w:szCs w:val="21"/>
              </w:rPr>
              <w:t>每人</w:t>
            </w:r>
            <w:r>
              <w:rPr>
                <w:rFonts w:hint="eastAsia" w:ascii="宋体" w:hAnsi="宋体" w:eastAsia="宋体" w:cs="Times New Roman"/>
                <w:color w:val="000000"/>
                <w:szCs w:val="21"/>
              </w:rPr>
              <w:t>提交一节观摩课</w:t>
            </w:r>
            <w:r>
              <w:rPr>
                <w:rFonts w:ascii="宋体" w:hAnsi="宋体" w:eastAsia="宋体" w:cs="Times New Roman"/>
                <w:color w:val="000000"/>
                <w:szCs w:val="21"/>
              </w:rPr>
              <w:t>教学记录</w:t>
            </w:r>
            <w:r>
              <w:rPr>
                <w:rFonts w:hint="eastAsia" w:ascii="宋体" w:hAnsi="宋体" w:eastAsia="宋体" w:cs="Times New Roman"/>
                <w:color w:val="000000"/>
                <w:szCs w:val="21"/>
              </w:rPr>
              <w:t>或心得。</w:t>
            </w:r>
          </w:p>
        </w:tc>
        <w:tc>
          <w:tcPr>
            <w:tcW w:w="735" w:type="dxa"/>
            <w:vAlign w:val="center"/>
          </w:tcPr>
          <w:p w14:paraId="5B1D6F1F">
            <w:pPr>
              <w:jc w:val="center"/>
              <w:rPr>
                <w:rFonts w:ascii="宋体" w:hAnsi="宋体" w:eastAsia="宋体" w:cs="Times New Roman"/>
                <w:bCs/>
                <w:szCs w:val="21"/>
              </w:rPr>
            </w:pPr>
          </w:p>
        </w:tc>
        <w:tc>
          <w:tcPr>
            <w:tcW w:w="1155" w:type="dxa"/>
            <w:vAlign w:val="center"/>
          </w:tcPr>
          <w:p w14:paraId="346EA032">
            <w:pPr>
              <w:jc w:val="center"/>
              <w:rPr>
                <w:rFonts w:ascii="宋体" w:hAnsi="宋体" w:eastAsia="宋体" w:cs="Times New Roman"/>
                <w:bCs/>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宋体" w:hAnsi="宋体" w:eastAsia="宋体" w:cs="Times New Roman"/>
                <w:kern w:val="0"/>
                <w:szCs w:val="21"/>
              </w:rPr>
              <w:t>1、3-3</w:t>
            </w:r>
          </w:p>
        </w:tc>
        <w:tc>
          <w:tcPr>
            <w:tcW w:w="840" w:type="dxa"/>
            <w:tcMar>
              <w:left w:w="28" w:type="dxa"/>
              <w:right w:w="28" w:type="dxa"/>
            </w:tcMar>
            <w:vAlign w:val="center"/>
          </w:tcPr>
          <w:p w14:paraId="4CCFC0E7">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11A63A34">
            <w:pPr>
              <w:jc w:val="center"/>
              <w:rPr>
                <w:rFonts w:ascii="宋体" w:hAnsi="宋体" w:eastAsia="宋体" w:cs="Times New Roman"/>
                <w:bCs/>
                <w:szCs w:val="21"/>
              </w:rPr>
            </w:pPr>
            <w:r>
              <w:rPr>
                <w:rFonts w:ascii="宋体" w:hAnsi="宋体" w:eastAsia="宋体" w:cs="Times New Roman"/>
                <w:bCs/>
                <w:szCs w:val="21"/>
              </w:rPr>
              <w:t>必做</w:t>
            </w:r>
          </w:p>
        </w:tc>
      </w:tr>
      <w:tr w14:paraId="611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33057AEB">
            <w:pPr>
              <w:jc w:val="center"/>
              <w:rPr>
                <w:rFonts w:ascii="宋体" w:hAnsi="宋体" w:eastAsia="宋体" w:cs="Times New Roman"/>
                <w:bCs/>
                <w:szCs w:val="21"/>
              </w:rPr>
            </w:pPr>
            <w:r>
              <w:rPr>
                <w:rFonts w:hint="eastAsia" w:ascii="宋体" w:hAnsi="宋体" w:eastAsia="宋体" w:cs="Times New Roman"/>
                <w:bCs/>
                <w:szCs w:val="21"/>
              </w:rPr>
              <w:t>2</w:t>
            </w:r>
          </w:p>
        </w:tc>
        <w:tc>
          <w:tcPr>
            <w:tcW w:w="1671" w:type="dxa"/>
            <w:vAlign w:val="center"/>
          </w:tcPr>
          <w:p w14:paraId="7FB6A1D2">
            <w:pPr>
              <w:spacing w:line="240" w:lineRule="atLeast"/>
              <w:jc w:val="center"/>
              <w:rPr>
                <w:rFonts w:ascii="宋体" w:hAnsi="宋体" w:eastAsia="宋体" w:cs="宋体"/>
                <w:b/>
                <w:bCs/>
                <w:color w:val="000000"/>
                <w:kern w:val="0"/>
                <w:szCs w:val="21"/>
              </w:rPr>
            </w:pPr>
            <w:r>
              <w:rPr>
                <w:rFonts w:hint="eastAsia" w:ascii="宋体" w:hAnsi="宋体" w:eastAsia="宋体" w:cs="宋体"/>
                <w:color w:val="000000"/>
                <w:kern w:val="0"/>
                <w:szCs w:val="21"/>
              </w:rPr>
              <w:t>经典著作阅读</w:t>
            </w:r>
          </w:p>
        </w:tc>
        <w:tc>
          <w:tcPr>
            <w:tcW w:w="3681" w:type="dxa"/>
            <w:vAlign w:val="center"/>
          </w:tcPr>
          <w:p w14:paraId="6714F925">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color w:val="000000"/>
                <w:szCs w:val="21"/>
              </w:rPr>
              <w:t>阅读教育学、人文社科、自然科学等经典著作，撰写读书笔记。</w:t>
            </w:r>
          </w:p>
          <w:p w14:paraId="15405E0F">
            <w:pPr>
              <w:spacing w:line="240" w:lineRule="atLeast"/>
              <w:ind w:firstLine="422" w:firstLineChars="200"/>
              <w:rPr>
                <w:rFonts w:ascii="宋体" w:hAnsi="宋体" w:eastAsia="宋体" w:cs="宋体"/>
                <w:color w:val="000000"/>
                <w:kern w:val="0"/>
                <w:szCs w:val="21"/>
              </w:rPr>
            </w:pPr>
            <w:r>
              <w:rPr>
                <w:rFonts w:hint="eastAsia" w:ascii="宋体" w:hAnsi="宋体" w:eastAsia="宋体" w:cs="Times New Roman"/>
                <w:b/>
                <w:bCs/>
                <w:szCs w:val="21"/>
              </w:rPr>
              <w:t>实践要求：</w:t>
            </w:r>
            <w:r>
              <w:rPr>
                <w:rFonts w:hint="eastAsia" w:ascii="宋体" w:hAnsi="宋体" w:eastAsia="宋体" w:cs="Times New Roman"/>
                <w:color w:val="000000"/>
                <w:szCs w:val="21"/>
              </w:rPr>
              <w:t>每学期至少读两本著作，提交读书笔记。</w:t>
            </w:r>
          </w:p>
        </w:tc>
        <w:tc>
          <w:tcPr>
            <w:tcW w:w="735" w:type="dxa"/>
            <w:vAlign w:val="center"/>
          </w:tcPr>
          <w:p w14:paraId="1F32DA8E">
            <w:pPr>
              <w:jc w:val="center"/>
              <w:rPr>
                <w:rFonts w:ascii="宋体" w:hAnsi="宋体" w:eastAsia="宋体" w:cs="Times New Roman"/>
                <w:bCs/>
                <w:szCs w:val="21"/>
              </w:rPr>
            </w:pPr>
          </w:p>
        </w:tc>
        <w:tc>
          <w:tcPr>
            <w:tcW w:w="1155" w:type="dxa"/>
            <w:vAlign w:val="center"/>
          </w:tcPr>
          <w:p w14:paraId="47C58BB2">
            <w:pPr>
              <w:jc w:val="center"/>
              <w:rPr>
                <w:rFonts w:ascii="宋体" w:hAnsi="宋体" w:eastAsia="宋体" w:cs="Times New Roman"/>
                <w:bCs/>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1</w:t>
            </w:r>
          </w:p>
        </w:tc>
        <w:tc>
          <w:tcPr>
            <w:tcW w:w="840" w:type="dxa"/>
            <w:tcMar>
              <w:left w:w="28" w:type="dxa"/>
              <w:right w:w="28" w:type="dxa"/>
            </w:tcMar>
            <w:vAlign w:val="center"/>
          </w:tcPr>
          <w:p w14:paraId="718541D1">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35337AC6">
            <w:pPr>
              <w:jc w:val="center"/>
              <w:rPr>
                <w:rFonts w:ascii="宋体" w:hAnsi="宋体" w:eastAsia="宋体" w:cs="Times New Roman"/>
                <w:bCs/>
                <w:szCs w:val="21"/>
              </w:rPr>
            </w:pPr>
            <w:r>
              <w:rPr>
                <w:rFonts w:ascii="宋体" w:hAnsi="宋体" w:eastAsia="宋体" w:cs="Times New Roman"/>
                <w:bCs/>
                <w:szCs w:val="21"/>
              </w:rPr>
              <w:t>必做</w:t>
            </w:r>
          </w:p>
        </w:tc>
      </w:tr>
      <w:tr w14:paraId="1E54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36" w:type="dxa"/>
            <w:vAlign w:val="center"/>
          </w:tcPr>
          <w:p w14:paraId="1704BA69">
            <w:pPr>
              <w:jc w:val="center"/>
              <w:rPr>
                <w:rFonts w:ascii="宋体" w:hAnsi="宋体" w:eastAsia="宋体" w:cs="Times New Roman"/>
                <w:bCs/>
                <w:szCs w:val="21"/>
              </w:rPr>
            </w:pPr>
            <w:r>
              <w:rPr>
                <w:rFonts w:hint="eastAsia" w:ascii="宋体" w:hAnsi="宋体" w:eastAsia="宋体" w:cs="Times New Roman"/>
                <w:bCs/>
                <w:szCs w:val="21"/>
              </w:rPr>
              <w:t>3</w:t>
            </w:r>
          </w:p>
        </w:tc>
        <w:tc>
          <w:tcPr>
            <w:tcW w:w="1671" w:type="dxa"/>
            <w:vAlign w:val="center"/>
          </w:tcPr>
          <w:p w14:paraId="6D63AE86">
            <w:pPr>
              <w:spacing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“三字一话”教学基本功训练</w:t>
            </w:r>
          </w:p>
        </w:tc>
        <w:tc>
          <w:tcPr>
            <w:tcW w:w="3681" w:type="dxa"/>
            <w:vAlign w:val="center"/>
          </w:tcPr>
          <w:p w14:paraId="77582C75">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color w:val="000000"/>
                <w:szCs w:val="21"/>
              </w:rPr>
              <w:t>钢笔字、粉笔字、普通话训练。</w:t>
            </w:r>
          </w:p>
          <w:p w14:paraId="47A5575A">
            <w:pPr>
              <w:spacing w:line="240" w:lineRule="atLeast"/>
              <w:ind w:firstLine="422" w:firstLineChars="200"/>
              <w:rPr>
                <w:rFonts w:ascii="宋体" w:hAnsi="宋体" w:eastAsia="宋体" w:cs="宋体"/>
                <w:color w:val="000000"/>
                <w:kern w:val="0"/>
                <w:szCs w:val="21"/>
              </w:rPr>
            </w:pPr>
            <w:r>
              <w:rPr>
                <w:rFonts w:hint="eastAsia" w:ascii="宋体" w:hAnsi="宋体" w:eastAsia="宋体" w:cs="Times New Roman"/>
                <w:b/>
                <w:bCs/>
                <w:szCs w:val="21"/>
              </w:rPr>
              <w:t>实践要求：每周三篇钢笔字、每周三次粉笔字</w:t>
            </w:r>
            <w:r>
              <w:rPr>
                <w:rFonts w:ascii="宋体" w:hAnsi="宋体" w:eastAsia="宋体" w:cs="宋体"/>
                <w:color w:val="000000"/>
                <w:kern w:val="0"/>
                <w:szCs w:val="21"/>
              </w:rPr>
              <w:t>。</w:t>
            </w:r>
            <w:r>
              <w:rPr>
                <w:rFonts w:hint="eastAsia" w:ascii="宋体" w:hAnsi="宋体" w:eastAsia="宋体" w:cs="宋体"/>
                <w:color w:val="000000"/>
                <w:kern w:val="0"/>
                <w:szCs w:val="21"/>
              </w:rPr>
              <w:t>普通话日常训练。</w:t>
            </w:r>
          </w:p>
        </w:tc>
        <w:tc>
          <w:tcPr>
            <w:tcW w:w="735" w:type="dxa"/>
            <w:vAlign w:val="center"/>
          </w:tcPr>
          <w:p w14:paraId="204FFF74">
            <w:pPr>
              <w:jc w:val="center"/>
              <w:rPr>
                <w:rFonts w:ascii="宋体" w:hAnsi="宋体" w:eastAsia="宋体" w:cs="Times New Roman"/>
                <w:bCs/>
                <w:szCs w:val="21"/>
              </w:rPr>
            </w:pPr>
          </w:p>
        </w:tc>
        <w:tc>
          <w:tcPr>
            <w:tcW w:w="1155" w:type="dxa"/>
            <w:vAlign w:val="center"/>
          </w:tcPr>
          <w:p w14:paraId="79228E08">
            <w:pPr>
              <w:jc w:val="center"/>
              <w:rPr>
                <w:rFonts w:ascii="宋体" w:hAnsi="宋体" w:eastAsia="宋体" w:cs="Times New Roman"/>
                <w:bCs/>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2</w:t>
            </w:r>
          </w:p>
        </w:tc>
        <w:tc>
          <w:tcPr>
            <w:tcW w:w="840" w:type="dxa"/>
            <w:tcMar>
              <w:left w:w="28" w:type="dxa"/>
              <w:right w:w="28" w:type="dxa"/>
            </w:tcMar>
            <w:vAlign w:val="center"/>
          </w:tcPr>
          <w:p w14:paraId="063ED96D">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6B72EC31">
            <w:pPr>
              <w:jc w:val="center"/>
              <w:rPr>
                <w:rFonts w:ascii="宋体" w:hAnsi="宋体" w:eastAsia="宋体" w:cs="Times New Roman"/>
                <w:bCs/>
                <w:szCs w:val="21"/>
              </w:rPr>
            </w:pPr>
            <w:r>
              <w:rPr>
                <w:rFonts w:ascii="宋体" w:hAnsi="宋体" w:eastAsia="宋体" w:cs="Times New Roman"/>
                <w:bCs/>
                <w:szCs w:val="21"/>
              </w:rPr>
              <w:t>必做</w:t>
            </w:r>
          </w:p>
        </w:tc>
      </w:tr>
      <w:tr w14:paraId="2AC3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636" w:type="dxa"/>
            <w:vAlign w:val="center"/>
          </w:tcPr>
          <w:p w14:paraId="5647DC98">
            <w:pPr>
              <w:jc w:val="center"/>
              <w:rPr>
                <w:rFonts w:ascii="宋体" w:hAnsi="宋体" w:eastAsia="宋体" w:cs="Times New Roman"/>
                <w:bCs/>
                <w:szCs w:val="21"/>
              </w:rPr>
            </w:pPr>
            <w:r>
              <w:rPr>
                <w:rFonts w:hint="eastAsia" w:ascii="宋体" w:hAnsi="宋体" w:eastAsia="宋体" w:cs="Times New Roman"/>
                <w:bCs/>
                <w:szCs w:val="21"/>
              </w:rPr>
              <w:t>4</w:t>
            </w:r>
          </w:p>
        </w:tc>
        <w:tc>
          <w:tcPr>
            <w:tcW w:w="1671" w:type="dxa"/>
            <w:vAlign w:val="center"/>
          </w:tcPr>
          <w:p w14:paraId="6B83B7A0">
            <w:pPr>
              <w:spacing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基础教育改革热点</w:t>
            </w:r>
          </w:p>
        </w:tc>
        <w:tc>
          <w:tcPr>
            <w:tcW w:w="3681" w:type="dxa"/>
            <w:vAlign w:val="center"/>
          </w:tcPr>
          <w:p w14:paraId="18F099B7">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宋体"/>
                <w:color w:val="000000"/>
                <w:kern w:val="0"/>
                <w:szCs w:val="21"/>
              </w:rPr>
              <w:t>查阅文献，听名师讲座，小组研讨。</w:t>
            </w:r>
          </w:p>
          <w:p w14:paraId="271A38CC">
            <w:pPr>
              <w:spacing w:line="240" w:lineRule="atLeast"/>
              <w:ind w:firstLine="422" w:firstLineChars="200"/>
              <w:rPr>
                <w:rFonts w:ascii="宋体" w:hAnsi="宋体" w:eastAsia="宋体" w:cs="宋体"/>
                <w:color w:val="000000"/>
                <w:kern w:val="0"/>
                <w:szCs w:val="21"/>
              </w:rPr>
            </w:pPr>
            <w:r>
              <w:rPr>
                <w:rFonts w:hint="eastAsia" w:ascii="宋体" w:hAnsi="宋体" w:eastAsia="宋体" w:cs="Times New Roman"/>
                <w:b/>
                <w:bCs/>
                <w:szCs w:val="21"/>
              </w:rPr>
              <w:t>实践要求：</w:t>
            </w:r>
            <w:r>
              <w:rPr>
                <w:rFonts w:hint="eastAsia" w:ascii="宋体" w:hAnsi="宋体" w:eastAsia="宋体" w:cs="宋体"/>
                <w:color w:val="000000"/>
                <w:kern w:val="0"/>
                <w:szCs w:val="21"/>
              </w:rPr>
              <w:t>结合相关课程提交论文、调查报告。</w:t>
            </w:r>
          </w:p>
        </w:tc>
        <w:tc>
          <w:tcPr>
            <w:tcW w:w="735" w:type="dxa"/>
            <w:vAlign w:val="center"/>
          </w:tcPr>
          <w:p w14:paraId="332492A5">
            <w:pPr>
              <w:jc w:val="center"/>
              <w:rPr>
                <w:rFonts w:ascii="宋体" w:hAnsi="宋体" w:eastAsia="宋体" w:cs="Times New Roman"/>
                <w:bCs/>
                <w:szCs w:val="21"/>
              </w:rPr>
            </w:pPr>
          </w:p>
        </w:tc>
        <w:tc>
          <w:tcPr>
            <w:tcW w:w="1155" w:type="dxa"/>
            <w:vAlign w:val="center"/>
          </w:tcPr>
          <w:p w14:paraId="095BE9AA">
            <w:pPr>
              <w:jc w:val="center"/>
              <w:rPr>
                <w:rFonts w:ascii="宋体" w:hAnsi="宋体" w:eastAsia="宋体" w:cs="Times New Roman"/>
                <w:bCs/>
                <w:szCs w:val="21"/>
              </w:rPr>
            </w:pPr>
            <w:r>
              <w:rPr>
                <w:rFonts w:hint="eastAsia" w:ascii="宋体" w:hAnsi="宋体" w:eastAsia="宋体" w:cs="Times New Roman"/>
                <w:kern w:val="0"/>
                <w:szCs w:val="21"/>
              </w:rPr>
              <w:t>7</w:t>
            </w:r>
            <w:r>
              <w:rPr>
                <w:rFonts w:ascii="宋体" w:hAnsi="宋体" w:eastAsia="宋体" w:cs="Times New Roman"/>
                <w:kern w:val="0"/>
                <w:szCs w:val="21"/>
              </w:rPr>
              <w:t>-</w:t>
            </w:r>
            <w:r>
              <w:rPr>
                <w:rFonts w:hint="eastAsia" w:ascii="宋体" w:hAnsi="宋体" w:eastAsia="宋体" w:cs="Times New Roman"/>
                <w:kern w:val="0"/>
                <w:szCs w:val="21"/>
              </w:rPr>
              <w:t>1</w:t>
            </w:r>
          </w:p>
        </w:tc>
        <w:tc>
          <w:tcPr>
            <w:tcW w:w="840" w:type="dxa"/>
            <w:tcMar>
              <w:left w:w="28" w:type="dxa"/>
              <w:right w:w="28" w:type="dxa"/>
            </w:tcMar>
            <w:vAlign w:val="center"/>
          </w:tcPr>
          <w:p w14:paraId="1A1ED346">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7F8D7781">
            <w:pPr>
              <w:jc w:val="center"/>
              <w:rPr>
                <w:rFonts w:ascii="宋体" w:hAnsi="宋体" w:eastAsia="宋体" w:cs="Times New Roman"/>
                <w:bCs/>
                <w:szCs w:val="21"/>
              </w:rPr>
            </w:pPr>
            <w:r>
              <w:rPr>
                <w:rFonts w:hint="eastAsia" w:ascii="宋体" w:hAnsi="宋体" w:eastAsia="宋体" w:cs="Times New Roman"/>
                <w:bCs/>
                <w:szCs w:val="21"/>
              </w:rPr>
              <w:t>选</w:t>
            </w:r>
            <w:r>
              <w:rPr>
                <w:rFonts w:ascii="宋体" w:hAnsi="宋体" w:eastAsia="宋体" w:cs="Times New Roman"/>
                <w:bCs/>
                <w:szCs w:val="21"/>
              </w:rPr>
              <w:t>做</w:t>
            </w:r>
          </w:p>
        </w:tc>
      </w:tr>
      <w:tr w14:paraId="1BEC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636" w:type="dxa"/>
            <w:vAlign w:val="center"/>
          </w:tcPr>
          <w:p w14:paraId="698256EE">
            <w:pPr>
              <w:jc w:val="center"/>
              <w:rPr>
                <w:rFonts w:ascii="宋体" w:hAnsi="宋体" w:eastAsia="宋体" w:cs="Times New Roman"/>
                <w:bCs/>
                <w:szCs w:val="21"/>
              </w:rPr>
            </w:pPr>
            <w:r>
              <w:rPr>
                <w:rFonts w:hint="eastAsia" w:ascii="宋体" w:hAnsi="宋体" w:eastAsia="宋体" w:cs="Times New Roman"/>
                <w:bCs/>
                <w:szCs w:val="21"/>
              </w:rPr>
              <w:t>5</w:t>
            </w:r>
          </w:p>
        </w:tc>
        <w:tc>
          <w:tcPr>
            <w:tcW w:w="1671" w:type="dxa"/>
            <w:vAlign w:val="center"/>
          </w:tcPr>
          <w:p w14:paraId="0C6801D5">
            <w:pPr>
              <w:spacing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职业生涯规划</w:t>
            </w:r>
          </w:p>
        </w:tc>
        <w:tc>
          <w:tcPr>
            <w:tcW w:w="3681" w:type="dxa"/>
            <w:vAlign w:val="center"/>
          </w:tcPr>
          <w:p w14:paraId="04682D35">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宋体"/>
                <w:color w:val="000000"/>
                <w:kern w:val="0"/>
                <w:szCs w:val="21"/>
              </w:rPr>
              <w:t>撰写大学学习生涯规划、教师职业生涯规划。</w:t>
            </w:r>
          </w:p>
          <w:p w14:paraId="0E946306">
            <w:pPr>
              <w:spacing w:line="240" w:lineRule="atLeast"/>
              <w:ind w:firstLine="422" w:firstLineChars="200"/>
              <w:rPr>
                <w:rFonts w:ascii="宋体" w:hAnsi="宋体" w:eastAsia="宋体" w:cs="Times New Roman"/>
                <w:b/>
                <w:bCs/>
                <w:szCs w:val="21"/>
              </w:rPr>
            </w:pPr>
            <w:r>
              <w:rPr>
                <w:rFonts w:hint="eastAsia" w:ascii="宋体" w:hAnsi="宋体" w:eastAsia="宋体" w:cs="Times New Roman"/>
                <w:b/>
                <w:bCs/>
                <w:szCs w:val="21"/>
              </w:rPr>
              <w:t>实践要求：</w:t>
            </w:r>
            <w:r>
              <w:rPr>
                <w:rFonts w:hint="eastAsia" w:ascii="宋体" w:hAnsi="宋体" w:eastAsia="宋体" w:cs="宋体"/>
                <w:color w:val="000000"/>
                <w:kern w:val="0"/>
                <w:szCs w:val="21"/>
              </w:rPr>
              <w:t>结合相关课程提交1份职业生涯规划。</w:t>
            </w:r>
          </w:p>
        </w:tc>
        <w:tc>
          <w:tcPr>
            <w:tcW w:w="735" w:type="dxa"/>
            <w:vAlign w:val="center"/>
          </w:tcPr>
          <w:p w14:paraId="7BF90D5C">
            <w:pPr>
              <w:jc w:val="center"/>
              <w:rPr>
                <w:rFonts w:ascii="宋体" w:hAnsi="宋体" w:eastAsia="宋体" w:cs="Times New Roman"/>
                <w:bCs/>
                <w:szCs w:val="21"/>
              </w:rPr>
            </w:pPr>
          </w:p>
        </w:tc>
        <w:tc>
          <w:tcPr>
            <w:tcW w:w="1155" w:type="dxa"/>
            <w:vAlign w:val="center"/>
          </w:tcPr>
          <w:p w14:paraId="0FF57D9F">
            <w:pPr>
              <w:jc w:val="center"/>
              <w:rPr>
                <w:rFonts w:ascii="宋体" w:hAnsi="宋体" w:eastAsia="宋体" w:cs="Times New Roman"/>
                <w:bCs/>
                <w:szCs w:val="21"/>
              </w:rPr>
            </w:pPr>
            <w:r>
              <w:rPr>
                <w:rFonts w:hint="eastAsia" w:ascii="宋体" w:hAnsi="宋体" w:eastAsia="宋体" w:cs="Times New Roman"/>
                <w:kern w:val="0"/>
                <w:szCs w:val="21"/>
              </w:rPr>
              <w:t>7-2</w:t>
            </w:r>
          </w:p>
        </w:tc>
        <w:tc>
          <w:tcPr>
            <w:tcW w:w="840" w:type="dxa"/>
            <w:tcMar>
              <w:left w:w="28" w:type="dxa"/>
              <w:right w:w="28" w:type="dxa"/>
            </w:tcMar>
            <w:vAlign w:val="center"/>
          </w:tcPr>
          <w:p w14:paraId="07B8510D">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4926CB87">
            <w:pPr>
              <w:jc w:val="center"/>
              <w:rPr>
                <w:rFonts w:ascii="宋体" w:hAnsi="宋体" w:eastAsia="宋体" w:cs="Times New Roman"/>
                <w:bCs/>
                <w:szCs w:val="21"/>
              </w:rPr>
            </w:pPr>
            <w:r>
              <w:rPr>
                <w:rFonts w:hint="eastAsia" w:ascii="宋体" w:hAnsi="宋体" w:eastAsia="宋体" w:cs="Times New Roman"/>
                <w:bCs/>
                <w:szCs w:val="21"/>
              </w:rPr>
              <w:t>选</w:t>
            </w:r>
            <w:r>
              <w:rPr>
                <w:rFonts w:ascii="宋体" w:hAnsi="宋体" w:eastAsia="宋体" w:cs="Times New Roman"/>
                <w:bCs/>
                <w:szCs w:val="21"/>
              </w:rPr>
              <w:t>做</w:t>
            </w:r>
          </w:p>
        </w:tc>
      </w:tr>
      <w:tr w14:paraId="790B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vAlign w:val="center"/>
          </w:tcPr>
          <w:p w14:paraId="56AB7EA7">
            <w:pPr>
              <w:jc w:val="center"/>
              <w:rPr>
                <w:rFonts w:ascii="宋体" w:hAnsi="宋体" w:eastAsia="宋体" w:cs="Times New Roman"/>
                <w:bCs/>
                <w:szCs w:val="21"/>
              </w:rPr>
            </w:pPr>
            <w:r>
              <w:rPr>
                <w:rFonts w:hint="eastAsia" w:ascii="宋体" w:hAnsi="宋体" w:eastAsia="宋体" w:cs="Times New Roman"/>
                <w:bCs/>
                <w:szCs w:val="21"/>
              </w:rPr>
              <w:t>6</w:t>
            </w:r>
          </w:p>
        </w:tc>
        <w:tc>
          <w:tcPr>
            <w:tcW w:w="1671" w:type="dxa"/>
            <w:vAlign w:val="center"/>
          </w:tcPr>
          <w:p w14:paraId="587889D3">
            <w:pPr>
              <w:spacing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沟通交流</w:t>
            </w:r>
          </w:p>
        </w:tc>
        <w:tc>
          <w:tcPr>
            <w:tcW w:w="3681" w:type="dxa"/>
            <w:vAlign w:val="center"/>
          </w:tcPr>
          <w:p w14:paraId="7E8C3C79">
            <w:pPr>
              <w:spacing w:line="240" w:lineRule="atLeast"/>
              <w:ind w:firstLine="422" w:firstLineChars="200"/>
              <w:rPr>
                <w:rFonts w:ascii="宋体" w:hAnsi="宋体" w:eastAsia="宋体" w:cs="Times New Roman"/>
                <w:color w:val="000000"/>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宋体"/>
                <w:color w:val="000000"/>
                <w:kern w:val="0"/>
                <w:szCs w:val="21"/>
              </w:rPr>
              <w:t>班主任工作模拟。</w:t>
            </w:r>
          </w:p>
          <w:p w14:paraId="1B876F5F">
            <w:pPr>
              <w:spacing w:line="240" w:lineRule="atLeast"/>
              <w:ind w:firstLine="422" w:firstLineChars="200"/>
              <w:rPr>
                <w:rFonts w:ascii="宋体" w:hAnsi="宋体" w:eastAsia="宋体" w:cs="Times New Roman"/>
                <w:b/>
                <w:bCs/>
                <w:szCs w:val="21"/>
              </w:rPr>
            </w:pPr>
            <w:r>
              <w:rPr>
                <w:rFonts w:hint="eastAsia" w:ascii="宋体" w:hAnsi="宋体" w:eastAsia="宋体" w:cs="Times New Roman"/>
                <w:b/>
                <w:bCs/>
                <w:szCs w:val="21"/>
              </w:rPr>
              <w:t>实践要求：</w:t>
            </w:r>
            <w:r>
              <w:rPr>
                <w:rFonts w:hint="eastAsia" w:ascii="宋体" w:hAnsi="宋体" w:eastAsia="宋体" w:cs="宋体"/>
                <w:color w:val="000000"/>
                <w:kern w:val="0"/>
                <w:szCs w:val="21"/>
              </w:rPr>
              <w:t>结合相关课程进行模拟训练。</w:t>
            </w:r>
          </w:p>
        </w:tc>
        <w:tc>
          <w:tcPr>
            <w:tcW w:w="735" w:type="dxa"/>
            <w:vAlign w:val="center"/>
          </w:tcPr>
          <w:p w14:paraId="56C4EB65">
            <w:pPr>
              <w:jc w:val="center"/>
              <w:rPr>
                <w:rFonts w:ascii="宋体" w:hAnsi="宋体" w:eastAsia="宋体" w:cs="Times New Roman"/>
                <w:bCs/>
                <w:szCs w:val="21"/>
              </w:rPr>
            </w:pPr>
          </w:p>
        </w:tc>
        <w:tc>
          <w:tcPr>
            <w:tcW w:w="1155" w:type="dxa"/>
            <w:vAlign w:val="center"/>
          </w:tcPr>
          <w:p w14:paraId="215B8198">
            <w:pPr>
              <w:jc w:val="center"/>
              <w:rPr>
                <w:rFonts w:ascii="宋体" w:hAnsi="宋体" w:eastAsia="宋体" w:cs="Times New Roman"/>
                <w:bCs/>
                <w:szCs w:val="21"/>
              </w:rPr>
            </w:pPr>
            <w:r>
              <w:rPr>
                <w:rFonts w:hint="eastAsia" w:ascii="宋体" w:hAnsi="宋体" w:eastAsia="宋体" w:cs="Times New Roman"/>
                <w:kern w:val="0"/>
                <w:szCs w:val="21"/>
              </w:rPr>
              <w:t>8-2</w:t>
            </w:r>
          </w:p>
        </w:tc>
        <w:tc>
          <w:tcPr>
            <w:tcW w:w="840" w:type="dxa"/>
            <w:tcMar>
              <w:left w:w="28" w:type="dxa"/>
              <w:right w:w="28" w:type="dxa"/>
            </w:tcMar>
            <w:vAlign w:val="center"/>
          </w:tcPr>
          <w:p w14:paraId="5761041D">
            <w:pPr>
              <w:jc w:val="center"/>
              <w:rPr>
                <w:rFonts w:ascii="宋体" w:hAnsi="宋体" w:eastAsia="宋体" w:cs="Times New Roman"/>
                <w:bCs/>
                <w:szCs w:val="21"/>
              </w:rPr>
            </w:pPr>
            <w:r>
              <w:rPr>
                <w:rFonts w:hint="eastAsia" w:ascii="宋体" w:hAnsi="宋体" w:eastAsia="宋体" w:cs="Times New Roman"/>
                <w:bCs/>
                <w:szCs w:val="21"/>
              </w:rPr>
              <w:t>实践性</w:t>
            </w:r>
          </w:p>
        </w:tc>
        <w:tc>
          <w:tcPr>
            <w:tcW w:w="630" w:type="dxa"/>
            <w:tcMar>
              <w:left w:w="28" w:type="dxa"/>
              <w:right w:w="28" w:type="dxa"/>
            </w:tcMar>
            <w:vAlign w:val="center"/>
          </w:tcPr>
          <w:p w14:paraId="5E8FF7B1">
            <w:pPr>
              <w:jc w:val="center"/>
              <w:rPr>
                <w:rFonts w:ascii="宋体" w:hAnsi="宋体" w:eastAsia="宋体" w:cs="Times New Roman"/>
                <w:bCs/>
                <w:szCs w:val="21"/>
              </w:rPr>
            </w:pPr>
            <w:r>
              <w:rPr>
                <w:rFonts w:hint="eastAsia" w:ascii="宋体" w:hAnsi="宋体" w:eastAsia="宋体" w:cs="Times New Roman"/>
                <w:bCs/>
                <w:szCs w:val="21"/>
              </w:rPr>
              <w:t>选</w:t>
            </w:r>
            <w:r>
              <w:rPr>
                <w:rFonts w:ascii="宋体" w:hAnsi="宋体" w:eastAsia="宋体" w:cs="Times New Roman"/>
                <w:bCs/>
                <w:szCs w:val="21"/>
              </w:rPr>
              <w:t>做</w:t>
            </w:r>
          </w:p>
        </w:tc>
      </w:tr>
    </w:tbl>
    <w:p w14:paraId="4A8293B5">
      <w:pPr>
        <w:spacing w:line="360" w:lineRule="auto"/>
        <w:rPr>
          <w:rFonts w:ascii="宋体" w:hAnsi="宋体" w:eastAsia="宋体" w:cs="Times New Roman"/>
          <w:b/>
          <w:sz w:val="28"/>
          <w:szCs w:val="28"/>
        </w:rPr>
      </w:pPr>
    </w:p>
    <w:p w14:paraId="4619C163">
      <w:pPr>
        <w:spacing w:line="360" w:lineRule="auto"/>
        <w:rPr>
          <w:rFonts w:ascii="宋体" w:hAnsi="宋体" w:eastAsia="宋体" w:cs="Times New Roman"/>
          <w:b/>
          <w:sz w:val="28"/>
          <w:szCs w:val="28"/>
        </w:rPr>
      </w:pPr>
      <w:r>
        <w:rPr>
          <w:rFonts w:hint="eastAsia" w:ascii="宋体" w:hAnsi="宋体" w:eastAsia="宋体" w:cs="Times New Roman"/>
          <w:b/>
          <w:sz w:val="28"/>
          <w:szCs w:val="28"/>
        </w:rPr>
        <w:t xml:space="preserve">    五、课程实施</w:t>
      </w:r>
    </w:p>
    <w:p w14:paraId="4ED8B2E0">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（一）</w:t>
      </w:r>
      <w:r>
        <w:rPr>
          <w:rFonts w:hint="eastAsia" w:ascii="宋体" w:hAnsi="宋体" w:eastAsia="宋体" w:cs="Times New Roman"/>
          <w:color w:val="000000"/>
          <w:sz w:val="24"/>
        </w:rPr>
        <w:t>积极进行课堂教学改革，采用任务驱动教学方法，结合讲授法、讨论法、现场教学等方法，进行认知实习。充分利用网络、校内课程、实习基地等资源，提高教学的针对性和实效性。</w:t>
      </w:r>
    </w:p>
    <w:p w14:paraId="3E8BDF93">
      <w:pPr>
        <w:spacing w:line="360" w:lineRule="auto"/>
        <w:ind w:firstLine="480" w:firstLineChars="200"/>
        <w:rPr>
          <w:rFonts w:ascii="宋体" w:hAnsi="宋体" w:eastAsia="宋体" w:cs="Times New Roman"/>
          <w:color w:val="000000"/>
          <w:sz w:val="24"/>
        </w:rPr>
      </w:pPr>
      <w:r>
        <w:rPr>
          <w:rFonts w:hint="eastAsia" w:ascii="宋体" w:hAnsi="宋体" w:eastAsia="宋体" w:cs="Times New Roman"/>
          <w:sz w:val="24"/>
        </w:rPr>
        <w:t>（二）采用小组合作学习方式，</w:t>
      </w:r>
      <w:r>
        <w:rPr>
          <w:rFonts w:hint="eastAsia" w:ascii="宋体" w:hAnsi="宋体" w:eastAsia="宋体" w:cs="Times New Roman"/>
          <w:kern w:val="0"/>
          <w:sz w:val="24"/>
        </w:rPr>
        <w:t>学生在小组合作学习过程中完成各项任务，培养学生团队协作精神</w:t>
      </w:r>
      <w:r>
        <w:rPr>
          <w:rFonts w:ascii="宋体" w:hAnsi="宋体" w:eastAsia="宋体" w:cs="Times New Roman"/>
          <w:kern w:val="0"/>
          <w:sz w:val="24"/>
        </w:rPr>
        <w:t>。</w:t>
      </w:r>
    </w:p>
    <w:p w14:paraId="2882663E">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六、课程</w:t>
      </w:r>
      <w:r>
        <w:rPr>
          <w:rFonts w:ascii="宋体" w:hAnsi="宋体" w:eastAsia="宋体" w:cs="Times New Roman"/>
          <w:b/>
          <w:sz w:val="28"/>
          <w:szCs w:val="28"/>
        </w:rPr>
        <w:t>考核</w:t>
      </w:r>
    </w:p>
    <w:p w14:paraId="15292C93">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（一）总评成绩</w:t>
      </w:r>
    </w:p>
    <w:p w14:paraId="0552F8C1">
      <w:pPr>
        <w:spacing w:line="360" w:lineRule="auto"/>
        <w:ind w:firstLine="480" w:firstLineChars="200"/>
        <w:rPr>
          <w:rFonts w:ascii="宋体" w:hAnsi="宋体" w:eastAsia="宋体" w:cs="Times New Roman"/>
          <w:sz w:val="24"/>
        </w:rPr>
      </w:pPr>
      <w:r>
        <w:rPr>
          <w:rFonts w:ascii="宋体" w:hAnsi="宋体" w:eastAsia="宋体" w:cs="Times New Roman"/>
          <w:sz w:val="24"/>
        </w:rPr>
        <w:t>课程</w:t>
      </w:r>
      <w:r>
        <w:rPr>
          <w:rFonts w:hint="eastAsia" w:ascii="宋体" w:hAnsi="宋体" w:eastAsia="宋体" w:cs="Times New Roman"/>
          <w:sz w:val="24"/>
        </w:rPr>
        <w:t>总评</w:t>
      </w:r>
      <w:r>
        <w:rPr>
          <w:rFonts w:ascii="宋体" w:hAnsi="宋体" w:eastAsia="宋体" w:cs="Times New Roman"/>
          <w:sz w:val="24"/>
        </w:rPr>
        <w:t>成绩=</w:t>
      </w:r>
      <w:r>
        <w:rPr>
          <w:rFonts w:hint="eastAsia" w:ascii="宋体" w:hAnsi="宋体" w:eastAsia="宋体" w:cs="Times New Roman"/>
          <w:sz w:val="24"/>
        </w:rPr>
        <w:t>过程考核</w:t>
      </w:r>
      <w:r>
        <w:rPr>
          <w:rFonts w:ascii="宋体" w:hAnsi="宋体" w:eastAsia="宋体" w:cs="Times New Roman"/>
          <w:sz w:val="24"/>
        </w:rPr>
        <w:t>×</w:t>
      </w:r>
      <w:r>
        <w:rPr>
          <w:rFonts w:hint="eastAsia" w:ascii="宋体" w:hAnsi="宋体" w:eastAsia="宋体" w:cs="Times New Roman"/>
          <w:sz w:val="24"/>
        </w:rPr>
        <w:t>80</w:t>
      </w:r>
      <w:r>
        <w:rPr>
          <w:rFonts w:ascii="宋体" w:hAnsi="宋体" w:eastAsia="宋体" w:cs="Times New Roman"/>
          <w:sz w:val="24"/>
        </w:rPr>
        <w:t>% +</w:t>
      </w:r>
      <w:r>
        <w:rPr>
          <w:rFonts w:hint="eastAsia" w:ascii="宋体" w:hAnsi="宋体" w:eastAsia="宋体" w:cs="Times New Roman"/>
          <w:sz w:val="24"/>
        </w:rPr>
        <w:t>期末考核</w:t>
      </w:r>
      <w:r>
        <w:rPr>
          <w:rFonts w:ascii="宋体" w:hAnsi="宋体" w:eastAsia="宋体" w:cs="Times New Roman"/>
          <w:sz w:val="24"/>
        </w:rPr>
        <w:t>×</w:t>
      </w:r>
      <w:r>
        <w:rPr>
          <w:rFonts w:hint="eastAsia" w:ascii="宋体" w:hAnsi="宋体" w:eastAsia="宋体" w:cs="Times New Roman"/>
          <w:sz w:val="24"/>
        </w:rPr>
        <w:t>20</w:t>
      </w:r>
      <w:r>
        <w:rPr>
          <w:rFonts w:ascii="宋体" w:hAnsi="宋体" w:eastAsia="宋体" w:cs="Times New Roman"/>
          <w:sz w:val="24"/>
        </w:rPr>
        <w:t>%。</w:t>
      </w:r>
    </w:p>
    <w:p w14:paraId="5823CF5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实习成绩通过各项考核成绩、实习报告、每天的出勤情况和平时表现综合评定。</w:t>
      </w:r>
    </w:p>
    <w:p w14:paraId="35ACB2B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过程考核：以小组为单位，对认知实习内容的每个部分分别进行考核，主要包括每天出勤情况、平时表现等。</w:t>
      </w:r>
    </w:p>
    <w:p w14:paraId="2172873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期末考核：实习总结报告。</w:t>
      </w:r>
    </w:p>
    <w:p w14:paraId="2D4740D2">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（二）过程性考核</w:t>
      </w:r>
    </w:p>
    <w:p w14:paraId="78A74E9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过程考核成绩（80%）=出勤</w:t>
      </w:r>
      <w:r>
        <w:rPr>
          <w:rFonts w:ascii="宋体" w:hAnsi="宋体" w:eastAsia="宋体" w:cs="Times New Roman"/>
          <w:sz w:val="24"/>
        </w:rPr>
        <w:t>×</w:t>
      </w:r>
      <w:r>
        <w:rPr>
          <w:rFonts w:hint="eastAsia" w:ascii="宋体" w:hAnsi="宋体" w:eastAsia="宋体" w:cs="Times New Roman"/>
          <w:sz w:val="24"/>
        </w:rPr>
        <w:t>10</w:t>
      </w:r>
      <w:r>
        <w:rPr>
          <w:rFonts w:ascii="宋体" w:hAnsi="宋体" w:eastAsia="宋体" w:cs="Times New Roman"/>
          <w:sz w:val="24"/>
        </w:rPr>
        <w:t>%</w:t>
      </w:r>
      <w:r>
        <w:rPr>
          <w:rFonts w:hint="eastAsia" w:ascii="宋体" w:hAnsi="宋体" w:eastAsia="宋体" w:cs="Times New Roman"/>
          <w:sz w:val="24"/>
        </w:rPr>
        <w:t>+平时表现</w:t>
      </w:r>
      <w:r>
        <w:rPr>
          <w:rFonts w:ascii="宋体" w:hAnsi="宋体" w:eastAsia="宋体" w:cs="Times New Roman"/>
          <w:sz w:val="24"/>
        </w:rPr>
        <w:t>×</w:t>
      </w:r>
      <w:r>
        <w:rPr>
          <w:rFonts w:hint="eastAsia" w:ascii="宋体" w:hAnsi="宋体" w:eastAsia="宋体" w:cs="Times New Roman"/>
          <w:sz w:val="24"/>
        </w:rPr>
        <w:t>10</w:t>
      </w:r>
      <w:r>
        <w:rPr>
          <w:rFonts w:ascii="宋体" w:hAnsi="宋体" w:eastAsia="宋体" w:cs="Times New Roman"/>
          <w:sz w:val="24"/>
        </w:rPr>
        <w:t>%</w:t>
      </w:r>
      <w:r>
        <w:rPr>
          <w:rFonts w:hint="eastAsia" w:ascii="宋体" w:hAnsi="宋体" w:eastAsia="宋体" w:cs="Times New Roman"/>
          <w:sz w:val="24"/>
        </w:rPr>
        <w:t>+实践任务</w:t>
      </w:r>
      <w:r>
        <w:rPr>
          <w:rFonts w:ascii="宋体" w:hAnsi="宋体" w:eastAsia="宋体" w:cs="Times New Roman"/>
          <w:sz w:val="24"/>
        </w:rPr>
        <w:t>×</w:t>
      </w:r>
      <w:r>
        <w:rPr>
          <w:rFonts w:hint="eastAsia" w:ascii="宋体" w:hAnsi="宋体" w:eastAsia="宋体" w:cs="Times New Roman"/>
          <w:sz w:val="24"/>
        </w:rPr>
        <w:t>60</w:t>
      </w:r>
      <w:r>
        <w:rPr>
          <w:rFonts w:ascii="宋体" w:hAnsi="宋体" w:eastAsia="宋体" w:cs="Times New Roman"/>
          <w:sz w:val="24"/>
        </w:rPr>
        <w:t>%</w:t>
      </w:r>
    </w:p>
    <w:p w14:paraId="7E9184BC">
      <w:pPr>
        <w:spacing w:line="360" w:lineRule="auto"/>
        <w:ind w:firstLine="482" w:firstLineChars="200"/>
        <w:rPr>
          <w:rFonts w:ascii="宋体" w:hAnsi="宋体" w:eastAsia="宋体" w:cs="Times New Roman"/>
          <w:b/>
          <w:bCs/>
          <w:sz w:val="24"/>
        </w:rPr>
      </w:pPr>
      <w:r>
        <w:rPr>
          <w:rFonts w:hint="eastAsia" w:ascii="宋体" w:hAnsi="宋体" w:eastAsia="宋体" w:cs="Times New Roman"/>
          <w:b/>
          <w:bCs/>
          <w:sz w:val="24"/>
        </w:rPr>
        <w:t>成绩评定方式：</w:t>
      </w:r>
    </w:p>
    <w:p w14:paraId="7EF93DB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（1）出勤情况：对学生在实习中的出勤情况进行综合评定。</w:t>
      </w:r>
    </w:p>
    <w:p w14:paraId="0467898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（2）平时表现：对学生在实践过程中的表现进行综合评定。</w:t>
      </w:r>
    </w:p>
    <w:p w14:paraId="2270C6F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（3）课程实践：根据实践内容完成情况进行综合评定。</w:t>
      </w:r>
    </w:p>
    <w:p w14:paraId="402D1D7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3.期末考核成绩评定</w:t>
      </w:r>
    </w:p>
    <w:p w14:paraId="5741F24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实习报告的内容与要求：</w:t>
      </w:r>
    </w:p>
    <w:p w14:paraId="3E6F8F5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（1）按时独立完成实习报告，反对网上下载、抄袭别人或雷同。</w:t>
      </w:r>
    </w:p>
    <w:p w14:paraId="4AF7C04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（2）真实反映实习过程中的实习经历、实习内容、实习成果、经验得失以及感性认识和理性思考。</w:t>
      </w:r>
    </w:p>
    <w:p w14:paraId="73EBE3E8">
      <w:pPr>
        <w:spacing w:line="360" w:lineRule="auto"/>
        <w:ind w:firstLine="480" w:firstLineChars="200"/>
        <w:rPr>
          <w:rFonts w:ascii="宋体" w:hAnsi="宋体" w:eastAsia="宋体" w:cs="Times New Roman"/>
          <w:b/>
          <w:sz w:val="24"/>
        </w:rPr>
      </w:pPr>
      <w:r>
        <w:rPr>
          <w:rFonts w:hint="eastAsia" w:ascii="宋体" w:hAnsi="宋体" w:eastAsia="宋体" w:cs="Times New Roman"/>
          <w:sz w:val="24"/>
        </w:rPr>
        <w:t>（</w:t>
      </w:r>
      <w:r>
        <w:rPr>
          <w:rFonts w:ascii="宋体" w:hAnsi="宋体" w:eastAsia="宋体" w:cs="Times New Roman"/>
          <w:sz w:val="24"/>
        </w:rPr>
        <w:t>3</w:t>
      </w:r>
      <w:r>
        <w:rPr>
          <w:rFonts w:hint="eastAsia" w:ascii="宋体" w:hAnsi="宋体" w:eastAsia="宋体" w:cs="Times New Roman"/>
          <w:sz w:val="24"/>
        </w:rPr>
        <w:t>）字数不少于2500字。结构合理，行文简明流畅，图表齐整规范，重点突出。</w:t>
      </w:r>
    </w:p>
    <w:p w14:paraId="514F5ED1">
      <w:pPr>
        <w:spacing w:line="360" w:lineRule="auto"/>
        <w:ind w:firstLine="482" w:firstLineChars="200"/>
        <w:rPr>
          <w:rFonts w:ascii="宋体" w:hAnsi="宋体" w:eastAsia="宋体" w:cs="Times New Roman"/>
          <w:b/>
          <w:sz w:val="24"/>
        </w:rPr>
      </w:pPr>
      <w:r>
        <w:rPr>
          <w:rFonts w:ascii="宋体" w:hAnsi="宋体" w:eastAsia="宋体" w:cs="Times New Roman"/>
          <w:b/>
          <w:sz w:val="24"/>
        </w:rPr>
        <w:t>具体内容和比例</w:t>
      </w:r>
      <w:r>
        <w:rPr>
          <w:rFonts w:hint="eastAsia" w:ascii="宋体" w:hAnsi="宋体" w:eastAsia="宋体" w:cs="Times New Roman"/>
          <w:b/>
          <w:sz w:val="24"/>
        </w:rPr>
        <w:t>如表所示：</w:t>
      </w:r>
    </w:p>
    <w:tbl>
      <w:tblPr>
        <w:tblStyle w:val="30"/>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892"/>
        <w:gridCol w:w="1247"/>
        <w:gridCol w:w="1106"/>
        <w:gridCol w:w="1276"/>
      </w:tblGrid>
      <w:tr w14:paraId="1A23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434D5C5C">
            <w:pPr>
              <w:jc w:val="center"/>
              <w:rPr>
                <w:rFonts w:ascii="宋体" w:hAnsi="宋体" w:eastAsia="宋体" w:cs="Times New Roman"/>
                <w:b/>
                <w:szCs w:val="24"/>
              </w:rPr>
            </w:pPr>
            <w:r>
              <w:rPr>
                <w:rFonts w:ascii="宋体" w:hAnsi="宋体" w:eastAsia="宋体" w:cs="Times New Roman"/>
                <w:b/>
                <w:szCs w:val="24"/>
              </w:rPr>
              <w:t>成绩组成</w:t>
            </w:r>
          </w:p>
        </w:tc>
        <w:tc>
          <w:tcPr>
            <w:tcW w:w="1134" w:type="dxa"/>
            <w:shd w:val="clear" w:color="auto" w:fill="FFFFFF"/>
            <w:vAlign w:val="center"/>
          </w:tcPr>
          <w:p w14:paraId="4A60683E">
            <w:pPr>
              <w:jc w:val="center"/>
              <w:rPr>
                <w:rFonts w:ascii="宋体" w:hAnsi="宋体" w:eastAsia="宋体" w:cs="Times New Roman"/>
                <w:b/>
                <w:szCs w:val="24"/>
              </w:rPr>
            </w:pPr>
            <w:r>
              <w:rPr>
                <w:rFonts w:ascii="宋体" w:hAnsi="宋体" w:eastAsia="宋体" w:cs="Times New Roman"/>
                <w:b/>
                <w:szCs w:val="24"/>
              </w:rPr>
              <w:t>考核/</w:t>
            </w:r>
          </w:p>
          <w:p w14:paraId="7FBDA346">
            <w:pPr>
              <w:jc w:val="center"/>
              <w:rPr>
                <w:rFonts w:ascii="宋体" w:hAnsi="宋体" w:eastAsia="宋体" w:cs="Times New Roman"/>
                <w:b/>
                <w:szCs w:val="24"/>
              </w:rPr>
            </w:pPr>
            <w:r>
              <w:rPr>
                <w:rFonts w:ascii="宋体" w:hAnsi="宋体" w:eastAsia="宋体" w:cs="Times New Roman"/>
                <w:b/>
                <w:szCs w:val="24"/>
              </w:rPr>
              <w:t>评价环节</w:t>
            </w:r>
          </w:p>
        </w:tc>
        <w:tc>
          <w:tcPr>
            <w:tcW w:w="709" w:type="dxa"/>
            <w:shd w:val="clear" w:color="auto" w:fill="FFFFFF"/>
            <w:vAlign w:val="center"/>
          </w:tcPr>
          <w:p w14:paraId="1386628D">
            <w:pPr>
              <w:jc w:val="center"/>
              <w:rPr>
                <w:rFonts w:ascii="宋体" w:hAnsi="宋体" w:eastAsia="宋体" w:cs="Times New Roman"/>
                <w:b/>
                <w:szCs w:val="24"/>
              </w:rPr>
            </w:pPr>
            <w:r>
              <w:rPr>
                <w:rFonts w:hint="eastAsia" w:ascii="宋体" w:hAnsi="宋体" w:eastAsia="宋体" w:cs="Times New Roman"/>
                <w:b/>
                <w:szCs w:val="24"/>
              </w:rPr>
              <w:t>权重</w:t>
            </w:r>
          </w:p>
        </w:tc>
        <w:tc>
          <w:tcPr>
            <w:tcW w:w="2892" w:type="dxa"/>
            <w:shd w:val="clear" w:color="auto" w:fill="FFFFFF"/>
            <w:vAlign w:val="center"/>
          </w:tcPr>
          <w:p w14:paraId="4C7AEAC2">
            <w:pPr>
              <w:jc w:val="center"/>
              <w:rPr>
                <w:rFonts w:ascii="宋体" w:hAnsi="宋体" w:eastAsia="宋体" w:cs="Times New Roman"/>
                <w:b/>
                <w:szCs w:val="24"/>
              </w:rPr>
            </w:pPr>
            <w:r>
              <w:rPr>
                <w:rFonts w:ascii="宋体" w:hAnsi="宋体" w:eastAsia="宋体" w:cs="Times New Roman"/>
                <w:b/>
                <w:szCs w:val="24"/>
              </w:rPr>
              <w:t>考核/评价细则</w:t>
            </w:r>
          </w:p>
        </w:tc>
        <w:tc>
          <w:tcPr>
            <w:tcW w:w="1247" w:type="dxa"/>
            <w:shd w:val="clear" w:color="auto" w:fill="FFFFFF"/>
          </w:tcPr>
          <w:p w14:paraId="6DF6658D">
            <w:pPr>
              <w:ind w:firstLine="316" w:firstLineChars="150"/>
              <w:rPr>
                <w:rFonts w:ascii="宋体" w:hAnsi="宋体" w:eastAsia="宋体" w:cs="Times New Roman"/>
                <w:b/>
                <w:szCs w:val="24"/>
              </w:rPr>
            </w:pPr>
            <w:r>
              <w:rPr>
                <w:rFonts w:hint="eastAsia" w:ascii="宋体" w:hAnsi="宋体" w:eastAsia="宋体" w:cs="Times New Roman"/>
                <w:b/>
                <w:szCs w:val="24"/>
              </w:rPr>
              <w:t>课程</w:t>
            </w:r>
          </w:p>
          <w:p w14:paraId="39F48B89">
            <w:pPr>
              <w:jc w:val="center"/>
              <w:rPr>
                <w:rFonts w:ascii="宋体" w:hAnsi="宋体" w:eastAsia="宋体" w:cs="Times New Roman"/>
                <w:b/>
                <w:szCs w:val="24"/>
              </w:rPr>
            </w:pPr>
            <w:r>
              <w:rPr>
                <w:rFonts w:hint="eastAsia" w:ascii="宋体" w:hAnsi="宋体" w:eastAsia="宋体" w:cs="Times New Roman"/>
                <w:b/>
                <w:szCs w:val="24"/>
              </w:rPr>
              <w:t>目标</w:t>
            </w:r>
          </w:p>
        </w:tc>
        <w:tc>
          <w:tcPr>
            <w:tcW w:w="1106" w:type="dxa"/>
            <w:shd w:val="clear" w:color="auto" w:fill="FFFFFF"/>
          </w:tcPr>
          <w:p w14:paraId="68478FF3">
            <w:pPr>
              <w:ind w:left="-107" w:leftChars="-51"/>
              <w:jc w:val="center"/>
              <w:rPr>
                <w:rFonts w:ascii="宋体" w:hAnsi="宋体" w:eastAsia="宋体" w:cs="Times New Roman"/>
                <w:b/>
                <w:szCs w:val="24"/>
              </w:rPr>
            </w:pPr>
            <w:r>
              <w:rPr>
                <w:rFonts w:hint="eastAsia" w:ascii="宋体" w:hAnsi="宋体" w:eastAsia="宋体" w:cs="Times New Roman"/>
                <w:b/>
                <w:szCs w:val="24"/>
              </w:rPr>
              <w:t>考核</w:t>
            </w:r>
          </w:p>
          <w:p w14:paraId="19174E72">
            <w:pPr>
              <w:ind w:left="-107" w:leftChars="-51"/>
              <w:jc w:val="center"/>
              <w:rPr>
                <w:rFonts w:ascii="宋体" w:hAnsi="宋体" w:eastAsia="宋体" w:cs="Times New Roman"/>
                <w:b/>
                <w:szCs w:val="24"/>
              </w:rPr>
            </w:pPr>
            <w:r>
              <w:rPr>
                <w:rFonts w:ascii="宋体" w:hAnsi="宋体" w:eastAsia="宋体" w:cs="Times New Roman"/>
                <w:b/>
                <w:szCs w:val="24"/>
              </w:rPr>
              <w:t>内容</w:t>
            </w:r>
          </w:p>
        </w:tc>
        <w:tc>
          <w:tcPr>
            <w:tcW w:w="1276" w:type="dxa"/>
            <w:shd w:val="clear" w:color="auto" w:fill="FFFFFF"/>
            <w:vAlign w:val="center"/>
          </w:tcPr>
          <w:p w14:paraId="0701BCEC">
            <w:pPr>
              <w:ind w:left="-107" w:leftChars="-51"/>
              <w:jc w:val="center"/>
              <w:rPr>
                <w:rFonts w:ascii="宋体" w:hAnsi="宋体" w:eastAsia="宋体" w:cs="Times New Roman"/>
                <w:b/>
                <w:szCs w:val="24"/>
              </w:rPr>
            </w:pPr>
            <w:r>
              <w:rPr>
                <w:rFonts w:ascii="宋体" w:hAnsi="宋体" w:eastAsia="宋体" w:cs="Times New Roman"/>
                <w:b/>
                <w:szCs w:val="24"/>
              </w:rPr>
              <w:t>对应的毕业要求指标点</w:t>
            </w:r>
          </w:p>
        </w:tc>
      </w:tr>
      <w:tr w14:paraId="241C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624" w:type="dxa"/>
            <w:vMerge w:val="restart"/>
            <w:tcMar>
              <w:left w:w="57" w:type="dxa"/>
              <w:right w:w="57" w:type="dxa"/>
            </w:tcMar>
            <w:vAlign w:val="center"/>
          </w:tcPr>
          <w:p w14:paraId="2C3B8FBA">
            <w:pPr>
              <w:jc w:val="center"/>
              <w:rPr>
                <w:rFonts w:ascii="宋体" w:hAnsi="宋体" w:eastAsia="宋体" w:cs="Times New Roman"/>
                <w:szCs w:val="24"/>
              </w:rPr>
            </w:pPr>
            <w:r>
              <w:rPr>
                <w:rFonts w:hint="eastAsia" w:ascii="宋体" w:hAnsi="宋体" w:eastAsia="宋体" w:cs="Times New Roman"/>
                <w:szCs w:val="24"/>
              </w:rPr>
              <w:t>过程考核</w:t>
            </w:r>
          </w:p>
          <w:p w14:paraId="783646A8">
            <w:pPr>
              <w:jc w:val="center"/>
              <w:rPr>
                <w:rFonts w:ascii="宋体" w:hAnsi="宋体" w:eastAsia="宋体" w:cs="Times New Roman"/>
                <w:szCs w:val="24"/>
              </w:rPr>
            </w:pPr>
            <w:r>
              <w:rPr>
                <w:rFonts w:ascii="宋体" w:hAnsi="宋体" w:eastAsia="宋体" w:cs="Times New Roman"/>
                <w:szCs w:val="24"/>
              </w:rPr>
              <w:t>实践成绩</w:t>
            </w:r>
          </w:p>
        </w:tc>
        <w:tc>
          <w:tcPr>
            <w:tcW w:w="1134" w:type="dxa"/>
            <w:vAlign w:val="center"/>
          </w:tcPr>
          <w:p w14:paraId="13051016">
            <w:pPr>
              <w:jc w:val="center"/>
              <w:rPr>
                <w:rFonts w:ascii="宋体" w:hAnsi="宋体" w:eastAsia="宋体" w:cs="Times New Roman"/>
                <w:szCs w:val="24"/>
              </w:rPr>
            </w:pPr>
            <w:r>
              <w:rPr>
                <w:rFonts w:hint="eastAsia" w:ascii="宋体" w:hAnsi="宋体" w:eastAsia="宋体" w:cs="Times New Roman"/>
                <w:szCs w:val="24"/>
              </w:rPr>
              <w:t>出勤及</w:t>
            </w:r>
          </w:p>
          <w:p w14:paraId="7B0C634C">
            <w:pPr>
              <w:jc w:val="center"/>
              <w:rPr>
                <w:rFonts w:ascii="宋体" w:hAnsi="宋体" w:eastAsia="宋体" w:cs="Times New Roman"/>
                <w:szCs w:val="24"/>
              </w:rPr>
            </w:pPr>
            <w:r>
              <w:rPr>
                <w:rFonts w:hint="eastAsia" w:ascii="宋体" w:hAnsi="宋体" w:eastAsia="宋体" w:cs="Times New Roman"/>
                <w:szCs w:val="24"/>
              </w:rPr>
              <w:t>表现</w:t>
            </w:r>
          </w:p>
        </w:tc>
        <w:tc>
          <w:tcPr>
            <w:tcW w:w="709" w:type="dxa"/>
            <w:vAlign w:val="center"/>
          </w:tcPr>
          <w:p w14:paraId="468D8AD7">
            <w:pPr>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892" w:type="dxa"/>
            <w:vAlign w:val="center"/>
          </w:tcPr>
          <w:p w14:paraId="43C6A30C">
            <w:pPr>
              <w:spacing w:line="240" w:lineRule="atLeast"/>
              <w:ind w:firstLine="420" w:firstLineChars="200"/>
              <w:jc w:val="left"/>
              <w:rPr>
                <w:rFonts w:ascii="宋体" w:hAnsi="宋体" w:eastAsia="宋体" w:cs="Times New Roman"/>
                <w:szCs w:val="21"/>
              </w:rPr>
            </w:pPr>
            <w:r>
              <w:rPr>
                <w:rFonts w:hint="eastAsia" w:ascii="宋体" w:hAnsi="宋体" w:eastAsia="宋体" w:cs="Times New Roman"/>
                <w:szCs w:val="21"/>
              </w:rPr>
              <w:t>课堂考勤：病假和事假一次扣5分，无故缺席一次扣10分，无故缺席累积达5次以上（不含5次）取消成绩。</w:t>
            </w:r>
          </w:p>
          <w:p w14:paraId="6DC4B99A">
            <w:pPr>
              <w:ind w:firstLine="420" w:firstLineChars="200"/>
              <w:jc w:val="left"/>
              <w:rPr>
                <w:rFonts w:ascii="宋体" w:hAnsi="宋体" w:eastAsia="宋体" w:cs="Times New Roman"/>
                <w:color w:val="0070C0"/>
                <w:szCs w:val="24"/>
              </w:rPr>
            </w:pPr>
            <w:r>
              <w:rPr>
                <w:rFonts w:hint="eastAsia" w:ascii="宋体" w:hAnsi="宋体" w:eastAsia="宋体" w:cs="Times New Roman"/>
                <w:szCs w:val="24"/>
              </w:rPr>
              <w:t>表现：根据实践态度、主动性、积极性给成绩</w:t>
            </w:r>
            <w:r>
              <w:rPr>
                <w:rFonts w:ascii="宋体" w:hAnsi="宋体" w:eastAsia="宋体" w:cs="Times New Roman"/>
                <w:szCs w:val="24"/>
              </w:rPr>
              <w:t>。</w:t>
            </w:r>
          </w:p>
        </w:tc>
        <w:tc>
          <w:tcPr>
            <w:tcW w:w="1247" w:type="dxa"/>
            <w:vAlign w:val="center"/>
          </w:tcPr>
          <w:p w14:paraId="0083B7EC">
            <w:pPr>
              <w:jc w:val="center"/>
              <w:rPr>
                <w:rFonts w:ascii="宋体" w:hAnsi="宋体" w:eastAsia="宋体" w:cs="Times New Roman"/>
                <w:szCs w:val="24"/>
              </w:rPr>
            </w:pPr>
            <w:r>
              <w:rPr>
                <w:rFonts w:hint="eastAsia" w:ascii="宋体" w:hAnsi="宋体" w:eastAsia="宋体" w:cs="Times New Roman"/>
                <w:szCs w:val="24"/>
              </w:rPr>
              <w:t>课程目标1</w:t>
            </w:r>
          </w:p>
          <w:p w14:paraId="44E24B9E">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757A9833">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p w14:paraId="06CA9591">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4</w:t>
            </w:r>
          </w:p>
        </w:tc>
        <w:tc>
          <w:tcPr>
            <w:tcW w:w="1106" w:type="dxa"/>
            <w:vAlign w:val="center"/>
          </w:tcPr>
          <w:p w14:paraId="25FD2BED">
            <w:pPr>
              <w:jc w:val="center"/>
              <w:rPr>
                <w:rFonts w:ascii="宋体" w:hAnsi="宋体" w:eastAsia="宋体" w:cs="宋体"/>
                <w:color w:val="000000"/>
                <w:kern w:val="0"/>
                <w:szCs w:val="21"/>
              </w:rPr>
            </w:pPr>
            <w:r>
              <w:rPr>
                <w:rFonts w:hint="eastAsia" w:ascii="宋体" w:hAnsi="宋体" w:eastAsia="宋体" w:cs="宋体"/>
                <w:color w:val="000000"/>
                <w:kern w:val="0"/>
                <w:szCs w:val="21"/>
              </w:rPr>
              <w:t>实习表现</w:t>
            </w:r>
          </w:p>
        </w:tc>
        <w:tc>
          <w:tcPr>
            <w:tcW w:w="1276" w:type="dxa"/>
            <w:vAlign w:val="center"/>
          </w:tcPr>
          <w:p w14:paraId="5CD6B5D5">
            <w:pPr>
              <w:jc w:val="center"/>
              <w:rPr>
                <w:rFonts w:ascii="宋体" w:hAnsi="宋体" w:eastAsia="宋体" w:cs="Times New Roman"/>
                <w:szCs w:val="24"/>
              </w:rPr>
            </w:pPr>
            <w:r>
              <w:rPr>
                <w:rFonts w:hint="eastAsia" w:ascii="宋体" w:hAnsi="宋体" w:eastAsia="宋体" w:cs="Times New Roman"/>
                <w:szCs w:val="24"/>
              </w:rPr>
              <w:t>2-1</w:t>
            </w:r>
          </w:p>
        </w:tc>
      </w:tr>
      <w:tr w14:paraId="4D76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624" w:type="dxa"/>
            <w:vMerge w:val="continue"/>
            <w:tcMar>
              <w:left w:w="57" w:type="dxa"/>
              <w:right w:w="57" w:type="dxa"/>
            </w:tcMar>
            <w:vAlign w:val="center"/>
          </w:tcPr>
          <w:p w14:paraId="261687A0">
            <w:pPr>
              <w:jc w:val="center"/>
              <w:rPr>
                <w:rFonts w:ascii="宋体" w:hAnsi="宋体" w:eastAsia="宋体" w:cs="Times New Roman"/>
                <w:szCs w:val="24"/>
              </w:rPr>
            </w:pPr>
          </w:p>
        </w:tc>
        <w:tc>
          <w:tcPr>
            <w:tcW w:w="1134" w:type="dxa"/>
            <w:vAlign w:val="center"/>
          </w:tcPr>
          <w:p w14:paraId="7DA5FD23">
            <w:pPr>
              <w:jc w:val="center"/>
              <w:rPr>
                <w:rFonts w:ascii="宋体" w:hAnsi="宋体" w:eastAsia="宋体" w:cs="Times New Roman"/>
                <w:szCs w:val="24"/>
              </w:rPr>
            </w:pPr>
            <w:r>
              <w:rPr>
                <w:rFonts w:ascii="宋体" w:hAnsi="宋体" w:eastAsia="宋体" w:cs="Times New Roman"/>
                <w:szCs w:val="24"/>
              </w:rPr>
              <w:t>实践</w:t>
            </w:r>
            <w:r>
              <w:rPr>
                <w:rFonts w:hint="eastAsia" w:ascii="宋体" w:hAnsi="宋体" w:eastAsia="宋体" w:cs="Times New Roman"/>
                <w:szCs w:val="24"/>
              </w:rPr>
              <w:t>任务</w:t>
            </w:r>
          </w:p>
        </w:tc>
        <w:tc>
          <w:tcPr>
            <w:tcW w:w="709" w:type="dxa"/>
            <w:vAlign w:val="center"/>
          </w:tcPr>
          <w:p w14:paraId="7E43237D">
            <w:pPr>
              <w:jc w:val="center"/>
              <w:rPr>
                <w:rFonts w:ascii="宋体" w:hAnsi="宋体" w:eastAsia="宋体" w:cs="Times New Roman"/>
                <w:szCs w:val="24"/>
              </w:rPr>
            </w:pPr>
            <w:r>
              <w:rPr>
                <w:rFonts w:hint="eastAsia" w:ascii="宋体" w:hAnsi="宋体" w:eastAsia="宋体" w:cs="Times New Roman"/>
                <w:szCs w:val="24"/>
              </w:rPr>
              <w:t>6</w:t>
            </w:r>
            <w:r>
              <w:rPr>
                <w:rFonts w:ascii="宋体" w:hAnsi="宋体" w:eastAsia="宋体" w:cs="Times New Roman"/>
                <w:szCs w:val="24"/>
              </w:rPr>
              <w:t>0%</w:t>
            </w:r>
          </w:p>
        </w:tc>
        <w:tc>
          <w:tcPr>
            <w:tcW w:w="2892" w:type="dxa"/>
            <w:vAlign w:val="center"/>
          </w:tcPr>
          <w:p w14:paraId="35C4E90B">
            <w:pPr>
              <w:ind w:firstLine="420" w:firstLineChars="200"/>
              <w:jc w:val="left"/>
              <w:rPr>
                <w:rFonts w:ascii="宋体" w:hAnsi="宋体" w:eastAsia="宋体" w:cs="Times New Roman"/>
                <w:szCs w:val="21"/>
              </w:rPr>
            </w:pPr>
            <w:r>
              <w:rPr>
                <w:rFonts w:hint="eastAsia" w:ascii="宋体" w:hAnsi="宋体" w:eastAsia="宋体" w:cs="Times New Roman"/>
                <w:szCs w:val="21"/>
              </w:rPr>
              <w:t>完成3个实践任务，每个实践任务按百分制分别给出成绩。</w:t>
            </w:r>
          </w:p>
        </w:tc>
        <w:tc>
          <w:tcPr>
            <w:tcW w:w="1247" w:type="dxa"/>
            <w:vAlign w:val="center"/>
          </w:tcPr>
          <w:p w14:paraId="37BEF138">
            <w:pPr>
              <w:rPr>
                <w:rFonts w:ascii="宋体" w:hAnsi="宋体" w:eastAsia="宋体" w:cs="Times New Roman"/>
                <w:szCs w:val="24"/>
              </w:rPr>
            </w:pPr>
            <w:r>
              <w:rPr>
                <w:rFonts w:hint="eastAsia" w:ascii="宋体" w:hAnsi="宋体" w:eastAsia="宋体" w:cs="Times New Roman"/>
                <w:szCs w:val="24"/>
              </w:rPr>
              <w:t>课程目标1</w:t>
            </w:r>
          </w:p>
          <w:p w14:paraId="1F0073DE">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0D444670">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p w14:paraId="26FCA956">
            <w:pPr>
              <w:jc w:val="center"/>
              <w:rPr>
                <w:rFonts w:ascii="宋体" w:hAnsi="宋体" w:eastAsia="宋体" w:cs="Times New Roman"/>
                <w:kern w:val="0"/>
                <w:sz w:val="24"/>
              </w:rPr>
            </w:pPr>
            <w:r>
              <w:rPr>
                <w:rFonts w:ascii="宋体" w:hAnsi="宋体" w:eastAsia="宋体" w:cs="Times New Roman"/>
                <w:szCs w:val="24"/>
              </w:rPr>
              <w:t>课程目标</w:t>
            </w:r>
            <w:r>
              <w:rPr>
                <w:rFonts w:hint="eastAsia" w:ascii="宋体" w:hAnsi="宋体" w:eastAsia="宋体" w:cs="Times New Roman"/>
                <w:szCs w:val="24"/>
              </w:rPr>
              <w:t>4</w:t>
            </w:r>
          </w:p>
        </w:tc>
        <w:tc>
          <w:tcPr>
            <w:tcW w:w="1106" w:type="dxa"/>
            <w:vAlign w:val="center"/>
          </w:tcPr>
          <w:p w14:paraId="0B257697">
            <w:pPr>
              <w:jc w:val="left"/>
              <w:rPr>
                <w:rFonts w:ascii="宋体" w:hAnsi="宋体" w:eastAsia="宋体" w:cs="宋体"/>
                <w:color w:val="000000"/>
                <w:kern w:val="0"/>
                <w:szCs w:val="21"/>
              </w:rPr>
            </w:pPr>
            <w:r>
              <w:rPr>
                <w:rFonts w:hint="eastAsia" w:ascii="宋体" w:hAnsi="宋体" w:eastAsia="宋体" w:cs="宋体"/>
                <w:color w:val="000000"/>
                <w:kern w:val="0"/>
                <w:szCs w:val="21"/>
              </w:rPr>
              <w:t>实践任务</w:t>
            </w:r>
          </w:p>
        </w:tc>
        <w:tc>
          <w:tcPr>
            <w:tcW w:w="1276" w:type="dxa"/>
            <w:vAlign w:val="center"/>
          </w:tcPr>
          <w:p w14:paraId="65CA7E49">
            <w:pPr>
              <w:rPr>
                <w14:ligatures w14:val="standardContextual"/>
              </w:rPr>
            </w:pPr>
            <w:r>
              <w:rPr>
                <w:rFonts w:hint="eastAsia" w:ascii="宋体" w:hAnsi="宋体" w:eastAsia="宋体" w:cs="Times New Roman"/>
                <w:szCs w:val="21"/>
              </w:rPr>
              <w:t>2-1、3-3、</w:t>
            </w:r>
          </w:p>
          <w:p w14:paraId="2D8DDEEE">
            <w:pPr>
              <w:rPr>
                <w:rFonts w:eastAsia="宋体"/>
                <w14:ligatures w14:val="standardContextual"/>
              </w:rPr>
            </w:pPr>
            <w:r>
              <w:rPr>
                <w:rFonts w:hint="eastAsia" w:ascii="宋体" w:hAnsi="宋体" w:eastAsia="宋体" w:cs="Times New Roman"/>
                <w:szCs w:val="21"/>
              </w:rPr>
              <w:t>3-1、4-2、</w:t>
            </w:r>
          </w:p>
          <w:p w14:paraId="46F34FDD">
            <w:pPr>
              <w:rPr>
                <w:rFonts w:ascii="宋体" w:hAnsi="宋体" w:eastAsia="宋体" w:cs="Times New Roman"/>
                <w:szCs w:val="21"/>
              </w:rPr>
            </w:pPr>
            <w:r>
              <w:rPr>
                <w:rFonts w:hint="eastAsia" w:ascii="宋体" w:hAnsi="宋体" w:eastAsia="宋体" w:cs="Times New Roman"/>
                <w:szCs w:val="21"/>
              </w:rPr>
              <w:t>7-1、7-2、</w:t>
            </w:r>
          </w:p>
          <w:p w14:paraId="368DF02B">
            <w:pPr>
              <w:rPr>
                <w:rFonts w:ascii="宋体" w:hAnsi="宋体" w:eastAsia="宋体" w:cs="Times New Roman"/>
                <w:kern w:val="0"/>
                <w:szCs w:val="21"/>
              </w:rPr>
            </w:pPr>
            <w:r>
              <w:rPr>
                <w:rFonts w:hint="eastAsia" w:ascii="宋体" w:hAnsi="宋体" w:eastAsia="宋体" w:cs="Times New Roman"/>
                <w:szCs w:val="21"/>
              </w:rPr>
              <w:t>8-2</w:t>
            </w:r>
          </w:p>
        </w:tc>
      </w:tr>
      <w:tr w14:paraId="57F2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624" w:type="dxa"/>
            <w:tcMar>
              <w:left w:w="57" w:type="dxa"/>
              <w:right w:w="57" w:type="dxa"/>
            </w:tcMar>
            <w:vAlign w:val="center"/>
          </w:tcPr>
          <w:p w14:paraId="69CBD43C">
            <w:pPr>
              <w:jc w:val="center"/>
              <w:rPr>
                <w:rFonts w:ascii="宋体" w:hAnsi="宋体" w:eastAsia="宋体" w:cs="Times New Roman"/>
                <w:szCs w:val="24"/>
              </w:rPr>
            </w:pPr>
            <w:r>
              <w:rPr>
                <w:rFonts w:ascii="宋体" w:hAnsi="宋体" w:eastAsia="宋体" w:cs="Times New Roman"/>
                <w:szCs w:val="24"/>
              </w:rPr>
              <w:t>期末考试</w:t>
            </w:r>
          </w:p>
        </w:tc>
        <w:tc>
          <w:tcPr>
            <w:tcW w:w="1134" w:type="dxa"/>
            <w:vAlign w:val="center"/>
          </w:tcPr>
          <w:p w14:paraId="0101B7AC">
            <w:pPr>
              <w:jc w:val="center"/>
              <w:rPr>
                <w:rFonts w:ascii="宋体" w:hAnsi="宋体" w:eastAsia="宋体" w:cs="Times New Roman"/>
                <w:szCs w:val="24"/>
              </w:rPr>
            </w:pPr>
            <w:r>
              <w:rPr>
                <w:rFonts w:hint="eastAsia" w:ascii="宋体" w:hAnsi="宋体" w:eastAsia="宋体" w:cs="Times New Roman"/>
                <w:szCs w:val="24"/>
              </w:rPr>
              <w:t>实践报告</w:t>
            </w:r>
          </w:p>
        </w:tc>
        <w:tc>
          <w:tcPr>
            <w:tcW w:w="709" w:type="dxa"/>
            <w:vAlign w:val="center"/>
          </w:tcPr>
          <w:p w14:paraId="69639F5B">
            <w:pPr>
              <w:jc w:val="center"/>
              <w:rPr>
                <w:rFonts w:ascii="宋体" w:hAnsi="宋体" w:eastAsia="宋体" w:cs="Times New Roman"/>
                <w:szCs w:val="24"/>
              </w:rPr>
            </w:pPr>
            <w:r>
              <w:rPr>
                <w:rFonts w:hint="eastAsia" w:ascii="宋体" w:hAnsi="宋体" w:eastAsia="宋体" w:cs="Times New Roman"/>
                <w:szCs w:val="24"/>
              </w:rPr>
              <w:t>2</w:t>
            </w:r>
            <w:r>
              <w:rPr>
                <w:rFonts w:ascii="宋体" w:hAnsi="宋体" w:eastAsia="宋体" w:cs="Times New Roman"/>
                <w:szCs w:val="24"/>
              </w:rPr>
              <w:t>0%</w:t>
            </w:r>
          </w:p>
        </w:tc>
        <w:tc>
          <w:tcPr>
            <w:tcW w:w="2892" w:type="dxa"/>
            <w:vAlign w:val="center"/>
          </w:tcPr>
          <w:p w14:paraId="514B4BD3">
            <w:pPr>
              <w:rPr>
                <w:rFonts w:ascii="宋体" w:hAnsi="宋体" w:eastAsia="宋体" w:cs="Times New Roman"/>
                <w:szCs w:val="24"/>
              </w:rPr>
            </w:pPr>
            <w:r>
              <w:rPr>
                <w:rFonts w:hint="eastAsia" w:ascii="宋体" w:hAnsi="宋体" w:eastAsia="宋体" w:cs="Times New Roman"/>
                <w:szCs w:val="24"/>
              </w:rPr>
              <w:t>（1）按时独立完成实习报告，反对网上下载、抄袭别人或雷同。</w:t>
            </w:r>
          </w:p>
          <w:p w14:paraId="69C9079B">
            <w:pPr>
              <w:rPr>
                <w:rFonts w:ascii="宋体" w:hAnsi="宋体" w:eastAsia="宋体" w:cs="Times New Roman"/>
                <w:szCs w:val="24"/>
              </w:rPr>
            </w:pPr>
            <w:r>
              <w:rPr>
                <w:rFonts w:hint="eastAsia" w:ascii="宋体" w:hAnsi="宋体" w:eastAsia="宋体" w:cs="Times New Roman"/>
                <w:szCs w:val="24"/>
              </w:rPr>
              <w:t>（2）真实反映实习过程中的实习经历、实习内容、实习成果、经验得失以及感性认识和理性思考。</w:t>
            </w:r>
          </w:p>
          <w:p w14:paraId="72B4672F">
            <w:pPr>
              <w:rPr>
                <w:rFonts w:ascii="宋体" w:hAnsi="宋体" w:eastAsia="宋体" w:cs="Times New Roman"/>
                <w:szCs w:val="21"/>
              </w:rPr>
            </w:pPr>
            <w:r>
              <w:rPr>
                <w:rFonts w:hint="eastAsia" w:ascii="宋体" w:hAnsi="宋体" w:eastAsia="宋体" w:cs="Times New Roman"/>
                <w:szCs w:val="24"/>
              </w:rPr>
              <w:t>（</w:t>
            </w:r>
            <w:r>
              <w:rPr>
                <w:rFonts w:ascii="宋体" w:hAnsi="宋体" w:eastAsia="宋体" w:cs="Times New Roman"/>
                <w:szCs w:val="24"/>
              </w:rPr>
              <w:t>3</w:t>
            </w:r>
            <w:r>
              <w:rPr>
                <w:rFonts w:hint="eastAsia" w:ascii="宋体" w:hAnsi="宋体" w:eastAsia="宋体" w:cs="Times New Roman"/>
                <w:szCs w:val="24"/>
              </w:rPr>
              <w:t>）字数不少于2500字。结构合理，行文简明流畅，图表齐整规范，重点突出。</w:t>
            </w:r>
          </w:p>
        </w:tc>
        <w:tc>
          <w:tcPr>
            <w:tcW w:w="1247" w:type="dxa"/>
            <w:vAlign w:val="center"/>
          </w:tcPr>
          <w:p w14:paraId="7F714F05">
            <w:pPr>
              <w:jc w:val="center"/>
              <w:rPr>
                <w:rFonts w:ascii="宋体" w:hAnsi="宋体" w:eastAsia="宋体" w:cs="Times New Roman"/>
                <w:szCs w:val="24"/>
              </w:rPr>
            </w:pPr>
            <w:r>
              <w:rPr>
                <w:rFonts w:hint="eastAsia" w:ascii="宋体" w:hAnsi="宋体" w:eastAsia="宋体" w:cs="Times New Roman"/>
                <w:szCs w:val="24"/>
              </w:rPr>
              <w:t>课程目标1</w:t>
            </w:r>
          </w:p>
          <w:p w14:paraId="077C6214">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2</w:t>
            </w:r>
          </w:p>
          <w:p w14:paraId="5B90A971">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3</w:t>
            </w:r>
          </w:p>
          <w:p w14:paraId="1044B67F">
            <w:pPr>
              <w:jc w:val="center"/>
              <w:rPr>
                <w:rFonts w:ascii="宋体" w:hAnsi="宋体" w:eastAsia="宋体" w:cs="Times New Roman"/>
                <w:szCs w:val="24"/>
              </w:rPr>
            </w:pPr>
            <w:r>
              <w:rPr>
                <w:rFonts w:ascii="宋体" w:hAnsi="宋体" w:eastAsia="宋体" w:cs="Times New Roman"/>
                <w:szCs w:val="24"/>
              </w:rPr>
              <w:t>课程目标</w:t>
            </w:r>
            <w:r>
              <w:rPr>
                <w:rFonts w:hint="eastAsia" w:ascii="宋体" w:hAnsi="宋体" w:eastAsia="宋体" w:cs="Times New Roman"/>
                <w:szCs w:val="24"/>
              </w:rPr>
              <w:t>4</w:t>
            </w:r>
          </w:p>
        </w:tc>
        <w:tc>
          <w:tcPr>
            <w:tcW w:w="1106" w:type="dxa"/>
            <w:vAlign w:val="center"/>
          </w:tcPr>
          <w:p w14:paraId="298C4798">
            <w:pPr>
              <w:jc w:val="left"/>
              <w:rPr>
                <w:rFonts w:ascii="宋体" w:hAnsi="宋体" w:eastAsia="宋体" w:cs="Times New Roman"/>
                <w:color w:val="000000"/>
                <w:szCs w:val="21"/>
              </w:rPr>
            </w:pPr>
            <w:r>
              <w:rPr>
                <w:rFonts w:hint="eastAsia" w:ascii="宋体" w:hAnsi="宋体" w:eastAsia="宋体" w:cs="Times New Roman"/>
                <w:color w:val="000000"/>
                <w:szCs w:val="21"/>
              </w:rPr>
              <w:t>实践内容总结与反思</w:t>
            </w:r>
          </w:p>
        </w:tc>
        <w:tc>
          <w:tcPr>
            <w:tcW w:w="1276" w:type="dxa"/>
            <w:vAlign w:val="center"/>
          </w:tcPr>
          <w:p w14:paraId="410FAE42">
            <w:pPr>
              <w:rPr>
                <w14:ligatures w14:val="standardContextual"/>
              </w:rPr>
            </w:pPr>
            <w:r>
              <w:rPr>
                <w:rFonts w:hint="eastAsia" w:ascii="宋体" w:hAnsi="宋体" w:eastAsia="宋体" w:cs="Times New Roman"/>
                <w:szCs w:val="21"/>
              </w:rPr>
              <w:t>2-1、3-3、</w:t>
            </w:r>
          </w:p>
          <w:p w14:paraId="03874545">
            <w:pPr>
              <w:rPr>
                <w:rFonts w:eastAsia="宋体"/>
                <w14:ligatures w14:val="standardContextual"/>
              </w:rPr>
            </w:pPr>
            <w:r>
              <w:rPr>
                <w:rFonts w:hint="eastAsia" w:ascii="宋体" w:hAnsi="宋体" w:eastAsia="宋体" w:cs="Times New Roman"/>
                <w:szCs w:val="21"/>
              </w:rPr>
              <w:t>3-1、4-2、</w:t>
            </w:r>
          </w:p>
          <w:p w14:paraId="23D51C86">
            <w:pPr>
              <w:rPr>
                <w:rFonts w:ascii="宋体" w:hAnsi="宋体" w:eastAsia="宋体" w:cs="Times New Roman"/>
                <w:szCs w:val="21"/>
              </w:rPr>
            </w:pPr>
            <w:r>
              <w:rPr>
                <w:rFonts w:hint="eastAsia" w:ascii="宋体" w:hAnsi="宋体" w:eastAsia="宋体" w:cs="Times New Roman"/>
                <w:szCs w:val="21"/>
              </w:rPr>
              <w:t>7-1、7-2、</w:t>
            </w:r>
          </w:p>
          <w:p w14:paraId="214B93E9">
            <w:pPr>
              <w:rPr>
                <w:rFonts w:ascii="宋体" w:hAnsi="宋体" w:eastAsia="宋体" w:cs="Times New Roman"/>
                <w:szCs w:val="21"/>
              </w:rPr>
            </w:pPr>
            <w:r>
              <w:rPr>
                <w:rFonts w:hint="eastAsia" w:ascii="宋体" w:hAnsi="宋体" w:eastAsia="宋体" w:cs="Times New Roman"/>
                <w:szCs w:val="21"/>
              </w:rPr>
              <w:t>8-2</w:t>
            </w:r>
          </w:p>
          <w:p w14:paraId="37A13D75">
            <w:pPr>
              <w:jc w:val="center"/>
              <w:rPr>
                <w:rFonts w:ascii="宋体" w:hAnsi="宋体" w:eastAsia="宋体" w:cs="Times New Roman"/>
                <w:color w:val="000000"/>
                <w:szCs w:val="21"/>
              </w:rPr>
            </w:pPr>
          </w:p>
        </w:tc>
      </w:tr>
    </w:tbl>
    <w:p w14:paraId="128C53BD">
      <w:pPr>
        <w:spacing w:line="360" w:lineRule="auto"/>
        <w:rPr>
          <w:rFonts w:ascii="宋体" w:hAnsi="宋体" w:eastAsia="宋体" w:cs="Times New Roman"/>
          <w:sz w:val="24"/>
        </w:rPr>
      </w:pPr>
      <w:r>
        <w:rPr>
          <w:rFonts w:hint="eastAsia" w:ascii="宋体" w:hAnsi="宋体" w:eastAsia="宋体" w:cs="Times New Roman"/>
          <w:sz w:val="24"/>
        </w:rPr>
        <w:t xml:space="preserve">    </w:t>
      </w:r>
    </w:p>
    <w:p w14:paraId="0FD33D7C">
      <w:pPr>
        <w:spacing w:line="360" w:lineRule="auto"/>
        <w:rPr>
          <w:rFonts w:ascii="宋体" w:hAnsi="宋体" w:eastAsia="宋体" w:cs="Times New Roman"/>
          <w:b/>
          <w:bCs/>
          <w:sz w:val="24"/>
        </w:rPr>
      </w:pPr>
      <w:r>
        <w:rPr>
          <w:rFonts w:ascii="宋体" w:hAnsi="宋体" w:eastAsia="宋体" w:cs="Times New Roman"/>
          <w:b/>
          <w:bCs/>
          <w:sz w:val="24"/>
        </w:rPr>
        <w:t>（三）</w:t>
      </w:r>
      <w:r>
        <w:rPr>
          <w:rFonts w:hint="eastAsia" w:ascii="宋体" w:hAnsi="宋体" w:eastAsia="宋体" w:cs="Times New Roman"/>
          <w:b/>
          <w:bCs/>
          <w:sz w:val="24"/>
        </w:rPr>
        <w:t>课程目标及考核方式权重分配表</w:t>
      </w:r>
    </w:p>
    <w:tbl>
      <w:tblPr>
        <w:tblStyle w:val="30"/>
        <w:tblW w:w="8998" w:type="dxa"/>
        <w:tblInd w:w="0" w:type="dxa"/>
        <w:tblLayout w:type="autofit"/>
        <w:tblCellMar>
          <w:top w:w="0" w:type="dxa"/>
          <w:left w:w="108" w:type="dxa"/>
          <w:bottom w:w="0" w:type="dxa"/>
          <w:right w:w="108" w:type="dxa"/>
        </w:tblCellMar>
      </w:tblPr>
      <w:tblGrid>
        <w:gridCol w:w="1984"/>
        <w:gridCol w:w="1760"/>
        <w:gridCol w:w="1798"/>
        <w:gridCol w:w="2391"/>
        <w:gridCol w:w="1065"/>
      </w:tblGrid>
      <w:tr w14:paraId="21B29DCD">
        <w:tblPrEx>
          <w:tblCellMar>
            <w:top w:w="0" w:type="dxa"/>
            <w:left w:w="108" w:type="dxa"/>
            <w:bottom w:w="0" w:type="dxa"/>
            <w:right w:w="108" w:type="dxa"/>
          </w:tblCellMar>
        </w:tblPrEx>
        <w:trPr>
          <w:trHeight w:val="418" w:hRule="atLeast"/>
        </w:trPr>
        <w:tc>
          <w:tcPr>
            <w:tcW w:w="3744" w:type="dxa"/>
            <w:gridSpan w:val="2"/>
            <w:tcBorders>
              <w:top w:val="single" w:color="000000" w:sz="8" w:space="0"/>
              <w:left w:val="single" w:color="000000" w:sz="8" w:space="0"/>
              <w:bottom w:val="single" w:color="000000" w:sz="8" w:space="0"/>
              <w:right w:val="single" w:color="000000" w:sz="8" w:space="0"/>
            </w:tcBorders>
            <w:vAlign w:val="center"/>
          </w:tcPr>
          <w:p w14:paraId="5BA05E89">
            <w:pPr>
              <w:widowControl/>
              <w:jc w:val="center"/>
              <w:rPr>
                <w:rFonts w:ascii="宋体" w:hAnsi="宋体" w:eastAsia="宋体" w:cs="Times New Roman"/>
                <w:kern w:val="0"/>
                <w:szCs w:val="21"/>
              </w:rPr>
            </w:pPr>
            <w:r>
              <w:rPr>
                <w:rFonts w:hint="eastAsia" w:ascii="宋体" w:hAnsi="宋体" w:eastAsia="宋体" w:cs="Times New Roman"/>
                <w:kern w:val="0"/>
                <w:szCs w:val="21"/>
              </w:rPr>
              <w:t>课程目标及权重</w:t>
            </w:r>
          </w:p>
        </w:tc>
        <w:tc>
          <w:tcPr>
            <w:tcW w:w="5254" w:type="dxa"/>
            <w:gridSpan w:val="3"/>
            <w:tcBorders>
              <w:top w:val="single" w:color="000000" w:sz="8" w:space="0"/>
              <w:left w:val="single" w:color="000000" w:sz="8" w:space="0"/>
              <w:bottom w:val="single" w:color="000000" w:sz="8" w:space="0"/>
              <w:right w:val="single" w:color="000000" w:sz="8" w:space="0"/>
            </w:tcBorders>
            <w:vAlign w:val="center"/>
          </w:tcPr>
          <w:p w14:paraId="2B2702F6">
            <w:pPr>
              <w:widowControl/>
              <w:ind w:right="-391" w:rightChars="-186"/>
              <w:jc w:val="center"/>
              <w:rPr>
                <w:rFonts w:ascii="宋体" w:hAnsi="宋体" w:eastAsia="宋体" w:cs="Times New Roman"/>
                <w:kern w:val="0"/>
                <w:szCs w:val="21"/>
              </w:rPr>
            </w:pPr>
            <w:r>
              <w:rPr>
                <w:rFonts w:hint="eastAsia" w:ascii="宋体" w:hAnsi="宋体" w:eastAsia="宋体" w:cs="Times New Roman"/>
                <w:kern w:val="0"/>
                <w:szCs w:val="21"/>
              </w:rPr>
              <w:t>考核方式及权重</w:t>
            </w:r>
          </w:p>
        </w:tc>
      </w:tr>
      <w:tr w14:paraId="2753FC7F">
        <w:tblPrEx>
          <w:tblCellMar>
            <w:top w:w="0" w:type="dxa"/>
            <w:left w:w="108" w:type="dxa"/>
            <w:bottom w:w="0" w:type="dxa"/>
            <w:right w:w="108" w:type="dxa"/>
          </w:tblCellMar>
        </w:tblPrEx>
        <w:trPr>
          <w:trHeight w:val="360" w:hRule="atLeast"/>
        </w:trPr>
        <w:tc>
          <w:tcPr>
            <w:tcW w:w="1984" w:type="dxa"/>
            <w:tcBorders>
              <w:top w:val="single" w:color="000000" w:sz="8" w:space="0"/>
              <w:left w:val="single" w:color="000000" w:sz="8" w:space="0"/>
              <w:bottom w:val="single" w:color="000000" w:sz="8" w:space="0"/>
              <w:right w:val="single" w:color="000000" w:sz="8" w:space="0"/>
            </w:tcBorders>
            <w:vAlign w:val="center"/>
          </w:tcPr>
          <w:p w14:paraId="61C88E78">
            <w:pPr>
              <w:widowControl/>
              <w:jc w:val="center"/>
              <w:rPr>
                <w:rFonts w:ascii="宋体" w:hAnsi="宋体" w:eastAsia="宋体" w:cs="Times New Roman"/>
                <w:kern w:val="0"/>
                <w:szCs w:val="21"/>
              </w:rPr>
            </w:pPr>
            <w:r>
              <w:rPr>
                <w:rFonts w:hint="eastAsia" w:ascii="宋体" w:hAnsi="宋体" w:eastAsia="宋体" w:cs="Times New Roman"/>
                <w:kern w:val="0"/>
                <w:szCs w:val="21"/>
              </w:rPr>
              <w:t>项目</w:t>
            </w:r>
          </w:p>
        </w:tc>
        <w:tc>
          <w:tcPr>
            <w:tcW w:w="1760" w:type="dxa"/>
            <w:tcBorders>
              <w:top w:val="single" w:color="000000" w:sz="8" w:space="0"/>
              <w:left w:val="single" w:color="000000" w:sz="8" w:space="0"/>
              <w:bottom w:val="single" w:color="000000" w:sz="8" w:space="0"/>
              <w:right w:val="single" w:color="000000" w:sz="8" w:space="0"/>
            </w:tcBorders>
            <w:vAlign w:val="center"/>
          </w:tcPr>
          <w:p w14:paraId="6DC24A12">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a</w:t>
            </w:r>
            <w:r>
              <w:rPr>
                <w:rFonts w:hint="eastAsia" w:ascii="宋体" w:hAnsi="宋体" w:eastAsia="宋体" w:cs="Times New Roman"/>
                <w:kern w:val="0"/>
                <w:szCs w:val="21"/>
              </w:rPr>
              <w:t>）</w:t>
            </w:r>
          </w:p>
        </w:tc>
        <w:tc>
          <w:tcPr>
            <w:tcW w:w="1798" w:type="dxa"/>
            <w:tcBorders>
              <w:top w:val="single" w:color="000000" w:sz="8" w:space="0"/>
              <w:left w:val="single" w:color="000000" w:sz="8" w:space="0"/>
              <w:bottom w:val="single" w:color="000000" w:sz="8" w:space="0"/>
              <w:right w:val="single" w:color="000000" w:sz="8" w:space="0"/>
            </w:tcBorders>
            <w:vAlign w:val="center"/>
          </w:tcPr>
          <w:p w14:paraId="322B953A">
            <w:pPr>
              <w:widowControl/>
              <w:jc w:val="center"/>
              <w:rPr>
                <w:rFonts w:ascii="宋体" w:hAnsi="宋体" w:eastAsia="宋体" w:cs="Times New Roman"/>
                <w:kern w:val="0"/>
                <w:szCs w:val="21"/>
              </w:rPr>
            </w:pPr>
            <w:r>
              <w:rPr>
                <w:rFonts w:hint="eastAsia" w:ascii="宋体" w:hAnsi="宋体" w:eastAsia="宋体" w:cs="Times New Roman"/>
                <w:kern w:val="0"/>
                <w:szCs w:val="21"/>
              </w:rPr>
              <w:t>评价依据</w:t>
            </w:r>
          </w:p>
        </w:tc>
        <w:tc>
          <w:tcPr>
            <w:tcW w:w="2391" w:type="dxa"/>
            <w:tcBorders>
              <w:top w:val="single" w:color="000000" w:sz="8" w:space="0"/>
              <w:left w:val="single" w:color="000000" w:sz="8" w:space="0"/>
              <w:bottom w:val="single" w:color="000000" w:sz="8" w:space="0"/>
              <w:right w:val="single" w:color="000000" w:sz="8" w:space="0"/>
            </w:tcBorders>
            <w:vAlign w:val="center"/>
          </w:tcPr>
          <w:p w14:paraId="4323B79A">
            <w:pPr>
              <w:widowControl/>
              <w:jc w:val="center"/>
              <w:rPr>
                <w:rFonts w:ascii="宋体" w:hAnsi="宋体" w:eastAsia="宋体" w:cs="Times New Roman"/>
                <w:kern w:val="0"/>
                <w:szCs w:val="21"/>
              </w:rPr>
            </w:pPr>
            <w:r>
              <w:rPr>
                <w:rFonts w:hint="eastAsia" w:ascii="宋体" w:hAnsi="宋体" w:eastAsia="宋体" w:cs="Times New Roman"/>
                <w:kern w:val="0"/>
                <w:szCs w:val="21"/>
              </w:rPr>
              <w:t>权重（</w:t>
            </w:r>
            <w:r>
              <w:rPr>
                <w:rFonts w:ascii="宋体" w:hAnsi="宋体" w:eastAsia="宋体" w:cs="Times New Roman"/>
                <w:kern w:val="0"/>
                <w:szCs w:val="21"/>
              </w:rPr>
              <w:t>b</w:t>
            </w:r>
            <w:r>
              <w:rPr>
                <w:rFonts w:hint="eastAsia" w:ascii="宋体" w:hAnsi="宋体" w:eastAsia="宋体" w:cs="Times New Roman"/>
                <w:kern w:val="0"/>
                <w:szCs w:val="21"/>
              </w:rPr>
              <w:t>）</w:t>
            </w:r>
          </w:p>
        </w:tc>
        <w:tc>
          <w:tcPr>
            <w:tcW w:w="1065" w:type="dxa"/>
            <w:tcBorders>
              <w:top w:val="single" w:color="000000" w:sz="8" w:space="0"/>
              <w:left w:val="single" w:color="000000" w:sz="8" w:space="0"/>
              <w:bottom w:val="single" w:color="000000" w:sz="8" w:space="0"/>
              <w:right w:val="single" w:color="000000" w:sz="8" w:space="0"/>
            </w:tcBorders>
          </w:tcPr>
          <w:p w14:paraId="2B47B7AC">
            <w:pPr>
              <w:widowControl/>
              <w:rPr>
                <w:rFonts w:ascii="宋体" w:hAnsi="宋体" w:eastAsia="宋体" w:cs="Times New Roman"/>
                <w:color w:val="FF0000"/>
                <w:kern w:val="0"/>
                <w:szCs w:val="21"/>
              </w:rPr>
            </w:pPr>
            <w:r>
              <w:rPr>
                <w:rFonts w:hint="eastAsia" w:ascii="宋体" w:hAnsi="宋体" w:eastAsia="宋体" w:cs="Times New Roman"/>
                <w:kern w:val="0"/>
                <w:szCs w:val="21"/>
              </w:rPr>
              <w:t>考核方式权重合计</w:t>
            </w:r>
          </w:p>
        </w:tc>
      </w:tr>
      <w:tr w14:paraId="3FBF2418">
        <w:tblPrEx>
          <w:tblCellMar>
            <w:top w:w="0" w:type="dxa"/>
            <w:left w:w="108" w:type="dxa"/>
            <w:bottom w:w="0" w:type="dxa"/>
            <w:right w:w="108" w:type="dxa"/>
          </w:tblCellMar>
        </w:tblPrEx>
        <w:trPr>
          <w:trHeight w:val="344" w:hRule="atLeast"/>
        </w:trPr>
        <w:tc>
          <w:tcPr>
            <w:tcW w:w="1984" w:type="dxa"/>
            <w:vMerge w:val="restart"/>
            <w:tcBorders>
              <w:top w:val="single" w:color="000000" w:sz="8" w:space="0"/>
              <w:left w:val="single" w:color="000000" w:sz="8" w:space="0"/>
              <w:bottom w:val="single" w:color="000000" w:sz="8" w:space="0"/>
              <w:right w:val="single" w:color="000000" w:sz="8" w:space="0"/>
            </w:tcBorders>
            <w:vAlign w:val="center"/>
          </w:tcPr>
          <w:p w14:paraId="55B6E270">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c>
          <w:tcPr>
            <w:tcW w:w="1760" w:type="dxa"/>
            <w:vMerge w:val="restart"/>
            <w:tcBorders>
              <w:top w:val="single" w:color="000000" w:sz="8" w:space="0"/>
              <w:left w:val="single" w:color="000000" w:sz="8" w:space="0"/>
              <w:bottom w:val="single" w:color="000000" w:sz="8" w:space="0"/>
              <w:right w:val="single" w:color="000000" w:sz="8" w:space="0"/>
            </w:tcBorders>
            <w:vAlign w:val="center"/>
          </w:tcPr>
          <w:p w14:paraId="20382152">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798" w:type="dxa"/>
            <w:tcBorders>
              <w:top w:val="single" w:color="000000" w:sz="8" w:space="0"/>
              <w:left w:val="single" w:color="000000" w:sz="8" w:space="0"/>
              <w:bottom w:val="single" w:color="000000" w:sz="8" w:space="0"/>
              <w:right w:val="single" w:color="000000" w:sz="8" w:space="0"/>
            </w:tcBorders>
            <w:vAlign w:val="center"/>
          </w:tcPr>
          <w:p w14:paraId="4CC2A85A">
            <w:pPr>
              <w:widowControl/>
              <w:jc w:val="center"/>
              <w:rPr>
                <w:rFonts w:ascii="宋体" w:hAnsi="宋体" w:eastAsia="宋体" w:cs="Times New Roman"/>
                <w:kern w:val="0"/>
                <w:szCs w:val="21"/>
              </w:rPr>
            </w:pPr>
            <w:r>
              <w:rPr>
                <w:rFonts w:hint="eastAsia" w:ascii="宋体" w:hAnsi="宋体" w:eastAsia="宋体" w:cs="Times New Roman"/>
                <w:kern w:val="0"/>
                <w:szCs w:val="21"/>
              </w:rPr>
              <w:t>出勤</w:t>
            </w:r>
          </w:p>
        </w:tc>
        <w:tc>
          <w:tcPr>
            <w:tcW w:w="2391" w:type="dxa"/>
            <w:tcBorders>
              <w:top w:val="single" w:color="000000" w:sz="8" w:space="0"/>
              <w:left w:val="single" w:color="000000" w:sz="8" w:space="0"/>
              <w:bottom w:val="single" w:color="000000" w:sz="8" w:space="0"/>
              <w:right w:val="single" w:color="000000" w:sz="8" w:space="0"/>
            </w:tcBorders>
            <w:vAlign w:val="center"/>
          </w:tcPr>
          <w:p w14:paraId="22EA851A">
            <w:pPr>
              <w:widowControl/>
              <w:jc w:val="center"/>
              <w:rPr>
                <w:rFonts w:ascii="宋体" w:hAnsi="宋体" w:eastAsia="宋体" w:cs="Times New Roman"/>
                <w:kern w:val="0"/>
                <w:szCs w:val="21"/>
              </w:rPr>
            </w:pPr>
            <w:r>
              <w:rPr>
                <w:rFonts w:hint="eastAsia" w:ascii="宋体" w:hAnsi="宋体" w:eastAsia="宋体" w:cs="Times New Roman"/>
                <w:kern w:val="0"/>
                <w:szCs w:val="21"/>
              </w:rPr>
              <w:t>10%</w:t>
            </w:r>
            <w:r>
              <w:rPr>
                <w:rFonts w:ascii="宋体" w:hAnsi="宋体" w:eastAsia="宋体" w:cs="Times New Roman"/>
                <w:kern w:val="0"/>
                <w:szCs w:val="21"/>
              </w:rPr>
              <w:t xml:space="preserve"> </w:t>
            </w:r>
          </w:p>
        </w:tc>
        <w:tc>
          <w:tcPr>
            <w:tcW w:w="1065" w:type="dxa"/>
            <w:vMerge w:val="restart"/>
            <w:tcBorders>
              <w:top w:val="single" w:color="000000" w:sz="8" w:space="0"/>
              <w:left w:val="single" w:color="000000" w:sz="8" w:space="0"/>
              <w:right w:val="single" w:color="000000" w:sz="8" w:space="0"/>
            </w:tcBorders>
            <w:vAlign w:val="center"/>
          </w:tcPr>
          <w:p w14:paraId="04BD660F">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3E43F141">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60179A43">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708741DD">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085D6DAE">
            <w:pPr>
              <w:widowControl/>
              <w:jc w:val="center"/>
              <w:rPr>
                <w:rFonts w:ascii="宋体" w:hAnsi="宋体" w:eastAsia="宋体" w:cs="Times New Roman"/>
                <w:kern w:val="0"/>
                <w:szCs w:val="21"/>
              </w:rPr>
            </w:pPr>
            <w:r>
              <w:rPr>
                <w:rFonts w:hint="eastAsia" w:ascii="宋体" w:hAnsi="宋体" w:eastAsia="宋体" w:cs="Times New Roman"/>
                <w:kern w:val="0"/>
                <w:szCs w:val="21"/>
              </w:rPr>
              <w:t>表现</w:t>
            </w:r>
          </w:p>
        </w:tc>
        <w:tc>
          <w:tcPr>
            <w:tcW w:w="2391" w:type="dxa"/>
            <w:tcBorders>
              <w:top w:val="single" w:color="000000" w:sz="8" w:space="0"/>
              <w:left w:val="single" w:color="000000" w:sz="8" w:space="0"/>
              <w:bottom w:val="single" w:color="000000" w:sz="8" w:space="0"/>
              <w:right w:val="single" w:color="000000" w:sz="8" w:space="0"/>
            </w:tcBorders>
            <w:vAlign w:val="center"/>
          </w:tcPr>
          <w:p w14:paraId="7906A0AA">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65" w:type="dxa"/>
            <w:vMerge w:val="continue"/>
            <w:tcBorders>
              <w:left w:val="single" w:color="000000" w:sz="8" w:space="0"/>
              <w:right w:val="single" w:color="000000" w:sz="8" w:space="0"/>
            </w:tcBorders>
          </w:tcPr>
          <w:p w14:paraId="3CB795F4">
            <w:pPr>
              <w:widowControl/>
              <w:jc w:val="center"/>
              <w:rPr>
                <w:rFonts w:ascii="宋体" w:hAnsi="宋体" w:eastAsia="宋体" w:cs="Times New Roman"/>
                <w:kern w:val="0"/>
                <w:szCs w:val="21"/>
              </w:rPr>
            </w:pPr>
          </w:p>
        </w:tc>
      </w:tr>
      <w:tr w14:paraId="2C91DB93">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36173EAD">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6F274AED">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5A88B865">
            <w:pPr>
              <w:widowControl/>
              <w:jc w:val="center"/>
              <w:rPr>
                <w:rFonts w:ascii="宋体" w:hAnsi="宋体" w:eastAsia="宋体" w:cs="Times New Roman"/>
                <w:kern w:val="0"/>
                <w:szCs w:val="21"/>
              </w:rPr>
            </w:pPr>
            <w:r>
              <w:rPr>
                <w:rFonts w:hint="eastAsia" w:ascii="宋体" w:hAnsi="宋体" w:eastAsia="宋体" w:cs="Times New Roman"/>
                <w:kern w:val="0"/>
                <w:szCs w:val="21"/>
              </w:rPr>
              <w:t>实践任务</w:t>
            </w:r>
          </w:p>
        </w:tc>
        <w:tc>
          <w:tcPr>
            <w:tcW w:w="2391" w:type="dxa"/>
            <w:tcBorders>
              <w:top w:val="single" w:color="000000" w:sz="8" w:space="0"/>
              <w:left w:val="single" w:color="000000" w:sz="8" w:space="0"/>
              <w:bottom w:val="single" w:color="000000" w:sz="8" w:space="0"/>
              <w:right w:val="single" w:color="000000" w:sz="8" w:space="0"/>
            </w:tcBorders>
            <w:vAlign w:val="center"/>
          </w:tcPr>
          <w:p w14:paraId="405F7C7C">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065" w:type="dxa"/>
            <w:vMerge w:val="continue"/>
            <w:tcBorders>
              <w:left w:val="single" w:color="000000" w:sz="8" w:space="0"/>
              <w:right w:val="single" w:color="000000" w:sz="8" w:space="0"/>
            </w:tcBorders>
          </w:tcPr>
          <w:p w14:paraId="749F3E77">
            <w:pPr>
              <w:widowControl/>
              <w:jc w:val="center"/>
              <w:rPr>
                <w:rFonts w:ascii="宋体" w:hAnsi="宋体" w:eastAsia="宋体" w:cs="Times New Roman"/>
                <w:kern w:val="0"/>
                <w:szCs w:val="21"/>
              </w:rPr>
            </w:pPr>
          </w:p>
        </w:tc>
      </w:tr>
      <w:tr w14:paraId="1F549545">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72011489">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01BBF64A">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586A47FC">
            <w:pPr>
              <w:widowControl/>
              <w:jc w:val="center"/>
              <w:rPr>
                <w:rFonts w:ascii="宋体" w:hAnsi="宋体" w:eastAsia="宋体" w:cs="Times New Roman"/>
                <w:kern w:val="0"/>
                <w:szCs w:val="21"/>
              </w:rPr>
            </w:pPr>
            <w:r>
              <w:rPr>
                <w:rFonts w:hint="eastAsia" w:ascii="宋体" w:hAnsi="宋体" w:eastAsia="宋体" w:cs="Times New Roman"/>
                <w:kern w:val="0"/>
                <w:szCs w:val="21"/>
              </w:rPr>
              <w:t>实践报告</w:t>
            </w:r>
          </w:p>
        </w:tc>
        <w:tc>
          <w:tcPr>
            <w:tcW w:w="2391" w:type="dxa"/>
            <w:tcBorders>
              <w:top w:val="single" w:color="000000" w:sz="8" w:space="0"/>
              <w:left w:val="single" w:color="000000" w:sz="8" w:space="0"/>
              <w:bottom w:val="single" w:color="000000" w:sz="8" w:space="0"/>
              <w:right w:val="single" w:color="000000" w:sz="8" w:space="0"/>
            </w:tcBorders>
            <w:vAlign w:val="center"/>
          </w:tcPr>
          <w:p w14:paraId="45F1EA17">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065" w:type="dxa"/>
            <w:vMerge w:val="continue"/>
            <w:tcBorders>
              <w:left w:val="single" w:color="000000" w:sz="8" w:space="0"/>
              <w:bottom w:val="single" w:color="000000" w:sz="8" w:space="0"/>
              <w:right w:val="single" w:color="000000" w:sz="8" w:space="0"/>
            </w:tcBorders>
          </w:tcPr>
          <w:p w14:paraId="40310A8B">
            <w:pPr>
              <w:widowControl/>
              <w:jc w:val="center"/>
              <w:rPr>
                <w:rFonts w:ascii="宋体" w:hAnsi="宋体" w:eastAsia="宋体" w:cs="Times New Roman"/>
                <w:kern w:val="0"/>
                <w:szCs w:val="21"/>
              </w:rPr>
            </w:pPr>
          </w:p>
        </w:tc>
      </w:tr>
      <w:tr w14:paraId="7007C0D2">
        <w:tblPrEx>
          <w:tblCellMar>
            <w:top w:w="0" w:type="dxa"/>
            <w:left w:w="108" w:type="dxa"/>
            <w:bottom w:w="0" w:type="dxa"/>
            <w:right w:w="108" w:type="dxa"/>
          </w:tblCellMar>
        </w:tblPrEx>
        <w:trPr>
          <w:trHeight w:val="344" w:hRule="atLeast"/>
        </w:trPr>
        <w:tc>
          <w:tcPr>
            <w:tcW w:w="1984" w:type="dxa"/>
            <w:vMerge w:val="restart"/>
            <w:tcBorders>
              <w:top w:val="single" w:color="000000" w:sz="8" w:space="0"/>
              <w:left w:val="single" w:color="000000" w:sz="8" w:space="0"/>
              <w:bottom w:val="single" w:color="000000" w:sz="8" w:space="0"/>
              <w:right w:val="single" w:color="000000" w:sz="8" w:space="0"/>
            </w:tcBorders>
            <w:vAlign w:val="center"/>
          </w:tcPr>
          <w:p w14:paraId="22810A8C">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2</w:t>
            </w:r>
          </w:p>
        </w:tc>
        <w:tc>
          <w:tcPr>
            <w:tcW w:w="1760" w:type="dxa"/>
            <w:vMerge w:val="restart"/>
            <w:tcBorders>
              <w:top w:val="single" w:color="000000" w:sz="8" w:space="0"/>
              <w:left w:val="single" w:color="000000" w:sz="8" w:space="0"/>
              <w:bottom w:val="single" w:color="000000" w:sz="8" w:space="0"/>
              <w:right w:val="single" w:color="000000" w:sz="8" w:space="0"/>
            </w:tcBorders>
            <w:vAlign w:val="center"/>
          </w:tcPr>
          <w:p w14:paraId="65B42B74">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798" w:type="dxa"/>
            <w:tcBorders>
              <w:top w:val="single" w:color="000000" w:sz="8" w:space="0"/>
              <w:left w:val="single" w:color="000000" w:sz="8" w:space="0"/>
              <w:bottom w:val="single" w:color="000000" w:sz="8" w:space="0"/>
              <w:right w:val="single" w:color="000000" w:sz="8" w:space="0"/>
            </w:tcBorders>
            <w:vAlign w:val="center"/>
          </w:tcPr>
          <w:p w14:paraId="2ABFD6C9">
            <w:pPr>
              <w:widowControl/>
              <w:jc w:val="center"/>
              <w:rPr>
                <w:rFonts w:ascii="宋体" w:hAnsi="宋体" w:eastAsia="宋体" w:cs="Times New Roman"/>
                <w:kern w:val="0"/>
                <w:szCs w:val="21"/>
              </w:rPr>
            </w:pPr>
            <w:r>
              <w:rPr>
                <w:rFonts w:hint="eastAsia" w:ascii="宋体" w:hAnsi="宋体" w:eastAsia="宋体" w:cs="Times New Roman"/>
                <w:kern w:val="0"/>
                <w:szCs w:val="21"/>
              </w:rPr>
              <w:t>出勤</w:t>
            </w:r>
          </w:p>
        </w:tc>
        <w:tc>
          <w:tcPr>
            <w:tcW w:w="2391" w:type="dxa"/>
            <w:tcBorders>
              <w:top w:val="single" w:color="000000" w:sz="8" w:space="0"/>
              <w:left w:val="single" w:color="000000" w:sz="8" w:space="0"/>
              <w:bottom w:val="single" w:color="000000" w:sz="8" w:space="0"/>
              <w:right w:val="single" w:color="000000" w:sz="8" w:space="0"/>
            </w:tcBorders>
            <w:vAlign w:val="center"/>
          </w:tcPr>
          <w:p w14:paraId="43B30E3F">
            <w:pPr>
              <w:widowControl/>
              <w:jc w:val="center"/>
              <w:rPr>
                <w:rFonts w:ascii="宋体" w:hAnsi="宋体" w:eastAsia="宋体" w:cs="Times New Roman"/>
                <w:kern w:val="0"/>
                <w:szCs w:val="21"/>
              </w:rPr>
            </w:pPr>
            <w:r>
              <w:rPr>
                <w:rFonts w:hint="eastAsia" w:ascii="宋体" w:hAnsi="宋体" w:eastAsia="宋体" w:cs="Times New Roman"/>
                <w:kern w:val="0"/>
                <w:szCs w:val="21"/>
              </w:rPr>
              <w:t>10%</w:t>
            </w:r>
            <w:r>
              <w:rPr>
                <w:rFonts w:ascii="宋体" w:hAnsi="宋体" w:eastAsia="宋体" w:cs="Times New Roman"/>
                <w:kern w:val="0"/>
                <w:szCs w:val="21"/>
              </w:rPr>
              <w:t xml:space="preserve"> </w:t>
            </w:r>
          </w:p>
        </w:tc>
        <w:tc>
          <w:tcPr>
            <w:tcW w:w="1065" w:type="dxa"/>
            <w:vMerge w:val="restart"/>
            <w:tcBorders>
              <w:top w:val="single" w:color="000000" w:sz="8" w:space="0"/>
              <w:left w:val="single" w:color="000000" w:sz="8" w:space="0"/>
              <w:right w:val="single" w:color="000000" w:sz="8" w:space="0"/>
            </w:tcBorders>
            <w:vAlign w:val="center"/>
          </w:tcPr>
          <w:p w14:paraId="5CABCAC0">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133DD42B">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7D51E022">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5D0EBE52">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274FB92D">
            <w:pPr>
              <w:widowControl/>
              <w:jc w:val="center"/>
              <w:rPr>
                <w:rFonts w:ascii="宋体" w:hAnsi="宋体" w:eastAsia="宋体" w:cs="Times New Roman"/>
                <w:kern w:val="0"/>
                <w:szCs w:val="21"/>
              </w:rPr>
            </w:pPr>
            <w:r>
              <w:rPr>
                <w:rFonts w:hint="eastAsia" w:ascii="宋体" w:hAnsi="宋体" w:eastAsia="宋体" w:cs="Times New Roman"/>
                <w:kern w:val="0"/>
                <w:szCs w:val="21"/>
              </w:rPr>
              <w:t>表现</w:t>
            </w:r>
          </w:p>
        </w:tc>
        <w:tc>
          <w:tcPr>
            <w:tcW w:w="2391" w:type="dxa"/>
            <w:tcBorders>
              <w:top w:val="single" w:color="000000" w:sz="8" w:space="0"/>
              <w:left w:val="single" w:color="000000" w:sz="8" w:space="0"/>
              <w:bottom w:val="single" w:color="000000" w:sz="8" w:space="0"/>
              <w:right w:val="single" w:color="000000" w:sz="8" w:space="0"/>
            </w:tcBorders>
            <w:vAlign w:val="center"/>
          </w:tcPr>
          <w:p w14:paraId="2BD92F73">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65" w:type="dxa"/>
            <w:vMerge w:val="continue"/>
            <w:tcBorders>
              <w:left w:val="single" w:color="000000" w:sz="8" w:space="0"/>
              <w:right w:val="single" w:color="000000" w:sz="8" w:space="0"/>
            </w:tcBorders>
            <w:vAlign w:val="center"/>
          </w:tcPr>
          <w:p w14:paraId="7AE19F78">
            <w:pPr>
              <w:widowControl/>
              <w:jc w:val="center"/>
              <w:rPr>
                <w:rFonts w:ascii="宋体" w:hAnsi="宋体" w:eastAsia="宋体" w:cs="Times New Roman"/>
                <w:kern w:val="0"/>
                <w:szCs w:val="21"/>
              </w:rPr>
            </w:pPr>
          </w:p>
        </w:tc>
      </w:tr>
      <w:tr w14:paraId="64B93A08">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4CEF6775">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32A9B3DD">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4DE419ED">
            <w:pPr>
              <w:widowControl/>
              <w:jc w:val="center"/>
              <w:rPr>
                <w:rFonts w:ascii="宋体" w:hAnsi="宋体" w:eastAsia="宋体" w:cs="Times New Roman"/>
                <w:kern w:val="0"/>
                <w:szCs w:val="21"/>
              </w:rPr>
            </w:pPr>
            <w:r>
              <w:rPr>
                <w:rFonts w:hint="eastAsia" w:ascii="宋体" w:hAnsi="宋体" w:eastAsia="宋体" w:cs="Times New Roman"/>
                <w:kern w:val="0"/>
                <w:szCs w:val="21"/>
              </w:rPr>
              <w:t>实践任务</w:t>
            </w:r>
          </w:p>
        </w:tc>
        <w:tc>
          <w:tcPr>
            <w:tcW w:w="2391" w:type="dxa"/>
            <w:tcBorders>
              <w:top w:val="single" w:color="000000" w:sz="8" w:space="0"/>
              <w:left w:val="single" w:color="000000" w:sz="8" w:space="0"/>
              <w:bottom w:val="single" w:color="000000" w:sz="8" w:space="0"/>
              <w:right w:val="single" w:color="000000" w:sz="8" w:space="0"/>
            </w:tcBorders>
            <w:vAlign w:val="center"/>
          </w:tcPr>
          <w:p w14:paraId="714D9EBB">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065" w:type="dxa"/>
            <w:vMerge w:val="continue"/>
            <w:tcBorders>
              <w:left w:val="single" w:color="000000" w:sz="8" w:space="0"/>
              <w:right w:val="single" w:color="000000" w:sz="8" w:space="0"/>
            </w:tcBorders>
            <w:vAlign w:val="center"/>
          </w:tcPr>
          <w:p w14:paraId="7D841163">
            <w:pPr>
              <w:widowControl/>
              <w:jc w:val="center"/>
              <w:rPr>
                <w:rFonts w:ascii="宋体" w:hAnsi="宋体" w:eastAsia="宋体" w:cs="Times New Roman"/>
                <w:kern w:val="0"/>
                <w:szCs w:val="21"/>
              </w:rPr>
            </w:pPr>
          </w:p>
        </w:tc>
      </w:tr>
      <w:tr w14:paraId="462131BF">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0886180E">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2400BA71">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1D7235D6">
            <w:pPr>
              <w:widowControl/>
              <w:jc w:val="center"/>
              <w:rPr>
                <w:rFonts w:ascii="宋体" w:hAnsi="宋体" w:eastAsia="宋体" w:cs="Times New Roman"/>
                <w:kern w:val="0"/>
                <w:szCs w:val="21"/>
              </w:rPr>
            </w:pPr>
            <w:r>
              <w:rPr>
                <w:rFonts w:hint="eastAsia" w:ascii="宋体" w:hAnsi="宋体" w:eastAsia="宋体" w:cs="Times New Roman"/>
                <w:kern w:val="0"/>
                <w:szCs w:val="21"/>
              </w:rPr>
              <w:t>实践报告</w:t>
            </w:r>
          </w:p>
        </w:tc>
        <w:tc>
          <w:tcPr>
            <w:tcW w:w="2391" w:type="dxa"/>
            <w:tcBorders>
              <w:top w:val="single" w:color="000000" w:sz="8" w:space="0"/>
              <w:left w:val="single" w:color="000000" w:sz="8" w:space="0"/>
              <w:bottom w:val="single" w:color="000000" w:sz="8" w:space="0"/>
              <w:right w:val="single" w:color="000000" w:sz="8" w:space="0"/>
            </w:tcBorders>
            <w:vAlign w:val="center"/>
          </w:tcPr>
          <w:p w14:paraId="408FC018">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065" w:type="dxa"/>
            <w:vMerge w:val="continue"/>
            <w:tcBorders>
              <w:left w:val="single" w:color="000000" w:sz="8" w:space="0"/>
              <w:bottom w:val="single" w:color="000000" w:sz="8" w:space="0"/>
              <w:right w:val="single" w:color="000000" w:sz="8" w:space="0"/>
            </w:tcBorders>
            <w:vAlign w:val="center"/>
          </w:tcPr>
          <w:p w14:paraId="3208DFE5">
            <w:pPr>
              <w:widowControl/>
              <w:jc w:val="center"/>
              <w:rPr>
                <w:rFonts w:ascii="宋体" w:hAnsi="宋体" w:eastAsia="宋体" w:cs="Times New Roman"/>
                <w:kern w:val="0"/>
                <w:szCs w:val="21"/>
              </w:rPr>
            </w:pPr>
          </w:p>
        </w:tc>
      </w:tr>
      <w:tr w14:paraId="75B053A7">
        <w:tblPrEx>
          <w:tblCellMar>
            <w:top w:w="0" w:type="dxa"/>
            <w:left w:w="108" w:type="dxa"/>
            <w:bottom w:w="0" w:type="dxa"/>
            <w:right w:w="108" w:type="dxa"/>
          </w:tblCellMar>
        </w:tblPrEx>
        <w:trPr>
          <w:trHeight w:val="344" w:hRule="atLeast"/>
        </w:trPr>
        <w:tc>
          <w:tcPr>
            <w:tcW w:w="1984" w:type="dxa"/>
            <w:vMerge w:val="restart"/>
            <w:tcBorders>
              <w:top w:val="single" w:color="000000" w:sz="8" w:space="0"/>
              <w:left w:val="single" w:color="000000" w:sz="8" w:space="0"/>
              <w:bottom w:val="single" w:color="000000" w:sz="8" w:space="0"/>
              <w:right w:val="single" w:color="000000" w:sz="8" w:space="0"/>
            </w:tcBorders>
            <w:vAlign w:val="center"/>
          </w:tcPr>
          <w:p w14:paraId="49639C4D">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3</w:t>
            </w:r>
          </w:p>
        </w:tc>
        <w:tc>
          <w:tcPr>
            <w:tcW w:w="1760" w:type="dxa"/>
            <w:vMerge w:val="restart"/>
            <w:tcBorders>
              <w:top w:val="single" w:color="000000" w:sz="8" w:space="0"/>
              <w:left w:val="single" w:color="000000" w:sz="8" w:space="0"/>
              <w:bottom w:val="single" w:color="000000" w:sz="8" w:space="0"/>
              <w:right w:val="single" w:color="000000" w:sz="8" w:space="0"/>
            </w:tcBorders>
            <w:vAlign w:val="center"/>
          </w:tcPr>
          <w:p w14:paraId="35EBC335">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798" w:type="dxa"/>
            <w:tcBorders>
              <w:top w:val="single" w:color="000000" w:sz="8" w:space="0"/>
              <w:left w:val="single" w:color="000000" w:sz="8" w:space="0"/>
              <w:bottom w:val="single" w:color="000000" w:sz="8" w:space="0"/>
              <w:right w:val="single" w:color="000000" w:sz="8" w:space="0"/>
            </w:tcBorders>
            <w:vAlign w:val="center"/>
          </w:tcPr>
          <w:p w14:paraId="2B0C52D9">
            <w:pPr>
              <w:widowControl/>
              <w:jc w:val="center"/>
              <w:rPr>
                <w:rFonts w:ascii="宋体" w:hAnsi="宋体" w:eastAsia="宋体" w:cs="Times New Roman"/>
                <w:kern w:val="0"/>
                <w:szCs w:val="21"/>
              </w:rPr>
            </w:pPr>
            <w:r>
              <w:rPr>
                <w:rFonts w:hint="eastAsia" w:ascii="宋体" w:hAnsi="宋体" w:eastAsia="宋体" w:cs="Times New Roman"/>
                <w:kern w:val="0"/>
                <w:szCs w:val="21"/>
              </w:rPr>
              <w:t>出勤</w:t>
            </w:r>
          </w:p>
        </w:tc>
        <w:tc>
          <w:tcPr>
            <w:tcW w:w="2391" w:type="dxa"/>
            <w:tcBorders>
              <w:top w:val="single" w:color="000000" w:sz="8" w:space="0"/>
              <w:left w:val="single" w:color="000000" w:sz="8" w:space="0"/>
              <w:bottom w:val="single" w:color="000000" w:sz="8" w:space="0"/>
              <w:right w:val="single" w:color="000000" w:sz="8" w:space="0"/>
            </w:tcBorders>
            <w:vAlign w:val="center"/>
          </w:tcPr>
          <w:p w14:paraId="03BE6CB9">
            <w:pPr>
              <w:widowControl/>
              <w:jc w:val="center"/>
              <w:rPr>
                <w:rFonts w:ascii="宋体" w:hAnsi="宋体" w:eastAsia="宋体" w:cs="Times New Roman"/>
                <w:kern w:val="0"/>
                <w:szCs w:val="21"/>
              </w:rPr>
            </w:pPr>
            <w:r>
              <w:rPr>
                <w:rFonts w:hint="eastAsia" w:ascii="宋体" w:hAnsi="宋体" w:eastAsia="宋体" w:cs="Times New Roman"/>
                <w:kern w:val="0"/>
                <w:szCs w:val="21"/>
              </w:rPr>
              <w:t>10%</w:t>
            </w:r>
            <w:r>
              <w:rPr>
                <w:rFonts w:ascii="宋体" w:hAnsi="宋体" w:eastAsia="宋体" w:cs="Times New Roman"/>
                <w:kern w:val="0"/>
                <w:szCs w:val="21"/>
              </w:rPr>
              <w:t xml:space="preserve"> </w:t>
            </w:r>
          </w:p>
        </w:tc>
        <w:tc>
          <w:tcPr>
            <w:tcW w:w="1065" w:type="dxa"/>
            <w:vMerge w:val="restart"/>
            <w:tcBorders>
              <w:top w:val="single" w:color="000000" w:sz="8" w:space="0"/>
              <w:left w:val="single" w:color="000000" w:sz="8" w:space="0"/>
              <w:right w:val="single" w:color="000000" w:sz="8" w:space="0"/>
            </w:tcBorders>
            <w:vAlign w:val="center"/>
          </w:tcPr>
          <w:p w14:paraId="130523F4">
            <w:pPr>
              <w:jc w:val="center"/>
              <w:rPr>
                <w:rFonts w:ascii="Times New Roman" w:hAnsi="Times New Roman" w:eastAsia="宋体" w:cs="Times New Roman"/>
                <w:szCs w:val="24"/>
              </w:rPr>
            </w:pPr>
            <w:r>
              <w:rPr>
                <w:rFonts w:hint="eastAsia" w:ascii="宋体" w:hAnsi="宋体" w:eastAsia="宋体" w:cs="Times New Roman"/>
                <w:kern w:val="0"/>
                <w:szCs w:val="21"/>
              </w:rPr>
              <w:t>100%</w:t>
            </w:r>
          </w:p>
        </w:tc>
      </w:tr>
      <w:tr w14:paraId="5EAF6FEC">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5364BE33">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491F01C7">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3B03AD13">
            <w:pPr>
              <w:widowControl/>
              <w:jc w:val="center"/>
              <w:rPr>
                <w:rFonts w:ascii="宋体" w:hAnsi="宋体" w:eastAsia="宋体" w:cs="Times New Roman"/>
                <w:kern w:val="0"/>
                <w:szCs w:val="21"/>
              </w:rPr>
            </w:pPr>
            <w:r>
              <w:rPr>
                <w:rFonts w:hint="eastAsia" w:ascii="宋体" w:hAnsi="宋体" w:eastAsia="宋体" w:cs="Times New Roman"/>
                <w:kern w:val="0"/>
                <w:szCs w:val="21"/>
              </w:rPr>
              <w:t>表现</w:t>
            </w:r>
          </w:p>
        </w:tc>
        <w:tc>
          <w:tcPr>
            <w:tcW w:w="2391" w:type="dxa"/>
            <w:tcBorders>
              <w:top w:val="single" w:color="000000" w:sz="8" w:space="0"/>
              <w:left w:val="single" w:color="000000" w:sz="8" w:space="0"/>
              <w:bottom w:val="single" w:color="000000" w:sz="8" w:space="0"/>
              <w:right w:val="single" w:color="000000" w:sz="8" w:space="0"/>
            </w:tcBorders>
            <w:vAlign w:val="center"/>
          </w:tcPr>
          <w:p w14:paraId="72E8F6F2">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65" w:type="dxa"/>
            <w:vMerge w:val="continue"/>
            <w:tcBorders>
              <w:left w:val="single" w:color="000000" w:sz="8" w:space="0"/>
              <w:right w:val="single" w:color="000000" w:sz="8" w:space="0"/>
            </w:tcBorders>
            <w:vAlign w:val="center"/>
          </w:tcPr>
          <w:p w14:paraId="2652E1F5">
            <w:pPr>
              <w:widowControl/>
              <w:jc w:val="center"/>
              <w:rPr>
                <w:rFonts w:ascii="宋体" w:hAnsi="宋体" w:eastAsia="宋体" w:cs="Times New Roman"/>
                <w:kern w:val="0"/>
                <w:szCs w:val="21"/>
              </w:rPr>
            </w:pPr>
          </w:p>
        </w:tc>
      </w:tr>
      <w:tr w14:paraId="2F61E72A">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746E8393">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6C82BFD1">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0A8793CB">
            <w:pPr>
              <w:widowControl/>
              <w:jc w:val="center"/>
              <w:rPr>
                <w:rFonts w:ascii="宋体" w:hAnsi="宋体" w:eastAsia="宋体" w:cs="Times New Roman"/>
                <w:kern w:val="0"/>
                <w:szCs w:val="21"/>
              </w:rPr>
            </w:pPr>
            <w:r>
              <w:rPr>
                <w:rFonts w:hint="eastAsia" w:ascii="宋体" w:hAnsi="宋体" w:eastAsia="宋体" w:cs="Times New Roman"/>
                <w:kern w:val="0"/>
                <w:szCs w:val="21"/>
              </w:rPr>
              <w:t>实践任务</w:t>
            </w:r>
          </w:p>
        </w:tc>
        <w:tc>
          <w:tcPr>
            <w:tcW w:w="2391" w:type="dxa"/>
            <w:tcBorders>
              <w:top w:val="single" w:color="000000" w:sz="8" w:space="0"/>
              <w:left w:val="single" w:color="000000" w:sz="8" w:space="0"/>
              <w:bottom w:val="single" w:color="000000" w:sz="8" w:space="0"/>
              <w:right w:val="single" w:color="000000" w:sz="8" w:space="0"/>
            </w:tcBorders>
            <w:vAlign w:val="center"/>
          </w:tcPr>
          <w:p w14:paraId="0CB10438">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065" w:type="dxa"/>
            <w:vMerge w:val="continue"/>
            <w:tcBorders>
              <w:left w:val="single" w:color="000000" w:sz="8" w:space="0"/>
              <w:right w:val="single" w:color="000000" w:sz="8" w:space="0"/>
            </w:tcBorders>
            <w:vAlign w:val="center"/>
          </w:tcPr>
          <w:p w14:paraId="460A58A7">
            <w:pPr>
              <w:widowControl/>
              <w:jc w:val="center"/>
              <w:rPr>
                <w:rFonts w:ascii="宋体" w:hAnsi="宋体" w:eastAsia="宋体" w:cs="Times New Roman"/>
                <w:kern w:val="0"/>
                <w:szCs w:val="21"/>
              </w:rPr>
            </w:pPr>
          </w:p>
        </w:tc>
      </w:tr>
      <w:tr w14:paraId="618AA2F3">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398AC77F">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6D3B8B6F">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6F9622F9">
            <w:pPr>
              <w:widowControl/>
              <w:jc w:val="center"/>
              <w:rPr>
                <w:rFonts w:ascii="宋体" w:hAnsi="宋体" w:eastAsia="宋体" w:cs="Times New Roman"/>
                <w:kern w:val="0"/>
                <w:szCs w:val="21"/>
              </w:rPr>
            </w:pPr>
            <w:r>
              <w:rPr>
                <w:rFonts w:hint="eastAsia" w:ascii="宋体" w:hAnsi="宋体" w:eastAsia="宋体" w:cs="Times New Roman"/>
                <w:kern w:val="0"/>
                <w:szCs w:val="21"/>
              </w:rPr>
              <w:t>实践报告</w:t>
            </w:r>
          </w:p>
        </w:tc>
        <w:tc>
          <w:tcPr>
            <w:tcW w:w="2391" w:type="dxa"/>
            <w:tcBorders>
              <w:top w:val="single" w:color="000000" w:sz="8" w:space="0"/>
              <w:left w:val="single" w:color="000000" w:sz="8" w:space="0"/>
              <w:bottom w:val="single" w:color="000000" w:sz="8" w:space="0"/>
              <w:right w:val="single" w:color="000000" w:sz="8" w:space="0"/>
            </w:tcBorders>
            <w:vAlign w:val="center"/>
          </w:tcPr>
          <w:p w14:paraId="22070DEE">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065" w:type="dxa"/>
            <w:vMerge w:val="continue"/>
            <w:tcBorders>
              <w:left w:val="single" w:color="000000" w:sz="8" w:space="0"/>
              <w:bottom w:val="single" w:color="000000" w:sz="8" w:space="0"/>
              <w:right w:val="single" w:color="000000" w:sz="8" w:space="0"/>
            </w:tcBorders>
            <w:vAlign w:val="center"/>
          </w:tcPr>
          <w:p w14:paraId="7ED0A98E">
            <w:pPr>
              <w:widowControl/>
              <w:jc w:val="center"/>
              <w:rPr>
                <w:rFonts w:ascii="宋体" w:hAnsi="宋体" w:eastAsia="宋体" w:cs="Times New Roman"/>
                <w:kern w:val="0"/>
                <w:szCs w:val="21"/>
              </w:rPr>
            </w:pPr>
          </w:p>
        </w:tc>
      </w:tr>
      <w:tr w14:paraId="1DB7A221">
        <w:tblPrEx>
          <w:tblCellMar>
            <w:top w:w="0" w:type="dxa"/>
            <w:left w:w="108" w:type="dxa"/>
            <w:bottom w:w="0" w:type="dxa"/>
            <w:right w:w="108" w:type="dxa"/>
          </w:tblCellMar>
        </w:tblPrEx>
        <w:trPr>
          <w:trHeight w:val="344" w:hRule="atLeast"/>
        </w:trPr>
        <w:tc>
          <w:tcPr>
            <w:tcW w:w="1984" w:type="dxa"/>
            <w:vMerge w:val="restart"/>
            <w:tcBorders>
              <w:top w:val="single" w:color="000000" w:sz="8" w:space="0"/>
              <w:left w:val="single" w:color="000000" w:sz="8" w:space="0"/>
              <w:bottom w:val="single" w:color="000000" w:sz="8" w:space="0"/>
              <w:right w:val="single" w:color="000000" w:sz="8" w:space="0"/>
            </w:tcBorders>
            <w:vAlign w:val="center"/>
          </w:tcPr>
          <w:p w14:paraId="06354A9C">
            <w:pPr>
              <w:widowControl/>
              <w:jc w:val="center"/>
              <w:rPr>
                <w:rFonts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760" w:type="dxa"/>
            <w:vMerge w:val="restart"/>
            <w:tcBorders>
              <w:top w:val="single" w:color="000000" w:sz="8" w:space="0"/>
              <w:left w:val="single" w:color="000000" w:sz="8" w:space="0"/>
              <w:bottom w:val="single" w:color="000000" w:sz="8" w:space="0"/>
              <w:right w:val="single" w:color="000000" w:sz="8" w:space="0"/>
            </w:tcBorders>
            <w:vAlign w:val="center"/>
          </w:tcPr>
          <w:p w14:paraId="75A9D1E6">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798" w:type="dxa"/>
            <w:tcBorders>
              <w:top w:val="single" w:color="000000" w:sz="8" w:space="0"/>
              <w:left w:val="single" w:color="000000" w:sz="8" w:space="0"/>
              <w:bottom w:val="single" w:color="000000" w:sz="8" w:space="0"/>
              <w:right w:val="single" w:color="000000" w:sz="8" w:space="0"/>
            </w:tcBorders>
            <w:vAlign w:val="center"/>
          </w:tcPr>
          <w:p w14:paraId="162643D6">
            <w:pPr>
              <w:widowControl/>
              <w:jc w:val="center"/>
              <w:rPr>
                <w:rFonts w:ascii="宋体" w:hAnsi="宋体" w:eastAsia="宋体" w:cs="Times New Roman"/>
                <w:kern w:val="0"/>
                <w:szCs w:val="21"/>
              </w:rPr>
            </w:pPr>
            <w:r>
              <w:rPr>
                <w:rFonts w:hint="eastAsia" w:ascii="宋体" w:hAnsi="宋体" w:eastAsia="宋体" w:cs="Times New Roman"/>
                <w:kern w:val="0"/>
                <w:szCs w:val="21"/>
              </w:rPr>
              <w:t>出勤</w:t>
            </w:r>
          </w:p>
        </w:tc>
        <w:tc>
          <w:tcPr>
            <w:tcW w:w="2391" w:type="dxa"/>
            <w:tcBorders>
              <w:top w:val="single" w:color="000000" w:sz="8" w:space="0"/>
              <w:left w:val="single" w:color="000000" w:sz="8" w:space="0"/>
              <w:bottom w:val="single" w:color="000000" w:sz="8" w:space="0"/>
              <w:right w:val="single" w:color="000000" w:sz="8" w:space="0"/>
            </w:tcBorders>
            <w:vAlign w:val="center"/>
          </w:tcPr>
          <w:p w14:paraId="038F72A4">
            <w:pPr>
              <w:widowControl/>
              <w:jc w:val="center"/>
              <w:rPr>
                <w:rFonts w:ascii="宋体" w:hAnsi="宋体" w:eastAsia="宋体" w:cs="Times New Roman"/>
                <w:kern w:val="0"/>
                <w:szCs w:val="21"/>
              </w:rPr>
            </w:pPr>
            <w:r>
              <w:rPr>
                <w:rFonts w:hint="eastAsia" w:ascii="宋体" w:hAnsi="宋体" w:eastAsia="宋体" w:cs="Times New Roman"/>
                <w:kern w:val="0"/>
                <w:szCs w:val="21"/>
              </w:rPr>
              <w:t>10%</w:t>
            </w:r>
            <w:r>
              <w:rPr>
                <w:rFonts w:ascii="宋体" w:hAnsi="宋体" w:eastAsia="宋体" w:cs="Times New Roman"/>
                <w:kern w:val="0"/>
                <w:szCs w:val="21"/>
              </w:rPr>
              <w:t xml:space="preserve"> </w:t>
            </w:r>
          </w:p>
        </w:tc>
        <w:tc>
          <w:tcPr>
            <w:tcW w:w="1065" w:type="dxa"/>
            <w:vMerge w:val="restart"/>
            <w:tcBorders>
              <w:top w:val="single" w:color="000000" w:sz="8" w:space="0"/>
              <w:left w:val="single" w:color="000000" w:sz="8" w:space="0"/>
              <w:right w:val="single" w:color="000000" w:sz="8" w:space="0"/>
            </w:tcBorders>
            <w:vAlign w:val="center"/>
          </w:tcPr>
          <w:p w14:paraId="35EB73B9">
            <w:pPr>
              <w:jc w:val="center"/>
              <w:rPr>
                <w:rFonts w:ascii="宋体" w:hAnsi="宋体" w:eastAsia="宋体" w:cs="Times New Roman"/>
                <w:kern w:val="0"/>
                <w:szCs w:val="21"/>
              </w:rPr>
            </w:pPr>
            <w:r>
              <w:rPr>
                <w:rFonts w:hint="eastAsia" w:ascii="宋体" w:hAnsi="宋体" w:eastAsia="宋体" w:cs="Times New Roman"/>
                <w:kern w:val="0"/>
                <w:szCs w:val="21"/>
              </w:rPr>
              <w:t>100%</w:t>
            </w:r>
          </w:p>
        </w:tc>
      </w:tr>
      <w:tr w14:paraId="68E76E40">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73734B6B">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7F2917D3">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45739748">
            <w:pPr>
              <w:widowControl/>
              <w:jc w:val="center"/>
              <w:rPr>
                <w:rFonts w:ascii="宋体" w:hAnsi="宋体" w:eastAsia="宋体" w:cs="Times New Roman"/>
                <w:kern w:val="0"/>
                <w:szCs w:val="21"/>
              </w:rPr>
            </w:pPr>
            <w:r>
              <w:rPr>
                <w:rFonts w:hint="eastAsia" w:ascii="宋体" w:hAnsi="宋体" w:eastAsia="宋体" w:cs="Times New Roman"/>
                <w:kern w:val="0"/>
                <w:szCs w:val="21"/>
              </w:rPr>
              <w:t>表现</w:t>
            </w:r>
          </w:p>
        </w:tc>
        <w:tc>
          <w:tcPr>
            <w:tcW w:w="2391" w:type="dxa"/>
            <w:tcBorders>
              <w:top w:val="single" w:color="000000" w:sz="8" w:space="0"/>
              <w:left w:val="single" w:color="000000" w:sz="8" w:space="0"/>
              <w:bottom w:val="single" w:color="000000" w:sz="8" w:space="0"/>
              <w:right w:val="single" w:color="000000" w:sz="8" w:space="0"/>
            </w:tcBorders>
            <w:vAlign w:val="center"/>
          </w:tcPr>
          <w:p w14:paraId="59DBB18D">
            <w:pPr>
              <w:widowControl/>
              <w:jc w:val="center"/>
              <w:rPr>
                <w:rFonts w:ascii="宋体" w:hAnsi="宋体" w:eastAsia="宋体" w:cs="Times New Roman"/>
                <w:kern w:val="0"/>
                <w:szCs w:val="21"/>
              </w:rPr>
            </w:pPr>
            <w:r>
              <w:rPr>
                <w:rFonts w:hint="eastAsia" w:ascii="宋体" w:hAnsi="宋体" w:eastAsia="宋体" w:cs="Times New Roman"/>
                <w:kern w:val="0"/>
                <w:szCs w:val="21"/>
              </w:rPr>
              <w:t>30%</w:t>
            </w:r>
          </w:p>
        </w:tc>
        <w:tc>
          <w:tcPr>
            <w:tcW w:w="1065" w:type="dxa"/>
            <w:vMerge w:val="continue"/>
            <w:tcBorders>
              <w:left w:val="single" w:color="000000" w:sz="8" w:space="0"/>
              <w:right w:val="single" w:color="000000" w:sz="8" w:space="0"/>
            </w:tcBorders>
          </w:tcPr>
          <w:p w14:paraId="6DDC9B92">
            <w:pPr>
              <w:widowControl/>
              <w:jc w:val="center"/>
              <w:rPr>
                <w:rFonts w:ascii="宋体" w:hAnsi="宋体" w:eastAsia="宋体" w:cs="Times New Roman"/>
                <w:kern w:val="0"/>
                <w:szCs w:val="21"/>
              </w:rPr>
            </w:pPr>
          </w:p>
        </w:tc>
      </w:tr>
      <w:tr w14:paraId="1611DC11">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3B84ABCB">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2C73FBB1">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49E6FDF7">
            <w:pPr>
              <w:widowControl/>
              <w:jc w:val="center"/>
              <w:rPr>
                <w:rFonts w:ascii="宋体" w:hAnsi="宋体" w:eastAsia="宋体" w:cs="Times New Roman"/>
                <w:kern w:val="0"/>
                <w:szCs w:val="21"/>
              </w:rPr>
            </w:pPr>
            <w:r>
              <w:rPr>
                <w:rFonts w:hint="eastAsia" w:ascii="宋体" w:hAnsi="宋体" w:eastAsia="宋体" w:cs="Times New Roman"/>
                <w:kern w:val="0"/>
                <w:szCs w:val="21"/>
              </w:rPr>
              <w:t>实践任务</w:t>
            </w:r>
          </w:p>
        </w:tc>
        <w:tc>
          <w:tcPr>
            <w:tcW w:w="2391" w:type="dxa"/>
            <w:tcBorders>
              <w:top w:val="single" w:color="000000" w:sz="8" w:space="0"/>
              <w:left w:val="single" w:color="000000" w:sz="8" w:space="0"/>
              <w:bottom w:val="single" w:color="000000" w:sz="8" w:space="0"/>
              <w:right w:val="single" w:color="000000" w:sz="8" w:space="0"/>
            </w:tcBorders>
            <w:vAlign w:val="center"/>
          </w:tcPr>
          <w:p w14:paraId="71D962D8">
            <w:pPr>
              <w:widowControl/>
              <w:jc w:val="center"/>
              <w:rPr>
                <w:rFonts w:ascii="宋体" w:hAnsi="宋体" w:eastAsia="宋体" w:cs="Times New Roman"/>
                <w:kern w:val="0"/>
                <w:szCs w:val="21"/>
              </w:rPr>
            </w:pPr>
            <w:r>
              <w:rPr>
                <w:rFonts w:hint="eastAsia" w:ascii="宋体" w:hAnsi="宋体" w:eastAsia="宋体" w:cs="Times New Roman"/>
                <w:kern w:val="0"/>
                <w:szCs w:val="21"/>
              </w:rPr>
              <w:t>40%</w:t>
            </w:r>
          </w:p>
        </w:tc>
        <w:tc>
          <w:tcPr>
            <w:tcW w:w="1065" w:type="dxa"/>
            <w:vMerge w:val="continue"/>
            <w:tcBorders>
              <w:left w:val="single" w:color="000000" w:sz="8" w:space="0"/>
              <w:right w:val="single" w:color="000000" w:sz="8" w:space="0"/>
            </w:tcBorders>
          </w:tcPr>
          <w:p w14:paraId="0F7A3C78">
            <w:pPr>
              <w:widowControl/>
              <w:jc w:val="center"/>
              <w:rPr>
                <w:rFonts w:ascii="宋体" w:hAnsi="宋体" w:eastAsia="宋体" w:cs="Times New Roman"/>
                <w:kern w:val="0"/>
                <w:szCs w:val="21"/>
              </w:rPr>
            </w:pPr>
          </w:p>
        </w:tc>
      </w:tr>
      <w:tr w14:paraId="726AA0AC">
        <w:tblPrEx>
          <w:tblCellMar>
            <w:top w:w="0" w:type="dxa"/>
            <w:left w:w="108" w:type="dxa"/>
            <w:bottom w:w="0" w:type="dxa"/>
            <w:right w:w="108" w:type="dxa"/>
          </w:tblCellMar>
        </w:tblPrEx>
        <w:trPr>
          <w:trHeight w:val="344" w:hRule="atLeast"/>
        </w:trPr>
        <w:tc>
          <w:tcPr>
            <w:tcW w:w="1984" w:type="dxa"/>
            <w:vMerge w:val="continue"/>
            <w:tcBorders>
              <w:top w:val="single" w:color="000000" w:sz="8" w:space="0"/>
              <w:left w:val="single" w:color="000000" w:sz="8" w:space="0"/>
              <w:bottom w:val="single" w:color="000000" w:sz="8" w:space="0"/>
              <w:right w:val="single" w:color="000000" w:sz="8" w:space="0"/>
            </w:tcBorders>
            <w:vAlign w:val="center"/>
          </w:tcPr>
          <w:p w14:paraId="07F8DEA9">
            <w:pPr>
              <w:widowControl/>
              <w:jc w:val="left"/>
              <w:rPr>
                <w:rFonts w:ascii="宋体" w:hAnsi="宋体" w:eastAsia="宋体" w:cs="Times New Roman"/>
                <w:kern w:val="0"/>
                <w:szCs w:val="21"/>
              </w:rPr>
            </w:pPr>
          </w:p>
        </w:tc>
        <w:tc>
          <w:tcPr>
            <w:tcW w:w="1760" w:type="dxa"/>
            <w:vMerge w:val="continue"/>
            <w:tcBorders>
              <w:top w:val="single" w:color="000000" w:sz="8" w:space="0"/>
              <w:left w:val="single" w:color="000000" w:sz="8" w:space="0"/>
              <w:bottom w:val="single" w:color="000000" w:sz="8" w:space="0"/>
              <w:right w:val="single" w:color="000000" w:sz="8" w:space="0"/>
            </w:tcBorders>
            <w:vAlign w:val="center"/>
          </w:tcPr>
          <w:p w14:paraId="38FE3ACA">
            <w:pPr>
              <w:widowControl/>
              <w:jc w:val="left"/>
              <w:rPr>
                <w:rFonts w:ascii="宋体" w:hAnsi="宋体" w:eastAsia="宋体" w:cs="Times New Roman"/>
                <w:kern w:val="0"/>
                <w:szCs w:val="21"/>
              </w:rPr>
            </w:pPr>
          </w:p>
        </w:tc>
        <w:tc>
          <w:tcPr>
            <w:tcW w:w="1798" w:type="dxa"/>
            <w:tcBorders>
              <w:top w:val="single" w:color="000000" w:sz="8" w:space="0"/>
              <w:left w:val="single" w:color="000000" w:sz="8" w:space="0"/>
              <w:bottom w:val="single" w:color="000000" w:sz="8" w:space="0"/>
              <w:right w:val="single" w:color="000000" w:sz="8" w:space="0"/>
            </w:tcBorders>
            <w:vAlign w:val="center"/>
          </w:tcPr>
          <w:p w14:paraId="3DE9F1A8">
            <w:pPr>
              <w:widowControl/>
              <w:jc w:val="center"/>
              <w:rPr>
                <w:rFonts w:ascii="宋体" w:hAnsi="宋体" w:eastAsia="宋体" w:cs="Times New Roman"/>
                <w:kern w:val="0"/>
                <w:szCs w:val="21"/>
              </w:rPr>
            </w:pPr>
            <w:r>
              <w:rPr>
                <w:rFonts w:hint="eastAsia" w:ascii="宋体" w:hAnsi="宋体" w:eastAsia="宋体" w:cs="Times New Roman"/>
                <w:kern w:val="0"/>
                <w:szCs w:val="21"/>
              </w:rPr>
              <w:t>实践报告</w:t>
            </w:r>
          </w:p>
        </w:tc>
        <w:tc>
          <w:tcPr>
            <w:tcW w:w="2391" w:type="dxa"/>
            <w:tcBorders>
              <w:top w:val="single" w:color="000000" w:sz="8" w:space="0"/>
              <w:left w:val="single" w:color="000000" w:sz="8" w:space="0"/>
              <w:bottom w:val="single" w:color="000000" w:sz="8" w:space="0"/>
              <w:right w:val="single" w:color="000000" w:sz="8" w:space="0"/>
            </w:tcBorders>
            <w:vAlign w:val="center"/>
          </w:tcPr>
          <w:p w14:paraId="0EA75163">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1065" w:type="dxa"/>
            <w:vMerge w:val="continue"/>
            <w:tcBorders>
              <w:left w:val="single" w:color="000000" w:sz="8" w:space="0"/>
              <w:bottom w:val="single" w:color="000000" w:sz="8" w:space="0"/>
              <w:right w:val="single" w:color="000000" w:sz="8" w:space="0"/>
            </w:tcBorders>
          </w:tcPr>
          <w:p w14:paraId="3B8E3968">
            <w:pPr>
              <w:widowControl/>
              <w:jc w:val="center"/>
              <w:rPr>
                <w:rFonts w:ascii="宋体" w:hAnsi="宋体" w:eastAsia="宋体" w:cs="Times New Roman"/>
                <w:kern w:val="0"/>
                <w:szCs w:val="21"/>
              </w:rPr>
            </w:pPr>
          </w:p>
        </w:tc>
      </w:tr>
      <w:tr w14:paraId="1B0D4A8C">
        <w:tblPrEx>
          <w:tblCellMar>
            <w:top w:w="0" w:type="dxa"/>
            <w:left w:w="108" w:type="dxa"/>
            <w:bottom w:w="0" w:type="dxa"/>
            <w:right w:w="108" w:type="dxa"/>
          </w:tblCellMar>
        </w:tblPrEx>
        <w:trPr>
          <w:trHeight w:val="555" w:hRule="atLeast"/>
        </w:trPr>
        <w:tc>
          <w:tcPr>
            <w:tcW w:w="1984" w:type="dxa"/>
            <w:tcBorders>
              <w:top w:val="single" w:color="000000" w:sz="8" w:space="0"/>
              <w:left w:val="single" w:color="000000" w:sz="8" w:space="0"/>
              <w:bottom w:val="single" w:color="000000" w:sz="8" w:space="0"/>
              <w:right w:val="single" w:color="000000" w:sz="8" w:space="0"/>
            </w:tcBorders>
            <w:vAlign w:val="center"/>
          </w:tcPr>
          <w:p w14:paraId="6CE667C6">
            <w:pPr>
              <w:widowControl/>
              <w:jc w:val="center"/>
              <w:rPr>
                <w:rFonts w:ascii="宋体" w:hAnsi="宋体" w:eastAsia="宋体" w:cs="Times New Roman"/>
                <w:kern w:val="0"/>
                <w:szCs w:val="21"/>
              </w:rPr>
            </w:pPr>
            <w:r>
              <w:rPr>
                <w:rFonts w:hint="eastAsia" w:ascii="宋体" w:hAnsi="宋体" w:eastAsia="宋体" w:cs="Times New Roman"/>
                <w:kern w:val="0"/>
                <w:szCs w:val="21"/>
              </w:rPr>
              <w:t>课程目标权重合计</w:t>
            </w:r>
          </w:p>
        </w:tc>
        <w:tc>
          <w:tcPr>
            <w:tcW w:w="7014" w:type="dxa"/>
            <w:gridSpan w:val="4"/>
            <w:tcBorders>
              <w:top w:val="single" w:color="000000" w:sz="8" w:space="0"/>
              <w:left w:val="single" w:color="000000" w:sz="8" w:space="0"/>
              <w:bottom w:val="single" w:color="000000" w:sz="8" w:space="0"/>
              <w:right w:val="single" w:color="000000" w:sz="8" w:space="0"/>
            </w:tcBorders>
            <w:vAlign w:val="center"/>
          </w:tcPr>
          <w:p w14:paraId="382AD515">
            <w:pPr>
              <w:widowControl/>
              <w:jc w:val="center"/>
              <w:rPr>
                <w:rFonts w:ascii="宋体" w:hAnsi="宋体" w:eastAsia="宋体" w:cs="Times New Roman"/>
                <w:kern w:val="0"/>
                <w:szCs w:val="21"/>
              </w:rPr>
            </w:pPr>
            <w:r>
              <w:rPr>
                <w:rFonts w:hint="eastAsia" w:ascii="宋体" w:hAnsi="宋体" w:eastAsia="宋体" w:cs="Times New Roman"/>
                <w:kern w:val="0"/>
                <w:szCs w:val="21"/>
              </w:rPr>
              <w:t>100%</w:t>
            </w:r>
          </w:p>
        </w:tc>
      </w:tr>
    </w:tbl>
    <w:p w14:paraId="49FA6550">
      <w:pPr>
        <w:spacing w:line="360" w:lineRule="auto"/>
        <w:ind w:firstLine="480"/>
        <w:rPr>
          <w:rFonts w:ascii="宋体" w:hAnsi="宋体" w:eastAsia="宋体" w:cs="Times New Roman"/>
          <w:color w:val="FF0000"/>
          <w:sz w:val="24"/>
        </w:rPr>
      </w:pPr>
    </w:p>
    <w:p w14:paraId="485EF439">
      <w:pPr>
        <w:spacing w:line="360" w:lineRule="auto"/>
        <w:ind w:firstLine="480"/>
        <w:rPr>
          <w:rFonts w:ascii="宋体" w:hAnsi="宋体" w:eastAsia="宋体" w:cs="Times New Roman"/>
          <w:sz w:val="24"/>
        </w:rPr>
      </w:pPr>
      <w:r>
        <w:rPr>
          <w:rFonts w:hint="eastAsia" w:ascii="宋体" w:hAnsi="宋体" w:eastAsia="宋体" w:cs="Times New Roman"/>
          <w:sz w:val="24"/>
        </w:rPr>
        <w:t>（四）</w:t>
      </w:r>
      <w:r>
        <w:rPr>
          <w:rFonts w:ascii="宋体" w:hAnsi="宋体" w:eastAsia="宋体" w:cs="Times New Roman"/>
          <w:sz w:val="24"/>
        </w:rPr>
        <w:t>课程目标达成度计算方法</w:t>
      </w:r>
    </w:p>
    <w:p w14:paraId="7A766E5C">
      <w:pPr>
        <w:spacing w:line="360" w:lineRule="auto"/>
        <w:ind w:firstLine="480"/>
        <w:rPr>
          <w:rFonts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00C15971">
      <w:pPr>
        <w:spacing w:line="360" w:lineRule="auto"/>
        <w:rPr>
          <w:rFonts w:ascii="宋体" w:hAnsi="宋体" w:eastAsia="宋体" w:cs="Times New Roman"/>
          <w:b/>
          <w:sz w:val="28"/>
          <w:szCs w:val="28"/>
        </w:rPr>
      </w:pPr>
      <w:r>
        <w:rPr>
          <w:rFonts w:ascii="宋体" w:hAnsi="宋体" w:eastAsia="宋体" w:cs="Times New Roman"/>
          <w:sz w:val="24"/>
        </w:rPr>
        <w:drawing>
          <wp:inline distT="0" distB="0" distL="0" distR="0">
            <wp:extent cx="5274310" cy="335915"/>
            <wp:effectExtent l="0" t="0" r="2540" b="6985"/>
            <wp:docPr id="3009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2133"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35915"/>
                    </a:xfrm>
                    <a:prstGeom prst="rect">
                      <a:avLst/>
                    </a:prstGeom>
                    <a:noFill/>
                    <a:ln>
                      <a:noFill/>
                    </a:ln>
                  </pic:spPr>
                </pic:pic>
              </a:graphicData>
            </a:graphic>
          </wp:inline>
        </w:drawing>
      </w:r>
    </w:p>
    <w:p w14:paraId="2AD6F8BE">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七</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12E79C11">
      <w:pPr>
        <w:spacing w:line="360" w:lineRule="auto"/>
        <w:ind w:firstLine="482" w:firstLineChars="200"/>
        <w:rPr>
          <w:rFonts w:ascii="宋体" w:hAnsi="宋体" w:eastAsia="宋体" w:cs="Times New Roman"/>
          <w:b/>
          <w:sz w:val="24"/>
        </w:rPr>
      </w:pPr>
      <w:r>
        <w:rPr>
          <w:rFonts w:hint="eastAsia" w:ascii="宋体" w:hAnsi="宋体" w:eastAsia="宋体" w:cs="Times New Roman"/>
          <w:b/>
          <w:sz w:val="24"/>
        </w:rPr>
        <w:t>（一）持续改进</w:t>
      </w:r>
    </w:p>
    <w:p w14:paraId="0308493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 提倡改革教学方法，强调应用现代化教学手段，如课件、互联网教学和网络答疑。</w:t>
      </w:r>
    </w:p>
    <w:p w14:paraId="23D3FA3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合理安排教学课时，加强课堂提问、小组讨论等旨在督促学生自主学习的教学环节</w:t>
      </w:r>
      <w:r>
        <w:rPr>
          <w:rFonts w:hint="eastAsia" w:ascii="Times New Roman" w:hAnsi="Times New Roman" w:eastAsia="宋体" w:cs="Times New Roman"/>
          <w:sz w:val="24"/>
          <w:szCs w:val="24"/>
        </w:rPr>
        <w:t>，完成理论学习。到小学</w:t>
      </w:r>
      <w:r>
        <w:rPr>
          <w:rFonts w:ascii="Times New Roman" w:hAnsi="Times New Roman" w:eastAsia="宋体" w:cs="Times New Roman"/>
          <w:sz w:val="24"/>
          <w:szCs w:val="24"/>
        </w:rPr>
        <w:t>观摩语文教学</w:t>
      </w:r>
      <w:r>
        <w:rPr>
          <w:rFonts w:hint="eastAsia" w:ascii="Times New Roman" w:hAnsi="Times New Roman" w:eastAsia="宋体" w:cs="Times New Roman"/>
          <w:sz w:val="24"/>
          <w:szCs w:val="24"/>
        </w:rPr>
        <w:t>，</w:t>
      </w:r>
      <w:r>
        <w:rPr>
          <w:rFonts w:ascii="Times New Roman" w:hAnsi="Times New Roman" w:eastAsia="宋体" w:cs="Times New Roman"/>
          <w:sz w:val="24"/>
          <w:szCs w:val="24"/>
        </w:rPr>
        <w:t>模拟教学完成</w:t>
      </w:r>
      <w:r>
        <w:rPr>
          <w:rFonts w:hint="eastAsia" w:ascii="Times New Roman" w:hAnsi="Times New Roman" w:eastAsia="宋体" w:cs="Times New Roman"/>
          <w:sz w:val="24"/>
          <w:szCs w:val="24"/>
        </w:rPr>
        <w:t>实践</w:t>
      </w:r>
      <w:r>
        <w:rPr>
          <w:rFonts w:ascii="Times New Roman" w:hAnsi="Times New Roman" w:eastAsia="宋体" w:cs="Times New Roman"/>
          <w:sz w:val="24"/>
          <w:szCs w:val="24"/>
        </w:rPr>
        <w:t>能力培养。</w:t>
      </w:r>
    </w:p>
    <w:p w14:paraId="094F134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3．教学内容密切联系</w:t>
      </w:r>
      <w:r>
        <w:rPr>
          <w:rFonts w:hint="eastAsia" w:ascii="Times New Roman" w:hAnsi="Times New Roman" w:eastAsia="宋体" w:cs="Times New Roman"/>
          <w:sz w:val="24"/>
          <w:szCs w:val="24"/>
        </w:rPr>
        <w:t>当前</w:t>
      </w:r>
      <w:r>
        <w:rPr>
          <w:rFonts w:ascii="Times New Roman" w:hAnsi="Times New Roman" w:eastAsia="宋体" w:cs="Times New Roman"/>
          <w:sz w:val="24"/>
          <w:szCs w:val="24"/>
        </w:rPr>
        <w:t>的社会热点。</w:t>
      </w:r>
    </w:p>
    <w:p w14:paraId="417E2D23">
      <w:pPr>
        <w:spacing w:line="360" w:lineRule="auto"/>
        <w:ind w:firstLine="480" w:firstLineChars="200"/>
        <w:rPr>
          <w:rFonts w:hint="eastAsia" w:ascii="宋体" w:hAnsi="宋体" w:eastAsia="宋体" w:cs="Times New Roman"/>
          <w:sz w:val="24"/>
        </w:rPr>
      </w:pPr>
    </w:p>
    <w:p w14:paraId="6273AAE3">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执笔人：</w:t>
      </w:r>
      <w:r>
        <w:rPr>
          <w:rFonts w:hint="eastAsia" w:ascii="宋体" w:hAnsi="宋体" w:eastAsia="宋体" w:cs="Times New Roman"/>
          <w:kern w:val="0"/>
          <w:sz w:val="24"/>
          <w:szCs w:val="21"/>
        </w:rPr>
        <w:t>周冬梅</w:t>
      </w:r>
    </w:p>
    <w:p w14:paraId="44DBBF16">
      <w:pPr>
        <w:autoSpaceDE w:val="0"/>
        <w:autoSpaceDN w:val="0"/>
        <w:adjustRightInd w:val="0"/>
        <w:spacing w:line="360" w:lineRule="auto"/>
        <w:ind w:firstLine="5280" w:firstLineChars="2200"/>
        <w:jc w:val="left"/>
        <w:rPr>
          <w:rFonts w:ascii="宋体" w:hAnsi="宋体" w:eastAsia="宋体" w:cs="Times New Roman"/>
          <w:kern w:val="0"/>
          <w:sz w:val="24"/>
          <w:szCs w:val="21"/>
        </w:rPr>
      </w:pPr>
      <w:r>
        <w:rPr>
          <w:rFonts w:ascii="宋体" w:hAnsi="宋体" w:eastAsia="宋体" w:cs="Times New Roman"/>
          <w:kern w:val="0"/>
          <w:sz w:val="24"/>
          <w:szCs w:val="21"/>
        </w:rPr>
        <w:t>审定人：</w:t>
      </w:r>
      <w:r>
        <w:rPr>
          <w:rFonts w:hint="eastAsia" w:ascii="宋体" w:hAnsi="宋体" w:eastAsia="宋体" w:cs="Times New Roman"/>
          <w:kern w:val="0"/>
          <w:sz w:val="24"/>
          <w:szCs w:val="21"/>
        </w:rPr>
        <w:t>王  健</w:t>
      </w:r>
      <w:r>
        <w:rPr>
          <w:rFonts w:ascii="宋体" w:hAnsi="宋体" w:eastAsia="宋体" w:cs="Times New Roman"/>
          <w:kern w:val="0"/>
          <w:sz w:val="24"/>
          <w:szCs w:val="21"/>
        </w:rPr>
        <w:t xml:space="preserve"> </w:t>
      </w:r>
    </w:p>
    <w:p w14:paraId="330F377A">
      <w:pPr>
        <w:autoSpaceDE w:val="0"/>
        <w:autoSpaceDN w:val="0"/>
        <w:adjustRightInd w:val="0"/>
        <w:spacing w:line="360" w:lineRule="auto"/>
        <w:ind w:firstLine="5280" w:firstLineChars="2200"/>
        <w:jc w:val="left"/>
        <w:rPr>
          <w:rFonts w:ascii="宋体" w:hAnsi="宋体" w:eastAsia="宋体" w:cs="Times New Roman"/>
          <w:color w:val="FF0000"/>
          <w:kern w:val="0"/>
          <w:sz w:val="24"/>
          <w:szCs w:val="21"/>
        </w:rPr>
      </w:pPr>
      <w:r>
        <w:rPr>
          <w:rFonts w:hint="eastAsia" w:ascii="宋体" w:hAnsi="宋体" w:eastAsia="宋体" w:cs="Times New Roman"/>
          <w:kern w:val="0"/>
          <w:sz w:val="24"/>
          <w:szCs w:val="21"/>
        </w:rPr>
        <w:t>审批</w:t>
      </w:r>
      <w:r>
        <w:rPr>
          <w:rFonts w:ascii="宋体" w:hAnsi="宋体" w:eastAsia="宋体" w:cs="Times New Roman"/>
          <w:kern w:val="0"/>
          <w:sz w:val="24"/>
          <w:szCs w:val="21"/>
        </w:rPr>
        <w:t>人：</w:t>
      </w:r>
      <w:r>
        <w:rPr>
          <w:rFonts w:hint="eastAsia" w:ascii="宋体" w:hAnsi="宋体" w:eastAsia="宋体" w:cs="Times New Roman"/>
          <w:kern w:val="0"/>
          <w:sz w:val="24"/>
          <w:szCs w:val="21"/>
        </w:rPr>
        <w:t>张志欣</w:t>
      </w:r>
    </w:p>
    <w:p w14:paraId="3E03D398">
      <w:pPr>
        <w:adjustRightInd w:val="0"/>
        <w:snapToGrid w:val="0"/>
        <w:spacing w:line="360" w:lineRule="auto"/>
        <w:ind w:firstLine="5040" w:firstLineChars="2100"/>
        <w:rPr>
          <w:rFonts w:ascii="宋体" w:hAnsi="宋体" w:eastAsia="宋体" w:cs="Times New Roman"/>
          <w:color w:val="000000"/>
          <w:sz w:val="24"/>
          <w:szCs w:val="24"/>
        </w:rPr>
      </w:pPr>
      <w:r>
        <w:rPr>
          <w:rFonts w:hint="eastAsia" w:ascii="宋体" w:hAnsi="宋体" w:eastAsia="宋体" w:cs="Times New Roman"/>
          <w:kern w:val="0"/>
          <w:sz w:val="24"/>
          <w:szCs w:val="21"/>
        </w:rPr>
        <w:t>批准时间：202</w:t>
      </w: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rPr>
        <w:t>年8月30日</w:t>
      </w:r>
    </w:p>
    <w:p w14:paraId="5189C711">
      <w:pPr>
        <w:widowControl/>
        <w:jc w:val="left"/>
        <w:rPr>
          <w:rFonts w:ascii="宋体" w:hAnsi="宋体" w:eastAsia="宋体" w:cs="Times New Roman"/>
          <w:color w:val="000000"/>
          <w:sz w:val="24"/>
          <w:szCs w:val="24"/>
        </w:rPr>
      </w:pPr>
    </w:p>
    <w:p w14:paraId="55F4B28A">
      <w:pPr>
        <w:widowControl/>
        <w:jc w:val="left"/>
        <w:rPr>
          <w:rFonts w:ascii="宋体" w:hAnsi="宋体" w:eastAsia="宋体" w:cs="Times New Roman"/>
          <w:color w:val="000000"/>
          <w:sz w:val="24"/>
          <w:szCs w:val="24"/>
        </w:rPr>
      </w:pPr>
    </w:p>
    <w:p w14:paraId="5AA75AF1">
      <w:pPr>
        <w:widowControl/>
        <w:jc w:val="left"/>
        <w:rPr>
          <w:rFonts w:ascii="宋体" w:hAnsi="宋体" w:eastAsia="宋体" w:cs="Times New Roman"/>
          <w:color w:val="000000"/>
          <w:sz w:val="24"/>
          <w:szCs w:val="24"/>
        </w:rPr>
      </w:pPr>
    </w:p>
    <w:p w14:paraId="6656720C">
      <w:pPr>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5510065F">
      <w:pPr>
        <w:snapToGrid w:val="0"/>
        <w:spacing w:line="360" w:lineRule="auto"/>
        <w:jc w:val="center"/>
        <w:outlineLvl w:val="1"/>
        <w:rPr>
          <w:rFonts w:ascii="宋体" w:hAnsi="宋体" w:eastAsia="宋体" w:cs="Times New Roman"/>
          <w:b/>
          <w:bCs/>
          <w:sz w:val="30"/>
          <w:szCs w:val="30"/>
        </w:rPr>
      </w:pPr>
      <w:r>
        <w:rPr>
          <w:rFonts w:hint="eastAsia" w:ascii="宋体" w:hAnsi="宋体" w:eastAsia="宋体" w:cs="Times New Roman"/>
          <w:b/>
          <w:bCs/>
          <w:sz w:val="30"/>
          <w:szCs w:val="30"/>
        </w:rPr>
        <w:t>教学实训课程</w:t>
      </w:r>
      <w:r>
        <w:rPr>
          <w:rFonts w:ascii="宋体" w:hAnsi="宋体" w:eastAsia="宋体" w:cs="Times New Roman"/>
          <w:b/>
          <w:bCs/>
          <w:sz w:val="30"/>
          <w:szCs w:val="30"/>
        </w:rPr>
        <w:t>教学大纲</w:t>
      </w:r>
    </w:p>
    <w:p w14:paraId="097712EF">
      <w:pPr>
        <w:snapToGrid w:val="0"/>
        <w:spacing w:line="360" w:lineRule="auto"/>
        <w:jc w:val="center"/>
        <w:rPr>
          <w:rFonts w:ascii="Times New Roman" w:hAnsi="Times New Roman" w:eastAsia="宋体" w:cs="Times New Roman"/>
          <w:b/>
          <w:bCs/>
          <w:sz w:val="30"/>
          <w:szCs w:val="30"/>
        </w:rPr>
      </w:pPr>
      <w:r>
        <w:rPr>
          <w:rFonts w:ascii="Times New Roman" w:hAnsi="Times New Roman" w:eastAsia="宋体" w:cs="Times New Roman"/>
          <w:b/>
          <w:bCs/>
          <w:sz w:val="30"/>
          <w:szCs w:val="30"/>
        </w:rPr>
        <w:t>（Teaching Practice）</w:t>
      </w:r>
    </w:p>
    <w:p w14:paraId="157ECFAF">
      <w:pPr>
        <w:snapToGrid w:val="0"/>
        <w:spacing w:line="360" w:lineRule="auto"/>
        <w:jc w:val="center"/>
        <w:rPr>
          <w:rFonts w:ascii="Times New Roman" w:hAnsi="Times New Roman" w:eastAsia="宋体" w:cs="Times New Roman"/>
          <w:sz w:val="30"/>
          <w:szCs w:val="30"/>
        </w:rPr>
      </w:pPr>
    </w:p>
    <w:p w14:paraId="46EC85FF">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一、课程概况</w:t>
      </w:r>
    </w:p>
    <w:p w14:paraId="4F47E672">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w:t>
      </w:r>
      <w:r>
        <w:rPr>
          <w:rFonts w:ascii="宋体" w:hAnsi="宋体" w:eastAsia="宋体" w:cs="Times New Roman"/>
          <w:b/>
          <w:color w:val="000000"/>
          <w:kern w:val="0"/>
          <w:sz w:val="24"/>
          <w:szCs w:val="24"/>
        </w:rPr>
        <w:t>2401067</w:t>
      </w:r>
    </w:p>
    <w:p w14:paraId="1939C58F">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ascii="宋体" w:hAnsi="宋体" w:eastAsia="宋体" w:cs="Times New Roman"/>
          <w:color w:val="000000"/>
          <w:kern w:val="0"/>
          <w:sz w:val="24"/>
          <w:szCs w:val="24"/>
        </w:rPr>
        <w:t>1</w:t>
      </w:r>
    </w:p>
    <w:p w14:paraId="3D1B59E2">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ascii="宋体" w:hAnsi="宋体" w:eastAsia="宋体" w:cs="Times New Roman"/>
          <w:b/>
          <w:bCs/>
          <w:color w:val="000000"/>
          <w:kern w:val="0"/>
          <w:sz w:val="24"/>
          <w:szCs w:val="24"/>
        </w:rPr>
        <w:t>2</w:t>
      </w:r>
      <w:r>
        <w:rPr>
          <w:rFonts w:hint="eastAsia" w:ascii="宋体" w:hAnsi="宋体" w:eastAsia="宋体" w:cs="Times New Roman"/>
          <w:b/>
          <w:bCs/>
          <w:color w:val="000000"/>
          <w:kern w:val="0"/>
          <w:sz w:val="24"/>
          <w:szCs w:val="24"/>
        </w:rPr>
        <w:t>周</w:t>
      </w:r>
    </w:p>
    <w:p w14:paraId="1D16DCC8">
      <w:pPr>
        <w:snapToGrid w:val="0"/>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color w:val="000000"/>
          <w:kern w:val="0"/>
          <w:sz w:val="24"/>
          <w:szCs w:val="24"/>
        </w:rPr>
        <w:t>小学心理学、教育原理、书写技能、普通话训练指导、课程与教学论、认知实习、教育见习Ⅰ、教育见习Ⅱ等。</w:t>
      </w:r>
    </w:p>
    <w:p w14:paraId="7B77D3EA">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47B0EB6B">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教学实训手册（自编）</w:t>
      </w:r>
    </w:p>
    <w:p w14:paraId="2583EEA0">
      <w:pPr>
        <w:snapToGrid w:val="0"/>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095CB2B8">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kern w:val="0"/>
          <w:sz w:val="24"/>
          <w:szCs w:val="24"/>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1FB214B7">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20E8DDC">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目标1.具备依据课程标准理念进行教学设计的能力，能够独立完成教学方案和说课稿。</w:t>
      </w:r>
    </w:p>
    <w:p w14:paraId="58268139">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目标2.能够依据说课稿和教学方案进行说课和课堂教学，基本掌握说课与课堂教学的基本流程，形成基本的说课与课堂教学技能。</w:t>
      </w:r>
    </w:p>
    <w:p w14:paraId="5FE649BF">
      <w:pPr>
        <w:snapToGrid w:val="0"/>
        <w:spacing w:line="360" w:lineRule="auto"/>
        <w:ind w:firstLine="480" w:firstLineChars="200"/>
        <w:rPr>
          <w:rFonts w:ascii="宋体" w:hAnsi="宋体" w:eastAsia="宋体" w:cs="Times New Roman"/>
          <w:b/>
          <w:bCs/>
          <w:color w:val="000000"/>
          <w:sz w:val="24"/>
          <w:szCs w:val="24"/>
        </w:rPr>
      </w:pPr>
      <w:r>
        <w:rPr>
          <w:rFonts w:hint="eastAsia" w:ascii="宋体" w:hAnsi="宋体" w:eastAsia="宋体" w:cs="Times New Roman"/>
          <w:color w:val="000000"/>
          <w:sz w:val="24"/>
          <w:szCs w:val="24"/>
        </w:rPr>
        <w:t>目标3.能对自己的说课与课堂教学进行正确的评价并作出相应的改进，以提升自己的教学能力。</w:t>
      </w:r>
    </w:p>
    <w:p w14:paraId="478ADC06">
      <w:pPr>
        <w:snapToGrid w:val="0"/>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70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86"/>
        <w:gridCol w:w="1324"/>
        <w:gridCol w:w="7019"/>
      </w:tblGrid>
      <w:tr w14:paraId="38B57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tblHeader/>
          <w:jc w:val="center"/>
        </w:trPr>
        <w:tc>
          <w:tcPr>
            <w:tcW w:w="712" w:type="pct"/>
            <w:tcBorders>
              <w:top w:val="single" w:color="000000" w:sz="8" w:space="0"/>
            </w:tcBorders>
            <w:vAlign w:val="center"/>
          </w:tcPr>
          <w:p w14:paraId="526FD6B4">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680" w:type="pct"/>
            <w:tcBorders>
              <w:top w:val="single" w:color="000000" w:sz="8" w:space="0"/>
            </w:tcBorders>
            <w:vAlign w:val="center"/>
          </w:tcPr>
          <w:p w14:paraId="35ADA244">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606" w:type="pct"/>
            <w:tcBorders>
              <w:top w:val="single" w:color="000000" w:sz="8" w:space="0"/>
              <w:right w:val="single" w:color="000000" w:sz="8" w:space="0"/>
            </w:tcBorders>
            <w:vAlign w:val="center"/>
          </w:tcPr>
          <w:p w14:paraId="6F9633D4">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3EA251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1" w:hRule="atLeast"/>
          <w:jc w:val="center"/>
        </w:trPr>
        <w:tc>
          <w:tcPr>
            <w:tcW w:w="712" w:type="pct"/>
            <w:vMerge w:val="restart"/>
            <w:vAlign w:val="center"/>
          </w:tcPr>
          <w:p w14:paraId="611588AA">
            <w:pPr>
              <w:widowControl/>
              <w:snapToGrid w:val="0"/>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680" w:type="pct"/>
            <w:vAlign w:val="center"/>
          </w:tcPr>
          <w:p w14:paraId="19D0D528">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p>
          <w:p w14:paraId="3051356F">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6" w:type="pct"/>
            <w:tcBorders>
              <w:right w:val="single" w:color="000000" w:sz="8" w:space="0"/>
            </w:tcBorders>
            <w:vAlign w:val="center"/>
          </w:tcPr>
          <w:p w14:paraId="57564D25">
            <w:pPr>
              <w:widowControl/>
              <w:snapToGrid w:val="0"/>
              <w:rPr>
                <w:rFonts w:ascii="宋体" w:hAnsi="宋体" w:eastAsia="宋体" w:cs="Times New Roman"/>
                <w:color w:val="000000"/>
                <w:szCs w:val="21"/>
              </w:rPr>
            </w:pPr>
            <w:r>
              <w:rPr>
                <w:rFonts w:ascii="宋体" w:hAnsi="宋体" w:eastAsia="宋体" w:cs="Times New Roman"/>
                <w:color w:val="000000"/>
                <w:szCs w:val="21"/>
              </w:rPr>
              <w:t>3-2：具有学科专业能力，掌握主教学科的基本知识、原理和技能。熟悉兼教学科的知识体系，掌握兼教学科的基本知识、原理和技能。</w:t>
            </w:r>
          </w:p>
        </w:tc>
      </w:tr>
      <w:tr w14:paraId="191A4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725BF6DD">
            <w:pPr>
              <w:snapToGrid w:val="0"/>
              <w:rPr>
                <w:rFonts w:ascii="宋体" w:hAnsi="宋体" w:eastAsia="宋体" w:cs="Times New Roman"/>
                <w:color w:val="000000"/>
                <w:szCs w:val="21"/>
              </w:rPr>
            </w:pPr>
          </w:p>
        </w:tc>
        <w:tc>
          <w:tcPr>
            <w:tcW w:w="680" w:type="pct"/>
            <w:vMerge w:val="restart"/>
            <w:vAlign w:val="center"/>
          </w:tcPr>
          <w:p w14:paraId="332957BF">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4</w:t>
            </w:r>
          </w:p>
          <w:p w14:paraId="5BB433D6">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6" w:type="pct"/>
            <w:tcBorders>
              <w:right w:val="single" w:color="000000" w:sz="8" w:space="0"/>
            </w:tcBorders>
            <w:vAlign w:val="center"/>
          </w:tcPr>
          <w:p w14:paraId="0F67773A">
            <w:pPr>
              <w:snapToGrid w:val="0"/>
              <w:rPr>
                <w:rFonts w:ascii="宋体" w:hAnsi="宋体" w:eastAsia="宋体" w:cs="Times New Roman"/>
                <w:color w:val="000000"/>
                <w:kern w:val="0"/>
                <w:szCs w:val="21"/>
              </w:rPr>
            </w:pPr>
            <w:r>
              <w:rPr>
                <w:rFonts w:ascii="宋体" w:hAnsi="宋体" w:eastAsia="宋体" w:cs="Times New Roman"/>
                <w:color w:val="000000"/>
                <w:kern w:val="0"/>
                <w:szCs w:val="21"/>
              </w:rPr>
              <w:t>4-1：掌握教育教学基本理论知识，熟悉所教学科课程标准和教材、教学内容，具有一定的教材解读能力，具有依据课标进行教学的意识和习惯。</w:t>
            </w:r>
          </w:p>
        </w:tc>
      </w:tr>
      <w:tr w14:paraId="3323F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6BDE3B59">
            <w:pPr>
              <w:widowControl/>
              <w:snapToGrid w:val="0"/>
              <w:spacing w:line="360" w:lineRule="auto"/>
              <w:rPr>
                <w:rFonts w:ascii="宋体" w:hAnsi="宋体" w:eastAsia="宋体" w:cs="Times New Roman"/>
                <w:color w:val="000000"/>
                <w:szCs w:val="21"/>
              </w:rPr>
            </w:pPr>
          </w:p>
        </w:tc>
        <w:tc>
          <w:tcPr>
            <w:tcW w:w="680" w:type="pct"/>
            <w:vMerge w:val="continue"/>
            <w:vAlign w:val="center"/>
          </w:tcPr>
          <w:p w14:paraId="59C774B8">
            <w:pPr>
              <w:snapToGrid w:val="0"/>
              <w:spacing w:line="360" w:lineRule="auto"/>
              <w:jc w:val="left"/>
              <w:rPr>
                <w:rFonts w:ascii="宋体" w:hAnsi="宋体" w:eastAsia="宋体" w:cs="Times New Roman"/>
                <w:color w:val="000000"/>
                <w:kern w:val="0"/>
                <w:szCs w:val="21"/>
              </w:rPr>
            </w:pPr>
          </w:p>
        </w:tc>
        <w:tc>
          <w:tcPr>
            <w:tcW w:w="3606" w:type="pct"/>
            <w:tcBorders>
              <w:right w:val="single" w:color="000000" w:sz="8" w:space="0"/>
            </w:tcBorders>
            <w:vAlign w:val="center"/>
          </w:tcPr>
          <w:p w14:paraId="7277488E">
            <w:pPr>
              <w:snapToGrid w:val="0"/>
              <w:rPr>
                <w:rFonts w:ascii="宋体" w:hAnsi="宋体" w:eastAsia="宋体" w:cs="Times New Roman"/>
                <w:color w:val="000000"/>
                <w:kern w:val="0"/>
                <w:szCs w:val="21"/>
              </w:rPr>
            </w:pPr>
            <w:r>
              <w:rPr>
                <w:rFonts w:ascii="宋体" w:hAnsi="宋体" w:eastAsia="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14:paraId="728A6C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restart"/>
            <w:vAlign w:val="center"/>
          </w:tcPr>
          <w:p w14:paraId="4964C0F0">
            <w:pPr>
              <w:widowControl/>
              <w:snapToGrid w:val="0"/>
              <w:spacing w:line="360" w:lineRule="auto"/>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680" w:type="pct"/>
            <w:vAlign w:val="center"/>
          </w:tcPr>
          <w:p w14:paraId="3E953024">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p>
          <w:p w14:paraId="51CC0DBA">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6" w:type="pct"/>
            <w:tcBorders>
              <w:right w:val="single" w:color="000000" w:sz="8" w:space="0"/>
            </w:tcBorders>
            <w:vAlign w:val="center"/>
          </w:tcPr>
          <w:p w14:paraId="32B7BDC4">
            <w:pPr>
              <w:snapToGrid w:val="0"/>
              <w:rPr>
                <w:rFonts w:ascii="宋体" w:hAnsi="宋体" w:eastAsia="宋体" w:cs="Times New Roman"/>
                <w:color w:val="000000"/>
                <w:kern w:val="0"/>
                <w:szCs w:val="21"/>
              </w:rPr>
            </w:pPr>
            <w:r>
              <w:rPr>
                <w:rFonts w:hint="eastAsia" w:ascii="宋体" w:hAnsi="宋体" w:eastAsia="宋体" w:cs="Times New Roman"/>
                <w:color w:val="000000"/>
                <w:kern w:val="0"/>
                <w:szCs w:val="21"/>
              </w:rPr>
              <w:t>3-2：具有学科专业能力，掌握主教学科的基本知识、原理和技能。熟悉兼教学科的知识体系，掌握兼教学科的基本知识、原理和技能。</w:t>
            </w:r>
          </w:p>
        </w:tc>
      </w:tr>
      <w:tr w14:paraId="131E32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0F36C64C">
            <w:pPr>
              <w:widowControl/>
              <w:snapToGrid w:val="0"/>
              <w:spacing w:line="360" w:lineRule="auto"/>
              <w:rPr>
                <w:rFonts w:ascii="宋体" w:hAnsi="宋体" w:eastAsia="宋体" w:cs="Times New Roman"/>
                <w:color w:val="000000"/>
                <w:szCs w:val="21"/>
              </w:rPr>
            </w:pPr>
          </w:p>
        </w:tc>
        <w:tc>
          <w:tcPr>
            <w:tcW w:w="680" w:type="pct"/>
            <w:vMerge w:val="restart"/>
            <w:vAlign w:val="center"/>
          </w:tcPr>
          <w:p w14:paraId="31B5AD06">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毕业要求4</w:t>
            </w:r>
          </w:p>
          <w:p w14:paraId="642196A0">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6" w:type="pct"/>
            <w:tcBorders>
              <w:right w:val="single" w:color="000000" w:sz="8" w:space="0"/>
            </w:tcBorders>
            <w:vAlign w:val="center"/>
          </w:tcPr>
          <w:p w14:paraId="29AF9936">
            <w:pPr>
              <w:snapToGrid w:val="0"/>
              <w:rPr>
                <w:rFonts w:ascii="宋体" w:hAnsi="宋体" w:eastAsia="宋体" w:cs="Times New Roman"/>
                <w:color w:val="000000"/>
                <w:kern w:val="0"/>
                <w:szCs w:val="21"/>
              </w:rPr>
            </w:pPr>
            <w:r>
              <w:rPr>
                <w:rFonts w:ascii="宋体" w:hAnsi="宋体" w:eastAsia="宋体" w:cs="Times New Roman"/>
                <w:color w:val="000000"/>
                <w:kern w:val="0"/>
                <w:szCs w:val="21"/>
              </w:rPr>
              <w:t>4-1：掌握教育教学基本理论知识，熟悉所教学科课程标准和教材、教学内容，具有一定的教材解读能力，具有依据课标进行教学的意识和习惯。</w:t>
            </w:r>
          </w:p>
        </w:tc>
      </w:tr>
      <w:tr w14:paraId="50BD85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7D38D2AC">
            <w:pPr>
              <w:widowControl/>
              <w:snapToGrid w:val="0"/>
              <w:spacing w:line="360" w:lineRule="auto"/>
              <w:rPr>
                <w:rFonts w:ascii="宋体" w:hAnsi="宋体" w:eastAsia="宋体" w:cs="Times New Roman"/>
                <w:color w:val="000000"/>
                <w:szCs w:val="21"/>
              </w:rPr>
            </w:pPr>
          </w:p>
        </w:tc>
        <w:tc>
          <w:tcPr>
            <w:tcW w:w="680" w:type="pct"/>
            <w:vMerge w:val="continue"/>
            <w:vAlign w:val="center"/>
          </w:tcPr>
          <w:p w14:paraId="76A1B1C6">
            <w:pPr>
              <w:snapToGrid w:val="0"/>
              <w:jc w:val="left"/>
              <w:rPr>
                <w:rFonts w:ascii="宋体" w:hAnsi="宋体" w:eastAsia="宋体" w:cs="Times New Roman"/>
                <w:color w:val="000000"/>
                <w:kern w:val="0"/>
                <w:szCs w:val="21"/>
              </w:rPr>
            </w:pPr>
          </w:p>
        </w:tc>
        <w:tc>
          <w:tcPr>
            <w:tcW w:w="3606" w:type="pct"/>
            <w:tcBorders>
              <w:right w:val="single" w:color="000000" w:sz="8" w:space="0"/>
            </w:tcBorders>
            <w:vAlign w:val="center"/>
          </w:tcPr>
          <w:p w14:paraId="4CB3B6F1">
            <w:pPr>
              <w:snapToGrid w:val="0"/>
              <w:rPr>
                <w:rFonts w:ascii="宋体" w:hAnsi="宋体" w:eastAsia="宋体" w:cs="Times New Roman"/>
                <w:color w:val="000000"/>
                <w:kern w:val="0"/>
                <w:szCs w:val="21"/>
              </w:rPr>
            </w:pPr>
            <w:r>
              <w:rPr>
                <w:rFonts w:ascii="宋体" w:hAnsi="宋体" w:eastAsia="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14:paraId="730EEC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6" w:hRule="atLeast"/>
          <w:jc w:val="center"/>
        </w:trPr>
        <w:tc>
          <w:tcPr>
            <w:tcW w:w="712" w:type="pct"/>
            <w:vAlign w:val="center"/>
          </w:tcPr>
          <w:p w14:paraId="08A4B7E6">
            <w:pPr>
              <w:snapToGrid w:val="0"/>
              <w:spacing w:line="360" w:lineRule="auto"/>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c>
          <w:tcPr>
            <w:tcW w:w="680" w:type="pct"/>
            <w:vAlign w:val="center"/>
          </w:tcPr>
          <w:p w14:paraId="5ADFA568">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w:t>
            </w:r>
          </w:p>
          <w:p w14:paraId="0E17F8E6">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学会反思</w:t>
            </w:r>
          </w:p>
        </w:tc>
        <w:tc>
          <w:tcPr>
            <w:tcW w:w="3606" w:type="pct"/>
            <w:tcBorders>
              <w:top w:val="single" w:color="auto" w:sz="4" w:space="0"/>
              <w:right w:val="single" w:color="000000" w:sz="8" w:space="0"/>
            </w:tcBorders>
            <w:vAlign w:val="center"/>
          </w:tcPr>
          <w:p w14:paraId="1A62D2AE">
            <w:pPr>
              <w:snapToGrid w:val="0"/>
              <w:rPr>
                <w:rFonts w:ascii="宋体" w:hAnsi="宋体" w:eastAsia="宋体" w:cs="Times New Roman"/>
                <w:color w:val="000000"/>
                <w:szCs w:val="21"/>
              </w:rPr>
            </w:pPr>
            <w:r>
              <w:rPr>
                <w:rFonts w:hint="eastAsia" w:ascii="宋体" w:hAnsi="宋体" w:eastAsia="宋体" w:cs="Times New Roman"/>
                <w:color w:val="000000"/>
                <w:szCs w:val="21"/>
              </w:rPr>
              <w:t>7-3：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30AA08B2">
      <w:pPr>
        <w:snapToGrid w:val="0"/>
        <w:spacing w:line="360" w:lineRule="auto"/>
        <w:rPr>
          <w:rFonts w:ascii="宋体" w:hAnsi="宋体" w:eastAsia="宋体" w:cs="Times New Roman"/>
          <w:b/>
          <w:color w:val="000000"/>
          <w:sz w:val="24"/>
          <w:szCs w:val="24"/>
        </w:rPr>
      </w:pPr>
    </w:p>
    <w:p w14:paraId="6DE1AA6A">
      <w:pPr>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三、课程内容与要求</w:t>
      </w:r>
    </w:p>
    <w:p w14:paraId="2C20E0C5">
      <w:pPr>
        <w:snapToGrid w:val="0"/>
        <w:spacing w:line="360" w:lineRule="auto"/>
        <w:rPr>
          <w:rFonts w:ascii="宋体" w:hAnsi="宋体" w:eastAsia="宋体" w:cs="Times New Roman"/>
          <w:bCs/>
          <w:sz w:val="24"/>
          <w:szCs w:val="24"/>
        </w:rPr>
      </w:pPr>
      <w:r>
        <w:rPr>
          <w:rFonts w:hint="eastAsia" w:ascii="宋体" w:hAnsi="宋体" w:eastAsia="宋体" w:cs="Times New Roman"/>
          <w:bCs/>
          <w:sz w:val="24"/>
          <w:szCs w:val="24"/>
        </w:rPr>
        <w:t>（一）课程内容与组织方式</w:t>
      </w:r>
    </w:p>
    <w:tbl>
      <w:tblPr>
        <w:tblStyle w:val="31"/>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773"/>
        <w:gridCol w:w="1276"/>
        <w:gridCol w:w="1134"/>
        <w:gridCol w:w="1701"/>
        <w:gridCol w:w="1417"/>
      </w:tblGrid>
      <w:tr w14:paraId="1C11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1D280451">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实训任务</w:t>
            </w:r>
          </w:p>
        </w:tc>
        <w:tc>
          <w:tcPr>
            <w:tcW w:w="1773" w:type="dxa"/>
            <w:vAlign w:val="center"/>
          </w:tcPr>
          <w:p w14:paraId="1CEF4719">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主要内容</w:t>
            </w:r>
          </w:p>
        </w:tc>
        <w:tc>
          <w:tcPr>
            <w:tcW w:w="1276" w:type="dxa"/>
            <w:vAlign w:val="center"/>
          </w:tcPr>
          <w:p w14:paraId="3D833B4E">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组织方式</w:t>
            </w:r>
          </w:p>
        </w:tc>
        <w:tc>
          <w:tcPr>
            <w:tcW w:w="1134" w:type="dxa"/>
            <w:vAlign w:val="center"/>
          </w:tcPr>
          <w:p w14:paraId="79CDFEFE">
            <w:pPr>
              <w:snapToGrid w:val="0"/>
              <w:spacing w:line="276" w:lineRule="auto"/>
              <w:jc w:val="center"/>
              <w:rPr>
                <w:rFonts w:ascii="宋体" w:hAnsi="宋体" w:eastAsia="宋体" w:cs="Times New Roman"/>
                <w:b/>
                <w:spacing w:val="-20"/>
                <w:szCs w:val="21"/>
              </w:rPr>
            </w:pPr>
            <w:r>
              <w:rPr>
                <w:rFonts w:hint="eastAsia" w:ascii="宋体" w:hAnsi="宋体" w:eastAsia="宋体" w:cs="Times New Roman"/>
                <w:b/>
                <w:spacing w:val="-20"/>
                <w:szCs w:val="21"/>
              </w:rPr>
              <w:t>时间要求</w:t>
            </w:r>
          </w:p>
        </w:tc>
        <w:tc>
          <w:tcPr>
            <w:tcW w:w="1701" w:type="dxa"/>
            <w:vAlign w:val="center"/>
          </w:tcPr>
          <w:p w14:paraId="646D9DEF">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实训成果</w:t>
            </w:r>
          </w:p>
        </w:tc>
        <w:tc>
          <w:tcPr>
            <w:tcW w:w="1417" w:type="dxa"/>
            <w:vAlign w:val="center"/>
          </w:tcPr>
          <w:p w14:paraId="2EB2EAF8">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备注</w:t>
            </w:r>
          </w:p>
        </w:tc>
      </w:tr>
      <w:tr w14:paraId="15D2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6A2AF21E">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教学设计实训</w:t>
            </w:r>
          </w:p>
        </w:tc>
        <w:tc>
          <w:tcPr>
            <w:tcW w:w="1773" w:type="dxa"/>
            <w:vAlign w:val="center"/>
          </w:tcPr>
          <w:p w14:paraId="4EA38A55">
            <w:pPr>
              <w:snapToGrid w:val="0"/>
              <w:rPr>
                <w:rFonts w:ascii="宋体" w:hAnsi="宋体" w:eastAsia="宋体" w:cs="Times New Roman"/>
                <w:bCs/>
                <w:szCs w:val="21"/>
              </w:rPr>
            </w:pPr>
            <w:r>
              <w:rPr>
                <w:rFonts w:hint="eastAsia" w:ascii="宋体" w:hAnsi="宋体" w:eastAsia="宋体" w:cs="Times New Roman"/>
                <w:szCs w:val="21"/>
              </w:rPr>
              <w:t>选择不少于8个小学教学内容，在研读课程标准、认真钻研教材的基础上，进行</w:t>
            </w:r>
            <w:r>
              <w:rPr>
                <w:rFonts w:ascii="宋体" w:hAnsi="宋体" w:eastAsia="宋体" w:cs="Times New Roman"/>
                <w:szCs w:val="21"/>
              </w:rPr>
              <w:t>教学设计</w:t>
            </w:r>
            <w:r>
              <w:rPr>
                <w:rFonts w:hint="eastAsia" w:ascii="宋体" w:hAnsi="宋体" w:eastAsia="宋体" w:cs="Times New Roman"/>
                <w:szCs w:val="21"/>
              </w:rPr>
              <w:t>。</w:t>
            </w:r>
          </w:p>
        </w:tc>
        <w:tc>
          <w:tcPr>
            <w:tcW w:w="1276" w:type="dxa"/>
            <w:vMerge w:val="restart"/>
            <w:vAlign w:val="center"/>
          </w:tcPr>
          <w:p w14:paraId="427C6B6D">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集中训练</w:t>
            </w:r>
          </w:p>
          <w:p w14:paraId="7B9FE570">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教师指导</w:t>
            </w:r>
          </w:p>
        </w:tc>
        <w:tc>
          <w:tcPr>
            <w:tcW w:w="1134" w:type="dxa"/>
            <w:vAlign w:val="center"/>
          </w:tcPr>
          <w:p w14:paraId="304CADAD">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2天</w:t>
            </w:r>
          </w:p>
        </w:tc>
        <w:tc>
          <w:tcPr>
            <w:tcW w:w="1701" w:type="dxa"/>
            <w:vAlign w:val="center"/>
          </w:tcPr>
          <w:p w14:paraId="1E06EA10">
            <w:pPr>
              <w:snapToGrid w:val="0"/>
              <w:spacing w:line="360" w:lineRule="auto"/>
              <w:rPr>
                <w:rFonts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完成不少于3个说课稿。</w:t>
            </w:r>
          </w:p>
          <w:p w14:paraId="58564246">
            <w:pPr>
              <w:snapToGrid w:val="0"/>
              <w:spacing w:line="360" w:lineRule="auto"/>
              <w:rPr>
                <w:rFonts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完成不少于8个教案。</w:t>
            </w:r>
          </w:p>
        </w:tc>
        <w:tc>
          <w:tcPr>
            <w:tcW w:w="1417" w:type="dxa"/>
            <w:vMerge w:val="restart"/>
            <w:vAlign w:val="center"/>
          </w:tcPr>
          <w:p w14:paraId="040B889A">
            <w:pPr>
              <w:snapToGrid w:val="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积极实训动员；</w:t>
            </w:r>
          </w:p>
          <w:p w14:paraId="6EDD22BF">
            <w:pPr>
              <w:snapToGrid w:val="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加强组织管理；</w:t>
            </w:r>
          </w:p>
          <w:p w14:paraId="1704463D">
            <w:pPr>
              <w:snapToGrid w:val="0"/>
              <w:rPr>
                <w:rFonts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做好实训总结</w:t>
            </w:r>
          </w:p>
        </w:tc>
      </w:tr>
      <w:tr w14:paraId="3E95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63289C14">
            <w:pPr>
              <w:snapToGrid w:val="0"/>
              <w:spacing w:line="360" w:lineRule="auto"/>
              <w:rPr>
                <w:rFonts w:ascii="宋体" w:hAnsi="宋体" w:eastAsia="宋体" w:cs="Times New Roman"/>
                <w:bCs/>
                <w:szCs w:val="21"/>
              </w:rPr>
            </w:pPr>
            <w:r>
              <w:rPr>
                <w:rFonts w:hint="eastAsia" w:ascii="宋体" w:hAnsi="宋体" w:eastAsia="宋体" w:cs="Times New Roman"/>
                <w:bCs/>
                <w:szCs w:val="21"/>
              </w:rPr>
              <w:t>说课实训</w:t>
            </w:r>
          </w:p>
        </w:tc>
        <w:tc>
          <w:tcPr>
            <w:tcW w:w="1773" w:type="dxa"/>
            <w:vAlign w:val="center"/>
          </w:tcPr>
          <w:p w14:paraId="425CA288">
            <w:pPr>
              <w:snapToGrid w:val="0"/>
              <w:rPr>
                <w:rFonts w:ascii="宋体" w:hAnsi="宋体" w:eastAsia="宋体" w:cs="Times New Roman"/>
                <w:bCs/>
                <w:szCs w:val="21"/>
              </w:rPr>
            </w:pPr>
            <w:r>
              <w:rPr>
                <w:rFonts w:hint="eastAsia" w:ascii="宋体" w:hAnsi="宋体" w:eastAsia="宋体" w:cs="Times New Roman"/>
                <w:szCs w:val="21"/>
              </w:rPr>
              <w:t>依据说课稿进行</w:t>
            </w:r>
            <w:r>
              <w:rPr>
                <w:rFonts w:ascii="宋体" w:hAnsi="宋体" w:eastAsia="宋体" w:cs="Times New Roman"/>
                <w:szCs w:val="21"/>
              </w:rPr>
              <w:t>说课</w:t>
            </w:r>
            <w:r>
              <w:rPr>
                <w:rFonts w:hint="eastAsia" w:ascii="宋体" w:hAnsi="宋体" w:eastAsia="宋体" w:cs="Times New Roman"/>
                <w:szCs w:val="21"/>
              </w:rPr>
              <w:t>训练</w:t>
            </w:r>
          </w:p>
        </w:tc>
        <w:tc>
          <w:tcPr>
            <w:tcW w:w="1276" w:type="dxa"/>
            <w:vMerge w:val="continue"/>
            <w:vAlign w:val="center"/>
          </w:tcPr>
          <w:p w14:paraId="6CAA03ED">
            <w:pPr>
              <w:snapToGrid w:val="0"/>
              <w:jc w:val="center"/>
              <w:rPr>
                <w:rFonts w:ascii="宋体" w:hAnsi="宋体" w:eastAsia="宋体" w:cs="Times New Roman"/>
                <w:bCs/>
                <w:szCs w:val="21"/>
              </w:rPr>
            </w:pPr>
          </w:p>
        </w:tc>
        <w:tc>
          <w:tcPr>
            <w:tcW w:w="1134" w:type="dxa"/>
            <w:vAlign w:val="center"/>
          </w:tcPr>
          <w:p w14:paraId="7D7BD83F">
            <w:pPr>
              <w:snapToGrid w:val="0"/>
              <w:jc w:val="center"/>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天</w:t>
            </w:r>
          </w:p>
        </w:tc>
        <w:tc>
          <w:tcPr>
            <w:tcW w:w="1701" w:type="dxa"/>
            <w:vAlign w:val="center"/>
          </w:tcPr>
          <w:p w14:paraId="29462282">
            <w:pPr>
              <w:snapToGrid w:val="0"/>
              <w:rPr>
                <w:rFonts w:ascii="宋体" w:hAnsi="宋体" w:eastAsia="宋体" w:cs="Times New Roman"/>
                <w:bCs/>
                <w:szCs w:val="21"/>
              </w:rPr>
            </w:pPr>
            <w:r>
              <w:rPr>
                <w:rFonts w:hint="eastAsia" w:ascii="宋体" w:hAnsi="宋体" w:eastAsia="宋体" w:cs="Times New Roman"/>
                <w:bCs/>
                <w:szCs w:val="21"/>
              </w:rPr>
              <w:t>提交不少于</w:t>
            </w:r>
            <w:r>
              <w:rPr>
                <w:rFonts w:ascii="宋体" w:hAnsi="宋体" w:eastAsia="宋体" w:cs="Times New Roman"/>
                <w:bCs/>
                <w:szCs w:val="21"/>
              </w:rPr>
              <w:t>2</w:t>
            </w:r>
            <w:r>
              <w:rPr>
                <w:rFonts w:hint="eastAsia" w:ascii="宋体" w:hAnsi="宋体" w:eastAsia="宋体" w:cs="Times New Roman"/>
                <w:bCs/>
                <w:szCs w:val="21"/>
              </w:rPr>
              <w:t>个说课视频。</w:t>
            </w:r>
          </w:p>
        </w:tc>
        <w:tc>
          <w:tcPr>
            <w:tcW w:w="1417" w:type="dxa"/>
            <w:vMerge w:val="continue"/>
            <w:vAlign w:val="center"/>
          </w:tcPr>
          <w:p w14:paraId="2658ACF3">
            <w:pPr>
              <w:snapToGrid w:val="0"/>
              <w:spacing w:line="360" w:lineRule="auto"/>
              <w:rPr>
                <w:rFonts w:ascii="宋体" w:hAnsi="宋体" w:eastAsia="宋体" w:cs="Times New Roman"/>
                <w:bCs/>
                <w:szCs w:val="21"/>
              </w:rPr>
            </w:pPr>
          </w:p>
        </w:tc>
      </w:tr>
      <w:tr w14:paraId="5228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1695CBF2">
            <w:pPr>
              <w:snapToGrid w:val="0"/>
              <w:spacing w:line="360" w:lineRule="auto"/>
              <w:rPr>
                <w:rFonts w:ascii="宋体" w:hAnsi="宋体" w:eastAsia="宋体" w:cs="Times New Roman"/>
                <w:bCs/>
                <w:szCs w:val="21"/>
              </w:rPr>
            </w:pPr>
            <w:r>
              <w:rPr>
                <w:rFonts w:hint="eastAsia" w:ascii="宋体" w:hAnsi="宋体" w:eastAsia="宋体" w:cs="Times New Roman"/>
                <w:bCs/>
                <w:szCs w:val="21"/>
              </w:rPr>
              <w:t>课堂教学实训</w:t>
            </w:r>
          </w:p>
        </w:tc>
        <w:tc>
          <w:tcPr>
            <w:tcW w:w="1773" w:type="dxa"/>
            <w:vAlign w:val="center"/>
          </w:tcPr>
          <w:p w14:paraId="227E1D8B">
            <w:pPr>
              <w:snapToGrid w:val="0"/>
              <w:rPr>
                <w:rFonts w:ascii="宋体" w:hAnsi="宋体" w:eastAsia="宋体" w:cs="Times New Roman"/>
                <w:bCs/>
                <w:szCs w:val="21"/>
              </w:rPr>
            </w:pPr>
            <w:r>
              <w:rPr>
                <w:rFonts w:hint="eastAsia" w:ascii="宋体" w:hAnsi="宋体" w:eastAsia="宋体" w:cs="Times New Roman"/>
                <w:szCs w:val="21"/>
              </w:rPr>
              <w:t>依据教学设计进行课堂教学（模拟教学）训练</w:t>
            </w:r>
          </w:p>
        </w:tc>
        <w:tc>
          <w:tcPr>
            <w:tcW w:w="1276" w:type="dxa"/>
            <w:vMerge w:val="continue"/>
            <w:vAlign w:val="center"/>
          </w:tcPr>
          <w:p w14:paraId="0A2E1ABC">
            <w:pPr>
              <w:snapToGrid w:val="0"/>
              <w:jc w:val="center"/>
              <w:rPr>
                <w:rFonts w:ascii="宋体" w:hAnsi="宋体" w:eastAsia="宋体" w:cs="Times New Roman"/>
                <w:bCs/>
                <w:szCs w:val="21"/>
              </w:rPr>
            </w:pPr>
          </w:p>
        </w:tc>
        <w:tc>
          <w:tcPr>
            <w:tcW w:w="1134" w:type="dxa"/>
            <w:vAlign w:val="center"/>
          </w:tcPr>
          <w:p w14:paraId="678C2B9E">
            <w:pPr>
              <w:snapToGrid w:val="0"/>
              <w:jc w:val="center"/>
              <w:rPr>
                <w:rFonts w:ascii="宋体" w:hAnsi="宋体" w:eastAsia="宋体" w:cs="Times New Roman"/>
                <w:bCs/>
                <w:szCs w:val="21"/>
              </w:rPr>
            </w:pPr>
            <w:r>
              <w:rPr>
                <w:rFonts w:ascii="宋体" w:hAnsi="宋体" w:eastAsia="宋体" w:cs="Times New Roman"/>
                <w:bCs/>
                <w:szCs w:val="21"/>
              </w:rPr>
              <w:t>5</w:t>
            </w:r>
            <w:r>
              <w:rPr>
                <w:rFonts w:hint="eastAsia" w:ascii="宋体" w:hAnsi="宋体" w:eastAsia="宋体" w:cs="Times New Roman"/>
                <w:bCs/>
                <w:szCs w:val="21"/>
              </w:rPr>
              <w:t>天</w:t>
            </w:r>
          </w:p>
        </w:tc>
        <w:tc>
          <w:tcPr>
            <w:tcW w:w="1701" w:type="dxa"/>
            <w:vAlign w:val="center"/>
          </w:tcPr>
          <w:p w14:paraId="1DEDE666">
            <w:pPr>
              <w:snapToGrid w:val="0"/>
              <w:rPr>
                <w:rFonts w:ascii="宋体" w:hAnsi="宋体" w:eastAsia="宋体" w:cs="Times New Roman"/>
                <w:bCs/>
                <w:szCs w:val="21"/>
              </w:rPr>
            </w:pPr>
            <w:r>
              <w:rPr>
                <w:rFonts w:hint="eastAsia" w:ascii="宋体" w:hAnsi="宋体" w:eastAsia="宋体" w:cs="Times New Roman"/>
                <w:bCs/>
                <w:szCs w:val="21"/>
              </w:rPr>
              <w:t>提交不少于5个课堂教学（模拟教学）视频。</w:t>
            </w:r>
          </w:p>
        </w:tc>
        <w:tc>
          <w:tcPr>
            <w:tcW w:w="1417" w:type="dxa"/>
            <w:vMerge w:val="continue"/>
            <w:vAlign w:val="center"/>
          </w:tcPr>
          <w:p w14:paraId="7F21CF09">
            <w:pPr>
              <w:snapToGrid w:val="0"/>
              <w:spacing w:line="360" w:lineRule="auto"/>
              <w:rPr>
                <w:rFonts w:ascii="宋体" w:hAnsi="宋体" w:eastAsia="宋体" w:cs="Times New Roman"/>
                <w:bCs/>
                <w:szCs w:val="21"/>
              </w:rPr>
            </w:pPr>
          </w:p>
        </w:tc>
      </w:tr>
      <w:tr w14:paraId="4CF1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75355D1F">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教学实训成果汇报</w:t>
            </w:r>
          </w:p>
        </w:tc>
        <w:tc>
          <w:tcPr>
            <w:tcW w:w="1773" w:type="dxa"/>
            <w:vAlign w:val="center"/>
          </w:tcPr>
          <w:p w14:paraId="595BD180">
            <w:pPr>
              <w:snapToGrid w:val="0"/>
              <w:rPr>
                <w:rFonts w:ascii="宋体" w:hAnsi="宋体" w:eastAsia="宋体" w:cs="Times New Roman"/>
                <w:szCs w:val="21"/>
              </w:rPr>
            </w:pPr>
            <w:r>
              <w:rPr>
                <w:rFonts w:hint="eastAsia" w:ascii="宋体" w:hAnsi="宋体" w:eastAsia="宋体" w:cs="Times New Roman"/>
                <w:szCs w:val="21"/>
              </w:rPr>
              <w:t>开展教学实训成果汇报；总结交流教学实训情况</w:t>
            </w:r>
          </w:p>
        </w:tc>
        <w:tc>
          <w:tcPr>
            <w:tcW w:w="1276" w:type="dxa"/>
            <w:vMerge w:val="continue"/>
            <w:vAlign w:val="center"/>
          </w:tcPr>
          <w:p w14:paraId="28EBA1D5">
            <w:pPr>
              <w:snapToGrid w:val="0"/>
              <w:jc w:val="center"/>
              <w:rPr>
                <w:rFonts w:ascii="宋体" w:hAnsi="宋体" w:eastAsia="宋体" w:cs="Times New Roman"/>
                <w:bCs/>
                <w:szCs w:val="21"/>
              </w:rPr>
            </w:pPr>
          </w:p>
        </w:tc>
        <w:tc>
          <w:tcPr>
            <w:tcW w:w="1134" w:type="dxa"/>
            <w:vAlign w:val="center"/>
          </w:tcPr>
          <w:p w14:paraId="445E8034">
            <w:pPr>
              <w:snapToGrid w:val="0"/>
              <w:jc w:val="center"/>
              <w:rPr>
                <w:rFonts w:ascii="宋体" w:hAnsi="宋体" w:eastAsia="宋体" w:cs="Times New Roman"/>
                <w:bCs/>
                <w:szCs w:val="21"/>
              </w:rPr>
            </w:pPr>
            <w:r>
              <w:rPr>
                <w:rFonts w:hint="eastAsia" w:ascii="宋体" w:hAnsi="宋体" w:eastAsia="宋体" w:cs="Times New Roman"/>
                <w:bCs/>
                <w:szCs w:val="21"/>
              </w:rPr>
              <w:t>1天</w:t>
            </w:r>
          </w:p>
        </w:tc>
        <w:tc>
          <w:tcPr>
            <w:tcW w:w="1701" w:type="dxa"/>
            <w:vAlign w:val="center"/>
          </w:tcPr>
          <w:p w14:paraId="4BC84A1C">
            <w:pPr>
              <w:snapToGrid w:val="0"/>
              <w:rPr>
                <w:rFonts w:ascii="宋体" w:hAnsi="宋体" w:eastAsia="宋体" w:cs="Times New Roman"/>
                <w:bCs/>
                <w:szCs w:val="21"/>
              </w:rPr>
            </w:pPr>
            <w:r>
              <w:rPr>
                <w:rFonts w:hint="eastAsia" w:ascii="宋体" w:hAnsi="宋体" w:eastAsia="宋体" w:cs="Times New Roman"/>
                <w:bCs/>
                <w:szCs w:val="21"/>
              </w:rPr>
              <w:t>完成教学实训汇报，提交1份教学实训总结</w:t>
            </w:r>
          </w:p>
        </w:tc>
        <w:tc>
          <w:tcPr>
            <w:tcW w:w="1417" w:type="dxa"/>
            <w:vMerge w:val="continue"/>
            <w:vAlign w:val="center"/>
          </w:tcPr>
          <w:p w14:paraId="4853EAD9">
            <w:pPr>
              <w:snapToGrid w:val="0"/>
              <w:spacing w:line="360" w:lineRule="auto"/>
              <w:rPr>
                <w:rFonts w:ascii="宋体" w:hAnsi="宋体" w:eastAsia="宋体" w:cs="Times New Roman"/>
                <w:bCs/>
                <w:szCs w:val="21"/>
              </w:rPr>
            </w:pPr>
          </w:p>
        </w:tc>
      </w:tr>
    </w:tbl>
    <w:p w14:paraId="3DA24345">
      <w:pPr>
        <w:snapToGrid w:val="0"/>
        <w:spacing w:line="360" w:lineRule="auto"/>
        <w:rPr>
          <w:rFonts w:ascii="宋体" w:hAnsi="宋体" w:eastAsia="宋体" w:cs="Times New Roman"/>
          <w:bCs/>
          <w:sz w:val="24"/>
          <w:szCs w:val="24"/>
        </w:rPr>
      </w:pPr>
    </w:p>
    <w:p w14:paraId="0706D758">
      <w:pPr>
        <w:snapToGrid w:val="0"/>
        <w:spacing w:line="360" w:lineRule="auto"/>
        <w:rPr>
          <w:rFonts w:ascii="宋体" w:hAnsi="宋体" w:eastAsia="宋体" w:cs="Times New Roman"/>
          <w:bCs/>
          <w:sz w:val="24"/>
          <w:szCs w:val="24"/>
        </w:rPr>
      </w:pPr>
    </w:p>
    <w:p w14:paraId="590601CE">
      <w:pPr>
        <w:snapToGrid w:val="0"/>
        <w:spacing w:line="360" w:lineRule="auto"/>
        <w:rPr>
          <w:rFonts w:ascii="宋体" w:hAnsi="宋体" w:eastAsia="宋体" w:cs="Times New Roman"/>
          <w:sz w:val="24"/>
          <w:szCs w:val="24"/>
        </w:rPr>
      </w:pPr>
      <w:r>
        <w:rPr>
          <w:rFonts w:hint="eastAsia" w:ascii="宋体" w:hAnsi="宋体" w:eastAsia="宋体" w:cs="Times New Roman"/>
          <w:sz w:val="24"/>
          <w:szCs w:val="24"/>
        </w:rPr>
        <w:t>（二）教学内容与</w:t>
      </w:r>
      <w:r>
        <w:rPr>
          <w:rFonts w:ascii="宋体" w:hAnsi="宋体" w:eastAsia="宋体" w:cs="Times New Roman"/>
          <w:sz w:val="24"/>
          <w:szCs w:val="24"/>
        </w:rPr>
        <w:t>课程目标的</w:t>
      </w:r>
      <w:r>
        <w:rPr>
          <w:rFonts w:hint="eastAsia" w:ascii="宋体" w:hAnsi="宋体" w:eastAsia="宋体" w:cs="Times New Roman"/>
          <w:sz w:val="24"/>
          <w:szCs w:val="24"/>
        </w:rPr>
        <w:t>对应关系及</w:t>
      </w:r>
      <w:r>
        <w:rPr>
          <w:rFonts w:ascii="宋体" w:hAnsi="宋体" w:eastAsia="宋体" w:cs="Times New Roman"/>
          <w:sz w:val="24"/>
          <w:szCs w:val="24"/>
        </w:rPr>
        <w:t>学时分配</w:t>
      </w:r>
    </w:p>
    <w:p w14:paraId="78EF2360">
      <w:pPr>
        <w:snapToGrid w:val="0"/>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课程内容与课程目标的对应关系</w:t>
      </w:r>
    </w:p>
    <w:tbl>
      <w:tblPr>
        <w:tblStyle w:val="30"/>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5"/>
        <w:gridCol w:w="1558"/>
        <w:gridCol w:w="1509"/>
        <w:gridCol w:w="1558"/>
      </w:tblGrid>
      <w:tr w14:paraId="7FB7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6D1CAE4F">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课程内容</w:t>
            </w:r>
          </w:p>
        </w:tc>
        <w:tc>
          <w:tcPr>
            <w:tcW w:w="1558" w:type="dxa"/>
            <w:vAlign w:val="center"/>
          </w:tcPr>
          <w:p w14:paraId="01577346">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1509" w:type="dxa"/>
            <w:vAlign w:val="center"/>
          </w:tcPr>
          <w:p w14:paraId="5F8E5C81">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1558" w:type="dxa"/>
            <w:vAlign w:val="center"/>
          </w:tcPr>
          <w:p w14:paraId="104569ED">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r>
      <w:tr w14:paraId="3288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445" w:type="dxa"/>
            <w:vAlign w:val="center"/>
          </w:tcPr>
          <w:p w14:paraId="5A33B80C">
            <w:pPr>
              <w:snapToGrid w:val="0"/>
              <w:rPr>
                <w:rFonts w:ascii="宋体" w:hAnsi="宋体" w:eastAsia="宋体" w:cs="Times New Roman"/>
                <w:bCs/>
                <w:szCs w:val="21"/>
              </w:rPr>
            </w:pPr>
            <w:r>
              <w:rPr>
                <w:rFonts w:hint="eastAsia" w:ascii="宋体" w:hAnsi="宋体" w:eastAsia="宋体" w:cs="Times New Roman"/>
                <w:bCs/>
                <w:szCs w:val="21"/>
              </w:rPr>
              <w:t>教学设计实训</w:t>
            </w:r>
          </w:p>
        </w:tc>
        <w:tc>
          <w:tcPr>
            <w:tcW w:w="1558" w:type="dxa"/>
            <w:vAlign w:val="center"/>
          </w:tcPr>
          <w:p w14:paraId="59595763">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09" w:type="dxa"/>
            <w:vAlign w:val="center"/>
          </w:tcPr>
          <w:p w14:paraId="3646015E">
            <w:pPr>
              <w:snapToGrid w:val="0"/>
              <w:jc w:val="center"/>
              <w:rPr>
                <w:rFonts w:ascii="宋体" w:hAnsi="宋体" w:eastAsia="宋体" w:cs="Times New Roman"/>
                <w:color w:val="000000"/>
                <w:szCs w:val="21"/>
              </w:rPr>
            </w:pPr>
          </w:p>
        </w:tc>
        <w:tc>
          <w:tcPr>
            <w:tcW w:w="1558" w:type="dxa"/>
            <w:vAlign w:val="center"/>
          </w:tcPr>
          <w:p w14:paraId="01191419">
            <w:pPr>
              <w:snapToGrid w:val="0"/>
              <w:jc w:val="center"/>
              <w:rPr>
                <w:rFonts w:ascii="宋体" w:hAnsi="宋体" w:eastAsia="宋体" w:cs="Times New Roman"/>
                <w:color w:val="000000"/>
                <w:szCs w:val="21"/>
              </w:rPr>
            </w:pPr>
          </w:p>
        </w:tc>
      </w:tr>
      <w:tr w14:paraId="5BEE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3E3072AB">
            <w:pPr>
              <w:snapToGrid w:val="0"/>
              <w:rPr>
                <w:rFonts w:ascii="宋体" w:hAnsi="宋体" w:eastAsia="宋体" w:cs="Times New Roman"/>
                <w:bCs/>
                <w:szCs w:val="21"/>
              </w:rPr>
            </w:pPr>
            <w:r>
              <w:rPr>
                <w:rFonts w:hint="eastAsia" w:ascii="宋体" w:hAnsi="宋体" w:eastAsia="宋体" w:cs="Times New Roman"/>
                <w:bCs/>
                <w:szCs w:val="21"/>
              </w:rPr>
              <w:t>说课实训</w:t>
            </w:r>
          </w:p>
        </w:tc>
        <w:tc>
          <w:tcPr>
            <w:tcW w:w="1558" w:type="dxa"/>
            <w:vAlign w:val="center"/>
          </w:tcPr>
          <w:p w14:paraId="75D1F99C">
            <w:pPr>
              <w:snapToGrid w:val="0"/>
              <w:jc w:val="center"/>
              <w:rPr>
                <w:rFonts w:ascii="宋体" w:hAnsi="宋体" w:eastAsia="宋体" w:cs="Times New Roman"/>
                <w:color w:val="000000"/>
                <w:szCs w:val="21"/>
              </w:rPr>
            </w:pPr>
          </w:p>
        </w:tc>
        <w:tc>
          <w:tcPr>
            <w:tcW w:w="1509" w:type="dxa"/>
            <w:vAlign w:val="center"/>
          </w:tcPr>
          <w:p w14:paraId="1949C725">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58" w:type="dxa"/>
            <w:vAlign w:val="center"/>
          </w:tcPr>
          <w:p w14:paraId="004C99B4">
            <w:pPr>
              <w:snapToGrid w:val="0"/>
              <w:jc w:val="center"/>
              <w:rPr>
                <w:rFonts w:ascii="宋体" w:hAnsi="宋体" w:eastAsia="宋体" w:cs="Times New Roman"/>
                <w:color w:val="000000"/>
                <w:szCs w:val="21"/>
              </w:rPr>
            </w:pPr>
          </w:p>
        </w:tc>
      </w:tr>
      <w:tr w14:paraId="3293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7E54A3A1">
            <w:pPr>
              <w:snapToGrid w:val="0"/>
              <w:rPr>
                <w:rFonts w:ascii="宋体" w:hAnsi="宋体" w:eastAsia="宋体" w:cs="Times New Roman"/>
                <w:bCs/>
                <w:szCs w:val="21"/>
              </w:rPr>
            </w:pPr>
            <w:r>
              <w:rPr>
                <w:rFonts w:hint="eastAsia" w:ascii="宋体" w:hAnsi="宋体" w:eastAsia="宋体" w:cs="Times New Roman"/>
                <w:bCs/>
                <w:szCs w:val="21"/>
              </w:rPr>
              <w:t>课堂教学实训</w:t>
            </w:r>
          </w:p>
        </w:tc>
        <w:tc>
          <w:tcPr>
            <w:tcW w:w="1558" w:type="dxa"/>
            <w:vAlign w:val="center"/>
          </w:tcPr>
          <w:p w14:paraId="66A65B82">
            <w:pPr>
              <w:snapToGrid w:val="0"/>
              <w:jc w:val="center"/>
              <w:rPr>
                <w:rFonts w:ascii="宋体" w:hAnsi="宋体" w:eastAsia="宋体" w:cs="Times New Roman"/>
                <w:color w:val="000000"/>
                <w:szCs w:val="21"/>
              </w:rPr>
            </w:pPr>
          </w:p>
        </w:tc>
        <w:tc>
          <w:tcPr>
            <w:tcW w:w="1509" w:type="dxa"/>
            <w:vAlign w:val="center"/>
          </w:tcPr>
          <w:p w14:paraId="7286961F">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58" w:type="dxa"/>
            <w:vAlign w:val="center"/>
          </w:tcPr>
          <w:p w14:paraId="32D253B2">
            <w:pPr>
              <w:snapToGrid w:val="0"/>
              <w:jc w:val="center"/>
              <w:rPr>
                <w:rFonts w:ascii="宋体" w:hAnsi="宋体" w:eastAsia="宋体" w:cs="Times New Roman"/>
                <w:color w:val="000000"/>
                <w:szCs w:val="21"/>
              </w:rPr>
            </w:pPr>
          </w:p>
        </w:tc>
      </w:tr>
      <w:tr w14:paraId="6A2A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45" w:type="dxa"/>
            <w:vAlign w:val="center"/>
          </w:tcPr>
          <w:p w14:paraId="122B9643">
            <w:pPr>
              <w:snapToGrid w:val="0"/>
              <w:rPr>
                <w:rFonts w:ascii="宋体" w:hAnsi="宋体" w:eastAsia="宋体" w:cs="Times New Roman"/>
                <w:bCs/>
                <w:szCs w:val="21"/>
              </w:rPr>
            </w:pPr>
            <w:r>
              <w:rPr>
                <w:rFonts w:hint="eastAsia" w:ascii="宋体" w:hAnsi="宋体" w:eastAsia="宋体" w:cs="Times New Roman"/>
                <w:bCs/>
                <w:szCs w:val="21"/>
              </w:rPr>
              <w:t>教学实训成果汇报</w:t>
            </w:r>
          </w:p>
        </w:tc>
        <w:tc>
          <w:tcPr>
            <w:tcW w:w="1558" w:type="dxa"/>
            <w:vAlign w:val="center"/>
          </w:tcPr>
          <w:p w14:paraId="379ACC85">
            <w:pPr>
              <w:snapToGrid w:val="0"/>
              <w:jc w:val="center"/>
              <w:rPr>
                <w:rFonts w:ascii="宋体" w:hAnsi="宋体" w:eastAsia="宋体" w:cs="Times New Roman"/>
                <w:color w:val="000000"/>
                <w:szCs w:val="21"/>
              </w:rPr>
            </w:pPr>
          </w:p>
        </w:tc>
        <w:tc>
          <w:tcPr>
            <w:tcW w:w="1509" w:type="dxa"/>
            <w:vAlign w:val="center"/>
          </w:tcPr>
          <w:p w14:paraId="4DE45C00">
            <w:pPr>
              <w:snapToGrid w:val="0"/>
              <w:jc w:val="center"/>
              <w:rPr>
                <w:rFonts w:ascii="宋体" w:hAnsi="宋体" w:eastAsia="宋体" w:cs="Times New Roman"/>
                <w:color w:val="000000"/>
                <w:szCs w:val="21"/>
              </w:rPr>
            </w:pPr>
          </w:p>
        </w:tc>
        <w:tc>
          <w:tcPr>
            <w:tcW w:w="1558" w:type="dxa"/>
            <w:vAlign w:val="center"/>
          </w:tcPr>
          <w:p w14:paraId="2AA70907">
            <w:pPr>
              <w:snapToGrid w:val="0"/>
              <w:jc w:val="center"/>
              <w:rPr>
                <w:rFonts w:ascii="宋体" w:hAnsi="宋体" w:eastAsia="宋体" w:cs="Times New Roman"/>
                <w:color w:val="000000"/>
                <w:szCs w:val="21"/>
              </w:rPr>
            </w:pPr>
            <w:r>
              <w:rPr>
                <w:rFonts w:ascii="宋体" w:hAnsi="宋体" w:eastAsia="宋体" w:cs="Arial"/>
                <w:color w:val="000000"/>
                <w:szCs w:val="21"/>
              </w:rPr>
              <w:t>√</w:t>
            </w:r>
          </w:p>
        </w:tc>
      </w:tr>
    </w:tbl>
    <w:p w14:paraId="1307A25E">
      <w:pPr>
        <w:snapToGrid w:val="0"/>
        <w:rPr>
          <w:rFonts w:ascii="宋体" w:hAnsi="宋体" w:eastAsia="宋体" w:cs="Times New Roman"/>
          <w:b/>
          <w:bCs/>
          <w:sz w:val="24"/>
          <w:szCs w:val="24"/>
        </w:rPr>
      </w:pPr>
    </w:p>
    <w:p w14:paraId="2130B789">
      <w:pPr>
        <w:snapToGrid w:val="0"/>
        <w:spacing w:line="360" w:lineRule="auto"/>
        <w:ind w:firstLine="482" w:firstLineChars="200"/>
        <w:rPr>
          <w:rFonts w:ascii="宋体" w:hAnsi="宋体" w:eastAsia="宋体" w:cs="Times New Roman"/>
          <w:b/>
          <w:bCs/>
          <w:color w:val="000000"/>
          <w:sz w:val="24"/>
          <w:szCs w:val="24"/>
        </w:rPr>
      </w:pPr>
      <w:r>
        <w:rPr>
          <w:rFonts w:hint="eastAsia" w:ascii="宋体" w:hAnsi="宋体" w:eastAsia="宋体" w:cs="Times New Roman"/>
          <w:b/>
          <w:bCs/>
          <w:sz w:val="24"/>
          <w:szCs w:val="24"/>
        </w:rPr>
        <w:t>（三）课程思政目标</w:t>
      </w:r>
    </w:p>
    <w:p w14:paraId="5A3D1205">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1.通过教学实训进一步巩固专业思想，加树立正确教育观念。</w:t>
      </w:r>
    </w:p>
    <w:p w14:paraId="348A6577">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2.通过说课、模拟教学等实训环节，将社会责任感、教育情怀、团队精神等有效地融入其中。</w:t>
      </w:r>
    </w:p>
    <w:p w14:paraId="2A88D11A">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3.通过教学实训，形成学科育人的意识，掌握学科育人的方法。</w:t>
      </w:r>
    </w:p>
    <w:p w14:paraId="7E1AAABC">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四、课程实施</w:t>
      </w:r>
    </w:p>
    <w:p w14:paraId="70655105">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(一)实训要求</w:t>
      </w:r>
    </w:p>
    <w:p w14:paraId="5F65B713">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1.遵守学校教学常规制度，不迟到，不早退，虚心听取指导教师的指导。</w:t>
      </w:r>
    </w:p>
    <w:p w14:paraId="1B7EE7DA">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2.同学之间团结友爱，互相合作，认真填写《教学实训手册》。</w:t>
      </w:r>
    </w:p>
    <w:p w14:paraId="598A8106">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w:t>
      </w:r>
      <w:r>
        <w:rPr>
          <w:rFonts w:hint="eastAsia" w:ascii="宋体" w:hAnsi="宋体" w:eastAsia="宋体" w:cs="Times New Roman"/>
          <w:sz w:val="24"/>
          <w:szCs w:val="24"/>
        </w:rPr>
        <w:t>认真做好实训前的各项准备工作，所有学生必须全程参加实训活动，不得无故缺席。</w:t>
      </w:r>
    </w:p>
    <w:p w14:paraId="2E6FB23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w:t>
      </w:r>
      <w:r>
        <w:rPr>
          <w:rFonts w:ascii="宋体" w:hAnsi="宋体" w:eastAsia="宋体" w:cs="Times New Roman"/>
          <w:sz w:val="24"/>
          <w:szCs w:val="24"/>
        </w:rPr>
        <w:t>主要教学环节的质量要求如表所示</w:t>
      </w:r>
      <w:r>
        <w:rPr>
          <w:rFonts w:hint="eastAsia" w:ascii="宋体" w:hAnsi="宋体" w:eastAsia="宋体" w:cs="Times New Roman"/>
          <w:sz w:val="24"/>
          <w:szCs w:val="24"/>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450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63D68E55">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07BB1B43">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4FD4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0ABB59E2">
            <w:pPr>
              <w:spacing w:line="276" w:lineRule="auto"/>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45EE7132">
            <w:pPr>
              <w:spacing w:line="276" w:lineRule="auto"/>
              <w:jc w:val="center"/>
              <w:rPr>
                <w:rFonts w:ascii="宋体" w:hAnsi="宋体" w:eastAsia="宋体" w:cs="Times New Roman"/>
                <w:szCs w:val="21"/>
              </w:rPr>
            </w:pPr>
            <w:r>
              <w:rPr>
                <w:rFonts w:hint="eastAsia" w:ascii="宋体" w:hAnsi="宋体" w:eastAsia="宋体" w:cs="Times New Roman"/>
                <w:szCs w:val="21"/>
              </w:rPr>
              <w:t>教学设计实训</w:t>
            </w:r>
          </w:p>
        </w:tc>
        <w:tc>
          <w:tcPr>
            <w:tcW w:w="7525" w:type="dxa"/>
            <w:tcBorders>
              <w:right w:val="single" w:color="auto" w:sz="8" w:space="0"/>
            </w:tcBorders>
            <w:vAlign w:val="center"/>
          </w:tcPr>
          <w:p w14:paraId="3A119239">
            <w:pPr>
              <w:spacing w:line="276" w:lineRule="auto"/>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认真研读课程标准，理解课程标准的基本理念和要求。</w:t>
            </w:r>
          </w:p>
          <w:p w14:paraId="60E35C9F">
            <w:pPr>
              <w:spacing w:line="276" w:lineRule="auto"/>
              <w:rPr>
                <w:rFonts w:ascii="宋体" w:hAnsi="宋体" w:eastAsia="宋体" w:cs="Times New Roman"/>
                <w:szCs w:val="21"/>
              </w:rPr>
            </w:pPr>
            <w:r>
              <w:rPr>
                <w:rFonts w:hint="eastAsia" w:ascii="宋体" w:hAnsi="宋体" w:eastAsia="宋体" w:cs="Times New Roman"/>
                <w:szCs w:val="21"/>
              </w:rPr>
              <w:t>（2）充分了解学生的已有知识经验基础</w:t>
            </w:r>
            <w:r>
              <w:rPr>
                <w:rFonts w:ascii="宋体" w:hAnsi="宋体" w:eastAsia="宋体" w:cs="Times New Roman"/>
                <w:szCs w:val="21"/>
              </w:rPr>
              <w:t>。</w:t>
            </w:r>
          </w:p>
          <w:p w14:paraId="5AEED278">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精心钻研教材</w:t>
            </w:r>
            <w:r>
              <w:rPr>
                <w:rFonts w:ascii="宋体" w:hAnsi="宋体" w:eastAsia="宋体" w:cs="Times New Roman"/>
                <w:szCs w:val="21"/>
              </w:rPr>
              <w:t>，</w:t>
            </w:r>
            <w:r>
              <w:rPr>
                <w:rFonts w:hint="eastAsia" w:ascii="宋体" w:hAnsi="宋体" w:eastAsia="宋体" w:cs="Times New Roman"/>
                <w:szCs w:val="21"/>
              </w:rPr>
              <w:t>把握教材的逻辑体系，领会教材的编写意图。</w:t>
            </w:r>
          </w:p>
          <w:p w14:paraId="35CE7C60">
            <w:pPr>
              <w:spacing w:line="276" w:lineRule="auto"/>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精心选择教学方法、组织形式</w:t>
            </w:r>
            <w:r>
              <w:rPr>
                <w:rFonts w:hint="eastAsia" w:ascii="宋体" w:hAnsi="宋体" w:eastAsia="宋体" w:cs="Times New Roman"/>
                <w:szCs w:val="21"/>
              </w:rPr>
              <w:t>和教学手段，认真制订教学方案和说课稿</w:t>
            </w:r>
            <w:r>
              <w:rPr>
                <w:rFonts w:ascii="宋体" w:hAnsi="宋体" w:eastAsia="宋体" w:cs="Times New Roman"/>
                <w:szCs w:val="21"/>
              </w:rPr>
              <w:t>。教案内容包括章节标题、教学目标、教学准备、教学方法、课堂类型、时间分配、</w:t>
            </w:r>
            <w:r>
              <w:rPr>
                <w:rFonts w:hint="eastAsia" w:ascii="宋体" w:hAnsi="宋体" w:eastAsia="宋体" w:cs="Times New Roman"/>
                <w:szCs w:val="21"/>
              </w:rPr>
              <w:t>教学</w:t>
            </w:r>
            <w:r>
              <w:rPr>
                <w:rFonts w:ascii="宋体" w:hAnsi="宋体" w:eastAsia="宋体" w:cs="Times New Roman"/>
                <w:szCs w:val="21"/>
              </w:rPr>
              <w:t>内容、</w:t>
            </w:r>
            <w:r>
              <w:rPr>
                <w:rFonts w:hint="eastAsia" w:ascii="宋体" w:hAnsi="宋体" w:eastAsia="宋体" w:cs="Times New Roman"/>
                <w:szCs w:val="21"/>
              </w:rPr>
              <w:t>板书设计、</w:t>
            </w:r>
            <w:r>
              <w:rPr>
                <w:rFonts w:ascii="宋体" w:hAnsi="宋体" w:eastAsia="宋体" w:cs="Times New Roman"/>
                <w:szCs w:val="21"/>
              </w:rPr>
              <w:t>课后作业、教学</w:t>
            </w:r>
            <w:r>
              <w:rPr>
                <w:rFonts w:hint="eastAsia" w:ascii="宋体" w:hAnsi="宋体" w:eastAsia="宋体" w:cs="Times New Roman"/>
                <w:szCs w:val="21"/>
              </w:rPr>
              <w:t>反思</w:t>
            </w:r>
            <w:r>
              <w:rPr>
                <w:rFonts w:ascii="宋体" w:hAnsi="宋体" w:eastAsia="宋体" w:cs="Times New Roman"/>
                <w:szCs w:val="21"/>
              </w:rPr>
              <w:t>等方面。</w:t>
            </w:r>
            <w:r>
              <w:rPr>
                <w:rFonts w:hint="eastAsia" w:ascii="宋体" w:hAnsi="宋体" w:eastAsia="宋体" w:cs="Times New Roman"/>
                <w:szCs w:val="21"/>
              </w:rPr>
              <w:t>说课稿包括说教材、说学情、说教学目标和教学重难点、说教学过程、说板书设计等。</w:t>
            </w:r>
          </w:p>
        </w:tc>
      </w:tr>
      <w:tr w14:paraId="5039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582" w:type="dxa"/>
            <w:tcBorders>
              <w:left w:val="single" w:color="auto" w:sz="8" w:space="0"/>
            </w:tcBorders>
            <w:vAlign w:val="center"/>
          </w:tcPr>
          <w:p w14:paraId="54D522E8">
            <w:pPr>
              <w:spacing w:line="276" w:lineRule="auto"/>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1AA5A1F0">
            <w:pPr>
              <w:snapToGrid w:val="0"/>
              <w:spacing w:line="360" w:lineRule="auto"/>
              <w:rPr>
                <w:rFonts w:ascii="宋体" w:hAnsi="宋体" w:eastAsia="宋体" w:cs="Times New Roman"/>
                <w:bCs/>
                <w:szCs w:val="21"/>
              </w:rPr>
            </w:pPr>
            <w:r>
              <w:rPr>
                <w:rFonts w:hint="eastAsia" w:ascii="宋体" w:hAnsi="宋体" w:eastAsia="宋体" w:cs="Times New Roman"/>
                <w:bCs/>
                <w:szCs w:val="21"/>
              </w:rPr>
              <w:t>说课实训</w:t>
            </w:r>
          </w:p>
        </w:tc>
        <w:tc>
          <w:tcPr>
            <w:tcW w:w="7525" w:type="dxa"/>
            <w:tcBorders>
              <w:right w:val="single" w:color="auto" w:sz="8" w:space="0"/>
            </w:tcBorders>
            <w:vAlign w:val="center"/>
          </w:tcPr>
          <w:p w14:paraId="073EDC71">
            <w:pPr>
              <w:spacing w:line="276" w:lineRule="auto"/>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仪表端庄，情绪饱满。</w:t>
            </w:r>
          </w:p>
          <w:p w14:paraId="06386C72">
            <w:pPr>
              <w:spacing w:line="276"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说课</w:t>
            </w:r>
            <w:r>
              <w:rPr>
                <w:rFonts w:hint="eastAsia" w:ascii="宋体" w:hAnsi="宋体" w:eastAsia="宋体" w:cs="Times New Roman"/>
                <w:szCs w:val="24"/>
              </w:rPr>
              <w:t>准备充分，熟悉教学内容。</w:t>
            </w:r>
          </w:p>
          <w:p w14:paraId="756FB6AC">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熟悉说课的基本流程。</w:t>
            </w:r>
          </w:p>
          <w:p w14:paraId="51E3C2E0">
            <w:pPr>
              <w:spacing w:line="276" w:lineRule="auto"/>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说课语言规范，表述清楚。</w:t>
            </w:r>
          </w:p>
          <w:p w14:paraId="579B8929">
            <w:pPr>
              <w:spacing w:line="276" w:lineRule="auto"/>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针对说课中存在的问题及时调整，不断提高说课能力。</w:t>
            </w:r>
          </w:p>
        </w:tc>
      </w:tr>
      <w:tr w14:paraId="206E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582" w:type="dxa"/>
            <w:tcBorders>
              <w:left w:val="single" w:color="auto" w:sz="8" w:space="0"/>
            </w:tcBorders>
            <w:vAlign w:val="center"/>
          </w:tcPr>
          <w:p w14:paraId="59D27F4E">
            <w:pPr>
              <w:spacing w:line="276" w:lineRule="auto"/>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725C1AA1">
            <w:pPr>
              <w:snapToGrid w:val="0"/>
              <w:spacing w:line="360" w:lineRule="auto"/>
              <w:rPr>
                <w:rFonts w:ascii="宋体" w:hAnsi="宋体" w:eastAsia="宋体" w:cs="Times New Roman"/>
                <w:bCs/>
                <w:szCs w:val="21"/>
              </w:rPr>
            </w:pPr>
            <w:r>
              <w:rPr>
                <w:rFonts w:hint="eastAsia" w:ascii="宋体" w:hAnsi="宋体" w:eastAsia="宋体" w:cs="Times New Roman"/>
                <w:bCs/>
                <w:szCs w:val="21"/>
              </w:rPr>
              <w:t>课堂教学实训</w:t>
            </w:r>
          </w:p>
        </w:tc>
        <w:tc>
          <w:tcPr>
            <w:tcW w:w="7525" w:type="dxa"/>
            <w:tcBorders>
              <w:right w:val="single" w:color="auto" w:sz="8" w:space="0"/>
            </w:tcBorders>
            <w:vAlign w:val="center"/>
          </w:tcPr>
          <w:p w14:paraId="2C968625">
            <w:pPr>
              <w:spacing w:line="276" w:lineRule="auto"/>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仪表端庄，情绪饱满。</w:t>
            </w:r>
          </w:p>
          <w:p w14:paraId="2CF0A90F">
            <w:pPr>
              <w:spacing w:line="276"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教学</w:t>
            </w:r>
            <w:r>
              <w:rPr>
                <w:rFonts w:hint="eastAsia" w:ascii="宋体" w:hAnsi="宋体" w:eastAsia="宋体" w:cs="Times New Roman"/>
                <w:szCs w:val="24"/>
              </w:rPr>
              <w:t>准备充分，熟悉教学内容。</w:t>
            </w:r>
          </w:p>
          <w:p w14:paraId="4952F028">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熟悉课堂教学的基本流程。</w:t>
            </w:r>
          </w:p>
          <w:p w14:paraId="51FA0370">
            <w:pPr>
              <w:spacing w:line="276" w:lineRule="auto"/>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课堂教学语言规范。</w:t>
            </w:r>
          </w:p>
          <w:p w14:paraId="18624F0D">
            <w:pPr>
              <w:spacing w:line="276" w:lineRule="auto"/>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）教学结构紧凑，重点突出，条理清晰。</w:t>
            </w:r>
          </w:p>
          <w:p w14:paraId="1AA56AEF">
            <w:pPr>
              <w:spacing w:line="276" w:lineRule="auto"/>
              <w:rPr>
                <w:rFonts w:ascii="宋体" w:hAnsi="宋体" w:eastAsia="宋体" w:cs="Times New Roman"/>
                <w:szCs w:val="21"/>
              </w:rPr>
            </w:pPr>
            <w:r>
              <w:rPr>
                <w:rFonts w:hint="eastAsia" w:ascii="宋体" w:hAnsi="宋体" w:eastAsia="宋体" w:cs="Times New Roman"/>
                <w:szCs w:val="21"/>
              </w:rPr>
              <w:t>（6）板书设计合理，有利于学生对知识的理解。</w:t>
            </w:r>
          </w:p>
          <w:p w14:paraId="59C87A00">
            <w:pPr>
              <w:spacing w:line="276" w:lineRule="auto"/>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针对教学中存在的问题及时调整，不断提高课堂教学能力。</w:t>
            </w:r>
          </w:p>
        </w:tc>
      </w:tr>
      <w:tr w14:paraId="634D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2" w:type="dxa"/>
            <w:tcBorders>
              <w:left w:val="single" w:color="auto" w:sz="8" w:space="0"/>
            </w:tcBorders>
            <w:vAlign w:val="center"/>
          </w:tcPr>
          <w:p w14:paraId="1665FBA7">
            <w:pPr>
              <w:spacing w:line="276" w:lineRule="auto"/>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76EB8814">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教学实训成果汇报</w:t>
            </w:r>
          </w:p>
        </w:tc>
        <w:tc>
          <w:tcPr>
            <w:tcW w:w="7525" w:type="dxa"/>
            <w:tcBorders>
              <w:right w:val="single" w:color="auto" w:sz="8" w:space="0"/>
            </w:tcBorders>
            <w:vAlign w:val="center"/>
          </w:tcPr>
          <w:p w14:paraId="2379E0A0">
            <w:pPr>
              <w:spacing w:line="276" w:lineRule="auto"/>
              <w:rPr>
                <w:rFonts w:ascii="宋体" w:hAnsi="宋体" w:eastAsia="宋体" w:cs="Times New Roman"/>
                <w:szCs w:val="21"/>
              </w:rPr>
            </w:pPr>
            <w:r>
              <w:rPr>
                <w:rFonts w:hint="eastAsia" w:ascii="宋体" w:hAnsi="宋体" w:eastAsia="宋体" w:cs="Times New Roman"/>
                <w:szCs w:val="21"/>
              </w:rPr>
              <w:t>（1）积极做好汇报准备，科学组织成果汇报</w:t>
            </w:r>
          </w:p>
          <w:p w14:paraId="2AF47169">
            <w:pPr>
              <w:spacing w:line="276" w:lineRule="auto"/>
              <w:rPr>
                <w:rFonts w:ascii="宋体" w:hAnsi="宋体" w:eastAsia="宋体" w:cs="Times New Roman"/>
                <w:szCs w:val="21"/>
              </w:rPr>
            </w:pPr>
            <w:r>
              <w:rPr>
                <w:rFonts w:hint="eastAsia" w:ascii="宋体" w:hAnsi="宋体" w:eastAsia="宋体" w:cs="Times New Roman"/>
                <w:szCs w:val="21"/>
              </w:rPr>
              <w:t>（2）对教学实训进行合理的评价，可采用学生自评、小组评价、教师评价相结合的方式。</w:t>
            </w:r>
          </w:p>
          <w:p w14:paraId="69CCBB1E">
            <w:pPr>
              <w:spacing w:line="276" w:lineRule="auto"/>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）教学实训结束后要及时进行总结、研讨，针对教学实训中存在的问题，提出解决问题的策略。</w:t>
            </w:r>
          </w:p>
        </w:tc>
      </w:tr>
    </w:tbl>
    <w:p w14:paraId="31296050">
      <w:pPr>
        <w:spacing w:line="360" w:lineRule="auto"/>
        <w:rPr>
          <w:rFonts w:ascii="宋体" w:hAnsi="宋体" w:eastAsia="宋体" w:cs="Times New Roman"/>
          <w:b/>
          <w:sz w:val="28"/>
          <w:szCs w:val="28"/>
        </w:rPr>
      </w:pPr>
    </w:p>
    <w:p w14:paraId="5082C36D">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、课程考核</w:t>
      </w:r>
    </w:p>
    <w:p w14:paraId="7D13F941">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w:t>
      </w:r>
      <w:r>
        <w:rPr>
          <w:rFonts w:ascii="宋体" w:hAnsi="宋体" w:eastAsia="宋体" w:cs="Times New Roman"/>
          <w:b/>
          <w:color w:val="000000"/>
          <w:sz w:val="24"/>
          <w:szCs w:val="24"/>
        </w:rPr>
        <w:t>考核资料要求</w:t>
      </w:r>
    </w:p>
    <w:p w14:paraId="5021CB88">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1.教学实训手册填写完整。</w:t>
      </w:r>
    </w:p>
    <w:p w14:paraId="01463A56">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2.教学实训总结每人一份。</w:t>
      </w:r>
    </w:p>
    <w:p w14:paraId="0A375AFC">
      <w:pPr>
        <w:snapToGrid w:val="0"/>
        <w:spacing w:line="360" w:lineRule="auto"/>
        <w:ind w:firstLine="482" w:firstLineChars="200"/>
        <w:rPr>
          <w:rFonts w:ascii="宋体" w:hAnsi="宋体" w:eastAsia="宋体" w:cs="Times New Roman"/>
          <w:b/>
          <w:color w:val="000000"/>
          <w:sz w:val="24"/>
          <w:szCs w:val="24"/>
        </w:rPr>
      </w:pPr>
      <w:r>
        <w:rPr>
          <w:rFonts w:ascii="宋体" w:hAnsi="宋体" w:eastAsia="宋体" w:cs="Times New Roman"/>
          <w:b/>
          <w:color w:val="000000"/>
          <w:sz w:val="24"/>
          <w:szCs w:val="24"/>
        </w:rPr>
        <w:t>（二）</w:t>
      </w:r>
      <w:r>
        <w:rPr>
          <w:rFonts w:hint="eastAsia" w:ascii="宋体" w:hAnsi="宋体" w:eastAsia="宋体" w:cs="Times New Roman"/>
          <w:b/>
          <w:color w:val="000000"/>
          <w:sz w:val="24"/>
          <w:szCs w:val="24"/>
        </w:rPr>
        <w:t>成绩评定要求</w:t>
      </w:r>
    </w:p>
    <w:p w14:paraId="1F39BA01">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1．本课程设计</w:t>
      </w:r>
      <w:r>
        <w:rPr>
          <w:rFonts w:ascii="宋体" w:hAnsi="宋体" w:eastAsia="宋体" w:cs="Times New Roman"/>
          <w:sz w:val="24"/>
          <w:szCs w:val="24"/>
        </w:rPr>
        <w:t>成绩分优、良、中、及格和不及格五个档次。</w:t>
      </w:r>
    </w:p>
    <w:p w14:paraId="2C17E685">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课程考核方式：</w:t>
      </w:r>
      <w:r>
        <w:rPr>
          <w:rFonts w:hint="eastAsia" w:ascii="宋体" w:hAnsi="宋体" w:eastAsia="宋体" w:cs="Times New Roman"/>
          <w:sz w:val="24"/>
          <w:szCs w:val="24"/>
        </w:rPr>
        <w:t>由教学实训态度、教学设计实训</w:t>
      </w:r>
      <w:r>
        <w:rPr>
          <w:rFonts w:ascii="宋体" w:hAnsi="宋体" w:eastAsia="宋体" w:cs="Times New Roman"/>
          <w:sz w:val="24"/>
          <w:szCs w:val="24"/>
        </w:rPr>
        <w:t>、</w:t>
      </w:r>
      <w:r>
        <w:rPr>
          <w:rFonts w:hint="eastAsia" w:ascii="宋体" w:hAnsi="宋体" w:eastAsia="宋体" w:cs="Times New Roman"/>
          <w:sz w:val="24"/>
          <w:szCs w:val="24"/>
        </w:rPr>
        <w:t>说课实训、课堂教学实训和教学实训成果汇报等五个部分组成</w:t>
      </w:r>
      <w:r>
        <w:rPr>
          <w:rFonts w:ascii="宋体" w:hAnsi="宋体" w:eastAsia="宋体" w:cs="Times New Roman"/>
          <w:sz w:val="24"/>
          <w:szCs w:val="24"/>
        </w:rPr>
        <w:t>。</w:t>
      </w:r>
    </w:p>
    <w:p w14:paraId="1C83A175">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课程</w:t>
      </w:r>
      <w:r>
        <w:rPr>
          <w:rFonts w:hint="eastAsia" w:ascii="宋体" w:hAnsi="宋体" w:eastAsia="宋体" w:cs="Times New Roman"/>
          <w:sz w:val="24"/>
          <w:szCs w:val="24"/>
        </w:rPr>
        <w:t>总评</w:t>
      </w:r>
      <w:r>
        <w:rPr>
          <w:rFonts w:ascii="宋体" w:hAnsi="宋体" w:eastAsia="宋体" w:cs="Times New Roman"/>
          <w:sz w:val="24"/>
          <w:szCs w:val="24"/>
        </w:rPr>
        <w:t>成绩=</w:t>
      </w:r>
      <w:r>
        <w:rPr>
          <w:rFonts w:hint="eastAsia" w:ascii="宋体" w:hAnsi="宋体" w:eastAsia="宋体" w:cs="Times New Roman"/>
          <w:sz w:val="24"/>
          <w:szCs w:val="24"/>
        </w:rPr>
        <w:t>教学实训态度</w:t>
      </w:r>
      <w:r>
        <w:rPr>
          <w:rFonts w:ascii="宋体" w:hAnsi="宋体" w:eastAsia="宋体" w:cs="Times New Roman"/>
          <w:sz w:val="24"/>
          <w:szCs w:val="24"/>
        </w:rPr>
        <w:t>×1</w:t>
      </w:r>
      <w:r>
        <w:rPr>
          <w:rFonts w:hint="eastAsia" w:ascii="宋体" w:hAnsi="宋体" w:eastAsia="宋体" w:cs="Times New Roman"/>
          <w:sz w:val="24"/>
          <w:szCs w:val="24"/>
        </w:rPr>
        <w:t>0</w:t>
      </w:r>
      <w:r>
        <w:rPr>
          <w:rFonts w:ascii="宋体" w:hAnsi="宋体" w:eastAsia="宋体" w:cs="Times New Roman"/>
          <w:sz w:val="24"/>
          <w:szCs w:val="24"/>
        </w:rPr>
        <w:t>%+</w:t>
      </w:r>
      <w:r>
        <w:rPr>
          <w:rFonts w:hint="eastAsia" w:ascii="宋体" w:hAnsi="宋体" w:eastAsia="宋体" w:cs="Times New Roman"/>
          <w:sz w:val="24"/>
          <w:szCs w:val="24"/>
        </w:rPr>
        <w:t>教学设计</w:t>
      </w:r>
      <w:r>
        <w:rPr>
          <w:rFonts w:ascii="宋体" w:hAnsi="宋体" w:eastAsia="宋体" w:cs="Times New Roman"/>
          <w:sz w:val="24"/>
          <w:szCs w:val="24"/>
        </w:rPr>
        <w:t>×20%+</w:t>
      </w:r>
      <w:r>
        <w:rPr>
          <w:rFonts w:hint="eastAsia" w:ascii="宋体" w:hAnsi="宋体" w:eastAsia="宋体" w:cs="Times New Roman"/>
          <w:sz w:val="24"/>
          <w:szCs w:val="24"/>
        </w:rPr>
        <w:t>说课</w:t>
      </w:r>
      <w:r>
        <w:rPr>
          <w:rFonts w:ascii="宋体" w:hAnsi="宋体" w:eastAsia="宋体" w:cs="Times New Roman"/>
          <w:sz w:val="24"/>
          <w:szCs w:val="24"/>
        </w:rPr>
        <w:t>×20%+</w:t>
      </w:r>
      <w:r>
        <w:rPr>
          <w:rFonts w:hint="eastAsia" w:ascii="宋体" w:hAnsi="宋体" w:eastAsia="宋体" w:cs="Times New Roman"/>
          <w:sz w:val="24"/>
          <w:szCs w:val="24"/>
        </w:rPr>
        <w:t>课堂教学</w:t>
      </w:r>
      <w:r>
        <w:rPr>
          <w:rFonts w:ascii="宋体" w:hAnsi="宋体" w:eastAsia="宋体" w:cs="Times New Roman"/>
          <w:sz w:val="24"/>
          <w:szCs w:val="24"/>
        </w:rPr>
        <w:t>×40%+</w:t>
      </w:r>
      <w:r>
        <w:rPr>
          <w:rFonts w:hint="eastAsia" w:ascii="宋体" w:hAnsi="宋体" w:eastAsia="宋体" w:cs="Times New Roman"/>
          <w:sz w:val="24"/>
          <w:szCs w:val="24"/>
        </w:rPr>
        <w:t>教学实训成果汇报</w:t>
      </w:r>
      <w:r>
        <w:rPr>
          <w:rFonts w:ascii="宋体" w:hAnsi="宋体" w:eastAsia="宋体" w:cs="Times New Roman"/>
          <w:sz w:val="24"/>
          <w:szCs w:val="24"/>
        </w:rPr>
        <w:t>×1</w:t>
      </w:r>
      <w:r>
        <w:rPr>
          <w:rFonts w:hint="eastAsia" w:ascii="宋体" w:hAnsi="宋体" w:eastAsia="宋体" w:cs="Times New Roman"/>
          <w:sz w:val="24"/>
          <w:szCs w:val="24"/>
        </w:rPr>
        <w:t>0</w:t>
      </w:r>
      <w:r>
        <w:rPr>
          <w:rFonts w:ascii="宋体" w:hAnsi="宋体" w:eastAsia="宋体" w:cs="Times New Roman"/>
          <w:sz w:val="24"/>
          <w:szCs w:val="24"/>
        </w:rPr>
        <w:t>%。</w:t>
      </w:r>
    </w:p>
    <w:p w14:paraId="3FAB7FD5">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具体内容和比例</w:t>
      </w:r>
      <w:r>
        <w:rPr>
          <w:rFonts w:hint="eastAsia" w:ascii="宋体" w:hAnsi="宋体" w:eastAsia="宋体" w:cs="Times New Roman"/>
          <w:sz w:val="24"/>
          <w:szCs w:val="24"/>
        </w:rPr>
        <w:t>如下表所示：</w:t>
      </w:r>
    </w:p>
    <w:tbl>
      <w:tblPr>
        <w:tblStyle w:val="30"/>
        <w:tblW w:w="54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169"/>
        <w:gridCol w:w="706"/>
        <w:gridCol w:w="3069"/>
        <w:gridCol w:w="1267"/>
        <w:gridCol w:w="1201"/>
      </w:tblGrid>
      <w:tr w14:paraId="1FB5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shd w:val="clear" w:color="auto" w:fill="FFFFFF"/>
            <w:vAlign w:val="center"/>
          </w:tcPr>
          <w:p w14:paraId="2DC6300A">
            <w:pPr>
              <w:snapToGrid w:val="0"/>
              <w:jc w:val="center"/>
              <w:rPr>
                <w:rFonts w:ascii="宋体" w:hAnsi="宋体" w:eastAsia="宋体" w:cs="Times New Roman"/>
                <w:b/>
                <w:szCs w:val="21"/>
              </w:rPr>
            </w:pPr>
            <w:r>
              <w:rPr>
                <w:rFonts w:ascii="宋体" w:hAnsi="宋体" w:eastAsia="宋体" w:cs="Times New Roman"/>
                <w:b/>
                <w:szCs w:val="21"/>
              </w:rPr>
              <w:t>成绩</w:t>
            </w:r>
          </w:p>
          <w:p w14:paraId="7AE85EDE">
            <w:pPr>
              <w:snapToGrid w:val="0"/>
              <w:jc w:val="center"/>
              <w:rPr>
                <w:rFonts w:ascii="宋体" w:hAnsi="宋体" w:eastAsia="宋体" w:cs="Times New Roman"/>
                <w:b/>
                <w:szCs w:val="21"/>
              </w:rPr>
            </w:pPr>
            <w:r>
              <w:rPr>
                <w:rFonts w:ascii="宋体" w:hAnsi="宋体" w:eastAsia="宋体" w:cs="Times New Roman"/>
                <w:b/>
                <w:szCs w:val="21"/>
              </w:rPr>
              <w:t>组成</w:t>
            </w:r>
          </w:p>
        </w:tc>
        <w:tc>
          <w:tcPr>
            <w:tcW w:w="1161" w:type="pct"/>
            <w:tcBorders>
              <w:top w:val="single" w:color="auto" w:sz="4" w:space="0"/>
              <w:left w:val="single" w:color="auto" w:sz="4" w:space="0"/>
              <w:bottom w:val="single" w:color="auto" w:sz="4" w:space="0"/>
              <w:right w:val="single" w:color="auto" w:sz="4" w:space="0"/>
            </w:tcBorders>
            <w:shd w:val="clear" w:color="auto" w:fill="FFFFFF"/>
            <w:vAlign w:val="center"/>
          </w:tcPr>
          <w:p w14:paraId="7071DB15">
            <w:pPr>
              <w:snapToGrid w:val="0"/>
              <w:jc w:val="center"/>
              <w:rPr>
                <w:rFonts w:ascii="宋体" w:hAnsi="宋体" w:eastAsia="宋体" w:cs="Times New Roman"/>
                <w:b/>
                <w:szCs w:val="21"/>
              </w:rPr>
            </w:pPr>
            <w:r>
              <w:rPr>
                <w:rFonts w:ascii="宋体" w:hAnsi="宋体" w:eastAsia="宋体" w:cs="Times New Roman"/>
                <w:b/>
                <w:szCs w:val="21"/>
              </w:rPr>
              <w:t>考核/评价环节</w:t>
            </w:r>
          </w:p>
        </w:tc>
        <w:tc>
          <w:tcPr>
            <w:tcW w:w="378" w:type="pct"/>
            <w:tcBorders>
              <w:top w:val="single" w:color="auto" w:sz="4" w:space="0"/>
              <w:left w:val="single" w:color="auto" w:sz="4" w:space="0"/>
              <w:bottom w:val="single" w:color="auto" w:sz="4" w:space="0"/>
              <w:right w:val="single" w:color="auto" w:sz="4" w:space="0"/>
            </w:tcBorders>
            <w:shd w:val="clear" w:color="auto" w:fill="FFFFFF"/>
            <w:vAlign w:val="center"/>
          </w:tcPr>
          <w:p w14:paraId="67190935">
            <w:pPr>
              <w:snapToGrid w:val="0"/>
              <w:jc w:val="center"/>
              <w:rPr>
                <w:rFonts w:ascii="宋体" w:hAnsi="宋体" w:eastAsia="宋体" w:cs="Times New Roman"/>
                <w:b/>
                <w:szCs w:val="21"/>
              </w:rPr>
            </w:pPr>
            <w:r>
              <w:rPr>
                <w:rFonts w:hint="eastAsia" w:ascii="宋体" w:hAnsi="宋体" w:eastAsia="宋体" w:cs="Times New Roman"/>
                <w:b/>
                <w:szCs w:val="21"/>
              </w:rPr>
              <w:t>权重</w:t>
            </w:r>
          </w:p>
        </w:tc>
        <w:tc>
          <w:tcPr>
            <w:tcW w:w="1643" w:type="pct"/>
            <w:tcBorders>
              <w:top w:val="single" w:color="auto" w:sz="4" w:space="0"/>
              <w:left w:val="single" w:color="auto" w:sz="4" w:space="0"/>
              <w:bottom w:val="single" w:color="auto" w:sz="4" w:space="0"/>
              <w:right w:val="single" w:color="auto" w:sz="4" w:space="0"/>
            </w:tcBorders>
            <w:shd w:val="clear" w:color="auto" w:fill="FFFFFF"/>
            <w:vAlign w:val="center"/>
          </w:tcPr>
          <w:p w14:paraId="0330D521">
            <w:pPr>
              <w:snapToGrid w:val="0"/>
              <w:jc w:val="center"/>
              <w:rPr>
                <w:rFonts w:ascii="宋体" w:hAnsi="宋体" w:eastAsia="宋体" w:cs="Times New Roman"/>
                <w:b/>
                <w:szCs w:val="21"/>
              </w:rPr>
            </w:pPr>
            <w:r>
              <w:rPr>
                <w:rFonts w:ascii="宋体" w:hAnsi="宋体" w:eastAsia="宋体" w:cs="Times New Roman"/>
                <w:b/>
                <w:szCs w:val="21"/>
              </w:rPr>
              <w:t>考核/评价细则</w:t>
            </w:r>
          </w:p>
        </w:tc>
        <w:tc>
          <w:tcPr>
            <w:tcW w:w="678" w:type="pct"/>
            <w:tcBorders>
              <w:top w:val="single" w:color="auto" w:sz="4" w:space="0"/>
              <w:left w:val="single" w:color="auto" w:sz="4" w:space="0"/>
              <w:bottom w:val="single" w:color="auto" w:sz="4" w:space="0"/>
              <w:right w:val="single" w:color="auto" w:sz="4" w:space="0"/>
            </w:tcBorders>
            <w:shd w:val="clear" w:color="auto" w:fill="FFFFFF"/>
            <w:vAlign w:val="center"/>
          </w:tcPr>
          <w:p w14:paraId="7CD0E8A2">
            <w:pPr>
              <w:snapToGrid w:val="0"/>
              <w:jc w:val="center"/>
              <w:rPr>
                <w:rFonts w:ascii="宋体" w:hAnsi="宋体" w:eastAsia="宋体" w:cs="Times New Roman"/>
                <w:b/>
                <w:szCs w:val="21"/>
              </w:rPr>
            </w:pPr>
            <w:r>
              <w:rPr>
                <w:rFonts w:hint="eastAsia" w:ascii="宋体" w:hAnsi="宋体" w:eastAsia="宋体" w:cs="Times New Roman"/>
                <w:b/>
                <w:szCs w:val="21"/>
              </w:rPr>
              <w:t>课程目标</w:t>
            </w:r>
          </w:p>
        </w:tc>
        <w:tc>
          <w:tcPr>
            <w:tcW w:w="643" w:type="pct"/>
            <w:tcBorders>
              <w:top w:val="single" w:color="auto" w:sz="4" w:space="0"/>
              <w:left w:val="single" w:color="auto" w:sz="4" w:space="0"/>
              <w:bottom w:val="single" w:color="auto" w:sz="4" w:space="0"/>
              <w:right w:val="single" w:color="auto" w:sz="4" w:space="0"/>
            </w:tcBorders>
            <w:shd w:val="clear" w:color="auto" w:fill="FFFFFF"/>
            <w:vAlign w:val="center"/>
          </w:tcPr>
          <w:p w14:paraId="6B38BF4F">
            <w:pPr>
              <w:snapToGrid w:val="0"/>
              <w:jc w:val="center"/>
              <w:rPr>
                <w:rFonts w:ascii="宋体" w:hAnsi="宋体" w:eastAsia="宋体" w:cs="Times New Roman"/>
                <w:b/>
                <w:szCs w:val="21"/>
              </w:rPr>
            </w:pPr>
            <w:r>
              <w:rPr>
                <w:rFonts w:ascii="宋体" w:hAnsi="宋体" w:eastAsia="宋体" w:cs="Times New Roman"/>
                <w:b/>
                <w:szCs w:val="21"/>
              </w:rPr>
              <w:t>对应的毕业要求指标点</w:t>
            </w:r>
          </w:p>
        </w:tc>
      </w:tr>
      <w:tr w14:paraId="7E77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468D028E">
            <w:pPr>
              <w:snapToGrid w:val="0"/>
              <w:spacing w:line="276" w:lineRule="auto"/>
              <w:rPr>
                <w:rFonts w:ascii="宋体" w:hAnsi="宋体" w:eastAsia="宋体" w:cs="Times New Roman"/>
                <w:szCs w:val="21"/>
              </w:rPr>
            </w:pPr>
            <w:r>
              <w:rPr>
                <w:rFonts w:hint="eastAsia" w:ascii="宋体" w:hAnsi="宋体" w:eastAsia="宋体" w:cs="Times New Roman"/>
                <w:szCs w:val="21"/>
              </w:rPr>
              <w:t>教学实训态度</w:t>
            </w:r>
          </w:p>
        </w:tc>
        <w:tc>
          <w:tcPr>
            <w:tcW w:w="1161" w:type="pct"/>
            <w:tcBorders>
              <w:top w:val="single" w:color="auto" w:sz="4" w:space="0"/>
              <w:left w:val="single" w:color="auto" w:sz="4" w:space="0"/>
              <w:bottom w:val="single" w:color="auto" w:sz="4" w:space="0"/>
              <w:right w:val="single" w:color="auto" w:sz="4" w:space="0"/>
            </w:tcBorders>
            <w:vAlign w:val="center"/>
          </w:tcPr>
          <w:p w14:paraId="3AD483FE">
            <w:pPr>
              <w:snapToGrid w:val="0"/>
              <w:spacing w:line="276" w:lineRule="auto"/>
              <w:rPr>
                <w:rFonts w:ascii="宋体" w:hAnsi="宋体" w:eastAsia="宋体" w:cs="Times New Roman"/>
                <w:szCs w:val="21"/>
              </w:rPr>
            </w:pPr>
            <w:r>
              <w:rPr>
                <w:rFonts w:hint="eastAsia" w:ascii="宋体" w:hAnsi="宋体" w:eastAsia="宋体" w:cs="Times New Roman"/>
                <w:szCs w:val="21"/>
              </w:rPr>
              <w:t>学生出勤情况及实训</w:t>
            </w:r>
            <w:r>
              <w:rPr>
                <w:rFonts w:ascii="宋体" w:hAnsi="宋体" w:eastAsia="宋体" w:cs="Times New Roman"/>
                <w:szCs w:val="21"/>
              </w:rPr>
              <w:t>态度，</w:t>
            </w:r>
            <w:r>
              <w:rPr>
                <w:rFonts w:hint="eastAsia" w:ascii="宋体" w:hAnsi="宋体" w:eastAsia="宋体" w:cs="Times New Roman"/>
                <w:szCs w:val="21"/>
              </w:rPr>
              <w:t>遵守学校教学常规制度，教学实训手册填写等</w:t>
            </w:r>
          </w:p>
        </w:tc>
        <w:tc>
          <w:tcPr>
            <w:tcW w:w="378" w:type="pct"/>
            <w:tcBorders>
              <w:top w:val="single" w:color="auto" w:sz="4" w:space="0"/>
              <w:left w:val="single" w:color="auto" w:sz="4" w:space="0"/>
              <w:bottom w:val="single" w:color="auto" w:sz="4" w:space="0"/>
              <w:right w:val="single" w:color="auto" w:sz="4" w:space="0"/>
            </w:tcBorders>
            <w:vAlign w:val="center"/>
          </w:tcPr>
          <w:p w14:paraId="392B5D20">
            <w:pPr>
              <w:snapToGrid w:val="0"/>
              <w:spacing w:line="276" w:lineRule="auto"/>
              <w:rPr>
                <w:rFonts w:ascii="宋体" w:hAnsi="宋体" w:eastAsia="宋体" w:cs="Times New Roman"/>
                <w:szCs w:val="21"/>
              </w:rPr>
            </w:pPr>
            <w:r>
              <w:rPr>
                <w:rFonts w:ascii="宋体" w:hAnsi="宋体" w:eastAsia="宋体" w:cs="Times New Roman"/>
                <w:szCs w:val="21"/>
              </w:rPr>
              <w:t>10%</w:t>
            </w:r>
          </w:p>
        </w:tc>
        <w:tc>
          <w:tcPr>
            <w:tcW w:w="1643" w:type="pct"/>
            <w:tcBorders>
              <w:top w:val="single" w:color="auto" w:sz="4" w:space="0"/>
              <w:left w:val="single" w:color="auto" w:sz="4" w:space="0"/>
              <w:bottom w:val="single" w:color="auto" w:sz="4" w:space="0"/>
              <w:right w:val="single" w:color="auto" w:sz="4" w:space="0"/>
            </w:tcBorders>
            <w:vAlign w:val="center"/>
          </w:tcPr>
          <w:p w14:paraId="60C89BA0">
            <w:pPr>
              <w:snapToGrid w:val="0"/>
              <w:spacing w:line="276" w:lineRule="auto"/>
              <w:rPr>
                <w:rFonts w:ascii="宋体" w:hAnsi="宋体" w:eastAsia="宋体" w:cs="Times New Roman"/>
                <w:szCs w:val="21"/>
              </w:rPr>
            </w:pPr>
            <w:r>
              <w:rPr>
                <w:rFonts w:ascii="宋体" w:hAnsi="宋体" w:eastAsia="宋体" w:cs="Times New Roman"/>
                <w:szCs w:val="21"/>
              </w:rPr>
              <w:t>重点考核：学生的出勤情况</w:t>
            </w:r>
            <w:r>
              <w:rPr>
                <w:rFonts w:hint="eastAsia" w:ascii="宋体" w:hAnsi="宋体" w:eastAsia="宋体" w:cs="Times New Roman"/>
                <w:szCs w:val="21"/>
              </w:rPr>
              <w:t>，教学实训任务完成情况，教学实训手册填写情况</w:t>
            </w:r>
            <w:r>
              <w:rPr>
                <w:rFonts w:ascii="宋体" w:hAnsi="宋体" w:eastAsia="宋体" w:cs="Times New Roman"/>
                <w:szCs w:val="21"/>
              </w:rPr>
              <w:t>。</w:t>
            </w:r>
          </w:p>
        </w:tc>
        <w:tc>
          <w:tcPr>
            <w:tcW w:w="678" w:type="pct"/>
            <w:tcBorders>
              <w:top w:val="single" w:color="auto" w:sz="4" w:space="0"/>
              <w:left w:val="single" w:color="auto" w:sz="4" w:space="0"/>
              <w:bottom w:val="single" w:color="auto" w:sz="4" w:space="0"/>
              <w:right w:val="single" w:color="auto" w:sz="4" w:space="0"/>
            </w:tcBorders>
            <w:vAlign w:val="center"/>
          </w:tcPr>
          <w:p w14:paraId="6D1F3AA7">
            <w:pPr>
              <w:snapToGrid w:val="0"/>
              <w:spacing w:line="276" w:lineRule="auto"/>
              <w:rPr>
                <w:rFonts w:ascii="宋体" w:hAnsi="宋体" w:eastAsia="宋体" w:cs="Times New Roman"/>
                <w:szCs w:val="21"/>
              </w:rPr>
            </w:pPr>
            <w:r>
              <w:rPr>
                <w:rFonts w:hint="eastAsia" w:ascii="宋体" w:hAnsi="宋体" w:eastAsia="宋体" w:cs="Times New Roman"/>
                <w:szCs w:val="21"/>
              </w:rPr>
              <w:t>课程目标1、2、3</w:t>
            </w:r>
          </w:p>
        </w:tc>
        <w:tc>
          <w:tcPr>
            <w:tcW w:w="643" w:type="pct"/>
            <w:tcBorders>
              <w:top w:val="single" w:color="auto" w:sz="4" w:space="0"/>
              <w:left w:val="single" w:color="auto" w:sz="4" w:space="0"/>
              <w:bottom w:val="single" w:color="auto" w:sz="4" w:space="0"/>
              <w:right w:val="single" w:color="auto" w:sz="4" w:space="0"/>
            </w:tcBorders>
            <w:vAlign w:val="center"/>
          </w:tcPr>
          <w:p w14:paraId="1F621A42">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r>
              <w:rPr>
                <w:rFonts w:hint="eastAsia" w:ascii="宋体" w:hAnsi="宋体" w:eastAsia="宋体" w:cs="Times New Roman"/>
                <w:szCs w:val="21"/>
              </w:rPr>
              <w:t>、</w:t>
            </w:r>
            <w:r>
              <w:rPr>
                <w:rFonts w:ascii="宋体" w:hAnsi="宋体" w:eastAsia="宋体" w:cs="Times New Roman"/>
                <w:szCs w:val="21"/>
              </w:rPr>
              <w:t>7-3</w:t>
            </w:r>
          </w:p>
        </w:tc>
      </w:tr>
      <w:tr w14:paraId="5853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7F8AE0A2">
            <w:pPr>
              <w:snapToGrid w:val="0"/>
              <w:spacing w:line="276" w:lineRule="auto"/>
              <w:rPr>
                <w:rFonts w:ascii="宋体" w:hAnsi="宋体" w:eastAsia="宋体" w:cs="Times New Roman"/>
                <w:szCs w:val="21"/>
              </w:rPr>
            </w:pPr>
            <w:r>
              <w:rPr>
                <w:rFonts w:hint="eastAsia" w:ascii="宋体" w:hAnsi="宋体" w:eastAsia="宋体" w:cs="Times New Roman"/>
                <w:szCs w:val="21"/>
              </w:rPr>
              <w:t>教学设计实训</w:t>
            </w:r>
          </w:p>
        </w:tc>
        <w:tc>
          <w:tcPr>
            <w:tcW w:w="1161" w:type="pct"/>
            <w:tcBorders>
              <w:top w:val="single" w:color="auto" w:sz="4" w:space="0"/>
              <w:left w:val="single" w:color="auto" w:sz="4" w:space="0"/>
              <w:bottom w:val="single" w:color="auto" w:sz="4" w:space="0"/>
              <w:right w:val="single" w:color="auto" w:sz="4" w:space="0"/>
            </w:tcBorders>
            <w:vAlign w:val="center"/>
          </w:tcPr>
          <w:p w14:paraId="65599AAC">
            <w:pPr>
              <w:snapToGrid w:val="0"/>
              <w:spacing w:line="276" w:lineRule="auto"/>
              <w:rPr>
                <w:rFonts w:ascii="宋体" w:hAnsi="宋体" w:eastAsia="宋体" w:cs="Times New Roman"/>
                <w:szCs w:val="21"/>
              </w:rPr>
            </w:pPr>
            <w:r>
              <w:rPr>
                <w:rFonts w:hint="eastAsia" w:ascii="宋体" w:hAnsi="宋体" w:eastAsia="宋体" w:cs="Times New Roman"/>
                <w:szCs w:val="21"/>
              </w:rPr>
              <w:t>根据教学方案、说课稿撰写情况</w:t>
            </w:r>
          </w:p>
        </w:tc>
        <w:tc>
          <w:tcPr>
            <w:tcW w:w="378" w:type="pct"/>
            <w:tcBorders>
              <w:top w:val="single" w:color="auto" w:sz="4" w:space="0"/>
              <w:left w:val="single" w:color="auto" w:sz="4" w:space="0"/>
              <w:bottom w:val="single" w:color="auto" w:sz="4" w:space="0"/>
              <w:right w:val="single" w:color="auto" w:sz="4" w:space="0"/>
            </w:tcBorders>
            <w:vAlign w:val="center"/>
          </w:tcPr>
          <w:p w14:paraId="1F4E788E">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643" w:type="pct"/>
            <w:tcBorders>
              <w:top w:val="single" w:color="auto" w:sz="4" w:space="0"/>
              <w:left w:val="single" w:color="auto" w:sz="4" w:space="0"/>
              <w:bottom w:val="single" w:color="auto" w:sz="4" w:space="0"/>
              <w:right w:val="single" w:color="auto" w:sz="4" w:space="0"/>
            </w:tcBorders>
            <w:vAlign w:val="center"/>
          </w:tcPr>
          <w:p w14:paraId="2CFCB4CD">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教学设计、说课稿的规范性、合理性、可操作性。</w:t>
            </w:r>
          </w:p>
        </w:tc>
        <w:tc>
          <w:tcPr>
            <w:tcW w:w="678" w:type="pct"/>
            <w:tcBorders>
              <w:top w:val="single" w:color="auto" w:sz="4" w:space="0"/>
              <w:left w:val="single" w:color="auto" w:sz="4" w:space="0"/>
              <w:bottom w:val="single" w:color="auto" w:sz="4" w:space="0"/>
              <w:right w:val="single" w:color="auto" w:sz="4" w:space="0"/>
            </w:tcBorders>
            <w:vAlign w:val="center"/>
          </w:tcPr>
          <w:p w14:paraId="0EF97654">
            <w:pPr>
              <w:snapToGrid w:val="0"/>
              <w:spacing w:line="276" w:lineRule="auto"/>
              <w:rPr>
                <w:rFonts w:ascii="宋体" w:hAnsi="宋体" w:eastAsia="宋体" w:cs="Times New Roman"/>
                <w:szCs w:val="21"/>
              </w:rPr>
            </w:pPr>
            <w:r>
              <w:rPr>
                <w:rFonts w:hint="eastAsia" w:ascii="宋体" w:hAnsi="宋体" w:eastAsia="宋体" w:cs="Times New Roman"/>
                <w:szCs w:val="21"/>
              </w:rPr>
              <w:t>课程目标1</w:t>
            </w:r>
          </w:p>
        </w:tc>
        <w:tc>
          <w:tcPr>
            <w:tcW w:w="643" w:type="pct"/>
            <w:tcBorders>
              <w:top w:val="single" w:color="auto" w:sz="4" w:space="0"/>
              <w:left w:val="single" w:color="auto" w:sz="4" w:space="0"/>
              <w:bottom w:val="single" w:color="auto" w:sz="4" w:space="0"/>
              <w:right w:val="single" w:color="auto" w:sz="4" w:space="0"/>
            </w:tcBorders>
            <w:vAlign w:val="center"/>
          </w:tcPr>
          <w:p w14:paraId="41659C83">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0CBA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4679D2E0">
            <w:pPr>
              <w:snapToGrid w:val="0"/>
              <w:spacing w:line="276" w:lineRule="auto"/>
              <w:rPr>
                <w:rFonts w:ascii="宋体" w:hAnsi="宋体" w:eastAsia="宋体" w:cs="Times New Roman"/>
                <w:szCs w:val="21"/>
              </w:rPr>
            </w:pPr>
            <w:r>
              <w:rPr>
                <w:rFonts w:hint="eastAsia" w:ascii="宋体" w:hAnsi="宋体" w:eastAsia="宋体" w:cs="Times New Roman"/>
                <w:szCs w:val="21"/>
              </w:rPr>
              <w:t>说课实训</w:t>
            </w:r>
          </w:p>
        </w:tc>
        <w:tc>
          <w:tcPr>
            <w:tcW w:w="1161" w:type="pct"/>
            <w:tcBorders>
              <w:top w:val="single" w:color="auto" w:sz="4" w:space="0"/>
              <w:left w:val="single" w:color="auto" w:sz="4" w:space="0"/>
              <w:bottom w:val="single" w:color="auto" w:sz="4" w:space="0"/>
              <w:right w:val="single" w:color="auto" w:sz="4" w:space="0"/>
            </w:tcBorders>
            <w:vAlign w:val="center"/>
          </w:tcPr>
          <w:p w14:paraId="77FD2D82">
            <w:pPr>
              <w:snapToGrid w:val="0"/>
              <w:spacing w:line="276" w:lineRule="auto"/>
              <w:rPr>
                <w:rFonts w:ascii="宋体" w:hAnsi="宋体" w:eastAsia="宋体" w:cs="Times New Roman"/>
                <w:szCs w:val="21"/>
              </w:rPr>
            </w:pPr>
            <w:r>
              <w:rPr>
                <w:rFonts w:hint="eastAsia" w:ascii="宋体" w:hAnsi="宋体" w:eastAsia="宋体" w:cs="Times New Roman"/>
                <w:szCs w:val="21"/>
              </w:rPr>
              <w:t>根据说课实际情况</w:t>
            </w:r>
          </w:p>
        </w:tc>
        <w:tc>
          <w:tcPr>
            <w:tcW w:w="378" w:type="pct"/>
            <w:tcBorders>
              <w:top w:val="single" w:color="auto" w:sz="4" w:space="0"/>
              <w:left w:val="single" w:color="auto" w:sz="4" w:space="0"/>
              <w:bottom w:val="single" w:color="auto" w:sz="4" w:space="0"/>
              <w:right w:val="single" w:color="auto" w:sz="4" w:space="0"/>
            </w:tcBorders>
            <w:vAlign w:val="center"/>
          </w:tcPr>
          <w:p w14:paraId="63596BCA">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643" w:type="pct"/>
            <w:tcBorders>
              <w:top w:val="single" w:color="auto" w:sz="4" w:space="0"/>
              <w:left w:val="single" w:color="auto" w:sz="4" w:space="0"/>
              <w:bottom w:val="single" w:color="auto" w:sz="4" w:space="0"/>
              <w:right w:val="single" w:color="auto" w:sz="4" w:space="0"/>
            </w:tcBorders>
            <w:vAlign w:val="center"/>
          </w:tcPr>
          <w:p w14:paraId="1B379BC4">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说课实训效果</w:t>
            </w:r>
          </w:p>
        </w:tc>
        <w:tc>
          <w:tcPr>
            <w:tcW w:w="678" w:type="pct"/>
            <w:tcBorders>
              <w:top w:val="single" w:color="auto" w:sz="4" w:space="0"/>
              <w:left w:val="single" w:color="auto" w:sz="4" w:space="0"/>
              <w:bottom w:val="single" w:color="auto" w:sz="4" w:space="0"/>
              <w:right w:val="single" w:color="auto" w:sz="4" w:space="0"/>
            </w:tcBorders>
            <w:vAlign w:val="center"/>
          </w:tcPr>
          <w:p w14:paraId="1AEBD99E">
            <w:pPr>
              <w:snapToGrid w:val="0"/>
              <w:spacing w:line="276" w:lineRule="auto"/>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643" w:type="pct"/>
            <w:tcBorders>
              <w:top w:val="single" w:color="auto" w:sz="4" w:space="0"/>
              <w:left w:val="single" w:color="auto" w:sz="4" w:space="0"/>
              <w:bottom w:val="single" w:color="auto" w:sz="4" w:space="0"/>
              <w:right w:val="single" w:color="auto" w:sz="4" w:space="0"/>
            </w:tcBorders>
            <w:vAlign w:val="center"/>
          </w:tcPr>
          <w:p w14:paraId="013DEF2C">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7C1C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4" w:type="pct"/>
            <w:tcBorders>
              <w:top w:val="single" w:color="auto" w:sz="4" w:space="0"/>
              <w:left w:val="single" w:color="auto" w:sz="4" w:space="0"/>
              <w:bottom w:val="single" w:color="auto" w:sz="4" w:space="0"/>
              <w:right w:val="single" w:color="auto" w:sz="4" w:space="0"/>
            </w:tcBorders>
            <w:vAlign w:val="center"/>
          </w:tcPr>
          <w:p w14:paraId="4CACBE59">
            <w:pPr>
              <w:snapToGrid w:val="0"/>
              <w:spacing w:line="276" w:lineRule="auto"/>
              <w:rPr>
                <w:rFonts w:ascii="宋体" w:hAnsi="宋体" w:eastAsia="宋体" w:cs="Times New Roman"/>
                <w:szCs w:val="21"/>
              </w:rPr>
            </w:pPr>
            <w:r>
              <w:rPr>
                <w:rFonts w:hint="eastAsia" w:ascii="宋体" w:hAnsi="宋体" w:eastAsia="宋体" w:cs="Times New Roman"/>
                <w:szCs w:val="21"/>
              </w:rPr>
              <w:t>课堂教学实训</w:t>
            </w:r>
          </w:p>
        </w:tc>
        <w:tc>
          <w:tcPr>
            <w:tcW w:w="1161" w:type="pct"/>
            <w:tcBorders>
              <w:top w:val="single" w:color="auto" w:sz="4" w:space="0"/>
              <w:left w:val="single" w:color="auto" w:sz="4" w:space="0"/>
              <w:bottom w:val="single" w:color="auto" w:sz="4" w:space="0"/>
              <w:right w:val="single" w:color="auto" w:sz="4" w:space="0"/>
            </w:tcBorders>
            <w:vAlign w:val="center"/>
          </w:tcPr>
          <w:p w14:paraId="3A86D513">
            <w:pPr>
              <w:snapToGrid w:val="0"/>
              <w:spacing w:line="276" w:lineRule="auto"/>
              <w:rPr>
                <w:rFonts w:ascii="宋体" w:hAnsi="宋体" w:eastAsia="宋体" w:cs="Times New Roman"/>
                <w:szCs w:val="21"/>
              </w:rPr>
            </w:pPr>
            <w:r>
              <w:rPr>
                <w:rFonts w:hint="eastAsia" w:ascii="宋体" w:hAnsi="宋体" w:eastAsia="宋体" w:cs="Times New Roman"/>
                <w:szCs w:val="21"/>
              </w:rPr>
              <w:t>根据课堂教学（模拟教学）实际情况。</w:t>
            </w:r>
          </w:p>
        </w:tc>
        <w:tc>
          <w:tcPr>
            <w:tcW w:w="378" w:type="pct"/>
            <w:tcBorders>
              <w:top w:val="single" w:color="auto" w:sz="4" w:space="0"/>
              <w:left w:val="single" w:color="auto" w:sz="4" w:space="0"/>
              <w:bottom w:val="single" w:color="auto" w:sz="4" w:space="0"/>
              <w:right w:val="single" w:color="auto" w:sz="4" w:space="0"/>
            </w:tcBorders>
            <w:vAlign w:val="center"/>
          </w:tcPr>
          <w:p w14:paraId="52718BA7">
            <w:pPr>
              <w:snapToGrid w:val="0"/>
              <w:spacing w:line="276" w:lineRule="auto"/>
              <w:rPr>
                <w:rFonts w:ascii="宋体" w:hAnsi="宋体" w:eastAsia="宋体" w:cs="Times New Roman"/>
                <w:szCs w:val="21"/>
              </w:rPr>
            </w:pPr>
            <w:r>
              <w:rPr>
                <w:rFonts w:ascii="宋体" w:hAnsi="宋体" w:eastAsia="宋体" w:cs="Times New Roman"/>
                <w:szCs w:val="21"/>
              </w:rPr>
              <w:t>40%</w:t>
            </w:r>
          </w:p>
        </w:tc>
        <w:tc>
          <w:tcPr>
            <w:tcW w:w="1643" w:type="pct"/>
            <w:tcBorders>
              <w:top w:val="single" w:color="auto" w:sz="4" w:space="0"/>
              <w:left w:val="single" w:color="auto" w:sz="4" w:space="0"/>
              <w:bottom w:val="single" w:color="auto" w:sz="4" w:space="0"/>
              <w:right w:val="single" w:color="auto" w:sz="4" w:space="0"/>
            </w:tcBorders>
            <w:vAlign w:val="center"/>
          </w:tcPr>
          <w:p w14:paraId="6A9F46DC">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课堂教学实训效果</w:t>
            </w:r>
          </w:p>
        </w:tc>
        <w:tc>
          <w:tcPr>
            <w:tcW w:w="678" w:type="pct"/>
            <w:tcBorders>
              <w:top w:val="single" w:color="auto" w:sz="4" w:space="0"/>
              <w:left w:val="single" w:color="auto" w:sz="4" w:space="0"/>
              <w:bottom w:val="single" w:color="auto" w:sz="4" w:space="0"/>
              <w:right w:val="single" w:color="auto" w:sz="4" w:space="0"/>
            </w:tcBorders>
            <w:vAlign w:val="center"/>
          </w:tcPr>
          <w:p w14:paraId="6966FDEA">
            <w:pPr>
              <w:snapToGrid w:val="0"/>
              <w:spacing w:line="276" w:lineRule="auto"/>
              <w:rPr>
                <w:rFonts w:ascii="宋体" w:hAnsi="宋体" w:eastAsia="宋体" w:cs="Times New Roman"/>
                <w:szCs w:val="21"/>
              </w:rPr>
            </w:pPr>
            <w:r>
              <w:rPr>
                <w:rFonts w:hint="eastAsia" w:ascii="宋体" w:hAnsi="宋体" w:eastAsia="宋体" w:cs="Times New Roman"/>
                <w:szCs w:val="21"/>
              </w:rPr>
              <w:t>课程目标2</w:t>
            </w:r>
          </w:p>
        </w:tc>
        <w:tc>
          <w:tcPr>
            <w:tcW w:w="643" w:type="pct"/>
            <w:tcBorders>
              <w:top w:val="single" w:color="auto" w:sz="4" w:space="0"/>
              <w:left w:val="single" w:color="auto" w:sz="4" w:space="0"/>
              <w:bottom w:val="single" w:color="auto" w:sz="4" w:space="0"/>
              <w:right w:val="single" w:color="auto" w:sz="4" w:space="0"/>
            </w:tcBorders>
            <w:vAlign w:val="center"/>
          </w:tcPr>
          <w:p w14:paraId="3F0536B6">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224C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94" w:type="pct"/>
            <w:tcBorders>
              <w:top w:val="single" w:color="auto" w:sz="4" w:space="0"/>
              <w:left w:val="single" w:color="auto" w:sz="4" w:space="0"/>
              <w:bottom w:val="single" w:color="auto" w:sz="4" w:space="0"/>
              <w:right w:val="single" w:color="auto" w:sz="4" w:space="0"/>
            </w:tcBorders>
            <w:vAlign w:val="center"/>
          </w:tcPr>
          <w:p w14:paraId="0A1672DF">
            <w:pPr>
              <w:snapToGrid w:val="0"/>
              <w:spacing w:line="276" w:lineRule="auto"/>
              <w:rPr>
                <w:rFonts w:ascii="宋体" w:hAnsi="宋体" w:eastAsia="宋体" w:cs="Times New Roman"/>
                <w:szCs w:val="21"/>
              </w:rPr>
            </w:pPr>
            <w:r>
              <w:rPr>
                <w:rFonts w:hint="eastAsia" w:ascii="宋体" w:hAnsi="宋体" w:eastAsia="宋体" w:cs="Times New Roman"/>
                <w:szCs w:val="21"/>
              </w:rPr>
              <w:t>教学实训成果汇报</w:t>
            </w:r>
          </w:p>
        </w:tc>
        <w:tc>
          <w:tcPr>
            <w:tcW w:w="1161" w:type="pct"/>
            <w:tcBorders>
              <w:top w:val="single" w:color="auto" w:sz="4" w:space="0"/>
              <w:left w:val="single" w:color="auto" w:sz="4" w:space="0"/>
              <w:bottom w:val="single" w:color="auto" w:sz="4" w:space="0"/>
              <w:right w:val="single" w:color="auto" w:sz="4" w:space="0"/>
            </w:tcBorders>
            <w:vAlign w:val="center"/>
          </w:tcPr>
          <w:p w14:paraId="72C2E527">
            <w:pPr>
              <w:snapToGrid w:val="0"/>
              <w:spacing w:line="276" w:lineRule="auto"/>
              <w:rPr>
                <w:rFonts w:ascii="宋体" w:hAnsi="宋体" w:eastAsia="宋体" w:cs="Times New Roman"/>
                <w:szCs w:val="21"/>
              </w:rPr>
            </w:pPr>
            <w:r>
              <w:rPr>
                <w:rFonts w:hint="eastAsia" w:ascii="宋体" w:hAnsi="宋体" w:eastAsia="宋体" w:cs="Times New Roman"/>
                <w:szCs w:val="21"/>
              </w:rPr>
              <w:t>学生依据教学设计，从说课、课堂教学等方面进行成果汇报。</w:t>
            </w:r>
          </w:p>
        </w:tc>
        <w:tc>
          <w:tcPr>
            <w:tcW w:w="378" w:type="pct"/>
            <w:tcBorders>
              <w:top w:val="single" w:color="auto" w:sz="4" w:space="0"/>
              <w:left w:val="single" w:color="auto" w:sz="4" w:space="0"/>
              <w:bottom w:val="single" w:color="auto" w:sz="4" w:space="0"/>
              <w:right w:val="single" w:color="auto" w:sz="4" w:space="0"/>
            </w:tcBorders>
            <w:vAlign w:val="center"/>
          </w:tcPr>
          <w:p w14:paraId="5ED9BAFF">
            <w:pPr>
              <w:snapToGrid w:val="0"/>
              <w:spacing w:line="276" w:lineRule="auto"/>
              <w:rPr>
                <w:rFonts w:ascii="宋体" w:hAnsi="宋体" w:eastAsia="宋体" w:cs="Times New Roman"/>
                <w:szCs w:val="21"/>
              </w:rPr>
            </w:pPr>
            <w:r>
              <w:rPr>
                <w:rFonts w:ascii="宋体" w:hAnsi="宋体" w:eastAsia="宋体" w:cs="Times New Roman"/>
                <w:szCs w:val="21"/>
              </w:rPr>
              <w:t>10%</w:t>
            </w:r>
          </w:p>
        </w:tc>
        <w:tc>
          <w:tcPr>
            <w:tcW w:w="1643" w:type="pct"/>
            <w:tcBorders>
              <w:top w:val="single" w:color="auto" w:sz="4" w:space="0"/>
              <w:left w:val="single" w:color="auto" w:sz="4" w:space="0"/>
              <w:bottom w:val="single" w:color="auto" w:sz="4" w:space="0"/>
              <w:right w:val="single" w:color="auto" w:sz="4" w:space="0"/>
            </w:tcBorders>
            <w:vAlign w:val="center"/>
          </w:tcPr>
          <w:p w14:paraId="7D576F92">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说课、课堂教学汇报效果，教学实训总结。</w:t>
            </w:r>
          </w:p>
        </w:tc>
        <w:tc>
          <w:tcPr>
            <w:tcW w:w="678" w:type="pct"/>
            <w:tcBorders>
              <w:top w:val="single" w:color="auto" w:sz="4" w:space="0"/>
              <w:left w:val="single" w:color="auto" w:sz="4" w:space="0"/>
              <w:bottom w:val="single" w:color="auto" w:sz="4" w:space="0"/>
              <w:right w:val="single" w:color="auto" w:sz="4" w:space="0"/>
            </w:tcBorders>
            <w:vAlign w:val="center"/>
          </w:tcPr>
          <w:p w14:paraId="7182D3EB">
            <w:pPr>
              <w:snapToGrid w:val="0"/>
              <w:spacing w:line="276" w:lineRule="auto"/>
              <w:rPr>
                <w:rFonts w:ascii="宋体" w:hAnsi="宋体" w:eastAsia="宋体" w:cs="Times New Roman"/>
                <w:szCs w:val="21"/>
              </w:rPr>
            </w:pPr>
            <w:r>
              <w:rPr>
                <w:rFonts w:hint="eastAsia" w:ascii="宋体" w:hAnsi="宋体" w:eastAsia="宋体" w:cs="Times New Roman"/>
                <w:szCs w:val="21"/>
              </w:rPr>
              <w:t>课程目标3</w:t>
            </w:r>
          </w:p>
        </w:tc>
        <w:tc>
          <w:tcPr>
            <w:tcW w:w="643" w:type="pct"/>
            <w:tcBorders>
              <w:top w:val="single" w:color="auto" w:sz="4" w:space="0"/>
              <w:left w:val="single" w:color="auto" w:sz="4" w:space="0"/>
              <w:bottom w:val="single" w:color="auto" w:sz="4" w:space="0"/>
              <w:right w:val="single" w:color="auto" w:sz="4" w:space="0"/>
            </w:tcBorders>
            <w:vAlign w:val="center"/>
          </w:tcPr>
          <w:p w14:paraId="25F0AC01">
            <w:pPr>
              <w:snapToGrid w:val="0"/>
              <w:spacing w:line="276" w:lineRule="auto"/>
              <w:rPr>
                <w:rFonts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-3</w:t>
            </w:r>
          </w:p>
        </w:tc>
      </w:tr>
    </w:tbl>
    <w:p w14:paraId="7636D847">
      <w:pPr>
        <w:snapToGrid w:val="0"/>
        <w:spacing w:line="360" w:lineRule="auto"/>
        <w:rPr>
          <w:rFonts w:ascii="宋体" w:hAnsi="宋体" w:eastAsia="宋体" w:cs="Times New Roman"/>
          <w:color w:val="000000"/>
          <w:sz w:val="24"/>
          <w:szCs w:val="24"/>
        </w:rPr>
      </w:pPr>
    </w:p>
    <w:p w14:paraId="6A6C9A85">
      <w:pPr>
        <w:snapToGrid w:val="0"/>
        <w:spacing w:line="360" w:lineRule="auto"/>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8916" w:type="dxa"/>
        <w:tblInd w:w="0" w:type="dxa"/>
        <w:tblLayout w:type="autofit"/>
        <w:tblCellMar>
          <w:top w:w="0" w:type="dxa"/>
          <w:left w:w="108" w:type="dxa"/>
          <w:bottom w:w="0" w:type="dxa"/>
          <w:right w:w="108" w:type="dxa"/>
        </w:tblCellMar>
      </w:tblPr>
      <w:tblGrid>
        <w:gridCol w:w="2122"/>
        <w:gridCol w:w="1275"/>
        <w:gridCol w:w="2127"/>
        <w:gridCol w:w="2159"/>
        <w:gridCol w:w="1233"/>
      </w:tblGrid>
      <w:tr w14:paraId="223087A7">
        <w:tblPrEx>
          <w:tblCellMar>
            <w:top w:w="0" w:type="dxa"/>
            <w:left w:w="108" w:type="dxa"/>
            <w:bottom w:w="0" w:type="dxa"/>
            <w:right w:w="108" w:type="dxa"/>
          </w:tblCellMar>
        </w:tblPrEx>
        <w:trPr>
          <w:trHeight w:val="411" w:hRule="atLeast"/>
        </w:trPr>
        <w:tc>
          <w:tcPr>
            <w:tcW w:w="3397" w:type="dxa"/>
            <w:gridSpan w:val="2"/>
            <w:tcBorders>
              <w:top w:val="single" w:color="auto" w:sz="4" w:space="0"/>
              <w:left w:val="single" w:color="auto" w:sz="4" w:space="0"/>
              <w:bottom w:val="single" w:color="auto" w:sz="4" w:space="0"/>
              <w:right w:val="single" w:color="auto" w:sz="4" w:space="0"/>
            </w:tcBorders>
            <w:vAlign w:val="center"/>
          </w:tcPr>
          <w:p w14:paraId="7934AD1B">
            <w:pPr>
              <w:widowControl/>
              <w:snapToGrid w:val="0"/>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课程目标及权重</w:t>
            </w:r>
          </w:p>
        </w:tc>
        <w:tc>
          <w:tcPr>
            <w:tcW w:w="5519" w:type="dxa"/>
            <w:gridSpan w:val="3"/>
            <w:tcBorders>
              <w:top w:val="single" w:color="auto" w:sz="4" w:space="0"/>
              <w:left w:val="single" w:color="auto" w:sz="4" w:space="0"/>
              <w:bottom w:val="single" w:color="auto" w:sz="4" w:space="0"/>
              <w:right w:val="single" w:color="auto" w:sz="4" w:space="0"/>
            </w:tcBorders>
            <w:vAlign w:val="center"/>
          </w:tcPr>
          <w:p w14:paraId="45C4368D">
            <w:pPr>
              <w:widowControl/>
              <w:snapToGrid w:val="0"/>
              <w:spacing w:line="276" w:lineRule="auto"/>
              <w:ind w:right="-391" w:rightChars="-186"/>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考核方式及权重</w:t>
            </w:r>
          </w:p>
        </w:tc>
      </w:tr>
      <w:tr w14:paraId="77DA75C6">
        <w:tblPrEx>
          <w:tblCellMar>
            <w:top w:w="0" w:type="dxa"/>
            <w:left w:w="108" w:type="dxa"/>
            <w:bottom w:w="0" w:type="dxa"/>
            <w:right w:w="108" w:type="dxa"/>
          </w:tblCellMar>
        </w:tblPrEx>
        <w:trPr>
          <w:trHeight w:val="634" w:hRule="atLeast"/>
        </w:trPr>
        <w:tc>
          <w:tcPr>
            <w:tcW w:w="2122" w:type="dxa"/>
            <w:tcBorders>
              <w:top w:val="single" w:color="auto" w:sz="4" w:space="0"/>
              <w:left w:val="single" w:color="auto" w:sz="4" w:space="0"/>
              <w:bottom w:val="single" w:color="auto" w:sz="4" w:space="0"/>
              <w:right w:val="single" w:color="auto" w:sz="4" w:space="0"/>
            </w:tcBorders>
            <w:vAlign w:val="center"/>
          </w:tcPr>
          <w:p w14:paraId="4C2DC44A">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275" w:type="dxa"/>
            <w:tcBorders>
              <w:top w:val="single" w:color="auto" w:sz="4" w:space="0"/>
              <w:left w:val="single" w:color="auto" w:sz="4" w:space="0"/>
              <w:bottom w:val="single" w:color="auto" w:sz="4" w:space="0"/>
              <w:right w:val="single" w:color="auto" w:sz="4" w:space="0"/>
            </w:tcBorders>
            <w:vAlign w:val="center"/>
          </w:tcPr>
          <w:p w14:paraId="595A945A">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127" w:type="dxa"/>
            <w:tcBorders>
              <w:top w:val="single" w:color="auto" w:sz="4" w:space="0"/>
              <w:left w:val="single" w:color="auto" w:sz="4" w:space="0"/>
              <w:bottom w:val="single" w:color="auto" w:sz="4" w:space="0"/>
              <w:right w:val="single" w:color="auto" w:sz="4" w:space="0"/>
            </w:tcBorders>
            <w:vAlign w:val="center"/>
          </w:tcPr>
          <w:p w14:paraId="2D2377B3">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2159" w:type="dxa"/>
            <w:tcBorders>
              <w:top w:val="single" w:color="auto" w:sz="4" w:space="0"/>
              <w:left w:val="single" w:color="auto" w:sz="4" w:space="0"/>
              <w:bottom w:val="single" w:color="auto" w:sz="4" w:space="0"/>
              <w:right w:val="single" w:color="auto" w:sz="4" w:space="0"/>
            </w:tcBorders>
            <w:vAlign w:val="center"/>
          </w:tcPr>
          <w:p w14:paraId="010DB6F8">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233" w:type="dxa"/>
            <w:tcBorders>
              <w:top w:val="single" w:color="auto" w:sz="4" w:space="0"/>
              <w:left w:val="single" w:color="auto" w:sz="4" w:space="0"/>
              <w:bottom w:val="single" w:color="auto" w:sz="4" w:space="0"/>
              <w:right w:val="single" w:color="auto" w:sz="4" w:space="0"/>
            </w:tcBorders>
          </w:tcPr>
          <w:p w14:paraId="602098EF">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31E7245E">
        <w:tblPrEx>
          <w:tblCellMar>
            <w:top w:w="0" w:type="dxa"/>
            <w:left w:w="108" w:type="dxa"/>
            <w:bottom w:w="0" w:type="dxa"/>
            <w:right w:w="108" w:type="dxa"/>
          </w:tblCellMar>
        </w:tblPrEx>
        <w:trPr>
          <w:trHeight w:val="426" w:hRule="atLeast"/>
        </w:trPr>
        <w:tc>
          <w:tcPr>
            <w:tcW w:w="2122" w:type="dxa"/>
            <w:vMerge w:val="restart"/>
            <w:tcBorders>
              <w:top w:val="single" w:color="auto" w:sz="4" w:space="0"/>
              <w:left w:val="single" w:color="auto" w:sz="4" w:space="0"/>
              <w:right w:val="single" w:color="auto" w:sz="4" w:space="0"/>
            </w:tcBorders>
            <w:vAlign w:val="center"/>
          </w:tcPr>
          <w:p w14:paraId="01E2E478">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275" w:type="dxa"/>
            <w:vMerge w:val="restart"/>
            <w:tcBorders>
              <w:top w:val="single" w:color="auto" w:sz="4" w:space="0"/>
              <w:left w:val="single" w:color="auto" w:sz="4" w:space="0"/>
              <w:right w:val="single" w:color="auto" w:sz="4" w:space="0"/>
            </w:tcBorders>
            <w:vAlign w:val="center"/>
          </w:tcPr>
          <w:p w14:paraId="1D18C01C">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127" w:type="dxa"/>
            <w:tcBorders>
              <w:top w:val="single" w:color="auto" w:sz="4" w:space="0"/>
              <w:left w:val="single" w:color="auto" w:sz="4" w:space="0"/>
              <w:bottom w:val="single" w:color="auto" w:sz="4" w:space="0"/>
              <w:right w:val="single" w:color="auto" w:sz="4" w:space="0"/>
            </w:tcBorders>
            <w:vAlign w:val="center"/>
          </w:tcPr>
          <w:p w14:paraId="4DFDB87F">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2F9E2613">
            <w:pPr>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233" w:type="dxa"/>
            <w:vMerge w:val="restart"/>
            <w:tcBorders>
              <w:top w:val="single" w:color="auto" w:sz="4" w:space="0"/>
              <w:left w:val="single" w:color="auto" w:sz="4" w:space="0"/>
              <w:right w:val="single" w:color="auto" w:sz="4" w:space="0"/>
            </w:tcBorders>
            <w:vAlign w:val="center"/>
          </w:tcPr>
          <w:p w14:paraId="3AF9288D">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02CF8B81">
        <w:tblPrEx>
          <w:tblCellMar>
            <w:top w:w="0" w:type="dxa"/>
            <w:left w:w="108" w:type="dxa"/>
            <w:bottom w:w="0" w:type="dxa"/>
            <w:right w:w="108" w:type="dxa"/>
          </w:tblCellMar>
        </w:tblPrEx>
        <w:trPr>
          <w:trHeight w:val="426" w:hRule="atLeast"/>
        </w:trPr>
        <w:tc>
          <w:tcPr>
            <w:tcW w:w="2122" w:type="dxa"/>
            <w:vMerge w:val="continue"/>
            <w:tcBorders>
              <w:left w:val="single" w:color="auto" w:sz="4" w:space="0"/>
              <w:bottom w:val="single" w:color="auto" w:sz="4" w:space="0"/>
              <w:right w:val="single" w:color="auto" w:sz="4" w:space="0"/>
            </w:tcBorders>
            <w:vAlign w:val="center"/>
          </w:tcPr>
          <w:p w14:paraId="6E42F716">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left w:val="single" w:color="auto" w:sz="4" w:space="0"/>
              <w:bottom w:val="single" w:color="auto" w:sz="4" w:space="0"/>
              <w:right w:val="single" w:color="auto" w:sz="4" w:space="0"/>
            </w:tcBorders>
            <w:vAlign w:val="center"/>
          </w:tcPr>
          <w:p w14:paraId="1EDFEE00">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6EB95F26">
            <w:pPr>
              <w:snapToGrid w:val="0"/>
              <w:spacing w:line="276" w:lineRule="auto"/>
              <w:rPr>
                <w:rFonts w:ascii="宋体" w:hAnsi="宋体" w:eastAsia="宋体" w:cs="Times New Roman"/>
                <w:szCs w:val="21"/>
              </w:rPr>
            </w:pPr>
            <w:r>
              <w:rPr>
                <w:rFonts w:hint="eastAsia" w:ascii="宋体" w:hAnsi="宋体" w:eastAsia="宋体" w:cs="Times New Roman"/>
                <w:szCs w:val="21"/>
              </w:rPr>
              <w:t>教学设计实训</w:t>
            </w:r>
          </w:p>
        </w:tc>
        <w:tc>
          <w:tcPr>
            <w:tcW w:w="2159" w:type="dxa"/>
            <w:tcBorders>
              <w:top w:val="single" w:color="auto" w:sz="4" w:space="0"/>
              <w:left w:val="single" w:color="auto" w:sz="4" w:space="0"/>
              <w:bottom w:val="single" w:color="auto" w:sz="4" w:space="0"/>
              <w:right w:val="single" w:color="auto" w:sz="4" w:space="0"/>
            </w:tcBorders>
            <w:vAlign w:val="center"/>
          </w:tcPr>
          <w:p w14:paraId="5CE776B9">
            <w:pPr>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80%</w:t>
            </w:r>
          </w:p>
        </w:tc>
        <w:tc>
          <w:tcPr>
            <w:tcW w:w="1233" w:type="dxa"/>
            <w:vMerge w:val="continue"/>
            <w:tcBorders>
              <w:left w:val="single" w:color="auto" w:sz="4" w:space="0"/>
              <w:bottom w:val="single" w:color="auto" w:sz="4" w:space="0"/>
              <w:right w:val="single" w:color="auto" w:sz="4" w:space="0"/>
            </w:tcBorders>
            <w:vAlign w:val="center"/>
          </w:tcPr>
          <w:p w14:paraId="7A5AA1D8">
            <w:pPr>
              <w:widowControl/>
              <w:snapToGrid w:val="0"/>
              <w:spacing w:line="276" w:lineRule="auto"/>
              <w:jc w:val="center"/>
              <w:rPr>
                <w:rFonts w:ascii="宋体" w:hAnsi="宋体" w:eastAsia="宋体" w:cs="Times New Roman"/>
                <w:color w:val="000000"/>
                <w:kern w:val="0"/>
                <w:szCs w:val="21"/>
              </w:rPr>
            </w:pPr>
          </w:p>
        </w:tc>
      </w:tr>
      <w:tr w14:paraId="45CFC298">
        <w:tblPrEx>
          <w:tblCellMar>
            <w:top w:w="0" w:type="dxa"/>
            <w:left w:w="108" w:type="dxa"/>
            <w:bottom w:w="0" w:type="dxa"/>
            <w:right w:w="108" w:type="dxa"/>
          </w:tblCellMar>
        </w:tblPrEx>
        <w:trPr>
          <w:trHeight w:val="339" w:hRule="atLeast"/>
        </w:trPr>
        <w:tc>
          <w:tcPr>
            <w:tcW w:w="2122" w:type="dxa"/>
            <w:vMerge w:val="restart"/>
            <w:tcBorders>
              <w:top w:val="single" w:color="auto" w:sz="4" w:space="0"/>
              <w:left w:val="single" w:color="auto" w:sz="4" w:space="0"/>
              <w:bottom w:val="single" w:color="auto" w:sz="4" w:space="0"/>
              <w:right w:val="single" w:color="auto" w:sz="4" w:space="0"/>
            </w:tcBorders>
            <w:vAlign w:val="center"/>
          </w:tcPr>
          <w:p w14:paraId="247B9C99">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18D1BD82">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2127" w:type="dxa"/>
            <w:tcBorders>
              <w:top w:val="single" w:color="auto" w:sz="4" w:space="0"/>
              <w:left w:val="single" w:color="auto" w:sz="4" w:space="0"/>
              <w:bottom w:val="single" w:color="auto" w:sz="4" w:space="0"/>
              <w:right w:val="single" w:color="auto" w:sz="4" w:space="0"/>
            </w:tcBorders>
            <w:vAlign w:val="center"/>
          </w:tcPr>
          <w:p w14:paraId="60597AFF">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3B6B5546">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14:paraId="4DC8FC6E">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1775F4C5">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255339F6">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30403723">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0C4D3D62">
            <w:pPr>
              <w:snapToGrid w:val="0"/>
              <w:spacing w:line="276" w:lineRule="auto"/>
              <w:rPr>
                <w:rFonts w:ascii="宋体" w:hAnsi="宋体" w:eastAsia="宋体" w:cs="Times New Roman"/>
                <w:szCs w:val="21"/>
              </w:rPr>
            </w:pPr>
            <w:r>
              <w:rPr>
                <w:rFonts w:hint="eastAsia" w:ascii="宋体" w:hAnsi="宋体" w:eastAsia="宋体" w:cs="Times New Roman"/>
                <w:szCs w:val="21"/>
              </w:rPr>
              <w:t>说课实训</w:t>
            </w:r>
          </w:p>
        </w:tc>
        <w:tc>
          <w:tcPr>
            <w:tcW w:w="2159" w:type="dxa"/>
            <w:tcBorders>
              <w:top w:val="single" w:color="auto" w:sz="4" w:space="0"/>
              <w:left w:val="single" w:color="auto" w:sz="4" w:space="0"/>
              <w:bottom w:val="single" w:color="auto" w:sz="4" w:space="0"/>
              <w:right w:val="single" w:color="auto" w:sz="4" w:space="0"/>
            </w:tcBorders>
            <w:vAlign w:val="center"/>
          </w:tcPr>
          <w:p w14:paraId="2259A750">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6E021D78">
            <w:pPr>
              <w:widowControl/>
              <w:snapToGrid w:val="0"/>
              <w:spacing w:line="276" w:lineRule="auto"/>
              <w:jc w:val="center"/>
              <w:rPr>
                <w:rFonts w:ascii="宋体" w:hAnsi="宋体" w:eastAsia="宋体" w:cs="Times New Roman"/>
                <w:color w:val="000000"/>
                <w:kern w:val="0"/>
                <w:szCs w:val="21"/>
              </w:rPr>
            </w:pPr>
          </w:p>
        </w:tc>
      </w:tr>
      <w:tr w14:paraId="22E1429C">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0D18C553">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56F4FD0A">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7CE3DEAB">
            <w:pPr>
              <w:snapToGrid w:val="0"/>
              <w:spacing w:line="276" w:lineRule="auto"/>
              <w:rPr>
                <w:rFonts w:ascii="宋体" w:hAnsi="宋体" w:eastAsia="宋体" w:cs="Times New Roman"/>
                <w:szCs w:val="21"/>
              </w:rPr>
            </w:pPr>
            <w:r>
              <w:rPr>
                <w:rFonts w:hint="eastAsia" w:ascii="宋体" w:hAnsi="宋体" w:eastAsia="宋体" w:cs="Times New Roman"/>
                <w:szCs w:val="21"/>
              </w:rPr>
              <w:t>课堂教学实训</w:t>
            </w:r>
          </w:p>
        </w:tc>
        <w:tc>
          <w:tcPr>
            <w:tcW w:w="2159" w:type="dxa"/>
            <w:tcBorders>
              <w:top w:val="single" w:color="auto" w:sz="4" w:space="0"/>
              <w:left w:val="single" w:color="auto" w:sz="4" w:space="0"/>
              <w:bottom w:val="single" w:color="auto" w:sz="4" w:space="0"/>
              <w:right w:val="single" w:color="auto" w:sz="4" w:space="0"/>
            </w:tcBorders>
            <w:vAlign w:val="center"/>
          </w:tcPr>
          <w:p w14:paraId="363DE373">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5286C8C9">
            <w:pPr>
              <w:widowControl/>
              <w:snapToGrid w:val="0"/>
              <w:spacing w:line="276" w:lineRule="auto"/>
              <w:jc w:val="center"/>
              <w:rPr>
                <w:rFonts w:ascii="宋体" w:hAnsi="宋体" w:eastAsia="宋体" w:cs="Times New Roman"/>
                <w:color w:val="000000"/>
                <w:kern w:val="0"/>
                <w:szCs w:val="21"/>
              </w:rPr>
            </w:pPr>
          </w:p>
        </w:tc>
      </w:tr>
      <w:tr w14:paraId="33E260E5">
        <w:tblPrEx>
          <w:tblCellMar>
            <w:top w:w="0" w:type="dxa"/>
            <w:left w:w="108" w:type="dxa"/>
            <w:bottom w:w="0" w:type="dxa"/>
            <w:right w:w="108" w:type="dxa"/>
          </w:tblCellMar>
        </w:tblPrEx>
        <w:trPr>
          <w:trHeight w:val="339" w:hRule="atLeast"/>
        </w:trPr>
        <w:tc>
          <w:tcPr>
            <w:tcW w:w="2122" w:type="dxa"/>
            <w:vMerge w:val="restart"/>
            <w:tcBorders>
              <w:top w:val="single" w:color="auto" w:sz="4" w:space="0"/>
              <w:left w:val="single" w:color="auto" w:sz="4" w:space="0"/>
              <w:bottom w:val="single" w:color="auto" w:sz="4" w:space="0"/>
              <w:right w:val="single" w:color="auto" w:sz="4" w:space="0"/>
            </w:tcBorders>
            <w:vAlign w:val="center"/>
          </w:tcPr>
          <w:p w14:paraId="098053DF">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0C452695">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127" w:type="dxa"/>
            <w:tcBorders>
              <w:top w:val="single" w:color="auto" w:sz="4" w:space="0"/>
              <w:left w:val="single" w:color="auto" w:sz="4" w:space="0"/>
              <w:bottom w:val="single" w:color="auto" w:sz="4" w:space="0"/>
              <w:right w:val="single" w:color="auto" w:sz="4" w:space="0"/>
            </w:tcBorders>
            <w:vAlign w:val="center"/>
          </w:tcPr>
          <w:p w14:paraId="646959BA">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5F6012B1">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14:paraId="710A44A3">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1E8FE0D6">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0C0CD09B">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344B8898">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38717FAB">
            <w:pPr>
              <w:snapToGrid w:val="0"/>
              <w:spacing w:line="276" w:lineRule="auto"/>
              <w:rPr>
                <w:rFonts w:ascii="宋体" w:hAnsi="宋体" w:eastAsia="宋体" w:cs="Times New Roman"/>
                <w:szCs w:val="21"/>
              </w:rPr>
            </w:pPr>
            <w:r>
              <w:rPr>
                <w:rFonts w:hint="eastAsia" w:ascii="宋体" w:hAnsi="宋体" w:eastAsia="宋体" w:cs="Times New Roman"/>
                <w:szCs w:val="21"/>
              </w:rPr>
              <w:t>教学实训成果汇报</w:t>
            </w:r>
          </w:p>
        </w:tc>
        <w:tc>
          <w:tcPr>
            <w:tcW w:w="2159" w:type="dxa"/>
            <w:tcBorders>
              <w:top w:val="single" w:color="auto" w:sz="4" w:space="0"/>
              <w:left w:val="single" w:color="auto" w:sz="4" w:space="0"/>
              <w:bottom w:val="single" w:color="auto" w:sz="4" w:space="0"/>
              <w:right w:val="single" w:color="auto" w:sz="4" w:space="0"/>
            </w:tcBorders>
            <w:vAlign w:val="center"/>
          </w:tcPr>
          <w:p w14:paraId="7CE01401">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70%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28E18C04">
            <w:pPr>
              <w:widowControl/>
              <w:snapToGrid w:val="0"/>
              <w:spacing w:line="276" w:lineRule="auto"/>
              <w:jc w:val="center"/>
              <w:rPr>
                <w:rFonts w:ascii="宋体" w:hAnsi="宋体" w:eastAsia="宋体" w:cs="Times New Roman"/>
                <w:color w:val="000000"/>
                <w:kern w:val="0"/>
                <w:szCs w:val="21"/>
              </w:rPr>
            </w:pPr>
          </w:p>
        </w:tc>
      </w:tr>
      <w:tr w14:paraId="55D4A584">
        <w:tblPrEx>
          <w:tblCellMar>
            <w:top w:w="0" w:type="dxa"/>
            <w:left w:w="108" w:type="dxa"/>
            <w:bottom w:w="0" w:type="dxa"/>
            <w:right w:w="108" w:type="dxa"/>
          </w:tblCellMar>
        </w:tblPrEx>
        <w:trPr>
          <w:trHeight w:val="409" w:hRule="atLeast"/>
        </w:trPr>
        <w:tc>
          <w:tcPr>
            <w:tcW w:w="2122" w:type="dxa"/>
            <w:tcBorders>
              <w:top w:val="single" w:color="auto" w:sz="4" w:space="0"/>
              <w:left w:val="single" w:color="auto" w:sz="4" w:space="0"/>
              <w:bottom w:val="single" w:color="auto" w:sz="4" w:space="0"/>
              <w:right w:val="single" w:color="auto" w:sz="4" w:space="0"/>
            </w:tcBorders>
            <w:vAlign w:val="center"/>
          </w:tcPr>
          <w:p w14:paraId="7A5F2B6B">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275" w:type="dxa"/>
            <w:tcBorders>
              <w:top w:val="single" w:color="auto" w:sz="4" w:space="0"/>
              <w:left w:val="single" w:color="auto" w:sz="4" w:space="0"/>
              <w:bottom w:val="single" w:color="auto" w:sz="4" w:space="0"/>
              <w:right w:val="single" w:color="auto" w:sz="4" w:space="0"/>
            </w:tcBorders>
            <w:vAlign w:val="center"/>
          </w:tcPr>
          <w:p w14:paraId="2964DC58">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c>
          <w:tcPr>
            <w:tcW w:w="5519" w:type="dxa"/>
            <w:gridSpan w:val="3"/>
            <w:tcBorders>
              <w:top w:val="single" w:color="auto" w:sz="4" w:space="0"/>
              <w:left w:val="single" w:color="auto" w:sz="4" w:space="0"/>
              <w:bottom w:val="single" w:color="auto" w:sz="4" w:space="0"/>
              <w:right w:val="single" w:color="auto" w:sz="4" w:space="0"/>
            </w:tcBorders>
            <w:vAlign w:val="center"/>
          </w:tcPr>
          <w:p w14:paraId="572A95C1">
            <w:pPr>
              <w:widowControl/>
              <w:snapToGrid w:val="0"/>
              <w:spacing w:line="276" w:lineRule="auto"/>
              <w:rPr>
                <w:rFonts w:ascii="宋体" w:hAnsi="宋体" w:eastAsia="宋体" w:cs="Times New Roman"/>
                <w:color w:val="000000"/>
                <w:kern w:val="0"/>
                <w:szCs w:val="21"/>
              </w:rPr>
            </w:pPr>
          </w:p>
        </w:tc>
      </w:tr>
    </w:tbl>
    <w:p w14:paraId="344EFDB1">
      <w:pPr>
        <w:snapToGrid w:val="0"/>
        <w:spacing w:line="360" w:lineRule="auto"/>
        <w:rPr>
          <w:rFonts w:ascii="宋体" w:hAnsi="宋体" w:eastAsia="宋体" w:cs="Times New Roman"/>
          <w:color w:val="000000"/>
          <w:sz w:val="24"/>
          <w:szCs w:val="24"/>
        </w:rPr>
      </w:pPr>
    </w:p>
    <w:p w14:paraId="77BEDC94">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，否则总评成绩不及格，需要重修。课程目标总体达成度计算方法如下：</w:t>
      </w:r>
    </w:p>
    <w:p w14:paraId="1FA478E8">
      <w:pPr>
        <w:snapToGrid w:val="0"/>
        <w:spacing w:line="360" w:lineRule="auto"/>
        <w:rPr>
          <w:rFonts w:ascii="宋体" w:hAnsi="宋体" w:eastAsia="宋体" w:cs="Times New Roman"/>
          <w:color w:val="000000"/>
          <w:sz w:val="24"/>
          <w:szCs w:val="24"/>
        </w:rPr>
      </w:pPr>
      <w:r>
        <w:rPr>
          <w:rFonts w:ascii="Times New Roman" w:hAnsi="Times New Roman" w:eastAsia="等线" w:cs="Times New Roman"/>
          <w:position w:val="-26"/>
          <w:sz w:val="24"/>
          <w:szCs w:val="24"/>
        </w:rPr>
        <w:object>
          <v:shape id="_x0000_i1038" o:spt="75" type="#_x0000_t75" style="height:25.1pt;width:406.05pt;" o:ole="t" filled="f" o:preferrelative="t" stroked="f" coordsize="21600,21600">
            <v:path/>
            <v:fill on="f" focussize="0,0"/>
            <v:stroke on="f" joinstyle="miter"/>
            <v:imagedata r:id="rId7" o:title=""/>
            <o:lock v:ext="edit" aspectratio="t"/>
            <w10:wrap type="none"/>
            <w10:anchorlock/>
          </v:shape>
          <o:OLEObject Type="Embed" ProgID="Equation.3" ShapeID="_x0000_i1038" DrawAspect="Content" ObjectID="_1468075737" r:id="rId20">
            <o:LockedField>false</o:LockedField>
          </o:OLEObject>
        </w:object>
      </w:r>
    </w:p>
    <w:p w14:paraId="7D53A338">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color w:val="000000"/>
          <w:sz w:val="24"/>
          <w:szCs w:val="24"/>
        </w:rPr>
        <w:t>六、课程参考书</w:t>
      </w:r>
    </w:p>
    <w:p w14:paraId="210F9BB9">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1．相关学科课程标准</w:t>
      </w:r>
    </w:p>
    <w:p w14:paraId="6E353D45">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2．相关学科小学各年级教材。</w:t>
      </w:r>
    </w:p>
    <w:p w14:paraId="1DF82E6D">
      <w:pPr>
        <w:snapToGrid w:val="0"/>
        <w:spacing w:line="360" w:lineRule="auto"/>
        <w:rPr>
          <w:rFonts w:ascii="宋体" w:hAnsi="宋体" w:eastAsia="宋体" w:cs="Times New Roman"/>
          <w:color w:val="000000"/>
          <w:sz w:val="24"/>
          <w:szCs w:val="24"/>
        </w:rPr>
      </w:pPr>
    </w:p>
    <w:p w14:paraId="6158EB95">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执笔人：谢国忠</w:t>
      </w:r>
      <w:r>
        <w:rPr>
          <w:rFonts w:ascii="宋体" w:hAnsi="宋体" w:eastAsia="宋体" w:cs="Times New Roman"/>
          <w:color w:val="000000"/>
          <w:sz w:val="24"/>
          <w:szCs w:val="24"/>
        </w:rPr>
        <w:t xml:space="preserve"> </w:t>
      </w:r>
    </w:p>
    <w:p w14:paraId="44C0F1C1">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审定人：王  健</w:t>
      </w:r>
      <w:r>
        <w:rPr>
          <w:rFonts w:ascii="宋体" w:hAnsi="宋体" w:eastAsia="宋体" w:cs="Times New Roman"/>
          <w:color w:val="000000"/>
          <w:sz w:val="24"/>
          <w:szCs w:val="24"/>
        </w:rPr>
        <w:t xml:space="preserve"> </w:t>
      </w:r>
    </w:p>
    <w:p w14:paraId="6E8F6A7B">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审批人：张志欣</w:t>
      </w:r>
    </w:p>
    <w:p w14:paraId="3A210B70">
      <w:pPr>
        <w:rPr>
          <w:rFonts w:ascii="等线" w:hAnsi="等线" w:eastAsia="宋体" w:cs="Times New Roman"/>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年8月30日</w:t>
      </w:r>
    </w:p>
    <w:p w14:paraId="237187D3">
      <w:pPr>
        <w:rPr>
          <w:rFonts w:ascii="宋体" w:hAnsi="宋体" w:eastAsia="宋体" w:cs="Times New Roman"/>
          <w:color w:val="000000"/>
          <w:sz w:val="24"/>
          <w:szCs w:val="24"/>
        </w:rPr>
      </w:pPr>
    </w:p>
    <w:p w14:paraId="100E41AB">
      <w:pPr>
        <w:rPr>
          <w:rFonts w:ascii="宋体" w:hAnsi="宋体" w:eastAsia="宋体" w:cs="Times New Roman"/>
          <w:color w:val="000000"/>
          <w:sz w:val="24"/>
          <w:szCs w:val="24"/>
        </w:rPr>
      </w:pPr>
    </w:p>
    <w:p w14:paraId="28D2B11B">
      <w:pPr>
        <w:rPr>
          <w:rFonts w:ascii="宋体" w:hAnsi="宋体" w:eastAsia="宋体" w:cs="Times New Roman"/>
          <w:color w:val="000000"/>
          <w:sz w:val="24"/>
          <w:szCs w:val="24"/>
        </w:rPr>
      </w:pPr>
    </w:p>
    <w:p w14:paraId="5795B0F2">
      <w:pPr>
        <w:rPr>
          <w:rFonts w:ascii="宋体" w:hAnsi="宋体" w:eastAsia="宋体" w:cs="Times New Roman"/>
          <w:color w:val="000000"/>
          <w:sz w:val="24"/>
          <w:szCs w:val="24"/>
        </w:rPr>
      </w:pPr>
    </w:p>
    <w:p w14:paraId="2BE2575E">
      <w:pPr>
        <w:rPr>
          <w:rFonts w:ascii="宋体" w:hAnsi="宋体" w:eastAsia="宋体" w:cs="Times New Roman"/>
          <w:color w:val="000000"/>
          <w:sz w:val="24"/>
          <w:szCs w:val="24"/>
        </w:rPr>
      </w:pPr>
    </w:p>
    <w:p w14:paraId="5461AECA">
      <w:pPr>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3219D2B2">
      <w:pPr>
        <w:snapToGrid w:val="0"/>
        <w:spacing w:line="360" w:lineRule="auto"/>
        <w:jc w:val="center"/>
        <w:outlineLvl w:val="0"/>
        <w:rPr>
          <w:rFonts w:ascii="宋体" w:hAnsi="宋体" w:eastAsia="宋体" w:cs="Times New Roman"/>
          <w:b/>
          <w:bCs/>
          <w:sz w:val="30"/>
          <w:szCs w:val="30"/>
        </w:rPr>
      </w:pPr>
      <w:bookmarkStart w:id="329" w:name="_Toc6179"/>
      <w:bookmarkStart w:id="330" w:name="_Toc166165238"/>
      <w:r>
        <w:rPr>
          <w:rFonts w:hint="eastAsia" w:ascii="宋体" w:hAnsi="宋体" w:eastAsia="宋体" w:cs="Times New Roman"/>
          <w:b/>
          <w:bCs/>
          <w:sz w:val="30"/>
          <w:szCs w:val="30"/>
        </w:rPr>
        <w:t>教学实训课程</w:t>
      </w:r>
      <w:r>
        <w:rPr>
          <w:rFonts w:ascii="宋体" w:hAnsi="宋体" w:eastAsia="宋体" w:cs="Times New Roman"/>
          <w:b/>
          <w:bCs/>
          <w:sz w:val="30"/>
          <w:szCs w:val="30"/>
        </w:rPr>
        <w:t>教学大纲</w:t>
      </w:r>
      <w:bookmarkEnd w:id="329"/>
      <w:bookmarkEnd w:id="330"/>
    </w:p>
    <w:p w14:paraId="181D3C07">
      <w:pPr>
        <w:snapToGrid w:val="0"/>
        <w:spacing w:line="360" w:lineRule="auto"/>
        <w:jc w:val="center"/>
        <w:rPr>
          <w:rFonts w:ascii="Times New Roman" w:hAnsi="Times New Roman" w:eastAsia="宋体" w:cs="Times New Roman"/>
          <w:b/>
          <w:bCs/>
          <w:sz w:val="30"/>
          <w:szCs w:val="30"/>
        </w:rPr>
      </w:pPr>
      <w:r>
        <w:rPr>
          <w:rFonts w:ascii="Times New Roman" w:hAnsi="Times New Roman" w:eastAsia="宋体" w:cs="Times New Roman"/>
          <w:b/>
          <w:bCs/>
          <w:sz w:val="30"/>
          <w:szCs w:val="30"/>
        </w:rPr>
        <w:t>（Teaching Practice）</w:t>
      </w:r>
    </w:p>
    <w:p w14:paraId="28C47BD0">
      <w:pPr>
        <w:snapToGrid w:val="0"/>
        <w:spacing w:line="360" w:lineRule="auto"/>
        <w:jc w:val="center"/>
        <w:rPr>
          <w:rFonts w:ascii="Times New Roman" w:hAnsi="Times New Roman" w:eastAsia="宋体" w:cs="Times New Roman"/>
          <w:sz w:val="30"/>
          <w:szCs w:val="30"/>
        </w:rPr>
      </w:pPr>
    </w:p>
    <w:p w14:paraId="51701C99">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一、课程概况</w:t>
      </w:r>
    </w:p>
    <w:p w14:paraId="2EFD3402">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w:t>
      </w:r>
      <w:r>
        <w:rPr>
          <w:rFonts w:ascii="宋体" w:hAnsi="宋体" w:eastAsia="宋体" w:cs="Times New Roman"/>
          <w:b/>
          <w:color w:val="000000"/>
          <w:kern w:val="0"/>
          <w:sz w:val="24"/>
          <w:szCs w:val="24"/>
        </w:rPr>
        <w:t>2401067</w:t>
      </w:r>
    </w:p>
    <w:p w14:paraId="7802EE03">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ascii="宋体" w:hAnsi="宋体" w:eastAsia="宋体" w:cs="Times New Roman"/>
          <w:color w:val="000000"/>
          <w:kern w:val="0"/>
          <w:sz w:val="24"/>
          <w:szCs w:val="24"/>
        </w:rPr>
        <w:t>1</w:t>
      </w:r>
    </w:p>
    <w:p w14:paraId="1B03FF0A">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w:t>
      </w:r>
      <w:r>
        <w:rPr>
          <w:rFonts w:ascii="宋体" w:hAnsi="宋体" w:eastAsia="宋体" w:cs="Times New Roman"/>
          <w:b/>
          <w:bCs/>
          <w:color w:val="000000"/>
          <w:kern w:val="0"/>
          <w:sz w:val="24"/>
          <w:szCs w:val="24"/>
        </w:rPr>
        <w:t>2</w:t>
      </w:r>
      <w:r>
        <w:rPr>
          <w:rFonts w:hint="eastAsia" w:ascii="宋体" w:hAnsi="宋体" w:eastAsia="宋体" w:cs="Times New Roman"/>
          <w:b/>
          <w:bCs/>
          <w:color w:val="000000"/>
          <w:kern w:val="0"/>
          <w:sz w:val="24"/>
          <w:szCs w:val="24"/>
        </w:rPr>
        <w:t>周</w:t>
      </w:r>
    </w:p>
    <w:p w14:paraId="6F59CB11">
      <w:pPr>
        <w:snapToGrid w:val="0"/>
        <w:spacing w:line="360" w:lineRule="auto"/>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color w:val="000000"/>
          <w:kern w:val="0"/>
          <w:sz w:val="24"/>
          <w:szCs w:val="24"/>
        </w:rPr>
        <w:t>小学心理学、教育原理、书写技能、普通话训练指导、课程与教学论、认知实习、教育见习Ⅰ、教育见习Ⅱ等。</w:t>
      </w:r>
    </w:p>
    <w:p w14:paraId="3FE00894">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5EBC0A35">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教学实训手册（自编）</w:t>
      </w:r>
    </w:p>
    <w:p w14:paraId="7BD39096">
      <w:pPr>
        <w:snapToGrid w:val="0"/>
        <w:spacing w:line="360" w:lineRule="auto"/>
        <w:ind w:firstLine="482" w:firstLineChars="200"/>
        <w:rPr>
          <w:rFonts w:ascii="宋体" w:hAnsi="宋体"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5CFB0B42">
      <w:pPr>
        <w:snapToGrid w:val="0"/>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kern w:val="0"/>
          <w:sz w:val="24"/>
          <w:szCs w:val="24"/>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17F20AE8">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4B333428">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目标1.具备依据课程标准理念进行教学设计的能力，能够独立完成教学方案和说课稿。</w:t>
      </w:r>
    </w:p>
    <w:p w14:paraId="60DDDD5F">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目标2.能够依据说课稿和教学方案进行说课和课堂教学，基本掌握说课与课堂教学的基本流程，形成基本的说课与课堂教学技能。</w:t>
      </w:r>
    </w:p>
    <w:p w14:paraId="7B3CDF99">
      <w:pPr>
        <w:snapToGrid w:val="0"/>
        <w:spacing w:line="360" w:lineRule="auto"/>
        <w:ind w:firstLine="480" w:firstLineChars="200"/>
        <w:rPr>
          <w:rFonts w:ascii="宋体" w:hAnsi="宋体" w:eastAsia="宋体" w:cs="Times New Roman"/>
          <w:b/>
          <w:bCs/>
          <w:color w:val="000000"/>
          <w:sz w:val="24"/>
          <w:szCs w:val="24"/>
        </w:rPr>
      </w:pPr>
      <w:r>
        <w:rPr>
          <w:rFonts w:hint="eastAsia" w:ascii="宋体" w:hAnsi="宋体" w:eastAsia="宋体" w:cs="Times New Roman"/>
          <w:color w:val="000000"/>
          <w:sz w:val="24"/>
          <w:szCs w:val="24"/>
        </w:rPr>
        <w:t>目标3.能对自己的说课与课堂教学进行正确的评价并作出相应的改进，以提升自己的教学能力。</w:t>
      </w:r>
    </w:p>
    <w:p w14:paraId="7A5B2217">
      <w:pPr>
        <w:snapToGrid w:val="0"/>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70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86"/>
        <w:gridCol w:w="1324"/>
        <w:gridCol w:w="7019"/>
      </w:tblGrid>
      <w:tr w14:paraId="62106B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tblHeader/>
          <w:jc w:val="center"/>
        </w:trPr>
        <w:tc>
          <w:tcPr>
            <w:tcW w:w="712" w:type="pct"/>
            <w:tcBorders>
              <w:top w:val="single" w:color="000000" w:sz="8" w:space="0"/>
            </w:tcBorders>
            <w:vAlign w:val="center"/>
          </w:tcPr>
          <w:p w14:paraId="4930D287">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680" w:type="pct"/>
            <w:tcBorders>
              <w:top w:val="single" w:color="000000" w:sz="8" w:space="0"/>
            </w:tcBorders>
            <w:vAlign w:val="center"/>
          </w:tcPr>
          <w:p w14:paraId="0A17325A">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606" w:type="pct"/>
            <w:tcBorders>
              <w:top w:val="single" w:color="000000" w:sz="8" w:space="0"/>
              <w:right w:val="single" w:color="000000" w:sz="8" w:space="0"/>
            </w:tcBorders>
            <w:vAlign w:val="center"/>
          </w:tcPr>
          <w:p w14:paraId="366E015A">
            <w:pPr>
              <w:widowControl/>
              <w:snapToGrid w:val="0"/>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7228EB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1" w:hRule="atLeast"/>
          <w:jc w:val="center"/>
        </w:trPr>
        <w:tc>
          <w:tcPr>
            <w:tcW w:w="712" w:type="pct"/>
            <w:vMerge w:val="restart"/>
            <w:vAlign w:val="center"/>
          </w:tcPr>
          <w:p w14:paraId="7B4627E9">
            <w:pPr>
              <w:widowControl/>
              <w:snapToGrid w:val="0"/>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680" w:type="pct"/>
            <w:vAlign w:val="center"/>
          </w:tcPr>
          <w:p w14:paraId="279C3A8C">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3.</w:t>
            </w:r>
          </w:p>
          <w:p w14:paraId="2F56374B">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6" w:type="pct"/>
            <w:tcBorders>
              <w:right w:val="single" w:color="000000" w:sz="8" w:space="0"/>
            </w:tcBorders>
            <w:vAlign w:val="center"/>
          </w:tcPr>
          <w:p w14:paraId="114A1D19">
            <w:pPr>
              <w:widowControl/>
              <w:snapToGrid w:val="0"/>
              <w:rPr>
                <w:rFonts w:ascii="宋体" w:hAnsi="宋体" w:eastAsia="宋体" w:cs="Times New Roman"/>
                <w:color w:val="000000"/>
                <w:szCs w:val="21"/>
              </w:rPr>
            </w:pPr>
            <w:r>
              <w:rPr>
                <w:rFonts w:ascii="宋体" w:hAnsi="宋体" w:eastAsia="宋体" w:cs="Times New Roman"/>
                <w:color w:val="000000"/>
                <w:szCs w:val="21"/>
              </w:rPr>
              <w:t>3-2：具有学科专业能力，掌握主教学科的基本知识、原理和技能。熟悉兼教学科的知识体系，掌握兼教学科的基本知识、原理和技能。</w:t>
            </w:r>
          </w:p>
        </w:tc>
      </w:tr>
      <w:tr w14:paraId="4B0E4E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1BB33DC9">
            <w:pPr>
              <w:snapToGrid w:val="0"/>
              <w:rPr>
                <w:rFonts w:ascii="宋体" w:hAnsi="宋体" w:eastAsia="宋体" w:cs="Times New Roman"/>
                <w:color w:val="000000"/>
                <w:szCs w:val="21"/>
              </w:rPr>
            </w:pPr>
          </w:p>
        </w:tc>
        <w:tc>
          <w:tcPr>
            <w:tcW w:w="680" w:type="pct"/>
            <w:vMerge w:val="restart"/>
            <w:vAlign w:val="center"/>
          </w:tcPr>
          <w:p w14:paraId="6E4EEB33">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4</w:t>
            </w:r>
          </w:p>
          <w:p w14:paraId="61FF08D7">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6" w:type="pct"/>
            <w:tcBorders>
              <w:right w:val="single" w:color="000000" w:sz="8" w:space="0"/>
            </w:tcBorders>
            <w:vAlign w:val="center"/>
          </w:tcPr>
          <w:p w14:paraId="6EAC36C0">
            <w:pPr>
              <w:snapToGrid w:val="0"/>
              <w:rPr>
                <w:rFonts w:ascii="宋体" w:hAnsi="宋体" w:eastAsia="宋体" w:cs="Times New Roman"/>
                <w:color w:val="000000"/>
                <w:kern w:val="0"/>
                <w:szCs w:val="21"/>
              </w:rPr>
            </w:pPr>
            <w:r>
              <w:rPr>
                <w:rFonts w:ascii="宋体" w:hAnsi="宋体" w:eastAsia="宋体" w:cs="Times New Roman"/>
                <w:color w:val="000000"/>
                <w:kern w:val="0"/>
                <w:szCs w:val="21"/>
              </w:rPr>
              <w:t>4-1：掌握教育教学基本理论知识，熟悉所教学科课程标准和教材、教学内容，具有一定的教材解读能力，具有依据课标进行教学的意识和习惯。</w:t>
            </w:r>
          </w:p>
        </w:tc>
      </w:tr>
      <w:tr w14:paraId="6DE595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3DE3040C">
            <w:pPr>
              <w:widowControl/>
              <w:snapToGrid w:val="0"/>
              <w:spacing w:line="360" w:lineRule="auto"/>
              <w:rPr>
                <w:rFonts w:ascii="宋体" w:hAnsi="宋体" w:eastAsia="宋体" w:cs="Times New Roman"/>
                <w:color w:val="000000"/>
                <w:szCs w:val="21"/>
              </w:rPr>
            </w:pPr>
          </w:p>
        </w:tc>
        <w:tc>
          <w:tcPr>
            <w:tcW w:w="680" w:type="pct"/>
            <w:vMerge w:val="continue"/>
            <w:vAlign w:val="center"/>
          </w:tcPr>
          <w:p w14:paraId="59DD916D">
            <w:pPr>
              <w:snapToGrid w:val="0"/>
              <w:spacing w:line="360" w:lineRule="auto"/>
              <w:jc w:val="left"/>
              <w:rPr>
                <w:rFonts w:ascii="宋体" w:hAnsi="宋体" w:eastAsia="宋体" w:cs="Times New Roman"/>
                <w:color w:val="000000"/>
                <w:kern w:val="0"/>
                <w:szCs w:val="21"/>
              </w:rPr>
            </w:pPr>
          </w:p>
        </w:tc>
        <w:tc>
          <w:tcPr>
            <w:tcW w:w="3606" w:type="pct"/>
            <w:tcBorders>
              <w:right w:val="single" w:color="000000" w:sz="8" w:space="0"/>
            </w:tcBorders>
            <w:vAlign w:val="center"/>
          </w:tcPr>
          <w:p w14:paraId="66111A1A">
            <w:pPr>
              <w:snapToGrid w:val="0"/>
              <w:rPr>
                <w:rFonts w:ascii="宋体" w:hAnsi="宋体" w:eastAsia="宋体" w:cs="Times New Roman"/>
                <w:color w:val="000000"/>
                <w:kern w:val="0"/>
                <w:szCs w:val="21"/>
              </w:rPr>
            </w:pPr>
            <w:r>
              <w:rPr>
                <w:rFonts w:ascii="宋体" w:hAnsi="宋体" w:eastAsia="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14:paraId="5750E7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restart"/>
            <w:vAlign w:val="center"/>
          </w:tcPr>
          <w:p w14:paraId="763FEE85">
            <w:pPr>
              <w:widowControl/>
              <w:snapToGrid w:val="0"/>
              <w:spacing w:line="360" w:lineRule="auto"/>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680" w:type="pct"/>
            <w:vAlign w:val="center"/>
          </w:tcPr>
          <w:p w14:paraId="04CCDAE0">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p>
          <w:p w14:paraId="1CE8CB75">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6" w:type="pct"/>
            <w:tcBorders>
              <w:right w:val="single" w:color="000000" w:sz="8" w:space="0"/>
            </w:tcBorders>
            <w:vAlign w:val="center"/>
          </w:tcPr>
          <w:p w14:paraId="09B58BCE">
            <w:pPr>
              <w:snapToGrid w:val="0"/>
              <w:rPr>
                <w:rFonts w:ascii="宋体" w:hAnsi="宋体" w:eastAsia="宋体" w:cs="Times New Roman"/>
                <w:color w:val="000000"/>
                <w:kern w:val="0"/>
                <w:szCs w:val="21"/>
              </w:rPr>
            </w:pPr>
            <w:r>
              <w:rPr>
                <w:rFonts w:hint="eastAsia" w:ascii="宋体" w:hAnsi="宋体" w:eastAsia="宋体" w:cs="Times New Roman"/>
                <w:color w:val="000000"/>
                <w:kern w:val="0"/>
                <w:szCs w:val="21"/>
              </w:rPr>
              <w:t>3-2：具有学科专业能力，掌握主教学科的基本知识、原理和技能。熟悉兼教学科的知识体系，掌握兼教学科的基本知识、原理和技能。</w:t>
            </w:r>
          </w:p>
        </w:tc>
      </w:tr>
      <w:tr w14:paraId="3F995E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41A68B3E">
            <w:pPr>
              <w:widowControl/>
              <w:snapToGrid w:val="0"/>
              <w:spacing w:line="360" w:lineRule="auto"/>
              <w:rPr>
                <w:rFonts w:ascii="宋体" w:hAnsi="宋体" w:eastAsia="宋体" w:cs="Times New Roman"/>
                <w:color w:val="000000"/>
                <w:szCs w:val="21"/>
              </w:rPr>
            </w:pPr>
          </w:p>
        </w:tc>
        <w:tc>
          <w:tcPr>
            <w:tcW w:w="680" w:type="pct"/>
            <w:vMerge w:val="restart"/>
            <w:vAlign w:val="center"/>
          </w:tcPr>
          <w:p w14:paraId="7740EE74">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毕业要求4</w:t>
            </w:r>
          </w:p>
          <w:p w14:paraId="4E4D33F6">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6" w:type="pct"/>
            <w:tcBorders>
              <w:right w:val="single" w:color="000000" w:sz="8" w:space="0"/>
            </w:tcBorders>
            <w:vAlign w:val="center"/>
          </w:tcPr>
          <w:p w14:paraId="00042383">
            <w:pPr>
              <w:snapToGrid w:val="0"/>
              <w:rPr>
                <w:rFonts w:ascii="宋体" w:hAnsi="宋体" w:eastAsia="宋体" w:cs="Times New Roman"/>
                <w:color w:val="000000"/>
                <w:kern w:val="0"/>
                <w:szCs w:val="21"/>
              </w:rPr>
            </w:pPr>
            <w:r>
              <w:rPr>
                <w:rFonts w:ascii="宋体" w:hAnsi="宋体" w:eastAsia="宋体" w:cs="Times New Roman"/>
                <w:color w:val="000000"/>
                <w:kern w:val="0"/>
                <w:szCs w:val="21"/>
              </w:rPr>
              <w:t>4-1：掌握教育教学基本理论知识，熟悉所教学科课程标准和教材、教学内容，具有一定的教材解读能力，具有依据课标进行教学的意识和习惯。</w:t>
            </w:r>
          </w:p>
        </w:tc>
      </w:tr>
      <w:tr w14:paraId="0C3DFA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7" w:hRule="atLeast"/>
          <w:jc w:val="center"/>
        </w:trPr>
        <w:tc>
          <w:tcPr>
            <w:tcW w:w="712" w:type="pct"/>
            <w:vMerge w:val="continue"/>
            <w:vAlign w:val="center"/>
          </w:tcPr>
          <w:p w14:paraId="332B53A7">
            <w:pPr>
              <w:widowControl/>
              <w:snapToGrid w:val="0"/>
              <w:spacing w:line="360" w:lineRule="auto"/>
              <w:rPr>
                <w:rFonts w:ascii="宋体" w:hAnsi="宋体" w:eastAsia="宋体" w:cs="Times New Roman"/>
                <w:color w:val="000000"/>
                <w:szCs w:val="21"/>
              </w:rPr>
            </w:pPr>
          </w:p>
        </w:tc>
        <w:tc>
          <w:tcPr>
            <w:tcW w:w="680" w:type="pct"/>
            <w:vMerge w:val="continue"/>
            <w:vAlign w:val="center"/>
          </w:tcPr>
          <w:p w14:paraId="681F590B">
            <w:pPr>
              <w:snapToGrid w:val="0"/>
              <w:jc w:val="left"/>
              <w:rPr>
                <w:rFonts w:ascii="宋体" w:hAnsi="宋体" w:eastAsia="宋体" w:cs="Times New Roman"/>
                <w:color w:val="000000"/>
                <w:kern w:val="0"/>
                <w:szCs w:val="21"/>
              </w:rPr>
            </w:pPr>
          </w:p>
        </w:tc>
        <w:tc>
          <w:tcPr>
            <w:tcW w:w="3606" w:type="pct"/>
            <w:tcBorders>
              <w:right w:val="single" w:color="000000" w:sz="8" w:space="0"/>
            </w:tcBorders>
            <w:vAlign w:val="center"/>
          </w:tcPr>
          <w:p w14:paraId="7A72B109">
            <w:pPr>
              <w:snapToGrid w:val="0"/>
              <w:rPr>
                <w:rFonts w:ascii="宋体" w:hAnsi="宋体" w:eastAsia="宋体" w:cs="Times New Roman"/>
                <w:color w:val="000000"/>
                <w:kern w:val="0"/>
                <w:szCs w:val="21"/>
              </w:rPr>
            </w:pPr>
            <w:r>
              <w:rPr>
                <w:rFonts w:ascii="宋体" w:hAnsi="宋体" w:eastAsia="宋体" w:cs="Times New Roman"/>
                <w:color w:val="000000"/>
                <w:kern w:val="0"/>
                <w:szCs w:val="21"/>
              </w:rPr>
              <w:t>4-2：掌握小学教师基本技能，包括书写技能、沟通与表达技能、信息技术运用技能等。获得全面的小学教学体验，掌握学科教学的基本方法与策略，能独立进行教学设计、实施和评价。</w:t>
            </w:r>
          </w:p>
        </w:tc>
      </w:tr>
      <w:tr w14:paraId="46DF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6" w:hRule="atLeast"/>
          <w:jc w:val="center"/>
        </w:trPr>
        <w:tc>
          <w:tcPr>
            <w:tcW w:w="712" w:type="pct"/>
            <w:vAlign w:val="center"/>
          </w:tcPr>
          <w:p w14:paraId="00D17FB0">
            <w:pPr>
              <w:snapToGrid w:val="0"/>
              <w:spacing w:line="360" w:lineRule="auto"/>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c>
          <w:tcPr>
            <w:tcW w:w="680" w:type="pct"/>
            <w:vAlign w:val="center"/>
          </w:tcPr>
          <w:p w14:paraId="1E706F65">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毕业要求7</w:t>
            </w:r>
          </w:p>
          <w:p w14:paraId="5796D10F">
            <w:pPr>
              <w:snapToGrid w:val="0"/>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学会反思</w:t>
            </w:r>
          </w:p>
        </w:tc>
        <w:tc>
          <w:tcPr>
            <w:tcW w:w="3606" w:type="pct"/>
            <w:tcBorders>
              <w:top w:val="single" w:color="auto" w:sz="4" w:space="0"/>
              <w:right w:val="single" w:color="000000" w:sz="8" w:space="0"/>
            </w:tcBorders>
            <w:vAlign w:val="center"/>
          </w:tcPr>
          <w:p w14:paraId="1DC1A5B6">
            <w:pPr>
              <w:snapToGrid w:val="0"/>
              <w:rPr>
                <w:rFonts w:ascii="宋体" w:hAnsi="宋体" w:eastAsia="宋体" w:cs="Times New Roman"/>
                <w:color w:val="000000"/>
                <w:szCs w:val="21"/>
              </w:rPr>
            </w:pPr>
            <w:r>
              <w:rPr>
                <w:rFonts w:hint="eastAsia" w:ascii="宋体" w:hAnsi="宋体" w:eastAsia="宋体" w:cs="Times New Roman"/>
                <w:color w:val="000000"/>
                <w:szCs w:val="21"/>
              </w:rPr>
              <w:t>7-3：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701B8973">
      <w:pPr>
        <w:snapToGrid w:val="0"/>
        <w:spacing w:line="360" w:lineRule="auto"/>
        <w:rPr>
          <w:rFonts w:ascii="宋体" w:hAnsi="宋体" w:eastAsia="宋体" w:cs="Times New Roman"/>
          <w:b/>
          <w:color w:val="000000"/>
          <w:sz w:val="24"/>
          <w:szCs w:val="24"/>
        </w:rPr>
      </w:pPr>
    </w:p>
    <w:p w14:paraId="6E20DE38">
      <w:pPr>
        <w:snapToGrid w:val="0"/>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三、课程内容与要求</w:t>
      </w:r>
    </w:p>
    <w:p w14:paraId="7C057821">
      <w:pPr>
        <w:snapToGrid w:val="0"/>
        <w:spacing w:line="360" w:lineRule="auto"/>
        <w:rPr>
          <w:rFonts w:ascii="宋体" w:hAnsi="宋体" w:eastAsia="宋体" w:cs="Times New Roman"/>
          <w:bCs/>
          <w:sz w:val="24"/>
          <w:szCs w:val="24"/>
        </w:rPr>
      </w:pPr>
      <w:r>
        <w:rPr>
          <w:rFonts w:hint="eastAsia" w:ascii="宋体" w:hAnsi="宋体" w:eastAsia="宋体" w:cs="Times New Roman"/>
          <w:bCs/>
          <w:sz w:val="24"/>
          <w:szCs w:val="24"/>
        </w:rPr>
        <w:t>（一）课程内容与组织方式</w:t>
      </w:r>
    </w:p>
    <w:tbl>
      <w:tblPr>
        <w:tblStyle w:val="31"/>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008"/>
        <w:gridCol w:w="1256"/>
        <w:gridCol w:w="919"/>
        <w:gridCol w:w="1701"/>
        <w:gridCol w:w="1417"/>
      </w:tblGrid>
      <w:tr w14:paraId="6909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639FAD4E">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实训任务</w:t>
            </w:r>
          </w:p>
        </w:tc>
        <w:tc>
          <w:tcPr>
            <w:tcW w:w="2008" w:type="dxa"/>
            <w:vAlign w:val="center"/>
          </w:tcPr>
          <w:p w14:paraId="0598155A">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主要内容</w:t>
            </w:r>
          </w:p>
        </w:tc>
        <w:tc>
          <w:tcPr>
            <w:tcW w:w="1256" w:type="dxa"/>
            <w:vAlign w:val="center"/>
          </w:tcPr>
          <w:p w14:paraId="42E5D722">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组织方式</w:t>
            </w:r>
          </w:p>
        </w:tc>
        <w:tc>
          <w:tcPr>
            <w:tcW w:w="919" w:type="dxa"/>
            <w:vAlign w:val="center"/>
          </w:tcPr>
          <w:p w14:paraId="5B99C4A2">
            <w:pPr>
              <w:snapToGrid w:val="0"/>
              <w:spacing w:line="276" w:lineRule="auto"/>
              <w:jc w:val="center"/>
              <w:rPr>
                <w:rFonts w:ascii="宋体" w:hAnsi="宋体" w:eastAsia="宋体" w:cs="Times New Roman"/>
                <w:b/>
                <w:spacing w:val="-20"/>
                <w:szCs w:val="21"/>
              </w:rPr>
            </w:pPr>
            <w:r>
              <w:rPr>
                <w:rFonts w:hint="eastAsia" w:ascii="宋体" w:hAnsi="宋体" w:eastAsia="宋体" w:cs="Times New Roman"/>
                <w:b/>
                <w:spacing w:val="-20"/>
                <w:szCs w:val="21"/>
              </w:rPr>
              <w:t>时间要求</w:t>
            </w:r>
          </w:p>
        </w:tc>
        <w:tc>
          <w:tcPr>
            <w:tcW w:w="1701" w:type="dxa"/>
            <w:vAlign w:val="center"/>
          </w:tcPr>
          <w:p w14:paraId="28FA50F1">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实训成果</w:t>
            </w:r>
          </w:p>
        </w:tc>
        <w:tc>
          <w:tcPr>
            <w:tcW w:w="1417" w:type="dxa"/>
            <w:vAlign w:val="center"/>
          </w:tcPr>
          <w:p w14:paraId="0D265F4D">
            <w:pPr>
              <w:snapToGrid w:val="0"/>
              <w:spacing w:line="276" w:lineRule="auto"/>
              <w:jc w:val="center"/>
              <w:rPr>
                <w:rFonts w:ascii="宋体" w:hAnsi="宋体" w:eastAsia="宋体" w:cs="Times New Roman"/>
                <w:b/>
                <w:szCs w:val="21"/>
              </w:rPr>
            </w:pPr>
            <w:r>
              <w:rPr>
                <w:rFonts w:hint="eastAsia" w:ascii="宋体" w:hAnsi="宋体" w:eastAsia="宋体" w:cs="Times New Roman"/>
                <w:b/>
                <w:szCs w:val="21"/>
              </w:rPr>
              <w:t>备注</w:t>
            </w:r>
          </w:p>
        </w:tc>
      </w:tr>
      <w:tr w14:paraId="4C7C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1488" w:type="dxa"/>
            <w:vAlign w:val="center"/>
          </w:tcPr>
          <w:p w14:paraId="16CE96B1">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教学设计实训</w:t>
            </w:r>
          </w:p>
        </w:tc>
        <w:tc>
          <w:tcPr>
            <w:tcW w:w="2008" w:type="dxa"/>
            <w:vAlign w:val="center"/>
          </w:tcPr>
          <w:p w14:paraId="12CD2231">
            <w:pPr>
              <w:snapToGrid w:val="0"/>
              <w:rPr>
                <w:rFonts w:ascii="宋体" w:hAnsi="宋体" w:eastAsia="宋体" w:cs="Times New Roman"/>
                <w:bCs/>
                <w:szCs w:val="21"/>
              </w:rPr>
            </w:pPr>
            <w:r>
              <w:rPr>
                <w:rFonts w:hint="eastAsia" w:ascii="宋体" w:hAnsi="宋体" w:eastAsia="宋体" w:cs="Times New Roman"/>
                <w:szCs w:val="21"/>
              </w:rPr>
              <w:t>选择不少于8个小学教学内容，在研读课程标准、认真钻研教材的基础上，进行</w:t>
            </w:r>
            <w:r>
              <w:rPr>
                <w:rFonts w:ascii="宋体" w:hAnsi="宋体" w:eastAsia="宋体" w:cs="Times New Roman"/>
                <w:szCs w:val="21"/>
              </w:rPr>
              <w:t>教学设计</w:t>
            </w:r>
            <w:r>
              <w:rPr>
                <w:rFonts w:hint="eastAsia" w:ascii="宋体" w:hAnsi="宋体" w:eastAsia="宋体" w:cs="Times New Roman"/>
                <w:szCs w:val="21"/>
              </w:rPr>
              <w:t>。</w:t>
            </w:r>
          </w:p>
        </w:tc>
        <w:tc>
          <w:tcPr>
            <w:tcW w:w="1256" w:type="dxa"/>
            <w:vMerge w:val="restart"/>
            <w:vAlign w:val="center"/>
          </w:tcPr>
          <w:p w14:paraId="7938113F">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集中训练</w:t>
            </w:r>
          </w:p>
          <w:p w14:paraId="24996B13">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教师指导</w:t>
            </w:r>
          </w:p>
        </w:tc>
        <w:tc>
          <w:tcPr>
            <w:tcW w:w="919" w:type="dxa"/>
            <w:vAlign w:val="center"/>
          </w:tcPr>
          <w:p w14:paraId="2BE93F00">
            <w:pPr>
              <w:snapToGrid w:val="0"/>
              <w:spacing w:line="360" w:lineRule="auto"/>
              <w:jc w:val="center"/>
              <w:rPr>
                <w:rFonts w:ascii="宋体" w:hAnsi="宋体" w:eastAsia="宋体" w:cs="Times New Roman"/>
                <w:bCs/>
                <w:szCs w:val="21"/>
              </w:rPr>
            </w:pPr>
            <w:r>
              <w:rPr>
                <w:rFonts w:hint="eastAsia" w:ascii="宋体" w:hAnsi="宋体" w:eastAsia="宋体" w:cs="Times New Roman"/>
                <w:bCs/>
                <w:szCs w:val="21"/>
              </w:rPr>
              <w:t>2天</w:t>
            </w:r>
          </w:p>
        </w:tc>
        <w:tc>
          <w:tcPr>
            <w:tcW w:w="1701" w:type="dxa"/>
            <w:vAlign w:val="center"/>
          </w:tcPr>
          <w:p w14:paraId="7346D826">
            <w:pPr>
              <w:snapToGrid w:val="0"/>
              <w:jc w:val="left"/>
              <w:rPr>
                <w:rFonts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完成不少于3个说课稿。</w:t>
            </w:r>
          </w:p>
          <w:p w14:paraId="52739B6B">
            <w:pPr>
              <w:snapToGrid w:val="0"/>
              <w:jc w:val="left"/>
              <w:rPr>
                <w:rFonts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完成不少于8个教案。</w:t>
            </w:r>
          </w:p>
        </w:tc>
        <w:tc>
          <w:tcPr>
            <w:tcW w:w="1417" w:type="dxa"/>
            <w:vMerge w:val="restart"/>
            <w:vAlign w:val="center"/>
          </w:tcPr>
          <w:p w14:paraId="59CE75FC">
            <w:pPr>
              <w:snapToGrid w:val="0"/>
              <w:rPr>
                <w:rFonts w:ascii="宋体" w:hAnsi="宋体" w:eastAsia="宋体" w:cs="Times New Roman"/>
                <w:bCs/>
                <w:szCs w:val="21"/>
              </w:rPr>
            </w:pPr>
            <w:r>
              <w:rPr>
                <w:rFonts w:ascii="宋体" w:hAnsi="宋体" w:eastAsia="宋体" w:cs="Times New Roman"/>
                <w:bCs/>
                <w:szCs w:val="21"/>
              </w:rPr>
              <w:t>1.</w:t>
            </w:r>
            <w:r>
              <w:rPr>
                <w:rFonts w:hint="eastAsia" w:ascii="宋体" w:hAnsi="宋体" w:eastAsia="宋体" w:cs="Times New Roman"/>
                <w:bCs/>
                <w:szCs w:val="21"/>
              </w:rPr>
              <w:t>积极实训动员；</w:t>
            </w:r>
          </w:p>
          <w:p w14:paraId="68F2C188">
            <w:pPr>
              <w:snapToGrid w:val="0"/>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加强组织管理；</w:t>
            </w:r>
          </w:p>
          <w:p w14:paraId="632901D5">
            <w:pPr>
              <w:snapToGrid w:val="0"/>
              <w:rPr>
                <w:rFonts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做好实训总结</w:t>
            </w:r>
          </w:p>
        </w:tc>
      </w:tr>
      <w:tr w14:paraId="2535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50B3AC5F">
            <w:pPr>
              <w:snapToGrid w:val="0"/>
              <w:spacing w:line="360" w:lineRule="auto"/>
              <w:rPr>
                <w:rFonts w:ascii="宋体" w:hAnsi="宋体" w:eastAsia="宋体" w:cs="Times New Roman"/>
                <w:bCs/>
                <w:szCs w:val="21"/>
              </w:rPr>
            </w:pPr>
            <w:r>
              <w:rPr>
                <w:rFonts w:hint="eastAsia" w:ascii="宋体" w:hAnsi="宋体" w:eastAsia="宋体" w:cs="Times New Roman"/>
                <w:bCs/>
                <w:szCs w:val="21"/>
              </w:rPr>
              <w:t>说课实训</w:t>
            </w:r>
          </w:p>
        </w:tc>
        <w:tc>
          <w:tcPr>
            <w:tcW w:w="2008" w:type="dxa"/>
            <w:vAlign w:val="center"/>
          </w:tcPr>
          <w:p w14:paraId="2B1EE800">
            <w:pPr>
              <w:snapToGrid w:val="0"/>
              <w:rPr>
                <w:rFonts w:ascii="宋体" w:hAnsi="宋体" w:eastAsia="宋体" w:cs="Times New Roman"/>
                <w:bCs/>
                <w:szCs w:val="21"/>
              </w:rPr>
            </w:pPr>
            <w:r>
              <w:rPr>
                <w:rFonts w:hint="eastAsia" w:ascii="宋体" w:hAnsi="宋体" w:eastAsia="宋体" w:cs="Times New Roman"/>
                <w:szCs w:val="21"/>
              </w:rPr>
              <w:t>依据说课稿进行</w:t>
            </w:r>
            <w:r>
              <w:rPr>
                <w:rFonts w:ascii="宋体" w:hAnsi="宋体" w:eastAsia="宋体" w:cs="Times New Roman"/>
                <w:szCs w:val="21"/>
              </w:rPr>
              <w:t>说课</w:t>
            </w:r>
            <w:r>
              <w:rPr>
                <w:rFonts w:hint="eastAsia" w:ascii="宋体" w:hAnsi="宋体" w:eastAsia="宋体" w:cs="Times New Roman"/>
                <w:szCs w:val="21"/>
              </w:rPr>
              <w:t>训练</w:t>
            </w:r>
          </w:p>
        </w:tc>
        <w:tc>
          <w:tcPr>
            <w:tcW w:w="1256" w:type="dxa"/>
            <w:vMerge w:val="continue"/>
            <w:vAlign w:val="center"/>
          </w:tcPr>
          <w:p w14:paraId="64DE3A6B">
            <w:pPr>
              <w:snapToGrid w:val="0"/>
              <w:jc w:val="center"/>
              <w:rPr>
                <w:rFonts w:ascii="宋体" w:hAnsi="宋体" w:eastAsia="宋体" w:cs="Times New Roman"/>
                <w:bCs/>
                <w:szCs w:val="21"/>
              </w:rPr>
            </w:pPr>
          </w:p>
        </w:tc>
        <w:tc>
          <w:tcPr>
            <w:tcW w:w="919" w:type="dxa"/>
            <w:vAlign w:val="center"/>
          </w:tcPr>
          <w:p w14:paraId="4FA64F46">
            <w:pPr>
              <w:snapToGrid w:val="0"/>
              <w:jc w:val="center"/>
              <w:rPr>
                <w:rFonts w:ascii="宋体" w:hAnsi="宋体" w:eastAsia="宋体" w:cs="Times New Roman"/>
                <w:bCs/>
                <w:szCs w:val="21"/>
              </w:rPr>
            </w:pPr>
            <w:r>
              <w:rPr>
                <w:rFonts w:ascii="宋体" w:hAnsi="宋体" w:eastAsia="宋体" w:cs="Times New Roman"/>
                <w:bCs/>
                <w:szCs w:val="21"/>
              </w:rPr>
              <w:t>2</w:t>
            </w:r>
            <w:r>
              <w:rPr>
                <w:rFonts w:hint="eastAsia" w:ascii="宋体" w:hAnsi="宋体" w:eastAsia="宋体" w:cs="Times New Roman"/>
                <w:bCs/>
                <w:szCs w:val="21"/>
              </w:rPr>
              <w:t>天</w:t>
            </w:r>
          </w:p>
        </w:tc>
        <w:tc>
          <w:tcPr>
            <w:tcW w:w="1701" w:type="dxa"/>
            <w:vAlign w:val="center"/>
          </w:tcPr>
          <w:p w14:paraId="6BC958FF">
            <w:pPr>
              <w:snapToGrid w:val="0"/>
              <w:rPr>
                <w:rFonts w:ascii="宋体" w:hAnsi="宋体" w:eastAsia="宋体" w:cs="Times New Roman"/>
                <w:bCs/>
                <w:szCs w:val="21"/>
              </w:rPr>
            </w:pPr>
            <w:r>
              <w:rPr>
                <w:rFonts w:hint="eastAsia" w:ascii="宋体" w:hAnsi="宋体" w:eastAsia="宋体" w:cs="Times New Roman"/>
                <w:bCs/>
                <w:szCs w:val="21"/>
              </w:rPr>
              <w:t>提交不少于</w:t>
            </w:r>
            <w:r>
              <w:rPr>
                <w:rFonts w:ascii="宋体" w:hAnsi="宋体" w:eastAsia="宋体" w:cs="Times New Roman"/>
                <w:bCs/>
                <w:szCs w:val="21"/>
              </w:rPr>
              <w:t>2</w:t>
            </w:r>
            <w:r>
              <w:rPr>
                <w:rFonts w:hint="eastAsia" w:ascii="宋体" w:hAnsi="宋体" w:eastAsia="宋体" w:cs="Times New Roman"/>
                <w:bCs/>
                <w:szCs w:val="21"/>
              </w:rPr>
              <w:t>个说课视频。</w:t>
            </w:r>
          </w:p>
        </w:tc>
        <w:tc>
          <w:tcPr>
            <w:tcW w:w="1417" w:type="dxa"/>
            <w:vMerge w:val="continue"/>
            <w:vAlign w:val="center"/>
          </w:tcPr>
          <w:p w14:paraId="466FDBEA">
            <w:pPr>
              <w:snapToGrid w:val="0"/>
              <w:spacing w:line="360" w:lineRule="auto"/>
              <w:rPr>
                <w:rFonts w:ascii="宋体" w:hAnsi="宋体" w:eastAsia="宋体" w:cs="Times New Roman"/>
                <w:bCs/>
                <w:szCs w:val="21"/>
              </w:rPr>
            </w:pPr>
          </w:p>
        </w:tc>
      </w:tr>
      <w:tr w14:paraId="1A25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7CEF46AA">
            <w:pPr>
              <w:snapToGrid w:val="0"/>
              <w:spacing w:line="360" w:lineRule="auto"/>
              <w:rPr>
                <w:rFonts w:ascii="宋体" w:hAnsi="宋体" w:eastAsia="宋体" w:cs="Times New Roman"/>
                <w:bCs/>
                <w:szCs w:val="21"/>
              </w:rPr>
            </w:pPr>
            <w:r>
              <w:rPr>
                <w:rFonts w:hint="eastAsia" w:ascii="宋体" w:hAnsi="宋体" w:eastAsia="宋体" w:cs="Times New Roman"/>
                <w:bCs/>
                <w:szCs w:val="21"/>
              </w:rPr>
              <w:t>课堂教学实训</w:t>
            </w:r>
          </w:p>
        </w:tc>
        <w:tc>
          <w:tcPr>
            <w:tcW w:w="2008" w:type="dxa"/>
            <w:vAlign w:val="center"/>
          </w:tcPr>
          <w:p w14:paraId="3FE7657A">
            <w:pPr>
              <w:snapToGrid w:val="0"/>
              <w:rPr>
                <w:rFonts w:ascii="宋体" w:hAnsi="宋体" w:eastAsia="宋体" w:cs="Times New Roman"/>
                <w:bCs/>
                <w:szCs w:val="21"/>
              </w:rPr>
            </w:pPr>
            <w:r>
              <w:rPr>
                <w:rFonts w:hint="eastAsia" w:ascii="宋体" w:hAnsi="宋体" w:eastAsia="宋体" w:cs="Times New Roman"/>
                <w:szCs w:val="21"/>
              </w:rPr>
              <w:t>依据教学设计进行课堂教学（模拟教学）训练</w:t>
            </w:r>
          </w:p>
        </w:tc>
        <w:tc>
          <w:tcPr>
            <w:tcW w:w="1256" w:type="dxa"/>
            <w:vMerge w:val="continue"/>
            <w:vAlign w:val="center"/>
          </w:tcPr>
          <w:p w14:paraId="345E712D">
            <w:pPr>
              <w:snapToGrid w:val="0"/>
              <w:jc w:val="center"/>
              <w:rPr>
                <w:rFonts w:ascii="宋体" w:hAnsi="宋体" w:eastAsia="宋体" w:cs="Times New Roman"/>
                <w:bCs/>
                <w:szCs w:val="21"/>
              </w:rPr>
            </w:pPr>
          </w:p>
        </w:tc>
        <w:tc>
          <w:tcPr>
            <w:tcW w:w="919" w:type="dxa"/>
            <w:vAlign w:val="center"/>
          </w:tcPr>
          <w:p w14:paraId="130A3820">
            <w:pPr>
              <w:snapToGrid w:val="0"/>
              <w:jc w:val="center"/>
              <w:rPr>
                <w:rFonts w:ascii="宋体" w:hAnsi="宋体" w:eastAsia="宋体" w:cs="Times New Roman"/>
                <w:bCs/>
                <w:szCs w:val="21"/>
              </w:rPr>
            </w:pPr>
            <w:r>
              <w:rPr>
                <w:rFonts w:ascii="宋体" w:hAnsi="宋体" w:eastAsia="宋体" w:cs="Times New Roman"/>
                <w:bCs/>
                <w:szCs w:val="21"/>
              </w:rPr>
              <w:t>5</w:t>
            </w:r>
            <w:r>
              <w:rPr>
                <w:rFonts w:hint="eastAsia" w:ascii="宋体" w:hAnsi="宋体" w:eastAsia="宋体" w:cs="Times New Roman"/>
                <w:bCs/>
                <w:szCs w:val="21"/>
              </w:rPr>
              <w:t>天</w:t>
            </w:r>
          </w:p>
        </w:tc>
        <w:tc>
          <w:tcPr>
            <w:tcW w:w="1701" w:type="dxa"/>
            <w:vAlign w:val="center"/>
          </w:tcPr>
          <w:p w14:paraId="5DED8DB2">
            <w:pPr>
              <w:snapToGrid w:val="0"/>
              <w:rPr>
                <w:rFonts w:ascii="宋体" w:hAnsi="宋体" w:eastAsia="宋体" w:cs="Times New Roman"/>
                <w:bCs/>
                <w:szCs w:val="21"/>
              </w:rPr>
            </w:pPr>
            <w:r>
              <w:rPr>
                <w:rFonts w:hint="eastAsia" w:ascii="宋体" w:hAnsi="宋体" w:eastAsia="宋体" w:cs="Times New Roman"/>
                <w:bCs/>
                <w:szCs w:val="21"/>
              </w:rPr>
              <w:t>提交不少于5个课堂教学（模拟教学）视频。</w:t>
            </w:r>
          </w:p>
        </w:tc>
        <w:tc>
          <w:tcPr>
            <w:tcW w:w="1417" w:type="dxa"/>
            <w:vMerge w:val="continue"/>
            <w:vAlign w:val="center"/>
          </w:tcPr>
          <w:p w14:paraId="191121B1">
            <w:pPr>
              <w:snapToGrid w:val="0"/>
              <w:spacing w:line="360" w:lineRule="auto"/>
              <w:rPr>
                <w:rFonts w:ascii="宋体" w:hAnsi="宋体" w:eastAsia="宋体" w:cs="Times New Roman"/>
                <w:bCs/>
                <w:szCs w:val="21"/>
              </w:rPr>
            </w:pPr>
          </w:p>
        </w:tc>
      </w:tr>
      <w:tr w14:paraId="75F3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center"/>
          </w:tcPr>
          <w:p w14:paraId="1F664790">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教学实训成果汇报</w:t>
            </w:r>
          </w:p>
        </w:tc>
        <w:tc>
          <w:tcPr>
            <w:tcW w:w="2008" w:type="dxa"/>
            <w:vAlign w:val="center"/>
          </w:tcPr>
          <w:p w14:paraId="6D8C5F14">
            <w:pPr>
              <w:snapToGrid w:val="0"/>
              <w:rPr>
                <w:rFonts w:ascii="宋体" w:hAnsi="宋体" w:eastAsia="宋体" w:cs="Times New Roman"/>
                <w:szCs w:val="21"/>
              </w:rPr>
            </w:pPr>
            <w:r>
              <w:rPr>
                <w:rFonts w:hint="eastAsia" w:ascii="宋体" w:hAnsi="宋体" w:eastAsia="宋体" w:cs="Times New Roman"/>
                <w:szCs w:val="21"/>
              </w:rPr>
              <w:t>开展教学实训成果汇报；总结交流教学实训情况</w:t>
            </w:r>
          </w:p>
        </w:tc>
        <w:tc>
          <w:tcPr>
            <w:tcW w:w="1256" w:type="dxa"/>
            <w:vMerge w:val="continue"/>
            <w:vAlign w:val="center"/>
          </w:tcPr>
          <w:p w14:paraId="323B9AE9">
            <w:pPr>
              <w:snapToGrid w:val="0"/>
              <w:jc w:val="center"/>
              <w:rPr>
                <w:rFonts w:ascii="宋体" w:hAnsi="宋体" w:eastAsia="宋体" w:cs="Times New Roman"/>
                <w:bCs/>
                <w:szCs w:val="21"/>
              </w:rPr>
            </w:pPr>
          </w:p>
        </w:tc>
        <w:tc>
          <w:tcPr>
            <w:tcW w:w="919" w:type="dxa"/>
            <w:vAlign w:val="center"/>
          </w:tcPr>
          <w:p w14:paraId="4F41B079">
            <w:pPr>
              <w:snapToGrid w:val="0"/>
              <w:jc w:val="center"/>
              <w:rPr>
                <w:rFonts w:ascii="宋体" w:hAnsi="宋体" w:eastAsia="宋体" w:cs="Times New Roman"/>
                <w:bCs/>
                <w:szCs w:val="21"/>
              </w:rPr>
            </w:pPr>
            <w:r>
              <w:rPr>
                <w:rFonts w:hint="eastAsia" w:ascii="宋体" w:hAnsi="宋体" w:eastAsia="宋体" w:cs="Times New Roman"/>
                <w:bCs/>
                <w:szCs w:val="21"/>
              </w:rPr>
              <w:t>1天</w:t>
            </w:r>
          </w:p>
        </w:tc>
        <w:tc>
          <w:tcPr>
            <w:tcW w:w="1701" w:type="dxa"/>
            <w:vAlign w:val="center"/>
          </w:tcPr>
          <w:p w14:paraId="1D761633">
            <w:pPr>
              <w:snapToGrid w:val="0"/>
              <w:rPr>
                <w:rFonts w:ascii="宋体" w:hAnsi="宋体" w:eastAsia="宋体" w:cs="Times New Roman"/>
                <w:bCs/>
                <w:szCs w:val="21"/>
              </w:rPr>
            </w:pPr>
            <w:r>
              <w:rPr>
                <w:rFonts w:hint="eastAsia" w:ascii="宋体" w:hAnsi="宋体" w:eastAsia="宋体" w:cs="Times New Roman"/>
                <w:bCs/>
                <w:szCs w:val="21"/>
              </w:rPr>
              <w:t>完成教学实训汇报，提交1份教学实训总结</w:t>
            </w:r>
          </w:p>
        </w:tc>
        <w:tc>
          <w:tcPr>
            <w:tcW w:w="1417" w:type="dxa"/>
            <w:vMerge w:val="continue"/>
            <w:vAlign w:val="center"/>
          </w:tcPr>
          <w:p w14:paraId="695D57DA">
            <w:pPr>
              <w:snapToGrid w:val="0"/>
              <w:spacing w:line="360" w:lineRule="auto"/>
              <w:rPr>
                <w:rFonts w:ascii="宋体" w:hAnsi="宋体" w:eastAsia="宋体" w:cs="Times New Roman"/>
                <w:bCs/>
                <w:szCs w:val="21"/>
              </w:rPr>
            </w:pPr>
          </w:p>
        </w:tc>
      </w:tr>
    </w:tbl>
    <w:p w14:paraId="04A4EECF">
      <w:pPr>
        <w:snapToGrid w:val="0"/>
        <w:spacing w:line="360" w:lineRule="auto"/>
        <w:rPr>
          <w:rFonts w:ascii="宋体" w:hAnsi="宋体" w:eastAsia="宋体" w:cs="Times New Roman"/>
          <w:bCs/>
          <w:sz w:val="24"/>
          <w:szCs w:val="24"/>
        </w:rPr>
      </w:pPr>
    </w:p>
    <w:p w14:paraId="7F472E76">
      <w:pPr>
        <w:snapToGrid w:val="0"/>
        <w:spacing w:line="360" w:lineRule="auto"/>
        <w:rPr>
          <w:rFonts w:ascii="宋体" w:hAnsi="宋体" w:eastAsia="宋体" w:cs="Times New Roman"/>
          <w:sz w:val="24"/>
          <w:szCs w:val="24"/>
        </w:rPr>
      </w:pPr>
      <w:r>
        <w:rPr>
          <w:rFonts w:hint="eastAsia" w:ascii="宋体" w:hAnsi="宋体" w:eastAsia="宋体" w:cs="Times New Roman"/>
          <w:sz w:val="24"/>
          <w:szCs w:val="24"/>
        </w:rPr>
        <w:t>（二）教学内容与</w:t>
      </w:r>
      <w:r>
        <w:rPr>
          <w:rFonts w:ascii="宋体" w:hAnsi="宋体" w:eastAsia="宋体" w:cs="Times New Roman"/>
          <w:sz w:val="24"/>
          <w:szCs w:val="24"/>
        </w:rPr>
        <w:t>课程目标的</w:t>
      </w:r>
      <w:r>
        <w:rPr>
          <w:rFonts w:hint="eastAsia" w:ascii="宋体" w:hAnsi="宋体" w:eastAsia="宋体" w:cs="Times New Roman"/>
          <w:sz w:val="24"/>
          <w:szCs w:val="24"/>
        </w:rPr>
        <w:t>对应关系及</w:t>
      </w:r>
      <w:r>
        <w:rPr>
          <w:rFonts w:ascii="宋体" w:hAnsi="宋体" w:eastAsia="宋体" w:cs="Times New Roman"/>
          <w:sz w:val="24"/>
          <w:szCs w:val="24"/>
        </w:rPr>
        <w:t>学时分配</w:t>
      </w:r>
    </w:p>
    <w:p w14:paraId="49ED2B34">
      <w:pPr>
        <w:snapToGrid w:val="0"/>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课程内容与课程目标的对应关系</w:t>
      </w:r>
    </w:p>
    <w:tbl>
      <w:tblPr>
        <w:tblStyle w:val="30"/>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5"/>
        <w:gridCol w:w="1558"/>
        <w:gridCol w:w="1509"/>
        <w:gridCol w:w="1558"/>
      </w:tblGrid>
      <w:tr w14:paraId="5898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6C13176A">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课程内容</w:t>
            </w:r>
          </w:p>
        </w:tc>
        <w:tc>
          <w:tcPr>
            <w:tcW w:w="1558" w:type="dxa"/>
            <w:vAlign w:val="center"/>
          </w:tcPr>
          <w:p w14:paraId="0723432B">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1509" w:type="dxa"/>
            <w:vAlign w:val="center"/>
          </w:tcPr>
          <w:p w14:paraId="617575AB">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1558" w:type="dxa"/>
            <w:vAlign w:val="center"/>
          </w:tcPr>
          <w:p w14:paraId="2E229A00">
            <w:pPr>
              <w:snapToGrid w:val="0"/>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tc>
      </w:tr>
      <w:tr w14:paraId="7FAF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445" w:type="dxa"/>
            <w:vAlign w:val="center"/>
          </w:tcPr>
          <w:p w14:paraId="189950CC">
            <w:pPr>
              <w:snapToGrid w:val="0"/>
              <w:rPr>
                <w:rFonts w:ascii="宋体" w:hAnsi="宋体" w:eastAsia="宋体" w:cs="Times New Roman"/>
                <w:bCs/>
                <w:szCs w:val="21"/>
              </w:rPr>
            </w:pPr>
            <w:r>
              <w:rPr>
                <w:rFonts w:hint="eastAsia" w:ascii="宋体" w:hAnsi="宋体" w:eastAsia="宋体" w:cs="Times New Roman"/>
                <w:bCs/>
                <w:szCs w:val="21"/>
              </w:rPr>
              <w:t>教学设计实训</w:t>
            </w:r>
          </w:p>
        </w:tc>
        <w:tc>
          <w:tcPr>
            <w:tcW w:w="1558" w:type="dxa"/>
            <w:vAlign w:val="center"/>
          </w:tcPr>
          <w:p w14:paraId="15003CE0">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09" w:type="dxa"/>
            <w:vAlign w:val="center"/>
          </w:tcPr>
          <w:p w14:paraId="5D62F38A">
            <w:pPr>
              <w:snapToGrid w:val="0"/>
              <w:jc w:val="center"/>
              <w:rPr>
                <w:rFonts w:ascii="宋体" w:hAnsi="宋体" w:eastAsia="宋体" w:cs="Times New Roman"/>
                <w:color w:val="000000"/>
                <w:szCs w:val="21"/>
              </w:rPr>
            </w:pPr>
          </w:p>
        </w:tc>
        <w:tc>
          <w:tcPr>
            <w:tcW w:w="1558" w:type="dxa"/>
            <w:vAlign w:val="center"/>
          </w:tcPr>
          <w:p w14:paraId="06B39B9F">
            <w:pPr>
              <w:snapToGrid w:val="0"/>
              <w:jc w:val="center"/>
              <w:rPr>
                <w:rFonts w:ascii="宋体" w:hAnsi="宋体" w:eastAsia="宋体" w:cs="Times New Roman"/>
                <w:color w:val="000000"/>
                <w:szCs w:val="21"/>
              </w:rPr>
            </w:pPr>
          </w:p>
        </w:tc>
      </w:tr>
      <w:tr w14:paraId="66FA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45FA73F5">
            <w:pPr>
              <w:snapToGrid w:val="0"/>
              <w:rPr>
                <w:rFonts w:ascii="宋体" w:hAnsi="宋体" w:eastAsia="宋体" w:cs="Times New Roman"/>
                <w:bCs/>
                <w:szCs w:val="21"/>
              </w:rPr>
            </w:pPr>
            <w:r>
              <w:rPr>
                <w:rFonts w:hint="eastAsia" w:ascii="宋体" w:hAnsi="宋体" w:eastAsia="宋体" w:cs="Times New Roman"/>
                <w:bCs/>
                <w:szCs w:val="21"/>
              </w:rPr>
              <w:t>说课实训</w:t>
            </w:r>
          </w:p>
        </w:tc>
        <w:tc>
          <w:tcPr>
            <w:tcW w:w="1558" w:type="dxa"/>
            <w:vAlign w:val="center"/>
          </w:tcPr>
          <w:p w14:paraId="33DC31E8">
            <w:pPr>
              <w:snapToGrid w:val="0"/>
              <w:jc w:val="center"/>
              <w:rPr>
                <w:rFonts w:ascii="宋体" w:hAnsi="宋体" w:eastAsia="宋体" w:cs="Times New Roman"/>
                <w:color w:val="000000"/>
                <w:szCs w:val="21"/>
              </w:rPr>
            </w:pPr>
          </w:p>
        </w:tc>
        <w:tc>
          <w:tcPr>
            <w:tcW w:w="1509" w:type="dxa"/>
            <w:vAlign w:val="center"/>
          </w:tcPr>
          <w:p w14:paraId="61A15555">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58" w:type="dxa"/>
            <w:vAlign w:val="center"/>
          </w:tcPr>
          <w:p w14:paraId="3A8C0071">
            <w:pPr>
              <w:snapToGrid w:val="0"/>
              <w:jc w:val="center"/>
              <w:rPr>
                <w:rFonts w:ascii="宋体" w:hAnsi="宋体" w:eastAsia="宋体" w:cs="Times New Roman"/>
                <w:color w:val="000000"/>
                <w:szCs w:val="21"/>
              </w:rPr>
            </w:pPr>
          </w:p>
        </w:tc>
      </w:tr>
      <w:tr w14:paraId="525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445" w:type="dxa"/>
            <w:vAlign w:val="center"/>
          </w:tcPr>
          <w:p w14:paraId="22F94127">
            <w:pPr>
              <w:snapToGrid w:val="0"/>
              <w:rPr>
                <w:rFonts w:ascii="宋体" w:hAnsi="宋体" w:eastAsia="宋体" w:cs="Times New Roman"/>
                <w:bCs/>
                <w:szCs w:val="21"/>
              </w:rPr>
            </w:pPr>
            <w:r>
              <w:rPr>
                <w:rFonts w:hint="eastAsia" w:ascii="宋体" w:hAnsi="宋体" w:eastAsia="宋体" w:cs="Times New Roman"/>
                <w:bCs/>
                <w:szCs w:val="21"/>
              </w:rPr>
              <w:t>课堂教学实训</w:t>
            </w:r>
          </w:p>
        </w:tc>
        <w:tc>
          <w:tcPr>
            <w:tcW w:w="1558" w:type="dxa"/>
            <w:vAlign w:val="center"/>
          </w:tcPr>
          <w:p w14:paraId="4A817846">
            <w:pPr>
              <w:snapToGrid w:val="0"/>
              <w:jc w:val="center"/>
              <w:rPr>
                <w:rFonts w:ascii="宋体" w:hAnsi="宋体" w:eastAsia="宋体" w:cs="Times New Roman"/>
                <w:color w:val="000000"/>
                <w:szCs w:val="21"/>
              </w:rPr>
            </w:pPr>
          </w:p>
        </w:tc>
        <w:tc>
          <w:tcPr>
            <w:tcW w:w="1509" w:type="dxa"/>
            <w:vAlign w:val="center"/>
          </w:tcPr>
          <w:p w14:paraId="47994E3B">
            <w:pPr>
              <w:snapToGrid w:val="0"/>
              <w:jc w:val="center"/>
              <w:rPr>
                <w:rFonts w:ascii="宋体" w:hAnsi="宋体" w:eastAsia="宋体" w:cs="Times New Roman"/>
                <w:color w:val="000000"/>
                <w:szCs w:val="21"/>
              </w:rPr>
            </w:pPr>
            <w:r>
              <w:rPr>
                <w:rFonts w:ascii="宋体" w:hAnsi="宋体" w:eastAsia="宋体" w:cs="Arial"/>
                <w:color w:val="000000"/>
                <w:szCs w:val="21"/>
              </w:rPr>
              <w:t>√</w:t>
            </w:r>
          </w:p>
        </w:tc>
        <w:tc>
          <w:tcPr>
            <w:tcW w:w="1558" w:type="dxa"/>
            <w:vAlign w:val="center"/>
          </w:tcPr>
          <w:p w14:paraId="73E7568F">
            <w:pPr>
              <w:snapToGrid w:val="0"/>
              <w:jc w:val="center"/>
              <w:rPr>
                <w:rFonts w:ascii="宋体" w:hAnsi="宋体" w:eastAsia="宋体" w:cs="Times New Roman"/>
                <w:color w:val="000000"/>
                <w:szCs w:val="21"/>
              </w:rPr>
            </w:pPr>
          </w:p>
        </w:tc>
      </w:tr>
      <w:tr w14:paraId="1505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45" w:type="dxa"/>
            <w:vAlign w:val="center"/>
          </w:tcPr>
          <w:p w14:paraId="62CFE04B">
            <w:pPr>
              <w:snapToGrid w:val="0"/>
              <w:rPr>
                <w:rFonts w:ascii="宋体" w:hAnsi="宋体" w:eastAsia="宋体" w:cs="Times New Roman"/>
                <w:bCs/>
                <w:szCs w:val="21"/>
              </w:rPr>
            </w:pPr>
            <w:r>
              <w:rPr>
                <w:rFonts w:hint="eastAsia" w:ascii="宋体" w:hAnsi="宋体" w:eastAsia="宋体" w:cs="Times New Roman"/>
                <w:bCs/>
                <w:szCs w:val="21"/>
              </w:rPr>
              <w:t>教学实训成果汇报</w:t>
            </w:r>
          </w:p>
        </w:tc>
        <w:tc>
          <w:tcPr>
            <w:tcW w:w="1558" w:type="dxa"/>
            <w:vAlign w:val="center"/>
          </w:tcPr>
          <w:p w14:paraId="144EFFF9">
            <w:pPr>
              <w:snapToGrid w:val="0"/>
              <w:jc w:val="center"/>
              <w:rPr>
                <w:rFonts w:ascii="宋体" w:hAnsi="宋体" w:eastAsia="宋体" w:cs="Times New Roman"/>
                <w:color w:val="000000"/>
                <w:szCs w:val="21"/>
              </w:rPr>
            </w:pPr>
          </w:p>
        </w:tc>
        <w:tc>
          <w:tcPr>
            <w:tcW w:w="1509" w:type="dxa"/>
            <w:vAlign w:val="center"/>
          </w:tcPr>
          <w:p w14:paraId="29F37C0B">
            <w:pPr>
              <w:snapToGrid w:val="0"/>
              <w:jc w:val="center"/>
              <w:rPr>
                <w:rFonts w:ascii="宋体" w:hAnsi="宋体" w:eastAsia="宋体" w:cs="Times New Roman"/>
                <w:color w:val="000000"/>
                <w:szCs w:val="21"/>
              </w:rPr>
            </w:pPr>
          </w:p>
        </w:tc>
        <w:tc>
          <w:tcPr>
            <w:tcW w:w="1558" w:type="dxa"/>
            <w:vAlign w:val="center"/>
          </w:tcPr>
          <w:p w14:paraId="020AEE6A">
            <w:pPr>
              <w:snapToGrid w:val="0"/>
              <w:jc w:val="center"/>
              <w:rPr>
                <w:rFonts w:ascii="宋体" w:hAnsi="宋体" w:eastAsia="宋体" w:cs="Times New Roman"/>
                <w:color w:val="000000"/>
                <w:szCs w:val="21"/>
              </w:rPr>
            </w:pPr>
            <w:r>
              <w:rPr>
                <w:rFonts w:ascii="宋体" w:hAnsi="宋体" w:eastAsia="宋体" w:cs="Arial"/>
                <w:color w:val="000000"/>
                <w:szCs w:val="21"/>
              </w:rPr>
              <w:t>√</w:t>
            </w:r>
          </w:p>
        </w:tc>
      </w:tr>
    </w:tbl>
    <w:p w14:paraId="72BD7915">
      <w:pPr>
        <w:snapToGrid w:val="0"/>
        <w:rPr>
          <w:rFonts w:ascii="宋体" w:hAnsi="宋体" w:eastAsia="宋体" w:cs="Times New Roman"/>
          <w:b/>
          <w:bCs/>
          <w:sz w:val="24"/>
          <w:szCs w:val="24"/>
        </w:rPr>
      </w:pPr>
    </w:p>
    <w:p w14:paraId="1A87B86D">
      <w:pPr>
        <w:snapToGrid w:val="0"/>
        <w:spacing w:line="360" w:lineRule="auto"/>
        <w:ind w:firstLine="482" w:firstLineChars="200"/>
        <w:rPr>
          <w:rFonts w:ascii="宋体" w:hAnsi="宋体" w:eastAsia="宋体" w:cs="Times New Roman"/>
          <w:b/>
          <w:bCs/>
          <w:color w:val="000000"/>
          <w:sz w:val="24"/>
          <w:szCs w:val="24"/>
        </w:rPr>
      </w:pPr>
      <w:r>
        <w:rPr>
          <w:rFonts w:hint="eastAsia" w:ascii="宋体" w:hAnsi="宋体" w:eastAsia="宋体" w:cs="Times New Roman"/>
          <w:b/>
          <w:bCs/>
          <w:sz w:val="24"/>
          <w:szCs w:val="24"/>
        </w:rPr>
        <w:t>（三）课程思政目标</w:t>
      </w:r>
    </w:p>
    <w:p w14:paraId="7D93F4A8">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1.通过教学实训进一步巩固专业思想，加树立正确教育观念。</w:t>
      </w:r>
    </w:p>
    <w:p w14:paraId="1B2EE1B8">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2.通过说课、模拟教学等实训环节，将社会责任感、教育情怀、团队精神等有效地融入其中。</w:t>
      </w:r>
    </w:p>
    <w:p w14:paraId="299DD2E9">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3.通过教学实训，形成学科育人的意识，掌握学科育人的方法。</w:t>
      </w:r>
    </w:p>
    <w:p w14:paraId="13E67512">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四、课程实施</w:t>
      </w:r>
    </w:p>
    <w:p w14:paraId="329F52CC">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(一)实训要求</w:t>
      </w:r>
    </w:p>
    <w:p w14:paraId="19306D39">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1.遵守学校教学常规制度，不迟到，不早退，虚心听取指导教师的指导。</w:t>
      </w:r>
    </w:p>
    <w:p w14:paraId="43C0C1B3">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2.同学之间团结友爱，互相合作，认真填写《教学实训手册》。</w:t>
      </w:r>
    </w:p>
    <w:p w14:paraId="7E75EC3C">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w:t>
      </w:r>
      <w:r>
        <w:rPr>
          <w:rFonts w:ascii="宋体" w:hAnsi="宋体" w:eastAsia="宋体" w:cs="Times New Roman"/>
          <w:sz w:val="24"/>
          <w:szCs w:val="24"/>
        </w:rPr>
        <w:t>.</w:t>
      </w:r>
      <w:r>
        <w:rPr>
          <w:rFonts w:hint="eastAsia" w:ascii="宋体" w:hAnsi="宋体" w:eastAsia="宋体" w:cs="Times New Roman"/>
          <w:sz w:val="24"/>
          <w:szCs w:val="24"/>
        </w:rPr>
        <w:t>认真做好实训前的各项准备工作，所有学生必须全程参加实训活动，不得无故缺席。</w:t>
      </w:r>
    </w:p>
    <w:p w14:paraId="3BF5C37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w:t>
      </w:r>
      <w:r>
        <w:rPr>
          <w:rFonts w:ascii="宋体" w:hAnsi="宋体" w:eastAsia="宋体" w:cs="Times New Roman"/>
          <w:sz w:val="24"/>
          <w:szCs w:val="24"/>
        </w:rPr>
        <w:t>主要教学环节的质量要求如表所示</w:t>
      </w:r>
      <w:r>
        <w:rPr>
          <w:rFonts w:hint="eastAsia" w:ascii="宋体" w:hAnsi="宋体" w:eastAsia="宋体" w:cs="Times New Roman"/>
          <w:sz w:val="24"/>
          <w:szCs w:val="24"/>
        </w:rPr>
        <w:t>：</w:t>
      </w:r>
    </w:p>
    <w:tbl>
      <w:tblPr>
        <w:tblStyle w:val="30"/>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7525"/>
      </w:tblGrid>
      <w:tr w14:paraId="1F0A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75" w:type="dxa"/>
            <w:gridSpan w:val="2"/>
            <w:tcBorders>
              <w:top w:val="single" w:color="auto" w:sz="8" w:space="0"/>
              <w:left w:val="single" w:color="auto" w:sz="8" w:space="0"/>
              <w:right w:val="single" w:color="auto" w:sz="8" w:space="0"/>
            </w:tcBorders>
            <w:tcMar>
              <w:left w:w="28" w:type="dxa"/>
              <w:right w:w="28" w:type="dxa"/>
            </w:tcMar>
            <w:vAlign w:val="center"/>
          </w:tcPr>
          <w:p w14:paraId="146BC216">
            <w:pPr>
              <w:spacing w:line="276" w:lineRule="auto"/>
              <w:jc w:val="center"/>
              <w:rPr>
                <w:rFonts w:ascii="宋体" w:hAnsi="宋体" w:eastAsia="宋体" w:cs="Times New Roman"/>
                <w:b/>
                <w:szCs w:val="21"/>
              </w:rPr>
            </w:pPr>
            <w:r>
              <w:rPr>
                <w:rFonts w:ascii="宋体" w:hAnsi="宋体" w:eastAsia="宋体" w:cs="Times New Roman"/>
                <w:b/>
                <w:bCs/>
                <w:szCs w:val="21"/>
              </w:rPr>
              <w:t>主要教学环节</w:t>
            </w:r>
          </w:p>
        </w:tc>
        <w:tc>
          <w:tcPr>
            <w:tcW w:w="7525" w:type="dxa"/>
            <w:tcBorders>
              <w:top w:val="single" w:color="auto" w:sz="8" w:space="0"/>
              <w:left w:val="single" w:color="auto" w:sz="8" w:space="0"/>
              <w:right w:val="single" w:color="auto" w:sz="8" w:space="0"/>
            </w:tcBorders>
            <w:vAlign w:val="center"/>
          </w:tcPr>
          <w:p w14:paraId="47D1D5ED">
            <w:pPr>
              <w:spacing w:line="276" w:lineRule="auto"/>
              <w:jc w:val="center"/>
              <w:rPr>
                <w:rFonts w:ascii="宋体" w:hAnsi="宋体" w:eastAsia="宋体" w:cs="Times New Roman"/>
                <w:b/>
                <w:szCs w:val="21"/>
              </w:rPr>
            </w:pPr>
            <w:r>
              <w:rPr>
                <w:rFonts w:ascii="宋体" w:hAnsi="宋体" w:eastAsia="宋体" w:cs="Times New Roman"/>
                <w:b/>
                <w:bCs/>
                <w:szCs w:val="21"/>
              </w:rPr>
              <w:t>质量</w:t>
            </w:r>
            <w:r>
              <w:rPr>
                <w:rFonts w:hint="eastAsia" w:ascii="宋体" w:hAnsi="宋体" w:eastAsia="宋体" w:cs="Times New Roman"/>
                <w:b/>
                <w:bCs/>
                <w:szCs w:val="21"/>
              </w:rPr>
              <w:t>要求</w:t>
            </w:r>
          </w:p>
        </w:tc>
      </w:tr>
      <w:tr w14:paraId="4EE2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582" w:type="dxa"/>
            <w:tcBorders>
              <w:left w:val="single" w:color="auto" w:sz="8" w:space="0"/>
            </w:tcBorders>
            <w:vAlign w:val="center"/>
          </w:tcPr>
          <w:p w14:paraId="497BD8B1">
            <w:pPr>
              <w:spacing w:line="276" w:lineRule="auto"/>
              <w:jc w:val="center"/>
              <w:rPr>
                <w:rFonts w:ascii="宋体" w:hAnsi="宋体" w:eastAsia="宋体" w:cs="Times New Roman"/>
                <w:szCs w:val="21"/>
              </w:rPr>
            </w:pPr>
            <w:r>
              <w:rPr>
                <w:rFonts w:ascii="宋体" w:hAnsi="宋体" w:eastAsia="宋体" w:cs="Times New Roman"/>
                <w:szCs w:val="21"/>
              </w:rPr>
              <w:t>1</w:t>
            </w:r>
          </w:p>
        </w:tc>
        <w:tc>
          <w:tcPr>
            <w:tcW w:w="993" w:type="dxa"/>
            <w:tcMar>
              <w:left w:w="28" w:type="dxa"/>
              <w:right w:w="28" w:type="dxa"/>
            </w:tcMar>
            <w:vAlign w:val="center"/>
          </w:tcPr>
          <w:p w14:paraId="2A53D9C9">
            <w:pPr>
              <w:spacing w:line="276" w:lineRule="auto"/>
              <w:jc w:val="center"/>
              <w:rPr>
                <w:rFonts w:ascii="宋体" w:hAnsi="宋体" w:eastAsia="宋体" w:cs="Times New Roman"/>
                <w:szCs w:val="21"/>
              </w:rPr>
            </w:pPr>
            <w:r>
              <w:rPr>
                <w:rFonts w:hint="eastAsia" w:ascii="宋体" w:hAnsi="宋体" w:eastAsia="宋体" w:cs="Times New Roman"/>
                <w:szCs w:val="21"/>
              </w:rPr>
              <w:t>教学设计实训</w:t>
            </w:r>
          </w:p>
        </w:tc>
        <w:tc>
          <w:tcPr>
            <w:tcW w:w="7525" w:type="dxa"/>
            <w:tcBorders>
              <w:right w:val="single" w:color="auto" w:sz="8" w:space="0"/>
            </w:tcBorders>
            <w:vAlign w:val="center"/>
          </w:tcPr>
          <w:p w14:paraId="414A2618">
            <w:pPr>
              <w:spacing w:line="276" w:lineRule="auto"/>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认真研读课程标准，理解课程标准的基本理念和要求。</w:t>
            </w:r>
          </w:p>
          <w:p w14:paraId="286CAE5D">
            <w:pPr>
              <w:spacing w:line="276" w:lineRule="auto"/>
              <w:rPr>
                <w:rFonts w:ascii="宋体" w:hAnsi="宋体" w:eastAsia="宋体" w:cs="Times New Roman"/>
                <w:szCs w:val="21"/>
              </w:rPr>
            </w:pPr>
            <w:r>
              <w:rPr>
                <w:rFonts w:hint="eastAsia" w:ascii="宋体" w:hAnsi="宋体" w:eastAsia="宋体" w:cs="Times New Roman"/>
                <w:szCs w:val="21"/>
              </w:rPr>
              <w:t>（2）充分了解学生的已有知识经验基础</w:t>
            </w:r>
            <w:r>
              <w:rPr>
                <w:rFonts w:ascii="宋体" w:hAnsi="宋体" w:eastAsia="宋体" w:cs="Times New Roman"/>
                <w:szCs w:val="21"/>
              </w:rPr>
              <w:t>。</w:t>
            </w:r>
          </w:p>
          <w:p w14:paraId="11C5FDB0">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精心钻研教材</w:t>
            </w:r>
            <w:r>
              <w:rPr>
                <w:rFonts w:ascii="宋体" w:hAnsi="宋体" w:eastAsia="宋体" w:cs="Times New Roman"/>
                <w:szCs w:val="21"/>
              </w:rPr>
              <w:t>，</w:t>
            </w:r>
            <w:r>
              <w:rPr>
                <w:rFonts w:hint="eastAsia" w:ascii="宋体" w:hAnsi="宋体" w:eastAsia="宋体" w:cs="Times New Roman"/>
                <w:szCs w:val="21"/>
              </w:rPr>
              <w:t>把握教材的逻辑体系，领会教材的编写意图。</w:t>
            </w:r>
          </w:p>
          <w:p w14:paraId="456D2170">
            <w:pPr>
              <w:spacing w:line="276" w:lineRule="auto"/>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精心选择教学方法、组织形式</w:t>
            </w:r>
            <w:r>
              <w:rPr>
                <w:rFonts w:hint="eastAsia" w:ascii="宋体" w:hAnsi="宋体" w:eastAsia="宋体" w:cs="Times New Roman"/>
                <w:szCs w:val="21"/>
              </w:rPr>
              <w:t>和教学手段，认真制订教学方案和说课稿</w:t>
            </w:r>
            <w:r>
              <w:rPr>
                <w:rFonts w:ascii="宋体" w:hAnsi="宋体" w:eastAsia="宋体" w:cs="Times New Roman"/>
                <w:szCs w:val="21"/>
              </w:rPr>
              <w:t>。教案内容包括章节标题、教学目标、教学准备、教学方法、课堂类型、时间分配、</w:t>
            </w:r>
            <w:r>
              <w:rPr>
                <w:rFonts w:hint="eastAsia" w:ascii="宋体" w:hAnsi="宋体" w:eastAsia="宋体" w:cs="Times New Roman"/>
                <w:szCs w:val="21"/>
              </w:rPr>
              <w:t>教学</w:t>
            </w:r>
            <w:r>
              <w:rPr>
                <w:rFonts w:ascii="宋体" w:hAnsi="宋体" w:eastAsia="宋体" w:cs="Times New Roman"/>
                <w:szCs w:val="21"/>
              </w:rPr>
              <w:t>内容、</w:t>
            </w:r>
            <w:r>
              <w:rPr>
                <w:rFonts w:hint="eastAsia" w:ascii="宋体" w:hAnsi="宋体" w:eastAsia="宋体" w:cs="Times New Roman"/>
                <w:szCs w:val="21"/>
              </w:rPr>
              <w:t>板书设计、</w:t>
            </w:r>
            <w:r>
              <w:rPr>
                <w:rFonts w:ascii="宋体" w:hAnsi="宋体" w:eastAsia="宋体" w:cs="Times New Roman"/>
                <w:szCs w:val="21"/>
              </w:rPr>
              <w:t>课后作业、教学</w:t>
            </w:r>
            <w:r>
              <w:rPr>
                <w:rFonts w:hint="eastAsia" w:ascii="宋体" w:hAnsi="宋体" w:eastAsia="宋体" w:cs="Times New Roman"/>
                <w:szCs w:val="21"/>
              </w:rPr>
              <w:t>反思</w:t>
            </w:r>
            <w:r>
              <w:rPr>
                <w:rFonts w:ascii="宋体" w:hAnsi="宋体" w:eastAsia="宋体" w:cs="Times New Roman"/>
                <w:szCs w:val="21"/>
              </w:rPr>
              <w:t>等方面。</w:t>
            </w:r>
            <w:r>
              <w:rPr>
                <w:rFonts w:hint="eastAsia" w:ascii="宋体" w:hAnsi="宋体" w:eastAsia="宋体" w:cs="Times New Roman"/>
                <w:szCs w:val="21"/>
              </w:rPr>
              <w:t>说课稿包括说教材、说学情、说教学目标和教学重难点、说教学过程、说板书设计等。</w:t>
            </w:r>
          </w:p>
        </w:tc>
      </w:tr>
      <w:tr w14:paraId="01FE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582" w:type="dxa"/>
            <w:tcBorders>
              <w:left w:val="single" w:color="auto" w:sz="8" w:space="0"/>
            </w:tcBorders>
            <w:vAlign w:val="center"/>
          </w:tcPr>
          <w:p w14:paraId="546620D8">
            <w:pPr>
              <w:spacing w:line="276" w:lineRule="auto"/>
              <w:jc w:val="center"/>
              <w:rPr>
                <w:rFonts w:ascii="宋体" w:hAnsi="宋体" w:eastAsia="宋体" w:cs="Times New Roman"/>
                <w:szCs w:val="21"/>
              </w:rPr>
            </w:pPr>
            <w:r>
              <w:rPr>
                <w:rFonts w:ascii="宋体" w:hAnsi="宋体" w:eastAsia="宋体" w:cs="Times New Roman"/>
                <w:szCs w:val="21"/>
              </w:rPr>
              <w:t>2</w:t>
            </w:r>
          </w:p>
        </w:tc>
        <w:tc>
          <w:tcPr>
            <w:tcW w:w="993" w:type="dxa"/>
            <w:tcMar>
              <w:left w:w="28" w:type="dxa"/>
              <w:right w:w="28" w:type="dxa"/>
            </w:tcMar>
            <w:vAlign w:val="center"/>
          </w:tcPr>
          <w:p w14:paraId="287FEB1E">
            <w:pPr>
              <w:snapToGrid w:val="0"/>
              <w:spacing w:line="360" w:lineRule="auto"/>
              <w:rPr>
                <w:rFonts w:ascii="宋体" w:hAnsi="宋体" w:eastAsia="宋体" w:cs="Times New Roman"/>
                <w:bCs/>
                <w:szCs w:val="21"/>
              </w:rPr>
            </w:pPr>
            <w:r>
              <w:rPr>
                <w:rFonts w:hint="eastAsia" w:ascii="宋体" w:hAnsi="宋体" w:eastAsia="宋体" w:cs="Times New Roman"/>
                <w:bCs/>
                <w:szCs w:val="21"/>
              </w:rPr>
              <w:t>说课实训</w:t>
            </w:r>
          </w:p>
        </w:tc>
        <w:tc>
          <w:tcPr>
            <w:tcW w:w="7525" w:type="dxa"/>
            <w:tcBorders>
              <w:right w:val="single" w:color="auto" w:sz="8" w:space="0"/>
            </w:tcBorders>
            <w:vAlign w:val="center"/>
          </w:tcPr>
          <w:p w14:paraId="649D1203">
            <w:pPr>
              <w:spacing w:line="276" w:lineRule="auto"/>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仪表端庄，情绪饱满。</w:t>
            </w:r>
          </w:p>
          <w:p w14:paraId="3F770E37">
            <w:pPr>
              <w:spacing w:line="276"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说课</w:t>
            </w:r>
            <w:r>
              <w:rPr>
                <w:rFonts w:hint="eastAsia" w:ascii="宋体" w:hAnsi="宋体" w:eastAsia="宋体" w:cs="Times New Roman"/>
                <w:szCs w:val="24"/>
              </w:rPr>
              <w:t>准备充分，熟悉教学内容。</w:t>
            </w:r>
          </w:p>
          <w:p w14:paraId="14494EFD">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熟悉说课的基本流程。</w:t>
            </w:r>
          </w:p>
          <w:p w14:paraId="1C28E447">
            <w:pPr>
              <w:spacing w:line="276" w:lineRule="auto"/>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说课语言规范，表述清楚。</w:t>
            </w:r>
          </w:p>
          <w:p w14:paraId="76777D2C">
            <w:pPr>
              <w:spacing w:line="276" w:lineRule="auto"/>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针对说课中存在的问题及时调整，不断提高说课能力。</w:t>
            </w:r>
          </w:p>
        </w:tc>
      </w:tr>
      <w:tr w14:paraId="6601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582" w:type="dxa"/>
            <w:tcBorders>
              <w:left w:val="single" w:color="auto" w:sz="8" w:space="0"/>
            </w:tcBorders>
            <w:vAlign w:val="center"/>
          </w:tcPr>
          <w:p w14:paraId="7A104DE5">
            <w:pPr>
              <w:spacing w:line="276" w:lineRule="auto"/>
              <w:jc w:val="center"/>
              <w:rPr>
                <w:rFonts w:ascii="宋体" w:hAnsi="宋体" w:eastAsia="宋体" w:cs="Times New Roman"/>
                <w:szCs w:val="21"/>
              </w:rPr>
            </w:pPr>
            <w:r>
              <w:rPr>
                <w:rFonts w:ascii="宋体" w:hAnsi="宋体" w:eastAsia="宋体" w:cs="Times New Roman"/>
                <w:szCs w:val="21"/>
              </w:rPr>
              <w:t>3</w:t>
            </w:r>
          </w:p>
        </w:tc>
        <w:tc>
          <w:tcPr>
            <w:tcW w:w="993" w:type="dxa"/>
            <w:tcMar>
              <w:left w:w="28" w:type="dxa"/>
              <w:right w:w="28" w:type="dxa"/>
            </w:tcMar>
            <w:vAlign w:val="center"/>
          </w:tcPr>
          <w:p w14:paraId="5E62E2C4">
            <w:pPr>
              <w:snapToGrid w:val="0"/>
              <w:spacing w:line="360" w:lineRule="auto"/>
              <w:rPr>
                <w:rFonts w:ascii="宋体" w:hAnsi="宋体" w:eastAsia="宋体" w:cs="Times New Roman"/>
                <w:bCs/>
                <w:szCs w:val="21"/>
              </w:rPr>
            </w:pPr>
            <w:r>
              <w:rPr>
                <w:rFonts w:hint="eastAsia" w:ascii="宋体" w:hAnsi="宋体" w:eastAsia="宋体" w:cs="Times New Roman"/>
                <w:bCs/>
                <w:szCs w:val="21"/>
              </w:rPr>
              <w:t>课堂教学实训</w:t>
            </w:r>
          </w:p>
        </w:tc>
        <w:tc>
          <w:tcPr>
            <w:tcW w:w="7525" w:type="dxa"/>
            <w:tcBorders>
              <w:right w:val="single" w:color="auto" w:sz="8" w:space="0"/>
            </w:tcBorders>
            <w:vAlign w:val="center"/>
          </w:tcPr>
          <w:p w14:paraId="10DA182E">
            <w:pPr>
              <w:spacing w:line="276" w:lineRule="auto"/>
              <w:rPr>
                <w:rFonts w:ascii="宋体" w:hAnsi="宋体" w:eastAsia="宋体" w:cs="Times New Roman"/>
                <w:szCs w:val="24"/>
              </w:rPr>
            </w:pPr>
            <w:r>
              <w:rPr>
                <w:rFonts w:ascii="宋体" w:hAnsi="宋体" w:eastAsia="宋体" w:cs="Times New Roman"/>
                <w:szCs w:val="21"/>
              </w:rPr>
              <w:t>（1）</w:t>
            </w:r>
            <w:r>
              <w:rPr>
                <w:rFonts w:hint="eastAsia" w:ascii="宋体" w:hAnsi="宋体" w:eastAsia="宋体" w:cs="Times New Roman"/>
                <w:szCs w:val="24"/>
              </w:rPr>
              <w:t>仪表端庄，情绪饱满。</w:t>
            </w:r>
          </w:p>
          <w:p w14:paraId="4122714B">
            <w:pPr>
              <w:spacing w:line="276" w:lineRule="auto"/>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教学</w:t>
            </w:r>
            <w:r>
              <w:rPr>
                <w:rFonts w:hint="eastAsia" w:ascii="宋体" w:hAnsi="宋体" w:eastAsia="宋体" w:cs="Times New Roman"/>
                <w:szCs w:val="24"/>
              </w:rPr>
              <w:t>准备充分，熟悉教学内容。</w:t>
            </w:r>
          </w:p>
          <w:p w14:paraId="75D6A012">
            <w:pPr>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熟悉课堂教学的基本流程。</w:t>
            </w:r>
          </w:p>
          <w:p w14:paraId="31F21F9F">
            <w:pPr>
              <w:spacing w:line="276" w:lineRule="auto"/>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课堂教学语言规范。</w:t>
            </w:r>
          </w:p>
          <w:p w14:paraId="54839755">
            <w:pPr>
              <w:spacing w:line="276" w:lineRule="auto"/>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）教学结构紧凑，重点突出，条理清晰。</w:t>
            </w:r>
          </w:p>
          <w:p w14:paraId="0CD9152C">
            <w:pPr>
              <w:spacing w:line="276" w:lineRule="auto"/>
              <w:rPr>
                <w:rFonts w:ascii="宋体" w:hAnsi="宋体" w:eastAsia="宋体" w:cs="Times New Roman"/>
                <w:szCs w:val="21"/>
              </w:rPr>
            </w:pPr>
            <w:r>
              <w:rPr>
                <w:rFonts w:hint="eastAsia" w:ascii="宋体" w:hAnsi="宋体" w:eastAsia="宋体" w:cs="Times New Roman"/>
                <w:szCs w:val="21"/>
              </w:rPr>
              <w:t>（6）板书设计合理，有利于学生对知识的理解。</w:t>
            </w:r>
          </w:p>
          <w:p w14:paraId="14FCBCEA">
            <w:pPr>
              <w:spacing w:line="276" w:lineRule="auto"/>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针对教学中存在的问题及时调整，不断提高课堂教学能力。</w:t>
            </w:r>
          </w:p>
        </w:tc>
      </w:tr>
      <w:tr w14:paraId="1B17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82" w:type="dxa"/>
            <w:tcBorders>
              <w:left w:val="single" w:color="auto" w:sz="8" w:space="0"/>
            </w:tcBorders>
            <w:vAlign w:val="center"/>
          </w:tcPr>
          <w:p w14:paraId="2B74DA88">
            <w:pPr>
              <w:spacing w:line="276" w:lineRule="auto"/>
              <w:jc w:val="center"/>
              <w:rPr>
                <w:rFonts w:ascii="宋体" w:hAnsi="宋体" w:eastAsia="宋体" w:cs="Times New Roman"/>
                <w:szCs w:val="21"/>
              </w:rPr>
            </w:pPr>
            <w:r>
              <w:rPr>
                <w:rFonts w:ascii="宋体" w:hAnsi="宋体" w:eastAsia="宋体" w:cs="Times New Roman"/>
                <w:szCs w:val="21"/>
              </w:rPr>
              <w:t>4</w:t>
            </w:r>
          </w:p>
        </w:tc>
        <w:tc>
          <w:tcPr>
            <w:tcW w:w="993" w:type="dxa"/>
            <w:tcMar>
              <w:left w:w="28" w:type="dxa"/>
              <w:right w:w="28" w:type="dxa"/>
            </w:tcMar>
            <w:vAlign w:val="center"/>
          </w:tcPr>
          <w:p w14:paraId="5A6DD79A">
            <w:pPr>
              <w:snapToGrid w:val="0"/>
              <w:spacing w:line="360" w:lineRule="auto"/>
              <w:rPr>
                <w:rFonts w:ascii="宋体" w:hAnsi="宋体" w:eastAsia="宋体" w:cs="Times New Roman"/>
                <w:bCs/>
                <w:szCs w:val="21"/>
              </w:rPr>
            </w:pPr>
            <w:r>
              <w:rPr>
                <w:rFonts w:hint="eastAsia" w:ascii="宋体" w:hAnsi="宋体" w:eastAsia="宋体" w:cs="Times New Roman"/>
                <w:bCs/>
                <w:szCs w:val="21"/>
              </w:rPr>
              <w:t>教学实训成果汇报</w:t>
            </w:r>
          </w:p>
        </w:tc>
        <w:tc>
          <w:tcPr>
            <w:tcW w:w="7525" w:type="dxa"/>
            <w:tcBorders>
              <w:right w:val="single" w:color="auto" w:sz="8" w:space="0"/>
            </w:tcBorders>
            <w:vAlign w:val="center"/>
          </w:tcPr>
          <w:p w14:paraId="6D48FD49">
            <w:pPr>
              <w:spacing w:line="276" w:lineRule="auto"/>
              <w:rPr>
                <w:rFonts w:ascii="宋体" w:hAnsi="宋体" w:eastAsia="宋体" w:cs="Times New Roman"/>
                <w:szCs w:val="21"/>
              </w:rPr>
            </w:pPr>
            <w:r>
              <w:rPr>
                <w:rFonts w:hint="eastAsia" w:ascii="宋体" w:hAnsi="宋体" w:eastAsia="宋体" w:cs="Times New Roman"/>
                <w:szCs w:val="21"/>
              </w:rPr>
              <w:t>（1）积极做好汇报准备，科学组织成果汇报</w:t>
            </w:r>
          </w:p>
          <w:p w14:paraId="4BDDB653">
            <w:pPr>
              <w:spacing w:line="276" w:lineRule="auto"/>
              <w:rPr>
                <w:rFonts w:ascii="宋体" w:hAnsi="宋体" w:eastAsia="宋体" w:cs="Times New Roman"/>
                <w:szCs w:val="21"/>
              </w:rPr>
            </w:pPr>
            <w:r>
              <w:rPr>
                <w:rFonts w:hint="eastAsia" w:ascii="宋体" w:hAnsi="宋体" w:eastAsia="宋体" w:cs="Times New Roman"/>
                <w:szCs w:val="21"/>
              </w:rPr>
              <w:t>（2）对教学实训进行合理的评价，可采用学生自评、小组评价、教师评价相结合的方式。</w:t>
            </w:r>
          </w:p>
          <w:p w14:paraId="6109B96C">
            <w:pPr>
              <w:spacing w:line="276" w:lineRule="auto"/>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）教学实训结束后要及时进行总结、研讨，针对教学实训中存在的问题，提出解决问题的策略。</w:t>
            </w:r>
          </w:p>
        </w:tc>
      </w:tr>
    </w:tbl>
    <w:p w14:paraId="1E72DAD4">
      <w:pPr>
        <w:spacing w:line="360" w:lineRule="auto"/>
        <w:rPr>
          <w:rFonts w:ascii="宋体" w:hAnsi="宋体" w:eastAsia="宋体" w:cs="Times New Roman"/>
          <w:b/>
          <w:sz w:val="28"/>
          <w:szCs w:val="28"/>
        </w:rPr>
      </w:pPr>
    </w:p>
    <w:p w14:paraId="3CE0B42D">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、课程考核</w:t>
      </w:r>
    </w:p>
    <w:p w14:paraId="0192B8D2">
      <w:pPr>
        <w:snapToGrid w:val="0"/>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（一）</w:t>
      </w:r>
      <w:r>
        <w:rPr>
          <w:rFonts w:ascii="宋体" w:hAnsi="宋体" w:eastAsia="宋体" w:cs="Times New Roman"/>
          <w:b/>
          <w:color w:val="000000"/>
          <w:sz w:val="24"/>
          <w:szCs w:val="24"/>
        </w:rPr>
        <w:t>考核资料要求</w:t>
      </w:r>
    </w:p>
    <w:p w14:paraId="6EA839FD">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1.教学实训手册填写完整。</w:t>
      </w:r>
    </w:p>
    <w:p w14:paraId="51BA6DA2">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2.教学实训总结每人一份。</w:t>
      </w:r>
    </w:p>
    <w:p w14:paraId="146F03DE">
      <w:pPr>
        <w:snapToGrid w:val="0"/>
        <w:spacing w:line="360" w:lineRule="auto"/>
        <w:ind w:firstLine="482" w:firstLineChars="200"/>
        <w:rPr>
          <w:rFonts w:ascii="宋体" w:hAnsi="宋体" w:eastAsia="宋体" w:cs="Times New Roman"/>
          <w:b/>
          <w:color w:val="000000"/>
          <w:sz w:val="24"/>
          <w:szCs w:val="24"/>
        </w:rPr>
      </w:pPr>
      <w:r>
        <w:rPr>
          <w:rFonts w:ascii="宋体" w:hAnsi="宋体" w:eastAsia="宋体" w:cs="Times New Roman"/>
          <w:b/>
          <w:color w:val="000000"/>
          <w:sz w:val="24"/>
          <w:szCs w:val="24"/>
        </w:rPr>
        <w:t>（二）</w:t>
      </w:r>
      <w:r>
        <w:rPr>
          <w:rFonts w:hint="eastAsia" w:ascii="宋体" w:hAnsi="宋体" w:eastAsia="宋体" w:cs="Times New Roman"/>
          <w:b/>
          <w:color w:val="000000"/>
          <w:sz w:val="24"/>
          <w:szCs w:val="24"/>
        </w:rPr>
        <w:t>成绩评定要求</w:t>
      </w:r>
    </w:p>
    <w:p w14:paraId="1BA9BB9E">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1．本课程设计</w:t>
      </w:r>
      <w:r>
        <w:rPr>
          <w:rFonts w:ascii="宋体" w:hAnsi="宋体" w:eastAsia="宋体" w:cs="Times New Roman"/>
          <w:sz w:val="24"/>
          <w:szCs w:val="24"/>
        </w:rPr>
        <w:t>成绩分优、良、中、及格和不及格五个档次。</w:t>
      </w:r>
    </w:p>
    <w:p w14:paraId="51B50064">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课程考核方式：</w:t>
      </w:r>
      <w:r>
        <w:rPr>
          <w:rFonts w:hint="eastAsia" w:ascii="宋体" w:hAnsi="宋体" w:eastAsia="宋体" w:cs="Times New Roman"/>
          <w:sz w:val="24"/>
          <w:szCs w:val="24"/>
        </w:rPr>
        <w:t>由教学实训态度、教学设计实训</w:t>
      </w:r>
      <w:r>
        <w:rPr>
          <w:rFonts w:ascii="宋体" w:hAnsi="宋体" w:eastAsia="宋体" w:cs="Times New Roman"/>
          <w:sz w:val="24"/>
          <w:szCs w:val="24"/>
        </w:rPr>
        <w:t>、</w:t>
      </w:r>
      <w:r>
        <w:rPr>
          <w:rFonts w:hint="eastAsia" w:ascii="宋体" w:hAnsi="宋体" w:eastAsia="宋体" w:cs="Times New Roman"/>
          <w:sz w:val="24"/>
          <w:szCs w:val="24"/>
        </w:rPr>
        <w:t>说课实训、课堂教学实训和教学实训成果汇报等五个部分组成</w:t>
      </w:r>
      <w:r>
        <w:rPr>
          <w:rFonts w:ascii="宋体" w:hAnsi="宋体" w:eastAsia="宋体" w:cs="Times New Roman"/>
          <w:sz w:val="24"/>
          <w:szCs w:val="24"/>
        </w:rPr>
        <w:t>。</w:t>
      </w:r>
    </w:p>
    <w:p w14:paraId="52891E9D">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课程</w:t>
      </w:r>
      <w:r>
        <w:rPr>
          <w:rFonts w:hint="eastAsia" w:ascii="宋体" w:hAnsi="宋体" w:eastAsia="宋体" w:cs="Times New Roman"/>
          <w:sz w:val="24"/>
          <w:szCs w:val="24"/>
        </w:rPr>
        <w:t>总评</w:t>
      </w:r>
      <w:r>
        <w:rPr>
          <w:rFonts w:ascii="宋体" w:hAnsi="宋体" w:eastAsia="宋体" w:cs="Times New Roman"/>
          <w:sz w:val="24"/>
          <w:szCs w:val="24"/>
        </w:rPr>
        <w:t>成绩=</w:t>
      </w:r>
      <w:r>
        <w:rPr>
          <w:rFonts w:hint="eastAsia" w:ascii="宋体" w:hAnsi="宋体" w:eastAsia="宋体" w:cs="Times New Roman"/>
          <w:sz w:val="24"/>
          <w:szCs w:val="24"/>
        </w:rPr>
        <w:t>教学实训态度</w:t>
      </w:r>
      <w:r>
        <w:rPr>
          <w:rFonts w:ascii="宋体" w:hAnsi="宋体" w:eastAsia="宋体" w:cs="Times New Roman"/>
          <w:sz w:val="24"/>
          <w:szCs w:val="24"/>
        </w:rPr>
        <w:t>×1</w:t>
      </w:r>
      <w:r>
        <w:rPr>
          <w:rFonts w:hint="eastAsia" w:ascii="宋体" w:hAnsi="宋体" w:eastAsia="宋体" w:cs="Times New Roman"/>
          <w:sz w:val="24"/>
          <w:szCs w:val="24"/>
        </w:rPr>
        <w:t>0</w:t>
      </w:r>
      <w:r>
        <w:rPr>
          <w:rFonts w:ascii="宋体" w:hAnsi="宋体" w:eastAsia="宋体" w:cs="Times New Roman"/>
          <w:sz w:val="24"/>
          <w:szCs w:val="24"/>
        </w:rPr>
        <w:t>%+</w:t>
      </w:r>
      <w:r>
        <w:rPr>
          <w:rFonts w:hint="eastAsia" w:ascii="宋体" w:hAnsi="宋体" w:eastAsia="宋体" w:cs="Times New Roman"/>
          <w:sz w:val="24"/>
          <w:szCs w:val="24"/>
        </w:rPr>
        <w:t>教学设计</w:t>
      </w:r>
      <w:r>
        <w:rPr>
          <w:rFonts w:ascii="宋体" w:hAnsi="宋体" w:eastAsia="宋体" w:cs="Times New Roman"/>
          <w:sz w:val="24"/>
          <w:szCs w:val="24"/>
        </w:rPr>
        <w:t>×20%+</w:t>
      </w:r>
      <w:r>
        <w:rPr>
          <w:rFonts w:hint="eastAsia" w:ascii="宋体" w:hAnsi="宋体" w:eastAsia="宋体" w:cs="Times New Roman"/>
          <w:sz w:val="24"/>
          <w:szCs w:val="24"/>
        </w:rPr>
        <w:t>说课</w:t>
      </w:r>
      <w:r>
        <w:rPr>
          <w:rFonts w:ascii="宋体" w:hAnsi="宋体" w:eastAsia="宋体" w:cs="Times New Roman"/>
          <w:sz w:val="24"/>
          <w:szCs w:val="24"/>
        </w:rPr>
        <w:t>×20%+</w:t>
      </w:r>
      <w:r>
        <w:rPr>
          <w:rFonts w:hint="eastAsia" w:ascii="宋体" w:hAnsi="宋体" w:eastAsia="宋体" w:cs="Times New Roman"/>
          <w:sz w:val="24"/>
          <w:szCs w:val="24"/>
        </w:rPr>
        <w:t>课堂教学</w:t>
      </w:r>
      <w:r>
        <w:rPr>
          <w:rFonts w:ascii="宋体" w:hAnsi="宋体" w:eastAsia="宋体" w:cs="Times New Roman"/>
          <w:sz w:val="24"/>
          <w:szCs w:val="24"/>
        </w:rPr>
        <w:t>×40%+</w:t>
      </w:r>
      <w:r>
        <w:rPr>
          <w:rFonts w:hint="eastAsia" w:ascii="宋体" w:hAnsi="宋体" w:eastAsia="宋体" w:cs="Times New Roman"/>
          <w:sz w:val="24"/>
          <w:szCs w:val="24"/>
        </w:rPr>
        <w:t>教学实训成果汇报</w:t>
      </w:r>
      <w:r>
        <w:rPr>
          <w:rFonts w:ascii="宋体" w:hAnsi="宋体" w:eastAsia="宋体" w:cs="Times New Roman"/>
          <w:sz w:val="24"/>
          <w:szCs w:val="24"/>
        </w:rPr>
        <w:t>×1</w:t>
      </w:r>
      <w:r>
        <w:rPr>
          <w:rFonts w:hint="eastAsia" w:ascii="宋体" w:hAnsi="宋体" w:eastAsia="宋体" w:cs="Times New Roman"/>
          <w:sz w:val="24"/>
          <w:szCs w:val="24"/>
        </w:rPr>
        <w:t>0</w:t>
      </w:r>
      <w:r>
        <w:rPr>
          <w:rFonts w:ascii="宋体" w:hAnsi="宋体" w:eastAsia="宋体" w:cs="Times New Roman"/>
          <w:sz w:val="24"/>
          <w:szCs w:val="24"/>
        </w:rPr>
        <w:t>%。</w:t>
      </w:r>
    </w:p>
    <w:p w14:paraId="099AE519">
      <w:pPr>
        <w:snapToGrid w:val="0"/>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具体内容和比例</w:t>
      </w:r>
      <w:r>
        <w:rPr>
          <w:rFonts w:hint="eastAsia" w:ascii="宋体" w:hAnsi="宋体" w:eastAsia="宋体" w:cs="Times New Roman"/>
          <w:sz w:val="24"/>
          <w:szCs w:val="24"/>
        </w:rPr>
        <w:t>如下表所示：</w:t>
      </w:r>
    </w:p>
    <w:tbl>
      <w:tblPr>
        <w:tblStyle w:val="30"/>
        <w:tblW w:w="54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169"/>
        <w:gridCol w:w="706"/>
        <w:gridCol w:w="3069"/>
        <w:gridCol w:w="1267"/>
        <w:gridCol w:w="1201"/>
      </w:tblGrid>
      <w:tr w14:paraId="331C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shd w:val="clear" w:color="auto" w:fill="FFFFFF"/>
            <w:vAlign w:val="center"/>
          </w:tcPr>
          <w:p w14:paraId="19583214">
            <w:pPr>
              <w:snapToGrid w:val="0"/>
              <w:jc w:val="center"/>
              <w:rPr>
                <w:rFonts w:ascii="宋体" w:hAnsi="宋体" w:eastAsia="宋体" w:cs="Times New Roman"/>
                <w:b/>
                <w:szCs w:val="21"/>
              </w:rPr>
            </w:pPr>
            <w:r>
              <w:rPr>
                <w:rFonts w:ascii="宋体" w:hAnsi="宋体" w:eastAsia="宋体" w:cs="Times New Roman"/>
                <w:b/>
                <w:szCs w:val="21"/>
              </w:rPr>
              <w:t>成绩</w:t>
            </w:r>
          </w:p>
          <w:p w14:paraId="55868429">
            <w:pPr>
              <w:snapToGrid w:val="0"/>
              <w:jc w:val="center"/>
              <w:rPr>
                <w:rFonts w:ascii="宋体" w:hAnsi="宋体" w:eastAsia="宋体" w:cs="Times New Roman"/>
                <w:b/>
                <w:szCs w:val="21"/>
              </w:rPr>
            </w:pPr>
            <w:r>
              <w:rPr>
                <w:rFonts w:ascii="宋体" w:hAnsi="宋体" w:eastAsia="宋体" w:cs="Times New Roman"/>
                <w:b/>
                <w:szCs w:val="21"/>
              </w:rPr>
              <w:t>组成</w:t>
            </w:r>
          </w:p>
        </w:tc>
        <w:tc>
          <w:tcPr>
            <w:tcW w:w="1161" w:type="pct"/>
            <w:tcBorders>
              <w:top w:val="single" w:color="auto" w:sz="4" w:space="0"/>
              <w:left w:val="single" w:color="auto" w:sz="4" w:space="0"/>
              <w:bottom w:val="single" w:color="auto" w:sz="4" w:space="0"/>
              <w:right w:val="single" w:color="auto" w:sz="4" w:space="0"/>
            </w:tcBorders>
            <w:shd w:val="clear" w:color="auto" w:fill="FFFFFF"/>
            <w:vAlign w:val="center"/>
          </w:tcPr>
          <w:p w14:paraId="36ED2A40">
            <w:pPr>
              <w:snapToGrid w:val="0"/>
              <w:jc w:val="center"/>
              <w:rPr>
                <w:rFonts w:ascii="宋体" w:hAnsi="宋体" w:eastAsia="宋体" w:cs="Times New Roman"/>
                <w:b/>
                <w:szCs w:val="21"/>
              </w:rPr>
            </w:pPr>
            <w:r>
              <w:rPr>
                <w:rFonts w:ascii="宋体" w:hAnsi="宋体" w:eastAsia="宋体" w:cs="Times New Roman"/>
                <w:b/>
                <w:szCs w:val="21"/>
              </w:rPr>
              <w:t>考核/评价环节</w:t>
            </w:r>
          </w:p>
        </w:tc>
        <w:tc>
          <w:tcPr>
            <w:tcW w:w="378" w:type="pct"/>
            <w:tcBorders>
              <w:top w:val="single" w:color="auto" w:sz="4" w:space="0"/>
              <w:left w:val="single" w:color="auto" w:sz="4" w:space="0"/>
              <w:bottom w:val="single" w:color="auto" w:sz="4" w:space="0"/>
              <w:right w:val="single" w:color="auto" w:sz="4" w:space="0"/>
            </w:tcBorders>
            <w:shd w:val="clear" w:color="auto" w:fill="FFFFFF"/>
            <w:vAlign w:val="center"/>
          </w:tcPr>
          <w:p w14:paraId="168D2C1E">
            <w:pPr>
              <w:snapToGrid w:val="0"/>
              <w:jc w:val="center"/>
              <w:rPr>
                <w:rFonts w:ascii="宋体" w:hAnsi="宋体" w:eastAsia="宋体" w:cs="Times New Roman"/>
                <w:b/>
                <w:szCs w:val="21"/>
              </w:rPr>
            </w:pPr>
            <w:r>
              <w:rPr>
                <w:rFonts w:hint="eastAsia" w:ascii="宋体" w:hAnsi="宋体" w:eastAsia="宋体" w:cs="Times New Roman"/>
                <w:b/>
                <w:szCs w:val="21"/>
              </w:rPr>
              <w:t>权重</w:t>
            </w:r>
          </w:p>
        </w:tc>
        <w:tc>
          <w:tcPr>
            <w:tcW w:w="1643" w:type="pct"/>
            <w:tcBorders>
              <w:top w:val="single" w:color="auto" w:sz="4" w:space="0"/>
              <w:left w:val="single" w:color="auto" w:sz="4" w:space="0"/>
              <w:bottom w:val="single" w:color="auto" w:sz="4" w:space="0"/>
              <w:right w:val="single" w:color="auto" w:sz="4" w:space="0"/>
            </w:tcBorders>
            <w:shd w:val="clear" w:color="auto" w:fill="FFFFFF"/>
            <w:vAlign w:val="center"/>
          </w:tcPr>
          <w:p w14:paraId="1428C2B6">
            <w:pPr>
              <w:snapToGrid w:val="0"/>
              <w:jc w:val="center"/>
              <w:rPr>
                <w:rFonts w:ascii="宋体" w:hAnsi="宋体" w:eastAsia="宋体" w:cs="Times New Roman"/>
                <w:b/>
                <w:szCs w:val="21"/>
              </w:rPr>
            </w:pPr>
            <w:r>
              <w:rPr>
                <w:rFonts w:ascii="宋体" w:hAnsi="宋体" w:eastAsia="宋体" w:cs="Times New Roman"/>
                <w:b/>
                <w:szCs w:val="21"/>
              </w:rPr>
              <w:t>考核/评价细则</w:t>
            </w:r>
          </w:p>
        </w:tc>
        <w:tc>
          <w:tcPr>
            <w:tcW w:w="678" w:type="pct"/>
            <w:tcBorders>
              <w:top w:val="single" w:color="auto" w:sz="4" w:space="0"/>
              <w:left w:val="single" w:color="auto" w:sz="4" w:space="0"/>
              <w:bottom w:val="single" w:color="auto" w:sz="4" w:space="0"/>
              <w:right w:val="single" w:color="auto" w:sz="4" w:space="0"/>
            </w:tcBorders>
            <w:shd w:val="clear" w:color="auto" w:fill="FFFFFF"/>
            <w:vAlign w:val="center"/>
          </w:tcPr>
          <w:p w14:paraId="2D6B07A0">
            <w:pPr>
              <w:snapToGrid w:val="0"/>
              <w:jc w:val="center"/>
              <w:rPr>
                <w:rFonts w:ascii="宋体" w:hAnsi="宋体" w:eastAsia="宋体" w:cs="Times New Roman"/>
                <w:b/>
                <w:szCs w:val="21"/>
              </w:rPr>
            </w:pPr>
            <w:r>
              <w:rPr>
                <w:rFonts w:hint="eastAsia" w:ascii="宋体" w:hAnsi="宋体" w:eastAsia="宋体" w:cs="Times New Roman"/>
                <w:b/>
                <w:szCs w:val="21"/>
              </w:rPr>
              <w:t>课程目标</w:t>
            </w:r>
          </w:p>
        </w:tc>
        <w:tc>
          <w:tcPr>
            <w:tcW w:w="643" w:type="pct"/>
            <w:tcBorders>
              <w:top w:val="single" w:color="auto" w:sz="4" w:space="0"/>
              <w:left w:val="single" w:color="auto" w:sz="4" w:space="0"/>
              <w:bottom w:val="single" w:color="auto" w:sz="4" w:space="0"/>
              <w:right w:val="single" w:color="auto" w:sz="4" w:space="0"/>
            </w:tcBorders>
            <w:shd w:val="clear" w:color="auto" w:fill="FFFFFF"/>
            <w:vAlign w:val="center"/>
          </w:tcPr>
          <w:p w14:paraId="62E5DFC8">
            <w:pPr>
              <w:snapToGrid w:val="0"/>
              <w:jc w:val="center"/>
              <w:rPr>
                <w:rFonts w:ascii="宋体" w:hAnsi="宋体" w:eastAsia="宋体" w:cs="Times New Roman"/>
                <w:b/>
                <w:szCs w:val="21"/>
              </w:rPr>
            </w:pPr>
            <w:r>
              <w:rPr>
                <w:rFonts w:ascii="宋体" w:hAnsi="宋体" w:eastAsia="宋体" w:cs="Times New Roman"/>
                <w:b/>
                <w:szCs w:val="21"/>
              </w:rPr>
              <w:t>对应的毕业要求指标点</w:t>
            </w:r>
          </w:p>
        </w:tc>
      </w:tr>
      <w:tr w14:paraId="5333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72ABC6E6">
            <w:pPr>
              <w:snapToGrid w:val="0"/>
              <w:spacing w:line="276" w:lineRule="auto"/>
              <w:rPr>
                <w:rFonts w:ascii="宋体" w:hAnsi="宋体" w:eastAsia="宋体" w:cs="Times New Roman"/>
                <w:szCs w:val="21"/>
              </w:rPr>
            </w:pPr>
            <w:r>
              <w:rPr>
                <w:rFonts w:hint="eastAsia" w:ascii="宋体" w:hAnsi="宋体" w:eastAsia="宋体" w:cs="Times New Roman"/>
                <w:szCs w:val="21"/>
              </w:rPr>
              <w:t>教学实训态度</w:t>
            </w:r>
          </w:p>
        </w:tc>
        <w:tc>
          <w:tcPr>
            <w:tcW w:w="1161" w:type="pct"/>
            <w:tcBorders>
              <w:top w:val="single" w:color="auto" w:sz="4" w:space="0"/>
              <w:left w:val="single" w:color="auto" w:sz="4" w:space="0"/>
              <w:bottom w:val="single" w:color="auto" w:sz="4" w:space="0"/>
              <w:right w:val="single" w:color="auto" w:sz="4" w:space="0"/>
            </w:tcBorders>
            <w:vAlign w:val="center"/>
          </w:tcPr>
          <w:p w14:paraId="3B2F2986">
            <w:pPr>
              <w:snapToGrid w:val="0"/>
              <w:spacing w:line="276" w:lineRule="auto"/>
              <w:rPr>
                <w:rFonts w:ascii="宋体" w:hAnsi="宋体" w:eastAsia="宋体" w:cs="Times New Roman"/>
                <w:szCs w:val="21"/>
              </w:rPr>
            </w:pPr>
            <w:r>
              <w:rPr>
                <w:rFonts w:hint="eastAsia" w:ascii="宋体" w:hAnsi="宋体" w:eastAsia="宋体" w:cs="Times New Roman"/>
                <w:szCs w:val="21"/>
              </w:rPr>
              <w:t>学生出勤情况及实训</w:t>
            </w:r>
            <w:r>
              <w:rPr>
                <w:rFonts w:ascii="宋体" w:hAnsi="宋体" w:eastAsia="宋体" w:cs="Times New Roman"/>
                <w:szCs w:val="21"/>
              </w:rPr>
              <w:t>态度，</w:t>
            </w:r>
            <w:r>
              <w:rPr>
                <w:rFonts w:hint="eastAsia" w:ascii="宋体" w:hAnsi="宋体" w:eastAsia="宋体" w:cs="Times New Roman"/>
                <w:szCs w:val="21"/>
              </w:rPr>
              <w:t>遵守学校教学常规制度，教学实训手册填写等</w:t>
            </w:r>
          </w:p>
        </w:tc>
        <w:tc>
          <w:tcPr>
            <w:tcW w:w="378" w:type="pct"/>
            <w:tcBorders>
              <w:top w:val="single" w:color="auto" w:sz="4" w:space="0"/>
              <w:left w:val="single" w:color="auto" w:sz="4" w:space="0"/>
              <w:bottom w:val="single" w:color="auto" w:sz="4" w:space="0"/>
              <w:right w:val="single" w:color="auto" w:sz="4" w:space="0"/>
            </w:tcBorders>
            <w:vAlign w:val="center"/>
          </w:tcPr>
          <w:p w14:paraId="6CDCF76E">
            <w:pPr>
              <w:snapToGrid w:val="0"/>
              <w:spacing w:line="276" w:lineRule="auto"/>
              <w:rPr>
                <w:rFonts w:ascii="宋体" w:hAnsi="宋体" w:eastAsia="宋体" w:cs="Times New Roman"/>
                <w:szCs w:val="21"/>
              </w:rPr>
            </w:pPr>
            <w:r>
              <w:rPr>
                <w:rFonts w:ascii="宋体" w:hAnsi="宋体" w:eastAsia="宋体" w:cs="Times New Roman"/>
                <w:szCs w:val="21"/>
              </w:rPr>
              <w:t>10%</w:t>
            </w:r>
          </w:p>
        </w:tc>
        <w:tc>
          <w:tcPr>
            <w:tcW w:w="1643" w:type="pct"/>
            <w:tcBorders>
              <w:top w:val="single" w:color="auto" w:sz="4" w:space="0"/>
              <w:left w:val="single" w:color="auto" w:sz="4" w:space="0"/>
              <w:bottom w:val="single" w:color="auto" w:sz="4" w:space="0"/>
              <w:right w:val="single" w:color="auto" w:sz="4" w:space="0"/>
            </w:tcBorders>
            <w:vAlign w:val="center"/>
          </w:tcPr>
          <w:p w14:paraId="57ABA0BB">
            <w:pPr>
              <w:snapToGrid w:val="0"/>
              <w:spacing w:line="276" w:lineRule="auto"/>
              <w:rPr>
                <w:rFonts w:ascii="宋体" w:hAnsi="宋体" w:eastAsia="宋体" w:cs="Times New Roman"/>
                <w:szCs w:val="21"/>
              </w:rPr>
            </w:pPr>
            <w:r>
              <w:rPr>
                <w:rFonts w:ascii="宋体" w:hAnsi="宋体" w:eastAsia="宋体" w:cs="Times New Roman"/>
                <w:szCs w:val="21"/>
              </w:rPr>
              <w:t>重点考核：学生的出勤情况</w:t>
            </w:r>
            <w:r>
              <w:rPr>
                <w:rFonts w:hint="eastAsia" w:ascii="宋体" w:hAnsi="宋体" w:eastAsia="宋体" w:cs="Times New Roman"/>
                <w:szCs w:val="21"/>
              </w:rPr>
              <w:t>，教学实训任务完成情况，教学实训手册填写情况</w:t>
            </w:r>
            <w:r>
              <w:rPr>
                <w:rFonts w:ascii="宋体" w:hAnsi="宋体" w:eastAsia="宋体" w:cs="Times New Roman"/>
                <w:szCs w:val="21"/>
              </w:rPr>
              <w:t>。</w:t>
            </w:r>
          </w:p>
        </w:tc>
        <w:tc>
          <w:tcPr>
            <w:tcW w:w="678" w:type="pct"/>
            <w:tcBorders>
              <w:top w:val="single" w:color="auto" w:sz="4" w:space="0"/>
              <w:left w:val="single" w:color="auto" w:sz="4" w:space="0"/>
              <w:bottom w:val="single" w:color="auto" w:sz="4" w:space="0"/>
              <w:right w:val="single" w:color="auto" w:sz="4" w:space="0"/>
            </w:tcBorders>
            <w:vAlign w:val="center"/>
          </w:tcPr>
          <w:p w14:paraId="33927E23">
            <w:pPr>
              <w:snapToGrid w:val="0"/>
              <w:spacing w:line="276" w:lineRule="auto"/>
              <w:rPr>
                <w:rFonts w:ascii="宋体" w:hAnsi="宋体" w:eastAsia="宋体" w:cs="Times New Roman"/>
                <w:szCs w:val="21"/>
              </w:rPr>
            </w:pPr>
            <w:r>
              <w:rPr>
                <w:rFonts w:hint="eastAsia" w:ascii="宋体" w:hAnsi="宋体" w:eastAsia="宋体" w:cs="Times New Roman"/>
                <w:szCs w:val="21"/>
              </w:rPr>
              <w:t>课程目标1、2、3</w:t>
            </w:r>
          </w:p>
        </w:tc>
        <w:tc>
          <w:tcPr>
            <w:tcW w:w="643" w:type="pct"/>
            <w:tcBorders>
              <w:top w:val="single" w:color="auto" w:sz="4" w:space="0"/>
              <w:left w:val="single" w:color="auto" w:sz="4" w:space="0"/>
              <w:bottom w:val="single" w:color="auto" w:sz="4" w:space="0"/>
              <w:right w:val="single" w:color="auto" w:sz="4" w:space="0"/>
            </w:tcBorders>
            <w:vAlign w:val="center"/>
          </w:tcPr>
          <w:p w14:paraId="0A8C4E02">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r>
              <w:rPr>
                <w:rFonts w:hint="eastAsia" w:ascii="宋体" w:hAnsi="宋体" w:eastAsia="宋体" w:cs="Times New Roman"/>
                <w:szCs w:val="21"/>
              </w:rPr>
              <w:t>、</w:t>
            </w:r>
            <w:r>
              <w:rPr>
                <w:rFonts w:ascii="宋体" w:hAnsi="宋体" w:eastAsia="宋体" w:cs="Times New Roman"/>
                <w:szCs w:val="21"/>
              </w:rPr>
              <w:t>7-3</w:t>
            </w:r>
          </w:p>
        </w:tc>
      </w:tr>
      <w:tr w14:paraId="6E66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421B4400">
            <w:pPr>
              <w:snapToGrid w:val="0"/>
              <w:spacing w:line="276" w:lineRule="auto"/>
              <w:rPr>
                <w:rFonts w:ascii="宋体" w:hAnsi="宋体" w:eastAsia="宋体" w:cs="Times New Roman"/>
                <w:szCs w:val="21"/>
              </w:rPr>
            </w:pPr>
            <w:r>
              <w:rPr>
                <w:rFonts w:hint="eastAsia" w:ascii="宋体" w:hAnsi="宋体" w:eastAsia="宋体" w:cs="Times New Roman"/>
                <w:szCs w:val="21"/>
              </w:rPr>
              <w:t>教学设计实训</w:t>
            </w:r>
          </w:p>
        </w:tc>
        <w:tc>
          <w:tcPr>
            <w:tcW w:w="1161" w:type="pct"/>
            <w:tcBorders>
              <w:top w:val="single" w:color="auto" w:sz="4" w:space="0"/>
              <w:left w:val="single" w:color="auto" w:sz="4" w:space="0"/>
              <w:bottom w:val="single" w:color="auto" w:sz="4" w:space="0"/>
              <w:right w:val="single" w:color="auto" w:sz="4" w:space="0"/>
            </w:tcBorders>
            <w:vAlign w:val="center"/>
          </w:tcPr>
          <w:p w14:paraId="3794B33B">
            <w:pPr>
              <w:snapToGrid w:val="0"/>
              <w:spacing w:line="276" w:lineRule="auto"/>
              <w:rPr>
                <w:rFonts w:ascii="宋体" w:hAnsi="宋体" w:eastAsia="宋体" w:cs="Times New Roman"/>
                <w:szCs w:val="21"/>
              </w:rPr>
            </w:pPr>
            <w:r>
              <w:rPr>
                <w:rFonts w:hint="eastAsia" w:ascii="宋体" w:hAnsi="宋体" w:eastAsia="宋体" w:cs="Times New Roman"/>
                <w:szCs w:val="21"/>
              </w:rPr>
              <w:t>根据教学方案、说课稿撰写情况</w:t>
            </w:r>
          </w:p>
        </w:tc>
        <w:tc>
          <w:tcPr>
            <w:tcW w:w="378" w:type="pct"/>
            <w:tcBorders>
              <w:top w:val="single" w:color="auto" w:sz="4" w:space="0"/>
              <w:left w:val="single" w:color="auto" w:sz="4" w:space="0"/>
              <w:bottom w:val="single" w:color="auto" w:sz="4" w:space="0"/>
              <w:right w:val="single" w:color="auto" w:sz="4" w:space="0"/>
            </w:tcBorders>
            <w:vAlign w:val="center"/>
          </w:tcPr>
          <w:p w14:paraId="3C15F2ED">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643" w:type="pct"/>
            <w:tcBorders>
              <w:top w:val="single" w:color="auto" w:sz="4" w:space="0"/>
              <w:left w:val="single" w:color="auto" w:sz="4" w:space="0"/>
              <w:bottom w:val="single" w:color="auto" w:sz="4" w:space="0"/>
              <w:right w:val="single" w:color="auto" w:sz="4" w:space="0"/>
            </w:tcBorders>
            <w:vAlign w:val="center"/>
          </w:tcPr>
          <w:p w14:paraId="0A66C970">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教学设计、说课稿的规范性、合理性、可操作性。</w:t>
            </w:r>
          </w:p>
        </w:tc>
        <w:tc>
          <w:tcPr>
            <w:tcW w:w="678" w:type="pct"/>
            <w:tcBorders>
              <w:top w:val="single" w:color="auto" w:sz="4" w:space="0"/>
              <w:left w:val="single" w:color="auto" w:sz="4" w:space="0"/>
              <w:bottom w:val="single" w:color="auto" w:sz="4" w:space="0"/>
              <w:right w:val="single" w:color="auto" w:sz="4" w:space="0"/>
            </w:tcBorders>
            <w:vAlign w:val="center"/>
          </w:tcPr>
          <w:p w14:paraId="24350077">
            <w:pPr>
              <w:snapToGrid w:val="0"/>
              <w:spacing w:line="276" w:lineRule="auto"/>
              <w:rPr>
                <w:rFonts w:ascii="宋体" w:hAnsi="宋体" w:eastAsia="宋体" w:cs="Times New Roman"/>
                <w:szCs w:val="21"/>
              </w:rPr>
            </w:pPr>
            <w:r>
              <w:rPr>
                <w:rFonts w:hint="eastAsia" w:ascii="宋体" w:hAnsi="宋体" w:eastAsia="宋体" w:cs="Times New Roman"/>
                <w:szCs w:val="21"/>
              </w:rPr>
              <w:t>课程目标1</w:t>
            </w:r>
          </w:p>
        </w:tc>
        <w:tc>
          <w:tcPr>
            <w:tcW w:w="643" w:type="pct"/>
            <w:tcBorders>
              <w:top w:val="single" w:color="auto" w:sz="4" w:space="0"/>
              <w:left w:val="single" w:color="auto" w:sz="4" w:space="0"/>
              <w:bottom w:val="single" w:color="auto" w:sz="4" w:space="0"/>
              <w:right w:val="single" w:color="auto" w:sz="4" w:space="0"/>
            </w:tcBorders>
            <w:vAlign w:val="center"/>
          </w:tcPr>
          <w:p w14:paraId="6CF1BAC6">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4244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94" w:type="pct"/>
            <w:tcBorders>
              <w:top w:val="single" w:color="auto" w:sz="4" w:space="0"/>
              <w:left w:val="single" w:color="auto" w:sz="4" w:space="0"/>
              <w:bottom w:val="single" w:color="auto" w:sz="4" w:space="0"/>
              <w:right w:val="single" w:color="auto" w:sz="4" w:space="0"/>
            </w:tcBorders>
            <w:vAlign w:val="center"/>
          </w:tcPr>
          <w:p w14:paraId="588D372A">
            <w:pPr>
              <w:snapToGrid w:val="0"/>
              <w:spacing w:line="276" w:lineRule="auto"/>
              <w:rPr>
                <w:rFonts w:ascii="宋体" w:hAnsi="宋体" w:eastAsia="宋体" w:cs="Times New Roman"/>
                <w:szCs w:val="21"/>
              </w:rPr>
            </w:pPr>
            <w:r>
              <w:rPr>
                <w:rFonts w:hint="eastAsia" w:ascii="宋体" w:hAnsi="宋体" w:eastAsia="宋体" w:cs="Times New Roman"/>
                <w:szCs w:val="21"/>
              </w:rPr>
              <w:t>说课实训</w:t>
            </w:r>
          </w:p>
        </w:tc>
        <w:tc>
          <w:tcPr>
            <w:tcW w:w="1161" w:type="pct"/>
            <w:tcBorders>
              <w:top w:val="single" w:color="auto" w:sz="4" w:space="0"/>
              <w:left w:val="single" w:color="auto" w:sz="4" w:space="0"/>
              <w:bottom w:val="single" w:color="auto" w:sz="4" w:space="0"/>
              <w:right w:val="single" w:color="auto" w:sz="4" w:space="0"/>
            </w:tcBorders>
            <w:vAlign w:val="center"/>
          </w:tcPr>
          <w:p w14:paraId="41CBB433">
            <w:pPr>
              <w:snapToGrid w:val="0"/>
              <w:spacing w:line="276" w:lineRule="auto"/>
              <w:rPr>
                <w:rFonts w:ascii="宋体" w:hAnsi="宋体" w:eastAsia="宋体" w:cs="Times New Roman"/>
                <w:szCs w:val="21"/>
              </w:rPr>
            </w:pPr>
            <w:r>
              <w:rPr>
                <w:rFonts w:hint="eastAsia" w:ascii="宋体" w:hAnsi="宋体" w:eastAsia="宋体" w:cs="Times New Roman"/>
                <w:szCs w:val="21"/>
              </w:rPr>
              <w:t>根据说课实际情况</w:t>
            </w:r>
          </w:p>
        </w:tc>
        <w:tc>
          <w:tcPr>
            <w:tcW w:w="378" w:type="pct"/>
            <w:tcBorders>
              <w:top w:val="single" w:color="auto" w:sz="4" w:space="0"/>
              <w:left w:val="single" w:color="auto" w:sz="4" w:space="0"/>
              <w:bottom w:val="single" w:color="auto" w:sz="4" w:space="0"/>
              <w:right w:val="single" w:color="auto" w:sz="4" w:space="0"/>
            </w:tcBorders>
            <w:vAlign w:val="center"/>
          </w:tcPr>
          <w:p w14:paraId="7BB2051A">
            <w:pPr>
              <w:snapToGrid w:val="0"/>
              <w:spacing w:line="276" w:lineRule="auto"/>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643" w:type="pct"/>
            <w:tcBorders>
              <w:top w:val="single" w:color="auto" w:sz="4" w:space="0"/>
              <w:left w:val="single" w:color="auto" w:sz="4" w:space="0"/>
              <w:bottom w:val="single" w:color="auto" w:sz="4" w:space="0"/>
              <w:right w:val="single" w:color="auto" w:sz="4" w:space="0"/>
            </w:tcBorders>
            <w:vAlign w:val="center"/>
          </w:tcPr>
          <w:p w14:paraId="1D8A6028">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说课实训效果</w:t>
            </w:r>
          </w:p>
        </w:tc>
        <w:tc>
          <w:tcPr>
            <w:tcW w:w="678" w:type="pct"/>
            <w:tcBorders>
              <w:top w:val="single" w:color="auto" w:sz="4" w:space="0"/>
              <w:left w:val="single" w:color="auto" w:sz="4" w:space="0"/>
              <w:bottom w:val="single" w:color="auto" w:sz="4" w:space="0"/>
              <w:right w:val="single" w:color="auto" w:sz="4" w:space="0"/>
            </w:tcBorders>
            <w:vAlign w:val="center"/>
          </w:tcPr>
          <w:p w14:paraId="7233FD15">
            <w:pPr>
              <w:snapToGrid w:val="0"/>
              <w:spacing w:line="276" w:lineRule="auto"/>
              <w:rPr>
                <w:rFonts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643" w:type="pct"/>
            <w:tcBorders>
              <w:top w:val="single" w:color="auto" w:sz="4" w:space="0"/>
              <w:left w:val="single" w:color="auto" w:sz="4" w:space="0"/>
              <w:bottom w:val="single" w:color="auto" w:sz="4" w:space="0"/>
              <w:right w:val="single" w:color="auto" w:sz="4" w:space="0"/>
            </w:tcBorders>
            <w:vAlign w:val="center"/>
          </w:tcPr>
          <w:p w14:paraId="6DB8E11F">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3681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4" w:type="pct"/>
            <w:tcBorders>
              <w:top w:val="single" w:color="auto" w:sz="4" w:space="0"/>
              <w:left w:val="single" w:color="auto" w:sz="4" w:space="0"/>
              <w:bottom w:val="single" w:color="auto" w:sz="4" w:space="0"/>
              <w:right w:val="single" w:color="auto" w:sz="4" w:space="0"/>
            </w:tcBorders>
            <w:vAlign w:val="center"/>
          </w:tcPr>
          <w:p w14:paraId="2EBCD69C">
            <w:pPr>
              <w:snapToGrid w:val="0"/>
              <w:spacing w:line="276" w:lineRule="auto"/>
              <w:rPr>
                <w:rFonts w:ascii="宋体" w:hAnsi="宋体" w:eastAsia="宋体" w:cs="Times New Roman"/>
                <w:szCs w:val="21"/>
              </w:rPr>
            </w:pPr>
            <w:r>
              <w:rPr>
                <w:rFonts w:hint="eastAsia" w:ascii="宋体" w:hAnsi="宋体" w:eastAsia="宋体" w:cs="Times New Roman"/>
                <w:szCs w:val="21"/>
              </w:rPr>
              <w:t>课堂教学实训</w:t>
            </w:r>
          </w:p>
        </w:tc>
        <w:tc>
          <w:tcPr>
            <w:tcW w:w="1161" w:type="pct"/>
            <w:tcBorders>
              <w:top w:val="single" w:color="auto" w:sz="4" w:space="0"/>
              <w:left w:val="single" w:color="auto" w:sz="4" w:space="0"/>
              <w:bottom w:val="single" w:color="auto" w:sz="4" w:space="0"/>
              <w:right w:val="single" w:color="auto" w:sz="4" w:space="0"/>
            </w:tcBorders>
            <w:vAlign w:val="center"/>
          </w:tcPr>
          <w:p w14:paraId="4DC67A0D">
            <w:pPr>
              <w:snapToGrid w:val="0"/>
              <w:spacing w:line="276" w:lineRule="auto"/>
              <w:rPr>
                <w:rFonts w:ascii="宋体" w:hAnsi="宋体" w:eastAsia="宋体" w:cs="Times New Roman"/>
                <w:szCs w:val="21"/>
              </w:rPr>
            </w:pPr>
            <w:r>
              <w:rPr>
                <w:rFonts w:hint="eastAsia" w:ascii="宋体" w:hAnsi="宋体" w:eastAsia="宋体" w:cs="Times New Roman"/>
                <w:szCs w:val="21"/>
              </w:rPr>
              <w:t>根据课堂教学（模拟教学）实际情况。</w:t>
            </w:r>
          </w:p>
        </w:tc>
        <w:tc>
          <w:tcPr>
            <w:tcW w:w="378" w:type="pct"/>
            <w:tcBorders>
              <w:top w:val="single" w:color="auto" w:sz="4" w:space="0"/>
              <w:left w:val="single" w:color="auto" w:sz="4" w:space="0"/>
              <w:bottom w:val="single" w:color="auto" w:sz="4" w:space="0"/>
              <w:right w:val="single" w:color="auto" w:sz="4" w:space="0"/>
            </w:tcBorders>
            <w:vAlign w:val="center"/>
          </w:tcPr>
          <w:p w14:paraId="4016AB68">
            <w:pPr>
              <w:snapToGrid w:val="0"/>
              <w:spacing w:line="276" w:lineRule="auto"/>
              <w:rPr>
                <w:rFonts w:ascii="宋体" w:hAnsi="宋体" w:eastAsia="宋体" w:cs="Times New Roman"/>
                <w:szCs w:val="21"/>
              </w:rPr>
            </w:pPr>
            <w:r>
              <w:rPr>
                <w:rFonts w:ascii="宋体" w:hAnsi="宋体" w:eastAsia="宋体" w:cs="Times New Roman"/>
                <w:szCs w:val="21"/>
              </w:rPr>
              <w:t>40%</w:t>
            </w:r>
          </w:p>
        </w:tc>
        <w:tc>
          <w:tcPr>
            <w:tcW w:w="1643" w:type="pct"/>
            <w:tcBorders>
              <w:top w:val="single" w:color="auto" w:sz="4" w:space="0"/>
              <w:left w:val="single" w:color="auto" w:sz="4" w:space="0"/>
              <w:bottom w:val="single" w:color="auto" w:sz="4" w:space="0"/>
              <w:right w:val="single" w:color="auto" w:sz="4" w:space="0"/>
            </w:tcBorders>
            <w:vAlign w:val="center"/>
          </w:tcPr>
          <w:p w14:paraId="42417EAC">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课堂教学实训效果</w:t>
            </w:r>
          </w:p>
        </w:tc>
        <w:tc>
          <w:tcPr>
            <w:tcW w:w="678" w:type="pct"/>
            <w:tcBorders>
              <w:top w:val="single" w:color="auto" w:sz="4" w:space="0"/>
              <w:left w:val="single" w:color="auto" w:sz="4" w:space="0"/>
              <w:bottom w:val="single" w:color="auto" w:sz="4" w:space="0"/>
              <w:right w:val="single" w:color="auto" w:sz="4" w:space="0"/>
            </w:tcBorders>
            <w:vAlign w:val="center"/>
          </w:tcPr>
          <w:p w14:paraId="20AFCAFE">
            <w:pPr>
              <w:snapToGrid w:val="0"/>
              <w:spacing w:line="276" w:lineRule="auto"/>
              <w:rPr>
                <w:rFonts w:ascii="宋体" w:hAnsi="宋体" w:eastAsia="宋体" w:cs="Times New Roman"/>
                <w:szCs w:val="21"/>
              </w:rPr>
            </w:pPr>
            <w:r>
              <w:rPr>
                <w:rFonts w:hint="eastAsia" w:ascii="宋体" w:hAnsi="宋体" w:eastAsia="宋体" w:cs="Times New Roman"/>
                <w:szCs w:val="21"/>
              </w:rPr>
              <w:t>课程目标2</w:t>
            </w:r>
          </w:p>
        </w:tc>
        <w:tc>
          <w:tcPr>
            <w:tcW w:w="643" w:type="pct"/>
            <w:tcBorders>
              <w:top w:val="single" w:color="auto" w:sz="4" w:space="0"/>
              <w:left w:val="single" w:color="auto" w:sz="4" w:space="0"/>
              <w:bottom w:val="single" w:color="auto" w:sz="4" w:space="0"/>
              <w:right w:val="single" w:color="auto" w:sz="4" w:space="0"/>
            </w:tcBorders>
            <w:vAlign w:val="center"/>
          </w:tcPr>
          <w:p w14:paraId="62B7879E">
            <w:pPr>
              <w:snapToGrid w:val="0"/>
              <w:spacing w:line="276" w:lineRule="auto"/>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-2、</w:t>
            </w:r>
            <w:r>
              <w:rPr>
                <w:rFonts w:ascii="宋体" w:hAnsi="宋体" w:eastAsia="宋体" w:cs="Times New Roman"/>
                <w:szCs w:val="21"/>
              </w:rPr>
              <w:t>4</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ascii="宋体" w:hAnsi="宋体" w:eastAsia="宋体" w:cs="Times New Roman"/>
                <w:szCs w:val="21"/>
              </w:rPr>
              <w:t>4-2</w:t>
            </w:r>
          </w:p>
        </w:tc>
      </w:tr>
      <w:tr w14:paraId="38B5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94" w:type="pct"/>
            <w:tcBorders>
              <w:top w:val="single" w:color="auto" w:sz="4" w:space="0"/>
              <w:left w:val="single" w:color="auto" w:sz="4" w:space="0"/>
              <w:bottom w:val="single" w:color="auto" w:sz="4" w:space="0"/>
              <w:right w:val="single" w:color="auto" w:sz="4" w:space="0"/>
            </w:tcBorders>
            <w:vAlign w:val="center"/>
          </w:tcPr>
          <w:p w14:paraId="28A2B4BD">
            <w:pPr>
              <w:snapToGrid w:val="0"/>
              <w:spacing w:line="276" w:lineRule="auto"/>
              <w:rPr>
                <w:rFonts w:ascii="宋体" w:hAnsi="宋体" w:eastAsia="宋体" w:cs="Times New Roman"/>
                <w:szCs w:val="21"/>
              </w:rPr>
            </w:pPr>
            <w:r>
              <w:rPr>
                <w:rFonts w:hint="eastAsia" w:ascii="宋体" w:hAnsi="宋体" w:eastAsia="宋体" w:cs="Times New Roman"/>
                <w:szCs w:val="21"/>
              </w:rPr>
              <w:t>教学实训成果汇报</w:t>
            </w:r>
          </w:p>
        </w:tc>
        <w:tc>
          <w:tcPr>
            <w:tcW w:w="1161" w:type="pct"/>
            <w:tcBorders>
              <w:top w:val="single" w:color="auto" w:sz="4" w:space="0"/>
              <w:left w:val="single" w:color="auto" w:sz="4" w:space="0"/>
              <w:bottom w:val="single" w:color="auto" w:sz="4" w:space="0"/>
              <w:right w:val="single" w:color="auto" w:sz="4" w:space="0"/>
            </w:tcBorders>
            <w:vAlign w:val="center"/>
          </w:tcPr>
          <w:p w14:paraId="03A999BA">
            <w:pPr>
              <w:snapToGrid w:val="0"/>
              <w:spacing w:line="276" w:lineRule="auto"/>
              <w:rPr>
                <w:rFonts w:ascii="宋体" w:hAnsi="宋体" w:eastAsia="宋体" w:cs="Times New Roman"/>
                <w:szCs w:val="21"/>
              </w:rPr>
            </w:pPr>
            <w:r>
              <w:rPr>
                <w:rFonts w:hint="eastAsia" w:ascii="宋体" w:hAnsi="宋体" w:eastAsia="宋体" w:cs="Times New Roman"/>
                <w:szCs w:val="21"/>
              </w:rPr>
              <w:t>学生依据教学设计，从说课、课堂教学等方面进行成果汇报。</w:t>
            </w:r>
          </w:p>
        </w:tc>
        <w:tc>
          <w:tcPr>
            <w:tcW w:w="378" w:type="pct"/>
            <w:tcBorders>
              <w:top w:val="single" w:color="auto" w:sz="4" w:space="0"/>
              <w:left w:val="single" w:color="auto" w:sz="4" w:space="0"/>
              <w:bottom w:val="single" w:color="auto" w:sz="4" w:space="0"/>
              <w:right w:val="single" w:color="auto" w:sz="4" w:space="0"/>
            </w:tcBorders>
            <w:vAlign w:val="center"/>
          </w:tcPr>
          <w:p w14:paraId="22419F4D">
            <w:pPr>
              <w:snapToGrid w:val="0"/>
              <w:spacing w:line="276" w:lineRule="auto"/>
              <w:rPr>
                <w:rFonts w:ascii="宋体" w:hAnsi="宋体" w:eastAsia="宋体" w:cs="Times New Roman"/>
                <w:szCs w:val="21"/>
              </w:rPr>
            </w:pPr>
            <w:r>
              <w:rPr>
                <w:rFonts w:ascii="宋体" w:hAnsi="宋体" w:eastAsia="宋体" w:cs="Times New Roman"/>
                <w:szCs w:val="21"/>
              </w:rPr>
              <w:t>10%</w:t>
            </w:r>
          </w:p>
        </w:tc>
        <w:tc>
          <w:tcPr>
            <w:tcW w:w="1643" w:type="pct"/>
            <w:tcBorders>
              <w:top w:val="single" w:color="auto" w:sz="4" w:space="0"/>
              <w:left w:val="single" w:color="auto" w:sz="4" w:space="0"/>
              <w:bottom w:val="single" w:color="auto" w:sz="4" w:space="0"/>
              <w:right w:val="single" w:color="auto" w:sz="4" w:space="0"/>
            </w:tcBorders>
            <w:vAlign w:val="center"/>
          </w:tcPr>
          <w:p w14:paraId="5FFBF038">
            <w:pPr>
              <w:snapToGrid w:val="0"/>
              <w:spacing w:line="276" w:lineRule="auto"/>
              <w:rPr>
                <w:rFonts w:ascii="宋体" w:hAnsi="宋体" w:eastAsia="宋体" w:cs="Times New Roman"/>
                <w:szCs w:val="21"/>
              </w:rPr>
            </w:pPr>
            <w:r>
              <w:rPr>
                <w:rFonts w:ascii="宋体" w:hAnsi="宋体" w:eastAsia="宋体" w:cs="Times New Roman"/>
                <w:szCs w:val="21"/>
              </w:rPr>
              <w:t>重点考核：</w:t>
            </w:r>
            <w:r>
              <w:rPr>
                <w:rFonts w:hint="eastAsia" w:ascii="宋体" w:hAnsi="宋体" w:eastAsia="宋体" w:cs="Times New Roman"/>
                <w:szCs w:val="21"/>
              </w:rPr>
              <w:t>说课、课堂教学汇报效果，教学实训总结。</w:t>
            </w:r>
          </w:p>
        </w:tc>
        <w:tc>
          <w:tcPr>
            <w:tcW w:w="678" w:type="pct"/>
            <w:tcBorders>
              <w:top w:val="single" w:color="auto" w:sz="4" w:space="0"/>
              <w:left w:val="single" w:color="auto" w:sz="4" w:space="0"/>
              <w:bottom w:val="single" w:color="auto" w:sz="4" w:space="0"/>
              <w:right w:val="single" w:color="auto" w:sz="4" w:space="0"/>
            </w:tcBorders>
            <w:vAlign w:val="center"/>
          </w:tcPr>
          <w:p w14:paraId="75253AB4">
            <w:pPr>
              <w:snapToGrid w:val="0"/>
              <w:spacing w:line="276" w:lineRule="auto"/>
              <w:rPr>
                <w:rFonts w:ascii="宋体" w:hAnsi="宋体" w:eastAsia="宋体" w:cs="Times New Roman"/>
                <w:szCs w:val="21"/>
              </w:rPr>
            </w:pPr>
            <w:r>
              <w:rPr>
                <w:rFonts w:hint="eastAsia" w:ascii="宋体" w:hAnsi="宋体" w:eastAsia="宋体" w:cs="Times New Roman"/>
                <w:szCs w:val="21"/>
              </w:rPr>
              <w:t>课程目标3</w:t>
            </w:r>
          </w:p>
        </w:tc>
        <w:tc>
          <w:tcPr>
            <w:tcW w:w="643" w:type="pct"/>
            <w:tcBorders>
              <w:top w:val="single" w:color="auto" w:sz="4" w:space="0"/>
              <w:left w:val="single" w:color="auto" w:sz="4" w:space="0"/>
              <w:bottom w:val="single" w:color="auto" w:sz="4" w:space="0"/>
              <w:right w:val="single" w:color="auto" w:sz="4" w:space="0"/>
            </w:tcBorders>
            <w:vAlign w:val="center"/>
          </w:tcPr>
          <w:p w14:paraId="0B3FBD2B">
            <w:pPr>
              <w:snapToGrid w:val="0"/>
              <w:spacing w:line="276" w:lineRule="auto"/>
              <w:rPr>
                <w:rFonts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-3</w:t>
            </w:r>
          </w:p>
        </w:tc>
      </w:tr>
    </w:tbl>
    <w:p w14:paraId="7B3F0822">
      <w:pPr>
        <w:snapToGrid w:val="0"/>
        <w:spacing w:line="360" w:lineRule="auto"/>
        <w:rPr>
          <w:rFonts w:ascii="宋体" w:hAnsi="宋体" w:eastAsia="宋体" w:cs="Times New Roman"/>
          <w:color w:val="000000"/>
          <w:sz w:val="24"/>
          <w:szCs w:val="24"/>
        </w:rPr>
      </w:pPr>
    </w:p>
    <w:p w14:paraId="03230566">
      <w:pPr>
        <w:snapToGrid w:val="0"/>
        <w:spacing w:line="360" w:lineRule="auto"/>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8916" w:type="dxa"/>
        <w:tblInd w:w="0" w:type="dxa"/>
        <w:tblLayout w:type="autofit"/>
        <w:tblCellMar>
          <w:top w:w="0" w:type="dxa"/>
          <w:left w:w="108" w:type="dxa"/>
          <w:bottom w:w="0" w:type="dxa"/>
          <w:right w:w="108" w:type="dxa"/>
        </w:tblCellMar>
      </w:tblPr>
      <w:tblGrid>
        <w:gridCol w:w="2122"/>
        <w:gridCol w:w="1275"/>
        <w:gridCol w:w="2127"/>
        <w:gridCol w:w="2159"/>
        <w:gridCol w:w="1233"/>
      </w:tblGrid>
      <w:tr w14:paraId="5246A9E0">
        <w:tblPrEx>
          <w:tblCellMar>
            <w:top w:w="0" w:type="dxa"/>
            <w:left w:w="108" w:type="dxa"/>
            <w:bottom w:w="0" w:type="dxa"/>
            <w:right w:w="108" w:type="dxa"/>
          </w:tblCellMar>
        </w:tblPrEx>
        <w:trPr>
          <w:trHeight w:val="411" w:hRule="atLeast"/>
        </w:trPr>
        <w:tc>
          <w:tcPr>
            <w:tcW w:w="3397" w:type="dxa"/>
            <w:gridSpan w:val="2"/>
            <w:tcBorders>
              <w:top w:val="single" w:color="auto" w:sz="4" w:space="0"/>
              <w:left w:val="single" w:color="auto" w:sz="4" w:space="0"/>
              <w:bottom w:val="single" w:color="auto" w:sz="4" w:space="0"/>
              <w:right w:val="single" w:color="auto" w:sz="4" w:space="0"/>
            </w:tcBorders>
            <w:vAlign w:val="center"/>
          </w:tcPr>
          <w:p w14:paraId="65E1C273">
            <w:pPr>
              <w:widowControl/>
              <w:snapToGrid w:val="0"/>
              <w:spacing w:line="276" w:lineRule="auto"/>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课程目标及权重</w:t>
            </w:r>
          </w:p>
        </w:tc>
        <w:tc>
          <w:tcPr>
            <w:tcW w:w="5519" w:type="dxa"/>
            <w:gridSpan w:val="3"/>
            <w:tcBorders>
              <w:top w:val="single" w:color="auto" w:sz="4" w:space="0"/>
              <w:left w:val="single" w:color="auto" w:sz="4" w:space="0"/>
              <w:bottom w:val="single" w:color="auto" w:sz="4" w:space="0"/>
              <w:right w:val="single" w:color="auto" w:sz="4" w:space="0"/>
            </w:tcBorders>
            <w:vAlign w:val="center"/>
          </w:tcPr>
          <w:p w14:paraId="722D43C8">
            <w:pPr>
              <w:widowControl/>
              <w:snapToGrid w:val="0"/>
              <w:spacing w:line="276" w:lineRule="auto"/>
              <w:ind w:right="-391" w:rightChars="-186"/>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考核方式及权重</w:t>
            </w:r>
          </w:p>
        </w:tc>
      </w:tr>
      <w:tr w14:paraId="03B7638E">
        <w:tblPrEx>
          <w:tblCellMar>
            <w:top w:w="0" w:type="dxa"/>
            <w:left w:w="108" w:type="dxa"/>
            <w:bottom w:w="0" w:type="dxa"/>
            <w:right w:w="108" w:type="dxa"/>
          </w:tblCellMar>
        </w:tblPrEx>
        <w:trPr>
          <w:trHeight w:val="634" w:hRule="atLeast"/>
        </w:trPr>
        <w:tc>
          <w:tcPr>
            <w:tcW w:w="2122" w:type="dxa"/>
            <w:tcBorders>
              <w:top w:val="single" w:color="auto" w:sz="4" w:space="0"/>
              <w:left w:val="single" w:color="auto" w:sz="4" w:space="0"/>
              <w:bottom w:val="single" w:color="auto" w:sz="4" w:space="0"/>
              <w:right w:val="single" w:color="auto" w:sz="4" w:space="0"/>
            </w:tcBorders>
            <w:vAlign w:val="center"/>
          </w:tcPr>
          <w:p w14:paraId="1A074440">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275" w:type="dxa"/>
            <w:tcBorders>
              <w:top w:val="single" w:color="auto" w:sz="4" w:space="0"/>
              <w:left w:val="single" w:color="auto" w:sz="4" w:space="0"/>
              <w:bottom w:val="single" w:color="auto" w:sz="4" w:space="0"/>
              <w:right w:val="single" w:color="auto" w:sz="4" w:space="0"/>
            </w:tcBorders>
            <w:vAlign w:val="center"/>
          </w:tcPr>
          <w:p w14:paraId="5DE4835A">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127" w:type="dxa"/>
            <w:tcBorders>
              <w:top w:val="single" w:color="auto" w:sz="4" w:space="0"/>
              <w:left w:val="single" w:color="auto" w:sz="4" w:space="0"/>
              <w:bottom w:val="single" w:color="auto" w:sz="4" w:space="0"/>
              <w:right w:val="single" w:color="auto" w:sz="4" w:space="0"/>
            </w:tcBorders>
            <w:vAlign w:val="center"/>
          </w:tcPr>
          <w:p w14:paraId="2A518222">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2159" w:type="dxa"/>
            <w:tcBorders>
              <w:top w:val="single" w:color="auto" w:sz="4" w:space="0"/>
              <w:left w:val="single" w:color="auto" w:sz="4" w:space="0"/>
              <w:bottom w:val="single" w:color="auto" w:sz="4" w:space="0"/>
              <w:right w:val="single" w:color="auto" w:sz="4" w:space="0"/>
            </w:tcBorders>
            <w:vAlign w:val="center"/>
          </w:tcPr>
          <w:p w14:paraId="054B2521">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233" w:type="dxa"/>
            <w:tcBorders>
              <w:top w:val="single" w:color="auto" w:sz="4" w:space="0"/>
              <w:left w:val="single" w:color="auto" w:sz="4" w:space="0"/>
              <w:bottom w:val="single" w:color="auto" w:sz="4" w:space="0"/>
              <w:right w:val="single" w:color="auto" w:sz="4" w:space="0"/>
            </w:tcBorders>
          </w:tcPr>
          <w:p w14:paraId="721B3467">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1D14A7F1">
        <w:tblPrEx>
          <w:tblCellMar>
            <w:top w:w="0" w:type="dxa"/>
            <w:left w:w="108" w:type="dxa"/>
            <w:bottom w:w="0" w:type="dxa"/>
            <w:right w:w="108" w:type="dxa"/>
          </w:tblCellMar>
        </w:tblPrEx>
        <w:trPr>
          <w:trHeight w:val="426" w:hRule="atLeast"/>
        </w:trPr>
        <w:tc>
          <w:tcPr>
            <w:tcW w:w="2122" w:type="dxa"/>
            <w:vMerge w:val="restart"/>
            <w:tcBorders>
              <w:top w:val="single" w:color="auto" w:sz="4" w:space="0"/>
              <w:left w:val="single" w:color="auto" w:sz="4" w:space="0"/>
              <w:right w:val="single" w:color="auto" w:sz="4" w:space="0"/>
            </w:tcBorders>
            <w:vAlign w:val="center"/>
          </w:tcPr>
          <w:p w14:paraId="1D573722">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275" w:type="dxa"/>
            <w:vMerge w:val="restart"/>
            <w:tcBorders>
              <w:top w:val="single" w:color="auto" w:sz="4" w:space="0"/>
              <w:left w:val="single" w:color="auto" w:sz="4" w:space="0"/>
              <w:right w:val="single" w:color="auto" w:sz="4" w:space="0"/>
            </w:tcBorders>
            <w:vAlign w:val="center"/>
          </w:tcPr>
          <w:p w14:paraId="0DB191AA">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127" w:type="dxa"/>
            <w:tcBorders>
              <w:top w:val="single" w:color="auto" w:sz="4" w:space="0"/>
              <w:left w:val="single" w:color="auto" w:sz="4" w:space="0"/>
              <w:bottom w:val="single" w:color="auto" w:sz="4" w:space="0"/>
              <w:right w:val="single" w:color="auto" w:sz="4" w:space="0"/>
            </w:tcBorders>
            <w:vAlign w:val="center"/>
          </w:tcPr>
          <w:p w14:paraId="5A72BE79">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4EDFD7C2">
            <w:pPr>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233" w:type="dxa"/>
            <w:vMerge w:val="restart"/>
            <w:tcBorders>
              <w:top w:val="single" w:color="auto" w:sz="4" w:space="0"/>
              <w:left w:val="single" w:color="auto" w:sz="4" w:space="0"/>
              <w:right w:val="single" w:color="auto" w:sz="4" w:space="0"/>
            </w:tcBorders>
            <w:vAlign w:val="center"/>
          </w:tcPr>
          <w:p w14:paraId="22C7E76B">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380D79EC">
        <w:tblPrEx>
          <w:tblCellMar>
            <w:top w:w="0" w:type="dxa"/>
            <w:left w:w="108" w:type="dxa"/>
            <w:bottom w:w="0" w:type="dxa"/>
            <w:right w:w="108" w:type="dxa"/>
          </w:tblCellMar>
        </w:tblPrEx>
        <w:trPr>
          <w:trHeight w:val="426" w:hRule="atLeast"/>
        </w:trPr>
        <w:tc>
          <w:tcPr>
            <w:tcW w:w="2122" w:type="dxa"/>
            <w:vMerge w:val="continue"/>
            <w:tcBorders>
              <w:left w:val="single" w:color="auto" w:sz="4" w:space="0"/>
              <w:bottom w:val="single" w:color="auto" w:sz="4" w:space="0"/>
              <w:right w:val="single" w:color="auto" w:sz="4" w:space="0"/>
            </w:tcBorders>
            <w:vAlign w:val="center"/>
          </w:tcPr>
          <w:p w14:paraId="658312A4">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left w:val="single" w:color="auto" w:sz="4" w:space="0"/>
              <w:bottom w:val="single" w:color="auto" w:sz="4" w:space="0"/>
              <w:right w:val="single" w:color="auto" w:sz="4" w:space="0"/>
            </w:tcBorders>
            <w:vAlign w:val="center"/>
          </w:tcPr>
          <w:p w14:paraId="5C02BDF0">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58721F37">
            <w:pPr>
              <w:snapToGrid w:val="0"/>
              <w:spacing w:line="276" w:lineRule="auto"/>
              <w:rPr>
                <w:rFonts w:ascii="宋体" w:hAnsi="宋体" w:eastAsia="宋体" w:cs="Times New Roman"/>
                <w:szCs w:val="21"/>
              </w:rPr>
            </w:pPr>
            <w:r>
              <w:rPr>
                <w:rFonts w:hint="eastAsia" w:ascii="宋体" w:hAnsi="宋体" w:eastAsia="宋体" w:cs="Times New Roman"/>
                <w:szCs w:val="21"/>
              </w:rPr>
              <w:t>教学设计实训</w:t>
            </w:r>
          </w:p>
        </w:tc>
        <w:tc>
          <w:tcPr>
            <w:tcW w:w="2159" w:type="dxa"/>
            <w:tcBorders>
              <w:top w:val="single" w:color="auto" w:sz="4" w:space="0"/>
              <w:left w:val="single" w:color="auto" w:sz="4" w:space="0"/>
              <w:bottom w:val="single" w:color="auto" w:sz="4" w:space="0"/>
              <w:right w:val="single" w:color="auto" w:sz="4" w:space="0"/>
            </w:tcBorders>
            <w:vAlign w:val="center"/>
          </w:tcPr>
          <w:p w14:paraId="1DBF146D">
            <w:pPr>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80%</w:t>
            </w:r>
          </w:p>
        </w:tc>
        <w:tc>
          <w:tcPr>
            <w:tcW w:w="1233" w:type="dxa"/>
            <w:vMerge w:val="continue"/>
            <w:tcBorders>
              <w:left w:val="single" w:color="auto" w:sz="4" w:space="0"/>
              <w:bottom w:val="single" w:color="auto" w:sz="4" w:space="0"/>
              <w:right w:val="single" w:color="auto" w:sz="4" w:space="0"/>
            </w:tcBorders>
            <w:vAlign w:val="center"/>
          </w:tcPr>
          <w:p w14:paraId="3775A8D0">
            <w:pPr>
              <w:widowControl/>
              <w:snapToGrid w:val="0"/>
              <w:spacing w:line="276" w:lineRule="auto"/>
              <w:jc w:val="center"/>
              <w:rPr>
                <w:rFonts w:ascii="宋体" w:hAnsi="宋体" w:eastAsia="宋体" w:cs="Times New Roman"/>
                <w:color w:val="000000"/>
                <w:kern w:val="0"/>
                <w:szCs w:val="21"/>
              </w:rPr>
            </w:pPr>
          </w:p>
        </w:tc>
      </w:tr>
      <w:tr w14:paraId="74939557">
        <w:tblPrEx>
          <w:tblCellMar>
            <w:top w:w="0" w:type="dxa"/>
            <w:left w:w="108" w:type="dxa"/>
            <w:bottom w:w="0" w:type="dxa"/>
            <w:right w:w="108" w:type="dxa"/>
          </w:tblCellMar>
        </w:tblPrEx>
        <w:trPr>
          <w:trHeight w:val="339" w:hRule="atLeast"/>
        </w:trPr>
        <w:tc>
          <w:tcPr>
            <w:tcW w:w="2122" w:type="dxa"/>
            <w:vMerge w:val="restart"/>
            <w:tcBorders>
              <w:top w:val="single" w:color="auto" w:sz="4" w:space="0"/>
              <w:left w:val="single" w:color="auto" w:sz="4" w:space="0"/>
              <w:bottom w:val="single" w:color="auto" w:sz="4" w:space="0"/>
              <w:right w:val="single" w:color="auto" w:sz="4" w:space="0"/>
            </w:tcBorders>
            <w:vAlign w:val="center"/>
          </w:tcPr>
          <w:p w14:paraId="416EADD1">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4F2AF37F">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2127" w:type="dxa"/>
            <w:tcBorders>
              <w:top w:val="single" w:color="auto" w:sz="4" w:space="0"/>
              <w:left w:val="single" w:color="auto" w:sz="4" w:space="0"/>
              <w:bottom w:val="single" w:color="auto" w:sz="4" w:space="0"/>
              <w:right w:val="single" w:color="auto" w:sz="4" w:space="0"/>
            </w:tcBorders>
            <w:vAlign w:val="center"/>
          </w:tcPr>
          <w:p w14:paraId="71023306">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69AA0D5C">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14:paraId="09AF0415">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57497DC1">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76C17A52">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633DF177">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67F5F1D0">
            <w:pPr>
              <w:snapToGrid w:val="0"/>
              <w:spacing w:line="276" w:lineRule="auto"/>
              <w:rPr>
                <w:rFonts w:ascii="宋体" w:hAnsi="宋体" w:eastAsia="宋体" w:cs="Times New Roman"/>
                <w:szCs w:val="21"/>
              </w:rPr>
            </w:pPr>
            <w:r>
              <w:rPr>
                <w:rFonts w:hint="eastAsia" w:ascii="宋体" w:hAnsi="宋体" w:eastAsia="宋体" w:cs="Times New Roman"/>
                <w:szCs w:val="21"/>
              </w:rPr>
              <w:t>说课实训</w:t>
            </w:r>
          </w:p>
        </w:tc>
        <w:tc>
          <w:tcPr>
            <w:tcW w:w="2159" w:type="dxa"/>
            <w:tcBorders>
              <w:top w:val="single" w:color="auto" w:sz="4" w:space="0"/>
              <w:left w:val="single" w:color="auto" w:sz="4" w:space="0"/>
              <w:bottom w:val="single" w:color="auto" w:sz="4" w:space="0"/>
              <w:right w:val="single" w:color="auto" w:sz="4" w:space="0"/>
            </w:tcBorders>
            <w:vAlign w:val="center"/>
          </w:tcPr>
          <w:p w14:paraId="29CE32B6">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7B8C7CB6">
            <w:pPr>
              <w:widowControl/>
              <w:snapToGrid w:val="0"/>
              <w:spacing w:line="276" w:lineRule="auto"/>
              <w:jc w:val="center"/>
              <w:rPr>
                <w:rFonts w:ascii="宋体" w:hAnsi="宋体" w:eastAsia="宋体" w:cs="Times New Roman"/>
                <w:color w:val="000000"/>
                <w:kern w:val="0"/>
                <w:szCs w:val="21"/>
              </w:rPr>
            </w:pPr>
          </w:p>
        </w:tc>
      </w:tr>
      <w:tr w14:paraId="63954181">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27901954">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05BACC39">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34986ED2">
            <w:pPr>
              <w:snapToGrid w:val="0"/>
              <w:spacing w:line="276" w:lineRule="auto"/>
              <w:rPr>
                <w:rFonts w:ascii="宋体" w:hAnsi="宋体" w:eastAsia="宋体" w:cs="Times New Roman"/>
                <w:szCs w:val="21"/>
              </w:rPr>
            </w:pPr>
            <w:r>
              <w:rPr>
                <w:rFonts w:hint="eastAsia" w:ascii="宋体" w:hAnsi="宋体" w:eastAsia="宋体" w:cs="Times New Roman"/>
                <w:szCs w:val="21"/>
              </w:rPr>
              <w:t>课堂教学实训</w:t>
            </w:r>
          </w:p>
        </w:tc>
        <w:tc>
          <w:tcPr>
            <w:tcW w:w="2159" w:type="dxa"/>
            <w:tcBorders>
              <w:top w:val="single" w:color="auto" w:sz="4" w:space="0"/>
              <w:left w:val="single" w:color="auto" w:sz="4" w:space="0"/>
              <w:bottom w:val="single" w:color="auto" w:sz="4" w:space="0"/>
              <w:right w:val="single" w:color="auto" w:sz="4" w:space="0"/>
            </w:tcBorders>
            <w:vAlign w:val="center"/>
          </w:tcPr>
          <w:p w14:paraId="5D845C0F">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6DC66ACA">
            <w:pPr>
              <w:widowControl/>
              <w:snapToGrid w:val="0"/>
              <w:spacing w:line="276" w:lineRule="auto"/>
              <w:jc w:val="center"/>
              <w:rPr>
                <w:rFonts w:ascii="宋体" w:hAnsi="宋体" w:eastAsia="宋体" w:cs="Times New Roman"/>
                <w:color w:val="000000"/>
                <w:kern w:val="0"/>
                <w:szCs w:val="21"/>
              </w:rPr>
            </w:pPr>
          </w:p>
        </w:tc>
      </w:tr>
      <w:tr w14:paraId="201DAA41">
        <w:tblPrEx>
          <w:tblCellMar>
            <w:top w:w="0" w:type="dxa"/>
            <w:left w:w="108" w:type="dxa"/>
            <w:bottom w:w="0" w:type="dxa"/>
            <w:right w:w="108" w:type="dxa"/>
          </w:tblCellMar>
        </w:tblPrEx>
        <w:trPr>
          <w:trHeight w:val="339" w:hRule="atLeast"/>
        </w:trPr>
        <w:tc>
          <w:tcPr>
            <w:tcW w:w="2122" w:type="dxa"/>
            <w:vMerge w:val="restart"/>
            <w:tcBorders>
              <w:top w:val="single" w:color="auto" w:sz="4" w:space="0"/>
              <w:left w:val="single" w:color="auto" w:sz="4" w:space="0"/>
              <w:bottom w:val="single" w:color="auto" w:sz="4" w:space="0"/>
              <w:right w:val="single" w:color="auto" w:sz="4" w:space="0"/>
            </w:tcBorders>
            <w:vAlign w:val="center"/>
          </w:tcPr>
          <w:p w14:paraId="020EAE6C">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1564A18D">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127" w:type="dxa"/>
            <w:tcBorders>
              <w:top w:val="single" w:color="auto" w:sz="4" w:space="0"/>
              <w:left w:val="single" w:color="auto" w:sz="4" w:space="0"/>
              <w:bottom w:val="single" w:color="auto" w:sz="4" w:space="0"/>
              <w:right w:val="single" w:color="auto" w:sz="4" w:space="0"/>
            </w:tcBorders>
            <w:vAlign w:val="center"/>
          </w:tcPr>
          <w:p w14:paraId="7CBF286B">
            <w:pPr>
              <w:snapToGrid w:val="0"/>
              <w:spacing w:line="276" w:lineRule="auto"/>
              <w:rPr>
                <w:rFonts w:ascii="宋体" w:hAnsi="宋体" w:eastAsia="宋体" w:cs="Times New Roman"/>
                <w:szCs w:val="21"/>
              </w:rPr>
            </w:pPr>
            <w:r>
              <w:rPr>
                <w:rFonts w:hint="eastAsia" w:ascii="宋体" w:hAnsi="宋体" w:eastAsia="宋体" w:cs="Times New Roman"/>
                <w:szCs w:val="21"/>
              </w:rPr>
              <w:t>教育实训态度</w:t>
            </w:r>
          </w:p>
        </w:tc>
        <w:tc>
          <w:tcPr>
            <w:tcW w:w="2159" w:type="dxa"/>
            <w:tcBorders>
              <w:top w:val="single" w:color="auto" w:sz="4" w:space="0"/>
              <w:left w:val="single" w:color="auto" w:sz="4" w:space="0"/>
              <w:bottom w:val="single" w:color="auto" w:sz="4" w:space="0"/>
              <w:right w:val="single" w:color="auto" w:sz="4" w:space="0"/>
            </w:tcBorders>
            <w:vAlign w:val="center"/>
          </w:tcPr>
          <w:p w14:paraId="1C8655C4">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14:paraId="0196FACD">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3A30AE1E">
        <w:tblPrEx>
          <w:tblCellMar>
            <w:top w:w="0" w:type="dxa"/>
            <w:left w:w="108" w:type="dxa"/>
            <w:bottom w:w="0" w:type="dxa"/>
            <w:right w:w="108" w:type="dxa"/>
          </w:tblCellMar>
        </w:tblPrEx>
        <w:trPr>
          <w:trHeight w:val="339" w:hRule="atLeast"/>
        </w:trPr>
        <w:tc>
          <w:tcPr>
            <w:tcW w:w="2122" w:type="dxa"/>
            <w:vMerge w:val="continue"/>
            <w:tcBorders>
              <w:top w:val="single" w:color="auto" w:sz="4" w:space="0"/>
              <w:left w:val="single" w:color="auto" w:sz="4" w:space="0"/>
              <w:bottom w:val="single" w:color="auto" w:sz="4" w:space="0"/>
              <w:right w:val="single" w:color="auto" w:sz="4" w:space="0"/>
            </w:tcBorders>
            <w:vAlign w:val="center"/>
          </w:tcPr>
          <w:p w14:paraId="63317B63">
            <w:pPr>
              <w:widowControl/>
              <w:snapToGrid w:val="0"/>
              <w:spacing w:line="276" w:lineRule="auto"/>
              <w:jc w:val="center"/>
              <w:rPr>
                <w:rFonts w:ascii="宋体" w:hAnsi="宋体" w:eastAsia="宋体" w:cs="Times New Roman"/>
                <w:color w:val="000000"/>
                <w:kern w:val="0"/>
                <w:szCs w:val="21"/>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0CA3C216">
            <w:pPr>
              <w:widowControl/>
              <w:snapToGrid w:val="0"/>
              <w:spacing w:line="276" w:lineRule="auto"/>
              <w:jc w:val="center"/>
              <w:rPr>
                <w:rFonts w:ascii="宋体" w:hAnsi="宋体" w:eastAsia="宋体" w:cs="Times New Roman"/>
                <w:color w:val="000000"/>
                <w:kern w:val="0"/>
                <w:szCs w:val="21"/>
              </w:rPr>
            </w:pPr>
          </w:p>
        </w:tc>
        <w:tc>
          <w:tcPr>
            <w:tcW w:w="2127" w:type="dxa"/>
            <w:tcBorders>
              <w:top w:val="single" w:color="auto" w:sz="4" w:space="0"/>
              <w:left w:val="single" w:color="auto" w:sz="4" w:space="0"/>
              <w:bottom w:val="single" w:color="auto" w:sz="4" w:space="0"/>
              <w:right w:val="single" w:color="auto" w:sz="4" w:space="0"/>
            </w:tcBorders>
            <w:vAlign w:val="center"/>
          </w:tcPr>
          <w:p w14:paraId="5A909165">
            <w:pPr>
              <w:snapToGrid w:val="0"/>
              <w:spacing w:line="276" w:lineRule="auto"/>
              <w:rPr>
                <w:rFonts w:ascii="宋体" w:hAnsi="宋体" w:eastAsia="宋体" w:cs="Times New Roman"/>
                <w:szCs w:val="21"/>
              </w:rPr>
            </w:pPr>
            <w:r>
              <w:rPr>
                <w:rFonts w:hint="eastAsia" w:ascii="宋体" w:hAnsi="宋体" w:eastAsia="宋体" w:cs="Times New Roman"/>
                <w:szCs w:val="21"/>
              </w:rPr>
              <w:t>教学实训成果汇报</w:t>
            </w:r>
          </w:p>
        </w:tc>
        <w:tc>
          <w:tcPr>
            <w:tcW w:w="2159" w:type="dxa"/>
            <w:tcBorders>
              <w:top w:val="single" w:color="auto" w:sz="4" w:space="0"/>
              <w:left w:val="single" w:color="auto" w:sz="4" w:space="0"/>
              <w:bottom w:val="single" w:color="auto" w:sz="4" w:space="0"/>
              <w:right w:val="single" w:color="auto" w:sz="4" w:space="0"/>
            </w:tcBorders>
            <w:vAlign w:val="center"/>
          </w:tcPr>
          <w:p w14:paraId="6577D72F">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70%</w:t>
            </w:r>
          </w:p>
        </w:tc>
        <w:tc>
          <w:tcPr>
            <w:tcW w:w="1233" w:type="dxa"/>
            <w:vMerge w:val="continue"/>
            <w:tcBorders>
              <w:top w:val="single" w:color="auto" w:sz="4" w:space="0"/>
              <w:left w:val="single" w:color="auto" w:sz="4" w:space="0"/>
              <w:bottom w:val="single" w:color="auto" w:sz="4" w:space="0"/>
              <w:right w:val="single" w:color="auto" w:sz="4" w:space="0"/>
            </w:tcBorders>
            <w:vAlign w:val="center"/>
          </w:tcPr>
          <w:p w14:paraId="1496954C">
            <w:pPr>
              <w:widowControl/>
              <w:snapToGrid w:val="0"/>
              <w:spacing w:line="276" w:lineRule="auto"/>
              <w:jc w:val="center"/>
              <w:rPr>
                <w:rFonts w:ascii="宋体" w:hAnsi="宋体" w:eastAsia="宋体" w:cs="Times New Roman"/>
                <w:color w:val="000000"/>
                <w:kern w:val="0"/>
                <w:szCs w:val="21"/>
              </w:rPr>
            </w:pPr>
          </w:p>
        </w:tc>
      </w:tr>
      <w:tr w14:paraId="21D60DE6">
        <w:tblPrEx>
          <w:tblCellMar>
            <w:top w:w="0" w:type="dxa"/>
            <w:left w:w="108" w:type="dxa"/>
            <w:bottom w:w="0" w:type="dxa"/>
            <w:right w:w="108" w:type="dxa"/>
          </w:tblCellMar>
        </w:tblPrEx>
        <w:trPr>
          <w:trHeight w:val="409" w:hRule="atLeast"/>
        </w:trPr>
        <w:tc>
          <w:tcPr>
            <w:tcW w:w="2122" w:type="dxa"/>
            <w:tcBorders>
              <w:top w:val="single" w:color="auto" w:sz="4" w:space="0"/>
              <w:left w:val="single" w:color="auto" w:sz="4" w:space="0"/>
              <w:bottom w:val="single" w:color="auto" w:sz="4" w:space="0"/>
              <w:right w:val="single" w:color="auto" w:sz="4" w:space="0"/>
            </w:tcBorders>
            <w:vAlign w:val="center"/>
          </w:tcPr>
          <w:p w14:paraId="63F955EE">
            <w:pPr>
              <w:widowControl/>
              <w:snapToGrid w:val="0"/>
              <w:spacing w:line="276" w:lineRule="auto"/>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275" w:type="dxa"/>
            <w:tcBorders>
              <w:top w:val="single" w:color="auto" w:sz="4" w:space="0"/>
              <w:left w:val="single" w:color="auto" w:sz="4" w:space="0"/>
              <w:bottom w:val="single" w:color="auto" w:sz="4" w:space="0"/>
              <w:right w:val="single" w:color="auto" w:sz="4" w:space="0"/>
            </w:tcBorders>
            <w:vAlign w:val="center"/>
          </w:tcPr>
          <w:p w14:paraId="6AEE6C74">
            <w:pPr>
              <w:widowControl/>
              <w:snapToGrid w:val="0"/>
              <w:spacing w:line="276" w:lineRule="auto"/>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c>
          <w:tcPr>
            <w:tcW w:w="5519" w:type="dxa"/>
            <w:gridSpan w:val="3"/>
            <w:tcBorders>
              <w:top w:val="single" w:color="auto" w:sz="4" w:space="0"/>
              <w:left w:val="single" w:color="auto" w:sz="4" w:space="0"/>
              <w:bottom w:val="single" w:color="auto" w:sz="4" w:space="0"/>
              <w:right w:val="single" w:color="auto" w:sz="4" w:space="0"/>
            </w:tcBorders>
            <w:vAlign w:val="center"/>
          </w:tcPr>
          <w:p w14:paraId="1AAD0D39">
            <w:pPr>
              <w:widowControl/>
              <w:snapToGrid w:val="0"/>
              <w:spacing w:line="276" w:lineRule="auto"/>
              <w:rPr>
                <w:rFonts w:ascii="宋体" w:hAnsi="宋体" w:eastAsia="宋体" w:cs="Times New Roman"/>
                <w:color w:val="000000"/>
                <w:kern w:val="0"/>
                <w:szCs w:val="21"/>
              </w:rPr>
            </w:pPr>
          </w:p>
        </w:tc>
      </w:tr>
    </w:tbl>
    <w:p w14:paraId="2C7F1619">
      <w:pPr>
        <w:snapToGrid w:val="0"/>
        <w:spacing w:line="360" w:lineRule="auto"/>
        <w:rPr>
          <w:rFonts w:ascii="宋体" w:hAnsi="宋体" w:eastAsia="宋体" w:cs="Times New Roman"/>
          <w:color w:val="000000"/>
          <w:sz w:val="24"/>
          <w:szCs w:val="24"/>
        </w:rPr>
      </w:pPr>
    </w:p>
    <w:p w14:paraId="29BD4679">
      <w:pPr>
        <w:snapToGrid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，否则总评成绩不及格，需要重修。课程目标总体达成度计算方法如下：</w:t>
      </w:r>
    </w:p>
    <w:p w14:paraId="0132767E">
      <w:pPr>
        <w:snapToGrid w:val="0"/>
        <w:spacing w:line="360" w:lineRule="auto"/>
        <w:rPr>
          <w:rFonts w:ascii="宋体" w:hAnsi="宋体" w:eastAsia="宋体" w:cs="Times New Roman"/>
          <w:color w:val="000000"/>
          <w:sz w:val="24"/>
          <w:szCs w:val="24"/>
        </w:rPr>
      </w:pPr>
      <w:r>
        <w:rPr>
          <w:rFonts w:ascii="Times New Roman" w:hAnsi="Times New Roman" w:eastAsia="等线" w:cs="Times New Roman"/>
          <w:position w:val="-26"/>
          <w:sz w:val="24"/>
          <w:szCs w:val="24"/>
        </w:rPr>
        <w:object>
          <v:shape id="_x0000_i1039" o:spt="75" type="#_x0000_t75" style="height:25.1pt;width:406.05pt;" o:ole="t" filled="f" o:preferrelative="t" stroked="f" coordsize="21600,21600">
            <v:path/>
            <v:fill on="f" focussize="0,0"/>
            <v:stroke on="f" joinstyle="miter"/>
            <v:imagedata r:id="rId7" o:title=""/>
            <o:lock v:ext="edit" aspectratio="t"/>
            <w10:wrap type="none"/>
            <w10:anchorlock/>
          </v:shape>
          <o:OLEObject Type="Embed" ProgID="Equation.3" ShapeID="_x0000_i1039" DrawAspect="Content" ObjectID="_1468075738" r:id="rId21">
            <o:LockedField>false</o:LockedField>
          </o:OLEObject>
        </w:object>
      </w:r>
    </w:p>
    <w:p w14:paraId="11444825">
      <w:pPr>
        <w:snapToGrid w:val="0"/>
        <w:spacing w:line="360" w:lineRule="auto"/>
        <w:ind w:firstLine="482" w:firstLineChars="200"/>
        <w:rPr>
          <w:rFonts w:ascii="宋体" w:hAnsi="宋体" w:eastAsia="宋体" w:cs="Times New Roman"/>
          <w:b/>
          <w:sz w:val="24"/>
          <w:szCs w:val="24"/>
        </w:rPr>
      </w:pPr>
      <w:r>
        <w:rPr>
          <w:rFonts w:hint="eastAsia" w:ascii="宋体" w:hAnsi="宋体" w:eastAsia="宋体" w:cs="Times New Roman"/>
          <w:b/>
          <w:color w:val="000000"/>
          <w:sz w:val="24"/>
          <w:szCs w:val="24"/>
        </w:rPr>
        <w:t>六、课程参考书</w:t>
      </w:r>
    </w:p>
    <w:p w14:paraId="70141407">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1．相关学科课程标准</w:t>
      </w:r>
    </w:p>
    <w:p w14:paraId="5DE203E3">
      <w:pPr>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2．相关学科小学各年级教材。</w:t>
      </w:r>
    </w:p>
    <w:p w14:paraId="43E962CA">
      <w:pPr>
        <w:snapToGrid w:val="0"/>
        <w:spacing w:line="360" w:lineRule="auto"/>
        <w:rPr>
          <w:rFonts w:ascii="宋体" w:hAnsi="宋体" w:eastAsia="宋体" w:cs="Times New Roman"/>
          <w:color w:val="000000"/>
          <w:sz w:val="24"/>
          <w:szCs w:val="24"/>
        </w:rPr>
      </w:pPr>
    </w:p>
    <w:p w14:paraId="5E794795">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执笔人：谢国忠</w:t>
      </w:r>
      <w:r>
        <w:rPr>
          <w:rFonts w:ascii="宋体" w:hAnsi="宋体" w:eastAsia="宋体" w:cs="Times New Roman"/>
          <w:color w:val="000000"/>
          <w:sz w:val="24"/>
          <w:szCs w:val="24"/>
        </w:rPr>
        <w:t xml:space="preserve"> </w:t>
      </w:r>
    </w:p>
    <w:p w14:paraId="55456091">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审定人：王  健</w:t>
      </w:r>
      <w:r>
        <w:rPr>
          <w:rFonts w:ascii="宋体" w:hAnsi="宋体" w:eastAsia="宋体" w:cs="Times New Roman"/>
          <w:color w:val="000000"/>
          <w:sz w:val="24"/>
          <w:szCs w:val="24"/>
        </w:rPr>
        <w:t xml:space="preserve"> </w:t>
      </w:r>
    </w:p>
    <w:p w14:paraId="729ED0B2">
      <w:pPr>
        <w:snapToGrid w:val="0"/>
        <w:spacing w:line="36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审批人：张志欣</w:t>
      </w:r>
    </w:p>
    <w:p w14:paraId="071368B3">
      <w:pPr>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年8月30日</w:t>
      </w:r>
    </w:p>
    <w:p w14:paraId="3F8E4944">
      <w:pPr>
        <w:rPr>
          <w:rFonts w:ascii="宋体" w:hAnsi="宋体" w:eastAsia="宋体" w:cs="Times New Roman"/>
          <w:color w:val="000000"/>
          <w:sz w:val="24"/>
          <w:szCs w:val="24"/>
        </w:rPr>
      </w:pPr>
    </w:p>
    <w:p w14:paraId="739A96DB">
      <w:pPr>
        <w:rPr>
          <w:rFonts w:ascii="宋体" w:hAnsi="宋体" w:eastAsia="宋体" w:cs="Times New Roman"/>
          <w:color w:val="000000"/>
          <w:sz w:val="24"/>
          <w:szCs w:val="24"/>
        </w:rPr>
      </w:pPr>
    </w:p>
    <w:p w14:paraId="4264A4D8">
      <w:pPr>
        <w:rPr>
          <w:rFonts w:ascii="宋体" w:hAnsi="宋体" w:eastAsia="宋体" w:cs="Times New Roman"/>
          <w:color w:val="000000"/>
          <w:sz w:val="24"/>
          <w:szCs w:val="24"/>
        </w:rPr>
      </w:pPr>
    </w:p>
    <w:p w14:paraId="44137985">
      <w:pPr>
        <w:rPr>
          <w:rFonts w:ascii="宋体" w:hAnsi="宋体" w:eastAsia="宋体" w:cs="Times New Roman"/>
          <w:color w:val="000000"/>
          <w:sz w:val="24"/>
          <w:szCs w:val="24"/>
        </w:rPr>
      </w:pPr>
      <w:r>
        <w:rPr>
          <w:rFonts w:ascii="宋体" w:hAnsi="宋体" w:eastAsia="宋体" w:cs="Times New Roman"/>
          <w:color w:val="000000"/>
          <w:sz w:val="24"/>
          <w:szCs w:val="24"/>
        </w:rPr>
        <w:br w:type="page"/>
      </w:r>
    </w:p>
    <w:p w14:paraId="4934B803">
      <w:pPr>
        <w:rPr>
          <w:rFonts w:ascii="宋体" w:hAnsi="宋体" w:eastAsia="宋体" w:cs="Times New Roman"/>
          <w:color w:val="000000"/>
          <w:sz w:val="24"/>
          <w:szCs w:val="24"/>
        </w:rPr>
      </w:pPr>
    </w:p>
    <w:p w14:paraId="52865CEF">
      <w:pPr>
        <w:spacing w:line="360" w:lineRule="auto"/>
        <w:jc w:val="center"/>
        <w:outlineLvl w:val="0"/>
        <w:rPr>
          <w:rFonts w:ascii="Times New Roman" w:hAnsi="Times New Roman" w:eastAsia="宋体" w:cs="Times New Roman"/>
          <w:b/>
          <w:bCs/>
          <w:sz w:val="30"/>
          <w:szCs w:val="24"/>
        </w:rPr>
      </w:pPr>
      <w:bookmarkStart w:id="331" w:name="_Toc166165239"/>
      <w:r>
        <w:rPr>
          <w:rFonts w:hint="eastAsia" w:ascii="Times New Roman" w:hAnsi="Times New Roman" w:eastAsia="宋体" w:cs="Times New Roman"/>
          <w:b/>
          <w:bCs/>
          <w:sz w:val="30"/>
          <w:szCs w:val="24"/>
        </w:rPr>
        <w:t>教育研习课程</w:t>
      </w:r>
      <w:r>
        <w:rPr>
          <w:rFonts w:ascii="Times New Roman" w:hAnsi="Times New Roman" w:eastAsia="宋体" w:cs="Times New Roman"/>
          <w:b/>
          <w:bCs/>
          <w:sz w:val="30"/>
          <w:szCs w:val="24"/>
        </w:rPr>
        <w:t>教学大纲</w:t>
      </w:r>
      <w:bookmarkEnd w:id="331"/>
    </w:p>
    <w:p w14:paraId="43AEF58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ascii="Times New Roman" w:hAnsi="Times New Roman" w:eastAsia="黑体" w:cs="Times New Roman"/>
          <w:b/>
          <w:bCs/>
          <w:sz w:val="28"/>
          <w:szCs w:val="28"/>
        </w:rPr>
        <w:t>Research in Education</w:t>
      </w:r>
      <w:r>
        <w:rPr>
          <w:rFonts w:ascii="Times New Roman" w:hAnsi="Times New Roman" w:eastAsia="宋体" w:cs="Times New Roman"/>
          <w:b/>
          <w:bCs/>
          <w:sz w:val="28"/>
          <w:szCs w:val="28"/>
        </w:rPr>
        <w:t>）</w:t>
      </w:r>
    </w:p>
    <w:p w14:paraId="5928951F">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471E0AAE">
      <w:pPr>
        <w:spacing w:line="360" w:lineRule="auto"/>
        <w:ind w:firstLine="482" w:firstLineChars="200"/>
        <w:rPr>
          <w:rFonts w:ascii="宋体" w:hAnsi="Times New Roman" w:eastAsia="宋体" w:cs="Times New Roman"/>
          <w:b/>
          <w:sz w:val="24"/>
          <w:szCs w:val="24"/>
        </w:rPr>
      </w:pPr>
      <w:r>
        <w:rPr>
          <w:rFonts w:hint="eastAsia" w:ascii="宋体" w:hAnsi="宋体" w:eastAsia="宋体" w:cs="Times New Roman"/>
          <w:b/>
          <w:bCs/>
          <w:kern w:val="0"/>
          <w:sz w:val="24"/>
          <w:szCs w:val="24"/>
        </w:rPr>
        <w:t>课程代码</w:t>
      </w:r>
      <w:r>
        <w:rPr>
          <w:rFonts w:hint="eastAsia" w:ascii="宋体" w:hAnsi="宋体" w:eastAsia="宋体" w:cs="Times New Roman"/>
          <w:b/>
          <w:kern w:val="0"/>
          <w:sz w:val="24"/>
          <w:szCs w:val="24"/>
        </w:rPr>
        <w:t>：24010</w:t>
      </w:r>
      <w:r>
        <w:rPr>
          <w:rFonts w:ascii="宋体" w:hAnsi="宋体" w:eastAsia="宋体" w:cs="Times New Roman"/>
          <w:b/>
          <w:kern w:val="0"/>
          <w:sz w:val="24"/>
          <w:szCs w:val="24"/>
        </w:rPr>
        <w:t>68</w:t>
      </w:r>
    </w:p>
    <w:p w14:paraId="49D7ADCA">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color w:val="000000"/>
          <w:kern w:val="0"/>
          <w:sz w:val="24"/>
          <w:szCs w:val="24"/>
        </w:rPr>
        <w:t>1</w:t>
      </w:r>
    </w:p>
    <w:p w14:paraId="01C02651">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时：2周</w:t>
      </w:r>
    </w:p>
    <w:p w14:paraId="3AAC8F58">
      <w:pPr>
        <w:spacing w:line="360" w:lineRule="auto"/>
        <w:ind w:firstLine="482" w:firstLineChars="200"/>
        <w:rPr>
          <w:rFonts w:ascii="宋体" w:hAnsi="Times New Roman" w:eastAsia="宋体" w:cs="Times New Roman"/>
          <w:color w:val="000000"/>
          <w:sz w:val="24"/>
          <w:szCs w:val="24"/>
        </w:rPr>
      </w:pPr>
      <w:r>
        <w:rPr>
          <w:rFonts w:hint="eastAsia" w:ascii="宋体" w:hAnsi="宋体" w:eastAsia="宋体" w:cs="Times New Roman"/>
          <w:b/>
          <w:bCs/>
          <w:color w:val="000000"/>
          <w:kern w:val="0"/>
          <w:sz w:val="24"/>
          <w:szCs w:val="24"/>
        </w:rPr>
        <w:t>先修课程：</w:t>
      </w:r>
      <w:r>
        <w:rPr>
          <w:rFonts w:ascii="宋体" w:hAnsi="宋体" w:eastAsia="宋体" w:cs="Times New Roman"/>
          <w:color w:val="000000"/>
          <w:kern w:val="0"/>
          <w:sz w:val="24"/>
          <w:szCs w:val="24"/>
        </w:rPr>
        <w:t>现代教育技术、教育哲学、教育社会学，以及部分数学/中文类课程</w:t>
      </w:r>
      <w:r>
        <w:rPr>
          <w:rFonts w:hint="eastAsia" w:ascii="宋体" w:hAnsi="宋体" w:eastAsia="宋体" w:cs="Times New Roman"/>
          <w:color w:val="000000"/>
          <w:kern w:val="0"/>
          <w:sz w:val="24"/>
          <w:szCs w:val="24"/>
        </w:rPr>
        <w:t>、教育见习Ⅰ、教育见习Ⅱ、教学实训等。</w:t>
      </w:r>
    </w:p>
    <w:p w14:paraId="6A323029">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651B8585">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见习手册（自编）</w:t>
      </w:r>
    </w:p>
    <w:p w14:paraId="3BC60E8A">
      <w:pPr>
        <w:spacing w:line="360" w:lineRule="auto"/>
        <w:ind w:firstLine="482" w:firstLineChars="200"/>
        <w:rPr>
          <w:rFonts w:ascii="宋体" w:hAnsi="Times New Roman"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3130C6CC">
      <w:pPr>
        <w:spacing w:line="360" w:lineRule="auto"/>
        <w:ind w:firstLine="482" w:firstLineChars="200"/>
        <w:rPr>
          <w:rFonts w:ascii="华文楷体" w:hAnsi="华文楷体" w:eastAsia="华文楷体" w:cs="宋体"/>
          <w:color w:val="000000" w:themeColor="text1"/>
          <w:kern w:val="0"/>
          <w:sz w:val="20"/>
          <w:szCs w:val="20"/>
          <w14:textFill>
            <w14:solidFill>
              <w14:schemeClr w14:val="tx1"/>
            </w14:solidFill>
          </w14:textFill>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themeColor="text1"/>
          <w:kern w:val="0"/>
          <w:sz w:val="24"/>
          <w:szCs w:val="24"/>
          <w14:textFill>
            <w14:solidFill>
              <w14:schemeClr w14:val="tx1"/>
            </w14:solidFill>
          </w14:textFill>
        </w:rPr>
        <w:t>教育研习是小学教育专业重要的实践性环节。本课程的任务和目的是使学生全面获得教育教学体验，对教师职</w:t>
      </w:r>
      <w:r>
        <w:rPr>
          <w:rFonts w:ascii="宋体" w:hAnsi="宋体" w:eastAsia="宋体" w:cs="Times New Roman"/>
          <w:color w:val="000000" w:themeColor="text1"/>
          <w:kern w:val="0"/>
          <w:sz w:val="24"/>
          <w:szCs w:val="24"/>
          <w14:textFill>
            <w14:solidFill>
              <w14:schemeClr w14:val="tx1"/>
            </w14:solidFill>
          </w14:textFill>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hint="eastAsia" w:ascii="宋体" w:hAnsi="宋体" w:eastAsia="宋体" w:cs="Times New Roman"/>
          <w:color w:val="000000" w:themeColor="text1"/>
          <w:kern w:val="0"/>
          <w:sz w:val="24"/>
          <w:szCs w:val="24"/>
          <w14:textFill>
            <w14:solidFill>
              <w14:schemeClr w14:val="tx1"/>
            </w14:solidFill>
          </w14:textFill>
        </w:rPr>
        <w:t>建立正确的教学评价观、团队协作观，坚持综合育人、全面发展的教育理念。</w:t>
      </w:r>
    </w:p>
    <w:p w14:paraId="6CF38B54">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二、课程目标</w:t>
      </w:r>
    </w:p>
    <w:p w14:paraId="7EF2CA10">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 xml:space="preserve">1. </w:t>
      </w:r>
      <w:r>
        <w:rPr>
          <w:rFonts w:hint="eastAsia" w:ascii="宋体" w:hAnsi="宋体" w:eastAsia="宋体" w:cs="Times New Roman"/>
          <w:color w:val="000000" w:themeColor="text1"/>
          <w:sz w:val="24"/>
          <w:szCs w:val="24"/>
          <w14:textFill>
            <w14:solidFill>
              <w14:schemeClr w14:val="tx1"/>
            </w14:solidFill>
          </w14:textFill>
        </w:rPr>
        <w:t>通过教育研习，初步掌握反思方法与技能，具有一定创新意识，能够运用批判性思维方法</w:t>
      </w:r>
      <w:r>
        <w:rPr>
          <w:rFonts w:ascii="宋体" w:hAnsi="宋体" w:eastAsia="宋体" w:cs="Times New Roman"/>
          <w:color w:val="000000" w:themeColor="text1"/>
          <w:sz w:val="24"/>
          <w:szCs w:val="24"/>
          <w14:textFill>
            <w14:solidFill>
              <w14:schemeClr w14:val="tx1"/>
            </w14:solidFill>
          </w14:textFill>
        </w:rPr>
        <w:t>发现、分析和解决教育</w:t>
      </w:r>
      <w:r>
        <w:rPr>
          <w:rFonts w:hint="eastAsia" w:ascii="宋体" w:hAnsi="宋体" w:eastAsia="宋体" w:cs="Times New Roman"/>
          <w:color w:val="000000" w:themeColor="text1"/>
          <w:sz w:val="24"/>
          <w:szCs w:val="24"/>
          <w14:textFill>
            <w14:solidFill>
              <w14:schemeClr w14:val="tx1"/>
            </w14:solidFill>
          </w14:textFill>
        </w:rPr>
        <w:t>学习和</w:t>
      </w:r>
      <w:r>
        <w:rPr>
          <w:rFonts w:ascii="宋体" w:hAnsi="宋体" w:eastAsia="宋体" w:cs="Times New Roman"/>
          <w:color w:val="000000" w:themeColor="text1"/>
          <w:sz w:val="24"/>
          <w:szCs w:val="24"/>
          <w14:textFill>
            <w14:solidFill>
              <w14:schemeClr w14:val="tx1"/>
            </w14:solidFill>
          </w14:textFill>
        </w:rPr>
        <w:t>见习过程中小学教育教学中存在的实际问题。</w:t>
      </w:r>
    </w:p>
    <w:p w14:paraId="638E2007">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2.</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通过现场评课学会运用教育科研的基本方法，去分析和解决小学教育教学中出现的各种现实问题，掌握学科教学必备的知识与技能，在教材研读和教学设计上具备基本能力，乐于钻研教育教学问题。</w:t>
      </w:r>
    </w:p>
    <w:p w14:paraId="7235EA12">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3.</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课堂教学和班队工作研习，使学生加深理解和综合运用所学的文化科学知识、教育理论知识和技能，初步掌握科学的教育教学方法和小学班队组织与建设的工作规律与方法，培养从事教学教育教学工作和班队建设与管理的能力。</w:t>
      </w:r>
    </w:p>
    <w:p w14:paraId="7836CFFC">
      <w:pPr>
        <w:spacing w:line="360" w:lineRule="auto"/>
        <w:ind w:firstLine="480" w:firstLineChars="200"/>
        <w:jc w:val="left"/>
        <w:rPr>
          <w:rFonts w:ascii="宋体" w:hAnsi="宋体" w:eastAsia="宋体" w:cs="Times New Roman"/>
          <w:b/>
          <w:bCs/>
          <w:color w:val="000000"/>
          <w:sz w:val="24"/>
          <w:szCs w:val="24"/>
        </w:rPr>
      </w:pPr>
      <w:r>
        <w:rPr>
          <w:rFonts w:hint="eastAsia" w:ascii="宋体" w:hAnsi="宋体" w:eastAsia="宋体" w:cs="Times New Roman"/>
          <w:color w:val="000000" w:themeColor="text1"/>
          <w:sz w:val="24"/>
          <w:szCs w:val="24"/>
          <w14:textFill>
            <w14:solidFill>
              <w14:schemeClr w14:val="tx1"/>
            </w14:solidFill>
          </w14:textFill>
        </w:rPr>
        <w:t>目标</w:t>
      </w:r>
      <w:r>
        <w:rPr>
          <w:rFonts w:ascii="宋体" w:hAnsi="宋体" w:eastAsia="宋体" w:cs="Times New Roman"/>
          <w:color w:val="000000" w:themeColor="text1"/>
          <w:sz w:val="24"/>
          <w:szCs w:val="24"/>
          <w14:textFill>
            <w14:solidFill>
              <w14:schemeClr w14:val="tx1"/>
            </w14:solidFill>
          </w14:textFill>
        </w:rPr>
        <w:t>4.</w:t>
      </w:r>
      <w:r>
        <w:rPr>
          <w:rFonts w:hint="eastAsia"/>
        </w:rPr>
        <w:t xml:space="preserve"> </w:t>
      </w:r>
      <w:r>
        <w:rPr>
          <w:rFonts w:hint="eastAsia" w:ascii="宋体" w:hAnsi="宋体" w:eastAsia="宋体" w:cs="Times New Roman"/>
          <w:color w:val="000000" w:themeColor="text1"/>
          <w:sz w:val="24"/>
          <w:szCs w:val="24"/>
          <w14:textFill>
            <w14:solidFill>
              <w14:schemeClr w14:val="tx1"/>
            </w14:solidFill>
          </w14:textFill>
        </w:rPr>
        <w:t>通过教育研习</w:t>
      </w:r>
      <w:r>
        <w:rPr>
          <w:rFonts w:ascii="宋体" w:hAnsi="宋体" w:eastAsia="宋体" w:cs="Times New Roman"/>
          <w:color w:val="000000" w:themeColor="text1"/>
          <w:sz w:val="24"/>
          <w:szCs w:val="24"/>
          <w14:textFill>
            <w14:solidFill>
              <w14:schemeClr w14:val="tx1"/>
            </w14:solidFill>
          </w14:textFill>
        </w:rPr>
        <w:t>，使学生初步掌握小学教育工作规律，了解当前小学教育、教学改革动态，为今后投身教育改革和教育科研工作，提高教育教学质量打下基础。</w:t>
      </w:r>
    </w:p>
    <w:p w14:paraId="5C8E5E38">
      <w:pPr>
        <w:spacing w:line="360" w:lineRule="auto"/>
        <w:ind w:firstLine="482" w:firstLineChars="200"/>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7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2"/>
        <w:gridCol w:w="1450"/>
        <w:gridCol w:w="7111"/>
      </w:tblGrid>
      <w:tr w14:paraId="75F26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3" w:hRule="atLeast"/>
          <w:tblHeader/>
          <w:jc w:val="center"/>
        </w:trPr>
        <w:tc>
          <w:tcPr>
            <w:tcW w:w="660" w:type="pct"/>
            <w:tcBorders>
              <w:top w:val="single" w:color="000000" w:sz="8" w:space="0"/>
            </w:tcBorders>
            <w:vAlign w:val="center"/>
          </w:tcPr>
          <w:p w14:paraId="4B2A0C3E">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735" w:type="pct"/>
            <w:tcBorders>
              <w:top w:val="single" w:color="000000" w:sz="8" w:space="0"/>
            </w:tcBorders>
            <w:vAlign w:val="center"/>
          </w:tcPr>
          <w:p w14:paraId="4D42E938">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605" w:type="pct"/>
            <w:tcBorders>
              <w:top w:val="single" w:color="000000" w:sz="8" w:space="0"/>
              <w:right w:val="single" w:color="000000" w:sz="8" w:space="0"/>
            </w:tcBorders>
            <w:vAlign w:val="center"/>
          </w:tcPr>
          <w:p w14:paraId="517807E9">
            <w:pPr>
              <w:widowControl/>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27FFEF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60" w:type="pct"/>
            <w:vMerge w:val="restart"/>
            <w:vAlign w:val="center"/>
          </w:tcPr>
          <w:p w14:paraId="230A33CB">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735" w:type="pct"/>
            <w:vMerge w:val="restart"/>
            <w:vAlign w:val="center"/>
          </w:tcPr>
          <w:p w14:paraId="352788D0">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1.</w:t>
            </w:r>
          </w:p>
          <w:p w14:paraId="61BA7D8A">
            <w:pPr>
              <w:rPr>
                <w:rFonts w:ascii="宋体" w:hAnsi="宋体" w:eastAsia="宋体" w:cs="Times New Roman"/>
                <w:color w:val="000000"/>
                <w:kern w:val="0"/>
                <w:szCs w:val="21"/>
              </w:rPr>
            </w:pPr>
            <w:r>
              <w:rPr>
                <w:rFonts w:hint="eastAsia" w:ascii="宋体" w:hAnsi="宋体" w:eastAsia="宋体" w:cs="Times New Roman"/>
                <w:color w:val="000000"/>
                <w:kern w:val="0"/>
                <w:szCs w:val="21"/>
              </w:rPr>
              <w:t>师德规范</w:t>
            </w:r>
          </w:p>
        </w:tc>
        <w:tc>
          <w:tcPr>
            <w:tcW w:w="3605" w:type="pct"/>
            <w:tcBorders>
              <w:right w:val="single" w:color="000000" w:sz="8" w:space="0"/>
            </w:tcBorders>
            <w:vAlign w:val="center"/>
          </w:tcPr>
          <w:p w14:paraId="69AF9C3A">
            <w:pPr>
              <w:jc w:val="left"/>
              <w:rPr>
                <w:rFonts w:ascii="宋体" w:hAnsi="宋体" w:eastAsia="宋体" w:cs="Times New Roman"/>
                <w:color w:val="000000"/>
                <w:szCs w:val="21"/>
              </w:rPr>
            </w:pPr>
            <w:r>
              <w:rPr>
                <w:rFonts w:ascii="宋体" w:hAnsi="宋体" w:eastAsia="宋体"/>
                <w:szCs w:val="21"/>
              </w:rPr>
              <w:t>1-1：</w:t>
            </w:r>
            <w:r>
              <w:rPr>
                <w:rFonts w:hint="eastAsia" w:ascii="宋体" w:hAnsi="宋体" w:eastAsia="宋体"/>
                <w:szCs w:val="21"/>
              </w:rPr>
              <w:t>【理想信念坚定】</w:t>
            </w:r>
            <w:r>
              <w:rPr>
                <w:rFonts w:hint="eastAsia" w:ascii="宋体" w:hAnsi="宋体" w:eastAsia="宋体"/>
                <w:szCs w:val="23"/>
              </w:rPr>
              <w:t>认同中国特色社会主义，贯彻党的教育方针，自觉践行社会主义核心价值观，树立职业理想，立志成为有理想信念、有道德情操、有扎实学识、有仁爱之心的好教师。</w:t>
            </w:r>
          </w:p>
        </w:tc>
      </w:tr>
      <w:tr w14:paraId="1760BE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60" w:type="pct"/>
            <w:vMerge w:val="continue"/>
            <w:vAlign w:val="center"/>
          </w:tcPr>
          <w:p w14:paraId="4D0669A3">
            <w:pPr>
              <w:jc w:val="center"/>
              <w:rPr>
                <w:rFonts w:ascii="宋体" w:hAnsi="宋体" w:eastAsia="宋体" w:cs="Times New Roman"/>
                <w:color w:val="000000"/>
                <w:szCs w:val="21"/>
              </w:rPr>
            </w:pPr>
          </w:p>
        </w:tc>
        <w:tc>
          <w:tcPr>
            <w:tcW w:w="735" w:type="pct"/>
            <w:vMerge w:val="continue"/>
            <w:vAlign w:val="center"/>
          </w:tcPr>
          <w:p w14:paraId="2015E9A2">
            <w:pPr>
              <w:rPr>
                <w:rFonts w:ascii="宋体" w:hAnsi="宋体" w:eastAsia="宋体" w:cs="Times New Roman"/>
                <w:color w:val="000000"/>
                <w:kern w:val="0"/>
                <w:szCs w:val="21"/>
              </w:rPr>
            </w:pPr>
          </w:p>
        </w:tc>
        <w:tc>
          <w:tcPr>
            <w:tcW w:w="3605" w:type="pct"/>
            <w:tcBorders>
              <w:right w:val="single" w:color="000000" w:sz="8" w:space="0"/>
            </w:tcBorders>
            <w:vAlign w:val="center"/>
          </w:tcPr>
          <w:p w14:paraId="23D034C3">
            <w:pPr>
              <w:jc w:val="left"/>
              <w:rPr>
                <w:rFonts w:ascii="宋体" w:hAnsi="宋体" w:eastAsia="宋体" w:cs="Times New Roman"/>
                <w:color w:val="000000"/>
                <w:kern w:val="0"/>
                <w:szCs w:val="21"/>
              </w:rPr>
            </w:pPr>
            <w:r>
              <w:rPr>
                <w:rFonts w:ascii="宋体" w:hAnsi="宋体" w:eastAsia="宋体"/>
                <w:szCs w:val="21"/>
              </w:rPr>
              <w:t>1-2：</w:t>
            </w:r>
            <w:r>
              <w:rPr>
                <w:rFonts w:hint="eastAsia" w:ascii="宋体" w:hAnsi="宋体" w:eastAsia="宋体"/>
                <w:szCs w:val="21"/>
              </w:rPr>
              <w:t>【职业修养良好】</w:t>
            </w:r>
            <w:r>
              <w:rPr>
                <w:rFonts w:hint="eastAsia" w:ascii="宋体" w:hAnsi="宋体" w:eastAsia="宋体"/>
                <w:szCs w:val="23"/>
              </w:rPr>
              <w:t>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r>
      <w:tr w14:paraId="00BEA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jc w:val="center"/>
        </w:trPr>
        <w:tc>
          <w:tcPr>
            <w:tcW w:w="660" w:type="pct"/>
            <w:vMerge w:val="continue"/>
            <w:vAlign w:val="center"/>
          </w:tcPr>
          <w:p w14:paraId="0A52C247">
            <w:pPr>
              <w:widowControl/>
              <w:jc w:val="center"/>
              <w:rPr>
                <w:rFonts w:ascii="宋体" w:hAnsi="宋体" w:eastAsia="宋体" w:cs="Times New Roman"/>
                <w:color w:val="000000"/>
                <w:szCs w:val="21"/>
              </w:rPr>
            </w:pPr>
          </w:p>
        </w:tc>
        <w:tc>
          <w:tcPr>
            <w:tcW w:w="735" w:type="pct"/>
            <w:vMerge w:val="restart"/>
            <w:vAlign w:val="center"/>
          </w:tcPr>
          <w:p w14:paraId="068E0371">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2.</w:t>
            </w:r>
          </w:p>
          <w:p w14:paraId="5B1953A9">
            <w:pPr>
              <w:rPr>
                <w:rFonts w:ascii="宋体" w:hAnsi="宋体" w:eastAsia="宋体" w:cs="Times New Roman"/>
                <w:color w:val="000000"/>
                <w:kern w:val="0"/>
                <w:szCs w:val="21"/>
              </w:rPr>
            </w:pPr>
            <w:r>
              <w:rPr>
                <w:rFonts w:hint="eastAsia" w:ascii="宋体" w:hAnsi="宋体" w:eastAsia="宋体" w:cs="Times New Roman"/>
                <w:color w:val="000000"/>
                <w:kern w:val="0"/>
                <w:szCs w:val="21"/>
              </w:rPr>
              <w:t>教育情怀</w:t>
            </w:r>
          </w:p>
        </w:tc>
        <w:tc>
          <w:tcPr>
            <w:tcW w:w="3605" w:type="pct"/>
            <w:tcBorders>
              <w:right w:val="single" w:color="000000" w:sz="8" w:space="0"/>
            </w:tcBorders>
            <w:vAlign w:val="center"/>
          </w:tcPr>
          <w:p w14:paraId="2F4B8081">
            <w:pPr>
              <w:widowControl/>
              <w:jc w:val="left"/>
              <w:rPr>
                <w:rFonts w:ascii="宋体" w:hAnsi="宋体" w:eastAsia="宋体" w:cs="Times New Roman"/>
                <w:color w:val="000000"/>
                <w:kern w:val="0"/>
                <w:szCs w:val="21"/>
              </w:rPr>
            </w:pPr>
            <w:r>
              <w:rPr>
                <w:rFonts w:ascii="宋体" w:hAnsi="宋体" w:eastAsia="宋体"/>
                <w:szCs w:val="21"/>
              </w:rPr>
              <w:t>2-1：</w:t>
            </w:r>
            <w:r>
              <w:rPr>
                <w:rFonts w:hint="eastAsia" w:ascii="宋体" w:hAnsi="宋体" w:eastAsia="宋体"/>
                <w:szCs w:val="21"/>
              </w:rPr>
              <w:t>【职业认同感强】</w:t>
            </w:r>
            <w:r>
              <w:rPr>
                <w:rFonts w:hint="eastAsia" w:ascii="宋体" w:hAnsi="宋体" w:eastAsia="宋体"/>
                <w:szCs w:val="23"/>
              </w:rPr>
              <w:t>具有家国情怀，乐于从教，热爱教育事业，</w:t>
            </w:r>
            <w:r>
              <w:rPr>
                <w:rFonts w:ascii="宋体" w:hAnsi="宋体" w:eastAsia="宋体"/>
                <w:szCs w:val="23"/>
              </w:rPr>
              <w:t>具有较高的教师职业认同感，认同教师职业的专业性与意义性</w:t>
            </w:r>
            <w:r>
              <w:rPr>
                <w:rFonts w:hint="eastAsia" w:ascii="宋体" w:hAnsi="宋体" w:eastAsia="宋体"/>
                <w:szCs w:val="23"/>
              </w:rPr>
              <w:t>。</w:t>
            </w:r>
          </w:p>
        </w:tc>
      </w:tr>
      <w:tr w14:paraId="201796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660" w:type="pct"/>
            <w:vMerge w:val="continue"/>
            <w:vAlign w:val="center"/>
          </w:tcPr>
          <w:p w14:paraId="651571EA">
            <w:pPr>
              <w:widowControl/>
              <w:jc w:val="center"/>
              <w:rPr>
                <w:rFonts w:ascii="宋体" w:hAnsi="宋体" w:eastAsia="宋体" w:cs="Times New Roman"/>
                <w:color w:val="000000"/>
                <w:szCs w:val="21"/>
              </w:rPr>
            </w:pPr>
          </w:p>
        </w:tc>
        <w:tc>
          <w:tcPr>
            <w:tcW w:w="735" w:type="pct"/>
            <w:vMerge w:val="continue"/>
            <w:vAlign w:val="center"/>
          </w:tcPr>
          <w:p w14:paraId="586012E6">
            <w:pPr>
              <w:rPr>
                <w:rFonts w:ascii="宋体" w:hAnsi="宋体" w:eastAsia="宋体" w:cs="Times New Roman"/>
                <w:color w:val="000000"/>
                <w:kern w:val="0"/>
                <w:szCs w:val="21"/>
              </w:rPr>
            </w:pPr>
          </w:p>
        </w:tc>
        <w:tc>
          <w:tcPr>
            <w:tcW w:w="3605" w:type="pct"/>
            <w:tcBorders>
              <w:right w:val="single" w:color="000000" w:sz="8" w:space="0"/>
            </w:tcBorders>
            <w:vAlign w:val="center"/>
          </w:tcPr>
          <w:p w14:paraId="4616B7FA">
            <w:pPr>
              <w:widowControl/>
              <w:jc w:val="left"/>
              <w:rPr>
                <w:rFonts w:ascii="宋体" w:hAnsi="宋体" w:eastAsia="宋体" w:cs="Times New Roman"/>
                <w:color w:val="000000"/>
                <w:kern w:val="0"/>
                <w:szCs w:val="21"/>
              </w:rPr>
            </w:pPr>
            <w:r>
              <w:rPr>
                <w:rFonts w:ascii="宋体" w:hAnsi="宋体" w:eastAsia="宋体"/>
                <w:szCs w:val="21"/>
              </w:rPr>
              <w:t>2-2：</w:t>
            </w:r>
            <w:r>
              <w:rPr>
                <w:rFonts w:hint="eastAsia" w:ascii="宋体" w:hAnsi="宋体" w:eastAsia="宋体"/>
                <w:szCs w:val="21"/>
              </w:rPr>
              <w:t>【教育情意深厚】</w:t>
            </w:r>
            <w:r>
              <w:rPr>
                <w:rFonts w:hint="eastAsia" w:ascii="宋体" w:hAnsi="宋体" w:eastAsia="宋体"/>
                <w:szCs w:val="23"/>
              </w:rPr>
              <w:t>关爱学生，用心从教。</w:t>
            </w:r>
            <w:r>
              <w:rPr>
                <w:rFonts w:ascii="宋体" w:hAnsi="宋体" w:eastAsia="宋体"/>
                <w:szCs w:val="23"/>
              </w:rPr>
              <w:t>具有正确的儿童观，理解、尊重、关爱、保护学生，以儿童发展为教育的中心。</w:t>
            </w:r>
            <w:r>
              <w:rPr>
                <w:rFonts w:hint="eastAsia" w:ascii="宋体" w:hAnsi="宋体" w:eastAsia="宋体"/>
                <w:szCs w:val="23"/>
              </w:rPr>
              <w:t>爱岗敬业，在教育实践中能认真履行教育教学职责与班主任工作职责，富有爱心、责任心、工作细心、耐心。</w:t>
            </w:r>
          </w:p>
        </w:tc>
      </w:tr>
      <w:tr w14:paraId="355C96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45" w:hRule="atLeast"/>
          <w:jc w:val="center"/>
        </w:trPr>
        <w:tc>
          <w:tcPr>
            <w:tcW w:w="660" w:type="pct"/>
            <w:vMerge w:val="restart"/>
            <w:vAlign w:val="center"/>
          </w:tcPr>
          <w:p w14:paraId="68CE23E6">
            <w:pPr>
              <w:jc w:val="center"/>
              <w:rPr>
                <w:rFonts w:ascii="宋体" w:hAnsi="宋体" w:eastAsia="宋体" w:cs="Times New Roman"/>
                <w:color w:val="000000"/>
                <w:szCs w:val="21"/>
              </w:rPr>
            </w:pPr>
          </w:p>
          <w:p w14:paraId="3915C1BB">
            <w:pPr>
              <w:jc w:val="center"/>
              <w:rPr>
                <w:rFonts w:ascii="宋体" w:hAnsi="宋体" w:eastAsia="宋体" w:cs="Times New Roman"/>
                <w:color w:val="000000"/>
                <w:szCs w:val="21"/>
              </w:rPr>
            </w:pPr>
          </w:p>
          <w:p w14:paraId="71CB0836">
            <w:pPr>
              <w:jc w:val="center"/>
              <w:rPr>
                <w:rFonts w:ascii="宋体" w:hAnsi="宋体" w:eastAsia="宋体" w:cs="Times New Roman"/>
                <w:color w:val="000000"/>
                <w:szCs w:val="21"/>
              </w:rPr>
            </w:pPr>
          </w:p>
          <w:p w14:paraId="218C8E57">
            <w:pPr>
              <w:jc w:val="center"/>
              <w:rPr>
                <w:rFonts w:ascii="宋体" w:hAnsi="宋体" w:eastAsia="宋体" w:cs="Times New Roman"/>
                <w:color w:val="000000"/>
                <w:szCs w:val="21"/>
              </w:rPr>
            </w:pPr>
          </w:p>
          <w:p w14:paraId="3605362B">
            <w:pPr>
              <w:jc w:val="center"/>
              <w:rPr>
                <w:rFonts w:ascii="宋体" w:hAnsi="宋体" w:eastAsia="宋体" w:cs="Times New Roman"/>
                <w:color w:val="000000"/>
                <w:szCs w:val="21"/>
              </w:rPr>
            </w:pPr>
          </w:p>
          <w:p w14:paraId="2493495C">
            <w:pPr>
              <w:jc w:val="center"/>
              <w:rPr>
                <w:rFonts w:ascii="宋体" w:hAnsi="宋体" w:eastAsia="宋体" w:cs="Times New Roman"/>
                <w:color w:val="000000"/>
                <w:szCs w:val="21"/>
              </w:rPr>
            </w:pPr>
          </w:p>
          <w:p w14:paraId="6F337B49">
            <w:pPr>
              <w:jc w:val="center"/>
              <w:rPr>
                <w:rFonts w:ascii="宋体" w:hAnsi="宋体" w:eastAsia="宋体" w:cs="Times New Roman"/>
                <w:color w:val="000000"/>
                <w:szCs w:val="21"/>
              </w:rPr>
            </w:pPr>
          </w:p>
          <w:p w14:paraId="668C8255">
            <w:pPr>
              <w:jc w:val="center"/>
              <w:rPr>
                <w:rFonts w:ascii="宋体" w:hAnsi="宋体" w:eastAsia="宋体" w:cs="Times New Roman"/>
                <w:color w:val="000000"/>
                <w:szCs w:val="21"/>
              </w:rPr>
            </w:pPr>
          </w:p>
          <w:p w14:paraId="53BDE3E8">
            <w:pPr>
              <w:jc w:val="center"/>
              <w:rPr>
                <w:rFonts w:ascii="宋体" w:hAnsi="宋体" w:eastAsia="宋体" w:cs="Times New Roman"/>
                <w:color w:val="000000"/>
                <w:szCs w:val="21"/>
              </w:rPr>
            </w:pPr>
          </w:p>
          <w:p w14:paraId="0DE32242">
            <w:pPr>
              <w:jc w:val="center"/>
              <w:rPr>
                <w:rFonts w:ascii="宋体" w:hAnsi="宋体" w:eastAsia="宋体" w:cs="Times New Roman"/>
                <w:color w:val="000000"/>
                <w:szCs w:val="21"/>
              </w:rPr>
            </w:pPr>
          </w:p>
          <w:p w14:paraId="053C99BA">
            <w:pPr>
              <w:jc w:val="center"/>
              <w:rPr>
                <w:rFonts w:ascii="宋体" w:hAnsi="宋体" w:eastAsia="宋体" w:cs="Times New Roman"/>
                <w:color w:val="000000"/>
                <w:szCs w:val="21"/>
              </w:rPr>
            </w:pPr>
          </w:p>
          <w:p w14:paraId="2EA96E02">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p w14:paraId="5AE406E8">
            <w:pPr>
              <w:jc w:val="center"/>
              <w:rPr>
                <w:rFonts w:ascii="宋体" w:hAnsi="宋体" w:eastAsia="宋体" w:cs="Times New Roman"/>
                <w:color w:val="000000"/>
                <w:szCs w:val="21"/>
              </w:rPr>
            </w:pPr>
          </w:p>
          <w:p w14:paraId="37C66EB2">
            <w:pPr>
              <w:jc w:val="center"/>
              <w:rPr>
                <w:rFonts w:ascii="宋体" w:hAnsi="宋体" w:eastAsia="宋体" w:cs="Times New Roman"/>
                <w:color w:val="000000"/>
                <w:szCs w:val="21"/>
              </w:rPr>
            </w:pPr>
          </w:p>
          <w:p w14:paraId="00774665">
            <w:pPr>
              <w:jc w:val="center"/>
              <w:rPr>
                <w:rFonts w:ascii="宋体" w:hAnsi="宋体" w:eastAsia="宋体" w:cs="Times New Roman"/>
                <w:color w:val="000000"/>
                <w:szCs w:val="21"/>
              </w:rPr>
            </w:pPr>
          </w:p>
          <w:p w14:paraId="0D76024F">
            <w:pPr>
              <w:jc w:val="center"/>
              <w:rPr>
                <w:rFonts w:ascii="宋体" w:hAnsi="宋体" w:eastAsia="宋体" w:cs="Times New Roman"/>
                <w:color w:val="000000"/>
                <w:szCs w:val="21"/>
              </w:rPr>
            </w:pPr>
          </w:p>
          <w:p w14:paraId="110749E6">
            <w:pPr>
              <w:jc w:val="center"/>
              <w:rPr>
                <w:rFonts w:ascii="宋体" w:hAnsi="宋体" w:eastAsia="宋体" w:cs="Times New Roman"/>
                <w:color w:val="000000"/>
                <w:szCs w:val="21"/>
              </w:rPr>
            </w:pPr>
          </w:p>
          <w:p w14:paraId="1D27A15F">
            <w:pPr>
              <w:jc w:val="center"/>
              <w:rPr>
                <w:rFonts w:ascii="宋体" w:hAnsi="宋体" w:eastAsia="宋体" w:cs="Times New Roman"/>
                <w:color w:val="000000"/>
                <w:szCs w:val="21"/>
              </w:rPr>
            </w:pPr>
          </w:p>
          <w:p w14:paraId="1720A7FD">
            <w:pPr>
              <w:jc w:val="center"/>
              <w:rPr>
                <w:rFonts w:ascii="宋体" w:hAnsi="宋体" w:eastAsia="宋体" w:cs="Times New Roman"/>
                <w:color w:val="000000"/>
                <w:szCs w:val="21"/>
              </w:rPr>
            </w:pPr>
          </w:p>
          <w:p w14:paraId="5FA33D67">
            <w:pPr>
              <w:jc w:val="center"/>
              <w:rPr>
                <w:rFonts w:ascii="宋体" w:hAnsi="宋体" w:eastAsia="宋体" w:cs="Times New Roman"/>
                <w:color w:val="000000"/>
                <w:szCs w:val="21"/>
              </w:rPr>
            </w:pPr>
          </w:p>
          <w:p w14:paraId="01DF798D">
            <w:pPr>
              <w:jc w:val="center"/>
              <w:rPr>
                <w:rFonts w:ascii="宋体" w:hAnsi="宋体" w:eastAsia="宋体" w:cs="Times New Roman"/>
                <w:color w:val="000000"/>
                <w:szCs w:val="21"/>
              </w:rPr>
            </w:pPr>
          </w:p>
          <w:p w14:paraId="7D1321FE">
            <w:pPr>
              <w:jc w:val="center"/>
              <w:rPr>
                <w:rFonts w:ascii="宋体" w:hAnsi="宋体" w:eastAsia="宋体" w:cs="Times New Roman"/>
                <w:color w:val="000000"/>
                <w:szCs w:val="21"/>
              </w:rPr>
            </w:pPr>
          </w:p>
          <w:p w14:paraId="0F45F6DF">
            <w:pPr>
              <w:jc w:val="center"/>
              <w:rPr>
                <w:rFonts w:ascii="宋体" w:hAnsi="宋体" w:eastAsia="宋体" w:cs="Times New Roman"/>
                <w:color w:val="000000"/>
                <w:szCs w:val="21"/>
              </w:rPr>
            </w:pPr>
          </w:p>
          <w:p w14:paraId="7749F1BD">
            <w:pPr>
              <w:jc w:val="center"/>
              <w:rPr>
                <w:rFonts w:ascii="宋体" w:hAnsi="宋体" w:eastAsia="宋体" w:cs="Times New Roman"/>
                <w:color w:val="000000"/>
                <w:szCs w:val="21"/>
              </w:rPr>
            </w:pPr>
          </w:p>
          <w:p w14:paraId="1E449E2E">
            <w:pPr>
              <w:jc w:val="center"/>
              <w:rPr>
                <w:rFonts w:ascii="宋体" w:hAnsi="宋体" w:eastAsia="宋体" w:cs="Times New Roman"/>
                <w:color w:val="000000"/>
                <w:szCs w:val="21"/>
              </w:rPr>
            </w:pPr>
          </w:p>
          <w:p w14:paraId="63C06D16">
            <w:pPr>
              <w:rPr>
                <w:rFonts w:ascii="宋体" w:hAnsi="宋体" w:eastAsia="宋体" w:cs="Times New Roman"/>
                <w:color w:val="000000"/>
                <w:szCs w:val="21"/>
              </w:rPr>
            </w:pPr>
          </w:p>
          <w:p w14:paraId="41761C53">
            <w:pPr>
              <w:rPr>
                <w:rFonts w:ascii="宋体" w:hAnsi="宋体" w:eastAsia="宋体" w:cs="Times New Roman"/>
                <w:color w:val="000000"/>
                <w:szCs w:val="21"/>
              </w:rPr>
            </w:pPr>
          </w:p>
          <w:p w14:paraId="252F55B9">
            <w:pPr>
              <w:jc w:val="center"/>
              <w:rPr>
                <w:rFonts w:ascii="宋体" w:hAnsi="宋体" w:eastAsia="宋体" w:cs="Times New Roman"/>
                <w:color w:val="000000"/>
                <w:szCs w:val="21"/>
              </w:rPr>
            </w:pPr>
            <w:r>
              <w:rPr>
                <w:rFonts w:hint="eastAsia" w:ascii="宋体" w:hAnsi="宋体" w:eastAsia="宋体" w:cs="Times New Roman"/>
                <w:color w:val="000000"/>
                <w:szCs w:val="21"/>
              </w:rPr>
              <w:t>课程目标3</w:t>
            </w:r>
          </w:p>
        </w:tc>
        <w:tc>
          <w:tcPr>
            <w:tcW w:w="735" w:type="pct"/>
            <w:vAlign w:val="center"/>
          </w:tcPr>
          <w:p w14:paraId="02611CDD">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p>
          <w:p w14:paraId="4E03A743">
            <w:pPr>
              <w:rPr>
                <w:rFonts w:ascii="宋体" w:hAnsi="宋体" w:eastAsia="宋体" w:cs="Times New Roman"/>
                <w:color w:val="000000"/>
                <w:kern w:val="0"/>
                <w:szCs w:val="21"/>
              </w:rPr>
            </w:pPr>
            <w:r>
              <w:rPr>
                <w:rFonts w:hint="eastAsia" w:ascii="宋体" w:hAnsi="宋体" w:eastAsia="宋体" w:cs="Times New Roman"/>
                <w:color w:val="000000"/>
                <w:kern w:val="0"/>
                <w:szCs w:val="21"/>
              </w:rPr>
              <w:t>学科素养</w:t>
            </w:r>
          </w:p>
        </w:tc>
        <w:tc>
          <w:tcPr>
            <w:tcW w:w="3605" w:type="pct"/>
            <w:tcBorders>
              <w:right w:val="single" w:color="000000" w:sz="8" w:space="0"/>
            </w:tcBorders>
            <w:vAlign w:val="center"/>
          </w:tcPr>
          <w:p w14:paraId="187E5762">
            <w:pPr>
              <w:jc w:val="left"/>
              <w:rPr>
                <w:rFonts w:ascii="宋体" w:hAnsi="宋体" w:eastAsia="宋体" w:cs="Times New Roman"/>
                <w:color w:val="000000"/>
                <w:kern w:val="0"/>
                <w:szCs w:val="21"/>
              </w:rPr>
            </w:pPr>
            <w:r>
              <w:rPr>
                <w:rFonts w:ascii="宋体" w:hAnsi="宋体" w:eastAsia="宋体"/>
                <w:szCs w:val="21"/>
              </w:rPr>
              <w:t>3-4：</w:t>
            </w:r>
            <w:r>
              <w:rPr>
                <w:rFonts w:hint="eastAsia" w:ascii="宋体" w:hAnsi="宋体" w:eastAsia="宋体"/>
                <w:szCs w:val="21"/>
              </w:rPr>
              <w:t>【注重知识整合】</w:t>
            </w:r>
            <w:r>
              <w:rPr>
                <w:rFonts w:hint="eastAsia" w:ascii="宋体" w:hAnsi="宋体" w:eastAsia="宋体"/>
                <w:szCs w:val="23"/>
              </w:rPr>
              <w:t>了解所教学科与其他学科及与社会实践、小学生生活实践之间的联系，了解学科整合的在小学教育中的价值，具有跨学科解决问题的意识和能力，能指导综合性学科教学活动。</w:t>
            </w:r>
          </w:p>
        </w:tc>
      </w:tr>
      <w:tr w14:paraId="067A8F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60" w:type="pct"/>
            <w:vMerge w:val="continue"/>
            <w:vAlign w:val="center"/>
          </w:tcPr>
          <w:p w14:paraId="4AE6C401">
            <w:pPr>
              <w:jc w:val="center"/>
              <w:rPr>
                <w:rFonts w:ascii="宋体" w:hAnsi="宋体" w:eastAsia="宋体" w:cs="Times New Roman"/>
                <w:color w:val="000000"/>
                <w:kern w:val="0"/>
                <w:szCs w:val="21"/>
              </w:rPr>
            </w:pPr>
          </w:p>
        </w:tc>
        <w:tc>
          <w:tcPr>
            <w:tcW w:w="735" w:type="pct"/>
            <w:vMerge w:val="restart"/>
            <w:vAlign w:val="center"/>
          </w:tcPr>
          <w:p w14:paraId="4CF3EB97">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 4</w:t>
            </w:r>
            <w:r>
              <w:rPr>
                <w:rFonts w:ascii="宋体" w:hAnsi="宋体" w:eastAsia="宋体" w:cs="Times New Roman"/>
                <w:color w:val="000000"/>
                <w:kern w:val="0"/>
                <w:szCs w:val="21"/>
              </w:rPr>
              <w:t>.</w:t>
            </w:r>
          </w:p>
          <w:p w14:paraId="726168FB">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教学能力</w:t>
            </w:r>
          </w:p>
        </w:tc>
        <w:tc>
          <w:tcPr>
            <w:tcW w:w="3605" w:type="pct"/>
            <w:tcBorders>
              <w:right w:val="single" w:color="000000" w:sz="8" w:space="0"/>
            </w:tcBorders>
            <w:vAlign w:val="center"/>
          </w:tcPr>
          <w:p w14:paraId="01787024">
            <w:pPr>
              <w:jc w:val="left"/>
              <w:rPr>
                <w:rFonts w:ascii="宋体" w:hAnsi="宋体" w:eastAsia="宋体" w:cs="Times New Roman"/>
                <w:color w:val="000000"/>
                <w:kern w:val="0"/>
                <w:szCs w:val="21"/>
              </w:rPr>
            </w:pPr>
            <w:r>
              <w:rPr>
                <w:rFonts w:ascii="宋体" w:hAnsi="宋体" w:eastAsia="宋体"/>
                <w:szCs w:val="21"/>
              </w:rPr>
              <w:t>4-1：</w:t>
            </w:r>
            <w:r>
              <w:rPr>
                <w:rFonts w:hint="eastAsia" w:ascii="宋体" w:hAnsi="宋体" w:eastAsia="宋体"/>
                <w:szCs w:val="21"/>
              </w:rPr>
              <w:t>【领会课程标准】掌握教与学的知识，熟悉所教学科课程标准和教材、教学内容，具有一定的教材解读能力，具有依据课标进行教学的意识和习惯。</w:t>
            </w:r>
          </w:p>
        </w:tc>
      </w:tr>
      <w:tr w14:paraId="1A238E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5" w:hRule="atLeast"/>
          <w:jc w:val="center"/>
        </w:trPr>
        <w:tc>
          <w:tcPr>
            <w:tcW w:w="660" w:type="pct"/>
            <w:vMerge w:val="continue"/>
            <w:vAlign w:val="center"/>
          </w:tcPr>
          <w:p w14:paraId="617B5D59">
            <w:pPr>
              <w:jc w:val="center"/>
              <w:rPr>
                <w:rFonts w:ascii="宋体" w:hAnsi="宋体" w:eastAsia="宋体" w:cs="Times New Roman"/>
                <w:color w:val="000000"/>
                <w:szCs w:val="21"/>
              </w:rPr>
            </w:pPr>
          </w:p>
        </w:tc>
        <w:tc>
          <w:tcPr>
            <w:tcW w:w="735" w:type="pct"/>
            <w:vMerge w:val="continue"/>
            <w:vAlign w:val="center"/>
          </w:tcPr>
          <w:p w14:paraId="5F86A93D">
            <w:pPr>
              <w:widowControl/>
              <w:rPr>
                <w:rFonts w:ascii="宋体" w:hAnsi="宋体" w:eastAsia="宋体" w:cs="Times New Roman"/>
                <w:color w:val="000000"/>
                <w:kern w:val="0"/>
                <w:szCs w:val="21"/>
              </w:rPr>
            </w:pPr>
          </w:p>
        </w:tc>
        <w:tc>
          <w:tcPr>
            <w:tcW w:w="3605" w:type="pct"/>
            <w:tcBorders>
              <w:bottom w:val="single" w:color="auto" w:sz="4" w:space="0"/>
              <w:right w:val="single" w:color="000000" w:sz="8" w:space="0"/>
            </w:tcBorders>
            <w:vAlign w:val="center"/>
          </w:tcPr>
          <w:p w14:paraId="496C6C9D">
            <w:pPr>
              <w:jc w:val="left"/>
              <w:rPr>
                <w:rFonts w:ascii="宋体" w:hAnsi="宋体" w:eastAsia="宋体" w:cs="Times New Roman"/>
                <w:color w:val="000000"/>
                <w:kern w:val="0"/>
                <w:szCs w:val="21"/>
              </w:rPr>
            </w:pPr>
            <w:r>
              <w:rPr>
                <w:rFonts w:ascii="宋体" w:hAnsi="宋体" w:eastAsia="宋体"/>
                <w:szCs w:val="21"/>
              </w:rPr>
              <w:t>4-2：</w:t>
            </w:r>
            <w:r>
              <w:rPr>
                <w:rFonts w:hint="eastAsia" w:ascii="宋体" w:hAnsi="宋体" w:eastAsia="宋体"/>
                <w:szCs w:val="21"/>
              </w:rPr>
              <w:t>【教学技能突出】获得全面的小学教学体验，掌握学科教学的基本方法与策略，能独立进行教学设计、实施和评价。</w:t>
            </w:r>
          </w:p>
        </w:tc>
      </w:tr>
      <w:tr w14:paraId="1EAEEA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660" w:type="pct"/>
            <w:vMerge w:val="continue"/>
            <w:vAlign w:val="center"/>
          </w:tcPr>
          <w:p w14:paraId="1BF0D264">
            <w:pPr>
              <w:jc w:val="center"/>
              <w:rPr>
                <w:rFonts w:ascii="宋体" w:hAnsi="宋体" w:eastAsia="宋体" w:cs="Times New Roman"/>
                <w:color w:val="000000"/>
                <w:szCs w:val="21"/>
              </w:rPr>
            </w:pPr>
          </w:p>
        </w:tc>
        <w:tc>
          <w:tcPr>
            <w:tcW w:w="735" w:type="pct"/>
            <w:vMerge w:val="continue"/>
            <w:vAlign w:val="center"/>
          </w:tcPr>
          <w:p w14:paraId="7BFC9368">
            <w:pPr>
              <w:widowControl/>
              <w:rPr>
                <w:rFonts w:ascii="宋体" w:hAnsi="宋体" w:eastAsia="宋体" w:cs="Times New Roman"/>
                <w:color w:val="000000"/>
                <w:kern w:val="0"/>
                <w:szCs w:val="21"/>
              </w:rPr>
            </w:pPr>
          </w:p>
        </w:tc>
        <w:tc>
          <w:tcPr>
            <w:tcW w:w="3605" w:type="pct"/>
            <w:tcBorders>
              <w:bottom w:val="single" w:color="auto" w:sz="4" w:space="0"/>
              <w:right w:val="single" w:color="000000" w:sz="8" w:space="0"/>
            </w:tcBorders>
            <w:vAlign w:val="center"/>
          </w:tcPr>
          <w:p w14:paraId="642FDEDE">
            <w:pPr>
              <w:jc w:val="left"/>
              <w:rPr>
                <w:rFonts w:ascii="宋体" w:hAnsi="宋体" w:eastAsia="宋体" w:cs="Times New Roman"/>
                <w:color w:val="000000"/>
                <w:szCs w:val="21"/>
              </w:rPr>
            </w:pPr>
            <w:r>
              <w:rPr>
                <w:rFonts w:ascii="宋体" w:hAnsi="宋体" w:eastAsia="宋体"/>
                <w:szCs w:val="21"/>
              </w:rPr>
              <w:t>4-3：</w:t>
            </w:r>
            <w:r>
              <w:rPr>
                <w:rFonts w:hint="eastAsia" w:ascii="宋体" w:hAnsi="宋体" w:eastAsia="宋体"/>
                <w:szCs w:val="21"/>
              </w:rPr>
              <w:t>【教师基本功扎实】</w:t>
            </w:r>
            <w:r>
              <w:rPr>
                <w:rFonts w:ascii="宋体" w:hAnsi="宋体" w:eastAsia="宋体"/>
                <w:szCs w:val="21"/>
              </w:rPr>
              <w:t>掌握小学教师基本功技能，包括书写技能、沟通与表达技能、信息技术运用技能等。</w:t>
            </w:r>
          </w:p>
        </w:tc>
      </w:tr>
      <w:tr w14:paraId="0280AA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660" w:type="pct"/>
            <w:vMerge w:val="continue"/>
            <w:vAlign w:val="center"/>
          </w:tcPr>
          <w:p w14:paraId="7A2810F4">
            <w:pPr>
              <w:jc w:val="center"/>
              <w:rPr>
                <w:rFonts w:ascii="宋体" w:hAnsi="宋体" w:eastAsia="宋体" w:cs="Times New Roman"/>
                <w:color w:val="000000"/>
                <w:szCs w:val="21"/>
              </w:rPr>
            </w:pPr>
          </w:p>
        </w:tc>
        <w:tc>
          <w:tcPr>
            <w:tcW w:w="735" w:type="pct"/>
            <w:vMerge w:val="continue"/>
            <w:vAlign w:val="center"/>
          </w:tcPr>
          <w:p w14:paraId="5D6433F2">
            <w:pPr>
              <w:widowControl/>
              <w:rPr>
                <w:rFonts w:ascii="宋体" w:hAnsi="宋体" w:eastAsia="宋体" w:cs="Times New Roman"/>
                <w:color w:val="000000"/>
                <w:kern w:val="0"/>
                <w:szCs w:val="21"/>
              </w:rPr>
            </w:pPr>
          </w:p>
        </w:tc>
        <w:tc>
          <w:tcPr>
            <w:tcW w:w="3605" w:type="pct"/>
            <w:tcBorders>
              <w:top w:val="single" w:color="auto" w:sz="4" w:space="0"/>
              <w:right w:val="single" w:color="000000" w:sz="8" w:space="0"/>
            </w:tcBorders>
            <w:vAlign w:val="center"/>
          </w:tcPr>
          <w:p w14:paraId="2D8DCFC2">
            <w:pPr>
              <w:jc w:val="left"/>
              <w:rPr>
                <w:rFonts w:ascii="宋体" w:hAnsi="宋体" w:eastAsia="宋体" w:cs="Times New Roman"/>
                <w:color w:val="000000"/>
                <w:kern w:val="0"/>
                <w:szCs w:val="21"/>
              </w:rPr>
            </w:pPr>
            <w:r>
              <w:rPr>
                <w:rFonts w:ascii="宋体" w:hAnsi="宋体" w:eastAsia="宋体"/>
                <w:szCs w:val="21"/>
              </w:rPr>
              <w:t>4-4：</w:t>
            </w:r>
            <w:r>
              <w:rPr>
                <w:rFonts w:hint="eastAsia" w:ascii="宋体" w:hAnsi="宋体" w:eastAsia="宋体"/>
                <w:szCs w:val="21"/>
              </w:rPr>
              <w:t>【教学研究能力好】</w:t>
            </w:r>
            <w:r>
              <w:rPr>
                <w:rFonts w:ascii="宋体" w:hAnsi="宋体" w:eastAsia="宋体"/>
                <w:szCs w:val="21"/>
              </w:rPr>
              <w:t>掌握教育研究的基本方法，结合小学教育教学实践进行研究，具有一定的教学研究能力。</w:t>
            </w:r>
          </w:p>
        </w:tc>
      </w:tr>
      <w:tr w14:paraId="47799A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660" w:type="pct"/>
            <w:vMerge w:val="continue"/>
            <w:vAlign w:val="center"/>
          </w:tcPr>
          <w:p w14:paraId="2CB97CD0">
            <w:pPr>
              <w:jc w:val="center"/>
              <w:rPr>
                <w:rFonts w:ascii="宋体" w:hAnsi="宋体" w:eastAsia="宋体" w:cs="Times New Roman"/>
                <w:color w:val="000000"/>
                <w:szCs w:val="21"/>
              </w:rPr>
            </w:pPr>
          </w:p>
        </w:tc>
        <w:tc>
          <w:tcPr>
            <w:tcW w:w="735" w:type="pct"/>
            <w:vMerge w:val="restart"/>
            <w:tcBorders>
              <w:top w:val="single" w:color="auto" w:sz="4" w:space="0"/>
            </w:tcBorders>
            <w:vAlign w:val="center"/>
          </w:tcPr>
          <w:p w14:paraId="631C6249">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p>
          <w:p w14:paraId="27B50F24">
            <w:pPr>
              <w:rPr>
                <w:rFonts w:ascii="宋体" w:hAnsi="宋体" w:eastAsia="宋体" w:cs="Times New Roman"/>
                <w:color w:val="000000"/>
                <w:kern w:val="0"/>
                <w:szCs w:val="21"/>
              </w:rPr>
            </w:pPr>
            <w:r>
              <w:rPr>
                <w:rFonts w:hint="eastAsia" w:ascii="宋体" w:hAnsi="宋体" w:eastAsia="宋体" w:cs="Times New Roman"/>
                <w:color w:val="000000"/>
                <w:kern w:val="0"/>
                <w:szCs w:val="21"/>
              </w:rPr>
              <w:t>班级管理</w:t>
            </w:r>
          </w:p>
        </w:tc>
        <w:tc>
          <w:tcPr>
            <w:tcW w:w="3605" w:type="pct"/>
            <w:tcBorders>
              <w:top w:val="single" w:color="auto" w:sz="4" w:space="0"/>
              <w:bottom w:val="single" w:color="auto" w:sz="4" w:space="0"/>
              <w:right w:val="single" w:color="000000" w:sz="8" w:space="0"/>
            </w:tcBorders>
            <w:vAlign w:val="center"/>
          </w:tcPr>
          <w:p w14:paraId="2CA4B4E1">
            <w:pPr>
              <w:jc w:val="left"/>
              <w:rPr>
                <w:rFonts w:ascii="宋体" w:hAnsi="宋体" w:eastAsia="宋体" w:cs="Times New Roman"/>
                <w:color w:val="000000"/>
                <w:kern w:val="0"/>
                <w:szCs w:val="21"/>
              </w:rPr>
            </w:pPr>
            <w:r>
              <w:rPr>
                <w:rFonts w:ascii="宋体" w:hAnsi="宋体" w:eastAsia="宋体"/>
                <w:szCs w:val="21"/>
              </w:rPr>
              <w:t>5-1：</w:t>
            </w:r>
            <w:r>
              <w:rPr>
                <w:rFonts w:hint="eastAsia" w:ascii="宋体" w:hAnsi="宋体" w:eastAsia="宋体"/>
                <w:szCs w:val="21"/>
              </w:rPr>
              <w:t>【擅长班队管理】获得小学班队组织与建设的体验。掌握小学班队组织与建设的工作规律和基本方法，具有班队建设和管理的基本能力。</w:t>
            </w:r>
          </w:p>
        </w:tc>
      </w:tr>
      <w:tr w14:paraId="27C64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60" w:type="pct"/>
            <w:vMerge w:val="continue"/>
            <w:vAlign w:val="center"/>
          </w:tcPr>
          <w:p w14:paraId="0F001B40">
            <w:pPr>
              <w:jc w:val="center"/>
              <w:rPr>
                <w:rFonts w:ascii="宋体" w:hAnsi="宋体" w:eastAsia="宋体" w:cs="Times New Roman"/>
                <w:color w:val="000000"/>
                <w:szCs w:val="21"/>
              </w:rPr>
            </w:pPr>
          </w:p>
        </w:tc>
        <w:tc>
          <w:tcPr>
            <w:tcW w:w="735" w:type="pct"/>
            <w:vMerge w:val="continue"/>
            <w:vAlign w:val="center"/>
          </w:tcPr>
          <w:p w14:paraId="55BAB229">
            <w:pPr>
              <w:rPr>
                <w:rFonts w:ascii="宋体" w:hAnsi="宋体" w:eastAsia="宋体" w:cs="Times New Roman"/>
                <w:color w:val="000000"/>
                <w:kern w:val="0"/>
                <w:szCs w:val="21"/>
              </w:rPr>
            </w:pPr>
          </w:p>
        </w:tc>
        <w:tc>
          <w:tcPr>
            <w:tcW w:w="3605" w:type="pct"/>
            <w:tcBorders>
              <w:top w:val="single" w:color="auto" w:sz="4" w:space="0"/>
              <w:bottom w:val="single" w:color="auto" w:sz="4" w:space="0"/>
              <w:right w:val="single" w:color="000000" w:sz="8" w:space="0"/>
            </w:tcBorders>
            <w:vAlign w:val="center"/>
          </w:tcPr>
          <w:p w14:paraId="53F754CD">
            <w:pPr>
              <w:jc w:val="left"/>
              <w:rPr>
                <w:rFonts w:ascii="宋体" w:hAnsi="宋体" w:eastAsia="宋体" w:cs="Times New Roman"/>
                <w:color w:val="000000"/>
                <w:kern w:val="0"/>
                <w:szCs w:val="21"/>
              </w:rPr>
            </w:pPr>
            <w:r>
              <w:rPr>
                <w:rFonts w:ascii="宋体" w:hAnsi="宋体" w:eastAsia="宋体"/>
                <w:szCs w:val="21"/>
              </w:rPr>
              <w:t>5-2：</w:t>
            </w:r>
            <w:r>
              <w:rPr>
                <w:rFonts w:hint="eastAsia" w:ascii="宋体" w:hAnsi="宋体" w:eastAsia="宋体"/>
                <w:szCs w:val="21"/>
              </w:rPr>
              <w:t>【强化德育地位】获得小学德育工作体验，树立德育为先的理念，熟悉小学德育的基本原理与方法。</w:t>
            </w:r>
          </w:p>
        </w:tc>
      </w:tr>
      <w:tr w14:paraId="31AA16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29" w:hRule="atLeast"/>
          <w:jc w:val="center"/>
        </w:trPr>
        <w:tc>
          <w:tcPr>
            <w:tcW w:w="660" w:type="pct"/>
            <w:vMerge w:val="continue"/>
            <w:vAlign w:val="center"/>
          </w:tcPr>
          <w:p w14:paraId="0B8CF44F">
            <w:pPr>
              <w:jc w:val="center"/>
              <w:rPr>
                <w:rFonts w:ascii="宋体" w:hAnsi="宋体" w:eastAsia="宋体" w:cs="Times New Roman"/>
                <w:color w:val="000000"/>
                <w:kern w:val="0"/>
                <w:szCs w:val="21"/>
              </w:rPr>
            </w:pPr>
          </w:p>
        </w:tc>
        <w:tc>
          <w:tcPr>
            <w:tcW w:w="735" w:type="pct"/>
            <w:vMerge w:val="continue"/>
            <w:vAlign w:val="center"/>
          </w:tcPr>
          <w:p w14:paraId="07FC8F66">
            <w:pPr>
              <w:rPr>
                <w:rFonts w:ascii="宋体" w:hAnsi="宋体" w:eastAsia="宋体" w:cs="Times New Roman"/>
                <w:color w:val="000000"/>
                <w:kern w:val="0"/>
                <w:szCs w:val="21"/>
              </w:rPr>
            </w:pPr>
          </w:p>
        </w:tc>
        <w:tc>
          <w:tcPr>
            <w:tcW w:w="3605" w:type="pct"/>
            <w:tcBorders>
              <w:top w:val="single" w:color="auto" w:sz="4" w:space="0"/>
              <w:bottom w:val="single" w:color="auto" w:sz="4" w:space="0"/>
              <w:right w:val="single" w:color="000000" w:sz="8" w:space="0"/>
            </w:tcBorders>
            <w:vAlign w:val="center"/>
          </w:tcPr>
          <w:p w14:paraId="3E2994D6">
            <w:pPr>
              <w:jc w:val="left"/>
              <w:rPr>
                <w:rFonts w:ascii="宋体" w:hAnsi="宋体" w:eastAsia="宋体" w:cs="Times New Roman"/>
                <w:color w:val="000000"/>
                <w:szCs w:val="21"/>
              </w:rPr>
            </w:pPr>
            <w:r>
              <w:rPr>
                <w:rFonts w:ascii="宋体" w:hAnsi="宋体" w:eastAsia="宋体"/>
                <w:szCs w:val="21"/>
              </w:rPr>
              <w:t>5-3：</w:t>
            </w:r>
            <w:r>
              <w:rPr>
                <w:rFonts w:hint="eastAsia" w:ascii="宋体" w:hAnsi="宋体" w:eastAsia="宋体"/>
                <w:szCs w:val="21"/>
              </w:rPr>
              <w:t>【重视心理健康教育】</w:t>
            </w:r>
            <w:r>
              <w:rPr>
                <w:rFonts w:ascii="宋体" w:hAnsi="宋体" w:eastAsia="宋体"/>
                <w:szCs w:val="21"/>
              </w:rPr>
              <w:t>获得小学心理健康教育指导体验，参与组织与指导对小学生心理健康教育的科普宣传及心理辅导，掌握小学心理健康教育的基本方法</w:t>
            </w:r>
            <w:r>
              <w:rPr>
                <w:rFonts w:ascii="宋体" w:hAnsi="宋体" w:eastAsia="宋体"/>
                <w:szCs w:val="23"/>
              </w:rPr>
              <w:t>。</w:t>
            </w:r>
          </w:p>
        </w:tc>
      </w:tr>
      <w:tr w14:paraId="347393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660" w:type="pct"/>
            <w:vMerge w:val="continue"/>
            <w:vAlign w:val="center"/>
          </w:tcPr>
          <w:p w14:paraId="40ED2181">
            <w:pPr>
              <w:jc w:val="center"/>
              <w:rPr>
                <w:rFonts w:ascii="宋体" w:hAnsi="宋体" w:eastAsia="宋体" w:cs="Times New Roman"/>
                <w:color w:val="000000"/>
                <w:szCs w:val="21"/>
              </w:rPr>
            </w:pPr>
          </w:p>
        </w:tc>
        <w:tc>
          <w:tcPr>
            <w:tcW w:w="735" w:type="pct"/>
            <w:vMerge w:val="restart"/>
            <w:vAlign w:val="center"/>
          </w:tcPr>
          <w:p w14:paraId="0BFC0AAF">
            <w:pPr>
              <w:rPr>
                <w:rFonts w:ascii="宋体" w:hAnsi="宋体" w:eastAsia="宋体" w:cs="Times New Roman"/>
                <w:color w:val="000000"/>
                <w:kern w:val="0"/>
                <w:szCs w:val="21"/>
              </w:rPr>
            </w:pPr>
          </w:p>
          <w:p w14:paraId="1F9DB8F1">
            <w:pPr>
              <w:rPr>
                <w:rFonts w:ascii="宋体" w:hAnsi="宋体" w:eastAsia="宋体" w:cs="Times New Roman"/>
                <w:color w:val="000000"/>
                <w:kern w:val="0"/>
                <w:szCs w:val="21"/>
              </w:rPr>
            </w:pPr>
          </w:p>
          <w:p w14:paraId="35A3E79C">
            <w:pPr>
              <w:rPr>
                <w:rFonts w:ascii="宋体" w:hAnsi="宋体" w:eastAsia="宋体" w:cs="Times New Roman"/>
                <w:color w:val="000000"/>
                <w:kern w:val="0"/>
                <w:szCs w:val="21"/>
              </w:rPr>
            </w:pPr>
          </w:p>
          <w:p w14:paraId="1E2409FC">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毕业要求6</w:t>
            </w:r>
            <w:r>
              <w:rPr>
                <w:rFonts w:ascii="宋体" w:hAnsi="宋体" w:eastAsia="宋体" w:cs="Times New Roman"/>
                <w:color w:val="000000"/>
                <w:kern w:val="0"/>
                <w:szCs w:val="21"/>
              </w:rPr>
              <w:t>.</w:t>
            </w:r>
          </w:p>
          <w:p w14:paraId="7B2CD49C">
            <w:pPr>
              <w:rPr>
                <w:rFonts w:ascii="宋体" w:hAnsi="宋体" w:eastAsia="宋体" w:cs="Times New Roman"/>
                <w:color w:val="000000"/>
                <w:kern w:val="0"/>
                <w:szCs w:val="21"/>
              </w:rPr>
            </w:pPr>
            <w:r>
              <w:rPr>
                <w:rFonts w:hint="eastAsia" w:ascii="宋体" w:hAnsi="宋体" w:eastAsia="宋体" w:cs="Times New Roman"/>
                <w:color w:val="000000"/>
                <w:kern w:val="0"/>
                <w:szCs w:val="21"/>
              </w:rPr>
              <w:t>综合育人</w:t>
            </w:r>
          </w:p>
        </w:tc>
        <w:tc>
          <w:tcPr>
            <w:tcW w:w="3605" w:type="pct"/>
            <w:tcBorders>
              <w:top w:val="single" w:color="auto" w:sz="4" w:space="0"/>
              <w:bottom w:val="single" w:color="auto" w:sz="4" w:space="0"/>
              <w:right w:val="single" w:color="000000" w:sz="8" w:space="0"/>
            </w:tcBorders>
            <w:vAlign w:val="center"/>
          </w:tcPr>
          <w:p w14:paraId="34250BDB">
            <w:pPr>
              <w:jc w:val="left"/>
              <w:rPr>
                <w:rFonts w:ascii="宋体" w:hAnsi="宋体" w:eastAsia="宋体" w:cs="Times New Roman"/>
                <w:color w:val="000000"/>
                <w:szCs w:val="21"/>
              </w:rPr>
            </w:pPr>
            <w:r>
              <w:rPr>
                <w:rFonts w:ascii="宋体" w:hAnsi="宋体" w:eastAsia="宋体"/>
                <w:szCs w:val="21"/>
              </w:rPr>
              <w:t>6-2：</w:t>
            </w:r>
            <w:r>
              <w:rPr>
                <w:rFonts w:hint="eastAsia" w:ascii="宋体" w:hAnsi="宋体" w:eastAsia="宋体"/>
                <w:szCs w:val="21"/>
              </w:rPr>
              <w:t>【懂得学科育人】具有教书育人的意识，理解学科核心素养和拟任教学科课程独特的育人功能，具备结合学科教学进行育人的意识与能力，注重学科教学中思想政治教育的渗透。</w:t>
            </w:r>
          </w:p>
        </w:tc>
      </w:tr>
      <w:tr w14:paraId="6FA66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60" w:type="pct"/>
            <w:vMerge w:val="continue"/>
            <w:vAlign w:val="center"/>
          </w:tcPr>
          <w:p w14:paraId="5EC89166">
            <w:pPr>
              <w:jc w:val="center"/>
              <w:rPr>
                <w:rFonts w:ascii="宋体" w:hAnsi="宋体" w:eastAsia="宋体" w:cs="Times New Roman"/>
                <w:color w:val="000000"/>
                <w:szCs w:val="21"/>
              </w:rPr>
            </w:pPr>
          </w:p>
        </w:tc>
        <w:tc>
          <w:tcPr>
            <w:tcW w:w="735" w:type="pct"/>
            <w:vMerge w:val="continue"/>
            <w:vAlign w:val="center"/>
          </w:tcPr>
          <w:p w14:paraId="2CC70A45">
            <w:pPr>
              <w:rPr>
                <w:rFonts w:ascii="宋体" w:hAnsi="宋体" w:eastAsia="宋体" w:cs="Times New Roman"/>
                <w:color w:val="000000"/>
                <w:kern w:val="0"/>
                <w:szCs w:val="21"/>
              </w:rPr>
            </w:pPr>
          </w:p>
        </w:tc>
        <w:tc>
          <w:tcPr>
            <w:tcW w:w="3605" w:type="pct"/>
            <w:tcBorders>
              <w:top w:val="single" w:color="auto" w:sz="4" w:space="0"/>
              <w:right w:val="single" w:color="000000" w:sz="8" w:space="0"/>
            </w:tcBorders>
            <w:vAlign w:val="center"/>
          </w:tcPr>
          <w:p w14:paraId="566F0EC4">
            <w:pPr>
              <w:jc w:val="left"/>
              <w:rPr>
                <w:rFonts w:ascii="宋体" w:hAnsi="宋体" w:eastAsia="宋体" w:cs="Times New Roman"/>
                <w:color w:val="000000"/>
                <w:spacing w:val="2"/>
                <w:kern w:val="0"/>
                <w:szCs w:val="21"/>
              </w:rPr>
            </w:pPr>
            <w:r>
              <w:rPr>
                <w:rFonts w:ascii="宋体" w:hAnsi="宋体" w:eastAsia="宋体"/>
                <w:szCs w:val="21"/>
              </w:rPr>
              <w:t>6-3：</w:t>
            </w:r>
            <w:r>
              <w:rPr>
                <w:rFonts w:hint="eastAsia" w:ascii="宋体" w:hAnsi="宋体" w:eastAsia="宋体"/>
                <w:szCs w:val="21"/>
              </w:rPr>
              <w:t>【掌握育人方法】了解课外活动组织和管理知识，掌握学校文化和各类课外教育活动的育人内涵和方法，参与组织主题教育、少先队活动和社团活动，促进小学生全面、健康发展。</w:t>
            </w:r>
          </w:p>
        </w:tc>
      </w:tr>
      <w:tr w14:paraId="777B4D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8" w:hRule="atLeast"/>
          <w:jc w:val="center"/>
        </w:trPr>
        <w:tc>
          <w:tcPr>
            <w:tcW w:w="660" w:type="pct"/>
            <w:vMerge w:val="continue"/>
            <w:vAlign w:val="center"/>
          </w:tcPr>
          <w:p w14:paraId="68B2239B">
            <w:pPr>
              <w:jc w:val="center"/>
              <w:rPr>
                <w:rFonts w:ascii="宋体" w:hAnsi="宋体" w:eastAsia="宋体" w:cs="Times New Roman"/>
                <w:color w:val="000000"/>
                <w:szCs w:val="21"/>
              </w:rPr>
            </w:pPr>
          </w:p>
        </w:tc>
        <w:tc>
          <w:tcPr>
            <w:tcW w:w="735" w:type="pct"/>
            <w:vMerge w:val="restart"/>
            <w:vAlign w:val="center"/>
          </w:tcPr>
          <w:p w14:paraId="47F43EB4">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p>
          <w:p w14:paraId="02773CE2">
            <w:pPr>
              <w:rPr>
                <w:rFonts w:ascii="宋体" w:hAnsi="宋体" w:eastAsia="宋体" w:cs="Times New Roman"/>
                <w:color w:val="000000"/>
                <w:kern w:val="0"/>
                <w:szCs w:val="21"/>
              </w:rPr>
            </w:pPr>
            <w:r>
              <w:rPr>
                <w:rFonts w:hint="eastAsia" w:ascii="宋体" w:hAnsi="宋体" w:eastAsia="宋体" w:cs="Times New Roman"/>
                <w:color w:val="000000"/>
                <w:kern w:val="0"/>
                <w:szCs w:val="21"/>
              </w:rPr>
              <w:t>学会反思</w:t>
            </w:r>
          </w:p>
        </w:tc>
        <w:tc>
          <w:tcPr>
            <w:tcW w:w="3605" w:type="pct"/>
            <w:tcBorders>
              <w:top w:val="single" w:color="auto" w:sz="4" w:space="0"/>
              <w:right w:val="single" w:color="000000" w:sz="8" w:space="0"/>
            </w:tcBorders>
            <w:vAlign w:val="center"/>
          </w:tcPr>
          <w:p w14:paraId="32281D6A">
            <w:pPr>
              <w:jc w:val="left"/>
              <w:rPr>
                <w:rFonts w:ascii="宋体" w:hAnsi="宋体" w:eastAsia="宋体" w:cs="Times New Roman"/>
                <w:color w:val="000000"/>
                <w:kern w:val="0"/>
                <w:szCs w:val="21"/>
              </w:rPr>
            </w:pPr>
            <w:r>
              <w:rPr>
                <w:rFonts w:hint="eastAsia" w:ascii="宋体" w:hAnsi="宋体" w:eastAsia="宋体" w:cs="Times New Roman"/>
                <w:color w:val="000000"/>
                <w:kern w:val="0"/>
                <w:szCs w:val="21"/>
              </w:rPr>
              <w:t>指标点</w:t>
            </w:r>
            <w:r>
              <w:rPr>
                <w:rFonts w:ascii="宋体" w:hAnsi="宋体" w:eastAsia="宋体" w:cs="Times New Roman"/>
                <w:color w:val="000000"/>
                <w:kern w:val="0"/>
                <w:szCs w:val="21"/>
              </w:rPr>
              <w:t>7-1：【教育视野开阔】积极参加基础教育领域的国内外交流，了解国内外基础教育改革发展的动态，具有宽广的教育视野，能够主动适应新时代和教育发展需求。</w:t>
            </w:r>
          </w:p>
        </w:tc>
      </w:tr>
      <w:tr w14:paraId="081F4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0" w:hRule="atLeast"/>
          <w:jc w:val="center"/>
        </w:trPr>
        <w:tc>
          <w:tcPr>
            <w:tcW w:w="660" w:type="pct"/>
            <w:vMerge w:val="continue"/>
            <w:vAlign w:val="center"/>
          </w:tcPr>
          <w:p w14:paraId="43BC0F5D">
            <w:pPr>
              <w:jc w:val="center"/>
              <w:rPr>
                <w:rFonts w:ascii="宋体" w:hAnsi="宋体" w:eastAsia="宋体" w:cs="Times New Roman"/>
                <w:color w:val="000000"/>
                <w:szCs w:val="21"/>
              </w:rPr>
            </w:pPr>
          </w:p>
        </w:tc>
        <w:tc>
          <w:tcPr>
            <w:tcW w:w="735" w:type="pct"/>
            <w:vMerge w:val="continue"/>
            <w:vAlign w:val="center"/>
          </w:tcPr>
          <w:p w14:paraId="3CD20C6E">
            <w:pPr>
              <w:rPr>
                <w:rFonts w:ascii="宋体" w:hAnsi="宋体" w:eastAsia="宋体" w:cs="Times New Roman"/>
                <w:color w:val="000000"/>
                <w:kern w:val="0"/>
                <w:szCs w:val="21"/>
              </w:rPr>
            </w:pPr>
          </w:p>
        </w:tc>
        <w:tc>
          <w:tcPr>
            <w:tcW w:w="3605" w:type="pct"/>
            <w:tcBorders>
              <w:top w:val="single" w:color="auto" w:sz="4" w:space="0"/>
              <w:right w:val="single" w:color="000000" w:sz="8" w:space="0"/>
            </w:tcBorders>
            <w:vAlign w:val="center"/>
          </w:tcPr>
          <w:p w14:paraId="257E8470">
            <w:pPr>
              <w:jc w:val="left"/>
              <w:rPr>
                <w:rFonts w:ascii="宋体" w:hAnsi="宋体" w:eastAsia="宋体"/>
                <w:szCs w:val="21"/>
              </w:rPr>
            </w:pPr>
            <w:r>
              <w:rPr>
                <w:rFonts w:ascii="宋体" w:hAnsi="宋体" w:eastAsia="宋体"/>
                <w:szCs w:val="21"/>
              </w:rPr>
              <w:t>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7CA373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660" w:type="pct"/>
            <w:vMerge w:val="restart"/>
            <w:vAlign w:val="center"/>
          </w:tcPr>
          <w:p w14:paraId="7744AFD8">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4</w:t>
            </w:r>
          </w:p>
        </w:tc>
        <w:tc>
          <w:tcPr>
            <w:tcW w:w="735" w:type="pct"/>
            <w:vMerge w:val="restart"/>
            <w:vAlign w:val="center"/>
          </w:tcPr>
          <w:p w14:paraId="0654B123">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p>
          <w:p w14:paraId="48C04765">
            <w:pPr>
              <w:rPr>
                <w:rFonts w:ascii="宋体" w:hAnsi="宋体" w:eastAsia="宋体" w:cs="Times New Roman"/>
                <w:color w:val="000000"/>
                <w:kern w:val="0"/>
                <w:szCs w:val="21"/>
              </w:rPr>
            </w:pPr>
            <w:r>
              <w:rPr>
                <w:rFonts w:hint="eastAsia" w:ascii="宋体" w:hAnsi="宋体" w:eastAsia="宋体" w:cs="Times New Roman"/>
                <w:color w:val="000000"/>
                <w:kern w:val="0"/>
                <w:szCs w:val="21"/>
              </w:rPr>
              <w:t>沟通合作</w:t>
            </w:r>
          </w:p>
        </w:tc>
        <w:tc>
          <w:tcPr>
            <w:tcW w:w="3605" w:type="pct"/>
            <w:tcBorders>
              <w:top w:val="single" w:color="auto" w:sz="4" w:space="0"/>
              <w:bottom w:val="single" w:color="auto" w:sz="4" w:space="0"/>
              <w:right w:val="single" w:color="000000" w:sz="8" w:space="0"/>
            </w:tcBorders>
            <w:vAlign w:val="center"/>
          </w:tcPr>
          <w:p w14:paraId="229EEF24">
            <w:pPr>
              <w:jc w:val="left"/>
              <w:rPr>
                <w:rFonts w:ascii="宋体" w:hAnsi="宋体" w:eastAsia="宋体" w:cs="Times New Roman"/>
                <w:color w:val="000000"/>
                <w:kern w:val="0"/>
                <w:szCs w:val="21"/>
              </w:rPr>
            </w:pPr>
            <w:r>
              <w:rPr>
                <w:rFonts w:ascii="宋体" w:hAnsi="宋体" w:eastAsia="宋体"/>
                <w:szCs w:val="21"/>
              </w:rPr>
              <w:t>8-1：</w:t>
            </w:r>
            <w:r>
              <w:rPr>
                <w:rFonts w:hint="eastAsia" w:ascii="宋体" w:hAnsi="宋体" w:eastAsia="宋体"/>
                <w:szCs w:val="21"/>
              </w:rPr>
              <w:t>【善于团队合作】</w:t>
            </w:r>
            <w:r>
              <w:rPr>
                <w:rFonts w:hint="eastAsia" w:ascii="宋体" w:hAnsi="宋体" w:eastAsia="宋体"/>
                <w:szCs w:val="23"/>
              </w:rPr>
              <w:t>理解学习共同体的本质和价值，掌握团队协作的基本策略，在课堂学习与教育实践中获得合作学习体验，形成团队协作精神。</w:t>
            </w:r>
          </w:p>
        </w:tc>
      </w:tr>
      <w:tr w14:paraId="6B947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5" w:hRule="atLeast"/>
          <w:jc w:val="center"/>
        </w:trPr>
        <w:tc>
          <w:tcPr>
            <w:tcW w:w="660" w:type="pct"/>
            <w:vMerge w:val="continue"/>
            <w:tcBorders>
              <w:bottom w:val="single" w:color="000000" w:sz="8" w:space="0"/>
            </w:tcBorders>
          </w:tcPr>
          <w:p w14:paraId="395FB4A1">
            <w:pPr>
              <w:jc w:val="left"/>
              <w:rPr>
                <w:rFonts w:ascii="宋体" w:hAnsi="宋体" w:eastAsia="宋体" w:cs="Times New Roman"/>
                <w:color w:val="000000"/>
                <w:szCs w:val="21"/>
              </w:rPr>
            </w:pPr>
          </w:p>
        </w:tc>
        <w:tc>
          <w:tcPr>
            <w:tcW w:w="735" w:type="pct"/>
            <w:vMerge w:val="continue"/>
            <w:tcBorders>
              <w:bottom w:val="single" w:color="000000" w:sz="8" w:space="0"/>
            </w:tcBorders>
          </w:tcPr>
          <w:p w14:paraId="0D11A01D">
            <w:pPr>
              <w:jc w:val="left"/>
              <w:rPr>
                <w:rFonts w:ascii="宋体" w:hAnsi="宋体" w:eastAsia="宋体" w:cs="Times New Roman"/>
                <w:color w:val="000000"/>
                <w:szCs w:val="21"/>
              </w:rPr>
            </w:pPr>
          </w:p>
        </w:tc>
        <w:tc>
          <w:tcPr>
            <w:tcW w:w="3605" w:type="pct"/>
            <w:tcBorders>
              <w:top w:val="single" w:color="auto" w:sz="4" w:space="0"/>
              <w:bottom w:val="single" w:color="000000" w:sz="8" w:space="0"/>
              <w:right w:val="single" w:color="000000" w:sz="8" w:space="0"/>
            </w:tcBorders>
            <w:vAlign w:val="center"/>
          </w:tcPr>
          <w:p w14:paraId="5A758985">
            <w:pPr>
              <w:jc w:val="left"/>
              <w:rPr>
                <w:rFonts w:ascii="宋体" w:hAnsi="宋体" w:eastAsia="宋体" w:cs="Times New Roman"/>
                <w:color w:val="000000"/>
                <w:spacing w:val="2"/>
                <w:kern w:val="0"/>
                <w:szCs w:val="21"/>
              </w:rPr>
            </w:pPr>
            <w:r>
              <w:rPr>
                <w:rFonts w:ascii="宋体" w:hAnsi="宋体" w:eastAsia="宋体"/>
                <w:szCs w:val="21"/>
              </w:rPr>
              <w:t>8-2：</w:t>
            </w:r>
            <w:r>
              <w:rPr>
                <w:rFonts w:hint="eastAsia" w:ascii="宋体" w:hAnsi="宋体" w:eastAsia="宋体"/>
                <w:szCs w:val="21"/>
              </w:rPr>
              <w:t>【学会沟通交流】掌握人际沟通合作技能与方法，能与学生和家长以及同行、同事、专家进行有效沟通与合作，实现共同发展。</w:t>
            </w:r>
          </w:p>
        </w:tc>
      </w:tr>
    </w:tbl>
    <w:p w14:paraId="113E226B">
      <w:pPr>
        <w:spacing w:line="360" w:lineRule="auto"/>
        <w:jc w:val="center"/>
        <w:rPr>
          <w:rFonts w:ascii="宋体" w:hAnsi="宋体" w:eastAsia="宋体" w:cs="Times New Roman"/>
          <w:b/>
          <w:bCs/>
          <w:color w:val="000000"/>
          <w:sz w:val="24"/>
          <w:szCs w:val="24"/>
        </w:rPr>
      </w:pPr>
    </w:p>
    <w:p w14:paraId="52762403">
      <w:pPr>
        <w:adjustRightInd w:val="0"/>
        <w:snapToGrid w:val="0"/>
        <w:spacing w:line="360" w:lineRule="auto"/>
        <w:ind w:firstLine="551" w:firstLineChars="196"/>
        <w:rPr>
          <w:rFonts w:ascii="宋体" w:hAnsi="宋体" w:eastAsia="宋体" w:cs="Times New Roman"/>
          <w:b/>
          <w:color w:val="000000" w:themeColor="text1"/>
          <w:sz w:val="28"/>
          <w:szCs w:val="28"/>
          <w14:textFill>
            <w14:solidFill>
              <w14:schemeClr w14:val="tx1"/>
            </w14:solidFill>
          </w14:textFill>
        </w:rPr>
      </w:pPr>
      <w:r>
        <w:rPr>
          <w:rFonts w:hint="eastAsia" w:ascii="宋体" w:hAnsi="宋体" w:eastAsia="宋体" w:cs="Times New Roman"/>
          <w:b/>
          <w:color w:val="000000" w:themeColor="text1"/>
          <w:sz w:val="28"/>
          <w:szCs w:val="28"/>
          <w14:textFill>
            <w14:solidFill>
              <w14:schemeClr w14:val="tx1"/>
            </w14:solidFill>
          </w14:textFill>
        </w:rPr>
        <w:t>三、课程内容</w:t>
      </w:r>
    </w:p>
    <w:p w14:paraId="62E0B1C5">
      <w:pPr>
        <w:adjustRightInd w:val="0"/>
        <w:snapToGrid w:val="0"/>
        <w:spacing w:line="360" w:lineRule="auto"/>
        <w:ind w:firstLine="472" w:firstLineChars="196"/>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（一）课堂教学研习（本模块可以支撑课程目标1、</w:t>
      </w:r>
      <w:r>
        <w:rPr>
          <w:rFonts w:ascii="宋体" w:hAnsi="宋体" w:eastAsia="宋体" w:cs="Times New Roman"/>
          <w:b/>
          <w:color w:val="000000" w:themeColor="text1"/>
          <w:sz w:val="24"/>
          <w:szCs w:val="24"/>
          <w14:textFill>
            <w14:solidFill>
              <w14:schemeClr w14:val="tx1"/>
            </w14:solidFill>
          </w14:textFill>
        </w:rPr>
        <w:t>2</w:t>
      </w:r>
      <w:r>
        <w:rPr>
          <w:rFonts w:hint="eastAsia" w:ascii="宋体" w:hAnsi="宋体" w:eastAsia="宋体" w:cs="Times New Roman"/>
          <w:b/>
          <w:color w:val="000000" w:themeColor="text1"/>
          <w:sz w:val="24"/>
          <w:szCs w:val="24"/>
          <w14:textFill>
            <w14:solidFill>
              <w14:schemeClr w14:val="tx1"/>
            </w14:solidFill>
          </w14:textFill>
        </w:rPr>
        <w:t>、3、4）</w:t>
      </w:r>
    </w:p>
    <w:p w14:paraId="79A7CD3C">
      <w:pPr>
        <w:adjustRightInd w:val="0"/>
        <w:snapToGrid w:val="0"/>
        <w:spacing w:line="360" w:lineRule="auto"/>
        <w:ind w:firstLine="472" w:firstLineChars="196"/>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42078324">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教育</w:t>
      </w:r>
      <w:r>
        <w:rPr>
          <w:rFonts w:hint="eastAsia" w:ascii="宋体" w:hAnsi="宋体" w:eastAsia="宋体" w:cs="Times New Roman"/>
          <w:color w:val="000000" w:themeColor="text1"/>
          <w:sz w:val="24"/>
          <w:szCs w:val="24"/>
          <w14:textFill>
            <w14:solidFill>
              <w14:schemeClr w14:val="tx1"/>
            </w14:solidFill>
          </w14:textFill>
        </w:rPr>
        <w:t>研习安排第7学期7</w:t>
      </w:r>
      <w:r>
        <w:rPr>
          <w:rFonts w:ascii="宋体" w:hAnsi="宋体" w:eastAsia="宋体" w:cs="Times New Roman"/>
          <w:color w:val="000000" w:themeColor="text1"/>
          <w:sz w:val="24"/>
          <w:szCs w:val="24"/>
          <w14:textFill>
            <w14:solidFill>
              <w14:schemeClr w14:val="tx1"/>
            </w14:solidFill>
          </w14:textFill>
        </w:rPr>
        <w:t>-8</w:t>
      </w:r>
      <w:r>
        <w:rPr>
          <w:rFonts w:hint="eastAsia" w:ascii="宋体" w:hAnsi="宋体" w:eastAsia="宋体" w:cs="Times New Roman"/>
          <w:color w:val="000000" w:themeColor="text1"/>
          <w:sz w:val="24"/>
          <w:szCs w:val="24"/>
          <w14:textFill>
            <w14:solidFill>
              <w14:schemeClr w14:val="tx1"/>
            </w14:solidFill>
          </w14:textFill>
        </w:rPr>
        <w:t>周</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实习生</w:t>
      </w:r>
      <w:r>
        <w:rPr>
          <w:rFonts w:ascii="宋体" w:hAnsi="宋体" w:eastAsia="宋体" w:cs="Times New Roman"/>
          <w:color w:val="000000" w:themeColor="text1"/>
          <w:sz w:val="24"/>
          <w:szCs w:val="24"/>
          <w14:textFill>
            <w14:solidFill>
              <w14:schemeClr w14:val="tx1"/>
            </w14:solidFill>
          </w14:textFill>
        </w:rPr>
        <w:t>与指导教师讨论确定研习方案；</w:t>
      </w:r>
      <w:r>
        <w:rPr>
          <w:rFonts w:hint="eastAsia" w:ascii="宋体" w:hAnsi="宋体" w:eastAsia="宋体" w:cs="Times New Roman"/>
          <w:color w:val="000000" w:themeColor="text1"/>
          <w:sz w:val="24"/>
          <w:szCs w:val="24"/>
          <w14:textFill>
            <w14:solidFill>
              <w14:schemeClr w14:val="tx1"/>
            </w14:solidFill>
          </w14:textFill>
        </w:rPr>
        <w:t>通过参与小学课堂评课和观看相关录像，</w:t>
      </w:r>
      <w:r>
        <w:rPr>
          <w:rFonts w:ascii="宋体" w:hAnsi="宋体" w:eastAsia="宋体" w:cs="Times New Roman"/>
          <w:color w:val="000000" w:themeColor="text1"/>
          <w:sz w:val="24"/>
          <w:szCs w:val="24"/>
          <w14:textFill>
            <w14:solidFill>
              <w14:schemeClr w14:val="tx1"/>
            </w14:solidFill>
          </w14:textFill>
        </w:rPr>
        <w:t>准备</w:t>
      </w:r>
      <w:r>
        <w:rPr>
          <w:rFonts w:hint="eastAsia" w:ascii="宋体" w:hAnsi="宋体" w:eastAsia="宋体" w:cs="Times New Roman"/>
          <w:color w:val="000000" w:themeColor="text1"/>
          <w:sz w:val="24"/>
          <w:szCs w:val="24"/>
          <w14:textFill>
            <w14:solidFill>
              <w14:schemeClr w14:val="tx1"/>
            </w14:solidFill>
          </w14:textFill>
        </w:rPr>
        <w:t>评课记录</w:t>
      </w:r>
      <w:r>
        <w:rPr>
          <w:rFonts w:ascii="宋体" w:hAnsi="宋体" w:eastAsia="宋体" w:cs="Times New Roman"/>
          <w:color w:val="000000" w:themeColor="text1"/>
          <w:sz w:val="24"/>
          <w:szCs w:val="24"/>
          <w14:textFill>
            <w14:solidFill>
              <w14:schemeClr w14:val="tx1"/>
            </w14:solidFill>
          </w14:textFill>
        </w:rPr>
        <w:t>、课后反思、教学后记、案例材料、实习体会等研习材料</w:t>
      </w:r>
      <w:r>
        <w:rPr>
          <w:rFonts w:hint="eastAsia" w:ascii="宋体" w:hAnsi="宋体" w:eastAsia="宋体" w:cs="Times New Roman"/>
          <w:color w:val="000000" w:themeColor="text1"/>
          <w:sz w:val="24"/>
          <w:szCs w:val="24"/>
          <w14:textFill>
            <w14:solidFill>
              <w14:schemeClr w14:val="tx1"/>
            </w14:solidFill>
          </w14:textFill>
        </w:rPr>
        <w:t>。</w:t>
      </w:r>
    </w:p>
    <w:p w14:paraId="30439DBD">
      <w:pPr>
        <w:adjustRightInd w:val="0"/>
        <w:snapToGrid w:val="0"/>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2</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要求</w:t>
      </w:r>
    </w:p>
    <w:p w14:paraId="42953A67">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（1）每位实习生必须按照研习计划认真准备研习主题、研习案例或课例等。</w:t>
      </w:r>
    </w:p>
    <w:p w14:paraId="6785AA43">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（2）听课不少于1</w:t>
      </w:r>
      <w:r>
        <w:rPr>
          <w:rFonts w:ascii="宋体" w:hAnsi="宋体" w:eastAsia="宋体" w:cs="Times New Roman"/>
          <w:color w:val="000000" w:themeColor="text1"/>
          <w:sz w:val="24"/>
          <w:szCs w:val="24"/>
          <w14:textFill>
            <w14:solidFill>
              <w14:schemeClr w14:val="tx1"/>
            </w14:solidFill>
          </w14:textFill>
        </w:rPr>
        <w:t>5</w:t>
      </w:r>
      <w:r>
        <w:rPr>
          <w:rFonts w:hint="eastAsia" w:ascii="宋体" w:hAnsi="宋体" w:eastAsia="宋体" w:cs="Times New Roman"/>
          <w:color w:val="000000" w:themeColor="text1"/>
          <w:sz w:val="24"/>
          <w:szCs w:val="24"/>
          <w14:textFill>
            <w14:solidFill>
              <w14:schemeClr w14:val="tx1"/>
            </w14:solidFill>
          </w14:textFill>
        </w:rPr>
        <w:t>节课，并做好听课记录、评课记录、反思等材料，其中提交听课记录1</w:t>
      </w:r>
      <w:r>
        <w:rPr>
          <w:rFonts w:ascii="宋体" w:hAnsi="宋体" w:eastAsia="宋体" w:cs="Times New Roman"/>
          <w:color w:val="000000" w:themeColor="text1"/>
          <w:sz w:val="24"/>
          <w:szCs w:val="24"/>
          <w14:textFill>
            <w14:solidFill>
              <w14:schemeClr w14:val="tx1"/>
            </w14:solidFill>
          </w14:textFill>
        </w:rPr>
        <w:t>0</w:t>
      </w:r>
      <w:r>
        <w:rPr>
          <w:rFonts w:hint="eastAsia" w:ascii="宋体" w:hAnsi="宋体" w:eastAsia="宋体" w:cs="Times New Roman"/>
          <w:color w:val="000000" w:themeColor="text1"/>
          <w:sz w:val="24"/>
          <w:szCs w:val="24"/>
          <w14:textFill>
            <w14:solidFill>
              <w14:schemeClr w14:val="tx1"/>
            </w14:solidFill>
          </w14:textFill>
        </w:rPr>
        <w:t>节，评课记录2节。</w:t>
      </w:r>
    </w:p>
    <w:p w14:paraId="15AD2D3A">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（3）选择一项优秀课例或案例撰写分析报告1篇。</w:t>
      </w:r>
    </w:p>
    <w:p w14:paraId="04F8882E">
      <w:pPr>
        <w:adjustRightInd w:val="0"/>
        <w:snapToGrid w:val="0"/>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3869021C">
      <w:pPr>
        <w:adjustRightInd w:val="0"/>
        <w:snapToGrid w:val="0"/>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Times New Roman" w:eastAsia="宋体" w:cs="Times New Roman"/>
          <w:color w:val="000000" w:themeColor="text1"/>
          <w:sz w:val="24"/>
          <w:szCs w:val="24"/>
          <w14:textFill>
            <w14:solidFill>
              <w14:schemeClr w14:val="tx1"/>
            </w14:solidFill>
          </w14:textFill>
        </w:rPr>
        <w:t>把“立德树人”教育目标融入实践过程中，领悟教师职业的价值，</w:t>
      </w:r>
      <w:r>
        <w:rPr>
          <w:rFonts w:hint="eastAsia" w:ascii="宋体" w:hAnsi="宋体" w:eastAsia="宋体" w:cs="Times New Roman"/>
          <w:color w:val="000000" w:themeColor="text1"/>
          <w:sz w:val="24"/>
          <w:szCs w:val="24"/>
          <w14:textFill>
            <w14:solidFill>
              <w14:schemeClr w14:val="tx1"/>
            </w14:solidFill>
          </w14:textFill>
        </w:rPr>
        <w:t>树立职业理想，立志成为有理想信念、有道德情操、有扎实学识、有仁爱之心的好教师。</w:t>
      </w:r>
    </w:p>
    <w:p w14:paraId="2169B597">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（二）班队工作研习（本模块可以支撑课程目标1、2、3、4）</w:t>
      </w:r>
    </w:p>
    <w:p w14:paraId="02B26490">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06E277A8">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在实践导师安排下，根据研习方案，掌握学生日常管理和组织班队活动等工作技能。</w:t>
      </w:r>
    </w:p>
    <w:p w14:paraId="05CA9547">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ascii="宋体" w:hAnsi="宋体" w:eastAsia="宋体" w:cs="Times New Roman"/>
          <w:b/>
          <w:color w:val="000000" w:themeColor="text1"/>
          <w:sz w:val="24"/>
          <w:szCs w:val="24"/>
          <w14:textFill>
            <w14:solidFill>
              <w14:schemeClr w14:val="tx1"/>
            </w14:solidFill>
          </w14:textFill>
        </w:rPr>
        <w:t>2.</w:t>
      </w:r>
      <w:r>
        <w:rPr>
          <w:rFonts w:hint="eastAsia" w:ascii="宋体" w:hAnsi="宋体" w:eastAsia="宋体" w:cs="Times New Roman"/>
          <w:b/>
          <w:color w:val="000000" w:themeColor="text1"/>
          <w:sz w:val="24"/>
          <w:szCs w:val="24"/>
          <w14:textFill>
            <w14:solidFill>
              <w14:schemeClr w14:val="tx1"/>
            </w14:solidFill>
          </w14:textFill>
        </w:rPr>
        <w:t>要求</w:t>
      </w:r>
    </w:p>
    <w:p w14:paraId="4A6139A5">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（1）书写</w:t>
      </w:r>
      <w:r>
        <w:rPr>
          <w:rFonts w:ascii="宋体" w:hAnsi="宋体" w:eastAsia="宋体" w:cs="Times New Roman"/>
          <w:color w:val="000000" w:themeColor="text1"/>
          <w:sz w:val="24"/>
          <w:szCs w:val="24"/>
          <w14:textFill>
            <w14:solidFill>
              <w14:schemeClr w14:val="tx1"/>
            </w14:solidFill>
          </w14:textFill>
        </w:rPr>
        <w:t>班级管理案例或少先队（班队）工作案例分析1份。</w:t>
      </w:r>
    </w:p>
    <w:p w14:paraId="0C9790D3">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（2）设计主题班会或班队活动2次。</w:t>
      </w:r>
    </w:p>
    <w:p w14:paraId="5734A078">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1DCD9474">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在教育实践中</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坚持科学正确的教育观、学生观，</w:t>
      </w:r>
      <w:r>
        <w:rPr>
          <w:rFonts w:ascii="宋体" w:hAnsi="宋体" w:eastAsia="宋体" w:cs="Times New Roman"/>
          <w:color w:val="000000" w:themeColor="text1"/>
          <w:sz w:val="24"/>
          <w:szCs w:val="24"/>
          <w14:textFill>
            <w14:solidFill>
              <w14:schemeClr w14:val="tx1"/>
            </w14:solidFill>
          </w14:textFill>
        </w:rPr>
        <w:t>充分</w:t>
      </w:r>
      <w:r>
        <w:rPr>
          <w:rFonts w:hint="eastAsia" w:ascii="宋体" w:hAnsi="宋体" w:eastAsia="宋体" w:cs="Times New Roman"/>
          <w:color w:val="000000" w:themeColor="text1"/>
          <w:sz w:val="24"/>
          <w:szCs w:val="24"/>
          <w14:textFill>
            <w14:solidFill>
              <w14:schemeClr w14:val="tx1"/>
            </w14:solidFill>
          </w14:textFill>
        </w:rPr>
        <w:t>尊重</w:t>
      </w:r>
      <w:r>
        <w:rPr>
          <w:rFonts w:ascii="宋体" w:hAnsi="宋体" w:eastAsia="宋体" w:cs="Times New Roman"/>
          <w:color w:val="000000" w:themeColor="text1"/>
          <w:sz w:val="24"/>
          <w:szCs w:val="24"/>
          <w14:textFill>
            <w14:solidFill>
              <w14:schemeClr w14:val="tx1"/>
            </w14:solidFill>
          </w14:textFill>
        </w:rPr>
        <w:t>学生心理规律，</w:t>
      </w:r>
      <w:r>
        <w:rPr>
          <w:rFonts w:hint="eastAsia" w:ascii="宋体" w:hAnsi="宋体" w:eastAsia="宋体" w:cs="Times New Roman"/>
          <w:color w:val="000000" w:themeColor="text1"/>
          <w:sz w:val="24"/>
          <w:szCs w:val="24"/>
          <w14:textFill>
            <w14:solidFill>
              <w14:schemeClr w14:val="tx1"/>
            </w14:solidFill>
          </w14:textFill>
        </w:rPr>
        <w:t>实事求是，将理论知识与实践知识相结合，增进对专业的认知与认同。</w:t>
      </w:r>
      <w:r>
        <w:rPr>
          <w:rFonts w:ascii="宋体" w:hAnsi="宋体" w:eastAsia="宋体" w:cs="Times New Roman"/>
          <w:color w:val="000000" w:themeColor="text1"/>
          <w:sz w:val="24"/>
          <w:szCs w:val="24"/>
          <w14:textFill>
            <w14:solidFill>
              <w14:schemeClr w14:val="tx1"/>
            </w14:solidFill>
          </w14:textFill>
        </w:rPr>
        <w:t>把立德树人</w:t>
      </w:r>
      <w:r>
        <w:rPr>
          <w:rFonts w:hint="eastAsia" w:ascii="宋体" w:hAnsi="宋体" w:eastAsia="宋体" w:cs="Times New Roman"/>
          <w:color w:val="000000" w:themeColor="text1"/>
          <w:sz w:val="24"/>
          <w:szCs w:val="24"/>
          <w14:textFill>
            <w14:solidFill>
              <w14:schemeClr w14:val="tx1"/>
            </w14:solidFill>
          </w14:textFill>
        </w:rPr>
        <w:t>作为教育使命，主动研究教育教学问题。</w:t>
      </w:r>
    </w:p>
    <w:p w14:paraId="4CB5FF5A">
      <w:pPr>
        <w:spacing w:line="360" w:lineRule="auto"/>
        <w:ind w:firstLine="482" w:firstLineChars="200"/>
        <w:rPr>
          <w:rFonts w:ascii="宋体" w:hAnsi="宋体" w:eastAsia="宋体" w:cs="Times New Roman"/>
          <w:b/>
          <w:color w:val="FF0000"/>
          <w:sz w:val="24"/>
          <w:szCs w:val="24"/>
        </w:rPr>
      </w:pPr>
      <w:r>
        <w:rPr>
          <w:rFonts w:hint="eastAsia" w:ascii="宋体" w:hAnsi="宋体" w:eastAsia="宋体" w:cs="Times New Roman"/>
          <w:b/>
          <w:color w:val="000000" w:themeColor="text1"/>
          <w:sz w:val="24"/>
          <w:szCs w:val="24"/>
          <w14:textFill>
            <w14:solidFill>
              <w14:schemeClr w14:val="tx1"/>
            </w14:solidFill>
          </w14:textFill>
        </w:rPr>
        <w:t>（三）教育研习总结（本模块可以支撑课程目标1、2、3、4）</w:t>
      </w:r>
    </w:p>
    <w:p w14:paraId="5E6AEA63">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内容</w:t>
      </w:r>
    </w:p>
    <w:p w14:paraId="65449E0C">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研习生返校后，以班级为单位进行实习经验交流、成果展览；以自由</w:t>
      </w:r>
      <w:r>
        <w:rPr>
          <w:rFonts w:ascii="宋体" w:hAnsi="宋体" w:eastAsia="宋体" w:cs="Times New Roman"/>
          <w:color w:val="000000" w:themeColor="text1"/>
          <w:sz w:val="24"/>
          <w:szCs w:val="24"/>
          <w14:textFill>
            <w14:solidFill>
              <w14:schemeClr w14:val="tx1"/>
            </w14:solidFill>
          </w14:textFill>
        </w:rPr>
        <w:t>报名和班级推选相结合的方式组织系级实习赛讲；召开专业教育实习交流会，每</w:t>
      </w:r>
      <w:r>
        <w:rPr>
          <w:rFonts w:hint="eastAsia" w:ascii="宋体" w:hAnsi="宋体" w:eastAsia="宋体" w:cs="Times New Roman"/>
          <w:color w:val="000000" w:themeColor="text1"/>
          <w:sz w:val="24"/>
          <w:szCs w:val="24"/>
          <w14:textFill>
            <w14:solidFill>
              <w14:schemeClr w14:val="tx1"/>
            </w14:solidFill>
          </w14:textFill>
        </w:rPr>
        <w:t>个班级推荐优秀实习生做实习经验感言交流，并对优秀实习生进行表彰。</w:t>
      </w:r>
    </w:p>
    <w:p w14:paraId="311D2C03">
      <w:pPr>
        <w:spacing w:line="360" w:lineRule="auto"/>
        <w:ind w:firstLine="482" w:firstLineChars="200"/>
        <w:rPr>
          <w:rFonts w:ascii="宋体" w:hAnsi="Times New Roman"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2</w:t>
      </w:r>
      <w:r>
        <w:rPr>
          <w:rFonts w:ascii="宋体" w:hAnsi="宋体" w:eastAsia="宋体" w:cs="Times New Roman"/>
          <w:b/>
          <w:color w:val="000000" w:themeColor="text1"/>
          <w:sz w:val="24"/>
          <w:szCs w:val="24"/>
          <w14:textFill>
            <w14:solidFill>
              <w14:schemeClr w14:val="tx1"/>
            </w14:solidFill>
          </w14:textFill>
        </w:rPr>
        <w:t>.</w:t>
      </w:r>
      <w:r>
        <w:rPr>
          <w:rFonts w:hint="eastAsia" w:ascii="宋体" w:hAnsi="宋体" w:eastAsia="宋体" w:cs="Times New Roman"/>
          <w:b/>
          <w:color w:val="000000" w:themeColor="text1"/>
          <w:sz w:val="24"/>
          <w:szCs w:val="24"/>
          <w14:textFill>
            <w14:solidFill>
              <w14:schemeClr w14:val="tx1"/>
            </w14:solidFill>
          </w14:textFill>
        </w:rPr>
        <w:t>要求</w:t>
      </w:r>
    </w:p>
    <w:p w14:paraId="515341CE">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（1）以班级为单位，对研习总结、评课记录、教学后记、教学案例进行研习。</w:t>
      </w:r>
    </w:p>
    <w:p w14:paraId="7474D0B4">
      <w:pPr>
        <w:spacing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（2）进行教育研习总结，提交图文并茂P</w:t>
      </w:r>
      <w:r>
        <w:rPr>
          <w:rFonts w:ascii="宋体" w:hAnsi="宋体" w:eastAsia="宋体" w:cs="Times New Roman"/>
          <w:color w:val="000000" w:themeColor="text1"/>
          <w:sz w:val="24"/>
          <w:szCs w:val="24"/>
          <w14:textFill>
            <w14:solidFill>
              <w14:schemeClr w14:val="tx1"/>
            </w14:solidFill>
          </w14:textFill>
        </w:rPr>
        <w:t>PT</w:t>
      </w:r>
      <w:r>
        <w:rPr>
          <w:rFonts w:hint="eastAsia" w:ascii="宋体" w:hAnsi="宋体" w:eastAsia="宋体" w:cs="Times New Roman"/>
          <w:color w:val="000000" w:themeColor="text1"/>
          <w:sz w:val="24"/>
          <w:szCs w:val="24"/>
          <w14:textFill>
            <w14:solidFill>
              <w14:schemeClr w14:val="tx1"/>
            </w14:solidFill>
          </w14:textFill>
        </w:rPr>
        <w:t>一份。</w:t>
      </w:r>
    </w:p>
    <w:p w14:paraId="466F2496">
      <w:pPr>
        <w:spacing w:line="360" w:lineRule="auto"/>
        <w:ind w:firstLine="482" w:firstLineChars="200"/>
        <w:rPr>
          <w:rFonts w:ascii="宋体" w:hAnsi="宋体" w:eastAsia="宋体" w:cs="Times New Roman"/>
          <w:b/>
          <w:bCs/>
          <w:color w:val="000000" w:themeColor="text1"/>
          <w:sz w:val="24"/>
          <w:szCs w:val="24"/>
          <w14:textFill>
            <w14:solidFill>
              <w14:schemeClr w14:val="tx1"/>
            </w14:solidFill>
          </w14:textFill>
        </w:rPr>
      </w:pPr>
      <w:r>
        <w:rPr>
          <w:rFonts w:hint="eastAsia" w:ascii="宋体" w:hAnsi="宋体" w:eastAsia="宋体" w:cs="Times New Roman"/>
          <w:b/>
          <w:bCs/>
          <w:color w:val="000000" w:themeColor="text1"/>
          <w:sz w:val="24"/>
          <w:szCs w:val="24"/>
          <w14:textFill>
            <w14:solidFill>
              <w14:schemeClr w14:val="tx1"/>
            </w14:solidFill>
          </w14:textFill>
        </w:rPr>
        <w:t>3</w:t>
      </w:r>
      <w:r>
        <w:rPr>
          <w:rFonts w:ascii="宋体" w:hAnsi="宋体" w:eastAsia="宋体" w:cs="Times New Roman"/>
          <w:b/>
          <w:bCs/>
          <w:color w:val="000000" w:themeColor="text1"/>
          <w:sz w:val="24"/>
          <w:szCs w:val="24"/>
          <w14:textFill>
            <w14:solidFill>
              <w14:schemeClr w14:val="tx1"/>
            </w14:solidFill>
          </w14:textFill>
        </w:rPr>
        <w:t>.</w:t>
      </w:r>
      <w:r>
        <w:rPr>
          <w:rFonts w:hint="eastAsia" w:ascii="宋体" w:hAnsi="宋体" w:eastAsia="宋体" w:cs="Times New Roman"/>
          <w:b/>
          <w:bCs/>
          <w:color w:val="000000" w:themeColor="text1"/>
          <w:sz w:val="24"/>
          <w:szCs w:val="24"/>
          <w14:textFill>
            <w14:solidFill>
              <w14:schemeClr w14:val="tx1"/>
            </w14:solidFill>
          </w14:textFill>
        </w:rPr>
        <w:t>课程思政育人目标</w:t>
      </w:r>
    </w:p>
    <w:p w14:paraId="509524C7">
      <w:pPr>
        <w:spacing w:line="360" w:lineRule="auto"/>
        <w:ind w:firstLine="480" w:firstLineChars="200"/>
        <w:jc w:val="left"/>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理解培养全面发展的人这一教育理念，认识教育管理、班队活动的育人价值，提高教育修养，增强在教育过程中挖掘各个因素进行教育的意识和能力。</w:t>
      </w:r>
    </w:p>
    <w:p w14:paraId="537450DA">
      <w:pPr>
        <w:spacing w:line="360" w:lineRule="auto"/>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课程内容与课程目标的对应关系</w:t>
      </w:r>
    </w:p>
    <w:tbl>
      <w:tblPr>
        <w:tblStyle w:val="30"/>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5"/>
        <w:gridCol w:w="1436"/>
        <w:gridCol w:w="1391"/>
        <w:gridCol w:w="1436"/>
        <w:gridCol w:w="1370"/>
      </w:tblGrid>
      <w:tr w14:paraId="455A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175" w:type="dxa"/>
            <w:vAlign w:val="center"/>
          </w:tcPr>
          <w:p w14:paraId="7A021ED6">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课程内容</w:t>
            </w:r>
          </w:p>
        </w:tc>
        <w:tc>
          <w:tcPr>
            <w:tcW w:w="1436" w:type="dxa"/>
            <w:vAlign w:val="center"/>
          </w:tcPr>
          <w:p w14:paraId="1231D15D">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1</w:t>
            </w:r>
          </w:p>
        </w:tc>
        <w:tc>
          <w:tcPr>
            <w:tcW w:w="1391" w:type="dxa"/>
            <w:vAlign w:val="center"/>
          </w:tcPr>
          <w:p w14:paraId="1E71E2BB">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2</w:t>
            </w:r>
          </w:p>
        </w:tc>
        <w:tc>
          <w:tcPr>
            <w:tcW w:w="1436" w:type="dxa"/>
            <w:vAlign w:val="center"/>
          </w:tcPr>
          <w:p w14:paraId="6B5E3AD2">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3</w:t>
            </w:r>
          </w:p>
        </w:tc>
        <w:tc>
          <w:tcPr>
            <w:tcW w:w="1370" w:type="dxa"/>
            <w:vAlign w:val="center"/>
          </w:tcPr>
          <w:p w14:paraId="2C865685">
            <w:pPr>
              <w:spacing w:line="276" w:lineRule="auto"/>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r>
              <w:rPr>
                <w:rFonts w:ascii="宋体" w:hAnsi="宋体" w:eastAsia="宋体" w:cs="Times New Roman"/>
                <w:b/>
                <w:color w:val="000000"/>
                <w:szCs w:val="21"/>
              </w:rPr>
              <w:t>4</w:t>
            </w:r>
          </w:p>
        </w:tc>
      </w:tr>
      <w:tr w14:paraId="1FE7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175" w:type="dxa"/>
            <w:vAlign w:val="center"/>
          </w:tcPr>
          <w:p w14:paraId="12D8CE3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教学工作研习</w:t>
            </w:r>
          </w:p>
        </w:tc>
        <w:tc>
          <w:tcPr>
            <w:tcW w:w="1436" w:type="dxa"/>
            <w:vAlign w:val="center"/>
          </w:tcPr>
          <w:p w14:paraId="2309C17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7596613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24BFE00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198B50D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r>
      <w:tr w14:paraId="27DE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175" w:type="dxa"/>
            <w:vAlign w:val="center"/>
          </w:tcPr>
          <w:p w14:paraId="2C861BF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班队工作研习</w:t>
            </w:r>
          </w:p>
        </w:tc>
        <w:tc>
          <w:tcPr>
            <w:tcW w:w="1436" w:type="dxa"/>
            <w:vAlign w:val="center"/>
          </w:tcPr>
          <w:p w14:paraId="365B997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5A2B7E3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3F0CFEF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1AB43F03">
            <w:pPr>
              <w:spacing w:line="276" w:lineRule="auto"/>
              <w:jc w:val="center"/>
              <w:rPr>
                <w:rFonts w:ascii="宋体" w:hAnsi="宋体" w:eastAsia="宋体" w:cs="Times New Roman"/>
                <w:color w:val="000000"/>
                <w:szCs w:val="21"/>
              </w:rPr>
            </w:pPr>
          </w:p>
        </w:tc>
      </w:tr>
      <w:tr w14:paraId="28EF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175" w:type="dxa"/>
            <w:vAlign w:val="center"/>
          </w:tcPr>
          <w:p w14:paraId="2191B2B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教育研习总结</w:t>
            </w:r>
          </w:p>
        </w:tc>
        <w:tc>
          <w:tcPr>
            <w:tcW w:w="1436" w:type="dxa"/>
            <w:vAlign w:val="center"/>
          </w:tcPr>
          <w:p w14:paraId="35468BF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91" w:type="dxa"/>
            <w:vAlign w:val="center"/>
          </w:tcPr>
          <w:p w14:paraId="65BCB97E">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436" w:type="dxa"/>
            <w:vAlign w:val="center"/>
          </w:tcPr>
          <w:p w14:paraId="513D0CF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c>
          <w:tcPr>
            <w:tcW w:w="1370" w:type="dxa"/>
            <w:vAlign w:val="center"/>
          </w:tcPr>
          <w:p w14:paraId="2BBBA9E8">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0"/>
              </w:rPr>
              <w:sym w:font="Wingdings 2" w:char="F050"/>
            </w:r>
          </w:p>
        </w:tc>
      </w:tr>
    </w:tbl>
    <w:p w14:paraId="4F12469E">
      <w:pPr>
        <w:spacing w:line="360" w:lineRule="auto"/>
        <w:ind w:firstLine="562" w:firstLineChars="200"/>
        <w:rPr>
          <w:rFonts w:ascii="Times New Roman" w:hAnsi="Times New Roman" w:eastAsia="宋体" w:cs="Times New Roman"/>
          <w:b/>
          <w:sz w:val="28"/>
          <w:szCs w:val="28"/>
        </w:rPr>
      </w:pPr>
    </w:p>
    <w:p w14:paraId="095A5CE0">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157811F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（一）见习要求</w:t>
      </w:r>
    </w:p>
    <w:p w14:paraId="528134D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1.遵守见习学校各项规章制度，不迟到，不早退，虚心接受见习学校领导、指导教师的指导。</w:t>
      </w:r>
    </w:p>
    <w:p w14:paraId="4752FCC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2.文明礼貌，为人师表，爱护学生，尊重见习学校的师生员工，积极协助见习学校教师做力所能及的工作。</w:t>
      </w:r>
    </w:p>
    <w:p w14:paraId="7D410CF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3.同学之间团结友爱，注意安全。认真完成各项见习任务，做好每次的见习笔记，认真填写《小学教育专业学生见习手册》。</w:t>
      </w:r>
    </w:p>
    <w:p w14:paraId="2EDF2EC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4.见习组长负责与见习学校领导的联系以及见习活动的组织、考勤工作。所有学生必须全程参加见习活动，不得无故缺席。</w:t>
      </w:r>
    </w:p>
    <w:p w14:paraId="35A8D848">
      <w:pPr>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Cs/>
          <w:sz w:val="24"/>
          <w:szCs w:val="24"/>
        </w:rPr>
        <w:t>（二）</w:t>
      </w:r>
      <w:r>
        <w:rPr>
          <w:rFonts w:ascii="Times New Roman" w:hAnsi="Times New Roman" w:eastAsia="宋体" w:cs="Times New Roman"/>
          <w:bCs/>
          <w:sz w:val="24"/>
          <w:szCs w:val="24"/>
        </w:rPr>
        <w:t>主要</w:t>
      </w:r>
      <w:r>
        <w:rPr>
          <w:rFonts w:hint="eastAsia" w:ascii="Times New Roman" w:hAnsi="Times New Roman" w:eastAsia="宋体" w:cs="Times New Roman"/>
          <w:bCs/>
          <w:sz w:val="24"/>
          <w:szCs w:val="24"/>
        </w:rPr>
        <w:t>教学</w:t>
      </w:r>
      <w:r>
        <w:rPr>
          <w:rFonts w:ascii="Times New Roman" w:hAnsi="Times New Roman" w:eastAsia="宋体" w:cs="Times New Roman"/>
          <w:bCs/>
          <w:sz w:val="24"/>
          <w:szCs w:val="24"/>
        </w:rPr>
        <w:t>环节</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质量要求</w:t>
      </w:r>
      <w:r>
        <w:rPr>
          <w:rFonts w:hint="eastAsia" w:ascii="Times New Roman" w:hAnsi="Times New Roman" w:eastAsia="宋体" w:cs="Times New Roman"/>
          <w:bCs/>
          <w:sz w:val="24"/>
          <w:szCs w:val="24"/>
        </w:rPr>
        <w:t>如表所示</w:t>
      </w:r>
    </w:p>
    <w:tbl>
      <w:tblPr>
        <w:tblStyle w:val="30"/>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31"/>
        <w:gridCol w:w="7005"/>
      </w:tblGrid>
      <w:tr w14:paraId="1BAA0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01" w:type="dxa"/>
            <w:gridSpan w:val="2"/>
            <w:vAlign w:val="center"/>
          </w:tcPr>
          <w:p w14:paraId="3C4E9F9B">
            <w:pPr>
              <w:snapToGrid w:val="0"/>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7005" w:type="dxa"/>
            <w:vAlign w:val="center"/>
          </w:tcPr>
          <w:p w14:paraId="6499EFBC">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5E199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0" w:type="dxa"/>
            <w:vMerge w:val="restart"/>
            <w:vAlign w:val="center"/>
          </w:tcPr>
          <w:p w14:paraId="0DC70CCD">
            <w:pPr>
              <w:jc w:val="center"/>
              <w:rPr>
                <w:rFonts w:ascii="Times New Roman" w:hAnsi="Times New Roman" w:eastAsia="宋体" w:cs="Times New Roman"/>
                <w:szCs w:val="21"/>
              </w:rPr>
            </w:pPr>
            <w:r>
              <w:rPr>
                <w:rFonts w:ascii="Times New Roman" w:hAnsi="Times New Roman" w:eastAsia="宋体" w:cs="Times New Roman"/>
                <w:szCs w:val="21"/>
              </w:rPr>
              <w:t>准备</w:t>
            </w:r>
          </w:p>
          <w:p w14:paraId="00D79CFD">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62A594D2">
            <w:pPr>
              <w:rPr>
                <w:rFonts w:ascii="Times New Roman" w:hAnsi="Times New Roman" w:eastAsia="宋体" w:cs="Times New Roman"/>
                <w:szCs w:val="21"/>
              </w:rPr>
            </w:pPr>
            <w:r>
              <w:rPr>
                <w:rFonts w:ascii="Times New Roman" w:hAnsi="Times New Roman" w:eastAsia="宋体" w:cs="Times New Roman"/>
                <w:szCs w:val="21"/>
              </w:rPr>
              <w:t>1.实践计划</w:t>
            </w:r>
          </w:p>
        </w:tc>
        <w:tc>
          <w:tcPr>
            <w:tcW w:w="7005" w:type="dxa"/>
            <w:vAlign w:val="center"/>
          </w:tcPr>
          <w:p w14:paraId="4EA622BD">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研习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，选择相应的研习学校，并</w:t>
            </w:r>
            <w:r>
              <w:rPr>
                <w:rFonts w:ascii="Times New Roman" w:hAnsi="Times New Roman" w:eastAsia="宋体" w:cs="Times New Roman"/>
                <w:szCs w:val="21"/>
              </w:rPr>
              <w:t>在</w:t>
            </w:r>
            <w:r>
              <w:rPr>
                <w:rFonts w:hint="eastAsia" w:ascii="Times New Roman" w:hAnsi="Times New Roman" w:eastAsia="宋体" w:cs="Times New Roman"/>
                <w:szCs w:val="21"/>
              </w:rPr>
              <w:t>研习开始前制定研习方案</w:t>
            </w:r>
            <w:r>
              <w:rPr>
                <w:rFonts w:ascii="Times New Roman" w:hAnsi="Times New Roman" w:eastAsia="宋体" w:cs="Times New Roman"/>
                <w:szCs w:val="21"/>
              </w:rPr>
              <w:t>。</w:t>
            </w:r>
          </w:p>
        </w:tc>
      </w:tr>
      <w:tr w14:paraId="3C8EC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0" w:type="dxa"/>
            <w:vMerge w:val="continue"/>
            <w:vAlign w:val="center"/>
          </w:tcPr>
          <w:p w14:paraId="1C9769D0">
            <w:pPr>
              <w:jc w:val="center"/>
              <w:rPr>
                <w:rFonts w:ascii="Times New Roman" w:hAnsi="Times New Roman" w:eastAsia="宋体" w:cs="Times New Roman"/>
                <w:szCs w:val="21"/>
              </w:rPr>
            </w:pPr>
          </w:p>
        </w:tc>
        <w:tc>
          <w:tcPr>
            <w:tcW w:w="1431" w:type="dxa"/>
            <w:vAlign w:val="center"/>
          </w:tcPr>
          <w:p w14:paraId="0CF446E0">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7005" w:type="dxa"/>
            <w:vAlign w:val="center"/>
          </w:tcPr>
          <w:p w14:paraId="01668BD0">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在见习开始前开好见习动员大会，提出相应研习要求</w:t>
            </w:r>
            <w:r>
              <w:rPr>
                <w:rFonts w:ascii="Times New Roman" w:hAnsi="Times New Roman" w:eastAsia="宋体" w:cs="Times New Roman"/>
                <w:szCs w:val="21"/>
              </w:rPr>
              <w:t>。</w:t>
            </w:r>
          </w:p>
        </w:tc>
      </w:tr>
      <w:tr w14:paraId="773E9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Merge w:val="continue"/>
            <w:vAlign w:val="center"/>
          </w:tcPr>
          <w:p w14:paraId="05182588">
            <w:pPr>
              <w:jc w:val="center"/>
              <w:rPr>
                <w:rFonts w:ascii="Times New Roman" w:hAnsi="Times New Roman" w:eastAsia="宋体" w:cs="Times New Roman"/>
                <w:szCs w:val="21"/>
              </w:rPr>
            </w:pPr>
          </w:p>
        </w:tc>
        <w:tc>
          <w:tcPr>
            <w:tcW w:w="1431" w:type="dxa"/>
            <w:vAlign w:val="center"/>
          </w:tcPr>
          <w:p w14:paraId="7EED9054">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7005" w:type="dxa"/>
            <w:vAlign w:val="center"/>
          </w:tcPr>
          <w:p w14:paraId="1583972D">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做好学生的分组工作，强调小组成员之间的合作沟通，对每位同学都提出明确的见习纪律和责任。</w:t>
            </w:r>
          </w:p>
        </w:tc>
      </w:tr>
      <w:tr w14:paraId="415E6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0" w:type="dxa"/>
            <w:vMerge w:val="restart"/>
            <w:vAlign w:val="center"/>
          </w:tcPr>
          <w:p w14:paraId="68C453AC">
            <w:pPr>
              <w:jc w:val="center"/>
              <w:rPr>
                <w:rFonts w:ascii="Times New Roman" w:hAnsi="Times New Roman" w:eastAsia="宋体" w:cs="Times New Roman"/>
                <w:szCs w:val="21"/>
              </w:rPr>
            </w:pPr>
            <w:r>
              <w:rPr>
                <w:rFonts w:ascii="Times New Roman" w:hAnsi="Times New Roman" w:eastAsia="宋体" w:cs="Times New Roman"/>
                <w:szCs w:val="21"/>
              </w:rPr>
              <w:t>实施</w:t>
            </w:r>
          </w:p>
          <w:p w14:paraId="6512D9CE">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61015B1D">
            <w:pPr>
              <w:rPr>
                <w:rFonts w:ascii="Times New Roman" w:hAnsi="Times New Roman" w:eastAsia="宋体" w:cs="Times New Roman"/>
                <w:szCs w:val="21"/>
              </w:rPr>
            </w:pPr>
            <w:r>
              <w:rPr>
                <w:rFonts w:ascii="Times New Roman" w:hAnsi="Times New Roman" w:eastAsia="宋体" w:cs="Times New Roman"/>
                <w:szCs w:val="21"/>
              </w:rPr>
              <w:t>1.计划执行</w:t>
            </w:r>
          </w:p>
        </w:tc>
        <w:tc>
          <w:tcPr>
            <w:tcW w:w="7005" w:type="dxa"/>
            <w:vAlign w:val="center"/>
          </w:tcPr>
          <w:p w14:paraId="0961D6DB">
            <w:pPr>
              <w:rPr>
                <w:rFonts w:ascii="Times New Roman" w:hAnsi="Times New Roman" w:eastAsia="宋体" w:cs="Times New Roman"/>
                <w:szCs w:val="21"/>
              </w:rPr>
            </w:pPr>
            <w:r>
              <w:rPr>
                <w:rFonts w:hint="eastAsia" w:ascii="Times New Roman" w:hAnsi="Times New Roman" w:eastAsia="宋体" w:cs="Times New Roman"/>
                <w:szCs w:val="21"/>
              </w:rPr>
              <w:t>按照见习计划在校内和校外研习</w:t>
            </w:r>
            <w:r>
              <w:rPr>
                <w:rFonts w:ascii="Times New Roman" w:hAnsi="Times New Roman" w:eastAsia="宋体" w:cs="Times New Roman"/>
                <w:szCs w:val="21"/>
              </w:rPr>
              <w:t xml:space="preserve">。 </w:t>
            </w:r>
          </w:p>
        </w:tc>
      </w:tr>
      <w:tr w14:paraId="7E332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6E17A649">
            <w:pPr>
              <w:jc w:val="center"/>
              <w:rPr>
                <w:rFonts w:ascii="Times New Roman" w:hAnsi="Times New Roman" w:eastAsia="宋体" w:cs="Times New Roman"/>
                <w:szCs w:val="21"/>
              </w:rPr>
            </w:pPr>
          </w:p>
        </w:tc>
        <w:tc>
          <w:tcPr>
            <w:tcW w:w="1431" w:type="dxa"/>
            <w:vAlign w:val="center"/>
          </w:tcPr>
          <w:p w14:paraId="61D8758D">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7005" w:type="dxa"/>
            <w:vAlign w:val="center"/>
          </w:tcPr>
          <w:p w14:paraId="51762D51">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指导教师及时了解学生在校内和校外研习情况。</w:t>
            </w:r>
          </w:p>
        </w:tc>
      </w:tr>
      <w:tr w14:paraId="59134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70" w:type="dxa"/>
            <w:vMerge w:val="continue"/>
            <w:vAlign w:val="center"/>
          </w:tcPr>
          <w:p w14:paraId="67BB6CC5">
            <w:pPr>
              <w:jc w:val="center"/>
              <w:rPr>
                <w:rFonts w:ascii="Times New Roman" w:hAnsi="Times New Roman" w:eastAsia="宋体" w:cs="Times New Roman"/>
                <w:szCs w:val="21"/>
              </w:rPr>
            </w:pPr>
          </w:p>
        </w:tc>
        <w:tc>
          <w:tcPr>
            <w:tcW w:w="1431" w:type="dxa"/>
            <w:vAlign w:val="center"/>
          </w:tcPr>
          <w:p w14:paraId="02F1DBB9">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7005" w:type="dxa"/>
            <w:vAlign w:val="center"/>
          </w:tcPr>
          <w:p w14:paraId="1F6F4ED2">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52097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082D521C">
            <w:pPr>
              <w:jc w:val="center"/>
              <w:rPr>
                <w:rFonts w:ascii="Times New Roman" w:hAnsi="Times New Roman" w:eastAsia="宋体" w:cs="Times New Roman"/>
                <w:szCs w:val="21"/>
              </w:rPr>
            </w:pPr>
          </w:p>
        </w:tc>
        <w:tc>
          <w:tcPr>
            <w:tcW w:w="1431" w:type="dxa"/>
            <w:vAlign w:val="center"/>
          </w:tcPr>
          <w:p w14:paraId="306A6AB4">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7005" w:type="dxa"/>
            <w:vAlign w:val="center"/>
          </w:tcPr>
          <w:p w14:paraId="4743BCDD">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07DBC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restart"/>
            <w:vAlign w:val="center"/>
          </w:tcPr>
          <w:p w14:paraId="4EE2BF13">
            <w:pPr>
              <w:jc w:val="center"/>
              <w:rPr>
                <w:rFonts w:ascii="Times New Roman" w:hAnsi="Times New Roman" w:eastAsia="宋体" w:cs="Times New Roman"/>
                <w:szCs w:val="21"/>
              </w:rPr>
            </w:pPr>
            <w:r>
              <w:rPr>
                <w:rFonts w:ascii="Times New Roman" w:hAnsi="Times New Roman" w:eastAsia="宋体" w:cs="Times New Roman"/>
                <w:szCs w:val="21"/>
              </w:rPr>
              <w:t>总结</w:t>
            </w:r>
          </w:p>
          <w:p w14:paraId="21901505">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31" w:type="dxa"/>
            <w:vAlign w:val="center"/>
          </w:tcPr>
          <w:p w14:paraId="494C7931">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研习</w:t>
            </w:r>
            <w:r>
              <w:rPr>
                <w:rFonts w:ascii="Times New Roman" w:hAnsi="Times New Roman" w:eastAsia="宋体" w:cs="Times New Roman"/>
                <w:szCs w:val="21"/>
              </w:rPr>
              <w:t>报告</w:t>
            </w:r>
          </w:p>
        </w:tc>
        <w:tc>
          <w:tcPr>
            <w:tcW w:w="7005" w:type="dxa"/>
            <w:vAlign w:val="center"/>
          </w:tcPr>
          <w:p w14:paraId="72DD2C15">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教育叙事、教育见习手册和见习考核表</w:t>
            </w:r>
            <w:r>
              <w:rPr>
                <w:rFonts w:ascii="Times New Roman" w:hAnsi="Times New Roman" w:eastAsia="宋体" w:cs="Times New Roman"/>
                <w:szCs w:val="21"/>
              </w:rPr>
              <w:t>。</w:t>
            </w:r>
          </w:p>
        </w:tc>
      </w:tr>
      <w:tr w14:paraId="7C40A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 w:type="dxa"/>
            <w:vMerge w:val="continue"/>
            <w:vAlign w:val="center"/>
          </w:tcPr>
          <w:p w14:paraId="43C605F6">
            <w:pPr>
              <w:rPr>
                <w:rFonts w:ascii="Times New Roman" w:hAnsi="Times New Roman" w:eastAsia="宋体" w:cs="Times New Roman"/>
                <w:szCs w:val="21"/>
              </w:rPr>
            </w:pPr>
          </w:p>
        </w:tc>
        <w:tc>
          <w:tcPr>
            <w:tcW w:w="1431" w:type="dxa"/>
            <w:vAlign w:val="center"/>
          </w:tcPr>
          <w:p w14:paraId="1F852EC7">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7005" w:type="dxa"/>
            <w:vAlign w:val="center"/>
          </w:tcPr>
          <w:p w14:paraId="392A69AF">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见习情况</w:t>
            </w:r>
            <w:r>
              <w:rPr>
                <w:rFonts w:ascii="Times New Roman" w:hAnsi="Times New Roman" w:eastAsia="宋体" w:cs="Times New Roman"/>
                <w:szCs w:val="21"/>
              </w:rPr>
              <w:t>进行考核，合理评价，并按照学校有关规定登记成绩。</w:t>
            </w:r>
          </w:p>
        </w:tc>
      </w:tr>
      <w:tr w14:paraId="7A4FC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794D64DD">
            <w:pPr>
              <w:rPr>
                <w:rFonts w:ascii="Times New Roman" w:hAnsi="Times New Roman" w:eastAsia="宋体" w:cs="Times New Roman"/>
                <w:szCs w:val="21"/>
              </w:rPr>
            </w:pPr>
          </w:p>
        </w:tc>
        <w:tc>
          <w:tcPr>
            <w:tcW w:w="1431" w:type="dxa"/>
            <w:vAlign w:val="center"/>
          </w:tcPr>
          <w:p w14:paraId="6F52CB8C">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7005" w:type="dxa"/>
            <w:vAlign w:val="center"/>
          </w:tcPr>
          <w:p w14:paraId="00946DA4">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26D73D94">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w:t>
      </w:r>
      <w:r>
        <w:rPr>
          <w:rFonts w:ascii="Times New Roman" w:hAnsi="Times New Roman" w:eastAsia="宋体" w:cs="Times New Roman"/>
          <w:b/>
          <w:sz w:val="28"/>
          <w:szCs w:val="28"/>
        </w:rPr>
        <w:t>、课程考核</w:t>
      </w:r>
    </w:p>
    <w:p w14:paraId="1E208B20">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w:t>
      </w:r>
      <w:r>
        <w:rPr>
          <w:rFonts w:ascii="Times New Roman" w:hAnsi="Times New Roman" w:eastAsia="宋体" w:cs="Times New Roman"/>
          <w:b/>
          <w:color w:val="000000"/>
          <w:sz w:val="24"/>
          <w:szCs w:val="24"/>
        </w:rPr>
        <w:t>考核资料要求</w:t>
      </w:r>
    </w:p>
    <w:p w14:paraId="0DEA15F7">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1.教育研习手册填写完整。</w:t>
      </w:r>
    </w:p>
    <w:p w14:paraId="23B4E8BA">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2.教育研习案例分析报告一份。</w:t>
      </w:r>
    </w:p>
    <w:p w14:paraId="11B5093B">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r>
        <w:rPr>
          <w:rFonts w:hint="eastAsia" w:ascii="Times New Roman" w:hAnsi="Times New Roman" w:eastAsia="宋体" w:cs="Times New Roman"/>
          <w:color w:val="000000"/>
          <w:sz w:val="24"/>
          <w:szCs w:val="24"/>
        </w:rPr>
        <w:t>教育研习总结P</w:t>
      </w:r>
      <w:r>
        <w:rPr>
          <w:rFonts w:ascii="Times New Roman" w:hAnsi="Times New Roman" w:eastAsia="宋体" w:cs="Times New Roman"/>
          <w:color w:val="000000"/>
          <w:sz w:val="24"/>
          <w:szCs w:val="24"/>
        </w:rPr>
        <w:t>PT</w:t>
      </w:r>
      <w:r>
        <w:rPr>
          <w:rFonts w:hint="eastAsia" w:ascii="Times New Roman" w:hAnsi="Times New Roman" w:eastAsia="宋体" w:cs="Times New Roman"/>
          <w:color w:val="000000"/>
          <w:sz w:val="24"/>
          <w:szCs w:val="24"/>
        </w:rPr>
        <w:t>一份。</w:t>
      </w:r>
    </w:p>
    <w:p w14:paraId="5FD8A14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r>
        <w:rPr>
          <w:rFonts w:hint="eastAsia" w:ascii="Times New Roman" w:hAnsi="Times New Roman" w:eastAsia="宋体" w:cs="Times New Roman"/>
          <w:color w:val="000000"/>
          <w:sz w:val="24"/>
          <w:szCs w:val="24"/>
        </w:rPr>
        <w:t>.教育见习鉴定表每人一份，</w:t>
      </w:r>
      <w:r>
        <w:rPr>
          <w:rFonts w:ascii="Times New Roman" w:hAnsi="Times New Roman" w:eastAsia="宋体" w:cs="Times New Roman"/>
          <w:color w:val="000000"/>
          <w:sz w:val="24"/>
          <w:szCs w:val="24"/>
        </w:rPr>
        <w:t>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w:t>
      </w:r>
      <w:r>
        <w:rPr>
          <w:rFonts w:hint="eastAsia" w:ascii="Times New Roman" w:hAnsi="Times New Roman" w:eastAsia="宋体" w:cs="Times New Roman"/>
          <w:color w:val="000000"/>
          <w:sz w:val="24"/>
          <w:szCs w:val="24"/>
        </w:rPr>
        <w:t>实践导师</w:t>
      </w:r>
      <w:r>
        <w:rPr>
          <w:rFonts w:ascii="Times New Roman" w:hAnsi="Times New Roman" w:eastAsia="宋体" w:cs="Times New Roman"/>
          <w:color w:val="000000"/>
          <w:sz w:val="24"/>
          <w:szCs w:val="24"/>
        </w:rPr>
        <w:t>和班主任的评语及打分，并有</w:t>
      </w:r>
      <w:r>
        <w:rPr>
          <w:rFonts w:hint="eastAsia" w:ascii="Times New Roman" w:hAnsi="Times New Roman" w:eastAsia="宋体" w:cs="Times New Roman"/>
          <w:color w:val="000000"/>
          <w:sz w:val="24"/>
          <w:szCs w:val="24"/>
        </w:rPr>
        <w:t>见习</w:t>
      </w:r>
      <w:r>
        <w:rPr>
          <w:rFonts w:ascii="Times New Roman" w:hAnsi="Times New Roman" w:eastAsia="宋体" w:cs="Times New Roman"/>
          <w:color w:val="000000"/>
          <w:sz w:val="24"/>
          <w:szCs w:val="24"/>
        </w:rPr>
        <w:t>学校的意见</w:t>
      </w:r>
      <w:r>
        <w:rPr>
          <w:rFonts w:hint="eastAsia" w:ascii="Times New Roman" w:hAnsi="Times New Roman" w:eastAsia="宋体" w:cs="Times New Roman"/>
          <w:color w:val="000000"/>
          <w:sz w:val="24"/>
          <w:szCs w:val="24"/>
        </w:rPr>
        <w:t>和</w:t>
      </w:r>
      <w:r>
        <w:rPr>
          <w:rFonts w:ascii="Times New Roman" w:hAnsi="Times New Roman" w:eastAsia="宋体" w:cs="Times New Roman"/>
          <w:color w:val="000000"/>
          <w:sz w:val="24"/>
          <w:szCs w:val="24"/>
        </w:rPr>
        <w:t>本校指导教师的</w:t>
      </w:r>
      <w:r>
        <w:rPr>
          <w:rFonts w:hint="eastAsia" w:ascii="Times New Roman" w:hAnsi="Times New Roman" w:eastAsia="宋体" w:cs="Times New Roman"/>
          <w:color w:val="000000"/>
          <w:sz w:val="24"/>
          <w:szCs w:val="24"/>
        </w:rPr>
        <w:t>评语评分</w:t>
      </w:r>
      <w:r>
        <w:rPr>
          <w:rFonts w:ascii="Times New Roman" w:hAnsi="Times New Roman" w:eastAsia="宋体" w:cs="Times New Roman"/>
          <w:color w:val="000000"/>
          <w:sz w:val="24"/>
          <w:szCs w:val="24"/>
        </w:rPr>
        <w:t>及签字。</w:t>
      </w:r>
    </w:p>
    <w:p w14:paraId="20CA0880">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w:t>
      </w:r>
      <w:r>
        <w:rPr>
          <w:rFonts w:hint="eastAsia" w:ascii="Times New Roman" w:hAnsi="Times New Roman" w:eastAsia="宋体" w:cs="Times New Roman"/>
          <w:b/>
          <w:color w:val="000000"/>
          <w:sz w:val="24"/>
          <w:szCs w:val="24"/>
        </w:rPr>
        <w:t>成绩评定要求</w:t>
      </w:r>
    </w:p>
    <w:p w14:paraId="6DBFECA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t xml:space="preserve"> </w:t>
      </w:r>
      <w:r>
        <w:rPr>
          <w:rFonts w:ascii="Times New Roman" w:hAnsi="Times New Roman" w:eastAsia="宋体" w:cs="Times New Roman"/>
          <w:sz w:val="24"/>
          <w:szCs w:val="24"/>
        </w:rPr>
        <w:t>本课程设计成绩分优、良、中、及格和不及格五个档次。</w:t>
      </w:r>
    </w:p>
    <w:p w14:paraId="696B6E8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课程设计考核方式：采用见习平时表现、研习报告、教学工作见习、班主任工作见习、教育见习态度五个部分组成。</w:t>
      </w:r>
    </w:p>
    <w:p w14:paraId="681426B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其中，</w:t>
      </w:r>
      <w:r>
        <w:rPr>
          <w:rFonts w:ascii="Times New Roman" w:hAnsi="Times New Roman" w:eastAsia="宋体" w:cs="Times New Roman"/>
          <w:sz w:val="24"/>
          <w:szCs w:val="24"/>
        </w:rPr>
        <w:t>平时</w:t>
      </w:r>
      <w:r>
        <w:rPr>
          <w:rFonts w:hint="eastAsia" w:ascii="Times New Roman" w:hAnsi="Times New Roman" w:eastAsia="宋体" w:cs="Times New Roman"/>
          <w:sz w:val="24"/>
          <w:szCs w:val="24"/>
        </w:rPr>
        <w:t>表现的</w:t>
      </w:r>
      <w:r>
        <w:rPr>
          <w:rFonts w:ascii="Times New Roman" w:hAnsi="Times New Roman" w:eastAsia="宋体" w:cs="Times New Roman"/>
          <w:sz w:val="24"/>
          <w:szCs w:val="24"/>
        </w:rPr>
        <w:t>成绩由我校</w:t>
      </w:r>
      <w:r>
        <w:rPr>
          <w:rFonts w:hint="eastAsia" w:ascii="Times New Roman" w:hAnsi="Times New Roman" w:eastAsia="宋体" w:cs="Times New Roman"/>
          <w:sz w:val="24"/>
          <w:szCs w:val="24"/>
        </w:rPr>
        <w:t>学业导师综合见习</w:t>
      </w:r>
      <w:r>
        <w:rPr>
          <w:rFonts w:ascii="Times New Roman" w:hAnsi="Times New Roman" w:eastAsia="宋体" w:cs="Times New Roman"/>
          <w:sz w:val="24"/>
          <w:szCs w:val="24"/>
        </w:rPr>
        <w:t>手册</w:t>
      </w:r>
      <w:r>
        <w:rPr>
          <w:rFonts w:hint="eastAsia" w:ascii="Times New Roman" w:hAnsi="Times New Roman" w:eastAsia="宋体" w:cs="Times New Roman"/>
          <w:sz w:val="24"/>
          <w:szCs w:val="24"/>
        </w:rPr>
        <w:t>完成情况、实践导师反馈情况和日常巡视情况</w:t>
      </w:r>
      <w:r>
        <w:rPr>
          <w:rFonts w:ascii="Times New Roman" w:hAnsi="Times New Roman" w:eastAsia="宋体" w:cs="Times New Roman"/>
          <w:sz w:val="24"/>
          <w:szCs w:val="24"/>
        </w:rPr>
        <w:t>进行考核</w:t>
      </w:r>
      <w:r>
        <w:rPr>
          <w:rFonts w:hint="eastAsia" w:ascii="Times New Roman" w:hAnsi="Times New Roman" w:eastAsia="宋体" w:cs="Times New Roman"/>
          <w:sz w:val="24"/>
          <w:szCs w:val="24"/>
        </w:rPr>
        <w:t>评估，满分</w:t>
      </w:r>
      <w:r>
        <w:rPr>
          <w:rFonts w:ascii="Times New Roman" w:hAnsi="Times New Roman" w:eastAsia="宋体" w:cs="Times New Roman"/>
          <w:sz w:val="24"/>
          <w:szCs w:val="24"/>
        </w:rPr>
        <w:t>100</w:t>
      </w:r>
      <w:r>
        <w:rPr>
          <w:rFonts w:hint="eastAsia" w:ascii="Times New Roman" w:hAnsi="Times New Roman" w:eastAsia="宋体" w:cs="Times New Roman"/>
          <w:sz w:val="24"/>
          <w:szCs w:val="24"/>
        </w:rPr>
        <w:t>分；</w:t>
      </w:r>
    </w:p>
    <w:p w14:paraId="4B00945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调查报告、教学工作见习、班主任工作见习、教育见习态度合计满分1</w:t>
      </w:r>
      <w:r>
        <w:rPr>
          <w:rFonts w:ascii="Times New Roman" w:hAnsi="Times New Roman" w:eastAsia="宋体" w:cs="Times New Roman"/>
          <w:sz w:val="24"/>
          <w:szCs w:val="24"/>
        </w:rPr>
        <w:t>00</w:t>
      </w:r>
      <w:r>
        <w:rPr>
          <w:rFonts w:hint="eastAsia" w:ascii="Times New Roman" w:hAnsi="Times New Roman" w:eastAsia="宋体" w:cs="Times New Roman"/>
          <w:sz w:val="24"/>
          <w:szCs w:val="24"/>
        </w:rPr>
        <w:t>分，调查报告成绩占比1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教学工作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r>
        <w:rPr>
          <w:rFonts w:ascii="Times New Roman" w:hAnsi="Times New Roman" w:eastAsia="宋体" w:cs="Times New Roman"/>
          <w:sz w:val="24"/>
          <w:szCs w:val="24"/>
        </w:rPr>
        <w:t>班主任工作</w:t>
      </w:r>
      <w:r>
        <w:rPr>
          <w:rFonts w:hint="eastAsia" w:ascii="Times New Roman" w:hAnsi="Times New Roman" w:eastAsia="宋体" w:cs="Times New Roman"/>
          <w:sz w:val="24"/>
          <w:szCs w:val="24"/>
        </w:rPr>
        <w:t>成绩占比3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，教育见习态度占比3</w:t>
      </w:r>
      <w:r>
        <w:rPr>
          <w:rFonts w:ascii="Times New Roman" w:hAnsi="Times New Roman" w:eastAsia="宋体" w:cs="Times New Roman"/>
          <w:sz w:val="24"/>
          <w:szCs w:val="24"/>
        </w:rPr>
        <w:t>0%</w:t>
      </w:r>
      <w:r>
        <w:rPr>
          <w:rFonts w:hint="eastAsia" w:ascii="Times New Roman" w:hAnsi="Times New Roman" w:eastAsia="宋体" w:cs="Times New Roman"/>
          <w:sz w:val="24"/>
          <w:szCs w:val="24"/>
        </w:rPr>
        <w:t>。</w:t>
      </w:r>
    </w:p>
    <w:p w14:paraId="0E91A35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课程总评成绩=平时成绩</w:t>
      </w:r>
      <w:r>
        <w:rPr>
          <w:rFonts w:ascii="Wingdings 2" w:hAnsi="Wingdings 2" w:eastAsia="宋体" w:cs="Times New Roman"/>
          <w:sz w:val="24"/>
          <w:szCs w:val="24"/>
        </w:rPr>
        <w:t>Í</w:t>
      </w:r>
      <w:r>
        <w:rPr>
          <w:rFonts w:ascii="Times New Roman" w:hAnsi="Times New Roman" w:eastAsia="宋体" w:cs="Times New Roman"/>
          <w:sz w:val="24"/>
          <w:szCs w:val="24"/>
        </w:rPr>
        <w:t>30%+</w:t>
      </w:r>
      <w:r>
        <w:rPr>
          <w:rFonts w:hint="eastAsia" w:ascii="Times New Roman" w:hAnsi="Times New Roman" w:eastAsia="宋体" w:cs="Times New Roman"/>
          <w:sz w:val="24"/>
          <w:szCs w:val="24"/>
        </w:rPr>
        <w:t>（报告+教学工作+班主任工作+见习态度）</w:t>
      </w:r>
      <w:r>
        <w:rPr>
          <w:rFonts w:ascii="Wingdings 2" w:hAnsi="Wingdings 2" w:eastAsia="宋体" w:cs="Times New Roman"/>
          <w:sz w:val="24"/>
          <w:szCs w:val="24"/>
        </w:rPr>
        <w:t>Í</w:t>
      </w:r>
      <w:r>
        <w:rPr>
          <w:rFonts w:ascii="Times New Roman" w:hAnsi="Times New Roman" w:eastAsia="宋体" w:cs="Times New Roman"/>
          <w:sz w:val="24"/>
          <w:szCs w:val="24"/>
        </w:rPr>
        <w:t>70%</w:t>
      </w:r>
    </w:p>
    <w:p w14:paraId="3029F19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w:t>
      </w:r>
      <w:r>
        <w:rPr>
          <w:rFonts w:hint="eastAsia" w:ascii="Times New Roman" w:hAnsi="Times New Roman" w:eastAsia="宋体" w:cs="Times New Roman"/>
          <w:sz w:val="24"/>
          <w:szCs w:val="24"/>
        </w:rPr>
        <w:t>考核</w:t>
      </w:r>
      <w:r>
        <w:rPr>
          <w:rFonts w:ascii="Times New Roman" w:hAnsi="Times New Roman" w:eastAsia="宋体" w:cs="Times New Roman"/>
          <w:sz w:val="24"/>
          <w:szCs w:val="24"/>
        </w:rPr>
        <w:t>内容和比例</w:t>
      </w:r>
      <w:r>
        <w:rPr>
          <w:rFonts w:hint="eastAsia" w:ascii="Times New Roman" w:hAnsi="Times New Roman" w:eastAsia="宋体" w:cs="Times New Roman"/>
          <w:sz w:val="24"/>
          <w:szCs w:val="24"/>
        </w:rPr>
        <w:t>如表所示。</w:t>
      </w:r>
    </w:p>
    <w:tbl>
      <w:tblPr>
        <w:tblStyle w:val="30"/>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879"/>
        <w:gridCol w:w="626"/>
        <w:gridCol w:w="2818"/>
        <w:gridCol w:w="1227"/>
        <w:gridCol w:w="1357"/>
      </w:tblGrid>
      <w:tr w14:paraId="0248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92" w:type="pct"/>
            <w:tcBorders>
              <w:top w:val="single" w:color="auto" w:sz="4" w:space="0"/>
              <w:left w:val="single" w:color="auto" w:sz="4" w:space="0"/>
              <w:bottom w:val="single" w:color="auto" w:sz="4" w:space="0"/>
              <w:right w:val="single" w:color="auto" w:sz="4" w:space="0"/>
            </w:tcBorders>
            <w:shd w:val="clear" w:color="auto" w:fill="FFFFFF"/>
            <w:vAlign w:val="center"/>
          </w:tcPr>
          <w:p w14:paraId="024BAF86">
            <w:pPr>
              <w:jc w:val="center"/>
              <w:rPr>
                <w:rFonts w:ascii="Times New Roman" w:hAnsi="Times New Roman" w:eastAsia="宋体" w:cs="Times New Roman"/>
                <w:b/>
                <w:bCs/>
                <w:szCs w:val="21"/>
              </w:rPr>
            </w:pPr>
            <w:r>
              <w:rPr>
                <w:rFonts w:ascii="Times New Roman" w:hAnsi="Times New Roman" w:eastAsia="宋体" w:cs="Times New Roman"/>
                <w:b/>
                <w:bCs/>
                <w:szCs w:val="21"/>
              </w:rPr>
              <w:t>成绩组成</w:t>
            </w:r>
          </w:p>
        </w:tc>
        <w:tc>
          <w:tcPr>
            <w:tcW w:w="1095" w:type="pct"/>
            <w:tcBorders>
              <w:top w:val="single" w:color="auto" w:sz="4" w:space="0"/>
              <w:left w:val="single" w:color="auto" w:sz="4" w:space="0"/>
              <w:bottom w:val="single" w:color="auto" w:sz="4" w:space="0"/>
              <w:right w:val="single" w:color="auto" w:sz="4" w:space="0"/>
            </w:tcBorders>
            <w:shd w:val="clear" w:color="auto" w:fill="FFFFFF"/>
            <w:vAlign w:val="center"/>
          </w:tcPr>
          <w:p w14:paraId="72A6A06C">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365" w:type="pct"/>
            <w:tcBorders>
              <w:top w:val="single" w:color="auto" w:sz="4" w:space="0"/>
              <w:left w:val="single" w:color="auto" w:sz="4" w:space="0"/>
              <w:bottom w:val="single" w:color="auto" w:sz="4" w:space="0"/>
              <w:right w:val="single" w:color="auto" w:sz="4" w:space="0"/>
            </w:tcBorders>
            <w:shd w:val="clear" w:color="auto" w:fill="FFFFFF"/>
            <w:vAlign w:val="center"/>
          </w:tcPr>
          <w:p w14:paraId="6FE8C4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c>
          <w:tcPr>
            <w:tcW w:w="1642" w:type="pct"/>
            <w:tcBorders>
              <w:top w:val="single" w:color="auto" w:sz="4" w:space="0"/>
              <w:left w:val="single" w:color="auto" w:sz="4" w:space="0"/>
              <w:bottom w:val="single" w:color="auto" w:sz="4" w:space="0"/>
              <w:right w:val="single" w:color="auto" w:sz="4" w:space="0"/>
            </w:tcBorders>
            <w:shd w:val="clear" w:color="auto" w:fill="FFFFFF"/>
            <w:vAlign w:val="center"/>
          </w:tcPr>
          <w:p w14:paraId="25598CB0">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715" w:type="pct"/>
            <w:tcBorders>
              <w:top w:val="single" w:color="auto" w:sz="4" w:space="0"/>
              <w:left w:val="single" w:color="auto" w:sz="4" w:space="0"/>
              <w:bottom w:val="single" w:color="auto" w:sz="4" w:space="0"/>
              <w:right w:val="single" w:color="auto" w:sz="4" w:space="0"/>
            </w:tcBorders>
            <w:shd w:val="clear" w:color="auto" w:fill="FFFFFF"/>
            <w:vAlign w:val="center"/>
          </w:tcPr>
          <w:p w14:paraId="1DA28C8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c>
          <w:tcPr>
            <w:tcW w:w="791" w:type="pct"/>
            <w:tcBorders>
              <w:top w:val="single" w:color="auto" w:sz="4" w:space="0"/>
              <w:left w:val="single" w:color="auto" w:sz="4" w:space="0"/>
              <w:bottom w:val="single" w:color="auto" w:sz="4" w:space="0"/>
              <w:right w:val="single" w:color="auto" w:sz="4" w:space="0"/>
            </w:tcBorders>
            <w:shd w:val="clear" w:color="auto" w:fill="FFFFFF"/>
            <w:vAlign w:val="center"/>
          </w:tcPr>
          <w:p w14:paraId="1915DDDF">
            <w:pPr>
              <w:jc w:val="center"/>
              <w:rPr>
                <w:rFonts w:ascii="Times New Roman" w:hAnsi="Times New Roman" w:eastAsia="宋体" w:cs="Times New Roman"/>
                <w:b/>
                <w:bCs/>
                <w:szCs w:val="21"/>
              </w:rPr>
            </w:pPr>
            <w:r>
              <w:rPr>
                <w:rFonts w:ascii="Times New Roman" w:hAnsi="Times New Roman" w:eastAsia="宋体" w:cs="Times New Roman"/>
                <w:b/>
                <w:bCs/>
                <w:szCs w:val="21"/>
              </w:rPr>
              <w:t>对应的毕业要求指标点</w:t>
            </w:r>
          </w:p>
        </w:tc>
      </w:tr>
      <w:tr w14:paraId="2A86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92" w:type="pct"/>
            <w:tcBorders>
              <w:top w:val="single" w:color="auto" w:sz="4" w:space="0"/>
              <w:left w:val="single" w:color="auto" w:sz="4" w:space="0"/>
              <w:bottom w:val="single" w:color="auto" w:sz="4" w:space="0"/>
              <w:right w:val="single" w:color="auto" w:sz="4" w:space="0"/>
            </w:tcBorders>
            <w:vAlign w:val="center"/>
          </w:tcPr>
          <w:p w14:paraId="705DB88B">
            <w:pPr>
              <w:rPr>
                <w:rFonts w:ascii="Times New Roman" w:hAnsi="Times New Roman" w:eastAsia="宋体" w:cs="Times New Roman"/>
                <w:szCs w:val="21"/>
              </w:rPr>
            </w:pPr>
            <w:r>
              <w:rPr>
                <w:rFonts w:ascii="Times New Roman" w:hAnsi="Times New Roman" w:eastAsia="宋体" w:cs="Times New Roman"/>
                <w:szCs w:val="21"/>
              </w:rPr>
              <w:t>平时成绩</w:t>
            </w:r>
          </w:p>
        </w:tc>
        <w:tc>
          <w:tcPr>
            <w:tcW w:w="1095" w:type="pct"/>
            <w:tcBorders>
              <w:top w:val="single" w:color="auto" w:sz="4" w:space="0"/>
              <w:left w:val="single" w:color="auto" w:sz="4" w:space="0"/>
              <w:bottom w:val="single" w:color="auto" w:sz="4" w:space="0"/>
              <w:right w:val="single" w:color="auto" w:sz="4" w:space="0"/>
            </w:tcBorders>
            <w:vAlign w:val="center"/>
          </w:tcPr>
          <w:p w14:paraId="5ADFA94D">
            <w:pPr>
              <w:rPr>
                <w:rFonts w:ascii="Times New Roman" w:hAnsi="Times New Roman" w:eastAsia="宋体" w:cs="Times New Roman"/>
                <w:szCs w:val="21"/>
              </w:rPr>
            </w:pPr>
            <w:r>
              <w:rPr>
                <w:rFonts w:hint="eastAsia" w:ascii="Times New Roman" w:hAnsi="Times New Roman" w:eastAsia="宋体" w:cs="Times New Roman"/>
                <w:szCs w:val="21"/>
              </w:rPr>
              <w:t>学生出勤情况</w:t>
            </w:r>
            <w:r>
              <w:rPr>
                <w:rFonts w:ascii="Times New Roman" w:hAnsi="Times New Roman" w:eastAsia="宋体" w:cs="Times New Roman"/>
                <w:szCs w:val="21"/>
              </w:rPr>
              <w:t>，</w:t>
            </w:r>
            <w:r>
              <w:rPr>
                <w:rFonts w:hint="eastAsia" w:ascii="Times New Roman" w:hAnsi="Times New Roman" w:eastAsia="宋体" w:cs="Times New Roman"/>
                <w:szCs w:val="21"/>
              </w:rPr>
              <w:t>遵守规章制度情况，各类见习报告材料填写情况</w:t>
            </w:r>
          </w:p>
        </w:tc>
        <w:tc>
          <w:tcPr>
            <w:tcW w:w="365" w:type="pct"/>
            <w:tcBorders>
              <w:top w:val="single" w:color="auto" w:sz="4" w:space="0"/>
              <w:left w:val="single" w:color="auto" w:sz="4" w:space="0"/>
              <w:bottom w:val="single" w:color="auto" w:sz="4" w:space="0"/>
              <w:right w:val="single" w:color="auto" w:sz="4" w:space="0"/>
            </w:tcBorders>
            <w:vAlign w:val="center"/>
          </w:tcPr>
          <w:p w14:paraId="47F8FC59">
            <w:pPr>
              <w:rPr>
                <w:rFonts w:ascii="Times New Roman" w:hAnsi="Times New Roman" w:eastAsia="宋体" w:cs="Times New Roman"/>
                <w:szCs w:val="21"/>
              </w:rPr>
            </w:pPr>
            <w:r>
              <w:rPr>
                <w:rFonts w:ascii="Times New Roman" w:hAnsi="Times New Roman" w:eastAsia="宋体" w:cs="Times New Roman"/>
                <w:szCs w:val="21"/>
              </w:rPr>
              <w:t>30%</w:t>
            </w:r>
          </w:p>
        </w:tc>
        <w:tc>
          <w:tcPr>
            <w:tcW w:w="1642" w:type="pct"/>
            <w:tcBorders>
              <w:top w:val="single" w:color="auto" w:sz="4" w:space="0"/>
              <w:left w:val="single" w:color="auto" w:sz="4" w:space="0"/>
              <w:bottom w:val="single" w:color="auto" w:sz="4" w:space="0"/>
              <w:right w:val="single" w:color="auto" w:sz="4" w:space="0"/>
            </w:tcBorders>
            <w:vAlign w:val="center"/>
          </w:tcPr>
          <w:p w14:paraId="33959117">
            <w:pPr>
              <w:rPr>
                <w:rFonts w:ascii="Times New Roman" w:hAnsi="Times New Roman" w:eastAsia="宋体" w:cs="Times New Roman"/>
                <w:szCs w:val="21"/>
              </w:rPr>
            </w:pPr>
            <w:r>
              <w:rPr>
                <w:rFonts w:hint="eastAsia" w:ascii="Times New Roman" w:hAnsi="Times New Roman" w:eastAsia="宋体" w:cs="Times New Roman"/>
                <w:szCs w:val="21"/>
              </w:rPr>
              <w:t>按时</w:t>
            </w:r>
            <w:r>
              <w:rPr>
                <w:rFonts w:ascii="Times New Roman" w:hAnsi="Times New Roman" w:eastAsia="宋体" w:cs="Times New Roman"/>
                <w:szCs w:val="21"/>
              </w:rPr>
              <w:t>出勤</w:t>
            </w:r>
            <w:r>
              <w:rPr>
                <w:rFonts w:hint="eastAsia" w:ascii="Times New Roman" w:hAnsi="Times New Roman" w:eastAsia="宋体" w:cs="Times New Roman"/>
                <w:szCs w:val="21"/>
              </w:rPr>
              <w:t>，遵照见习学校安排开展见习，见习相关材料填写认真规范</w:t>
            </w:r>
            <w:r>
              <w:rPr>
                <w:rFonts w:ascii="Times New Roman" w:hAnsi="Times New Roman" w:eastAsia="宋体" w:cs="Times New Roman"/>
                <w:szCs w:val="21"/>
              </w:rPr>
              <w:t>。</w:t>
            </w:r>
          </w:p>
        </w:tc>
        <w:tc>
          <w:tcPr>
            <w:tcW w:w="715" w:type="pct"/>
            <w:tcBorders>
              <w:top w:val="single" w:color="auto" w:sz="4" w:space="0"/>
              <w:left w:val="single" w:color="auto" w:sz="4" w:space="0"/>
              <w:bottom w:val="single" w:color="auto" w:sz="4" w:space="0"/>
              <w:right w:val="single" w:color="auto" w:sz="4" w:space="0"/>
            </w:tcBorders>
            <w:vAlign w:val="center"/>
          </w:tcPr>
          <w:p w14:paraId="66B76202">
            <w:pPr>
              <w:rPr>
                <w:rFonts w:ascii="Times New Roman" w:hAnsi="Times New Roman" w:eastAsia="宋体" w:cs="Times New Roman"/>
                <w:szCs w:val="24"/>
              </w:rPr>
            </w:pPr>
            <w:r>
              <w:rPr>
                <w:rFonts w:hint="eastAsia" w:ascii="Times New Roman" w:hAnsi="Times New Roman" w:eastAsia="宋体" w:cs="Times New Roman"/>
                <w:szCs w:val="24"/>
              </w:rPr>
              <w:t>课程目标1</w:t>
            </w:r>
          </w:p>
        </w:tc>
        <w:tc>
          <w:tcPr>
            <w:tcW w:w="791" w:type="pct"/>
            <w:tcBorders>
              <w:top w:val="single" w:color="auto" w:sz="4" w:space="0"/>
              <w:left w:val="single" w:color="auto" w:sz="4" w:space="0"/>
              <w:bottom w:val="single" w:color="auto" w:sz="4" w:space="0"/>
              <w:right w:val="single" w:color="auto" w:sz="4" w:space="0"/>
            </w:tcBorders>
            <w:vAlign w:val="center"/>
          </w:tcPr>
          <w:p w14:paraId="18EDC2F4">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05162AE5">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p>
        </w:tc>
      </w:tr>
      <w:tr w14:paraId="5029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2" w:type="pct"/>
            <w:tcBorders>
              <w:top w:val="single" w:color="auto" w:sz="4" w:space="0"/>
              <w:left w:val="single" w:color="auto" w:sz="4" w:space="0"/>
              <w:bottom w:val="single" w:color="auto" w:sz="4" w:space="0"/>
              <w:right w:val="single" w:color="auto" w:sz="4" w:space="0"/>
            </w:tcBorders>
            <w:vAlign w:val="center"/>
          </w:tcPr>
          <w:p w14:paraId="34F50127">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调查报告</w:t>
            </w:r>
          </w:p>
        </w:tc>
        <w:tc>
          <w:tcPr>
            <w:tcW w:w="1095" w:type="pct"/>
            <w:tcBorders>
              <w:top w:val="single" w:color="auto" w:sz="4" w:space="0"/>
              <w:left w:val="single" w:color="auto" w:sz="4" w:space="0"/>
              <w:bottom w:val="single" w:color="auto" w:sz="4" w:space="0"/>
              <w:right w:val="single" w:color="auto" w:sz="4" w:space="0"/>
            </w:tcBorders>
            <w:vAlign w:val="center"/>
          </w:tcPr>
          <w:p w14:paraId="2BE97225">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对见习学校开展研习研究，结合</w:t>
            </w:r>
            <w:r>
              <w:rPr>
                <w:rFonts w:ascii="Times New Roman" w:hAnsi="Times New Roman" w:eastAsia="宋体" w:cs="Times New Roman"/>
                <w:color w:val="000000" w:themeColor="text1"/>
                <w:szCs w:val="21"/>
                <w14:textFill>
                  <w14:solidFill>
                    <w14:schemeClr w14:val="tx1"/>
                  </w14:solidFill>
                </w14:textFill>
              </w:rPr>
              <w:t>文献资料</w:t>
            </w:r>
            <w:r>
              <w:rPr>
                <w:rFonts w:hint="eastAsia" w:ascii="Times New Roman" w:hAnsi="Times New Roman" w:eastAsia="宋体" w:cs="Times New Roman"/>
                <w:color w:val="000000" w:themeColor="text1"/>
                <w:szCs w:val="21"/>
                <w14:textFill>
                  <w14:solidFill>
                    <w14:schemeClr w14:val="tx1"/>
                  </w14:solidFill>
                </w14:textFill>
              </w:rPr>
              <w:t>，完成调查报告</w:t>
            </w:r>
          </w:p>
        </w:tc>
        <w:tc>
          <w:tcPr>
            <w:tcW w:w="365" w:type="pct"/>
            <w:tcBorders>
              <w:top w:val="single" w:color="auto" w:sz="4" w:space="0"/>
              <w:left w:val="single" w:color="auto" w:sz="4" w:space="0"/>
              <w:bottom w:val="single" w:color="auto" w:sz="4" w:space="0"/>
              <w:right w:val="single" w:color="auto" w:sz="4" w:space="0"/>
            </w:tcBorders>
            <w:vAlign w:val="center"/>
          </w:tcPr>
          <w:p w14:paraId="095BBCDD">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1642" w:type="pct"/>
            <w:tcBorders>
              <w:top w:val="single" w:color="auto" w:sz="4" w:space="0"/>
              <w:left w:val="single" w:color="auto" w:sz="4" w:space="0"/>
              <w:bottom w:val="single" w:color="auto" w:sz="4" w:space="0"/>
              <w:right w:val="single" w:color="auto" w:sz="4" w:space="0"/>
            </w:tcBorders>
            <w:vAlign w:val="center"/>
          </w:tcPr>
          <w:p w14:paraId="7BBA5EE7">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选题属于教育领域，问题意识清晰、方法设计可行，资料充实，内容撰写结构合理，形成明确的结论与观点。</w:t>
            </w:r>
          </w:p>
        </w:tc>
        <w:tc>
          <w:tcPr>
            <w:tcW w:w="715" w:type="pct"/>
            <w:tcBorders>
              <w:top w:val="single" w:color="auto" w:sz="4" w:space="0"/>
              <w:left w:val="single" w:color="auto" w:sz="4" w:space="0"/>
              <w:bottom w:val="single" w:color="auto" w:sz="4" w:space="0"/>
              <w:right w:val="single" w:color="auto" w:sz="4" w:space="0"/>
            </w:tcBorders>
            <w:vAlign w:val="center"/>
          </w:tcPr>
          <w:p w14:paraId="4A004070">
            <w:pPr>
              <w:rPr>
                <w:rFonts w:ascii="Times New Roman" w:hAnsi="Times New Roman" w:eastAsia="宋体" w:cs="Times New Roman"/>
                <w:szCs w:val="21"/>
              </w:rPr>
            </w:pPr>
            <w:r>
              <w:rPr>
                <w:rFonts w:hint="eastAsia" w:ascii="Times New Roman" w:hAnsi="Times New Roman" w:eastAsia="宋体" w:cs="Times New Roman"/>
                <w:szCs w:val="24"/>
              </w:rPr>
              <w:t>课程目标1、3</w:t>
            </w:r>
          </w:p>
        </w:tc>
        <w:tc>
          <w:tcPr>
            <w:tcW w:w="791" w:type="pct"/>
            <w:tcBorders>
              <w:top w:val="single" w:color="auto" w:sz="4" w:space="0"/>
              <w:left w:val="single" w:color="auto" w:sz="4" w:space="0"/>
              <w:bottom w:val="single" w:color="auto" w:sz="4" w:space="0"/>
              <w:right w:val="single" w:color="auto" w:sz="4" w:space="0"/>
            </w:tcBorders>
            <w:vAlign w:val="center"/>
          </w:tcPr>
          <w:p w14:paraId="1BE2814C">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4BAB35EB">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p>
        </w:tc>
      </w:tr>
      <w:tr w14:paraId="7694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2" w:type="pct"/>
            <w:tcBorders>
              <w:top w:val="single" w:color="auto" w:sz="4" w:space="0"/>
              <w:left w:val="single" w:color="auto" w:sz="4" w:space="0"/>
              <w:bottom w:val="single" w:color="auto" w:sz="4" w:space="0"/>
              <w:right w:val="single" w:color="auto" w:sz="4" w:space="0"/>
            </w:tcBorders>
            <w:vAlign w:val="center"/>
          </w:tcPr>
          <w:p w14:paraId="504A1B4A">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教学工作见习</w:t>
            </w:r>
          </w:p>
        </w:tc>
        <w:tc>
          <w:tcPr>
            <w:tcW w:w="1095" w:type="pct"/>
            <w:tcBorders>
              <w:top w:val="single" w:color="auto" w:sz="4" w:space="0"/>
              <w:left w:val="single" w:color="auto" w:sz="4" w:space="0"/>
              <w:bottom w:val="single" w:color="auto" w:sz="4" w:space="0"/>
              <w:right w:val="single" w:color="auto" w:sz="4" w:space="0"/>
            </w:tcBorders>
            <w:vAlign w:val="center"/>
          </w:tcPr>
          <w:p w14:paraId="2B43E234">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进行教学观摩，撰写教学设计，了解兼教课程和多个课型的教学设计；参与评课等教研活动</w:t>
            </w:r>
          </w:p>
        </w:tc>
        <w:tc>
          <w:tcPr>
            <w:tcW w:w="365" w:type="pct"/>
            <w:tcBorders>
              <w:top w:val="single" w:color="auto" w:sz="4" w:space="0"/>
              <w:left w:val="single" w:color="auto" w:sz="4" w:space="0"/>
              <w:bottom w:val="single" w:color="auto" w:sz="4" w:space="0"/>
              <w:right w:val="single" w:color="auto" w:sz="4" w:space="0"/>
            </w:tcBorders>
            <w:vAlign w:val="center"/>
          </w:tcPr>
          <w:p w14:paraId="2FCB495F">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21%</w:t>
            </w:r>
          </w:p>
        </w:tc>
        <w:tc>
          <w:tcPr>
            <w:tcW w:w="1642" w:type="pct"/>
            <w:tcBorders>
              <w:top w:val="single" w:color="auto" w:sz="4" w:space="0"/>
              <w:left w:val="single" w:color="auto" w:sz="4" w:space="0"/>
              <w:bottom w:val="single" w:color="auto" w:sz="4" w:space="0"/>
              <w:right w:val="single" w:color="auto" w:sz="4" w:space="0"/>
            </w:tcBorders>
            <w:vAlign w:val="center"/>
          </w:tcPr>
          <w:p w14:paraId="3A8D6824">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全面认识教学过程，熟练进行教学设计，教案规范合理，具备教学的体验；</w:t>
            </w:r>
          </w:p>
          <w:p w14:paraId="37774A03">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积极参与教研活动，积极了解其他相关学科知识，主动拓宽知识范围。</w:t>
            </w:r>
          </w:p>
        </w:tc>
        <w:tc>
          <w:tcPr>
            <w:tcW w:w="715" w:type="pct"/>
            <w:tcBorders>
              <w:top w:val="single" w:color="auto" w:sz="4" w:space="0"/>
              <w:left w:val="single" w:color="auto" w:sz="4" w:space="0"/>
              <w:bottom w:val="single" w:color="auto" w:sz="4" w:space="0"/>
              <w:right w:val="single" w:color="auto" w:sz="4" w:space="0"/>
            </w:tcBorders>
            <w:vAlign w:val="center"/>
          </w:tcPr>
          <w:p w14:paraId="625EDD3D">
            <w:pPr>
              <w:rPr>
                <w:rFonts w:ascii="Times New Roman" w:hAnsi="Times New Roman" w:eastAsia="宋体" w:cs="Times New Roman"/>
                <w:szCs w:val="21"/>
              </w:rPr>
            </w:pPr>
            <w:r>
              <w:rPr>
                <w:rFonts w:hint="eastAsia" w:ascii="Times New Roman" w:hAnsi="Times New Roman" w:eastAsia="宋体" w:cs="Times New Roman"/>
                <w:szCs w:val="24"/>
              </w:rPr>
              <w:t>课程目标1、2</w:t>
            </w:r>
          </w:p>
        </w:tc>
        <w:tc>
          <w:tcPr>
            <w:tcW w:w="791" w:type="pct"/>
            <w:tcBorders>
              <w:top w:val="single" w:color="auto" w:sz="4" w:space="0"/>
              <w:left w:val="single" w:color="auto" w:sz="4" w:space="0"/>
              <w:bottom w:val="single" w:color="auto" w:sz="4" w:space="0"/>
              <w:right w:val="single" w:color="auto" w:sz="4" w:space="0"/>
            </w:tcBorders>
            <w:vAlign w:val="center"/>
          </w:tcPr>
          <w:p w14:paraId="433F0C81">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469EA727">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p>
        </w:tc>
      </w:tr>
      <w:tr w14:paraId="4A01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392" w:type="pct"/>
            <w:tcBorders>
              <w:top w:val="single" w:color="auto" w:sz="4" w:space="0"/>
              <w:left w:val="single" w:color="auto" w:sz="4" w:space="0"/>
              <w:bottom w:val="single" w:color="auto" w:sz="4" w:space="0"/>
              <w:right w:val="single" w:color="auto" w:sz="4" w:space="0"/>
            </w:tcBorders>
            <w:vAlign w:val="center"/>
          </w:tcPr>
          <w:p w14:paraId="3E5C3398">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班主任工作见习</w:t>
            </w:r>
          </w:p>
        </w:tc>
        <w:tc>
          <w:tcPr>
            <w:tcW w:w="1095" w:type="pct"/>
            <w:tcBorders>
              <w:top w:val="single" w:color="auto" w:sz="4" w:space="0"/>
              <w:left w:val="single" w:color="auto" w:sz="4" w:space="0"/>
              <w:bottom w:val="single" w:color="auto" w:sz="4" w:space="0"/>
              <w:right w:val="single" w:color="auto" w:sz="4" w:space="0"/>
            </w:tcBorders>
            <w:vAlign w:val="center"/>
          </w:tcPr>
          <w:p w14:paraId="4A4B3A4B">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见习班主任（少先队）工作情况</w:t>
            </w:r>
          </w:p>
        </w:tc>
        <w:tc>
          <w:tcPr>
            <w:tcW w:w="365" w:type="pct"/>
            <w:tcBorders>
              <w:top w:val="single" w:color="auto" w:sz="4" w:space="0"/>
              <w:left w:val="single" w:color="auto" w:sz="4" w:space="0"/>
              <w:bottom w:val="single" w:color="auto" w:sz="4" w:space="0"/>
              <w:right w:val="single" w:color="auto" w:sz="4" w:space="0"/>
            </w:tcBorders>
            <w:vAlign w:val="center"/>
          </w:tcPr>
          <w:p w14:paraId="614F81D2">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21%</w:t>
            </w:r>
          </w:p>
        </w:tc>
        <w:tc>
          <w:tcPr>
            <w:tcW w:w="1642" w:type="pct"/>
            <w:tcBorders>
              <w:top w:val="single" w:color="auto" w:sz="4" w:space="0"/>
              <w:left w:val="single" w:color="auto" w:sz="4" w:space="0"/>
              <w:bottom w:val="single" w:color="auto" w:sz="4" w:space="0"/>
              <w:right w:val="single" w:color="auto" w:sz="4" w:space="0"/>
            </w:tcBorders>
            <w:vAlign w:val="center"/>
          </w:tcPr>
          <w:p w14:paraId="1E05E548">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熟悉小学班级管理事务，掌握小学生心理特点；</w:t>
            </w:r>
          </w:p>
          <w:p w14:paraId="78C952B8">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主动积累班级管理的经验，建立管理育人的观念。</w:t>
            </w:r>
          </w:p>
        </w:tc>
        <w:tc>
          <w:tcPr>
            <w:tcW w:w="715" w:type="pct"/>
            <w:tcBorders>
              <w:top w:val="single" w:color="auto" w:sz="4" w:space="0"/>
              <w:left w:val="single" w:color="auto" w:sz="4" w:space="0"/>
              <w:bottom w:val="single" w:color="auto" w:sz="4" w:space="0"/>
              <w:right w:val="single" w:color="auto" w:sz="4" w:space="0"/>
            </w:tcBorders>
            <w:vAlign w:val="center"/>
          </w:tcPr>
          <w:p w14:paraId="6F3B3AEE">
            <w:pPr>
              <w:rPr>
                <w:rFonts w:ascii="Times New Roman" w:hAnsi="Times New Roman" w:eastAsia="宋体" w:cs="Times New Roman"/>
                <w:szCs w:val="21"/>
              </w:rPr>
            </w:pPr>
            <w:r>
              <w:rPr>
                <w:rFonts w:hint="eastAsia" w:ascii="Times New Roman" w:hAnsi="Times New Roman" w:eastAsia="宋体" w:cs="Times New Roman"/>
                <w:szCs w:val="24"/>
              </w:rPr>
              <w:t>课程目标1、3、4</w:t>
            </w:r>
          </w:p>
        </w:tc>
        <w:tc>
          <w:tcPr>
            <w:tcW w:w="791" w:type="pct"/>
            <w:tcBorders>
              <w:top w:val="single" w:color="auto" w:sz="4" w:space="0"/>
              <w:left w:val="single" w:color="auto" w:sz="4" w:space="0"/>
              <w:bottom w:val="single" w:color="auto" w:sz="4" w:space="0"/>
              <w:right w:val="single" w:color="auto" w:sz="4" w:space="0"/>
            </w:tcBorders>
            <w:vAlign w:val="center"/>
          </w:tcPr>
          <w:p w14:paraId="5C8287F1">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6F5FA425">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r w14:paraId="3A82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92" w:type="pct"/>
            <w:tcBorders>
              <w:top w:val="single" w:color="auto" w:sz="4" w:space="0"/>
              <w:left w:val="single" w:color="auto" w:sz="4" w:space="0"/>
              <w:bottom w:val="single" w:color="auto" w:sz="4" w:space="0"/>
              <w:right w:val="single" w:color="auto" w:sz="4" w:space="0"/>
            </w:tcBorders>
            <w:vAlign w:val="center"/>
          </w:tcPr>
          <w:p w14:paraId="0AD9CDBB">
            <w:pPr>
              <w:rPr>
                <w:rFonts w:ascii="Times New Roman" w:hAnsi="Times New Roman" w:eastAsia="宋体" w:cs="Times New Roman"/>
                <w:szCs w:val="21"/>
              </w:rPr>
            </w:pPr>
            <w:r>
              <w:rPr>
                <w:rFonts w:hint="eastAsia" w:ascii="Times New Roman" w:hAnsi="Times New Roman" w:eastAsia="宋体" w:cs="Times New Roman"/>
                <w:szCs w:val="21"/>
              </w:rPr>
              <w:t>教育见习态度</w:t>
            </w:r>
          </w:p>
        </w:tc>
        <w:tc>
          <w:tcPr>
            <w:tcW w:w="1095" w:type="pct"/>
            <w:tcBorders>
              <w:top w:val="single" w:color="auto" w:sz="4" w:space="0"/>
              <w:left w:val="single" w:color="auto" w:sz="4" w:space="0"/>
              <w:bottom w:val="single" w:color="auto" w:sz="4" w:space="0"/>
              <w:right w:val="single" w:color="auto" w:sz="4" w:space="0"/>
            </w:tcBorders>
            <w:vAlign w:val="center"/>
          </w:tcPr>
          <w:p w14:paraId="30854631">
            <w:pPr>
              <w:rPr>
                <w:rFonts w:ascii="Times New Roman" w:hAnsi="Times New Roman" w:eastAsia="宋体" w:cs="Times New Roman"/>
                <w:szCs w:val="21"/>
              </w:rPr>
            </w:pPr>
            <w:r>
              <w:rPr>
                <w:rFonts w:hint="eastAsia" w:ascii="Times New Roman" w:hAnsi="Times New Roman" w:eastAsia="宋体" w:cs="Times New Roman"/>
                <w:szCs w:val="21"/>
              </w:rPr>
              <w:t>见习过程中的参与程度、主动学习情况等</w:t>
            </w:r>
          </w:p>
        </w:tc>
        <w:tc>
          <w:tcPr>
            <w:tcW w:w="365" w:type="pct"/>
            <w:tcBorders>
              <w:top w:val="single" w:color="auto" w:sz="4" w:space="0"/>
              <w:left w:val="single" w:color="auto" w:sz="4" w:space="0"/>
              <w:bottom w:val="single" w:color="auto" w:sz="4" w:space="0"/>
              <w:right w:val="single" w:color="auto" w:sz="4" w:space="0"/>
            </w:tcBorders>
            <w:vAlign w:val="center"/>
          </w:tcPr>
          <w:p w14:paraId="6006BD1A">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c>
          <w:tcPr>
            <w:tcW w:w="1642" w:type="pct"/>
            <w:tcBorders>
              <w:top w:val="single" w:color="auto" w:sz="4" w:space="0"/>
              <w:left w:val="single" w:color="auto" w:sz="4" w:space="0"/>
              <w:bottom w:val="single" w:color="auto" w:sz="4" w:space="0"/>
              <w:right w:val="single" w:color="auto" w:sz="4" w:space="0"/>
            </w:tcBorders>
            <w:vAlign w:val="center"/>
          </w:tcPr>
          <w:p w14:paraId="0AC85C45">
            <w:pPr>
              <w:rPr>
                <w:rFonts w:ascii="Times New Roman" w:hAnsi="Times New Roman" w:eastAsia="宋体" w:cs="Times New Roman"/>
                <w:szCs w:val="21"/>
              </w:rPr>
            </w:pPr>
            <w:r>
              <w:rPr>
                <w:rFonts w:hint="eastAsia" w:ascii="Times New Roman" w:hAnsi="Times New Roman" w:eastAsia="宋体" w:cs="Times New Roman"/>
                <w:szCs w:val="21"/>
              </w:rPr>
              <w:t>按要求参加见习，思想端正，学习态度积极；主动参与教学和班级管理，能够虚心请教、勤恳好学；与小学生交往热情，关爱小学生；见习总结认真，形成对自身教育实践比较全面客观的认识。</w:t>
            </w:r>
          </w:p>
        </w:tc>
        <w:tc>
          <w:tcPr>
            <w:tcW w:w="715" w:type="pct"/>
            <w:tcBorders>
              <w:top w:val="single" w:color="auto" w:sz="4" w:space="0"/>
              <w:left w:val="single" w:color="auto" w:sz="4" w:space="0"/>
              <w:bottom w:val="single" w:color="auto" w:sz="4" w:space="0"/>
              <w:right w:val="single" w:color="auto" w:sz="4" w:space="0"/>
            </w:tcBorders>
            <w:vAlign w:val="center"/>
          </w:tcPr>
          <w:p w14:paraId="7CEA8D92">
            <w:pPr>
              <w:rPr>
                <w:rFonts w:ascii="Times New Roman" w:hAnsi="Times New Roman" w:eastAsia="宋体" w:cs="Times New Roman"/>
                <w:szCs w:val="24"/>
              </w:rPr>
            </w:pPr>
            <w:r>
              <w:rPr>
                <w:rFonts w:hint="eastAsia" w:ascii="Times New Roman" w:hAnsi="Times New Roman" w:eastAsia="宋体" w:cs="Times New Roman"/>
                <w:szCs w:val="24"/>
              </w:rPr>
              <w:t>课程目标1、2、3、4</w:t>
            </w:r>
          </w:p>
        </w:tc>
        <w:tc>
          <w:tcPr>
            <w:tcW w:w="791" w:type="pct"/>
            <w:tcBorders>
              <w:top w:val="single" w:color="auto" w:sz="4" w:space="0"/>
              <w:left w:val="single" w:color="auto" w:sz="4" w:space="0"/>
              <w:bottom w:val="single" w:color="auto" w:sz="4" w:space="0"/>
              <w:right w:val="single" w:color="auto" w:sz="4" w:space="0"/>
            </w:tcBorders>
            <w:vAlign w:val="center"/>
          </w:tcPr>
          <w:p w14:paraId="07FAF63C">
            <w:pPr>
              <w:adjustRightInd w:val="0"/>
              <w:snapToGrid w:val="0"/>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、1-2</w:t>
            </w:r>
          </w:p>
          <w:p w14:paraId="264C8CF8">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r>
              <w:rPr>
                <w:rFonts w:hint="eastAsia" w:ascii="Times New Roman" w:hAnsi="Times New Roman" w:eastAsia="宋体" w:cs="Times New Roman"/>
                <w:szCs w:val="21"/>
              </w:rPr>
              <w:t>、2</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3-4</w:t>
            </w:r>
            <w:r>
              <w:rPr>
                <w:rFonts w:hint="eastAsia" w:ascii="Times New Roman" w:hAnsi="Times New Roman" w:eastAsia="宋体" w:cs="Times New Roman"/>
                <w:szCs w:val="21"/>
              </w:rPr>
              <w:t>、4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、5</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6-1</w:t>
            </w:r>
            <w:r>
              <w:rPr>
                <w:rFonts w:hint="eastAsia" w:ascii="Times New Roman" w:hAnsi="Times New Roman" w:eastAsia="宋体" w:cs="Times New Roman"/>
                <w:szCs w:val="21"/>
              </w:rPr>
              <w:t>、</w:t>
            </w:r>
            <w:r>
              <w:rPr>
                <w:rFonts w:ascii="Times New Roman" w:hAnsi="Times New Roman" w:eastAsia="宋体" w:cs="Times New Roman"/>
                <w:szCs w:val="21"/>
              </w:rPr>
              <w:t>6-2</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bl>
    <w:p w14:paraId="21342920">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8561" w:type="dxa"/>
        <w:tblInd w:w="0" w:type="dxa"/>
        <w:tblLayout w:type="autofit"/>
        <w:tblCellMar>
          <w:top w:w="0" w:type="dxa"/>
          <w:left w:w="108" w:type="dxa"/>
          <w:bottom w:w="0" w:type="dxa"/>
          <w:right w:w="108" w:type="dxa"/>
        </w:tblCellMar>
      </w:tblPr>
      <w:tblGrid>
        <w:gridCol w:w="2136"/>
        <w:gridCol w:w="1427"/>
        <w:gridCol w:w="2274"/>
        <w:gridCol w:w="1539"/>
        <w:gridCol w:w="1185"/>
      </w:tblGrid>
      <w:tr w14:paraId="223CF6F2">
        <w:tblPrEx>
          <w:tblCellMar>
            <w:top w:w="0" w:type="dxa"/>
            <w:left w:w="108" w:type="dxa"/>
            <w:bottom w:w="0" w:type="dxa"/>
            <w:right w:w="108" w:type="dxa"/>
          </w:tblCellMar>
        </w:tblPrEx>
        <w:trPr>
          <w:trHeight w:val="405" w:hRule="atLeast"/>
        </w:trPr>
        <w:tc>
          <w:tcPr>
            <w:tcW w:w="3563" w:type="dxa"/>
            <w:gridSpan w:val="2"/>
            <w:tcBorders>
              <w:top w:val="single" w:color="auto" w:sz="4" w:space="0"/>
              <w:left w:val="single" w:color="auto" w:sz="4" w:space="0"/>
              <w:bottom w:val="single" w:color="auto" w:sz="4" w:space="0"/>
              <w:right w:val="single" w:color="auto" w:sz="4" w:space="0"/>
            </w:tcBorders>
            <w:vAlign w:val="center"/>
          </w:tcPr>
          <w:p w14:paraId="730762FC">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4998" w:type="dxa"/>
            <w:gridSpan w:val="3"/>
            <w:tcBorders>
              <w:top w:val="single" w:color="auto" w:sz="4" w:space="0"/>
              <w:left w:val="single" w:color="auto" w:sz="4" w:space="0"/>
              <w:bottom w:val="single" w:color="auto" w:sz="4" w:space="0"/>
              <w:right w:val="single" w:color="auto" w:sz="4" w:space="0"/>
            </w:tcBorders>
            <w:vAlign w:val="center"/>
          </w:tcPr>
          <w:p w14:paraId="67804F16">
            <w:pPr>
              <w:widowControl/>
              <w:ind w:right="-391" w:rightChars="-186"/>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05622F69">
        <w:tblPrEx>
          <w:tblCellMar>
            <w:top w:w="0" w:type="dxa"/>
            <w:left w:w="108" w:type="dxa"/>
            <w:bottom w:w="0" w:type="dxa"/>
            <w:right w:w="108" w:type="dxa"/>
          </w:tblCellMar>
        </w:tblPrEx>
        <w:trPr>
          <w:trHeight w:val="457" w:hRule="atLeast"/>
        </w:trPr>
        <w:tc>
          <w:tcPr>
            <w:tcW w:w="2136" w:type="dxa"/>
            <w:tcBorders>
              <w:top w:val="single" w:color="auto" w:sz="4" w:space="0"/>
              <w:left w:val="single" w:color="auto" w:sz="4" w:space="0"/>
              <w:bottom w:val="single" w:color="auto" w:sz="4" w:space="0"/>
              <w:right w:val="single" w:color="auto" w:sz="4" w:space="0"/>
            </w:tcBorders>
            <w:vAlign w:val="center"/>
          </w:tcPr>
          <w:p w14:paraId="1CB3E531">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427" w:type="dxa"/>
            <w:tcBorders>
              <w:top w:val="single" w:color="auto" w:sz="4" w:space="0"/>
              <w:left w:val="single" w:color="auto" w:sz="4" w:space="0"/>
              <w:bottom w:val="single" w:color="auto" w:sz="4" w:space="0"/>
              <w:right w:val="single" w:color="auto" w:sz="4" w:space="0"/>
            </w:tcBorders>
            <w:vAlign w:val="center"/>
          </w:tcPr>
          <w:p w14:paraId="4112E14C">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274" w:type="dxa"/>
            <w:tcBorders>
              <w:top w:val="single" w:color="auto" w:sz="4" w:space="0"/>
              <w:left w:val="single" w:color="auto" w:sz="4" w:space="0"/>
              <w:bottom w:val="single" w:color="auto" w:sz="4" w:space="0"/>
              <w:right w:val="single" w:color="auto" w:sz="4" w:space="0"/>
            </w:tcBorders>
            <w:vAlign w:val="center"/>
          </w:tcPr>
          <w:p w14:paraId="4EAA88DC">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539" w:type="dxa"/>
            <w:tcBorders>
              <w:top w:val="single" w:color="auto" w:sz="4" w:space="0"/>
              <w:left w:val="single" w:color="auto" w:sz="4" w:space="0"/>
              <w:bottom w:val="single" w:color="auto" w:sz="4" w:space="0"/>
              <w:right w:val="single" w:color="auto" w:sz="4" w:space="0"/>
            </w:tcBorders>
            <w:vAlign w:val="center"/>
          </w:tcPr>
          <w:p w14:paraId="6A4AC476">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185" w:type="dxa"/>
            <w:tcBorders>
              <w:top w:val="single" w:color="auto" w:sz="4" w:space="0"/>
              <w:left w:val="single" w:color="auto" w:sz="4" w:space="0"/>
              <w:bottom w:val="single" w:color="auto" w:sz="4" w:space="0"/>
              <w:right w:val="single" w:color="auto" w:sz="4" w:space="0"/>
            </w:tcBorders>
          </w:tcPr>
          <w:p w14:paraId="1EA10267">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72A4DE04">
        <w:tblPrEx>
          <w:tblCellMar>
            <w:top w:w="0" w:type="dxa"/>
            <w:left w:w="108" w:type="dxa"/>
            <w:bottom w:w="0" w:type="dxa"/>
            <w:right w:w="108" w:type="dxa"/>
          </w:tblCellMar>
        </w:tblPrEx>
        <w:trPr>
          <w:trHeight w:val="307" w:hRule="atLeast"/>
        </w:trPr>
        <w:tc>
          <w:tcPr>
            <w:tcW w:w="2136" w:type="dxa"/>
            <w:vMerge w:val="restart"/>
            <w:tcBorders>
              <w:top w:val="single" w:color="auto" w:sz="4" w:space="0"/>
              <w:left w:val="single" w:color="auto" w:sz="4" w:space="0"/>
              <w:right w:val="single" w:color="auto" w:sz="4" w:space="0"/>
            </w:tcBorders>
            <w:vAlign w:val="center"/>
          </w:tcPr>
          <w:p w14:paraId="107F5F89">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427" w:type="dxa"/>
            <w:vMerge w:val="restart"/>
            <w:tcBorders>
              <w:top w:val="single" w:color="auto" w:sz="4" w:space="0"/>
              <w:left w:val="single" w:color="auto" w:sz="4" w:space="0"/>
              <w:right w:val="single" w:color="auto" w:sz="4" w:space="0"/>
            </w:tcBorders>
            <w:vAlign w:val="center"/>
          </w:tcPr>
          <w:p w14:paraId="5FC6472D">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274" w:type="dxa"/>
            <w:tcBorders>
              <w:top w:val="single" w:color="auto" w:sz="4" w:space="0"/>
              <w:left w:val="single" w:color="auto" w:sz="4" w:space="0"/>
              <w:bottom w:val="single" w:color="auto" w:sz="4" w:space="0"/>
              <w:right w:val="single" w:color="auto" w:sz="4" w:space="0"/>
            </w:tcBorders>
            <w:vAlign w:val="center"/>
          </w:tcPr>
          <w:p w14:paraId="3F6AA3C9">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539" w:type="dxa"/>
            <w:tcBorders>
              <w:top w:val="single" w:color="auto" w:sz="4" w:space="0"/>
              <w:left w:val="single" w:color="auto" w:sz="4" w:space="0"/>
              <w:bottom w:val="single" w:color="auto" w:sz="4" w:space="0"/>
              <w:right w:val="single" w:color="auto" w:sz="4" w:space="0"/>
            </w:tcBorders>
            <w:vAlign w:val="center"/>
          </w:tcPr>
          <w:p w14:paraId="60AB19F4">
            <w:pPr>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30% </w:t>
            </w:r>
          </w:p>
        </w:tc>
        <w:tc>
          <w:tcPr>
            <w:tcW w:w="1185" w:type="dxa"/>
            <w:vMerge w:val="restart"/>
            <w:tcBorders>
              <w:top w:val="single" w:color="auto" w:sz="4" w:space="0"/>
              <w:left w:val="single" w:color="auto" w:sz="4" w:space="0"/>
              <w:right w:val="single" w:color="auto" w:sz="4" w:space="0"/>
            </w:tcBorders>
            <w:vAlign w:val="center"/>
          </w:tcPr>
          <w:p w14:paraId="62EE8F6A">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570EC10A">
        <w:tblPrEx>
          <w:tblCellMar>
            <w:top w:w="0" w:type="dxa"/>
            <w:left w:w="108" w:type="dxa"/>
            <w:bottom w:w="0" w:type="dxa"/>
            <w:right w:w="108" w:type="dxa"/>
          </w:tblCellMar>
        </w:tblPrEx>
        <w:trPr>
          <w:trHeight w:val="307" w:hRule="atLeast"/>
        </w:trPr>
        <w:tc>
          <w:tcPr>
            <w:tcW w:w="2136" w:type="dxa"/>
            <w:vMerge w:val="continue"/>
            <w:tcBorders>
              <w:left w:val="single" w:color="auto" w:sz="4" w:space="0"/>
              <w:right w:val="single" w:color="auto" w:sz="4" w:space="0"/>
            </w:tcBorders>
            <w:vAlign w:val="center"/>
          </w:tcPr>
          <w:p w14:paraId="1B4B04CF">
            <w:pPr>
              <w:widowControl/>
              <w:jc w:val="center"/>
              <w:rPr>
                <w:rFonts w:ascii="宋体" w:hAnsi="宋体" w:eastAsia="宋体" w:cs="Times New Roman"/>
                <w:color w:val="000000"/>
                <w:kern w:val="0"/>
                <w:szCs w:val="21"/>
              </w:rPr>
            </w:pPr>
          </w:p>
        </w:tc>
        <w:tc>
          <w:tcPr>
            <w:tcW w:w="1427" w:type="dxa"/>
            <w:vMerge w:val="continue"/>
            <w:tcBorders>
              <w:left w:val="single" w:color="auto" w:sz="4" w:space="0"/>
              <w:right w:val="single" w:color="auto" w:sz="4" w:space="0"/>
            </w:tcBorders>
            <w:vAlign w:val="center"/>
          </w:tcPr>
          <w:p w14:paraId="18D3F50E">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7C7D8B27">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539" w:type="dxa"/>
            <w:tcBorders>
              <w:top w:val="single" w:color="auto" w:sz="4" w:space="0"/>
              <w:left w:val="single" w:color="auto" w:sz="4" w:space="0"/>
              <w:bottom w:val="single" w:color="auto" w:sz="4" w:space="0"/>
              <w:right w:val="single" w:color="auto" w:sz="4" w:space="0"/>
            </w:tcBorders>
            <w:vAlign w:val="center"/>
          </w:tcPr>
          <w:p w14:paraId="12A00B90">
            <w:pPr>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1185" w:type="dxa"/>
            <w:vMerge w:val="continue"/>
            <w:tcBorders>
              <w:left w:val="single" w:color="auto" w:sz="4" w:space="0"/>
              <w:right w:val="single" w:color="auto" w:sz="4" w:space="0"/>
            </w:tcBorders>
            <w:vAlign w:val="center"/>
          </w:tcPr>
          <w:p w14:paraId="4E74BDE3">
            <w:pPr>
              <w:widowControl/>
              <w:jc w:val="center"/>
              <w:rPr>
                <w:rFonts w:ascii="宋体" w:hAnsi="宋体" w:eastAsia="宋体" w:cs="Times New Roman"/>
                <w:color w:val="000000"/>
                <w:kern w:val="0"/>
                <w:szCs w:val="21"/>
              </w:rPr>
            </w:pPr>
          </w:p>
        </w:tc>
      </w:tr>
      <w:tr w14:paraId="6662E0C2">
        <w:tblPrEx>
          <w:tblCellMar>
            <w:top w:w="0" w:type="dxa"/>
            <w:left w:w="108" w:type="dxa"/>
            <w:bottom w:w="0" w:type="dxa"/>
            <w:right w:w="108" w:type="dxa"/>
          </w:tblCellMar>
        </w:tblPrEx>
        <w:trPr>
          <w:trHeight w:val="307" w:hRule="atLeast"/>
        </w:trPr>
        <w:tc>
          <w:tcPr>
            <w:tcW w:w="2136" w:type="dxa"/>
            <w:vMerge w:val="continue"/>
            <w:tcBorders>
              <w:left w:val="single" w:color="auto" w:sz="4" w:space="0"/>
              <w:right w:val="single" w:color="auto" w:sz="4" w:space="0"/>
            </w:tcBorders>
            <w:vAlign w:val="center"/>
          </w:tcPr>
          <w:p w14:paraId="12290527">
            <w:pPr>
              <w:widowControl/>
              <w:jc w:val="center"/>
              <w:rPr>
                <w:rFonts w:ascii="宋体" w:hAnsi="宋体" w:eastAsia="宋体" w:cs="Times New Roman"/>
                <w:color w:val="000000"/>
                <w:kern w:val="0"/>
                <w:szCs w:val="21"/>
              </w:rPr>
            </w:pPr>
          </w:p>
        </w:tc>
        <w:tc>
          <w:tcPr>
            <w:tcW w:w="1427" w:type="dxa"/>
            <w:vMerge w:val="continue"/>
            <w:tcBorders>
              <w:left w:val="single" w:color="auto" w:sz="4" w:space="0"/>
              <w:right w:val="single" w:color="auto" w:sz="4" w:space="0"/>
            </w:tcBorders>
            <w:vAlign w:val="center"/>
          </w:tcPr>
          <w:p w14:paraId="72B91962">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36575658">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539" w:type="dxa"/>
            <w:tcBorders>
              <w:top w:val="single" w:color="auto" w:sz="4" w:space="0"/>
              <w:left w:val="single" w:color="auto" w:sz="4" w:space="0"/>
              <w:bottom w:val="single" w:color="auto" w:sz="4" w:space="0"/>
              <w:right w:val="single" w:color="auto" w:sz="4" w:space="0"/>
            </w:tcBorders>
            <w:vAlign w:val="center"/>
          </w:tcPr>
          <w:p w14:paraId="13ADA526">
            <w:pPr>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185" w:type="dxa"/>
            <w:vMerge w:val="continue"/>
            <w:tcBorders>
              <w:left w:val="single" w:color="auto" w:sz="4" w:space="0"/>
              <w:right w:val="single" w:color="auto" w:sz="4" w:space="0"/>
            </w:tcBorders>
            <w:vAlign w:val="center"/>
          </w:tcPr>
          <w:p w14:paraId="7D35F716">
            <w:pPr>
              <w:widowControl/>
              <w:jc w:val="center"/>
              <w:rPr>
                <w:rFonts w:ascii="宋体" w:hAnsi="宋体" w:eastAsia="宋体" w:cs="Times New Roman"/>
                <w:color w:val="000000"/>
                <w:kern w:val="0"/>
                <w:szCs w:val="21"/>
              </w:rPr>
            </w:pPr>
          </w:p>
        </w:tc>
      </w:tr>
      <w:tr w14:paraId="3B79CC0A">
        <w:tblPrEx>
          <w:tblCellMar>
            <w:top w:w="0" w:type="dxa"/>
            <w:left w:w="108" w:type="dxa"/>
            <w:bottom w:w="0" w:type="dxa"/>
            <w:right w:w="108" w:type="dxa"/>
          </w:tblCellMar>
        </w:tblPrEx>
        <w:trPr>
          <w:trHeight w:val="307" w:hRule="atLeast"/>
        </w:trPr>
        <w:tc>
          <w:tcPr>
            <w:tcW w:w="2136" w:type="dxa"/>
            <w:vMerge w:val="continue"/>
            <w:tcBorders>
              <w:left w:val="single" w:color="auto" w:sz="4" w:space="0"/>
              <w:bottom w:val="single" w:color="auto" w:sz="4" w:space="0"/>
              <w:right w:val="single" w:color="auto" w:sz="4" w:space="0"/>
            </w:tcBorders>
            <w:vAlign w:val="center"/>
          </w:tcPr>
          <w:p w14:paraId="01C3F1D7">
            <w:pPr>
              <w:widowControl/>
              <w:jc w:val="center"/>
              <w:rPr>
                <w:rFonts w:ascii="宋体" w:hAnsi="宋体" w:eastAsia="宋体" w:cs="Times New Roman"/>
                <w:color w:val="000000"/>
                <w:kern w:val="0"/>
                <w:szCs w:val="21"/>
              </w:rPr>
            </w:pPr>
          </w:p>
        </w:tc>
        <w:tc>
          <w:tcPr>
            <w:tcW w:w="1427" w:type="dxa"/>
            <w:vMerge w:val="continue"/>
            <w:tcBorders>
              <w:left w:val="single" w:color="auto" w:sz="4" w:space="0"/>
              <w:bottom w:val="single" w:color="auto" w:sz="4" w:space="0"/>
              <w:right w:val="single" w:color="auto" w:sz="4" w:space="0"/>
            </w:tcBorders>
            <w:vAlign w:val="center"/>
          </w:tcPr>
          <w:p w14:paraId="4C999BF3">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229121AB">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539" w:type="dxa"/>
            <w:tcBorders>
              <w:top w:val="single" w:color="auto" w:sz="4" w:space="0"/>
              <w:left w:val="single" w:color="auto" w:sz="4" w:space="0"/>
              <w:bottom w:val="single" w:color="auto" w:sz="4" w:space="0"/>
              <w:right w:val="single" w:color="auto" w:sz="4" w:space="0"/>
            </w:tcBorders>
            <w:vAlign w:val="center"/>
          </w:tcPr>
          <w:p w14:paraId="6261323F">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185" w:type="dxa"/>
            <w:vMerge w:val="continue"/>
            <w:tcBorders>
              <w:left w:val="single" w:color="auto" w:sz="4" w:space="0"/>
              <w:bottom w:val="single" w:color="auto" w:sz="4" w:space="0"/>
              <w:right w:val="single" w:color="auto" w:sz="4" w:space="0"/>
            </w:tcBorders>
            <w:vAlign w:val="center"/>
          </w:tcPr>
          <w:p w14:paraId="42764183">
            <w:pPr>
              <w:widowControl/>
              <w:jc w:val="center"/>
              <w:rPr>
                <w:rFonts w:ascii="宋体" w:hAnsi="宋体" w:eastAsia="宋体" w:cs="Times New Roman"/>
                <w:color w:val="000000"/>
                <w:kern w:val="0"/>
                <w:szCs w:val="21"/>
              </w:rPr>
            </w:pPr>
          </w:p>
        </w:tc>
      </w:tr>
      <w:tr w14:paraId="1C205E32">
        <w:tblPrEx>
          <w:tblCellMar>
            <w:top w:w="0" w:type="dxa"/>
            <w:left w:w="108" w:type="dxa"/>
            <w:bottom w:w="0" w:type="dxa"/>
            <w:right w:w="108" w:type="dxa"/>
          </w:tblCellMar>
        </w:tblPrEx>
        <w:trPr>
          <w:trHeight w:val="243" w:hRule="atLeast"/>
        </w:trPr>
        <w:tc>
          <w:tcPr>
            <w:tcW w:w="2136" w:type="dxa"/>
            <w:vMerge w:val="restart"/>
            <w:tcBorders>
              <w:top w:val="single" w:color="auto" w:sz="4" w:space="0"/>
              <w:left w:val="single" w:color="auto" w:sz="4" w:space="0"/>
              <w:right w:val="single" w:color="auto" w:sz="4" w:space="0"/>
            </w:tcBorders>
            <w:vAlign w:val="center"/>
          </w:tcPr>
          <w:p w14:paraId="07D6AB10">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427" w:type="dxa"/>
            <w:vMerge w:val="restart"/>
            <w:tcBorders>
              <w:top w:val="single" w:color="auto" w:sz="4" w:space="0"/>
              <w:left w:val="single" w:color="auto" w:sz="4" w:space="0"/>
              <w:right w:val="single" w:color="auto" w:sz="4" w:space="0"/>
            </w:tcBorders>
            <w:vAlign w:val="center"/>
          </w:tcPr>
          <w:p w14:paraId="58AC0E09">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2274" w:type="dxa"/>
            <w:tcBorders>
              <w:top w:val="single" w:color="auto" w:sz="4" w:space="0"/>
              <w:left w:val="single" w:color="auto" w:sz="4" w:space="0"/>
              <w:bottom w:val="single" w:color="auto" w:sz="4" w:space="0"/>
              <w:right w:val="single" w:color="auto" w:sz="4" w:space="0"/>
            </w:tcBorders>
            <w:vAlign w:val="center"/>
          </w:tcPr>
          <w:p w14:paraId="21F93D00">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539" w:type="dxa"/>
            <w:tcBorders>
              <w:top w:val="single" w:color="auto" w:sz="4" w:space="0"/>
              <w:left w:val="single" w:color="auto" w:sz="4" w:space="0"/>
              <w:bottom w:val="single" w:color="auto" w:sz="4" w:space="0"/>
              <w:right w:val="single" w:color="auto" w:sz="4" w:space="0"/>
            </w:tcBorders>
            <w:vAlign w:val="center"/>
          </w:tcPr>
          <w:p w14:paraId="609CF799">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20% </w:t>
            </w:r>
          </w:p>
        </w:tc>
        <w:tc>
          <w:tcPr>
            <w:tcW w:w="1185" w:type="dxa"/>
            <w:vMerge w:val="restart"/>
            <w:tcBorders>
              <w:top w:val="single" w:color="auto" w:sz="4" w:space="0"/>
              <w:left w:val="single" w:color="auto" w:sz="4" w:space="0"/>
              <w:right w:val="single" w:color="auto" w:sz="4" w:space="0"/>
            </w:tcBorders>
            <w:vAlign w:val="center"/>
          </w:tcPr>
          <w:p w14:paraId="35AA9430">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0DCCEEF2">
        <w:tblPrEx>
          <w:tblCellMar>
            <w:top w:w="0" w:type="dxa"/>
            <w:left w:w="108" w:type="dxa"/>
            <w:bottom w:w="0" w:type="dxa"/>
            <w:right w:w="108" w:type="dxa"/>
          </w:tblCellMar>
        </w:tblPrEx>
        <w:trPr>
          <w:trHeight w:val="243" w:hRule="atLeast"/>
        </w:trPr>
        <w:tc>
          <w:tcPr>
            <w:tcW w:w="2136" w:type="dxa"/>
            <w:vMerge w:val="continue"/>
            <w:tcBorders>
              <w:left w:val="single" w:color="auto" w:sz="4" w:space="0"/>
              <w:right w:val="single" w:color="auto" w:sz="4" w:space="0"/>
            </w:tcBorders>
            <w:vAlign w:val="center"/>
          </w:tcPr>
          <w:p w14:paraId="2E2F2CBC">
            <w:pPr>
              <w:widowControl/>
              <w:jc w:val="center"/>
              <w:rPr>
                <w:rFonts w:ascii="宋体" w:hAnsi="宋体" w:eastAsia="宋体" w:cs="Times New Roman"/>
                <w:color w:val="000000"/>
                <w:kern w:val="0"/>
                <w:szCs w:val="21"/>
              </w:rPr>
            </w:pPr>
          </w:p>
        </w:tc>
        <w:tc>
          <w:tcPr>
            <w:tcW w:w="1427" w:type="dxa"/>
            <w:vMerge w:val="continue"/>
            <w:tcBorders>
              <w:left w:val="single" w:color="auto" w:sz="4" w:space="0"/>
              <w:right w:val="single" w:color="auto" w:sz="4" w:space="0"/>
            </w:tcBorders>
            <w:vAlign w:val="center"/>
          </w:tcPr>
          <w:p w14:paraId="16DEED24">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4EDE9079">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教学工作见习</w:t>
            </w:r>
          </w:p>
        </w:tc>
        <w:tc>
          <w:tcPr>
            <w:tcW w:w="1539" w:type="dxa"/>
            <w:tcBorders>
              <w:top w:val="single" w:color="auto" w:sz="4" w:space="0"/>
              <w:left w:val="single" w:color="auto" w:sz="4" w:space="0"/>
              <w:bottom w:val="single" w:color="auto" w:sz="4" w:space="0"/>
              <w:right w:val="single" w:color="auto" w:sz="4" w:space="0"/>
            </w:tcBorders>
            <w:vAlign w:val="center"/>
          </w:tcPr>
          <w:p w14:paraId="3FBA0A86">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70%</w:t>
            </w:r>
          </w:p>
        </w:tc>
        <w:tc>
          <w:tcPr>
            <w:tcW w:w="1185" w:type="dxa"/>
            <w:vMerge w:val="continue"/>
            <w:tcBorders>
              <w:left w:val="single" w:color="auto" w:sz="4" w:space="0"/>
              <w:right w:val="single" w:color="auto" w:sz="4" w:space="0"/>
            </w:tcBorders>
            <w:vAlign w:val="center"/>
          </w:tcPr>
          <w:p w14:paraId="6C3D9B2D">
            <w:pPr>
              <w:widowControl/>
              <w:jc w:val="center"/>
              <w:rPr>
                <w:rFonts w:ascii="宋体" w:hAnsi="宋体" w:eastAsia="宋体" w:cs="Times New Roman"/>
                <w:color w:val="000000"/>
                <w:kern w:val="0"/>
                <w:szCs w:val="21"/>
              </w:rPr>
            </w:pPr>
          </w:p>
        </w:tc>
      </w:tr>
      <w:tr w14:paraId="6830437F">
        <w:tblPrEx>
          <w:tblCellMar>
            <w:top w:w="0" w:type="dxa"/>
            <w:left w:w="108" w:type="dxa"/>
            <w:bottom w:w="0" w:type="dxa"/>
            <w:right w:w="108" w:type="dxa"/>
          </w:tblCellMar>
        </w:tblPrEx>
        <w:trPr>
          <w:trHeight w:val="243" w:hRule="atLeast"/>
        </w:trPr>
        <w:tc>
          <w:tcPr>
            <w:tcW w:w="2136" w:type="dxa"/>
            <w:vMerge w:val="continue"/>
            <w:tcBorders>
              <w:left w:val="single" w:color="auto" w:sz="4" w:space="0"/>
              <w:bottom w:val="single" w:color="auto" w:sz="4" w:space="0"/>
              <w:right w:val="single" w:color="auto" w:sz="4" w:space="0"/>
            </w:tcBorders>
            <w:vAlign w:val="center"/>
          </w:tcPr>
          <w:p w14:paraId="1B5721F7">
            <w:pPr>
              <w:widowControl/>
              <w:jc w:val="left"/>
              <w:rPr>
                <w:rFonts w:ascii="宋体" w:hAnsi="宋体" w:eastAsia="宋体" w:cs="Times New Roman"/>
                <w:color w:val="000000"/>
                <w:kern w:val="0"/>
                <w:szCs w:val="21"/>
              </w:rPr>
            </w:pPr>
          </w:p>
        </w:tc>
        <w:tc>
          <w:tcPr>
            <w:tcW w:w="1427" w:type="dxa"/>
            <w:vMerge w:val="continue"/>
            <w:tcBorders>
              <w:left w:val="single" w:color="auto" w:sz="4" w:space="0"/>
              <w:bottom w:val="single" w:color="auto" w:sz="4" w:space="0"/>
              <w:right w:val="single" w:color="auto" w:sz="4" w:space="0"/>
            </w:tcBorders>
            <w:vAlign w:val="center"/>
          </w:tcPr>
          <w:p w14:paraId="396DB17E">
            <w:pPr>
              <w:widowControl/>
              <w:jc w:val="left"/>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4C245E13">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539" w:type="dxa"/>
            <w:tcBorders>
              <w:top w:val="single" w:color="auto" w:sz="4" w:space="0"/>
              <w:left w:val="single" w:color="auto" w:sz="4" w:space="0"/>
              <w:bottom w:val="single" w:color="auto" w:sz="4" w:space="0"/>
              <w:right w:val="single" w:color="auto" w:sz="4" w:space="0"/>
            </w:tcBorders>
            <w:vAlign w:val="center"/>
          </w:tcPr>
          <w:p w14:paraId="6B7815F9">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p>
        </w:tc>
        <w:tc>
          <w:tcPr>
            <w:tcW w:w="1185" w:type="dxa"/>
            <w:vMerge w:val="continue"/>
            <w:tcBorders>
              <w:left w:val="single" w:color="auto" w:sz="4" w:space="0"/>
              <w:bottom w:val="single" w:color="auto" w:sz="4" w:space="0"/>
              <w:right w:val="single" w:color="auto" w:sz="4" w:space="0"/>
            </w:tcBorders>
            <w:vAlign w:val="center"/>
          </w:tcPr>
          <w:p w14:paraId="6407D56E">
            <w:pPr>
              <w:widowControl/>
              <w:jc w:val="center"/>
              <w:rPr>
                <w:rFonts w:ascii="宋体" w:hAnsi="宋体" w:eastAsia="宋体" w:cs="Times New Roman"/>
                <w:color w:val="000000"/>
                <w:kern w:val="0"/>
                <w:szCs w:val="21"/>
              </w:rPr>
            </w:pPr>
          </w:p>
        </w:tc>
      </w:tr>
      <w:tr w14:paraId="4AE7B220">
        <w:tblPrEx>
          <w:tblCellMar>
            <w:top w:w="0" w:type="dxa"/>
            <w:left w:w="108" w:type="dxa"/>
            <w:bottom w:w="0" w:type="dxa"/>
            <w:right w:w="108" w:type="dxa"/>
          </w:tblCellMar>
        </w:tblPrEx>
        <w:trPr>
          <w:trHeight w:val="243" w:hRule="atLeast"/>
        </w:trPr>
        <w:tc>
          <w:tcPr>
            <w:tcW w:w="2136" w:type="dxa"/>
            <w:vMerge w:val="restart"/>
            <w:tcBorders>
              <w:top w:val="single" w:color="auto" w:sz="4" w:space="0"/>
              <w:left w:val="single" w:color="auto" w:sz="4" w:space="0"/>
              <w:right w:val="single" w:color="auto" w:sz="4" w:space="0"/>
            </w:tcBorders>
            <w:vAlign w:val="center"/>
          </w:tcPr>
          <w:p w14:paraId="21EF1B41">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427" w:type="dxa"/>
            <w:vMerge w:val="restart"/>
            <w:tcBorders>
              <w:top w:val="single" w:color="auto" w:sz="4" w:space="0"/>
              <w:left w:val="single" w:color="auto" w:sz="4" w:space="0"/>
              <w:right w:val="single" w:color="auto" w:sz="4" w:space="0"/>
            </w:tcBorders>
            <w:vAlign w:val="center"/>
          </w:tcPr>
          <w:p w14:paraId="2A6E03CE">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274" w:type="dxa"/>
            <w:tcBorders>
              <w:top w:val="single" w:color="auto" w:sz="4" w:space="0"/>
              <w:left w:val="single" w:color="auto" w:sz="4" w:space="0"/>
              <w:bottom w:val="single" w:color="auto" w:sz="4" w:space="0"/>
              <w:right w:val="single" w:color="auto" w:sz="4" w:space="0"/>
            </w:tcBorders>
            <w:vAlign w:val="center"/>
          </w:tcPr>
          <w:p w14:paraId="55FB46BA">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539" w:type="dxa"/>
            <w:tcBorders>
              <w:top w:val="single" w:color="auto" w:sz="4" w:space="0"/>
              <w:left w:val="single" w:color="auto" w:sz="4" w:space="0"/>
              <w:bottom w:val="single" w:color="auto" w:sz="4" w:space="0"/>
              <w:right w:val="single" w:color="auto" w:sz="4" w:space="0"/>
            </w:tcBorders>
            <w:vAlign w:val="center"/>
          </w:tcPr>
          <w:p w14:paraId="2883AAAC">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20%</w:t>
            </w:r>
          </w:p>
        </w:tc>
        <w:tc>
          <w:tcPr>
            <w:tcW w:w="1185" w:type="dxa"/>
            <w:vMerge w:val="restart"/>
            <w:tcBorders>
              <w:top w:val="single" w:color="auto" w:sz="4" w:space="0"/>
              <w:left w:val="single" w:color="auto" w:sz="4" w:space="0"/>
              <w:right w:val="single" w:color="auto" w:sz="4" w:space="0"/>
            </w:tcBorders>
            <w:vAlign w:val="center"/>
          </w:tcPr>
          <w:p w14:paraId="7DBF20C5">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39606EA2">
        <w:tblPrEx>
          <w:tblCellMar>
            <w:top w:w="0" w:type="dxa"/>
            <w:left w:w="108" w:type="dxa"/>
            <w:bottom w:w="0" w:type="dxa"/>
            <w:right w:w="108" w:type="dxa"/>
          </w:tblCellMar>
        </w:tblPrEx>
        <w:trPr>
          <w:trHeight w:val="243" w:hRule="atLeast"/>
        </w:trPr>
        <w:tc>
          <w:tcPr>
            <w:tcW w:w="2136" w:type="dxa"/>
            <w:vMerge w:val="continue"/>
            <w:tcBorders>
              <w:left w:val="single" w:color="auto" w:sz="4" w:space="0"/>
              <w:right w:val="single" w:color="auto" w:sz="4" w:space="0"/>
            </w:tcBorders>
            <w:vAlign w:val="center"/>
          </w:tcPr>
          <w:p w14:paraId="2C2E46FD">
            <w:pPr>
              <w:widowControl/>
              <w:jc w:val="center"/>
              <w:rPr>
                <w:rFonts w:ascii="宋体" w:hAnsi="宋体" w:eastAsia="宋体" w:cs="Times New Roman"/>
                <w:color w:val="000000"/>
                <w:kern w:val="0"/>
                <w:szCs w:val="21"/>
              </w:rPr>
            </w:pPr>
          </w:p>
        </w:tc>
        <w:tc>
          <w:tcPr>
            <w:tcW w:w="1427" w:type="dxa"/>
            <w:vMerge w:val="continue"/>
            <w:tcBorders>
              <w:left w:val="single" w:color="auto" w:sz="4" w:space="0"/>
              <w:right w:val="single" w:color="auto" w:sz="4" w:space="0"/>
            </w:tcBorders>
            <w:vAlign w:val="center"/>
          </w:tcPr>
          <w:p w14:paraId="4F5012B1">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1497422C">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539" w:type="dxa"/>
            <w:tcBorders>
              <w:top w:val="single" w:color="auto" w:sz="4" w:space="0"/>
              <w:left w:val="single" w:color="auto" w:sz="4" w:space="0"/>
              <w:bottom w:val="single" w:color="auto" w:sz="4" w:space="0"/>
              <w:right w:val="single" w:color="auto" w:sz="4" w:space="0"/>
            </w:tcBorders>
            <w:vAlign w:val="center"/>
          </w:tcPr>
          <w:p w14:paraId="7F655E41">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70%</w:t>
            </w:r>
          </w:p>
        </w:tc>
        <w:tc>
          <w:tcPr>
            <w:tcW w:w="1185" w:type="dxa"/>
            <w:vMerge w:val="continue"/>
            <w:tcBorders>
              <w:left w:val="single" w:color="auto" w:sz="4" w:space="0"/>
              <w:right w:val="single" w:color="auto" w:sz="4" w:space="0"/>
            </w:tcBorders>
            <w:vAlign w:val="center"/>
          </w:tcPr>
          <w:p w14:paraId="59072150">
            <w:pPr>
              <w:widowControl/>
              <w:jc w:val="center"/>
              <w:rPr>
                <w:rFonts w:ascii="宋体" w:hAnsi="宋体" w:eastAsia="宋体" w:cs="Times New Roman"/>
                <w:color w:val="000000"/>
                <w:kern w:val="0"/>
                <w:szCs w:val="21"/>
              </w:rPr>
            </w:pPr>
          </w:p>
        </w:tc>
      </w:tr>
      <w:tr w14:paraId="5D753D9B">
        <w:tblPrEx>
          <w:tblCellMar>
            <w:top w:w="0" w:type="dxa"/>
            <w:left w:w="108" w:type="dxa"/>
            <w:bottom w:w="0" w:type="dxa"/>
            <w:right w:w="108" w:type="dxa"/>
          </w:tblCellMar>
        </w:tblPrEx>
        <w:trPr>
          <w:trHeight w:val="243" w:hRule="atLeast"/>
        </w:trPr>
        <w:tc>
          <w:tcPr>
            <w:tcW w:w="2136" w:type="dxa"/>
            <w:vMerge w:val="continue"/>
            <w:tcBorders>
              <w:left w:val="single" w:color="auto" w:sz="4" w:space="0"/>
              <w:bottom w:val="single" w:color="auto" w:sz="4" w:space="0"/>
              <w:right w:val="single" w:color="auto" w:sz="4" w:space="0"/>
            </w:tcBorders>
            <w:vAlign w:val="center"/>
          </w:tcPr>
          <w:p w14:paraId="5E687021">
            <w:pPr>
              <w:widowControl/>
              <w:jc w:val="center"/>
              <w:rPr>
                <w:rFonts w:ascii="宋体" w:hAnsi="宋体" w:eastAsia="宋体" w:cs="Times New Roman"/>
                <w:color w:val="000000"/>
                <w:kern w:val="0"/>
                <w:szCs w:val="21"/>
              </w:rPr>
            </w:pPr>
          </w:p>
        </w:tc>
        <w:tc>
          <w:tcPr>
            <w:tcW w:w="1427" w:type="dxa"/>
            <w:vMerge w:val="continue"/>
            <w:tcBorders>
              <w:left w:val="single" w:color="auto" w:sz="4" w:space="0"/>
              <w:bottom w:val="single" w:color="auto" w:sz="4" w:space="0"/>
              <w:right w:val="single" w:color="auto" w:sz="4" w:space="0"/>
            </w:tcBorders>
            <w:vAlign w:val="center"/>
          </w:tcPr>
          <w:p w14:paraId="52E584CD">
            <w:pPr>
              <w:widowControl/>
              <w:jc w:val="center"/>
              <w:rPr>
                <w:rFonts w:ascii="宋体" w:hAnsi="宋体" w:eastAsia="宋体" w:cs="Times New Roman"/>
                <w:color w:val="000000"/>
                <w:kern w:val="0"/>
                <w:szCs w:val="21"/>
              </w:rPr>
            </w:pPr>
          </w:p>
        </w:tc>
        <w:tc>
          <w:tcPr>
            <w:tcW w:w="2274" w:type="dxa"/>
            <w:tcBorders>
              <w:top w:val="single" w:color="auto" w:sz="4" w:space="0"/>
              <w:left w:val="single" w:color="auto" w:sz="4" w:space="0"/>
              <w:bottom w:val="single" w:color="auto" w:sz="4" w:space="0"/>
              <w:right w:val="single" w:color="auto" w:sz="4" w:space="0"/>
            </w:tcBorders>
            <w:vAlign w:val="center"/>
          </w:tcPr>
          <w:p w14:paraId="77392B66">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539" w:type="dxa"/>
            <w:tcBorders>
              <w:top w:val="single" w:color="auto" w:sz="4" w:space="0"/>
              <w:left w:val="single" w:color="auto" w:sz="4" w:space="0"/>
              <w:bottom w:val="single" w:color="auto" w:sz="4" w:space="0"/>
              <w:right w:val="single" w:color="auto" w:sz="4" w:space="0"/>
            </w:tcBorders>
            <w:vAlign w:val="center"/>
          </w:tcPr>
          <w:p w14:paraId="1B5E4386">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p>
        </w:tc>
        <w:tc>
          <w:tcPr>
            <w:tcW w:w="1185" w:type="dxa"/>
            <w:vMerge w:val="continue"/>
            <w:tcBorders>
              <w:left w:val="single" w:color="auto" w:sz="4" w:space="0"/>
              <w:bottom w:val="single" w:color="auto" w:sz="4" w:space="0"/>
              <w:right w:val="single" w:color="auto" w:sz="4" w:space="0"/>
            </w:tcBorders>
            <w:vAlign w:val="center"/>
          </w:tcPr>
          <w:p w14:paraId="45DE846E">
            <w:pPr>
              <w:widowControl/>
              <w:jc w:val="center"/>
              <w:rPr>
                <w:rFonts w:ascii="宋体" w:hAnsi="宋体" w:eastAsia="宋体" w:cs="Times New Roman"/>
                <w:color w:val="000000"/>
                <w:kern w:val="0"/>
                <w:szCs w:val="21"/>
              </w:rPr>
            </w:pPr>
          </w:p>
        </w:tc>
      </w:tr>
      <w:tr w14:paraId="38725584">
        <w:tblPrEx>
          <w:tblCellMar>
            <w:top w:w="0" w:type="dxa"/>
            <w:left w:w="108" w:type="dxa"/>
            <w:bottom w:w="0" w:type="dxa"/>
            <w:right w:w="108" w:type="dxa"/>
          </w:tblCellMar>
        </w:tblPrEx>
        <w:trPr>
          <w:trHeight w:val="243" w:hRule="atLeast"/>
        </w:trPr>
        <w:tc>
          <w:tcPr>
            <w:tcW w:w="2136" w:type="dxa"/>
            <w:vMerge w:val="restart"/>
            <w:tcBorders>
              <w:top w:val="single" w:color="auto" w:sz="4" w:space="0"/>
              <w:left w:val="single" w:color="auto" w:sz="4" w:space="0"/>
              <w:right w:val="single" w:color="auto" w:sz="4" w:space="0"/>
            </w:tcBorders>
            <w:vAlign w:val="center"/>
          </w:tcPr>
          <w:p w14:paraId="3D705503">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4</w:t>
            </w:r>
          </w:p>
        </w:tc>
        <w:tc>
          <w:tcPr>
            <w:tcW w:w="1427" w:type="dxa"/>
            <w:vMerge w:val="restart"/>
            <w:tcBorders>
              <w:top w:val="single" w:color="auto" w:sz="4" w:space="0"/>
              <w:left w:val="single" w:color="auto" w:sz="4" w:space="0"/>
              <w:right w:val="single" w:color="auto" w:sz="4" w:space="0"/>
            </w:tcBorders>
            <w:vAlign w:val="center"/>
          </w:tcPr>
          <w:p w14:paraId="65B0C9E9">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274" w:type="dxa"/>
            <w:tcBorders>
              <w:top w:val="single" w:color="auto" w:sz="4" w:space="0"/>
              <w:left w:val="single" w:color="auto" w:sz="4" w:space="0"/>
              <w:bottom w:val="single" w:color="auto" w:sz="4" w:space="0"/>
              <w:right w:val="single" w:color="auto" w:sz="4" w:space="0"/>
            </w:tcBorders>
            <w:vAlign w:val="center"/>
          </w:tcPr>
          <w:p w14:paraId="75E1C983">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539" w:type="dxa"/>
            <w:tcBorders>
              <w:top w:val="single" w:color="auto" w:sz="4" w:space="0"/>
              <w:left w:val="single" w:color="auto" w:sz="4" w:space="0"/>
              <w:bottom w:val="single" w:color="auto" w:sz="4" w:space="0"/>
              <w:right w:val="single" w:color="auto" w:sz="4" w:space="0"/>
            </w:tcBorders>
            <w:vAlign w:val="center"/>
          </w:tcPr>
          <w:p w14:paraId="2410C6C7">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40%</w:t>
            </w:r>
          </w:p>
        </w:tc>
        <w:tc>
          <w:tcPr>
            <w:tcW w:w="1185" w:type="dxa"/>
            <w:vMerge w:val="restart"/>
            <w:tcBorders>
              <w:top w:val="single" w:color="auto" w:sz="4" w:space="0"/>
              <w:left w:val="single" w:color="auto" w:sz="4" w:space="0"/>
              <w:right w:val="single" w:color="auto" w:sz="4" w:space="0"/>
            </w:tcBorders>
            <w:vAlign w:val="center"/>
          </w:tcPr>
          <w:p w14:paraId="1EEF73CA">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00575561">
        <w:tblPrEx>
          <w:tblCellMar>
            <w:top w:w="0" w:type="dxa"/>
            <w:left w:w="108" w:type="dxa"/>
            <w:bottom w:w="0" w:type="dxa"/>
            <w:right w:w="108" w:type="dxa"/>
          </w:tblCellMar>
        </w:tblPrEx>
        <w:trPr>
          <w:trHeight w:val="262" w:hRule="atLeast"/>
        </w:trPr>
        <w:tc>
          <w:tcPr>
            <w:tcW w:w="2136" w:type="dxa"/>
            <w:vMerge w:val="continue"/>
            <w:tcBorders>
              <w:left w:val="single" w:color="auto" w:sz="4" w:space="0"/>
              <w:right w:val="single" w:color="auto" w:sz="4" w:space="0"/>
            </w:tcBorders>
            <w:vAlign w:val="center"/>
          </w:tcPr>
          <w:p w14:paraId="20900860">
            <w:pPr>
              <w:widowControl/>
              <w:jc w:val="left"/>
              <w:rPr>
                <w:rFonts w:ascii="宋体" w:hAnsi="宋体" w:eastAsia="宋体" w:cs="Times New Roman"/>
                <w:color w:val="000000"/>
                <w:kern w:val="0"/>
                <w:szCs w:val="21"/>
              </w:rPr>
            </w:pPr>
          </w:p>
        </w:tc>
        <w:tc>
          <w:tcPr>
            <w:tcW w:w="1427" w:type="dxa"/>
            <w:vMerge w:val="continue"/>
            <w:tcBorders>
              <w:left w:val="single" w:color="auto" w:sz="4" w:space="0"/>
              <w:right w:val="single" w:color="auto" w:sz="4" w:space="0"/>
            </w:tcBorders>
            <w:vAlign w:val="center"/>
          </w:tcPr>
          <w:p w14:paraId="6C1CF94A">
            <w:pPr>
              <w:widowControl/>
              <w:jc w:val="left"/>
              <w:rPr>
                <w:rFonts w:ascii="宋体" w:hAnsi="宋体" w:eastAsia="宋体" w:cs="Times New Roman"/>
                <w:color w:val="000000"/>
                <w:kern w:val="0"/>
                <w:szCs w:val="21"/>
              </w:rPr>
            </w:pPr>
          </w:p>
        </w:tc>
        <w:tc>
          <w:tcPr>
            <w:tcW w:w="2274" w:type="dxa"/>
            <w:tcBorders>
              <w:top w:val="single" w:color="auto" w:sz="4" w:space="0"/>
              <w:left w:val="single" w:color="auto" w:sz="4" w:space="0"/>
              <w:right w:val="single" w:color="auto" w:sz="4" w:space="0"/>
            </w:tcBorders>
            <w:vAlign w:val="center"/>
          </w:tcPr>
          <w:p w14:paraId="684EDD17">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班主任工作见习</w:t>
            </w:r>
          </w:p>
        </w:tc>
        <w:tc>
          <w:tcPr>
            <w:tcW w:w="1539" w:type="dxa"/>
            <w:tcBorders>
              <w:top w:val="single" w:color="auto" w:sz="4" w:space="0"/>
              <w:left w:val="single" w:color="auto" w:sz="4" w:space="0"/>
              <w:right w:val="single" w:color="auto" w:sz="4" w:space="0"/>
            </w:tcBorders>
            <w:vAlign w:val="center"/>
          </w:tcPr>
          <w:p w14:paraId="23626B88">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50% </w:t>
            </w:r>
          </w:p>
        </w:tc>
        <w:tc>
          <w:tcPr>
            <w:tcW w:w="1185" w:type="dxa"/>
            <w:vMerge w:val="continue"/>
            <w:tcBorders>
              <w:left w:val="single" w:color="auto" w:sz="4" w:space="0"/>
              <w:right w:val="single" w:color="auto" w:sz="4" w:space="0"/>
            </w:tcBorders>
          </w:tcPr>
          <w:p w14:paraId="22F485BE">
            <w:pPr>
              <w:widowControl/>
              <w:jc w:val="center"/>
              <w:rPr>
                <w:rFonts w:ascii="宋体" w:hAnsi="宋体" w:eastAsia="宋体" w:cs="Times New Roman"/>
                <w:color w:val="000000"/>
                <w:kern w:val="0"/>
                <w:szCs w:val="21"/>
              </w:rPr>
            </w:pPr>
          </w:p>
        </w:tc>
      </w:tr>
      <w:tr w14:paraId="64F9A9AF">
        <w:tblPrEx>
          <w:tblCellMar>
            <w:top w:w="0" w:type="dxa"/>
            <w:left w:w="108" w:type="dxa"/>
            <w:bottom w:w="0" w:type="dxa"/>
            <w:right w:w="108" w:type="dxa"/>
          </w:tblCellMar>
        </w:tblPrEx>
        <w:trPr>
          <w:trHeight w:val="262" w:hRule="atLeast"/>
        </w:trPr>
        <w:tc>
          <w:tcPr>
            <w:tcW w:w="2136" w:type="dxa"/>
            <w:vMerge w:val="continue"/>
            <w:tcBorders>
              <w:left w:val="single" w:color="auto" w:sz="4" w:space="0"/>
              <w:bottom w:val="single" w:color="auto" w:sz="4" w:space="0"/>
              <w:right w:val="single" w:color="auto" w:sz="4" w:space="0"/>
            </w:tcBorders>
            <w:vAlign w:val="center"/>
          </w:tcPr>
          <w:p w14:paraId="69465E3B">
            <w:pPr>
              <w:widowControl/>
              <w:jc w:val="left"/>
              <w:rPr>
                <w:rFonts w:ascii="宋体" w:hAnsi="宋体" w:eastAsia="宋体" w:cs="Times New Roman"/>
                <w:color w:val="000000"/>
                <w:kern w:val="0"/>
                <w:szCs w:val="21"/>
              </w:rPr>
            </w:pPr>
          </w:p>
        </w:tc>
        <w:tc>
          <w:tcPr>
            <w:tcW w:w="1427" w:type="dxa"/>
            <w:vMerge w:val="continue"/>
            <w:tcBorders>
              <w:left w:val="single" w:color="auto" w:sz="4" w:space="0"/>
              <w:bottom w:val="single" w:color="auto" w:sz="4" w:space="0"/>
              <w:right w:val="single" w:color="auto" w:sz="4" w:space="0"/>
            </w:tcBorders>
            <w:vAlign w:val="center"/>
          </w:tcPr>
          <w:p w14:paraId="555AFCB1">
            <w:pPr>
              <w:widowControl/>
              <w:jc w:val="left"/>
              <w:rPr>
                <w:rFonts w:ascii="宋体" w:hAnsi="宋体" w:eastAsia="宋体" w:cs="Times New Roman"/>
                <w:color w:val="000000"/>
                <w:kern w:val="0"/>
                <w:szCs w:val="21"/>
              </w:rPr>
            </w:pPr>
          </w:p>
        </w:tc>
        <w:tc>
          <w:tcPr>
            <w:tcW w:w="2274" w:type="dxa"/>
            <w:tcBorders>
              <w:top w:val="single" w:color="auto" w:sz="4" w:space="0"/>
              <w:left w:val="single" w:color="auto" w:sz="4" w:space="0"/>
              <w:right w:val="single" w:color="auto" w:sz="4" w:space="0"/>
            </w:tcBorders>
            <w:vAlign w:val="center"/>
          </w:tcPr>
          <w:p w14:paraId="5141316D">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见习态度</w:t>
            </w:r>
          </w:p>
        </w:tc>
        <w:tc>
          <w:tcPr>
            <w:tcW w:w="1539" w:type="dxa"/>
            <w:tcBorders>
              <w:top w:val="single" w:color="auto" w:sz="4" w:space="0"/>
              <w:left w:val="single" w:color="auto" w:sz="4" w:space="0"/>
              <w:right w:val="single" w:color="auto" w:sz="4" w:space="0"/>
            </w:tcBorders>
            <w:vAlign w:val="center"/>
          </w:tcPr>
          <w:p w14:paraId="370E94E2">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w:t>
            </w:r>
            <w:r>
              <w:rPr>
                <w:rFonts w:ascii="宋体" w:hAnsi="宋体" w:eastAsia="宋体" w:cs="Times New Roman"/>
                <w:color w:val="000000"/>
                <w:kern w:val="0"/>
                <w:szCs w:val="21"/>
              </w:rPr>
              <w:t>0%</w:t>
            </w:r>
          </w:p>
        </w:tc>
        <w:tc>
          <w:tcPr>
            <w:tcW w:w="1185" w:type="dxa"/>
            <w:vMerge w:val="continue"/>
            <w:tcBorders>
              <w:left w:val="single" w:color="auto" w:sz="4" w:space="0"/>
              <w:bottom w:val="single" w:color="auto" w:sz="4" w:space="0"/>
              <w:right w:val="single" w:color="auto" w:sz="4" w:space="0"/>
            </w:tcBorders>
          </w:tcPr>
          <w:p w14:paraId="4F155E30">
            <w:pPr>
              <w:widowControl/>
              <w:jc w:val="center"/>
              <w:rPr>
                <w:rFonts w:ascii="宋体" w:hAnsi="宋体" w:eastAsia="宋体" w:cs="Times New Roman"/>
                <w:color w:val="000000"/>
                <w:kern w:val="0"/>
                <w:szCs w:val="21"/>
              </w:rPr>
            </w:pPr>
          </w:p>
        </w:tc>
      </w:tr>
      <w:tr w14:paraId="2A8208C0">
        <w:tblPrEx>
          <w:tblCellMar>
            <w:top w:w="0" w:type="dxa"/>
            <w:left w:w="108" w:type="dxa"/>
            <w:bottom w:w="0" w:type="dxa"/>
            <w:right w:w="108" w:type="dxa"/>
          </w:tblCellMar>
        </w:tblPrEx>
        <w:trPr>
          <w:trHeight w:val="295" w:hRule="atLeast"/>
        </w:trPr>
        <w:tc>
          <w:tcPr>
            <w:tcW w:w="2136" w:type="dxa"/>
            <w:tcBorders>
              <w:top w:val="single" w:color="auto" w:sz="4" w:space="0"/>
              <w:left w:val="single" w:color="auto" w:sz="4" w:space="0"/>
              <w:bottom w:val="single" w:color="auto" w:sz="4" w:space="0"/>
              <w:right w:val="single" w:color="auto" w:sz="4" w:space="0"/>
            </w:tcBorders>
            <w:vAlign w:val="center"/>
          </w:tcPr>
          <w:p w14:paraId="74486CC7">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6425" w:type="dxa"/>
            <w:gridSpan w:val="4"/>
            <w:tcBorders>
              <w:top w:val="single" w:color="auto" w:sz="4" w:space="0"/>
              <w:left w:val="single" w:color="auto" w:sz="4" w:space="0"/>
              <w:bottom w:val="single" w:color="auto" w:sz="4" w:space="0"/>
              <w:right w:val="single" w:color="auto" w:sz="4" w:space="0"/>
            </w:tcBorders>
            <w:vAlign w:val="center"/>
          </w:tcPr>
          <w:p w14:paraId="3A5C8DDD">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bl>
    <w:p w14:paraId="3DE39787">
      <w:pPr>
        <w:adjustRightInd w:val="0"/>
        <w:snapToGrid w:val="0"/>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w:t>
      </w:r>
    </w:p>
    <w:p w14:paraId="6D411B5B">
      <w:pPr>
        <w:adjustRightInd w:val="0"/>
        <w:snapToGrid w:val="0"/>
        <w:spacing w:line="360" w:lineRule="auto"/>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课程目标总体达成度计算方法如下：</w:t>
      </w:r>
    </w:p>
    <w:p w14:paraId="4225F740">
      <w:pPr>
        <w:adjustRightInd w:val="0"/>
        <w:snapToGrid w:val="0"/>
        <w:spacing w:line="360" w:lineRule="auto"/>
        <w:ind w:firstLine="480"/>
        <w:rPr>
          <w:rFonts w:ascii="宋体" w:hAnsi="Times New Roman" w:eastAsia="宋体" w:cs="Times New Roman"/>
          <w:b/>
          <w:bCs/>
          <w:iCs/>
          <w:color w:val="000000"/>
          <w:sz w:val="24"/>
          <w:szCs w:val="24"/>
        </w:rPr>
      </w:pPr>
      <m:oMathPara>
        <m:oMath>
          <m:r>
            <m:rPr>
              <m:sty m:val="b"/>
            </m:rPr>
            <w:rPr>
              <w:rFonts w:hint="eastAsia" w:ascii="Cambria Math" w:hAnsi="Cambria Math" w:eastAsia="宋体" w:cs="Times New Roman"/>
              <w:color w:val="000000"/>
              <w:sz w:val="20"/>
              <w:szCs w:val="20"/>
            </w:rPr>
            <m:t>课程目标达成度=</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课程子目标的权重值（</m:t>
          </m:r>
          <m:r>
            <m:rPr>
              <m:sty m:val="b"/>
            </m:rPr>
            <w:rPr>
              <w:rFonts w:ascii="Cambria Math" w:hAnsi="Cambria Math" w:eastAsia="宋体" w:cs="Times New Roman"/>
              <w:color w:val="000000"/>
              <w:sz w:val="20"/>
              <w:szCs w:val="20"/>
            </w:rPr>
            <m:t>a</m:t>
          </m:r>
          <m:r>
            <m:rPr>
              <m:sty m:val="b"/>
            </m:rPr>
            <w:rPr>
              <w:rFonts w:hint="eastAsia" w:ascii="Cambria Math" w:hAnsi="Cambria Math" w:eastAsia="宋体" w:cs="Times New Roman"/>
              <w:color w:val="000000"/>
              <w:sz w:val="20"/>
              <w:szCs w:val="20"/>
            </w:rPr>
            <m:t>）</m:t>
          </m:r>
          <m:r>
            <m:rPr>
              <m:sty m:val="b"/>
            </m:rPr>
            <w:rPr>
              <w:rFonts w:ascii="Cambria Math" w:hAnsi="Cambria Math" w:eastAsia="宋体" w:cs="Times New Roman"/>
              <w:color w:val="000000"/>
              <w:sz w:val="20"/>
              <w:szCs w:val="20"/>
            </w:rPr>
            <m:t>×Σ</m:t>
          </m:r>
          <m:r>
            <m:rPr>
              <m:sty m:val="b"/>
            </m:rPr>
            <w:rPr>
              <w:rFonts w:hint="eastAsia" w:ascii="Cambria Math" w:hAnsi="Cambria Math" w:eastAsia="宋体" w:cs="Times New Roman"/>
              <w:color w:val="000000"/>
              <w:sz w:val="20"/>
              <w:szCs w:val="20"/>
            </w:rPr>
            <m:t>课程考核项目的权重值（</m:t>
          </m:r>
          <m:r>
            <m:rPr>
              <m:sty m:val="b"/>
            </m:rPr>
            <w:rPr>
              <w:rFonts w:ascii="Cambria Math" w:hAnsi="Cambria Math" w:eastAsia="宋体" w:cs="Times New Roman"/>
              <w:color w:val="000000"/>
              <w:sz w:val="20"/>
              <w:szCs w:val="20"/>
            </w:rPr>
            <m:t>b</m:t>
          </m:r>
          <m:r>
            <m:rPr>
              <m:sty m:val="b"/>
            </m:rPr>
            <w:rPr>
              <w:rFonts w:hint="eastAsia" w:ascii="Cambria Math" w:hAnsi="Cambria Math" w:eastAsia="宋体" w:cs="Times New Roman"/>
              <w:color w:val="000000"/>
              <w:sz w:val="20"/>
              <w:szCs w:val="20"/>
            </w:rPr>
            <m:t>）</m:t>
          </m:r>
          <m:box>
            <m:boxPr>
              <m:ctrlPr>
                <w:rPr>
                  <w:rFonts w:ascii="Cambria Math" w:hAnsi="Cambria Math" w:eastAsia="宋体" w:cs="Times New Roman"/>
                  <w:b/>
                  <w:bCs/>
                  <w:iCs/>
                  <w:color w:val="000000"/>
                  <w:sz w:val="20"/>
                  <w:szCs w:val="20"/>
                </w:rPr>
              </m:ctrlPr>
            </m:boxPr>
            <m:e>
              <m:argPr>
                <m:argSz m:val="-1"/>
              </m:argPr>
              <m:f>
                <m:fPr>
                  <m:ctrlPr>
                    <w:rPr>
                      <w:rFonts w:ascii="Cambria Math" w:hAnsi="Cambria Math" w:eastAsia="宋体" w:cs="Times New Roman"/>
                      <w:b/>
                      <w:bCs/>
                      <w:iCs/>
                      <w:color w:val="000000"/>
                      <w:sz w:val="20"/>
                      <w:szCs w:val="20"/>
                    </w:rPr>
                  </m:ctrlPr>
                </m:fPr>
                <m:num>
                  <m:r>
                    <m:rPr>
                      <m:sty m:val="b"/>
                    </m:rPr>
                    <w:rPr>
                      <w:rFonts w:hint="eastAsia" w:ascii="Cambria Math" w:hAnsi="Cambria Math" w:eastAsia="宋体" w:cs="Times New Roman"/>
                      <w:color w:val="000000"/>
                      <w:sz w:val="20"/>
                      <w:szCs w:val="20"/>
                    </w:rPr>
                    <m:t>考核项目平均分</m:t>
                  </m:r>
                  <m:ctrlPr>
                    <w:rPr>
                      <w:rFonts w:ascii="Cambria Math" w:hAnsi="Cambria Math" w:eastAsia="宋体" w:cs="Times New Roman"/>
                      <w:b/>
                      <w:bCs/>
                      <w:iCs/>
                      <w:color w:val="000000"/>
                      <w:sz w:val="20"/>
                      <w:szCs w:val="20"/>
                    </w:rPr>
                  </m:ctrlPr>
                </m:num>
                <m:den>
                  <m:r>
                    <m:rPr>
                      <m:sty m:val="b"/>
                    </m:rPr>
                    <w:rPr>
                      <w:rFonts w:hint="eastAsia" w:ascii="Cambria Math" w:hAnsi="Cambria Math" w:eastAsia="宋体" w:cs="Times New Roman"/>
                      <w:color w:val="000000"/>
                      <w:sz w:val="20"/>
                      <w:szCs w:val="20"/>
                    </w:rPr>
                    <m:t>考核项目总分</m:t>
                  </m:r>
                  <m:ctrlPr>
                    <w:rPr>
                      <w:rFonts w:ascii="Cambria Math" w:hAnsi="Cambria Math" w:eastAsia="宋体" w:cs="Times New Roman"/>
                      <w:b/>
                      <w:bCs/>
                      <w:iCs/>
                      <w:color w:val="000000"/>
                      <w:sz w:val="20"/>
                      <w:szCs w:val="20"/>
                    </w:rPr>
                  </m:ctrlPr>
                </m:den>
              </m:f>
              <m:ctrlPr>
                <w:rPr>
                  <w:rFonts w:ascii="Cambria Math" w:hAnsi="Cambria Math" w:eastAsia="宋体" w:cs="Times New Roman"/>
                  <w:b/>
                  <w:bCs/>
                  <w:iCs/>
                  <w:color w:val="000000"/>
                  <w:sz w:val="20"/>
                  <w:szCs w:val="20"/>
                </w:rPr>
              </m:ctrlPr>
            </m:e>
          </m:box>
        </m:oMath>
      </m:oMathPara>
    </w:p>
    <w:p w14:paraId="3B981AF2">
      <w:pPr>
        <w:adjustRightInd w:val="0"/>
        <w:snapToGrid w:val="0"/>
        <w:spacing w:line="360" w:lineRule="auto"/>
        <w:ind w:firstLine="562" w:firstLineChars="200"/>
        <w:rPr>
          <w:rFonts w:ascii="宋体" w:hAnsi="Times New Roman" w:eastAsia="宋体" w:cs="Times New Roman"/>
          <w:b/>
          <w:sz w:val="28"/>
          <w:szCs w:val="28"/>
        </w:rPr>
      </w:pPr>
      <w:r>
        <w:rPr>
          <w:rFonts w:hint="eastAsia" w:ascii="宋体" w:hAnsi="宋体" w:eastAsia="宋体" w:cs="Times New Roman"/>
          <w:b/>
          <w:color w:val="000000"/>
          <w:sz w:val="28"/>
          <w:szCs w:val="28"/>
        </w:rPr>
        <w:t>六、课程参考书</w:t>
      </w:r>
    </w:p>
    <w:p w14:paraId="128F10CD">
      <w:pPr>
        <w:adjustRightInd w:val="0"/>
        <w:snapToGrid w:val="0"/>
        <w:spacing w:line="48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义务教育小学语文/数学学科课程标准，最新版。</w:t>
      </w:r>
    </w:p>
    <w:p w14:paraId="45FE472C">
      <w:pPr>
        <w:adjustRightInd w:val="0"/>
        <w:snapToGrid w:val="0"/>
        <w:spacing w:line="48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部编版小学语文/数学各年级教材。</w:t>
      </w:r>
    </w:p>
    <w:p w14:paraId="4F764810">
      <w:pPr>
        <w:adjustRightInd w:val="0"/>
        <w:snapToGrid w:val="0"/>
        <w:spacing w:line="480" w:lineRule="exact"/>
        <w:ind w:firstLine="480" w:firstLineChars="200"/>
        <w:rPr>
          <w:rFonts w:ascii="宋体" w:hAnsi="宋体" w:eastAsia="宋体" w:cs="Times New Roman"/>
          <w:sz w:val="24"/>
          <w:szCs w:val="24"/>
        </w:rPr>
      </w:pPr>
      <w:r>
        <w:rPr>
          <w:rFonts w:ascii="宋体" w:hAnsi="宋体" w:eastAsia="宋体" w:cs="Times New Roman"/>
          <w:sz w:val="24"/>
          <w:szCs w:val="24"/>
        </w:rPr>
        <w:t>3.《中小学教育专业见习实习研习实用手册》，金建生、刘雄英编著, 上海 交大出版社，2020年12月.</w:t>
      </w:r>
    </w:p>
    <w:p w14:paraId="70970180">
      <w:pPr>
        <w:adjustRightInd w:val="0"/>
        <w:snapToGrid w:val="0"/>
        <w:spacing w:line="48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w:t>
      </w:r>
      <w:r>
        <w:rPr>
          <w:rFonts w:ascii="宋体" w:hAnsi="宋体" w:eastAsia="宋体" w:cs="Times New Roman"/>
          <w:sz w:val="24"/>
          <w:szCs w:val="24"/>
        </w:rPr>
        <w:t>.陈国庆等编著. 教育研究方法[M].武汉：华中师范大学出版社，2018.</w:t>
      </w:r>
    </w:p>
    <w:p w14:paraId="4E24D19B">
      <w:pPr>
        <w:adjustRightInd w:val="0"/>
        <w:snapToGrid w:val="0"/>
        <w:spacing w:line="480" w:lineRule="exact"/>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执笔人：</w:t>
      </w:r>
      <w:r>
        <w:rPr>
          <w:rFonts w:ascii="宋体" w:hAnsi="Times New Roman" w:eastAsia="宋体" w:cs="Times New Roman"/>
          <w:color w:val="000000"/>
          <w:sz w:val="24"/>
          <w:szCs w:val="24"/>
        </w:rPr>
        <w:t xml:space="preserve"> </w:t>
      </w:r>
      <w:r>
        <w:rPr>
          <w:rFonts w:hint="eastAsia" w:ascii="宋体" w:hAnsi="Times New Roman" w:eastAsia="宋体" w:cs="Times New Roman"/>
          <w:color w:val="000000"/>
          <w:sz w:val="24"/>
          <w:szCs w:val="24"/>
        </w:rPr>
        <w:t>刘 丽</w:t>
      </w:r>
    </w:p>
    <w:p w14:paraId="3E543688">
      <w:pPr>
        <w:adjustRightInd w:val="0"/>
        <w:snapToGrid w:val="0"/>
        <w:spacing w:line="480" w:lineRule="exact"/>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王  健</w:t>
      </w:r>
    </w:p>
    <w:p w14:paraId="1E17FE51">
      <w:pPr>
        <w:adjustRightInd w:val="0"/>
        <w:snapToGrid w:val="0"/>
        <w:spacing w:line="480" w:lineRule="exact"/>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w:t>
      </w:r>
      <w:r>
        <w:rPr>
          <w:rFonts w:ascii="宋体" w:hAnsi="Times New Roman" w:eastAsia="宋体" w:cs="Times New Roman"/>
          <w:color w:val="000000"/>
          <w:sz w:val="24"/>
          <w:szCs w:val="24"/>
        </w:rPr>
        <w:t xml:space="preserve"> </w:t>
      </w:r>
      <w:r>
        <w:rPr>
          <w:rFonts w:hint="eastAsia" w:ascii="宋体" w:hAnsi="Times New Roman" w:eastAsia="宋体" w:cs="Times New Roman"/>
          <w:color w:val="000000"/>
          <w:sz w:val="24"/>
          <w:szCs w:val="24"/>
        </w:rPr>
        <w:t>张志欣</w:t>
      </w:r>
    </w:p>
    <w:p w14:paraId="3CFE9B2F">
      <w:pPr>
        <w:adjustRightInd w:val="0"/>
        <w:snapToGrid w:val="0"/>
        <w:spacing w:line="480" w:lineRule="exact"/>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w:t>
      </w:r>
      <w:r>
        <w:rPr>
          <w:rFonts w:ascii="宋体" w:hAnsi="宋体" w:eastAsia="宋体" w:cs="Times New Roman"/>
          <w:color w:val="000000"/>
          <w:sz w:val="24"/>
          <w:szCs w:val="24"/>
        </w:rPr>
        <w:t>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年8月</w:t>
      </w:r>
      <w:r>
        <w:rPr>
          <w:rFonts w:ascii="宋体" w:hAnsi="宋体" w:eastAsia="宋体" w:cs="Times New Roman"/>
          <w:color w:val="000000"/>
          <w:sz w:val="24"/>
          <w:szCs w:val="24"/>
        </w:rPr>
        <w:t>30</w:t>
      </w:r>
      <w:r>
        <w:rPr>
          <w:rFonts w:hint="eastAsia" w:ascii="宋体" w:hAnsi="宋体" w:eastAsia="宋体" w:cs="Times New Roman"/>
          <w:color w:val="000000"/>
          <w:sz w:val="24"/>
          <w:szCs w:val="24"/>
        </w:rPr>
        <w:t>日</w:t>
      </w:r>
    </w:p>
    <w:p w14:paraId="331ADE81">
      <w:pPr>
        <w:rPr>
          <w:rFonts w:ascii="宋体" w:hAnsi="宋体" w:eastAsia="宋体" w:cs="Times New Roman"/>
          <w:b/>
          <w:bCs/>
          <w:sz w:val="30"/>
          <w:szCs w:val="24"/>
        </w:rPr>
      </w:pPr>
    </w:p>
    <w:p w14:paraId="652C7631">
      <w:pPr>
        <w:rPr>
          <w:rFonts w:ascii="宋体" w:hAnsi="宋体" w:eastAsia="宋体" w:cs="Times New Roman"/>
          <w:b/>
          <w:bCs/>
          <w:sz w:val="30"/>
          <w:szCs w:val="24"/>
        </w:rPr>
      </w:pPr>
      <w:r>
        <w:rPr>
          <w:rFonts w:hint="eastAsia" w:ascii="宋体" w:hAnsi="宋体" w:eastAsia="宋体" w:cs="Times New Roman"/>
          <w:b/>
          <w:bCs/>
          <w:sz w:val="30"/>
          <w:szCs w:val="24"/>
        </w:rPr>
        <w:br w:type="page"/>
      </w:r>
    </w:p>
    <w:p w14:paraId="5827F235">
      <w:pPr>
        <w:spacing w:line="312" w:lineRule="auto"/>
        <w:jc w:val="center"/>
        <w:outlineLvl w:val="0"/>
        <w:rPr>
          <w:rFonts w:ascii="宋体" w:hAnsi="宋体" w:eastAsia="宋体" w:cs="Times New Roman"/>
          <w:b/>
          <w:bCs/>
          <w:sz w:val="30"/>
          <w:szCs w:val="24"/>
        </w:rPr>
      </w:pPr>
      <w:bookmarkStart w:id="332" w:name="_Toc166164900"/>
      <w:bookmarkStart w:id="333" w:name="_Toc166165241"/>
      <w:r>
        <w:rPr>
          <w:rFonts w:hint="eastAsia" w:ascii="宋体" w:hAnsi="宋体" w:eastAsia="宋体" w:cs="Times New Roman"/>
          <w:b/>
          <w:bCs/>
          <w:sz w:val="30"/>
          <w:szCs w:val="24"/>
        </w:rPr>
        <w:t>教育实习I课程</w:t>
      </w:r>
      <w:r>
        <w:rPr>
          <w:rFonts w:ascii="宋体" w:hAnsi="宋体" w:eastAsia="宋体" w:cs="Times New Roman"/>
          <w:b/>
          <w:bCs/>
          <w:sz w:val="30"/>
          <w:szCs w:val="24"/>
        </w:rPr>
        <w:t>教学大纲</w:t>
      </w:r>
      <w:bookmarkEnd w:id="332"/>
    </w:p>
    <w:p w14:paraId="52CC8713">
      <w:pPr>
        <w:spacing w:line="440" w:lineRule="exact"/>
        <w:jc w:val="center"/>
        <w:rPr>
          <w:rFonts w:ascii="Times New Roman" w:hAnsi="Times New Roman" w:eastAsia="宋体" w:cs="Times New Roman"/>
          <w:sz w:val="24"/>
          <w:szCs w:val="24"/>
        </w:rPr>
      </w:pPr>
      <w:r>
        <w:rPr>
          <w:rFonts w:ascii="宋体" w:hAnsi="宋体" w:eastAsia="宋体" w:cs="Times New Roman"/>
          <w:b/>
          <w:bCs/>
          <w:sz w:val="30"/>
          <w:szCs w:val="24"/>
        </w:rPr>
        <w:t xml:space="preserve">（Educational </w:t>
      </w:r>
      <w:r>
        <w:rPr>
          <w:rFonts w:hint="eastAsia" w:ascii="宋体" w:hAnsi="宋体" w:eastAsia="宋体" w:cs="Times New Roman"/>
          <w:b/>
          <w:bCs/>
          <w:sz w:val="30"/>
          <w:szCs w:val="24"/>
        </w:rPr>
        <w:t>Practice</w:t>
      </w:r>
      <w:r>
        <w:rPr>
          <w:rFonts w:ascii="宋体" w:hAnsi="宋体" w:eastAsia="宋体" w:cs="Times New Roman"/>
          <w:b/>
          <w:bCs/>
          <w:sz w:val="30"/>
          <w:szCs w:val="24"/>
        </w:rPr>
        <w:t xml:space="preserve"> </w:t>
      </w:r>
      <w:r>
        <w:rPr>
          <w:rFonts w:hint="eastAsia" w:ascii="宋体" w:hAnsi="宋体" w:eastAsia="宋体" w:cs="Times New Roman"/>
          <w:b/>
          <w:bCs/>
          <w:sz w:val="30"/>
          <w:szCs w:val="24"/>
        </w:rPr>
        <w:t>I</w:t>
      </w:r>
      <w:r>
        <w:rPr>
          <w:rFonts w:ascii="宋体" w:hAnsi="宋体" w:eastAsia="宋体" w:cs="Times New Roman"/>
          <w:b/>
          <w:bCs/>
          <w:sz w:val="30"/>
          <w:szCs w:val="24"/>
        </w:rPr>
        <w:t>）</w:t>
      </w:r>
    </w:p>
    <w:p w14:paraId="2E1B32C1">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一、课程概况</w:t>
      </w:r>
    </w:p>
    <w:p w14:paraId="4F0BB8CC">
      <w:pPr>
        <w:spacing w:line="360" w:lineRule="auto"/>
        <w:ind w:firstLine="482" w:firstLineChars="200"/>
        <w:rPr>
          <w:rFonts w:ascii="宋体" w:hAnsi="Times New Roman" w:eastAsia="宋体" w:cs="Times New Roman"/>
          <w:b/>
          <w:color w:val="000000"/>
          <w:sz w:val="24"/>
          <w:szCs w:val="24"/>
        </w:rPr>
      </w:pPr>
      <w:r>
        <w:rPr>
          <w:rFonts w:hint="eastAsia" w:ascii="宋体" w:hAnsi="宋体" w:eastAsia="宋体" w:cs="Times New Roman"/>
          <w:b/>
          <w:bCs/>
          <w:color w:val="000000"/>
          <w:kern w:val="0"/>
          <w:sz w:val="24"/>
          <w:szCs w:val="24"/>
        </w:rPr>
        <w:t>课程代码</w:t>
      </w:r>
      <w:r>
        <w:rPr>
          <w:rFonts w:hint="eastAsia" w:ascii="宋体" w:hAnsi="宋体" w:eastAsia="宋体" w:cs="Times New Roman"/>
          <w:b/>
          <w:color w:val="000000"/>
          <w:kern w:val="0"/>
          <w:sz w:val="24"/>
          <w:szCs w:val="24"/>
        </w:rPr>
        <w:t>：2401050</w:t>
      </w:r>
    </w:p>
    <w:p w14:paraId="7012F09B">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分：</w:t>
      </w:r>
      <w:r>
        <w:rPr>
          <w:rFonts w:hint="eastAsia" w:ascii="宋体" w:hAnsi="宋体" w:eastAsia="宋体" w:cs="Times New Roman"/>
          <w:color w:val="000000"/>
          <w:kern w:val="0"/>
          <w:sz w:val="24"/>
          <w:szCs w:val="24"/>
        </w:rPr>
        <w:t>2</w:t>
      </w:r>
    </w:p>
    <w:p w14:paraId="0F5AE361">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学</w:t>
      </w:r>
      <w:r>
        <w:rPr>
          <w:rFonts w:ascii="宋体" w:hAnsi="宋体" w:eastAsia="宋体" w:cs="Times New Roman"/>
          <w:b/>
          <w:bCs/>
          <w:color w:val="000000"/>
          <w:kern w:val="0"/>
          <w:sz w:val="24"/>
          <w:szCs w:val="24"/>
        </w:rPr>
        <w:t xml:space="preserve">    </w:t>
      </w:r>
      <w:r>
        <w:rPr>
          <w:rFonts w:hint="eastAsia" w:ascii="宋体" w:hAnsi="宋体" w:eastAsia="宋体" w:cs="Times New Roman"/>
          <w:b/>
          <w:bCs/>
          <w:color w:val="000000"/>
          <w:kern w:val="0"/>
          <w:sz w:val="24"/>
          <w:szCs w:val="24"/>
        </w:rPr>
        <w:t>时：4周</w:t>
      </w:r>
    </w:p>
    <w:p w14:paraId="463A8F4E">
      <w:pPr>
        <w:spacing w:line="360" w:lineRule="auto"/>
        <w:ind w:firstLine="482" w:firstLineChars="200"/>
        <w:rPr>
          <w:rFonts w:ascii="宋体" w:hAnsi="Times New Roman" w:eastAsia="宋体" w:cs="Times New Roman"/>
          <w:color w:val="000000"/>
          <w:sz w:val="24"/>
          <w:szCs w:val="24"/>
        </w:rPr>
      </w:pPr>
      <w:r>
        <w:rPr>
          <w:rFonts w:hint="eastAsia" w:ascii="宋体" w:hAnsi="宋体" w:eastAsia="宋体" w:cs="Times New Roman"/>
          <w:b/>
          <w:bCs/>
          <w:color w:val="000000"/>
          <w:kern w:val="0"/>
          <w:sz w:val="24"/>
          <w:szCs w:val="24"/>
        </w:rPr>
        <w:t>先修课程：</w:t>
      </w:r>
      <w:r>
        <w:rPr>
          <w:rFonts w:hint="eastAsia" w:ascii="宋体" w:hAnsi="宋体" w:eastAsia="宋体" w:cs="Times New Roman"/>
          <w:color w:val="000000"/>
          <w:kern w:val="0"/>
          <w:sz w:val="24"/>
          <w:szCs w:val="24"/>
        </w:rPr>
        <w:t>小学心理学、教育原理、中国教育史、书写技能、普通话训练、课程与教学论、教育心理学、教育见习Ⅰ、教育见习Ⅱ、教育见习</w:t>
      </w:r>
      <w:r>
        <w:rPr>
          <w:rFonts w:hint="eastAsia" w:ascii="宋体" w:hAnsi="宋体" w:eastAsia="宋体" w:cs="Times New Roman"/>
          <w:color w:val="000000"/>
          <w:kern w:val="0"/>
          <w:sz w:val="24"/>
          <w:szCs w:val="24"/>
        </w:rPr>
        <w:fldChar w:fldCharType="begin"/>
      </w:r>
      <w:r>
        <w:rPr>
          <w:rFonts w:hint="eastAsia" w:ascii="宋体" w:hAnsi="宋体" w:eastAsia="宋体" w:cs="Times New Roman"/>
          <w:color w:val="000000"/>
          <w:kern w:val="0"/>
          <w:sz w:val="24"/>
          <w:szCs w:val="24"/>
        </w:rPr>
        <w:instrText xml:space="preserve"> = 3 \* ROMAN \* MERGEFORMAT </w:instrText>
      </w:r>
      <w:r>
        <w:rPr>
          <w:rFonts w:hint="eastAsia" w:ascii="宋体" w:hAnsi="宋体" w:eastAsia="宋体" w:cs="Times New Roman"/>
          <w:color w:val="000000"/>
          <w:kern w:val="0"/>
          <w:sz w:val="24"/>
          <w:szCs w:val="24"/>
        </w:rPr>
        <w:fldChar w:fldCharType="separate"/>
      </w:r>
      <w:r>
        <w:rPr>
          <w:rFonts w:ascii="Times New Roman" w:hAnsi="Times New Roman" w:eastAsia="宋体" w:cs="Times New Roman"/>
          <w:sz w:val="24"/>
          <w:szCs w:val="24"/>
        </w:rPr>
        <w:t>III</w:t>
      </w:r>
      <w:r>
        <w:rPr>
          <w:rFonts w:hint="eastAsia" w:ascii="宋体" w:hAnsi="宋体" w:eastAsia="宋体" w:cs="Times New Roman"/>
          <w:color w:val="000000"/>
          <w:kern w:val="0"/>
          <w:sz w:val="24"/>
          <w:szCs w:val="24"/>
        </w:rPr>
        <w:fldChar w:fldCharType="end"/>
      </w:r>
      <w:r>
        <w:rPr>
          <w:rFonts w:hint="eastAsia" w:ascii="宋体" w:hAnsi="宋体" w:eastAsia="宋体" w:cs="Times New Roman"/>
          <w:color w:val="000000"/>
          <w:kern w:val="0"/>
          <w:sz w:val="24"/>
          <w:szCs w:val="24"/>
        </w:rPr>
        <w:t>等。</w:t>
      </w:r>
    </w:p>
    <w:p w14:paraId="2B0A27DF">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适用专业：</w:t>
      </w:r>
      <w:r>
        <w:rPr>
          <w:rFonts w:hint="eastAsia" w:ascii="宋体" w:hAnsi="宋体" w:eastAsia="宋体" w:cs="Times New Roman"/>
          <w:color w:val="000000"/>
          <w:kern w:val="0"/>
          <w:sz w:val="24"/>
          <w:szCs w:val="24"/>
        </w:rPr>
        <w:t>小学教育（文）、小学教育（理）</w:t>
      </w:r>
      <w:r>
        <w:rPr>
          <w:rFonts w:ascii="宋体" w:hAnsi="宋体" w:eastAsia="宋体" w:cs="Times New Roman"/>
          <w:color w:val="000000"/>
          <w:kern w:val="0"/>
          <w:sz w:val="24"/>
          <w:szCs w:val="24"/>
        </w:rPr>
        <w:t xml:space="preserve"> </w:t>
      </w:r>
    </w:p>
    <w:p w14:paraId="4F9CA696">
      <w:pPr>
        <w:spacing w:line="360" w:lineRule="auto"/>
        <w:ind w:firstLine="482" w:firstLineChars="200"/>
        <w:rPr>
          <w:rFonts w:ascii="宋体" w:hAnsi="Times New Roman" w:eastAsia="宋体" w:cs="Times New Roman"/>
          <w:color w:val="000000"/>
          <w:kern w:val="0"/>
          <w:sz w:val="24"/>
          <w:szCs w:val="24"/>
        </w:rPr>
      </w:pPr>
      <w:r>
        <w:rPr>
          <w:rFonts w:hint="eastAsia" w:ascii="宋体" w:hAnsi="宋体" w:eastAsia="宋体" w:cs="Times New Roman"/>
          <w:b/>
          <w:bCs/>
          <w:color w:val="000000"/>
          <w:kern w:val="0"/>
          <w:sz w:val="24"/>
          <w:szCs w:val="24"/>
        </w:rPr>
        <w:t>建议教材：</w:t>
      </w:r>
      <w:r>
        <w:rPr>
          <w:rFonts w:hint="eastAsia" w:ascii="宋体" w:hAnsi="宋体" w:eastAsia="宋体" w:cs="Times New Roman"/>
          <w:bCs/>
          <w:color w:val="000000"/>
          <w:kern w:val="0"/>
          <w:sz w:val="24"/>
          <w:szCs w:val="24"/>
        </w:rPr>
        <w:t>实习手册（自编）</w:t>
      </w:r>
    </w:p>
    <w:p w14:paraId="7AA992C1">
      <w:pPr>
        <w:spacing w:line="360" w:lineRule="auto"/>
        <w:ind w:firstLine="482" w:firstLineChars="200"/>
        <w:rPr>
          <w:rFonts w:ascii="宋体" w:hAnsi="Times New Roman" w:eastAsia="宋体" w:cs="Times New Roman"/>
          <w:b/>
          <w:bCs/>
          <w:color w:val="000000"/>
          <w:kern w:val="0"/>
          <w:sz w:val="24"/>
          <w:szCs w:val="24"/>
        </w:rPr>
      </w:pPr>
      <w:r>
        <w:rPr>
          <w:rFonts w:hint="eastAsia" w:ascii="宋体" w:hAnsi="宋体" w:eastAsia="宋体" w:cs="Times New Roman"/>
          <w:b/>
          <w:bCs/>
          <w:color w:val="000000"/>
          <w:kern w:val="0"/>
          <w:sz w:val="24"/>
          <w:szCs w:val="24"/>
        </w:rPr>
        <w:t>课程归口：</w:t>
      </w:r>
      <w:r>
        <w:rPr>
          <w:rFonts w:hint="eastAsia" w:ascii="宋体" w:hAnsi="宋体" w:eastAsia="宋体" w:cs="Times New Roman"/>
          <w:bCs/>
          <w:color w:val="000000"/>
          <w:kern w:val="0"/>
          <w:sz w:val="24"/>
          <w:szCs w:val="24"/>
        </w:rPr>
        <w:t>师范</w:t>
      </w:r>
      <w:r>
        <w:rPr>
          <w:rFonts w:hint="eastAsia" w:ascii="宋体" w:hAnsi="宋体" w:eastAsia="宋体" w:cs="Times New Roman"/>
          <w:color w:val="000000"/>
          <w:kern w:val="0"/>
          <w:sz w:val="24"/>
          <w:szCs w:val="24"/>
        </w:rPr>
        <w:t>学院</w:t>
      </w:r>
    </w:p>
    <w:p w14:paraId="407093A2">
      <w:pPr>
        <w:spacing w:line="360" w:lineRule="auto"/>
        <w:ind w:firstLine="482" w:firstLineChars="200"/>
        <w:rPr>
          <w:rFonts w:ascii="宋体" w:hAnsi="宋体" w:eastAsia="宋体" w:cs="Times New Roman"/>
          <w:color w:val="000000"/>
          <w:kern w:val="0"/>
          <w:sz w:val="24"/>
          <w:szCs w:val="24"/>
        </w:rPr>
      </w:pPr>
      <w:r>
        <w:rPr>
          <w:rFonts w:hint="eastAsia" w:ascii="宋体" w:hAnsi="宋体" w:eastAsia="宋体" w:cs="Times New Roman"/>
          <w:b/>
          <w:bCs/>
          <w:color w:val="000000"/>
          <w:kern w:val="0"/>
          <w:sz w:val="24"/>
          <w:szCs w:val="24"/>
        </w:rPr>
        <w:t>课程的性质与任务：</w:t>
      </w:r>
      <w:r>
        <w:rPr>
          <w:rFonts w:hint="eastAsia" w:ascii="宋体" w:hAnsi="宋体" w:eastAsia="宋体" w:cs="Times New Roman"/>
          <w:color w:val="000000"/>
          <w:kern w:val="0"/>
          <w:sz w:val="24"/>
          <w:szCs w:val="24"/>
        </w:rPr>
        <w:t>教育实习Ⅰ是小学教育专业重要的实践性环节。本课程的任务和目的是通过教育实习，使学生在教育实习活动中获取从教知识和技能，巩固和加深对教育教学理论知识的理解，培养从事教师职业的深厚情感以及初步独立从事教育、教学工作和教育科学研究的能力，完成由师范生向一名准教师的转变。</w:t>
      </w:r>
    </w:p>
    <w:p w14:paraId="5BB0D62A">
      <w:pPr>
        <w:spacing w:line="360" w:lineRule="auto"/>
        <w:ind w:firstLine="551" w:firstLineChars="196"/>
        <w:rPr>
          <w:rFonts w:ascii="宋体" w:hAnsi="Times New Roman" w:eastAsia="宋体" w:cs="Times New Roman"/>
          <w:b/>
          <w:color w:val="000000"/>
          <w:sz w:val="28"/>
          <w:szCs w:val="28"/>
        </w:rPr>
      </w:pPr>
      <w:r>
        <w:rPr>
          <w:rFonts w:ascii="宋体" w:hAnsi="宋体" w:eastAsia="宋体" w:cs="Times New Roman"/>
          <w:b/>
          <w:color w:val="000000"/>
          <w:sz w:val="28"/>
          <w:szCs w:val="28"/>
        </w:rPr>
        <w:t xml:space="preserve"> </w:t>
      </w:r>
      <w:r>
        <w:rPr>
          <w:rFonts w:hint="eastAsia" w:ascii="宋体" w:hAnsi="宋体" w:eastAsia="宋体" w:cs="Times New Roman"/>
          <w:b/>
          <w:color w:val="000000"/>
          <w:sz w:val="28"/>
          <w:szCs w:val="28"/>
        </w:rPr>
        <w:t>二、课程目标</w:t>
      </w:r>
    </w:p>
    <w:p w14:paraId="2A4CE4E5">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目标1. 在实践中接受职业道德教育和训练，树立德育为先理念，内化立德树人的根本宗旨；体验和感受教师职业的光荣感和责任感，自觉加强师德修养，培养和巩固献身小学教育事业的专业思想。</w:t>
      </w:r>
    </w:p>
    <w:p w14:paraId="384F62D4">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目标2. 通过课堂教学和班队工作实习，加深理解和综合运用所学的文化科学知识、教育理论知识和技能，初步掌握科学的教育教学方法和小学班队组织与建设的工作规律与方法，培养从事教学教育教学工作和班队建设与管理的能力。</w:t>
      </w:r>
    </w:p>
    <w:p w14:paraId="083D8D84">
      <w:pPr>
        <w:spacing w:line="360" w:lineRule="auto"/>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目标3</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初步掌握小学教育工作规律，了解当前小学教育、教学改革动态，为今后投身教育改革和教育科研工作，提高教育教学质量打下基础。</w:t>
      </w:r>
    </w:p>
    <w:p w14:paraId="373E2014">
      <w:pPr>
        <w:spacing w:line="360" w:lineRule="auto"/>
        <w:ind w:firstLine="480" w:firstLineChars="200"/>
        <w:jc w:val="left"/>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目标4. 通过分组实习，学会与不同的交往对象和谐相处，具有沟通合作意识，并能合作完成各项实习任务。</w:t>
      </w:r>
    </w:p>
    <w:p w14:paraId="33B41490">
      <w:pPr>
        <w:spacing w:line="360" w:lineRule="auto"/>
        <w:ind w:firstLine="480" w:firstLineChars="200"/>
        <w:jc w:val="left"/>
        <w:rPr>
          <w:rFonts w:hint="eastAsia" w:ascii="宋体" w:hAnsi="宋体" w:eastAsia="宋体" w:cs="Times New Roman"/>
          <w:color w:val="000000"/>
          <w:sz w:val="24"/>
          <w:szCs w:val="24"/>
        </w:rPr>
      </w:pPr>
    </w:p>
    <w:p w14:paraId="52DE1F73">
      <w:pPr>
        <w:spacing w:line="360" w:lineRule="auto"/>
        <w:ind w:firstLine="480" w:firstLineChars="200"/>
        <w:jc w:val="left"/>
        <w:rPr>
          <w:rFonts w:hint="eastAsia" w:ascii="宋体" w:hAnsi="宋体" w:eastAsia="宋体" w:cs="Times New Roman"/>
          <w:color w:val="000000"/>
          <w:sz w:val="24"/>
          <w:szCs w:val="24"/>
        </w:rPr>
      </w:pPr>
    </w:p>
    <w:p w14:paraId="72883C8F">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课程目标与毕业要求的关系</w:t>
      </w:r>
    </w:p>
    <w:tbl>
      <w:tblPr>
        <w:tblStyle w:val="30"/>
        <w:tblW w:w="543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63"/>
        <w:gridCol w:w="1474"/>
        <w:gridCol w:w="6520"/>
      </w:tblGrid>
      <w:tr w14:paraId="382139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atLeast"/>
          <w:tblHeader/>
          <w:jc w:val="center"/>
        </w:trPr>
        <w:tc>
          <w:tcPr>
            <w:tcW w:w="682" w:type="pct"/>
            <w:tcBorders>
              <w:top w:val="single" w:color="auto" w:sz="4" w:space="0"/>
              <w:left w:val="single" w:color="auto" w:sz="4" w:space="0"/>
            </w:tcBorders>
            <w:vAlign w:val="center"/>
          </w:tcPr>
          <w:p w14:paraId="75AABD1D">
            <w:pPr>
              <w:widowControl/>
              <w:spacing w:line="400" w:lineRule="exact"/>
              <w:jc w:val="center"/>
              <w:rPr>
                <w:rFonts w:ascii="宋体" w:hAnsi="宋体" w:eastAsia="宋体" w:cs="Times New Roman"/>
                <w:b/>
                <w:bCs/>
                <w:color w:val="000000"/>
                <w:kern w:val="0"/>
                <w:szCs w:val="21"/>
              </w:rPr>
            </w:pPr>
            <w:bookmarkStart w:id="334" w:name="_Hlk88203639"/>
            <w:r>
              <w:rPr>
                <w:rFonts w:hint="eastAsia" w:ascii="宋体" w:hAnsi="宋体" w:eastAsia="宋体" w:cs="Times New Roman"/>
                <w:b/>
                <w:bCs/>
                <w:color w:val="000000"/>
                <w:kern w:val="0"/>
                <w:szCs w:val="21"/>
              </w:rPr>
              <w:t>课程目标</w:t>
            </w:r>
          </w:p>
        </w:tc>
        <w:tc>
          <w:tcPr>
            <w:tcW w:w="796" w:type="pct"/>
            <w:tcBorders>
              <w:top w:val="single" w:color="auto" w:sz="4" w:space="0"/>
            </w:tcBorders>
            <w:vAlign w:val="center"/>
          </w:tcPr>
          <w:p w14:paraId="2BDC0FF9">
            <w:pPr>
              <w:widowControl/>
              <w:spacing w:line="400" w:lineRule="exact"/>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521" w:type="pct"/>
            <w:tcBorders>
              <w:top w:val="single" w:color="auto" w:sz="4" w:space="0"/>
              <w:right w:val="single" w:color="auto" w:sz="4" w:space="0"/>
            </w:tcBorders>
            <w:vAlign w:val="center"/>
          </w:tcPr>
          <w:p w14:paraId="5D3A0025">
            <w:pPr>
              <w:widowControl/>
              <w:spacing w:line="400" w:lineRule="exact"/>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52756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82" w:type="pct"/>
            <w:vMerge w:val="restart"/>
            <w:tcBorders>
              <w:left w:val="single" w:color="auto" w:sz="4" w:space="0"/>
            </w:tcBorders>
            <w:vAlign w:val="center"/>
          </w:tcPr>
          <w:p w14:paraId="561B1EA3">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796" w:type="pct"/>
            <w:vMerge w:val="restart"/>
            <w:vAlign w:val="center"/>
          </w:tcPr>
          <w:p w14:paraId="079FDF35">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毕业要求1</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师德规范</w:t>
            </w:r>
          </w:p>
        </w:tc>
        <w:tc>
          <w:tcPr>
            <w:tcW w:w="3521" w:type="pct"/>
            <w:tcBorders>
              <w:right w:val="single" w:color="auto" w:sz="4" w:space="0"/>
            </w:tcBorders>
          </w:tcPr>
          <w:p w14:paraId="22C74D5A">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指标点1-1：【理想信念坚定】认同中国特色社会主义，贯彻党的教育方针，自觉践行社会主义核心价值观，树立职业理想，立志成为有理想信念、有道德情操、有扎实学识、有仁爱之心的好教师。</w:t>
            </w:r>
          </w:p>
        </w:tc>
      </w:tr>
      <w:tr w14:paraId="556E4E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82" w:type="pct"/>
            <w:vMerge w:val="continue"/>
            <w:tcBorders>
              <w:left w:val="single" w:color="auto" w:sz="4" w:space="0"/>
            </w:tcBorders>
            <w:vAlign w:val="center"/>
          </w:tcPr>
          <w:p w14:paraId="7DBE293C">
            <w:pPr>
              <w:jc w:val="center"/>
              <w:rPr>
                <w:rFonts w:ascii="宋体" w:hAnsi="宋体" w:eastAsia="宋体" w:cs="Times New Roman"/>
                <w:color w:val="000000"/>
                <w:szCs w:val="21"/>
              </w:rPr>
            </w:pPr>
          </w:p>
        </w:tc>
        <w:tc>
          <w:tcPr>
            <w:tcW w:w="796" w:type="pct"/>
            <w:vMerge w:val="continue"/>
            <w:vAlign w:val="center"/>
          </w:tcPr>
          <w:p w14:paraId="3E961743">
            <w:pPr>
              <w:rPr>
                <w:rFonts w:ascii="宋体" w:hAnsi="宋体" w:eastAsia="宋体" w:cs="Times New Roman"/>
                <w:color w:val="000000"/>
                <w:kern w:val="0"/>
                <w:szCs w:val="21"/>
              </w:rPr>
            </w:pPr>
          </w:p>
        </w:tc>
        <w:tc>
          <w:tcPr>
            <w:tcW w:w="3521" w:type="pct"/>
            <w:tcBorders>
              <w:right w:val="single" w:color="auto" w:sz="4" w:space="0"/>
            </w:tcBorders>
          </w:tcPr>
          <w:p w14:paraId="127281BB">
            <w:pPr>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r>
      <w:tr w14:paraId="3011FB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682" w:type="pct"/>
            <w:vMerge w:val="continue"/>
            <w:tcBorders>
              <w:left w:val="single" w:color="auto" w:sz="4" w:space="0"/>
            </w:tcBorders>
            <w:vAlign w:val="center"/>
          </w:tcPr>
          <w:p w14:paraId="59516EFD">
            <w:pPr>
              <w:widowControl/>
              <w:jc w:val="center"/>
              <w:rPr>
                <w:rFonts w:ascii="宋体" w:hAnsi="宋体" w:eastAsia="宋体" w:cs="Times New Roman"/>
                <w:color w:val="000000"/>
                <w:szCs w:val="21"/>
              </w:rPr>
            </w:pPr>
          </w:p>
        </w:tc>
        <w:tc>
          <w:tcPr>
            <w:tcW w:w="796" w:type="pct"/>
            <w:vMerge w:val="restart"/>
            <w:vAlign w:val="center"/>
          </w:tcPr>
          <w:p w14:paraId="4143B000">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tc>
        <w:tc>
          <w:tcPr>
            <w:tcW w:w="3521" w:type="pct"/>
            <w:tcBorders>
              <w:right w:val="single" w:color="auto" w:sz="4" w:space="0"/>
            </w:tcBorders>
          </w:tcPr>
          <w:p w14:paraId="442E7674">
            <w:pPr>
              <w:widowControl/>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指标点2-1：【职业认同感强】具有家国情怀，乐于从教，热爱教育事业，具有较高的教师职业认同感，认同教师职业的专业性与意义性。</w:t>
            </w:r>
          </w:p>
        </w:tc>
      </w:tr>
      <w:tr w14:paraId="590042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682" w:type="pct"/>
            <w:vMerge w:val="continue"/>
            <w:tcBorders>
              <w:left w:val="single" w:color="auto" w:sz="4" w:space="0"/>
            </w:tcBorders>
            <w:vAlign w:val="center"/>
          </w:tcPr>
          <w:p w14:paraId="1508EB17">
            <w:pPr>
              <w:widowControl/>
              <w:jc w:val="center"/>
              <w:rPr>
                <w:rFonts w:ascii="宋体" w:hAnsi="宋体" w:eastAsia="宋体" w:cs="Times New Roman"/>
                <w:color w:val="000000"/>
                <w:szCs w:val="21"/>
              </w:rPr>
            </w:pPr>
          </w:p>
        </w:tc>
        <w:tc>
          <w:tcPr>
            <w:tcW w:w="796" w:type="pct"/>
            <w:vMerge w:val="continue"/>
            <w:vAlign w:val="center"/>
          </w:tcPr>
          <w:p w14:paraId="33BF67F6">
            <w:pPr>
              <w:rPr>
                <w:rFonts w:ascii="宋体" w:hAnsi="宋体" w:eastAsia="宋体" w:cs="Times New Roman"/>
                <w:color w:val="000000"/>
                <w:kern w:val="0"/>
                <w:szCs w:val="21"/>
              </w:rPr>
            </w:pPr>
          </w:p>
        </w:tc>
        <w:tc>
          <w:tcPr>
            <w:tcW w:w="3521" w:type="pct"/>
            <w:tcBorders>
              <w:right w:val="single" w:color="auto" w:sz="4" w:space="0"/>
            </w:tcBorders>
          </w:tcPr>
          <w:p w14:paraId="374ED13E">
            <w:pPr>
              <w:widowControl/>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51062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82" w:type="pct"/>
            <w:vMerge w:val="continue"/>
            <w:tcBorders>
              <w:left w:val="single" w:color="auto" w:sz="4" w:space="0"/>
            </w:tcBorders>
            <w:vAlign w:val="center"/>
          </w:tcPr>
          <w:p w14:paraId="55450DFA">
            <w:pPr>
              <w:widowControl/>
              <w:jc w:val="center"/>
              <w:rPr>
                <w:rFonts w:ascii="宋体" w:hAnsi="宋体" w:eastAsia="宋体" w:cs="Times New Roman"/>
                <w:color w:val="000000"/>
                <w:szCs w:val="21"/>
              </w:rPr>
            </w:pPr>
          </w:p>
        </w:tc>
        <w:tc>
          <w:tcPr>
            <w:tcW w:w="796" w:type="pct"/>
            <w:vMerge w:val="continue"/>
            <w:vAlign w:val="center"/>
          </w:tcPr>
          <w:p w14:paraId="32792266">
            <w:pPr>
              <w:rPr>
                <w:rFonts w:ascii="宋体" w:hAnsi="宋体" w:eastAsia="宋体" w:cs="Times New Roman"/>
                <w:color w:val="000000"/>
                <w:kern w:val="0"/>
                <w:szCs w:val="21"/>
              </w:rPr>
            </w:pPr>
          </w:p>
        </w:tc>
        <w:tc>
          <w:tcPr>
            <w:tcW w:w="3521" w:type="pct"/>
            <w:tcBorders>
              <w:right w:val="single" w:color="auto" w:sz="4" w:space="0"/>
            </w:tcBorders>
          </w:tcPr>
          <w:p w14:paraId="177170FD">
            <w:pPr>
              <w:widowControl/>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指标点2-3：【自身修养良好】具有较好的人文底蕴与科学精神，人格健全，心理健康，情感丰富，为人师表。</w:t>
            </w:r>
          </w:p>
        </w:tc>
      </w:tr>
      <w:tr w14:paraId="6CAAC4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82" w:type="pct"/>
            <w:vMerge w:val="restart"/>
            <w:tcBorders>
              <w:left w:val="single" w:color="auto" w:sz="4" w:space="0"/>
            </w:tcBorders>
            <w:vAlign w:val="center"/>
          </w:tcPr>
          <w:p w14:paraId="42DFF244">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796" w:type="pct"/>
            <w:vAlign w:val="center"/>
          </w:tcPr>
          <w:p w14:paraId="73633C24">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综合素养</w:t>
            </w:r>
          </w:p>
        </w:tc>
        <w:tc>
          <w:tcPr>
            <w:tcW w:w="3521" w:type="pct"/>
            <w:tcBorders>
              <w:right w:val="single" w:color="auto" w:sz="4" w:space="0"/>
            </w:tcBorders>
            <w:vAlign w:val="center"/>
          </w:tcPr>
          <w:p w14:paraId="5376D025">
            <w:pPr>
              <w:spacing w:line="300" w:lineRule="exact"/>
              <w:rPr>
                <w:rFonts w:ascii="宋体" w:hAnsi="宋体" w:eastAsia="宋体" w:cs="Times New Roman"/>
                <w:color w:val="000000"/>
                <w:kern w:val="0"/>
                <w:szCs w:val="21"/>
              </w:rPr>
            </w:pPr>
            <w:r>
              <w:rPr>
                <w:rFonts w:hint="eastAsia" w:ascii="宋体" w:hAnsi="宋体" w:eastAsia="宋体" w:cs="Times New Roman"/>
                <w:color w:val="000000"/>
                <w:kern w:val="0"/>
                <w:szCs w:val="21"/>
              </w:rPr>
              <w:t>指标点3-4：【注重知识整合】了解所教学科与其他学科及与社会实践、小学生生活实践之间的联系，了解学科整合的在小学教育中的价值，具有跨学科解决问题的意识和能力，能指导综合性学科教学活动。</w:t>
            </w:r>
          </w:p>
        </w:tc>
      </w:tr>
      <w:tr w14:paraId="4BA0E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82" w:type="pct"/>
            <w:vMerge w:val="continue"/>
            <w:tcBorders>
              <w:left w:val="single" w:color="auto" w:sz="4" w:space="0"/>
            </w:tcBorders>
            <w:vAlign w:val="center"/>
          </w:tcPr>
          <w:p w14:paraId="016A0B79">
            <w:pPr>
              <w:jc w:val="center"/>
              <w:rPr>
                <w:rFonts w:ascii="宋体" w:hAnsi="宋体" w:eastAsia="宋体" w:cs="Times New Roman"/>
                <w:color w:val="000000"/>
                <w:kern w:val="0"/>
                <w:szCs w:val="21"/>
              </w:rPr>
            </w:pPr>
          </w:p>
        </w:tc>
        <w:tc>
          <w:tcPr>
            <w:tcW w:w="796" w:type="pct"/>
            <w:vMerge w:val="restart"/>
            <w:vAlign w:val="center"/>
          </w:tcPr>
          <w:p w14:paraId="5EAB5F38">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tc>
        <w:tc>
          <w:tcPr>
            <w:tcW w:w="3521" w:type="pct"/>
            <w:tcBorders>
              <w:right w:val="single" w:color="auto" w:sz="4" w:space="0"/>
            </w:tcBorders>
          </w:tcPr>
          <w:p w14:paraId="52908FD8">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指标点4-1：【领会课程标准】掌握教与学的知识，熟悉所教学科课程标准和教材、教学内容，具有一定的教材解读能力，具有依据课标进行教学的意识和习惯。</w:t>
            </w:r>
          </w:p>
        </w:tc>
      </w:tr>
      <w:tr w14:paraId="142B29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682" w:type="pct"/>
            <w:vMerge w:val="continue"/>
            <w:tcBorders>
              <w:left w:val="single" w:color="auto" w:sz="4" w:space="0"/>
            </w:tcBorders>
            <w:vAlign w:val="center"/>
          </w:tcPr>
          <w:p w14:paraId="2D137056">
            <w:pPr>
              <w:jc w:val="center"/>
              <w:rPr>
                <w:rFonts w:ascii="宋体" w:hAnsi="宋体" w:eastAsia="宋体" w:cs="Times New Roman"/>
                <w:color w:val="000000"/>
                <w:szCs w:val="21"/>
              </w:rPr>
            </w:pPr>
          </w:p>
        </w:tc>
        <w:tc>
          <w:tcPr>
            <w:tcW w:w="796" w:type="pct"/>
            <w:vMerge w:val="continue"/>
            <w:vAlign w:val="center"/>
          </w:tcPr>
          <w:p w14:paraId="51C01B9E">
            <w:pPr>
              <w:widowControl/>
              <w:rPr>
                <w:rFonts w:ascii="宋体" w:hAnsi="宋体" w:eastAsia="宋体" w:cs="Times New Roman"/>
                <w:color w:val="000000"/>
                <w:kern w:val="0"/>
                <w:szCs w:val="21"/>
              </w:rPr>
            </w:pPr>
          </w:p>
        </w:tc>
        <w:tc>
          <w:tcPr>
            <w:tcW w:w="3521" w:type="pct"/>
            <w:tcBorders>
              <w:bottom w:val="single" w:color="auto" w:sz="4" w:space="0"/>
              <w:right w:val="single" w:color="auto" w:sz="4" w:space="0"/>
            </w:tcBorders>
          </w:tcPr>
          <w:p w14:paraId="1769A40E">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指标点4-2：【教学技能突出】获得全面的小学教学体验，掌握学科教学的基本方法与策略，能独立进行教学设计、实施和评价。</w:t>
            </w:r>
          </w:p>
        </w:tc>
      </w:tr>
      <w:tr w14:paraId="4D1AA3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7" w:hRule="atLeast"/>
          <w:jc w:val="center"/>
        </w:trPr>
        <w:tc>
          <w:tcPr>
            <w:tcW w:w="682" w:type="pct"/>
            <w:vMerge w:val="continue"/>
            <w:tcBorders>
              <w:left w:val="single" w:color="auto" w:sz="4" w:space="0"/>
            </w:tcBorders>
            <w:vAlign w:val="center"/>
          </w:tcPr>
          <w:p w14:paraId="2406C1A8">
            <w:pPr>
              <w:jc w:val="center"/>
              <w:rPr>
                <w:rFonts w:ascii="宋体" w:hAnsi="宋体" w:eastAsia="宋体" w:cs="Times New Roman"/>
                <w:color w:val="000000"/>
                <w:szCs w:val="21"/>
              </w:rPr>
            </w:pPr>
          </w:p>
        </w:tc>
        <w:tc>
          <w:tcPr>
            <w:tcW w:w="796" w:type="pct"/>
            <w:vMerge w:val="continue"/>
            <w:vAlign w:val="center"/>
          </w:tcPr>
          <w:p w14:paraId="10384E76">
            <w:pPr>
              <w:widowControl/>
              <w:rPr>
                <w:rFonts w:ascii="宋体" w:hAnsi="宋体" w:eastAsia="宋体" w:cs="Times New Roman"/>
                <w:color w:val="000000"/>
                <w:kern w:val="0"/>
                <w:szCs w:val="21"/>
              </w:rPr>
            </w:pPr>
          </w:p>
        </w:tc>
        <w:tc>
          <w:tcPr>
            <w:tcW w:w="3521" w:type="pct"/>
            <w:tcBorders>
              <w:bottom w:val="single" w:color="auto" w:sz="4" w:space="0"/>
              <w:right w:val="single" w:color="auto" w:sz="4" w:space="0"/>
            </w:tcBorders>
          </w:tcPr>
          <w:p w14:paraId="30A104E1">
            <w:pPr>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指标点4-3：【教师基本功扎实】掌握小学教师基本功技能，包括书写技能、沟通与表达技能、信息技术运用技能等。</w:t>
            </w:r>
          </w:p>
        </w:tc>
      </w:tr>
      <w:tr w14:paraId="3BA9B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682" w:type="pct"/>
            <w:vMerge w:val="continue"/>
            <w:tcBorders>
              <w:left w:val="single" w:color="auto" w:sz="4" w:space="0"/>
            </w:tcBorders>
            <w:vAlign w:val="center"/>
          </w:tcPr>
          <w:p w14:paraId="64639E73">
            <w:pPr>
              <w:jc w:val="center"/>
              <w:rPr>
                <w:rFonts w:ascii="宋体" w:hAnsi="宋体" w:eastAsia="宋体" w:cs="Times New Roman"/>
                <w:color w:val="000000"/>
                <w:szCs w:val="21"/>
              </w:rPr>
            </w:pPr>
          </w:p>
        </w:tc>
        <w:tc>
          <w:tcPr>
            <w:tcW w:w="796" w:type="pct"/>
            <w:vMerge w:val="continue"/>
            <w:vAlign w:val="center"/>
          </w:tcPr>
          <w:p w14:paraId="06FAA76B">
            <w:pPr>
              <w:widowControl/>
              <w:rPr>
                <w:rFonts w:ascii="宋体" w:hAnsi="宋体" w:eastAsia="宋体" w:cs="Times New Roman"/>
                <w:color w:val="000000"/>
                <w:kern w:val="0"/>
                <w:szCs w:val="21"/>
              </w:rPr>
            </w:pPr>
          </w:p>
        </w:tc>
        <w:tc>
          <w:tcPr>
            <w:tcW w:w="3521" w:type="pct"/>
            <w:tcBorders>
              <w:top w:val="single" w:color="auto" w:sz="4" w:space="0"/>
              <w:right w:val="single" w:color="auto" w:sz="4" w:space="0"/>
            </w:tcBorders>
          </w:tcPr>
          <w:p w14:paraId="1D92104B">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指标点4-4：【教育研究能力好】掌握教育研究的基本方法，结合小学教育教学实践进行研究，具有一定的教学研究能力</w:t>
            </w:r>
          </w:p>
        </w:tc>
      </w:tr>
      <w:tr w14:paraId="200A6E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682" w:type="pct"/>
            <w:vMerge w:val="continue"/>
            <w:tcBorders>
              <w:left w:val="single" w:color="auto" w:sz="4" w:space="0"/>
            </w:tcBorders>
            <w:vAlign w:val="center"/>
          </w:tcPr>
          <w:p w14:paraId="4F2FE628">
            <w:pPr>
              <w:jc w:val="center"/>
              <w:rPr>
                <w:rFonts w:ascii="宋体" w:hAnsi="宋体" w:eastAsia="宋体" w:cs="Times New Roman"/>
                <w:color w:val="000000"/>
                <w:szCs w:val="21"/>
              </w:rPr>
            </w:pPr>
          </w:p>
        </w:tc>
        <w:tc>
          <w:tcPr>
            <w:tcW w:w="796" w:type="pct"/>
            <w:vMerge w:val="restart"/>
            <w:tcBorders>
              <w:top w:val="single" w:color="auto" w:sz="4" w:space="0"/>
            </w:tcBorders>
            <w:vAlign w:val="center"/>
          </w:tcPr>
          <w:p w14:paraId="6180E537">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r>
              <w:rPr>
                <w:rFonts w:hint="eastAsia" w:ascii="宋体" w:hAnsi="宋体" w:eastAsia="宋体" w:cs="Times New Roman"/>
                <w:color w:val="000000"/>
                <w:kern w:val="0"/>
                <w:szCs w:val="21"/>
              </w:rPr>
              <w:t>班级管理</w:t>
            </w:r>
          </w:p>
        </w:tc>
        <w:tc>
          <w:tcPr>
            <w:tcW w:w="3521" w:type="pct"/>
            <w:tcBorders>
              <w:top w:val="single" w:color="auto" w:sz="4" w:space="0"/>
              <w:bottom w:val="single" w:color="auto" w:sz="4" w:space="0"/>
              <w:right w:val="single" w:color="auto" w:sz="4" w:space="0"/>
            </w:tcBorders>
          </w:tcPr>
          <w:p w14:paraId="0EE2F8C5">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指标点5-1：【擅长班队管理】获得小学班队组织与建设的体验。掌握小学班队组织与建设的工作规律和基本方法，具有班队建设和管理的基本能力。</w:t>
            </w:r>
          </w:p>
        </w:tc>
      </w:tr>
      <w:tr w14:paraId="3D89D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2" w:type="pct"/>
            <w:vMerge w:val="continue"/>
            <w:tcBorders>
              <w:left w:val="single" w:color="auto" w:sz="4" w:space="0"/>
            </w:tcBorders>
            <w:vAlign w:val="center"/>
          </w:tcPr>
          <w:p w14:paraId="1FC787FD">
            <w:pPr>
              <w:jc w:val="center"/>
              <w:rPr>
                <w:rFonts w:ascii="宋体" w:hAnsi="宋体" w:eastAsia="宋体" w:cs="Times New Roman"/>
                <w:color w:val="000000"/>
                <w:szCs w:val="21"/>
              </w:rPr>
            </w:pPr>
          </w:p>
        </w:tc>
        <w:tc>
          <w:tcPr>
            <w:tcW w:w="796" w:type="pct"/>
            <w:vMerge w:val="continue"/>
            <w:vAlign w:val="center"/>
          </w:tcPr>
          <w:p w14:paraId="79FBD692">
            <w:pPr>
              <w:rPr>
                <w:rFonts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4F3F1008">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指标点5-2：【强化德育地位】获得小学德育工作体验，树立德育为先的理念，熟悉小学德育的基本原理与方法。</w:t>
            </w:r>
          </w:p>
        </w:tc>
      </w:tr>
      <w:tr w14:paraId="79312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2" w:type="pct"/>
            <w:vMerge w:val="continue"/>
            <w:tcBorders>
              <w:left w:val="single" w:color="auto" w:sz="4" w:space="0"/>
            </w:tcBorders>
            <w:vAlign w:val="center"/>
          </w:tcPr>
          <w:p w14:paraId="3F08CEA8">
            <w:pPr>
              <w:jc w:val="center"/>
              <w:rPr>
                <w:rFonts w:ascii="宋体" w:hAnsi="宋体" w:eastAsia="宋体" w:cs="Times New Roman"/>
                <w:color w:val="000000"/>
                <w:kern w:val="0"/>
                <w:szCs w:val="21"/>
              </w:rPr>
            </w:pPr>
          </w:p>
        </w:tc>
        <w:tc>
          <w:tcPr>
            <w:tcW w:w="796" w:type="pct"/>
            <w:vMerge w:val="continue"/>
            <w:vAlign w:val="center"/>
          </w:tcPr>
          <w:p w14:paraId="05F583F5">
            <w:pPr>
              <w:rPr>
                <w:rFonts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7EFE3A56">
            <w:pPr>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指标点5-3：【重视心理健康教育】获得小学心理健康教育指导体验，参与组织与指导对小学生心理健康教育的科普宣传及心理辅导，掌握小学心理健康教育的基本方法。</w:t>
            </w:r>
          </w:p>
        </w:tc>
      </w:tr>
      <w:tr w14:paraId="090F78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pct"/>
            <w:vMerge w:val="restart"/>
            <w:tcBorders>
              <w:left w:val="single" w:color="auto" w:sz="4" w:space="0"/>
            </w:tcBorders>
            <w:vAlign w:val="center"/>
          </w:tcPr>
          <w:p w14:paraId="1CFAF5EB">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p w14:paraId="1A9DAD58">
            <w:pPr>
              <w:jc w:val="center"/>
              <w:rPr>
                <w:rFonts w:ascii="宋体" w:hAnsi="宋体" w:eastAsia="宋体" w:cs="Times New Roman"/>
                <w:color w:val="000000"/>
                <w:szCs w:val="21"/>
              </w:rPr>
            </w:pPr>
          </w:p>
        </w:tc>
        <w:tc>
          <w:tcPr>
            <w:tcW w:w="796" w:type="pct"/>
            <w:vMerge w:val="restart"/>
            <w:vAlign w:val="center"/>
          </w:tcPr>
          <w:p w14:paraId="762E0431">
            <w:pPr>
              <w:rPr>
                <w:rFonts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r>
              <w:rPr>
                <w:rFonts w:hint="eastAsia" w:ascii="宋体" w:hAnsi="宋体" w:eastAsia="宋体" w:cs="Times New Roman"/>
                <w:color w:val="000000"/>
                <w:spacing w:val="2"/>
                <w:kern w:val="0"/>
                <w:szCs w:val="21"/>
              </w:rPr>
              <w:t>综合育人</w:t>
            </w:r>
          </w:p>
        </w:tc>
        <w:tc>
          <w:tcPr>
            <w:tcW w:w="3521" w:type="pct"/>
            <w:tcBorders>
              <w:top w:val="single" w:color="auto" w:sz="4" w:space="0"/>
              <w:bottom w:val="single" w:color="auto" w:sz="4" w:space="0"/>
              <w:right w:val="single" w:color="auto" w:sz="4" w:space="0"/>
            </w:tcBorders>
          </w:tcPr>
          <w:p w14:paraId="58C200E9">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指标点6-1：【遵循身心规律】了解不同年龄以及有特殊需要的小学生的身心发展特点和规律、不同年龄小学生学习的特点，掌握小学生良好行为习惯养成的知识。</w:t>
            </w:r>
          </w:p>
        </w:tc>
      </w:tr>
      <w:tr w14:paraId="12EAD3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pct"/>
            <w:vMerge w:val="continue"/>
            <w:tcBorders>
              <w:left w:val="single" w:color="auto" w:sz="4" w:space="0"/>
            </w:tcBorders>
            <w:vAlign w:val="center"/>
          </w:tcPr>
          <w:p w14:paraId="73DFB6D2">
            <w:pPr>
              <w:jc w:val="center"/>
              <w:rPr>
                <w:rFonts w:ascii="宋体" w:hAnsi="宋体" w:eastAsia="宋体" w:cs="Times New Roman"/>
                <w:color w:val="000000"/>
                <w:szCs w:val="21"/>
              </w:rPr>
            </w:pPr>
          </w:p>
        </w:tc>
        <w:tc>
          <w:tcPr>
            <w:tcW w:w="796" w:type="pct"/>
            <w:vMerge w:val="continue"/>
            <w:vAlign w:val="center"/>
          </w:tcPr>
          <w:p w14:paraId="6E7F575B">
            <w:pPr>
              <w:rPr>
                <w:rFonts w:hint="eastAsia"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45F7F650">
            <w:pPr>
              <w:spacing w:line="300" w:lineRule="exact"/>
              <w:jc w:val="left"/>
              <w:rPr>
                <w:rFonts w:hint="eastAsia" w:ascii="Times New Roman" w:hAnsi="Times New Roman" w:eastAsia="宋体" w:cs="Times New Roman"/>
                <w:szCs w:val="24"/>
              </w:rPr>
            </w:pPr>
            <w:r>
              <w:rPr>
                <w:rFonts w:hint="eastAsia" w:ascii="Times New Roman" w:hAnsi="Times New Roman" w:eastAsia="宋体" w:cs="Times New Roman"/>
                <w:szCs w:val="24"/>
              </w:rPr>
              <w:t>指标点6-2：【懂得学科育人】具有教书育人的意识，理解学科核心素养和拟任教学科课程独特的育人功能，具备结合学科教学进行育人的意识与能力，注重学科教学中思想政治教育的渗透。</w:t>
            </w:r>
          </w:p>
        </w:tc>
      </w:tr>
      <w:tr w14:paraId="527E11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82" w:type="pct"/>
            <w:vMerge w:val="continue"/>
            <w:tcBorders>
              <w:left w:val="single" w:color="auto" w:sz="4" w:space="0"/>
            </w:tcBorders>
            <w:vAlign w:val="center"/>
          </w:tcPr>
          <w:p w14:paraId="0923276D">
            <w:pPr>
              <w:jc w:val="center"/>
              <w:rPr>
                <w:rFonts w:ascii="宋体" w:hAnsi="宋体" w:eastAsia="宋体" w:cs="Times New Roman"/>
                <w:color w:val="000000"/>
                <w:szCs w:val="21"/>
              </w:rPr>
            </w:pPr>
          </w:p>
        </w:tc>
        <w:tc>
          <w:tcPr>
            <w:tcW w:w="796" w:type="pct"/>
            <w:vMerge w:val="continue"/>
            <w:vAlign w:val="center"/>
          </w:tcPr>
          <w:p w14:paraId="23435712">
            <w:pPr>
              <w:rPr>
                <w:rFonts w:ascii="宋体" w:hAnsi="宋体" w:eastAsia="宋体" w:cs="Times New Roman"/>
                <w:color w:val="000000"/>
                <w:kern w:val="0"/>
                <w:szCs w:val="21"/>
              </w:rPr>
            </w:pPr>
          </w:p>
        </w:tc>
        <w:tc>
          <w:tcPr>
            <w:tcW w:w="3521" w:type="pct"/>
            <w:tcBorders>
              <w:top w:val="single" w:color="auto" w:sz="4" w:space="0"/>
              <w:right w:val="single" w:color="auto" w:sz="4" w:space="0"/>
            </w:tcBorders>
            <w:vAlign w:val="center"/>
          </w:tcPr>
          <w:p w14:paraId="19FEC521">
            <w:pPr>
              <w:spacing w:line="300" w:lineRule="exact"/>
              <w:jc w:val="left"/>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指标点6-3：【掌握育人方法】了解课外活动组织和管理知识，掌握学校文化和各类课外教育活动的育人内涵和方法，参与组织主题教育、少先队活动和社团活动，促进小学生全面、健康发展。</w:t>
            </w:r>
          </w:p>
        </w:tc>
      </w:tr>
      <w:tr w14:paraId="263CB2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atLeast"/>
          <w:jc w:val="center"/>
        </w:trPr>
        <w:tc>
          <w:tcPr>
            <w:tcW w:w="682" w:type="pct"/>
            <w:vMerge w:val="continue"/>
            <w:tcBorders>
              <w:left w:val="single" w:color="auto" w:sz="4" w:space="0"/>
            </w:tcBorders>
            <w:vAlign w:val="center"/>
          </w:tcPr>
          <w:p w14:paraId="4CBEEFB5">
            <w:pPr>
              <w:jc w:val="center"/>
              <w:rPr>
                <w:rFonts w:ascii="宋体" w:hAnsi="宋体" w:eastAsia="宋体" w:cs="Times New Roman"/>
                <w:color w:val="000000"/>
                <w:szCs w:val="21"/>
              </w:rPr>
            </w:pPr>
          </w:p>
        </w:tc>
        <w:tc>
          <w:tcPr>
            <w:tcW w:w="796" w:type="pct"/>
            <w:vMerge w:val="restart"/>
            <w:vAlign w:val="center"/>
          </w:tcPr>
          <w:p w14:paraId="0307E483">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hint="eastAsia" w:ascii="宋体" w:hAnsi="宋体" w:eastAsia="宋体" w:cs="Times New Roman"/>
                <w:color w:val="000000"/>
                <w:kern w:val="0"/>
                <w:szCs w:val="21"/>
              </w:rPr>
              <w:t>学会反思</w:t>
            </w:r>
          </w:p>
        </w:tc>
        <w:tc>
          <w:tcPr>
            <w:tcW w:w="3521" w:type="pct"/>
            <w:tcBorders>
              <w:top w:val="single" w:color="auto" w:sz="4" w:space="0"/>
              <w:right w:val="single" w:color="auto" w:sz="4" w:space="0"/>
            </w:tcBorders>
          </w:tcPr>
          <w:p w14:paraId="06D7C473">
            <w:pPr>
              <w:jc w:val="left"/>
              <w:rPr>
                <w:rFonts w:ascii="宋体" w:hAnsi="宋体" w:eastAsia="宋体" w:cs="Times New Roman"/>
                <w:color w:val="000000"/>
                <w:szCs w:val="21"/>
              </w:rPr>
            </w:pPr>
            <w:r>
              <w:rPr>
                <w:rFonts w:hint="eastAsia" w:ascii="Times New Roman" w:hAnsi="Times New Roman" w:eastAsia="宋体" w:cs="Times New Roman"/>
                <w:szCs w:val="24"/>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0F382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682" w:type="pct"/>
            <w:vMerge w:val="restart"/>
            <w:tcBorders>
              <w:left w:val="single" w:color="auto" w:sz="4" w:space="0"/>
            </w:tcBorders>
            <w:vAlign w:val="center"/>
          </w:tcPr>
          <w:p w14:paraId="58B2359F">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4</w:t>
            </w:r>
          </w:p>
        </w:tc>
        <w:tc>
          <w:tcPr>
            <w:tcW w:w="796" w:type="pct"/>
            <w:vMerge w:val="restart"/>
            <w:vAlign w:val="center"/>
          </w:tcPr>
          <w:p w14:paraId="41DA3E83">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r>
              <w:rPr>
                <w:rFonts w:hint="eastAsia" w:ascii="宋体" w:hAnsi="宋体" w:eastAsia="宋体" w:cs="Times New Roman"/>
                <w:color w:val="000000"/>
                <w:kern w:val="0"/>
                <w:szCs w:val="21"/>
              </w:rPr>
              <w:t>沟通合作</w:t>
            </w:r>
          </w:p>
        </w:tc>
        <w:tc>
          <w:tcPr>
            <w:tcW w:w="3521" w:type="pct"/>
            <w:tcBorders>
              <w:top w:val="single" w:color="auto" w:sz="4" w:space="0"/>
              <w:bottom w:val="single" w:color="auto" w:sz="4" w:space="0"/>
              <w:right w:val="single" w:color="auto" w:sz="4" w:space="0"/>
            </w:tcBorders>
          </w:tcPr>
          <w:p w14:paraId="085D71BE">
            <w:pPr>
              <w:jc w:val="left"/>
              <w:rPr>
                <w:rFonts w:ascii="宋体" w:hAnsi="宋体" w:eastAsia="宋体" w:cs="Times New Roman"/>
                <w:color w:val="000000"/>
                <w:kern w:val="0"/>
                <w:szCs w:val="21"/>
              </w:rPr>
            </w:pPr>
            <w:r>
              <w:rPr>
                <w:rFonts w:hint="eastAsia" w:ascii="Times New Roman" w:hAnsi="Times New Roman" w:eastAsia="宋体" w:cs="Times New Roman"/>
                <w:szCs w:val="24"/>
              </w:rPr>
              <w:t>指标点8-1：【善于团队合作】理解学习共同体的本质和价值，掌握团队协作的基本策略，在课堂学习与教育实践中获得合作学习体验，形成团队协作精神。</w:t>
            </w:r>
          </w:p>
        </w:tc>
      </w:tr>
      <w:tr w14:paraId="38117B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682" w:type="pct"/>
            <w:vMerge w:val="continue"/>
            <w:tcBorders>
              <w:left w:val="single" w:color="auto" w:sz="4" w:space="0"/>
              <w:bottom w:val="single" w:color="auto" w:sz="4" w:space="0"/>
            </w:tcBorders>
          </w:tcPr>
          <w:p w14:paraId="7D3B97D5">
            <w:pPr>
              <w:jc w:val="left"/>
              <w:rPr>
                <w:rFonts w:ascii="宋体" w:hAnsi="宋体" w:eastAsia="宋体" w:cs="Times New Roman"/>
                <w:color w:val="000000"/>
                <w:szCs w:val="21"/>
              </w:rPr>
            </w:pPr>
          </w:p>
        </w:tc>
        <w:tc>
          <w:tcPr>
            <w:tcW w:w="796" w:type="pct"/>
            <w:vMerge w:val="continue"/>
            <w:tcBorders>
              <w:bottom w:val="single" w:color="auto" w:sz="4" w:space="0"/>
            </w:tcBorders>
          </w:tcPr>
          <w:p w14:paraId="5F34E506">
            <w:pPr>
              <w:jc w:val="left"/>
              <w:rPr>
                <w:rFonts w:ascii="宋体" w:hAnsi="宋体" w:eastAsia="宋体" w:cs="Times New Roman"/>
                <w:color w:val="000000"/>
                <w:szCs w:val="21"/>
              </w:rPr>
            </w:pPr>
          </w:p>
        </w:tc>
        <w:tc>
          <w:tcPr>
            <w:tcW w:w="3521" w:type="pct"/>
            <w:tcBorders>
              <w:top w:val="single" w:color="auto" w:sz="4" w:space="0"/>
              <w:bottom w:val="single" w:color="auto" w:sz="4" w:space="0"/>
              <w:right w:val="single" w:color="auto" w:sz="4" w:space="0"/>
            </w:tcBorders>
          </w:tcPr>
          <w:p w14:paraId="44F037F6">
            <w:pPr>
              <w:jc w:val="left"/>
              <w:rPr>
                <w:rFonts w:ascii="宋体" w:hAnsi="宋体" w:eastAsia="宋体" w:cs="Times New Roman"/>
                <w:color w:val="000000"/>
                <w:spacing w:val="2"/>
                <w:kern w:val="0"/>
                <w:szCs w:val="21"/>
              </w:rPr>
            </w:pPr>
            <w:r>
              <w:rPr>
                <w:rFonts w:hint="eastAsia" w:ascii="Times New Roman" w:hAnsi="Times New Roman" w:eastAsia="宋体" w:cs="Times New Roman"/>
                <w:szCs w:val="24"/>
              </w:rPr>
              <w:t>指标点8-2：【学会沟通交流】掌握人际沟通合作技能与方法，能与学生和家长以及同行、同事、专家进行有效沟通与合作，实现共同发展。</w:t>
            </w:r>
          </w:p>
        </w:tc>
      </w:tr>
      <w:bookmarkEnd w:id="334"/>
    </w:tbl>
    <w:p w14:paraId="36F99A83">
      <w:pPr>
        <w:spacing w:line="360" w:lineRule="auto"/>
        <w:ind w:firstLine="551" w:firstLineChars="196"/>
        <w:rPr>
          <w:rFonts w:ascii="宋体" w:hAnsi="Times New Roman" w:eastAsia="宋体" w:cs="Times New Roman"/>
          <w:b/>
          <w:color w:val="000000"/>
          <w:sz w:val="28"/>
          <w:szCs w:val="28"/>
        </w:rPr>
      </w:pPr>
      <w:r>
        <w:rPr>
          <w:rFonts w:hint="eastAsia" w:ascii="宋体" w:hAnsi="宋体" w:eastAsia="宋体" w:cs="Times New Roman"/>
          <w:b/>
          <w:color w:val="000000"/>
          <w:sz w:val="28"/>
          <w:szCs w:val="28"/>
        </w:rPr>
        <w:t>三、课程内容与要求</w:t>
      </w:r>
    </w:p>
    <w:p w14:paraId="7ED5F115">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（一）课堂教学实习（本模块可以支撑课程目标1、2、3、4）</w:t>
      </w:r>
    </w:p>
    <w:p w14:paraId="122BD746">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内容</w:t>
      </w:r>
    </w:p>
    <w:p w14:paraId="7F36119F">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实习生在实习学校指导师和本校带队老师的指导下，从事备课、上课、听课、评课、说课、课后辅导、批改作业与讲评、组织第二课堂活动、课件制作等教学工作实践。</w:t>
      </w:r>
    </w:p>
    <w:p w14:paraId="61E1BECB">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要求</w:t>
      </w:r>
    </w:p>
    <w:p w14:paraId="3F0DA121">
      <w:pPr>
        <w:spacing w:line="360" w:lineRule="auto"/>
        <w:ind w:firstLine="470" w:firstLineChars="196"/>
        <w:rPr>
          <w:rFonts w:ascii="Times New Roman" w:hAnsi="Times New Roman" w:eastAsia="宋体" w:cs="Times New Roman"/>
          <w:b/>
          <w:sz w:val="24"/>
          <w:szCs w:val="24"/>
        </w:rPr>
      </w:pPr>
      <w:r>
        <w:rPr>
          <w:rFonts w:hint="eastAsia" w:ascii="Times New Roman" w:hAnsi="Times New Roman" w:eastAsia="宋体" w:cs="Times New Roman"/>
          <w:bCs/>
          <w:sz w:val="24"/>
          <w:szCs w:val="24"/>
        </w:rPr>
        <w:t>（1）每个实习生必须按照实习计划认真备课，独立编写教案，在上课前三天将教案递交指导师审阅，并通过反复试教再正式上课。要求保质保量地完成教学任务。</w:t>
      </w:r>
    </w:p>
    <w:p w14:paraId="3B03851F">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（2）听课不少于2</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节，并做好听课记录、评课记录、反思等相关材料，提交听课记录1</w:t>
      </w:r>
      <w:r>
        <w:rPr>
          <w:rFonts w:ascii="Times New Roman" w:hAnsi="Times New Roman" w:eastAsia="宋体" w:cs="Times New Roman"/>
          <w:bCs/>
          <w:sz w:val="24"/>
          <w:szCs w:val="24"/>
        </w:rPr>
        <w:t>0</w:t>
      </w:r>
      <w:r>
        <w:rPr>
          <w:rFonts w:hint="eastAsia" w:ascii="Times New Roman" w:hAnsi="Times New Roman" w:eastAsia="宋体" w:cs="Times New Roman"/>
          <w:bCs/>
          <w:sz w:val="24"/>
          <w:szCs w:val="24"/>
        </w:rPr>
        <w:t>节。</w:t>
      </w:r>
    </w:p>
    <w:p w14:paraId="6A20C32D">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（3）设计教案4份，试教至少</w:t>
      </w:r>
      <w:r>
        <w:rPr>
          <w:rFonts w:ascii="Times New Roman" w:hAnsi="Times New Roman" w:eastAsia="宋体" w:cs="Times New Roman"/>
          <w:bCs/>
          <w:sz w:val="24"/>
          <w:szCs w:val="24"/>
        </w:rPr>
        <w:t>4</w:t>
      </w:r>
      <w:r>
        <w:rPr>
          <w:rFonts w:hint="eastAsia" w:ascii="Times New Roman" w:hAnsi="Times New Roman" w:eastAsia="宋体" w:cs="Times New Roman"/>
          <w:bCs/>
          <w:sz w:val="24"/>
          <w:szCs w:val="24"/>
        </w:rPr>
        <w:t>次，留有过程性材料。</w:t>
      </w:r>
    </w:p>
    <w:p w14:paraId="2F16D4B1">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课程思政教学目标</w:t>
      </w:r>
    </w:p>
    <w:p w14:paraId="65B4CE06">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通过具体的教研过程，充分运用自身所掌握的教育教学方法、学生心理规律，不忘初心，把立德树人、培养学生创新意识作为重中之重，让课程教研成为引导学生学习知识、锤炼心志和养成品行的过程。</w:t>
      </w:r>
    </w:p>
    <w:p w14:paraId="430BAC00">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（二）班队工作实习（本模块可以支撑课程目标1、2、3、4）</w:t>
      </w:r>
    </w:p>
    <w:p w14:paraId="7A932C89">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内容</w:t>
      </w:r>
    </w:p>
    <w:p w14:paraId="5B860CF7">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（1）在班主任和辅导员的指导下，根据班队计划，学做学生的思想工作，从事日常管理和组织班队活动等工作。</w:t>
      </w:r>
    </w:p>
    <w:p w14:paraId="084B84AA">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（2）主动配合实习学校开展各项活动。</w:t>
      </w:r>
    </w:p>
    <w:p w14:paraId="35C85B62">
      <w:pPr>
        <w:spacing w:line="360" w:lineRule="auto"/>
        <w:ind w:firstLine="472" w:firstLineChars="196"/>
        <w:rPr>
          <w:rFonts w:ascii="Times New Roman" w:hAnsi="Times New Roman" w:eastAsia="宋体" w:cs="Times New Roman"/>
          <w:b/>
          <w:sz w:val="24"/>
          <w:szCs w:val="24"/>
        </w:rPr>
      </w:pP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要求</w:t>
      </w:r>
    </w:p>
    <w:p w14:paraId="5C107CFB">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（1）做好班队活动或班级管理观察记录4份。</w:t>
      </w:r>
    </w:p>
    <w:p w14:paraId="1D4E9B11">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（2）设计主题班会或班队活动2份，实施至少1次。</w:t>
      </w:r>
    </w:p>
    <w:p w14:paraId="3ACBA3A5">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课程思政教学目标</w:t>
      </w:r>
    </w:p>
    <w:p w14:paraId="470051C2">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通过实际的班队管理工作，掌握有效的管理方法，把社会责任感、职业使命感、个人担当精神有效地融入其中。</w:t>
      </w:r>
    </w:p>
    <w:p w14:paraId="7185185B">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（三）教育调查（本模块可以支撑课程目标1、2、3、4）</w:t>
      </w:r>
    </w:p>
    <w:p w14:paraId="52A82DA1">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1</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内容</w:t>
      </w:r>
    </w:p>
    <w:p w14:paraId="5A959C02">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（1）了解实习学校的历史、现状及贯彻党的教育方针和政策的情况。</w:t>
      </w:r>
    </w:p>
    <w:p w14:paraId="0449CFBE">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（2）调查优秀教师的先进事迹、教育教学经验及教育改革的情况。</w:t>
      </w:r>
    </w:p>
    <w:p w14:paraId="71F34AF2">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（3）研究教育对象的思想情况、心理特点、学习态度和方法、知识结构和智能水平等德智体情况。</w:t>
      </w:r>
    </w:p>
    <w:p w14:paraId="3B918D4F">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要求</w:t>
      </w:r>
    </w:p>
    <w:p w14:paraId="2F587A79">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结合以上调查的开展，撰写教育调查报告1份。</w:t>
      </w:r>
    </w:p>
    <w:p w14:paraId="6C1BA107">
      <w:pPr>
        <w:spacing w:line="360"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3</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课程思政教学目标</w:t>
      </w:r>
    </w:p>
    <w:p w14:paraId="15D9F3B4">
      <w:pPr>
        <w:spacing w:line="360" w:lineRule="auto"/>
        <w:ind w:firstLine="470" w:firstLineChars="196"/>
        <w:rPr>
          <w:rFonts w:ascii="Times New Roman" w:hAnsi="Times New Roman" w:eastAsia="宋体" w:cs="Times New Roman"/>
          <w:bCs/>
          <w:sz w:val="24"/>
          <w:szCs w:val="24"/>
        </w:rPr>
      </w:pPr>
      <w:r>
        <w:rPr>
          <w:rFonts w:hint="eastAsia" w:ascii="Times New Roman" w:hAnsi="Times New Roman" w:eastAsia="宋体" w:cs="Times New Roman"/>
          <w:bCs/>
          <w:sz w:val="24"/>
          <w:szCs w:val="24"/>
        </w:rPr>
        <w:t>通过开展教育调查，使学生具有教育领域的问题意识，提升学生的研究意识和反思能力。同时在此过程中进一步增强立德树人的使命感和教师职业认同感。</w:t>
      </w:r>
    </w:p>
    <w:p w14:paraId="44E4E9A5">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课程内容与课程目标的对应关系</w:t>
      </w:r>
    </w:p>
    <w:tbl>
      <w:tblPr>
        <w:tblStyle w:val="30"/>
        <w:tblW w:w="7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5"/>
        <w:gridCol w:w="1260"/>
        <w:gridCol w:w="1220"/>
        <w:gridCol w:w="1260"/>
        <w:gridCol w:w="1202"/>
      </w:tblGrid>
      <w:tr w14:paraId="7BC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785" w:type="dxa"/>
            <w:vAlign w:val="center"/>
          </w:tcPr>
          <w:p w14:paraId="549C4D24">
            <w:pPr>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课程内容</w:t>
            </w:r>
          </w:p>
        </w:tc>
        <w:tc>
          <w:tcPr>
            <w:tcW w:w="1260" w:type="dxa"/>
            <w:vAlign w:val="center"/>
          </w:tcPr>
          <w:p w14:paraId="3FD18BFE">
            <w:pPr>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课程目标</w:t>
            </w:r>
            <w:r>
              <w:rPr>
                <w:rFonts w:ascii="宋体" w:hAnsi="宋体" w:eastAsia="宋体" w:cs="Times New Roman"/>
                <w:b/>
                <w:bCs/>
                <w:color w:val="000000"/>
                <w:szCs w:val="21"/>
              </w:rPr>
              <w:t>1</w:t>
            </w:r>
          </w:p>
        </w:tc>
        <w:tc>
          <w:tcPr>
            <w:tcW w:w="1220" w:type="dxa"/>
            <w:vAlign w:val="center"/>
          </w:tcPr>
          <w:p w14:paraId="59F8E6B5">
            <w:pPr>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课程目标</w:t>
            </w:r>
            <w:r>
              <w:rPr>
                <w:rFonts w:ascii="宋体" w:hAnsi="宋体" w:eastAsia="宋体" w:cs="Times New Roman"/>
                <w:b/>
                <w:bCs/>
                <w:color w:val="000000"/>
                <w:szCs w:val="21"/>
              </w:rPr>
              <w:t>2</w:t>
            </w:r>
          </w:p>
        </w:tc>
        <w:tc>
          <w:tcPr>
            <w:tcW w:w="1260" w:type="dxa"/>
            <w:vAlign w:val="center"/>
          </w:tcPr>
          <w:p w14:paraId="5158D9A9">
            <w:pPr>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课程目标</w:t>
            </w:r>
            <w:r>
              <w:rPr>
                <w:rFonts w:ascii="宋体" w:hAnsi="宋体" w:eastAsia="宋体" w:cs="Times New Roman"/>
                <w:b/>
                <w:bCs/>
                <w:color w:val="000000"/>
                <w:szCs w:val="21"/>
              </w:rPr>
              <w:t>3</w:t>
            </w:r>
          </w:p>
        </w:tc>
        <w:tc>
          <w:tcPr>
            <w:tcW w:w="1202" w:type="dxa"/>
            <w:vAlign w:val="center"/>
          </w:tcPr>
          <w:p w14:paraId="787CC8AA">
            <w:pPr>
              <w:jc w:val="center"/>
              <w:rPr>
                <w:rFonts w:ascii="宋体" w:hAnsi="宋体" w:eastAsia="宋体" w:cs="Times New Roman"/>
                <w:b/>
                <w:bCs/>
                <w:color w:val="000000"/>
                <w:szCs w:val="21"/>
              </w:rPr>
            </w:pPr>
            <w:r>
              <w:rPr>
                <w:rFonts w:hint="eastAsia" w:ascii="宋体" w:hAnsi="宋体" w:eastAsia="宋体" w:cs="Times New Roman"/>
                <w:b/>
                <w:bCs/>
                <w:color w:val="000000"/>
                <w:szCs w:val="21"/>
              </w:rPr>
              <w:t>课程目标</w:t>
            </w:r>
            <w:r>
              <w:rPr>
                <w:rFonts w:ascii="宋体" w:hAnsi="宋体" w:eastAsia="宋体" w:cs="Times New Roman"/>
                <w:b/>
                <w:bCs/>
                <w:color w:val="000000"/>
                <w:szCs w:val="21"/>
              </w:rPr>
              <w:t>4</w:t>
            </w:r>
          </w:p>
        </w:tc>
      </w:tr>
      <w:tr w14:paraId="35A9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785" w:type="dxa"/>
            <w:vAlign w:val="center"/>
          </w:tcPr>
          <w:p w14:paraId="608E44B5">
            <w:pPr>
              <w:jc w:val="center"/>
              <w:rPr>
                <w:rFonts w:ascii="宋体" w:hAnsi="宋体" w:eastAsia="宋体" w:cs="Times New Roman"/>
                <w:color w:val="000000"/>
                <w:szCs w:val="21"/>
              </w:rPr>
            </w:pPr>
            <w:r>
              <w:rPr>
                <w:rFonts w:hint="eastAsia" w:ascii="宋体" w:hAnsi="宋体" w:eastAsia="宋体" w:cs="Times New Roman"/>
                <w:color w:val="000000"/>
                <w:szCs w:val="21"/>
              </w:rPr>
              <w:t>课堂教学实习</w:t>
            </w:r>
          </w:p>
        </w:tc>
        <w:tc>
          <w:tcPr>
            <w:tcW w:w="1260" w:type="dxa"/>
            <w:vAlign w:val="center"/>
          </w:tcPr>
          <w:p w14:paraId="3C3A7751">
            <w:pPr>
              <w:jc w:val="center"/>
              <w:rPr>
                <w:rFonts w:ascii="宋体" w:hAnsi="宋体" w:eastAsia="宋体" w:cs="Times New Roman"/>
                <w:color w:val="000000"/>
                <w:szCs w:val="21"/>
              </w:rPr>
            </w:pPr>
            <w:r>
              <w:rPr>
                <w:rFonts w:ascii="Arial" w:hAnsi="Arial" w:eastAsia="宋体" w:cs="Arial"/>
                <w:color w:val="000000"/>
                <w:szCs w:val="20"/>
              </w:rPr>
              <w:t>√</w:t>
            </w:r>
          </w:p>
        </w:tc>
        <w:tc>
          <w:tcPr>
            <w:tcW w:w="1220" w:type="dxa"/>
            <w:vAlign w:val="center"/>
          </w:tcPr>
          <w:p w14:paraId="3B7C36B3">
            <w:pPr>
              <w:jc w:val="center"/>
              <w:rPr>
                <w:rFonts w:ascii="宋体" w:hAnsi="宋体" w:eastAsia="宋体" w:cs="Times New Roman"/>
                <w:color w:val="000000"/>
                <w:szCs w:val="21"/>
              </w:rPr>
            </w:pPr>
            <w:r>
              <w:rPr>
                <w:rFonts w:ascii="Arial" w:hAnsi="Arial" w:eastAsia="宋体" w:cs="Arial"/>
                <w:color w:val="000000"/>
                <w:szCs w:val="20"/>
              </w:rPr>
              <w:t>√</w:t>
            </w:r>
          </w:p>
        </w:tc>
        <w:tc>
          <w:tcPr>
            <w:tcW w:w="1260" w:type="dxa"/>
            <w:vAlign w:val="center"/>
          </w:tcPr>
          <w:p w14:paraId="6DA6C92B">
            <w:pPr>
              <w:jc w:val="center"/>
              <w:rPr>
                <w:rFonts w:ascii="宋体" w:hAnsi="宋体" w:eastAsia="宋体" w:cs="Times New Roman"/>
                <w:color w:val="000000"/>
                <w:szCs w:val="21"/>
              </w:rPr>
            </w:pPr>
            <w:r>
              <w:rPr>
                <w:rFonts w:ascii="Arial" w:hAnsi="Arial" w:eastAsia="宋体" w:cs="Arial"/>
                <w:color w:val="000000"/>
                <w:szCs w:val="20"/>
              </w:rPr>
              <w:t>√</w:t>
            </w:r>
          </w:p>
        </w:tc>
        <w:tc>
          <w:tcPr>
            <w:tcW w:w="1202" w:type="dxa"/>
            <w:vAlign w:val="center"/>
          </w:tcPr>
          <w:p w14:paraId="37087527">
            <w:pPr>
              <w:jc w:val="center"/>
              <w:rPr>
                <w:rFonts w:ascii="宋体" w:hAnsi="宋体" w:eastAsia="宋体" w:cs="Times New Roman"/>
                <w:color w:val="000000"/>
                <w:szCs w:val="21"/>
              </w:rPr>
            </w:pPr>
            <w:r>
              <w:rPr>
                <w:rFonts w:ascii="Arial" w:hAnsi="Arial" w:eastAsia="宋体" w:cs="Arial"/>
                <w:color w:val="000000"/>
                <w:szCs w:val="20"/>
              </w:rPr>
              <w:t>√</w:t>
            </w:r>
          </w:p>
        </w:tc>
      </w:tr>
      <w:tr w14:paraId="266D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785" w:type="dxa"/>
            <w:vAlign w:val="center"/>
          </w:tcPr>
          <w:p w14:paraId="3B4F678D">
            <w:pPr>
              <w:jc w:val="center"/>
              <w:rPr>
                <w:rFonts w:ascii="宋体" w:hAnsi="宋体" w:eastAsia="宋体" w:cs="Times New Roman"/>
                <w:color w:val="000000"/>
                <w:szCs w:val="21"/>
              </w:rPr>
            </w:pPr>
            <w:r>
              <w:rPr>
                <w:rFonts w:hint="eastAsia" w:ascii="宋体" w:hAnsi="宋体" w:eastAsia="宋体" w:cs="Times New Roman"/>
                <w:color w:val="000000"/>
                <w:szCs w:val="21"/>
              </w:rPr>
              <w:t>班队工作实习</w:t>
            </w:r>
          </w:p>
        </w:tc>
        <w:tc>
          <w:tcPr>
            <w:tcW w:w="1260" w:type="dxa"/>
            <w:vAlign w:val="center"/>
          </w:tcPr>
          <w:p w14:paraId="413F508B">
            <w:pPr>
              <w:jc w:val="center"/>
              <w:rPr>
                <w:rFonts w:ascii="宋体" w:hAnsi="宋体" w:eastAsia="宋体" w:cs="Times New Roman"/>
                <w:color w:val="000000"/>
                <w:szCs w:val="21"/>
              </w:rPr>
            </w:pPr>
            <w:r>
              <w:rPr>
                <w:rFonts w:ascii="Arial" w:hAnsi="Arial" w:eastAsia="宋体" w:cs="Arial"/>
                <w:color w:val="000000"/>
                <w:szCs w:val="20"/>
              </w:rPr>
              <w:t>√</w:t>
            </w:r>
          </w:p>
        </w:tc>
        <w:tc>
          <w:tcPr>
            <w:tcW w:w="1220" w:type="dxa"/>
            <w:vAlign w:val="center"/>
          </w:tcPr>
          <w:p w14:paraId="6DE29EF9">
            <w:pPr>
              <w:jc w:val="center"/>
              <w:rPr>
                <w:rFonts w:ascii="宋体" w:hAnsi="宋体" w:eastAsia="宋体" w:cs="Times New Roman"/>
                <w:color w:val="000000"/>
                <w:szCs w:val="21"/>
              </w:rPr>
            </w:pPr>
            <w:r>
              <w:rPr>
                <w:rFonts w:ascii="Arial" w:hAnsi="Arial" w:eastAsia="宋体" w:cs="Arial"/>
                <w:color w:val="000000"/>
                <w:szCs w:val="20"/>
              </w:rPr>
              <w:t>√</w:t>
            </w:r>
          </w:p>
        </w:tc>
        <w:tc>
          <w:tcPr>
            <w:tcW w:w="1260" w:type="dxa"/>
            <w:vAlign w:val="center"/>
          </w:tcPr>
          <w:p w14:paraId="0A85B648">
            <w:pPr>
              <w:jc w:val="center"/>
              <w:rPr>
                <w:rFonts w:ascii="宋体" w:hAnsi="宋体" w:eastAsia="宋体" w:cs="Times New Roman"/>
                <w:color w:val="000000"/>
                <w:szCs w:val="21"/>
              </w:rPr>
            </w:pPr>
            <w:r>
              <w:rPr>
                <w:rFonts w:ascii="Arial" w:hAnsi="Arial" w:eastAsia="宋体" w:cs="Arial"/>
                <w:color w:val="000000"/>
                <w:szCs w:val="20"/>
              </w:rPr>
              <w:t>√</w:t>
            </w:r>
          </w:p>
        </w:tc>
        <w:tc>
          <w:tcPr>
            <w:tcW w:w="1202" w:type="dxa"/>
            <w:vAlign w:val="center"/>
          </w:tcPr>
          <w:p w14:paraId="0CD8619E">
            <w:pPr>
              <w:jc w:val="center"/>
              <w:rPr>
                <w:rFonts w:ascii="宋体" w:hAnsi="宋体" w:eastAsia="宋体" w:cs="Times New Roman"/>
                <w:color w:val="000000"/>
                <w:szCs w:val="21"/>
              </w:rPr>
            </w:pPr>
            <w:r>
              <w:rPr>
                <w:rFonts w:ascii="Arial" w:hAnsi="Arial" w:eastAsia="宋体" w:cs="Arial"/>
                <w:color w:val="000000"/>
                <w:szCs w:val="20"/>
              </w:rPr>
              <w:t>√</w:t>
            </w:r>
          </w:p>
        </w:tc>
      </w:tr>
      <w:tr w14:paraId="6E8D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785" w:type="dxa"/>
            <w:vAlign w:val="center"/>
          </w:tcPr>
          <w:p w14:paraId="60EC5635">
            <w:pPr>
              <w:jc w:val="center"/>
              <w:rPr>
                <w:rFonts w:ascii="宋体" w:hAnsi="宋体" w:eastAsia="宋体" w:cs="Times New Roman"/>
                <w:color w:val="000000"/>
                <w:szCs w:val="21"/>
              </w:rPr>
            </w:pPr>
            <w:r>
              <w:rPr>
                <w:rFonts w:hint="eastAsia" w:ascii="宋体" w:hAnsi="宋体" w:eastAsia="宋体" w:cs="Times New Roman"/>
                <w:color w:val="000000"/>
                <w:szCs w:val="21"/>
              </w:rPr>
              <w:t>教育调查</w:t>
            </w:r>
          </w:p>
        </w:tc>
        <w:tc>
          <w:tcPr>
            <w:tcW w:w="1260" w:type="dxa"/>
            <w:vAlign w:val="center"/>
          </w:tcPr>
          <w:p w14:paraId="51FB34E6">
            <w:pPr>
              <w:jc w:val="center"/>
              <w:rPr>
                <w:rFonts w:ascii="宋体" w:hAnsi="宋体" w:eastAsia="宋体" w:cs="Times New Roman"/>
                <w:color w:val="000000"/>
                <w:szCs w:val="21"/>
              </w:rPr>
            </w:pPr>
            <w:r>
              <w:rPr>
                <w:rFonts w:ascii="Arial" w:hAnsi="Arial" w:eastAsia="宋体" w:cs="Arial"/>
                <w:color w:val="000000"/>
                <w:szCs w:val="20"/>
              </w:rPr>
              <w:t>√</w:t>
            </w:r>
          </w:p>
        </w:tc>
        <w:tc>
          <w:tcPr>
            <w:tcW w:w="1220" w:type="dxa"/>
            <w:vAlign w:val="center"/>
          </w:tcPr>
          <w:p w14:paraId="576CCFD7">
            <w:pPr>
              <w:jc w:val="center"/>
              <w:rPr>
                <w:rFonts w:ascii="宋体" w:hAnsi="宋体" w:eastAsia="宋体" w:cs="Times New Roman"/>
                <w:color w:val="000000"/>
                <w:szCs w:val="21"/>
              </w:rPr>
            </w:pPr>
            <w:r>
              <w:rPr>
                <w:rFonts w:ascii="Arial" w:hAnsi="Arial" w:eastAsia="宋体" w:cs="Arial"/>
                <w:color w:val="000000"/>
                <w:szCs w:val="20"/>
              </w:rPr>
              <w:t>√</w:t>
            </w:r>
          </w:p>
        </w:tc>
        <w:tc>
          <w:tcPr>
            <w:tcW w:w="1260" w:type="dxa"/>
            <w:vAlign w:val="center"/>
          </w:tcPr>
          <w:p w14:paraId="11666B76">
            <w:pPr>
              <w:jc w:val="center"/>
              <w:rPr>
                <w:rFonts w:ascii="宋体" w:hAnsi="宋体" w:eastAsia="宋体" w:cs="Times New Roman"/>
                <w:color w:val="000000"/>
                <w:szCs w:val="21"/>
              </w:rPr>
            </w:pPr>
            <w:r>
              <w:rPr>
                <w:rFonts w:ascii="Arial" w:hAnsi="Arial" w:eastAsia="宋体" w:cs="Arial"/>
                <w:color w:val="000000"/>
                <w:szCs w:val="20"/>
              </w:rPr>
              <w:t>√</w:t>
            </w:r>
          </w:p>
        </w:tc>
        <w:tc>
          <w:tcPr>
            <w:tcW w:w="1202" w:type="dxa"/>
            <w:vAlign w:val="center"/>
          </w:tcPr>
          <w:p w14:paraId="7B0A46A8">
            <w:pPr>
              <w:jc w:val="center"/>
              <w:rPr>
                <w:rFonts w:ascii="宋体" w:hAnsi="宋体" w:eastAsia="宋体" w:cs="Times New Roman"/>
                <w:color w:val="000000"/>
                <w:szCs w:val="21"/>
              </w:rPr>
            </w:pPr>
            <w:r>
              <w:rPr>
                <w:rFonts w:ascii="Arial" w:hAnsi="Arial" w:eastAsia="宋体" w:cs="Arial"/>
                <w:color w:val="000000"/>
                <w:szCs w:val="20"/>
              </w:rPr>
              <w:t>√</w:t>
            </w:r>
          </w:p>
        </w:tc>
      </w:tr>
    </w:tbl>
    <w:p w14:paraId="34FADE26">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58C03A29">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（一）实习要求</w:t>
      </w:r>
    </w:p>
    <w:p w14:paraId="73EA065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1.遵守实习学校各项规章制度，不迟到，不早退，虚心接受见习学校领导、指导教师的指导。</w:t>
      </w:r>
    </w:p>
    <w:p w14:paraId="34D3FC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2.文明礼貌，为人师表，爱护学生，尊重实习学校的师生员工，积极协助实习学校教师做力所能及的工作。</w:t>
      </w:r>
    </w:p>
    <w:p w14:paraId="361D6D9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3.同学之间团结友爱，注意安全。认真完成各项实习任务，做好每次的实习笔记，认真填写《教育实习手册》。</w:t>
      </w:r>
    </w:p>
    <w:p w14:paraId="3E7F425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4.实习组长负责与实习学校领导的联系以及实习活动的组织、考勤工作。所有学生必须全程参加实习活动，不得无故缺席。</w:t>
      </w:r>
    </w:p>
    <w:p w14:paraId="2AC5F9E9">
      <w:pPr>
        <w:spacing w:line="360"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（二）</w:t>
      </w:r>
      <w:r>
        <w:rPr>
          <w:rFonts w:ascii="Times New Roman" w:hAnsi="Times New Roman" w:eastAsia="宋体" w:cs="Times New Roman"/>
          <w:b/>
          <w:sz w:val="24"/>
          <w:szCs w:val="24"/>
        </w:rPr>
        <w:t>主要</w:t>
      </w:r>
      <w:r>
        <w:rPr>
          <w:rFonts w:hint="eastAsia" w:ascii="Times New Roman" w:hAnsi="Times New Roman" w:eastAsia="宋体" w:cs="Times New Roman"/>
          <w:b/>
          <w:sz w:val="24"/>
          <w:szCs w:val="24"/>
        </w:rPr>
        <w:t>教学</w:t>
      </w:r>
      <w:r>
        <w:rPr>
          <w:rFonts w:ascii="Times New Roman" w:hAnsi="Times New Roman" w:eastAsia="宋体" w:cs="Times New Roman"/>
          <w:b/>
          <w:sz w:val="24"/>
          <w:szCs w:val="24"/>
        </w:rPr>
        <w:t>环节</w:t>
      </w:r>
      <w:r>
        <w:rPr>
          <w:rFonts w:hint="eastAsia" w:ascii="Times New Roman" w:hAnsi="Times New Roman" w:eastAsia="宋体" w:cs="Times New Roman"/>
          <w:b/>
          <w:sz w:val="24"/>
          <w:szCs w:val="24"/>
        </w:rPr>
        <w:t>的</w:t>
      </w:r>
      <w:r>
        <w:rPr>
          <w:rFonts w:ascii="Times New Roman" w:hAnsi="Times New Roman" w:eastAsia="宋体" w:cs="Times New Roman"/>
          <w:b/>
          <w:sz w:val="24"/>
          <w:szCs w:val="24"/>
        </w:rPr>
        <w:t>质量要求</w:t>
      </w:r>
      <w:r>
        <w:rPr>
          <w:rFonts w:hint="eastAsia" w:ascii="Times New Roman" w:hAnsi="Times New Roman" w:eastAsia="宋体" w:cs="Times New Roman"/>
          <w:b/>
          <w:sz w:val="24"/>
          <w:szCs w:val="24"/>
        </w:rPr>
        <w:t>如表所示。</w:t>
      </w:r>
    </w:p>
    <w:tbl>
      <w:tblPr>
        <w:tblStyle w:val="30"/>
        <w:tblW w:w="92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418"/>
        <w:gridCol w:w="6939"/>
      </w:tblGrid>
      <w:tr w14:paraId="731C0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80" w:type="dxa"/>
            <w:gridSpan w:val="2"/>
            <w:vAlign w:val="center"/>
          </w:tcPr>
          <w:p w14:paraId="4E3855D2">
            <w:pPr>
              <w:snapToGrid w:val="0"/>
              <w:jc w:val="center"/>
              <w:rPr>
                <w:rFonts w:ascii="Times New Roman" w:hAnsi="Times New Roman" w:eastAsia="宋体" w:cs="Times New Roman"/>
                <w:b/>
              </w:rPr>
            </w:pPr>
            <w:r>
              <w:rPr>
                <w:rFonts w:ascii="Times New Roman" w:hAnsi="Times New Roman" w:eastAsia="宋体" w:cs="Times New Roman"/>
                <w:b/>
              </w:rPr>
              <w:t>主要</w:t>
            </w:r>
            <w:r>
              <w:rPr>
                <w:rFonts w:hint="eastAsia" w:ascii="Times New Roman" w:hAnsi="Times New Roman" w:eastAsia="宋体" w:cs="Times New Roman"/>
                <w:b/>
              </w:rPr>
              <w:t>教学</w:t>
            </w:r>
            <w:r>
              <w:rPr>
                <w:rFonts w:ascii="Times New Roman" w:hAnsi="Times New Roman" w:eastAsia="宋体" w:cs="Times New Roman"/>
                <w:b/>
              </w:rPr>
              <w:t>环节</w:t>
            </w:r>
          </w:p>
        </w:tc>
        <w:tc>
          <w:tcPr>
            <w:tcW w:w="6939" w:type="dxa"/>
            <w:vAlign w:val="center"/>
          </w:tcPr>
          <w:p w14:paraId="34A90276">
            <w:pPr>
              <w:snapToGrid w:val="0"/>
              <w:jc w:val="center"/>
              <w:rPr>
                <w:rFonts w:ascii="Times New Roman" w:hAnsi="Times New Roman" w:eastAsia="宋体" w:cs="Times New Roman"/>
                <w:b/>
              </w:rPr>
            </w:pPr>
            <w:r>
              <w:rPr>
                <w:rFonts w:ascii="Times New Roman" w:hAnsi="Times New Roman" w:eastAsia="宋体" w:cs="Times New Roman"/>
                <w:b/>
              </w:rPr>
              <w:t>质量要求</w:t>
            </w:r>
          </w:p>
        </w:tc>
      </w:tr>
      <w:tr w14:paraId="6FAA5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62" w:type="dxa"/>
            <w:vMerge w:val="restart"/>
            <w:vAlign w:val="center"/>
          </w:tcPr>
          <w:p w14:paraId="4DEB3A1C">
            <w:pPr>
              <w:jc w:val="center"/>
              <w:rPr>
                <w:rFonts w:ascii="Times New Roman" w:hAnsi="Times New Roman" w:eastAsia="宋体" w:cs="Times New Roman"/>
                <w:szCs w:val="21"/>
              </w:rPr>
            </w:pPr>
            <w:r>
              <w:rPr>
                <w:rFonts w:ascii="Times New Roman" w:hAnsi="Times New Roman" w:eastAsia="宋体" w:cs="Times New Roman"/>
                <w:szCs w:val="21"/>
              </w:rPr>
              <w:t>准备</w:t>
            </w:r>
          </w:p>
          <w:p w14:paraId="5FA34F1F">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18" w:type="dxa"/>
            <w:vAlign w:val="center"/>
          </w:tcPr>
          <w:p w14:paraId="30BA2993">
            <w:pPr>
              <w:rPr>
                <w:rFonts w:ascii="Times New Roman" w:hAnsi="Times New Roman" w:eastAsia="宋体" w:cs="Times New Roman"/>
                <w:szCs w:val="21"/>
              </w:rPr>
            </w:pPr>
            <w:r>
              <w:rPr>
                <w:rFonts w:ascii="Times New Roman" w:hAnsi="Times New Roman" w:eastAsia="宋体" w:cs="Times New Roman"/>
                <w:szCs w:val="21"/>
              </w:rPr>
              <w:t>1.实践计划</w:t>
            </w:r>
          </w:p>
        </w:tc>
        <w:tc>
          <w:tcPr>
            <w:tcW w:w="6939" w:type="dxa"/>
            <w:vAlign w:val="center"/>
          </w:tcPr>
          <w:p w14:paraId="31882601">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实习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，选择相应的实习学校，并</w:t>
            </w:r>
            <w:r>
              <w:rPr>
                <w:rFonts w:ascii="Times New Roman" w:hAnsi="Times New Roman" w:eastAsia="宋体" w:cs="Times New Roman"/>
                <w:szCs w:val="21"/>
              </w:rPr>
              <w:t>在</w:t>
            </w:r>
            <w:r>
              <w:rPr>
                <w:rFonts w:hint="eastAsia" w:ascii="Times New Roman" w:hAnsi="Times New Roman" w:eastAsia="宋体" w:cs="Times New Roman"/>
                <w:szCs w:val="21"/>
              </w:rPr>
              <w:t>实习开始前做好联系工作</w:t>
            </w:r>
            <w:r>
              <w:rPr>
                <w:rFonts w:ascii="Times New Roman" w:hAnsi="Times New Roman" w:eastAsia="宋体" w:cs="Times New Roman"/>
                <w:szCs w:val="21"/>
              </w:rPr>
              <w:t>。</w:t>
            </w:r>
          </w:p>
        </w:tc>
      </w:tr>
      <w:tr w14:paraId="6C920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62" w:type="dxa"/>
            <w:vMerge w:val="continue"/>
            <w:vAlign w:val="center"/>
          </w:tcPr>
          <w:p w14:paraId="29C8244A">
            <w:pPr>
              <w:jc w:val="center"/>
              <w:rPr>
                <w:rFonts w:ascii="Times New Roman" w:hAnsi="Times New Roman" w:eastAsia="宋体" w:cs="Times New Roman"/>
                <w:szCs w:val="21"/>
              </w:rPr>
            </w:pPr>
          </w:p>
        </w:tc>
        <w:tc>
          <w:tcPr>
            <w:tcW w:w="1418" w:type="dxa"/>
            <w:vAlign w:val="center"/>
          </w:tcPr>
          <w:p w14:paraId="143AA026">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6939" w:type="dxa"/>
            <w:vAlign w:val="center"/>
          </w:tcPr>
          <w:p w14:paraId="15A323BE">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在实习开始前开好实习动员大会，提出相应实习要求</w:t>
            </w:r>
            <w:r>
              <w:rPr>
                <w:rFonts w:ascii="Times New Roman" w:hAnsi="Times New Roman" w:eastAsia="宋体" w:cs="Times New Roman"/>
                <w:szCs w:val="21"/>
              </w:rPr>
              <w:t>。</w:t>
            </w:r>
          </w:p>
        </w:tc>
      </w:tr>
      <w:tr w14:paraId="42B01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62" w:type="dxa"/>
            <w:vMerge w:val="continue"/>
            <w:vAlign w:val="center"/>
          </w:tcPr>
          <w:p w14:paraId="16B1D4F4">
            <w:pPr>
              <w:jc w:val="center"/>
              <w:rPr>
                <w:rFonts w:ascii="Times New Roman" w:hAnsi="Times New Roman" w:eastAsia="宋体" w:cs="Times New Roman"/>
                <w:szCs w:val="21"/>
              </w:rPr>
            </w:pPr>
          </w:p>
        </w:tc>
        <w:tc>
          <w:tcPr>
            <w:tcW w:w="1418" w:type="dxa"/>
            <w:vAlign w:val="center"/>
          </w:tcPr>
          <w:p w14:paraId="49B5957B">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6939" w:type="dxa"/>
            <w:vAlign w:val="center"/>
          </w:tcPr>
          <w:p w14:paraId="6192F39A">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做好学生的分组工作，强调小组成员之间的合作沟通，对每位同学都提出明确的实习纪律和责任。</w:t>
            </w:r>
          </w:p>
        </w:tc>
      </w:tr>
      <w:tr w14:paraId="74874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restart"/>
            <w:vAlign w:val="center"/>
          </w:tcPr>
          <w:p w14:paraId="7781EDAD">
            <w:pPr>
              <w:jc w:val="center"/>
              <w:rPr>
                <w:rFonts w:ascii="Times New Roman" w:hAnsi="Times New Roman" w:eastAsia="宋体" w:cs="Times New Roman"/>
                <w:szCs w:val="21"/>
              </w:rPr>
            </w:pPr>
            <w:r>
              <w:rPr>
                <w:rFonts w:ascii="Times New Roman" w:hAnsi="Times New Roman" w:eastAsia="宋体" w:cs="Times New Roman"/>
                <w:szCs w:val="21"/>
              </w:rPr>
              <w:t>实施</w:t>
            </w:r>
          </w:p>
          <w:p w14:paraId="3875660A">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18" w:type="dxa"/>
            <w:vAlign w:val="center"/>
          </w:tcPr>
          <w:p w14:paraId="6CF6FF4E">
            <w:pPr>
              <w:rPr>
                <w:rFonts w:ascii="Times New Roman" w:hAnsi="Times New Roman" w:eastAsia="宋体" w:cs="Times New Roman"/>
                <w:szCs w:val="21"/>
              </w:rPr>
            </w:pPr>
            <w:r>
              <w:rPr>
                <w:rFonts w:ascii="Times New Roman" w:hAnsi="Times New Roman" w:eastAsia="宋体" w:cs="Times New Roman"/>
                <w:szCs w:val="21"/>
              </w:rPr>
              <w:t>1.计划执行</w:t>
            </w:r>
          </w:p>
        </w:tc>
        <w:tc>
          <w:tcPr>
            <w:tcW w:w="6939" w:type="dxa"/>
            <w:vAlign w:val="center"/>
          </w:tcPr>
          <w:p w14:paraId="03683A64">
            <w:pPr>
              <w:rPr>
                <w:rFonts w:ascii="Times New Roman" w:hAnsi="Times New Roman" w:eastAsia="宋体" w:cs="Times New Roman"/>
                <w:szCs w:val="21"/>
              </w:rPr>
            </w:pPr>
            <w:r>
              <w:rPr>
                <w:rFonts w:hint="eastAsia" w:ascii="Times New Roman" w:hAnsi="Times New Roman" w:eastAsia="宋体" w:cs="Times New Roman"/>
                <w:szCs w:val="21"/>
              </w:rPr>
              <w:t>按照实习计划到各小学实习</w:t>
            </w:r>
            <w:r>
              <w:rPr>
                <w:rFonts w:ascii="Times New Roman" w:hAnsi="Times New Roman" w:eastAsia="宋体" w:cs="Times New Roman"/>
                <w:szCs w:val="21"/>
              </w:rPr>
              <w:t xml:space="preserve">。 </w:t>
            </w:r>
          </w:p>
        </w:tc>
      </w:tr>
      <w:tr w14:paraId="215FA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7CE9B33B">
            <w:pPr>
              <w:jc w:val="center"/>
              <w:rPr>
                <w:rFonts w:ascii="Times New Roman" w:hAnsi="Times New Roman" w:eastAsia="宋体" w:cs="Times New Roman"/>
                <w:szCs w:val="21"/>
              </w:rPr>
            </w:pPr>
          </w:p>
        </w:tc>
        <w:tc>
          <w:tcPr>
            <w:tcW w:w="1418" w:type="dxa"/>
            <w:vAlign w:val="center"/>
          </w:tcPr>
          <w:p w14:paraId="21616227">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6939" w:type="dxa"/>
            <w:vAlign w:val="center"/>
          </w:tcPr>
          <w:p w14:paraId="3F0C547C">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指导教师定期到实习学校指导，密切联系实习学校的指导教师，对学生的实习情况进行实时了解</w:t>
            </w:r>
            <w:r>
              <w:rPr>
                <w:rFonts w:ascii="Times New Roman" w:hAnsi="Times New Roman" w:eastAsia="宋体" w:cs="Times New Roman"/>
                <w:szCs w:val="21"/>
              </w:rPr>
              <w:t>。</w:t>
            </w:r>
          </w:p>
        </w:tc>
      </w:tr>
      <w:tr w14:paraId="67A8D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62" w:type="dxa"/>
            <w:vMerge w:val="continue"/>
            <w:vAlign w:val="center"/>
          </w:tcPr>
          <w:p w14:paraId="0FD9D83A">
            <w:pPr>
              <w:jc w:val="center"/>
              <w:rPr>
                <w:rFonts w:ascii="Times New Roman" w:hAnsi="Times New Roman" w:eastAsia="宋体" w:cs="Times New Roman"/>
                <w:szCs w:val="21"/>
              </w:rPr>
            </w:pPr>
          </w:p>
        </w:tc>
        <w:tc>
          <w:tcPr>
            <w:tcW w:w="1418" w:type="dxa"/>
            <w:vAlign w:val="center"/>
          </w:tcPr>
          <w:p w14:paraId="265B9A8D">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6939" w:type="dxa"/>
            <w:vAlign w:val="center"/>
          </w:tcPr>
          <w:p w14:paraId="2A99FFFE">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0DF8E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55EF7E60">
            <w:pPr>
              <w:jc w:val="center"/>
              <w:rPr>
                <w:rFonts w:ascii="Times New Roman" w:hAnsi="Times New Roman" w:eastAsia="宋体" w:cs="Times New Roman"/>
                <w:szCs w:val="21"/>
              </w:rPr>
            </w:pPr>
          </w:p>
        </w:tc>
        <w:tc>
          <w:tcPr>
            <w:tcW w:w="1418" w:type="dxa"/>
            <w:vAlign w:val="center"/>
          </w:tcPr>
          <w:p w14:paraId="6A5B99C6">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6939" w:type="dxa"/>
            <w:vAlign w:val="center"/>
          </w:tcPr>
          <w:p w14:paraId="576737A1">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7D4E0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restart"/>
            <w:vAlign w:val="center"/>
          </w:tcPr>
          <w:p w14:paraId="290EC906">
            <w:pPr>
              <w:jc w:val="center"/>
              <w:rPr>
                <w:rFonts w:ascii="Times New Roman" w:hAnsi="Times New Roman" w:eastAsia="宋体" w:cs="Times New Roman"/>
                <w:szCs w:val="21"/>
              </w:rPr>
            </w:pPr>
            <w:r>
              <w:rPr>
                <w:rFonts w:ascii="Times New Roman" w:hAnsi="Times New Roman" w:eastAsia="宋体" w:cs="Times New Roman"/>
                <w:szCs w:val="21"/>
              </w:rPr>
              <w:t>总结</w:t>
            </w:r>
          </w:p>
          <w:p w14:paraId="5D96E48B">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18" w:type="dxa"/>
            <w:vAlign w:val="center"/>
          </w:tcPr>
          <w:p w14:paraId="36D5F5E4">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实习</w:t>
            </w:r>
            <w:r>
              <w:rPr>
                <w:rFonts w:ascii="Times New Roman" w:hAnsi="Times New Roman" w:eastAsia="宋体" w:cs="Times New Roman"/>
                <w:szCs w:val="21"/>
              </w:rPr>
              <w:t>报告</w:t>
            </w:r>
          </w:p>
        </w:tc>
        <w:tc>
          <w:tcPr>
            <w:tcW w:w="6939" w:type="dxa"/>
            <w:vAlign w:val="center"/>
          </w:tcPr>
          <w:p w14:paraId="0D6D85C9">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教育调查报告、教育实习手册和实习考核表</w:t>
            </w:r>
            <w:r>
              <w:rPr>
                <w:rFonts w:ascii="Times New Roman" w:hAnsi="Times New Roman" w:eastAsia="宋体" w:cs="Times New Roman"/>
                <w:szCs w:val="21"/>
              </w:rPr>
              <w:t>。</w:t>
            </w:r>
          </w:p>
        </w:tc>
      </w:tr>
      <w:tr w14:paraId="6F690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62" w:type="dxa"/>
            <w:vMerge w:val="continue"/>
            <w:vAlign w:val="center"/>
          </w:tcPr>
          <w:p w14:paraId="0F547CFD">
            <w:pPr>
              <w:rPr>
                <w:rFonts w:ascii="Times New Roman" w:hAnsi="Times New Roman" w:eastAsia="宋体" w:cs="Times New Roman"/>
                <w:szCs w:val="21"/>
              </w:rPr>
            </w:pPr>
          </w:p>
        </w:tc>
        <w:tc>
          <w:tcPr>
            <w:tcW w:w="1418" w:type="dxa"/>
            <w:vAlign w:val="center"/>
          </w:tcPr>
          <w:p w14:paraId="579381E2">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6939" w:type="dxa"/>
            <w:vAlign w:val="center"/>
          </w:tcPr>
          <w:p w14:paraId="46727CAF">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实习情况</w:t>
            </w:r>
            <w:r>
              <w:rPr>
                <w:rFonts w:ascii="Times New Roman" w:hAnsi="Times New Roman" w:eastAsia="宋体" w:cs="Times New Roman"/>
                <w:szCs w:val="21"/>
              </w:rPr>
              <w:t>进行考核，合理评价，并按照学校有关规定登记成绩。</w:t>
            </w:r>
          </w:p>
        </w:tc>
      </w:tr>
      <w:tr w14:paraId="1DB47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019C792E">
            <w:pPr>
              <w:rPr>
                <w:rFonts w:ascii="Times New Roman" w:hAnsi="Times New Roman" w:eastAsia="宋体" w:cs="Times New Roman"/>
                <w:szCs w:val="21"/>
              </w:rPr>
            </w:pPr>
          </w:p>
        </w:tc>
        <w:tc>
          <w:tcPr>
            <w:tcW w:w="1418" w:type="dxa"/>
            <w:vAlign w:val="center"/>
          </w:tcPr>
          <w:p w14:paraId="0A426F23">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6939" w:type="dxa"/>
            <w:vAlign w:val="center"/>
          </w:tcPr>
          <w:p w14:paraId="5985C9F4">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5A9B39D7">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w:t>
      </w:r>
      <w:r>
        <w:rPr>
          <w:rFonts w:ascii="Times New Roman" w:hAnsi="Times New Roman" w:eastAsia="宋体" w:cs="Times New Roman"/>
          <w:b/>
          <w:sz w:val="28"/>
          <w:szCs w:val="28"/>
        </w:rPr>
        <w:t>、课程考核</w:t>
      </w:r>
    </w:p>
    <w:p w14:paraId="4F3CA836">
      <w:pPr>
        <w:numPr>
          <w:ilvl w:val="0"/>
          <w:numId w:val="16"/>
        </w:num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考核资料要求</w:t>
      </w:r>
    </w:p>
    <w:p w14:paraId="541C54A2">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1.教育实习手册填写完整。</w:t>
      </w:r>
    </w:p>
    <w:p w14:paraId="0323FEB1">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2.教育调查报告一份。</w:t>
      </w:r>
    </w:p>
    <w:p w14:paraId="64F5E5C4">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3.教育实习鉴定表每人一份，有实习学校学科指导教师和班主任指导教师的评语及打分，并有实习学校的意见，还有本校指导教师的实习情况打分及签字。</w:t>
      </w:r>
    </w:p>
    <w:p w14:paraId="1036010B">
      <w:pPr>
        <w:spacing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（二）</w:t>
      </w:r>
      <w:r>
        <w:rPr>
          <w:rFonts w:hint="eastAsia" w:ascii="Times New Roman" w:hAnsi="Times New Roman" w:eastAsia="宋体" w:cs="Times New Roman"/>
          <w:b/>
          <w:color w:val="000000"/>
          <w:sz w:val="24"/>
          <w:szCs w:val="24"/>
        </w:rPr>
        <w:t>成绩评定要求</w:t>
      </w:r>
    </w:p>
    <w:p w14:paraId="253F7956">
      <w:pPr>
        <w:spacing w:line="360" w:lineRule="auto"/>
        <w:ind w:firstLine="480" w:firstLineChars="200"/>
        <w:rPr>
          <w:rFonts w:ascii="Times New Roman" w:hAnsi="Times New Roman" w:eastAsia="宋体" w:cs="Times New Roman"/>
          <w:sz w:val="24"/>
          <w:szCs w:val="24"/>
        </w:rPr>
      </w:pPr>
      <w:r>
        <w:rPr>
          <w:rFonts w:hint="eastAsia" w:ascii="Times New Roman" w:hAnsi="宋体" w:eastAsia="宋体" w:cs="Times New Roman"/>
          <w:sz w:val="24"/>
          <w:szCs w:val="24"/>
        </w:rPr>
        <w:t>1．本课程设计</w:t>
      </w:r>
      <w:r>
        <w:rPr>
          <w:rFonts w:ascii="Times New Roman" w:hAnsi="宋体" w:eastAsia="宋体" w:cs="Times New Roman"/>
          <w:sz w:val="24"/>
          <w:szCs w:val="24"/>
        </w:rPr>
        <w:t>成绩分优、良、中、及格和不及格五个档次。</w:t>
      </w:r>
    </w:p>
    <w:p w14:paraId="5137631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hint="eastAsia" w:ascii="Times New Roman" w:hAnsi="宋体" w:eastAsia="宋体" w:cs="Times New Roman"/>
          <w:sz w:val="24"/>
          <w:szCs w:val="24"/>
        </w:rPr>
        <w:t>．</w:t>
      </w:r>
      <w:r>
        <w:rPr>
          <w:rFonts w:ascii="Times New Roman" w:hAnsi="Times New Roman" w:eastAsia="宋体" w:cs="Times New Roman"/>
          <w:sz w:val="24"/>
          <w:szCs w:val="24"/>
        </w:rPr>
        <w:t>课程设计考核方式：采用</w:t>
      </w:r>
      <w:r>
        <w:rPr>
          <w:rFonts w:hint="eastAsia" w:ascii="Times New Roman" w:hAnsi="Times New Roman" w:eastAsia="宋体" w:cs="Times New Roman"/>
          <w:sz w:val="24"/>
          <w:szCs w:val="24"/>
        </w:rPr>
        <w:t>实习</w:t>
      </w:r>
      <w:r>
        <w:rPr>
          <w:rFonts w:ascii="Times New Roman" w:hAnsi="Times New Roman" w:eastAsia="宋体" w:cs="Times New Roman"/>
          <w:sz w:val="24"/>
          <w:szCs w:val="24"/>
        </w:rPr>
        <w:t>平时</w:t>
      </w:r>
      <w:r>
        <w:rPr>
          <w:rFonts w:hint="eastAsia" w:ascii="Times New Roman" w:hAnsi="Times New Roman" w:eastAsia="宋体" w:cs="Times New Roman"/>
          <w:sz w:val="24"/>
          <w:szCs w:val="24"/>
        </w:rPr>
        <w:t>表现</w:t>
      </w:r>
      <w:r>
        <w:rPr>
          <w:rFonts w:ascii="Times New Roman" w:hAnsi="Times New Roman" w:eastAsia="宋体" w:cs="Times New Roman"/>
          <w:sz w:val="24"/>
          <w:szCs w:val="24"/>
        </w:rPr>
        <w:t>、</w:t>
      </w:r>
      <w:r>
        <w:rPr>
          <w:rFonts w:hint="eastAsia" w:ascii="Times New Roman" w:hAnsi="Times New Roman" w:eastAsia="宋体" w:cs="Times New Roman"/>
          <w:sz w:val="24"/>
          <w:szCs w:val="24"/>
        </w:rPr>
        <w:t>调查报告、教学实习和班主任实习四个部分组成</w:t>
      </w:r>
      <w:r>
        <w:rPr>
          <w:rFonts w:ascii="Times New Roman" w:hAnsi="Times New Roman" w:eastAsia="宋体" w:cs="Times New Roman"/>
          <w:sz w:val="24"/>
          <w:szCs w:val="24"/>
        </w:rPr>
        <w:t>。</w:t>
      </w:r>
    </w:p>
    <w:p w14:paraId="56A9616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课程</w:t>
      </w:r>
      <w:r>
        <w:rPr>
          <w:rFonts w:hint="eastAsia" w:ascii="Times New Roman" w:hAnsi="Times New Roman" w:eastAsia="宋体" w:cs="Times New Roman"/>
          <w:sz w:val="24"/>
          <w:szCs w:val="24"/>
        </w:rPr>
        <w:t>总评</w:t>
      </w:r>
      <w:r>
        <w:rPr>
          <w:rFonts w:ascii="Times New Roman" w:hAnsi="Times New Roman" w:eastAsia="宋体" w:cs="Times New Roman"/>
          <w:sz w:val="24"/>
          <w:szCs w:val="24"/>
        </w:rPr>
        <w:t>成绩=平时成绩×2</w:t>
      </w:r>
      <w:r>
        <w:rPr>
          <w:rFonts w:hint="eastAsia" w:ascii="Times New Roman" w:hAnsi="Times New Roman" w:eastAsia="宋体" w:cs="Times New Roman"/>
          <w:sz w:val="24"/>
          <w:szCs w:val="24"/>
        </w:rPr>
        <w:t>0</w:t>
      </w:r>
      <w:r>
        <w:rPr>
          <w:rFonts w:ascii="Times New Roman" w:hAnsi="Times New Roman" w:eastAsia="宋体" w:cs="Times New Roman"/>
          <w:sz w:val="24"/>
          <w:szCs w:val="24"/>
        </w:rPr>
        <w:t>% +</w:t>
      </w:r>
      <w:r>
        <w:rPr>
          <w:rFonts w:hint="eastAsia" w:ascii="Times New Roman" w:hAnsi="Times New Roman" w:eastAsia="宋体" w:cs="Times New Roman"/>
          <w:sz w:val="24"/>
          <w:szCs w:val="24"/>
        </w:rPr>
        <w:t>调查报告</w:t>
      </w:r>
      <w:r>
        <w:rPr>
          <w:rFonts w:ascii="Times New Roman" w:hAnsi="Times New Roman" w:eastAsia="宋体" w:cs="Times New Roman"/>
          <w:sz w:val="24"/>
          <w:szCs w:val="24"/>
        </w:rPr>
        <w:t>×</w:t>
      </w:r>
      <w:r>
        <w:rPr>
          <w:rFonts w:hint="eastAsia" w:ascii="Times New Roman" w:hAnsi="Times New Roman" w:eastAsia="宋体" w:cs="Times New Roman"/>
          <w:sz w:val="24"/>
          <w:szCs w:val="24"/>
        </w:rPr>
        <w:t>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教学实习</w:t>
      </w:r>
      <w:r>
        <w:rPr>
          <w:rFonts w:ascii="Times New Roman" w:hAnsi="Times New Roman" w:eastAsia="宋体" w:cs="Times New Roman"/>
          <w:sz w:val="24"/>
          <w:szCs w:val="24"/>
        </w:rPr>
        <w:t>×</w:t>
      </w:r>
      <w:r>
        <w:rPr>
          <w:rFonts w:hint="eastAsia" w:ascii="Times New Roman" w:hAnsi="Times New Roman" w:eastAsia="宋体" w:cs="Times New Roman"/>
          <w:sz w:val="24"/>
          <w:szCs w:val="24"/>
        </w:rPr>
        <w:t>4</w:t>
      </w:r>
      <w:r>
        <w:rPr>
          <w:rFonts w:ascii="Times New Roman" w:hAnsi="Times New Roman" w:eastAsia="宋体" w:cs="Times New Roman"/>
          <w:sz w:val="24"/>
          <w:szCs w:val="24"/>
        </w:rPr>
        <w:t>0%+</w:t>
      </w:r>
      <w:r>
        <w:rPr>
          <w:rFonts w:hint="eastAsia" w:ascii="Times New Roman" w:hAnsi="Times New Roman" w:eastAsia="宋体" w:cs="Times New Roman"/>
          <w:sz w:val="24"/>
          <w:szCs w:val="24"/>
        </w:rPr>
        <w:t>班主任实习</w:t>
      </w:r>
      <w:r>
        <w:rPr>
          <w:rFonts w:ascii="Times New Roman" w:hAnsi="Times New Roman" w:eastAsia="宋体" w:cs="Times New Roman"/>
          <w:sz w:val="24"/>
          <w:szCs w:val="24"/>
        </w:rPr>
        <w:t>×</w:t>
      </w:r>
      <w:r>
        <w:rPr>
          <w:rFonts w:hint="eastAsia" w:ascii="Times New Roman" w:hAnsi="Times New Roman" w:eastAsia="宋体" w:cs="Times New Roman"/>
          <w:sz w:val="24"/>
          <w:szCs w:val="24"/>
        </w:rPr>
        <w:t>30</w:t>
      </w:r>
      <w:r>
        <w:rPr>
          <w:rFonts w:ascii="Times New Roman" w:hAnsi="Times New Roman" w:eastAsia="宋体" w:cs="Times New Roman"/>
          <w:sz w:val="24"/>
          <w:szCs w:val="24"/>
        </w:rPr>
        <w:t>%。</w:t>
      </w:r>
    </w:p>
    <w:p w14:paraId="3967AAE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具体内容和比例</w:t>
      </w:r>
      <w:r>
        <w:rPr>
          <w:rFonts w:hint="eastAsia" w:ascii="Times New Roman" w:hAnsi="Times New Roman" w:eastAsia="宋体" w:cs="Times New Roman"/>
          <w:sz w:val="24"/>
          <w:szCs w:val="24"/>
        </w:rPr>
        <w:t>如表所示。</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864"/>
        <w:gridCol w:w="624"/>
        <w:gridCol w:w="2609"/>
        <w:gridCol w:w="1113"/>
        <w:gridCol w:w="1642"/>
      </w:tblGrid>
      <w:tr w14:paraId="0019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93" w:type="pct"/>
            <w:tcBorders>
              <w:top w:val="single" w:color="auto" w:sz="4" w:space="0"/>
              <w:left w:val="single" w:color="auto" w:sz="4" w:space="0"/>
              <w:bottom w:val="single" w:color="auto" w:sz="4" w:space="0"/>
              <w:right w:val="single" w:color="auto" w:sz="4" w:space="0"/>
            </w:tcBorders>
            <w:shd w:val="clear" w:color="auto" w:fill="FFFFFF"/>
            <w:vAlign w:val="center"/>
          </w:tcPr>
          <w:p w14:paraId="135FE86F">
            <w:pPr>
              <w:jc w:val="center"/>
              <w:rPr>
                <w:rFonts w:ascii="Times New Roman" w:hAnsi="Times New Roman" w:eastAsia="宋体" w:cs="Times New Roman"/>
                <w:b/>
                <w:szCs w:val="21"/>
              </w:rPr>
            </w:pPr>
            <w:r>
              <w:rPr>
                <w:rFonts w:ascii="Times New Roman" w:hAnsi="Times New Roman" w:eastAsia="宋体" w:cs="Times New Roman"/>
                <w:b/>
                <w:szCs w:val="21"/>
              </w:rPr>
              <w:t>成绩组成</w:t>
            </w:r>
          </w:p>
        </w:tc>
        <w:tc>
          <w:tcPr>
            <w:tcW w:w="1093" w:type="pct"/>
            <w:tcBorders>
              <w:top w:val="single" w:color="auto" w:sz="4" w:space="0"/>
              <w:left w:val="single" w:color="auto" w:sz="4" w:space="0"/>
              <w:bottom w:val="single" w:color="auto" w:sz="4" w:space="0"/>
              <w:right w:val="single" w:color="auto" w:sz="4" w:space="0"/>
            </w:tcBorders>
            <w:shd w:val="clear" w:color="auto" w:fill="FFFFFF"/>
            <w:vAlign w:val="center"/>
          </w:tcPr>
          <w:p w14:paraId="5CDF05EA">
            <w:pPr>
              <w:jc w:val="center"/>
              <w:rPr>
                <w:rFonts w:ascii="Times New Roman" w:hAnsi="Times New Roman" w:eastAsia="宋体" w:cs="Times New Roman"/>
                <w:b/>
                <w:szCs w:val="21"/>
              </w:rPr>
            </w:pPr>
            <w:r>
              <w:rPr>
                <w:rFonts w:ascii="Times New Roman" w:hAnsi="Times New Roman" w:eastAsia="宋体" w:cs="Times New Roman"/>
                <w:b/>
                <w:szCs w:val="21"/>
              </w:rPr>
              <w:t>考核/评价环节</w:t>
            </w:r>
          </w:p>
        </w:tc>
        <w:tc>
          <w:tcPr>
            <w:tcW w:w="366" w:type="pct"/>
            <w:tcBorders>
              <w:top w:val="single" w:color="auto" w:sz="4" w:space="0"/>
              <w:left w:val="single" w:color="auto" w:sz="4" w:space="0"/>
              <w:bottom w:val="single" w:color="auto" w:sz="4" w:space="0"/>
              <w:right w:val="single" w:color="auto" w:sz="4" w:space="0"/>
            </w:tcBorders>
            <w:shd w:val="clear" w:color="auto" w:fill="FFFFFF"/>
            <w:vAlign w:val="center"/>
          </w:tcPr>
          <w:p w14:paraId="0FF37020">
            <w:pPr>
              <w:jc w:val="center"/>
              <w:rPr>
                <w:rFonts w:ascii="Times New Roman" w:hAnsi="Times New Roman" w:eastAsia="宋体" w:cs="Times New Roman"/>
                <w:b/>
                <w:szCs w:val="21"/>
              </w:rPr>
            </w:pPr>
            <w:r>
              <w:rPr>
                <w:rFonts w:hint="eastAsia" w:ascii="Times New Roman" w:hAnsi="Times New Roman" w:eastAsia="宋体" w:cs="Times New Roman"/>
                <w:b/>
                <w:szCs w:val="21"/>
              </w:rPr>
              <w:t>权重</w:t>
            </w:r>
          </w:p>
        </w:tc>
        <w:tc>
          <w:tcPr>
            <w:tcW w:w="1530" w:type="pct"/>
            <w:tcBorders>
              <w:top w:val="single" w:color="auto" w:sz="4" w:space="0"/>
              <w:left w:val="single" w:color="auto" w:sz="4" w:space="0"/>
              <w:bottom w:val="single" w:color="auto" w:sz="4" w:space="0"/>
              <w:right w:val="single" w:color="auto" w:sz="4" w:space="0"/>
            </w:tcBorders>
            <w:shd w:val="clear" w:color="auto" w:fill="FFFFFF"/>
            <w:vAlign w:val="center"/>
          </w:tcPr>
          <w:p w14:paraId="54DC246C">
            <w:pPr>
              <w:jc w:val="center"/>
              <w:rPr>
                <w:rFonts w:ascii="Times New Roman" w:hAnsi="Times New Roman" w:eastAsia="宋体" w:cs="Times New Roman"/>
                <w:b/>
                <w:szCs w:val="21"/>
              </w:rPr>
            </w:pPr>
            <w:r>
              <w:rPr>
                <w:rFonts w:ascii="Times New Roman" w:hAnsi="Times New Roman" w:eastAsia="宋体" w:cs="Times New Roman"/>
                <w:b/>
                <w:szCs w:val="21"/>
              </w:rPr>
              <w:t>考核/评价细则</w:t>
            </w:r>
          </w:p>
        </w:tc>
        <w:tc>
          <w:tcPr>
            <w:tcW w:w="653" w:type="pct"/>
            <w:tcBorders>
              <w:top w:val="single" w:color="auto" w:sz="4" w:space="0"/>
              <w:left w:val="single" w:color="auto" w:sz="4" w:space="0"/>
              <w:bottom w:val="single" w:color="auto" w:sz="4" w:space="0"/>
              <w:right w:val="single" w:color="auto" w:sz="4" w:space="0"/>
            </w:tcBorders>
            <w:shd w:val="clear" w:color="auto" w:fill="FFFFFF"/>
            <w:vAlign w:val="center"/>
          </w:tcPr>
          <w:p w14:paraId="0BA94F2A">
            <w:pPr>
              <w:jc w:val="center"/>
              <w:rPr>
                <w:rFonts w:ascii="Times New Roman" w:hAnsi="Times New Roman" w:eastAsia="宋体" w:cs="Times New Roman"/>
                <w:b/>
                <w:szCs w:val="21"/>
              </w:rPr>
            </w:pPr>
          </w:p>
          <w:p w14:paraId="0571FF96">
            <w:pPr>
              <w:jc w:val="center"/>
              <w:rPr>
                <w:rFonts w:ascii="Times New Roman" w:hAnsi="Times New Roman" w:eastAsia="宋体" w:cs="Times New Roman"/>
                <w:b/>
                <w:szCs w:val="21"/>
              </w:rPr>
            </w:pPr>
            <w:r>
              <w:rPr>
                <w:rFonts w:hint="eastAsia" w:ascii="Times New Roman" w:hAnsi="Times New Roman" w:eastAsia="宋体" w:cs="Times New Roman"/>
                <w:b/>
                <w:szCs w:val="21"/>
              </w:rPr>
              <w:t>课程目标</w:t>
            </w:r>
          </w:p>
        </w:tc>
        <w:tc>
          <w:tcPr>
            <w:tcW w:w="963" w:type="pct"/>
            <w:tcBorders>
              <w:top w:val="single" w:color="auto" w:sz="4" w:space="0"/>
              <w:left w:val="single" w:color="auto" w:sz="4" w:space="0"/>
              <w:bottom w:val="single" w:color="auto" w:sz="4" w:space="0"/>
              <w:right w:val="single" w:color="auto" w:sz="4" w:space="0"/>
            </w:tcBorders>
            <w:shd w:val="clear" w:color="auto" w:fill="FFFFFF"/>
            <w:vAlign w:val="center"/>
          </w:tcPr>
          <w:p w14:paraId="0BA0B3BE">
            <w:pPr>
              <w:jc w:val="center"/>
              <w:rPr>
                <w:rFonts w:ascii="Times New Roman" w:hAnsi="Times New Roman" w:eastAsia="宋体" w:cs="Times New Roman"/>
                <w:b/>
                <w:szCs w:val="21"/>
              </w:rPr>
            </w:pPr>
            <w:r>
              <w:rPr>
                <w:rFonts w:ascii="Times New Roman" w:hAnsi="Times New Roman" w:eastAsia="宋体" w:cs="Times New Roman"/>
                <w:b/>
                <w:szCs w:val="21"/>
              </w:rPr>
              <w:t>对应的毕业要求指标点</w:t>
            </w:r>
          </w:p>
        </w:tc>
      </w:tr>
      <w:tr w14:paraId="6DFD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93" w:type="pct"/>
            <w:tcBorders>
              <w:top w:val="single" w:color="auto" w:sz="4" w:space="0"/>
              <w:left w:val="single" w:color="auto" w:sz="4" w:space="0"/>
              <w:bottom w:val="single" w:color="auto" w:sz="4" w:space="0"/>
              <w:right w:val="single" w:color="auto" w:sz="4" w:space="0"/>
            </w:tcBorders>
            <w:vAlign w:val="center"/>
          </w:tcPr>
          <w:p w14:paraId="66702FC0">
            <w:pPr>
              <w:jc w:val="center"/>
              <w:rPr>
                <w:rFonts w:ascii="Times New Roman" w:hAnsi="Times New Roman" w:eastAsia="宋体" w:cs="Times New Roman"/>
                <w:szCs w:val="21"/>
              </w:rPr>
            </w:pPr>
            <w:r>
              <w:rPr>
                <w:rFonts w:ascii="Times New Roman" w:hAnsi="Times New Roman" w:eastAsia="宋体" w:cs="Times New Roman"/>
                <w:szCs w:val="21"/>
              </w:rPr>
              <w:t>平时成绩</w:t>
            </w:r>
          </w:p>
        </w:tc>
        <w:tc>
          <w:tcPr>
            <w:tcW w:w="1093" w:type="pct"/>
            <w:tcBorders>
              <w:top w:val="single" w:color="auto" w:sz="4" w:space="0"/>
              <w:left w:val="single" w:color="auto" w:sz="4" w:space="0"/>
              <w:bottom w:val="single" w:color="auto" w:sz="4" w:space="0"/>
              <w:right w:val="single" w:color="auto" w:sz="4" w:space="0"/>
            </w:tcBorders>
            <w:vAlign w:val="center"/>
          </w:tcPr>
          <w:p w14:paraId="657C110A">
            <w:pPr>
              <w:rPr>
                <w:rFonts w:ascii="Times New Roman" w:hAnsi="Times New Roman" w:eastAsia="宋体" w:cs="Times New Roman"/>
                <w:szCs w:val="21"/>
              </w:rPr>
            </w:pPr>
            <w:r>
              <w:rPr>
                <w:rFonts w:hint="eastAsia" w:ascii="Times New Roman" w:hAnsi="Times New Roman" w:eastAsia="宋体" w:cs="Times New Roman"/>
                <w:szCs w:val="21"/>
              </w:rPr>
              <w:t>学生出勤情况及工作</w:t>
            </w:r>
            <w:r>
              <w:rPr>
                <w:rFonts w:ascii="Times New Roman" w:hAnsi="Times New Roman" w:eastAsia="宋体" w:cs="Times New Roman"/>
                <w:szCs w:val="21"/>
              </w:rPr>
              <w:t>态度，</w:t>
            </w:r>
            <w:r>
              <w:rPr>
                <w:rFonts w:hint="eastAsia" w:ascii="Times New Roman" w:hAnsi="Times New Roman" w:eastAsia="宋体" w:cs="Times New Roman"/>
                <w:szCs w:val="21"/>
              </w:rPr>
              <w:t>遵守实习学校规章制度，各类实习报告填写等</w:t>
            </w:r>
          </w:p>
        </w:tc>
        <w:tc>
          <w:tcPr>
            <w:tcW w:w="366" w:type="pct"/>
            <w:tcBorders>
              <w:top w:val="single" w:color="auto" w:sz="4" w:space="0"/>
              <w:left w:val="single" w:color="auto" w:sz="4" w:space="0"/>
              <w:bottom w:val="single" w:color="auto" w:sz="4" w:space="0"/>
              <w:right w:val="single" w:color="auto" w:sz="4" w:space="0"/>
            </w:tcBorders>
            <w:vAlign w:val="center"/>
          </w:tcPr>
          <w:p w14:paraId="31146631">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530" w:type="pct"/>
            <w:tcBorders>
              <w:top w:val="single" w:color="auto" w:sz="4" w:space="0"/>
              <w:left w:val="single" w:color="auto" w:sz="4" w:space="0"/>
              <w:bottom w:val="single" w:color="auto" w:sz="4" w:space="0"/>
              <w:right w:val="single" w:color="auto" w:sz="4" w:space="0"/>
            </w:tcBorders>
            <w:vAlign w:val="center"/>
          </w:tcPr>
          <w:p w14:paraId="0AD991D0">
            <w:pPr>
              <w:rPr>
                <w:rFonts w:ascii="Times New Roman" w:hAnsi="Times New Roman" w:eastAsia="宋体" w:cs="Times New Roman"/>
                <w:szCs w:val="21"/>
              </w:rPr>
            </w:pPr>
            <w:r>
              <w:rPr>
                <w:rFonts w:ascii="Times New Roman" w:hAnsi="Times New Roman" w:eastAsia="宋体" w:cs="Times New Roman"/>
                <w:szCs w:val="21"/>
              </w:rPr>
              <w:t>重点考核：学生的出勤情况</w:t>
            </w:r>
            <w:r>
              <w:rPr>
                <w:rFonts w:hint="eastAsia" w:ascii="Times New Roman" w:hAnsi="Times New Roman" w:eastAsia="宋体" w:cs="Times New Roman"/>
                <w:szCs w:val="21"/>
              </w:rPr>
              <w:t>，平时工作的进展情况，实习任务完成情况，实习日记、听课记录等实习手册填写</w:t>
            </w:r>
            <w:r>
              <w:rPr>
                <w:rFonts w:ascii="Times New Roman" w:hAnsi="Times New Roman" w:eastAsia="宋体" w:cs="Times New Roman"/>
                <w:szCs w:val="21"/>
              </w:rPr>
              <w:t>。</w:t>
            </w:r>
          </w:p>
        </w:tc>
        <w:tc>
          <w:tcPr>
            <w:tcW w:w="653" w:type="pct"/>
            <w:tcBorders>
              <w:top w:val="single" w:color="auto" w:sz="4" w:space="0"/>
              <w:left w:val="single" w:color="auto" w:sz="4" w:space="0"/>
              <w:bottom w:val="single" w:color="auto" w:sz="4" w:space="0"/>
              <w:right w:val="single" w:color="auto" w:sz="4" w:space="0"/>
            </w:tcBorders>
            <w:vAlign w:val="center"/>
          </w:tcPr>
          <w:p w14:paraId="2E509E86">
            <w:pPr>
              <w:jc w:val="center"/>
              <w:rPr>
                <w:rFonts w:ascii="Times New Roman" w:hAnsi="Times New Roman" w:eastAsia="宋体" w:cs="Times New Roman"/>
                <w:szCs w:val="24"/>
              </w:rPr>
            </w:pPr>
            <w:r>
              <w:rPr>
                <w:rFonts w:hint="eastAsia" w:ascii="Times New Roman" w:hAnsi="Times New Roman" w:eastAsia="宋体" w:cs="Times New Roman"/>
                <w:szCs w:val="24"/>
              </w:rPr>
              <w:t>课程目标1、2、3</w:t>
            </w:r>
          </w:p>
        </w:tc>
        <w:tc>
          <w:tcPr>
            <w:tcW w:w="963" w:type="pct"/>
            <w:tcBorders>
              <w:top w:val="single" w:color="auto" w:sz="4" w:space="0"/>
              <w:left w:val="single" w:color="auto" w:sz="4" w:space="0"/>
              <w:bottom w:val="single" w:color="auto" w:sz="4" w:space="0"/>
              <w:right w:val="single" w:color="auto" w:sz="4" w:space="0"/>
            </w:tcBorders>
            <w:vAlign w:val="center"/>
          </w:tcPr>
          <w:p w14:paraId="6C7BC6A5">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、1-2、2-1、2-2、2-3、3-4、4-</w:t>
            </w:r>
            <w:r>
              <w:rPr>
                <w:rFonts w:ascii="Times New Roman" w:hAnsi="Times New Roman" w:eastAsia="宋体" w:cs="Times New Roman"/>
                <w:szCs w:val="21"/>
              </w:rPr>
              <w:t>1</w:t>
            </w:r>
            <w:r>
              <w:rPr>
                <w:rFonts w:hint="eastAsia" w:ascii="Times New Roman" w:hAnsi="Times New Roman" w:eastAsia="宋体" w:cs="Times New Roman"/>
                <w:szCs w:val="21"/>
              </w:rPr>
              <w:t>、4-</w:t>
            </w:r>
            <w:r>
              <w:rPr>
                <w:rFonts w:ascii="Times New Roman" w:hAnsi="Times New Roman" w:eastAsia="宋体" w:cs="Times New Roman"/>
                <w:szCs w:val="21"/>
              </w:rPr>
              <w:t>2</w:t>
            </w:r>
            <w:r>
              <w:rPr>
                <w:rFonts w:hint="eastAsia" w:ascii="Times New Roman" w:hAnsi="Times New Roman" w:eastAsia="宋体" w:cs="Times New Roman"/>
                <w:szCs w:val="21"/>
              </w:rPr>
              <w:t>、4-</w:t>
            </w:r>
            <w:r>
              <w:rPr>
                <w:rFonts w:ascii="Times New Roman" w:hAnsi="Times New Roman" w:eastAsia="宋体" w:cs="Times New Roman"/>
                <w:szCs w:val="21"/>
              </w:rPr>
              <w:t>3</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、5-</w:t>
            </w:r>
            <w:r>
              <w:rPr>
                <w:rFonts w:ascii="Times New Roman" w:hAnsi="Times New Roman" w:eastAsia="宋体" w:cs="Times New Roman"/>
                <w:szCs w:val="21"/>
              </w:rPr>
              <w:t>2</w:t>
            </w:r>
            <w:r>
              <w:rPr>
                <w:rFonts w:hint="eastAsia" w:ascii="Times New Roman" w:hAnsi="Times New Roman" w:eastAsia="宋体" w:cs="Times New Roman"/>
                <w:szCs w:val="21"/>
              </w:rPr>
              <w:t>、5-</w:t>
            </w:r>
            <w:r>
              <w:rPr>
                <w:rFonts w:ascii="Times New Roman" w:hAnsi="Times New Roman" w:eastAsia="宋体" w:cs="Times New Roman"/>
                <w:szCs w:val="21"/>
              </w:rPr>
              <w:t>3</w:t>
            </w:r>
            <w:r>
              <w:rPr>
                <w:rFonts w:hint="eastAsia" w:ascii="Times New Roman" w:hAnsi="Times New Roman" w:eastAsia="宋体" w:cs="Times New Roman"/>
                <w:szCs w:val="21"/>
              </w:rPr>
              <w:t>、6-</w:t>
            </w:r>
            <w:r>
              <w:rPr>
                <w:rFonts w:ascii="Times New Roman" w:hAnsi="Times New Roman" w:eastAsia="宋体" w:cs="Times New Roman"/>
                <w:szCs w:val="21"/>
              </w:rPr>
              <w:t>1</w:t>
            </w:r>
            <w:r>
              <w:rPr>
                <w:rFonts w:hint="eastAsia" w:ascii="Times New Roman" w:hAnsi="Times New Roman" w:eastAsia="宋体" w:cs="Times New Roman"/>
                <w:szCs w:val="21"/>
              </w:rPr>
              <w:t>、6-</w:t>
            </w:r>
            <w:r>
              <w:rPr>
                <w:rFonts w:ascii="Times New Roman" w:hAnsi="Times New Roman" w:eastAsia="宋体" w:cs="Times New Roman"/>
                <w:szCs w:val="21"/>
              </w:rPr>
              <w:t>3</w:t>
            </w:r>
            <w:r>
              <w:rPr>
                <w:rFonts w:hint="eastAsia" w:ascii="Times New Roman" w:hAnsi="Times New Roman" w:eastAsia="宋体" w:cs="Times New Roman"/>
                <w:szCs w:val="21"/>
              </w:rPr>
              <w:t>、7-</w:t>
            </w:r>
            <w:r>
              <w:rPr>
                <w:rFonts w:ascii="Times New Roman" w:hAnsi="Times New Roman" w:eastAsia="宋体" w:cs="Times New Roman"/>
                <w:szCs w:val="21"/>
              </w:rPr>
              <w:t>3</w:t>
            </w:r>
            <w:r>
              <w:rPr>
                <w:rFonts w:hint="eastAsia" w:ascii="Times New Roman" w:hAnsi="Times New Roman" w:eastAsia="宋体" w:cs="Times New Roman"/>
                <w:szCs w:val="21"/>
              </w:rPr>
              <w:t>、</w:t>
            </w:r>
          </w:p>
        </w:tc>
      </w:tr>
      <w:tr w14:paraId="4B12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93" w:type="pct"/>
            <w:tcBorders>
              <w:top w:val="single" w:color="auto" w:sz="4" w:space="0"/>
              <w:left w:val="single" w:color="auto" w:sz="4" w:space="0"/>
              <w:bottom w:val="single" w:color="auto" w:sz="4" w:space="0"/>
              <w:right w:val="single" w:color="auto" w:sz="4" w:space="0"/>
            </w:tcBorders>
            <w:vAlign w:val="center"/>
          </w:tcPr>
          <w:p w14:paraId="7AB3FF00">
            <w:pPr>
              <w:jc w:val="center"/>
              <w:rPr>
                <w:rFonts w:ascii="Times New Roman" w:hAnsi="Times New Roman" w:eastAsia="宋体" w:cs="Times New Roman"/>
                <w:szCs w:val="21"/>
              </w:rPr>
            </w:pPr>
            <w:r>
              <w:rPr>
                <w:rFonts w:hint="eastAsia" w:ascii="Times New Roman" w:hAnsi="Times New Roman" w:eastAsia="宋体" w:cs="Times New Roman"/>
                <w:szCs w:val="21"/>
              </w:rPr>
              <w:t>调查报告</w:t>
            </w:r>
          </w:p>
        </w:tc>
        <w:tc>
          <w:tcPr>
            <w:tcW w:w="1093" w:type="pct"/>
            <w:tcBorders>
              <w:top w:val="single" w:color="auto" w:sz="4" w:space="0"/>
              <w:left w:val="single" w:color="auto" w:sz="4" w:space="0"/>
              <w:bottom w:val="single" w:color="auto" w:sz="4" w:space="0"/>
              <w:right w:val="single" w:color="auto" w:sz="4" w:space="0"/>
            </w:tcBorders>
            <w:vAlign w:val="center"/>
          </w:tcPr>
          <w:p w14:paraId="1B0EFB63">
            <w:pPr>
              <w:rPr>
                <w:rFonts w:ascii="Times New Roman" w:hAnsi="Times New Roman" w:eastAsia="宋体" w:cs="Times New Roman"/>
                <w:szCs w:val="21"/>
              </w:rPr>
            </w:pPr>
            <w:r>
              <w:rPr>
                <w:rFonts w:hint="eastAsia" w:ascii="Times New Roman" w:hAnsi="Times New Roman" w:eastAsia="宋体" w:cs="Times New Roman"/>
                <w:szCs w:val="21"/>
              </w:rPr>
              <w:t>学生根据对实习学校的调查研究，结合</w:t>
            </w:r>
            <w:r>
              <w:rPr>
                <w:rFonts w:ascii="Times New Roman" w:hAnsi="Times New Roman" w:eastAsia="宋体" w:cs="Times New Roman"/>
                <w:szCs w:val="21"/>
              </w:rPr>
              <w:t>文献检索及查阅资料</w:t>
            </w:r>
            <w:r>
              <w:rPr>
                <w:rFonts w:hint="eastAsia" w:ascii="Times New Roman" w:hAnsi="Times New Roman" w:eastAsia="宋体" w:cs="Times New Roman"/>
                <w:szCs w:val="21"/>
              </w:rPr>
              <w:t>，写出调查报告。</w:t>
            </w:r>
          </w:p>
        </w:tc>
        <w:tc>
          <w:tcPr>
            <w:tcW w:w="366" w:type="pct"/>
            <w:tcBorders>
              <w:top w:val="single" w:color="auto" w:sz="4" w:space="0"/>
              <w:left w:val="single" w:color="auto" w:sz="4" w:space="0"/>
              <w:bottom w:val="single" w:color="auto" w:sz="4" w:space="0"/>
              <w:right w:val="single" w:color="auto" w:sz="4" w:space="0"/>
            </w:tcBorders>
            <w:vAlign w:val="center"/>
          </w:tcPr>
          <w:p w14:paraId="47629333">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530" w:type="pct"/>
            <w:tcBorders>
              <w:top w:val="single" w:color="auto" w:sz="4" w:space="0"/>
              <w:left w:val="single" w:color="auto" w:sz="4" w:space="0"/>
              <w:bottom w:val="single" w:color="auto" w:sz="4" w:space="0"/>
              <w:right w:val="single" w:color="auto" w:sz="4" w:space="0"/>
            </w:tcBorders>
            <w:vAlign w:val="center"/>
          </w:tcPr>
          <w:p w14:paraId="687575CF">
            <w:pPr>
              <w:rPr>
                <w:rFonts w:ascii="Times New Roman" w:hAnsi="Times New Roman" w:eastAsia="宋体" w:cs="Times New Roman"/>
                <w:szCs w:val="21"/>
              </w:rPr>
            </w:pPr>
            <w:r>
              <w:rPr>
                <w:rFonts w:ascii="Times New Roman" w:hAnsi="Times New Roman" w:eastAsia="宋体" w:cs="Times New Roman"/>
                <w:szCs w:val="21"/>
              </w:rPr>
              <w:t>重点考核：</w:t>
            </w:r>
            <w:r>
              <w:rPr>
                <w:rFonts w:hint="eastAsia" w:ascii="Times New Roman" w:hAnsi="Times New Roman" w:eastAsia="宋体" w:cs="Times New Roman"/>
                <w:szCs w:val="21"/>
              </w:rPr>
              <w:t>调查报告内容符合教育实习要求，能就学校中的教育现象展开调查，内容明确，方法正确，条理清楚，有自己的观点</w:t>
            </w:r>
          </w:p>
        </w:tc>
        <w:tc>
          <w:tcPr>
            <w:tcW w:w="653" w:type="pct"/>
            <w:tcBorders>
              <w:top w:val="single" w:color="auto" w:sz="4" w:space="0"/>
              <w:left w:val="single" w:color="auto" w:sz="4" w:space="0"/>
              <w:bottom w:val="single" w:color="auto" w:sz="4" w:space="0"/>
              <w:right w:val="single" w:color="auto" w:sz="4" w:space="0"/>
            </w:tcBorders>
            <w:vAlign w:val="center"/>
          </w:tcPr>
          <w:p w14:paraId="5287DB18">
            <w:pPr>
              <w:jc w:val="center"/>
              <w:rPr>
                <w:rFonts w:ascii="Times New Roman" w:hAnsi="Times New Roman" w:eastAsia="宋体" w:cs="Times New Roman"/>
                <w:szCs w:val="21"/>
              </w:rPr>
            </w:pPr>
            <w:r>
              <w:rPr>
                <w:rFonts w:hint="eastAsia" w:ascii="Times New Roman" w:hAnsi="Times New Roman" w:eastAsia="宋体" w:cs="Times New Roman"/>
                <w:szCs w:val="24"/>
              </w:rPr>
              <w:t>课程目标1、2、3、4</w:t>
            </w:r>
          </w:p>
        </w:tc>
        <w:tc>
          <w:tcPr>
            <w:tcW w:w="963" w:type="pct"/>
            <w:tcBorders>
              <w:top w:val="single" w:color="auto" w:sz="4" w:space="0"/>
              <w:left w:val="single" w:color="auto" w:sz="4" w:space="0"/>
              <w:bottom w:val="single" w:color="auto" w:sz="4" w:space="0"/>
              <w:right w:val="single" w:color="auto" w:sz="4" w:space="0"/>
            </w:tcBorders>
            <w:vAlign w:val="center"/>
          </w:tcPr>
          <w:p w14:paraId="35BC00DF">
            <w:pPr>
              <w:jc w:val="center"/>
              <w:rPr>
                <w:rFonts w:ascii="Times New Roman" w:hAnsi="Times New Roman" w:eastAsia="宋体" w:cs="Times New Roman"/>
                <w:szCs w:val="21"/>
              </w:rPr>
            </w:pPr>
            <w:r>
              <w:rPr>
                <w:rFonts w:hint="eastAsia" w:ascii="Times New Roman" w:hAnsi="Times New Roman" w:eastAsia="宋体" w:cs="Times New Roman"/>
                <w:szCs w:val="21"/>
              </w:rPr>
              <w:t>1-1、1-2、2-1、2-2、2-3、3-4、4-1、4-2、4-3、4-4、5-1、5-2、5-3、6-1、6-3、7-3、8-1、8-2</w:t>
            </w:r>
          </w:p>
        </w:tc>
      </w:tr>
      <w:tr w14:paraId="7C9C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93" w:type="pct"/>
            <w:tcBorders>
              <w:top w:val="single" w:color="auto" w:sz="4" w:space="0"/>
              <w:left w:val="single" w:color="auto" w:sz="4" w:space="0"/>
              <w:bottom w:val="single" w:color="auto" w:sz="4" w:space="0"/>
              <w:right w:val="single" w:color="auto" w:sz="4" w:space="0"/>
            </w:tcBorders>
            <w:vAlign w:val="center"/>
          </w:tcPr>
          <w:p w14:paraId="062F3310">
            <w:pPr>
              <w:jc w:val="center"/>
              <w:rPr>
                <w:rFonts w:ascii="Times New Roman" w:hAnsi="Times New Roman" w:eastAsia="宋体" w:cs="Times New Roman"/>
                <w:szCs w:val="21"/>
              </w:rPr>
            </w:pPr>
            <w:r>
              <w:rPr>
                <w:rFonts w:hint="eastAsia" w:ascii="Times New Roman" w:hAnsi="Times New Roman" w:eastAsia="宋体" w:cs="Times New Roman"/>
                <w:szCs w:val="21"/>
              </w:rPr>
              <w:t>课堂教学实习</w:t>
            </w:r>
          </w:p>
        </w:tc>
        <w:tc>
          <w:tcPr>
            <w:tcW w:w="1093" w:type="pct"/>
            <w:tcBorders>
              <w:top w:val="single" w:color="auto" w:sz="4" w:space="0"/>
              <w:left w:val="single" w:color="auto" w:sz="4" w:space="0"/>
              <w:bottom w:val="single" w:color="auto" w:sz="4" w:space="0"/>
              <w:right w:val="single" w:color="auto" w:sz="4" w:space="0"/>
            </w:tcBorders>
            <w:vAlign w:val="center"/>
          </w:tcPr>
          <w:p w14:paraId="0997468A">
            <w:pPr>
              <w:rPr>
                <w:rFonts w:ascii="Times New Roman" w:hAnsi="Times New Roman" w:eastAsia="宋体" w:cs="Times New Roman"/>
                <w:szCs w:val="21"/>
              </w:rPr>
            </w:pPr>
            <w:r>
              <w:rPr>
                <w:rFonts w:hint="eastAsia" w:ascii="Times New Roman" w:hAnsi="Times New Roman" w:eastAsia="宋体" w:cs="Times New Roman"/>
                <w:szCs w:val="21"/>
              </w:rPr>
              <w:t>根据学科填写课堂听课记录，并能做出评价，同时在指导教师指导下写出教案，并能实施。</w:t>
            </w:r>
          </w:p>
        </w:tc>
        <w:tc>
          <w:tcPr>
            <w:tcW w:w="366" w:type="pct"/>
            <w:tcBorders>
              <w:top w:val="single" w:color="auto" w:sz="4" w:space="0"/>
              <w:left w:val="single" w:color="auto" w:sz="4" w:space="0"/>
              <w:bottom w:val="single" w:color="auto" w:sz="4" w:space="0"/>
              <w:right w:val="single" w:color="auto" w:sz="4" w:space="0"/>
            </w:tcBorders>
            <w:vAlign w:val="center"/>
          </w:tcPr>
          <w:p w14:paraId="794743AE">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1530" w:type="pct"/>
            <w:tcBorders>
              <w:top w:val="single" w:color="auto" w:sz="4" w:space="0"/>
              <w:left w:val="single" w:color="auto" w:sz="4" w:space="0"/>
              <w:bottom w:val="single" w:color="auto" w:sz="4" w:space="0"/>
              <w:right w:val="single" w:color="auto" w:sz="4" w:space="0"/>
            </w:tcBorders>
            <w:vAlign w:val="center"/>
          </w:tcPr>
          <w:p w14:paraId="680586A7">
            <w:pPr>
              <w:rPr>
                <w:rFonts w:ascii="Times New Roman" w:hAnsi="Times New Roman" w:eastAsia="宋体" w:cs="Times New Roman"/>
                <w:szCs w:val="21"/>
              </w:rPr>
            </w:pPr>
            <w:r>
              <w:rPr>
                <w:rFonts w:ascii="Times New Roman" w:hAnsi="Times New Roman" w:eastAsia="宋体" w:cs="Times New Roman"/>
                <w:szCs w:val="21"/>
              </w:rPr>
              <w:t>重点考核：</w:t>
            </w:r>
            <w:r>
              <w:rPr>
                <w:rFonts w:hint="eastAsia" w:ascii="Times New Roman" w:hAnsi="Times New Roman" w:eastAsia="宋体" w:cs="Times New Roman"/>
                <w:szCs w:val="21"/>
              </w:rPr>
              <w:t>由实习学校学科指导教师根据学生的听课、批改作业、课堂评价及试教情况进行评价。</w:t>
            </w:r>
          </w:p>
        </w:tc>
        <w:tc>
          <w:tcPr>
            <w:tcW w:w="653" w:type="pct"/>
            <w:tcBorders>
              <w:top w:val="single" w:color="auto" w:sz="4" w:space="0"/>
              <w:left w:val="single" w:color="auto" w:sz="4" w:space="0"/>
              <w:bottom w:val="single" w:color="auto" w:sz="4" w:space="0"/>
              <w:right w:val="single" w:color="auto" w:sz="4" w:space="0"/>
            </w:tcBorders>
            <w:vAlign w:val="center"/>
          </w:tcPr>
          <w:p w14:paraId="3E659D1A">
            <w:pPr>
              <w:jc w:val="center"/>
              <w:rPr>
                <w:rFonts w:ascii="Times New Roman" w:hAnsi="Times New Roman" w:eastAsia="宋体" w:cs="Times New Roman"/>
                <w:szCs w:val="21"/>
              </w:rPr>
            </w:pPr>
            <w:r>
              <w:rPr>
                <w:rFonts w:hint="eastAsia" w:ascii="Times New Roman" w:hAnsi="Times New Roman" w:eastAsia="宋体" w:cs="Times New Roman"/>
                <w:szCs w:val="24"/>
              </w:rPr>
              <w:t>课程目标1、2、3、4</w:t>
            </w:r>
          </w:p>
        </w:tc>
        <w:tc>
          <w:tcPr>
            <w:tcW w:w="963" w:type="pct"/>
            <w:tcBorders>
              <w:top w:val="single" w:color="auto" w:sz="4" w:space="0"/>
              <w:left w:val="single" w:color="auto" w:sz="4" w:space="0"/>
              <w:bottom w:val="single" w:color="auto" w:sz="4" w:space="0"/>
              <w:right w:val="single" w:color="auto" w:sz="4" w:space="0"/>
            </w:tcBorders>
            <w:vAlign w:val="center"/>
          </w:tcPr>
          <w:p w14:paraId="46EB9FE4">
            <w:pPr>
              <w:jc w:val="center"/>
              <w:rPr>
                <w:rFonts w:ascii="Times New Roman" w:hAnsi="Times New Roman" w:eastAsia="宋体" w:cs="Times New Roman"/>
                <w:szCs w:val="21"/>
              </w:rPr>
            </w:pPr>
            <w:r>
              <w:rPr>
                <w:rFonts w:hint="eastAsia" w:ascii="Times New Roman" w:hAnsi="Times New Roman" w:eastAsia="宋体" w:cs="Times New Roman"/>
                <w:szCs w:val="21"/>
              </w:rPr>
              <w:t>1-1、1-2、2-1、2-2、2-3、3-4、4-1、4-2、4-3、4-4、5-1、5-2、5-3、6-1、6-3、7-3、8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r w14:paraId="4D53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393" w:type="pct"/>
            <w:tcBorders>
              <w:top w:val="single" w:color="auto" w:sz="4" w:space="0"/>
              <w:left w:val="single" w:color="auto" w:sz="4" w:space="0"/>
              <w:bottom w:val="single" w:color="auto" w:sz="4" w:space="0"/>
              <w:right w:val="single" w:color="auto" w:sz="4" w:space="0"/>
            </w:tcBorders>
            <w:vAlign w:val="center"/>
          </w:tcPr>
          <w:p w14:paraId="776316BB">
            <w:pPr>
              <w:jc w:val="center"/>
              <w:rPr>
                <w:rFonts w:ascii="Times New Roman" w:hAnsi="Times New Roman" w:eastAsia="宋体" w:cs="Times New Roman"/>
                <w:szCs w:val="21"/>
              </w:rPr>
            </w:pPr>
            <w:r>
              <w:rPr>
                <w:rFonts w:hint="eastAsia" w:ascii="Times New Roman" w:hAnsi="Times New Roman" w:eastAsia="宋体" w:cs="Times New Roman"/>
                <w:szCs w:val="21"/>
              </w:rPr>
              <w:t>班主任工作实习</w:t>
            </w:r>
          </w:p>
        </w:tc>
        <w:tc>
          <w:tcPr>
            <w:tcW w:w="1093" w:type="pct"/>
            <w:tcBorders>
              <w:top w:val="single" w:color="auto" w:sz="4" w:space="0"/>
              <w:left w:val="single" w:color="auto" w:sz="4" w:space="0"/>
              <w:bottom w:val="single" w:color="auto" w:sz="4" w:space="0"/>
              <w:right w:val="single" w:color="auto" w:sz="4" w:space="0"/>
            </w:tcBorders>
            <w:vAlign w:val="center"/>
          </w:tcPr>
          <w:p w14:paraId="670DB75D">
            <w:pPr>
              <w:rPr>
                <w:rFonts w:ascii="Times New Roman" w:hAnsi="Times New Roman" w:eastAsia="宋体" w:cs="Times New Roman"/>
                <w:szCs w:val="21"/>
              </w:rPr>
            </w:pPr>
            <w:r>
              <w:rPr>
                <w:rFonts w:hint="eastAsia" w:ascii="Times New Roman" w:hAnsi="Times New Roman" w:eastAsia="宋体" w:cs="Times New Roman"/>
                <w:szCs w:val="21"/>
              </w:rPr>
              <w:t>根据实习班主任（少先队）工作情况</w:t>
            </w:r>
            <w:r>
              <w:rPr>
                <w:rFonts w:ascii="Times New Roman" w:hAnsi="Times New Roman" w:eastAsia="宋体" w:cs="Times New Roman"/>
                <w:szCs w:val="21"/>
              </w:rPr>
              <w:t>。</w:t>
            </w:r>
          </w:p>
        </w:tc>
        <w:tc>
          <w:tcPr>
            <w:tcW w:w="366" w:type="pct"/>
            <w:tcBorders>
              <w:top w:val="single" w:color="auto" w:sz="4" w:space="0"/>
              <w:left w:val="single" w:color="auto" w:sz="4" w:space="0"/>
              <w:bottom w:val="single" w:color="auto" w:sz="4" w:space="0"/>
              <w:right w:val="single" w:color="auto" w:sz="4" w:space="0"/>
            </w:tcBorders>
            <w:vAlign w:val="center"/>
          </w:tcPr>
          <w:p w14:paraId="3AA9B54E">
            <w:pPr>
              <w:jc w:val="center"/>
              <w:rPr>
                <w:rFonts w:ascii="Times New Roman" w:hAnsi="Times New Roman" w:eastAsia="宋体" w:cs="Times New Roman"/>
                <w:szCs w:val="21"/>
              </w:rPr>
            </w:pPr>
            <w:r>
              <w:rPr>
                <w:rFonts w:ascii="Times New Roman" w:hAnsi="Times New Roman" w:eastAsia="宋体" w:cs="Times New Roman"/>
                <w:szCs w:val="21"/>
              </w:rPr>
              <w:t>30%</w:t>
            </w:r>
          </w:p>
        </w:tc>
        <w:tc>
          <w:tcPr>
            <w:tcW w:w="1530" w:type="pct"/>
            <w:tcBorders>
              <w:top w:val="single" w:color="auto" w:sz="4" w:space="0"/>
              <w:left w:val="single" w:color="auto" w:sz="4" w:space="0"/>
              <w:bottom w:val="single" w:color="auto" w:sz="4" w:space="0"/>
              <w:right w:val="single" w:color="auto" w:sz="4" w:space="0"/>
            </w:tcBorders>
            <w:vAlign w:val="center"/>
          </w:tcPr>
          <w:p w14:paraId="47ED212A">
            <w:pPr>
              <w:rPr>
                <w:rFonts w:ascii="Times New Roman" w:hAnsi="Times New Roman" w:eastAsia="宋体" w:cs="Times New Roman"/>
                <w:szCs w:val="21"/>
              </w:rPr>
            </w:pPr>
            <w:r>
              <w:rPr>
                <w:rFonts w:ascii="Times New Roman" w:hAnsi="Times New Roman" w:eastAsia="宋体" w:cs="Times New Roman"/>
                <w:szCs w:val="21"/>
              </w:rPr>
              <w:t>重点考核：</w:t>
            </w:r>
            <w:r>
              <w:rPr>
                <w:rFonts w:hint="eastAsia" w:ascii="Times New Roman" w:hAnsi="Times New Roman" w:eastAsia="宋体" w:cs="Times New Roman"/>
                <w:szCs w:val="21"/>
              </w:rPr>
              <w:t>由实习学校班主任指导教师根据学生在校的班主任实习工作评价，对学生一日常规、思品课及与小学生互动中表现的学生观以及学生工作的能力进行评价。</w:t>
            </w:r>
          </w:p>
        </w:tc>
        <w:tc>
          <w:tcPr>
            <w:tcW w:w="653" w:type="pct"/>
            <w:tcBorders>
              <w:top w:val="single" w:color="auto" w:sz="4" w:space="0"/>
              <w:left w:val="single" w:color="auto" w:sz="4" w:space="0"/>
              <w:bottom w:val="single" w:color="auto" w:sz="4" w:space="0"/>
              <w:right w:val="single" w:color="auto" w:sz="4" w:space="0"/>
            </w:tcBorders>
            <w:vAlign w:val="center"/>
          </w:tcPr>
          <w:p w14:paraId="7B58E2B8">
            <w:pPr>
              <w:jc w:val="center"/>
              <w:rPr>
                <w:rFonts w:ascii="Times New Roman" w:hAnsi="Times New Roman" w:eastAsia="宋体" w:cs="Times New Roman"/>
                <w:szCs w:val="21"/>
              </w:rPr>
            </w:pPr>
            <w:r>
              <w:rPr>
                <w:rFonts w:hint="eastAsia" w:ascii="Times New Roman" w:hAnsi="Times New Roman" w:eastAsia="宋体" w:cs="Times New Roman"/>
                <w:szCs w:val="24"/>
              </w:rPr>
              <w:t>课程目标1、2、3、4</w:t>
            </w:r>
          </w:p>
        </w:tc>
        <w:tc>
          <w:tcPr>
            <w:tcW w:w="963" w:type="pct"/>
            <w:tcBorders>
              <w:top w:val="single" w:color="auto" w:sz="4" w:space="0"/>
              <w:left w:val="single" w:color="auto" w:sz="4" w:space="0"/>
              <w:bottom w:val="single" w:color="auto" w:sz="4" w:space="0"/>
              <w:right w:val="single" w:color="auto" w:sz="4" w:space="0"/>
            </w:tcBorders>
            <w:vAlign w:val="center"/>
          </w:tcPr>
          <w:p w14:paraId="149930B0">
            <w:pPr>
              <w:jc w:val="center"/>
              <w:rPr>
                <w:rFonts w:ascii="Times New Roman" w:hAnsi="Times New Roman" w:eastAsia="宋体" w:cs="Times New Roman"/>
                <w:szCs w:val="21"/>
              </w:rPr>
            </w:pPr>
            <w:r>
              <w:rPr>
                <w:rFonts w:hint="eastAsia" w:ascii="Times New Roman" w:hAnsi="Times New Roman" w:eastAsia="宋体" w:cs="Times New Roman"/>
                <w:szCs w:val="21"/>
              </w:rPr>
              <w:t>1-1、1-2、2-1、2-2、2-3、3-4、4-1、4-2、4-3、4-4、5-1、5-2、5-3、6-1、6-3、7-3、8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p>
        </w:tc>
      </w:tr>
    </w:tbl>
    <w:p w14:paraId="72722D9D">
      <w:pPr>
        <w:spacing w:line="360" w:lineRule="auto"/>
        <w:jc w:val="center"/>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课程目标及考核方式权重分配表</w:t>
      </w:r>
    </w:p>
    <w:tbl>
      <w:tblPr>
        <w:tblStyle w:val="30"/>
        <w:tblW w:w="8206" w:type="dxa"/>
        <w:tblInd w:w="0" w:type="dxa"/>
        <w:tblLayout w:type="autofit"/>
        <w:tblCellMar>
          <w:top w:w="0" w:type="dxa"/>
          <w:left w:w="108" w:type="dxa"/>
          <w:bottom w:w="0" w:type="dxa"/>
          <w:right w:w="108" w:type="dxa"/>
        </w:tblCellMar>
      </w:tblPr>
      <w:tblGrid>
        <w:gridCol w:w="2284"/>
        <w:gridCol w:w="1255"/>
        <w:gridCol w:w="2057"/>
        <w:gridCol w:w="1476"/>
        <w:gridCol w:w="1134"/>
      </w:tblGrid>
      <w:tr w14:paraId="5EA3F670">
        <w:tblPrEx>
          <w:tblCellMar>
            <w:top w:w="0" w:type="dxa"/>
            <w:left w:w="108" w:type="dxa"/>
            <w:bottom w:w="0" w:type="dxa"/>
            <w:right w:w="108" w:type="dxa"/>
          </w:tblCellMar>
        </w:tblPrEx>
        <w:trPr>
          <w:trHeight w:val="413" w:hRule="atLeast"/>
        </w:trPr>
        <w:tc>
          <w:tcPr>
            <w:tcW w:w="3539" w:type="dxa"/>
            <w:gridSpan w:val="2"/>
            <w:tcBorders>
              <w:top w:val="single" w:color="auto" w:sz="4" w:space="0"/>
              <w:left w:val="single" w:color="auto" w:sz="4" w:space="0"/>
              <w:bottom w:val="single" w:color="auto" w:sz="4" w:space="0"/>
              <w:right w:val="single" w:color="auto" w:sz="4" w:space="0"/>
            </w:tcBorders>
            <w:vAlign w:val="center"/>
          </w:tcPr>
          <w:p w14:paraId="4B0C6A13">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课程目标及权重</w:t>
            </w:r>
          </w:p>
        </w:tc>
        <w:tc>
          <w:tcPr>
            <w:tcW w:w="4667" w:type="dxa"/>
            <w:gridSpan w:val="3"/>
            <w:tcBorders>
              <w:top w:val="single" w:color="auto" w:sz="4" w:space="0"/>
              <w:left w:val="single" w:color="auto" w:sz="4" w:space="0"/>
              <w:bottom w:val="single" w:color="auto" w:sz="4" w:space="0"/>
              <w:right w:val="single" w:color="auto" w:sz="4" w:space="0"/>
            </w:tcBorders>
            <w:vAlign w:val="center"/>
          </w:tcPr>
          <w:p w14:paraId="50233456">
            <w:pPr>
              <w:widowControl/>
              <w:ind w:right="-391" w:rightChars="-186"/>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考核方式及权重</w:t>
            </w:r>
          </w:p>
        </w:tc>
      </w:tr>
      <w:tr w14:paraId="71FEB44D">
        <w:tblPrEx>
          <w:tblCellMar>
            <w:top w:w="0" w:type="dxa"/>
            <w:left w:w="108" w:type="dxa"/>
            <w:bottom w:w="0" w:type="dxa"/>
            <w:right w:w="108" w:type="dxa"/>
          </w:tblCellMar>
        </w:tblPrEx>
        <w:trPr>
          <w:trHeight w:val="636" w:hRule="atLeast"/>
        </w:trPr>
        <w:tc>
          <w:tcPr>
            <w:tcW w:w="2284" w:type="dxa"/>
            <w:tcBorders>
              <w:top w:val="single" w:color="auto" w:sz="4" w:space="0"/>
              <w:left w:val="single" w:color="auto" w:sz="4" w:space="0"/>
              <w:bottom w:val="single" w:color="auto" w:sz="4" w:space="0"/>
              <w:right w:val="single" w:color="auto" w:sz="4" w:space="0"/>
            </w:tcBorders>
            <w:vAlign w:val="center"/>
          </w:tcPr>
          <w:p w14:paraId="130A223C">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项目</w:t>
            </w:r>
          </w:p>
        </w:tc>
        <w:tc>
          <w:tcPr>
            <w:tcW w:w="1255" w:type="dxa"/>
            <w:tcBorders>
              <w:top w:val="single" w:color="auto" w:sz="4" w:space="0"/>
              <w:left w:val="single" w:color="auto" w:sz="4" w:space="0"/>
              <w:bottom w:val="single" w:color="auto" w:sz="4" w:space="0"/>
              <w:right w:val="single" w:color="auto" w:sz="4" w:space="0"/>
            </w:tcBorders>
            <w:vAlign w:val="center"/>
          </w:tcPr>
          <w:p w14:paraId="18AE1910">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a</w:t>
            </w:r>
            <w:r>
              <w:rPr>
                <w:rFonts w:hint="eastAsia" w:ascii="宋体" w:hAnsi="宋体" w:eastAsia="宋体" w:cs="Times New Roman"/>
                <w:color w:val="000000"/>
                <w:kern w:val="0"/>
                <w:szCs w:val="21"/>
              </w:rPr>
              <w:t>）</w:t>
            </w:r>
          </w:p>
        </w:tc>
        <w:tc>
          <w:tcPr>
            <w:tcW w:w="2057" w:type="dxa"/>
            <w:tcBorders>
              <w:top w:val="single" w:color="auto" w:sz="4" w:space="0"/>
              <w:left w:val="single" w:color="auto" w:sz="4" w:space="0"/>
              <w:bottom w:val="single" w:color="auto" w:sz="4" w:space="0"/>
              <w:right w:val="single" w:color="auto" w:sz="4" w:space="0"/>
            </w:tcBorders>
            <w:vAlign w:val="center"/>
          </w:tcPr>
          <w:p w14:paraId="5760BB9E">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评价依据</w:t>
            </w:r>
          </w:p>
        </w:tc>
        <w:tc>
          <w:tcPr>
            <w:tcW w:w="1476" w:type="dxa"/>
            <w:tcBorders>
              <w:top w:val="single" w:color="auto" w:sz="4" w:space="0"/>
              <w:left w:val="single" w:color="auto" w:sz="4" w:space="0"/>
              <w:bottom w:val="single" w:color="auto" w:sz="4" w:space="0"/>
              <w:right w:val="single" w:color="auto" w:sz="4" w:space="0"/>
            </w:tcBorders>
            <w:vAlign w:val="center"/>
          </w:tcPr>
          <w:p w14:paraId="054F85B0">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权重（</w:t>
            </w:r>
            <w:r>
              <w:rPr>
                <w:rFonts w:ascii="宋体" w:hAnsi="宋体" w:eastAsia="宋体" w:cs="Times New Roman"/>
                <w:color w:val="000000"/>
                <w:kern w:val="0"/>
                <w:szCs w:val="21"/>
              </w:rPr>
              <w:t>b</w:t>
            </w:r>
            <w:r>
              <w:rPr>
                <w:rFonts w:hint="eastAsia" w:ascii="宋体" w:hAnsi="宋体" w:eastAsia="宋体" w:cs="Times New Roman"/>
                <w:color w:val="000000"/>
                <w:kern w:val="0"/>
                <w:szCs w:val="21"/>
              </w:rPr>
              <w:t>）</w:t>
            </w:r>
          </w:p>
        </w:tc>
        <w:tc>
          <w:tcPr>
            <w:tcW w:w="1134" w:type="dxa"/>
            <w:tcBorders>
              <w:top w:val="single" w:color="auto" w:sz="4" w:space="0"/>
              <w:left w:val="single" w:color="auto" w:sz="4" w:space="0"/>
              <w:bottom w:val="single" w:color="auto" w:sz="4" w:space="0"/>
              <w:right w:val="single" w:color="auto" w:sz="4" w:space="0"/>
            </w:tcBorders>
          </w:tcPr>
          <w:p w14:paraId="6A33191D">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考核方式权重合计</w:t>
            </w:r>
          </w:p>
        </w:tc>
      </w:tr>
      <w:tr w14:paraId="3309D721">
        <w:tblPrEx>
          <w:tblCellMar>
            <w:top w:w="0" w:type="dxa"/>
            <w:left w:w="108" w:type="dxa"/>
            <w:bottom w:w="0" w:type="dxa"/>
            <w:right w:w="108" w:type="dxa"/>
          </w:tblCellMar>
        </w:tblPrEx>
        <w:trPr>
          <w:trHeight w:val="428" w:hRule="atLeast"/>
        </w:trPr>
        <w:tc>
          <w:tcPr>
            <w:tcW w:w="2284" w:type="dxa"/>
            <w:vMerge w:val="restart"/>
            <w:tcBorders>
              <w:top w:val="single" w:color="auto" w:sz="4" w:space="0"/>
              <w:left w:val="single" w:color="auto" w:sz="4" w:space="0"/>
              <w:right w:val="single" w:color="auto" w:sz="4" w:space="0"/>
            </w:tcBorders>
            <w:vAlign w:val="center"/>
          </w:tcPr>
          <w:p w14:paraId="08A4503A">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1</w:t>
            </w:r>
          </w:p>
        </w:tc>
        <w:tc>
          <w:tcPr>
            <w:tcW w:w="1255" w:type="dxa"/>
            <w:vMerge w:val="restart"/>
            <w:tcBorders>
              <w:top w:val="single" w:color="auto" w:sz="4" w:space="0"/>
              <w:left w:val="single" w:color="auto" w:sz="4" w:space="0"/>
              <w:right w:val="single" w:color="auto" w:sz="4" w:space="0"/>
            </w:tcBorders>
            <w:vAlign w:val="center"/>
          </w:tcPr>
          <w:p w14:paraId="68649805">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30%</w:t>
            </w:r>
          </w:p>
        </w:tc>
        <w:tc>
          <w:tcPr>
            <w:tcW w:w="2057" w:type="dxa"/>
            <w:tcBorders>
              <w:top w:val="single" w:color="auto" w:sz="4" w:space="0"/>
              <w:left w:val="single" w:color="auto" w:sz="4" w:space="0"/>
              <w:bottom w:val="single" w:color="auto" w:sz="4" w:space="0"/>
              <w:right w:val="single" w:color="auto" w:sz="4" w:space="0"/>
            </w:tcBorders>
            <w:vAlign w:val="center"/>
          </w:tcPr>
          <w:p w14:paraId="48EFF6B0">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476" w:type="dxa"/>
            <w:tcBorders>
              <w:top w:val="single" w:color="auto" w:sz="4" w:space="0"/>
              <w:left w:val="single" w:color="auto" w:sz="4" w:space="0"/>
              <w:bottom w:val="single" w:color="auto" w:sz="4" w:space="0"/>
              <w:right w:val="single" w:color="auto" w:sz="4" w:space="0"/>
            </w:tcBorders>
            <w:vAlign w:val="center"/>
          </w:tcPr>
          <w:p w14:paraId="08311D53">
            <w:pPr>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50% </w:t>
            </w:r>
          </w:p>
        </w:tc>
        <w:tc>
          <w:tcPr>
            <w:tcW w:w="1134" w:type="dxa"/>
            <w:vMerge w:val="restart"/>
            <w:tcBorders>
              <w:top w:val="single" w:color="auto" w:sz="4" w:space="0"/>
              <w:left w:val="single" w:color="auto" w:sz="4" w:space="0"/>
              <w:right w:val="single" w:color="auto" w:sz="4" w:space="0"/>
            </w:tcBorders>
            <w:vAlign w:val="center"/>
          </w:tcPr>
          <w:p w14:paraId="11656274">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23E32E11">
        <w:tblPrEx>
          <w:tblCellMar>
            <w:top w:w="0" w:type="dxa"/>
            <w:left w:w="108" w:type="dxa"/>
            <w:bottom w:w="0" w:type="dxa"/>
            <w:right w:w="108" w:type="dxa"/>
          </w:tblCellMar>
        </w:tblPrEx>
        <w:trPr>
          <w:trHeight w:val="428" w:hRule="atLeast"/>
        </w:trPr>
        <w:tc>
          <w:tcPr>
            <w:tcW w:w="2284" w:type="dxa"/>
            <w:vMerge w:val="continue"/>
            <w:tcBorders>
              <w:left w:val="single" w:color="auto" w:sz="4" w:space="0"/>
              <w:right w:val="single" w:color="auto" w:sz="4" w:space="0"/>
            </w:tcBorders>
            <w:vAlign w:val="center"/>
          </w:tcPr>
          <w:p w14:paraId="315DBF51">
            <w:pPr>
              <w:widowControl/>
              <w:jc w:val="center"/>
              <w:rPr>
                <w:rFonts w:ascii="宋体" w:hAnsi="宋体" w:eastAsia="宋体" w:cs="Times New Roman"/>
                <w:color w:val="000000"/>
                <w:kern w:val="0"/>
                <w:szCs w:val="21"/>
              </w:rPr>
            </w:pPr>
          </w:p>
        </w:tc>
        <w:tc>
          <w:tcPr>
            <w:tcW w:w="1255" w:type="dxa"/>
            <w:vMerge w:val="continue"/>
            <w:tcBorders>
              <w:left w:val="single" w:color="auto" w:sz="4" w:space="0"/>
              <w:right w:val="single" w:color="auto" w:sz="4" w:space="0"/>
            </w:tcBorders>
            <w:vAlign w:val="center"/>
          </w:tcPr>
          <w:p w14:paraId="5DE17970">
            <w:pPr>
              <w:widowControl/>
              <w:jc w:val="center"/>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611E33B0">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课堂教学实习</w:t>
            </w:r>
          </w:p>
        </w:tc>
        <w:tc>
          <w:tcPr>
            <w:tcW w:w="1476" w:type="dxa"/>
            <w:tcBorders>
              <w:top w:val="single" w:color="auto" w:sz="4" w:space="0"/>
              <w:left w:val="single" w:color="auto" w:sz="4" w:space="0"/>
              <w:bottom w:val="single" w:color="auto" w:sz="4" w:space="0"/>
              <w:right w:val="single" w:color="auto" w:sz="4" w:space="0"/>
            </w:tcBorders>
            <w:vAlign w:val="center"/>
          </w:tcPr>
          <w:p w14:paraId="2830FB7B">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134" w:type="dxa"/>
            <w:vMerge w:val="continue"/>
            <w:tcBorders>
              <w:left w:val="single" w:color="auto" w:sz="4" w:space="0"/>
              <w:right w:val="single" w:color="auto" w:sz="4" w:space="0"/>
            </w:tcBorders>
            <w:vAlign w:val="center"/>
          </w:tcPr>
          <w:p w14:paraId="3A6CC95A">
            <w:pPr>
              <w:widowControl/>
              <w:jc w:val="center"/>
              <w:rPr>
                <w:rFonts w:ascii="宋体" w:hAnsi="宋体" w:eastAsia="宋体" w:cs="Times New Roman"/>
                <w:color w:val="000000"/>
                <w:kern w:val="0"/>
                <w:szCs w:val="21"/>
              </w:rPr>
            </w:pPr>
          </w:p>
        </w:tc>
      </w:tr>
      <w:tr w14:paraId="4C62A46C">
        <w:tblPrEx>
          <w:tblCellMar>
            <w:top w:w="0" w:type="dxa"/>
            <w:left w:w="108" w:type="dxa"/>
            <w:bottom w:w="0" w:type="dxa"/>
            <w:right w:w="108" w:type="dxa"/>
          </w:tblCellMar>
        </w:tblPrEx>
        <w:trPr>
          <w:trHeight w:val="428" w:hRule="atLeast"/>
        </w:trPr>
        <w:tc>
          <w:tcPr>
            <w:tcW w:w="2284" w:type="dxa"/>
            <w:vMerge w:val="continue"/>
            <w:tcBorders>
              <w:left w:val="single" w:color="auto" w:sz="4" w:space="0"/>
              <w:bottom w:val="single" w:color="auto" w:sz="4" w:space="0"/>
              <w:right w:val="single" w:color="auto" w:sz="4" w:space="0"/>
            </w:tcBorders>
            <w:vAlign w:val="center"/>
          </w:tcPr>
          <w:p w14:paraId="0550ACCE">
            <w:pPr>
              <w:widowControl/>
              <w:jc w:val="center"/>
              <w:rPr>
                <w:rFonts w:ascii="宋体" w:hAnsi="宋体" w:eastAsia="宋体" w:cs="Times New Roman"/>
                <w:color w:val="000000"/>
                <w:kern w:val="0"/>
                <w:szCs w:val="21"/>
              </w:rPr>
            </w:pPr>
          </w:p>
        </w:tc>
        <w:tc>
          <w:tcPr>
            <w:tcW w:w="1255" w:type="dxa"/>
            <w:vMerge w:val="continue"/>
            <w:tcBorders>
              <w:left w:val="single" w:color="auto" w:sz="4" w:space="0"/>
              <w:bottom w:val="single" w:color="auto" w:sz="4" w:space="0"/>
              <w:right w:val="single" w:color="auto" w:sz="4" w:space="0"/>
            </w:tcBorders>
            <w:vAlign w:val="center"/>
          </w:tcPr>
          <w:p w14:paraId="476E6E8E">
            <w:pPr>
              <w:widowControl/>
              <w:jc w:val="center"/>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246122FE">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班主任工作实习</w:t>
            </w:r>
          </w:p>
        </w:tc>
        <w:tc>
          <w:tcPr>
            <w:tcW w:w="1476" w:type="dxa"/>
            <w:tcBorders>
              <w:top w:val="single" w:color="auto" w:sz="4" w:space="0"/>
              <w:left w:val="single" w:color="auto" w:sz="4" w:space="0"/>
              <w:bottom w:val="single" w:color="auto" w:sz="4" w:space="0"/>
              <w:right w:val="single" w:color="auto" w:sz="4" w:space="0"/>
            </w:tcBorders>
            <w:vAlign w:val="center"/>
          </w:tcPr>
          <w:p w14:paraId="6310A8AB">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3</w:t>
            </w:r>
            <w:r>
              <w:rPr>
                <w:rFonts w:ascii="宋体" w:hAnsi="宋体" w:eastAsia="宋体" w:cs="Times New Roman"/>
                <w:color w:val="000000"/>
                <w:kern w:val="0"/>
                <w:szCs w:val="21"/>
              </w:rPr>
              <w:t>0%</w:t>
            </w:r>
          </w:p>
        </w:tc>
        <w:tc>
          <w:tcPr>
            <w:tcW w:w="1134" w:type="dxa"/>
            <w:vMerge w:val="continue"/>
            <w:tcBorders>
              <w:left w:val="single" w:color="auto" w:sz="4" w:space="0"/>
              <w:bottom w:val="single" w:color="auto" w:sz="4" w:space="0"/>
              <w:right w:val="single" w:color="auto" w:sz="4" w:space="0"/>
            </w:tcBorders>
            <w:vAlign w:val="center"/>
          </w:tcPr>
          <w:p w14:paraId="7083C228">
            <w:pPr>
              <w:widowControl/>
              <w:jc w:val="center"/>
              <w:rPr>
                <w:rFonts w:ascii="宋体" w:hAnsi="宋体" w:eastAsia="宋体" w:cs="Times New Roman"/>
                <w:color w:val="000000"/>
                <w:kern w:val="0"/>
                <w:szCs w:val="21"/>
              </w:rPr>
            </w:pPr>
          </w:p>
        </w:tc>
      </w:tr>
      <w:tr w14:paraId="06FD8167">
        <w:tblPrEx>
          <w:tblCellMar>
            <w:top w:w="0" w:type="dxa"/>
            <w:left w:w="108" w:type="dxa"/>
            <w:bottom w:w="0" w:type="dxa"/>
            <w:right w:w="108" w:type="dxa"/>
          </w:tblCellMar>
        </w:tblPrEx>
        <w:trPr>
          <w:trHeight w:val="340" w:hRule="atLeast"/>
        </w:trPr>
        <w:tc>
          <w:tcPr>
            <w:tcW w:w="2284" w:type="dxa"/>
            <w:vMerge w:val="restart"/>
            <w:tcBorders>
              <w:top w:val="single" w:color="auto" w:sz="4" w:space="0"/>
              <w:left w:val="single" w:color="auto" w:sz="4" w:space="0"/>
              <w:bottom w:val="single" w:color="auto" w:sz="4" w:space="0"/>
              <w:right w:val="single" w:color="auto" w:sz="4" w:space="0"/>
            </w:tcBorders>
            <w:vAlign w:val="center"/>
          </w:tcPr>
          <w:p w14:paraId="32D67A9A">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2</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5BBC7FF4">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2057" w:type="dxa"/>
            <w:tcBorders>
              <w:top w:val="single" w:color="auto" w:sz="4" w:space="0"/>
              <w:left w:val="single" w:color="auto" w:sz="4" w:space="0"/>
              <w:bottom w:val="single" w:color="auto" w:sz="4" w:space="0"/>
              <w:right w:val="single" w:color="auto" w:sz="4" w:space="0"/>
            </w:tcBorders>
            <w:vAlign w:val="center"/>
          </w:tcPr>
          <w:p w14:paraId="30E3959F">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476" w:type="dxa"/>
            <w:tcBorders>
              <w:top w:val="single" w:color="auto" w:sz="4" w:space="0"/>
              <w:left w:val="single" w:color="auto" w:sz="4" w:space="0"/>
              <w:bottom w:val="single" w:color="auto" w:sz="4" w:space="0"/>
              <w:right w:val="single" w:color="auto" w:sz="4" w:space="0"/>
            </w:tcBorders>
            <w:vAlign w:val="center"/>
          </w:tcPr>
          <w:p w14:paraId="0DE77CBD">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20% </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23951B9F">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40944E45">
        <w:tblPrEx>
          <w:tblCellMar>
            <w:top w:w="0" w:type="dxa"/>
            <w:left w:w="108" w:type="dxa"/>
            <w:bottom w:w="0" w:type="dxa"/>
            <w:right w:w="108" w:type="dxa"/>
          </w:tblCellMar>
        </w:tblPrEx>
        <w:trPr>
          <w:trHeight w:val="340"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47D40A60">
            <w:pPr>
              <w:widowControl/>
              <w:jc w:val="center"/>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7C389DFA">
            <w:pPr>
              <w:widowControl/>
              <w:jc w:val="center"/>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33438293">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课堂教学实习</w:t>
            </w:r>
          </w:p>
        </w:tc>
        <w:tc>
          <w:tcPr>
            <w:tcW w:w="1476" w:type="dxa"/>
            <w:tcBorders>
              <w:top w:val="single" w:color="auto" w:sz="4" w:space="0"/>
              <w:left w:val="single" w:color="auto" w:sz="4" w:space="0"/>
              <w:bottom w:val="single" w:color="auto" w:sz="4" w:space="0"/>
              <w:right w:val="single" w:color="auto" w:sz="4" w:space="0"/>
            </w:tcBorders>
            <w:vAlign w:val="center"/>
          </w:tcPr>
          <w:p w14:paraId="20BA8921">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4</w:t>
            </w:r>
            <w:r>
              <w:rPr>
                <w:rFonts w:ascii="宋体" w:hAnsi="宋体" w:eastAsia="宋体" w:cs="Times New Roman"/>
                <w:color w:val="000000"/>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F5D20EB">
            <w:pPr>
              <w:widowControl/>
              <w:jc w:val="center"/>
              <w:rPr>
                <w:rFonts w:ascii="宋体" w:hAnsi="宋体" w:eastAsia="宋体" w:cs="Times New Roman"/>
                <w:color w:val="000000"/>
                <w:kern w:val="0"/>
                <w:szCs w:val="21"/>
              </w:rPr>
            </w:pPr>
          </w:p>
        </w:tc>
      </w:tr>
      <w:tr w14:paraId="022C3013">
        <w:tblPrEx>
          <w:tblCellMar>
            <w:top w:w="0" w:type="dxa"/>
            <w:left w:w="108" w:type="dxa"/>
            <w:bottom w:w="0" w:type="dxa"/>
            <w:right w:w="108" w:type="dxa"/>
          </w:tblCellMar>
        </w:tblPrEx>
        <w:trPr>
          <w:trHeight w:val="340"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332DFC88">
            <w:pPr>
              <w:widowControl/>
              <w:jc w:val="left"/>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51B2EBD6">
            <w:pPr>
              <w:widowControl/>
              <w:jc w:val="left"/>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286EC908">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班主任工作实习</w:t>
            </w:r>
          </w:p>
        </w:tc>
        <w:tc>
          <w:tcPr>
            <w:tcW w:w="1476" w:type="dxa"/>
            <w:tcBorders>
              <w:top w:val="single" w:color="auto" w:sz="4" w:space="0"/>
              <w:left w:val="single" w:color="auto" w:sz="4" w:space="0"/>
              <w:bottom w:val="single" w:color="auto" w:sz="4" w:space="0"/>
              <w:right w:val="single" w:color="auto" w:sz="4" w:space="0"/>
            </w:tcBorders>
            <w:vAlign w:val="center"/>
          </w:tcPr>
          <w:p w14:paraId="5597F440">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40%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3ED131">
            <w:pPr>
              <w:widowControl/>
              <w:jc w:val="center"/>
              <w:rPr>
                <w:rFonts w:ascii="宋体" w:hAnsi="宋体" w:eastAsia="宋体" w:cs="Times New Roman"/>
                <w:color w:val="000000"/>
                <w:kern w:val="0"/>
                <w:szCs w:val="21"/>
              </w:rPr>
            </w:pPr>
          </w:p>
        </w:tc>
      </w:tr>
      <w:tr w14:paraId="38B76EBB">
        <w:tblPrEx>
          <w:tblCellMar>
            <w:top w:w="0" w:type="dxa"/>
            <w:left w:w="108" w:type="dxa"/>
            <w:bottom w:w="0" w:type="dxa"/>
            <w:right w:w="108" w:type="dxa"/>
          </w:tblCellMar>
        </w:tblPrEx>
        <w:trPr>
          <w:trHeight w:val="340" w:hRule="atLeast"/>
        </w:trPr>
        <w:tc>
          <w:tcPr>
            <w:tcW w:w="2284" w:type="dxa"/>
            <w:vMerge w:val="restart"/>
            <w:tcBorders>
              <w:top w:val="single" w:color="auto" w:sz="4" w:space="0"/>
              <w:left w:val="single" w:color="auto" w:sz="4" w:space="0"/>
              <w:bottom w:val="single" w:color="auto" w:sz="4" w:space="0"/>
              <w:right w:val="single" w:color="auto" w:sz="4" w:space="0"/>
            </w:tcBorders>
            <w:vAlign w:val="center"/>
          </w:tcPr>
          <w:p w14:paraId="52F91209">
            <w:pPr>
              <w:widowControl/>
              <w:jc w:val="center"/>
              <w:rPr>
                <w:rFonts w:ascii="宋体" w:hAnsi="宋体" w:eastAsia="宋体" w:cs="Times New Roman"/>
                <w:color w:val="000000"/>
                <w:kern w:val="0"/>
                <w:szCs w:val="21"/>
              </w:rPr>
            </w:pPr>
          </w:p>
          <w:p w14:paraId="6276D543">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3</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2BDCCFB1">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w:t>
            </w:r>
          </w:p>
        </w:tc>
        <w:tc>
          <w:tcPr>
            <w:tcW w:w="2057" w:type="dxa"/>
            <w:tcBorders>
              <w:top w:val="single" w:color="auto" w:sz="4" w:space="0"/>
              <w:left w:val="single" w:color="auto" w:sz="4" w:space="0"/>
              <w:bottom w:val="single" w:color="auto" w:sz="4" w:space="0"/>
              <w:right w:val="single" w:color="auto" w:sz="4" w:space="0"/>
            </w:tcBorders>
            <w:vAlign w:val="center"/>
          </w:tcPr>
          <w:p w14:paraId="76F7029E">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平时成绩</w:t>
            </w:r>
          </w:p>
        </w:tc>
        <w:tc>
          <w:tcPr>
            <w:tcW w:w="1476" w:type="dxa"/>
            <w:tcBorders>
              <w:top w:val="single" w:color="auto" w:sz="4" w:space="0"/>
              <w:left w:val="single" w:color="auto" w:sz="4" w:space="0"/>
              <w:bottom w:val="single" w:color="auto" w:sz="4" w:space="0"/>
              <w:right w:val="single" w:color="auto" w:sz="4" w:space="0"/>
            </w:tcBorders>
            <w:vAlign w:val="center"/>
          </w:tcPr>
          <w:p w14:paraId="38B5D8E7">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587BCE3A">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1F287A4A">
        <w:tblPrEx>
          <w:tblCellMar>
            <w:top w:w="0" w:type="dxa"/>
            <w:left w:w="108" w:type="dxa"/>
            <w:bottom w:w="0" w:type="dxa"/>
            <w:right w:w="108" w:type="dxa"/>
          </w:tblCellMar>
        </w:tblPrEx>
        <w:trPr>
          <w:trHeight w:val="340"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6C2EABDA">
            <w:pPr>
              <w:widowControl/>
              <w:jc w:val="center"/>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210C9C17">
            <w:pPr>
              <w:widowControl/>
              <w:jc w:val="center"/>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25BFBF8A">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课堂教学实习</w:t>
            </w:r>
          </w:p>
        </w:tc>
        <w:tc>
          <w:tcPr>
            <w:tcW w:w="1476" w:type="dxa"/>
            <w:tcBorders>
              <w:top w:val="single" w:color="auto" w:sz="4" w:space="0"/>
              <w:left w:val="single" w:color="auto" w:sz="4" w:space="0"/>
              <w:bottom w:val="single" w:color="auto" w:sz="4" w:space="0"/>
              <w:right w:val="single" w:color="auto" w:sz="4" w:space="0"/>
            </w:tcBorders>
            <w:vAlign w:val="center"/>
          </w:tcPr>
          <w:p w14:paraId="76C595F6">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5AC2B5">
            <w:pPr>
              <w:widowControl/>
              <w:jc w:val="center"/>
              <w:rPr>
                <w:rFonts w:ascii="宋体" w:hAnsi="宋体" w:eastAsia="宋体" w:cs="Times New Roman"/>
                <w:color w:val="000000"/>
                <w:kern w:val="0"/>
                <w:szCs w:val="21"/>
              </w:rPr>
            </w:pPr>
          </w:p>
        </w:tc>
      </w:tr>
      <w:tr w14:paraId="20D32789">
        <w:tblPrEx>
          <w:tblCellMar>
            <w:top w:w="0" w:type="dxa"/>
            <w:left w:w="108" w:type="dxa"/>
            <w:bottom w:w="0" w:type="dxa"/>
            <w:right w:w="108" w:type="dxa"/>
          </w:tblCellMar>
        </w:tblPrEx>
        <w:trPr>
          <w:trHeight w:val="340"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6007B740">
            <w:pPr>
              <w:widowControl/>
              <w:jc w:val="center"/>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272E5E49">
            <w:pPr>
              <w:widowControl/>
              <w:jc w:val="center"/>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57DFC564">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班主任工作实习</w:t>
            </w:r>
          </w:p>
        </w:tc>
        <w:tc>
          <w:tcPr>
            <w:tcW w:w="1476" w:type="dxa"/>
            <w:tcBorders>
              <w:top w:val="single" w:color="auto" w:sz="4" w:space="0"/>
              <w:left w:val="single" w:color="auto" w:sz="4" w:space="0"/>
              <w:bottom w:val="single" w:color="auto" w:sz="4" w:space="0"/>
              <w:right w:val="single" w:color="auto" w:sz="4" w:space="0"/>
            </w:tcBorders>
            <w:vAlign w:val="center"/>
          </w:tcPr>
          <w:p w14:paraId="40EB86B7">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w:t>
            </w:r>
            <w:r>
              <w:rPr>
                <w:rFonts w:ascii="宋体" w:hAnsi="宋体" w:eastAsia="宋体" w:cs="Times New Roman"/>
                <w:color w:val="000000"/>
                <w:kern w:val="0"/>
                <w:szCs w:val="21"/>
              </w:rPr>
              <w:t>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07B1CF1">
            <w:pPr>
              <w:widowControl/>
              <w:jc w:val="center"/>
              <w:rPr>
                <w:rFonts w:ascii="宋体" w:hAnsi="宋体" w:eastAsia="宋体" w:cs="Times New Roman"/>
                <w:color w:val="000000"/>
                <w:kern w:val="0"/>
                <w:szCs w:val="21"/>
              </w:rPr>
            </w:pPr>
          </w:p>
        </w:tc>
      </w:tr>
      <w:tr w14:paraId="02751FE2">
        <w:tblPrEx>
          <w:tblCellMar>
            <w:top w:w="0" w:type="dxa"/>
            <w:left w:w="108" w:type="dxa"/>
            <w:bottom w:w="0" w:type="dxa"/>
            <w:right w:w="108" w:type="dxa"/>
          </w:tblCellMar>
        </w:tblPrEx>
        <w:trPr>
          <w:trHeight w:val="315"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71228315">
            <w:pPr>
              <w:widowControl/>
              <w:jc w:val="left"/>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00680399">
            <w:pPr>
              <w:widowControl/>
              <w:jc w:val="left"/>
              <w:rPr>
                <w:rFonts w:ascii="宋体" w:hAnsi="宋体" w:eastAsia="宋体" w:cs="Times New Roman"/>
                <w:color w:val="000000"/>
                <w:kern w:val="0"/>
                <w:szCs w:val="21"/>
              </w:rPr>
            </w:pPr>
          </w:p>
        </w:tc>
        <w:tc>
          <w:tcPr>
            <w:tcW w:w="2057" w:type="dxa"/>
            <w:tcBorders>
              <w:top w:val="single" w:color="auto" w:sz="4" w:space="0"/>
              <w:left w:val="single" w:color="auto" w:sz="4" w:space="0"/>
              <w:bottom w:val="single" w:color="auto" w:sz="4" w:space="0"/>
              <w:right w:val="single" w:color="auto" w:sz="4" w:space="0"/>
            </w:tcBorders>
            <w:vAlign w:val="center"/>
          </w:tcPr>
          <w:p w14:paraId="14AB23AA">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调查报告</w:t>
            </w:r>
          </w:p>
        </w:tc>
        <w:tc>
          <w:tcPr>
            <w:tcW w:w="1476" w:type="dxa"/>
            <w:tcBorders>
              <w:top w:val="single" w:color="auto" w:sz="4" w:space="0"/>
              <w:left w:val="single" w:color="auto" w:sz="4" w:space="0"/>
              <w:bottom w:val="single" w:color="auto" w:sz="4" w:space="0"/>
              <w:right w:val="single" w:color="auto" w:sz="4" w:space="0"/>
            </w:tcBorders>
            <w:vAlign w:val="center"/>
          </w:tcPr>
          <w:p w14:paraId="7D40C0B8">
            <w:pPr>
              <w:jc w:val="center"/>
              <w:rPr>
                <w:rFonts w:ascii="宋体" w:hAnsi="宋体" w:eastAsia="宋体" w:cs="Times New Roman"/>
                <w:color w:val="000000"/>
                <w:kern w:val="0"/>
                <w:szCs w:val="21"/>
              </w:rPr>
            </w:pPr>
            <w:r>
              <w:rPr>
                <w:rFonts w:ascii="宋体" w:hAnsi="宋体" w:eastAsia="宋体" w:cs="Times New Roman"/>
                <w:color w:val="000000"/>
                <w:kern w:val="0"/>
                <w:szCs w:val="21"/>
              </w:rPr>
              <w:t>50%</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333688">
            <w:pPr>
              <w:widowControl/>
              <w:jc w:val="center"/>
              <w:rPr>
                <w:rFonts w:ascii="宋体" w:hAnsi="宋体" w:eastAsia="宋体" w:cs="Times New Roman"/>
                <w:color w:val="000000"/>
                <w:kern w:val="0"/>
                <w:szCs w:val="21"/>
              </w:rPr>
            </w:pPr>
          </w:p>
        </w:tc>
      </w:tr>
      <w:tr w14:paraId="2CC037E1">
        <w:tblPrEx>
          <w:tblCellMar>
            <w:top w:w="0" w:type="dxa"/>
            <w:left w:w="108" w:type="dxa"/>
            <w:bottom w:w="0" w:type="dxa"/>
            <w:right w:w="108" w:type="dxa"/>
          </w:tblCellMar>
        </w:tblPrEx>
        <w:trPr>
          <w:trHeight w:val="340" w:hRule="atLeast"/>
        </w:trPr>
        <w:tc>
          <w:tcPr>
            <w:tcW w:w="2284" w:type="dxa"/>
            <w:vMerge w:val="restart"/>
            <w:tcBorders>
              <w:top w:val="single" w:color="auto" w:sz="4" w:space="0"/>
              <w:left w:val="single" w:color="auto" w:sz="4" w:space="0"/>
              <w:bottom w:val="single" w:color="auto" w:sz="4" w:space="0"/>
              <w:right w:val="single" w:color="auto" w:sz="4" w:space="0"/>
            </w:tcBorders>
            <w:vAlign w:val="center"/>
          </w:tcPr>
          <w:p w14:paraId="512765F7">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w:t>
            </w:r>
            <w:r>
              <w:rPr>
                <w:rFonts w:ascii="宋体" w:hAnsi="宋体" w:eastAsia="宋体" w:cs="Times New Roman"/>
                <w:color w:val="000000"/>
                <w:kern w:val="0"/>
                <w:szCs w:val="21"/>
              </w:rPr>
              <w:t>4</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63AB5C30">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w:t>
            </w:r>
          </w:p>
        </w:tc>
        <w:tc>
          <w:tcPr>
            <w:tcW w:w="2057" w:type="dxa"/>
            <w:tcBorders>
              <w:top w:val="single" w:color="auto" w:sz="4" w:space="0"/>
              <w:left w:val="single" w:color="auto" w:sz="4" w:space="0"/>
              <w:bottom w:val="single" w:color="auto" w:sz="4" w:space="0"/>
              <w:right w:val="single" w:color="auto" w:sz="4" w:space="0"/>
            </w:tcBorders>
            <w:vAlign w:val="center"/>
          </w:tcPr>
          <w:p w14:paraId="6901EAB9">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课堂教学实习</w:t>
            </w:r>
          </w:p>
        </w:tc>
        <w:tc>
          <w:tcPr>
            <w:tcW w:w="1476" w:type="dxa"/>
            <w:tcBorders>
              <w:top w:val="single" w:color="auto" w:sz="4" w:space="0"/>
              <w:left w:val="single" w:color="auto" w:sz="4" w:space="0"/>
              <w:bottom w:val="single" w:color="auto" w:sz="4" w:space="0"/>
              <w:right w:val="single" w:color="auto" w:sz="4" w:space="0"/>
            </w:tcBorders>
            <w:vAlign w:val="center"/>
          </w:tcPr>
          <w:p w14:paraId="544B1B11">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60%</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0899B8FC">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r>
      <w:tr w14:paraId="3A8B0ECC">
        <w:tblPrEx>
          <w:tblCellMar>
            <w:top w:w="0" w:type="dxa"/>
            <w:left w:w="108" w:type="dxa"/>
            <w:bottom w:w="0" w:type="dxa"/>
            <w:right w:w="108" w:type="dxa"/>
          </w:tblCellMar>
        </w:tblPrEx>
        <w:trPr>
          <w:trHeight w:val="367" w:hRule="atLeast"/>
        </w:trPr>
        <w:tc>
          <w:tcPr>
            <w:tcW w:w="2284" w:type="dxa"/>
            <w:vMerge w:val="continue"/>
            <w:tcBorders>
              <w:top w:val="single" w:color="auto" w:sz="4" w:space="0"/>
              <w:left w:val="single" w:color="auto" w:sz="4" w:space="0"/>
              <w:bottom w:val="single" w:color="auto" w:sz="4" w:space="0"/>
              <w:right w:val="single" w:color="auto" w:sz="4" w:space="0"/>
            </w:tcBorders>
            <w:vAlign w:val="center"/>
          </w:tcPr>
          <w:p w14:paraId="684C6563">
            <w:pPr>
              <w:widowControl/>
              <w:jc w:val="left"/>
              <w:rPr>
                <w:rFonts w:ascii="宋体" w:hAnsi="宋体" w:eastAsia="宋体" w:cs="Times New Roman"/>
                <w:color w:val="000000"/>
                <w:kern w:val="0"/>
                <w:szCs w:val="21"/>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5A7B3B8F">
            <w:pPr>
              <w:widowControl/>
              <w:jc w:val="left"/>
              <w:rPr>
                <w:rFonts w:ascii="宋体" w:hAnsi="宋体" w:eastAsia="宋体" w:cs="Times New Roman"/>
                <w:color w:val="000000"/>
                <w:kern w:val="0"/>
                <w:szCs w:val="21"/>
              </w:rPr>
            </w:pPr>
          </w:p>
        </w:tc>
        <w:tc>
          <w:tcPr>
            <w:tcW w:w="2057" w:type="dxa"/>
            <w:tcBorders>
              <w:top w:val="single" w:color="auto" w:sz="4" w:space="0"/>
              <w:left w:val="single" w:color="auto" w:sz="4" w:space="0"/>
              <w:right w:val="single" w:color="auto" w:sz="4" w:space="0"/>
            </w:tcBorders>
            <w:vAlign w:val="center"/>
          </w:tcPr>
          <w:p w14:paraId="530BF4B9">
            <w:pPr>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班主任工作实习</w:t>
            </w:r>
          </w:p>
        </w:tc>
        <w:tc>
          <w:tcPr>
            <w:tcW w:w="1476" w:type="dxa"/>
            <w:tcBorders>
              <w:top w:val="single" w:color="auto" w:sz="4" w:space="0"/>
              <w:left w:val="single" w:color="auto" w:sz="4" w:space="0"/>
              <w:right w:val="single" w:color="auto" w:sz="4" w:space="0"/>
            </w:tcBorders>
            <w:vAlign w:val="center"/>
          </w:tcPr>
          <w:p w14:paraId="367F5746">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 xml:space="preserve">40% </w:t>
            </w:r>
          </w:p>
        </w:tc>
        <w:tc>
          <w:tcPr>
            <w:tcW w:w="1134" w:type="dxa"/>
            <w:vMerge w:val="continue"/>
            <w:tcBorders>
              <w:top w:val="single" w:color="auto" w:sz="4" w:space="0"/>
              <w:left w:val="single" w:color="auto" w:sz="4" w:space="0"/>
              <w:bottom w:val="single" w:color="auto" w:sz="4" w:space="0"/>
              <w:right w:val="single" w:color="auto" w:sz="4" w:space="0"/>
            </w:tcBorders>
          </w:tcPr>
          <w:p w14:paraId="2AAD60A9">
            <w:pPr>
              <w:widowControl/>
              <w:jc w:val="center"/>
              <w:rPr>
                <w:rFonts w:ascii="宋体" w:hAnsi="宋体" w:eastAsia="宋体" w:cs="Times New Roman"/>
                <w:color w:val="000000"/>
                <w:kern w:val="0"/>
                <w:szCs w:val="21"/>
              </w:rPr>
            </w:pPr>
          </w:p>
        </w:tc>
      </w:tr>
      <w:tr w14:paraId="5CEEC7A7">
        <w:tblPrEx>
          <w:tblCellMar>
            <w:top w:w="0" w:type="dxa"/>
            <w:left w:w="108" w:type="dxa"/>
            <w:bottom w:w="0" w:type="dxa"/>
            <w:right w:w="108" w:type="dxa"/>
          </w:tblCellMar>
        </w:tblPrEx>
        <w:trPr>
          <w:trHeight w:val="411" w:hRule="atLeast"/>
        </w:trPr>
        <w:tc>
          <w:tcPr>
            <w:tcW w:w="2284" w:type="dxa"/>
            <w:tcBorders>
              <w:top w:val="single" w:color="auto" w:sz="4" w:space="0"/>
              <w:left w:val="single" w:color="auto" w:sz="4" w:space="0"/>
              <w:bottom w:val="single" w:color="auto" w:sz="4" w:space="0"/>
              <w:right w:val="single" w:color="auto" w:sz="4" w:space="0"/>
            </w:tcBorders>
            <w:vAlign w:val="center"/>
          </w:tcPr>
          <w:p w14:paraId="3D73252D">
            <w:pPr>
              <w:widowControl/>
              <w:jc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课程目标权重合计</w:t>
            </w:r>
          </w:p>
        </w:tc>
        <w:tc>
          <w:tcPr>
            <w:tcW w:w="1255" w:type="dxa"/>
            <w:tcBorders>
              <w:top w:val="single" w:color="auto" w:sz="4" w:space="0"/>
              <w:left w:val="single" w:color="auto" w:sz="4" w:space="0"/>
              <w:bottom w:val="single" w:color="auto" w:sz="4" w:space="0"/>
              <w:right w:val="single" w:color="auto" w:sz="4" w:space="0"/>
            </w:tcBorders>
            <w:vAlign w:val="center"/>
          </w:tcPr>
          <w:p w14:paraId="14B50165">
            <w:pPr>
              <w:widowControl/>
              <w:jc w:val="center"/>
              <w:rPr>
                <w:rFonts w:ascii="宋体" w:hAnsi="宋体" w:eastAsia="宋体" w:cs="Times New Roman"/>
                <w:color w:val="000000"/>
                <w:kern w:val="0"/>
                <w:szCs w:val="21"/>
              </w:rPr>
            </w:pPr>
            <w:r>
              <w:rPr>
                <w:rFonts w:ascii="宋体" w:hAnsi="宋体" w:eastAsia="宋体" w:cs="Times New Roman"/>
                <w:color w:val="000000"/>
                <w:kern w:val="0"/>
                <w:szCs w:val="21"/>
              </w:rPr>
              <w:t>100%</w:t>
            </w:r>
          </w:p>
        </w:tc>
        <w:tc>
          <w:tcPr>
            <w:tcW w:w="4667" w:type="dxa"/>
            <w:gridSpan w:val="3"/>
            <w:tcBorders>
              <w:top w:val="single" w:color="auto" w:sz="4" w:space="0"/>
              <w:left w:val="single" w:color="auto" w:sz="4" w:space="0"/>
              <w:bottom w:val="single" w:color="auto" w:sz="4" w:space="0"/>
              <w:right w:val="single" w:color="auto" w:sz="4" w:space="0"/>
            </w:tcBorders>
            <w:vAlign w:val="center"/>
          </w:tcPr>
          <w:p w14:paraId="51752095">
            <w:pPr>
              <w:widowControl/>
              <w:jc w:val="center"/>
              <w:rPr>
                <w:rFonts w:ascii="宋体" w:hAnsi="宋体" w:eastAsia="宋体" w:cs="Times New Roman"/>
                <w:color w:val="000000"/>
                <w:kern w:val="0"/>
                <w:szCs w:val="21"/>
              </w:rPr>
            </w:pPr>
          </w:p>
        </w:tc>
      </w:tr>
    </w:tbl>
    <w:p w14:paraId="05F8305F">
      <w:pPr>
        <w:spacing w:line="360" w:lineRule="auto"/>
        <w:ind w:firstLine="480"/>
        <w:rPr>
          <w:rFonts w:ascii="宋体" w:hAnsi="宋体" w:eastAsia="宋体" w:cs="Times New Roman"/>
          <w:color w:val="000000"/>
          <w:sz w:val="24"/>
          <w:szCs w:val="24"/>
        </w:rPr>
      </w:pPr>
    </w:p>
    <w:p w14:paraId="560EB590">
      <w:pPr>
        <w:spacing w:line="360" w:lineRule="auto"/>
        <w:ind w:firstLine="480"/>
        <w:rPr>
          <w:rFonts w:ascii="宋体" w:hAnsi="Times New Roman" w:eastAsia="宋体" w:cs="Times New Roman"/>
          <w:color w:val="000000"/>
          <w:sz w:val="24"/>
          <w:szCs w:val="24"/>
        </w:rPr>
      </w:pPr>
      <w:r>
        <w:rPr>
          <w:rFonts w:hint="eastAsia" w:ascii="宋体" w:hAnsi="宋体" w:eastAsia="宋体" w:cs="Times New Roman"/>
          <w:color w:val="000000"/>
          <w:sz w:val="24"/>
          <w:szCs w:val="24"/>
        </w:rPr>
        <w:t>课程各目标达成度均需大于等于</w:t>
      </w:r>
      <w:r>
        <w:rPr>
          <w:rFonts w:ascii="宋体" w:hAnsi="宋体" w:eastAsia="宋体" w:cs="Times New Roman"/>
          <w:color w:val="000000"/>
          <w:sz w:val="24"/>
          <w:szCs w:val="24"/>
        </w:rPr>
        <w:t>0.6</w:t>
      </w:r>
      <w:r>
        <w:rPr>
          <w:rFonts w:hint="eastAsia" w:ascii="宋体" w:hAnsi="宋体" w:eastAsia="宋体" w:cs="Times New Roman"/>
          <w:color w:val="000000"/>
          <w:sz w:val="24"/>
          <w:szCs w:val="24"/>
        </w:rPr>
        <w:t>，否则总评成绩不及格，需要重修。课程目标总体达成度计算方法如下：</w:t>
      </w:r>
    </w:p>
    <w:p w14:paraId="424C750F">
      <w:pPr>
        <w:spacing w:line="360" w:lineRule="auto"/>
        <w:rPr>
          <w:rFonts w:ascii="宋体" w:hAnsi="Times New Roman" w:eastAsia="宋体" w:cs="Times New Roman"/>
          <w:color w:val="000000"/>
          <w:sz w:val="24"/>
          <w:szCs w:val="24"/>
        </w:rPr>
      </w:pPr>
      <w:r>
        <w:rPr>
          <w:rFonts w:ascii="宋体" w:hAnsi="Times New Roman" w:eastAsia="宋体" w:cs="Times New Roman"/>
          <w:color w:val="000000"/>
          <w:sz w:val="24"/>
          <w:szCs w:val="24"/>
        </w:rPr>
        <w:drawing>
          <wp:inline distT="0" distB="0" distL="0" distR="0">
            <wp:extent cx="5759450" cy="374650"/>
            <wp:effectExtent l="0" t="0" r="635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59450" cy="374650"/>
                    </a:xfrm>
                    <a:prstGeom prst="rect">
                      <a:avLst/>
                    </a:prstGeom>
                    <a:noFill/>
                    <a:ln>
                      <a:noFill/>
                    </a:ln>
                  </pic:spPr>
                </pic:pic>
              </a:graphicData>
            </a:graphic>
          </wp:inline>
        </w:drawing>
      </w:r>
    </w:p>
    <w:p w14:paraId="2975646B">
      <w:pPr>
        <w:spacing w:line="360" w:lineRule="auto"/>
        <w:ind w:firstLine="482" w:firstLineChars="200"/>
        <w:rPr>
          <w:rFonts w:ascii="宋体" w:hAnsi="宋体" w:eastAsia="宋体" w:cs="Times New Roman"/>
          <w:b/>
          <w:color w:val="000000"/>
          <w:sz w:val="24"/>
          <w:szCs w:val="24"/>
        </w:rPr>
      </w:pPr>
    </w:p>
    <w:p w14:paraId="154BA621">
      <w:pPr>
        <w:spacing w:line="360" w:lineRule="auto"/>
        <w:ind w:firstLine="562" w:firstLineChars="200"/>
        <w:rPr>
          <w:rFonts w:ascii="宋体" w:hAnsi="Times New Roman" w:eastAsia="宋体" w:cs="Times New Roman"/>
          <w:b/>
          <w:sz w:val="28"/>
          <w:szCs w:val="28"/>
        </w:rPr>
      </w:pPr>
      <w:r>
        <w:rPr>
          <w:rFonts w:hint="eastAsia" w:ascii="宋体" w:hAnsi="宋体" w:eastAsia="宋体" w:cs="Times New Roman"/>
          <w:b/>
          <w:color w:val="000000"/>
          <w:sz w:val="28"/>
          <w:szCs w:val="28"/>
        </w:rPr>
        <w:t>六、课程参考书</w:t>
      </w:r>
    </w:p>
    <w:p w14:paraId="2A6DD25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1．义务教育各学科课程标准，2012</w:t>
      </w:r>
    </w:p>
    <w:p w14:paraId="5E9559F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2．部编版小学各年级教材。</w:t>
      </w:r>
    </w:p>
    <w:p w14:paraId="0066B56D">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rPr>
        <w:t>3．</w:t>
      </w:r>
      <w:r>
        <w:rPr>
          <w:rFonts w:hint="eastAsia" w:ascii="宋体" w:hAnsi="宋体" w:eastAsia="宋体" w:cs="Times New Roman"/>
          <w:sz w:val="24"/>
          <w:szCs w:val="24"/>
          <w:lang w:val="en-US" w:eastAsia="zh-CN"/>
        </w:rPr>
        <w:t>苗凤华</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教育实习指南</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科学</w:t>
      </w:r>
      <w:r>
        <w:rPr>
          <w:rFonts w:hint="eastAsia" w:ascii="宋体" w:hAnsi="宋体" w:eastAsia="宋体" w:cs="Times New Roman"/>
          <w:sz w:val="24"/>
          <w:szCs w:val="24"/>
        </w:rPr>
        <w:t>出版社，</w:t>
      </w:r>
      <w:r>
        <w:rPr>
          <w:rFonts w:ascii="宋体" w:hAnsi="宋体" w:eastAsia="宋体" w:cs="Times New Roman"/>
          <w:sz w:val="24"/>
          <w:szCs w:val="24"/>
        </w:rPr>
        <w:t>201</w:t>
      </w:r>
      <w:r>
        <w:rPr>
          <w:rFonts w:hint="eastAsia" w:ascii="宋体" w:hAnsi="宋体" w:eastAsia="宋体" w:cs="Times New Roman"/>
          <w:sz w:val="24"/>
          <w:szCs w:val="24"/>
          <w:lang w:val="en-US" w:eastAsia="zh-CN"/>
        </w:rPr>
        <w:t>8.</w:t>
      </w:r>
    </w:p>
    <w:p w14:paraId="46207680">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 侯宏业，薛微微.小学教育实习手册.南京大学出版社，2021.</w:t>
      </w:r>
    </w:p>
    <w:p w14:paraId="562877D6">
      <w:pPr>
        <w:spacing w:line="360" w:lineRule="auto"/>
        <w:rPr>
          <w:rFonts w:ascii="宋体" w:hAnsi="宋体" w:eastAsia="宋体" w:cs="Times New Roman"/>
          <w:color w:val="000000"/>
          <w:sz w:val="24"/>
          <w:szCs w:val="24"/>
        </w:rPr>
      </w:pPr>
    </w:p>
    <w:p w14:paraId="52F9DB7B">
      <w:pPr>
        <w:spacing w:line="360" w:lineRule="auto"/>
        <w:rPr>
          <w:rFonts w:ascii="宋体" w:hAnsi="Times New Roman"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执笔人：</w:t>
      </w:r>
      <w:r>
        <w:rPr>
          <w:rFonts w:hint="eastAsia" w:ascii="宋体" w:hAnsi="宋体" w:eastAsia="宋体" w:cs="Times New Roman"/>
          <w:color w:val="000000"/>
          <w:sz w:val="24"/>
          <w:szCs w:val="24"/>
          <w:lang w:val="en-US" w:eastAsia="zh-CN"/>
        </w:rPr>
        <w:t>谢国忠</w:t>
      </w:r>
      <w:r>
        <w:rPr>
          <w:rFonts w:ascii="宋体" w:hAnsi="Times New Roman" w:eastAsia="宋体" w:cs="Times New Roman"/>
          <w:color w:val="000000"/>
          <w:sz w:val="24"/>
          <w:szCs w:val="24"/>
        </w:rPr>
        <w:t xml:space="preserve"> </w:t>
      </w:r>
    </w:p>
    <w:p w14:paraId="42F91591">
      <w:pPr>
        <w:spacing w:line="360" w:lineRule="auto"/>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审定人：</w:t>
      </w:r>
      <w:r>
        <w:rPr>
          <w:rFonts w:hint="eastAsia" w:ascii="宋体" w:hAnsi="宋体" w:eastAsia="宋体" w:cs="Times New Roman"/>
          <w:color w:val="000000"/>
          <w:sz w:val="24"/>
          <w:szCs w:val="24"/>
          <w:lang w:val="en-US" w:eastAsia="zh-CN"/>
        </w:rPr>
        <w:t>张志欣</w:t>
      </w:r>
    </w:p>
    <w:p w14:paraId="56117EB1">
      <w:pPr>
        <w:widowControl/>
        <w:ind w:left="5280" w:hanging="5280" w:hangingChars="2200"/>
        <w:jc w:val="left"/>
        <w:rPr>
          <w:rFonts w:ascii="宋体" w:hAnsi="宋体" w:eastAsia="宋体" w:cs="Times New Roman"/>
          <w:color w:val="000000"/>
          <w:sz w:val="24"/>
          <w:szCs w:val="24"/>
        </w:rPr>
      </w:pP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审批人：</w:t>
      </w:r>
      <w:r>
        <w:rPr>
          <w:rFonts w:hint="eastAsia" w:ascii="宋体" w:hAnsi="宋体" w:eastAsia="宋体" w:cs="Times New Roman"/>
          <w:color w:val="000000"/>
          <w:sz w:val="24"/>
          <w:szCs w:val="24"/>
          <w:lang w:val="en-US" w:eastAsia="zh-CN"/>
        </w:rPr>
        <w:t>张建波</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批准时间：202</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年8月30日</w:t>
      </w:r>
    </w:p>
    <w:p w14:paraId="2DE53298">
      <w:pPr>
        <w:widowControl/>
        <w:jc w:val="left"/>
        <w:rPr>
          <w:rFonts w:ascii="宋体" w:hAnsi="宋体" w:eastAsia="宋体" w:cs="Times New Roman"/>
          <w:color w:val="000000"/>
          <w:sz w:val="24"/>
          <w:szCs w:val="24"/>
        </w:rPr>
      </w:pPr>
    </w:p>
    <w:p w14:paraId="44876DF9">
      <w:pPr>
        <w:spacing w:line="312" w:lineRule="auto"/>
        <w:jc w:val="center"/>
        <w:outlineLvl w:val="0"/>
        <w:rPr>
          <w:rFonts w:hint="eastAsia" w:ascii="宋体" w:hAnsi="宋体" w:eastAsia="宋体" w:cs="Times New Roman"/>
          <w:b/>
          <w:bCs/>
          <w:sz w:val="30"/>
          <w:szCs w:val="24"/>
        </w:rPr>
      </w:pPr>
    </w:p>
    <w:p w14:paraId="55AFC9CE">
      <w:pPr>
        <w:spacing w:line="312" w:lineRule="auto"/>
        <w:jc w:val="center"/>
        <w:outlineLvl w:val="0"/>
        <w:rPr>
          <w:rFonts w:hint="eastAsia" w:ascii="宋体" w:hAnsi="宋体" w:eastAsia="宋体" w:cs="Times New Roman"/>
          <w:b/>
          <w:bCs/>
          <w:sz w:val="30"/>
          <w:szCs w:val="24"/>
        </w:rPr>
      </w:pPr>
    </w:p>
    <w:p w14:paraId="3EC5C112">
      <w:pPr>
        <w:spacing w:line="312" w:lineRule="auto"/>
        <w:jc w:val="center"/>
        <w:outlineLvl w:val="0"/>
        <w:rPr>
          <w:rFonts w:hint="eastAsia" w:ascii="宋体" w:hAnsi="宋体" w:eastAsia="宋体" w:cs="Times New Roman"/>
          <w:b/>
          <w:bCs/>
          <w:sz w:val="30"/>
          <w:szCs w:val="24"/>
        </w:rPr>
      </w:pPr>
    </w:p>
    <w:p w14:paraId="1BC73719">
      <w:pPr>
        <w:spacing w:line="312" w:lineRule="auto"/>
        <w:jc w:val="center"/>
        <w:outlineLvl w:val="0"/>
        <w:rPr>
          <w:rFonts w:hint="eastAsia" w:ascii="宋体" w:hAnsi="宋体" w:eastAsia="宋体" w:cs="Times New Roman"/>
          <w:b/>
          <w:bCs/>
          <w:sz w:val="30"/>
          <w:szCs w:val="24"/>
        </w:rPr>
      </w:pPr>
    </w:p>
    <w:p w14:paraId="7780EA75">
      <w:pPr>
        <w:spacing w:line="312" w:lineRule="auto"/>
        <w:jc w:val="center"/>
        <w:outlineLvl w:val="0"/>
        <w:rPr>
          <w:rFonts w:hint="eastAsia" w:ascii="宋体" w:hAnsi="宋体" w:eastAsia="宋体" w:cs="Times New Roman"/>
          <w:b/>
          <w:bCs/>
          <w:sz w:val="30"/>
          <w:szCs w:val="24"/>
        </w:rPr>
      </w:pPr>
    </w:p>
    <w:p w14:paraId="0BB46371">
      <w:pPr>
        <w:spacing w:line="312" w:lineRule="auto"/>
        <w:jc w:val="center"/>
        <w:outlineLvl w:val="0"/>
        <w:rPr>
          <w:rFonts w:hint="eastAsia" w:ascii="宋体" w:hAnsi="宋体" w:eastAsia="宋体" w:cs="Times New Roman"/>
          <w:b/>
          <w:bCs/>
          <w:sz w:val="30"/>
          <w:szCs w:val="24"/>
        </w:rPr>
      </w:pPr>
    </w:p>
    <w:bookmarkEnd w:id="333"/>
    <w:p w14:paraId="53AA7B7C">
      <w:pPr>
        <w:spacing w:line="312" w:lineRule="auto"/>
        <w:jc w:val="center"/>
        <w:outlineLvl w:val="0"/>
        <w:rPr>
          <w:rFonts w:ascii="宋体" w:hAnsi="宋体" w:eastAsia="宋体" w:cs="Times New Roman"/>
          <w:b/>
          <w:bCs/>
          <w:sz w:val="30"/>
          <w:szCs w:val="24"/>
        </w:rPr>
      </w:pPr>
      <w:bookmarkStart w:id="335" w:name="_Toc166164901"/>
      <w:bookmarkStart w:id="336" w:name="_Toc166165242"/>
      <w:bookmarkStart w:id="337" w:name="_Toc57017212"/>
      <w:r>
        <w:rPr>
          <w:rFonts w:hint="eastAsia" w:ascii="宋体" w:hAnsi="宋体" w:eastAsia="宋体" w:cs="Times New Roman"/>
          <w:b/>
          <w:bCs/>
          <w:sz w:val="30"/>
          <w:szCs w:val="24"/>
        </w:rPr>
        <w:t>教育实习</w:t>
      </w:r>
      <w:r>
        <w:rPr>
          <w:rFonts w:ascii="宋体" w:hAnsi="宋体" w:eastAsia="宋体" w:cs="Times New Roman"/>
          <w:b/>
          <w:bCs/>
          <w:sz w:val="30"/>
          <w:szCs w:val="24"/>
        </w:rPr>
        <w:t>II</w:t>
      </w:r>
      <w:r>
        <w:rPr>
          <w:rFonts w:hint="eastAsia" w:ascii="宋体" w:hAnsi="宋体" w:eastAsia="宋体" w:cs="Times New Roman"/>
          <w:b/>
          <w:bCs/>
          <w:sz w:val="30"/>
          <w:szCs w:val="24"/>
        </w:rPr>
        <w:t>课程</w:t>
      </w:r>
      <w:r>
        <w:rPr>
          <w:rFonts w:ascii="宋体" w:hAnsi="宋体" w:eastAsia="宋体" w:cs="Times New Roman"/>
          <w:b/>
          <w:bCs/>
          <w:sz w:val="30"/>
          <w:szCs w:val="24"/>
        </w:rPr>
        <w:t>教学大纲</w:t>
      </w:r>
      <w:bookmarkEnd w:id="335"/>
    </w:p>
    <w:p w14:paraId="023E9A35">
      <w:pPr>
        <w:spacing w:line="440" w:lineRule="exact"/>
        <w:jc w:val="center"/>
        <w:rPr>
          <w:rFonts w:ascii="Times New Roman" w:hAnsi="Times New Roman" w:eastAsia="宋体" w:cs="Times New Roman"/>
          <w:sz w:val="24"/>
          <w:szCs w:val="24"/>
        </w:rPr>
      </w:pPr>
      <w:r>
        <w:rPr>
          <w:rFonts w:ascii="宋体" w:hAnsi="宋体" w:eastAsia="宋体" w:cs="Times New Roman"/>
          <w:b/>
          <w:bCs/>
          <w:sz w:val="30"/>
          <w:szCs w:val="24"/>
        </w:rPr>
        <w:t xml:space="preserve">（Educational </w:t>
      </w:r>
      <w:r>
        <w:rPr>
          <w:rFonts w:hint="eastAsia" w:ascii="宋体" w:hAnsi="宋体" w:eastAsia="宋体" w:cs="Times New Roman"/>
          <w:b/>
          <w:bCs/>
          <w:sz w:val="30"/>
          <w:szCs w:val="24"/>
        </w:rPr>
        <w:t>Practice</w:t>
      </w:r>
      <w:r>
        <w:rPr>
          <w:rFonts w:ascii="宋体" w:hAnsi="宋体" w:eastAsia="宋体" w:cs="Times New Roman"/>
          <w:b/>
          <w:bCs/>
          <w:sz w:val="30"/>
          <w:szCs w:val="24"/>
        </w:rPr>
        <w:t xml:space="preserve"> </w:t>
      </w:r>
      <w:r>
        <w:rPr>
          <w:rFonts w:hint="eastAsia" w:ascii="宋体" w:hAnsi="宋体" w:eastAsia="宋体" w:cs="Times New Roman"/>
          <w:b/>
          <w:bCs/>
          <w:sz w:val="30"/>
          <w:szCs w:val="24"/>
        </w:rPr>
        <w:fldChar w:fldCharType="begin"/>
      </w:r>
      <w:r>
        <w:rPr>
          <w:rFonts w:hint="eastAsia" w:ascii="宋体" w:hAnsi="宋体" w:eastAsia="宋体" w:cs="Times New Roman"/>
          <w:b/>
          <w:bCs/>
          <w:sz w:val="30"/>
          <w:szCs w:val="24"/>
        </w:rPr>
        <w:instrText xml:space="preserve"> = 2 \* ROMAN \* MERGEFORMAT </w:instrText>
      </w:r>
      <w:r>
        <w:rPr>
          <w:rFonts w:hint="eastAsia" w:ascii="宋体" w:hAnsi="宋体" w:eastAsia="宋体" w:cs="Times New Roman"/>
          <w:b/>
          <w:bCs/>
          <w:sz w:val="30"/>
          <w:szCs w:val="24"/>
        </w:rPr>
        <w:fldChar w:fldCharType="separate"/>
      </w:r>
      <w:r>
        <w:rPr>
          <w:rFonts w:hint="eastAsia" w:ascii="宋体" w:hAnsi="宋体" w:eastAsia="宋体" w:cs="Times New Roman"/>
          <w:b/>
          <w:bCs/>
          <w:sz w:val="30"/>
          <w:szCs w:val="24"/>
        </w:rPr>
        <w:t>II</w:t>
      </w:r>
      <w:r>
        <w:rPr>
          <w:rFonts w:hint="eastAsia" w:ascii="宋体" w:hAnsi="宋体" w:eastAsia="宋体" w:cs="Times New Roman"/>
          <w:b/>
          <w:bCs/>
          <w:sz w:val="30"/>
          <w:szCs w:val="24"/>
        </w:rPr>
        <w:fldChar w:fldCharType="end"/>
      </w:r>
      <w:r>
        <w:rPr>
          <w:rFonts w:ascii="宋体" w:hAnsi="宋体" w:eastAsia="宋体" w:cs="Times New Roman"/>
          <w:b/>
          <w:bCs/>
          <w:sz w:val="30"/>
          <w:szCs w:val="24"/>
        </w:rPr>
        <w:t>）</w:t>
      </w:r>
    </w:p>
    <w:p w14:paraId="1C7334CA">
      <w:pPr>
        <w:snapToGrid w:val="0"/>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一、课程概况</w:t>
      </w:r>
    </w:p>
    <w:p w14:paraId="10492B82">
      <w:pPr>
        <w:snapToGrid w:val="0"/>
        <w:spacing w:line="360" w:lineRule="auto"/>
        <w:ind w:firstLine="482" w:firstLineChars="200"/>
        <w:rPr>
          <w:rFonts w:ascii="宋体" w:hAnsi="宋体" w:eastAsia="宋体"/>
          <w:b/>
          <w:color w:val="000000"/>
          <w:sz w:val="24"/>
          <w:szCs w:val="24"/>
        </w:rPr>
      </w:pPr>
      <w:r>
        <w:rPr>
          <w:rFonts w:hint="eastAsia" w:ascii="宋体" w:hAnsi="宋体" w:eastAsia="宋体"/>
          <w:b/>
          <w:bCs/>
          <w:color w:val="000000"/>
          <w:kern w:val="0"/>
          <w:sz w:val="24"/>
          <w:szCs w:val="24"/>
        </w:rPr>
        <w:t>课程代码</w:t>
      </w:r>
      <w:r>
        <w:rPr>
          <w:rFonts w:hint="eastAsia" w:ascii="宋体" w:hAnsi="宋体" w:eastAsia="宋体"/>
          <w:b/>
          <w:color w:val="000000"/>
          <w:kern w:val="0"/>
          <w:sz w:val="24"/>
          <w:szCs w:val="24"/>
        </w:rPr>
        <w:t>：2401051</w:t>
      </w:r>
    </w:p>
    <w:p w14:paraId="0FAB0CF5">
      <w:pPr>
        <w:snapToGrid w:val="0"/>
        <w:spacing w:line="360" w:lineRule="auto"/>
        <w:ind w:firstLine="482" w:firstLineChars="200"/>
        <w:rPr>
          <w:rFonts w:ascii="宋体" w:hAnsi="宋体" w:eastAsia="宋体"/>
          <w:color w:val="000000"/>
          <w:kern w:val="0"/>
          <w:sz w:val="24"/>
          <w:szCs w:val="24"/>
        </w:rPr>
      </w:pPr>
      <w:r>
        <w:rPr>
          <w:rFonts w:hint="eastAsia" w:ascii="宋体" w:hAnsi="宋体" w:eastAsia="宋体"/>
          <w:b/>
          <w:bCs/>
          <w:color w:val="000000"/>
          <w:kern w:val="0"/>
          <w:sz w:val="24"/>
          <w:szCs w:val="24"/>
        </w:rPr>
        <w:t>学</w:t>
      </w:r>
      <w:r>
        <w:rPr>
          <w:rFonts w:ascii="宋体" w:hAnsi="宋体" w:eastAsia="宋体"/>
          <w:b/>
          <w:bCs/>
          <w:color w:val="000000"/>
          <w:kern w:val="0"/>
          <w:sz w:val="24"/>
          <w:szCs w:val="24"/>
        </w:rPr>
        <w:t xml:space="preserve">    </w:t>
      </w:r>
      <w:r>
        <w:rPr>
          <w:rFonts w:hint="eastAsia" w:ascii="宋体" w:hAnsi="宋体" w:eastAsia="宋体"/>
          <w:b/>
          <w:bCs/>
          <w:color w:val="000000"/>
          <w:kern w:val="0"/>
          <w:sz w:val="24"/>
          <w:szCs w:val="24"/>
        </w:rPr>
        <w:t>分：</w:t>
      </w:r>
      <w:r>
        <w:rPr>
          <w:rFonts w:hint="eastAsia" w:ascii="宋体" w:hAnsi="宋体" w:eastAsia="宋体"/>
          <w:color w:val="000000"/>
          <w:kern w:val="0"/>
          <w:sz w:val="24"/>
          <w:szCs w:val="24"/>
        </w:rPr>
        <w:t>4</w:t>
      </w:r>
    </w:p>
    <w:p w14:paraId="0FA1F94B">
      <w:pPr>
        <w:snapToGrid w:val="0"/>
        <w:spacing w:line="360" w:lineRule="auto"/>
        <w:ind w:firstLine="482" w:firstLineChars="200"/>
        <w:rPr>
          <w:rFonts w:ascii="宋体" w:hAnsi="宋体" w:eastAsia="宋体"/>
          <w:color w:val="000000"/>
          <w:kern w:val="0"/>
          <w:sz w:val="24"/>
          <w:szCs w:val="24"/>
        </w:rPr>
      </w:pPr>
      <w:r>
        <w:rPr>
          <w:rFonts w:hint="eastAsia" w:ascii="宋体" w:hAnsi="宋体" w:eastAsia="宋体"/>
          <w:b/>
          <w:bCs/>
          <w:color w:val="000000"/>
          <w:kern w:val="0"/>
          <w:sz w:val="24"/>
          <w:szCs w:val="24"/>
        </w:rPr>
        <w:t>学</w:t>
      </w:r>
      <w:r>
        <w:rPr>
          <w:rFonts w:ascii="宋体" w:hAnsi="宋体" w:eastAsia="宋体"/>
          <w:b/>
          <w:bCs/>
          <w:color w:val="000000"/>
          <w:kern w:val="0"/>
          <w:sz w:val="24"/>
          <w:szCs w:val="24"/>
        </w:rPr>
        <w:t xml:space="preserve">    </w:t>
      </w:r>
      <w:r>
        <w:rPr>
          <w:rFonts w:hint="eastAsia" w:ascii="宋体" w:hAnsi="宋体" w:eastAsia="宋体"/>
          <w:b/>
          <w:bCs/>
          <w:color w:val="000000"/>
          <w:kern w:val="0"/>
          <w:sz w:val="24"/>
          <w:szCs w:val="24"/>
        </w:rPr>
        <w:t>时：8周</w:t>
      </w:r>
    </w:p>
    <w:p w14:paraId="73A0D426">
      <w:pPr>
        <w:snapToGrid w:val="0"/>
        <w:spacing w:line="360" w:lineRule="auto"/>
        <w:ind w:firstLine="482" w:firstLineChars="200"/>
        <w:rPr>
          <w:rFonts w:ascii="宋体" w:hAnsi="宋体" w:eastAsia="宋体"/>
          <w:color w:val="000000"/>
          <w:sz w:val="24"/>
          <w:szCs w:val="24"/>
        </w:rPr>
      </w:pPr>
      <w:r>
        <w:rPr>
          <w:rFonts w:hint="eastAsia" w:ascii="宋体" w:hAnsi="宋体" w:eastAsia="宋体"/>
          <w:b/>
          <w:bCs/>
          <w:color w:val="000000"/>
          <w:kern w:val="0"/>
          <w:sz w:val="24"/>
          <w:szCs w:val="24"/>
        </w:rPr>
        <w:t>先修课程：</w:t>
      </w:r>
      <w:r>
        <w:rPr>
          <w:rFonts w:hint="eastAsia" w:ascii="宋体" w:hAnsi="宋体" w:eastAsia="宋体"/>
          <w:color w:val="000000"/>
          <w:kern w:val="0"/>
          <w:sz w:val="24"/>
          <w:szCs w:val="24"/>
        </w:rPr>
        <w:t>小学心理学、教育原理、中国教育史、书写技能、普通话训练、课程与教学论、教育心理学、教育见习Ⅰ、教育见习Ⅱ、教育见习</w:t>
      </w:r>
      <w:r>
        <w:rPr>
          <w:rFonts w:hint="eastAsia" w:ascii="宋体" w:hAnsi="宋体" w:eastAsia="宋体"/>
          <w:color w:val="000000"/>
          <w:kern w:val="0"/>
          <w:sz w:val="24"/>
          <w:szCs w:val="24"/>
        </w:rPr>
        <w:fldChar w:fldCharType="begin"/>
      </w:r>
      <w:r>
        <w:rPr>
          <w:rFonts w:hint="eastAsia" w:ascii="宋体" w:hAnsi="宋体" w:eastAsia="宋体"/>
          <w:color w:val="000000"/>
          <w:kern w:val="0"/>
          <w:sz w:val="24"/>
          <w:szCs w:val="24"/>
        </w:rPr>
        <w:instrText xml:space="preserve"> = 3 \* ROMAN \* MERGEFORMAT </w:instrText>
      </w:r>
      <w:r>
        <w:rPr>
          <w:rFonts w:hint="eastAsia" w:ascii="宋体" w:hAnsi="宋体" w:eastAsia="宋体"/>
          <w:color w:val="000000"/>
          <w:kern w:val="0"/>
          <w:sz w:val="24"/>
          <w:szCs w:val="24"/>
        </w:rPr>
        <w:fldChar w:fldCharType="separate"/>
      </w:r>
      <w:r>
        <w:rPr>
          <w:rFonts w:ascii="宋体" w:hAnsi="宋体" w:eastAsia="宋体"/>
          <w:sz w:val="24"/>
          <w:szCs w:val="24"/>
        </w:rPr>
        <w:t>III</w:t>
      </w:r>
      <w:r>
        <w:rPr>
          <w:rFonts w:hint="eastAsia" w:ascii="宋体" w:hAnsi="宋体" w:eastAsia="宋体"/>
          <w:color w:val="000000"/>
          <w:kern w:val="0"/>
          <w:sz w:val="24"/>
          <w:szCs w:val="24"/>
        </w:rPr>
        <w:fldChar w:fldCharType="end"/>
      </w:r>
      <w:r>
        <w:rPr>
          <w:rFonts w:hint="eastAsia" w:ascii="宋体" w:hAnsi="宋体" w:eastAsia="宋体"/>
          <w:color w:val="000000"/>
          <w:kern w:val="0"/>
          <w:sz w:val="24"/>
          <w:szCs w:val="24"/>
        </w:rPr>
        <w:t>、教育实习Ⅰ等。</w:t>
      </w:r>
    </w:p>
    <w:p w14:paraId="3F42C016">
      <w:pPr>
        <w:snapToGrid w:val="0"/>
        <w:spacing w:line="360" w:lineRule="auto"/>
        <w:ind w:firstLine="482" w:firstLineChars="200"/>
        <w:rPr>
          <w:rFonts w:ascii="宋体" w:hAnsi="宋体" w:eastAsia="宋体"/>
          <w:color w:val="000000"/>
          <w:kern w:val="0"/>
          <w:sz w:val="24"/>
          <w:szCs w:val="24"/>
        </w:rPr>
      </w:pPr>
      <w:r>
        <w:rPr>
          <w:rFonts w:hint="eastAsia" w:ascii="宋体" w:hAnsi="宋体" w:eastAsia="宋体"/>
          <w:b/>
          <w:bCs/>
          <w:color w:val="000000"/>
          <w:kern w:val="0"/>
          <w:sz w:val="24"/>
          <w:szCs w:val="24"/>
        </w:rPr>
        <w:t>适用专业：</w:t>
      </w:r>
      <w:r>
        <w:rPr>
          <w:rFonts w:hint="eastAsia" w:ascii="宋体" w:hAnsi="宋体" w:eastAsia="宋体"/>
          <w:color w:val="000000"/>
          <w:kern w:val="0"/>
          <w:sz w:val="24"/>
          <w:szCs w:val="24"/>
        </w:rPr>
        <w:t>小学教育（文）、小学教育（理）</w:t>
      </w:r>
      <w:r>
        <w:rPr>
          <w:rFonts w:ascii="宋体" w:hAnsi="宋体" w:eastAsia="宋体"/>
          <w:color w:val="000000"/>
          <w:kern w:val="0"/>
          <w:sz w:val="24"/>
          <w:szCs w:val="24"/>
        </w:rPr>
        <w:t xml:space="preserve"> </w:t>
      </w:r>
    </w:p>
    <w:p w14:paraId="593B1CCD">
      <w:pPr>
        <w:snapToGrid w:val="0"/>
        <w:spacing w:line="360" w:lineRule="auto"/>
        <w:ind w:firstLine="482" w:firstLineChars="200"/>
        <w:rPr>
          <w:rFonts w:ascii="宋体" w:hAnsi="宋体" w:eastAsia="宋体"/>
          <w:color w:val="000000"/>
          <w:kern w:val="0"/>
          <w:sz w:val="24"/>
          <w:szCs w:val="24"/>
        </w:rPr>
      </w:pPr>
      <w:r>
        <w:rPr>
          <w:rFonts w:hint="eastAsia" w:ascii="宋体" w:hAnsi="宋体" w:eastAsia="宋体"/>
          <w:b/>
          <w:bCs/>
          <w:color w:val="000000"/>
          <w:kern w:val="0"/>
          <w:sz w:val="24"/>
          <w:szCs w:val="24"/>
        </w:rPr>
        <w:t>建议教材：</w:t>
      </w:r>
      <w:r>
        <w:rPr>
          <w:rFonts w:hint="eastAsia" w:ascii="宋体" w:hAnsi="宋体" w:eastAsia="宋体"/>
          <w:bCs/>
          <w:color w:val="000000"/>
          <w:kern w:val="0"/>
          <w:sz w:val="24"/>
          <w:szCs w:val="24"/>
        </w:rPr>
        <w:t>实习手册（自编）</w:t>
      </w:r>
    </w:p>
    <w:p w14:paraId="2527F626">
      <w:pPr>
        <w:snapToGrid w:val="0"/>
        <w:spacing w:line="360" w:lineRule="auto"/>
        <w:ind w:firstLine="482" w:firstLineChars="200"/>
        <w:rPr>
          <w:rFonts w:ascii="宋体" w:hAnsi="宋体" w:eastAsia="宋体"/>
          <w:b/>
          <w:bCs/>
          <w:color w:val="000000"/>
          <w:kern w:val="0"/>
          <w:sz w:val="24"/>
          <w:szCs w:val="24"/>
        </w:rPr>
      </w:pPr>
      <w:r>
        <w:rPr>
          <w:rFonts w:hint="eastAsia" w:ascii="宋体" w:hAnsi="宋体" w:eastAsia="宋体"/>
          <w:b/>
          <w:bCs/>
          <w:color w:val="000000"/>
          <w:kern w:val="0"/>
          <w:sz w:val="24"/>
          <w:szCs w:val="24"/>
        </w:rPr>
        <w:t>课程归口：</w:t>
      </w:r>
      <w:r>
        <w:rPr>
          <w:rFonts w:hint="eastAsia" w:ascii="宋体" w:hAnsi="宋体" w:eastAsia="宋体"/>
          <w:bCs/>
          <w:color w:val="000000"/>
          <w:kern w:val="0"/>
          <w:sz w:val="24"/>
          <w:szCs w:val="24"/>
        </w:rPr>
        <w:t>师范</w:t>
      </w:r>
      <w:r>
        <w:rPr>
          <w:rFonts w:hint="eastAsia" w:ascii="宋体" w:hAnsi="宋体" w:eastAsia="宋体"/>
          <w:color w:val="000000"/>
          <w:kern w:val="0"/>
          <w:sz w:val="24"/>
          <w:szCs w:val="24"/>
        </w:rPr>
        <w:t>学院</w:t>
      </w:r>
    </w:p>
    <w:p w14:paraId="109F9F94">
      <w:pPr>
        <w:snapToGrid w:val="0"/>
        <w:spacing w:line="360" w:lineRule="auto"/>
        <w:ind w:firstLine="482" w:firstLineChars="200"/>
        <w:rPr>
          <w:rFonts w:ascii="宋体" w:hAnsi="宋体" w:eastAsia="宋体"/>
          <w:color w:val="000000"/>
          <w:kern w:val="0"/>
          <w:sz w:val="24"/>
          <w:szCs w:val="24"/>
        </w:rPr>
      </w:pPr>
      <w:r>
        <w:rPr>
          <w:rFonts w:hint="eastAsia" w:ascii="宋体" w:hAnsi="宋体" w:eastAsia="宋体"/>
          <w:b/>
          <w:bCs/>
          <w:color w:val="000000"/>
          <w:kern w:val="0"/>
          <w:sz w:val="24"/>
          <w:szCs w:val="24"/>
        </w:rPr>
        <w:t>课程的性质与任务：</w:t>
      </w:r>
      <w:r>
        <w:rPr>
          <w:rFonts w:hint="eastAsia" w:ascii="宋体" w:hAnsi="宋体" w:eastAsia="宋体"/>
          <w:color w:val="000000"/>
          <w:kern w:val="0"/>
          <w:sz w:val="24"/>
          <w:szCs w:val="24"/>
        </w:rPr>
        <w:t>教育实习Ⅱ是小学教育专业重要的实践性环节。本课程的任务和目的是通过本次教育实习，使学生师范生在活动中实现教学体验深刻化，教师角色的丰富化，专业与教育知识的情境化，教学基本技能的程序化，培养独立从事教学、班级管理及科研的能力，增强专业认同感，完成由师范生向一名准教师的转变。</w:t>
      </w:r>
    </w:p>
    <w:p w14:paraId="48C11BE2">
      <w:pPr>
        <w:snapToGrid w:val="0"/>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二、课程目标</w:t>
      </w:r>
    </w:p>
    <w:p w14:paraId="1D7B8E51">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目标1：通过参与式的实习，深刻了解小学教育工作，增强教育职业认同感。</w:t>
      </w:r>
    </w:p>
    <w:p w14:paraId="4DCCF660">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目标2：在实习指导老师的指导下，进一步发展教学设计、教学实施、教学评价及教学反思能力。</w:t>
      </w:r>
    </w:p>
    <w:p w14:paraId="61F6B7B6">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目标3：通过参与班级管理活动，深入了解小学生班级管理的基本方法和规律，理解小学生德育途径，增强小学生心理健康教育意识。</w:t>
      </w:r>
    </w:p>
    <w:p w14:paraId="3463EE58">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目标4：通过分组实习，增强沟通合作意识，合作完成各项实习任务。</w:t>
      </w:r>
    </w:p>
    <w:p w14:paraId="0BE26C3A">
      <w:pPr>
        <w:snapToGrid w:val="0"/>
        <w:spacing w:line="360" w:lineRule="auto"/>
        <w:ind w:firstLine="480" w:firstLineChars="200"/>
        <w:rPr>
          <w:rFonts w:ascii="宋体" w:hAnsi="宋体" w:eastAsia="宋体"/>
          <w:color w:val="000000"/>
          <w:sz w:val="24"/>
          <w:szCs w:val="24"/>
        </w:rPr>
      </w:pPr>
    </w:p>
    <w:p w14:paraId="438C5E8E">
      <w:pPr>
        <w:snapToGrid w:val="0"/>
        <w:spacing w:line="360" w:lineRule="auto"/>
        <w:ind w:firstLine="480" w:firstLineChars="200"/>
        <w:rPr>
          <w:rFonts w:ascii="宋体" w:hAnsi="宋体" w:eastAsia="宋体"/>
          <w:color w:val="000000"/>
          <w:sz w:val="24"/>
          <w:szCs w:val="24"/>
        </w:rPr>
      </w:pPr>
    </w:p>
    <w:p w14:paraId="1CC14A99">
      <w:pPr>
        <w:snapToGrid w:val="0"/>
        <w:spacing w:line="360" w:lineRule="auto"/>
        <w:ind w:firstLine="480" w:firstLineChars="200"/>
        <w:rPr>
          <w:rFonts w:ascii="宋体" w:hAnsi="宋体" w:eastAsia="宋体"/>
          <w:color w:val="000000"/>
          <w:sz w:val="24"/>
          <w:szCs w:val="24"/>
        </w:rPr>
      </w:pPr>
    </w:p>
    <w:p w14:paraId="5D46275F">
      <w:pPr>
        <w:snapToGrid w:val="0"/>
        <w:spacing w:line="360" w:lineRule="auto"/>
        <w:ind w:firstLine="480" w:firstLineChars="200"/>
        <w:rPr>
          <w:rFonts w:ascii="宋体" w:hAnsi="宋体" w:eastAsia="宋体"/>
          <w:color w:val="000000"/>
          <w:sz w:val="24"/>
          <w:szCs w:val="24"/>
        </w:rPr>
      </w:pPr>
    </w:p>
    <w:p w14:paraId="5C627C77">
      <w:pPr>
        <w:snapToGrid w:val="0"/>
        <w:spacing w:line="360" w:lineRule="auto"/>
        <w:ind w:firstLine="480" w:firstLineChars="200"/>
        <w:rPr>
          <w:rFonts w:ascii="宋体" w:hAnsi="宋体" w:eastAsia="宋体"/>
          <w:color w:val="000000"/>
          <w:sz w:val="24"/>
          <w:szCs w:val="24"/>
        </w:rPr>
      </w:pPr>
    </w:p>
    <w:p w14:paraId="7B685AEE">
      <w:pPr>
        <w:snapToGrid w:val="0"/>
        <w:spacing w:line="360" w:lineRule="auto"/>
        <w:jc w:val="center"/>
        <w:rPr>
          <w:rFonts w:hint="eastAsia" w:ascii="宋体" w:hAnsi="宋体" w:eastAsia="宋体"/>
          <w:b/>
          <w:bCs/>
          <w:color w:val="000000"/>
          <w:sz w:val="24"/>
          <w:szCs w:val="24"/>
        </w:rPr>
      </w:pPr>
      <w:r>
        <w:rPr>
          <w:rFonts w:hint="eastAsia" w:ascii="宋体" w:hAnsi="宋体" w:eastAsia="宋体"/>
          <w:b/>
          <w:bCs/>
          <w:color w:val="000000"/>
          <w:sz w:val="24"/>
          <w:szCs w:val="24"/>
        </w:rPr>
        <w:t>课程目标与毕业要求的关系</w:t>
      </w:r>
    </w:p>
    <w:tbl>
      <w:tblPr>
        <w:tblStyle w:val="30"/>
        <w:tblW w:w="543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63"/>
        <w:gridCol w:w="1474"/>
        <w:gridCol w:w="6520"/>
      </w:tblGrid>
      <w:tr w14:paraId="6D403A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56" w:hRule="atLeast"/>
          <w:tblHeader/>
          <w:jc w:val="center"/>
        </w:trPr>
        <w:tc>
          <w:tcPr>
            <w:tcW w:w="682" w:type="pct"/>
            <w:tcBorders>
              <w:top w:val="single" w:color="auto" w:sz="4" w:space="0"/>
              <w:left w:val="single" w:color="auto" w:sz="4" w:space="0"/>
            </w:tcBorders>
            <w:vAlign w:val="center"/>
          </w:tcPr>
          <w:p w14:paraId="202D9739">
            <w:pPr>
              <w:widowControl/>
              <w:spacing w:line="400" w:lineRule="exact"/>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课程目标</w:t>
            </w:r>
          </w:p>
        </w:tc>
        <w:tc>
          <w:tcPr>
            <w:tcW w:w="796" w:type="pct"/>
            <w:tcBorders>
              <w:top w:val="single" w:color="auto" w:sz="4" w:space="0"/>
            </w:tcBorders>
            <w:vAlign w:val="center"/>
          </w:tcPr>
          <w:p w14:paraId="628AA649">
            <w:pPr>
              <w:widowControl/>
              <w:spacing w:line="400" w:lineRule="exact"/>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毕业要求</w:t>
            </w:r>
          </w:p>
        </w:tc>
        <w:tc>
          <w:tcPr>
            <w:tcW w:w="3521" w:type="pct"/>
            <w:tcBorders>
              <w:top w:val="single" w:color="auto" w:sz="4" w:space="0"/>
              <w:right w:val="single" w:color="auto" w:sz="4" w:space="0"/>
            </w:tcBorders>
            <w:vAlign w:val="center"/>
          </w:tcPr>
          <w:p w14:paraId="24D6600D">
            <w:pPr>
              <w:widowControl/>
              <w:spacing w:line="400" w:lineRule="exact"/>
              <w:jc w:val="center"/>
              <w:rPr>
                <w:rFonts w:ascii="宋体" w:hAnsi="宋体" w:eastAsia="宋体" w:cs="Times New Roman"/>
                <w:b/>
                <w:bCs/>
                <w:color w:val="000000"/>
                <w:kern w:val="0"/>
                <w:szCs w:val="21"/>
              </w:rPr>
            </w:pPr>
            <w:r>
              <w:rPr>
                <w:rFonts w:hint="eastAsia" w:ascii="宋体" w:hAnsi="宋体" w:eastAsia="宋体" w:cs="Times New Roman"/>
                <w:b/>
                <w:bCs/>
                <w:color w:val="000000"/>
                <w:szCs w:val="21"/>
              </w:rPr>
              <w:t>支撑的毕业要求指标点</w:t>
            </w:r>
          </w:p>
        </w:tc>
      </w:tr>
      <w:tr w14:paraId="2FB31C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682" w:type="pct"/>
            <w:vMerge w:val="restart"/>
            <w:tcBorders>
              <w:left w:val="single" w:color="auto" w:sz="4" w:space="0"/>
            </w:tcBorders>
            <w:vAlign w:val="center"/>
          </w:tcPr>
          <w:p w14:paraId="0E7A9926">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1</w:t>
            </w:r>
          </w:p>
        </w:tc>
        <w:tc>
          <w:tcPr>
            <w:tcW w:w="796" w:type="pct"/>
            <w:vAlign w:val="center"/>
          </w:tcPr>
          <w:p w14:paraId="78E2D67E">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毕业要求1</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师德规范</w:t>
            </w:r>
          </w:p>
        </w:tc>
        <w:tc>
          <w:tcPr>
            <w:tcW w:w="3521" w:type="pct"/>
            <w:tcBorders>
              <w:right w:val="single" w:color="auto" w:sz="4" w:space="0"/>
            </w:tcBorders>
          </w:tcPr>
          <w:p w14:paraId="382A31F7">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指标点1-1：【理想信念坚定】认同中国特色社会主义，贯彻党的教育方针，自觉践行社会主义核心价值观，树立职业理想，立志成为有理想信念、有道德情操、有扎实学识、有仁爱之心的好教师。</w:t>
            </w:r>
          </w:p>
        </w:tc>
      </w:tr>
      <w:tr w14:paraId="7B130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682" w:type="pct"/>
            <w:vMerge w:val="continue"/>
            <w:tcBorders>
              <w:left w:val="single" w:color="auto" w:sz="4" w:space="0"/>
            </w:tcBorders>
            <w:vAlign w:val="center"/>
          </w:tcPr>
          <w:p w14:paraId="69DC5878">
            <w:pPr>
              <w:widowControl/>
              <w:jc w:val="center"/>
              <w:rPr>
                <w:rFonts w:ascii="宋体" w:hAnsi="宋体" w:eastAsia="宋体" w:cs="Times New Roman"/>
                <w:color w:val="000000"/>
                <w:szCs w:val="21"/>
              </w:rPr>
            </w:pPr>
          </w:p>
        </w:tc>
        <w:tc>
          <w:tcPr>
            <w:tcW w:w="796" w:type="pct"/>
            <w:vMerge w:val="restart"/>
            <w:vAlign w:val="center"/>
          </w:tcPr>
          <w:p w14:paraId="0439500B">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毕业要求2</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教育情怀</w:t>
            </w:r>
          </w:p>
        </w:tc>
        <w:tc>
          <w:tcPr>
            <w:tcW w:w="3521" w:type="pct"/>
            <w:tcBorders>
              <w:right w:val="single" w:color="auto" w:sz="4" w:space="0"/>
            </w:tcBorders>
          </w:tcPr>
          <w:p w14:paraId="350082EE">
            <w:pPr>
              <w:widowControl/>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指标点2-1：【职业认同感强】具有家国情怀，乐于从教，热爱教育事业，具有较高的教师职业认同感，认同教师职业的专业性与意义性。</w:t>
            </w:r>
          </w:p>
        </w:tc>
      </w:tr>
      <w:tr w14:paraId="2C985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jc w:val="center"/>
        </w:trPr>
        <w:tc>
          <w:tcPr>
            <w:tcW w:w="682" w:type="pct"/>
            <w:vMerge w:val="continue"/>
            <w:tcBorders>
              <w:left w:val="single" w:color="auto" w:sz="4" w:space="0"/>
            </w:tcBorders>
            <w:vAlign w:val="center"/>
          </w:tcPr>
          <w:p w14:paraId="13E80811">
            <w:pPr>
              <w:widowControl/>
              <w:jc w:val="center"/>
              <w:rPr>
                <w:rFonts w:ascii="宋体" w:hAnsi="宋体" w:eastAsia="宋体" w:cs="Times New Roman"/>
                <w:color w:val="000000"/>
                <w:szCs w:val="21"/>
              </w:rPr>
            </w:pPr>
          </w:p>
        </w:tc>
        <w:tc>
          <w:tcPr>
            <w:tcW w:w="796" w:type="pct"/>
            <w:vMerge w:val="continue"/>
            <w:vAlign w:val="center"/>
          </w:tcPr>
          <w:p w14:paraId="723610F6">
            <w:pPr>
              <w:rPr>
                <w:rFonts w:ascii="宋体" w:hAnsi="宋体" w:eastAsia="宋体" w:cs="Times New Roman"/>
                <w:color w:val="000000"/>
                <w:kern w:val="0"/>
                <w:szCs w:val="21"/>
              </w:rPr>
            </w:pPr>
          </w:p>
        </w:tc>
        <w:tc>
          <w:tcPr>
            <w:tcW w:w="3521" w:type="pct"/>
            <w:tcBorders>
              <w:right w:val="single" w:color="auto" w:sz="4" w:space="0"/>
            </w:tcBorders>
          </w:tcPr>
          <w:p w14:paraId="4145452E">
            <w:pPr>
              <w:widowControl/>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2-2：【教育情意深厚】关爱学生，用心从教。具有正确的儿童观，理解、尊重、关爱、保护学生，以儿童发展为教育的中心。爱岗敬业，在教育实践中能认真履行教育教学职责与班主任工作职责，富有爱心、责任心、工作细心、耐心。</w:t>
            </w:r>
          </w:p>
        </w:tc>
      </w:tr>
      <w:tr w14:paraId="31909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82" w:type="pct"/>
            <w:vMerge w:val="continue"/>
            <w:tcBorders>
              <w:left w:val="single" w:color="auto" w:sz="4" w:space="0"/>
            </w:tcBorders>
            <w:vAlign w:val="center"/>
          </w:tcPr>
          <w:p w14:paraId="7E3C90C9">
            <w:pPr>
              <w:widowControl/>
              <w:jc w:val="center"/>
              <w:rPr>
                <w:rFonts w:ascii="宋体" w:hAnsi="宋体" w:eastAsia="宋体" w:cs="Times New Roman"/>
                <w:color w:val="000000"/>
                <w:szCs w:val="21"/>
              </w:rPr>
            </w:pPr>
          </w:p>
        </w:tc>
        <w:tc>
          <w:tcPr>
            <w:tcW w:w="796" w:type="pct"/>
            <w:vMerge w:val="continue"/>
            <w:vAlign w:val="center"/>
          </w:tcPr>
          <w:p w14:paraId="76FC9322">
            <w:pPr>
              <w:rPr>
                <w:rFonts w:ascii="宋体" w:hAnsi="宋体" w:eastAsia="宋体" w:cs="Times New Roman"/>
                <w:color w:val="000000"/>
                <w:kern w:val="0"/>
                <w:szCs w:val="21"/>
              </w:rPr>
            </w:pPr>
          </w:p>
        </w:tc>
        <w:tc>
          <w:tcPr>
            <w:tcW w:w="3521" w:type="pct"/>
            <w:tcBorders>
              <w:right w:val="single" w:color="auto" w:sz="4" w:space="0"/>
            </w:tcBorders>
          </w:tcPr>
          <w:p w14:paraId="0B081D4E">
            <w:pPr>
              <w:widowControl/>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指标点2-3：【自身修养良好】具有较好的人文底蕴与科学精神，人格健全，心理健康，情感丰富，为人师表。</w:t>
            </w:r>
          </w:p>
        </w:tc>
      </w:tr>
      <w:tr w14:paraId="5BAD21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82" w:type="pct"/>
            <w:vMerge w:val="restart"/>
            <w:tcBorders>
              <w:left w:val="single" w:color="auto" w:sz="4" w:space="0"/>
            </w:tcBorders>
            <w:vAlign w:val="center"/>
          </w:tcPr>
          <w:p w14:paraId="3449D66B">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2</w:t>
            </w:r>
          </w:p>
        </w:tc>
        <w:tc>
          <w:tcPr>
            <w:tcW w:w="796" w:type="pct"/>
            <w:vMerge w:val="restart"/>
            <w:vAlign w:val="center"/>
          </w:tcPr>
          <w:p w14:paraId="32F73D85">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综合素养</w:t>
            </w:r>
          </w:p>
        </w:tc>
        <w:tc>
          <w:tcPr>
            <w:tcW w:w="3521" w:type="pct"/>
            <w:tcBorders>
              <w:right w:val="single" w:color="auto" w:sz="4" w:space="0"/>
            </w:tcBorders>
            <w:shd w:val="clear" w:color="auto" w:fill="auto"/>
            <w:vAlign w:val="center"/>
          </w:tcPr>
          <w:p w14:paraId="5BD3622E">
            <w:pPr>
              <w:spacing w:line="340" w:lineRule="exact"/>
              <w:rPr>
                <w:rFonts w:asciiTheme="minorHAnsi" w:hAnsiTheme="minorHAnsi" w:eastAsiaTheme="minorEastAsia" w:cstheme="minorBidi"/>
                <w:kern w:val="0"/>
                <w:sz w:val="21"/>
                <w:szCs w:val="21"/>
                <w:lang w:val="en-US" w:eastAsia="zh-CN" w:bidi="ar-SA"/>
              </w:rPr>
            </w:pPr>
            <w:r>
              <w:rPr>
                <w:kern w:val="0"/>
                <w:szCs w:val="21"/>
              </w:rPr>
              <w:t>指标点</w:t>
            </w:r>
            <w:r>
              <w:rPr>
                <w:szCs w:val="21"/>
              </w:rPr>
              <w:t>3-2：</w:t>
            </w:r>
            <w:r>
              <w:rPr>
                <w:rFonts w:hint="eastAsia"/>
                <w:szCs w:val="21"/>
              </w:rPr>
              <w:t>【胜任主教学科】具有学科专业能力，掌握主教学科的基本知识、原理和技能。</w:t>
            </w:r>
          </w:p>
        </w:tc>
      </w:tr>
      <w:tr w14:paraId="3FF9E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82" w:type="pct"/>
            <w:vMerge w:val="continue"/>
            <w:tcBorders>
              <w:left w:val="single" w:color="auto" w:sz="4" w:space="0"/>
            </w:tcBorders>
            <w:vAlign w:val="center"/>
          </w:tcPr>
          <w:p w14:paraId="7D0A8614">
            <w:pPr>
              <w:jc w:val="center"/>
              <w:rPr>
                <w:rFonts w:hint="eastAsia" w:ascii="宋体" w:hAnsi="宋体" w:eastAsia="宋体" w:cs="Times New Roman"/>
                <w:color w:val="000000"/>
                <w:szCs w:val="21"/>
              </w:rPr>
            </w:pPr>
          </w:p>
        </w:tc>
        <w:tc>
          <w:tcPr>
            <w:tcW w:w="796" w:type="pct"/>
            <w:vMerge w:val="continue"/>
            <w:vAlign w:val="center"/>
          </w:tcPr>
          <w:p w14:paraId="1D8A9073">
            <w:pPr>
              <w:rPr>
                <w:rFonts w:hint="eastAsia" w:ascii="宋体" w:hAnsi="宋体" w:eastAsia="宋体" w:cs="Times New Roman"/>
                <w:color w:val="000000"/>
                <w:kern w:val="0"/>
                <w:szCs w:val="21"/>
              </w:rPr>
            </w:pPr>
          </w:p>
        </w:tc>
        <w:tc>
          <w:tcPr>
            <w:tcW w:w="3521" w:type="pct"/>
            <w:tcBorders>
              <w:right w:val="single" w:color="auto" w:sz="4" w:space="0"/>
            </w:tcBorders>
            <w:shd w:val="clear" w:color="auto" w:fill="auto"/>
            <w:vAlign w:val="center"/>
          </w:tcPr>
          <w:p w14:paraId="5FD89E6D">
            <w:pPr>
              <w:spacing w:line="340" w:lineRule="exact"/>
              <w:rPr>
                <w:rFonts w:hint="eastAsia" w:asciiTheme="minorHAnsi" w:hAnsiTheme="minorHAnsi" w:eastAsiaTheme="minorEastAsia" w:cstheme="minorBidi"/>
                <w:kern w:val="0"/>
                <w:sz w:val="21"/>
                <w:szCs w:val="21"/>
                <w:lang w:val="en-US" w:eastAsia="zh-CN" w:bidi="ar-SA"/>
              </w:rPr>
            </w:pPr>
            <w:r>
              <w:rPr>
                <w:kern w:val="0"/>
                <w:szCs w:val="21"/>
              </w:rPr>
              <w:t>指标点</w:t>
            </w:r>
            <w:r>
              <w:rPr>
                <w:szCs w:val="21"/>
              </w:rPr>
              <w:t>3-3：</w:t>
            </w:r>
            <w:r>
              <w:rPr>
                <w:rFonts w:hint="eastAsia"/>
                <w:szCs w:val="21"/>
              </w:rPr>
              <w:t>【熟悉兼教学科】熟悉兼教学科的知识体系，掌握兼教学科的基本知识、原理和技能。</w:t>
            </w:r>
          </w:p>
        </w:tc>
      </w:tr>
      <w:tr w14:paraId="6A6DB6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82" w:type="pct"/>
            <w:vMerge w:val="continue"/>
            <w:tcBorders>
              <w:left w:val="single" w:color="auto" w:sz="4" w:space="0"/>
            </w:tcBorders>
            <w:vAlign w:val="center"/>
          </w:tcPr>
          <w:p w14:paraId="475E73FC">
            <w:pPr>
              <w:jc w:val="center"/>
              <w:rPr>
                <w:rFonts w:hint="eastAsia" w:ascii="宋体" w:hAnsi="宋体" w:eastAsia="宋体" w:cs="Times New Roman"/>
                <w:color w:val="000000"/>
                <w:szCs w:val="21"/>
              </w:rPr>
            </w:pPr>
          </w:p>
        </w:tc>
        <w:tc>
          <w:tcPr>
            <w:tcW w:w="796" w:type="pct"/>
            <w:vMerge w:val="continue"/>
            <w:vAlign w:val="center"/>
          </w:tcPr>
          <w:p w14:paraId="47BD6597">
            <w:pPr>
              <w:rPr>
                <w:rFonts w:hint="eastAsia" w:ascii="宋体" w:hAnsi="宋体" w:eastAsia="宋体" w:cs="Times New Roman"/>
                <w:color w:val="000000"/>
                <w:kern w:val="0"/>
                <w:szCs w:val="21"/>
              </w:rPr>
            </w:pPr>
          </w:p>
        </w:tc>
        <w:tc>
          <w:tcPr>
            <w:tcW w:w="3521" w:type="pct"/>
            <w:tcBorders>
              <w:right w:val="single" w:color="auto" w:sz="4" w:space="0"/>
            </w:tcBorders>
            <w:vAlign w:val="center"/>
          </w:tcPr>
          <w:p w14:paraId="2ED4946E">
            <w:pPr>
              <w:spacing w:line="300" w:lineRule="exac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指标点3-4：【注重知识整合】了解所教学科与其他学科及与社会实践、小学生生活实践之间的联系，了解学科整合的在小学教育中的价值，具有跨学科解决问题的意识和能力，能指导综合性学科教学活动。</w:t>
            </w:r>
          </w:p>
        </w:tc>
      </w:tr>
      <w:tr w14:paraId="60EF2E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682" w:type="pct"/>
            <w:vMerge w:val="continue"/>
            <w:tcBorders>
              <w:left w:val="single" w:color="auto" w:sz="4" w:space="0"/>
            </w:tcBorders>
            <w:vAlign w:val="center"/>
          </w:tcPr>
          <w:p w14:paraId="0D701533">
            <w:pPr>
              <w:jc w:val="center"/>
              <w:rPr>
                <w:rFonts w:ascii="宋体" w:hAnsi="宋体" w:eastAsia="宋体" w:cs="Times New Roman"/>
                <w:color w:val="000000"/>
                <w:kern w:val="0"/>
                <w:szCs w:val="21"/>
              </w:rPr>
            </w:pPr>
          </w:p>
        </w:tc>
        <w:tc>
          <w:tcPr>
            <w:tcW w:w="796" w:type="pct"/>
            <w:vMerge w:val="restart"/>
            <w:vAlign w:val="center"/>
          </w:tcPr>
          <w:p w14:paraId="41FFE565">
            <w:pPr>
              <w:widowControl/>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tc>
        <w:tc>
          <w:tcPr>
            <w:tcW w:w="3521" w:type="pct"/>
            <w:tcBorders>
              <w:right w:val="single" w:color="auto" w:sz="4" w:space="0"/>
            </w:tcBorders>
          </w:tcPr>
          <w:p w14:paraId="19F060DF">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指标点4-1：【领会课程标准】掌握教与学的知识，熟悉所教学科课程标准和教材、教学内容，具有一定的教材解读能力，具有依据课标进行教学的意识和习惯。</w:t>
            </w:r>
          </w:p>
        </w:tc>
      </w:tr>
      <w:tr w14:paraId="7D308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682" w:type="pct"/>
            <w:vMerge w:val="continue"/>
            <w:tcBorders>
              <w:left w:val="single" w:color="auto" w:sz="4" w:space="0"/>
            </w:tcBorders>
            <w:vAlign w:val="center"/>
          </w:tcPr>
          <w:p w14:paraId="006A5DD9">
            <w:pPr>
              <w:jc w:val="center"/>
              <w:rPr>
                <w:rFonts w:ascii="宋体" w:hAnsi="宋体" w:eastAsia="宋体" w:cs="Times New Roman"/>
                <w:color w:val="000000"/>
                <w:szCs w:val="21"/>
              </w:rPr>
            </w:pPr>
          </w:p>
        </w:tc>
        <w:tc>
          <w:tcPr>
            <w:tcW w:w="796" w:type="pct"/>
            <w:vMerge w:val="continue"/>
            <w:vAlign w:val="center"/>
          </w:tcPr>
          <w:p w14:paraId="6B3713E2">
            <w:pPr>
              <w:widowControl/>
              <w:rPr>
                <w:rFonts w:ascii="宋体" w:hAnsi="宋体" w:eastAsia="宋体" w:cs="Times New Roman"/>
                <w:color w:val="000000"/>
                <w:kern w:val="0"/>
                <w:szCs w:val="21"/>
              </w:rPr>
            </w:pPr>
          </w:p>
        </w:tc>
        <w:tc>
          <w:tcPr>
            <w:tcW w:w="3521" w:type="pct"/>
            <w:tcBorders>
              <w:bottom w:val="single" w:color="auto" w:sz="4" w:space="0"/>
              <w:right w:val="single" w:color="auto" w:sz="4" w:space="0"/>
            </w:tcBorders>
          </w:tcPr>
          <w:p w14:paraId="2A65A763">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指标点4-2：【教学技能突出】获得全面的小学教学体验，掌握学科教学的基本方法与策略，能独立进行教学设计、实施和评价。</w:t>
            </w:r>
          </w:p>
        </w:tc>
      </w:tr>
      <w:tr w14:paraId="00FCBB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7" w:hRule="atLeast"/>
          <w:jc w:val="center"/>
        </w:trPr>
        <w:tc>
          <w:tcPr>
            <w:tcW w:w="682" w:type="pct"/>
            <w:vMerge w:val="continue"/>
            <w:tcBorders>
              <w:left w:val="single" w:color="auto" w:sz="4" w:space="0"/>
            </w:tcBorders>
            <w:vAlign w:val="center"/>
          </w:tcPr>
          <w:p w14:paraId="6F932045">
            <w:pPr>
              <w:jc w:val="center"/>
              <w:rPr>
                <w:rFonts w:ascii="宋体" w:hAnsi="宋体" w:eastAsia="宋体" w:cs="Times New Roman"/>
                <w:color w:val="000000"/>
                <w:szCs w:val="21"/>
              </w:rPr>
            </w:pPr>
          </w:p>
        </w:tc>
        <w:tc>
          <w:tcPr>
            <w:tcW w:w="796" w:type="pct"/>
            <w:vMerge w:val="continue"/>
            <w:vAlign w:val="center"/>
          </w:tcPr>
          <w:p w14:paraId="07A41AC4">
            <w:pPr>
              <w:widowControl/>
              <w:rPr>
                <w:rFonts w:ascii="宋体" w:hAnsi="宋体" w:eastAsia="宋体" w:cs="Times New Roman"/>
                <w:color w:val="000000"/>
                <w:kern w:val="0"/>
                <w:szCs w:val="21"/>
              </w:rPr>
            </w:pPr>
          </w:p>
        </w:tc>
        <w:tc>
          <w:tcPr>
            <w:tcW w:w="3521" w:type="pct"/>
            <w:tcBorders>
              <w:bottom w:val="single" w:color="auto" w:sz="4" w:space="0"/>
              <w:right w:val="single" w:color="auto" w:sz="4" w:space="0"/>
            </w:tcBorders>
          </w:tcPr>
          <w:p w14:paraId="6A83C6FC">
            <w:pPr>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指标点4-3：【教师基本功扎实】掌握小学教师基本功技能，包括书写技能、沟通与表达技能、信息技术运用技能等。</w:t>
            </w:r>
          </w:p>
        </w:tc>
      </w:tr>
      <w:tr w14:paraId="169FC0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5" w:hRule="atLeast"/>
          <w:jc w:val="center"/>
        </w:trPr>
        <w:tc>
          <w:tcPr>
            <w:tcW w:w="682" w:type="pct"/>
            <w:vMerge w:val="continue"/>
            <w:tcBorders>
              <w:left w:val="single" w:color="auto" w:sz="4" w:space="0"/>
            </w:tcBorders>
            <w:vAlign w:val="center"/>
          </w:tcPr>
          <w:p w14:paraId="79480404">
            <w:pPr>
              <w:jc w:val="center"/>
              <w:rPr>
                <w:rFonts w:ascii="宋体" w:hAnsi="宋体" w:eastAsia="宋体" w:cs="Times New Roman"/>
                <w:color w:val="000000"/>
                <w:szCs w:val="21"/>
              </w:rPr>
            </w:pPr>
          </w:p>
        </w:tc>
        <w:tc>
          <w:tcPr>
            <w:tcW w:w="796" w:type="pct"/>
            <w:vMerge w:val="continue"/>
            <w:vAlign w:val="center"/>
          </w:tcPr>
          <w:p w14:paraId="35069F37">
            <w:pPr>
              <w:widowControl/>
              <w:rPr>
                <w:rFonts w:ascii="宋体" w:hAnsi="宋体" w:eastAsia="宋体" w:cs="Times New Roman"/>
                <w:color w:val="000000"/>
                <w:kern w:val="0"/>
                <w:szCs w:val="21"/>
              </w:rPr>
            </w:pPr>
          </w:p>
        </w:tc>
        <w:tc>
          <w:tcPr>
            <w:tcW w:w="3521" w:type="pct"/>
            <w:tcBorders>
              <w:top w:val="single" w:color="auto" w:sz="4" w:space="0"/>
              <w:right w:val="single" w:color="auto" w:sz="4" w:space="0"/>
            </w:tcBorders>
          </w:tcPr>
          <w:p w14:paraId="715AF08B">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指标点4-4：【教育研究能力好】掌握教育研究的基本方法，结合小学教育教学实践进行研究，具有一定的教学研究能力</w:t>
            </w:r>
          </w:p>
        </w:tc>
      </w:tr>
      <w:tr w14:paraId="6F4F22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682" w:type="pct"/>
            <w:vMerge w:val="continue"/>
            <w:tcBorders>
              <w:left w:val="single" w:color="auto" w:sz="4" w:space="0"/>
            </w:tcBorders>
            <w:vAlign w:val="center"/>
          </w:tcPr>
          <w:p w14:paraId="688B0A71">
            <w:pPr>
              <w:jc w:val="center"/>
              <w:rPr>
                <w:rFonts w:ascii="宋体" w:hAnsi="宋体" w:eastAsia="宋体" w:cs="Times New Roman"/>
                <w:color w:val="000000"/>
                <w:szCs w:val="21"/>
              </w:rPr>
            </w:pPr>
          </w:p>
        </w:tc>
        <w:tc>
          <w:tcPr>
            <w:tcW w:w="796" w:type="pct"/>
            <w:vMerge w:val="restart"/>
            <w:tcBorders>
              <w:top w:val="single" w:color="auto" w:sz="4" w:space="0"/>
            </w:tcBorders>
            <w:vAlign w:val="center"/>
          </w:tcPr>
          <w:p w14:paraId="6655C005">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5.</w:t>
            </w:r>
            <w:r>
              <w:rPr>
                <w:rFonts w:hint="eastAsia" w:ascii="宋体" w:hAnsi="宋体" w:eastAsia="宋体" w:cs="Times New Roman"/>
                <w:color w:val="000000"/>
                <w:kern w:val="0"/>
                <w:szCs w:val="21"/>
              </w:rPr>
              <w:t>班级管理</w:t>
            </w:r>
          </w:p>
        </w:tc>
        <w:tc>
          <w:tcPr>
            <w:tcW w:w="3521" w:type="pct"/>
            <w:tcBorders>
              <w:top w:val="single" w:color="auto" w:sz="4" w:space="0"/>
              <w:bottom w:val="single" w:color="auto" w:sz="4" w:space="0"/>
              <w:right w:val="single" w:color="auto" w:sz="4" w:space="0"/>
            </w:tcBorders>
          </w:tcPr>
          <w:p w14:paraId="79C14133">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指标点5-1：【擅长班队管理】获得小学班队组织与建设的体验。掌握小学班队组织与建设的工作规律和基本方法，具有班队建设和管理的基本能力。</w:t>
            </w:r>
          </w:p>
        </w:tc>
      </w:tr>
      <w:tr w14:paraId="73267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2" w:type="pct"/>
            <w:vMerge w:val="continue"/>
            <w:tcBorders>
              <w:left w:val="single" w:color="auto" w:sz="4" w:space="0"/>
            </w:tcBorders>
            <w:vAlign w:val="center"/>
          </w:tcPr>
          <w:p w14:paraId="35027721">
            <w:pPr>
              <w:jc w:val="center"/>
              <w:rPr>
                <w:rFonts w:ascii="宋体" w:hAnsi="宋体" w:eastAsia="宋体" w:cs="Times New Roman"/>
                <w:color w:val="000000"/>
                <w:szCs w:val="21"/>
              </w:rPr>
            </w:pPr>
          </w:p>
        </w:tc>
        <w:tc>
          <w:tcPr>
            <w:tcW w:w="796" w:type="pct"/>
            <w:vMerge w:val="continue"/>
            <w:vAlign w:val="center"/>
          </w:tcPr>
          <w:p w14:paraId="3A8192B8">
            <w:pPr>
              <w:rPr>
                <w:rFonts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19EA32C3">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指标点5-2：【强化德育地位】获得小学德育工作体验，树立德育为先的理念，熟悉小学德育的基本原理与方法。</w:t>
            </w:r>
          </w:p>
        </w:tc>
      </w:tr>
      <w:tr w14:paraId="542C65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82" w:type="pct"/>
            <w:vMerge w:val="continue"/>
            <w:tcBorders>
              <w:left w:val="single" w:color="auto" w:sz="4" w:space="0"/>
            </w:tcBorders>
            <w:vAlign w:val="center"/>
          </w:tcPr>
          <w:p w14:paraId="327195BC">
            <w:pPr>
              <w:jc w:val="center"/>
              <w:rPr>
                <w:rFonts w:ascii="宋体" w:hAnsi="宋体" w:eastAsia="宋体" w:cs="Times New Roman"/>
                <w:color w:val="000000"/>
                <w:kern w:val="0"/>
                <w:szCs w:val="21"/>
              </w:rPr>
            </w:pPr>
          </w:p>
        </w:tc>
        <w:tc>
          <w:tcPr>
            <w:tcW w:w="796" w:type="pct"/>
            <w:vMerge w:val="continue"/>
            <w:vAlign w:val="center"/>
          </w:tcPr>
          <w:p w14:paraId="4015E43F">
            <w:pPr>
              <w:rPr>
                <w:rFonts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7F431F07">
            <w:pPr>
              <w:spacing w:line="300" w:lineRule="exact"/>
              <w:jc w:val="left"/>
              <w:rPr>
                <w:rFonts w:ascii="宋体" w:hAnsi="宋体" w:eastAsia="宋体" w:cs="Times New Roman"/>
                <w:color w:val="000000"/>
                <w:szCs w:val="21"/>
              </w:rPr>
            </w:pPr>
            <w:r>
              <w:rPr>
                <w:rFonts w:hint="eastAsia" w:ascii="Times New Roman" w:hAnsi="Times New Roman" w:eastAsia="宋体" w:cs="Times New Roman"/>
                <w:szCs w:val="24"/>
              </w:rPr>
              <w:t>指标点5-3：【重视心理健康教育】获得小学心理健康教育指导体验，参与组织与指导对小学生心理健康教育的科普宣传及心理辅导，掌握小学心理健康教育的基本方法。</w:t>
            </w:r>
          </w:p>
        </w:tc>
      </w:tr>
      <w:tr w14:paraId="06817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pct"/>
            <w:vMerge w:val="restart"/>
            <w:tcBorders>
              <w:left w:val="single" w:color="auto" w:sz="4" w:space="0"/>
            </w:tcBorders>
            <w:vAlign w:val="center"/>
          </w:tcPr>
          <w:p w14:paraId="3636E677">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3</w:t>
            </w:r>
          </w:p>
          <w:p w14:paraId="473BA608">
            <w:pPr>
              <w:jc w:val="center"/>
              <w:rPr>
                <w:rFonts w:ascii="宋体" w:hAnsi="宋体" w:eastAsia="宋体" w:cs="Times New Roman"/>
                <w:color w:val="000000"/>
                <w:szCs w:val="21"/>
              </w:rPr>
            </w:pPr>
          </w:p>
        </w:tc>
        <w:tc>
          <w:tcPr>
            <w:tcW w:w="796" w:type="pct"/>
            <w:vMerge w:val="restart"/>
            <w:vAlign w:val="center"/>
          </w:tcPr>
          <w:p w14:paraId="6DA02C19">
            <w:pPr>
              <w:rPr>
                <w:rFonts w:ascii="宋体" w:hAnsi="宋体" w:eastAsia="宋体" w:cs="Times New Roman"/>
                <w:color w:val="000000"/>
                <w:spacing w:val="2"/>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6.</w:t>
            </w:r>
            <w:r>
              <w:rPr>
                <w:rFonts w:hint="eastAsia" w:ascii="宋体" w:hAnsi="宋体" w:eastAsia="宋体" w:cs="Times New Roman"/>
                <w:color w:val="000000"/>
                <w:spacing w:val="2"/>
                <w:kern w:val="0"/>
                <w:szCs w:val="21"/>
              </w:rPr>
              <w:t>综合育人</w:t>
            </w:r>
          </w:p>
        </w:tc>
        <w:tc>
          <w:tcPr>
            <w:tcW w:w="3521" w:type="pct"/>
            <w:tcBorders>
              <w:top w:val="single" w:color="auto" w:sz="4" w:space="0"/>
              <w:bottom w:val="single" w:color="auto" w:sz="4" w:space="0"/>
              <w:right w:val="single" w:color="auto" w:sz="4" w:space="0"/>
            </w:tcBorders>
          </w:tcPr>
          <w:p w14:paraId="4F111F89">
            <w:pPr>
              <w:spacing w:line="300" w:lineRule="exact"/>
              <w:jc w:val="left"/>
              <w:rPr>
                <w:rFonts w:ascii="宋体" w:hAnsi="宋体" w:eastAsia="宋体" w:cs="Times New Roman"/>
                <w:color w:val="000000"/>
                <w:kern w:val="0"/>
                <w:szCs w:val="21"/>
              </w:rPr>
            </w:pPr>
            <w:r>
              <w:rPr>
                <w:rFonts w:hint="eastAsia" w:ascii="Times New Roman" w:hAnsi="Times New Roman" w:eastAsia="宋体" w:cs="Times New Roman"/>
                <w:szCs w:val="24"/>
              </w:rPr>
              <w:t>指标点6-1：【遵循身心规律】了解不同年龄以及有特殊需要的小学生的身心发展特点和规律、不同年龄小学生学习的特点，掌握小学生良好行为习惯养成的知识。</w:t>
            </w:r>
          </w:p>
        </w:tc>
      </w:tr>
      <w:tr w14:paraId="49ABC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pct"/>
            <w:vMerge w:val="continue"/>
            <w:tcBorders>
              <w:left w:val="single" w:color="auto" w:sz="4" w:space="0"/>
            </w:tcBorders>
            <w:vAlign w:val="center"/>
          </w:tcPr>
          <w:p w14:paraId="5C7C9AF2">
            <w:pPr>
              <w:jc w:val="center"/>
              <w:rPr>
                <w:rFonts w:ascii="宋体" w:hAnsi="宋体" w:eastAsia="宋体" w:cs="Times New Roman"/>
                <w:color w:val="000000"/>
                <w:szCs w:val="21"/>
              </w:rPr>
            </w:pPr>
          </w:p>
        </w:tc>
        <w:tc>
          <w:tcPr>
            <w:tcW w:w="796" w:type="pct"/>
            <w:vMerge w:val="continue"/>
            <w:vAlign w:val="center"/>
          </w:tcPr>
          <w:p w14:paraId="045EF63E">
            <w:pPr>
              <w:rPr>
                <w:rFonts w:hint="eastAsia" w:ascii="宋体" w:hAnsi="宋体" w:eastAsia="宋体" w:cs="Times New Roman"/>
                <w:color w:val="000000"/>
                <w:kern w:val="0"/>
                <w:szCs w:val="21"/>
              </w:rPr>
            </w:pPr>
          </w:p>
        </w:tc>
        <w:tc>
          <w:tcPr>
            <w:tcW w:w="3521" w:type="pct"/>
            <w:tcBorders>
              <w:top w:val="single" w:color="auto" w:sz="4" w:space="0"/>
              <w:bottom w:val="single" w:color="auto" w:sz="4" w:space="0"/>
              <w:right w:val="single" w:color="auto" w:sz="4" w:space="0"/>
            </w:tcBorders>
          </w:tcPr>
          <w:p w14:paraId="745EE8C8">
            <w:pPr>
              <w:spacing w:line="300" w:lineRule="exact"/>
              <w:jc w:val="left"/>
              <w:rPr>
                <w:rFonts w:hint="eastAsia" w:ascii="Times New Roman" w:hAnsi="Times New Roman" w:eastAsia="宋体" w:cs="Times New Roman"/>
                <w:szCs w:val="24"/>
              </w:rPr>
            </w:pPr>
            <w:r>
              <w:rPr>
                <w:rFonts w:hint="eastAsia" w:ascii="Times New Roman" w:hAnsi="Times New Roman" w:eastAsia="宋体" w:cs="Times New Roman"/>
                <w:szCs w:val="24"/>
              </w:rPr>
              <w:t>指标点6-2：【懂得学科育人】具有教书育人的意识，理解学科核心素养和拟任教学科课程独特的育人功能，具备结合学科教学进行育人的意识与能力，注重学科教学中思想政治教育的渗透。</w:t>
            </w:r>
          </w:p>
        </w:tc>
      </w:tr>
      <w:tr w14:paraId="7A4F6B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82" w:type="pct"/>
            <w:vMerge w:val="continue"/>
            <w:tcBorders>
              <w:left w:val="single" w:color="auto" w:sz="4" w:space="0"/>
            </w:tcBorders>
            <w:vAlign w:val="center"/>
          </w:tcPr>
          <w:p w14:paraId="354B2D37">
            <w:pPr>
              <w:jc w:val="center"/>
              <w:rPr>
                <w:rFonts w:ascii="宋体" w:hAnsi="宋体" w:eastAsia="宋体" w:cs="Times New Roman"/>
                <w:color w:val="000000"/>
                <w:szCs w:val="21"/>
              </w:rPr>
            </w:pPr>
          </w:p>
        </w:tc>
        <w:tc>
          <w:tcPr>
            <w:tcW w:w="796" w:type="pct"/>
            <w:vMerge w:val="continue"/>
            <w:vAlign w:val="center"/>
          </w:tcPr>
          <w:p w14:paraId="1A72DCF9">
            <w:pPr>
              <w:rPr>
                <w:rFonts w:ascii="宋体" w:hAnsi="宋体" w:eastAsia="宋体" w:cs="Times New Roman"/>
                <w:color w:val="000000"/>
                <w:kern w:val="0"/>
                <w:szCs w:val="21"/>
              </w:rPr>
            </w:pPr>
          </w:p>
        </w:tc>
        <w:tc>
          <w:tcPr>
            <w:tcW w:w="3521" w:type="pct"/>
            <w:tcBorders>
              <w:top w:val="single" w:color="auto" w:sz="4" w:space="0"/>
              <w:right w:val="single" w:color="auto" w:sz="4" w:space="0"/>
            </w:tcBorders>
            <w:vAlign w:val="center"/>
          </w:tcPr>
          <w:p w14:paraId="538A23B0">
            <w:pPr>
              <w:spacing w:line="300" w:lineRule="exact"/>
              <w:jc w:val="left"/>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指标点6-3：【掌握育人方法】了解课外活动组织和管理知识，掌握学校文化和各类课外教育活动的育人内涵和方法，参与组织主题教育、少先队活动和社团活动，促进小学生全面、健康发展。</w:t>
            </w:r>
          </w:p>
        </w:tc>
      </w:tr>
      <w:tr w14:paraId="04DC5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682" w:type="pct"/>
            <w:vMerge w:val="continue"/>
            <w:tcBorders>
              <w:left w:val="single" w:color="auto" w:sz="4" w:space="0"/>
            </w:tcBorders>
            <w:vAlign w:val="center"/>
          </w:tcPr>
          <w:p w14:paraId="0CEDA2B5">
            <w:pPr>
              <w:jc w:val="center"/>
              <w:rPr>
                <w:rFonts w:ascii="宋体" w:hAnsi="宋体" w:eastAsia="宋体" w:cs="Times New Roman"/>
                <w:color w:val="000000"/>
                <w:szCs w:val="21"/>
              </w:rPr>
            </w:pPr>
          </w:p>
        </w:tc>
        <w:tc>
          <w:tcPr>
            <w:tcW w:w="796" w:type="pct"/>
            <w:vMerge w:val="restart"/>
            <w:vAlign w:val="center"/>
          </w:tcPr>
          <w:p w14:paraId="7297A4D3">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hint="eastAsia" w:ascii="宋体" w:hAnsi="宋体" w:eastAsia="宋体" w:cs="Times New Roman"/>
                <w:color w:val="000000"/>
                <w:kern w:val="0"/>
                <w:szCs w:val="21"/>
              </w:rPr>
              <w:t>学会反思</w:t>
            </w:r>
          </w:p>
        </w:tc>
        <w:tc>
          <w:tcPr>
            <w:tcW w:w="3521" w:type="pct"/>
            <w:tcBorders>
              <w:top w:val="single" w:color="auto" w:sz="4" w:space="0"/>
              <w:right w:val="single" w:color="auto" w:sz="4" w:space="0"/>
            </w:tcBorders>
            <w:vAlign w:val="center"/>
          </w:tcPr>
          <w:p w14:paraId="031209E8">
            <w:pPr>
              <w:spacing w:line="300" w:lineRule="exact"/>
              <w:jc w:val="left"/>
              <w:rPr>
                <w:rFonts w:hint="eastAsia"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指标点7-2：【职业规划清晰】了解教师专业发展的要求，形成终身学习的意识和习惯，注重自身的专业发展，根据基础教育课程改革的动态和发展情况，进行职业生涯规划和自主学习。</w:t>
            </w:r>
          </w:p>
        </w:tc>
      </w:tr>
      <w:tr w14:paraId="0EFED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77" w:hRule="atLeast"/>
          <w:jc w:val="center"/>
        </w:trPr>
        <w:tc>
          <w:tcPr>
            <w:tcW w:w="682" w:type="pct"/>
            <w:vMerge w:val="continue"/>
            <w:tcBorders>
              <w:left w:val="single" w:color="auto" w:sz="4" w:space="0"/>
            </w:tcBorders>
            <w:vAlign w:val="center"/>
          </w:tcPr>
          <w:p w14:paraId="7CC5378B">
            <w:pPr>
              <w:jc w:val="center"/>
              <w:rPr>
                <w:rFonts w:ascii="宋体" w:hAnsi="宋体" w:eastAsia="宋体" w:cs="Times New Roman"/>
                <w:color w:val="000000"/>
                <w:szCs w:val="21"/>
              </w:rPr>
            </w:pPr>
          </w:p>
        </w:tc>
        <w:tc>
          <w:tcPr>
            <w:tcW w:w="796" w:type="pct"/>
            <w:vMerge w:val="continue"/>
            <w:vAlign w:val="center"/>
          </w:tcPr>
          <w:p w14:paraId="0632AD80">
            <w:pPr>
              <w:rPr>
                <w:rFonts w:ascii="宋体" w:hAnsi="宋体" w:eastAsia="宋体" w:cs="Times New Roman"/>
                <w:color w:val="000000"/>
                <w:kern w:val="0"/>
                <w:szCs w:val="21"/>
              </w:rPr>
            </w:pPr>
          </w:p>
        </w:tc>
        <w:tc>
          <w:tcPr>
            <w:tcW w:w="3521" w:type="pct"/>
            <w:tcBorders>
              <w:top w:val="single" w:color="auto" w:sz="4" w:space="0"/>
              <w:right w:val="single" w:color="auto" w:sz="4" w:space="0"/>
            </w:tcBorders>
          </w:tcPr>
          <w:p w14:paraId="205E44F5">
            <w:pPr>
              <w:jc w:val="left"/>
              <w:rPr>
                <w:rFonts w:ascii="宋体" w:hAnsi="宋体" w:eastAsia="宋体" w:cs="Times New Roman"/>
                <w:color w:val="000000"/>
                <w:szCs w:val="21"/>
              </w:rPr>
            </w:pPr>
            <w:r>
              <w:rPr>
                <w:rFonts w:hint="eastAsia" w:ascii="Times New Roman" w:hAnsi="Times New Roman" w:eastAsia="宋体" w:cs="Times New Roman"/>
                <w:szCs w:val="24"/>
              </w:rPr>
              <w:t>指标点7-3：【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41D69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jc w:val="center"/>
        </w:trPr>
        <w:tc>
          <w:tcPr>
            <w:tcW w:w="682" w:type="pct"/>
            <w:vMerge w:val="restart"/>
            <w:tcBorders>
              <w:left w:val="single" w:color="auto" w:sz="4" w:space="0"/>
            </w:tcBorders>
            <w:vAlign w:val="center"/>
          </w:tcPr>
          <w:p w14:paraId="23289963">
            <w:pPr>
              <w:jc w:val="center"/>
              <w:rPr>
                <w:rFonts w:ascii="宋体" w:hAnsi="宋体" w:eastAsia="宋体" w:cs="Times New Roman"/>
                <w:color w:val="000000"/>
                <w:szCs w:val="21"/>
              </w:rPr>
            </w:pPr>
            <w:r>
              <w:rPr>
                <w:rFonts w:hint="eastAsia" w:ascii="宋体" w:hAnsi="宋体" w:eastAsia="宋体" w:cs="Times New Roman"/>
                <w:color w:val="000000"/>
                <w:szCs w:val="21"/>
              </w:rPr>
              <w:t>课程目标</w:t>
            </w:r>
            <w:r>
              <w:rPr>
                <w:rFonts w:ascii="宋体" w:hAnsi="宋体" w:eastAsia="宋体" w:cs="Times New Roman"/>
                <w:color w:val="000000"/>
                <w:szCs w:val="21"/>
              </w:rPr>
              <w:t>4</w:t>
            </w:r>
          </w:p>
        </w:tc>
        <w:tc>
          <w:tcPr>
            <w:tcW w:w="796" w:type="pct"/>
            <w:vMerge w:val="restart"/>
            <w:vAlign w:val="center"/>
          </w:tcPr>
          <w:p w14:paraId="2CB92FD8">
            <w:pPr>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8.</w:t>
            </w:r>
            <w:r>
              <w:rPr>
                <w:rFonts w:hint="eastAsia" w:ascii="宋体" w:hAnsi="宋体" w:eastAsia="宋体" w:cs="Times New Roman"/>
                <w:color w:val="000000"/>
                <w:kern w:val="0"/>
                <w:szCs w:val="21"/>
              </w:rPr>
              <w:t>沟通合作</w:t>
            </w:r>
          </w:p>
        </w:tc>
        <w:tc>
          <w:tcPr>
            <w:tcW w:w="3521" w:type="pct"/>
            <w:tcBorders>
              <w:top w:val="single" w:color="auto" w:sz="4" w:space="0"/>
              <w:bottom w:val="single" w:color="auto" w:sz="4" w:space="0"/>
              <w:right w:val="single" w:color="auto" w:sz="4" w:space="0"/>
            </w:tcBorders>
          </w:tcPr>
          <w:p w14:paraId="1BE866F7">
            <w:pPr>
              <w:jc w:val="left"/>
              <w:rPr>
                <w:rFonts w:ascii="宋体" w:hAnsi="宋体" w:eastAsia="宋体" w:cs="Times New Roman"/>
                <w:color w:val="000000"/>
                <w:kern w:val="0"/>
                <w:szCs w:val="21"/>
              </w:rPr>
            </w:pPr>
            <w:r>
              <w:rPr>
                <w:rFonts w:hint="eastAsia" w:ascii="Times New Roman" w:hAnsi="Times New Roman" w:eastAsia="宋体" w:cs="Times New Roman"/>
                <w:szCs w:val="24"/>
              </w:rPr>
              <w:t>指标点8-1：【善于团队合作】理解学习共同体的本质和价值，掌握团队协作的基本策略，在课堂学习与教育实践中获得合作学习体验，形成团队协作精神。</w:t>
            </w:r>
          </w:p>
        </w:tc>
      </w:tr>
      <w:tr w14:paraId="74D80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5" w:hRule="atLeast"/>
          <w:jc w:val="center"/>
        </w:trPr>
        <w:tc>
          <w:tcPr>
            <w:tcW w:w="682" w:type="pct"/>
            <w:vMerge w:val="continue"/>
            <w:tcBorders>
              <w:left w:val="single" w:color="auto" w:sz="4" w:space="0"/>
              <w:bottom w:val="single" w:color="auto" w:sz="4" w:space="0"/>
            </w:tcBorders>
          </w:tcPr>
          <w:p w14:paraId="3953AA01">
            <w:pPr>
              <w:jc w:val="left"/>
              <w:rPr>
                <w:rFonts w:ascii="宋体" w:hAnsi="宋体" w:eastAsia="宋体" w:cs="Times New Roman"/>
                <w:color w:val="000000"/>
                <w:szCs w:val="21"/>
              </w:rPr>
            </w:pPr>
          </w:p>
        </w:tc>
        <w:tc>
          <w:tcPr>
            <w:tcW w:w="796" w:type="pct"/>
            <w:vMerge w:val="continue"/>
            <w:tcBorders>
              <w:bottom w:val="single" w:color="auto" w:sz="4" w:space="0"/>
            </w:tcBorders>
          </w:tcPr>
          <w:p w14:paraId="306D210B">
            <w:pPr>
              <w:jc w:val="left"/>
              <w:rPr>
                <w:rFonts w:ascii="宋体" w:hAnsi="宋体" w:eastAsia="宋体" w:cs="Times New Roman"/>
                <w:color w:val="000000"/>
                <w:szCs w:val="21"/>
              </w:rPr>
            </w:pPr>
          </w:p>
        </w:tc>
        <w:tc>
          <w:tcPr>
            <w:tcW w:w="3521" w:type="pct"/>
            <w:tcBorders>
              <w:top w:val="single" w:color="auto" w:sz="4" w:space="0"/>
              <w:bottom w:val="single" w:color="auto" w:sz="4" w:space="0"/>
              <w:right w:val="single" w:color="auto" w:sz="4" w:space="0"/>
            </w:tcBorders>
          </w:tcPr>
          <w:p w14:paraId="4C4882B9">
            <w:pPr>
              <w:jc w:val="left"/>
              <w:rPr>
                <w:rFonts w:ascii="宋体" w:hAnsi="宋体" w:eastAsia="宋体" w:cs="Times New Roman"/>
                <w:color w:val="000000"/>
                <w:spacing w:val="2"/>
                <w:kern w:val="0"/>
                <w:szCs w:val="21"/>
              </w:rPr>
            </w:pPr>
            <w:r>
              <w:rPr>
                <w:rFonts w:hint="eastAsia" w:ascii="Times New Roman" w:hAnsi="Times New Roman" w:eastAsia="宋体" w:cs="Times New Roman"/>
                <w:szCs w:val="24"/>
              </w:rPr>
              <w:t>指标点8-2：【学会沟通交流】掌握人际沟通合作技能与方法，能与学生和家长以及同行、同事、专家进行有效沟通与合作，实现共同发展。</w:t>
            </w:r>
          </w:p>
        </w:tc>
      </w:tr>
    </w:tbl>
    <w:p w14:paraId="729B19C6">
      <w:pPr>
        <w:snapToGrid w:val="0"/>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三、课程内容与要求</w:t>
      </w:r>
    </w:p>
    <w:p w14:paraId="22D893F2">
      <w:pPr>
        <w:snapToGrid w:val="0"/>
        <w:spacing w:line="360" w:lineRule="auto"/>
        <w:ind w:firstLine="480" w:firstLineChars="200"/>
        <w:rPr>
          <w:rFonts w:ascii="宋体" w:hAnsi="宋体" w:eastAsia="宋体"/>
          <w:bCs/>
          <w:sz w:val="24"/>
          <w:szCs w:val="24"/>
        </w:rPr>
      </w:pPr>
      <w:r>
        <w:rPr>
          <w:rFonts w:hint="eastAsia" w:ascii="宋体" w:hAnsi="宋体" w:eastAsia="宋体"/>
          <w:bCs/>
          <w:sz w:val="24"/>
          <w:szCs w:val="24"/>
        </w:rPr>
        <w:t>（一）课程内容与组织方式</w:t>
      </w:r>
    </w:p>
    <w:tbl>
      <w:tblPr>
        <w:tblStyle w:val="30"/>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150"/>
        <w:gridCol w:w="1230"/>
        <w:gridCol w:w="675"/>
        <w:gridCol w:w="2822"/>
        <w:gridCol w:w="1058"/>
      </w:tblGrid>
      <w:tr w14:paraId="4098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246" w:type="dxa"/>
            <w:vAlign w:val="center"/>
          </w:tcPr>
          <w:p w14:paraId="7F132545">
            <w:pPr>
              <w:snapToGrid w:val="0"/>
              <w:spacing w:line="276" w:lineRule="auto"/>
              <w:jc w:val="center"/>
              <w:rPr>
                <w:rFonts w:ascii="宋体" w:hAnsi="宋体" w:eastAsia="宋体"/>
                <w:b/>
                <w:szCs w:val="21"/>
              </w:rPr>
            </w:pPr>
            <w:r>
              <w:rPr>
                <w:rFonts w:hint="eastAsia" w:ascii="宋体" w:hAnsi="宋体" w:eastAsia="宋体"/>
                <w:b/>
                <w:szCs w:val="21"/>
              </w:rPr>
              <w:t>实习任务</w:t>
            </w:r>
          </w:p>
        </w:tc>
        <w:tc>
          <w:tcPr>
            <w:tcW w:w="2150" w:type="dxa"/>
            <w:vAlign w:val="center"/>
          </w:tcPr>
          <w:p w14:paraId="40D17D2A">
            <w:pPr>
              <w:snapToGrid w:val="0"/>
              <w:spacing w:line="276" w:lineRule="auto"/>
              <w:jc w:val="center"/>
              <w:rPr>
                <w:rFonts w:ascii="宋体" w:hAnsi="宋体" w:eastAsia="宋体"/>
                <w:b/>
                <w:szCs w:val="21"/>
              </w:rPr>
            </w:pPr>
            <w:r>
              <w:rPr>
                <w:rFonts w:hint="eastAsia" w:ascii="宋体" w:hAnsi="宋体" w:eastAsia="宋体"/>
                <w:b/>
                <w:szCs w:val="21"/>
              </w:rPr>
              <w:t>主要内容</w:t>
            </w:r>
          </w:p>
        </w:tc>
        <w:tc>
          <w:tcPr>
            <w:tcW w:w="1230" w:type="dxa"/>
            <w:vAlign w:val="center"/>
          </w:tcPr>
          <w:p w14:paraId="5A86C282">
            <w:pPr>
              <w:snapToGrid w:val="0"/>
              <w:spacing w:line="276" w:lineRule="auto"/>
              <w:jc w:val="center"/>
              <w:rPr>
                <w:rFonts w:ascii="宋体" w:hAnsi="宋体" w:eastAsia="宋体"/>
                <w:b/>
                <w:szCs w:val="21"/>
              </w:rPr>
            </w:pPr>
            <w:r>
              <w:rPr>
                <w:rFonts w:hint="eastAsia" w:ascii="宋体" w:hAnsi="宋体" w:eastAsia="宋体"/>
                <w:b/>
                <w:szCs w:val="21"/>
              </w:rPr>
              <w:t>组织方式</w:t>
            </w:r>
          </w:p>
        </w:tc>
        <w:tc>
          <w:tcPr>
            <w:tcW w:w="675" w:type="dxa"/>
            <w:vAlign w:val="center"/>
          </w:tcPr>
          <w:p w14:paraId="5A2446B7">
            <w:pPr>
              <w:snapToGrid w:val="0"/>
              <w:spacing w:line="276" w:lineRule="auto"/>
              <w:jc w:val="center"/>
              <w:rPr>
                <w:rFonts w:ascii="宋体" w:hAnsi="宋体" w:eastAsia="宋体"/>
                <w:b/>
                <w:spacing w:val="-20"/>
                <w:szCs w:val="21"/>
              </w:rPr>
            </w:pPr>
            <w:r>
              <w:rPr>
                <w:rFonts w:hint="eastAsia" w:ascii="宋体" w:hAnsi="宋体" w:eastAsia="宋体"/>
                <w:b/>
                <w:spacing w:val="-20"/>
                <w:szCs w:val="21"/>
              </w:rPr>
              <w:t>时间要求</w:t>
            </w:r>
          </w:p>
        </w:tc>
        <w:tc>
          <w:tcPr>
            <w:tcW w:w="2822" w:type="dxa"/>
            <w:vAlign w:val="center"/>
          </w:tcPr>
          <w:p w14:paraId="1DB455B6">
            <w:pPr>
              <w:snapToGrid w:val="0"/>
              <w:spacing w:line="276" w:lineRule="auto"/>
              <w:jc w:val="center"/>
              <w:rPr>
                <w:rFonts w:ascii="宋体" w:hAnsi="宋体" w:eastAsia="宋体"/>
                <w:b/>
                <w:szCs w:val="21"/>
              </w:rPr>
            </w:pPr>
            <w:r>
              <w:rPr>
                <w:rFonts w:hint="eastAsia" w:ascii="宋体" w:hAnsi="宋体" w:eastAsia="宋体"/>
                <w:b/>
                <w:szCs w:val="21"/>
              </w:rPr>
              <w:t>实习成果</w:t>
            </w:r>
          </w:p>
        </w:tc>
        <w:tc>
          <w:tcPr>
            <w:tcW w:w="1058" w:type="dxa"/>
            <w:vAlign w:val="center"/>
          </w:tcPr>
          <w:p w14:paraId="18861C43">
            <w:pPr>
              <w:snapToGrid w:val="0"/>
              <w:spacing w:line="276" w:lineRule="auto"/>
              <w:jc w:val="center"/>
              <w:rPr>
                <w:rFonts w:ascii="宋体" w:hAnsi="宋体" w:eastAsia="宋体"/>
                <w:b/>
                <w:szCs w:val="21"/>
              </w:rPr>
            </w:pPr>
            <w:r>
              <w:rPr>
                <w:rFonts w:hint="eastAsia" w:ascii="宋体" w:hAnsi="宋体" w:eastAsia="宋体"/>
                <w:b/>
                <w:szCs w:val="21"/>
              </w:rPr>
              <w:t>备注</w:t>
            </w:r>
          </w:p>
        </w:tc>
      </w:tr>
      <w:tr w14:paraId="22DF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1246" w:type="dxa"/>
            <w:vAlign w:val="center"/>
          </w:tcPr>
          <w:p w14:paraId="2B5C453A">
            <w:pPr>
              <w:snapToGrid w:val="0"/>
              <w:spacing w:line="276" w:lineRule="auto"/>
              <w:jc w:val="center"/>
              <w:rPr>
                <w:rFonts w:ascii="宋体" w:hAnsi="宋体" w:eastAsia="宋体"/>
                <w:b/>
                <w:szCs w:val="21"/>
              </w:rPr>
            </w:pPr>
            <w:r>
              <w:rPr>
                <w:rFonts w:hint="eastAsia" w:ascii="宋体" w:hAnsi="宋体" w:eastAsia="宋体"/>
                <w:b/>
                <w:szCs w:val="21"/>
              </w:rPr>
              <w:t>课堂教学</w:t>
            </w:r>
            <w:r>
              <w:rPr>
                <w:rFonts w:ascii="宋体" w:hAnsi="宋体" w:eastAsia="宋体"/>
                <w:b/>
                <w:szCs w:val="21"/>
              </w:rPr>
              <w:t>实习</w:t>
            </w:r>
          </w:p>
        </w:tc>
        <w:tc>
          <w:tcPr>
            <w:tcW w:w="2150" w:type="dxa"/>
          </w:tcPr>
          <w:p w14:paraId="691DCC85">
            <w:pPr>
              <w:snapToGrid w:val="0"/>
              <w:spacing w:line="276" w:lineRule="auto"/>
              <w:rPr>
                <w:rFonts w:ascii="宋体" w:hAnsi="宋体" w:eastAsia="宋体"/>
                <w:szCs w:val="21"/>
              </w:rPr>
            </w:pPr>
            <w:r>
              <w:rPr>
                <w:rFonts w:hint="eastAsia" w:ascii="宋体" w:hAnsi="宋体" w:eastAsia="宋体"/>
                <w:szCs w:val="21"/>
              </w:rPr>
              <w:t>1.备课</w:t>
            </w:r>
            <w:r>
              <w:rPr>
                <w:rFonts w:ascii="宋体" w:hAnsi="宋体" w:eastAsia="宋体"/>
                <w:szCs w:val="21"/>
              </w:rPr>
              <w:t>与教学设计</w:t>
            </w:r>
            <w:r>
              <w:rPr>
                <w:rFonts w:hint="eastAsia" w:ascii="宋体" w:hAnsi="宋体" w:eastAsia="宋体"/>
                <w:szCs w:val="21"/>
              </w:rPr>
              <w:t>；</w:t>
            </w:r>
          </w:p>
          <w:p w14:paraId="76AB1CF6">
            <w:pPr>
              <w:snapToGrid w:val="0"/>
              <w:spacing w:line="276" w:lineRule="auto"/>
              <w:rPr>
                <w:rFonts w:ascii="宋体" w:hAnsi="宋体" w:eastAsia="宋体"/>
                <w:szCs w:val="21"/>
              </w:rPr>
            </w:pPr>
            <w:r>
              <w:rPr>
                <w:rFonts w:hint="eastAsia" w:ascii="宋体" w:hAnsi="宋体" w:eastAsia="宋体"/>
                <w:szCs w:val="21"/>
              </w:rPr>
              <w:t>2.</w:t>
            </w:r>
            <w:r>
              <w:rPr>
                <w:rFonts w:ascii="宋体" w:hAnsi="宋体" w:eastAsia="宋体"/>
                <w:szCs w:val="21"/>
              </w:rPr>
              <w:t>说课</w:t>
            </w:r>
            <w:r>
              <w:rPr>
                <w:rFonts w:hint="eastAsia" w:ascii="宋体" w:hAnsi="宋体" w:eastAsia="宋体"/>
                <w:szCs w:val="21"/>
              </w:rPr>
              <w:t>；</w:t>
            </w:r>
          </w:p>
          <w:p w14:paraId="4A1D39DF">
            <w:pPr>
              <w:snapToGrid w:val="0"/>
              <w:spacing w:line="276" w:lineRule="auto"/>
              <w:rPr>
                <w:rFonts w:ascii="宋体" w:hAnsi="宋体" w:eastAsia="宋体"/>
                <w:szCs w:val="21"/>
              </w:rPr>
            </w:pPr>
            <w:r>
              <w:rPr>
                <w:rFonts w:hint="eastAsia" w:ascii="宋体" w:hAnsi="宋体" w:eastAsia="宋体"/>
                <w:szCs w:val="21"/>
              </w:rPr>
              <w:t>3.</w:t>
            </w:r>
            <w:r>
              <w:rPr>
                <w:rFonts w:ascii="宋体" w:hAnsi="宋体" w:eastAsia="宋体"/>
                <w:szCs w:val="21"/>
              </w:rPr>
              <w:t>试讲与磨课</w:t>
            </w:r>
            <w:r>
              <w:rPr>
                <w:rFonts w:hint="eastAsia" w:ascii="宋体" w:hAnsi="宋体" w:eastAsia="宋体"/>
                <w:szCs w:val="21"/>
              </w:rPr>
              <w:t>；</w:t>
            </w:r>
          </w:p>
          <w:p w14:paraId="6512AE2E">
            <w:pPr>
              <w:snapToGrid w:val="0"/>
              <w:spacing w:line="276" w:lineRule="auto"/>
              <w:rPr>
                <w:rFonts w:ascii="宋体" w:hAnsi="宋体" w:eastAsia="宋体"/>
                <w:szCs w:val="21"/>
              </w:rPr>
            </w:pPr>
            <w:r>
              <w:rPr>
                <w:rFonts w:hint="eastAsia" w:ascii="宋体" w:hAnsi="宋体" w:eastAsia="宋体"/>
                <w:szCs w:val="21"/>
              </w:rPr>
              <w:t>4.</w:t>
            </w:r>
            <w:r>
              <w:rPr>
                <w:rFonts w:ascii="宋体" w:hAnsi="宋体" w:eastAsia="宋体"/>
                <w:szCs w:val="21"/>
              </w:rPr>
              <w:t>上课</w:t>
            </w:r>
            <w:r>
              <w:rPr>
                <w:rFonts w:hint="eastAsia" w:ascii="宋体" w:hAnsi="宋体" w:eastAsia="宋体"/>
                <w:szCs w:val="21"/>
              </w:rPr>
              <w:t>；</w:t>
            </w:r>
          </w:p>
          <w:p w14:paraId="42AF46CE">
            <w:pPr>
              <w:snapToGrid w:val="0"/>
              <w:spacing w:line="276" w:lineRule="auto"/>
              <w:rPr>
                <w:rFonts w:ascii="宋体" w:hAnsi="宋体" w:eastAsia="宋体"/>
                <w:szCs w:val="21"/>
              </w:rPr>
            </w:pPr>
            <w:r>
              <w:rPr>
                <w:rFonts w:hint="eastAsia" w:ascii="宋体" w:hAnsi="宋体" w:eastAsia="宋体"/>
                <w:szCs w:val="21"/>
              </w:rPr>
              <w:t>5.教育</w:t>
            </w:r>
            <w:r>
              <w:rPr>
                <w:rFonts w:ascii="宋体" w:hAnsi="宋体" w:eastAsia="宋体"/>
                <w:szCs w:val="21"/>
              </w:rPr>
              <w:t>教学评价</w:t>
            </w:r>
            <w:r>
              <w:rPr>
                <w:rFonts w:hint="eastAsia" w:ascii="宋体" w:hAnsi="宋体" w:eastAsia="宋体"/>
                <w:szCs w:val="21"/>
              </w:rPr>
              <w:t>；</w:t>
            </w:r>
          </w:p>
          <w:p w14:paraId="3A4F669A">
            <w:pPr>
              <w:snapToGrid w:val="0"/>
              <w:spacing w:line="276" w:lineRule="auto"/>
              <w:rPr>
                <w:rFonts w:ascii="宋体" w:hAnsi="宋体" w:eastAsia="宋体"/>
                <w:szCs w:val="21"/>
              </w:rPr>
            </w:pPr>
            <w:r>
              <w:rPr>
                <w:rFonts w:hint="eastAsia" w:ascii="宋体" w:hAnsi="宋体" w:eastAsia="宋体"/>
                <w:szCs w:val="21"/>
              </w:rPr>
              <w:t>6</w:t>
            </w:r>
            <w:r>
              <w:rPr>
                <w:rFonts w:ascii="宋体" w:hAnsi="宋体" w:eastAsia="宋体"/>
                <w:szCs w:val="21"/>
              </w:rPr>
              <w:t>.</w:t>
            </w:r>
            <w:r>
              <w:rPr>
                <w:rFonts w:hint="eastAsia" w:ascii="宋体" w:hAnsi="宋体" w:eastAsia="宋体"/>
                <w:szCs w:val="21"/>
              </w:rPr>
              <w:t>参加教研活动。</w:t>
            </w:r>
          </w:p>
        </w:tc>
        <w:tc>
          <w:tcPr>
            <w:tcW w:w="1230" w:type="dxa"/>
            <w:vMerge w:val="restart"/>
            <w:vAlign w:val="center"/>
          </w:tcPr>
          <w:p w14:paraId="7D75C313">
            <w:pPr>
              <w:snapToGrid w:val="0"/>
              <w:spacing w:line="276" w:lineRule="auto"/>
              <w:rPr>
                <w:rFonts w:ascii="宋体" w:hAnsi="宋体" w:eastAsia="宋体"/>
                <w:szCs w:val="21"/>
              </w:rPr>
            </w:pPr>
            <w:r>
              <w:rPr>
                <w:rFonts w:hint="eastAsia" w:ascii="宋体" w:hAnsi="宋体" w:eastAsia="宋体"/>
                <w:szCs w:val="21"/>
              </w:rPr>
              <w:t>集中实习；双导师制（带队教师驻点指导）。</w:t>
            </w:r>
          </w:p>
        </w:tc>
        <w:tc>
          <w:tcPr>
            <w:tcW w:w="675" w:type="dxa"/>
            <w:vMerge w:val="restart"/>
            <w:vAlign w:val="center"/>
          </w:tcPr>
          <w:p w14:paraId="4539DC97">
            <w:pPr>
              <w:snapToGrid w:val="0"/>
              <w:spacing w:line="276" w:lineRule="auto"/>
              <w:jc w:val="center"/>
              <w:rPr>
                <w:rFonts w:ascii="宋体" w:hAnsi="宋体" w:eastAsia="宋体"/>
                <w:szCs w:val="21"/>
              </w:rPr>
            </w:pPr>
            <w:r>
              <w:rPr>
                <w:rFonts w:hint="eastAsia" w:ascii="宋体" w:hAnsi="宋体" w:eastAsia="宋体"/>
                <w:szCs w:val="21"/>
              </w:rPr>
              <w:t>8周</w:t>
            </w:r>
          </w:p>
        </w:tc>
        <w:tc>
          <w:tcPr>
            <w:tcW w:w="2822" w:type="dxa"/>
            <w:vAlign w:val="center"/>
          </w:tcPr>
          <w:p w14:paraId="0734CB12">
            <w:pPr>
              <w:snapToGrid w:val="0"/>
              <w:spacing w:line="276" w:lineRule="auto"/>
              <w:rPr>
                <w:rFonts w:ascii="宋体" w:hAnsi="宋体" w:eastAsia="宋体"/>
                <w:szCs w:val="21"/>
              </w:rPr>
            </w:pPr>
            <w:r>
              <w:rPr>
                <w:rFonts w:hint="eastAsia" w:ascii="宋体" w:hAnsi="宋体" w:eastAsia="宋体"/>
                <w:szCs w:val="21"/>
              </w:rPr>
              <w:t>听课不少于40节，交课堂实录20份；</w:t>
            </w:r>
          </w:p>
          <w:p w14:paraId="3EA7D261">
            <w:pPr>
              <w:snapToGrid w:val="0"/>
              <w:spacing w:line="276" w:lineRule="auto"/>
              <w:rPr>
                <w:rFonts w:ascii="宋体" w:hAnsi="宋体" w:eastAsia="宋体"/>
                <w:szCs w:val="21"/>
              </w:rPr>
            </w:pPr>
            <w:r>
              <w:rPr>
                <w:rFonts w:hint="eastAsia" w:ascii="宋体" w:hAnsi="宋体" w:eastAsia="宋体"/>
                <w:szCs w:val="21"/>
              </w:rPr>
              <w:t>教学设计8份；</w:t>
            </w:r>
          </w:p>
          <w:p w14:paraId="4DF76F35">
            <w:pPr>
              <w:snapToGrid w:val="0"/>
              <w:spacing w:line="276" w:lineRule="auto"/>
              <w:rPr>
                <w:rFonts w:ascii="宋体" w:hAnsi="宋体" w:eastAsia="宋体"/>
                <w:szCs w:val="21"/>
              </w:rPr>
            </w:pPr>
            <w:r>
              <w:rPr>
                <w:rFonts w:hint="eastAsia" w:ascii="宋体" w:hAnsi="宋体" w:eastAsia="宋体"/>
                <w:szCs w:val="21"/>
              </w:rPr>
              <w:t>说课稿4份；</w:t>
            </w:r>
          </w:p>
          <w:p w14:paraId="2914F7AC">
            <w:pPr>
              <w:snapToGrid w:val="0"/>
              <w:spacing w:line="276" w:lineRule="auto"/>
              <w:rPr>
                <w:rFonts w:ascii="宋体" w:hAnsi="宋体" w:eastAsia="宋体"/>
                <w:szCs w:val="21"/>
              </w:rPr>
            </w:pPr>
            <w:r>
              <w:rPr>
                <w:rFonts w:hint="eastAsia" w:ascii="宋体" w:hAnsi="宋体" w:eastAsia="宋体"/>
                <w:szCs w:val="21"/>
              </w:rPr>
              <w:t>教育教学评价（试卷）1份。</w:t>
            </w:r>
          </w:p>
          <w:p w14:paraId="4C7DEA4A">
            <w:pPr>
              <w:snapToGrid w:val="0"/>
              <w:spacing w:line="276" w:lineRule="auto"/>
              <w:rPr>
                <w:rFonts w:ascii="宋体" w:hAnsi="宋体" w:eastAsia="宋体"/>
                <w:szCs w:val="21"/>
              </w:rPr>
            </w:pPr>
            <w:r>
              <w:rPr>
                <w:rFonts w:hint="eastAsia" w:ascii="宋体" w:hAnsi="宋体" w:eastAsia="宋体"/>
                <w:szCs w:val="21"/>
              </w:rPr>
              <w:t>参与或组织评课活动，交教研活动记录1篇。</w:t>
            </w:r>
          </w:p>
        </w:tc>
        <w:tc>
          <w:tcPr>
            <w:tcW w:w="1058" w:type="dxa"/>
            <w:vMerge w:val="restart"/>
            <w:vAlign w:val="center"/>
          </w:tcPr>
          <w:p w14:paraId="391CAF6D">
            <w:pPr>
              <w:snapToGrid w:val="0"/>
              <w:spacing w:line="276" w:lineRule="auto"/>
              <w:rPr>
                <w:rFonts w:ascii="宋体" w:hAnsi="宋体" w:eastAsia="宋体"/>
                <w:szCs w:val="21"/>
              </w:rPr>
            </w:pPr>
            <w:r>
              <w:rPr>
                <w:rFonts w:hint="eastAsia" w:ascii="宋体" w:hAnsi="宋体" w:eastAsia="宋体"/>
                <w:szCs w:val="21"/>
              </w:rPr>
              <w:t>1.召开实习动员；</w:t>
            </w:r>
          </w:p>
          <w:p w14:paraId="0D940025">
            <w:pPr>
              <w:snapToGrid w:val="0"/>
              <w:spacing w:line="276" w:lineRule="auto"/>
              <w:rPr>
                <w:rFonts w:ascii="宋体" w:hAnsi="宋体" w:eastAsia="宋体"/>
                <w:szCs w:val="21"/>
              </w:rPr>
            </w:pPr>
            <w:r>
              <w:rPr>
                <w:rFonts w:hint="eastAsia" w:ascii="宋体" w:hAnsi="宋体" w:eastAsia="宋体"/>
                <w:szCs w:val="21"/>
              </w:rPr>
              <w:t>2.召开实习总结交流会；</w:t>
            </w:r>
          </w:p>
          <w:p w14:paraId="2E9D9DFD">
            <w:pPr>
              <w:snapToGrid w:val="0"/>
              <w:spacing w:line="276" w:lineRule="auto"/>
              <w:rPr>
                <w:rFonts w:ascii="宋体" w:hAnsi="宋体" w:eastAsia="宋体"/>
                <w:szCs w:val="21"/>
              </w:rPr>
            </w:pPr>
          </w:p>
        </w:tc>
      </w:tr>
      <w:tr w14:paraId="081A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46" w:type="dxa"/>
            <w:vAlign w:val="center"/>
          </w:tcPr>
          <w:p w14:paraId="1E23F112">
            <w:pPr>
              <w:snapToGrid w:val="0"/>
              <w:spacing w:line="276" w:lineRule="auto"/>
              <w:jc w:val="center"/>
              <w:rPr>
                <w:rFonts w:ascii="宋体" w:hAnsi="宋体" w:eastAsia="宋体"/>
                <w:b/>
                <w:szCs w:val="21"/>
              </w:rPr>
            </w:pPr>
            <w:r>
              <w:rPr>
                <w:rFonts w:ascii="宋体" w:hAnsi="宋体" w:eastAsia="宋体"/>
                <w:b/>
                <w:szCs w:val="21"/>
              </w:rPr>
              <w:t>班</w:t>
            </w:r>
            <w:r>
              <w:rPr>
                <w:rFonts w:hint="eastAsia" w:ascii="宋体" w:hAnsi="宋体" w:eastAsia="宋体"/>
                <w:b/>
                <w:szCs w:val="21"/>
              </w:rPr>
              <w:t>队</w:t>
            </w:r>
            <w:r>
              <w:rPr>
                <w:rFonts w:ascii="宋体" w:hAnsi="宋体" w:eastAsia="宋体"/>
                <w:b/>
                <w:szCs w:val="21"/>
              </w:rPr>
              <w:t>管理</w:t>
            </w:r>
            <w:r>
              <w:rPr>
                <w:rFonts w:hint="eastAsia" w:ascii="宋体" w:hAnsi="宋体" w:eastAsia="宋体"/>
                <w:b/>
                <w:szCs w:val="21"/>
              </w:rPr>
              <w:t>工作实习</w:t>
            </w:r>
          </w:p>
        </w:tc>
        <w:tc>
          <w:tcPr>
            <w:tcW w:w="2150" w:type="dxa"/>
          </w:tcPr>
          <w:p w14:paraId="2E70B1B1">
            <w:pPr>
              <w:snapToGrid w:val="0"/>
              <w:spacing w:line="276" w:lineRule="auto"/>
              <w:rPr>
                <w:rFonts w:ascii="宋体" w:hAnsi="宋体" w:eastAsia="宋体"/>
                <w:szCs w:val="21"/>
              </w:rPr>
            </w:pPr>
            <w:r>
              <w:rPr>
                <w:rFonts w:hint="eastAsia" w:ascii="宋体" w:hAnsi="宋体" w:eastAsia="宋体"/>
                <w:szCs w:val="21"/>
              </w:rPr>
              <w:t>1.拟订班队方案；</w:t>
            </w:r>
          </w:p>
          <w:p w14:paraId="4F837A52">
            <w:pPr>
              <w:snapToGrid w:val="0"/>
              <w:spacing w:line="276" w:lineRule="auto"/>
              <w:rPr>
                <w:rFonts w:ascii="宋体" w:hAnsi="宋体" w:eastAsia="宋体"/>
                <w:szCs w:val="21"/>
              </w:rPr>
            </w:pPr>
            <w:r>
              <w:rPr>
                <w:rFonts w:hint="eastAsia" w:ascii="宋体" w:hAnsi="宋体" w:eastAsia="宋体"/>
                <w:szCs w:val="21"/>
              </w:rPr>
              <w:t>2.召开主题班会；</w:t>
            </w:r>
            <w:r>
              <w:rPr>
                <w:rFonts w:ascii="宋体" w:hAnsi="宋体" w:eastAsia="宋体"/>
                <w:szCs w:val="21"/>
              </w:rPr>
              <w:t xml:space="preserve"> </w:t>
            </w:r>
          </w:p>
          <w:p w14:paraId="56DB5E3D">
            <w:pPr>
              <w:snapToGrid w:val="0"/>
              <w:spacing w:line="276" w:lineRule="auto"/>
              <w:rPr>
                <w:rFonts w:ascii="宋体" w:hAnsi="宋体" w:eastAsia="宋体"/>
                <w:szCs w:val="21"/>
              </w:rPr>
            </w:pPr>
            <w:r>
              <w:rPr>
                <w:rFonts w:hint="eastAsia" w:ascii="宋体" w:hAnsi="宋体" w:eastAsia="宋体"/>
                <w:szCs w:val="21"/>
              </w:rPr>
              <w:t>3.开展班队活动；</w:t>
            </w:r>
          </w:p>
          <w:p w14:paraId="5230E79F">
            <w:pPr>
              <w:snapToGrid w:val="0"/>
              <w:spacing w:line="276" w:lineRule="auto"/>
              <w:rPr>
                <w:rFonts w:ascii="宋体" w:hAnsi="宋体" w:eastAsia="宋体"/>
                <w:szCs w:val="21"/>
              </w:rPr>
            </w:pPr>
            <w:r>
              <w:rPr>
                <w:rFonts w:hint="eastAsia" w:ascii="宋体" w:hAnsi="宋体" w:eastAsia="宋体"/>
                <w:szCs w:val="21"/>
              </w:rPr>
              <w:t>4.组织课外活动；</w:t>
            </w:r>
          </w:p>
          <w:p w14:paraId="2C5CC92F">
            <w:pPr>
              <w:snapToGrid w:val="0"/>
              <w:spacing w:line="276" w:lineRule="auto"/>
              <w:rPr>
                <w:rFonts w:ascii="宋体" w:hAnsi="宋体" w:eastAsia="宋体"/>
                <w:szCs w:val="21"/>
              </w:rPr>
            </w:pPr>
            <w:r>
              <w:rPr>
                <w:rFonts w:hint="eastAsia" w:ascii="宋体" w:hAnsi="宋体" w:eastAsia="宋体"/>
                <w:szCs w:val="21"/>
              </w:rPr>
              <w:t>5.掌握个别谈话技能；</w:t>
            </w:r>
          </w:p>
          <w:p w14:paraId="3DD59DFC">
            <w:pPr>
              <w:snapToGrid w:val="0"/>
              <w:spacing w:line="276" w:lineRule="auto"/>
              <w:rPr>
                <w:rFonts w:ascii="宋体" w:hAnsi="宋体" w:eastAsia="宋体"/>
                <w:szCs w:val="21"/>
              </w:rPr>
            </w:pPr>
            <w:r>
              <w:rPr>
                <w:rFonts w:hint="eastAsia" w:ascii="宋体" w:hAnsi="宋体" w:eastAsia="宋体"/>
                <w:szCs w:val="21"/>
              </w:rPr>
              <w:t>6.学会家访。</w:t>
            </w:r>
          </w:p>
        </w:tc>
        <w:tc>
          <w:tcPr>
            <w:tcW w:w="1230" w:type="dxa"/>
            <w:vMerge w:val="continue"/>
          </w:tcPr>
          <w:p w14:paraId="54532C62">
            <w:pPr>
              <w:snapToGrid w:val="0"/>
              <w:spacing w:line="276" w:lineRule="auto"/>
              <w:rPr>
                <w:rFonts w:ascii="宋体" w:hAnsi="宋体" w:eastAsia="宋体"/>
                <w:szCs w:val="21"/>
              </w:rPr>
            </w:pPr>
          </w:p>
        </w:tc>
        <w:tc>
          <w:tcPr>
            <w:tcW w:w="675" w:type="dxa"/>
            <w:vMerge w:val="continue"/>
          </w:tcPr>
          <w:p w14:paraId="019F63D9">
            <w:pPr>
              <w:snapToGrid w:val="0"/>
              <w:spacing w:line="276" w:lineRule="auto"/>
              <w:rPr>
                <w:rFonts w:ascii="宋体" w:hAnsi="宋体" w:eastAsia="宋体"/>
                <w:szCs w:val="21"/>
              </w:rPr>
            </w:pPr>
          </w:p>
        </w:tc>
        <w:tc>
          <w:tcPr>
            <w:tcW w:w="2822" w:type="dxa"/>
            <w:vAlign w:val="center"/>
          </w:tcPr>
          <w:p w14:paraId="5B123BA8">
            <w:pPr>
              <w:snapToGrid w:val="0"/>
              <w:spacing w:line="276" w:lineRule="auto"/>
              <w:rPr>
                <w:rFonts w:ascii="宋体" w:hAnsi="宋体" w:eastAsia="宋体"/>
                <w:szCs w:val="21"/>
              </w:rPr>
            </w:pPr>
            <w:r>
              <w:rPr>
                <w:rFonts w:hint="eastAsia" w:ascii="宋体" w:hAnsi="宋体" w:eastAsia="宋体"/>
                <w:szCs w:val="21"/>
              </w:rPr>
              <w:t>班级活动方案1个；</w:t>
            </w:r>
          </w:p>
          <w:p w14:paraId="0D715C67">
            <w:pPr>
              <w:snapToGrid w:val="0"/>
              <w:spacing w:line="276" w:lineRule="auto"/>
              <w:rPr>
                <w:rFonts w:ascii="宋体" w:hAnsi="宋体" w:eastAsia="宋体"/>
                <w:szCs w:val="21"/>
              </w:rPr>
            </w:pPr>
            <w:r>
              <w:rPr>
                <w:rFonts w:hint="eastAsia" w:ascii="宋体" w:hAnsi="宋体" w:eastAsia="宋体"/>
                <w:szCs w:val="21"/>
              </w:rPr>
              <w:t>少先队活动方案1份；</w:t>
            </w:r>
          </w:p>
          <w:p w14:paraId="2E697BBD">
            <w:pPr>
              <w:snapToGrid w:val="0"/>
              <w:spacing w:line="276" w:lineRule="auto"/>
              <w:rPr>
                <w:rFonts w:ascii="宋体" w:hAnsi="宋体" w:eastAsia="宋体"/>
                <w:szCs w:val="21"/>
              </w:rPr>
            </w:pPr>
            <w:r>
              <w:rPr>
                <w:rFonts w:hint="eastAsia" w:ascii="宋体" w:hAnsi="宋体" w:eastAsia="宋体"/>
                <w:szCs w:val="21"/>
              </w:rPr>
              <w:t>学生典型个案分析1篇；</w:t>
            </w:r>
          </w:p>
          <w:p w14:paraId="401322CD">
            <w:pPr>
              <w:snapToGrid w:val="0"/>
              <w:spacing w:line="276" w:lineRule="auto"/>
              <w:rPr>
                <w:rFonts w:ascii="宋体" w:hAnsi="宋体" w:eastAsia="宋体"/>
                <w:szCs w:val="21"/>
              </w:rPr>
            </w:pPr>
            <w:r>
              <w:rPr>
                <w:rFonts w:hint="eastAsia" w:ascii="宋体" w:hAnsi="宋体" w:eastAsia="宋体"/>
                <w:szCs w:val="21"/>
              </w:rPr>
              <w:t>家访记录1份。</w:t>
            </w:r>
          </w:p>
        </w:tc>
        <w:tc>
          <w:tcPr>
            <w:tcW w:w="1058" w:type="dxa"/>
            <w:vMerge w:val="continue"/>
          </w:tcPr>
          <w:p w14:paraId="47D81550">
            <w:pPr>
              <w:snapToGrid w:val="0"/>
              <w:spacing w:line="276" w:lineRule="auto"/>
              <w:rPr>
                <w:rFonts w:ascii="宋体" w:hAnsi="宋体" w:eastAsia="宋体"/>
                <w:szCs w:val="21"/>
              </w:rPr>
            </w:pPr>
          </w:p>
        </w:tc>
      </w:tr>
      <w:tr w14:paraId="621E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46" w:type="dxa"/>
            <w:vAlign w:val="center"/>
          </w:tcPr>
          <w:p w14:paraId="076DC38B">
            <w:pPr>
              <w:snapToGrid w:val="0"/>
              <w:spacing w:line="276" w:lineRule="auto"/>
              <w:jc w:val="center"/>
              <w:rPr>
                <w:rFonts w:ascii="宋体" w:hAnsi="宋体" w:eastAsia="宋体"/>
                <w:b/>
                <w:szCs w:val="21"/>
              </w:rPr>
            </w:pPr>
            <w:r>
              <w:rPr>
                <w:rFonts w:hint="eastAsia" w:ascii="宋体" w:hAnsi="宋体" w:eastAsia="宋体"/>
                <w:b/>
                <w:szCs w:val="21"/>
              </w:rPr>
              <w:t>实习成果汇报</w:t>
            </w:r>
          </w:p>
        </w:tc>
        <w:tc>
          <w:tcPr>
            <w:tcW w:w="2150" w:type="dxa"/>
          </w:tcPr>
          <w:p w14:paraId="25AF39C2">
            <w:pPr>
              <w:snapToGrid w:val="0"/>
              <w:spacing w:line="276" w:lineRule="auto"/>
              <w:rPr>
                <w:rFonts w:ascii="宋体" w:hAnsi="宋体" w:eastAsia="宋体"/>
                <w:szCs w:val="21"/>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上实习汇报课；</w:t>
            </w:r>
          </w:p>
          <w:p w14:paraId="1B399695">
            <w:pPr>
              <w:snapToGrid w:val="0"/>
              <w:spacing w:line="276" w:lineRule="auto"/>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上班活动课</w:t>
            </w:r>
          </w:p>
          <w:p w14:paraId="6C0B4376">
            <w:pPr>
              <w:snapToGrid w:val="0"/>
              <w:spacing w:line="276" w:lineRule="auto"/>
              <w:rPr>
                <w:rFonts w:ascii="宋体" w:hAnsi="宋体" w:eastAsia="宋体"/>
                <w:szCs w:val="21"/>
              </w:rPr>
            </w:pPr>
            <w:r>
              <w:rPr>
                <w:rFonts w:ascii="宋体" w:hAnsi="宋体" w:eastAsia="宋体"/>
                <w:szCs w:val="21"/>
              </w:rPr>
              <w:t>3</w:t>
            </w:r>
            <w:r>
              <w:rPr>
                <w:rFonts w:hint="eastAsia" w:ascii="宋体" w:hAnsi="宋体" w:eastAsia="宋体"/>
                <w:szCs w:val="21"/>
              </w:rPr>
              <w:t>．</w:t>
            </w:r>
            <w:r>
              <w:rPr>
                <w:rFonts w:ascii="宋体" w:hAnsi="宋体" w:eastAsia="宋体"/>
                <w:szCs w:val="21"/>
              </w:rPr>
              <w:t>做好教育调查。</w:t>
            </w:r>
          </w:p>
        </w:tc>
        <w:tc>
          <w:tcPr>
            <w:tcW w:w="1230" w:type="dxa"/>
            <w:vMerge w:val="continue"/>
          </w:tcPr>
          <w:p w14:paraId="172A63DB">
            <w:pPr>
              <w:snapToGrid w:val="0"/>
              <w:spacing w:line="276" w:lineRule="auto"/>
              <w:rPr>
                <w:rFonts w:ascii="宋体" w:hAnsi="宋体" w:eastAsia="宋体"/>
                <w:szCs w:val="21"/>
              </w:rPr>
            </w:pPr>
          </w:p>
        </w:tc>
        <w:tc>
          <w:tcPr>
            <w:tcW w:w="675" w:type="dxa"/>
            <w:vMerge w:val="continue"/>
          </w:tcPr>
          <w:p w14:paraId="01F78405">
            <w:pPr>
              <w:snapToGrid w:val="0"/>
              <w:spacing w:line="276" w:lineRule="auto"/>
              <w:rPr>
                <w:rFonts w:ascii="宋体" w:hAnsi="宋体" w:eastAsia="宋体"/>
                <w:szCs w:val="21"/>
              </w:rPr>
            </w:pPr>
          </w:p>
        </w:tc>
        <w:tc>
          <w:tcPr>
            <w:tcW w:w="2822" w:type="dxa"/>
            <w:vAlign w:val="center"/>
          </w:tcPr>
          <w:p w14:paraId="27628945">
            <w:pPr>
              <w:snapToGrid w:val="0"/>
              <w:spacing w:line="276" w:lineRule="auto"/>
              <w:rPr>
                <w:rFonts w:ascii="宋体" w:hAnsi="宋体" w:eastAsia="宋体"/>
                <w:szCs w:val="21"/>
              </w:rPr>
            </w:pPr>
            <w:r>
              <w:rPr>
                <w:rFonts w:hint="eastAsia" w:ascii="宋体" w:hAnsi="宋体" w:eastAsia="宋体"/>
                <w:szCs w:val="21"/>
              </w:rPr>
              <w:t>提交汇报课教学活动设计、班队活动设计各</w:t>
            </w:r>
            <w:r>
              <w:rPr>
                <w:rFonts w:ascii="宋体" w:hAnsi="宋体" w:eastAsia="宋体"/>
                <w:szCs w:val="21"/>
              </w:rPr>
              <w:t>1份，提供实习教学视频不少于4个（按要求上传系统）；提交调查报告1份。</w:t>
            </w:r>
          </w:p>
        </w:tc>
        <w:tc>
          <w:tcPr>
            <w:tcW w:w="1058" w:type="dxa"/>
            <w:vMerge w:val="continue"/>
          </w:tcPr>
          <w:p w14:paraId="2043D401">
            <w:pPr>
              <w:snapToGrid w:val="0"/>
              <w:spacing w:line="276" w:lineRule="auto"/>
              <w:rPr>
                <w:rFonts w:ascii="宋体" w:hAnsi="宋体" w:eastAsia="宋体"/>
                <w:szCs w:val="21"/>
              </w:rPr>
            </w:pPr>
          </w:p>
        </w:tc>
      </w:tr>
    </w:tbl>
    <w:p w14:paraId="6BA35694">
      <w:pPr>
        <w:snapToGrid w:val="0"/>
        <w:spacing w:line="360" w:lineRule="auto"/>
        <w:rPr>
          <w:rFonts w:ascii="宋体" w:hAnsi="宋体" w:eastAsia="宋体"/>
          <w:sz w:val="24"/>
          <w:szCs w:val="24"/>
        </w:rPr>
      </w:pPr>
    </w:p>
    <w:p w14:paraId="476C2A9A">
      <w:pPr>
        <w:snapToGrid w:val="0"/>
        <w:spacing w:line="360" w:lineRule="auto"/>
        <w:rPr>
          <w:rFonts w:ascii="宋体" w:hAnsi="宋体" w:eastAsia="宋体"/>
          <w:sz w:val="24"/>
          <w:szCs w:val="24"/>
        </w:rPr>
      </w:pPr>
    </w:p>
    <w:p w14:paraId="7CD92E96">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（二）教学内容与</w:t>
      </w:r>
      <w:r>
        <w:rPr>
          <w:rFonts w:ascii="宋体" w:hAnsi="宋体" w:eastAsia="宋体"/>
          <w:sz w:val="24"/>
          <w:szCs w:val="24"/>
        </w:rPr>
        <w:t>课程目标的</w:t>
      </w:r>
      <w:r>
        <w:rPr>
          <w:rFonts w:hint="eastAsia" w:ascii="宋体" w:hAnsi="宋体" w:eastAsia="宋体"/>
          <w:sz w:val="24"/>
          <w:szCs w:val="24"/>
        </w:rPr>
        <w:t>对应关系及</w:t>
      </w:r>
      <w:r>
        <w:rPr>
          <w:rFonts w:ascii="宋体" w:hAnsi="宋体" w:eastAsia="宋体"/>
          <w:sz w:val="24"/>
          <w:szCs w:val="24"/>
        </w:rPr>
        <w:t>学时分配</w:t>
      </w:r>
    </w:p>
    <w:p w14:paraId="429BAB84">
      <w:pPr>
        <w:snapToGrid w:val="0"/>
        <w:spacing w:line="360" w:lineRule="auto"/>
        <w:jc w:val="center"/>
        <w:rPr>
          <w:rFonts w:ascii="宋体" w:hAnsi="宋体" w:eastAsia="宋体"/>
          <w:b/>
          <w:bCs/>
          <w:color w:val="000000"/>
          <w:sz w:val="24"/>
          <w:szCs w:val="24"/>
        </w:rPr>
      </w:pPr>
      <w:r>
        <w:rPr>
          <w:rFonts w:hint="eastAsia" w:ascii="宋体" w:hAnsi="宋体" w:eastAsia="宋体"/>
          <w:b/>
          <w:bCs/>
          <w:color w:val="000000"/>
          <w:sz w:val="24"/>
          <w:szCs w:val="24"/>
        </w:rPr>
        <w:t>课程内容与课程目标的对应关系</w:t>
      </w:r>
    </w:p>
    <w:tbl>
      <w:tblPr>
        <w:tblStyle w:val="30"/>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425"/>
        <w:gridCol w:w="1380"/>
        <w:gridCol w:w="1425"/>
        <w:gridCol w:w="1360"/>
      </w:tblGrid>
      <w:tr w14:paraId="2BAE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721" w:type="dxa"/>
            <w:vAlign w:val="center"/>
          </w:tcPr>
          <w:p w14:paraId="39DF023E">
            <w:pPr>
              <w:snapToGrid w:val="0"/>
              <w:jc w:val="center"/>
              <w:rPr>
                <w:rFonts w:ascii="宋体" w:hAnsi="宋体" w:eastAsia="宋体"/>
                <w:color w:val="000000"/>
                <w:szCs w:val="21"/>
              </w:rPr>
            </w:pPr>
            <w:r>
              <w:rPr>
                <w:rFonts w:hint="eastAsia" w:ascii="宋体" w:hAnsi="宋体" w:eastAsia="宋体"/>
                <w:color w:val="000000"/>
                <w:szCs w:val="21"/>
              </w:rPr>
              <w:t>课程内容</w:t>
            </w:r>
          </w:p>
        </w:tc>
        <w:tc>
          <w:tcPr>
            <w:tcW w:w="1425" w:type="dxa"/>
            <w:vAlign w:val="center"/>
          </w:tcPr>
          <w:p w14:paraId="045A4DEB">
            <w:pPr>
              <w:snapToGrid w:val="0"/>
              <w:jc w:val="center"/>
              <w:rPr>
                <w:rFonts w:ascii="宋体" w:hAnsi="宋体" w:eastAsia="宋体"/>
                <w:color w:val="000000"/>
                <w:szCs w:val="21"/>
              </w:rPr>
            </w:pPr>
            <w:r>
              <w:rPr>
                <w:rFonts w:hint="eastAsia" w:ascii="宋体" w:hAnsi="宋体" w:eastAsia="宋体"/>
                <w:color w:val="000000"/>
                <w:szCs w:val="21"/>
              </w:rPr>
              <w:t>课程目标</w:t>
            </w:r>
            <w:r>
              <w:rPr>
                <w:rFonts w:ascii="宋体" w:hAnsi="宋体" w:eastAsia="宋体"/>
                <w:color w:val="000000"/>
                <w:szCs w:val="21"/>
              </w:rPr>
              <w:t>1</w:t>
            </w:r>
          </w:p>
        </w:tc>
        <w:tc>
          <w:tcPr>
            <w:tcW w:w="1380" w:type="dxa"/>
            <w:vAlign w:val="center"/>
          </w:tcPr>
          <w:p w14:paraId="1A00ED7D">
            <w:pPr>
              <w:snapToGrid w:val="0"/>
              <w:jc w:val="center"/>
              <w:rPr>
                <w:rFonts w:ascii="宋体" w:hAnsi="宋体" w:eastAsia="宋体"/>
                <w:color w:val="000000"/>
                <w:szCs w:val="21"/>
              </w:rPr>
            </w:pPr>
            <w:r>
              <w:rPr>
                <w:rFonts w:hint="eastAsia" w:ascii="宋体" w:hAnsi="宋体" w:eastAsia="宋体"/>
                <w:color w:val="000000"/>
                <w:szCs w:val="21"/>
              </w:rPr>
              <w:t>课程目标</w:t>
            </w:r>
            <w:r>
              <w:rPr>
                <w:rFonts w:ascii="宋体" w:hAnsi="宋体" w:eastAsia="宋体"/>
                <w:color w:val="000000"/>
                <w:szCs w:val="21"/>
              </w:rPr>
              <w:t>2</w:t>
            </w:r>
          </w:p>
        </w:tc>
        <w:tc>
          <w:tcPr>
            <w:tcW w:w="1425" w:type="dxa"/>
            <w:vAlign w:val="center"/>
          </w:tcPr>
          <w:p w14:paraId="43B285A0">
            <w:pPr>
              <w:snapToGrid w:val="0"/>
              <w:jc w:val="center"/>
              <w:rPr>
                <w:rFonts w:ascii="宋体" w:hAnsi="宋体" w:eastAsia="宋体"/>
                <w:color w:val="000000"/>
                <w:szCs w:val="21"/>
              </w:rPr>
            </w:pPr>
            <w:r>
              <w:rPr>
                <w:rFonts w:hint="eastAsia" w:ascii="宋体" w:hAnsi="宋体" w:eastAsia="宋体"/>
                <w:color w:val="000000"/>
                <w:szCs w:val="21"/>
              </w:rPr>
              <w:t>课程目标</w:t>
            </w:r>
            <w:r>
              <w:rPr>
                <w:rFonts w:ascii="宋体" w:hAnsi="宋体" w:eastAsia="宋体"/>
                <w:color w:val="000000"/>
                <w:szCs w:val="21"/>
              </w:rPr>
              <w:t>3</w:t>
            </w:r>
          </w:p>
        </w:tc>
        <w:tc>
          <w:tcPr>
            <w:tcW w:w="1360" w:type="dxa"/>
            <w:vAlign w:val="center"/>
          </w:tcPr>
          <w:p w14:paraId="68397088">
            <w:pPr>
              <w:snapToGrid w:val="0"/>
              <w:jc w:val="center"/>
              <w:rPr>
                <w:rFonts w:ascii="宋体" w:hAnsi="宋体" w:eastAsia="宋体"/>
                <w:color w:val="000000"/>
                <w:szCs w:val="21"/>
              </w:rPr>
            </w:pPr>
            <w:r>
              <w:rPr>
                <w:rFonts w:hint="eastAsia" w:ascii="宋体" w:hAnsi="宋体" w:eastAsia="宋体"/>
                <w:color w:val="000000"/>
                <w:szCs w:val="21"/>
              </w:rPr>
              <w:t>课程目标</w:t>
            </w:r>
            <w:r>
              <w:rPr>
                <w:rFonts w:ascii="宋体" w:hAnsi="宋体" w:eastAsia="宋体"/>
                <w:color w:val="000000"/>
                <w:szCs w:val="21"/>
              </w:rPr>
              <w:t>4</w:t>
            </w:r>
          </w:p>
        </w:tc>
      </w:tr>
      <w:tr w14:paraId="4D05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721" w:type="dxa"/>
            <w:vAlign w:val="center"/>
          </w:tcPr>
          <w:p w14:paraId="2586B7D0">
            <w:pPr>
              <w:snapToGrid w:val="0"/>
              <w:jc w:val="center"/>
              <w:rPr>
                <w:rFonts w:ascii="宋体" w:hAnsi="宋体" w:eastAsia="宋体"/>
                <w:color w:val="000000"/>
                <w:szCs w:val="21"/>
              </w:rPr>
            </w:pPr>
            <w:r>
              <w:rPr>
                <w:rFonts w:hint="eastAsia" w:ascii="宋体" w:hAnsi="宋体" w:eastAsia="宋体"/>
                <w:color w:val="000000"/>
                <w:szCs w:val="21"/>
              </w:rPr>
              <w:t>课堂教学实习</w:t>
            </w:r>
          </w:p>
        </w:tc>
        <w:tc>
          <w:tcPr>
            <w:tcW w:w="1425" w:type="dxa"/>
            <w:vAlign w:val="center"/>
          </w:tcPr>
          <w:p w14:paraId="68A08310">
            <w:pPr>
              <w:snapToGrid w:val="0"/>
              <w:jc w:val="center"/>
              <w:rPr>
                <w:rFonts w:ascii="宋体" w:hAnsi="宋体" w:eastAsia="宋体"/>
                <w:color w:val="000000"/>
                <w:szCs w:val="21"/>
              </w:rPr>
            </w:pPr>
            <w:r>
              <w:rPr>
                <w:rFonts w:ascii="宋体" w:hAnsi="宋体" w:eastAsia="宋体" w:cs="Arial"/>
                <w:color w:val="000000"/>
                <w:szCs w:val="21"/>
              </w:rPr>
              <w:t>√</w:t>
            </w:r>
          </w:p>
        </w:tc>
        <w:tc>
          <w:tcPr>
            <w:tcW w:w="1380" w:type="dxa"/>
            <w:vAlign w:val="center"/>
          </w:tcPr>
          <w:p w14:paraId="29A460E0">
            <w:pPr>
              <w:snapToGrid w:val="0"/>
              <w:jc w:val="center"/>
              <w:rPr>
                <w:rFonts w:ascii="宋体" w:hAnsi="宋体" w:eastAsia="宋体"/>
                <w:color w:val="000000"/>
                <w:szCs w:val="21"/>
              </w:rPr>
            </w:pPr>
            <w:r>
              <w:rPr>
                <w:rFonts w:ascii="宋体" w:hAnsi="宋体" w:eastAsia="宋体" w:cs="Arial"/>
                <w:color w:val="000000"/>
                <w:szCs w:val="21"/>
              </w:rPr>
              <w:t>√</w:t>
            </w:r>
          </w:p>
        </w:tc>
        <w:tc>
          <w:tcPr>
            <w:tcW w:w="1425" w:type="dxa"/>
            <w:vAlign w:val="center"/>
          </w:tcPr>
          <w:p w14:paraId="2E6C2CB0">
            <w:pPr>
              <w:snapToGrid w:val="0"/>
              <w:jc w:val="center"/>
              <w:rPr>
                <w:rFonts w:ascii="宋体" w:hAnsi="宋体" w:eastAsia="宋体"/>
                <w:color w:val="000000"/>
                <w:szCs w:val="21"/>
              </w:rPr>
            </w:pPr>
            <w:r>
              <w:rPr>
                <w:rFonts w:ascii="宋体" w:hAnsi="宋体" w:eastAsia="宋体" w:cs="Arial"/>
                <w:color w:val="000000"/>
                <w:szCs w:val="21"/>
              </w:rPr>
              <w:t>√</w:t>
            </w:r>
          </w:p>
        </w:tc>
        <w:tc>
          <w:tcPr>
            <w:tcW w:w="1360" w:type="dxa"/>
            <w:vAlign w:val="center"/>
          </w:tcPr>
          <w:p w14:paraId="757FEC72">
            <w:pPr>
              <w:snapToGrid w:val="0"/>
              <w:jc w:val="center"/>
              <w:rPr>
                <w:rFonts w:ascii="宋体" w:hAnsi="宋体" w:eastAsia="宋体"/>
                <w:color w:val="000000"/>
                <w:szCs w:val="21"/>
              </w:rPr>
            </w:pPr>
            <w:r>
              <w:rPr>
                <w:rFonts w:ascii="宋体" w:hAnsi="宋体" w:eastAsia="宋体" w:cs="Arial"/>
                <w:color w:val="000000"/>
                <w:szCs w:val="21"/>
              </w:rPr>
              <w:t>√</w:t>
            </w:r>
          </w:p>
        </w:tc>
      </w:tr>
      <w:tr w14:paraId="6824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721" w:type="dxa"/>
            <w:vAlign w:val="center"/>
          </w:tcPr>
          <w:p w14:paraId="497E1C8C">
            <w:pPr>
              <w:snapToGrid w:val="0"/>
              <w:jc w:val="center"/>
              <w:rPr>
                <w:rFonts w:ascii="宋体" w:hAnsi="宋体" w:eastAsia="宋体"/>
                <w:color w:val="000000"/>
                <w:szCs w:val="21"/>
              </w:rPr>
            </w:pPr>
            <w:r>
              <w:rPr>
                <w:rFonts w:hint="eastAsia" w:ascii="宋体" w:hAnsi="宋体" w:eastAsia="宋体"/>
                <w:color w:val="000000"/>
                <w:szCs w:val="21"/>
              </w:rPr>
              <w:t>班队工作实习</w:t>
            </w:r>
          </w:p>
        </w:tc>
        <w:tc>
          <w:tcPr>
            <w:tcW w:w="1425" w:type="dxa"/>
            <w:vAlign w:val="center"/>
          </w:tcPr>
          <w:p w14:paraId="49CB72EA">
            <w:pPr>
              <w:snapToGrid w:val="0"/>
              <w:jc w:val="center"/>
              <w:rPr>
                <w:rFonts w:ascii="宋体" w:hAnsi="宋体" w:eastAsia="宋体"/>
                <w:color w:val="000000"/>
                <w:szCs w:val="21"/>
              </w:rPr>
            </w:pPr>
            <w:r>
              <w:rPr>
                <w:rFonts w:ascii="宋体" w:hAnsi="宋体" w:eastAsia="宋体" w:cs="Arial"/>
                <w:color w:val="000000"/>
                <w:szCs w:val="21"/>
              </w:rPr>
              <w:t>√</w:t>
            </w:r>
          </w:p>
        </w:tc>
        <w:tc>
          <w:tcPr>
            <w:tcW w:w="1380" w:type="dxa"/>
            <w:vAlign w:val="center"/>
          </w:tcPr>
          <w:p w14:paraId="09A64FB1">
            <w:pPr>
              <w:snapToGrid w:val="0"/>
              <w:jc w:val="center"/>
              <w:rPr>
                <w:rFonts w:ascii="宋体" w:hAnsi="宋体" w:eastAsia="宋体"/>
                <w:color w:val="000000"/>
                <w:szCs w:val="21"/>
              </w:rPr>
            </w:pPr>
            <w:r>
              <w:rPr>
                <w:rFonts w:ascii="宋体" w:hAnsi="宋体" w:eastAsia="宋体" w:cs="Arial"/>
                <w:color w:val="000000"/>
                <w:szCs w:val="21"/>
              </w:rPr>
              <w:t>√</w:t>
            </w:r>
          </w:p>
        </w:tc>
        <w:tc>
          <w:tcPr>
            <w:tcW w:w="1425" w:type="dxa"/>
            <w:vAlign w:val="center"/>
          </w:tcPr>
          <w:p w14:paraId="148AAB92">
            <w:pPr>
              <w:snapToGrid w:val="0"/>
              <w:jc w:val="center"/>
              <w:rPr>
                <w:rFonts w:ascii="宋体" w:hAnsi="宋体" w:eastAsia="宋体"/>
                <w:color w:val="000000"/>
                <w:szCs w:val="21"/>
              </w:rPr>
            </w:pPr>
            <w:r>
              <w:rPr>
                <w:rFonts w:ascii="宋体" w:hAnsi="宋体" w:eastAsia="宋体" w:cs="Arial"/>
                <w:color w:val="000000"/>
                <w:szCs w:val="21"/>
              </w:rPr>
              <w:t>√</w:t>
            </w:r>
          </w:p>
        </w:tc>
        <w:tc>
          <w:tcPr>
            <w:tcW w:w="1360" w:type="dxa"/>
            <w:vAlign w:val="center"/>
          </w:tcPr>
          <w:p w14:paraId="75AD8470">
            <w:pPr>
              <w:snapToGrid w:val="0"/>
              <w:jc w:val="center"/>
              <w:rPr>
                <w:rFonts w:ascii="宋体" w:hAnsi="宋体" w:eastAsia="宋体"/>
                <w:color w:val="000000"/>
                <w:szCs w:val="21"/>
              </w:rPr>
            </w:pPr>
            <w:r>
              <w:rPr>
                <w:rFonts w:ascii="宋体" w:hAnsi="宋体" w:eastAsia="宋体" w:cs="Arial"/>
                <w:color w:val="000000"/>
                <w:szCs w:val="21"/>
              </w:rPr>
              <w:t>√</w:t>
            </w:r>
          </w:p>
        </w:tc>
      </w:tr>
      <w:tr w14:paraId="1814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721" w:type="dxa"/>
            <w:vAlign w:val="center"/>
          </w:tcPr>
          <w:p w14:paraId="65998249">
            <w:pPr>
              <w:snapToGrid w:val="0"/>
              <w:jc w:val="center"/>
              <w:rPr>
                <w:rFonts w:ascii="宋体" w:hAnsi="宋体" w:eastAsia="宋体"/>
                <w:color w:val="000000"/>
                <w:szCs w:val="21"/>
              </w:rPr>
            </w:pPr>
            <w:r>
              <w:rPr>
                <w:rFonts w:hint="eastAsia" w:ascii="宋体" w:hAnsi="宋体" w:eastAsia="宋体"/>
                <w:color w:val="000000"/>
                <w:szCs w:val="21"/>
              </w:rPr>
              <w:t>实习成果汇报</w:t>
            </w:r>
          </w:p>
        </w:tc>
        <w:tc>
          <w:tcPr>
            <w:tcW w:w="1425" w:type="dxa"/>
            <w:vAlign w:val="center"/>
          </w:tcPr>
          <w:p w14:paraId="4E9217E3">
            <w:pPr>
              <w:snapToGrid w:val="0"/>
              <w:jc w:val="center"/>
              <w:rPr>
                <w:rFonts w:ascii="宋体" w:hAnsi="宋体" w:eastAsia="宋体"/>
                <w:color w:val="000000"/>
                <w:szCs w:val="21"/>
              </w:rPr>
            </w:pPr>
            <w:r>
              <w:rPr>
                <w:rFonts w:hint="eastAsia" w:ascii="宋体" w:hAnsi="宋体" w:eastAsia="宋体"/>
                <w:color w:val="000000"/>
                <w:szCs w:val="21"/>
              </w:rPr>
              <w:t>√</w:t>
            </w:r>
          </w:p>
        </w:tc>
        <w:tc>
          <w:tcPr>
            <w:tcW w:w="1380" w:type="dxa"/>
            <w:vAlign w:val="center"/>
          </w:tcPr>
          <w:p w14:paraId="3418908D">
            <w:pPr>
              <w:snapToGrid w:val="0"/>
              <w:jc w:val="center"/>
              <w:rPr>
                <w:rFonts w:ascii="宋体" w:hAnsi="宋体" w:eastAsia="宋体"/>
                <w:color w:val="000000"/>
                <w:szCs w:val="21"/>
              </w:rPr>
            </w:pPr>
            <w:r>
              <w:rPr>
                <w:rFonts w:ascii="宋体" w:hAnsi="宋体" w:eastAsia="宋体" w:cs="Arial"/>
                <w:color w:val="000000"/>
                <w:szCs w:val="21"/>
              </w:rPr>
              <w:t>√</w:t>
            </w:r>
          </w:p>
        </w:tc>
        <w:tc>
          <w:tcPr>
            <w:tcW w:w="1425" w:type="dxa"/>
            <w:vAlign w:val="center"/>
          </w:tcPr>
          <w:p w14:paraId="64959136">
            <w:pPr>
              <w:snapToGrid w:val="0"/>
              <w:jc w:val="center"/>
              <w:rPr>
                <w:rFonts w:ascii="宋体" w:hAnsi="宋体" w:eastAsia="宋体"/>
                <w:color w:val="000000"/>
                <w:szCs w:val="21"/>
              </w:rPr>
            </w:pPr>
            <w:r>
              <w:rPr>
                <w:rFonts w:ascii="宋体" w:hAnsi="宋体" w:eastAsia="宋体" w:cs="Arial"/>
                <w:color w:val="000000"/>
                <w:szCs w:val="21"/>
              </w:rPr>
              <w:t>√</w:t>
            </w:r>
          </w:p>
        </w:tc>
        <w:tc>
          <w:tcPr>
            <w:tcW w:w="1360" w:type="dxa"/>
            <w:vAlign w:val="center"/>
          </w:tcPr>
          <w:p w14:paraId="011C7E31">
            <w:pPr>
              <w:snapToGrid w:val="0"/>
              <w:jc w:val="center"/>
              <w:rPr>
                <w:rFonts w:ascii="宋体" w:hAnsi="宋体" w:eastAsia="宋体"/>
                <w:color w:val="000000"/>
                <w:szCs w:val="21"/>
              </w:rPr>
            </w:pPr>
            <w:r>
              <w:rPr>
                <w:rFonts w:ascii="宋体" w:hAnsi="宋体" w:eastAsia="宋体" w:cs="Arial"/>
                <w:color w:val="000000"/>
                <w:szCs w:val="21"/>
              </w:rPr>
              <w:t>√</w:t>
            </w:r>
          </w:p>
        </w:tc>
      </w:tr>
    </w:tbl>
    <w:p w14:paraId="11307554">
      <w:pPr>
        <w:snapToGrid w:val="0"/>
        <w:spacing w:line="360" w:lineRule="auto"/>
        <w:ind w:firstLine="482" w:firstLineChars="200"/>
        <w:rPr>
          <w:rFonts w:ascii="宋体" w:hAnsi="宋体" w:eastAsia="宋体" w:cs="Times New Roman"/>
          <w:b/>
          <w:bCs/>
          <w:color w:val="000000"/>
          <w:sz w:val="24"/>
          <w:szCs w:val="24"/>
        </w:rPr>
      </w:pPr>
      <w:r>
        <w:rPr>
          <w:rFonts w:hint="eastAsia" w:ascii="宋体" w:hAnsi="宋体" w:eastAsia="宋体" w:cs="Times New Roman"/>
          <w:b/>
          <w:bCs/>
          <w:sz w:val="24"/>
          <w:szCs w:val="24"/>
        </w:rPr>
        <w:t>（三）课程思政目标</w:t>
      </w:r>
    </w:p>
    <w:p w14:paraId="010F46F3">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1.学会通过课堂这一有效的教育空间对学生进行国家教育思想、教育理念、政策方针的宣传和讲解。</w:t>
      </w:r>
    </w:p>
    <w:p w14:paraId="55BC8807">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2.通过实际的班级管理工作，掌握有效的管理方法，把社会责任感、职业使命感、个人担当精神有效地融入其中。</w:t>
      </w:r>
    </w:p>
    <w:p w14:paraId="7EAA15EE">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3.通过具体的教研过程，充分运用自身所掌握的教育教学方法、学生心理规律，不忘初心，把立德树人、培养学生创新意识作为重中之重，让课程教研成为引导学生学习知识、锤炼心志和养成品行的过程。</w:t>
      </w:r>
    </w:p>
    <w:p w14:paraId="74950BB6">
      <w:pPr>
        <w:snapToGrid w:val="0"/>
        <w:spacing w:line="360" w:lineRule="auto"/>
        <w:ind w:firstLine="482" w:firstLineChars="200"/>
        <w:rPr>
          <w:rFonts w:ascii="宋体" w:hAnsi="宋体" w:eastAsia="宋体"/>
          <w:b/>
          <w:sz w:val="24"/>
          <w:szCs w:val="24"/>
        </w:rPr>
      </w:pPr>
      <w:r>
        <w:rPr>
          <w:rFonts w:hint="eastAsia" w:ascii="宋体" w:hAnsi="宋体" w:eastAsia="宋体"/>
          <w:b/>
          <w:sz w:val="24"/>
          <w:szCs w:val="24"/>
        </w:rPr>
        <w:t>四、课程实施</w:t>
      </w:r>
    </w:p>
    <w:p w14:paraId="6A0F4E35">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(一)实习要求</w:t>
      </w:r>
    </w:p>
    <w:p w14:paraId="21265E79">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1.遵守实习学校各项规章制度，不迟到，不早退，虚心接受见习学校领导、指导教师的指导。</w:t>
      </w:r>
    </w:p>
    <w:p w14:paraId="25F795D0">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2.文明礼貌，为人师表，爱护学生，尊重实习学校的师生员工，积极协助实习学校教师做力所能及的工作。</w:t>
      </w:r>
    </w:p>
    <w:p w14:paraId="331FB09D">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3.同学之间团结友爱，注意安全。认真完成各项实习任务，做好每次的实习笔记，认真填写《教育实习手册》。</w:t>
      </w:r>
    </w:p>
    <w:p w14:paraId="4F3B7C26">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4.实习组长负责与实习学校领导的联系以及实习活动的组织、考勤工作。所有学生必须全程参加实习活动，不得无故缺席。</w:t>
      </w:r>
    </w:p>
    <w:p w14:paraId="43115945">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主要</w:t>
      </w:r>
      <w:r>
        <w:rPr>
          <w:rFonts w:hint="eastAsia" w:ascii="宋体" w:hAnsi="宋体" w:eastAsia="宋体"/>
          <w:sz w:val="24"/>
          <w:szCs w:val="24"/>
        </w:rPr>
        <w:t>教学</w:t>
      </w:r>
      <w:r>
        <w:rPr>
          <w:rFonts w:ascii="宋体" w:hAnsi="宋体" w:eastAsia="宋体"/>
          <w:sz w:val="24"/>
          <w:szCs w:val="24"/>
        </w:rPr>
        <w:t>环节</w:t>
      </w:r>
      <w:r>
        <w:rPr>
          <w:rFonts w:hint="eastAsia" w:ascii="宋体" w:hAnsi="宋体" w:eastAsia="宋体"/>
          <w:sz w:val="24"/>
          <w:szCs w:val="24"/>
        </w:rPr>
        <w:t>的</w:t>
      </w:r>
      <w:r>
        <w:rPr>
          <w:rFonts w:ascii="宋体" w:hAnsi="宋体" w:eastAsia="宋体"/>
          <w:sz w:val="24"/>
          <w:szCs w:val="24"/>
        </w:rPr>
        <w:t>质量要求</w:t>
      </w:r>
      <w:r>
        <w:rPr>
          <w:rFonts w:hint="eastAsia" w:ascii="宋体" w:hAnsi="宋体" w:eastAsia="宋体"/>
          <w:sz w:val="24"/>
          <w:szCs w:val="24"/>
        </w:rPr>
        <w:t>如表所示</w:t>
      </w:r>
    </w:p>
    <w:tbl>
      <w:tblPr>
        <w:tblStyle w:val="30"/>
        <w:tblW w:w="90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93"/>
        <w:gridCol w:w="7084"/>
      </w:tblGrid>
      <w:tr w14:paraId="64B82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939" w:type="dxa"/>
            <w:gridSpan w:val="2"/>
            <w:vAlign w:val="center"/>
          </w:tcPr>
          <w:p w14:paraId="72FFD059">
            <w:pPr>
              <w:snapToGrid w:val="0"/>
              <w:spacing w:line="276" w:lineRule="auto"/>
              <w:jc w:val="center"/>
              <w:rPr>
                <w:rFonts w:ascii="宋体" w:hAnsi="宋体" w:eastAsia="宋体"/>
                <w:b/>
                <w:szCs w:val="21"/>
              </w:rPr>
            </w:pPr>
            <w:r>
              <w:rPr>
                <w:rFonts w:ascii="宋体" w:hAnsi="宋体" w:eastAsia="宋体"/>
                <w:b/>
                <w:szCs w:val="21"/>
              </w:rPr>
              <w:t>主要</w:t>
            </w:r>
            <w:r>
              <w:rPr>
                <w:rFonts w:hint="eastAsia" w:ascii="宋体" w:hAnsi="宋体" w:eastAsia="宋体"/>
                <w:b/>
                <w:szCs w:val="21"/>
              </w:rPr>
              <w:t>教学</w:t>
            </w:r>
            <w:r>
              <w:rPr>
                <w:rFonts w:ascii="宋体" w:hAnsi="宋体" w:eastAsia="宋体"/>
                <w:b/>
                <w:szCs w:val="21"/>
              </w:rPr>
              <w:t>环节</w:t>
            </w:r>
          </w:p>
        </w:tc>
        <w:tc>
          <w:tcPr>
            <w:tcW w:w="7084" w:type="dxa"/>
            <w:vAlign w:val="center"/>
          </w:tcPr>
          <w:p w14:paraId="7FC51280">
            <w:pPr>
              <w:snapToGrid w:val="0"/>
              <w:spacing w:line="276" w:lineRule="auto"/>
              <w:jc w:val="center"/>
              <w:rPr>
                <w:rFonts w:ascii="宋体" w:hAnsi="宋体" w:eastAsia="宋体"/>
                <w:b/>
                <w:szCs w:val="21"/>
              </w:rPr>
            </w:pPr>
            <w:r>
              <w:rPr>
                <w:rFonts w:ascii="宋体" w:hAnsi="宋体" w:eastAsia="宋体"/>
                <w:b/>
                <w:szCs w:val="21"/>
              </w:rPr>
              <w:t>质量要求</w:t>
            </w:r>
          </w:p>
        </w:tc>
      </w:tr>
      <w:tr w14:paraId="1C151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46" w:type="dxa"/>
            <w:vMerge w:val="restart"/>
            <w:vAlign w:val="center"/>
          </w:tcPr>
          <w:p w14:paraId="4A481205">
            <w:pPr>
              <w:snapToGrid w:val="0"/>
              <w:spacing w:line="276" w:lineRule="auto"/>
              <w:rPr>
                <w:rFonts w:ascii="宋体" w:hAnsi="宋体" w:eastAsia="宋体"/>
                <w:szCs w:val="21"/>
              </w:rPr>
            </w:pPr>
            <w:r>
              <w:rPr>
                <w:rFonts w:ascii="宋体" w:hAnsi="宋体" w:eastAsia="宋体"/>
                <w:szCs w:val="21"/>
              </w:rPr>
              <w:t>准备</w:t>
            </w:r>
          </w:p>
          <w:p w14:paraId="0EBA88F6">
            <w:pPr>
              <w:snapToGrid w:val="0"/>
              <w:spacing w:line="276" w:lineRule="auto"/>
              <w:rPr>
                <w:rFonts w:ascii="宋体" w:hAnsi="宋体" w:eastAsia="宋体"/>
                <w:szCs w:val="21"/>
              </w:rPr>
            </w:pPr>
            <w:r>
              <w:rPr>
                <w:rFonts w:ascii="宋体" w:hAnsi="宋体" w:eastAsia="宋体"/>
                <w:szCs w:val="21"/>
              </w:rPr>
              <w:t>阶段</w:t>
            </w:r>
          </w:p>
        </w:tc>
        <w:tc>
          <w:tcPr>
            <w:tcW w:w="1293" w:type="dxa"/>
            <w:vAlign w:val="center"/>
          </w:tcPr>
          <w:p w14:paraId="5D0F1384">
            <w:pPr>
              <w:snapToGrid w:val="0"/>
              <w:spacing w:line="276" w:lineRule="auto"/>
              <w:rPr>
                <w:rFonts w:ascii="宋体" w:hAnsi="宋体" w:eastAsia="宋体"/>
                <w:szCs w:val="21"/>
              </w:rPr>
            </w:pPr>
            <w:r>
              <w:rPr>
                <w:rFonts w:ascii="宋体" w:hAnsi="宋体" w:eastAsia="宋体"/>
                <w:szCs w:val="21"/>
              </w:rPr>
              <w:t>1.实践计划</w:t>
            </w:r>
          </w:p>
        </w:tc>
        <w:tc>
          <w:tcPr>
            <w:tcW w:w="7084" w:type="dxa"/>
            <w:vAlign w:val="center"/>
          </w:tcPr>
          <w:p w14:paraId="4F920689">
            <w:pPr>
              <w:snapToGrid w:val="0"/>
              <w:spacing w:line="276" w:lineRule="auto"/>
              <w:rPr>
                <w:rFonts w:ascii="宋体" w:hAnsi="宋体" w:eastAsia="宋体"/>
                <w:szCs w:val="21"/>
              </w:rPr>
            </w:pPr>
            <w:r>
              <w:rPr>
                <w:rFonts w:ascii="宋体" w:hAnsi="宋体" w:eastAsia="宋体"/>
                <w:szCs w:val="21"/>
              </w:rPr>
              <w:t>根据学校要求及专业人才培养方案制定详实可行的</w:t>
            </w:r>
            <w:r>
              <w:rPr>
                <w:rFonts w:hint="eastAsia" w:ascii="宋体" w:hAnsi="宋体" w:eastAsia="宋体"/>
                <w:szCs w:val="21"/>
              </w:rPr>
              <w:t>实习</w:t>
            </w:r>
            <w:r>
              <w:rPr>
                <w:rFonts w:ascii="宋体" w:hAnsi="宋体" w:eastAsia="宋体"/>
                <w:szCs w:val="21"/>
              </w:rPr>
              <w:t>计划</w:t>
            </w:r>
            <w:r>
              <w:rPr>
                <w:rFonts w:hint="eastAsia" w:ascii="宋体" w:hAnsi="宋体" w:eastAsia="宋体"/>
                <w:szCs w:val="21"/>
              </w:rPr>
              <w:t>，选择相应的实习学校，并</w:t>
            </w:r>
            <w:r>
              <w:rPr>
                <w:rFonts w:ascii="宋体" w:hAnsi="宋体" w:eastAsia="宋体"/>
                <w:szCs w:val="21"/>
              </w:rPr>
              <w:t>在</w:t>
            </w:r>
            <w:r>
              <w:rPr>
                <w:rFonts w:hint="eastAsia" w:ascii="宋体" w:hAnsi="宋体" w:eastAsia="宋体"/>
                <w:szCs w:val="21"/>
              </w:rPr>
              <w:t>实习开始前做好联系工作</w:t>
            </w:r>
            <w:r>
              <w:rPr>
                <w:rFonts w:ascii="宋体" w:hAnsi="宋体" w:eastAsia="宋体"/>
                <w:szCs w:val="21"/>
              </w:rPr>
              <w:t>。</w:t>
            </w:r>
          </w:p>
        </w:tc>
      </w:tr>
      <w:tr w14:paraId="7CBF3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46" w:type="dxa"/>
            <w:vMerge w:val="continue"/>
            <w:vAlign w:val="center"/>
          </w:tcPr>
          <w:p w14:paraId="79651374">
            <w:pPr>
              <w:snapToGrid w:val="0"/>
              <w:spacing w:line="276" w:lineRule="auto"/>
              <w:rPr>
                <w:rFonts w:ascii="宋体" w:hAnsi="宋体" w:eastAsia="宋体"/>
                <w:szCs w:val="21"/>
              </w:rPr>
            </w:pPr>
          </w:p>
        </w:tc>
        <w:tc>
          <w:tcPr>
            <w:tcW w:w="1293" w:type="dxa"/>
            <w:vAlign w:val="center"/>
          </w:tcPr>
          <w:p w14:paraId="0902D420">
            <w:pPr>
              <w:snapToGrid w:val="0"/>
              <w:spacing w:line="276" w:lineRule="auto"/>
              <w:rPr>
                <w:rFonts w:ascii="宋体" w:hAnsi="宋体" w:eastAsia="宋体"/>
                <w:szCs w:val="21"/>
              </w:rPr>
            </w:pPr>
            <w:r>
              <w:rPr>
                <w:rFonts w:ascii="宋体" w:hAnsi="宋体" w:eastAsia="宋体"/>
                <w:szCs w:val="21"/>
              </w:rPr>
              <w:t>2.指导老师</w:t>
            </w:r>
          </w:p>
        </w:tc>
        <w:tc>
          <w:tcPr>
            <w:tcW w:w="7084" w:type="dxa"/>
            <w:vAlign w:val="center"/>
          </w:tcPr>
          <w:p w14:paraId="73E4B550">
            <w:pPr>
              <w:snapToGrid w:val="0"/>
              <w:spacing w:line="276" w:lineRule="auto"/>
              <w:rPr>
                <w:rFonts w:ascii="宋体" w:hAnsi="宋体" w:eastAsia="宋体"/>
                <w:szCs w:val="21"/>
              </w:rPr>
            </w:pPr>
            <w:r>
              <w:rPr>
                <w:rFonts w:ascii="宋体" w:hAnsi="宋体" w:eastAsia="宋体"/>
                <w:szCs w:val="21"/>
              </w:rPr>
              <w:t>指导教师</w:t>
            </w:r>
            <w:r>
              <w:rPr>
                <w:rFonts w:hint="eastAsia" w:ascii="宋体" w:hAnsi="宋体" w:eastAsia="宋体"/>
                <w:szCs w:val="21"/>
              </w:rPr>
              <w:t>应</w:t>
            </w:r>
            <w:r>
              <w:rPr>
                <w:rFonts w:ascii="宋体" w:hAnsi="宋体" w:eastAsia="宋体"/>
                <w:szCs w:val="21"/>
              </w:rPr>
              <w:t>具备扎实的理论知识和丰富的实践经验</w:t>
            </w:r>
            <w:r>
              <w:rPr>
                <w:rFonts w:hint="eastAsia" w:ascii="宋体" w:hAnsi="宋体" w:eastAsia="宋体"/>
                <w:szCs w:val="21"/>
              </w:rPr>
              <w:t>。</w:t>
            </w:r>
            <w:r>
              <w:rPr>
                <w:rFonts w:ascii="宋体" w:hAnsi="宋体" w:eastAsia="宋体"/>
                <w:szCs w:val="21"/>
              </w:rPr>
              <w:t>指导教师</w:t>
            </w:r>
            <w:r>
              <w:rPr>
                <w:rFonts w:hint="eastAsia" w:ascii="宋体" w:hAnsi="宋体" w:eastAsia="宋体"/>
                <w:szCs w:val="21"/>
              </w:rPr>
              <w:t>在实习开始前开好实习动员大会，提出相应实习要求</w:t>
            </w:r>
            <w:r>
              <w:rPr>
                <w:rFonts w:ascii="宋体" w:hAnsi="宋体" w:eastAsia="宋体"/>
                <w:szCs w:val="21"/>
              </w:rPr>
              <w:t>。</w:t>
            </w:r>
          </w:p>
        </w:tc>
      </w:tr>
      <w:tr w14:paraId="22930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46" w:type="dxa"/>
            <w:vMerge w:val="continue"/>
            <w:vAlign w:val="center"/>
          </w:tcPr>
          <w:p w14:paraId="307AAB91">
            <w:pPr>
              <w:snapToGrid w:val="0"/>
              <w:spacing w:line="276" w:lineRule="auto"/>
              <w:rPr>
                <w:rFonts w:ascii="宋体" w:hAnsi="宋体" w:eastAsia="宋体"/>
                <w:szCs w:val="21"/>
              </w:rPr>
            </w:pPr>
          </w:p>
        </w:tc>
        <w:tc>
          <w:tcPr>
            <w:tcW w:w="1293" w:type="dxa"/>
            <w:vAlign w:val="center"/>
          </w:tcPr>
          <w:p w14:paraId="7A3F320D">
            <w:pPr>
              <w:snapToGrid w:val="0"/>
              <w:spacing w:line="276" w:lineRule="auto"/>
              <w:rPr>
                <w:rFonts w:ascii="宋体" w:hAnsi="宋体" w:eastAsia="宋体"/>
                <w:szCs w:val="21"/>
              </w:rPr>
            </w:pPr>
            <w:r>
              <w:rPr>
                <w:rFonts w:ascii="宋体" w:hAnsi="宋体" w:eastAsia="宋体"/>
                <w:szCs w:val="21"/>
              </w:rPr>
              <w:t>3.组织管理</w:t>
            </w:r>
          </w:p>
        </w:tc>
        <w:tc>
          <w:tcPr>
            <w:tcW w:w="7084" w:type="dxa"/>
            <w:vAlign w:val="center"/>
          </w:tcPr>
          <w:p w14:paraId="0B5E6E15">
            <w:pPr>
              <w:snapToGrid w:val="0"/>
              <w:spacing w:line="276" w:lineRule="auto"/>
              <w:rPr>
                <w:rFonts w:ascii="宋体" w:hAnsi="宋体" w:eastAsia="宋体"/>
                <w:szCs w:val="21"/>
              </w:rPr>
            </w:pPr>
            <w:r>
              <w:rPr>
                <w:rFonts w:hint="eastAsia" w:ascii="宋体" w:hAnsi="宋体" w:eastAsia="宋体"/>
                <w:szCs w:val="21"/>
              </w:rPr>
              <w:t>做好学生的分组工作，强调小组成员之间的合作沟通，对每位同学都提出明确的实习纪律和责任。</w:t>
            </w:r>
          </w:p>
        </w:tc>
      </w:tr>
      <w:tr w14:paraId="05F60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46" w:type="dxa"/>
            <w:vMerge w:val="restart"/>
            <w:vAlign w:val="center"/>
          </w:tcPr>
          <w:p w14:paraId="6F3CD4CE">
            <w:pPr>
              <w:snapToGrid w:val="0"/>
              <w:spacing w:line="276" w:lineRule="auto"/>
              <w:rPr>
                <w:rFonts w:ascii="宋体" w:hAnsi="宋体" w:eastAsia="宋体"/>
                <w:szCs w:val="21"/>
              </w:rPr>
            </w:pPr>
            <w:r>
              <w:rPr>
                <w:rFonts w:ascii="宋体" w:hAnsi="宋体" w:eastAsia="宋体"/>
                <w:szCs w:val="21"/>
              </w:rPr>
              <w:t>实施</w:t>
            </w:r>
          </w:p>
          <w:p w14:paraId="528927CE">
            <w:pPr>
              <w:snapToGrid w:val="0"/>
              <w:spacing w:line="276" w:lineRule="auto"/>
              <w:rPr>
                <w:rFonts w:ascii="宋体" w:hAnsi="宋体" w:eastAsia="宋体"/>
                <w:szCs w:val="21"/>
              </w:rPr>
            </w:pPr>
            <w:r>
              <w:rPr>
                <w:rFonts w:ascii="宋体" w:hAnsi="宋体" w:eastAsia="宋体"/>
                <w:szCs w:val="21"/>
              </w:rPr>
              <w:t>阶段</w:t>
            </w:r>
          </w:p>
        </w:tc>
        <w:tc>
          <w:tcPr>
            <w:tcW w:w="1293" w:type="dxa"/>
            <w:vAlign w:val="center"/>
          </w:tcPr>
          <w:p w14:paraId="38D77320">
            <w:pPr>
              <w:snapToGrid w:val="0"/>
              <w:spacing w:line="276" w:lineRule="auto"/>
              <w:rPr>
                <w:rFonts w:ascii="宋体" w:hAnsi="宋体" w:eastAsia="宋体"/>
                <w:szCs w:val="21"/>
              </w:rPr>
            </w:pPr>
            <w:r>
              <w:rPr>
                <w:rFonts w:ascii="宋体" w:hAnsi="宋体" w:eastAsia="宋体"/>
                <w:szCs w:val="21"/>
              </w:rPr>
              <w:t>1.计划执行</w:t>
            </w:r>
          </w:p>
        </w:tc>
        <w:tc>
          <w:tcPr>
            <w:tcW w:w="7084" w:type="dxa"/>
            <w:vAlign w:val="center"/>
          </w:tcPr>
          <w:p w14:paraId="5A01C742">
            <w:pPr>
              <w:snapToGrid w:val="0"/>
              <w:spacing w:line="276" w:lineRule="auto"/>
              <w:rPr>
                <w:rFonts w:ascii="宋体" w:hAnsi="宋体" w:eastAsia="宋体"/>
                <w:szCs w:val="21"/>
              </w:rPr>
            </w:pPr>
            <w:r>
              <w:rPr>
                <w:rFonts w:hint="eastAsia" w:ascii="宋体" w:hAnsi="宋体" w:eastAsia="宋体"/>
                <w:szCs w:val="21"/>
              </w:rPr>
              <w:t>按照实习计划到各小学实习</w:t>
            </w:r>
            <w:r>
              <w:rPr>
                <w:rFonts w:ascii="宋体" w:hAnsi="宋体" w:eastAsia="宋体"/>
                <w:szCs w:val="21"/>
              </w:rPr>
              <w:t xml:space="preserve">。 </w:t>
            </w:r>
          </w:p>
        </w:tc>
      </w:tr>
      <w:tr w14:paraId="2EC4D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46" w:type="dxa"/>
            <w:vMerge w:val="continue"/>
            <w:vAlign w:val="center"/>
          </w:tcPr>
          <w:p w14:paraId="605B002A">
            <w:pPr>
              <w:snapToGrid w:val="0"/>
              <w:spacing w:line="276" w:lineRule="auto"/>
              <w:rPr>
                <w:rFonts w:ascii="宋体" w:hAnsi="宋体" w:eastAsia="宋体"/>
                <w:szCs w:val="21"/>
              </w:rPr>
            </w:pPr>
          </w:p>
        </w:tc>
        <w:tc>
          <w:tcPr>
            <w:tcW w:w="1293" w:type="dxa"/>
            <w:vAlign w:val="center"/>
          </w:tcPr>
          <w:p w14:paraId="512791F4">
            <w:pPr>
              <w:snapToGrid w:val="0"/>
              <w:spacing w:line="276" w:lineRule="auto"/>
              <w:rPr>
                <w:rFonts w:ascii="宋体" w:hAnsi="宋体" w:eastAsia="宋体"/>
                <w:szCs w:val="21"/>
              </w:rPr>
            </w:pPr>
            <w:r>
              <w:rPr>
                <w:rFonts w:ascii="宋体" w:hAnsi="宋体" w:eastAsia="宋体"/>
                <w:szCs w:val="21"/>
              </w:rPr>
              <w:t>2.</w:t>
            </w:r>
            <w:r>
              <w:rPr>
                <w:rFonts w:hint="eastAsia" w:ascii="宋体" w:hAnsi="宋体" w:eastAsia="宋体"/>
                <w:szCs w:val="21"/>
              </w:rPr>
              <w:t>过程</w:t>
            </w:r>
            <w:r>
              <w:rPr>
                <w:rFonts w:ascii="宋体" w:hAnsi="宋体" w:eastAsia="宋体"/>
                <w:szCs w:val="21"/>
              </w:rPr>
              <w:t>指导</w:t>
            </w:r>
          </w:p>
        </w:tc>
        <w:tc>
          <w:tcPr>
            <w:tcW w:w="7084" w:type="dxa"/>
            <w:vAlign w:val="center"/>
          </w:tcPr>
          <w:p w14:paraId="6A5C2A87">
            <w:pPr>
              <w:snapToGrid w:val="0"/>
              <w:spacing w:line="276" w:lineRule="auto"/>
              <w:rPr>
                <w:rFonts w:ascii="宋体" w:hAnsi="宋体" w:eastAsia="宋体"/>
                <w:szCs w:val="21"/>
              </w:rPr>
            </w:pPr>
            <w:r>
              <w:rPr>
                <w:rFonts w:hint="eastAsia" w:ascii="宋体" w:hAnsi="宋体" w:eastAsia="宋体"/>
                <w:szCs w:val="21"/>
              </w:rPr>
              <w:t>指导教师定期到实习学校指导，密切联系实习学校的指导教师，对学生的实习情况进行实时了解</w:t>
            </w:r>
            <w:r>
              <w:rPr>
                <w:rFonts w:ascii="宋体" w:hAnsi="宋体" w:eastAsia="宋体"/>
                <w:szCs w:val="21"/>
              </w:rPr>
              <w:t>。</w:t>
            </w:r>
          </w:p>
        </w:tc>
      </w:tr>
      <w:tr w14:paraId="487E7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46" w:type="dxa"/>
            <w:vMerge w:val="continue"/>
            <w:vAlign w:val="center"/>
          </w:tcPr>
          <w:p w14:paraId="651E6021">
            <w:pPr>
              <w:snapToGrid w:val="0"/>
              <w:spacing w:line="276" w:lineRule="auto"/>
              <w:rPr>
                <w:rFonts w:ascii="宋体" w:hAnsi="宋体" w:eastAsia="宋体"/>
                <w:szCs w:val="21"/>
              </w:rPr>
            </w:pPr>
          </w:p>
        </w:tc>
        <w:tc>
          <w:tcPr>
            <w:tcW w:w="1293" w:type="dxa"/>
            <w:vAlign w:val="center"/>
          </w:tcPr>
          <w:p w14:paraId="6989C541">
            <w:pPr>
              <w:snapToGrid w:val="0"/>
              <w:spacing w:line="276" w:lineRule="auto"/>
              <w:rPr>
                <w:rFonts w:ascii="宋体" w:hAnsi="宋体" w:eastAsia="宋体"/>
                <w:szCs w:val="21"/>
              </w:rPr>
            </w:pPr>
            <w:r>
              <w:rPr>
                <w:rFonts w:ascii="宋体" w:hAnsi="宋体" w:eastAsia="宋体"/>
                <w:szCs w:val="21"/>
              </w:rPr>
              <w:t>3.学生管理</w:t>
            </w:r>
          </w:p>
        </w:tc>
        <w:tc>
          <w:tcPr>
            <w:tcW w:w="7084" w:type="dxa"/>
            <w:vAlign w:val="center"/>
          </w:tcPr>
          <w:p w14:paraId="0E8BD80C">
            <w:pPr>
              <w:snapToGrid w:val="0"/>
              <w:spacing w:line="276" w:lineRule="auto"/>
              <w:rPr>
                <w:rFonts w:ascii="宋体" w:hAnsi="宋体" w:eastAsia="宋体"/>
                <w:szCs w:val="21"/>
              </w:rPr>
            </w:pPr>
            <w:r>
              <w:rPr>
                <w:rFonts w:ascii="宋体" w:hAnsi="宋体" w:eastAsia="宋体"/>
                <w:szCs w:val="21"/>
              </w:rPr>
              <w:t>严格进行考勤，认真记录</w:t>
            </w:r>
            <w:r>
              <w:rPr>
                <w:rFonts w:hint="eastAsia" w:ascii="宋体" w:hAnsi="宋体" w:eastAsia="宋体"/>
                <w:szCs w:val="21"/>
              </w:rPr>
              <w:t>学生工作</w:t>
            </w:r>
            <w:r>
              <w:rPr>
                <w:rFonts w:ascii="宋体" w:hAnsi="宋体" w:eastAsia="宋体"/>
                <w:szCs w:val="21"/>
              </w:rPr>
              <w:t>情况；对迟到、早退和无故缺勤等违纪情况及时处理。</w:t>
            </w:r>
          </w:p>
        </w:tc>
      </w:tr>
      <w:tr w14:paraId="08A4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vMerge w:val="continue"/>
            <w:vAlign w:val="center"/>
          </w:tcPr>
          <w:p w14:paraId="71ADF645">
            <w:pPr>
              <w:snapToGrid w:val="0"/>
              <w:spacing w:line="276" w:lineRule="auto"/>
              <w:rPr>
                <w:rFonts w:ascii="宋体" w:hAnsi="宋体" w:eastAsia="宋体"/>
                <w:szCs w:val="21"/>
              </w:rPr>
            </w:pPr>
          </w:p>
        </w:tc>
        <w:tc>
          <w:tcPr>
            <w:tcW w:w="1293" w:type="dxa"/>
            <w:vAlign w:val="center"/>
          </w:tcPr>
          <w:p w14:paraId="1D1C49E9">
            <w:pPr>
              <w:snapToGrid w:val="0"/>
              <w:spacing w:line="276" w:lineRule="auto"/>
              <w:rPr>
                <w:rFonts w:ascii="宋体" w:hAnsi="宋体" w:eastAsia="宋体"/>
                <w:szCs w:val="21"/>
              </w:rPr>
            </w:pPr>
            <w:r>
              <w:rPr>
                <w:rFonts w:ascii="宋体" w:hAnsi="宋体" w:eastAsia="宋体"/>
                <w:szCs w:val="21"/>
              </w:rPr>
              <w:t>4.教学检查</w:t>
            </w:r>
          </w:p>
        </w:tc>
        <w:tc>
          <w:tcPr>
            <w:tcW w:w="7084" w:type="dxa"/>
            <w:vAlign w:val="center"/>
          </w:tcPr>
          <w:p w14:paraId="5373A231">
            <w:pPr>
              <w:snapToGrid w:val="0"/>
              <w:spacing w:line="276" w:lineRule="auto"/>
              <w:rPr>
                <w:rFonts w:ascii="宋体" w:hAnsi="宋体" w:eastAsia="宋体"/>
                <w:szCs w:val="21"/>
              </w:rPr>
            </w:pPr>
            <w:r>
              <w:rPr>
                <w:rFonts w:ascii="宋体" w:hAnsi="宋体" w:eastAsia="宋体"/>
                <w:szCs w:val="21"/>
              </w:rPr>
              <w:t>学院有计划地开展督导检查，并及时反馈检查情况。</w:t>
            </w:r>
          </w:p>
        </w:tc>
      </w:tr>
      <w:tr w14:paraId="39E763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46" w:type="dxa"/>
            <w:vMerge w:val="restart"/>
            <w:vAlign w:val="center"/>
          </w:tcPr>
          <w:p w14:paraId="4825B4A4">
            <w:pPr>
              <w:snapToGrid w:val="0"/>
              <w:spacing w:line="276" w:lineRule="auto"/>
              <w:rPr>
                <w:rFonts w:ascii="宋体" w:hAnsi="宋体" w:eastAsia="宋体"/>
                <w:szCs w:val="21"/>
              </w:rPr>
            </w:pPr>
            <w:r>
              <w:rPr>
                <w:rFonts w:ascii="宋体" w:hAnsi="宋体" w:eastAsia="宋体"/>
                <w:szCs w:val="21"/>
              </w:rPr>
              <w:t>总结</w:t>
            </w:r>
          </w:p>
          <w:p w14:paraId="1D14CD48">
            <w:pPr>
              <w:snapToGrid w:val="0"/>
              <w:spacing w:line="276" w:lineRule="auto"/>
              <w:rPr>
                <w:rFonts w:ascii="宋体" w:hAnsi="宋体" w:eastAsia="宋体"/>
                <w:szCs w:val="21"/>
              </w:rPr>
            </w:pPr>
            <w:r>
              <w:rPr>
                <w:rFonts w:ascii="宋体" w:hAnsi="宋体" w:eastAsia="宋体"/>
                <w:szCs w:val="21"/>
              </w:rPr>
              <w:t>考核</w:t>
            </w:r>
          </w:p>
        </w:tc>
        <w:tc>
          <w:tcPr>
            <w:tcW w:w="1293" w:type="dxa"/>
            <w:vAlign w:val="center"/>
          </w:tcPr>
          <w:p w14:paraId="099A6E11">
            <w:pPr>
              <w:snapToGrid w:val="0"/>
              <w:spacing w:line="276" w:lineRule="auto"/>
              <w:rPr>
                <w:rFonts w:ascii="宋体" w:hAnsi="宋体" w:eastAsia="宋体"/>
                <w:szCs w:val="21"/>
              </w:rPr>
            </w:pPr>
            <w:r>
              <w:rPr>
                <w:rFonts w:ascii="宋体" w:hAnsi="宋体" w:eastAsia="宋体"/>
                <w:szCs w:val="21"/>
              </w:rPr>
              <w:t>1.</w:t>
            </w:r>
            <w:r>
              <w:rPr>
                <w:rFonts w:hint="eastAsia" w:ascii="宋体" w:hAnsi="宋体" w:eastAsia="宋体"/>
                <w:szCs w:val="21"/>
              </w:rPr>
              <w:t>实习</w:t>
            </w:r>
            <w:r>
              <w:rPr>
                <w:rFonts w:ascii="宋体" w:hAnsi="宋体" w:eastAsia="宋体"/>
                <w:szCs w:val="21"/>
              </w:rPr>
              <w:t>报告</w:t>
            </w:r>
          </w:p>
        </w:tc>
        <w:tc>
          <w:tcPr>
            <w:tcW w:w="7084" w:type="dxa"/>
            <w:vAlign w:val="center"/>
          </w:tcPr>
          <w:p w14:paraId="7AEA4EEF">
            <w:pPr>
              <w:snapToGrid w:val="0"/>
              <w:spacing w:line="276" w:lineRule="auto"/>
              <w:rPr>
                <w:rFonts w:ascii="宋体" w:hAnsi="宋体" w:eastAsia="宋体"/>
                <w:szCs w:val="21"/>
              </w:rPr>
            </w:pPr>
            <w:r>
              <w:rPr>
                <w:rFonts w:ascii="宋体" w:hAnsi="宋体" w:eastAsia="宋体"/>
                <w:szCs w:val="21"/>
              </w:rPr>
              <w:t>结束后，及时按要求</w:t>
            </w:r>
            <w:r>
              <w:rPr>
                <w:rFonts w:hint="eastAsia" w:ascii="宋体" w:hAnsi="宋体" w:eastAsia="宋体"/>
                <w:szCs w:val="21"/>
              </w:rPr>
              <w:t>教育调查报告、教育实习手册和实习考核表</w:t>
            </w:r>
            <w:r>
              <w:rPr>
                <w:rFonts w:ascii="宋体" w:hAnsi="宋体" w:eastAsia="宋体"/>
                <w:szCs w:val="21"/>
              </w:rPr>
              <w:t>。</w:t>
            </w:r>
          </w:p>
        </w:tc>
      </w:tr>
      <w:tr w14:paraId="3012B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6" w:type="dxa"/>
            <w:vMerge w:val="continue"/>
            <w:vAlign w:val="center"/>
          </w:tcPr>
          <w:p w14:paraId="26EBBE32">
            <w:pPr>
              <w:snapToGrid w:val="0"/>
              <w:spacing w:line="276" w:lineRule="auto"/>
              <w:rPr>
                <w:rFonts w:ascii="宋体" w:hAnsi="宋体" w:eastAsia="宋体"/>
                <w:szCs w:val="21"/>
              </w:rPr>
            </w:pPr>
          </w:p>
        </w:tc>
        <w:tc>
          <w:tcPr>
            <w:tcW w:w="1293" w:type="dxa"/>
            <w:vAlign w:val="center"/>
          </w:tcPr>
          <w:p w14:paraId="5A96B7A0">
            <w:pPr>
              <w:snapToGrid w:val="0"/>
              <w:spacing w:line="276" w:lineRule="auto"/>
              <w:rPr>
                <w:rFonts w:ascii="宋体" w:hAnsi="宋体" w:eastAsia="宋体"/>
                <w:szCs w:val="21"/>
              </w:rPr>
            </w:pPr>
            <w:r>
              <w:rPr>
                <w:rFonts w:ascii="宋体" w:hAnsi="宋体" w:eastAsia="宋体"/>
                <w:szCs w:val="21"/>
              </w:rPr>
              <w:t>2.</w:t>
            </w:r>
            <w:r>
              <w:rPr>
                <w:rFonts w:hint="eastAsia" w:ascii="宋体" w:hAnsi="宋体" w:eastAsia="宋体"/>
                <w:szCs w:val="21"/>
              </w:rPr>
              <w:t>成绩</w:t>
            </w:r>
            <w:r>
              <w:rPr>
                <w:rFonts w:ascii="宋体" w:hAnsi="宋体" w:eastAsia="宋体"/>
                <w:szCs w:val="21"/>
              </w:rPr>
              <w:t>考核</w:t>
            </w:r>
          </w:p>
        </w:tc>
        <w:tc>
          <w:tcPr>
            <w:tcW w:w="7084" w:type="dxa"/>
            <w:vAlign w:val="center"/>
          </w:tcPr>
          <w:p w14:paraId="3575E507">
            <w:pPr>
              <w:snapToGrid w:val="0"/>
              <w:spacing w:line="276" w:lineRule="auto"/>
              <w:rPr>
                <w:rFonts w:ascii="宋体" w:hAnsi="宋体" w:eastAsia="宋体"/>
                <w:szCs w:val="21"/>
              </w:rPr>
            </w:pPr>
            <w:r>
              <w:rPr>
                <w:rFonts w:ascii="宋体" w:hAnsi="宋体" w:eastAsia="宋体"/>
                <w:szCs w:val="21"/>
              </w:rPr>
              <w:t>根据考核内容及要求对每位学生</w:t>
            </w:r>
            <w:r>
              <w:rPr>
                <w:rFonts w:hint="eastAsia" w:ascii="宋体" w:hAnsi="宋体" w:eastAsia="宋体"/>
                <w:szCs w:val="21"/>
              </w:rPr>
              <w:t>实习情况</w:t>
            </w:r>
            <w:r>
              <w:rPr>
                <w:rFonts w:ascii="宋体" w:hAnsi="宋体" w:eastAsia="宋体"/>
                <w:szCs w:val="21"/>
              </w:rPr>
              <w:t>进行考核，合理评价，并按照学校有关规定登记成绩。</w:t>
            </w:r>
          </w:p>
        </w:tc>
      </w:tr>
      <w:tr w14:paraId="16C3E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46" w:type="dxa"/>
            <w:vMerge w:val="continue"/>
            <w:vAlign w:val="center"/>
          </w:tcPr>
          <w:p w14:paraId="1947151F">
            <w:pPr>
              <w:snapToGrid w:val="0"/>
              <w:spacing w:line="276" w:lineRule="auto"/>
              <w:rPr>
                <w:rFonts w:ascii="宋体" w:hAnsi="宋体" w:eastAsia="宋体"/>
                <w:szCs w:val="21"/>
              </w:rPr>
            </w:pPr>
          </w:p>
        </w:tc>
        <w:tc>
          <w:tcPr>
            <w:tcW w:w="1293" w:type="dxa"/>
            <w:vAlign w:val="center"/>
          </w:tcPr>
          <w:p w14:paraId="45BECE53">
            <w:pPr>
              <w:snapToGrid w:val="0"/>
              <w:spacing w:line="276" w:lineRule="auto"/>
              <w:rPr>
                <w:rFonts w:ascii="宋体" w:hAnsi="宋体" w:eastAsia="宋体"/>
                <w:szCs w:val="21"/>
              </w:rPr>
            </w:pPr>
            <w:r>
              <w:rPr>
                <w:rFonts w:ascii="宋体" w:hAnsi="宋体" w:eastAsia="宋体"/>
                <w:szCs w:val="21"/>
              </w:rPr>
              <w:t>3.总结归档</w:t>
            </w:r>
          </w:p>
        </w:tc>
        <w:tc>
          <w:tcPr>
            <w:tcW w:w="7084" w:type="dxa"/>
            <w:vAlign w:val="center"/>
          </w:tcPr>
          <w:p w14:paraId="4C770667">
            <w:pPr>
              <w:snapToGrid w:val="0"/>
              <w:spacing w:line="276" w:lineRule="auto"/>
              <w:rPr>
                <w:rFonts w:ascii="宋体" w:hAnsi="宋体" w:eastAsia="宋体"/>
                <w:szCs w:val="21"/>
              </w:rPr>
            </w:pPr>
            <w:r>
              <w:rPr>
                <w:rFonts w:ascii="宋体" w:hAnsi="宋体" w:eastAsia="宋体"/>
                <w:szCs w:val="21"/>
              </w:rPr>
              <w:t>及时总结交流经验与体会，按要求做好材料归档。</w:t>
            </w:r>
          </w:p>
        </w:tc>
      </w:tr>
    </w:tbl>
    <w:p w14:paraId="5560A155">
      <w:pPr>
        <w:snapToGrid w:val="0"/>
        <w:spacing w:line="360" w:lineRule="auto"/>
        <w:rPr>
          <w:rFonts w:ascii="宋体" w:hAnsi="宋体" w:eastAsia="宋体"/>
          <w:b/>
          <w:sz w:val="24"/>
          <w:szCs w:val="24"/>
        </w:rPr>
      </w:pPr>
    </w:p>
    <w:p w14:paraId="095EEDA7">
      <w:pPr>
        <w:snapToGrid w:val="0"/>
        <w:spacing w:line="360" w:lineRule="auto"/>
        <w:ind w:firstLine="482" w:firstLineChars="200"/>
        <w:rPr>
          <w:rFonts w:ascii="宋体" w:hAnsi="宋体" w:eastAsia="宋体"/>
          <w:b/>
          <w:sz w:val="24"/>
          <w:szCs w:val="24"/>
        </w:rPr>
      </w:pPr>
      <w:r>
        <w:rPr>
          <w:rFonts w:hint="eastAsia" w:ascii="宋体" w:hAnsi="宋体" w:eastAsia="宋体"/>
          <w:b/>
          <w:sz w:val="24"/>
          <w:szCs w:val="24"/>
        </w:rPr>
        <w:t>五</w:t>
      </w:r>
      <w:r>
        <w:rPr>
          <w:rFonts w:ascii="宋体" w:hAnsi="宋体" w:eastAsia="宋体"/>
          <w:b/>
          <w:sz w:val="24"/>
          <w:szCs w:val="24"/>
        </w:rPr>
        <w:t>、课程考核</w:t>
      </w:r>
    </w:p>
    <w:p w14:paraId="0058436B">
      <w:pPr>
        <w:snapToGrid w:val="0"/>
        <w:spacing w:line="360" w:lineRule="auto"/>
        <w:ind w:firstLine="482" w:firstLineChars="200"/>
        <w:rPr>
          <w:rFonts w:ascii="宋体" w:hAnsi="宋体" w:eastAsia="宋体"/>
          <w:b/>
          <w:color w:val="000000"/>
          <w:sz w:val="24"/>
          <w:szCs w:val="24"/>
        </w:rPr>
      </w:pPr>
      <w:r>
        <w:rPr>
          <w:rFonts w:hint="eastAsia" w:ascii="宋体" w:hAnsi="宋体" w:eastAsia="宋体"/>
          <w:b/>
          <w:color w:val="000000"/>
          <w:sz w:val="24"/>
          <w:szCs w:val="24"/>
        </w:rPr>
        <w:t>（一）</w:t>
      </w:r>
      <w:r>
        <w:rPr>
          <w:rFonts w:ascii="宋体" w:hAnsi="宋体" w:eastAsia="宋体"/>
          <w:b/>
          <w:color w:val="000000"/>
          <w:sz w:val="24"/>
          <w:szCs w:val="24"/>
        </w:rPr>
        <w:t>考核资料要求</w:t>
      </w:r>
    </w:p>
    <w:p w14:paraId="0C738F19">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1.教育实习手册填写完整。</w:t>
      </w:r>
    </w:p>
    <w:p w14:paraId="54DFEC32">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2.教育调查报告一份。</w:t>
      </w:r>
    </w:p>
    <w:p w14:paraId="622CDDDF">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3.教育实习鉴定表每人一份，有实习学校学科指导教师和班主任指导教师的评语及打分，并有实习学校的意见，还有本校指导教师的实习情况打分及签字。</w:t>
      </w:r>
    </w:p>
    <w:p w14:paraId="25EAF3AD">
      <w:pPr>
        <w:snapToGrid w:val="0"/>
        <w:spacing w:line="360" w:lineRule="auto"/>
        <w:ind w:firstLine="482" w:firstLineChars="200"/>
        <w:rPr>
          <w:rFonts w:ascii="宋体" w:hAnsi="宋体" w:eastAsia="宋体"/>
          <w:b/>
          <w:color w:val="000000"/>
          <w:sz w:val="24"/>
          <w:szCs w:val="24"/>
        </w:rPr>
      </w:pPr>
      <w:r>
        <w:rPr>
          <w:rFonts w:ascii="宋体" w:hAnsi="宋体" w:eastAsia="宋体"/>
          <w:b/>
          <w:color w:val="000000"/>
          <w:sz w:val="24"/>
          <w:szCs w:val="24"/>
        </w:rPr>
        <w:t>（二）</w:t>
      </w:r>
      <w:r>
        <w:rPr>
          <w:rFonts w:hint="eastAsia" w:ascii="宋体" w:hAnsi="宋体" w:eastAsia="宋体"/>
          <w:b/>
          <w:color w:val="000000"/>
          <w:sz w:val="24"/>
          <w:szCs w:val="24"/>
        </w:rPr>
        <w:t>成绩评定要求</w:t>
      </w:r>
    </w:p>
    <w:p w14:paraId="65010CE2">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1．本课程设计</w:t>
      </w:r>
      <w:r>
        <w:rPr>
          <w:rFonts w:ascii="宋体" w:hAnsi="宋体" w:eastAsia="宋体"/>
          <w:sz w:val="24"/>
          <w:szCs w:val="24"/>
        </w:rPr>
        <w:t>成绩分优、良、中、及格和不及格五个档次。</w:t>
      </w:r>
    </w:p>
    <w:p w14:paraId="4B465498">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课程设计考核方式：采用</w:t>
      </w:r>
      <w:r>
        <w:rPr>
          <w:rFonts w:hint="eastAsia" w:ascii="宋体" w:hAnsi="宋体" w:eastAsia="宋体"/>
          <w:sz w:val="24"/>
          <w:szCs w:val="24"/>
        </w:rPr>
        <w:t>教育实习态度</w:t>
      </w:r>
      <w:r>
        <w:rPr>
          <w:rFonts w:ascii="宋体" w:hAnsi="宋体" w:eastAsia="宋体"/>
          <w:sz w:val="24"/>
          <w:szCs w:val="24"/>
        </w:rPr>
        <w:t>、</w:t>
      </w:r>
      <w:r>
        <w:rPr>
          <w:rFonts w:hint="eastAsia" w:ascii="宋体" w:hAnsi="宋体" w:eastAsia="宋体"/>
          <w:sz w:val="24"/>
          <w:szCs w:val="24"/>
        </w:rPr>
        <w:t>教学工作实习和班主任工作实习、实习成果汇报等四个部分组成</w:t>
      </w:r>
      <w:r>
        <w:rPr>
          <w:rFonts w:ascii="宋体" w:hAnsi="宋体" w:eastAsia="宋体"/>
          <w:sz w:val="24"/>
          <w:szCs w:val="24"/>
        </w:rPr>
        <w:t>。</w:t>
      </w:r>
    </w:p>
    <w:p w14:paraId="3256B17A">
      <w:pPr>
        <w:snapToGrid w:val="0"/>
        <w:spacing w:line="360" w:lineRule="auto"/>
        <w:ind w:firstLine="480" w:firstLineChars="200"/>
        <w:rPr>
          <w:rFonts w:ascii="宋体" w:hAnsi="宋体" w:eastAsia="宋体"/>
          <w:sz w:val="24"/>
          <w:szCs w:val="24"/>
        </w:rPr>
      </w:pPr>
      <w:r>
        <w:rPr>
          <w:rFonts w:ascii="宋体" w:hAnsi="宋体" w:eastAsia="宋体"/>
          <w:sz w:val="24"/>
          <w:szCs w:val="24"/>
        </w:rPr>
        <w:t>课程</w:t>
      </w:r>
      <w:r>
        <w:rPr>
          <w:rFonts w:hint="eastAsia" w:ascii="宋体" w:hAnsi="宋体" w:eastAsia="宋体"/>
          <w:sz w:val="24"/>
          <w:szCs w:val="24"/>
        </w:rPr>
        <w:t>总评</w:t>
      </w:r>
      <w:r>
        <w:rPr>
          <w:rFonts w:ascii="宋体" w:hAnsi="宋体" w:eastAsia="宋体"/>
          <w:sz w:val="24"/>
          <w:szCs w:val="24"/>
        </w:rPr>
        <w:t>成绩=</w:t>
      </w:r>
      <w:r>
        <w:rPr>
          <w:rFonts w:hint="eastAsia" w:ascii="宋体" w:hAnsi="宋体" w:eastAsia="宋体"/>
          <w:sz w:val="24"/>
          <w:szCs w:val="24"/>
        </w:rPr>
        <w:t>教育实习态度</w:t>
      </w:r>
      <w:r>
        <w:rPr>
          <w:rFonts w:ascii="宋体" w:hAnsi="宋体" w:eastAsia="宋体"/>
          <w:sz w:val="24"/>
          <w:szCs w:val="24"/>
        </w:rPr>
        <w:t>绩×3</w:t>
      </w:r>
      <w:r>
        <w:rPr>
          <w:rFonts w:hint="eastAsia" w:ascii="宋体" w:hAnsi="宋体" w:eastAsia="宋体"/>
          <w:sz w:val="24"/>
          <w:szCs w:val="24"/>
        </w:rPr>
        <w:t>0</w:t>
      </w:r>
      <w:r>
        <w:rPr>
          <w:rFonts w:ascii="宋体" w:hAnsi="宋体" w:eastAsia="宋体"/>
          <w:sz w:val="24"/>
          <w:szCs w:val="24"/>
        </w:rPr>
        <w:t>%+</w:t>
      </w:r>
      <w:r>
        <w:rPr>
          <w:rFonts w:hint="eastAsia" w:ascii="宋体" w:hAnsi="宋体" w:eastAsia="宋体"/>
          <w:sz w:val="24"/>
          <w:szCs w:val="24"/>
        </w:rPr>
        <w:t>课堂教学实习</w:t>
      </w:r>
      <w:r>
        <w:rPr>
          <w:rFonts w:ascii="宋体" w:hAnsi="宋体" w:eastAsia="宋体"/>
          <w:sz w:val="24"/>
          <w:szCs w:val="24"/>
        </w:rPr>
        <w:t>×25%+</w:t>
      </w:r>
      <w:r>
        <w:rPr>
          <w:rFonts w:hint="eastAsia" w:ascii="宋体" w:hAnsi="宋体" w:eastAsia="宋体"/>
          <w:sz w:val="24"/>
          <w:szCs w:val="24"/>
        </w:rPr>
        <w:t>班主任工作实习</w:t>
      </w:r>
      <w:r>
        <w:rPr>
          <w:rFonts w:ascii="宋体" w:hAnsi="宋体" w:eastAsia="宋体"/>
          <w:sz w:val="24"/>
          <w:szCs w:val="24"/>
        </w:rPr>
        <w:t>×25%+</w:t>
      </w:r>
      <w:r>
        <w:rPr>
          <w:rFonts w:hint="eastAsia" w:ascii="宋体" w:hAnsi="宋体" w:eastAsia="宋体"/>
          <w:sz w:val="24"/>
          <w:szCs w:val="24"/>
        </w:rPr>
        <w:t>实习成果汇报</w:t>
      </w:r>
      <w:r>
        <w:rPr>
          <w:rFonts w:ascii="宋体" w:hAnsi="宋体" w:eastAsia="宋体"/>
          <w:sz w:val="24"/>
          <w:szCs w:val="24"/>
        </w:rPr>
        <w:t>×2</w:t>
      </w:r>
      <w:r>
        <w:rPr>
          <w:rFonts w:hint="eastAsia" w:ascii="宋体" w:hAnsi="宋体" w:eastAsia="宋体"/>
          <w:sz w:val="24"/>
          <w:szCs w:val="24"/>
        </w:rPr>
        <w:t>0</w:t>
      </w:r>
      <w:r>
        <w:rPr>
          <w:rFonts w:ascii="宋体" w:hAnsi="宋体" w:eastAsia="宋体"/>
          <w:sz w:val="24"/>
          <w:szCs w:val="24"/>
        </w:rPr>
        <w:t>%。</w:t>
      </w:r>
    </w:p>
    <w:p w14:paraId="5969FA41">
      <w:pPr>
        <w:snapToGrid w:val="0"/>
        <w:spacing w:line="360" w:lineRule="auto"/>
        <w:ind w:firstLine="480" w:firstLineChars="200"/>
        <w:rPr>
          <w:rFonts w:ascii="宋体" w:hAnsi="宋体" w:eastAsia="宋体"/>
          <w:sz w:val="24"/>
          <w:szCs w:val="24"/>
        </w:rPr>
      </w:pPr>
      <w:r>
        <w:rPr>
          <w:rFonts w:ascii="宋体" w:hAnsi="宋体" w:eastAsia="宋体"/>
          <w:sz w:val="24"/>
          <w:szCs w:val="24"/>
        </w:rPr>
        <w:t>具体内容和比例</w:t>
      </w:r>
      <w:r>
        <w:rPr>
          <w:rFonts w:hint="eastAsia" w:ascii="宋体" w:hAnsi="宋体" w:eastAsia="宋体"/>
          <w:sz w:val="24"/>
          <w:szCs w:val="24"/>
        </w:rPr>
        <w:t>如下表所示：</w:t>
      </w:r>
    </w:p>
    <w:tbl>
      <w:tblPr>
        <w:tblStyle w:val="30"/>
        <w:tblW w:w="54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950"/>
        <w:gridCol w:w="723"/>
        <w:gridCol w:w="2320"/>
        <w:gridCol w:w="1214"/>
        <w:gridCol w:w="2020"/>
      </w:tblGrid>
      <w:tr w14:paraId="2E19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593" w:type="pct"/>
            <w:tcBorders>
              <w:top w:val="single" w:color="auto" w:sz="4" w:space="0"/>
              <w:left w:val="single" w:color="auto" w:sz="4" w:space="0"/>
              <w:bottom w:val="single" w:color="auto" w:sz="4" w:space="0"/>
              <w:right w:val="single" w:color="auto" w:sz="4" w:space="0"/>
            </w:tcBorders>
            <w:shd w:val="clear" w:color="auto" w:fill="FFFFFF"/>
            <w:vAlign w:val="center"/>
          </w:tcPr>
          <w:p w14:paraId="433621EC">
            <w:pPr>
              <w:snapToGrid w:val="0"/>
              <w:spacing w:line="276" w:lineRule="auto"/>
              <w:jc w:val="center"/>
              <w:rPr>
                <w:rFonts w:ascii="宋体" w:hAnsi="宋体" w:eastAsia="宋体"/>
                <w:b/>
                <w:szCs w:val="21"/>
              </w:rPr>
            </w:pPr>
            <w:r>
              <w:rPr>
                <w:rFonts w:ascii="宋体" w:hAnsi="宋体" w:eastAsia="宋体"/>
                <w:b/>
                <w:szCs w:val="21"/>
              </w:rPr>
              <w:t>成绩组成</w:t>
            </w:r>
          </w:p>
        </w:tc>
        <w:tc>
          <w:tcPr>
            <w:tcW w:w="1044" w:type="pct"/>
            <w:tcBorders>
              <w:top w:val="single" w:color="auto" w:sz="4" w:space="0"/>
              <w:left w:val="single" w:color="auto" w:sz="4" w:space="0"/>
              <w:bottom w:val="single" w:color="auto" w:sz="4" w:space="0"/>
              <w:right w:val="single" w:color="auto" w:sz="4" w:space="0"/>
            </w:tcBorders>
            <w:shd w:val="clear" w:color="auto" w:fill="FFFFFF"/>
            <w:vAlign w:val="center"/>
          </w:tcPr>
          <w:p w14:paraId="7A245FEB">
            <w:pPr>
              <w:snapToGrid w:val="0"/>
              <w:spacing w:line="276" w:lineRule="auto"/>
              <w:jc w:val="center"/>
              <w:rPr>
                <w:rFonts w:ascii="宋体" w:hAnsi="宋体" w:eastAsia="宋体"/>
                <w:b/>
                <w:szCs w:val="21"/>
              </w:rPr>
            </w:pPr>
            <w:r>
              <w:rPr>
                <w:rFonts w:ascii="宋体" w:hAnsi="宋体" w:eastAsia="宋体"/>
                <w:b/>
                <w:szCs w:val="21"/>
              </w:rPr>
              <w:t>考核/评价环节</w:t>
            </w:r>
          </w:p>
        </w:tc>
        <w:tc>
          <w:tcPr>
            <w:tcW w:w="387" w:type="pct"/>
            <w:tcBorders>
              <w:top w:val="single" w:color="auto" w:sz="4" w:space="0"/>
              <w:left w:val="single" w:color="auto" w:sz="4" w:space="0"/>
              <w:bottom w:val="single" w:color="auto" w:sz="4" w:space="0"/>
              <w:right w:val="single" w:color="auto" w:sz="4" w:space="0"/>
            </w:tcBorders>
            <w:shd w:val="clear" w:color="auto" w:fill="FFFFFF"/>
            <w:vAlign w:val="center"/>
          </w:tcPr>
          <w:p w14:paraId="470774E0">
            <w:pPr>
              <w:snapToGrid w:val="0"/>
              <w:spacing w:line="276" w:lineRule="auto"/>
              <w:jc w:val="center"/>
              <w:rPr>
                <w:rFonts w:ascii="宋体" w:hAnsi="宋体" w:eastAsia="宋体"/>
                <w:b/>
                <w:szCs w:val="21"/>
              </w:rPr>
            </w:pPr>
            <w:r>
              <w:rPr>
                <w:rFonts w:hint="eastAsia" w:ascii="宋体" w:hAnsi="宋体" w:eastAsia="宋体"/>
                <w:b/>
                <w:szCs w:val="21"/>
              </w:rPr>
              <w:t>权重</w:t>
            </w:r>
          </w:p>
        </w:tc>
        <w:tc>
          <w:tcPr>
            <w:tcW w:w="1242" w:type="pct"/>
            <w:tcBorders>
              <w:top w:val="single" w:color="auto" w:sz="4" w:space="0"/>
              <w:left w:val="single" w:color="auto" w:sz="4" w:space="0"/>
              <w:bottom w:val="single" w:color="auto" w:sz="4" w:space="0"/>
              <w:right w:val="single" w:color="auto" w:sz="4" w:space="0"/>
            </w:tcBorders>
            <w:shd w:val="clear" w:color="auto" w:fill="FFFFFF"/>
            <w:vAlign w:val="center"/>
          </w:tcPr>
          <w:p w14:paraId="4A6BD232">
            <w:pPr>
              <w:snapToGrid w:val="0"/>
              <w:jc w:val="center"/>
              <w:rPr>
                <w:rFonts w:ascii="宋体" w:hAnsi="宋体" w:eastAsia="宋体"/>
                <w:b/>
                <w:szCs w:val="21"/>
              </w:rPr>
            </w:pPr>
            <w:r>
              <w:rPr>
                <w:rFonts w:ascii="宋体" w:hAnsi="宋体" w:eastAsia="宋体"/>
                <w:b/>
                <w:szCs w:val="21"/>
              </w:rPr>
              <w:t>考核/评价细则</w:t>
            </w:r>
          </w:p>
        </w:tc>
        <w:tc>
          <w:tcPr>
            <w:tcW w:w="650" w:type="pct"/>
            <w:tcBorders>
              <w:top w:val="single" w:color="auto" w:sz="4" w:space="0"/>
              <w:left w:val="single" w:color="auto" w:sz="4" w:space="0"/>
              <w:bottom w:val="single" w:color="auto" w:sz="4" w:space="0"/>
              <w:right w:val="single" w:color="auto" w:sz="4" w:space="0"/>
            </w:tcBorders>
            <w:shd w:val="clear" w:color="auto" w:fill="FFFFFF"/>
            <w:vAlign w:val="center"/>
          </w:tcPr>
          <w:p w14:paraId="34AB89B4">
            <w:pPr>
              <w:snapToGrid w:val="0"/>
              <w:jc w:val="center"/>
              <w:rPr>
                <w:rFonts w:ascii="宋体" w:hAnsi="宋体" w:eastAsia="宋体"/>
                <w:b/>
                <w:szCs w:val="21"/>
              </w:rPr>
            </w:pPr>
            <w:r>
              <w:rPr>
                <w:rFonts w:hint="eastAsia" w:ascii="宋体" w:hAnsi="宋体" w:eastAsia="宋体"/>
                <w:b/>
                <w:szCs w:val="21"/>
              </w:rPr>
              <w:t>课程目标</w:t>
            </w:r>
          </w:p>
        </w:tc>
        <w:tc>
          <w:tcPr>
            <w:tcW w:w="1081" w:type="pct"/>
            <w:tcBorders>
              <w:top w:val="single" w:color="auto" w:sz="4" w:space="0"/>
              <w:left w:val="single" w:color="auto" w:sz="4" w:space="0"/>
              <w:bottom w:val="single" w:color="auto" w:sz="4" w:space="0"/>
              <w:right w:val="single" w:color="auto" w:sz="4" w:space="0"/>
            </w:tcBorders>
            <w:shd w:val="clear" w:color="auto" w:fill="FFFFFF"/>
            <w:vAlign w:val="center"/>
          </w:tcPr>
          <w:p w14:paraId="781051D2">
            <w:pPr>
              <w:snapToGrid w:val="0"/>
              <w:jc w:val="center"/>
              <w:rPr>
                <w:rFonts w:ascii="宋体" w:hAnsi="宋体" w:eastAsia="宋体"/>
                <w:b/>
                <w:szCs w:val="21"/>
              </w:rPr>
            </w:pPr>
            <w:r>
              <w:rPr>
                <w:rFonts w:ascii="宋体" w:hAnsi="宋体" w:eastAsia="宋体"/>
                <w:b/>
                <w:szCs w:val="21"/>
              </w:rPr>
              <w:t>对应的毕业要求指标点</w:t>
            </w:r>
          </w:p>
        </w:tc>
      </w:tr>
      <w:tr w14:paraId="7D3E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93" w:type="pct"/>
            <w:tcBorders>
              <w:top w:val="single" w:color="auto" w:sz="4" w:space="0"/>
              <w:left w:val="single" w:color="auto" w:sz="4" w:space="0"/>
              <w:bottom w:val="single" w:color="auto" w:sz="4" w:space="0"/>
              <w:right w:val="single" w:color="auto" w:sz="4" w:space="0"/>
            </w:tcBorders>
            <w:vAlign w:val="center"/>
          </w:tcPr>
          <w:p w14:paraId="4D410C4E">
            <w:pPr>
              <w:snapToGrid w:val="0"/>
              <w:spacing w:line="276" w:lineRule="auto"/>
              <w:rPr>
                <w:rFonts w:ascii="宋体" w:hAnsi="宋体" w:eastAsia="宋体"/>
                <w:szCs w:val="21"/>
              </w:rPr>
            </w:pPr>
            <w:r>
              <w:rPr>
                <w:rFonts w:hint="eastAsia" w:ascii="宋体" w:hAnsi="宋体" w:eastAsia="宋体"/>
                <w:szCs w:val="21"/>
              </w:rPr>
              <w:t>教育实习态度</w:t>
            </w:r>
          </w:p>
        </w:tc>
        <w:tc>
          <w:tcPr>
            <w:tcW w:w="1044" w:type="pct"/>
            <w:tcBorders>
              <w:top w:val="single" w:color="auto" w:sz="4" w:space="0"/>
              <w:left w:val="single" w:color="auto" w:sz="4" w:space="0"/>
              <w:bottom w:val="single" w:color="auto" w:sz="4" w:space="0"/>
              <w:right w:val="single" w:color="auto" w:sz="4" w:space="0"/>
            </w:tcBorders>
            <w:vAlign w:val="center"/>
          </w:tcPr>
          <w:p w14:paraId="7AE8ECEF">
            <w:pPr>
              <w:snapToGrid w:val="0"/>
              <w:spacing w:line="276" w:lineRule="auto"/>
              <w:rPr>
                <w:rFonts w:ascii="宋体" w:hAnsi="宋体" w:eastAsia="宋体"/>
                <w:szCs w:val="21"/>
              </w:rPr>
            </w:pPr>
            <w:r>
              <w:rPr>
                <w:rFonts w:hint="eastAsia" w:ascii="宋体" w:hAnsi="宋体" w:eastAsia="宋体"/>
                <w:szCs w:val="21"/>
              </w:rPr>
              <w:t>学生出勤情况及工作</w:t>
            </w:r>
            <w:r>
              <w:rPr>
                <w:rFonts w:ascii="宋体" w:hAnsi="宋体" w:eastAsia="宋体"/>
                <w:szCs w:val="21"/>
              </w:rPr>
              <w:t>态度，</w:t>
            </w:r>
            <w:r>
              <w:rPr>
                <w:rFonts w:hint="eastAsia" w:ascii="宋体" w:hAnsi="宋体" w:eastAsia="宋体"/>
                <w:szCs w:val="21"/>
              </w:rPr>
              <w:t>遵守实习学校规章制度，各类实习报告填写等</w:t>
            </w:r>
          </w:p>
        </w:tc>
        <w:tc>
          <w:tcPr>
            <w:tcW w:w="387" w:type="pct"/>
            <w:tcBorders>
              <w:top w:val="single" w:color="auto" w:sz="4" w:space="0"/>
              <w:left w:val="single" w:color="auto" w:sz="4" w:space="0"/>
              <w:bottom w:val="single" w:color="auto" w:sz="4" w:space="0"/>
              <w:right w:val="single" w:color="auto" w:sz="4" w:space="0"/>
            </w:tcBorders>
            <w:vAlign w:val="center"/>
          </w:tcPr>
          <w:p w14:paraId="3FA4ED82">
            <w:pPr>
              <w:snapToGrid w:val="0"/>
              <w:spacing w:line="276" w:lineRule="auto"/>
              <w:rPr>
                <w:rFonts w:ascii="宋体" w:hAnsi="宋体" w:eastAsia="宋体"/>
                <w:szCs w:val="21"/>
              </w:rPr>
            </w:pPr>
            <w:r>
              <w:rPr>
                <w:rFonts w:ascii="宋体" w:hAnsi="宋体" w:eastAsia="宋体"/>
                <w:szCs w:val="21"/>
              </w:rPr>
              <w:t>30%</w:t>
            </w:r>
          </w:p>
        </w:tc>
        <w:tc>
          <w:tcPr>
            <w:tcW w:w="1242" w:type="pct"/>
            <w:tcBorders>
              <w:top w:val="single" w:color="auto" w:sz="4" w:space="0"/>
              <w:left w:val="single" w:color="auto" w:sz="4" w:space="0"/>
              <w:bottom w:val="single" w:color="auto" w:sz="4" w:space="0"/>
              <w:right w:val="single" w:color="auto" w:sz="4" w:space="0"/>
            </w:tcBorders>
            <w:vAlign w:val="center"/>
          </w:tcPr>
          <w:p w14:paraId="20C53AA9">
            <w:pPr>
              <w:snapToGrid w:val="0"/>
              <w:spacing w:line="276" w:lineRule="auto"/>
              <w:rPr>
                <w:rFonts w:ascii="宋体" w:hAnsi="宋体" w:eastAsia="宋体"/>
                <w:szCs w:val="21"/>
              </w:rPr>
            </w:pPr>
            <w:r>
              <w:rPr>
                <w:rFonts w:ascii="宋体" w:hAnsi="宋体" w:eastAsia="宋体"/>
                <w:szCs w:val="21"/>
              </w:rPr>
              <w:t>重点考核：学生的出勤情况</w:t>
            </w:r>
            <w:r>
              <w:rPr>
                <w:rFonts w:hint="eastAsia" w:ascii="宋体" w:hAnsi="宋体" w:eastAsia="宋体"/>
                <w:szCs w:val="21"/>
              </w:rPr>
              <w:t>，平时工作的进展情况，实习任务完成情况，教育调查完成情况，实习日记、听课记录等实习手册填写情况</w:t>
            </w:r>
            <w:r>
              <w:rPr>
                <w:rFonts w:ascii="宋体" w:hAnsi="宋体" w:eastAsia="宋体"/>
                <w:szCs w:val="21"/>
              </w:rPr>
              <w:t>。</w:t>
            </w:r>
          </w:p>
        </w:tc>
        <w:tc>
          <w:tcPr>
            <w:tcW w:w="650" w:type="pct"/>
            <w:tcBorders>
              <w:top w:val="single" w:color="auto" w:sz="4" w:space="0"/>
              <w:left w:val="single" w:color="auto" w:sz="4" w:space="0"/>
              <w:bottom w:val="single" w:color="auto" w:sz="4" w:space="0"/>
              <w:right w:val="single" w:color="auto" w:sz="4" w:space="0"/>
            </w:tcBorders>
            <w:vAlign w:val="center"/>
          </w:tcPr>
          <w:p w14:paraId="76FF06D1">
            <w:pPr>
              <w:snapToGrid w:val="0"/>
              <w:spacing w:line="276" w:lineRule="auto"/>
              <w:jc w:val="center"/>
              <w:rPr>
                <w:rFonts w:ascii="宋体" w:hAnsi="宋体" w:eastAsia="宋体"/>
                <w:szCs w:val="21"/>
              </w:rPr>
            </w:pPr>
            <w:r>
              <w:rPr>
                <w:rFonts w:hint="eastAsia" w:ascii="宋体" w:hAnsi="宋体" w:eastAsia="宋体"/>
                <w:szCs w:val="21"/>
              </w:rPr>
              <w:t>课程目标1、2、3、4</w:t>
            </w:r>
          </w:p>
        </w:tc>
        <w:tc>
          <w:tcPr>
            <w:tcW w:w="1081" w:type="pct"/>
            <w:tcBorders>
              <w:top w:val="single" w:color="auto" w:sz="4" w:space="0"/>
              <w:left w:val="single" w:color="auto" w:sz="4" w:space="0"/>
              <w:bottom w:val="single" w:color="auto" w:sz="4" w:space="0"/>
              <w:right w:val="single" w:color="auto" w:sz="4" w:space="0"/>
            </w:tcBorders>
            <w:vAlign w:val="center"/>
          </w:tcPr>
          <w:p w14:paraId="771F6429">
            <w:pPr>
              <w:snapToGrid w:val="0"/>
              <w:spacing w:line="276" w:lineRule="auto"/>
              <w:rPr>
                <w:rFonts w:ascii="宋体" w:hAnsi="宋体" w:eastAsia="宋体"/>
                <w:szCs w:val="21"/>
              </w:rPr>
            </w:pPr>
            <w:r>
              <w:rPr>
                <w:rFonts w:hint="eastAsia" w:ascii="宋体" w:hAnsi="宋体" w:eastAsia="宋体"/>
                <w:szCs w:val="21"/>
              </w:rPr>
              <w:t>1-2、2-1、2-2、</w:t>
            </w:r>
            <w:r>
              <w:rPr>
                <w:rFonts w:ascii="宋体" w:hAnsi="宋体" w:eastAsia="宋体"/>
                <w:szCs w:val="21"/>
              </w:rPr>
              <w:t>4</w:t>
            </w:r>
            <w:r>
              <w:rPr>
                <w:rFonts w:hint="eastAsia" w:ascii="宋体" w:hAnsi="宋体" w:eastAsia="宋体"/>
                <w:szCs w:val="21"/>
              </w:rPr>
              <w:t>-4、</w:t>
            </w:r>
            <w:r>
              <w:rPr>
                <w:rFonts w:ascii="宋体" w:hAnsi="宋体" w:eastAsia="宋体"/>
                <w:szCs w:val="21"/>
              </w:rPr>
              <w:t>5-3</w:t>
            </w:r>
            <w:r>
              <w:rPr>
                <w:rFonts w:hint="eastAsia" w:ascii="宋体" w:hAnsi="宋体" w:eastAsia="宋体"/>
                <w:szCs w:val="21"/>
              </w:rPr>
              <w:t>、6</w:t>
            </w:r>
            <w:r>
              <w:rPr>
                <w:rFonts w:ascii="宋体" w:hAnsi="宋体" w:eastAsia="宋体"/>
                <w:szCs w:val="21"/>
              </w:rPr>
              <w:t>-3</w:t>
            </w:r>
            <w:r>
              <w:rPr>
                <w:rFonts w:hint="eastAsia" w:ascii="宋体" w:hAnsi="宋体" w:eastAsia="宋体"/>
                <w:szCs w:val="21"/>
              </w:rPr>
              <w:t>、7</w:t>
            </w:r>
            <w:r>
              <w:rPr>
                <w:rFonts w:ascii="宋体" w:hAnsi="宋体" w:eastAsia="宋体"/>
                <w:szCs w:val="21"/>
              </w:rPr>
              <w:t>-2</w:t>
            </w:r>
            <w:r>
              <w:rPr>
                <w:rFonts w:hint="eastAsia" w:ascii="宋体" w:hAnsi="宋体" w:eastAsia="宋体"/>
                <w:szCs w:val="21"/>
              </w:rPr>
              <w:t>、7</w:t>
            </w:r>
            <w:r>
              <w:rPr>
                <w:rFonts w:ascii="宋体" w:hAnsi="宋体" w:eastAsia="宋体"/>
                <w:szCs w:val="21"/>
              </w:rPr>
              <w:t>-3</w:t>
            </w:r>
            <w:r>
              <w:rPr>
                <w:rFonts w:hint="eastAsia" w:ascii="宋体" w:hAnsi="宋体" w:eastAsia="宋体"/>
                <w:szCs w:val="21"/>
              </w:rPr>
              <w:t>、8</w:t>
            </w:r>
            <w:r>
              <w:rPr>
                <w:rFonts w:ascii="宋体" w:hAnsi="宋体" w:eastAsia="宋体"/>
                <w:szCs w:val="21"/>
              </w:rPr>
              <w:t>-1</w:t>
            </w:r>
            <w:r>
              <w:rPr>
                <w:rFonts w:hint="eastAsia" w:ascii="宋体" w:hAnsi="宋体" w:eastAsia="宋体"/>
                <w:szCs w:val="21"/>
              </w:rPr>
              <w:t>、8</w:t>
            </w:r>
            <w:r>
              <w:rPr>
                <w:rFonts w:ascii="宋体" w:hAnsi="宋体" w:eastAsia="宋体"/>
                <w:szCs w:val="21"/>
              </w:rPr>
              <w:t>-2</w:t>
            </w:r>
          </w:p>
        </w:tc>
      </w:tr>
      <w:tr w14:paraId="44B0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3" w:type="pct"/>
            <w:tcBorders>
              <w:top w:val="single" w:color="auto" w:sz="4" w:space="0"/>
              <w:left w:val="single" w:color="auto" w:sz="4" w:space="0"/>
              <w:bottom w:val="single" w:color="auto" w:sz="4" w:space="0"/>
              <w:right w:val="single" w:color="auto" w:sz="4" w:space="0"/>
            </w:tcBorders>
            <w:vAlign w:val="center"/>
          </w:tcPr>
          <w:p w14:paraId="1D3B0655">
            <w:pPr>
              <w:snapToGrid w:val="0"/>
              <w:spacing w:line="276" w:lineRule="auto"/>
              <w:rPr>
                <w:rFonts w:ascii="宋体" w:hAnsi="宋体" w:eastAsia="宋体"/>
                <w:szCs w:val="21"/>
              </w:rPr>
            </w:pPr>
            <w:r>
              <w:rPr>
                <w:rFonts w:hint="eastAsia" w:ascii="宋体" w:hAnsi="宋体" w:eastAsia="宋体"/>
                <w:szCs w:val="21"/>
              </w:rPr>
              <w:t>课堂教学实习</w:t>
            </w:r>
          </w:p>
        </w:tc>
        <w:tc>
          <w:tcPr>
            <w:tcW w:w="1044" w:type="pct"/>
            <w:tcBorders>
              <w:top w:val="single" w:color="auto" w:sz="4" w:space="0"/>
              <w:left w:val="single" w:color="auto" w:sz="4" w:space="0"/>
              <w:bottom w:val="single" w:color="auto" w:sz="4" w:space="0"/>
              <w:right w:val="single" w:color="auto" w:sz="4" w:space="0"/>
            </w:tcBorders>
            <w:vAlign w:val="center"/>
          </w:tcPr>
          <w:p w14:paraId="7DF666A7">
            <w:pPr>
              <w:snapToGrid w:val="0"/>
              <w:spacing w:line="276" w:lineRule="auto"/>
              <w:rPr>
                <w:rFonts w:ascii="宋体" w:hAnsi="宋体" w:eastAsia="宋体"/>
                <w:szCs w:val="21"/>
              </w:rPr>
            </w:pPr>
            <w:r>
              <w:rPr>
                <w:rFonts w:hint="eastAsia" w:ascii="宋体" w:hAnsi="宋体" w:eastAsia="宋体"/>
                <w:szCs w:val="21"/>
              </w:rPr>
              <w:t>根据学科填写课堂听课记录，并能做出评价，同时在指导教师指导下写出教案，并能实施。</w:t>
            </w:r>
          </w:p>
        </w:tc>
        <w:tc>
          <w:tcPr>
            <w:tcW w:w="387" w:type="pct"/>
            <w:tcBorders>
              <w:top w:val="single" w:color="auto" w:sz="4" w:space="0"/>
              <w:left w:val="single" w:color="auto" w:sz="4" w:space="0"/>
              <w:bottom w:val="single" w:color="auto" w:sz="4" w:space="0"/>
              <w:right w:val="single" w:color="auto" w:sz="4" w:space="0"/>
            </w:tcBorders>
            <w:vAlign w:val="center"/>
          </w:tcPr>
          <w:p w14:paraId="674BDBE7">
            <w:pPr>
              <w:snapToGrid w:val="0"/>
              <w:spacing w:line="276" w:lineRule="auto"/>
              <w:rPr>
                <w:rFonts w:ascii="宋体" w:hAnsi="宋体" w:eastAsia="宋体"/>
                <w:szCs w:val="21"/>
              </w:rPr>
            </w:pPr>
            <w:r>
              <w:rPr>
                <w:rFonts w:ascii="宋体" w:hAnsi="宋体" w:eastAsia="宋体"/>
                <w:szCs w:val="21"/>
              </w:rPr>
              <w:t>25%</w:t>
            </w:r>
          </w:p>
        </w:tc>
        <w:tc>
          <w:tcPr>
            <w:tcW w:w="1242" w:type="pct"/>
            <w:tcBorders>
              <w:top w:val="single" w:color="auto" w:sz="4" w:space="0"/>
              <w:left w:val="single" w:color="auto" w:sz="4" w:space="0"/>
              <w:bottom w:val="single" w:color="auto" w:sz="4" w:space="0"/>
              <w:right w:val="single" w:color="auto" w:sz="4" w:space="0"/>
            </w:tcBorders>
            <w:vAlign w:val="center"/>
          </w:tcPr>
          <w:p w14:paraId="7C67A123">
            <w:pPr>
              <w:snapToGrid w:val="0"/>
              <w:spacing w:line="276" w:lineRule="auto"/>
              <w:rPr>
                <w:rFonts w:ascii="宋体" w:hAnsi="宋体" w:eastAsia="宋体"/>
                <w:szCs w:val="21"/>
              </w:rPr>
            </w:pPr>
            <w:r>
              <w:rPr>
                <w:rFonts w:ascii="宋体" w:hAnsi="宋体" w:eastAsia="宋体"/>
                <w:szCs w:val="21"/>
              </w:rPr>
              <w:t>重点考核：</w:t>
            </w:r>
            <w:r>
              <w:rPr>
                <w:rFonts w:hint="eastAsia" w:ascii="宋体" w:hAnsi="宋体" w:eastAsia="宋体"/>
                <w:szCs w:val="21"/>
              </w:rPr>
              <w:t>由实习学校学科指导教师根据学生的听课、批改作业、课堂评价及试教情况进行评价。</w:t>
            </w:r>
          </w:p>
        </w:tc>
        <w:tc>
          <w:tcPr>
            <w:tcW w:w="650" w:type="pct"/>
            <w:tcBorders>
              <w:top w:val="single" w:color="auto" w:sz="4" w:space="0"/>
              <w:left w:val="single" w:color="auto" w:sz="4" w:space="0"/>
              <w:bottom w:val="single" w:color="auto" w:sz="4" w:space="0"/>
              <w:right w:val="single" w:color="auto" w:sz="4" w:space="0"/>
            </w:tcBorders>
            <w:vAlign w:val="center"/>
          </w:tcPr>
          <w:p w14:paraId="3BC06A87">
            <w:pPr>
              <w:snapToGrid w:val="0"/>
              <w:spacing w:line="276" w:lineRule="auto"/>
              <w:jc w:val="center"/>
              <w:rPr>
                <w:rFonts w:ascii="宋体" w:hAnsi="宋体" w:eastAsia="宋体"/>
                <w:szCs w:val="21"/>
              </w:rPr>
            </w:pPr>
            <w:r>
              <w:rPr>
                <w:rFonts w:hint="eastAsia" w:ascii="宋体" w:hAnsi="宋体" w:eastAsia="宋体"/>
                <w:szCs w:val="21"/>
              </w:rPr>
              <w:t>课程目标1、2、3、4</w:t>
            </w:r>
          </w:p>
        </w:tc>
        <w:tc>
          <w:tcPr>
            <w:tcW w:w="1081" w:type="pct"/>
            <w:tcBorders>
              <w:top w:val="single" w:color="auto" w:sz="4" w:space="0"/>
              <w:left w:val="single" w:color="auto" w:sz="4" w:space="0"/>
              <w:bottom w:val="single" w:color="auto" w:sz="4" w:space="0"/>
              <w:right w:val="single" w:color="auto" w:sz="4" w:space="0"/>
            </w:tcBorders>
            <w:vAlign w:val="center"/>
          </w:tcPr>
          <w:p w14:paraId="0A3EAF43">
            <w:pPr>
              <w:snapToGrid w:val="0"/>
              <w:spacing w:line="276" w:lineRule="auto"/>
              <w:rPr>
                <w:rFonts w:ascii="宋体" w:hAnsi="宋体" w:eastAsia="宋体"/>
                <w:szCs w:val="21"/>
              </w:rPr>
            </w:pPr>
            <w:r>
              <w:rPr>
                <w:rFonts w:ascii="宋体" w:hAnsi="宋体" w:eastAsia="宋体"/>
                <w:szCs w:val="21"/>
              </w:rPr>
              <w:t>1-2</w:t>
            </w:r>
            <w:r>
              <w:rPr>
                <w:rFonts w:hint="eastAsia" w:ascii="宋体" w:hAnsi="宋体" w:eastAsia="宋体"/>
                <w:szCs w:val="21"/>
              </w:rPr>
              <w:t>、2</w:t>
            </w:r>
            <w:r>
              <w:rPr>
                <w:rFonts w:ascii="宋体" w:hAnsi="宋体" w:eastAsia="宋体"/>
                <w:szCs w:val="21"/>
              </w:rPr>
              <w:t>-1</w:t>
            </w:r>
            <w:r>
              <w:rPr>
                <w:rFonts w:hint="eastAsia" w:ascii="宋体" w:hAnsi="宋体" w:eastAsia="宋体"/>
                <w:szCs w:val="21"/>
              </w:rPr>
              <w:t>、4-1、4-2、4-3、4</w:t>
            </w:r>
            <w:r>
              <w:rPr>
                <w:rFonts w:ascii="宋体" w:hAnsi="宋体" w:eastAsia="宋体"/>
                <w:szCs w:val="21"/>
              </w:rPr>
              <w:t>-4</w:t>
            </w:r>
            <w:r>
              <w:rPr>
                <w:rFonts w:hint="eastAsia" w:ascii="宋体" w:hAnsi="宋体" w:eastAsia="宋体"/>
                <w:szCs w:val="21"/>
              </w:rPr>
              <w:t>、6</w:t>
            </w:r>
            <w:r>
              <w:rPr>
                <w:rFonts w:ascii="宋体" w:hAnsi="宋体" w:eastAsia="宋体"/>
                <w:szCs w:val="21"/>
              </w:rPr>
              <w:t>-1</w:t>
            </w:r>
            <w:r>
              <w:rPr>
                <w:rFonts w:hint="eastAsia" w:ascii="宋体" w:hAnsi="宋体" w:eastAsia="宋体"/>
                <w:szCs w:val="21"/>
              </w:rPr>
              <w:t>、6</w:t>
            </w:r>
            <w:r>
              <w:rPr>
                <w:rFonts w:ascii="宋体" w:hAnsi="宋体" w:eastAsia="宋体"/>
                <w:szCs w:val="21"/>
              </w:rPr>
              <w:t>-2</w:t>
            </w:r>
            <w:r>
              <w:rPr>
                <w:rFonts w:hint="eastAsia" w:ascii="宋体" w:hAnsi="宋体" w:eastAsia="宋体"/>
                <w:szCs w:val="21"/>
              </w:rPr>
              <w:t>、7</w:t>
            </w:r>
            <w:r>
              <w:rPr>
                <w:rFonts w:ascii="宋体" w:hAnsi="宋体" w:eastAsia="宋体"/>
                <w:szCs w:val="21"/>
              </w:rPr>
              <w:t>-1</w:t>
            </w:r>
            <w:r>
              <w:rPr>
                <w:rFonts w:hint="eastAsia" w:ascii="宋体" w:hAnsi="宋体" w:eastAsia="宋体"/>
                <w:szCs w:val="21"/>
              </w:rPr>
              <w:t>、7</w:t>
            </w:r>
            <w:r>
              <w:rPr>
                <w:rFonts w:ascii="宋体" w:hAnsi="宋体" w:eastAsia="宋体"/>
                <w:szCs w:val="21"/>
              </w:rPr>
              <w:t>-2</w:t>
            </w:r>
            <w:r>
              <w:rPr>
                <w:rFonts w:hint="eastAsia" w:ascii="宋体" w:hAnsi="宋体" w:eastAsia="宋体"/>
                <w:szCs w:val="21"/>
              </w:rPr>
              <w:t>、7</w:t>
            </w:r>
            <w:r>
              <w:rPr>
                <w:rFonts w:ascii="宋体" w:hAnsi="宋体" w:eastAsia="宋体"/>
                <w:szCs w:val="21"/>
              </w:rPr>
              <w:t>-3</w:t>
            </w:r>
            <w:r>
              <w:rPr>
                <w:rFonts w:hint="eastAsia" w:ascii="宋体" w:hAnsi="宋体" w:eastAsia="宋体"/>
                <w:szCs w:val="21"/>
              </w:rPr>
              <w:t>、8</w:t>
            </w:r>
            <w:r>
              <w:rPr>
                <w:rFonts w:ascii="宋体" w:hAnsi="宋体" w:eastAsia="宋体"/>
                <w:szCs w:val="21"/>
              </w:rPr>
              <w:t>-1</w:t>
            </w:r>
            <w:r>
              <w:rPr>
                <w:rFonts w:hint="eastAsia" w:ascii="宋体" w:hAnsi="宋体" w:eastAsia="宋体"/>
                <w:szCs w:val="21"/>
              </w:rPr>
              <w:t>、8</w:t>
            </w:r>
            <w:r>
              <w:rPr>
                <w:rFonts w:ascii="宋体" w:hAnsi="宋体" w:eastAsia="宋体"/>
                <w:szCs w:val="21"/>
              </w:rPr>
              <w:t>-2</w:t>
            </w:r>
          </w:p>
        </w:tc>
      </w:tr>
      <w:tr w14:paraId="6524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93" w:type="pct"/>
            <w:tcBorders>
              <w:top w:val="single" w:color="auto" w:sz="4" w:space="0"/>
              <w:left w:val="single" w:color="auto" w:sz="4" w:space="0"/>
              <w:bottom w:val="single" w:color="auto" w:sz="4" w:space="0"/>
              <w:right w:val="single" w:color="auto" w:sz="4" w:space="0"/>
            </w:tcBorders>
            <w:vAlign w:val="center"/>
          </w:tcPr>
          <w:p w14:paraId="0CE0814F">
            <w:pPr>
              <w:snapToGrid w:val="0"/>
              <w:spacing w:line="276" w:lineRule="auto"/>
              <w:rPr>
                <w:rFonts w:ascii="宋体" w:hAnsi="宋体" w:eastAsia="宋体"/>
                <w:szCs w:val="21"/>
              </w:rPr>
            </w:pPr>
            <w:r>
              <w:rPr>
                <w:rFonts w:hint="eastAsia" w:ascii="宋体" w:hAnsi="宋体" w:eastAsia="宋体"/>
                <w:szCs w:val="21"/>
              </w:rPr>
              <w:t>班主任工作实习</w:t>
            </w:r>
          </w:p>
        </w:tc>
        <w:tc>
          <w:tcPr>
            <w:tcW w:w="1044" w:type="pct"/>
            <w:tcBorders>
              <w:top w:val="single" w:color="auto" w:sz="4" w:space="0"/>
              <w:left w:val="single" w:color="auto" w:sz="4" w:space="0"/>
              <w:bottom w:val="single" w:color="auto" w:sz="4" w:space="0"/>
              <w:right w:val="single" w:color="auto" w:sz="4" w:space="0"/>
            </w:tcBorders>
            <w:vAlign w:val="center"/>
          </w:tcPr>
          <w:p w14:paraId="0793FA4B">
            <w:pPr>
              <w:snapToGrid w:val="0"/>
              <w:spacing w:line="276" w:lineRule="auto"/>
              <w:rPr>
                <w:rFonts w:ascii="宋体" w:hAnsi="宋体" w:eastAsia="宋体"/>
                <w:szCs w:val="21"/>
              </w:rPr>
            </w:pPr>
            <w:r>
              <w:rPr>
                <w:rFonts w:hint="eastAsia" w:ascii="宋体" w:hAnsi="宋体" w:eastAsia="宋体"/>
                <w:szCs w:val="21"/>
              </w:rPr>
              <w:t>根据实习班主任（少先队）工作情况</w:t>
            </w:r>
            <w:r>
              <w:rPr>
                <w:rFonts w:ascii="宋体" w:hAnsi="宋体" w:eastAsia="宋体"/>
                <w:szCs w:val="21"/>
              </w:rPr>
              <w:t>。</w:t>
            </w:r>
          </w:p>
        </w:tc>
        <w:tc>
          <w:tcPr>
            <w:tcW w:w="387" w:type="pct"/>
            <w:tcBorders>
              <w:top w:val="single" w:color="auto" w:sz="4" w:space="0"/>
              <w:left w:val="single" w:color="auto" w:sz="4" w:space="0"/>
              <w:bottom w:val="single" w:color="auto" w:sz="4" w:space="0"/>
              <w:right w:val="single" w:color="auto" w:sz="4" w:space="0"/>
            </w:tcBorders>
            <w:vAlign w:val="center"/>
          </w:tcPr>
          <w:p w14:paraId="5695DCD2">
            <w:pPr>
              <w:snapToGrid w:val="0"/>
              <w:spacing w:line="276" w:lineRule="auto"/>
              <w:rPr>
                <w:rFonts w:ascii="宋体" w:hAnsi="宋体" w:eastAsia="宋体"/>
                <w:szCs w:val="21"/>
              </w:rPr>
            </w:pPr>
            <w:r>
              <w:rPr>
                <w:rFonts w:ascii="宋体" w:hAnsi="宋体" w:eastAsia="宋体"/>
                <w:szCs w:val="21"/>
              </w:rPr>
              <w:t>25%</w:t>
            </w:r>
          </w:p>
        </w:tc>
        <w:tc>
          <w:tcPr>
            <w:tcW w:w="1242" w:type="pct"/>
            <w:tcBorders>
              <w:top w:val="single" w:color="auto" w:sz="4" w:space="0"/>
              <w:left w:val="single" w:color="auto" w:sz="4" w:space="0"/>
              <w:bottom w:val="single" w:color="auto" w:sz="4" w:space="0"/>
              <w:right w:val="single" w:color="auto" w:sz="4" w:space="0"/>
            </w:tcBorders>
            <w:vAlign w:val="center"/>
          </w:tcPr>
          <w:p w14:paraId="14DBEF7E">
            <w:pPr>
              <w:snapToGrid w:val="0"/>
              <w:spacing w:line="276" w:lineRule="auto"/>
              <w:rPr>
                <w:rFonts w:ascii="宋体" w:hAnsi="宋体" w:eastAsia="宋体"/>
                <w:szCs w:val="21"/>
              </w:rPr>
            </w:pPr>
            <w:r>
              <w:rPr>
                <w:rFonts w:ascii="宋体" w:hAnsi="宋体" w:eastAsia="宋体"/>
                <w:szCs w:val="21"/>
              </w:rPr>
              <w:t>重点考核：</w:t>
            </w:r>
            <w:r>
              <w:rPr>
                <w:rFonts w:hint="eastAsia" w:ascii="宋体" w:hAnsi="宋体" w:eastAsia="宋体"/>
                <w:szCs w:val="21"/>
              </w:rPr>
              <w:t>由实习学校班主任指导教师根据学生在校的班主任实习工作评价，对学生一日常规、道德与法治课及与小学生互动中表现的学生观以及学生工作的能力进行评价。</w:t>
            </w:r>
          </w:p>
        </w:tc>
        <w:tc>
          <w:tcPr>
            <w:tcW w:w="650" w:type="pct"/>
            <w:tcBorders>
              <w:top w:val="single" w:color="auto" w:sz="4" w:space="0"/>
              <w:left w:val="single" w:color="auto" w:sz="4" w:space="0"/>
              <w:bottom w:val="single" w:color="auto" w:sz="4" w:space="0"/>
              <w:right w:val="single" w:color="auto" w:sz="4" w:space="0"/>
            </w:tcBorders>
            <w:vAlign w:val="center"/>
          </w:tcPr>
          <w:p w14:paraId="221A9B1E">
            <w:pPr>
              <w:snapToGrid w:val="0"/>
              <w:spacing w:line="276" w:lineRule="auto"/>
              <w:jc w:val="center"/>
              <w:rPr>
                <w:rFonts w:ascii="宋体" w:hAnsi="宋体" w:eastAsia="宋体"/>
                <w:szCs w:val="21"/>
              </w:rPr>
            </w:pPr>
            <w:r>
              <w:rPr>
                <w:rFonts w:hint="eastAsia" w:ascii="宋体" w:hAnsi="宋体" w:eastAsia="宋体"/>
                <w:szCs w:val="21"/>
              </w:rPr>
              <w:t>课程目标1、2、3、4</w:t>
            </w:r>
          </w:p>
        </w:tc>
        <w:tc>
          <w:tcPr>
            <w:tcW w:w="1081" w:type="pct"/>
            <w:tcBorders>
              <w:top w:val="single" w:color="auto" w:sz="4" w:space="0"/>
              <w:left w:val="single" w:color="auto" w:sz="4" w:space="0"/>
              <w:bottom w:val="single" w:color="auto" w:sz="4" w:space="0"/>
              <w:right w:val="single" w:color="auto" w:sz="4" w:space="0"/>
            </w:tcBorders>
            <w:vAlign w:val="center"/>
          </w:tcPr>
          <w:p w14:paraId="181AED8C">
            <w:pPr>
              <w:snapToGrid w:val="0"/>
              <w:spacing w:line="276" w:lineRule="auto"/>
              <w:rPr>
                <w:rFonts w:ascii="宋体" w:hAnsi="宋体" w:eastAsia="宋体"/>
                <w:szCs w:val="21"/>
              </w:rPr>
            </w:pPr>
            <w:r>
              <w:rPr>
                <w:rFonts w:ascii="宋体" w:hAnsi="宋体" w:eastAsia="宋体"/>
                <w:szCs w:val="21"/>
              </w:rPr>
              <w:t>1-2</w:t>
            </w:r>
            <w:r>
              <w:rPr>
                <w:rFonts w:hint="eastAsia" w:ascii="宋体" w:hAnsi="宋体" w:eastAsia="宋体"/>
                <w:szCs w:val="21"/>
              </w:rPr>
              <w:t>、2</w:t>
            </w:r>
            <w:r>
              <w:rPr>
                <w:rFonts w:ascii="宋体" w:hAnsi="宋体" w:eastAsia="宋体"/>
                <w:szCs w:val="21"/>
              </w:rPr>
              <w:t>-2</w:t>
            </w:r>
            <w:r>
              <w:rPr>
                <w:rFonts w:hint="eastAsia" w:ascii="宋体" w:hAnsi="宋体" w:eastAsia="宋体"/>
                <w:szCs w:val="21"/>
              </w:rPr>
              <w:t>、5-1、5-2、5-3、6</w:t>
            </w:r>
            <w:r>
              <w:rPr>
                <w:rFonts w:ascii="宋体" w:hAnsi="宋体" w:eastAsia="宋体"/>
                <w:szCs w:val="21"/>
              </w:rPr>
              <w:t>-1</w:t>
            </w:r>
            <w:r>
              <w:rPr>
                <w:rFonts w:hint="eastAsia" w:ascii="宋体" w:hAnsi="宋体" w:eastAsia="宋体"/>
                <w:szCs w:val="21"/>
              </w:rPr>
              <w:t>、6</w:t>
            </w:r>
            <w:r>
              <w:rPr>
                <w:rFonts w:ascii="宋体" w:hAnsi="宋体" w:eastAsia="宋体"/>
                <w:szCs w:val="21"/>
              </w:rPr>
              <w:t>-2</w:t>
            </w:r>
            <w:r>
              <w:rPr>
                <w:rFonts w:hint="eastAsia" w:ascii="宋体" w:hAnsi="宋体" w:eastAsia="宋体"/>
                <w:szCs w:val="21"/>
              </w:rPr>
              <w:t>、6</w:t>
            </w:r>
            <w:r>
              <w:rPr>
                <w:rFonts w:ascii="宋体" w:hAnsi="宋体" w:eastAsia="宋体"/>
                <w:szCs w:val="21"/>
              </w:rPr>
              <w:t>-3</w:t>
            </w:r>
            <w:r>
              <w:rPr>
                <w:rFonts w:hint="eastAsia" w:ascii="宋体" w:hAnsi="宋体" w:eastAsia="宋体"/>
                <w:szCs w:val="21"/>
              </w:rPr>
              <w:t>、7-1、7-2、7-3、8-1、8-2</w:t>
            </w:r>
          </w:p>
        </w:tc>
      </w:tr>
      <w:tr w14:paraId="00AE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93" w:type="pct"/>
            <w:tcBorders>
              <w:top w:val="single" w:color="auto" w:sz="4" w:space="0"/>
              <w:left w:val="single" w:color="auto" w:sz="4" w:space="0"/>
              <w:bottom w:val="single" w:color="auto" w:sz="4" w:space="0"/>
              <w:right w:val="single" w:color="auto" w:sz="4" w:space="0"/>
            </w:tcBorders>
            <w:vAlign w:val="center"/>
          </w:tcPr>
          <w:p w14:paraId="68FC8F5D">
            <w:pPr>
              <w:snapToGrid w:val="0"/>
              <w:spacing w:line="276" w:lineRule="auto"/>
              <w:rPr>
                <w:rFonts w:ascii="宋体" w:hAnsi="宋体" w:eastAsia="宋体"/>
                <w:szCs w:val="21"/>
              </w:rPr>
            </w:pPr>
            <w:r>
              <w:rPr>
                <w:rFonts w:hint="eastAsia" w:ascii="宋体" w:hAnsi="宋体" w:eastAsia="宋体"/>
                <w:szCs w:val="21"/>
              </w:rPr>
              <w:t>实习成果汇报</w:t>
            </w:r>
          </w:p>
        </w:tc>
        <w:tc>
          <w:tcPr>
            <w:tcW w:w="1044" w:type="pct"/>
            <w:tcBorders>
              <w:top w:val="single" w:color="auto" w:sz="4" w:space="0"/>
              <w:left w:val="single" w:color="auto" w:sz="4" w:space="0"/>
              <w:bottom w:val="single" w:color="auto" w:sz="4" w:space="0"/>
              <w:right w:val="single" w:color="auto" w:sz="4" w:space="0"/>
            </w:tcBorders>
            <w:vAlign w:val="center"/>
          </w:tcPr>
          <w:p w14:paraId="7F948FFD">
            <w:pPr>
              <w:snapToGrid w:val="0"/>
              <w:spacing w:line="276" w:lineRule="auto"/>
              <w:rPr>
                <w:rFonts w:ascii="宋体" w:hAnsi="宋体" w:eastAsia="宋体"/>
                <w:szCs w:val="21"/>
              </w:rPr>
            </w:pPr>
            <w:r>
              <w:rPr>
                <w:rFonts w:hint="eastAsia" w:ascii="宋体" w:hAnsi="宋体" w:eastAsia="宋体"/>
                <w:szCs w:val="21"/>
              </w:rPr>
              <w:t>学生从教学、班队工作方面进行实习成果汇报。</w:t>
            </w:r>
          </w:p>
        </w:tc>
        <w:tc>
          <w:tcPr>
            <w:tcW w:w="387" w:type="pct"/>
            <w:tcBorders>
              <w:top w:val="single" w:color="auto" w:sz="4" w:space="0"/>
              <w:left w:val="single" w:color="auto" w:sz="4" w:space="0"/>
              <w:bottom w:val="single" w:color="auto" w:sz="4" w:space="0"/>
              <w:right w:val="single" w:color="auto" w:sz="4" w:space="0"/>
            </w:tcBorders>
            <w:vAlign w:val="center"/>
          </w:tcPr>
          <w:p w14:paraId="5878031A">
            <w:pPr>
              <w:snapToGrid w:val="0"/>
              <w:spacing w:line="276" w:lineRule="auto"/>
              <w:rPr>
                <w:rFonts w:ascii="宋体" w:hAnsi="宋体" w:eastAsia="宋体"/>
                <w:szCs w:val="21"/>
              </w:rPr>
            </w:pPr>
            <w:r>
              <w:rPr>
                <w:rFonts w:ascii="宋体" w:hAnsi="宋体" w:eastAsia="宋体"/>
                <w:szCs w:val="21"/>
              </w:rPr>
              <w:t>20%</w:t>
            </w:r>
          </w:p>
        </w:tc>
        <w:tc>
          <w:tcPr>
            <w:tcW w:w="1242" w:type="pct"/>
            <w:tcBorders>
              <w:top w:val="single" w:color="auto" w:sz="4" w:space="0"/>
              <w:left w:val="single" w:color="auto" w:sz="4" w:space="0"/>
              <w:bottom w:val="single" w:color="auto" w:sz="4" w:space="0"/>
              <w:right w:val="single" w:color="auto" w:sz="4" w:space="0"/>
            </w:tcBorders>
            <w:vAlign w:val="center"/>
          </w:tcPr>
          <w:p w14:paraId="6C076BD0">
            <w:pPr>
              <w:snapToGrid w:val="0"/>
              <w:spacing w:line="276" w:lineRule="auto"/>
              <w:rPr>
                <w:rFonts w:ascii="宋体" w:hAnsi="宋体" w:eastAsia="宋体"/>
                <w:szCs w:val="21"/>
              </w:rPr>
            </w:pPr>
            <w:r>
              <w:rPr>
                <w:rFonts w:ascii="宋体" w:hAnsi="宋体" w:eastAsia="宋体"/>
                <w:szCs w:val="21"/>
              </w:rPr>
              <w:t>重点考核：</w:t>
            </w:r>
            <w:r>
              <w:rPr>
                <w:rFonts w:hint="eastAsia" w:ascii="宋体" w:hAnsi="宋体" w:eastAsia="宋体"/>
                <w:szCs w:val="21"/>
              </w:rPr>
              <w:t>班队活动设计、教学活动设计目标明确，过程详细，方法正确，条理清楚，可操作性强。教学视频提供及时、完整，符合实习要求。</w:t>
            </w:r>
          </w:p>
        </w:tc>
        <w:tc>
          <w:tcPr>
            <w:tcW w:w="650" w:type="pct"/>
            <w:tcBorders>
              <w:top w:val="single" w:color="auto" w:sz="4" w:space="0"/>
              <w:left w:val="single" w:color="auto" w:sz="4" w:space="0"/>
              <w:bottom w:val="single" w:color="auto" w:sz="4" w:space="0"/>
              <w:right w:val="single" w:color="auto" w:sz="4" w:space="0"/>
            </w:tcBorders>
            <w:vAlign w:val="center"/>
          </w:tcPr>
          <w:p w14:paraId="73364260">
            <w:pPr>
              <w:snapToGrid w:val="0"/>
              <w:spacing w:line="276" w:lineRule="auto"/>
              <w:jc w:val="center"/>
              <w:rPr>
                <w:rFonts w:ascii="宋体" w:hAnsi="宋体" w:eastAsia="宋体"/>
                <w:szCs w:val="21"/>
              </w:rPr>
            </w:pPr>
            <w:r>
              <w:rPr>
                <w:rFonts w:hint="eastAsia" w:ascii="宋体" w:hAnsi="宋体" w:eastAsia="宋体"/>
                <w:szCs w:val="21"/>
              </w:rPr>
              <w:t>课程目标1、2、3、4</w:t>
            </w:r>
          </w:p>
        </w:tc>
        <w:tc>
          <w:tcPr>
            <w:tcW w:w="1081" w:type="pct"/>
            <w:tcBorders>
              <w:top w:val="single" w:color="auto" w:sz="4" w:space="0"/>
              <w:left w:val="single" w:color="auto" w:sz="4" w:space="0"/>
              <w:bottom w:val="single" w:color="auto" w:sz="4" w:space="0"/>
              <w:right w:val="single" w:color="auto" w:sz="4" w:space="0"/>
            </w:tcBorders>
            <w:vAlign w:val="center"/>
          </w:tcPr>
          <w:p w14:paraId="55C1C315">
            <w:pPr>
              <w:snapToGrid w:val="0"/>
              <w:spacing w:line="276" w:lineRule="auto"/>
              <w:rPr>
                <w:rFonts w:ascii="宋体" w:hAnsi="宋体" w:eastAsia="宋体"/>
                <w:szCs w:val="21"/>
              </w:rPr>
            </w:pPr>
            <w:r>
              <w:rPr>
                <w:rFonts w:ascii="宋体" w:hAnsi="宋体" w:eastAsia="宋体"/>
                <w:szCs w:val="21"/>
              </w:rPr>
              <w:t>1-2</w:t>
            </w:r>
            <w:r>
              <w:rPr>
                <w:rFonts w:hint="eastAsia" w:ascii="宋体" w:hAnsi="宋体" w:eastAsia="宋体"/>
                <w:szCs w:val="21"/>
              </w:rPr>
              <w:t>、2</w:t>
            </w:r>
            <w:r>
              <w:rPr>
                <w:rFonts w:ascii="宋体" w:hAnsi="宋体" w:eastAsia="宋体"/>
                <w:szCs w:val="21"/>
              </w:rPr>
              <w:t>-1</w:t>
            </w:r>
            <w:r>
              <w:rPr>
                <w:rFonts w:hint="eastAsia" w:ascii="宋体" w:hAnsi="宋体" w:eastAsia="宋体"/>
                <w:szCs w:val="21"/>
              </w:rPr>
              <w:t>、4-1、4-2、4-3、6</w:t>
            </w:r>
            <w:r>
              <w:rPr>
                <w:rFonts w:ascii="宋体" w:hAnsi="宋体" w:eastAsia="宋体"/>
                <w:szCs w:val="21"/>
              </w:rPr>
              <w:t>-3</w:t>
            </w:r>
            <w:r>
              <w:rPr>
                <w:rFonts w:hint="eastAsia" w:ascii="宋体" w:hAnsi="宋体" w:eastAsia="宋体"/>
                <w:szCs w:val="21"/>
              </w:rPr>
              <w:t>、7</w:t>
            </w:r>
            <w:r>
              <w:rPr>
                <w:rFonts w:ascii="宋体" w:hAnsi="宋体" w:eastAsia="宋体"/>
                <w:szCs w:val="21"/>
              </w:rPr>
              <w:t>-1</w:t>
            </w:r>
            <w:r>
              <w:rPr>
                <w:rFonts w:hint="eastAsia" w:ascii="宋体" w:hAnsi="宋体" w:eastAsia="宋体"/>
                <w:szCs w:val="21"/>
              </w:rPr>
              <w:t>、7</w:t>
            </w:r>
            <w:r>
              <w:rPr>
                <w:rFonts w:ascii="宋体" w:hAnsi="宋体" w:eastAsia="宋体"/>
                <w:szCs w:val="21"/>
              </w:rPr>
              <w:t>-2</w:t>
            </w:r>
            <w:r>
              <w:rPr>
                <w:rFonts w:hint="eastAsia" w:ascii="宋体" w:hAnsi="宋体" w:eastAsia="宋体"/>
                <w:szCs w:val="21"/>
              </w:rPr>
              <w:t>、7</w:t>
            </w:r>
            <w:r>
              <w:rPr>
                <w:rFonts w:ascii="宋体" w:hAnsi="宋体" w:eastAsia="宋体"/>
                <w:szCs w:val="21"/>
              </w:rPr>
              <w:t>-3</w:t>
            </w:r>
            <w:r>
              <w:rPr>
                <w:rFonts w:hint="eastAsia" w:ascii="宋体" w:hAnsi="宋体" w:eastAsia="宋体"/>
                <w:szCs w:val="21"/>
              </w:rPr>
              <w:t>、8</w:t>
            </w:r>
            <w:r>
              <w:rPr>
                <w:rFonts w:ascii="宋体" w:hAnsi="宋体" w:eastAsia="宋体"/>
                <w:szCs w:val="21"/>
              </w:rPr>
              <w:t>-1</w:t>
            </w:r>
            <w:r>
              <w:rPr>
                <w:rFonts w:hint="eastAsia" w:ascii="宋体" w:hAnsi="宋体" w:eastAsia="宋体"/>
                <w:szCs w:val="21"/>
              </w:rPr>
              <w:t>、8</w:t>
            </w:r>
            <w:r>
              <w:rPr>
                <w:rFonts w:ascii="宋体" w:hAnsi="宋体" w:eastAsia="宋体"/>
                <w:szCs w:val="21"/>
              </w:rPr>
              <w:t>-2</w:t>
            </w:r>
          </w:p>
        </w:tc>
      </w:tr>
    </w:tbl>
    <w:p w14:paraId="46653A48">
      <w:pPr>
        <w:snapToGrid w:val="0"/>
        <w:spacing w:line="360" w:lineRule="auto"/>
        <w:rPr>
          <w:rFonts w:ascii="宋体" w:hAnsi="宋体" w:eastAsia="宋体"/>
          <w:color w:val="000000"/>
          <w:sz w:val="24"/>
          <w:szCs w:val="24"/>
        </w:rPr>
      </w:pPr>
    </w:p>
    <w:p w14:paraId="637AE2BE">
      <w:pPr>
        <w:snapToGrid w:val="0"/>
        <w:spacing w:line="360" w:lineRule="auto"/>
        <w:rPr>
          <w:rFonts w:ascii="宋体" w:hAnsi="宋体" w:eastAsia="宋体"/>
          <w:b/>
          <w:bCs/>
          <w:color w:val="000000"/>
          <w:sz w:val="24"/>
          <w:szCs w:val="24"/>
        </w:rPr>
      </w:pPr>
      <w:r>
        <w:rPr>
          <w:rFonts w:hint="eastAsia" w:ascii="宋体" w:hAnsi="宋体" w:eastAsia="宋体"/>
          <w:b/>
          <w:bCs/>
          <w:color w:val="000000"/>
          <w:sz w:val="24"/>
          <w:szCs w:val="24"/>
        </w:rPr>
        <w:t>课程目标及考核方式权重分配表</w:t>
      </w:r>
    </w:p>
    <w:tbl>
      <w:tblPr>
        <w:tblStyle w:val="30"/>
        <w:tblW w:w="8916" w:type="dxa"/>
        <w:tblInd w:w="0" w:type="dxa"/>
        <w:tblLayout w:type="autofit"/>
        <w:tblCellMar>
          <w:top w:w="0" w:type="dxa"/>
          <w:left w:w="108" w:type="dxa"/>
          <w:bottom w:w="0" w:type="dxa"/>
          <w:right w:w="108" w:type="dxa"/>
        </w:tblCellMar>
      </w:tblPr>
      <w:tblGrid>
        <w:gridCol w:w="1978"/>
        <w:gridCol w:w="1357"/>
        <w:gridCol w:w="2108"/>
        <w:gridCol w:w="1492"/>
        <w:gridCol w:w="1981"/>
      </w:tblGrid>
      <w:tr w14:paraId="6389E3D9">
        <w:tblPrEx>
          <w:tblCellMar>
            <w:top w:w="0" w:type="dxa"/>
            <w:left w:w="108" w:type="dxa"/>
            <w:bottom w:w="0" w:type="dxa"/>
            <w:right w:w="108" w:type="dxa"/>
          </w:tblCellMar>
        </w:tblPrEx>
        <w:trPr>
          <w:trHeight w:val="411" w:hRule="atLeast"/>
        </w:trPr>
        <w:tc>
          <w:tcPr>
            <w:tcW w:w="3335" w:type="dxa"/>
            <w:gridSpan w:val="2"/>
            <w:tcBorders>
              <w:top w:val="single" w:color="auto" w:sz="4" w:space="0"/>
              <w:left w:val="single" w:color="auto" w:sz="4" w:space="0"/>
              <w:bottom w:val="single" w:color="auto" w:sz="4" w:space="0"/>
              <w:right w:val="single" w:color="auto" w:sz="4" w:space="0"/>
            </w:tcBorders>
            <w:vAlign w:val="center"/>
          </w:tcPr>
          <w:p w14:paraId="32A5599B">
            <w:pPr>
              <w:widowControl/>
              <w:snapToGrid w:val="0"/>
              <w:spacing w:line="276" w:lineRule="auto"/>
              <w:jc w:val="center"/>
              <w:rPr>
                <w:rFonts w:ascii="宋体" w:hAnsi="宋体" w:eastAsia="宋体"/>
                <w:b/>
                <w:bCs/>
                <w:color w:val="000000"/>
                <w:kern w:val="0"/>
                <w:szCs w:val="21"/>
              </w:rPr>
            </w:pPr>
            <w:r>
              <w:rPr>
                <w:rFonts w:hint="eastAsia" w:ascii="宋体" w:hAnsi="宋体" w:eastAsia="宋体"/>
                <w:b/>
                <w:bCs/>
                <w:color w:val="000000"/>
                <w:kern w:val="0"/>
                <w:szCs w:val="21"/>
              </w:rPr>
              <w:t>课程目标及权重</w:t>
            </w:r>
          </w:p>
        </w:tc>
        <w:tc>
          <w:tcPr>
            <w:tcW w:w="5581" w:type="dxa"/>
            <w:gridSpan w:val="3"/>
            <w:tcBorders>
              <w:top w:val="single" w:color="auto" w:sz="4" w:space="0"/>
              <w:left w:val="single" w:color="auto" w:sz="4" w:space="0"/>
              <w:bottom w:val="single" w:color="auto" w:sz="4" w:space="0"/>
              <w:right w:val="single" w:color="auto" w:sz="4" w:space="0"/>
            </w:tcBorders>
            <w:vAlign w:val="center"/>
          </w:tcPr>
          <w:p w14:paraId="6E246558">
            <w:pPr>
              <w:widowControl/>
              <w:snapToGrid w:val="0"/>
              <w:spacing w:line="276" w:lineRule="auto"/>
              <w:ind w:right="-391" w:rightChars="-186"/>
              <w:jc w:val="center"/>
              <w:rPr>
                <w:rFonts w:ascii="宋体" w:hAnsi="宋体" w:eastAsia="宋体"/>
                <w:b/>
                <w:bCs/>
                <w:color w:val="000000"/>
                <w:kern w:val="0"/>
                <w:szCs w:val="21"/>
              </w:rPr>
            </w:pPr>
            <w:r>
              <w:rPr>
                <w:rFonts w:hint="eastAsia" w:ascii="宋体" w:hAnsi="宋体" w:eastAsia="宋体"/>
                <w:b/>
                <w:bCs/>
                <w:color w:val="000000"/>
                <w:kern w:val="0"/>
                <w:szCs w:val="21"/>
              </w:rPr>
              <w:t>考核方式及权重</w:t>
            </w:r>
          </w:p>
        </w:tc>
      </w:tr>
      <w:tr w14:paraId="2DDBE7EA">
        <w:tblPrEx>
          <w:tblCellMar>
            <w:top w:w="0" w:type="dxa"/>
            <w:left w:w="108" w:type="dxa"/>
            <w:bottom w:w="0" w:type="dxa"/>
            <w:right w:w="108" w:type="dxa"/>
          </w:tblCellMar>
        </w:tblPrEx>
        <w:trPr>
          <w:trHeight w:val="384" w:hRule="atLeast"/>
        </w:trPr>
        <w:tc>
          <w:tcPr>
            <w:tcW w:w="1978" w:type="dxa"/>
            <w:tcBorders>
              <w:top w:val="single" w:color="auto" w:sz="4" w:space="0"/>
              <w:left w:val="single" w:color="auto" w:sz="4" w:space="0"/>
              <w:bottom w:val="single" w:color="auto" w:sz="4" w:space="0"/>
              <w:right w:val="single" w:color="auto" w:sz="4" w:space="0"/>
            </w:tcBorders>
            <w:vAlign w:val="center"/>
          </w:tcPr>
          <w:p w14:paraId="27EC31BA">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项目</w:t>
            </w:r>
          </w:p>
        </w:tc>
        <w:tc>
          <w:tcPr>
            <w:tcW w:w="1357" w:type="dxa"/>
            <w:tcBorders>
              <w:top w:val="single" w:color="auto" w:sz="4" w:space="0"/>
              <w:left w:val="single" w:color="auto" w:sz="4" w:space="0"/>
              <w:bottom w:val="single" w:color="auto" w:sz="4" w:space="0"/>
              <w:right w:val="single" w:color="auto" w:sz="4" w:space="0"/>
            </w:tcBorders>
            <w:vAlign w:val="center"/>
          </w:tcPr>
          <w:p w14:paraId="576E7BA7">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权重（</w:t>
            </w:r>
            <w:r>
              <w:rPr>
                <w:rFonts w:ascii="宋体" w:hAnsi="宋体" w:eastAsia="宋体"/>
                <w:color w:val="000000"/>
                <w:kern w:val="0"/>
                <w:szCs w:val="21"/>
              </w:rPr>
              <w:t>a</w:t>
            </w:r>
            <w:r>
              <w:rPr>
                <w:rFonts w:hint="eastAsia" w:ascii="宋体" w:hAnsi="宋体" w:eastAsia="宋体"/>
                <w:color w:val="000000"/>
                <w:kern w:val="0"/>
                <w:szCs w:val="21"/>
              </w:rPr>
              <w:t>）</w:t>
            </w:r>
          </w:p>
        </w:tc>
        <w:tc>
          <w:tcPr>
            <w:tcW w:w="2108" w:type="dxa"/>
            <w:tcBorders>
              <w:top w:val="single" w:color="auto" w:sz="4" w:space="0"/>
              <w:left w:val="single" w:color="auto" w:sz="4" w:space="0"/>
              <w:bottom w:val="single" w:color="auto" w:sz="4" w:space="0"/>
              <w:right w:val="single" w:color="auto" w:sz="4" w:space="0"/>
            </w:tcBorders>
            <w:vAlign w:val="center"/>
          </w:tcPr>
          <w:p w14:paraId="1303A938">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评价依据</w:t>
            </w:r>
          </w:p>
        </w:tc>
        <w:tc>
          <w:tcPr>
            <w:tcW w:w="1492" w:type="dxa"/>
            <w:tcBorders>
              <w:top w:val="single" w:color="auto" w:sz="4" w:space="0"/>
              <w:left w:val="single" w:color="auto" w:sz="4" w:space="0"/>
              <w:bottom w:val="single" w:color="auto" w:sz="4" w:space="0"/>
              <w:right w:val="single" w:color="auto" w:sz="4" w:space="0"/>
            </w:tcBorders>
            <w:vAlign w:val="center"/>
          </w:tcPr>
          <w:p w14:paraId="1D41C2D1">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权重（</w:t>
            </w:r>
            <w:r>
              <w:rPr>
                <w:rFonts w:ascii="宋体" w:hAnsi="宋体" w:eastAsia="宋体"/>
                <w:color w:val="000000"/>
                <w:kern w:val="0"/>
                <w:szCs w:val="21"/>
              </w:rPr>
              <w:t>b</w:t>
            </w:r>
            <w:r>
              <w:rPr>
                <w:rFonts w:hint="eastAsia" w:ascii="宋体" w:hAnsi="宋体" w:eastAsia="宋体"/>
                <w:color w:val="000000"/>
                <w:kern w:val="0"/>
                <w:szCs w:val="21"/>
              </w:rPr>
              <w:t>）</w:t>
            </w:r>
          </w:p>
        </w:tc>
        <w:tc>
          <w:tcPr>
            <w:tcW w:w="1981" w:type="dxa"/>
            <w:tcBorders>
              <w:top w:val="single" w:color="auto" w:sz="4" w:space="0"/>
              <w:left w:val="single" w:color="auto" w:sz="4" w:space="0"/>
              <w:bottom w:val="single" w:color="auto" w:sz="4" w:space="0"/>
              <w:right w:val="single" w:color="auto" w:sz="4" w:space="0"/>
            </w:tcBorders>
            <w:vAlign w:val="center"/>
          </w:tcPr>
          <w:p w14:paraId="4BE9A084">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考核方式权重合计</w:t>
            </w:r>
          </w:p>
        </w:tc>
      </w:tr>
      <w:tr w14:paraId="158F72F7">
        <w:tblPrEx>
          <w:tblCellMar>
            <w:top w:w="0" w:type="dxa"/>
            <w:left w:w="108" w:type="dxa"/>
            <w:bottom w:w="0" w:type="dxa"/>
            <w:right w:w="108" w:type="dxa"/>
          </w:tblCellMar>
        </w:tblPrEx>
        <w:trPr>
          <w:trHeight w:val="426" w:hRule="atLeast"/>
        </w:trPr>
        <w:tc>
          <w:tcPr>
            <w:tcW w:w="1978" w:type="dxa"/>
            <w:vMerge w:val="restart"/>
            <w:tcBorders>
              <w:top w:val="single" w:color="auto" w:sz="4" w:space="0"/>
              <w:left w:val="single" w:color="auto" w:sz="4" w:space="0"/>
              <w:right w:val="single" w:color="auto" w:sz="4" w:space="0"/>
            </w:tcBorders>
            <w:vAlign w:val="center"/>
          </w:tcPr>
          <w:p w14:paraId="44AB6F42">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课程目标</w:t>
            </w:r>
            <w:r>
              <w:rPr>
                <w:rFonts w:ascii="宋体" w:hAnsi="宋体" w:eastAsia="宋体"/>
                <w:color w:val="000000"/>
                <w:kern w:val="0"/>
                <w:szCs w:val="21"/>
              </w:rPr>
              <w:t>1</w:t>
            </w:r>
          </w:p>
        </w:tc>
        <w:tc>
          <w:tcPr>
            <w:tcW w:w="1357" w:type="dxa"/>
            <w:vMerge w:val="restart"/>
            <w:tcBorders>
              <w:top w:val="single" w:color="auto" w:sz="4" w:space="0"/>
              <w:left w:val="single" w:color="auto" w:sz="4" w:space="0"/>
              <w:right w:val="single" w:color="auto" w:sz="4" w:space="0"/>
            </w:tcBorders>
            <w:vAlign w:val="center"/>
          </w:tcPr>
          <w:p w14:paraId="136FD8C7">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20%</w:t>
            </w:r>
          </w:p>
        </w:tc>
        <w:tc>
          <w:tcPr>
            <w:tcW w:w="2108" w:type="dxa"/>
            <w:tcBorders>
              <w:top w:val="single" w:color="auto" w:sz="4" w:space="0"/>
              <w:left w:val="single" w:color="auto" w:sz="4" w:space="0"/>
              <w:bottom w:val="single" w:color="auto" w:sz="4" w:space="0"/>
              <w:right w:val="single" w:color="auto" w:sz="4" w:space="0"/>
            </w:tcBorders>
            <w:vAlign w:val="center"/>
          </w:tcPr>
          <w:p w14:paraId="6CCABC42">
            <w:pPr>
              <w:snapToGrid w:val="0"/>
              <w:spacing w:line="276" w:lineRule="auto"/>
              <w:jc w:val="center"/>
              <w:rPr>
                <w:rFonts w:ascii="宋体" w:hAnsi="宋体" w:eastAsia="宋体"/>
                <w:szCs w:val="21"/>
              </w:rPr>
            </w:pPr>
            <w:r>
              <w:rPr>
                <w:rFonts w:hint="eastAsia" w:ascii="宋体" w:hAnsi="宋体" w:eastAsia="宋体"/>
                <w:szCs w:val="21"/>
              </w:rPr>
              <w:t>教育实习态度</w:t>
            </w:r>
          </w:p>
        </w:tc>
        <w:tc>
          <w:tcPr>
            <w:tcW w:w="1492" w:type="dxa"/>
            <w:tcBorders>
              <w:top w:val="single" w:color="auto" w:sz="4" w:space="0"/>
              <w:left w:val="single" w:color="auto" w:sz="4" w:space="0"/>
              <w:bottom w:val="single" w:color="auto" w:sz="4" w:space="0"/>
              <w:right w:val="single" w:color="auto" w:sz="4" w:space="0"/>
            </w:tcBorders>
            <w:vAlign w:val="center"/>
          </w:tcPr>
          <w:p w14:paraId="7AC66918">
            <w:pPr>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30%</w:t>
            </w:r>
          </w:p>
        </w:tc>
        <w:tc>
          <w:tcPr>
            <w:tcW w:w="1981" w:type="dxa"/>
            <w:vMerge w:val="restart"/>
            <w:tcBorders>
              <w:top w:val="single" w:color="auto" w:sz="4" w:space="0"/>
              <w:left w:val="single" w:color="auto" w:sz="4" w:space="0"/>
              <w:right w:val="single" w:color="auto" w:sz="4" w:space="0"/>
            </w:tcBorders>
            <w:vAlign w:val="center"/>
          </w:tcPr>
          <w:p w14:paraId="3FBCAFCE">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100%</w:t>
            </w:r>
          </w:p>
        </w:tc>
      </w:tr>
      <w:tr w14:paraId="31E3E2D8">
        <w:tblPrEx>
          <w:tblCellMar>
            <w:top w:w="0" w:type="dxa"/>
            <w:left w:w="108" w:type="dxa"/>
            <w:bottom w:w="0" w:type="dxa"/>
            <w:right w:w="108" w:type="dxa"/>
          </w:tblCellMar>
        </w:tblPrEx>
        <w:trPr>
          <w:trHeight w:val="90" w:hRule="atLeast"/>
        </w:trPr>
        <w:tc>
          <w:tcPr>
            <w:tcW w:w="1978" w:type="dxa"/>
            <w:vMerge w:val="continue"/>
            <w:tcBorders>
              <w:left w:val="single" w:color="auto" w:sz="4" w:space="0"/>
              <w:right w:val="single" w:color="auto" w:sz="4" w:space="0"/>
            </w:tcBorders>
            <w:vAlign w:val="center"/>
          </w:tcPr>
          <w:p w14:paraId="33A29A44">
            <w:pPr>
              <w:widowControl/>
              <w:snapToGrid w:val="0"/>
              <w:spacing w:line="276" w:lineRule="auto"/>
              <w:jc w:val="center"/>
              <w:rPr>
                <w:rFonts w:ascii="宋体" w:hAnsi="宋体" w:eastAsia="宋体"/>
                <w:color w:val="000000"/>
                <w:kern w:val="0"/>
                <w:szCs w:val="21"/>
              </w:rPr>
            </w:pPr>
          </w:p>
        </w:tc>
        <w:tc>
          <w:tcPr>
            <w:tcW w:w="1357" w:type="dxa"/>
            <w:vMerge w:val="continue"/>
            <w:tcBorders>
              <w:left w:val="single" w:color="auto" w:sz="4" w:space="0"/>
              <w:right w:val="single" w:color="auto" w:sz="4" w:space="0"/>
            </w:tcBorders>
            <w:vAlign w:val="center"/>
          </w:tcPr>
          <w:p w14:paraId="595CBFF5">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1EAF80B6">
            <w:pPr>
              <w:snapToGrid w:val="0"/>
              <w:spacing w:line="276" w:lineRule="auto"/>
              <w:jc w:val="center"/>
              <w:rPr>
                <w:rFonts w:ascii="宋体" w:hAnsi="宋体" w:eastAsia="宋体"/>
                <w:szCs w:val="21"/>
              </w:rPr>
            </w:pPr>
            <w:r>
              <w:rPr>
                <w:rFonts w:hint="eastAsia" w:ascii="宋体" w:hAnsi="宋体" w:eastAsia="宋体"/>
                <w:szCs w:val="21"/>
              </w:rPr>
              <w:t>课堂教学实习</w:t>
            </w:r>
          </w:p>
        </w:tc>
        <w:tc>
          <w:tcPr>
            <w:tcW w:w="1492" w:type="dxa"/>
            <w:tcBorders>
              <w:top w:val="single" w:color="auto" w:sz="4" w:space="0"/>
              <w:left w:val="single" w:color="auto" w:sz="4" w:space="0"/>
              <w:bottom w:val="single" w:color="auto" w:sz="4" w:space="0"/>
              <w:right w:val="single" w:color="auto" w:sz="4" w:space="0"/>
            </w:tcBorders>
            <w:vAlign w:val="center"/>
          </w:tcPr>
          <w:p w14:paraId="320C2987">
            <w:pPr>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2</w:t>
            </w:r>
            <w:r>
              <w:rPr>
                <w:rFonts w:ascii="宋体" w:hAnsi="宋体" w:eastAsia="宋体"/>
                <w:color w:val="000000"/>
                <w:kern w:val="0"/>
                <w:szCs w:val="21"/>
              </w:rPr>
              <w:t>5%</w:t>
            </w:r>
          </w:p>
        </w:tc>
        <w:tc>
          <w:tcPr>
            <w:tcW w:w="1981" w:type="dxa"/>
            <w:vMerge w:val="continue"/>
            <w:tcBorders>
              <w:left w:val="single" w:color="auto" w:sz="4" w:space="0"/>
              <w:right w:val="single" w:color="auto" w:sz="4" w:space="0"/>
            </w:tcBorders>
            <w:vAlign w:val="center"/>
          </w:tcPr>
          <w:p w14:paraId="02312DE3">
            <w:pPr>
              <w:widowControl/>
              <w:snapToGrid w:val="0"/>
              <w:spacing w:line="276" w:lineRule="auto"/>
              <w:jc w:val="center"/>
              <w:rPr>
                <w:rFonts w:ascii="宋体" w:hAnsi="宋体" w:eastAsia="宋体"/>
                <w:color w:val="000000"/>
                <w:kern w:val="0"/>
                <w:szCs w:val="21"/>
              </w:rPr>
            </w:pPr>
          </w:p>
        </w:tc>
      </w:tr>
      <w:tr w14:paraId="585DF28A">
        <w:tblPrEx>
          <w:tblCellMar>
            <w:top w:w="0" w:type="dxa"/>
            <w:left w:w="108" w:type="dxa"/>
            <w:bottom w:w="0" w:type="dxa"/>
            <w:right w:w="108" w:type="dxa"/>
          </w:tblCellMar>
        </w:tblPrEx>
        <w:trPr>
          <w:trHeight w:val="287" w:hRule="atLeast"/>
        </w:trPr>
        <w:tc>
          <w:tcPr>
            <w:tcW w:w="1978" w:type="dxa"/>
            <w:vMerge w:val="continue"/>
            <w:tcBorders>
              <w:left w:val="single" w:color="auto" w:sz="4" w:space="0"/>
              <w:right w:val="single" w:color="auto" w:sz="4" w:space="0"/>
            </w:tcBorders>
            <w:vAlign w:val="center"/>
          </w:tcPr>
          <w:p w14:paraId="6E87AA3D">
            <w:pPr>
              <w:widowControl/>
              <w:snapToGrid w:val="0"/>
              <w:spacing w:line="276" w:lineRule="auto"/>
              <w:jc w:val="center"/>
              <w:rPr>
                <w:rFonts w:ascii="宋体" w:hAnsi="宋体" w:eastAsia="宋体"/>
                <w:color w:val="000000"/>
                <w:kern w:val="0"/>
                <w:szCs w:val="21"/>
              </w:rPr>
            </w:pPr>
          </w:p>
        </w:tc>
        <w:tc>
          <w:tcPr>
            <w:tcW w:w="1357" w:type="dxa"/>
            <w:vMerge w:val="continue"/>
            <w:tcBorders>
              <w:left w:val="single" w:color="auto" w:sz="4" w:space="0"/>
              <w:right w:val="single" w:color="auto" w:sz="4" w:space="0"/>
            </w:tcBorders>
            <w:vAlign w:val="center"/>
          </w:tcPr>
          <w:p w14:paraId="035B0796">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691F515A">
            <w:pPr>
              <w:snapToGrid w:val="0"/>
              <w:spacing w:line="276" w:lineRule="auto"/>
              <w:jc w:val="center"/>
              <w:rPr>
                <w:rFonts w:ascii="宋体" w:hAnsi="宋体" w:eastAsia="宋体"/>
                <w:szCs w:val="21"/>
              </w:rPr>
            </w:pPr>
            <w:r>
              <w:rPr>
                <w:rFonts w:hint="eastAsia" w:ascii="宋体" w:hAnsi="宋体" w:eastAsia="宋体"/>
                <w:szCs w:val="21"/>
              </w:rPr>
              <w:t>班主任工作实习</w:t>
            </w:r>
          </w:p>
        </w:tc>
        <w:tc>
          <w:tcPr>
            <w:tcW w:w="1492" w:type="dxa"/>
            <w:tcBorders>
              <w:top w:val="single" w:color="auto" w:sz="4" w:space="0"/>
              <w:left w:val="single" w:color="auto" w:sz="4" w:space="0"/>
              <w:bottom w:val="single" w:color="auto" w:sz="4" w:space="0"/>
              <w:right w:val="single" w:color="auto" w:sz="4" w:space="0"/>
            </w:tcBorders>
            <w:vAlign w:val="center"/>
          </w:tcPr>
          <w:p w14:paraId="2F4DADE7">
            <w:pPr>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2</w:t>
            </w:r>
            <w:r>
              <w:rPr>
                <w:rFonts w:ascii="宋体" w:hAnsi="宋体" w:eastAsia="宋体"/>
                <w:color w:val="000000"/>
                <w:kern w:val="0"/>
                <w:szCs w:val="21"/>
              </w:rPr>
              <w:t>5%</w:t>
            </w:r>
          </w:p>
        </w:tc>
        <w:tc>
          <w:tcPr>
            <w:tcW w:w="1981" w:type="dxa"/>
            <w:vMerge w:val="continue"/>
            <w:tcBorders>
              <w:left w:val="single" w:color="auto" w:sz="4" w:space="0"/>
              <w:right w:val="single" w:color="auto" w:sz="4" w:space="0"/>
            </w:tcBorders>
            <w:vAlign w:val="center"/>
          </w:tcPr>
          <w:p w14:paraId="4DC4C60B">
            <w:pPr>
              <w:widowControl/>
              <w:snapToGrid w:val="0"/>
              <w:spacing w:line="276" w:lineRule="auto"/>
              <w:jc w:val="center"/>
              <w:rPr>
                <w:rFonts w:ascii="宋体" w:hAnsi="宋体" w:eastAsia="宋体"/>
                <w:color w:val="000000"/>
                <w:kern w:val="0"/>
                <w:szCs w:val="21"/>
              </w:rPr>
            </w:pPr>
          </w:p>
        </w:tc>
      </w:tr>
      <w:tr w14:paraId="317ECEC3">
        <w:tblPrEx>
          <w:tblCellMar>
            <w:top w:w="0" w:type="dxa"/>
            <w:left w:w="108" w:type="dxa"/>
            <w:bottom w:w="0" w:type="dxa"/>
            <w:right w:w="108" w:type="dxa"/>
          </w:tblCellMar>
        </w:tblPrEx>
        <w:trPr>
          <w:trHeight w:val="426" w:hRule="atLeast"/>
        </w:trPr>
        <w:tc>
          <w:tcPr>
            <w:tcW w:w="1978" w:type="dxa"/>
            <w:vMerge w:val="continue"/>
            <w:tcBorders>
              <w:left w:val="single" w:color="auto" w:sz="4" w:space="0"/>
              <w:bottom w:val="single" w:color="auto" w:sz="4" w:space="0"/>
              <w:right w:val="single" w:color="auto" w:sz="4" w:space="0"/>
            </w:tcBorders>
            <w:vAlign w:val="center"/>
          </w:tcPr>
          <w:p w14:paraId="2AB58303">
            <w:pPr>
              <w:widowControl/>
              <w:snapToGrid w:val="0"/>
              <w:spacing w:line="276" w:lineRule="auto"/>
              <w:jc w:val="center"/>
              <w:rPr>
                <w:rFonts w:ascii="宋体" w:hAnsi="宋体" w:eastAsia="宋体"/>
                <w:color w:val="000000"/>
                <w:kern w:val="0"/>
                <w:szCs w:val="21"/>
              </w:rPr>
            </w:pPr>
          </w:p>
        </w:tc>
        <w:tc>
          <w:tcPr>
            <w:tcW w:w="1357" w:type="dxa"/>
            <w:vMerge w:val="continue"/>
            <w:tcBorders>
              <w:left w:val="single" w:color="auto" w:sz="4" w:space="0"/>
              <w:bottom w:val="single" w:color="auto" w:sz="4" w:space="0"/>
              <w:right w:val="single" w:color="auto" w:sz="4" w:space="0"/>
            </w:tcBorders>
            <w:vAlign w:val="center"/>
          </w:tcPr>
          <w:p w14:paraId="3C3D64F6">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08A95308">
            <w:pPr>
              <w:snapToGrid w:val="0"/>
              <w:spacing w:line="276" w:lineRule="auto"/>
              <w:jc w:val="center"/>
              <w:rPr>
                <w:rFonts w:ascii="宋体" w:hAnsi="宋体" w:eastAsia="宋体"/>
                <w:szCs w:val="21"/>
              </w:rPr>
            </w:pPr>
            <w:r>
              <w:rPr>
                <w:rFonts w:hint="eastAsia" w:ascii="宋体" w:hAnsi="宋体" w:eastAsia="宋体"/>
                <w:szCs w:val="21"/>
              </w:rPr>
              <w:t>实习成果汇报</w:t>
            </w:r>
          </w:p>
        </w:tc>
        <w:tc>
          <w:tcPr>
            <w:tcW w:w="1492" w:type="dxa"/>
            <w:tcBorders>
              <w:top w:val="single" w:color="auto" w:sz="4" w:space="0"/>
              <w:left w:val="single" w:color="auto" w:sz="4" w:space="0"/>
              <w:bottom w:val="single" w:color="auto" w:sz="4" w:space="0"/>
              <w:right w:val="single" w:color="auto" w:sz="4" w:space="0"/>
            </w:tcBorders>
            <w:vAlign w:val="center"/>
          </w:tcPr>
          <w:p w14:paraId="70200369">
            <w:pPr>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20%</w:t>
            </w:r>
          </w:p>
        </w:tc>
        <w:tc>
          <w:tcPr>
            <w:tcW w:w="1981" w:type="dxa"/>
            <w:vMerge w:val="continue"/>
            <w:tcBorders>
              <w:left w:val="single" w:color="auto" w:sz="4" w:space="0"/>
              <w:bottom w:val="single" w:color="auto" w:sz="4" w:space="0"/>
              <w:right w:val="single" w:color="auto" w:sz="4" w:space="0"/>
            </w:tcBorders>
            <w:vAlign w:val="center"/>
          </w:tcPr>
          <w:p w14:paraId="6D537501">
            <w:pPr>
              <w:widowControl/>
              <w:snapToGrid w:val="0"/>
              <w:spacing w:line="276" w:lineRule="auto"/>
              <w:jc w:val="center"/>
              <w:rPr>
                <w:rFonts w:ascii="宋体" w:hAnsi="宋体" w:eastAsia="宋体"/>
                <w:color w:val="000000"/>
                <w:kern w:val="0"/>
                <w:szCs w:val="21"/>
              </w:rPr>
            </w:pPr>
          </w:p>
        </w:tc>
      </w:tr>
      <w:tr w14:paraId="0DF67B0E">
        <w:tblPrEx>
          <w:tblCellMar>
            <w:top w:w="0" w:type="dxa"/>
            <w:left w:w="108" w:type="dxa"/>
            <w:bottom w:w="0" w:type="dxa"/>
            <w:right w:w="108" w:type="dxa"/>
          </w:tblCellMar>
        </w:tblPrEx>
        <w:trPr>
          <w:trHeight w:val="339" w:hRule="atLeast"/>
        </w:trPr>
        <w:tc>
          <w:tcPr>
            <w:tcW w:w="1978" w:type="dxa"/>
            <w:vMerge w:val="restart"/>
            <w:tcBorders>
              <w:top w:val="single" w:color="auto" w:sz="4" w:space="0"/>
              <w:left w:val="single" w:color="auto" w:sz="4" w:space="0"/>
              <w:bottom w:val="single" w:color="auto" w:sz="4" w:space="0"/>
              <w:right w:val="single" w:color="auto" w:sz="4" w:space="0"/>
            </w:tcBorders>
            <w:vAlign w:val="center"/>
          </w:tcPr>
          <w:p w14:paraId="7340D7E7">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课程目标</w:t>
            </w:r>
            <w:r>
              <w:rPr>
                <w:rFonts w:ascii="宋体" w:hAnsi="宋体" w:eastAsia="宋体"/>
                <w:color w:val="000000"/>
                <w:kern w:val="0"/>
                <w:szCs w:val="21"/>
              </w:rPr>
              <w:t>2</w:t>
            </w:r>
          </w:p>
        </w:tc>
        <w:tc>
          <w:tcPr>
            <w:tcW w:w="1357" w:type="dxa"/>
            <w:vMerge w:val="restart"/>
            <w:tcBorders>
              <w:top w:val="single" w:color="auto" w:sz="4" w:space="0"/>
              <w:left w:val="single" w:color="auto" w:sz="4" w:space="0"/>
              <w:bottom w:val="single" w:color="auto" w:sz="4" w:space="0"/>
              <w:right w:val="single" w:color="auto" w:sz="4" w:space="0"/>
            </w:tcBorders>
            <w:vAlign w:val="center"/>
          </w:tcPr>
          <w:p w14:paraId="4ED0D3FA">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40%</w:t>
            </w:r>
          </w:p>
        </w:tc>
        <w:tc>
          <w:tcPr>
            <w:tcW w:w="2108" w:type="dxa"/>
            <w:tcBorders>
              <w:top w:val="single" w:color="auto" w:sz="4" w:space="0"/>
              <w:left w:val="single" w:color="auto" w:sz="4" w:space="0"/>
              <w:bottom w:val="single" w:color="auto" w:sz="4" w:space="0"/>
              <w:right w:val="single" w:color="auto" w:sz="4" w:space="0"/>
            </w:tcBorders>
            <w:vAlign w:val="center"/>
          </w:tcPr>
          <w:p w14:paraId="5B3A29FA">
            <w:pPr>
              <w:snapToGrid w:val="0"/>
              <w:spacing w:line="276" w:lineRule="auto"/>
              <w:jc w:val="center"/>
              <w:rPr>
                <w:rFonts w:ascii="宋体" w:hAnsi="宋体" w:eastAsia="宋体"/>
                <w:szCs w:val="21"/>
              </w:rPr>
            </w:pPr>
            <w:r>
              <w:rPr>
                <w:rFonts w:hint="eastAsia" w:ascii="宋体" w:hAnsi="宋体" w:eastAsia="宋体"/>
                <w:szCs w:val="21"/>
              </w:rPr>
              <w:t>教育实习态度</w:t>
            </w:r>
          </w:p>
        </w:tc>
        <w:tc>
          <w:tcPr>
            <w:tcW w:w="1492" w:type="dxa"/>
            <w:tcBorders>
              <w:top w:val="single" w:color="auto" w:sz="4" w:space="0"/>
              <w:left w:val="single" w:color="auto" w:sz="4" w:space="0"/>
              <w:bottom w:val="single" w:color="auto" w:sz="4" w:space="0"/>
              <w:right w:val="single" w:color="auto" w:sz="4" w:space="0"/>
            </w:tcBorders>
            <w:vAlign w:val="center"/>
          </w:tcPr>
          <w:p w14:paraId="2C196266">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w:t>
            </w:r>
          </w:p>
        </w:tc>
        <w:tc>
          <w:tcPr>
            <w:tcW w:w="1981" w:type="dxa"/>
            <w:vMerge w:val="restart"/>
            <w:tcBorders>
              <w:top w:val="single" w:color="auto" w:sz="4" w:space="0"/>
              <w:left w:val="single" w:color="auto" w:sz="4" w:space="0"/>
              <w:bottom w:val="single" w:color="auto" w:sz="4" w:space="0"/>
              <w:right w:val="single" w:color="auto" w:sz="4" w:space="0"/>
            </w:tcBorders>
            <w:vAlign w:val="center"/>
          </w:tcPr>
          <w:p w14:paraId="5E67020F">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100%</w:t>
            </w:r>
          </w:p>
        </w:tc>
      </w:tr>
      <w:tr w14:paraId="68F8DD15">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16B8AAA4">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01D25E20">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1AB70F89">
            <w:pPr>
              <w:snapToGrid w:val="0"/>
              <w:spacing w:line="276" w:lineRule="auto"/>
              <w:jc w:val="center"/>
              <w:rPr>
                <w:rFonts w:ascii="宋体" w:hAnsi="宋体" w:eastAsia="宋体"/>
                <w:szCs w:val="21"/>
              </w:rPr>
            </w:pPr>
            <w:r>
              <w:rPr>
                <w:rFonts w:hint="eastAsia" w:ascii="宋体" w:hAnsi="宋体" w:eastAsia="宋体"/>
                <w:szCs w:val="21"/>
              </w:rPr>
              <w:t>课堂教学实习</w:t>
            </w:r>
          </w:p>
        </w:tc>
        <w:tc>
          <w:tcPr>
            <w:tcW w:w="1492" w:type="dxa"/>
            <w:tcBorders>
              <w:top w:val="single" w:color="auto" w:sz="4" w:space="0"/>
              <w:left w:val="single" w:color="auto" w:sz="4" w:space="0"/>
              <w:bottom w:val="single" w:color="auto" w:sz="4" w:space="0"/>
              <w:right w:val="single" w:color="auto" w:sz="4" w:space="0"/>
            </w:tcBorders>
            <w:vAlign w:val="center"/>
          </w:tcPr>
          <w:p w14:paraId="3D46AD77">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4</w:t>
            </w:r>
            <w:r>
              <w:rPr>
                <w:rFonts w:ascii="宋体" w:hAnsi="宋体" w:eastAsia="宋体"/>
                <w:color w:val="000000"/>
                <w:kern w:val="0"/>
                <w:szCs w:val="21"/>
              </w:rPr>
              <w:t>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3F719E64">
            <w:pPr>
              <w:widowControl/>
              <w:snapToGrid w:val="0"/>
              <w:spacing w:line="276" w:lineRule="auto"/>
              <w:jc w:val="center"/>
              <w:rPr>
                <w:rFonts w:ascii="宋体" w:hAnsi="宋体" w:eastAsia="宋体"/>
                <w:color w:val="000000"/>
                <w:kern w:val="0"/>
                <w:szCs w:val="21"/>
              </w:rPr>
            </w:pPr>
          </w:p>
        </w:tc>
      </w:tr>
      <w:tr w14:paraId="4C7C014E">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494BB030">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5FA00277">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08DB07F2">
            <w:pPr>
              <w:snapToGrid w:val="0"/>
              <w:spacing w:line="276" w:lineRule="auto"/>
              <w:jc w:val="center"/>
              <w:rPr>
                <w:rFonts w:ascii="宋体" w:hAnsi="宋体" w:eastAsia="宋体"/>
                <w:szCs w:val="21"/>
              </w:rPr>
            </w:pPr>
            <w:r>
              <w:rPr>
                <w:rFonts w:hint="eastAsia" w:ascii="宋体" w:hAnsi="宋体" w:eastAsia="宋体"/>
                <w:szCs w:val="21"/>
              </w:rPr>
              <w:t>班主任工作实习</w:t>
            </w:r>
          </w:p>
        </w:tc>
        <w:tc>
          <w:tcPr>
            <w:tcW w:w="1492" w:type="dxa"/>
            <w:tcBorders>
              <w:top w:val="single" w:color="auto" w:sz="4" w:space="0"/>
              <w:left w:val="single" w:color="auto" w:sz="4" w:space="0"/>
              <w:bottom w:val="single" w:color="auto" w:sz="4" w:space="0"/>
              <w:right w:val="single" w:color="auto" w:sz="4" w:space="0"/>
            </w:tcBorders>
            <w:vAlign w:val="center"/>
          </w:tcPr>
          <w:p w14:paraId="6AD6CEE9">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5F8EE3CC">
            <w:pPr>
              <w:widowControl/>
              <w:snapToGrid w:val="0"/>
              <w:spacing w:line="276" w:lineRule="auto"/>
              <w:jc w:val="center"/>
              <w:rPr>
                <w:rFonts w:ascii="宋体" w:hAnsi="宋体" w:eastAsia="宋体"/>
                <w:color w:val="000000"/>
                <w:kern w:val="0"/>
                <w:szCs w:val="21"/>
              </w:rPr>
            </w:pPr>
          </w:p>
        </w:tc>
      </w:tr>
      <w:tr w14:paraId="4F899ECF">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53BB9D8C">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26F60702">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6827B629">
            <w:pPr>
              <w:snapToGrid w:val="0"/>
              <w:spacing w:line="276" w:lineRule="auto"/>
              <w:jc w:val="center"/>
              <w:rPr>
                <w:rFonts w:ascii="宋体" w:hAnsi="宋体" w:eastAsia="宋体"/>
                <w:szCs w:val="21"/>
              </w:rPr>
            </w:pPr>
            <w:r>
              <w:rPr>
                <w:rFonts w:hint="eastAsia" w:ascii="宋体" w:hAnsi="宋体" w:eastAsia="宋体"/>
                <w:szCs w:val="21"/>
              </w:rPr>
              <w:t>实习成果汇报</w:t>
            </w:r>
          </w:p>
        </w:tc>
        <w:tc>
          <w:tcPr>
            <w:tcW w:w="1492" w:type="dxa"/>
            <w:tcBorders>
              <w:top w:val="single" w:color="auto" w:sz="4" w:space="0"/>
              <w:left w:val="single" w:color="auto" w:sz="4" w:space="0"/>
              <w:bottom w:val="single" w:color="auto" w:sz="4" w:space="0"/>
              <w:right w:val="single" w:color="auto" w:sz="4" w:space="0"/>
            </w:tcBorders>
            <w:vAlign w:val="center"/>
          </w:tcPr>
          <w:p w14:paraId="0E123A86">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40%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3157B45D">
            <w:pPr>
              <w:widowControl/>
              <w:snapToGrid w:val="0"/>
              <w:spacing w:line="276" w:lineRule="auto"/>
              <w:jc w:val="center"/>
              <w:rPr>
                <w:rFonts w:ascii="宋体" w:hAnsi="宋体" w:eastAsia="宋体"/>
                <w:color w:val="000000"/>
                <w:kern w:val="0"/>
                <w:szCs w:val="21"/>
              </w:rPr>
            </w:pPr>
          </w:p>
        </w:tc>
      </w:tr>
      <w:tr w14:paraId="34186CA7">
        <w:tblPrEx>
          <w:tblCellMar>
            <w:top w:w="0" w:type="dxa"/>
            <w:left w:w="108" w:type="dxa"/>
            <w:bottom w:w="0" w:type="dxa"/>
            <w:right w:w="108" w:type="dxa"/>
          </w:tblCellMar>
        </w:tblPrEx>
        <w:trPr>
          <w:trHeight w:val="339" w:hRule="atLeast"/>
        </w:trPr>
        <w:tc>
          <w:tcPr>
            <w:tcW w:w="1978" w:type="dxa"/>
            <w:vMerge w:val="restart"/>
            <w:tcBorders>
              <w:top w:val="single" w:color="auto" w:sz="4" w:space="0"/>
              <w:left w:val="single" w:color="auto" w:sz="4" w:space="0"/>
              <w:bottom w:val="single" w:color="auto" w:sz="4" w:space="0"/>
              <w:right w:val="single" w:color="auto" w:sz="4" w:space="0"/>
            </w:tcBorders>
            <w:vAlign w:val="center"/>
          </w:tcPr>
          <w:p w14:paraId="68240659">
            <w:pPr>
              <w:widowControl/>
              <w:snapToGrid w:val="0"/>
              <w:spacing w:line="276" w:lineRule="auto"/>
              <w:jc w:val="center"/>
              <w:rPr>
                <w:rFonts w:ascii="宋体" w:hAnsi="宋体" w:eastAsia="宋体"/>
                <w:color w:val="000000"/>
                <w:kern w:val="0"/>
                <w:szCs w:val="21"/>
              </w:rPr>
            </w:pPr>
          </w:p>
          <w:p w14:paraId="6FBA77C5">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课程目标</w:t>
            </w:r>
            <w:r>
              <w:rPr>
                <w:rFonts w:ascii="宋体" w:hAnsi="宋体" w:eastAsia="宋体"/>
                <w:color w:val="000000"/>
                <w:kern w:val="0"/>
                <w:szCs w:val="21"/>
              </w:rPr>
              <w:t>3</w:t>
            </w:r>
          </w:p>
        </w:tc>
        <w:tc>
          <w:tcPr>
            <w:tcW w:w="1357" w:type="dxa"/>
            <w:vMerge w:val="restart"/>
            <w:tcBorders>
              <w:top w:val="single" w:color="auto" w:sz="4" w:space="0"/>
              <w:left w:val="single" w:color="auto" w:sz="4" w:space="0"/>
              <w:bottom w:val="single" w:color="auto" w:sz="4" w:space="0"/>
              <w:right w:val="single" w:color="auto" w:sz="4" w:space="0"/>
            </w:tcBorders>
            <w:vAlign w:val="center"/>
          </w:tcPr>
          <w:p w14:paraId="0AFD87FA">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30%</w:t>
            </w:r>
          </w:p>
        </w:tc>
        <w:tc>
          <w:tcPr>
            <w:tcW w:w="2108" w:type="dxa"/>
            <w:tcBorders>
              <w:top w:val="single" w:color="auto" w:sz="4" w:space="0"/>
              <w:left w:val="single" w:color="auto" w:sz="4" w:space="0"/>
              <w:bottom w:val="single" w:color="auto" w:sz="4" w:space="0"/>
              <w:right w:val="single" w:color="auto" w:sz="4" w:space="0"/>
            </w:tcBorders>
            <w:vAlign w:val="center"/>
          </w:tcPr>
          <w:p w14:paraId="0B58D545">
            <w:pPr>
              <w:snapToGrid w:val="0"/>
              <w:spacing w:line="276" w:lineRule="auto"/>
              <w:jc w:val="center"/>
              <w:rPr>
                <w:rFonts w:ascii="宋体" w:hAnsi="宋体" w:eastAsia="宋体"/>
                <w:szCs w:val="21"/>
              </w:rPr>
            </w:pPr>
            <w:r>
              <w:rPr>
                <w:rFonts w:hint="eastAsia" w:ascii="宋体" w:hAnsi="宋体" w:eastAsia="宋体"/>
                <w:szCs w:val="21"/>
              </w:rPr>
              <w:t>教育实习态度</w:t>
            </w:r>
          </w:p>
        </w:tc>
        <w:tc>
          <w:tcPr>
            <w:tcW w:w="1492" w:type="dxa"/>
            <w:tcBorders>
              <w:top w:val="single" w:color="auto" w:sz="4" w:space="0"/>
              <w:left w:val="single" w:color="auto" w:sz="4" w:space="0"/>
              <w:bottom w:val="single" w:color="auto" w:sz="4" w:space="0"/>
              <w:right w:val="single" w:color="auto" w:sz="4" w:space="0"/>
            </w:tcBorders>
            <w:vAlign w:val="center"/>
          </w:tcPr>
          <w:p w14:paraId="35F05DE4">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w:t>
            </w:r>
          </w:p>
        </w:tc>
        <w:tc>
          <w:tcPr>
            <w:tcW w:w="1981" w:type="dxa"/>
            <w:vMerge w:val="restart"/>
            <w:tcBorders>
              <w:top w:val="single" w:color="auto" w:sz="4" w:space="0"/>
              <w:left w:val="single" w:color="auto" w:sz="4" w:space="0"/>
              <w:bottom w:val="single" w:color="auto" w:sz="4" w:space="0"/>
              <w:right w:val="single" w:color="auto" w:sz="4" w:space="0"/>
            </w:tcBorders>
            <w:vAlign w:val="center"/>
          </w:tcPr>
          <w:p w14:paraId="477456C1">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100%</w:t>
            </w:r>
          </w:p>
        </w:tc>
      </w:tr>
      <w:tr w14:paraId="30AACEEB">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3EA95515">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58921CE9">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51DDB148">
            <w:pPr>
              <w:snapToGrid w:val="0"/>
              <w:spacing w:line="276" w:lineRule="auto"/>
              <w:jc w:val="center"/>
              <w:rPr>
                <w:rFonts w:ascii="宋体" w:hAnsi="宋体" w:eastAsia="宋体"/>
                <w:szCs w:val="21"/>
              </w:rPr>
            </w:pPr>
            <w:r>
              <w:rPr>
                <w:rFonts w:hint="eastAsia" w:ascii="宋体" w:hAnsi="宋体" w:eastAsia="宋体"/>
                <w:szCs w:val="21"/>
              </w:rPr>
              <w:t>课堂教学实习</w:t>
            </w:r>
          </w:p>
        </w:tc>
        <w:tc>
          <w:tcPr>
            <w:tcW w:w="1492" w:type="dxa"/>
            <w:tcBorders>
              <w:top w:val="single" w:color="auto" w:sz="4" w:space="0"/>
              <w:left w:val="single" w:color="auto" w:sz="4" w:space="0"/>
              <w:bottom w:val="single" w:color="auto" w:sz="4" w:space="0"/>
              <w:right w:val="single" w:color="auto" w:sz="4" w:space="0"/>
            </w:tcBorders>
            <w:vAlign w:val="center"/>
          </w:tcPr>
          <w:p w14:paraId="16F6BF19">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62BADE4F">
            <w:pPr>
              <w:widowControl/>
              <w:snapToGrid w:val="0"/>
              <w:spacing w:line="276" w:lineRule="auto"/>
              <w:jc w:val="center"/>
              <w:rPr>
                <w:rFonts w:ascii="宋体" w:hAnsi="宋体" w:eastAsia="宋体"/>
                <w:color w:val="000000"/>
                <w:kern w:val="0"/>
                <w:szCs w:val="21"/>
              </w:rPr>
            </w:pPr>
          </w:p>
        </w:tc>
      </w:tr>
      <w:tr w14:paraId="6A01BCD0">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5F060529">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0E138701">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5A92217E">
            <w:pPr>
              <w:snapToGrid w:val="0"/>
              <w:spacing w:line="276" w:lineRule="auto"/>
              <w:jc w:val="center"/>
              <w:rPr>
                <w:rFonts w:ascii="宋体" w:hAnsi="宋体" w:eastAsia="宋体"/>
                <w:szCs w:val="21"/>
              </w:rPr>
            </w:pPr>
            <w:r>
              <w:rPr>
                <w:rFonts w:hint="eastAsia" w:ascii="宋体" w:hAnsi="宋体" w:eastAsia="宋体"/>
                <w:szCs w:val="21"/>
              </w:rPr>
              <w:t>班主任工作实习</w:t>
            </w:r>
          </w:p>
        </w:tc>
        <w:tc>
          <w:tcPr>
            <w:tcW w:w="1492" w:type="dxa"/>
            <w:tcBorders>
              <w:top w:val="single" w:color="auto" w:sz="4" w:space="0"/>
              <w:left w:val="single" w:color="auto" w:sz="4" w:space="0"/>
              <w:bottom w:val="single" w:color="auto" w:sz="4" w:space="0"/>
              <w:right w:val="single" w:color="auto" w:sz="4" w:space="0"/>
            </w:tcBorders>
            <w:vAlign w:val="center"/>
          </w:tcPr>
          <w:p w14:paraId="2743C250">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4</w:t>
            </w:r>
            <w:r>
              <w:rPr>
                <w:rFonts w:ascii="宋体" w:hAnsi="宋体" w:eastAsia="宋体"/>
                <w:color w:val="000000"/>
                <w:kern w:val="0"/>
                <w:szCs w:val="21"/>
              </w:rPr>
              <w:t>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56B84CAC">
            <w:pPr>
              <w:widowControl/>
              <w:snapToGrid w:val="0"/>
              <w:spacing w:line="276" w:lineRule="auto"/>
              <w:jc w:val="center"/>
              <w:rPr>
                <w:rFonts w:ascii="宋体" w:hAnsi="宋体" w:eastAsia="宋体"/>
                <w:color w:val="000000"/>
                <w:kern w:val="0"/>
                <w:szCs w:val="21"/>
              </w:rPr>
            </w:pPr>
          </w:p>
        </w:tc>
      </w:tr>
      <w:tr w14:paraId="7DF3A2DB">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760AEA5B">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2FA9FCFB">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67912406">
            <w:pPr>
              <w:snapToGrid w:val="0"/>
              <w:spacing w:line="276" w:lineRule="auto"/>
              <w:jc w:val="center"/>
              <w:rPr>
                <w:rFonts w:ascii="宋体" w:hAnsi="宋体" w:eastAsia="宋体"/>
                <w:szCs w:val="21"/>
              </w:rPr>
            </w:pPr>
            <w:r>
              <w:rPr>
                <w:rFonts w:hint="eastAsia" w:ascii="宋体" w:hAnsi="宋体" w:eastAsia="宋体"/>
                <w:szCs w:val="21"/>
              </w:rPr>
              <w:t>实习成果汇报</w:t>
            </w:r>
          </w:p>
        </w:tc>
        <w:tc>
          <w:tcPr>
            <w:tcW w:w="1492" w:type="dxa"/>
            <w:tcBorders>
              <w:top w:val="single" w:color="auto" w:sz="4" w:space="0"/>
              <w:left w:val="single" w:color="auto" w:sz="4" w:space="0"/>
              <w:bottom w:val="single" w:color="auto" w:sz="4" w:space="0"/>
              <w:right w:val="single" w:color="auto" w:sz="4" w:space="0"/>
            </w:tcBorders>
            <w:vAlign w:val="center"/>
          </w:tcPr>
          <w:p w14:paraId="40F5051F">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40%</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18A1696F">
            <w:pPr>
              <w:widowControl/>
              <w:snapToGrid w:val="0"/>
              <w:spacing w:line="276" w:lineRule="auto"/>
              <w:jc w:val="center"/>
              <w:rPr>
                <w:rFonts w:ascii="宋体" w:hAnsi="宋体" w:eastAsia="宋体"/>
                <w:color w:val="000000"/>
                <w:kern w:val="0"/>
                <w:szCs w:val="21"/>
              </w:rPr>
            </w:pPr>
          </w:p>
        </w:tc>
      </w:tr>
      <w:tr w14:paraId="23907845">
        <w:tblPrEx>
          <w:tblCellMar>
            <w:top w:w="0" w:type="dxa"/>
            <w:left w:w="108" w:type="dxa"/>
            <w:bottom w:w="0" w:type="dxa"/>
            <w:right w:w="108" w:type="dxa"/>
          </w:tblCellMar>
        </w:tblPrEx>
        <w:trPr>
          <w:trHeight w:val="339" w:hRule="atLeast"/>
        </w:trPr>
        <w:tc>
          <w:tcPr>
            <w:tcW w:w="1978" w:type="dxa"/>
            <w:vMerge w:val="restart"/>
            <w:tcBorders>
              <w:top w:val="single" w:color="auto" w:sz="4" w:space="0"/>
              <w:left w:val="single" w:color="auto" w:sz="4" w:space="0"/>
              <w:bottom w:val="single" w:color="auto" w:sz="4" w:space="0"/>
              <w:right w:val="single" w:color="auto" w:sz="4" w:space="0"/>
            </w:tcBorders>
            <w:vAlign w:val="center"/>
          </w:tcPr>
          <w:p w14:paraId="0BF9E468">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课程目标</w:t>
            </w:r>
            <w:r>
              <w:rPr>
                <w:rFonts w:ascii="宋体" w:hAnsi="宋体" w:eastAsia="宋体"/>
                <w:color w:val="000000"/>
                <w:kern w:val="0"/>
                <w:szCs w:val="21"/>
              </w:rPr>
              <w:t>4</w:t>
            </w:r>
          </w:p>
        </w:tc>
        <w:tc>
          <w:tcPr>
            <w:tcW w:w="1357" w:type="dxa"/>
            <w:vMerge w:val="restart"/>
            <w:tcBorders>
              <w:top w:val="single" w:color="auto" w:sz="4" w:space="0"/>
              <w:left w:val="single" w:color="auto" w:sz="4" w:space="0"/>
              <w:bottom w:val="single" w:color="auto" w:sz="4" w:space="0"/>
              <w:right w:val="single" w:color="auto" w:sz="4" w:space="0"/>
            </w:tcBorders>
            <w:vAlign w:val="center"/>
          </w:tcPr>
          <w:p w14:paraId="30246BC1">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w:t>
            </w:r>
          </w:p>
        </w:tc>
        <w:tc>
          <w:tcPr>
            <w:tcW w:w="2108" w:type="dxa"/>
            <w:tcBorders>
              <w:top w:val="single" w:color="auto" w:sz="4" w:space="0"/>
              <w:left w:val="single" w:color="auto" w:sz="4" w:space="0"/>
              <w:bottom w:val="single" w:color="auto" w:sz="4" w:space="0"/>
              <w:right w:val="single" w:color="auto" w:sz="4" w:space="0"/>
            </w:tcBorders>
            <w:vAlign w:val="center"/>
          </w:tcPr>
          <w:p w14:paraId="4DE00D6F">
            <w:pPr>
              <w:snapToGrid w:val="0"/>
              <w:spacing w:line="276" w:lineRule="auto"/>
              <w:jc w:val="center"/>
              <w:rPr>
                <w:rFonts w:ascii="宋体" w:hAnsi="宋体" w:eastAsia="宋体"/>
                <w:szCs w:val="21"/>
              </w:rPr>
            </w:pPr>
            <w:r>
              <w:rPr>
                <w:rFonts w:hint="eastAsia" w:ascii="宋体" w:hAnsi="宋体" w:eastAsia="宋体"/>
                <w:szCs w:val="21"/>
              </w:rPr>
              <w:t>教育实习态度</w:t>
            </w:r>
          </w:p>
        </w:tc>
        <w:tc>
          <w:tcPr>
            <w:tcW w:w="1492" w:type="dxa"/>
            <w:tcBorders>
              <w:top w:val="single" w:color="auto" w:sz="4" w:space="0"/>
              <w:left w:val="single" w:color="auto" w:sz="4" w:space="0"/>
              <w:bottom w:val="single" w:color="auto" w:sz="4" w:space="0"/>
              <w:right w:val="single" w:color="auto" w:sz="4" w:space="0"/>
            </w:tcBorders>
            <w:vAlign w:val="center"/>
          </w:tcPr>
          <w:p w14:paraId="78817ABE">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20%</w:t>
            </w:r>
          </w:p>
        </w:tc>
        <w:tc>
          <w:tcPr>
            <w:tcW w:w="1981" w:type="dxa"/>
            <w:vMerge w:val="restart"/>
            <w:tcBorders>
              <w:top w:val="single" w:color="auto" w:sz="4" w:space="0"/>
              <w:left w:val="single" w:color="auto" w:sz="4" w:space="0"/>
              <w:bottom w:val="single" w:color="auto" w:sz="4" w:space="0"/>
              <w:right w:val="single" w:color="auto" w:sz="4" w:space="0"/>
            </w:tcBorders>
            <w:vAlign w:val="center"/>
          </w:tcPr>
          <w:p w14:paraId="3F008716">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100%</w:t>
            </w:r>
          </w:p>
        </w:tc>
      </w:tr>
      <w:tr w14:paraId="4E8B7194">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7AEA7B62">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71E5B961">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177067AB">
            <w:pPr>
              <w:snapToGrid w:val="0"/>
              <w:spacing w:line="276" w:lineRule="auto"/>
              <w:jc w:val="center"/>
              <w:rPr>
                <w:rFonts w:ascii="宋体" w:hAnsi="宋体" w:eastAsia="宋体"/>
                <w:szCs w:val="21"/>
              </w:rPr>
            </w:pPr>
            <w:r>
              <w:rPr>
                <w:rFonts w:hint="eastAsia" w:ascii="宋体" w:hAnsi="宋体" w:eastAsia="宋体"/>
                <w:szCs w:val="21"/>
              </w:rPr>
              <w:t>课堂教学实习</w:t>
            </w:r>
          </w:p>
        </w:tc>
        <w:tc>
          <w:tcPr>
            <w:tcW w:w="1492" w:type="dxa"/>
            <w:tcBorders>
              <w:top w:val="single" w:color="auto" w:sz="4" w:space="0"/>
              <w:left w:val="single" w:color="auto" w:sz="4" w:space="0"/>
              <w:bottom w:val="single" w:color="auto" w:sz="4" w:space="0"/>
              <w:right w:val="single" w:color="auto" w:sz="4" w:space="0"/>
            </w:tcBorders>
            <w:vAlign w:val="center"/>
          </w:tcPr>
          <w:p w14:paraId="0D58610A">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2</w:t>
            </w:r>
            <w:r>
              <w:rPr>
                <w:rFonts w:ascii="宋体" w:hAnsi="宋体" w:eastAsia="宋体"/>
                <w:color w:val="000000"/>
                <w:kern w:val="0"/>
                <w:szCs w:val="21"/>
              </w:rPr>
              <w:t>5%</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1213343A">
            <w:pPr>
              <w:widowControl/>
              <w:snapToGrid w:val="0"/>
              <w:spacing w:line="276" w:lineRule="auto"/>
              <w:jc w:val="center"/>
              <w:rPr>
                <w:rFonts w:ascii="宋体" w:hAnsi="宋体" w:eastAsia="宋体"/>
                <w:color w:val="000000"/>
                <w:kern w:val="0"/>
                <w:szCs w:val="21"/>
              </w:rPr>
            </w:pPr>
          </w:p>
        </w:tc>
      </w:tr>
      <w:tr w14:paraId="66EC3BA0">
        <w:tblPrEx>
          <w:tblCellMar>
            <w:top w:w="0" w:type="dxa"/>
            <w:left w:w="108" w:type="dxa"/>
            <w:bottom w:w="0" w:type="dxa"/>
            <w:right w:w="108" w:type="dxa"/>
          </w:tblCellMar>
        </w:tblPrEx>
        <w:trPr>
          <w:trHeight w:val="339"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4EDF7449">
            <w:pPr>
              <w:widowControl/>
              <w:snapToGrid w:val="0"/>
              <w:spacing w:line="276" w:lineRule="auto"/>
              <w:jc w:val="center"/>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5A492B2C">
            <w:pPr>
              <w:widowControl/>
              <w:snapToGrid w:val="0"/>
              <w:spacing w:line="276" w:lineRule="auto"/>
              <w:jc w:val="center"/>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42CB8648">
            <w:pPr>
              <w:snapToGrid w:val="0"/>
              <w:spacing w:line="276" w:lineRule="auto"/>
              <w:jc w:val="center"/>
              <w:rPr>
                <w:rFonts w:ascii="宋体" w:hAnsi="宋体" w:eastAsia="宋体"/>
                <w:szCs w:val="21"/>
              </w:rPr>
            </w:pPr>
            <w:r>
              <w:rPr>
                <w:rFonts w:hint="eastAsia" w:ascii="宋体" w:hAnsi="宋体" w:eastAsia="宋体"/>
                <w:szCs w:val="21"/>
              </w:rPr>
              <w:t>班主任工作实习</w:t>
            </w:r>
          </w:p>
        </w:tc>
        <w:tc>
          <w:tcPr>
            <w:tcW w:w="1492" w:type="dxa"/>
            <w:tcBorders>
              <w:top w:val="single" w:color="auto" w:sz="4" w:space="0"/>
              <w:left w:val="single" w:color="auto" w:sz="4" w:space="0"/>
              <w:bottom w:val="single" w:color="auto" w:sz="4" w:space="0"/>
              <w:right w:val="single" w:color="auto" w:sz="4" w:space="0"/>
            </w:tcBorders>
            <w:vAlign w:val="center"/>
          </w:tcPr>
          <w:p w14:paraId="16A716B2">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25%</w:t>
            </w:r>
          </w:p>
        </w:tc>
        <w:tc>
          <w:tcPr>
            <w:tcW w:w="1981" w:type="dxa"/>
            <w:vMerge w:val="continue"/>
            <w:tcBorders>
              <w:top w:val="single" w:color="auto" w:sz="4" w:space="0"/>
              <w:left w:val="single" w:color="auto" w:sz="4" w:space="0"/>
              <w:bottom w:val="single" w:color="auto" w:sz="4" w:space="0"/>
              <w:right w:val="single" w:color="auto" w:sz="4" w:space="0"/>
            </w:tcBorders>
            <w:vAlign w:val="center"/>
          </w:tcPr>
          <w:p w14:paraId="5E8A176D">
            <w:pPr>
              <w:widowControl/>
              <w:snapToGrid w:val="0"/>
              <w:spacing w:line="276" w:lineRule="auto"/>
              <w:jc w:val="center"/>
              <w:rPr>
                <w:rFonts w:ascii="宋体" w:hAnsi="宋体" w:eastAsia="宋体"/>
                <w:color w:val="000000"/>
                <w:kern w:val="0"/>
                <w:szCs w:val="21"/>
              </w:rPr>
            </w:pPr>
          </w:p>
        </w:tc>
      </w:tr>
      <w:tr w14:paraId="5805008F">
        <w:tblPrEx>
          <w:tblCellMar>
            <w:top w:w="0" w:type="dxa"/>
            <w:left w:w="108" w:type="dxa"/>
            <w:bottom w:w="0" w:type="dxa"/>
            <w:right w:w="108" w:type="dxa"/>
          </w:tblCellMar>
        </w:tblPrEx>
        <w:trPr>
          <w:trHeight w:val="365" w:hRule="atLeast"/>
        </w:trPr>
        <w:tc>
          <w:tcPr>
            <w:tcW w:w="1978" w:type="dxa"/>
            <w:vMerge w:val="continue"/>
            <w:tcBorders>
              <w:top w:val="single" w:color="auto" w:sz="4" w:space="0"/>
              <w:left w:val="single" w:color="auto" w:sz="4" w:space="0"/>
              <w:bottom w:val="single" w:color="auto" w:sz="4" w:space="0"/>
              <w:right w:val="single" w:color="auto" w:sz="4" w:space="0"/>
            </w:tcBorders>
            <w:vAlign w:val="center"/>
          </w:tcPr>
          <w:p w14:paraId="24CAA494">
            <w:pPr>
              <w:widowControl/>
              <w:snapToGrid w:val="0"/>
              <w:spacing w:line="276" w:lineRule="auto"/>
              <w:rPr>
                <w:rFonts w:ascii="宋体" w:hAnsi="宋体" w:eastAsia="宋体"/>
                <w:color w:val="000000"/>
                <w:kern w:val="0"/>
                <w:szCs w:val="21"/>
              </w:rPr>
            </w:pPr>
          </w:p>
        </w:tc>
        <w:tc>
          <w:tcPr>
            <w:tcW w:w="1357" w:type="dxa"/>
            <w:vMerge w:val="continue"/>
            <w:tcBorders>
              <w:top w:val="single" w:color="auto" w:sz="4" w:space="0"/>
              <w:left w:val="single" w:color="auto" w:sz="4" w:space="0"/>
              <w:bottom w:val="single" w:color="auto" w:sz="4" w:space="0"/>
              <w:right w:val="single" w:color="auto" w:sz="4" w:space="0"/>
            </w:tcBorders>
            <w:vAlign w:val="center"/>
          </w:tcPr>
          <w:p w14:paraId="3B133990">
            <w:pPr>
              <w:widowControl/>
              <w:snapToGrid w:val="0"/>
              <w:spacing w:line="276" w:lineRule="auto"/>
              <w:rPr>
                <w:rFonts w:ascii="宋体" w:hAnsi="宋体" w:eastAsia="宋体"/>
                <w:color w:val="000000"/>
                <w:kern w:val="0"/>
                <w:szCs w:val="21"/>
              </w:rPr>
            </w:pPr>
          </w:p>
        </w:tc>
        <w:tc>
          <w:tcPr>
            <w:tcW w:w="2108" w:type="dxa"/>
            <w:tcBorders>
              <w:top w:val="single" w:color="auto" w:sz="4" w:space="0"/>
              <w:left w:val="single" w:color="auto" w:sz="4" w:space="0"/>
              <w:bottom w:val="single" w:color="auto" w:sz="4" w:space="0"/>
              <w:right w:val="single" w:color="auto" w:sz="4" w:space="0"/>
            </w:tcBorders>
            <w:vAlign w:val="center"/>
          </w:tcPr>
          <w:p w14:paraId="542B2748">
            <w:pPr>
              <w:snapToGrid w:val="0"/>
              <w:spacing w:line="276" w:lineRule="auto"/>
              <w:jc w:val="center"/>
              <w:rPr>
                <w:rFonts w:ascii="宋体" w:hAnsi="宋体" w:eastAsia="宋体"/>
                <w:szCs w:val="21"/>
              </w:rPr>
            </w:pPr>
            <w:r>
              <w:rPr>
                <w:rFonts w:hint="eastAsia" w:ascii="宋体" w:hAnsi="宋体" w:eastAsia="宋体"/>
                <w:szCs w:val="21"/>
              </w:rPr>
              <w:t>实习成果汇报</w:t>
            </w:r>
          </w:p>
        </w:tc>
        <w:tc>
          <w:tcPr>
            <w:tcW w:w="1492" w:type="dxa"/>
            <w:tcBorders>
              <w:top w:val="single" w:color="auto" w:sz="4" w:space="0"/>
              <w:left w:val="single" w:color="auto" w:sz="4" w:space="0"/>
              <w:right w:val="single" w:color="auto" w:sz="4" w:space="0"/>
            </w:tcBorders>
            <w:vAlign w:val="center"/>
          </w:tcPr>
          <w:p w14:paraId="3E75989D">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30%</w:t>
            </w:r>
          </w:p>
        </w:tc>
        <w:tc>
          <w:tcPr>
            <w:tcW w:w="1981" w:type="dxa"/>
            <w:vMerge w:val="continue"/>
            <w:tcBorders>
              <w:top w:val="single" w:color="auto" w:sz="4" w:space="0"/>
              <w:left w:val="single" w:color="auto" w:sz="4" w:space="0"/>
              <w:bottom w:val="single" w:color="auto" w:sz="4" w:space="0"/>
              <w:right w:val="single" w:color="auto" w:sz="4" w:space="0"/>
            </w:tcBorders>
          </w:tcPr>
          <w:p w14:paraId="71AC4C8A">
            <w:pPr>
              <w:widowControl/>
              <w:snapToGrid w:val="0"/>
              <w:spacing w:line="276" w:lineRule="auto"/>
              <w:rPr>
                <w:rFonts w:ascii="宋体" w:hAnsi="宋体" w:eastAsia="宋体"/>
                <w:color w:val="000000"/>
                <w:kern w:val="0"/>
                <w:szCs w:val="21"/>
              </w:rPr>
            </w:pPr>
          </w:p>
        </w:tc>
      </w:tr>
      <w:tr w14:paraId="1E89378D">
        <w:tblPrEx>
          <w:tblCellMar>
            <w:top w:w="0" w:type="dxa"/>
            <w:left w:w="108" w:type="dxa"/>
            <w:bottom w:w="0" w:type="dxa"/>
            <w:right w:w="108" w:type="dxa"/>
          </w:tblCellMar>
        </w:tblPrEx>
        <w:trPr>
          <w:trHeight w:val="409" w:hRule="atLeast"/>
        </w:trPr>
        <w:tc>
          <w:tcPr>
            <w:tcW w:w="1978" w:type="dxa"/>
            <w:tcBorders>
              <w:top w:val="single" w:color="auto" w:sz="4" w:space="0"/>
              <w:left w:val="single" w:color="auto" w:sz="4" w:space="0"/>
              <w:bottom w:val="single" w:color="auto" w:sz="4" w:space="0"/>
              <w:right w:val="single" w:color="auto" w:sz="4" w:space="0"/>
            </w:tcBorders>
            <w:vAlign w:val="center"/>
          </w:tcPr>
          <w:p w14:paraId="225249AC">
            <w:pPr>
              <w:widowControl/>
              <w:snapToGrid w:val="0"/>
              <w:spacing w:line="276" w:lineRule="auto"/>
              <w:jc w:val="center"/>
              <w:rPr>
                <w:rFonts w:ascii="宋体" w:hAnsi="宋体" w:eastAsia="宋体"/>
                <w:color w:val="000000"/>
                <w:kern w:val="0"/>
                <w:szCs w:val="21"/>
              </w:rPr>
            </w:pPr>
            <w:r>
              <w:rPr>
                <w:rFonts w:hint="eastAsia" w:ascii="宋体" w:hAnsi="宋体" w:eastAsia="宋体"/>
                <w:color w:val="000000"/>
                <w:kern w:val="0"/>
                <w:szCs w:val="21"/>
              </w:rPr>
              <w:t>课程目标权重合计</w:t>
            </w:r>
          </w:p>
        </w:tc>
        <w:tc>
          <w:tcPr>
            <w:tcW w:w="1357" w:type="dxa"/>
            <w:tcBorders>
              <w:top w:val="single" w:color="auto" w:sz="4" w:space="0"/>
              <w:left w:val="single" w:color="auto" w:sz="4" w:space="0"/>
              <w:bottom w:val="single" w:color="auto" w:sz="4" w:space="0"/>
              <w:right w:val="single" w:color="auto" w:sz="4" w:space="0"/>
            </w:tcBorders>
            <w:vAlign w:val="center"/>
          </w:tcPr>
          <w:p w14:paraId="77975906">
            <w:pPr>
              <w:widowControl/>
              <w:snapToGrid w:val="0"/>
              <w:spacing w:line="276" w:lineRule="auto"/>
              <w:jc w:val="center"/>
              <w:rPr>
                <w:rFonts w:ascii="宋体" w:hAnsi="宋体" w:eastAsia="宋体"/>
                <w:color w:val="000000"/>
                <w:kern w:val="0"/>
                <w:szCs w:val="21"/>
              </w:rPr>
            </w:pPr>
            <w:r>
              <w:rPr>
                <w:rFonts w:ascii="宋体" w:hAnsi="宋体" w:eastAsia="宋体"/>
                <w:color w:val="000000"/>
                <w:kern w:val="0"/>
                <w:szCs w:val="21"/>
              </w:rPr>
              <w:t>100%</w:t>
            </w:r>
          </w:p>
        </w:tc>
        <w:tc>
          <w:tcPr>
            <w:tcW w:w="5581" w:type="dxa"/>
            <w:gridSpan w:val="3"/>
            <w:tcBorders>
              <w:top w:val="single" w:color="auto" w:sz="4" w:space="0"/>
              <w:left w:val="single" w:color="auto" w:sz="4" w:space="0"/>
              <w:bottom w:val="single" w:color="auto" w:sz="4" w:space="0"/>
              <w:right w:val="single" w:color="auto" w:sz="4" w:space="0"/>
            </w:tcBorders>
            <w:vAlign w:val="center"/>
          </w:tcPr>
          <w:p w14:paraId="71FFF624">
            <w:pPr>
              <w:widowControl/>
              <w:snapToGrid w:val="0"/>
              <w:spacing w:line="276" w:lineRule="auto"/>
              <w:rPr>
                <w:rFonts w:ascii="宋体" w:hAnsi="宋体" w:eastAsia="宋体"/>
                <w:color w:val="000000"/>
                <w:kern w:val="0"/>
                <w:szCs w:val="21"/>
              </w:rPr>
            </w:pPr>
          </w:p>
        </w:tc>
      </w:tr>
    </w:tbl>
    <w:p w14:paraId="23ACD16A">
      <w:pPr>
        <w:snapToGrid w:val="0"/>
        <w:spacing w:line="360" w:lineRule="auto"/>
        <w:rPr>
          <w:rFonts w:ascii="宋体" w:hAnsi="宋体" w:eastAsia="宋体"/>
          <w:color w:val="000000"/>
          <w:sz w:val="24"/>
          <w:szCs w:val="24"/>
        </w:rPr>
      </w:pPr>
    </w:p>
    <w:p w14:paraId="1D64314F">
      <w:pPr>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课程各目标达成度均需大于等于</w:t>
      </w:r>
      <w:r>
        <w:rPr>
          <w:rFonts w:ascii="宋体" w:hAnsi="宋体" w:eastAsia="宋体"/>
          <w:color w:val="000000"/>
          <w:sz w:val="24"/>
          <w:szCs w:val="24"/>
        </w:rPr>
        <w:t>0.6</w:t>
      </w:r>
      <w:r>
        <w:rPr>
          <w:rFonts w:hint="eastAsia" w:ascii="宋体" w:hAnsi="宋体" w:eastAsia="宋体"/>
          <w:color w:val="000000"/>
          <w:sz w:val="24"/>
          <w:szCs w:val="24"/>
        </w:rPr>
        <w:t>，否则总评成绩不及格，需要重修。课程目标总体达成度计算方法如下：</w:t>
      </w:r>
    </w:p>
    <w:p w14:paraId="4B20E590">
      <w:pPr>
        <w:snapToGrid w:val="0"/>
        <w:spacing w:line="360" w:lineRule="auto"/>
        <w:ind w:firstLine="482" w:firstLineChars="200"/>
        <w:rPr>
          <w:rFonts w:ascii="宋体" w:hAnsi="宋体" w:eastAsia="宋体"/>
          <w:b/>
          <w:sz w:val="24"/>
          <w:szCs w:val="24"/>
        </w:rPr>
      </w:pPr>
      <w:r>
        <w:rPr>
          <w:rFonts w:hint="eastAsia" w:ascii="宋体" w:hAnsi="宋体" w:eastAsia="宋体"/>
          <w:b/>
          <w:color w:val="000000"/>
          <w:sz w:val="24"/>
          <w:szCs w:val="24"/>
        </w:rPr>
        <w:t>六、课程参考书</w:t>
      </w:r>
    </w:p>
    <w:p w14:paraId="64604A67">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1．义务教育各学科课程标准，20</w:t>
      </w:r>
      <w:r>
        <w:rPr>
          <w:rFonts w:ascii="宋体" w:hAnsi="宋体" w:eastAsia="宋体"/>
          <w:sz w:val="24"/>
          <w:szCs w:val="24"/>
        </w:rPr>
        <w:t>2</w:t>
      </w:r>
      <w:r>
        <w:rPr>
          <w:rFonts w:hint="eastAsia" w:ascii="宋体" w:hAnsi="宋体" w:eastAsia="宋体"/>
          <w:sz w:val="24"/>
          <w:szCs w:val="24"/>
        </w:rPr>
        <w:t>2</w:t>
      </w:r>
    </w:p>
    <w:p w14:paraId="792CBC89">
      <w:pPr>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2．部编版小学各年级教材。</w:t>
      </w:r>
    </w:p>
    <w:p w14:paraId="49A15E7E">
      <w:pPr>
        <w:snapToGrid w:val="0"/>
        <w:spacing w:line="360" w:lineRule="auto"/>
        <w:ind w:firstLine="480" w:firstLineChars="200"/>
        <w:rPr>
          <w:rFonts w:hint="eastAsia" w:ascii="宋体" w:hAnsi="宋体" w:eastAsia="宋体"/>
          <w:sz w:val="24"/>
          <w:szCs w:val="24"/>
        </w:rPr>
      </w:pPr>
      <w:r>
        <w:rPr>
          <w:rFonts w:hint="eastAsia" w:ascii="宋体" w:hAnsi="宋体" w:eastAsia="宋体"/>
          <w:sz w:val="24"/>
          <w:szCs w:val="24"/>
        </w:rPr>
        <w:t>3．苗凤华．教育实习指南．科学出版社，2018.</w:t>
      </w:r>
    </w:p>
    <w:p w14:paraId="001290FD">
      <w:pPr>
        <w:snapToGrid w:val="0"/>
        <w:spacing w:line="360" w:lineRule="auto"/>
        <w:ind w:firstLine="480" w:firstLineChars="200"/>
        <w:rPr>
          <w:rFonts w:hint="eastAsia" w:ascii="宋体" w:hAnsi="宋体" w:eastAsia="宋体"/>
          <w:sz w:val="24"/>
          <w:szCs w:val="24"/>
        </w:rPr>
      </w:pPr>
      <w:r>
        <w:rPr>
          <w:rFonts w:hint="eastAsia" w:ascii="宋体" w:hAnsi="宋体" w:eastAsia="宋体"/>
          <w:sz w:val="24"/>
          <w:szCs w:val="24"/>
        </w:rPr>
        <w:t>4. 侯宏业，薛微微.小学教育实习手册.南京大学出版社，2021.</w:t>
      </w:r>
    </w:p>
    <w:p w14:paraId="45988769">
      <w:pPr>
        <w:snapToGrid w:val="0"/>
        <w:spacing w:line="360" w:lineRule="auto"/>
        <w:rPr>
          <w:rFonts w:ascii="宋体" w:hAnsi="宋体" w:eastAsia="宋体"/>
          <w:color w:val="000000"/>
          <w:sz w:val="24"/>
          <w:szCs w:val="24"/>
        </w:rPr>
      </w:pPr>
    </w:p>
    <w:p w14:paraId="50D7A7A8">
      <w:pPr>
        <w:snapToGrid w:val="0"/>
        <w:spacing w:line="360" w:lineRule="auto"/>
        <w:rPr>
          <w:rFonts w:ascii="宋体" w:hAnsi="宋体" w:eastAsia="宋体"/>
          <w:color w:val="000000"/>
          <w:sz w:val="24"/>
          <w:szCs w:val="24"/>
        </w:rPr>
      </w:pPr>
      <w:r>
        <w:rPr>
          <w:rFonts w:ascii="宋体" w:hAnsi="宋体" w:eastAsia="宋体"/>
          <w:color w:val="000000"/>
          <w:sz w:val="24"/>
          <w:szCs w:val="24"/>
        </w:rPr>
        <w:t xml:space="preserve">                                           </w:t>
      </w:r>
      <w:r>
        <w:rPr>
          <w:rFonts w:hint="eastAsia" w:ascii="宋体" w:hAnsi="宋体" w:eastAsia="宋体"/>
          <w:color w:val="000000"/>
          <w:sz w:val="24"/>
          <w:szCs w:val="24"/>
        </w:rPr>
        <w:t xml:space="preserve"> 执笔人：</w:t>
      </w:r>
      <w:r>
        <w:rPr>
          <w:rFonts w:hint="eastAsia" w:ascii="宋体" w:hAnsi="宋体" w:eastAsia="宋体"/>
          <w:color w:val="000000"/>
          <w:sz w:val="24"/>
          <w:szCs w:val="24"/>
          <w:lang w:val="en-US" w:eastAsia="zh-CN"/>
        </w:rPr>
        <w:t>谢国忠</w:t>
      </w:r>
      <w:r>
        <w:rPr>
          <w:rFonts w:ascii="宋体" w:hAnsi="宋体" w:eastAsia="宋体"/>
          <w:color w:val="000000"/>
          <w:sz w:val="24"/>
          <w:szCs w:val="24"/>
        </w:rPr>
        <w:t xml:space="preserve"> </w:t>
      </w:r>
    </w:p>
    <w:p w14:paraId="25AB7471">
      <w:pPr>
        <w:snapToGrid w:val="0"/>
        <w:spacing w:line="360" w:lineRule="auto"/>
        <w:rPr>
          <w:rFonts w:hint="eastAsia" w:ascii="宋体" w:hAnsi="宋体" w:eastAsia="宋体"/>
          <w:color w:val="000000"/>
          <w:sz w:val="24"/>
          <w:szCs w:val="24"/>
          <w:lang w:eastAsia="zh-CN"/>
        </w:rPr>
      </w:pPr>
      <w:r>
        <w:rPr>
          <w:rFonts w:ascii="宋体" w:hAnsi="宋体" w:eastAsia="宋体"/>
          <w:color w:val="000000"/>
          <w:sz w:val="24"/>
          <w:szCs w:val="24"/>
        </w:rPr>
        <w:t xml:space="preserve">                                            </w:t>
      </w:r>
      <w:r>
        <w:rPr>
          <w:rFonts w:hint="eastAsia" w:ascii="宋体" w:hAnsi="宋体" w:eastAsia="宋体"/>
          <w:color w:val="000000"/>
          <w:sz w:val="24"/>
          <w:szCs w:val="24"/>
        </w:rPr>
        <w:t>审定人：</w:t>
      </w:r>
      <w:r>
        <w:rPr>
          <w:rFonts w:hint="eastAsia" w:ascii="宋体" w:hAnsi="宋体" w:eastAsia="宋体"/>
          <w:color w:val="000000"/>
          <w:sz w:val="24"/>
          <w:szCs w:val="24"/>
          <w:lang w:val="en-US" w:eastAsia="zh-CN"/>
        </w:rPr>
        <w:t>张志欣</w:t>
      </w:r>
    </w:p>
    <w:p w14:paraId="6BDB8D56">
      <w:pPr>
        <w:snapToGrid w:val="0"/>
        <w:spacing w:line="360" w:lineRule="auto"/>
        <w:rPr>
          <w:rFonts w:hint="eastAsia" w:ascii="宋体" w:hAnsi="宋体" w:eastAsia="宋体"/>
          <w:color w:val="000000"/>
          <w:sz w:val="24"/>
          <w:szCs w:val="24"/>
          <w:lang w:eastAsia="zh-CN"/>
        </w:rPr>
      </w:pPr>
      <w:r>
        <w:rPr>
          <w:rFonts w:ascii="宋体" w:hAnsi="宋体" w:eastAsia="宋体"/>
          <w:color w:val="000000"/>
          <w:sz w:val="24"/>
          <w:szCs w:val="24"/>
        </w:rPr>
        <w:t xml:space="preserve">                                            </w:t>
      </w:r>
      <w:r>
        <w:rPr>
          <w:rFonts w:hint="eastAsia" w:ascii="宋体" w:hAnsi="宋体" w:eastAsia="宋体"/>
          <w:color w:val="000000"/>
          <w:sz w:val="24"/>
          <w:szCs w:val="24"/>
        </w:rPr>
        <w:t>审批人：</w:t>
      </w:r>
      <w:r>
        <w:rPr>
          <w:rFonts w:hint="eastAsia" w:ascii="宋体" w:hAnsi="宋体" w:eastAsia="宋体"/>
          <w:color w:val="000000"/>
          <w:sz w:val="24"/>
          <w:szCs w:val="24"/>
          <w:lang w:val="en-US" w:eastAsia="zh-CN"/>
        </w:rPr>
        <w:t>张建波</w:t>
      </w:r>
    </w:p>
    <w:p w14:paraId="45F77AAC">
      <w:pPr>
        <w:spacing w:line="360" w:lineRule="auto"/>
        <w:jc w:val="center"/>
        <w:outlineLvl w:val="0"/>
        <w:rPr>
          <w:rFonts w:hint="eastAsia" w:ascii="宋体" w:hAnsi="宋体" w:eastAsia="宋体"/>
          <w:color w:val="000000"/>
          <w:sz w:val="24"/>
          <w:szCs w:val="24"/>
          <w:lang w:val="en-US" w:eastAsia="zh-CN"/>
        </w:rPr>
      </w:pPr>
      <w:r>
        <w:rPr>
          <w:rFonts w:ascii="宋体" w:hAnsi="宋体" w:eastAsia="宋体"/>
          <w:color w:val="000000"/>
          <w:sz w:val="24"/>
          <w:szCs w:val="24"/>
        </w:rPr>
        <w:t xml:space="preserve">                                            </w:t>
      </w:r>
      <w:r>
        <w:rPr>
          <w:rFonts w:hint="eastAsia" w:ascii="宋体" w:hAnsi="宋体" w:eastAsia="宋体"/>
          <w:color w:val="000000"/>
          <w:sz w:val="24"/>
          <w:szCs w:val="24"/>
        </w:rPr>
        <w:t>批准时间：202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年8月30</w:t>
      </w:r>
      <w:r>
        <w:rPr>
          <w:rFonts w:hint="eastAsia" w:ascii="宋体" w:hAnsi="宋体" w:eastAsia="宋体"/>
          <w:color w:val="000000"/>
          <w:sz w:val="24"/>
          <w:szCs w:val="24"/>
          <w:lang w:val="en-US" w:eastAsia="zh-CN"/>
        </w:rPr>
        <w:t>日</w:t>
      </w:r>
    </w:p>
    <w:p w14:paraId="42B95BFA">
      <w:pPr>
        <w:spacing w:line="360" w:lineRule="auto"/>
        <w:jc w:val="center"/>
        <w:outlineLvl w:val="0"/>
        <w:rPr>
          <w:rFonts w:hint="eastAsia" w:ascii="宋体" w:hAnsi="宋体" w:eastAsia="宋体"/>
          <w:color w:val="000000"/>
          <w:sz w:val="24"/>
          <w:szCs w:val="24"/>
          <w:lang w:val="en-US" w:eastAsia="zh-CN"/>
        </w:rPr>
      </w:pPr>
    </w:p>
    <w:p w14:paraId="5764DDA2">
      <w:pPr>
        <w:spacing w:line="360" w:lineRule="auto"/>
        <w:jc w:val="center"/>
        <w:outlineLvl w:val="0"/>
        <w:rPr>
          <w:rFonts w:hint="eastAsia" w:ascii="宋体" w:hAnsi="宋体" w:eastAsia="宋体"/>
          <w:color w:val="000000"/>
          <w:sz w:val="24"/>
          <w:szCs w:val="24"/>
          <w:lang w:val="en-US" w:eastAsia="zh-CN"/>
        </w:rPr>
      </w:pPr>
    </w:p>
    <w:p w14:paraId="18B06E8C">
      <w:pPr>
        <w:spacing w:line="360" w:lineRule="auto"/>
        <w:jc w:val="center"/>
        <w:outlineLvl w:val="0"/>
        <w:rPr>
          <w:rFonts w:hint="eastAsia" w:ascii="宋体" w:hAnsi="宋体" w:eastAsia="宋体"/>
          <w:color w:val="000000"/>
          <w:sz w:val="24"/>
          <w:szCs w:val="24"/>
          <w:lang w:val="en-US" w:eastAsia="zh-CN"/>
        </w:rPr>
      </w:pPr>
    </w:p>
    <w:p w14:paraId="0600B6D0">
      <w:pPr>
        <w:spacing w:line="360" w:lineRule="auto"/>
        <w:jc w:val="center"/>
        <w:outlineLvl w:val="0"/>
        <w:rPr>
          <w:rFonts w:hint="eastAsia" w:ascii="宋体" w:hAnsi="宋体" w:eastAsia="宋体"/>
          <w:color w:val="000000"/>
          <w:sz w:val="24"/>
          <w:szCs w:val="24"/>
          <w:lang w:val="en-US" w:eastAsia="zh-CN"/>
        </w:rPr>
      </w:pPr>
    </w:p>
    <w:p w14:paraId="14ABC36A">
      <w:pPr>
        <w:spacing w:line="360" w:lineRule="auto"/>
        <w:jc w:val="center"/>
        <w:outlineLvl w:val="0"/>
        <w:rPr>
          <w:rFonts w:hint="eastAsia" w:ascii="宋体" w:hAnsi="宋体" w:eastAsia="宋体"/>
          <w:color w:val="000000"/>
          <w:sz w:val="24"/>
          <w:szCs w:val="24"/>
          <w:lang w:val="en-US" w:eastAsia="zh-CN"/>
        </w:rPr>
      </w:pPr>
    </w:p>
    <w:p w14:paraId="3240D569">
      <w:pPr>
        <w:spacing w:line="360" w:lineRule="auto"/>
        <w:jc w:val="center"/>
        <w:outlineLvl w:val="0"/>
        <w:rPr>
          <w:rFonts w:hint="eastAsia" w:ascii="宋体" w:hAnsi="宋体" w:eastAsia="宋体"/>
          <w:color w:val="000000"/>
          <w:sz w:val="24"/>
          <w:szCs w:val="24"/>
          <w:lang w:val="en-US" w:eastAsia="zh-CN"/>
        </w:rPr>
      </w:pPr>
    </w:p>
    <w:p w14:paraId="6C723DB5">
      <w:pPr>
        <w:spacing w:line="360" w:lineRule="auto"/>
        <w:jc w:val="center"/>
        <w:outlineLvl w:val="0"/>
        <w:rPr>
          <w:rFonts w:hint="eastAsia" w:ascii="宋体" w:hAnsi="宋体" w:eastAsia="宋体"/>
          <w:color w:val="000000"/>
          <w:sz w:val="24"/>
          <w:szCs w:val="24"/>
          <w:lang w:val="en-US" w:eastAsia="zh-CN"/>
        </w:rPr>
      </w:pPr>
    </w:p>
    <w:p w14:paraId="397D799D">
      <w:pPr>
        <w:spacing w:line="360" w:lineRule="auto"/>
        <w:jc w:val="center"/>
        <w:outlineLvl w:val="0"/>
        <w:rPr>
          <w:rFonts w:hint="eastAsia" w:ascii="宋体" w:hAnsi="宋体" w:eastAsia="宋体"/>
          <w:color w:val="000000"/>
          <w:sz w:val="24"/>
          <w:szCs w:val="24"/>
          <w:lang w:val="en-US" w:eastAsia="zh-CN"/>
        </w:rPr>
      </w:pPr>
    </w:p>
    <w:p w14:paraId="3D41F72F">
      <w:pPr>
        <w:spacing w:line="360" w:lineRule="auto"/>
        <w:jc w:val="center"/>
        <w:outlineLvl w:val="0"/>
        <w:rPr>
          <w:rFonts w:hint="eastAsia" w:ascii="宋体" w:hAnsi="宋体" w:eastAsia="宋体"/>
          <w:color w:val="000000"/>
          <w:sz w:val="24"/>
          <w:szCs w:val="24"/>
          <w:lang w:val="en-US" w:eastAsia="zh-CN"/>
        </w:rPr>
      </w:pPr>
    </w:p>
    <w:p w14:paraId="44BF2EA9">
      <w:pPr>
        <w:spacing w:line="360" w:lineRule="auto"/>
        <w:jc w:val="center"/>
        <w:outlineLvl w:val="0"/>
        <w:rPr>
          <w:rFonts w:hint="eastAsia" w:ascii="宋体" w:hAnsi="宋体" w:eastAsia="宋体"/>
          <w:color w:val="000000"/>
          <w:sz w:val="24"/>
          <w:szCs w:val="24"/>
          <w:lang w:val="en-US" w:eastAsia="zh-CN"/>
        </w:rPr>
      </w:pPr>
    </w:p>
    <w:p w14:paraId="78659D43">
      <w:pPr>
        <w:spacing w:line="360" w:lineRule="auto"/>
        <w:jc w:val="center"/>
        <w:outlineLvl w:val="0"/>
        <w:rPr>
          <w:rFonts w:hint="eastAsia" w:ascii="宋体" w:hAnsi="宋体" w:eastAsia="宋体"/>
          <w:color w:val="000000"/>
          <w:sz w:val="24"/>
          <w:szCs w:val="24"/>
          <w:lang w:val="en-US" w:eastAsia="zh-CN"/>
        </w:rPr>
      </w:pPr>
    </w:p>
    <w:p w14:paraId="4BB275EB">
      <w:pPr>
        <w:spacing w:line="360" w:lineRule="auto"/>
        <w:jc w:val="center"/>
        <w:outlineLvl w:val="0"/>
        <w:rPr>
          <w:rFonts w:hint="eastAsia" w:ascii="宋体" w:hAnsi="宋体" w:eastAsia="宋体"/>
          <w:color w:val="000000"/>
          <w:sz w:val="24"/>
          <w:szCs w:val="24"/>
          <w:lang w:val="en-US" w:eastAsia="zh-CN"/>
        </w:rPr>
      </w:pPr>
    </w:p>
    <w:p w14:paraId="550D6631">
      <w:pPr>
        <w:spacing w:line="360" w:lineRule="auto"/>
        <w:jc w:val="center"/>
        <w:outlineLvl w:val="0"/>
        <w:rPr>
          <w:rFonts w:hint="eastAsia" w:ascii="宋体" w:hAnsi="宋体" w:eastAsia="宋体"/>
          <w:color w:val="000000"/>
          <w:sz w:val="24"/>
          <w:szCs w:val="24"/>
          <w:lang w:val="en-US" w:eastAsia="zh-CN"/>
        </w:rPr>
      </w:pPr>
    </w:p>
    <w:p w14:paraId="600A5185">
      <w:pPr>
        <w:spacing w:line="360" w:lineRule="auto"/>
        <w:jc w:val="center"/>
        <w:outlineLvl w:val="0"/>
        <w:rPr>
          <w:rFonts w:hint="eastAsia" w:ascii="宋体" w:hAnsi="宋体" w:eastAsia="宋体"/>
          <w:color w:val="000000"/>
          <w:sz w:val="24"/>
          <w:szCs w:val="24"/>
          <w:lang w:val="en-US" w:eastAsia="zh-CN"/>
        </w:rPr>
      </w:pPr>
    </w:p>
    <w:p w14:paraId="45F7E208">
      <w:pPr>
        <w:spacing w:line="360" w:lineRule="auto"/>
        <w:jc w:val="center"/>
        <w:outlineLvl w:val="0"/>
        <w:rPr>
          <w:rFonts w:hint="eastAsia" w:ascii="宋体" w:hAnsi="宋体" w:eastAsia="宋体"/>
          <w:color w:val="000000"/>
          <w:sz w:val="24"/>
          <w:szCs w:val="24"/>
          <w:lang w:val="en-US" w:eastAsia="zh-CN"/>
        </w:rPr>
      </w:pPr>
    </w:p>
    <w:p w14:paraId="0D5871F7">
      <w:pPr>
        <w:spacing w:line="360" w:lineRule="auto"/>
        <w:jc w:val="center"/>
        <w:outlineLvl w:val="0"/>
        <w:rPr>
          <w:rFonts w:hint="eastAsia" w:ascii="宋体" w:hAnsi="宋体" w:eastAsia="宋体"/>
          <w:color w:val="000000"/>
          <w:sz w:val="24"/>
          <w:szCs w:val="24"/>
          <w:lang w:val="en-US" w:eastAsia="zh-CN"/>
        </w:rPr>
      </w:pPr>
    </w:p>
    <w:p w14:paraId="1252DB7F">
      <w:pPr>
        <w:spacing w:line="360" w:lineRule="auto"/>
        <w:jc w:val="center"/>
        <w:outlineLvl w:val="0"/>
        <w:rPr>
          <w:rFonts w:hint="eastAsia" w:ascii="宋体" w:hAnsi="宋体" w:eastAsia="宋体"/>
          <w:color w:val="000000"/>
          <w:sz w:val="24"/>
          <w:szCs w:val="24"/>
          <w:lang w:val="en-US" w:eastAsia="zh-CN"/>
        </w:rPr>
      </w:pPr>
    </w:p>
    <w:p w14:paraId="046F5F4E">
      <w:pPr>
        <w:spacing w:line="360" w:lineRule="auto"/>
        <w:jc w:val="center"/>
        <w:outlineLvl w:val="0"/>
        <w:rPr>
          <w:rFonts w:hint="eastAsia" w:ascii="宋体" w:hAnsi="宋体" w:eastAsia="宋体"/>
          <w:color w:val="000000"/>
          <w:sz w:val="24"/>
          <w:szCs w:val="24"/>
          <w:lang w:val="en-US" w:eastAsia="zh-CN"/>
        </w:rPr>
      </w:pPr>
    </w:p>
    <w:bookmarkEnd w:id="336"/>
    <w:bookmarkEnd w:id="337"/>
    <w:p w14:paraId="55FA4D21">
      <w:pPr>
        <w:spacing w:line="360" w:lineRule="auto"/>
        <w:jc w:val="center"/>
        <w:outlineLvl w:val="0"/>
        <w:rPr>
          <w:rFonts w:ascii="Times New Roman" w:hAnsi="Times New Roman" w:eastAsia="宋体" w:cs="Times New Roman"/>
          <w:b/>
          <w:bCs/>
          <w:sz w:val="30"/>
          <w:szCs w:val="24"/>
        </w:rPr>
      </w:pPr>
      <w:bookmarkStart w:id="338" w:name="_Toc88340369"/>
      <w:r>
        <w:rPr>
          <w:rFonts w:hint="eastAsia" w:ascii="Times New Roman" w:hAnsi="Times New Roman" w:eastAsia="宋体" w:cs="Times New Roman"/>
          <w:b/>
          <w:bCs/>
          <w:sz w:val="30"/>
          <w:szCs w:val="24"/>
        </w:rPr>
        <w:t>毕业论文</w:t>
      </w:r>
      <w:r>
        <w:rPr>
          <w:rFonts w:ascii="Times New Roman" w:hAnsi="Times New Roman" w:eastAsia="宋体" w:cs="Times New Roman"/>
          <w:b/>
          <w:bCs/>
          <w:sz w:val="30"/>
          <w:szCs w:val="24"/>
        </w:rPr>
        <w:t>课程教学大纲</w:t>
      </w:r>
      <w:bookmarkEnd w:id="338"/>
    </w:p>
    <w:p w14:paraId="703220CA">
      <w:pPr>
        <w:spacing w:line="360" w:lineRule="auto"/>
        <w:jc w:val="center"/>
        <w:rPr>
          <w:rFonts w:ascii="Times New Roman" w:hAnsi="Times New Roman" w:eastAsia="宋体" w:cs="Times New Roman"/>
          <w:b/>
          <w:bCs/>
          <w:sz w:val="28"/>
          <w:szCs w:val="24"/>
        </w:rPr>
      </w:pPr>
      <w:r>
        <w:rPr>
          <w:rFonts w:ascii="Times New Roman" w:hAnsi="Times New Roman" w:eastAsia="宋体" w:cs="Times New Roman"/>
          <w:b/>
          <w:bCs/>
          <w:sz w:val="28"/>
          <w:szCs w:val="24"/>
        </w:rPr>
        <w:t>（Graduation T</w:t>
      </w:r>
      <w:r>
        <w:rPr>
          <w:rFonts w:hint="eastAsia" w:ascii="Times New Roman" w:hAnsi="Times New Roman" w:eastAsia="宋体" w:cs="Times New Roman"/>
          <w:b/>
          <w:bCs/>
          <w:sz w:val="28"/>
          <w:szCs w:val="24"/>
        </w:rPr>
        <w:t>hesis</w:t>
      </w:r>
      <w:r>
        <w:rPr>
          <w:rFonts w:ascii="Times New Roman" w:hAnsi="Times New Roman" w:eastAsia="宋体" w:cs="Times New Roman"/>
          <w:b/>
          <w:bCs/>
          <w:sz w:val="28"/>
          <w:szCs w:val="24"/>
        </w:rPr>
        <w:t>）</w:t>
      </w:r>
    </w:p>
    <w:p w14:paraId="004D5117">
      <w:pPr>
        <w:spacing w:line="348" w:lineRule="auto"/>
        <w:ind w:firstLine="551" w:firstLineChars="196"/>
        <w:rPr>
          <w:rFonts w:ascii="Times New Roman" w:hAnsi="Times New Roman" w:eastAsia="宋体" w:cs="Times New Roman"/>
          <w:b/>
          <w:sz w:val="28"/>
          <w:szCs w:val="28"/>
        </w:rPr>
      </w:pPr>
      <w:r>
        <w:rPr>
          <w:rFonts w:ascii="Times New Roman" w:hAnsi="Times New Roman" w:eastAsia="宋体" w:cs="Times New Roman"/>
          <w:b/>
          <w:sz w:val="28"/>
          <w:szCs w:val="28"/>
        </w:rPr>
        <w:t>一、课程概况</w:t>
      </w:r>
    </w:p>
    <w:p w14:paraId="2996ED92">
      <w:pPr>
        <w:spacing w:line="348" w:lineRule="auto"/>
        <w:ind w:firstLine="482" w:firstLineChars="200"/>
        <w:rPr>
          <w:rFonts w:ascii="Times New Roman" w:hAnsi="Times New Roman" w:eastAsia="宋体" w:cs="Times New Roman"/>
          <w:sz w:val="28"/>
          <w:szCs w:val="28"/>
        </w:rPr>
      </w:pPr>
      <w:r>
        <w:rPr>
          <w:rFonts w:ascii="宋体" w:hAnsi="宋体" w:eastAsia="宋体" w:cs="Times New Roman"/>
          <w:b/>
          <w:bCs/>
          <w:kern w:val="0"/>
          <w:sz w:val="24"/>
          <w:szCs w:val="24"/>
        </w:rPr>
        <w:t>课程代码</w:t>
      </w:r>
      <w:r>
        <w:rPr>
          <w:rFonts w:ascii="宋体" w:hAnsi="宋体" w:eastAsia="宋体" w:cs="Times New Roman"/>
          <w:b/>
          <w:kern w:val="0"/>
          <w:sz w:val="24"/>
          <w:szCs w:val="24"/>
        </w:rPr>
        <w:t>：</w:t>
      </w:r>
      <w:r>
        <w:rPr>
          <w:rFonts w:ascii="宋体" w:hAnsi="宋体" w:eastAsia="宋体" w:cs="Times New Roman"/>
          <w:kern w:val="0"/>
          <w:sz w:val="24"/>
          <w:szCs w:val="24"/>
        </w:rPr>
        <w:t>2401052</w:t>
      </w:r>
    </w:p>
    <w:p w14:paraId="541F29FB">
      <w:pPr>
        <w:spacing w:line="348"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分</w:t>
      </w:r>
      <w:r>
        <w:rPr>
          <w:rFonts w:ascii="宋体" w:hAnsi="宋体" w:eastAsia="宋体" w:cs="Times New Roman"/>
          <w:b/>
          <w:kern w:val="0"/>
          <w:sz w:val="24"/>
          <w:szCs w:val="24"/>
        </w:rPr>
        <w:t xml:space="preserve">： </w:t>
      </w:r>
      <w:r>
        <w:rPr>
          <w:rFonts w:hint="eastAsia" w:ascii="宋体" w:hAnsi="宋体" w:eastAsia="宋体" w:cs="Times New Roman"/>
          <w:kern w:val="0"/>
          <w:sz w:val="24"/>
          <w:szCs w:val="24"/>
        </w:rPr>
        <w:t>8</w:t>
      </w:r>
    </w:p>
    <w:p w14:paraId="092DCF42">
      <w:pPr>
        <w:spacing w:line="348"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学    时</w:t>
      </w:r>
      <w:r>
        <w:rPr>
          <w:rFonts w:ascii="宋体" w:hAnsi="宋体" w:eastAsia="宋体" w:cs="Times New Roman"/>
          <w:b/>
          <w:kern w:val="0"/>
          <w:sz w:val="24"/>
          <w:szCs w:val="24"/>
        </w:rPr>
        <w:t>：</w:t>
      </w:r>
      <w:r>
        <w:rPr>
          <w:rFonts w:ascii="宋体" w:hAnsi="宋体" w:eastAsia="宋体" w:cs="Times New Roman"/>
          <w:kern w:val="0"/>
          <w:sz w:val="24"/>
          <w:szCs w:val="24"/>
        </w:rPr>
        <w:t xml:space="preserve"> </w:t>
      </w:r>
      <w:r>
        <w:rPr>
          <w:rFonts w:hint="eastAsia" w:ascii="宋体" w:hAnsi="宋体" w:eastAsia="宋体" w:cs="Times New Roman"/>
          <w:kern w:val="0"/>
          <w:sz w:val="24"/>
          <w:szCs w:val="24"/>
        </w:rPr>
        <w:t>8周</w:t>
      </w:r>
    </w:p>
    <w:p w14:paraId="544322E3">
      <w:pPr>
        <w:spacing w:line="348" w:lineRule="auto"/>
        <w:ind w:firstLine="482" w:firstLineChars="200"/>
        <w:rPr>
          <w:rFonts w:ascii="宋体" w:hAnsi="宋体" w:eastAsia="宋体" w:cs="Times New Roman"/>
          <w:bCs/>
          <w:kern w:val="0"/>
          <w:sz w:val="24"/>
          <w:szCs w:val="24"/>
        </w:rPr>
      </w:pPr>
      <w:r>
        <w:rPr>
          <w:rFonts w:ascii="宋体" w:hAnsi="宋体" w:eastAsia="宋体" w:cs="Times New Roman"/>
          <w:b/>
          <w:bCs/>
          <w:kern w:val="0"/>
          <w:sz w:val="24"/>
          <w:szCs w:val="24"/>
        </w:rPr>
        <w:t>先修课程</w:t>
      </w:r>
      <w:r>
        <w:rPr>
          <w:rFonts w:ascii="宋体" w:hAnsi="宋体" w:eastAsia="宋体" w:cs="Times New Roman"/>
          <w:b/>
          <w:kern w:val="0"/>
          <w:sz w:val="24"/>
          <w:szCs w:val="24"/>
        </w:rPr>
        <w:t>：</w:t>
      </w:r>
      <w:r>
        <w:rPr>
          <w:rFonts w:hint="eastAsia" w:ascii="宋体" w:hAnsi="宋体" w:eastAsia="宋体" w:cs="Times New Roman"/>
          <w:kern w:val="0"/>
          <w:sz w:val="24"/>
          <w:szCs w:val="24"/>
        </w:rPr>
        <w:t>小学教育专业人才培养方案中的所有其他课程</w:t>
      </w:r>
    </w:p>
    <w:p w14:paraId="4CA01D0E">
      <w:pPr>
        <w:spacing w:line="348"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适用专业</w:t>
      </w:r>
      <w:r>
        <w:rPr>
          <w:rFonts w:hint="eastAsia" w:ascii="宋体" w:hAnsi="宋体" w:eastAsia="宋体" w:cs="Times New Roman"/>
          <w:b/>
          <w:kern w:val="0"/>
          <w:sz w:val="24"/>
          <w:szCs w:val="24"/>
        </w:rPr>
        <w:t>：</w:t>
      </w:r>
      <w:r>
        <w:rPr>
          <w:rFonts w:hint="eastAsia" w:ascii="宋体" w:hAnsi="宋体" w:eastAsia="宋体" w:cs="Times New Roman"/>
          <w:kern w:val="0"/>
          <w:sz w:val="24"/>
          <w:szCs w:val="24"/>
        </w:rPr>
        <w:t>小学教育</w:t>
      </w:r>
      <w:r>
        <w:rPr>
          <w:rFonts w:ascii="宋体" w:hAnsi="宋体" w:eastAsia="宋体" w:cs="Times New Roman"/>
          <w:kern w:val="0"/>
          <w:sz w:val="24"/>
          <w:szCs w:val="24"/>
        </w:rPr>
        <w:t xml:space="preserve">                        </w:t>
      </w:r>
    </w:p>
    <w:p w14:paraId="2C3353CE">
      <w:pPr>
        <w:spacing w:line="348" w:lineRule="auto"/>
        <w:ind w:firstLine="482" w:firstLineChars="200"/>
        <w:rPr>
          <w:rFonts w:hint="default" w:ascii="宋体" w:hAnsi="宋体" w:eastAsia="宋体" w:cs="Times New Roman"/>
          <w:kern w:val="0"/>
          <w:sz w:val="24"/>
          <w:szCs w:val="24"/>
          <w:lang w:val="en-US" w:eastAsia="zh-CN"/>
        </w:rPr>
      </w:pPr>
      <w:r>
        <w:rPr>
          <w:rFonts w:hint="eastAsia" w:ascii="宋体" w:hAnsi="宋体" w:eastAsia="宋体" w:cs="Times New Roman"/>
          <w:b/>
          <w:bCs/>
          <w:kern w:val="0"/>
          <w:sz w:val="24"/>
          <w:szCs w:val="24"/>
        </w:rPr>
        <w:t>建议</w:t>
      </w:r>
      <w:r>
        <w:rPr>
          <w:rFonts w:ascii="宋体" w:hAnsi="宋体" w:eastAsia="宋体" w:cs="Times New Roman"/>
          <w:b/>
          <w:bCs/>
          <w:kern w:val="0"/>
          <w:sz w:val="24"/>
          <w:szCs w:val="24"/>
        </w:rPr>
        <w:t>教材</w:t>
      </w:r>
      <w:r>
        <w:rPr>
          <w:rFonts w:ascii="宋体" w:hAnsi="宋体" w:eastAsia="宋体" w:cs="Times New Roman"/>
          <w:b/>
          <w:kern w:val="0"/>
          <w:sz w:val="24"/>
          <w:szCs w:val="24"/>
        </w:rPr>
        <w:t>：</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rPr>
        <w:t>从实践到文本 中小学教师科研写作方法导论</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lang w:val="en-US" w:eastAsia="zh-CN"/>
        </w:rPr>
        <w:t>第三版</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rPr>
        <w:t>，</w:t>
      </w:r>
      <w:r>
        <w:rPr>
          <w:rFonts w:hint="eastAsia" w:ascii="Times New Roman" w:hAnsi="Times New Roman" w:eastAsia="宋体" w:cs="Times New Roman"/>
          <w:kern w:val="0"/>
          <w:sz w:val="24"/>
          <w:szCs w:val="24"/>
        </w:rPr>
        <w:t>张肇丰</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华东师范大学</w:t>
      </w:r>
      <w:r>
        <w:rPr>
          <w:rFonts w:hint="eastAsia" w:ascii="Times New Roman" w:hAnsi="Times New Roman" w:eastAsia="宋体" w:cs="Times New Roman"/>
          <w:kern w:val="0"/>
          <w:sz w:val="24"/>
          <w:szCs w:val="24"/>
        </w:rPr>
        <w:t>出版社</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20</w:t>
      </w:r>
      <w:r>
        <w:rPr>
          <w:rFonts w:hint="eastAsia" w:ascii="Times New Roman" w:hAnsi="Times New Roman" w:eastAsia="宋体" w:cs="Times New Roman"/>
          <w:kern w:val="0"/>
          <w:sz w:val="24"/>
          <w:szCs w:val="24"/>
          <w:lang w:val="en-US" w:eastAsia="zh-CN"/>
        </w:rPr>
        <w:t>21</w:t>
      </w:r>
      <w:r>
        <w:rPr>
          <w:rFonts w:hint="eastAsia"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10</w:t>
      </w:r>
    </w:p>
    <w:p w14:paraId="1332E4A8">
      <w:pPr>
        <w:spacing w:line="348" w:lineRule="auto"/>
        <w:ind w:firstLine="482" w:firstLineChars="200"/>
        <w:rPr>
          <w:rFonts w:ascii="宋体" w:hAnsi="宋体" w:eastAsia="宋体" w:cs="Times New Roman"/>
          <w:kern w:val="0"/>
          <w:sz w:val="24"/>
          <w:szCs w:val="24"/>
        </w:rPr>
      </w:pPr>
      <w:r>
        <w:rPr>
          <w:rFonts w:ascii="宋体" w:hAnsi="宋体" w:eastAsia="宋体" w:cs="Times New Roman"/>
          <w:b/>
          <w:bCs/>
          <w:kern w:val="0"/>
          <w:sz w:val="24"/>
          <w:szCs w:val="24"/>
        </w:rPr>
        <w:t>课程归口：</w:t>
      </w:r>
      <w:r>
        <w:rPr>
          <w:rFonts w:hint="eastAsia" w:ascii="宋体" w:hAnsi="宋体" w:eastAsia="宋体" w:cs="Times New Roman"/>
          <w:bCs/>
          <w:kern w:val="0"/>
          <w:sz w:val="24"/>
          <w:szCs w:val="24"/>
        </w:rPr>
        <w:t>师范学院</w:t>
      </w:r>
    </w:p>
    <w:p w14:paraId="144C77E8">
      <w:pPr>
        <w:autoSpaceDE w:val="0"/>
        <w:autoSpaceDN w:val="0"/>
        <w:adjustRightInd w:val="0"/>
        <w:spacing w:line="348" w:lineRule="auto"/>
        <w:ind w:firstLine="482" w:firstLineChars="200"/>
        <w:jc w:val="left"/>
        <w:rPr>
          <w:rFonts w:ascii="Times New Roman" w:hAnsi="Times New Roman" w:eastAsia="宋体" w:cs="Times New Roman"/>
          <w:kern w:val="0"/>
          <w:sz w:val="24"/>
          <w:szCs w:val="24"/>
        </w:rPr>
      </w:pPr>
      <w:r>
        <w:rPr>
          <w:rFonts w:hint="eastAsia" w:ascii="宋体" w:hAnsi="宋体" w:eastAsia="宋体" w:cs="Times New Roman"/>
          <w:b/>
          <w:bCs/>
          <w:kern w:val="0"/>
          <w:sz w:val="24"/>
          <w:szCs w:val="24"/>
        </w:rPr>
        <w:t>课程的性质与任务：</w:t>
      </w:r>
      <w:r>
        <w:rPr>
          <w:rFonts w:hint="eastAsia" w:ascii="Times New Roman" w:hAnsi="Times New Roman" w:eastAsia="宋体" w:cs="Times New Roman"/>
          <w:kern w:val="0"/>
          <w:sz w:val="24"/>
          <w:szCs w:val="24"/>
        </w:rPr>
        <w:t>毕业论文工作是完成专业人才培养的一个重要的实践性教学环节，是培养学生综合运用所学的基础理论、基本知识和基本技能，分析和解决教育教学、社会实践中的实际问题，也是培养学生创造能力、科研能力的重要措施。</w:t>
      </w:r>
    </w:p>
    <w:p w14:paraId="6779C52B">
      <w:pPr>
        <w:autoSpaceDE w:val="0"/>
        <w:autoSpaceDN w:val="0"/>
        <w:adjustRightInd w:val="0"/>
        <w:spacing w:line="348" w:lineRule="auto"/>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毕业论文的撰写，可以检验学生在校学习期间学习成果，是一次全面系统地巩固、充实和提高理论知识，并与实践相结合的锻炼；有利于培养学生实际工作能力，使学生通过独立调查研究、收集资料、数据处理、综合运用所学理论知识，联系实际，提高分析和解决教育问题的能力；有利于学生掌握教育科研工作的基本规范和要求。</w:t>
      </w:r>
    </w:p>
    <w:p w14:paraId="0D94075B">
      <w:pPr>
        <w:spacing w:line="348"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二</w:t>
      </w:r>
      <w:r>
        <w:rPr>
          <w:rFonts w:ascii="Times New Roman" w:hAnsi="Times New Roman" w:eastAsia="宋体" w:cs="Times New Roman"/>
          <w:b/>
          <w:sz w:val="28"/>
          <w:szCs w:val="28"/>
        </w:rPr>
        <w:t>、课程目标</w:t>
      </w:r>
    </w:p>
    <w:p w14:paraId="447C6B5F">
      <w:pPr>
        <w:spacing w:line="348" w:lineRule="auto"/>
        <w:ind w:firstLine="482"/>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（一）课程具体目标</w:t>
      </w:r>
    </w:p>
    <w:p w14:paraId="6530884E">
      <w:pPr>
        <w:spacing w:line="348"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1.</w:t>
      </w:r>
      <w:r>
        <w:rPr>
          <w:rFonts w:hint="eastAsia" w:ascii="Times New Roman" w:hAnsi="Times New Roman" w:eastAsia="宋体" w:cs="Times New Roman"/>
          <w:szCs w:val="24"/>
        </w:rPr>
        <w:t xml:space="preserve"> </w:t>
      </w:r>
      <w:r>
        <w:rPr>
          <w:rFonts w:hint="eastAsia" w:ascii="Times New Roman" w:hAnsi="Times New Roman" w:eastAsia="宋体" w:cs="Times New Roman"/>
          <w:sz w:val="24"/>
          <w:szCs w:val="24"/>
        </w:rPr>
        <w:t>使学生巩固、验证和深化已学到的本专业基本概念、基本知识和基本技能。</w:t>
      </w:r>
    </w:p>
    <w:p w14:paraId="38CDA21F">
      <w:pPr>
        <w:spacing w:line="348"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使学生在毕业论文工作中，综合运用本学科和相关学课的理论、知识与技能，分析与解决小学教育中的实际问题。通过学习、研究与实践，使得理论认识深化，知识拓宽，专业技能延伸。</w:t>
      </w:r>
    </w:p>
    <w:p w14:paraId="1C6E2E46">
      <w:pPr>
        <w:spacing w:line="348"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w:t>
      </w:r>
      <w:r>
        <w:rPr>
          <w:rFonts w:ascii="Times New Roman" w:hAnsi="Times New Roman" w:eastAsia="宋体" w:cs="Times New Roman"/>
          <w:sz w:val="24"/>
          <w:szCs w:val="24"/>
        </w:rPr>
        <w:t xml:space="preserve">3. </w:t>
      </w:r>
      <w:r>
        <w:rPr>
          <w:rFonts w:hint="eastAsia" w:ascii="Times New Roman" w:hAnsi="Times New Roman" w:eastAsia="宋体" w:cs="Times New Roman"/>
          <w:sz w:val="24"/>
          <w:szCs w:val="24"/>
        </w:rPr>
        <w:t>使学生学会依据毕业论文课题的任务书，进行检索、阅读国内外文献资料、课题调研、加工与整理资料与数据；培养学生掌握相关教育科学研究方法的技术与规范。</w:t>
      </w:r>
    </w:p>
    <w:p w14:paraId="2F8BF13D">
      <w:pPr>
        <w:spacing w:line="348"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目标4</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系统掌握开题报告、文献综述、毕业论文的写作规范和方法。</w:t>
      </w:r>
    </w:p>
    <w:p w14:paraId="7EB58183">
      <w:pPr>
        <w:spacing w:line="348" w:lineRule="auto"/>
        <w:ind w:firstLine="482"/>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目标5</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掌握学校规范编制毕业论文的注释、参考文献以及引文的主要方法。</w:t>
      </w:r>
    </w:p>
    <w:p w14:paraId="668D55C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目标6.</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通过毕业论文写作，提高学生研究性学习的能力和创新思维能力。</w:t>
      </w:r>
    </w:p>
    <w:p w14:paraId="67DFD873">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（二）课程目标与专业毕业要求的关系</w:t>
      </w:r>
    </w:p>
    <w:tbl>
      <w:tblPr>
        <w:tblStyle w:val="30"/>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5B891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F64BF1F">
            <w:pPr>
              <w:adjustRightInd w:val="0"/>
              <w:snapToGrid w:val="0"/>
              <w:spacing w:line="276" w:lineRule="auto"/>
              <w:jc w:val="center"/>
              <w:rPr>
                <w:rFonts w:ascii="宋体" w:hAnsi="宋体" w:eastAsia="宋体" w:cs="Times New Roman"/>
                <w:b/>
                <w:bCs/>
                <w:szCs w:val="21"/>
              </w:rPr>
            </w:pPr>
            <w:r>
              <w:rPr>
                <w:rFonts w:hint="eastAsia" w:ascii="宋体" w:hAnsi="宋体" w:eastAsia="宋体" w:cs="Times New Roman"/>
                <w:b/>
                <w:bCs/>
                <w:szCs w:val="21"/>
              </w:rPr>
              <w:t>课程目标</w:t>
            </w:r>
          </w:p>
        </w:tc>
        <w:tc>
          <w:tcPr>
            <w:tcW w:w="2223" w:type="dxa"/>
            <w:vAlign w:val="center"/>
          </w:tcPr>
          <w:p w14:paraId="509DAF29">
            <w:pPr>
              <w:adjustRightInd w:val="0"/>
              <w:snapToGrid w:val="0"/>
              <w:spacing w:line="276" w:lineRule="auto"/>
              <w:jc w:val="center"/>
              <w:rPr>
                <w:rFonts w:ascii="宋体" w:hAnsi="宋体" w:eastAsia="宋体" w:cs="Times New Roman"/>
                <w:b/>
                <w:bCs/>
                <w:szCs w:val="21"/>
              </w:rPr>
            </w:pPr>
            <w:r>
              <w:rPr>
                <w:rFonts w:hint="eastAsia" w:ascii="宋体" w:hAnsi="宋体" w:eastAsia="宋体" w:cs="Times New Roman"/>
                <w:b/>
                <w:bCs/>
                <w:szCs w:val="21"/>
              </w:rPr>
              <w:t>支撑的毕业要求</w:t>
            </w:r>
          </w:p>
        </w:tc>
        <w:tc>
          <w:tcPr>
            <w:tcW w:w="4977" w:type="dxa"/>
            <w:vAlign w:val="center"/>
          </w:tcPr>
          <w:p w14:paraId="79849EC2">
            <w:pPr>
              <w:adjustRightInd w:val="0"/>
              <w:snapToGrid w:val="0"/>
              <w:spacing w:line="276" w:lineRule="auto"/>
              <w:ind w:firstLine="422" w:firstLineChars="200"/>
              <w:jc w:val="center"/>
              <w:rPr>
                <w:rFonts w:ascii="宋体" w:hAnsi="宋体" w:eastAsia="宋体" w:cs="Times New Roman"/>
                <w:b/>
                <w:bCs/>
                <w:szCs w:val="21"/>
              </w:rPr>
            </w:pPr>
            <w:r>
              <w:rPr>
                <w:rFonts w:hint="eastAsia" w:ascii="宋体" w:hAnsi="宋体" w:eastAsia="宋体" w:cs="Times New Roman"/>
                <w:b/>
                <w:bCs/>
                <w:szCs w:val="21"/>
              </w:rPr>
              <w:t>支撑的毕业要求指标点</w:t>
            </w:r>
          </w:p>
        </w:tc>
      </w:tr>
      <w:tr w14:paraId="05891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0A002807">
            <w:pPr>
              <w:adjustRightInd w:val="0"/>
              <w:snapToGrid w:val="0"/>
              <w:spacing w:line="276" w:lineRule="auto"/>
              <w:jc w:val="center"/>
              <w:rPr>
                <w:rFonts w:ascii="宋体" w:hAnsi="宋体" w:eastAsia="宋体" w:cs="宋体"/>
                <w:bCs/>
                <w:color w:val="000000"/>
                <w:szCs w:val="21"/>
              </w:rPr>
            </w:pPr>
            <w:r>
              <w:rPr>
                <w:rFonts w:hint="eastAsia" w:ascii="宋体" w:hAnsi="宋体" w:eastAsia="宋体" w:cs="宋体"/>
                <w:bCs/>
                <w:color w:val="000000"/>
                <w:szCs w:val="21"/>
              </w:rPr>
              <w:t>课程目标1</w:t>
            </w:r>
          </w:p>
        </w:tc>
        <w:tc>
          <w:tcPr>
            <w:tcW w:w="2223" w:type="dxa"/>
            <w:vAlign w:val="center"/>
          </w:tcPr>
          <w:p w14:paraId="4117D90F">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学科素养</w:t>
            </w:r>
          </w:p>
        </w:tc>
        <w:tc>
          <w:tcPr>
            <w:tcW w:w="4977" w:type="dxa"/>
            <w:vAlign w:val="center"/>
          </w:tcPr>
          <w:p w14:paraId="63FD507E">
            <w:pPr>
              <w:adjustRightInd w:val="0"/>
              <w:snapToGrid w:val="0"/>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-1</w:t>
            </w:r>
            <w:r>
              <w:rPr>
                <w:rFonts w:hint="eastAsia" w:ascii="宋体" w:hAnsi="宋体" w:eastAsia="宋体" w:cs="Times New Roman"/>
                <w:color w:val="000000"/>
                <w:szCs w:val="21"/>
              </w:rPr>
              <w:t>：【教育基础扎实】具有一定的人文与科学素养，掌握教育理论基本知识，能够结合小学生认知发展特点，运用教育原理和方法，分析和解决教育教学实践中的问题。</w:t>
            </w:r>
          </w:p>
          <w:p w14:paraId="18AEA239">
            <w:pPr>
              <w:adjustRightInd w:val="0"/>
              <w:snapToGrid w:val="0"/>
              <w:spacing w:line="276" w:lineRule="auto"/>
              <w:jc w:val="left"/>
              <w:rPr>
                <w:rFonts w:ascii="宋体" w:hAnsi="宋体" w:eastAsia="宋体" w:cs="Times New Roman"/>
                <w:color w:val="000000"/>
                <w:spacing w:val="2"/>
                <w:kern w:val="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4：【注重知识整合】了解所教学科与其他学科及与社会实践、小学生生活实践之间的联系，了解学科整合的在小学教育中的价值，具有跨学科解决问题的意识和能力，能指导综合性学科教学活动。</w:t>
            </w:r>
          </w:p>
        </w:tc>
      </w:tr>
      <w:tr w14:paraId="2B650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4B032457">
            <w:pPr>
              <w:adjustRightInd w:val="0"/>
              <w:snapToGrid w:val="0"/>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课程目标2</w:t>
            </w:r>
          </w:p>
        </w:tc>
        <w:tc>
          <w:tcPr>
            <w:tcW w:w="2223" w:type="dxa"/>
            <w:vAlign w:val="center"/>
          </w:tcPr>
          <w:p w14:paraId="18977FC1">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毕业要求3</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学科素养</w:t>
            </w:r>
          </w:p>
          <w:p w14:paraId="1F38297C">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毕业要求4</w:t>
            </w:r>
            <w:r>
              <w:rPr>
                <w:rFonts w:ascii="宋体" w:hAnsi="宋体" w:eastAsia="宋体" w:cs="Times New Roman"/>
                <w:color w:val="000000"/>
                <w:kern w:val="0"/>
                <w:szCs w:val="21"/>
              </w:rPr>
              <w:t>.</w:t>
            </w:r>
            <w:r>
              <w:rPr>
                <w:rFonts w:hint="eastAsia" w:ascii="宋体" w:hAnsi="宋体" w:eastAsia="宋体" w:cs="Times New Roman"/>
                <w:color w:val="000000"/>
                <w:kern w:val="0"/>
                <w:szCs w:val="21"/>
              </w:rPr>
              <w:t>教学能力</w:t>
            </w:r>
          </w:p>
          <w:p w14:paraId="1E4D43DA">
            <w:pPr>
              <w:adjustRightInd w:val="0"/>
              <w:snapToGrid w:val="0"/>
              <w:spacing w:line="276" w:lineRule="auto"/>
              <w:rPr>
                <w:rFonts w:ascii="宋体" w:hAnsi="宋体" w:eastAsia="宋体" w:cs="Times New Roman"/>
                <w:color w:val="000000"/>
                <w:kern w:val="0"/>
                <w:szCs w:val="21"/>
              </w:rPr>
            </w:pPr>
            <w:r>
              <w:rPr>
                <w:rFonts w:hint="eastAsia" w:ascii="宋体" w:hAnsi="宋体" w:eastAsia="宋体" w:cs="Times New Roman"/>
                <w:color w:val="000000"/>
                <w:kern w:val="0"/>
                <w:szCs w:val="21"/>
              </w:rPr>
              <w:t>毕业要求</w:t>
            </w:r>
            <w:r>
              <w:rPr>
                <w:rFonts w:ascii="宋体" w:hAnsi="宋体" w:eastAsia="宋体" w:cs="Times New Roman"/>
                <w:color w:val="000000"/>
                <w:kern w:val="0"/>
                <w:szCs w:val="21"/>
              </w:rPr>
              <w:t>7.</w:t>
            </w:r>
            <w:r>
              <w:rPr>
                <w:rFonts w:hint="eastAsia" w:ascii="宋体" w:hAnsi="宋体" w:eastAsia="宋体" w:cs="Times New Roman"/>
                <w:color w:val="000000"/>
                <w:kern w:val="0"/>
                <w:szCs w:val="21"/>
              </w:rPr>
              <w:t>学会反思</w:t>
            </w:r>
          </w:p>
        </w:tc>
        <w:tc>
          <w:tcPr>
            <w:tcW w:w="4977" w:type="dxa"/>
            <w:vAlign w:val="center"/>
          </w:tcPr>
          <w:p w14:paraId="5A04C518">
            <w:pPr>
              <w:adjustRightInd w:val="0"/>
              <w:snapToGrid w:val="0"/>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w:t>
            </w:r>
            <w:r>
              <w:rPr>
                <w:rFonts w:hint="eastAsia" w:ascii="宋体" w:hAnsi="宋体" w:eastAsia="宋体" w:cs="Times New Roman"/>
                <w:color w:val="000000"/>
                <w:szCs w:val="21"/>
              </w:rPr>
              <w:t>4：【注重知识整合】了解所教学科与其他学科及与社会实践、小学生生活实践之间的联系，了解学科整合的在小学教育中的价值，具有跨学科解决问题的意识和能力，能指导综合性学科教学活动。</w:t>
            </w:r>
          </w:p>
          <w:p w14:paraId="7E2134F4">
            <w:pPr>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4：【教育研究能力好】掌握教育研究的基本方法，结合小学教育教学实践进行研究，具有一定的教学研究能力。</w:t>
            </w:r>
          </w:p>
          <w:p w14:paraId="71940533">
            <w:pPr>
              <w:adjustRightInd w:val="0"/>
              <w:snapToGrid w:val="0"/>
              <w:spacing w:line="276" w:lineRule="auto"/>
              <w:jc w:val="left"/>
              <w:rPr>
                <w:rFonts w:ascii="宋体" w:hAnsi="宋体" w:eastAsia="宋体" w:cs="Times New Roman"/>
                <w:color w:val="000000"/>
                <w:spacing w:val="2"/>
                <w:kern w:val="0"/>
                <w:szCs w:val="21"/>
              </w:rPr>
            </w:pPr>
            <w:r>
              <w:rPr>
                <w:rFonts w:ascii="宋体" w:hAnsi="宋体" w:eastAsia="宋体" w:cs="Times New Roman"/>
                <w:color w:val="000000"/>
                <w:spacing w:val="2"/>
                <w:kern w:val="0"/>
                <w:szCs w:val="21"/>
              </w:rPr>
              <w:t>7-1：</w:t>
            </w:r>
            <w:r>
              <w:rPr>
                <w:rFonts w:hint="eastAsia" w:ascii="宋体" w:hAnsi="宋体" w:eastAsia="宋体" w:cs="Times New Roman"/>
                <w:color w:val="000000"/>
                <w:spacing w:val="2"/>
                <w:kern w:val="0"/>
                <w:szCs w:val="21"/>
              </w:rPr>
              <w:t>【教育视野开阔】积极参加基础教育领域的国内外交流，了解国内外基础教育改革发展的动态，具有宽广的教育视野，能够主动适应新时代和教育发展需求。</w:t>
            </w:r>
          </w:p>
          <w:p w14:paraId="3D223633">
            <w:pPr>
              <w:adjustRightInd w:val="0"/>
              <w:snapToGrid w:val="0"/>
              <w:spacing w:line="276" w:lineRule="auto"/>
              <w:jc w:val="left"/>
              <w:rPr>
                <w:rFonts w:ascii="宋体" w:hAnsi="宋体" w:eastAsia="宋体" w:cs="Times New Roman"/>
                <w:color w:val="000000"/>
                <w:kern w:val="0"/>
                <w:szCs w:val="21"/>
              </w:rPr>
            </w:pPr>
            <w:r>
              <w:rPr>
                <w:rFonts w:ascii="宋体" w:hAnsi="宋体" w:eastAsia="宋体" w:cs="Times New Roman"/>
                <w:color w:val="000000"/>
                <w:spacing w:val="2"/>
                <w:kern w:val="0"/>
                <w:szCs w:val="21"/>
              </w:rPr>
              <w:t>7-3：</w:t>
            </w:r>
            <w:r>
              <w:rPr>
                <w:rFonts w:hint="eastAsia" w:ascii="宋体" w:hAnsi="宋体" w:eastAsia="宋体" w:cs="Times New Roman"/>
                <w:color w:val="000000"/>
                <w:spacing w:val="2"/>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r w14:paraId="26FFF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5A6AED99">
            <w:pPr>
              <w:adjustRightInd w:val="0"/>
              <w:snapToGrid w:val="0"/>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课程目标3</w:t>
            </w:r>
          </w:p>
        </w:tc>
        <w:tc>
          <w:tcPr>
            <w:tcW w:w="2223" w:type="dxa"/>
            <w:vAlign w:val="center"/>
          </w:tcPr>
          <w:p w14:paraId="3BC7193C">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毕业要求4.教学能力</w:t>
            </w:r>
          </w:p>
          <w:p w14:paraId="3C0A9379">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毕业要求8</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沟通合作</w:t>
            </w:r>
          </w:p>
          <w:p w14:paraId="65CB62FA">
            <w:pPr>
              <w:adjustRightInd w:val="0"/>
              <w:snapToGrid w:val="0"/>
              <w:spacing w:line="276" w:lineRule="auto"/>
              <w:rPr>
                <w:rFonts w:ascii="宋体" w:hAnsi="宋体" w:eastAsia="宋体" w:cs="Times New Roman"/>
                <w:color w:val="000000"/>
                <w:spacing w:val="2"/>
                <w:kern w:val="0"/>
                <w:szCs w:val="21"/>
              </w:rPr>
            </w:pPr>
          </w:p>
        </w:tc>
        <w:tc>
          <w:tcPr>
            <w:tcW w:w="4977" w:type="dxa"/>
            <w:vAlign w:val="center"/>
          </w:tcPr>
          <w:p w14:paraId="0DAAAC71">
            <w:pPr>
              <w:shd w:val="clear" w:color="auto" w:fill="FFFFFF"/>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：【教育研究能力好】掌握教育研究的基本方法，结合小学教育教学实践进行研究，具有一定的教学研究能力。</w:t>
            </w:r>
          </w:p>
          <w:p w14:paraId="6B9E653B">
            <w:pPr>
              <w:shd w:val="clear" w:color="auto" w:fill="FFFFFF"/>
              <w:adjustRightInd w:val="0"/>
              <w:snapToGrid w:val="0"/>
              <w:spacing w:line="276" w:lineRule="auto"/>
              <w:jc w:val="left"/>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w:t>
            </w:r>
            <w:r>
              <w:rPr>
                <w:rFonts w:hint="eastAsia" w:ascii="宋体" w:hAnsi="宋体" w:eastAsia="宋体" w:cs="Times New Roman"/>
                <w:color w:val="000000"/>
                <w:szCs w:val="21"/>
              </w:rPr>
              <w:t>【善于团队合作】理解学习共同体的本质和价值，掌握团队协作的基本策略，在课堂学习与教育实践中获得合作学习体验，形成团队协作精神。</w:t>
            </w:r>
          </w:p>
          <w:p w14:paraId="7A2497D0">
            <w:pPr>
              <w:shd w:val="clear" w:color="auto" w:fill="FFFFFF"/>
              <w:adjustRightInd w:val="0"/>
              <w:snapToGrid w:val="0"/>
              <w:spacing w:line="276" w:lineRule="auto"/>
              <w:jc w:val="left"/>
              <w:rPr>
                <w:rFonts w:ascii="Times New Roman" w:hAnsi="Times New Roman" w:eastAsia="宋体" w:cs="Times New Roman"/>
                <w:color w:val="000000"/>
                <w:szCs w:val="23"/>
              </w:rPr>
            </w:pPr>
            <w:r>
              <w:rPr>
                <w:rFonts w:hint="eastAsia" w:ascii="宋体" w:hAnsi="宋体" w:eastAsia="宋体" w:cs="Times New Roman"/>
                <w:color w:val="000000"/>
                <w:szCs w:val="21"/>
              </w:rPr>
              <w:t>8</w:t>
            </w:r>
            <w:r>
              <w:rPr>
                <w:rFonts w:ascii="宋体" w:hAnsi="宋体" w:eastAsia="宋体" w:cs="Times New Roman"/>
                <w:color w:val="000000"/>
                <w:szCs w:val="21"/>
              </w:rPr>
              <w:t>-</w:t>
            </w:r>
            <w:r>
              <w:rPr>
                <w:rFonts w:hint="eastAsia" w:ascii="宋体" w:hAnsi="宋体" w:eastAsia="宋体" w:cs="Times New Roman"/>
                <w:color w:val="000000"/>
                <w:szCs w:val="21"/>
              </w:rPr>
              <w:t>2：【学会沟通交流】掌握人际沟通合作技能与方法，能与学生和家长以及同行、同事、专家进行有效沟通与合作，实现共同发展。</w:t>
            </w:r>
          </w:p>
        </w:tc>
      </w:tr>
      <w:tr w14:paraId="14916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08847454">
            <w:pPr>
              <w:adjustRightInd w:val="0"/>
              <w:snapToGrid w:val="0"/>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课程目标4</w:t>
            </w:r>
          </w:p>
        </w:tc>
        <w:tc>
          <w:tcPr>
            <w:tcW w:w="2223" w:type="dxa"/>
            <w:vAlign w:val="center"/>
          </w:tcPr>
          <w:p w14:paraId="5271167B">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4.</w:t>
            </w:r>
            <w:r>
              <w:rPr>
                <w:rFonts w:hint="eastAsia" w:ascii="宋体" w:hAnsi="宋体" w:eastAsia="宋体" w:cs="Times New Roman"/>
                <w:color w:val="000000"/>
                <w:spacing w:val="2"/>
                <w:kern w:val="0"/>
                <w:szCs w:val="21"/>
              </w:rPr>
              <w:t>教学能力</w:t>
            </w:r>
          </w:p>
        </w:tc>
        <w:tc>
          <w:tcPr>
            <w:tcW w:w="4977" w:type="dxa"/>
            <w:vAlign w:val="center"/>
          </w:tcPr>
          <w:p w14:paraId="65862918">
            <w:pPr>
              <w:shd w:val="clear" w:color="auto" w:fill="FFFFFF"/>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：【教育研究能力好】掌握教育研究的基本方法，结合小学教育教学实践进行研究，具有一定的教学研究能力。</w:t>
            </w:r>
            <w:r>
              <w:rPr>
                <w:rFonts w:ascii="宋体" w:hAnsi="宋体" w:eastAsia="宋体" w:cs="Times New Roman"/>
                <w:szCs w:val="21"/>
              </w:rPr>
              <w:t>:</w:t>
            </w:r>
          </w:p>
        </w:tc>
      </w:tr>
      <w:tr w14:paraId="6210B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748" w:type="dxa"/>
            <w:vAlign w:val="center"/>
          </w:tcPr>
          <w:p w14:paraId="328F47D0">
            <w:pPr>
              <w:adjustRightInd w:val="0"/>
              <w:snapToGrid w:val="0"/>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课程目标5</w:t>
            </w:r>
          </w:p>
        </w:tc>
        <w:tc>
          <w:tcPr>
            <w:tcW w:w="2223" w:type="dxa"/>
            <w:vAlign w:val="center"/>
          </w:tcPr>
          <w:p w14:paraId="7DECEE46">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w:t>
            </w:r>
            <w:r>
              <w:rPr>
                <w:rFonts w:ascii="宋体" w:hAnsi="宋体" w:eastAsia="宋体" w:cs="Times New Roman"/>
                <w:color w:val="000000"/>
                <w:spacing w:val="2"/>
                <w:kern w:val="0"/>
                <w:szCs w:val="21"/>
              </w:rPr>
              <w:t>4.</w:t>
            </w:r>
            <w:r>
              <w:rPr>
                <w:rFonts w:hint="eastAsia" w:ascii="宋体" w:hAnsi="宋体" w:eastAsia="宋体" w:cs="Times New Roman"/>
                <w:color w:val="000000"/>
                <w:spacing w:val="2"/>
                <w:kern w:val="0"/>
                <w:szCs w:val="21"/>
              </w:rPr>
              <w:t>教学能力</w:t>
            </w:r>
          </w:p>
        </w:tc>
        <w:tc>
          <w:tcPr>
            <w:tcW w:w="4977" w:type="dxa"/>
            <w:vAlign w:val="center"/>
          </w:tcPr>
          <w:p w14:paraId="56DF39CA">
            <w:pPr>
              <w:shd w:val="clear" w:color="auto" w:fill="FFFFFF"/>
              <w:adjustRightInd w:val="0"/>
              <w:snapToGrid w:val="0"/>
              <w:spacing w:line="276" w:lineRule="auto"/>
              <w:jc w:val="left"/>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4</w:t>
            </w:r>
            <w:r>
              <w:rPr>
                <w:rFonts w:hint="eastAsia" w:ascii="宋体" w:hAnsi="宋体" w:eastAsia="宋体" w:cs="Times New Roman"/>
                <w:szCs w:val="21"/>
              </w:rPr>
              <w:t>：【教育研究能力好】掌握教育研究的基本方法，结合小学教育教学实践进行研究，具有一定的教学研究能力。</w:t>
            </w:r>
            <w:r>
              <w:rPr>
                <w:rFonts w:ascii="宋体" w:hAnsi="宋体" w:eastAsia="宋体" w:cs="Times New Roman"/>
                <w:szCs w:val="21"/>
              </w:rPr>
              <w:t>:</w:t>
            </w:r>
          </w:p>
        </w:tc>
      </w:tr>
      <w:tr w14:paraId="50436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748" w:type="dxa"/>
            <w:vAlign w:val="center"/>
          </w:tcPr>
          <w:p w14:paraId="691436CB">
            <w:pPr>
              <w:adjustRightInd w:val="0"/>
              <w:snapToGrid w:val="0"/>
              <w:spacing w:line="276" w:lineRule="auto"/>
              <w:jc w:val="center"/>
              <w:rPr>
                <w:rFonts w:ascii="宋体" w:hAnsi="宋体" w:eastAsia="宋体" w:cs="宋体"/>
                <w:color w:val="000000"/>
                <w:szCs w:val="21"/>
              </w:rPr>
            </w:pPr>
            <w:r>
              <w:rPr>
                <w:rFonts w:hint="eastAsia" w:ascii="宋体" w:hAnsi="宋体" w:eastAsia="宋体" w:cs="宋体"/>
                <w:color w:val="000000"/>
                <w:szCs w:val="21"/>
              </w:rPr>
              <w:t>课程目标6</w:t>
            </w:r>
          </w:p>
        </w:tc>
        <w:tc>
          <w:tcPr>
            <w:tcW w:w="2223" w:type="dxa"/>
            <w:vAlign w:val="center"/>
          </w:tcPr>
          <w:p w14:paraId="77D592E9">
            <w:pPr>
              <w:adjustRightInd w:val="0"/>
              <w:snapToGrid w:val="0"/>
              <w:spacing w:line="276" w:lineRule="auto"/>
              <w:rPr>
                <w:rFonts w:ascii="宋体" w:hAnsi="宋体" w:eastAsia="宋体" w:cs="Times New Roman"/>
                <w:color w:val="000000"/>
                <w:spacing w:val="2"/>
                <w:kern w:val="0"/>
                <w:szCs w:val="21"/>
              </w:rPr>
            </w:pPr>
            <w:r>
              <w:rPr>
                <w:rFonts w:hint="eastAsia" w:ascii="宋体" w:hAnsi="宋体" w:eastAsia="宋体" w:cs="Times New Roman"/>
                <w:color w:val="000000"/>
                <w:spacing w:val="2"/>
                <w:kern w:val="0"/>
                <w:szCs w:val="21"/>
              </w:rPr>
              <w:t>毕业要求7</w:t>
            </w:r>
            <w:r>
              <w:rPr>
                <w:rFonts w:ascii="宋体" w:hAnsi="宋体" w:eastAsia="宋体" w:cs="Times New Roman"/>
                <w:color w:val="000000"/>
                <w:spacing w:val="2"/>
                <w:kern w:val="0"/>
                <w:szCs w:val="21"/>
              </w:rPr>
              <w:t>.</w:t>
            </w:r>
            <w:r>
              <w:rPr>
                <w:rFonts w:hint="eastAsia" w:ascii="宋体" w:hAnsi="宋体" w:eastAsia="宋体" w:cs="Times New Roman"/>
                <w:color w:val="000000"/>
                <w:spacing w:val="2"/>
                <w:kern w:val="0"/>
                <w:szCs w:val="21"/>
              </w:rPr>
              <w:t>学会反思</w:t>
            </w:r>
          </w:p>
        </w:tc>
        <w:tc>
          <w:tcPr>
            <w:tcW w:w="4977" w:type="dxa"/>
            <w:vAlign w:val="center"/>
          </w:tcPr>
          <w:p w14:paraId="758C730F">
            <w:pPr>
              <w:shd w:val="clear" w:color="auto" w:fill="FFFFFF"/>
              <w:adjustRightInd w:val="0"/>
              <w:snapToGrid w:val="0"/>
              <w:spacing w:line="276" w:lineRule="auto"/>
              <w:jc w:val="left"/>
              <w:rPr>
                <w:rFonts w:ascii="宋体" w:hAnsi="宋体" w:eastAsia="宋体" w:cs="Times New Roman"/>
                <w:color w:val="000000"/>
                <w:spacing w:val="2"/>
                <w:kern w:val="0"/>
                <w:szCs w:val="21"/>
              </w:rPr>
            </w:pPr>
            <w:r>
              <w:rPr>
                <w:rFonts w:ascii="宋体" w:hAnsi="宋体" w:eastAsia="宋体" w:cs="Times New Roman"/>
                <w:color w:val="000000"/>
                <w:spacing w:val="2"/>
                <w:kern w:val="0"/>
                <w:szCs w:val="21"/>
              </w:rPr>
              <w:t>7-3：</w:t>
            </w:r>
            <w:r>
              <w:rPr>
                <w:rFonts w:hint="eastAsia" w:ascii="宋体" w:hAnsi="宋体" w:eastAsia="宋体" w:cs="Times New Roman"/>
                <w:color w:val="000000"/>
                <w:spacing w:val="2"/>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r>
    </w:tbl>
    <w:p w14:paraId="7E3BCC38">
      <w:pPr>
        <w:spacing w:before="156" w:beforeLines="50" w:line="348"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三</w:t>
      </w:r>
      <w:r>
        <w:rPr>
          <w:rFonts w:ascii="Times New Roman" w:hAnsi="Times New Roman" w:eastAsia="宋体" w:cs="Times New Roman"/>
          <w:b/>
          <w:sz w:val="28"/>
          <w:szCs w:val="28"/>
        </w:rPr>
        <w:t>、课程内容及要求</w:t>
      </w:r>
    </w:p>
    <w:p w14:paraId="6BA4F743">
      <w:pPr>
        <w:spacing w:line="348"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（一）选题（本模块支撑课程目标1、课程目标2）</w:t>
      </w:r>
    </w:p>
    <w:p w14:paraId="074DE546">
      <w:pPr>
        <w:spacing w:line="348"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1.教学内容</w:t>
      </w:r>
    </w:p>
    <w:p w14:paraId="5720A0C9">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毕业论文写作动员</w:t>
      </w:r>
    </w:p>
    <w:p w14:paraId="7F544A2A">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学生选题，并填写毕业论文选题申报表</w:t>
      </w:r>
    </w:p>
    <w:p w14:paraId="724CDD9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（3）文献检索</w:t>
      </w:r>
    </w:p>
    <w:p w14:paraId="4D3DD0D5">
      <w:pPr>
        <w:spacing w:line="348" w:lineRule="auto"/>
        <w:ind w:firstLine="482" w:firstLineChars="200"/>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2.基本要求</w:t>
      </w:r>
    </w:p>
    <w:p w14:paraId="29E8A508">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学生明确毕业论文的重要性，选定指导教师，指导教师必须具有讲师以上职称或经院（系）批准的教师、科研人员或管理人员担任。</w:t>
      </w:r>
    </w:p>
    <w:p w14:paraId="29CEF6F7">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学生与指导老师协商确定论文题目。选题应符合一下要求：一是应结合实际，与专业相关；二是要有价值、有意义；三是要努力做到新颖；四是学生有能力完成；五是与本专业往届毕业生的论文题目重复率应符合相关要求。</w:t>
      </w:r>
    </w:p>
    <w:p w14:paraId="3381942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（3）题目确定后，学生按要求填报毕业论文选题申报表，并上传至学校毕业论文（设计）系统，指导教师和系部主任分别审核。</w:t>
      </w:r>
    </w:p>
    <w:p w14:paraId="7B27904A">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（4）学生在指导教师指导下进行文献检索、调研等论文写作的前期准备工作。</w:t>
      </w:r>
    </w:p>
    <w:p w14:paraId="536F4E73">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47A96F5C">
      <w:pPr>
        <w:spacing w:line="348" w:lineRule="auto"/>
        <w:ind w:firstLine="480" w:firstLineChars="200"/>
        <w:jc w:val="left"/>
        <w:rPr>
          <w:rFonts w:ascii="Times New Roman" w:hAnsi="Times New Roman" w:eastAsia="宋体" w:cs="Times New Roman"/>
          <w:bCs/>
          <w:color w:val="000000"/>
          <w:kern w:val="0"/>
          <w:sz w:val="24"/>
          <w:szCs w:val="21"/>
        </w:rPr>
      </w:pPr>
      <w:r>
        <w:rPr>
          <w:rFonts w:hint="eastAsia" w:ascii="Times New Roman" w:hAnsi="Times New Roman" w:eastAsia="宋体" w:cs="Times New Roman"/>
          <w:bCs/>
          <w:color w:val="000000"/>
          <w:kern w:val="0"/>
          <w:sz w:val="24"/>
          <w:szCs w:val="21"/>
        </w:rPr>
        <w:t>以习近平总书记关于教育工作的重要论述为指导，理解教育论文写作的价值和意义；坚持“立德树人”，树立正确的世界观、价值观和人生观；热爱小学教育，理解基础教育改革的意义，具有一定的创新意识，学会发现和分析教育实践中的问题和基础教育改革的热点和难点问题。</w:t>
      </w:r>
    </w:p>
    <w:p w14:paraId="35DE2802">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学生选题与文献检索</w:t>
      </w:r>
    </w:p>
    <w:p w14:paraId="2FB0A5D6">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学生选题</w:t>
      </w:r>
    </w:p>
    <w:p w14:paraId="7DAB943A">
      <w:pPr>
        <w:spacing w:line="348" w:lineRule="auto"/>
        <w:ind w:firstLine="472" w:firstLineChars="196"/>
        <w:rPr>
          <w:rFonts w:ascii="Times New Roman" w:hAnsi="Times New Roman" w:eastAsia="宋体" w:cs="Times New Roman"/>
          <w:b/>
          <w:sz w:val="24"/>
          <w:szCs w:val="24"/>
        </w:rPr>
      </w:pP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二</w:t>
      </w:r>
      <w:r>
        <w:rPr>
          <w:rFonts w:hint="eastAsia" w:ascii="Times New Roman" w:hAnsi="Times New Roman" w:eastAsia="宋体" w:cs="Times New Roman"/>
          <w:b/>
          <w:sz w:val="24"/>
          <w:szCs w:val="24"/>
        </w:rPr>
        <w:t>）开题（本模块支撑课程目标1、课程目标2、课程目标3、课程目标4）</w:t>
      </w:r>
    </w:p>
    <w:p w14:paraId="2F768162">
      <w:pPr>
        <w:spacing w:line="348"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1.教学内容</w:t>
      </w:r>
    </w:p>
    <w:p w14:paraId="743E6470">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教师下达毕业论文任务书</w:t>
      </w:r>
    </w:p>
    <w:p w14:paraId="48E95DE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（2）撰写开题报告</w:t>
      </w:r>
    </w:p>
    <w:p w14:paraId="5737C1C8">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开题报告会</w:t>
      </w:r>
    </w:p>
    <w:p w14:paraId="6BA19875">
      <w:pPr>
        <w:spacing w:line="348" w:lineRule="auto"/>
        <w:ind w:firstLine="482" w:firstLineChars="200"/>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2.基本要求</w:t>
      </w:r>
    </w:p>
    <w:p w14:paraId="48F0CE94">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指导教师向学生下达任务书，明确内容、任务和目标、研究进度及基本要求等。</w:t>
      </w:r>
    </w:p>
    <w:p w14:paraId="309D6A3C">
      <w:pPr>
        <w:spacing w:line="348"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指导教师指导学生写出开题报告，做好开题工作。</w:t>
      </w:r>
    </w:p>
    <w:p w14:paraId="2D22737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（3）系部组织毕业论文开题答辩会，由3名专业老师担任评委，对各组答辩学生进行统一评审和辅导。</w:t>
      </w:r>
    </w:p>
    <w:p w14:paraId="5200139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（4）学生根据答辩会上老师的意见进行修改，将修改后的开题报告上传至系统。</w:t>
      </w:r>
    </w:p>
    <w:p w14:paraId="698C2320">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课程思政育人目标</w:t>
      </w:r>
    </w:p>
    <w:p w14:paraId="0596FD5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引导学生虚心学习，实事求是。正确处理整体和部分的关系，准确把握主要矛盾和次要矛盾；践行社会主义核心价值观，坚持“四个自信”。</w:t>
      </w:r>
    </w:p>
    <w:p w14:paraId="14E878CB">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开题报告的撰写</w:t>
      </w:r>
    </w:p>
    <w:p w14:paraId="6B1DDDE7">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开题报告中国内外文献综述的撰写、论文提纲的构思</w:t>
      </w:r>
    </w:p>
    <w:p w14:paraId="308EE00C">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（三）论文撰写（本模块支撑课程目标1、课程目标2、课程目标3、课程目标5、课程目标6）</w:t>
      </w:r>
    </w:p>
    <w:p w14:paraId="0EB3EF09">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2880236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（1）毕业论文的基本构成要素</w:t>
      </w:r>
    </w:p>
    <w:p w14:paraId="6042F72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）毕业论文写作方法</w:t>
      </w:r>
    </w:p>
    <w:p w14:paraId="3E05B43B">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）毕业论文撰写规范</w:t>
      </w:r>
    </w:p>
    <w:p w14:paraId="7F81347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4</w:t>
      </w:r>
      <w:r>
        <w:rPr>
          <w:rFonts w:hint="eastAsia" w:ascii="Times New Roman" w:hAnsi="Times New Roman" w:eastAsia="宋体" w:cs="Times New Roman"/>
          <w:sz w:val="24"/>
          <w:szCs w:val="24"/>
        </w:rPr>
        <w:t>）中期检查</w:t>
      </w:r>
    </w:p>
    <w:p w14:paraId="235A3EBA">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3AEB8A9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学生在教师的指导下按照毕业论文的基本构成要素和《常州工学院毕业设计说明书（论文）基本构成及要求》撰写毕业论文文本，完成一稿、二稿、三稿和定稿，并交指导教师修改、审定。同时上传至系统。</w:t>
      </w:r>
    </w:p>
    <w:p w14:paraId="3F6AEEA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（2）在论文撰写过程中，学生每周填写周进展情况，反思自己在写作过程中遇到的问题等。</w:t>
      </w:r>
    </w:p>
    <w:p w14:paraId="211E599A">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（3）指导教师每周进行指导，及时指出学生完成毕业论文过程中存在的问题，提出有针对性的具体指导意见。</w:t>
      </w:r>
    </w:p>
    <w:p w14:paraId="7FC40A8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进行毕业论文中期检查，检查的内容包括：毕业论文的内容与题目是否一致、是否按进度完成规定的工作、工作任务的完成情况、后续工作的安排等。及时填写《常州工学院毕业论文（设计）中期检查表》，并上传至系统。</w:t>
      </w:r>
    </w:p>
    <w:p w14:paraId="1D5C6AB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（5）学生论文定稿完成后，按相关要求打印装订上交。</w:t>
      </w:r>
    </w:p>
    <w:p w14:paraId="7AE8697C">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061DB9F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培养投身基础教育科学研究的责任感和使命感；形成诚信务实、脚踏实地、实事求是的科研素养；遵守学术规范，恪守学术诚信。</w:t>
      </w:r>
    </w:p>
    <w:p w14:paraId="4D9C2B2E">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教学重点：</w:t>
      </w:r>
      <w:r>
        <w:rPr>
          <w:rFonts w:hint="eastAsia" w:ascii="Times New Roman" w:hAnsi="Times New Roman" w:eastAsia="宋体" w:cs="Times New Roman"/>
          <w:sz w:val="24"/>
          <w:szCs w:val="24"/>
        </w:rPr>
        <w:t>毕业论文的基本构成要素与写作方法、中期检查</w:t>
      </w:r>
      <w:r>
        <w:rPr>
          <w:rFonts w:ascii="Times New Roman" w:hAnsi="Times New Roman" w:eastAsia="宋体" w:cs="Times New Roman"/>
          <w:sz w:val="24"/>
          <w:szCs w:val="24"/>
        </w:rPr>
        <w:t xml:space="preserve"> </w:t>
      </w:r>
    </w:p>
    <w:p w14:paraId="1AE86DDC">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教学难点：</w:t>
      </w:r>
      <w:r>
        <w:rPr>
          <w:rFonts w:hint="eastAsia" w:ascii="Times New Roman" w:hAnsi="Times New Roman" w:eastAsia="宋体" w:cs="Times New Roman"/>
          <w:sz w:val="24"/>
          <w:szCs w:val="24"/>
        </w:rPr>
        <w:t>毕业论文的撰写指导</w:t>
      </w:r>
    </w:p>
    <w:p w14:paraId="05B88B35">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（四）答辩（本模块支撑课程目标1、课程目标2、课程目标6）</w:t>
      </w:r>
    </w:p>
    <w:p w14:paraId="35E40BA8">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1.教学内容</w:t>
      </w:r>
    </w:p>
    <w:p w14:paraId="68F0616B">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（1）论文评阅</w:t>
      </w:r>
    </w:p>
    <w:p w14:paraId="24CEFB0C">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（2）论文答辩</w:t>
      </w:r>
    </w:p>
    <w:p w14:paraId="0E1FCDE5">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1B57731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（1）学生的定稿论文交由指导教师和评阅教师分别进行审阅，写出评语和评分后交给答辩小组。</w:t>
      </w:r>
    </w:p>
    <w:p w14:paraId="4A4F66B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（2）成立答辩委员会，由三至五名高级职称教师组成，下设若干答辩小组，答辩小组由3-5名教师组成，设答辩组长1人，具体负责答辩工作，答辩秘书</w:t>
      </w:r>
      <w:r>
        <w:rPr>
          <w:rFonts w:ascii="Times New Roman" w:hAnsi="Times New Roman" w:eastAsia="宋体" w:cs="Times New Roman"/>
          <w:sz w:val="24"/>
          <w:szCs w:val="24"/>
        </w:rPr>
        <w:t>2</w:t>
      </w:r>
      <w:r>
        <w:rPr>
          <w:rFonts w:hint="eastAsia" w:ascii="Times New Roman" w:hAnsi="Times New Roman" w:eastAsia="宋体" w:cs="Times New Roman"/>
          <w:sz w:val="24"/>
          <w:szCs w:val="24"/>
        </w:rPr>
        <w:t>人，具体负责答辩记录工作。</w:t>
      </w:r>
    </w:p>
    <w:p w14:paraId="4122DB3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（3）经资格审查后，分组对学生进行逐个公开答辩。学生答辩实行指导教师回避制。</w:t>
      </w:r>
    </w:p>
    <w:p w14:paraId="3122D7C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（4）答辩小组在答辩前，应认真审阅本组学生毕业论文，以便在答辩中有针对性地提出问题。</w:t>
      </w:r>
    </w:p>
    <w:p w14:paraId="7B17087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（5）答辩中，学生报告毕业论文主要内容时间为10-15分钟，并回答答辩小组成员2-3个问题。答辩过程中，应做好记录，供评定成绩时参考。</w:t>
      </w:r>
    </w:p>
    <w:p w14:paraId="64435F6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（6）答辩期间填写《论文答辩情况登记表》。</w:t>
      </w:r>
    </w:p>
    <w:p w14:paraId="73105BE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（7）答辩结束后，各答辩小组就学生的答辩情况及其综合素质等方面的情况进行全面小结，做出客观的评价，给出答辩成绩。</w:t>
      </w:r>
    </w:p>
    <w:p w14:paraId="64F626B9">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（8）答辩结束后，论文指导教师就所指导学生毕业论文的写作情况及知识能力结构进行小结。</w:t>
      </w:r>
    </w:p>
    <w:p w14:paraId="7944CF5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（9）首次答辩成绩不合格者需提出书面申请，经学院批准后方可进行补答辩，补答辩的机会只有一次，时间另行通知。</w:t>
      </w:r>
    </w:p>
    <w:p w14:paraId="4FE57CA1">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课程思政育人目标</w:t>
      </w:r>
    </w:p>
    <w:p w14:paraId="188318E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引导学生虚心学习，实事求是，形成诚信务实、脚踏实地、实事求是的科研素养。</w:t>
      </w:r>
    </w:p>
    <w:p w14:paraId="6C221FD2">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重点：</w:t>
      </w:r>
      <w:r>
        <w:rPr>
          <w:rFonts w:hint="eastAsia" w:ascii="Times New Roman" w:hAnsi="Times New Roman" w:eastAsia="宋体" w:cs="Times New Roman"/>
          <w:sz w:val="24"/>
          <w:szCs w:val="24"/>
        </w:rPr>
        <w:t>论文评阅和论文答辩</w:t>
      </w:r>
    </w:p>
    <w:p w14:paraId="75FD0E0F">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难点：</w:t>
      </w:r>
      <w:r>
        <w:rPr>
          <w:rFonts w:hint="eastAsia" w:ascii="Times New Roman" w:hAnsi="Times New Roman" w:eastAsia="宋体" w:cs="Times New Roman"/>
          <w:sz w:val="24"/>
          <w:szCs w:val="24"/>
        </w:rPr>
        <w:t>论文答辩</w:t>
      </w:r>
    </w:p>
    <w:p w14:paraId="0198F185">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（五）总结</w:t>
      </w:r>
    </w:p>
    <w:p w14:paraId="63931414">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1.工作内容</w:t>
      </w:r>
    </w:p>
    <w:p w14:paraId="5EB9CF2F">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（1）推优</w:t>
      </w:r>
    </w:p>
    <w:p w14:paraId="6C76D2B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（2）归档</w:t>
      </w:r>
    </w:p>
    <w:p w14:paraId="02B49213">
      <w:pPr>
        <w:spacing w:line="348"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2.基本要求</w:t>
      </w:r>
    </w:p>
    <w:p w14:paraId="3450EA1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（1）进行毕业论文工作总结，根据常州工学院优秀毕业设计（论文）评选标准推荐出校级优秀毕业论文。</w:t>
      </w:r>
    </w:p>
    <w:p w14:paraId="69B814E2">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（2）完成毕业论文的统一归档，指导教师负责组织学生按时完成所有毕业论文材料的网上填报和纸质材料提交。</w:t>
      </w:r>
    </w:p>
    <w:p w14:paraId="4712714D">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教学内容与</w:t>
      </w:r>
      <w:r>
        <w:rPr>
          <w:rFonts w:ascii="Times New Roman" w:hAnsi="Times New Roman" w:eastAsia="宋体" w:cs="Times New Roman"/>
          <w:color w:val="000000"/>
          <w:sz w:val="24"/>
          <w:szCs w:val="24"/>
        </w:rPr>
        <w:t>课程目标的</w:t>
      </w:r>
      <w:r>
        <w:rPr>
          <w:rFonts w:hint="eastAsia" w:ascii="Times New Roman" w:hAnsi="Times New Roman" w:eastAsia="宋体" w:cs="Times New Roman"/>
          <w:color w:val="000000"/>
          <w:sz w:val="24"/>
          <w:szCs w:val="24"/>
        </w:rPr>
        <w:t>对应关系及</w:t>
      </w:r>
      <w:r>
        <w:rPr>
          <w:rFonts w:ascii="Times New Roman" w:hAnsi="Times New Roman" w:eastAsia="宋体" w:cs="Times New Roman"/>
          <w:color w:val="000000"/>
          <w:sz w:val="24"/>
          <w:szCs w:val="24"/>
        </w:rPr>
        <w:t>学时分配</w:t>
      </w:r>
      <w:r>
        <w:rPr>
          <w:rFonts w:hint="eastAsia" w:ascii="Times New Roman" w:hAnsi="Times New Roman" w:eastAsia="宋体" w:cs="Times New Roman"/>
          <w:color w:val="000000"/>
          <w:sz w:val="24"/>
          <w:szCs w:val="24"/>
        </w:rPr>
        <w:t>如表所示。</w:t>
      </w:r>
    </w:p>
    <w:tbl>
      <w:tblPr>
        <w:tblStyle w:val="30"/>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90"/>
        <w:gridCol w:w="1843"/>
        <w:gridCol w:w="1843"/>
        <w:gridCol w:w="992"/>
        <w:gridCol w:w="709"/>
      </w:tblGrid>
      <w:tr w14:paraId="5FDE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shd w:val="clear" w:color="auto" w:fill="FFFFFF"/>
            <w:vAlign w:val="center"/>
          </w:tcPr>
          <w:p w14:paraId="7BDDC5AF">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序号</w:t>
            </w:r>
          </w:p>
        </w:tc>
        <w:tc>
          <w:tcPr>
            <w:tcW w:w="2690" w:type="dxa"/>
            <w:shd w:val="clear" w:color="auto" w:fill="FFFFFF"/>
            <w:vAlign w:val="center"/>
          </w:tcPr>
          <w:p w14:paraId="4157C04D">
            <w:pPr>
              <w:spacing w:line="276"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教学内容</w:t>
            </w:r>
          </w:p>
        </w:tc>
        <w:tc>
          <w:tcPr>
            <w:tcW w:w="1843" w:type="dxa"/>
            <w:shd w:val="clear" w:color="auto" w:fill="FFFFFF"/>
          </w:tcPr>
          <w:p w14:paraId="06733BC2">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支撑的</w:t>
            </w:r>
          </w:p>
          <w:p w14:paraId="288734C7">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课程目标</w:t>
            </w:r>
          </w:p>
        </w:tc>
        <w:tc>
          <w:tcPr>
            <w:tcW w:w="1843" w:type="dxa"/>
            <w:shd w:val="clear" w:color="auto" w:fill="FFFFFF"/>
            <w:vAlign w:val="center"/>
          </w:tcPr>
          <w:p w14:paraId="003190E9">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支撑的毕业要求指标点</w:t>
            </w:r>
          </w:p>
        </w:tc>
        <w:tc>
          <w:tcPr>
            <w:tcW w:w="992" w:type="dxa"/>
            <w:shd w:val="clear" w:color="auto" w:fill="FFFFFF"/>
            <w:vAlign w:val="center"/>
          </w:tcPr>
          <w:p w14:paraId="4DB3CD74">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时间分配/</w:t>
            </w:r>
            <w:r>
              <w:rPr>
                <w:rFonts w:hint="eastAsia" w:ascii="Times New Roman" w:hAnsi="Times New Roman" w:eastAsia="宋体" w:cs="Times New Roman"/>
                <w:bCs/>
                <w:szCs w:val="21"/>
              </w:rPr>
              <w:t>周</w:t>
            </w:r>
          </w:p>
        </w:tc>
        <w:tc>
          <w:tcPr>
            <w:tcW w:w="709" w:type="dxa"/>
            <w:shd w:val="clear" w:color="auto" w:fill="FFFFFF"/>
            <w:vAlign w:val="center"/>
          </w:tcPr>
          <w:p w14:paraId="12F8D86D">
            <w:pPr>
              <w:spacing w:line="276" w:lineRule="auto"/>
              <w:jc w:val="center"/>
              <w:rPr>
                <w:rFonts w:ascii="Times New Roman" w:hAnsi="Times New Roman" w:eastAsia="宋体" w:cs="Times New Roman"/>
                <w:bCs/>
                <w:szCs w:val="21"/>
              </w:rPr>
            </w:pPr>
            <w:r>
              <w:rPr>
                <w:rFonts w:ascii="Times New Roman" w:hAnsi="Times New Roman" w:eastAsia="宋体" w:cs="Times New Roman"/>
                <w:bCs/>
                <w:szCs w:val="21"/>
              </w:rPr>
              <w:t>教学形式</w:t>
            </w:r>
          </w:p>
        </w:tc>
      </w:tr>
      <w:tr w14:paraId="24FE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5" w:type="dxa"/>
            <w:vAlign w:val="center"/>
          </w:tcPr>
          <w:p w14:paraId="1DFEBDB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2690" w:type="dxa"/>
            <w:vAlign w:val="center"/>
          </w:tcPr>
          <w:p w14:paraId="4A943C4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选题、调查研究、收集资料</w:t>
            </w:r>
          </w:p>
        </w:tc>
        <w:tc>
          <w:tcPr>
            <w:tcW w:w="1843" w:type="dxa"/>
            <w:vAlign w:val="center"/>
          </w:tcPr>
          <w:p w14:paraId="7ECC280F">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目标1</w:t>
            </w:r>
            <w:r>
              <w:rPr>
                <w:rFonts w:hint="eastAsia" w:ascii="Times New Roman" w:hAnsi="Times New Roman" w:eastAsia="宋体" w:cs="Times New Roman"/>
                <w:szCs w:val="21"/>
              </w:rPr>
              <w:t>、2</w:t>
            </w:r>
          </w:p>
        </w:tc>
        <w:tc>
          <w:tcPr>
            <w:tcW w:w="1843" w:type="dxa"/>
            <w:vAlign w:val="center"/>
          </w:tcPr>
          <w:p w14:paraId="7819AB8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、3-</w:t>
            </w:r>
            <w:r>
              <w:rPr>
                <w:rFonts w:ascii="Times New Roman" w:hAnsi="Times New Roman" w:eastAsia="宋体" w:cs="Times New Roman"/>
                <w:szCs w:val="21"/>
              </w:rPr>
              <w:t>4</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、7-1、7-3</w:t>
            </w:r>
          </w:p>
        </w:tc>
        <w:tc>
          <w:tcPr>
            <w:tcW w:w="992" w:type="dxa"/>
            <w:vAlign w:val="center"/>
          </w:tcPr>
          <w:p w14:paraId="4026429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709" w:type="dxa"/>
            <w:vAlign w:val="center"/>
          </w:tcPr>
          <w:p w14:paraId="18AAA29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指导</w:t>
            </w:r>
          </w:p>
        </w:tc>
      </w:tr>
      <w:tr w14:paraId="3689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5" w:type="dxa"/>
            <w:vAlign w:val="center"/>
          </w:tcPr>
          <w:p w14:paraId="7FC1EEA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2690" w:type="dxa"/>
            <w:vAlign w:val="center"/>
          </w:tcPr>
          <w:p w14:paraId="19AFE5C5">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完成开题报告及开题答辩</w:t>
            </w:r>
          </w:p>
        </w:tc>
        <w:tc>
          <w:tcPr>
            <w:tcW w:w="1843" w:type="dxa"/>
            <w:vAlign w:val="center"/>
          </w:tcPr>
          <w:p w14:paraId="56ED28B9">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1、2、3、4</w:t>
            </w:r>
          </w:p>
        </w:tc>
        <w:tc>
          <w:tcPr>
            <w:tcW w:w="1843" w:type="dxa"/>
            <w:vAlign w:val="center"/>
          </w:tcPr>
          <w:p w14:paraId="08E3CDE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、3-</w:t>
            </w:r>
            <w:r>
              <w:rPr>
                <w:rFonts w:ascii="Times New Roman" w:hAnsi="Times New Roman" w:eastAsia="宋体" w:cs="Times New Roman"/>
                <w:szCs w:val="21"/>
              </w:rPr>
              <w:t>4</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、7-1、7-3、8-</w:t>
            </w:r>
            <w:r>
              <w:rPr>
                <w:rFonts w:ascii="Times New Roman" w:hAnsi="Times New Roman" w:eastAsia="宋体" w:cs="Times New Roman"/>
                <w:szCs w:val="21"/>
              </w:rPr>
              <w:t>1</w:t>
            </w:r>
            <w:r>
              <w:rPr>
                <w:rFonts w:hint="eastAsia" w:ascii="Times New Roman" w:hAnsi="Times New Roman" w:eastAsia="宋体" w:cs="Times New Roman"/>
                <w:szCs w:val="21"/>
              </w:rPr>
              <w:t>、8-</w:t>
            </w:r>
            <w:r>
              <w:rPr>
                <w:rFonts w:ascii="Times New Roman" w:hAnsi="Times New Roman" w:eastAsia="宋体" w:cs="Times New Roman"/>
                <w:szCs w:val="21"/>
              </w:rPr>
              <w:t>2</w:t>
            </w:r>
            <w:r>
              <w:rPr>
                <w:rFonts w:hint="eastAsia" w:ascii="Times New Roman" w:hAnsi="Times New Roman" w:eastAsia="宋体" w:cs="Times New Roman"/>
                <w:szCs w:val="21"/>
              </w:rPr>
              <w:t>、8-</w:t>
            </w:r>
            <w:r>
              <w:rPr>
                <w:rFonts w:ascii="Times New Roman" w:hAnsi="Times New Roman" w:eastAsia="宋体" w:cs="Times New Roman"/>
                <w:szCs w:val="21"/>
              </w:rPr>
              <w:t>2</w:t>
            </w:r>
          </w:p>
        </w:tc>
        <w:tc>
          <w:tcPr>
            <w:tcW w:w="992" w:type="dxa"/>
            <w:vAlign w:val="center"/>
          </w:tcPr>
          <w:p w14:paraId="461FD00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709" w:type="dxa"/>
            <w:vAlign w:val="center"/>
          </w:tcPr>
          <w:p w14:paraId="173133E6">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指导</w:t>
            </w:r>
          </w:p>
        </w:tc>
      </w:tr>
      <w:tr w14:paraId="5621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5" w:type="dxa"/>
            <w:vAlign w:val="center"/>
          </w:tcPr>
          <w:p w14:paraId="696A7094">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2690" w:type="dxa"/>
            <w:vAlign w:val="center"/>
          </w:tcPr>
          <w:p w14:paraId="495424E1">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撰写论文</w:t>
            </w:r>
          </w:p>
        </w:tc>
        <w:tc>
          <w:tcPr>
            <w:tcW w:w="1843" w:type="dxa"/>
            <w:vAlign w:val="center"/>
          </w:tcPr>
          <w:p w14:paraId="52122D3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1、2、3、5、6</w:t>
            </w:r>
          </w:p>
        </w:tc>
        <w:tc>
          <w:tcPr>
            <w:tcW w:w="1843" w:type="dxa"/>
            <w:vAlign w:val="center"/>
          </w:tcPr>
          <w:p w14:paraId="75AE44F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、3-</w:t>
            </w:r>
            <w:r>
              <w:rPr>
                <w:rFonts w:ascii="Times New Roman" w:hAnsi="Times New Roman" w:eastAsia="宋体" w:cs="Times New Roman"/>
                <w:szCs w:val="21"/>
              </w:rPr>
              <w:t>4</w:t>
            </w:r>
            <w:r>
              <w:rPr>
                <w:rFonts w:hint="eastAsia" w:ascii="Times New Roman" w:hAnsi="Times New Roman" w:eastAsia="宋体" w:cs="Times New Roman"/>
                <w:szCs w:val="21"/>
              </w:rPr>
              <w:t>、4-</w:t>
            </w:r>
            <w:r>
              <w:rPr>
                <w:rFonts w:ascii="Times New Roman" w:hAnsi="Times New Roman" w:eastAsia="宋体" w:cs="Times New Roman"/>
                <w:szCs w:val="21"/>
              </w:rPr>
              <w:t>4</w:t>
            </w:r>
            <w:r>
              <w:rPr>
                <w:rFonts w:hint="eastAsia" w:ascii="Times New Roman" w:hAnsi="Times New Roman" w:eastAsia="宋体" w:cs="Times New Roman"/>
                <w:szCs w:val="21"/>
              </w:rPr>
              <w:t>、7-1、7-3、</w:t>
            </w:r>
          </w:p>
        </w:tc>
        <w:tc>
          <w:tcPr>
            <w:tcW w:w="992" w:type="dxa"/>
            <w:vAlign w:val="center"/>
          </w:tcPr>
          <w:p w14:paraId="510F3C9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709" w:type="dxa"/>
            <w:vAlign w:val="center"/>
          </w:tcPr>
          <w:p w14:paraId="3B2CB73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指导</w:t>
            </w:r>
          </w:p>
        </w:tc>
      </w:tr>
      <w:tr w14:paraId="0707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05" w:type="dxa"/>
            <w:vAlign w:val="center"/>
          </w:tcPr>
          <w:p w14:paraId="1495BF70">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2690" w:type="dxa"/>
            <w:vAlign w:val="center"/>
          </w:tcPr>
          <w:p w14:paraId="5F810D94">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答辩</w:t>
            </w:r>
          </w:p>
        </w:tc>
        <w:tc>
          <w:tcPr>
            <w:tcW w:w="1843" w:type="dxa"/>
            <w:vAlign w:val="center"/>
          </w:tcPr>
          <w:p w14:paraId="47CDC87B">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1、2、6</w:t>
            </w:r>
          </w:p>
        </w:tc>
        <w:tc>
          <w:tcPr>
            <w:tcW w:w="1843" w:type="dxa"/>
            <w:vAlign w:val="center"/>
          </w:tcPr>
          <w:p w14:paraId="28D44D7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7-3、8-</w:t>
            </w:r>
            <w:r>
              <w:rPr>
                <w:rFonts w:ascii="Times New Roman" w:hAnsi="Times New Roman" w:eastAsia="宋体" w:cs="Times New Roman"/>
                <w:szCs w:val="21"/>
              </w:rPr>
              <w:t>2</w:t>
            </w:r>
            <w:r>
              <w:rPr>
                <w:rFonts w:hint="eastAsia" w:ascii="Times New Roman" w:hAnsi="Times New Roman" w:eastAsia="宋体" w:cs="Times New Roman"/>
                <w:szCs w:val="21"/>
              </w:rPr>
              <w:t>、8-</w:t>
            </w:r>
            <w:r>
              <w:rPr>
                <w:rFonts w:ascii="Times New Roman" w:hAnsi="Times New Roman" w:eastAsia="宋体" w:cs="Times New Roman"/>
                <w:szCs w:val="21"/>
              </w:rPr>
              <w:t>3</w:t>
            </w:r>
          </w:p>
        </w:tc>
        <w:tc>
          <w:tcPr>
            <w:tcW w:w="992" w:type="dxa"/>
            <w:vAlign w:val="center"/>
          </w:tcPr>
          <w:p w14:paraId="1712E9B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709" w:type="dxa"/>
            <w:vAlign w:val="center"/>
          </w:tcPr>
          <w:p w14:paraId="237275D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指导</w:t>
            </w:r>
          </w:p>
        </w:tc>
      </w:tr>
      <w:tr w14:paraId="5C37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081" w:type="dxa"/>
            <w:gridSpan w:val="4"/>
            <w:vAlign w:val="center"/>
          </w:tcPr>
          <w:p w14:paraId="11CC49A7">
            <w:pPr>
              <w:spacing w:line="276" w:lineRule="auto"/>
              <w:jc w:val="center"/>
              <w:rPr>
                <w:rFonts w:ascii="Times New Roman" w:hAnsi="Times New Roman" w:eastAsia="宋体" w:cs="Times New Roman"/>
                <w:szCs w:val="21"/>
              </w:rPr>
            </w:pPr>
            <w:r>
              <w:rPr>
                <w:rFonts w:ascii="Times New Roman" w:hAnsi="Times New Roman" w:eastAsia="宋体" w:cs="Times New Roman"/>
                <w:bCs/>
                <w:szCs w:val="21"/>
              </w:rPr>
              <w:t>合    计</w:t>
            </w:r>
          </w:p>
        </w:tc>
        <w:tc>
          <w:tcPr>
            <w:tcW w:w="992" w:type="dxa"/>
            <w:vAlign w:val="center"/>
          </w:tcPr>
          <w:p w14:paraId="42A74E3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709" w:type="dxa"/>
            <w:vAlign w:val="center"/>
          </w:tcPr>
          <w:p w14:paraId="19FD1114">
            <w:pPr>
              <w:spacing w:line="276" w:lineRule="auto"/>
              <w:jc w:val="center"/>
              <w:rPr>
                <w:rFonts w:ascii="Times New Roman" w:hAnsi="Times New Roman" w:eastAsia="宋体" w:cs="Times New Roman"/>
                <w:szCs w:val="21"/>
              </w:rPr>
            </w:pPr>
          </w:p>
        </w:tc>
      </w:tr>
    </w:tbl>
    <w:p w14:paraId="447347D2">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四、课程实施</w:t>
      </w:r>
    </w:p>
    <w:p w14:paraId="4742D29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（一）每人一个选题，要求学生根据选题，独立完成毕业论文的撰写，不允许有雷同，有一定的创新、深度、工作量。</w:t>
      </w:r>
      <w:r>
        <w:rPr>
          <w:rFonts w:ascii="Times New Roman" w:hAnsi="Times New Roman" w:eastAsia="宋体" w:cs="Times New Roman"/>
          <w:sz w:val="24"/>
          <w:szCs w:val="24"/>
        </w:rPr>
        <w:t> </w:t>
      </w:r>
    </w:p>
    <w:p w14:paraId="0EF5223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（二）毕业论文的撰写要紧密结合小学教育实际进行，要围绕具体问题进行阐述，切忌言之无物。</w:t>
      </w:r>
    </w:p>
    <w:p w14:paraId="3D3416A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（三）学生在毕业论文过程中可相互讨论，但要求各自独立完成并撰写论文。论文不少于</w:t>
      </w:r>
      <w:r>
        <w:rPr>
          <w:rFonts w:hint="eastAsia" w:ascii="Times New Roman" w:hAnsi="Times New Roman" w:eastAsia="宋体" w:cs="Times New Roman"/>
          <w:sz w:val="24"/>
          <w:szCs w:val="24"/>
          <w:lang w:val="en-US" w:eastAsia="zh-CN"/>
        </w:rPr>
        <w:t>12000</w:t>
      </w:r>
      <w:r>
        <w:rPr>
          <w:rFonts w:hint="eastAsia" w:ascii="Times New Roman" w:hAnsi="Times New Roman" w:eastAsia="宋体" w:cs="Times New Roman"/>
          <w:sz w:val="24"/>
          <w:szCs w:val="24"/>
        </w:rPr>
        <w:t>字，要求层次分明，逻辑清楚，文字简练，语言通畅，其中的图表要清晰整洁，符合规定要求。</w:t>
      </w:r>
    </w:p>
    <w:p w14:paraId="67858D1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（四）具体安排时可不拘泥于“学时安排”中的学时分配，毕业论文写作动员、学生选题等环节可适当提前，但一定要有计划性，以保证毕业论文工作的顺利完成。</w:t>
      </w:r>
    </w:p>
    <w:p w14:paraId="3D8A8B5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主要教学环节质量要求如表所示。</w:t>
      </w:r>
    </w:p>
    <w:tbl>
      <w:tblPr>
        <w:tblStyle w:val="30"/>
        <w:tblW w:w="92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418"/>
        <w:gridCol w:w="6939"/>
      </w:tblGrid>
      <w:tr w14:paraId="387DB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atLeast"/>
          <w:jc w:val="center"/>
        </w:trPr>
        <w:tc>
          <w:tcPr>
            <w:tcW w:w="2280" w:type="dxa"/>
            <w:gridSpan w:val="2"/>
            <w:vAlign w:val="center"/>
          </w:tcPr>
          <w:p w14:paraId="3A1FF6C7">
            <w:pPr>
              <w:snapToGrid w:val="0"/>
              <w:spacing w:line="276" w:lineRule="auto"/>
              <w:jc w:val="center"/>
              <w:rPr>
                <w:rFonts w:ascii="Times New Roman" w:hAnsi="Times New Roman" w:eastAsia="宋体" w:cs="Times New Roman"/>
                <w:bCs/>
              </w:rPr>
            </w:pPr>
            <w:r>
              <w:rPr>
                <w:rFonts w:ascii="Times New Roman" w:hAnsi="Times New Roman" w:eastAsia="宋体" w:cs="Times New Roman"/>
                <w:bCs/>
              </w:rPr>
              <w:t>主要</w:t>
            </w:r>
            <w:r>
              <w:rPr>
                <w:rFonts w:hint="eastAsia" w:ascii="Times New Roman" w:hAnsi="Times New Roman" w:eastAsia="宋体" w:cs="Times New Roman"/>
                <w:bCs/>
              </w:rPr>
              <w:t>教学</w:t>
            </w:r>
            <w:r>
              <w:rPr>
                <w:rFonts w:ascii="Times New Roman" w:hAnsi="Times New Roman" w:eastAsia="宋体" w:cs="Times New Roman"/>
                <w:bCs/>
              </w:rPr>
              <w:t>环节</w:t>
            </w:r>
          </w:p>
        </w:tc>
        <w:tc>
          <w:tcPr>
            <w:tcW w:w="6939" w:type="dxa"/>
            <w:vAlign w:val="center"/>
          </w:tcPr>
          <w:p w14:paraId="09AE42FA">
            <w:pPr>
              <w:snapToGrid w:val="0"/>
              <w:spacing w:line="276" w:lineRule="auto"/>
              <w:jc w:val="center"/>
              <w:rPr>
                <w:rFonts w:ascii="Times New Roman" w:hAnsi="Times New Roman" w:eastAsia="宋体" w:cs="Times New Roman"/>
                <w:bCs/>
              </w:rPr>
            </w:pPr>
            <w:r>
              <w:rPr>
                <w:rFonts w:ascii="Times New Roman" w:hAnsi="Times New Roman" w:eastAsia="宋体" w:cs="Times New Roman"/>
                <w:bCs/>
              </w:rPr>
              <w:t>质量要求</w:t>
            </w:r>
          </w:p>
        </w:tc>
      </w:tr>
      <w:tr w14:paraId="67C7C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62" w:type="dxa"/>
            <w:vMerge w:val="restart"/>
            <w:vAlign w:val="center"/>
          </w:tcPr>
          <w:p w14:paraId="3364294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选题</w:t>
            </w:r>
          </w:p>
          <w:p w14:paraId="1FF2CD8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开题</w:t>
            </w:r>
          </w:p>
        </w:tc>
        <w:tc>
          <w:tcPr>
            <w:tcW w:w="1418" w:type="dxa"/>
            <w:vAlign w:val="center"/>
          </w:tcPr>
          <w:p w14:paraId="1293F977">
            <w:pPr>
              <w:spacing w:line="276" w:lineRule="auto"/>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选题</w:t>
            </w:r>
          </w:p>
        </w:tc>
        <w:tc>
          <w:tcPr>
            <w:tcW w:w="6939" w:type="dxa"/>
            <w:vAlign w:val="center"/>
          </w:tcPr>
          <w:p w14:paraId="619FF11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选题要紧密结合小学教育实际进行，有一定的创新性、深度和工作量</w:t>
            </w:r>
            <w:r>
              <w:rPr>
                <w:rFonts w:ascii="Times New Roman" w:hAnsi="Times New Roman" w:eastAsia="宋体" w:cs="Times New Roman"/>
                <w:szCs w:val="21"/>
              </w:rPr>
              <w:t>。</w:t>
            </w:r>
          </w:p>
        </w:tc>
      </w:tr>
      <w:tr w14:paraId="27624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62" w:type="dxa"/>
            <w:vMerge w:val="continue"/>
            <w:vAlign w:val="center"/>
          </w:tcPr>
          <w:p w14:paraId="041959AA">
            <w:pPr>
              <w:spacing w:line="276" w:lineRule="auto"/>
              <w:jc w:val="center"/>
              <w:rPr>
                <w:rFonts w:ascii="Times New Roman" w:hAnsi="Times New Roman" w:eastAsia="宋体" w:cs="Times New Roman"/>
                <w:szCs w:val="21"/>
              </w:rPr>
            </w:pPr>
          </w:p>
        </w:tc>
        <w:tc>
          <w:tcPr>
            <w:tcW w:w="1418" w:type="dxa"/>
            <w:vAlign w:val="center"/>
          </w:tcPr>
          <w:p w14:paraId="1D55E6FE">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2.指导老师</w:t>
            </w:r>
          </w:p>
        </w:tc>
        <w:tc>
          <w:tcPr>
            <w:tcW w:w="6939" w:type="dxa"/>
            <w:vAlign w:val="center"/>
          </w:tcPr>
          <w:p w14:paraId="615F5318">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，能为学生的选题提出建设性意见。选题确定后，向学生介绍论文题目的意义和要求，帮助学生了解问题的研究现状和必读的参考资料，指导学生写出开题报告。指导学生拟定论文写作计划和写作提纲。</w:t>
            </w:r>
          </w:p>
        </w:tc>
      </w:tr>
      <w:tr w14:paraId="3A024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62" w:type="dxa"/>
            <w:vMerge w:val="continue"/>
            <w:vAlign w:val="center"/>
          </w:tcPr>
          <w:p w14:paraId="5D5ECFDF">
            <w:pPr>
              <w:spacing w:line="276" w:lineRule="auto"/>
              <w:jc w:val="center"/>
              <w:rPr>
                <w:rFonts w:ascii="Times New Roman" w:hAnsi="Times New Roman" w:eastAsia="宋体" w:cs="Times New Roman"/>
                <w:szCs w:val="21"/>
              </w:rPr>
            </w:pPr>
          </w:p>
        </w:tc>
        <w:tc>
          <w:tcPr>
            <w:tcW w:w="1418" w:type="dxa"/>
            <w:vAlign w:val="center"/>
          </w:tcPr>
          <w:p w14:paraId="5C1312E2">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开题</w:t>
            </w:r>
          </w:p>
          <w:p w14:paraId="41B082AF">
            <w:pPr>
              <w:snapToGrid w:val="0"/>
              <w:spacing w:line="276" w:lineRule="auto"/>
              <w:rPr>
                <w:rFonts w:ascii="Times New Roman" w:hAnsi="Times New Roman" w:eastAsia="宋体" w:cs="Times New Roman"/>
                <w:szCs w:val="21"/>
              </w:rPr>
            </w:pPr>
            <w:r>
              <w:rPr>
                <w:rFonts w:hint="eastAsia" w:ascii="Times New Roman" w:hAnsi="Times New Roman" w:eastAsia="宋体" w:cs="Times New Roman"/>
                <w:szCs w:val="21"/>
              </w:rPr>
              <w:t>答辩教师</w:t>
            </w:r>
          </w:p>
        </w:tc>
        <w:tc>
          <w:tcPr>
            <w:tcW w:w="6939" w:type="dxa"/>
            <w:vAlign w:val="center"/>
          </w:tcPr>
          <w:p w14:paraId="6BA13AE0">
            <w:pPr>
              <w:snapToGrid w:val="0"/>
              <w:spacing w:line="276" w:lineRule="auto"/>
              <w:rPr>
                <w:rFonts w:ascii="Times New Roman" w:hAnsi="Times New Roman" w:eastAsia="宋体" w:cs="Times New Roman"/>
                <w:szCs w:val="21"/>
              </w:rPr>
            </w:pPr>
            <w:r>
              <w:rPr>
                <w:rFonts w:hint="eastAsia" w:ascii="Times New Roman" w:hAnsi="Times New Roman" w:eastAsia="宋体" w:cs="Times New Roman"/>
                <w:szCs w:val="21"/>
              </w:rPr>
              <w:t>根据学生的陈述和开题报告，找出学生存在的问题，给出建设性意见和建议。</w:t>
            </w:r>
          </w:p>
        </w:tc>
      </w:tr>
      <w:tr w14:paraId="01D81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restart"/>
            <w:vAlign w:val="center"/>
          </w:tcPr>
          <w:p w14:paraId="68AFD1D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论文</w:t>
            </w:r>
          </w:p>
          <w:p w14:paraId="10E696F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撰写</w:t>
            </w:r>
          </w:p>
        </w:tc>
        <w:tc>
          <w:tcPr>
            <w:tcW w:w="1418" w:type="dxa"/>
            <w:vAlign w:val="center"/>
          </w:tcPr>
          <w:p w14:paraId="1BD6671E">
            <w:pPr>
              <w:spacing w:line="276" w:lineRule="auto"/>
              <w:rPr>
                <w:rFonts w:ascii="Times New Roman" w:hAnsi="Times New Roman" w:eastAsia="宋体" w:cs="Times New Roman"/>
                <w:szCs w:val="21"/>
              </w:rPr>
            </w:pPr>
            <w:r>
              <w:rPr>
                <w:rFonts w:ascii="Times New Roman" w:hAnsi="Times New Roman" w:eastAsia="宋体" w:cs="Times New Roman"/>
                <w:szCs w:val="21"/>
              </w:rPr>
              <w:t>1.计划执行</w:t>
            </w:r>
          </w:p>
        </w:tc>
        <w:tc>
          <w:tcPr>
            <w:tcW w:w="6939" w:type="dxa"/>
            <w:vAlign w:val="center"/>
          </w:tcPr>
          <w:p w14:paraId="2F9E351B">
            <w:pPr>
              <w:spacing w:line="276" w:lineRule="auto"/>
              <w:rPr>
                <w:rFonts w:ascii="Times New Roman" w:hAnsi="Times New Roman" w:eastAsia="宋体" w:cs="Times New Roman"/>
                <w:szCs w:val="21"/>
              </w:rPr>
            </w:pPr>
            <w:r>
              <w:rPr>
                <w:rFonts w:hint="eastAsia" w:ascii="Times New Roman" w:hAnsi="Times New Roman" w:eastAsia="宋体" w:cs="Times New Roman"/>
                <w:szCs w:val="21"/>
              </w:rPr>
              <w:t>论文写作</w:t>
            </w:r>
            <w:r>
              <w:rPr>
                <w:rFonts w:ascii="Times New Roman" w:hAnsi="Times New Roman" w:eastAsia="宋体" w:cs="Times New Roman"/>
                <w:szCs w:val="21"/>
              </w:rPr>
              <w:t>进度及</w:t>
            </w:r>
            <w:r>
              <w:rPr>
                <w:rFonts w:hint="eastAsia" w:ascii="Times New Roman" w:hAnsi="Times New Roman" w:eastAsia="宋体" w:cs="Times New Roman"/>
                <w:szCs w:val="21"/>
              </w:rPr>
              <w:t>完成</w:t>
            </w:r>
            <w:r>
              <w:rPr>
                <w:rFonts w:ascii="Times New Roman" w:hAnsi="Times New Roman" w:eastAsia="宋体" w:cs="Times New Roman"/>
                <w:szCs w:val="21"/>
              </w:rPr>
              <w:t xml:space="preserve">质量等符合教学大纲的要求。 </w:t>
            </w:r>
          </w:p>
        </w:tc>
      </w:tr>
      <w:tr w14:paraId="49A59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2A5464B2">
            <w:pPr>
              <w:spacing w:line="276" w:lineRule="auto"/>
              <w:jc w:val="center"/>
              <w:rPr>
                <w:rFonts w:ascii="Times New Roman" w:hAnsi="Times New Roman" w:eastAsia="宋体" w:cs="Times New Roman"/>
                <w:szCs w:val="21"/>
              </w:rPr>
            </w:pPr>
          </w:p>
        </w:tc>
        <w:tc>
          <w:tcPr>
            <w:tcW w:w="1418" w:type="dxa"/>
            <w:vAlign w:val="center"/>
          </w:tcPr>
          <w:p w14:paraId="39B25868">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6939" w:type="dxa"/>
            <w:vAlign w:val="center"/>
          </w:tcPr>
          <w:p w14:paraId="67D246C7">
            <w:pPr>
              <w:snapToGrid w:val="0"/>
              <w:spacing w:line="276" w:lineRule="auto"/>
              <w:rPr>
                <w:rFonts w:ascii="Times New Roman" w:hAnsi="Times New Roman" w:eastAsia="宋体" w:cs="Times New Roman"/>
                <w:szCs w:val="21"/>
              </w:rPr>
            </w:pPr>
            <w:r>
              <w:rPr>
                <w:rFonts w:hint="eastAsia" w:ascii="Times New Roman" w:hAnsi="Times New Roman" w:eastAsia="宋体" w:cs="Times New Roman"/>
                <w:szCs w:val="21"/>
              </w:rPr>
              <w:t>指导教师</w:t>
            </w:r>
            <w:r>
              <w:rPr>
                <w:rFonts w:ascii="Times New Roman" w:hAnsi="Times New Roman" w:eastAsia="宋体" w:cs="Times New Roman"/>
                <w:szCs w:val="21"/>
              </w:rPr>
              <w:t>按要求对每个学生予以指导，并做好相关记录。</w:t>
            </w:r>
          </w:p>
        </w:tc>
      </w:tr>
      <w:tr w14:paraId="5862D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62" w:type="dxa"/>
            <w:vMerge w:val="continue"/>
            <w:vAlign w:val="center"/>
          </w:tcPr>
          <w:p w14:paraId="54F041DB">
            <w:pPr>
              <w:spacing w:line="276" w:lineRule="auto"/>
              <w:jc w:val="center"/>
              <w:rPr>
                <w:rFonts w:ascii="Times New Roman" w:hAnsi="Times New Roman" w:eastAsia="宋体" w:cs="Times New Roman"/>
                <w:szCs w:val="21"/>
              </w:rPr>
            </w:pPr>
          </w:p>
        </w:tc>
        <w:tc>
          <w:tcPr>
            <w:tcW w:w="1418" w:type="dxa"/>
            <w:vAlign w:val="center"/>
          </w:tcPr>
          <w:p w14:paraId="303FAC10">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3.学生管理</w:t>
            </w:r>
          </w:p>
        </w:tc>
        <w:tc>
          <w:tcPr>
            <w:tcW w:w="6939" w:type="dxa"/>
            <w:vAlign w:val="center"/>
          </w:tcPr>
          <w:p w14:paraId="25B5E341">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严格</w:t>
            </w:r>
            <w:r>
              <w:rPr>
                <w:rFonts w:hint="eastAsia" w:ascii="Times New Roman" w:hAnsi="Times New Roman" w:eastAsia="宋体" w:cs="Times New Roman"/>
                <w:szCs w:val="21"/>
              </w:rPr>
              <w:t>按照周进展</w:t>
            </w:r>
            <w:r>
              <w:rPr>
                <w:rFonts w:ascii="Times New Roman" w:hAnsi="Times New Roman" w:eastAsia="宋体" w:cs="Times New Roman"/>
                <w:szCs w:val="21"/>
              </w:rPr>
              <w:t>，认真记录</w:t>
            </w:r>
            <w:r>
              <w:rPr>
                <w:rFonts w:hint="eastAsia" w:ascii="Times New Roman" w:hAnsi="Times New Roman" w:eastAsia="宋体" w:cs="Times New Roman"/>
                <w:szCs w:val="21"/>
              </w:rPr>
              <w:t>学生论文进展</w:t>
            </w:r>
            <w:r>
              <w:rPr>
                <w:rFonts w:ascii="Times New Roman" w:hAnsi="Times New Roman" w:eastAsia="宋体" w:cs="Times New Roman"/>
                <w:szCs w:val="21"/>
              </w:rPr>
              <w:t>情况</w:t>
            </w:r>
            <w:r>
              <w:rPr>
                <w:rFonts w:hint="eastAsia" w:ascii="Times New Roman" w:hAnsi="Times New Roman" w:eastAsia="宋体" w:cs="Times New Roman"/>
                <w:szCs w:val="21"/>
              </w:rPr>
              <w:t>，及时指出学生完成毕业论文过程中存在的问题，提出有针对性的具体指导意见。</w:t>
            </w:r>
          </w:p>
        </w:tc>
      </w:tr>
      <w:tr w14:paraId="51812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20993CA0">
            <w:pPr>
              <w:spacing w:line="276" w:lineRule="auto"/>
              <w:jc w:val="center"/>
              <w:rPr>
                <w:rFonts w:ascii="Times New Roman" w:hAnsi="Times New Roman" w:eastAsia="宋体" w:cs="Times New Roman"/>
                <w:szCs w:val="21"/>
              </w:rPr>
            </w:pPr>
          </w:p>
        </w:tc>
        <w:tc>
          <w:tcPr>
            <w:tcW w:w="1418" w:type="dxa"/>
            <w:vAlign w:val="center"/>
          </w:tcPr>
          <w:p w14:paraId="39EF2A4B">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中期</w:t>
            </w:r>
            <w:r>
              <w:rPr>
                <w:rFonts w:ascii="Times New Roman" w:hAnsi="Times New Roman" w:eastAsia="宋体" w:cs="Times New Roman"/>
                <w:szCs w:val="21"/>
              </w:rPr>
              <w:t>检查</w:t>
            </w:r>
          </w:p>
        </w:tc>
        <w:tc>
          <w:tcPr>
            <w:tcW w:w="6939" w:type="dxa"/>
            <w:vAlign w:val="center"/>
          </w:tcPr>
          <w:p w14:paraId="36840155">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有计划地开展督导检查，并及时反馈检查情况。</w:t>
            </w:r>
          </w:p>
        </w:tc>
      </w:tr>
      <w:tr w14:paraId="092F8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restart"/>
            <w:vAlign w:val="center"/>
          </w:tcPr>
          <w:p w14:paraId="79AF18E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答辩</w:t>
            </w:r>
          </w:p>
        </w:tc>
        <w:tc>
          <w:tcPr>
            <w:tcW w:w="1418" w:type="dxa"/>
            <w:vAlign w:val="center"/>
          </w:tcPr>
          <w:p w14:paraId="0A3F5748">
            <w:pPr>
              <w:spacing w:line="276" w:lineRule="auto"/>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毕业论文</w:t>
            </w:r>
          </w:p>
        </w:tc>
        <w:tc>
          <w:tcPr>
            <w:tcW w:w="6939" w:type="dxa"/>
            <w:vAlign w:val="center"/>
          </w:tcPr>
          <w:p w14:paraId="1E5FD5CF">
            <w:pPr>
              <w:spacing w:line="276" w:lineRule="auto"/>
              <w:rPr>
                <w:rFonts w:ascii="Times New Roman" w:hAnsi="Times New Roman" w:eastAsia="宋体" w:cs="Times New Roman"/>
                <w:szCs w:val="21"/>
              </w:rPr>
            </w:pPr>
            <w:r>
              <w:rPr>
                <w:rFonts w:ascii="Times New Roman" w:hAnsi="Times New Roman" w:eastAsia="宋体" w:cs="Times New Roman"/>
                <w:szCs w:val="21"/>
              </w:rPr>
              <w:t>及时按要求提交</w:t>
            </w:r>
            <w:r>
              <w:rPr>
                <w:rFonts w:hint="eastAsia" w:ascii="Times New Roman" w:hAnsi="Times New Roman" w:eastAsia="宋体" w:cs="Times New Roman"/>
                <w:szCs w:val="21"/>
              </w:rPr>
              <w:t>毕业论文</w:t>
            </w:r>
            <w:r>
              <w:rPr>
                <w:rFonts w:ascii="Times New Roman" w:hAnsi="Times New Roman" w:eastAsia="宋体" w:cs="Times New Roman"/>
                <w:szCs w:val="21"/>
              </w:rPr>
              <w:t>。</w:t>
            </w:r>
          </w:p>
        </w:tc>
      </w:tr>
      <w:tr w14:paraId="5D965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862" w:type="dxa"/>
            <w:vMerge w:val="continue"/>
            <w:vAlign w:val="center"/>
          </w:tcPr>
          <w:p w14:paraId="72266E40">
            <w:pPr>
              <w:spacing w:line="276" w:lineRule="auto"/>
              <w:rPr>
                <w:rFonts w:ascii="Times New Roman" w:hAnsi="Times New Roman" w:eastAsia="宋体" w:cs="Times New Roman"/>
                <w:szCs w:val="21"/>
              </w:rPr>
            </w:pPr>
          </w:p>
        </w:tc>
        <w:tc>
          <w:tcPr>
            <w:tcW w:w="1418" w:type="dxa"/>
            <w:vAlign w:val="center"/>
          </w:tcPr>
          <w:p w14:paraId="44E0D98B">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6939" w:type="dxa"/>
            <w:vAlign w:val="center"/>
          </w:tcPr>
          <w:p w14:paraId="7EF80E76">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的毕业论文</w:t>
            </w:r>
            <w:r>
              <w:rPr>
                <w:rFonts w:ascii="Times New Roman" w:hAnsi="Times New Roman" w:eastAsia="宋体" w:cs="Times New Roman"/>
                <w:szCs w:val="21"/>
              </w:rPr>
              <w:t>进行合理评价，并按照学校有关规定登记成绩。</w:t>
            </w:r>
          </w:p>
        </w:tc>
      </w:tr>
      <w:tr w14:paraId="27F8A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2" w:type="dxa"/>
            <w:vMerge w:val="continue"/>
            <w:vAlign w:val="center"/>
          </w:tcPr>
          <w:p w14:paraId="4A0C1CE7">
            <w:pPr>
              <w:spacing w:line="276" w:lineRule="auto"/>
              <w:rPr>
                <w:rFonts w:ascii="Times New Roman" w:hAnsi="Times New Roman" w:eastAsia="宋体" w:cs="Times New Roman"/>
                <w:szCs w:val="21"/>
              </w:rPr>
            </w:pPr>
          </w:p>
        </w:tc>
        <w:tc>
          <w:tcPr>
            <w:tcW w:w="1418" w:type="dxa"/>
            <w:vAlign w:val="center"/>
          </w:tcPr>
          <w:p w14:paraId="2F6B01E2">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3.总结归档</w:t>
            </w:r>
          </w:p>
        </w:tc>
        <w:tc>
          <w:tcPr>
            <w:tcW w:w="6939" w:type="dxa"/>
            <w:vAlign w:val="center"/>
          </w:tcPr>
          <w:p w14:paraId="1B3F627B">
            <w:pPr>
              <w:snapToGrid w:val="0"/>
              <w:spacing w:line="276" w:lineRule="auto"/>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r>
              <w:rPr>
                <w:rFonts w:hint="eastAsia" w:ascii="Times New Roman" w:hAnsi="Times New Roman" w:eastAsia="宋体" w:cs="Times New Roman"/>
                <w:szCs w:val="21"/>
              </w:rPr>
              <w:t>和推优工作。</w:t>
            </w:r>
          </w:p>
        </w:tc>
      </w:tr>
    </w:tbl>
    <w:p w14:paraId="09D7C0CA">
      <w:pPr>
        <w:spacing w:line="348"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五、成绩评定</w:t>
      </w:r>
    </w:p>
    <w:p w14:paraId="15A15F4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（一）各级评分须采用百分制，对应的分数写在毕业论文成绩登记表中。</w:t>
      </w:r>
    </w:p>
    <w:p w14:paraId="33EDAB0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（二）毕业论文的成绩评定既要看学生基本理论、基本技能的掌握程度，又要考查学生分析和解决实际问题的能力、论文成果的完成质量与总体水平，还要参考学生答辩时的陈述表达能力及回答问题的正确性等。</w:t>
      </w:r>
    </w:p>
    <w:p w14:paraId="7E430D3F">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（三）毕业设计（论文）的成绩评定必须坚持标准，实事求是，客观公正。</w:t>
      </w:r>
    </w:p>
    <w:p w14:paraId="657D30DF">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（四）学生答辩结束后，由答辩小组按比例要求将指导教师评分、评阅教师评分和答辩评分进行汇总并转化成五级制。</w:t>
      </w:r>
    </w:p>
    <w:p w14:paraId="4264458D">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五级等第制和成绩评定标准如下：</w:t>
      </w:r>
    </w:p>
    <w:p w14:paraId="7DC57B45">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优秀（100-90）</w:t>
      </w:r>
    </w:p>
    <w:p w14:paraId="07C9874C">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①选题质量较高，能圆满完成任务书规定的任务，能灵活应用所学的知识和技能，</w:t>
      </w:r>
    </w:p>
    <w:p w14:paraId="5CA0EB31">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解决毕业论文中遇到的实际问题，有自己的独到见解，毕业论文成果具有一定的现实意义和应用价值；具有较强的独立工作能力；态度认真，作风严谨。</w:t>
      </w:r>
    </w:p>
    <w:p w14:paraId="3B8FB13F">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②能在毕业论文课题的范围内较全面地查阅国内外的有关文献，资料翔实。</w:t>
      </w:r>
    </w:p>
    <w:p w14:paraId="52F0E89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③毕业论文的内容完整，数据正确，概念清楚，文理通顺，判断恰当，图表规范、字迹清晰。图纸齐全、整洁，方案合理，视图、线条尺寸标注正确，符合标准。</w:t>
      </w:r>
    </w:p>
    <w:p w14:paraId="4FED4D3A">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④论文内容丰富，论点正确，论据充分，结构严谨，文字简洁流畅。</w:t>
      </w:r>
    </w:p>
    <w:p w14:paraId="7348DA10">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良好（89-80）</w:t>
      </w:r>
    </w:p>
    <w:p w14:paraId="352B0D6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①能较好地完成任务书规定的任务，能正确运用所学的知识和技能解决毕业论文中遇到的实际问题，具有较好的独立工作能力，态度认真，作风严谨。</w:t>
      </w:r>
    </w:p>
    <w:p w14:paraId="7B1DB0E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②能在毕业论文课题的范围内认真地查阅国内外的有关文献，运用得当。</w:t>
      </w:r>
    </w:p>
    <w:p w14:paraId="174F1B48">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③毕业论文内容完整，数据正确，概念清楚，字迹、图表清晰、整洁，图纸齐全、较整洁，方案合理，视图、线条尺寸标注正确，符合标准。</w:t>
      </w:r>
    </w:p>
    <w:p w14:paraId="5DAADC2E">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④论文内容丰富，论点正确，论据较充分，结构较严谨，文字简洁流畅。</w:t>
      </w:r>
    </w:p>
    <w:p w14:paraId="1F035443">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中等（79-70）</w:t>
      </w:r>
    </w:p>
    <w:p w14:paraId="2A95F8CB">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①能按期完成任务书规定的任务，能运用所学的知识和技能解决毕业论文中遇到的实际问题，有一定的工作能力，表现较好。</w:t>
      </w:r>
    </w:p>
    <w:p w14:paraId="4F835B66">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②能查阅与毕业论文有关的文献资料，并运用得当。</w:t>
      </w:r>
    </w:p>
    <w:p w14:paraId="728FFB15">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③毕业论文内容完整，数据基本正确，概念较清楚，图表齐全、较整洁，方案比较合理，视图、线条尺寸标注基本正确，符合标准。</w:t>
      </w:r>
    </w:p>
    <w:p w14:paraId="0C3789F7">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④论文内容完整，论点较正确，论据较充分，结构较严谨，文字简洁流畅。</w:t>
      </w:r>
    </w:p>
    <w:p w14:paraId="0A92EB0D">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及格（69-60）</w:t>
      </w:r>
    </w:p>
    <w:p w14:paraId="0AB971CB">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①基本完成任务书规定的任务，基本上能运用所学的知识和技能解决毕业论文中遇到的一些实际问题，工作能力一般，工作尚认真。</w:t>
      </w:r>
    </w:p>
    <w:p w14:paraId="60E34723">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②能查阅毕业论文必要的文献资料，运用无重大差错。</w:t>
      </w:r>
    </w:p>
    <w:p w14:paraId="4386A99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③毕业论文的内容完整，数据无重大错误，图表齐全，但不整洁，方案基本合理，但有个别错误，视图、线条尺寸标注基本正确，但有某些错误，基本符合标准。</w:t>
      </w:r>
    </w:p>
    <w:p w14:paraId="08D9F88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④论文内容完整，论点基本正确，有论据，文字较流畅。</w:t>
      </w:r>
    </w:p>
    <w:p w14:paraId="5328D1BD">
      <w:pPr>
        <w:spacing w:line="348" w:lineRule="auto"/>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不及格（60 分以下）</w:t>
      </w:r>
    </w:p>
    <w:p w14:paraId="3379CD94">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①未能完成毕业设计任务书规定的任务，毕业论文中有原则性错误，工作态度不认真。</w:t>
      </w:r>
    </w:p>
    <w:p w14:paraId="1AE418C0">
      <w:pPr>
        <w:spacing w:line="348"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②图表不齐全，论文不完整，有重大原则性错误。</w:t>
      </w:r>
    </w:p>
    <w:p w14:paraId="7C5E27B5">
      <w:pPr>
        <w:spacing w:line="348"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sz w:val="24"/>
          <w:szCs w:val="24"/>
        </w:rPr>
        <w:t>（三）毕业论文总成绩</w:t>
      </w:r>
      <w:r>
        <w:rPr>
          <w:rFonts w:hint="eastAsia" w:ascii="Times New Roman" w:hAnsi="Times New Roman" w:eastAsia="宋体" w:cs="Times New Roman"/>
          <w:sz w:val="24"/>
          <w:szCs w:val="24"/>
        </w:rPr>
        <w:t>=指导老师建议评定成绩占</w:t>
      </w:r>
      <w:r>
        <w:rPr>
          <w:rFonts w:ascii="Times New Roman" w:hAnsi="Times New Roman" w:eastAsia="宋体" w:cs="Times New Roman"/>
          <w:sz w:val="24"/>
          <w:szCs w:val="24"/>
        </w:rPr>
        <w:t>×</w:t>
      </w:r>
      <w:r>
        <w:rPr>
          <w:rFonts w:hint="eastAsia" w:ascii="Times New Roman" w:hAnsi="Times New Roman" w:eastAsia="宋体" w:cs="Times New Roman"/>
          <w:sz w:val="24"/>
          <w:szCs w:val="24"/>
        </w:rPr>
        <w:t>30%+评阅教师评阅成绩</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20%+答辩小组评定成绩</w:t>
      </w:r>
      <w:r>
        <w:rPr>
          <w:rFonts w:ascii="Times New Roman" w:hAnsi="Times New Roman" w:eastAsia="宋体" w:cs="Times New Roman"/>
          <w:sz w:val="24"/>
          <w:szCs w:val="24"/>
        </w:rPr>
        <w:t>×</w:t>
      </w:r>
      <w:r>
        <w:rPr>
          <w:rFonts w:hint="eastAsia" w:ascii="Times New Roman" w:hAnsi="Times New Roman" w:eastAsia="宋体" w:cs="Times New Roman"/>
          <w:sz w:val="24"/>
          <w:szCs w:val="24"/>
        </w:rPr>
        <w:t>50%。</w:t>
      </w:r>
    </w:p>
    <w:p w14:paraId="64A2E41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具体内容和比例如表所示。</w:t>
      </w:r>
    </w:p>
    <w:tbl>
      <w:tblPr>
        <w:tblStyle w:val="30"/>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3158"/>
        <w:gridCol w:w="731"/>
        <w:gridCol w:w="1754"/>
        <w:gridCol w:w="1607"/>
      </w:tblGrid>
      <w:tr w14:paraId="6618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076" w:type="dxa"/>
            <w:shd w:val="clear" w:color="auto" w:fill="FFFFFF"/>
            <w:tcMar>
              <w:left w:w="57" w:type="dxa"/>
              <w:right w:w="57" w:type="dxa"/>
            </w:tcMar>
            <w:vAlign w:val="center"/>
          </w:tcPr>
          <w:p w14:paraId="49E090E2">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szCs w:val="24"/>
              </w:rPr>
              <w:t>成绩组成</w:t>
            </w:r>
          </w:p>
        </w:tc>
        <w:tc>
          <w:tcPr>
            <w:tcW w:w="3158" w:type="dxa"/>
            <w:shd w:val="clear" w:color="auto" w:fill="FFFFFF"/>
            <w:vAlign w:val="center"/>
          </w:tcPr>
          <w:p w14:paraId="1696E603">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szCs w:val="24"/>
              </w:rPr>
              <w:t>考核/评价环节</w:t>
            </w:r>
          </w:p>
        </w:tc>
        <w:tc>
          <w:tcPr>
            <w:tcW w:w="731" w:type="dxa"/>
            <w:shd w:val="clear" w:color="auto" w:fill="FFFFFF"/>
            <w:vAlign w:val="center"/>
          </w:tcPr>
          <w:p w14:paraId="56C1E4C4">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权重</w:t>
            </w:r>
          </w:p>
        </w:tc>
        <w:tc>
          <w:tcPr>
            <w:tcW w:w="1754" w:type="dxa"/>
            <w:shd w:val="clear" w:color="auto" w:fill="FFFFFF"/>
            <w:vAlign w:val="center"/>
          </w:tcPr>
          <w:p w14:paraId="6B9B788D">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szCs w:val="24"/>
              </w:rPr>
              <w:t>考核/评价细则</w:t>
            </w:r>
          </w:p>
        </w:tc>
        <w:tc>
          <w:tcPr>
            <w:tcW w:w="1607" w:type="dxa"/>
            <w:shd w:val="clear" w:color="auto" w:fill="FFFFFF"/>
            <w:vAlign w:val="center"/>
          </w:tcPr>
          <w:p w14:paraId="0C6FA25B">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szCs w:val="24"/>
              </w:rPr>
              <w:t>对应的毕业要求指标点</w:t>
            </w:r>
          </w:p>
        </w:tc>
      </w:tr>
      <w:tr w14:paraId="6936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76" w:type="dxa"/>
            <w:tcMar>
              <w:left w:w="57" w:type="dxa"/>
              <w:right w:w="57" w:type="dxa"/>
            </w:tcMar>
            <w:vAlign w:val="center"/>
          </w:tcPr>
          <w:p w14:paraId="46295DC9">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指导教师评定成绩</w:t>
            </w:r>
          </w:p>
        </w:tc>
        <w:tc>
          <w:tcPr>
            <w:tcW w:w="3158" w:type="dxa"/>
            <w:vAlign w:val="center"/>
          </w:tcPr>
          <w:p w14:paraId="67108764">
            <w:pPr>
              <w:adjustRightInd w:val="0"/>
              <w:snapToGrid w:val="0"/>
              <w:spacing w:line="260" w:lineRule="exact"/>
              <w:jc w:val="left"/>
              <w:rPr>
                <w:rFonts w:ascii="Times New Roman" w:hAnsi="Times New Roman" w:eastAsia="宋体" w:cs="Times New Roman"/>
                <w:szCs w:val="24"/>
              </w:rPr>
            </w:pPr>
            <w:r>
              <w:rPr>
                <w:rFonts w:hint="eastAsia" w:ascii="Times New Roman" w:hAnsi="Times New Roman" w:eastAsia="宋体" w:cs="Times New Roman"/>
                <w:szCs w:val="24"/>
              </w:rPr>
              <w:t>指导教师着重从学生的日常表现、独立工作能力和课题完成质量等方面给出考核评语和评定成绩（百分制）。</w:t>
            </w:r>
          </w:p>
        </w:tc>
        <w:tc>
          <w:tcPr>
            <w:tcW w:w="731" w:type="dxa"/>
            <w:vAlign w:val="center"/>
          </w:tcPr>
          <w:p w14:paraId="422EDF94">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30</w:t>
            </w:r>
            <w:r>
              <w:rPr>
                <w:rFonts w:ascii="Times New Roman" w:hAnsi="Times New Roman" w:eastAsia="宋体" w:cs="Times New Roman"/>
                <w:szCs w:val="24"/>
              </w:rPr>
              <w:t>%</w:t>
            </w:r>
          </w:p>
        </w:tc>
        <w:tc>
          <w:tcPr>
            <w:tcW w:w="1754" w:type="dxa"/>
            <w:vAlign w:val="center"/>
          </w:tcPr>
          <w:p w14:paraId="1A244F6D">
            <w:pPr>
              <w:adjustRightInd w:val="0"/>
              <w:snapToGrid w:val="0"/>
              <w:spacing w:line="26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按成绩评定</w:t>
            </w:r>
          </w:p>
          <w:p w14:paraId="5CCE2176">
            <w:pPr>
              <w:adjustRightInd w:val="0"/>
              <w:snapToGrid w:val="0"/>
              <w:spacing w:line="260" w:lineRule="exact"/>
              <w:jc w:val="center"/>
              <w:rPr>
                <w:rFonts w:ascii="Times New Roman" w:hAnsi="Times New Roman" w:eastAsia="宋体" w:cs="Times New Roman"/>
                <w:szCs w:val="21"/>
              </w:rPr>
            </w:pPr>
            <w:r>
              <w:rPr>
                <w:rFonts w:hint="eastAsia" w:ascii="Times New Roman" w:hAnsi="Times New Roman" w:eastAsia="宋体" w:cs="Times New Roman"/>
                <w:color w:val="000000"/>
                <w:szCs w:val="21"/>
              </w:rPr>
              <w:t>标准考核</w:t>
            </w:r>
          </w:p>
        </w:tc>
        <w:tc>
          <w:tcPr>
            <w:tcW w:w="1607" w:type="dxa"/>
            <w:vAlign w:val="center"/>
          </w:tcPr>
          <w:p w14:paraId="34995536">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、8-</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、8-</w:t>
            </w:r>
            <w:r>
              <w:rPr>
                <w:rFonts w:ascii="Times New Roman" w:hAnsi="Times New Roman" w:eastAsia="宋体" w:cs="Times New Roman"/>
                <w:color w:val="000000"/>
                <w:szCs w:val="21"/>
              </w:rPr>
              <w:t>2</w:t>
            </w:r>
          </w:p>
        </w:tc>
      </w:tr>
      <w:tr w14:paraId="451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1076" w:type="dxa"/>
            <w:tcMar>
              <w:left w:w="57" w:type="dxa"/>
              <w:right w:w="57" w:type="dxa"/>
            </w:tcMar>
            <w:vAlign w:val="center"/>
          </w:tcPr>
          <w:p w14:paraId="56926250">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评阅教师评阅成绩</w:t>
            </w:r>
          </w:p>
        </w:tc>
        <w:tc>
          <w:tcPr>
            <w:tcW w:w="3158" w:type="dxa"/>
            <w:vAlign w:val="center"/>
          </w:tcPr>
          <w:p w14:paraId="4A8F4CA2">
            <w:pPr>
              <w:adjustRightInd w:val="0"/>
              <w:snapToGrid w:val="0"/>
              <w:spacing w:line="260" w:lineRule="exact"/>
              <w:rPr>
                <w:rFonts w:ascii="Times New Roman" w:hAnsi="Times New Roman" w:eastAsia="宋体" w:cs="Times New Roman"/>
                <w:szCs w:val="24"/>
              </w:rPr>
            </w:pPr>
            <w:r>
              <w:rPr>
                <w:rFonts w:hint="eastAsia" w:ascii="Times New Roman" w:hAnsi="Times New Roman" w:eastAsia="宋体" w:cs="Times New Roman"/>
                <w:szCs w:val="24"/>
              </w:rPr>
              <w:t>评阅教师应着重从毕业设计选题的意义和价值、课题的工作量和难度、学生完成的成果水平、论文的撰写质量等方面进行考评，并给出考核评语和评定成绩（百分制）</w:t>
            </w:r>
          </w:p>
        </w:tc>
        <w:tc>
          <w:tcPr>
            <w:tcW w:w="731" w:type="dxa"/>
            <w:vAlign w:val="center"/>
          </w:tcPr>
          <w:p w14:paraId="5D6D838B">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 xml:space="preserve">20 </w:t>
            </w:r>
            <w:r>
              <w:rPr>
                <w:rFonts w:ascii="Times New Roman" w:hAnsi="Times New Roman" w:eastAsia="宋体" w:cs="Times New Roman"/>
                <w:szCs w:val="24"/>
              </w:rPr>
              <w:t>%</w:t>
            </w:r>
            <w:r>
              <w:rPr>
                <w:rFonts w:hint="eastAsia" w:ascii="Times New Roman" w:hAnsi="Times New Roman" w:eastAsia="宋体" w:cs="Times New Roman"/>
                <w:szCs w:val="24"/>
              </w:rPr>
              <w:t xml:space="preserve"> </w:t>
            </w:r>
          </w:p>
        </w:tc>
        <w:tc>
          <w:tcPr>
            <w:tcW w:w="1754" w:type="dxa"/>
            <w:vAlign w:val="center"/>
          </w:tcPr>
          <w:p w14:paraId="76847680">
            <w:pPr>
              <w:adjustRightInd w:val="0"/>
              <w:snapToGrid w:val="0"/>
              <w:spacing w:line="2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按成绩评定标准考核</w:t>
            </w:r>
          </w:p>
        </w:tc>
        <w:tc>
          <w:tcPr>
            <w:tcW w:w="1607" w:type="dxa"/>
            <w:vAlign w:val="center"/>
          </w:tcPr>
          <w:p w14:paraId="6C5BF12E">
            <w:pPr>
              <w:adjustRightInd w:val="0"/>
              <w:snapToGrid w:val="0"/>
              <w:spacing w:line="2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3</w:t>
            </w:r>
          </w:p>
        </w:tc>
      </w:tr>
      <w:tr w14:paraId="136E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076" w:type="dxa"/>
            <w:tcMar>
              <w:left w:w="57" w:type="dxa"/>
              <w:right w:w="57" w:type="dxa"/>
            </w:tcMar>
            <w:vAlign w:val="center"/>
          </w:tcPr>
          <w:p w14:paraId="71D71027">
            <w:pPr>
              <w:adjustRightInd w:val="0"/>
              <w:snapToGrid w:val="0"/>
              <w:spacing w:line="260" w:lineRule="exact"/>
              <w:jc w:val="center"/>
              <w:rPr>
                <w:rFonts w:ascii="Times New Roman" w:hAnsi="Times New Roman" w:eastAsia="宋体" w:cs="Times New Roman"/>
                <w:color w:val="FF0000"/>
                <w:szCs w:val="24"/>
              </w:rPr>
            </w:pPr>
            <w:r>
              <w:rPr>
                <w:rFonts w:hint="eastAsia" w:ascii="Times New Roman" w:hAnsi="Times New Roman" w:eastAsia="宋体" w:cs="Times New Roman"/>
                <w:szCs w:val="24"/>
              </w:rPr>
              <w:t>答辩小组评定成绩</w:t>
            </w:r>
          </w:p>
        </w:tc>
        <w:tc>
          <w:tcPr>
            <w:tcW w:w="3158" w:type="dxa"/>
            <w:vAlign w:val="center"/>
          </w:tcPr>
          <w:p w14:paraId="26847408">
            <w:pPr>
              <w:adjustRightInd w:val="0"/>
              <w:snapToGrid w:val="0"/>
              <w:spacing w:line="260" w:lineRule="exact"/>
              <w:rPr>
                <w:rFonts w:ascii="Times New Roman" w:hAnsi="Times New Roman" w:eastAsia="宋体" w:cs="Times New Roman"/>
                <w:szCs w:val="24"/>
              </w:rPr>
            </w:pPr>
            <w:r>
              <w:rPr>
                <w:rFonts w:ascii="Times New Roman" w:hAnsi="Times New Roman" w:eastAsia="宋体" w:cs="Times New Roman"/>
                <w:szCs w:val="24"/>
              </w:rPr>
              <w:t>陈述问题的清楚程度及回答阐述问题的正确性。</w:t>
            </w:r>
          </w:p>
        </w:tc>
        <w:tc>
          <w:tcPr>
            <w:tcW w:w="731" w:type="dxa"/>
            <w:vAlign w:val="center"/>
          </w:tcPr>
          <w:p w14:paraId="0DB51911">
            <w:pPr>
              <w:adjustRightInd w:val="0"/>
              <w:snapToGrid w:val="0"/>
              <w:spacing w:line="260" w:lineRule="exact"/>
              <w:jc w:val="center"/>
              <w:rPr>
                <w:rFonts w:ascii="Times New Roman" w:hAnsi="Times New Roman" w:eastAsia="宋体" w:cs="Times New Roman"/>
                <w:szCs w:val="24"/>
              </w:rPr>
            </w:pPr>
            <w:r>
              <w:rPr>
                <w:rFonts w:hint="eastAsia" w:ascii="Times New Roman" w:hAnsi="Times New Roman" w:eastAsia="宋体" w:cs="Times New Roman"/>
                <w:szCs w:val="24"/>
              </w:rPr>
              <w:t xml:space="preserve"> 50</w:t>
            </w:r>
            <w:r>
              <w:rPr>
                <w:rFonts w:ascii="Times New Roman" w:hAnsi="Times New Roman" w:eastAsia="宋体" w:cs="Times New Roman"/>
                <w:szCs w:val="24"/>
              </w:rPr>
              <w:t>%</w:t>
            </w:r>
            <w:r>
              <w:rPr>
                <w:rFonts w:hint="eastAsia" w:ascii="Times New Roman" w:hAnsi="Times New Roman" w:eastAsia="宋体" w:cs="Times New Roman"/>
                <w:szCs w:val="24"/>
              </w:rPr>
              <w:t xml:space="preserve"> </w:t>
            </w:r>
          </w:p>
        </w:tc>
        <w:tc>
          <w:tcPr>
            <w:tcW w:w="1754" w:type="dxa"/>
            <w:vAlign w:val="center"/>
          </w:tcPr>
          <w:p w14:paraId="0B45047F">
            <w:pPr>
              <w:adjustRightInd w:val="0"/>
              <w:snapToGrid w:val="0"/>
              <w:spacing w:line="260" w:lineRule="exact"/>
              <w:rPr>
                <w:rFonts w:ascii="Times New Roman" w:hAnsi="Times New Roman" w:eastAsia="宋体" w:cs="Times New Roman"/>
                <w:color w:val="000000"/>
                <w:szCs w:val="21"/>
              </w:rPr>
            </w:pPr>
            <w:r>
              <w:rPr>
                <w:rFonts w:ascii="Times New Roman" w:hAnsi="Times New Roman" w:eastAsia="宋体" w:cs="Times New Roman"/>
                <w:color w:val="000000"/>
                <w:szCs w:val="21"/>
              </w:rPr>
              <w:t>重点考核：</w:t>
            </w:r>
            <w:r>
              <w:rPr>
                <w:rFonts w:hint="eastAsia" w:ascii="Times New Roman" w:hAnsi="Times New Roman" w:eastAsia="宋体" w:cs="Times New Roman"/>
                <w:color w:val="000000"/>
                <w:szCs w:val="21"/>
              </w:rPr>
              <w:t>学生对毕论文内容和</w:t>
            </w:r>
            <w:r>
              <w:rPr>
                <w:rFonts w:ascii="Times New Roman" w:hAnsi="Times New Roman" w:eastAsia="宋体" w:cs="Times New Roman"/>
                <w:color w:val="000000"/>
                <w:szCs w:val="21"/>
              </w:rPr>
              <w:t>思想的口头表达能力、进行有效陈述发言的能力</w:t>
            </w:r>
            <w:r>
              <w:rPr>
                <w:rFonts w:hint="eastAsia" w:ascii="Times New Roman" w:hAnsi="Times New Roman" w:eastAsia="宋体" w:cs="Times New Roman"/>
                <w:color w:val="000000"/>
                <w:szCs w:val="21"/>
              </w:rPr>
              <w:t>以及</w:t>
            </w:r>
            <w:r>
              <w:rPr>
                <w:rFonts w:ascii="Times New Roman" w:hAnsi="Times New Roman" w:eastAsia="宋体" w:cs="Times New Roman"/>
                <w:color w:val="000000"/>
                <w:szCs w:val="21"/>
              </w:rPr>
              <w:t>回答问题的正确性。</w:t>
            </w:r>
          </w:p>
        </w:tc>
        <w:tc>
          <w:tcPr>
            <w:tcW w:w="1607" w:type="dxa"/>
            <w:vAlign w:val="center"/>
          </w:tcPr>
          <w:p w14:paraId="56FE690B">
            <w:pPr>
              <w:adjustRightInd w:val="0"/>
              <w:snapToGrid w:val="0"/>
              <w:spacing w:line="260" w:lineRule="exact"/>
              <w:jc w:val="center"/>
              <w:rPr>
                <w:rFonts w:ascii="Times New Roman" w:hAnsi="Times New Roman" w:eastAsia="宋体" w:cs="Times New Roman"/>
                <w:szCs w:val="24"/>
              </w:rPr>
            </w:pP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、3-</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、4-</w:t>
            </w:r>
            <w:r>
              <w:rPr>
                <w:rFonts w:ascii="Times New Roman" w:hAnsi="Times New Roman" w:eastAsia="宋体" w:cs="Times New Roman"/>
                <w:color w:val="000000"/>
                <w:szCs w:val="21"/>
              </w:rPr>
              <w:t>4</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3</w:t>
            </w:r>
            <w:r>
              <w:rPr>
                <w:rFonts w:hint="eastAsia" w:ascii="Times New Roman" w:hAnsi="Times New Roman" w:eastAsia="宋体" w:cs="Times New Roman"/>
                <w:color w:val="000000"/>
                <w:szCs w:val="21"/>
              </w:rPr>
              <w:t>、8-</w:t>
            </w:r>
            <w:r>
              <w:rPr>
                <w:rFonts w:ascii="Times New Roman" w:hAnsi="Times New Roman" w:eastAsia="宋体" w:cs="Times New Roman"/>
                <w:color w:val="000000"/>
                <w:szCs w:val="21"/>
              </w:rPr>
              <w:t>2</w:t>
            </w:r>
          </w:p>
        </w:tc>
      </w:tr>
    </w:tbl>
    <w:p w14:paraId="480CA426">
      <w:pPr>
        <w:spacing w:line="360" w:lineRule="auto"/>
        <w:ind w:firstLine="562" w:firstLineChars="200"/>
        <w:rPr>
          <w:rFonts w:ascii="Times New Roman" w:hAnsi="Times New Roman" w:eastAsia="宋体" w:cs="Times New Roman"/>
          <w:b/>
          <w:sz w:val="28"/>
          <w:szCs w:val="28"/>
        </w:rPr>
      </w:pPr>
      <w:r>
        <w:rPr>
          <w:rFonts w:hint="eastAsia" w:ascii="Times New Roman" w:hAnsi="Times New Roman" w:eastAsia="宋体" w:cs="Times New Roman"/>
          <w:b/>
          <w:sz w:val="28"/>
          <w:szCs w:val="28"/>
        </w:rPr>
        <w:t>七</w:t>
      </w:r>
      <w:r>
        <w:rPr>
          <w:rFonts w:ascii="Times New Roman" w:hAnsi="Times New Roman" w:eastAsia="宋体" w:cs="Times New Roman"/>
          <w:b/>
          <w:sz w:val="28"/>
          <w:szCs w:val="28"/>
        </w:rPr>
        <w:t>、</w:t>
      </w:r>
      <w:r>
        <w:rPr>
          <w:rFonts w:hint="eastAsia" w:ascii="Times New Roman" w:hAnsi="Times New Roman" w:eastAsia="宋体" w:cs="Times New Roman"/>
          <w:b/>
          <w:sz w:val="28"/>
          <w:szCs w:val="28"/>
        </w:rPr>
        <w:t>有关说明</w:t>
      </w:r>
    </w:p>
    <w:p w14:paraId="67E018AC">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（一）持续改进</w:t>
      </w:r>
    </w:p>
    <w:p w14:paraId="4A6B87C1">
      <w:pPr>
        <w:spacing w:line="360" w:lineRule="auto"/>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根据学生选题情况、论文写作过程中的情况、论文质量、答辩情况等，及时对毕业论文过程中的不足之处进行改进，并在下一轮教学中整改完善，确保相应毕业要求指标点的达成。</w:t>
      </w:r>
    </w:p>
    <w:p w14:paraId="26455013">
      <w:pPr>
        <w:spacing w:line="360" w:lineRule="auto"/>
        <w:ind w:firstLine="482" w:firstLineChars="200"/>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（二）</w:t>
      </w:r>
      <w:r>
        <w:rPr>
          <w:rFonts w:ascii="Times New Roman" w:hAnsi="Times New Roman" w:eastAsia="宋体" w:cs="Times New Roman"/>
          <w:b/>
          <w:color w:val="000000"/>
          <w:sz w:val="24"/>
          <w:szCs w:val="24"/>
        </w:rPr>
        <w:t>参考书目及学习资料</w:t>
      </w:r>
    </w:p>
    <w:p w14:paraId="3D571FE7">
      <w:pPr>
        <w:spacing w:line="360" w:lineRule="auto"/>
        <w:ind w:firstLine="480"/>
        <w:rPr>
          <w:rFonts w:ascii="Times New Roman" w:hAnsi="Times New Roman" w:eastAsia="宋体" w:cs="Times New Roman"/>
          <w:b/>
          <w:bCs/>
          <w:sz w:val="24"/>
          <w:szCs w:val="24"/>
        </w:rPr>
      </w:pPr>
      <w:r>
        <w:rPr>
          <w:rFonts w:ascii="Times New Roman" w:hAnsi="Times New Roman" w:eastAsia="宋体" w:cs="Times New Roman"/>
          <w:b/>
          <w:bCs/>
          <w:sz w:val="24"/>
          <w:szCs w:val="24"/>
        </w:rPr>
        <w:t>1.</w:t>
      </w:r>
      <w:r>
        <w:rPr>
          <w:rFonts w:hint="eastAsia" w:ascii="Times New Roman" w:hAnsi="Times New Roman" w:eastAsia="宋体" w:cs="Times New Roman"/>
          <w:b/>
          <w:bCs/>
          <w:sz w:val="24"/>
          <w:szCs w:val="24"/>
        </w:rPr>
        <w:t>教材</w:t>
      </w:r>
    </w:p>
    <w:p w14:paraId="0D21B0A5">
      <w:pPr>
        <w:spacing w:line="360" w:lineRule="auto"/>
        <w:ind w:firstLine="480" w:firstLineChars="200"/>
        <w:rPr>
          <w:rFonts w:ascii="宋体" w:hAnsi="宋体" w:eastAsia="宋体" w:cs="Times New Roman"/>
          <w:kern w:val="0"/>
          <w:sz w:val="24"/>
          <w:szCs w:val="24"/>
        </w:rPr>
      </w:pPr>
      <w:r>
        <w:rPr>
          <w:rFonts w:hint="eastAsia" w:ascii="Times New Roman" w:hAnsi="Times New Roman" w:eastAsia="宋体" w:cs="Times New Roman"/>
          <w:kern w:val="0"/>
          <w:sz w:val="24"/>
          <w:szCs w:val="24"/>
        </w:rPr>
        <w:t>张肇丰</w:t>
      </w:r>
      <w:r>
        <w:rPr>
          <w:rFonts w:hint="eastAsia" w:ascii="宋体" w:hAnsi="宋体" w:eastAsia="宋体" w:cs="Times New Roman"/>
          <w:kern w:val="0"/>
          <w:sz w:val="24"/>
          <w:szCs w:val="24"/>
        </w:rPr>
        <w:t>.从实践到文本 中小学教师科研写作方法导论</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lang w:val="en-US" w:eastAsia="zh-CN"/>
        </w:rPr>
        <w:t>第3版</w:t>
      </w:r>
      <w:r>
        <w:rPr>
          <w:rFonts w:hint="eastAsia" w:ascii="宋体" w:hAnsi="宋体" w:eastAsia="宋体" w:cs="Times New Roman"/>
          <w:kern w:val="0"/>
          <w:sz w:val="24"/>
          <w:szCs w:val="24"/>
          <w:lang w:eastAsia="zh-CN"/>
        </w:rPr>
        <w:t>）</w:t>
      </w:r>
      <w:r>
        <w:rPr>
          <w:rFonts w:hint="eastAsia" w:ascii="宋体" w:hAnsi="宋体" w:eastAsia="宋体" w:cs="Times New Roman"/>
          <w:kern w:val="0"/>
          <w:sz w:val="24"/>
          <w:szCs w:val="24"/>
        </w:rPr>
        <w:t>.</w:t>
      </w:r>
      <w:r>
        <w:rPr>
          <w:rFonts w:hint="eastAsia" w:ascii="宋体" w:hAnsi="宋体" w:eastAsia="宋体" w:cs="Times New Roman"/>
          <w:kern w:val="0"/>
          <w:sz w:val="24"/>
          <w:szCs w:val="24"/>
          <w:lang w:val="en-US" w:eastAsia="zh-CN"/>
        </w:rPr>
        <w:t>上海</w:t>
      </w:r>
      <w:r>
        <w:rPr>
          <w:rFonts w:hint="eastAsia" w:ascii="宋体" w:hAnsi="宋体" w:eastAsia="宋体" w:cs="Times New Roman"/>
          <w:kern w:val="0"/>
          <w:sz w:val="24"/>
          <w:szCs w:val="24"/>
        </w:rPr>
        <w:t>：</w:t>
      </w:r>
      <w:r>
        <w:rPr>
          <w:rFonts w:hint="eastAsia" w:ascii="Times New Roman" w:hAnsi="Times New Roman" w:eastAsia="宋体" w:cs="Times New Roman"/>
          <w:kern w:val="0"/>
          <w:sz w:val="24"/>
          <w:szCs w:val="24"/>
          <w:lang w:val="en-US" w:eastAsia="zh-CN"/>
        </w:rPr>
        <w:t>华东师范大学</w:t>
      </w:r>
      <w:r>
        <w:rPr>
          <w:rFonts w:hint="eastAsia" w:ascii="Times New Roman" w:hAnsi="Times New Roman" w:eastAsia="宋体" w:cs="Times New Roman"/>
          <w:kern w:val="0"/>
          <w:sz w:val="24"/>
          <w:szCs w:val="24"/>
        </w:rPr>
        <w:t>出版社</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20</w:t>
      </w:r>
      <w:r>
        <w:rPr>
          <w:rFonts w:hint="eastAsia" w:ascii="Times New Roman" w:hAnsi="Times New Roman" w:eastAsia="宋体" w:cs="Times New Roman"/>
          <w:kern w:val="0"/>
          <w:sz w:val="24"/>
          <w:szCs w:val="24"/>
          <w:lang w:val="en-US" w:eastAsia="zh-CN"/>
        </w:rPr>
        <w:t>21</w:t>
      </w:r>
      <w:r>
        <w:rPr>
          <w:rFonts w:hint="eastAsia" w:ascii="Times New Roman" w:hAnsi="Times New Roman" w:eastAsia="宋体" w:cs="Times New Roman"/>
          <w:kern w:val="0"/>
          <w:sz w:val="24"/>
          <w:szCs w:val="24"/>
        </w:rPr>
        <w:t>.</w:t>
      </w:r>
    </w:p>
    <w:p w14:paraId="51C0780B">
      <w:pPr>
        <w:spacing w:line="360" w:lineRule="auto"/>
        <w:ind w:firstLine="48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w:t>
      </w:r>
      <w:r>
        <w:rPr>
          <w:rFonts w:hint="eastAsia" w:ascii="Times New Roman" w:hAnsi="Times New Roman" w:eastAsia="宋体" w:cs="Times New Roman"/>
          <w:b/>
          <w:bCs/>
          <w:sz w:val="24"/>
          <w:szCs w:val="24"/>
        </w:rPr>
        <w:t>教学参考书</w:t>
      </w:r>
    </w:p>
    <w:p w14:paraId="39322D3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常州工学院毕业设计（论文）工作管理办法</w:t>
      </w:r>
    </w:p>
    <w:p w14:paraId="0A99D33C">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常州工学院教育与人文学院小学教育专业毕业论文指导书</w:t>
      </w:r>
    </w:p>
    <w:p w14:paraId="7ABC6609">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其他资料由各指导教师根据题目给定</w:t>
      </w:r>
    </w:p>
    <w:p w14:paraId="22DB2214">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14:paraId="38481ED4">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31F40537">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7765DD8A">
      <w:pPr>
        <w:autoSpaceDE w:val="0"/>
        <w:autoSpaceDN w:val="0"/>
        <w:adjustRightInd w:val="0"/>
        <w:spacing w:line="360" w:lineRule="auto"/>
        <w:ind w:firstLine="480" w:firstLineChars="200"/>
        <w:jc w:val="left"/>
        <w:rPr>
          <w:rFonts w:ascii="Times New Roman" w:hAnsi="Times New Roman" w:eastAsia="宋体" w:cs="Times New Roman"/>
          <w:sz w:val="24"/>
          <w:szCs w:val="24"/>
        </w:rPr>
      </w:pPr>
    </w:p>
    <w:p w14:paraId="0594A9C9">
      <w:pPr>
        <w:autoSpaceDE w:val="0"/>
        <w:autoSpaceDN w:val="0"/>
        <w:adjustRightInd w:val="0"/>
        <w:spacing w:line="360" w:lineRule="auto"/>
        <w:ind w:firstLine="5520" w:firstLineChars="2300"/>
        <w:jc w:val="left"/>
        <w:rPr>
          <w:rFonts w:hint="eastAsia" w:ascii="Times New Roman" w:hAnsi="Times New Roman" w:eastAsia="宋体" w:cs="Times New Roman"/>
          <w:kern w:val="0"/>
          <w:sz w:val="24"/>
          <w:szCs w:val="21"/>
          <w:lang w:eastAsia="zh-CN"/>
        </w:rPr>
      </w:pPr>
      <w:r>
        <w:rPr>
          <w:rFonts w:ascii="Times New Roman" w:hAnsi="Times New Roman" w:eastAsia="宋体" w:cs="Times New Roman"/>
          <w:kern w:val="0"/>
          <w:sz w:val="24"/>
          <w:szCs w:val="21"/>
        </w:rPr>
        <w:t>执笔人：</w:t>
      </w:r>
      <w:r>
        <w:rPr>
          <w:rFonts w:hint="eastAsia" w:ascii="Times New Roman" w:hAnsi="Times New Roman" w:eastAsia="宋体" w:cs="Times New Roman"/>
          <w:kern w:val="0"/>
          <w:sz w:val="24"/>
          <w:szCs w:val="21"/>
          <w:lang w:val="en-US" w:eastAsia="zh-CN"/>
        </w:rPr>
        <w:t>张志欣</w:t>
      </w:r>
    </w:p>
    <w:p w14:paraId="44FF7CB7">
      <w:pPr>
        <w:autoSpaceDE w:val="0"/>
        <w:autoSpaceDN w:val="0"/>
        <w:adjustRightInd w:val="0"/>
        <w:spacing w:line="360" w:lineRule="auto"/>
        <w:ind w:firstLine="5520" w:firstLineChars="2300"/>
        <w:jc w:val="left"/>
        <w:rPr>
          <w:rFonts w:ascii="Times New Roman" w:hAnsi="Times New Roman" w:eastAsia="宋体" w:cs="Times New Roman"/>
          <w:kern w:val="0"/>
          <w:sz w:val="24"/>
          <w:szCs w:val="21"/>
        </w:rPr>
      </w:pPr>
      <w:r>
        <w:rPr>
          <w:rFonts w:ascii="Times New Roman" w:hAnsi="Times New Roman" w:eastAsia="宋体" w:cs="Times New Roman"/>
          <w:kern w:val="0"/>
          <w:sz w:val="24"/>
          <w:szCs w:val="21"/>
        </w:rPr>
        <w:t>审定人：</w:t>
      </w:r>
      <w:r>
        <w:rPr>
          <w:rFonts w:hint="eastAsia" w:ascii="Times New Roman" w:hAnsi="Times New Roman" w:eastAsia="宋体" w:cs="Times New Roman"/>
          <w:kern w:val="0"/>
          <w:sz w:val="24"/>
          <w:szCs w:val="21"/>
          <w:lang w:val="en-US" w:eastAsia="zh-CN"/>
        </w:rPr>
        <w:t>张建波</w:t>
      </w:r>
      <w:r>
        <w:rPr>
          <w:rFonts w:ascii="Times New Roman" w:hAnsi="Times New Roman" w:eastAsia="宋体" w:cs="Times New Roman"/>
          <w:kern w:val="0"/>
          <w:sz w:val="24"/>
          <w:szCs w:val="21"/>
        </w:rPr>
        <w:t xml:space="preserve"> </w:t>
      </w:r>
    </w:p>
    <w:p w14:paraId="63D6F555">
      <w:pPr>
        <w:autoSpaceDE w:val="0"/>
        <w:autoSpaceDN w:val="0"/>
        <w:adjustRightInd w:val="0"/>
        <w:spacing w:line="360" w:lineRule="auto"/>
        <w:ind w:firstLine="5520" w:firstLineChars="2300"/>
        <w:jc w:val="left"/>
        <w:rPr>
          <w:rFonts w:hint="eastAsia" w:ascii="Times New Roman" w:hAnsi="Times New Roman" w:eastAsia="宋体" w:cs="Times New Roman"/>
          <w:kern w:val="0"/>
          <w:sz w:val="24"/>
          <w:szCs w:val="21"/>
          <w:lang w:val="en-US" w:eastAsia="zh-CN"/>
        </w:rPr>
      </w:pPr>
      <w:r>
        <w:rPr>
          <w:rFonts w:hint="eastAsia" w:ascii="Times New Roman" w:hAnsi="Times New Roman" w:eastAsia="宋体" w:cs="Times New Roman"/>
          <w:kern w:val="0"/>
          <w:sz w:val="24"/>
          <w:szCs w:val="21"/>
        </w:rPr>
        <w:t>审批</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lang w:val="en-US" w:eastAsia="zh-CN"/>
        </w:rPr>
        <w:t>王  瑛</w:t>
      </w:r>
    </w:p>
    <w:p w14:paraId="6E9C0EF2">
      <w:pPr>
        <w:autoSpaceDE w:val="0"/>
        <w:autoSpaceDN w:val="0"/>
        <w:adjustRightInd w:val="0"/>
        <w:spacing w:line="360" w:lineRule="auto"/>
        <w:ind w:firstLine="5520" w:firstLineChars="2300"/>
        <w:jc w:val="left"/>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批准时间：2</w:t>
      </w:r>
      <w:r>
        <w:rPr>
          <w:rFonts w:ascii="Times New Roman" w:hAnsi="Times New Roman" w:eastAsia="宋体" w:cs="Times New Roman"/>
          <w:kern w:val="0"/>
          <w:sz w:val="24"/>
          <w:szCs w:val="21"/>
        </w:rPr>
        <w:t>02</w:t>
      </w:r>
      <w:r>
        <w:rPr>
          <w:rFonts w:hint="eastAsia" w:ascii="Times New Roman" w:hAnsi="Times New Roman" w:eastAsia="宋体" w:cs="Times New Roman"/>
          <w:kern w:val="0"/>
          <w:sz w:val="24"/>
          <w:szCs w:val="21"/>
          <w:lang w:val="en-US" w:eastAsia="zh-CN"/>
        </w:rPr>
        <w:t>2</w:t>
      </w:r>
      <w:r>
        <w:rPr>
          <w:rFonts w:hint="eastAsia" w:ascii="Times New Roman" w:hAnsi="Times New Roman" w:eastAsia="宋体" w:cs="Times New Roman"/>
          <w:kern w:val="0"/>
          <w:sz w:val="24"/>
          <w:szCs w:val="21"/>
        </w:rPr>
        <w:t>年8月3</w:t>
      </w:r>
      <w:r>
        <w:rPr>
          <w:rFonts w:ascii="Times New Roman" w:hAnsi="Times New Roman" w:eastAsia="宋体" w:cs="Times New Roman"/>
          <w:kern w:val="0"/>
          <w:sz w:val="24"/>
          <w:szCs w:val="21"/>
        </w:rPr>
        <w:t>0</w:t>
      </w:r>
      <w:r>
        <w:rPr>
          <w:rFonts w:hint="eastAsia" w:ascii="Times New Roman" w:hAnsi="Times New Roman" w:eastAsia="宋体" w:cs="Times New Roman"/>
          <w:kern w:val="0"/>
          <w:sz w:val="24"/>
          <w:szCs w:val="21"/>
        </w:rPr>
        <w:t>日</w:t>
      </w:r>
    </w:p>
    <w:p w14:paraId="7BF0CC93">
      <w:pPr>
        <w:spacing w:line="312" w:lineRule="auto"/>
        <w:jc w:val="center"/>
        <w:rPr>
          <w:rFonts w:hint="eastAsia" w:ascii="宋体" w:hAnsi="宋体"/>
          <w:b/>
          <w:bCs/>
          <w:sz w:val="30"/>
        </w:rPr>
      </w:pPr>
    </w:p>
    <w:p w14:paraId="7402CA55">
      <w:pPr>
        <w:spacing w:line="312" w:lineRule="auto"/>
        <w:jc w:val="center"/>
        <w:rPr>
          <w:rFonts w:hint="eastAsia" w:ascii="宋体" w:hAnsi="宋体"/>
          <w:b/>
          <w:bCs/>
          <w:sz w:val="30"/>
        </w:rPr>
      </w:pPr>
    </w:p>
    <w:p w14:paraId="7E14AB72">
      <w:pPr>
        <w:spacing w:line="312" w:lineRule="auto"/>
        <w:jc w:val="center"/>
        <w:rPr>
          <w:rFonts w:hint="eastAsia" w:ascii="宋体" w:hAnsi="宋体"/>
          <w:b/>
          <w:bCs/>
          <w:sz w:val="30"/>
        </w:rPr>
      </w:pPr>
    </w:p>
    <w:p w14:paraId="238CA766">
      <w:pPr>
        <w:spacing w:line="312" w:lineRule="auto"/>
        <w:jc w:val="center"/>
        <w:rPr>
          <w:rFonts w:hint="eastAsia" w:ascii="宋体" w:hAnsi="宋体"/>
          <w:b/>
          <w:bCs/>
          <w:sz w:val="30"/>
        </w:rPr>
      </w:pPr>
    </w:p>
    <w:p w14:paraId="2AC0F6D8">
      <w:pPr>
        <w:spacing w:line="312" w:lineRule="auto"/>
        <w:jc w:val="center"/>
        <w:rPr>
          <w:rFonts w:hint="eastAsia" w:ascii="宋体" w:hAnsi="宋体"/>
          <w:b/>
          <w:bCs/>
          <w:sz w:val="30"/>
        </w:rPr>
      </w:pPr>
    </w:p>
    <w:p w14:paraId="6D513549">
      <w:pPr>
        <w:spacing w:line="312" w:lineRule="auto"/>
        <w:jc w:val="center"/>
        <w:rPr>
          <w:rFonts w:hint="eastAsia" w:ascii="宋体" w:hAnsi="宋体"/>
          <w:b/>
          <w:bCs/>
          <w:sz w:val="30"/>
        </w:rPr>
      </w:pPr>
    </w:p>
    <w:p w14:paraId="6DF52877">
      <w:pPr>
        <w:spacing w:line="312" w:lineRule="auto"/>
        <w:jc w:val="center"/>
        <w:rPr>
          <w:rFonts w:hint="eastAsia" w:ascii="宋体" w:hAnsi="宋体"/>
          <w:b/>
          <w:bCs/>
          <w:sz w:val="30"/>
        </w:rPr>
      </w:pPr>
    </w:p>
    <w:p w14:paraId="1BB5E5D1">
      <w:pPr>
        <w:autoSpaceDE w:val="0"/>
        <w:autoSpaceDN w:val="0"/>
        <w:adjustRightInd w:val="0"/>
        <w:spacing w:line="360" w:lineRule="auto"/>
        <w:jc w:val="left"/>
        <w:rPr>
          <w:rFonts w:hint="eastAsia" w:ascii="宋体" w:hAnsi="宋体"/>
          <w:kern w:val="0"/>
          <w:sz w:val="24"/>
          <w:szCs w:val="21"/>
        </w:rPr>
      </w:pPr>
    </w:p>
    <w:p w14:paraId="1FD9C9ED">
      <w:pPr>
        <w:autoSpaceDE w:val="0"/>
        <w:autoSpaceDN w:val="0"/>
        <w:adjustRightInd w:val="0"/>
        <w:spacing w:line="360" w:lineRule="auto"/>
        <w:ind w:firstLine="5280" w:firstLineChars="2200"/>
        <w:jc w:val="left"/>
        <w:rPr>
          <w:rFonts w:hint="eastAsia" w:ascii="宋体" w:hAnsi="宋体"/>
          <w:kern w:val="0"/>
          <w:sz w:val="24"/>
          <w:szCs w:val="21"/>
        </w:rPr>
      </w:pPr>
    </w:p>
    <w:p w14:paraId="2294A9CD">
      <w:pPr>
        <w:widowControl/>
        <w:spacing w:line="360" w:lineRule="auto"/>
        <w:jc w:val="left"/>
        <w:rPr>
          <w:rFonts w:ascii="宋体" w:hAnsi="宋体" w:eastAsia="宋体" w:cs="Times New Roman"/>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9" w:usb3="00000000" w:csb0="000001FF" w:csb1="00000000"/>
  </w:font>
  <w:font w:name="Wingdings 2">
    <w:panose1 w:val="05020102010507070707"/>
    <w:charset w:val="02"/>
    <w:family w:val="roman"/>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41745"/>
    <w:multiLevelType w:val="singleLevel"/>
    <w:tmpl w:val="BD141745"/>
    <w:lvl w:ilvl="0" w:tentative="0">
      <w:start w:val="3"/>
      <w:numFmt w:val="decimal"/>
      <w:lvlText w:val="%1."/>
      <w:lvlJc w:val="left"/>
      <w:pPr>
        <w:tabs>
          <w:tab w:val="left" w:pos="312"/>
        </w:tabs>
      </w:pPr>
    </w:lvl>
  </w:abstractNum>
  <w:abstractNum w:abstractNumId="1">
    <w:nsid w:val="DA841BE8"/>
    <w:multiLevelType w:val="singleLevel"/>
    <w:tmpl w:val="DA841BE8"/>
    <w:lvl w:ilvl="0" w:tentative="0">
      <w:start w:val="1"/>
      <w:numFmt w:val="decimal"/>
      <w:suff w:val="nothing"/>
      <w:lvlText w:val="（%1）"/>
      <w:lvlJc w:val="left"/>
    </w:lvl>
  </w:abstractNum>
  <w:abstractNum w:abstractNumId="2">
    <w:nsid w:val="E383A9B8"/>
    <w:multiLevelType w:val="singleLevel"/>
    <w:tmpl w:val="E383A9B8"/>
    <w:lvl w:ilvl="0" w:tentative="0">
      <w:start w:val="2"/>
      <w:numFmt w:val="decimal"/>
      <w:suff w:val="space"/>
      <w:lvlText w:val="%1."/>
      <w:lvlJc w:val="left"/>
    </w:lvl>
  </w:abstractNum>
  <w:abstractNum w:abstractNumId="3">
    <w:nsid w:val="EC1014EE"/>
    <w:multiLevelType w:val="singleLevel"/>
    <w:tmpl w:val="EC1014EE"/>
    <w:lvl w:ilvl="0" w:tentative="0">
      <w:start w:val="2"/>
      <w:numFmt w:val="chineseCounting"/>
      <w:suff w:val="nothing"/>
      <w:lvlText w:val="（%1）"/>
      <w:lvlJc w:val="left"/>
      <w:rPr>
        <w:rFonts w:hint="eastAsia"/>
      </w:rPr>
    </w:lvl>
  </w:abstractNum>
  <w:abstractNum w:abstractNumId="4">
    <w:nsid w:val="00A99411"/>
    <w:multiLevelType w:val="multilevel"/>
    <w:tmpl w:val="00A99411"/>
    <w:lvl w:ilvl="0" w:tentative="0">
      <w:start w:val="1"/>
      <w:numFmt w:val="decimal"/>
      <w:lvlText w:val="%1."/>
      <w:lvlJc w:val="left"/>
      <w:pPr>
        <w:ind w:left="643" w:hanging="360"/>
      </w:pPr>
    </w:lvl>
    <w:lvl w:ilvl="1" w:tentative="0">
      <w:start w:val="1"/>
      <w:numFmt w:val="decimal"/>
      <w:lvlText w:val="%2."/>
      <w:lvlJc w:val="left"/>
      <w:pPr>
        <w:ind w:left="643"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5">
    <w:nsid w:val="012D3872"/>
    <w:multiLevelType w:val="multilevel"/>
    <w:tmpl w:val="012D3872"/>
    <w:lvl w:ilvl="0" w:tentative="0">
      <w:start w:val="1"/>
      <w:numFmt w:val="decimal"/>
      <w:lvlText w:val="（%1）"/>
      <w:lvlJc w:val="left"/>
      <w:pPr>
        <w:ind w:left="1287" w:hanging="720"/>
      </w:pPr>
      <w:rPr>
        <w:rFonts w:hint="default"/>
        <w:lang w:val="en-US"/>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abstractNum w:abstractNumId="6">
    <w:nsid w:val="0E7B2669"/>
    <w:multiLevelType w:val="multilevel"/>
    <w:tmpl w:val="0E7B2669"/>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6237D19"/>
    <w:multiLevelType w:val="multilevel"/>
    <w:tmpl w:val="16237D19"/>
    <w:lvl w:ilvl="0" w:tentative="0">
      <w:start w:val="4"/>
      <w:numFmt w:val="japaneseCounting"/>
      <w:lvlText w:val="（%1）"/>
      <w:lvlJc w:val="left"/>
      <w:pPr>
        <w:ind w:left="855" w:hanging="85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07A01E4"/>
    <w:multiLevelType w:val="multilevel"/>
    <w:tmpl w:val="307A01E4"/>
    <w:lvl w:ilvl="0" w:tentative="0">
      <w:start w:val="1"/>
      <w:numFmt w:val="decimal"/>
      <w:lvlText w:val="（%1）"/>
      <w:lvlJc w:val="left"/>
      <w:pPr>
        <w:ind w:left="1440" w:hanging="720"/>
      </w:pPr>
      <w:rPr>
        <w:rFonts w:hint="default"/>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abstractNum w:abstractNumId="9">
    <w:nsid w:val="36551521"/>
    <w:multiLevelType w:val="multilevel"/>
    <w:tmpl w:val="36551521"/>
    <w:lvl w:ilvl="0" w:tentative="0">
      <w:start w:val="1"/>
      <w:numFmt w:val="decimal"/>
      <w:lvlText w:val="（%1）"/>
      <w:lvlJc w:val="left"/>
      <w:pPr>
        <w:ind w:left="1287" w:hanging="720"/>
      </w:pPr>
      <w:rPr>
        <w:rFonts w:hint="default"/>
      </w:rPr>
    </w:lvl>
    <w:lvl w:ilvl="1" w:tentative="0">
      <w:start w:val="1"/>
      <w:numFmt w:val="lowerLetter"/>
      <w:lvlText w:val="%2)"/>
      <w:lvlJc w:val="left"/>
      <w:pPr>
        <w:ind w:left="1447" w:hanging="440"/>
      </w:pPr>
    </w:lvl>
    <w:lvl w:ilvl="2" w:tentative="0">
      <w:start w:val="1"/>
      <w:numFmt w:val="lowerRoman"/>
      <w:lvlText w:val="%3."/>
      <w:lvlJc w:val="right"/>
      <w:pPr>
        <w:ind w:left="1887" w:hanging="440"/>
      </w:pPr>
    </w:lvl>
    <w:lvl w:ilvl="3" w:tentative="0">
      <w:start w:val="1"/>
      <w:numFmt w:val="decimal"/>
      <w:lvlText w:val="%4."/>
      <w:lvlJc w:val="left"/>
      <w:pPr>
        <w:ind w:left="2327" w:hanging="440"/>
      </w:pPr>
    </w:lvl>
    <w:lvl w:ilvl="4" w:tentative="0">
      <w:start w:val="1"/>
      <w:numFmt w:val="lowerLetter"/>
      <w:lvlText w:val="%5)"/>
      <w:lvlJc w:val="left"/>
      <w:pPr>
        <w:ind w:left="2767" w:hanging="440"/>
      </w:pPr>
    </w:lvl>
    <w:lvl w:ilvl="5" w:tentative="0">
      <w:start w:val="1"/>
      <w:numFmt w:val="lowerRoman"/>
      <w:lvlText w:val="%6."/>
      <w:lvlJc w:val="right"/>
      <w:pPr>
        <w:ind w:left="3207" w:hanging="440"/>
      </w:pPr>
    </w:lvl>
    <w:lvl w:ilvl="6" w:tentative="0">
      <w:start w:val="1"/>
      <w:numFmt w:val="decimal"/>
      <w:lvlText w:val="%7."/>
      <w:lvlJc w:val="left"/>
      <w:pPr>
        <w:ind w:left="3647" w:hanging="440"/>
      </w:pPr>
    </w:lvl>
    <w:lvl w:ilvl="7" w:tentative="0">
      <w:start w:val="1"/>
      <w:numFmt w:val="lowerLetter"/>
      <w:lvlText w:val="%8)"/>
      <w:lvlJc w:val="left"/>
      <w:pPr>
        <w:ind w:left="4087" w:hanging="440"/>
      </w:pPr>
    </w:lvl>
    <w:lvl w:ilvl="8" w:tentative="0">
      <w:start w:val="1"/>
      <w:numFmt w:val="lowerRoman"/>
      <w:lvlText w:val="%9."/>
      <w:lvlJc w:val="right"/>
      <w:pPr>
        <w:ind w:left="4527" w:hanging="440"/>
      </w:pPr>
    </w:lvl>
  </w:abstractNum>
  <w:abstractNum w:abstractNumId="10">
    <w:nsid w:val="54FE4706"/>
    <w:multiLevelType w:val="singleLevel"/>
    <w:tmpl w:val="54FE4706"/>
    <w:lvl w:ilvl="0" w:tentative="0">
      <w:start w:val="1"/>
      <w:numFmt w:val="chineseCounting"/>
      <w:suff w:val="nothing"/>
      <w:lvlText w:val="（%1）"/>
      <w:lvlJc w:val="left"/>
    </w:lvl>
  </w:abstractNum>
  <w:abstractNum w:abstractNumId="11">
    <w:nsid w:val="691E4256"/>
    <w:multiLevelType w:val="singleLevel"/>
    <w:tmpl w:val="691E4256"/>
    <w:lvl w:ilvl="0" w:tentative="0">
      <w:start w:val="2"/>
      <w:numFmt w:val="decimal"/>
      <w:suff w:val="space"/>
      <w:lvlText w:val="%1."/>
      <w:lvlJc w:val="left"/>
    </w:lvl>
  </w:abstractNum>
  <w:abstractNum w:abstractNumId="12">
    <w:nsid w:val="6EF9235D"/>
    <w:multiLevelType w:val="multilevel"/>
    <w:tmpl w:val="6EF9235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3"/>
  </w:num>
  <w:num w:numId="4">
    <w:abstractNumId w:val="11"/>
  </w:num>
  <w:num w:numId="5">
    <w:abstractNumId w:val="0"/>
  </w:num>
  <w:num w:numId="6">
    <w:abstractNumId w:val="6"/>
  </w:num>
  <w:num w:numId="7">
    <w:abstractNumId w:val="1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924F9E"/>
    <w:rsid w:val="000351ED"/>
    <w:rsid w:val="00061025"/>
    <w:rsid w:val="00077375"/>
    <w:rsid w:val="00084617"/>
    <w:rsid w:val="00112134"/>
    <w:rsid w:val="001227C5"/>
    <w:rsid w:val="001A7643"/>
    <w:rsid w:val="001C7E06"/>
    <w:rsid w:val="00217CD8"/>
    <w:rsid w:val="002827F3"/>
    <w:rsid w:val="002F08C2"/>
    <w:rsid w:val="003249CB"/>
    <w:rsid w:val="003525D8"/>
    <w:rsid w:val="003A3D2C"/>
    <w:rsid w:val="0040660F"/>
    <w:rsid w:val="00466A74"/>
    <w:rsid w:val="00481419"/>
    <w:rsid w:val="00490B53"/>
    <w:rsid w:val="004C67B0"/>
    <w:rsid w:val="0050564E"/>
    <w:rsid w:val="00552C7F"/>
    <w:rsid w:val="005829EB"/>
    <w:rsid w:val="005D5FC2"/>
    <w:rsid w:val="005E1379"/>
    <w:rsid w:val="00612B58"/>
    <w:rsid w:val="00617393"/>
    <w:rsid w:val="006A2F7A"/>
    <w:rsid w:val="006B1F24"/>
    <w:rsid w:val="006D77DE"/>
    <w:rsid w:val="00716ECC"/>
    <w:rsid w:val="007A0192"/>
    <w:rsid w:val="007B49DC"/>
    <w:rsid w:val="007C4921"/>
    <w:rsid w:val="007D7E57"/>
    <w:rsid w:val="007F3D3C"/>
    <w:rsid w:val="008374BA"/>
    <w:rsid w:val="0085200D"/>
    <w:rsid w:val="008E7E6A"/>
    <w:rsid w:val="00902EB0"/>
    <w:rsid w:val="00924F9E"/>
    <w:rsid w:val="00936924"/>
    <w:rsid w:val="00996284"/>
    <w:rsid w:val="00A02495"/>
    <w:rsid w:val="00A2337C"/>
    <w:rsid w:val="00A9407C"/>
    <w:rsid w:val="00AF3A3C"/>
    <w:rsid w:val="00B0151E"/>
    <w:rsid w:val="00B33F62"/>
    <w:rsid w:val="00B3504E"/>
    <w:rsid w:val="00B65617"/>
    <w:rsid w:val="00BB74DB"/>
    <w:rsid w:val="00C66ECA"/>
    <w:rsid w:val="00C93265"/>
    <w:rsid w:val="00CA6590"/>
    <w:rsid w:val="00CD783B"/>
    <w:rsid w:val="00D02FE7"/>
    <w:rsid w:val="00D23EA4"/>
    <w:rsid w:val="00D943B7"/>
    <w:rsid w:val="00E02AC2"/>
    <w:rsid w:val="00E20F97"/>
    <w:rsid w:val="00E40E80"/>
    <w:rsid w:val="00E60035"/>
    <w:rsid w:val="00E80BE8"/>
    <w:rsid w:val="00E95268"/>
    <w:rsid w:val="00EF7270"/>
    <w:rsid w:val="00F24908"/>
    <w:rsid w:val="00F43520"/>
    <w:rsid w:val="00F879BE"/>
    <w:rsid w:val="00FB173E"/>
    <w:rsid w:val="00FB74AA"/>
    <w:rsid w:val="00FC34FC"/>
    <w:rsid w:val="01007442"/>
    <w:rsid w:val="034164C5"/>
    <w:rsid w:val="07757A73"/>
    <w:rsid w:val="084C2F95"/>
    <w:rsid w:val="09F47B7D"/>
    <w:rsid w:val="0BD63080"/>
    <w:rsid w:val="0CF92A3E"/>
    <w:rsid w:val="0FB13ED8"/>
    <w:rsid w:val="11430EC2"/>
    <w:rsid w:val="11BF20A2"/>
    <w:rsid w:val="17135EB5"/>
    <w:rsid w:val="178A289D"/>
    <w:rsid w:val="1D2D4C5B"/>
    <w:rsid w:val="21B87493"/>
    <w:rsid w:val="227E692E"/>
    <w:rsid w:val="22980991"/>
    <w:rsid w:val="24E231A5"/>
    <w:rsid w:val="2B370897"/>
    <w:rsid w:val="2E597525"/>
    <w:rsid w:val="2F560B4C"/>
    <w:rsid w:val="31BE4652"/>
    <w:rsid w:val="34D039B6"/>
    <w:rsid w:val="360B1967"/>
    <w:rsid w:val="36455341"/>
    <w:rsid w:val="3796474F"/>
    <w:rsid w:val="398E6FFF"/>
    <w:rsid w:val="3B5521AB"/>
    <w:rsid w:val="3EB25DD4"/>
    <w:rsid w:val="410A78B3"/>
    <w:rsid w:val="45D93588"/>
    <w:rsid w:val="47871CE6"/>
    <w:rsid w:val="527C1C01"/>
    <w:rsid w:val="53F956BE"/>
    <w:rsid w:val="54BE017D"/>
    <w:rsid w:val="576357A2"/>
    <w:rsid w:val="576810E2"/>
    <w:rsid w:val="57942715"/>
    <w:rsid w:val="5BEB7B1F"/>
    <w:rsid w:val="5F9C345E"/>
    <w:rsid w:val="645F2ECD"/>
    <w:rsid w:val="672F4A82"/>
    <w:rsid w:val="67F66831"/>
    <w:rsid w:val="6B0D1BCA"/>
    <w:rsid w:val="6D2A7867"/>
    <w:rsid w:val="728275F0"/>
    <w:rsid w:val="759D2027"/>
    <w:rsid w:val="7BF53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iPriority="63"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1"/>
      <w:szCs w:val="22"/>
      <w:lang w:val="en-US" w:eastAsia="zh-CN" w:bidi="ar-SA"/>
    </w:rPr>
  </w:style>
  <w:style w:type="paragraph" w:styleId="2">
    <w:name w:val="heading 1"/>
    <w:basedOn w:val="1"/>
    <w:next w:val="1"/>
    <w:link w:val="47"/>
    <w:qFormat/>
    <w:uiPriority w:val="0"/>
    <w:pPr>
      <w:keepNext/>
      <w:tabs>
        <w:tab w:val="left" w:pos="720"/>
        <w:tab w:val="left" w:pos="2700"/>
      </w:tabs>
      <w:spacing w:line="400" w:lineRule="exact"/>
      <w:jc w:val="center"/>
      <w:outlineLvl w:val="0"/>
    </w:pPr>
    <w:rPr>
      <w:rFonts w:ascii="Arial" w:hAnsi="Arial" w:cs="Arial"/>
      <w:bCs/>
      <w:sz w:val="44"/>
      <w:szCs w:val="24"/>
    </w:rPr>
  </w:style>
  <w:style w:type="paragraph" w:styleId="3">
    <w:name w:val="heading 2"/>
    <w:basedOn w:val="1"/>
    <w:next w:val="1"/>
    <w:link w:val="77"/>
    <w:unhideWhenUsed/>
    <w:qFormat/>
    <w:uiPriority w:val="0"/>
    <w:pPr>
      <w:keepNext/>
      <w:keepLines/>
      <w:spacing w:before="260" w:after="260" w:line="416" w:lineRule="auto"/>
      <w:jc w:val="center"/>
      <w:outlineLvl w:val="1"/>
    </w:pPr>
    <w:rPr>
      <w:rFonts w:ascii="Times New Roman" w:hAnsi="Times New Roman" w:cs="Times New Roman"/>
      <w:b/>
      <w:bCs/>
      <w:sz w:val="28"/>
      <w:szCs w:val="32"/>
    </w:rPr>
  </w:style>
  <w:style w:type="paragraph" w:styleId="4">
    <w:name w:val="heading 3"/>
    <w:basedOn w:val="1"/>
    <w:next w:val="1"/>
    <w:link w:val="49"/>
    <w:qFormat/>
    <w:uiPriority w:val="0"/>
    <w:pPr>
      <w:keepNext/>
      <w:keepLines/>
      <w:spacing w:before="260" w:after="260" w:line="413" w:lineRule="auto"/>
      <w:outlineLvl w:val="2"/>
    </w:pPr>
    <w:rPr>
      <w:rFonts w:ascii="Times New Roman" w:hAnsi="Times New Roman" w:cs="Times New Roman"/>
      <w:b/>
      <w:sz w:val="24"/>
      <w:szCs w:val="20"/>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Theme="minorHAnsi"/>
      <w:sz w:val="18"/>
      <w:szCs w:val="18"/>
    </w:rPr>
  </w:style>
  <w:style w:type="paragraph" w:styleId="6">
    <w:name w:val="Document Map"/>
    <w:basedOn w:val="1"/>
    <w:link w:val="264"/>
    <w:semiHidden/>
    <w:qFormat/>
    <w:uiPriority w:val="0"/>
    <w:pPr>
      <w:shd w:val="clear" w:color="auto" w:fill="000080"/>
    </w:pPr>
    <w:rPr>
      <w:rFonts w:ascii="Times New Roman" w:hAnsi="Times New Roman" w:eastAsia="宋体" w:cs="Times New Roman"/>
      <w:szCs w:val="24"/>
    </w:rPr>
  </w:style>
  <w:style w:type="paragraph" w:styleId="7">
    <w:name w:val="annotation text"/>
    <w:basedOn w:val="1"/>
    <w:link w:val="56"/>
    <w:qFormat/>
    <w:uiPriority w:val="0"/>
    <w:pPr>
      <w:jc w:val="left"/>
    </w:pPr>
    <w:rPr>
      <w:rFonts w:ascii="Times New Roman" w:hAnsi="Times New Roman" w:eastAsia="宋体" w:cs="Times New Roman"/>
      <w:szCs w:val="24"/>
    </w:rPr>
  </w:style>
  <w:style w:type="paragraph" w:styleId="8">
    <w:name w:val="Salutation"/>
    <w:basedOn w:val="1"/>
    <w:next w:val="1"/>
    <w:link w:val="51"/>
    <w:qFormat/>
    <w:uiPriority w:val="0"/>
    <w:rPr>
      <w:rFonts w:ascii="宋体" w:hAnsi="Times New Roman" w:eastAsia="宋体" w:cs="Times New Roman"/>
      <w:sz w:val="24"/>
      <w:szCs w:val="20"/>
    </w:rPr>
  </w:style>
  <w:style w:type="paragraph" w:styleId="9">
    <w:name w:val="Body Text"/>
    <w:basedOn w:val="1"/>
    <w:link w:val="88"/>
    <w:qFormat/>
    <w:uiPriority w:val="0"/>
    <w:pPr>
      <w:spacing w:after="120"/>
    </w:pPr>
    <w:rPr>
      <w:rFonts w:ascii="Book Antiqua" w:hAnsi="Book Antiqua" w:eastAsia="宋体" w:cs="Times New Roman"/>
      <w:sz w:val="24"/>
      <w:szCs w:val="24"/>
    </w:rPr>
  </w:style>
  <w:style w:type="paragraph" w:styleId="10">
    <w:name w:val="Body Text Indent"/>
    <w:basedOn w:val="1"/>
    <w:link w:val="62"/>
    <w:qFormat/>
    <w:uiPriority w:val="0"/>
    <w:pPr>
      <w:spacing w:line="360" w:lineRule="auto"/>
      <w:ind w:firstLine="420" w:firstLineChars="200"/>
    </w:pPr>
    <w:rPr>
      <w:rFonts w:ascii="Calibri" w:hAnsi="Calibri"/>
      <w:szCs w:val="24"/>
    </w:rPr>
  </w:style>
  <w:style w:type="paragraph" w:styleId="11">
    <w:name w:val="toc 5"/>
    <w:basedOn w:val="1"/>
    <w:next w:val="1"/>
    <w:unhideWhenUsed/>
    <w:qFormat/>
    <w:uiPriority w:val="39"/>
    <w:pPr>
      <w:ind w:left="840"/>
      <w:jc w:val="left"/>
    </w:pPr>
    <w:rPr>
      <w:rFonts w:eastAsiaTheme="minorHAnsi"/>
      <w:sz w:val="18"/>
      <w:szCs w:val="18"/>
    </w:rPr>
  </w:style>
  <w:style w:type="paragraph" w:styleId="12">
    <w:name w:val="toc 3"/>
    <w:basedOn w:val="1"/>
    <w:next w:val="1"/>
    <w:unhideWhenUsed/>
    <w:qFormat/>
    <w:uiPriority w:val="39"/>
    <w:pPr>
      <w:ind w:left="420"/>
      <w:jc w:val="left"/>
    </w:pPr>
    <w:rPr>
      <w:rFonts w:eastAsiaTheme="minorHAnsi"/>
      <w:i/>
      <w:iCs/>
      <w:sz w:val="20"/>
      <w:szCs w:val="20"/>
    </w:rPr>
  </w:style>
  <w:style w:type="paragraph" w:styleId="13">
    <w:name w:val="Plain Text"/>
    <w:basedOn w:val="1"/>
    <w:link w:val="84"/>
    <w:qFormat/>
    <w:uiPriority w:val="0"/>
    <w:rPr>
      <w:rFonts w:ascii="宋体" w:hAnsi="Courier New" w:eastAsia="宋体" w:cs="Times New Roman"/>
      <w:szCs w:val="21"/>
    </w:rPr>
  </w:style>
  <w:style w:type="paragraph" w:styleId="14">
    <w:name w:val="toc 8"/>
    <w:basedOn w:val="1"/>
    <w:next w:val="1"/>
    <w:unhideWhenUsed/>
    <w:qFormat/>
    <w:uiPriority w:val="39"/>
    <w:pPr>
      <w:ind w:left="1470"/>
      <w:jc w:val="left"/>
    </w:pPr>
    <w:rPr>
      <w:rFonts w:eastAsiaTheme="minorHAnsi"/>
      <w:sz w:val="18"/>
      <w:szCs w:val="18"/>
    </w:rPr>
  </w:style>
  <w:style w:type="paragraph" w:styleId="15">
    <w:name w:val="Date"/>
    <w:basedOn w:val="1"/>
    <w:next w:val="1"/>
    <w:link w:val="52"/>
    <w:qFormat/>
    <w:uiPriority w:val="0"/>
    <w:pPr>
      <w:ind w:left="100" w:leftChars="2500"/>
    </w:pPr>
    <w:rPr>
      <w:rFonts w:ascii="Times New Roman" w:hAnsi="Times New Roman" w:eastAsia="宋体" w:cs="Times New Roman"/>
      <w:b/>
      <w:bCs/>
      <w:sz w:val="36"/>
      <w:szCs w:val="24"/>
    </w:rPr>
  </w:style>
  <w:style w:type="paragraph" w:styleId="16">
    <w:name w:val="Body Text Indent 2"/>
    <w:basedOn w:val="1"/>
    <w:link w:val="90"/>
    <w:qFormat/>
    <w:uiPriority w:val="0"/>
    <w:pPr>
      <w:spacing w:after="120" w:line="480" w:lineRule="auto"/>
      <w:ind w:left="420" w:leftChars="200"/>
    </w:pPr>
    <w:rPr>
      <w:rFonts w:ascii="Book Antiqua" w:hAnsi="Book Antiqua" w:eastAsia="宋体" w:cs="Times New Roman"/>
      <w:sz w:val="24"/>
      <w:szCs w:val="24"/>
    </w:rPr>
  </w:style>
  <w:style w:type="paragraph" w:styleId="17">
    <w:name w:val="endnote text"/>
    <w:basedOn w:val="1"/>
    <w:link w:val="110"/>
    <w:semiHidden/>
    <w:unhideWhenUsed/>
    <w:qFormat/>
    <w:uiPriority w:val="99"/>
    <w:pPr>
      <w:snapToGrid w:val="0"/>
      <w:jc w:val="left"/>
    </w:pPr>
  </w:style>
  <w:style w:type="paragraph" w:styleId="18">
    <w:name w:val="Balloon Text"/>
    <w:basedOn w:val="1"/>
    <w:link w:val="55"/>
    <w:qFormat/>
    <w:uiPriority w:val="0"/>
    <w:rPr>
      <w:rFonts w:ascii="Times New Roman" w:hAnsi="Times New Roman" w:eastAsia="宋体" w:cs="Times New Roman"/>
      <w:sz w:val="18"/>
      <w:szCs w:val="18"/>
    </w:rPr>
  </w:style>
  <w:style w:type="paragraph" w:styleId="19">
    <w:name w:val="footer"/>
    <w:basedOn w:val="1"/>
    <w:link w:val="42"/>
    <w:unhideWhenUsed/>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20">
    <w:name w:val="header"/>
    <w:basedOn w:val="1"/>
    <w:link w:val="41"/>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1">
    <w:name w:val="toc 1"/>
    <w:basedOn w:val="1"/>
    <w:next w:val="1"/>
    <w:unhideWhenUsed/>
    <w:qFormat/>
    <w:uiPriority w:val="39"/>
    <w:pPr>
      <w:tabs>
        <w:tab w:val="right" w:leader="dot" w:pos="8296"/>
      </w:tabs>
      <w:spacing w:before="120" w:after="120"/>
      <w:jc w:val="left"/>
    </w:pPr>
    <w:rPr>
      <w:rFonts w:eastAsiaTheme="minorHAnsi"/>
      <w:b/>
      <w:bCs/>
      <w:caps/>
      <w:sz w:val="20"/>
      <w:szCs w:val="20"/>
    </w:rPr>
  </w:style>
  <w:style w:type="paragraph" w:styleId="22">
    <w:name w:val="toc 4"/>
    <w:basedOn w:val="1"/>
    <w:next w:val="1"/>
    <w:unhideWhenUsed/>
    <w:qFormat/>
    <w:uiPriority w:val="39"/>
    <w:pPr>
      <w:ind w:left="630"/>
      <w:jc w:val="left"/>
    </w:pPr>
    <w:rPr>
      <w:rFonts w:eastAsiaTheme="minorHAnsi"/>
      <w:sz w:val="18"/>
      <w:szCs w:val="18"/>
    </w:rPr>
  </w:style>
  <w:style w:type="paragraph" w:styleId="23">
    <w:name w:val="toc 6"/>
    <w:basedOn w:val="1"/>
    <w:next w:val="1"/>
    <w:unhideWhenUsed/>
    <w:qFormat/>
    <w:uiPriority w:val="39"/>
    <w:pPr>
      <w:ind w:left="1050"/>
      <w:jc w:val="left"/>
    </w:pPr>
    <w:rPr>
      <w:rFonts w:eastAsiaTheme="minorHAnsi"/>
      <w:sz w:val="18"/>
      <w:szCs w:val="18"/>
    </w:rPr>
  </w:style>
  <w:style w:type="paragraph" w:styleId="24">
    <w:name w:val="toc 2"/>
    <w:basedOn w:val="1"/>
    <w:next w:val="1"/>
    <w:unhideWhenUsed/>
    <w:qFormat/>
    <w:uiPriority w:val="0"/>
    <w:pPr>
      <w:ind w:left="210"/>
      <w:jc w:val="left"/>
    </w:pPr>
    <w:rPr>
      <w:rFonts w:eastAsiaTheme="minorHAnsi"/>
      <w:smallCaps/>
      <w:sz w:val="20"/>
      <w:szCs w:val="20"/>
    </w:rPr>
  </w:style>
  <w:style w:type="paragraph" w:styleId="25">
    <w:name w:val="toc 9"/>
    <w:basedOn w:val="1"/>
    <w:next w:val="1"/>
    <w:unhideWhenUsed/>
    <w:qFormat/>
    <w:uiPriority w:val="39"/>
    <w:pPr>
      <w:ind w:left="1680"/>
      <w:jc w:val="left"/>
    </w:pPr>
    <w:rPr>
      <w:rFonts w:eastAsiaTheme="minorHAnsi"/>
      <w:sz w:val="18"/>
      <w:szCs w:val="18"/>
    </w:rPr>
  </w:style>
  <w:style w:type="paragraph" w:styleId="26">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29">
    <w:name w:val="annotation subject"/>
    <w:basedOn w:val="7"/>
    <w:next w:val="7"/>
    <w:link w:val="57"/>
    <w:semiHidden/>
    <w:qFormat/>
    <w:uiPriority w:val="0"/>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Medium Shading 1 Accent 1"/>
    <w:basedOn w:val="30"/>
    <w:semiHidden/>
    <w:unhideWhenUsed/>
    <w:qFormat/>
    <w:uiPriority w:val="63"/>
    <w:tblPr>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bl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1" w:themeFillTint="3F"/>
      </w:tcPr>
    </w:tblStylePr>
    <w:tblStylePr w:type="band1Horz">
      <w:tblPr/>
      <w:tcPr>
        <w:tcBorders>
          <w:insideH w:val="nil"/>
          <w:insideV w:val="nil"/>
        </w:tcBorders>
        <w:shd w:val="clear" w:color="auto" w:fill="D0DCF0" w:themeFill="accent1" w:themeFillTint="3F"/>
      </w:tcPr>
    </w:tblStylePr>
    <w:tblStylePr w:type="band2Horz">
      <w:tblPr/>
      <w:tcPr>
        <w:tcBorders>
          <w:insideH w:val="nil"/>
          <w:insideV w:val="nil"/>
        </w:tcBorders>
      </w:tcPr>
    </w:tblStylePr>
  </w:style>
  <w:style w:type="character" w:styleId="34">
    <w:name w:val="endnote reference"/>
    <w:basedOn w:val="33"/>
    <w:semiHidden/>
    <w:unhideWhenUsed/>
    <w:qFormat/>
    <w:uiPriority w:val="99"/>
    <w:rPr>
      <w:vertAlign w:val="superscript"/>
    </w:rPr>
  </w:style>
  <w:style w:type="character" w:styleId="35">
    <w:name w:val="page number"/>
    <w:basedOn w:val="33"/>
    <w:qFormat/>
    <w:uiPriority w:val="0"/>
  </w:style>
  <w:style w:type="character" w:styleId="36">
    <w:name w:val="FollowedHyperlink"/>
    <w:basedOn w:val="33"/>
    <w:semiHidden/>
    <w:unhideWhenUsed/>
    <w:qFormat/>
    <w:uiPriority w:val="99"/>
    <w:rPr>
      <w:color w:val="954F72" w:themeColor="followedHyperlink"/>
      <w:u w:val="single"/>
      <w14:textFill>
        <w14:solidFill>
          <w14:schemeClr w14:val="folHlink"/>
        </w14:solidFill>
      </w14:textFill>
    </w:rPr>
  </w:style>
  <w:style w:type="character" w:styleId="37">
    <w:name w:val="Emphasis"/>
    <w:qFormat/>
    <w:uiPriority w:val="20"/>
    <w:rPr>
      <w:i/>
      <w:iCs/>
    </w:rPr>
  </w:style>
  <w:style w:type="character" w:styleId="38">
    <w:name w:val="Hyperlink"/>
    <w:basedOn w:val="33"/>
    <w:unhideWhenUsed/>
    <w:qFormat/>
    <w:uiPriority w:val="99"/>
    <w:rPr>
      <w:color w:val="0563C1" w:themeColor="hyperlink"/>
      <w:u w:val="single"/>
      <w14:textFill>
        <w14:solidFill>
          <w14:schemeClr w14:val="hlink"/>
        </w14:solidFill>
      </w14:textFill>
    </w:rPr>
  </w:style>
  <w:style w:type="character" w:styleId="39">
    <w:name w:val="annotation reference"/>
    <w:qFormat/>
    <w:uiPriority w:val="0"/>
    <w:rPr>
      <w:sz w:val="21"/>
      <w:szCs w:val="21"/>
    </w:rPr>
  </w:style>
  <w:style w:type="paragraph" w:customStyle="1" w:styleId="40">
    <w:name w:val="在表格内文字"/>
    <w:basedOn w:val="1"/>
    <w:qFormat/>
    <w:uiPriority w:val="0"/>
    <w:rPr>
      <w:rFonts w:ascii="Times New Roman" w:hAnsi="Times New Roman" w:eastAsia="楷体" w:cs="Times New Roman"/>
      <w:szCs w:val="24"/>
    </w:rPr>
  </w:style>
  <w:style w:type="character" w:customStyle="1" w:styleId="41">
    <w:name w:val="页眉 字符"/>
    <w:basedOn w:val="33"/>
    <w:link w:val="20"/>
    <w:qFormat/>
    <w:uiPriority w:val="0"/>
    <w:rPr>
      <w:rFonts w:ascii="Times New Roman" w:hAnsi="Times New Roman" w:eastAsia="宋体" w:cs="Times New Roman"/>
      <w:sz w:val="18"/>
      <w:szCs w:val="18"/>
    </w:rPr>
  </w:style>
  <w:style w:type="character" w:customStyle="1" w:styleId="42">
    <w:name w:val="页脚 字符"/>
    <w:basedOn w:val="33"/>
    <w:link w:val="19"/>
    <w:qFormat/>
    <w:uiPriority w:val="99"/>
    <w:rPr>
      <w:rFonts w:ascii="Times New Roman" w:hAnsi="Times New Roman" w:eastAsia="宋体" w:cs="Times New Roman"/>
      <w:sz w:val="18"/>
      <w:szCs w:val="18"/>
    </w:rPr>
  </w:style>
  <w:style w:type="paragraph" w:styleId="43">
    <w:name w:val="List Paragraph"/>
    <w:basedOn w:val="1"/>
    <w:qFormat/>
    <w:uiPriority w:val="34"/>
    <w:pPr>
      <w:ind w:firstLine="420" w:firstLineChars="200"/>
    </w:pPr>
    <w:rPr>
      <w:rFonts w:ascii="Times New Roman" w:hAnsi="Times New Roman" w:eastAsia="宋体" w:cs="Times New Roman"/>
      <w:szCs w:val="24"/>
    </w:rPr>
  </w:style>
  <w:style w:type="character" w:customStyle="1" w:styleId="44">
    <w:name w:val="超链接1"/>
    <w:basedOn w:val="33"/>
    <w:unhideWhenUsed/>
    <w:qFormat/>
    <w:uiPriority w:val="99"/>
    <w:rPr>
      <w:color w:val="0000FF"/>
      <w:u w:val="single"/>
    </w:rPr>
  </w:style>
  <w:style w:type="character" w:customStyle="1" w:styleId="45">
    <w:name w:val="未处理的提及1"/>
    <w:basedOn w:val="33"/>
    <w:semiHidden/>
    <w:unhideWhenUsed/>
    <w:qFormat/>
    <w:uiPriority w:val="99"/>
    <w:rPr>
      <w:color w:val="605E5C"/>
      <w:shd w:val="clear" w:color="auto" w:fill="E1DFDD"/>
    </w:rPr>
  </w:style>
  <w:style w:type="character" w:customStyle="1" w:styleId="46">
    <w:name w:val="访问过的超链接1"/>
    <w:basedOn w:val="33"/>
    <w:semiHidden/>
    <w:unhideWhenUsed/>
    <w:qFormat/>
    <w:uiPriority w:val="99"/>
    <w:rPr>
      <w:color w:val="800080"/>
      <w:u w:val="single"/>
    </w:rPr>
  </w:style>
  <w:style w:type="character" w:customStyle="1" w:styleId="47">
    <w:name w:val="标题 1 字符"/>
    <w:basedOn w:val="33"/>
    <w:link w:val="2"/>
    <w:qFormat/>
    <w:uiPriority w:val="0"/>
    <w:rPr>
      <w:rFonts w:ascii="Arial" w:hAnsi="Arial" w:eastAsia="宋体" w:cs="Arial"/>
      <w:bCs/>
      <w:sz w:val="44"/>
      <w:szCs w:val="24"/>
    </w:rPr>
  </w:style>
  <w:style w:type="character" w:customStyle="1" w:styleId="48">
    <w:name w:val="标题 2 字符"/>
    <w:basedOn w:val="33"/>
    <w:semiHidden/>
    <w:qFormat/>
    <w:uiPriority w:val="9"/>
    <w:rPr>
      <w:rFonts w:asciiTheme="majorHAnsi" w:hAnsiTheme="majorHAnsi" w:eastAsiaTheme="majorEastAsia" w:cstheme="majorBidi"/>
      <w:b/>
      <w:bCs/>
      <w:sz w:val="32"/>
      <w:szCs w:val="32"/>
    </w:rPr>
  </w:style>
  <w:style w:type="character" w:customStyle="1" w:styleId="49">
    <w:name w:val="标题 3 字符"/>
    <w:basedOn w:val="33"/>
    <w:link w:val="4"/>
    <w:qFormat/>
    <w:uiPriority w:val="0"/>
    <w:rPr>
      <w:rFonts w:ascii="Times New Roman" w:hAnsi="Times New Roman" w:eastAsia="宋体" w:cs="Times New Roman"/>
      <w:b/>
      <w:sz w:val="24"/>
      <w:szCs w:val="20"/>
    </w:rPr>
  </w:style>
  <w:style w:type="character" w:styleId="50">
    <w:name w:val="Placeholder Text"/>
    <w:basedOn w:val="33"/>
    <w:semiHidden/>
    <w:qFormat/>
    <w:uiPriority w:val="99"/>
    <w:rPr>
      <w:color w:val="808080"/>
    </w:rPr>
  </w:style>
  <w:style w:type="character" w:customStyle="1" w:styleId="51">
    <w:name w:val="称呼 字符"/>
    <w:basedOn w:val="33"/>
    <w:link w:val="8"/>
    <w:qFormat/>
    <w:uiPriority w:val="0"/>
    <w:rPr>
      <w:rFonts w:ascii="宋体" w:hAnsi="Times New Roman" w:eastAsia="宋体" w:cs="Times New Roman"/>
      <w:sz w:val="24"/>
      <w:szCs w:val="20"/>
    </w:rPr>
  </w:style>
  <w:style w:type="character" w:customStyle="1" w:styleId="52">
    <w:name w:val="日期 字符"/>
    <w:basedOn w:val="33"/>
    <w:link w:val="15"/>
    <w:qFormat/>
    <w:uiPriority w:val="0"/>
    <w:rPr>
      <w:rFonts w:ascii="Times New Roman" w:hAnsi="Times New Roman" w:eastAsia="宋体" w:cs="Times New Roman"/>
      <w:b/>
      <w:bCs/>
      <w:sz w:val="36"/>
      <w:szCs w:val="24"/>
    </w:rPr>
  </w:style>
  <w:style w:type="character" w:customStyle="1" w:styleId="53">
    <w:name w:val="页眉 字符2"/>
    <w:qFormat/>
    <w:uiPriority w:val="99"/>
    <w:rPr>
      <w:rFonts w:ascii="Times New Roman" w:hAnsi="Times New Roman" w:eastAsia="宋体" w:cs="Times New Roman"/>
      <w:sz w:val="18"/>
      <w:szCs w:val="18"/>
    </w:rPr>
  </w:style>
  <w:style w:type="character" w:customStyle="1" w:styleId="54">
    <w:name w:val="页脚 字符2"/>
    <w:qFormat/>
    <w:uiPriority w:val="99"/>
    <w:rPr>
      <w:rFonts w:ascii="Times New Roman" w:hAnsi="Times New Roman" w:eastAsia="宋体" w:cs="Times New Roman"/>
      <w:sz w:val="18"/>
      <w:szCs w:val="18"/>
    </w:rPr>
  </w:style>
  <w:style w:type="character" w:customStyle="1" w:styleId="55">
    <w:name w:val="批注框文本 字符"/>
    <w:basedOn w:val="33"/>
    <w:link w:val="18"/>
    <w:qFormat/>
    <w:uiPriority w:val="0"/>
    <w:rPr>
      <w:rFonts w:ascii="Times New Roman" w:hAnsi="Times New Roman" w:eastAsia="宋体" w:cs="Times New Roman"/>
      <w:sz w:val="18"/>
      <w:szCs w:val="18"/>
    </w:rPr>
  </w:style>
  <w:style w:type="character" w:customStyle="1" w:styleId="56">
    <w:name w:val="批注文字 字符"/>
    <w:basedOn w:val="33"/>
    <w:link w:val="7"/>
    <w:qFormat/>
    <w:uiPriority w:val="0"/>
    <w:rPr>
      <w:rFonts w:ascii="Times New Roman" w:hAnsi="Times New Roman" w:eastAsia="宋体" w:cs="Times New Roman"/>
      <w:szCs w:val="24"/>
    </w:rPr>
  </w:style>
  <w:style w:type="character" w:customStyle="1" w:styleId="57">
    <w:name w:val="批注主题 字符"/>
    <w:basedOn w:val="56"/>
    <w:link w:val="29"/>
    <w:semiHidden/>
    <w:qFormat/>
    <w:uiPriority w:val="0"/>
    <w:rPr>
      <w:rFonts w:ascii="Times New Roman" w:hAnsi="Times New Roman" w:eastAsia="宋体" w:cs="Times New Roman"/>
      <w:b/>
      <w:bCs/>
      <w:szCs w:val="24"/>
    </w:rPr>
  </w:style>
  <w:style w:type="paragraph" w:customStyle="1" w:styleId="58">
    <w:name w:val="列出段落1"/>
    <w:basedOn w:val="1"/>
    <w:qFormat/>
    <w:uiPriority w:val="99"/>
    <w:pPr>
      <w:ind w:firstLine="420" w:firstLineChars="200"/>
    </w:pPr>
    <w:rPr>
      <w:rFonts w:ascii="Calibri" w:hAnsi="Calibri" w:eastAsia="宋体" w:cs="Times New Roman"/>
    </w:rPr>
  </w:style>
  <w:style w:type="table" w:customStyle="1" w:styleId="59">
    <w:name w:val="网格型1"/>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
    <w:name w:val="中等深浅底纹 1 - 着色 1 字符"/>
    <w:link w:val="61"/>
    <w:qFormat/>
    <w:uiPriority w:val="1"/>
    <w:rPr>
      <w:rFonts w:ascii="Calibri" w:hAnsi="Calibri"/>
      <w:sz w:val="22"/>
    </w:rPr>
  </w:style>
  <w:style w:type="paragraph" w:customStyle="1" w:styleId="61">
    <w:name w:val="中等深浅底纹 1 - 着色 11"/>
    <w:link w:val="60"/>
    <w:qFormat/>
    <w:uiPriority w:val="1"/>
    <w:rPr>
      <w:rFonts w:ascii="Calibri" w:hAnsi="Calibri" w:eastAsiaTheme="minorEastAsia" w:cstheme="minorBidi"/>
      <w:kern w:val="2"/>
      <w:sz w:val="22"/>
      <w:szCs w:val="22"/>
      <w:lang w:val="en-US" w:eastAsia="zh-CN" w:bidi="ar-SA"/>
    </w:rPr>
  </w:style>
  <w:style w:type="character" w:customStyle="1" w:styleId="62">
    <w:name w:val="正文文本缩进 字符"/>
    <w:link w:val="10"/>
    <w:qFormat/>
    <w:uiPriority w:val="0"/>
    <w:rPr>
      <w:rFonts w:ascii="Calibri" w:hAnsi="Calibri"/>
      <w:szCs w:val="24"/>
    </w:rPr>
  </w:style>
  <w:style w:type="character" w:customStyle="1" w:styleId="63">
    <w:name w:val="正文文本缩进 Char"/>
    <w:qFormat/>
    <w:uiPriority w:val="0"/>
    <w:rPr>
      <w:kern w:val="2"/>
      <w:sz w:val="21"/>
      <w:szCs w:val="24"/>
    </w:rPr>
  </w:style>
  <w:style w:type="character" w:customStyle="1" w:styleId="64">
    <w:name w:val="页眉 字符1"/>
    <w:basedOn w:val="33"/>
    <w:semiHidden/>
    <w:qFormat/>
    <w:uiPriority w:val="99"/>
    <w:rPr>
      <w:kern w:val="2"/>
      <w:sz w:val="18"/>
      <w:szCs w:val="18"/>
    </w:rPr>
  </w:style>
  <w:style w:type="character" w:customStyle="1" w:styleId="65">
    <w:name w:val="页脚 字符1"/>
    <w:basedOn w:val="33"/>
    <w:semiHidden/>
    <w:qFormat/>
    <w:uiPriority w:val="99"/>
    <w:rPr>
      <w:kern w:val="2"/>
      <w:sz w:val="18"/>
      <w:szCs w:val="18"/>
    </w:rPr>
  </w:style>
  <w:style w:type="character" w:customStyle="1" w:styleId="66">
    <w:name w:val="正文文本缩进 字符1"/>
    <w:basedOn w:val="33"/>
    <w:qFormat/>
    <w:uiPriority w:val="0"/>
  </w:style>
  <w:style w:type="paragraph" w:customStyle="1" w:styleId="67">
    <w:name w:val="彩色底纹 - 着色 11"/>
    <w:unhideWhenUsed/>
    <w:qFormat/>
    <w:uiPriority w:val="99"/>
    <w:rPr>
      <w:rFonts w:ascii="Times New Roman" w:hAnsi="Times New Roman" w:eastAsia="宋体" w:cs="Times New Roman"/>
      <w:kern w:val="2"/>
      <w:sz w:val="21"/>
      <w:szCs w:val="24"/>
      <w:lang w:val="en-US" w:eastAsia="zh-CN" w:bidi="ar-SA"/>
    </w:rPr>
  </w:style>
  <w:style w:type="paragraph" w:customStyle="1" w:styleId="68">
    <w:name w:val="1标题"/>
    <w:basedOn w:val="1"/>
    <w:qFormat/>
    <w:uiPriority w:val="0"/>
    <w:pPr>
      <w:adjustRightInd w:val="0"/>
      <w:snapToGrid w:val="0"/>
      <w:spacing w:line="300" w:lineRule="auto"/>
      <w:ind w:firstLine="560" w:firstLineChars="200"/>
    </w:pPr>
    <w:rPr>
      <w:rFonts w:ascii="黑体" w:hAnsi="宋体" w:eastAsia="黑体" w:cs="Times New Roman"/>
      <w:sz w:val="28"/>
      <w:szCs w:val="28"/>
    </w:rPr>
  </w:style>
  <w:style w:type="paragraph" w:customStyle="1" w:styleId="69">
    <w:name w:val="中等深浅网格 1 - 着色 21"/>
    <w:basedOn w:val="1"/>
    <w:qFormat/>
    <w:uiPriority w:val="34"/>
    <w:pPr>
      <w:ind w:firstLine="420" w:firstLineChars="200"/>
    </w:pPr>
    <w:rPr>
      <w:rFonts w:ascii="Times New Roman" w:hAnsi="Times New Roman" w:eastAsia="宋体" w:cs="Times New Roman"/>
      <w:szCs w:val="24"/>
    </w:rPr>
  </w:style>
  <w:style w:type="table" w:customStyle="1" w:styleId="70">
    <w:name w:val="网格型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无间隔 字符"/>
    <w:link w:val="72"/>
    <w:qFormat/>
    <w:uiPriority w:val="1"/>
    <w:rPr>
      <w:rFonts w:ascii="Calibri" w:hAnsi="Calibri"/>
      <w:sz w:val="22"/>
    </w:rPr>
  </w:style>
  <w:style w:type="paragraph" w:styleId="72">
    <w:name w:val="No Spacing"/>
    <w:link w:val="71"/>
    <w:qFormat/>
    <w:uiPriority w:val="1"/>
    <w:rPr>
      <w:rFonts w:ascii="Calibri" w:hAnsi="Calibri" w:eastAsiaTheme="minorEastAsia" w:cstheme="minorBidi"/>
      <w:kern w:val="2"/>
      <w:sz w:val="22"/>
      <w:szCs w:val="22"/>
      <w:lang w:val="en-US" w:eastAsia="zh-CN" w:bidi="ar-SA"/>
    </w:rPr>
  </w:style>
  <w:style w:type="table" w:customStyle="1" w:styleId="73">
    <w:name w:val="网格型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
    <w:name w:val="页眉 Char"/>
    <w:qFormat/>
    <w:uiPriority w:val="99"/>
    <w:rPr>
      <w:kern w:val="2"/>
      <w:sz w:val="18"/>
      <w:szCs w:val="18"/>
    </w:rPr>
  </w:style>
  <w:style w:type="character" w:customStyle="1" w:styleId="75">
    <w:name w:val="页脚 Char"/>
    <w:qFormat/>
    <w:uiPriority w:val="99"/>
    <w:rPr>
      <w:kern w:val="2"/>
      <w:sz w:val="18"/>
      <w:szCs w:val="18"/>
    </w:rPr>
  </w:style>
  <w:style w:type="character" w:customStyle="1" w:styleId="76">
    <w:name w:val="无间隔 Char"/>
    <w:qFormat/>
    <w:uiPriority w:val="1"/>
    <w:rPr>
      <w:rFonts w:ascii="Calibri" w:hAnsi="Calibri"/>
      <w:sz w:val="22"/>
      <w:szCs w:val="22"/>
    </w:rPr>
  </w:style>
  <w:style w:type="character" w:customStyle="1" w:styleId="77">
    <w:name w:val="标题 2 字符1"/>
    <w:basedOn w:val="33"/>
    <w:link w:val="3"/>
    <w:semiHidden/>
    <w:qFormat/>
    <w:uiPriority w:val="0"/>
    <w:rPr>
      <w:rFonts w:ascii="Times New Roman" w:hAnsi="Times New Roman" w:eastAsia="宋体" w:cs="Times New Roman"/>
      <w:b/>
      <w:bCs/>
      <w:sz w:val="28"/>
      <w:szCs w:val="32"/>
    </w:rPr>
  </w:style>
  <w:style w:type="character" w:customStyle="1" w:styleId="78">
    <w:name w:val="批注文字 Char"/>
    <w:basedOn w:val="33"/>
    <w:qFormat/>
    <w:uiPriority w:val="99"/>
  </w:style>
  <w:style w:type="character" w:customStyle="1" w:styleId="79">
    <w:name w:val="批注框文本 Char"/>
    <w:basedOn w:val="33"/>
    <w:qFormat/>
    <w:uiPriority w:val="0"/>
    <w:rPr>
      <w:sz w:val="18"/>
      <w:szCs w:val="18"/>
    </w:rPr>
  </w:style>
  <w:style w:type="character" w:customStyle="1" w:styleId="80">
    <w:name w:val="trans"/>
    <w:basedOn w:val="33"/>
    <w:qFormat/>
    <w:uiPriority w:val="0"/>
  </w:style>
  <w:style w:type="paragraph" w:customStyle="1" w:styleId="81">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82">
    <w:name w:val="不明显强调1"/>
    <w:qFormat/>
    <w:uiPriority w:val="19"/>
    <w:rPr>
      <w:i/>
      <w:iCs/>
      <w:color w:val="404040"/>
    </w:rPr>
  </w:style>
  <w:style w:type="character" w:customStyle="1" w:styleId="83">
    <w:name w:val="纯文本 字符"/>
    <w:basedOn w:val="33"/>
    <w:qFormat/>
    <w:uiPriority w:val="0"/>
    <w:rPr>
      <w:rFonts w:hAnsi="Courier New" w:cs="Courier New" w:asciiTheme="minorEastAsia"/>
    </w:rPr>
  </w:style>
  <w:style w:type="character" w:customStyle="1" w:styleId="84">
    <w:name w:val="纯文本 字符1"/>
    <w:basedOn w:val="33"/>
    <w:link w:val="13"/>
    <w:qFormat/>
    <w:uiPriority w:val="0"/>
    <w:rPr>
      <w:rFonts w:ascii="宋体" w:hAnsi="Courier New" w:eastAsia="宋体" w:cs="Times New Roman"/>
      <w:szCs w:val="21"/>
    </w:rPr>
  </w:style>
  <w:style w:type="table" w:customStyle="1" w:styleId="85">
    <w:name w:val="网格型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
    <w:name w:val="样式1"/>
    <w:basedOn w:val="1"/>
    <w:qFormat/>
    <w:uiPriority w:val="0"/>
    <w:rPr>
      <w:rFonts w:ascii="Book Antiqua" w:hAnsi="Book Antiqua" w:eastAsia="宋体" w:cs="Times New Roman"/>
      <w:sz w:val="24"/>
      <w:szCs w:val="20"/>
    </w:rPr>
  </w:style>
  <w:style w:type="character" w:customStyle="1" w:styleId="87">
    <w:name w:val="正文文本 字符"/>
    <w:basedOn w:val="33"/>
    <w:semiHidden/>
    <w:qFormat/>
    <w:uiPriority w:val="99"/>
  </w:style>
  <w:style w:type="character" w:customStyle="1" w:styleId="88">
    <w:name w:val="正文文本 字符1"/>
    <w:basedOn w:val="33"/>
    <w:link w:val="9"/>
    <w:qFormat/>
    <w:uiPriority w:val="0"/>
    <w:rPr>
      <w:rFonts w:ascii="Book Antiqua" w:hAnsi="Book Antiqua" w:eastAsia="宋体" w:cs="Times New Roman"/>
      <w:sz w:val="24"/>
      <w:szCs w:val="24"/>
    </w:rPr>
  </w:style>
  <w:style w:type="character" w:customStyle="1" w:styleId="89">
    <w:name w:val="正文文本缩进 2 字符"/>
    <w:basedOn w:val="33"/>
    <w:qFormat/>
    <w:uiPriority w:val="0"/>
  </w:style>
  <w:style w:type="character" w:customStyle="1" w:styleId="90">
    <w:name w:val="正文文本缩进 2 字符1"/>
    <w:basedOn w:val="33"/>
    <w:link w:val="16"/>
    <w:qFormat/>
    <w:uiPriority w:val="0"/>
    <w:rPr>
      <w:rFonts w:ascii="Book Antiqua" w:hAnsi="Book Antiqua" w:eastAsia="宋体" w:cs="Times New Roman"/>
      <w:sz w:val="24"/>
      <w:szCs w:val="24"/>
    </w:rPr>
  </w:style>
  <w:style w:type="character" w:customStyle="1" w:styleId="91">
    <w:name w:val="apple-converted-space"/>
    <w:basedOn w:val="33"/>
    <w:qFormat/>
    <w:uiPriority w:val="0"/>
  </w:style>
  <w:style w:type="character" w:customStyle="1" w:styleId="92">
    <w:name w:val="中等深浅网格 2 Char"/>
    <w:link w:val="93"/>
    <w:qFormat/>
    <w:uiPriority w:val="1"/>
    <w:rPr>
      <w:rFonts w:ascii="Calibri" w:hAnsi="Calibri"/>
      <w:sz w:val="22"/>
    </w:rPr>
  </w:style>
  <w:style w:type="paragraph" w:customStyle="1" w:styleId="93">
    <w:name w:val="中等深浅网格 21"/>
    <w:link w:val="92"/>
    <w:qFormat/>
    <w:uiPriority w:val="1"/>
    <w:rPr>
      <w:rFonts w:ascii="Calibri" w:hAnsi="Calibri" w:eastAsiaTheme="minorEastAsia" w:cstheme="minorBidi"/>
      <w:kern w:val="2"/>
      <w:sz w:val="22"/>
      <w:szCs w:val="22"/>
      <w:lang w:val="en-US" w:eastAsia="zh-CN" w:bidi="ar-SA"/>
    </w:rPr>
  </w:style>
  <w:style w:type="character" w:customStyle="1" w:styleId="94">
    <w:name w:val="hot"/>
    <w:basedOn w:val="33"/>
    <w:qFormat/>
    <w:uiPriority w:val="0"/>
  </w:style>
  <w:style w:type="character" w:customStyle="1" w:styleId="95">
    <w:name w:val="t1"/>
    <w:basedOn w:val="33"/>
    <w:qFormat/>
    <w:uiPriority w:val="0"/>
  </w:style>
  <w:style w:type="character" w:customStyle="1" w:styleId="96">
    <w:name w:val="head_title_name"/>
    <w:basedOn w:val="33"/>
    <w:qFormat/>
    <w:uiPriority w:val="0"/>
  </w:style>
  <w:style w:type="character" w:customStyle="1" w:styleId="97">
    <w:name w:val="访问过的超链接2"/>
    <w:basedOn w:val="33"/>
    <w:semiHidden/>
    <w:unhideWhenUsed/>
    <w:qFormat/>
    <w:uiPriority w:val="99"/>
    <w:rPr>
      <w:color w:val="954F72"/>
      <w:u w:val="single"/>
    </w:rPr>
  </w:style>
  <w:style w:type="paragraph" w:customStyle="1" w:styleId="98">
    <w:name w:val="尾注文本1"/>
    <w:basedOn w:val="1"/>
    <w:next w:val="17"/>
    <w:link w:val="99"/>
    <w:semiHidden/>
    <w:unhideWhenUsed/>
    <w:qFormat/>
    <w:uiPriority w:val="99"/>
    <w:pPr>
      <w:snapToGrid w:val="0"/>
      <w:jc w:val="left"/>
    </w:pPr>
  </w:style>
  <w:style w:type="character" w:customStyle="1" w:styleId="99">
    <w:name w:val="尾注文本 字符"/>
    <w:basedOn w:val="33"/>
    <w:link w:val="98"/>
    <w:semiHidden/>
    <w:qFormat/>
    <w:uiPriority w:val="99"/>
  </w:style>
  <w:style w:type="paragraph" w:customStyle="1" w:styleId="100">
    <w:name w:val="TOC 11"/>
    <w:basedOn w:val="1"/>
    <w:next w:val="1"/>
    <w:unhideWhenUsed/>
    <w:qFormat/>
    <w:uiPriority w:val="39"/>
    <w:pPr>
      <w:spacing w:before="120" w:after="120"/>
      <w:jc w:val="left"/>
    </w:pPr>
    <w:rPr>
      <w:b/>
      <w:bCs/>
      <w:caps/>
      <w:sz w:val="20"/>
      <w:szCs w:val="20"/>
    </w:rPr>
  </w:style>
  <w:style w:type="paragraph" w:customStyle="1" w:styleId="101">
    <w:name w:val="TOC 21"/>
    <w:basedOn w:val="1"/>
    <w:next w:val="1"/>
    <w:unhideWhenUsed/>
    <w:qFormat/>
    <w:uiPriority w:val="39"/>
    <w:pPr>
      <w:ind w:left="210"/>
      <w:jc w:val="left"/>
    </w:pPr>
    <w:rPr>
      <w:smallCaps/>
      <w:sz w:val="20"/>
      <w:szCs w:val="20"/>
    </w:rPr>
  </w:style>
  <w:style w:type="paragraph" w:customStyle="1" w:styleId="102">
    <w:name w:val="TOC 31"/>
    <w:basedOn w:val="1"/>
    <w:next w:val="1"/>
    <w:unhideWhenUsed/>
    <w:qFormat/>
    <w:uiPriority w:val="39"/>
    <w:pPr>
      <w:ind w:left="420"/>
      <w:jc w:val="left"/>
    </w:pPr>
    <w:rPr>
      <w:i/>
      <w:iCs/>
      <w:sz w:val="20"/>
      <w:szCs w:val="20"/>
    </w:rPr>
  </w:style>
  <w:style w:type="paragraph" w:customStyle="1" w:styleId="103">
    <w:name w:val="TOC 41"/>
    <w:basedOn w:val="1"/>
    <w:next w:val="1"/>
    <w:unhideWhenUsed/>
    <w:qFormat/>
    <w:uiPriority w:val="39"/>
    <w:pPr>
      <w:ind w:left="630"/>
      <w:jc w:val="left"/>
    </w:pPr>
    <w:rPr>
      <w:sz w:val="18"/>
      <w:szCs w:val="18"/>
    </w:rPr>
  </w:style>
  <w:style w:type="paragraph" w:customStyle="1" w:styleId="104">
    <w:name w:val="TOC 51"/>
    <w:basedOn w:val="1"/>
    <w:next w:val="1"/>
    <w:unhideWhenUsed/>
    <w:qFormat/>
    <w:uiPriority w:val="39"/>
    <w:pPr>
      <w:ind w:left="840"/>
      <w:jc w:val="left"/>
    </w:pPr>
    <w:rPr>
      <w:sz w:val="18"/>
      <w:szCs w:val="18"/>
    </w:rPr>
  </w:style>
  <w:style w:type="paragraph" w:customStyle="1" w:styleId="105">
    <w:name w:val="TOC 61"/>
    <w:basedOn w:val="1"/>
    <w:next w:val="1"/>
    <w:unhideWhenUsed/>
    <w:qFormat/>
    <w:uiPriority w:val="39"/>
    <w:pPr>
      <w:ind w:left="1050"/>
      <w:jc w:val="left"/>
    </w:pPr>
    <w:rPr>
      <w:sz w:val="18"/>
      <w:szCs w:val="18"/>
    </w:rPr>
  </w:style>
  <w:style w:type="paragraph" w:customStyle="1" w:styleId="106">
    <w:name w:val="TOC 71"/>
    <w:basedOn w:val="1"/>
    <w:next w:val="1"/>
    <w:unhideWhenUsed/>
    <w:qFormat/>
    <w:uiPriority w:val="39"/>
    <w:pPr>
      <w:ind w:left="1260"/>
      <w:jc w:val="left"/>
    </w:pPr>
    <w:rPr>
      <w:sz w:val="18"/>
      <w:szCs w:val="18"/>
    </w:rPr>
  </w:style>
  <w:style w:type="paragraph" w:customStyle="1" w:styleId="107">
    <w:name w:val="TOC 81"/>
    <w:basedOn w:val="1"/>
    <w:next w:val="1"/>
    <w:unhideWhenUsed/>
    <w:qFormat/>
    <w:uiPriority w:val="39"/>
    <w:pPr>
      <w:ind w:left="1470"/>
      <w:jc w:val="left"/>
    </w:pPr>
    <w:rPr>
      <w:sz w:val="18"/>
      <w:szCs w:val="18"/>
    </w:rPr>
  </w:style>
  <w:style w:type="paragraph" w:customStyle="1" w:styleId="108">
    <w:name w:val="TOC 91"/>
    <w:basedOn w:val="1"/>
    <w:next w:val="1"/>
    <w:unhideWhenUsed/>
    <w:qFormat/>
    <w:uiPriority w:val="39"/>
    <w:pPr>
      <w:ind w:left="1680"/>
      <w:jc w:val="left"/>
    </w:pPr>
    <w:rPr>
      <w:sz w:val="18"/>
      <w:szCs w:val="18"/>
    </w:rPr>
  </w:style>
  <w:style w:type="paragraph" w:customStyle="1" w:styleId="109">
    <w:name w:val="TOC 标题1"/>
    <w:basedOn w:val="2"/>
    <w:next w:val="1"/>
    <w:unhideWhenUsed/>
    <w:qFormat/>
    <w:uiPriority w:val="39"/>
    <w:pPr>
      <w:keepLines/>
      <w:widowControl/>
      <w:tabs>
        <w:tab w:val="clear" w:pos="720"/>
        <w:tab w:val="clear" w:pos="2700"/>
      </w:tabs>
      <w:spacing w:before="240" w:line="259" w:lineRule="auto"/>
      <w:jc w:val="left"/>
      <w:outlineLvl w:val="9"/>
    </w:pPr>
    <w:rPr>
      <w:rFonts w:ascii="Calibri Light" w:hAnsi="Calibri Light" w:eastAsia="宋体" w:cs="Times New Roman"/>
      <w:bCs w:val="0"/>
      <w:color w:val="2E74B5"/>
      <w:kern w:val="0"/>
      <w:sz w:val="32"/>
      <w:szCs w:val="32"/>
    </w:rPr>
  </w:style>
  <w:style w:type="character" w:customStyle="1" w:styleId="110">
    <w:name w:val="尾注文本 字符1"/>
    <w:basedOn w:val="33"/>
    <w:link w:val="17"/>
    <w:semiHidden/>
    <w:qFormat/>
    <w:uiPriority w:val="99"/>
  </w:style>
  <w:style w:type="table" w:customStyle="1" w:styleId="111">
    <w:name w:val="网格型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2">
    <w:name w:val="正文文本缩进 Char1"/>
    <w:qFormat/>
    <w:uiPriority w:val="0"/>
    <w:rPr>
      <w:rFonts w:ascii="Calibri" w:hAnsi="Calibri"/>
      <w:kern w:val="2"/>
      <w:sz w:val="21"/>
      <w:szCs w:val="24"/>
      <w:lang w:val="zh-CN" w:eastAsia="zh-CN"/>
    </w:rPr>
  </w:style>
  <w:style w:type="table" w:customStyle="1" w:styleId="113">
    <w:name w:val="网格型6"/>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115">
    <w:name w:val="网格型7"/>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8"/>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7">
    <w:name w:val="TOC 12"/>
    <w:basedOn w:val="1"/>
    <w:next w:val="1"/>
    <w:unhideWhenUsed/>
    <w:qFormat/>
    <w:uiPriority w:val="39"/>
    <w:pPr>
      <w:spacing w:before="120" w:after="120"/>
      <w:jc w:val="left"/>
    </w:pPr>
    <w:rPr>
      <w:b/>
      <w:bCs/>
      <w:caps/>
      <w:sz w:val="20"/>
      <w:szCs w:val="20"/>
    </w:rPr>
  </w:style>
  <w:style w:type="paragraph" w:customStyle="1" w:styleId="118">
    <w:name w:val="TOC 22"/>
    <w:basedOn w:val="1"/>
    <w:next w:val="1"/>
    <w:unhideWhenUsed/>
    <w:qFormat/>
    <w:uiPriority w:val="39"/>
    <w:pPr>
      <w:ind w:left="210"/>
      <w:jc w:val="left"/>
    </w:pPr>
    <w:rPr>
      <w:smallCaps/>
      <w:sz w:val="20"/>
      <w:szCs w:val="20"/>
    </w:rPr>
  </w:style>
  <w:style w:type="paragraph" w:customStyle="1" w:styleId="119">
    <w:name w:val="TOC 32"/>
    <w:basedOn w:val="1"/>
    <w:next w:val="1"/>
    <w:unhideWhenUsed/>
    <w:qFormat/>
    <w:uiPriority w:val="39"/>
    <w:pPr>
      <w:ind w:left="420"/>
      <w:jc w:val="left"/>
    </w:pPr>
    <w:rPr>
      <w:i/>
      <w:iCs/>
      <w:sz w:val="20"/>
      <w:szCs w:val="20"/>
    </w:rPr>
  </w:style>
  <w:style w:type="paragraph" w:customStyle="1" w:styleId="120">
    <w:name w:val="TOC 42"/>
    <w:basedOn w:val="1"/>
    <w:next w:val="1"/>
    <w:unhideWhenUsed/>
    <w:qFormat/>
    <w:uiPriority w:val="39"/>
    <w:pPr>
      <w:ind w:left="630"/>
      <w:jc w:val="left"/>
    </w:pPr>
    <w:rPr>
      <w:sz w:val="18"/>
      <w:szCs w:val="18"/>
    </w:rPr>
  </w:style>
  <w:style w:type="paragraph" w:customStyle="1" w:styleId="121">
    <w:name w:val="TOC 52"/>
    <w:basedOn w:val="1"/>
    <w:next w:val="1"/>
    <w:unhideWhenUsed/>
    <w:qFormat/>
    <w:uiPriority w:val="39"/>
    <w:pPr>
      <w:ind w:left="840"/>
      <w:jc w:val="left"/>
    </w:pPr>
    <w:rPr>
      <w:sz w:val="18"/>
      <w:szCs w:val="18"/>
    </w:rPr>
  </w:style>
  <w:style w:type="paragraph" w:customStyle="1" w:styleId="122">
    <w:name w:val="TOC 62"/>
    <w:basedOn w:val="1"/>
    <w:next w:val="1"/>
    <w:unhideWhenUsed/>
    <w:qFormat/>
    <w:uiPriority w:val="39"/>
    <w:pPr>
      <w:ind w:left="1050"/>
      <w:jc w:val="left"/>
    </w:pPr>
    <w:rPr>
      <w:sz w:val="18"/>
      <w:szCs w:val="18"/>
    </w:rPr>
  </w:style>
  <w:style w:type="paragraph" w:customStyle="1" w:styleId="123">
    <w:name w:val="TOC 72"/>
    <w:basedOn w:val="1"/>
    <w:next w:val="1"/>
    <w:unhideWhenUsed/>
    <w:qFormat/>
    <w:uiPriority w:val="39"/>
    <w:pPr>
      <w:ind w:left="1260"/>
      <w:jc w:val="left"/>
    </w:pPr>
    <w:rPr>
      <w:sz w:val="18"/>
      <w:szCs w:val="18"/>
    </w:rPr>
  </w:style>
  <w:style w:type="paragraph" w:customStyle="1" w:styleId="124">
    <w:name w:val="TOC 82"/>
    <w:basedOn w:val="1"/>
    <w:next w:val="1"/>
    <w:unhideWhenUsed/>
    <w:qFormat/>
    <w:uiPriority w:val="39"/>
    <w:pPr>
      <w:ind w:left="1470"/>
      <w:jc w:val="left"/>
    </w:pPr>
    <w:rPr>
      <w:sz w:val="18"/>
      <w:szCs w:val="18"/>
    </w:rPr>
  </w:style>
  <w:style w:type="paragraph" w:customStyle="1" w:styleId="125">
    <w:name w:val="TOC 92"/>
    <w:basedOn w:val="1"/>
    <w:next w:val="1"/>
    <w:unhideWhenUsed/>
    <w:qFormat/>
    <w:uiPriority w:val="39"/>
    <w:pPr>
      <w:ind w:left="1680"/>
      <w:jc w:val="left"/>
    </w:pPr>
    <w:rPr>
      <w:sz w:val="18"/>
      <w:szCs w:val="18"/>
    </w:rPr>
  </w:style>
  <w:style w:type="paragraph" w:customStyle="1" w:styleId="126">
    <w:name w:val="TOC 标题2"/>
    <w:basedOn w:val="2"/>
    <w:next w:val="1"/>
    <w:unhideWhenUsed/>
    <w:qFormat/>
    <w:uiPriority w:val="39"/>
    <w:pPr>
      <w:keepLines/>
      <w:widowControl/>
      <w:tabs>
        <w:tab w:val="clear" w:pos="720"/>
        <w:tab w:val="clear" w:pos="2700"/>
      </w:tabs>
      <w:spacing w:before="240" w:line="259" w:lineRule="auto"/>
      <w:jc w:val="left"/>
      <w:outlineLvl w:val="9"/>
    </w:pPr>
    <w:rPr>
      <w:rFonts w:ascii="Calibri Light" w:hAnsi="Calibri Light" w:eastAsia="宋体" w:cs="Times New Roman"/>
      <w:bCs w:val="0"/>
      <w:color w:val="2E74B5"/>
      <w:kern w:val="0"/>
      <w:sz w:val="32"/>
      <w:szCs w:val="32"/>
    </w:rPr>
  </w:style>
  <w:style w:type="table" w:customStyle="1" w:styleId="127">
    <w:name w:val="网格型9"/>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8">
    <w:name w:val="TOC 13"/>
    <w:basedOn w:val="1"/>
    <w:next w:val="1"/>
    <w:unhideWhenUsed/>
    <w:qFormat/>
    <w:uiPriority w:val="39"/>
    <w:pPr>
      <w:spacing w:before="120" w:after="120"/>
      <w:jc w:val="left"/>
    </w:pPr>
    <w:rPr>
      <w:b/>
      <w:bCs/>
      <w:caps/>
      <w:sz w:val="20"/>
      <w:szCs w:val="20"/>
    </w:rPr>
  </w:style>
  <w:style w:type="paragraph" w:customStyle="1" w:styleId="129">
    <w:name w:val="TOC 23"/>
    <w:basedOn w:val="1"/>
    <w:next w:val="1"/>
    <w:unhideWhenUsed/>
    <w:qFormat/>
    <w:uiPriority w:val="39"/>
    <w:pPr>
      <w:ind w:left="210"/>
      <w:jc w:val="left"/>
    </w:pPr>
    <w:rPr>
      <w:smallCaps/>
      <w:sz w:val="20"/>
      <w:szCs w:val="20"/>
    </w:rPr>
  </w:style>
  <w:style w:type="paragraph" w:customStyle="1" w:styleId="130">
    <w:name w:val="TOC 33"/>
    <w:basedOn w:val="1"/>
    <w:next w:val="1"/>
    <w:unhideWhenUsed/>
    <w:qFormat/>
    <w:uiPriority w:val="39"/>
    <w:pPr>
      <w:ind w:left="420"/>
      <w:jc w:val="left"/>
    </w:pPr>
    <w:rPr>
      <w:i/>
      <w:iCs/>
      <w:sz w:val="20"/>
      <w:szCs w:val="20"/>
    </w:rPr>
  </w:style>
  <w:style w:type="paragraph" w:customStyle="1" w:styleId="131">
    <w:name w:val="TOC 43"/>
    <w:basedOn w:val="1"/>
    <w:next w:val="1"/>
    <w:unhideWhenUsed/>
    <w:qFormat/>
    <w:uiPriority w:val="39"/>
    <w:pPr>
      <w:ind w:left="630"/>
      <w:jc w:val="left"/>
    </w:pPr>
    <w:rPr>
      <w:sz w:val="18"/>
      <w:szCs w:val="18"/>
    </w:rPr>
  </w:style>
  <w:style w:type="paragraph" w:customStyle="1" w:styleId="132">
    <w:name w:val="TOC 53"/>
    <w:basedOn w:val="1"/>
    <w:next w:val="1"/>
    <w:unhideWhenUsed/>
    <w:qFormat/>
    <w:uiPriority w:val="39"/>
    <w:pPr>
      <w:ind w:left="840"/>
      <w:jc w:val="left"/>
    </w:pPr>
    <w:rPr>
      <w:sz w:val="18"/>
      <w:szCs w:val="18"/>
    </w:rPr>
  </w:style>
  <w:style w:type="paragraph" w:customStyle="1" w:styleId="133">
    <w:name w:val="TOC 63"/>
    <w:basedOn w:val="1"/>
    <w:next w:val="1"/>
    <w:unhideWhenUsed/>
    <w:qFormat/>
    <w:uiPriority w:val="39"/>
    <w:pPr>
      <w:ind w:left="1050"/>
      <w:jc w:val="left"/>
    </w:pPr>
    <w:rPr>
      <w:sz w:val="18"/>
      <w:szCs w:val="18"/>
    </w:rPr>
  </w:style>
  <w:style w:type="paragraph" w:customStyle="1" w:styleId="134">
    <w:name w:val="TOC 73"/>
    <w:basedOn w:val="1"/>
    <w:next w:val="1"/>
    <w:unhideWhenUsed/>
    <w:qFormat/>
    <w:uiPriority w:val="39"/>
    <w:pPr>
      <w:ind w:left="1260"/>
      <w:jc w:val="left"/>
    </w:pPr>
    <w:rPr>
      <w:sz w:val="18"/>
      <w:szCs w:val="18"/>
    </w:rPr>
  </w:style>
  <w:style w:type="paragraph" w:customStyle="1" w:styleId="135">
    <w:name w:val="TOC 83"/>
    <w:basedOn w:val="1"/>
    <w:next w:val="1"/>
    <w:unhideWhenUsed/>
    <w:qFormat/>
    <w:uiPriority w:val="39"/>
    <w:pPr>
      <w:ind w:left="1470"/>
      <w:jc w:val="left"/>
    </w:pPr>
    <w:rPr>
      <w:sz w:val="18"/>
      <w:szCs w:val="18"/>
    </w:rPr>
  </w:style>
  <w:style w:type="paragraph" w:customStyle="1" w:styleId="136">
    <w:name w:val="TOC 93"/>
    <w:basedOn w:val="1"/>
    <w:next w:val="1"/>
    <w:unhideWhenUsed/>
    <w:qFormat/>
    <w:uiPriority w:val="39"/>
    <w:pPr>
      <w:ind w:left="1680"/>
      <w:jc w:val="left"/>
    </w:pPr>
    <w:rPr>
      <w:sz w:val="18"/>
      <w:szCs w:val="18"/>
    </w:rPr>
  </w:style>
  <w:style w:type="paragraph" w:customStyle="1" w:styleId="137">
    <w:name w:val="TOC 标题3"/>
    <w:basedOn w:val="2"/>
    <w:next w:val="1"/>
    <w:unhideWhenUsed/>
    <w:qFormat/>
    <w:uiPriority w:val="39"/>
    <w:pPr>
      <w:keepLines/>
      <w:widowControl/>
      <w:tabs>
        <w:tab w:val="clear" w:pos="720"/>
        <w:tab w:val="clear" w:pos="2700"/>
      </w:tabs>
      <w:spacing w:before="240" w:line="259" w:lineRule="auto"/>
      <w:jc w:val="left"/>
      <w:outlineLvl w:val="9"/>
    </w:pPr>
    <w:rPr>
      <w:rFonts w:ascii="Calibri Light" w:hAnsi="Calibri Light" w:eastAsia="宋体" w:cs="Times New Roman"/>
      <w:bCs w:val="0"/>
      <w:color w:val="2E74B5"/>
      <w:kern w:val="0"/>
      <w:sz w:val="32"/>
      <w:szCs w:val="32"/>
    </w:rPr>
  </w:style>
  <w:style w:type="table" w:customStyle="1" w:styleId="138">
    <w:name w:val="网格型10"/>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9">
    <w:name w:val="TOC 14"/>
    <w:basedOn w:val="1"/>
    <w:next w:val="1"/>
    <w:unhideWhenUsed/>
    <w:qFormat/>
    <w:uiPriority w:val="39"/>
    <w:pPr>
      <w:spacing w:before="120" w:after="120"/>
      <w:jc w:val="left"/>
    </w:pPr>
    <w:rPr>
      <w:b/>
      <w:bCs/>
      <w:caps/>
      <w:sz w:val="20"/>
      <w:szCs w:val="20"/>
    </w:rPr>
  </w:style>
  <w:style w:type="paragraph" w:customStyle="1" w:styleId="140">
    <w:name w:val="TOC 24"/>
    <w:basedOn w:val="1"/>
    <w:next w:val="1"/>
    <w:unhideWhenUsed/>
    <w:qFormat/>
    <w:uiPriority w:val="39"/>
    <w:pPr>
      <w:ind w:left="210"/>
      <w:jc w:val="left"/>
    </w:pPr>
    <w:rPr>
      <w:smallCaps/>
      <w:sz w:val="20"/>
      <w:szCs w:val="20"/>
    </w:rPr>
  </w:style>
  <w:style w:type="paragraph" w:customStyle="1" w:styleId="141">
    <w:name w:val="TOC 34"/>
    <w:basedOn w:val="1"/>
    <w:next w:val="1"/>
    <w:unhideWhenUsed/>
    <w:qFormat/>
    <w:uiPriority w:val="39"/>
    <w:pPr>
      <w:ind w:left="420"/>
      <w:jc w:val="left"/>
    </w:pPr>
    <w:rPr>
      <w:i/>
      <w:iCs/>
      <w:sz w:val="20"/>
      <w:szCs w:val="20"/>
    </w:rPr>
  </w:style>
  <w:style w:type="paragraph" w:customStyle="1" w:styleId="142">
    <w:name w:val="TOC 44"/>
    <w:basedOn w:val="1"/>
    <w:next w:val="1"/>
    <w:unhideWhenUsed/>
    <w:qFormat/>
    <w:uiPriority w:val="39"/>
    <w:pPr>
      <w:ind w:left="630"/>
      <w:jc w:val="left"/>
    </w:pPr>
    <w:rPr>
      <w:sz w:val="18"/>
      <w:szCs w:val="18"/>
    </w:rPr>
  </w:style>
  <w:style w:type="paragraph" w:customStyle="1" w:styleId="143">
    <w:name w:val="TOC 54"/>
    <w:basedOn w:val="1"/>
    <w:next w:val="1"/>
    <w:unhideWhenUsed/>
    <w:qFormat/>
    <w:uiPriority w:val="39"/>
    <w:pPr>
      <w:ind w:left="840"/>
      <w:jc w:val="left"/>
    </w:pPr>
    <w:rPr>
      <w:sz w:val="18"/>
      <w:szCs w:val="18"/>
    </w:rPr>
  </w:style>
  <w:style w:type="paragraph" w:customStyle="1" w:styleId="144">
    <w:name w:val="TOC 64"/>
    <w:basedOn w:val="1"/>
    <w:next w:val="1"/>
    <w:unhideWhenUsed/>
    <w:qFormat/>
    <w:uiPriority w:val="39"/>
    <w:pPr>
      <w:ind w:left="1050"/>
      <w:jc w:val="left"/>
    </w:pPr>
    <w:rPr>
      <w:sz w:val="18"/>
      <w:szCs w:val="18"/>
    </w:rPr>
  </w:style>
  <w:style w:type="paragraph" w:customStyle="1" w:styleId="145">
    <w:name w:val="TOC 74"/>
    <w:basedOn w:val="1"/>
    <w:next w:val="1"/>
    <w:unhideWhenUsed/>
    <w:qFormat/>
    <w:uiPriority w:val="39"/>
    <w:pPr>
      <w:ind w:left="1260"/>
      <w:jc w:val="left"/>
    </w:pPr>
    <w:rPr>
      <w:sz w:val="18"/>
      <w:szCs w:val="18"/>
    </w:rPr>
  </w:style>
  <w:style w:type="paragraph" w:customStyle="1" w:styleId="146">
    <w:name w:val="TOC 84"/>
    <w:basedOn w:val="1"/>
    <w:next w:val="1"/>
    <w:unhideWhenUsed/>
    <w:qFormat/>
    <w:uiPriority w:val="39"/>
    <w:pPr>
      <w:ind w:left="1470"/>
      <w:jc w:val="left"/>
    </w:pPr>
    <w:rPr>
      <w:sz w:val="18"/>
      <w:szCs w:val="18"/>
    </w:rPr>
  </w:style>
  <w:style w:type="paragraph" w:customStyle="1" w:styleId="147">
    <w:name w:val="TOC 94"/>
    <w:basedOn w:val="1"/>
    <w:next w:val="1"/>
    <w:unhideWhenUsed/>
    <w:qFormat/>
    <w:uiPriority w:val="39"/>
    <w:pPr>
      <w:ind w:left="1680"/>
      <w:jc w:val="left"/>
    </w:pPr>
    <w:rPr>
      <w:sz w:val="18"/>
      <w:szCs w:val="18"/>
    </w:rPr>
  </w:style>
  <w:style w:type="paragraph" w:customStyle="1" w:styleId="148">
    <w:name w:val="TOC 标题4"/>
    <w:basedOn w:val="2"/>
    <w:next w:val="1"/>
    <w:unhideWhenUsed/>
    <w:qFormat/>
    <w:uiPriority w:val="39"/>
    <w:pPr>
      <w:keepLines/>
      <w:widowControl/>
      <w:tabs>
        <w:tab w:val="clear" w:pos="720"/>
        <w:tab w:val="clear" w:pos="2700"/>
      </w:tabs>
      <w:spacing w:before="240" w:line="259" w:lineRule="auto"/>
      <w:jc w:val="left"/>
      <w:outlineLvl w:val="9"/>
    </w:pPr>
    <w:rPr>
      <w:rFonts w:ascii="Calibri Light" w:hAnsi="Calibri Light" w:eastAsia="宋体" w:cs="Times New Roman"/>
      <w:bCs w:val="0"/>
      <w:color w:val="2E74B5"/>
      <w:kern w:val="0"/>
      <w:sz w:val="32"/>
      <w:szCs w:val="32"/>
    </w:rPr>
  </w:style>
  <w:style w:type="table" w:customStyle="1" w:styleId="149">
    <w:name w:val="网格型1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中等深浅底纹 1 - 着色 12"/>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paragraph" w:customStyle="1" w:styleId="151">
    <w:name w:val="TOC 标题5"/>
    <w:basedOn w:val="2"/>
    <w:next w:val="1"/>
    <w:unhideWhenUsed/>
    <w:qFormat/>
    <w:uiPriority w:val="39"/>
    <w:pPr>
      <w:keepLines/>
      <w:widowControl/>
      <w:tabs>
        <w:tab w:val="clear" w:pos="720"/>
        <w:tab w:val="clear" w:pos="2700"/>
      </w:tabs>
      <w:spacing w:before="480" w:line="276" w:lineRule="auto"/>
      <w:jc w:val="left"/>
      <w:outlineLvl w:val="9"/>
    </w:pPr>
    <w:rPr>
      <w:rFonts w:asciiTheme="majorHAnsi" w:hAnsiTheme="majorHAnsi" w:eastAsiaTheme="majorEastAsia" w:cstheme="majorBidi"/>
      <w:b/>
      <w:color w:val="2F5597" w:themeColor="accent1" w:themeShade="BF"/>
      <w:kern w:val="0"/>
      <w:sz w:val="28"/>
      <w:szCs w:val="28"/>
    </w:rPr>
  </w:style>
  <w:style w:type="character" w:customStyle="1" w:styleId="152">
    <w:name w:val="未处理的提及2"/>
    <w:basedOn w:val="33"/>
    <w:semiHidden/>
    <w:unhideWhenUsed/>
    <w:qFormat/>
    <w:uiPriority w:val="99"/>
    <w:rPr>
      <w:color w:val="605E5C"/>
      <w:shd w:val="clear" w:color="auto" w:fill="E1DFDD"/>
    </w:rPr>
  </w:style>
  <w:style w:type="character" w:customStyle="1" w:styleId="153">
    <w:name w:val="正文文本缩进 2 Char"/>
    <w:qFormat/>
    <w:uiPriority w:val="0"/>
    <w:rPr>
      <w:rFonts w:ascii="Book Antiqua" w:hAnsi="Book Antiqua"/>
      <w:kern w:val="2"/>
      <w:sz w:val="24"/>
    </w:rPr>
  </w:style>
  <w:style w:type="table" w:customStyle="1" w:styleId="154">
    <w:name w:val="网格型12"/>
    <w:basedOn w:val="30"/>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网格型1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1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中等深浅底纹 1 - 着色 13"/>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158">
    <w:name w:val="网格型1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
    <w:name w:val="网格型16"/>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17"/>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2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网格型3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网格型4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网格型5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6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
    <w:name w:val="网格型7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8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
    <w:name w:val="网格型9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
    <w:name w:val="网格型10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网格型11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中等深浅底纹 1 - 着色 121"/>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172">
    <w:name w:val="中等深浅底纹 1 - 着色 14"/>
    <w:basedOn w:val="30"/>
    <w:semiHidden/>
    <w:unhideWhenUsed/>
    <w:uiPriority w:val="63"/>
    <w:tblPr>
      <w:tblBorders>
        <w:top w:val="single" w:color="84B3DF" w:sz="8" w:space="0"/>
        <w:left w:val="single" w:color="84B3DF" w:sz="8" w:space="0"/>
        <w:bottom w:val="single" w:color="84B3DF" w:sz="8" w:space="0"/>
        <w:right w:val="single" w:color="84B3DF" w:sz="8" w:space="0"/>
        <w:insideH w:val="single" w:color="84B3DF" w:sz="8" w:space="0"/>
      </w:tblBorders>
    </w:tblPr>
    <w:tblStylePr w:type="firstRow">
      <w:pPr>
        <w:spacing w:before="0" w:after="0" w:line="240" w:lineRule="auto"/>
      </w:pPr>
      <w:rPr>
        <w:b/>
        <w:bCs/>
        <w:color w:val="FFFFFF"/>
      </w:rPr>
      <w:tcPr>
        <w:tcBorders>
          <w:top w:val="single" w:color="84B3DF" w:sz="8" w:space="0"/>
          <w:left w:val="single" w:color="84B3DF" w:sz="8" w:space="0"/>
          <w:bottom w:val="single" w:color="84B3DF" w:sz="8" w:space="0"/>
          <w:right w:val="single" w:color="84B3DF" w:sz="8" w:space="0"/>
          <w:insideH w:val="nil"/>
          <w:insideV w:val="nil"/>
        </w:tcBorders>
        <w:shd w:val="clear" w:color="auto" w:fill="5B9BD5"/>
      </w:tcPr>
    </w:tblStylePr>
    <w:tblStylePr w:type="lastRow">
      <w:pPr>
        <w:spacing w:before="0" w:after="0" w:line="240" w:lineRule="auto"/>
      </w:pPr>
      <w:rPr>
        <w:b/>
        <w:bCs/>
      </w:rPr>
      <w:tcPr>
        <w:tcBorders>
          <w:top w:val="double" w:color="84B3DF" w:sz="6" w:space="0"/>
          <w:left w:val="single" w:color="84B3DF" w:sz="8" w:space="0"/>
          <w:bottom w:val="single" w:color="84B3DF" w:sz="8" w:space="0"/>
          <w:right w:val="single" w:color="84B3DF" w:sz="8" w:space="0"/>
          <w:insideH w:val="nil"/>
          <w:insideV w:val="nil"/>
        </w:tcBorders>
      </w:tcPr>
    </w:tblStylePr>
    <w:tblStylePr w:type="firstCol">
      <w:rPr>
        <w:b/>
        <w:bCs/>
      </w:rPr>
    </w:tblStylePr>
    <w:tblStylePr w:type="lastCol">
      <w:rPr>
        <w:b/>
        <w:bCs/>
      </w:rPr>
    </w:tblStylePr>
    <w:tblStylePr w:type="band1Vert">
      <w:tcPr>
        <w:shd w:val="clear" w:color="auto" w:fill="D6E6F4"/>
      </w:tcPr>
    </w:tblStylePr>
    <w:tblStylePr w:type="band1Horz">
      <w:tcPr>
        <w:tcBorders>
          <w:insideH w:val="nil"/>
          <w:insideV w:val="nil"/>
        </w:tcBorders>
        <w:shd w:val="clear" w:color="auto" w:fill="D6E6F4"/>
      </w:tcPr>
    </w:tblStylePr>
    <w:tblStylePr w:type="band2Horz">
      <w:tcPr>
        <w:tcBorders>
          <w:insideH w:val="nil"/>
          <w:insideV w:val="nil"/>
        </w:tcBorders>
      </w:tcPr>
    </w:tblStylePr>
  </w:style>
  <w:style w:type="table" w:customStyle="1" w:styleId="173">
    <w:name w:val="网格型121"/>
    <w:basedOn w:val="30"/>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
    <w:name w:val="网格型13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
    <w:name w:val="网格型14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中等深浅底纹 1 - 着色 131"/>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177">
    <w:name w:val="网格型151"/>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18"/>
    <w:basedOn w:val="30"/>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19"/>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网格型110"/>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2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网格型3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网格型4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5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
    <w:name w:val="网格型6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
    <w:name w:val="网格型7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
    <w:name w:val="网格型8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
    <w:name w:val="网格型92"/>
    <w:basedOn w:val="30"/>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
    <w:name w:val="网格型10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
    <w:name w:val="网格型11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中等深浅底纹 1 - 着色 122"/>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192">
    <w:name w:val="中等深浅底纹 1 - 着色 15"/>
    <w:basedOn w:val="30"/>
    <w:unhideWhenUsed/>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table" w:customStyle="1" w:styleId="193">
    <w:name w:val="网格型122"/>
    <w:basedOn w:val="30"/>
    <w:unhideWhenUsed/>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
    <w:name w:val="网格型132"/>
    <w:basedOn w:val="30"/>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
    <w:name w:val="网格型142"/>
    <w:basedOn w:val="30"/>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
    <w:name w:val="中等深浅底纹 1 - 着色 132"/>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197">
    <w:name w:val="网格型152"/>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8">
    <w:name w:val="_Style 194"/>
    <w:basedOn w:val="1"/>
    <w:next w:val="43"/>
    <w:qFormat/>
    <w:uiPriority w:val="34"/>
    <w:pPr>
      <w:ind w:firstLine="420" w:firstLineChars="200"/>
    </w:pPr>
    <w:rPr>
      <w:rFonts w:ascii="Times New Roman" w:hAnsi="Times New Roman" w:eastAsia="宋体" w:cs="Times New Roman"/>
      <w:szCs w:val="24"/>
    </w:rPr>
  </w:style>
  <w:style w:type="table" w:customStyle="1" w:styleId="199">
    <w:name w:val="网格型3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网格型20"/>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
    <w:name w:val="中等深浅底纹 1 - 着色 16"/>
    <w:basedOn w:val="30"/>
    <w:semiHidden/>
    <w:unhideWhenUsed/>
    <w:qFormat/>
    <w:uiPriority w:val="63"/>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rPr>
        <w:b/>
        <w:bCs/>
      </w:rPr>
      <w:tcPr>
        <w:tcBorders>
          <w:top w:val="double" w:color="7295D2" w:sz="6" w:space="0"/>
          <w:left w:val="single" w:color="7295D2" w:sz="8" w:space="0"/>
          <w:bottom w:val="single" w:color="7295D2" w:sz="8" w:space="0"/>
          <w:right w:val="single" w:color="7295D2" w:sz="8" w:space="0"/>
          <w:insideH w:val="nil"/>
          <w:insideV w:val="nil"/>
        </w:tcBorders>
      </w:tcPr>
    </w:tblStylePr>
    <w:tblStylePr w:type="firstCol">
      <w:rPr>
        <w:b/>
        <w:bCs/>
      </w:rPr>
    </w:tblStylePr>
    <w:tblStylePr w:type="lastCol">
      <w:rPr>
        <w:b/>
        <w:bCs/>
      </w:r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paragraph" w:customStyle="1" w:styleId="202">
    <w:name w:val="_Style 8"/>
    <w:basedOn w:val="1"/>
    <w:next w:val="43"/>
    <w:qFormat/>
    <w:uiPriority w:val="34"/>
    <w:pPr>
      <w:ind w:firstLine="420" w:firstLineChars="200"/>
    </w:pPr>
    <w:rPr>
      <w:rFonts w:ascii="Times New Roman" w:hAnsi="Times New Roman" w:eastAsia="宋体" w:cs="Times New Roman"/>
      <w:szCs w:val="24"/>
    </w:rPr>
  </w:style>
  <w:style w:type="table" w:customStyle="1" w:styleId="203">
    <w:name w:val="网格型113"/>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网格型23"/>
    <w:basedOn w:val="30"/>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网格型34"/>
    <w:basedOn w:val="30"/>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6">
    <w:name w:val="修订11"/>
    <w:unhideWhenUsed/>
    <w:qFormat/>
    <w:uiPriority w:val="99"/>
    <w:rPr>
      <w:rFonts w:ascii="Times New Roman" w:hAnsi="Times New Roman" w:eastAsia="宋体" w:cs="Times New Roman"/>
      <w:kern w:val="2"/>
      <w:sz w:val="21"/>
      <w:szCs w:val="24"/>
      <w:lang w:val="en-US" w:eastAsia="zh-CN" w:bidi="ar-SA"/>
    </w:rPr>
  </w:style>
  <w:style w:type="character" w:customStyle="1" w:styleId="207">
    <w:name w:val="不明显强调11"/>
    <w:qFormat/>
    <w:uiPriority w:val="19"/>
    <w:rPr>
      <w:i/>
      <w:iCs/>
      <w:color w:val="404040"/>
    </w:rPr>
  </w:style>
  <w:style w:type="table" w:customStyle="1" w:styleId="208">
    <w:name w:val="网格型4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
    <w:name w:val="网格型5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网格型6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网格型7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网格型8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
    <w:name w:val="网格型9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网格型10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
    <w:name w:val="网格型11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中等深浅底纹 1 - 着色 123"/>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paragraph" w:customStyle="1" w:styleId="217">
    <w:name w:val="TOC 标题51"/>
    <w:basedOn w:val="2"/>
    <w:next w:val="1"/>
    <w:unhideWhenUsed/>
    <w:qFormat/>
    <w:uiPriority w:val="39"/>
    <w:pPr>
      <w:keepLines/>
      <w:widowControl/>
      <w:tabs>
        <w:tab w:val="clear" w:pos="720"/>
        <w:tab w:val="clear" w:pos="2700"/>
      </w:tabs>
      <w:spacing w:before="480" w:line="276" w:lineRule="auto"/>
      <w:jc w:val="left"/>
      <w:outlineLvl w:val="9"/>
    </w:pPr>
    <w:rPr>
      <w:rFonts w:ascii="等线 Light" w:hAnsi="等线 Light" w:eastAsia="等线 Light" w:cs="Times New Roman"/>
      <w:b/>
      <w:color w:val="2F5496"/>
      <w:kern w:val="0"/>
      <w:sz w:val="28"/>
      <w:szCs w:val="28"/>
    </w:rPr>
  </w:style>
  <w:style w:type="table" w:customStyle="1" w:styleId="218">
    <w:name w:val="网格型123"/>
    <w:basedOn w:val="30"/>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网格型13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网格型14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中等深浅底纹 1 - 着色 133"/>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222">
    <w:name w:val="网格型153"/>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网格型24"/>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
    <w:name w:val="网格型115"/>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
    <w:name w:val="网格型2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
    <w:name w:val="网格型3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
    <w:name w:val="网格型4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
    <w:name w:val="网格型5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
    <w:name w:val="网格型6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网格型7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
    <w:name w:val="网格型8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
    <w:name w:val="网格型9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
    <w:name w:val="网格型10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
    <w:name w:val="网格型116"/>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中等深浅底纹 1 - 着色 124"/>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236">
    <w:name w:val="中等深浅底纹 1 - 着色 17"/>
    <w:basedOn w:val="30"/>
    <w:unhideWhenUsed/>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table" w:customStyle="1" w:styleId="237">
    <w:name w:val="网格型124"/>
    <w:basedOn w:val="30"/>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13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网格型14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中等深浅底纹 1 - 着色 134"/>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241">
    <w:name w:val="网格型154"/>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
    <w:name w:val="网格型26"/>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网格型117"/>
    <w:basedOn w:val="30"/>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
    <w:name w:val="网格型27"/>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
    <w:name w:val="网格型36"/>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
    <w:name w:val="网格型4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
    <w:name w:val="网格型5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
    <w:name w:val="网格型6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
    <w:name w:val="网格型7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
    <w:name w:val="网格型8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
    <w:name w:val="网格型9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10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
    <w:name w:val="网格型118"/>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
    <w:name w:val="中等深浅底纹 1 - 着色 125"/>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255">
    <w:name w:val="中等深浅底纹 1 - 着色 18"/>
    <w:basedOn w:val="30"/>
    <w:semiHidden/>
    <w:unhideWhenUsed/>
    <w:qFormat/>
    <w:uiPriority w:val="63"/>
    <w:tblPr>
      <w:tbl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single" w:color="7295D2"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7295D2" w:themeColor="accent1" w:themeTint="BF" w:sz="8"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shd w:val="clear" w:color="auto" w:fill="4472C4" w:themeFill="accent1"/>
      </w:tcPr>
    </w:tblStylePr>
    <w:tblStylePr w:type="lastRow">
      <w:pPr>
        <w:spacing w:before="0" w:after="0" w:line="240" w:lineRule="auto"/>
      </w:pPr>
      <w:rPr>
        <w:b/>
        <w:bCs/>
      </w:rPr>
      <w:tcPr>
        <w:tcBorders>
          <w:top w:val="double" w:color="7295D2" w:themeColor="accent1" w:themeTint="BF" w:sz="6" w:space="0"/>
          <w:left w:val="single" w:color="7295D2" w:themeColor="accent1" w:themeTint="BF" w:sz="8" w:space="0"/>
          <w:bottom w:val="single" w:color="7295D2" w:themeColor="accent1" w:themeTint="BF" w:sz="8" w:space="0"/>
          <w:right w:val="single" w:color="7295D2"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0DCF0" w:themeFill="accent1" w:themeFillTint="3F"/>
      </w:tcPr>
    </w:tblStylePr>
    <w:tblStylePr w:type="band1Horz">
      <w:tcPr>
        <w:tcBorders>
          <w:insideH w:val="nil"/>
          <w:insideV w:val="nil"/>
        </w:tcBorders>
        <w:shd w:val="clear" w:color="auto" w:fill="D0DCF0" w:themeFill="accent1" w:themeFillTint="3F"/>
      </w:tcPr>
    </w:tblStylePr>
    <w:tblStylePr w:type="band2Horz">
      <w:tcPr>
        <w:tcBorders>
          <w:insideH w:val="nil"/>
          <w:insideV w:val="nil"/>
        </w:tcBorders>
      </w:tcPr>
    </w:tblStylePr>
  </w:style>
  <w:style w:type="table" w:customStyle="1" w:styleId="256">
    <w:name w:val="网格型125"/>
    <w:basedOn w:val="30"/>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网格型13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14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中等深浅底纹 1 - 着色 135"/>
    <w:basedOn w:val="30"/>
    <w:semiHidden/>
    <w:unhideWhenUsed/>
    <w:qFormat/>
    <w:uiPriority w:val="1"/>
    <w:rPr>
      <w:rFonts w:ascii="Calibri" w:hAnsi="Calibri" w:eastAsia="宋体" w:cs="Times New Roman"/>
      <w:sz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tcPr>
        <w:tcBorders>
          <w:top w:val="double" w:color="7295D2" w:sz="6" w:space="0"/>
          <w:left w:val="single" w:color="7295D2" w:sz="8" w:space="0"/>
          <w:bottom w:val="single" w:color="7295D2" w:sz="8" w:space="0"/>
          <w:right w:val="single" w:color="7295D2" w:sz="8" w:space="0"/>
          <w:insideH w:val="nil"/>
          <w:insideV w:val="nil"/>
        </w:tcBorders>
      </w:tcPr>
    </w:tblStylePr>
    <w:tblStylePr w:type="band1Vert">
      <w:tcPr>
        <w:shd w:val="clear" w:color="auto" w:fill="D0DBF0"/>
      </w:tcPr>
    </w:tblStylePr>
    <w:tblStylePr w:type="band1Horz">
      <w:tcPr>
        <w:tcBorders>
          <w:insideH w:val="nil"/>
          <w:insideV w:val="nil"/>
        </w:tcBorders>
        <w:shd w:val="clear" w:color="auto" w:fill="D0DBF0"/>
      </w:tcPr>
    </w:tblStylePr>
    <w:tblStylePr w:type="band2Horz">
      <w:tcPr>
        <w:tcBorders>
          <w:insideH w:val="nil"/>
          <w:insideV w:val="nil"/>
        </w:tcBorders>
      </w:tcPr>
    </w:tblStylePr>
  </w:style>
  <w:style w:type="table" w:customStyle="1" w:styleId="260">
    <w:name w:val="网格型155"/>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网格型28"/>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29"/>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30"/>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4">
    <w:name w:val="文档结构图 字符"/>
    <w:basedOn w:val="33"/>
    <w:link w:val="6"/>
    <w:semiHidden/>
    <w:qFormat/>
    <w:uiPriority w:val="0"/>
    <w:rPr>
      <w:rFonts w:ascii="Times New Roman" w:hAnsi="Times New Roman" w:eastAsia="宋体" w:cs="Times New Roman"/>
      <w:szCs w:val="24"/>
      <w:shd w:val="clear" w:color="auto" w:fill="000080"/>
    </w:rPr>
  </w:style>
  <w:style w:type="table" w:customStyle="1" w:styleId="265">
    <w:name w:val="网格型37"/>
    <w:basedOn w:val="3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6">
    <w:name w:val="Char Char3"/>
    <w:qFormat/>
    <w:uiPriority w:val="0"/>
    <w:rPr>
      <w:rFonts w:hint="default" w:ascii="Times New Roman"/>
      <w:kern w:val="2"/>
      <w:sz w:val="24"/>
    </w:rPr>
  </w:style>
  <w:style w:type="character" w:customStyle="1" w:styleId="267">
    <w:name w:val="e101"/>
    <w:qFormat/>
    <w:uiPriority w:val="0"/>
    <w:rPr>
      <w:rFonts w:hint="eastAsia" w:ascii="宋体" w:hAnsi="宋体" w:eastAsia="宋体"/>
      <w:color w:val="000033"/>
      <w:sz w:val="20"/>
      <w:szCs w:val="20"/>
      <w:u w:val="none"/>
    </w:rPr>
  </w:style>
  <w:style w:type="table" w:customStyle="1" w:styleId="268">
    <w:name w:val="网格型38"/>
    <w:basedOn w:val="30"/>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9">
    <w:name w:val="blackcedar"/>
    <w:qFormat/>
    <w:uiPriority w:val="0"/>
  </w:style>
  <w:style w:type="paragraph" w:customStyle="1" w:styleId="270">
    <w:name w:val="表格内"/>
    <w:basedOn w:val="1"/>
    <w:qFormat/>
    <w:uiPriority w:val="0"/>
    <w:pPr>
      <w:adjustRightInd w:val="0"/>
      <w:snapToGrid w:val="0"/>
      <w:spacing w:line="288" w:lineRule="auto"/>
      <w:jc w:val="left"/>
    </w:pPr>
    <w:rPr>
      <w:bCs/>
      <w:snapToGrid w:val="0"/>
      <w:kern w:val="0"/>
      <w:szCs w:val="21"/>
    </w:rPr>
  </w:style>
  <w:style w:type="paragraph" w:customStyle="1" w:styleId="271">
    <w:name w:val="标题一"/>
    <w:basedOn w:val="3"/>
    <w:qFormat/>
    <w:uiPriority w:val="0"/>
    <w:rPr>
      <w:rFonts w:ascii="Times New Roman" w:hAnsi="Times New Roman" w:eastAsia="宋体"/>
      <w:color w:val="auto"/>
      <w:sz w:val="28"/>
      <w:lang w:eastAsia="zh-CN"/>
    </w:rPr>
  </w:style>
  <w:style w:type="paragraph" w:customStyle="1" w:styleId="272">
    <w:name w:val="First Paragraph"/>
    <w:basedOn w:val="9"/>
    <w:next w:val="9"/>
    <w:qFormat/>
    <w:uiPriority w:val="0"/>
  </w:style>
  <w:style w:type="paragraph" w:customStyle="1" w:styleId="273">
    <w:name w:val="Compact"/>
    <w:basedOn w:val="9"/>
    <w:qFormat/>
    <w:uiPriority w:val="0"/>
    <w:pPr>
      <w:spacing w:before="36" w:after="36"/>
    </w:pPr>
  </w:style>
  <w:style w:type="table" w:customStyle="1" w:styleId="274">
    <w:name w:val="Table"/>
    <w:semiHidden/>
    <w:unhideWhenUsed/>
    <w:qFormat/>
    <w:uiPriority w:val="0"/>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275">
    <w:name w:val="WPSOffice手动目录 1"/>
    <w:uiPriority w:val="0"/>
    <w:pPr>
      <w:ind w:leftChars="0"/>
    </w:pPr>
    <w:rPr>
      <w:sz w:val="20"/>
      <w:szCs w:val="20"/>
    </w:rPr>
  </w:style>
  <w:style w:type="paragraph" w:customStyle="1" w:styleId="276">
    <w:name w:val="WPSOffice手动目录 2"/>
    <w:uiPriority w:val="0"/>
    <w:pPr>
      <w:ind w:leftChars="200"/>
    </w:pPr>
    <w:rPr>
      <w:sz w:val="20"/>
      <w:szCs w:val="20"/>
    </w:rPr>
  </w:style>
  <w:style w:type="paragraph" w:customStyle="1" w:styleId="277">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oleObject" Target="embeddings/oleObject2.bin"/><Relationship Id="rId7" Type="http://schemas.openxmlformats.org/officeDocument/2006/relationships/image" Target="media/image3.w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oleObject" Target="embeddings/oleObject14.bin"/><Relationship Id="rId20" Type="http://schemas.openxmlformats.org/officeDocument/2006/relationships/oleObject" Target="embeddings/oleObject13.bin"/><Relationship Id="rId2" Type="http://schemas.openxmlformats.org/officeDocument/2006/relationships/settings" Target="settings.xml"/><Relationship Id="rId19" Type="http://schemas.openxmlformats.org/officeDocument/2006/relationships/oleObject" Target="embeddings/oleObject12.bin"/><Relationship Id="rId18" Type="http://schemas.openxmlformats.org/officeDocument/2006/relationships/oleObject" Target="embeddings/oleObject11.bin"/><Relationship Id="rId17" Type="http://schemas.openxmlformats.org/officeDocument/2006/relationships/oleObject" Target="embeddings/oleObject10.bin"/><Relationship Id="rId16" Type="http://schemas.openxmlformats.org/officeDocument/2006/relationships/image" Target="media/image4.wmf"/><Relationship Id="rId15" Type="http://schemas.openxmlformats.org/officeDocument/2006/relationships/oleObject" Target="embeddings/oleObject9.bin"/><Relationship Id="rId14" Type="http://schemas.openxmlformats.org/officeDocument/2006/relationships/oleObject" Target="embeddings/oleObject8.bin"/><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592</Pages>
  <Words>4954</Words>
  <Characters>5239</Characters>
  <Lines>2839</Lines>
  <Paragraphs>799</Paragraphs>
  <TotalTime>39</TotalTime>
  <ScaleCrop>false</ScaleCrop>
  <LinksUpToDate>false</LinksUpToDate>
  <CharactersWithSpaces>5402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2021-11-20T08:38:00Z</dcterms:created>
  <dc:creator>张志欣</dc:creator>
  <cp:lastModifiedBy>Monstar.</cp:lastModifiedBy>
  <dcterms:modified xsi:type="dcterms:W3CDTF">2025-04-22T05:52:51Z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26CC5B01D836451F8C60E98DD9BBD1FF_13</vt:lpwstr>
  </property>
  <property fmtid="{D5CDD505-2E9C-101B-9397-08002B2CF9AE}" pid="4" name="KSOTemplateDocerSaveRecord">
    <vt:lpwstr>eyJoZGlkIjoiMzEwNTM5NzYwMDRjMzkwZTVkZjY2ODkwMGIxNGU0OTUiLCJ1c2VySWQiOiIxNDY3ODY4MjY5In0=</vt:lpwstr>
  </property>
</Properties>
</file>